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Default Extension="png" ContentType="image/png"/>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
        <w:rPr>
          <w:rFonts w:ascii="Times New Roman"/>
          <w:sz w:val="17"/>
        </w:rPr>
      </w:pPr>
      <w:r>
        <w:rPr/>
        <w:drawing>
          <wp:anchor distT="0" distB="0" distL="0" distR="0" allowOverlap="1" layoutInCell="1" locked="0" behindDoc="0" simplePos="0" relativeHeight="15728640">
            <wp:simplePos x="0" y="0"/>
            <wp:positionH relativeFrom="page">
              <wp:posOffset>3811</wp:posOffset>
            </wp:positionH>
            <wp:positionV relativeFrom="page">
              <wp:posOffset>0</wp:posOffset>
            </wp:positionV>
            <wp:extent cx="7556752" cy="10691493"/>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7556752" cy="10691493"/>
                    </a:xfrm>
                    <a:prstGeom prst="rect">
                      <a:avLst/>
                    </a:prstGeom>
                  </pic:spPr>
                </pic:pic>
              </a:graphicData>
            </a:graphic>
          </wp:anchor>
        </w:drawing>
      </w:r>
    </w:p>
    <w:p>
      <w:pPr>
        <w:spacing w:after="0"/>
        <w:rPr>
          <w:rFonts w:ascii="Times New Roman"/>
          <w:sz w:val="17"/>
        </w:rPr>
        <w:sectPr>
          <w:type w:val="continuous"/>
          <w:pgSz w:w="11910" w:h="16850"/>
          <w:pgMar w:top="1940" w:bottom="280" w:left="840" w:right="8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4"/>
        </w:rPr>
      </w:pPr>
    </w:p>
    <w:p>
      <w:pPr>
        <w:pStyle w:val="BodyText"/>
        <w:spacing w:before="94"/>
        <w:ind w:left="292"/>
      </w:pPr>
      <w:r>
        <w:rPr/>
        <w:t>ISBN</w:t>
      </w:r>
      <w:r>
        <w:rPr>
          <w:spacing w:val="-9"/>
        </w:rPr>
        <w:t> </w:t>
      </w:r>
      <w:r>
        <w:rPr/>
        <w:t>978-1-76047-854-4</w:t>
      </w:r>
      <w:r>
        <w:rPr>
          <w:spacing w:val="-9"/>
        </w:rPr>
        <w:t> </w:t>
      </w:r>
      <w:r>
        <w:rPr>
          <w:spacing w:val="-2"/>
        </w:rPr>
        <w:t>(Print)</w:t>
      </w:r>
    </w:p>
    <w:p>
      <w:pPr>
        <w:pStyle w:val="BodyText"/>
        <w:spacing w:before="1"/>
        <w:ind w:left="292"/>
      </w:pPr>
      <w:r>
        <w:rPr/>
        <w:t>ISBN</w:t>
      </w:r>
      <w:r>
        <w:rPr>
          <w:spacing w:val="-9"/>
        </w:rPr>
        <w:t> </w:t>
      </w:r>
      <w:r>
        <w:rPr/>
        <w:t>978-1-76047-855-1</w:t>
      </w:r>
      <w:r>
        <w:rPr>
          <w:spacing w:val="-9"/>
        </w:rPr>
        <w:t> </w:t>
      </w:r>
      <w:r>
        <w:rPr>
          <w:spacing w:val="-2"/>
        </w:rPr>
        <w:t>(pdf/online)</w:t>
      </w:r>
    </w:p>
    <w:p>
      <w:pPr>
        <w:pStyle w:val="BodyText"/>
        <w:rPr>
          <w:sz w:val="24"/>
        </w:rPr>
      </w:pPr>
    </w:p>
    <w:p>
      <w:pPr>
        <w:pStyle w:val="BodyText"/>
        <w:spacing w:before="11"/>
        <w:rPr>
          <w:sz w:val="19"/>
        </w:rPr>
      </w:pPr>
    </w:p>
    <w:p>
      <w:pPr>
        <w:pStyle w:val="Heading7"/>
        <w:ind w:left="292"/>
      </w:pPr>
      <w:r>
        <w:rPr>
          <w:spacing w:val="-2"/>
        </w:rPr>
        <w:t>Disclaimer</w:t>
      </w:r>
    </w:p>
    <w:p>
      <w:pPr>
        <w:pStyle w:val="BodyText"/>
        <w:spacing w:line="288" w:lineRule="auto" w:before="49"/>
        <w:ind w:left="292" w:right="311"/>
      </w:pPr>
      <w:r>
        <w:rPr/>
        <w:t>This publication may be of assistance to you but the State of Victoria and its employees do not guarantee</w:t>
      </w:r>
      <w:r>
        <w:rPr>
          <w:spacing w:val="-3"/>
        </w:rPr>
        <w:t> </w:t>
      </w:r>
      <w:r>
        <w:rPr/>
        <w:t>that</w:t>
      </w:r>
      <w:r>
        <w:rPr>
          <w:spacing w:val="-3"/>
        </w:rPr>
        <w:t> </w:t>
      </w:r>
      <w:r>
        <w:rPr/>
        <w:t>the</w:t>
      </w:r>
      <w:r>
        <w:rPr>
          <w:spacing w:val="-2"/>
        </w:rPr>
        <w:t> </w:t>
      </w:r>
      <w:r>
        <w:rPr/>
        <w:t>publication</w:t>
      </w:r>
      <w:r>
        <w:rPr>
          <w:spacing w:val="-2"/>
        </w:rPr>
        <w:t> </w:t>
      </w:r>
      <w:r>
        <w:rPr/>
        <w:t>is</w:t>
      </w:r>
      <w:r>
        <w:rPr>
          <w:spacing w:val="-2"/>
        </w:rPr>
        <w:t> </w:t>
      </w:r>
      <w:r>
        <w:rPr/>
        <w:t>without</w:t>
      </w:r>
      <w:r>
        <w:rPr>
          <w:spacing w:val="-3"/>
        </w:rPr>
        <w:t> </w:t>
      </w:r>
      <w:r>
        <w:rPr/>
        <w:t>flaw</w:t>
      </w:r>
      <w:r>
        <w:rPr>
          <w:spacing w:val="-5"/>
        </w:rPr>
        <w:t> </w:t>
      </w:r>
      <w:r>
        <w:rPr/>
        <w:t>of any</w:t>
      </w:r>
      <w:r>
        <w:rPr>
          <w:spacing w:val="-4"/>
        </w:rPr>
        <w:t> </w:t>
      </w:r>
      <w:r>
        <w:rPr/>
        <w:t>kind</w:t>
      </w:r>
      <w:r>
        <w:rPr>
          <w:spacing w:val="-2"/>
        </w:rPr>
        <w:t> </w:t>
      </w:r>
      <w:r>
        <w:rPr/>
        <w:t>or</w:t>
      </w:r>
      <w:r>
        <w:rPr>
          <w:spacing w:val="-1"/>
        </w:rPr>
        <w:t> </w:t>
      </w:r>
      <w:r>
        <w:rPr/>
        <w:t>is</w:t>
      </w:r>
      <w:r>
        <w:rPr>
          <w:spacing w:val="-1"/>
        </w:rPr>
        <w:t> </w:t>
      </w:r>
      <w:r>
        <w:rPr/>
        <w:t>wholly</w:t>
      </w:r>
      <w:r>
        <w:rPr>
          <w:spacing w:val="-4"/>
        </w:rPr>
        <w:t> </w:t>
      </w:r>
      <w:r>
        <w:rPr/>
        <w:t>appropriate</w:t>
      </w:r>
      <w:r>
        <w:rPr>
          <w:spacing w:val="-4"/>
        </w:rPr>
        <w:t> </w:t>
      </w:r>
      <w:r>
        <w:rPr/>
        <w:t>for</w:t>
      </w:r>
      <w:r>
        <w:rPr>
          <w:spacing w:val="-3"/>
        </w:rPr>
        <w:t> </w:t>
      </w:r>
      <w:r>
        <w:rPr/>
        <w:t>your</w:t>
      </w:r>
      <w:r>
        <w:rPr>
          <w:spacing w:val="-1"/>
        </w:rPr>
        <w:t> </w:t>
      </w:r>
      <w:r>
        <w:rPr/>
        <w:t>particular purposes and therefore disclaims all liability for any error, loss or other consequence which may arise from you relying on any information in this publication.</w:t>
      </w:r>
    </w:p>
    <w:p>
      <w:pPr>
        <w:spacing w:after="0" w:line="288" w:lineRule="auto"/>
        <w:sectPr>
          <w:headerReference w:type="default" r:id="rId6"/>
          <w:footerReference w:type="default" r:id="rId7"/>
          <w:pgSz w:w="11910" w:h="16850"/>
          <w:pgMar w:header="465" w:footer="880" w:top="660" w:bottom="1060" w:left="840" w:right="820"/>
          <w:pgNumType w:start="2"/>
        </w:sectPr>
      </w:pPr>
    </w:p>
    <w:p>
      <w:pPr>
        <w:pStyle w:val="BodyText"/>
        <w:rPr>
          <w:sz w:val="20"/>
        </w:rPr>
      </w:pPr>
    </w:p>
    <w:p>
      <w:pPr>
        <w:pStyle w:val="BodyText"/>
        <w:rPr>
          <w:sz w:val="20"/>
        </w:rPr>
      </w:pPr>
    </w:p>
    <w:p>
      <w:pPr>
        <w:pStyle w:val="Heading3"/>
        <w:spacing w:before="259"/>
        <w:ind w:left="292"/>
      </w:pPr>
      <w:r>
        <w:rPr>
          <w:color w:val="00B1A9"/>
          <w:spacing w:val="-2"/>
        </w:rPr>
        <w:t>Contents</w:t>
      </w:r>
    </w:p>
    <w:sdt>
      <w:sdtPr>
        <w:docPartObj>
          <w:docPartGallery w:val="Table of Contents"/>
          <w:docPartUnique/>
        </w:docPartObj>
      </w:sdtPr>
      <w:sdtEndPr/>
      <w:sdtContent>
        <w:p>
          <w:pPr>
            <w:pStyle w:val="TOC2"/>
            <w:tabs>
              <w:tab w:pos="9878" w:val="right" w:leader="dot"/>
            </w:tabs>
            <w:spacing w:before="331"/>
          </w:pPr>
          <w:hyperlink w:history="true" w:anchor="_bookmark0">
            <w:r>
              <w:rPr>
                <w:spacing w:val="-2"/>
              </w:rPr>
              <w:t>Overview</w:t>
            </w:r>
            <w:r>
              <w:rPr/>
              <w:tab/>
            </w:r>
            <w:r>
              <w:rPr>
                <w:spacing w:val="-10"/>
              </w:rPr>
              <w:t>4</w:t>
            </w:r>
          </w:hyperlink>
        </w:p>
        <w:p>
          <w:pPr>
            <w:pStyle w:val="TOC2"/>
            <w:tabs>
              <w:tab w:pos="9878" w:val="right" w:leader="dot"/>
            </w:tabs>
            <w:spacing w:before="169"/>
          </w:pPr>
          <w:hyperlink w:history="true" w:anchor="_bookmark1">
            <w:r>
              <w:rPr/>
              <w:t>Executive</w:t>
            </w:r>
            <w:r>
              <w:rPr>
                <w:spacing w:val="-7"/>
              </w:rPr>
              <w:t> </w:t>
            </w:r>
            <w:r>
              <w:rPr>
                <w:spacing w:val="-2"/>
              </w:rPr>
              <w:t>Summary</w:t>
            </w:r>
            <w:r>
              <w:rPr/>
              <w:tab/>
            </w:r>
            <w:r>
              <w:rPr>
                <w:spacing w:val="-10"/>
              </w:rPr>
              <w:t>6</w:t>
            </w:r>
          </w:hyperlink>
        </w:p>
        <w:p>
          <w:pPr>
            <w:pStyle w:val="TOC2"/>
            <w:tabs>
              <w:tab w:pos="9877" w:val="right" w:leader="dot"/>
            </w:tabs>
          </w:pPr>
          <w:hyperlink w:history="true" w:anchor="_bookmark2">
            <w:r>
              <w:rPr>
                <w:spacing w:val="-2"/>
              </w:rPr>
              <w:t>Recommendations</w:t>
            </w:r>
            <w:r>
              <w:rPr/>
              <w:tab/>
            </w:r>
            <w:r>
              <w:rPr>
                <w:spacing w:val="-5"/>
              </w:rPr>
              <w:t>31</w:t>
            </w:r>
          </w:hyperlink>
        </w:p>
        <w:p>
          <w:pPr>
            <w:pStyle w:val="TOC1"/>
            <w:tabs>
              <w:tab w:pos="9877" w:val="right" w:leader="dot"/>
            </w:tabs>
          </w:pPr>
          <w:hyperlink w:history="true" w:anchor="_bookmark3">
            <w:r>
              <w:rPr/>
              <w:t>PART</w:t>
            </w:r>
            <w:r>
              <w:rPr>
                <w:spacing w:val="-3"/>
              </w:rPr>
              <w:t> </w:t>
            </w:r>
            <w:r>
              <w:rPr/>
              <w:t>A:</w:t>
            </w:r>
            <w:r>
              <w:rPr>
                <w:spacing w:val="-3"/>
              </w:rPr>
              <w:t> </w:t>
            </w:r>
            <w:r>
              <w:rPr/>
              <w:t>THE</w:t>
            </w:r>
            <w:r>
              <w:rPr>
                <w:spacing w:val="-3"/>
              </w:rPr>
              <w:t> </w:t>
            </w:r>
            <w:r>
              <w:rPr>
                <w:spacing w:val="-2"/>
              </w:rPr>
              <w:t>REVIEW</w:t>
            </w:r>
            <w:r>
              <w:rPr/>
              <w:tab/>
            </w:r>
            <w:r>
              <w:rPr>
                <w:spacing w:val="-5"/>
              </w:rPr>
              <w:t>39</w:t>
            </w:r>
          </w:hyperlink>
        </w:p>
        <w:p>
          <w:pPr>
            <w:pStyle w:val="TOC1"/>
            <w:tabs>
              <w:tab w:pos="9877" w:val="right" w:leader="dot"/>
            </w:tabs>
            <w:spacing w:before="172"/>
          </w:pPr>
          <w:hyperlink w:history="true" w:anchor="_bookmark4">
            <w:r>
              <w:rPr/>
              <w:t>PART</w:t>
            </w:r>
            <w:r>
              <w:rPr>
                <w:spacing w:val="-6"/>
              </w:rPr>
              <w:t> </w:t>
            </w:r>
            <w:r>
              <w:rPr/>
              <w:t>B:</w:t>
            </w:r>
            <w:r>
              <w:rPr>
                <w:spacing w:val="-2"/>
              </w:rPr>
              <w:t> </w:t>
            </w:r>
            <w:r>
              <w:rPr/>
              <w:t>THE</w:t>
            </w:r>
            <w:r>
              <w:rPr>
                <w:spacing w:val="-4"/>
              </w:rPr>
              <w:t> </w:t>
            </w:r>
            <w:r>
              <w:rPr/>
              <w:t>SAFETY</w:t>
            </w:r>
            <w:r>
              <w:rPr>
                <w:spacing w:val="-3"/>
              </w:rPr>
              <w:t> </w:t>
            </w:r>
            <w:r>
              <w:rPr>
                <w:spacing w:val="-2"/>
              </w:rPr>
              <w:t>FRAMEWORK</w:t>
            </w:r>
            <w:r>
              <w:rPr/>
              <w:tab/>
            </w:r>
            <w:r>
              <w:rPr>
                <w:spacing w:val="-5"/>
              </w:rPr>
              <w:t>42</w:t>
            </w:r>
          </w:hyperlink>
        </w:p>
        <w:p>
          <w:pPr>
            <w:pStyle w:val="TOC1"/>
            <w:tabs>
              <w:tab w:pos="9877" w:val="right" w:leader="dot"/>
            </w:tabs>
            <w:spacing w:before="170"/>
          </w:pPr>
          <w:hyperlink w:history="true" w:anchor="_bookmark5">
            <w:r>
              <w:rPr/>
              <w:t>PART</w:t>
            </w:r>
            <w:r>
              <w:rPr>
                <w:spacing w:val="-7"/>
              </w:rPr>
              <w:t> </w:t>
            </w:r>
            <w:r>
              <w:rPr/>
              <w:t>C:</w:t>
            </w:r>
            <w:r>
              <w:rPr>
                <w:spacing w:val="-3"/>
              </w:rPr>
              <w:t> </w:t>
            </w:r>
            <w:r>
              <w:rPr/>
              <w:t>LEADING</w:t>
            </w:r>
            <w:r>
              <w:rPr>
                <w:spacing w:val="-2"/>
              </w:rPr>
              <w:t> PRACTICE</w:t>
            </w:r>
            <w:r>
              <w:rPr/>
              <w:tab/>
            </w:r>
            <w:r>
              <w:rPr>
                <w:spacing w:val="-5"/>
              </w:rPr>
              <w:t>63</w:t>
            </w:r>
          </w:hyperlink>
        </w:p>
        <w:p>
          <w:pPr>
            <w:pStyle w:val="TOC1"/>
            <w:spacing w:before="172"/>
          </w:pPr>
          <w:hyperlink w:history="true" w:anchor="_bookmark6">
            <w:r>
              <w:rPr/>
              <w:t>PART</w:t>
            </w:r>
            <w:r>
              <w:rPr>
                <w:spacing w:val="-9"/>
              </w:rPr>
              <w:t> </w:t>
            </w:r>
            <w:r>
              <w:rPr/>
              <w:t>D:</w:t>
            </w:r>
            <w:r>
              <w:rPr>
                <w:spacing w:val="-3"/>
              </w:rPr>
              <w:t> </w:t>
            </w:r>
            <w:r>
              <w:rPr/>
              <w:t>THE</w:t>
            </w:r>
            <w:r>
              <w:rPr>
                <w:spacing w:val="-4"/>
              </w:rPr>
              <w:t> </w:t>
            </w:r>
            <w:r>
              <w:rPr/>
              <w:t>BUILDING</w:t>
            </w:r>
            <w:r>
              <w:rPr>
                <w:spacing w:val="-3"/>
              </w:rPr>
              <w:t> </w:t>
            </w:r>
            <w:r>
              <w:rPr/>
              <w:t>BLOCKS</w:t>
            </w:r>
            <w:r>
              <w:rPr>
                <w:spacing w:val="-4"/>
              </w:rPr>
              <w:t> </w:t>
            </w:r>
            <w:r>
              <w:rPr/>
              <w:t>OF</w:t>
            </w:r>
            <w:r>
              <w:rPr>
                <w:spacing w:val="-4"/>
              </w:rPr>
              <w:t> </w:t>
            </w:r>
            <w:r>
              <w:rPr/>
              <w:t>A</w:t>
            </w:r>
            <w:r>
              <w:rPr>
                <w:spacing w:val="-12"/>
              </w:rPr>
              <w:t> </w:t>
            </w:r>
            <w:r>
              <w:rPr/>
              <w:t>WORLD</w:t>
            </w:r>
            <w:r>
              <w:rPr>
                <w:spacing w:val="-5"/>
              </w:rPr>
              <w:t> </w:t>
            </w:r>
            <w:r>
              <w:rPr/>
              <w:t>LEADING</w:t>
            </w:r>
            <w:r>
              <w:rPr>
                <w:spacing w:val="-2"/>
              </w:rPr>
              <w:t> </w:t>
            </w:r>
            <w:r>
              <w:rPr/>
              <w:t>ENERGY</w:t>
            </w:r>
            <w:r>
              <w:rPr>
                <w:spacing w:val="-6"/>
              </w:rPr>
              <w:t> </w:t>
            </w:r>
            <w:r>
              <w:rPr>
                <w:spacing w:val="-2"/>
              </w:rPr>
              <w:t>NETWORK</w:t>
            </w:r>
          </w:hyperlink>
        </w:p>
        <w:p>
          <w:pPr>
            <w:pStyle w:val="TOC1"/>
            <w:tabs>
              <w:tab w:pos="9877" w:val="right" w:leader="dot"/>
            </w:tabs>
            <w:spacing w:before="49"/>
          </w:pPr>
          <w:hyperlink w:history="true" w:anchor="_bookmark6">
            <w:r>
              <w:rPr/>
              <w:t>SAFETY</w:t>
            </w:r>
            <w:r>
              <w:rPr>
                <w:spacing w:val="-6"/>
              </w:rPr>
              <w:t> </w:t>
            </w:r>
            <w:r>
              <w:rPr>
                <w:spacing w:val="-2"/>
              </w:rPr>
              <w:t>REGIME</w:t>
            </w:r>
            <w:r>
              <w:rPr/>
              <w:tab/>
            </w:r>
            <w:r>
              <w:rPr>
                <w:spacing w:val="-5"/>
              </w:rPr>
              <w:t>82</w:t>
            </w:r>
          </w:hyperlink>
        </w:p>
        <w:p>
          <w:pPr>
            <w:pStyle w:val="TOC2"/>
            <w:tabs>
              <w:tab w:pos="9877" w:val="right" w:leader="dot"/>
            </w:tabs>
          </w:pPr>
          <w:hyperlink w:history="true" w:anchor="_bookmark7">
            <w:r>
              <w:rPr/>
              <w:t>Chapter</w:t>
            </w:r>
            <w:r>
              <w:rPr>
                <w:spacing w:val="-5"/>
              </w:rPr>
              <w:t> </w:t>
            </w:r>
            <w:r>
              <w:rPr/>
              <w:t>1:</w:t>
            </w:r>
            <w:r>
              <w:rPr>
                <w:spacing w:val="-4"/>
              </w:rPr>
              <w:t> </w:t>
            </w:r>
            <w:r>
              <w:rPr/>
              <w:t>ESV’s</w:t>
            </w:r>
            <w:r>
              <w:rPr>
                <w:spacing w:val="-7"/>
              </w:rPr>
              <w:t> </w:t>
            </w:r>
            <w:r>
              <w:rPr/>
              <w:t>Regulatory</w:t>
            </w:r>
            <w:r>
              <w:rPr>
                <w:spacing w:val="-9"/>
              </w:rPr>
              <w:t> </w:t>
            </w:r>
            <w:r>
              <w:rPr/>
              <w:t>and</w:t>
            </w:r>
            <w:r>
              <w:rPr>
                <w:spacing w:val="-5"/>
              </w:rPr>
              <w:t> </w:t>
            </w:r>
            <w:r>
              <w:rPr/>
              <w:t>Corporate</w:t>
            </w:r>
            <w:r>
              <w:rPr>
                <w:spacing w:val="-7"/>
              </w:rPr>
              <w:t> </w:t>
            </w:r>
            <w:r>
              <w:rPr>
                <w:spacing w:val="-2"/>
              </w:rPr>
              <w:t>Governance</w:t>
            </w:r>
            <w:r>
              <w:rPr>
                <w:rFonts w:ascii="Times New Roman" w:hAnsi="Times New Roman"/>
                <w:b w:val="0"/>
              </w:rPr>
              <w:tab/>
            </w:r>
            <w:r>
              <w:rPr>
                <w:spacing w:val="-5"/>
              </w:rPr>
              <w:t>83</w:t>
            </w:r>
          </w:hyperlink>
        </w:p>
        <w:p>
          <w:pPr>
            <w:pStyle w:val="TOC2"/>
            <w:tabs>
              <w:tab w:pos="9877" w:val="right" w:leader="dot"/>
            </w:tabs>
            <w:spacing w:before="170"/>
          </w:pPr>
          <w:hyperlink w:history="true" w:anchor="_bookmark8">
            <w:r>
              <w:rPr/>
              <w:t>Chapter</w:t>
            </w:r>
            <w:r>
              <w:rPr>
                <w:spacing w:val="-7"/>
              </w:rPr>
              <w:t> </w:t>
            </w:r>
            <w:r>
              <w:rPr/>
              <w:t>2:</w:t>
            </w:r>
            <w:r>
              <w:rPr>
                <w:spacing w:val="-4"/>
              </w:rPr>
              <w:t> </w:t>
            </w:r>
            <w:r>
              <w:rPr/>
              <w:t>ESV’s</w:t>
            </w:r>
            <w:r>
              <w:rPr>
                <w:spacing w:val="-7"/>
              </w:rPr>
              <w:t> </w:t>
            </w:r>
            <w:r>
              <w:rPr/>
              <w:t>Regulatory</w:t>
            </w:r>
            <w:r>
              <w:rPr>
                <w:spacing w:val="-5"/>
              </w:rPr>
              <w:t> </w:t>
            </w:r>
            <w:r>
              <w:rPr/>
              <w:t>Approach</w:t>
            </w:r>
            <w:r>
              <w:rPr>
                <w:spacing w:val="-5"/>
              </w:rPr>
              <w:t> </w:t>
            </w:r>
            <w:r>
              <w:rPr/>
              <w:t>and</w:t>
            </w:r>
            <w:r>
              <w:rPr>
                <w:spacing w:val="-5"/>
              </w:rPr>
              <w:t> </w:t>
            </w:r>
            <w:r>
              <w:rPr>
                <w:spacing w:val="-2"/>
              </w:rPr>
              <w:t>Capabilities</w:t>
            </w:r>
            <w:r>
              <w:rPr/>
              <w:tab/>
            </w:r>
            <w:r>
              <w:rPr>
                <w:spacing w:val="-5"/>
              </w:rPr>
              <w:t>101</w:t>
            </w:r>
          </w:hyperlink>
        </w:p>
        <w:p>
          <w:pPr>
            <w:pStyle w:val="TOC2"/>
            <w:tabs>
              <w:tab w:pos="9877" w:val="right" w:leader="dot"/>
            </w:tabs>
          </w:pPr>
          <w:hyperlink w:history="true" w:anchor="_bookmark9">
            <w:r>
              <w:rPr/>
              <w:t>Chapter</w:t>
            </w:r>
            <w:r>
              <w:rPr>
                <w:spacing w:val="-8"/>
              </w:rPr>
              <w:t> </w:t>
            </w:r>
            <w:r>
              <w:rPr/>
              <w:t>3:</w:t>
            </w:r>
            <w:r>
              <w:rPr>
                <w:spacing w:val="-6"/>
              </w:rPr>
              <w:t> </w:t>
            </w:r>
            <w:r>
              <w:rPr/>
              <w:t>Engagement</w:t>
            </w:r>
            <w:r>
              <w:rPr>
                <w:spacing w:val="-3"/>
              </w:rPr>
              <w:t> </w:t>
            </w:r>
            <w:r>
              <w:rPr/>
              <w:t>Across</w:t>
            </w:r>
            <w:r>
              <w:rPr>
                <w:spacing w:val="-6"/>
              </w:rPr>
              <w:t> </w:t>
            </w:r>
            <w:r>
              <w:rPr/>
              <w:t>Regulatory</w:t>
            </w:r>
            <w:r>
              <w:rPr>
                <w:spacing w:val="-10"/>
              </w:rPr>
              <w:t> </w:t>
            </w:r>
            <w:r>
              <w:rPr/>
              <w:t>and</w:t>
            </w:r>
            <w:r>
              <w:rPr>
                <w:spacing w:val="-7"/>
              </w:rPr>
              <w:t> </w:t>
            </w:r>
            <w:r>
              <w:rPr/>
              <w:t>Interagency</w:t>
            </w:r>
            <w:r>
              <w:rPr>
                <w:spacing w:val="-10"/>
              </w:rPr>
              <w:t> </w:t>
            </w:r>
            <w:r>
              <w:rPr>
                <w:spacing w:val="-2"/>
              </w:rPr>
              <w:t>Boundaries</w:t>
            </w:r>
            <w:r>
              <w:rPr/>
              <w:tab/>
            </w:r>
            <w:r>
              <w:rPr>
                <w:spacing w:val="-5"/>
              </w:rPr>
              <w:t>135</w:t>
            </w:r>
          </w:hyperlink>
        </w:p>
        <w:p>
          <w:pPr>
            <w:pStyle w:val="TOC2"/>
            <w:tabs>
              <w:tab w:pos="9877" w:val="right" w:leader="dot"/>
            </w:tabs>
            <w:spacing w:before="169"/>
          </w:pPr>
          <w:hyperlink w:history="true" w:anchor="_bookmark10">
            <w:r>
              <w:rPr/>
              <w:t>Chapter</w:t>
            </w:r>
            <w:r>
              <w:rPr>
                <w:spacing w:val="-5"/>
              </w:rPr>
              <w:t> </w:t>
            </w:r>
            <w:r>
              <w:rPr/>
              <w:t>4:</w:t>
            </w:r>
            <w:r>
              <w:rPr>
                <w:spacing w:val="-4"/>
              </w:rPr>
              <w:t> </w:t>
            </w:r>
            <w:r>
              <w:rPr/>
              <w:t>Integrating</w:t>
            </w:r>
            <w:r>
              <w:rPr>
                <w:spacing w:val="-6"/>
              </w:rPr>
              <w:t> </w:t>
            </w:r>
            <w:r>
              <w:rPr/>
              <w:t>Safety</w:t>
            </w:r>
            <w:r>
              <w:rPr>
                <w:spacing w:val="-7"/>
              </w:rPr>
              <w:t> </w:t>
            </w:r>
            <w:r>
              <w:rPr/>
              <w:t>Regulation</w:t>
            </w:r>
            <w:r>
              <w:rPr>
                <w:spacing w:val="-7"/>
              </w:rPr>
              <w:t> </w:t>
            </w:r>
            <w:r>
              <w:rPr/>
              <w:t>with</w:t>
            </w:r>
            <w:r>
              <w:rPr>
                <w:spacing w:val="-5"/>
              </w:rPr>
              <w:t> </w:t>
            </w:r>
            <w:r>
              <w:rPr/>
              <w:t>Economic</w:t>
            </w:r>
            <w:r>
              <w:rPr>
                <w:spacing w:val="-3"/>
              </w:rPr>
              <w:t> </w:t>
            </w:r>
            <w:r>
              <w:rPr>
                <w:spacing w:val="-2"/>
              </w:rPr>
              <w:t>Regulation</w:t>
            </w:r>
            <w:r>
              <w:rPr/>
              <w:tab/>
            </w:r>
            <w:r>
              <w:rPr>
                <w:spacing w:val="-5"/>
              </w:rPr>
              <w:t>148</w:t>
            </w:r>
          </w:hyperlink>
        </w:p>
        <w:p>
          <w:pPr>
            <w:pStyle w:val="TOC2"/>
            <w:tabs>
              <w:tab w:pos="9877" w:val="right" w:leader="dot"/>
            </w:tabs>
          </w:pPr>
          <w:hyperlink w:history="true" w:anchor="_bookmark11">
            <w:r>
              <w:rPr/>
              <w:t>Chapter</w:t>
            </w:r>
            <w:r>
              <w:rPr>
                <w:spacing w:val="-5"/>
              </w:rPr>
              <w:t> </w:t>
            </w:r>
            <w:r>
              <w:rPr/>
              <w:t>5:</w:t>
            </w:r>
            <w:r>
              <w:rPr>
                <w:spacing w:val="-4"/>
              </w:rPr>
              <w:t> </w:t>
            </w:r>
            <w:r>
              <w:rPr/>
              <w:t>Promoting</w:t>
            </w:r>
            <w:r>
              <w:rPr>
                <w:spacing w:val="-8"/>
              </w:rPr>
              <w:t> </w:t>
            </w:r>
            <w:r>
              <w:rPr/>
              <w:t>Workforce</w:t>
            </w:r>
            <w:r>
              <w:rPr>
                <w:spacing w:val="-5"/>
              </w:rPr>
              <w:t> </w:t>
            </w:r>
            <w:r>
              <w:rPr>
                <w:spacing w:val="-2"/>
              </w:rPr>
              <w:t>Engagement</w:t>
            </w:r>
            <w:r>
              <w:rPr/>
              <w:tab/>
            </w:r>
            <w:r>
              <w:rPr>
                <w:spacing w:val="-5"/>
              </w:rPr>
              <w:t>165</w:t>
            </w:r>
          </w:hyperlink>
        </w:p>
        <w:p>
          <w:pPr>
            <w:pStyle w:val="TOC2"/>
            <w:tabs>
              <w:tab w:pos="9877" w:val="right" w:leader="dot"/>
            </w:tabs>
            <w:spacing w:before="169"/>
          </w:pPr>
          <w:hyperlink w:history="true" w:anchor="_bookmark12">
            <w:r>
              <w:rPr/>
              <w:t>Chapter</w:t>
            </w:r>
            <w:r>
              <w:rPr>
                <w:spacing w:val="-6"/>
              </w:rPr>
              <w:t> </w:t>
            </w:r>
            <w:r>
              <w:rPr/>
              <w:t>6:</w:t>
            </w:r>
            <w:r>
              <w:rPr>
                <w:spacing w:val="-3"/>
              </w:rPr>
              <w:t> </w:t>
            </w:r>
            <w:r>
              <w:rPr/>
              <w:t>Programs</w:t>
            </w:r>
            <w:r>
              <w:rPr>
                <w:spacing w:val="-7"/>
              </w:rPr>
              <w:t> </w:t>
            </w:r>
            <w:r>
              <w:rPr/>
              <w:t>to</w:t>
            </w:r>
            <w:r>
              <w:rPr>
                <w:spacing w:val="-4"/>
              </w:rPr>
              <w:t> </w:t>
            </w:r>
            <w:r>
              <w:rPr/>
              <w:t>Address</w:t>
            </w:r>
            <w:r>
              <w:rPr>
                <w:spacing w:val="-5"/>
              </w:rPr>
              <w:t> </w:t>
            </w:r>
            <w:r>
              <w:rPr/>
              <w:t>Bushfire</w:t>
            </w:r>
            <w:r>
              <w:rPr>
                <w:spacing w:val="-6"/>
              </w:rPr>
              <w:t> </w:t>
            </w:r>
            <w:r>
              <w:rPr/>
              <w:t>Risk</w:t>
            </w:r>
            <w:r>
              <w:rPr>
                <w:spacing w:val="-6"/>
              </w:rPr>
              <w:t> </w:t>
            </w:r>
            <w:r>
              <w:rPr/>
              <w:t>in</w:t>
            </w:r>
            <w:r>
              <w:rPr>
                <w:spacing w:val="-6"/>
              </w:rPr>
              <w:t> </w:t>
            </w:r>
            <w:r>
              <w:rPr>
                <w:spacing w:val="-2"/>
              </w:rPr>
              <w:t>Victoria</w:t>
            </w:r>
            <w:r>
              <w:rPr/>
              <w:tab/>
            </w:r>
            <w:r>
              <w:rPr>
                <w:spacing w:val="-5"/>
              </w:rPr>
              <w:t>175</w:t>
            </w:r>
          </w:hyperlink>
        </w:p>
        <w:p>
          <w:pPr>
            <w:pStyle w:val="TOC2"/>
            <w:tabs>
              <w:tab w:pos="9877" w:val="right" w:leader="dot"/>
            </w:tabs>
          </w:pPr>
          <w:hyperlink w:history="true" w:anchor="_bookmark13">
            <w:r>
              <w:rPr/>
              <w:t>Chapter</w:t>
            </w:r>
            <w:r>
              <w:rPr>
                <w:spacing w:val="-6"/>
              </w:rPr>
              <w:t> </w:t>
            </w:r>
            <w:r>
              <w:rPr/>
              <w:t>7:</w:t>
            </w:r>
            <w:r>
              <w:rPr>
                <w:spacing w:val="-4"/>
              </w:rPr>
              <w:t> </w:t>
            </w:r>
            <w:r>
              <w:rPr/>
              <w:t>Regulating</w:t>
            </w:r>
            <w:r>
              <w:rPr>
                <w:spacing w:val="-8"/>
              </w:rPr>
              <w:t> </w:t>
            </w:r>
            <w:r>
              <w:rPr/>
              <w:t>Underground</w:t>
            </w:r>
            <w:r>
              <w:rPr>
                <w:spacing w:val="-5"/>
              </w:rPr>
              <w:t> </w:t>
            </w:r>
            <w:r>
              <w:rPr/>
              <w:t>Energy</w:t>
            </w:r>
            <w:r>
              <w:rPr>
                <w:spacing w:val="-7"/>
              </w:rPr>
              <w:t> </w:t>
            </w:r>
            <w:r>
              <w:rPr>
                <w:spacing w:val="-2"/>
              </w:rPr>
              <w:t>Assets</w:t>
            </w:r>
            <w:r>
              <w:rPr/>
              <w:tab/>
            </w:r>
            <w:r>
              <w:rPr>
                <w:spacing w:val="-5"/>
              </w:rPr>
              <w:t>197</w:t>
            </w:r>
          </w:hyperlink>
        </w:p>
        <w:p>
          <w:pPr>
            <w:pStyle w:val="TOC2"/>
            <w:tabs>
              <w:tab w:pos="9877" w:val="right" w:leader="dot"/>
            </w:tabs>
            <w:spacing w:before="170"/>
          </w:pPr>
          <w:hyperlink w:history="true" w:anchor="_bookmark14">
            <w:r>
              <w:rPr/>
              <w:t>Chapter</w:t>
            </w:r>
            <w:r>
              <w:rPr>
                <w:spacing w:val="-4"/>
              </w:rPr>
              <w:t> </w:t>
            </w:r>
            <w:r>
              <w:rPr/>
              <w:t>8:</w:t>
            </w:r>
            <w:r>
              <w:rPr>
                <w:spacing w:val="-4"/>
              </w:rPr>
              <w:t> </w:t>
            </w:r>
            <w:r>
              <w:rPr/>
              <w:t>Regulating</w:t>
            </w:r>
            <w:r>
              <w:rPr>
                <w:spacing w:val="-7"/>
              </w:rPr>
              <w:t> </w:t>
            </w:r>
            <w:r>
              <w:rPr/>
              <w:t>the</w:t>
            </w:r>
            <w:r>
              <w:rPr>
                <w:spacing w:val="-5"/>
              </w:rPr>
              <w:t> </w:t>
            </w:r>
            <w:r>
              <w:rPr/>
              <w:t>Networks</w:t>
            </w:r>
            <w:r>
              <w:rPr>
                <w:spacing w:val="-4"/>
              </w:rPr>
              <w:t> </w:t>
            </w:r>
            <w:r>
              <w:rPr/>
              <w:t>of</w:t>
            </w:r>
            <w:r>
              <w:rPr>
                <w:spacing w:val="-6"/>
              </w:rPr>
              <w:t> </w:t>
            </w:r>
            <w:r>
              <w:rPr/>
              <w:t>the</w:t>
            </w:r>
            <w:r>
              <w:rPr>
                <w:spacing w:val="-4"/>
              </w:rPr>
              <w:t> </w:t>
            </w:r>
            <w:r>
              <w:rPr>
                <w:spacing w:val="-2"/>
              </w:rPr>
              <w:t>Future</w:t>
            </w:r>
            <w:r>
              <w:rPr/>
              <w:tab/>
            </w:r>
            <w:r>
              <w:rPr>
                <w:spacing w:val="-5"/>
              </w:rPr>
              <w:t>212</w:t>
            </w:r>
          </w:hyperlink>
        </w:p>
        <w:p>
          <w:pPr>
            <w:pStyle w:val="TOC2"/>
            <w:tabs>
              <w:tab w:pos="9877" w:val="right" w:leader="dot"/>
            </w:tabs>
          </w:pPr>
          <w:hyperlink w:history="true" w:anchor="_bookmark15">
            <w:r>
              <w:rPr/>
              <w:t>Chapter</w:t>
            </w:r>
            <w:r>
              <w:rPr>
                <w:spacing w:val="-7"/>
              </w:rPr>
              <w:t> </w:t>
            </w:r>
            <w:r>
              <w:rPr/>
              <w:t>9:</w:t>
            </w:r>
            <w:r>
              <w:rPr>
                <w:spacing w:val="-5"/>
              </w:rPr>
              <w:t> </w:t>
            </w:r>
            <w:r>
              <w:rPr/>
              <w:t>Strengthening</w:t>
            </w:r>
            <w:r>
              <w:rPr>
                <w:spacing w:val="-6"/>
              </w:rPr>
              <w:t> </w:t>
            </w:r>
            <w:r>
              <w:rPr/>
              <w:t>the</w:t>
            </w:r>
            <w:r>
              <w:rPr>
                <w:spacing w:val="-8"/>
              </w:rPr>
              <w:t> </w:t>
            </w:r>
            <w:r>
              <w:rPr/>
              <w:t>Foundations</w:t>
            </w:r>
            <w:r>
              <w:rPr>
                <w:spacing w:val="-8"/>
              </w:rPr>
              <w:t> </w:t>
            </w:r>
            <w:r>
              <w:rPr/>
              <w:t>for</w:t>
            </w:r>
            <w:r>
              <w:rPr>
                <w:spacing w:val="-7"/>
              </w:rPr>
              <w:t> </w:t>
            </w:r>
            <w:r>
              <w:rPr/>
              <w:t>Future</w:t>
            </w:r>
            <w:r>
              <w:rPr>
                <w:spacing w:val="-8"/>
              </w:rPr>
              <w:t> </w:t>
            </w:r>
            <w:r>
              <w:rPr/>
              <w:t>Network</w:t>
            </w:r>
            <w:r>
              <w:rPr>
                <w:spacing w:val="-7"/>
              </w:rPr>
              <w:t> </w:t>
            </w:r>
            <w:r>
              <w:rPr/>
              <w:t>Safety</w:t>
            </w:r>
            <w:r>
              <w:rPr>
                <w:spacing w:val="-7"/>
              </w:rPr>
              <w:t> </w:t>
            </w:r>
            <w:r>
              <w:rPr>
                <w:spacing w:val="-2"/>
              </w:rPr>
              <w:t>Regulation</w:t>
            </w:r>
            <w:r>
              <w:rPr/>
              <w:tab/>
            </w:r>
            <w:r>
              <w:rPr>
                <w:spacing w:val="-5"/>
              </w:rPr>
              <w:t>227</w:t>
            </w:r>
          </w:hyperlink>
        </w:p>
        <w:p>
          <w:pPr>
            <w:pStyle w:val="TOC1"/>
            <w:tabs>
              <w:tab w:pos="9877" w:val="right" w:leader="dot"/>
            </w:tabs>
          </w:pPr>
          <w:hyperlink w:history="true" w:anchor="_bookmark16">
            <w:r>
              <w:rPr/>
              <w:t>PART</w:t>
            </w:r>
            <w:r>
              <w:rPr>
                <w:spacing w:val="-5"/>
              </w:rPr>
              <w:t> </w:t>
            </w:r>
            <w:r>
              <w:rPr/>
              <w:t>E:</w:t>
            </w:r>
            <w:r>
              <w:rPr>
                <w:spacing w:val="2"/>
              </w:rPr>
              <w:t> </w:t>
            </w:r>
            <w:r>
              <w:rPr>
                <w:spacing w:val="-2"/>
              </w:rPr>
              <w:t>APPENDICES</w:t>
            </w:r>
            <w:r>
              <w:rPr/>
              <w:tab/>
            </w:r>
            <w:r>
              <w:rPr>
                <w:spacing w:val="-5"/>
              </w:rPr>
              <w:t>251</w:t>
            </w:r>
          </w:hyperlink>
        </w:p>
      </w:sdtContent>
    </w:sdt>
    <w:p>
      <w:pPr>
        <w:spacing w:after="0"/>
        <w:sectPr>
          <w:pgSz w:w="11910" w:h="16850"/>
          <w:pgMar w:header="465" w:footer="880" w:top="660" w:bottom="1060" w:left="840" w:right="820"/>
        </w:sectPr>
      </w:pPr>
    </w:p>
    <w:p>
      <w:pPr>
        <w:pStyle w:val="BodyText"/>
        <w:spacing w:before="6"/>
        <w:rPr>
          <w:b/>
          <w:sz w:val="62"/>
        </w:rPr>
      </w:pPr>
    </w:p>
    <w:p>
      <w:pPr>
        <w:pStyle w:val="Heading3"/>
        <w:spacing w:before="0"/>
        <w:ind w:left="292"/>
      </w:pPr>
      <w:bookmarkStart w:name="_bookmark0" w:id="1"/>
      <w:bookmarkEnd w:id="1"/>
      <w:r>
        <w:rPr>
          <w:b w:val="0"/>
        </w:rPr>
      </w:r>
      <w:r>
        <w:rPr>
          <w:color w:val="00B1A9"/>
          <w:spacing w:val="-2"/>
        </w:rPr>
        <w:t>Overview</w:t>
      </w:r>
    </w:p>
    <w:p>
      <w:pPr>
        <w:pStyle w:val="BodyText"/>
        <w:spacing w:line="288" w:lineRule="auto" w:before="331"/>
        <w:ind w:left="292"/>
      </w:pPr>
      <w:r>
        <w:rPr/>
        <w:t>This</w:t>
      </w:r>
      <w:r>
        <w:rPr>
          <w:spacing w:val="-1"/>
        </w:rPr>
        <w:t> </w:t>
      </w:r>
      <w:r>
        <w:rPr/>
        <w:t>Final</w:t>
      </w:r>
      <w:r>
        <w:rPr>
          <w:spacing w:val="-2"/>
        </w:rPr>
        <w:t> </w:t>
      </w:r>
      <w:r>
        <w:rPr/>
        <w:t>Report</w:t>
      </w:r>
      <w:r>
        <w:rPr>
          <w:spacing w:val="-3"/>
        </w:rPr>
        <w:t> </w:t>
      </w:r>
      <w:r>
        <w:rPr/>
        <w:t>presents</w:t>
      </w:r>
      <w:r>
        <w:rPr>
          <w:spacing w:val="-3"/>
        </w:rPr>
        <w:t> </w:t>
      </w:r>
      <w:r>
        <w:rPr/>
        <w:t>the</w:t>
      </w:r>
      <w:r>
        <w:rPr>
          <w:spacing w:val="-2"/>
        </w:rPr>
        <w:t> </w:t>
      </w:r>
      <w:r>
        <w:rPr/>
        <w:t>Review’s</w:t>
      </w:r>
      <w:r>
        <w:rPr>
          <w:spacing w:val="-3"/>
        </w:rPr>
        <w:t> </w:t>
      </w:r>
      <w:r>
        <w:rPr/>
        <w:t>findings</w:t>
      </w:r>
      <w:r>
        <w:rPr>
          <w:spacing w:val="-6"/>
        </w:rPr>
        <w:t> </w:t>
      </w:r>
      <w:r>
        <w:rPr/>
        <w:t>and</w:t>
      </w:r>
      <w:r>
        <w:rPr>
          <w:spacing w:val="-2"/>
        </w:rPr>
        <w:t> </w:t>
      </w:r>
      <w:r>
        <w:rPr/>
        <w:t>recommendations</w:t>
      </w:r>
      <w:r>
        <w:rPr>
          <w:spacing w:val="-2"/>
        </w:rPr>
        <w:t> </w:t>
      </w:r>
      <w:r>
        <w:rPr/>
        <w:t>to</w:t>
      </w:r>
      <w:r>
        <w:rPr>
          <w:spacing w:val="-4"/>
        </w:rPr>
        <w:t> </w:t>
      </w:r>
      <w:r>
        <w:rPr/>
        <w:t>position</w:t>
      </w:r>
      <w:r>
        <w:rPr>
          <w:spacing w:val="-2"/>
        </w:rPr>
        <w:t> </w:t>
      </w:r>
      <w:r>
        <w:rPr/>
        <w:t>Victoria</w:t>
      </w:r>
      <w:r>
        <w:rPr>
          <w:spacing w:val="-2"/>
        </w:rPr>
        <w:t> </w:t>
      </w:r>
      <w:r>
        <w:rPr/>
        <w:t>at</w:t>
      </w:r>
      <w:r>
        <w:rPr>
          <w:spacing w:val="-5"/>
        </w:rPr>
        <w:t> </w:t>
      </w:r>
      <w:r>
        <w:rPr/>
        <w:t>the forefront of the safety regulation of electricity and gas networks.</w:t>
      </w:r>
    </w:p>
    <w:p>
      <w:pPr>
        <w:pStyle w:val="BodyText"/>
        <w:spacing w:line="288" w:lineRule="auto" w:before="199"/>
        <w:ind w:left="292" w:right="311"/>
      </w:pPr>
      <w:r>
        <w:rPr/>
        <w:t>It incorporates ten essential elements, chiefly focussed on strengthening the capabilities and regulatory</w:t>
      </w:r>
      <w:r>
        <w:rPr>
          <w:spacing w:val="-5"/>
        </w:rPr>
        <w:t> </w:t>
      </w:r>
      <w:r>
        <w:rPr/>
        <w:t>approach</w:t>
      </w:r>
      <w:r>
        <w:rPr>
          <w:spacing w:val="-3"/>
        </w:rPr>
        <w:t> </w:t>
      </w:r>
      <w:r>
        <w:rPr/>
        <w:t>of</w:t>
      </w:r>
      <w:r>
        <w:rPr>
          <w:spacing w:val="-2"/>
        </w:rPr>
        <w:t> </w:t>
      </w:r>
      <w:r>
        <w:rPr/>
        <w:t>the</w:t>
      </w:r>
      <w:r>
        <w:rPr>
          <w:spacing w:val="-3"/>
        </w:rPr>
        <w:t> </w:t>
      </w:r>
      <w:r>
        <w:rPr/>
        <w:t>regulator,</w:t>
      </w:r>
      <w:r>
        <w:rPr>
          <w:spacing w:val="-4"/>
        </w:rPr>
        <w:t> </w:t>
      </w:r>
      <w:r>
        <w:rPr/>
        <w:t>Energy</w:t>
      </w:r>
      <w:r>
        <w:rPr>
          <w:spacing w:val="-5"/>
        </w:rPr>
        <w:t> </w:t>
      </w:r>
      <w:r>
        <w:rPr/>
        <w:t>Safe</w:t>
      </w:r>
      <w:r>
        <w:rPr>
          <w:spacing w:val="-7"/>
        </w:rPr>
        <w:t> </w:t>
      </w:r>
      <w:r>
        <w:rPr/>
        <w:t>Victoria</w:t>
      </w:r>
      <w:r>
        <w:rPr>
          <w:spacing w:val="-3"/>
        </w:rPr>
        <w:t> </w:t>
      </w:r>
      <w:r>
        <w:rPr/>
        <w:t>(ESV),</w:t>
      </w:r>
      <w:r>
        <w:rPr>
          <w:spacing w:val="-1"/>
        </w:rPr>
        <w:t> </w:t>
      </w:r>
      <w:r>
        <w:rPr/>
        <w:t>underpinned</w:t>
      </w:r>
      <w:r>
        <w:rPr>
          <w:spacing w:val="-3"/>
        </w:rPr>
        <w:t> </w:t>
      </w:r>
      <w:r>
        <w:rPr/>
        <w:t>by</w:t>
      </w:r>
      <w:r>
        <w:rPr>
          <w:spacing w:val="-5"/>
        </w:rPr>
        <w:t> </w:t>
      </w:r>
      <w:r>
        <w:rPr/>
        <w:t>consolidated</w:t>
      </w:r>
      <w:r>
        <w:rPr>
          <w:spacing w:val="-3"/>
        </w:rPr>
        <w:t> </w:t>
      </w:r>
      <w:r>
        <w:rPr/>
        <w:t>and improved legislation.</w:t>
      </w:r>
    </w:p>
    <w:p>
      <w:pPr>
        <w:pStyle w:val="BodyText"/>
        <w:spacing w:before="6"/>
        <w:rPr>
          <w:sz w:val="31"/>
        </w:rPr>
      </w:pPr>
    </w:p>
    <w:p>
      <w:pPr>
        <w:spacing w:before="0"/>
        <w:ind w:left="292" w:right="0" w:firstLine="0"/>
        <w:jc w:val="left"/>
        <w:rPr>
          <w:b/>
          <w:sz w:val="26"/>
        </w:rPr>
      </w:pPr>
      <w:r>
        <w:rPr>
          <w:b/>
          <w:color w:val="585858"/>
          <w:sz w:val="26"/>
        </w:rPr>
        <w:t>Strengthening</w:t>
      </w:r>
      <w:r>
        <w:rPr>
          <w:b/>
          <w:color w:val="585858"/>
          <w:spacing w:val="-17"/>
          <w:sz w:val="26"/>
        </w:rPr>
        <w:t> </w:t>
      </w:r>
      <w:r>
        <w:rPr>
          <w:b/>
          <w:color w:val="585858"/>
          <w:sz w:val="26"/>
        </w:rPr>
        <w:t>the</w:t>
      </w:r>
      <w:r>
        <w:rPr>
          <w:b/>
          <w:color w:val="585858"/>
          <w:spacing w:val="-14"/>
          <w:sz w:val="26"/>
        </w:rPr>
        <w:t> </w:t>
      </w:r>
      <w:r>
        <w:rPr>
          <w:b/>
          <w:color w:val="585858"/>
          <w:sz w:val="26"/>
        </w:rPr>
        <w:t>Energy</w:t>
      </w:r>
      <w:r>
        <w:rPr>
          <w:b/>
          <w:color w:val="585858"/>
          <w:spacing w:val="-18"/>
          <w:sz w:val="26"/>
        </w:rPr>
        <w:t> </w:t>
      </w:r>
      <w:r>
        <w:rPr>
          <w:b/>
          <w:color w:val="585858"/>
          <w:sz w:val="26"/>
        </w:rPr>
        <w:t>Safety</w:t>
      </w:r>
      <w:r>
        <w:rPr>
          <w:b/>
          <w:color w:val="585858"/>
          <w:spacing w:val="-18"/>
          <w:sz w:val="26"/>
        </w:rPr>
        <w:t> </w:t>
      </w:r>
      <w:r>
        <w:rPr>
          <w:b/>
          <w:color w:val="585858"/>
          <w:sz w:val="26"/>
        </w:rPr>
        <w:t>Framework:</w:t>
      </w:r>
      <w:r>
        <w:rPr>
          <w:b/>
          <w:color w:val="585858"/>
          <w:spacing w:val="-15"/>
          <w:sz w:val="26"/>
        </w:rPr>
        <w:t> </w:t>
      </w:r>
      <w:r>
        <w:rPr>
          <w:b/>
          <w:color w:val="585858"/>
          <w:sz w:val="26"/>
        </w:rPr>
        <w:t>Ten</w:t>
      </w:r>
      <w:r>
        <w:rPr>
          <w:b/>
          <w:color w:val="585858"/>
          <w:spacing w:val="-16"/>
          <w:sz w:val="26"/>
        </w:rPr>
        <w:t> </w:t>
      </w:r>
      <w:r>
        <w:rPr>
          <w:b/>
          <w:color w:val="585858"/>
          <w:sz w:val="26"/>
        </w:rPr>
        <w:t>Essential</w:t>
      </w:r>
      <w:r>
        <w:rPr>
          <w:b/>
          <w:color w:val="585858"/>
          <w:spacing w:val="-15"/>
          <w:sz w:val="26"/>
        </w:rPr>
        <w:t> </w:t>
      </w:r>
      <w:r>
        <w:rPr>
          <w:b/>
          <w:color w:val="585858"/>
          <w:spacing w:val="-2"/>
          <w:sz w:val="26"/>
        </w:rPr>
        <w:t>Elements</w:t>
      </w:r>
    </w:p>
    <w:p>
      <w:pPr>
        <w:pStyle w:val="BodyText"/>
        <w:spacing w:before="4"/>
        <w:rPr>
          <w:b/>
        </w:rPr>
      </w:pPr>
    </w:p>
    <w:p>
      <w:pPr>
        <w:pStyle w:val="Heading7"/>
        <w:numPr>
          <w:ilvl w:val="0"/>
          <w:numId w:val="1"/>
        </w:numPr>
        <w:tabs>
          <w:tab w:pos="633" w:val="left" w:leader="none"/>
        </w:tabs>
        <w:spacing w:line="240" w:lineRule="auto" w:before="0" w:after="0"/>
        <w:ind w:left="633" w:right="0" w:hanging="341"/>
        <w:jc w:val="left"/>
      </w:pPr>
      <w:r>
        <w:rPr/>
        <w:t>Strengthen</w:t>
      </w:r>
      <w:r>
        <w:rPr>
          <w:spacing w:val="-8"/>
        </w:rPr>
        <w:t> </w:t>
      </w:r>
      <w:r>
        <w:rPr/>
        <w:t>governance</w:t>
      </w:r>
      <w:r>
        <w:rPr>
          <w:spacing w:val="-4"/>
        </w:rPr>
        <w:t> </w:t>
      </w:r>
      <w:r>
        <w:rPr/>
        <w:t>by</w:t>
      </w:r>
      <w:r>
        <w:rPr>
          <w:spacing w:val="-8"/>
        </w:rPr>
        <w:t> </w:t>
      </w:r>
      <w:r>
        <w:rPr/>
        <w:t>establishing</w:t>
      </w:r>
      <w:r>
        <w:rPr>
          <w:spacing w:val="-6"/>
        </w:rPr>
        <w:t> </w:t>
      </w:r>
      <w:r>
        <w:rPr/>
        <w:t>ESV</w:t>
      </w:r>
      <w:r>
        <w:rPr>
          <w:spacing w:val="-6"/>
        </w:rPr>
        <w:t> </w:t>
      </w:r>
      <w:r>
        <w:rPr/>
        <w:t>as</w:t>
      </w:r>
      <w:r>
        <w:rPr>
          <w:spacing w:val="-4"/>
        </w:rPr>
        <w:t> </w:t>
      </w:r>
      <w:r>
        <w:rPr/>
        <w:t>a</w:t>
      </w:r>
      <w:r>
        <w:rPr>
          <w:spacing w:val="-6"/>
        </w:rPr>
        <w:t> </w:t>
      </w:r>
      <w:r>
        <w:rPr/>
        <w:t>three-person</w:t>
      </w:r>
      <w:r>
        <w:rPr>
          <w:spacing w:val="-3"/>
        </w:rPr>
        <w:t> </w:t>
      </w:r>
      <w:r>
        <w:rPr>
          <w:spacing w:val="-2"/>
        </w:rPr>
        <w:t>commission</w:t>
      </w:r>
    </w:p>
    <w:p>
      <w:pPr>
        <w:pStyle w:val="ListParagraph"/>
        <w:numPr>
          <w:ilvl w:val="1"/>
          <w:numId w:val="1"/>
        </w:numPr>
        <w:tabs>
          <w:tab w:pos="971" w:val="left" w:leader="none"/>
        </w:tabs>
        <w:spacing w:line="240" w:lineRule="auto" w:before="112" w:after="0"/>
        <w:ind w:left="971" w:right="0" w:hanging="337"/>
        <w:jc w:val="left"/>
        <w:rPr>
          <w:rFonts w:ascii="Courier New" w:hAnsi="Courier New"/>
          <w:sz w:val="22"/>
        </w:rPr>
      </w:pPr>
      <w:r>
        <w:rPr>
          <w:sz w:val="22"/>
        </w:rPr>
        <w:t>stronger</w:t>
      </w:r>
      <w:r>
        <w:rPr>
          <w:spacing w:val="-8"/>
          <w:sz w:val="22"/>
        </w:rPr>
        <w:t> </w:t>
      </w:r>
      <w:r>
        <w:rPr>
          <w:sz w:val="22"/>
        </w:rPr>
        <w:t>governance</w:t>
      </w:r>
      <w:r>
        <w:rPr>
          <w:spacing w:val="-8"/>
          <w:sz w:val="22"/>
        </w:rPr>
        <w:t> </w:t>
      </w:r>
      <w:r>
        <w:rPr>
          <w:sz w:val="22"/>
        </w:rPr>
        <w:t>of</w:t>
      </w:r>
      <w:r>
        <w:rPr>
          <w:spacing w:val="-5"/>
          <w:sz w:val="22"/>
        </w:rPr>
        <w:t> </w:t>
      </w:r>
      <w:r>
        <w:rPr>
          <w:sz w:val="22"/>
        </w:rPr>
        <w:t>regulatory</w:t>
      </w:r>
      <w:r>
        <w:rPr>
          <w:spacing w:val="-8"/>
          <w:sz w:val="22"/>
        </w:rPr>
        <w:t> </w:t>
      </w:r>
      <w:r>
        <w:rPr>
          <w:sz w:val="22"/>
        </w:rPr>
        <w:t>decisions</w:t>
      </w:r>
      <w:r>
        <w:rPr>
          <w:spacing w:val="-6"/>
          <w:sz w:val="22"/>
        </w:rPr>
        <w:t> </w:t>
      </w:r>
      <w:r>
        <w:rPr>
          <w:sz w:val="22"/>
        </w:rPr>
        <w:t>and</w:t>
      </w:r>
      <w:r>
        <w:rPr>
          <w:spacing w:val="-8"/>
          <w:sz w:val="22"/>
        </w:rPr>
        <w:t> </w:t>
      </w:r>
      <w:r>
        <w:rPr>
          <w:spacing w:val="-2"/>
          <w:sz w:val="22"/>
        </w:rPr>
        <w:t>approach</w:t>
      </w:r>
    </w:p>
    <w:p>
      <w:pPr>
        <w:pStyle w:val="ListParagraph"/>
        <w:numPr>
          <w:ilvl w:val="1"/>
          <w:numId w:val="1"/>
        </w:numPr>
        <w:tabs>
          <w:tab w:pos="971" w:val="left" w:leader="none"/>
        </w:tabs>
        <w:spacing w:line="240" w:lineRule="auto" w:before="90" w:after="0"/>
        <w:ind w:left="971" w:right="0" w:hanging="337"/>
        <w:jc w:val="left"/>
        <w:rPr>
          <w:rFonts w:ascii="Courier New" w:hAnsi="Courier New"/>
          <w:sz w:val="22"/>
        </w:rPr>
      </w:pPr>
      <w:r>
        <w:rPr>
          <w:sz w:val="22"/>
        </w:rPr>
        <w:t>stronger</w:t>
      </w:r>
      <w:r>
        <w:rPr>
          <w:spacing w:val="-6"/>
          <w:sz w:val="22"/>
        </w:rPr>
        <w:t> </w:t>
      </w:r>
      <w:r>
        <w:rPr>
          <w:sz w:val="22"/>
        </w:rPr>
        <w:t>corporate</w:t>
      </w:r>
      <w:r>
        <w:rPr>
          <w:spacing w:val="-8"/>
          <w:sz w:val="22"/>
        </w:rPr>
        <w:t> </w:t>
      </w:r>
      <w:r>
        <w:rPr>
          <w:sz w:val="22"/>
        </w:rPr>
        <w:t>governance</w:t>
      </w:r>
      <w:r>
        <w:rPr>
          <w:spacing w:val="-7"/>
          <w:sz w:val="22"/>
        </w:rPr>
        <w:t> </w:t>
      </w:r>
      <w:r>
        <w:rPr>
          <w:sz w:val="22"/>
        </w:rPr>
        <w:t>of</w:t>
      </w:r>
      <w:r>
        <w:rPr>
          <w:spacing w:val="-4"/>
          <w:sz w:val="22"/>
        </w:rPr>
        <w:t> </w:t>
      </w:r>
      <w:r>
        <w:rPr>
          <w:sz w:val="22"/>
        </w:rPr>
        <w:t>ESV</w:t>
      </w:r>
      <w:r>
        <w:rPr>
          <w:spacing w:val="-6"/>
          <w:sz w:val="22"/>
        </w:rPr>
        <w:t> </w:t>
      </w:r>
      <w:r>
        <w:rPr>
          <w:spacing w:val="-2"/>
          <w:sz w:val="22"/>
        </w:rPr>
        <w:t>itself</w:t>
      </w:r>
    </w:p>
    <w:p>
      <w:pPr>
        <w:pStyle w:val="BodyText"/>
        <w:spacing w:before="1"/>
        <w:rPr>
          <w:sz w:val="29"/>
        </w:rPr>
      </w:pPr>
    </w:p>
    <w:p>
      <w:pPr>
        <w:pStyle w:val="Heading7"/>
        <w:numPr>
          <w:ilvl w:val="0"/>
          <w:numId w:val="1"/>
        </w:numPr>
        <w:tabs>
          <w:tab w:pos="633" w:val="left" w:leader="none"/>
        </w:tabs>
        <w:spacing w:line="240" w:lineRule="auto" w:before="0" w:after="0"/>
        <w:ind w:left="633" w:right="0" w:hanging="341"/>
        <w:jc w:val="left"/>
      </w:pPr>
      <w:r>
        <w:rPr/>
        <w:t>Build</w:t>
      </w:r>
      <w:r>
        <w:rPr>
          <w:spacing w:val="-5"/>
        </w:rPr>
        <w:t> </w:t>
      </w:r>
      <w:r>
        <w:rPr/>
        <w:t>a</w:t>
      </w:r>
      <w:r>
        <w:rPr>
          <w:spacing w:val="-5"/>
        </w:rPr>
        <w:t> </w:t>
      </w:r>
      <w:r>
        <w:rPr/>
        <w:t>stronger</w:t>
      </w:r>
      <w:r>
        <w:rPr>
          <w:spacing w:val="-4"/>
        </w:rPr>
        <w:t> </w:t>
      </w:r>
      <w:r>
        <w:rPr/>
        <w:t>and</w:t>
      </w:r>
      <w:r>
        <w:rPr>
          <w:spacing w:val="-5"/>
        </w:rPr>
        <w:t> </w:t>
      </w:r>
      <w:r>
        <w:rPr/>
        <w:t>more</w:t>
      </w:r>
      <w:r>
        <w:rPr>
          <w:spacing w:val="-2"/>
        </w:rPr>
        <w:t> </w:t>
      </w:r>
      <w:r>
        <w:rPr/>
        <w:t>active</w:t>
      </w:r>
      <w:r>
        <w:rPr>
          <w:spacing w:val="-3"/>
        </w:rPr>
        <w:t> </w:t>
      </w:r>
      <w:r>
        <w:rPr/>
        <w:t>ESV</w:t>
      </w:r>
      <w:r>
        <w:rPr>
          <w:spacing w:val="-2"/>
        </w:rPr>
        <w:t> </w:t>
      </w:r>
      <w:r>
        <w:rPr/>
        <w:t>presence</w:t>
      </w:r>
      <w:r>
        <w:rPr>
          <w:spacing w:val="-3"/>
        </w:rPr>
        <w:t> </w:t>
      </w:r>
      <w:r>
        <w:rPr/>
        <w:t>out</w:t>
      </w:r>
      <w:r>
        <w:rPr>
          <w:spacing w:val="-3"/>
        </w:rPr>
        <w:t> </w:t>
      </w:r>
      <w:r>
        <w:rPr/>
        <w:t>'on</w:t>
      </w:r>
      <w:r>
        <w:rPr>
          <w:spacing w:val="-5"/>
        </w:rPr>
        <w:t> </w:t>
      </w:r>
      <w:r>
        <w:rPr/>
        <w:t>the</w:t>
      </w:r>
      <w:r>
        <w:rPr>
          <w:spacing w:val="-2"/>
        </w:rPr>
        <w:t> ground'</w:t>
      </w:r>
    </w:p>
    <w:p>
      <w:pPr>
        <w:pStyle w:val="ListParagraph"/>
        <w:numPr>
          <w:ilvl w:val="1"/>
          <w:numId w:val="1"/>
        </w:numPr>
        <w:tabs>
          <w:tab w:pos="971" w:val="left" w:leader="none"/>
        </w:tabs>
        <w:spacing w:line="240" w:lineRule="auto" w:before="112" w:after="0"/>
        <w:ind w:left="971" w:right="0" w:hanging="337"/>
        <w:jc w:val="left"/>
        <w:rPr>
          <w:rFonts w:ascii="Courier New" w:hAnsi="Courier New"/>
          <w:sz w:val="22"/>
        </w:rPr>
      </w:pPr>
      <w:r>
        <w:rPr>
          <w:sz w:val="22"/>
        </w:rPr>
        <w:t>more</w:t>
      </w:r>
      <w:r>
        <w:rPr>
          <w:spacing w:val="-9"/>
          <w:sz w:val="22"/>
        </w:rPr>
        <w:t> </w:t>
      </w:r>
      <w:r>
        <w:rPr>
          <w:sz w:val="22"/>
        </w:rPr>
        <w:t>safety</w:t>
      </w:r>
      <w:r>
        <w:rPr>
          <w:spacing w:val="-6"/>
          <w:sz w:val="22"/>
        </w:rPr>
        <w:t> </w:t>
      </w:r>
      <w:r>
        <w:rPr>
          <w:sz w:val="22"/>
        </w:rPr>
        <w:t>inspectors</w:t>
      </w:r>
      <w:r>
        <w:rPr>
          <w:spacing w:val="-4"/>
          <w:sz w:val="22"/>
        </w:rPr>
        <w:t> </w:t>
      </w:r>
      <w:r>
        <w:rPr>
          <w:sz w:val="22"/>
        </w:rPr>
        <w:t>and</w:t>
      </w:r>
      <w:r>
        <w:rPr>
          <w:spacing w:val="-4"/>
          <w:sz w:val="22"/>
        </w:rPr>
        <w:t> </w:t>
      </w:r>
      <w:r>
        <w:rPr>
          <w:sz w:val="22"/>
        </w:rPr>
        <w:t>auditors</w:t>
      </w:r>
      <w:r>
        <w:rPr>
          <w:spacing w:val="-5"/>
          <w:sz w:val="22"/>
        </w:rPr>
        <w:t> </w:t>
      </w:r>
      <w:r>
        <w:rPr>
          <w:sz w:val="22"/>
        </w:rPr>
        <w:t>to</w:t>
      </w:r>
      <w:r>
        <w:rPr>
          <w:spacing w:val="-8"/>
          <w:sz w:val="22"/>
        </w:rPr>
        <w:t> </w:t>
      </w:r>
      <w:r>
        <w:rPr>
          <w:sz w:val="22"/>
        </w:rPr>
        <w:t>'test,</w:t>
      </w:r>
      <w:r>
        <w:rPr>
          <w:spacing w:val="-6"/>
          <w:sz w:val="22"/>
        </w:rPr>
        <w:t> </w:t>
      </w:r>
      <w:r>
        <w:rPr>
          <w:sz w:val="22"/>
        </w:rPr>
        <w:t>challenge</w:t>
      </w:r>
      <w:r>
        <w:rPr>
          <w:spacing w:val="-6"/>
          <w:sz w:val="22"/>
        </w:rPr>
        <w:t> </w:t>
      </w:r>
      <w:r>
        <w:rPr>
          <w:sz w:val="22"/>
        </w:rPr>
        <w:t>and</w:t>
      </w:r>
      <w:r>
        <w:rPr>
          <w:spacing w:val="-4"/>
          <w:sz w:val="22"/>
        </w:rPr>
        <w:t> </w:t>
      </w:r>
      <w:r>
        <w:rPr>
          <w:spacing w:val="-2"/>
          <w:sz w:val="22"/>
        </w:rPr>
        <w:t>expose'</w:t>
      </w:r>
    </w:p>
    <w:p>
      <w:pPr>
        <w:pStyle w:val="BodyText"/>
        <w:spacing w:before="4"/>
        <w:rPr>
          <w:sz w:val="34"/>
        </w:rPr>
      </w:pPr>
    </w:p>
    <w:p>
      <w:pPr>
        <w:pStyle w:val="Heading7"/>
        <w:numPr>
          <w:ilvl w:val="0"/>
          <w:numId w:val="1"/>
        </w:numPr>
        <w:tabs>
          <w:tab w:pos="633" w:val="left" w:leader="none"/>
        </w:tabs>
        <w:spacing w:line="240" w:lineRule="auto" w:before="0" w:after="0"/>
        <w:ind w:left="633" w:right="0" w:hanging="341"/>
        <w:jc w:val="left"/>
      </w:pPr>
      <w:r>
        <w:rPr/>
        <w:t>Strengthen</w:t>
      </w:r>
      <w:r>
        <w:rPr>
          <w:spacing w:val="-9"/>
        </w:rPr>
        <w:t> </w:t>
      </w:r>
      <w:r>
        <w:rPr/>
        <w:t>ESV's</w:t>
      </w:r>
      <w:r>
        <w:rPr>
          <w:spacing w:val="-5"/>
        </w:rPr>
        <w:t> </w:t>
      </w:r>
      <w:r>
        <w:rPr/>
        <w:t>capabilities</w:t>
      </w:r>
      <w:r>
        <w:rPr>
          <w:spacing w:val="-5"/>
        </w:rPr>
        <w:t> </w:t>
      </w:r>
      <w:r>
        <w:rPr/>
        <w:t>and</w:t>
      </w:r>
      <w:r>
        <w:rPr>
          <w:spacing w:val="-7"/>
        </w:rPr>
        <w:t> </w:t>
      </w:r>
      <w:r>
        <w:rPr/>
        <w:t>preparedness</w:t>
      </w:r>
      <w:r>
        <w:rPr>
          <w:spacing w:val="-5"/>
        </w:rPr>
        <w:t> </w:t>
      </w:r>
      <w:r>
        <w:rPr/>
        <w:t>to</w:t>
      </w:r>
      <w:r>
        <w:rPr>
          <w:spacing w:val="-6"/>
        </w:rPr>
        <w:t> </w:t>
      </w:r>
      <w:r>
        <w:rPr/>
        <w:t>take</w:t>
      </w:r>
      <w:r>
        <w:rPr>
          <w:spacing w:val="-7"/>
        </w:rPr>
        <w:t> </w:t>
      </w:r>
      <w:r>
        <w:rPr/>
        <w:t>strong</w:t>
      </w:r>
      <w:r>
        <w:rPr>
          <w:spacing w:val="-7"/>
        </w:rPr>
        <w:t> </w:t>
      </w:r>
      <w:r>
        <w:rPr/>
        <w:t>regulatory</w:t>
      </w:r>
      <w:r>
        <w:rPr>
          <w:spacing w:val="-8"/>
        </w:rPr>
        <w:t> </w:t>
      </w:r>
      <w:r>
        <w:rPr>
          <w:spacing w:val="-2"/>
        </w:rPr>
        <w:t>action</w:t>
      </w:r>
    </w:p>
    <w:p>
      <w:pPr>
        <w:pStyle w:val="ListParagraph"/>
        <w:numPr>
          <w:ilvl w:val="1"/>
          <w:numId w:val="1"/>
        </w:numPr>
        <w:tabs>
          <w:tab w:pos="970" w:val="left" w:leader="none"/>
          <w:tab w:pos="972" w:val="left" w:leader="none"/>
        </w:tabs>
        <w:spacing w:line="336" w:lineRule="auto" w:before="110" w:after="0"/>
        <w:ind w:left="972" w:right="1175" w:hanging="339"/>
        <w:jc w:val="left"/>
        <w:rPr>
          <w:rFonts w:ascii="Courier New" w:hAnsi="Courier New"/>
          <w:sz w:val="22"/>
        </w:rPr>
      </w:pPr>
      <w:r>
        <w:rPr>
          <w:sz w:val="22"/>
        </w:rPr>
        <w:t>ESV</w:t>
      </w:r>
      <w:r>
        <w:rPr>
          <w:spacing w:val="-2"/>
          <w:sz w:val="22"/>
        </w:rPr>
        <w:t> </w:t>
      </w:r>
      <w:r>
        <w:rPr>
          <w:sz w:val="22"/>
        </w:rPr>
        <w:t>must</w:t>
      </w:r>
      <w:r>
        <w:rPr>
          <w:spacing w:val="-3"/>
          <w:sz w:val="22"/>
        </w:rPr>
        <w:t> </w:t>
      </w:r>
      <w:r>
        <w:rPr>
          <w:sz w:val="22"/>
        </w:rPr>
        <w:t>operate</w:t>
      </w:r>
      <w:r>
        <w:rPr>
          <w:spacing w:val="-4"/>
          <w:sz w:val="22"/>
        </w:rPr>
        <w:t> </w:t>
      </w:r>
      <w:r>
        <w:rPr>
          <w:sz w:val="22"/>
        </w:rPr>
        <w:t>as</w:t>
      </w:r>
      <w:r>
        <w:rPr>
          <w:spacing w:val="-2"/>
          <w:sz w:val="22"/>
        </w:rPr>
        <w:t> </w:t>
      </w:r>
      <w:r>
        <w:rPr>
          <w:sz w:val="22"/>
        </w:rPr>
        <w:t>a</w:t>
      </w:r>
      <w:r>
        <w:rPr>
          <w:spacing w:val="-4"/>
          <w:sz w:val="22"/>
        </w:rPr>
        <w:t> </w:t>
      </w:r>
      <w:r>
        <w:rPr>
          <w:sz w:val="22"/>
        </w:rPr>
        <w:t>confident</w:t>
      </w:r>
      <w:r>
        <w:rPr>
          <w:spacing w:val="-3"/>
          <w:sz w:val="22"/>
        </w:rPr>
        <w:t> </w:t>
      </w:r>
      <w:r>
        <w:rPr>
          <w:sz w:val="22"/>
        </w:rPr>
        <w:t>regulator,</w:t>
      </w:r>
      <w:r>
        <w:rPr>
          <w:spacing w:val="-3"/>
          <w:sz w:val="22"/>
        </w:rPr>
        <w:t> </w:t>
      </w:r>
      <w:r>
        <w:rPr>
          <w:sz w:val="22"/>
        </w:rPr>
        <w:t>always</w:t>
      </w:r>
      <w:r>
        <w:rPr>
          <w:spacing w:val="-1"/>
          <w:sz w:val="22"/>
        </w:rPr>
        <w:t> </w:t>
      </w:r>
      <w:r>
        <w:rPr>
          <w:sz w:val="22"/>
        </w:rPr>
        <w:t>prepared</w:t>
      </w:r>
      <w:r>
        <w:rPr>
          <w:spacing w:val="-4"/>
          <w:sz w:val="22"/>
        </w:rPr>
        <w:t> </w:t>
      </w:r>
      <w:r>
        <w:rPr>
          <w:sz w:val="22"/>
        </w:rPr>
        <w:t>to</w:t>
      </w:r>
      <w:r>
        <w:rPr>
          <w:spacing w:val="-4"/>
          <w:sz w:val="22"/>
        </w:rPr>
        <w:t> </w:t>
      </w:r>
      <w:r>
        <w:rPr>
          <w:sz w:val="22"/>
        </w:rPr>
        <w:t>take</w:t>
      </w:r>
      <w:r>
        <w:rPr>
          <w:spacing w:val="-4"/>
          <w:sz w:val="22"/>
        </w:rPr>
        <w:t> </w:t>
      </w:r>
      <w:r>
        <w:rPr>
          <w:sz w:val="22"/>
        </w:rPr>
        <w:t>strong</w:t>
      </w:r>
      <w:r>
        <w:rPr>
          <w:spacing w:val="-2"/>
          <w:sz w:val="22"/>
        </w:rPr>
        <w:t> </w:t>
      </w:r>
      <w:r>
        <w:rPr>
          <w:sz w:val="22"/>
        </w:rPr>
        <w:t>action</w:t>
      </w:r>
      <w:r>
        <w:rPr>
          <w:spacing w:val="-2"/>
          <w:sz w:val="22"/>
        </w:rPr>
        <w:t> </w:t>
      </w:r>
      <w:r>
        <w:rPr>
          <w:sz w:val="22"/>
        </w:rPr>
        <w:t>if necessary – and backed with the capabilities to do this well</w:t>
      </w:r>
    </w:p>
    <w:p>
      <w:pPr>
        <w:pStyle w:val="BodyText"/>
        <w:spacing w:before="6"/>
        <w:rPr>
          <w:sz w:val="34"/>
        </w:rPr>
      </w:pPr>
    </w:p>
    <w:p>
      <w:pPr>
        <w:pStyle w:val="Heading7"/>
        <w:numPr>
          <w:ilvl w:val="0"/>
          <w:numId w:val="1"/>
        </w:numPr>
        <w:tabs>
          <w:tab w:pos="633" w:val="left" w:leader="none"/>
        </w:tabs>
        <w:spacing w:line="240" w:lineRule="auto" w:before="0" w:after="0"/>
        <w:ind w:left="633" w:right="0" w:hanging="341"/>
        <w:jc w:val="left"/>
      </w:pPr>
      <w:r>
        <w:rPr/>
        <w:t>Maintain</w:t>
      </w:r>
      <w:r>
        <w:rPr>
          <w:spacing w:val="-8"/>
        </w:rPr>
        <w:t> </w:t>
      </w:r>
      <w:r>
        <w:rPr/>
        <w:t>active</w:t>
      </w:r>
      <w:r>
        <w:rPr>
          <w:spacing w:val="-4"/>
        </w:rPr>
        <w:t> </w:t>
      </w:r>
      <w:r>
        <w:rPr/>
        <w:t>and</w:t>
      </w:r>
      <w:r>
        <w:rPr>
          <w:spacing w:val="-3"/>
        </w:rPr>
        <w:t> </w:t>
      </w:r>
      <w:r>
        <w:rPr/>
        <w:t>positive</w:t>
      </w:r>
      <w:r>
        <w:rPr>
          <w:spacing w:val="-4"/>
        </w:rPr>
        <w:t> </w:t>
      </w:r>
      <w:r>
        <w:rPr/>
        <w:t>engagement</w:t>
      </w:r>
      <w:r>
        <w:rPr>
          <w:spacing w:val="-6"/>
        </w:rPr>
        <w:t> </w:t>
      </w:r>
      <w:r>
        <w:rPr/>
        <w:t>with</w:t>
      </w:r>
      <w:r>
        <w:rPr>
          <w:spacing w:val="-6"/>
        </w:rPr>
        <w:t> </w:t>
      </w:r>
      <w:r>
        <w:rPr/>
        <w:t>network</w:t>
      </w:r>
      <w:r>
        <w:rPr>
          <w:spacing w:val="-5"/>
        </w:rPr>
        <w:t> </w:t>
      </w:r>
      <w:r>
        <w:rPr>
          <w:spacing w:val="-2"/>
        </w:rPr>
        <w:t>businesses</w:t>
      </w:r>
    </w:p>
    <w:p>
      <w:pPr>
        <w:pStyle w:val="ListParagraph"/>
        <w:numPr>
          <w:ilvl w:val="1"/>
          <w:numId w:val="1"/>
        </w:numPr>
        <w:tabs>
          <w:tab w:pos="970" w:val="left" w:leader="none"/>
          <w:tab w:pos="972" w:val="left" w:leader="none"/>
        </w:tabs>
        <w:spacing w:line="268" w:lineRule="auto" w:before="110" w:after="0"/>
        <w:ind w:left="972" w:right="762" w:hanging="339"/>
        <w:jc w:val="left"/>
        <w:rPr>
          <w:rFonts w:ascii="Courier New" w:hAnsi="Courier New"/>
          <w:sz w:val="22"/>
        </w:rPr>
      </w:pPr>
      <w:r>
        <w:rPr>
          <w:sz w:val="22"/>
        </w:rPr>
        <w:t>with</w:t>
      </w:r>
      <w:r>
        <w:rPr>
          <w:spacing w:val="-3"/>
          <w:sz w:val="22"/>
        </w:rPr>
        <w:t> </w:t>
      </w:r>
      <w:r>
        <w:rPr>
          <w:sz w:val="22"/>
        </w:rPr>
        <w:t>ESV</w:t>
      </w:r>
      <w:r>
        <w:rPr>
          <w:spacing w:val="-3"/>
          <w:sz w:val="22"/>
        </w:rPr>
        <w:t> </w:t>
      </w:r>
      <w:r>
        <w:rPr>
          <w:sz w:val="22"/>
        </w:rPr>
        <w:t>clearly</w:t>
      </w:r>
      <w:r>
        <w:rPr>
          <w:spacing w:val="-5"/>
          <w:sz w:val="22"/>
        </w:rPr>
        <w:t> </w:t>
      </w:r>
      <w:r>
        <w:rPr>
          <w:sz w:val="22"/>
        </w:rPr>
        <w:t>recognised,</w:t>
      </w:r>
      <w:r>
        <w:rPr>
          <w:spacing w:val="-1"/>
          <w:sz w:val="22"/>
        </w:rPr>
        <w:t> </w:t>
      </w:r>
      <w:r>
        <w:rPr>
          <w:sz w:val="22"/>
        </w:rPr>
        <w:t>and</w:t>
      </w:r>
      <w:r>
        <w:rPr>
          <w:spacing w:val="-5"/>
          <w:sz w:val="22"/>
        </w:rPr>
        <w:t> </w:t>
      </w:r>
      <w:r>
        <w:rPr>
          <w:sz w:val="22"/>
        </w:rPr>
        <w:t>respected,</w:t>
      </w:r>
      <w:r>
        <w:rPr>
          <w:spacing w:val="-1"/>
          <w:sz w:val="22"/>
        </w:rPr>
        <w:t> </w:t>
      </w:r>
      <w:r>
        <w:rPr>
          <w:sz w:val="22"/>
        </w:rPr>
        <w:t>as</w:t>
      </w:r>
      <w:r>
        <w:rPr>
          <w:spacing w:val="-7"/>
          <w:sz w:val="22"/>
        </w:rPr>
        <w:t> </w:t>
      </w:r>
      <w:r>
        <w:rPr>
          <w:sz w:val="22"/>
        </w:rPr>
        <w:t>the</w:t>
      </w:r>
      <w:r>
        <w:rPr>
          <w:spacing w:val="-3"/>
          <w:sz w:val="22"/>
        </w:rPr>
        <w:t> </w:t>
      </w:r>
      <w:r>
        <w:rPr>
          <w:sz w:val="22"/>
        </w:rPr>
        <w:t>safety</w:t>
      </w:r>
      <w:r>
        <w:rPr>
          <w:spacing w:val="-5"/>
          <w:sz w:val="22"/>
        </w:rPr>
        <w:t> </w:t>
      </w:r>
      <w:r>
        <w:rPr>
          <w:sz w:val="22"/>
        </w:rPr>
        <w:t>regulator,</w:t>
      </w:r>
      <w:r>
        <w:rPr>
          <w:spacing w:val="-4"/>
          <w:sz w:val="22"/>
        </w:rPr>
        <w:t> </w:t>
      </w:r>
      <w:r>
        <w:rPr>
          <w:sz w:val="22"/>
        </w:rPr>
        <w:t>with</w:t>
      </w:r>
      <w:r>
        <w:rPr>
          <w:spacing w:val="-3"/>
          <w:sz w:val="22"/>
        </w:rPr>
        <w:t> </w:t>
      </w:r>
      <w:r>
        <w:rPr>
          <w:sz w:val="22"/>
        </w:rPr>
        <w:t>a</w:t>
      </w:r>
      <w:r>
        <w:rPr>
          <w:spacing w:val="-4"/>
          <w:sz w:val="22"/>
        </w:rPr>
        <w:t> </w:t>
      </w:r>
      <w:r>
        <w:rPr>
          <w:sz w:val="22"/>
        </w:rPr>
        <w:t>fundamental obligation to serve the Victorian community first</w:t>
      </w:r>
    </w:p>
    <w:p>
      <w:pPr>
        <w:pStyle w:val="BodyText"/>
        <w:spacing w:before="6"/>
        <w:rPr>
          <w:sz w:val="33"/>
        </w:rPr>
      </w:pPr>
    </w:p>
    <w:p>
      <w:pPr>
        <w:pStyle w:val="Heading7"/>
        <w:numPr>
          <w:ilvl w:val="0"/>
          <w:numId w:val="1"/>
        </w:numPr>
        <w:tabs>
          <w:tab w:pos="633" w:val="left" w:leader="none"/>
        </w:tabs>
        <w:spacing w:line="240" w:lineRule="auto" w:before="1" w:after="0"/>
        <w:ind w:left="633" w:right="0" w:hanging="341"/>
        <w:jc w:val="left"/>
      </w:pPr>
      <w:r>
        <w:rPr/>
        <w:t>Emphasise</w:t>
      </w:r>
      <w:r>
        <w:rPr>
          <w:spacing w:val="-7"/>
        </w:rPr>
        <w:t> </w:t>
      </w:r>
      <w:r>
        <w:rPr/>
        <w:t>building</w:t>
      </w:r>
      <w:r>
        <w:rPr>
          <w:spacing w:val="-6"/>
        </w:rPr>
        <w:t> </w:t>
      </w:r>
      <w:r>
        <w:rPr/>
        <w:t>and</w:t>
      </w:r>
      <w:r>
        <w:rPr>
          <w:spacing w:val="-4"/>
        </w:rPr>
        <w:t> </w:t>
      </w:r>
      <w:r>
        <w:rPr/>
        <w:t>supporting</w:t>
      </w:r>
      <w:r>
        <w:rPr>
          <w:spacing w:val="-5"/>
        </w:rPr>
        <w:t> </w:t>
      </w:r>
      <w:r>
        <w:rPr/>
        <w:t>deep</w:t>
      </w:r>
      <w:r>
        <w:rPr>
          <w:spacing w:val="-7"/>
        </w:rPr>
        <w:t> </w:t>
      </w:r>
      <w:r>
        <w:rPr/>
        <w:t>safety</w:t>
      </w:r>
      <w:r>
        <w:rPr>
          <w:spacing w:val="-8"/>
        </w:rPr>
        <w:t> </w:t>
      </w:r>
      <w:r>
        <w:rPr/>
        <w:t>cultures</w:t>
      </w:r>
      <w:r>
        <w:rPr>
          <w:spacing w:val="-11"/>
        </w:rPr>
        <w:t> </w:t>
      </w:r>
      <w:r>
        <w:rPr/>
        <w:t>within</w:t>
      </w:r>
      <w:r>
        <w:rPr>
          <w:spacing w:val="-6"/>
        </w:rPr>
        <w:t> </w:t>
      </w:r>
      <w:r>
        <w:rPr/>
        <w:t>network</w:t>
      </w:r>
      <w:r>
        <w:rPr>
          <w:spacing w:val="-4"/>
        </w:rPr>
        <w:t> </w:t>
      </w:r>
      <w:r>
        <w:rPr>
          <w:spacing w:val="-2"/>
        </w:rPr>
        <w:t>businesses</w:t>
      </w:r>
    </w:p>
    <w:p>
      <w:pPr>
        <w:pStyle w:val="ListParagraph"/>
        <w:numPr>
          <w:ilvl w:val="1"/>
          <w:numId w:val="1"/>
        </w:numPr>
        <w:tabs>
          <w:tab w:pos="970" w:val="left" w:leader="none"/>
          <w:tab w:pos="972" w:val="left" w:leader="none"/>
        </w:tabs>
        <w:spacing w:line="278" w:lineRule="auto" w:before="109" w:after="0"/>
        <w:ind w:left="972" w:right="318" w:hanging="339"/>
        <w:jc w:val="left"/>
        <w:rPr>
          <w:rFonts w:ascii="Courier New" w:hAnsi="Courier New"/>
          <w:sz w:val="22"/>
        </w:rPr>
      </w:pPr>
      <w:r>
        <w:rPr>
          <w:sz w:val="22"/>
        </w:rPr>
        <w:t>safety must be deeply embedded within the organisational cultures of network businesses, their</w:t>
      </w:r>
      <w:r>
        <w:rPr>
          <w:spacing w:val="-1"/>
          <w:sz w:val="22"/>
        </w:rPr>
        <w:t> </w:t>
      </w:r>
      <w:r>
        <w:rPr>
          <w:sz w:val="22"/>
        </w:rPr>
        <w:t>systems</w:t>
      </w:r>
      <w:r>
        <w:rPr>
          <w:spacing w:val="-4"/>
          <w:sz w:val="22"/>
        </w:rPr>
        <w:t> </w:t>
      </w:r>
      <w:r>
        <w:rPr>
          <w:sz w:val="22"/>
        </w:rPr>
        <w:t>and</w:t>
      </w:r>
      <w:r>
        <w:rPr>
          <w:spacing w:val="-2"/>
          <w:sz w:val="22"/>
        </w:rPr>
        <w:t> </w:t>
      </w:r>
      <w:r>
        <w:rPr>
          <w:sz w:val="22"/>
        </w:rPr>
        <w:t>processes,</w:t>
      </w:r>
      <w:r>
        <w:rPr>
          <w:spacing w:val="-1"/>
          <w:sz w:val="22"/>
        </w:rPr>
        <w:t> </w:t>
      </w:r>
      <w:r>
        <w:rPr>
          <w:sz w:val="22"/>
        </w:rPr>
        <w:t>with</w:t>
      </w:r>
      <w:r>
        <w:rPr>
          <w:spacing w:val="-2"/>
          <w:sz w:val="22"/>
        </w:rPr>
        <w:t> </w:t>
      </w:r>
      <w:r>
        <w:rPr>
          <w:sz w:val="22"/>
        </w:rPr>
        <w:t>strong</w:t>
      </w:r>
      <w:r>
        <w:rPr>
          <w:spacing w:val="-2"/>
          <w:sz w:val="22"/>
        </w:rPr>
        <w:t> </w:t>
      </w:r>
      <w:r>
        <w:rPr>
          <w:sz w:val="22"/>
        </w:rPr>
        <w:t>and</w:t>
      </w:r>
      <w:r>
        <w:rPr>
          <w:spacing w:val="-2"/>
          <w:sz w:val="22"/>
        </w:rPr>
        <w:t> </w:t>
      </w:r>
      <w:r>
        <w:rPr>
          <w:sz w:val="22"/>
        </w:rPr>
        <w:t>highly</w:t>
      </w:r>
      <w:r>
        <w:rPr>
          <w:spacing w:val="-4"/>
          <w:sz w:val="22"/>
        </w:rPr>
        <w:t> </w:t>
      </w:r>
      <w:r>
        <w:rPr>
          <w:sz w:val="22"/>
        </w:rPr>
        <w:t>engaged</w:t>
      </w:r>
      <w:r>
        <w:rPr>
          <w:spacing w:val="-4"/>
          <w:sz w:val="22"/>
        </w:rPr>
        <w:t> </w:t>
      </w:r>
      <w:r>
        <w:rPr>
          <w:sz w:val="22"/>
        </w:rPr>
        <w:t>leadership</w:t>
      </w:r>
      <w:r>
        <w:rPr>
          <w:spacing w:val="-4"/>
          <w:sz w:val="22"/>
        </w:rPr>
        <w:t> </w:t>
      </w:r>
      <w:r>
        <w:rPr>
          <w:sz w:val="22"/>
        </w:rPr>
        <w:t>from</w:t>
      </w:r>
      <w:r>
        <w:rPr>
          <w:spacing w:val="-3"/>
          <w:sz w:val="22"/>
        </w:rPr>
        <w:t> </w:t>
      </w:r>
      <w:r>
        <w:rPr>
          <w:sz w:val="22"/>
        </w:rPr>
        <w:t>the</w:t>
      </w:r>
      <w:r>
        <w:rPr>
          <w:spacing w:val="-2"/>
          <w:sz w:val="22"/>
        </w:rPr>
        <w:t> </w:t>
      </w:r>
      <w:r>
        <w:rPr>
          <w:sz w:val="22"/>
        </w:rPr>
        <w:t>board</w:t>
      </w:r>
      <w:r>
        <w:rPr>
          <w:spacing w:val="-2"/>
          <w:sz w:val="22"/>
        </w:rPr>
        <w:t> </w:t>
      </w:r>
      <w:r>
        <w:rPr>
          <w:sz w:val="22"/>
        </w:rPr>
        <w:t>and chief executive level down</w:t>
      </w:r>
    </w:p>
    <w:p>
      <w:pPr>
        <w:pStyle w:val="ListParagraph"/>
        <w:numPr>
          <w:ilvl w:val="1"/>
          <w:numId w:val="1"/>
        </w:numPr>
        <w:tabs>
          <w:tab w:pos="971" w:val="left" w:leader="none"/>
        </w:tabs>
        <w:spacing w:line="240" w:lineRule="auto" w:before="70" w:after="0"/>
        <w:ind w:left="971" w:right="0" w:hanging="337"/>
        <w:jc w:val="left"/>
        <w:rPr>
          <w:rFonts w:ascii="Courier New" w:hAnsi="Courier New"/>
          <w:sz w:val="22"/>
        </w:rPr>
      </w:pPr>
      <w:r>
        <w:rPr>
          <w:sz w:val="22"/>
        </w:rPr>
        <w:t>strong</w:t>
      </w:r>
      <w:r>
        <w:rPr>
          <w:spacing w:val="-8"/>
          <w:sz w:val="22"/>
        </w:rPr>
        <w:t> </w:t>
      </w:r>
      <w:r>
        <w:rPr>
          <w:sz w:val="22"/>
        </w:rPr>
        <w:t>engagement</w:t>
      </w:r>
      <w:r>
        <w:rPr>
          <w:spacing w:val="-6"/>
          <w:sz w:val="22"/>
        </w:rPr>
        <w:t> </w:t>
      </w:r>
      <w:r>
        <w:rPr>
          <w:sz w:val="22"/>
        </w:rPr>
        <w:t>with</w:t>
      </w:r>
      <w:r>
        <w:rPr>
          <w:spacing w:val="-5"/>
          <w:sz w:val="22"/>
        </w:rPr>
        <w:t> </w:t>
      </w:r>
      <w:r>
        <w:rPr>
          <w:sz w:val="22"/>
        </w:rPr>
        <w:t>the</w:t>
      </w:r>
      <w:r>
        <w:rPr>
          <w:spacing w:val="-5"/>
          <w:sz w:val="22"/>
        </w:rPr>
        <w:t> </w:t>
      </w:r>
      <w:r>
        <w:rPr>
          <w:sz w:val="22"/>
        </w:rPr>
        <w:t>workers</w:t>
      </w:r>
      <w:r>
        <w:rPr>
          <w:spacing w:val="-6"/>
          <w:sz w:val="22"/>
        </w:rPr>
        <w:t> </w:t>
      </w:r>
      <w:r>
        <w:rPr>
          <w:sz w:val="22"/>
        </w:rPr>
        <w:t>who</w:t>
      </w:r>
      <w:r>
        <w:rPr>
          <w:spacing w:val="-5"/>
          <w:sz w:val="22"/>
        </w:rPr>
        <w:t> </w:t>
      </w:r>
      <w:r>
        <w:rPr>
          <w:sz w:val="22"/>
        </w:rPr>
        <w:t>maintain</w:t>
      </w:r>
      <w:r>
        <w:rPr>
          <w:spacing w:val="-5"/>
          <w:sz w:val="22"/>
        </w:rPr>
        <w:t> </w:t>
      </w:r>
      <w:r>
        <w:rPr>
          <w:sz w:val="22"/>
        </w:rPr>
        <w:t>and</w:t>
      </w:r>
      <w:r>
        <w:rPr>
          <w:spacing w:val="-5"/>
          <w:sz w:val="22"/>
        </w:rPr>
        <w:t> </w:t>
      </w:r>
      <w:r>
        <w:rPr>
          <w:sz w:val="22"/>
        </w:rPr>
        <w:t>build</w:t>
      </w:r>
      <w:r>
        <w:rPr>
          <w:spacing w:val="-5"/>
          <w:sz w:val="22"/>
        </w:rPr>
        <w:t> </w:t>
      </w:r>
      <w:r>
        <w:rPr>
          <w:sz w:val="22"/>
        </w:rPr>
        <w:t>the</w:t>
      </w:r>
      <w:r>
        <w:rPr>
          <w:spacing w:val="-5"/>
          <w:sz w:val="22"/>
        </w:rPr>
        <w:t> </w:t>
      </w:r>
      <w:r>
        <w:rPr>
          <w:spacing w:val="-2"/>
          <w:sz w:val="22"/>
        </w:rPr>
        <w:t>networks</w:t>
      </w:r>
    </w:p>
    <w:p>
      <w:pPr>
        <w:pStyle w:val="BodyText"/>
        <w:spacing w:before="3"/>
        <w:rPr>
          <w:sz w:val="34"/>
        </w:rPr>
      </w:pPr>
    </w:p>
    <w:p>
      <w:pPr>
        <w:pStyle w:val="Heading7"/>
        <w:numPr>
          <w:ilvl w:val="0"/>
          <w:numId w:val="1"/>
        </w:numPr>
        <w:tabs>
          <w:tab w:pos="633" w:val="left" w:leader="none"/>
        </w:tabs>
        <w:spacing w:line="240" w:lineRule="auto" w:before="1" w:after="0"/>
        <w:ind w:left="633" w:right="0" w:hanging="341"/>
        <w:jc w:val="left"/>
      </w:pPr>
      <w:r>
        <w:rPr/>
        <w:t>Substantially</w:t>
      </w:r>
      <w:r>
        <w:rPr>
          <w:spacing w:val="-11"/>
        </w:rPr>
        <w:t> </w:t>
      </w:r>
      <w:r>
        <w:rPr/>
        <w:t>strengthen</w:t>
      </w:r>
      <w:r>
        <w:rPr>
          <w:spacing w:val="-7"/>
        </w:rPr>
        <w:t> </w:t>
      </w:r>
      <w:r>
        <w:rPr/>
        <w:t>ESV's</w:t>
      </w:r>
      <w:r>
        <w:rPr>
          <w:spacing w:val="-7"/>
        </w:rPr>
        <w:t> </w:t>
      </w:r>
      <w:r>
        <w:rPr/>
        <w:t>analytical</w:t>
      </w:r>
      <w:r>
        <w:rPr>
          <w:spacing w:val="-8"/>
        </w:rPr>
        <w:t> </w:t>
      </w:r>
      <w:r>
        <w:rPr>
          <w:spacing w:val="-2"/>
        </w:rPr>
        <w:t>capabilities</w:t>
      </w:r>
    </w:p>
    <w:p>
      <w:pPr>
        <w:pStyle w:val="ListParagraph"/>
        <w:numPr>
          <w:ilvl w:val="1"/>
          <w:numId w:val="1"/>
        </w:numPr>
        <w:tabs>
          <w:tab w:pos="970" w:val="left" w:leader="none"/>
          <w:tab w:pos="972" w:val="left" w:leader="none"/>
        </w:tabs>
        <w:spacing w:line="266" w:lineRule="auto" w:before="112" w:after="0"/>
        <w:ind w:left="972" w:right="626" w:hanging="339"/>
        <w:jc w:val="left"/>
        <w:rPr>
          <w:rFonts w:ascii="Courier New" w:hAnsi="Courier New"/>
          <w:sz w:val="22"/>
        </w:rPr>
      </w:pPr>
      <w:r>
        <w:rPr>
          <w:sz w:val="22"/>
        </w:rPr>
        <w:t>stronger</w:t>
      </w:r>
      <w:r>
        <w:rPr>
          <w:spacing w:val="-2"/>
          <w:sz w:val="22"/>
        </w:rPr>
        <w:t> </w:t>
      </w:r>
      <w:r>
        <w:rPr>
          <w:sz w:val="22"/>
        </w:rPr>
        <w:t>data</w:t>
      </w:r>
      <w:r>
        <w:rPr>
          <w:spacing w:val="-3"/>
          <w:sz w:val="22"/>
        </w:rPr>
        <w:t> </w:t>
      </w:r>
      <w:r>
        <w:rPr>
          <w:sz w:val="22"/>
        </w:rPr>
        <w:t>analytics</w:t>
      </w:r>
      <w:r>
        <w:rPr>
          <w:spacing w:val="-4"/>
          <w:sz w:val="22"/>
        </w:rPr>
        <w:t> </w:t>
      </w:r>
      <w:r>
        <w:rPr>
          <w:sz w:val="22"/>
        </w:rPr>
        <w:t>to</w:t>
      </w:r>
      <w:r>
        <w:rPr>
          <w:spacing w:val="-3"/>
          <w:sz w:val="22"/>
        </w:rPr>
        <w:t> </w:t>
      </w:r>
      <w:r>
        <w:rPr>
          <w:sz w:val="22"/>
        </w:rPr>
        <w:t>provide</w:t>
      </w:r>
      <w:r>
        <w:rPr>
          <w:spacing w:val="-3"/>
          <w:sz w:val="22"/>
        </w:rPr>
        <w:t> </w:t>
      </w:r>
      <w:r>
        <w:rPr>
          <w:sz w:val="22"/>
        </w:rPr>
        <w:t>statistically</w:t>
      </w:r>
      <w:r>
        <w:rPr>
          <w:spacing w:val="-4"/>
          <w:sz w:val="22"/>
        </w:rPr>
        <w:t> </w:t>
      </w:r>
      <w:r>
        <w:rPr>
          <w:sz w:val="22"/>
        </w:rPr>
        <w:t>robust</w:t>
      </w:r>
      <w:r>
        <w:rPr>
          <w:spacing w:val="-2"/>
          <w:sz w:val="22"/>
        </w:rPr>
        <w:t> </w:t>
      </w:r>
      <w:r>
        <w:rPr>
          <w:sz w:val="22"/>
        </w:rPr>
        <w:t>information</w:t>
      </w:r>
      <w:r>
        <w:rPr>
          <w:spacing w:val="-3"/>
          <w:sz w:val="22"/>
        </w:rPr>
        <w:t> </w:t>
      </w:r>
      <w:r>
        <w:rPr>
          <w:sz w:val="22"/>
        </w:rPr>
        <w:t>about</w:t>
      </w:r>
      <w:r>
        <w:rPr>
          <w:spacing w:val="-4"/>
          <w:sz w:val="22"/>
        </w:rPr>
        <w:t> </w:t>
      </w:r>
      <w:r>
        <w:rPr>
          <w:sz w:val="22"/>
        </w:rPr>
        <w:t>safety</w:t>
      </w:r>
      <w:r>
        <w:rPr>
          <w:spacing w:val="-4"/>
          <w:sz w:val="22"/>
        </w:rPr>
        <w:t> </w:t>
      </w:r>
      <w:r>
        <w:rPr>
          <w:sz w:val="22"/>
        </w:rPr>
        <w:t>risks</w:t>
      </w:r>
      <w:r>
        <w:rPr>
          <w:spacing w:val="-4"/>
          <w:sz w:val="22"/>
        </w:rPr>
        <w:t> </w:t>
      </w:r>
      <w:r>
        <w:rPr>
          <w:sz w:val="22"/>
        </w:rPr>
        <w:t>for</w:t>
      </w:r>
      <w:r>
        <w:rPr>
          <w:spacing w:val="-4"/>
          <w:sz w:val="22"/>
        </w:rPr>
        <w:t> </w:t>
      </w:r>
      <w:r>
        <w:rPr>
          <w:sz w:val="22"/>
        </w:rPr>
        <w:t>the Victorian community</w:t>
      </w:r>
    </w:p>
    <w:p>
      <w:pPr>
        <w:pStyle w:val="ListParagraph"/>
        <w:numPr>
          <w:ilvl w:val="1"/>
          <w:numId w:val="1"/>
        </w:numPr>
        <w:tabs>
          <w:tab w:pos="970" w:val="left" w:leader="none"/>
          <w:tab w:pos="972" w:val="left" w:leader="none"/>
        </w:tabs>
        <w:spacing w:line="333" w:lineRule="auto" w:before="163" w:after="0"/>
        <w:ind w:left="972" w:right="663" w:hanging="339"/>
        <w:jc w:val="left"/>
        <w:rPr>
          <w:rFonts w:ascii="Courier New" w:hAnsi="Courier New"/>
          <w:sz w:val="22"/>
        </w:rPr>
      </w:pPr>
      <w:r>
        <w:rPr>
          <w:sz w:val="22"/>
        </w:rPr>
        <w:t>a</w:t>
      </w:r>
      <w:r>
        <w:rPr>
          <w:spacing w:val="-3"/>
          <w:sz w:val="22"/>
        </w:rPr>
        <w:t> </w:t>
      </w:r>
      <w:r>
        <w:rPr>
          <w:sz w:val="22"/>
        </w:rPr>
        <w:t>comprehensive</w:t>
      </w:r>
      <w:r>
        <w:rPr>
          <w:spacing w:val="-2"/>
          <w:sz w:val="22"/>
        </w:rPr>
        <w:t> </w:t>
      </w:r>
      <w:r>
        <w:rPr>
          <w:sz w:val="22"/>
        </w:rPr>
        <w:t>integrated</w:t>
      </w:r>
      <w:r>
        <w:rPr>
          <w:spacing w:val="-3"/>
          <w:sz w:val="22"/>
        </w:rPr>
        <w:t> </w:t>
      </w:r>
      <w:r>
        <w:rPr>
          <w:sz w:val="22"/>
        </w:rPr>
        <w:t>intelligence</w:t>
      </w:r>
      <w:r>
        <w:rPr>
          <w:spacing w:val="-5"/>
          <w:sz w:val="22"/>
        </w:rPr>
        <w:t> </w:t>
      </w:r>
      <w:r>
        <w:rPr>
          <w:sz w:val="22"/>
        </w:rPr>
        <w:t>system – to</w:t>
      </w:r>
      <w:r>
        <w:rPr>
          <w:spacing w:val="-3"/>
          <w:sz w:val="22"/>
        </w:rPr>
        <w:t> </w:t>
      </w:r>
      <w:r>
        <w:rPr>
          <w:sz w:val="22"/>
        </w:rPr>
        <w:t>target</w:t>
      </w:r>
      <w:r>
        <w:rPr>
          <w:spacing w:val="-4"/>
          <w:sz w:val="22"/>
        </w:rPr>
        <w:t> </w:t>
      </w:r>
      <w:r>
        <w:rPr>
          <w:sz w:val="22"/>
        </w:rPr>
        <w:t>audits</w:t>
      </w:r>
      <w:r>
        <w:rPr>
          <w:spacing w:val="-5"/>
          <w:sz w:val="22"/>
        </w:rPr>
        <w:t> </w:t>
      </w:r>
      <w:r>
        <w:rPr>
          <w:sz w:val="22"/>
        </w:rPr>
        <w:t>and</w:t>
      </w:r>
      <w:r>
        <w:rPr>
          <w:spacing w:val="-3"/>
          <w:sz w:val="22"/>
        </w:rPr>
        <w:t> </w:t>
      </w:r>
      <w:r>
        <w:rPr>
          <w:sz w:val="22"/>
        </w:rPr>
        <w:t>inspections</w:t>
      </w:r>
      <w:r>
        <w:rPr>
          <w:spacing w:val="-3"/>
          <w:sz w:val="22"/>
        </w:rPr>
        <w:t> </w:t>
      </w:r>
      <w:r>
        <w:rPr>
          <w:sz w:val="22"/>
        </w:rPr>
        <w:t>and</w:t>
      </w:r>
      <w:r>
        <w:rPr>
          <w:spacing w:val="-5"/>
          <w:sz w:val="22"/>
        </w:rPr>
        <w:t> </w:t>
      </w:r>
      <w:r>
        <w:rPr>
          <w:sz w:val="22"/>
        </w:rPr>
        <w:t>to identify emerging risks earlier</w:t>
      </w:r>
    </w:p>
    <w:p>
      <w:pPr>
        <w:pStyle w:val="BodyText"/>
        <w:spacing w:before="2"/>
        <w:rPr>
          <w:sz w:val="28"/>
        </w:rPr>
      </w:pPr>
    </w:p>
    <w:p>
      <w:pPr>
        <w:pStyle w:val="Heading7"/>
        <w:numPr>
          <w:ilvl w:val="0"/>
          <w:numId w:val="1"/>
        </w:numPr>
        <w:tabs>
          <w:tab w:pos="341" w:val="left" w:leader="none"/>
        </w:tabs>
        <w:spacing w:line="240" w:lineRule="auto" w:before="0" w:after="0"/>
        <w:ind w:left="341" w:right="1193" w:hanging="341"/>
        <w:jc w:val="right"/>
      </w:pPr>
      <w:r>
        <w:rPr/>
        <w:t>Create</w:t>
      </w:r>
      <w:r>
        <w:rPr>
          <w:spacing w:val="-3"/>
        </w:rPr>
        <w:t> </w:t>
      </w:r>
      <w:r>
        <w:rPr/>
        <w:t>a</w:t>
      </w:r>
      <w:r>
        <w:rPr>
          <w:spacing w:val="-5"/>
        </w:rPr>
        <w:t> </w:t>
      </w:r>
      <w:r>
        <w:rPr/>
        <w:t>single</w:t>
      </w:r>
      <w:r>
        <w:rPr>
          <w:spacing w:val="-4"/>
        </w:rPr>
        <w:t> </w:t>
      </w:r>
      <w:r>
        <w:rPr/>
        <w:t>energy</w:t>
      </w:r>
      <w:r>
        <w:rPr>
          <w:spacing w:val="-5"/>
        </w:rPr>
        <w:t> </w:t>
      </w:r>
      <w:r>
        <w:rPr/>
        <w:t>safety</w:t>
      </w:r>
      <w:r>
        <w:rPr>
          <w:spacing w:val="-8"/>
        </w:rPr>
        <w:t> </w:t>
      </w:r>
      <w:r>
        <w:rPr/>
        <w:t>law,</w:t>
      </w:r>
      <w:r>
        <w:rPr>
          <w:spacing w:val="-8"/>
        </w:rPr>
        <w:t> </w:t>
      </w:r>
      <w:r>
        <w:rPr/>
        <w:t>with</w:t>
      </w:r>
      <w:r>
        <w:rPr>
          <w:spacing w:val="-5"/>
        </w:rPr>
        <w:t> </w:t>
      </w:r>
      <w:r>
        <w:rPr/>
        <w:t>"safety-case"</w:t>
      </w:r>
      <w:r>
        <w:rPr>
          <w:spacing w:val="-5"/>
        </w:rPr>
        <w:t> </w:t>
      </w:r>
      <w:r>
        <w:rPr/>
        <w:t>based</w:t>
      </w:r>
      <w:r>
        <w:rPr>
          <w:spacing w:val="-5"/>
        </w:rPr>
        <w:t> </w:t>
      </w:r>
      <w:r>
        <w:rPr/>
        <w:t>regulation</w:t>
      </w:r>
      <w:r>
        <w:rPr>
          <w:spacing w:val="-4"/>
        </w:rPr>
        <w:t> </w:t>
      </w:r>
      <w:r>
        <w:rPr/>
        <w:t>at</w:t>
      </w:r>
      <w:r>
        <w:rPr>
          <w:spacing w:val="-4"/>
        </w:rPr>
        <w:t> </w:t>
      </w:r>
      <w:r>
        <w:rPr/>
        <w:t>its</w:t>
      </w:r>
      <w:r>
        <w:rPr>
          <w:spacing w:val="-3"/>
        </w:rPr>
        <w:t> </w:t>
      </w:r>
      <w:r>
        <w:rPr>
          <w:spacing w:val="-4"/>
        </w:rPr>
        <w:t>core</w:t>
      </w:r>
    </w:p>
    <w:p>
      <w:pPr>
        <w:pStyle w:val="ListParagraph"/>
        <w:numPr>
          <w:ilvl w:val="1"/>
          <w:numId w:val="1"/>
        </w:numPr>
        <w:tabs>
          <w:tab w:pos="337" w:val="left" w:leader="none"/>
        </w:tabs>
        <w:spacing w:line="240" w:lineRule="auto" w:before="112" w:after="0"/>
        <w:ind w:left="337" w:right="1163" w:hanging="337"/>
        <w:jc w:val="right"/>
        <w:rPr>
          <w:rFonts w:ascii="Courier New" w:hAnsi="Courier New"/>
          <w:sz w:val="22"/>
        </w:rPr>
      </w:pPr>
      <w:r>
        <w:rPr>
          <w:sz w:val="22"/>
        </w:rPr>
        <w:t>providing</w:t>
      </w:r>
      <w:r>
        <w:rPr>
          <w:spacing w:val="-4"/>
          <w:sz w:val="22"/>
        </w:rPr>
        <w:t> </w:t>
      </w:r>
      <w:r>
        <w:rPr>
          <w:sz w:val="22"/>
        </w:rPr>
        <w:t>the</w:t>
      </w:r>
      <w:r>
        <w:rPr>
          <w:spacing w:val="-9"/>
          <w:sz w:val="22"/>
        </w:rPr>
        <w:t> </w:t>
      </w:r>
      <w:r>
        <w:rPr>
          <w:sz w:val="22"/>
        </w:rPr>
        <w:t>foundations</w:t>
      </w:r>
      <w:r>
        <w:rPr>
          <w:spacing w:val="-4"/>
          <w:sz w:val="22"/>
        </w:rPr>
        <w:t> </w:t>
      </w:r>
      <w:r>
        <w:rPr>
          <w:sz w:val="22"/>
        </w:rPr>
        <w:t>of</w:t>
      </w:r>
      <w:r>
        <w:rPr>
          <w:spacing w:val="-3"/>
          <w:sz w:val="22"/>
        </w:rPr>
        <w:t> </w:t>
      </w:r>
      <w:r>
        <w:rPr>
          <w:sz w:val="22"/>
        </w:rPr>
        <w:t>a</w:t>
      </w:r>
      <w:r>
        <w:rPr>
          <w:spacing w:val="-7"/>
          <w:sz w:val="22"/>
        </w:rPr>
        <w:t> </w:t>
      </w:r>
      <w:r>
        <w:rPr>
          <w:sz w:val="22"/>
        </w:rPr>
        <w:t>regulatory</w:t>
      </w:r>
      <w:r>
        <w:rPr>
          <w:spacing w:val="-7"/>
          <w:sz w:val="22"/>
        </w:rPr>
        <w:t> </w:t>
      </w:r>
      <w:r>
        <w:rPr>
          <w:sz w:val="22"/>
        </w:rPr>
        <w:t>system</w:t>
      </w:r>
      <w:r>
        <w:rPr>
          <w:spacing w:val="-6"/>
          <w:sz w:val="22"/>
        </w:rPr>
        <w:t> </w:t>
      </w:r>
      <w:r>
        <w:rPr>
          <w:sz w:val="22"/>
        </w:rPr>
        <w:t>built</w:t>
      </w:r>
      <w:r>
        <w:rPr>
          <w:spacing w:val="-3"/>
          <w:sz w:val="22"/>
        </w:rPr>
        <w:t> </w:t>
      </w:r>
      <w:r>
        <w:rPr>
          <w:sz w:val="22"/>
        </w:rPr>
        <w:t>on</w:t>
      </w:r>
      <w:r>
        <w:rPr>
          <w:spacing w:val="-5"/>
          <w:sz w:val="22"/>
        </w:rPr>
        <w:t> </w:t>
      </w:r>
      <w:r>
        <w:rPr>
          <w:sz w:val="22"/>
        </w:rPr>
        <w:t>achieving</w:t>
      </w:r>
      <w:r>
        <w:rPr>
          <w:spacing w:val="-3"/>
          <w:sz w:val="22"/>
        </w:rPr>
        <w:t> </w:t>
      </w:r>
      <w:r>
        <w:rPr>
          <w:sz w:val="22"/>
        </w:rPr>
        <w:t>safety</w:t>
      </w:r>
      <w:r>
        <w:rPr>
          <w:spacing w:val="-7"/>
          <w:sz w:val="22"/>
        </w:rPr>
        <w:t> </w:t>
      </w:r>
      <w:r>
        <w:rPr>
          <w:spacing w:val="-2"/>
          <w:sz w:val="22"/>
        </w:rPr>
        <w:t>outcomes</w:t>
      </w:r>
    </w:p>
    <w:p>
      <w:pPr>
        <w:spacing w:after="0" w:line="240" w:lineRule="auto"/>
        <w:jc w:val="right"/>
        <w:rPr>
          <w:rFonts w:ascii="Courier New" w:hAnsi="Courier New"/>
          <w:sz w:val="22"/>
        </w:rPr>
        <w:sectPr>
          <w:pgSz w:w="11910" w:h="16850"/>
          <w:pgMar w:header="465" w:footer="880" w:top="660" w:bottom="1060" w:left="840" w:right="820"/>
        </w:sectPr>
      </w:pPr>
    </w:p>
    <w:p>
      <w:pPr>
        <w:pStyle w:val="BodyText"/>
        <w:rPr>
          <w:sz w:val="20"/>
        </w:rPr>
      </w:pPr>
    </w:p>
    <w:p>
      <w:pPr>
        <w:pStyle w:val="BodyText"/>
        <w:rPr>
          <w:sz w:val="20"/>
        </w:rPr>
      </w:pPr>
    </w:p>
    <w:p>
      <w:pPr>
        <w:pStyle w:val="BodyText"/>
        <w:spacing w:before="4"/>
      </w:pPr>
    </w:p>
    <w:p>
      <w:pPr>
        <w:pStyle w:val="ListParagraph"/>
        <w:numPr>
          <w:ilvl w:val="1"/>
          <w:numId w:val="1"/>
        </w:numPr>
        <w:tabs>
          <w:tab w:pos="970" w:val="left" w:leader="none"/>
          <w:tab w:pos="972" w:val="left" w:leader="none"/>
        </w:tabs>
        <w:spacing w:line="348" w:lineRule="auto" w:before="0" w:after="0"/>
        <w:ind w:left="972" w:right="823" w:hanging="339"/>
        <w:jc w:val="left"/>
        <w:rPr>
          <w:rFonts w:ascii="Courier New" w:hAnsi="Courier New"/>
          <w:sz w:val="22"/>
        </w:rPr>
      </w:pPr>
      <w:r>
        <w:rPr>
          <w:sz w:val="22"/>
        </w:rPr>
        <w:t>with</w:t>
      </w:r>
      <w:r>
        <w:rPr>
          <w:spacing w:val="-3"/>
          <w:sz w:val="22"/>
        </w:rPr>
        <w:t> </w:t>
      </w:r>
      <w:r>
        <w:rPr>
          <w:sz w:val="22"/>
        </w:rPr>
        <w:t>a</w:t>
      </w:r>
      <w:r>
        <w:rPr>
          <w:spacing w:val="-2"/>
          <w:sz w:val="22"/>
        </w:rPr>
        <w:t> </w:t>
      </w:r>
      <w:r>
        <w:rPr>
          <w:sz w:val="22"/>
        </w:rPr>
        <w:t>longer-term</w:t>
      </w:r>
      <w:r>
        <w:rPr>
          <w:spacing w:val="-4"/>
          <w:sz w:val="22"/>
        </w:rPr>
        <w:t> </w:t>
      </w:r>
      <w:r>
        <w:rPr>
          <w:sz w:val="22"/>
        </w:rPr>
        <w:t>aspiration</w:t>
      </w:r>
      <w:r>
        <w:rPr>
          <w:spacing w:val="-3"/>
          <w:sz w:val="22"/>
        </w:rPr>
        <w:t> </w:t>
      </w:r>
      <w:r>
        <w:rPr>
          <w:sz w:val="22"/>
        </w:rPr>
        <w:t>of</w:t>
      </w:r>
      <w:r>
        <w:rPr>
          <w:spacing w:val="-1"/>
          <w:sz w:val="22"/>
        </w:rPr>
        <w:t> </w:t>
      </w:r>
      <w:r>
        <w:rPr>
          <w:sz w:val="22"/>
        </w:rPr>
        <w:t>more</w:t>
      </w:r>
      <w:r>
        <w:rPr>
          <w:spacing w:val="-5"/>
          <w:sz w:val="22"/>
        </w:rPr>
        <w:t> </w:t>
      </w:r>
      <w:r>
        <w:rPr>
          <w:sz w:val="22"/>
        </w:rPr>
        <w:t>'outcomes-based'</w:t>
      </w:r>
      <w:r>
        <w:rPr>
          <w:spacing w:val="-4"/>
          <w:sz w:val="22"/>
        </w:rPr>
        <w:t> </w:t>
      </w:r>
      <w:r>
        <w:rPr>
          <w:sz w:val="22"/>
        </w:rPr>
        <w:t>regulation</w:t>
      </w:r>
      <w:r>
        <w:rPr>
          <w:spacing w:val="-1"/>
          <w:sz w:val="22"/>
        </w:rPr>
        <w:t> </w:t>
      </w:r>
      <w:r>
        <w:rPr>
          <w:sz w:val="22"/>
        </w:rPr>
        <w:t>and</w:t>
      </w:r>
      <w:r>
        <w:rPr>
          <w:spacing w:val="-5"/>
          <w:sz w:val="22"/>
        </w:rPr>
        <w:t> </w:t>
      </w:r>
      <w:r>
        <w:rPr>
          <w:sz w:val="22"/>
        </w:rPr>
        <w:t>less</w:t>
      </w:r>
      <w:r>
        <w:rPr>
          <w:spacing w:val="-5"/>
          <w:sz w:val="22"/>
        </w:rPr>
        <w:t> </w:t>
      </w:r>
      <w:r>
        <w:rPr>
          <w:sz w:val="22"/>
        </w:rPr>
        <w:t>prescriptive regulation – but only when there is deep confidence established in the maturity of the safety-case based regulatory framework</w:t>
      </w:r>
    </w:p>
    <w:p>
      <w:pPr>
        <w:pStyle w:val="BodyText"/>
        <w:tabs>
          <w:tab w:pos="1286" w:val="left" w:leader="none"/>
        </w:tabs>
        <w:spacing w:before="4"/>
        <w:ind w:left="1001"/>
      </w:pPr>
      <w:r>
        <w:rPr>
          <w:spacing w:val="-10"/>
        </w:rPr>
        <w:t>:</w:t>
      </w:r>
      <w:r>
        <w:rPr/>
        <w:tab/>
        <w:t>the</w:t>
      </w:r>
      <w:r>
        <w:rPr>
          <w:spacing w:val="-6"/>
        </w:rPr>
        <w:t> </w:t>
      </w:r>
      <w:r>
        <w:rPr/>
        <w:t>onus</w:t>
      </w:r>
      <w:r>
        <w:rPr>
          <w:spacing w:val="-6"/>
        </w:rPr>
        <w:t> </w:t>
      </w:r>
      <w:r>
        <w:rPr/>
        <w:t>is</w:t>
      </w:r>
      <w:r>
        <w:rPr>
          <w:spacing w:val="-3"/>
        </w:rPr>
        <w:t> </w:t>
      </w:r>
      <w:r>
        <w:rPr/>
        <w:t>on</w:t>
      </w:r>
      <w:r>
        <w:rPr>
          <w:spacing w:val="-5"/>
        </w:rPr>
        <w:t> </w:t>
      </w:r>
      <w:r>
        <w:rPr/>
        <w:t>network</w:t>
      </w:r>
      <w:r>
        <w:rPr>
          <w:spacing w:val="-1"/>
        </w:rPr>
        <w:t> </w:t>
      </w:r>
      <w:r>
        <w:rPr/>
        <w:t>businesses</w:t>
      </w:r>
      <w:r>
        <w:rPr>
          <w:spacing w:val="-4"/>
        </w:rPr>
        <w:t> </w:t>
      </w:r>
      <w:r>
        <w:rPr/>
        <w:t>and</w:t>
      </w:r>
      <w:r>
        <w:rPr>
          <w:spacing w:val="-4"/>
        </w:rPr>
        <w:t> </w:t>
      </w:r>
      <w:r>
        <w:rPr/>
        <w:t>ESV</w:t>
      </w:r>
      <w:r>
        <w:rPr>
          <w:spacing w:val="-7"/>
        </w:rPr>
        <w:t> </w:t>
      </w:r>
      <w:r>
        <w:rPr/>
        <w:t>collectively</w:t>
      </w:r>
      <w:r>
        <w:rPr>
          <w:spacing w:val="-5"/>
        </w:rPr>
        <w:t> </w:t>
      </w:r>
      <w:r>
        <w:rPr/>
        <w:t>to</w:t>
      </w:r>
      <w:r>
        <w:rPr>
          <w:spacing w:val="-4"/>
        </w:rPr>
        <w:t> </w:t>
      </w:r>
      <w:r>
        <w:rPr/>
        <w:t>build</w:t>
      </w:r>
      <w:r>
        <w:rPr>
          <w:spacing w:val="-4"/>
        </w:rPr>
        <w:t> </w:t>
      </w:r>
      <w:r>
        <w:rPr/>
        <w:t>this</w:t>
      </w:r>
      <w:r>
        <w:rPr>
          <w:spacing w:val="-5"/>
        </w:rPr>
        <w:t> </w:t>
      </w:r>
      <w:r>
        <w:rPr>
          <w:spacing w:val="-2"/>
        </w:rPr>
        <w:t>confidence</w:t>
      </w:r>
    </w:p>
    <w:p>
      <w:pPr>
        <w:pStyle w:val="BodyText"/>
        <w:rPr>
          <w:sz w:val="24"/>
        </w:rPr>
      </w:pPr>
    </w:p>
    <w:p>
      <w:pPr>
        <w:pStyle w:val="Heading7"/>
        <w:numPr>
          <w:ilvl w:val="0"/>
          <w:numId w:val="1"/>
        </w:numPr>
        <w:tabs>
          <w:tab w:pos="633" w:val="left" w:leader="none"/>
        </w:tabs>
        <w:spacing w:line="240" w:lineRule="auto" w:before="138" w:after="0"/>
        <w:ind w:left="633" w:right="0" w:hanging="341"/>
        <w:jc w:val="left"/>
      </w:pPr>
      <w:r>
        <w:rPr/>
        <w:t>Better</w:t>
      </w:r>
      <w:r>
        <w:rPr>
          <w:spacing w:val="-8"/>
        </w:rPr>
        <w:t> </w:t>
      </w:r>
      <w:r>
        <w:rPr/>
        <w:t>guidance</w:t>
      </w:r>
      <w:r>
        <w:rPr>
          <w:spacing w:val="-5"/>
        </w:rPr>
        <w:t> </w:t>
      </w:r>
      <w:r>
        <w:rPr/>
        <w:t>to</w:t>
      </w:r>
      <w:r>
        <w:rPr>
          <w:spacing w:val="-6"/>
        </w:rPr>
        <w:t> </w:t>
      </w:r>
      <w:r>
        <w:rPr/>
        <w:t>network</w:t>
      </w:r>
      <w:r>
        <w:rPr>
          <w:spacing w:val="-5"/>
        </w:rPr>
        <w:t> </w:t>
      </w:r>
      <w:r>
        <w:rPr/>
        <w:t>businesses</w:t>
      </w:r>
      <w:r>
        <w:rPr>
          <w:spacing w:val="-6"/>
        </w:rPr>
        <w:t> </w:t>
      </w:r>
      <w:r>
        <w:rPr/>
        <w:t>and</w:t>
      </w:r>
      <w:r>
        <w:rPr>
          <w:spacing w:val="-4"/>
        </w:rPr>
        <w:t> </w:t>
      </w:r>
      <w:r>
        <w:rPr/>
        <w:t>sharing</w:t>
      </w:r>
      <w:r>
        <w:rPr>
          <w:spacing w:val="-3"/>
        </w:rPr>
        <w:t> </w:t>
      </w:r>
      <w:r>
        <w:rPr/>
        <w:t>of</w:t>
      </w:r>
      <w:r>
        <w:rPr>
          <w:spacing w:val="-3"/>
        </w:rPr>
        <w:t> </w:t>
      </w:r>
      <w:r>
        <w:rPr/>
        <w:t>best</w:t>
      </w:r>
      <w:r>
        <w:rPr>
          <w:spacing w:val="-2"/>
        </w:rPr>
        <w:t> practices</w:t>
      </w:r>
    </w:p>
    <w:p>
      <w:pPr>
        <w:pStyle w:val="ListParagraph"/>
        <w:numPr>
          <w:ilvl w:val="1"/>
          <w:numId w:val="1"/>
        </w:numPr>
        <w:tabs>
          <w:tab w:pos="971" w:val="left" w:leader="none"/>
        </w:tabs>
        <w:spacing w:line="240" w:lineRule="auto" w:before="112" w:after="0"/>
        <w:ind w:left="971" w:right="0" w:hanging="337"/>
        <w:jc w:val="left"/>
        <w:rPr>
          <w:rFonts w:ascii="Courier New" w:hAnsi="Courier New"/>
          <w:sz w:val="22"/>
        </w:rPr>
      </w:pPr>
      <w:r>
        <w:rPr>
          <w:sz w:val="22"/>
        </w:rPr>
        <w:t>helping</w:t>
      </w:r>
      <w:r>
        <w:rPr>
          <w:spacing w:val="-7"/>
          <w:sz w:val="22"/>
        </w:rPr>
        <w:t> </w:t>
      </w:r>
      <w:r>
        <w:rPr>
          <w:sz w:val="22"/>
        </w:rPr>
        <w:t>network</w:t>
      </w:r>
      <w:r>
        <w:rPr>
          <w:spacing w:val="-4"/>
          <w:sz w:val="22"/>
        </w:rPr>
        <w:t> </w:t>
      </w:r>
      <w:r>
        <w:rPr>
          <w:sz w:val="22"/>
        </w:rPr>
        <w:t>businesses</w:t>
      </w:r>
      <w:r>
        <w:rPr>
          <w:spacing w:val="-7"/>
          <w:sz w:val="22"/>
        </w:rPr>
        <w:t> </w:t>
      </w:r>
      <w:r>
        <w:rPr>
          <w:sz w:val="22"/>
        </w:rPr>
        <w:t>to</w:t>
      </w:r>
      <w:r>
        <w:rPr>
          <w:spacing w:val="-8"/>
          <w:sz w:val="22"/>
        </w:rPr>
        <w:t> </w:t>
      </w:r>
      <w:r>
        <w:rPr>
          <w:sz w:val="22"/>
        </w:rPr>
        <w:t>efficiently</w:t>
      </w:r>
      <w:r>
        <w:rPr>
          <w:spacing w:val="-9"/>
          <w:sz w:val="22"/>
        </w:rPr>
        <w:t> </w:t>
      </w:r>
      <w:r>
        <w:rPr>
          <w:sz w:val="22"/>
        </w:rPr>
        <w:t>comply</w:t>
      </w:r>
      <w:r>
        <w:rPr>
          <w:spacing w:val="-8"/>
          <w:sz w:val="22"/>
        </w:rPr>
        <w:t> </w:t>
      </w:r>
      <w:r>
        <w:rPr>
          <w:sz w:val="22"/>
        </w:rPr>
        <w:t>with</w:t>
      </w:r>
      <w:r>
        <w:rPr>
          <w:spacing w:val="-7"/>
          <w:sz w:val="22"/>
        </w:rPr>
        <w:t> </w:t>
      </w:r>
      <w:r>
        <w:rPr>
          <w:sz w:val="22"/>
        </w:rPr>
        <w:t>safety</w:t>
      </w:r>
      <w:r>
        <w:rPr>
          <w:spacing w:val="-8"/>
          <w:sz w:val="22"/>
        </w:rPr>
        <w:t> </w:t>
      </w:r>
      <w:r>
        <w:rPr>
          <w:sz w:val="22"/>
        </w:rPr>
        <w:t>regulation</w:t>
      </w:r>
      <w:r>
        <w:rPr>
          <w:spacing w:val="-8"/>
          <w:sz w:val="22"/>
        </w:rPr>
        <w:t> </w:t>
      </w:r>
      <w:r>
        <w:rPr>
          <w:spacing w:val="-2"/>
          <w:sz w:val="22"/>
        </w:rPr>
        <w:t>requirements</w:t>
      </w:r>
    </w:p>
    <w:p>
      <w:pPr>
        <w:pStyle w:val="ListParagraph"/>
        <w:numPr>
          <w:ilvl w:val="1"/>
          <w:numId w:val="1"/>
        </w:numPr>
        <w:tabs>
          <w:tab w:pos="970" w:val="left" w:leader="none"/>
          <w:tab w:pos="972" w:val="left" w:leader="none"/>
        </w:tabs>
        <w:spacing w:line="266" w:lineRule="auto" w:before="90" w:after="0"/>
        <w:ind w:left="972" w:right="681" w:hanging="339"/>
        <w:jc w:val="left"/>
        <w:rPr>
          <w:rFonts w:ascii="Courier New" w:hAnsi="Courier New"/>
          <w:sz w:val="22"/>
        </w:rPr>
      </w:pPr>
      <w:r>
        <w:rPr>
          <w:sz w:val="22"/>
        </w:rPr>
        <w:t>using</w:t>
      </w:r>
      <w:r>
        <w:rPr>
          <w:spacing w:val="-1"/>
          <w:sz w:val="22"/>
        </w:rPr>
        <w:t> </w:t>
      </w:r>
      <w:r>
        <w:rPr>
          <w:sz w:val="22"/>
        </w:rPr>
        <w:t>ESV's</w:t>
      </w:r>
      <w:r>
        <w:rPr>
          <w:spacing w:val="-5"/>
          <w:sz w:val="22"/>
        </w:rPr>
        <w:t> </w:t>
      </w:r>
      <w:r>
        <w:rPr>
          <w:sz w:val="22"/>
        </w:rPr>
        <w:t>'convening</w:t>
      </w:r>
      <w:r>
        <w:rPr>
          <w:spacing w:val="-3"/>
          <w:sz w:val="22"/>
        </w:rPr>
        <w:t> </w:t>
      </w:r>
      <w:r>
        <w:rPr>
          <w:sz w:val="22"/>
        </w:rPr>
        <w:t>power',</w:t>
      </w:r>
      <w:r>
        <w:rPr>
          <w:spacing w:val="-1"/>
          <w:sz w:val="22"/>
        </w:rPr>
        <w:t> </w:t>
      </w:r>
      <w:r>
        <w:rPr>
          <w:sz w:val="22"/>
        </w:rPr>
        <w:t>and</w:t>
      </w:r>
      <w:r>
        <w:rPr>
          <w:spacing w:val="-3"/>
          <w:sz w:val="22"/>
        </w:rPr>
        <w:t> </w:t>
      </w:r>
      <w:r>
        <w:rPr>
          <w:sz w:val="22"/>
        </w:rPr>
        <w:t>its</w:t>
      </w:r>
      <w:r>
        <w:rPr>
          <w:spacing w:val="-2"/>
          <w:sz w:val="22"/>
        </w:rPr>
        <w:t> </w:t>
      </w:r>
      <w:r>
        <w:rPr>
          <w:sz w:val="22"/>
        </w:rPr>
        <w:t>national</w:t>
      </w:r>
      <w:r>
        <w:rPr>
          <w:spacing w:val="-4"/>
          <w:sz w:val="22"/>
        </w:rPr>
        <w:t> </w:t>
      </w:r>
      <w:r>
        <w:rPr>
          <w:sz w:val="22"/>
        </w:rPr>
        <w:t>leadership</w:t>
      </w:r>
      <w:r>
        <w:rPr>
          <w:spacing w:val="-3"/>
          <w:sz w:val="22"/>
        </w:rPr>
        <w:t> </w:t>
      </w:r>
      <w:r>
        <w:rPr>
          <w:sz w:val="22"/>
        </w:rPr>
        <w:t>position,</w:t>
      </w:r>
      <w:r>
        <w:rPr>
          <w:spacing w:val="-6"/>
          <w:sz w:val="22"/>
        </w:rPr>
        <w:t> </w:t>
      </w:r>
      <w:r>
        <w:rPr>
          <w:sz w:val="22"/>
        </w:rPr>
        <w:t>to</w:t>
      </w:r>
      <w:r>
        <w:rPr>
          <w:spacing w:val="-3"/>
          <w:sz w:val="22"/>
        </w:rPr>
        <w:t> </w:t>
      </w:r>
      <w:r>
        <w:rPr>
          <w:sz w:val="22"/>
        </w:rPr>
        <w:t>identify</w:t>
      </w:r>
      <w:r>
        <w:rPr>
          <w:spacing w:val="-5"/>
          <w:sz w:val="22"/>
        </w:rPr>
        <w:t> </w:t>
      </w:r>
      <w:r>
        <w:rPr>
          <w:sz w:val="22"/>
        </w:rPr>
        <w:t>and</w:t>
      </w:r>
      <w:r>
        <w:rPr>
          <w:spacing w:val="-3"/>
          <w:sz w:val="22"/>
        </w:rPr>
        <w:t> </w:t>
      </w:r>
      <w:r>
        <w:rPr>
          <w:sz w:val="22"/>
        </w:rPr>
        <w:t>share best practices</w:t>
      </w:r>
    </w:p>
    <w:p>
      <w:pPr>
        <w:pStyle w:val="BodyText"/>
        <w:spacing w:before="9"/>
        <w:rPr>
          <w:sz w:val="33"/>
        </w:rPr>
      </w:pPr>
    </w:p>
    <w:p>
      <w:pPr>
        <w:pStyle w:val="Heading7"/>
        <w:numPr>
          <w:ilvl w:val="0"/>
          <w:numId w:val="1"/>
        </w:numPr>
        <w:tabs>
          <w:tab w:pos="633" w:val="left" w:leader="none"/>
        </w:tabs>
        <w:spacing w:line="240" w:lineRule="auto" w:before="0" w:after="0"/>
        <w:ind w:left="633" w:right="0" w:hanging="341"/>
        <w:jc w:val="left"/>
      </w:pPr>
      <w:r>
        <w:rPr/>
        <w:t>Position</w:t>
      </w:r>
      <w:r>
        <w:rPr>
          <w:spacing w:val="-10"/>
        </w:rPr>
        <w:t> </w:t>
      </w:r>
      <w:r>
        <w:rPr/>
        <w:t>ESV</w:t>
      </w:r>
      <w:r>
        <w:rPr>
          <w:spacing w:val="-4"/>
        </w:rPr>
        <w:t> </w:t>
      </w:r>
      <w:r>
        <w:rPr/>
        <w:t>as</w:t>
      </w:r>
      <w:r>
        <w:rPr>
          <w:spacing w:val="-6"/>
        </w:rPr>
        <w:t> </w:t>
      </w:r>
      <w:r>
        <w:rPr/>
        <w:t>a</w:t>
      </w:r>
      <w:r>
        <w:rPr>
          <w:spacing w:val="-6"/>
        </w:rPr>
        <w:t> </w:t>
      </w:r>
      <w:r>
        <w:rPr/>
        <w:t>modern</w:t>
      </w:r>
      <w:r>
        <w:rPr>
          <w:spacing w:val="-4"/>
        </w:rPr>
        <w:t> </w:t>
      </w:r>
      <w:r>
        <w:rPr/>
        <w:t>and</w:t>
      </w:r>
      <w:r>
        <w:rPr>
          <w:spacing w:val="-4"/>
        </w:rPr>
        <w:t> </w:t>
      </w:r>
      <w:r>
        <w:rPr/>
        <w:t>progressive</w:t>
      </w:r>
      <w:r>
        <w:rPr>
          <w:spacing w:val="-5"/>
        </w:rPr>
        <w:t> </w:t>
      </w:r>
      <w:r>
        <w:rPr/>
        <w:t>regulator</w:t>
      </w:r>
      <w:r>
        <w:rPr>
          <w:spacing w:val="-5"/>
        </w:rPr>
        <w:t> </w:t>
      </w:r>
      <w:r>
        <w:rPr/>
        <w:t>looking</w:t>
      </w:r>
      <w:r>
        <w:rPr>
          <w:spacing w:val="-4"/>
        </w:rPr>
        <w:t> </w:t>
      </w:r>
      <w:r>
        <w:rPr/>
        <w:t>over</w:t>
      </w:r>
      <w:r>
        <w:rPr>
          <w:spacing w:val="-6"/>
        </w:rPr>
        <w:t> </w:t>
      </w:r>
      <w:r>
        <w:rPr/>
        <w:t>the</w:t>
      </w:r>
      <w:r>
        <w:rPr>
          <w:spacing w:val="-4"/>
        </w:rPr>
        <w:t> </w:t>
      </w:r>
      <w:r>
        <w:rPr>
          <w:spacing w:val="-2"/>
        </w:rPr>
        <w:t>horizon</w:t>
      </w:r>
    </w:p>
    <w:p>
      <w:pPr>
        <w:pStyle w:val="ListParagraph"/>
        <w:numPr>
          <w:ilvl w:val="1"/>
          <w:numId w:val="1"/>
        </w:numPr>
        <w:tabs>
          <w:tab w:pos="971" w:val="left" w:leader="none"/>
        </w:tabs>
        <w:spacing w:line="240" w:lineRule="auto" w:before="113" w:after="0"/>
        <w:ind w:left="971" w:right="0" w:hanging="337"/>
        <w:jc w:val="left"/>
        <w:rPr>
          <w:rFonts w:ascii="Courier New" w:hAnsi="Courier New"/>
          <w:sz w:val="22"/>
        </w:rPr>
      </w:pPr>
      <w:r>
        <w:rPr>
          <w:sz w:val="22"/>
        </w:rPr>
        <w:t>to</w:t>
      </w:r>
      <w:r>
        <w:rPr>
          <w:spacing w:val="-8"/>
          <w:sz w:val="22"/>
        </w:rPr>
        <w:t> </w:t>
      </w:r>
      <w:r>
        <w:rPr>
          <w:sz w:val="22"/>
        </w:rPr>
        <w:t>anticipate</w:t>
      </w:r>
      <w:r>
        <w:rPr>
          <w:spacing w:val="-8"/>
          <w:sz w:val="22"/>
        </w:rPr>
        <w:t> </w:t>
      </w:r>
      <w:r>
        <w:rPr>
          <w:sz w:val="22"/>
        </w:rPr>
        <w:t>the</w:t>
      </w:r>
      <w:r>
        <w:rPr>
          <w:spacing w:val="-6"/>
          <w:sz w:val="22"/>
        </w:rPr>
        <w:t> </w:t>
      </w:r>
      <w:r>
        <w:rPr>
          <w:sz w:val="22"/>
        </w:rPr>
        <w:t>challenges</w:t>
      </w:r>
      <w:r>
        <w:rPr>
          <w:spacing w:val="-5"/>
          <w:sz w:val="22"/>
        </w:rPr>
        <w:t> </w:t>
      </w:r>
      <w:r>
        <w:rPr>
          <w:sz w:val="22"/>
        </w:rPr>
        <w:t>and</w:t>
      </w:r>
      <w:r>
        <w:rPr>
          <w:spacing w:val="-5"/>
          <w:sz w:val="22"/>
        </w:rPr>
        <w:t> </w:t>
      </w:r>
      <w:r>
        <w:rPr>
          <w:sz w:val="22"/>
        </w:rPr>
        <w:t>opportunities</w:t>
      </w:r>
      <w:r>
        <w:rPr>
          <w:spacing w:val="-6"/>
          <w:sz w:val="22"/>
        </w:rPr>
        <w:t> </w:t>
      </w:r>
      <w:r>
        <w:rPr>
          <w:sz w:val="22"/>
        </w:rPr>
        <w:t>of</w:t>
      </w:r>
      <w:r>
        <w:rPr>
          <w:spacing w:val="-4"/>
          <w:sz w:val="22"/>
        </w:rPr>
        <w:t> </w:t>
      </w:r>
      <w:r>
        <w:rPr>
          <w:sz w:val="22"/>
        </w:rPr>
        <w:t>new</w:t>
      </w:r>
      <w:r>
        <w:rPr>
          <w:spacing w:val="-9"/>
          <w:sz w:val="22"/>
        </w:rPr>
        <w:t> </w:t>
      </w:r>
      <w:r>
        <w:rPr>
          <w:sz w:val="22"/>
        </w:rPr>
        <w:t>energy</w:t>
      </w:r>
      <w:r>
        <w:rPr>
          <w:spacing w:val="-7"/>
          <w:sz w:val="22"/>
        </w:rPr>
        <w:t> </w:t>
      </w:r>
      <w:r>
        <w:rPr>
          <w:spacing w:val="-2"/>
          <w:sz w:val="22"/>
        </w:rPr>
        <w:t>markets</w:t>
      </w:r>
    </w:p>
    <w:p>
      <w:pPr>
        <w:pStyle w:val="ListParagraph"/>
        <w:numPr>
          <w:ilvl w:val="1"/>
          <w:numId w:val="1"/>
        </w:numPr>
        <w:tabs>
          <w:tab w:pos="971" w:val="left" w:leader="none"/>
        </w:tabs>
        <w:spacing w:line="240" w:lineRule="auto" w:before="90" w:after="0"/>
        <w:ind w:left="971" w:right="0" w:hanging="337"/>
        <w:jc w:val="left"/>
        <w:rPr>
          <w:rFonts w:ascii="Courier New" w:hAnsi="Courier New"/>
          <w:sz w:val="22"/>
        </w:rPr>
      </w:pPr>
      <w:r>
        <w:rPr>
          <w:sz w:val="22"/>
        </w:rPr>
        <w:t>and</w:t>
      </w:r>
      <w:r>
        <w:rPr>
          <w:spacing w:val="-5"/>
          <w:sz w:val="22"/>
        </w:rPr>
        <w:t> </w:t>
      </w:r>
      <w:r>
        <w:rPr>
          <w:sz w:val="22"/>
        </w:rPr>
        <w:t>assist</w:t>
      </w:r>
      <w:r>
        <w:rPr>
          <w:spacing w:val="-5"/>
          <w:sz w:val="22"/>
        </w:rPr>
        <w:t> </w:t>
      </w:r>
      <w:r>
        <w:rPr>
          <w:sz w:val="22"/>
        </w:rPr>
        <w:t>the</w:t>
      </w:r>
      <w:r>
        <w:rPr>
          <w:spacing w:val="-6"/>
          <w:sz w:val="22"/>
        </w:rPr>
        <w:t> </w:t>
      </w:r>
      <w:r>
        <w:rPr>
          <w:sz w:val="22"/>
        </w:rPr>
        <w:t>economic</w:t>
      </w:r>
      <w:r>
        <w:rPr>
          <w:spacing w:val="-6"/>
          <w:sz w:val="22"/>
        </w:rPr>
        <w:t> </w:t>
      </w:r>
      <w:r>
        <w:rPr>
          <w:sz w:val="22"/>
        </w:rPr>
        <w:t>regulator</w:t>
      </w:r>
      <w:r>
        <w:rPr>
          <w:spacing w:val="-5"/>
          <w:sz w:val="22"/>
        </w:rPr>
        <w:t> </w:t>
      </w:r>
      <w:r>
        <w:rPr>
          <w:sz w:val="22"/>
        </w:rPr>
        <w:t>as</w:t>
      </w:r>
      <w:r>
        <w:rPr>
          <w:spacing w:val="-4"/>
          <w:sz w:val="22"/>
        </w:rPr>
        <w:t> </w:t>
      </w:r>
      <w:r>
        <w:rPr>
          <w:sz w:val="22"/>
        </w:rPr>
        <w:t>a</w:t>
      </w:r>
      <w:r>
        <w:rPr>
          <w:spacing w:val="-6"/>
          <w:sz w:val="22"/>
        </w:rPr>
        <w:t> </w:t>
      </w:r>
      <w:r>
        <w:rPr>
          <w:sz w:val="22"/>
        </w:rPr>
        <w:t>trusted</w:t>
      </w:r>
      <w:r>
        <w:rPr>
          <w:spacing w:val="-4"/>
          <w:sz w:val="22"/>
        </w:rPr>
        <w:t> </w:t>
      </w:r>
      <w:r>
        <w:rPr>
          <w:sz w:val="22"/>
        </w:rPr>
        <w:t>and</w:t>
      </w:r>
      <w:r>
        <w:rPr>
          <w:spacing w:val="-4"/>
          <w:sz w:val="22"/>
        </w:rPr>
        <w:t> </w:t>
      </w:r>
      <w:r>
        <w:rPr>
          <w:sz w:val="22"/>
        </w:rPr>
        <w:t>expert</w:t>
      </w:r>
      <w:r>
        <w:rPr>
          <w:spacing w:val="-2"/>
          <w:sz w:val="22"/>
        </w:rPr>
        <w:t> </w:t>
      </w:r>
      <w:r>
        <w:rPr>
          <w:sz w:val="22"/>
        </w:rPr>
        <w:t>safety</w:t>
      </w:r>
      <w:r>
        <w:rPr>
          <w:spacing w:val="-6"/>
          <w:sz w:val="22"/>
        </w:rPr>
        <w:t> </w:t>
      </w:r>
      <w:r>
        <w:rPr>
          <w:spacing w:val="-2"/>
          <w:sz w:val="22"/>
        </w:rPr>
        <w:t>adviser</w:t>
      </w:r>
    </w:p>
    <w:p>
      <w:pPr>
        <w:pStyle w:val="BodyText"/>
        <w:spacing w:before="3"/>
        <w:rPr>
          <w:sz w:val="34"/>
        </w:rPr>
      </w:pPr>
    </w:p>
    <w:p>
      <w:pPr>
        <w:pStyle w:val="Heading7"/>
        <w:numPr>
          <w:ilvl w:val="0"/>
          <w:numId w:val="1"/>
        </w:numPr>
        <w:tabs>
          <w:tab w:pos="634" w:val="left" w:leader="none"/>
        </w:tabs>
        <w:spacing w:line="288" w:lineRule="auto" w:before="0" w:after="0"/>
        <w:ind w:left="634" w:right="2262" w:hanging="342"/>
        <w:jc w:val="left"/>
      </w:pPr>
      <w:r>
        <w:rPr/>
        <w:t>Strong</w:t>
      </w:r>
      <w:r>
        <w:rPr>
          <w:spacing w:val="-3"/>
        </w:rPr>
        <w:t> </w:t>
      </w:r>
      <w:r>
        <w:rPr/>
        <w:t>accountability</w:t>
      </w:r>
      <w:r>
        <w:rPr>
          <w:spacing w:val="-7"/>
        </w:rPr>
        <w:t> </w:t>
      </w:r>
      <w:r>
        <w:rPr/>
        <w:t>for</w:t>
      </w:r>
      <w:r>
        <w:rPr>
          <w:spacing w:val="-2"/>
        </w:rPr>
        <w:t> </w:t>
      </w:r>
      <w:r>
        <w:rPr/>
        <w:t>implementation</w:t>
      </w:r>
      <w:r>
        <w:rPr>
          <w:spacing w:val="-6"/>
        </w:rPr>
        <w:t> </w:t>
      </w:r>
      <w:r>
        <w:rPr/>
        <w:t>of</w:t>
      </w:r>
      <w:r>
        <w:rPr>
          <w:spacing w:val="-4"/>
        </w:rPr>
        <w:t> </w:t>
      </w:r>
      <w:r>
        <w:rPr/>
        <w:t>actions</w:t>
      </w:r>
      <w:r>
        <w:rPr>
          <w:spacing w:val="-5"/>
        </w:rPr>
        <w:t> </w:t>
      </w:r>
      <w:r>
        <w:rPr/>
        <w:t>in</w:t>
      </w:r>
      <w:r>
        <w:rPr>
          <w:spacing w:val="-2"/>
        </w:rPr>
        <w:t> </w:t>
      </w:r>
      <w:r>
        <w:rPr/>
        <w:t>response</w:t>
      </w:r>
      <w:r>
        <w:rPr>
          <w:spacing w:val="-5"/>
        </w:rPr>
        <w:t> </w:t>
      </w:r>
      <w:r>
        <w:rPr/>
        <w:t>to</w:t>
      </w:r>
      <w:r>
        <w:rPr>
          <w:spacing w:val="-5"/>
        </w:rPr>
        <w:t> </w:t>
      </w:r>
      <w:r>
        <w:rPr/>
        <w:t>the recommendations of this Review following government consideration</w:t>
      </w:r>
    </w:p>
    <w:p>
      <w:pPr>
        <w:pStyle w:val="ListParagraph"/>
        <w:numPr>
          <w:ilvl w:val="1"/>
          <w:numId w:val="1"/>
        </w:numPr>
        <w:tabs>
          <w:tab w:pos="971" w:val="left" w:leader="none"/>
        </w:tabs>
        <w:spacing w:line="240" w:lineRule="auto" w:before="62" w:after="0"/>
        <w:ind w:left="971" w:right="0" w:hanging="337"/>
        <w:jc w:val="left"/>
        <w:rPr>
          <w:rFonts w:ascii="Courier New" w:hAnsi="Courier New"/>
          <w:sz w:val="26"/>
        </w:rPr>
      </w:pPr>
      <w:r>
        <w:rPr>
          <w:sz w:val="22"/>
        </w:rPr>
        <w:t>implementation</w:t>
      </w:r>
      <w:r>
        <w:rPr>
          <w:spacing w:val="-5"/>
          <w:sz w:val="22"/>
        </w:rPr>
        <w:t> </w:t>
      </w:r>
      <w:r>
        <w:rPr>
          <w:sz w:val="22"/>
        </w:rPr>
        <w:t>reporting</w:t>
      </w:r>
      <w:r>
        <w:rPr>
          <w:spacing w:val="-5"/>
          <w:sz w:val="22"/>
        </w:rPr>
        <w:t> </w:t>
      </w:r>
      <w:r>
        <w:rPr>
          <w:sz w:val="22"/>
        </w:rPr>
        <w:t>must</w:t>
      </w:r>
      <w:r>
        <w:rPr>
          <w:spacing w:val="-3"/>
          <w:sz w:val="22"/>
        </w:rPr>
        <w:t> </w:t>
      </w:r>
      <w:r>
        <w:rPr>
          <w:sz w:val="22"/>
        </w:rPr>
        <w:t>not</w:t>
      </w:r>
      <w:r>
        <w:rPr>
          <w:spacing w:val="-6"/>
          <w:sz w:val="22"/>
        </w:rPr>
        <w:t> </w:t>
      </w:r>
      <w:r>
        <w:rPr>
          <w:sz w:val="22"/>
        </w:rPr>
        <w:t>be</w:t>
      </w:r>
      <w:r>
        <w:rPr>
          <w:spacing w:val="-5"/>
          <w:sz w:val="22"/>
        </w:rPr>
        <w:t> </w:t>
      </w:r>
      <w:r>
        <w:rPr>
          <w:sz w:val="22"/>
        </w:rPr>
        <w:t>a</w:t>
      </w:r>
      <w:r>
        <w:rPr>
          <w:spacing w:val="-7"/>
          <w:sz w:val="22"/>
        </w:rPr>
        <w:t> </w:t>
      </w:r>
      <w:r>
        <w:rPr>
          <w:sz w:val="22"/>
        </w:rPr>
        <w:t>'box</w:t>
      </w:r>
      <w:r>
        <w:rPr>
          <w:spacing w:val="-7"/>
          <w:sz w:val="22"/>
        </w:rPr>
        <w:t> </w:t>
      </w:r>
      <w:r>
        <w:rPr>
          <w:sz w:val="22"/>
        </w:rPr>
        <w:t>ticking'</w:t>
      </w:r>
      <w:r>
        <w:rPr>
          <w:spacing w:val="-3"/>
          <w:sz w:val="22"/>
        </w:rPr>
        <w:t> </w:t>
      </w:r>
      <w:r>
        <w:rPr>
          <w:spacing w:val="-2"/>
          <w:sz w:val="22"/>
        </w:rPr>
        <w:t>exercise</w:t>
      </w:r>
    </w:p>
    <w:p>
      <w:pPr>
        <w:spacing w:after="0" w:line="240" w:lineRule="auto"/>
        <w:jc w:val="left"/>
        <w:rPr>
          <w:rFonts w:ascii="Courier New" w:hAnsi="Courier New"/>
          <w:sz w:val="26"/>
        </w:rPr>
        <w:sectPr>
          <w:pgSz w:w="11910" w:h="16850"/>
          <w:pgMar w:header="465" w:footer="880" w:top="660" w:bottom="1060" w:left="840" w:right="820"/>
        </w:sectPr>
      </w:pPr>
    </w:p>
    <w:p>
      <w:pPr>
        <w:pStyle w:val="BodyText"/>
        <w:rPr>
          <w:sz w:val="20"/>
        </w:rPr>
      </w:pPr>
    </w:p>
    <w:p>
      <w:pPr>
        <w:pStyle w:val="BodyText"/>
        <w:rPr>
          <w:sz w:val="20"/>
        </w:rPr>
      </w:pPr>
    </w:p>
    <w:p>
      <w:pPr>
        <w:pStyle w:val="Heading3"/>
        <w:spacing w:before="259"/>
        <w:ind w:left="292"/>
      </w:pPr>
      <w:bookmarkStart w:name="_bookmark1" w:id="2"/>
      <w:bookmarkEnd w:id="2"/>
      <w:r>
        <w:rPr>
          <w:b w:val="0"/>
        </w:rPr>
      </w:r>
      <w:r>
        <w:rPr>
          <w:color w:val="00B1A9"/>
        </w:rPr>
        <w:t>Executive</w:t>
      </w:r>
      <w:r>
        <w:rPr>
          <w:color w:val="00B1A9"/>
          <w:spacing w:val="-12"/>
        </w:rPr>
        <w:t> </w:t>
      </w:r>
      <w:r>
        <w:rPr>
          <w:color w:val="00B1A9"/>
          <w:spacing w:val="-2"/>
        </w:rPr>
        <w:t>Summary</w:t>
      </w:r>
    </w:p>
    <w:p>
      <w:pPr>
        <w:pStyle w:val="BodyText"/>
        <w:spacing w:before="2"/>
        <w:rPr>
          <w:b/>
          <w:sz w:val="39"/>
        </w:rPr>
      </w:pPr>
    </w:p>
    <w:p>
      <w:pPr>
        <w:pStyle w:val="Heading4"/>
        <w:spacing w:before="0"/>
        <w:ind w:left="292"/>
      </w:pPr>
      <w:r>
        <w:rPr>
          <w:color w:val="585858"/>
          <w:spacing w:val="-2"/>
        </w:rPr>
        <w:t>Context</w:t>
      </w:r>
    </w:p>
    <w:p>
      <w:pPr>
        <w:pStyle w:val="BodyText"/>
        <w:spacing w:line="288" w:lineRule="auto" w:before="314"/>
        <w:ind w:left="292"/>
      </w:pPr>
      <w:r>
        <w:rPr/>
        <w:t>Energy</w:t>
      </w:r>
      <w:r>
        <w:rPr>
          <w:spacing w:val="-4"/>
        </w:rPr>
        <w:t> </w:t>
      </w:r>
      <w:r>
        <w:rPr/>
        <w:t>network</w:t>
      </w:r>
      <w:r>
        <w:rPr>
          <w:spacing w:val="-1"/>
        </w:rPr>
        <w:t> </w:t>
      </w:r>
      <w:r>
        <w:rPr/>
        <w:t>safety</w:t>
      </w:r>
      <w:r>
        <w:rPr>
          <w:spacing w:val="-4"/>
        </w:rPr>
        <w:t> </w:t>
      </w:r>
      <w:r>
        <w:rPr/>
        <w:t>has</w:t>
      </w:r>
      <w:r>
        <w:rPr>
          <w:spacing w:val="-2"/>
        </w:rPr>
        <w:t> </w:t>
      </w:r>
      <w:r>
        <w:rPr/>
        <w:t>long</w:t>
      </w:r>
      <w:r>
        <w:rPr>
          <w:spacing w:val="-2"/>
        </w:rPr>
        <w:t> </w:t>
      </w:r>
      <w:r>
        <w:rPr/>
        <w:t>been</w:t>
      </w:r>
      <w:r>
        <w:rPr>
          <w:spacing w:val="-4"/>
        </w:rPr>
        <w:t> </w:t>
      </w:r>
      <w:r>
        <w:rPr/>
        <w:t>a</w:t>
      </w:r>
      <w:r>
        <w:rPr>
          <w:spacing w:val="-2"/>
        </w:rPr>
        <w:t> </w:t>
      </w:r>
      <w:r>
        <w:rPr/>
        <w:t>concern</w:t>
      </w:r>
      <w:r>
        <w:rPr>
          <w:spacing w:val="-4"/>
        </w:rPr>
        <w:t> </w:t>
      </w:r>
      <w:r>
        <w:rPr/>
        <w:t>for</w:t>
      </w:r>
      <w:r>
        <w:rPr>
          <w:spacing w:val="-3"/>
        </w:rPr>
        <w:t> </w:t>
      </w:r>
      <w:r>
        <w:rPr/>
        <w:t>the</w:t>
      </w:r>
      <w:r>
        <w:rPr>
          <w:spacing w:val="-2"/>
        </w:rPr>
        <w:t> </w:t>
      </w:r>
      <w:r>
        <w:rPr/>
        <w:t>Victorian</w:t>
      </w:r>
      <w:r>
        <w:rPr>
          <w:spacing w:val="-2"/>
        </w:rPr>
        <w:t> </w:t>
      </w:r>
      <w:r>
        <w:rPr/>
        <w:t>community</w:t>
      </w:r>
      <w:r>
        <w:rPr>
          <w:spacing w:val="-4"/>
        </w:rPr>
        <w:t> </w:t>
      </w:r>
      <w:r>
        <w:rPr/>
        <w:t>and</w:t>
      </w:r>
      <w:r>
        <w:rPr>
          <w:spacing w:val="-2"/>
        </w:rPr>
        <w:t> </w:t>
      </w:r>
      <w:r>
        <w:rPr/>
        <w:t>a high</w:t>
      </w:r>
      <w:r>
        <w:rPr>
          <w:spacing w:val="-4"/>
        </w:rPr>
        <w:t> </w:t>
      </w:r>
      <w:r>
        <w:rPr/>
        <w:t>priority</w:t>
      </w:r>
      <w:r>
        <w:rPr>
          <w:spacing w:val="-6"/>
        </w:rPr>
        <w:t> </w:t>
      </w:r>
      <w:r>
        <w:rPr/>
        <w:t>for successive Victorian governments.</w:t>
      </w:r>
    </w:p>
    <w:p>
      <w:pPr>
        <w:pStyle w:val="BodyText"/>
        <w:spacing w:before="10"/>
        <w:rPr>
          <w:sz w:val="20"/>
        </w:rPr>
      </w:pPr>
    </w:p>
    <w:p>
      <w:pPr>
        <w:pStyle w:val="BodyText"/>
        <w:spacing w:line="288" w:lineRule="auto"/>
        <w:ind w:left="292" w:right="374"/>
      </w:pPr>
      <w:r>
        <w:rPr/>
        <w:t>The Longford gas explosion in 1998, while occurring in a production facility outside the transmission</w:t>
      </w:r>
      <w:r>
        <w:rPr>
          <w:spacing w:val="-3"/>
        </w:rPr>
        <w:t> </w:t>
      </w:r>
      <w:r>
        <w:rPr/>
        <w:t>and</w:t>
      </w:r>
      <w:r>
        <w:rPr>
          <w:spacing w:val="-5"/>
        </w:rPr>
        <w:t> </w:t>
      </w:r>
      <w:r>
        <w:rPr/>
        <w:t>distribution</w:t>
      </w:r>
      <w:r>
        <w:rPr>
          <w:spacing w:val="-3"/>
        </w:rPr>
        <w:t> </w:t>
      </w:r>
      <w:r>
        <w:rPr/>
        <w:t>network itself,</w:t>
      </w:r>
      <w:r>
        <w:rPr>
          <w:spacing w:val="-4"/>
        </w:rPr>
        <w:t> </w:t>
      </w:r>
      <w:r>
        <w:rPr/>
        <w:t>highlighted</w:t>
      </w:r>
      <w:r>
        <w:rPr>
          <w:spacing w:val="-5"/>
        </w:rPr>
        <w:t> </w:t>
      </w:r>
      <w:r>
        <w:rPr/>
        <w:t>the</w:t>
      </w:r>
      <w:r>
        <w:rPr>
          <w:spacing w:val="-3"/>
        </w:rPr>
        <w:t> </w:t>
      </w:r>
      <w:r>
        <w:rPr/>
        <w:t>impacts</w:t>
      </w:r>
      <w:r>
        <w:rPr>
          <w:spacing w:val="-4"/>
        </w:rPr>
        <w:t> </w:t>
      </w:r>
      <w:r>
        <w:rPr/>
        <w:t>of</w:t>
      </w:r>
      <w:r>
        <w:rPr>
          <w:spacing w:val="-1"/>
        </w:rPr>
        <w:t> </w:t>
      </w:r>
      <w:r>
        <w:rPr/>
        <w:t>a</w:t>
      </w:r>
      <w:r>
        <w:rPr>
          <w:spacing w:val="-5"/>
        </w:rPr>
        <w:t> </w:t>
      </w:r>
      <w:r>
        <w:rPr/>
        <w:t>major</w:t>
      </w:r>
      <w:r>
        <w:rPr>
          <w:spacing w:val="-4"/>
        </w:rPr>
        <w:t> </w:t>
      </w:r>
      <w:r>
        <w:rPr/>
        <w:t>accident</w:t>
      </w:r>
      <w:r>
        <w:rPr>
          <w:spacing w:val="-4"/>
        </w:rPr>
        <w:t> </w:t>
      </w:r>
      <w:r>
        <w:rPr/>
        <w:t>disrupting gas supply to the state, and emphasised the dangers that workers in the gas industry face.</w:t>
      </w:r>
    </w:p>
    <w:p>
      <w:pPr>
        <w:pStyle w:val="BodyText"/>
        <w:spacing w:before="9"/>
        <w:rPr>
          <w:sz w:val="20"/>
        </w:rPr>
      </w:pPr>
    </w:p>
    <w:p>
      <w:pPr>
        <w:pStyle w:val="BodyText"/>
        <w:spacing w:line="288" w:lineRule="auto"/>
        <w:ind w:left="292" w:right="311"/>
      </w:pPr>
      <w:r>
        <w:rPr/>
        <w:t>The</w:t>
      </w:r>
      <w:r>
        <w:rPr>
          <w:spacing w:val="-4"/>
        </w:rPr>
        <w:t> </w:t>
      </w:r>
      <w:r>
        <w:rPr/>
        <w:t>Black</w:t>
      </w:r>
      <w:r>
        <w:rPr>
          <w:spacing w:val="-2"/>
        </w:rPr>
        <w:t> </w:t>
      </w:r>
      <w:r>
        <w:rPr/>
        <w:t>Saturday</w:t>
      </w:r>
      <w:r>
        <w:rPr>
          <w:spacing w:val="-4"/>
        </w:rPr>
        <w:t> </w:t>
      </w:r>
      <w:r>
        <w:rPr/>
        <w:t>bushfires</w:t>
      </w:r>
      <w:r>
        <w:rPr>
          <w:spacing w:val="-2"/>
        </w:rPr>
        <w:t> </w:t>
      </w:r>
      <w:r>
        <w:rPr/>
        <w:t>in</w:t>
      </w:r>
      <w:r>
        <w:rPr>
          <w:spacing w:val="-4"/>
        </w:rPr>
        <w:t> </w:t>
      </w:r>
      <w:r>
        <w:rPr/>
        <w:t>February</w:t>
      </w:r>
      <w:r>
        <w:rPr>
          <w:spacing w:val="-4"/>
        </w:rPr>
        <w:t> </w:t>
      </w:r>
      <w:r>
        <w:rPr/>
        <w:t>2009</w:t>
      </w:r>
      <w:r>
        <w:rPr>
          <w:spacing w:val="-2"/>
        </w:rPr>
        <w:t> </w:t>
      </w:r>
      <w:r>
        <w:rPr/>
        <w:t>brought</w:t>
      </w:r>
      <w:r>
        <w:rPr>
          <w:spacing w:val="-3"/>
        </w:rPr>
        <w:t> </w:t>
      </w:r>
      <w:r>
        <w:rPr/>
        <w:t>electricity</w:t>
      </w:r>
      <w:r>
        <w:rPr>
          <w:spacing w:val="-4"/>
        </w:rPr>
        <w:t> </w:t>
      </w:r>
      <w:r>
        <w:rPr/>
        <w:t>network</w:t>
      </w:r>
      <w:r>
        <w:rPr>
          <w:spacing w:val="-1"/>
        </w:rPr>
        <w:t> </w:t>
      </w:r>
      <w:r>
        <w:rPr/>
        <w:t>safety</w:t>
      </w:r>
      <w:r>
        <w:rPr>
          <w:spacing w:val="-4"/>
        </w:rPr>
        <w:t> </w:t>
      </w:r>
      <w:r>
        <w:rPr/>
        <w:t>concerns</w:t>
      </w:r>
      <w:r>
        <w:rPr>
          <w:spacing w:val="-6"/>
        </w:rPr>
        <w:t> </w:t>
      </w:r>
      <w:r>
        <w:rPr/>
        <w:t>to</w:t>
      </w:r>
      <w:r>
        <w:rPr>
          <w:spacing w:val="-4"/>
        </w:rPr>
        <w:t> </w:t>
      </w:r>
      <w:r>
        <w:rPr/>
        <w:t>the fore, particularly as most of the 173 lives lost that day were ultimately linked with fires initially sparked by faults in electricity lines running through tinder-dry bushland.</w:t>
      </w:r>
    </w:p>
    <w:p>
      <w:pPr>
        <w:pStyle w:val="BodyText"/>
        <w:rPr>
          <w:sz w:val="21"/>
        </w:rPr>
      </w:pPr>
    </w:p>
    <w:p>
      <w:pPr>
        <w:pStyle w:val="BodyText"/>
        <w:spacing w:line="288" w:lineRule="auto"/>
        <w:ind w:left="292"/>
      </w:pPr>
      <w:r>
        <w:rPr/>
        <w:t>Both</w:t>
      </w:r>
      <w:r>
        <w:rPr>
          <w:spacing w:val="-2"/>
        </w:rPr>
        <w:t> </w:t>
      </w:r>
      <w:r>
        <w:rPr/>
        <w:t>the</w:t>
      </w:r>
      <w:r>
        <w:rPr>
          <w:spacing w:val="-3"/>
        </w:rPr>
        <w:t> </w:t>
      </w:r>
      <w:r>
        <w:rPr/>
        <w:t>Longford</w:t>
      </w:r>
      <w:r>
        <w:rPr>
          <w:spacing w:val="-4"/>
        </w:rPr>
        <w:t> </w:t>
      </w:r>
      <w:r>
        <w:rPr/>
        <w:t>and</w:t>
      </w:r>
      <w:r>
        <w:rPr>
          <w:spacing w:val="-3"/>
        </w:rPr>
        <w:t> </w:t>
      </w:r>
      <w:r>
        <w:rPr/>
        <w:t>Black</w:t>
      </w:r>
      <w:r>
        <w:rPr>
          <w:spacing w:val="-3"/>
        </w:rPr>
        <w:t> </w:t>
      </w:r>
      <w:r>
        <w:rPr/>
        <w:t>Saturday</w:t>
      </w:r>
      <w:r>
        <w:rPr>
          <w:spacing w:val="-4"/>
        </w:rPr>
        <w:t> </w:t>
      </w:r>
      <w:r>
        <w:rPr/>
        <w:t>incidents</w:t>
      </w:r>
      <w:r>
        <w:rPr>
          <w:spacing w:val="-2"/>
        </w:rPr>
        <w:t> </w:t>
      </w:r>
      <w:r>
        <w:rPr/>
        <w:t>were</w:t>
      </w:r>
      <w:r>
        <w:rPr>
          <w:spacing w:val="-2"/>
        </w:rPr>
        <w:t> </w:t>
      </w:r>
      <w:r>
        <w:rPr/>
        <w:t>examined</w:t>
      </w:r>
      <w:r>
        <w:rPr>
          <w:spacing w:val="-3"/>
        </w:rPr>
        <w:t> </w:t>
      </w:r>
      <w:r>
        <w:rPr/>
        <w:t>by</w:t>
      </w:r>
      <w:r>
        <w:rPr>
          <w:spacing w:val="-4"/>
        </w:rPr>
        <w:t> </w:t>
      </w:r>
      <w:r>
        <w:rPr/>
        <w:t>Royal</w:t>
      </w:r>
      <w:r>
        <w:rPr>
          <w:spacing w:val="-4"/>
        </w:rPr>
        <w:t> </w:t>
      </w:r>
      <w:r>
        <w:rPr/>
        <w:t>Commissions,</w:t>
      </w:r>
      <w:r>
        <w:rPr>
          <w:spacing w:val="-4"/>
        </w:rPr>
        <w:t> </w:t>
      </w:r>
      <w:r>
        <w:rPr/>
        <w:t>and</w:t>
      </w:r>
      <w:r>
        <w:rPr>
          <w:spacing w:val="-4"/>
        </w:rPr>
        <w:t> </w:t>
      </w:r>
      <w:r>
        <w:rPr/>
        <w:t>the recommendations from those Royal Commissions have influenced the development of safety frameworks for Major Hazard Facilities and energy networks in Victoria.</w:t>
      </w:r>
    </w:p>
    <w:p>
      <w:pPr>
        <w:pStyle w:val="BodyText"/>
        <w:spacing w:before="9"/>
        <w:rPr>
          <w:sz w:val="20"/>
        </w:rPr>
      </w:pPr>
    </w:p>
    <w:p>
      <w:pPr>
        <w:pStyle w:val="BodyText"/>
        <w:spacing w:line="288" w:lineRule="auto"/>
        <w:ind w:left="292"/>
      </w:pPr>
      <w:r>
        <w:rPr/>
        <w:t>This</w:t>
      </w:r>
      <w:r>
        <w:rPr>
          <w:spacing w:val="-2"/>
        </w:rPr>
        <w:t> </w:t>
      </w:r>
      <w:r>
        <w:rPr/>
        <w:t>Review</w:t>
      </w:r>
      <w:r>
        <w:rPr>
          <w:spacing w:val="-5"/>
        </w:rPr>
        <w:t> </w:t>
      </w:r>
      <w:r>
        <w:rPr/>
        <w:t>examines</w:t>
      </w:r>
      <w:r>
        <w:rPr>
          <w:spacing w:val="-2"/>
        </w:rPr>
        <w:t> </w:t>
      </w:r>
      <w:r>
        <w:rPr/>
        <w:t>the</w:t>
      </w:r>
      <w:r>
        <w:rPr>
          <w:spacing w:val="-3"/>
        </w:rPr>
        <w:t> </w:t>
      </w:r>
      <w:r>
        <w:rPr/>
        <w:t>safety</w:t>
      </w:r>
      <w:r>
        <w:rPr>
          <w:spacing w:val="-7"/>
        </w:rPr>
        <w:t> </w:t>
      </w:r>
      <w:r>
        <w:rPr/>
        <w:t>frameworks</w:t>
      </w:r>
      <w:r>
        <w:rPr>
          <w:spacing w:val="-2"/>
        </w:rPr>
        <w:t> </w:t>
      </w:r>
      <w:r>
        <w:rPr/>
        <w:t>applying</w:t>
      </w:r>
      <w:r>
        <w:rPr>
          <w:spacing w:val="-1"/>
        </w:rPr>
        <w:t> </w:t>
      </w:r>
      <w:r>
        <w:rPr/>
        <w:t>to</w:t>
      </w:r>
      <w:r>
        <w:rPr>
          <w:spacing w:val="-3"/>
        </w:rPr>
        <w:t> </w:t>
      </w:r>
      <w:r>
        <w:rPr/>
        <w:t>electricity</w:t>
      </w:r>
      <w:r>
        <w:rPr>
          <w:spacing w:val="-5"/>
        </w:rPr>
        <w:t> </w:t>
      </w:r>
      <w:r>
        <w:rPr/>
        <w:t>and</w:t>
      </w:r>
      <w:r>
        <w:rPr>
          <w:spacing w:val="-5"/>
        </w:rPr>
        <w:t> </w:t>
      </w:r>
      <w:r>
        <w:rPr/>
        <w:t>gas</w:t>
      </w:r>
      <w:r>
        <w:rPr>
          <w:spacing w:val="-2"/>
        </w:rPr>
        <w:t> </w:t>
      </w:r>
      <w:r>
        <w:rPr/>
        <w:t>networks</w:t>
      </w:r>
      <w:r>
        <w:rPr>
          <w:spacing w:val="-2"/>
        </w:rPr>
        <w:t> </w:t>
      </w:r>
      <w:r>
        <w:rPr/>
        <w:t>in</w:t>
      </w:r>
      <w:r>
        <w:rPr>
          <w:spacing w:val="-5"/>
        </w:rPr>
        <w:t> </w:t>
      </w:r>
      <w:r>
        <w:rPr/>
        <w:t>Victoria administered by the safety regulator, Energy Safe Victoria (ESV).</w:t>
      </w:r>
    </w:p>
    <w:p>
      <w:pPr>
        <w:pStyle w:val="BodyText"/>
        <w:spacing w:before="10"/>
        <w:rPr>
          <w:sz w:val="20"/>
        </w:rPr>
      </w:pPr>
    </w:p>
    <w:p>
      <w:pPr>
        <w:pStyle w:val="BodyText"/>
        <w:spacing w:line="288" w:lineRule="auto"/>
        <w:ind w:left="292" w:right="910"/>
      </w:pPr>
      <w:r>
        <w:rPr/>
        <w:t>While the safety regime applying to Major Hazard Facilities is outside the scope of the Review, there</w:t>
      </w:r>
      <w:r>
        <w:rPr>
          <w:spacing w:val="-2"/>
        </w:rPr>
        <w:t> </w:t>
      </w:r>
      <w:r>
        <w:rPr/>
        <w:t>are</w:t>
      </w:r>
      <w:r>
        <w:rPr>
          <w:spacing w:val="-2"/>
        </w:rPr>
        <w:t> </w:t>
      </w:r>
      <w:r>
        <w:rPr/>
        <w:t>some</w:t>
      </w:r>
      <w:r>
        <w:rPr>
          <w:spacing w:val="-4"/>
        </w:rPr>
        <w:t> </w:t>
      </w:r>
      <w:r>
        <w:rPr/>
        <w:t>close</w:t>
      </w:r>
      <w:r>
        <w:rPr>
          <w:spacing w:val="-2"/>
        </w:rPr>
        <w:t> </w:t>
      </w:r>
      <w:r>
        <w:rPr/>
        <w:t>connections</w:t>
      </w:r>
      <w:r>
        <w:rPr>
          <w:spacing w:val="-4"/>
        </w:rPr>
        <w:t> </w:t>
      </w:r>
      <w:r>
        <w:rPr/>
        <w:t>in</w:t>
      </w:r>
      <w:r>
        <w:rPr>
          <w:spacing w:val="-4"/>
        </w:rPr>
        <w:t> </w:t>
      </w:r>
      <w:r>
        <w:rPr/>
        <w:t>the</w:t>
      </w:r>
      <w:r>
        <w:rPr>
          <w:spacing w:val="-4"/>
        </w:rPr>
        <w:t> </w:t>
      </w:r>
      <w:r>
        <w:rPr/>
        <w:t>way</w:t>
      </w:r>
      <w:r>
        <w:rPr>
          <w:spacing w:val="-4"/>
        </w:rPr>
        <w:t> </w:t>
      </w:r>
      <w:r>
        <w:rPr/>
        <w:t>safety</w:t>
      </w:r>
      <w:r>
        <w:rPr>
          <w:spacing w:val="-4"/>
        </w:rPr>
        <w:t> </w:t>
      </w:r>
      <w:r>
        <w:rPr/>
        <w:t>regulation</w:t>
      </w:r>
      <w:r>
        <w:rPr>
          <w:spacing w:val="-2"/>
        </w:rPr>
        <w:t> </w:t>
      </w:r>
      <w:r>
        <w:rPr/>
        <w:t>in</w:t>
      </w:r>
      <w:r>
        <w:rPr>
          <w:spacing w:val="-4"/>
        </w:rPr>
        <w:t> </w:t>
      </w:r>
      <w:r>
        <w:rPr/>
        <w:t>the</w:t>
      </w:r>
      <w:r>
        <w:rPr>
          <w:spacing w:val="-2"/>
        </w:rPr>
        <w:t> </w:t>
      </w:r>
      <w:r>
        <w:rPr/>
        <w:t>two</w:t>
      </w:r>
      <w:r>
        <w:rPr>
          <w:spacing w:val="-2"/>
        </w:rPr>
        <w:t> </w:t>
      </w:r>
      <w:r>
        <w:rPr/>
        <w:t>areas</w:t>
      </w:r>
      <w:r>
        <w:rPr>
          <w:spacing w:val="-4"/>
        </w:rPr>
        <w:t> </w:t>
      </w:r>
      <w:r>
        <w:rPr/>
        <w:t>has</w:t>
      </w:r>
    </w:p>
    <w:p>
      <w:pPr>
        <w:pStyle w:val="BodyText"/>
        <w:spacing w:line="288" w:lineRule="auto" w:before="1"/>
        <w:ind w:left="292"/>
      </w:pPr>
      <w:r>
        <w:rPr/>
        <w:t>developed</w:t>
      </w:r>
      <w:r>
        <w:rPr>
          <w:spacing w:val="-2"/>
        </w:rPr>
        <w:t> </w:t>
      </w:r>
      <w:r>
        <w:rPr/>
        <w:t>in</w:t>
      </w:r>
      <w:r>
        <w:rPr>
          <w:spacing w:val="-2"/>
        </w:rPr>
        <w:t> </w:t>
      </w:r>
      <w:r>
        <w:rPr/>
        <w:t>Victoria</w:t>
      </w:r>
      <w:r>
        <w:rPr>
          <w:spacing w:val="-2"/>
        </w:rPr>
        <w:t> </w:t>
      </w:r>
      <w:r>
        <w:rPr/>
        <w:t>over</w:t>
      </w:r>
      <w:r>
        <w:rPr>
          <w:spacing w:val="-3"/>
        </w:rPr>
        <w:t> </w:t>
      </w:r>
      <w:r>
        <w:rPr/>
        <w:t>the</w:t>
      </w:r>
      <w:r>
        <w:rPr>
          <w:spacing w:val="-2"/>
        </w:rPr>
        <w:t> </w:t>
      </w:r>
      <w:r>
        <w:rPr/>
        <w:t>past</w:t>
      </w:r>
      <w:r>
        <w:rPr>
          <w:spacing w:val="-3"/>
        </w:rPr>
        <w:t> </w:t>
      </w:r>
      <w:r>
        <w:rPr/>
        <w:t>two</w:t>
      </w:r>
      <w:r>
        <w:rPr>
          <w:spacing w:val="-2"/>
        </w:rPr>
        <w:t> </w:t>
      </w:r>
      <w:r>
        <w:rPr/>
        <w:t>decades,</w:t>
      </w:r>
      <w:r>
        <w:rPr>
          <w:spacing w:val="-3"/>
        </w:rPr>
        <w:t> </w:t>
      </w:r>
      <w:r>
        <w:rPr/>
        <w:t>particularly</w:t>
      </w:r>
      <w:r>
        <w:rPr>
          <w:spacing w:val="-4"/>
        </w:rPr>
        <w:t> </w:t>
      </w:r>
      <w:r>
        <w:rPr/>
        <w:t>with</w:t>
      </w:r>
      <w:r>
        <w:rPr>
          <w:spacing w:val="-2"/>
        </w:rPr>
        <w:t> </w:t>
      </w:r>
      <w:r>
        <w:rPr/>
        <w:t>the</w:t>
      </w:r>
      <w:r>
        <w:rPr>
          <w:spacing w:val="-2"/>
        </w:rPr>
        <w:t> </w:t>
      </w:r>
      <w:r>
        <w:rPr/>
        <w:t>adoption</w:t>
      </w:r>
      <w:r>
        <w:rPr>
          <w:spacing w:val="-2"/>
        </w:rPr>
        <w:t> </w:t>
      </w:r>
      <w:r>
        <w:rPr/>
        <w:t>of so-called</w:t>
      </w:r>
      <w:r>
        <w:rPr>
          <w:spacing w:val="-1"/>
        </w:rPr>
        <w:t> </w:t>
      </w:r>
      <w:r>
        <w:rPr/>
        <w:t>“safety case” systems of regulation.</w:t>
      </w:r>
    </w:p>
    <w:p>
      <w:pPr>
        <w:pStyle w:val="BodyText"/>
        <w:spacing w:before="10"/>
        <w:rPr>
          <w:sz w:val="20"/>
        </w:rPr>
      </w:pPr>
    </w:p>
    <w:p>
      <w:pPr>
        <w:pStyle w:val="BodyText"/>
        <w:spacing w:line="288" w:lineRule="auto"/>
        <w:ind w:left="292"/>
      </w:pPr>
      <w:r>
        <w:rPr/>
        <w:t>The</w:t>
      </w:r>
      <w:r>
        <w:rPr>
          <w:spacing w:val="-5"/>
        </w:rPr>
        <w:t> </w:t>
      </w:r>
      <w:r>
        <w:rPr/>
        <w:t>Review</w:t>
      </w:r>
      <w:r>
        <w:rPr>
          <w:spacing w:val="-3"/>
        </w:rPr>
        <w:t> </w:t>
      </w:r>
      <w:r>
        <w:rPr/>
        <w:t>was</w:t>
      </w:r>
      <w:r>
        <w:rPr>
          <w:spacing w:val="-3"/>
        </w:rPr>
        <w:t> </w:t>
      </w:r>
      <w:r>
        <w:rPr/>
        <w:t>commissioned</w:t>
      </w:r>
      <w:r>
        <w:rPr>
          <w:spacing w:val="-3"/>
        </w:rPr>
        <w:t> </w:t>
      </w:r>
      <w:r>
        <w:rPr/>
        <w:t>by</w:t>
      </w:r>
      <w:r>
        <w:rPr>
          <w:spacing w:val="-5"/>
        </w:rPr>
        <w:t> </w:t>
      </w:r>
      <w:r>
        <w:rPr/>
        <w:t>the</w:t>
      </w:r>
      <w:r>
        <w:rPr>
          <w:spacing w:val="-3"/>
        </w:rPr>
        <w:t> </w:t>
      </w:r>
      <w:r>
        <w:rPr/>
        <w:t>Minister</w:t>
      </w:r>
      <w:r>
        <w:rPr>
          <w:spacing w:val="-4"/>
        </w:rPr>
        <w:t> </w:t>
      </w:r>
      <w:r>
        <w:rPr/>
        <w:t>for</w:t>
      </w:r>
      <w:r>
        <w:rPr>
          <w:spacing w:val="-2"/>
        </w:rPr>
        <w:t> </w:t>
      </w:r>
      <w:r>
        <w:rPr/>
        <w:t>Energy,</w:t>
      </w:r>
      <w:r>
        <w:rPr>
          <w:spacing w:val="-4"/>
        </w:rPr>
        <w:t> </w:t>
      </w:r>
      <w:r>
        <w:rPr/>
        <w:t>Environment</w:t>
      </w:r>
      <w:r>
        <w:rPr>
          <w:spacing w:val="-4"/>
        </w:rPr>
        <w:t> </w:t>
      </w:r>
      <w:r>
        <w:rPr/>
        <w:t>and</w:t>
      </w:r>
      <w:r>
        <w:rPr>
          <w:spacing w:val="-3"/>
        </w:rPr>
        <w:t> </w:t>
      </w:r>
      <w:r>
        <w:rPr/>
        <w:t>Climate</w:t>
      </w:r>
      <w:r>
        <w:rPr>
          <w:spacing w:val="-2"/>
        </w:rPr>
        <w:t> </w:t>
      </w:r>
      <w:r>
        <w:rPr/>
        <w:t>Change</w:t>
      </w:r>
      <w:r>
        <w:rPr>
          <w:spacing w:val="-5"/>
        </w:rPr>
        <w:t> </w:t>
      </w:r>
      <w:r>
        <w:rPr/>
        <w:t>in January 2017, and was required to present its Final Report by the end of 2017.</w:t>
      </w:r>
    </w:p>
    <w:p>
      <w:pPr>
        <w:pStyle w:val="BodyText"/>
        <w:spacing w:before="10"/>
        <w:rPr>
          <w:sz w:val="20"/>
        </w:rPr>
      </w:pPr>
    </w:p>
    <w:p>
      <w:pPr>
        <w:pStyle w:val="BodyText"/>
        <w:spacing w:line="288" w:lineRule="auto"/>
        <w:ind w:left="292" w:right="374"/>
      </w:pPr>
      <w:r>
        <w:rPr/>
        <w:t>This Final Report presents the Review's findings and recommendations. In developing the Final Report, the</w:t>
      </w:r>
      <w:r>
        <w:rPr>
          <w:spacing w:val="-1"/>
        </w:rPr>
        <w:t> </w:t>
      </w:r>
      <w:r>
        <w:rPr/>
        <w:t>Review</w:t>
      </w:r>
      <w:r>
        <w:rPr>
          <w:spacing w:val="-2"/>
        </w:rPr>
        <w:t> </w:t>
      </w:r>
      <w:r>
        <w:rPr/>
        <w:t>considered submissions provided by interested groups</w:t>
      </w:r>
      <w:r>
        <w:rPr>
          <w:spacing w:val="-1"/>
        </w:rPr>
        <w:t> </w:t>
      </w:r>
      <w:r>
        <w:rPr/>
        <w:t>on</w:t>
      </w:r>
      <w:r>
        <w:rPr>
          <w:spacing w:val="-1"/>
        </w:rPr>
        <w:t> </w:t>
      </w:r>
      <w:r>
        <w:rPr/>
        <w:t>the</w:t>
      </w:r>
      <w:r>
        <w:rPr>
          <w:spacing w:val="-1"/>
        </w:rPr>
        <w:t> </w:t>
      </w:r>
      <w:r>
        <w:rPr/>
        <w:t>Interim Report, released</w:t>
      </w:r>
      <w:r>
        <w:rPr>
          <w:spacing w:val="-1"/>
        </w:rPr>
        <w:t> </w:t>
      </w:r>
      <w:r>
        <w:rPr/>
        <w:t>on</w:t>
      </w:r>
      <w:r>
        <w:rPr>
          <w:spacing w:val="-2"/>
        </w:rPr>
        <w:t> </w:t>
      </w:r>
      <w:r>
        <w:rPr/>
        <w:t>31</w:t>
      </w:r>
      <w:r>
        <w:rPr>
          <w:spacing w:val="-7"/>
        </w:rPr>
        <w:t> </w:t>
      </w:r>
      <w:r>
        <w:rPr/>
        <w:t>October</w:t>
      </w:r>
      <w:r>
        <w:rPr>
          <w:spacing w:val="-2"/>
        </w:rPr>
        <w:t> </w:t>
      </w:r>
      <w:r>
        <w:rPr/>
        <w:t>2017.</w:t>
      </w:r>
      <w:r>
        <w:rPr>
          <w:spacing w:val="-2"/>
        </w:rPr>
        <w:t> </w:t>
      </w:r>
      <w:r>
        <w:rPr/>
        <w:t>The</w:t>
      </w:r>
      <w:r>
        <w:rPr>
          <w:spacing w:val="-4"/>
        </w:rPr>
        <w:t> </w:t>
      </w:r>
      <w:r>
        <w:rPr/>
        <w:t>Review</w:t>
      </w:r>
      <w:r>
        <w:rPr>
          <w:spacing w:val="-5"/>
        </w:rPr>
        <w:t> </w:t>
      </w:r>
      <w:r>
        <w:rPr/>
        <w:t>team</w:t>
      </w:r>
      <w:r>
        <w:rPr>
          <w:spacing w:val="-3"/>
        </w:rPr>
        <w:t> </w:t>
      </w:r>
      <w:r>
        <w:rPr/>
        <w:t>wishes</w:t>
      </w:r>
      <w:r>
        <w:rPr>
          <w:spacing w:val="-1"/>
        </w:rPr>
        <w:t> </w:t>
      </w:r>
      <w:r>
        <w:rPr/>
        <w:t>to</w:t>
      </w:r>
      <w:r>
        <w:rPr>
          <w:spacing w:val="-4"/>
        </w:rPr>
        <w:t> </w:t>
      </w:r>
      <w:r>
        <w:rPr/>
        <w:t>thank</w:t>
      </w:r>
      <w:r>
        <w:rPr>
          <w:spacing w:val="-1"/>
        </w:rPr>
        <w:t> </w:t>
      </w:r>
      <w:r>
        <w:rPr/>
        <w:t>all</w:t>
      </w:r>
      <w:r>
        <w:rPr>
          <w:spacing w:val="-2"/>
        </w:rPr>
        <w:t> </w:t>
      </w:r>
      <w:r>
        <w:rPr/>
        <w:t>stakeholders</w:t>
      </w:r>
      <w:r>
        <w:rPr>
          <w:spacing w:val="-1"/>
        </w:rPr>
        <w:t> </w:t>
      </w:r>
      <w:r>
        <w:rPr/>
        <w:t>who</w:t>
      </w:r>
      <w:r>
        <w:rPr>
          <w:spacing w:val="-2"/>
        </w:rPr>
        <w:t> </w:t>
      </w:r>
      <w:r>
        <w:rPr/>
        <w:t>contributed to the Review.</w:t>
      </w:r>
    </w:p>
    <w:p>
      <w:pPr>
        <w:pStyle w:val="BodyText"/>
        <w:spacing w:before="3"/>
        <w:rPr>
          <w:sz w:val="31"/>
        </w:rPr>
      </w:pPr>
    </w:p>
    <w:p>
      <w:pPr>
        <w:pStyle w:val="Heading4"/>
        <w:spacing w:before="0"/>
        <w:ind w:left="292"/>
      </w:pPr>
      <w:r>
        <w:rPr>
          <w:color w:val="585858"/>
        </w:rPr>
        <w:t>Approach</w:t>
      </w:r>
      <w:r>
        <w:rPr>
          <w:color w:val="585858"/>
          <w:spacing w:val="-8"/>
        </w:rPr>
        <w:t> </w:t>
      </w:r>
      <w:r>
        <w:rPr>
          <w:color w:val="585858"/>
        </w:rPr>
        <w:t>of</w:t>
      </w:r>
      <w:r>
        <w:rPr>
          <w:color w:val="585858"/>
          <w:spacing w:val="-9"/>
        </w:rPr>
        <w:t> </w:t>
      </w:r>
      <w:r>
        <w:rPr>
          <w:color w:val="585858"/>
        </w:rPr>
        <w:t>the</w:t>
      </w:r>
      <w:r>
        <w:rPr>
          <w:color w:val="585858"/>
          <w:spacing w:val="-5"/>
        </w:rPr>
        <w:t> </w:t>
      </w:r>
      <w:r>
        <w:rPr>
          <w:color w:val="585858"/>
          <w:spacing w:val="-2"/>
        </w:rPr>
        <w:t>Review</w:t>
      </w:r>
    </w:p>
    <w:p>
      <w:pPr>
        <w:pStyle w:val="BodyText"/>
        <w:spacing w:before="5"/>
        <w:rPr>
          <w:b/>
          <w:sz w:val="28"/>
        </w:rPr>
      </w:pPr>
    </w:p>
    <w:p>
      <w:pPr>
        <w:pStyle w:val="BodyText"/>
        <w:ind w:left="292"/>
      </w:pPr>
      <w:r>
        <w:rPr/>
        <w:t>The</w:t>
      </w:r>
      <w:r>
        <w:rPr>
          <w:spacing w:val="-6"/>
        </w:rPr>
        <w:t> </w:t>
      </w:r>
      <w:r>
        <w:rPr/>
        <w:t>Review</w:t>
      </w:r>
      <w:r>
        <w:rPr>
          <w:spacing w:val="-7"/>
        </w:rPr>
        <w:t> </w:t>
      </w:r>
      <w:r>
        <w:rPr/>
        <w:t>has</w:t>
      </w:r>
      <w:r>
        <w:rPr>
          <w:spacing w:val="-3"/>
        </w:rPr>
        <w:t> </w:t>
      </w:r>
      <w:r>
        <w:rPr/>
        <w:t>centred</w:t>
      </w:r>
      <w:r>
        <w:rPr>
          <w:spacing w:val="-8"/>
        </w:rPr>
        <w:t> </w:t>
      </w:r>
      <w:r>
        <w:rPr/>
        <w:t>its</w:t>
      </w:r>
      <w:r>
        <w:rPr>
          <w:spacing w:val="-3"/>
        </w:rPr>
        <w:t> </w:t>
      </w:r>
      <w:r>
        <w:rPr/>
        <w:t>consideration</w:t>
      </w:r>
      <w:r>
        <w:rPr>
          <w:spacing w:val="-4"/>
        </w:rPr>
        <w:t> </w:t>
      </w:r>
      <w:r>
        <w:rPr/>
        <w:t>around</w:t>
      </w:r>
      <w:r>
        <w:rPr>
          <w:spacing w:val="-6"/>
        </w:rPr>
        <w:t> </w:t>
      </w:r>
      <w:r>
        <w:rPr/>
        <w:t>two</w:t>
      </w:r>
      <w:r>
        <w:rPr>
          <w:spacing w:val="-4"/>
        </w:rPr>
        <w:t> </w:t>
      </w:r>
      <w:r>
        <w:rPr/>
        <w:t>key</w:t>
      </w:r>
      <w:r>
        <w:rPr>
          <w:spacing w:val="-7"/>
        </w:rPr>
        <w:t> </w:t>
      </w:r>
      <w:r>
        <w:rPr>
          <w:spacing w:val="-2"/>
        </w:rPr>
        <w:t>questions:</w:t>
      </w:r>
    </w:p>
    <w:p>
      <w:pPr>
        <w:pStyle w:val="BodyText"/>
        <w:spacing w:before="2"/>
      </w:pPr>
    </w:p>
    <w:p>
      <w:pPr>
        <w:pStyle w:val="ListParagraph"/>
        <w:numPr>
          <w:ilvl w:val="0"/>
          <w:numId w:val="2"/>
        </w:numPr>
        <w:tabs>
          <w:tab w:pos="794" w:val="left" w:leader="none"/>
        </w:tabs>
        <w:spacing w:line="288" w:lineRule="auto" w:before="1" w:after="0"/>
        <w:ind w:left="794" w:right="628" w:hanging="361"/>
        <w:jc w:val="left"/>
        <w:rPr>
          <w:sz w:val="22"/>
        </w:rPr>
      </w:pPr>
      <w:r>
        <w:rPr>
          <w:sz w:val="22"/>
        </w:rPr>
        <w:t>What are the characteristics of leading practice safety regulation frameworks applying to electricity</w:t>
      </w:r>
      <w:r>
        <w:rPr>
          <w:spacing w:val="-4"/>
          <w:sz w:val="22"/>
        </w:rPr>
        <w:t> </w:t>
      </w:r>
      <w:r>
        <w:rPr>
          <w:sz w:val="22"/>
        </w:rPr>
        <w:t>and</w:t>
      </w:r>
      <w:r>
        <w:rPr>
          <w:spacing w:val="-4"/>
          <w:sz w:val="22"/>
        </w:rPr>
        <w:t> </w:t>
      </w:r>
      <w:r>
        <w:rPr>
          <w:sz w:val="22"/>
        </w:rPr>
        <w:t>gas</w:t>
      </w:r>
      <w:r>
        <w:rPr>
          <w:spacing w:val="-4"/>
          <w:sz w:val="22"/>
        </w:rPr>
        <w:t> </w:t>
      </w:r>
      <w:r>
        <w:rPr>
          <w:sz w:val="22"/>
        </w:rPr>
        <w:t>networks,</w:t>
      </w:r>
      <w:r>
        <w:rPr>
          <w:spacing w:val="-3"/>
          <w:sz w:val="22"/>
        </w:rPr>
        <w:t> </w:t>
      </w:r>
      <w:r>
        <w:rPr>
          <w:sz w:val="22"/>
        </w:rPr>
        <w:t>or</w:t>
      </w:r>
      <w:r>
        <w:rPr>
          <w:spacing w:val="-3"/>
          <w:sz w:val="22"/>
        </w:rPr>
        <w:t> </w:t>
      </w:r>
      <w:r>
        <w:rPr>
          <w:sz w:val="22"/>
        </w:rPr>
        <w:t>to</w:t>
      </w:r>
      <w:r>
        <w:rPr>
          <w:spacing w:val="-4"/>
          <w:sz w:val="22"/>
        </w:rPr>
        <w:t> </w:t>
      </w:r>
      <w:r>
        <w:rPr>
          <w:sz w:val="22"/>
        </w:rPr>
        <w:t>other</w:t>
      </w:r>
      <w:r>
        <w:rPr>
          <w:spacing w:val="-3"/>
          <w:sz w:val="22"/>
        </w:rPr>
        <w:t> </w:t>
      </w:r>
      <w:r>
        <w:rPr>
          <w:sz w:val="22"/>
        </w:rPr>
        <w:t>similar</w:t>
      </w:r>
      <w:r>
        <w:rPr>
          <w:spacing w:val="-1"/>
          <w:sz w:val="22"/>
        </w:rPr>
        <w:t> </w:t>
      </w:r>
      <w:r>
        <w:rPr>
          <w:sz w:val="22"/>
        </w:rPr>
        <w:t>sectors, and</w:t>
      </w:r>
      <w:r>
        <w:rPr>
          <w:spacing w:val="-4"/>
          <w:sz w:val="22"/>
        </w:rPr>
        <w:t> </w:t>
      </w:r>
      <w:r>
        <w:rPr>
          <w:sz w:val="22"/>
        </w:rPr>
        <w:t>how does</w:t>
      </w:r>
      <w:r>
        <w:rPr>
          <w:spacing w:val="-4"/>
          <w:sz w:val="22"/>
        </w:rPr>
        <w:t> </w:t>
      </w:r>
      <w:r>
        <w:rPr>
          <w:sz w:val="22"/>
        </w:rPr>
        <w:t>the</w:t>
      </w:r>
      <w:r>
        <w:rPr>
          <w:spacing w:val="-4"/>
          <w:sz w:val="22"/>
        </w:rPr>
        <w:t> </w:t>
      </w:r>
      <w:r>
        <w:rPr>
          <w:sz w:val="22"/>
        </w:rPr>
        <w:t>current Victorian safety framework compare with leading practice?</w:t>
      </w:r>
    </w:p>
    <w:p>
      <w:pPr>
        <w:pStyle w:val="BodyText"/>
        <w:spacing w:before="2"/>
      </w:pPr>
    </w:p>
    <w:p>
      <w:pPr>
        <w:pStyle w:val="ListParagraph"/>
        <w:numPr>
          <w:ilvl w:val="0"/>
          <w:numId w:val="2"/>
        </w:numPr>
        <w:tabs>
          <w:tab w:pos="794" w:val="left" w:leader="none"/>
        </w:tabs>
        <w:spacing w:line="285" w:lineRule="auto" w:before="0" w:after="0"/>
        <w:ind w:left="794" w:right="435" w:hanging="361"/>
        <w:jc w:val="left"/>
        <w:rPr>
          <w:sz w:val="22"/>
        </w:rPr>
      </w:pPr>
      <w:r>
        <w:rPr>
          <w:sz w:val="22"/>
        </w:rPr>
        <w:t>What</w:t>
      </w:r>
      <w:r>
        <w:rPr>
          <w:spacing w:val="-3"/>
          <w:sz w:val="22"/>
        </w:rPr>
        <w:t> </w:t>
      </w:r>
      <w:r>
        <w:rPr>
          <w:sz w:val="22"/>
        </w:rPr>
        <w:t>are</w:t>
      </w:r>
      <w:r>
        <w:rPr>
          <w:spacing w:val="-4"/>
          <w:sz w:val="22"/>
        </w:rPr>
        <w:t> </w:t>
      </w:r>
      <w:r>
        <w:rPr>
          <w:sz w:val="22"/>
        </w:rPr>
        <w:t>the</w:t>
      </w:r>
      <w:r>
        <w:rPr>
          <w:spacing w:val="-4"/>
          <w:sz w:val="22"/>
        </w:rPr>
        <w:t> </w:t>
      </w:r>
      <w:r>
        <w:rPr>
          <w:sz w:val="22"/>
        </w:rPr>
        <w:t>characteristics</w:t>
      </w:r>
      <w:r>
        <w:rPr>
          <w:spacing w:val="-1"/>
          <w:sz w:val="22"/>
        </w:rPr>
        <w:t> </w:t>
      </w:r>
      <w:r>
        <w:rPr>
          <w:sz w:val="22"/>
        </w:rPr>
        <w:t>required</w:t>
      </w:r>
      <w:r>
        <w:rPr>
          <w:spacing w:val="-2"/>
          <w:sz w:val="22"/>
        </w:rPr>
        <w:t> </w:t>
      </w:r>
      <w:r>
        <w:rPr>
          <w:sz w:val="22"/>
        </w:rPr>
        <w:t>by</w:t>
      </w:r>
      <w:r>
        <w:rPr>
          <w:spacing w:val="-4"/>
          <w:sz w:val="22"/>
        </w:rPr>
        <w:t> </w:t>
      </w:r>
      <w:r>
        <w:rPr>
          <w:sz w:val="22"/>
        </w:rPr>
        <w:t>a</w:t>
      </w:r>
      <w:r>
        <w:rPr>
          <w:spacing w:val="-2"/>
          <w:sz w:val="22"/>
        </w:rPr>
        <w:t> </w:t>
      </w:r>
      <w:r>
        <w:rPr>
          <w:sz w:val="22"/>
        </w:rPr>
        <w:t>highly</w:t>
      </w:r>
      <w:r>
        <w:rPr>
          <w:spacing w:val="-4"/>
          <w:sz w:val="22"/>
        </w:rPr>
        <w:t> </w:t>
      </w:r>
      <w:r>
        <w:rPr>
          <w:sz w:val="22"/>
        </w:rPr>
        <w:t>effective</w:t>
      </w:r>
      <w:r>
        <w:rPr>
          <w:spacing w:val="-2"/>
          <w:sz w:val="22"/>
        </w:rPr>
        <w:t> </w:t>
      </w:r>
      <w:r>
        <w:rPr>
          <w:sz w:val="22"/>
        </w:rPr>
        <w:t>safety</w:t>
      </w:r>
      <w:r>
        <w:rPr>
          <w:spacing w:val="-5"/>
          <w:sz w:val="22"/>
        </w:rPr>
        <w:t> </w:t>
      </w:r>
      <w:r>
        <w:rPr>
          <w:sz w:val="22"/>
        </w:rPr>
        <w:t>regulator, and</w:t>
      </w:r>
      <w:r>
        <w:rPr>
          <w:spacing w:val="-4"/>
          <w:sz w:val="22"/>
        </w:rPr>
        <w:t> </w:t>
      </w:r>
      <w:r>
        <w:rPr>
          <w:sz w:val="22"/>
        </w:rPr>
        <w:t>are</w:t>
      </w:r>
      <w:r>
        <w:rPr>
          <w:spacing w:val="-4"/>
          <w:sz w:val="22"/>
        </w:rPr>
        <w:t> </w:t>
      </w:r>
      <w:r>
        <w:rPr>
          <w:sz w:val="22"/>
        </w:rPr>
        <w:t>there</w:t>
      </w:r>
      <w:r>
        <w:rPr>
          <w:spacing w:val="-2"/>
          <w:sz w:val="22"/>
        </w:rPr>
        <w:t> </w:t>
      </w:r>
      <w:r>
        <w:rPr>
          <w:sz w:val="22"/>
        </w:rPr>
        <w:t>any areas in which the Victorian regulator, ESV, needs to invest greater effort?</w:t>
      </w:r>
    </w:p>
    <w:p>
      <w:pPr>
        <w:spacing w:after="0" w:line="285" w:lineRule="auto"/>
        <w:jc w:val="left"/>
        <w:rPr>
          <w:sz w:val="22"/>
        </w:rPr>
        <w:sectPr>
          <w:pgSz w:w="11910" w:h="16850"/>
          <w:pgMar w:header="465" w:footer="880" w:top="660" w:bottom="1060" w:left="840" w:right="820"/>
        </w:sectPr>
      </w:pPr>
    </w:p>
    <w:p>
      <w:pPr>
        <w:pStyle w:val="BodyText"/>
        <w:rPr>
          <w:sz w:val="20"/>
        </w:rPr>
      </w:pPr>
    </w:p>
    <w:p>
      <w:pPr>
        <w:pStyle w:val="BodyText"/>
        <w:rPr>
          <w:sz w:val="20"/>
        </w:rPr>
      </w:pPr>
    </w:p>
    <w:p>
      <w:pPr>
        <w:pStyle w:val="BodyText"/>
        <w:spacing w:before="4"/>
      </w:pPr>
    </w:p>
    <w:p>
      <w:pPr>
        <w:pStyle w:val="BodyText"/>
        <w:spacing w:line="288" w:lineRule="auto"/>
        <w:ind w:left="292" w:right="311"/>
      </w:pPr>
      <w:r>
        <w:rPr/>
        <w:t>The</w:t>
      </w:r>
      <w:r>
        <w:rPr>
          <w:spacing w:val="-4"/>
        </w:rPr>
        <w:t> </w:t>
      </w:r>
      <w:r>
        <w:rPr/>
        <w:t>Review’s</w:t>
      </w:r>
      <w:r>
        <w:rPr>
          <w:spacing w:val="-1"/>
        </w:rPr>
        <w:t> </w:t>
      </w:r>
      <w:r>
        <w:rPr/>
        <w:t>conclusions</w:t>
      </w:r>
      <w:r>
        <w:rPr>
          <w:spacing w:val="-1"/>
        </w:rPr>
        <w:t> </w:t>
      </w:r>
      <w:r>
        <w:rPr/>
        <w:t>in</w:t>
      </w:r>
      <w:r>
        <w:rPr>
          <w:spacing w:val="-2"/>
        </w:rPr>
        <w:t> </w:t>
      </w:r>
      <w:r>
        <w:rPr/>
        <w:t>this</w:t>
      </w:r>
      <w:r>
        <w:rPr>
          <w:spacing w:val="-2"/>
        </w:rPr>
        <w:t> </w:t>
      </w:r>
      <w:r>
        <w:rPr/>
        <w:t>Final</w:t>
      </w:r>
      <w:r>
        <w:rPr>
          <w:spacing w:val="-2"/>
        </w:rPr>
        <w:t> </w:t>
      </w:r>
      <w:r>
        <w:rPr/>
        <w:t>Report</w:t>
      </w:r>
      <w:r>
        <w:rPr>
          <w:spacing w:val="-2"/>
        </w:rPr>
        <w:t> </w:t>
      </w:r>
      <w:r>
        <w:rPr/>
        <w:t>are</w:t>
      </w:r>
      <w:r>
        <w:rPr>
          <w:spacing w:val="-6"/>
        </w:rPr>
        <w:t> </w:t>
      </w:r>
      <w:r>
        <w:rPr/>
        <w:t>that</w:t>
      </w:r>
      <w:r>
        <w:rPr>
          <w:spacing w:val="-3"/>
        </w:rPr>
        <w:t> </w:t>
      </w:r>
      <w:r>
        <w:rPr/>
        <w:t>Victoria</w:t>
      </w:r>
      <w:r>
        <w:rPr>
          <w:spacing w:val="-2"/>
        </w:rPr>
        <w:t> </w:t>
      </w:r>
      <w:r>
        <w:rPr/>
        <w:t>has</w:t>
      </w:r>
      <w:r>
        <w:rPr>
          <w:spacing w:val="-4"/>
        </w:rPr>
        <w:t> </w:t>
      </w:r>
      <w:r>
        <w:rPr/>
        <w:t>many</w:t>
      </w:r>
      <w:r>
        <w:rPr>
          <w:spacing w:val="-4"/>
        </w:rPr>
        <w:t> </w:t>
      </w:r>
      <w:r>
        <w:rPr/>
        <w:t>of the</w:t>
      </w:r>
      <w:r>
        <w:rPr>
          <w:spacing w:val="-6"/>
        </w:rPr>
        <w:t> </w:t>
      </w:r>
      <w:r>
        <w:rPr/>
        <w:t>key</w:t>
      </w:r>
      <w:r>
        <w:rPr>
          <w:spacing w:val="-4"/>
        </w:rPr>
        <w:t> </w:t>
      </w:r>
      <w:r>
        <w:rPr/>
        <w:t>elements</w:t>
      </w:r>
      <w:r>
        <w:rPr>
          <w:spacing w:val="-1"/>
        </w:rPr>
        <w:t> </w:t>
      </w:r>
      <w:r>
        <w:rPr/>
        <w:t>of a leading safety regulatory system in place – but there are areas requiring attention, particularly around implementation.</w:t>
      </w:r>
    </w:p>
    <w:p>
      <w:pPr>
        <w:pStyle w:val="BodyText"/>
        <w:spacing w:before="10"/>
        <w:rPr>
          <w:sz w:val="20"/>
        </w:rPr>
      </w:pPr>
    </w:p>
    <w:p>
      <w:pPr>
        <w:pStyle w:val="BodyText"/>
        <w:spacing w:line="288" w:lineRule="auto"/>
        <w:ind w:left="292" w:right="374"/>
      </w:pPr>
      <w:r>
        <w:rPr/>
        <w:t>The</w:t>
      </w:r>
      <w:r>
        <w:rPr>
          <w:spacing w:val="-4"/>
        </w:rPr>
        <w:t> </w:t>
      </w:r>
      <w:r>
        <w:rPr/>
        <w:t>Victorian</w:t>
      </w:r>
      <w:r>
        <w:rPr>
          <w:spacing w:val="-4"/>
        </w:rPr>
        <w:t> </w:t>
      </w:r>
      <w:r>
        <w:rPr/>
        <w:t>Government</w:t>
      </w:r>
      <w:r>
        <w:rPr>
          <w:spacing w:val="-1"/>
        </w:rPr>
        <w:t> </w:t>
      </w:r>
      <w:r>
        <w:rPr/>
        <w:t>has</w:t>
      </w:r>
      <w:r>
        <w:rPr>
          <w:spacing w:val="-4"/>
        </w:rPr>
        <w:t> </w:t>
      </w:r>
      <w:r>
        <w:rPr/>
        <w:t>initiated</w:t>
      </w:r>
      <w:r>
        <w:rPr>
          <w:spacing w:val="-2"/>
        </w:rPr>
        <w:t> </w:t>
      </w:r>
      <w:r>
        <w:rPr/>
        <w:t>a</w:t>
      </w:r>
      <w:r>
        <w:rPr>
          <w:spacing w:val="-6"/>
        </w:rPr>
        <w:t> </w:t>
      </w:r>
      <w:r>
        <w:rPr/>
        <w:t>major</w:t>
      </w:r>
      <w:r>
        <w:rPr>
          <w:spacing w:val="-1"/>
        </w:rPr>
        <w:t> </w:t>
      </w:r>
      <w:r>
        <w:rPr/>
        <w:t>program</w:t>
      </w:r>
      <w:r>
        <w:rPr>
          <w:spacing w:val="-1"/>
        </w:rPr>
        <w:t> </w:t>
      </w:r>
      <w:r>
        <w:rPr/>
        <w:t>of work</w:t>
      </w:r>
      <w:r>
        <w:rPr>
          <w:spacing w:val="-1"/>
        </w:rPr>
        <w:t> </w:t>
      </w:r>
      <w:r>
        <w:rPr/>
        <w:t>to</w:t>
      </w:r>
      <w:r>
        <w:rPr>
          <w:spacing w:val="-2"/>
        </w:rPr>
        <w:t> </w:t>
      </w:r>
      <w:r>
        <w:rPr/>
        <w:t>address</w:t>
      </w:r>
      <w:r>
        <w:rPr>
          <w:spacing w:val="-1"/>
        </w:rPr>
        <w:t> </w:t>
      </w:r>
      <w:r>
        <w:rPr/>
        <w:t>bushfire</w:t>
      </w:r>
      <w:r>
        <w:rPr>
          <w:spacing w:val="-4"/>
        </w:rPr>
        <w:t> </w:t>
      </w:r>
      <w:r>
        <w:rPr/>
        <w:t>risk,</w:t>
      </w:r>
      <w:r>
        <w:rPr>
          <w:spacing w:val="-3"/>
        </w:rPr>
        <w:t> </w:t>
      </w:r>
      <w:r>
        <w:rPr/>
        <w:t>including internationally pioneering research and development, and ESV has established a national reputation for its work in leading energy safety initiatives. Nevertheless, there are several areas where improvement is required to ensure that the state maintains an internationally leading network safety system.</w:t>
      </w:r>
    </w:p>
    <w:p>
      <w:pPr>
        <w:pStyle w:val="BodyText"/>
        <w:spacing w:before="11"/>
        <w:rPr>
          <w:sz w:val="20"/>
        </w:rPr>
      </w:pPr>
    </w:p>
    <w:p>
      <w:pPr>
        <w:pStyle w:val="BodyText"/>
        <w:spacing w:line="288" w:lineRule="auto"/>
        <w:ind w:left="292" w:right="311"/>
      </w:pPr>
      <w:r>
        <w:rPr/>
        <w:t>The Review's assessment has been informed by formal submissions in response to two issues papers</w:t>
      </w:r>
      <w:r>
        <w:rPr>
          <w:spacing w:val="-4"/>
        </w:rPr>
        <w:t> </w:t>
      </w:r>
      <w:r>
        <w:rPr/>
        <w:t>released</w:t>
      </w:r>
      <w:r>
        <w:rPr>
          <w:spacing w:val="-2"/>
        </w:rPr>
        <w:t> </w:t>
      </w:r>
      <w:r>
        <w:rPr/>
        <w:t>earlier</w:t>
      </w:r>
      <w:r>
        <w:rPr>
          <w:spacing w:val="-1"/>
        </w:rPr>
        <w:t> </w:t>
      </w:r>
      <w:r>
        <w:rPr/>
        <w:t>in</w:t>
      </w:r>
      <w:r>
        <w:rPr>
          <w:spacing w:val="-2"/>
        </w:rPr>
        <w:t> </w:t>
      </w:r>
      <w:r>
        <w:rPr/>
        <w:t>2017 and</w:t>
      </w:r>
      <w:r>
        <w:rPr>
          <w:spacing w:val="-4"/>
        </w:rPr>
        <w:t> </w:t>
      </w:r>
      <w:r>
        <w:rPr/>
        <w:t>to</w:t>
      </w:r>
      <w:r>
        <w:rPr>
          <w:spacing w:val="-4"/>
        </w:rPr>
        <w:t> </w:t>
      </w:r>
      <w:r>
        <w:rPr/>
        <w:t>the</w:t>
      </w:r>
      <w:r>
        <w:rPr>
          <w:spacing w:val="-4"/>
        </w:rPr>
        <w:t> </w:t>
      </w:r>
      <w:r>
        <w:rPr/>
        <w:t>Interim</w:t>
      </w:r>
      <w:r>
        <w:rPr>
          <w:spacing w:val="-3"/>
        </w:rPr>
        <w:t> </w:t>
      </w:r>
      <w:r>
        <w:rPr/>
        <w:t>Report</w:t>
      </w:r>
      <w:r>
        <w:rPr>
          <w:spacing w:val="-2"/>
        </w:rPr>
        <w:t> </w:t>
      </w:r>
      <w:r>
        <w:rPr/>
        <w:t>released</w:t>
      </w:r>
      <w:r>
        <w:rPr>
          <w:spacing w:val="-4"/>
        </w:rPr>
        <w:t> </w:t>
      </w:r>
      <w:r>
        <w:rPr/>
        <w:t>on</w:t>
      </w:r>
      <w:r>
        <w:rPr>
          <w:spacing w:val="-2"/>
        </w:rPr>
        <w:t> </w:t>
      </w:r>
      <w:r>
        <w:rPr/>
        <w:t>31</w:t>
      </w:r>
      <w:r>
        <w:rPr>
          <w:spacing w:val="-7"/>
        </w:rPr>
        <w:t> </w:t>
      </w:r>
      <w:r>
        <w:rPr/>
        <w:t>October</w:t>
      </w:r>
      <w:r>
        <w:rPr>
          <w:spacing w:val="-1"/>
        </w:rPr>
        <w:t> </w:t>
      </w:r>
      <w:r>
        <w:rPr/>
        <w:t>2017.</w:t>
      </w:r>
      <w:r>
        <w:rPr>
          <w:spacing w:val="-3"/>
        </w:rPr>
        <w:t> </w:t>
      </w:r>
      <w:r>
        <w:rPr/>
        <w:t>It has</w:t>
      </w:r>
      <w:r>
        <w:rPr>
          <w:spacing w:val="-4"/>
        </w:rPr>
        <w:t> </w:t>
      </w:r>
      <w:r>
        <w:rPr/>
        <w:t>also been informed by meetings with a wide range of relevant organisations and individuals, including </w:t>
      </w:r>
      <w:r>
        <w:rPr>
          <w:spacing w:val="-2"/>
        </w:rPr>
        <w:t>with:</w:t>
      </w:r>
    </w:p>
    <w:p>
      <w:pPr>
        <w:pStyle w:val="BodyText"/>
        <w:spacing w:before="4"/>
      </w:pPr>
    </w:p>
    <w:p>
      <w:pPr>
        <w:pStyle w:val="ListParagraph"/>
        <w:numPr>
          <w:ilvl w:val="0"/>
          <w:numId w:val="3"/>
        </w:numPr>
        <w:tabs>
          <w:tab w:pos="650" w:val="left" w:leader="none"/>
        </w:tabs>
        <w:spacing w:line="240" w:lineRule="auto" w:before="1" w:after="0"/>
        <w:ind w:left="650" w:right="0" w:hanging="358"/>
        <w:jc w:val="left"/>
        <w:rPr>
          <w:sz w:val="22"/>
        </w:rPr>
      </w:pPr>
      <w:r>
        <w:rPr>
          <w:sz w:val="22"/>
        </w:rPr>
        <w:t>all</w:t>
      </w:r>
      <w:r>
        <w:rPr>
          <w:spacing w:val="-5"/>
          <w:sz w:val="22"/>
        </w:rPr>
        <w:t> </w:t>
      </w:r>
      <w:r>
        <w:rPr>
          <w:sz w:val="22"/>
        </w:rPr>
        <w:t>state</w:t>
      </w:r>
      <w:r>
        <w:rPr>
          <w:spacing w:val="-6"/>
          <w:sz w:val="22"/>
        </w:rPr>
        <w:t> </w:t>
      </w:r>
      <w:r>
        <w:rPr>
          <w:sz w:val="22"/>
        </w:rPr>
        <w:t>regulators</w:t>
      </w:r>
      <w:r>
        <w:rPr>
          <w:spacing w:val="-3"/>
          <w:sz w:val="22"/>
        </w:rPr>
        <w:t> </w:t>
      </w:r>
      <w:r>
        <w:rPr>
          <w:sz w:val="22"/>
        </w:rPr>
        <w:t>of</w:t>
      </w:r>
      <w:r>
        <w:rPr>
          <w:spacing w:val="-5"/>
          <w:sz w:val="22"/>
        </w:rPr>
        <w:t> </w:t>
      </w:r>
      <w:r>
        <w:rPr>
          <w:sz w:val="22"/>
        </w:rPr>
        <w:t>electricity</w:t>
      </w:r>
      <w:r>
        <w:rPr>
          <w:spacing w:val="-7"/>
          <w:sz w:val="22"/>
        </w:rPr>
        <w:t> </w:t>
      </w:r>
      <w:r>
        <w:rPr>
          <w:sz w:val="22"/>
        </w:rPr>
        <w:t>and</w:t>
      </w:r>
      <w:r>
        <w:rPr>
          <w:spacing w:val="-6"/>
          <w:sz w:val="22"/>
        </w:rPr>
        <w:t> </w:t>
      </w:r>
      <w:r>
        <w:rPr>
          <w:sz w:val="22"/>
        </w:rPr>
        <w:t>gas</w:t>
      </w:r>
      <w:r>
        <w:rPr>
          <w:spacing w:val="-3"/>
          <w:sz w:val="22"/>
        </w:rPr>
        <w:t> </w:t>
      </w:r>
      <w:r>
        <w:rPr>
          <w:sz w:val="22"/>
        </w:rPr>
        <w:t>networks</w:t>
      </w:r>
      <w:r>
        <w:rPr>
          <w:spacing w:val="-6"/>
          <w:sz w:val="22"/>
        </w:rPr>
        <w:t> </w:t>
      </w:r>
      <w:r>
        <w:rPr>
          <w:sz w:val="22"/>
        </w:rPr>
        <w:t>in</w:t>
      </w:r>
      <w:r>
        <w:rPr>
          <w:spacing w:val="-4"/>
          <w:sz w:val="22"/>
        </w:rPr>
        <w:t> </w:t>
      </w:r>
      <w:r>
        <w:rPr>
          <w:spacing w:val="-2"/>
          <w:sz w:val="22"/>
        </w:rPr>
        <w:t>Australia;</w:t>
      </w:r>
    </w:p>
    <w:p>
      <w:pPr>
        <w:pStyle w:val="ListParagraph"/>
        <w:numPr>
          <w:ilvl w:val="0"/>
          <w:numId w:val="3"/>
        </w:numPr>
        <w:tabs>
          <w:tab w:pos="650" w:val="left" w:leader="none"/>
        </w:tabs>
        <w:spacing w:line="240" w:lineRule="auto" w:before="63" w:after="0"/>
        <w:ind w:left="650" w:right="0" w:hanging="358"/>
        <w:jc w:val="left"/>
        <w:rPr>
          <w:sz w:val="22"/>
        </w:rPr>
      </w:pPr>
      <w:r>
        <w:rPr>
          <w:sz w:val="22"/>
        </w:rPr>
        <w:t>all</w:t>
      </w:r>
      <w:r>
        <w:rPr>
          <w:spacing w:val="-9"/>
          <w:sz w:val="22"/>
        </w:rPr>
        <w:t> </w:t>
      </w:r>
      <w:r>
        <w:rPr>
          <w:sz w:val="22"/>
        </w:rPr>
        <w:t>gas</w:t>
      </w:r>
      <w:r>
        <w:rPr>
          <w:spacing w:val="-8"/>
          <w:sz w:val="22"/>
        </w:rPr>
        <w:t> </w:t>
      </w:r>
      <w:r>
        <w:rPr>
          <w:sz w:val="22"/>
        </w:rPr>
        <w:t>and</w:t>
      </w:r>
      <w:r>
        <w:rPr>
          <w:spacing w:val="-6"/>
          <w:sz w:val="22"/>
        </w:rPr>
        <w:t> </w:t>
      </w:r>
      <w:r>
        <w:rPr>
          <w:sz w:val="22"/>
        </w:rPr>
        <w:t>electricity</w:t>
      </w:r>
      <w:r>
        <w:rPr>
          <w:spacing w:val="-8"/>
          <w:sz w:val="22"/>
        </w:rPr>
        <w:t> </w:t>
      </w:r>
      <w:r>
        <w:rPr>
          <w:sz w:val="22"/>
        </w:rPr>
        <w:t>transmission</w:t>
      </w:r>
      <w:r>
        <w:rPr>
          <w:spacing w:val="-6"/>
          <w:sz w:val="22"/>
        </w:rPr>
        <w:t> </w:t>
      </w:r>
      <w:r>
        <w:rPr>
          <w:sz w:val="22"/>
        </w:rPr>
        <w:t>and</w:t>
      </w:r>
      <w:r>
        <w:rPr>
          <w:spacing w:val="-8"/>
          <w:sz w:val="22"/>
        </w:rPr>
        <w:t> </w:t>
      </w:r>
      <w:r>
        <w:rPr>
          <w:sz w:val="22"/>
        </w:rPr>
        <w:t>distribution</w:t>
      </w:r>
      <w:r>
        <w:rPr>
          <w:spacing w:val="-7"/>
          <w:sz w:val="22"/>
        </w:rPr>
        <w:t> </w:t>
      </w:r>
      <w:r>
        <w:rPr>
          <w:sz w:val="22"/>
        </w:rPr>
        <w:t>businesses</w:t>
      </w:r>
      <w:r>
        <w:rPr>
          <w:spacing w:val="-6"/>
          <w:sz w:val="22"/>
        </w:rPr>
        <w:t> </w:t>
      </w:r>
      <w:r>
        <w:rPr>
          <w:sz w:val="22"/>
        </w:rPr>
        <w:t>operating</w:t>
      </w:r>
      <w:r>
        <w:rPr>
          <w:spacing w:val="-6"/>
          <w:sz w:val="22"/>
        </w:rPr>
        <w:t> </w:t>
      </w:r>
      <w:r>
        <w:rPr>
          <w:sz w:val="22"/>
        </w:rPr>
        <w:t>in</w:t>
      </w:r>
      <w:r>
        <w:rPr>
          <w:spacing w:val="-6"/>
          <w:sz w:val="22"/>
        </w:rPr>
        <w:t> </w:t>
      </w:r>
      <w:r>
        <w:rPr>
          <w:spacing w:val="-2"/>
          <w:sz w:val="22"/>
        </w:rPr>
        <w:t>Victoria;</w:t>
      </w:r>
    </w:p>
    <w:p>
      <w:pPr>
        <w:pStyle w:val="ListParagraph"/>
        <w:numPr>
          <w:ilvl w:val="0"/>
          <w:numId w:val="3"/>
        </w:numPr>
        <w:tabs>
          <w:tab w:pos="650" w:val="left" w:leader="none"/>
        </w:tabs>
        <w:spacing w:line="240" w:lineRule="auto" w:before="67" w:after="0"/>
        <w:ind w:left="650" w:right="0" w:hanging="358"/>
        <w:jc w:val="left"/>
        <w:rPr>
          <w:sz w:val="22"/>
        </w:rPr>
      </w:pPr>
      <w:r>
        <w:rPr>
          <w:sz w:val="22"/>
        </w:rPr>
        <w:t>the</w:t>
      </w:r>
      <w:r>
        <w:rPr>
          <w:spacing w:val="-4"/>
          <w:sz w:val="22"/>
        </w:rPr>
        <w:t> </w:t>
      </w:r>
      <w:r>
        <w:rPr>
          <w:sz w:val="22"/>
        </w:rPr>
        <w:t>Electrical</w:t>
      </w:r>
      <w:r>
        <w:rPr>
          <w:spacing w:val="-7"/>
          <w:sz w:val="22"/>
        </w:rPr>
        <w:t> </w:t>
      </w:r>
      <w:r>
        <w:rPr>
          <w:sz w:val="22"/>
        </w:rPr>
        <w:t>Trades</w:t>
      </w:r>
      <w:r>
        <w:rPr>
          <w:spacing w:val="-5"/>
          <w:sz w:val="22"/>
        </w:rPr>
        <w:t> </w:t>
      </w:r>
      <w:r>
        <w:rPr>
          <w:spacing w:val="-2"/>
          <w:sz w:val="22"/>
        </w:rPr>
        <w:t>Union;</w:t>
      </w:r>
    </w:p>
    <w:p>
      <w:pPr>
        <w:pStyle w:val="ListParagraph"/>
        <w:numPr>
          <w:ilvl w:val="0"/>
          <w:numId w:val="3"/>
        </w:numPr>
        <w:tabs>
          <w:tab w:pos="650" w:val="left" w:leader="none"/>
        </w:tabs>
        <w:spacing w:line="240" w:lineRule="auto" w:before="66" w:after="0"/>
        <w:ind w:left="650" w:right="0" w:hanging="358"/>
        <w:jc w:val="left"/>
        <w:rPr>
          <w:sz w:val="22"/>
        </w:rPr>
      </w:pPr>
      <w:r>
        <w:rPr>
          <w:sz w:val="22"/>
        </w:rPr>
        <w:t>academic</w:t>
      </w:r>
      <w:r>
        <w:rPr>
          <w:spacing w:val="-7"/>
          <w:sz w:val="22"/>
        </w:rPr>
        <w:t> </w:t>
      </w:r>
      <w:r>
        <w:rPr>
          <w:sz w:val="22"/>
        </w:rPr>
        <w:t>experts;</w:t>
      </w:r>
      <w:r>
        <w:rPr>
          <w:spacing w:val="-7"/>
          <w:sz w:val="22"/>
        </w:rPr>
        <w:t> </w:t>
      </w:r>
      <w:r>
        <w:rPr>
          <w:spacing w:val="-5"/>
          <w:sz w:val="22"/>
        </w:rPr>
        <w:t>and</w:t>
      </w:r>
    </w:p>
    <w:p>
      <w:pPr>
        <w:pStyle w:val="ListParagraph"/>
        <w:numPr>
          <w:ilvl w:val="0"/>
          <w:numId w:val="3"/>
        </w:numPr>
        <w:tabs>
          <w:tab w:pos="650" w:val="left" w:leader="none"/>
        </w:tabs>
        <w:spacing w:line="288" w:lineRule="auto" w:before="64" w:after="0"/>
        <w:ind w:left="650" w:right="714" w:hanging="359"/>
        <w:jc w:val="left"/>
        <w:rPr>
          <w:sz w:val="22"/>
        </w:rPr>
      </w:pPr>
      <w:r>
        <w:rPr>
          <w:sz w:val="22"/>
        </w:rPr>
        <w:t>national</w:t>
      </w:r>
      <w:r>
        <w:rPr>
          <w:spacing w:val="-3"/>
          <w:sz w:val="22"/>
        </w:rPr>
        <w:t> </w:t>
      </w:r>
      <w:r>
        <w:rPr>
          <w:sz w:val="22"/>
        </w:rPr>
        <w:t>and</w:t>
      </w:r>
      <w:r>
        <w:rPr>
          <w:spacing w:val="-2"/>
          <w:sz w:val="22"/>
        </w:rPr>
        <w:t> </w:t>
      </w:r>
      <w:r>
        <w:rPr>
          <w:sz w:val="22"/>
        </w:rPr>
        <w:t>state</w:t>
      </w:r>
      <w:r>
        <w:rPr>
          <w:spacing w:val="-6"/>
          <w:sz w:val="22"/>
        </w:rPr>
        <w:t> </w:t>
      </w:r>
      <w:r>
        <w:rPr>
          <w:sz w:val="22"/>
        </w:rPr>
        <w:t>government</w:t>
      </w:r>
      <w:r>
        <w:rPr>
          <w:spacing w:val="-3"/>
          <w:sz w:val="22"/>
        </w:rPr>
        <w:t> </w:t>
      </w:r>
      <w:r>
        <w:rPr>
          <w:sz w:val="22"/>
        </w:rPr>
        <w:t>agencies</w:t>
      </w:r>
      <w:r>
        <w:rPr>
          <w:spacing w:val="-4"/>
          <w:sz w:val="22"/>
        </w:rPr>
        <w:t> </w:t>
      </w:r>
      <w:r>
        <w:rPr>
          <w:sz w:val="22"/>
        </w:rPr>
        <w:t>that</w:t>
      </w:r>
      <w:r>
        <w:rPr>
          <w:spacing w:val="-3"/>
          <w:sz w:val="22"/>
        </w:rPr>
        <w:t> </w:t>
      </w:r>
      <w:r>
        <w:rPr>
          <w:sz w:val="22"/>
        </w:rPr>
        <w:t>have</w:t>
      </w:r>
      <w:r>
        <w:rPr>
          <w:spacing w:val="-2"/>
          <w:sz w:val="22"/>
        </w:rPr>
        <w:t> </w:t>
      </w:r>
      <w:r>
        <w:rPr>
          <w:sz w:val="22"/>
        </w:rPr>
        <w:t>responsibilities</w:t>
      </w:r>
      <w:r>
        <w:rPr>
          <w:spacing w:val="-2"/>
          <w:sz w:val="22"/>
        </w:rPr>
        <w:t> </w:t>
      </w:r>
      <w:r>
        <w:rPr>
          <w:sz w:val="22"/>
        </w:rPr>
        <w:t>with</w:t>
      </w:r>
      <w:r>
        <w:rPr>
          <w:spacing w:val="-2"/>
          <w:sz w:val="22"/>
        </w:rPr>
        <w:t> </w:t>
      </w:r>
      <w:r>
        <w:rPr>
          <w:sz w:val="22"/>
        </w:rPr>
        <w:t>an</w:t>
      </w:r>
      <w:r>
        <w:rPr>
          <w:spacing w:val="-4"/>
          <w:sz w:val="22"/>
        </w:rPr>
        <w:t> </w:t>
      </w:r>
      <w:r>
        <w:rPr>
          <w:sz w:val="22"/>
        </w:rPr>
        <w:t>interest</w:t>
      </w:r>
      <w:r>
        <w:rPr>
          <w:spacing w:val="-3"/>
          <w:sz w:val="22"/>
        </w:rPr>
        <w:t> </w:t>
      </w:r>
      <w:r>
        <w:rPr>
          <w:sz w:val="22"/>
        </w:rPr>
        <w:t>in</w:t>
      </w:r>
      <w:r>
        <w:rPr>
          <w:spacing w:val="-2"/>
          <w:sz w:val="22"/>
        </w:rPr>
        <w:t> </w:t>
      </w:r>
      <w:r>
        <w:rPr>
          <w:sz w:val="22"/>
        </w:rPr>
        <w:t>energy network safety.</w:t>
      </w:r>
    </w:p>
    <w:p>
      <w:pPr>
        <w:pStyle w:val="BodyText"/>
        <w:spacing w:before="10"/>
        <w:rPr>
          <w:sz w:val="20"/>
        </w:rPr>
      </w:pPr>
    </w:p>
    <w:p>
      <w:pPr>
        <w:pStyle w:val="BodyText"/>
        <w:spacing w:line="288" w:lineRule="auto"/>
        <w:ind w:left="292" w:right="311"/>
      </w:pPr>
      <w:r>
        <w:rPr/>
        <w:t>To</w:t>
      </w:r>
      <w:r>
        <w:rPr>
          <w:spacing w:val="-5"/>
        </w:rPr>
        <w:t> </w:t>
      </w:r>
      <w:r>
        <w:rPr/>
        <w:t>assist</w:t>
      </w:r>
      <w:r>
        <w:rPr>
          <w:spacing w:val="-4"/>
        </w:rPr>
        <w:t> </w:t>
      </w:r>
      <w:r>
        <w:rPr/>
        <w:t>its</w:t>
      </w:r>
      <w:r>
        <w:rPr>
          <w:spacing w:val="-5"/>
        </w:rPr>
        <w:t> </w:t>
      </w:r>
      <w:r>
        <w:rPr/>
        <w:t>consideration,</w:t>
      </w:r>
      <w:r>
        <w:rPr>
          <w:spacing w:val="-4"/>
        </w:rPr>
        <w:t> </w:t>
      </w:r>
      <w:r>
        <w:rPr/>
        <w:t>the</w:t>
      </w:r>
      <w:r>
        <w:rPr>
          <w:spacing w:val="-3"/>
        </w:rPr>
        <w:t> </w:t>
      </w:r>
      <w:r>
        <w:rPr/>
        <w:t>Review</w:t>
      </w:r>
      <w:r>
        <w:rPr>
          <w:spacing w:val="-6"/>
        </w:rPr>
        <w:t> </w:t>
      </w:r>
      <w:r>
        <w:rPr/>
        <w:t>commissioned</w:t>
      </w:r>
      <w:r>
        <w:rPr>
          <w:spacing w:val="-3"/>
        </w:rPr>
        <w:t> </w:t>
      </w:r>
      <w:r>
        <w:rPr/>
        <w:t>reports</w:t>
      </w:r>
      <w:r>
        <w:rPr>
          <w:spacing w:val="-5"/>
        </w:rPr>
        <w:t> </w:t>
      </w:r>
      <w:r>
        <w:rPr/>
        <w:t>on</w:t>
      </w:r>
      <w:r>
        <w:rPr>
          <w:spacing w:val="-3"/>
        </w:rPr>
        <w:t> </w:t>
      </w:r>
      <w:r>
        <w:rPr/>
        <w:t>leading</w:t>
      </w:r>
      <w:r>
        <w:rPr>
          <w:spacing w:val="-1"/>
        </w:rPr>
        <w:t> </w:t>
      </w:r>
      <w:r>
        <w:rPr/>
        <w:t>practice</w:t>
      </w:r>
      <w:r>
        <w:rPr>
          <w:spacing w:val="-3"/>
        </w:rPr>
        <w:t> </w:t>
      </w:r>
      <w:r>
        <w:rPr/>
        <w:t>safety</w:t>
      </w:r>
      <w:r>
        <w:rPr>
          <w:spacing w:val="-4"/>
        </w:rPr>
        <w:t> </w:t>
      </w:r>
      <w:r>
        <w:rPr/>
        <w:t>regulation for electricity and gas networks from the consulting firm Marsden Jacob, and on ESV's data capabilities from the University of Melbourne.</w:t>
      </w:r>
    </w:p>
    <w:p>
      <w:pPr>
        <w:pStyle w:val="BodyText"/>
        <w:spacing w:before="9"/>
        <w:rPr>
          <w:sz w:val="20"/>
        </w:rPr>
      </w:pPr>
    </w:p>
    <w:p>
      <w:pPr>
        <w:pStyle w:val="BodyText"/>
        <w:spacing w:line="288" w:lineRule="auto"/>
        <w:ind w:left="292" w:right="586"/>
      </w:pPr>
      <w:r>
        <w:rPr/>
        <w:t>The Review was greatly helped by very open and constructive engagement through a series of wide-ranging</w:t>
      </w:r>
      <w:r>
        <w:rPr>
          <w:spacing w:val="-4"/>
        </w:rPr>
        <w:t> </w:t>
      </w:r>
      <w:r>
        <w:rPr/>
        <w:t>roundtable</w:t>
      </w:r>
      <w:r>
        <w:rPr>
          <w:spacing w:val="-6"/>
        </w:rPr>
        <w:t> </w:t>
      </w:r>
      <w:r>
        <w:rPr/>
        <w:t>discussions</w:t>
      </w:r>
      <w:r>
        <w:rPr>
          <w:spacing w:val="-3"/>
        </w:rPr>
        <w:t> </w:t>
      </w:r>
      <w:r>
        <w:rPr/>
        <w:t>with</w:t>
      </w:r>
      <w:r>
        <w:rPr>
          <w:spacing w:val="-4"/>
        </w:rPr>
        <w:t> </w:t>
      </w:r>
      <w:r>
        <w:rPr/>
        <w:t>the</w:t>
      </w:r>
      <w:r>
        <w:rPr>
          <w:spacing w:val="-4"/>
        </w:rPr>
        <w:t> </w:t>
      </w:r>
      <w:r>
        <w:rPr/>
        <w:t>Director</w:t>
      </w:r>
      <w:r>
        <w:rPr>
          <w:spacing w:val="-5"/>
        </w:rPr>
        <w:t> </w:t>
      </w:r>
      <w:r>
        <w:rPr/>
        <w:t>of</w:t>
      </w:r>
      <w:r>
        <w:rPr>
          <w:spacing w:val="-2"/>
        </w:rPr>
        <w:t> </w:t>
      </w:r>
      <w:r>
        <w:rPr/>
        <w:t>Energy</w:t>
      </w:r>
      <w:r>
        <w:rPr>
          <w:spacing w:val="-6"/>
        </w:rPr>
        <w:t> </w:t>
      </w:r>
      <w:r>
        <w:rPr/>
        <w:t>Safety,</w:t>
      </w:r>
      <w:r>
        <w:rPr>
          <w:spacing w:val="-2"/>
        </w:rPr>
        <w:t> </w:t>
      </w:r>
      <w:r>
        <w:rPr/>
        <w:t>his</w:t>
      </w:r>
      <w:r>
        <w:rPr>
          <w:spacing w:val="-3"/>
        </w:rPr>
        <w:t> </w:t>
      </w:r>
      <w:r>
        <w:rPr/>
        <w:t>executive</w:t>
      </w:r>
      <w:r>
        <w:rPr>
          <w:spacing w:val="-4"/>
        </w:rPr>
        <w:t> </w:t>
      </w:r>
      <w:r>
        <w:rPr/>
        <w:t>leadership team, and with staff of ESV. The Review was also assisted by field inspections of facilities and infrastructure managed by AusNet Services and Powercor.</w:t>
      </w:r>
    </w:p>
    <w:p>
      <w:pPr>
        <w:pStyle w:val="BodyText"/>
        <w:spacing w:before="3"/>
        <w:rPr>
          <w:sz w:val="31"/>
        </w:rPr>
      </w:pPr>
    </w:p>
    <w:p>
      <w:pPr>
        <w:pStyle w:val="Heading4"/>
        <w:spacing w:line="288" w:lineRule="auto" w:before="0"/>
        <w:ind w:left="292" w:right="910"/>
      </w:pPr>
      <w:r>
        <w:rPr>
          <w:color w:val="585858"/>
        </w:rPr>
        <w:t>Making</w:t>
      </w:r>
      <w:r>
        <w:rPr>
          <w:color w:val="585858"/>
          <w:spacing w:val="-4"/>
        </w:rPr>
        <w:t> </w:t>
      </w:r>
      <w:r>
        <w:rPr>
          <w:color w:val="585858"/>
        </w:rPr>
        <w:t>the</w:t>
      </w:r>
      <w:r>
        <w:rPr>
          <w:color w:val="585858"/>
          <w:spacing w:val="-3"/>
        </w:rPr>
        <w:t> </w:t>
      </w:r>
      <w:r>
        <w:rPr>
          <w:color w:val="585858"/>
        </w:rPr>
        <w:t>case</w:t>
      </w:r>
      <w:r>
        <w:rPr>
          <w:color w:val="585858"/>
          <w:spacing w:val="-5"/>
        </w:rPr>
        <w:t> </w:t>
      </w:r>
      <w:r>
        <w:rPr>
          <w:color w:val="585858"/>
        </w:rPr>
        <w:t>for</w:t>
      </w:r>
      <w:r>
        <w:rPr>
          <w:color w:val="585858"/>
          <w:spacing w:val="-6"/>
        </w:rPr>
        <w:t> </w:t>
      </w:r>
      <w:r>
        <w:rPr>
          <w:color w:val="585858"/>
        </w:rPr>
        <w:t>safety:</w:t>
      </w:r>
      <w:r>
        <w:rPr>
          <w:color w:val="585858"/>
          <w:spacing w:val="-3"/>
        </w:rPr>
        <w:t> </w:t>
      </w:r>
      <w:r>
        <w:rPr>
          <w:color w:val="585858"/>
        </w:rPr>
        <w:t>The</w:t>
      </w:r>
      <w:r>
        <w:rPr>
          <w:color w:val="585858"/>
          <w:spacing w:val="-6"/>
        </w:rPr>
        <w:t> </w:t>
      </w:r>
      <w:r>
        <w:rPr>
          <w:color w:val="585858"/>
        </w:rPr>
        <w:t>characteristics</w:t>
      </w:r>
      <w:r>
        <w:rPr>
          <w:color w:val="585858"/>
          <w:spacing w:val="-6"/>
        </w:rPr>
        <w:t> </w:t>
      </w:r>
      <w:r>
        <w:rPr>
          <w:color w:val="585858"/>
        </w:rPr>
        <w:t>of</w:t>
      </w:r>
      <w:r>
        <w:rPr>
          <w:color w:val="585858"/>
          <w:spacing w:val="-7"/>
        </w:rPr>
        <w:t> </w:t>
      </w:r>
      <w:r>
        <w:rPr>
          <w:color w:val="585858"/>
        </w:rPr>
        <w:t>leading safety frameworks</w:t>
      </w:r>
    </w:p>
    <w:p>
      <w:pPr>
        <w:pStyle w:val="BodyText"/>
        <w:spacing w:line="288" w:lineRule="auto" w:before="241"/>
        <w:ind w:left="292" w:right="374"/>
      </w:pPr>
      <w:r>
        <w:rPr/>
        <w:t>International thinking around the most effective safety regulatory frameworks for hazardous industries</w:t>
      </w:r>
      <w:r>
        <w:rPr>
          <w:spacing w:val="-2"/>
        </w:rPr>
        <w:t> </w:t>
      </w:r>
      <w:r>
        <w:rPr/>
        <w:t>has</w:t>
      </w:r>
      <w:r>
        <w:rPr>
          <w:spacing w:val="-4"/>
        </w:rPr>
        <w:t> </w:t>
      </w:r>
      <w:r>
        <w:rPr/>
        <w:t>been</w:t>
      </w:r>
      <w:r>
        <w:rPr>
          <w:spacing w:val="-4"/>
        </w:rPr>
        <w:t> </w:t>
      </w:r>
      <w:r>
        <w:rPr/>
        <w:t>heavily</w:t>
      </w:r>
      <w:r>
        <w:rPr>
          <w:spacing w:val="-4"/>
        </w:rPr>
        <w:t> </w:t>
      </w:r>
      <w:r>
        <w:rPr/>
        <w:t>shaped</w:t>
      </w:r>
      <w:r>
        <w:rPr>
          <w:spacing w:val="-2"/>
        </w:rPr>
        <w:t> </w:t>
      </w:r>
      <w:r>
        <w:rPr/>
        <w:t>by</w:t>
      </w:r>
      <w:r>
        <w:rPr>
          <w:spacing w:val="-4"/>
        </w:rPr>
        <w:t> </w:t>
      </w:r>
      <w:r>
        <w:rPr/>
        <w:t>several</w:t>
      </w:r>
      <w:r>
        <w:rPr>
          <w:spacing w:val="-2"/>
        </w:rPr>
        <w:t> </w:t>
      </w:r>
      <w:r>
        <w:rPr/>
        <w:t>major</w:t>
      </w:r>
      <w:r>
        <w:rPr>
          <w:spacing w:val="-3"/>
        </w:rPr>
        <w:t> </w:t>
      </w:r>
      <w:r>
        <w:rPr/>
        <w:t>catastrophic</w:t>
      </w:r>
      <w:r>
        <w:rPr>
          <w:spacing w:val="-1"/>
        </w:rPr>
        <w:t> </w:t>
      </w:r>
      <w:r>
        <w:rPr/>
        <w:t>incidents</w:t>
      </w:r>
      <w:r>
        <w:rPr>
          <w:spacing w:val="-3"/>
        </w:rPr>
        <w:t> </w:t>
      </w:r>
      <w:r>
        <w:rPr/>
        <w:t>over</w:t>
      </w:r>
      <w:r>
        <w:rPr>
          <w:spacing w:val="-1"/>
        </w:rPr>
        <w:t> </w:t>
      </w:r>
      <w:r>
        <w:rPr/>
        <w:t>the</w:t>
      </w:r>
      <w:r>
        <w:rPr>
          <w:spacing w:val="-4"/>
        </w:rPr>
        <w:t> </w:t>
      </w:r>
      <w:r>
        <w:rPr/>
        <w:t>past</w:t>
      </w:r>
      <w:r>
        <w:rPr>
          <w:spacing w:val="-3"/>
        </w:rPr>
        <w:t> </w:t>
      </w:r>
      <w:r>
        <w:rPr/>
        <w:t>four</w:t>
      </w:r>
      <w:r>
        <w:rPr>
          <w:spacing w:val="-3"/>
        </w:rPr>
        <w:t> </w:t>
      </w:r>
      <w:r>
        <w:rPr/>
        <w:t>or five decades.</w:t>
      </w:r>
    </w:p>
    <w:p>
      <w:pPr>
        <w:pStyle w:val="BodyText"/>
        <w:spacing w:before="9"/>
        <w:rPr>
          <w:sz w:val="20"/>
        </w:rPr>
      </w:pPr>
    </w:p>
    <w:p>
      <w:pPr>
        <w:pStyle w:val="BodyText"/>
        <w:spacing w:line="288" w:lineRule="auto"/>
        <w:ind w:left="292" w:right="311"/>
      </w:pPr>
      <w:r>
        <w:rPr/>
        <w:t>In Australia, and many other countries, leading practice has coalesced around a “safety case” approach, whereby regulated operators must have comprehensive systems and processes to identify</w:t>
      </w:r>
      <w:r>
        <w:rPr>
          <w:spacing w:val="-4"/>
        </w:rPr>
        <w:t> </w:t>
      </w:r>
      <w:r>
        <w:rPr/>
        <w:t>and</w:t>
      </w:r>
      <w:r>
        <w:rPr>
          <w:spacing w:val="-4"/>
        </w:rPr>
        <w:t> </w:t>
      </w:r>
      <w:r>
        <w:rPr/>
        <w:t>manage</w:t>
      </w:r>
      <w:r>
        <w:rPr>
          <w:spacing w:val="-4"/>
        </w:rPr>
        <w:t> </w:t>
      </w:r>
      <w:r>
        <w:rPr/>
        <w:t>safety</w:t>
      </w:r>
      <w:r>
        <w:rPr>
          <w:spacing w:val="-3"/>
        </w:rPr>
        <w:t> </w:t>
      </w:r>
      <w:r>
        <w:rPr/>
        <w:t>risks –</w:t>
      </w:r>
      <w:r>
        <w:rPr>
          <w:spacing w:val="-4"/>
        </w:rPr>
        <w:t> </w:t>
      </w:r>
      <w:r>
        <w:rPr/>
        <w:t>and</w:t>
      </w:r>
      <w:r>
        <w:rPr>
          <w:spacing w:val="-4"/>
        </w:rPr>
        <w:t> </w:t>
      </w:r>
      <w:r>
        <w:rPr/>
        <w:t>they</w:t>
      </w:r>
      <w:r>
        <w:rPr>
          <w:spacing w:val="-4"/>
        </w:rPr>
        <w:t> </w:t>
      </w:r>
      <w:r>
        <w:rPr/>
        <w:t>must</w:t>
      </w:r>
      <w:r>
        <w:rPr>
          <w:spacing w:val="-3"/>
        </w:rPr>
        <w:t> </w:t>
      </w:r>
      <w:r>
        <w:rPr/>
        <w:t>be</w:t>
      </w:r>
      <w:r>
        <w:rPr>
          <w:spacing w:val="-2"/>
        </w:rPr>
        <w:t> </w:t>
      </w:r>
      <w:r>
        <w:rPr/>
        <w:t>able</w:t>
      </w:r>
      <w:r>
        <w:rPr>
          <w:spacing w:val="-4"/>
        </w:rPr>
        <w:t> </w:t>
      </w:r>
      <w:r>
        <w:rPr/>
        <w:t>to</w:t>
      </w:r>
      <w:r>
        <w:rPr>
          <w:spacing w:val="-2"/>
        </w:rPr>
        <w:t> </w:t>
      </w:r>
      <w:r>
        <w:rPr/>
        <w:t>demonstrate</w:t>
      </w:r>
      <w:r>
        <w:rPr>
          <w:spacing w:val="-4"/>
        </w:rPr>
        <w:t> </w:t>
      </w:r>
      <w:r>
        <w:rPr/>
        <w:t>the</w:t>
      </w:r>
      <w:r>
        <w:rPr>
          <w:spacing w:val="-2"/>
        </w:rPr>
        <w:t> </w:t>
      </w:r>
      <w:r>
        <w:rPr/>
        <w:t>effectiveness</w:t>
      </w:r>
      <w:r>
        <w:rPr>
          <w:spacing w:val="-2"/>
        </w:rPr>
        <w:t> </w:t>
      </w:r>
      <w:r>
        <w:rPr/>
        <w:t>of</w:t>
      </w:r>
      <w:r>
        <w:rPr>
          <w:spacing w:val="-3"/>
        </w:rPr>
        <w:t> </w:t>
      </w:r>
      <w:r>
        <w:rPr/>
        <w:t>their systems to an external regulator.</w:t>
      </w:r>
    </w:p>
    <w:p>
      <w:pPr>
        <w:pStyle w:val="BodyText"/>
        <w:spacing w:before="10"/>
        <w:rPr>
          <w:sz w:val="20"/>
        </w:rPr>
      </w:pPr>
    </w:p>
    <w:p>
      <w:pPr>
        <w:pStyle w:val="BodyText"/>
        <w:spacing w:line="288" w:lineRule="auto"/>
        <w:ind w:left="292" w:right="311"/>
      </w:pPr>
      <w:r>
        <w:rPr/>
        <w:t>This broad approach was originally pioneered in the United Kingdom’s nuclear industry in the 1960s, and</w:t>
      </w:r>
      <w:r>
        <w:rPr>
          <w:spacing w:val="-4"/>
        </w:rPr>
        <w:t> </w:t>
      </w:r>
      <w:r>
        <w:rPr/>
        <w:t>was</w:t>
      </w:r>
      <w:r>
        <w:rPr>
          <w:spacing w:val="-2"/>
        </w:rPr>
        <w:t> </w:t>
      </w:r>
      <w:r>
        <w:rPr/>
        <w:t>adopted</w:t>
      </w:r>
      <w:r>
        <w:rPr>
          <w:spacing w:val="-4"/>
        </w:rPr>
        <w:t> </w:t>
      </w:r>
      <w:r>
        <w:rPr/>
        <w:t>more</w:t>
      </w:r>
      <w:r>
        <w:rPr>
          <w:spacing w:val="-2"/>
        </w:rPr>
        <w:t> </w:t>
      </w:r>
      <w:r>
        <w:rPr/>
        <w:t>widely</w:t>
      </w:r>
      <w:r>
        <w:rPr>
          <w:spacing w:val="-4"/>
        </w:rPr>
        <w:t> </w:t>
      </w:r>
      <w:r>
        <w:rPr/>
        <w:t>across</w:t>
      </w:r>
      <w:r>
        <w:rPr>
          <w:spacing w:val="-4"/>
        </w:rPr>
        <w:t> </w:t>
      </w:r>
      <w:r>
        <w:rPr/>
        <w:t>the</w:t>
      </w:r>
      <w:r>
        <w:rPr>
          <w:spacing w:val="-7"/>
        </w:rPr>
        <w:t> </w:t>
      </w:r>
      <w:r>
        <w:rPr/>
        <w:t>European</w:t>
      </w:r>
      <w:r>
        <w:rPr>
          <w:spacing w:val="-2"/>
        </w:rPr>
        <w:t> </w:t>
      </w:r>
      <w:r>
        <w:rPr/>
        <w:t>Union</w:t>
      </w:r>
      <w:r>
        <w:rPr>
          <w:spacing w:val="-1"/>
        </w:rPr>
        <w:t> </w:t>
      </w:r>
      <w:r>
        <w:rPr/>
        <w:t>from</w:t>
      </w:r>
      <w:r>
        <w:rPr>
          <w:spacing w:val="-3"/>
        </w:rPr>
        <w:t> </w:t>
      </w:r>
      <w:r>
        <w:rPr/>
        <w:t>the</w:t>
      </w:r>
      <w:r>
        <w:rPr>
          <w:spacing w:val="-2"/>
        </w:rPr>
        <w:t> </w:t>
      </w:r>
      <w:r>
        <w:rPr/>
        <w:t>1980s</w:t>
      </w:r>
      <w:r>
        <w:rPr>
          <w:spacing w:val="-4"/>
        </w:rPr>
        <w:t> </w:t>
      </w:r>
      <w:r>
        <w:rPr/>
        <w:t>through</w:t>
      </w:r>
      <w:r>
        <w:rPr>
          <w:spacing w:val="-4"/>
        </w:rPr>
        <w:t> </w:t>
      </w:r>
      <w:r>
        <w:rPr/>
        <w:t>the</w:t>
      </w:r>
      <w:r>
        <w:rPr>
          <w:spacing w:val="-4"/>
        </w:rPr>
        <w:t> </w:t>
      </w:r>
      <w:r>
        <w:rPr/>
        <w:t>EU’s “Seveso directive”, named after the Italian town that was exposed to the release of highly toxic dioxin following a chemical plant explosion in 1976.</w:t>
      </w:r>
    </w:p>
    <w:p>
      <w:pPr>
        <w:spacing w:after="0" w:line="288" w:lineRule="auto"/>
        <w:sectPr>
          <w:pgSz w:w="11910" w:h="16850"/>
          <w:pgMar w:header="465" w:footer="880" w:top="660" w:bottom="1060" w:left="840" w:right="820"/>
        </w:sectPr>
      </w:pPr>
    </w:p>
    <w:p>
      <w:pPr>
        <w:pStyle w:val="BodyText"/>
        <w:rPr>
          <w:sz w:val="20"/>
        </w:rPr>
      </w:pPr>
    </w:p>
    <w:p>
      <w:pPr>
        <w:pStyle w:val="BodyText"/>
        <w:rPr>
          <w:sz w:val="20"/>
        </w:rPr>
      </w:pPr>
    </w:p>
    <w:p>
      <w:pPr>
        <w:pStyle w:val="BodyText"/>
        <w:spacing w:before="4"/>
      </w:pPr>
    </w:p>
    <w:p>
      <w:pPr>
        <w:pStyle w:val="BodyText"/>
        <w:spacing w:line="288" w:lineRule="auto"/>
        <w:ind w:left="292" w:right="311"/>
      </w:pPr>
      <w:r>
        <w:rPr/>
        <w:t>While not specifically using the term “safety case”, the original Seveso directive required the operators</w:t>
      </w:r>
      <w:r>
        <w:rPr>
          <w:spacing w:val="-2"/>
        </w:rPr>
        <w:t> </w:t>
      </w:r>
      <w:r>
        <w:rPr/>
        <w:t>of</w:t>
      </w:r>
      <w:r>
        <w:rPr>
          <w:spacing w:val="-1"/>
        </w:rPr>
        <w:t> </w:t>
      </w:r>
      <w:r>
        <w:rPr/>
        <w:t>certain</w:t>
      </w:r>
      <w:r>
        <w:rPr>
          <w:spacing w:val="-2"/>
        </w:rPr>
        <w:t> </w:t>
      </w:r>
      <w:r>
        <w:rPr/>
        <w:t>hazardous</w:t>
      </w:r>
      <w:r>
        <w:rPr>
          <w:spacing w:val="-2"/>
        </w:rPr>
        <w:t> </w:t>
      </w:r>
      <w:r>
        <w:rPr/>
        <w:t>industrial</w:t>
      </w:r>
      <w:r>
        <w:rPr>
          <w:spacing w:val="-5"/>
        </w:rPr>
        <w:t> </w:t>
      </w:r>
      <w:r>
        <w:rPr/>
        <w:t>facilities</w:t>
      </w:r>
      <w:r>
        <w:rPr>
          <w:spacing w:val="-2"/>
        </w:rPr>
        <w:t> </w:t>
      </w:r>
      <w:r>
        <w:rPr/>
        <w:t>in</w:t>
      </w:r>
      <w:r>
        <w:rPr>
          <w:spacing w:val="-2"/>
        </w:rPr>
        <w:t> </w:t>
      </w:r>
      <w:r>
        <w:rPr/>
        <w:t>EU</w:t>
      </w:r>
      <w:r>
        <w:rPr>
          <w:spacing w:val="-2"/>
        </w:rPr>
        <w:t> </w:t>
      </w:r>
      <w:r>
        <w:rPr/>
        <w:t>member</w:t>
      </w:r>
      <w:r>
        <w:rPr>
          <w:spacing w:val="-2"/>
        </w:rPr>
        <w:t> </w:t>
      </w:r>
      <w:r>
        <w:rPr/>
        <w:t>states</w:t>
      </w:r>
      <w:r>
        <w:rPr>
          <w:spacing w:val="-6"/>
        </w:rPr>
        <w:t> </w:t>
      </w:r>
      <w:r>
        <w:rPr/>
        <w:t>to</w:t>
      </w:r>
      <w:r>
        <w:rPr>
          <w:spacing w:val="-2"/>
        </w:rPr>
        <w:t> </w:t>
      </w:r>
      <w:r>
        <w:rPr/>
        <w:t>prove</w:t>
      </w:r>
      <w:r>
        <w:rPr>
          <w:spacing w:val="-2"/>
        </w:rPr>
        <w:t> </w:t>
      </w:r>
      <w:r>
        <w:rPr/>
        <w:t>they</w:t>
      </w:r>
      <w:r>
        <w:rPr>
          <w:spacing w:val="-4"/>
        </w:rPr>
        <w:t> </w:t>
      </w:r>
      <w:r>
        <w:rPr/>
        <w:t>had</w:t>
      </w:r>
      <w:r>
        <w:rPr>
          <w:spacing w:val="-4"/>
        </w:rPr>
        <w:t> </w:t>
      </w:r>
      <w:r>
        <w:rPr/>
        <w:t>the necessary comprehensive procedures in place to effectively manage safety.</w:t>
      </w:r>
    </w:p>
    <w:p>
      <w:pPr>
        <w:pStyle w:val="BodyText"/>
        <w:spacing w:before="10"/>
        <w:rPr>
          <w:sz w:val="20"/>
        </w:rPr>
      </w:pPr>
    </w:p>
    <w:p>
      <w:pPr>
        <w:pStyle w:val="BodyText"/>
        <w:spacing w:line="288" w:lineRule="auto"/>
        <w:ind w:left="292"/>
      </w:pPr>
      <w:r>
        <w:rPr/>
        <w:t>The safety case approach was extended to the United Kingdom’s offshore oil and gas industry following the</w:t>
      </w:r>
      <w:r>
        <w:rPr>
          <w:spacing w:val="-4"/>
        </w:rPr>
        <w:t> </w:t>
      </w:r>
      <w:r>
        <w:rPr/>
        <w:t>official</w:t>
      </w:r>
      <w:r>
        <w:rPr>
          <w:spacing w:val="-1"/>
        </w:rPr>
        <w:t> </w:t>
      </w:r>
      <w:r>
        <w:rPr/>
        <w:t>inquiry</w:t>
      </w:r>
      <w:r>
        <w:rPr>
          <w:spacing w:val="-4"/>
        </w:rPr>
        <w:t> </w:t>
      </w:r>
      <w:r>
        <w:rPr/>
        <w:t>by</w:t>
      </w:r>
      <w:r>
        <w:rPr>
          <w:spacing w:val="-4"/>
        </w:rPr>
        <w:t> </w:t>
      </w:r>
      <w:r>
        <w:rPr/>
        <w:t>Lord</w:t>
      </w:r>
      <w:r>
        <w:rPr>
          <w:spacing w:val="-2"/>
        </w:rPr>
        <w:t> </w:t>
      </w:r>
      <w:r>
        <w:rPr/>
        <w:t>Cullen</w:t>
      </w:r>
      <w:r>
        <w:rPr>
          <w:spacing w:val="-2"/>
        </w:rPr>
        <w:t> </w:t>
      </w:r>
      <w:r>
        <w:rPr/>
        <w:t>into</w:t>
      </w:r>
      <w:r>
        <w:rPr>
          <w:spacing w:val="-3"/>
        </w:rPr>
        <w:t> </w:t>
      </w:r>
      <w:r>
        <w:rPr/>
        <w:t>the</w:t>
      </w:r>
      <w:r>
        <w:rPr>
          <w:spacing w:val="-4"/>
        </w:rPr>
        <w:t> </w:t>
      </w:r>
      <w:r>
        <w:rPr/>
        <w:t>Piper</w:t>
      </w:r>
      <w:r>
        <w:rPr>
          <w:spacing w:val="-1"/>
        </w:rPr>
        <w:t> </w:t>
      </w:r>
      <w:r>
        <w:rPr/>
        <w:t>Alpha</w:t>
      </w:r>
      <w:r>
        <w:rPr>
          <w:spacing w:val="-2"/>
        </w:rPr>
        <w:t> </w:t>
      </w:r>
      <w:r>
        <w:rPr/>
        <w:t>oil</w:t>
      </w:r>
      <w:r>
        <w:rPr>
          <w:spacing w:val="-2"/>
        </w:rPr>
        <w:t> </w:t>
      </w:r>
      <w:r>
        <w:rPr/>
        <w:t>platform</w:t>
      </w:r>
      <w:r>
        <w:rPr>
          <w:spacing w:val="-3"/>
        </w:rPr>
        <w:t> </w:t>
      </w:r>
      <w:r>
        <w:rPr/>
        <w:t>disaster</w:t>
      </w:r>
      <w:r>
        <w:rPr>
          <w:spacing w:val="-3"/>
        </w:rPr>
        <w:t> </w:t>
      </w:r>
      <w:r>
        <w:rPr/>
        <w:t>in</w:t>
      </w:r>
      <w:r>
        <w:rPr>
          <w:spacing w:val="-2"/>
        </w:rPr>
        <w:t> </w:t>
      </w:r>
      <w:r>
        <w:rPr/>
        <w:t>1988.</w:t>
      </w:r>
      <w:r>
        <w:rPr>
          <w:spacing w:val="-3"/>
        </w:rPr>
        <w:t> </w:t>
      </w:r>
      <w:r>
        <w:rPr/>
        <w:t>It was subsequently applied to offshore oil and gas production in Australia from 1996.</w:t>
      </w:r>
    </w:p>
    <w:p>
      <w:pPr>
        <w:pStyle w:val="BodyText"/>
        <w:spacing w:before="11"/>
        <w:rPr>
          <w:sz w:val="20"/>
        </w:rPr>
      </w:pPr>
    </w:p>
    <w:p>
      <w:pPr>
        <w:pStyle w:val="BodyText"/>
        <w:spacing w:line="288" w:lineRule="auto"/>
        <w:ind w:left="292" w:right="374"/>
      </w:pPr>
      <w:r>
        <w:rPr/>
        <w:t>Victoria</w:t>
      </w:r>
      <w:r>
        <w:rPr>
          <w:spacing w:val="-2"/>
        </w:rPr>
        <w:t> </w:t>
      </w:r>
      <w:r>
        <w:rPr/>
        <w:t>–</w:t>
      </w:r>
      <w:r>
        <w:rPr>
          <w:spacing w:val="-2"/>
        </w:rPr>
        <w:t> </w:t>
      </w:r>
      <w:r>
        <w:rPr/>
        <w:t>and,</w:t>
      </w:r>
      <w:r>
        <w:rPr>
          <w:spacing w:val="-1"/>
        </w:rPr>
        <w:t> </w:t>
      </w:r>
      <w:r>
        <w:rPr/>
        <w:t>indeed,</w:t>
      </w:r>
      <w:r>
        <w:rPr>
          <w:spacing w:val="-1"/>
        </w:rPr>
        <w:t> </w:t>
      </w:r>
      <w:r>
        <w:rPr/>
        <w:t>one</w:t>
      </w:r>
      <w:r>
        <w:rPr>
          <w:spacing w:val="-2"/>
        </w:rPr>
        <w:t> </w:t>
      </w:r>
      <w:r>
        <w:rPr/>
        <w:t>of</w:t>
      </w:r>
      <w:r>
        <w:rPr>
          <w:spacing w:val="-1"/>
        </w:rPr>
        <w:t> </w:t>
      </w:r>
      <w:r>
        <w:rPr/>
        <w:t>ESV’s</w:t>
      </w:r>
      <w:r>
        <w:rPr>
          <w:spacing w:val="-2"/>
        </w:rPr>
        <w:t> </w:t>
      </w:r>
      <w:r>
        <w:rPr/>
        <w:t>two</w:t>
      </w:r>
      <w:r>
        <w:rPr>
          <w:spacing w:val="-2"/>
        </w:rPr>
        <w:t> </w:t>
      </w:r>
      <w:r>
        <w:rPr/>
        <w:t>predecessor</w:t>
      </w:r>
      <w:r>
        <w:rPr>
          <w:spacing w:val="-2"/>
        </w:rPr>
        <w:t> </w:t>
      </w:r>
      <w:r>
        <w:rPr/>
        <w:t>agencies,</w:t>
      </w:r>
      <w:r>
        <w:rPr>
          <w:spacing w:val="-3"/>
        </w:rPr>
        <w:t> </w:t>
      </w:r>
      <w:r>
        <w:rPr/>
        <w:t>the</w:t>
      </w:r>
      <w:r>
        <w:rPr>
          <w:spacing w:val="-4"/>
        </w:rPr>
        <w:t> </w:t>
      </w:r>
      <w:r>
        <w:rPr/>
        <w:t>Office</w:t>
      </w:r>
      <w:r>
        <w:rPr>
          <w:spacing w:val="-4"/>
        </w:rPr>
        <w:t> </w:t>
      </w:r>
      <w:r>
        <w:rPr/>
        <w:t>of</w:t>
      </w:r>
      <w:r>
        <w:rPr>
          <w:spacing w:val="-1"/>
        </w:rPr>
        <w:t> </w:t>
      </w:r>
      <w:r>
        <w:rPr/>
        <w:t>Gas</w:t>
      </w:r>
      <w:r>
        <w:rPr>
          <w:spacing w:val="-4"/>
        </w:rPr>
        <w:t> </w:t>
      </w:r>
      <w:r>
        <w:rPr/>
        <w:t>Safety</w:t>
      </w:r>
      <w:r>
        <w:rPr>
          <w:spacing w:val="-1"/>
        </w:rPr>
        <w:t> </w:t>
      </w:r>
      <w:r>
        <w:rPr/>
        <w:t>–</w:t>
      </w:r>
      <w:r>
        <w:rPr>
          <w:spacing w:val="-2"/>
        </w:rPr>
        <w:t> </w:t>
      </w:r>
      <w:r>
        <w:rPr/>
        <w:t>was</w:t>
      </w:r>
      <w:r>
        <w:rPr>
          <w:spacing w:val="-2"/>
        </w:rPr>
        <w:t> </w:t>
      </w:r>
      <w:r>
        <w:rPr/>
        <w:t>an early adopter of the safety case approach. Safety cases were introduced as a statutory requirement for gas transmission and distribution networks in Victoria from late 1997.</w:t>
      </w:r>
    </w:p>
    <w:p>
      <w:pPr>
        <w:pStyle w:val="BodyText"/>
        <w:spacing w:before="9"/>
        <w:rPr>
          <w:sz w:val="20"/>
        </w:rPr>
      </w:pPr>
    </w:p>
    <w:p>
      <w:pPr>
        <w:pStyle w:val="BodyText"/>
        <w:spacing w:line="288" w:lineRule="auto"/>
        <w:ind w:left="292" w:right="311"/>
      </w:pPr>
      <w:r>
        <w:rPr/>
        <w:t>The Royal Commission examining the 1998 Esso Longford Plant explosion found that the plant itself was</w:t>
      </w:r>
      <w:r>
        <w:rPr>
          <w:spacing w:val="-2"/>
        </w:rPr>
        <w:t> </w:t>
      </w:r>
      <w:r>
        <w:rPr/>
        <w:t>subject</w:t>
      </w:r>
      <w:r>
        <w:rPr>
          <w:spacing w:val="-3"/>
        </w:rPr>
        <w:t> </w:t>
      </w:r>
      <w:r>
        <w:rPr/>
        <w:t>to</w:t>
      </w:r>
      <w:r>
        <w:rPr>
          <w:spacing w:val="-4"/>
        </w:rPr>
        <w:t> </w:t>
      </w:r>
      <w:r>
        <w:rPr/>
        <w:t>less</w:t>
      </w:r>
      <w:r>
        <w:rPr>
          <w:spacing w:val="-4"/>
        </w:rPr>
        <w:t> </w:t>
      </w:r>
      <w:r>
        <w:rPr/>
        <w:t>stringent</w:t>
      </w:r>
      <w:r>
        <w:rPr>
          <w:spacing w:val="-3"/>
        </w:rPr>
        <w:t> </w:t>
      </w:r>
      <w:r>
        <w:rPr/>
        <w:t>safety</w:t>
      </w:r>
      <w:r>
        <w:rPr>
          <w:spacing w:val="-3"/>
        </w:rPr>
        <w:t> </w:t>
      </w:r>
      <w:r>
        <w:rPr/>
        <w:t>regulation</w:t>
      </w:r>
      <w:r>
        <w:rPr>
          <w:spacing w:val="-2"/>
        </w:rPr>
        <w:t> </w:t>
      </w:r>
      <w:r>
        <w:rPr/>
        <w:t>than</w:t>
      </w:r>
      <w:r>
        <w:rPr>
          <w:spacing w:val="-4"/>
        </w:rPr>
        <w:t> </w:t>
      </w:r>
      <w:r>
        <w:rPr/>
        <w:t>the</w:t>
      </w:r>
      <w:r>
        <w:rPr>
          <w:spacing w:val="-4"/>
        </w:rPr>
        <w:t> </w:t>
      </w:r>
      <w:r>
        <w:rPr/>
        <w:t>safety</w:t>
      </w:r>
      <w:r>
        <w:rPr>
          <w:spacing w:val="-4"/>
        </w:rPr>
        <w:t> </w:t>
      </w:r>
      <w:r>
        <w:rPr/>
        <w:t>case</w:t>
      </w:r>
      <w:r>
        <w:rPr>
          <w:spacing w:val="-4"/>
        </w:rPr>
        <w:t> </w:t>
      </w:r>
      <w:r>
        <w:rPr/>
        <w:t>requirements</w:t>
      </w:r>
      <w:r>
        <w:rPr>
          <w:spacing w:val="-1"/>
        </w:rPr>
        <w:t> </w:t>
      </w:r>
      <w:r>
        <w:rPr/>
        <w:t>in</w:t>
      </w:r>
      <w:r>
        <w:rPr>
          <w:spacing w:val="-2"/>
        </w:rPr>
        <w:t> </w:t>
      </w:r>
      <w:r>
        <w:rPr/>
        <w:t>place</w:t>
      </w:r>
      <w:r>
        <w:rPr>
          <w:spacing w:val="-4"/>
        </w:rPr>
        <w:t> </w:t>
      </w:r>
      <w:r>
        <w:rPr/>
        <w:t>both upstream and</w:t>
      </w:r>
      <w:r>
        <w:rPr>
          <w:spacing w:val="-2"/>
        </w:rPr>
        <w:t> </w:t>
      </w:r>
      <w:r>
        <w:rPr/>
        <w:t>downstream of</w:t>
      </w:r>
      <w:r>
        <w:rPr>
          <w:spacing w:val="-1"/>
        </w:rPr>
        <w:t> </w:t>
      </w:r>
      <w:r>
        <w:rPr/>
        <w:t>the plant.</w:t>
      </w:r>
      <w:r>
        <w:rPr>
          <w:spacing w:val="-3"/>
        </w:rPr>
        <w:t> </w:t>
      </w:r>
      <w:r>
        <w:rPr/>
        <w:t>The Royal</w:t>
      </w:r>
      <w:r>
        <w:rPr>
          <w:spacing w:val="-1"/>
        </w:rPr>
        <w:t> </w:t>
      </w:r>
      <w:r>
        <w:rPr/>
        <w:t>Commission</w:t>
      </w:r>
      <w:r>
        <w:rPr>
          <w:spacing w:val="-2"/>
        </w:rPr>
        <w:t> </w:t>
      </w:r>
      <w:r>
        <w:rPr/>
        <w:t>recommended that</w:t>
      </w:r>
      <w:r>
        <w:rPr>
          <w:spacing w:val="-1"/>
        </w:rPr>
        <w:t> </w:t>
      </w:r>
      <w:r>
        <w:rPr/>
        <w:t>the safety</w:t>
      </w:r>
      <w:r>
        <w:rPr>
          <w:spacing w:val="-2"/>
        </w:rPr>
        <w:t> </w:t>
      </w:r>
      <w:r>
        <w:rPr/>
        <w:t>case approach be applied more broadly to all Major Hazard Facilities in Victoria.</w:t>
      </w:r>
    </w:p>
    <w:p>
      <w:pPr>
        <w:pStyle w:val="BodyText"/>
        <w:rPr>
          <w:sz w:val="24"/>
        </w:rPr>
      </w:pPr>
    </w:p>
    <w:p>
      <w:pPr>
        <w:pStyle w:val="Heading6"/>
        <w:spacing w:line="288" w:lineRule="auto" w:before="145"/>
        <w:ind w:left="292" w:right="311"/>
      </w:pPr>
      <w:r>
        <w:rPr/>
        <w:t>Outcomes-based</w:t>
      </w:r>
      <w:r>
        <w:rPr>
          <w:spacing w:val="-3"/>
        </w:rPr>
        <w:t> </w:t>
      </w:r>
      <w:r>
        <w:rPr/>
        <w:t>regulation</w:t>
      </w:r>
      <w:r>
        <w:rPr>
          <w:spacing w:val="-3"/>
        </w:rPr>
        <w:t> </w:t>
      </w:r>
      <w:r>
        <w:rPr/>
        <w:t>and</w:t>
      </w:r>
      <w:r>
        <w:rPr>
          <w:spacing w:val="-3"/>
        </w:rPr>
        <w:t> </w:t>
      </w:r>
      <w:r>
        <w:rPr/>
        <w:t>the</w:t>
      </w:r>
      <w:r>
        <w:rPr>
          <w:spacing w:val="-3"/>
        </w:rPr>
        <w:t> </w:t>
      </w:r>
      <w:r>
        <w:rPr/>
        <w:t>capabilities</w:t>
      </w:r>
      <w:r>
        <w:rPr>
          <w:spacing w:val="-5"/>
        </w:rPr>
        <w:t> </w:t>
      </w:r>
      <w:r>
        <w:rPr/>
        <w:t>required</w:t>
      </w:r>
      <w:r>
        <w:rPr>
          <w:spacing w:val="-6"/>
        </w:rPr>
        <w:t> </w:t>
      </w:r>
      <w:r>
        <w:rPr/>
        <w:t>by</w:t>
      </w:r>
      <w:r>
        <w:rPr>
          <w:spacing w:val="-10"/>
        </w:rPr>
        <w:t> </w:t>
      </w:r>
      <w:r>
        <w:rPr/>
        <w:t>an</w:t>
      </w:r>
      <w:r>
        <w:rPr>
          <w:spacing w:val="-3"/>
        </w:rPr>
        <w:t> </w:t>
      </w:r>
      <w:r>
        <w:rPr/>
        <w:t>effective</w:t>
      </w:r>
      <w:r>
        <w:rPr>
          <w:spacing w:val="-3"/>
        </w:rPr>
        <w:t> </w:t>
      </w:r>
      <w:r>
        <w:rPr/>
        <w:t>safety </w:t>
      </w:r>
      <w:r>
        <w:rPr>
          <w:spacing w:val="-2"/>
        </w:rPr>
        <w:t>regulator</w:t>
      </w:r>
    </w:p>
    <w:p>
      <w:pPr>
        <w:pStyle w:val="BodyText"/>
        <w:spacing w:line="288" w:lineRule="auto" w:before="120"/>
        <w:ind w:left="292" w:right="406"/>
      </w:pPr>
      <w:r>
        <w:rPr/>
        <w:t>The</w:t>
      </w:r>
      <w:r>
        <w:rPr>
          <w:spacing w:val="-4"/>
        </w:rPr>
        <w:t> </w:t>
      </w:r>
      <w:r>
        <w:rPr/>
        <w:t>safety</w:t>
      </w:r>
      <w:r>
        <w:rPr>
          <w:spacing w:val="-4"/>
        </w:rPr>
        <w:t> </w:t>
      </w:r>
      <w:r>
        <w:rPr/>
        <w:t>case</w:t>
      </w:r>
      <w:r>
        <w:rPr>
          <w:spacing w:val="-2"/>
        </w:rPr>
        <w:t> </w:t>
      </w:r>
      <w:r>
        <w:rPr/>
        <w:t>approach</w:t>
      </w:r>
      <w:r>
        <w:rPr>
          <w:spacing w:val="-2"/>
        </w:rPr>
        <w:t> </w:t>
      </w:r>
      <w:r>
        <w:rPr/>
        <w:t>is</w:t>
      </w:r>
      <w:r>
        <w:rPr>
          <w:spacing w:val="-2"/>
        </w:rPr>
        <w:t> </w:t>
      </w:r>
      <w:r>
        <w:rPr/>
        <w:t>an</w:t>
      </w:r>
      <w:r>
        <w:rPr>
          <w:spacing w:val="-2"/>
        </w:rPr>
        <w:t> </w:t>
      </w:r>
      <w:r>
        <w:rPr/>
        <w:t>outcomes-based</w:t>
      </w:r>
      <w:r>
        <w:rPr>
          <w:spacing w:val="-4"/>
        </w:rPr>
        <w:t> </w:t>
      </w:r>
      <w:r>
        <w:rPr/>
        <w:t>form</w:t>
      </w:r>
      <w:r>
        <w:rPr>
          <w:spacing w:val="-1"/>
        </w:rPr>
        <w:t> </w:t>
      </w:r>
      <w:r>
        <w:rPr/>
        <w:t>of</w:t>
      </w:r>
      <w:r>
        <w:rPr>
          <w:spacing w:val="-3"/>
        </w:rPr>
        <w:t> </w:t>
      </w:r>
      <w:r>
        <w:rPr/>
        <w:t>regulation.</w:t>
      </w:r>
      <w:r>
        <w:rPr>
          <w:spacing w:val="-4"/>
        </w:rPr>
        <w:t> </w:t>
      </w:r>
      <w:r>
        <w:rPr/>
        <w:t>The</w:t>
      </w:r>
      <w:r>
        <w:rPr>
          <w:spacing w:val="-2"/>
        </w:rPr>
        <w:t> </w:t>
      </w:r>
      <w:r>
        <w:rPr/>
        <w:t>overarching</w:t>
      </w:r>
      <w:r>
        <w:rPr>
          <w:spacing w:val="-2"/>
        </w:rPr>
        <w:t> </w:t>
      </w:r>
      <w:r>
        <w:rPr/>
        <w:t>requirement is for regulated businesses to achieve safe </w:t>
      </w:r>
      <w:r>
        <w:rPr>
          <w:i/>
        </w:rPr>
        <w:t>outcomes </w:t>
      </w:r>
      <w:r>
        <w:rPr/>
        <w:t>by reducing risks as far as they can "reasonably practicably" be reduced.</w:t>
      </w:r>
    </w:p>
    <w:p>
      <w:pPr>
        <w:pStyle w:val="BodyText"/>
        <w:spacing w:before="11"/>
        <w:rPr>
          <w:sz w:val="20"/>
        </w:rPr>
      </w:pPr>
    </w:p>
    <w:p>
      <w:pPr>
        <w:spacing w:line="288" w:lineRule="auto" w:before="0"/>
        <w:ind w:left="292" w:right="311" w:firstLine="0"/>
        <w:jc w:val="left"/>
        <w:rPr>
          <w:sz w:val="22"/>
        </w:rPr>
      </w:pPr>
      <w:r>
        <w:rPr>
          <w:sz w:val="22"/>
        </w:rPr>
        <w:t>Businesses must have systems and processes in place to achieve this objective. However, they retain</w:t>
      </w:r>
      <w:r>
        <w:rPr>
          <w:spacing w:val="-2"/>
          <w:sz w:val="22"/>
        </w:rPr>
        <w:t> </w:t>
      </w:r>
      <w:r>
        <w:rPr>
          <w:sz w:val="22"/>
        </w:rPr>
        <w:t>flexibility, </w:t>
      </w:r>
      <w:r>
        <w:rPr>
          <w:i/>
          <w:sz w:val="22"/>
        </w:rPr>
        <w:t>provided</w:t>
      </w:r>
      <w:r>
        <w:rPr>
          <w:i/>
          <w:spacing w:val="-1"/>
          <w:sz w:val="22"/>
        </w:rPr>
        <w:t> </w:t>
      </w:r>
      <w:r>
        <w:rPr>
          <w:i/>
          <w:sz w:val="22"/>
        </w:rPr>
        <w:t>that</w:t>
      </w:r>
      <w:r>
        <w:rPr>
          <w:i/>
          <w:spacing w:val="-2"/>
          <w:sz w:val="22"/>
        </w:rPr>
        <w:t> </w:t>
      </w:r>
      <w:r>
        <w:rPr>
          <w:i/>
          <w:sz w:val="22"/>
        </w:rPr>
        <w:t>they</w:t>
      </w:r>
      <w:r>
        <w:rPr>
          <w:i/>
          <w:spacing w:val="-3"/>
          <w:sz w:val="22"/>
        </w:rPr>
        <w:t> </w:t>
      </w:r>
      <w:r>
        <w:rPr>
          <w:i/>
          <w:sz w:val="22"/>
        </w:rPr>
        <w:t>can</w:t>
      </w:r>
      <w:r>
        <w:rPr>
          <w:i/>
          <w:spacing w:val="-3"/>
          <w:sz w:val="22"/>
        </w:rPr>
        <w:t> </w:t>
      </w:r>
      <w:r>
        <w:rPr>
          <w:i/>
          <w:sz w:val="22"/>
        </w:rPr>
        <w:t>make</w:t>
      </w:r>
      <w:r>
        <w:rPr>
          <w:i/>
          <w:spacing w:val="-3"/>
          <w:sz w:val="22"/>
        </w:rPr>
        <w:t> </w:t>
      </w:r>
      <w:r>
        <w:rPr>
          <w:i/>
          <w:sz w:val="22"/>
        </w:rPr>
        <w:t>a</w:t>
      </w:r>
      <w:r>
        <w:rPr>
          <w:i/>
          <w:spacing w:val="-1"/>
          <w:sz w:val="22"/>
        </w:rPr>
        <w:t> </w:t>
      </w:r>
      <w:r>
        <w:rPr>
          <w:i/>
          <w:sz w:val="22"/>
        </w:rPr>
        <w:t>sufficiently</w:t>
      </w:r>
      <w:r>
        <w:rPr>
          <w:i/>
          <w:spacing w:val="-3"/>
          <w:sz w:val="22"/>
        </w:rPr>
        <w:t> </w:t>
      </w:r>
      <w:r>
        <w:rPr>
          <w:i/>
          <w:sz w:val="22"/>
        </w:rPr>
        <w:t>compelling</w:t>
      </w:r>
      <w:r>
        <w:rPr>
          <w:i/>
          <w:spacing w:val="-1"/>
          <w:sz w:val="22"/>
        </w:rPr>
        <w:t> </w:t>
      </w:r>
      <w:r>
        <w:rPr>
          <w:i/>
          <w:sz w:val="22"/>
        </w:rPr>
        <w:t>case</w:t>
      </w:r>
      <w:r>
        <w:rPr>
          <w:i/>
          <w:spacing w:val="-1"/>
          <w:sz w:val="22"/>
        </w:rPr>
        <w:t> </w:t>
      </w:r>
      <w:r>
        <w:rPr>
          <w:i/>
          <w:sz w:val="22"/>
        </w:rPr>
        <w:t>to</w:t>
      </w:r>
      <w:r>
        <w:rPr>
          <w:i/>
          <w:spacing w:val="-3"/>
          <w:sz w:val="22"/>
        </w:rPr>
        <w:t> </w:t>
      </w:r>
      <w:r>
        <w:rPr>
          <w:i/>
          <w:sz w:val="22"/>
        </w:rPr>
        <w:t>the</w:t>
      </w:r>
      <w:r>
        <w:rPr>
          <w:i/>
          <w:spacing w:val="-3"/>
          <w:sz w:val="22"/>
        </w:rPr>
        <w:t> </w:t>
      </w:r>
      <w:r>
        <w:rPr>
          <w:i/>
          <w:sz w:val="22"/>
        </w:rPr>
        <w:t>regulator</w:t>
      </w:r>
      <w:r>
        <w:rPr>
          <w:sz w:val="22"/>
        </w:rPr>
        <w:t>,</w:t>
      </w:r>
      <w:r>
        <w:rPr>
          <w:spacing w:val="-2"/>
          <w:sz w:val="22"/>
        </w:rPr>
        <w:t> </w:t>
      </w:r>
      <w:r>
        <w:rPr>
          <w:sz w:val="22"/>
        </w:rPr>
        <w:t>that</w:t>
      </w:r>
      <w:r>
        <w:rPr>
          <w:spacing w:val="-2"/>
          <w:sz w:val="22"/>
        </w:rPr>
        <w:t> </w:t>
      </w:r>
      <w:r>
        <w:rPr>
          <w:sz w:val="22"/>
        </w:rPr>
        <w:t>the systems and processes will, in fact, reduce risks as far as reasonably practicable.</w:t>
      </w:r>
    </w:p>
    <w:p>
      <w:pPr>
        <w:pStyle w:val="BodyText"/>
        <w:spacing w:before="9"/>
        <w:rPr>
          <w:sz w:val="20"/>
        </w:rPr>
      </w:pPr>
    </w:p>
    <w:p>
      <w:pPr>
        <w:pStyle w:val="BodyText"/>
        <w:spacing w:line="288" w:lineRule="auto"/>
        <w:ind w:left="292" w:right="406"/>
      </w:pPr>
      <w:r>
        <w:rPr/>
        <w:t>International</w:t>
      </w:r>
      <w:r>
        <w:rPr>
          <w:spacing w:val="-3"/>
        </w:rPr>
        <w:t> </w:t>
      </w:r>
      <w:r>
        <w:rPr/>
        <w:t>experience</w:t>
      </w:r>
      <w:r>
        <w:rPr>
          <w:spacing w:val="-4"/>
        </w:rPr>
        <w:t> </w:t>
      </w:r>
      <w:r>
        <w:rPr/>
        <w:t>has</w:t>
      </w:r>
      <w:r>
        <w:rPr>
          <w:spacing w:val="-2"/>
        </w:rPr>
        <w:t> </w:t>
      </w:r>
      <w:r>
        <w:rPr/>
        <w:t>shown</w:t>
      </w:r>
      <w:r>
        <w:rPr>
          <w:spacing w:val="-2"/>
        </w:rPr>
        <w:t> </w:t>
      </w:r>
      <w:r>
        <w:rPr/>
        <w:t>that</w:t>
      </w:r>
      <w:r>
        <w:rPr>
          <w:spacing w:val="-3"/>
        </w:rPr>
        <w:t> </w:t>
      </w:r>
      <w:r>
        <w:rPr/>
        <w:t>the</w:t>
      </w:r>
      <w:r>
        <w:rPr>
          <w:spacing w:val="-4"/>
        </w:rPr>
        <w:t> </w:t>
      </w:r>
      <w:r>
        <w:rPr/>
        <w:t>safety</w:t>
      </w:r>
      <w:r>
        <w:rPr>
          <w:spacing w:val="-4"/>
        </w:rPr>
        <w:t> </w:t>
      </w:r>
      <w:r>
        <w:rPr/>
        <w:t>case</w:t>
      </w:r>
      <w:r>
        <w:rPr>
          <w:spacing w:val="-2"/>
        </w:rPr>
        <w:t> </w:t>
      </w:r>
      <w:r>
        <w:rPr/>
        <w:t>approach</w:t>
      </w:r>
      <w:r>
        <w:rPr>
          <w:spacing w:val="-4"/>
        </w:rPr>
        <w:t> </w:t>
      </w:r>
      <w:r>
        <w:rPr/>
        <w:t>does</w:t>
      </w:r>
      <w:r>
        <w:rPr>
          <w:spacing w:val="-4"/>
        </w:rPr>
        <w:t> </w:t>
      </w:r>
      <w:r>
        <w:rPr/>
        <w:t>not</w:t>
      </w:r>
      <w:r>
        <w:rPr>
          <w:spacing w:val="-2"/>
        </w:rPr>
        <w:t> </w:t>
      </w:r>
      <w:r>
        <w:rPr/>
        <w:t>provide</w:t>
      </w:r>
      <w:r>
        <w:rPr>
          <w:spacing w:val="-2"/>
        </w:rPr>
        <w:t> </w:t>
      </w:r>
      <w:r>
        <w:rPr/>
        <w:t>a</w:t>
      </w:r>
      <w:r>
        <w:rPr>
          <w:spacing w:val="-2"/>
        </w:rPr>
        <w:t> </w:t>
      </w:r>
      <w:r>
        <w:rPr/>
        <w:t>silver</w:t>
      </w:r>
      <w:r>
        <w:rPr>
          <w:spacing w:val="-2"/>
        </w:rPr>
        <w:t> </w:t>
      </w:r>
      <w:r>
        <w:rPr/>
        <w:t>bullet. Everything depends on how well the safety case is prepared; how deeply it is embedded in the working</w:t>
      </w:r>
      <w:r>
        <w:rPr>
          <w:spacing w:val="-1"/>
        </w:rPr>
        <w:t> </w:t>
      </w:r>
      <w:r>
        <w:rPr/>
        <w:t>arrangements</w:t>
      </w:r>
      <w:r>
        <w:rPr>
          <w:spacing w:val="-3"/>
        </w:rPr>
        <w:t> </w:t>
      </w:r>
      <w:r>
        <w:rPr/>
        <w:t>and</w:t>
      </w:r>
      <w:r>
        <w:rPr>
          <w:spacing w:val="-1"/>
        </w:rPr>
        <w:t> </w:t>
      </w:r>
      <w:r>
        <w:rPr/>
        <w:t>cultures within</w:t>
      </w:r>
      <w:r>
        <w:rPr>
          <w:spacing w:val="-1"/>
        </w:rPr>
        <w:t> </w:t>
      </w:r>
      <w:r>
        <w:rPr/>
        <w:t>the</w:t>
      </w:r>
      <w:r>
        <w:rPr>
          <w:spacing w:val="-1"/>
        </w:rPr>
        <w:t> </w:t>
      </w:r>
      <w:r>
        <w:rPr/>
        <w:t>organisation</w:t>
      </w:r>
      <w:r>
        <w:rPr>
          <w:spacing w:val="-1"/>
        </w:rPr>
        <w:t> </w:t>
      </w:r>
      <w:r>
        <w:rPr/>
        <w:t>that is</w:t>
      </w:r>
      <w:r>
        <w:rPr>
          <w:spacing w:val="-3"/>
        </w:rPr>
        <w:t> </w:t>
      </w:r>
      <w:r>
        <w:rPr/>
        <w:t>being</w:t>
      </w:r>
      <w:r>
        <w:rPr>
          <w:spacing w:val="-1"/>
        </w:rPr>
        <w:t> </w:t>
      </w:r>
      <w:r>
        <w:rPr/>
        <w:t>regulated; how</w:t>
      </w:r>
      <w:r>
        <w:rPr>
          <w:spacing w:val="-4"/>
        </w:rPr>
        <w:t> </w:t>
      </w:r>
      <w:r>
        <w:rPr/>
        <w:t>effectively it is implemented and updated; and how well it is regulated by the external regulator.</w:t>
      </w:r>
    </w:p>
    <w:p>
      <w:pPr>
        <w:pStyle w:val="BodyText"/>
        <w:spacing w:before="10"/>
        <w:rPr>
          <w:sz w:val="20"/>
        </w:rPr>
      </w:pPr>
    </w:p>
    <w:p>
      <w:pPr>
        <w:pStyle w:val="BodyText"/>
        <w:spacing w:line="288" w:lineRule="auto"/>
        <w:ind w:left="292"/>
      </w:pPr>
      <w:r>
        <w:rPr/>
        <w:t>In</w:t>
      </w:r>
      <w:r>
        <w:rPr>
          <w:spacing w:val="-2"/>
        </w:rPr>
        <w:t> </w:t>
      </w:r>
      <w:r>
        <w:rPr/>
        <w:t>a</w:t>
      </w:r>
      <w:r>
        <w:rPr>
          <w:spacing w:val="-4"/>
        </w:rPr>
        <w:t> </w:t>
      </w:r>
      <w:r>
        <w:rPr/>
        <w:t>speech</w:t>
      </w:r>
      <w:r>
        <w:rPr>
          <w:spacing w:val="-4"/>
        </w:rPr>
        <w:t> </w:t>
      </w:r>
      <w:r>
        <w:rPr/>
        <w:t>in</w:t>
      </w:r>
      <w:r>
        <w:rPr>
          <w:spacing w:val="-2"/>
        </w:rPr>
        <w:t> </w:t>
      </w:r>
      <w:r>
        <w:rPr/>
        <w:t>June</w:t>
      </w:r>
      <w:r>
        <w:rPr>
          <w:spacing w:val="-4"/>
        </w:rPr>
        <w:t> </w:t>
      </w:r>
      <w:r>
        <w:rPr/>
        <w:t>this</w:t>
      </w:r>
      <w:r>
        <w:rPr>
          <w:spacing w:val="-4"/>
        </w:rPr>
        <w:t> </w:t>
      </w:r>
      <w:r>
        <w:rPr/>
        <w:t>year, Justice</w:t>
      </w:r>
      <w:r>
        <w:rPr>
          <w:spacing w:val="-2"/>
        </w:rPr>
        <w:t> </w:t>
      </w:r>
      <w:r>
        <w:rPr/>
        <w:t>Haddon-Cave,</w:t>
      </w:r>
      <w:r>
        <w:rPr>
          <w:spacing w:val="-1"/>
        </w:rPr>
        <w:t> </w:t>
      </w:r>
      <w:r>
        <w:rPr/>
        <w:t>who</w:t>
      </w:r>
      <w:r>
        <w:rPr>
          <w:spacing w:val="-2"/>
        </w:rPr>
        <w:t> </w:t>
      </w:r>
      <w:r>
        <w:rPr/>
        <w:t>conducted</w:t>
      </w:r>
      <w:r>
        <w:rPr>
          <w:spacing w:val="-2"/>
        </w:rPr>
        <w:t> </w:t>
      </w:r>
      <w:r>
        <w:rPr/>
        <w:t>a</w:t>
      </w:r>
      <w:r>
        <w:rPr>
          <w:spacing w:val="-4"/>
        </w:rPr>
        <w:t> </w:t>
      </w:r>
      <w:r>
        <w:rPr/>
        <w:t>major</w:t>
      </w:r>
      <w:r>
        <w:rPr>
          <w:spacing w:val="-1"/>
        </w:rPr>
        <w:t> </w:t>
      </w:r>
      <w:r>
        <w:rPr/>
        <w:t>inquiry</w:t>
      </w:r>
      <w:r>
        <w:rPr>
          <w:spacing w:val="-6"/>
        </w:rPr>
        <w:t> </w:t>
      </w:r>
      <w:r>
        <w:rPr/>
        <w:t>for</w:t>
      </w:r>
      <w:r>
        <w:rPr>
          <w:spacing w:val="-3"/>
        </w:rPr>
        <w:t> </w:t>
      </w:r>
      <w:r>
        <w:rPr/>
        <w:t>the</w:t>
      </w:r>
      <w:r>
        <w:rPr>
          <w:spacing w:val="-2"/>
        </w:rPr>
        <w:t> </w:t>
      </w:r>
      <w:r>
        <w:rPr/>
        <w:t>British Government into the causes of a catastrophic mid-air loss of an RAF Nimrod aircraft in 2006, summarised this point clearly:</w:t>
      </w:r>
    </w:p>
    <w:p>
      <w:pPr>
        <w:pStyle w:val="BodyText"/>
        <w:rPr>
          <w:sz w:val="21"/>
        </w:rPr>
      </w:pPr>
    </w:p>
    <w:p>
      <w:pPr>
        <w:spacing w:line="288" w:lineRule="auto" w:before="0"/>
        <w:ind w:left="859" w:right="910" w:firstLine="0"/>
        <w:jc w:val="left"/>
        <w:rPr>
          <w:i/>
          <w:sz w:val="22"/>
        </w:rPr>
      </w:pPr>
      <w:r>
        <w:rPr>
          <w:i/>
          <w:sz w:val="22"/>
        </w:rPr>
        <w:t>“Safety Cases and the Safety Case regime and methodology are invaluable tools in modern</w:t>
      </w:r>
      <w:r>
        <w:rPr>
          <w:i/>
          <w:spacing w:val="-4"/>
          <w:sz w:val="22"/>
        </w:rPr>
        <w:t> </w:t>
      </w:r>
      <w:r>
        <w:rPr>
          <w:i/>
          <w:sz w:val="22"/>
        </w:rPr>
        <w:t>risk</w:t>
      </w:r>
      <w:r>
        <w:rPr>
          <w:i/>
          <w:spacing w:val="-4"/>
          <w:sz w:val="22"/>
        </w:rPr>
        <w:t> </w:t>
      </w:r>
      <w:r>
        <w:rPr>
          <w:i/>
          <w:sz w:val="22"/>
        </w:rPr>
        <w:t>management.</w:t>
      </w:r>
      <w:r>
        <w:rPr>
          <w:i/>
          <w:spacing w:val="-3"/>
          <w:sz w:val="22"/>
        </w:rPr>
        <w:t> </w:t>
      </w:r>
      <w:r>
        <w:rPr>
          <w:i/>
          <w:sz w:val="22"/>
        </w:rPr>
        <w:t>Safety</w:t>
      </w:r>
      <w:r>
        <w:rPr>
          <w:i/>
          <w:spacing w:val="-1"/>
          <w:sz w:val="22"/>
        </w:rPr>
        <w:t> </w:t>
      </w:r>
      <w:r>
        <w:rPr>
          <w:i/>
          <w:sz w:val="22"/>
        </w:rPr>
        <w:t>Cases</w:t>
      </w:r>
      <w:r>
        <w:rPr>
          <w:i/>
          <w:spacing w:val="-4"/>
          <w:sz w:val="22"/>
        </w:rPr>
        <w:t> </w:t>
      </w:r>
      <w:r>
        <w:rPr>
          <w:i/>
          <w:sz w:val="22"/>
        </w:rPr>
        <w:t>are</w:t>
      </w:r>
      <w:r>
        <w:rPr>
          <w:i/>
          <w:spacing w:val="-4"/>
          <w:sz w:val="22"/>
        </w:rPr>
        <w:t> </w:t>
      </w:r>
      <w:r>
        <w:rPr>
          <w:i/>
          <w:sz w:val="22"/>
        </w:rPr>
        <w:t>here</w:t>
      </w:r>
      <w:r>
        <w:rPr>
          <w:i/>
          <w:spacing w:val="-6"/>
          <w:sz w:val="22"/>
        </w:rPr>
        <w:t> </w:t>
      </w:r>
      <w:r>
        <w:rPr>
          <w:i/>
          <w:sz w:val="22"/>
        </w:rPr>
        <w:t>to</w:t>
      </w:r>
      <w:r>
        <w:rPr>
          <w:i/>
          <w:spacing w:val="-2"/>
          <w:sz w:val="22"/>
        </w:rPr>
        <w:t> </w:t>
      </w:r>
      <w:r>
        <w:rPr>
          <w:i/>
          <w:sz w:val="22"/>
        </w:rPr>
        <w:t>stay.</w:t>
      </w:r>
      <w:r>
        <w:rPr>
          <w:i/>
          <w:spacing w:val="-3"/>
          <w:sz w:val="22"/>
        </w:rPr>
        <w:t> </w:t>
      </w:r>
      <w:r>
        <w:rPr>
          <w:i/>
          <w:sz w:val="22"/>
        </w:rPr>
        <w:t>Properly</w:t>
      </w:r>
      <w:r>
        <w:rPr>
          <w:i/>
          <w:spacing w:val="-1"/>
          <w:sz w:val="22"/>
        </w:rPr>
        <w:t> </w:t>
      </w:r>
      <w:r>
        <w:rPr>
          <w:i/>
          <w:sz w:val="22"/>
        </w:rPr>
        <w:t>used,</w:t>
      </w:r>
      <w:r>
        <w:rPr>
          <w:i/>
          <w:spacing w:val="-3"/>
          <w:sz w:val="22"/>
        </w:rPr>
        <w:t> </w:t>
      </w:r>
      <w:r>
        <w:rPr>
          <w:i/>
          <w:sz w:val="22"/>
        </w:rPr>
        <w:t>they</w:t>
      </w:r>
      <w:r>
        <w:rPr>
          <w:i/>
          <w:spacing w:val="-2"/>
          <w:sz w:val="22"/>
        </w:rPr>
        <w:t> </w:t>
      </w:r>
      <w:r>
        <w:rPr>
          <w:i/>
          <w:sz w:val="22"/>
        </w:rPr>
        <w:t>provide an invaluable intellectual and practical structure for analysing, anticipating and</w:t>
      </w:r>
    </w:p>
    <w:p>
      <w:pPr>
        <w:spacing w:line="288" w:lineRule="auto" w:before="0"/>
        <w:ind w:left="859" w:right="910" w:firstLine="0"/>
        <w:jc w:val="left"/>
        <w:rPr>
          <w:i/>
          <w:sz w:val="22"/>
        </w:rPr>
      </w:pPr>
      <w:r>
        <w:rPr>
          <w:i/>
          <w:sz w:val="22"/>
        </w:rPr>
        <w:t>ameliorating risks. However, like so many ‘paper-based’ solutions, they are open to abuse</w:t>
      </w:r>
      <w:r>
        <w:rPr>
          <w:i/>
          <w:spacing w:val="-2"/>
          <w:sz w:val="22"/>
        </w:rPr>
        <w:t> </w:t>
      </w:r>
      <w:r>
        <w:rPr>
          <w:i/>
          <w:sz w:val="22"/>
        </w:rPr>
        <w:t>and</w:t>
      </w:r>
      <w:r>
        <w:rPr>
          <w:i/>
          <w:spacing w:val="-2"/>
          <w:sz w:val="22"/>
        </w:rPr>
        <w:t> </w:t>
      </w:r>
      <w:r>
        <w:rPr>
          <w:i/>
          <w:sz w:val="22"/>
        </w:rPr>
        <w:t>lassitude</w:t>
      </w:r>
      <w:r>
        <w:rPr>
          <w:i/>
          <w:spacing w:val="-2"/>
          <w:sz w:val="22"/>
        </w:rPr>
        <w:t> </w:t>
      </w:r>
      <w:r>
        <w:rPr>
          <w:i/>
          <w:sz w:val="22"/>
        </w:rPr>
        <w:t>and</w:t>
      </w:r>
      <w:r>
        <w:rPr>
          <w:i/>
          <w:spacing w:val="-6"/>
          <w:sz w:val="22"/>
        </w:rPr>
        <w:t> </w:t>
      </w:r>
      <w:r>
        <w:rPr>
          <w:i/>
          <w:sz w:val="22"/>
        </w:rPr>
        <w:t>can</w:t>
      </w:r>
      <w:r>
        <w:rPr>
          <w:i/>
          <w:spacing w:val="-2"/>
          <w:sz w:val="22"/>
        </w:rPr>
        <w:t> </w:t>
      </w:r>
      <w:r>
        <w:rPr>
          <w:i/>
          <w:sz w:val="22"/>
        </w:rPr>
        <w:t>become</w:t>
      </w:r>
      <w:r>
        <w:rPr>
          <w:i/>
          <w:spacing w:val="-2"/>
          <w:sz w:val="22"/>
        </w:rPr>
        <w:t> </w:t>
      </w:r>
      <w:r>
        <w:rPr>
          <w:i/>
          <w:sz w:val="22"/>
        </w:rPr>
        <w:t>a</w:t>
      </w:r>
      <w:r>
        <w:rPr>
          <w:i/>
          <w:spacing w:val="-4"/>
          <w:sz w:val="22"/>
        </w:rPr>
        <w:t> </w:t>
      </w:r>
      <w:r>
        <w:rPr>
          <w:i/>
          <w:sz w:val="22"/>
        </w:rPr>
        <w:t>‘comfort blanket’</w:t>
      </w:r>
      <w:r>
        <w:rPr>
          <w:i/>
          <w:spacing w:val="-7"/>
          <w:sz w:val="22"/>
        </w:rPr>
        <w:t> </w:t>
      </w:r>
      <w:r>
        <w:rPr>
          <w:i/>
          <w:sz w:val="22"/>
        </w:rPr>
        <w:t>to</w:t>
      </w:r>
      <w:r>
        <w:rPr>
          <w:i/>
          <w:spacing w:val="-2"/>
          <w:sz w:val="22"/>
        </w:rPr>
        <w:t> </w:t>
      </w:r>
      <w:r>
        <w:rPr>
          <w:i/>
          <w:sz w:val="22"/>
        </w:rPr>
        <w:t>keep</w:t>
      </w:r>
      <w:r>
        <w:rPr>
          <w:i/>
          <w:spacing w:val="-2"/>
          <w:sz w:val="22"/>
        </w:rPr>
        <w:t> </w:t>
      </w:r>
      <w:r>
        <w:rPr>
          <w:i/>
          <w:sz w:val="22"/>
        </w:rPr>
        <w:t>one</w:t>
      </w:r>
      <w:r>
        <w:rPr>
          <w:i/>
          <w:spacing w:val="-6"/>
          <w:sz w:val="22"/>
        </w:rPr>
        <w:t> </w:t>
      </w:r>
      <w:r>
        <w:rPr>
          <w:i/>
          <w:sz w:val="22"/>
        </w:rPr>
        <w:t>warm</w:t>
      </w:r>
      <w:r>
        <w:rPr>
          <w:i/>
          <w:spacing w:val="-3"/>
          <w:sz w:val="22"/>
        </w:rPr>
        <w:t> </w:t>
      </w:r>
      <w:r>
        <w:rPr>
          <w:i/>
          <w:sz w:val="22"/>
        </w:rPr>
        <w:t>from</w:t>
      </w:r>
      <w:r>
        <w:rPr>
          <w:i/>
          <w:spacing w:val="-3"/>
          <w:sz w:val="22"/>
        </w:rPr>
        <w:t> </w:t>
      </w:r>
      <w:r>
        <w:rPr>
          <w:i/>
          <w:sz w:val="22"/>
        </w:rPr>
        <w:t>the chill of having to face the realities of multifarious risk.”</w:t>
      </w:r>
    </w:p>
    <w:p>
      <w:pPr>
        <w:pStyle w:val="BodyText"/>
        <w:spacing w:before="8"/>
        <w:rPr>
          <w:i/>
          <w:sz w:val="20"/>
        </w:rPr>
      </w:pPr>
    </w:p>
    <w:p>
      <w:pPr>
        <w:pStyle w:val="BodyText"/>
        <w:spacing w:line="288" w:lineRule="auto" w:before="1"/>
        <w:ind w:left="292"/>
      </w:pPr>
      <w:r>
        <w:rPr/>
        <w:t>The</w:t>
      </w:r>
      <w:r>
        <w:rPr>
          <w:spacing w:val="-4"/>
        </w:rPr>
        <w:t> </w:t>
      </w:r>
      <w:r>
        <w:rPr/>
        <w:t>approach</w:t>
      </w:r>
      <w:r>
        <w:rPr>
          <w:spacing w:val="-4"/>
        </w:rPr>
        <w:t> </w:t>
      </w:r>
      <w:r>
        <w:rPr/>
        <w:t>of the</w:t>
      </w:r>
      <w:r>
        <w:rPr>
          <w:spacing w:val="-4"/>
        </w:rPr>
        <w:t> </w:t>
      </w:r>
      <w:r>
        <w:rPr/>
        <w:t>regulator is</w:t>
      </w:r>
      <w:r>
        <w:rPr>
          <w:spacing w:val="-6"/>
        </w:rPr>
        <w:t> </w:t>
      </w:r>
      <w:r>
        <w:rPr/>
        <w:t>fundamentally</w:t>
      </w:r>
      <w:r>
        <w:rPr>
          <w:spacing w:val="-4"/>
        </w:rPr>
        <w:t> </w:t>
      </w:r>
      <w:r>
        <w:rPr/>
        <w:t>important, as</w:t>
      </w:r>
      <w:r>
        <w:rPr>
          <w:spacing w:val="-4"/>
        </w:rPr>
        <w:t> </w:t>
      </w:r>
      <w:r>
        <w:rPr/>
        <w:t>highlighted</w:t>
      </w:r>
      <w:r>
        <w:rPr>
          <w:spacing w:val="-4"/>
        </w:rPr>
        <w:t> </w:t>
      </w:r>
      <w:r>
        <w:rPr/>
        <w:t>by</w:t>
      </w:r>
      <w:r>
        <w:rPr>
          <w:spacing w:val="-4"/>
        </w:rPr>
        <w:t> </w:t>
      </w:r>
      <w:r>
        <w:rPr/>
        <w:t>the</w:t>
      </w:r>
      <w:r>
        <w:rPr>
          <w:spacing w:val="-2"/>
        </w:rPr>
        <w:t> </w:t>
      </w:r>
      <w:r>
        <w:rPr/>
        <w:t>Australian</w:t>
      </w:r>
      <w:r>
        <w:rPr>
          <w:spacing w:val="-2"/>
        </w:rPr>
        <w:t> </w:t>
      </w:r>
      <w:r>
        <w:rPr/>
        <w:t>National University’s Professor Andrew Hopkins:</w:t>
      </w:r>
    </w:p>
    <w:p>
      <w:pPr>
        <w:spacing w:after="0" w:line="288" w:lineRule="auto"/>
        <w:sectPr>
          <w:pgSz w:w="11910" w:h="16850"/>
          <w:pgMar w:header="465" w:footer="880" w:top="660" w:bottom="1060" w:left="840" w:right="820"/>
        </w:sectPr>
      </w:pPr>
    </w:p>
    <w:p>
      <w:pPr>
        <w:pStyle w:val="BodyText"/>
        <w:rPr>
          <w:sz w:val="20"/>
        </w:rPr>
      </w:pPr>
    </w:p>
    <w:p>
      <w:pPr>
        <w:pStyle w:val="BodyText"/>
        <w:rPr>
          <w:sz w:val="20"/>
        </w:rPr>
      </w:pPr>
    </w:p>
    <w:p>
      <w:pPr>
        <w:pStyle w:val="BodyText"/>
        <w:spacing w:before="4"/>
      </w:pPr>
    </w:p>
    <w:p>
      <w:pPr>
        <w:spacing w:line="288" w:lineRule="auto" w:before="0"/>
        <w:ind w:left="859" w:right="904" w:firstLine="0"/>
        <w:jc w:val="left"/>
        <w:rPr>
          <w:i/>
          <w:sz w:val="22"/>
        </w:rPr>
      </w:pPr>
      <w:r>
        <w:rPr>
          <w:i/>
          <w:sz w:val="22"/>
        </w:rPr>
        <w:t>“Many jurisdictions around the world have fallen into the trap of thinking that all they need to do to institute a safety case regime is enact the necessary legislation. This is a serious error. Safety case regimes have only functioned well when there is a competent,</w:t>
      </w:r>
      <w:r>
        <w:rPr>
          <w:i/>
          <w:spacing w:val="-4"/>
          <w:sz w:val="22"/>
        </w:rPr>
        <w:t> </w:t>
      </w:r>
      <w:r>
        <w:rPr>
          <w:i/>
          <w:sz w:val="22"/>
        </w:rPr>
        <w:t>independent</w:t>
      </w:r>
      <w:r>
        <w:rPr>
          <w:i/>
          <w:spacing w:val="-6"/>
          <w:sz w:val="22"/>
        </w:rPr>
        <w:t> </w:t>
      </w:r>
      <w:r>
        <w:rPr>
          <w:i/>
          <w:sz w:val="22"/>
        </w:rPr>
        <w:t>and</w:t>
      </w:r>
      <w:r>
        <w:rPr>
          <w:i/>
          <w:spacing w:val="-3"/>
          <w:sz w:val="22"/>
        </w:rPr>
        <w:t> </w:t>
      </w:r>
      <w:r>
        <w:rPr>
          <w:i/>
          <w:sz w:val="22"/>
        </w:rPr>
        <w:t>well-resourced</w:t>
      </w:r>
      <w:r>
        <w:rPr>
          <w:i/>
          <w:spacing w:val="-5"/>
          <w:sz w:val="22"/>
        </w:rPr>
        <w:t> </w:t>
      </w:r>
      <w:r>
        <w:rPr>
          <w:i/>
          <w:sz w:val="22"/>
        </w:rPr>
        <w:t>regulator.</w:t>
      </w:r>
      <w:r>
        <w:rPr>
          <w:i/>
          <w:spacing w:val="-4"/>
          <w:sz w:val="22"/>
        </w:rPr>
        <w:t> </w:t>
      </w:r>
      <w:r>
        <w:rPr>
          <w:i/>
          <w:sz w:val="22"/>
        </w:rPr>
        <w:t>Importantly,</w:t>
      </w:r>
      <w:r>
        <w:rPr>
          <w:i/>
          <w:spacing w:val="-4"/>
          <w:sz w:val="22"/>
        </w:rPr>
        <w:t> </w:t>
      </w:r>
      <w:r>
        <w:rPr>
          <w:i/>
          <w:sz w:val="22"/>
        </w:rPr>
        <w:t>the</w:t>
      </w:r>
      <w:r>
        <w:rPr>
          <w:i/>
          <w:spacing w:val="-5"/>
          <w:sz w:val="22"/>
        </w:rPr>
        <w:t> </w:t>
      </w:r>
      <w:r>
        <w:rPr>
          <w:i/>
          <w:sz w:val="22"/>
        </w:rPr>
        <w:t>initial</w:t>
      </w:r>
      <w:r>
        <w:rPr>
          <w:i/>
          <w:spacing w:val="-4"/>
          <w:sz w:val="22"/>
        </w:rPr>
        <w:t> </w:t>
      </w:r>
      <w:r>
        <w:rPr>
          <w:i/>
          <w:sz w:val="22"/>
        </w:rPr>
        <w:t>process</w:t>
      </w:r>
      <w:r>
        <w:rPr>
          <w:i/>
          <w:spacing w:val="-5"/>
          <w:sz w:val="22"/>
        </w:rPr>
        <w:t> </w:t>
      </w:r>
      <w:r>
        <w:rPr>
          <w:i/>
          <w:sz w:val="22"/>
        </w:rPr>
        <w:t>of evaluating and accepting (or rejecting) a safety case requires a high level of expertise,</w:t>
      </w:r>
      <w:r>
        <w:rPr>
          <w:i/>
          <w:sz w:val="22"/>
        </w:rPr>
        <w:t> if it is not to degenerate into a rubber stamp exercise.”</w:t>
      </w:r>
    </w:p>
    <w:p>
      <w:pPr>
        <w:pStyle w:val="BodyText"/>
        <w:spacing w:before="11"/>
        <w:rPr>
          <w:i/>
          <w:sz w:val="20"/>
        </w:rPr>
      </w:pPr>
    </w:p>
    <w:p>
      <w:pPr>
        <w:pStyle w:val="BodyText"/>
        <w:spacing w:line="288" w:lineRule="auto"/>
        <w:ind w:left="292" w:right="311"/>
      </w:pPr>
      <w:r>
        <w:rPr/>
        <w:t>In</w:t>
      </w:r>
      <w:r>
        <w:rPr>
          <w:spacing w:val="-2"/>
        </w:rPr>
        <w:t> </w:t>
      </w:r>
      <w:r>
        <w:rPr/>
        <w:t>Part C</w:t>
      </w:r>
      <w:r>
        <w:rPr>
          <w:spacing w:val="-4"/>
        </w:rPr>
        <w:t> </w:t>
      </w:r>
      <w:r>
        <w:rPr/>
        <w:t>of this</w:t>
      </w:r>
      <w:r>
        <w:rPr>
          <w:spacing w:val="-3"/>
        </w:rPr>
        <w:t> </w:t>
      </w:r>
      <w:r>
        <w:rPr/>
        <w:t>Final</w:t>
      </w:r>
      <w:r>
        <w:rPr>
          <w:spacing w:val="-2"/>
        </w:rPr>
        <w:t> </w:t>
      </w:r>
      <w:r>
        <w:rPr/>
        <w:t>Report,</w:t>
      </w:r>
      <w:r>
        <w:rPr>
          <w:spacing w:val="-3"/>
        </w:rPr>
        <w:t> </w:t>
      </w:r>
      <w:r>
        <w:rPr/>
        <w:t>the</w:t>
      </w:r>
      <w:r>
        <w:rPr>
          <w:spacing w:val="-4"/>
        </w:rPr>
        <w:t> </w:t>
      </w:r>
      <w:r>
        <w:rPr/>
        <w:t>key</w:t>
      </w:r>
      <w:r>
        <w:rPr>
          <w:spacing w:val="-4"/>
        </w:rPr>
        <w:t> </w:t>
      </w:r>
      <w:r>
        <w:rPr/>
        <w:t>capabilities</w:t>
      </w:r>
      <w:r>
        <w:rPr>
          <w:spacing w:val="-4"/>
        </w:rPr>
        <w:t> </w:t>
      </w:r>
      <w:r>
        <w:rPr/>
        <w:t>required</w:t>
      </w:r>
      <w:r>
        <w:rPr>
          <w:spacing w:val="-2"/>
        </w:rPr>
        <w:t> </w:t>
      </w:r>
      <w:r>
        <w:rPr/>
        <w:t>by</w:t>
      </w:r>
      <w:r>
        <w:rPr>
          <w:spacing w:val="-4"/>
        </w:rPr>
        <w:t> </w:t>
      </w:r>
      <w:r>
        <w:rPr/>
        <w:t>an</w:t>
      </w:r>
      <w:r>
        <w:rPr>
          <w:spacing w:val="-2"/>
        </w:rPr>
        <w:t> </w:t>
      </w:r>
      <w:r>
        <w:rPr/>
        <w:t>effective</w:t>
      </w:r>
      <w:r>
        <w:rPr>
          <w:spacing w:val="-4"/>
        </w:rPr>
        <w:t> </w:t>
      </w:r>
      <w:r>
        <w:rPr/>
        <w:t>safety</w:t>
      </w:r>
      <w:r>
        <w:rPr>
          <w:spacing w:val="-3"/>
        </w:rPr>
        <w:t> </w:t>
      </w:r>
      <w:r>
        <w:rPr/>
        <w:t>regulator</w:t>
      </w:r>
      <w:r>
        <w:rPr>
          <w:spacing w:val="-3"/>
        </w:rPr>
        <w:t> </w:t>
      </w:r>
      <w:r>
        <w:rPr/>
        <w:t>are identified, including:</w:t>
      </w:r>
    </w:p>
    <w:p>
      <w:pPr>
        <w:pStyle w:val="BodyText"/>
        <w:spacing w:before="4"/>
      </w:pPr>
    </w:p>
    <w:p>
      <w:pPr>
        <w:pStyle w:val="ListParagraph"/>
        <w:numPr>
          <w:ilvl w:val="0"/>
          <w:numId w:val="4"/>
        </w:numPr>
        <w:tabs>
          <w:tab w:pos="794" w:val="left" w:leader="none"/>
        </w:tabs>
        <w:spacing w:line="288" w:lineRule="auto" w:before="0" w:after="0"/>
        <w:ind w:left="794" w:right="359" w:hanging="361"/>
        <w:jc w:val="left"/>
        <w:rPr>
          <w:sz w:val="22"/>
        </w:rPr>
      </w:pPr>
      <w:r>
        <w:rPr>
          <w:sz w:val="22"/>
        </w:rPr>
        <w:t>an</w:t>
      </w:r>
      <w:r>
        <w:rPr>
          <w:spacing w:val="-3"/>
          <w:sz w:val="22"/>
        </w:rPr>
        <w:t> </w:t>
      </w:r>
      <w:r>
        <w:rPr>
          <w:sz w:val="22"/>
        </w:rPr>
        <w:t>appropriate</w:t>
      </w:r>
      <w:r>
        <w:rPr>
          <w:spacing w:val="-2"/>
          <w:sz w:val="22"/>
        </w:rPr>
        <w:t> </w:t>
      </w:r>
      <w:r>
        <w:rPr>
          <w:sz w:val="22"/>
        </w:rPr>
        <w:t>degree</w:t>
      </w:r>
      <w:r>
        <w:rPr>
          <w:spacing w:val="-3"/>
          <w:sz w:val="22"/>
        </w:rPr>
        <w:t> </w:t>
      </w:r>
      <w:r>
        <w:rPr>
          <w:sz w:val="22"/>
        </w:rPr>
        <w:t>of</w:t>
      </w:r>
      <w:r>
        <w:rPr>
          <w:spacing w:val="-4"/>
          <w:sz w:val="22"/>
        </w:rPr>
        <w:t> </w:t>
      </w:r>
      <w:r>
        <w:rPr>
          <w:sz w:val="22"/>
        </w:rPr>
        <w:t>organisational</w:t>
      </w:r>
      <w:r>
        <w:rPr>
          <w:spacing w:val="-3"/>
          <w:sz w:val="22"/>
        </w:rPr>
        <w:t> </w:t>
      </w:r>
      <w:r>
        <w:rPr>
          <w:sz w:val="22"/>
        </w:rPr>
        <w:t>independence –</w:t>
      </w:r>
      <w:r>
        <w:rPr>
          <w:spacing w:val="-4"/>
          <w:sz w:val="22"/>
        </w:rPr>
        <w:t> </w:t>
      </w:r>
      <w:r>
        <w:rPr>
          <w:sz w:val="22"/>
        </w:rPr>
        <w:t>the</w:t>
      </w:r>
      <w:r>
        <w:rPr>
          <w:spacing w:val="-4"/>
          <w:sz w:val="22"/>
        </w:rPr>
        <w:t> </w:t>
      </w:r>
      <w:r>
        <w:rPr>
          <w:sz w:val="22"/>
        </w:rPr>
        <w:t>capacity</w:t>
      </w:r>
      <w:r>
        <w:rPr>
          <w:spacing w:val="-4"/>
          <w:sz w:val="22"/>
        </w:rPr>
        <w:t> </w:t>
      </w:r>
      <w:r>
        <w:rPr>
          <w:sz w:val="22"/>
        </w:rPr>
        <w:t>of</w:t>
      </w:r>
      <w:r>
        <w:rPr>
          <w:spacing w:val="-1"/>
          <w:sz w:val="22"/>
        </w:rPr>
        <w:t> </w:t>
      </w:r>
      <w:r>
        <w:rPr>
          <w:sz w:val="22"/>
        </w:rPr>
        <w:t>the</w:t>
      </w:r>
      <w:r>
        <w:rPr>
          <w:spacing w:val="-3"/>
          <w:sz w:val="22"/>
        </w:rPr>
        <w:t> </w:t>
      </w:r>
      <w:r>
        <w:rPr>
          <w:sz w:val="22"/>
        </w:rPr>
        <w:t>regulator</w:t>
      </w:r>
      <w:r>
        <w:rPr>
          <w:spacing w:val="-4"/>
          <w:sz w:val="22"/>
        </w:rPr>
        <w:t> </w:t>
      </w:r>
      <w:r>
        <w:rPr>
          <w:sz w:val="22"/>
        </w:rPr>
        <w:t>to</w:t>
      </w:r>
      <w:r>
        <w:rPr>
          <w:spacing w:val="-4"/>
          <w:sz w:val="22"/>
        </w:rPr>
        <w:t> </w:t>
      </w:r>
      <w:r>
        <w:rPr>
          <w:sz w:val="22"/>
        </w:rPr>
        <w:t>make objective, impartial, consistent and expert decisions without any perception of being influenced by conflict or bias, whether from regulated entities or government;</w:t>
      </w:r>
    </w:p>
    <w:p>
      <w:pPr>
        <w:pStyle w:val="BodyText"/>
        <w:spacing w:before="1"/>
      </w:pPr>
    </w:p>
    <w:p>
      <w:pPr>
        <w:pStyle w:val="ListParagraph"/>
        <w:numPr>
          <w:ilvl w:val="0"/>
          <w:numId w:val="4"/>
        </w:numPr>
        <w:tabs>
          <w:tab w:pos="794" w:val="left" w:leader="none"/>
        </w:tabs>
        <w:spacing w:line="240" w:lineRule="auto" w:before="0" w:after="0"/>
        <w:ind w:left="794" w:right="0" w:hanging="360"/>
        <w:jc w:val="left"/>
        <w:rPr>
          <w:sz w:val="22"/>
        </w:rPr>
      </w:pPr>
      <w:r>
        <w:rPr>
          <w:sz w:val="22"/>
        </w:rPr>
        <w:t>strong</w:t>
      </w:r>
      <w:r>
        <w:rPr>
          <w:spacing w:val="-8"/>
          <w:sz w:val="22"/>
        </w:rPr>
        <w:t> </w:t>
      </w:r>
      <w:r>
        <w:rPr>
          <w:sz w:val="22"/>
        </w:rPr>
        <w:t>analytical</w:t>
      </w:r>
      <w:r>
        <w:rPr>
          <w:spacing w:val="-8"/>
          <w:sz w:val="22"/>
        </w:rPr>
        <w:t> </w:t>
      </w:r>
      <w:r>
        <w:rPr>
          <w:sz w:val="22"/>
        </w:rPr>
        <w:t>capabilities</w:t>
      </w:r>
      <w:r>
        <w:rPr>
          <w:spacing w:val="-7"/>
          <w:sz w:val="22"/>
        </w:rPr>
        <w:t> </w:t>
      </w:r>
      <w:r>
        <w:rPr>
          <w:sz w:val="22"/>
        </w:rPr>
        <w:t>and</w:t>
      </w:r>
      <w:r>
        <w:rPr>
          <w:spacing w:val="-9"/>
          <w:sz w:val="22"/>
        </w:rPr>
        <w:t> </w:t>
      </w:r>
      <w:r>
        <w:rPr>
          <w:spacing w:val="-2"/>
          <w:sz w:val="22"/>
        </w:rPr>
        <w:t>reporting;</w:t>
      </w:r>
    </w:p>
    <w:p>
      <w:pPr>
        <w:pStyle w:val="BodyText"/>
        <w:spacing w:before="7"/>
        <w:rPr>
          <w:sz w:val="26"/>
        </w:rPr>
      </w:pPr>
    </w:p>
    <w:p>
      <w:pPr>
        <w:pStyle w:val="ListParagraph"/>
        <w:numPr>
          <w:ilvl w:val="0"/>
          <w:numId w:val="4"/>
        </w:numPr>
        <w:tabs>
          <w:tab w:pos="794" w:val="left" w:leader="none"/>
        </w:tabs>
        <w:spacing w:line="240" w:lineRule="auto" w:before="0" w:after="0"/>
        <w:ind w:left="794" w:right="0" w:hanging="360"/>
        <w:jc w:val="left"/>
        <w:rPr>
          <w:sz w:val="22"/>
        </w:rPr>
      </w:pPr>
      <w:r>
        <w:rPr>
          <w:sz w:val="22"/>
        </w:rPr>
        <w:t>technical</w:t>
      </w:r>
      <w:r>
        <w:rPr>
          <w:spacing w:val="-9"/>
          <w:sz w:val="22"/>
        </w:rPr>
        <w:t> </w:t>
      </w:r>
      <w:r>
        <w:rPr>
          <w:sz w:val="22"/>
        </w:rPr>
        <w:t>expertise</w:t>
      </w:r>
      <w:r>
        <w:rPr>
          <w:spacing w:val="-6"/>
          <w:sz w:val="22"/>
        </w:rPr>
        <w:t> </w:t>
      </w:r>
      <w:r>
        <w:rPr>
          <w:sz w:val="22"/>
        </w:rPr>
        <w:t>and</w:t>
      </w:r>
      <w:r>
        <w:rPr>
          <w:spacing w:val="-7"/>
          <w:sz w:val="22"/>
        </w:rPr>
        <w:t> </w:t>
      </w:r>
      <w:r>
        <w:rPr>
          <w:sz w:val="22"/>
        </w:rPr>
        <w:t>understanding</w:t>
      </w:r>
      <w:r>
        <w:rPr>
          <w:spacing w:val="-4"/>
          <w:sz w:val="22"/>
        </w:rPr>
        <w:t> </w:t>
      </w:r>
      <w:r>
        <w:rPr>
          <w:sz w:val="22"/>
        </w:rPr>
        <w:t>of</w:t>
      </w:r>
      <w:r>
        <w:rPr>
          <w:spacing w:val="-6"/>
          <w:sz w:val="22"/>
        </w:rPr>
        <w:t> </w:t>
      </w:r>
      <w:r>
        <w:rPr>
          <w:sz w:val="22"/>
        </w:rPr>
        <w:t>the</w:t>
      </w:r>
      <w:r>
        <w:rPr>
          <w:spacing w:val="-8"/>
          <w:sz w:val="22"/>
        </w:rPr>
        <w:t> </w:t>
      </w:r>
      <w:r>
        <w:rPr>
          <w:sz w:val="22"/>
        </w:rPr>
        <w:t>industry</w:t>
      </w:r>
      <w:r>
        <w:rPr>
          <w:spacing w:val="-7"/>
          <w:sz w:val="22"/>
        </w:rPr>
        <w:t> </w:t>
      </w:r>
      <w:r>
        <w:rPr>
          <w:sz w:val="22"/>
        </w:rPr>
        <w:t>being</w:t>
      </w:r>
      <w:r>
        <w:rPr>
          <w:spacing w:val="-5"/>
          <w:sz w:val="22"/>
        </w:rPr>
        <w:t> </w:t>
      </w:r>
      <w:r>
        <w:rPr>
          <w:spacing w:val="-2"/>
          <w:sz w:val="22"/>
        </w:rPr>
        <w:t>regulated;</w:t>
      </w:r>
    </w:p>
    <w:p>
      <w:pPr>
        <w:pStyle w:val="BodyText"/>
        <w:spacing w:before="7"/>
        <w:rPr>
          <w:sz w:val="26"/>
        </w:rPr>
      </w:pPr>
    </w:p>
    <w:p>
      <w:pPr>
        <w:pStyle w:val="ListParagraph"/>
        <w:numPr>
          <w:ilvl w:val="0"/>
          <w:numId w:val="4"/>
        </w:numPr>
        <w:tabs>
          <w:tab w:pos="794" w:val="left" w:leader="none"/>
        </w:tabs>
        <w:spacing w:line="285" w:lineRule="auto" w:before="0" w:after="0"/>
        <w:ind w:left="794" w:right="854" w:hanging="361"/>
        <w:jc w:val="left"/>
        <w:rPr>
          <w:sz w:val="22"/>
        </w:rPr>
      </w:pPr>
      <w:r>
        <w:rPr>
          <w:sz w:val="22"/>
        </w:rPr>
        <w:t>effective</w:t>
      </w:r>
      <w:r>
        <w:rPr>
          <w:spacing w:val="-4"/>
          <w:sz w:val="22"/>
        </w:rPr>
        <w:t> </w:t>
      </w:r>
      <w:r>
        <w:rPr>
          <w:sz w:val="22"/>
        </w:rPr>
        <w:t>tools</w:t>
      </w:r>
      <w:r>
        <w:rPr>
          <w:spacing w:val="-3"/>
          <w:sz w:val="22"/>
        </w:rPr>
        <w:t> </w:t>
      </w:r>
      <w:r>
        <w:rPr>
          <w:sz w:val="22"/>
        </w:rPr>
        <w:t>and</w:t>
      </w:r>
      <w:r>
        <w:rPr>
          <w:spacing w:val="-5"/>
          <w:sz w:val="22"/>
        </w:rPr>
        <w:t> </w:t>
      </w:r>
      <w:r>
        <w:rPr>
          <w:sz w:val="22"/>
        </w:rPr>
        <w:t>capabilities</w:t>
      </w:r>
      <w:r>
        <w:rPr>
          <w:spacing w:val="-4"/>
          <w:sz w:val="22"/>
        </w:rPr>
        <w:t> </w:t>
      </w:r>
      <w:r>
        <w:rPr>
          <w:sz w:val="22"/>
        </w:rPr>
        <w:t>to</w:t>
      </w:r>
      <w:r>
        <w:rPr>
          <w:spacing w:val="-4"/>
          <w:sz w:val="22"/>
        </w:rPr>
        <w:t> </w:t>
      </w:r>
      <w:r>
        <w:rPr>
          <w:sz w:val="22"/>
        </w:rPr>
        <w:t>achieve</w:t>
      </w:r>
      <w:r>
        <w:rPr>
          <w:spacing w:val="-4"/>
          <w:sz w:val="22"/>
        </w:rPr>
        <w:t> </w:t>
      </w:r>
      <w:r>
        <w:rPr>
          <w:sz w:val="22"/>
        </w:rPr>
        <w:t>compliance</w:t>
      </w:r>
      <w:r>
        <w:rPr>
          <w:spacing w:val="-4"/>
          <w:sz w:val="22"/>
        </w:rPr>
        <w:t> </w:t>
      </w:r>
      <w:r>
        <w:rPr>
          <w:sz w:val="22"/>
        </w:rPr>
        <w:t>and</w:t>
      </w:r>
      <w:r>
        <w:rPr>
          <w:spacing w:val="-4"/>
          <w:sz w:val="22"/>
        </w:rPr>
        <w:t> </w:t>
      </w:r>
      <w:r>
        <w:rPr>
          <w:sz w:val="22"/>
        </w:rPr>
        <w:t>enforce</w:t>
      </w:r>
      <w:r>
        <w:rPr>
          <w:spacing w:val="-5"/>
          <w:sz w:val="22"/>
        </w:rPr>
        <w:t> </w:t>
      </w:r>
      <w:r>
        <w:rPr>
          <w:sz w:val="22"/>
        </w:rPr>
        <w:t>regulatory</w:t>
      </w:r>
      <w:r>
        <w:rPr>
          <w:spacing w:val="-5"/>
          <w:sz w:val="22"/>
        </w:rPr>
        <w:t> </w:t>
      </w:r>
      <w:r>
        <w:rPr>
          <w:sz w:val="22"/>
        </w:rPr>
        <w:t>obligations, including through rigorous audit and inspection programs;</w:t>
      </w:r>
    </w:p>
    <w:p>
      <w:pPr>
        <w:pStyle w:val="BodyText"/>
        <w:spacing w:before="7"/>
      </w:pPr>
    </w:p>
    <w:p>
      <w:pPr>
        <w:pStyle w:val="ListParagraph"/>
        <w:numPr>
          <w:ilvl w:val="0"/>
          <w:numId w:val="4"/>
        </w:numPr>
        <w:tabs>
          <w:tab w:pos="794" w:val="left" w:leader="none"/>
        </w:tabs>
        <w:spacing w:line="288" w:lineRule="auto" w:before="0" w:after="0"/>
        <w:ind w:left="794" w:right="1111" w:hanging="361"/>
        <w:jc w:val="left"/>
        <w:rPr>
          <w:sz w:val="22"/>
        </w:rPr>
      </w:pPr>
      <w:r>
        <w:rPr>
          <w:sz w:val="22"/>
        </w:rPr>
        <w:t>strong</w:t>
      </w:r>
      <w:r>
        <w:rPr>
          <w:spacing w:val="-5"/>
          <w:sz w:val="22"/>
        </w:rPr>
        <w:t> </w:t>
      </w:r>
      <w:r>
        <w:rPr>
          <w:sz w:val="22"/>
        </w:rPr>
        <w:t>engagement</w:t>
      </w:r>
      <w:r>
        <w:rPr>
          <w:spacing w:val="-6"/>
          <w:sz w:val="22"/>
        </w:rPr>
        <w:t> </w:t>
      </w:r>
      <w:r>
        <w:rPr>
          <w:sz w:val="22"/>
        </w:rPr>
        <w:t>with</w:t>
      </w:r>
      <w:r>
        <w:rPr>
          <w:spacing w:val="-5"/>
          <w:sz w:val="22"/>
        </w:rPr>
        <w:t> </w:t>
      </w:r>
      <w:r>
        <w:rPr>
          <w:sz w:val="22"/>
        </w:rPr>
        <w:t>entities</w:t>
      </w:r>
      <w:r>
        <w:rPr>
          <w:spacing w:val="-5"/>
          <w:sz w:val="22"/>
        </w:rPr>
        <w:t> </w:t>
      </w:r>
      <w:r>
        <w:rPr>
          <w:sz w:val="22"/>
        </w:rPr>
        <w:t>being</w:t>
      </w:r>
      <w:r>
        <w:rPr>
          <w:spacing w:val="-5"/>
          <w:sz w:val="22"/>
        </w:rPr>
        <w:t> </w:t>
      </w:r>
      <w:r>
        <w:rPr>
          <w:sz w:val="22"/>
        </w:rPr>
        <w:t>regulated,</w:t>
      </w:r>
      <w:r>
        <w:rPr>
          <w:spacing w:val="-3"/>
          <w:sz w:val="22"/>
        </w:rPr>
        <w:t> </w:t>
      </w:r>
      <w:r>
        <w:rPr>
          <w:sz w:val="22"/>
        </w:rPr>
        <w:t>including</w:t>
      </w:r>
      <w:r>
        <w:rPr>
          <w:spacing w:val="-3"/>
          <w:sz w:val="22"/>
        </w:rPr>
        <w:t> </w:t>
      </w:r>
      <w:r>
        <w:rPr>
          <w:sz w:val="22"/>
        </w:rPr>
        <w:t>effective</w:t>
      </w:r>
      <w:r>
        <w:rPr>
          <w:spacing w:val="-5"/>
          <w:sz w:val="22"/>
        </w:rPr>
        <w:t> </w:t>
      </w:r>
      <w:r>
        <w:rPr>
          <w:sz w:val="22"/>
        </w:rPr>
        <w:t>communication</w:t>
      </w:r>
      <w:r>
        <w:rPr>
          <w:spacing w:val="-5"/>
          <w:sz w:val="22"/>
        </w:rPr>
        <w:t> </w:t>
      </w:r>
      <w:r>
        <w:rPr>
          <w:sz w:val="22"/>
        </w:rPr>
        <w:t>of regulatory requirements.</w:t>
      </w:r>
    </w:p>
    <w:p>
      <w:pPr>
        <w:pStyle w:val="BodyText"/>
        <w:spacing w:before="7"/>
        <w:rPr>
          <w:sz w:val="20"/>
        </w:rPr>
      </w:pPr>
    </w:p>
    <w:p>
      <w:pPr>
        <w:pStyle w:val="BodyText"/>
        <w:spacing w:line="288" w:lineRule="auto"/>
        <w:ind w:left="292" w:right="311"/>
      </w:pPr>
      <w:r>
        <w:rPr/>
        <w:t>A</w:t>
      </w:r>
      <w:r>
        <w:rPr>
          <w:spacing w:val="-3"/>
        </w:rPr>
        <w:t> </w:t>
      </w:r>
      <w:r>
        <w:rPr/>
        <w:t>substantial</w:t>
      </w:r>
      <w:r>
        <w:rPr>
          <w:spacing w:val="-4"/>
        </w:rPr>
        <w:t> </w:t>
      </w:r>
      <w:r>
        <w:rPr/>
        <w:t>part</w:t>
      </w:r>
      <w:r>
        <w:rPr>
          <w:spacing w:val="-1"/>
        </w:rPr>
        <w:t> </w:t>
      </w:r>
      <w:r>
        <w:rPr/>
        <w:t>of</w:t>
      </w:r>
      <w:r>
        <w:rPr>
          <w:spacing w:val="-4"/>
        </w:rPr>
        <w:t> </w:t>
      </w:r>
      <w:r>
        <w:rPr/>
        <w:t>this</w:t>
      </w:r>
      <w:r>
        <w:rPr>
          <w:spacing w:val="-3"/>
        </w:rPr>
        <w:t> </w:t>
      </w:r>
      <w:r>
        <w:rPr/>
        <w:t>Final</w:t>
      </w:r>
      <w:r>
        <w:rPr>
          <w:spacing w:val="-3"/>
        </w:rPr>
        <w:t> </w:t>
      </w:r>
      <w:r>
        <w:rPr/>
        <w:t>Report</w:t>
      </w:r>
      <w:r>
        <w:rPr>
          <w:spacing w:val="-1"/>
        </w:rPr>
        <w:t> </w:t>
      </w:r>
      <w:r>
        <w:rPr/>
        <w:t>examines</w:t>
      </w:r>
      <w:r>
        <w:rPr>
          <w:spacing w:val="-3"/>
        </w:rPr>
        <w:t> </w:t>
      </w:r>
      <w:r>
        <w:rPr/>
        <w:t>ESV's</w:t>
      </w:r>
      <w:r>
        <w:rPr>
          <w:spacing w:val="-2"/>
        </w:rPr>
        <w:t> </w:t>
      </w:r>
      <w:r>
        <w:rPr/>
        <w:t>current</w:t>
      </w:r>
      <w:r>
        <w:rPr>
          <w:spacing w:val="-1"/>
        </w:rPr>
        <w:t> </w:t>
      </w:r>
      <w:r>
        <w:rPr/>
        <w:t>capabilities</w:t>
      </w:r>
      <w:r>
        <w:rPr>
          <w:spacing w:val="-5"/>
        </w:rPr>
        <w:t> </w:t>
      </w:r>
      <w:r>
        <w:rPr/>
        <w:t>and</w:t>
      </w:r>
      <w:r>
        <w:rPr>
          <w:spacing w:val="-3"/>
        </w:rPr>
        <w:t> </w:t>
      </w:r>
      <w:r>
        <w:rPr/>
        <w:t>seeks</w:t>
      </w:r>
      <w:r>
        <w:rPr>
          <w:spacing w:val="-5"/>
        </w:rPr>
        <w:t> </w:t>
      </w:r>
      <w:r>
        <w:rPr/>
        <w:t>to</w:t>
      </w:r>
      <w:r>
        <w:rPr>
          <w:spacing w:val="-5"/>
        </w:rPr>
        <w:t> </w:t>
      </w:r>
      <w:r>
        <w:rPr/>
        <w:t>identify areas that require additional</w:t>
      </w:r>
      <w:r>
        <w:rPr>
          <w:spacing w:val="-1"/>
        </w:rPr>
        <w:t> </w:t>
      </w:r>
      <w:r>
        <w:rPr/>
        <w:t>focus in order for ESV to be at the forefront of regulatory practice.</w:t>
      </w:r>
    </w:p>
    <w:p>
      <w:pPr>
        <w:pStyle w:val="BodyText"/>
        <w:spacing w:before="11"/>
        <w:rPr>
          <w:sz w:val="20"/>
        </w:rPr>
      </w:pPr>
    </w:p>
    <w:p>
      <w:pPr>
        <w:pStyle w:val="BodyText"/>
        <w:spacing w:line="288" w:lineRule="auto"/>
        <w:ind w:left="292" w:right="374"/>
      </w:pPr>
      <w:r>
        <w:rPr/>
        <w:t>As outlined in further detail below, much of the work that needs to be done by ESV has been identified</w:t>
      </w:r>
      <w:r>
        <w:rPr>
          <w:spacing w:val="-4"/>
        </w:rPr>
        <w:t> </w:t>
      </w:r>
      <w:r>
        <w:rPr/>
        <w:t>through</w:t>
      </w:r>
      <w:r>
        <w:rPr>
          <w:spacing w:val="-2"/>
        </w:rPr>
        <w:t> </w:t>
      </w:r>
      <w:r>
        <w:rPr/>
        <w:t>ESV's</w:t>
      </w:r>
      <w:r>
        <w:rPr>
          <w:spacing w:val="-6"/>
        </w:rPr>
        <w:t> </w:t>
      </w:r>
      <w:r>
        <w:rPr/>
        <w:t>own</w:t>
      </w:r>
      <w:r>
        <w:rPr>
          <w:spacing w:val="-2"/>
        </w:rPr>
        <w:t> </w:t>
      </w:r>
      <w:r>
        <w:rPr/>
        <w:t>strategic</w:t>
      </w:r>
      <w:r>
        <w:rPr>
          <w:spacing w:val="-1"/>
        </w:rPr>
        <w:t> </w:t>
      </w:r>
      <w:r>
        <w:rPr/>
        <w:t>planning and</w:t>
      </w:r>
      <w:r>
        <w:rPr>
          <w:spacing w:val="-2"/>
        </w:rPr>
        <w:t> </w:t>
      </w:r>
      <w:r>
        <w:rPr/>
        <w:t>review</w:t>
      </w:r>
      <w:r>
        <w:rPr>
          <w:spacing w:val="-5"/>
        </w:rPr>
        <w:t> </w:t>
      </w:r>
      <w:r>
        <w:rPr/>
        <w:t>processes</w:t>
      </w:r>
      <w:r>
        <w:rPr>
          <w:spacing w:val="-2"/>
        </w:rPr>
        <w:t> </w:t>
      </w:r>
      <w:r>
        <w:rPr/>
        <w:t>over</w:t>
      </w:r>
      <w:r>
        <w:rPr>
          <w:spacing w:val="-3"/>
        </w:rPr>
        <w:t> </w:t>
      </w:r>
      <w:r>
        <w:rPr/>
        <w:t>the</w:t>
      </w:r>
      <w:r>
        <w:rPr>
          <w:spacing w:val="-2"/>
        </w:rPr>
        <w:t> </w:t>
      </w:r>
      <w:r>
        <w:rPr/>
        <w:t>past</w:t>
      </w:r>
      <w:r>
        <w:rPr>
          <w:spacing w:val="-3"/>
        </w:rPr>
        <w:t> </w:t>
      </w:r>
      <w:r>
        <w:rPr/>
        <w:t>two</w:t>
      </w:r>
      <w:r>
        <w:rPr>
          <w:spacing w:val="-2"/>
        </w:rPr>
        <w:t> </w:t>
      </w:r>
      <w:r>
        <w:rPr/>
        <w:t>years</w:t>
      </w:r>
      <w:r>
        <w:rPr>
          <w:spacing w:val="-1"/>
        </w:rPr>
        <w:t> </w:t>
      </w:r>
      <w:r>
        <w:rPr/>
        <w:t>or so. The imperative now is to ensure that the necessary strengthening of ESV's systems and processes is implemented expeditiously and with high degrees of transparency to promote confidence in the safety framework.</w:t>
      </w:r>
    </w:p>
    <w:p>
      <w:pPr>
        <w:pStyle w:val="BodyText"/>
        <w:spacing w:before="2"/>
        <w:rPr>
          <w:sz w:val="31"/>
        </w:rPr>
      </w:pPr>
    </w:p>
    <w:p>
      <w:pPr>
        <w:pStyle w:val="Heading4"/>
        <w:spacing w:line="288" w:lineRule="auto" w:before="0"/>
        <w:ind w:left="292" w:right="311"/>
      </w:pPr>
      <w:r>
        <w:rPr>
          <w:color w:val="585858"/>
        </w:rPr>
        <w:t>The</w:t>
      </w:r>
      <w:r>
        <w:rPr>
          <w:color w:val="585858"/>
          <w:spacing w:val="-5"/>
        </w:rPr>
        <w:t> </w:t>
      </w:r>
      <w:r>
        <w:rPr>
          <w:color w:val="585858"/>
        </w:rPr>
        <w:t>evolution</w:t>
      </w:r>
      <w:r>
        <w:rPr>
          <w:color w:val="585858"/>
          <w:spacing w:val="-5"/>
        </w:rPr>
        <w:t> </w:t>
      </w:r>
      <w:r>
        <w:rPr>
          <w:color w:val="585858"/>
        </w:rPr>
        <w:t>of</w:t>
      </w:r>
      <w:r>
        <w:rPr>
          <w:color w:val="585858"/>
          <w:spacing w:val="-5"/>
        </w:rPr>
        <w:t> </w:t>
      </w:r>
      <w:r>
        <w:rPr>
          <w:color w:val="585858"/>
        </w:rPr>
        <w:t>the</w:t>
      </w:r>
      <w:r>
        <w:rPr>
          <w:color w:val="585858"/>
          <w:spacing w:val="-3"/>
        </w:rPr>
        <w:t> </w:t>
      </w:r>
      <w:r>
        <w:rPr>
          <w:color w:val="585858"/>
        </w:rPr>
        <w:t>safety</w:t>
      </w:r>
      <w:r>
        <w:rPr>
          <w:color w:val="585858"/>
          <w:spacing w:val="-9"/>
        </w:rPr>
        <w:t> </w:t>
      </w:r>
      <w:r>
        <w:rPr>
          <w:color w:val="585858"/>
        </w:rPr>
        <w:t>framework</w:t>
      </w:r>
      <w:r>
        <w:rPr>
          <w:color w:val="585858"/>
          <w:spacing w:val="-5"/>
        </w:rPr>
        <w:t> </w:t>
      </w:r>
      <w:r>
        <w:rPr>
          <w:color w:val="585858"/>
        </w:rPr>
        <w:t>in</w:t>
      </w:r>
      <w:r>
        <w:rPr>
          <w:color w:val="585858"/>
          <w:spacing w:val="-5"/>
        </w:rPr>
        <w:t> </w:t>
      </w:r>
      <w:r>
        <w:rPr>
          <w:color w:val="585858"/>
        </w:rPr>
        <w:t>Victoria</w:t>
      </w:r>
      <w:r>
        <w:rPr>
          <w:color w:val="585858"/>
          <w:spacing w:val="-5"/>
        </w:rPr>
        <w:t> </w:t>
      </w:r>
      <w:r>
        <w:rPr>
          <w:color w:val="585858"/>
        </w:rPr>
        <w:t>over</w:t>
      </w:r>
      <w:r>
        <w:rPr>
          <w:color w:val="585858"/>
          <w:spacing w:val="-5"/>
        </w:rPr>
        <w:t> </w:t>
      </w:r>
      <w:r>
        <w:rPr>
          <w:color w:val="585858"/>
        </w:rPr>
        <w:t>the</w:t>
      </w:r>
      <w:r>
        <w:rPr>
          <w:color w:val="585858"/>
          <w:spacing w:val="-5"/>
        </w:rPr>
        <w:t> </w:t>
      </w:r>
      <w:r>
        <w:rPr>
          <w:color w:val="585858"/>
        </w:rPr>
        <w:t>past two decades</w:t>
      </w:r>
    </w:p>
    <w:p>
      <w:pPr>
        <w:pStyle w:val="BodyText"/>
        <w:spacing w:line="288" w:lineRule="auto" w:before="240"/>
        <w:ind w:left="292" w:right="311"/>
      </w:pPr>
      <w:r>
        <w:rPr/>
        <w:t>The</w:t>
      </w:r>
      <w:r>
        <w:rPr>
          <w:spacing w:val="-5"/>
        </w:rPr>
        <w:t> </w:t>
      </w:r>
      <w:r>
        <w:rPr/>
        <w:t>preparation</w:t>
      </w:r>
      <w:r>
        <w:rPr>
          <w:spacing w:val="-3"/>
        </w:rPr>
        <w:t> </w:t>
      </w:r>
      <w:r>
        <w:rPr/>
        <w:t>and</w:t>
      </w:r>
      <w:r>
        <w:rPr>
          <w:spacing w:val="-5"/>
        </w:rPr>
        <w:t> </w:t>
      </w:r>
      <w:r>
        <w:rPr/>
        <w:t>implementation</w:t>
      </w:r>
      <w:r>
        <w:rPr>
          <w:spacing w:val="-3"/>
        </w:rPr>
        <w:t> </w:t>
      </w:r>
      <w:r>
        <w:rPr/>
        <w:t>of</w:t>
      </w:r>
      <w:r>
        <w:rPr>
          <w:spacing w:val="-1"/>
        </w:rPr>
        <w:t> </w:t>
      </w:r>
      <w:r>
        <w:rPr/>
        <w:t>safety</w:t>
      </w:r>
      <w:r>
        <w:rPr>
          <w:spacing w:val="-4"/>
        </w:rPr>
        <w:t> </w:t>
      </w:r>
      <w:r>
        <w:rPr/>
        <w:t>cases</w:t>
      </w:r>
      <w:r>
        <w:rPr>
          <w:spacing w:val="-3"/>
        </w:rPr>
        <w:t> </w:t>
      </w:r>
      <w:r>
        <w:rPr/>
        <w:t>and</w:t>
      </w:r>
      <w:r>
        <w:rPr>
          <w:spacing w:val="-3"/>
        </w:rPr>
        <w:t> </w:t>
      </w:r>
      <w:r>
        <w:rPr/>
        <w:t>associated</w:t>
      </w:r>
      <w:r>
        <w:rPr>
          <w:spacing w:val="-5"/>
        </w:rPr>
        <w:t> </w:t>
      </w:r>
      <w:r>
        <w:rPr/>
        <w:t>safety</w:t>
      </w:r>
      <w:r>
        <w:rPr>
          <w:spacing w:val="-5"/>
        </w:rPr>
        <w:t> </w:t>
      </w:r>
      <w:r>
        <w:rPr/>
        <w:t>management</w:t>
      </w:r>
      <w:r>
        <w:rPr>
          <w:spacing w:val="-4"/>
        </w:rPr>
        <w:t> </w:t>
      </w:r>
      <w:r>
        <w:rPr/>
        <w:t>systems form</w:t>
      </w:r>
      <w:r>
        <w:rPr>
          <w:spacing w:val="-3"/>
        </w:rPr>
        <w:t> </w:t>
      </w:r>
      <w:r>
        <w:rPr/>
        <w:t>the</w:t>
      </w:r>
      <w:r>
        <w:rPr>
          <w:spacing w:val="-4"/>
        </w:rPr>
        <w:t> </w:t>
      </w:r>
      <w:r>
        <w:rPr/>
        <w:t>foundation</w:t>
      </w:r>
      <w:r>
        <w:rPr>
          <w:spacing w:val="-4"/>
        </w:rPr>
        <w:t> </w:t>
      </w:r>
      <w:r>
        <w:rPr/>
        <w:t>of ESV's</w:t>
      </w:r>
      <w:r>
        <w:rPr>
          <w:spacing w:val="-1"/>
        </w:rPr>
        <w:t> </w:t>
      </w:r>
      <w:r>
        <w:rPr/>
        <w:t>approach</w:t>
      </w:r>
      <w:r>
        <w:rPr>
          <w:spacing w:val="-4"/>
        </w:rPr>
        <w:t> </w:t>
      </w:r>
      <w:r>
        <w:rPr/>
        <w:t>to</w:t>
      </w:r>
      <w:r>
        <w:rPr>
          <w:spacing w:val="-2"/>
        </w:rPr>
        <w:t> </w:t>
      </w:r>
      <w:r>
        <w:rPr/>
        <w:t>network</w:t>
      </w:r>
      <w:r>
        <w:rPr>
          <w:spacing w:val="-1"/>
        </w:rPr>
        <w:t> </w:t>
      </w:r>
      <w:r>
        <w:rPr/>
        <w:t>safety</w:t>
      </w:r>
      <w:r>
        <w:rPr>
          <w:spacing w:val="-4"/>
        </w:rPr>
        <w:t> </w:t>
      </w:r>
      <w:r>
        <w:rPr/>
        <w:t>regulation. At</w:t>
      </w:r>
      <w:r>
        <w:rPr>
          <w:spacing w:val="-5"/>
        </w:rPr>
        <w:t> </w:t>
      </w:r>
      <w:r>
        <w:rPr/>
        <w:t>the</w:t>
      </w:r>
      <w:r>
        <w:rPr>
          <w:spacing w:val="-2"/>
        </w:rPr>
        <w:t> </w:t>
      </w:r>
      <w:r>
        <w:rPr/>
        <w:t>same</w:t>
      </w:r>
      <w:r>
        <w:rPr>
          <w:spacing w:val="-4"/>
        </w:rPr>
        <w:t> </w:t>
      </w:r>
      <w:r>
        <w:rPr/>
        <w:t>time,</w:t>
      </w:r>
      <w:r>
        <w:rPr>
          <w:spacing w:val="-3"/>
        </w:rPr>
        <w:t> </w:t>
      </w:r>
      <w:r>
        <w:rPr/>
        <w:t>the</w:t>
      </w:r>
      <w:r>
        <w:rPr>
          <w:spacing w:val="-4"/>
        </w:rPr>
        <w:t> </w:t>
      </w:r>
      <w:r>
        <w:rPr/>
        <w:t>current electricity and gas network safety frameworks in Victoria also include extensive prescriptive statutory requirements, particularly in relation to electricity networks and bushfire risk.</w:t>
      </w:r>
    </w:p>
    <w:p>
      <w:pPr>
        <w:pStyle w:val="BodyText"/>
        <w:spacing w:before="11"/>
        <w:rPr>
          <w:sz w:val="20"/>
        </w:rPr>
      </w:pPr>
    </w:p>
    <w:p>
      <w:pPr>
        <w:pStyle w:val="BodyText"/>
        <w:spacing w:line="288" w:lineRule="auto"/>
        <w:ind w:left="292" w:right="374"/>
      </w:pPr>
      <w:r>
        <w:rPr/>
        <w:t>The current </w:t>
      </w:r>
      <w:r>
        <w:rPr>
          <w:i/>
        </w:rPr>
        <w:t>Electricity Safety Act 1998 </w:t>
      </w:r>
      <w:r>
        <w:rPr/>
        <w:t>and </w:t>
      </w:r>
      <w:r>
        <w:rPr>
          <w:i/>
        </w:rPr>
        <w:t>Gas Safety Act 1997 </w:t>
      </w:r>
      <w:r>
        <w:rPr/>
        <w:t>were established almost exactly 20 years ago, at a time when Victoria embarked on the privatisation of electricity and gas assets. The</w:t>
      </w:r>
      <w:r>
        <w:rPr>
          <w:spacing w:val="-4"/>
        </w:rPr>
        <w:t> </w:t>
      </w:r>
      <w:r>
        <w:rPr>
          <w:i/>
        </w:rPr>
        <w:t>Gas</w:t>
      </w:r>
      <w:r>
        <w:rPr>
          <w:i/>
          <w:spacing w:val="-4"/>
        </w:rPr>
        <w:t> </w:t>
      </w:r>
      <w:r>
        <w:rPr>
          <w:i/>
        </w:rPr>
        <w:t>Safety</w:t>
      </w:r>
      <w:r>
        <w:rPr>
          <w:i/>
          <w:spacing w:val="-4"/>
        </w:rPr>
        <w:t> </w:t>
      </w:r>
      <w:r>
        <w:rPr>
          <w:i/>
        </w:rPr>
        <w:t>Act</w:t>
      </w:r>
      <w:r>
        <w:rPr>
          <w:i/>
          <w:spacing w:val="-2"/>
        </w:rPr>
        <w:t> </w:t>
      </w:r>
      <w:r>
        <w:rPr>
          <w:i/>
        </w:rPr>
        <w:t>1997</w:t>
      </w:r>
      <w:r>
        <w:rPr>
          <w:i/>
          <w:spacing w:val="-2"/>
        </w:rPr>
        <w:t> </w:t>
      </w:r>
      <w:r>
        <w:rPr/>
        <w:t>was</w:t>
      </w:r>
      <w:r>
        <w:rPr>
          <w:spacing w:val="-2"/>
        </w:rPr>
        <w:t> </w:t>
      </w:r>
      <w:r>
        <w:rPr/>
        <w:t>passed</w:t>
      </w:r>
      <w:r>
        <w:rPr>
          <w:spacing w:val="-2"/>
        </w:rPr>
        <w:t> </w:t>
      </w:r>
      <w:r>
        <w:rPr/>
        <w:t>in</w:t>
      </w:r>
      <w:r>
        <w:rPr>
          <w:spacing w:val="-2"/>
        </w:rPr>
        <w:t> </w:t>
      </w:r>
      <w:r>
        <w:rPr/>
        <w:t>late</w:t>
      </w:r>
      <w:r>
        <w:rPr>
          <w:spacing w:val="-4"/>
        </w:rPr>
        <w:t> </w:t>
      </w:r>
      <w:r>
        <w:rPr/>
        <w:t>1997,</w:t>
      </w:r>
      <w:r>
        <w:rPr>
          <w:spacing w:val="-1"/>
        </w:rPr>
        <w:t> </w:t>
      </w:r>
      <w:r>
        <w:rPr/>
        <w:t>and</w:t>
      </w:r>
      <w:r>
        <w:rPr>
          <w:spacing w:val="-4"/>
        </w:rPr>
        <w:t> </w:t>
      </w:r>
      <w:r>
        <w:rPr/>
        <w:t>was</w:t>
      </w:r>
      <w:r>
        <w:rPr>
          <w:spacing w:val="-2"/>
        </w:rPr>
        <w:t> </w:t>
      </w:r>
      <w:r>
        <w:rPr/>
        <w:t>presented</w:t>
      </w:r>
      <w:r>
        <w:rPr>
          <w:spacing w:val="-4"/>
        </w:rPr>
        <w:t> </w:t>
      </w:r>
      <w:r>
        <w:rPr/>
        <w:t>to</w:t>
      </w:r>
      <w:r>
        <w:rPr>
          <w:spacing w:val="-6"/>
        </w:rPr>
        <w:t> </w:t>
      </w:r>
      <w:r>
        <w:rPr/>
        <w:t>the</w:t>
      </w:r>
      <w:r>
        <w:rPr>
          <w:spacing w:val="-2"/>
        </w:rPr>
        <w:t> </w:t>
      </w:r>
      <w:r>
        <w:rPr/>
        <w:t>Victorian</w:t>
      </w:r>
      <w:r>
        <w:rPr>
          <w:spacing w:val="-2"/>
        </w:rPr>
        <w:t> </w:t>
      </w:r>
      <w:r>
        <w:rPr/>
        <w:t>Parliament at the time as a “light-handed” approach to regulation built around the new safety case system.</w:t>
      </w:r>
    </w:p>
    <w:p>
      <w:pPr>
        <w:spacing w:after="0" w:line="288" w:lineRule="auto"/>
        <w:sectPr>
          <w:pgSz w:w="11910" w:h="16850"/>
          <w:pgMar w:header="465" w:footer="880" w:top="660" w:bottom="1060" w:left="840" w:right="820"/>
        </w:sectPr>
      </w:pPr>
    </w:p>
    <w:p>
      <w:pPr>
        <w:pStyle w:val="BodyText"/>
        <w:rPr>
          <w:sz w:val="20"/>
        </w:rPr>
      </w:pPr>
    </w:p>
    <w:p>
      <w:pPr>
        <w:pStyle w:val="BodyText"/>
        <w:rPr>
          <w:sz w:val="20"/>
        </w:rPr>
      </w:pPr>
    </w:p>
    <w:p>
      <w:pPr>
        <w:pStyle w:val="BodyText"/>
        <w:spacing w:before="4"/>
      </w:pPr>
    </w:p>
    <w:p>
      <w:pPr>
        <w:pStyle w:val="BodyText"/>
        <w:spacing w:line="288" w:lineRule="auto"/>
        <w:ind w:left="292" w:right="330"/>
      </w:pPr>
      <w:r>
        <w:rPr/>
        <w:t>The </w:t>
      </w:r>
      <w:r>
        <w:rPr>
          <w:i/>
        </w:rPr>
        <w:t>Electricity Safety Act 1998 </w:t>
      </w:r>
      <w:r>
        <w:rPr/>
        <w:t>was legislated in early 1998. It incorporated various prescriptive requirements, particularly relating to the management of bushfire risk through electric line</w:t>
      </w:r>
      <w:r>
        <w:rPr/>
        <w:t> clearance regulations. Consistent with the trend towards an outcomes-based approach, the Act also</w:t>
      </w:r>
      <w:r>
        <w:rPr>
          <w:spacing w:val="-1"/>
        </w:rPr>
        <w:t> </w:t>
      </w:r>
      <w:r>
        <w:rPr/>
        <w:t>incorporated</w:t>
      </w:r>
      <w:r>
        <w:rPr>
          <w:spacing w:val="-2"/>
        </w:rPr>
        <w:t> </w:t>
      </w:r>
      <w:r>
        <w:rPr/>
        <w:t>provision</w:t>
      </w:r>
      <w:r>
        <w:rPr>
          <w:spacing w:val="-4"/>
        </w:rPr>
        <w:t> </w:t>
      </w:r>
      <w:r>
        <w:rPr/>
        <w:t>for</w:t>
      </w:r>
      <w:r>
        <w:rPr>
          <w:spacing w:val="-1"/>
        </w:rPr>
        <w:t> </w:t>
      </w:r>
      <w:r>
        <w:rPr/>
        <w:t>Electricity</w:t>
      </w:r>
      <w:r>
        <w:rPr>
          <w:spacing w:val="-4"/>
        </w:rPr>
        <w:t> </w:t>
      </w:r>
      <w:r>
        <w:rPr/>
        <w:t>Safety</w:t>
      </w:r>
      <w:r>
        <w:rPr>
          <w:spacing w:val="-5"/>
        </w:rPr>
        <w:t> </w:t>
      </w:r>
      <w:r>
        <w:rPr/>
        <w:t>Management</w:t>
      </w:r>
      <w:r>
        <w:rPr>
          <w:spacing w:val="-1"/>
        </w:rPr>
        <w:t> </w:t>
      </w:r>
      <w:r>
        <w:rPr/>
        <w:t>Schemes</w:t>
      </w:r>
      <w:r>
        <w:rPr>
          <w:spacing w:val="-4"/>
        </w:rPr>
        <w:t> </w:t>
      </w:r>
      <w:r>
        <w:rPr/>
        <w:t>that could</w:t>
      </w:r>
      <w:r>
        <w:rPr>
          <w:spacing w:val="-2"/>
        </w:rPr>
        <w:t> </w:t>
      </w:r>
      <w:r>
        <w:rPr/>
        <w:t>be</w:t>
      </w:r>
      <w:r>
        <w:rPr>
          <w:spacing w:val="-4"/>
        </w:rPr>
        <w:t> </w:t>
      </w:r>
      <w:r>
        <w:rPr/>
        <w:t>adopted</w:t>
      </w:r>
      <w:r>
        <w:rPr>
          <w:spacing w:val="-2"/>
        </w:rPr>
        <w:t> </w:t>
      </w:r>
      <w:r>
        <w:rPr/>
        <w:t>on</w:t>
      </w:r>
      <w:r>
        <w:rPr>
          <w:spacing w:val="-7"/>
        </w:rPr>
        <w:t> </w:t>
      </w:r>
      <w:r>
        <w:rPr/>
        <w:t>a voluntary basis. If approved, network businesses with Electricity Safety Management Schemes would be exempt from some prescriptive requirements of the Act.</w:t>
      </w:r>
    </w:p>
    <w:p>
      <w:pPr>
        <w:pStyle w:val="BodyText"/>
        <w:spacing w:before="11"/>
        <w:rPr>
          <w:sz w:val="20"/>
        </w:rPr>
      </w:pPr>
    </w:p>
    <w:p>
      <w:pPr>
        <w:pStyle w:val="BodyText"/>
        <w:spacing w:line="288" w:lineRule="auto"/>
        <w:ind w:left="292" w:right="311"/>
      </w:pPr>
      <w:r>
        <w:rPr/>
        <w:t>In</w:t>
      </w:r>
      <w:r>
        <w:rPr>
          <w:spacing w:val="-2"/>
        </w:rPr>
        <w:t> </w:t>
      </w:r>
      <w:r>
        <w:rPr/>
        <w:t>any</w:t>
      </w:r>
      <w:r>
        <w:rPr>
          <w:spacing w:val="-4"/>
        </w:rPr>
        <w:t> </w:t>
      </w:r>
      <w:r>
        <w:rPr/>
        <w:t>event,</w:t>
      </w:r>
      <w:r>
        <w:rPr>
          <w:spacing w:val="-3"/>
        </w:rPr>
        <w:t> </w:t>
      </w:r>
      <w:r>
        <w:rPr/>
        <w:t>the</w:t>
      </w:r>
      <w:r>
        <w:rPr>
          <w:spacing w:val="-3"/>
        </w:rPr>
        <w:t> </w:t>
      </w:r>
      <w:r>
        <w:rPr>
          <w:i/>
        </w:rPr>
        <w:t>Electricity</w:t>
      </w:r>
      <w:r>
        <w:rPr>
          <w:i/>
          <w:spacing w:val="-1"/>
        </w:rPr>
        <w:t> </w:t>
      </w:r>
      <w:r>
        <w:rPr>
          <w:i/>
        </w:rPr>
        <w:t>Safety</w:t>
      </w:r>
      <w:r>
        <w:rPr>
          <w:i/>
          <w:spacing w:val="-1"/>
        </w:rPr>
        <w:t> </w:t>
      </w:r>
      <w:r>
        <w:rPr>
          <w:i/>
        </w:rPr>
        <w:t>Act</w:t>
      </w:r>
      <w:r>
        <w:rPr>
          <w:i/>
          <w:spacing w:val="-3"/>
        </w:rPr>
        <w:t> </w:t>
      </w:r>
      <w:r>
        <w:rPr>
          <w:i/>
        </w:rPr>
        <w:t>1998 </w:t>
      </w:r>
      <w:r>
        <w:rPr/>
        <w:t>has</w:t>
      </w:r>
      <w:r>
        <w:rPr>
          <w:spacing w:val="-4"/>
        </w:rPr>
        <w:t> </w:t>
      </w:r>
      <w:r>
        <w:rPr/>
        <w:t>evolved</w:t>
      </w:r>
      <w:r>
        <w:rPr>
          <w:spacing w:val="-2"/>
        </w:rPr>
        <w:t> </w:t>
      </w:r>
      <w:r>
        <w:rPr/>
        <w:t>through</w:t>
      </w:r>
      <w:r>
        <w:rPr>
          <w:spacing w:val="-2"/>
        </w:rPr>
        <w:t> </w:t>
      </w:r>
      <w:r>
        <w:rPr/>
        <w:t>a</w:t>
      </w:r>
      <w:r>
        <w:rPr>
          <w:spacing w:val="-4"/>
        </w:rPr>
        <w:t> </w:t>
      </w:r>
      <w:r>
        <w:rPr/>
        <w:t>series</w:t>
      </w:r>
      <w:r>
        <w:rPr>
          <w:spacing w:val="-6"/>
        </w:rPr>
        <w:t> </w:t>
      </w:r>
      <w:r>
        <w:rPr/>
        <w:t>of amendments</w:t>
      </w:r>
      <w:r>
        <w:rPr>
          <w:spacing w:val="-4"/>
        </w:rPr>
        <w:t> </w:t>
      </w:r>
      <w:r>
        <w:rPr/>
        <w:t>over</w:t>
      </w:r>
      <w:r>
        <w:rPr>
          <w:spacing w:val="-1"/>
        </w:rPr>
        <w:t> </w:t>
      </w:r>
      <w:r>
        <w:rPr/>
        <w:t>the past two decades. Since 2009, Electricity Safety Management Schemes have been a compulsory requirement, operating in addition to other prescriptive requirements set out in the Act or in associated regulations under the Act.</w:t>
      </w:r>
    </w:p>
    <w:p>
      <w:pPr>
        <w:pStyle w:val="BodyText"/>
        <w:spacing w:before="10"/>
        <w:rPr>
          <w:sz w:val="20"/>
        </w:rPr>
      </w:pPr>
    </w:p>
    <w:p>
      <w:pPr>
        <w:pStyle w:val="BodyText"/>
        <w:spacing w:line="288" w:lineRule="auto"/>
        <w:ind w:left="292"/>
      </w:pPr>
      <w:r>
        <w:rPr/>
        <w:t>The</w:t>
      </w:r>
      <w:r>
        <w:rPr>
          <w:spacing w:val="-5"/>
        </w:rPr>
        <w:t> </w:t>
      </w:r>
      <w:r>
        <w:rPr/>
        <w:t>prescriptive</w:t>
      </w:r>
      <w:r>
        <w:rPr>
          <w:spacing w:val="-3"/>
        </w:rPr>
        <w:t> </w:t>
      </w:r>
      <w:r>
        <w:rPr/>
        <w:t>elements</w:t>
      </w:r>
      <w:r>
        <w:rPr>
          <w:spacing w:val="-2"/>
        </w:rPr>
        <w:t> </w:t>
      </w:r>
      <w:r>
        <w:rPr/>
        <w:t>that</w:t>
      </w:r>
      <w:r>
        <w:rPr>
          <w:spacing w:val="-1"/>
        </w:rPr>
        <w:t> </w:t>
      </w:r>
      <w:r>
        <w:rPr/>
        <w:t>currently</w:t>
      </w:r>
      <w:r>
        <w:rPr>
          <w:spacing w:val="-5"/>
        </w:rPr>
        <w:t> </w:t>
      </w:r>
      <w:r>
        <w:rPr/>
        <w:t>apply</w:t>
      </w:r>
      <w:r>
        <w:rPr>
          <w:spacing w:val="-5"/>
        </w:rPr>
        <w:t> </w:t>
      </w:r>
      <w:r>
        <w:rPr/>
        <w:t>to</w:t>
      </w:r>
      <w:r>
        <w:rPr>
          <w:spacing w:val="-3"/>
        </w:rPr>
        <w:t> </w:t>
      </w:r>
      <w:r>
        <w:rPr/>
        <w:t>the</w:t>
      </w:r>
      <w:r>
        <w:rPr>
          <w:spacing w:val="-3"/>
        </w:rPr>
        <w:t> </w:t>
      </w:r>
      <w:r>
        <w:rPr/>
        <w:t>regulation</w:t>
      </w:r>
      <w:r>
        <w:rPr>
          <w:spacing w:val="-3"/>
        </w:rPr>
        <w:t> </w:t>
      </w:r>
      <w:r>
        <w:rPr/>
        <w:t>of</w:t>
      </w:r>
      <w:r>
        <w:rPr>
          <w:spacing w:val="-4"/>
        </w:rPr>
        <w:t> </w:t>
      </w:r>
      <w:r>
        <w:rPr/>
        <w:t>gas</w:t>
      </w:r>
      <w:r>
        <w:rPr>
          <w:spacing w:val="-2"/>
        </w:rPr>
        <w:t> </w:t>
      </w:r>
      <w:r>
        <w:rPr/>
        <w:t>networks</w:t>
      </w:r>
      <w:r>
        <w:rPr>
          <w:spacing w:val="-2"/>
        </w:rPr>
        <w:t> </w:t>
      </w:r>
      <w:r>
        <w:rPr/>
        <w:t>and</w:t>
      </w:r>
      <w:r>
        <w:rPr>
          <w:spacing w:val="-5"/>
        </w:rPr>
        <w:t> </w:t>
      </w:r>
      <w:r>
        <w:rPr/>
        <w:t>regulation</w:t>
      </w:r>
      <w:r>
        <w:rPr>
          <w:spacing w:val="-5"/>
        </w:rPr>
        <w:t> </w:t>
      </w:r>
      <w:r>
        <w:rPr/>
        <w:t>of electricity networks include:</w:t>
      </w:r>
    </w:p>
    <w:p>
      <w:pPr>
        <w:pStyle w:val="BodyText"/>
        <w:spacing w:before="4"/>
      </w:pPr>
    </w:p>
    <w:p>
      <w:pPr>
        <w:pStyle w:val="ListParagraph"/>
        <w:numPr>
          <w:ilvl w:val="0"/>
          <w:numId w:val="4"/>
        </w:numPr>
        <w:tabs>
          <w:tab w:pos="794" w:val="left" w:leader="none"/>
        </w:tabs>
        <w:spacing w:line="285" w:lineRule="auto" w:before="1" w:after="0"/>
        <w:ind w:left="794" w:right="532" w:hanging="361"/>
        <w:jc w:val="left"/>
        <w:rPr>
          <w:sz w:val="22"/>
        </w:rPr>
      </w:pPr>
      <w:r>
        <w:rPr>
          <w:sz w:val="22"/>
        </w:rPr>
        <w:t>the</w:t>
      </w:r>
      <w:r>
        <w:rPr>
          <w:spacing w:val="-4"/>
          <w:sz w:val="22"/>
        </w:rPr>
        <w:t> </w:t>
      </w:r>
      <w:r>
        <w:rPr>
          <w:i/>
          <w:sz w:val="22"/>
        </w:rPr>
        <w:t>Gas</w:t>
      </w:r>
      <w:r>
        <w:rPr>
          <w:i/>
          <w:spacing w:val="-2"/>
          <w:sz w:val="22"/>
        </w:rPr>
        <w:t> </w:t>
      </w:r>
      <w:r>
        <w:rPr>
          <w:i/>
          <w:sz w:val="22"/>
        </w:rPr>
        <w:t>Safety</w:t>
      </w:r>
      <w:r>
        <w:rPr>
          <w:i/>
          <w:spacing w:val="-4"/>
          <w:sz w:val="22"/>
        </w:rPr>
        <w:t> </w:t>
      </w:r>
      <w:r>
        <w:rPr>
          <w:i/>
          <w:sz w:val="22"/>
        </w:rPr>
        <w:t>(Gas</w:t>
      </w:r>
      <w:r>
        <w:rPr>
          <w:i/>
          <w:spacing w:val="-6"/>
          <w:sz w:val="22"/>
        </w:rPr>
        <w:t> </w:t>
      </w:r>
      <w:r>
        <w:rPr>
          <w:i/>
          <w:sz w:val="22"/>
        </w:rPr>
        <w:t>Quality)</w:t>
      </w:r>
      <w:r>
        <w:rPr>
          <w:i/>
          <w:spacing w:val="-2"/>
          <w:sz w:val="22"/>
        </w:rPr>
        <w:t> </w:t>
      </w:r>
      <w:r>
        <w:rPr>
          <w:i/>
          <w:sz w:val="22"/>
        </w:rPr>
        <w:t>Regulations</w:t>
      </w:r>
      <w:r>
        <w:rPr>
          <w:i/>
          <w:spacing w:val="-2"/>
          <w:sz w:val="22"/>
        </w:rPr>
        <w:t> </w:t>
      </w:r>
      <w:r>
        <w:rPr>
          <w:i/>
          <w:sz w:val="22"/>
        </w:rPr>
        <w:t>2007</w:t>
      </w:r>
      <w:r>
        <w:rPr>
          <w:sz w:val="22"/>
        </w:rPr>
        <w:t>,</w:t>
      </w:r>
      <w:r>
        <w:rPr>
          <w:spacing w:val="-3"/>
          <w:sz w:val="22"/>
        </w:rPr>
        <w:t> </w:t>
      </w:r>
      <w:r>
        <w:rPr>
          <w:sz w:val="22"/>
        </w:rPr>
        <w:t>prescribing</w:t>
      </w:r>
      <w:r>
        <w:rPr>
          <w:spacing w:val="-2"/>
          <w:sz w:val="22"/>
        </w:rPr>
        <w:t> </w:t>
      </w:r>
      <w:r>
        <w:rPr>
          <w:sz w:val="22"/>
        </w:rPr>
        <w:t>quality</w:t>
      </w:r>
      <w:r>
        <w:rPr>
          <w:spacing w:val="-4"/>
          <w:sz w:val="22"/>
        </w:rPr>
        <w:t> </w:t>
      </w:r>
      <w:r>
        <w:rPr>
          <w:sz w:val="22"/>
        </w:rPr>
        <w:t>standards,</w:t>
      </w:r>
      <w:r>
        <w:rPr>
          <w:spacing w:val="-3"/>
          <w:sz w:val="22"/>
        </w:rPr>
        <w:t> </w:t>
      </w:r>
      <w:r>
        <w:rPr>
          <w:sz w:val="22"/>
        </w:rPr>
        <w:t>requirements for gas odourisation, and requirements for testing gas quality;</w:t>
      </w:r>
    </w:p>
    <w:p>
      <w:pPr>
        <w:pStyle w:val="BodyText"/>
        <w:spacing w:before="6"/>
      </w:pPr>
    </w:p>
    <w:p>
      <w:pPr>
        <w:pStyle w:val="ListParagraph"/>
        <w:numPr>
          <w:ilvl w:val="0"/>
          <w:numId w:val="4"/>
        </w:numPr>
        <w:tabs>
          <w:tab w:pos="794" w:val="left" w:leader="none"/>
        </w:tabs>
        <w:spacing w:line="288" w:lineRule="auto" w:before="0" w:after="0"/>
        <w:ind w:left="794" w:right="312" w:hanging="361"/>
        <w:jc w:val="left"/>
        <w:rPr>
          <w:sz w:val="22"/>
        </w:rPr>
      </w:pPr>
      <w:r>
        <w:rPr>
          <w:sz w:val="22"/>
        </w:rPr>
        <w:t>the</w:t>
      </w:r>
      <w:r>
        <w:rPr>
          <w:spacing w:val="-3"/>
          <w:sz w:val="22"/>
        </w:rPr>
        <w:t> </w:t>
      </w:r>
      <w:r>
        <w:rPr>
          <w:i/>
          <w:sz w:val="22"/>
        </w:rPr>
        <w:t>Electricity</w:t>
      </w:r>
      <w:r>
        <w:rPr>
          <w:i/>
          <w:spacing w:val="-2"/>
          <w:sz w:val="22"/>
        </w:rPr>
        <w:t> </w:t>
      </w:r>
      <w:r>
        <w:rPr>
          <w:i/>
          <w:sz w:val="22"/>
        </w:rPr>
        <w:t>Safety</w:t>
      </w:r>
      <w:r>
        <w:rPr>
          <w:i/>
          <w:spacing w:val="-5"/>
          <w:sz w:val="22"/>
        </w:rPr>
        <w:t> </w:t>
      </w:r>
      <w:r>
        <w:rPr>
          <w:i/>
          <w:sz w:val="22"/>
        </w:rPr>
        <w:t>(Electric</w:t>
      </w:r>
      <w:r>
        <w:rPr>
          <w:i/>
          <w:spacing w:val="-5"/>
          <w:sz w:val="22"/>
        </w:rPr>
        <w:t> </w:t>
      </w:r>
      <w:r>
        <w:rPr>
          <w:i/>
          <w:sz w:val="22"/>
        </w:rPr>
        <w:t>Line</w:t>
      </w:r>
      <w:r>
        <w:rPr>
          <w:i/>
          <w:spacing w:val="-3"/>
          <w:sz w:val="22"/>
        </w:rPr>
        <w:t> </w:t>
      </w:r>
      <w:r>
        <w:rPr>
          <w:i/>
          <w:sz w:val="22"/>
        </w:rPr>
        <w:t>Clearance)</w:t>
      </w:r>
      <w:r>
        <w:rPr>
          <w:i/>
          <w:spacing w:val="-4"/>
          <w:sz w:val="22"/>
        </w:rPr>
        <w:t> </w:t>
      </w:r>
      <w:r>
        <w:rPr>
          <w:i/>
          <w:sz w:val="22"/>
        </w:rPr>
        <w:t>Regulations</w:t>
      </w:r>
      <w:r>
        <w:rPr>
          <w:i/>
          <w:spacing w:val="-3"/>
          <w:sz w:val="22"/>
        </w:rPr>
        <w:t> </w:t>
      </w:r>
      <w:r>
        <w:rPr>
          <w:i/>
          <w:sz w:val="22"/>
        </w:rPr>
        <w:t>2015</w:t>
      </w:r>
      <w:r>
        <w:rPr>
          <w:sz w:val="22"/>
        </w:rPr>
        <w:t>,</w:t>
      </w:r>
      <w:r>
        <w:rPr>
          <w:spacing w:val="-4"/>
          <w:sz w:val="22"/>
        </w:rPr>
        <w:t> </w:t>
      </w:r>
      <w:r>
        <w:rPr>
          <w:sz w:val="22"/>
        </w:rPr>
        <w:t>specifying</w:t>
      </w:r>
      <w:r>
        <w:rPr>
          <w:spacing w:val="-3"/>
          <w:sz w:val="22"/>
        </w:rPr>
        <w:t> </w:t>
      </w:r>
      <w:r>
        <w:rPr>
          <w:sz w:val="22"/>
        </w:rPr>
        <w:t>a</w:t>
      </w:r>
      <w:r>
        <w:rPr>
          <w:spacing w:val="-3"/>
          <w:sz w:val="22"/>
        </w:rPr>
        <w:t> </w:t>
      </w:r>
      <w:r>
        <w:rPr>
          <w:sz w:val="22"/>
        </w:rPr>
        <w:t>code</w:t>
      </w:r>
      <w:r>
        <w:rPr>
          <w:spacing w:val="-5"/>
          <w:sz w:val="22"/>
        </w:rPr>
        <w:t> </w:t>
      </w:r>
      <w:r>
        <w:rPr>
          <w:sz w:val="22"/>
        </w:rPr>
        <w:t>of</w:t>
      </w:r>
      <w:r>
        <w:rPr>
          <w:spacing w:val="-1"/>
          <w:sz w:val="22"/>
        </w:rPr>
        <w:t> </w:t>
      </w:r>
      <w:r>
        <w:rPr>
          <w:sz w:val="22"/>
        </w:rPr>
        <w:t>practice for the management of vegetation near powerlines, and requiring electricity network businesses to submit a management plan to ESV relating to compliance with the code on an annual basis; and</w:t>
      </w:r>
    </w:p>
    <w:p>
      <w:pPr>
        <w:pStyle w:val="BodyText"/>
        <w:spacing w:before="1"/>
      </w:pPr>
    </w:p>
    <w:p>
      <w:pPr>
        <w:pStyle w:val="ListParagraph"/>
        <w:numPr>
          <w:ilvl w:val="0"/>
          <w:numId w:val="4"/>
        </w:numPr>
        <w:tabs>
          <w:tab w:pos="794" w:val="left" w:leader="none"/>
        </w:tabs>
        <w:spacing w:line="288" w:lineRule="auto" w:before="1" w:after="0"/>
        <w:ind w:left="794" w:right="375" w:hanging="361"/>
        <w:jc w:val="left"/>
        <w:rPr>
          <w:sz w:val="22"/>
        </w:rPr>
      </w:pPr>
      <w:r>
        <w:rPr>
          <w:sz w:val="22"/>
        </w:rPr>
        <w:t>the </w:t>
      </w:r>
      <w:r>
        <w:rPr>
          <w:i/>
          <w:sz w:val="22"/>
        </w:rPr>
        <w:t>Electricity Safety (Bushfire Mitigation) Regulations 2013</w:t>
      </w:r>
      <w:r>
        <w:rPr>
          <w:sz w:val="22"/>
        </w:rPr>
        <w:t>, specifying content for bushfire mitigation plans submitted to ESV every five years for acceptance, and prescribing requirements for the inspection of overhead electric lines and supply networks and the achievement</w:t>
      </w:r>
      <w:r>
        <w:rPr>
          <w:spacing w:val="-3"/>
          <w:sz w:val="22"/>
        </w:rPr>
        <w:t> </w:t>
      </w:r>
      <w:r>
        <w:rPr>
          <w:sz w:val="22"/>
        </w:rPr>
        <w:t>of</w:t>
      </w:r>
      <w:r>
        <w:rPr>
          <w:spacing w:val="-2"/>
          <w:sz w:val="22"/>
        </w:rPr>
        <w:t> </w:t>
      </w:r>
      <w:r>
        <w:rPr>
          <w:sz w:val="22"/>
        </w:rPr>
        <w:t>other</w:t>
      </w:r>
      <w:r>
        <w:rPr>
          <w:spacing w:val="-5"/>
          <w:sz w:val="22"/>
        </w:rPr>
        <w:t> </w:t>
      </w:r>
      <w:r>
        <w:rPr>
          <w:sz w:val="22"/>
        </w:rPr>
        <w:t>safety</w:t>
      </w:r>
      <w:r>
        <w:rPr>
          <w:spacing w:val="-5"/>
          <w:sz w:val="22"/>
        </w:rPr>
        <w:t> </w:t>
      </w:r>
      <w:r>
        <w:rPr>
          <w:sz w:val="22"/>
        </w:rPr>
        <w:t>standards,</w:t>
      </w:r>
      <w:r>
        <w:rPr>
          <w:spacing w:val="-5"/>
          <w:sz w:val="22"/>
        </w:rPr>
        <w:t> </w:t>
      </w:r>
      <w:r>
        <w:rPr>
          <w:sz w:val="22"/>
        </w:rPr>
        <w:t>including</w:t>
      </w:r>
      <w:r>
        <w:rPr>
          <w:spacing w:val="-4"/>
          <w:sz w:val="22"/>
        </w:rPr>
        <w:t> </w:t>
      </w:r>
      <w:r>
        <w:rPr>
          <w:sz w:val="22"/>
        </w:rPr>
        <w:t>requiring</w:t>
      </w:r>
      <w:r>
        <w:rPr>
          <w:spacing w:val="-4"/>
          <w:sz w:val="22"/>
        </w:rPr>
        <w:t> </w:t>
      </w:r>
      <w:r>
        <w:rPr>
          <w:sz w:val="22"/>
        </w:rPr>
        <w:t>the</w:t>
      </w:r>
      <w:r>
        <w:rPr>
          <w:spacing w:val="-4"/>
          <w:sz w:val="22"/>
        </w:rPr>
        <w:t> </w:t>
      </w:r>
      <w:r>
        <w:rPr>
          <w:sz w:val="22"/>
        </w:rPr>
        <w:t>installation</w:t>
      </w:r>
      <w:r>
        <w:rPr>
          <w:spacing w:val="-4"/>
          <w:sz w:val="22"/>
        </w:rPr>
        <w:t> </w:t>
      </w:r>
      <w:r>
        <w:rPr>
          <w:sz w:val="22"/>
        </w:rPr>
        <w:t>of</w:t>
      </w:r>
      <w:r>
        <w:rPr>
          <w:spacing w:val="-5"/>
          <w:sz w:val="22"/>
        </w:rPr>
        <w:t> </w:t>
      </w:r>
      <w:r>
        <w:rPr>
          <w:sz w:val="22"/>
        </w:rPr>
        <w:t>fault</w:t>
      </w:r>
      <w:r>
        <w:rPr>
          <w:spacing w:val="-2"/>
          <w:sz w:val="22"/>
        </w:rPr>
        <w:t> </w:t>
      </w:r>
      <w:r>
        <w:rPr>
          <w:sz w:val="22"/>
        </w:rPr>
        <w:t>suppression equipment in certain zone substations.</w:t>
      </w:r>
    </w:p>
    <w:p>
      <w:pPr>
        <w:pStyle w:val="BodyText"/>
        <w:spacing w:before="2"/>
        <w:rPr>
          <w:sz w:val="31"/>
        </w:rPr>
      </w:pPr>
    </w:p>
    <w:p>
      <w:pPr>
        <w:pStyle w:val="Heading4"/>
        <w:spacing w:before="0"/>
        <w:ind w:left="292"/>
      </w:pPr>
      <w:r>
        <w:rPr>
          <w:color w:val="585858"/>
        </w:rPr>
        <w:t>ESV's</w:t>
      </w:r>
      <w:r>
        <w:rPr>
          <w:color w:val="585858"/>
          <w:spacing w:val="-12"/>
        </w:rPr>
        <w:t> </w:t>
      </w:r>
      <w:r>
        <w:rPr>
          <w:color w:val="585858"/>
        </w:rPr>
        <w:t>regulatory</w:t>
      </w:r>
      <w:r>
        <w:rPr>
          <w:color w:val="585858"/>
          <w:spacing w:val="-13"/>
        </w:rPr>
        <w:t> </w:t>
      </w:r>
      <w:r>
        <w:rPr>
          <w:color w:val="585858"/>
        </w:rPr>
        <w:t>and</w:t>
      </w:r>
      <w:r>
        <w:rPr>
          <w:color w:val="585858"/>
          <w:spacing w:val="-12"/>
        </w:rPr>
        <w:t> </w:t>
      </w:r>
      <w:r>
        <w:rPr>
          <w:color w:val="585858"/>
        </w:rPr>
        <w:t>corporate</w:t>
      </w:r>
      <w:r>
        <w:rPr>
          <w:color w:val="585858"/>
          <w:spacing w:val="-10"/>
        </w:rPr>
        <w:t> </w:t>
      </w:r>
      <w:r>
        <w:rPr>
          <w:color w:val="585858"/>
          <w:spacing w:val="-2"/>
        </w:rPr>
        <w:t>governance</w:t>
      </w:r>
    </w:p>
    <w:p>
      <w:pPr>
        <w:pStyle w:val="BodyText"/>
        <w:spacing w:before="314"/>
        <w:ind w:left="292"/>
      </w:pPr>
      <w:r>
        <w:rPr/>
        <w:t>The</w:t>
      </w:r>
      <w:r>
        <w:rPr>
          <w:spacing w:val="-8"/>
        </w:rPr>
        <w:t> </w:t>
      </w:r>
      <w:r>
        <w:rPr/>
        <w:t>Review</w:t>
      </w:r>
      <w:r>
        <w:rPr>
          <w:spacing w:val="-6"/>
        </w:rPr>
        <w:t> </w:t>
      </w:r>
      <w:r>
        <w:rPr/>
        <w:t>has</w:t>
      </w:r>
      <w:r>
        <w:rPr>
          <w:spacing w:val="-2"/>
        </w:rPr>
        <w:t> </w:t>
      </w:r>
      <w:r>
        <w:rPr/>
        <w:t>considered</w:t>
      </w:r>
      <w:r>
        <w:rPr>
          <w:spacing w:val="-5"/>
        </w:rPr>
        <w:t> </w:t>
      </w:r>
      <w:r>
        <w:rPr/>
        <w:t>two</w:t>
      </w:r>
      <w:r>
        <w:rPr>
          <w:spacing w:val="-4"/>
        </w:rPr>
        <w:t> </w:t>
      </w:r>
      <w:r>
        <w:rPr/>
        <w:t>key</w:t>
      </w:r>
      <w:r>
        <w:rPr>
          <w:spacing w:val="-5"/>
        </w:rPr>
        <w:t> </w:t>
      </w:r>
      <w:r>
        <w:rPr/>
        <w:t>aspects</w:t>
      </w:r>
      <w:r>
        <w:rPr>
          <w:spacing w:val="-3"/>
        </w:rPr>
        <w:t> </w:t>
      </w:r>
      <w:r>
        <w:rPr/>
        <w:t>of</w:t>
      </w:r>
      <w:r>
        <w:rPr>
          <w:spacing w:val="-4"/>
        </w:rPr>
        <w:t> </w:t>
      </w:r>
      <w:r>
        <w:rPr>
          <w:spacing w:val="-2"/>
        </w:rPr>
        <w:t>governance:</w:t>
      </w:r>
    </w:p>
    <w:p>
      <w:pPr>
        <w:pStyle w:val="BodyText"/>
        <w:spacing w:before="7"/>
        <w:rPr>
          <w:sz w:val="26"/>
        </w:rPr>
      </w:pPr>
    </w:p>
    <w:p>
      <w:pPr>
        <w:pStyle w:val="ListParagraph"/>
        <w:numPr>
          <w:ilvl w:val="0"/>
          <w:numId w:val="4"/>
        </w:numPr>
        <w:tabs>
          <w:tab w:pos="794" w:val="left" w:leader="none"/>
        </w:tabs>
        <w:spacing w:line="240" w:lineRule="auto" w:before="0" w:after="0"/>
        <w:ind w:left="794" w:right="0" w:hanging="360"/>
        <w:jc w:val="left"/>
        <w:rPr>
          <w:sz w:val="22"/>
        </w:rPr>
      </w:pPr>
      <w:r>
        <w:rPr>
          <w:sz w:val="22"/>
        </w:rPr>
        <w:t>the</w:t>
      </w:r>
      <w:r>
        <w:rPr>
          <w:spacing w:val="-5"/>
          <w:sz w:val="22"/>
        </w:rPr>
        <w:t> </w:t>
      </w:r>
      <w:r>
        <w:rPr>
          <w:sz w:val="22"/>
        </w:rPr>
        <w:t>structures</w:t>
      </w:r>
      <w:r>
        <w:rPr>
          <w:spacing w:val="-4"/>
          <w:sz w:val="22"/>
        </w:rPr>
        <w:t> </w:t>
      </w:r>
      <w:r>
        <w:rPr>
          <w:sz w:val="22"/>
        </w:rPr>
        <w:t>and</w:t>
      </w:r>
      <w:r>
        <w:rPr>
          <w:spacing w:val="-7"/>
          <w:sz w:val="22"/>
        </w:rPr>
        <w:t> </w:t>
      </w:r>
      <w:r>
        <w:rPr>
          <w:sz w:val="22"/>
        </w:rPr>
        <w:t>arrangements</w:t>
      </w:r>
      <w:r>
        <w:rPr>
          <w:spacing w:val="-7"/>
          <w:sz w:val="22"/>
        </w:rPr>
        <w:t> </w:t>
      </w:r>
      <w:r>
        <w:rPr>
          <w:sz w:val="22"/>
        </w:rPr>
        <w:t>that</w:t>
      </w:r>
      <w:r>
        <w:rPr>
          <w:spacing w:val="-6"/>
          <w:sz w:val="22"/>
        </w:rPr>
        <w:t> </w:t>
      </w:r>
      <w:r>
        <w:rPr>
          <w:sz w:val="22"/>
        </w:rPr>
        <w:t>apply</w:t>
      </w:r>
      <w:r>
        <w:rPr>
          <w:spacing w:val="-6"/>
          <w:sz w:val="22"/>
        </w:rPr>
        <w:t> </w:t>
      </w:r>
      <w:r>
        <w:rPr>
          <w:sz w:val="22"/>
        </w:rPr>
        <w:t>to</w:t>
      </w:r>
      <w:r>
        <w:rPr>
          <w:spacing w:val="-5"/>
          <w:sz w:val="22"/>
        </w:rPr>
        <w:t> </w:t>
      </w:r>
      <w:r>
        <w:rPr>
          <w:sz w:val="22"/>
        </w:rPr>
        <w:t>ESV's</w:t>
      </w:r>
      <w:r>
        <w:rPr>
          <w:spacing w:val="-4"/>
          <w:sz w:val="22"/>
        </w:rPr>
        <w:t> </w:t>
      </w:r>
      <w:r>
        <w:rPr>
          <w:sz w:val="22"/>
        </w:rPr>
        <w:t>regulatory</w:t>
      </w:r>
      <w:r>
        <w:rPr>
          <w:spacing w:val="-6"/>
          <w:sz w:val="22"/>
        </w:rPr>
        <w:t> </w:t>
      </w:r>
      <w:r>
        <w:rPr>
          <w:sz w:val="22"/>
        </w:rPr>
        <w:t>decision</w:t>
      </w:r>
      <w:r>
        <w:rPr>
          <w:spacing w:val="-7"/>
          <w:sz w:val="22"/>
        </w:rPr>
        <w:t> </w:t>
      </w:r>
      <w:r>
        <w:rPr>
          <w:sz w:val="22"/>
        </w:rPr>
        <w:t>making</w:t>
      </w:r>
      <w:r>
        <w:rPr>
          <w:spacing w:val="1"/>
          <w:sz w:val="22"/>
        </w:rPr>
        <w:t> </w:t>
      </w:r>
      <w:r>
        <w:rPr>
          <w:sz w:val="22"/>
        </w:rPr>
        <w:t>–</w:t>
      </w:r>
      <w:r>
        <w:rPr>
          <w:spacing w:val="-7"/>
          <w:sz w:val="22"/>
        </w:rPr>
        <w:t> </w:t>
      </w:r>
      <w:r>
        <w:rPr>
          <w:sz w:val="22"/>
        </w:rPr>
        <w:t>that</w:t>
      </w:r>
      <w:r>
        <w:rPr>
          <w:spacing w:val="-3"/>
          <w:sz w:val="22"/>
        </w:rPr>
        <w:t> </w:t>
      </w:r>
      <w:r>
        <w:rPr>
          <w:sz w:val="22"/>
        </w:rPr>
        <w:t>is,</w:t>
      </w:r>
      <w:r>
        <w:rPr>
          <w:spacing w:val="-5"/>
          <w:sz w:val="22"/>
        </w:rPr>
        <w:t> its</w:t>
      </w:r>
    </w:p>
    <w:p>
      <w:pPr>
        <w:pStyle w:val="Heading8"/>
        <w:spacing w:before="50"/>
        <w:ind w:left="794"/>
        <w:rPr>
          <w:rFonts w:ascii="Arial"/>
          <w:b w:val="0"/>
          <w:i w:val="0"/>
        </w:rPr>
      </w:pPr>
      <w:r>
        <w:rPr/>
        <w:t>regulatory</w:t>
      </w:r>
      <w:r>
        <w:rPr>
          <w:spacing w:val="-8"/>
        </w:rPr>
        <w:t> </w:t>
      </w:r>
      <w:r>
        <w:rPr/>
        <w:t>governance</w:t>
      </w:r>
      <w:r>
        <w:rPr>
          <w:spacing w:val="-9"/>
        </w:rPr>
        <w:t> </w:t>
      </w:r>
      <w:r>
        <w:rPr/>
        <w:t>framework</w:t>
      </w:r>
      <w:r>
        <w:rPr>
          <w:rFonts w:ascii="Arial"/>
          <w:b w:val="0"/>
          <w:i w:val="0"/>
        </w:rPr>
        <w:t>;</w:t>
      </w:r>
      <w:r>
        <w:rPr>
          <w:rFonts w:ascii="Arial"/>
          <w:b w:val="0"/>
          <w:i w:val="0"/>
          <w:spacing w:val="-6"/>
        </w:rPr>
        <w:t> </w:t>
      </w:r>
      <w:r>
        <w:rPr>
          <w:rFonts w:ascii="Arial"/>
          <w:b w:val="0"/>
          <w:i w:val="0"/>
          <w:spacing w:val="-5"/>
        </w:rPr>
        <w:t>and</w:t>
      </w:r>
    </w:p>
    <w:p>
      <w:pPr>
        <w:pStyle w:val="BodyText"/>
        <w:spacing w:before="7"/>
        <w:rPr>
          <w:sz w:val="26"/>
        </w:rPr>
      </w:pPr>
    </w:p>
    <w:p>
      <w:pPr>
        <w:pStyle w:val="ListParagraph"/>
        <w:numPr>
          <w:ilvl w:val="0"/>
          <w:numId w:val="4"/>
        </w:numPr>
        <w:tabs>
          <w:tab w:pos="794" w:val="left" w:leader="none"/>
        </w:tabs>
        <w:spacing w:line="240" w:lineRule="auto" w:before="0" w:after="0"/>
        <w:ind w:left="794" w:right="0" w:hanging="360"/>
        <w:jc w:val="left"/>
        <w:rPr>
          <w:sz w:val="22"/>
        </w:rPr>
      </w:pPr>
      <w:r>
        <w:rPr>
          <w:sz w:val="22"/>
        </w:rPr>
        <w:t>the</w:t>
      </w:r>
      <w:r>
        <w:rPr>
          <w:spacing w:val="-7"/>
          <w:sz w:val="22"/>
        </w:rPr>
        <w:t> </w:t>
      </w:r>
      <w:r>
        <w:rPr>
          <w:sz w:val="22"/>
        </w:rPr>
        <w:t>structures</w:t>
      </w:r>
      <w:r>
        <w:rPr>
          <w:spacing w:val="-4"/>
          <w:sz w:val="22"/>
        </w:rPr>
        <w:t> </w:t>
      </w:r>
      <w:r>
        <w:rPr>
          <w:sz w:val="22"/>
        </w:rPr>
        <w:t>and</w:t>
      </w:r>
      <w:r>
        <w:rPr>
          <w:spacing w:val="-7"/>
          <w:sz w:val="22"/>
        </w:rPr>
        <w:t> </w:t>
      </w:r>
      <w:r>
        <w:rPr>
          <w:sz w:val="22"/>
        </w:rPr>
        <w:t>arrangements</w:t>
      </w:r>
      <w:r>
        <w:rPr>
          <w:spacing w:val="-7"/>
          <w:sz w:val="22"/>
        </w:rPr>
        <w:t> </w:t>
      </w:r>
      <w:r>
        <w:rPr>
          <w:sz w:val="22"/>
        </w:rPr>
        <w:t>that</w:t>
      </w:r>
      <w:r>
        <w:rPr>
          <w:spacing w:val="-5"/>
          <w:sz w:val="22"/>
        </w:rPr>
        <w:t> </w:t>
      </w:r>
      <w:r>
        <w:rPr>
          <w:sz w:val="22"/>
        </w:rPr>
        <w:t>apply</w:t>
      </w:r>
      <w:r>
        <w:rPr>
          <w:spacing w:val="-7"/>
          <w:sz w:val="22"/>
        </w:rPr>
        <w:t> </w:t>
      </w:r>
      <w:r>
        <w:rPr>
          <w:sz w:val="22"/>
        </w:rPr>
        <w:t>to</w:t>
      </w:r>
      <w:r>
        <w:rPr>
          <w:spacing w:val="-5"/>
          <w:sz w:val="22"/>
        </w:rPr>
        <w:t> </w:t>
      </w:r>
      <w:r>
        <w:rPr>
          <w:sz w:val="22"/>
        </w:rPr>
        <w:t>its</w:t>
      </w:r>
      <w:r>
        <w:rPr>
          <w:spacing w:val="-7"/>
          <w:sz w:val="22"/>
        </w:rPr>
        <w:t> </w:t>
      </w:r>
      <w:r>
        <w:rPr>
          <w:sz w:val="22"/>
        </w:rPr>
        <w:t>organisational</w:t>
      </w:r>
      <w:r>
        <w:rPr>
          <w:spacing w:val="-5"/>
          <w:sz w:val="22"/>
        </w:rPr>
        <w:t> </w:t>
      </w:r>
      <w:r>
        <w:rPr>
          <w:sz w:val="22"/>
        </w:rPr>
        <w:t>decision</w:t>
      </w:r>
      <w:r>
        <w:rPr>
          <w:spacing w:val="-3"/>
          <w:sz w:val="22"/>
        </w:rPr>
        <w:t> </w:t>
      </w:r>
      <w:r>
        <w:rPr>
          <w:sz w:val="22"/>
        </w:rPr>
        <w:t>making</w:t>
      </w:r>
      <w:r>
        <w:rPr>
          <w:spacing w:val="-4"/>
          <w:sz w:val="22"/>
        </w:rPr>
        <w:t> </w:t>
      </w:r>
      <w:r>
        <w:rPr>
          <w:sz w:val="22"/>
        </w:rPr>
        <w:t>–</w:t>
      </w:r>
      <w:r>
        <w:rPr>
          <w:spacing w:val="-7"/>
          <w:sz w:val="22"/>
        </w:rPr>
        <w:t> </w:t>
      </w:r>
      <w:r>
        <w:rPr>
          <w:sz w:val="22"/>
        </w:rPr>
        <w:t>that</w:t>
      </w:r>
      <w:r>
        <w:rPr>
          <w:spacing w:val="-3"/>
          <w:sz w:val="22"/>
        </w:rPr>
        <w:t> </w:t>
      </w:r>
      <w:r>
        <w:rPr>
          <w:sz w:val="22"/>
        </w:rPr>
        <w:t>is,</w:t>
      </w:r>
      <w:r>
        <w:rPr>
          <w:spacing w:val="-5"/>
          <w:sz w:val="22"/>
        </w:rPr>
        <w:t> its</w:t>
      </w:r>
    </w:p>
    <w:p>
      <w:pPr>
        <w:pStyle w:val="Heading8"/>
        <w:spacing w:before="50"/>
        <w:ind w:left="794"/>
        <w:rPr>
          <w:rFonts w:ascii="Arial"/>
          <w:b w:val="0"/>
          <w:i w:val="0"/>
        </w:rPr>
      </w:pPr>
      <w:r>
        <w:rPr/>
        <w:t>corporate</w:t>
      </w:r>
      <w:r>
        <w:rPr>
          <w:spacing w:val="-9"/>
        </w:rPr>
        <w:t> </w:t>
      </w:r>
      <w:r>
        <w:rPr/>
        <w:t>governance</w:t>
      </w:r>
      <w:r>
        <w:rPr>
          <w:spacing w:val="-8"/>
        </w:rPr>
        <w:t> </w:t>
      </w:r>
      <w:r>
        <w:rPr>
          <w:spacing w:val="-2"/>
        </w:rPr>
        <w:t>framework</w:t>
      </w:r>
      <w:r>
        <w:rPr>
          <w:rFonts w:ascii="Arial"/>
          <w:b w:val="0"/>
          <w:i w:val="0"/>
          <w:spacing w:val="-2"/>
        </w:rPr>
        <w:t>.</w:t>
      </w:r>
    </w:p>
    <w:p>
      <w:pPr>
        <w:pStyle w:val="BodyText"/>
        <w:spacing w:before="2"/>
        <w:rPr>
          <w:sz w:val="25"/>
        </w:rPr>
      </w:pPr>
    </w:p>
    <w:p>
      <w:pPr>
        <w:pStyle w:val="BodyText"/>
        <w:spacing w:line="288" w:lineRule="auto"/>
        <w:ind w:left="292" w:right="311"/>
      </w:pPr>
      <w:r>
        <w:rPr/>
        <w:t>ESV</w:t>
      </w:r>
      <w:r>
        <w:rPr>
          <w:spacing w:val="-1"/>
        </w:rPr>
        <w:t> </w:t>
      </w:r>
      <w:r>
        <w:rPr/>
        <w:t>is established</w:t>
      </w:r>
      <w:r>
        <w:rPr>
          <w:spacing w:val="-1"/>
        </w:rPr>
        <w:t> </w:t>
      </w:r>
      <w:r>
        <w:rPr/>
        <w:t>as</w:t>
      </w:r>
      <w:r>
        <w:rPr>
          <w:spacing w:val="-3"/>
        </w:rPr>
        <w:t> </w:t>
      </w:r>
      <w:r>
        <w:rPr/>
        <w:t>an</w:t>
      </w:r>
      <w:r>
        <w:rPr>
          <w:spacing w:val="-3"/>
        </w:rPr>
        <w:t> </w:t>
      </w:r>
      <w:r>
        <w:rPr/>
        <w:t>independent</w:t>
      </w:r>
      <w:r>
        <w:rPr>
          <w:spacing w:val="-2"/>
        </w:rPr>
        <w:t> </w:t>
      </w:r>
      <w:r>
        <w:rPr/>
        <w:t>regulator.</w:t>
      </w:r>
      <w:r>
        <w:rPr>
          <w:spacing w:val="-4"/>
        </w:rPr>
        <w:t> </w:t>
      </w:r>
      <w:r>
        <w:rPr/>
        <w:t>The</w:t>
      </w:r>
      <w:r>
        <w:rPr>
          <w:spacing w:val="-2"/>
        </w:rPr>
        <w:t> </w:t>
      </w:r>
      <w:r>
        <w:rPr>
          <w:i/>
        </w:rPr>
        <w:t>Energy</w:t>
      </w:r>
      <w:r>
        <w:rPr>
          <w:i/>
          <w:spacing w:val="-3"/>
        </w:rPr>
        <w:t> </w:t>
      </w:r>
      <w:r>
        <w:rPr>
          <w:i/>
        </w:rPr>
        <w:t>Safe</w:t>
      </w:r>
      <w:r>
        <w:rPr>
          <w:i/>
          <w:spacing w:val="-3"/>
        </w:rPr>
        <w:t> </w:t>
      </w:r>
      <w:r>
        <w:rPr>
          <w:i/>
        </w:rPr>
        <w:t>Victoria</w:t>
      </w:r>
      <w:r>
        <w:rPr>
          <w:i/>
          <w:spacing w:val="-4"/>
        </w:rPr>
        <w:t> </w:t>
      </w:r>
      <w:r>
        <w:rPr>
          <w:i/>
        </w:rPr>
        <w:t>Act</w:t>
      </w:r>
      <w:r>
        <w:rPr>
          <w:i/>
          <w:spacing w:val="-2"/>
        </w:rPr>
        <w:t> </w:t>
      </w:r>
      <w:r>
        <w:rPr>
          <w:i/>
        </w:rPr>
        <w:t>2005 </w:t>
      </w:r>
      <w:r>
        <w:rPr/>
        <w:t>sets</w:t>
      </w:r>
      <w:r>
        <w:rPr>
          <w:spacing w:val="-3"/>
        </w:rPr>
        <w:t> </w:t>
      </w:r>
      <w:r>
        <w:rPr/>
        <w:t>out</w:t>
      </w:r>
      <w:r>
        <w:rPr>
          <w:spacing w:val="-2"/>
        </w:rPr>
        <w:t> </w:t>
      </w:r>
      <w:r>
        <w:rPr/>
        <w:t>the ways in which ESV is accountable to the responsible Minister – the Minister for Energy, Environment and Climate Change – and it provides mechanisms that allow the Minister to set expectations for ESV's performance and corporate direction.</w:t>
      </w:r>
    </w:p>
    <w:p>
      <w:pPr>
        <w:pStyle w:val="BodyText"/>
        <w:spacing w:before="10"/>
        <w:rPr>
          <w:sz w:val="20"/>
        </w:rPr>
      </w:pPr>
    </w:p>
    <w:p>
      <w:pPr>
        <w:pStyle w:val="BodyText"/>
        <w:spacing w:line="288" w:lineRule="auto"/>
        <w:ind w:left="292"/>
      </w:pPr>
      <w:r>
        <w:rPr/>
        <w:t>The</w:t>
      </w:r>
      <w:r>
        <w:rPr>
          <w:spacing w:val="-4"/>
        </w:rPr>
        <w:t> </w:t>
      </w:r>
      <w:r>
        <w:rPr/>
        <w:t>Act</w:t>
      </w:r>
      <w:r>
        <w:rPr>
          <w:spacing w:val="-3"/>
        </w:rPr>
        <w:t> </w:t>
      </w:r>
      <w:r>
        <w:rPr/>
        <w:t>also</w:t>
      </w:r>
      <w:r>
        <w:rPr>
          <w:spacing w:val="-2"/>
        </w:rPr>
        <w:t> </w:t>
      </w:r>
      <w:r>
        <w:rPr/>
        <w:t>provides</w:t>
      </w:r>
      <w:r>
        <w:rPr>
          <w:spacing w:val="-1"/>
        </w:rPr>
        <w:t> </w:t>
      </w:r>
      <w:r>
        <w:rPr/>
        <w:t>a</w:t>
      </w:r>
      <w:r>
        <w:rPr>
          <w:spacing w:val="-6"/>
        </w:rPr>
        <w:t> </w:t>
      </w:r>
      <w:r>
        <w:rPr/>
        <w:t>mechanism</w:t>
      </w:r>
      <w:r>
        <w:rPr>
          <w:spacing w:val="-3"/>
        </w:rPr>
        <w:t> </w:t>
      </w:r>
      <w:r>
        <w:rPr/>
        <w:t>to</w:t>
      </w:r>
      <w:r>
        <w:rPr>
          <w:spacing w:val="-4"/>
        </w:rPr>
        <w:t> </w:t>
      </w:r>
      <w:r>
        <w:rPr/>
        <w:t>allow</w:t>
      </w:r>
      <w:r>
        <w:rPr>
          <w:spacing w:val="-5"/>
        </w:rPr>
        <w:t> </w:t>
      </w:r>
      <w:r>
        <w:rPr/>
        <w:t>the</w:t>
      </w:r>
      <w:r>
        <w:rPr>
          <w:spacing w:val="-4"/>
        </w:rPr>
        <w:t> </w:t>
      </w:r>
      <w:r>
        <w:rPr/>
        <w:t>Minister</w:t>
      </w:r>
      <w:r>
        <w:rPr>
          <w:spacing w:val="-1"/>
        </w:rPr>
        <w:t> </w:t>
      </w:r>
      <w:r>
        <w:rPr/>
        <w:t>to</w:t>
      </w:r>
      <w:r>
        <w:rPr>
          <w:spacing w:val="-4"/>
        </w:rPr>
        <w:t> </w:t>
      </w:r>
      <w:r>
        <w:rPr/>
        <w:t>commission</w:t>
      </w:r>
      <w:r>
        <w:rPr>
          <w:spacing w:val="-2"/>
        </w:rPr>
        <w:t> </w:t>
      </w:r>
      <w:r>
        <w:rPr/>
        <w:t>advice</w:t>
      </w:r>
      <w:r>
        <w:rPr>
          <w:spacing w:val="-2"/>
        </w:rPr>
        <w:t> </w:t>
      </w:r>
      <w:r>
        <w:rPr/>
        <w:t>and</w:t>
      </w:r>
      <w:r>
        <w:rPr>
          <w:spacing w:val="-2"/>
        </w:rPr>
        <w:t> </w:t>
      </w:r>
      <w:r>
        <w:rPr/>
        <w:t>inquiries</w:t>
      </w:r>
      <w:r>
        <w:rPr>
          <w:spacing w:val="-2"/>
        </w:rPr>
        <w:t> </w:t>
      </w:r>
      <w:r>
        <w:rPr/>
        <w:t>into certain matters by ESV. However, the Act does not provide for the Minister to direct ESV in its regulatory decision making.</w:t>
      </w:r>
    </w:p>
    <w:p>
      <w:pPr>
        <w:spacing w:after="0" w:line="288" w:lineRule="auto"/>
        <w:sectPr>
          <w:pgSz w:w="11910" w:h="16850"/>
          <w:pgMar w:header="465" w:footer="880" w:top="660" w:bottom="1060" w:left="840" w:right="820"/>
        </w:sectPr>
      </w:pPr>
    </w:p>
    <w:p>
      <w:pPr>
        <w:pStyle w:val="BodyText"/>
        <w:rPr>
          <w:sz w:val="20"/>
        </w:rPr>
      </w:pPr>
    </w:p>
    <w:p>
      <w:pPr>
        <w:pStyle w:val="BodyText"/>
        <w:rPr>
          <w:sz w:val="20"/>
        </w:rPr>
      </w:pPr>
    </w:p>
    <w:p>
      <w:pPr>
        <w:pStyle w:val="BodyText"/>
        <w:spacing w:before="4"/>
      </w:pPr>
    </w:p>
    <w:p>
      <w:pPr>
        <w:pStyle w:val="BodyText"/>
        <w:spacing w:line="288" w:lineRule="auto"/>
        <w:ind w:left="292" w:right="311"/>
      </w:pPr>
      <w:r>
        <w:rPr/>
        <w:t>In many areas of regulation, including safety regulation, it is generally recognised that there are broad public benefits in having a regulator that operates independently, removed from political or commercial interests. The Review considers that ESV's independent status should be preserved, but</w:t>
      </w:r>
      <w:r>
        <w:rPr>
          <w:spacing w:val="-3"/>
        </w:rPr>
        <w:t> </w:t>
      </w:r>
      <w:r>
        <w:rPr/>
        <w:t>that</w:t>
      </w:r>
      <w:r>
        <w:rPr>
          <w:spacing w:val="-3"/>
        </w:rPr>
        <w:t> </w:t>
      </w:r>
      <w:r>
        <w:rPr/>
        <w:t>ESV's</w:t>
      </w:r>
      <w:r>
        <w:rPr>
          <w:spacing w:val="-4"/>
        </w:rPr>
        <w:t> </w:t>
      </w:r>
      <w:r>
        <w:rPr/>
        <w:t>regulatory</w:t>
      </w:r>
      <w:r>
        <w:rPr>
          <w:spacing w:val="-6"/>
        </w:rPr>
        <w:t> </w:t>
      </w:r>
      <w:r>
        <w:rPr/>
        <w:t>governance</w:t>
      </w:r>
      <w:r>
        <w:rPr>
          <w:spacing w:val="-2"/>
        </w:rPr>
        <w:t> </w:t>
      </w:r>
      <w:r>
        <w:rPr/>
        <w:t>should</w:t>
      </w:r>
      <w:r>
        <w:rPr>
          <w:spacing w:val="-2"/>
        </w:rPr>
        <w:t> </w:t>
      </w:r>
      <w:r>
        <w:rPr/>
        <w:t>be</w:t>
      </w:r>
      <w:r>
        <w:rPr>
          <w:spacing w:val="-4"/>
        </w:rPr>
        <w:t> </w:t>
      </w:r>
      <w:r>
        <w:rPr/>
        <w:t>strengthened</w:t>
      </w:r>
      <w:r>
        <w:rPr>
          <w:spacing w:val="-2"/>
        </w:rPr>
        <w:t> </w:t>
      </w:r>
      <w:r>
        <w:rPr/>
        <w:t>by</w:t>
      </w:r>
      <w:r>
        <w:rPr>
          <w:spacing w:val="-6"/>
        </w:rPr>
        <w:t> </w:t>
      </w:r>
      <w:r>
        <w:rPr/>
        <w:t>formally</w:t>
      </w:r>
      <w:r>
        <w:rPr>
          <w:spacing w:val="-4"/>
        </w:rPr>
        <w:t> </w:t>
      </w:r>
      <w:r>
        <w:rPr/>
        <w:t>constituting</w:t>
      </w:r>
      <w:r>
        <w:rPr>
          <w:spacing w:val="-2"/>
        </w:rPr>
        <w:t> </w:t>
      </w:r>
      <w:r>
        <w:rPr/>
        <w:t>it as</w:t>
      </w:r>
      <w:r>
        <w:rPr>
          <w:spacing w:val="-1"/>
        </w:rPr>
        <w:t> </w:t>
      </w:r>
      <w:r>
        <w:rPr/>
        <w:t>a</w:t>
      </w:r>
      <w:r>
        <w:rPr>
          <w:spacing w:val="-4"/>
        </w:rPr>
        <w:t> </w:t>
      </w:r>
      <w:r>
        <w:rPr/>
        <w:t>three- person commission.</w:t>
      </w:r>
    </w:p>
    <w:p>
      <w:pPr>
        <w:pStyle w:val="BodyText"/>
        <w:spacing w:before="10"/>
        <w:rPr>
          <w:sz w:val="20"/>
        </w:rPr>
      </w:pPr>
    </w:p>
    <w:p>
      <w:pPr>
        <w:pStyle w:val="BodyText"/>
        <w:spacing w:line="288" w:lineRule="auto"/>
        <w:ind w:left="292" w:right="311"/>
      </w:pPr>
      <w:r>
        <w:rPr/>
        <w:t>The intention of this recommendation is to broaden accountability for ESV's regulatory decisions and approach from a single decision maker, the Director of Energy Safety. This should promote consideration of a wider range of perspectives in regulatory decision making and lessen the pressure</w:t>
      </w:r>
      <w:r>
        <w:rPr>
          <w:spacing w:val="-4"/>
        </w:rPr>
        <w:t> </w:t>
      </w:r>
      <w:r>
        <w:rPr/>
        <w:t>that</w:t>
      </w:r>
      <w:r>
        <w:rPr>
          <w:spacing w:val="-3"/>
        </w:rPr>
        <w:t> </w:t>
      </w:r>
      <w:r>
        <w:rPr/>
        <w:t>may</w:t>
      </w:r>
      <w:r>
        <w:rPr>
          <w:spacing w:val="-6"/>
        </w:rPr>
        <w:t> </w:t>
      </w:r>
      <w:r>
        <w:rPr/>
        <w:t>fall</w:t>
      </w:r>
      <w:r>
        <w:rPr>
          <w:spacing w:val="-5"/>
        </w:rPr>
        <w:t> </w:t>
      </w:r>
      <w:r>
        <w:rPr/>
        <w:t>to</w:t>
      </w:r>
      <w:r>
        <w:rPr>
          <w:spacing w:val="-4"/>
        </w:rPr>
        <w:t> </w:t>
      </w:r>
      <w:r>
        <w:rPr/>
        <w:t>one</w:t>
      </w:r>
      <w:r>
        <w:rPr>
          <w:spacing w:val="-2"/>
        </w:rPr>
        <w:t> </w:t>
      </w:r>
      <w:r>
        <w:rPr/>
        <w:t>individual</w:t>
      </w:r>
      <w:r>
        <w:rPr>
          <w:spacing w:val="-2"/>
        </w:rPr>
        <w:t> </w:t>
      </w:r>
      <w:r>
        <w:rPr/>
        <w:t>when</w:t>
      </w:r>
      <w:r>
        <w:rPr>
          <w:spacing w:val="-2"/>
        </w:rPr>
        <w:t> </w:t>
      </w:r>
      <w:r>
        <w:rPr/>
        <w:t>strong,</w:t>
      </w:r>
      <w:r>
        <w:rPr>
          <w:spacing w:val="-1"/>
        </w:rPr>
        <w:t> </w:t>
      </w:r>
      <w:r>
        <w:rPr/>
        <w:t>independent</w:t>
      </w:r>
      <w:r>
        <w:rPr>
          <w:spacing w:val="-3"/>
        </w:rPr>
        <w:t> </w:t>
      </w:r>
      <w:r>
        <w:rPr/>
        <w:t>decision</w:t>
      </w:r>
      <w:r>
        <w:rPr>
          <w:spacing w:val="-4"/>
        </w:rPr>
        <w:t> </w:t>
      </w:r>
      <w:r>
        <w:rPr/>
        <w:t>making</w:t>
      </w:r>
      <w:r>
        <w:rPr>
          <w:spacing w:val="-2"/>
        </w:rPr>
        <w:t> </w:t>
      </w:r>
      <w:r>
        <w:rPr/>
        <w:t>is</w:t>
      </w:r>
      <w:r>
        <w:rPr>
          <w:spacing w:val="-2"/>
        </w:rPr>
        <w:t> </w:t>
      </w:r>
      <w:r>
        <w:rPr/>
        <w:t>required,</w:t>
      </w:r>
      <w:r>
        <w:rPr>
          <w:spacing w:val="-5"/>
        </w:rPr>
        <w:t> </w:t>
      </w:r>
      <w:r>
        <w:rPr/>
        <w:t>free from commercial or political interests.</w:t>
      </w:r>
    </w:p>
    <w:p>
      <w:pPr>
        <w:pStyle w:val="BodyText"/>
        <w:spacing w:before="11"/>
        <w:rPr>
          <w:sz w:val="20"/>
        </w:rPr>
      </w:pPr>
    </w:p>
    <w:p>
      <w:pPr>
        <w:pStyle w:val="BodyText"/>
        <w:spacing w:line="288" w:lineRule="auto"/>
        <w:ind w:left="292" w:right="311"/>
      </w:pPr>
      <w:r>
        <w:rPr/>
        <w:t>As a technical regulator requiring specialist skills, ESV relies on staff, including at senior decision making</w:t>
      </w:r>
      <w:r>
        <w:rPr>
          <w:spacing w:val="-3"/>
        </w:rPr>
        <w:t> </w:t>
      </w:r>
      <w:r>
        <w:rPr/>
        <w:t>levels,</w:t>
      </w:r>
      <w:r>
        <w:rPr>
          <w:spacing w:val="-1"/>
        </w:rPr>
        <w:t> </w:t>
      </w:r>
      <w:r>
        <w:rPr/>
        <w:t>who</w:t>
      </w:r>
      <w:r>
        <w:rPr>
          <w:spacing w:val="-3"/>
        </w:rPr>
        <w:t> </w:t>
      </w:r>
      <w:r>
        <w:rPr/>
        <w:t>have</w:t>
      </w:r>
      <w:r>
        <w:rPr>
          <w:spacing w:val="-1"/>
        </w:rPr>
        <w:t> </w:t>
      </w:r>
      <w:r>
        <w:rPr/>
        <w:t>previously</w:t>
      </w:r>
      <w:r>
        <w:rPr>
          <w:spacing w:val="-5"/>
        </w:rPr>
        <w:t> </w:t>
      </w:r>
      <w:r>
        <w:rPr/>
        <w:t>been</w:t>
      </w:r>
      <w:r>
        <w:rPr>
          <w:spacing w:val="-3"/>
        </w:rPr>
        <w:t> </w:t>
      </w:r>
      <w:r>
        <w:rPr/>
        <w:t>employed</w:t>
      </w:r>
      <w:r>
        <w:rPr>
          <w:spacing w:val="-3"/>
        </w:rPr>
        <w:t> </w:t>
      </w:r>
      <w:r>
        <w:rPr/>
        <w:t>by</w:t>
      </w:r>
      <w:r>
        <w:rPr>
          <w:spacing w:val="-5"/>
        </w:rPr>
        <w:t> </w:t>
      </w:r>
      <w:r>
        <w:rPr/>
        <w:t>the</w:t>
      </w:r>
      <w:r>
        <w:rPr>
          <w:spacing w:val="-3"/>
        </w:rPr>
        <w:t> </w:t>
      </w:r>
      <w:r>
        <w:rPr/>
        <w:t>network</w:t>
      </w:r>
      <w:r>
        <w:rPr>
          <w:spacing w:val="-2"/>
        </w:rPr>
        <w:t> </w:t>
      </w:r>
      <w:r>
        <w:rPr/>
        <w:t>companies</w:t>
      </w:r>
      <w:r>
        <w:rPr>
          <w:spacing w:val="-3"/>
        </w:rPr>
        <w:t> </w:t>
      </w:r>
      <w:r>
        <w:rPr/>
        <w:t>that</w:t>
      </w:r>
      <w:r>
        <w:rPr>
          <w:spacing w:val="-4"/>
        </w:rPr>
        <w:t> </w:t>
      </w:r>
      <w:r>
        <w:rPr/>
        <w:t>ESV</w:t>
      </w:r>
      <w:r>
        <w:rPr>
          <w:spacing w:val="-5"/>
        </w:rPr>
        <w:t> </w:t>
      </w:r>
      <w:r>
        <w:rPr/>
        <w:t>regulates, or staff who may wish to join such companies as part of their future career development. The movement of staff has a number of benefits, including sharing knowledge to improve network safety. However, it also brings the risk of perceived and actual conflicts of interest in regulatory decision making. The Review proposes that ESV should develop stronger and more formal arrangements to manage this risk.</w:t>
      </w:r>
    </w:p>
    <w:p>
      <w:pPr>
        <w:pStyle w:val="BodyText"/>
        <w:spacing w:before="10"/>
        <w:rPr>
          <w:sz w:val="20"/>
        </w:rPr>
      </w:pPr>
    </w:p>
    <w:p>
      <w:pPr>
        <w:pStyle w:val="BodyText"/>
        <w:spacing w:line="288" w:lineRule="auto"/>
        <w:ind w:left="292" w:right="406"/>
      </w:pPr>
      <w:r>
        <w:rPr/>
        <w:t>The Review also proposes that ESV continues to strengthen its internal governance and associated</w:t>
      </w:r>
      <w:r>
        <w:rPr>
          <w:spacing w:val="-5"/>
        </w:rPr>
        <w:t> </w:t>
      </w:r>
      <w:r>
        <w:rPr/>
        <w:t>management</w:t>
      </w:r>
      <w:r>
        <w:rPr>
          <w:spacing w:val="-4"/>
        </w:rPr>
        <w:t> </w:t>
      </w:r>
      <w:r>
        <w:rPr/>
        <w:t>processes</w:t>
      </w:r>
      <w:r>
        <w:rPr>
          <w:spacing w:val="-3"/>
        </w:rPr>
        <w:t> </w:t>
      </w:r>
      <w:r>
        <w:rPr/>
        <w:t>and</w:t>
      </w:r>
      <w:r>
        <w:rPr>
          <w:spacing w:val="-5"/>
        </w:rPr>
        <w:t> </w:t>
      </w:r>
      <w:r>
        <w:rPr/>
        <w:t>systems.</w:t>
      </w:r>
      <w:r>
        <w:rPr>
          <w:spacing w:val="-4"/>
        </w:rPr>
        <w:t> </w:t>
      </w:r>
      <w:r>
        <w:rPr/>
        <w:t>External</w:t>
      </w:r>
      <w:r>
        <w:rPr>
          <w:spacing w:val="-4"/>
        </w:rPr>
        <w:t> </w:t>
      </w:r>
      <w:r>
        <w:rPr/>
        <w:t>reviews</w:t>
      </w:r>
      <w:r>
        <w:rPr>
          <w:spacing w:val="-2"/>
        </w:rPr>
        <w:t> </w:t>
      </w:r>
      <w:r>
        <w:rPr/>
        <w:t>commissioned</w:t>
      </w:r>
      <w:r>
        <w:rPr>
          <w:spacing w:val="-3"/>
        </w:rPr>
        <w:t> </w:t>
      </w:r>
      <w:r>
        <w:rPr/>
        <w:t>by</w:t>
      </w:r>
      <w:r>
        <w:rPr>
          <w:spacing w:val="-5"/>
        </w:rPr>
        <w:t> </w:t>
      </w:r>
      <w:r>
        <w:rPr/>
        <w:t>the</w:t>
      </w:r>
      <w:r>
        <w:rPr>
          <w:spacing w:val="-3"/>
        </w:rPr>
        <w:t> </w:t>
      </w:r>
      <w:r>
        <w:rPr/>
        <w:t>Director of Energy Safety in late 2015 and 2016 highlighted several areas of weakness in ESV’s systems and processes. Key issues requiring attention included:</w:t>
      </w:r>
    </w:p>
    <w:p>
      <w:pPr>
        <w:pStyle w:val="BodyText"/>
        <w:spacing w:before="4"/>
      </w:pPr>
    </w:p>
    <w:p>
      <w:pPr>
        <w:pStyle w:val="ListParagraph"/>
        <w:numPr>
          <w:ilvl w:val="0"/>
          <w:numId w:val="5"/>
        </w:numPr>
        <w:tabs>
          <w:tab w:pos="650" w:val="left" w:leader="none"/>
        </w:tabs>
        <w:spacing w:line="240" w:lineRule="auto" w:before="0" w:after="0"/>
        <w:ind w:left="650" w:right="0" w:hanging="358"/>
        <w:jc w:val="left"/>
        <w:rPr>
          <w:sz w:val="22"/>
        </w:rPr>
      </w:pPr>
      <w:r>
        <w:rPr>
          <w:sz w:val="22"/>
        </w:rPr>
        <w:t>organisational</w:t>
      </w:r>
      <w:r>
        <w:rPr>
          <w:spacing w:val="-10"/>
          <w:sz w:val="22"/>
        </w:rPr>
        <w:t> </w:t>
      </w:r>
      <w:r>
        <w:rPr>
          <w:sz w:val="22"/>
        </w:rPr>
        <w:t>drift,</w:t>
      </w:r>
      <w:r>
        <w:rPr>
          <w:spacing w:val="-8"/>
          <w:sz w:val="22"/>
        </w:rPr>
        <w:t> </w:t>
      </w:r>
      <w:r>
        <w:rPr>
          <w:sz w:val="22"/>
        </w:rPr>
        <w:t>with</w:t>
      </w:r>
      <w:r>
        <w:rPr>
          <w:spacing w:val="-7"/>
          <w:sz w:val="22"/>
        </w:rPr>
        <w:t> </w:t>
      </w:r>
      <w:r>
        <w:rPr>
          <w:sz w:val="22"/>
        </w:rPr>
        <w:t>ESV</w:t>
      </w:r>
      <w:r>
        <w:rPr>
          <w:spacing w:val="-7"/>
          <w:sz w:val="22"/>
        </w:rPr>
        <w:t> </w:t>
      </w:r>
      <w:r>
        <w:rPr>
          <w:sz w:val="22"/>
        </w:rPr>
        <w:t>lacking</w:t>
      </w:r>
      <w:r>
        <w:rPr>
          <w:spacing w:val="-5"/>
          <w:sz w:val="22"/>
        </w:rPr>
        <w:t> </w:t>
      </w:r>
      <w:r>
        <w:rPr>
          <w:sz w:val="22"/>
        </w:rPr>
        <w:t>a</w:t>
      </w:r>
      <w:r>
        <w:rPr>
          <w:spacing w:val="-9"/>
          <w:sz w:val="22"/>
        </w:rPr>
        <w:t> </w:t>
      </w:r>
      <w:r>
        <w:rPr>
          <w:sz w:val="22"/>
        </w:rPr>
        <w:t>well-defined</w:t>
      </w:r>
      <w:r>
        <w:rPr>
          <w:spacing w:val="-7"/>
          <w:sz w:val="22"/>
        </w:rPr>
        <w:t> </w:t>
      </w:r>
      <w:r>
        <w:rPr>
          <w:sz w:val="22"/>
        </w:rPr>
        <w:t>“organisational</w:t>
      </w:r>
      <w:r>
        <w:rPr>
          <w:spacing w:val="-7"/>
          <w:sz w:val="22"/>
        </w:rPr>
        <w:t> </w:t>
      </w:r>
      <w:r>
        <w:rPr>
          <w:spacing w:val="-2"/>
          <w:sz w:val="22"/>
        </w:rPr>
        <w:t>model”;</w:t>
      </w:r>
    </w:p>
    <w:p>
      <w:pPr>
        <w:pStyle w:val="ListParagraph"/>
        <w:numPr>
          <w:ilvl w:val="0"/>
          <w:numId w:val="5"/>
        </w:numPr>
        <w:tabs>
          <w:tab w:pos="650" w:val="left" w:leader="none"/>
        </w:tabs>
        <w:spacing w:line="240" w:lineRule="auto" w:before="66" w:after="0"/>
        <w:ind w:left="650" w:right="0" w:hanging="358"/>
        <w:jc w:val="left"/>
        <w:rPr>
          <w:sz w:val="22"/>
        </w:rPr>
      </w:pPr>
      <w:r>
        <w:rPr>
          <w:sz w:val="22"/>
        </w:rPr>
        <w:t>unbalanced</w:t>
      </w:r>
      <w:r>
        <w:rPr>
          <w:spacing w:val="-6"/>
          <w:sz w:val="22"/>
        </w:rPr>
        <w:t> </w:t>
      </w:r>
      <w:r>
        <w:rPr>
          <w:sz w:val="22"/>
        </w:rPr>
        <w:t>spans</w:t>
      </w:r>
      <w:r>
        <w:rPr>
          <w:spacing w:val="-5"/>
          <w:sz w:val="22"/>
        </w:rPr>
        <w:t> </w:t>
      </w:r>
      <w:r>
        <w:rPr>
          <w:sz w:val="22"/>
        </w:rPr>
        <w:t>of</w:t>
      </w:r>
      <w:r>
        <w:rPr>
          <w:spacing w:val="-6"/>
          <w:sz w:val="22"/>
        </w:rPr>
        <w:t> </w:t>
      </w:r>
      <w:r>
        <w:rPr>
          <w:spacing w:val="-2"/>
          <w:sz w:val="22"/>
        </w:rPr>
        <w:t>control;</w:t>
      </w:r>
    </w:p>
    <w:p>
      <w:pPr>
        <w:pStyle w:val="ListParagraph"/>
        <w:numPr>
          <w:ilvl w:val="0"/>
          <w:numId w:val="5"/>
        </w:numPr>
        <w:tabs>
          <w:tab w:pos="650" w:val="left" w:leader="none"/>
        </w:tabs>
        <w:spacing w:line="240" w:lineRule="auto" w:before="64" w:after="0"/>
        <w:ind w:left="650" w:right="0" w:hanging="358"/>
        <w:jc w:val="left"/>
        <w:rPr>
          <w:sz w:val="22"/>
        </w:rPr>
      </w:pPr>
      <w:r>
        <w:rPr>
          <w:sz w:val="22"/>
        </w:rPr>
        <w:t>insufficient</w:t>
      </w:r>
      <w:r>
        <w:rPr>
          <w:spacing w:val="-8"/>
          <w:sz w:val="22"/>
        </w:rPr>
        <w:t> </w:t>
      </w:r>
      <w:r>
        <w:rPr>
          <w:sz w:val="22"/>
        </w:rPr>
        <w:t>team</w:t>
      </w:r>
      <w:r>
        <w:rPr>
          <w:spacing w:val="-7"/>
          <w:sz w:val="22"/>
        </w:rPr>
        <w:t> </w:t>
      </w:r>
      <w:r>
        <w:rPr>
          <w:sz w:val="22"/>
        </w:rPr>
        <w:t>based</w:t>
      </w:r>
      <w:r>
        <w:rPr>
          <w:spacing w:val="-8"/>
          <w:sz w:val="22"/>
        </w:rPr>
        <w:t> </w:t>
      </w:r>
      <w:r>
        <w:rPr>
          <w:spacing w:val="-2"/>
          <w:sz w:val="22"/>
        </w:rPr>
        <w:t>approaches;</w:t>
      </w:r>
    </w:p>
    <w:p>
      <w:pPr>
        <w:pStyle w:val="ListParagraph"/>
        <w:numPr>
          <w:ilvl w:val="0"/>
          <w:numId w:val="5"/>
        </w:numPr>
        <w:tabs>
          <w:tab w:pos="650" w:val="left" w:leader="none"/>
        </w:tabs>
        <w:spacing w:line="240" w:lineRule="auto" w:before="66" w:after="0"/>
        <w:ind w:left="650" w:right="0" w:hanging="358"/>
        <w:jc w:val="left"/>
        <w:rPr>
          <w:sz w:val="22"/>
        </w:rPr>
      </w:pPr>
      <w:r>
        <w:rPr>
          <w:sz w:val="22"/>
        </w:rPr>
        <w:t>weaknesses</w:t>
      </w:r>
      <w:r>
        <w:rPr>
          <w:spacing w:val="-6"/>
          <w:sz w:val="22"/>
        </w:rPr>
        <w:t> </w:t>
      </w:r>
      <w:r>
        <w:rPr>
          <w:sz w:val="22"/>
        </w:rPr>
        <w:t>in</w:t>
      </w:r>
      <w:r>
        <w:rPr>
          <w:spacing w:val="-5"/>
          <w:sz w:val="22"/>
        </w:rPr>
        <w:t> </w:t>
      </w:r>
      <w:r>
        <w:rPr>
          <w:sz w:val="22"/>
        </w:rPr>
        <w:t>ESV's</w:t>
      </w:r>
      <w:r>
        <w:rPr>
          <w:spacing w:val="-7"/>
          <w:sz w:val="22"/>
        </w:rPr>
        <w:t> </w:t>
      </w:r>
      <w:r>
        <w:rPr>
          <w:sz w:val="22"/>
        </w:rPr>
        <w:t>strategic</w:t>
      </w:r>
      <w:r>
        <w:rPr>
          <w:spacing w:val="-7"/>
          <w:sz w:val="22"/>
        </w:rPr>
        <w:t> </w:t>
      </w:r>
      <w:r>
        <w:rPr>
          <w:spacing w:val="-2"/>
          <w:sz w:val="22"/>
        </w:rPr>
        <w:t>foundations;</w:t>
      </w:r>
    </w:p>
    <w:p>
      <w:pPr>
        <w:pStyle w:val="ListParagraph"/>
        <w:numPr>
          <w:ilvl w:val="0"/>
          <w:numId w:val="5"/>
        </w:numPr>
        <w:tabs>
          <w:tab w:pos="650" w:val="left" w:leader="none"/>
        </w:tabs>
        <w:spacing w:line="240" w:lineRule="auto" w:before="67" w:after="0"/>
        <w:ind w:left="650" w:right="0" w:hanging="358"/>
        <w:jc w:val="left"/>
        <w:rPr>
          <w:sz w:val="22"/>
        </w:rPr>
      </w:pPr>
      <w:r>
        <w:rPr>
          <w:sz w:val="22"/>
        </w:rPr>
        <w:t>insufficient</w:t>
      </w:r>
      <w:r>
        <w:rPr>
          <w:spacing w:val="-11"/>
          <w:sz w:val="22"/>
        </w:rPr>
        <w:t> </w:t>
      </w:r>
      <w:r>
        <w:rPr>
          <w:sz w:val="22"/>
        </w:rPr>
        <w:t>analytical</w:t>
      </w:r>
      <w:r>
        <w:rPr>
          <w:spacing w:val="-12"/>
          <w:sz w:val="22"/>
        </w:rPr>
        <w:t> </w:t>
      </w:r>
      <w:r>
        <w:rPr>
          <w:sz w:val="22"/>
        </w:rPr>
        <w:t>capacities;</w:t>
      </w:r>
      <w:r>
        <w:rPr>
          <w:spacing w:val="-11"/>
          <w:sz w:val="22"/>
        </w:rPr>
        <w:t> </w:t>
      </w:r>
      <w:r>
        <w:rPr>
          <w:spacing w:val="-5"/>
          <w:sz w:val="22"/>
        </w:rPr>
        <w:t>and</w:t>
      </w:r>
    </w:p>
    <w:p>
      <w:pPr>
        <w:pStyle w:val="ListParagraph"/>
        <w:numPr>
          <w:ilvl w:val="0"/>
          <w:numId w:val="5"/>
        </w:numPr>
        <w:tabs>
          <w:tab w:pos="650" w:val="left" w:leader="none"/>
        </w:tabs>
        <w:spacing w:line="240" w:lineRule="auto" w:before="63" w:after="0"/>
        <w:ind w:left="650" w:right="0" w:hanging="358"/>
        <w:jc w:val="left"/>
        <w:rPr>
          <w:sz w:val="22"/>
        </w:rPr>
      </w:pPr>
      <w:r>
        <w:rPr>
          <w:sz w:val="22"/>
        </w:rPr>
        <w:t>a</w:t>
      </w:r>
      <w:r>
        <w:rPr>
          <w:spacing w:val="-8"/>
          <w:sz w:val="22"/>
        </w:rPr>
        <w:t> </w:t>
      </w:r>
      <w:r>
        <w:rPr>
          <w:sz w:val="22"/>
        </w:rPr>
        <w:t>lack</w:t>
      </w:r>
      <w:r>
        <w:rPr>
          <w:spacing w:val="-2"/>
          <w:sz w:val="22"/>
        </w:rPr>
        <w:t> </w:t>
      </w:r>
      <w:r>
        <w:rPr>
          <w:sz w:val="22"/>
        </w:rPr>
        <w:t>of</w:t>
      </w:r>
      <w:r>
        <w:rPr>
          <w:spacing w:val="-4"/>
          <w:sz w:val="22"/>
        </w:rPr>
        <w:t> </w:t>
      </w:r>
      <w:r>
        <w:rPr>
          <w:sz w:val="22"/>
        </w:rPr>
        <w:t>a</w:t>
      </w:r>
      <w:r>
        <w:rPr>
          <w:spacing w:val="-7"/>
          <w:sz w:val="22"/>
        </w:rPr>
        <w:t> </w:t>
      </w:r>
      <w:r>
        <w:rPr>
          <w:sz w:val="22"/>
        </w:rPr>
        <w:t>consistent</w:t>
      </w:r>
      <w:r>
        <w:rPr>
          <w:spacing w:val="-4"/>
          <w:sz w:val="22"/>
        </w:rPr>
        <w:t> </w:t>
      </w:r>
      <w:r>
        <w:rPr>
          <w:sz w:val="22"/>
        </w:rPr>
        <w:t>basis</w:t>
      </w:r>
      <w:r>
        <w:rPr>
          <w:spacing w:val="-7"/>
          <w:sz w:val="22"/>
        </w:rPr>
        <w:t> </w:t>
      </w:r>
      <w:r>
        <w:rPr>
          <w:sz w:val="22"/>
        </w:rPr>
        <w:t>for</w:t>
      </w:r>
      <w:r>
        <w:rPr>
          <w:spacing w:val="-4"/>
          <w:sz w:val="22"/>
        </w:rPr>
        <w:t> </w:t>
      </w:r>
      <w:r>
        <w:rPr>
          <w:sz w:val="22"/>
        </w:rPr>
        <w:t>understanding</w:t>
      </w:r>
      <w:r>
        <w:rPr>
          <w:spacing w:val="-6"/>
          <w:sz w:val="22"/>
        </w:rPr>
        <w:t> </w:t>
      </w:r>
      <w:r>
        <w:rPr>
          <w:sz w:val="22"/>
        </w:rPr>
        <w:t>and</w:t>
      </w:r>
      <w:r>
        <w:rPr>
          <w:spacing w:val="-5"/>
          <w:sz w:val="22"/>
        </w:rPr>
        <w:t> </w:t>
      </w:r>
      <w:r>
        <w:rPr>
          <w:sz w:val="22"/>
        </w:rPr>
        <w:t>communicating</w:t>
      </w:r>
      <w:r>
        <w:rPr>
          <w:spacing w:val="-5"/>
          <w:sz w:val="22"/>
        </w:rPr>
        <w:t> </w:t>
      </w:r>
      <w:r>
        <w:rPr>
          <w:sz w:val="22"/>
        </w:rPr>
        <w:t>risk</w:t>
      </w:r>
      <w:r>
        <w:rPr>
          <w:spacing w:val="-5"/>
          <w:sz w:val="22"/>
        </w:rPr>
        <w:t> </w:t>
      </w:r>
      <w:r>
        <w:rPr>
          <w:sz w:val="22"/>
        </w:rPr>
        <w:t>within</w:t>
      </w:r>
      <w:r>
        <w:rPr>
          <w:spacing w:val="-5"/>
          <w:sz w:val="22"/>
        </w:rPr>
        <w:t> </w:t>
      </w:r>
      <w:r>
        <w:rPr>
          <w:sz w:val="22"/>
        </w:rPr>
        <w:t>the</w:t>
      </w:r>
      <w:r>
        <w:rPr>
          <w:spacing w:val="-5"/>
          <w:sz w:val="22"/>
        </w:rPr>
        <w:t> </w:t>
      </w:r>
      <w:r>
        <w:rPr>
          <w:spacing w:val="-2"/>
          <w:sz w:val="22"/>
        </w:rPr>
        <w:t>organisation.</w:t>
      </w:r>
    </w:p>
    <w:p>
      <w:pPr>
        <w:pStyle w:val="BodyText"/>
        <w:spacing w:before="2"/>
        <w:rPr>
          <w:sz w:val="25"/>
        </w:rPr>
      </w:pPr>
    </w:p>
    <w:p>
      <w:pPr>
        <w:pStyle w:val="BodyText"/>
        <w:spacing w:line="288" w:lineRule="auto"/>
        <w:ind w:left="292" w:right="311"/>
      </w:pPr>
      <w:r>
        <w:rPr/>
        <w:t>Following these external reviews, the Director of Energy Safety and ESV’s senior management team have initiated a significant organisational reform program. Reporting structures have been rationalised,</w:t>
      </w:r>
      <w:r>
        <w:rPr>
          <w:spacing w:val="-2"/>
        </w:rPr>
        <w:t> </w:t>
      </w:r>
      <w:r>
        <w:rPr/>
        <w:t>investments</w:t>
      </w:r>
      <w:r>
        <w:rPr>
          <w:spacing w:val="-6"/>
        </w:rPr>
        <w:t> </w:t>
      </w:r>
      <w:r>
        <w:rPr/>
        <w:t>made</w:t>
      </w:r>
      <w:r>
        <w:rPr>
          <w:spacing w:val="-6"/>
        </w:rPr>
        <w:t> </w:t>
      </w:r>
      <w:r>
        <w:rPr/>
        <w:t>in</w:t>
      </w:r>
      <w:r>
        <w:rPr>
          <w:spacing w:val="-4"/>
        </w:rPr>
        <w:t> </w:t>
      </w:r>
      <w:r>
        <w:rPr/>
        <w:t>new</w:t>
      </w:r>
      <w:r>
        <w:rPr>
          <w:spacing w:val="-7"/>
        </w:rPr>
        <w:t> </w:t>
      </w:r>
      <w:r>
        <w:rPr/>
        <w:t>capabilities,</w:t>
      </w:r>
      <w:r>
        <w:rPr>
          <w:spacing w:val="-3"/>
        </w:rPr>
        <w:t> </w:t>
      </w:r>
      <w:r>
        <w:rPr/>
        <w:t>including</w:t>
      </w:r>
      <w:r>
        <w:rPr>
          <w:spacing w:val="-4"/>
        </w:rPr>
        <w:t> </w:t>
      </w:r>
      <w:r>
        <w:rPr/>
        <w:t>strengthened</w:t>
      </w:r>
      <w:r>
        <w:rPr>
          <w:spacing w:val="-6"/>
        </w:rPr>
        <w:t> </w:t>
      </w:r>
      <w:r>
        <w:rPr/>
        <w:t>analytical</w:t>
      </w:r>
      <w:r>
        <w:rPr>
          <w:spacing w:val="-5"/>
        </w:rPr>
        <w:t> </w:t>
      </w:r>
      <w:r>
        <w:rPr/>
        <w:t>capabilities, and a formal Executive Management Board has been established.</w:t>
      </w:r>
    </w:p>
    <w:p>
      <w:pPr>
        <w:pStyle w:val="BodyText"/>
        <w:spacing w:before="11"/>
        <w:rPr>
          <w:sz w:val="20"/>
        </w:rPr>
      </w:pPr>
    </w:p>
    <w:p>
      <w:pPr>
        <w:pStyle w:val="BodyText"/>
        <w:spacing w:line="288" w:lineRule="auto"/>
        <w:ind w:left="292" w:right="311"/>
      </w:pPr>
      <w:r>
        <w:rPr/>
        <w:t>While much initial progress has been made, the senior leadership of ESV has indicated to the Review</w:t>
      </w:r>
      <w:r>
        <w:rPr>
          <w:spacing w:val="-6"/>
        </w:rPr>
        <w:t> </w:t>
      </w:r>
      <w:r>
        <w:rPr/>
        <w:t>that</w:t>
      </w:r>
      <w:r>
        <w:rPr>
          <w:spacing w:val="-1"/>
        </w:rPr>
        <w:t> </w:t>
      </w:r>
      <w:r>
        <w:rPr/>
        <w:t>it</w:t>
      </w:r>
      <w:r>
        <w:rPr>
          <w:spacing w:val="-1"/>
        </w:rPr>
        <w:t> </w:t>
      </w:r>
      <w:r>
        <w:rPr/>
        <w:t>considers</w:t>
      </w:r>
      <w:r>
        <w:rPr>
          <w:spacing w:val="-5"/>
        </w:rPr>
        <w:t> </w:t>
      </w:r>
      <w:r>
        <w:rPr/>
        <w:t>that</w:t>
      </w:r>
      <w:r>
        <w:rPr>
          <w:spacing w:val="-4"/>
        </w:rPr>
        <w:t> </w:t>
      </w:r>
      <w:r>
        <w:rPr/>
        <w:t>the</w:t>
      </w:r>
      <w:r>
        <w:rPr>
          <w:spacing w:val="-3"/>
        </w:rPr>
        <w:t> </w:t>
      </w:r>
      <w:r>
        <w:rPr/>
        <w:t>process</w:t>
      </w:r>
      <w:r>
        <w:rPr>
          <w:spacing w:val="-5"/>
        </w:rPr>
        <w:t> </w:t>
      </w:r>
      <w:r>
        <w:rPr/>
        <w:t>of</w:t>
      </w:r>
      <w:r>
        <w:rPr>
          <w:spacing w:val="-1"/>
        </w:rPr>
        <w:t> </w:t>
      </w:r>
      <w:r>
        <w:rPr/>
        <w:t>organisational</w:t>
      </w:r>
      <w:r>
        <w:rPr>
          <w:spacing w:val="-3"/>
        </w:rPr>
        <w:t> </w:t>
      </w:r>
      <w:r>
        <w:rPr/>
        <w:t>reform</w:t>
      </w:r>
      <w:r>
        <w:rPr>
          <w:spacing w:val="-2"/>
        </w:rPr>
        <w:t> </w:t>
      </w:r>
      <w:r>
        <w:rPr/>
        <w:t>is</w:t>
      </w:r>
      <w:r>
        <w:rPr>
          <w:spacing w:val="-5"/>
        </w:rPr>
        <w:t> </w:t>
      </w:r>
      <w:r>
        <w:rPr/>
        <w:t>an</w:t>
      </w:r>
      <w:r>
        <w:rPr>
          <w:spacing w:val="-5"/>
        </w:rPr>
        <w:t> </w:t>
      </w:r>
      <w:r>
        <w:rPr/>
        <w:t>“evolving</w:t>
      </w:r>
      <w:r>
        <w:rPr>
          <w:spacing w:val="-1"/>
        </w:rPr>
        <w:t> </w:t>
      </w:r>
      <w:r>
        <w:rPr/>
        <w:t>and</w:t>
      </w:r>
      <w:r>
        <w:rPr>
          <w:spacing w:val="-5"/>
        </w:rPr>
        <w:t> </w:t>
      </w:r>
      <w:r>
        <w:rPr/>
        <w:t>continuing </w:t>
      </w:r>
      <w:r>
        <w:rPr>
          <w:spacing w:val="-2"/>
        </w:rPr>
        <w:t>work”.</w:t>
      </w:r>
    </w:p>
    <w:p>
      <w:pPr>
        <w:pStyle w:val="BodyText"/>
        <w:rPr>
          <w:sz w:val="21"/>
        </w:rPr>
      </w:pPr>
    </w:p>
    <w:p>
      <w:pPr>
        <w:pStyle w:val="BodyText"/>
        <w:spacing w:line="288" w:lineRule="auto"/>
        <w:ind w:left="292" w:right="311"/>
      </w:pPr>
      <w:r>
        <w:rPr/>
        <w:t>In</w:t>
      </w:r>
      <w:r>
        <w:rPr>
          <w:spacing w:val="-1"/>
        </w:rPr>
        <w:t> </w:t>
      </w:r>
      <w:r>
        <w:rPr/>
        <w:t>a</w:t>
      </w:r>
      <w:r>
        <w:rPr>
          <w:spacing w:val="-4"/>
        </w:rPr>
        <w:t> </w:t>
      </w:r>
      <w:r>
        <w:rPr/>
        <w:t>very</w:t>
      </w:r>
      <w:r>
        <w:rPr>
          <w:spacing w:val="-3"/>
        </w:rPr>
        <w:t> </w:t>
      </w:r>
      <w:r>
        <w:rPr/>
        <w:t>real</w:t>
      </w:r>
      <w:r>
        <w:rPr>
          <w:spacing w:val="-2"/>
        </w:rPr>
        <w:t> </w:t>
      </w:r>
      <w:r>
        <w:rPr/>
        <w:t>sense</w:t>
      </w:r>
      <w:r>
        <w:rPr>
          <w:spacing w:val="-4"/>
        </w:rPr>
        <w:t> </w:t>
      </w:r>
      <w:r>
        <w:rPr/>
        <w:t>ESV</w:t>
      </w:r>
      <w:r>
        <w:rPr>
          <w:spacing w:val="-2"/>
        </w:rPr>
        <w:t> </w:t>
      </w:r>
      <w:r>
        <w:rPr/>
        <w:t>has</w:t>
      </w:r>
      <w:r>
        <w:rPr>
          <w:spacing w:val="-1"/>
        </w:rPr>
        <w:t> </w:t>
      </w:r>
      <w:r>
        <w:rPr/>
        <w:t>been</w:t>
      </w:r>
      <w:r>
        <w:rPr>
          <w:spacing w:val="-4"/>
        </w:rPr>
        <w:t> </w:t>
      </w:r>
      <w:r>
        <w:rPr/>
        <w:t>on</w:t>
      </w:r>
      <w:r>
        <w:rPr>
          <w:spacing w:val="-2"/>
        </w:rPr>
        <w:t> </w:t>
      </w:r>
      <w:r>
        <w:rPr/>
        <w:t>what its</w:t>
      </w:r>
      <w:r>
        <w:rPr>
          <w:spacing w:val="-1"/>
        </w:rPr>
        <w:t> </w:t>
      </w:r>
      <w:r>
        <w:rPr/>
        <w:t>senior</w:t>
      </w:r>
      <w:r>
        <w:rPr>
          <w:spacing w:val="-1"/>
        </w:rPr>
        <w:t> </w:t>
      </w:r>
      <w:r>
        <w:rPr/>
        <w:t>leadership</w:t>
      </w:r>
      <w:r>
        <w:rPr>
          <w:spacing w:val="-2"/>
        </w:rPr>
        <w:t> </w:t>
      </w:r>
      <w:r>
        <w:rPr/>
        <w:t>described</w:t>
      </w:r>
      <w:r>
        <w:rPr>
          <w:spacing w:val="-2"/>
        </w:rPr>
        <w:t> </w:t>
      </w:r>
      <w:r>
        <w:rPr/>
        <w:t>to</w:t>
      </w:r>
      <w:r>
        <w:rPr>
          <w:spacing w:val="-4"/>
        </w:rPr>
        <w:t> </w:t>
      </w:r>
      <w:r>
        <w:rPr/>
        <w:t>the</w:t>
      </w:r>
      <w:r>
        <w:rPr>
          <w:spacing w:val="-4"/>
        </w:rPr>
        <w:t> </w:t>
      </w:r>
      <w:r>
        <w:rPr/>
        <w:t>Review</w:t>
      </w:r>
      <w:r>
        <w:rPr>
          <w:spacing w:val="-5"/>
        </w:rPr>
        <w:t> </w:t>
      </w:r>
      <w:r>
        <w:rPr/>
        <w:t>as</w:t>
      </w:r>
      <w:r>
        <w:rPr>
          <w:spacing w:val="-2"/>
        </w:rPr>
        <w:t> </w:t>
      </w:r>
      <w:r>
        <w:rPr/>
        <w:t>an “organisational journey”. The relative lack of maturity in formal corporate governance and management</w:t>
      </w:r>
      <w:r>
        <w:rPr>
          <w:spacing w:val="-2"/>
        </w:rPr>
        <w:t> </w:t>
      </w:r>
      <w:r>
        <w:rPr/>
        <w:t>structures</w:t>
      </w:r>
      <w:r>
        <w:rPr>
          <w:spacing w:val="-3"/>
        </w:rPr>
        <w:t> </w:t>
      </w:r>
      <w:r>
        <w:rPr/>
        <w:t>that seems</w:t>
      </w:r>
      <w:r>
        <w:rPr>
          <w:spacing w:val="-3"/>
        </w:rPr>
        <w:t> </w:t>
      </w:r>
      <w:r>
        <w:rPr/>
        <w:t>evident in</w:t>
      </w:r>
      <w:r>
        <w:rPr>
          <w:spacing w:val="-1"/>
        </w:rPr>
        <w:t> </w:t>
      </w:r>
      <w:r>
        <w:rPr/>
        <w:t>the</w:t>
      </w:r>
      <w:r>
        <w:rPr>
          <w:spacing w:val="-6"/>
        </w:rPr>
        <w:t> </w:t>
      </w:r>
      <w:r>
        <w:rPr/>
        <w:t>conclusions of some</w:t>
      </w:r>
      <w:r>
        <w:rPr>
          <w:spacing w:val="-3"/>
        </w:rPr>
        <w:t> </w:t>
      </w:r>
      <w:r>
        <w:rPr/>
        <w:t>relatively</w:t>
      </w:r>
      <w:r>
        <w:rPr>
          <w:spacing w:val="-3"/>
        </w:rPr>
        <w:t> </w:t>
      </w:r>
      <w:r>
        <w:rPr/>
        <w:t>recent</w:t>
      </w:r>
      <w:r>
        <w:rPr>
          <w:spacing w:val="-2"/>
        </w:rPr>
        <w:t> </w:t>
      </w:r>
      <w:r>
        <w:rPr/>
        <w:t>reports may, in part, reflect the fact that ESV was originally established from technical offices that had originally been located within much larger organisations.</w:t>
      </w:r>
    </w:p>
    <w:p>
      <w:pPr>
        <w:spacing w:after="0" w:line="288" w:lineRule="auto"/>
        <w:sectPr>
          <w:pgSz w:w="11910" w:h="16850"/>
          <w:pgMar w:header="465" w:footer="880" w:top="660" w:bottom="1060" w:left="840" w:right="820"/>
        </w:sectPr>
      </w:pPr>
    </w:p>
    <w:p>
      <w:pPr>
        <w:pStyle w:val="BodyText"/>
        <w:rPr>
          <w:sz w:val="20"/>
        </w:rPr>
      </w:pPr>
    </w:p>
    <w:p>
      <w:pPr>
        <w:pStyle w:val="BodyText"/>
        <w:rPr>
          <w:sz w:val="20"/>
        </w:rPr>
      </w:pPr>
    </w:p>
    <w:p>
      <w:pPr>
        <w:pStyle w:val="BodyText"/>
        <w:spacing w:before="4"/>
      </w:pPr>
    </w:p>
    <w:p>
      <w:pPr>
        <w:pStyle w:val="BodyText"/>
        <w:spacing w:line="288" w:lineRule="auto"/>
        <w:ind w:left="292" w:right="374"/>
      </w:pPr>
      <w:r>
        <w:rPr/>
        <w:t>In a series of roundtable discussions held with the Review, the Director of Energy Safety and ESV’s senior leadership team engaged openly and constructively to identify key areas where further work was required to strengthen ESV’s processes and capabilities. An open and transparent approach will greatly assist in boosting internal and external confidence in the steps being</w:t>
      </w:r>
      <w:r>
        <w:rPr>
          <w:spacing w:val="-2"/>
        </w:rPr>
        <w:t> </w:t>
      </w:r>
      <w:r>
        <w:rPr/>
        <w:t>taken</w:t>
      </w:r>
      <w:r>
        <w:rPr>
          <w:spacing w:val="-4"/>
        </w:rPr>
        <w:t> </w:t>
      </w:r>
      <w:r>
        <w:rPr/>
        <w:t>to</w:t>
      </w:r>
      <w:r>
        <w:rPr>
          <w:spacing w:val="-4"/>
        </w:rPr>
        <w:t> </w:t>
      </w:r>
      <w:r>
        <w:rPr/>
        <w:t>improve</w:t>
      </w:r>
      <w:r>
        <w:rPr>
          <w:spacing w:val="-4"/>
        </w:rPr>
        <w:t> </w:t>
      </w:r>
      <w:r>
        <w:rPr/>
        <w:t>the</w:t>
      </w:r>
      <w:r>
        <w:rPr>
          <w:spacing w:val="-4"/>
        </w:rPr>
        <w:t> </w:t>
      </w:r>
      <w:r>
        <w:rPr/>
        <w:t>quality</w:t>
      </w:r>
      <w:r>
        <w:rPr>
          <w:spacing w:val="-4"/>
        </w:rPr>
        <w:t> </w:t>
      </w:r>
      <w:r>
        <w:rPr/>
        <w:t>and</w:t>
      </w:r>
      <w:r>
        <w:rPr>
          <w:spacing w:val="-2"/>
        </w:rPr>
        <w:t> </w:t>
      </w:r>
      <w:r>
        <w:rPr/>
        <w:t>maturity</w:t>
      </w:r>
      <w:r>
        <w:rPr>
          <w:spacing w:val="-4"/>
        </w:rPr>
        <w:t> </w:t>
      </w:r>
      <w:r>
        <w:rPr/>
        <w:t>of</w:t>
      </w:r>
      <w:r>
        <w:rPr>
          <w:spacing w:val="-1"/>
        </w:rPr>
        <w:t> </w:t>
      </w:r>
      <w:r>
        <w:rPr/>
        <w:t>ESV’s</w:t>
      </w:r>
      <w:r>
        <w:rPr>
          <w:spacing w:val="-1"/>
        </w:rPr>
        <w:t> </w:t>
      </w:r>
      <w:r>
        <w:rPr/>
        <w:t>corporate</w:t>
      </w:r>
      <w:r>
        <w:rPr>
          <w:spacing w:val="-4"/>
        </w:rPr>
        <w:t> </w:t>
      </w:r>
      <w:r>
        <w:rPr/>
        <w:t>governance</w:t>
      </w:r>
      <w:r>
        <w:rPr>
          <w:spacing w:val="-2"/>
        </w:rPr>
        <w:t> </w:t>
      </w:r>
      <w:r>
        <w:rPr/>
        <w:t>and</w:t>
      </w:r>
      <w:r>
        <w:rPr>
          <w:spacing w:val="-4"/>
        </w:rPr>
        <w:t> </w:t>
      </w:r>
      <w:r>
        <w:rPr/>
        <w:t>management </w:t>
      </w:r>
      <w:r>
        <w:rPr>
          <w:spacing w:val="-2"/>
        </w:rPr>
        <w:t>arrangements.</w:t>
      </w:r>
    </w:p>
    <w:p>
      <w:pPr>
        <w:pStyle w:val="BodyText"/>
        <w:spacing w:before="10"/>
        <w:rPr>
          <w:sz w:val="18"/>
        </w:rPr>
      </w:pPr>
      <w:r>
        <w:rPr/>
        <mc:AlternateContent>
          <mc:Choice Requires="wps">
            <w:drawing>
              <wp:anchor distT="0" distB="0" distL="0" distR="0" allowOverlap="1" layoutInCell="1" locked="0" behindDoc="1" simplePos="0" relativeHeight="487588352">
                <wp:simplePos x="0" y="0"/>
                <wp:positionH relativeFrom="page">
                  <wp:posOffset>719327</wp:posOffset>
                </wp:positionH>
                <wp:positionV relativeFrom="paragraph">
                  <wp:posOffset>153298</wp:posOffset>
                </wp:positionV>
                <wp:extent cx="5753100" cy="2816860"/>
                <wp:effectExtent l="0" t="0" r="0" b="0"/>
                <wp:wrapTopAndBottom/>
                <wp:docPr id="5" name="Textbox 5"/>
                <wp:cNvGraphicFramePr>
                  <a:graphicFrameLocks/>
                </wp:cNvGraphicFramePr>
                <a:graphic>
                  <a:graphicData uri="http://schemas.microsoft.com/office/word/2010/wordprocessingShape">
                    <wps:wsp>
                      <wps:cNvPr id="5" name="Textbox 5"/>
                      <wps:cNvSpPr txBox="1"/>
                      <wps:spPr>
                        <a:xfrm>
                          <a:off x="0" y="0"/>
                          <a:ext cx="5753100" cy="2816860"/>
                        </a:xfrm>
                        <a:prstGeom prst="rect">
                          <a:avLst/>
                        </a:prstGeom>
                        <a:solidFill>
                          <a:srgbClr val="D9D9D9"/>
                        </a:solidFill>
                      </wps:spPr>
                      <wps:txbx>
                        <w:txbxContent>
                          <w:p>
                            <w:pPr>
                              <w:pStyle w:val="BodyText"/>
                              <w:spacing w:before="9"/>
                              <w:rPr>
                                <w:color w:val="000000"/>
                                <w:sz w:val="20"/>
                              </w:rPr>
                            </w:pPr>
                          </w:p>
                          <w:p>
                            <w:pPr>
                              <w:spacing w:before="1"/>
                              <w:ind w:left="112" w:right="0" w:firstLine="0"/>
                              <w:jc w:val="left"/>
                              <w:rPr>
                                <w:b/>
                                <w:color w:val="000000"/>
                                <w:sz w:val="22"/>
                              </w:rPr>
                            </w:pPr>
                            <w:r>
                              <w:rPr>
                                <w:b/>
                                <w:color w:val="000000"/>
                                <w:sz w:val="22"/>
                              </w:rPr>
                              <w:t>Summary</w:t>
                            </w:r>
                            <w:r>
                              <w:rPr>
                                <w:b/>
                                <w:color w:val="000000"/>
                                <w:spacing w:val="-11"/>
                                <w:sz w:val="22"/>
                              </w:rPr>
                              <w:t> </w:t>
                            </w:r>
                            <w:r>
                              <w:rPr>
                                <w:b/>
                                <w:color w:val="000000"/>
                                <w:sz w:val="22"/>
                              </w:rPr>
                              <w:t>of</w:t>
                            </w:r>
                            <w:r>
                              <w:rPr>
                                <w:b/>
                                <w:color w:val="000000"/>
                                <w:spacing w:val="-5"/>
                                <w:sz w:val="22"/>
                              </w:rPr>
                              <w:t> </w:t>
                            </w:r>
                            <w:r>
                              <w:rPr>
                                <w:b/>
                                <w:color w:val="000000"/>
                                <w:sz w:val="22"/>
                              </w:rPr>
                              <w:t>recommendations:</w:t>
                            </w:r>
                            <w:r>
                              <w:rPr>
                                <w:b/>
                                <w:color w:val="000000"/>
                                <w:spacing w:val="-6"/>
                                <w:sz w:val="22"/>
                              </w:rPr>
                              <w:t> </w:t>
                            </w:r>
                            <w:r>
                              <w:rPr>
                                <w:b/>
                                <w:color w:val="000000"/>
                                <w:sz w:val="22"/>
                              </w:rPr>
                              <w:t>ESV's</w:t>
                            </w:r>
                            <w:r>
                              <w:rPr>
                                <w:b/>
                                <w:color w:val="000000"/>
                                <w:spacing w:val="-6"/>
                                <w:sz w:val="22"/>
                              </w:rPr>
                              <w:t> </w:t>
                            </w:r>
                            <w:r>
                              <w:rPr>
                                <w:b/>
                                <w:color w:val="000000"/>
                                <w:spacing w:val="-2"/>
                                <w:sz w:val="22"/>
                              </w:rPr>
                              <w:t>governance</w:t>
                            </w:r>
                          </w:p>
                          <w:p>
                            <w:pPr>
                              <w:pStyle w:val="BodyText"/>
                              <w:spacing w:before="2"/>
                              <w:rPr>
                                <w:b/>
                                <w:color w:val="000000"/>
                                <w:sz w:val="26"/>
                              </w:rPr>
                            </w:pPr>
                          </w:p>
                          <w:p>
                            <w:pPr>
                              <w:pStyle w:val="BodyText"/>
                              <w:ind w:left="112"/>
                              <w:rPr>
                                <w:color w:val="000000"/>
                              </w:rPr>
                            </w:pPr>
                            <w:r>
                              <w:rPr>
                                <w:color w:val="000000"/>
                              </w:rPr>
                              <w:t>Recommendations</w:t>
                            </w:r>
                            <w:r>
                              <w:rPr>
                                <w:color w:val="000000"/>
                                <w:spacing w:val="-6"/>
                              </w:rPr>
                              <w:t> </w:t>
                            </w:r>
                            <w:r>
                              <w:rPr>
                                <w:color w:val="000000"/>
                              </w:rPr>
                              <w:t>presented</w:t>
                            </w:r>
                            <w:r>
                              <w:rPr>
                                <w:color w:val="000000"/>
                                <w:spacing w:val="-6"/>
                              </w:rPr>
                              <w:t> </w:t>
                            </w:r>
                            <w:r>
                              <w:rPr>
                                <w:color w:val="000000"/>
                              </w:rPr>
                              <w:t>by</w:t>
                            </w:r>
                            <w:r>
                              <w:rPr>
                                <w:color w:val="000000"/>
                                <w:spacing w:val="-9"/>
                              </w:rPr>
                              <w:t> </w:t>
                            </w:r>
                            <w:r>
                              <w:rPr>
                                <w:color w:val="000000"/>
                              </w:rPr>
                              <w:t>the</w:t>
                            </w:r>
                            <w:r>
                              <w:rPr>
                                <w:color w:val="000000"/>
                                <w:spacing w:val="-8"/>
                              </w:rPr>
                              <w:t> </w:t>
                            </w:r>
                            <w:r>
                              <w:rPr>
                                <w:color w:val="000000"/>
                              </w:rPr>
                              <w:t>Review</w:t>
                            </w:r>
                            <w:r>
                              <w:rPr>
                                <w:color w:val="000000"/>
                                <w:spacing w:val="-9"/>
                              </w:rPr>
                              <w:t> </w:t>
                            </w:r>
                            <w:r>
                              <w:rPr>
                                <w:color w:val="000000"/>
                                <w:spacing w:val="-2"/>
                              </w:rPr>
                              <w:t>include:</w:t>
                            </w:r>
                          </w:p>
                          <w:p>
                            <w:pPr>
                              <w:pStyle w:val="BodyText"/>
                              <w:spacing w:before="9"/>
                              <w:rPr>
                                <w:color w:val="000000"/>
                                <w:sz w:val="20"/>
                              </w:rPr>
                            </w:pPr>
                          </w:p>
                          <w:p>
                            <w:pPr>
                              <w:pStyle w:val="BodyText"/>
                              <w:numPr>
                                <w:ilvl w:val="0"/>
                                <w:numId w:val="6"/>
                              </w:numPr>
                              <w:tabs>
                                <w:tab w:pos="341" w:val="left" w:leader="none"/>
                              </w:tabs>
                              <w:spacing w:line="288" w:lineRule="auto" w:before="0" w:after="0"/>
                              <w:ind w:left="341" w:right="211" w:hanging="200"/>
                              <w:jc w:val="left"/>
                              <w:rPr>
                                <w:color w:val="000000"/>
                              </w:rPr>
                            </w:pPr>
                            <w:r>
                              <w:rPr>
                                <w:color w:val="000000"/>
                              </w:rPr>
                              <w:t>establishing</w:t>
                            </w:r>
                            <w:r>
                              <w:rPr>
                                <w:color w:val="000000"/>
                                <w:spacing w:val="-1"/>
                              </w:rPr>
                              <w:t> </w:t>
                            </w:r>
                            <w:r>
                              <w:rPr>
                                <w:color w:val="000000"/>
                              </w:rPr>
                              <w:t>ESV</w:t>
                            </w:r>
                            <w:r>
                              <w:rPr>
                                <w:color w:val="000000"/>
                                <w:spacing w:val="-3"/>
                              </w:rPr>
                              <w:t> </w:t>
                            </w:r>
                            <w:r>
                              <w:rPr>
                                <w:color w:val="000000"/>
                              </w:rPr>
                              <w:t>as</w:t>
                            </w:r>
                            <w:r>
                              <w:rPr>
                                <w:color w:val="000000"/>
                                <w:spacing w:val="-2"/>
                              </w:rPr>
                              <w:t> </w:t>
                            </w:r>
                            <w:r>
                              <w:rPr>
                                <w:color w:val="000000"/>
                              </w:rPr>
                              <w:t>a</w:t>
                            </w:r>
                            <w:r>
                              <w:rPr>
                                <w:color w:val="000000"/>
                                <w:spacing w:val="-4"/>
                              </w:rPr>
                              <w:t> </w:t>
                            </w:r>
                            <w:r>
                              <w:rPr>
                                <w:color w:val="000000"/>
                              </w:rPr>
                              <w:t>three-person</w:t>
                            </w:r>
                            <w:r>
                              <w:rPr>
                                <w:color w:val="000000"/>
                                <w:spacing w:val="-3"/>
                              </w:rPr>
                              <w:t> </w:t>
                            </w:r>
                            <w:r>
                              <w:rPr>
                                <w:color w:val="000000"/>
                              </w:rPr>
                              <w:t>commission,</w:t>
                            </w:r>
                            <w:r>
                              <w:rPr>
                                <w:color w:val="000000"/>
                                <w:spacing w:val="-3"/>
                              </w:rPr>
                              <w:t> </w:t>
                            </w:r>
                            <w:r>
                              <w:rPr>
                                <w:color w:val="000000"/>
                              </w:rPr>
                              <w:t>with</w:t>
                            </w:r>
                            <w:r>
                              <w:rPr>
                                <w:color w:val="000000"/>
                                <w:spacing w:val="-3"/>
                              </w:rPr>
                              <w:t> </w:t>
                            </w:r>
                            <w:r>
                              <w:rPr>
                                <w:color w:val="000000"/>
                              </w:rPr>
                              <w:t>a</w:t>
                            </w:r>
                            <w:r>
                              <w:rPr>
                                <w:color w:val="000000"/>
                                <w:spacing w:val="-3"/>
                              </w:rPr>
                              <w:t> </w:t>
                            </w:r>
                            <w:r>
                              <w:rPr>
                                <w:color w:val="000000"/>
                              </w:rPr>
                              <w:t>full-time</w:t>
                            </w:r>
                            <w:r>
                              <w:rPr>
                                <w:color w:val="000000"/>
                                <w:spacing w:val="-4"/>
                              </w:rPr>
                              <w:t> </w:t>
                            </w:r>
                            <w:r>
                              <w:rPr>
                                <w:color w:val="000000"/>
                              </w:rPr>
                              <w:t>chair</w:t>
                            </w:r>
                            <w:r>
                              <w:rPr>
                                <w:color w:val="000000"/>
                                <w:spacing w:val="-3"/>
                              </w:rPr>
                              <w:t> </w:t>
                            </w:r>
                            <w:r>
                              <w:rPr>
                                <w:color w:val="000000"/>
                              </w:rPr>
                              <w:t>and</w:t>
                            </w:r>
                            <w:r>
                              <w:rPr>
                                <w:color w:val="000000"/>
                                <w:spacing w:val="-4"/>
                              </w:rPr>
                              <w:t> </w:t>
                            </w:r>
                            <w:r>
                              <w:rPr>
                                <w:color w:val="000000"/>
                              </w:rPr>
                              <w:t>two</w:t>
                            </w:r>
                            <w:r>
                              <w:rPr>
                                <w:color w:val="000000"/>
                                <w:spacing w:val="-3"/>
                              </w:rPr>
                              <w:t> </w:t>
                            </w:r>
                            <w:r>
                              <w:rPr>
                                <w:color w:val="000000"/>
                              </w:rPr>
                              <w:t>part-time members (Recommendation 1);</w:t>
                            </w:r>
                          </w:p>
                          <w:p>
                            <w:pPr>
                              <w:pStyle w:val="BodyText"/>
                              <w:spacing w:before="11"/>
                              <w:rPr>
                                <w:color w:val="000000"/>
                                <w:sz w:val="20"/>
                              </w:rPr>
                            </w:pPr>
                          </w:p>
                          <w:p>
                            <w:pPr>
                              <w:pStyle w:val="BodyText"/>
                              <w:numPr>
                                <w:ilvl w:val="0"/>
                                <w:numId w:val="6"/>
                              </w:numPr>
                              <w:tabs>
                                <w:tab w:pos="341" w:val="left" w:leader="none"/>
                              </w:tabs>
                              <w:spacing w:line="288" w:lineRule="auto" w:before="0" w:after="0"/>
                              <w:ind w:left="341" w:right="432" w:hanging="200"/>
                              <w:jc w:val="left"/>
                              <w:rPr>
                                <w:color w:val="000000"/>
                              </w:rPr>
                            </w:pPr>
                            <w:r>
                              <w:rPr>
                                <w:color w:val="000000"/>
                              </w:rPr>
                              <w:t>the development of greater guidance and strengthened formal protocols around regulatory</w:t>
                            </w:r>
                            <w:r>
                              <w:rPr>
                                <w:color w:val="000000"/>
                                <w:spacing w:val="-3"/>
                              </w:rPr>
                              <w:t> </w:t>
                            </w:r>
                            <w:r>
                              <w:rPr>
                                <w:color w:val="000000"/>
                              </w:rPr>
                              <w:t>decision</w:t>
                            </w:r>
                            <w:r>
                              <w:rPr>
                                <w:color w:val="000000"/>
                                <w:spacing w:val="-3"/>
                              </w:rPr>
                              <w:t> </w:t>
                            </w:r>
                            <w:r>
                              <w:rPr>
                                <w:color w:val="000000"/>
                              </w:rPr>
                              <w:t>making</w:t>
                            </w:r>
                            <w:r>
                              <w:rPr>
                                <w:color w:val="000000"/>
                                <w:spacing w:val="-1"/>
                              </w:rPr>
                              <w:t> </w:t>
                            </w:r>
                            <w:r>
                              <w:rPr>
                                <w:color w:val="000000"/>
                              </w:rPr>
                              <w:t>by</w:t>
                            </w:r>
                            <w:r>
                              <w:rPr>
                                <w:color w:val="000000"/>
                                <w:spacing w:val="-3"/>
                              </w:rPr>
                              <w:t> </w:t>
                            </w:r>
                            <w:r>
                              <w:rPr>
                                <w:color w:val="000000"/>
                              </w:rPr>
                              <w:t>ESV</w:t>
                            </w:r>
                            <w:r>
                              <w:rPr>
                                <w:color w:val="000000"/>
                                <w:spacing w:val="-1"/>
                              </w:rPr>
                              <w:t> </w:t>
                            </w:r>
                            <w:r>
                              <w:rPr>
                                <w:color w:val="000000"/>
                              </w:rPr>
                              <w:t>in</w:t>
                            </w:r>
                            <w:r>
                              <w:rPr>
                                <w:color w:val="000000"/>
                                <w:spacing w:val="-1"/>
                              </w:rPr>
                              <w:t> </w:t>
                            </w:r>
                            <w:r>
                              <w:rPr>
                                <w:color w:val="000000"/>
                              </w:rPr>
                              <w:t>circumstances</w:t>
                            </w:r>
                            <w:r>
                              <w:rPr>
                                <w:color w:val="000000"/>
                                <w:spacing w:val="-1"/>
                              </w:rPr>
                              <w:t> </w:t>
                            </w:r>
                            <w:r>
                              <w:rPr>
                                <w:color w:val="000000"/>
                              </w:rPr>
                              <w:t>where</w:t>
                            </w:r>
                            <w:r>
                              <w:rPr>
                                <w:color w:val="000000"/>
                                <w:spacing w:val="-1"/>
                              </w:rPr>
                              <w:t> </w:t>
                            </w:r>
                            <w:r>
                              <w:rPr>
                                <w:color w:val="000000"/>
                              </w:rPr>
                              <w:t>there</w:t>
                            </w:r>
                            <w:r>
                              <w:rPr>
                                <w:color w:val="000000"/>
                                <w:spacing w:val="-3"/>
                              </w:rPr>
                              <w:t> </w:t>
                            </w:r>
                            <w:r>
                              <w:rPr>
                                <w:color w:val="000000"/>
                              </w:rPr>
                              <w:t>may</w:t>
                            </w:r>
                            <w:r>
                              <w:rPr>
                                <w:color w:val="000000"/>
                                <w:spacing w:val="-3"/>
                              </w:rPr>
                              <w:t> </w:t>
                            </w:r>
                            <w:r>
                              <w:rPr>
                                <w:color w:val="000000"/>
                              </w:rPr>
                              <w:t>be</w:t>
                            </w:r>
                            <w:r>
                              <w:rPr>
                                <w:color w:val="000000"/>
                                <w:spacing w:val="-3"/>
                              </w:rPr>
                              <w:t> </w:t>
                            </w:r>
                            <w:r>
                              <w:rPr>
                                <w:color w:val="000000"/>
                              </w:rPr>
                              <w:t>potential</w:t>
                            </w:r>
                            <w:r>
                              <w:rPr>
                                <w:color w:val="000000"/>
                                <w:spacing w:val="-2"/>
                              </w:rPr>
                              <w:t> </w:t>
                            </w:r>
                            <w:r>
                              <w:rPr>
                                <w:color w:val="000000"/>
                              </w:rPr>
                              <w:t>or perceived</w:t>
                            </w:r>
                            <w:r>
                              <w:rPr>
                                <w:color w:val="000000"/>
                                <w:spacing w:val="-4"/>
                              </w:rPr>
                              <w:t> </w:t>
                            </w:r>
                            <w:r>
                              <w:rPr>
                                <w:color w:val="000000"/>
                              </w:rPr>
                              <w:t>conflicts</w:t>
                            </w:r>
                            <w:r>
                              <w:rPr>
                                <w:color w:val="000000"/>
                                <w:spacing w:val="-3"/>
                              </w:rPr>
                              <w:t> </w:t>
                            </w:r>
                            <w:r>
                              <w:rPr>
                                <w:color w:val="000000"/>
                              </w:rPr>
                              <w:t>of</w:t>
                            </w:r>
                            <w:r>
                              <w:rPr>
                                <w:color w:val="000000"/>
                                <w:spacing w:val="-2"/>
                              </w:rPr>
                              <w:t> </w:t>
                            </w:r>
                            <w:r>
                              <w:rPr>
                                <w:color w:val="000000"/>
                              </w:rPr>
                              <w:t>interest,</w:t>
                            </w:r>
                            <w:r>
                              <w:rPr>
                                <w:color w:val="000000"/>
                                <w:spacing w:val="-2"/>
                              </w:rPr>
                              <w:t> </w:t>
                            </w:r>
                            <w:r>
                              <w:rPr>
                                <w:color w:val="000000"/>
                              </w:rPr>
                              <w:t>particularly</w:t>
                            </w:r>
                            <w:r>
                              <w:rPr>
                                <w:color w:val="000000"/>
                                <w:spacing w:val="-6"/>
                              </w:rPr>
                              <w:t> </w:t>
                            </w:r>
                            <w:r>
                              <w:rPr>
                                <w:color w:val="000000"/>
                              </w:rPr>
                              <w:t>in</w:t>
                            </w:r>
                            <w:r>
                              <w:rPr>
                                <w:color w:val="000000"/>
                                <w:spacing w:val="-4"/>
                              </w:rPr>
                              <w:t> </w:t>
                            </w:r>
                            <w:r>
                              <w:rPr>
                                <w:color w:val="000000"/>
                              </w:rPr>
                              <w:t>relation</w:t>
                            </w:r>
                            <w:r>
                              <w:rPr>
                                <w:color w:val="000000"/>
                                <w:spacing w:val="-4"/>
                              </w:rPr>
                              <w:t> </w:t>
                            </w:r>
                            <w:r>
                              <w:rPr>
                                <w:color w:val="000000"/>
                              </w:rPr>
                              <w:t>to</w:t>
                            </w:r>
                            <w:r>
                              <w:rPr>
                                <w:color w:val="000000"/>
                                <w:spacing w:val="-6"/>
                              </w:rPr>
                              <w:t> </w:t>
                            </w:r>
                            <w:r>
                              <w:rPr>
                                <w:color w:val="000000"/>
                              </w:rPr>
                              <w:t>staff</w:t>
                            </w:r>
                            <w:r>
                              <w:rPr>
                                <w:color w:val="000000"/>
                                <w:spacing w:val="-2"/>
                              </w:rPr>
                              <w:t> </w:t>
                            </w:r>
                            <w:r>
                              <w:rPr>
                                <w:color w:val="000000"/>
                              </w:rPr>
                              <w:t>who</w:t>
                            </w:r>
                            <w:r>
                              <w:rPr>
                                <w:color w:val="000000"/>
                                <w:spacing w:val="-6"/>
                              </w:rPr>
                              <w:t> </w:t>
                            </w:r>
                            <w:r>
                              <w:rPr>
                                <w:color w:val="000000"/>
                              </w:rPr>
                              <w:t>may</w:t>
                            </w:r>
                            <w:r>
                              <w:rPr>
                                <w:color w:val="000000"/>
                                <w:spacing w:val="-6"/>
                              </w:rPr>
                              <w:t> </w:t>
                            </w:r>
                            <w:r>
                              <w:rPr>
                                <w:color w:val="000000"/>
                              </w:rPr>
                              <w:t>previously</w:t>
                            </w:r>
                            <w:r>
                              <w:rPr>
                                <w:color w:val="000000"/>
                                <w:spacing w:val="-6"/>
                              </w:rPr>
                              <w:t> </w:t>
                            </w:r>
                            <w:r>
                              <w:rPr>
                                <w:color w:val="000000"/>
                              </w:rPr>
                              <w:t>have been employed by regulated network businesses (Recommendation 3); and</w:t>
                            </w:r>
                          </w:p>
                          <w:p>
                            <w:pPr>
                              <w:pStyle w:val="BodyText"/>
                              <w:spacing w:before="10"/>
                              <w:rPr>
                                <w:color w:val="000000"/>
                                <w:sz w:val="20"/>
                              </w:rPr>
                            </w:pPr>
                          </w:p>
                          <w:p>
                            <w:pPr>
                              <w:pStyle w:val="BodyText"/>
                              <w:numPr>
                                <w:ilvl w:val="0"/>
                                <w:numId w:val="6"/>
                              </w:numPr>
                              <w:tabs>
                                <w:tab w:pos="341" w:val="left" w:leader="none"/>
                              </w:tabs>
                              <w:spacing w:line="288" w:lineRule="auto" w:before="0" w:after="0"/>
                              <w:ind w:left="341" w:right="224" w:hanging="200"/>
                              <w:jc w:val="left"/>
                              <w:rPr>
                                <w:color w:val="000000"/>
                              </w:rPr>
                            </w:pPr>
                            <w:r>
                              <w:rPr>
                                <w:color w:val="000000"/>
                              </w:rPr>
                              <w:t>implementation of a workforce strategy to attract and retain high performing staff, and promote</w:t>
                            </w:r>
                            <w:r>
                              <w:rPr>
                                <w:color w:val="000000"/>
                                <w:spacing w:val="-5"/>
                              </w:rPr>
                              <w:t> </w:t>
                            </w:r>
                            <w:r>
                              <w:rPr>
                                <w:color w:val="000000"/>
                              </w:rPr>
                              <w:t>workforce</w:t>
                            </w:r>
                            <w:r>
                              <w:rPr>
                                <w:color w:val="000000"/>
                                <w:spacing w:val="-5"/>
                              </w:rPr>
                              <w:t> </w:t>
                            </w:r>
                            <w:r>
                              <w:rPr>
                                <w:color w:val="000000"/>
                              </w:rPr>
                              <w:t>diversity,</w:t>
                            </w:r>
                            <w:r>
                              <w:rPr>
                                <w:color w:val="000000"/>
                                <w:spacing w:val="-3"/>
                              </w:rPr>
                              <w:t> </w:t>
                            </w:r>
                            <w:r>
                              <w:rPr>
                                <w:color w:val="000000"/>
                              </w:rPr>
                              <w:t>including</w:t>
                            </w:r>
                            <w:r>
                              <w:rPr>
                                <w:color w:val="000000"/>
                                <w:spacing w:val="-3"/>
                              </w:rPr>
                              <w:t> </w:t>
                            </w:r>
                            <w:r>
                              <w:rPr>
                                <w:color w:val="000000"/>
                              </w:rPr>
                              <w:t>increased</w:t>
                            </w:r>
                            <w:r>
                              <w:rPr>
                                <w:color w:val="000000"/>
                                <w:spacing w:val="-6"/>
                              </w:rPr>
                              <w:t> </w:t>
                            </w:r>
                            <w:r>
                              <w:rPr>
                                <w:color w:val="000000"/>
                              </w:rPr>
                              <w:t>gender</w:t>
                            </w:r>
                            <w:r>
                              <w:rPr>
                                <w:color w:val="000000"/>
                                <w:spacing w:val="-4"/>
                              </w:rPr>
                              <w:t> </w:t>
                            </w:r>
                            <w:r>
                              <w:rPr>
                                <w:color w:val="000000"/>
                              </w:rPr>
                              <w:t>diversity</w:t>
                            </w:r>
                            <w:r>
                              <w:rPr>
                                <w:color w:val="000000"/>
                                <w:spacing w:val="-6"/>
                              </w:rPr>
                              <w:t> </w:t>
                            </w:r>
                            <w:r>
                              <w:rPr>
                                <w:color w:val="000000"/>
                              </w:rPr>
                              <w:t>(Recommendation</w:t>
                            </w:r>
                            <w:r>
                              <w:rPr>
                                <w:color w:val="000000"/>
                                <w:spacing w:val="-5"/>
                              </w:rPr>
                              <w:t> </w:t>
                            </w:r>
                            <w:r>
                              <w:rPr>
                                <w:color w:val="000000"/>
                              </w:rPr>
                              <w:t>5).</w:t>
                            </w:r>
                          </w:p>
                        </w:txbxContent>
                      </wps:txbx>
                      <wps:bodyPr wrap="square" lIns="0" tIns="0" rIns="0" bIns="0" rtlCol="0">
                        <a:noAutofit/>
                      </wps:bodyPr>
                    </wps:wsp>
                  </a:graphicData>
                </a:graphic>
              </wp:anchor>
            </w:drawing>
          </mc:Choice>
          <mc:Fallback>
            <w:pict>
              <v:shape style="position:absolute;margin-left:56.639999pt;margin-top:12.070762pt;width:453pt;height:221.8pt;mso-position-horizontal-relative:page;mso-position-vertical-relative:paragraph;z-index:-15728128;mso-wrap-distance-left:0;mso-wrap-distance-right:0" type="#_x0000_t202" id="docshape4" filled="true" fillcolor="#d9d9d9" stroked="false">
                <v:textbox inset="0,0,0,0">
                  <w:txbxContent>
                    <w:p>
                      <w:pPr>
                        <w:pStyle w:val="BodyText"/>
                        <w:spacing w:before="9"/>
                        <w:rPr>
                          <w:color w:val="000000"/>
                          <w:sz w:val="20"/>
                        </w:rPr>
                      </w:pPr>
                    </w:p>
                    <w:p>
                      <w:pPr>
                        <w:spacing w:before="1"/>
                        <w:ind w:left="112" w:right="0" w:firstLine="0"/>
                        <w:jc w:val="left"/>
                        <w:rPr>
                          <w:b/>
                          <w:color w:val="000000"/>
                          <w:sz w:val="22"/>
                        </w:rPr>
                      </w:pPr>
                      <w:r>
                        <w:rPr>
                          <w:b/>
                          <w:color w:val="000000"/>
                          <w:sz w:val="22"/>
                        </w:rPr>
                        <w:t>Summary</w:t>
                      </w:r>
                      <w:r>
                        <w:rPr>
                          <w:b/>
                          <w:color w:val="000000"/>
                          <w:spacing w:val="-11"/>
                          <w:sz w:val="22"/>
                        </w:rPr>
                        <w:t> </w:t>
                      </w:r>
                      <w:r>
                        <w:rPr>
                          <w:b/>
                          <w:color w:val="000000"/>
                          <w:sz w:val="22"/>
                        </w:rPr>
                        <w:t>of</w:t>
                      </w:r>
                      <w:r>
                        <w:rPr>
                          <w:b/>
                          <w:color w:val="000000"/>
                          <w:spacing w:val="-5"/>
                          <w:sz w:val="22"/>
                        </w:rPr>
                        <w:t> </w:t>
                      </w:r>
                      <w:r>
                        <w:rPr>
                          <w:b/>
                          <w:color w:val="000000"/>
                          <w:sz w:val="22"/>
                        </w:rPr>
                        <w:t>recommendations:</w:t>
                      </w:r>
                      <w:r>
                        <w:rPr>
                          <w:b/>
                          <w:color w:val="000000"/>
                          <w:spacing w:val="-6"/>
                          <w:sz w:val="22"/>
                        </w:rPr>
                        <w:t> </w:t>
                      </w:r>
                      <w:r>
                        <w:rPr>
                          <w:b/>
                          <w:color w:val="000000"/>
                          <w:sz w:val="22"/>
                        </w:rPr>
                        <w:t>ESV's</w:t>
                      </w:r>
                      <w:r>
                        <w:rPr>
                          <w:b/>
                          <w:color w:val="000000"/>
                          <w:spacing w:val="-6"/>
                          <w:sz w:val="22"/>
                        </w:rPr>
                        <w:t> </w:t>
                      </w:r>
                      <w:r>
                        <w:rPr>
                          <w:b/>
                          <w:color w:val="000000"/>
                          <w:spacing w:val="-2"/>
                          <w:sz w:val="22"/>
                        </w:rPr>
                        <w:t>governance</w:t>
                      </w:r>
                    </w:p>
                    <w:p>
                      <w:pPr>
                        <w:pStyle w:val="BodyText"/>
                        <w:spacing w:before="2"/>
                        <w:rPr>
                          <w:b/>
                          <w:color w:val="000000"/>
                          <w:sz w:val="26"/>
                        </w:rPr>
                      </w:pPr>
                    </w:p>
                    <w:p>
                      <w:pPr>
                        <w:pStyle w:val="BodyText"/>
                        <w:ind w:left="112"/>
                        <w:rPr>
                          <w:color w:val="000000"/>
                        </w:rPr>
                      </w:pPr>
                      <w:r>
                        <w:rPr>
                          <w:color w:val="000000"/>
                        </w:rPr>
                        <w:t>Recommendations</w:t>
                      </w:r>
                      <w:r>
                        <w:rPr>
                          <w:color w:val="000000"/>
                          <w:spacing w:val="-6"/>
                        </w:rPr>
                        <w:t> </w:t>
                      </w:r>
                      <w:r>
                        <w:rPr>
                          <w:color w:val="000000"/>
                        </w:rPr>
                        <w:t>presented</w:t>
                      </w:r>
                      <w:r>
                        <w:rPr>
                          <w:color w:val="000000"/>
                          <w:spacing w:val="-6"/>
                        </w:rPr>
                        <w:t> </w:t>
                      </w:r>
                      <w:r>
                        <w:rPr>
                          <w:color w:val="000000"/>
                        </w:rPr>
                        <w:t>by</w:t>
                      </w:r>
                      <w:r>
                        <w:rPr>
                          <w:color w:val="000000"/>
                          <w:spacing w:val="-9"/>
                        </w:rPr>
                        <w:t> </w:t>
                      </w:r>
                      <w:r>
                        <w:rPr>
                          <w:color w:val="000000"/>
                        </w:rPr>
                        <w:t>the</w:t>
                      </w:r>
                      <w:r>
                        <w:rPr>
                          <w:color w:val="000000"/>
                          <w:spacing w:val="-8"/>
                        </w:rPr>
                        <w:t> </w:t>
                      </w:r>
                      <w:r>
                        <w:rPr>
                          <w:color w:val="000000"/>
                        </w:rPr>
                        <w:t>Review</w:t>
                      </w:r>
                      <w:r>
                        <w:rPr>
                          <w:color w:val="000000"/>
                          <w:spacing w:val="-9"/>
                        </w:rPr>
                        <w:t> </w:t>
                      </w:r>
                      <w:r>
                        <w:rPr>
                          <w:color w:val="000000"/>
                          <w:spacing w:val="-2"/>
                        </w:rPr>
                        <w:t>include:</w:t>
                      </w:r>
                    </w:p>
                    <w:p>
                      <w:pPr>
                        <w:pStyle w:val="BodyText"/>
                        <w:spacing w:before="9"/>
                        <w:rPr>
                          <w:color w:val="000000"/>
                          <w:sz w:val="20"/>
                        </w:rPr>
                      </w:pPr>
                    </w:p>
                    <w:p>
                      <w:pPr>
                        <w:pStyle w:val="BodyText"/>
                        <w:numPr>
                          <w:ilvl w:val="0"/>
                          <w:numId w:val="6"/>
                        </w:numPr>
                        <w:tabs>
                          <w:tab w:pos="341" w:val="left" w:leader="none"/>
                        </w:tabs>
                        <w:spacing w:line="288" w:lineRule="auto" w:before="0" w:after="0"/>
                        <w:ind w:left="341" w:right="211" w:hanging="200"/>
                        <w:jc w:val="left"/>
                        <w:rPr>
                          <w:color w:val="000000"/>
                        </w:rPr>
                      </w:pPr>
                      <w:r>
                        <w:rPr>
                          <w:color w:val="000000"/>
                        </w:rPr>
                        <w:t>establishing</w:t>
                      </w:r>
                      <w:r>
                        <w:rPr>
                          <w:color w:val="000000"/>
                          <w:spacing w:val="-1"/>
                        </w:rPr>
                        <w:t> </w:t>
                      </w:r>
                      <w:r>
                        <w:rPr>
                          <w:color w:val="000000"/>
                        </w:rPr>
                        <w:t>ESV</w:t>
                      </w:r>
                      <w:r>
                        <w:rPr>
                          <w:color w:val="000000"/>
                          <w:spacing w:val="-3"/>
                        </w:rPr>
                        <w:t> </w:t>
                      </w:r>
                      <w:r>
                        <w:rPr>
                          <w:color w:val="000000"/>
                        </w:rPr>
                        <w:t>as</w:t>
                      </w:r>
                      <w:r>
                        <w:rPr>
                          <w:color w:val="000000"/>
                          <w:spacing w:val="-2"/>
                        </w:rPr>
                        <w:t> </w:t>
                      </w:r>
                      <w:r>
                        <w:rPr>
                          <w:color w:val="000000"/>
                        </w:rPr>
                        <w:t>a</w:t>
                      </w:r>
                      <w:r>
                        <w:rPr>
                          <w:color w:val="000000"/>
                          <w:spacing w:val="-4"/>
                        </w:rPr>
                        <w:t> </w:t>
                      </w:r>
                      <w:r>
                        <w:rPr>
                          <w:color w:val="000000"/>
                        </w:rPr>
                        <w:t>three-person</w:t>
                      </w:r>
                      <w:r>
                        <w:rPr>
                          <w:color w:val="000000"/>
                          <w:spacing w:val="-3"/>
                        </w:rPr>
                        <w:t> </w:t>
                      </w:r>
                      <w:r>
                        <w:rPr>
                          <w:color w:val="000000"/>
                        </w:rPr>
                        <w:t>commission,</w:t>
                      </w:r>
                      <w:r>
                        <w:rPr>
                          <w:color w:val="000000"/>
                          <w:spacing w:val="-3"/>
                        </w:rPr>
                        <w:t> </w:t>
                      </w:r>
                      <w:r>
                        <w:rPr>
                          <w:color w:val="000000"/>
                        </w:rPr>
                        <w:t>with</w:t>
                      </w:r>
                      <w:r>
                        <w:rPr>
                          <w:color w:val="000000"/>
                          <w:spacing w:val="-3"/>
                        </w:rPr>
                        <w:t> </w:t>
                      </w:r>
                      <w:r>
                        <w:rPr>
                          <w:color w:val="000000"/>
                        </w:rPr>
                        <w:t>a</w:t>
                      </w:r>
                      <w:r>
                        <w:rPr>
                          <w:color w:val="000000"/>
                          <w:spacing w:val="-3"/>
                        </w:rPr>
                        <w:t> </w:t>
                      </w:r>
                      <w:r>
                        <w:rPr>
                          <w:color w:val="000000"/>
                        </w:rPr>
                        <w:t>full-time</w:t>
                      </w:r>
                      <w:r>
                        <w:rPr>
                          <w:color w:val="000000"/>
                          <w:spacing w:val="-4"/>
                        </w:rPr>
                        <w:t> </w:t>
                      </w:r>
                      <w:r>
                        <w:rPr>
                          <w:color w:val="000000"/>
                        </w:rPr>
                        <w:t>chair</w:t>
                      </w:r>
                      <w:r>
                        <w:rPr>
                          <w:color w:val="000000"/>
                          <w:spacing w:val="-3"/>
                        </w:rPr>
                        <w:t> </w:t>
                      </w:r>
                      <w:r>
                        <w:rPr>
                          <w:color w:val="000000"/>
                        </w:rPr>
                        <w:t>and</w:t>
                      </w:r>
                      <w:r>
                        <w:rPr>
                          <w:color w:val="000000"/>
                          <w:spacing w:val="-4"/>
                        </w:rPr>
                        <w:t> </w:t>
                      </w:r>
                      <w:r>
                        <w:rPr>
                          <w:color w:val="000000"/>
                        </w:rPr>
                        <w:t>two</w:t>
                      </w:r>
                      <w:r>
                        <w:rPr>
                          <w:color w:val="000000"/>
                          <w:spacing w:val="-3"/>
                        </w:rPr>
                        <w:t> </w:t>
                      </w:r>
                      <w:r>
                        <w:rPr>
                          <w:color w:val="000000"/>
                        </w:rPr>
                        <w:t>part-time members (Recommendation 1);</w:t>
                      </w:r>
                    </w:p>
                    <w:p>
                      <w:pPr>
                        <w:pStyle w:val="BodyText"/>
                        <w:spacing w:before="11"/>
                        <w:rPr>
                          <w:color w:val="000000"/>
                          <w:sz w:val="20"/>
                        </w:rPr>
                      </w:pPr>
                    </w:p>
                    <w:p>
                      <w:pPr>
                        <w:pStyle w:val="BodyText"/>
                        <w:numPr>
                          <w:ilvl w:val="0"/>
                          <w:numId w:val="6"/>
                        </w:numPr>
                        <w:tabs>
                          <w:tab w:pos="341" w:val="left" w:leader="none"/>
                        </w:tabs>
                        <w:spacing w:line="288" w:lineRule="auto" w:before="0" w:after="0"/>
                        <w:ind w:left="341" w:right="432" w:hanging="200"/>
                        <w:jc w:val="left"/>
                        <w:rPr>
                          <w:color w:val="000000"/>
                        </w:rPr>
                      </w:pPr>
                      <w:r>
                        <w:rPr>
                          <w:color w:val="000000"/>
                        </w:rPr>
                        <w:t>the development of greater guidance and strengthened formal protocols around regulatory</w:t>
                      </w:r>
                      <w:r>
                        <w:rPr>
                          <w:color w:val="000000"/>
                          <w:spacing w:val="-3"/>
                        </w:rPr>
                        <w:t> </w:t>
                      </w:r>
                      <w:r>
                        <w:rPr>
                          <w:color w:val="000000"/>
                        </w:rPr>
                        <w:t>decision</w:t>
                      </w:r>
                      <w:r>
                        <w:rPr>
                          <w:color w:val="000000"/>
                          <w:spacing w:val="-3"/>
                        </w:rPr>
                        <w:t> </w:t>
                      </w:r>
                      <w:r>
                        <w:rPr>
                          <w:color w:val="000000"/>
                        </w:rPr>
                        <w:t>making</w:t>
                      </w:r>
                      <w:r>
                        <w:rPr>
                          <w:color w:val="000000"/>
                          <w:spacing w:val="-1"/>
                        </w:rPr>
                        <w:t> </w:t>
                      </w:r>
                      <w:r>
                        <w:rPr>
                          <w:color w:val="000000"/>
                        </w:rPr>
                        <w:t>by</w:t>
                      </w:r>
                      <w:r>
                        <w:rPr>
                          <w:color w:val="000000"/>
                          <w:spacing w:val="-3"/>
                        </w:rPr>
                        <w:t> </w:t>
                      </w:r>
                      <w:r>
                        <w:rPr>
                          <w:color w:val="000000"/>
                        </w:rPr>
                        <w:t>ESV</w:t>
                      </w:r>
                      <w:r>
                        <w:rPr>
                          <w:color w:val="000000"/>
                          <w:spacing w:val="-1"/>
                        </w:rPr>
                        <w:t> </w:t>
                      </w:r>
                      <w:r>
                        <w:rPr>
                          <w:color w:val="000000"/>
                        </w:rPr>
                        <w:t>in</w:t>
                      </w:r>
                      <w:r>
                        <w:rPr>
                          <w:color w:val="000000"/>
                          <w:spacing w:val="-1"/>
                        </w:rPr>
                        <w:t> </w:t>
                      </w:r>
                      <w:r>
                        <w:rPr>
                          <w:color w:val="000000"/>
                        </w:rPr>
                        <w:t>circumstances</w:t>
                      </w:r>
                      <w:r>
                        <w:rPr>
                          <w:color w:val="000000"/>
                          <w:spacing w:val="-1"/>
                        </w:rPr>
                        <w:t> </w:t>
                      </w:r>
                      <w:r>
                        <w:rPr>
                          <w:color w:val="000000"/>
                        </w:rPr>
                        <w:t>where</w:t>
                      </w:r>
                      <w:r>
                        <w:rPr>
                          <w:color w:val="000000"/>
                          <w:spacing w:val="-1"/>
                        </w:rPr>
                        <w:t> </w:t>
                      </w:r>
                      <w:r>
                        <w:rPr>
                          <w:color w:val="000000"/>
                        </w:rPr>
                        <w:t>there</w:t>
                      </w:r>
                      <w:r>
                        <w:rPr>
                          <w:color w:val="000000"/>
                          <w:spacing w:val="-3"/>
                        </w:rPr>
                        <w:t> </w:t>
                      </w:r>
                      <w:r>
                        <w:rPr>
                          <w:color w:val="000000"/>
                        </w:rPr>
                        <w:t>may</w:t>
                      </w:r>
                      <w:r>
                        <w:rPr>
                          <w:color w:val="000000"/>
                          <w:spacing w:val="-3"/>
                        </w:rPr>
                        <w:t> </w:t>
                      </w:r>
                      <w:r>
                        <w:rPr>
                          <w:color w:val="000000"/>
                        </w:rPr>
                        <w:t>be</w:t>
                      </w:r>
                      <w:r>
                        <w:rPr>
                          <w:color w:val="000000"/>
                          <w:spacing w:val="-3"/>
                        </w:rPr>
                        <w:t> </w:t>
                      </w:r>
                      <w:r>
                        <w:rPr>
                          <w:color w:val="000000"/>
                        </w:rPr>
                        <w:t>potential</w:t>
                      </w:r>
                      <w:r>
                        <w:rPr>
                          <w:color w:val="000000"/>
                          <w:spacing w:val="-2"/>
                        </w:rPr>
                        <w:t> </w:t>
                      </w:r>
                      <w:r>
                        <w:rPr>
                          <w:color w:val="000000"/>
                        </w:rPr>
                        <w:t>or perceived</w:t>
                      </w:r>
                      <w:r>
                        <w:rPr>
                          <w:color w:val="000000"/>
                          <w:spacing w:val="-4"/>
                        </w:rPr>
                        <w:t> </w:t>
                      </w:r>
                      <w:r>
                        <w:rPr>
                          <w:color w:val="000000"/>
                        </w:rPr>
                        <w:t>conflicts</w:t>
                      </w:r>
                      <w:r>
                        <w:rPr>
                          <w:color w:val="000000"/>
                          <w:spacing w:val="-3"/>
                        </w:rPr>
                        <w:t> </w:t>
                      </w:r>
                      <w:r>
                        <w:rPr>
                          <w:color w:val="000000"/>
                        </w:rPr>
                        <w:t>of</w:t>
                      </w:r>
                      <w:r>
                        <w:rPr>
                          <w:color w:val="000000"/>
                          <w:spacing w:val="-2"/>
                        </w:rPr>
                        <w:t> </w:t>
                      </w:r>
                      <w:r>
                        <w:rPr>
                          <w:color w:val="000000"/>
                        </w:rPr>
                        <w:t>interest,</w:t>
                      </w:r>
                      <w:r>
                        <w:rPr>
                          <w:color w:val="000000"/>
                          <w:spacing w:val="-2"/>
                        </w:rPr>
                        <w:t> </w:t>
                      </w:r>
                      <w:r>
                        <w:rPr>
                          <w:color w:val="000000"/>
                        </w:rPr>
                        <w:t>particularly</w:t>
                      </w:r>
                      <w:r>
                        <w:rPr>
                          <w:color w:val="000000"/>
                          <w:spacing w:val="-6"/>
                        </w:rPr>
                        <w:t> </w:t>
                      </w:r>
                      <w:r>
                        <w:rPr>
                          <w:color w:val="000000"/>
                        </w:rPr>
                        <w:t>in</w:t>
                      </w:r>
                      <w:r>
                        <w:rPr>
                          <w:color w:val="000000"/>
                          <w:spacing w:val="-4"/>
                        </w:rPr>
                        <w:t> </w:t>
                      </w:r>
                      <w:r>
                        <w:rPr>
                          <w:color w:val="000000"/>
                        </w:rPr>
                        <w:t>relation</w:t>
                      </w:r>
                      <w:r>
                        <w:rPr>
                          <w:color w:val="000000"/>
                          <w:spacing w:val="-4"/>
                        </w:rPr>
                        <w:t> </w:t>
                      </w:r>
                      <w:r>
                        <w:rPr>
                          <w:color w:val="000000"/>
                        </w:rPr>
                        <w:t>to</w:t>
                      </w:r>
                      <w:r>
                        <w:rPr>
                          <w:color w:val="000000"/>
                          <w:spacing w:val="-6"/>
                        </w:rPr>
                        <w:t> </w:t>
                      </w:r>
                      <w:r>
                        <w:rPr>
                          <w:color w:val="000000"/>
                        </w:rPr>
                        <w:t>staff</w:t>
                      </w:r>
                      <w:r>
                        <w:rPr>
                          <w:color w:val="000000"/>
                          <w:spacing w:val="-2"/>
                        </w:rPr>
                        <w:t> </w:t>
                      </w:r>
                      <w:r>
                        <w:rPr>
                          <w:color w:val="000000"/>
                        </w:rPr>
                        <w:t>who</w:t>
                      </w:r>
                      <w:r>
                        <w:rPr>
                          <w:color w:val="000000"/>
                          <w:spacing w:val="-6"/>
                        </w:rPr>
                        <w:t> </w:t>
                      </w:r>
                      <w:r>
                        <w:rPr>
                          <w:color w:val="000000"/>
                        </w:rPr>
                        <w:t>may</w:t>
                      </w:r>
                      <w:r>
                        <w:rPr>
                          <w:color w:val="000000"/>
                          <w:spacing w:val="-6"/>
                        </w:rPr>
                        <w:t> </w:t>
                      </w:r>
                      <w:r>
                        <w:rPr>
                          <w:color w:val="000000"/>
                        </w:rPr>
                        <w:t>previously</w:t>
                      </w:r>
                      <w:r>
                        <w:rPr>
                          <w:color w:val="000000"/>
                          <w:spacing w:val="-6"/>
                        </w:rPr>
                        <w:t> </w:t>
                      </w:r>
                      <w:r>
                        <w:rPr>
                          <w:color w:val="000000"/>
                        </w:rPr>
                        <w:t>have been employed by regulated network businesses (Recommendation 3); and</w:t>
                      </w:r>
                    </w:p>
                    <w:p>
                      <w:pPr>
                        <w:pStyle w:val="BodyText"/>
                        <w:spacing w:before="10"/>
                        <w:rPr>
                          <w:color w:val="000000"/>
                          <w:sz w:val="20"/>
                        </w:rPr>
                      </w:pPr>
                    </w:p>
                    <w:p>
                      <w:pPr>
                        <w:pStyle w:val="BodyText"/>
                        <w:numPr>
                          <w:ilvl w:val="0"/>
                          <w:numId w:val="6"/>
                        </w:numPr>
                        <w:tabs>
                          <w:tab w:pos="341" w:val="left" w:leader="none"/>
                        </w:tabs>
                        <w:spacing w:line="288" w:lineRule="auto" w:before="0" w:after="0"/>
                        <w:ind w:left="341" w:right="224" w:hanging="200"/>
                        <w:jc w:val="left"/>
                        <w:rPr>
                          <w:color w:val="000000"/>
                        </w:rPr>
                      </w:pPr>
                      <w:r>
                        <w:rPr>
                          <w:color w:val="000000"/>
                        </w:rPr>
                        <w:t>implementation of a workforce strategy to attract and retain high performing staff, and promote</w:t>
                      </w:r>
                      <w:r>
                        <w:rPr>
                          <w:color w:val="000000"/>
                          <w:spacing w:val="-5"/>
                        </w:rPr>
                        <w:t> </w:t>
                      </w:r>
                      <w:r>
                        <w:rPr>
                          <w:color w:val="000000"/>
                        </w:rPr>
                        <w:t>workforce</w:t>
                      </w:r>
                      <w:r>
                        <w:rPr>
                          <w:color w:val="000000"/>
                          <w:spacing w:val="-5"/>
                        </w:rPr>
                        <w:t> </w:t>
                      </w:r>
                      <w:r>
                        <w:rPr>
                          <w:color w:val="000000"/>
                        </w:rPr>
                        <w:t>diversity,</w:t>
                      </w:r>
                      <w:r>
                        <w:rPr>
                          <w:color w:val="000000"/>
                          <w:spacing w:val="-3"/>
                        </w:rPr>
                        <w:t> </w:t>
                      </w:r>
                      <w:r>
                        <w:rPr>
                          <w:color w:val="000000"/>
                        </w:rPr>
                        <w:t>including</w:t>
                      </w:r>
                      <w:r>
                        <w:rPr>
                          <w:color w:val="000000"/>
                          <w:spacing w:val="-3"/>
                        </w:rPr>
                        <w:t> </w:t>
                      </w:r>
                      <w:r>
                        <w:rPr>
                          <w:color w:val="000000"/>
                        </w:rPr>
                        <w:t>increased</w:t>
                      </w:r>
                      <w:r>
                        <w:rPr>
                          <w:color w:val="000000"/>
                          <w:spacing w:val="-6"/>
                        </w:rPr>
                        <w:t> </w:t>
                      </w:r>
                      <w:r>
                        <w:rPr>
                          <w:color w:val="000000"/>
                        </w:rPr>
                        <w:t>gender</w:t>
                      </w:r>
                      <w:r>
                        <w:rPr>
                          <w:color w:val="000000"/>
                          <w:spacing w:val="-4"/>
                        </w:rPr>
                        <w:t> </w:t>
                      </w:r>
                      <w:r>
                        <w:rPr>
                          <w:color w:val="000000"/>
                        </w:rPr>
                        <w:t>diversity</w:t>
                      </w:r>
                      <w:r>
                        <w:rPr>
                          <w:color w:val="000000"/>
                          <w:spacing w:val="-6"/>
                        </w:rPr>
                        <w:t> </w:t>
                      </w:r>
                      <w:r>
                        <w:rPr>
                          <w:color w:val="000000"/>
                        </w:rPr>
                        <w:t>(Recommendation</w:t>
                      </w:r>
                      <w:r>
                        <w:rPr>
                          <w:color w:val="000000"/>
                          <w:spacing w:val="-5"/>
                        </w:rPr>
                        <w:t> </w:t>
                      </w:r>
                      <w:r>
                        <w:rPr>
                          <w:color w:val="000000"/>
                        </w:rPr>
                        <w:t>5).</w:t>
                      </w:r>
                    </w:p>
                  </w:txbxContent>
                </v:textbox>
                <v:fill type="solid"/>
                <w10:wrap type="topAndBottom"/>
              </v:shape>
            </w:pict>
          </mc:Fallback>
        </mc:AlternateContent>
      </w:r>
    </w:p>
    <w:p>
      <w:pPr>
        <w:pStyle w:val="BodyText"/>
        <w:spacing w:before="6"/>
        <w:rPr>
          <w:sz w:val="23"/>
        </w:rPr>
      </w:pPr>
    </w:p>
    <w:p>
      <w:pPr>
        <w:pStyle w:val="Heading4"/>
        <w:ind w:left="292"/>
      </w:pPr>
      <w:r>
        <w:rPr>
          <w:color w:val="585858"/>
        </w:rPr>
        <w:t>Strengthening</w:t>
      </w:r>
      <w:r>
        <w:rPr>
          <w:color w:val="585858"/>
          <w:spacing w:val="-11"/>
        </w:rPr>
        <w:t> </w:t>
      </w:r>
      <w:r>
        <w:rPr>
          <w:color w:val="585858"/>
        </w:rPr>
        <w:t>ESV's</w:t>
      </w:r>
      <w:r>
        <w:rPr>
          <w:color w:val="585858"/>
          <w:spacing w:val="-9"/>
        </w:rPr>
        <w:t> </w:t>
      </w:r>
      <w:r>
        <w:rPr>
          <w:color w:val="585858"/>
        </w:rPr>
        <w:t>network</w:t>
      </w:r>
      <w:r>
        <w:rPr>
          <w:color w:val="585858"/>
          <w:spacing w:val="-14"/>
        </w:rPr>
        <w:t> </w:t>
      </w:r>
      <w:r>
        <w:rPr>
          <w:color w:val="585858"/>
        </w:rPr>
        <w:t>safety</w:t>
      </w:r>
      <w:r>
        <w:rPr>
          <w:color w:val="585858"/>
          <w:spacing w:val="-16"/>
        </w:rPr>
        <w:t> </w:t>
      </w:r>
      <w:r>
        <w:rPr>
          <w:color w:val="585858"/>
        </w:rPr>
        <w:t>regulation</w:t>
      </w:r>
      <w:r>
        <w:rPr>
          <w:color w:val="585858"/>
          <w:spacing w:val="-12"/>
        </w:rPr>
        <w:t> </w:t>
      </w:r>
      <w:r>
        <w:rPr>
          <w:color w:val="585858"/>
          <w:spacing w:val="-2"/>
        </w:rPr>
        <w:t>capabilities</w:t>
      </w:r>
    </w:p>
    <w:p>
      <w:pPr>
        <w:pStyle w:val="BodyText"/>
        <w:spacing w:line="288" w:lineRule="auto" w:before="314"/>
        <w:ind w:left="292"/>
      </w:pPr>
      <w:r>
        <w:rPr/>
        <w:t>The</w:t>
      </w:r>
      <w:r>
        <w:rPr>
          <w:spacing w:val="-4"/>
        </w:rPr>
        <w:t> </w:t>
      </w:r>
      <w:r>
        <w:rPr/>
        <w:t>Review</w:t>
      </w:r>
      <w:r>
        <w:rPr>
          <w:spacing w:val="-5"/>
        </w:rPr>
        <w:t> </w:t>
      </w:r>
      <w:r>
        <w:rPr/>
        <w:t>set</w:t>
      </w:r>
      <w:r>
        <w:rPr>
          <w:spacing w:val="-1"/>
        </w:rPr>
        <w:t> </w:t>
      </w:r>
      <w:r>
        <w:rPr/>
        <w:t>out</w:t>
      </w:r>
      <w:r>
        <w:rPr>
          <w:spacing w:val="-3"/>
        </w:rPr>
        <w:t> </w:t>
      </w:r>
      <w:r>
        <w:rPr/>
        <w:t>to</w:t>
      </w:r>
      <w:r>
        <w:rPr>
          <w:spacing w:val="-4"/>
        </w:rPr>
        <w:t> </w:t>
      </w:r>
      <w:r>
        <w:rPr/>
        <w:t>evaluate</w:t>
      </w:r>
      <w:r>
        <w:rPr>
          <w:spacing w:val="-2"/>
        </w:rPr>
        <w:t> </w:t>
      </w:r>
      <w:r>
        <w:rPr/>
        <w:t>ESV's</w:t>
      </w:r>
      <w:r>
        <w:rPr>
          <w:spacing w:val="-4"/>
        </w:rPr>
        <w:t> </w:t>
      </w:r>
      <w:r>
        <w:rPr/>
        <w:t>capabilities</w:t>
      </w:r>
      <w:r>
        <w:rPr>
          <w:spacing w:val="-2"/>
        </w:rPr>
        <w:t> </w:t>
      </w:r>
      <w:r>
        <w:rPr/>
        <w:t>as</w:t>
      </w:r>
      <w:r>
        <w:rPr>
          <w:spacing w:val="-1"/>
        </w:rPr>
        <w:t> </w:t>
      </w:r>
      <w:r>
        <w:rPr/>
        <w:t>a</w:t>
      </w:r>
      <w:r>
        <w:rPr>
          <w:spacing w:val="-4"/>
        </w:rPr>
        <w:t> </w:t>
      </w:r>
      <w:r>
        <w:rPr/>
        <w:t>leading</w:t>
      </w:r>
      <w:r>
        <w:rPr>
          <w:spacing w:val="-2"/>
        </w:rPr>
        <w:t> </w:t>
      </w:r>
      <w:r>
        <w:rPr/>
        <w:t>safety</w:t>
      </w:r>
      <w:r>
        <w:rPr>
          <w:spacing w:val="-4"/>
        </w:rPr>
        <w:t> </w:t>
      </w:r>
      <w:r>
        <w:rPr/>
        <w:t>regulator,</w:t>
      </w:r>
      <w:r>
        <w:rPr>
          <w:spacing w:val="-3"/>
        </w:rPr>
        <w:t> </w:t>
      </w:r>
      <w:r>
        <w:rPr/>
        <w:t>recognising</w:t>
      </w:r>
      <w:r>
        <w:rPr>
          <w:spacing w:val="-2"/>
        </w:rPr>
        <w:t> </w:t>
      </w:r>
      <w:r>
        <w:rPr/>
        <w:t>its established strengths and identifying areas that could be strengthened further.</w:t>
      </w:r>
    </w:p>
    <w:p>
      <w:pPr>
        <w:pStyle w:val="BodyText"/>
        <w:spacing w:before="10"/>
        <w:rPr>
          <w:sz w:val="20"/>
        </w:rPr>
      </w:pPr>
    </w:p>
    <w:p>
      <w:pPr>
        <w:pStyle w:val="BodyText"/>
        <w:spacing w:line="288" w:lineRule="auto"/>
        <w:ind w:left="292" w:right="374"/>
      </w:pPr>
      <w:r>
        <w:rPr/>
        <w:t>It is perhaps inevitable that most focus is placed on those capabilities that the Review considers should be strengthened.</w:t>
      </w:r>
      <w:r>
        <w:rPr>
          <w:spacing w:val="-3"/>
        </w:rPr>
        <w:t> </w:t>
      </w:r>
      <w:r>
        <w:rPr/>
        <w:t>However, the assessment should be</w:t>
      </w:r>
      <w:r>
        <w:rPr>
          <w:spacing w:val="-2"/>
        </w:rPr>
        <w:t> </w:t>
      </w:r>
      <w:r>
        <w:rPr/>
        <w:t>viewed in the context</w:t>
      </w:r>
      <w:r>
        <w:rPr>
          <w:spacing w:val="-1"/>
        </w:rPr>
        <w:t> </w:t>
      </w:r>
      <w:r>
        <w:rPr/>
        <w:t>of a</w:t>
      </w:r>
      <w:r>
        <w:rPr>
          <w:spacing w:val="-2"/>
        </w:rPr>
        <w:t> </w:t>
      </w:r>
      <w:r>
        <w:rPr/>
        <w:t>regulator that</w:t>
      </w:r>
      <w:r>
        <w:rPr>
          <w:spacing w:val="-3"/>
        </w:rPr>
        <w:t> </w:t>
      </w:r>
      <w:r>
        <w:rPr/>
        <w:t>has</w:t>
      </w:r>
      <w:r>
        <w:rPr>
          <w:spacing w:val="-1"/>
        </w:rPr>
        <w:t> </w:t>
      </w:r>
      <w:r>
        <w:rPr/>
        <w:t>established</w:t>
      </w:r>
      <w:r>
        <w:rPr>
          <w:spacing w:val="-2"/>
        </w:rPr>
        <w:t> </w:t>
      </w:r>
      <w:r>
        <w:rPr/>
        <w:t>a</w:t>
      </w:r>
      <w:r>
        <w:rPr>
          <w:spacing w:val="-4"/>
        </w:rPr>
        <w:t> </w:t>
      </w:r>
      <w:r>
        <w:rPr/>
        <w:t>reputation</w:t>
      </w:r>
      <w:r>
        <w:rPr>
          <w:spacing w:val="-2"/>
        </w:rPr>
        <w:t> </w:t>
      </w:r>
      <w:r>
        <w:rPr/>
        <w:t>as</w:t>
      </w:r>
      <w:r>
        <w:rPr>
          <w:spacing w:val="-4"/>
        </w:rPr>
        <w:t> </w:t>
      </w:r>
      <w:r>
        <w:rPr/>
        <w:t>a</w:t>
      </w:r>
      <w:r>
        <w:rPr>
          <w:spacing w:val="-4"/>
        </w:rPr>
        <w:t> </w:t>
      </w:r>
      <w:r>
        <w:rPr/>
        <w:t>national</w:t>
      </w:r>
      <w:r>
        <w:rPr>
          <w:spacing w:val="-3"/>
        </w:rPr>
        <w:t> </w:t>
      </w:r>
      <w:r>
        <w:rPr/>
        <w:t>leader,</w:t>
      </w:r>
      <w:r>
        <w:rPr>
          <w:spacing w:val="-3"/>
        </w:rPr>
        <w:t> </w:t>
      </w:r>
      <w:r>
        <w:rPr/>
        <w:t>and</w:t>
      </w:r>
      <w:r>
        <w:rPr>
          <w:spacing w:val="-2"/>
        </w:rPr>
        <w:t> </w:t>
      </w:r>
      <w:r>
        <w:rPr/>
        <w:t>an</w:t>
      </w:r>
      <w:r>
        <w:rPr>
          <w:spacing w:val="-4"/>
        </w:rPr>
        <w:t> </w:t>
      </w:r>
      <w:r>
        <w:rPr/>
        <w:t>organisation</w:t>
      </w:r>
      <w:r>
        <w:rPr>
          <w:spacing w:val="-4"/>
        </w:rPr>
        <w:t> </w:t>
      </w:r>
      <w:r>
        <w:rPr/>
        <w:t>that</w:t>
      </w:r>
      <w:r>
        <w:rPr>
          <w:spacing w:val="-3"/>
        </w:rPr>
        <w:t> </w:t>
      </w:r>
      <w:r>
        <w:rPr/>
        <w:t>is</w:t>
      </w:r>
      <w:r>
        <w:rPr>
          <w:spacing w:val="-1"/>
        </w:rPr>
        <w:t> </w:t>
      </w:r>
      <w:r>
        <w:rPr/>
        <w:t>actively</w:t>
      </w:r>
      <w:r>
        <w:rPr>
          <w:spacing w:val="-4"/>
        </w:rPr>
        <w:t> </w:t>
      </w:r>
      <w:r>
        <w:rPr/>
        <w:t>seeking to identify ways in which it can improve its effectiveness.</w:t>
      </w:r>
    </w:p>
    <w:p>
      <w:pPr>
        <w:pStyle w:val="BodyText"/>
        <w:spacing w:before="10"/>
        <w:rPr>
          <w:sz w:val="20"/>
        </w:rPr>
      </w:pPr>
    </w:p>
    <w:p>
      <w:pPr>
        <w:pStyle w:val="BodyText"/>
        <w:spacing w:line="288" w:lineRule="auto"/>
        <w:ind w:left="292" w:right="311"/>
      </w:pPr>
      <w:r>
        <w:rPr/>
        <w:t>All</w:t>
      </w:r>
      <w:r>
        <w:rPr>
          <w:spacing w:val="-1"/>
        </w:rPr>
        <w:t> </w:t>
      </w:r>
      <w:r>
        <w:rPr/>
        <w:t>the</w:t>
      </w:r>
      <w:r>
        <w:rPr>
          <w:spacing w:val="-1"/>
        </w:rPr>
        <w:t> </w:t>
      </w:r>
      <w:r>
        <w:rPr/>
        <w:t>same,</w:t>
      </w:r>
      <w:r>
        <w:rPr>
          <w:spacing w:val="-2"/>
        </w:rPr>
        <w:t> </w:t>
      </w:r>
      <w:r>
        <w:rPr/>
        <w:t>it is</w:t>
      </w:r>
      <w:r>
        <w:rPr>
          <w:spacing w:val="-3"/>
        </w:rPr>
        <w:t> </w:t>
      </w:r>
      <w:r>
        <w:rPr/>
        <w:t>apparent</w:t>
      </w:r>
      <w:r>
        <w:rPr>
          <w:spacing w:val="-2"/>
        </w:rPr>
        <w:t> </w:t>
      </w:r>
      <w:r>
        <w:rPr/>
        <w:t>that</w:t>
      </w:r>
      <w:r>
        <w:rPr>
          <w:spacing w:val="-2"/>
        </w:rPr>
        <w:t> </w:t>
      </w:r>
      <w:r>
        <w:rPr/>
        <w:t>ESV</w:t>
      </w:r>
      <w:r>
        <w:rPr>
          <w:spacing w:val="-1"/>
        </w:rPr>
        <w:t> </w:t>
      </w:r>
      <w:r>
        <w:rPr/>
        <w:t>has</w:t>
      </w:r>
      <w:r>
        <w:rPr>
          <w:spacing w:val="-5"/>
        </w:rPr>
        <w:t> </w:t>
      </w:r>
      <w:r>
        <w:rPr/>
        <w:t>further work to</w:t>
      </w:r>
      <w:r>
        <w:rPr>
          <w:spacing w:val="-1"/>
        </w:rPr>
        <w:t> </w:t>
      </w:r>
      <w:r>
        <w:rPr/>
        <w:t>do</w:t>
      </w:r>
      <w:r>
        <w:rPr>
          <w:spacing w:val="-3"/>
        </w:rPr>
        <w:t> </w:t>
      </w:r>
      <w:r>
        <w:rPr/>
        <w:t>to</w:t>
      </w:r>
      <w:r>
        <w:rPr>
          <w:spacing w:val="-3"/>
        </w:rPr>
        <w:t> </w:t>
      </w:r>
      <w:r>
        <w:rPr/>
        <w:t>before</w:t>
      </w:r>
      <w:r>
        <w:rPr>
          <w:spacing w:val="-1"/>
        </w:rPr>
        <w:t> </w:t>
      </w:r>
      <w:r>
        <w:rPr/>
        <w:t>it can</w:t>
      </w:r>
      <w:r>
        <w:rPr>
          <w:spacing w:val="-6"/>
        </w:rPr>
        <w:t> </w:t>
      </w:r>
      <w:r>
        <w:rPr/>
        <w:t>justifiably</w:t>
      </w:r>
      <w:r>
        <w:rPr>
          <w:spacing w:val="-3"/>
        </w:rPr>
        <w:t> </w:t>
      </w:r>
      <w:r>
        <w:rPr/>
        <w:t>claim</w:t>
      </w:r>
      <w:r>
        <w:rPr>
          <w:spacing w:val="-2"/>
        </w:rPr>
        <w:t> </w:t>
      </w:r>
      <w:r>
        <w:rPr/>
        <w:t>to</w:t>
      </w:r>
      <w:r>
        <w:rPr>
          <w:spacing w:val="-1"/>
        </w:rPr>
        <w:t> </w:t>
      </w:r>
      <w:r>
        <w:rPr/>
        <w:t>be</w:t>
      </w:r>
      <w:r>
        <w:rPr>
          <w:spacing w:val="-3"/>
        </w:rPr>
        <w:t> </w:t>
      </w:r>
      <w:r>
        <w:rPr/>
        <w:t>at the very forefront of regulatory practice.</w:t>
      </w:r>
    </w:p>
    <w:p>
      <w:pPr>
        <w:pStyle w:val="BodyText"/>
        <w:spacing w:before="10"/>
        <w:rPr>
          <w:sz w:val="20"/>
        </w:rPr>
      </w:pPr>
    </w:p>
    <w:p>
      <w:pPr>
        <w:pStyle w:val="BodyText"/>
        <w:spacing w:line="288" w:lineRule="auto" w:before="1"/>
        <w:ind w:left="292" w:right="311"/>
      </w:pPr>
      <w:r>
        <w:rPr/>
        <w:t>ESV's most recent Corporate Plan, which was prepared during the course of the Review's initial work,</w:t>
      </w:r>
      <w:r>
        <w:rPr>
          <w:spacing w:val="-4"/>
        </w:rPr>
        <w:t> </w:t>
      </w:r>
      <w:r>
        <w:rPr/>
        <w:t>sets</w:t>
      </w:r>
      <w:r>
        <w:rPr>
          <w:spacing w:val="-4"/>
        </w:rPr>
        <w:t> </w:t>
      </w:r>
      <w:r>
        <w:rPr/>
        <w:t>out</w:t>
      </w:r>
      <w:r>
        <w:rPr>
          <w:spacing w:val="-6"/>
        </w:rPr>
        <w:t> </w:t>
      </w:r>
      <w:r>
        <w:rPr/>
        <w:t>the</w:t>
      </w:r>
      <w:r>
        <w:rPr>
          <w:spacing w:val="-3"/>
        </w:rPr>
        <w:t> </w:t>
      </w:r>
      <w:r>
        <w:rPr/>
        <w:t>objective</w:t>
      </w:r>
      <w:r>
        <w:rPr>
          <w:spacing w:val="-3"/>
        </w:rPr>
        <w:t> </w:t>
      </w:r>
      <w:r>
        <w:rPr/>
        <w:t>of</w:t>
      </w:r>
      <w:r>
        <w:rPr>
          <w:spacing w:val="-1"/>
        </w:rPr>
        <w:t> </w:t>
      </w:r>
      <w:r>
        <w:rPr/>
        <w:t>substantially</w:t>
      </w:r>
      <w:r>
        <w:rPr>
          <w:spacing w:val="-5"/>
        </w:rPr>
        <w:t> </w:t>
      </w:r>
      <w:r>
        <w:rPr/>
        <w:t>strengthening</w:t>
      </w:r>
      <w:r>
        <w:rPr>
          <w:spacing w:val="-3"/>
        </w:rPr>
        <w:t> </w:t>
      </w:r>
      <w:r>
        <w:rPr/>
        <w:t>its</w:t>
      </w:r>
      <w:r>
        <w:rPr>
          <w:spacing w:val="-5"/>
        </w:rPr>
        <w:t> </w:t>
      </w:r>
      <w:r>
        <w:rPr/>
        <w:t>regulatory</w:t>
      </w:r>
      <w:r>
        <w:rPr>
          <w:spacing w:val="-5"/>
        </w:rPr>
        <w:t> </w:t>
      </w:r>
      <w:r>
        <w:rPr/>
        <w:t>capabilities. If</w:t>
      </w:r>
      <w:r>
        <w:rPr>
          <w:spacing w:val="-1"/>
        </w:rPr>
        <w:t> </w:t>
      </w:r>
      <w:r>
        <w:rPr/>
        <w:t>anything,</w:t>
      </w:r>
      <w:r>
        <w:rPr>
          <w:spacing w:val="-4"/>
        </w:rPr>
        <w:t> </w:t>
      </w:r>
      <w:r>
        <w:rPr/>
        <w:t>the Review's examination of ESV's systems and processes has reinforced the importance of the work ESV has identified that it needs to do.</w:t>
      </w:r>
    </w:p>
    <w:p>
      <w:pPr>
        <w:pStyle w:val="BodyText"/>
        <w:spacing w:before="10"/>
        <w:rPr>
          <w:sz w:val="20"/>
        </w:rPr>
      </w:pPr>
    </w:p>
    <w:p>
      <w:pPr>
        <w:pStyle w:val="BodyText"/>
        <w:spacing w:line="288" w:lineRule="auto"/>
        <w:ind w:left="292" w:right="311"/>
      </w:pPr>
      <w:r>
        <w:rPr/>
        <w:t>As</w:t>
      </w:r>
      <w:r>
        <w:rPr>
          <w:spacing w:val="-1"/>
        </w:rPr>
        <w:t> </w:t>
      </w:r>
      <w:r>
        <w:rPr/>
        <w:t>noted</w:t>
      </w:r>
      <w:r>
        <w:rPr>
          <w:spacing w:val="-4"/>
        </w:rPr>
        <w:t> </w:t>
      </w:r>
      <w:r>
        <w:rPr/>
        <w:t>earlier,</w:t>
      </w:r>
      <w:r>
        <w:rPr>
          <w:spacing w:val="-2"/>
        </w:rPr>
        <w:t> </w:t>
      </w:r>
      <w:r>
        <w:rPr/>
        <w:t>when</w:t>
      </w:r>
      <w:r>
        <w:rPr>
          <w:spacing w:val="-2"/>
        </w:rPr>
        <w:t> </w:t>
      </w:r>
      <w:r>
        <w:rPr/>
        <w:t>the</w:t>
      </w:r>
      <w:r>
        <w:rPr>
          <w:spacing w:val="-2"/>
        </w:rPr>
        <w:t> </w:t>
      </w:r>
      <w:r>
        <w:rPr/>
        <w:t>safety</w:t>
      </w:r>
      <w:r>
        <w:rPr>
          <w:spacing w:val="-4"/>
        </w:rPr>
        <w:t> </w:t>
      </w:r>
      <w:r>
        <w:rPr/>
        <w:t>case</w:t>
      </w:r>
      <w:r>
        <w:rPr>
          <w:spacing w:val="-2"/>
        </w:rPr>
        <w:t> </w:t>
      </w:r>
      <w:r>
        <w:rPr/>
        <w:t>approach</w:t>
      </w:r>
      <w:r>
        <w:rPr>
          <w:spacing w:val="-6"/>
        </w:rPr>
        <w:t> </w:t>
      </w:r>
      <w:r>
        <w:rPr/>
        <w:t>was</w:t>
      </w:r>
      <w:r>
        <w:rPr>
          <w:spacing w:val="-2"/>
        </w:rPr>
        <w:t> </w:t>
      </w:r>
      <w:r>
        <w:rPr/>
        <w:t>first introduced</w:t>
      </w:r>
      <w:r>
        <w:rPr>
          <w:spacing w:val="-4"/>
        </w:rPr>
        <w:t> </w:t>
      </w:r>
      <w:r>
        <w:rPr/>
        <w:t>through</w:t>
      </w:r>
      <w:r>
        <w:rPr>
          <w:spacing w:val="-4"/>
        </w:rPr>
        <w:t> </w:t>
      </w:r>
      <w:r>
        <w:rPr/>
        <w:t>the </w:t>
      </w:r>
      <w:r>
        <w:rPr>
          <w:i/>
        </w:rPr>
        <w:t>Gas</w:t>
      </w:r>
      <w:r>
        <w:rPr>
          <w:i/>
          <w:spacing w:val="-1"/>
        </w:rPr>
        <w:t> </w:t>
      </w:r>
      <w:r>
        <w:rPr>
          <w:i/>
        </w:rPr>
        <w:t>Safety</w:t>
      </w:r>
      <w:r>
        <w:rPr>
          <w:i/>
          <w:spacing w:val="-4"/>
        </w:rPr>
        <w:t> </w:t>
      </w:r>
      <w:r>
        <w:rPr>
          <w:i/>
        </w:rPr>
        <w:t>Act</w:t>
      </w:r>
      <w:r>
        <w:rPr>
          <w:i/>
          <w:spacing w:val="-1"/>
        </w:rPr>
        <w:t> </w:t>
      </w:r>
      <w:r>
        <w:rPr/>
        <w:t>in 1997 it was presented as a form of “light handed” regulation. Even though international practice over the past two decades has seen increasing adoption of the safety case approach, experience has demonstrated</w:t>
      </w:r>
      <w:r>
        <w:rPr>
          <w:spacing w:val="-1"/>
        </w:rPr>
        <w:t> </w:t>
      </w:r>
      <w:r>
        <w:rPr/>
        <w:t>that a</w:t>
      </w:r>
      <w:r>
        <w:rPr>
          <w:spacing w:val="-3"/>
        </w:rPr>
        <w:t> </w:t>
      </w:r>
      <w:r>
        <w:rPr/>
        <w:t>robust safety</w:t>
      </w:r>
      <w:r>
        <w:rPr>
          <w:spacing w:val="-1"/>
        </w:rPr>
        <w:t> </w:t>
      </w:r>
      <w:r>
        <w:rPr/>
        <w:t>case</w:t>
      </w:r>
      <w:r>
        <w:rPr>
          <w:spacing w:val="-1"/>
        </w:rPr>
        <w:t> </w:t>
      </w:r>
      <w:r>
        <w:rPr/>
        <w:t>system requires</w:t>
      </w:r>
      <w:r>
        <w:rPr>
          <w:spacing w:val="-1"/>
        </w:rPr>
        <w:t> </w:t>
      </w:r>
      <w:r>
        <w:rPr/>
        <w:t>strong “hands</w:t>
      </w:r>
      <w:r>
        <w:rPr>
          <w:spacing w:val="-1"/>
        </w:rPr>
        <w:t> </w:t>
      </w:r>
      <w:r>
        <w:rPr/>
        <w:t>on” engagement by</w:t>
      </w:r>
      <w:r>
        <w:rPr>
          <w:spacing w:val="-3"/>
        </w:rPr>
        <w:t> </w:t>
      </w:r>
      <w:r>
        <w:rPr/>
        <w:t>the regulator. Rigorous and highly active audit and inspection programs sit at the very heart of an effective safety case system.</w:t>
      </w:r>
    </w:p>
    <w:p>
      <w:pPr>
        <w:spacing w:after="0" w:line="288" w:lineRule="auto"/>
        <w:sectPr>
          <w:pgSz w:w="11910" w:h="16850"/>
          <w:pgMar w:header="465" w:footer="880" w:top="660" w:bottom="1060" w:left="840" w:right="820"/>
        </w:sectPr>
      </w:pPr>
    </w:p>
    <w:p>
      <w:pPr>
        <w:pStyle w:val="BodyText"/>
        <w:rPr>
          <w:sz w:val="20"/>
        </w:rPr>
      </w:pPr>
    </w:p>
    <w:p>
      <w:pPr>
        <w:pStyle w:val="BodyText"/>
        <w:rPr>
          <w:sz w:val="20"/>
        </w:rPr>
      </w:pPr>
    </w:p>
    <w:p>
      <w:pPr>
        <w:pStyle w:val="BodyText"/>
        <w:spacing w:before="4"/>
      </w:pPr>
    </w:p>
    <w:p>
      <w:pPr>
        <w:pStyle w:val="BodyText"/>
        <w:spacing w:line="288" w:lineRule="auto"/>
        <w:ind w:left="292" w:right="374"/>
      </w:pPr>
      <w:r>
        <w:rPr/>
        <w:t>Consistent with the broad directions set out in ESV's most recent Corporate Plan, there needs to be</w:t>
      </w:r>
      <w:r>
        <w:rPr>
          <w:spacing w:val="-2"/>
        </w:rPr>
        <w:t> </w:t>
      </w:r>
      <w:r>
        <w:rPr/>
        <w:t>a</w:t>
      </w:r>
      <w:r>
        <w:rPr>
          <w:spacing w:val="-2"/>
        </w:rPr>
        <w:t> </w:t>
      </w:r>
      <w:r>
        <w:rPr/>
        <w:t>substantial</w:t>
      </w:r>
      <w:r>
        <w:rPr>
          <w:spacing w:val="-3"/>
        </w:rPr>
        <w:t> </w:t>
      </w:r>
      <w:r>
        <w:rPr/>
        <w:t>increase</w:t>
      </w:r>
      <w:r>
        <w:rPr>
          <w:spacing w:val="-4"/>
        </w:rPr>
        <w:t> </w:t>
      </w:r>
      <w:r>
        <w:rPr/>
        <w:t>in</w:t>
      </w:r>
      <w:r>
        <w:rPr>
          <w:spacing w:val="-2"/>
        </w:rPr>
        <w:t> </w:t>
      </w:r>
      <w:r>
        <w:rPr/>
        <w:t>ESV's</w:t>
      </w:r>
      <w:r>
        <w:rPr>
          <w:spacing w:val="-1"/>
        </w:rPr>
        <w:t> </w:t>
      </w:r>
      <w:r>
        <w:rPr/>
        <w:t>inspection</w:t>
      </w:r>
      <w:r>
        <w:rPr>
          <w:spacing w:val="-2"/>
        </w:rPr>
        <w:t> </w:t>
      </w:r>
      <w:r>
        <w:rPr/>
        <w:t>and</w:t>
      </w:r>
      <w:r>
        <w:rPr>
          <w:spacing w:val="-6"/>
        </w:rPr>
        <w:t> </w:t>
      </w:r>
      <w:r>
        <w:rPr/>
        <w:t>audit activity. More inspectors</w:t>
      </w:r>
      <w:r>
        <w:rPr>
          <w:spacing w:val="-4"/>
        </w:rPr>
        <w:t> </w:t>
      </w:r>
      <w:r>
        <w:rPr/>
        <w:t>need</w:t>
      </w:r>
      <w:r>
        <w:rPr>
          <w:spacing w:val="-3"/>
        </w:rPr>
        <w:t> </w:t>
      </w:r>
      <w:r>
        <w:rPr/>
        <w:t>to</w:t>
      </w:r>
      <w:r>
        <w:rPr>
          <w:spacing w:val="-4"/>
        </w:rPr>
        <w:t> </w:t>
      </w:r>
      <w:r>
        <w:rPr/>
        <w:t>be</w:t>
      </w:r>
      <w:r>
        <w:rPr>
          <w:spacing w:val="-2"/>
        </w:rPr>
        <w:t> </w:t>
      </w:r>
      <w:r>
        <w:rPr/>
        <w:t>out in the field and they need to be administering an expanded audit program that strongly implements the ESV goal to “test, challenge and expose”.</w:t>
      </w:r>
    </w:p>
    <w:p>
      <w:pPr>
        <w:pStyle w:val="BodyText"/>
        <w:spacing w:before="11"/>
        <w:rPr>
          <w:sz w:val="20"/>
        </w:rPr>
      </w:pPr>
    </w:p>
    <w:p>
      <w:pPr>
        <w:pStyle w:val="BodyText"/>
        <w:spacing w:line="288" w:lineRule="auto"/>
        <w:ind w:left="292" w:right="506"/>
      </w:pPr>
      <w:r>
        <w:rPr/>
        <w:t>Behind</w:t>
      </w:r>
      <w:r>
        <w:rPr>
          <w:spacing w:val="-3"/>
        </w:rPr>
        <w:t> </w:t>
      </w:r>
      <w:r>
        <w:rPr/>
        <w:t>the</w:t>
      </w:r>
      <w:r>
        <w:rPr>
          <w:spacing w:val="-3"/>
        </w:rPr>
        <w:t> </w:t>
      </w:r>
      <w:r>
        <w:rPr/>
        <w:t>scenes</w:t>
      </w:r>
      <w:r>
        <w:rPr>
          <w:spacing w:val="-3"/>
        </w:rPr>
        <w:t> </w:t>
      </w:r>
      <w:r>
        <w:rPr/>
        <w:t>ESV</w:t>
      </w:r>
      <w:r>
        <w:rPr>
          <w:spacing w:val="-5"/>
        </w:rPr>
        <w:t> </w:t>
      </w:r>
      <w:r>
        <w:rPr/>
        <w:t>needs</w:t>
      </w:r>
      <w:r>
        <w:rPr>
          <w:spacing w:val="-2"/>
        </w:rPr>
        <w:t> </w:t>
      </w:r>
      <w:r>
        <w:rPr/>
        <w:t>to</w:t>
      </w:r>
      <w:r>
        <w:rPr>
          <w:spacing w:val="-5"/>
        </w:rPr>
        <w:t> </w:t>
      </w:r>
      <w:r>
        <w:rPr/>
        <w:t>develop</w:t>
      </w:r>
      <w:r>
        <w:rPr>
          <w:spacing w:val="-3"/>
        </w:rPr>
        <w:t> </w:t>
      </w:r>
      <w:r>
        <w:rPr/>
        <w:t>significantly</w:t>
      </w:r>
      <w:r>
        <w:rPr>
          <w:spacing w:val="-5"/>
        </w:rPr>
        <w:t> </w:t>
      </w:r>
      <w:r>
        <w:rPr/>
        <w:t>stronger</w:t>
      </w:r>
      <w:r>
        <w:rPr>
          <w:spacing w:val="-2"/>
        </w:rPr>
        <w:t> </w:t>
      </w:r>
      <w:r>
        <w:rPr/>
        <w:t>analytical</w:t>
      </w:r>
      <w:r>
        <w:rPr>
          <w:spacing w:val="-4"/>
        </w:rPr>
        <w:t> </w:t>
      </w:r>
      <w:r>
        <w:rPr/>
        <w:t>capabilities for</w:t>
      </w:r>
      <w:r>
        <w:rPr>
          <w:spacing w:val="-4"/>
        </w:rPr>
        <w:t> </w:t>
      </w:r>
      <w:r>
        <w:rPr/>
        <w:t>effective risk-based regulation. Good progress has recently been made in developing more robust approaches to collecting and managing data, but much more needs to be done.</w:t>
      </w:r>
    </w:p>
    <w:p>
      <w:pPr>
        <w:pStyle w:val="BodyText"/>
        <w:spacing w:before="9"/>
        <w:rPr>
          <w:sz w:val="20"/>
        </w:rPr>
      </w:pPr>
    </w:p>
    <w:p>
      <w:pPr>
        <w:pStyle w:val="BodyText"/>
        <w:spacing w:line="288" w:lineRule="auto"/>
        <w:ind w:left="292" w:right="312"/>
      </w:pPr>
      <w:r>
        <w:rPr/>
        <w:t>The Victorian Bushfires Royal Commission highlighted the importance of ESV developing stronger analytical capacities to determine whether safety risks were improving or deteriorating. ESV still</w:t>
      </w:r>
      <w:r>
        <w:rPr/>
        <w:t> has more to do before it has the required capabilities in place. At this stage, ESV does not have</w:t>
      </w:r>
      <w:r>
        <w:rPr>
          <w:spacing w:val="40"/>
        </w:rPr>
        <w:t> </w:t>
      </w:r>
      <w:r>
        <w:rPr/>
        <w:t>the</w:t>
      </w:r>
      <w:r>
        <w:rPr>
          <w:spacing w:val="-2"/>
        </w:rPr>
        <w:t> </w:t>
      </w:r>
      <w:r>
        <w:rPr/>
        <w:t>data</w:t>
      </w:r>
      <w:r>
        <w:rPr>
          <w:spacing w:val="-2"/>
        </w:rPr>
        <w:t> </w:t>
      </w:r>
      <w:r>
        <w:rPr/>
        <w:t>analysis</w:t>
      </w:r>
      <w:r>
        <w:rPr>
          <w:spacing w:val="-1"/>
        </w:rPr>
        <w:t> </w:t>
      </w:r>
      <w:r>
        <w:rPr/>
        <w:t>capabilities</w:t>
      </w:r>
      <w:r>
        <w:rPr>
          <w:spacing w:val="-2"/>
        </w:rPr>
        <w:t> </w:t>
      </w:r>
      <w:r>
        <w:rPr/>
        <w:t>to</w:t>
      </w:r>
      <w:r>
        <w:rPr>
          <w:spacing w:val="-4"/>
        </w:rPr>
        <w:t> </w:t>
      </w:r>
      <w:r>
        <w:rPr/>
        <w:t>make</w:t>
      </w:r>
      <w:r>
        <w:rPr>
          <w:spacing w:val="-4"/>
        </w:rPr>
        <w:t> </w:t>
      </w:r>
      <w:r>
        <w:rPr/>
        <w:t>statistically</w:t>
      </w:r>
      <w:r>
        <w:rPr>
          <w:spacing w:val="-2"/>
        </w:rPr>
        <w:t> </w:t>
      </w:r>
      <w:r>
        <w:rPr/>
        <w:t>robust</w:t>
      </w:r>
      <w:r>
        <w:rPr>
          <w:spacing w:val="-3"/>
        </w:rPr>
        <w:t> </w:t>
      </w:r>
      <w:r>
        <w:rPr/>
        <w:t>judgements</w:t>
      </w:r>
      <w:r>
        <w:rPr>
          <w:spacing w:val="-1"/>
        </w:rPr>
        <w:t> </w:t>
      </w:r>
      <w:r>
        <w:rPr/>
        <w:t>around</w:t>
      </w:r>
      <w:r>
        <w:rPr>
          <w:spacing w:val="-2"/>
        </w:rPr>
        <w:t> </w:t>
      </w:r>
      <w:r>
        <w:rPr/>
        <w:t>changes</w:t>
      </w:r>
      <w:r>
        <w:rPr>
          <w:spacing w:val="-2"/>
        </w:rPr>
        <w:t> </w:t>
      </w:r>
      <w:r>
        <w:rPr/>
        <w:t>in</w:t>
      </w:r>
      <w:r>
        <w:rPr>
          <w:spacing w:val="-4"/>
        </w:rPr>
        <w:t> </w:t>
      </w:r>
      <w:r>
        <w:rPr/>
        <w:t>the</w:t>
      </w:r>
      <w:r>
        <w:rPr>
          <w:spacing w:val="-4"/>
        </w:rPr>
        <w:t> </w:t>
      </w:r>
      <w:r>
        <w:rPr/>
        <w:t>level</w:t>
      </w:r>
      <w:r>
        <w:rPr>
          <w:spacing w:val="-2"/>
        </w:rPr>
        <w:t> </w:t>
      </w:r>
      <w:r>
        <w:rPr/>
        <w:t>of bushfire risk. Addressing this gap should be a high priority. Similarly, there needs to be investment in developing more mature, integrated surveillance systems to inform compliance activities and target audit and inspection programs.</w:t>
      </w:r>
    </w:p>
    <w:p>
      <w:pPr>
        <w:pStyle w:val="BodyText"/>
        <w:rPr>
          <w:sz w:val="21"/>
        </w:rPr>
      </w:pPr>
    </w:p>
    <w:p>
      <w:pPr>
        <w:pStyle w:val="BodyText"/>
        <w:spacing w:line="288" w:lineRule="auto"/>
        <w:ind w:left="292" w:right="311"/>
      </w:pPr>
      <w:r>
        <w:rPr/>
        <w:t>ESV has established a broad reputation for working constructively with the businesses that it regulates.</w:t>
      </w:r>
      <w:r>
        <w:rPr>
          <w:spacing w:val="-5"/>
        </w:rPr>
        <w:t> </w:t>
      </w:r>
      <w:r>
        <w:rPr/>
        <w:t>The</w:t>
      </w:r>
      <w:r>
        <w:rPr>
          <w:spacing w:val="-2"/>
        </w:rPr>
        <w:t> </w:t>
      </w:r>
      <w:r>
        <w:rPr/>
        <w:t>Review</w:t>
      </w:r>
      <w:r>
        <w:rPr>
          <w:spacing w:val="-5"/>
        </w:rPr>
        <w:t> </w:t>
      </w:r>
      <w:r>
        <w:rPr/>
        <w:t>sees</w:t>
      </w:r>
      <w:r>
        <w:rPr>
          <w:spacing w:val="-1"/>
        </w:rPr>
        <w:t> </w:t>
      </w:r>
      <w:r>
        <w:rPr/>
        <w:t>this</w:t>
      </w:r>
      <w:r>
        <w:rPr>
          <w:spacing w:val="-4"/>
        </w:rPr>
        <w:t> </w:t>
      </w:r>
      <w:r>
        <w:rPr/>
        <w:t>as</w:t>
      </w:r>
      <w:r>
        <w:rPr>
          <w:spacing w:val="-2"/>
        </w:rPr>
        <w:t> </w:t>
      </w:r>
      <w:r>
        <w:rPr/>
        <w:t>a</w:t>
      </w:r>
      <w:r>
        <w:rPr>
          <w:spacing w:val="-4"/>
        </w:rPr>
        <w:t> </w:t>
      </w:r>
      <w:r>
        <w:rPr/>
        <w:t>strength</w:t>
      </w:r>
      <w:r>
        <w:rPr>
          <w:spacing w:val="-3"/>
        </w:rPr>
        <w:t> </w:t>
      </w:r>
      <w:r>
        <w:rPr/>
        <w:t>that</w:t>
      </w:r>
      <w:r>
        <w:rPr>
          <w:spacing w:val="-1"/>
        </w:rPr>
        <w:t> </w:t>
      </w:r>
      <w:r>
        <w:rPr/>
        <w:t>should</w:t>
      </w:r>
      <w:r>
        <w:rPr>
          <w:spacing w:val="-2"/>
        </w:rPr>
        <w:t> </w:t>
      </w:r>
      <w:r>
        <w:rPr/>
        <w:t>be</w:t>
      </w:r>
      <w:r>
        <w:rPr>
          <w:spacing w:val="-6"/>
        </w:rPr>
        <w:t> </w:t>
      </w:r>
      <w:r>
        <w:rPr/>
        <w:t>maintained.</w:t>
      </w:r>
      <w:r>
        <w:rPr>
          <w:spacing w:val="-3"/>
        </w:rPr>
        <w:t> </w:t>
      </w:r>
      <w:r>
        <w:rPr/>
        <w:t>However, in</w:t>
      </w:r>
      <w:r>
        <w:rPr>
          <w:spacing w:val="-4"/>
        </w:rPr>
        <w:t> </w:t>
      </w:r>
      <w:r>
        <w:rPr/>
        <w:t>maintaining this strength, ESV has been less effective in developing a similar external reputation for being prepared to take stronger compliance actions.</w:t>
      </w:r>
    </w:p>
    <w:p>
      <w:pPr>
        <w:pStyle w:val="BodyText"/>
        <w:spacing w:before="10"/>
        <w:rPr>
          <w:sz w:val="20"/>
        </w:rPr>
      </w:pPr>
    </w:p>
    <w:p>
      <w:pPr>
        <w:pStyle w:val="BodyText"/>
        <w:spacing w:line="288" w:lineRule="auto"/>
        <w:ind w:left="292" w:right="333"/>
      </w:pPr>
      <w:r>
        <w:rPr/>
        <w:t>In its most recent Corporate Plan, ESV has signalled an intention to refine its “responsive regulation</w:t>
      </w:r>
      <w:r>
        <w:rPr>
          <w:spacing w:val="-2"/>
        </w:rPr>
        <w:t> </w:t>
      </w:r>
      <w:r>
        <w:rPr/>
        <w:t>approach”</w:t>
      </w:r>
      <w:r>
        <w:rPr>
          <w:spacing w:val="-3"/>
        </w:rPr>
        <w:t> </w:t>
      </w:r>
      <w:r>
        <w:rPr/>
        <w:t>and</w:t>
      </w:r>
      <w:r>
        <w:rPr>
          <w:spacing w:val="-4"/>
        </w:rPr>
        <w:t> </w:t>
      </w:r>
      <w:r>
        <w:rPr/>
        <w:t>adopt</w:t>
      </w:r>
      <w:r>
        <w:rPr>
          <w:spacing w:val="-3"/>
        </w:rPr>
        <w:t> </w:t>
      </w:r>
      <w:r>
        <w:rPr/>
        <w:t>a</w:t>
      </w:r>
      <w:r>
        <w:rPr>
          <w:spacing w:val="-4"/>
        </w:rPr>
        <w:t> </w:t>
      </w:r>
      <w:r>
        <w:rPr/>
        <w:t>more</w:t>
      </w:r>
      <w:r>
        <w:rPr>
          <w:spacing w:val="-4"/>
        </w:rPr>
        <w:t> </w:t>
      </w:r>
      <w:r>
        <w:rPr/>
        <w:t>robust</w:t>
      </w:r>
      <w:r>
        <w:rPr>
          <w:spacing w:val="-3"/>
        </w:rPr>
        <w:t> </w:t>
      </w:r>
      <w:r>
        <w:rPr/>
        <w:t>approach</w:t>
      </w:r>
      <w:r>
        <w:rPr>
          <w:spacing w:val="-4"/>
        </w:rPr>
        <w:t> </w:t>
      </w:r>
      <w:r>
        <w:rPr/>
        <w:t>to</w:t>
      </w:r>
      <w:r>
        <w:rPr>
          <w:spacing w:val="-2"/>
        </w:rPr>
        <w:t> </w:t>
      </w:r>
      <w:r>
        <w:rPr/>
        <w:t>“serious</w:t>
      </w:r>
      <w:r>
        <w:rPr>
          <w:spacing w:val="-4"/>
        </w:rPr>
        <w:t> </w:t>
      </w:r>
      <w:r>
        <w:rPr/>
        <w:t>non-compliances”.</w:t>
      </w:r>
      <w:r>
        <w:rPr>
          <w:spacing w:val="-5"/>
        </w:rPr>
        <w:t> </w:t>
      </w:r>
      <w:r>
        <w:rPr/>
        <w:t>The</w:t>
      </w:r>
      <w:r>
        <w:rPr>
          <w:spacing w:val="-2"/>
        </w:rPr>
        <w:t> </w:t>
      </w:r>
      <w:r>
        <w:rPr/>
        <w:t>Review considers this to be a high priority – ESV needs to have the approach of a confident and independent regulator that is prepared to take strong action when required, grounded in law.</w:t>
      </w:r>
    </w:p>
    <w:p>
      <w:pPr>
        <w:pStyle w:val="BodyText"/>
        <w:spacing w:before="11"/>
        <w:rPr>
          <w:sz w:val="20"/>
        </w:rPr>
      </w:pPr>
    </w:p>
    <w:p>
      <w:pPr>
        <w:pStyle w:val="BodyText"/>
        <w:spacing w:line="288" w:lineRule="auto"/>
        <w:ind w:left="292" w:right="374"/>
      </w:pPr>
      <w:r>
        <w:rPr/>
        <w:t>As part of</w:t>
      </w:r>
      <w:r>
        <w:rPr>
          <w:spacing w:val="-2"/>
        </w:rPr>
        <w:t> </w:t>
      </w:r>
      <w:r>
        <w:rPr/>
        <w:t>this,</w:t>
      </w:r>
      <w:r>
        <w:rPr>
          <w:spacing w:val="-2"/>
        </w:rPr>
        <w:t> </w:t>
      </w:r>
      <w:r>
        <w:rPr/>
        <w:t>ESV</w:t>
      </w:r>
      <w:r>
        <w:rPr>
          <w:spacing w:val="-1"/>
        </w:rPr>
        <w:t> </w:t>
      </w:r>
      <w:r>
        <w:rPr/>
        <w:t>needs</w:t>
      </w:r>
      <w:r>
        <w:rPr>
          <w:spacing w:val="-1"/>
        </w:rPr>
        <w:t> </w:t>
      </w:r>
      <w:r>
        <w:rPr/>
        <w:t>to</w:t>
      </w:r>
      <w:r>
        <w:rPr>
          <w:spacing w:val="-3"/>
        </w:rPr>
        <w:t> </w:t>
      </w:r>
      <w:r>
        <w:rPr/>
        <w:t>maintain</w:t>
      </w:r>
      <w:r>
        <w:rPr>
          <w:spacing w:val="-1"/>
        </w:rPr>
        <w:t> </w:t>
      </w:r>
      <w:r>
        <w:rPr/>
        <w:t>the</w:t>
      </w:r>
      <w:r>
        <w:rPr>
          <w:spacing w:val="-3"/>
        </w:rPr>
        <w:t> </w:t>
      </w:r>
      <w:r>
        <w:rPr/>
        <w:t>capabilities</w:t>
      </w:r>
      <w:r>
        <w:rPr>
          <w:spacing w:val="-1"/>
        </w:rPr>
        <w:t> </w:t>
      </w:r>
      <w:r>
        <w:rPr/>
        <w:t>necessary</w:t>
      </w:r>
      <w:r>
        <w:rPr>
          <w:spacing w:val="-3"/>
        </w:rPr>
        <w:t> </w:t>
      </w:r>
      <w:r>
        <w:rPr/>
        <w:t>to</w:t>
      </w:r>
      <w:r>
        <w:rPr>
          <w:spacing w:val="-3"/>
        </w:rPr>
        <w:t> </w:t>
      </w:r>
      <w:r>
        <w:rPr/>
        <w:t>successfully</w:t>
      </w:r>
      <w:r>
        <w:rPr>
          <w:spacing w:val="-3"/>
        </w:rPr>
        <w:t> </w:t>
      </w:r>
      <w:r>
        <w:rPr/>
        <w:t>launch</w:t>
      </w:r>
      <w:r>
        <w:rPr>
          <w:spacing w:val="-1"/>
        </w:rPr>
        <w:t> </w:t>
      </w:r>
      <w:r>
        <w:rPr/>
        <w:t>stronger actions, including prosecutions, if they become necessary. Maintaining such capabilities is a challenge</w:t>
      </w:r>
      <w:r>
        <w:rPr>
          <w:spacing w:val="-1"/>
        </w:rPr>
        <w:t> </w:t>
      </w:r>
      <w:r>
        <w:rPr/>
        <w:t>for any</w:t>
      </w:r>
      <w:r>
        <w:rPr>
          <w:spacing w:val="-1"/>
        </w:rPr>
        <w:t> </w:t>
      </w:r>
      <w:r>
        <w:rPr/>
        <w:t>small to medium-sized regulator like</w:t>
      </w:r>
      <w:r>
        <w:rPr>
          <w:spacing w:val="-1"/>
        </w:rPr>
        <w:t> </w:t>
      </w:r>
      <w:r>
        <w:rPr/>
        <w:t>ESV, particularly</w:t>
      </w:r>
      <w:r>
        <w:rPr>
          <w:spacing w:val="-1"/>
        </w:rPr>
        <w:t> </w:t>
      </w:r>
      <w:r>
        <w:rPr/>
        <w:t>when there</w:t>
      </w:r>
      <w:r>
        <w:rPr>
          <w:spacing w:val="-1"/>
        </w:rPr>
        <w:t> </w:t>
      </w:r>
      <w:r>
        <w:rPr/>
        <w:t>may</w:t>
      </w:r>
      <w:r>
        <w:rPr>
          <w:spacing w:val="-1"/>
        </w:rPr>
        <w:t> </w:t>
      </w:r>
      <w:r>
        <w:rPr/>
        <w:t>only</w:t>
      </w:r>
      <w:r>
        <w:rPr>
          <w:spacing w:val="-1"/>
        </w:rPr>
        <w:t> </w:t>
      </w:r>
      <w:r>
        <w:rPr/>
        <w:t>be the</w:t>
      </w:r>
      <w:r>
        <w:rPr>
          <w:spacing w:val="-3"/>
        </w:rPr>
        <w:t> </w:t>
      </w:r>
      <w:r>
        <w:rPr/>
        <w:t>occasional</w:t>
      </w:r>
      <w:r>
        <w:rPr>
          <w:spacing w:val="-4"/>
        </w:rPr>
        <w:t> </w:t>
      </w:r>
      <w:r>
        <w:rPr/>
        <w:t>need</w:t>
      </w:r>
      <w:r>
        <w:rPr>
          <w:spacing w:val="-5"/>
        </w:rPr>
        <w:t> </w:t>
      </w:r>
      <w:r>
        <w:rPr/>
        <w:t>for</w:t>
      </w:r>
      <w:r>
        <w:rPr>
          <w:spacing w:val="-4"/>
        </w:rPr>
        <w:t> </w:t>
      </w:r>
      <w:r>
        <w:rPr/>
        <w:t>such</w:t>
      </w:r>
      <w:r>
        <w:rPr>
          <w:spacing w:val="-3"/>
        </w:rPr>
        <w:t> </w:t>
      </w:r>
      <w:r>
        <w:rPr/>
        <w:t>action.</w:t>
      </w:r>
      <w:r>
        <w:rPr>
          <w:spacing w:val="-1"/>
        </w:rPr>
        <w:t> </w:t>
      </w:r>
      <w:r>
        <w:rPr/>
        <w:t>Consequently,</w:t>
      </w:r>
      <w:r>
        <w:rPr>
          <w:spacing w:val="-1"/>
        </w:rPr>
        <w:t> </w:t>
      </w:r>
      <w:r>
        <w:rPr/>
        <w:t>having</w:t>
      </w:r>
      <w:r>
        <w:rPr>
          <w:spacing w:val="-1"/>
        </w:rPr>
        <w:t> </w:t>
      </w:r>
      <w:r>
        <w:rPr/>
        <w:t>standing</w:t>
      </w:r>
      <w:r>
        <w:rPr>
          <w:spacing w:val="-3"/>
        </w:rPr>
        <w:t> </w:t>
      </w:r>
      <w:r>
        <w:rPr/>
        <w:t>arrangements</w:t>
      </w:r>
      <w:r>
        <w:rPr>
          <w:spacing w:val="-5"/>
        </w:rPr>
        <w:t> </w:t>
      </w:r>
      <w:r>
        <w:rPr/>
        <w:t>in</w:t>
      </w:r>
      <w:r>
        <w:rPr>
          <w:spacing w:val="-3"/>
        </w:rPr>
        <w:t> </w:t>
      </w:r>
      <w:r>
        <w:rPr/>
        <w:t>place</w:t>
      </w:r>
      <w:r>
        <w:rPr>
          <w:spacing w:val="-5"/>
        </w:rPr>
        <w:t> </w:t>
      </w:r>
      <w:r>
        <w:rPr/>
        <w:t>to</w:t>
      </w:r>
      <w:r>
        <w:rPr>
          <w:spacing w:val="-5"/>
        </w:rPr>
        <w:t> </w:t>
      </w:r>
      <w:r>
        <w:rPr/>
        <w:t>be able to effectively harness outside expertise and assistance is critical.</w:t>
      </w:r>
    </w:p>
    <w:p>
      <w:pPr>
        <w:pStyle w:val="BodyText"/>
        <w:spacing w:before="9"/>
        <w:rPr>
          <w:sz w:val="20"/>
        </w:rPr>
      </w:pPr>
    </w:p>
    <w:p>
      <w:pPr>
        <w:pStyle w:val="BodyText"/>
        <w:spacing w:line="288" w:lineRule="auto"/>
        <w:ind w:left="292" w:right="311"/>
      </w:pPr>
      <w:r>
        <w:rPr/>
        <w:t>In 2015 and 2016, ESV commissioned external advice on its regulatory practices from the consulting firm Advisian. In addition to identifying the need for ESV to develop deeper analytical capabilities and an integrated surveillance approach, Advisian recommended the development of strengthened strategic regulatory capabilities more generally. It also recommended the greater adoption of well-developed formal guidance, both internally for ESV itself, and externally to assist businesses</w:t>
      </w:r>
      <w:r>
        <w:rPr>
          <w:spacing w:val="-2"/>
        </w:rPr>
        <w:t> </w:t>
      </w:r>
      <w:r>
        <w:rPr/>
        <w:t>to</w:t>
      </w:r>
      <w:r>
        <w:rPr>
          <w:spacing w:val="-4"/>
        </w:rPr>
        <w:t> </w:t>
      </w:r>
      <w:r>
        <w:rPr/>
        <w:t>better</w:t>
      </w:r>
      <w:r>
        <w:rPr>
          <w:spacing w:val="-3"/>
        </w:rPr>
        <w:t> </w:t>
      </w:r>
      <w:r>
        <w:rPr/>
        <w:t>meet</w:t>
      </w:r>
      <w:r>
        <w:rPr>
          <w:spacing w:val="-1"/>
        </w:rPr>
        <w:t> </w:t>
      </w:r>
      <w:r>
        <w:rPr/>
        <w:t>ESV's</w:t>
      </w:r>
      <w:r>
        <w:rPr>
          <w:spacing w:val="-4"/>
        </w:rPr>
        <w:t> </w:t>
      </w:r>
      <w:r>
        <w:rPr/>
        <w:t>safety</w:t>
      </w:r>
      <w:r>
        <w:rPr>
          <w:spacing w:val="-3"/>
        </w:rPr>
        <w:t> </w:t>
      </w:r>
      <w:r>
        <w:rPr/>
        <w:t>case</w:t>
      </w:r>
      <w:r>
        <w:rPr>
          <w:spacing w:val="-4"/>
        </w:rPr>
        <w:t> </w:t>
      </w:r>
      <w:r>
        <w:rPr/>
        <w:t>requirements.</w:t>
      </w:r>
      <w:r>
        <w:rPr>
          <w:spacing w:val="-3"/>
        </w:rPr>
        <w:t> </w:t>
      </w:r>
      <w:r>
        <w:rPr/>
        <w:t>It emphasised,</w:t>
      </w:r>
      <w:r>
        <w:rPr>
          <w:spacing w:val="-3"/>
        </w:rPr>
        <w:t> </w:t>
      </w:r>
      <w:r>
        <w:rPr/>
        <w:t>moreover,</w:t>
      </w:r>
      <w:r>
        <w:rPr>
          <w:spacing w:val="-2"/>
        </w:rPr>
        <w:t> </w:t>
      </w:r>
      <w:r>
        <w:rPr/>
        <w:t>the</w:t>
      </w:r>
      <w:r>
        <w:rPr>
          <w:spacing w:val="-4"/>
        </w:rPr>
        <w:t> </w:t>
      </w:r>
      <w:r>
        <w:rPr/>
        <w:t>need</w:t>
      </w:r>
      <w:r>
        <w:rPr>
          <w:spacing w:val="-7"/>
        </w:rPr>
        <w:t> </w:t>
      </w:r>
      <w:r>
        <w:rPr/>
        <w:t>for quality management systems to support team decision making.</w:t>
      </w:r>
    </w:p>
    <w:p>
      <w:pPr>
        <w:pStyle w:val="BodyText"/>
        <w:spacing w:before="9"/>
        <w:rPr>
          <w:sz w:val="20"/>
        </w:rPr>
      </w:pPr>
    </w:p>
    <w:p>
      <w:pPr>
        <w:pStyle w:val="BodyText"/>
        <w:spacing w:line="288" w:lineRule="auto" w:before="1"/>
        <w:ind w:left="292"/>
      </w:pPr>
      <w:r>
        <w:rPr/>
        <w:t>The</w:t>
      </w:r>
      <w:r>
        <w:rPr>
          <w:spacing w:val="-4"/>
        </w:rPr>
        <w:t> </w:t>
      </w:r>
      <w:r>
        <w:rPr/>
        <w:t>recommendations</w:t>
      </w:r>
      <w:r>
        <w:rPr>
          <w:spacing w:val="-1"/>
        </w:rPr>
        <w:t> </w:t>
      </w:r>
      <w:r>
        <w:rPr/>
        <w:t>of</w:t>
      </w:r>
      <w:r>
        <w:rPr>
          <w:spacing w:val="-3"/>
        </w:rPr>
        <w:t> </w:t>
      </w:r>
      <w:r>
        <w:rPr/>
        <w:t>the</w:t>
      </w:r>
      <w:r>
        <w:rPr>
          <w:spacing w:val="-4"/>
        </w:rPr>
        <w:t> </w:t>
      </w:r>
      <w:r>
        <w:rPr/>
        <w:t>Advisian</w:t>
      </w:r>
      <w:r>
        <w:rPr>
          <w:spacing w:val="-2"/>
        </w:rPr>
        <w:t> </w:t>
      </w:r>
      <w:r>
        <w:rPr/>
        <w:t>reports</w:t>
      </w:r>
      <w:r>
        <w:rPr>
          <w:spacing w:val="-4"/>
        </w:rPr>
        <w:t> </w:t>
      </w:r>
      <w:r>
        <w:rPr/>
        <w:t>provide</w:t>
      </w:r>
      <w:r>
        <w:rPr>
          <w:spacing w:val="-2"/>
        </w:rPr>
        <w:t> </w:t>
      </w:r>
      <w:r>
        <w:rPr/>
        <w:t>a</w:t>
      </w:r>
      <w:r>
        <w:rPr>
          <w:spacing w:val="-2"/>
        </w:rPr>
        <w:t> </w:t>
      </w:r>
      <w:r>
        <w:rPr/>
        <w:t>useful</w:t>
      </w:r>
      <w:r>
        <w:rPr>
          <w:spacing w:val="-3"/>
        </w:rPr>
        <w:t> </w:t>
      </w:r>
      <w:r>
        <w:rPr/>
        <w:t>reference</w:t>
      </w:r>
      <w:r>
        <w:rPr>
          <w:spacing w:val="-2"/>
        </w:rPr>
        <w:t> </w:t>
      </w:r>
      <w:r>
        <w:rPr/>
        <w:t>point</w:t>
      </w:r>
      <w:r>
        <w:rPr>
          <w:spacing w:val="-3"/>
        </w:rPr>
        <w:t> </w:t>
      </w:r>
      <w:r>
        <w:rPr/>
        <w:t>for</w:t>
      </w:r>
      <w:r>
        <w:rPr>
          <w:spacing w:val="-3"/>
        </w:rPr>
        <w:t> </w:t>
      </w:r>
      <w:r>
        <w:rPr/>
        <w:t>the</w:t>
      </w:r>
      <w:r>
        <w:rPr>
          <w:spacing w:val="-4"/>
        </w:rPr>
        <w:t> </w:t>
      </w:r>
      <w:r>
        <w:rPr/>
        <w:t>changes</w:t>
      </w:r>
      <w:r>
        <w:rPr>
          <w:spacing w:val="-4"/>
        </w:rPr>
        <w:t> </w:t>
      </w:r>
      <w:r>
        <w:rPr/>
        <w:t>that ESV needs to make to strengthen its regulatory systems and approach.</w:t>
      </w:r>
    </w:p>
    <w:p>
      <w:pPr>
        <w:pStyle w:val="BodyText"/>
        <w:spacing w:before="9"/>
        <w:rPr>
          <w:sz w:val="20"/>
        </w:rPr>
      </w:pPr>
    </w:p>
    <w:p>
      <w:pPr>
        <w:pStyle w:val="BodyText"/>
        <w:spacing w:line="288" w:lineRule="auto" w:before="1"/>
        <w:ind w:left="292" w:right="311"/>
      </w:pPr>
      <w:r>
        <w:rPr/>
        <w:t>The</w:t>
      </w:r>
      <w:r>
        <w:rPr>
          <w:spacing w:val="-3"/>
        </w:rPr>
        <w:t> </w:t>
      </w:r>
      <w:r>
        <w:rPr/>
        <w:t>Review</w:t>
      </w:r>
      <w:r>
        <w:rPr>
          <w:spacing w:val="-4"/>
        </w:rPr>
        <w:t> </w:t>
      </w:r>
      <w:r>
        <w:rPr/>
        <w:t>has also</w:t>
      </w:r>
      <w:r>
        <w:rPr>
          <w:spacing w:val="-1"/>
        </w:rPr>
        <w:t> </w:t>
      </w:r>
      <w:r>
        <w:rPr/>
        <w:t>considered</w:t>
      </w:r>
      <w:r>
        <w:rPr>
          <w:spacing w:val="-1"/>
        </w:rPr>
        <w:t> </w:t>
      </w:r>
      <w:r>
        <w:rPr/>
        <w:t>the</w:t>
      </w:r>
      <w:r>
        <w:rPr>
          <w:spacing w:val="-3"/>
        </w:rPr>
        <w:t> </w:t>
      </w:r>
      <w:r>
        <w:rPr/>
        <w:t>regulatory</w:t>
      </w:r>
      <w:r>
        <w:rPr>
          <w:spacing w:val="-2"/>
        </w:rPr>
        <w:t> </w:t>
      </w:r>
      <w:r>
        <w:rPr/>
        <w:t>tools that</w:t>
      </w:r>
      <w:r>
        <w:rPr>
          <w:spacing w:val="-2"/>
        </w:rPr>
        <w:t> </w:t>
      </w:r>
      <w:r>
        <w:rPr/>
        <w:t>ESV</w:t>
      </w:r>
      <w:r>
        <w:rPr>
          <w:spacing w:val="-1"/>
        </w:rPr>
        <w:t> </w:t>
      </w:r>
      <w:r>
        <w:rPr/>
        <w:t>has</w:t>
      </w:r>
      <w:r>
        <w:rPr>
          <w:spacing w:val="-3"/>
        </w:rPr>
        <w:t> </w:t>
      </w:r>
      <w:r>
        <w:rPr/>
        <w:t>available</w:t>
      </w:r>
      <w:r>
        <w:rPr>
          <w:spacing w:val="-1"/>
        </w:rPr>
        <w:t> </w:t>
      </w:r>
      <w:r>
        <w:rPr/>
        <w:t>to</w:t>
      </w:r>
      <w:r>
        <w:rPr>
          <w:spacing w:val="-1"/>
        </w:rPr>
        <w:t> </w:t>
      </w:r>
      <w:r>
        <w:rPr/>
        <w:t>it</w:t>
      </w:r>
      <w:r>
        <w:rPr>
          <w:spacing w:val="-2"/>
        </w:rPr>
        <w:t> </w:t>
      </w:r>
      <w:r>
        <w:rPr/>
        <w:t>under</w:t>
      </w:r>
      <w:r>
        <w:rPr>
          <w:spacing w:val="-4"/>
        </w:rPr>
        <w:t> </w:t>
      </w:r>
      <w:r>
        <w:rPr/>
        <w:t>the</w:t>
      </w:r>
      <w:r>
        <w:rPr>
          <w:spacing w:val="-3"/>
        </w:rPr>
        <w:t> </w:t>
      </w:r>
      <w:r>
        <w:rPr/>
        <w:t>relevant safety legislation. ESV currently has most of the tools necessary</w:t>
      </w:r>
      <w:r>
        <w:rPr>
          <w:spacing w:val="-1"/>
        </w:rPr>
        <w:t> </w:t>
      </w:r>
      <w:r>
        <w:rPr/>
        <w:t>to facilitate a</w:t>
      </w:r>
      <w:r>
        <w:rPr>
          <w:spacing w:val="-1"/>
        </w:rPr>
        <w:t> </w:t>
      </w:r>
      <w:r>
        <w:rPr/>
        <w:t>graduated approach to compliance and enforcement, allowing ESV to adopt “lighter touch” measures when this is appropriate, but to escalate to stronger interventions in the case of more serious noncompliance.</w:t>
      </w:r>
    </w:p>
    <w:p>
      <w:pPr>
        <w:spacing w:after="0" w:line="288" w:lineRule="auto"/>
        <w:sectPr>
          <w:pgSz w:w="11910" w:h="16850"/>
          <w:pgMar w:header="465" w:footer="880" w:top="660" w:bottom="1060" w:left="840" w:right="820"/>
        </w:sectPr>
      </w:pPr>
    </w:p>
    <w:p>
      <w:pPr>
        <w:pStyle w:val="BodyText"/>
        <w:rPr>
          <w:sz w:val="20"/>
        </w:rPr>
      </w:pPr>
    </w:p>
    <w:p>
      <w:pPr>
        <w:pStyle w:val="BodyText"/>
        <w:rPr>
          <w:sz w:val="20"/>
        </w:rPr>
      </w:pPr>
    </w:p>
    <w:p>
      <w:pPr>
        <w:pStyle w:val="BodyText"/>
        <w:spacing w:before="4"/>
      </w:pPr>
    </w:p>
    <w:p>
      <w:pPr>
        <w:pStyle w:val="BodyText"/>
        <w:spacing w:line="288" w:lineRule="auto"/>
        <w:ind w:left="292" w:right="311"/>
      </w:pPr>
      <w:r>
        <w:rPr/>
        <w:t>However, the</w:t>
      </w:r>
      <w:r>
        <w:rPr>
          <w:spacing w:val="-2"/>
        </w:rPr>
        <w:t> </w:t>
      </w:r>
      <w:r>
        <w:rPr/>
        <w:t>Review</w:t>
      </w:r>
      <w:r>
        <w:rPr>
          <w:spacing w:val="-5"/>
        </w:rPr>
        <w:t> </w:t>
      </w:r>
      <w:r>
        <w:rPr/>
        <w:t>has</w:t>
      </w:r>
      <w:r>
        <w:rPr>
          <w:spacing w:val="-1"/>
        </w:rPr>
        <w:t> </w:t>
      </w:r>
      <w:r>
        <w:rPr/>
        <w:t>identified</w:t>
      </w:r>
      <w:r>
        <w:rPr>
          <w:spacing w:val="-4"/>
        </w:rPr>
        <w:t> </w:t>
      </w:r>
      <w:r>
        <w:rPr/>
        <w:t>that</w:t>
      </w:r>
      <w:r>
        <w:rPr>
          <w:spacing w:val="-3"/>
        </w:rPr>
        <w:t> </w:t>
      </w:r>
      <w:r>
        <w:rPr/>
        <w:t>ESV</w:t>
      </w:r>
      <w:r>
        <w:rPr>
          <w:spacing w:val="-2"/>
        </w:rPr>
        <w:t> </w:t>
      </w:r>
      <w:r>
        <w:rPr/>
        <w:t>does</w:t>
      </w:r>
      <w:r>
        <w:rPr>
          <w:spacing w:val="-1"/>
        </w:rPr>
        <w:t> </w:t>
      </w:r>
      <w:r>
        <w:rPr/>
        <w:t>not</w:t>
      </w:r>
      <w:r>
        <w:rPr>
          <w:spacing w:val="-3"/>
        </w:rPr>
        <w:t> </w:t>
      </w:r>
      <w:r>
        <w:rPr/>
        <w:t>have</w:t>
      </w:r>
      <w:r>
        <w:rPr>
          <w:spacing w:val="-2"/>
        </w:rPr>
        <w:t> </w:t>
      </w:r>
      <w:r>
        <w:rPr/>
        <w:t>some</w:t>
      </w:r>
      <w:r>
        <w:rPr>
          <w:spacing w:val="-4"/>
        </w:rPr>
        <w:t> </w:t>
      </w:r>
      <w:r>
        <w:rPr/>
        <w:t>tools</w:t>
      </w:r>
      <w:r>
        <w:rPr>
          <w:spacing w:val="-4"/>
        </w:rPr>
        <w:t> </w:t>
      </w:r>
      <w:r>
        <w:rPr/>
        <w:t>that</w:t>
      </w:r>
      <w:r>
        <w:rPr>
          <w:spacing w:val="-1"/>
        </w:rPr>
        <w:t> </w:t>
      </w:r>
      <w:r>
        <w:rPr/>
        <w:t>are</w:t>
      </w:r>
      <w:r>
        <w:rPr>
          <w:spacing w:val="-2"/>
        </w:rPr>
        <w:t> </w:t>
      </w:r>
      <w:r>
        <w:rPr/>
        <w:t>available</w:t>
      </w:r>
      <w:r>
        <w:rPr>
          <w:spacing w:val="-2"/>
        </w:rPr>
        <w:t> </w:t>
      </w:r>
      <w:r>
        <w:rPr/>
        <w:t>to</w:t>
      </w:r>
      <w:r>
        <w:rPr>
          <w:spacing w:val="-2"/>
        </w:rPr>
        <w:t> </w:t>
      </w:r>
      <w:r>
        <w:rPr/>
        <w:t>similar regulators, including the capacity to enter into enforceable undertakings and secure adverse publicity orders and injunctions.</w:t>
      </w:r>
    </w:p>
    <w:p>
      <w:pPr>
        <w:pStyle w:val="BodyText"/>
        <w:spacing w:before="10"/>
        <w:rPr>
          <w:sz w:val="20"/>
        </w:rPr>
      </w:pPr>
    </w:p>
    <w:p>
      <w:pPr>
        <w:pStyle w:val="BodyText"/>
        <w:spacing w:line="288" w:lineRule="auto"/>
        <w:ind w:left="292" w:right="1134"/>
        <w:jc w:val="both"/>
      </w:pPr>
      <w:r>
        <w:rPr/>
        <w:t>In addition,</w:t>
      </w:r>
      <w:r>
        <w:rPr>
          <w:spacing w:val="-3"/>
        </w:rPr>
        <w:t> </w:t>
      </w:r>
      <w:r>
        <w:rPr/>
        <w:t>there</w:t>
      </w:r>
      <w:r>
        <w:rPr>
          <w:spacing w:val="-2"/>
        </w:rPr>
        <w:t> </w:t>
      </w:r>
      <w:r>
        <w:rPr/>
        <w:t>would also be scope</w:t>
      </w:r>
      <w:r>
        <w:rPr>
          <w:spacing w:val="-2"/>
        </w:rPr>
        <w:t> </w:t>
      </w:r>
      <w:r>
        <w:rPr/>
        <w:t>to</w:t>
      </w:r>
      <w:r>
        <w:rPr>
          <w:spacing w:val="-4"/>
        </w:rPr>
        <w:t> </w:t>
      </w:r>
      <w:r>
        <w:rPr/>
        <w:t>further</w:t>
      </w:r>
      <w:r>
        <w:rPr>
          <w:spacing w:val="-1"/>
        </w:rPr>
        <w:t> </w:t>
      </w:r>
      <w:r>
        <w:rPr/>
        <w:t>refine and improve ESV's</w:t>
      </w:r>
      <w:r>
        <w:rPr>
          <w:spacing w:val="-2"/>
        </w:rPr>
        <w:t> </w:t>
      </w:r>
      <w:r>
        <w:rPr/>
        <w:t>regulatory</w:t>
      </w:r>
      <w:r>
        <w:rPr>
          <w:spacing w:val="-2"/>
        </w:rPr>
        <w:t> </w:t>
      </w:r>
      <w:r>
        <w:rPr/>
        <w:t>tools, including</w:t>
      </w:r>
      <w:r>
        <w:rPr>
          <w:spacing w:val="-1"/>
        </w:rPr>
        <w:t> </w:t>
      </w:r>
      <w:r>
        <w:rPr/>
        <w:t>making</w:t>
      </w:r>
      <w:r>
        <w:rPr>
          <w:spacing w:val="-3"/>
        </w:rPr>
        <w:t> </w:t>
      </w:r>
      <w:r>
        <w:rPr/>
        <w:t>their</w:t>
      </w:r>
      <w:r>
        <w:rPr>
          <w:spacing w:val="-4"/>
        </w:rPr>
        <w:t> </w:t>
      </w:r>
      <w:r>
        <w:rPr/>
        <w:t>application</w:t>
      </w:r>
      <w:r>
        <w:rPr>
          <w:spacing w:val="-3"/>
        </w:rPr>
        <w:t> </w:t>
      </w:r>
      <w:r>
        <w:rPr/>
        <w:t>more</w:t>
      </w:r>
      <w:r>
        <w:rPr>
          <w:spacing w:val="-5"/>
        </w:rPr>
        <w:t> </w:t>
      </w:r>
      <w:r>
        <w:rPr/>
        <w:t>consistent</w:t>
      </w:r>
      <w:r>
        <w:rPr>
          <w:spacing w:val="-4"/>
        </w:rPr>
        <w:t> </w:t>
      </w:r>
      <w:r>
        <w:rPr/>
        <w:t>across</w:t>
      </w:r>
      <w:r>
        <w:rPr>
          <w:spacing w:val="-2"/>
        </w:rPr>
        <w:t> </w:t>
      </w:r>
      <w:r>
        <w:rPr/>
        <w:t>electricity</w:t>
      </w:r>
      <w:r>
        <w:rPr>
          <w:spacing w:val="-5"/>
        </w:rPr>
        <w:t> </w:t>
      </w:r>
      <w:r>
        <w:rPr/>
        <w:t>and</w:t>
      </w:r>
      <w:r>
        <w:rPr>
          <w:spacing w:val="-5"/>
        </w:rPr>
        <w:t> </w:t>
      </w:r>
      <w:r>
        <w:rPr/>
        <w:t>gas</w:t>
      </w:r>
      <w:r>
        <w:rPr>
          <w:spacing w:val="-2"/>
        </w:rPr>
        <w:t> </w:t>
      </w:r>
      <w:r>
        <w:rPr/>
        <w:t>networks,</w:t>
      </w:r>
      <w:r>
        <w:rPr>
          <w:spacing w:val="-4"/>
        </w:rPr>
        <w:t> </w:t>
      </w:r>
      <w:r>
        <w:rPr/>
        <w:t>and removing unnecessary limitations on their use.</w:t>
      </w:r>
    </w:p>
    <w:p>
      <w:pPr>
        <w:pStyle w:val="BodyText"/>
        <w:spacing w:before="11"/>
        <w:rPr>
          <w:sz w:val="20"/>
        </w:rPr>
      </w:pPr>
    </w:p>
    <w:p>
      <w:pPr>
        <w:pStyle w:val="BodyText"/>
        <w:spacing w:line="288" w:lineRule="auto"/>
        <w:ind w:left="292" w:right="311"/>
      </w:pPr>
      <w:r>
        <w:rPr/>
        <w:t>Finally,</w:t>
      </w:r>
      <w:r>
        <w:rPr>
          <w:spacing w:val="-1"/>
        </w:rPr>
        <w:t> </w:t>
      </w:r>
      <w:r>
        <w:rPr/>
        <w:t>some</w:t>
      </w:r>
      <w:r>
        <w:rPr>
          <w:spacing w:val="-3"/>
        </w:rPr>
        <w:t> </w:t>
      </w:r>
      <w:r>
        <w:rPr/>
        <w:t>of</w:t>
      </w:r>
      <w:r>
        <w:rPr>
          <w:spacing w:val="-1"/>
        </w:rPr>
        <w:t> </w:t>
      </w:r>
      <w:r>
        <w:rPr/>
        <w:t>the</w:t>
      </w:r>
      <w:r>
        <w:rPr>
          <w:spacing w:val="-5"/>
        </w:rPr>
        <w:t> </w:t>
      </w:r>
      <w:r>
        <w:rPr/>
        <w:t>penalties</w:t>
      </w:r>
      <w:r>
        <w:rPr>
          <w:spacing w:val="-5"/>
        </w:rPr>
        <w:t> </w:t>
      </w:r>
      <w:r>
        <w:rPr/>
        <w:t>for</w:t>
      </w:r>
      <w:r>
        <w:rPr>
          <w:spacing w:val="-2"/>
        </w:rPr>
        <w:t> </w:t>
      </w:r>
      <w:r>
        <w:rPr/>
        <w:t>serious</w:t>
      </w:r>
      <w:r>
        <w:rPr>
          <w:spacing w:val="-2"/>
        </w:rPr>
        <w:t> </w:t>
      </w:r>
      <w:r>
        <w:rPr/>
        <w:t>breaches</w:t>
      </w:r>
      <w:r>
        <w:rPr>
          <w:spacing w:val="-3"/>
        </w:rPr>
        <w:t> </w:t>
      </w:r>
      <w:r>
        <w:rPr/>
        <w:t>of</w:t>
      </w:r>
      <w:r>
        <w:rPr>
          <w:spacing w:val="-1"/>
        </w:rPr>
        <w:t> </w:t>
      </w:r>
      <w:r>
        <w:rPr/>
        <w:t>safety</w:t>
      </w:r>
      <w:r>
        <w:rPr>
          <w:spacing w:val="-4"/>
        </w:rPr>
        <w:t> </w:t>
      </w:r>
      <w:r>
        <w:rPr/>
        <w:t>responsibilities</w:t>
      </w:r>
      <w:r>
        <w:rPr>
          <w:spacing w:val="-3"/>
        </w:rPr>
        <w:t> </w:t>
      </w:r>
      <w:r>
        <w:rPr/>
        <w:t>available</w:t>
      </w:r>
      <w:r>
        <w:rPr>
          <w:spacing w:val="-3"/>
        </w:rPr>
        <w:t> </w:t>
      </w:r>
      <w:r>
        <w:rPr/>
        <w:t>to</w:t>
      </w:r>
      <w:r>
        <w:rPr>
          <w:spacing w:val="-3"/>
        </w:rPr>
        <w:t> </w:t>
      </w:r>
      <w:r>
        <w:rPr/>
        <w:t>ESV</w:t>
      </w:r>
      <w:r>
        <w:rPr>
          <w:spacing w:val="-3"/>
        </w:rPr>
        <w:t> </w:t>
      </w:r>
      <w:r>
        <w:rPr/>
        <w:t>are significantly lower than for other safety regulators. Penalties should be reviewed with a view to bringing them into greater alignment with the penalties applying under other leading safety </w:t>
      </w:r>
      <w:r>
        <w:rPr>
          <w:spacing w:val="-2"/>
        </w:rPr>
        <w:t>frameworks.</w:t>
      </w:r>
    </w:p>
    <w:p>
      <w:pPr>
        <w:pStyle w:val="BodyText"/>
        <w:spacing w:before="9"/>
        <w:rPr>
          <w:sz w:val="18"/>
        </w:rPr>
      </w:pPr>
      <w:r>
        <w:rPr/>
        <mc:AlternateContent>
          <mc:Choice Requires="wps">
            <w:drawing>
              <wp:anchor distT="0" distB="0" distL="0" distR="0" allowOverlap="1" layoutInCell="1" locked="0" behindDoc="1" simplePos="0" relativeHeight="487588864">
                <wp:simplePos x="0" y="0"/>
                <wp:positionH relativeFrom="page">
                  <wp:posOffset>719327</wp:posOffset>
                </wp:positionH>
                <wp:positionV relativeFrom="paragraph">
                  <wp:posOffset>152626</wp:posOffset>
                </wp:positionV>
                <wp:extent cx="5753100" cy="3549015"/>
                <wp:effectExtent l="0" t="0" r="0" b="0"/>
                <wp:wrapTopAndBottom/>
                <wp:docPr id="6" name="Textbox 6"/>
                <wp:cNvGraphicFramePr>
                  <a:graphicFrameLocks/>
                </wp:cNvGraphicFramePr>
                <a:graphic>
                  <a:graphicData uri="http://schemas.microsoft.com/office/word/2010/wordprocessingShape">
                    <wps:wsp>
                      <wps:cNvPr id="6" name="Textbox 6"/>
                      <wps:cNvSpPr txBox="1"/>
                      <wps:spPr>
                        <a:xfrm>
                          <a:off x="0" y="0"/>
                          <a:ext cx="5753100" cy="3549015"/>
                        </a:xfrm>
                        <a:prstGeom prst="rect">
                          <a:avLst/>
                        </a:prstGeom>
                        <a:solidFill>
                          <a:srgbClr val="D9D9D9"/>
                        </a:solidFill>
                      </wps:spPr>
                      <wps:txbx>
                        <w:txbxContent>
                          <w:p>
                            <w:pPr>
                              <w:pStyle w:val="BodyText"/>
                              <w:spacing w:before="10"/>
                              <w:rPr>
                                <w:color w:val="000000"/>
                                <w:sz w:val="20"/>
                              </w:rPr>
                            </w:pPr>
                          </w:p>
                          <w:p>
                            <w:pPr>
                              <w:spacing w:before="0"/>
                              <w:ind w:left="112" w:right="0" w:firstLine="0"/>
                              <w:jc w:val="left"/>
                              <w:rPr>
                                <w:b/>
                                <w:color w:val="000000"/>
                                <w:sz w:val="22"/>
                              </w:rPr>
                            </w:pPr>
                            <w:r>
                              <w:rPr>
                                <w:b/>
                                <w:color w:val="000000"/>
                                <w:sz w:val="22"/>
                              </w:rPr>
                              <w:t>Summary</w:t>
                            </w:r>
                            <w:r>
                              <w:rPr>
                                <w:b/>
                                <w:color w:val="000000"/>
                                <w:spacing w:val="-13"/>
                                <w:sz w:val="22"/>
                              </w:rPr>
                              <w:t> </w:t>
                            </w:r>
                            <w:r>
                              <w:rPr>
                                <w:b/>
                                <w:color w:val="000000"/>
                                <w:sz w:val="22"/>
                              </w:rPr>
                              <w:t>of</w:t>
                            </w:r>
                            <w:r>
                              <w:rPr>
                                <w:b/>
                                <w:color w:val="000000"/>
                                <w:spacing w:val="-5"/>
                                <w:sz w:val="22"/>
                              </w:rPr>
                              <w:t> </w:t>
                            </w:r>
                            <w:r>
                              <w:rPr>
                                <w:b/>
                                <w:color w:val="000000"/>
                                <w:sz w:val="22"/>
                              </w:rPr>
                              <w:t>recommendations:</w:t>
                            </w:r>
                            <w:r>
                              <w:rPr>
                                <w:b/>
                                <w:color w:val="000000"/>
                                <w:spacing w:val="-6"/>
                                <w:sz w:val="22"/>
                              </w:rPr>
                              <w:t> </w:t>
                            </w:r>
                            <w:r>
                              <w:rPr>
                                <w:b/>
                                <w:color w:val="000000"/>
                                <w:sz w:val="22"/>
                              </w:rPr>
                              <w:t>Compliance</w:t>
                            </w:r>
                            <w:r>
                              <w:rPr>
                                <w:b/>
                                <w:color w:val="000000"/>
                                <w:spacing w:val="-8"/>
                                <w:sz w:val="22"/>
                              </w:rPr>
                              <w:t> </w:t>
                            </w:r>
                            <w:r>
                              <w:rPr>
                                <w:b/>
                                <w:color w:val="000000"/>
                                <w:sz w:val="22"/>
                              </w:rPr>
                              <w:t>and</w:t>
                            </w:r>
                            <w:r>
                              <w:rPr>
                                <w:b/>
                                <w:color w:val="000000"/>
                                <w:spacing w:val="-6"/>
                                <w:sz w:val="22"/>
                              </w:rPr>
                              <w:t> </w:t>
                            </w:r>
                            <w:r>
                              <w:rPr>
                                <w:b/>
                                <w:color w:val="000000"/>
                                <w:spacing w:val="-2"/>
                                <w:sz w:val="22"/>
                              </w:rPr>
                              <w:t>enforcement</w:t>
                            </w:r>
                          </w:p>
                          <w:p>
                            <w:pPr>
                              <w:pStyle w:val="BodyText"/>
                              <w:spacing w:before="3"/>
                              <w:rPr>
                                <w:b/>
                                <w:color w:val="000000"/>
                                <w:sz w:val="26"/>
                              </w:rPr>
                            </w:pPr>
                          </w:p>
                          <w:p>
                            <w:pPr>
                              <w:pStyle w:val="BodyText"/>
                              <w:ind w:left="175"/>
                              <w:rPr>
                                <w:color w:val="000000"/>
                              </w:rPr>
                            </w:pPr>
                            <w:r>
                              <w:rPr>
                                <w:color w:val="000000"/>
                              </w:rPr>
                              <w:t>Recommendations</w:t>
                            </w:r>
                            <w:r>
                              <w:rPr>
                                <w:color w:val="000000"/>
                                <w:spacing w:val="-8"/>
                              </w:rPr>
                              <w:t> </w:t>
                            </w:r>
                            <w:r>
                              <w:rPr>
                                <w:color w:val="000000"/>
                              </w:rPr>
                              <w:t>presented</w:t>
                            </w:r>
                            <w:r>
                              <w:rPr>
                                <w:color w:val="000000"/>
                                <w:spacing w:val="-4"/>
                              </w:rPr>
                              <w:t> </w:t>
                            </w:r>
                            <w:r>
                              <w:rPr>
                                <w:color w:val="000000"/>
                              </w:rPr>
                              <w:t>by</w:t>
                            </w:r>
                            <w:r>
                              <w:rPr>
                                <w:color w:val="000000"/>
                                <w:spacing w:val="-8"/>
                              </w:rPr>
                              <w:t> </w:t>
                            </w:r>
                            <w:r>
                              <w:rPr>
                                <w:color w:val="000000"/>
                              </w:rPr>
                              <w:t>the</w:t>
                            </w:r>
                            <w:r>
                              <w:rPr>
                                <w:color w:val="000000"/>
                                <w:spacing w:val="-7"/>
                              </w:rPr>
                              <w:t> </w:t>
                            </w:r>
                            <w:r>
                              <w:rPr>
                                <w:color w:val="000000"/>
                              </w:rPr>
                              <w:t>Review</w:t>
                            </w:r>
                            <w:r>
                              <w:rPr>
                                <w:color w:val="000000"/>
                                <w:spacing w:val="-8"/>
                              </w:rPr>
                              <w:t> </w:t>
                            </w:r>
                            <w:r>
                              <w:rPr>
                                <w:color w:val="000000"/>
                                <w:spacing w:val="-2"/>
                              </w:rPr>
                              <w:t>include:</w:t>
                            </w:r>
                          </w:p>
                          <w:p>
                            <w:pPr>
                              <w:pStyle w:val="BodyText"/>
                              <w:spacing w:before="9"/>
                              <w:rPr>
                                <w:color w:val="000000"/>
                                <w:sz w:val="20"/>
                              </w:rPr>
                            </w:pPr>
                          </w:p>
                          <w:p>
                            <w:pPr>
                              <w:pStyle w:val="BodyText"/>
                              <w:numPr>
                                <w:ilvl w:val="0"/>
                                <w:numId w:val="7"/>
                              </w:numPr>
                              <w:tabs>
                                <w:tab w:pos="341" w:val="left" w:leader="none"/>
                              </w:tabs>
                              <w:spacing w:line="288" w:lineRule="auto" w:before="0" w:after="0"/>
                              <w:ind w:left="341" w:right="502" w:hanging="200"/>
                              <w:jc w:val="left"/>
                              <w:rPr>
                                <w:color w:val="000000"/>
                              </w:rPr>
                            </w:pPr>
                            <w:r>
                              <w:rPr>
                                <w:color w:val="000000"/>
                              </w:rPr>
                              <w:t>a substantial increase in ESV's audit and inspection resources and activity in accordance</w:t>
                            </w:r>
                            <w:r>
                              <w:rPr>
                                <w:color w:val="000000"/>
                                <w:spacing w:val="-6"/>
                              </w:rPr>
                              <w:t> </w:t>
                            </w:r>
                            <w:r>
                              <w:rPr>
                                <w:color w:val="000000"/>
                              </w:rPr>
                              <w:t>with</w:t>
                            </w:r>
                            <w:r>
                              <w:rPr>
                                <w:color w:val="000000"/>
                                <w:spacing w:val="-4"/>
                              </w:rPr>
                              <w:t> </w:t>
                            </w:r>
                            <w:r>
                              <w:rPr>
                                <w:color w:val="000000"/>
                              </w:rPr>
                              <w:t>the</w:t>
                            </w:r>
                            <w:r>
                              <w:rPr>
                                <w:color w:val="000000"/>
                                <w:spacing w:val="-4"/>
                              </w:rPr>
                              <w:t> </w:t>
                            </w:r>
                            <w:r>
                              <w:rPr>
                                <w:color w:val="000000"/>
                              </w:rPr>
                              <w:t>directions</w:t>
                            </w:r>
                            <w:r>
                              <w:rPr>
                                <w:color w:val="000000"/>
                                <w:spacing w:val="-3"/>
                              </w:rPr>
                              <w:t> </w:t>
                            </w:r>
                            <w:r>
                              <w:rPr>
                                <w:color w:val="000000"/>
                              </w:rPr>
                              <w:t>set</w:t>
                            </w:r>
                            <w:r>
                              <w:rPr>
                                <w:color w:val="000000"/>
                                <w:spacing w:val="-2"/>
                              </w:rPr>
                              <w:t> </w:t>
                            </w:r>
                            <w:r>
                              <w:rPr>
                                <w:color w:val="000000"/>
                              </w:rPr>
                              <w:t>out</w:t>
                            </w:r>
                            <w:r>
                              <w:rPr>
                                <w:color w:val="000000"/>
                                <w:spacing w:val="-2"/>
                              </w:rPr>
                              <w:t> </w:t>
                            </w:r>
                            <w:r>
                              <w:rPr>
                                <w:color w:val="000000"/>
                              </w:rPr>
                              <w:t>in</w:t>
                            </w:r>
                            <w:r>
                              <w:rPr>
                                <w:color w:val="000000"/>
                                <w:spacing w:val="-6"/>
                              </w:rPr>
                              <w:t> </w:t>
                            </w:r>
                            <w:r>
                              <w:rPr>
                                <w:color w:val="000000"/>
                              </w:rPr>
                              <w:t>ESV's </w:t>
                            </w:r>
                            <w:r>
                              <w:rPr>
                                <w:i/>
                                <w:color w:val="000000"/>
                              </w:rPr>
                              <w:t>Corporate</w:t>
                            </w:r>
                            <w:r>
                              <w:rPr>
                                <w:i/>
                                <w:color w:val="000000"/>
                                <w:spacing w:val="-4"/>
                              </w:rPr>
                              <w:t> </w:t>
                            </w:r>
                            <w:r>
                              <w:rPr>
                                <w:i/>
                                <w:color w:val="000000"/>
                              </w:rPr>
                              <w:t>Plan</w:t>
                            </w:r>
                            <w:r>
                              <w:rPr>
                                <w:i/>
                                <w:color w:val="000000"/>
                                <w:spacing w:val="-4"/>
                              </w:rPr>
                              <w:t> </w:t>
                            </w:r>
                            <w:r>
                              <w:rPr>
                                <w:i/>
                                <w:color w:val="000000"/>
                              </w:rPr>
                              <w:t>2017–2020</w:t>
                            </w:r>
                            <w:r>
                              <w:rPr>
                                <w:color w:val="000000"/>
                              </w:rPr>
                              <w:t>,</w:t>
                            </w:r>
                            <w:r>
                              <w:rPr>
                                <w:color w:val="000000"/>
                                <w:spacing w:val="-2"/>
                              </w:rPr>
                              <w:t> </w:t>
                            </w:r>
                            <w:r>
                              <w:rPr>
                                <w:color w:val="000000"/>
                              </w:rPr>
                              <w:t>and</w:t>
                            </w:r>
                            <w:r>
                              <w:rPr>
                                <w:color w:val="000000"/>
                                <w:spacing w:val="-6"/>
                              </w:rPr>
                              <w:t> </w:t>
                            </w:r>
                            <w:r>
                              <w:rPr>
                                <w:color w:val="000000"/>
                              </w:rPr>
                              <w:t>with strong and transparent reporting of ESV's performance (Recommendation 6);</w:t>
                            </w:r>
                          </w:p>
                          <w:p>
                            <w:pPr>
                              <w:pStyle w:val="BodyText"/>
                              <w:spacing w:before="11"/>
                              <w:rPr>
                                <w:color w:val="000000"/>
                                <w:sz w:val="20"/>
                              </w:rPr>
                            </w:pPr>
                          </w:p>
                          <w:p>
                            <w:pPr>
                              <w:numPr>
                                <w:ilvl w:val="0"/>
                                <w:numId w:val="7"/>
                              </w:numPr>
                              <w:tabs>
                                <w:tab w:pos="341" w:val="left" w:leader="none"/>
                              </w:tabs>
                              <w:spacing w:line="288" w:lineRule="auto" w:before="0"/>
                              <w:ind w:left="341" w:right="235" w:hanging="200"/>
                              <w:jc w:val="both"/>
                              <w:rPr>
                                <w:color w:val="000000"/>
                                <w:sz w:val="22"/>
                              </w:rPr>
                            </w:pPr>
                            <w:r>
                              <w:rPr>
                                <w:color w:val="000000"/>
                                <w:sz w:val="22"/>
                              </w:rPr>
                              <w:t>the implementation by</w:t>
                            </w:r>
                            <w:r>
                              <w:rPr>
                                <w:color w:val="000000"/>
                                <w:spacing w:val="-1"/>
                                <w:sz w:val="22"/>
                              </w:rPr>
                              <w:t> </w:t>
                            </w:r>
                            <w:r>
                              <w:rPr>
                                <w:color w:val="000000"/>
                                <w:sz w:val="22"/>
                              </w:rPr>
                              <w:t>ESV of a</w:t>
                            </w:r>
                            <w:r>
                              <w:rPr>
                                <w:color w:val="000000"/>
                                <w:spacing w:val="-1"/>
                                <w:sz w:val="22"/>
                              </w:rPr>
                              <w:t> </w:t>
                            </w:r>
                            <w:r>
                              <w:rPr>
                                <w:color w:val="000000"/>
                                <w:sz w:val="22"/>
                              </w:rPr>
                              <w:t>more</w:t>
                            </w:r>
                            <w:r>
                              <w:rPr>
                                <w:color w:val="000000"/>
                                <w:spacing w:val="-1"/>
                                <w:sz w:val="22"/>
                              </w:rPr>
                              <w:t> </w:t>
                            </w:r>
                            <w:r>
                              <w:rPr>
                                <w:color w:val="000000"/>
                                <w:sz w:val="22"/>
                              </w:rPr>
                              <w:t>robust approach</w:t>
                            </w:r>
                            <w:r>
                              <w:rPr>
                                <w:color w:val="000000"/>
                                <w:spacing w:val="-1"/>
                                <w:sz w:val="22"/>
                              </w:rPr>
                              <w:t> </w:t>
                            </w:r>
                            <w:r>
                              <w:rPr>
                                <w:color w:val="000000"/>
                                <w:sz w:val="22"/>
                              </w:rPr>
                              <w:t>to compliance and</w:t>
                            </w:r>
                            <w:r>
                              <w:rPr>
                                <w:color w:val="000000"/>
                                <w:spacing w:val="-1"/>
                                <w:sz w:val="22"/>
                              </w:rPr>
                              <w:t> </w:t>
                            </w:r>
                            <w:r>
                              <w:rPr>
                                <w:color w:val="000000"/>
                                <w:sz w:val="22"/>
                              </w:rPr>
                              <w:t>enforcement and</w:t>
                            </w:r>
                            <w:r>
                              <w:rPr>
                                <w:color w:val="000000"/>
                                <w:spacing w:val="-3"/>
                                <w:sz w:val="22"/>
                              </w:rPr>
                              <w:t> </w:t>
                            </w:r>
                            <w:r>
                              <w:rPr>
                                <w:color w:val="000000"/>
                                <w:sz w:val="22"/>
                              </w:rPr>
                              <w:t>the</w:t>
                            </w:r>
                            <w:r>
                              <w:rPr>
                                <w:color w:val="000000"/>
                                <w:spacing w:val="-5"/>
                                <w:sz w:val="22"/>
                              </w:rPr>
                              <w:t> </w:t>
                            </w:r>
                            <w:r>
                              <w:rPr>
                                <w:color w:val="000000"/>
                                <w:sz w:val="22"/>
                              </w:rPr>
                              <w:t>preparation</w:t>
                            </w:r>
                            <w:r>
                              <w:rPr>
                                <w:color w:val="000000"/>
                                <w:spacing w:val="-3"/>
                                <w:sz w:val="22"/>
                              </w:rPr>
                              <w:t> </w:t>
                            </w:r>
                            <w:r>
                              <w:rPr>
                                <w:color w:val="000000"/>
                                <w:sz w:val="22"/>
                              </w:rPr>
                              <w:t>of</w:t>
                            </w:r>
                            <w:r>
                              <w:rPr>
                                <w:color w:val="000000"/>
                                <w:spacing w:val="-4"/>
                                <w:sz w:val="22"/>
                              </w:rPr>
                              <w:t> </w:t>
                            </w:r>
                            <w:r>
                              <w:rPr>
                                <w:color w:val="000000"/>
                                <w:sz w:val="22"/>
                              </w:rPr>
                              <w:t>an</w:t>
                            </w:r>
                            <w:r>
                              <w:rPr>
                                <w:color w:val="000000"/>
                                <w:spacing w:val="-3"/>
                                <w:sz w:val="22"/>
                              </w:rPr>
                              <w:t> </w:t>
                            </w:r>
                            <w:r>
                              <w:rPr>
                                <w:color w:val="000000"/>
                                <w:sz w:val="22"/>
                              </w:rPr>
                              <w:t>updated</w:t>
                            </w:r>
                            <w:r>
                              <w:rPr>
                                <w:color w:val="000000"/>
                                <w:spacing w:val="-4"/>
                                <w:sz w:val="22"/>
                              </w:rPr>
                              <w:t> </w:t>
                            </w:r>
                            <w:r>
                              <w:rPr>
                                <w:i/>
                                <w:color w:val="000000"/>
                                <w:sz w:val="22"/>
                              </w:rPr>
                              <w:t>Charter</w:t>
                            </w:r>
                            <w:r>
                              <w:rPr>
                                <w:i/>
                                <w:color w:val="000000"/>
                                <w:spacing w:val="-4"/>
                                <w:sz w:val="22"/>
                              </w:rPr>
                              <w:t> </w:t>
                            </w:r>
                            <w:r>
                              <w:rPr>
                                <w:i/>
                                <w:color w:val="000000"/>
                                <w:sz w:val="22"/>
                              </w:rPr>
                              <w:t>of</w:t>
                            </w:r>
                            <w:r>
                              <w:rPr>
                                <w:i/>
                                <w:color w:val="000000"/>
                                <w:spacing w:val="-4"/>
                                <w:sz w:val="22"/>
                              </w:rPr>
                              <w:t> </w:t>
                            </w:r>
                            <w:r>
                              <w:rPr>
                                <w:i/>
                                <w:color w:val="000000"/>
                                <w:sz w:val="22"/>
                              </w:rPr>
                              <w:t>Consultation</w:t>
                            </w:r>
                            <w:r>
                              <w:rPr>
                                <w:i/>
                                <w:color w:val="000000"/>
                                <w:spacing w:val="-3"/>
                                <w:sz w:val="22"/>
                              </w:rPr>
                              <w:t> </w:t>
                            </w:r>
                            <w:r>
                              <w:rPr>
                                <w:i/>
                                <w:color w:val="000000"/>
                                <w:sz w:val="22"/>
                              </w:rPr>
                              <w:t>and</w:t>
                            </w:r>
                            <w:r>
                              <w:rPr>
                                <w:i/>
                                <w:color w:val="000000"/>
                                <w:spacing w:val="-5"/>
                                <w:sz w:val="22"/>
                              </w:rPr>
                              <w:t> </w:t>
                            </w:r>
                            <w:r>
                              <w:rPr>
                                <w:i/>
                                <w:color w:val="000000"/>
                                <w:sz w:val="22"/>
                              </w:rPr>
                              <w:t>Regulatory</w:t>
                            </w:r>
                            <w:r>
                              <w:rPr>
                                <w:i/>
                                <w:color w:val="000000"/>
                                <w:spacing w:val="-2"/>
                                <w:sz w:val="22"/>
                              </w:rPr>
                              <w:t> </w:t>
                            </w:r>
                            <w:r>
                              <w:rPr>
                                <w:i/>
                                <w:color w:val="000000"/>
                                <w:sz w:val="22"/>
                              </w:rPr>
                              <w:t>Practice </w:t>
                            </w:r>
                            <w:r>
                              <w:rPr>
                                <w:color w:val="000000"/>
                                <w:sz w:val="22"/>
                              </w:rPr>
                              <w:t>and </w:t>
                            </w:r>
                            <w:r>
                              <w:rPr>
                                <w:i/>
                                <w:color w:val="000000"/>
                                <w:sz w:val="22"/>
                              </w:rPr>
                              <w:t>Compliance and Enforcement Policy, </w:t>
                            </w:r>
                            <w:r>
                              <w:rPr>
                                <w:color w:val="000000"/>
                                <w:sz w:val="22"/>
                              </w:rPr>
                              <w:t>to reflect this change (Recommendation 9);</w:t>
                            </w:r>
                          </w:p>
                          <w:p>
                            <w:pPr>
                              <w:pStyle w:val="BodyText"/>
                              <w:spacing w:before="9"/>
                              <w:rPr>
                                <w:color w:val="000000"/>
                                <w:sz w:val="20"/>
                              </w:rPr>
                            </w:pPr>
                          </w:p>
                          <w:p>
                            <w:pPr>
                              <w:pStyle w:val="BodyText"/>
                              <w:numPr>
                                <w:ilvl w:val="0"/>
                                <w:numId w:val="7"/>
                              </w:numPr>
                              <w:tabs>
                                <w:tab w:pos="341" w:val="left" w:leader="none"/>
                              </w:tabs>
                              <w:spacing w:line="288" w:lineRule="auto" w:before="0" w:after="0"/>
                              <w:ind w:left="341" w:right="401" w:hanging="200"/>
                              <w:jc w:val="both"/>
                              <w:rPr>
                                <w:color w:val="000000"/>
                              </w:rPr>
                            </w:pPr>
                            <w:r>
                              <w:rPr>
                                <w:color w:val="000000"/>
                              </w:rPr>
                              <w:t>an</w:t>
                            </w:r>
                            <w:r>
                              <w:rPr>
                                <w:color w:val="000000"/>
                                <w:spacing w:val="-2"/>
                              </w:rPr>
                              <w:t> </w:t>
                            </w:r>
                            <w:r>
                              <w:rPr>
                                <w:color w:val="000000"/>
                              </w:rPr>
                              <w:t>expansion</w:t>
                            </w:r>
                            <w:r>
                              <w:rPr>
                                <w:color w:val="000000"/>
                                <w:spacing w:val="-2"/>
                              </w:rPr>
                              <w:t> </w:t>
                            </w:r>
                            <w:r>
                              <w:rPr>
                                <w:color w:val="000000"/>
                              </w:rPr>
                              <w:t>in</w:t>
                            </w:r>
                            <w:r>
                              <w:rPr>
                                <w:color w:val="000000"/>
                                <w:spacing w:val="-2"/>
                              </w:rPr>
                              <w:t> </w:t>
                            </w:r>
                            <w:r>
                              <w:rPr>
                                <w:color w:val="000000"/>
                              </w:rPr>
                              <w:t>the</w:t>
                            </w:r>
                            <w:r>
                              <w:rPr>
                                <w:color w:val="000000"/>
                                <w:spacing w:val="-4"/>
                              </w:rPr>
                              <w:t> </w:t>
                            </w:r>
                            <w:r>
                              <w:rPr>
                                <w:color w:val="000000"/>
                              </w:rPr>
                              <w:t>range</w:t>
                            </w:r>
                            <w:r>
                              <w:rPr>
                                <w:color w:val="000000"/>
                                <w:spacing w:val="-2"/>
                              </w:rPr>
                              <w:t> </w:t>
                            </w:r>
                            <w:r>
                              <w:rPr>
                                <w:color w:val="000000"/>
                              </w:rPr>
                              <w:t>of regulatory</w:t>
                            </w:r>
                            <w:r>
                              <w:rPr>
                                <w:color w:val="000000"/>
                                <w:spacing w:val="-4"/>
                              </w:rPr>
                              <w:t> </w:t>
                            </w:r>
                            <w:r>
                              <w:rPr>
                                <w:color w:val="000000"/>
                              </w:rPr>
                              <w:t>tools</w:t>
                            </w:r>
                            <w:r>
                              <w:rPr>
                                <w:color w:val="000000"/>
                                <w:spacing w:val="-1"/>
                              </w:rPr>
                              <w:t> </w:t>
                            </w:r>
                            <w:r>
                              <w:rPr>
                                <w:color w:val="000000"/>
                              </w:rPr>
                              <w:t>available</w:t>
                            </w:r>
                            <w:r>
                              <w:rPr>
                                <w:color w:val="000000"/>
                                <w:spacing w:val="-2"/>
                              </w:rPr>
                              <w:t> </w:t>
                            </w:r>
                            <w:r>
                              <w:rPr>
                                <w:color w:val="000000"/>
                              </w:rPr>
                              <w:t>to</w:t>
                            </w:r>
                            <w:r>
                              <w:rPr>
                                <w:color w:val="000000"/>
                                <w:spacing w:val="-2"/>
                              </w:rPr>
                              <w:t> </w:t>
                            </w:r>
                            <w:r>
                              <w:rPr>
                                <w:color w:val="000000"/>
                              </w:rPr>
                              <w:t>ESV,</w:t>
                            </w:r>
                            <w:r>
                              <w:rPr>
                                <w:color w:val="000000"/>
                                <w:spacing w:val="-3"/>
                              </w:rPr>
                              <w:t> </w:t>
                            </w:r>
                            <w:r>
                              <w:rPr>
                                <w:color w:val="000000"/>
                              </w:rPr>
                              <w:t>including</w:t>
                            </w:r>
                            <w:r>
                              <w:rPr>
                                <w:color w:val="000000"/>
                                <w:spacing w:val="-2"/>
                              </w:rPr>
                              <w:t> </w:t>
                            </w:r>
                            <w:r>
                              <w:rPr>
                                <w:color w:val="000000"/>
                              </w:rPr>
                              <w:t>a</w:t>
                            </w:r>
                            <w:r>
                              <w:rPr>
                                <w:color w:val="000000"/>
                                <w:spacing w:val="-4"/>
                              </w:rPr>
                              <w:t> </w:t>
                            </w:r>
                            <w:r>
                              <w:rPr>
                                <w:color w:val="000000"/>
                              </w:rPr>
                              <w:t>capacity</w:t>
                            </w:r>
                            <w:r>
                              <w:rPr>
                                <w:color w:val="000000"/>
                                <w:spacing w:val="-4"/>
                              </w:rPr>
                              <w:t> </w:t>
                            </w:r>
                            <w:r>
                              <w:rPr>
                                <w:color w:val="000000"/>
                              </w:rPr>
                              <w:t>to enter</w:t>
                            </w:r>
                            <w:r>
                              <w:rPr>
                                <w:color w:val="000000"/>
                                <w:spacing w:val="-5"/>
                              </w:rPr>
                              <w:t> </w:t>
                            </w:r>
                            <w:r>
                              <w:rPr>
                                <w:color w:val="000000"/>
                              </w:rPr>
                              <w:t>into</w:t>
                            </w:r>
                            <w:r>
                              <w:rPr>
                                <w:color w:val="000000"/>
                                <w:spacing w:val="-3"/>
                              </w:rPr>
                              <w:t> </w:t>
                            </w:r>
                            <w:r>
                              <w:rPr>
                                <w:color w:val="000000"/>
                              </w:rPr>
                              <w:t>enforceable</w:t>
                            </w:r>
                            <w:r>
                              <w:rPr>
                                <w:color w:val="000000"/>
                                <w:spacing w:val="-4"/>
                              </w:rPr>
                              <w:t> </w:t>
                            </w:r>
                            <w:r>
                              <w:rPr>
                                <w:color w:val="000000"/>
                              </w:rPr>
                              <w:t>undertakings</w:t>
                            </w:r>
                            <w:r>
                              <w:rPr>
                                <w:color w:val="000000"/>
                                <w:spacing w:val="-6"/>
                              </w:rPr>
                              <w:t> </w:t>
                            </w:r>
                            <w:r>
                              <w:rPr>
                                <w:color w:val="000000"/>
                              </w:rPr>
                              <w:t>and</w:t>
                            </w:r>
                            <w:r>
                              <w:rPr>
                                <w:color w:val="000000"/>
                                <w:spacing w:val="-4"/>
                              </w:rPr>
                              <w:t> </w:t>
                            </w:r>
                            <w:r>
                              <w:rPr>
                                <w:color w:val="000000"/>
                              </w:rPr>
                              <w:t>seek</w:t>
                            </w:r>
                            <w:r>
                              <w:rPr>
                                <w:color w:val="000000"/>
                                <w:spacing w:val="-3"/>
                              </w:rPr>
                              <w:t> </w:t>
                            </w:r>
                            <w:r>
                              <w:rPr>
                                <w:color w:val="000000"/>
                              </w:rPr>
                              <w:t>injunctions</w:t>
                            </w:r>
                            <w:r>
                              <w:rPr>
                                <w:color w:val="000000"/>
                                <w:spacing w:val="-4"/>
                              </w:rPr>
                              <w:t> </w:t>
                            </w:r>
                            <w:r>
                              <w:rPr>
                                <w:color w:val="000000"/>
                              </w:rPr>
                              <w:t>and</w:t>
                            </w:r>
                            <w:r>
                              <w:rPr>
                                <w:color w:val="000000"/>
                                <w:spacing w:val="-6"/>
                              </w:rPr>
                              <w:t> </w:t>
                            </w:r>
                            <w:r>
                              <w:rPr>
                                <w:color w:val="000000"/>
                              </w:rPr>
                              <w:t>adverse</w:t>
                            </w:r>
                            <w:r>
                              <w:rPr>
                                <w:color w:val="000000"/>
                                <w:spacing w:val="-3"/>
                              </w:rPr>
                              <w:t> </w:t>
                            </w:r>
                            <w:r>
                              <w:rPr>
                                <w:color w:val="000000"/>
                              </w:rPr>
                              <w:t>publicity</w:t>
                            </w:r>
                            <w:r>
                              <w:rPr>
                                <w:color w:val="000000"/>
                                <w:spacing w:val="-6"/>
                              </w:rPr>
                              <w:t> </w:t>
                            </w:r>
                            <w:r>
                              <w:rPr>
                                <w:color w:val="000000"/>
                              </w:rPr>
                              <w:t>orders (Recommendation 12); and</w:t>
                            </w:r>
                          </w:p>
                          <w:p>
                            <w:pPr>
                              <w:pStyle w:val="BodyText"/>
                              <w:rPr>
                                <w:color w:val="000000"/>
                                <w:sz w:val="21"/>
                              </w:rPr>
                            </w:pPr>
                          </w:p>
                          <w:p>
                            <w:pPr>
                              <w:pStyle w:val="BodyText"/>
                              <w:numPr>
                                <w:ilvl w:val="0"/>
                                <w:numId w:val="7"/>
                              </w:numPr>
                              <w:tabs>
                                <w:tab w:pos="341" w:val="left" w:leader="none"/>
                              </w:tabs>
                              <w:spacing w:line="288" w:lineRule="auto" w:before="0" w:after="0"/>
                              <w:ind w:left="341" w:right="743" w:hanging="200"/>
                              <w:jc w:val="left"/>
                              <w:rPr>
                                <w:color w:val="000000"/>
                              </w:rPr>
                            </w:pPr>
                            <w:r>
                              <w:rPr>
                                <w:color w:val="000000"/>
                              </w:rPr>
                              <w:t>a</w:t>
                            </w:r>
                            <w:r>
                              <w:rPr>
                                <w:color w:val="000000"/>
                                <w:spacing w:val="-3"/>
                              </w:rPr>
                              <w:t> </w:t>
                            </w:r>
                            <w:r>
                              <w:rPr>
                                <w:color w:val="000000"/>
                              </w:rPr>
                              <w:t>review</w:t>
                            </w:r>
                            <w:r>
                              <w:rPr>
                                <w:color w:val="000000"/>
                                <w:spacing w:val="-6"/>
                              </w:rPr>
                              <w:t> </w:t>
                            </w:r>
                            <w:r>
                              <w:rPr>
                                <w:color w:val="000000"/>
                              </w:rPr>
                              <w:t>of penalties,</w:t>
                            </w:r>
                            <w:r>
                              <w:rPr>
                                <w:color w:val="000000"/>
                                <w:spacing w:val="-1"/>
                              </w:rPr>
                              <w:t> </w:t>
                            </w:r>
                            <w:r>
                              <w:rPr>
                                <w:color w:val="000000"/>
                              </w:rPr>
                              <w:t>with</w:t>
                            </w:r>
                            <w:r>
                              <w:rPr>
                                <w:color w:val="000000"/>
                                <w:spacing w:val="-3"/>
                              </w:rPr>
                              <w:t> </w:t>
                            </w:r>
                            <w:r>
                              <w:rPr>
                                <w:color w:val="000000"/>
                              </w:rPr>
                              <w:t>a</w:t>
                            </w:r>
                            <w:r>
                              <w:rPr>
                                <w:color w:val="000000"/>
                                <w:spacing w:val="-2"/>
                              </w:rPr>
                              <w:t> </w:t>
                            </w:r>
                            <w:r>
                              <w:rPr>
                                <w:color w:val="000000"/>
                              </w:rPr>
                              <w:t>view</w:t>
                            </w:r>
                            <w:r>
                              <w:rPr>
                                <w:color w:val="000000"/>
                                <w:spacing w:val="-6"/>
                              </w:rPr>
                              <w:t> </w:t>
                            </w:r>
                            <w:r>
                              <w:rPr>
                                <w:color w:val="000000"/>
                              </w:rPr>
                              <w:t>to</w:t>
                            </w:r>
                            <w:r>
                              <w:rPr>
                                <w:color w:val="000000"/>
                                <w:spacing w:val="-3"/>
                              </w:rPr>
                              <w:t> </w:t>
                            </w:r>
                            <w:r>
                              <w:rPr>
                                <w:color w:val="000000"/>
                              </w:rPr>
                              <w:t>increasing</w:t>
                            </w:r>
                            <w:r>
                              <w:rPr>
                                <w:color w:val="000000"/>
                                <w:spacing w:val="-3"/>
                              </w:rPr>
                              <w:t> </w:t>
                            </w:r>
                            <w:r>
                              <w:rPr>
                                <w:color w:val="000000"/>
                              </w:rPr>
                              <w:t>penalties</w:t>
                            </w:r>
                            <w:r>
                              <w:rPr>
                                <w:color w:val="000000"/>
                                <w:spacing w:val="-3"/>
                              </w:rPr>
                              <w:t> </w:t>
                            </w:r>
                            <w:r>
                              <w:rPr>
                                <w:color w:val="000000"/>
                              </w:rPr>
                              <w:t>to</w:t>
                            </w:r>
                            <w:r>
                              <w:rPr>
                                <w:color w:val="000000"/>
                                <w:spacing w:val="-5"/>
                              </w:rPr>
                              <w:t> </w:t>
                            </w:r>
                            <w:r>
                              <w:rPr>
                                <w:color w:val="000000"/>
                              </w:rPr>
                              <w:t>bring</w:t>
                            </w:r>
                            <w:r>
                              <w:rPr>
                                <w:color w:val="000000"/>
                                <w:spacing w:val="-3"/>
                              </w:rPr>
                              <w:t> </w:t>
                            </w:r>
                            <w:r>
                              <w:rPr>
                                <w:color w:val="000000"/>
                              </w:rPr>
                              <w:t>them</w:t>
                            </w:r>
                            <w:r>
                              <w:rPr>
                                <w:color w:val="000000"/>
                                <w:spacing w:val="-4"/>
                              </w:rPr>
                              <w:t> </w:t>
                            </w:r>
                            <w:r>
                              <w:rPr>
                                <w:color w:val="000000"/>
                              </w:rPr>
                              <w:t>into</w:t>
                            </w:r>
                            <w:r>
                              <w:rPr>
                                <w:color w:val="000000"/>
                                <w:spacing w:val="-7"/>
                              </w:rPr>
                              <w:t> </w:t>
                            </w:r>
                            <w:r>
                              <w:rPr>
                                <w:color w:val="000000"/>
                              </w:rPr>
                              <w:t>greater alignment with other leading safety regimes (Recommendation 13).</w:t>
                            </w:r>
                          </w:p>
                        </w:txbxContent>
                      </wps:txbx>
                      <wps:bodyPr wrap="square" lIns="0" tIns="0" rIns="0" bIns="0" rtlCol="0">
                        <a:noAutofit/>
                      </wps:bodyPr>
                    </wps:wsp>
                  </a:graphicData>
                </a:graphic>
              </wp:anchor>
            </w:drawing>
          </mc:Choice>
          <mc:Fallback>
            <w:pict>
              <v:shape style="position:absolute;margin-left:56.639999pt;margin-top:12.017871pt;width:453pt;height:279.45pt;mso-position-horizontal-relative:page;mso-position-vertical-relative:paragraph;z-index:-15727616;mso-wrap-distance-left:0;mso-wrap-distance-right:0" type="#_x0000_t202" id="docshape5" filled="true" fillcolor="#d9d9d9" stroked="false">
                <v:textbox inset="0,0,0,0">
                  <w:txbxContent>
                    <w:p>
                      <w:pPr>
                        <w:pStyle w:val="BodyText"/>
                        <w:spacing w:before="10"/>
                        <w:rPr>
                          <w:color w:val="000000"/>
                          <w:sz w:val="20"/>
                        </w:rPr>
                      </w:pPr>
                    </w:p>
                    <w:p>
                      <w:pPr>
                        <w:spacing w:before="0"/>
                        <w:ind w:left="112" w:right="0" w:firstLine="0"/>
                        <w:jc w:val="left"/>
                        <w:rPr>
                          <w:b/>
                          <w:color w:val="000000"/>
                          <w:sz w:val="22"/>
                        </w:rPr>
                      </w:pPr>
                      <w:r>
                        <w:rPr>
                          <w:b/>
                          <w:color w:val="000000"/>
                          <w:sz w:val="22"/>
                        </w:rPr>
                        <w:t>Summary</w:t>
                      </w:r>
                      <w:r>
                        <w:rPr>
                          <w:b/>
                          <w:color w:val="000000"/>
                          <w:spacing w:val="-13"/>
                          <w:sz w:val="22"/>
                        </w:rPr>
                        <w:t> </w:t>
                      </w:r>
                      <w:r>
                        <w:rPr>
                          <w:b/>
                          <w:color w:val="000000"/>
                          <w:sz w:val="22"/>
                        </w:rPr>
                        <w:t>of</w:t>
                      </w:r>
                      <w:r>
                        <w:rPr>
                          <w:b/>
                          <w:color w:val="000000"/>
                          <w:spacing w:val="-5"/>
                          <w:sz w:val="22"/>
                        </w:rPr>
                        <w:t> </w:t>
                      </w:r>
                      <w:r>
                        <w:rPr>
                          <w:b/>
                          <w:color w:val="000000"/>
                          <w:sz w:val="22"/>
                        </w:rPr>
                        <w:t>recommendations:</w:t>
                      </w:r>
                      <w:r>
                        <w:rPr>
                          <w:b/>
                          <w:color w:val="000000"/>
                          <w:spacing w:val="-6"/>
                          <w:sz w:val="22"/>
                        </w:rPr>
                        <w:t> </w:t>
                      </w:r>
                      <w:r>
                        <w:rPr>
                          <w:b/>
                          <w:color w:val="000000"/>
                          <w:sz w:val="22"/>
                        </w:rPr>
                        <w:t>Compliance</w:t>
                      </w:r>
                      <w:r>
                        <w:rPr>
                          <w:b/>
                          <w:color w:val="000000"/>
                          <w:spacing w:val="-8"/>
                          <w:sz w:val="22"/>
                        </w:rPr>
                        <w:t> </w:t>
                      </w:r>
                      <w:r>
                        <w:rPr>
                          <w:b/>
                          <w:color w:val="000000"/>
                          <w:sz w:val="22"/>
                        </w:rPr>
                        <w:t>and</w:t>
                      </w:r>
                      <w:r>
                        <w:rPr>
                          <w:b/>
                          <w:color w:val="000000"/>
                          <w:spacing w:val="-6"/>
                          <w:sz w:val="22"/>
                        </w:rPr>
                        <w:t> </w:t>
                      </w:r>
                      <w:r>
                        <w:rPr>
                          <w:b/>
                          <w:color w:val="000000"/>
                          <w:spacing w:val="-2"/>
                          <w:sz w:val="22"/>
                        </w:rPr>
                        <w:t>enforcement</w:t>
                      </w:r>
                    </w:p>
                    <w:p>
                      <w:pPr>
                        <w:pStyle w:val="BodyText"/>
                        <w:spacing w:before="3"/>
                        <w:rPr>
                          <w:b/>
                          <w:color w:val="000000"/>
                          <w:sz w:val="26"/>
                        </w:rPr>
                      </w:pPr>
                    </w:p>
                    <w:p>
                      <w:pPr>
                        <w:pStyle w:val="BodyText"/>
                        <w:ind w:left="175"/>
                        <w:rPr>
                          <w:color w:val="000000"/>
                        </w:rPr>
                      </w:pPr>
                      <w:r>
                        <w:rPr>
                          <w:color w:val="000000"/>
                        </w:rPr>
                        <w:t>Recommendations</w:t>
                      </w:r>
                      <w:r>
                        <w:rPr>
                          <w:color w:val="000000"/>
                          <w:spacing w:val="-8"/>
                        </w:rPr>
                        <w:t> </w:t>
                      </w:r>
                      <w:r>
                        <w:rPr>
                          <w:color w:val="000000"/>
                        </w:rPr>
                        <w:t>presented</w:t>
                      </w:r>
                      <w:r>
                        <w:rPr>
                          <w:color w:val="000000"/>
                          <w:spacing w:val="-4"/>
                        </w:rPr>
                        <w:t> </w:t>
                      </w:r>
                      <w:r>
                        <w:rPr>
                          <w:color w:val="000000"/>
                        </w:rPr>
                        <w:t>by</w:t>
                      </w:r>
                      <w:r>
                        <w:rPr>
                          <w:color w:val="000000"/>
                          <w:spacing w:val="-8"/>
                        </w:rPr>
                        <w:t> </w:t>
                      </w:r>
                      <w:r>
                        <w:rPr>
                          <w:color w:val="000000"/>
                        </w:rPr>
                        <w:t>the</w:t>
                      </w:r>
                      <w:r>
                        <w:rPr>
                          <w:color w:val="000000"/>
                          <w:spacing w:val="-7"/>
                        </w:rPr>
                        <w:t> </w:t>
                      </w:r>
                      <w:r>
                        <w:rPr>
                          <w:color w:val="000000"/>
                        </w:rPr>
                        <w:t>Review</w:t>
                      </w:r>
                      <w:r>
                        <w:rPr>
                          <w:color w:val="000000"/>
                          <w:spacing w:val="-8"/>
                        </w:rPr>
                        <w:t> </w:t>
                      </w:r>
                      <w:r>
                        <w:rPr>
                          <w:color w:val="000000"/>
                          <w:spacing w:val="-2"/>
                        </w:rPr>
                        <w:t>include:</w:t>
                      </w:r>
                    </w:p>
                    <w:p>
                      <w:pPr>
                        <w:pStyle w:val="BodyText"/>
                        <w:spacing w:before="9"/>
                        <w:rPr>
                          <w:color w:val="000000"/>
                          <w:sz w:val="20"/>
                        </w:rPr>
                      </w:pPr>
                    </w:p>
                    <w:p>
                      <w:pPr>
                        <w:pStyle w:val="BodyText"/>
                        <w:numPr>
                          <w:ilvl w:val="0"/>
                          <w:numId w:val="7"/>
                        </w:numPr>
                        <w:tabs>
                          <w:tab w:pos="341" w:val="left" w:leader="none"/>
                        </w:tabs>
                        <w:spacing w:line="288" w:lineRule="auto" w:before="0" w:after="0"/>
                        <w:ind w:left="341" w:right="502" w:hanging="200"/>
                        <w:jc w:val="left"/>
                        <w:rPr>
                          <w:color w:val="000000"/>
                        </w:rPr>
                      </w:pPr>
                      <w:r>
                        <w:rPr>
                          <w:color w:val="000000"/>
                        </w:rPr>
                        <w:t>a substantial increase in ESV's audit and inspection resources and activity in accordance</w:t>
                      </w:r>
                      <w:r>
                        <w:rPr>
                          <w:color w:val="000000"/>
                          <w:spacing w:val="-6"/>
                        </w:rPr>
                        <w:t> </w:t>
                      </w:r>
                      <w:r>
                        <w:rPr>
                          <w:color w:val="000000"/>
                        </w:rPr>
                        <w:t>with</w:t>
                      </w:r>
                      <w:r>
                        <w:rPr>
                          <w:color w:val="000000"/>
                          <w:spacing w:val="-4"/>
                        </w:rPr>
                        <w:t> </w:t>
                      </w:r>
                      <w:r>
                        <w:rPr>
                          <w:color w:val="000000"/>
                        </w:rPr>
                        <w:t>the</w:t>
                      </w:r>
                      <w:r>
                        <w:rPr>
                          <w:color w:val="000000"/>
                          <w:spacing w:val="-4"/>
                        </w:rPr>
                        <w:t> </w:t>
                      </w:r>
                      <w:r>
                        <w:rPr>
                          <w:color w:val="000000"/>
                        </w:rPr>
                        <w:t>directions</w:t>
                      </w:r>
                      <w:r>
                        <w:rPr>
                          <w:color w:val="000000"/>
                          <w:spacing w:val="-3"/>
                        </w:rPr>
                        <w:t> </w:t>
                      </w:r>
                      <w:r>
                        <w:rPr>
                          <w:color w:val="000000"/>
                        </w:rPr>
                        <w:t>set</w:t>
                      </w:r>
                      <w:r>
                        <w:rPr>
                          <w:color w:val="000000"/>
                          <w:spacing w:val="-2"/>
                        </w:rPr>
                        <w:t> </w:t>
                      </w:r>
                      <w:r>
                        <w:rPr>
                          <w:color w:val="000000"/>
                        </w:rPr>
                        <w:t>out</w:t>
                      </w:r>
                      <w:r>
                        <w:rPr>
                          <w:color w:val="000000"/>
                          <w:spacing w:val="-2"/>
                        </w:rPr>
                        <w:t> </w:t>
                      </w:r>
                      <w:r>
                        <w:rPr>
                          <w:color w:val="000000"/>
                        </w:rPr>
                        <w:t>in</w:t>
                      </w:r>
                      <w:r>
                        <w:rPr>
                          <w:color w:val="000000"/>
                          <w:spacing w:val="-6"/>
                        </w:rPr>
                        <w:t> </w:t>
                      </w:r>
                      <w:r>
                        <w:rPr>
                          <w:color w:val="000000"/>
                        </w:rPr>
                        <w:t>ESV's </w:t>
                      </w:r>
                      <w:r>
                        <w:rPr>
                          <w:i/>
                          <w:color w:val="000000"/>
                        </w:rPr>
                        <w:t>Corporate</w:t>
                      </w:r>
                      <w:r>
                        <w:rPr>
                          <w:i/>
                          <w:color w:val="000000"/>
                          <w:spacing w:val="-4"/>
                        </w:rPr>
                        <w:t> </w:t>
                      </w:r>
                      <w:r>
                        <w:rPr>
                          <w:i/>
                          <w:color w:val="000000"/>
                        </w:rPr>
                        <w:t>Plan</w:t>
                      </w:r>
                      <w:r>
                        <w:rPr>
                          <w:i/>
                          <w:color w:val="000000"/>
                          <w:spacing w:val="-4"/>
                        </w:rPr>
                        <w:t> </w:t>
                      </w:r>
                      <w:r>
                        <w:rPr>
                          <w:i/>
                          <w:color w:val="000000"/>
                        </w:rPr>
                        <w:t>2017–2020</w:t>
                      </w:r>
                      <w:r>
                        <w:rPr>
                          <w:color w:val="000000"/>
                        </w:rPr>
                        <w:t>,</w:t>
                      </w:r>
                      <w:r>
                        <w:rPr>
                          <w:color w:val="000000"/>
                          <w:spacing w:val="-2"/>
                        </w:rPr>
                        <w:t> </w:t>
                      </w:r>
                      <w:r>
                        <w:rPr>
                          <w:color w:val="000000"/>
                        </w:rPr>
                        <w:t>and</w:t>
                      </w:r>
                      <w:r>
                        <w:rPr>
                          <w:color w:val="000000"/>
                          <w:spacing w:val="-6"/>
                        </w:rPr>
                        <w:t> </w:t>
                      </w:r>
                      <w:r>
                        <w:rPr>
                          <w:color w:val="000000"/>
                        </w:rPr>
                        <w:t>with strong and transparent reporting of ESV's performance (Recommendation 6);</w:t>
                      </w:r>
                    </w:p>
                    <w:p>
                      <w:pPr>
                        <w:pStyle w:val="BodyText"/>
                        <w:spacing w:before="11"/>
                        <w:rPr>
                          <w:color w:val="000000"/>
                          <w:sz w:val="20"/>
                        </w:rPr>
                      </w:pPr>
                    </w:p>
                    <w:p>
                      <w:pPr>
                        <w:numPr>
                          <w:ilvl w:val="0"/>
                          <w:numId w:val="7"/>
                        </w:numPr>
                        <w:tabs>
                          <w:tab w:pos="341" w:val="left" w:leader="none"/>
                        </w:tabs>
                        <w:spacing w:line="288" w:lineRule="auto" w:before="0"/>
                        <w:ind w:left="341" w:right="235" w:hanging="200"/>
                        <w:jc w:val="both"/>
                        <w:rPr>
                          <w:color w:val="000000"/>
                          <w:sz w:val="22"/>
                        </w:rPr>
                      </w:pPr>
                      <w:r>
                        <w:rPr>
                          <w:color w:val="000000"/>
                          <w:sz w:val="22"/>
                        </w:rPr>
                        <w:t>the implementation by</w:t>
                      </w:r>
                      <w:r>
                        <w:rPr>
                          <w:color w:val="000000"/>
                          <w:spacing w:val="-1"/>
                          <w:sz w:val="22"/>
                        </w:rPr>
                        <w:t> </w:t>
                      </w:r>
                      <w:r>
                        <w:rPr>
                          <w:color w:val="000000"/>
                          <w:sz w:val="22"/>
                        </w:rPr>
                        <w:t>ESV of a</w:t>
                      </w:r>
                      <w:r>
                        <w:rPr>
                          <w:color w:val="000000"/>
                          <w:spacing w:val="-1"/>
                          <w:sz w:val="22"/>
                        </w:rPr>
                        <w:t> </w:t>
                      </w:r>
                      <w:r>
                        <w:rPr>
                          <w:color w:val="000000"/>
                          <w:sz w:val="22"/>
                        </w:rPr>
                        <w:t>more</w:t>
                      </w:r>
                      <w:r>
                        <w:rPr>
                          <w:color w:val="000000"/>
                          <w:spacing w:val="-1"/>
                          <w:sz w:val="22"/>
                        </w:rPr>
                        <w:t> </w:t>
                      </w:r>
                      <w:r>
                        <w:rPr>
                          <w:color w:val="000000"/>
                          <w:sz w:val="22"/>
                        </w:rPr>
                        <w:t>robust approach</w:t>
                      </w:r>
                      <w:r>
                        <w:rPr>
                          <w:color w:val="000000"/>
                          <w:spacing w:val="-1"/>
                          <w:sz w:val="22"/>
                        </w:rPr>
                        <w:t> </w:t>
                      </w:r>
                      <w:r>
                        <w:rPr>
                          <w:color w:val="000000"/>
                          <w:sz w:val="22"/>
                        </w:rPr>
                        <w:t>to compliance and</w:t>
                      </w:r>
                      <w:r>
                        <w:rPr>
                          <w:color w:val="000000"/>
                          <w:spacing w:val="-1"/>
                          <w:sz w:val="22"/>
                        </w:rPr>
                        <w:t> </w:t>
                      </w:r>
                      <w:r>
                        <w:rPr>
                          <w:color w:val="000000"/>
                          <w:sz w:val="22"/>
                        </w:rPr>
                        <w:t>enforcement and</w:t>
                      </w:r>
                      <w:r>
                        <w:rPr>
                          <w:color w:val="000000"/>
                          <w:spacing w:val="-3"/>
                          <w:sz w:val="22"/>
                        </w:rPr>
                        <w:t> </w:t>
                      </w:r>
                      <w:r>
                        <w:rPr>
                          <w:color w:val="000000"/>
                          <w:sz w:val="22"/>
                        </w:rPr>
                        <w:t>the</w:t>
                      </w:r>
                      <w:r>
                        <w:rPr>
                          <w:color w:val="000000"/>
                          <w:spacing w:val="-5"/>
                          <w:sz w:val="22"/>
                        </w:rPr>
                        <w:t> </w:t>
                      </w:r>
                      <w:r>
                        <w:rPr>
                          <w:color w:val="000000"/>
                          <w:sz w:val="22"/>
                        </w:rPr>
                        <w:t>preparation</w:t>
                      </w:r>
                      <w:r>
                        <w:rPr>
                          <w:color w:val="000000"/>
                          <w:spacing w:val="-3"/>
                          <w:sz w:val="22"/>
                        </w:rPr>
                        <w:t> </w:t>
                      </w:r>
                      <w:r>
                        <w:rPr>
                          <w:color w:val="000000"/>
                          <w:sz w:val="22"/>
                        </w:rPr>
                        <w:t>of</w:t>
                      </w:r>
                      <w:r>
                        <w:rPr>
                          <w:color w:val="000000"/>
                          <w:spacing w:val="-4"/>
                          <w:sz w:val="22"/>
                        </w:rPr>
                        <w:t> </w:t>
                      </w:r>
                      <w:r>
                        <w:rPr>
                          <w:color w:val="000000"/>
                          <w:sz w:val="22"/>
                        </w:rPr>
                        <w:t>an</w:t>
                      </w:r>
                      <w:r>
                        <w:rPr>
                          <w:color w:val="000000"/>
                          <w:spacing w:val="-3"/>
                          <w:sz w:val="22"/>
                        </w:rPr>
                        <w:t> </w:t>
                      </w:r>
                      <w:r>
                        <w:rPr>
                          <w:color w:val="000000"/>
                          <w:sz w:val="22"/>
                        </w:rPr>
                        <w:t>updated</w:t>
                      </w:r>
                      <w:r>
                        <w:rPr>
                          <w:color w:val="000000"/>
                          <w:spacing w:val="-4"/>
                          <w:sz w:val="22"/>
                        </w:rPr>
                        <w:t> </w:t>
                      </w:r>
                      <w:r>
                        <w:rPr>
                          <w:i/>
                          <w:color w:val="000000"/>
                          <w:sz w:val="22"/>
                        </w:rPr>
                        <w:t>Charter</w:t>
                      </w:r>
                      <w:r>
                        <w:rPr>
                          <w:i/>
                          <w:color w:val="000000"/>
                          <w:spacing w:val="-4"/>
                          <w:sz w:val="22"/>
                        </w:rPr>
                        <w:t> </w:t>
                      </w:r>
                      <w:r>
                        <w:rPr>
                          <w:i/>
                          <w:color w:val="000000"/>
                          <w:sz w:val="22"/>
                        </w:rPr>
                        <w:t>of</w:t>
                      </w:r>
                      <w:r>
                        <w:rPr>
                          <w:i/>
                          <w:color w:val="000000"/>
                          <w:spacing w:val="-4"/>
                          <w:sz w:val="22"/>
                        </w:rPr>
                        <w:t> </w:t>
                      </w:r>
                      <w:r>
                        <w:rPr>
                          <w:i/>
                          <w:color w:val="000000"/>
                          <w:sz w:val="22"/>
                        </w:rPr>
                        <w:t>Consultation</w:t>
                      </w:r>
                      <w:r>
                        <w:rPr>
                          <w:i/>
                          <w:color w:val="000000"/>
                          <w:spacing w:val="-3"/>
                          <w:sz w:val="22"/>
                        </w:rPr>
                        <w:t> </w:t>
                      </w:r>
                      <w:r>
                        <w:rPr>
                          <w:i/>
                          <w:color w:val="000000"/>
                          <w:sz w:val="22"/>
                        </w:rPr>
                        <w:t>and</w:t>
                      </w:r>
                      <w:r>
                        <w:rPr>
                          <w:i/>
                          <w:color w:val="000000"/>
                          <w:spacing w:val="-5"/>
                          <w:sz w:val="22"/>
                        </w:rPr>
                        <w:t> </w:t>
                      </w:r>
                      <w:r>
                        <w:rPr>
                          <w:i/>
                          <w:color w:val="000000"/>
                          <w:sz w:val="22"/>
                        </w:rPr>
                        <w:t>Regulatory</w:t>
                      </w:r>
                      <w:r>
                        <w:rPr>
                          <w:i/>
                          <w:color w:val="000000"/>
                          <w:spacing w:val="-2"/>
                          <w:sz w:val="22"/>
                        </w:rPr>
                        <w:t> </w:t>
                      </w:r>
                      <w:r>
                        <w:rPr>
                          <w:i/>
                          <w:color w:val="000000"/>
                          <w:sz w:val="22"/>
                        </w:rPr>
                        <w:t>Practice </w:t>
                      </w:r>
                      <w:r>
                        <w:rPr>
                          <w:color w:val="000000"/>
                          <w:sz w:val="22"/>
                        </w:rPr>
                        <w:t>and </w:t>
                      </w:r>
                      <w:r>
                        <w:rPr>
                          <w:i/>
                          <w:color w:val="000000"/>
                          <w:sz w:val="22"/>
                        </w:rPr>
                        <w:t>Compliance and Enforcement Policy, </w:t>
                      </w:r>
                      <w:r>
                        <w:rPr>
                          <w:color w:val="000000"/>
                          <w:sz w:val="22"/>
                        </w:rPr>
                        <w:t>to reflect this change (Recommendation 9);</w:t>
                      </w:r>
                    </w:p>
                    <w:p>
                      <w:pPr>
                        <w:pStyle w:val="BodyText"/>
                        <w:spacing w:before="9"/>
                        <w:rPr>
                          <w:color w:val="000000"/>
                          <w:sz w:val="20"/>
                        </w:rPr>
                      </w:pPr>
                    </w:p>
                    <w:p>
                      <w:pPr>
                        <w:pStyle w:val="BodyText"/>
                        <w:numPr>
                          <w:ilvl w:val="0"/>
                          <w:numId w:val="7"/>
                        </w:numPr>
                        <w:tabs>
                          <w:tab w:pos="341" w:val="left" w:leader="none"/>
                        </w:tabs>
                        <w:spacing w:line="288" w:lineRule="auto" w:before="0" w:after="0"/>
                        <w:ind w:left="341" w:right="401" w:hanging="200"/>
                        <w:jc w:val="both"/>
                        <w:rPr>
                          <w:color w:val="000000"/>
                        </w:rPr>
                      </w:pPr>
                      <w:r>
                        <w:rPr>
                          <w:color w:val="000000"/>
                        </w:rPr>
                        <w:t>an</w:t>
                      </w:r>
                      <w:r>
                        <w:rPr>
                          <w:color w:val="000000"/>
                          <w:spacing w:val="-2"/>
                        </w:rPr>
                        <w:t> </w:t>
                      </w:r>
                      <w:r>
                        <w:rPr>
                          <w:color w:val="000000"/>
                        </w:rPr>
                        <w:t>expansion</w:t>
                      </w:r>
                      <w:r>
                        <w:rPr>
                          <w:color w:val="000000"/>
                          <w:spacing w:val="-2"/>
                        </w:rPr>
                        <w:t> </w:t>
                      </w:r>
                      <w:r>
                        <w:rPr>
                          <w:color w:val="000000"/>
                        </w:rPr>
                        <w:t>in</w:t>
                      </w:r>
                      <w:r>
                        <w:rPr>
                          <w:color w:val="000000"/>
                          <w:spacing w:val="-2"/>
                        </w:rPr>
                        <w:t> </w:t>
                      </w:r>
                      <w:r>
                        <w:rPr>
                          <w:color w:val="000000"/>
                        </w:rPr>
                        <w:t>the</w:t>
                      </w:r>
                      <w:r>
                        <w:rPr>
                          <w:color w:val="000000"/>
                          <w:spacing w:val="-4"/>
                        </w:rPr>
                        <w:t> </w:t>
                      </w:r>
                      <w:r>
                        <w:rPr>
                          <w:color w:val="000000"/>
                        </w:rPr>
                        <w:t>range</w:t>
                      </w:r>
                      <w:r>
                        <w:rPr>
                          <w:color w:val="000000"/>
                          <w:spacing w:val="-2"/>
                        </w:rPr>
                        <w:t> </w:t>
                      </w:r>
                      <w:r>
                        <w:rPr>
                          <w:color w:val="000000"/>
                        </w:rPr>
                        <w:t>of regulatory</w:t>
                      </w:r>
                      <w:r>
                        <w:rPr>
                          <w:color w:val="000000"/>
                          <w:spacing w:val="-4"/>
                        </w:rPr>
                        <w:t> </w:t>
                      </w:r>
                      <w:r>
                        <w:rPr>
                          <w:color w:val="000000"/>
                        </w:rPr>
                        <w:t>tools</w:t>
                      </w:r>
                      <w:r>
                        <w:rPr>
                          <w:color w:val="000000"/>
                          <w:spacing w:val="-1"/>
                        </w:rPr>
                        <w:t> </w:t>
                      </w:r>
                      <w:r>
                        <w:rPr>
                          <w:color w:val="000000"/>
                        </w:rPr>
                        <w:t>available</w:t>
                      </w:r>
                      <w:r>
                        <w:rPr>
                          <w:color w:val="000000"/>
                          <w:spacing w:val="-2"/>
                        </w:rPr>
                        <w:t> </w:t>
                      </w:r>
                      <w:r>
                        <w:rPr>
                          <w:color w:val="000000"/>
                        </w:rPr>
                        <w:t>to</w:t>
                      </w:r>
                      <w:r>
                        <w:rPr>
                          <w:color w:val="000000"/>
                          <w:spacing w:val="-2"/>
                        </w:rPr>
                        <w:t> </w:t>
                      </w:r>
                      <w:r>
                        <w:rPr>
                          <w:color w:val="000000"/>
                        </w:rPr>
                        <w:t>ESV,</w:t>
                      </w:r>
                      <w:r>
                        <w:rPr>
                          <w:color w:val="000000"/>
                          <w:spacing w:val="-3"/>
                        </w:rPr>
                        <w:t> </w:t>
                      </w:r>
                      <w:r>
                        <w:rPr>
                          <w:color w:val="000000"/>
                        </w:rPr>
                        <w:t>including</w:t>
                      </w:r>
                      <w:r>
                        <w:rPr>
                          <w:color w:val="000000"/>
                          <w:spacing w:val="-2"/>
                        </w:rPr>
                        <w:t> </w:t>
                      </w:r>
                      <w:r>
                        <w:rPr>
                          <w:color w:val="000000"/>
                        </w:rPr>
                        <w:t>a</w:t>
                      </w:r>
                      <w:r>
                        <w:rPr>
                          <w:color w:val="000000"/>
                          <w:spacing w:val="-4"/>
                        </w:rPr>
                        <w:t> </w:t>
                      </w:r>
                      <w:r>
                        <w:rPr>
                          <w:color w:val="000000"/>
                        </w:rPr>
                        <w:t>capacity</w:t>
                      </w:r>
                      <w:r>
                        <w:rPr>
                          <w:color w:val="000000"/>
                          <w:spacing w:val="-4"/>
                        </w:rPr>
                        <w:t> </w:t>
                      </w:r>
                      <w:r>
                        <w:rPr>
                          <w:color w:val="000000"/>
                        </w:rPr>
                        <w:t>to enter</w:t>
                      </w:r>
                      <w:r>
                        <w:rPr>
                          <w:color w:val="000000"/>
                          <w:spacing w:val="-5"/>
                        </w:rPr>
                        <w:t> </w:t>
                      </w:r>
                      <w:r>
                        <w:rPr>
                          <w:color w:val="000000"/>
                        </w:rPr>
                        <w:t>into</w:t>
                      </w:r>
                      <w:r>
                        <w:rPr>
                          <w:color w:val="000000"/>
                          <w:spacing w:val="-3"/>
                        </w:rPr>
                        <w:t> </w:t>
                      </w:r>
                      <w:r>
                        <w:rPr>
                          <w:color w:val="000000"/>
                        </w:rPr>
                        <w:t>enforceable</w:t>
                      </w:r>
                      <w:r>
                        <w:rPr>
                          <w:color w:val="000000"/>
                          <w:spacing w:val="-4"/>
                        </w:rPr>
                        <w:t> </w:t>
                      </w:r>
                      <w:r>
                        <w:rPr>
                          <w:color w:val="000000"/>
                        </w:rPr>
                        <w:t>undertakings</w:t>
                      </w:r>
                      <w:r>
                        <w:rPr>
                          <w:color w:val="000000"/>
                          <w:spacing w:val="-6"/>
                        </w:rPr>
                        <w:t> </w:t>
                      </w:r>
                      <w:r>
                        <w:rPr>
                          <w:color w:val="000000"/>
                        </w:rPr>
                        <w:t>and</w:t>
                      </w:r>
                      <w:r>
                        <w:rPr>
                          <w:color w:val="000000"/>
                          <w:spacing w:val="-4"/>
                        </w:rPr>
                        <w:t> </w:t>
                      </w:r>
                      <w:r>
                        <w:rPr>
                          <w:color w:val="000000"/>
                        </w:rPr>
                        <w:t>seek</w:t>
                      </w:r>
                      <w:r>
                        <w:rPr>
                          <w:color w:val="000000"/>
                          <w:spacing w:val="-3"/>
                        </w:rPr>
                        <w:t> </w:t>
                      </w:r>
                      <w:r>
                        <w:rPr>
                          <w:color w:val="000000"/>
                        </w:rPr>
                        <w:t>injunctions</w:t>
                      </w:r>
                      <w:r>
                        <w:rPr>
                          <w:color w:val="000000"/>
                          <w:spacing w:val="-4"/>
                        </w:rPr>
                        <w:t> </w:t>
                      </w:r>
                      <w:r>
                        <w:rPr>
                          <w:color w:val="000000"/>
                        </w:rPr>
                        <w:t>and</w:t>
                      </w:r>
                      <w:r>
                        <w:rPr>
                          <w:color w:val="000000"/>
                          <w:spacing w:val="-6"/>
                        </w:rPr>
                        <w:t> </w:t>
                      </w:r>
                      <w:r>
                        <w:rPr>
                          <w:color w:val="000000"/>
                        </w:rPr>
                        <w:t>adverse</w:t>
                      </w:r>
                      <w:r>
                        <w:rPr>
                          <w:color w:val="000000"/>
                          <w:spacing w:val="-3"/>
                        </w:rPr>
                        <w:t> </w:t>
                      </w:r>
                      <w:r>
                        <w:rPr>
                          <w:color w:val="000000"/>
                        </w:rPr>
                        <w:t>publicity</w:t>
                      </w:r>
                      <w:r>
                        <w:rPr>
                          <w:color w:val="000000"/>
                          <w:spacing w:val="-6"/>
                        </w:rPr>
                        <w:t> </w:t>
                      </w:r>
                      <w:r>
                        <w:rPr>
                          <w:color w:val="000000"/>
                        </w:rPr>
                        <w:t>orders (Recommendation 12); and</w:t>
                      </w:r>
                    </w:p>
                    <w:p>
                      <w:pPr>
                        <w:pStyle w:val="BodyText"/>
                        <w:rPr>
                          <w:color w:val="000000"/>
                          <w:sz w:val="21"/>
                        </w:rPr>
                      </w:pPr>
                    </w:p>
                    <w:p>
                      <w:pPr>
                        <w:pStyle w:val="BodyText"/>
                        <w:numPr>
                          <w:ilvl w:val="0"/>
                          <w:numId w:val="7"/>
                        </w:numPr>
                        <w:tabs>
                          <w:tab w:pos="341" w:val="left" w:leader="none"/>
                        </w:tabs>
                        <w:spacing w:line="288" w:lineRule="auto" w:before="0" w:after="0"/>
                        <w:ind w:left="341" w:right="743" w:hanging="200"/>
                        <w:jc w:val="left"/>
                        <w:rPr>
                          <w:color w:val="000000"/>
                        </w:rPr>
                      </w:pPr>
                      <w:r>
                        <w:rPr>
                          <w:color w:val="000000"/>
                        </w:rPr>
                        <w:t>a</w:t>
                      </w:r>
                      <w:r>
                        <w:rPr>
                          <w:color w:val="000000"/>
                          <w:spacing w:val="-3"/>
                        </w:rPr>
                        <w:t> </w:t>
                      </w:r>
                      <w:r>
                        <w:rPr>
                          <w:color w:val="000000"/>
                        </w:rPr>
                        <w:t>review</w:t>
                      </w:r>
                      <w:r>
                        <w:rPr>
                          <w:color w:val="000000"/>
                          <w:spacing w:val="-6"/>
                        </w:rPr>
                        <w:t> </w:t>
                      </w:r>
                      <w:r>
                        <w:rPr>
                          <w:color w:val="000000"/>
                        </w:rPr>
                        <w:t>of penalties,</w:t>
                      </w:r>
                      <w:r>
                        <w:rPr>
                          <w:color w:val="000000"/>
                          <w:spacing w:val="-1"/>
                        </w:rPr>
                        <w:t> </w:t>
                      </w:r>
                      <w:r>
                        <w:rPr>
                          <w:color w:val="000000"/>
                        </w:rPr>
                        <w:t>with</w:t>
                      </w:r>
                      <w:r>
                        <w:rPr>
                          <w:color w:val="000000"/>
                          <w:spacing w:val="-3"/>
                        </w:rPr>
                        <w:t> </w:t>
                      </w:r>
                      <w:r>
                        <w:rPr>
                          <w:color w:val="000000"/>
                        </w:rPr>
                        <w:t>a</w:t>
                      </w:r>
                      <w:r>
                        <w:rPr>
                          <w:color w:val="000000"/>
                          <w:spacing w:val="-2"/>
                        </w:rPr>
                        <w:t> </w:t>
                      </w:r>
                      <w:r>
                        <w:rPr>
                          <w:color w:val="000000"/>
                        </w:rPr>
                        <w:t>view</w:t>
                      </w:r>
                      <w:r>
                        <w:rPr>
                          <w:color w:val="000000"/>
                          <w:spacing w:val="-6"/>
                        </w:rPr>
                        <w:t> </w:t>
                      </w:r>
                      <w:r>
                        <w:rPr>
                          <w:color w:val="000000"/>
                        </w:rPr>
                        <w:t>to</w:t>
                      </w:r>
                      <w:r>
                        <w:rPr>
                          <w:color w:val="000000"/>
                          <w:spacing w:val="-3"/>
                        </w:rPr>
                        <w:t> </w:t>
                      </w:r>
                      <w:r>
                        <w:rPr>
                          <w:color w:val="000000"/>
                        </w:rPr>
                        <w:t>increasing</w:t>
                      </w:r>
                      <w:r>
                        <w:rPr>
                          <w:color w:val="000000"/>
                          <w:spacing w:val="-3"/>
                        </w:rPr>
                        <w:t> </w:t>
                      </w:r>
                      <w:r>
                        <w:rPr>
                          <w:color w:val="000000"/>
                        </w:rPr>
                        <w:t>penalties</w:t>
                      </w:r>
                      <w:r>
                        <w:rPr>
                          <w:color w:val="000000"/>
                          <w:spacing w:val="-3"/>
                        </w:rPr>
                        <w:t> </w:t>
                      </w:r>
                      <w:r>
                        <w:rPr>
                          <w:color w:val="000000"/>
                        </w:rPr>
                        <w:t>to</w:t>
                      </w:r>
                      <w:r>
                        <w:rPr>
                          <w:color w:val="000000"/>
                          <w:spacing w:val="-5"/>
                        </w:rPr>
                        <w:t> </w:t>
                      </w:r>
                      <w:r>
                        <w:rPr>
                          <w:color w:val="000000"/>
                        </w:rPr>
                        <w:t>bring</w:t>
                      </w:r>
                      <w:r>
                        <w:rPr>
                          <w:color w:val="000000"/>
                          <w:spacing w:val="-3"/>
                        </w:rPr>
                        <w:t> </w:t>
                      </w:r>
                      <w:r>
                        <w:rPr>
                          <w:color w:val="000000"/>
                        </w:rPr>
                        <w:t>them</w:t>
                      </w:r>
                      <w:r>
                        <w:rPr>
                          <w:color w:val="000000"/>
                          <w:spacing w:val="-4"/>
                        </w:rPr>
                        <w:t> </w:t>
                      </w:r>
                      <w:r>
                        <w:rPr>
                          <w:color w:val="000000"/>
                        </w:rPr>
                        <w:t>into</w:t>
                      </w:r>
                      <w:r>
                        <w:rPr>
                          <w:color w:val="000000"/>
                          <w:spacing w:val="-7"/>
                        </w:rPr>
                        <w:t> </w:t>
                      </w:r>
                      <w:r>
                        <w:rPr>
                          <w:color w:val="000000"/>
                        </w:rPr>
                        <w:t>greater alignment with other leading safety regimes (Recommendation 13).</w:t>
                      </w:r>
                    </w:p>
                  </w:txbxContent>
                </v:textbox>
                <v:fill type="solid"/>
                <w10:wrap type="topAndBottom"/>
              </v:shape>
            </w:pict>
          </mc:Fallback>
        </mc:AlternateContent>
      </w:r>
    </w:p>
    <w:p>
      <w:pPr>
        <w:pStyle w:val="BodyText"/>
        <w:rPr>
          <w:sz w:val="20"/>
        </w:rPr>
      </w:pPr>
    </w:p>
    <w:p>
      <w:pPr>
        <w:pStyle w:val="BodyText"/>
        <w:spacing w:before="1"/>
        <w:rPr>
          <w:sz w:val="25"/>
        </w:rPr>
      </w:pPr>
      <w:r>
        <w:rPr/>
        <mc:AlternateContent>
          <mc:Choice Requires="wps">
            <w:drawing>
              <wp:anchor distT="0" distB="0" distL="0" distR="0" allowOverlap="1" layoutInCell="1" locked="0" behindDoc="1" simplePos="0" relativeHeight="487589376">
                <wp:simplePos x="0" y="0"/>
                <wp:positionH relativeFrom="page">
                  <wp:posOffset>719327</wp:posOffset>
                </wp:positionH>
                <wp:positionV relativeFrom="paragraph">
                  <wp:posOffset>198462</wp:posOffset>
                </wp:positionV>
                <wp:extent cx="5753100" cy="2690495"/>
                <wp:effectExtent l="0" t="0" r="0" b="0"/>
                <wp:wrapTopAndBottom/>
                <wp:docPr id="7" name="Textbox 7"/>
                <wp:cNvGraphicFramePr>
                  <a:graphicFrameLocks/>
                </wp:cNvGraphicFramePr>
                <a:graphic>
                  <a:graphicData uri="http://schemas.microsoft.com/office/word/2010/wordprocessingShape">
                    <wps:wsp>
                      <wps:cNvPr id="7" name="Textbox 7"/>
                      <wps:cNvSpPr txBox="1"/>
                      <wps:spPr>
                        <a:xfrm>
                          <a:off x="0" y="0"/>
                          <a:ext cx="5753100" cy="2690495"/>
                        </a:xfrm>
                        <a:prstGeom prst="rect">
                          <a:avLst/>
                        </a:prstGeom>
                        <a:solidFill>
                          <a:srgbClr val="D9D9D9"/>
                        </a:solidFill>
                      </wps:spPr>
                      <wps:txbx>
                        <w:txbxContent>
                          <w:p>
                            <w:pPr>
                              <w:pStyle w:val="BodyText"/>
                              <w:spacing w:before="9"/>
                              <w:rPr>
                                <w:color w:val="000000"/>
                                <w:sz w:val="20"/>
                              </w:rPr>
                            </w:pPr>
                          </w:p>
                          <w:p>
                            <w:pPr>
                              <w:spacing w:before="1"/>
                              <w:ind w:left="112" w:right="0" w:firstLine="0"/>
                              <w:jc w:val="left"/>
                              <w:rPr>
                                <w:b/>
                                <w:color w:val="000000"/>
                                <w:sz w:val="22"/>
                              </w:rPr>
                            </w:pPr>
                            <w:r>
                              <w:rPr>
                                <w:b/>
                                <w:color w:val="000000"/>
                                <w:sz w:val="22"/>
                              </w:rPr>
                              <w:t>Summary</w:t>
                            </w:r>
                            <w:r>
                              <w:rPr>
                                <w:b/>
                                <w:color w:val="000000"/>
                                <w:spacing w:val="-13"/>
                                <w:sz w:val="22"/>
                              </w:rPr>
                              <w:t> </w:t>
                            </w:r>
                            <w:r>
                              <w:rPr>
                                <w:b/>
                                <w:color w:val="000000"/>
                                <w:sz w:val="22"/>
                              </w:rPr>
                              <w:t>of</w:t>
                            </w:r>
                            <w:r>
                              <w:rPr>
                                <w:b/>
                                <w:color w:val="000000"/>
                                <w:spacing w:val="-5"/>
                                <w:sz w:val="22"/>
                              </w:rPr>
                              <w:t> </w:t>
                            </w:r>
                            <w:r>
                              <w:rPr>
                                <w:b/>
                                <w:color w:val="000000"/>
                                <w:sz w:val="22"/>
                              </w:rPr>
                              <w:t>recommendations:</w:t>
                            </w:r>
                            <w:r>
                              <w:rPr>
                                <w:b/>
                                <w:color w:val="000000"/>
                                <w:spacing w:val="-6"/>
                                <w:sz w:val="22"/>
                              </w:rPr>
                              <w:t> </w:t>
                            </w:r>
                            <w:r>
                              <w:rPr>
                                <w:b/>
                                <w:color w:val="000000"/>
                                <w:sz w:val="22"/>
                              </w:rPr>
                              <w:t>Strategic</w:t>
                            </w:r>
                            <w:r>
                              <w:rPr>
                                <w:b/>
                                <w:color w:val="000000"/>
                                <w:spacing w:val="-7"/>
                                <w:sz w:val="22"/>
                              </w:rPr>
                              <w:t> </w:t>
                            </w:r>
                            <w:r>
                              <w:rPr>
                                <w:b/>
                                <w:color w:val="000000"/>
                                <w:sz w:val="22"/>
                              </w:rPr>
                              <w:t>and</w:t>
                            </w:r>
                            <w:r>
                              <w:rPr>
                                <w:b/>
                                <w:color w:val="000000"/>
                                <w:spacing w:val="-11"/>
                                <w:sz w:val="22"/>
                              </w:rPr>
                              <w:t> </w:t>
                            </w:r>
                            <w:r>
                              <w:rPr>
                                <w:b/>
                                <w:color w:val="000000"/>
                                <w:sz w:val="22"/>
                              </w:rPr>
                              <w:t>analytical</w:t>
                            </w:r>
                            <w:r>
                              <w:rPr>
                                <w:b/>
                                <w:color w:val="000000"/>
                                <w:spacing w:val="-4"/>
                                <w:sz w:val="22"/>
                              </w:rPr>
                              <w:t> </w:t>
                            </w:r>
                            <w:r>
                              <w:rPr>
                                <w:b/>
                                <w:color w:val="000000"/>
                                <w:spacing w:val="-2"/>
                                <w:sz w:val="22"/>
                              </w:rPr>
                              <w:t>capabilities</w:t>
                            </w:r>
                          </w:p>
                          <w:p>
                            <w:pPr>
                              <w:pStyle w:val="BodyText"/>
                              <w:spacing w:before="4"/>
                              <w:rPr>
                                <w:b/>
                                <w:color w:val="000000"/>
                                <w:sz w:val="25"/>
                              </w:rPr>
                            </w:pPr>
                          </w:p>
                          <w:p>
                            <w:pPr>
                              <w:pStyle w:val="BodyText"/>
                              <w:ind w:left="112"/>
                              <w:rPr>
                                <w:color w:val="000000"/>
                              </w:rPr>
                            </w:pPr>
                            <w:r>
                              <w:rPr>
                                <w:color w:val="000000"/>
                              </w:rPr>
                              <w:t>Recommendations</w:t>
                            </w:r>
                            <w:r>
                              <w:rPr>
                                <w:color w:val="000000"/>
                                <w:spacing w:val="-6"/>
                              </w:rPr>
                              <w:t> </w:t>
                            </w:r>
                            <w:r>
                              <w:rPr>
                                <w:color w:val="000000"/>
                              </w:rPr>
                              <w:t>presented</w:t>
                            </w:r>
                            <w:r>
                              <w:rPr>
                                <w:color w:val="000000"/>
                                <w:spacing w:val="-6"/>
                              </w:rPr>
                              <w:t> </w:t>
                            </w:r>
                            <w:r>
                              <w:rPr>
                                <w:color w:val="000000"/>
                              </w:rPr>
                              <w:t>by</w:t>
                            </w:r>
                            <w:r>
                              <w:rPr>
                                <w:color w:val="000000"/>
                                <w:spacing w:val="-9"/>
                              </w:rPr>
                              <w:t> </w:t>
                            </w:r>
                            <w:r>
                              <w:rPr>
                                <w:color w:val="000000"/>
                              </w:rPr>
                              <w:t>the</w:t>
                            </w:r>
                            <w:r>
                              <w:rPr>
                                <w:color w:val="000000"/>
                                <w:spacing w:val="-8"/>
                              </w:rPr>
                              <w:t> </w:t>
                            </w:r>
                            <w:r>
                              <w:rPr>
                                <w:color w:val="000000"/>
                              </w:rPr>
                              <w:t>Review</w:t>
                            </w:r>
                            <w:r>
                              <w:rPr>
                                <w:color w:val="000000"/>
                                <w:spacing w:val="-9"/>
                              </w:rPr>
                              <w:t> </w:t>
                            </w:r>
                            <w:r>
                              <w:rPr>
                                <w:color w:val="000000"/>
                                <w:spacing w:val="-2"/>
                              </w:rPr>
                              <w:t>include:</w:t>
                            </w:r>
                          </w:p>
                          <w:p>
                            <w:pPr>
                              <w:pStyle w:val="BodyText"/>
                              <w:spacing w:before="2"/>
                              <w:rPr>
                                <w:color w:val="000000"/>
                                <w:sz w:val="25"/>
                              </w:rPr>
                            </w:pPr>
                          </w:p>
                          <w:p>
                            <w:pPr>
                              <w:pStyle w:val="BodyText"/>
                              <w:numPr>
                                <w:ilvl w:val="0"/>
                                <w:numId w:val="8"/>
                              </w:numPr>
                              <w:tabs>
                                <w:tab w:pos="341" w:val="left" w:leader="none"/>
                              </w:tabs>
                              <w:spacing w:line="288" w:lineRule="auto" w:before="1" w:after="0"/>
                              <w:ind w:left="341" w:right="274" w:hanging="200"/>
                              <w:jc w:val="left"/>
                              <w:rPr>
                                <w:color w:val="000000"/>
                              </w:rPr>
                            </w:pPr>
                            <w:r>
                              <w:rPr>
                                <w:color w:val="000000"/>
                              </w:rPr>
                              <w:t>the development by ESV of an action plan to strengthen its analytical capabilities and processes,</w:t>
                            </w:r>
                            <w:r>
                              <w:rPr>
                                <w:color w:val="000000"/>
                                <w:spacing w:val="-3"/>
                              </w:rPr>
                              <w:t> </w:t>
                            </w:r>
                            <w:r>
                              <w:rPr>
                                <w:color w:val="000000"/>
                              </w:rPr>
                              <w:t>including</w:t>
                            </w:r>
                            <w:r>
                              <w:rPr>
                                <w:color w:val="000000"/>
                                <w:spacing w:val="-5"/>
                              </w:rPr>
                              <w:t> </w:t>
                            </w:r>
                            <w:r>
                              <w:rPr>
                                <w:color w:val="000000"/>
                              </w:rPr>
                              <w:t>to</w:t>
                            </w:r>
                            <w:r>
                              <w:rPr>
                                <w:color w:val="000000"/>
                                <w:spacing w:val="-7"/>
                              </w:rPr>
                              <w:t> </w:t>
                            </w:r>
                            <w:r>
                              <w:rPr>
                                <w:color w:val="000000"/>
                              </w:rPr>
                              <w:t>support</w:t>
                            </w:r>
                            <w:r>
                              <w:rPr>
                                <w:color w:val="000000"/>
                                <w:spacing w:val="-4"/>
                              </w:rPr>
                              <w:t> </w:t>
                            </w:r>
                            <w:r>
                              <w:rPr>
                                <w:color w:val="000000"/>
                              </w:rPr>
                              <w:t>an</w:t>
                            </w:r>
                            <w:r>
                              <w:rPr>
                                <w:color w:val="000000"/>
                                <w:spacing w:val="-5"/>
                              </w:rPr>
                              <w:t> </w:t>
                            </w:r>
                            <w:r>
                              <w:rPr>
                                <w:color w:val="000000"/>
                              </w:rPr>
                              <w:t>integrated</w:t>
                            </w:r>
                            <w:r>
                              <w:rPr>
                                <w:color w:val="000000"/>
                                <w:spacing w:val="-7"/>
                              </w:rPr>
                              <w:t> </w:t>
                            </w:r>
                            <w:r>
                              <w:rPr>
                                <w:color w:val="000000"/>
                              </w:rPr>
                              <w:t>surveillance</w:t>
                            </w:r>
                            <w:r>
                              <w:rPr>
                                <w:color w:val="000000"/>
                                <w:spacing w:val="-5"/>
                              </w:rPr>
                              <w:t> </w:t>
                            </w:r>
                            <w:r>
                              <w:rPr>
                                <w:color w:val="000000"/>
                              </w:rPr>
                              <w:t>approach</w:t>
                            </w:r>
                            <w:r>
                              <w:rPr>
                                <w:color w:val="000000"/>
                                <w:spacing w:val="-3"/>
                              </w:rPr>
                              <w:t> </w:t>
                            </w:r>
                            <w:r>
                              <w:rPr>
                                <w:color w:val="000000"/>
                              </w:rPr>
                              <w:t>(Recommendation 8); and</w:t>
                            </w:r>
                          </w:p>
                          <w:p>
                            <w:pPr>
                              <w:pStyle w:val="BodyText"/>
                              <w:spacing w:before="11"/>
                              <w:rPr>
                                <w:color w:val="000000"/>
                                <w:sz w:val="20"/>
                              </w:rPr>
                            </w:pPr>
                          </w:p>
                          <w:p>
                            <w:pPr>
                              <w:pStyle w:val="BodyText"/>
                              <w:numPr>
                                <w:ilvl w:val="0"/>
                                <w:numId w:val="8"/>
                              </w:numPr>
                              <w:tabs>
                                <w:tab w:pos="341" w:val="left" w:leader="none"/>
                              </w:tabs>
                              <w:spacing w:line="288" w:lineRule="auto" w:before="0" w:after="0"/>
                              <w:ind w:left="341" w:right="143" w:hanging="200"/>
                              <w:jc w:val="left"/>
                              <w:rPr>
                                <w:color w:val="000000"/>
                              </w:rPr>
                            </w:pPr>
                            <w:r>
                              <w:rPr>
                                <w:color w:val="000000"/>
                              </w:rPr>
                              <w:t>a mature data analytics capability, including the data collection and management systems</w:t>
                            </w:r>
                            <w:r>
                              <w:rPr>
                                <w:color w:val="000000"/>
                                <w:spacing w:val="-5"/>
                              </w:rPr>
                              <w:t> </w:t>
                            </w:r>
                            <w:r>
                              <w:rPr>
                                <w:color w:val="000000"/>
                              </w:rPr>
                              <w:t>to</w:t>
                            </w:r>
                            <w:r>
                              <w:rPr>
                                <w:color w:val="000000"/>
                                <w:spacing w:val="-6"/>
                              </w:rPr>
                              <w:t> </w:t>
                            </w:r>
                            <w:r>
                              <w:rPr>
                                <w:color w:val="000000"/>
                              </w:rPr>
                              <w:t>support</w:t>
                            </w:r>
                            <w:r>
                              <w:rPr>
                                <w:color w:val="000000"/>
                                <w:spacing w:val="-5"/>
                              </w:rPr>
                              <w:t> </w:t>
                            </w:r>
                            <w:r>
                              <w:rPr>
                                <w:color w:val="000000"/>
                              </w:rPr>
                              <w:t>robust</w:t>
                            </w:r>
                            <w:r>
                              <w:rPr>
                                <w:color w:val="000000"/>
                                <w:spacing w:val="-2"/>
                              </w:rPr>
                              <w:t> </w:t>
                            </w:r>
                            <w:r>
                              <w:rPr>
                                <w:color w:val="000000"/>
                              </w:rPr>
                              <w:t>statistical</w:t>
                            </w:r>
                            <w:r>
                              <w:rPr>
                                <w:color w:val="000000"/>
                                <w:spacing w:val="-5"/>
                              </w:rPr>
                              <w:t> </w:t>
                            </w:r>
                            <w:r>
                              <w:rPr>
                                <w:color w:val="000000"/>
                              </w:rPr>
                              <w:t>analysis,</w:t>
                            </w:r>
                            <w:r>
                              <w:rPr>
                                <w:color w:val="000000"/>
                                <w:spacing w:val="-2"/>
                              </w:rPr>
                              <w:t> </w:t>
                            </w:r>
                            <w:r>
                              <w:rPr>
                                <w:color w:val="000000"/>
                              </w:rPr>
                              <w:t>should</w:t>
                            </w:r>
                            <w:r>
                              <w:rPr>
                                <w:color w:val="000000"/>
                                <w:spacing w:val="-6"/>
                              </w:rPr>
                              <w:t> </w:t>
                            </w:r>
                            <w:r>
                              <w:rPr>
                                <w:color w:val="000000"/>
                              </w:rPr>
                              <w:t>form</w:t>
                            </w:r>
                            <w:r>
                              <w:rPr>
                                <w:color w:val="000000"/>
                                <w:spacing w:val="-3"/>
                              </w:rPr>
                              <w:t> </w:t>
                            </w:r>
                            <w:r>
                              <w:rPr>
                                <w:color w:val="000000"/>
                              </w:rPr>
                              <w:t>a</w:t>
                            </w:r>
                            <w:r>
                              <w:rPr>
                                <w:color w:val="000000"/>
                                <w:spacing w:val="-6"/>
                              </w:rPr>
                              <w:t> </w:t>
                            </w:r>
                            <w:r>
                              <w:rPr>
                                <w:color w:val="000000"/>
                              </w:rPr>
                              <w:t>central</w:t>
                            </w:r>
                            <w:r>
                              <w:rPr>
                                <w:color w:val="000000"/>
                                <w:spacing w:val="-1"/>
                              </w:rPr>
                              <w:t> </w:t>
                            </w:r>
                            <w:r>
                              <w:rPr>
                                <w:color w:val="000000"/>
                              </w:rPr>
                              <w:t>component</w:t>
                            </w:r>
                            <w:r>
                              <w:rPr>
                                <w:color w:val="000000"/>
                                <w:spacing w:val="-2"/>
                              </w:rPr>
                              <w:t> </w:t>
                            </w:r>
                            <w:r>
                              <w:rPr>
                                <w:color w:val="000000"/>
                              </w:rPr>
                              <w:t>of</w:t>
                            </w:r>
                            <w:r>
                              <w:rPr>
                                <w:color w:val="000000"/>
                                <w:spacing w:val="-2"/>
                              </w:rPr>
                              <w:t> </w:t>
                            </w:r>
                            <w:r>
                              <w:rPr>
                                <w:color w:val="000000"/>
                              </w:rPr>
                              <w:t>ESV’s integrated plan to strengthen its analytical capabilities. Consistent with the approach to the overall action plan, clear milestones should be developed to promote accountability (Recommendation 14).</w:t>
                            </w:r>
                          </w:p>
                        </w:txbxContent>
                      </wps:txbx>
                      <wps:bodyPr wrap="square" lIns="0" tIns="0" rIns="0" bIns="0" rtlCol="0">
                        <a:noAutofit/>
                      </wps:bodyPr>
                    </wps:wsp>
                  </a:graphicData>
                </a:graphic>
              </wp:anchor>
            </w:drawing>
          </mc:Choice>
          <mc:Fallback>
            <w:pict>
              <v:shape style="position:absolute;margin-left:56.639999pt;margin-top:15.626977pt;width:453pt;height:211.85pt;mso-position-horizontal-relative:page;mso-position-vertical-relative:paragraph;z-index:-15727104;mso-wrap-distance-left:0;mso-wrap-distance-right:0" type="#_x0000_t202" id="docshape6" filled="true" fillcolor="#d9d9d9" stroked="false">
                <v:textbox inset="0,0,0,0">
                  <w:txbxContent>
                    <w:p>
                      <w:pPr>
                        <w:pStyle w:val="BodyText"/>
                        <w:spacing w:before="9"/>
                        <w:rPr>
                          <w:color w:val="000000"/>
                          <w:sz w:val="20"/>
                        </w:rPr>
                      </w:pPr>
                    </w:p>
                    <w:p>
                      <w:pPr>
                        <w:spacing w:before="1"/>
                        <w:ind w:left="112" w:right="0" w:firstLine="0"/>
                        <w:jc w:val="left"/>
                        <w:rPr>
                          <w:b/>
                          <w:color w:val="000000"/>
                          <w:sz w:val="22"/>
                        </w:rPr>
                      </w:pPr>
                      <w:r>
                        <w:rPr>
                          <w:b/>
                          <w:color w:val="000000"/>
                          <w:sz w:val="22"/>
                        </w:rPr>
                        <w:t>Summary</w:t>
                      </w:r>
                      <w:r>
                        <w:rPr>
                          <w:b/>
                          <w:color w:val="000000"/>
                          <w:spacing w:val="-13"/>
                          <w:sz w:val="22"/>
                        </w:rPr>
                        <w:t> </w:t>
                      </w:r>
                      <w:r>
                        <w:rPr>
                          <w:b/>
                          <w:color w:val="000000"/>
                          <w:sz w:val="22"/>
                        </w:rPr>
                        <w:t>of</w:t>
                      </w:r>
                      <w:r>
                        <w:rPr>
                          <w:b/>
                          <w:color w:val="000000"/>
                          <w:spacing w:val="-5"/>
                          <w:sz w:val="22"/>
                        </w:rPr>
                        <w:t> </w:t>
                      </w:r>
                      <w:r>
                        <w:rPr>
                          <w:b/>
                          <w:color w:val="000000"/>
                          <w:sz w:val="22"/>
                        </w:rPr>
                        <w:t>recommendations:</w:t>
                      </w:r>
                      <w:r>
                        <w:rPr>
                          <w:b/>
                          <w:color w:val="000000"/>
                          <w:spacing w:val="-6"/>
                          <w:sz w:val="22"/>
                        </w:rPr>
                        <w:t> </w:t>
                      </w:r>
                      <w:r>
                        <w:rPr>
                          <w:b/>
                          <w:color w:val="000000"/>
                          <w:sz w:val="22"/>
                        </w:rPr>
                        <w:t>Strategic</w:t>
                      </w:r>
                      <w:r>
                        <w:rPr>
                          <w:b/>
                          <w:color w:val="000000"/>
                          <w:spacing w:val="-7"/>
                          <w:sz w:val="22"/>
                        </w:rPr>
                        <w:t> </w:t>
                      </w:r>
                      <w:r>
                        <w:rPr>
                          <w:b/>
                          <w:color w:val="000000"/>
                          <w:sz w:val="22"/>
                        </w:rPr>
                        <w:t>and</w:t>
                      </w:r>
                      <w:r>
                        <w:rPr>
                          <w:b/>
                          <w:color w:val="000000"/>
                          <w:spacing w:val="-11"/>
                          <w:sz w:val="22"/>
                        </w:rPr>
                        <w:t> </w:t>
                      </w:r>
                      <w:r>
                        <w:rPr>
                          <w:b/>
                          <w:color w:val="000000"/>
                          <w:sz w:val="22"/>
                        </w:rPr>
                        <w:t>analytical</w:t>
                      </w:r>
                      <w:r>
                        <w:rPr>
                          <w:b/>
                          <w:color w:val="000000"/>
                          <w:spacing w:val="-4"/>
                          <w:sz w:val="22"/>
                        </w:rPr>
                        <w:t> </w:t>
                      </w:r>
                      <w:r>
                        <w:rPr>
                          <w:b/>
                          <w:color w:val="000000"/>
                          <w:spacing w:val="-2"/>
                          <w:sz w:val="22"/>
                        </w:rPr>
                        <w:t>capabilities</w:t>
                      </w:r>
                    </w:p>
                    <w:p>
                      <w:pPr>
                        <w:pStyle w:val="BodyText"/>
                        <w:spacing w:before="4"/>
                        <w:rPr>
                          <w:b/>
                          <w:color w:val="000000"/>
                          <w:sz w:val="25"/>
                        </w:rPr>
                      </w:pPr>
                    </w:p>
                    <w:p>
                      <w:pPr>
                        <w:pStyle w:val="BodyText"/>
                        <w:ind w:left="112"/>
                        <w:rPr>
                          <w:color w:val="000000"/>
                        </w:rPr>
                      </w:pPr>
                      <w:r>
                        <w:rPr>
                          <w:color w:val="000000"/>
                        </w:rPr>
                        <w:t>Recommendations</w:t>
                      </w:r>
                      <w:r>
                        <w:rPr>
                          <w:color w:val="000000"/>
                          <w:spacing w:val="-6"/>
                        </w:rPr>
                        <w:t> </w:t>
                      </w:r>
                      <w:r>
                        <w:rPr>
                          <w:color w:val="000000"/>
                        </w:rPr>
                        <w:t>presented</w:t>
                      </w:r>
                      <w:r>
                        <w:rPr>
                          <w:color w:val="000000"/>
                          <w:spacing w:val="-6"/>
                        </w:rPr>
                        <w:t> </w:t>
                      </w:r>
                      <w:r>
                        <w:rPr>
                          <w:color w:val="000000"/>
                        </w:rPr>
                        <w:t>by</w:t>
                      </w:r>
                      <w:r>
                        <w:rPr>
                          <w:color w:val="000000"/>
                          <w:spacing w:val="-9"/>
                        </w:rPr>
                        <w:t> </w:t>
                      </w:r>
                      <w:r>
                        <w:rPr>
                          <w:color w:val="000000"/>
                        </w:rPr>
                        <w:t>the</w:t>
                      </w:r>
                      <w:r>
                        <w:rPr>
                          <w:color w:val="000000"/>
                          <w:spacing w:val="-8"/>
                        </w:rPr>
                        <w:t> </w:t>
                      </w:r>
                      <w:r>
                        <w:rPr>
                          <w:color w:val="000000"/>
                        </w:rPr>
                        <w:t>Review</w:t>
                      </w:r>
                      <w:r>
                        <w:rPr>
                          <w:color w:val="000000"/>
                          <w:spacing w:val="-9"/>
                        </w:rPr>
                        <w:t> </w:t>
                      </w:r>
                      <w:r>
                        <w:rPr>
                          <w:color w:val="000000"/>
                          <w:spacing w:val="-2"/>
                        </w:rPr>
                        <w:t>include:</w:t>
                      </w:r>
                    </w:p>
                    <w:p>
                      <w:pPr>
                        <w:pStyle w:val="BodyText"/>
                        <w:spacing w:before="2"/>
                        <w:rPr>
                          <w:color w:val="000000"/>
                          <w:sz w:val="25"/>
                        </w:rPr>
                      </w:pPr>
                    </w:p>
                    <w:p>
                      <w:pPr>
                        <w:pStyle w:val="BodyText"/>
                        <w:numPr>
                          <w:ilvl w:val="0"/>
                          <w:numId w:val="8"/>
                        </w:numPr>
                        <w:tabs>
                          <w:tab w:pos="341" w:val="left" w:leader="none"/>
                        </w:tabs>
                        <w:spacing w:line="288" w:lineRule="auto" w:before="1" w:after="0"/>
                        <w:ind w:left="341" w:right="274" w:hanging="200"/>
                        <w:jc w:val="left"/>
                        <w:rPr>
                          <w:color w:val="000000"/>
                        </w:rPr>
                      </w:pPr>
                      <w:r>
                        <w:rPr>
                          <w:color w:val="000000"/>
                        </w:rPr>
                        <w:t>the development by ESV of an action plan to strengthen its analytical capabilities and processes,</w:t>
                      </w:r>
                      <w:r>
                        <w:rPr>
                          <w:color w:val="000000"/>
                          <w:spacing w:val="-3"/>
                        </w:rPr>
                        <w:t> </w:t>
                      </w:r>
                      <w:r>
                        <w:rPr>
                          <w:color w:val="000000"/>
                        </w:rPr>
                        <w:t>including</w:t>
                      </w:r>
                      <w:r>
                        <w:rPr>
                          <w:color w:val="000000"/>
                          <w:spacing w:val="-5"/>
                        </w:rPr>
                        <w:t> </w:t>
                      </w:r>
                      <w:r>
                        <w:rPr>
                          <w:color w:val="000000"/>
                        </w:rPr>
                        <w:t>to</w:t>
                      </w:r>
                      <w:r>
                        <w:rPr>
                          <w:color w:val="000000"/>
                          <w:spacing w:val="-7"/>
                        </w:rPr>
                        <w:t> </w:t>
                      </w:r>
                      <w:r>
                        <w:rPr>
                          <w:color w:val="000000"/>
                        </w:rPr>
                        <w:t>support</w:t>
                      </w:r>
                      <w:r>
                        <w:rPr>
                          <w:color w:val="000000"/>
                          <w:spacing w:val="-4"/>
                        </w:rPr>
                        <w:t> </w:t>
                      </w:r>
                      <w:r>
                        <w:rPr>
                          <w:color w:val="000000"/>
                        </w:rPr>
                        <w:t>an</w:t>
                      </w:r>
                      <w:r>
                        <w:rPr>
                          <w:color w:val="000000"/>
                          <w:spacing w:val="-5"/>
                        </w:rPr>
                        <w:t> </w:t>
                      </w:r>
                      <w:r>
                        <w:rPr>
                          <w:color w:val="000000"/>
                        </w:rPr>
                        <w:t>integrated</w:t>
                      </w:r>
                      <w:r>
                        <w:rPr>
                          <w:color w:val="000000"/>
                          <w:spacing w:val="-7"/>
                        </w:rPr>
                        <w:t> </w:t>
                      </w:r>
                      <w:r>
                        <w:rPr>
                          <w:color w:val="000000"/>
                        </w:rPr>
                        <w:t>surveillance</w:t>
                      </w:r>
                      <w:r>
                        <w:rPr>
                          <w:color w:val="000000"/>
                          <w:spacing w:val="-5"/>
                        </w:rPr>
                        <w:t> </w:t>
                      </w:r>
                      <w:r>
                        <w:rPr>
                          <w:color w:val="000000"/>
                        </w:rPr>
                        <w:t>approach</w:t>
                      </w:r>
                      <w:r>
                        <w:rPr>
                          <w:color w:val="000000"/>
                          <w:spacing w:val="-3"/>
                        </w:rPr>
                        <w:t> </w:t>
                      </w:r>
                      <w:r>
                        <w:rPr>
                          <w:color w:val="000000"/>
                        </w:rPr>
                        <w:t>(Recommendation 8); and</w:t>
                      </w:r>
                    </w:p>
                    <w:p>
                      <w:pPr>
                        <w:pStyle w:val="BodyText"/>
                        <w:spacing w:before="11"/>
                        <w:rPr>
                          <w:color w:val="000000"/>
                          <w:sz w:val="20"/>
                        </w:rPr>
                      </w:pPr>
                    </w:p>
                    <w:p>
                      <w:pPr>
                        <w:pStyle w:val="BodyText"/>
                        <w:numPr>
                          <w:ilvl w:val="0"/>
                          <w:numId w:val="8"/>
                        </w:numPr>
                        <w:tabs>
                          <w:tab w:pos="341" w:val="left" w:leader="none"/>
                        </w:tabs>
                        <w:spacing w:line="288" w:lineRule="auto" w:before="0" w:after="0"/>
                        <w:ind w:left="341" w:right="143" w:hanging="200"/>
                        <w:jc w:val="left"/>
                        <w:rPr>
                          <w:color w:val="000000"/>
                        </w:rPr>
                      </w:pPr>
                      <w:r>
                        <w:rPr>
                          <w:color w:val="000000"/>
                        </w:rPr>
                        <w:t>a mature data analytics capability, including the data collection and management systems</w:t>
                      </w:r>
                      <w:r>
                        <w:rPr>
                          <w:color w:val="000000"/>
                          <w:spacing w:val="-5"/>
                        </w:rPr>
                        <w:t> </w:t>
                      </w:r>
                      <w:r>
                        <w:rPr>
                          <w:color w:val="000000"/>
                        </w:rPr>
                        <w:t>to</w:t>
                      </w:r>
                      <w:r>
                        <w:rPr>
                          <w:color w:val="000000"/>
                          <w:spacing w:val="-6"/>
                        </w:rPr>
                        <w:t> </w:t>
                      </w:r>
                      <w:r>
                        <w:rPr>
                          <w:color w:val="000000"/>
                        </w:rPr>
                        <w:t>support</w:t>
                      </w:r>
                      <w:r>
                        <w:rPr>
                          <w:color w:val="000000"/>
                          <w:spacing w:val="-5"/>
                        </w:rPr>
                        <w:t> </w:t>
                      </w:r>
                      <w:r>
                        <w:rPr>
                          <w:color w:val="000000"/>
                        </w:rPr>
                        <w:t>robust</w:t>
                      </w:r>
                      <w:r>
                        <w:rPr>
                          <w:color w:val="000000"/>
                          <w:spacing w:val="-2"/>
                        </w:rPr>
                        <w:t> </w:t>
                      </w:r>
                      <w:r>
                        <w:rPr>
                          <w:color w:val="000000"/>
                        </w:rPr>
                        <w:t>statistical</w:t>
                      </w:r>
                      <w:r>
                        <w:rPr>
                          <w:color w:val="000000"/>
                          <w:spacing w:val="-5"/>
                        </w:rPr>
                        <w:t> </w:t>
                      </w:r>
                      <w:r>
                        <w:rPr>
                          <w:color w:val="000000"/>
                        </w:rPr>
                        <w:t>analysis,</w:t>
                      </w:r>
                      <w:r>
                        <w:rPr>
                          <w:color w:val="000000"/>
                          <w:spacing w:val="-2"/>
                        </w:rPr>
                        <w:t> </w:t>
                      </w:r>
                      <w:r>
                        <w:rPr>
                          <w:color w:val="000000"/>
                        </w:rPr>
                        <w:t>should</w:t>
                      </w:r>
                      <w:r>
                        <w:rPr>
                          <w:color w:val="000000"/>
                          <w:spacing w:val="-6"/>
                        </w:rPr>
                        <w:t> </w:t>
                      </w:r>
                      <w:r>
                        <w:rPr>
                          <w:color w:val="000000"/>
                        </w:rPr>
                        <w:t>form</w:t>
                      </w:r>
                      <w:r>
                        <w:rPr>
                          <w:color w:val="000000"/>
                          <w:spacing w:val="-3"/>
                        </w:rPr>
                        <w:t> </w:t>
                      </w:r>
                      <w:r>
                        <w:rPr>
                          <w:color w:val="000000"/>
                        </w:rPr>
                        <w:t>a</w:t>
                      </w:r>
                      <w:r>
                        <w:rPr>
                          <w:color w:val="000000"/>
                          <w:spacing w:val="-6"/>
                        </w:rPr>
                        <w:t> </w:t>
                      </w:r>
                      <w:r>
                        <w:rPr>
                          <w:color w:val="000000"/>
                        </w:rPr>
                        <w:t>central</w:t>
                      </w:r>
                      <w:r>
                        <w:rPr>
                          <w:color w:val="000000"/>
                          <w:spacing w:val="-1"/>
                        </w:rPr>
                        <w:t> </w:t>
                      </w:r>
                      <w:r>
                        <w:rPr>
                          <w:color w:val="000000"/>
                        </w:rPr>
                        <w:t>component</w:t>
                      </w:r>
                      <w:r>
                        <w:rPr>
                          <w:color w:val="000000"/>
                          <w:spacing w:val="-2"/>
                        </w:rPr>
                        <w:t> </w:t>
                      </w:r>
                      <w:r>
                        <w:rPr>
                          <w:color w:val="000000"/>
                        </w:rPr>
                        <w:t>of</w:t>
                      </w:r>
                      <w:r>
                        <w:rPr>
                          <w:color w:val="000000"/>
                          <w:spacing w:val="-2"/>
                        </w:rPr>
                        <w:t> </w:t>
                      </w:r>
                      <w:r>
                        <w:rPr>
                          <w:color w:val="000000"/>
                        </w:rPr>
                        <w:t>ESV’s integrated plan to strengthen its analytical capabilities. Consistent with the approach to the overall action plan, clear milestones should be developed to promote accountability (Recommendation 14).</w:t>
                      </w:r>
                    </w:p>
                  </w:txbxContent>
                </v:textbox>
                <v:fill type="solid"/>
                <w10:wrap type="topAndBottom"/>
              </v:shape>
            </w:pict>
          </mc:Fallback>
        </mc:AlternateContent>
      </w:r>
    </w:p>
    <w:p>
      <w:pPr>
        <w:spacing w:after="0"/>
        <w:rPr>
          <w:sz w:val="25"/>
        </w:rPr>
        <w:sectPr>
          <w:pgSz w:w="11910" w:h="16850"/>
          <w:pgMar w:header="465" w:footer="880" w:top="660" w:bottom="1060" w:left="840" w:right="820"/>
        </w:sectPr>
      </w:pPr>
    </w:p>
    <w:p>
      <w:pPr>
        <w:pStyle w:val="BodyText"/>
        <w:rPr>
          <w:sz w:val="20"/>
        </w:rPr>
      </w:pPr>
    </w:p>
    <w:p>
      <w:pPr>
        <w:pStyle w:val="BodyText"/>
        <w:rPr>
          <w:sz w:val="20"/>
        </w:rPr>
      </w:pPr>
    </w:p>
    <w:p>
      <w:pPr>
        <w:pStyle w:val="Heading4"/>
        <w:spacing w:line="288" w:lineRule="auto" w:before="257"/>
        <w:ind w:left="292" w:right="311"/>
      </w:pPr>
      <w:r>
        <w:rPr>
          <w:color w:val="585858"/>
        </w:rPr>
        <w:t>The</w:t>
      </w:r>
      <w:r>
        <w:rPr>
          <w:color w:val="585858"/>
          <w:spacing w:val="-4"/>
        </w:rPr>
        <w:t> </w:t>
      </w:r>
      <w:r>
        <w:rPr>
          <w:color w:val="585858"/>
        </w:rPr>
        <w:t>balance</w:t>
      </w:r>
      <w:r>
        <w:rPr>
          <w:color w:val="585858"/>
          <w:spacing w:val="-5"/>
        </w:rPr>
        <w:t> </w:t>
      </w:r>
      <w:r>
        <w:rPr>
          <w:color w:val="585858"/>
        </w:rPr>
        <w:t>between</w:t>
      </w:r>
      <w:r>
        <w:rPr>
          <w:color w:val="585858"/>
          <w:spacing w:val="-5"/>
        </w:rPr>
        <w:t> </w:t>
      </w:r>
      <w:r>
        <w:rPr>
          <w:color w:val="585858"/>
        </w:rPr>
        <w:t>statutory</w:t>
      </w:r>
      <w:r>
        <w:rPr>
          <w:color w:val="585858"/>
          <w:spacing w:val="-8"/>
        </w:rPr>
        <w:t> </w:t>
      </w:r>
      <w:r>
        <w:rPr>
          <w:color w:val="585858"/>
        </w:rPr>
        <w:t>prescription</w:t>
      </w:r>
      <w:r>
        <w:rPr>
          <w:color w:val="585858"/>
          <w:spacing w:val="-6"/>
        </w:rPr>
        <w:t> </w:t>
      </w:r>
      <w:r>
        <w:rPr>
          <w:color w:val="585858"/>
        </w:rPr>
        <w:t>and</w:t>
      </w:r>
      <w:r>
        <w:rPr>
          <w:color w:val="585858"/>
          <w:spacing w:val="-6"/>
        </w:rPr>
        <w:t> </w:t>
      </w:r>
      <w:r>
        <w:rPr>
          <w:color w:val="585858"/>
        </w:rPr>
        <w:t>outcomes- based regulation</w:t>
      </w:r>
    </w:p>
    <w:p>
      <w:pPr>
        <w:pStyle w:val="BodyText"/>
        <w:spacing w:line="288" w:lineRule="auto" w:before="241"/>
        <w:ind w:left="292" w:right="358"/>
      </w:pPr>
      <w:r>
        <w:rPr/>
        <w:t>The current electricity and gas network safety framework in Victoria could be best described as an outcomes-based system built around requirements for safety cases and safety management systems and</w:t>
      </w:r>
      <w:r>
        <w:rPr>
          <w:spacing w:val="-2"/>
        </w:rPr>
        <w:t> </w:t>
      </w:r>
      <w:r>
        <w:rPr/>
        <w:t>augmented</w:t>
      </w:r>
      <w:r>
        <w:rPr>
          <w:spacing w:val="-2"/>
        </w:rPr>
        <w:t> </w:t>
      </w:r>
      <w:r>
        <w:rPr/>
        <w:t>by</w:t>
      </w:r>
      <w:r>
        <w:rPr>
          <w:spacing w:val="-2"/>
        </w:rPr>
        <w:t> </w:t>
      </w:r>
      <w:r>
        <w:rPr/>
        <w:t>extensive statutory</w:t>
      </w:r>
      <w:r>
        <w:rPr>
          <w:spacing w:val="-2"/>
        </w:rPr>
        <w:t> </w:t>
      </w:r>
      <w:r>
        <w:rPr/>
        <w:t>prescriptive requirements,</w:t>
      </w:r>
      <w:r>
        <w:rPr>
          <w:spacing w:val="-1"/>
        </w:rPr>
        <w:t> </w:t>
      </w:r>
      <w:r>
        <w:rPr/>
        <w:t>particularly</w:t>
      </w:r>
      <w:r>
        <w:rPr>
          <w:spacing w:val="-2"/>
        </w:rPr>
        <w:t> </w:t>
      </w:r>
      <w:r>
        <w:rPr/>
        <w:t>in relation</w:t>
      </w:r>
      <w:r>
        <w:rPr>
          <w:spacing w:val="-2"/>
        </w:rPr>
        <w:t> </w:t>
      </w:r>
      <w:r>
        <w:rPr/>
        <w:t>to bushfire</w:t>
      </w:r>
      <w:r>
        <w:rPr>
          <w:spacing w:val="-4"/>
        </w:rPr>
        <w:t> </w:t>
      </w:r>
      <w:r>
        <w:rPr/>
        <w:t>risk associated</w:t>
      </w:r>
      <w:r>
        <w:rPr>
          <w:spacing w:val="-6"/>
        </w:rPr>
        <w:t> </w:t>
      </w:r>
      <w:r>
        <w:rPr/>
        <w:t>with</w:t>
      </w:r>
      <w:r>
        <w:rPr>
          <w:spacing w:val="-2"/>
        </w:rPr>
        <w:t> </w:t>
      </w:r>
      <w:r>
        <w:rPr/>
        <w:t>electricity</w:t>
      </w:r>
      <w:r>
        <w:rPr>
          <w:spacing w:val="-4"/>
        </w:rPr>
        <w:t> </w:t>
      </w:r>
      <w:r>
        <w:rPr/>
        <w:t>networks.</w:t>
      </w:r>
      <w:r>
        <w:rPr>
          <w:spacing w:val="-3"/>
        </w:rPr>
        <w:t> </w:t>
      </w:r>
      <w:r>
        <w:rPr/>
        <w:t>In</w:t>
      </w:r>
      <w:r>
        <w:rPr>
          <w:spacing w:val="-2"/>
        </w:rPr>
        <w:t> </w:t>
      </w:r>
      <w:r>
        <w:rPr/>
        <w:t>short, it</w:t>
      </w:r>
      <w:r>
        <w:rPr>
          <w:spacing w:val="-3"/>
        </w:rPr>
        <w:t> </w:t>
      </w:r>
      <w:r>
        <w:rPr/>
        <w:t>is</w:t>
      </w:r>
      <w:r>
        <w:rPr>
          <w:spacing w:val="-1"/>
        </w:rPr>
        <w:t> </w:t>
      </w:r>
      <w:r>
        <w:rPr/>
        <w:t>a</w:t>
      </w:r>
      <w:r>
        <w:rPr>
          <w:spacing w:val="-4"/>
        </w:rPr>
        <w:t> </w:t>
      </w:r>
      <w:r>
        <w:rPr/>
        <w:t>hybrid</w:t>
      </w:r>
      <w:r>
        <w:rPr>
          <w:spacing w:val="-2"/>
        </w:rPr>
        <w:t> </w:t>
      </w:r>
      <w:r>
        <w:rPr/>
        <w:t>mix</w:t>
      </w:r>
      <w:r>
        <w:rPr>
          <w:spacing w:val="-4"/>
        </w:rPr>
        <w:t> </w:t>
      </w:r>
      <w:r>
        <w:rPr/>
        <w:t>of outcomes-based</w:t>
      </w:r>
      <w:r>
        <w:rPr>
          <w:spacing w:val="-2"/>
        </w:rPr>
        <w:t> </w:t>
      </w:r>
      <w:r>
        <w:rPr/>
        <w:t>and prescriptive regulation.</w:t>
      </w:r>
    </w:p>
    <w:p>
      <w:pPr>
        <w:pStyle w:val="BodyText"/>
        <w:spacing w:before="9"/>
        <w:rPr>
          <w:sz w:val="20"/>
        </w:rPr>
      </w:pPr>
    </w:p>
    <w:p>
      <w:pPr>
        <w:pStyle w:val="BodyText"/>
        <w:spacing w:line="288" w:lineRule="auto"/>
        <w:ind w:left="292" w:right="311"/>
      </w:pPr>
      <w:r>
        <w:rPr/>
        <w:t>In</w:t>
      </w:r>
      <w:r>
        <w:rPr>
          <w:spacing w:val="-5"/>
        </w:rPr>
        <w:t> </w:t>
      </w:r>
      <w:r>
        <w:rPr/>
        <w:t>reviewing</w:t>
      </w:r>
      <w:r>
        <w:rPr>
          <w:spacing w:val="-1"/>
        </w:rPr>
        <w:t> </w:t>
      </w:r>
      <w:r>
        <w:rPr/>
        <w:t>a</w:t>
      </w:r>
      <w:r>
        <w:rPr>
          <w:spacing w:val="-3"/>
        </w:rPr>
        <w:t> </w:t>
      </w:r>
      <w:r>
        <w:rPr/>
        <w:t>safety</w:t>
      </w:r>
      <w:r>
        <w:rPr>
          <w:spacing w:val="-4"/>
        </w:rPr>
        <w:t> </w:t>
      </w:r>
      <w:r>
        <w:rPr/>
        <w:t>regulatory</w:t>
      </w:r>
      <w:r>
        <w:rPr>
          <w:spacing w:val="-7"/>
        </w:rPr>
        <w:t> </w:t>
      </w:r>
      <w:r>
        <w:rPr/>
        <w:t>framework that</w:t>
      </w:r>
      <w:r>
        <w:rPr>
          <w:spacing w:val="-4"/>
        </w:rPr>
        <w:t> </w:t>
      </w:r>
      <w:r>
        <w:rPr/>
        <w:t>incorporates</w:t>
      </w:r>
      <w:r>
        <w:rPr>
          <w:spacing w:val="-3"/>
        </w:rPr>
        <w:t> </w:t>
      </w:r>
      <w:r>
        <w:rPr/>
        <w:t>prescriptive</w:t>
      </w:r>
      <w:r>
        <w:rPr>
          <w:spacing w:val="-3"/>
        </w:rPr>
        <w:t> </w:t>
      </w:r>
      <w:r>
        <w:rPr/>
        <w:t>statutory</w:t>
      </w:r>
      <w:r>
        <w:rPr>
          <w:spacing w:val="-4"/>
        </w:rPr>
        <w:t> </w:t>
      </w:r>
      <w:r>
        <w:rPr/>
        <w:t>elements</w:t>
      </w:r>
      <w:r>
        <w:rPr>
          <w:spacing w:val="-2"/>
        </w:rPr>
        <w:t> </w:t>
      </w:r>
      <w:r>
        <w:rPr/>
        <w:t>within an outcomes-based safety case framework, it is natural to ask whether there should be more statutory prescription or less statutory prescription. Submissions to the Review presented mixed views on this question.</w:t>
      </w:r>
    </w:p>
    <w:p>
      <w:pPr>
        <w:pStyle w:val="BodyText"/>
        <w:spacing w:before="10"/>
        <w:rPr>
          <w:sz w:val="20"/>
        </w:rPr>
      </w:pPr>
    </w:p>
    <w:p>
      <w:pPr>
        <w:pStyle w:val="BodyText"/>
        <w:spacing w:line="288" w:lineRule="auto" w:before="1"/>
        <w:ind w:left="292" w:right="311"/>
      </w:pPr>
      <w:r>
        <w:rPr/>
        <w:t>At</w:t>
      </w:r>
      <w:r>
        <w:rPr>
          <w:spacing w:val="-1"/>
        </w:rPr>
        <w:t> </w:t>
      </w:r>
      <w:r>
        <w:rPr/>
        <w:t>a</w:t>
      </w:r>
      <w:r>
        <w:rPr>
          <w:spacing w:val="-3"/>
        </w:rPr>
        <w:t> </w:t>
      </w:r>
      <w:r>
        <w:rPr/>
        <w:t>very</w:t>
      </w:r>
      <w:r>
        <w:rPr>
          <w:spacing w:val="-4"/>
        </w:rPr>
        <w:t> </w:t>
      </w:r>
      <w:r>
        <w:rPr/>
        <w:t>broad</w:t>
      </w:r>
      <w:r>
        <w:rPr>
          <w:spacing w:val="-5"/>
        </w:rPr>
        <w:t> </w:t>
      </w:r>
      <w:r>
        <w:rPr/>
        <w:t>level,</w:t>
      </w:r>
      <w:r>
        <w:rPr>
          <w:spacing w:val="-1"/>
        </w:rPr>
        <w:t> </w:t>
      </w:r>
      <w:r>
        <w:rPr/>
        <w:t>and</w:t>
      </w:r>
      <w:r>
        <w:rPr>
          <w:spacing w:val="-3"/>
        </w:rPr>
        <w:t> </w:t>
      </w:r>
      <w:r>
        <w:rPr/>
        <w:t>at</w:t>
      </w:r>
      <w:r>
        <w:rPr>
          <w:spacing w:val="-3"/>
        </w:rPr>
        <w:t> </w:t>
      </w:r>
      <w:r>
        <w:rPr/>
        <w:t>the</w:t>
      </w:r>
      <w:r>
        <w:rPr>
          <w:spacing w:val="-5"/>
        </w:rPr>
        <w:t> </w:t>
      </w:r>
      <w:r>
        <w:rPr/>
        <w:t>risk</w:t>
      </w:r>
      <w:r>
        <w:rPr>
          <w:spacing w:val="-2"/>
        </w:rPr>
        <w:t> </w:t>
      </w:r>
      <w:r>
        <w:rPr/>
        <w:t>of</w:t>
      </w:r>
      <w:r>
        <w:rPr>
          <w:spacing w:val="-1"/>
        </w:rPr>
        <w:t> </w:t>
      </w:r>
      <w:r>
        <w:rPr/>
        <w:t>overgeneralising,</w:t>
      </w:r>
      <w:r>
        <w:rPr>
          <w:spacing w:val="-4"/>
        </w:rPr>
        <w:t> </w:t>
      </w:r>
      <w:r>
        <w:rPr/>
        <w:t>major</w:t>
      </w:r>
      <w:r>
        <w:rPr>
          <w:spacing w:val="-2"/>
        </w:rPr>
        <w:t> </w:t>
      </w:r>
      <w:r>
        <w:rPr/>
        <w:t>network</w:t>
      </w:r>
      <w:r>
        <w:rPr>
          <w:spacing w:val="-2"/>
        </w:rPr>
        <w:t> </w:t>
      </w:r>
      <w:r>
        <w:rPr/>
        <w:t>operators</w:t>
      </w:r>
      <w:r>
        <w:rPr>
          <w:spacing w:val="-2"/>
        </w:rPr>
        <w:t> </w:t>
      </w:r>
      <w:r>
        <w:rPr/>
        <w:t>argued</w:t>
      </w:r>
      <w:r>
        <w:rPr>
          <w:spacing w:val="-3"/>
        </w:rPr>
        <w:t> </w:t>
      </w:r>
      <w:r>
        <w:rPr/>
        <w:t>in</w:t>
      </w:r>
      <w:r>
        <w:rPr>
          <w:spacing w:val="-5"/>
        </w:rPr>
        <w:t> </w:t>
      </w:r>
      <w:r>
        <w:rPr/>
        <w:t>favour of less prescription, while submissions from the Electrical Trades Union and the South East Community Forum suggested there should be more prescription and greater policing by the regulator, ESV.</w:t>
      </w:r>
    </w:p>
    <w:p>
      <w:pPr>
        <w:pStyle w:val="BodyText"/>
        <w:spacing w:before="9"/>
        <w:rPr>
          <w:sz w:val="20"/>
        </w:rPr>
      </w:pPr>
    </w:p>
    <w:p>
      <w:pPr>
        <w:pStyle w:val="BodyText"/>
        <w:spacing w:line="288" w:lineRule="auto" w:before="1"/>
        <w:ind w:left="292" w:right="311"/>
      </w:pPr>
      <w:r>
        <w:rPr/>
        <w:t>The case for less prescription revolves around its</w:t>
      </w:r>
      <w:r>
        <w:rPr>
          <w:spacing w:val="-2"/>
        </w:rPr>
        <w:t> </w:t>
      </w:r>
      <w:r>
        <w:rPr/>
        <w:t>greater flexibility, including its greater capacity to adapt in the face of changing technology. If operators are given greater freedom to find the most efficient way of reducing risk, the argument goes, it could be expected that they will do so. And, all other things being equal, energy consumers – the Victorian community – would benefit from lower energy prices, or smaller increases in energy prices. Evidence was presented to the Review of cases</w:t>
      </w:r>
      <w:r>
        <w:rPr>
          <w:spacing w:val="-2"/>
        </w:rPr>
        <w:t> </w:t>
      </w:r>
      <w:r>
        <w:rPr/>
        <w:t>where</w:t>
      </w:r>
      <w:r>
        <w:rPr>
          <w:spacing w:val="-3"/>
        </w:rPr>
        <w:t> </w:t>
      </w:r>
      <w:r>
        <w:rPr/>
        <w:t>prescriptive</w:t>
      </w:r>
      <w:r>
        <w:rPr>
          <w:spacing w:val="-3"/>
        </w:rPr>
        <w:t> </w:t>
      </w:r>
      <w:r>
        <w:rPr/>
        <w:t>requirements</w:t>
      </w:r>
      <w:r>
        <w:rPr>
          <w:spacing w:val="-2"/>
        </w:rPr>
        <w:t> </w:t>
      </w:r>
      <w:r>
        <w:rPr/>
        <w:t>introduced</w:t>
      </w:r>
      <w:r>
        <w:rPr>
          <w:spacing w:val="-5"/>
        </w:rPr>
        <w:t> </w:t>
      </w:r>
      <w:r>
        <w:rPr/>
        <w:t>in</w:t>
      </w:r>
      <w:r>
        <w:rPr>
          <w:spacing w:val="-3"/>
        </w:rPr>
        <w:t> </w:t>
      </w:r>
      <w:r>
        <w:rPr/>
        <w:t>response</w:t>
      </w:r>
      <w:r>
        <w:rPr>
          <w:spacing w:val="-5"/>
        </w:rPr>
        <w:t> </w:t>
      </w:r>
      <w:r>
        <w:rPr/>
        <w:t>to</w:t>
      </w:r>
      <w:r>
        <w:rPr>
          <w:spacing w:val="-5"/>
        </w:rPr>
        <w:t> </w:t>
      </w:r>
      <w:r>
        <w:rPr/>
        <w:t>recommendations</w:t>
      </w:r>
      <w:r>
        <w:rPr>
          <w:spacing w:val="-3"/>
        </w:rPr>
        <w:t> </w:t>
      </w:r>
      <w:r>
        <w:rPr/>
        <w:t>of</w:t>
      </w:r>
      <w:r>
        <w:rPr>
          <w:spacing w:val="-4"/>
        </w:rPr>
        <w:t> </w:t>
      </w:r>
      <w:r>
        <w:rPr/>
        <w:t>the</w:t>
      </w:r>
      <w:r>
        <w:rPr>
          <w:spacing w:val="-3"/>
        </w:rPr>
        <w:t> </w:t>
      </w:r>
      <w:r>
        <w:rPr/>
        <w:t>Victorian Bushfires Royal Commission (most notably, some aspects of the requirements around the use of vibration dampeners on electricity lines) have led to greater network costs without a material improvement in safety.</w:t>
      </w:r>
    </w:p>
    <w:p>
      <w:pPr>
        <w:pStyle w:val="BodyText"/>
        <w:rPr>
          <w:sz w:val="21"/>
        </w:rPr>
      </w:pPr>
    </w:p>
    <w:p>
      <w:pPr>
        <w:pStyle w:val="BodyText"/>
        <w:spacing w:line="288" w:lineRule="auto"/>
        <w:ind w:left="292" w:right="374"/>
      </w:pPr>
      <w:r>
        <w:rPr/>
        <w:t>On the other hand, the case for maintaining, or even raising, the existing degree of prescription rests on concerns that economic incentives alone will not be sufficient for network operators to achieve</w:t>
      </w:r>
      <w:r>
        <w:rPr>
          <w:spacing w:val="-3"/>
        </w:rPr>
        <w:t> </w:t>
      </w:r>
      <w:r>
        <w:rPr/>
        <w:t>the</w:t>
      </w:r>
      <w:r>
        <w:rPr>
          <w:spacing w:val="-3"/>
        </w:rPr>
        <w:t> </w:t>
      </w:r>
      <w:r>
        <w:rPr/>
        <w:t>level</w:t>
      </w:r>
      <w:r>
        <w:rPr>
          <w:spacing w:val="-4"/>
        </w:rPr>
        <w:t> </w:t>
      </w:r>
      <w:r>
        <w:rPr/>
        <w:t>of</w:t>
      </w:r>
      <w:r>
        <w:rPr>
          <w:spacing w:val="-2"/>
        </w:rPr>
        <w:t> </w:t>
      </w:r>
      <w:r>
        <w:rPr/>
        <w:t>safety</w:t>
      </w:r>
      <w:r>
        <w:rPr>
          <w:spacing w:val="-5"/>
        </w:rPr>
        <w:t> </w:t>
      </w:r>
      <w:r>
        <w:rPr/>
        <w:t>desired</w:t>
      </w:r>
      <w:r>
        <w:rPr>
          <w:spacing w:val="-3"/>
        </w:rPr>
        <w:t> </w:t>
      </w:r>
      <w:r>
        <w:rPr/>
        <w:t>by</w:t>
      </w:r>
      <w:r>
        <w:rPr>
          <w:spacing w:val="-5"/>
        </w:rPr>
        <w:t> </w:t>
      </w:r>
      <w:r>
        <w:rPr/>
        <w:t>the</w:t>
      </w:r>
      <w:r>
        <w:rPr>
          <w:spacing w:val="-3"/>
        </w:rPr>
        <w:t> </w:t>
      </w:r>
      <w:r>
        <w:rPr/>
        <w:t>Victorian</w:t>
      </w:r>
      <w:r>
        <w:rPr>
          <w:spacing w:val="-3"/>
        </w:rPr>
        <w:t> </w:t>
      </w:r>
      <w:r>
        <w:rPr/>
        <w:t>community.</w:t>
      </w:r>
      <w:r>
        <w:rPr>
          <w:spacing w:val="-1"/>
        </w:rPr>
        <w:t> </w:t>
      </w:r>
      <w:r>
        <w:rPr/>
        <w:t>Following</w:t>
      </w:r>
      <w:r>
        <w:rPr>
          <w:spacing w:val="-1"/>
        </w:rPr>
        <w:t> </w:t>
      </w:r>
      <w:r>
        <w:rPr/>
        <w:t>this</w:t>
      </w:r>
      <w:r>
        <w:rPr>
          <w:spacing w:val="-2"/>
        </w:rPr>
        <w:t> </w:t>
      </w:r>
      <w:r>
        <w:rPr/>
        <w:t>line</w:t>
      </w:r>
      <w:r>
        <w:rPr>
          <w:spacing w:val="-3"/>
        </w:rPr>
        <w:t> </w:t>
      </w:r>
      <w:r>
        <w:rPr/>
        <w:t>of</w:t>
      </w:r>
      <w:r>
        <w:rPr>
          <w:spacing w:val="-1"/>
        </w:rPr>
        <w:t> </w:t>
      </w:r>
      <w:r>
        <w:rPr/>
        <w:t>reasoning,</w:t>
      </w:r>
      <w:r>
        <w:rPr>
          <w:spacing w:val="-4"/>
        </w:rPr>
        <w:t> </w:t>
      </w:r>
      <w:r>
        <w:rPr/>
        <w:t>it may be argued that there needs to be clear and unambiguous standards set by the government and these should be strongly enforced by the safety regulator.</w:t>
      </w:r>
    </w:p>
    <w:p>
      <w:pPr>
        <w:pStyle w:val="BodyText"/>
        <w:spacing w:before="9"/>
        <w:rPr>
          <w:sz w:val="20"/>
        </w:rPr>
      </w:pPr>
    </w:p>
    <w:p>
      <w:pPr>
        <w:pStyle w:val="BodyText"/>
        <w:spacing w:line="288" w:lineRule="auto"/>
        <w:ind w:left="292" w:right="311"/>
      </w:pPr>
      <w:r>
        <w:rPr/>
        <w:t>Carefully weighing up the competing arguments, and informed by the broader literature on safety regulation, the Review considers that a longer-term aspiration to reduce the level of statutory prescription, and</w:t>
      </w:r>
      <w:r>
        <w:rPr>
          <w:spacing w:val="-4"/>
        </w:rPr>
        <w:t> </w:t>
      </w:r>
      <w:r>
        <w:rPr/>
        <w:t>place</w:t>
      </w:r>
      <w:r>
        <w:rPr>
          <w:spacing w:val="-4"/>
        </w:rPr>
        <w:t> </w:t>
      </w:r>
      <w:r>
        <w:rPr/>
        <w:t>greater</w:t>
      </w:r>
      <w:r>
        <w:rPr>
          <w:spacing w:val="-3"/>
        </w:rPr>
        <w:t> </w:t>
      </w:r>
      <w:r>
        <w:rPr/>
        <w:t>reliance</w:t>
      </w:r>
      <w:r>
        <w:rPr>
          <w:spacing w:val="-2"/>
        </w:rPr>
        <w:t> </w:t>
      </w:r>
      <w:r>
        <w:rPr/>
        <w:t>on</w:t>
      </w:r>
      <w:r>
        <w:rPr>
          <w:spacing w:val="-4"/>
        </w:rPr>
        <w:t> </w:t>
      </w:r>
      <w:r>
        <w:rPr/>
        <w:t>the</w:t>
      </w:r>
      <w:r>
        <w:rPr>
          <w:spacing w:val="-2"/>
        </w:rPr>
        <w:t> </w:t>
      </w:r>
      <w:r>
        <w:rPr/>
        <w:t>safety</w:t>
      </w:r>
      <w:r>
        <w:rPr>
          <w:spacing w:val="-2"/>
        </w:rPr>
        <w:t> </w:t>
      </w:r>
      <w:r>
        <w:rPr/>
        <w:t>case</w:t>
      </w:r>
      <w:r>
        <w:rPr>
          <w:spacing w:val="-2"/>
        </w:rPr>
        <w:t> </w:t>
      </w:r>
      <w:r>
        <w:rPr/>
        <w:t>approach,</w:t>
      </w:r>
      <w:r>
        <w:rPr>
          <w:spacing w:val="-3"/>
        </w:rPr>
        <w:t> </w:t>
      </w:r>
      <w:r>
        <w:rPr/>
        <w:t>would</w:t>
      </w:r>
      <w:r>
        <w:rPr>
          <w:spacing w:val="-2"/>
        </w:rPr>
        <w:t> </w:t>
      </w:r>
      <w:r>
        <w:rPr/>
        <w:t>be</w:t>
      </w:r>
      <w:r>
        <w:rPr>
          <w:spacing w:val="-2"/>
        </w:rPr>
        <w:t> </w:t>
      </w:r>
      <w:r>
        <w:rPr/>
        <w:t>in</w:t>
      </w:r>
      <w:r>
        <w:rPr>
          <w:spacing w:val="-4"/>
        </w:rPr>
        <w:t> </w:t>
      </w:r>
      <w:r>
        <w:rPr/>
        <w:t>the</w:t>
      </w:r>
      <w:r>
        <w:rPr>
          <w:spacing w:val="-2"/>
        </w:rPr>
        <w:t> </w:t>
      </w:r>
      <w:r>
        <w:rPr/>
        <w:t>best</w:t>
      </w:r>
      <w:r>
        <w:rPr>
          <w:spacing w:val="-3"/>
        </w:rPr>
        <w:t> </w:t>
      </w:r>
      <w:r>
        <w:rPr/>
        <w:t>interests of Victorian energy consumers.</w:t>
      </w:r>
    </w:p>
    <w:p>
      <w:pPr>
        <w:pStyle w:val="BodyText"/>
        <w:spacing w:before="10"/>
        <w:rPr>
          <w:sz w:val="20"/>
        </w:rPr>
      </w:pPr>
    </w:p>
    <w:p>
      <w:pPr>
        <w:pStyle w:val="BodyText"/>
        <w:spacing w:line="288" w:lineRule="auto" w:before="1"/>
        <w:ind w:left="292" w:right="311"/>
      </w:pPr>
      <w:r>
        <w:rPr/>
        <w:t>However, the</w:t>
      </w:r>
      <w:r>
        <w:rPr>
          <w:spacing w:val="-2"/>
        </w:rPr>
        <w:t> </w:t>
      </w:r>
      <w:r>
        <w:rPr/>
        <w:t>Review</w:t>
      </w:r>
      <w:r>
        <w:rPr>
          <w:spacing w:val="-5"/>
        </w:rPr>
        <w:t> </w:t>
      </w:r>
      <w:r>
        <w:rPr/>
        <w:t>does</w:t>
      </w:r>
      <w:r>
        <w:rPr>
          <w:spacing w:val="-2"/>
        </w:rPr>
        <w:t> </w:t>
      </w:r>
      <w:r>
        <w:rPr/>
        <w:t>not</w:t>
      </w:r>
      <w:r>
        <w:rPr>
          <w:spacing w:val="-3"/>
        </w:rPr>
        <w:t> </w:t>
      </w:r>
      <w:r>
        <w:rPr/>
        <w:t>propose</w:t>
      </w:r>
      <w:r>
        <w:rPr>
          <w:spacing w:val="-4"/>
        </w:rPr>
        <w:t> </w:t>
      </w:r>
      <w:r>
        <w:rPr/>
        <w:t>that</w:t>
      </w:r>
      <w:r>
        <w:rPr>
          <w:spacing w:val="-3"/>
        </w:rPr>
        <w:t> </w:t>
      </w:r>
      <w:r>
        <w:rPr/>
        <w:t>there</w:t>
      </w:r>
      <w:r>
        <w:rPr>
          <w:spacing w:val="-4"/>
        </w:rPr>
        <w:t> </w:t>
      </w:r>
      <w:r>
        <w:rPr/>
        <w:t>should</w:t>
      </w:r>
      <w:r>
        <w:rPr>
          <w:spacing w:val="-2"/>
        </w:rPr>
        <w:t> </w:t>
      </w:r>
      <w:r>
        <w:rPr/>
        <w:t>be</w:t>
      </w:r>
      <w:r>
        <w:rPr>
          <w:spacing w:val="-2"/>
        </w:rPr>
        <w:t> </w:t>
      </w:r>
      <w:r>
        <w:rPr/>
        <w:t>a</w:t>
      </w:r>
      <w:r>
        <w:rPr>
          <w:spacing w:val="-4"/>
        </w:rPr>
        <w:t> </w:t>
      </w:r>
      <w:r>
        <w:rPr/>
        <w:t>significant</w:t>
      </w:r>
      <w:r>
        <w:rPr>
          <w:spacing w:val="-3"/>
        </w:rPr>
        <w:t> </w:t>
      </w:r>
      <w:r>
        <w:rPr/>
        <w:t>change</w:t>
      </w:r>
      <w:r>
        <w:rPr>
          <w:spacing w:val="-4"/>
        </w:rPr>
        <w:t> </w:t>
      </w:r>
      <w:r>
        <w:rPr/>
        <w:t>in</w:t>
      </w:r>
      <w:r>
        <w:rPr>
          <w:spacing w:val="-2"/>
        </w:rPr>
        <w:t> </w:t>
      </w:r>
      <w:r>
        <w:rPr/>
        <w:t>the</w:t>
      </w:r>
      <w:r>
        <w:rPr>
          <w:spacing w:val="-4"/>
        </w:rPr>
        <w:t> </w:t>
      </w:r>
      <w:r>
        <w:rPr/>
        <w:t>broad balance of prescriptive statutory requirements at this time.</w:t>
      </w:r>
    </w:p>
    <w:p>
      <w:pPr>
        <w:pStyle w:val="BodyText"/>
        <w:spacing w:before="10"/>
        <w:rPr>
          <w:sz w:val="20"/>
        </w:rPr>
      </w:pPr>
    </w:p>
    <w:p>
      <w:pPr>
        <w:pStyle w:val="BodyText"/>
        <w:spacing w:line="288" w:lineRule="auto"/>
        <w:ind w:left="292" w:right="311"/>
      </w:pPr>
      <w:r>
        <w:rPr/>
        <w:t>This is because a major shift towards a greater reliance on the outcomes-based safety case approach</w:t>
      </w:r>
      <w:r>
        <w:rPr>
          <w:spacing w:val="-2"/>
        </w:rPr>
        <w:t> </w:t>
      </w:r>
      <w:r>
        <w:rPr/>
        <w:t>should</w:t>
      </w:r>
      <w:r>
        <w:rPr>
          <w:spacing w:val="-4"/>
        </w:rPr>
        <w:t> </w:t>
      </w:r>
      <w:r>
        <w:rPr/>
        <w:t>only</w:t>
      </w:r>
      <w:r>
        <w:rPr>
          <w:spacing w:val="-4"/>
        </w:rPr>
        <w:t> </w:t>
      </w:r>
      <w:r>
        <w:rPr/>
        <w:t>occur</w:t>
      </w:r>
      <w:r>
        <w:rPr>
          <w:spacing w:val="-1"/>
        </w:rPr>
        <w:t> </w:t>
      </w:r>
      <w:r>
        <w:rPr/>
        <w:t>when</w:t>
      </w:r>
      <w:r>
        <w:rPr>
          <w:spacing w:val="-2"/>
        </w:rPr>
        <w:t> </w:t>
      </w:r>
      <w:r>
        <w:rPr/>
        <w:t>there</w:t>
      </w:r>
      <w:r>
        <w:rPr>
          <w:spacing w:val="-2"/>
        </w:rPr>
        <w:t> </w:t>
      </w:r>
      <w:r>
        <w:rPr/>
        <w:t>can</w:t>
      </w:r>
      <w:r>
        <w:rPr>
          <w:spacing w:val="-4"/>
        </w:rPr>
        <w:t> </w:t>
      </w:r>
      <w:r>
        <w:rPr/>
        <w:t>be</w:t>
      </w:r>
      <w:r>
        <w:rPr>
          <w:spacing w:val="-2"/>
        </w:rPr>
        <w:t> </w:t>
      </w:r>
      <w:r>
        <w:rPr/>
        <w:t>deep</w:t>
      </w:r>
      <w:r>
        <w:rPr>
          <w:spacing w:val="-2"/>
        </w:rPr>
        <w:t> </w:t>
      </w:r>
      <w:r>
        <w:rPr/>
        <w:t>confidence</w:t>
      </w:r>
      <w:r>
        <w:rPr>
          <w:spacing w:val="-4"/>
        </w:rPr>
        <w:t> </w:t>
      </w:r>
      <w:r>
        <w:rPr/>
        <w:t>in</w:t>
      </w:r>
      <w:r>
        <w:rPr>
          <w:spacing w:val="-2"/>
        </w:rPr>
        <w:t> </w:t>
      </w:r>
      <w:r>
        <w:rPr/>
        <w:t>the</w:t>
      </w:r>
      <w:r>
        <w:rPr>
          <w:spacing w:val="-4"/>
        </w:rPr>
        <w:t> </w:t>
      </w:r>
      <w:r>
        <w:rPr/>
        <w:t>capabilities</w:t>
      </w:r>
      <w:r>
        <w:rPr>
          <w:spacing w:val="-2"/>
        </w:rPr>
        <w:t> </w:t>
      </w:r>
      <w:r>
        <w:rPr/>
        <w:t>and</w:t>
      </w:r>
      <w:r>
        <w:rPr>
          <w:spacing w:val="-2"/>
        </w:rPr>
        <w:t> </w:t>
      </w:r>
      <w:r>
        <w:rPr/>
        <w:t>capacity</w:t>
      </w:r>
      <w:r>
        <w:rPr>
          <w:spacing w:val="-4"/>
        </w:rPr>
        <w:t> </w:t>
      </w:r>
      <w:r>
        <w:rPr/>
        <w:t>of the regulator to strongly enforce such a system. International experience has clearly shown that</w:t>
      </w:r>
    </w:p>
    <w:p>
      <w:pPr>
        <w:spacing w:after="0" w:line="288" w:lineRule="auto"/>
        <w:sectPr>
          <w:pgSz w:w="11910" w:h="16850"/>
          <w:pgMar w:header="465" w:footer="880" w:top="660" w:bottom="1060" w:left="840" w:right="820"/>
        </w:sectPr>
      </w:pPr>
    </w:p>
    <w:p>
      <w:pPr>
        <w:pStyle w:val="BodyText"/>
        <w:rPr>
          <w:sz w:val="20"/>
        </w:rPr>
      </w:pPr>
    </w:p>
    <w:p>
      <w:pPr>
        <w:pStyle w:val="BodyText"/>
        <w:rPr>
          <w:sz w:val="20"/>
        </w:rPr>
      </w:pPr>
    </w:p>
    <w:p>
      <w:pPr>
        <w:pStyle w:val="BodyText"/>
        <w:spacing w:before="4"/>
      </w:pPr>
    </w:p>
    <w:p>
      <w:pPr>
        <w:pStyle w:val="BodyText"/>
        <w:spacing w:line="288" w:lineRule="auto"/>
        <w:ind w:left="292" w:right="910"/>
      </w:pPr>
      <w:r>
        <w:rPr/>
        <w:t>such</w:t>
      </w:r>
      <w:r>
        <w:rPr>
          <w:spacing w:val="-2"/>
        </w:rPr>
        <w:t> </w:t>
      </w:r>
      <w:r>
        <w:rPr/>
        <w:t>a</w:t>
      </w:r>
      <w:r>
        <w:rPr>
          <w:spacing w:val="-4"/>
        </w:rPr>
        <w:t> </w:t>
      </w:r>
      <w:r>
        <w:rPr/>
        <w:t>system</w:t>
      </w:r>
      <w:r>
        <w:rPr>
          <w:spacing w:val="-3"/>
        </w:rPr>
        <w:t> </w:t>
      </w:r>
      <w:r>
        <w:rPr/>
        <w:t>relies</w:t>
      </w:r>
      <w:r>
        <w:rPr>
          <w:spacing w:val="-2"/>
        </w:rPr>
        <w:t> </w:t>
      </w:r>
      <w:r>
        <w:rPr/>
        <w:t>on</w:t>
      </w:r>
      <w:r>
        <w:rPr>
          <w:spacing w:val="-6"/>
        </w:rPr>
        <w:t> </w:t>
      </w:r>
      <w:r>
        <w:rPr/>
        <w:t>a</w:t>
      </w:r>
      <w:r>
        <w:rPr>
          <w:spacing w:val="-2"/>
        </w:rPr>
        <w:t> </w:t>
      </w:r>
      <w:r>
        <w:rPr/>
        <w:t>highly</w:t>
      </w:r>
      <w:r>
        <w:rPr>
          <w:spacing w:val="-4"/>
        </w:rPr>
        <w:t> </w:t>
      </w:r>
      <w:r>
        <w:rPr/>
        <w:t>active</w:t>
      </w:r>
      <w:r>
        <w:rPr>
          <w:spacing w:val="-2"/>
        </w:rPr>
        <w:t> </w:t>
      </w:r>
      <w:r>
        <w:rPr/>
        <w:t>and</w:t>
      </w:r>
      <w:r>
        <w:rPr>
          <w:spacing w:val="-2"/>
        </w:rPr>
        <w:t> </w:t>
      </w:r>
      <w:r>
        <w:rPr/>
        <w:t>engaged</w:t>
      </w:r>
      <w:r>
        <w:rPr>
          <w:spacing w:val="-4"/>
        </w:rPr>
        <w:t> </w:t>
      </w:r>
      <w:r>
        <w:rPr/>
        <w:t>regulator</w:t>
      </w:r>
      <w:r>
        <w:rPr>
          <w:spacing w:val="-1"/>
        </w:rPr>
        <w:t> </w:t>
      </w:r>
      <w:r>
        <w:rPr/>
        <w:t>implementing</w:t>
      </w:r>
      <w:r>
        <w:rPr>
          <w:spacing w:val="-2"/>
        </w:rPr>
        <w:t> </w:t>
      </w:r>
      <w:r>
        <w:rPr/>
        <w:t>a</w:t>
      </w:r>
      <w:r>
        <w:rPr>
          <w:spacing w:val="-2"/>
        </w:rPr>
        <w:t> </w:t>
      </w:r>
      <w:r>
        <w:rPr/>
        <w:t>visible,</w:t>
      </w:r>
      <w:r>
        <w:rPr>
          <w:spacing w:val="-1"/>
        </w:rPr>
        <w:t> </w:t>
      </w:r>
      <w:r>
        <w:rPr/>
        <w:t>and rigorous, program of audits and inspections.</w:t>
      </w:r>
    </w:p>
    <w:p>
      <w:pPr>
        <w:pStyle w:val="BodyText"/>
        <w:spacing w:before="11"/>
        <w:rPr>
          <w:sz w:val="20"/>
        </w:rPr>
      </w:pPr>
    </w:p>
    <w:p>
      <w:pPr>
        <w:pStyle w:val="BodyText"/>
        <w:spacing w:line="288" w:lineRule="auto"/>
        <w:ind w:left="292" w:right="311"/>
      </w:pPr>
      <w:r>
        <w:rPr/>
        <w:t>In addition, network businesses would need to demonstrate a sustained track record of producing rigorous safety cases. Strong safety cases and safety management systems must be based on strong technical standards and disciplined internal operating procedures. There may be less external</w:t>
      </w:r>
      <w:r>
        <w:rPr>
          <w:spacing w:val="-4"/>
        </w:rPr>
        <w:t> </w:t>
      </w:r>
      <w:r>
        <w:rPr/>
        <w:t>prescription</w:t>
      </w:r>
      <w:r>
        <w:rPr>
          <w:spacing w:val="-3"/>
        </w:rPr>
        <w:t> </w:t>
      </w:r>
      <w:r>
        <w:rPr/>
        <w:t>set</w:t>
      </w:r>
      <w:r>
        <w:rPr>
          <w:spacing w:val="-4"/>
        </w:rPr>
        <w:t> </w:t>
      </w:r>
      <w:r>
        <w:rPr/>
        <w:t>out</w:t>
      </w:r>
      <w:r>
        <w:rPr>
          <w:spacing w:val="-1"/>
        </w:rPr>
        <w:t> </w:t>
      </w:r>
      <w:r>
        <w:rPr/>
        <w:t>in</w:t>
      </w:r>
      <w:r>
        <w:rPr>
          <w:spacing w:val="-3"/>
        </w:rPr>
        <w:t> </w:t>
      </w:r>
      <w:r>
        <w:rPr/>
        <w:t>legislation</w:t>
      </w:r>
      <w:r>
        <w:rPr>
          <w:spacing w:val="-3"/>
        </w:rPr>
        <w:t> </w:t>
      </w:r>
      <w:r>
        <w:rPr/>
        <w:t>or</w:t>
      </w:r>
      <w:r>
        <w:rPr>
          <w:spacing w:val="-2"/>
        </w:rPr>
        <w:t> </w:t>
      </w:r>
      <w:r>
        <w:rPr/>
        <w:t>legislative</w:t>
      </w:r>
      <w:r>
        <w:rPr>
          <w:spacing w:val="-3"/>
        </w:rPr>
        <w:t> </w:t>
      </w:r>
      <w:r>
        <w:rPr/>
        <w:t>instruments,</w:t>
      </w:r>
      <w:r>
        <w:rPr>
          <w:spacing w:val="-1"/>
        </w:rPr>
        <w:t> </w:t>
      </w:r>
      <w:r>
        <w:rPr/>
        <w:t>but</w:t>
      </w:r>
      <w:r>
        <w:rPr>
          <w:spacing w:val="-1"/>
        </w:rPr>
        <w:t> </w:t>
      </w:r>
      <w:r>
        <w:rPr/>
        <w:t>if</w:t>
      </w:r>
      <w:r>
        <w:rPr>
          <w:spacing w:val="-1"/>
        </w:rPr>
        <w:t> </w:t>
      </w:r>
      <w:r>
        <w:rPr/>
        <w:t>anything,</w:t>
      </w:r>
      <w:r>
        <w:rPr>
          <w:spacing w:val="-4"/>
        </w:rPr>
        <w:t> </w:t>
      </w:r>
      <w:r>
        <w:rPr/>
        <w:t>there</w:t>
      </w:r>
      <w:r>
        <w:rPr>
          <w:spacing w:val="-5"/>
        </w:rPr>
        <w:t> </w:t>
      </w:r>
      <w:r>
        <w:rPr/>
        <w:t>is</w:t>
      </w:r>
      <w:r>
        <w:rPr>
          <w:spacing w:val="-2"/>
        </w:rPr>
        <w:t> </w:t>
      </w:r>
      <w:r>
        <w:rPr/>
        <w:t>likely</w:t>
      </w:r>
      <w:r>
        <w:rPr>
          <w:spacing w:val="-5"/>
        </w:rPr>
        <w:t> </w:t>
      </w:r>
      <w:r>
        <w:rPr/>
        <w:t>to be a need for </w:t>
      </w:r>
      <w:r>
        <w:rPr>
          <w:i/>
        </w:rPr>
        <w:t>more </w:t>
      </w:r>
      <w:r>
        <w:rPr/>
        <w:t>internal prescription within network businesses.</w:t>
      </w:r>
    </w:p>
    <w:p>
      <w:pPr>
        <w:pStyle w:val="BodyText"/>
        <w:spacing w:before="9"/>
        <w:rPr>
          <w:sz w:val="20"/>
        </w:rPr>
      </w:pPr>
    </w:p>
    <w:p>
      <w:pPr>
        <w:pStyle w:val="BodyText"/>
        <w:spacing w:line="288" w:lineRule="auto"/>
        <w:ind w:left="292" w:right="374"/>
      </w:pPr>
      <w:r>
        <w:rPr/>
        <w:t>From the Review's engagement with other network safety regulators in Australia, it is clear that ESV</w:t>
      </w:r>
      <w:r>
        <w:rPr>
          <w:spacing w:val="-2"/>
        </w:rPr>
        <w:t> </w:t>
      </w:r>
      <w:r>
        <w:rPr/>
        <w:t>enjoys</w:t>
      </w:r>
      <w:r>
        <w:rPr>
          <w:spacing w:val="-1"/>
        </w:rPr>
        <w:t> </w:t>
      </w:r>
      <w:r>
        <w:rPr/>
        <w:t>a</w:t>
      </w:r>
      <w:r>
        <w:rPr>
          <w:spacing w:val="-4"/>
        </w:rPr>
        <w:t> </w:t>
      </w:r>
      <w:r>
        <w:rPr/>
        <w:t>reputation</w:t>
      </w:r>
      <w:r>
        <w:rPr>
          <w:spacing w:val="-4"/>
        </w:rPr>
        <w:t> </w:t>
      </w:r>
      <w:r>
        <w:rPr/>
        <w:t>as</w:t>
      </w:r>
      <w:r>
        <w:rPr>
          <w:spacing w:val="-2"/>
        </w:rPr>
        <w:t> </w:t>
      </w:r>
      <w:r>
        <w:rPr/>
        <w:t>a</w:t>
      </w:r>
      <w:r>
        <w:rPr>
          <w:spacing w:val="-1"/>
        </w:rPr>
        <w:t> </w:t>
      </w:r>
      <w:r>
        <w:rPr/>
        <w:t>leading network</w:t>
      </w:r>
      <w:r>
        <w:rPr>
          <w:spacing w:val="-1"/>
        </w:rPr>
        <w:t> </w:t>
      </w:r>
      <w:r>
        <w:rPr/>
        <w:t>safety</w:t>
      </w:r>
      <w:r>
        <w:rPr>
          <w:spacing w:val="-4"/>
        </w:rPr>
        <w:t> </w:t>
      </w:r>
      <w:r>
        <w:rPr/>
        <w:t>regulator</w:t>
      </w:r>
      <w:r>
        <w:rPr>
          <w:spacing w:val="-3"/>
        </w:rPr>
        <w:t> </w:t>
      </w:r>
      <w:r>
        <w:rPr/>
        <w:t>in</w:t>
      </w:r>
      <w:r>
        <w:rPr>
          <w:spacing w:val="-2"/>
        </w:rPr>
        <w:t> </w:t>
      </w:r>
      <w:r>
        <w:rPr/>
        <w:t>Australia,</w:t>
      </w:r>
      <w:r>
        <w:rPr>
          <w:spacing w:val="-1"/>
        </w:rPr>
        <w:t> </w:t>
      </w:r>
      <w:r>
        <w:rPr/>
        <w:t>perhaps</w:t>
      </w:r>
      <w:r>
        <w:rPr>
          <w:spacing w:val="-4"/>
        </w:rPr>
        <w:t> </w:t>
      </w:r>
      <w:r>
        <w:rPr/>
        <w:t>as</w:t>
      </w:r>
      <w:r>
        <w:rPr>
          <w:spacing w:val="-3"/>
        </w:rPr>
        <w:t> </w:t>
      </w:r>
      <w:r>
        <w:rPr/>
        <w:t>the</w:t>
      </w:r>
      <w:r>
        <w:rPr>
          <w:spacing w:val="-4"/>
        </w:rPr>
        <w:t> </w:t>
      </w:r>
      <w:r>
        <w:rPr/>
        <w:t>leading regulator. Even so, there is much scope for ESV to strengthen its systems, processes, and </w:t>
      </w:r>
      <w:r>
        <w:rPr>
          <w:spacing w:val="-2"/>
        </w:rPr>
        <w:t>governance.</w:t>
      </w:r>
    </w:p>
    <w:p>
      <w:pPr>
        <w:pStyle w:val="BodyText"/>
        <w:spacing w:before="10"/>
        <w:rPr>
          <w:sz w:val="20"/>
        </w:rPr>
      </w:pPr>
    </w:p>
    <w:p>
      <w:pPr>
        <w:pStyle w:val="BodyText"/>
        <w:spacing w:line="288" w:lineRule="auto" w:before="1"/>
        <w:ind w:left="292" w:right="328"/>
        <w:jc w:val="both"/>
      </w:pPr>
      <w:r>
        <w:rPr/>
        <w:t>This process</w:t>
      </w:r>
      <w:r>
        <w:rPr>
          <w:spacing w:val="-1"/>
        </w:rPr>
        <w:t> </w:t>
      </w:r>
      <w:r>
        <w:rPr/>
        <w:t>needs</w:t>
      </w:r>
      <w:r>
        <w:rPr>
          <w:spacing w:val="-1"/>
        </w:rPr>
        <w:t> </w:t>
      </w:r>
      <w:r>
        <w:rPr/>
        <w:t>to</w:t>
      </w:r>
      <w:r>
        <w:rPr>
          <w:spacing w:val="-1"/>
        </w:rPr>
        <w:t> </w:t>
      </w:r>
      <w:r>
        <w:rPr/>
        <w:t>be completed before</w:t>
      </w:r>
      <w:r>
        <w:rPr>
          <w:spacing w:val="-1"/>
        </w:rPr>
        <w:t> </w:t>
      </w:r>
      <w:r>
        <w:rPr/>
        <w:t>consideration should be</w:t>
      </w:r>
      <w:r>
        <w:rPr>
          <w:spacing w:val="-3"/>
        </w:rPr>
        <w:t> </w:t>
      </w:r>
      <w:r>
        <w:rPr/>
        <w:t>given to</w:t>
      </w:r>
      <w:r>
        <w:rPr>
          <w:spacing w:val="-1"/>
        </w:rPr>
        <w:t> </w:t>
      </w:r>
      <w:r>
        <w:rPr/>
        <w:t>significantly</w:t>
      </w:r>
      <w:r>
        <w:rPr>
          <w:spacing w:val="-1"/>
        </w:rPr>
        <w:t> </w:t>
      </w:r>
      <w:r>
        <w:rPr/>
        <w:t>changing the</w:t>
      </w:r>
      <w:r>
        <w:rPr>
          <w:spacing w:val="-3"/>
        </w:rPr>
        <w:t> </w:t>
      </w:r>
      <w:r>
        <w:rPr/>
        <w:t>degree</w:t>
      </w:r>
      <w:r>
        <w:rPr>
          <w:spacing w:val="-3"/>
        </w:rPr>
        <w:t> </w:t>
      </w:r>
      <w:r>
        <w:rPr/>
        <w:t>of</w:t>
      </w:r>
      <w:r>
        <w:rPr>
          <w:spacing w:val="-1"/>
        </w:rPr>
        <w:t> </w:t>
      </w:r>
      <w:r>
        <w:rPr/>
        <w:t>prescription</w:t>
      </w:r>
      <w:r>
        <w:rPr>
          <w:spacing w:val="-3"/>
        </w:rPr>
        <w:t> </w:t>
      </w:r>
      <w:r>
        <w:rPr/>
        <w:t>set</w:t>
      </w:r>
      <w:r>
        <w:rPr>
          <w:spacing w:val="-3"/>
        </w:rPr>
        <w:t> </w:t>
      </w:r>
      <w:r>
        <w:rPr/>
        <w:t>out</w:t>
      </w:r>
      <w:r>
        <w:rPr>
          <w:spacing w:val="-4"/>
        </w:rPr>
        <w:t> </w:t>
      </w:r>
      <w:r>
        <w:rPr/>
        <w:t>in</w:t>
      </w:r>
      <w:r>
        <w:rPr>
          <w:spacing w:val="-3"/>
        </w:rPr>
        <w:t> </w:t>
      </w:r>
      <w:r>
        <w:rPr/>
        <w:t>current</w:t>
      </w:r>
      <w:r>
        <w:rPr>
          <w:spacing w:val="-1"/>
        </w:rPr>
        <w:t> </w:t>
      </w:r>
      <w:r>
        <w:rPr/>
        <w:t>legislation.</w:t>
      </w:r>
      <w:r>
        <w:rPr>
          <w:spacing w:val="-2"/>
        </w:rPr>
        <w:t> </w:t>
      </w:r>
      <w:r>
        <w:rPr/>
        <w:t>Network</w:t>
      </w:r>
      <w:r>
        <w:rPr>
          <w:spacing w:val="-2"/>
        </w:rPr>
        <w:t> </w:t>
      </w:r>
      <w:r>
        <w:rPr/>
        <w:t>businesses,</w:t>
      </w:r>
      <w:r>
        <w:rPr>
          <w:spacing w:val="-2"/>
        </w:rPr>
        <w:t> </w:t>
      </w:r>
      <w:r>
        <w:rPr/>
        <w:t>similarly,</w:t>
      </w:r>
      <w:r>
        <w:rPr>
          <w:spacing w:val="-1"/>
        </w:rPr>
        <w:t> </w:t>
      </w:r>
      <w:r>
        <w:rPr/>
        <w:t>need</w:t>
      </w:r>
      <w:r>
        <w:rPr>
          <w:spacing w:val="-3"/>
        </w:rPr>
        <w:t> </w:t>
      </w:r>
      <w:r>
        <w:rPr/>
        <w:t>to</w:t>
      </w:r>
      <w:r>
        <w:rPr>
          <w:spacing w:val="-5"/>
        </w:rPr>
        <w:t> </w:t>
      </w:r>
      <w:r>
        <w:rPr/>
        <w:t>build deep</w:t>
      </w:r>
      <w:r>
        <w:rPr>
          <w:spacing w:val="-1"/>
        </w:rPr>
        <w:t> </w:t>
      </w:r>
      <w:r>
        <w:rPr/>
        <w:t>confidence</w:t>
      </w:r>
      <w:r>
        <w:rPr>
          <w:spacing w:val="-3"/>
        </w:rPr>
        <w:t> </w:t>
      </w:r>
      <w:r>
        <w:rPr/>
        <w:t>in</w:t>
      </w:r>
      <w:r>
        <w:rPr>
          <w:spacing w:val="-1"/>
        </w:rPr>
        <w:t> </w:t>
      </w:r>
      <w:r>
        <w:rPr/>
        <w:t>the</w:t>
      </w:r>
      <w:r>
        <w:rPr>
          <w:spacing w:val="-6"/>
        </w:rPr>
        <w:t> </w:t>
      </w:r>
      <w:r>
        <w:rPr/>
        <w:t>quality</w:t>
      </w:r>
      <w:r>
        <w:rPr>
          <w:spacing w:val="-3"/>
        </w:rPr>
        <w:t> </w:t>
      </w:r>
      <w:r>
        <w:rPr/>
        <w:t>of their</w:t>
      </w:r>
      <w:r>
        <w:rPr>
          <w:spacing w:val="-2"/>
        </w:rPr>
        <w:t> </w:t>
      </w:r>
      <w:r>
        <w:rPr/>
        <w:t>systems.</w:t>
      </w:r>
      <w:r>
        <w:rPr>
          <w:spacing w:val="-2"/>
        </w:rPr>
        <w:t> </w:t>
      </w:r>
      <w:r>
        <w:rPr/>
        <w:t>Strong leadership, and</w:t>
      </w:r>
      <w:r>
        <w:rPr>
          <w:spacing w:val="-3"/>
        </w:rPr>
        <w:t> </w:t>
      </w:r>
      <w:r>
        <w:rPr/>
        <w:t>deep</w:t>
      </w:r>
      <w:r>
        <w:rPr>
          <w:spacing w:val="-1"/>
        </w:rPr>
        <w:t> </w:t>
      </w:r>
      <w:r>
        <w:rPr/>
        <w:t>engagement,</w:t>
      </w:r>
      <w:r>
        <w:rPr>
          <w:spacing w:val="-4"/>
        </w:rPr>
        <w:t> </w:t>
      </w:r>
      <w:r>
        <w:rPr/>
        <w:t>from</w:t>
      </w:r>
      <w:r>
        <w:rPr>
          <w:spacing w:val="-2"/>
        </w:rPr>
        <w:t> </w:t>
      </w:r>
      <w:r>
        <w:rPr/>
        <w:t>the board and chief executive levels down, is essential.</w:t>
      </w:r>
    </w:p>
    <w:p>
      <w:pPr>
        <w:pStyle w:val="BodyText"/>
        <w:spacing w:before="3"/>
        <w:rPr>
          <w:sz w:val="31"/>
        </w:rPr>
      </w:pPr>
    </w:p>
    <w:p>
      <w:pPr>
        <w:pStyle w:val="Heading4"/>
        <w:spacing w:before="0"/>
        <w:ind w:left="292"/>
        <w:jc w:val="both"/>
      </w:pPr>
      <w:r>
        <w:rPr>
          <w:color w:val="585858"/>
        </w:rPr>
        <w:t>Engagement</w:t>
      </w:r>
      <w:r>
        <w:rPr>
          <w:color w:val="585858"/>
          <w:spacing w:val="-16"/>
        </w:rPr>
        <w:t> </w:t>
      </w:r>
      <w:r>
        <w:rPr>
          <w:color w:val="585858"/>
        </w:rPr>
        <w:t>with</w:t>
      </w:r>
      <w:r>
        <w:rPr>
          <w:color w:val="585858"/>
          <w:spacing w:val="-12"/>
        </w:rPr>
        <w:t> </w:t>
      </w:r>
      <w:r>
        <w:rPr>
          <w:color w:val="585858"/>
        </w:rPr>
        <w:t>other</w:t>
      </w:r>
      <w:r>
        <w:rPr>
          <w:color w:val="585858"/>
          <w:spacing w:val="-13"/>
        </w:rPr>
        <w:t> </w:t>
      </w:r>
      <w:r>
        <w:rPr>
          <w:color w:val="585858"/>
        </w:rPr>
        <w:t>regulators</w:t>
      </w:r>
      <w:r>
        <w:rPr>
          <w:color w:val="585858"/>
          <w:spacing w:val="-12"/>
        </w:rPr>
        <w:t> </w:t>
      </w:r>
      <w:r>
        <w:rPr>
          <w:color w:val="585858"/>
        </w:rPr>
        <w:t>and</w:t>
      </w:r>
      <w:r>
        <w:rPr>
          <w:color w:val="585858"/>
          <w:spacing w:val="-11"/>
        </w:rPr>
        <w:t> </w:t>
      </w:r>
      <w:r>
        <w:rPr>
          <w:color w:val="585858"/>
        </w:rPr>
        <w:t>government</w:t>
      </w:r>
      <w:r>
        <w:rPr>
          <w:color w:val="585858"/>
          <w:spacing w:val="-14"/>
        </w:rPr>
        <w:t> </w:t>
      </w:r>
      <w:r>
        <w:rPr>
          <w:color w:val="585858"/>
          <w:spacing w:val="-2"/>
        </w:rPr>
        <w:t>agencies</w:t>
      </w:r>
    </w:p>
    <w:p>
      <w:pPr>
        <w:pStyle w:val="BodyText"/>
        <w:spacing w:line="288" w:lineRule="auto" w:before="314"/>
        <w:ind w:left="292" w:right="406"/>
      </w:pPr>
      <w:r>
        <w:rPr/>
        <w:t>There are extensive areas of interaction between the network safety responsibilities of ESV and the responsibilities of other national and state regulators. Confronting such an extensive web of regulatory</w:t>
      </w:r>
      <w:r>
        <w:rPr>
          <w:spacing w:val="-2"/>
        </w:rPr>
        <w:t> </w:t>
      </w:r>
      <w:r>
        <w:rPr/>
        <w:t>relationships</w:t>
      </w:r>
      <w:r>
        <w:rPr>
          <w:spacing w:val="-2"/>
        </w:rPr>
        <w:t> </w:t>
      </w:r>
      <w:r>
        <w:rPr/>
        <w:t>it</w:t>
      </w:r>
      <w:r>
        <w:rPr>
          <w:spacing w:val="-3"/>
        </w:rPr>
        <w:t> </w:t>
      </w:r>
      <w:r>
        <w:rPr/>
        <w:t>could</w:t>
      </w:r>
      <w:r>
        <w:rPr>
          <w:spacing w:val="-2"/>
        </w:rPr>
        <w:t> </w:t>
      </w:r>
      <w:r>
        <w:rPr/>
        <w:t>be</w:t>
      </w:r>
      <w:r>
        <w:rPr>
          <w:spacing w:val="-2"/>
        </w:rPr>
        <w:t> </w:t>
      </w:r>
      <w:r>
        <w:rPr/>
        <w:t>asked</w:t>
      </w:r>
      <w:r>
        <w:rPr>
          <w:spacing w:val="-2"/>
        </w:rPr>
        <w:t> </w:t>
      </w:r>
      <w:r>
        <w:rPr/>
        <w:t>whether</w:t>
      </w:r>
      <w:r>
        <w:rPr>
          <w:spacing w:val="-5"/>
        </w:rPr>
        <w:t> </w:t>
      </w:r>
      <w:r>
        <w:rPr/>
        <w:t>there</w:t>
      </w:r>
      <w:r>
        <w:rPr>
          <w:spacing w:val="-4"/>
        </w:rPr>
        <w:t> </w:t>
      </w:r>
      <w:r>
        <w:rPr/>
        <w:t>may</w:t>
      </w:r>
      <w:r>
        <w:rPr>
          <w:spacing w:val="-4"/>
        </w:rPr>
        <w:t> </w:t>
      </w:r>
      <w:r>
        <w:rPr/>
        <w:t>be</w:t>
      </w:r>
      <w:r>
        <w:rPr>
          <w:spacing w:val="-2"/>
        </w:rPr>
        <w:t> </w:t>
      </w:r>
      <w:r>
        <w:rPr/>
        <w:t>a</w:t>
      </w:r>
      <w:r>
        <w:rPr>
          <w:spacing w:val="-4"/>
        </w:rPr>
        <w:t> </w:t>
      </w:r>
      <w:r>
        <w:rPr/>
        <w:t>case</w:t>
      </w:r>
      <w:r>
        <w:rPr>
          <w:spacing w:val="-4"/>
        </w:rPr>
        <w:t> </w:t>
      </w:r>
      <w:r>
        <w:rPr/>
        <w:t>to</w:t>
      </w:r>
      <w:r>
        <w:rPr>
          <w:spacing w:val="-4"/>
        </w:rPr>
        <w:t> </w:t>
      </w:r>
      <w:r>
        <w:rPr/>
        <w:t>substantially</w:t>
      </w:r>
      <w:r>
        <w:rPr>
          <w:spacing w:val="-4"/>
        </w:rPr>
        <w:t> </w:t>
      </w:r>
      <w:r>
        <w:rPr/>
        <w:t>rationalise roles and responsibilities.</w:t>
      </w:r>
    </w:p>
    <w:p>
      <w:pPr>
        <w:pStyle w:val="BodyText"/>
        <w:spacing w:before="10"/>
        <w:rPr>
          <w:sz w:val="20"/>
        </w:rPr>
      </w:pPr>
    </w:p>
    <w:p>
      <w:pPr>
        <w:pStyle w:val="BodyText"/>
        <w:spacing w:line="288" w:lineRule="auto"/>
        <w:ind w:left="292" w:right="311"/>
      </w:pPr>
      <w:r>
        <w:rPr/>
        <w:t>Proper consideration of the question of whether safety regulation across several Victorian regulatory agencies should be brought together under a single organisation or communities of practice</w:t>
      </w:r>
      <w:r>
        <w:rPr>
          <w:spacing w:val="-4"/>
        </w:rPr>
        <w:t> </w:t>
      </w:r>
      <w:r>
        <w:rPr/>
        <w:t>would</w:t>
      </w:r>
      <w:r>
        <w:rPr>
          <w:spacing w:val="-2"/>
        </w:rPr>
        <w:t> </w:t>
      </w:r>
      <w:r>
        <w:rPr/>
        <w:t>require</w:t>
      </w:r>
      <w:r>
        <w:rPr>
          <w:spacing w:val="-4"/>
        </w:rPr>
        <w:t> </w:t>
      </w:r>
      <w:r>
        <w:rPr/>
        <w:t>a</w:t>
      </w:r>
      <w:r>
        <w:rPr>
          <w:spacing w:val="-4"/>
        </w:rPr>
        <w:t> </w:t>
      </w:r>
      <w:r>
        <w:rPr/>
        <w:t>broader</w:t>
      </w:r>
      <w:r>
        <w:rPr>
          <w:spacing w:val="-3"/>
        </w:rPr>
        <w:t> </w:t>
      </w:r>
      <w:r>
        <w:rPr/>
        <w:t>review. However,</w:t>
      </w:r>
      <w:r>
        <w:rPr>
          <w:spacing w:val="-2"/>
        </w:rPr>
        <w:t> </w:t>
      </w:r>
      <w:r>
        <w:rPr/>
        <w:t>there</w:t>
      </w:r>
      <w:r>
        <w:rPr>
          <w:spacing w:val="-4"/>
        </w:rPr>
        <w:t> </w:t>
      </w:r>
      <w:r>
        <w:rPr/>
        <w:t>could</w:t>
      </w:r>
      <w:r>
        <w:rPr>
          <w:spacing w:val="-2"/>
        </w:rPr>
        <w:t> </w:t>
      </w:r>
      <w:r>
        <w:rPr/>
        <w:t>be</w:t>
      </w:r>
      <w:r>
        <w:rPr>
          <w:spacing w:val="-4"/>
        </w:rPr>
        <w:t> </w:t>
      </w:r>
      <w:r>
        <w:rPr/>
        <w:t>benefits</w:t>
      </w:r>
      <w:r>
        <w:rPr>
          <w:spacing w:val="-6"/>
        </w:rPr>
        <w:t> </w:t>
      </w:r>
      <w:r>
        <w:rPr/>
        <w:t>in</w:t>
      </w:r>
      <w:r>
        <w:rPr>
          <w:spacing w:val="-2"/>
        </w:rPr>
        <w:t> </w:t>
      </w:r>
      <w:r>
        <w:rPr/>
        <w:t>such</w:t>
      </w:r>
      <w:r>
        <w:rPr>
          <w:spacing w:val="-2"/>
        </w:rPr>
        <w:t> </w:t>
      </w:r>
      <w:r>
        <w:rPr/>
        <w:t>an</w:t>
      </w:r>
      <w:r>
        <w:rPr>
          <w:spacing w:val="-4"/>
        </w:rPr>
        <w:t> </w:t>
      </w:r>
      <w:r>
        <w:rPr/>
        <w:t>approach, particularly in reaping the benefits of greater scale and fostering the development of deeper capabilities in key dimensions, such as legal and analytical functions.</w:t>
      </w:r>
    </w:p>
    <w:p>
      <w:pPr>
        <w:pStyle w:val="BodyText"/>
        <w:rPr>
          <w:sz w:val="21"/>
        </w:rPr>
      </w:pPr>
    </w:p>
    <w:p>
      <w:pPr>
        <w:pStyle w:val="BodyText"/>
        <w:spacing w:line="288" w:lineRule="auto"/>
        <w:ind w:left="292" w:right="374"/>
      </w:pPr>
      <w:r>
        <w:rPr/>
        <w:t>Within the scope of this current review of electricity and gas network safety, the central issues relate</w:t>
      </w:r>
      <w:r>
        <w:rPr>
          <w:spacing w:val="-3"/>
        </w:rPr>
        <w:t> </w:t>
      </w:r>
      <w:r>
        <w:rPr/>
        <w:t>to</w:t>
      </w:r>
      <w:r>
        <w:rPr>
          <w:spacing w:val="-3"/>
        </w:rPr>
        <w:t> </w:t>
      </w:r>
      <w:r>
        <w:rPr/>
        <w:t>the</w:t>
      </w:r>
      <w:r>
        <w:rPr>
          <w:spacing w:val="-2"/>
        </w:rPr>
        <w:t> </w:t>
      </w:r>
      <w:r>
        <w:rPr/>
        <w:t>effectiveness</w:t>
      </w:r>
      <w:r>
        <w:rPr>
          <w:spacing w:val="-2"/>
        </w:rPr>
        <w:t> </w:t>
      </w:r>
      <w:r>
        <w:rPr/>
        <w:t>of the</w:t>
      </w:r>
      <w:r>
        <w:rPr>
          <w:spacing w:val="-4"/>
        </w:rPr>
        <w:t> </w:t>
      </w:r>
      <w:r>
        <w:rPr/>
        <w:t>arrangements</w:t>
      </w:r>
      <w:r>
        <w:rPr>
          <w:spacing w:val="-4"/>
        </w:rPr>
        <w:t> </w:t>
      </w:r>
      <w:r>
        <w:rPr/>
        <w:t>ESV</w:t>
      </w:r>
      <w:r>
        <w:rPr>
          <w:spacing w:val="-2"/>
        </w:rPr>
        <w:t> </w:t>
      </w:r>
      <w:r>
        <w:rPr/>
        <w:t>has</w:t>
      </w:r>
      <w:r>
        <w:rPr>
          <w:spacing w:val="-1"/>
        </w:rPr>
        <w:t> </w:t>
      </w:r>
      <w:r>
        <w:rPr/>
        <w:t>in</w:t>
      </w:r>
      <w:r>
        <w:rPr>
          <w:spacing w:val="-2"/>
        </w:rPr>
        <w:t> </w:t>
      </w:r>
      <w:r>
        <w:rPr/>
        <w:t>place</w:t>
      </w:r>
      <w:r>
        <w:rPr>
          <w:spacing w:val="-4"/>
        </w:rPr>
        <w:t> </w:t>
      </w:r>
      <w:r>
        <w:rPr/>
        <w:t>to</w:t>
      </w:r>
      <w:r>
        <w:rPr>
          <w:spacing w:val="-4"/>
        </w:rPr>
        <w:t> </w:t>
      </w:r>
      <w:r>
        <w:rPr/>
        <w:t>manage</w:t>
      </w:r>
      <w:r>
        <w:rPr>
          <w:spacing w:val="-6"/>
        </w:rPr>
        <w:t> </w:t>
      </w:r>
      <w:r>
        <w:rPr/>
        <w:t>functions</w:t>
      </w:r>
      <w:r>
        <w:rPr>
          <w:spacing w:val="-4"/>
        </w:rPr>
        <w:t> </w:t>
      </w:r>
      <w:r>
        <w:rPr/>
        <w:t>that</w:t>
      </w:r>
      <w:r>
        <w:rPr>
          <w:spacing w:val="-3"/>
        </w:rPr>
        <w:t> </w:t>
      </w:r>
      <w:r>
        <w:rPr/>
        <w:t>overlap or interact closely with other regulators or other government departments and agencies.</w:t>
      </w:r>
    </w:p>
    <w:p>
      <w:pPr>
        <w:pStyle w:val="BodyText"/>
        <w:spacing w:before="9"/>
        <w:rPr>
          <w:sz w:val="20"/>
        </w:rPr>
      </w:pPr>
    </w:p>
    <w:p>
      <w:pPr>
        <w:pStyle w:val="BodyText"/>
        <w:spacing w:line="288" w:lineRule="auto"/>
        <w:ind w:left="292" w:right="406"/>
      </w:pPr>
      <w:r>
        <w:rPr/>
        <w:t>ESV has endeavoured to place its key regulatory and operational relationships on solid foundations</w:t>
      </w:r>
      <w:r>
        <w:rPr>
          <w:spacing w:val="-4"/>
        </w:rPr>
        <w:t> </w:t>
      </w:r>
      <w:r>
        <w:rPr/>
        <w:t>through</w:t>
      </w:r>
      <w:r>
        <w:rPr>
          <w:spacing w:val="-2"/>
        </w:rPr>
        <w:t> </w:t>
      </w:r>
      <w:r>
        <w:rPr/>
        <w:t>a</w:t>
      </w:r>
      <w:r>
        <w:rPr>
          <w:spacing w:val="-4"/>
        </w:rPr>
        <w:t> </w:t>
      </w:r>
      <w:r>
        <w:rPr/>
        <w:t>system</w:t>
      </w:r>
      <w:r>
        <w:rPr>
          <w:spacing w:val="-3"/>
        </w:rPr>
        <w:t> </w:t>
      </w:r>
      <w:r>
        <w:rPr/>
        <w:t>of</w:t>
      </w:r>
      <w:r>
        <w:rPr>
          <w:spacing w:val="-3"/>
        </w:rPr>
        <w:t> </w:t>
      </w:r>
      <w:r>
        <w:rPr/>
        <w:t>formal</w:t>
      </w:r>
      <w:r>
        <w:rPr>
          <w:spacing w:val="-3"/>
        </w:rPr>
        <w:t> </w:t>
      </w:r>
      <w:r>
        <w:rPr/>
        <w:t>Memoranda</w:t>
      </w:r>
      <w:r>
        <w:rPr>
          <w:spacing w:val="-2"/>
        </w:rPr>
        <w:t> </w:t>
      </w:r>
      <w:r>
        <w:rPr/>
        <w:t>of Understanding (MOU).</w:t>
      </w:r>
      <w:r>
        <w:rPr>
          <w:spacing w:val="-5"/>
        </w:rPr>
        <w:t> </w:t>
      </w:r>
      <w:r>
        <w:rPr/>
        <w:t>It</w:t>
      </w:r>
      <w:r>
        <w:rPr>
          <w:spacing w:val="-3"/>
        </w:rPr>
        <w:t> </w:t>
      </w:r>
      <w:r>
        <w:rPr/>
        <w:t>has</w:t>
      </w:r>
      <w:r>
        <w:rPr>
          <w:spacing w:val="-1"/>
        </w:rPr>
        <w:t> </w:t>
      </w:r>
      <w:r>
        <w:rPr/>
        <w:t>a</w:t>
      </w:r>
      <w:r>
        <w:rPr>
          <w:spacing w:val="-4"/>
        </w:rPr>
        <w:t> </w:t>
      </w:r>
      <w:r>
        <w:rPr/>
        <w:t>number</w:t>
      </w:r>
      <w:r>
        <w:rPr>
          <w:spacing w:val="-3"/>
        </w:rPr>
        <w:t> </w:t>
      </w:r>
      <w:r>
        <w:rPr/>
        <w:t>of MOUs or similar agreements in place, spanning other Victorian regulators, national energy regulators, emergency services and Victorian government departments.</w:t>
      </w:r>
    </w:p>
    <w:p>
      <w:pPr>
        <w:pStyle w:val="BodyText"/>
        <w:spacing w:before="11"/>
        <w:rPr>
          <w:sz w:val="20"/>
        </w:rPr>
      </w:pPr>
    </w:p>
    <w:p>
      <w:pPr>
        <w:pStyle w:val="BodyText"/>
        <w:spacing w:line="288" w:lineRule="auto"/>
        <w:ind w:left="292" w:right="311"/>
      </w:pPr>
      <w:r>
        <w:rPr/>
        <w:t>The arrangements that ESV has implemented are generally working effectively. ESV has a reputation</w:t>
      </w:r>
      <w:r>
        <w:rPr>
          <w:spacing w:val="-1"/>
        </w:rPr>
        <w:t> </w:t>
      </w:r>
      <w:r>
        <w:rPr/>
        <w:t>for working well with other agencies and it is</w:t>
      </w:r>
      <w:r>
        <w:rPr>
          <w:spacing w:val="-1"/>
        </w:rPr>
        <w:t> </w:t>
      </w:r>
      <w:r>
        <w:rPr/>
        <w:t>respected</w:t>
      </w:r>
      <w:r>
        <w:rPr>
          <w:spacing w:val="-4"/>
        </w:rPr>
        <w:t> </w:t>
      </w:r>
      <w:r>
        <w:rPr/>
        <w:t>for its</w:t>
      </w:r>
      <w:r>
        <w:rPr>
          <w:spacing w:val="-1"/>
        </w:rPr>
        <w:t> </w:t>
      </w:r>
      <w:r>
        <w:rPr/>
        <w:t>expertise in electricity</w:t>
      </w:r>
      <w:r>
        <w:rPr>
          <w:spacing w:val="-1"/>
        </w:rPr>
        <w:t> </w:t>
      </w:r>
      <w:r>
        <w:rPr/>
        <w:t>and gas safety. Nevertheless, strong institutional relationships always benefit from regular ongoing maintenance</w:t>
      </w:r>
      <w:r>
        <w:rPr>
          <w:spacing w:val="-4"/>
        </w:rPr>
        <w:t> </w:t>
      </w:r>
      <w:r>
        <w:rPr/>
        <w:t>and</w:t>
      </w:r>
      <w:r>
        <w:rPr>
          <w:spacing w:val="-4"/>
        </w:rPr>
        <w:t> </w:t>
      </w:r>
      <w:r>
        <w:rPr/>
        <w:t>review.</w:t>
      </w:r>
      <w:r>
        <w:rPr>
          <w:spacing w:val="-3"/>
        </w:rPr>
        <w:t> </w:t>
      </w:r>
      <w:r>
        <w:rPr/>
        <w:t>The</w:t>
      </w:r>
      <w:r>
        <w:rPr>
          <w:spacing w:val="-2"/>
        </w:rPr>
        <w:t> </w:t>
      </w:r>
      <w:r>
        <w:rPr/>
        <w:t>Review</w:t>
      </w:r>
      <w:r>
        <w:rPr>
          <w:spacing w:val="-5"/>
        </w:rPr>
        <w:t> </w:t>
      </w:r>
      <w:r>
        <w:rPr/>
        <w:t>proposes</w:t>
      </w:r>
      <w:r>
        <w:rPr>
          <w:spacing w:val="-1"/>
        </w:rPr>
        <w:t> </w:t>
      </w:r>
      <w:r>
        <w:rPr/>
        <w:t>that</w:t>
      </w:r>
      <w:r>
        <w:rPr>
          <w:spacing w:val="-1"/>
        </w:rPr>
        <w:t> </w:t>
      </w:r>
      <w:r>
        <w:rPr/>
        <w:t>ESV</w:t>
      </w:r>
      <w:r>
        <w:rPr>
          <w:spacing w:val="-2"/>
        </w:rPr>
        <w:t> </w:t>
      </w:r>
      <w:r>
        <w:rPr/>
        <w:t>should</w:t>
      </w:r>
      <w:r>
        <w:rPr>
          <w:spacing w:val="-4"/>
        </w:rPr>
        <w:t> </w:t>
      </w:r>
      <w:r>
        <w:rPr/>
        <w:t>implement a</w:t>
      </w:r>
      <w:r>
        <w:rPr>
          <w:spacing w:val="-4"/>
        </w:rPr>
        <w:t> </w:t>
      </w:r>
      <w:r>
        <w:rPr/>
        <w:t>more</w:t>
      </w:r>
      <w:r>
        <w:rPr>
          <w:spacing w:val="-4"/>
        </w:rPr>
        <w:t> </w:t>
      </w:r>
      <w:r>
        <w:rPr/>
        <w:t>formal</w:t>
      </w:r>
      <w:r>
        <w:rPr>
          <w:spacing w:val="-3"/>
        </w:rPr>
        <w:t> </w:t>
      </w:r>
      <w:r>
        <w:rPr/>
        <w:t>process of review to ensure that its various MOUs and similar agreements are up-to-date and working</w:t>
      </w:r>
    </w:p>
    <w:p>
      <w:pPr>
        <w:spacing w:after="0" w:line="288" w:lineRule="auto"/>
        <w:sectPr>
          <w:pgSz w:w="11910" w:h="16850"/>
          <w:pgMar w:header="465" w:footer="880" w:top="660" w:bottom="1060" w:left="840" w:right="820"/>
        </w:sectPr>
      </w:pPr>
    </w:p>
    <w:p>
      <w:pPr>
        <w:pStyle w:val="BodyText"/>
        <w:rPr>
          <w:sz w:val="20"/>
        </w:rPr>
      </w:pPr>
    </w:p>
    <w:p>
      <w:pPr>
        <w:pStyle w:val="BodyText"/>
        <w:rPr>
          <w:sz w:val="20"/>
        </w:rPr>
      </w:pPr>
    </w:p>
    <w:p>
      <w:pPr>
        <w:pStyle w:val="BodyText"/>
        <w:spacing w:before="4"/>
      </w:pPr>
    </w:p>
    <w:p>
      <w:pPr>
        <w:pStyle w:val="BodyText"/>
        <w:spacing w:line="288" w:lineRule="auto"/>
        <w:ind w:left="292" w:right="311"/>
      </w:pPr>
      <w:r>
        <w:rPr/>
        <w:t>relationships</w:t>
      </w:r>
      <w:r>
        <w:rPr>
          <w:spacing w:val="-3"/>
        </w:rPr>
        <w:t> </w:t>
      </w:r>
      <w:r>
        <w:rPr/>
        <w:t>remain</w:t>
      </w:r>
      <w:r>
        <w:rPr>
          <w:spacing w:val="-3"/>
        </w:rPr>
        <w:t> </w:t>
      </w:r>
      <w:r>
        <w:rPr/>
        <w:t>sound.</w:t>
      </w:r>
      <w:r>
        <w:rPr>
          <w:spacing w:val="-1"/>
        </w:rPr>
        <w:t> </w:t>
      </w:r>
      <w:r>
        <w:rPr/>
        <w:t>Several</w:t>
      </w:r>
      <w:r>
        <w:rPr>
          <w:spacing w:val="-3"/>
        </w:rPr>
        <w:t> </w:t>
      </w:r>
      <w:r>
        <w:rPr/>
        <w:t>of ESV’s</w:t>
      </w:r>
      <w:r>
        <w:rPr>
          <w:spacing w:val="-2"/>
        </w:rPr>
        <w:t> </w:t>
      </w:r>
      <w:r>
        <w:rPr/>
        <w:t>current</w:t>
      </w:r>
      <w:r>
        <w:rPr>
          <w:spacing w:val="-4"/>
        </w:rPr>
        <w:t> </w:t>
      </w:r>
      <w:r>
        <w:rPr/>
        <w:t>MOUs</w:t>
      </w:r>
      <w:r>
        <w:rPr>
          <w:spacing w:val="-2"/>
        </w:rPr>
        <w:t> </w:t>
      </w:r>
      <w:r>
        <w:rPr/>
        <w:t>are</w:t>
      </w:r>
      <w:r>
        <w:rPr>
          <w:spacing w:val="-2"/>
        </w:rPr>
        <w:t> </w:t>
      </w:r>
      <w:r>
        <w:rPr/>
        <w:t>out</w:t>
      </w:r>
      <w:r>
        <w:rPr>
          <w:spacing w:val="-4"/>
        </w:rPr>
        <w:t> </w:t>
      </w:r>
      <w:r>
        <w:rPr/>
        <w:t>of</w:t>
      </w:r>
      <w:r>
        <w:rPr>
          <w:spacing w:val="-1"/>
        </w:rPr>
        <w:t> </w:t>
      </w:r>
      <w:r>
        <w:rPr/>
        <w:t>date</w:t>
      </w:r>
      <w:r>
        <w:rPr>
          <w:spacing w:val="-3"/>
        </w:rPr>
        <w:t> </w:t>
      </w:r>
      <w:r>
        <w:rPr/>
        <w:t>or</w:t>
      </w:r>
      <w:r>
        <w:rPr>
          <w:spacing w:val="-4"/>
        </w:rPr>
        <w:t> </w:t>
      </w:r>
      <w:r>
        <w:rPr/>
        <w:t>have</w:t>
      </w:r>
      <w:r>
        <w:rPr>
          <w:spacing w:val="-3"/>
        </w:rPr>
        <w:t> </w:t>
      </w:r>
      <w:r>
        <w:rPr/>
        <w:t>technically expired, and there are some gaps that should be addressed.</w:t>
      </w:r>
    </w:p>
    <w:p>
      <w:pPr>
        <w:pStyle w:val="BodyText"/>
        <w:rPr>
          <w:sz w:val="24"/>
        </w:rPr>
      </w:pPr>
    </w:p>
    <w:p>
      <w:pPr>
        <w:pStyle w:val="Heading6"/>
        <w:spacing w:before="145"/>
        <w:ind w:left="292"/>
      </w:pPr>
      <w:r>
        <w:rPr/>
        <w:t>Relationship</w:t>
      </w:r>
      <w:r>
        <w:rPr>
          <w:spacing w:val="-3"/>
        </w:rPr>
        <w:t> </w:t>
      </w:r>
      <w:r>
        <w:rPr/>
        <w:t>between</w:t>
      </w:r>
      <w:r>
        <w:rPr>
          <w:spacing w:val="-3"/>
        </w:rPr>
        <w:t> </w:t>
      </w:r>
      <w:r>
        <w:rPr/>
        <w:t>ESV</w:t>
      </w:r>
      <w:r>
        <w:rPr>
          <w:spacing w:val="-5"/>
        </w:rPr>
        <w:t> </w:t>
      </w:r>
      <w:r>
        <w:rPr/>
        <w:t>and</w:t>
      </w:r>
      <w:r>
        <w:rPr>
          <w:spacing w:val="-2"/>
        </w:rPr>
        <w:t> DELWP</w:t>
      </w:r>
    </w:p>
    <w:p>
      <w:pPr>
        <w:pStyle w:val="BodyText"/>
        <w:spacing w:line="288" w:lineRule="auto" w:before="175"/>
        <w:ind w:left="292" w:right="311"/>
      </w:pPr>
      <w:r>
        <w:rPr/>
        <w:t>The relationship that ESV has with the Department of Environment, Land, Water and Planning (DELWP) is</w:t>
      </w:r>
      <w:r>
        <w:rPr>
          <w:spacing w:val="-5"/>
        </w:rPr>
        <w:t> </w:t>
      </w:r>
      <w:r>
        <w:rPr/>
        <w:t>particularly</w:t>
      </w:r>
      <w:r>
        <w:rPr>
          <w:spacing w:val="-5"/>
        </w:rPr>
        <w:t> </w:t>
      </w:r>
      <w:r>
        <w:rPr/>
        <w:t>important.</w:t>
      </w:r>
      <w:r>
        <w:rPr>
          <w:spacing w:val="-1"/>
        </w:rPr>
        <w:t> </w:t>
      </w:r>
      <w:r>
        <w:rPr/>
        <w:t>Several</w:t>
      </w:r>
      <w:r>
        <w:rPr>
          <w:spacing w:val="-3"/>
        </w:rPr>
        <w:t> </w:t>
      </w:r>
      <w:r>
        <w:rPr/>
        <w:t>submissions</w:t>
      </w:r>
      <w:r>
        <w:rPr>
          <w:spacing w:val="-2"/>
        </w:rPr>
        <w:t> </w:t>
      </w:r>
      <w:r>
        <w:rPr/>
        <w:t>to</w:t>
      </w:r>
      <w:r>
        <w:rPr>
          <w:spacing w:val="-5"/>
        </w:rPr>
        <w:t> </w:t>
      </w:r>
      <w:r>
        <w:rPr/>
        <w:t>the</w:t>
      </w:r>
      <w:r>
        <w:rPr>
          <w:spacing w:val="-5"/>
        </w:rPr>
        <w:t> </w:t>
      </w:r>
      <w:r>
        <w:rPr/>
        <w:t>Review</w:t>
      </w:r>
      <w:r>
        <w:rPr>
          <w:spacing w:val="-6"/>
        </w:rPr>
        <w:t> </w:t>
      </w:r>
      <w:r>
        <w:rPr/>
        <w:t>expressed</w:t>
      </w:r>
      <w:r>
        <w:rPr>
          <w:spacing w:val="-5"/>
        </w:rPr>
        <w:t> </w:t>
      </w:r>
      <w:r>
        <w:rPr/>
        <w:t>some</w:t>
      </w:r>
      <w:r>
        <w:rPr>
          <w:spacing w:val="-5"/>
        </w:rPr>
        <w:t> </w:t>
      </w:r>
      <w:r>
        <w:rPr/>
        <w:t>concern around a perceived lack of clarity in the respective responsibilities of the department and ESV.</w:t>
      </w:r>
    </w:p>
    <w:p>
      <w:pPr>
        <w:pStyle w:val="BodyText"/>
        <w:spacing w:before="9"/>
        <w:rPr>
          <w:sz w:val="20"/>
        </w:rPr>
      </w:pPr>
    </w:p>
    <w:p>
      <w:pPr>
        <w:pStyle w:val="BodyText"/>
        <w:spacing w:line="288" w:lineRule="auto"/>
        <w:ind w:left="292" w:right="311"/>
      </w:pPr>
      <w:r>
        <w:rPr/>
        <w:t>The relationship between the ESV and DELWP goes beyond the traditional policy department– regulatory</w:t>
      </w:r>
      <w:r>
        <w:rPr>
          <w:spacing w:val="-4"/>
        </w:rPr>
        <w:t> </w:t>
      </w:r>
      <w:r>
        <w:rPr/>
        <w:t>agency</w:t>
      </w:r>
      <w:r>
        <w:rPr>
          <w:spacing w:val="-4"/>
        </w:rPr>
        <w:t> </w:t>
      </w:r>
      <w:r>
        <w:rPr/>
        <w:t>dichotomy.</w:t>
      </w:r>
      <w:r>
        <w:rPr>
          <w:spacing w:val="-3"/>
        </w:rPr>
        <w:t> </w:t>
      </w:r>
      <w:r>
        <w:rPr/>
        <w:t>This</w:t>
      </w:r>
      <w:r>
        <w:rPr>
          <w:spacing w:val="-1"/>
        </w:rPr>
        <w:t> </w:t>
      </w:r>
      <w:r>
        <w:rPr/>
        <w:t>is</w:t>
      </w:r>
      <w:r>
        <w:rPr>
          <w:spacing w:val="-4"/>
        </w:rPr>
        <w:t> </w:t>
      </w:r>
      <w:r>
        <w:rPr/>
        <w:t>because</w:t>
      </w:r>
      <w:r>
        <w:rPr>
          <w:spacing w:val="-2"/>
        </w:rPr>
        <w:t> </w:t>
      </w:r>
      <w:r>
        <w:rPr/>
        <w:t>DELWP</w:t>
      </w:r>
      <w:r>
        <w:rPr>
          <w:spacing w:val="-5"/>
        </w:rPr>
        <w:t> </w:t>
      </w:r>
      <w:r>
        <w:rPr/>
        <w:t>has</w:t>
      </w:r>
      <w:r>
        <w:rPr>
          <w:spacing w:val="-4"/>
        </w:rPr>
        <w:t> </w:t>
      </w:r>
      <w:r>
        <w:rPr/>
        <w:t>specific</w:t>
      </w:r>
      <w:r>
        <w:rPr>
          <w:spacing w:val="-4"/>
        </w:rPr>
        <w:t> </w:t>
      </w:r>
      <w:r>
        <w:rPr/>
        <w:t>regulatory</w:t>
      </w:r>
      <w:r>
        <w:rPr>
          <w:spacing w:val="-3"/>
        </w:rPr>
        <w:t> </w:t>
      </w:r>
      <w:r>
        <w:rPr/>
        <w:t>responsibilities</w:t>
      </w:r>
      <w:r>
        <w:rPr>
          <w:spacing w:val="-2"/>
        </w:rPr>
        <w:t> </w:t>
      </w:r>
      <w:r>
        <w:rPr/>
        <w:t>that overlap with ESV, particularly in relation to planning involving gas transmission pipelines. In addition, DELWP has been very actively involved in delivering bushfire safety programs and developing further regulatory interventions in recent years, and this may have contributed to external perceptions of a blurring of responsibilities between the department and ESV.</w:t>
      </w:r>
    </w:p>
    <w:p>
      <w:pPr>
        <w:pStyle w:val="BodyText"/>
        <w:spacing w:before="11"/>
        <w:rPr>
          <w:sz w:val="20"/>
        </w:rPr>
      </w:pPr>
    </w:p>
    <w:p>
      <w:pPr>
        <w:pStyle w:val="BodyText"/>
        <w:spacing w:line="288" w:lineRule="auto"/>
        <w:ind w:left="292" w:right="338"/>
      </w:pPr>
      <w:r>
        <w:rPr/>
        <w:t>Irrespective</w:t>
      </w:r>
      <w:r>
        <w:rPr>
          <w:spacing w:val="-2"/>
        </w:rPr>
        <w:t> </w:t>
      </w:r>
      <w:r>
        <w:rPr/>
        <w:t>of the</w:t>
      </w:r>
      <w:r>
        <w:rPr>
          <w:spacing w:val="-4"/>
        </w:rPr>
        <w:t> </w:t>
      </w:r>
      <w:r>
        <w:rPr/>
        <w:t>causes,</w:t>
      </w:r>
      <w:r>
        <w:rPr>
          <w:spacing w:val="-3"/>
        </w:rPr>
        <w:t> </w:t>
      </w:r>
      <w:r>
        <w:rPr/>
        <w:t>the Review</w:t>
      </w:r>
      <w:r>
        <w:rPr>
          <w:spacing w:val="-5"/>
        </w:rPr>
        <w:t> </w:t>
      </w:r>
      <w:r>
        <w:rPr/>
        <w:t>proposes</w:t>
      </w:r>
      <w:r>
        <w:rPr>
          <w:spacing w:val="-1"/>
        </w:rPr>
        <w:t> </w:t>
      </w:r>
      <w:r>
        <w:rPr/>
        <w:t>that DELWP</w:t>
      </w:r>
      <w:r>
        <w:rPr>
          <w:spacing w:val="-7"/>
        </w:rPr>
        <w:t> </w:t>
      </w:r>
      <w:r>
        <w:rPr/>
        <w:t>and</w:t>
      </w:r>
      <w:r>
        <w:rPr>
          <w:spacing w:val="-2"/>
        </w:rPr>
        <w:t> </w:t>
      </w:r>
      <w:r>
        <w:rPr/>
        <w:t>ESV</w:t>
      </w:r>
      <w:r>
        <w:rPr>
          <w:spacing w:val="-2"/>
        </w:rPr>
        <w:t> </w:t>
      </w:r>
      <w:r>
        <w:rPr/>
        <w:t>should</w:t>
      </w:r>
      <w:r>
        <w:rPr>
          <w:spacing w:val="-2"/>
        </w:rPr>
        <w:t> </w:t>
      </w:r>
      <w:r>
        <w:rPr/>
        <w:t>develop</w:t>
      </w:r>
      <w:r>
        <w:rPr>
          <w:spacing w:val="-2"/>
        </w:rPr>
        <w:t> </w:t>
      </w:r>
      <w:r>
        <w:rPr/>
        <w:t>a MOU</w:t>
      </w:r>
      <w:r>
        <w:rPr>
          <w:spacing w:val="-2"/>
        </w:rPr>
        <w:t> </w:t>
      </w:r>
      <w:r>
        <w:rPr/>
        <w:t>that sets out their respective roles and responsibilities in the areas of electricity and gas safety. ESV maintains an MOU on its website that covers matters relating to the regulation of gas transmission pipelines. However, the MOU is with the former Department of Primary Industries and dates back to 2007.</w:t>
      </w:r>
    </w:p>
    <w:p>
      <w:pPr>
        <w:pStyle w:val="BodyText"/>
        <w:spacing w:before="11"/>
        <w:rPr>
          <w:sz w:val="20"/>
        </w:rPr>
      </w:pPr>
    </w:p>
    <w:p>
      <w:pPr>
        <w:pStyle w:val="BodyText"/>
        <w:ind w:left="292"/>
      </w:pPr>
      <w:r>
        <w:rPr/>
        <w:t>At</w:t>
      </w:r>
      <w:r>
        <w:rPr>
          <w:spacing w:val="-5"/>
        </w:rPr>
        <w:t> </w:t>
      </w:r>
      <w:r>
        <w:rPr/>
        <w:t>a</w:t>
      </w:r>
      <w:r>
        <w:rPr>
          <w:spacing w:val="-4"/>
        </w:rPr>
        <w:t> </w:t>
      </w:r>
      <w:r>
        <w:rPr/>
        <w:t>broad</w:t>
      </w:r>
      <w:r>
        <w:rPr>
          <w:spacing w:val="-7"/>
        </w:rPr>
        <w:t> </w:t>
      </w:r>
      <w:r>
        <w:rPr/>
        <w:t>level,</w:t>
      </w:r>
      <w:r>
        <w:rPr>
          <w:spacing w:val="-2"/>
        </w:rPr>
        <w:t> </w:t>
      </w:r>
      <w:r>
        <w:rPr/>
        <w:t>a</w:t>
      </w:r>
      <w:r>
        <w:rPr>
          <w:spacing w:val="-5"/>
        </w:rPr>
        <w:t> </w:t>
      </w:r>
      <w:r>
        <w:rPr/>
        <w:t>newly</w:t>
      </w:r>
      <w:r>
        <w:rPr>
          <w:spacing w:val="-3"/>
        </w:rPr>
        <w:t> </w:t>
      </w:r>
      <w:r>
        <w:rPr/>
        <w:t>developed</w:t>
      </w:r>
      <w:r>
        <w:rPr>
          <w:spacing w:val="-5"/>
        </w:rPr>
        <w:t> </w:t>
      </w:r>
      <w:r>
        <w:rPr/>
        <w:t>MOU</w:t>
      </w:r>
      <w:r>
        <w:rPr>
          <w:spacing w:val="-4"/>
        </w:rPr>
        <w:t> </w:t>
      </w:r>
      <w:r>
        <w:rPr/>
        <w:t>should</w:t>
      </w:r>
      <w:r>
        <w:rPr>
          <w:spacing w:val="-4"/>
        </w:rPr>
        <w:t> </w:t>
      </w:r>
      <w:r>
        <w:rPr>
          <w:spacing w:val="-2"/>
        </w:rPr>
        <w:t>recognise:</w:t>
      </w:r>
    </w:p>
    <w:p>
      <w:pPr>
        <w:pStyle w:val="BodyText"/>
        <w:spacing w:before="7"/>
        <w:rPr>
          <w:sz w:val="26"/>
        </w:rPr>
      </w:pPr>
    </w:p>
    <w:p>
      <w:pPr>
        <w:pStyle w:val="ListParagraph"/>
        <w:numPr>
          <w:ilvl w:val="0"/>
          <w:numId w:val="9"/>
        </w:numPr>
        <w:tabs>
          <w:tab w:pos="650" w:val="left" w:leader="none"/>
        </w:tabs>
        <w:spacing w:line="288" w:lineRule="auto" w:before="0" w:after="0"/>
        <w:ind w:left="650" w:right="886" w:hanging="359"/>
        <w:jc w:val="left"/>
        <w:rPr>
          <w:sz w:val="22"/>
        </w:rPr>
      </w:pPr>
      <w:r>
        <w:rPr>
          <w:sz w:val="22"/>
        </w:rPr>
        <w:t>DELWP’s</w:t>
      </w:r>
      <w:r>
        <w:rPr>
          <w:spacing w:val="-5"/>
          <w:sz w:val="22"/>
        </w:rPr>
        <w:t> </w:t>
      </w:r>
      <w:r>
        <w:rPr>
          <w:sz w:val="22"/>
        </w:rPr>
        <w:t>role</w:t>
      </w:r>
      <w:r>
        <w:rPr>
          <w:spacing w:val="-3"/>
          <w:sz w:val="22"/>
        </w:rPr>
        <w:t> </w:t>
      </w:r>
      <w:r>
        <w:rPr>
          <w:sz w:val="22"/>
        </w:rPr>
        <w:t>in</w:t>
      </w:r>
      <w:r>
        <w:rPr>
          <w:spacing w:val="-3"/>
          <w:sz w:val="22"/>
        </w:rPr>
        <w:t> </w:t>
      </w:r>
      <w:r>
        <w:rPr>
          <w:sz w:val="22"/>
        </w:rPr>
        <w:t>developing</w:t>
      </w:r>
      <w:r>
        <w:rPr>
          <w:spacing w:val="-1"/>
          <w:sz w:val="22"/>
        </w:rPr>
        <w:t> </w:t>
      </w:r>
      <w:r>
        <w:rPr>
          <w:sz w:val="22"/>
        </w:rPr>
        <w:t>policy</w:t>
      </w:r>
      <w:r>
        <w:rPr>
          <w:spacing w:val="-5"/>
          <w:sz w:val="22"/>
        </w:rPr>
        <w:t> </w:t>
      </w:r>
      <w:r>
        <w:rPr>
          <w:sz w:val="22"/>
        </w:rPr>
        <w:t>and</w:t>
      </w:r>
      <w:r>
        <w:rPr>
          <w:spacing w:val="-3"/>
          <w:sz w:val="22"/>
        </w:rPr>
        <w:t> </w:t>
      </w:r>
      <w:r>
        <w:rPr>
          <w:sz w:val="22"/>
        </w:rPr>
        <w:t>advising</w:t>
      </w:r>
      <w:r>
        <w:rPr>
          <w:spacing w:val="-3"/>
          <w:sz w:val="22"/>
        </w:rPr>
        <w:t> </w:t>
      </w:r>
      <w:r>
        <w:rPr>
          <w:sz w:val="22"/>
        </w:rPr>
        <w:t>the</w:t>
      </w:r>
      <w:r>
        <w:rPr>
          <w:spacing w:val="-3"/>
          <w:sz w:val="22"/>
        </w:rPr>
        <w:t> </w:t>
      </w:r>
      <w:r>
        <w:rPr>
          <w:sz w:val="22"/>
        </w:rPr>
        <w:t>Minister</w:t>
      </w:r>
      <w:r>
        <w:rPr>
          <w:spacing w:val="-4"/>
          <w:sz w:val="22"/>
        </w:rPr>
        <w:t> </w:t>
      </w:r>
      <w:r>
        <w:rPr>
          <w:sz w:val="22"/>
        </w:rPr>
        <w:t>for</w:t>
      </w:r>
      <w:r>
        <w:rPr>
          <w:spacing w:val="-4"/>
          <w:sz w:val="22"/>
        </w:rPr>
        <w:t> </w:t>
      </w:r>
      <w:r>
        <w:rPr>
          <w:sz w:val="22"/>
        </w:rPr>
        <w:t>Energy,</w:t>
      </w:r>
      <w:r>
        <w:rPr>
          <w:spacing w:val="-1"/>
          <w:sz w:val="22"/>
        </w:rPr>
        <w:t> </w:t>
      </w:r>
      <w:r>
        <w:rPr>
          <w:sz w:val="22"/>
        </w:rPr>
        <w:t>Environment</w:t>
      </w:r>
      <w:r>
        <w:rPr>
          <w:spacing w:val="-1"/>
          <w:sz w:val="22"/>
        </w:rPr>
        <w:t> </w:t>
      </w:r>
      <w:r>
        <w:rPr>
          <w:sz w:val="22"/>
        </w:rPr>
        <w:t>and Climate Change on energy policy matters;</w:t>
      </w:r>
    </w:p>
    <w:p>
      <w:pPr>
        <w:pStyle w:val="ListParagraph"/>
        <w:numPr>
          <w:ilvl w:val="0"/>
          <w:numId w:val="9"/>
        </w:numPr>
        <w:tabs>
          <w:tab w:pos="650" w:val="left" w:leader="none"/>
        </w:tabs>
        <w:spacing w:line="240" w:lineRule="auto" w:before="15" w:after="0"/>
        <w:ind w:left="650" w:right="0" w:hanging="358"/>
        <w:jc w:val="left"/>
        <w:rPr>
          <w:sz w:val="22"/>
        </w:rPr>
      </w:pPr>
      <w:r>
        <w:rPr>
          <w:sz w:val="22"/>
        </w:rPr>
        <w:t>ESV’s</w:t>
      </w:r>
      <w:r>
        <w:rPr>
          <w:spacing w:val="-3"/>
          <w:sz w:val="22"/>
        </w:rPr>
        <w:t> </w:t>
      </w:r>
      <w:r>
        <w:rPr>
          <w:sz w:val="22"/>
        </w:rPr>
        <w:t>role</w:t>
      </w:r>
      <w:r>
        <w:rPr>
          <w:spacing w:val="-3"/>
          <w:sz w:val="22"/>
        </w:rPr>
        <w:t> </w:t>
      </w:r>
      <w:r>
        <w:rPr>
          <w:sz w:val="22"/>
        </w:rPr>
        <w:t>as</w:t>
      </w:r>
      <w:r>
        <w:rPr>
          <w:spacing w:val="-5"/>
          <w:sz w:val="22"/>
        </w:rPr>
        <w:t> </w:t>
      </w:r>
      <w:r>
        <w:rPr>
          <w:sz w:val="22"/>
        </w:rPr>
        <w:t>the</w:t>
      </w:r>
      <w:r>
        <w:rPr>
          <w:spacing w:val="-5"/>
          <w:sz w:val="22"/>
        </w:rPr>
        <w:t> </w:t>
      </w:r>
      <w:r>
        <w:rPr>
          <w:sz w:val="22"/>
        </w:rPr>
        <w:t>regulator</w:t>
      </w:r>
      <w:r>
        <w:rPr>
          <w:spacing w:val="-2"/>
          <w:sz w:val="22"/>
        </w:rPr>
        <w:t> </w:t>
      </w:r>
      <w:r>
        <w:rPr>
          <w:sz w:val="22"/>
        </w:rPr>
        <w:t>of</w:t>
      </w:r>
      <w:r>
        <w:rPr>
          <w:spacing w:val="-2"/>
          <w:sz w:val="22"/>
        </w:rPr>
        <w:t> </w:t>
      </w:r>
      <w:r>
        <w:rPr>
          <w:sz w:val="22"/>
        </w:rPr>
        <w:t>electricity</w:t>
      </w:r>
      <w:r>
        <w:rPr>
          <w:spacing w:val="-5"/>
          <w:sz w:val="22"/>
        </w:rPr>
        <w:t> </w:t>
      </w:r>
      <w:r>
        <w:rPr>
          <w:sz w:val="22"/>
        </w:rPr>
        <w:t>and</w:t>
      </w:r>
      <w:r>
        <w:rPr>
          <w:spacing w:val="-5"/>
          <w:sz w:val="22"/>
        </w:rPr>
        <w:t> </w:t>
      </w:r>
      <w:r>
        <w:rPr>
          <w:sz w:val="22"/>
        </w:rPr>
        <w:t>gas</w:t>
      </w:r>
      <w:r>
        <w:rPr>
          <w:spacing w:val="-5"/>
          <w:sz w:val="22"/>
        </w:rPr>
        <w:t> </w:t>
      </w:r>
      <w:r>
        <w:rPr>
          <w:spacing w:val="-2"/>
          <w:sz w:val="22"/>
        </w:rPr>
        <w:t>safety;</w:t>
      </w:r>
    </w:p>
    <w:p>
      <w:pPr>
        <w:pStyle w:val="ListParagraph"/>
        <w:numPr>
          <w:ilvl w:val="0"/>
          <w:numId w:val="9"/>
        </w:numPr>
        <w:tabs>
          <w:tab w:pos="650" w:val="left" w:leader="none"/>
        </w:tabs>
        <w:spacing w:line="240" w:lineRule="auto" w:before="66" w:after="0"/>
        <w:ind w:left="650" w:right="0" w:hanging="358"/>
        <w:jc w:val="left"/>
        <w:rPr>
          <w:sz w:val="22"/>
        </w:rPr>
      </w:pPr>
      <w:r>
        <w:rPr>
          <w:sz w:val="22"/>
        </w:rPr>
        <w:t>DELWP’s</w:t>
      </w:r>
      <w:r>
        <w:rPr>
          <w:spacing w:val="-9"/>
          <w:sz w:val="22"/>
        </w:rPr>
        <w:t> </w:t>
      </w:r>
      <w:r>
        <w:rPr>
          <w:sz w:val="22"/>
        </w:rPr>
        <w:t>roles</w:t>
      </w:r>
      <w:r>
        <w:rPr>
          <w:spacing w:val="-5"/>
          <w:sz w:val="22"/>
        </w:rPr>
        <w:t> </w:t>
      </w:r>
      <w:r>
        <w:rPr>
          <w:sz w:val="22"/>
        </w:rPr>
        <w:t>in</w:t>
      </w:r>
      <w:r>
        <w:rPr>
          <w:spacing w:val="-7"/>
          <w:sz w:val="22"/>
        </w:rPr>
        <w:t> </w:t>
      </w:r>
      <w:r>
        <w:rPr>
          <w:sz w:val="22"/>
        </w:rPr>
        <w:t>relation</w:t>
      </w:r>
      <w:r>
        <w:rPr>
          <w:spacing w:val="-5"/>
          <w:sz w:val="22"/>
        </w:rPr>
        <w:t> </w:t>
      </w:r>
      <w:r>
        <w:rPr>
          <w:sz w:val="22"/>
        </w:rPr>
        <w:t>to</w:t>
      </w:r>
      <w:r>
        <w:rPr>
          <w:spacing w:val="-7"/>
          <w:sz w:val="22"/>
        </w:rPr>
        <w:t> </w:t>
      </w:r>
      <w:r>
        <w:rPr>
          <w:sz w:val="22"/>
        </w:rPr>
        <w:t>planning</w:t>
      </w:r>
      <w:r>
        <w:rPr>
          <w:spacing w:val="-5"/>
          <w:sz w:val="22"/>
        </w:rPr>
        <w:t> </w:t>
      </w:r>
      <w:r>
        <w:rPr>
          <w:sz w:val="22"/>
        </w:rPr>
        <w:t>and</w:t>
      </w:r>
      <w:r>
        <w:rPr>
          <w:spacing w:val="-5"/>
          <w:sz w:val="22"/>
        </w:rPr>
        <w:t> </w:t>
      </w:r>
      <w:r>
        <w:rPr>
          <w:sz w:val="22"/>
        </w:rPr>
        <w:t>environmental</w:t>
      </w:r>
      <w:r>
        <w:rPr>
          <w:spacing w:val="-7"/>
          <w:sz w:val="22"/>
        </w:rPr>
        <w:t> </w:t>
      </w:r>
      <w:r>
        <w:rPr>
          <w:spacing w:val="-2"/>
          <w:sz w:val="22"/>
        </w:rPr>
        <w:t>regulation.</w:t>
      </w:r>
    </w:p>
    <w:p>
      <w:pPr>
        <w:pStyle w:val="BodyText"/>
        <w:spacing w:before="2"/>
        <w:rPr>
          <w:sz w:val="25"/>
        </w:rPr>
      </w:pPr>
    </w:p>
    <w:p>
      <w:pPr>
        <w:pStyle w:val="BodyText"/>
        <w:spacing w:line="288" w:lineRule="auto"/>
        <w:ind w:left="292" w:right="374"/>
      </w:pPr>
      <w:r>
        <w:rPr/>
        <w:t>The arrangements should recognise, and help preserve, ESV’s independence in regulatory decision</w:t>
      </w:r>
      <w:r>
        <w:rPr>
          <w:spacing w:val="-2"/>
        </w:rPr>
        <w:t> </w:t>
      </w:r>
      <w:r>
        <w:rPr/>
        <w:t>making,</w:t>
      </w:r>
      <w:r>
        <w:rPr>
          <w:spacing w:val="-3"/>
        </w:rPr>
        <w:t> </w:t>
      </w:r>
      <w:r>
        <w:rPr/>
        <w:t>and</w:t>
      </w:r>
      <w:r>
        <w:rPr>
          <w:spacing w:val="-4"/>
        </w:rPr>
        <w:t> </w:t>
      </w:r>
      <w:r>
        <w:rPr/>
        <w:t>the</w:t>
      </w:r>
      <w:r>
        <w:rPr>
          <w:spacing w:val="-3"/>
        </w:rPr>
        <w:t> </w:t>
      </w:r>
      <w:r>
        <w:rPr/>
        <w:t>department’s</w:t>
      </w:r>
      <w:r>
        <w:rPr>
          <w:spacing w:val="-4"/>
        </w:rPr>
        <w:t> </w:t>
      </w:r>
      <w:r>
        <w:rPr/>
        <w:t>role</w:t>
      </w:r>
      <w:r>
        <w:rPr>
          <w:spacing w:val="-2"/>
        </w:rPr>
        <w:t> </w:t>
      </w:r>
      <w:r>
        <w:rPr/>
        <w:t>as</w:t>
      </w:r>
      <w:r>
        <w:rPr>
          <w:spacing w:val="-3"/>
        </w:rPr>
        <w:t> </w:t>
      </w:r>
      <w:r>
        <w:rPr/>
        <w:t>the</w:t>
      </w:r>
      <w:r>
        <w:rPr>
          <w:spacing w:val="-4"/>
        </w:rPr>
        <w:t> </w:t>
      </w:r>
      <w:r>
        <w:rPr/>
        <w:t>principal</w:t>
      </w:r>
      <w:r>
        <w:rPr>
          <w:spacing w:val="-2"/>
        </w:rPr>
        <w:t> </w:t>
      </w:r>
      <w:r>
        <w:rPr/>
        <w:t>source</w:t>
      </w:r>
      <w:r>
        <w:rPr>
          <w:spacing w:val="-4"/>
        </w:rPr>
        <w:t> </w:t>
      </w:r>
      <w:r>
        <w:rPr/>
        <w:t>of policy</w:t>
      </w:r>
      <w:r>
        <w:rPr>
          <w:spacing w:val="-4"/>
        </w:rPr>
        <w:t> </w:t>
      </w:r>
      <w:r>
        <w:rPr/>
        <w:t>advice</w:t>
      </w:r>
      <w:r>
        <w:rPr>
          <w:spacing w:val="-2"/>
        </w:rPr>
        <w:t> </w:t>
      </w:r>
      <w:r>
        <w:rPr/>
        <w:t>to</w:t>
      </w:r>
      <w:r>
        <w:rPr>
          <w:spacing w:val="-2"/>
        </w:rPr>
        <w:t> </w:t>
      </w:r>
      <w:r>
        <w:rPr/>
        <w:t>the</w:t>
      </w:r>
      <w:r>
        <w:rPr>
          <w:spacing w:val="-2"/>
        </w:rPr>
        <w:t> </w:t>
      </w:r>
      <w:r>
        <w:rPr/>
        <w:t>Minister for Energy, Environment and Climate Change.</w:t>
      </w:r>
    </w:p>
    <w:p>
      <w:pPr>
        <w:pStyle w:val="BodyText"/>
        <w:rPr>
          <w:sz w:val="24"/>
        </w:rPr>
      </w:pPr>
    </w:p>
    <w:p>
      <w:pPr>
        <w:pStyle w:val="Heading6"/>
        <w:spacing w:before="144"/>
        <w:ind w:left="292"/>
      </w:pPr>
      <w:r>
        <w:rPr/>
        <w:t>Relationship</w:t>
      </w:r>
      <w:r>
        <w:rPr>
          <w:spacing w:val="-4"/>
        </w:rPr>
        <w:t> </w:t>
      </w:r>
      <w:r>
        <w:rPr/>
        <w:t>between</w:t>
      </w:r>
      <w:r>
        <w:rPr>
          <w:spacing w:val="-3"/>
        </w:rPr>
        <w:t> </w:t>
      </w:r>
      <w:r>
        <w:rPr/>
        <w:t>ESV</w:t>
      </w:r>
      <w:r>
        <w:rPr>
          <w:spacing w:val="-6"/>
        </w:rPr>
        <w:t> </w:t>
      </w:r>
      <w:r>
        <w:rPr/>
        <w:t>and</w:t>
      </w:r>
      <w:r>
        <w:rPr>
          <w:spacing w:val="-3"/>
        </w:rPr>
        <w:t> </w:t>
      </w:r>
      <w:r>
        <w:rPr/>
        <w:t>the</w:t>
      </w:r>
      <w:r>
        <w:rPr>
          <w:spacing w:val="-3"/>
        </w:rPr>
        <w:t> </w:t>
      </w:r>
      <w:r>
        <w:rPr/>
        <w:t>Essential</w:t>
      </w:r>
      <w:r>
        <w:rPr>
          <w:spacing w:val="-4"/>
        </w:rPr>
        <w:t> </w:t>
      </w:r>
      <w:r>
        <w:rPr/>
        <w:t>Services</w:t>
      </w:r>
      <w:r>
        <w:rPr>
          <w:spacing w:val="-3"/>
        </w:rPr>
        <w:t> </w:t>
      </w:r>
      <w:r>
        <w:rPr>
          <w:spacing w:val="-2"/>
        </w:rPr>
        <w:t>Commission</w:t>
      </w:r>
    </w:p>
    <w:p>
      <w:pPr>
        <w:pStyle w:val="BodyText"/>
        <w:spacing w:line="288" w:lineRule="auto" w:before="175"/>
        <w:ind w:left="292" w:right="311"/>
      </w:pPr>
      <w:r>
        <w:rPr/>
        <w:t>As part of the licensing regime for the energy network businesses, the Essential Services Commission (ESC) administers and enforces both the </w:t>
      </w:r>
      <w:r>
        <w:rPr>
          <w:i/>
        </w:rPr>
        <w:t>Electricity Distribution Code </w:t>
      </w:r>
      <w:r>
        <w:rPr/>
        <w:t>and </w:t>
      </w:r>
      <w:r>
        <w:rPr>
          <w:i/>
        </w:rPr>
        <w:t>Gas Distribution</w:t>
      </w:r>
      <w:r>
        <w:rPr>
          <w:i/>
          <w:spacing w:val="-2"/>
        </w:rPr>
        <w:t> </w:t>
      </w:r>
      <w:r>
        <w:rPr>
          <w:i/>
        </w:rPr>
        <w:t>Code</w:t>
      </w:r>
      <w:r>
        <w:rPr/>
        <w:t>.</w:t>
      </w:r>
      <w:r>
        <w:rPr>
          <w:spacing w:val="-4"/>
        </w:rPr>
        <w:t> </w:t>
      </w:r>
      <w:r>
        <w:rPr/>
        <w:t>These</w:t>
      </w:r>
      <w:r>
        <w:rPr>
          <w:spacing w:val="-4"/>
        </w:rPr>
        <w:t> </w:t>
      </w:r>
      <w:r>
        <w:rPr/>
        <w:t>codes</w:t>
      </w:r>
      <w:r>
        <w:rPr>
          <w:spacing w:val="-4"/>
        </w:rPr>
        <w:t> </w:t>
      </w:r>
      <w:r>
        <w:rPr/>
        <w:t>regulate</w:t>
      </w:r>
      <w:r>
        <w:rPr>
          <w:spacing w:val="-4"/>
        </w:rPr>
        <w:t> </w:t>
      </w:r>
      <w:r>
        <w:rPr/>
        <w:t>how</w:t>
      </w:r>
      <w:r>
        <w:rPr>
          <w:spacing w:val="-4"/>
        </w:rPr>
        <w:t> </w:t>
      </w:r>
      <w:r>
        <w:rPr/>
        <w:t>electricity</w:t>
      </w:r>
      <w:r>
        <w:rPr>
          <w:spacing w:val="-4"/>
        </w:rPr>
        <w:t> </w:t>
      </w:r>
      <w:r>
        <w:rPr/>
        <w:t>and</w:t>
      </w:r>
      <w:r>
        <w:rPr>
          <w:spacing w:val="-4"/>
        </w:rPr>
        <w:t> </w:t>
      </w:r>
      <w:r>
        <w:rPr/>
        <w:t>gas</w:t>
      </w:r>
      <w:r>
        <w:rPr>
          <w:spacing w:val="-4"/>
        </w:rPr>
        <w:t> </w:t>
      </w:r>
      <w:r>
        <w:rPr/>
        <w:t>distributors</w:t>
      </w:r>
      <w:r>
        <w:rPr>
          <w:spacing w:val="-1"/>
        </w:rPr>
        <w:t> </w:t>
      </w:r>
      <w:r>
        <w:rPr/>
        <w:t>operate</w:t>
      </w:r>
      <w:r>
        <w:rPr>
          <w:spacing w:val="-4"/>
        </w:rPr>
        <w:t> </w:t>
      </w:r>
      <w:r>
        <w:rPr/>
        <w:t>their</w:t>
      </w:r>
      <w:r>
        <w:rPr>
          <w:spacing w:val="-3"/>
        </w:rPr>
        <w:t> </w:t>
      </w:r>
      <w:r>
        <w:rPr/>
        <w:t>networks in a safe, efficient and reliable manner. They include prescribed obligations regarding the quality and reliability of electricity and gas supply, both of which have safety implications for consumers and the community more generally.</w:t>
      </w:r>
    </w:p>
    <w:p>
      <w:pPr>
        <w:pStyle w:val="BodyText"/>
        <w:spacing w:before="10"/>
        <w:rPr>
          <w:sz w:val="20"/>
        </w:rPr>
      </w:pPr>
    </w:p>
    <w:p>
      <w:pPr>
        <w:pStyle w:val="BodyText"/>
        <w:spacing w:line="288" w:lineRule="auto"/>
        <w:ind w:left="292" w:right="374"/>
      </w:pPr>
      <w:r>
        <w:rPr/>
        <w:t>Several</w:t>
      </w:r>
      <w:r>
        <w:rPr>
          <w:spacing w:val="-3"/>
        </w:rPr>
        <w:t> </w:t>
      </w:r>
      <w:r>
        <w:rPr/>
        <w:t>submissions</w:t>
      </w:r>
      <w:r>
        <w:rPr>
          <w:spacing w:val="-2"/>
        </w:rPr>
        <w:t> </w:t>
      </w:r>
      <w:r>
        <w:rPr/>
        <w:t>to</w:t>
      </w:r>
      <w:r>
        <w:rPr>
          <w:spacing w:val="-4"/>
        </w:rPr>
        <w:t> </w:t>
      </w:r>
      <w:r>
        <w:rPr/>
        <w:t>the</w:t>
      </w:r>
      <w:r>
        <w:rPr>
          <w:spacing w:val="-3"/>
        </w:rPr>
        <w:t> </w:t>
      </w:r>
      <w:r>
        <w:rPr/>
        <w:t>Review</w:t>
      </w:r>
      <w:r>
        <w:rPr>
          <w:spacing w:val="-5"/>
        </w:rPr>
        <w:t> </w:t>
      </w:r>
      <w:r>
        <w:rPr/>
        <w:t>raised</w:t>
      </w:r>
      <w:r>
        <w:rPr>
          <w:spacing w:val="-3"/>
        </w:rPr>
        <w:t> </w:t>
      </w:r>
      <w:r>
        <w:rPr/>
        <w:t>concerns around</w:t>
      </w:r>
      <w:r>
        <w:rPr>
          <w:spacing w:val="-5"/>
        </w:rPr>
        <w:t> </w:t>
      </w:r>
      <w:r>
        <w:rPr/>
        <w:t>inconsistencies</w:t>
      </w:r>
      <w:r>
        <w:rPr>
          <w:spacing w:val="-2"/>
        </w:rPr>
        <w:t> </w:t>
      </w:r>
      <w:r>
        <w:rPr/>
        <w:t>between</w:t>
      </w:r>
      <w:r>
        <w:rPr>
          <w:spacing w:val="-3"/>
        </w:rPr>
        <w:t> </w:t>
      </w:r>
      <w:r>
        <w:rPr/>
        <w:t>new</w:t>
      </w:r>
      <w:r>
        <w:rPr>
          <w:spacing w:val="-5"/>
        </w:rPr>
        <w:t> </w:t>
      </w:r>
      <w:r>
        <w:rPr/>
        <w:t>safety regulatory obligations applying to electricity distribution businesses, administered by ESV, and obligations under the distribution code administered by ESC. There are also some general concerns around ESC’s limited technical capabilities in the area of network operations.</w:t>
      </w:r>
    </w:p>
    <w:p>
      <w:pPr>
        <w:spacing w:after="0" w:line="288" w:lineRule="auto"/>
        <w:sectPr>
          <w:pgSz w:w="11910" w:h="16850"/>
          <w:pgMar w:header="465" w:footer="880" w:top="660" w:bottom="1060" w:left="840" w:right="820"/>
        </w:sectPr>
      </w:pPr>
    </w:p>
    <w:p>
      <w:pPr>
        <w:pStyle w:val="BodyText"/>
        <w:rPr>
          <w:sz w:val="20"/>
        </w:rPr>
      </w:pPr>
    </w:p>
    <w:p>
      <w:pPr>
        <w:pStyle w:val="BodyText"/>
        <w:rPr>
          <w:sz w:val="20"/>
        </w:rPr>
      </w:pPr>
    </w:p>
    <w:p>
      <w:pPr>
        <w:pStyle w:val="BodyText"/>
        <w:spacing w:before="4"/>
      </w:pPr>
    </w:p>
    <w:p>
      <w:pPr>
        <w:pStyle w:val="BodyText"/>
        <w:spacing w:line="288" w:lineRule="auto"/>
        <w:ind w:left="292"/>
      </w:pPr>
      <w:r>
        <w:rPr/>
        <w:t>Any potential or actual inconsistencies in the regulatory requirements applying to distribution companies</w:t>
      </w:r>
      <w:r>
        <w:rPr>
          <w:spacing w:val="-2"/>
        </w:rPr>
        <w:t> </w:t>
      </w:r>
      <w:r>
        <w:rPr/>
        <w:t>should</w:t>
      </w:r>
      <w:r>
        <w:rPr>
          <w:spacing w:val="-4"/>
        </w:rPr>
        <w:t> </w:t>
      </w:r>
      <w:r>
        <w:rPr/>
        <w:t>be</w:t>
      </w:r>
      <w:r>
        <w:rPr>
          <w:spacing w:val="-2"/>
        </w:rPr>
        <w:t> </w:t>
      </w:r>
      <w:r>
        <w:rPr/>
        <w:t>addressed</w:t>
      </w:r>
      <w:r>
        <w:rPr>
          <w:spacing w:val="-2"/>
        </w:rPr>
        <w:t> </w:t>
      </w:r>
      <w:r>
        <w:rPr/>
        <w:t>as</w:t>
      </w:r>
      <w:r>
        <w:rPr>
          <w:spacing w:val="-1"/>
        </w:rPr>
        <w:t> </w:t>
      </w:r>
      <w:r>
        <w:rPr/>
        <w:t>a</w:t>
      </w:r>
      <w:r>
        <w:rPr>
          <w:spacing w:val="-4"/>
        </w:rPr>
        <w:t> </w:t>
      </w:r>
      <w:r>
        <w:rPr/>
        <w:t>matter</w:t>
      </w:r>
      <w:r>
        <w:rPr>
          <w:spacing w:val="-1"/>
        </w:rPr>
        <w:t> </w:t>
      </w:r>
      <w:r>
        <w:rPr/>
        <w:t>of high</w:t>
      </w:r>
      <w:r>
        <w:rPr>
          <w:spacing w:val="-4"/>
        </w:rPr>
        <w:t> </w:t>
      </w:r>
      <w:r>
        <w:rPr/>
        <w:t>priority.</w:t>
      </w:r>
      <w:r>
        <w:rPr>
          <w:spacing w:val="-5"/>
        </w:rPr>
        <w:t> </w:t>
      </w:r>
      <w:r>
        <w:rPr/>
        <w:t>The</w:t>
      </w:r>
      <w:r>
        <w:rPr>
          <w:spacing w:val="-2"/>
        </w:rPr>
        <w:t> </w:t>
      </w:r>
      <w:r>
        <w:rPr/>
        <w:t>planned</w:t>
      </w:r>
      <w:r>
        <w:rPr>
          <w:spacing w:val="-4"/>
        </w:rPr>
        <w:t> </w:t>
      </w:r>
      <w:r>
        <w:rPr/>
        <w:t>review</w:t>
      </w:r>
      <w:r>
        <w:rPr>
          <w:spacing w:val="-5"/>
        </w:rPr>
        <w:t> </w:t>
      </w:r>
      <w:r>
        <w:rPr/>
        <w:t>of</w:t>
      </w:r>
      <w:r>
        <w:rPr>
          <w:spacing w:val="-1"/>
        </w:rPr>
        <w:t> </w:t>
      </w:r>
      <w:r>
        <w:rPr/>
        <w:t>the</w:t>
      </w:r>
      <w:r>
        <w:rPr>
          <w:spacing w:val="-1"/>
        </w:rPr>
        <w:t> </w:t>
      </w:r>
      <w:r>
        <w:rPr>
          <w:i/>
        </w:rPr>
        <w:t>Electricity Distribution Code’s </w:t>
      </w:r>
      <w:r>
        <w:rPr/>
        <w:t>voltage standards should be completed by ESC as soon as practicable.</w:t>
      </w:r>
    </w:p>
    <w:p>
      <w:pPr>
        <w:pStyle w:val="BodyText"/>
        <w:spacing w:before="10"/>
        <w:rPr>
          <w:sz w:val="20"/>
        </w:rPr>
      </w:pPr>
    </w:p>
    <w:p>
      <w:pPr>
        <w:pStyle w:val="BodyText"/>
        <w:ind w:left="292"/>
      </w:pPr>
      <w:r>
        <w:rPr/>
        <w:t>The</w:t>
      </w:r>
      <w:r>
        <w:rPr>
          <w:spacing w:val="-9"/>
        </w:rPr>
        <w:t> </w:t>
      </w:r>
      <w:r>
        <w:rPr/>
        <w:t>ESC</w:t>
      </w:r>
      <w:r>
        <w:rPr>
          <w:spacing w:val="-5"/>
        </w:rPr>
        <w:t> </w:t>
      </w:r>
      <w:r>
        <w:rPr/>
        <w:t>has</w:t>
      </w:r>
      <w:r>
        <w:rPr>
          <w:spacing w:val="-4"/>
        </w:rPr>
        <w:t> </w:t>
      </w:r>
      <w:r>
        <w:rPr/>
        <w:t>indicated</w:t>
      </w:r>
      <w:r>
        <w:rPr>
          <w:spacing w:val="-7"/>
        </w:rPr>
        <w:t> </w:t>
      </w:r>
      <w:r>
        <w:rPr/>
        <w:t>that</w:t>
      </w:r>
      <w:r>
        <w:rPr>
          <w:spacing w:val="-3"/>
        </w:rPr>
        <w:t> </w:t>
      </w:r>
      <w:r>
        <w:rPr/>
        <w:t>it</w:t>
      </w:r>
      <w:r>
        <w:rPr>
          <w:spacing w:val="-5"/>
        </w:rPr>
        <w:t> </w:t>
      </w:r>
      <w:r>
        <w:rPr/>
        <w:t>will</w:t>
      </w:r>
      <w:r>
        <w:rPr>
          <w:spacing w:val="-5"/>
        </w:rPr>
        <w:t> </w:t>
      </w:r>
      <w:r>
        <w:rPr/>
        <w:t>be</w:t>
      </w:r>
      <w:r>
        <w:rPr>
          <w:spacing w:val="-5"/>
        </w:rPr>
        <w:t> </w:t>
      </w:r>
      <w:r>
        <w:rPr/>
        <w:t>reviewing</w:t>
      </w:r>
      <w:r>
        <w:rPr>
          <w:spacing w:val="-3"/>
        </w:rPr>
        <w:t> </w:t>
      </w:r>
      <w:r>
        <w:rPr/>
        <w:t>the</w:t>
      </w:r>
      <w:r>
        <w:rPr>
          <w:spacing w:val="-5"/>
        </w:rPr>
        <w:t> </w:t>
      </w:r>
      <w:r>
        <w:rPr/>
        <w:t>distribution</w:t>
      </w:r>
      <w:r>
        <w:rPr>
          <w:spacing w:val="-5"/>
        </w:rPr>
        <w:t> </w:t>
      </w:r>
      <w:r>
        <w:rPr/>
        <w:t>codes</w:t>
      </w:r>
      <w:r>
        <w:rPr>
          <w:spacing w:val="-7"/>
        </w:rPr>
        <w:t> </w:t>
      </w:r>
      <w:r>
        <w:rPr/>
        <w:t>more</w:t>
      </w:r>
      <w:r>
        <w:rPr>
          <w:spacing w:val="-4"/>
        </w:rPr>
        <w:t> </w:t>
      </w:r>
      <w:r>
        <w:rPr/>
        <w:t>broadly.</w:t>
      </w:r>
      <w:r>
        <w:rPr>
          <w:spacing w:val="-3"/>
        </w:rPr>
        <w:t> </w:t>
      </w:r>
      <w:r>
        <w:rPr>
          <w:spacing w:val="-5"/>
        </w:rPr>
        <w:t>In</w:t>
      </w:r>
    </w:p>
    <w:p>
      <w:pPr>
        <w:pStyle w:val="BodyText"/>
        <w:spacing w:line="288" w:lineRule="auto" w:before="52"/>
        <w:ind w:left="292" w:right="346"/>
      </w:pPr>
      <w:r>
        <w:rPr/>
        <w:t>its review, the ESC should consider a number of options relating to the technical components within</w:t>
      </w:r>
      <w:r>
        <w:rPr>
          <w:spacing w:val="-2"/>
        </w:rPr>
        <w:t> </w:t>
      </w:r>
      <w:r>
        <w:rPr/>
        <w:t>the</w:t>
      </w:r>
      <w:r>
        <w:rPr>
          <w:spacing w:val="-2"/>
        </w:rPr>
        <w:t> </w:t>
      </w:r>
      <w:r>
        <w:rPr/>
        <w:t>codes.</w:t>
      </w:r>
      <w:r>
        <w:rPr>
          <w:spacing w:val="-3"/>
        </w:rPr>
        <w:t> </w:t>
      </w:r>
      <w:r>
        <w:rPr/>
        <w:t>In</w:t>
      </w:r>
      <w:r>
        <w:rPr>
          <w:spacing w:val="-4"/>
        </w:rPr>
        <w:t> </w:t>
      </w:r>
      <w:r>
        <w:rPr/>
        <w:t>particular, a</w:t>
      </w:r>
      <w:r>
        <w:rPr>
          <w:spacing w:val="-4"/>
        </w:rPr>
        <w:t> </w:t>
      </w:r>
      <w:r>
        <w:rPr/>
        <w:t>review</w:t>
      </w:r>
      <w:r>
        <w:rPr>
          <w:spacing w:val="-5"/>
        </w:rPr>
        <w:t> </w:t>
      </w:r>
      <w:r>
        <w:rPr/>
        <w:t>of</w:t>
      </w:r>
      <w:r>
        <w:rPr>
          <w:spacing w:val="-1"/>
        </w:rPr>
        <w:t> </w:t>
      </w:r>
      <w:r>
        <w:rPr/>
        <w:t>the</w:t>
      </w:r>
      <w:r>
        <w:rPr>
          <w:spacing w:val="-4"/>
        </w:rPr>
        <w:t> </w:t>
      </w:r>
      <w:r>
        <w:rPr/>
        <w:t>codes</w:t>
      </w:r>
      <w:r>
        <w:rPr>
          <w:spacing w:val="-2"/>
        </w:rPr>
        <w:t> </w:t>
      </w:r>
      <w:r>
        <w:rPr/>
        <w:t>should</w:t>
      </w:r>
      <w:r>
        <w:rPr>
          <w:spacing w:val="-2"/>
        </w:rPr>
        <w:t> </w:t>
      </w:r>
      <w:r>
        <w:rPr/>
        <w:t>clearly</w:t>
      </w:r>
      <w:r>
        <w:rPr>
          <w:spacing w:val="-4"/>
        </w:rPr>
        <w:t> </w:t>
      </w:r>
      <w:r>
        <w:rPr/>
        <w:t>define</w:t>
      </w:r>
      <w:r>
        <w:rPr>
          <w:spacing w:val="-4"/>
        </w:rPr>
        <w:t> </w:t>
      </w:r>
      <w:r>
        <w:rPr/>
        <w:t>the</w:t>
      </w:r>
      <w:r>
        <w:rPr>
          <w:spacing w:val="-2"/>
        </w:rPr>
        <w:t> </w:t>
      </w:r>
      <w:r>
        <w:rPr/>
        <w:t>technical</w:t>
      </w:r>
      <w:r>
        <w:rPr>
          <w:spacing w:val="-3"/>
        </w:rPr>
        <w:t> </w:t>
      </w:r>
      <w:r>
        <w:rPr/>
        <w:t>elements</w:t>
      </w:r>
      <w:r>
        <w:rPr>
          <w:spacing w:val="-4"/>
        </w:rPr>
        <w:t> </w:t>
      </w:r>
      <w:r>
        <w:rPr/>
        <w:t>of the electricity and gas distribution codes, and consider the role that ESV could play in the compliance and enforcement of the technical elements.</w:t>
      </w:r>
    </w:p>
    <w:p>
      <w:pPr>
        <w:pStyle w:val="BodyText"/>
        <w:rPr>
          <w:sz w:val="24"/>
        </w:rPr>
      </w:pPr>
    </w:p>
    <w:p>
      <w:pPr>
        <w:pStyle w:val="Heading6"/>
        <w:spacing w:before="144"/>
        <w:ind w:left="292"/>
      </w:pPr>
      <w:r>
        <w:rPr/>
        <w:t>Relationship</w:t>
      </w:r>
      <w:r>
        <w:rPr>
          <w:spacing w:val="-5"/>
        </w:rPr>
        <w:t> </w:t>
      </w:r>
      <w:r>
        <w:rPr/>
        <w:t>with</w:t>
      </w:r>
      <w:r>
        <w:rPr>
          <w:spacing w:val="-5"/>
        </w:rPr>
        <w:t> </w:t>
      </w:r>
      <w:r>
        <w:rPr/>
        <w:t>emergency</w:t>
      </w:r>
      <w:r>
        <w:rPr>
          <w:spacing w:val="-10"/>
        </w:rPr>
        <w:t> </w:t>
      </w:r>
      <w:r>
        <w:rPr/>
        <w:t>services</w:t>
      </w:r>
      <w:r>
        <w:rPr>
          <w:spacing w:val="-2"/>
        </w:rPr>
        <w:t> agencies</w:t>
      </w:r>
    </w:p>
    <w:p>
      <w:pPr>
        <w:pStyle w:val="BodyText"/>
        <w:spacing w:line="288" w:lineRule="auto" w:before="175"/>
        <w:ind w:left="292" w:right="586"/>
      </w:pPr>
      <w:r>
        <w:rPr/>
        <w:t>ESV</w:t>
      </w:r>
      <w:r>
        <w:rPr>
          <w:spacing w:val="-3"/>
        </w:rPr>
        <w:t> </w:t>
      </w:r>
      <w:r>
        <w:rPr/>
        <w:t>has</w:t>
      </w:r>
      <w:r>
        <w:rPr>
          <w:spacing w:val="-2"/>
        </w:rPr>
        <w:t> </w:t>
      </w:r>
      <w:r>
        <w:rPr/>
        <w:t>particularly</w:t>
      </w:r>
      <w:r>
        <w:rPr>
          <w:spacing w:val="-5"/>
        </w:rPr>
        <w:t> </w:t>
      </w:r>
      <w:r>
        <w:rPr/>
        <w:t>important</w:t>
      </w:r>
      <w:r>
        <w:rPr>
          <w:spacing w:val="-4"/>
        </w:rPr>
        <w:t> </w:t>
      </w:r>
      <w:r>
        <w:rPr/>
        <w:t>responsibilities</w:t>
      </w:r>
      <w:r>
        <w:rPr>
          <w:spacing w:val="-3"/>
        </w:rPr>
        <w:t> </w:t>
      </w:r>
      <w:r>
        <w:rPr/>
        <w:t>in</w:t>
      </w:r>
      <w:r>
        <w:rPr>
          <w:spacing w:val="-3"/>
        </w:rPr>
        <w:t> </w:t>
      </w:r>
      <w:r>
        <w:rPr/>
        <w:t>the</w:t>
      </w:r>
      <w:r>
        <w:rPr>
          <w:spacing w:val="-3"/>
        </w:rPr>
        <w:t> </w:t>
      </w:r>
      <w:r>
        <w:rPr/>
        <w:t>event</w:t>
      </w:r>
      <w:r>
        <w:rPr>
          <w:spacing w:val="-1"/>
        </w:rPr>
        <w:t> </w:t>
      </w:r>
      <w:r>
        <w:rPr/>
        <w:t>of</w:t>
      </w:r>
      <w:r>
        <w:rPr>
          <w:spacing w:val="-1"/>
        </w:rPr>
        <w:t> </w:t>
      </w:r>
      <w:r>
        <w:rPr/>
        <w:t>emergencies</w:t>
      </w:r>
      <w:r>
        <w:rPr>
          <w:spacing w:val="-5"/>
        </w:rPr>
        <w:t> </w:t>
      </w:r>
      <w:r>
        <w:rPr/>
        <w:t>that</w:t>
      </w:r>
      <w:r>
        <w:rPr>
          <w:spacing w:val="-4"/>
        </w:rPr>
        <w:t> </w:t>
      </w:r>
      <w:r>
        <w:rPr/>
        <w:t>might</w:t>
      </w:r>
      <w:r>
        <w:rPr>
          <w:spacing w:val="-4"/>
        </w:rPr>
        <w:t> </w:t>
      </w:r>
      <w:r>
        <w:rPr/>
        <w:t>be</w:t>
      </w:r>
      <w:r>
        <w:rPr>
          <w:spacing w:val="-3"/>
        </w:rPr>
        <w:t> </w:t>
      </w:r>
      <w:r>
        <w:rPr/>
        <w:t>caused by, or might affect, electricity and gas networks. Strong protocols are necessary to ensure that operational responsibilities are well understood and that emergency services can access the information they require as quickly and efficiently as possible. ESV has critical roles to play in assisting emergency services agencies to plan for major incidents, as well as to respond to incidents when they occur.</w:t>
      </w:r>
    </w:p>
    <w:p>
      <w:pPr>
        <w:pStyle w:val="BodyText"/>
        <w:spacing w:before="10"/>
        <w:rPr>
          <w:sz w:val="20"/>
        </w:rPr>
      </w:pPr>
    </w:p>
    <w:p>
      <w:pPr>
        <w:pStyle w:val="BodyText"/>
        <w:spacing w:line="288" w:lineRule="auto" w:before="1"/>
        <w:ind w:left="292" w:right="374"/>
      </w:pPr>
      <w:r>
        <w:rPr/>
        <w:t>ESV’s</w:t>
      </w:r>
      <w:r>
        <w:rPr>
          <w:spacing w:val="-1"/>
        </w:rPr>
        <w:t> </w:t>
      </w:r>
      <w:r>
        <w:rPr/>
        <w:t>current emergency</w:t>
      </w:r>
      <w:r>
        <w:rPr>
          <w:spacing w:val="-4"/>
        </w:rPr>
        <w:t> </w:t>
      </w:r>
      <w:r>
        <w:rPr/>
        <w:t>services</w:t>
      </w:r>
      <w:r>
        <w:rPr>
          <w:spacing w:val="-1"/>
        </w:rPr>
        <w:t> </w:t>
      </w:r>
      <w:r>
        <w:rPr/>
        <w:t>handbook</w:t>
      </w:r>
      <w:r>
        <w:rPr>
          <w:spacing w:val="-2"/>
        </w:rPr>
        <w:t> </w:t>
      </w:r>
      <w:r>
        <w:rPr/>
        <w:t>relates</w:t>
      </w:r>
      <w:r>
        <w:rPr>
          <w:spacing w:val="-4"/>
        </w:rPr>
        <w:t> </w:t>
      </w:r>
      <w:r>
        <w:rPr/>
        <w:t>to</w:t>
      </w:r>
      <w:r>
        <w:rPr>
          <w:spacing w:val="-2"/>
        </w:rPr>
        <w:t> </w:t>
      </w:r>
      <w:r>
        <w:rPr/>
        <w:t>electricity</w:t>
      </w:r>
      <w:r>
        <w:rPr>
          <w:spacing w:val="-2"/>
        </w:rPr>
        <w:t> </w:t>
      </w:r>
      <w:r>
        <w:rPr/>
        <w:t>hazards</w:t>
      </w:r>
      <w:r>
        <w:rPr>
          <w:spacing w:val="-4"/>
        </w:rPr>
        <w:t> </w:t>
      </w:r>
      <w:r>
        <w:rPr/>
        <w:t>and</w:t>
      </w:r>
      <w:r>
        <w:rPr>
          <w:spacing w:val="-2"/>
        </w:rPr>
        <w:t> </w:t>
      </w:r>
      <w:r>
        <w:rPr/>
        <w:t>safety</w:t>
      </w:r>
      <w:r>
        <w:rPr>
          <w:spacing w:val="-4"/>
        </w:rPr>
        <w:t> </w:t>
      </w:r>
      <w:r>
        <w:rPr/>
        <w:t>only</w:t>
      </w:r>
      <w:r>
        <w:rPr>
          <w:spacing w:val="-4"/>
        </w:rPr>
        <w:t> </w:t>
      </w:r>
      <w:r>
        <w:rPr/>
        <w:t>and</w:t>
      </w:r>
      <w:r>
        <w:rPr>
          <w:spacing w:val="-2"/>
        </w:rPr>
        <w:t> </w:t>
      </w:r>
      <w:r>
        <w:rPr/>
        <w:t>it was last updated in 2008. Having been in place for almost a decade, it would now be timely for ESV to review the handbook in consultation with the relevant emergency services agencies to ensure that it is current and meets the needs of emergency services.</w:t>
      </w:r>
    </w:p>
    <w:p>
      <w:pPr>
        <w:pStyle w:val="BodyText"/>
        <w:spacing w:before="10"/>
        <w:rPr>
          <w:sz w:val="20"/>
        </w:rPr>
      </w:pPr>
    </w:p>
    <w:p>
      <w:pPr>
        <w:pStyle w:val="BodyText"/>
        <w:spacing w:line="288" w:lineRule="auto"/>
        <w:ind w:left="292" w:right="311"/>
      </w:pPr>
      <w:r>
        <w:rPr/>
        <w:t>The</w:t>
      </w:r>
      <w:r>
        <w:rPr>
          <w:spacing w:val="-4"/>
        </w:rPr>
        <w:t> </w:t>
      </w:r>
      <w:r>
        <w:rPr/>
        <w:t>Review</w:t>
      </w:r>
      <w:r>
        <w:rPr>
          <w:spacing w:val="-5"/>
        </w:rPr>
        <w:t> </w:t>
      </w:r>
      <w:r>
        <w:rPr/>
        <w:t>is</w:t>
      </w:r>
      <w:r>
        <w:rPr>
          <w:spacing w:val="-1"/>
        </w:rPr>
        <w:t> </w:t>
      </w:r>
      <w:r>
        <w:rPr/>
        <w:t>also</w:t>
      </w:r>
      <w:r>
        <w:rPr>
          <w:spacing w:val="-2"/>
        </w:rPr>
        <w:t> </w:t>
      </w:r>
      <w:r>
        <w:rPr/>
        <w:t>proposing</w:t>
      </w:r>
      <w:r>
        <w:rPr>
          <w:spacing w:val="-2"/>
        </w:rPr>
        <w:t> </w:t>
      </w:r>
      <w:r>
        <w:rPr/>
        <w:t>that</w:t>
      </w:r>
      <w:r>
        <w:rPr>
          <w:spacing w:val="-3"/>
        </w:rPr>
        <w:t> </w:t>
      </w:r>
      <w:r>
        <w:rPr/>
        <w:t>ESV</w:t>
      </w:r>
      <w:r>
        <w:rPr>
          <w:spacing w:val="-2"/>
        </w:rPr>
        <w:t> </w:t>
      </w:r>
      <w:r>
        <w:rPr/>
        <w:t>should</w:t>
      </w:r>
      <w:r>
        <w:rPr>
          <w:spacing w:val="-2"/>
        </w:rPr>
        <w:t> </w:t>
      </w:r>
      <w:r>
        <w:rPr/>
        <w:t>develop</w:t>
      </w:r>
      <w:r>
        <w:rPr>
          <w:spacing w:val="-2"/>
        </w:rPr>
        <w:t> </w:t>
      </w:r>
      <w:r>
        <w:rPr/>
        <w:t>a</w:t>
      </w:r>
      <w:r>
        <w:rPr>
          <w:spacing w:val="-2"/>
        </w:rPr>
        <w:t> </w:t>
      </w:r>
      <w:r>
        <w:rPr/>
        <w:t>similar</w:t>
      </w:r>
      <w:r>
        <w:rPr>
          <w:spacing w:val="-1"/>
        </w:rPr>
        <w:t> </w:t>
      </w:r>
      <w:r>
        <w:rPr/>
        <w:t>hazards</w:t>
      </w:r>
      <w:r>
        <w:rPr>
          <w:spacing w:val="-4"/>
        </w:rPr>
        <w:t> </w:t>
      </w:r>
      <w:r>
        <w:rPr/>
        <w:t>and</w:t>
      </w:r>
      <w:r>
        <w:rPr>
          <w:spacing w:val="-2"/>
        </w:rPr>
        <w:t> </w:t>
      </w:r>
      <w:r>
        <w:rPr/>
        <w:t>safety</w:t>
      </w:r>
      <w:r>
        <w:rPr>
          <w:spacing w:val="-4"/>
        </w:rPr>
        <w:t> </w:t>
      </w:r>
      <w:r>
        <w:rPr/>
        <w:t>handbook</w:t>
      </w:r>
      <w:r>
        <w:rPr>
          <w:spacing w:val="-1"/>
        </w:rPr>
        <w:t> </w:t>
      </w:r>
      <w:r>
        <w:rPr/>
        <w:t>for the gas networks that it regulates.</w:t>
      </w:r>
    </w:p>
    <w:p>
      <w:pPr>
        <w:pStyle w:val="BodyText"/>
        <w:spacing w:before="9"/>
        <w:rPr>
          <w:sz w:val="18"/>
        </w:rPr>
      </w:pPr>
      <w:r>
        <w:rPr/>
        <mc:AlternateContent>
          <mc:Choice Requires="wps">
            <w:drawing>
              <wp:anchor distT="0" distB="0" distL="0" distR="0" allowOverlap="1" layoutInCell="1" locked="0" behindDoc="1" simplePos="0" relativeHeight="487589888">
                <wp:simplePos x="0" y="0"/>
                <wp:positionH relativeFrom="page">
                  <wp:posOffset>719327</wp:posOffset>
                </wp:positionH>
                <wp:positionV relativeFrom="paragraph">
                  <wp:posOffset>152388</wp:posOffset>
                </wp:positionV>
                <wp:extent cx="5753100" cy="3641090"/>
                <wp:effectExtent l="0" t="0" r="0" b="0"/>
                <wp:wrapTopAndBottom/>
                <wp:docPr id="8" name="Textbox 8"/>
                <wp:cNvGraphicFramePr>
                  <a:graphicFrameLocks/>
                </wp:cNvGraphicFramePr>
                <a:graphic>
                  <a:graphicData uri="http://schemas.microsoft.com/office/word/2010/wordprocessingShape">
                    <wps:wsp>
                      <wps:cNvPr id="8" name="Textbox 8"/>
                      <wps:cNvSpPr txBox="1"/>
                      <wps:spPr>
                        <a:xfrm>
                          <a:off x="0" y="0"/>
                          <a:ext cx="5753100" cy="3641090"/>
                        </a:xfrm>
                        <a:prstGeom prst="rect">
                          <a:avLst/>
                        </a:prstGeom>
                        <a:solidFill>
                          <a:srgbClr val="D9D9D9"/>
                        </a:solidFill>
                      </wps:spPr>
                      <wps:txbx>
                        <w:txbxContent>
                          <w:p>
                            <w:pPr>
                              <w:pStyle w:val="BodyText"/>
                              <w:spacing w:before="9"/>
                              <w:rPr>
                                <w:color w:val="000000"/>
                                <w:sz w:val="20"/>
                              </w:rPr>
                            </w:pPr>
                          </w:p>
                          <w:p>
                            <w:pPr>
                              <w:spacing w:line="288" w:lineRule="auto" w:before="1"/>
                              <w:ind w:left="112" w:right="0" w:firstLine="0"/>
                              <w:jc w:val="left"/>
                              <w:rPr>
                                <w:b/>
                                <w:color w:val="000000"/>
                                <w:sz w:val="22"/>
                              </w:rPr>
                            </w:pPr>
                            <w:r>
                              <w:rPr>
                                <w:b/>
                                <w:color w:val="000000"/>
                                <w:sz w:val="22"/>
                              </w:rPr>
                              <w:t>Summary</w:t>
                            </w:r>
                            <w:r>
                              <w:rPr>
                                <w:b/>
                                <w:color w:val="000000"/>
                                <w:spacing w:val="-8"/>
                                <w:sz w:val="22"/>
                              </w:rPr>
                              <w:t> </w:t>
                            </w:r>
                            <w:r>
                              <w:rPr>
                                <w:b/>
                                <w:color w:val="000000"/>
                                <w:sz w:val="22"/>
                              </w:rPr>
                              <w:t>of</w:t>
                            </w:r>
                            <w:r>
                              <w:rPr>
                                <w:b/>
                                <w:color w:val="000000"/>
                                <w:spacing w:val="-4"/>
                                <w:sz w:val="22"/>
                              </w:rPr>
                              <w:t> </w:t>
                            </w:r>
                            <w:r>
                              <w:rPr>
                                <w:b/>
                                <w:color w:val="000000"/>
                                <w:sz w:val="22"/>
                              </w:rPr>
                              <w:t>recommendations:</w:t>
                            </w:r>
                            <w:r>
                              <w:rPr>
                                <w:b/>
                                <w:color w:val="000000"/>
                                <w:spacing w:val="-1"/>
                                <w:sz w:val="22"/>
                              </w:rPr>
                              <w:t> </w:t>
                            </w:r>
                            <w:r>
                              <w:rPr>
                                <w:b/>
                                <w:color w:val="000000"/>
                                <w:sz w:val="22"/>
                              </w:rPr>
                              <w:t>Engagement</w:t>
                            </w:r>
                            <w:r>
                              <w:rPr>
                                <w:b/>
                                <w:color w:val="000000"/>
                                <w:spacing w:val="-5"/>
                                <w:sz w:val="22"/>
                              </w:rPr>
                              <w:t> </w:t>
                            </w:r>
                            <w:r>
                              <w:rPr>
                                <w:b/>
                                <w:color w:val="000000"/>
                                <w:sz w:val="22"/>
                              </w:rPr>
                              <w:t>with</w:t>
                            </w:r>
                            <w:r>
                              <w:rPr>
                                <w:b/>
                                <w:color w:val="000000"/>
                                <w:spacing w:val="-4"/>
                                <w:sz w:val="22"/>
                              </w:rPr>
                              <w:t> </w:t>
                            </w:r>
                            <w:r>
                              <w:rPr>
                                <w:b/>
                                <w:color w:val="000000"/>
                                <w:sz w:val="22"/>
                              </w:rPr>
                              <w:t>other</w:t>
                            </w:r>
                            <w:r>
                              <w:rPr>
                                <w:b/>
                                <w:color w:val="000000"/>
                                <w:spacing w:val="-5"/>
                                <w:sz w:val="22"/>
                              </w:rPr>
                              <w:t> </w:t>
                            </w:r>
                            <w:r>
                              <w:rPr>
                                <w:b/>
                                <w:color w:val="000000"/>
                                <w:sz w:val="22"/>
                              </w:rPr>
                              <w:t>regulators</w:t>
                            </w:r>
                            <w:r>
                              <w:rPr>
                                <w:b/>
                                <w:color w:val="000000"/>
                                <w:spacing w:val="-6"/>
                                <w:sz w:val="22"/>
                              </w:rPr>
                              <w:t> </w:t>
                            </w:r>
                            <w:r>
                              <w:rPr>
                                <w:b/>
                                <w:color w:val="000000"/>
                                <w:sz w:val="22"/>
                              </w:rPr>
                              <w:t>and</w:t>
                            </w:r>
                            <w:r>
                              <w:rPr>
                                <w:b/>
                                <w:color w:val="000000"/>
                                <w:spacing w:val="-4"/>
                                <w:sz w:val="22"/>
                              </w:rPr>
                              <w:t> </w:t>
                            </w:r>
                            <w:r>
                              <w:rPr>
                                <w:b/>
                                <w:color w:val="000000"/>
                                <w:sz w:val="22"/>
                              </w:rPr>
                              <w:t>government </w:t>
                            </w:r>
                            <w:r>
                              <w:rPr>
                                <w:b/>
                                <w:color w:val="000000"/>
                                <w:spacing w:val="-2"/>
                                <w:sz w:val="22"/>
                              </w:rPr>
                              <w:t>agencies</w:t>
                            </w:r>
                          </w:p>
                          <w:p>
                            <w:pPr>
                              <w:pStyle w:val="BodyText"/>
                              <w:spacing w:before="10"/>
                              <w:rPr>
                                <w:b/>
                                <w:color w:val="000000"/>
                                <w:sz w:val="20"/>
                              </w:rPr>
                            </w:pPr>
                          </w:p>
                          <w:p>
                            <w:pPr>
                              <w:pStyle w:val="BodyText"/>
                              <w:ind w:left="112"/>
                              <w:rPr>
                                <w:color w:val="000000"/>
                              </w:rPr>
                            </w:pPr>
                            <w:r>
                              <w:rPr>
                                <w:color w:val="000000"/>
                              </w:rPr>
                              <w:t>Recommendations</w:t>
                            </w:r>
                            <w:r>
                              <w:rPr>
                                <w:color w:val="000000"/>
                                <w:spacing w:val="-6"/>
                              </w:rPr>
                              <w:t> </w:t>
                            </w:r>
                            <w:r>
                              <w:rPr>
                                <w:color w:val="000000"/>
                              </w:rPr>
                              <w:t>presented</w:t>
                            </w:r>
                            <w:r>
                              <w:rPr>
                                <w:color w:val="000000"/>
                                <w:spacing w:val="-6"/>
                              </w:rPr>
                              <w:t> </w:t>
                            </w:r>
                            <w:r>
                              <w:rPr>
                                <w:color w:val="000000"/>
                              </w:rPr>
                              <w:t>by</w:t>
                            </w:r>
                            <w:r>
                              <w:rPr>
                                <w:color w:val="000000"/>
                                <w:spacing w:val="-9"/>
                              </w:rPr>
                              <w:t> </w:t>
                            </w:r>
                            <w:r>
                              <w:rPr>
                                <w:color w:val="000000"/>
                              </w:rPr>
                              <w:t>the</w:t>
                            </w:r>
                            <w:r>
                              <w:rPr>
                                <w:color w:val="000000"/>
                                <w:spacing w:val="-8"/>
                              </w:rPr>
                              <w:t> </w:t>
                            </w:r>
                            <w:r>
                              <w:rPr>
                                <w:color w:val="000000"/>
                              </w:rPr>
                              <w:t>Review</w:t>
                            </w:r>
                            <w:r>
                              <w:rPr>
                                <w:color w:val="000000"/>
                                <w:spacing w:val="-9"/>
                              </w:rPr>
                              <w:t> </w:t>
                            </w:r>
                            <w:r>
                              <w:rPr>
                                <w:color w:val="000000"/>
                                <w:spacing w:val="-2"/>
                              </w:rPr>
                              <w:t>include:</w:t>
                            </w:r>
                          </w:p>
                          <w:p>
                            <w:pPr>
                              <w:pStyle w:val="BodyText"/>
                              <w:spacing w:before="7"/>
                              <w:rPr>
                                <w:color w:val="000000"/>
                                <w:sz w:val="26"/>
                              </w:rPr>
                            </w:pPr>
                          </w:p>
                          <w:p>
                            <w:pPr>
                              <w:pStyle w:val="BodyText"/>
                              <w:numPr>
                                <w:ilvl w:val="0"/>
                                <w:numId w:val="10"/>
                              </w:numPr>
                              <w:tabs>
                                <w:tab w:pos="500" w:val="left" w:leader="none"/>
                                <w:tab w:pos="502" w:val="left" w:leader="none"/>
                              </w:tabs>
                              <w:spacing w:line="288" w:lineRule="auto" w:before="0" w:after="0"/>
                              <w:ind w:left="502" w:right="186" w:hanging="219"/>
                              <w:jc w:val="left"/>
                              <w:rPr>
                                <w:color w:val="000000"/>
                              </w:rPr>
                            </w:pPr>
                            <w:r>
                              <w:rPr>
                                <w:color w:val="000000"/>
                              </w:rPr>
                              <w:t>ESV's memoranda of understanding with other regulators and government departments</w:t>
                            </w:r>
                            <w:r>
                              <w:rPr>
                                <w:color w:val="000000"/>
                                <w:spacing w:val="-4"/>
                              </w:rPr>
                              <w:t> </w:t>
                            </w:r>
                            <w:r>
                              <w:rPr>
                                <w:color w:val="000000"/>
                              </w:rPr>
                              <w:t>and</w:t>
                            </w:r>
                            <w:r>
                              <w:rPr>
                                <w:color w:val="000000"/>
                                <w:spacing w:val="-4"/>
                              </w:rPr>
                              <w:t> </w:t>
                            </w:r>
                            <w:r>
                              <w:rPr>
                                <w:color w:val="000000"/>
                              </w:rPr>
                              <w:t>agencies</w:t>
                            </w:r>
                            <w:r>
                              <w:rPr>
                                <w:color w:val="000000"/>
                                <w:spacing w:val="-2"/>
                              </w:rPr>
                              <w:t> </w:t>
                            </w:r>
                            <w:r>
                              <w:rPr>
                                <w:color w:val="000000"/>
                              </w:rPr>
                              <w:t>should</w:t>
                            </w:r>
                            <w:r>
                              <w:rPr>
                                <w:color w:val="000000"/>
                                <w:spacing w:val="-2"/>
                              </w:rPr>
                              <w:t> </w:t>
                            </w:r>
                            <w:r>
                              <w:rPr>
                                <w:color w:val="000000"/>
                              </w:rPr>
                              <w:t>be</w:t>
                            </w:r>
                            <w:r>
                              <w:rPr>
                                <w:color w:val="000000"/>
                                <w:spacing w:val="-4"/>
                              </w:rPr>
                              <w:t> </w:t>
                            </w:r>
                            <w:r>
                              <w:rPr>
                                <w:color w:val="000000"/>
                              </w:rPr>
                              <w:t>reviewed</w:t>
                            </w:r>
                            <w:r>
                              <w:rPr>
                                <w:color w:val="000000"/>
                                <w:spacing w:val="-2"/>
                              </w:rPr>
                              <w:t> </w:t>
                            </w:r>
                            <w:r>
                              <w:rPr>
                                <w:color w:val="000000"/>
                              </w:rPr>
                              <w:t>annually</w:t>
                            </w:r>
                            <w:r>
                              <w:rPr>
                                <w:color w:val="000000"/>
                                <w:spacing w:val="-4"/>
                              </w:rPr>
                              <w:t> </w:t>
                            </w:r>
                            <w:r>
                              <w:rPr>
                                <w:color w:val="000000"/>
                              </w:rPr>
                              <w:t>to</w:t>
                            </w:r>
                            <w:r>
                              <w:rPr>
                                <w:color w:val="000000"/>
                                <w:spacing w:val="-2"/>
                              </w:rPr>
                              <w:t> </w:t>
                            </w:r>
                            <w:r>
                              <w:rPr>
                                <w:color w:val="000000"/>
                              </w:rPr>
                              <w:t>ensure</w:t>
                            </w:r>
                            <w:r>
                              <w:rPr>
                                <w:color w:val="000000"/>
                                <w:spacing w:val="-4"/>
                              </w:rPr>
                              <w:t> </w:t>
                            </w:r>
                            <w:r>
                              <w:rPr>
                                <w:color w:val="000000"/>
                              </w:rPr>
                              <w:t>they</w:t>
                            </w:r>
                            <w:r>
                              <w:rPr>
                                <w:color w:val="000000"/>
                                <w:spacing w:val="-4"/>
                              </w:rPr>
                              <w:t> </w:t>
                            </w:r>
                            <w:r>
                              <w:rPr>
                                <w:color w:val="000000"/>
                              </w:rPr>
                              <w:t>remain</w:t>
                            </w:r>
                            <w:r>
                              <w:rPr>
                                <w:color w:val="000000"/>
                                <w:spacing w:val="-2"/>
                              </w:rPr>
                              <w:t> </w:t>
                            </w:r>
                            <w:r>
                              <w:rPr>
                                <w:color w:val="000000"/>
                              </w:rPr>
                              <w:t>current and fit-for-purpose (Recommendation 16);</w:t>
                            </w:r>
                          </w:p>
                          <w:p>
                            <w:pPr>
                              <w:pStyle w:val="BodyText"/>
                              <w:spacing w:before="2"/>
                              <w:rPr>
                                <w:color w:val="000000"/>
                              </w:rPr>
                            </w:pPr>
                          </w:p>
                          <w:p>
                            <w:pPr>
                              <w:numPr>
                                <w:ilvl w:val="0"/>
                                <w:numId w:val="10"/>
                              </w:numPr>
                              <w:tabs>
                                <w:tab w:pos="500" w:val="left" w:leader="none"/>
                                <w:tab w:pos="502" w:val="left" w:leader="none"/>
                              </w:tabs>
                              <w:spacing w:line="288" w:lineRule="auto" w:before="1"/>
                              <w:ind w:left="502" w:right="201" w:hanging="219"/>
                              <w:jc w:val="left"/>
                              <w:rPr>
                                <w:color w:val="000000"/>
                                <w:sz w:val="22"/>
                              </w:rPr>
                            </w:pPr>
                            <w:r>
                              <w:rPr>
                                <w:color w:val="000000"/>
                                <w:sz w:val="22"/>
                              </w:rPr>
                              <w:t>the ESC should complete its review of the voltage variation standards under the </w:t>
                            </w:r>
                            <w:r>
                              <w:rPr>
                                <w:i/>
                                <w:color w:val="000000"/>
                                <w:sz w:val="22"/>
                              </w:rPr>
                              <w:t>Electricity Distribution Code </w:t>
                            </w:r>
                            <w:r>
                              <w:rPr>
                                <w:color w:val="000000"/>
                                <w:sz w:val="22"/>
                              </w:rPr>
                              <w:t>as soon as practicable. A broader review by the ESC of the </w:t>
                            </w:r>
                            <w:r>
                              <w:rPr>
                                <w:i/>
                                <w:color w:val="000000"/>
                                <w:sz w:val="22"/>
                              </w:rPr>
                              <w:t>Electricity Distribution Code </w:t>
                            </w:r>
                            <w:r>
                              <w:rPr>
                                <w:color w:val="000000"/>
                                <w:sz w:val="22"/>
                              </w:rPr>
                              <w:t>and the </w:t>
                            </w:r>
                            <w:r>
                              <w:rPr>
                                <w:i/>
                                <w:color w:val="000000"/>
                                <w:sz w:val="22"/>
                              </w:rPr>
                              <w:t>Gas Distribution Code </w:t>
                            </w:r>
                            <w:r>
                              <w:rPr>
                                <w:color w:val="000000"/>
                                <w:sz w:val="22"/>
                              </w:rPr>
                              <w:t>should consider the role</w:t>
                            </w:r>
                            <w:r>
                              <w:rPr>
                                <w:color w:val="000000"/>
                                <w:spacing w:val="-3"/>
                                <w:sz w:val="22"/>
                              </w:rPr>
                              <w:t> </w:t>
                            </w:r>
                            <w:r>
                              <w:rPr>
                                <w:color w:val="000000"/>
                                <w:sz w:val="22"/>
                              </w:rPr>
                              <w:t>of</w:t>
                            </w:r>
                            <w:r>
                              <w:rPr>
                                <w:color w:val="000000"/>
                                <w:spacing w:val="-1"/>
                                <w:sz w:val="22"/>
                              </w:rPr>
                              <w:t> </w:t>
                            </w:r>
                            <w:r>
                              <w:rPr>
                                <w:color w:val="000000"/>
                                <w:sz w:val="22"/>
                              </w:rPr>
                              <w:t>ESV</w:t>
                            </w:r>
                            <w:r>
                              <w:rPr>
                                <w:color w:val="000000"/>
                                <w:spacing w:val="-3"/>
                                <w:sz w:val="22"/>
                              </w:rPr>
                              <w:t> </w:t>
                            </w:r>
                            <w:r>
                              <w:rPr>
                                <w:color w:val="000000"/>
                                <w:sz w:val="22"/>
                              </w:rPr>
                              <w:t>in</w:t>
                            </w:r>
                            <w:r>
                              <w:rPr>
                                <w:color w:val="000000"/>
                                <w:spacing w:val="-3"/>
                                <w:sz w:val="22"/>
                              </w:rPr>
                              <w:t> </w:t>
                            </w:r>
                            <w:r>
                              <w:rPr>
                                <w:color w:val="000000"/>
                                <w:sz w:val="22"/>
                              </w:rPr>
                              <w:t>promoting</w:t>
                            </w:r>
                            <w:r>
                              <w:rPr>
                                <w:color w:val="000000"/>
                                <w:spacing w:val="-5"/>
                                <w:sz w:val="22"/>
                              </w:rPr>
                              <w:t> </w:t>
                            </w:r>
                            <w:r>
                              <w:rPr>
                                <w:color w:val="000000"/>
                                <w:sz w:val="22"/>
                              </w:rPr>
                              <w:t>and</w:t>
                            </w:r>
                            <w:r>
                              <w:rPr>
                                <w:color w:val="000000"/>
                                <w:spacing w:val="-3"/>
                                <w:sz w:val="22"/>
                              </w:rPr>
                              <w:t> </w:t>
                            </w:r>
                            <w:r>
                              <w:rPr>
                                <w:color w:val="000000"/>
                                <w:sz w:val="22"/>
                              </w:rPr>
                              <w:t>enforcing</w:t>
                            </w:r>
                            <w:r>
                              <w:rPr>
                                <w:color w:val="000000"/>
                                <w:spacing w:val="-3"/>
                                <w:sz w:val="22"/>
                              </w:rPr>
                              <w:t> </w:t>
                            </w:r>
                            <w:r>
                              <w:rPr>
                                <w:color w:val="000000"/>
                                <w:sz w:val="22"/>
                              </w:rPr>
                              <w:t>compliance</w:t>
                            </w:r>
                            <w:r>
                              <w:rPr>
                                <w:color w:val="000000"/>
                                <w:spacing w:val="-3"/>
                                <w:sz w:val="22"/>
                              </w:rPr>
                              <w:t> </w:t>
                            </w:r>
                            <w:r>
                              <w:rPr>
                                <w:color w:val="000000"/>
                                <w:sz w:val="22"/>
                              </w:rPr>
                              <w:t>with</w:t>
                            </w:r>
                            <w:r>
                              <w:rPr>
                                <w:color w:val="000000"/>
                                <w:spacing w:val="-3"/>
                                <w:sz w:val="22"/>
                              </w:rPr>
                              <w:t> </w:t>
                            </w:r>
                            <w:r>
                              <w:rPr>
                                <w:color w:val="000000"/>
                                <w:sz w:val="22"/>
                              </w:rPr>
                              <w:t>technical</w:t>
                            </w:r>
                            <w:r>
                              <w:rPr>
                                <w:color w:val="000000"/>
                                <w:spacing w:val="-4"/>
                                <w:sz w:val="22"/>
                              </w:rPr>
                              <w:t> </w:t>
                            </w:r>
                            <w:r>
                              <w:rPr>
                                <w:color w:val="000000"/>
                                <w:sz w:val="22"/>
                              </w:rPr>
                              <w:t>standards</w:t>
                            </w:r>
                            <w:r>
                              <w:rPr>
                                <w:color w:val="000000"/>
                                <w:spacing w:val="-2"/>
                                <w:sz w:val="22"/>
                              </w:rPr>
                              <w:t> </w:t>
                            </w:r>
                            <w:r>
                              <w:rPr>
                                <w:color w:val="000000"/>
                                <w:sz w:val="22"/>
                              </w:rPr>
                              <w:t>under</w:t>
                            </w:r>
                            <w:r>
                              <w:rPr>
                                <w:color w:val="000000"/>
                                <w:spacing w:val="-4"/>
                                <w:sz w:val="22"/>
                              </w:rPr>
                              <w:t> </w:t>
                            </w:r>
                            <w:r>
                              <w:rPr>
                                <w:color w:val="000000"/>
                                <w:sz w:val="22"/>
                              </w:rPr>
                              <w:t>the codes (Recommendation 18);</w:t>
                            </w:r>
                          </w:p>
                          <w:p>
                            <w:pPr>
                              <w:pStyle w:val="BodyText"/>
                              <w:rPr>
                                <w:color w:val="000000"/>
                              </w:rPr>
                            </w:pPr>
                          </w:p>
                          <w:p>
                            <w:pPr>
                              <w:pStyle w:val="BodyText"/>
                              <w:numPr>
                                <w:ilvl w:val="0"/>
                                <w:numId w:val="10"/>
                              </w:numPr>
                              <w:tabs>
                                <w:tab w:pos="500" w:val="left" w:leader="none"/>
                                <w:tab w:pos="502" w:val="left" w:leader="none"/>
                              </w:tabs>
                              <w:spacing w:line="288" w:lineRule="auto" w:before="1" w:after="0"/>
                              <w:ind w:left="502" w:right="669" w:hanging="219"/>
                              <w:jc w:val="left"/>
                              <w:rPr>
                                <w:color w:val="000000"/>
                              </w:rPr>
                            </w:pPr>
                            <w:r>
                              <w:rPr>
                                <w:color w:val="000000"/>
                              </w:rPr>
                              <w:t>ESV</w:t>
                            </w:r>
                            <w:r>
                              <w:rPr>
                                <w:color w:val="000000"/>
                                <w:spacing w:val="-3"/>
                              </w:rPr>
                              <w:t> </w:t>
                            </w:r>
                            <w:r>
                              <w:rPr>
                                <w:color w:val="000000"/>
                              </w:rPr>
                              <w:t>and</w:t>
                            </w:r>
                            <w:r>
                              <w:rPr>
                                <w:color w:val="000000"/>
                                <w:spacing w:val="-3"/>
                              </w:rPr>
                              <w:t> </w:t>
                            </w:r>
                            <w:r>
                              <w:rPr>
                                <w:color w:val="000000"/>
                              </w:rPr>
                              <w:t>DELWP</w:t>
                            </w:r>
                            <w:r>
                              <w:rPr>
                                <w:color w:val="000000"/>
                                <w:spacing w:val="-5"/>
                              </w:rPr>
                              <w:t> </w:t>
                            </w:r>
                            <w:r>
                              <w:rPr>
                                <w:color w:val="000000"/>
                              </w:rPr>
                              <w:t>should</w:t>
                            </w:r>
                            <w:r>
                              <w:rPr>
                                <w:color w:val="000000"/>
                                <w:spacing w:val="-5"/>
                              </w:rPr>
                              <w:t> </w:t>
                            </w:r>
                            <w:r>
                              <w:rPr>
                                <w:color w:val="000000"/>
                              </w:rPr>
                              <w:t>jointly</w:t>
                            </w:r>
                            <w:r>
                              <w:rPr>
                                <w:color w:val="000000"/>
                                <w:spacing w:val="-5"/>
                              </w:rPr>
                              <w:t> </w:t>
                            </w:r>
                            <w:r>
                              <w:rPr>
                                <w:color w:val="000000"/>
                              </w:rPr>
                              <w:t>develop</w:t>
                            </w:r>
                            <w:r>
                              <w:rPr>
                                <w:color w:val="000000"/>
                                <w:spacing w:val="-3"/>
                              </w:rPr>
                              <w:t> </w:t>
                            </w:r>
                            <w:r>
                              <w:rPr>
                                <w:color w:val="000000"/>
                              </w:rPr>
                              <w:t>an</w:t>
                            </w:r>
                            <w:r>
                              <w:rPr>
                                <w:color w:val="000000"/>
                                <w:spacing w:val="-3"/>
                              </w:rPr>
                              <w:t> </w:t>
                            </w:r>
                            <w:r>
                              <w:rPr>
                                <w:color w:val="000000"/>
                              </w:rPr>
                              <w:t>MOU</w:t>
                            </w:r>
                            <w:r>
                              <w:rPr>
                                <w:color w:val="000000"/>
                                <w:spacing w:val="-3"/>
                              </w:rPr>
                              <w:t> </w:t>
                            </w:r>
                            <w:r>
                              <w:rPr>
                                <w:color w:val="000000"/>
                              </w:rPr>
                              <w:t>to</w:t>
                            </w:r>
                            <w:r>
                              <w:rPr>
                                <w:color w:val="000000"/>
                                <w:spacing w:val="-3"/>
                              </w:rPr>
                              <w:t> </w:t>
                            </w:r>
                            <w:r>
                              <w:rPr>
                                <w:color w:val="000000"/>
                              </w:rPr>
                              <w:t>help</w:t>
                            </w:r>
                            <w:r>
                              <w:rPr>
                                <w:color w:val="000000"/>
                                <w:spacing w:val="-5"/>
                              </w:rPr>
                              <w:t> </w:t>
                            </w:r>
                            <w:r>
                              <w:rPr>
                                <w:color w:val="000000"/>
                              </w:rPr>
                              <w:t>manage</w:t>
                            </w:r>
                            <w:r>
                              <w:rPr>
                                <w:color w:val="000000"/>
                                <w:spacing w:val="-5"/>
                              </w:rPr>
                              <w:t> </w:t>
                            </w:r>
                            <w:r>
                              <w:rPr>
                                <w:color w:val="000000"/>
                              </w:rPr>
                              <w:t>their</w:t>
                            </w:r>
                            <w:r>
                              <w:rPr>
                                <w:color w:val="000000"/>
                                <w:spacing w:val="-4"/>
                              </w:rPr>
                              <w:t> </w:t>
                            </w:r>
                            <w:r>
                              <w:rPr>
                                <w:color w:val="000000"/>
                              </w:rPr>
                              <w:t>respective responsibilities, with:</w:t>
                            </w:r>
                          </w:p>
                          <w:p>
                            <w:pPr>
                              <w:pStyle w:val="BodyText"/>
                              <w:spacing w:before="7"/>
                              <w:rPr>
                                <w:color w:val="000000"/>
                                <w:sz w:val="20"/>
                              </w:rPr>
                            </w:pPr>
                          </w:p>
                          <w:p>
                            <w:pPr>
                              <w:pStyle w:val="BodyText"/>
                              <w:ind w:left="463"/>
                              <w:rPr>
                                <w:color w:val="000000"/>
                              </w:rPr>
                            </w:pPr>
                            <w:r>
                              <w:rPr>
                                <w:color w:val="000000"/>
                              </w:rPr>
                              <w:t>–</w:t>
                            </w:r>
                            <w:r>
                              <w:rPr>
                                <w:color w:val="000000"/>
                                <w:spacing w:val="21"/>
                              </w:rPr>
                              <w:t> </w:t>
                            </w:r>
                            <w:r>
                              <w:rPr>
                                <w:color w:val="000000"/>
                              </w:rPr>
                              <w:t>the</w:t>
                            </w:r>
                            <w:r>
                              <w:rPr>
                                <w:color w:val="000000"/>
                                <w:spacing w:val="-6"/>
                              </w:rPr>
                              <w:t> </w:t>
                            </w:r>
                            <w:r>
                              <w:rPr>
                                <w:color w:val="000000"/>
                              </w:rPr>
                              <w:t>MOU</w:t>
                            </w:r>
                            <w:r>
                              <w:rPr>
                                <w:color w:val="000000"/>
                                <w:spacing w:val="-5"/>
                              </w:rPr>
                              <w:t> </w:t>
                            </w:r>
                            <w:r>
                              <w:rPr>
                                <w:color w:val="000000"/>
                              </w:rPr>
                              <w:t>recognising</w:t>
                            </w:r>
                            <w:r>
                              <w:rPr>
                                <w:color w:val="000000"/>
                                <w:spacing w:val="-3"/>
                              </w:rPr>
                              <w:t> </w:t>
                            </w:r>
                            <w:r>
                              <w:rPr>
                                <w:color w:val="000000"/>
                              </w:rPr>
                              <w:t>DELWP's</w:t>
                            </w:r>
                            <w:r>
                              <w:rPr>
                                <w:color w:val="000000"/>
                                <w:spacing w:val="-7"/>
                              </w:rPr>
                              <w:t> </w:t>
                            </w:r>
                            <w:r>
                              <w:rPr>
                                <w:color w:val="000000"/>
                              </w:rPr>
                              <w:t>role</w:t>
                            </w:r>
                            <w:r>
                              <w:rPr>
                                <w:color w:val="000000"/>
                                <w:spacing w:val="-5"/>
                              </w:rPr>
                              <w:t> </w:t>
                            </w:r>
                            <w:r>
                              <w:rPr>
                                <w:color w:val="000000"/>
                              </w:rPr>
                              <w:t>in</w:t>
                            </w:r>
                            <w:r>
                              <w:rPr>
                                <w:color w:val="000000"/>
                                <w:spacing w:val="-6"/>
                              </w:rPr>
                              <w:t> </w:t>
                            </w:r>
                            <w:r>
                              <w:rPr>
                                <w:color w:val="000000"/>
                              </w:rPr>
                              <w:t>planning</w:t>
                            </w:r>
                            <w:r>
                              <w:rPr>
                                <w:color w:val="000000"/>
                                <w:spacing w:val="-3"/>
                              </w:rPr>
                              <w:t> </w:t>
                            </w:r>
                            <w:r>
                              <w:rPr>
                                <w:color w:val="000000"/>
                              </w:rPr>
                              <w:t>and</w:t>
                            </w:r>
                            <w:r>
                              <w:rPr>
                                <w:color w:val="000000"/>
                                <w:spacing w:val="-5"/>
                              </w:rPr>
                              <w:t> </w:t>
                            </w:r>
                            <w:r>
                              <w:rPr>
                                <w:color w:val="000000"/>
                              </w:rPr>
                              <w:t>environmental</w:t>
                            </w:r>
                            <w:r>
                              <w:rPr>
                                <w:color w:val="000000"/>
                                <w:spacing w:val="-8"/>
                              </w:rPr>
                              <w:t> </w:t>
                            </w:r>
                            <w:r>
                              <w:rPr>
                                <w:color w:val="000000"/>
                              </w:rPr>
                              <w:t>matters</w:t>
                            </w:r>
                            <w:r>
                              <w:rPr>
                                <w:color w:val="000000"/>
                                <w:spacing w:val="-4"/>
                              </w:rPr>
                              <w:t> </w:t>
                            </w:r>
                            <w:r>
                              <w:rPr>
                                <w:color w:val="000000"/>
                              </w:rPr>
                              <w:t>and</w:t>
                            </w:r>
                            <w:r>
                              <w:rPr>
                                <w:color w:val="000000"/>
                                <w:spacing w:val="-5"/>
                              </w:rPr>
                              <w:t> as</w:t>
                            </w:r>
                          </w:p>
                        </w:txbxContent>
                      </wps:txbx>
                      <wps:bodyPr wrap="square" lIns="0" tIns="0" rIns="0" bIns="0" rtlCol="0">
                        <a:noAutofit/>
                      </wps:bodyPr>
                    </wps:wsp>
                  </a:graphicData>
                </a:graphic>
              </wp:anchor>
            </w:drawing>
          </mc:Choice>
          <mc:Fallback>
            <w:pict>
              <v:shape style="position:absolute;margin-left:56.639999pt;margin-top:11.999121pt;width:453pt;height:286.7pt;mso-position-horizontal-relative:page;mso-position-vertical-relative:paragraph;z-index:-15726592;mso-wrap-distance-left:0;mso-wrap-distance-right:0" type="#_x0000_t202" id="docshape7" filled="true" fillcolor="#d9d9d9" stroked="false">
                <v:textbox inset="0,0,0,0">
                  <w:txbxContent>
                    <w:p>
                      <w:pPr>
                        <w:pStyle w:val="BodyText"/>
                        <w:spacing w:before="9"/>
                        <w:rPr>
                          <w:color w:val="000000"/>
                          <w:sz w:val="20"/>
                        </w:rPr>
                      </w:pPr>
                    </w:p>
                    <w:p>
                      <w:pPr>
                        <w:spacing w:line="288" w:lineRule="auto" w:before="1"/>
                        <w:ind w:left="112" w:right="0" w:firstLine="0"/>
                        <w:jc w:val="left"/>
                        <w:rPr>
                          <w:b/>
                          <w:color w:val="000000"/>
                          <w:sz w:val="22"/>
                        </w:rPr>
                      </w:pPr>
                      <w:r>
                        <w:rPr>
                          <w:b/>
                          <w:color w:val="000000"/>
                          <w:sz w:val="22"/>
                        </w:rPr>
                        <w:t>Summary</w:t>
                      </w:r>
                      <w:r>
                        <w:rPr>
                          <w:b/>
                          <w:color w:val="000000"/>
                          <w:spacing w:val="-8"/>
                          <w:sz w:val="22"/>
                        </w:rPr>
                        <w:t> </w:t>
                      </w:r>
                      <w:r>
                        <w:rPr>
                          <w:b/>
                          <w:color w:val="000000"/>
                          <w:sz w:val="22"/>
                        </w:rPr>
                        <w:t>of</w:t>
                      </w:r>
                      <w:r>
                        <w:rPr>
                          <w:b/>
                          <w:color w:val="000000"/>
                          <w:spacing w:val="-4"/>
                          <w:sz w:val="22"/>
                        </w:rPr>
                        <w:t> </w:t>
                      </w:r>
                      <w:r>
                        <w:rPr>
                          <w:b/>
                          <w:color w:val="000000"/>
                          <w:sz w:val="22"/>
                        </w:rPr>
                        <w:t>recommendations:</w:t>
                      </w:r>
                      <w:r>
                        <w:rPr>
                          <w:b/>
                          <w:color w:val="000000"/>
                          <w:spacing w:val="-1"/>
                          <w:sz w:val="22"/>
                        </w:rPr>
                        <w:t> </w:t>
                      </w:r>
                      <w:r>
                        <w:rPr>
                          <w:b/>
                          <w:color w:val="000000"/>
                          <w:sz w:val="22"/>
                        </w:rPr>
                        <w:t>Engagement</w:t>
                      </w:r>
                      <w:r>
                        <w:rPr>
                          <w:b/>
                          <w:color w:val="000000"/>
                          <w:spacing w:val="-5"/>
                          <w:sz w:val="22"/>
                        </w:rPr>
                        <w:t> </w:t>
                      </w:r>
                      <w:r>
                        <w:rPr>
                          <w:b/>
                          <w:color w:val="000000"/>
                          <w:sz w:val="22"/>
                        </w:rPr>
                        <w:t>with</w:t>
                      </w:r>
                      <w:r>
                        <w:rPr>
                          <w:b/>
                          <w:color w:val="000000"/>
                          <w:spacing w:val="-4"/>
                          <w:sz w:val="22"/>
                        </w:rPr>
                        <w:t> </w:t>
                      </w:r>
                      <w:r>
                        <w:rPr>
                          <w:b/>
                          <w:color w:val="000000"/>
                          <w:sz w:val="22"/>
                        </w:rPr>
                        <w:t>other</w:t>
                      </w:r>
                      <w:r>
                        <w:rPr>
                          <w:b/>
                          <w:color w:val="000000"/>
                          <w:spacing w:val="-5"/>
                          <w:sz w:val="22"/>
                        </w:rPr>
                        <w:t> </w:t>
                      </w:r>
                      <w:r>
                        <w:rPr>
                          <w:b/>
                          <w:color w:val="000000"/>
                          <w:sz w:val="22"/>
                        </w:rPr>
                        <w:t>regulators</w:t>
                      </w:r>
                      <w:r>
                        <w:rPr>
                          <w:b/>
                          <w:color w:val="000000"/>
                          <w:spacing w:val="-6"/>
                          <w:sz w:val="22"/>
                        </w:rPr>
                        <w:t> </w:t>
                      </w:r>
                      <w:r>
                        <w:rPr>
                          <w:b/>
                          <w:color w:val="000000"/>
                          <w:sz w:val="22"/>
                        </w:rPr>
                        <w:t>and</w:t>
                      </w:r>
                      <w:r>
                        <w:rPr>
                          <w:b/>
                          <w:color w:val="000000"/>
                          <w:spacing w:val="-4"/>
                          <w:sz w:val="22"/>
                        </w:rPr>
                        <w:t> </w:t>
                      </w:r>
                      <w:r>
                        <w:rPr>
                          <w:b/>
                          <w:color w:val="000000"/>
                          <w:sz w:val="22"/>
                        </w:rPr>
                        <w:t>government </w:t>
                      </w:r>
                      <w:r>
                        <w:rPr>
                          <w:b/>
                          <w:color w:val="000000"/>
                          <w:spacing w:val="-2"/>
                          <w:sz w:val="22"/>
                        </w:rPr>
                        <w:t>agencies</w:t>
                      </w:r>
                    </w:p>
                    <w:p>
                      <w:pPr>
                        <w:pStyle w:val="BodyText"/>
                        <w:spacing w:before="10"/>
                        <w:rPr>
                          <w:b/>
                          <w:color w:val="000000"/>
                          <w:sz w:val="20"/>
                        </w:rPr>
                      </w:pPr>
                    </w:p>
                    <w:p>
                      <w:pPr>
                        <w:pStyle w:val="BodyText"/>
                        <w:ind w:left="112"/>
                        <w:rPr>
                          <w:color w:val="000000"/>
                        </w:rPr>
                      </w:pPr>
                      <w:r>
                        <w:rPr>
                          <w:color w:val="000000"/>
                        </w:rPr>
                        <w:t>Recommendations</w:t>
                      </w:r>
                      <w:r>
                        <w:rPr>
                          <w:color w:val="000000"/>
                          <w:spacing w:val="-6"/>
                        </w:rPr>
                        <w:t> </w:t>
                      </w:r>
                      <w:r>
                        <w:rPr>
                          <w:color w:val="000000"/>
                        </w:rPr>
                        <w:t>presented</w:t>
                      </w:r>
                      <w:r>
                        <w:rPr>
                          <w:color w:val="000000"/>
                          <w:spacing w:val="-6"/>
                        </w:rPr>
                        <w:t> </w:t>
                      </w:r>
                      <w:r>
                        <w:rPr>
                          <w:color w:val="000000"/>
                        </w:rPr>
                        <w:t>by</w:t>
                      </w:r>
                      <w:r>
                        <w:rPr>
                          <w:color w:val="000000"/>
                          <w:spacing w:val="-9"/>
                        </w:rPr>
                        <w:t> </w:t>
                      </w:r>
                      <w:r>
                        <w:rPr>
                          <w:color w:val="000000"/>
                        </w:rPr>
                        <w:t>the</w:t>
                      </w:r>
                      <w:r>
                        <w:rPr>
                          <w:color w:val="000000"/>
                          <w:spacing w:val="-8"/>
                        </w:rPr>
                        <w:t> </w:t>
                      </w:r>
                      <w:r>
                        <w:rPr>
                          <w:color w:val="000000"/>
                        </w:rPr>
                        <w:t>Review</w:t>
                      </w:r>
                      <w:r>
                        <w:rPr>
                          <w:color w:val="000000"/>
                          <w:spacing w:val="-9"/>
                        </w:rPr>
                        <w:t> </w:t>
                      </w:r>
                      <w:r>
                        <w:rPr>
                          <w:color w:val="000000"/>
                          <w:spacing w:val="-2"/>
                        </w:rPr>
                        <w:t>include:</w:t>
                      </w:r>
                    </w:p>
                    <w:p>
                      <w:pPr>
                        <w:pStyle w:val="BodyText"/>
                        <w:spacing w:before="7"/>
                        <w:rPr>
                          <w:color w:val="000000"/>
                          <w:sz w:val="26"/>
                        </w:rPr>
                      </w:pPr>
                    </w:p>
                    <w:p>
                      <w:pPr>
                        <w:pStyle w:val="BodyText"/>
                        <w:numPr>
                          <w:ilvl w:val="0"/>
                          <w:numId w:val="10"/>
                        </w:numPr>
                        <w:tabs>
                          <w:tab w:pos="500" w:val="left" w:leader="none"/>
                          <w:tab w:pos="502" w:val="left" w:leader="none"/>
                        </w:tabs>
                        <w:spacing w:line="288" w:lineRule="auto" w:before="0" w:after="0"/>
                        <w:ind w:left="502" w:right="186" w:hanging="219"/>
                        <w:jc w:val="left"/>
                        <w:rPr>
                          <w:color w:val="000000"/>
                        </w:rPr>
                      </w:pPr>
                      <w:r>
                        <w:rPr>
                          <w:color w:val="000000"/>
                        </w:rPr>
                        <w:t>ESV's memoranda of understanding with other regulators and government departments</w:t>
                      </w:r>
                      <w:r>
                        <w:rPr>
                          <w:color w:val="000000"/>
                          <w:spacing w:val="-4"/>
                        </w:rPr>
                        <w:t> </w:t>
                      </w:r>
                      <w:r>
                        <w:rPr>
                          <w:color w:val="000000"/>
                        </w:rPr>
                        <w:t>and</w:t>
                      </w:r>
                      <w:r>
                        <w:rPr>
                          <w:color w:val="000000"/>
                          <w:spacing w:val="-4"/>
                        </w:rPr>
                        <w:t> </w:t>
                      </w:r>
                      <w:r>
                        <w:rPr>
                          <w:color w:val="000000"/>
                        </w:rPr>
                        <w:t>agencies</w:t>
                      </w:r>
                      <w:r>
                        <w:rPr>
                          <w:color w:val="000000"/>
                          <w:spacing w:val="-2"/>
                        </w:rPr>
                        <w:t> </w:t>
                      </w:r>
                      <w:r>
                        <w:rPr>
                          <w:color w:val="000000"/>
                        </w:rPr>
                        <w:t>should</w:t>
                      </w:r>
                      <w:r>
                        <w:rPr>
                          <w:color w:val="000000"/>
                          <w:spacing w:val="-2"/>
                        </w:rPr>
                        <w:t> </w:t>
                      </w:r>
                      <w:r>
                        <w:rPr>
                          <w:color w:val="000000"/>
                        </w:rPr>
                        <w:t>be</w:t>
                      </w:r>
                      <w:r>
                        <w:rPr>
                          <w:color w:val="000000"/>
                          <w:spacing w:val="-4"/>
                        </w:rPr>
                        <w:t> </w:t>
                      </w:r>
                      <w:r>
                        <w:rPr>
                          <w:color w:val="000000"/>
                        </w:rPr>
                        <w:t>reviewed</w:t>
                      </w:r>
                      <w:r>
                        <w:rPr>
                          <w:color w:val="000000"/>
                          <w:spacing w:val="-2"/>
                        </w:rPr>
                        <w:t> </w:t>
                      </w:r>
                      <w:r>
                        <w:rPr>
                          <w:color w:val="000000"/>
                        </w:rPr>
                        <w:t>annually</w:t>
                      </w:r>
                      <w:r>
                        <w:rPr>
                          <w:color w:val="000000"/>
                          <w:spacing w:val="-4"/>
                        </w:rPr>
                        <w:t> </w:t>
                      </w:r>
                      <w:r>
                        <w:rPr>
                          <w:color w:val="000000"/>
                        </w:rPr>
                        <w:t>to</w:t>
                      </w:r>
                      <w:r>
                        <w:rPr>
                          <w:color w:val="000000"/>
                          <w:spacing w:val="-2"/>
                        </w:rPr>
                        <w:t> </w:t>
                      </w:r>
                      <w:r>
                        <w:rPr>
                          <w:color w:val="000000"/>
                        </w:rPr>
                        <w:t>ensure</w:t>
                      </w:r>
                      <w:r>
                        <w:rPr>
                          <w:color w:val="000000"/>
                          <w:spacing w:val="-4"/>
                        </w:rPr>
                        <w:t> </w:t>
                      </w:r>
                      <w:r>
                        <w:rPr>
                          <w:color w:val="000000"/>
                        </w:rPr>
                        <w:t>they</w:t>
                      </w:r>
                      <w:r>
                        <w:rPr>
                          <w:color w:val="000000"/>
                          <w:spacing w:val="-4"/>
                        </w:rPr>
                        <w:t> </w:t>
                      </w:r>
                      <w:r>
                        <w:rPr>
                          <w:color w:val="000000"/>
                        </w:rPr>
                        <w:t>remain</w:t>
                      </w:r>
                      <w:r>
                        <w:rPr>
                          <w:color w:val="000000"/>
                          <w:spacing w:val="-2"/>
                        </w:rPr>
                        <w:t> </w:t>
                      </w:r>
                      <w:r>
                        <w:rPr>
                          <w:color w:val="000000"/>
                        </w:rPr>
                        <w:t>current and fit-for-purpose (Recommendation 16);</w:t>
                      </w:r>
                    </w:p>
                    <w:p>
                      <w:pPr>
                        <w:pStyle w:val="BodyText"/>
                        <w:spacing w:before="2"/>
                        <w:rPr>
                          <w:color w:val="000000"/>
                        </w:rPr>
                      </w:pPr>
                    </w:p>
                    <w:p>
                      <w:pPr>
                        <w:numPr>
                          <w:ilvl w:val="0"/>
                          <w:numId w:val="10"/>
                        </w:numPr>
                        <w:tabs>
                          <w:tab w:pos="500" w:val="left" w:leader="none"/>
                          <w:tab w:pos="502" w:val="left" w:leader="none"/>
                        </w:tabs>
                        <w:spacing w:line="288" w:lineRule="auto" w:before="1"/>
                        <w:ind w:left="502" w:right="201" w:hanging="219"/>
                        <w:jc w:val="left"/>
                        <w:rPr>
                          <w:color w:val="000000"/>
                          <w:sz w:val="22"/>
                        </w:rPr>
                      </w:pPr>
                      <w:r>
                        <w:rPr>
                          <w:color w:val="000000"/>
                          <w:sz w:val="22"/>
                        </w:rPr>
                        <w:t>the ESC should complete its review of the voltage variation standards under the </w:t>
                      </w:r>
                      <w:r>
                        <w:rPr>
                          <w:i/>
                          <w:color w:val="000000"/>
                          <w:sz w:val="22"/>
                        </w:rPr>
                        <w:t>Electricity Distribution Code </w:t>
                      </w:r>
                      <w:r>
                        <w:rPr>
                          <w:color w:val="000000"/>
                          <w:sz w:val="22"/>
                        </w:rPr>
                        <w:t>as soon as practicable. A broader review by the ESC of the </w:t>
                      </w:r>
                      <w:r>
                        <w:rPr>
                          <w:i/>
                          <w:color w:val="000000"/>
                          <w:sz w:val="22"/>
                        </w:rPr>
                        <w:t>Electricity Distribution Code </w:t>
                      </w:r>
                      <w:r>
                        <w:rPr>
                          <w:color w:val="000000"/>
                          <w:sz w:val="22"/>
                        </w:rPr>
                        <w:t>and the </w:t>
                      </w:r>
                      <w:r>
                        <w:rPr>
                          <w:i/>
                          <w:color w:val="000000"/>
                          <w:sz w:val="22"/>
                        </w:rPr>
                        <w:t>Gas Distribution Code </w:t>
                      </w:r>
                      <w:r>
                        <w:rPr>
                          <w:color w:val="000000"/>
                          <w:sz w:val="22"/>
                        </w:rPr>
                        <w:t>should consider the role</w:t>
                      </w:r>
                      <w:r>
                        <w:rPr>
                          <w:color w:val="000000"/>
                          <w:spacing w:val="-3"/>
                          <w:sz w:val="22"/>
                        </w:rPr>
                        <w:t> </w:t>
                      </w:r>
                      <w:r>
                        <w:rPr>
                          <w:color w:val="000000"/>
                          <w:sz w:val="22"/>
                        </w:rPr>
                        <w:t>of</w:t>
                      </w:r>
                      <w:r>
                        <w:rPr>
                          <w:color w:val="000000"/>
                          <w:spacing w:val="-1"/>
                          <w:sz w:val="22"/>
                        </w:rPr>
                        <w:t> </w:t>
                      </w:r>
                      <w:r>
                        <w:rPr>
                          <w:color w:val="000000"/>
                          <w:sz w:val="22"/>
                        </w:rPr>
                        <w:t>ESV</w:t>
                      </w:r>
                      <w:r>
                        <w:rPr>
                          <w:color w:val="000000"/>
                          <w:spacing w:val="-3"/>
                          <w:sz w:val="22"/>
                        </w:rPr>
                        <w:t> </w:t>
                      </w:r>
                      <w:r>
                        <w:rPr>
                          <w:color w:val="000000"/>
                          <w:sz w:val="22"/>
                        </w:rPr>
                        <w:t>in</w:t>
                      </w:r>
                      <w:r>
                        <w:rPr>
                          <w:color w:val="000000"/>
                          <w:spacing w:val="-3"/>
                          <w:sz w:val="22"/>
                        </w:rPr>
                        <w:t> </w:t>
                      </w:r>
                      <w:r>
                        <w:rPr>
                          <w:color w:val="000000"/>
                          <w:sz w:val="22"/>
                        </w:rPr>
                        <w:t>promoting</w:t>
                      </w:r>
                      <w:r>
                        <w:rPr>
                          <w:color w:val="000000"/>
                          <w:spacing w:val="-5"/>
                          <w:sz w:val="22"/>
                        </w:rPr>
                        <w:t> </w:t>
                      </w:r>
                      <w:r>
                        <w:rPr>
                          <w:color w:val="000000"/>
                          <w:sz w:val="22"/>
                        </w:rPr>
                        <w:t>and</w:t>
                      </w:r>
                      <w:r>
                        <w:rPr>
                          <w:color w:val="000000"/>
                          <w:spacing w:val="-3"/>
                          <w:sz w:val="22"/>
                        </w:rPr>
                        <w:t> </w:t>
                      </w:r>
                      <w:r>
                        <w:rPr>
                          <w:color w:val="000000"/>
                          <w:sz w:val="22"/>
                        </w:rPr>
                        <w:t>enforcing</w:t>
                      </w:r>
                      <w:r>
                        <w:rPr>
                          <w:color w:val="000000"/>
                          <w:spacing w:val="-3"/>
                          <w:sz w:val="22"/>
                        </w:rPr>
                        <w:t> </w:t>
                      </w:r>
                      <w:r>
                        <w:rPr>
                          <w:color w:val="000000"/>
                          <w:sz w:val="22"/>
                        </w:rPr>
                        <w:t>compliance</w:t>
                      </w:r>
                      <w:r>
                        <w:rPr>
                          <w:color w:val="000000"/>
                          <w:spacing w:val="-3"/>
                          <w:sz w:val="22"/>
                        </w:rPr>
                        <w:t> </w:t>
                      </w:r>
                      <w:r>
                        <w:rPr>
                          <w:color w:val="000000"/>
                          <w:sz w:val="22"/>
                        </w:rPr>
                        <w:t>with</w:t>
                      </w:r>
                      <w:r>
                        <w:rPr>
                          <w:color w:val="000000"/>
                          <w:spacing w:val="-3"/>
                          <w:sz w:val="22"/>
                        </w:rPr>
                        <w:t> </w:t>
                      </w:r>
                      <w:r>
                        <w:rPr>
                          <w:color w:val="000000"/>
                          <w:sz w:val="22"/>
                        </w:rPr>
                        <w:t>technical</w:t>
                      </w:r>
                      <w:r>
                        <w:rPr>
                          <w:color w:val="000000"/>
                          <w:spacing w:val="-4"/>
                          <w:sz w:val="22"/>
                        </w:rPr>
                        <w:t> </w:t>
                      </w:r>
                      <w:r>
                        <w:rPr>
                          <w:color w:val="000000"/>
                          <w:sz w:val="22"/>
                        </w:rPr>
                        <w:t>standards</w:t>
                      </w:r>
                      <w:r>
                        <w:rPr>
                          <w:color w:val="000000"/>
                          <w:spacing w:val="-2"/>
                          <w:sz w:val="22"/>
                        </w:rPr>
                        <w:t> </w:t>
                      </w:r>
                      <w:r>
                        <w:rPr>
                          <w:color w:val="000000"/>
                          <w:sz w:val="22"/>
                        </w:rPr>
                        <w:t>under</w:t>
                      </w:r>
                      <w:r>
                        <w:rPr>
                          <w:color w:val="000000"/>
                          <w:spacing w:val="-4"/>
                          <w:sz w:val="22"/>
                        </w:rPr>
                        <w:t> </w:t>
                      </w:r>
                      <w:r>
                        <w:rPr>
                          <w:color w:val="000000"/>
                          <w:sz w:val="22"/>
                        </w:rPr>
                        <w:t>the codes (Recommendation 18);</w:t>
                      </w:r>
                    </w:p>
                    <w:p>
                      <w:pPr>
                        <w:pStyle w:val="BodyText"/>
                        <w:rPr>
                          <w:color w:val="000000"/>
                        </w:rPr>
                      </w:pPr>
                    </w:p>
                    <w:p>
                      <w:pPr>
                        <w:pStyle w:val="BodyText"/>
                        <w:numPr>
                          <w:ilvl w:val="0"/>
                          <w:numId w:val="10"/>
                        </w:numPr>
                        <w:tabs>
                          <w:tab w:pos="500" w:val="left" w:leader="none"/>
                          <w:tab w:pos="502" w:val="left" w:leader="none"/>
                        </w:tabs>
                        <w:spacing w:line="288" w:lineRule="auto" w:before="1" w:after="0"/>
                        <w:ind w:left="502" w:right="669" w:hanging="219"/>
                        <w:jc w:val="left"/>
                        <w:rPr>
                          <w:color w:val="000000"/>
                        </w:rPr>
                      </w:pPr>
                      <w:r>
                        <w:rPr>
                          <w:color w:val="000000"/>
                        </w:rPr>
                        <w:t>ESV</w:t>
                      </w:r>
                      <w:r>
                        <w:rPr>
                          <w:color w:val="000000"/>
                          <w:spacing w:val="-3"/>
                        </w:rPr>
                        <w:t> </w:t>
                      </w:r>
                      <w:r>
                        <w:rPr>
                          <w:color w:val="000000"/>
                        </w:rPr>
                        <w:t>and</w:t>
                      </w:r>
                      <w:r>
                        <w:rPr>
                          <w:color w:val="000000"/>
                          <w:spacing w:val="-3"/>
                        </w:rPr>
                        <w:t> </w:t>
                      </w:r>
                      <w:r>
                        <w:rPr>
                          <w:color w:val="000000"/>
                        </w:rPr>
                        <w:t>DELWP</w:t>
                      </w:r>
                      <w:r>
                        <w:rPr>
                          <w:color w:val="000000"/>
                          <w:spacing w:val="-5"/>
                        </w:rPr>
                        <w:t> </w:t>
                      </w:r>
                      <w:r>
                        <w:rPr>
                          <w:color w:val="000000"/>
                        </w:rPr>
                        <w:t>should</w:t>
                      </w:r>
                      <w:r>
                        <w:rPr>
                          <w:color w:val="000000"/>
                          <w:spacing w:val="-5"/>
                        </w:rPr>
                        <w:t> </w:t>
                      </w:r>
                      <w:r>
                        <w:rPr>
                          <w:color w:val="000000"/>
                        </w:rPr>
                        <w:t>jointly</w:t>
                      </w:r>
                      <w:r>
                        <w:rPr>
                          <w:color w:val="000000"/>
                          <w:spacing w:val="-5"/>
                        </w:rPr>
                        <w:t> </w:t>
                      </w:r>
                      <w:r>
                        <w:rPr>
                          <w:color w:val="000000"/>
                        </w:rPr>
                        <w:t>develop</w:t>
                      </w:r>
                      <w:r>
                        <w:rPr>
                          <w:color w:val="000000"/>
                          <w:spacing w:val="-3"/>
                        </w:rPr>
                        <w:t> </w:t>
                      </w:r>
                      <w:r>
                        <w:rPr>
                          <w:color w:val="000000"/>
                        </w:rPr>
                        <w:t>an</w:t>
                      </w:r>
                      <w:r>
                        <w:rPr>
                          <w:color w:val="000000"/>
                          <w:spacing w:val="-3"/>
                        </w:rPr>
                        <w:t> </w:t>
                      </w:r>
                      <w:r>
                        <w:rPr>
                          <w:color w:val="000000"/>
                        </w:rPr>
                        <w:t>MOU</w:t>
                      </w:r>
                      <w:r>
                        <w:rPr>
                          <w:color w:val="000000"/>
                          <w:spacing w:val="-3"/>
                        </w:rPr>
                        <w:t> </w:t>
                      </w:r>
                      <w:r>
                        <w:rPr>
                          <w:color w:val="000000"/>
                        </w:rPr>
                        <w:t>to</w:t>
                      </w:r>
                      <w:r>
                        <w:rPr>
                          <w:color w:val="000000"/>
                          <w:spacing w:val="-3"/>
                        </w:rPr>
                        <w:t> </w:t>
                      </w:r>
                      <w:r>
                        <w:rPr>
                          <w:color w:val="000000"/>
                        </w:rPr>
                        <w:t>help</w:t>
                      </w:r>
                      <w:r>
                        <w:rPr>
                          <w:color w:val="000000"/>
                          <w:spacing w:val="-5"/>
                        </w:rPr>
                        <w:t> </w:t>
                      </w:r>
                      <w:r>
                        <w:rPr>
                          <w:color w:val="000000"/>
                        </w:rPr>
                        <w:t>manage</w:t>
                      </w:r>
                      <w:r>
                        <w:rPr>
                          <w:color w:val="000000"/>
                          <w:spacing w:val="-5"/>
                        </w:rPr>
                        <w:t> </w:t>
                      </w:r>
                      <w:r>
                        <w:rPr>
                          <w:color w:val="000000"/>
                        </w:rPr>
                        <w:t>their</w:t>
                      </w:r>
                      <w:r>
                        <w:rPr>
                          <w:color w:val="000000"/>
                          <w:spacing w:val="-4"/>
                        </w:rPr>
                        <w:t> </w:t>
                      </w:r>
                      <w:r>
                        <w:rPr>
                          <w:color w:val="000000"/>
                        </w:rPr>
                        <w:t>respective responsibilities, with:</w:t>
                      </w:r>
                    </w:p>
                    <w:p>
                      <w:pPr>
                        <w:pStyle w:val="BodyText"/>
                        <w:spacing w:before="7"/>
                        <w:rPr>
                          <w:color w:val="000000"/>
                          <w:sz w:val="20"/>
                        </w:rPr>
                      </w:pPr>
                    </w:p>
                    <w:p>
                      <w:pPr>
                        <w:pStyle w:val="BodyText"/>
                        <w:ind w:left="463"/>
                        <w:rPr>
                          <w:color w:val="000000"/>
                        </w:rPr>
                      </w:pPr>
                      <w:r>
                        <w:rPr>
                          <w:color w:val="000000"/>
                        </w:rPr>
                        <w:t>–</w:t>
                      </w:r>
                      <w:r>
                        <w:rPr>
                          <w:color w:val="000000"/>
                          <w:spacing w:val="21"/>
                        </w:rPr>
                        <w:t> </w:t>
                      </w:r>
                      <w:r>
                        <w:rPr>
                          <w:color w:val="000000"/>
                        </w:rPr>
                        <w:t>the</w:t>
                      </w:r>
                      <w:r>
                        <w:rPr>
                          <w:color w:val="000000"/>
                          <w:spacing w:val="-6"/>
                        </w:rPr>
                        <w:t> </w:t>
                      </w:r>
                      <w:r>
                        <w:rPr>
                          <w:color w:val="000000"/>
                        </w:rPr>
                        <w:t>MOU</w:t>
                      </w:r>
                      <w:r>
                        <w:rPr>
                          <w:color w:val="000000"/>
                          <w:spacing w:val="-5"/>
                        </w:rPr>
                        <w:t> </w:t>
                      </w:r>
                      <w:r>
                        <w:rPr>
                          <w:color w:val="000000"/>
                        </w:rPr>
                        <w:t>recognising</w:t>
                      </w:r>
                      <w:r>
                        <w:rPr>
                          <w:color w:val="000000"/>
                          <w:spacing w:val="-3"/>
                        </w:rPr>
                        <w:t> </w:t>
                      </w:r>
                      <w:r>
                        <w:rPr>
                          <w:color w:val="000000"/>
                        </w:rPr>
                        <w:t>DELWP's</w:t>
                      </w:r>
                      <w:r>
                        <w:rPr>
                          <w:color w:val="000000"/>
                          <w:spacing w:val="-7"/>
                        </w:rPr>
                        <w:t> </w:t>
                      </w:r>
                      <w:r>
                        <w:rPr>
                          <w:color w:val="000000"/>
                        </w:rPr>
                        <w:t>role</w:t>
                      </w:r>
                      <w:r>
                        <w:rPr>
                          <w:color w:val="000000"/>
                          <w:spacing w:val="-5"/>
                        </w:rPr>
                        <w:t> </w:t>
                      </w:r>
                      <w:r>
                        <w:rPr>
                          <w:color w:val="000000"/>
                        </w:rPr>
                        <w:t>in</w:t>
                      </w:r>
                      <w:r>
                        <w:rPr>
                          <w:color w:val="000000"/>
                          <w:spacing w:val="-6"/>
                        </w:rPr>
                        <w:t> </w:t>
                      </w:r>
                      <w:r>
                        <w:rPr>
                          <w:color w:val="000000"/>
                        </w:rPr>
                        <w:t>planning</w:t>
                      </w:r>
                      <w:r>
                        <w:rPr>
                          <w:color w:val="000000"/>
                          <w:spacing w:val="-3"/>
                        </w:rPr>
                        <w:t> </w:t>
                      </w:r>
                      <w:r>
                        <w:rPr>
                          <w:color w:val="000000"/>
                        </w:rPr>
                        <w:t>and</w:t>
                      </w:r>
                      <w:r>
                        <w:rPr>
                          <w:color w:val="000000"/>
                          <w:spacing w:val="-5"/>
                        </w:rPr>
                        <w:t> </w:t>
                      </w:r>
                      <w:r>
                        <w:rPr>
                          <w:color w:val="000000"/>
                        </w:rPr>
                        <w:t>environmental</w:t>
                      </w:r>
                      <w:r>
                        <w:rPr>
                          <w:color w:val="000000"/>
                          <w:spacing w:val="-8"/>
                        </w:rPr>
                        <w:t> </w:t>
                      </w:r>
                      <w:r>
                        <w:rPr>
                          <w:color w:val="000000"/>
                        </w:rPr>
                        <w:t>matters</w:t>
                      </w:r>
                      <w:r>
                        <w:rPr>
                          <w:color w:val="000000"/>
                          <w:spacing w:val="-4"/>
                        </w:rPr>
                        <w:t> </w:t>
                      </w:r>
                      <w:r>
                        <w:rPr>
                          <w:color w:val="000000"/>
                        </w:rPr>
                        <w:t>and</w:t>
                      </w:r>
                      <w:r>
                        <w:rPr>
                          <w:color w:val="000000"/>
                          <w:spacing w:val="-5"/>
                        </w:rPr>
                        <w:t> as</w:t>
                      </w:r>
                    </w:p>
                  </w:txbxContent>
                </v:textbox>
                <v:fill type="solid"/>
                <w10:wrap type="topAndBottom"/>
              </v:shape>
            </w:pict>
          </mc:Fallback>
        </mc:AlternateContent>
      </w:r>
    </w:p>
    <w:p>
      <w:pPr>
        <w:spacing w:after="0"/>
        <w:rPr>
          <w:sz w:val="18"/>
        </w:rPr>
        <w:sectPr>
          <w:pgSz w:w="11910" w:h="16850"/>
          <w:pgMar w:header="465" w:footer="880" w:top="660" w:bottom="1060" w:left="840" w:right="820"/>
        </w:sectPr>
      </w:pPr>
    </w:p>
    <w:p>
      <w:pPr>
        <w:pStyle w:val="BodyText"/>
        <w:rPr>
          <w:sz w:val="20"/>
        </w:rPr>
      </w:pPr>
    </w:p>
    <w:p>
      <w:pPr>
        <w:pStyle w:val="BodyText"/>
        <w:rPr>
          <w:sz w:val="20"/>
        </w:rPr>
      </w:pPr>
    </w:p>
    <w:p>
      <w:pPr>
        <w:pStyle w:val="BodyText"/>
        <w:spacing w:before="4"/>
      </w:pPr>
    </w:p>
    <w:p>
      <w:pPr>
        <w:pStyle w:val="BodyText"/>
        <w:ind w:left="292"/>
        <w:rPr>
          <w:sz w:val="20"/>
        </w:rPr>
      </w:pPr>
      <w:r>
        <w:rPr>
          <w:sz w:val="20"/>
        </w:rPr>
        <mc:AlternateContent>
          <mc:Choice Requires="wps">
            <w:drawing>
              <wp:inline distT="0" distB="0" distL="0" distR="0">
                <wp:extent cx="5753100" cy="1815464"/>
                <wp:effectExtent l="0" t="0" r="0" b="0"/>
                <wp:docPr id="9" name="Textbox 9"/>
                <wp:cNvGraphicFramePr>
                  <a:graphicFrameLocks/>
                </wp:cNvGraphicFramePr>
                <a:graphic>
                  <a:graphicData uri="http://schemas.microsoft.com/office/word/2010/wordprocessingShape">
                    <wps:wsp>
                      <wps:cNvPr id="9" name="Textbox 9"/>
                      <wps:cNvSpPr txBox="1"/>
                      <wps:spPr>
                        <a:xfrm>
                          <a:off x="0" y="0"/>
                          <a:ext cx="5753100" cy="1815464"/>
                        </a:xfrm>
                        <a:prstGeom prst="rect">
                          <a:avLst/>
                        </a:prstGeom>
                        <a:solidFill>
                          <a:srgbClr val="D9D9D9"/>
                        </a:solidFill>
                      </wps:spPr>
                      <wps:txbx>
                        <w:txbxContent>
                          <w:p>
                            <w:pPr>
                              <w:pStyle w:val="BodyText"/>
                              <w:ind w:left="679"/>
                              <w:rPr>
                                <w:color w:val="000000"/>
                              </w:rPr>
                            </w:pPr>
                            <w:r>
                              <w:rPr>
                                <w:color w:val="000000"/>
                              </w:rPr>
                              <w:t>the</w:t>
                            </w:r>
                            <w:r>
                              <w:rPr>
                                <w:color w:val="000000"/>
                                <w:spacing w:val="-5"/>
                              </w:rPr>
                              <w:t> </w:t>
                            </w:r>
                            <w:r>
                              <w:rPr>
                                <w:color w:val="000000"/>
                              </w:rPr>
                              <w:t>principal</w:t>
                            </w:r>
                            <w:r>
                              <w:rPr>
                                <w:color w:val="000000"/>
                                <w:spacing w:val="-4"/>
                              </w:rPr>
                              <w:t> </w:t>
                            </w:r>
                            <w:r>
                              <w:rPr>
                                <w:color w:val="000000"/>
                              </w:rPr>
                              <w:t>source</w:t>
                            </w:r>
                            <w:r>
                              <w:rPr>
                                <w:color w:val="000000"/>
                                <w:spacing w:val="-6"/>
                              </w:rPr>
                              <w:t> </w:t>
                            </w:r>
                            <w:r>
                              <w:rPr>
                                <w:color w:val="000000"/>
                              </w:rPr>
                              <w:t>of</w:t>
                            </w:r>
                            <w:r>
                              <w:rPr>
                                <w:color w:val="000000"/>
                                <w:spacing w:val="-3"/>
                              </w:rPr>
                              <w:t> </w:t>
                            </w:r>
                            <w:r>
                              <w:rPr>
                                <w:color w:val="000000"/>
                              </w:rPr>
                              <w:t>policy</w:t>
                            </w:r>
                            <w:r>
                              <w:rPr>
                                <w:color w:val="000000"/>
                                <w:spacing w:val="-6"/>
                              </w:rPr>
                              <w:t> </w:t>
                            </w:r>
                            <w:r>
                              <w:rPr>
                                <w:color w:val="000000"/>
                              </w:rPr>
                              <w:t>advice</w:t>
                            </w:r>
                            <w:r>
                              <w:rPr>
                                <w:color w:val="000000"/>
                                <w:spacing w:val="-4"/>
                              </w:rPr>
                              <w:t> </w:t>
                            </w:r>
                            <w:r>
                              <w:rPr>
                                <w:color w:val="000000"/>
                              </w:rPr>
                              <w:t>to</w:t>
                            </w:r>
                            <w:r>
                              <w:rPr>
                                <w:color w:val="000000"/>
                                <w:spacing w:val="-4"/>
                              </w:rPr>
                              <w:t> </w:t>
                            </w:r>
                            <w:r>
                              <w:rPr>
                                <w:color w:val="000000"/>
                              </w:rPr>
                              <w:t>the</w:t>
                            </w:r>
                            <w:r>
                              <w:rPr>
                                <w:color w:val="000000"/>
                                <w:spacing w:val="-6"/>
                              </w:rPr>
                              <w:t> </w:t>
                            </w:r>
                            <w:r>
                              <w:rPr>
                                <w:color w:val="000000"/>
                              </w:rPr>
                              <w:t>Minister;</w:t>
                            </w:r>
                            <w:r>
                              <w:rPr>
                                <w:color w:val="000000"/>
                                <w:spacing w:val="-4"/>
                              </w:rPr>
                              <w:t> </w:t>
                            </w:r>
                            <w:r>
                              <w:rPr>
                                <w:color w:val="000000"/>
                                <w:spacing w:val="-5"/>
                              </w:rPr>
                              <w:t>and</w:t>
                            </w:r>
                          </w:p>
                          <w:p>
                            <w:pPr>
                              <w:pStyle w:val="BodyText"/>
                              <w:spacing w:before="2"/>
                              <w:rPr>
                                <w:color w:val="000000"/>
                                <w:sz w:val="25"/>
                              </w:rPr>
                            </w:pPr>
                          </w:p>
                          <w:p>
                            <w:pPr>
                              <w:pStyle w:val="BodyText"/>
                              <w:spacing w:line="288" w:lineRule="auto"/>
                              <w:ind w:left="679" w:hanging="216"/>
                              <w:rPr>
                                <w:color w:val="000000"/>
                              </w:rPr>
                            </w:pPr>
                            <w:r>
                              <w:rPr>
                                <w:color w:val="000000"/>
                              </w:rPr>
                              <w:t>–</w:t>
                            </w:r>
                            <w:r>
                              <w:rPr>
                                <w:color w:val="000000"/>
                                <w:spacing w:val="27"/>
                              </w:rPr>
                              <w:t> </w:t>
                            </w:r>
                            <w:r>
                              <w:rPr>
                                <w:color w:val="000000"/>
                              </w:rPr>
                              <w:t>with</w:t>
                            </w:r>
                            <w:r>
                              <w:rPr>
                                <w:color w:val="000000"/>
                                <w:spacing w:val="-3"/>
                              </w:rPr>
                              <w:t> </w:t>
                            </w:r>
                            <w:r>
                              <w:rPr>
                                <w:color w:val="000000"/>
                              </w:rPr>
                              <w:t>the</w:t>
                            </w:r>
                            <w:r>
                              <w:rPr>
                                <w:color w:val="000000"/>
                                <w:spacing w:val="-5"/>
                              </w:rPr>
                              <w:t> </w:t>
                            </w:r>
                            <w:r>
                              <w:rPr>
                                <w:color w:val="000000"/>
                              </w:rPr>
                              <w:t>MOU</w:t>
                            </w:r>
                            <w:r>
                              <w:rPr>
                                <w:color w:val="000000"/>
                                <w:spacing w:val="-3"/>
                              </w:rPr>
                              <w:t> </w:t>
                            </w:r>
                            <w:r>
                              <w:rPr>
                                <w:color w:val="000000"/>
                              </w:rPr>
                              <w:t>recognising</w:t>
                            </w:r>
                            <w:r>
                              <w:rPr>
                                <w:color w:val="000000"/>
                                <w:spacing w:val="-3"/>
                              </w:rPr>
                              <w:t> </w:t>
                            </w:r>
                            <w:r>
                              <w:rPr>
                                <w:color w:val="000000"/>
                              </w:rPr>
                              <w:t>and</w:t>
                            </w:r>
                            <w:r>
                              <w:rPr>
                                <w:color w:val="000000"/>
                                <w:spacing w:val="-5"/>
                              </w:rPr>
                              <w:t> </w:t>
                            </w:r>
                            <w:r>
                              <w:rPr>
                                <w:color w:val="000000"/>
                              </w:rPr>
                              <w:t>facilitating</w:t>
                            </w:r>
                            <w:r>
                              <w:rPr>
                                <w:color w:val="000000"/>
                                <w:spacing w:val="-3"/>
                              </w:rPr>
                              <w:t> </w:t>
                            </w:r>
                            <w:r>
                              <w:rPr>
                                <w:color w:val="000000"/>
                              </w:rPr>
                              <w:t>ESV's</w:t>
                            </w:r>
                            <w:r>
                              <w:rPr>
                                <w:color w:val="000000"/>
                                <w:spacing w:val="-5"/>
                              </w:rPr>
                              <w:t> </w:t>
                            </w:r>
                            <w:r>
                              <w:rPr>
                                <w:color w:val="000000"/>
                              </w:rPr>
                              <w:t>independence</w:t>
                            </w:r>
                            <w:r>
                              <w:rPr>
                                <w:color w:val="000000"/>
                                <w:spacing w:val="-3"/>
                              </w:rPr>
                              <w:t> </w:t>
                            </w:r>
                            <w:r>
                              <w:rPr>
                                <w:color w:val="000000"/>
                              </w:rPr>
                              <w:t>in</w:t>
                            </w:r>
                            <w:r>
                              <w:rPr>
                                <w:color w:val="000000"/>
                                <w:spacing w:val="-3"/>
                              </w:rPr>
                              <w:t> </w:t>
                            </w:r>
                            <w:r>
                              <w:rPr>
                                <w:color w:val="000000"/>
                              </w:rPr>
                              <w:t>regulatory</w:t>
                            </w:r>
                            <w:r>
                              <w:rPr>
                                <w:color w:val="000000"/>
                                <w:spacing w:val="-5"/>
                              </w:rPr>
                              <w:t> </w:t>
                            </w:r>
                            <w:r>
                              <w:rPr>
                                <w:color w:val="000000"/>
                              </w:rPr>
                              <w:t>decision making. (Recommendation 17)</w:t>
                            </w:r>
                          </w:p>
                          <w:p>
                            <w:pPr>
                              <w:pStyle w:val="BodyText"/>
                              <w:spacing w:before="4"/>
                              <w:rPr>
                                <w:color w:val="000000"/>
                              </w:rPr>
                            </w:pPr>
                          </w:p>
                          <w:p>
                            <w:pPr>
                              <w:numPr>
                                <w:ilvl w:val="0"/>
                                <w:numId w:val="11"/>
                              </w:numPr>
                              <w:tabs>
                                <w:tab w:pos="500" w:val="left" w:leader="none"/>
                                <w:tab w:pos="502" w:val="left" w:leader="none"/>
                              </w:tabs>
                              <w:spacing w:line="288" w:lineRule="auto" w:before="0"/>
                              <w:ind w:left="502" w:right="358" w:hanging="219"/>
                              <w:jc w:val="left"/>
                              <w:rPr>
                                <w:color w:val="000000"/>
                                <w:sz w:val="22"/>
                              </w:rPr>
                            </w:pPr>
                            <w:r>
                              <w:rPr>
                                <w:color w:val="000000"/>
                                <w:sz w:val="22"/>
                              </w:rPr>
                              <w:t>the</w:t>
                            </w:r>
                            <w:r>
                              <w:rPr>
                                <w:color w:val="000000"/>
                                <w:spacing w:val="-4"/>
                                <w:sz w:val="22"/>
                              </w:rPr>
                              <w:t> </w:t>
                            </w:r>
                            <w:r>
                              <w:rPr>
                                <w:i/>
                                <w:color w:val="000000"/>
                                <w:sz w:val="22"/>
                              </w:rPr>
                              <w:t>Electricity</w:t>
                            </w:r>
                            <w:r>
                              <w:rPr>
                                <w:i/>
                                <w:color w:val="000000"/>
                                <w:spacing w:val="-3"/>
                                <w:sz w:val="22"/>
                              </w:rPr>
                              <w:t> </w:t>
                            </w:r>
                            <w:r>
                              <w:rPr>
                                <w:i/>
                                <w:color w:val="000000"/>
                                <w:sz w:val="22"/>
                              </w:rPr>
                              <w:t>Hazards</w:t>
                            </w:r>
                            <w:r>
                              <w:rPr>
                                <w:i/>
                                <w:color w:val="000000"/>
                                <w:spacing w:val="-3"/>
                                <w:sz w:val="22"/>
                              </w:rPr>
                              <w:t> </w:t>
                            </w:r>
                            <w:r>
                              <w:rPr>
                                <w:i/>
                                <w:color w:val="000000"/>
                                <w:sz w:val="22"/>
                              </w:rPr>
                              <w:t>&amp;</w:t>
                            </w:r>
                            <w:r>
                              <w:rPr>
                                <w:i/>
                                <w:color w:val="000000"/>
                                <w:spacing w:val="-3"/>
                                <w:sz w:val="22"/>
                              </w:rPr>
                              <w:t> </w:t>
                            </w:r>
                            <w:r>
                              <w:rPr>
                                <w:i/>
                                <w:color w:val="000000"/>
                                <w:sz w:val="22"/>
                              </w:rPr>
                              <w:t>Safety</w:t>
                            </w:r>
                            <w:r>
                              <w:rPr>
                                <w:i/>
                                <w:color w:val="000000"/>
                                <w:spacing w:val="-3"/>
                                <w:sz w:val="22"/>
                              </w:rPr>
                              <w:t> </w:t>
                            </w:r>
                            <w:r>
                              <w:rPr>
                                <w:i/>
                                <w:color w:val="000000"/>
                                <w:sz w:val="22"/>
                              </w:rPr>
                              <w:t>Handbook</w:t>
                            </w:r>
                            <w:r>
                              <w:rPr>
                                <w:i/>
                                <w:color w:val="000000"/>
                                <w:spacing w:val="-6"/>
                                <w:sz w:val="22"/>
                              </w:rPr>
                              <w:t> </w:t>
                            </w:r>
                            <w:r>
                              <w:rPr>
                                <w:i/>
                                <w:color w:val="000000"/>
                                <w:sz w:val="22"/>
                              </w:rPr>
                              <w:t>for</w:t>
                            </w:r>
                            <w:r>
                              <w:rPr>
                                <w:i/>
                                <w:color w:val="000000"/>
                                <w:spacing w:val="-3"/>
                                <w:sz w:val="22"/>
                              </w:rPr>
                              <w:t> </w:t>
                            </w:r>
                            <w:r>
                              <w:rPr>
                                <w:i/>
                                <w:color w:val="000000"/>
                                <w:sz w:val="22"/>
                              </w:rPr>
                              <w:t>Emergency</w:t>
                            </w:r>
                            <w:r>
                              <w:rPr>
                                <w:i/>
                                <w:color w:val="000000"/>
                                <w:spacing w:val="-6"/>
                                <w:sz w:val="22"/>
                              </w:rPr>
                              <w:t> </w:t>
                            </w:r>
                            <w:r>
                              <w:rPr>
                                <w:i/>
                                <w:color w:val="000000"/>
                                <w:sz w:val="22"/>
                              </w:rPr>
                              <w:t>Service</w:t>
                            </w:r>
                            <w:r>
                              <w:rPr>
                                <w:i/>
                                <w:color w:val="000000"/>
                                <w:spacing w:val="-2"/>
                                <w:sz w:val="22"/>
                              </w:rPr>
                              <w:t> </w:t>
                            </w:r>
                            <w:r>
                              <w:rPr>
                                <w:i/>
                                <w:color w:val="000000"/>
                                <w:sz w:val="22"/>
                              </w:rPr>
                              <w:t>Personnel</w:t>
                            </w:r>
                            <w:r>
                              <w:rPr>
                                <w:i/>
                                <w:color w:val="000000"/>
                                <w:spacing w:val="-5"/>
                                <w:sz w:val="22"/>
                              </w:rPr>
                              <w:t> </w:t>
                            </w:r>
                            <w:r>
                              <w:rPr>
                                <w:color w:val="000000"/>
                                <w:sz w:val="22"/>
                              </w:rPr>
                              <w:t>should be updated and a new Gas Hazards and Safety Handbook should be prepared for emergency services. Formal MOUs should be developed by ESV with each of the relevant emergency services agencies (Recommendation 19).</w:t>
                            </w:r>
                          </w:p>
                        </w:txbxContent>
                      </wps:txbx>
                      <wps:bodyPr wrap="square" lIns="0" tIns="0" rIns="0" bIns="0" rtlCol="0">
                        <a:noAutofit/>
                      </wps:bodyPr>
                    </wps:wsp>
                  </a:graphicData>
                </a:graphic>
              </wp:inline>
            </w:drawing>
          </mc:Choice>
          <mc:Fallback>
            <w:pict>
              <v:shape style="width:453pt;height:142.950pt;mso-position-horizontal-relative:char;mso-position-vertical-relative:line" type="#_x0000_t202" id="docshape8" filled="true" fillcolor="#d9d9d9" stroked="false">
                <w10:anchorlock/>
                <v:textbox inset="0,0,0,0">
                  <w:txbxContent>
                    <w:p>
                      <w:pPr>
                        <w:pStyle w:val="BodyText"/>
                        <w:ind w:left="679"/>
                        <w:rPr>
                          <w:color w:val="000000"/>
                        </w:rPr>
                      </w:pPr>
                      <w:r>
                        <w:rPr>
                          <w:color w:val="000000"/>
                        </w:rPr>
                        <w:t>the</w:t>
                      </w:r>
                      <w:r>
                        <w:rPr>
                          <w:color w:val="000000"/>
                          <w:spacing w:val="-5"/>
                        </w:rPr>
                        <w:t> </w:t>
                      </w:r>
                      <w:r>
                        <w:rPr>
                          <w:color w:val="000000"/>
                        </w:rPr>
                        <w:t>principal</w:t>
                      </w:r>
                      <w:r>
                        <w:rPr>
                          <w:color w:val="000000"/>
                          <w:spacing w:val="-4"/>
                        </w:rPr>
                        <w:t> </w:t>
                      </w:r>
                      <w:r>
                        <w:rPr>
                          <w:color w:val="000000"/>
                        </w:rPr>
                        <w:t>source</w:t>
                      </w:r>
                      <w:r>
                        <w:rPr>
                          <w:color w:val="000000"/>
                          <w:spacing w:val="-6"/>
                        </w:rPr>
                        <w:t> </w:t>
                      </w:r>
                      <w:r>
                        <w:rPr>
                          <w:color w:val="000000"/>
                        </w:rPr>
                        <w:t>of</w:t>
                      </w:r>
                      <w:r>
                        <w:rPr>
                          <w:color w:val="000000"/>
                          <w:spacing w:val="-3"/>
                        </w:rPr>
                        <w:t> </w:t>
                      </w:r>
                      <w:r>
                        <w:rPr>
                          <w:color w:val="000000"/>
                        </w:rPr>
                        <w:t>policy</w:t>
                      </w:r>
                      <w:r>
                        <w:rPr>
                          <w:color w:val="000000"/>
                          <w:spacing w:val="-6"/>
                        </w:rPr>
                        <w:t> </w:t>
                      </w:r>
                      <w:r>
                        <w:rPr>
                          <w:color w:val="000000"/>
                        </w:rPr>
                        <w:t>advice</w:t>
                      </w:r>
                      <w:r>
                        <w:rPr>
                          <w:color w:val="000000"/>
                          <w:spacing w:val="-4"/>
                        </w:rPr>
                        <w:t> </w:t>
                      </w:r>
                      <w:r>
                        <w:rPr>
                          <w:color w:val="000000"/>
                        </w:rPr>
                        <w:t>to</w:t>
                      </w:r>
                      <w:r>
                        <w:rPr>
                          <w:color w:val="000000"/>
                          <w:spacing w:val="-4"/>
                        </w:rPr>
                        <w:t> </w:t>
                      </w:r>
                      <w:r>
                        <w:rPr>
                          <w:color w:val="000000"/>
                        </w:rPr>
                        <w:t>the</w:t>
                      </w:r>
                      <w:r>
                        <w:rPr>
                          <w:color w:val="000000"/>
                          <w:spacing w:val="-6"/>
                        </w:rPr>
                        <w:t> </w:t>
                      </w:r>
                      <w:r>
                        <w:rPr>
                          <w:color w:val="000000"/>
                        </w:rPr>
                        <w:t>Minister;</w:t>
                      </w:r>
                      <w:r>
                        <w:rPr>
                          <w:color w:val="000000"/>
                          <w:spacing w:val="-4"/>
                        </w:rPr>
                        <w:t> </w:t>
                      </w:r>
                      <w:r>
                        <w:rPr>
                          <w:color w:val="000000"/>
                          <w:spacing w:val="-5"/>
                        </w:rPr>
                        <w:t>and</w:t>
                      </w:r>
                    </w:p>
                    <w:p>
                      <w:pPr>
                        <w:pStyle w:val="BodyText"/>
                        <w:spacing w:before="2"/>
                        <w:rPr>
                          <w:color w:val="000000"/>
                          <w:sz w:val="25"/>
                        </w:rPr>
                      </w:pPr>
                    </w:p>
                    <w:p>
                      <w:pPr>
                        <w:pStyle w:val="BodyText"/>
                        <w:spacing w:line="288" w:lineRule="auto"/>
                        <w:ind w:left="679" w:hanging="216"/>
                        <w:rPr>
                          <w:color w:val="000000"/>
                        </w:rPr>
                      </w:pPr>
                      <w:r>
                        <w:rPr>
                          <w:color w:val="000000"/>
                        </w:rPr>
                        <w:t>–</w:t>
                      </w:r>
                      <w:r>
                        <w:rPr>
                          <w:color w:val="000000"/>
                          <w:spacing w:val="27"/>
                        </w:rPr>
                        <w:t> </w:t>
                      </w:r>
                      <w:r>
                        <w:rPr>
                          <w:color w:val="000000"/>
                        </w:rPr>
                        <w:t>with</w:t>
                      </w:r>
                      <w:r>
                        <w:rPr>
                          <w:color w:val="000000"/>
                          <w:spacing w:val="-3"/>
                        </w:rPr>
                        <w:t> </w:t>
                      </w:r>
                      <w:r>
                        <w:rPr>
                          <w:color w:val="000000"/>
                        </w:rPr>
                        <w:t>the</w:t>
                      </w:r>
                      <w:r>
                        <w:rPr>
                          <w:color w:val="000000"/>
                          <w:spacing w:val="-5"/>
                        </w:rPr>
                        <w:t> </w:t>
                      </w:r>
                      <w:r>
                        <w:rPr>
                          <w:color w:val="000000"/>
                        </w:rPr>
                        <w:t>MOU</w:t>
                      </w:r>
                      <w:r>
                        <w:rPr>
                          <w:color w:val="000000"/>
                          <w:spacing w:val="-3"/>
                        </w:rPr>
                        <w:t> </w:t>
                      </w:r>
                      <w:r>
                        <w:rPr>
                          <w:color w:val="000000"/>
                        </w:rPr>
                        <w:t>recognising</w:t>
                      </w:r>
                      <w:r>
                        <w:rPr>
                          <w:color w:val="000000"/>
                          <w:spacing w:val="-3"/>
                        </w:rPr>
                        <w:t> </w:t>
                      </w:r>
                      <w:r>
                        <w:rPr>
                          <w:color w:val="000000"/>
                        </w:rPr>
                        <w:t>and</w:t>
                      </w:r>
                      <w:r>
                        <w:rPr>
                          <w:color w:val="000000"/>
                          <w:spacing w:val="-5"/>
                        </w:rPr>
                        <w:t> </w:t>
                      </w:r>
                      <w:r>
                        <w:rPr>
                          <w:color w:val="000000"/>
                        </w:rPr>
                        <w:t>facilitating</w:t>
                      </w:r>
                      <w:r>
                        <w:rPr>
                          <w:color w:val="000000"/>
                          <w:spacing w:val="-3"/>
                        </w:rPr>
                        <w:t> </w:t>
                      </w:r>
                      <w:r>
                        <w:rPr>
                          <w:color w:val="000000"/>
                        </w:rPr>
                        <w:t>ESV's</w:t>
                      </w:r>
                      <w:r>
                        <w:rPr>
                          <w:color w:val="000000"/>
                          <w:spacing w:val="-5"/>
                        </w:rPr>
                        <w:t> </w:t>
                      </w:r>
                      <w:r>
                        <w:rPr>
                          <w:color w:val="000000"/>
                        </w:rPr>
                        <w:t>independence</w:t>
                      </w:r>
                      <w:r>
                        <w:rPr>
                          <w:color w:val="000000"/>
                          <w:spacing w:val="-3"/>
                        </w:rPr>
                        <w:t> </w:t>
                      </w:r>
                      <w:r>
                        <w:rPr>
                          <w:color w:val="000000"/>
                        </w:rPr>
                        <w:t>in</w:t>
                      </w:r>
                      <w:r>
                        <w:rPr>
                          <w:color w:val="000000"/>
                          <w:spacing w:val="-3"/>
                        </w:rPr>
                        <w:t> </w:t>
                      </w:r>
                      <w:r>
                        <w:rPr>
                          <w:color w:val="000000"/>
                        </w:rPr>
                        <w:t>regulatory</w:t>
                      </w:r>
                      <w:r>
                        <w:rPr>
                          <w:color w:val="000000"/>
                          <w:spacing w:val="-5"/>
                        </w:rPr>
                        <w:t> </w:t>
                      </w:r>
                      <w:r>
                        <w:rPr>
                          <w:color w:val="000000"/>
                        </w:rPr>
                        <w:t>decision making. (Recommendation 17)</w:t>
                      </w:r>
                    </w:p>
                    <w:p>
                      <w:pPr>
                        <w:pStyle w:val="BodyText"/>
                        <w:spacing w:before="4"/>
                        <w:rPr>
                          <w:color w:val="000000"/>
                        </w:rPr>
                      </w:pPr>
                    </w:p>
                    <w:p>
                      <w:pPr>
                        <w:numPr>
                          <w:ilvl w:val="0"/>
                          <w:numId w:val="11"/>
                        </w:numPr>
                        <w:tabs>
                          <w:tab w:pos="500" w:val="left" w:leader="none"/>
                          <w:tab w:pos="502" w:val="left" w:leader="none"/>
                        </w:tabs>
                        <w:spacing w:line="288" w:lineRule="auto" w:before="0"/>
                        <w:ind w:left="502" w:right="358" w:hanging="219"/>
                        <w:jc w:val="left"/>
                        <w:rPr>
                          <w:color w:val="000000"/>
                          <w:sz w:val="22"/>
                        </w:rPr>
                      </w:pPr>
                      <w:r>
                        <w:rPr>
                          <w:color w:val="000000"/>
                          <w:sz w:val="22"/>
                        </w:rPr>
                        <w:t>the</w:t>
                      </w:r>
                      <w:r>
                        <w:rPr>
                          <w:color w:val="000000"/>
                          <w:spacing w:val="-4"/>
                          <w:sz w:val="22"/>
                        </w:rPr>
                        <w:t> </w:t>
                      </w:r>
                      <w:r>
                        <w:rPr>
                          <w:i/>
                          <w:color w:val="000000"/>
                          <w:sz w:val="22"/>
                        </w:rPr>
                        <w:t>Electricity</w:t>
                      </w:r>
                      <w:r>
                        <w:rPr>
                          <w:i/>
                          <w:color w:val="000000"/>
                          <w:spacing w:val="-3"/>
                          <w:sz w:val="22"/>
                        </w:rPr>
                        <w:t> </w:t>
                      </w:r>
                      <w:r>
                        <w:rPr>
                          <w:i/>
                          <w:color w:val="000000"/>
                          <w:sz w:val="22"/>
                        </w:rPr>
                        <w:t>Hazards</w:t>
                      </w:r>
                      <w:r>
                        <w:rPr>
                          <w:i/>
                          <w:color w:val="000000"/>
                          <w:spacing w:val="-3"/>
                          <w:sz w:val="22"/>
                        </w:rPr>
                        <w:t> </w:t>
                      </w:r>
                      <w:r>
                        <w:rPr>
                          <w:i/>
                          <w:color w:val="000000"/>
                          <w:sz w:val="22"/>
                        </w:rPr>
                        <w:t>&amp;</w:t>
                      </w:r>
                      <w:r>
                        <w:rPr>
                          <w:i/>
                          <w:color w:val="000000"/>
                          <w:spacing w:val="-3"/>
                          <w:sz w:val="22"/>
                        </w:rPr>
                        <w:t> </w:t>
                      </w:r>
                      <w:r>
                        <w:rPr>
                          <w:i/>
                          <w:color w:val="000000"/>
                          <w:sz w:val="22"/>
                        </w:rPr>
                        <w:t>Safety</w:t>
                      </w:r>
                      <w:r>
                        <w:rPr>
                          <w:i/>
                          <w:color w:val="000000"/>
                          <w:spacing w:val="-3"/>
                          <w:sz w:val="22"/>
                        </w:rPr>
                        <w:t> </w:t>
                      </w:r>
                      <w:r>
                        <w:rPr>
                          <w:i/>
                          <w:color w:val="000000"/>
                          <w:sz w:val="22"/>
                        </w:rPr>
                        <w:t>Handbook</w:t>
                      </w:r>
                      <w:r>
                        <w:rPr>
                          <w:i/>
                          <w:color w:val="000000"/>
                          <w:spacing w:val="-6"/>
                          <w:sz w:val="22"/>
                        </w:rPr>
                        <w:t> </w:t>
                      </w:r>
                      <w:r>
                        <w:rPr>
                          <w:i/>
                          <w:color w:val="000000"/>
                          <w:sz w:val="22"/>
                        </w:rPr>
                        <w:t>for</w:t>
                      </w:r>
                      <w:r>
                        <w:rPr>
                          <w:i/>
                          <w:color w:val="000000"/>
                          <w:spacing w:val="-3"/>
                          <w:sz w:val="22"/>
                        </w:rPr>
                        <w:t> </w:t>
                      </w:r>
                      <w:r>
                        <w:rPr>
                          <w:i/>
                          <w:color w:val="000000"/>
                          <w:sz w:val="22"/>
                        </w:rPr>
                        <w:t>Emergency</w:t>
                      </w:r>
                      <w:r>
                        <w:rPr>
                          <w:i/>
                          <w:color w:val="000000"/>
                          <w:spacing w:val="-6"/>
                          <w:sz w:val="22"/>
                        </w:rPr>
                        <w:t> </w:t>
                      </w:r>
                      <w:r>
                        <w:rPr>
                          <w:i/>
                          <w:color w:val="000000"/>
                          <w:sz w:val="22"/>
                        </w:rPr>
                        <w:t>Service</w:t>
                      </w:r>
                      <w:r>
                        <w:rPr>
                          <w:i/>
                          <w:color w:val="000000"/>
                          <w:spacing w:val="-2"/>
                          <w:sz w:val="22"/>
                        </w:rPr>
                        <w:t> </w:t>
                      </w:r>
                      <w:r>
                        <w:rPr>
                          <w:i/>
                          <w:color w:val="000000"/>
                          <w:sz w:val="22"/>
                        </w:rPr>
                        <w:t>Personnel</w:t>
                      </w:r>
                      <w:r>
                        <w:rPr>
                          <w:i/>
                          <w:color w:val="000000"/>
                          <w:spacing w:val="-5"/>
                          <w:sz w:val="22"/>
                        </w:rPr>
                        <w:t> </w:t>
                      </w:r>
                      <w:r>
                        <w:rPr>
                          <w:color w:val="000000"/>
                          <w:sz w:val="22"/>
                        </w:rPr>
                        <w:t>should be updated and a new Gas Hazards and Safety Handbook should be prepared for emergency services. Formal MOUs should be developed by ESV with each of the relevant emergency services agencies (Recommendation 19).</w:t>
                      </w:r>
                    </w:p>
                  </w:txbxContent>
                </v:textbox>
                <v:fill type="solid"/>
              </v:shape>
            </w:pict>
          </mc:Fallback>
        </mc:AlternateContent>
      </w:r>
      <w:r>
        <w:rPr>
          <w:sz w:val="20"/>
        </w:rPr>
      </w:r>
    </w:p>
    <w:p>
      <w:pPr>
        <w:pStyle w:val="BodyText"/>
        <w:spacing w:before="8"/>
        <w:rPr>
          <w:sz w:val="21"/>
        </w:rPr>
      </w:pPr>
    </w:p>
    <w:p>
      <w:pPr>
        <w:pStyle w:val="Heading4"/>
        <w:ind w:left="292"/>
      </w:pPr>
      <w:r>
        <w:rPr>
          <w:color w:val="585858"/>
        </w:rPr>
        <w:t>Integrating</w:t>
      </w:r>
      <w:r>
        <w:rPr>
          <w:color w:val="585858"/>
          <w:spacing w:val="-11"/>
        </w:rPr>
        <w:t> </w:t>
      </w:r>
      <w:r>
        <w:rPr>
          <w:color w:val="585858"/>
        </w:rPr>
        <w:t>safety</w:t>
      </w:r>
      <w:r>
        <w:rPr>
          <w:color w:val="585858"/>
          <w:spacing w:val="-13"/>
        </w:rPr>
        <w:t> </w:t>
      </w:r>
      <w:r>
        <w:rPr>
          <w:color w:val="585858"/>
        </w:rPr>
        <w:t>regulation</w:t>
      </w:r>
      <w:r>
        <w:rPr>
          <w:color w:val="585858"/>
          <w:spacing w:val="-14"/>
        </w:rPr>
        <w:t> </w:t>
      </w:r>
      <w:r>
        <w:rPr>
          <w:color w:val="585858"/>
        </w:rPr>
        <w:t>with</w:t>
      </w:r>
      <w:r>
        <w:rPr>
          <w:color w:val="585858"/>
          <w:spacing w:val="-11"/>
        </w:rPr>
        <w:t> </w:t>
      </w:r>
      <w:r>
        <w:rPr>
          <w:color w:val="585858"/>
        </w:rPr>
        <w:t>economic</w:t>
      </w:r>
      <w:r>
        <w:rPr>
          <w:color w:val="585858"/>
          <w:spacing w:val="-10"/>
        </w:rPr>
        <w:t> </w:t>
      </w:r>
      <w:r>
        <w:rPr>
          <w:color w:val="585858"/>
          <w:spacing w:val="-2"/>
        </w:rPr>
        <w:t>regulation</w:t>
      </w:r>
    </w:p>
    <w:p>
      <w:pPr>
        <w:pStyle w:val="BodyText"/>
        <w:spacing w:line="288" w:lineRule="auto" w:before="314"/>
        <w:ind w:left="292" w:right="374"/>
      </w:pPr>
      <w:r>
        <w:rPr/>
        <w:t>The</w:t>
      </w:r>
      <w:r>
        <w:rPr>
          <w:spacing w:val="-6"/>
        </w:rPr>
        <w:t> </w:t>
      </w:r>
      <w:r>
        <w:rPr/>
        <w:t>Terms</w:t>
      </w:r>
      <w:r>
        <w:rPr>
          <w:spacing w:val="-1"/>
        </w:rPr>
        <w:t> </w:t>
      </w:r>
      <w:r>
        <w:rPr/>
        <w:t>of Reference</w:t>
      </w:r>
      <w:r>
        <w:rPr>
          <w:spacing w:val="-5"/>
        </w:rPr>
        <w:t> </w:t>
      </w:r>
      <w:r>
        <w:rPr/>
        <w:t>for</w:t>
      </w:r>
      <w:r>
        <w:rPr>
          <w:spacing w:val="-3"/>
        </w:rPr>
        <w:t> </w:t>
      </w:r>
      <w:r>
        <w:rPr/>
        <w:t>the</w:t>
      </w:r>
      <w:r>
        <w:rPr>
          <w:spacing w:val="-4"/>
        </w:rPr>
        <w:t> </w:t>
      </w:r>
      <w:r>
        <w:rPr/>
        <w:t>Review</w:t>
      </w:r>
      <w:r>
        <w:rPr>
          <w:spacing w:val="-5"/>
        </w:rPr>
        <w:t> </w:t>
      </w:r>
      <w:r>
        <w:rPr/>
        <w:t>required</w:t>
      </w:r>
      <w:r>
        <w:rPr>
          <w:spacing w:val="-4"/>
        </w:rPr>
        <w:t> </w:t>
      </w:r>
      <w:r>
        <w:rPr/>
        <w:t>consideration</w:t>
      </w:r>
      <w:r>
        <w:rPr>
          <w:spacing w:val="-2"/>
        </w:rPr>
        <w:t> </w:t>
      </w:r>
      <w:r>
        <w:rPr/>
        <w:t>of</w:t>
      </w:r>
      <w:r>
        <w:rPr>
          <w:spacing w:val="-3"/>
        </w:rPr>
        <w:t> </w:t>
      </w:r>
      <w:r>
        <w:rPr/>
        <w:t>the</w:t>
      </w:r>
      <w:r>
        <w:rPr>
          <w:spacing w:val="-4"/>
        </w:rPr>
        <w:t> </w:t>
      </w:r>
      <w:r>
        <w:rPr/>
        <w:t>relationship</w:t>
      </w:r>
      <w:r>
        <w:rPr>
          <w:spacing w:val="-2"/>
        </w:rPr>
        <w:t> </w:t>
      </w:r>
      <w:r>
        <w:rPr/>
        <w:t>between</w:t>
      </w:r>
      <w:r>
        <w:rPr>
          <w:spacing w:val="-2"/>
        </w:rPr>
        <w:t> </w:t>
      </w:r>
      <w:r>
        <w:rPr/>
        <w:t>the economic and safety regulatory regimes. These two systems overlap significantly, but have different points of focus. In very broad terms:</w:t>
      </w:r>
    </w:p>
    <w:p>
      <w:pPr>
        <w:pStyle w:val="BodyText"/>
        <w:spacing w:before="5"/>
      </w:pPr>
    </w:p>
    <w:p>
      <w:pPr>
        <w:pStyle w:val="ListParagraph"/>
        <w:numPr>
          <w:ilvl w:val="1"/>
          <w:numId w:val="9"/>
        </w:numPr>
        <w:tabs>
          <w:tab w:pos="794" w:val="left" w:leader="none"/>
        </w:tabs>
        <w:spacing w:line="288" w:lineRule="auto" w:before="0" w:after="0"/>
        <w:ind w:left="794" w:right="703" w:hanging="361"/>
        <w:jc w:val="left"/>
        <w:rPr>
          <w:sz w:val="22"/>
        </w:rPr>
      </w:pPr>
      <w:r>
        <w:rPr>
          <w:sz w:val="22"/>
        </w:rPr>
        <w:t>the</w:t>
      </w:r>
      <w:r>
        <w:rPr>
          <w:spacing w:val="-2"/>
          <w:sz w:val="22"/>
        </w:rPr>
        <w:t> </w:t>
      </w:r>
      <w:r>
        <w:rPr>
          <w:sz w:val="22"/>
        </w:rPr>
        <w:t>economic</w:t>
      </w:r>
      <w:r>
        <w:rPr>
          <w:spacing w:val="-4"/>
          <w:sz w:val="22"/>
        </w:rPr>
        <w:t> </w:t>
      </w:r>
      <w:r>
        <w:rPr>
          <w:sz w:val="22"/>
        </w:rPr>
        <w:t>regulatory</w:t>
      </w:r>
      <w:r>
        <w:rPr>
          <w:spacing w:val="-6"/>
          <w:sz w:val="22"/>
        </w:rPr>
        <w:t> </w:t>
      </w:r>
      <w:r>
        <w:rPr>
          <w:sz w:val="22"/>
        </w:rPr>
        <w:t>system seeks</w:t>
      </w:r>
      <w:r>
        <w:rPr>
          <w:spacing w:val="-4"/>
          <w:sz w:val="22"/>
        </w:rPr>
        <w:t> </w:t>
      </w:r>
      <w:r>
        <w:rPr>
          <w:sz w:val="22"/>
        </w:rPr>
        <w:t>to</w:t>
      </w:r>
      <w:r>
        <w:rPr>
          <w:spacing w:val="-2"/>
          <w:sz w:val="22"/>
        </w:rPr>
        <w:t> </w:t>
      </w:r>
      <w:r>
        <w:rPr>
          <w:sz w:val="22"/>
        </w:rPr>
        <w:t>ensure</w:t>
      </w:r>
      <w:r>
        <w:rPr>
          <w:spacing w:val="-4"/>
          <w:sz w:val="22"/>
        </w:rPr>
        <w:t> </w:t>
      </w:r>
      <w:r>
        <w:rPr>
          <w:sz w:val="22"/>
        </w:rPr>
        <w:t>that energy</w:t>
      </w:r>
      <w:r>
        <w:rPr>
          <w:spacing w:val="-4"/>
          <w:sz w:val="22"/>
        </w:rPr>
        <w:t> </w:t>
      </w:r>
      <w:r>
        <w:rPr>
          <w:sz w:val="22"/>
        </w:rPr>
        <w:t>is</w:t>
      </w:r>
      <w:r>
        <w:rPr>
          <w:spacing w:val="-1"/>
          <w:sz w:val="22"/>
        </w:rPr>
        <w:t> </w:t>
      </w:r>
      <w:r>
        <w:rPr>
          <w:sz w:val="22"/>
        </w:rPr>
        <w:t>distributed</w:t>
      </w:r>
      <w:r>
        <w:rPr>
          <w:spacing w:val="-4"/>
          <w:sz w:val="22"/>
        </w:rPr>
        <w:t> </w:t>
      </w:r>
      <w:r>
        <w:rPr>
          <w:sz w:val="22"/>
        </w:rPr>
        <w:t>as</w:t>
      </w:r>
      <w:r>
        <w:rPr>
          <w:spacing w:val="-2"/>
          <w:sz w:val="22"/>
        </w:rPr>
        <w:t> </w:t>
      </w:r>
      <w:r>
        <w:rPr>
          <w:sz w:val="22"/>
        </w:rPr>
        <w:t>efficiently</w:t>
      </w:r>
      <w:r>
        <w:rPr>
          <w:spacing w:val="-4"/>
          <w:sz w:val="22"/>
        </w:rPr>
        <w:t> </w:t>
      </w:r>
      <w:r>
        <w:rPr>
          <w:sz w:val="22"/>
        </w:rPr>
        <w:t>as possible at the lowest possible cost to consumers; and</w:t>
      </w:r>
    </w:p>
    <w:p>
      <w:pPr>
        <w:pStyle w:val="BodyText"/>
        <w:spacing w:before="2"/>
      </w:pPr>
    </w:p>
    <w:p>
      <w:pPr>
        <w:pStyle w:val="ListParagraph"/>
        <w:numPr>
          <w:ilvl w:val="1"/>
          <w:numId w:val="9"/>
        </w:numPr>
        <w:tabs>
          <w:tab w:pos="794" w:val="left" w:leader="none"/>
        </w:tabs>
        <w:spacing w:line="288" w:lineRule="auto" w:before="0" w:after="0"/>
        <w:ind w:left="794" w:right="412" w:hanging="361"/>
        <w:jc w:val="left"/>
        <w:rPr>
          <w:sz w:val="22"/>
        </w:rPr>
      </w:pPr>
      <w:r>
        <w:rPr>
          <w:sz w:val="22"/>
        </w:rPr>
        <w:t>the</w:t>
      </w:r>
      <w:r>
        <w:rPr>
          <w:spacing w:val="-2"/>
          <w:sz w:val="22"/>
        </w:rPr>
        <w:t> </w:t>
      </w:r>
      <w:r>
        <w:rPr>
          <w:sz w:val="22"/>
        </w:rPr>
        <w:t>safety</w:t>
      </w:r>
      <w:r>
        <w:rPr>
          <w:spacing w:val="-5"/>
          <w:sz w:val="22"/>
        </w:rPr>
        <w:t> </w:t>
      </w:r>
      <w:r>
        <w:rPr>
          <w:sz w:val="22"/>
        </w:rPr>
        <w:t>regulatory</w:t>
      </w:r>
      <w:r>
        <w:rPr>
          <w:spacing w:val="-4"/>
          <w:sz w:val="22"/>
        </w:rPr>
        <w:t> </w:t>
      </w:r>
      <w:r>
        <w:rPr>
          <w:sz w:val="22"/>
        </w:rPr>
        <w:t>system seeks</w:t>
      </w:r>
      <w:r>
        <w:rPr>
          <w:spacing w:val="-4"/>
          <w:sz w:val="22"/>
        </w:rPr>
        <w:t> </w:t>
      </w:r>
      <w:r>
        <w:rPr>
          <w:sz w:val="22"/>
        </w:rPr>
        <w:t>to</w:t>
      </w:r>
      <w:r>
        <w:rPr>
          <w:spacing w:val="-2"/>
          <w:sz w:val="22"/>
        </w:rPr>
        <w:t> </w:t>
      </w:r>
      <w:r>
        <w:rPr>
          <w:sz w:val="22"/>
        </w:rPr>
        <w:t>ensure</w:t>
      </w:r>
      <w:r>
        <w:rPr>
          <w:spacing w:val="-4"/>
          <w:sz w:val="22"/>
        </w:rPr>
        <w:t> </w:t>
      </w:r>
      <w:r>
        <w:rPr>
          <w:sz w:val="22"/>
        </w:rPr>
        <w:t>that</w:t>
      </w:r>
      <w:r>
        <w:rPr>
          <w:spacing w:val="-3"/>
          <w:sz w:val="22"/>
        </w:rPr>
        <w:t> </w:t>
      </w:r>
      <w:r>
        <w:rPr>
          <w:sz w:val="22"/>
        </w:rPr>
        <w:t>energy</w:t>
      </w:r>
      <w:r>
        <w:rPr>
          <w:spacing w:val="-4"/>
          <w:sz w:val="22"/>
        </w:rPr>
        <w:t> </w:t>
      </w:r>
      <w:r>
        <w:rPr>
          <w:sz w:val="22"/>
        </w:rPr>
        <w:t>is</w:t>
      </w:r>
      <w:r>
        <w:rPr>
          <w:spacing w:val="-1"/>
          <w:sz w:val="22"/>
        </w:rPr>
        <w:t> </w:t>
      </w:r>
      <w:r>
        <w:rPr>
          <w:sz w:val="22"/>
        </w:rPr>
        <w:t>distributed</w:t>
      </w:r>
      <w:r>
        <w:rPr>
          <w:spacing w:val="-2"/>
          <w:sz w:val="22"/>
        </w:rPr>
        <w:t> </w:t>
      </w:r>
      <w:r>
        <w:rPr>
          <w:sz w:val="22"/>
        </w:rPr>
        <w:t>safely</w:t>
      </w:r>
      <w:r>
        <w:rPr>
          <w:spacing w:val="-2"/>
          <w:sz w:val="22"/>
        </w:rPr>
        <w:t> </w:t>
      </w:r>
      <w:r>
        <w:rPr>
          <w:sz w:val="22"/>
        </w:rPr>
        <w:t>with</w:t>
      </w:r>
      <w:r>
        <w:rPr>
          <w:spacing w:val="-2"/>
          <w:sz w:val="22"/>
        </w:rPr>
        <w:t> </w:t>
      </w:r>
      <w:r>
        <w:rPr>
          <w:sz w:val="22"/>
        </w:rPr>
        <w:t>risks</w:t>
      </w:r>
      <w:r>
        <w:rPr>
          <w:spacing w:val="-4"/>
          <w:sz w:val="22"/>
        </w:rPr>
        <w:t> </w:t>
      </w:r>
      <w:r>
        <w:rPr>
          <w:sz w:val="22"/>
        </w:rPr>
        <w:t>to</w:t>
      </w:r>
      <w:r>
        <w:rPr>
          <w:spacing w:val="-4"/>
          <w:sz w:val="22"/>
        </w:rPr>
        <w:t> </w:t>
      </w:r>
      <w:r>
        <w:rPr>
          <w:sz w:val="22"/>
        </w:rPr>
        <w:t>the community reduced to as low as reasonably practicable.</w:t>
      </w:r>
    </w:p>
    <w:p>
      <w:pPr>
        <w:pStyle w:val="BodyText"/>
        <w:spacing w:before="7"/>
        <w:rPr>
          <w:sz w:val="20"/>
        </w:rPr>
      </w:pPr>
    </w:p>
    <w:p>
      <w:pPr>
        <w:pStyle w:val="BodyText"/>
        <w:spacing w:line="288" w:lineRule="auto" w:before="1"/>
        <w:ind w:left="292" w:right="374"/>
      </w:pPr>
      <w:r>
        <w:rPr/>
        <w:t>There will always be the potential for tension between the two systems. If economic regulation attempts</w:t>
      </w:r>
      <w:r>
        <w:rPr>
          <w:spacing w:val="-3"/>
        </w:rPr>
        <w:t> </w:t>
      </w:r>
      <w:r>
        <w:rPr/>
        <w:t>to</w:t>
      </w:r>
      <w:r>
        <w:rPr>
          <w:spacing w:val="-4"/>
        </w:rPr>
        <w:t> </w:t>
      </w:r>
      <w:r>
        <w:rPr/>
        <w:t>reduce</w:t>
      </w:r>
      <w:r>
        <w:rPr>
          <w:spacing w:val="-4"/>
        </w:rPr>
        <w:t> </w:t>
      </w:r>
      <w:r>
        <w:rPr/>
        <w:t>revenues</w:t>
      </w:r>
      <w:r>
        <w:rPr>
          <w:spacing w:val="-1"/>
        </w:rPr>
        <w:t> </w:t>
      </w:r>
      <w:r>
        <w:rPr/>
        <w:t>too</w:t>
      </w:r>
      <w:r>
        <w:rPr>
          <w:spacing w:val="-4"/>
        </w:rPr>
        <w:t> </w:t>
      </w:r>
      <w:r>
        <w:rPr/>
        <w:t>zealously, the</w:t>
      </w:r>
      <w:r>
        <w:rPr>
          <w:spacing w:val="-2"/>
        </w:rPr>
        <w:t> </w:t>
      </w:r>
      <w:r>
        <w:rPr/>
        <w:t>community</w:t>
      </w:r>
      <w:r>
        <w:rPr>
          <w:spacing w:val="-6"/>
        </w:rPr>
        <w:t> </w:t>
      </w:r>
      <w:r>
        <w:rPr/>
        <w:t>may</w:t>
      </w:r>
      <w:r>
        <w:rPr>
          <w:spacing w:val="-4"/>
        </w:rPr>
        <w:t> </w:t>
      </w:r>
      <w:r>
        <w:rPr/>
        <w:t>be</w:t>
      </w:r>
      <w:r>
        <w:rPr>
          <w:spacing w:val="-2"/>
        </w:rPr>
        <w:t> </w:t>
      </w:r>
      <w:r>
        <w:rPr/>
        <w:t>exposed</w:t>
      </w:r>
      <w:r>
        <w:rPr>
          <w:spacing w:val="-2"/>
        </w:rPr>
        <w:t> </w:t>
      </w:r>
      <w:r>
        <w:rPr/>
        <w:t>to</w:t>
      </w:r>
      <w:r>
        <w:rPr>
          <w:spacing w:val="-4"/>
        </w:rPr>
        <w:t> </w:t>
      </w:r>
      <w:r>
        <w:rPr/>
        <w:t>excessive</w:t>
      </w:r>
      <w:r>
        <w:rPr>
          <w:spacing w:val="-2"/>
        </w:rPr>
        <w:t> </w:t>
      </w:r>
      <w:r>
        <w:rPr/>
        <w:t>risk. At the same time, if safety regulation is not carefully designed, it may result in excessive costs to </w:t>
      </w:r>
      <w:r>
        <w:rPr>
          <w:spacing w:val="-2"/>
        </w:rPr>
        <w:t>consumers.</w:t>
      </w:r>
    </w:p>
    <w:p>
      <w:pPr>
        <w:pStyle w:val="BodyText"/>
        <w:spacing w:before="10"/>
        <w:rPr>
          <w:sz w:val="20"/>
        </w:rPr>
      </w:pPr>
    </w:p>
    <w:p>
      <w:pPr>
        <w:pStyle w:val="BodyText"/>
        <w:spacing w:line="288" w:lineRule="auto"/>
        <w:ind w:left="292" w:right="311"/>
      </w:pPr>
      <w:r>
        <w:rPr/>
        <w:t>Within current frameworks, the key to resolving these tensions productively is an effective relationship</w:t>
      </w:r>
      <w:r>
        <w:rPr>
          <w:spacing w:val="-2"/>
        </w:rPr>
        <w:t> </w:t>
      </w:r>
      <w:r>
        <w:rPr/>
        <w:t>between</w:t>
      </w:r>
      <w:r>
        <w:rPr>
          <w:spacing w:val="-2"/>
        </w:rPr>
        <w:t> </w:t>
      </w:r>
      <w:r>
        <w:rPr/>
        <w:t>the</w:t>
      </w:r>
      <w:r>
        <w:rPr>
          <w:spacing w:val="-7"/>
        </w:rPr>
        <w:t> </w:t>
      </w:r>
      <w:r>
        <w:rPr/>
        <w:t>Australian</w:t>
      </w:r>
      <w:r>
        <w:rPr>
          <w:spacing w:val="-2"/>
        </w:rPr>
        <w:t> </w:t>
      </w:r>
      <w:r>
        <w:rPr/>
        <w:t>Energy</w:t>
      </w:r>
      <w:r>
        <w:rPr>
          <w:spacing w:val="-4"/>
        </w:rPr>
        <w:t> </w:t>
      </w:r>
      <w:r>
        <w:rPr/>
        <w:t>Regulator</w:t>
      </w:r>
      <w:r>
        <w:rPr>
          <w:spacing w:val="-3"/>
        </w:rPr>
        <w:t> </w:t>
      </w:r>
      <w:r>
        <w:rPr/>
        <w:t>(AER) and</w:t>
      </w:r>
      <w:r>
        <w:rPr>
          <w:spacing w:val="-2"/>
        </w:rPr>
        <w:t> </w:t>
      </w:r>
      <w:r>
        <w:rPr/>
        <w:t>ESV,</w:t>
      </w:r>
      <w:r>
        <w:rPr>
          <w:spacing w:val="-3"/>
        </w:rPr>
        <w:t> </w:t>
      </w:r>
      <w:r>
        <w:rPr/>
        <w:t>as</w:t>
      </w:r>
      <w:r>
        <w:rPr>
          <w:spacing w:val="-4"/>
        </w:rPr>
        <w:t> </w:t>
      </w:r>
      <w:r>
        <w:rPr/>
        <w:t>the</w:t>
      </w:r>
      <w:r>
        <w:rPr>
          <w:spacing w:val="-2"/>
        </w:rPr>
        <w:t> </w:t>
      </w:r>
      <w:r>
        <w:rPr/>
        <w:t>Victorian</w:t>
      </w:r>
      <w:r>
        <w:rPr>
          <w:spacing w:val="-2"/>
        </w:rPr>
        <w:t> </w:t>
      </w:r>
      <w:r>
        <w:rPr/>
        <w:t>network safety regulator.</w:t>
      </w:r>
    </w:p>
    <w:p>
      <w:pPr>
        <w:pStyle w:val="BodyText"/>
        <w:rPr>
          <w:sz w:val="21"/>
        </w:rPr>
      </w:pPr>
    </w:p>
    <w:p>
      <w:pPr>
        <w:pStyle w:val="BodyText"/>
        <w:spacing w:line="288" w:lineRule="auto"/>
        <w:ind w:left="292" w:right="311"/>
      </w:pPr>
      <w:r>
        <w:rPr/>
        <w:t>The</w:t>
      </w:r>
      <w:r>
        <w:rPr>
          <w:spacing w:val="-4"/>
        </w:rPr>
        <w:t> </w:t>
      </w:r>
      <w:r>
        <w:rPr>
          <w:i/>
        </w:rPr>
        <w:t>National</w:t>
      </w:r>
      <w:r>
        <w:rPr>
          <w:i/>
          <w:spacing w:val="-2"/>
        </w:rPr>
        <w:t> </w:t>
      </w:r>
      <w:r>
        <w:rPr>
          <w:i/>
        </w:rPr>
        <w:t>Electricity</w:t>
      </w:r>
      <w:r>
        <w:rPr>
          <w:i/>
          <w:spacing w:val="-4"/>
        </w:rPr>
        <w:t> </w:t>
      </w:r>
      <w:r>
        <w:rPr>
          <w:i/>
        </w:rPr>
        <w:t>Rules </w:t>
      </w:r>
      <w:r>
        <w:rPr/>
        <w:t>and</w:t>
      </w:r>
      <w:r>
        <w:rPr>
          <w:spacing w:val="-2"/>
        </w:rPr>
        <w:t> </w:t>
      </w:r>
      <w:r>
        <w:rPr>
          <w:i/>
        </w:rPr>
        <w:t>National</w:t>
      </w:r>
      <w:r>
        <w:rPr>
          <w:i/>
          <w:spacing w:val="-5"/>
        </w:rPr>
        <w:t> </w:t>
      </w:r>
      <w:r>
        <w:rPr>
          <w:i/>
        </w:rPr>
        <w:t>Gas</w:t>
      </w:r>
      <w:r>
        <w:rPr>
          <w:i/>
          <w:spacing w:val="-4"/>
        </w:rPr>
        <w:t> </w:t>
      </w:r>
      <w:r>
        <w:rPr>
          <w:i/>
        </w:rPr>
        <w:t>Rules</w:t>
      </w:r>
      <w:r>
        <w:rPr>
          <w:i/>
          <w:spacing w:val="-1"/>
        </w:rPr>
        <w:t> </w:t>
      </w:r>
      <w:r>
        <w:rPr/>
        <w:t>require</w:t>
      </w:r>
      <w:r>
        <w:rPr>
          <w:spacing w:val="-4"/>
        </w:rPr>
        <w:t> </w:t>
      </w:r>
      <w:r>
        <w:rPr/>
        <w:t>the</w:t>
      </w:r>
      <w:r>
        <w:rPr>
          <w:spacing w:val="-1"/>
        </w:rPr>
        <w:t> </w:t>
      </w:r>
      <w:r>
        <w:rPr/>
        <w:t>AER</w:t>
      </w:r>
      <w:r>
        <w:rPr>
          <w:spacing w:val="-5"/>
        </w:rPr>
        <w:t> </w:t>
      </w:r>
      <w:r>
        <w:rPr/>
        <w:t>to</w:t>
      </w:r>
      <w:r>
        <w:rPr>
          <w:spacing w:val="-4"/>
        </w:rPr>
        <w:t> </w:t>
      </w:r>
      <w:r>
        <w:rPr/>
        <w:t>take</w:t>
      </w:r>
      <w:r>
        <w:rPr>
          <w:spacing w:val="-4"/>
        </w:rPr>
        <w:t> </w:t>
      </w:r>
      <w:r>
        <w:rPr/>
        <w:t>safety</w:t>
      </w:r>
      <w:r>
        <w:rPr>
          <w:spacing w:val="-3"/>
        </w:rPr>
        <w:t> </w:t>
      </w:r>
      <w:r>
        <w:rPr/>
        <w:t>requirements into account in its pricing determinations. To be able to do this effectively, ESV needs to be equipped to act as an authoritative advisor to the AER, having the capacity to advise on safety requirements while also maintaining an appreciation of the need for efficiency and cost </w:t>
      </w:r>
      <w:r>
        <w:rPr>
          <w:spacing w:val="-2"/>
        </w:rPr>
        <w:t>effectiveness.</w:t>
      </w:r>
    </w:p>
    <w:p>
      <w:pPr>
        <w:pStyle w:val="BodyText"/>
        <w:spacing w:before="9"/>
        <w:rPr>
          <w:sz w:val="20"/>
        </w:rPr>
      </w:pPr>
    </w:p>
    <w:p>
      <w:pPr>
        <w:pStyle w:val="BodyText"/>
        <w:spacing w:line="288" w:lineRule="auto"/>
        <w:ind w:left="292" w:right="311"/>
      </w:pPr>
      <w:r>
        <w:rPr/>
        <w:t>Several submissions to the Review indicated that the relationship between the AER and ESV is generally</w:t>
      </w:r>
      <w:r>
        <w:rPr>
          <w:spacing w:val="-3"/>
        </w:rPr>
        <w:t> </w:t>
      </w:r>
      <w:r>
        <w:rPr/>
        <w:t>working</w:t>
      </w:r>
      <w:r>
        <w:rPr>
          <w:spacing w:val="-1"/>
        </w:rPr>
        <w:t> </w:t>
      </w:r>
      <w:r>
        <w:rPr/>
        <w:t>well,</w:t>
      </w:r>
      <w:r>
        <w:rPr>
          <w:spacing w:val="-1"/>
        </w:rPr>
        <w:t> </w:t>
      </w:r>
      <w:r>
        <w:rPr/>
        <w:t>although</w:t>
      </w:r>
      <w:r>
        <w:rPr>
          <w:spacing w:val="-3"/>
        </w:rPr>
        <w:t> </w:t>
      </w:r>
      <w:r>
        <w:rPr/>
        <w:t>some</w:t>
      </w:r>
      <w:r>
        <w:rPr>
          <w:spacing w:val="-4"/>
        </w:rPr>
        <w:t> </w:t>
      </w:r>
      <w:r>
        <w:rPr/>
        <w:t>submissions</w:t>
      </w:r>
      <w:r>
        <w:rPr>
          <w:spacing w:val="-2"/>
        </w:rPr>
        <w:t> </w:t>
      </w:r>
      <w:r>
        <w:rPr/>
        <w:t>suggested</w:t>
      </w:r>
      <w:r>
        <w:rPr>
          <w:spacing w:val="-4"/>
        </w:rPr>
        <w:t> </w:t>
      </w:r>
      <w:r>
        <w:rPr/>
        <w:t>that</w:t>
      </w:r>
      <w:r>
        <w:rPr>
          <w:spacing w:val="-4"/>
        </w:rPr>
        <w:t> </w:t>
      </w:r>
      <w:r>
        <w:rPr/>
        <w:t>ESV</w:t>
      </w:r>
      <w:r>
        <w:rPr>
          <w:spacing w:val="-3"/>
        </w:rPr>
        <w:t> </w:t>
      </w:r>
      <w:r>
        <w:rPr/>
        <w:t>could</w:t>
      </w:r>
      <w:r>
        <w:rPr>
          <w:spacing w:val="-3"/>
        </w:rPr>
        <w:t> </w:t>
      </w:r>
      <w:r>
        <w:rPr/>
        <w:t>play</w:t>
      </w:r>
      <w:r>
        <w:rPr>
          <w:spacing w:val="-4"/>
        </w:rPr>
        <w:t> </w:t>
      </w:r>
      <w:r>
        <w:rPr/>
        <w:t>a</w:t>
      </w:r>
      <w:r>
        <w:rPr>
          <w:spacing w:val="-3"/>
        </w:rPr>
        <w:t> </w:t>
      </w:r>
      <w:r>
        <w:rPr/>
        <w:t>more</w:t>
      </w:r>
      <w:r>
        <w:rPr>
          <w:spacing w:val="-4"/>
        </w:rPr>
        <w:t> </w:t>
      </w:r>
      <w:r>
        <w:rPr/>
        <w:t>active role in facilitating the AER’s consideration of safety-related funding needs.</w:t>
      </w:r>
    </w:p>
    <w:p>
      <w:pPr>
        <w:pStyle w:val="BodyText"/>
        <w:rPr>
          <w:sz w:val="21"/>
        </w:rPr>
      </w:pPr>
    </w:p>
    <w:p>
      <w:pPr>
        <w:pStyle w:val="BodyText"/>
        <w:spacing w:line="288" w:lineRule="auto"/>
        <w:ind w:left="292" w:right="329"/>
      </w:pPr>
      <w:r>
        <w:rPr/>
        <w:t>The Review is presenting two recommendations that relate to the relationship between ESV and the AER. The first recommendation is intended to ensure that the relationship between the two regulators is periodically evaluated, and this is done in a structured way that is transparent. The Review considers that the relationship between the two regulators is of such importance that an annual</w:t>
      </w:r>
      <w:r>
        <w:rPr>
          <w:spacing w:val="-3"/>
        </w:rPr>
        <w:t> </w:t>
      </w:r>
      <w:r>
        <w:rPr/>
        <w:t>review</w:t>
      </w:r>
      <w:r>
        <w:rPr>
          <w:spacing w:val="-5"/>
        </w:rPr>
        <w:t> </w:t>
      </w:r>
      <w:r>
        <w:rPr/>
        <w:t>is</w:t>
      </w:r>
      <w:r>
        <w:rPr>
          <w:spacing w:val="-1"/>
        </w:rPr>
        <w:t> </w:t>
      </w:r>
      <w:r>
        <w:rPr/>
        <w:t>warranted, including</w:t>
      </w:r>
      <w:r>
        <w:rPr>
          <w:spacing w:val="-2"/>
        </w:rPr>
        <w:t> </w:t>
      </w:r>
      <w:r>
        <w:rPr/>
        <w:t>to</w:t>
      </w:r>
      <w:r>
        <w:rPr>
          <w:spacing w:val="-4"/>
        </w:rPr>
        <w:t> </w:t>
      </w:r>
      <w:r>
        <w:rPr/>
        <w:t>ensure</w:t>
      </w:r>
      <w:r>
        <w:rPr>
          <w:spacing w:val="-4"/>
        </w:rPr>
        <w:t> </w:t>
      </w:r>
      <w:r>
        <w:rPr/>
        <w:t>that any</w:t>
      </w:r>
      <w:r>
        <w:rPr>
          <w:spacing w:val="-4"/>
        </w:rPr>
        <w:t> </w:t>
      </w:r>
      <w:r>
        <w:rPr/>
        <w:t>concerns</w:t>
      </w:r>
      <w:r>
        <w:rPr>
          <w:spacing w:val="-2"/>
        </w:rPr>
        <w:t> </w:t>
      </w:r>
      <w:r>
        <w:rPr/>
        <w:t>or</w:t>
      </w:r>
      <w:r>
        <w:rPr>
          <w:spacing w:val="-1"/>
        </w:rPr>
        <w:t> </w:t>
      </w:r>
      <w:r>
        <w:rPr/>
        <w:t>weaknesses</w:t>
      </w:r>
      <w:r>
        <w:rPr>
          <w:spacing w:val="-4"/>
        </w:rPr>
        <w:t> </w:t>
      </w:r>
      <w:r>
        <w:rPr/>
        <w:t>that</w:t>
      </w:r>
      <w:r>
        <w:rPr>
          <w:spacing w:val="-3"/>
        </w:rPr>
        <w:t> </w:t>
      </w:r>
      <w:r>
        <w:rPr/>
        <w:t>may</w:t>
      </w:r>
      <w:r>
        <w:rPr>
          <w:spacing w:val="-4"/>
        </w:rPr>
        <w:t> </w:t>
      </w:r>
      <w:r>
        <w:rPr/>
        <w:t>emerge are identified and addressed expeditiously.</w:t>
      </w:r>
    </w:p>
    <w:p>
      <w:pPr>
        <w:spacing w:after="0" w:line="288" w:lineRule="auto"/>
        <w:sectPr>
          <w:pgSz w:w="11910" w:h="16850"/>
          <w:pgMar w:header="465" w:footer="880" w:top="660" w:bottom="1060" w:left="840" w:right="820"/>
        </w:sectPr>
      </w:pPr>
    </w:p>
    <w:p>
      <w:pPr>
        <w:pStyle w:val="BodyText"/>
        <w:rPr>
          <w:sz w:val="20"/>
        </w:rPr>
      </w:pPr>
    </w:p>
    <w:p>
      <w:pPr>
        <w:pStyle w:val="BodyText"/>
        <w:rPr>
          <w:sz w:val="20"/>
        </w:rPr>
      </w:pPr>
    </w:p>
    <w:p>
      <w:pPr>
        <w:pStyle w:val="BodyText"/>
        <w:spacing w:before="4"/>
      </w:pPr>
    </w:p>
    <w:p>
      <w:pPr>
        <w:pStyle w:val="BodyText"/>
        <w:spacing w:line="288" w:lineRule="auto"/>
        <w:ind w:left="292" w:right="346"/>
      </w:pPr>
      <w:r>
        <w:rPr/>
        <w:t>It is evident from submissions to the Review that there remains confusion among some stakeholders around how safety is factored into economic regulatory decisions by the AER. This is compounded by concerns that the safety-related programs that are factored into the AER's</w:t>
      </w:r>
      <w:r>
        <w:rPr/>
        <w:t> decision</w:t>
      </w:r>
      <w:r>
        <w:rPr>
          <w:spacing w:val="-3"/>
        </w:rPr>
        <w:t> </w:t>
      </w:r>
      <w:r>
        <w:rPr/>
        <w:t>making</w:t>
      </w:r>
      <w:r>
        <w:rPr>
          <w:spacing w:val="-1"/>
        </w:rPr>
        <w:t> </w:t>
      </w:r>
      <w:r>
        <w:rPr/>
        <w:t>processes</w:t>
      </w:r>
      <w:r>
        <w:rPr>
          <w:spacing w:val="-3"/>
        </w:rPr>
        <w:t> </w:t>
      </w:r>
      <w:r>
        <w:rPr/>
        <w:t>may</w:t>
      </w:r>
      <w:r>
        <w:rPr>
          <w:spacing w:val="-4"/>
        </w:rPr>
        <w:t> </w:t>
      </w:r>
      <w:r>
        <w:rPr/>
        <w:t>not</w:t>
      </w:r>
      <w:r>
        <w:rPr>
          <w:spacing w:val="-1"/>
        </w:rPr>
        <w:t> </w:t>
      </w:r>
      <w:r>
        <w:rPr/>
        <w:t>be</w:t>
      </w:r>
      <w:r>
        <w:rPr>
          <w:spacing w:val="-4"/>
        </w:rPr>
        <w:t> </w:t>
      </w:r>
      <w:r>
        <w:rPr/>
        <w:t>delivered</w:t>
      </w:r>
      <w:r>
        <w:rPr>
          <w:spacing w:val="-3"/>
        </w:rPr>
        <w:t> </w:t>
      </w:r>
      <w:r>
        <w:rPr/>
        <w:t>in</w:t>
      </w:r>
      <w:r>
        <w:rPr>
          <w:spacing w:val="-3"/>
        </w:rPr>
        <w:t> </w:t>
      </w:r>
      <w:r>
        <w:rPr/>
        <w:t>a</w:t>
      </w:r>
      <w:r>
        <w:rPr>
          <w:spacing w:val="-3"/>
        </w:rPr>
        <w:t> </w:t>
      </w:r>
      <w:r>
        <w:rPr/>
        <w:t>timely</w:t>
      </w:r>
      <w:r>
        <w:rPr>
          <w:spacing w:val="-6"/>
        </w:rPr>
        <w:t> </w:t>
      </w:r>
      <w:r>
        <w:rPr/>
        <w:t>fashion</w:t>
      </w:r>
      <w:r>
        <w:rPr>
          <w:spacing w:val="-3"/>
        </w:rPr>
        <w:t> </w:t>
      </w:r>
      <w:r>
        <w:rPr/>
        <w:t>by</w:t>
      </w:r>
      <w:r>
        <w:rPr>
          <w:spacing w:val="-4"/>
        </w:rPr>
        <w:t> </w:t>
      </w:r>
      <w:r>
        <w:rPr/>
        <w:t>regulated</w:t>
      </w:r>
      <w:r>
        <w:rPr>
          <w:spacing w:val="-3"/>
        </w:rPr>
        <w:t> </w:t>
      </w:r>
      <w:r>
        <w:rPr/>
        <w:t>businesses,</w:t>
      </w:r>
      <w:r>
        <w:rPr>
          <w:spacing w:val="-1"/>
        </w:rPr>
        <w:t> </w:t>
      </w:r>
      <w:r>
        <w:rPr/>
        <w:t>or,</w:t>
      </w:r>
      <w:r>
        <w:rPr>
          <w:spacing w:val="-3"/>
        </w:rPr>
        <w:t> </w:t>
      </w:r>
      <w:r>
        <w:rPr/>
        <w:t>in some cases, may not be delivered at all. When this occurs, questions may naturally arise as to whether Victorian energy consumers have, in effect, been required to pay higher prices without promised safety benefits being delivered.</w:t>
      </w:r>
    </w:p>
    <w:p>
      <w:pPr>
        <w:pStyle w:val="BodyText"/>
        <w:spacing w:before="10"/>
        <w:rPr>
          <w:sz w:val="20"/>
        </w:rPr>
      </w:pPr>
    </w:p>
    <w:p>
      <w:pPr>
        <w:pStyle w:val="BodyText"/>
        <w:spacing w:line="288" w:lineRule="auto"/>
        <w:ind w:left="292" w:right="374"/>
      </w:pPr>
      <w:r>
        <w:rPr/>
        <w:t>The</w:t>
      </w:r>
      <w:r>
        <w:rPr>
          <w:spacing w:val="-5"/>
        </w:rPr>
        <w:t> </w:t>
      </w:r>
      <w:r>
        <w:rPr/>
        <w:t>Review</w:t>
      </w:r>
      <w:r>
        <w:rPr>
          <w:spacing w:val="-6"/>
        </w:rPr>
        <w:t> </w:t>
      </w:r>
      <w:r>
        <w:rPr/>
        <w:t>is</w:t>
      </w:r>
      <w:r>
        <w:rPr>
          <w:spacing w:val="-2"/>
        </w:rPr>
        <w:t> </w:t>
      </w:r>
      <w:r>
        <w:rPr/>
        <w:t>not</w:t>
      </w:r>
      <w:r>
        <w:rPr>
          <w:spacing w:val="-1"/>
        </w:rPr>
        <w:t> </w:t>
      </w:r>
      <w:r>
        <w:rPr/>
        <w:t>proposing</w:t>
      </w:r>
      <w:r>
        <w:rPr>
          <w:spacing w:val="-3"/>
        </w:rPr>
        <w:t> </w:t>
      </w:r>
      <w:r>
        <w:rPr/>
        <w:t>fundamental</w:t>
      </w:r>
      <w:r>
        <w:rPr>
          <w:spacing w:val="-4"/>
        </w:rPr>
        <w:t> </w:t>
      </w:r>
      <w:r>
        <w:rPr/>
        <w:t>changes</w:t>
      </w:r>
      <w:r>
        <w:rPr>
          <w:spacing w:val="-2"/>
        </w:rPr>
        <w:t> </w:t>
      </w:r>
      <w:r>
        <w:rPr/>
        <w:t>to</w:t>
      </w:r>
      <w:r>
        <w:rPr>
          <w:spacing w:val="-5"/>
        </w:rPr>
        <w:t> </w:t>
      </w:r>
      <w:r>
        <w:rPr/>
        <w:t>the</w:t>
      </w:r>
      <w:r>
        <w:rPr>
          <w:spacing w:val="-5"/>
        </w:rPr>
        <w:t> </w:t>
      </w:r>
      <w:r>
        <w:rPr/>
        <w:t>system</w:t>
      </w:r>
      <w:r>
        <w:rPr>
          <w:spacing w:val="-2"/>
        </w:rPr>
        <w:t> </w:t>
      </w:r>
      <w:r>
        <w:rPr/>
        <w:t>of</w:t>
      </w:r>
      <w:r>
        <w:rPr>
          <w:spacing w:val="-1"/>
        </w:rPr>
        <w:t> </w:t>
      </w:r>
      <w:r>
        <w:rPr/>
        <w:t>economic</w:t>
      </w:r>
      <w:r>
        <w:rPr>
          <w:spacing w:val="-3"/>
        </w:rPr>
        <w:t> </w:t>
      </w:r>
      <w:r>
        <w:rPr/>
        <w:t>regulation,</w:t>
      </w:r>
      <w:r>
        <w:rPr>
          <w:spacing w:val="-1"/>
        </w:rPr>
        <w:t> </w:t>
      </w:r>
      <w:r>
        <w:rPr/>
        <w:t>which,</w:t>
      </w:r>
      <w:r>
        <w:rPr>
          <w:spacing w:val="-2"/>
        </w:rPr>
        <w:t> </w:t>
      </w:r>
      <w:r>
        <w:rPr/>
        <w:t>in any case, would raise complex issues beyond the Terms of Reference. Nevertheless, the Review is proposing that the integration of the economic</w:t>
      </w:r>
      <w:r>
        <w:rPr>
          <w:spacing w:val="-1"/>
        </w:rPr>
        <w:t> </w:t>
      </w:r>
      <w:r>
        <w:rPr/>
        <w:t>and safety systems should be reinforced through greater</w:t>
      </w:r>
      <w:r>
        <w:rPr>
          <w:spacing w:val="-4"/>
        </w:rPr>
        <w:t> </w:t>
      </w:r>
      <w:r>
        <w:rPr/>
        <w:t>transparency</w:t>
      </w:r>
      <w:r>
        <w:rPr>
          <w:spacing w:val="-5"/>
        </w:rPr>
        <w:t> </w:t>
      </w:r>
      <w:r>
        <w:rPr/>
        <w:t>and</w:t>
      </w:r>
      <w:r>
        <w:rPr>
          <w:spacing w:val="-3"/>
        </w:rPr>
        <w:t> </w:t>
      </w:r>
      <w:r>
        <w:rPr/>
        <w:t>accountability</w:t>
      </w:r>
      <w:r>
        <w:rPr>
          <w:spacing w:val="-5"/>
        </w:rPr>
        <w:t> </w:t>
      </w:r>
      <w:r>
        <w:rPr/>
        <w:t>around</w:t>
      </w:r>
      <w:r>
        <w:rPr>
          <w:spacing w:val="-6"/>
        </w:rPr>
        <w:t> </w:t>
      </w:r>
      <w:r>
        <w:rPr/>
        <w:t>the</w:t>
      </w:r>
      <w:r>
        <w:rPr>
          <w:spacing w:val="-3"/>
        </w:rPr>
        <w:t> </w:t>
      </w:r>
      <w:r>
        <w:rPr/>
        <w:t>delivery</w:t>
      </w:r>
      <w:r>
        <w:rPr>
          <w:spacing w:val="-4"/>
        </w:rPr>
        <w:t> </w:t>
      </w:r>
      <w:r>
        <w:rPr/>
        <w:t>of safety-related</w:t>
      </w:r>
      <w:r>
        <w:rPr>
          <w:spacing w:val="-3"/>
        </w:rPr>
        <w:t> </w:t>
      </w:r>
      <w:r>
        <w:rPr/>
        <w:t>programs.</w:t>
      </w:r>
      <w:r>
        <w:rPr>
          <w:spacing w:val="-4"/>
        </w:rPr>
        <w:t> </w:t>
      </w:r>
      <w:r>
        <w:rPr/>
        <w:t>Ultimately, the regulatory responsibility for ensuring that safety commitments are satisfactorily met by regulated businesses should rest with ESV as the safety regulator.</w:t>
      </w:r>
    </w:p>
    <w:p>
      <w:pPr>
        <w:pStyle w:val="BodyText"/>
        <w:spacing w:before="10"/>
        <w:rPr>
          <w:sz w:val="20"/>
        </w:rPr>
      </w:pPr>
    </w:p>
    <w:p>
      <w:pPr>
        <w:pStyle w:val="BodyText"/>
        <w:spacing w:line="288" w:lineRule="auto" w:before="1"/>
        <w:ind w:left="292" w:right="311"/>
      </w:pPr>
      <w:r>
        <w:rPr/>
        <w:t>In relation to gas supply specifically, the Review is also presenting recommendations aimed at strengthening coordinated planning and the consideration of the development of a clear reliability standard. This responds in part to concerns expressed by the Australian Energy Market Operator that the economic regulatory system is not sufficiently facilitating new investments in gas pipeline infrastructure.</w:t>
      </w:r>
      <w:r>
        <w:rPr>
          <w:spacing w:val="-6"/>
        </w:rPr>
        <w:t> </w:t>
      </w:r>
      <w:r>
        <w:rPr/>
        <w:t>Without</w:t>
      </w:r>
      <w:r>
        <w:rPr>
          <w:spacing w:val="-1"/>
        </w:rPr>
        <w:t> </w:t>
      </w:r>
      <w:r>
        <w:rPr/>
        <w:t>timely</w:t>
      </w:r>
      <w:r>
        <w:rPr>
          <w:spacing w:val="-2"/>
        </w:rPr>
        <w:t> </w:t>
      </w:r>
      <w:r>
        <w:rPr/>
        <w:t>investments,</w:t>
      </w:r>
      <w:r>
        <w:rPr>
          <w:spacing w:val="-1"/>
        </w:rPr>
        <w:t> </w:t>
      </w:r>
      <w:r>
        <w:rPr/>
        <w:t>there</w:t>
      </w:r>
      <w:r>
        <w:rPr>
          <w:spacing w:val="-2"/>
        </w:rPr>
        <w:t> </w:t>
      </w:r>
      <w:r>
        <w:rPr/>
        <w:t>may</w:t>
      </w:r>
      <w:r>
        <w:rPr>
          <w:spacing w:val="-2"/>
        </w:rPr>
        <w:t> </w:t>
      </w:r>
      <w:r>
        <w:rPr/>
        <w:t>be a deterioration in</w:t>
      </w:r>
      <w:r>
        <w:rPr>
          <w:spacing w:val="-2"/>
        </w:rPr>
        <w:t> </w:t>
      </w:r>
      <w:r>
        <w:rPr/>
        <w:t>the</w:t>
      </w:r>
      <w:r>
        <w:rPr>
          <w:spacing w:val="-2"/>
        </w:rPr>
        <w:t> </w:t>
      </w:r>
      <w:r>
        <w:rPr/>
        <w:t>reliability</w:t>
      </w:r>
      <w:r>
        <w:rPr>
          <w:spacing w:val="-2"/>
        </w:rPr>
        <w:t> </w:t>
      </w:r>
      <w:r>
        <w:rPr/>
        <w:t>of supply</w:t>
      </w:r>
      <w:r>
        <w:rPr>
          <w:spacing w:val="-2"/>
        </w:rPr>
        <w:t> </w:t>
      </w:r>
      <w:r>
        <w:rPr/>
        <w:t>to gas</w:t>
      </w:r>
      <w:r>
        <w:rPr>
          <w:spacing w:val="-5"/>
        </w:rPr>
        <w:t> </w:t>
      </w:r>
      <w:r>
        <w:rPr/>
        <w:t>consumers. Following</w:t>
      </w:r>
      <w:r>
        <w:rPr>
          <w:spacing w:val="-4"/>
        </w:rPr>
        <w:t> </w:t>
      </w:r>
      <w:r>
        <w:rPr/>
        <w:t>feedback</w:t>
      </w:r>
      <w:r>
        <w:rPr>
          <w:spacing w:val="-2"/>
        </w:rPr>
        <w:t> </w:t>
      </w:r>
      <w:r>
        <w:rPr/>
        <w:t>on</w:t>
      </w:r>
      <w:r>
        <w:rPr>
          <w:spacing w:val="-5"/>
        </w:rPr>
        <w:t> </w:t>
      </w:r>
      <w:r>
        <w:rPr/>
        <w:t>the</w:t>
      </w:r>
      <w:r>
        <w:rPr>
          <w:spacing w:val="-5"/>
        </w:rPr>
        <w:t> </w:t>
      </w:r>
      <w:r>
        <w:rPr/>
        <w:t>draft</w:t>
      </w:r>
      <w:r>
        <w:rPr>
          <w:spacing w:val="-4"/>
        </w:rPr>
        <w:t> </w:t>
      </w:r>
      <w:r>
        <w:rPr/>
        <w:t>recommendations</w:t>
      </w:r>
      <w:r>
        <w:rPr>
          <w:spacing w:val="-5"/>
        </w:rPr>
        <w:t> </w:t>
      </w:r>
      <w:r>
        <w:rPr/>
        <w:t>contained</w:t>
      </w:r>
      <w:r>
        <w:rPr>
          <w:spacing w:val="-3"/>
        </w:rPr>
        <w:t> </w:t>
      </w:r>
      <w:r>
        <w:rPr/>
        <w:t>in</w:t>
      </w:r>
      <w:r>
        <w:rPr>
          <w:spacing w:val="-3"/>
        </w:rPr>
        <w:t> </w:t>
      </w:r>
      <w:r>
        <w:rPr/>
        <w:t>the</w:t>
      </w:r>
      <w:r>
        <w:rPr>
          <w:spacing w:val="-5"/>
        </w:rPr>
        <w:t> </w:t>
      </w:r>
      <w:r>
        <w:rPr/>
        <w:t>Interim</w:t>
      </w:r>
      <w:r>
        <w:rPr>
          <w:spacing w:val="-2"/>
        </w:rPr>
        <w:t> </w:t>
      </w:r>
      <w:r>
        <w:rPr/>
        <w:t>Report, the Review is proposing a more staged approach to the consideration of these issues by the Victorian Government.</w:t>
      </w:r>
    </w:p>
    <w:p>
      <w:pPr>
        <w:pStyle w:val="BodyText"/>
        <w:spacing w:before="9"/>
        <w:rPr>
          <w:sz w:val="18"/>
        </w:rPr>
      </w:pPr>
      <w:r>
        <w:rPr/>
        <mc:AlternateContent>
          <mc:Choice Requires="wps">
            <w:drawing>
              <wp:anchor distT="0" distB="0" distL="0" distR="0" allowOverlap="1" layoutInCell="1" locked="0" behindDoc="1" simplePos="0" relativeHeight="487590912">
                <wp:simplePos x="0" y="0"/>
                <wp:positionH relativeFrom="page">
                  <wp:posOffset>719327</wp:posOffset>
                </wp:positionH>
                <wp:positionV relativeFrom="paragraph">
                  <wp:posOffset>152426</wp:posOffset>
                </wp:positionV>
                <wp:extent cx="5753100" cy="3996690"/>
                <wp:effectExtent l="0" t="0" r="0" b="0"/>
                <wp:wrapTopAndBottom/>
                <wp:docPr id="10" name="Textbox 10"/>
                <wp:cNvGraphicFramePr>
                  <a:graphicFrameLocks/>
                </wp:cNvGraphicFramePr>
                <a:graphic>
                  <a:graphicData uri="http://schemas.microsoft.com/office/word/2010/wordprocessingShape">
                    <wps:wsp>
                      <wps:cNvPr id="10" name="Textbox 10"/>
                      <wps:cNvSpPr txBox="1"/>
                      <wps:spPr>
                        <a:xfrm>
                          <a:off x="0" y="0"/>
                          <a:ext cx="5753100" cy="3996690"/>
                        </a:xfrm>
                        <a:prstGeom prst="rect">
                          <a:avLst/>
                        </a:prstGeom>
                        <a:solidFill>
                          <a:srgbClr val="D9D9D9"/>
                        </a:solidFill>
                      </wps:spPr>
                      <wps:txbx>
                        <w:txbxContent>
                          <w:p>
                            <w:pPr>
                              <w:pStyle w:val="BodyText"/>
                              <w:spacing w:before="10"/>
                              <w:rPr>
                                <w:color w:val="000000"/>
                                <w:sz w:val="20"/>
                              </w:rPr>
                            </w:pPr>
                          </w:p>
                          <w:p>
                            <w:pPr>
                              <w:spacing w:line="288" w:lineRule="auto" w:before="0"/>
                              <w:ind w:left="112" w:right="50" w:firstLine="0"/>
                              <w:jc w:val="left"/>
                              <w:rPr>
                                <w:b/>
                                <w:color w:val="000000"/>
                                <w:sz w:val="22"/>
                              </w:rPr>
                            </w:pPr>
                            <w:r>
                              <w:rPr>
                                <w:b/>
                                <w:color w:val="000000"/>
                                <w:sz w:val="22"/>
                              </w:rPr>
                              <w:t>Summary</w:t>
                            </w:r>
                            <w:r>
                              <w:rPr>
                                <w:b/>
                                <w:color w:val="000000"/>
                                <w:spacing w:val="-6"/>
                                <w:sz w:val="22"/>
                              </w:rPr>
                              <w:t> </w:t>
                            </w:r>
                            <w:r>
                              <w:rPr>
                                <w:b/>
                                <w:color w:val="000000"/>
                                <w:sz w:val="22"/>
                              </w:rPr>
                              <w:t>of</w:t>
                            </w:r>
                            <w:r>
                              <w:rPr>
                                <w:b/>
                                <w:color w:val="000000"/>
                                <w:spacing w:val="-1"/>
                                <w:sz w:val="22"/>
                              </w:rPr>
                              <w:t> </w:t>
                            </w:r>
                            <w:r>
                              <w:rPr>
                                <w:b/>
                                <w:color w:val="000000"/>
                                <w:sz w:val="22"/>
                              </w:rPr>
                              <w:t>recommendations:</w:t>
                            </w:r>
                            <w:r>
                              <w:rPr>
                                <w:b/>
                                <w:color w:val="000000"/>
                                <w:spacing w:val="-4"/>
                                <w:sz w:val="22"/>
                              </w:rPr>
                              <w:t> </w:t>
                            </w:r>
                            <w:r>
                              <w:rPr>
                                <w:b/>
                                <w:color w:val="000000"/>
                                <w:sz w:val="22"/>
                              </w:rPr>
                              <w:t>Integrating</w:t>
                            </w:r>
                            <w:r>
                              <w:rPr>
                                <w:b/>
                                <w:color w:val="000000"/>
                                <w:spacing w:val="-6"/>
                                <w:sz w:val="22"/>
                              </w:rPr>
                              <w:t> </w:t>
                            </w:r>
                            <w:r>
                              <w:rPr>
                                <w:b/>
                                <w:color w:val="000000"/>
                                <w:sz w:val="22"/>
                              </w:rPr>
                              <w:t>safety</w:t>
                            </w:r>
                            <w:r>
                              <w:rPr>
                                <w:b/>
                                <w:color w:val="000000"/>
                                <w:spacing w:val="-6"/>
                                <w:sz w:val="22"/>
                              </w:rPr>
                              <w:t> </w:t>
                            </w:r>
                            <w:r>
                              <w:rPr>
                                <w:b/>
                                <w:color w:val="000000"/>
                                <w:sz w:val="22"/>
                              </w:rPr>
                              <w:t>regulation</w:t>
                            </w:r>
                            <w:r>
                              <w:rPr>
                                <w:b/>
                                <w:color w:val="000000"/>
                                <w:spacing w:val="-7"/>
                                <w:sz w:val="22"/>
                              </w:rPr>
                              <w:t> </w:t>
                            </w:r>
                            <w:r>
                              <w:rPr>
                                <w:b/>
                                <w:color w:val="000000"/>
                                <w:sz w:val="22"/>
                              </w:rPr>
                              <w:t>with</w:t>
                            </w:r>
                            <w:r>
                              <w:rPr>
                                <w:b/>
                                <w:color w:val="000000"/>
                                <w:spacing w:val="-5"/>
                                <w:sz w:val="22"/>
                              </w:rPr>
                              <w:t> </w:t>
                            </w:r>
                            <w:r>
                              <w:rPr>
                                <w:b/>
                                <w:color w:val="000000"/>
                                <w:sz w:val="22"/>
                              </w:rPr>
                              <w:t>economic </w:t>
                            </w:r>
                            <w:r>
                              <w:rPr>
                                <w:b/>
                                <w:color w:val="000000"/>
                                <w:spacing w:val="-2"/>
                                <w:sz w:val="22"/>
                              </w:rPr>
                              <w:t>regulation</w:t>
                            </w:r>
                          </w:p>
                          <w:p>
                            <w:pPr>
                              <w:pStyle w:val="BodyText"/>
                              <w:spacing w:before="10"/>
                              <w:rPr>
                                <w:b/>
                                <w:color w:val="000000"/>
                                <w:sz w:val="20"/>
                              </w:rPr>
                            </w:pPr>
                          </w:p>
                          <w:p>
                            <w:pPr>
                              <w:pStyle w:val="BodyText"/>
                              <w:ind w:left="112"/>
                              <w:rPr>
                                <w:color w:val="000000"/>
                              </w:rPr>
                            </w:pPr>
                            <w:r>
                              <w:rPr>
                                <w:color w:val="000000"/>
                              </w:rPr>
                              <w:t>Recommendations</w:t>
                            </w:r>
                            <w:r>
                              <w:rPr>
                                <w:color w:val="000000"/>
                                <w:spacing w:val="-6"/>
                              </w:rPr>
                              <w:t> </w:t>
                            </w:r>
                            <w:r>
                              <w:rPr>
                                <w:color w:val="000000"/>
                              </w:rPr>
                              <w:t>presented</w:t>
                            </w:r>
                            <w:r>
                              <w:rPr>
                                <w:color w:val="000000"/>
                                <w:spacing w:val="-6"/>
                              </w:rPr>
                              <w:t> </w:t>
                            </w:r>
                            <w:r>
                              <w:rPr>
                                <w:color w:val="000000"/>
                              </w:rPr>
                              <w:t>by</w:t>
                            </w:r>
                            <w:r>
                              <w:rPr>
                                <w:color w:val="000000"/>
                                <w:spacing w:val="-9"/>
                              </w:rPr>
                              <w:t> </w:t>
                            </w:r>
                            <w:r>
                              <w:rPr>
                                <w:color w:val="000000"/>
                              </w:rPr>
                              <w:t>the</w:t>
                            </w:r>
                            <w:r>
                              <w:rPr>
                                <w:color w:val="000000"/>
                                <w:spacing w:val="-8"/>
                              </w:rPr>
                              <w:t> </w:t>
                            </w:r>
                            <w:r>
                              <w:rPr>
                                <w:color w:val="000000"/>
                              </w:rPr>
                              <w:t>Review</w:t>
                            </w:r>
                            <w:r>
                              <w:rPr>
                                <w:color w:val="000000"/>
                                <w:spacing w:val="-9"/>
                              </w:rPr>
                              <w:t> </w:t>
                            </w:r>
                            <w:r>
                              <w:rPr>
                                <w:color w:val="000000"/>
                                <w:spacing w:val="-2"/>
                              </w:rPr>
                              <w:t>include:</w:t>
                            </w:r>
                          </w:p>
                          <w:p>
                            <w:pPr>
                              <w:pStyle w:val="BodyText"/>
                              <w:spacing w:before="10"/>
                              <w:rPr>
                                <w:color w:val="000000"/>
                                <w:sz w:val="26"/>
                              </w:rPr>
                            </w:pPr>
                          </w:p>
                          <w:p>
                            <w:pPr>
                              <w:pStyle w:val="BodyText"/>
                              <w:numPr>
                                <w:ilvl w:val="0"/>
                                <w:numId w:val="12"/>
                              </w:numPr>
                              <w:tabs>
                                <w:tab w:pos="500" w:val="left" w:leader="none"/>
                                <w:tab w:pos="502" w:val="left" w:leader="none"/>
                              </w:tabs>
                              <w:spacing w:line="285" w:lineRule="auto" w:before="0" w:after="0"/>
                              <w:ind w:left="502" w:right="1913" w:hanging="219"/>
                              <w:jc w:val="left"/>
                              <w:rPr>
                                <w:color w:val="000000"/>
                              </w:rPr>
                            </w:pPr>
                            <w:r>
                              <w:rPr>
                                <w:color w:val="000000"/>
                              </w:rPr>
                              <w:t>strengthening</w:t>
                            </w:r>
                            <w:r>
                              <w:rPr>
                                <w:color w:val="000000"/>
                                <w:spacing w:val="-6"/>
                              </w:rPr>
                              <w:t> </w:t>
                            </w:r>
                            <w:r>
                              <w:rPr>
                                <w:color w:val="000000"/>
                              </w:rPr>
                              <w:t>the</w:t>
                            </w:r>
                            <w:r>
                              <w:rPr>
                                <w:color w:val="000000"/>
                                <w:spacing w:val="-4"/>
                              </w:rPr>
                              <w:t> </w:t>
                            </w:r>
                            <w:r>
                              <w:rPr>
                                <w:color w:val="000000"/>
                              </w:rPr>
                              <w:t>working</w:t>
                            </w:r>
                            <w:r>
                              <w:rPr>
                                <w:color w:val="000000"/>
                                <w:spacing w:val="-4"/>
                              </w:rPr>
                              <w:t> </w:t>
                            </w:r>
                            <w:r>
                              <w:rPr>
                                <w:color w:val="000000"/>
                              </w:rPr>
                              <w:t>arrangements</w:t>
                            </w:r>
                            <w:r>
                              <w:rPr>
                                <w:color w:val="000000"/>
                                <w:spacing w:val="-3"/>
                              </w:rPr>
                              <w:t> </w:t>
                            </w:r>
                            <w:r>
                              <w:rPr>
                                <w:color w:val="000000"/>
                              </w:rPr>
                              <w:t>between</w:t>
                            </w:r>
                            <w:r>
                              <w:rPr>
                                <w:color w:val="000000"/>
                                <w:spacing w:val="-4"/>
                              </w:rPr>
                              <w:t> </w:t>
                            </w:r>
                            <w:r>
                              <w:rPr>
                                <w:color w:val="000000"/>
                              </w:rPr>
                              <w:t>ESV</w:t>
                            </w:r>
                            <w:r>
                              <w:rPr>
                                <w:color w:val="000000"/>
                                <w:spacing w:val="-4"/>
                              </w:rPr>
                              <w:t> </w:t>
                            </w:r>
                            <w:r>
                              <w:rPr>
                                <w:color w:val="000000"/>
                              </w:rPr>
                              <w:t>and</w:t>
                            </w:r>
                            <w:r>
                              <w:rPr>
                                <w:color w:val="000000"/>
                                <w:spacing w:val="-6"/>
                              </w:rPr>
                              <w:t> </w:t>
                            </w:r>
                            <w:r>
                              <w:rPr>
                                <w:color w:val="000000"/>
                              </w:rPr>
                              <w:t>the</w:t>
                            </w:r>
                            <w:r>
                              <w:rPr>
                                <w:color w:val="000000"/>
                                <w:spacing w:val="-4"/>
                              </w:rPr>
                              <w:t> </w:t>
                            </w:r>
                            <w:r>
                              <w:rPr>
                                <w:color w:val="000000"/>
                              </w:rPr>
                              <w:t>AER (Recommendation 20);</w:t>
                            </w:r>
                          </w:p>
                          <w:p>
                            <w:pPr>
                              <w:pStyle w:val="BodyText"/>
                              <w:spacing w:before="6"/>
                              <w:rPr>
                                <w:color w:val="000000"/>
                              </w:rPr>
                            </w:pPr>
                          </w:p>
                          <w:p>
                            <w:pPr>
                              <w:pStyle w:val="BodyText"/>
                              <w:numPr>
                                <w:ilvl w:val="0"/>
                                <w:numId w:val="12"/>
                              </w:numPr>
                              <w:tabs>
                                <w:tab w:pos="500" w:val="left" w:leader="none"/>
                                <w:tab w:pos="502" w:val="left" w:leader="none"/>
                              </w:tabs>
                              <w:spacing w:line="288" w:lineRule="auto" w:before="0" w:after="0"/>
                              <w:ind w:left="502" w:right="378" w:hanging="219"/>
                              <w:jc w:val="left"/>
                              <w:rPr>
                                <w:color w:val="000000"/>
                              </w:rPr>
                            </w:pPr>
                            <w:r>
                              <w:rPr>
                                <w:color w:val="000000"/>
                              </w:rPr>
                              <w:t>the</w:t>
                            </w:r>
                            <w:r>
                              <w:rPr>
                                <w:color w:val="000000"/>
                                <w:spacing w:val="-4"/>
                              </w:rPr>
                              <w:t> </w:t>
                            </w:r>
                            <w:r>
                              <w:rPr>
                                <w:color w:val="000000"/>
                              </w:rPr>
                              <w:t>development</w:t>
                            </w:r>
                            <w:r>
                              <w:rPr>
                                <w:color w:val="000000"/>
                                <w:spacing w:val="-5"/>
                              </w:rPr>
                              <w:t> </w:t>
                            </w:r>
                            <w:r>
                              <w:rPr>
                                <w:color w:val="000000"/>
                              </w:rPr>
                              <w:t>of</w:t>
                            </w:r>
                            <w:r>
                              <w:rPr>
                                <w:color w:val="000000"/>
                                <w:spacing w:val="-2"/>
                              </w:rPr>
                              <w:t> </w:t>
                            </w:r>
                            <w:r>
                              <w:rPr>
                                <w:color w:val="000000"/>
                              </w:rPr>
                              <w:t>better</w:t>
                            </w:r>
                            <w:r>
                              <w:rPr>
                                <w:color w:val="000000"/>
                                <w:spacing w:val="-3"/>
                              </w:rPr>
                              <w:t> </w:t>
                            </w:r>
                            <w:r>
                              <w:rPr>
                                <w:color w:val="000000"/>
                              </w:rPr>
                              <w:t>protocols</w:t>
                            </w:r>
                            <w:r>
                              <w:rPr>
                                <w:color w:val="000000"/>
                                <w:spacing w:val="-6"/>
                              </w:rPr>
                              <w:t> </w:t>
                            </w:r>
                            <w:r>
                              <w:rPr>
                                <w:color w:val="000000"/>
                              </w:rPr>
                              <w:t>to</w:t>
                            </w:r>
                            <w:r>
                              <w:rPr>
                                <w:color w:val="000000"/>
                                <w:spacing w:val="-8"/>
                              </w:rPr>
                              <w:t> </w:t>
                            </w:r>
                            <w:r>
                              <w:rPr>
                                <w:color w:val="000000"/>
                              </w:rPr>
                              <w:t>facilitate</w:t>
                            </w:r>
                            <w:r>
                              <w:rPr>
                                <w:color w:val="000000"/>
                                <w:spacing w:val="-6"/>
                              </w:rPr>
                              <w:t> </w:t>
                            </w:r>
                            <w:r>
                              <w:rPr>
                                <w:color w:val="000000"/>
                              </w:rPr>
                              <w:t>more</w:t>
                            </w:r>
                            <w:r>
                              <w:rPr>
                                <w:color w:val="000000"/>
                                <w:spacing w:val="-3"/>
                              </w:rPr>
                              <w:t> </w:t>
                            </w:r>
                            <w:r>
                              <w:rPr>
                                <w:color w:val="000000"/>
                              </w:rPr>
                              <w:t>effective</w:t>
                            </w:r>
                            <w:r>
                              <w:rPr>
                                <w:color w:val="000000"/>
                                <w:spacing w:val="-4"/>
                              </w:rPr>
                              <w:t> </w:t>
                            </w:r>
                            <w:r>
                              <w:rPr>
                                <w:color w:val="000000"/>
                              </w:rPr>
                              <w:t>engagement</w:t>
                            </w:r>
                            <w:r>
                              <w:rPr>
                                <w:color w:val="000000"/>
                                <w:spacing w:val="-2"/>
                              </w:rPr>
                              <w:t> </w:t>
                            </w:r>
                            <w:r>
                              <w:rPr>
                                <w:color w:val="000000"/>
                              </w:rPr>
                              <w:t>between ESV and regulated network businesses as an input into pricing review processes conducted by the AER (Recommendation 21);</w:t>
                            </w:r>
                          </w:p>
                          <w:p>
                            <w:pPr>
                              <w:pStyle w:val="BodyText"/>
                              <w:spacing w:before="1"/>
                              <w:rPr>
                                <w:color w:val="000000"/>
                              </w:rPr>
                            </w:pPr>
                          </w:p>
                          <w:p>
                            <w:pPr>
                              <w:pStyle w:val="BodyText"/>
                              <w:numPr>
                                <w:ilvl w:val="0"/>
                                <w:numId w:val="12"/>
                              </w:numPr>
                              <w:tabs>
                                <w:tab w:pos="500" w:val="left" w:leader="none"/>
                                <w:tab w:pos="502" w:val="left" w:leader="none"/>
                              </w:tabs>
                              <w:spacing w:line="288" w:lineRule="auto" w:before="0" w:after="0"/>
                              <w:ind w:left="502" w:right="266" w:hanging="219"/>
                              <w:jc w:val="left"/>
                              <w:rPr>
                                <w:color w:val="000000"/>
                              </w:rPr>
                            </w:pPr>
                            <w:r>
                              <w:rPr>
                                <w:color w:val="000000"/>
                              </w:rPr>
                              <w:t>strengthened</w:t>
                            </w:r>
                            <w:r>
                              <w:rPr>
                                <w:color w:val="000000"/>
                                <w:spacing w:val="-6"/>
                              </w:rPr>
                              <w:t> </w:t>
                            </w:r>
                            <w:r>
                              <w:rPr>
                                <w:color w:val="000000"/>
                              </w:rPr>
                              <w:t>transparency</w:t>
                            </w:r>
                            <w:r>
                              <w:rPr>
                                <w:color w:val="000000"/>
                                <w:spacing w:val="-6"/>
                              </w:rPr>
                              <w:t> </w:t>
                            </w:r>
                            <w:r>
                              <w:rPr>
                                <w:color w:val="000000"/>
                              </w:rPr>
                              <w:t>around</w:t>
                            </w:r>
                            <w:r>
                              <w:rPr>
                                <w:color w:val="000000"/>
                                <w:spacing w:val="-4"/>
                              </w:rPr>
                              <w:t> </w:t>
                            </w:r>
                            <w:r>
                              <w:rPr>
                                <w:color w:val="000000"/>
                              </w:rPr>
                              <w:t>the</w:t>
                            </w:r>
                            <w:r>
                              <w:rPr>
                                <w:color w:val="000000"/>
                                <w:spacing w:val="-6"/>
                              </w:rPr>
                              <w:t> </w:t>
                            </w:r>
                            <w:r>
                              <w:rPr>
                                <w:color w:val="000000"/>
                              </w:rPr>
                              <w:t>implementation</w:t>
                            </w:r>
                            <w:r>
                              <w:rPr>
                                <w:color w:val="000000"/>
                                <w:spacing w:val="-4"/>
                              </w:rPr>
                              <w:t> </w:t>
                            </w:r>
                            <w:r>
                              <w:rPr>
                                <w:color w:val="000000"/>
                              </w:rPr>
                              <w:t>of</w:t>
                            </w:r>
                            <w:r>
                              <w:rPr>
                                <w:color w:val="000000"/>
                                <w:spacing w:val="-2"/>
                              </w:rPr>
                              <w:t> </w:t>
                            </w:r>
                            <w:r>
                              <w:rPr>
                                <w:color w:val="000000"/>
                              </w:rPr>
                              <w:t>safety</w:t>
                            </w:r>
                            <w:r>
                              <w:rPr>
                                <w:color w:val="000000"/>
                                <w:spacing w:val="-5"/>
                              </w:rPr>
                              <w:t> </w:t>
                            </w:r>
                            <w:r>
                              <w:rPr>
                                <w:color w:val="000000"/>
                              </w:rPr>
                              <w:t>programs</w:t>
                            </w:r>
                            <w:r>
                              <w:rPr>
                                <w:color w:val="000000"/>
                                <w:spacing w:val="-6"/>
                              </w:rPr>
                              <w:t> </w:t>
                            </w:r>
                            <w:r>
                              <w:rPr>
                                <w:color w:val="000000"/>
                              </w:rPr>
                              <w:t>by</w:t>
                            </w:r>
                            <w:r>
                              <w:rPr>
                                <w:color w:val="000000"/>
                                <w:spacing w:val="-6"/>
                              </w:rPr>
                              <w:t> </w:t>
                            </w:r>
                            <w:r>
                              <w:rPr>
                                <w:color w:val="000000"/>
                              </w:rPr>
                              <w:t>network operators that have been accepted by the AER in its pricing decisions, including through progress reporting by ESV in its annual network safety performance reports (Recommendation 22); and</w:t>
                            </w:r>
                          </w:p>
                          <w:p>
                            <w:pPr>
                              <w:pStyle w:val="BodyText"/>
                              <w:spacing w:before="4"/>
                              <w:rPr>
                                <w:color w:val="000000"/>
                              </w:rPr>
                            </w:pPr>
                          </w:p>
                          <w:p>
                            <w:pPr>
                              <w:pStyle w:val="BodyText"/>
                              <w:numPr>
                                <w:ilvl w:val="0"/>
                                <w:numId w:val="12"/>
                              </w:numPr>
                              <w:tabs>
                                <w:tab w:pos="500" w:val="left" w:leader="none"/>
                                <w:tab w:pos="502" w:val="left" w:leader="none"/>
                              </w:tabs>
                              <w:spacing w:line="288" w:lineRule="auto" w:before="0" w:after="0"/>
                              <w:ind w:left="502" w:right="299" w:hanging="219"/>
                              <w:jc w:val="left"/>
                              <w:rPr>
                                <w:color w:val="000000"/>
                              </w:rPr>
                            </w:pPr>
                            <w:r>
                              <w:rPr>
                                <w:color w:val="000000"/>
                              </w:rPr>
                              <w:t>consideration</w:t>
                            </w:r>
                            <w:r>
                              <w:rPr>
                                <w:color w:val="000000"/>
                                <w:spacing w:val="-3"/>
                              </w:rPr>
                              <w:t> </w:t>
                            </w:r>
                            <w:r>
                              <w:rPr>
                                <w:color w:val="000000"/>
                              </w:rPr>
                              <w:t>of</w:t>
                            </w:r>
                            <w:r>
                              <w:rPr>
                                <w:color w:val="000000"/>
                                <w:spacing w:val="-1"/>
                              </w:rPr>
                              <w:t> </w:t>
                            </w:r>
                            <w:r>
                              <w:rPr>
                                <w:color w:val="000000"/>
                              </w:rPr>
                              <w:t>improved</w:t>
                            </w:r>
                            <w:r>
                              <w:rPr>
                                <w:color w:val="000000"/>
                                <w:spacing w:val="-3"/>
                              </w:rPr>
                              <w:t> </w:t>
                            </w:r>
                            <w:r>
                              <w:rPr>
                                <w:color w:val="000000"/>
                              </w:rPr>
                              <w:t>arrangements</w:t>
                            </w:r>
                            <w:r>
                              <w:rPr>
                                <w:color w:val="000000"/>
                                <w:spacing w:val="-5"/>
                              </w:rPr>
                              <w:t> </w:t>
                            </w:r>
                            <w:r>
                              <w:rPr>
                                <w:color w:val="000000"/>
                              </w:rPr>
                              <w:t>to</w:t>
                            </w:r>
                            <w:r>
                              <w:rPr>
                                <w:color w:val="000000"/>
                                <w:spacing w:val="-5"/>
                              </w:rPr>
                              <w:t> </w:t>
                            </w:r>
                            <w:r>
                              <w:rPr>
                                <w:color w:val="000000"/>
                              </w:rPr>
                              <w:t>plan</w:t>
                            </w:r>
                            <w:r>
                              <w:rPr>
                                <w:color w:val="000000"/>
                                <w:spacing w:val="-5"/>
                              </w:rPr>
                              <w:t> </w:t>
                            </w:r>
                            <w:r>
                              <w:rPr>
                                <w:color w:val="000000"/>
                              </w:rPr>
                              <w:t>for</w:t>
                            </w:r>
                            <w:r>
                              <w:rPr>
                                <w:color w:val="000000"/>
                                <w:spacing w:val="-4"/>
                              </w:rPr>
                              <w:t> </w:t>
                            </w:r>
                            <w:r>
                              <w:rPr>
                                <w:color w:val="000000"/>
                              </w:rPr>
                              <w:t>future</w:t>
                            </w:r>
                            <w:r>
                              <w:rPr>
                                <w:color w:val="000000"/>
                                <w:spacing w:val="-3"/>
                              </w:rPr>
                              <w:t> </w:t>
                            </w:r>
                            <w:r>
                              <w:rPr>
                                <w:color w:val="000000"/>
                              </w:rPr>
                              <w:t>expansion</w:t>
                            </w:r>
                            <w:r>
                              <w:rPr>
                                <w:color w:val="000000"/>
                                <w:spacing w:val="-3"/>
                              </w:rPr>
                              <w:t> </w:t>
                            </w:r>
                            <w:r>
                              <w:rPr>
                                <w:color w:val="000000"/>
                              </w:rPr>
                              <w:t>in</w:t>
                            </w:r>
                            <w:r>
                              <w:rPr>
                                <w:color w:val="000000"/>
                                <w:spacing w:val="-5"/>
                              </w:rPr>
                              <w:t> </w:t>
                            </w:r>
                            <w:r>
                              <w:rPr>
                                <w:color w:val="000000"/>
                              </w:rPr>
                              <w:t>gas</w:t>
                            </w:r>
                            <w:r>
                              <w:rPr>
                                <w:color w:val="000000"/>
                                <w:spacing w:val="-2"/>
                              </w:rPr>
                              <w:t> </w:t>
                            </w:r>
                            <w:r>
                              <w:rPr>
                                <w:color w:val="000000"/>
                              </w:rPr>
                              <w:t>networks and to ensure that necessary investments to maintain reliability are recognised in economic regulatory decision making (Recommendations 23 and 24).</w:t>
                            </w:r>
                          </w:p>
                        </w:txbxContent>
                      </wps:txbx>
                      <wps:bodyPr wrap="square" lIns="0" tIns="0" rIns="0" bIns="0" rtlCol="0">
                        <a:noAutofit/>
                      </wps:bodyPr>
                    </wps:wsp>
                  </a:graphicData>
                </a:graphic>
              </wp:anchor>
            </w:drawing>
          </mc:Choice>
          <mc:Fallback>
            <w:pict>
              <v:shape style="position:absolute;margin-left:56.639999pt;margin-top:12.00205pt;width:453pt;height:314.7pt;mso-position-horizontal-relative:page;mso-position-vertical-relative:paragraph;z-index:-15725568;mso-wrap-distance-left:0;mso-wrap-distance-right:0" type="#_x0000_t202" id="docshape9" filled="true" fillcolor="#d9d9d9" stroked="false">
                <v:textbox inset="0,0,0,0">
                  <w:txbxContent>
                    <w:p>
                      <w:pPr>
                        <w:pStyle w:val="BodyText"/>
                        <w:spacing w:before="10"/>
                        <w:rPr>
                          <w:color w:val="000000"/>
                          <w:sz w:val="20"/>
                        </w:rPr>
                      </w:pPr>
                    </w:p>
                    <w:p>
                      <w:pPr>
                        <w:spacing w:line="288" w:lineRule="auto" w:before="0"/>
                        <w:ind w:left="112" w:right="50" w:firstLine="0"/>
                        <w:jc w:val="left"/>
                        <w:rPr>
                          <w:b/>
                          <w:color w:val="000000"/>
                          <w:sz w:val="22"/>
                        </w:rPr>
                      </w:pPr>
                      <w:r>
                        <w:rPr>
                          <w:b/>
                          <w:color w:val="000000"/>
                          <w:sz w:val="22"/>
                        </w:rPr>
                        <w:t>Summary</w:t>
                      </w:r>
                      <w:r>
                        <w:rPr>
                          <w:b/>
                          <w:color w:val="000000"/>
                          <w:spacing w:val="-6"/>
                          <w:sz w:val="22"/>
                        </w:rPr>
                        <w:t> </w:t>
                      </w:r>
                      <w:r>
                        <w:rPr>
                          <w:b/>
                          <w:color w:val="000000"/>
                          <w:sz w:val="22"/>
                        </w:rPr>
                        <w:t>of</w:t>
                      </w:r>
                      <w:r>
                        <w:rPr>
                          <w:b/>
                          <w:color w:val="000000"/>
                          <w:spacing w:val="-1"/>
                          <w:sz w:val="22"/>
                        </w:rPr>
                        <w:t> </w:t>
                      </w:r>
                      <w:r>
                        <w:rPr>
                          <w:b/>
                          <w:color w:val="000000"/>
                          <w:sz w:val="22"/>
                        </w:rPr>
                        <w:t>recommendations:</w:t>
                      </w:r>
                      <w:r>
                        <w:rPr>
                          <w:b/>
                          <w:color w:val="000000"/>
                          <w:spacing w:val="-4"/>
                          <w:sz w:val="22"/>
                        </w:rPr>
                        <w:t> </w:t>
                      </w:r>
                      <w:r>
                        <w:rPr>
                          <w:b/>
                          <w:color w:val="000000"/>
                          <w:sz w:val="22"/>
                        </w:rPr>
                        <w:t>Integrating</w:t>
                      </w:r>
                      <w:r>
                        <w:rPr>
                          <w:b/>
                          <w:color w:val="000000"/>
                          <w:spacing w:val="-6"/>
                          <w:sz w:val="22"/>
                        </w:rPr>
                        <w:t> </w:t>
                      </w:r>
                      <w:r>
                        <w:rPr>
                          <w:b/>
                          <w:color w:val="000000"/>
                          <w:sz w:val="22"/>
                        </w:rPr>
                        <w:t>safety</w:t>
                      </w:r>
                      <w:r>
                        <w:rPr>
                          <w:b/>
                          <w:color w:val="000000"/>
                          <w:spacing w:val="-6"/>
                          <w:sz w:val="22"/>
                        </w:rPr>
                        <w:t> </w:t>
                      </w:r>
                      <w:r>
                        <w:rPr>
                          <w:b/>
                          <w:color w:val="000000"/>
                          <w:sz w:val="22"/>
                        </w:rPr>
                        <w:t>regulation</w:t>
                      </w:r>
                      <w:r>
                        <w:rPr>
                          <w:b/>
                          <w:color w:val="000000"/>
                          <w:spacing w:val="-7"/>
                          <w:sz w:val="22"/>
                        </w:rPr>
                        <w:t> </w:t>
                      </w:r>
                      <w:r>
                        <w:rPr>
                          <w:b/>
                          <w:color w:val="000000"/>
                          <w:sz w:val="22"/>
                        </w:rPr>
                        <w:t>with</w:t>
                      </w:r>
                      <w:r>
                        <w:rPr>
                          <w:b/>
                          <w:color w:val="000000"/>
                          <w:spacing w:val="-5"/>
                          <w:sz w:val="22"/>
                        </w:rPr>
                        <w:t> </w:t>
                      </w:r>
                      <w:r>
                        <w:rPr>
                          <w:b/>
                          <w:color w:val="000000"/>
                          <w:sz w:val="22"/>
                        </w:rPr>
                        <w:t>economic </w:t>
                      </w:r>
                      <w:r>
                        <w:rPr>
                          <w:b/>
                          <w:color w:val="000000"/>
                          <w:spacing w:val="-2"/>
                          <w:sz w:val="22"/>
                        </w:rPr>
                        <w:t>regulation</w:t>
                      </w:r>
                    </w:p>
                    <w:p>
                      <w:pPr>
                        <w:pStyle w:val="BodyText"/>
                        <w:spacing w:before="10"/>
                        <w:rPr>
                          <w:b/>
                          <w:color w:val="000000"/>
                          <w:sz w:val="20"/>
                        </w:rPr>
                      </w:pPr>
                    </w:p>
                    <w:p>
                      <w:pPr>
                        <w:pStyle w:val="BodyText"/>
                        <w:ind w:left="112"/>
                        <w:rPr>
                          <w:color w:val="000000"/>
                        </w:rPr>
                      </w:pPr>
                      <w:r>
                        <w:rPr>
                          <w:color w:val="000000"/>
                        </w:rPr>
                        <w:t>Recommendations</w:t>
                      </w:r>
                      <w:r>
                        <w:rPr>
                          <w:color w:val="000000"/>
                          <w:spacing w:val="-6"/>
                        </w:rPr>
                        <w:t> </w:t>
                      </w:r>
                      <w:r>
                        <w:rPr>
                          <w:color w:val="000000"/>
                        </w:rPr>
                        <w:t>presented</w:t>
                      </w:r>
                      <w:r>
                        <w:rPr>
                          <w:color w:val="000000"/>
                          <w:spacing w:val="-6"/>
                        </w:rPr>
                        <w:t> </w:t>
                      </w:r>
                      <w:r>
                        <w:rPr>
                          <w:color w:val="000000"/>
                        </w:rPr>
                        <w:t>by</w:t>
                      </w:r>
                      <w:r>
                        <w:rPr>
                          <w:color w:val="000000"/>
                          <w:spacing w:val="-9"/>
                        </w:rPr>
                        <w:t> </w:t>
                      </w:r>
                      <w:r>
                        <w:rPr>
                          <w:color w:val="000000"/>
                        </w:rPr>
                        <w:t>the</w:t>
                      </w:r>
                      <w:r>
                        <w:rPr>
                          <w:color w:val="000000"/>
                          <w:spacing w:val="-8"/>
                        </w:rPr>
                        <w:t> </w:t>
                      </w:r>
                      <w:r>
                        <w:rPr>
                          <w:color w:val="000000"/>
                        </w:rPr>
                        <w:t>Review</w:t>
                      </w:r>
                      <w:r>
                        <w:rPr>
                          <w:color w:val="000000"/>
                          <w:spacing w:val="-9"/>
                        </w:rPr>
                        <w:t> </w:t>
                      </w:r>
                      <w:r>
                        <w:rPr>
                          <w:color w:val="000000"/>
                          <w:spacing w:val="-2"/>
                        </w:rPr>
                        <w:t>include:</w:t>
                      </w:r>
                    </w:p>
                    <w:p>
                      <w:pPr>
                        <w:pStyle w:val="BodyText"/>
                        <w:spacing w:before="10"/>
                        <w:rPr>
                          <w:color w:val="000000"/>
                          <w:sz w:val="26"/>
                        </w:rPr>
                      </w:pPr>
                    </w:p>
                    <w:p>
                      <w:pPr>
                        <w:pStyle w:val="BodyText"/>
                        <w:numPr>
                          <w:ilvl w:val="0"/>
                          <w:numId w:val="12"/>
                        </w:numPr>
                        <w:tabs>
                          <w:tab w:pos="500" w:val="left" w:leader="none"/>
                          <w:tab w:pos="502" w:val="left" w:leader="none"/>
                        </w:tabs>
                        <w:spacing w:line="285" w:lineRule="auto" w:before="0" w:after="0"/>
                        <w:ind w:left="502" w:right="1913" w:hanging="219"/>
                        <w:jc w:val="left"/>
                        <w:rPr>
                          <w:color w:val="000000"/>
                        </w:rPr>
                      </w:pPr>
                      <w:r>
                        <w:rPr>
                          <w:color w:val="000000"/>
                        </w:rPr>
                        <w:t>strengthening</w:t>
                      </w:r>
                      <w:r>
                        <w:rPr>
                          <w:color w:val="000000"/>
                          <w:spacing w:val="-6"/>
                        </w:rPr>
                        <w:t> </w:t>
                      </w:r>
                      <w:r>
                        <w:rPr>
                          <w:color w:val="000000"/>
                        </w:rPr>
                        <w:t>the</w:t>
                      </w:r>
                      <w:r>
                        <w:rPr>
                          <w:color w:val="000000"/>
                          <w:spacing w:val="-4"/>
                        </w:rPr>
                        <w:t> </w:t>
                      </w:r>
                      <w:r>
                        <w:rPr>
                          <w:color w:val="000000"/>
                        </w:rPr>
                        <w:t>working</w:t>
                      </w:r>
                      <w:r>
                        <w:rPr>
                          <w:color w:val="000000"/>
                          <w:spacing w:val="-4"/>
                        </w:rPr>
                        <w:t> </w:t>
                      </w:r>
                      <w:r>
                        <w:rPr>
                          <w:color w:val="000000"/>
                        </w:rPr>
                        <w:t>arrangements</w:t>
                      </w:r>
                      <w:r>
                        <w:rPr>
                          <w:color w:val="000000"/>
                          <w:spacing w:val="-3"/>
                        </w:rPr>
                        <w:t> </w:t>
                      </w:r>
                      <w:r>
                        <w:rPr>
                          <w:color w:val="000000"/>
                        </w:rPr>
                        <w:t>between</w:t>
                      </w:r>
                      <w:r>
                        <w:rPr>
                          <w:color w:val="000000"/>
                          <w:spacing w:val="-4"/>
                        </w:rPr>
                        <w:t> </w:t>
                      </w:r>
                      <w:r>
                        <w:rPr>
                          <w:color w:val="000000"/>
                        </w:rPr>
                        <w:t>ESV</w:t>
                      </w:r>
                      <w:r>
                        <w:rPr>
                          <w:color w:val="000000"/>
                          <w:spacing w:val="-4"/>
                        </w:rPr>
                        <w:t> </w:t>
                      </w:r>
                      <w:r>
                        <w:rPr>
                          <w:color w:val="000000"/>
                        </w:rPr>
                        <w:t>and</w:t>
                      </w:r>
                      <w:r>
                        <w:rPr>
                          <w:color w:val="000000"/>
                          <w:spacing w:val="-6"/>
                        </w:rPr>
                        <w:t> </w:t>
                      </w:r>
                      <w:r>
                        <w:rPr>
                          <w:color w:val="000000"/>
                        </w:rPr>
                        <w:t>the</w:t>
                      </w:r>
                      <w:r>
                        <w:rPr>
                          <w:color w:val="000000"/>
                          <w:spacing w:val="-4"/>
                        </w:rPr>
                        <w:t> </w:t>
                      </w:r>
                      <w:r>
                        <w:rPr>
                          <w:color w:val="000000"/>
                        </w:rPr>
                        <w:t>AER (Recommendation 20);</w:t>
                      </w:r>
                    </w:p>
                    <w:p>
                      <w:pPr>
                        <w:pStyle w:val="BodyText"/>
                        <w:spacing w:before="6"/>
                        <w:rPr>
                          <w:color w:val="000000"/>
                        </w:rPr>
                      </w:pPr>
                    </w:p>
                    <w:p>
                      <w:pPr>
                        <w:pStyle w:val="BodyText"/>
                        <w:numPr>
                          <w:ilvl w:val="0"/>
                          <w:numId w:val="12"/>
                        </w:numPr>
                        <w:tabs>
                          <w:tab w:pos="500" w:val="left" w:leader="none"/>
                          <w:tab w:pos="502" w:val="left" w:leader="none"/>
                        </w:tabs>
                        <w:spacing w:line="288" w:lineRule="auto" w:before="0" w:after="0"/>
                        <w:ind w:left="502" w:right="378" w:hanging="219"/>
                        <w:jc w:val="left"/>
                        <w:rPr>
                          <w:color w:val="000000"/>
                        </w:rPr>
                      </w:pPr>
                      <w:r>
                        <w:rPr>
                          <w:color w:val="000000"/>
                        </w:rPr>
                        <w:t>the</w:t>
                      </w:r>
                      <w:r>
                        <w:rPr>
                          <w:color w:val="000000"/>
                          <w:spacing w:val="-4"/>
                        </w:rPr>
                        <w:t> </w:t>
                      </w:r>
                      <w:r>
                        <w:rPr>
                          <w:color w:val="000000"/>
                        </w:rPr>
                        <w:t>development</w:t>
                      </w:r>
                      <w:r>
                        <w:rPr>
                          <w:color w:val="000000"/>
                          <w:spacing w:val="-5"/>
                        </w:rPr>
                        <w:t> </w:t>
                      </w:r>
                      <w:r>
                        <w:rPr>
                          <w:color w:val="000000"/>
                        </w:rPr>
                        <w:t>of</w:t>
                      </w:r>
                      <w:r>
                        <w:rPr>
                          <w:color w:val="000000"/>
                          <w:spacing w:val="-2"/>
                        </w:rPr>
                        <w:t> </w:t>
                      </w:r>
                      <w:r>
                        <w:rPr>
                          <w:color w:val="000000"/>
                        </w:rPr>
                        <w:t>better</w:t>
                      </w:r>
                      <w:r>
                        <w:rPr>
                          <w:color w:val="000000"/>
                          <w:spacing w:val="-3"/>
                        </w:rPr>
                        <w:t> </w:t>
                      </w:r>
                      <w:r>
                        <w:rPr>
                          <w:color w:val="000000"/>
                        </w:rPr>
                        <w:t>protocols</w:t>
                      </w:r>
                      <w:r>
                        <w:rPr>
                          <w:color w:val="000000"/>
                          <w:spacing w:val="-6"/>
                        </w:rPr>
                        <w:t> </w:t>
                      </w:r>
                      <w:r>
                        <w:rPr>
                          <w:color w:val="000000"/>
                        </w:rPr>
                        <w:t>to</w:t>
                      </w:r>
                      <w:r>
                        <w:rPr>
                          <w:color w:val="000000"/>
                          <w:spacing w:val="-8"/>
                        </w:rPr>
                        <w:t> </w:t>
                      </w:r>
                      <w:r>
                        <w:rPr>
                          <w:color w:val="000000"/>
                        </w:rPr>
                        <w:t>facilitate</w:t>
                      </w:r>
                      <w:r>
                        <w:rPr>
                          <w:color w:val="000000"/>
                          <w:spacing w:val="-6"/>
                        </w:rPr>
                        <w:t> </w:t>
                      </w:r>
                      <w:r>
                        <w:rPr>
                          <w:color w:val="000000"/>
                        </w:rPr>
                        <w:t>more</w:t>
                      </w:r>
                      <w:r>
                        <w:rPr>
                          <w:color w:val="000000"/>
                          <w:spacing w:val="-3"/>
                        </w:rPr>
                        <w:t> </w:t>
                      </w:r>
                      <w:r>
                        <w:rPr>
                          <w:color w:val="000000"/>
                        </w:rPr>
                        <w:t>effective</w:t>
                      </w:r>
                      <w:r>
                        <w:rPr>
                          <w:color w:val="000000"/>
                          <w:spacing w:val="-4"/>
                        </w:rPr>
                        <w:t> </w:t>
                      </w:r>
                      <w:r>
                        <w:rPr>
                          <w:color w:val="000000"/>
                        </w:rPr>
                        <w:t>engagement</w:t>
                      </w:r>
                      <w:r>
                        <w:rPr>
                          <w:color w:val="000000"/>
                          <w:spacing w:val="-2"/>
                        </w:rPr>
                        <w:t> </w:t>
                      </w:r>
                      <w:r>
                        <w:rPr>
                          <w:color w:val="000000"/>
                        </w:rPr>
                        <w:t>between ESV and regulated network businesses as an input into pricing review processes conducted by the AER (Recommendation 21);</w:t>
                      </w:r>
                    </w:p>
                    <w:p>
                      <w:pPr>
                        <w:pStyle w:val="BodyText"/>
                        <w:spacing w:before="1"/>
                        <w:rPr>
                          <w:color w:val="000000"/>
                        </w:rPr>
                      </w:pPr>
                    </w:p>
                    <w:p>
                      <w:pPr>
                        <w:pStyle w:val="BodyText"/>
                        <w:numPr>
                          <w:ilvl w:val="0"/>
                          <w:numId w:val="12"/>
                        </w:numPr>
                        <w:tabs>
                          <w:tab w:pos="500" w:val="left" w:leader="none"/>
                          <w:tab w:pos="502" w:val="left" w:leader="none"/>
                        </w:tabs>
                        <w:spacing w:line="288" w:lineRule="auto" w:before="0" w:after="0"/>
                        <w:ind w:left="502" w:right="266" w:hanging="219"/>
                        <w:jc w:val="left"/>
                        <w:rPr>
                          <w:color w:val="000000"/>
                        </w:rPr>
                      </w:pPr>
                      <w:r>
                        <w:rPr>
                          <w:color w:val="000000"/>
                        </w:rPr>
                        <w:t>strengthened</w:t>
                      </w:r>
                      <w:r>
                        <w:rPr>
                          <w:color w:val="000000"/>
                          <w:spacing w:val="-6"/>
                        </w:rPr>
                        <w:t> </w:t>
                      </w:r>
                      <w:r>
                        <w:rPr>
                          <w:color w:val="000000"/>
                        </w:rPr>
                        <w:t>transparency</w:t>
                      </w:r>
                      <w:r>
                        <w:rPr>
                          <w:color w:val="000000"/>
                          <w:spacing w:val="-6"/>
                        </w:rPr>
                        <w:t> </w:t>
                      </w:r>
                      <w:r>
                        <w:rPr>
                          <w:color w:val="000000"/>
                        </w:rPr>
                        <w:t>around</w:t>
                      </w:r>
                      <w:r>
                        <w:rPr>
                          <w:color w:val="000000"/>
                          <w:spacing w:val="-4"/>
                        </w:rPr>
                        <w:t> </w:t>
                      </w:r>
                      <w:r>
                        <w:rPr>
                          <w:color w:val="000000"/>
                        </w:rPr>
                        <w:t>the</w:t>
                      </w:r>
                      <w:r>
                        <w:rPr>
                          <w:color w:val="000000"/>
                          <w:spacing w:val="-6"/>
                        </w:rPr>
                        <w:t> </w:t>
                      </w:r>
                      <w:r>
                        <w:rPr>
                          <w:color w:val="000000"/>
                        </w:rPr>
                        <w:t>implementation</w:t>
                      </w:r>
                      <w:r>
                        <w:rPr>
                          <w:color w:val="000000"/>
                          <w:spacing w:val="-4"/>
                        </w:rPr>
                        <w:t> </w:t>
                      </w:r>
                      <w:r>
                        <w:rPr>
                          <w:color w:val="000000"/>
                        </w:rPr>
                        <w:t>of</w:t>
                      </w:r>
                      <w:r>
                        <w:rPr>
                          <w:color w:val="000000"/>
                          <w:spacing w:val="-2"/>
                        </w:rPr>
                        <w:t> </w:t>
                      </w:r>
                      <w:r>
                        <w:rPr>
                          <w:color w:val="000000"/>
                        </w:rPr>
                        <w:t>safety</w:t>
                      </w:r>
                      <w:r>
                        <w:rPr>
                          <w:color w:val="000000"/>
                          <w:spacing w:val="-5"/>
                        </w:rPr>
                        <w:t> </w:t>
                      </w:r>
                      <w:r>
                        <w:rPr>
                          <w:color w:val="000000"/>
                        </w:rPr>
                        <w:t>programs</w:t>
                      </w:r>
                      <w:r>
                        <w:rPr>
                          <w:color w:val="000000"/>
                          <w:spacing w:val="-6"/>
                        </w:rPr>
                        <w:t> </w:t>
                      </w:r>
                      <w:r>
                        <w:rPr>
                          <w:color w:val="000000"/>
                        </w:rPr>
                        <w:t>by</w:t>
                      </w:r>
                      <w:r>
                        <w:rPr>
                          <w:color w:val="000000"/>
                          <w:spacing w:val="-6"/>
                        </w:rPr>
                        <w:t> </w:t>
                      </w:r>
                      <w:r>
                        <w:rPr>
                          <w:color w:val="000000"/>
                        </w:rPr>
                        <w:t>network operators that have been accepted by the AER in its pricing decisions, including through progress reporting by ESV in its annual network safety performance reports (Recommendation 22); and</w:t>
                      </w:r>
                    </w:p>
                    <w:p>
                      <w:pPr>
                        <w:pStyle w:val="BodyText"/>
                        <w:spacing w:before="4"/>
                        <w:rPr>
                          <w:color w:val="000000"/>
                        </w:rPr>
                      </w:pPr>
                    </w:p>
                    <w:p>
                      <w:pPr>
                        <w:pStyle w:val="BodyText"/>
                        <w:numPr>
                          <w:ilvl w:val="0"/>
                          <w:numId w:val="12"/>
                        </w:numPr>
                        <w:tabs>
                          <w:tab w:pos="500" w:val="left" w:leader="none"/>
                          <w:tab w:pos="502" w:val="left" w:leader="none"/>
                        </w:tabs>
                        <w:spacing w:line="288" w:lineRule="auto" w:before="0" w:after="0"/>
                        <w:ind w:left="502" w:right="299" w:hanging="219"/>
                        <w:jc w:val="left"/>
                        <w:rPr>
                          <w:color w:val="000000"/>
                        </w:rPr>
                      </w:pPr>
                      <w:r>
                        <w:rPr>
                          <w:color w:val="000000"/>
                        </w:rPr>
                        <w:t>consideration</w:t>
                      </w:r>
                      <w:r>
                        <w:rPr>
                          <w:color w:val="000000"/>
                          <w:spacing w:val="-3"/>
                        </w:rPr>
                        <w:t> </w:t>
                      </w:r>
                      <w:r>
                        <w:rPr>
                          <w:color w:val="000000"/>
                        </w:rPr>
                        <w:t>of</w:t>
                      </w:r>
                      <w:r>
                        <w:rPr>
                          <w:color w:val="000000"/>
                          <w:spacing w:val="-1"/>
                        </w:rPr>
                        <w:t> </w:t>
                      </w:r>
                      <w:r>
                        <w:rPr>
                          <w:color w:val="000000"/>
                        </w:rPr>
                        <w:t>improved</w:t>
                      </w:r>
                      <w:r>
                        <w:rPr>
                          <w:color w:val="000000"/>
                          <w:spacing w:val="-3"/>
                        </w:rPr>
                        <w:t> </w:t>
                      </w:r>
                      <w:r>
                        <w:rPr>
                          <w:color w:val="000000"/>
                        </w:rPr>
                        <w:t>arrangements</w:t>
                      </w:r>
                      <w:r>
                        <w:rPr>
                          <w:color w:val="000000"/>
                          <w:spacing w:val="-5"/>
                        </w:rPr>
                        <w:t> </w:t>
                      </w:r>
                      <w:r>
                        <w:rPr>
                          <w:color w:val="000000"/>
                        </w:rPr>
                        <w:t>to</w:t>
                      </w:r>
                      <w:r>
                        <w:rPr>
                          <w:color w:val="000000"/>
                          <w:spacing w:val="-5"/>
                        </w:rPr>
                        <w:t> </w:t>
                      </w:r>
                      <w:r>
                        <w:rPr>
                          <w:color w:val="000000"/>
                        </w:rPr>
                        <w:t>plan</w:t>
                      </w:r>
                      <w:r>
                        <w:rPr>
                          <w:color w:val="000000"/>
                          <w:spacing w:val="-5"/>
                        </w:rPr>
                        <w:t> </w:t>
                      </w:r>
                      <w:r>
                        <w:rPr>
                          <w:color w:val="000000"/>
                        </w:rPr>
                        <w:t>for</w:t>
                      </w:r>
                      <w:r>
                        <w:rPr>
                          <w:color w:val="000000"/>
                          <w:spacing w:val="-4"/>
                        </w:rPr>
                        <w:t> </w:t>
                      </w:r>
                      <w:r>
                        <w:rPr>
                          <w:color w:val="000000"/>
                        </w:rPr>
                        <w:t>future</w:t>
                      </w:r>
                      <w:r>
                        <w:rPr>
                          <w:color w:val="000000"/>
                          <w:spacing w:val="-3"/>
                        </w:rPr>
                        <w:t> </w:t>
                      </w:r>
                      <w:r>
                        <w:rPr>
                          <w:color w:val="000000"/>
                        </w:rPr>
                        <w:t>expansion</w:t>
                      </w:r>
                      <w:r>
                        <w:rPr>
                          <w:color w:val="000000"/>
                          <w:spacing w:val="-3"/>
                        </w:rPr>
                        <w:t> </w:t>
                      </w:r>
                      <w:r>
                        <w:rPr>
                          <w:color w:val="000000"/>
                        </w:rPr>
                        <w:t>in</w:t>
                      </w:r>
                      <w:r>
                        <w:rPr>
                          <w:color w:val="000000"/>
                          <w:spacing w:val="-5"/>
                        </w:rPr>
                        <w:t> </w:t>
                      </w:r>
                      <w:r>
                        <w:rPr>
                          <w:color w:val="000000"/>
                        </w:rPr>
                        <w:t>gas</w:t>
                      </w:r>
                      <w:r>
                        <w:rPr>
                          <w:color w:val="000000"/>
                          <w:spacing w:val="-2"/>
                        </w:rPr>
                        <w:t> </w:t>
                      </w:r>
                      <w:r>
                        <w:rPr>
                          <w:color w:val="000000"/>
                        </w:rPr>
                        <w:t>networks and to ensure that necessary investments to maintain reliability are recognised in economic regulatory decision making (Recommendations 23 and 24).</w:t>
                      </w:r>
                    </w:p>
                  </w:txbxContent>
                </v:textbox>
                <v:fill type="solid"/>
                <w10:wrap type="topAndBottom"/>
              </v:shape>
            </w:pict>
          </mc:Fallback>
        </mc:AlternateContent>
      </w:r>
    </w:p>
    <w:p>
      <w:pPr>
        <w:spacing w:after="0"/>
        <w:rPr>
          <w:sz w:val="18"/>
        </w:rPr>
        <w:sectPr>
          <w:pgSz w:w="11910" w:h="16850"/>
          <w:pgMar w:header="465" w:footer="880" w:top="660" w:bottom="1060" w:left="840" w:right="820"/>
        </w:sectPr>
      </w:pPr>
    </w:p>
    <w:p>
      <w:pPr>
        <w:pStyle w:val="BodyText"/>
        <w:rPr>
          <w:sz w:val="20"/>
        </w:rPr>
      </w:pPr>
    </w:p>
    <w:p>
      <w:pPr>
        <w:pStyle w:val="BodyText"/>
        <w:rPr>
          <w:sz w:val="20"/>
        </w:rPr>
      </w:pPr>
    </w:p>
    <w:p>
      <w:pPr>
        <w:pStyle w:val="Heading4"/>
        <w:spacing w:before="257"/>
        <w:ind w:left="292"/>
      </w:pPr>
      <w:r>
        <w:rPr>
          <w:color w:val="585858"/>
        </w:rPr>
        <w:t>Engaging</w:t>
      </w:r>
      <w:r>
        <w:rPr>
          <w:color w:val="585858"/>
          <w:spacing w:val="-11"/>
        </w:rPr>
        <w:t> </w:t>
      </w:r>
      <w:r>
        <w:rPr>
          <w:color w:val="585858"/>
        </w:rPr>
        <w:t>the</w:t>
      </w:r>
      <w:r>
        <w:rPr>
          <w:color w:val="585858"/>
          <w:spacing w:val="-11"/>
        </w:rPr>
        <w:t> </w:t>
      </w:r>
      <w:r>
        <w:rPr>
          <w:color w:val="585858"/>
          <w:spacing w:val="-2"/>
        </w:rPr>
        <w:t>workforce</w:t>
      </w:r>
    </w:p>
    <w:p>
      <w:pPr>
        <w:pStyle w:val="BodyText"/>
        <w:spacing w:line="288" w:lineRule="auto" w:before="314"/>
        <w:ind w:left="292" w:right="586"/>
      </w:pPr>
      <w:r>
        <w:rPr/>
        <w:t>Organisations that are at the forefront of safety management make sure that safety is deeply embedded</w:t>
      </w:r>
      <w:r>
        <w:rPr>
          <w:spacing w:val="-3"/>
        </w:rPr>
        <w:t> </w:t>
      </w:r>
      <w:r>
        <w:rPr/>
        <w:t>in</w:t>
      </w:r>
      <w:r>
        <w:rPr>
          <w:spacing w:val="-5"/>
        </w:rPr>
        <w:t> </w:t>
      </w:r>
      <w:r>
        <w:rPr/>
        <w:t>their</w:t>
      </w:r>
      <w:r>
        <w:rPr>
          <w:spacing w:val="-4"/>
        </w:rPr>
        <w:t> </w:t>
      </w:r>
      <w:r>
        <w:rPr/>
        <w:t>organisational</w:t>
      </w:r>
      <w:r>
        <w:rPr>
          <w:spacing w:val="-3"/>
        </w:rPr>
        <w:t> </w:t>
      </w:r>
      <w:r>
        <w:rPr/>
        <w:t>cultures.</w:t>
      </w:r>
      <w:r>
        <w:rPr>
          <w:spacing w:val="-2"/>
        </w:rPr>
        <w:t> </w:t>
      </w:r>
      <w:r>
        <w:rPr/>
        <w:t>It</w:t>
      </w:r>
      <w:r>
        <w:rPr>
          <w:spacing w:val="-1"/>
        </w:rPr>
        <w:t> </w:t>
      </w:r>
      <w:r>
        <w:rPr/>
        <w:t>becomes</w:t>
      </w:r>
      <w:r>
        <w:rPr>
          <w:spacing w:val="-3"/>
        </w:rPr>
        <w:t> </w:t>
      </w:r>
      <w:r>
        <w:rPr/>
        <w:t>part</w:t>
      </w:r>
      <w:r>
        <w:rPr>
          <w:spacing w:val="-4"/>
        </w:rPr>
        <w:t> </w:t>
      </w:r>
      <w:r>
        <w:rPr/>
        <w:t>of</w:t>
      </w:r>
      <w:r>
        <w:rPr>
          <w:spacing w:val="-1"/>
        </w:rPr>
        <w:t> </w:t>
      </w:r>
      <w:r>
        <w:rPr/>
        <w:t>what</w:t>
      </w:r>
      <w:r>
        <w:rPr>
          <w:spacing w:val="-1"/>
        </w:rPr>
        <w:t> </w:t>
      </w:r>
      <w:r>
        <w:rPr/>
        <w:t>they</w:t>
      </w:r>
      <w:r>
        <w:rPr>
          <w:spacing w:val="-5"/>
        </w:rPr>
        <w:t> </w:t>
      </w:r>
      <w:r>
        <w:rPr/>
        <w:t>“live</w:t>
      </w:r>
      <w:r>
        <w:rPr>
          <w:spacing w:val="-3"/>
        </w:rPr>
        <w:t> </w:t>
      </w:r>
      <w:r>
        <w:rPr/>
        <w:t>and</w:t>
      </w:r>
      <w:r>
        <w:rPr>
          <w:spacing w:val="-2"/>
        </w:rPr>
        <w:t> </w:t>
      </w:r>
      <w:r>
        <w:rPr/>
        <w:t>breathe”</w:t>
      </w:r>
      <w:r>
        <w:rPr>
          <w:spacing w:val="-2"/>
        </w:rPr>
        <w:t> </w:t>
      </w:r>
      <w:r>
        <w:rPr/>
        <w:t>each </w:t>
      </w:r>
      <w:r>
        <w:rPr>
          <w:spacing w:val="-4"/>
        </w:rPr>
        <w:t>day.</w:t>
      </w:r>
    </w:p>
    <w:p>
      <w:pPr>
        <w:pStyle w:val="BodyText"/>
        <w:spacing w:before="9"/>
        <w:rPr>
          <w:sz w:val="20"/>
        </w:rPr>
      </w:pPr>
    </w:p>
    <w:p>
      <w:pPr>
        <w:pStyle w:val="BodyText"/>
        <w:spacing w:line="288" w:lineRule="auto"/>
        <w:ind w:left="292" w:right="696"/>
        <w:jc w:val="both"/>
      </w:pPr>
      <w:r>
        <w:rPr/>
        <w:t>Strong</w:t>
      </w:r>
      <w:r>
        <w:rPr>
          <w:spacing w:val="-1"/>
        </w:rPr>
        <w:t> </w:t>
      </w:r>
      <w:r>
        <w:rPr/>
        <w:t>workforce</w:t>
      </w:r>
      <w:r>
        <w:rPr>
          <w:spacing w:val="-5"/>
        </w:rPr>
        <w:t> </w:t>
      </w:r>
      <w:r>
        <w:rPr/>
        <w:t>engagement</w:t>
      </w:r>
      <w:r>
        <w:rPr>
          <w:spacing w:val="-4"/>
        </w:rPr>
        <w:t> </w:t>
      </w:r>
      <w:r>
        <w:rPr/>
        <w:t>is</w:t>
      </w:r>
      <w:r>
        <w:rPr>
          <w:spacing w:val="-2"/>
        </w:rPr>
        <w:t> </w:t>
      </w:r>
      <w:r>
        <w:rPr/>
        <w:t>an</w:t>
      </w:r>
      <w:r>
        <w:rPr>
          <w:spacing w:val="-5"/>
        </w:rPr>
        <w:t> </w:t>
      </w:r>
      <w:r>
        <w:rPr/>
        <w:t>important</w:t>
      </w:r>
      <w:r>
        <w:rPr>
          <w:spacing w:val="-4"/>
        </w:rPr>
        <w:t> </w:t>
      </w:r>
      <w:r>
        <w:rPr/>
        <w:t>part</w:t>
      </w:r>
      <w:r>
        <w:rPr>
          <w:spacing w:val="-4"/>
        </w:rPr>
        <w:t> </w:t>
      </w:r>
      <w:r>
        <w:rPr/>
        <w:t>of</w:t>
      </w:r>
      <w:r>
        <w:rPr>
          <w:spacing w:val="-1"/>
        </w:rPr>
        <w:t> </w:t>
      </w:r>
      <w:r>
        <w:rPr/>
        <w:t>achieving</w:t>
      </w:r>
      <w:r>
        <w:rPr>
          <w:spacing w:val="-1"/>
        </w:rPr>
        <w:t> </w:t>
      </w:r>
      <w:r>
        <w:rPr/>
        <w:t>this</w:t>
      </w:r>
      <w:r>
        <w:rPr>
          <w:spacing w:val="-5"/>
        </w:rPr>
        <w:t> </w:t>
      </w:r>
      <w:r>
        <w:rPr/>
        <w:t>culture.</w:t>
      </w:r>
      <w:r>
        <w:rPr>
          <w:spacing w:val="-2"/>
        </w:rPr>
        <w:t> </w:t>
      </w:r>
      <w:r>
        <w:rPr/>
        <w:t>Employees</w:t>
      </w:r>
      <w:r>
        <w:rPr>
          <w:spacing w:val="-2"/>
        </w:rPr>
        <w:t> </w:t>
      </w:r>
      <w:r>
        <w:rPr/>
        <w:t>need</w:t>
      </w:r>
      <w:r>
        <w:rPr>
          <w:spacing w:val="-3"/>
        </w:rPr>
        <w:t> </w:t>
      </w:r>
      <w:r>
        <w:rPr/>
        <w:t>to embrace a safety-first approach and they</w:t>
      </w:r>
      <w:r>
        <w:rPr>
          <w:spacing w:val="-2"/>
        </w:rPr>
        <w:t> </w:t>
      </w:r>
      <w:r>
        <w:rPr/>
        <w:t>must be actively engaged in identifying and resolving safety risks.</w:t>
      </w:r>
    </w:p>
    <w:p>
      <w:pPr>
        <w:pStyle w:val="BodyText"/>
        <w:rPr>
          <w:sz w:val="21"/>
        </w:rPr>
      </w:pPr>
    </w:p>
    <w:p>
      <w:pPr>
        <w:pStyle w:val="BodyText"/>
        <w:spacing w:line="288" w:lineRule="auto"/>
        <w:ind w:left="292" w:right="311"/>
      </w:pPr>
      <w:r>
        <w:rPr/>
        <w:t>From</w:t>
      </w:r>
      <w:r>
        <w:rPr>
          <w:spacing w:val="-3"/>
        </w:rPr>
        <w:t> </w:t>
      </w:r>
      <w:r>
        <w:rPr/>
        <w:t>a</w:t>
      </w:r>
      <w:r>
        <w:rPr>
          <w:spacing w:val="-4"/>
        </w:rPr>
        <w:t> </w:t>
      </w:r>
      <w:r>
        <w:rPr/>
        <w:t>regulatory</w:t>
      </w:r>
      <w:r>
        <w:rPr>
          <w:spacing w:val="-4"/>
        </w:rPr>
        <w:t> </w:t>
      </w:r>
      <w:r>
        <w:rPr/>
        <w:t>perspective,</w:t>
      </w:r>
      <w:r>
        <w:rPr>
          <w:spacing w:val="-1"/>
        </w:rPr>
        <w:t> </w:t>
      </w:r>
      <w:r>
        <w:rPr/>
        <w:t>the</w:t>
      </w:r>
      <w:r>
        <w:rPr>
          <w:spacing w:val="-4"/>
        </w:rPr>
        <w:t> </w:t>
      </w:r>
      <w:r>
        <w:rPr/>
        <w:t>regulator’s</w:t>
      </w:r>
      <w:r>
        <w:rPr>
          <w:spacing w:val="-4"/>
        </w:rPr>
        <w:t> </w:t>
      </w:r>
      <w:r>
        <w:rPr/>
        <w:t>task</w:t>
      </w:r>
      <w:r>
        <w:rPr>
          <w:spacing w:val="-1"/>
        </w:rPr>
        <w:t> </w:t>
      </w:r>
      <w:r>
        <w:rPr/>
        <w:t>is</w:t>
      </w:r>
      <w:r>
        <w:rPr>
          <w:spacing w:val="-4"/>
        </w:rPr>
        <w:t> </w:t>
      </w:r>
      <w:r>
        <w:rPr/>
        <w:t>to</w:t>
      </w:r>
      <w:r>
        <w:rPr>
          <w:spacing w:val="-2"/>
        </w:rPr>
        <w:t> </w:t>
      </w:r>
      <w:r>
        <w:rPr/>
        <w:t>ensure</w:t>
      </w:r>
      <w:r>
        <w:rPr>
          <w:spacing w:val="-4"/>
        </w:rPr>
        <w:t> </w:t>
      </w:r>
      <w:r>
        <w:rPr/>
        <w:t>that</w:t>
      </w:r>
      <w:r>
        <w:rPr>
          <w:spacing w:val="-3"/>
        </w:rPr>
        <w:t> </w:t>
      </w:r>
      <w:r>
        <w:rPr/>
        <w:t>regulated</w:t>
      </w:r>
      <w:r>
        <w:rPr>
          <w:spacing w:val="-2"/>
        </w:rPr>
        <w:t> </w:t>
      </w:r>
      <w:r>
        <w:rPr/>
        <w:t>businesses</w:t>
      </w:r>
      <w:r>
        <w:rPr>
          <w:spacing w:val="-4"/>
        </w:rPr>
        <w:t> </w:t>
      </w:r>
      <w:r>
        <w:rPr/>
        <w:t>have</w:t>
      </w:r>
      <w:r>
        <w:rPr>
          <w:spacing w:val="-2"/>
        </w:rPr>
        <w:t> </w:t>
      </w:r>
      <w:r>
        <w:rPr/>
        <w:t>the systems and processes – and the engagement mechanisms – to promote a strong safety culture. The regulator may also be able to use its “convening power” to bring together different groups to develop and share best practice models.</w:t>
      </w:r>
    </w:p>
    <w:p>
      <w:pPr>
        <w:pStyle w:val="BodyText"/>
        <w:spacing w:before="11"/>
        <w:rPr>
          <w:sz w:val="20"/>
        </w:rPr>
      </w:pPr>
    </w:p>
    <w:p>
      <w:pPr>
        <w:pStyle w:val="BodyText"/>
        <w:spacing w:line="288" w:lineRule="auto"/>
        <w:ind w:left="292" w:right="311"/>
      </w:pPr>
      <w:r>
        <w:rPr/>
        <w:t>Frontline</w:t>
      </w:r>
      <w:r>
        <w:rPr>
          <w:spacing w:val="-2"/>
        </w:rPr>
        <w:t> </w:t>
      </w:r>
      <w:r>
        <w:rPr/>
        <w:t>workers</w:t>
      </w:r>
      <w:r>
        <w:rPr>
          <w:spacing w:val="-4"/>
        </w:rPr>
        <w:t> </w:t>
      </w:r>
      <w:r>
        <w:rPr/>
        <w:t>maintaining</w:t>
      </w:r>
      <w:r>
        <w:rPr>
          <w:spacing w:val="-2"/>
        </w:rPr>
        <w:t> </w:t>
      </w:r>
      <w:r>
        <w:rPr/>
        <w:t>gas</w:t>
      </w:r>
      <w:r>
        <w:rPr>
          <w:spacing w:val="-4"/>
        </w:rPr>
        <w:t> </w:t>
      </w:r>
      <w:r>
        <w:rPr/>
        <w:t>and</w:t>
      </w:r>
      <w:r>
        <w:rPr>
          <w:spacing w:val="-2"/>
        </w:rPr>
        <w:t> </w:t>
      </w:r>
      <w:r>
        <w:rPr/>
        <w:t>electricity</w:t>
      </w:r>
      <w:r>
        <w:rPr>
          <w:spacing w:val="-6"/>
        </w:rPr>
        <w:t> </w:t>
      </w:r>
      <w:r>
        <w:rPr/>
        <w:t>networks</w:t>
      </w:r>
      <w:r>
        <w:rPr>
          <w:spacing w:val="-4"/>
        </w:rPr>
        <w:t> </w:t>
      </w:r>
      <w:r>
        <w:rPr/>
        <w:t>can</w:t>
      </w:r>
      <w:r>
        <w:rPr>
          <w:spacing w:val="-2"/>
        </w:rPr>
        <w:t> </w:t>
      </w:r>
      <w:r>
        <w:rPr/>
        <w:t>be</w:t>
      </w:r>
      <w:r>
        <w:rPr>
          <w:spacing w:val="-4"/>
        </w:rPr>
        <w:t> </w:t>
      </w:r>
      <w:r>
        <w:rPr/>
        <w:t>a</w:t>
      </w:r>
      <w:r>
        <w:rPr>
          <w:spacing w:val="-4"/>
        </w:rPr>
        <w:t> </w:t>
      </w:r>
      <w:r>
        <w:rPr/>
        <w:t>valuable</w:t>
      </w:r>
      <w:r>
        <w:rPr>
          <w:spacing w:val="-2"/>
        </w:rPr>
        <w:t> </w:t>
      </w:r>
      <w:r>
        <w:rPr/>
        <w:t>source</w:t>
      </w:r>
      <w:r>
        <w:rPr>
          <w:spacing w:val="-4"/>
        </w:rPr>
        <w:t> </w:t>
      </w:r>
      <w:r>
        <w:rPr/>
        <w:t>of advice</w:t>
      </w:r>
      <w:r>
        <w:rPr>
          <w:spacing w:val="-2"/>
        </w:rPr>
        <w:t> </w:t>
      </w:r>
      <w:r>
        <w:rPr/>
        <w:t>on risks, including the broader risks to the community. They are working on</w:t>
      </w:r>
      <w:r>
        <w:rPr>
          <w:spacing w:val="-2"/>
        </w:rPr>
        <w:t> </w:t>
      </w:r>
      <w:r>
        <w:rPr/>
        <w:t>the networks every day and can see where problems are emerging.</w:t>
      </w:r>
    </w:p>
    <w:p>
      <w:pPr>
        <w:pStyle w:val="BodyText"/>
        <w:spacing w:before="9"/>
        <w:rPr>
          <w:sz w:val="20"/>
        </w:rPr>
      </w:pPr>
    </w:p>
    <w:p>
      <w:pPr>
        <w:pStyle w:val="BodyText"/>
        <w:spacing w:line="288" w:lineRule="auto"/>
        <w:ind w:left="292" w:right="329"/>
      </w:pPr>
      <w:r>
        <w:rPr/>
        <w:t>There</w:t>
      </w:r>
      <w:r>
        <w:rPr>
          <w:spacing w:val="-1"/>
        </w:rPr>
        <w:t> </w:t>
      </w:r>
      <w:r>
        <w:rPr/>
        <w:t>are</w:t>
      </w:r>
      <w:r>
        <w:rPr>
          <w:spacing w:val="-1"/>
        </w:rPr>
        <w:t> </w:t>
      </w:r>
      <w:r>
        <w:rPr/>
        <w:t>some</w:t>
      </w:r>
      <w:r>
        <w:rPr>
          <w:spacing w:val="-1"/>
        </w:rPr>
        <w:t> </w:t>
      </w:r>
      <w:r>
        <w:rPr/>
        <w:t>examples of effective</w:t>
      </w:r>
      <w:r>
        <w:rPr>
          <w:spacing w:val="-1"/>
        </w:rPr>
        <w:t> </w:t>
      </w:r>
      <w:r>
        <w:rPr/>
        <w:t>workforce</w:t>
      </w:r>
      <w:r>
        <w:rPr>
          <w:spacing w:val="-1"/>
        </w:rPr>
        <w:t> </w:t>
      </w:r>
      <w:r>
        <w:rPr/>
        <w:t>engagement</w:t>
      </w:r>
      <w:r>
        <w:rPr>
          <w:spacing w:val="-2"/>
        </w:rPr>
        <w:t> </w:t>
      </w:r>
      <w:r>
        <w:rPr/>
        <w:t>to</w:t>
      </w:r>
      <w:r>
        <w:rPr>
          <w:spacing w:val="-3"/>
        </w:rPr>
        <w:t> </w:t>
      </w:r>
      <w:r>
        <w:rPr/>
        <w:t>promote</w:t>
      </w:r>
      <w:r>
        <w:rPr>
          <w:spacing w:val="-1"/>
        </w:rPr>
        <w:t> </w:t>
      </w:r>
      <w:r>
        <w:rPr/>
        <w:t>safety, including</w:t>
      </w:r>
      <w:r>
        <w:rPr>
          <w:spacing w:val="-3"/>
        </w:rPr>
        <w:t> </w:t>
      </w:r>
      <w:r>
        <w:rPr/>
        <w:t>the</w:t>
      </w:r>
      <w:r>
        <w:rPr>
          <w:spacing w:val="-1"/>
        </w:rPr>
        <w:t> </w:t>
      </w:r>
      <w:r>
        <w:rPr/>
        <w:t>non- profit</w:t>
      </w:r>
      <w:r>
        <w:rPr>
          <w:spacing w:val="-2"/>
        </w:rPr>
        <w:t> </w:t>
      </w:r>
      <w:r>
        <w:rPr>
          <w:i/>
        </w:rPr>
        <w:t>Step</w:t>
      </w:r>
      <w:r>
        <w:rPr>
          <w:i/>
          <w:spacing w:val="-4"/>
        </w:rPr>
        <w:t> </w:t>
      </w:r>
      <w:r>
        <w:rPr>
          <w:i/>
        </w:rPr>
        <w:t>Change</w:t>
      </w:r>
      <w:r>
        <w:rPr>
          <w:i/>
          <w:spacing w:val="-2"/>
        </w:rPr>
        <w:t> </w:t>
      </w:r>
      <w:r>
        <w:rPr>
          <w:i/>
        </w:rPr>
        <w:t>in</w:t>
      </w:r>
      <w:r>
        <w:rPr>
          <w:i/>
          <w:spacing w:val="-2"/>
        </w:rPr>
        <w:t> </w:t>
      </w:r>
      <w:r>
        <w:rPr>
          <w:i/>
        </w:rPr>
        <w:t>Safety</w:t>
      </w:r>
      <w:r>
        <w:rPr>
          <w:i/>
          <w:spacing w:val="-3"/>
        </w:rPr>
        <w:t> </w:t>
      </w:r>
      <w:r>
        <w:rPr>
          <w:i/>
        </w:rPr>
        <w:t>Organisation</w:t>
      </w:r>
      <w:r>
        <w:rPr>
          <w:i/>
          <w:spacing w:val="-3"/>
        </w:rPr>
        <w:t> </w:t>
      </w:r>
      <w:r>
        <w:rPr/>
        <w:t>that operates</w:t>
      </w:r>
      <w:r>
        <w:rPr>
          <w:spacing w:val="-4"/>
        </w:rPr>
        <w:t> </w:t>
      </w:r>
      <w:r>
        <w:rPr/>
        <w:t>in</w:t>
      </w:r>
      <w:r>
        <w:rPr>
          <w:spacing w:val="-2"/>
        </w:rPr>
        <w:t> </w:t>
      </w:r>
      <w:r>
        <w:rPr/>
        <w:t>the</w:t>
      </w:r>
      <w:r>
        <w:rPr>
          <w:spacing w:val="-4"/>
        </w:rPr>
        <w:t> </w:t>
      </w:r>
      <w:r>
        <w:rPr/>
        <w:t>United</w:t>
      </w:r>
      <w:r>
        <w:rPr>
          <w:spacing w:val="-4"/>
        </w:rPr>
        <w:t> </w:t>
      </w:r>
      <w:r>
        <w:rPr/>
        <w:t>Kingdom</w:t>
      </w:r>
      <w:r>
        <w:rPr>
          <w:spacing w:val="-3"/>
        </w:rPr>
        <w:t> </w:t>
      </w:r>
      <w:r>
        <w:rPr/>
        <w:t>to</w:t>
      </w:r>
      <w:r>
        <w:rPr>
          <w:spacing w:val="-2"/>
        </w:rPr>
        <w:t> </w:t>
      </w:r>
      <w:r>
        <w:rPr/>
        <w:t>promote</w:t>
      </w:r>
      <w:r>
        <w:rPr>
          <w:spacing w:val="-4"/>
        </w:rPr>
        <w:t> </w:t>
      </w:r>
      <w:r>
        <w:rPr/>
        <w:t>safety</w:t>
      </w:r>
      <w:r>
        <w:rPr>
          <w:spacing w:val="-4"/>
        </w:rPr>
        <w:t> </w:t>
      </w:r>
      <w:r>
        <w:rPr/>
        <w:t>in the offshore oil industry. This initiative brings together operators, contractors, trade unions, regulators and the workforce, all working together to promote safety. The United Kingdom regulator, Health and Safety Executive (HSE) is actively engaged.</w:t>
      </w:r>
    </w:p>
    <w:p>
      <w:pPr>
        <w:pStyle w:val="BodyText"/>
        <w:rPr>
          <w:sz w:val="21"/>
        </w:rPr>
      </w:pPr>
    </w:p>
    <w:p>
      <w:pPr>
        <w:pStyle w:val="BodyText"/>
        <w:spacing w:line="288" w:lineRule="auto"/>
        <w:ind w:left="292" w:right="311"/>
      </w:pPr>
      <w:r>
        <w:rPr/>
        <w:t>There are also several examples of industry-led initiatives to promote safety cultures in other sectors,</w:t>
      </w:r>
      <w:r>
        <w:rPr>
          <w:spacing w:val="-4"/>
        </w:rPr>
        <w:t> </w:t>
      </w:r>
      <w:r>
        <w:rPr/>
        <w:t>and</w:t>
      </w:r>
      <w:r>
        <w:rPr>
          <w:spacing w:val="-3"/>
        </w:rPr>
        <w:t> </w:t>
      </w:r>
      <w:r>
        <w:rPr/>
        <w:t>states,</w:t>
      </w:r>
      <w:r>
        <w:rPr>
          <w:spacing w:val="-4"/>
        </w:rPr>
        <w:t> </w:t>
      </w:r>
      <w:r>
        <w:rPr/>
        <w:t>including</w:t>
      </w:r>
      <w:r>
        <w:rPr>
          <w:spacing w:val="-3"/>
        </w:rPr>
        <w:t> </w:t>
      </w:r>
      <w:r>
        <w:rPr/>
        <w:t>the</w:t>
      </w:r>
      <w:r>
        <w:rPr>
          <w:spacing w:val="-1"/>
        </w:rPr>
        <w:t> </w:t>
      </w:r>
      <w:r>
        <w:rPr>
          <w:i/>
        </w:rPr>
        <w:t>Safer</w:t>
      </w:r>
      <w:r>
        <w:rPr>
          <w:i/>
          <w:spacing w:val="-4"/>
        </w:rPr>
        <w:t> </w:t>
      </w:r>
      <w:r>
        <w:rPr>
          <w:i/>
        </w:rPr>
        <w:t>Together</w:t>
      </w:r>
      <w:r>
        <w:rPr>
          <w:i/>
          <w:spacing w:val="-1"/>
        </w:rPr>
        <w:t> </w:t>
      </w:r>
      <w:r>
        <w:rPr/>
        <w:t>initiative</w:t>
      </w:r>
      <w:r>
        <w:rPr>
          <w:spacing w:val="-3"/>
        </w:rPr>
        <w:t> </w:t>
      </w:r>
      <w:r>
        <w:rPr/>
        <w:t>in</w:t>
      </w:r>
      <w:r>
        <w:rPr>
          <w:spacing w:val="-3"/>
        </w:rPr>
        <w:t> </w:t>
      </w:r>
      <w:r>
        <w:rPr/>
        <w:t>the</w:t>
      </w:r>
      <w:r>
        <w:rPr>
          <w:spacing w:val="-3"/>
        </w:rPr>
        <w:t> </w:t>
      </w:r>
      <w:r>
        <w:rPr/>
        <w:t>natural</w:t>
      </w:r>
      <w:r>
        <w:rPr>
          <w:spacing w:val="-5"/>
        </w:rPr>
        <w:t> </w:t>
      </w:r>
      <w:r>
        <w:rPr/>
        <w:t>gas</w:t>
      </w:r>
      <w:r>
        <w:rPr>
          <w:spacing w:val="-2"/>
        </w:rPr>
        <w:t> </w:t>
      </w:r>
      <w:r>
        <w:rPr/>
        <w:t>sector</w:t>
      </w:r>
      <w:r>
        <w:rPr>
          <w:spacing w:val="-4"/>
        </w:rPr>
        <w:t> </w:t>
      </w:r>
      <w:r>
        <w:rPr/>
        <w:t>in</w:t>
      </w:r>
      <w:r>
        <w:rPr>
          <w:spacing w:val="-3"/>
        </w:rPr>
        <w:t> </w:t>
      </w:r>
      <w:r>
        <w:rPr/>
        <w:t>Queensland.</w:t>
      </w:r>
    </w:p>
    <w:p>
      <w:pPr>
        <w:pStyle w:val="BodyText"/>
        <w:spacing w:before="10"/>
        <w:rPr>
          <w:sz w:val="20"/>
        </w:rPr>
      </w:pPr>
    </w:p>
    <w:p>
      <w:pPr>
        <w:pStyle w:val="BodyText"/>
        <w:spacing w:line="288" w:lineRule="auto"/>
        <w:ind w:left="292" w:right="311"/>
      </w:pPr>
      <w:r>
        <w:rPr/>
        <w:t>None</w:t>
      </w:r>
      <w:r>
        <w:rPr>
          <w:spacing w:val="-2"/>
        </w:rPr>
        <w:t> </w:t>
      </w:r>
      <w:r>
        <w:rPr/>
        <w:t>of the</w:t>
      </w:r>
      <w:r>
        <w:rPr>
          <w:spacing w:val="-4"/>
        </w:rPr>
        <w:t> </w:t>
      </w:r>
      <w:r>
        <w:rPr/>
        <w:t>many</w:t>
      </w:r>
      <w:r>
        <w:rPr>
          <w:spacing w:val="-4"/>
        </w:rPr>
        <w:t> </w:t>
      </w:r>
      <w:r>
        <w:rPr/>
        <w:t>workforce</w:t>
      </w:r>
      <w:r>
        <w:rPr>
          <w:spacing w:val="-2"/>
        </w:rPr>
        <w:t> </w:t>
      </w:r>
      <w:r>
        <w:rPr/>
        <w:t>engagement</w:t>
      </w:r>
      <w:r>
        <w:rPr>
          <w:spacing w:val="-5"/>
        </w:rPr>
        <w:t> </w:t>
      </w:r>
      <w:r>
        <w:rPr/>
        <w:t>models</w:t>
      </w:r>
      <w:r>
        <w:rPr>
          <w:spacing w:val="-4"/>
        </w:rPr>
        <w:t> </w:t>
      </w:r>
      <w:r>
        <w:rPr/>
        <w:t>adopted</w:t>
      </w:r>
      <w:r>
        <w:rPr>
          <w:spacing w:val="-2"/>
        </w:rPr>
        <w:t> </w:t>
      </w:r>
      <w:r>
        <w:rPr/>
        <w:t>in</w:t>
      </w:r>
      <w:r>
        <w:rPr>
          <w:spacing w:val="-2"/>
        </w:rPr>
        <w:t> </w:t>
      </w:r>
      <w:r>
        <w:rPr/>
        <w:t>other countries</w:t>
      </w:r>
      <w:r>
        <w:rPr>
          <w:spacing w:val="-1"/>
        </w:rPr>
        <w:t> </w:t>
      </w:r>
      <w:r>
        <w:rPr/>
        <w:t>or</w:t>
      </w:r>
      <w:r>
        <w:rPr>
          <w:spacing w:val="-3"/>
        </w:rPr>
        <w:t> </w:t>
      </w:r>
      <w:r>
        <w:rPr/>
        <w:t>industries</w:t>
      </w:r>
      <w:r>
        <w:rPr>
          <w:spacing w:val="-4"/>
        </w:rPr>
        <w:t> </w:t>
      </w:r>
      <w:r>
        <w:rPr/>
        <w:t>may</w:t>
      </w:r>
      <w:r>
        <w:rPr>
          <w:spacing w:val="-4"/>
        </w:rPr>
        <w:t> </w:t>
      </w:r>
      <w:r>
        <w:rPr/>
        <w:t>be precisely appropriate for electricity and gas networks in Victoria. Nevertheless, each may offer some approaches that, suitably adapted, could be adopted in Victoria.</w:t>
      </w:r>
    </w:p>
    <w:p>
      <w:pPr>
        <w:pStyle w:val="BodyText"/>
        <w:spacing w:before="9"/>
        <w:rPr>
          <w:sz w:val="20"/>
        </w:rPr>
      </w:pPr>
    </w:p>
    <w:p>
      <w:pPr>
        <w:pStyle w:val="BodyText"/>
        <w:spacing w:line="288" w:lineRule="auto"/>
        <w:ind w:left="292" w:right="311"/>
      </w:pPr>
      <w:r>
        <w:rPr/>
        <w:t>The Review considers that ESV should take a leadership role in promoting active workforce engagement in network safety. As a first step, a formal committee should be established under Section</w:t>
      </w:r>
      <w:r>
        <w:rPr>
          <w:spacing w:val="-2"/>
        </w:rPr>
        <w:t> </w:t>
      </w:r>
      <w:r>
        <w:rPr/>
        <w:t>8</w:t>
      </w:r>
      <w:r>
        <w:rPr>
          <w:spacing w:val="-1"/>
        </w:rPr>
        <w:t> </w:t>
      </w:r>
      <w:r>
        <w:rPr/>
        <w:t>of</w:t>
      </w:r>
      <w:r>
        <w:rPr>
          <w:spacing w:val="-3"/>
        </w:rPr>
        <w:t> </w:t>
      </w:r>
      <w:r>
        <w:rPr/>
        <w:t>the</w:t>
      </w:r>
      <w:r>
        <w:rPr>
          <w:spacing w:val="-1"/>
        </w:rPr>
        <w:t> </w:t>
      </w:r>
      <w:r>
        <w:rPr>
          <w:i/>
        </w:rPr>
        <w:t>Energy</w:t>
      </w:r>
      <w:r>
        <w:rPr>
          <w:i/>
          <w:spacing w:val="-5"/>
        </w:rPr>
        <w:t> </w:t>
      </w:r>
      <w:r>
        <w:rPr>
          <w:i/>
        </w:rPr>
        <w:t>Safe</w:t>
      </w:r>
      <w:r>
        <w:rPr>
          <w:i/>
          <w:spacing w:val="-1"/>
        </w:rPr>
        <w:t> </w:t>
      </w:r>
      <w:r>
        <w:rPr>
          <w:i/>
        </w:rPr>
        <w:t>Victoria</w:t>
      </w:r>
      <w:r>
        <w:rPr>
          <w:i/>
          <w:spacing w:val="-2"/>
        </w:rPr>
        <w:t> </w:t>
      </w:r>
      <w:r>
        <w:rPr>
          <w:i/>
        </w:rPr>
        <w:t>Act</w:t>
      </w:r>
      <w:r>
        <w:rPr>
          <w:i/>
          <w:spacing w:val="-3"/>
        </w:rPr>
        <w:t> </w:t>
      </w:r>
      <w:r>
        <w:rPr>
          <w:i/>
        </w:rPr>
        <w:t>2005</w:t>
      </w:r>
      <w:r>
        <w:rPr>
          <w:i/>
          <w:spacing w:val="-3"/>
        </w:rPr>
        <w:t> </w:t>
      </w:r>
      <w:r>
        <w:rPr/>
        <w:t>to</w:t>
      </w:r>
      <w:r>
        <w:rPr>
          <w:spacing w:val="-4"/>
        </w:rPr>
        <w:t> </w:t>
      </w:r>
      <w:r>
        <w:rPr/>
        <w:t>provide</w:t>
      </w:r>
      <w:r>
        <w:rPr>
          <w:spacing w:val="-2"/>
        </w:rPr>
        <w:t> </w:t>
      </w:r>
      <w:r>
        <w:rPr/>
        <w:t>advice</w:t>
      </w:r>
      <w:r>
        <w:rPr>
          <w:spacing w:val="-2"/>
        </w:rPr>
        <w:t> </w:t>
      </w:r>
      <w:r>
        <w:rPr/>
        <w:t>to</w:t>
      </w:r>
      <w:r>
        <w:rPr>
          <w:spacing w:val="-2"/>
        </w:rPr>
        <w:t> </w:t>
      </w:r>
      <w:r>
        <w:rPr/>
        <w:t>ESV</w:t>
      </w:r>
      <w:r>
        <w:rPr>
          <w:spacing w:val="-2"/>
        </w:rPr>
        <w:t> </w:t>
      </w:r>
      <w:r>
        <w:rPr/>
        <w:t>and</w:t>
      </w:r>
      <w:r>
        <w:rPr>
          <w:spacing w:val="-2"/>
        </w:rPr>
        <w:t> </w:t>
      </w:r>
      <w:r>
        <w:rPr/>
        <w:t>to</w:t>
      </w:r>
      <w:r>
        <w:rPr>
          <w:spacing w:val="-4"/>
        </w:rPr>
        <w:t> </w:t>
      </w:r>
      <w:r>
        <w:rPr/>
        <w:t>contribute</w:t>
      </w:r>
      <w:r>
        <w:rPr>
          <w:spacing w:val="-4"/>
        </w:rPr>
        <w:t> </w:t>
      </w:r>
      <w:r>
        <w:rPr/>
        <w:t>to</w:t>
      </w:r>
      <w:r>
        <w:rPr>
          <w:spacing w:val="-4"/>
        </w:rPr>
        <w:t> </w:t>
      </w:r>
      <w:r>
        <w:rPr/>
        <w:t>the development of a broader workforce engagement agenda.</w:t>
      </w:r>
    </w:p>
    <w:p>
      <w:pPr>
        <w:pStyle w:val="BodyText"/>
        <w:spacing w:before="9"/>
        <w:rPr>
          <w:sz w:val="18"/>
        </w:rPr>
      </w:pPr>
      <w:r>
        <w:rPr/>
        <mc:AlternateContent>
          <mc:Choice Requires="wps">
            <w:drawing>
              <wp:anchor distT="0" distB="0" distL="0" distR="0" allowOverlap="1" layoutInCell="1" locked="0" behindDoc="1" simplePos="0" relativeHeight="487591424">
                <wp:simplePos x="0" y="0"/>
                <wp:positionH relativeFrom="page">
                  <wp:posOffset>719327</wp:posOffset>
                </wp:positionH>
                <wp:positionV relativeFrom="paragraph">
                  <wp:posOffset>152388</wp:posOffset>
                </wp:positionV>
                <wp:extent cx="5753100" cy="1937385"/>
                <wp:effectExtent l="0" t="0" r="0" b="0"/>
                <wp:wrapTopAndBottom/>
                <wp:docPr id="11" name="Textbox 11"/>
                <wp:cNvGraphicFramePr>
                  <a:graphicFrameLocks/>
                </wp:cNvGraphicFramePr>
                <a:graphic>
                  <a:graphicData uri="http://schemas.microsoft.com/office/word/2010/wordprocessingShape">
                    <wps:wsp>
                      <wps:cNvPr id="11" name="Textbox 11"/>
                      <wps:cNvSpPr txBox="1"/>
                      <wps:spPr>
                        <a:xfrm>
                          <a:off x="0" y="0"/>
                          <a:ext cx="5753100" cy="1937385"/>
                        </a:xfrm>
                        <a:prstGeom prst="rect">
                          <a:avLst/>
                        </a:prstGeom>
                        <a:solidFill>
                          <a:srgbClr val="D9D9D9"/>
                        </a:solidFill>
                      </wps:spPr>
                      <wps:txbx>
                        <w:txbxContent>
                          <w:p>
                            <w:pPr>
                              <w:pStyle w:val="BodyText"/>
                              <w:spacing w:before="10"/>
                              <w:rPr>
                                <w:color w:val="000000"/>
                                <w:sz w:val="20"/>
                              </w:rPr>
                            </w:pPr>
                          </w:p>
                          <w:p>
                            <w:pPr>
                              <w:spacing w:before="0"/>
                              <w:ind w:left="112" w:right="0" w:firstLine="0"/>
                              <w:jc w:val="left"/>
                              <w:rPr>
                                <w:b/>
                                <w:color w:val="000000"/>
                                <w:sz w:val="22"/>
                              </w:rPr>
                            </w:pPr>
                            <w:r>
                              <w:rPr>
                                <w:b/>
                                <w:color w:val="000000"/>
                                <w:sz w:val="22"/>
                              </w:rPr>
                              <w:t>Summary</w:t>
                            </w:r>
                            <w:r>
                              <w:rPr>
                                <w:b/>
                                <w:color w:val="000000"/>
                                <w:spacing w:val="-11"/>
                                <w:sz w:val="22"/>
                              </w:rPr>
                              <w:t> </w:t>
                            </w:r>
                            <w:r>
                              <w:rPr>
                                <w:b/>
                                <w:color w:val="000000"/>
                                <w:sz w:val="22"/>
                              </w:rPr>
                              <w:t>of</w:t>
                            </w:r>
                            <w:r>
                              <w:rPr>
                                <w:b/>
                                <w:color w:val="000000"/>
                                <w:spacing w:val="-5"/>
                                <w:sz w:val="22"/>
                              </w:rPr>
                              <w:t> </w:t>
                            </w:r>
                            <w:r>
                              <w:rPr>
                                <w:b/>
                                <w:color w:val="000000"/>
                                <w:sz w:val="22"/>
                              </w:rPr>
                              <w:t>recommendations:</w:t>
                            </w:r>
                            <w:r>
                              <w:rPr>
                                <w:b/>
                                <w:color w:val="000000"/>
                                <w:spacing w:val="-8"/>
                                <w:sz w:val="22"/>
                              </w:rPr>
                              <w:t> </w:t>
                            </w:r>
                            <w:r>
                              <w:rPr>
                                <w:b/>
                                <w:color w:val="000000"/>
                                <w:sz w:val="22"/>
                              </w:rPr>
                              <w:t>Workforce</w:t>
                            </w:r>
                            <w:r>
                              <w:rPr>
                                <w:b/>
                                <w:color w:val="000000"/>
                                <w:spacing w:val="-6"/>
                                <w:sz w:val="22"/>
                              </w:rPr>
                              <w:t> </w:t>
                            </w:r>
                            <w:r>
                              <w:rPr>
                                <w:b/>
                                <w:color w:val="000000"/>
                                <w:spacing w:val="-2"/>
                                <w:sz w:val="22"/>
                              </w:rPr>
                              <w:t>engagement</w:t>
                            </w:r>
                          </w:p>
                          <w:p>
                            <w:pPr>
                              <w:pStyle w:val="BodyText"/>
                              <w:spacing w:before="4"/>
                              <w:rPr>
                                <w:b/>
                                <w:color w:val="000000"/>
                                <w:sz w:val="25"/>
                              </w:rPr>
                            </w:pPr>
                          </w:p>
                          <w:p>
                            <w:pPr>
                              <w:pStyle w:val="BodyText"/>
                              <w:spacing w:line="288" w:lineRule="auto" w:before="1"/>
                              <w:ind w:left="112" w:right="50"/>
                              <w:rPr>
                                <w:color w:val="000000"/>
                              </w:rPr>
                            </w:pPr>
                            <w:r>
                              <w:rPr>
                                <w:color w:val="000000"/>
                              </w:rPr>
                              <w:t>The</w:t>
                            </w:r>
                            <w:r>
                              <w:rPr>
                                <w:color w:val="000000"/>
                                <w:spacing w:val="-4"/>
                              </w:rPr>
                              <w:t> </w:t>
                            </w:r>
                            <w:r>
                              <w:rPr>
                                <w:color w:val="000000"/>
                              </w:rPr>
                              <w:t>Review</w:t>
                            </w:r>
                            <w:r>
                              <w:rPr>
                                <w:color w:val="000000"/>
                                <w:spacing w:val="-5"/>
                              </w:rPr>
                              <w:t> </w:t>
                            </w:r>
                            <w:r>
                              <w:rPr>
                                <w:color w:val="000000"/>
                              </w:rPr>
                              <w:t>proposes</w:t>
                            </w:r>
                            <w:r>
                              <w:rPr>
                                <w:color w:val="000000"/>
                                <w:spacing w:val="-2"/>
                              </w:rPr>
                              <w:t> </w:t>
                            </w:r>
                            <w:r>
                              <w:rPr>
                                <w:color w:val="000000"/>
                              </w:rPr>
                              <w:t>that</w:t>
                            </w:r>
                            <w:r>
                              <w:rPr>
                                <w:color w:val="000000"/>
                                <w:spacing w:val="-2"/>
                              </w:rPr>
                              <w:t> </w:t>
                            </w:r>
                            <w:r>
                              <w:rPr>
                                <w:color w:val="000000"/>
                              </w:rPr>
                              <w:t>ESV</w:t>
                            </w:r>
                            <w:r>
                              <w:rPr>
                                <w:color w:val="000000"/>
                                <w:spacing w:val="-2"/>
                              </w:rPr>
                              <w:t> </w:t>
                            </w:r>
                            <w:r>
                              <w:rPr>
                                <w:color w:val="000000"/>
                              </w:rPr>
                              <w:t>should</w:t>
                            </w:r>
                            <w:r>
                              <w:rPr>
                                <w:color w:val="000000"/>
                                <w:spacing w:val="-4"/>
                              </w:rPr>
                              <w:t> </w:t>
                            </w:r>
                            <w:r>
                              <w:rPr>
                                <w:color w:val="000000"/>
                              </w:rPr>
                              <w:t>establish</w:t>
                            </w:r>
                            <w:r>
                              <w:rPr>
                                <w:color w:val="000000"/>
                                <w:spacing w:val="-4"/>
                              </w:rPr>
                              <w:t> </w:t>
                            </w:r>
                            <w:r>
                              <w:rPr>
                                <w:color w:val="000000"/>
                              </w:rPr>
                              <w:t>a</w:t>
                            </w:r>
                            <w:r>
                              <w:rPr>
                                <w:color w:val="000000"/>
                                <w:spacing w:val="-2"/>
                              </w:rPr>
                              <w:t> </w:t>
                            </w:r>
                            <w:r>
                              <w:rPr>
                                <w:color w:val="000000"/>
                              </w:rPr>
                              <w:t>consultative</w:t>
                            </w:r>
                            <w:r>
                              <w:rPr>
                                <w:color w:val="000000"/>
                                <w:spacing w:val="-2"/>
                              </w:rPr>
                              <w:t> </w:t>
                            </w:r>
                            <w:r>
                              <w:rPr>
                                <w:color w:val="000000"/>
                              </w:rPr>
                              <w:t>committee</w:t>
                            </w:r>
                            <w:r>
                              <w:rPr>
                                <w:color w:val="000000"/>
                                <w:spacing w:val="-4"/>
                              </w:rPr>
                              <w:t> </w:t>
                            </w:r>
                            <w:r>
                              <w:rPr>
                                <w:color w:val="000000"/>
                              </w:rPr>
                              <w:t>under</w:t>
                            </w:r>
                            <w:r>
                              <w:rPr>
                                <w:color w:val="000000"/>
                                <w:spacing w:val="-3"/>
                              </w:rPr>
                              <w:t> </w:t>
                            </w:r>
                            <w:r>
                              <w:rPr>
                                <w:color w:val="000000"/>
                              </w:rPr>
                              <w:t>Section</w:t>
                            </w:r>
                            <w:r>
                              <w:rPr>
                                <w:color w:val="000000"/>
                                <w:spacing w:val="-2"/>
                              </w:rPr>
                              <w:t> </w:t>
                            </w:r>
                            <w:r>
                              <w:rPr>
                                <w:color w:val="000000"/>
                              </w:rPr>
                              <w:t>8 of the </w:t>
                            </w:r>
                            <w:r>
                              <w:rPr>
                                <w:i/>
                                <w:color w:val="000000"/>
                              </w:rPr>
                              <w:t>Energy Safe Victoria Act 2005 </w:t>
                            </w:r>
                            <w:r>
                              <w:rPr>
                                <w:color w:val="000000"/>
                              </w:rPr>
                              <w:t>(Recommendation 25). This committee should:</w:t>
                            </w:r>
                          </w:p>
                          <w:p>
                            <w:pPr>
                              <w:pStyle w:val="BodyText"/>
                              <w:spacing w:before="1"/>
                              <w:rPr>
                                <w:color w:val="000000"/>
                              </w:rPr>
                            </w:pPr>
                          </w:p>
                          <w:p>
                            <w:pPr>
                              <w:pStyle w:val="BodyText"/>
                              <w:numPr>
                                <w:ilvl w:val="0"/>
                                <w:numId w:val="13"/>
                              </w:numPr>
                              <w:tabs>
                                <w:tab w:pos="500" w:val="left" w:leader="none"/>
                              </w:tabs>
                              <w:spacing w:line="240" w:lineRule="auto" w:before="0" w:after="0"/>
                              <w:ind w:left="500" w:right="0" w:hanging="217"/>
                              <w:jc w:val="left"/>
                              <w:rPr>
                                <w:color w:val="000000"/>
                              </w:rPr>
                            </w:pPr>
                            <w:r>
                              <w:rPr>
                                <w:color w:val="000000"/>
                              </w:rPr>
                              <w:t>provide</w:t>
                            </w:r>
                            <w:r>
                              <w:rPr>
                                <w:color w:val="000000"/>
                                <w:spacing w:val="-5"/>
                              </w:rPr>
                              <w:t> </w:t>
                            </w:r>
                            <w:r>
                              <w:rPr>
                                <w:color w:val="000000"/>
                              </w:rPr>
                              <w:t>advice</w:t>
                            </w:r>
                            <w:r>
                              <w:rPr>
                                <w:color w:val="000000"/>
                                <w:spacing w:val="-5"/>
                              </w:rPr>
                              <w:t> </w:t>
                            </w:r>
                            <w:r>
                              <w:rPr>
                                <w:color w:val="000000"/>
                              </w:rPr>
                              <w:t>to</w:t>
                            </w:r>
                            <w:r>
                              <w:rPr>
                                <w:color w:val="000000"/>
                                <w:spacing w:val="-5"/>
                              </w:rPr>
                              <w:t> </w:t>
                            </w:r>
                            <w:r>
                              <w:rPr>
                                <w:color w:val="000000"/>
                              </w:rPr>
                              <w:t>ESV</w:t>
                            </w:r>
                            <w:r>
                              <w:rPr>
                                <w:color w:val="000000"/>
                                <w:spacing w:val="-5"/>
                              </w:rPr>
                              <w:t> </w:t>
                            </w:r>
                            <w:r>
                              <w:rPr>
                                <w:color w:val="000000"/>
                              </w:rPr>
                              <w:t>to</w:t>
                            </w:r>
                            <w:r>
                              <w:rPr>
                                <w:color w:val="000000"/>
                                <w:spacing w:val="-7"/>
                              </w:rPr>
                              <w:t> </w:t>
                            </w:r>
                            <w:r>
                              <w:rPr>
                                <w:color w:val="000000"/>
                              </w:rPr>
                              <w:t>assist</w:t>
                            </w:r>
                            <w:r>
                              <w:rPr>
                                <w:color w:val="000000"/>
                                <w:spacing w:val="-6"/>
                              </w:rPr>
                              <w:t> </w:t>
                            </w:r>
                            <w:r>
                              <w:rPr>
                                <w:color w:val="000000"/>
                              </w:rPr>
                              <w:t>in</w:t>
                            </w:r>
                            <w:r>
                              <w:rPr>
                                <w:color w:val="000000"/>
                                <w:spacing w:val="-5"/>
                              </w:rPr>
                              <w:t> </w:t>
                            </w:r>
                            <w:r>
                              <w:rPr>
                                <w:color w:val="000000"/>
                              </w:rPr>
                              <w:t>its</w:t>
                            </w:r>
                            <w:r>
                              <w:rPr>
                                <w:color w:val="000000"/>
                                <w:spacing w:val="-6"/>
                              </w:rPr>
                              <w:t> </w:t>
                            </w:r>
                            <w:r>
                              <w:rPr>
                                <w:color w:val="000000"/>
                              </w:rPr>
                              <w:t>consideration</w:t>
                            </w:r>
                            <w:r>
                              <w:rPr>
                                <w:color w:val="000000"/>
                                <w:spacing w:val="-5"/>
                              </w:rPr>
                              <w:t> </w:t>
                            </w:r>
                            <w:r>
                              <w:rPr>
                                <w:color w:val="000000"/>
                              </w:rPr>
                              <w:t>of</w:t>
                            </w:r>
                            <w:r>
                              <w:rPr>
                                <w:color w:val="000000"/>
                                <w:spacing w:val="-3"/>
                              </w:rPr>
                              <w:t> </w:t>
                            </w:r>
                            <w:r>
                              <w:rPr>
                                <w:color w:val="000000"/>
                              </w:rPr>
                              <w:t>workforce</w:t>
                            </w:r>
                            <w:r>
                              <w:rPr>
                                <w:color w:val="000000"/>
                                <w:spacing w:val="-6"/>
                              </w:rPr>
                              <w:t> </w:t>
                            </w:r>
                            <w:r>
                              <w:rPr>
                                <w:color w:val="000000"/>
                              </w:rPr>
                              <w:t>engagement</w:t>
                            </w:r>
                            <w:r>
                              <w:rPr>
                                <w:color w:val="000000"/>
                                <w:spacing w:val="-3"/>
                              </w:rPr>
                              <w:t> </w:t>
                            </w:r>
                            <w:r>
                              <w:rPr>
                                <w:color w:val="000000"/>
                                <w:spacing w:val="-2"/>
                              </w:rPr>
                              <w:t>issues;</w:t>
                            </w:r>
                          </w:p>
                          <w:p>
                            <w:pPr>
                              <w:pStyle w:val="BodyText"/>
                              <w:spacing w:before="7"/>
                              <w:rPr>
                                <w:color w:val="000000"/>
                                <w:sz w:val="26"/>
                              </w:rPr>
                            </w:pPr>
                          </w:p>
                          <w:p>
                            <w:pPr>
                              <w:pStyle w:val="BodyText"/>
                              <w:numPr>
                                <w:ilvl w:val="0"/>
                                <w:numId w:val="13"/>
                              </w:numPr>
                              <w:tabs>
                                <w:tab w:pos="500" w:val="left" w:leader="none"/>
                                <w:tab w:pos="502" w:val="left" w:leader="none"/>
                              </w:tabs>
                              <w:spacing w:line="288" w:lineRule="auto" w:before="0" w:after="0"/>
                              <w:ind w:left="502" w:right="291" w:hanging="219"/>
                              <w:jc w:val="left"/>
                              <w:rPr>
                                <w:color w:val="000000"/>
                              </w:rPr>
                            </w:pPr>
                            <w:r>
                              <w:rPr>
                                <w:color w:val="000000"/>
                              </w:rPr>
                              <w:t>contribute</w:t>
                            </w:r>
                            <w:r>
                              <w:rPr>
                                <w:color w:val="000000"/>
                                <w:spacing w:val="-6"/>
                              </w:rPr>
                              <w:t> </w:t>
                            </w:r>
                            <w:r>
                              <w:rPr>
                                <w:color w:val="000000"/>
                              </w:rPr>
                              <w:t>to</w:t>
                            </w:r>
                            <w:r>
                              <w:rPr>
                                <w:color w:val="000000"/>
                                <w:spacing w:val="-8"/>
                              </w:rPr>
                              <w:t> </w:t>
                            </w:r>
                            <w:r>
                              <w:rPr>
                                <w:color w:val="000000"/>
                              </w:rPr>
                              <w:t>the</w:t>
                            </w:r>
                            <w:r>
                              <w:rPr>
                                <w:color w:val="000000"/>
                                <w:spacing w:val="-4"/>
                              </w:rPr>
                              <w:t> </w:t>
                            </w:r>
                            <w:r>
                              <w:rPr>
                                <w:color w:val="000000"/>
                              </w:rPr>
                              <w:t>development</w:t>
                            </w:r>
                            <w:r>
                              <w:rPr>
                                <w:color w:val="000000"/>
                                <w:spacing w:val="-5"/>
                              </w:rPr>
                              <w:t> </w:t>
                            </w:r>
                            <w:r>
                              <w:rPr>
                                <w:color w:val="000000"/>
                              </w:rPr>
                              <w:t>of</w:t>
                            </w:r>
                            <w:r>
                              <w:rPr>
                                <w:color w:val="000000"/>
                                <w:spacing w:val="-3"/>
                              </w:rPr>
                              <w:t> </w:t>
                            </w:r>
                            <w:r>
                              <w:rPr>
                                <w:color w:val="000000"/>
                              </w:rPr>
                              <w:t>broader</w:t>
                            </w:r>
                            <w:r>
                              <w:rPr>
                                <w:color w:val="000000"/>
                                <w:spacing w:val="-4"/>
                              </w:rPr>
                              <w:t> </w:t>
                            </w:r>
                            <w:r>
                              <w:rPr>
                                <w:color w:val="000000"/>
                              </w:rPr>
                              <w:t>workforce</w:t>
                            </w:r>
                            <w:r>
                              <w:rPr>
                                <w:color w:val="000000"/>
                                <w:spacing w:val="-4"/>
                              </w:rPr>
                              <w:t> </w:t>
                            </w:r>
                            <w:r>
                              <w:rPr>
                                <w:color w:val="000000"/>
                              </w:rPr>
                              <w:t>engagement</w:t>
                            </w:r>
                            <w:r>
                              <w:rPr>
                                <w:color w:val="000000"/>
                                <w:spacing w:val="-5"/>
                              </w:rPr>
                              <w:t> </w:t>
                            </w:r>
                            <w:r>
                              <w:rPr>
                                <w:color w:val="000000"/>
                              </w:rPr>
                              <w:t>strategies,</w:t>
                            </w:r>
                            <w:r>
                              <w:rPr>
                                <w:color w:val="000000"/>
                                <w:spacing w:val="-3"/>
                              </w:rPr>
                              <w:t> </w:t>
                            </w:r>
                            <w:r>
                              <w:rPr>
                                <w:color w:val="000000"/>
                              </w:rPr>
                              <w:t>including the sharing of best practices; and</w:t>
                            </w:r>
                          </w:p>
                        </w:txbxContent>
                      </wps:txbx>
                      <wps:bodyPr wrap="square" lIns="0" tIns="0" rIns="0" bIns="0" rtlCol="0">
                        <a:noAutofit/>
                      </wps:bodyPr>
                    </wps:wsp>
                  </a:graphicData>
                </a:graphic>
              </wp:anchor>
            </w:drawing>
          </mc:Choice>
          <mc:Fallback>
            <w:pict>
              <v:shape style="position:absolute;margin-left:56.639999pt;margin-top:11.999121pt;width:453pt;height:152.550pt;mso-position-horizontal-relative:page;mso-position-vertical-relative:paragraph;z-index:-15725056;mso-wrap-distance-left:0;mso-wrap-distance-right:0" type="#_x0000_t202" id="docshape10" filled="true" fillcolor="#d9d9d9" stroked="false">
                <v:textbox inset="0,0,0,0">
                  <w:txbxContent>
                    <w:p>
                      <w:pPr>
                        <w:pStyle w:val="BodyText"/>
                        <w:spacing w:before="10"/>
                        <w:rPr>
                          <w:color w:val="000000"/>
                          <w:sz w:val="20"/>
                        </w:rPr>
                      </w:pPr>
                    </w:p>
                    <w:p>
                      <w:pPr>
                        <w:spacing w:before="0"/>
                        <w:ind w:left="112" w:right="0" w:firstLine="0"/>
                        <w:jc w:val="left"/>
                        <w:rPr>
                          <w:b/>
                          <w:color w:val="000000"/>
                          <w:sz w:val="22"/>
                        </w:rPr>
                      </w:pPr>
                      <w:r>
                        <w:rPr>
                          <w:b/>
                          <w:color w:val="000000"/>
                          <w:sz w:val="22"/>
                        </w:rPr>
                        <w:t>Summary</w:t>
                      </w:r>
                      <w:r>
                        <w:rPr>
                          <w:b/>
                          <w:color w:val="000000"/>
                          <w:spacing w:val="-11"/>
                          <w:sz w:val="22"/>
                        </w:rPr>
                        <w:t> </w:t>
                      </w:r>
                      <w:r>
                        <w:rPr>
                          <w:b/>
                          <w:color w:val="000000"/>
                          <w:sz w:val="22"/>
                        </w:rPr>
                        <w:t>of</w:t>
                      </w:r>
                      <w:r>
                        <w:rPr>
                          <w:b/>
                          <w:color w:val="000000"/>
                          <w:spacing w:val="-5"/>
                          <w:sz w:val="22"/>
                        </w:rPr>
                        <w:t> </w:t>
                      </w:r>
                      <w:r>
                        <w:rPr>
                          <w:b/>
                          <w:color w:val="000000"/>
                          <w:sz w:val="22"/>
                        </w:rPr>
                        <w:t>recommendations:</w:t>
                      </w:r>
                      <w:r>
                        <w:rPr>
                          <w:b/>
                          <w:color w:val="000000"/>
                          <w:spacing w:val="-8"/>
                          <w:sz w:val="22"/>
                        </w:rPr>
                        <w:t> </w:t>
                      </w:r>
                      <w:r>
                        <w:rPr>
                          <w:b/>
                          <w:color w:val="000000"/>
                          <w:sz w:val="22"/>
                        </w:rPr>
                        <w:t>Workforce</w:t>
                      </w:r>
                      <w:r>
                        <w:rPr>
                          <w:b/>
                          <w:color w:val="000000"/>
                          <w:spacing w:val="-6"/>
                          <w:sz w:val="22"/>
                        </w:rPr>
                        <w:t> </w:t>
                      </w:r>
                      <w:r>
                        <w:rPr>
                          <w:b/>
                          <w:color w:val="000000"/>
                          <w:spacing w:val="-2"/>
                          <w:sz w:val="22"/>
                        </w:rPr>
                        <w:t>engagement</w:t>
                      </w:r>
                    </w:p>
                    <w:p>
                      <w:pPr>
                        <w:pStyle w:val="BodyText"/>
                        <w:spacing w:before="4"/>
                        <w:rPr>
                          <w:b/>
                          <w:color w:val="000000"/>
                          <w:sz w:val="25"/>
                        </w:rPr>
                      </w:pPr>
                    </w:p>
                    <w:p>
                      <w:pPr>
                        <w:pStyle w:val="BodyText"/>
                        <w:spacing w:line="288" w:lineRule="auto" w:before="1"/>
                        <w:ind w:left="112" w:right="50"/>
                        <w:rPr>
                          <w:color w:val="000000"/>
                        </w:rPr>
                      </w:pPr>
                      <w:r>
                        <w:rPr>
                          <w:color w:val="000000"/>
                        </w:rPr>
                        <w:t>The</w:t>
                      </w:r>
                      <w:r>
                        <w:rPr>
                          <w:color w:val="000000"/>
                          <w:spacing w:val="-4"/>
                        </w:rPr>
                        <w:t> </w:t>
                      </w:r>
                      <w:r>
                        <w:rPr>
                          <w:color w:val="000000"/>
                        </w:rPr>
                        <w:t>Review</w:t>
                      </w:r>
                      <w:r>
                        <w:rPr>
                          <w:color w:val="000000"/>
                          <w:spacing w:val="-5"/>
                        </w:rPr>
                        <w:t> </w:t>
                      </w:r>
                      <w:r>
                        <w:rPr>
                          <w:color w:val="000000"/>
                        </w:rPr>
                        <w:t>proposes</w:t>
                      </w:r>
                      <w:r>
                        <w:rPr>
                          <w:color w:val="000000"/>
                          <w:spacing w:val="-2"/>
                        </w:rPr>
                        <w:t> </w:t>
                      </w:r>
                      <w:r>
                        <w:rPr>
                          <w:color w:val="000000"/>
                        </w:rPr>
                        <w:t>that</w:t>
                      </w:r>
                      <w:r>
                        <w:rPr>
                          <w:color w:val="000000"/>
                          <w:spacing w:val="-2"/>
                        </w:rPr>
                        <w:t> </w:t>
                      </w:r>
                      <w:r>
                        <w:rPr>
                          <w:color w:val="000000"/>
                        </w:rPr>
                        <w:t>ESV</w:t>
                      </w:r>
                      <w:r>
                        <w:rPr>
                          <w:color w:val="000000"/>
                          <w:spacing w:val="-2"/>
                        </w:rPr>
                        <w:t> </w:t>
                      </w:r>
                      <w:r>
                        <w:rPr>
                          <w:color w:val="000000"/>
                        </w:rPr>
                        <w:t>should</w:t>
                      </w:r>
                      <w:r>
                        <w:rPr>
                          <w:color w:val="000000"/>
                          <w:spacing w:val="-4"/>
                        </w:rPr>
                        <w:t> </w:t>
                      </w:r>
                      <w:r>
                        <w:rPr>
                          <w:color w:val="000000"/>
                        </w:rPr>
                        <w:t>establish</w:t>
                      </w:r>
                      <w:r>
                        <w:rPr>
                          <w:color w:val="000000"/>
                          <w:spacing w:val="-4"/>
                        </w:rPr>
                        <w:t> </w:t>
                      </w:r>
                      <w:r>
                        <w:rPr>
                          <w:color w:val="000000"/>
                        </w:rPr>
                        <w:t>a</w:t>
                      </w:r>
                      <w:r>
                        <w:rPr>
                          <w:color w:val="000000"/>
                          <w:spacing w:val="-2"/>
                        </w:rPr>
                        <w:t> </w:t>
                      </w:r>
                      <w:r>
                        <w:rPr>
                          <w:color w:val="000000"/>
                        </w:rPr>
                        <w:t>consultative</w:t>
                      </w:r>
                      <w:r>
                        <w:rPr>
                          <w:color w:val="000000"/>
                          <w:spacing w:val="-2"/>
                        </w:rPr>
                        <w:t> </w:t>
                      </w:r>
                      <w:r>
                        <w:rPr>
                          <w:color w:val="000000"/>
                        </w:rPr>
                        <w:t>committee</w:t>
                      </w:r>
                      <w:r>
                        <w:rPr>
                          <w:color w:val="000000"/>
                          <w:spacing w:val="-4"/>
                        </w:rPr>
                        <w:t> </w:t>
                      </w:r>
                      <w:r>
                        <w:rPr>
                          <w:color w:val="000000"/>
                        </w:rPr>
                        <w:t>under</w:t>
                      </w:r>
                      <w:r>
                        <w:rPr>
                          <w:color w:val="000000"/>
                          <w:spacing w:val="-3"/>
                        </w:rPr>
                        <w:t> </w:t>
                      </w:r>
                      <w:r>
                        <w:rPr>
                          <w:color w:val="000000"/>
                        </w:rPr>
                        <w:t>Section</w:t>
                      </w:r>
                      <w:r>
                        <w:rPr>
                          <w:color w:val="000000"/>
                          <w:spacing w:val="-2"/>
                        </w:rPr>
                        <w:t> </w:t>
                      </w:r>
                      <w:r>
                        <w:rPr>
                          <w:color w:val="000000"/>
                        </w:rPr>
                        <w:t>8 of the </w:t>
                      </w:r>
                      <w:r>
                        <w:rPr>
                          <w:i/>
                          <w:color w:val="000000"/>
                        </w:rPr>
                        <w:t>Energy Safe Victoria Act 2005 </w:t>
                      </w:r>
                      <w:r>
                        <w:rPr>
                          <w:color w:val="000000"/>
                        </w:rPr>
                        <w:t>(Recommendation 25). This committee should:</w:t>
                      </w:r>
                    </w:p>
                    <w:p>
                      <w:pPr>
                        <w:pStyle w:val="BodyText"/>
                        <w:spacing w:before="1"/>
                        <w:rPr>
                          <w:color w:val="000000"/>
                        </w:rPr>
                      </w:pPr>
                    </w:p>
                    <w:p>
                      <w:pPr>
                        <w:pStyle w:val="BodyText"/>
                        <w:numPr>
                          <w:ilvl w:val="0"/>
                          <w:numId w:val="13"/>
                        </w:numPr>
                        <w:tabs>
                          <w:tab w:pos="500" w:val="left" w:leader="none"/>
                        </w:tabs>
                        <w:spacing w:line="240" w:lineRule="auto" w:before="0" w:after="0"/>
                        <w:ind w:left="500" w:right="0" w:hanging="217"/>
                        <w:jc w:val="left"/>
                        <w:rPr>
                          <w:color w:val="000000"/>
                        </w:rPr>
                      </w:pPr>
                      <w:r>
                        <w:rPr>
                          <w:color w:val="000000"/>
                        </w:rPr>
                        <w:t>provide</w:t>
                      </w:r>
                      <w:r>
                        <w:rPr>
                          <w:color w:val="000000"/>
                          <w:spacing w:val="-5"/>
                        </w:rPr>
                        <w:t> </w:t>
                      </w:r>
                      <w:r>
                        <w:rPr>
                          <w:color w:val="000000"/>
                        </w:rPr>
                        <w:t>advice</w:t>
                      </w:r>
                      <w:r>
                        <w:rPr>
                          <w:color w:val="000000"/>
                          <w:spacing w:val="-5"/>
                        </w:rPr>
                        <w:t> </w:t>
                      </w:r>
                      <w:r>
                        <w:rPr>
                          <w:color w:val="000000"/>
                        </w:rPr>
                        <w:t>to</w:t>
                      </w:r>
                      <w:r>
                        <w:rPr>
                          <w:color w:val="000000"/>
                          <w:spacing w:val="-5"/>
                        </w:rPr>
                        <w:t> </w:t>
                      </w:r>
                      <w:r>
                        <w:rPr>
                          <w:color w:val="000000"/>
                        </w:rPr>
                        <w:t>ESV</w:t>
                      </w:r>
                      <w:r>
                        <w:rPr>
                          <w:color w:val="000000"/>
                          <w:spacing w:val="-5"/>
                        </w:rPr>
                        <w:t> </w:t>
                      </w:r>
                      <w:r>
                        <w:rPr>
                          <w:color w:val="000000"/>
                        </w:rPr>
                        <w:t>to</w:t>
                      </w:r>
                      <w:r>
                        <w:rPr>
                          <w:color w:val="000000"/>
                          <w:spacing w:val="-7"/>
                        </w:rPr>
                        <w:t> </w:t>
                      </w:r>
                      <w:r>
                        <w:rPr>
                          <w:color w:val="000000"/>
                        </w:rPr>
                        <w:t>assist</w:t>
                      </w:r>
                      <w:r>
                        <w:rPr>
                          <w:color w:val="000000"/>
                          <w:spacing w:val="-6"/>
                        </w:rPr>
                        <w:t> </w:t>
                      </w:r>
                      <w:r>
                        <w:rPr>
                          <w:color w:val="000000"/>
                        </w:rPr>
                        <w:t>in</w:t>
                      </w:r>
                      <w:r>
                        <w:rPr>
                          <w:color w:val="000000"/>
                          <w:spacing w:val="-5"/>
                        </w:rPr>
                        <w:t> </w:t>
                      </w:r>
                      <w:r>
                        <w:rPr>
                          <w:color w:val="000000"/>
                        </w:rPr>
                        <w:t>its</w:t>
                      </w:r>
                      <w:r>
                        <w:rPr>
                          <w:color w:val="000000"/>
                          <w:spacing w:val="-6"/>
                        </w:rPr>
                        <w:t> </w:t>
                      </w:r>
                      <w:r>
                        <w:rPr>
                          <w:color w:val="000000"/>
                        </w:rPr>
                        <w:t>consideration</w:t>
                      </w:r>
                      <w:r>
                        <w:rPr>
                          <w:color w:val="000000"/>
                          <w:spacing w:val="-5"/>
                        </w:rPr>
                        <w:t> </w:t>
                      </w:r>
                      <w:r>
                        <w:rPr>
                          <w:color w:val="000000"/>
                        </w:rPr>
                        <w:t>of</w:t>
                      </w:r>
                      <w:r>
                        <w:rPr>
                          <w:color w:val="000000"/>
                          <w:spacing w:val="-3"/>
                        </w:rPr>
                        <w:t> </w:t>
                      </w:r>
                      <w:r>
                        <w:rPr>
                          <w:color w:val="000000"/>
                        </w:rPr>
                        <w:t>workforce</w:t>
                      </w:r>
                      <w:r>
                        <w:rPr>
                          <w:color w:val="000000"/>
                          <w:spacing w:val="-6"/>
                        </w:rPr>
                        <w:t> </w:t>
                      </w:r>
                      <w:r>
                        <w:rPr>
                          <w:color w:val="000000"/>
                        </w:rPr>
                        <w:t>engagement</w:t>
                      </w:r>
                      <w:r>
                        <w:rPr>
                          <w:color w:val="000000"/>
                          <w:spacing w:val="-3"/>
                        </w:rPr>
                        <w:t> </w:t>
                      </w:r>
                      <w:r>
                        <w:rPr>
                          <w:color w:val="000000"/>
                          <w:spacing w:val="-2"/>
                        </w:rPr>
                        <w:t>issues;</w:t>
                      </w:r>
                    </w:p>
                    <w:p>
                      <w:pPr>
                        <w:pStyle w:val="BodyText"/>
                        <w:spacing w:before="7"/>
                        <w:rPr>
                          <w:color w:val="000000"/>
                          <w:sz w:val="26"/>
                        </w:rPr>
                      </w:pPr>
                    </w:p>
                    <w:p>
                      <w:pPr>
                        <w:pStyle w:val="BodyText"/>
                        <w:numPr>
                          <w:ilvl w:val="0"/>
                          <w:numId w:val="13"/>
                        </w:numPr>
                        <w:tabs>
                          <w:tab w:pos="500" w:val="left" w:leader="none"/>
                          <w:tab w:pos="502" w:val="left" w:leader="none"/>
                        </w:tabs>
                        <w:spacing w:line="288" w:lineRule="auto" w:before="0" w:after="0"/>
                        <w:ind w:left="502" w:right="291" w:hanging="219"/>
                        <w:jc w:val="left"/>
                        <w:rPr>
                          <w:color w:val="000000"/>
                        </w:rPr>
                      </w:pPr>
                      <w:r>
                        <w:rPr>
                          <w:color w:val="000000"/>
                        </w:rPr>
                        <w:t>contribute</w:t>
                      </w:r>
                      <w:r>
                        <w:rPr>
                          <w:color w:val="000000"/>
                          <w:spacing w:val="-6"/>
                        </w:rPr>
                        <w:t> </w:t>
                      </w:r>
                      <w:r>
                        <w:rPr>
                          <w:color w:val="000000"/>
                        </w:rPr>
                        <w:t>to</w:t>
                      </w:r>
                      <w:r>
                        <w:rPr>
                          <w:color w:val="000000"/>
                          <w:spacing w:val="-8"/>
                        </w:rPr>
                        <w:t> </w:t>
                      </w:r>
                      <w:r>
                        <w:rPr>
                          <w:color w:val="000000"/>
                        </w:rPr>
                        <w:t>the</w:t>
                      </w:r>
                      <w:r>
                        <w:rPr>
                          <w:color w:val="000000"/>
                          <w:spacing w:val="-4"/>
                        </w:rPr>
                        <w:t> </w:t>
                      </w:r>
                      <w:r>
                        <w:rPr>
                          <w:color w:val="000000"/>
                        </w:rPr>
                        <w:t>development</w:t>
                      </w:r>
                      <w:r>
                        <w:rPr>
                          <w:color w:val="000000"/>
                          <w:spacing w:val="-5"/>
                        </w:rPr>
                        <w:t> </w:t>
                      </w:r>
                      <w:r>
                        <w:rPr>
                          <w:color w:val="000000"/>
                        </w:rPr>
                        <w:t>of</w:t>
                      </w:r>
                      <w:r>
                        <w:rPr>
                          <w:color w:val="000000"/>
                          <w:spacing w:val="-3"/>
                        </w:rPr>
                        <w:t> </w:t>
                      </w:r>
                      <w:r>
                        <w:rPr>
                          <w:color w:val="000000"/>
                        </w:rPr>
                        <w:t>broader</w:t>
                      </w:r>
                      <w:r>
                        <w:rPr>
                          <w:color w:val="000000"/>
                          <w:spacing w:val="-4"/>
                        </w:rPr>
                        <w:t> </w:t>
                      </w:r>
                      <w:r>
                        <w:rPr>
                          <w:color w:val="000000"/>
                        </w:rPr>
                        <w:t>workforce</w:t>
                      </w:r>
                      <w:r>
                        <w:rPr>
                          <w:color w:val="000000"/>
                          <w:spacing w:val="-4"/>
                        </w:rPr>
                        <w:t> </w:t>
                      </w:r>
                      <w:r>
                        <w:rPr>
                          <w:color w:val="000000"/>
                        </w:rPr>
                        <w:t>engagement</w:t>
                      </w:r>
                      <w:r>
                        <w:rPr>
                          <w:color w:val="000000"/>
                          <w:spacing w:val="-5"/>
                        </w:rPr>
                        <w:t> </w:t>
                      </w:r>
                      <w:r>
                        <w:rPr>
                          <w:color w:val="000000"/>
                        </w:rPr>
                        <w:t>strategies,</w:t>
                      </w:r>
                      <w:r>
                        <w:rPr>
                          <w:color w:val="000000"/>
                          <w:spacing w:val="-3"/>
                        </w:rPr>
                        <w:t> </w:t>
                      </w:r>
                      <w:r>
                        <w:rPr>
                          <w:color w:val="000000"/>
                        </w:rPr>
                        <w:t>including the sharing of best practices; and</w:t>
                      </w:r>
                    </w:p>
                  </w:txbxContent>
                </v:textbox>
                <v:fill type="solid"/>
                <w10:wrap type="topAndBottom"/>
              </v:shape>
            </w:pict>
          </mc:Fallback>
        </mc:AlternateContent>
      </w:r>
    </w:p>
    <w:p>
      <w:pPr>
        <w:spacing w:after="0"/>
        <w:rPr>
          <w:sz w:val="18"/>
        </w:rPr>
        <w:sectPr>
          <w:pgSz w:w="11910" w:h="16850"/>
          <w:pgMar w:header="465" w:footer="880" w:top="660" w:bottom="1060" w:left="840" w:right="820"/>
        </w:sectPr>
      </w:pPr>
    </w:p>
    <w:p>
      <w:pPr>
        <w:pStyle w:val="BodyText"/>
        <w:rPr>
          <w:sz w:val="20"/>
        </w:rPr>
      </w:pPr>
    </w:p>
    <w:p>
      <w:pPr>
        <w:pStyle w:val="BodyText"/>
        <w:rPr>
          <w:sz w:val="20"/>
        </w:rPr>
      </w:pPr>
    </w:p>
    <w:p>
      <w:pPr>
        <w:pStyle w:val="BodyText"/>
        <w:spacing w:before="4"/>
      </w:pPr>
    </w:p>
    <w:p>
      <w:pPr>
        <w:pStyle w:val="BodyText"/>
        <w:ind w:left="292"/>
        <w:rPr>
          <w:sz w:val="20"/>
        </w:rPr>
      </w:pPr>
      <w:r>
        <w:rPr>
          <w:sz w:val="20"/>
        </w:rPr>
        <mc:AlternateContent>
          <mc:Choice Requires="wps">
            <w:drawing>
              <wp:inline distT="0" distB="0" distL="0" distR="0">
                <wp:extent cx="5753100" cy="548005"/>
                <wp:effectExtent l="0" t="0" r="0" b="0"/>
                <wp:docPr id="12" name="Textbox 12"/>
                <wp:cNvGraphicFramePr>
                  <a:graphicFrameLocks/>
                </wp:cNvGraphicFramePr>
                <a:graphic>
                  <a:graphicData uri="http://schemas.microsoft.com/office/word/2010/wordprocessingShape">
                    <wps:wsp>
                      <wps:cNvPr id="12" name="Textbox 12"/>
                      <wps:cNvSpPr txBox="1"/>
                      <wps:spPr>
                        <a:xfrm>
                          <a:off x="0" y="0"/>
                          <a:ext cx="5753100" cy="548005"/>
                        </a:xfrm>
                        <a:prstGeom prst="rect">
                          <a:avLst/>
                        </a:prstGeom>
                        <a:solidFill>
                          <a:srgbClr val="D9D9D9"/>
                        </a:solidFill>
                      </wps:spPr>
                      <wps:txbx>
                        <w:txbxContent>
                          <w:p>
                            <w:pPr>
                              <w:pStyle w:val="BodyText"/>
                              <w:numPr>
                                <w:ilvl w:val="0"/>
                                <w:numId w:val="14"/>
                              </w:numPr>
                              <w:tabs>
                                <w:tab w:pos="500" w:val="left" w:leader="none"/>
                                <w:tab w:pos="502" w:val="left" w:leader="none"/>
                              </w:tabs>
                              <w:spacing w:line="285" w:lineRule="auto" w:before="17" w:after="0"/>
                              <w:ind w:left="502" w:right="649" w:hanging="219"/>
                              <w:jc w:val="left"/>
                              <w:rPr>
                                <w:color w:val="000000"/>
                              </w:rPr>
                            </w:pPr>
                            <w:r>
                              <w:rPr>
                                <w:color w:val="000000"/>
                              </w:rPr>
                              <w:t>be</w:t>
                            </w:r>
                            <w:r>
                              <w:rPr>
                                <w:color w:val="000000"/>
                                <w:spacing w:val="-4"/>
                              </w:rPr>
                              <w:t> </w:t>
                            </w:r>
                            <w:r>
                              <w:rPr>
                                <w:color w:val="000000"/>
                              </w:rPr>
                              <w:t>comprised</w:t>
                            </w:r>
                            <w:r>
                              <w:rPr>
                                <w:color w:val="000000"/>
                                <w:spacing w:val="-4"/>
                              </w:rPr>
                              <w:t> </w:t>
                            </w:r>
                            <w:r>
                              <w:rPr>
                                <w:color w:val="000000"/>
                              </w:rPr>
                              <w:t>of</w:t>
                            </w:r>
                            <w:r>
                              <w:rPr>
                                <w:color w:val="000000"/>
                                <w:spacing w:val="-5"/>
                              </w:rPr>
                              <w:t> </w:t>
                            </w:r>
                            <w:r>
                              <w:rPr>
                                <w:color w:val="000000"/>
                              </w:rPr>
                              <w:t>representatives</w:t>
                            </w:r>
                            <w:r>
                              <w:rPr>
                                <w:color w:val="000000"/>
                                <w:spacing w:val="-6"/>
                              </w:rPr>
                              <w:t> </w:t>
                            </w:r>
                            <w:r>
                              <w:rPr>
                                <w:color w:val="000000"/>
                              </w:rPr>
                              <w:t>from</w:t>
                            </w:r>
                            <w:r>
                              <w:rPr>
                                <w:color w:val="000000"/>
                                <w:spacing w:val="-5"/>
                              </w:rPr>
                              <w:t> </w:t>
                            </w:r>
                            <w:r>
                              <w:rPr>
                                <w:color w:val="000000"/>
                              </w:rPr>
                              <w:t>network</w:t>
                            </w:r>
                            <w:r>
                              <w:rPr>
                                <w:color w:val="000000"/>
                                <w:spacing w:val="-1"/>
                              </w:rPr>
                              <w:t> </w:t>
                            </w:r>
                            <w:r>
                              <w:rPr>
                                <w:color w:val="000000"/>
                              </w:rPr>
                              <w:t>operators,</w:t>
                            </w:r>
                            <w:r>
                              <w:rPr>
                                <w:color w:val="000000"/>
                                <w:spacing w:val="-5"/>
                              </w:rPr>
                              <w:t> </w:t>
                            </w:r>
                            <w:r>
                              <w:rPr>
                                <w:color w:val="000000"/>
                              </w:rPr>
                              <w:t>major contractors,</w:t>
                            </w:r>
                            <w:r>
                              <w:rPr>
                                <w:color w:val="000000"/>
                                <w:spacing w:val="-5"/>
                              </w:rPr>
                              <w:t> </w:t>
                            </w:r>
                            <w:r>
                              <w:rPr>
                                <w:color w:val="000000"/>
                              </w:rPr>
                              <w:t>trade unions, WorkSafe Victoria and the workforce.</w:t>
                            </w:r>
                          </w:p>
                        </w:txbxContent>
                      </wps:txbx>
                      <wps:bodyPr wrap="square" lIns="0" tIns="0" rIns="0" bIns="0" rtlCol="0">
                        <a:noAutofit/>
                      </wps:bodyPr>
                    </wps:wsp>
                  </a:graphicData>
                </a:graphic>
              </wp:inline>
            </w:drawing>
          </mc:Choice>
          <mc:Fallback>
            <w:pict>
              <v:shape style="width:453pt;height:43.15pt;mso-position-horizontal-relative:char;mso-position-vertical-relative:line" type="#_x0000_t202" id="docshape11" filled="true" fillcolor="#d9d9d9" stroked="false">
                <w10:anchorlock/>
                <v:textbox inset="0,0,0,0">
                  <w:txbxContent>
                    <w:p>
                      <w:pPr>
                        <w:pStyle w:val="BodyText"/>
                        <w:numPr>
                          <w:ilvl w:val="0"/>
                          <w:numId w:val="14"/>
                        </w:numPr>
                        <w:tabs>
                          <w:tab w:pos="500" w:val="left" w:leader="none"/>
                          <w:tab w:pos="502" w:val="left" w:leader="none"/>
                        </w:tabs>
                        <w:spacing w:line="285" w:lineRule="auto" w:before="17" w:after="0"/>
                        <w:ind w:left="502" w:right="649" w:hanging="219"/>
                        <w:jc w:val="left"/>
                        <w:rPr>
                          <w:color w:val="000000"/>
                        </w:rPr>
                      </w:pPr>
                      <w:r>
                        <w:rPr>
                          <w:color w:val="000000"/>
                        </w:rPr>
                        <w:t>be</w:t>
                      </w:r>
                      <w:r>
                        <w:rPr>
                          <w:color w:val="000000"/>
                          <w:spacing w:val="-4"/>
                        </w:rPr>
                        <w:t> </w:t>
                      </w:r>
                      <w:r>
                        <w:rPr>
                          <w:color w:val="000000"/>
                        </w:rPr>
                        <w:t>comprised</w:t>
                      </w:r>
                      <w:r>
                        <w:rPr>
                          <w:color w:val="000000"/>
                          <w:spacing w:val="-4"/>
                        </w:rPr>
                        <w:t> </w:t>
                      </w:r>
                      <w:r>
                        <w:rPr>
                          <w:color w:val="000000"/>
                        </w:rPr>
                        <w:t>of</w:t>
                      </w:r>
                      <w:r>
                        <w:rPr>
                          <w:color w:val="000000"/>
                          <w:spacing w:val="-5"/>
                        </w:rPr>
                        <w:t> </w:t>
                      </w:r>
                      <w:r>
                        <w:rPr>
                          <w:color w:val="000000"/>
                        </w:rPr>
                        <w:t>representatives</w:t>
                      </w:r>
                      <w:r>
                        <w:rPr>
                          <w:color w:val="000000"/>
                          <w:spacing w:val="-6"/>
                        </w:rPr>
                        <w:t> </w:t>
                      </w:r>
                      <w:r>
                        <w:rPr>
                          <w:color w:val="000000"/>
                        </w:rPr>
                        <w:t>from</w:t>
                      </w:r>
                      <w:r>
                        <w:rPr>
                          <w:color w:val="000000"/>
                          <w:spacing w:val="-5"/>
                        </w:rPr>
                        <w:t> </w:t>
                      </w:r>
                      <w:r>
                        <w:rPr>
                          <w:color w:val="000000"/>
                        </w:rPr>
                        <w:t>network</w:t>
                      </w:r>
                      <w:r>
                        <w:rPr>
                          <w:color w:val="000000"/>
                          <w:spacing w:val="-1"/>
                        </w:rPr>
                        <w:t> </w:t>
                      </w:r>
                      <w:r>
                        <w:rPr>
                          <w:color w:val="000000"/>
                        </w:rPr>
                        <w:t>operators,</w:t>
                      </w:r>
                      <w:r>
                        <w:rPr>
                          <w:color w:val="000000"/>
                          <w:spacing w:val="-5"/>
                        </w:rPr>
                        <w:t> </w:t>
                      </w:r>
                      <w:r>
                        <w:rPr>
                          <w:color w:val="000000"/>
                        </w:rPr>
                        <w:t>major contractors,</w:t>
                      </w:r>
                      <w:r>
                        <w:rPr>
                          <w:color w:val="000000"/>
                          <w:spacing w:val="-5"/>
                        </w:rPr>
                        <w:t> </w:t>
                      </w:r>
                      <w:r>
                        <w:rPr>
                          <w:color w:val="000000"/>
                        </w:rPr>
                        <w:t>trade unions, WorkSafe Victoria and the workforce.</w:t>
                      </w:r>
                    </w:p>
                  </w:txbxContent>
                </v:textbox>
                <v:fill type="solid"/>
              </v:shape>
            </w:pict>
          </mc:Fallback>
        </mc:AlternateContent>
      </w:r>
      <w:r>
        <w:rPr>
          <w:sz w:val="20"/>
        </w:rPr>
      </w:r>
    </w:p>
    <w:p>
      <w:pPr>
        <w:pStyle w:val="BodyText"/>
        <w:spacing w:before="6"/>
        <w:rPr>
          <w:sz w:val="21"/>
        </w:rPr>
      </w:pPr>
    </w:p>
    <w:p>
      <w:pPr>
        <w:pStyle w:val="Heading4"/>
        <w:ind w:left="292"/>
      </w:pPr>
      <w:r>
        <w:rPr>
          <w:color w:val="585858"/>
        </w:rPr>
        <w:t>Programs</w:t>
      </w:r>
      <w:r>
        <w:rPr>
          <w:color w:val="585858"/>
          <w:spacing w:val="-10"/>
        </w:rPr>
        <w:t> </w:t>
      </w:r>
      <w:r>
        <w:rPr>
          <w:color w:val="585858"/>
        </w:rPr>
        <w:t>to</w:t>
      </w:r>
      <w:r>
        <w:rPr>
          <w:color w:val="585858"/>
          <w:spacing w:val="-11"/>
        </w:rPr>
        <w:t> </w:t>
      </w:r>
      <w:r>
        <w:rPr>
          <w:color w:val="585858"/>
        </w:rPr>
        <w:t>reduce</w:t>
      </w:r>
      <w:r>
        <w:rPr>
          <w:color w:val="585858"/>
          <w:spacing w:val="-7"/>
        </w:rPr>
        <w:t> </w:t>
      </w:r>
      <w:r>
        <w:rPr>
          <w:color w:val="585858"/>
        </w:rPr>
        <w:t>bushfire</w:t>
      </w:r>
      <w:r>
        <w:rPr>
          <w:color w:val="585858"/>
          <w:spacing w:val="-10"/>
        </w:rPr>
        <w:t> </w:t>
      </w:r>
      <w:r>
        <w:rPr>
          <w:color w:val="585858"/>
        </w:rPr>
        <w:t>risk</w:t>
      </w:r>
      <w:r>
        <w:rPr>
          <w:color w:val="585858"/>
          <w:spacing w:val="-10"/>
        </w:rPr>
        <w:t> </w:t>
      </w:r>
      <w:r>
        <w:rPr>
          <w:color w:val="585858"/>
        </w:rPr>
        <w:t>in</w:t>
      </w:r>
      <w:r>
        <w:rPr>
          <w:color w:val="585858"/>
          <w:spacing w:val="-6"/>
        </w:rPr>
        <w:t> </w:t>
      </w:r>
      <w:r>
        <w:rPr>
          <w:color w:val="585858"/>
          <w:spacing w:val="-2"/>
        </w:rPr>
        <w:t>Victoria</w:t>
      </w:r>
    </w:p>
    <w:p>
      <w:pPr>
        <w:pStyle w:val="BodyText"/>
        <w:spacing w:line="288" w:lineRule="auto" w:before="314"/>
        <w:ind w:left="292"/>
      </w:pPr>
      <w:r>
        <w:rPr/>
        <w:t>A major</w:t>
      </w:r>
      <w:r>
        <w:rPr>
          <w:spacing w:val="-1"/>
        </w:rPr>
        <w:t> </w:t>
      </w:r>
      <w:r>
        <w:rPr/>
        <w:t>focus for the Victorian electricity network safety framework in recent years has been the implementation</w:t>
      </w:r>
      <w:r>
        <w:rPr>
          <w:spacing w:val="-2"/>
        </w:rPr>
        <w:t> </w:t>
      </w:r>
      <w:r>
        <w:rPr/>
        <w:t>of</w:t>
      </w:r>
      <w:r>
        <w:rPr>
          <w:spacing w:val="-3"/>
        </w:rPr>
        <w:t> </w:t>
      </w:r>
      <w:r>
        <w:rPr/>
        <w:t>measures</w:t>
      </w:r>
      <w:r>
        <w:rPr>
          <w:spacing w:val="-1"/>
        </w:rPr>
        <w:t> </w:t>
      </w:r>
      <w:r>
        <w:rPr/>
        <w:t>in</w:t>
      </w:r>
      <w:r>
        <w:rPr>
          <w:spacing w:val="-4"/>
        </w:rPr>
        <w:t> </w:t>
      </w:r>
      <w:r>
        <w:rPr/>
        <w:t>response</w:t>
      </w:r>
      <w:r>
        <w:rPr>
          <w:spacing w:val="-4"/>
        </w:rPr>
        <w:t> </w:t>
      </w:r>
      <w:r>
        <w:rPr/>
        <w:t>to</w:t>
      </w:r>
      <w:r>
        <w:rPr>
          <w:spacing w:val="-4"/>
        </w:rPr>
        <w:t> </w:t>
      </w:r>
      <w:r>
        <w:rPr/>
        <w:t>the</w:t>
      </w:r>
      <w:r>
        <w:rPr>
          <w:spacing w:val="-1"/>
        </w:rPr>
        <w:t> </w:t>
      </w:r>
      <w:r>
        <w:rPr/>
        <w:t>recommendations</w:t>
      </w:r>
      <w:r>
        <w:rPr>
          <w:spacing w:val="-1"/>
        </w:rPr>
        <w:t> </w:t>
      </w:r>
      <w:r>
        <w:rPr/>
        <w:t>of</w:t>
      </w:r>
      <w:r>
        <w:rPr>
          <w:spacing w:val="-3"/>
        </w:rPr>
        <w:t> </w:t>
      </w:r>
      <w:r>
        <w:rPr/>
        <w:t>the</w:t>
      </w:r>
      <w:r>
        <w:rPr>
          <w:spacing w:val="-7"/>
        </w:rPr>
        <w:t> </w:t>
      </w:r>
      <w:r>
        <w:rPr/>
        <w:t>Victorian</w:t>
      </w:r>
      <w:r>
        <w:rPr>
          <w:spacing w:val="-2"/>
        </w:rPr>
        <w:t> </w:t>
      </w:r>
      <w:r>
        <w:rPr/>
        <w:t>Bushfire</w:t>
      </w:r>
      <w:r>
        <w:rPr>
          <w:spacing w:val="-2"/>
        </w:rPr>
        <w:t> </w:t>
      </w:r>
      <w:r>
        <w:rPr/>
        <w:t>Royal Commission</w:t>
      </w:r>
      <w:r>
        <w:rPr>
          <w:spacing w:val="-5"/>
        </w:rPr>
        <w:t> </w:t>
      </w:r>
      <w:r>
        <w:rPr/>
        <w:t>(VBRC).</w:t>
      </w:r>
      <w:r>
        <w:rPr>
          <w:spacing w:val="-6"/>
        </w:rPr>
        <w:t> </w:t>
      </w:r>
      <w:r>
        <w:rPr/>
        <w:t>This</w:t>
      </w:r>
      <w:r>
        <w:rPr>
          <w:spacing w:val="-2"/>
        </w:rPr>
        <w:t> </w:t>
      </w:r>
      <w:r>
        <w:rPr/>
        <w:t>has</w:t>
      </w:r>
      <w:r>
        <w:rPr>
          <w:spacing w:val="-2"/>
        </w:rPr>
        <w:t> </w:t>
      </w:r>
      <w:r>
        <w:rPr/>
        <w:t>included</w:t>
      </w:r>
      <w:r>
        <w:rPr>
          <w:spacing w:val="-3"/>
        </w:rPr>
        <w:t> </w:t>
      </w:r>
      <w:r>
        <w:rPr/>
        <w:t>investments</w:t>
      </w:r>
      <w:r>
        <w:rPr>
          <w:spacing w:val="-2"/>
        </w:rPr>
        <w:t> </w:t>
      </w:r>
      <w:r>
        <w:rPr/>
        <w:t>in</w:t>
      </w:r>
      <w:r>
        <w:rPr>
          <w:spacing w:val="-5"/>
        </w:rPr>
        <w:t> </w:t>
      </w:r>
      <w:r>
        <w:rPr/>
        <w:t>research</w:t>
      </w:r>
      <w:r>
        <w:rPr>
          <w:spacing w:val="-3"/>
        </w:rPr>
        <w:t> </w:t>
      </w:r>
      <w:r>
        <w:rPr/>
        <w:t>and</w:t>
      </w:r>
      <w:r>
        <w:rPr>
          <w:spacing w:val="-5"/>
        </w:rPr>
        <w:t> </w:t>
      </w:r>
      <w:r>
        <w:rPr/>
        <w:t>development,</w:t>
      </w:r>
      <w:r>
        <w:rPr>
          <w:spacing w:val="-4"/>
        </w:rPr>
        <w:t> </w:t>
      </w:r>
      <w:r>
        <w:rPr/>
        <w:t>infrastructure replacement programs, and the introduction of new regulations.</w:t>
      </w:r>
    </w:p>
    <w:p>
      <w:pPr>
        <w:pStyle w:val="BodyText"/>
        <w:spacing w:before="10"/>
        <w:rPr>
          <w:sz w:val="20"/>
        </w:rPr>
      </w:pPr>
    </w:p>
    <w:p>
      <w:pPr>
        <w:pStyle w:val="BodyText"/>
        <w:spacing w:line="288" w:lineRule="auto"/>
        <w:ind w:left="292" w:right="311"/>
      </w:pPr>
      <w:r>
        <w:rPr/>
        <w:t>The</w:t>
      </w:r>
      <w:r>
        <w:rPr>
          <w:spacing w:val="-5"/>
        </w:rPr>
        <w:t> </w:t>
      </w:r>
      <w:r>
        <w:rPr/>
        <w:t>VBRC</w:t>
      </w:r>
      <w:r>
        <w:rPr>
          <w:spacing w:val="-3"/>
        </w:rPr>
        <w:t> </w:t>
      </w:r>
      <w:r>
        <w:rPr/>
        <w:t>recommended</w:t>
      </w:r>
      <w:r>
        <w:rPr>
          <w:spacing w:val="-3"/>
        </w:rPr>
        <w:t> </w:t>
      </w:r>
      <w:r>
        <w:rPr/>
        <w:t>a</w:t>
      </w:r>
      <w:r>
        <w:rPr>
          <w:spacing w:val="-2"/>
        </w:rPr>
        <w:t> </w:t>
      </w:r>
      <w:r>
        <w:rPr/>
        <w:t>suite</w:t>
      </w:r>
      <w:r>
        <w:rPr>
          <w:spacing w:val="-5"/>
        </w:rPr>
        <w:t> </w:t>
      </w:r>
      <w:r>
        <w:rPr/>
        <w:t>of</w:t>
      </w:r>
      <w:r>
        <w:rPr>
          <w:spacing w:val="-4"/>
        </w:rPr>
        <w:t> </w:t>
      </w:r>
      <w:r>
        <w:rPr/>
        <w:t>measures</w:t>
      </w:r>
      <w:r>
        <w:rPr>
          <w:spacing w:val="-2"/>
        </w:rPr>
        <w:t> </w:t>
      </w:r>
      <w:r>
        <w:rPr/>
        <w:t>designed</w:t>
      </w:r>
      <w:r>
        <w:rPr>
          <w:spacing w:val="-5"/>
        </w:rPr>
        <w:t> </w:t>
      </w:r>
      <w:r>
        <w:rPr/>
        <w:t>to</w:t>
      </w:r>
      <w:r>
        <w:rPr>
          <w:spacing w:val="-1"/>
        </w:rPr>
        <w:t> </w:t>
      </w:r>
      <w:r>
        <w:rPr/>
        <w:t>reduce</w:t>
      </w:r>
      <w:r>
        <w:rPr>
          <w:spacing w:val="-5"/>
        </w:rPr>
        <w:t> </w:t>
      </w:r>
      <w:r>
        <w:rPr/>
        <w:t>bushfire</w:t>
      </w:r>
      <w:r>
        <w:rPr>
          <w:spacing w:val="-3"/>
        </w:rPr>
        <w:t> </w:t>
      </w:r>
      <w:r>
        <w:rPr/>
        <w:t>risk.</w:t>
      </w:r>
      <w:r>
        <w:rPr>
          <w:spacing w:val="-1"/>
        </w:rPr>
        <w:t> </w:t>
      </w:r>
      <w:r>
        <w:rPr/>
        <w:t>Recommendation 27 proposed that the government amend the regulations under the </w:t>
      </w:r>
      <w:r>
        <w:rPr>
          <w:i/>
        </w:rPr>
        <w:t>Electricity Safety Act 1998 </w:t>
      </w:r>
      <w:r>
        <w:rPr/>
        <w:t>to progressively replace all single wire earth return (SWER) and 22 kV powerlines with new technologies to reduce bushfire risk. The VBRC also recommended that an expert taskforce be established to advise on the best means of achieving the intent of this recommendation.</w:t>
      </w:r>
    </w:p>
    <w:p>
      <w:pPr>
        <w:pStyle w:val="BodyText"/>
        <w:spacing w:before="9"/>
        <w:rPr>
          <w:sz w:val="20"/>
        </w:rPr>
      </w:pPr>
    </w:p>
    <w:p>
      <w:pPr>
        <w:pStyle w:val="BodyText"/>
        <w:spacing w:line="288" w:lineRule="auto" w:before="1"/>
        <w:ind w:left="292" w:right="311"/>
      </w:pPr>
      <w:r>
        <w:rPr/>
        <w:t>The</w:t>
      </w:r>
      <w:r>
        <w:rPr>
          <w:spacing w:val="-4"/>
        </w:rPr>
        <w:t> </w:t>
      </w:r>
      <w:r>
        <w:rPr/>
        <w:t>subsequent</w:t>
      </w:r>
      <w:r>
        <w:rPr>
          <w:spacing w:val="-1"/>
        </w:rPr>
        <w:t> </w:t>
      </w:r>
      <w:r>
        <w:rPr/>
        <w:t>Powerline</w:t>
      </w:r>
      <w:r>
        <w:rPr>
          <w:spacing w:val="-2"/>
        </w:rPr>
        <w:t> </w:t>
      </w:r>
      <w:r>
        <w:rPr/>
        <w:t>Bushfire</w:t>
      </w:r>
      <w:r>
        <w:rPr>
          <w:spacing w:val="-4"/>
        </w:rPr>
        <w:t> </w:t>
      </w:r>
      <w:r>
        <w:rPr/>
        <w:t>Safety</w:t>
      </w:r>
      <w:r>
        <w:rPr>
          <w:spacing w:val="-4"/>
        </w:rPr>
        <w:t> </w:t>
      </w:r>
      <w:r>
        <w:rPr/>
        <w:t>Taskforce</w:t>
      </w:r>
      <w:r>
        <w:rPr>
          <w:spacing w:val="-4"/>
        </w:rPr>
        <w:t> </w:t>
      </w:r>
      <w:r>
        <w:rPr/>
        <w:t>(the</w:t>
      </w:r>
      <w:r>
        <w:rPr>
          <w:spacing w:val="-7"/>
        </w:rPr>
        <w:t> </w:t>
      </w:r>
      <w:r>
        <w:rPr/>
        <w:t>Taskforce)</w:t>
      </w:r>
      <w:r>
        <w:rPr>
          <w:spacing w:val="-3"/>
        </w:rPr>
        <w:t> </w:t>
      </w:r>
      <w:r>
        <w:rPr/>
        <w:t>reported</w:t>
      </w:r>
      <w:r>
        <w:rPr>
          <w:spacing w:val="-4"/>
        </w:rPr>
        <w:t> </w:t>
      </w:r>
      <w:r>
        <w:rPr/>
        <w:t>in</w:t>
      </w:r>
      <w:r>
        <w:rPr>
          <w:spacing w:val="-2"/>
        </w:rPr>
        <w:t> </w:t>
      </w:r>
      <w:r>
        <w:rPr/>
        <w:t>September</w:t>
      </w:r>
      <w:r>
        <w:rPr>
          <w:spacing w:val="-3"/>
        </w:rPr>
        <w:t> </w:t>
      </w:r>
      <w:r>
        <w:rPr/>
        <w:t>2011. The Taskforce was comprised of an independent chair, Mr Tim Orton, and a panel of expert members. The Taskforce recommended that the risk of powerlines starting bushfires could be reduced by:</w:t>
      </w:r>
    </w:p>
    <w:p>
      <w:pPr>
        <w:pStyle w:val="BodyText"/>
        <w:spacing w:before="3"/>
      </w:pPr>
    </w:p>
    <w:p>
      <w:pPr>
        <w:pStyle w:val="ListParagraph"/>
        <w:numPr>
          <w:ilvl w:val="1"/>
          <w:numId w:val="9"/>
        </w:numPr>
        <w:tabs>
          <w:tab w:pos="794" w:val="left" w:leader="none"/>
        </w:tabs>
        <w:spacing w:line="288" w:lineRule="auto" w:before="1" w:after="0"/>
        <w:ind w:left="794" w:right="348" w:hanging="361"/>
        <w:jc w:val="left"/>
        <w:rPr>
          <w:sz w:val="22"/>
        </w:rPr>
      </w:pPr>
      <w:r>
        <w:rPr>
          <w:sz w:val="22"/>
        </w:rPr>
        <w:t>installing</w:t>
      </w:r>
      <w:r>
        <w:rPr>
          <w:spacing w:val="-3"/>
          <w:sz w:val="22"/>
        </w:rPr>
        <w:t> </w:t>
      </w:r>
      <w:r>
        <w:rPr>
          <w:sz w:val="22"/>
        </w:rPr>
        <w:t>fault</w:t>
      </w:r>
      <w:r>
        <w:rPr>
          <w:spacing w:val="-1"/>
          <w:sz w:val="22"/>
        </w:rPr>
        <w:t> </w:t>
      </w:r>
      <w:r>
        <w:rPr>
          <w:sz w:val="22"/>
        </w:rPr>
        <w:t>suppression</w:t>
      </w:r>
      <w:r>
        <w:rPr>
          <w:spacing w:val="-3"/>
          <w:sz w:val="22"/>
        </w:rPr>
        <w:t> </w:t>
      </w:r>
      <w:r>
        <w:rPr>
          <w:sz w:val="22"/>
        </w:rPr>
        <w:t>equipment</w:t>
      </w:r>
      <w:r>
        <w:rPr>
          <w:spacing w:val="-6"/>
          <w:sz w:val="22"/>
        </w:rPr>
        <w:t> </w:t>
      </w:r>
      <w:r>
        <w:rPr>
          <w:sz w:val="22"/>
        </w:rPr>
        <w:t>known</w:t>
      </w:r>
      <w:r>
        <w:rPr>
          <w:spacing w:val="-3"/>
          <w:sz w:val="22"/>
        </w:rPr>
        <w:t> </w:t>
      </w:r>
      <w:r>
        <w:rPr>
          <w:sz w:val="22"/>
        </w:rPr>
        <w:t>as</w:t>
      </w:r>
      <w:r>
        <w:rPr>
          <w:spacing w:val="-4"/>
          <w:sz w:val="22"/>
        </w:rPr>
        <w:t> </w:t>
      </w:r>
      <w:r>
        <w:rPr>
          <w:sz w:val="22"/>
        </w:rPr>
        <w:t>Rapid</w:t>
      </w:r>
      <w:r>
        <w:rPr>
          <w:spacing w:val="-3"/>
          <w:sz w:val="22"/>
        </w:rPr>
        <w:t> </w:t>
      </w:r>
      <w:r>
        <w:rPr>
          <w:sz w:val="22"/>
        </w:rPr>
        <w:t>Earth</w:t>
      </w:r>
      <w:r>
        <w:rPr>
          <w:spacing w:val="-3"/>
          <w:sz w:val="22"/>
        </w:rPr>
        <w:t> </w:t>
      </w:r>
      <w:r>
        <w:rPr>
          <w:sz w:val="22"/>
        </w:rPr>
        <w:t>Fault</w:t>
      </w:r>
      <w:r>
        <w:rPr>
          <w:spacing w:val="-1"/>
          <w:sz w:val="22"/>
        </w:rPr>
        <w:t> </w:t>
      </w:r>
      <w:r>
        <w:rPr>
          <w:sz w:val="22"/>
        </w:rPr>
        <w:t>Current</w:t>
      </w:r>
      <w:r>
        <w:rPr>
          <w:spacing w:val="-1"/>
          <w:sz w:val="22"/>
        </w:rPr>
        <w:t> </w:t>
      </w:r>
      <w:r>
        <w:rPr>
          <w:sz w:val="22"/>
        </w:rPr>
        <w:t>Limiters</w:t>
      </w:r>
      <w:r>
        <w:rPr>
          <w:spacing w:val="-4"/>
          <w:sz w:val="22"/>
        </w:rPr>
        <w:t> </w:t>
      </w:r>
      <w:r>
        <w:rPr>
          <w:sz w:val="22"/>
        </w:rPr>
        <w:t>(REFCLs) on select 22 kV powerlines to reduce the risk of polyphase powerlines starting fires by automatically reducing the electric current in some types of powerline faults;</w:t>
      </w:r>
    </w:p>
    <w:p>
      <w:pPr>
        <w:pStyle w:val="BodyText"/>
        <w:spacing w:before="2"/>
      </w:pPr>
    </w:p>
    <w:p>
      <w:pPr>
        <w:pStyle w:val="ListParagraph"/>
        <w:numPr>
          <w:ilvl w:val="1"/>
          <w:numId w:val="9"/>
        </w:numPr>
        <w:tabs>
          <w:tab w:pos="794" w:val="left" w:leader="none"/>
        </w:tabs>
        <w:spacing w:line="288" w:lineRule="auto" w:before="1" w:after="0"/>
        <w:ind w:left="794" w:right="604" w:hanging="361"/>
        <w:jc w:val="both"/>
        <w:rPr>
          <w:sz w:val="22"/>
        </w:rPr>
      </w:pPr>
      <w:r>
        <w:rPr>
          <w:sz w:val="22"/>
        </w:rPr>
        <w:t>installing remotely</w:t>
      </w:r>
      <w:r>
        <w:rPr>
          <w:spacing w:val="-4"/>
          <w:sz w:val="22"/>
        </w:rPr>
        <w:t> </w:t>
      </w:r>
      <w:r>
        <w:rPr>
          <w:sz w:val="22"/>
        </w:rPr>
        <w:t>controlled</w:t>
      </w:r>
      <w:r>
        <w:rPr>
          <w:spacing w:val="-2"/>
          <w:sz w:val="22"/>
        </w:rPr>
        <w:t> </w:t>
      </w:r>
      <w:r>
        <w:rPr>
          <w:sz w:val="22"/>
        </w:rPr>
        <w:t>Automatic</w:t>
      </w:r>
      <w:r>
        <w:rPr>
          <w:spacing w:val="-4"/>
          <w:sz w:val="22"/>
        </w:rPr>
        <w:t> </w:t>
      </w:r>
      <w:r>
        <w:rPr>
          <w:sz w:val="22"/>
        </w:rPr>
        <w:t>Circuit</w:t>
      </w:r>
      <w:r>
        <w:rPr>
          <w:spacing w:val="-3"/>
          <w:sz w:val="22"/>
        </w:rPr>
        <w:t> </w:t>
      </w:r>
      <w:r>
        <w:rPr>
          <w:sz w:val="22"/>
        </w:rPr>
        <w:t>Reclosers</w:t>
      </w:r>
      <w:r>
        <w:rPr>
          <w:spacing w:val="-4"/>
          <w:sz w:val="22"/>
        </w:rPr>
        <w:t> </w:t>
      </w:r>
      <w:r>
        <w:rPr>
          <w:sz w:val="22"/>
        </w:rPr>
        <w:t>(ACRs)</w:t>
      </w:r>
      <w:r>
        <w:rPr>
          <w:spacing w:val="-1"/>
          <w:sz w:val="22"/>
        </w:rPr>
        <w:t> </w:t>
      </w:r>
      <w:r>
        <w:rPr>
          <w:sz w:val="22"/>
        </w:rPr>
        <w:t>on</w:t>
      </w:r>
      <w:r>
        <w:rPr>
          <w:spacing w:val="-4"/>
          <w:sz w:val="22"/>
        </w:rPr>
        <w:t> </w:t>
      </w:r>
      <w:r>
        <w:rPr>
          <w:sz w:val="22"/>
        </w:rPr>
        <w:t>SWER</w:t>
      </w:r>
      <w:r>
        <w:rPr>
          <w:spacing w:val="-2"/>
          <w:sz w:val="22"/>
        </w:rPr>
        <w:t> </w:t>
      </w:r>
      <w:r>
        <w:rPr>
          <w:sz w:val="22"/>
        </w:rPr>
        <w:t>lines</w:t>
      </w:r>
      <w:r>
        <w:rPr>
          <w:spacing w:val="-1"/>
          <w:sz w:val="22"/>
        </w:rPr>
        <w:t> </w:t>
      </w:r>
      <w:r>
        <w:rPr>
          <w:sz w:val="22"/>
        </w:rPr>
        <w:t>to</w:t>
      </w:r>
      <w:r>
        <w:rPr>
          <w:spacing w:val="-4"/>
          <w:sz w:val="22"/>
        </w:rPr>
        <w:t> </w:t>
      </w:r>
      <w:r>
        <w:rPr>
          <w:sz w:val="22"/>
        </w:rPr>
        <w:t>reduce the</w:t>
      </w:r>
      <w:r>
        <w:rPr>
          <w:spacing w:val="-2"/>
          <w:sz w:val="22"/>
        </w:rPr>
        <w:t> </w:t>
      </w:r>
      <w:r>
        <w:rPr>
          <w:sz w:val="22"/>
        </w:rPr>
        <w:t>risk of SWER</w:t>
      </w:r>
      <w:r>
        <w:rPr>
          <w:spacing w:val="-3"/>
          <w:sz w:val="22"/>
        </w:rPr>
        <w:t> </w:t>
      </w:r>
      <w:r>
        <w:rPr>
          <w:sz w:val="22"/>
        </w:rPr>
        <w:t>lines starting fires</w:t>
      </w:r>
      <w:r>
        <w:rPr>
          <w:spacing w:val="-2"/>
          <w:sz w:val="22"/>
        </w:rPr>
        <w:t> </w:t>
      </w:r>
      <w:r>
        <w:rPr>
          <w:sz w:val="22"/>
        </w:rPr>
        <w:t>by</w:t>
      </w:r>
      <w:r>
        <w:rPr>
          <w:spacing w:val="-2"/>
          <w:sz w:val="22"/>
        </w:rPr>
        <w:t> </w:t>
      </w:r>
      <w:r>
        <w:rPr>
          <w:sz w:val="22"/>
        </w:rPr>
        <w:t>enabling the devices to be</w:t>
      </w:r>
      <w:r>
        <w:rPr>
          <w:spacing w:val="-2"/>
          <w:sz w:val="22"/>
        </w:rPr>
        <w:t> </w:t>
      </w:r>
      <w:r>
        <w:rPr>
          <w:sz w:val="22"/>
        </w:rPr>
        <w:t>set</w:t>
      </w:r>
      <w:r>
        <w:rPr>
          <w:spacing w:val="-1"/>
          <w:sz w:val="22"/>
        </w:rPr>
        <w:t> </w:t>
      </w:r>
      <w:r>
        <w:rPr>
          <w:sz w:val="22"/>
        </w:rPr>
        <w:t>remotely</w:t>
      </w:r>
      <w:r>
        <w:rPr>
          <w:spacing w:val="-2"/>
          <w:sz w:val="22"/>
        </w:rPr>
        <w:t> </w:t>
      </w:r>
      <w:r>
        <w:rPr>
          <w:sz w:val="22"/>
        </w:rPr>
        <w:t>so that</w:t>
      </w:r>
      <w:r>
        <w:rPr>
          <w:spacing w:val="-1"/>
          <w:sz w:val="22"/>
        </w:rPr>
        <w:t> </w:t>
      </w:r>
      <w:r>
        <w:rPr>
          <w:sz w:val="22"/>
        </w:rPr>
        <w:t>they turn off those powerlines quickly when faults occur; and</w:t>
      </w:r>
    </w:p>
    <w:p>
      <w:pPr>
        <w:pStyle w:val="BodyText"/>
        <w:spacing w:before="2"/>
      </w:pPr>
    </w:p>
    <w:p>
      <w:pPr>
        <w:pStyle w:val="ListParagraph"/>
        <w:numPr>
          <w:ilvl w:val="1"/>
          <w:numId w:val="9"/>
        </w:numPr>
        <w:tabs>
          <w:tab w:pos="794" w:val="left" w:leader="none"/>
        </w:tabs>
        <w:spacing w:line="240" w:lineRule="auto" w:before="0" w:after="0"/>
        <w:ind w:left="794" w:right="0" w:hanging="360"/>
        <w:jc w:val="left"/>
        <w:rPr>
          <w:sz w:val="22"/>
        </w:rPr>
      </w:pPr>
      <w:r>
        <w:rPr>
          <w:sz w:val="22"/>
        </w:rPr>
        <w:t>putting</w:t>
      </w:r>
      <w:r>
        <w:rPr>
          <w:spacing w:val="-6"/>
          <w:sz w:val="22"/>
        </w:rPr>
        <w:t> </w:t>
      </w:r>
      <w:r>
        <w:rPr>
          <w:sz w:val="22"/>
        </w:rPr>
        <w:t>powerlines</w:t>
      </w:r>
      <w:r>
        <w:rPr>
          <w:spacing w:val="-6"/>
          <w:sz w:val="22"/>
        </w:rPr>
        <w:t> </w:t>
      </w:r>
      <w:r>
        <w:rPr>
          <w:sz w:val="22"/>
        </w:rPr>
        <w:t>underground</w:t>
      </w:r>
      <w:r>
        <w:rPr>
          <w:spacing w:val="-6"/>
          <w:sz w:val="22"/>
        </w:rPr>
        <w:t> </w:t>
      </w:r>
      <w:r>
        <w:rPr>
          <w:sz w:val="22"/>
        </w:rPr>
        <w:t>or</w:t>
      </w:r>
      <w:r>
        <w:rPr>
          <w:spacing w:val="-6"/>
          <w:sz w:val="22"/>
        </w:rPr>
        <w:t> </w:t>
      </w:r>
      <w:r>
        <w:rPr>
          <w:sz w:val="22"/>
        </w:rPr>
        <w:t>insulating</w:t>
      </w:r>
      <w:r>
        <w:rPr>
          <w:spacing w:val="-5"/>
          <w:sz w:val="22"/>
        </w:rPr>
        <w:t> </w:t>
      </w:r>
      <w:r>
        <w:rPr>
          <w:sz w:val="22"/>
        </w:rPr>
        <w:t>conductors</w:t>
      </w:r>
      <w:r>
        <w:rPr>
          <w:spacing w:val="-8"/>
          <w:sz w:val="22"/>
        </w:rPr>
        <w:t> </w:t>
      </w:r>
      <w:r>
        <w:rPr>
          <w:sz w:val="22"/>
        </w:rPr>
        <w:t>in</w:t>
      </w:r>
      <w:r>
        <w:rPr>
          <w:spacing w:val="-9"/>
          <w:sz w:val="22"/>
        </w:rPr>
        <w:t> </w:t>
      </w:r>
      <w:r>
        <w:rPr>
          <w:sz w:val="22"/>
        </w:rPr>
        <w:t>the</w:t>
      </w:r>
      <w:r>
        <w:rPr>
          <w:spacing w:val="-7"/>
          <w:sz w:val="22"/>
        </w:rPr>
        <w:t> </w:t>
      </w:r>
      <w:r>
        <w:rPr>
          <w:sz w:val="22"/>
        </w:rPr>
        <w:t>areas</w:t>
      </w:r>
      <w:r>
        <w:rPr>
          <w:spacing w:val="-6"/>
          <w:sz w:val="22"/>
        </w:rPr>
        <w:t> </w:t>
      </w:r>
      <w:r>
        <w:rPr>
          <w:sz w:val="22"/>
        </w:rPr>
        <w:t>of</w:t>
      </w:r>
      <w:r>
        <w:rPr>
          <w:spacing w:val="-5"/>
          <w:sz w:val="22"/>
        </w:rPr>
        <w:t> </w:t>
      </w:r>
      <w:r>
        <w:rPr>
          <w:sz w:val="22"/>
        </w:rPr>
        <w:t>highest</w:t>
      </w:r>
      <w:r>
        <w:rPr>
          <w:spacing w:val="-5"/>
          <w:sz w:val="22"/>
        </w:rPr>
        <w:t> </w:t>
      </w:r>
      <w:r>
        <w:rPr>
          <w:sz w:val="22"/>
        </w:rPr>
        <w:t>bushfire</w:t>
      </w:r>
      <w:r>
        <w:rPr>
          <w:spacing w:val="-8"/>
          <w:sz w:val="22"/>
        </w:rPr>
        <w:t> </w:t>
      </w:r>
      <w:r>
        <w:rPr>
          <w:spacing w:val="-2"/>
          <w:sz w:val="22"/>
        </w:rPr>
        <w:t>risk.</w:t>
      </w:r>
    </w:p>
    <w:p>
      <w:pPr>
        <w:pStyle w:val="BodyText"/>
        <w:rPr>
          <w:sz w:val="25"/>
        </w:rPr>
      </w:pPr>
    </w:p>
    <w:p>
      <w:pPr>
        <w:pStyle w:val="BodyText"/>
        <w:spacing w:line="288" w:lineRule="auto"/>
        <w:ind w:left="292" w:right="311"/>
      </w:pPr>
      <w:r>
        <w:rPr/>
        <w:t>The</w:t>
      </w:r>
      <w:r>
        <w:rPr>
          <w:spacing w:val="-6"/>
        </w:rPr>
        <w:t> </w:t>
      </w:r>
      <w:r>
        <w:rPr/>
        <w:t>Taskforce</w:t>
      </w:r>
      <w:r>
        <w:rPr>
          <w:spacing w:val="-3"/>
        </w:rPr>
        <w:t> </w:t>
      </w:r>
      <w:r>
        <w:rPr/>
        <w:t>also</w:t>
      </w:r>
      <w:r>
        <w:rPr>
          <w:spacing w:val="-1"/>
        </w:rPr>
        <w:t> </w:t>
      </w:r>
      <w:r>
        <w:rPr/>
        <w:t>indicated</w:t>
      </w:r>
      <w:r>
        <w:rPr>
          <w:spacing w:val="-3"/>
        </w:rPr>
        <w:t> </w:t>
      </w:r>
      <w:r>
        <w:rPr/>
        <w:t>the</w:t>
      </w:r>
      <w:r>
        <w:rPr>
          <w:spacing w:val="-1"/>
        </w:rPr>
        <w:t> </w:t>
      </w:r>
      <w:r>
        <w:rPr/>
        <w:t>need</w:t>
      </w:r>
      <w:r>
        <w:rPr>
          <w:spacing w:val="-6"/>
        </w:rPr>
        <w:t> </w:t>
      </w:r>
      <w:r>
        <w:rPr/>
        <w:t>for</w:t>
      </w:r>
      <w:r>
        <w:rPr>
          <w:spacing w:val="-2"/>
        </w:rPr>
        <w:t> </w:t>
      </w:r>
      <w:r>
        <w:rPr/>
        <w:t>further</w:t>
      </w:r>
      <w:r>
        <w:rPr>
          <w:spacing w:val="-4"/>
        </w:rPr>
        <w:t> </w:t>
      </w:r>
      <w:r>
        <w:rPr/>
        <w:t>research</w:t>
      </w:r>
      <w:r>
        <w:rPr>
          <w:spacing w:val="-3"/>
        </w:rPr>
        <w:t> </w:t>
      </w:r>
      <w:r>
        <w:rPr/>
        <w:t>and</w:t>
      </w:r>
      <w:r>
        <w:rPr>
          <w:spacing w:val="-1"/>
        </w:rPr>
        <w:t> </w:t>
      </w:r>
      <w:r>
        <w:rPr/>
        <w:t>development –</w:t>
      </w:r>
      <w:r>
        <w:rPr>
          <w:spacing w:val="-3"/>
        </w:rPr>
        <w:t> </w:t>
      </w:r>
      <w:r>
        <w:rPr/>
        <w:t>noting</w:t>
      </w:r>
      <w:r>
        <w:rPr>
          <w:spacing w:val="-1"/>
        </w:rPr>
        <w:t> </w:t>
      </w:r>
      <w:r>
        <w:rPr/>
        <w:t>that</w:t>
      </w:r>
      <w:r>
        <w:rPr>
          <w:spacing w:val="-2"/>
        </w:rPr>
        <w:t> </w:t>
      </w:r>
      <w:r>
        <w:rPr/>
        <w:t>REFCLs had not previously been used for bushfire suppression.</w:t>
      </w:r>
    </w:p>
    <w:p>
      <w:pPr>
        <w:pStyle w:val="BodyText"/>
        <w:spacing w:before="10"/>
        <w:rPr>
          <w:sz w:val="20"/>
        </w:rPr>
      </w:pPr>
    </w:p>
    <w:p>
      <w:pPr>
        <w:pStyle w:val="BodyText"/>
        <w:spacing w:line="288" w:lineRule="auto"/>
        <w:ind w:left="292"/>
      </w:pPr>
      <w:r>
        <w:rPr/>
        <w:t>In</w:t>
      </w:r>
      <w:r>
        <w:rPr>
          <w:spacing w:val="-3"/>
        </w:rPr>
        <w:t> </w:t>
      </w:r>
      <w:r>
        <w:rPr/>
        <w:t>December</w:t>
      </w:r>
      <w:r>
        <w:rPr>
          <w:spacing w:val="-4"/>
        </w:rPr>
        <w:t> </w:t>
      </w:r>
      <w:r>
        <w:rPr/>
        <w:t>2011,</w:t>
      </w:r>
      <w:r>
        <w:rPr>
          <w:spacing w:val="-4"/>
        </w:rPr>
        <w:t> </w:t>
      </w:r>
      <w:r>
        <w:rPr/>
        <w:t>the</w:t>
      </w:r>
      <w:r>
        <w:rPr>
          <w:spacing w:val="-4"/>
        </w:rPr>
        <w:t> </w:t>
      </w:r>
      <w:r>
        <w:rPr/>
        <w:t>Victorian</w:t>
      </w:r>
      <w:r>
        <w:rPr>
          <w:spacing w:val="-4"/>
        </w:rPr>
        <w:t> </w:t>
      </w:r>
      <w:r>
        <w:rPr/>
        <w:t>Government</w:t>
      </w:r>
      <w:r>
        <w:rPr>
          <w:spacing w:val="-1"/>
        </w:rPr>
        <w:t> </w:t>
      </w:r>
      <w:r>
        <w:rPr/>
        <w:t>accepted</w:t>
      </w:r>
      <w:r>
        <w:rPr>
          <w:spacing w:val="-5"/>
        </w:rPr>
        <w:t> </w:t>
      </w:r>
      <w:r>
        <w:rPr/>
        <w:t>the</w:t>
      </w:r>
      <w:r>
        <w:rPr>
          <w:spacing w:val="-5"/>
        </w:rPr>
        <w:t> </w:t>
      </w:r>
      <w:r>
        <w:rPr/>
        <w:t>Taskforce’s</w:t>
      </w:r>
      <w:r>
        <w:rPr>
          <w:spacing w:val="-5"/>
        </w:rPr>
        <w:t> </w:t>
      </w:r>
      <w:r>
        <w:rPr/>
        <w:t>recommendations,</w:t>
      </w:r>
      <w:r>
        <w:rPr>
          <w:spacing w:val="-4"/>
        </w:rPr>
        <w:t> </w:t>
      </w:r>
      <w:r>
        <w:rPr/>
        <w:t>and established the Powerline Bushfire Safety Program (PBSP) to implement the response to the </w:t>
      </w:r>
      <w:r>
        <w:rPr>
          <w:spacing w:val="-2"/>
        </w:rPr>
        <w:t>recommendations.</w:t>
      </w:r>
    </w:p>
    <w:p>
      <w:pPr>
        <w:pStyle w:val="BodyText"/>
        <w:rPr>
          <w:sz w:val="21"/>
        </w:rPr>
      </w:pPr>
    </w:p>
    <w:p>
      <w:pPr>
        <w:pStyle w:val="BodyText"/>
        <w:ind w:left="292"/>
      </w:pPr>
      <w:r>
        <w:rPr/>
        <w:t>The</w:t>
      </w:r>
      <w:r>
        <w:rPr>
          <w:spacing w:val="-5"/>
        </w:rPr>
        <w:t> </w:t>
      </w:r>
      <w:r>
        <w:rPr/>
        <w:t>Program</w:t>
      </w:r>
      <w:r>
        <w:rPr>
          <w:spacing w:val="-3"/>
        </w:rPr>
        <w:t> </w:t>
      </w:r>
      <w:r>
        <w:rPr/>
        <w:t>is</w:t>
      </w:r>
      <w:r>
        <w:rPr>
          <w:spacing w:val="-1"/>
        </w:rPr>
        <w:t> </w:t>
      </w:r>
      <w:r>
        <w:rPr/>
        <w:t>now</w:t>
      </w:r>
      <w:r>
        <w:rPr>
          <w:spacing w:val="-6"/>
        </w:rPr>
        <w:t> </w:t>
      </w:r>
      <w:r>
        <w:rPr/>
        <w:t>overseen</w:t>
      </w:r>
      <w:r>
        <w:rPr>
          <w:spacing w:val="-1"/>
        </w:rPr>
        <w:t> </w:t>
      </w:r>
      <w:r>
        <w:rPr/>
        <w:t>by</w:t>
      </w:r>
      <w:r>
        <w:rPr>
          <w:spacing w:val="-4"/>
        </w:rPr>
        <w:t> </w:t>
      </w:r>
      <w:r>
        <w:rPr/>
        <w:t>DELWP</w:t>
      </w:r>
      <w:r>
        <w:rPr>
          <w:spacing w:val="-4"/>
        </w:rPr>
        <w:t> </w:t>
      </w:r>
      <w:r>
        <w:rPr/>
        <w:t>and</w:t>
      </w:r>
      <w:r>
        <w:rPr>
          <w:spacing w:val="-5"/>
        </w:rPr>
        <w:t> </w:t>
      </w:r>
      <w:r>
        <w:rPr/>
        <w:t>is</w:t>
      </w:r>
      <w:r>
        <w:rPr>
          <w:spacing w:val="-4"/>
        </w:rPr>
        <w:t> </w:t>
      </w:r>
      <w:r>
        <w:rPr/>
        <w:t>on</w:t>
      </w:r>
      <w:r>
        <w:rPr>
          <w:spacing w:val="-2"/>
        </w:rPr>
        <w:t> </w:t>
      </w:r>
      <w:r>
        <w:rPr/>
        <w:t>track</w:t>
      </w:r>
      <w:r>
        <w:rPr>
          <w:spacing w:val="-1"/>
        </w:rPr>
        <w:t> </w:t>
      </w:r>
      <w:r>
        <w:rPr/>
        <w:t>to</w:t>
      </w:r>
      <w:r>
        <w:rPr>
          <w:spacing w:val="-5"/>
        </w:rPr>
        <w:t> </w:t>
      </w:r>
      <w:r>
        <w:rPr/>
        <w:t>achieve</w:t>
      </w:r>
      <w:r>
        <w:rPr>
          <w:spacing w:val="-2"/>
        </w:rPr>
        <w:t> </w:t>
      </w:r>
      <w:r>
        <w:rPr/>
        <w:t>its</w:t>
      </w:r>
      <w:r>
        <w:rPr>
          <w:spacing w:val="-3"/>
        </w:rPr>
        <w:t> </w:t>
      </w:r>
      <w:r>
        <w:rPr/>
        <w:t>key</w:t>
      </w:r>
      <w:r>
        <w:rPr>
          <w:spacing w:val="-4"/>
        </w:rPr>
        <w:t> </w:t>
      </w:r>
      <w:r>
        <w:rPr>
          <w:spacing w:val="-2"/>
        </w:rPr>
        <w:t>objectives:</w:t>
      </w:r>
    </w:p>
    <w:p>
      <w:pPr>
        <w:pStyle w:val="BodyText"/>
        <w:spacing w:before="7"/>
        <w:rPr>
          <w:sz w:val="26"/>
        </w:rPr>
      </w:pPr>
    </w:p>
    <w:p>
      <w:pPr>
        <w:pStyle w:val="ListParagraph"/>
        <w:numPr>
          <w:ilvl w:val="1"/>
          <w:numId w:val="9"/>
        </w:numPr>
        <w:tabs>
          <w:tab w:pos="794" w:val="left" w:leader="none"/>
        </w:tabs>
        <w:spacing w:line="288" w:lineRule="auto" w:before="1" w:after="0"/>
        <w:ind w:left="794" w:right="913" w:hanging="361"/>
        <w:jc w:val="both"/>
        <w:rPr>
          <w:sz w:val="22"/>
        </w:rPr>
      </w:pPr>
      <w:r>
        <w:rPr>
          <w:sz w:val="22"/>
        </w:rPr>
        <w:t>powerline</w:t>
      </w:r>
      <w:r>
        <w:rPr>
          <w:spacing w:val="-4"/>
          <w:sz w:val="22"/>
        </w:rPr>
        <w:t> </w:t>
      </w:r>
      <w:r>
        <w:rPr>
          <w:sz w:val="22"/>
        </w:rPr>
        <w:t>replacement</w:t>
      </w:r>
      <w:r>
        <w:rPr>
          <w:spacing w:val="-2"/>
          <w:sz w:val="22"/>
        </w:rPr>
        <w:t> </w:t>
      </w:r>
      <w:r>
        <w:rPr>
          <w:sz w:val="22"/>
        </w:rPr>
        <w:t>works</w:t>
      </w:r>
      <w:r>
        <w:rPr>
          <w:spacing w:val="-3"/>
          <w:sz w:val="22"/>
        </w:rPr>
        <w:t> </w:t>
      </w:r>
      <w:r>
        <w:rPr>
          <w:sz w:val="22"/>
        </w:rPr>
        <w:t>are</w:t>
      </w:r>
      <w:r>
        <w:rPr>
          <w:spacing w:val="-4"/>
          <w:sz w:val="22"/>
        </w:rPr>
        <w:t> </w:t>
      </w:r>
      <w:r>
        <w:rPr>
          <w:sz w:val="22"/>
        </w:rPr>
        <w:t>now</w:t>
      </w:r>
      <w:r>
        <w:rPr>
          <w:spacing w:val="-6"/>
          <w:sz w:val="22"/>
        </w:rPr>
        <w:t> </w:t>
      </w:r>
      <w:r>
        <w:rPr>
          <w:sz w:val="22"/>
        </w:rPr>
        <w:t>well</w:t>
      </w:r>
      <w:r>
        <w:rPr>
          <w:spacing w:val="-4"/>
          <w:sz w:val="22"/>
        </w:rPr>
        <w:t> </w:t>
      </w:r>
      <w:r>
        <w:rPr>
          <w:sz w:val="22"/>
        </w:rPr>
        <w:t>advanced</w:t>
      </w:r>
      <w:r>
        <w:rPr>
          <w:spacing w:val="-2"/>
          <w:sz w:val="22"/>
        </w:rPr>
        <w:t> </w:t>
      </w:r>
      <w:r>
        <w:rPr>
          <w:sz w:val="22"/>
        </w:rPr>
        <w:t>–</w:t>
      </w:r>
      <w:r>
        <w:rPr>
          <w:spacing w:val="-4"/>
          <w:sz w:val="22"/>
        </w:rPr>
        <w:t> </w:t>
      </w:r>
      <w:r>
        <w:rPr>
          <w:sz w:val="22"/>
        </w:rPr>
        <w:t>over</w:t>
      </w:r>
      <w:r>
        <w:rPr>
          <w:spacing w:val="-3"/>
          <w:sz w:val="22"/>
        </w:rPr>
        <w:t> </w:t>
      </w:r>
      <w:r>
        <w:rPr>
          <w:sz w:val="22"/>
        </w:rPr>
        <w:t>500</w:t>
      </w:r>
      <w:r>
        <w:rPr>
          <w:spacing w:val="-5"/>
          <w:sz w:val="22"/>
        </w:rPr>
        <w:t> </w:t>
      </w:r>
      <w:r>
        <w:rPr>
          <w:sz w:val="22"/>
        </w:rPr>
        <w:t>kilometres</w:t>
      </w:r>
      <w:r>
        <w:rPr>
          <w:spacing w:val="-3"/>
          <w:sz w:val="22"/>
        </w:rPr>
        <w:t> </w:t>
      </w:r>
      <w:r>
        <w:rPr>
          <w:sz w:val="22"/>
        </w:rPr>
        <w:t>of</w:t>
      </w:r>
      <w:r>
        <w:rPr>
          <w:spacing w:val="-2"/>
          <w:sz w:val="22"/>
        </w:rPr>
        <w:t> </w:t>
      </w:r>
      <w:r>
        <w:rPr>
          <w:sz w:val="22"/>
        </w:rPr>
        <w:t>bare-wire powerlines have</w:t>
      </w:r>
      <w:r>
        <w:rPr>
          <w:spacing w:val="-1"/>
          <w:sz w:val="22"/>
        </w:rPr>
        <w:t> </w:t>
      </w:r>
      <w:r>
        <w:rPr>
          <w:sz w:val="22"/>
        </w:rPr>
        <w:t>been</w:t>
      </w:r>
      <w:r>
        <w:rPr>
          <w:spacing w:val="-1"/>
          <w:sz w:val="22"/>
        </w:rPr>
        <w:t> </w:t>
      </w:r>
      <w:r>
        <w:rPr>
          <w:sz w:val="22"/>
        </w:rPr>
        <w:t>replaced</w:t>
      </w:r>
      <w:r>
        <w:rPr>
          <w:spacing w:val="-1"/>
          <w:sz w:val="22"/>
        </w:rPr>
        <w:t> </w:t>
      </w:r>
      <w:r>
        <w:rPr>
          <w:sz w:val="22"/>
        </w:rPr>
        <w:t>with</w:t>
      </w:r>
      <w:r>
        <w:rPr>
          <w:spacing w:val="-1"/>
          <w:sz w:val="22"/>
        </w:rPr>
        <w:t> </w:t>
      </w:r>
      <w:r>
        <w:rPr>
          <w:sz w:val="22"/>
        </w:rPr>
        <w:t>safer</w:t>
      </w:r>
      <w:r>
        <w:rPr>
          <w:spacing w:val="-2"/>
          <w:sz w:val="22"/>
        </w:rPr>
        <w:t> </w:t>
      </w:r>
      <w:r>
        <w:rPr>
          <w:sz w:val="22"/>
        </w:rPr>
        <w:t>alternatives</w:t>
      </w:r>
      <w:r>
        <w:rPr>
          <w:spacing w:val="-1"/>
          <w:sz w:val="22"/>
        </w:rPr>
        <w:t> </w:t>
      </w:r>
      <w:r>
        <w:rPr>
          <w:sz w:val="22"/>
        </w:rPr>
        <w:t>in</w:t>
      </w:r>
      <w:r>
        <w:rPr>
          <w:spacing w:val="-1"/>
          <w:sz w:val="22"/>
        </w:rPr>
        <w:t> </w:t>
      </w:r>
      <w:r>
        <w:rPr>
          <w:sz w:val="22"/>
        </w:rPr>
        <w:t>high</w:t>
      </w:r>
      <w:r>
        <w:rPr>
          <w:spacing w:val="-1"/>
          <w:sz w:val="22"/>
        </w:rPr>
        <w:t> </w:t>
      </w:r>
      <w:r>
        <w:rPr>
          <w:sz w:val="22"/>
        </w:rPr>
        <w:t>bushfire</w:t>
      </w:r>
      <w:r>
        <w:rPr>
          <w:spacing w:val="-3"/>
          <w:sz w:val="22"/>
        </w:rPr>
        <w:t> </w:t>
      </w:r>
      <w:r>
        <w:rPr>
          <w:sz w:val="22"/>
        </w:rPr>
        <w:t>risk areas</w:t>
      </w:r>
      <w:r>
        <w:rPr>
          <w:spacing w:val="-1"/>
          <w:sz w:val="22"/>
        </w:rPr>
        <w:t> </w:t>
      </w:r>
      <w:r>
        <w:rPr>
          <w:sz w:val="22"/>
        </w:rPr>
        <w:t>and</w:t>
      </w:r>
      <w:r>
        <w:rPr>
          <w:spacing w:val="-3"/>
          <w:sz w:val="22"/>
        </w:rPr>
        <w:t> </w:t>
      </w:r>
      <w:r>
        <w:rPr>
          <w:sz w:val="22"/>
        </w:rPr>
        <w:t>all works are scheduled to be completed, ahead of time, by the end of 2019;</w:t>
      </w:r>
    </w:p>
    <w:p>
      <w:pPr>
        <w:pStyle w:val="BodyText"/>
        <w:spacing w:before="2"/>
      </w:pPr>
    </w:p>
    <w:p>
      <w:pPr>
        <w:pStyle w:val="ListParagraph"/>
        <w:numPr>
          <w:ilvl w:val="1"/>
          <w:numId w:val="9"/>
        </w:numPr>
        <w:tabs>
          <w:tab w:pos="794" w:val="left" w:leader="none"/>
        </w:tabs>
        <w:spacing w:line="288" w:lineRule="auto" w:before="0" w:after="0"/>
        <w:ind w:left="794" w:right="464" w:hanging="361"/>
        <w:jc w:val="left"/>
        <w:rPr>
          <w:sz w:val="22"/>
        </w:rPr>
      </w:pPr>
      <w:r>
        <w:rPr>
          <w:sz w:val="22"/>
        </w:rPr>
        <w:t>several key regulatory initiatives have been implemented – around 1,600 ACRs have been installed</w:t>
      </w:r>
      <w:r>
        <w:rPr>
          <w:spacing w:val="-2"/>
          <w:sz w:val="22"/>
        </w:rPr>
        <w:t> </w:t>
      </w:r>
      <w:r>
        <w:rPr>
          <w:sz w:val="22"/>
        </w:rPr>
        <w:t>on</w:t>
      </w:r>
      <w:r>
        <w:rPr>
          <w:spacing w:val="-2"/>
          <w:sz w:val="22"/>
        </w:rPr>
        <w:t> </w:t>
      </w:r>
      <w:r>
        <w:rPr>
          <w:sz w:val="22"/>
        </w:rPr>
        <w:t>single</w:t>
      </w:r>
      <w:r>
        <w:rPr>
          <w:spacing w:val="-2"/>
          <w:sz w:val="22"/>
        </w:rPr>
        <w:t> </w:t>
      </w:r>
      <w:r>
        <w:rPr>
          <w:sz w:val="22"/>
        </w:rPr>
        <w:t>wire</w:t>
      </w:r>
      <w:r>
        <w:rPr>
          <w:spacing w:val="-2"/>
          <w:sz w:val="22"/>
        </w:rPr>
        <w:t> </w:t>
      </w:r>
      <w:r>
        <w:rPr>
          <w:sz w:val="22"/>
        </w:rPr>
        <w:t>earth</w:t>
      </w:r>
      <w:r>
        <w:rPr>
          <w:spacing w:val="-4"/>
          <w:sz w:val="22"/>
        </w:rPr>
        <w:t> </w:t>
      </w:r>
      <w:r>
        <w:rPr>
          <w:sz w:val="22"/>
        </w:rPr>
        <w:t>return</w:t>
      </w:r>
      <w:r>
        <w:rPr>
          <w:spacing w:val="-4"/>
          <w:sz w:val="22"/>
        </w:rPr>
        <w:t> </w:t>
      </w:r>
      <w:r>
        <w:rPr>
          <w:sz w:val="22"/>
        </w:rPr>
        <w:t>lines</w:t>
      </w:r>
      <w:r>
        <w:rPr>
          <w:spacing w:val="-1"/>
          <w:sz w:val="22"/>
        </w:rPr>
        <w:t> </w:t>
      </w:r>
      <w:r>
        <w:rPr>
          <w:sz w:val="22"/>
        </w:rPr>
        <w:t>to</w:t>
      </w:r>
      <w:r>
        <w:rPr>
          <w:spacing w:val="-4"/>
          <w:sz w:val="22"/>
        </w:rPr>
        <w:t> </w:t>
      </w:r>
      <w:r>
        <w:rPr>
          <w:sz w:val="22"/>
        </w:rPr>
        <w:t>minimise</w:t>
      </w:r>
      <w:r>
        <w:rPr>
          <w:spacing w:val="-4"/>
          <w:sz w:val="22"/>
        </w:rPr>
        <w:t> </w:t>
      </w:r>
      <w:r>
        <w:rPr>
          <w:sz w:val="22"/>
        </w:rPr>
        <w:t>fire</w:t>
      </w:r>
      <w:r>
        <w:rPr>
          <w:spacing w:val="-4"/>
          <w:sz w:val="22"/>
        </w:rPr>
        <w:t> </w:t>
      </w:r>
      <w:r>
        <w:rPr>
          <w:sz w:val="22"/>
        </w:rPr>
        <w:t>risk on</w:t>
      </w:r>
      <w:r>
        <w:rPr>
          <w:spacing w:val="-4"/>
          <w:sz w:val="22"/>
        </w:rPr>
        <w:t> </w:t>
      </w:r>
      <w:r>
        <w:rPr>
          <w:sz w:val="22"/>
        </w:rPr>
        <w:t>Total</w:t>
      </w:r>
      <w:r>
        <w:rPr>
          <w:spacing w:val="-3"/>
          <w:sz w:val="22"/>
        </w:rPr>
        <w:t> </w:t>
      </w:r>
      <w:r>
        <w:rPr>
          <w:sz w:val="22"/>
        </w:rPr>
        <w:t>Fire</w:t>
      </w:r>
      <w:r>
        <w:rPr>
          <w:spacing w:val="-4"/>
          <w:sz w:val="22"/>
        </w:rPr>
        <w:t> </w:t>
      </w:r>
      <w:r>
        <w:rPr>
          <w:sz w:val="22"/>
        </w:rPr>
        <w:t>Ban</w:t>
      </w:r>
      <w:r>
        <w:rPr>
          <w:spacing w:val="-2"/>
          <w:sz w:val="22"/>
        </w:rPr>
        <w:t> </w:t>
      </w:r>
      <w:r>
        <w:rPr>
          <w:sz w:val="22"/>
        </w:rPr>
        <w:t>days; REFCL fault detection and suppression capabilities are being deployed; and</w:t>
      </w:r>
    </w:p>
    <w:p>
      <w:pPr>
        <w:spacing w:after="0" w:line="288" w:lineRule="auto"/>
        <w:jc w:val="left"/>
        <w:rPr>
          <w:sz w:val="22"/>
        </w:rPr>
        <w:sectPr>
          <w:pgSz w:w="11910" w:h="16850"/>
          <w:pgMar w:header="465" w:footer="880" w:top="660" w:bottom="1060" w:left="840" w:right="820"/>
        </w:sectPr>
      </w:pPr>
    </w:p>
    <w:p>
      <w:pPr>
        <w:pStyle w:val="BodyText"/>
        <w:rPr>
          <w:sz w:val="20"/>
        </w:rPr>
      </w:pPr>
    </w:p>
    <w:p>
      <w:pPr>
        <w:pStyle w:val="BodyText"/>
        <w:rPr>
          <w:sz w:val="20"/>
        </w:rPr>
      </w:pPr>
    </w:p>
    <w:p>
      <w:pPr>
        <w:pStyle w:val="BodyText"/>
        <w:spacing w:before="10"/>
        <w:rPr>
          <w:sz w:val="23"/>
        </w:rPr>
      </w:pPr>
    </w:p>
    <w:p>
      <w:pPr>
        <w:pStyle w:val="ListParagraph"/>
        <w:numPr>
          <w:ilvl w:val="1"/>
          <w:numId w:val="9"/>
        </w:numPr>
        <w:tabs>
          <w:tab w:pos="794" w:val="left" w:leader="none"/>
        </w:tabs>
        <w:spacing w:line="285" w:lineRule="auto" w:before="0" w:after="0"/>
        <w:ind w:left="794" w:right="501" w:hanging="361"/>
        <w:jc w:val="left"/>
        <w:rPr>
          <w:sz w:val="22"/>
        </w:rPr>
      </w:pPr>
      <w:r>
        <w:rPr>
          <w:sz w:val="22"/>
        </w:rPr>
        <w:t>the</w:t>
      </w:r>
      <w:r>
        <w:rPr>
          <w:spacing w:val="-2"/>
          <w:sz w:val="22"/>
        </w:rPr>
        <w:t> </w:t>
      </w:r>
      <w:r>
        <w:rPr>
          <w:sz w:val="22"/>
        </w:rPr>
        <w:t>$10</w:t>
      </w:r>
      <w:r>
        <w:rPr>
          <w:spacing w:val="-4"/>
          <w:sz w:val="22"/>
        </w:rPr>
        <w:t> </w:t>
      </w:r>
      <w:r>
        <w:rPr>
          <w:sz w:val="22"/>
        </w:rPr>
        <w:t>million</w:t>
      </w:r>
      <w:r>
        <w:rPr>
          <w:spacing w:val="-2"/>
          <w:sz w:val="22"/>
        </w:rPr>
        <w:t> </w:t>
      </w:r>
      <w:r>
        <w:rPr>
          <w:sz w:val="22"/>
        </w:rPr>
        <w:t>research</w:t>
      </w:r>
      <w:r>
        <w:rPr>
          <w:spacing w:val="-4"/>
          <w:sz w:val="22"/>
        </w:rPr>
        <w:t> </w:t>
      </w:r>
      <w:r>
        <w:rPr>
          <w:sz w:val="22"/>
        </w:rPr>
        <w:t>and</w:t>
      </w:r>
      <w:r>
        <w:rPr>
          <w:spacing w:val="-2"/>
          <w:sz w:val="22"/>
        </w:rPr>
        <w:t> </w:t>
      </w:r>
      <w:r>
        <w:rPr>
          <w:sz w:val="22"/>
        </w:rPr>
        <w:t>development program</w:t>
      </w:r>
      <w:r>
        <w:rPr>
          <w:spacing w:val="-1"/>
          <w:sz w:val="22"/>
        </w:rPr>
        <w:t> </w:t>
      </w:r>
      <w:r>
        <w:rPr>
          <w:sz w:val="22"/>
        </w:rPr>
        <w:t>has</w:t>
      </w:r>
      <w:r>
        <w:rPr>
          <w:spacing w:val="-4"/>
          <w:sz w:val="22"/>
        </w:rPr>
        <w:t> </w:t>
      </w:r>
      <w:r>
        <w:rPr>
          <w:sz w:val="22"/>
        </w:rPr>
        <w:t>been</w:t>
      </w:r>
      <w:r>
        <w:rPr>
          <w:spacing w:val="-2"/>
          <w:sz w:val="22"/>
        </w:rPr>
        <w:t> </w:t>
      </w:r>
      <w:r>
        <w:rPr>
          <w:sz w:val="22"/>
        </w:rPr>
        <w:t>largely</w:t>
      </w:r>
      <w:r>
        <w:rPr>
          <w:spacing w:val="-4"/>
          <w:sz w:val="22"/>
        </w:rPr>
        <w:t> </w:t>
      </w:r>
      <w:r>
        <w:rPr>
          <w:sz w:val="22"/>
        </w:rPr>
        <w:t>delivered,</w:t>
      </w:r>
      <w:r>
        <w:rPr>
          <w:spacing w:val="-3"/>
          <w:sz w:val="22"/>
        </w:rPr>
        <w:t> </w:t>
      </w:r>
      <w:r>
        <w:rPr>
          <w:sz w:val="22"/>
        </w:rPr>
        <w:t>with</w:t>
      </w:r>
      <w:r>
        <w:rPr>
          <w:spacing w:val="-2"/>
          <w:sz w:val="22"/>
        </w:rPr>
        <w:t> </w:t>
      </w:r>
      <w:r>
        <w:rPr>
          <w:sz w:val="22"/>
        </w:rPr>
        <w:t>the</w:t>
      </w:r>
      <w:r>
        <w:rPr>
          <w:spacing w:val="-4"/>
          <w:sz w:val="22"/>
        </w:rPr>
        <w:t> </w:t>
      </w:r>
      <w:r>
        <w:rPr>
          <w:sz w:val="22"/>
        </w:rPr>
        <w:t>final projects scheduled for completion over the next two years.</w:t>
      </w:r>
    </w:p>
    <w:p>
      <w:pPr>
        <w:pStyle w:val="BodyText"/>
        <w:spacing w:before="1"/>
        <w:rPr>
          <w:sz w:val="21"/>
        </w:rPr>
      </w:pPr>
    </w:p>
    <w:p>
      <w:pPr>
        <w:pStyle w:val="BodyText"/>
        <w:spacing w:line="288" w:lineRule="auto"/>
        <w:ind w:left="292" w:right="311"/>
      </w:pPr>
      <w:r>
        <w:rPr/>
        <w:t>The most complex element of the PBSP involves implementing fault detection and suppression technology on polyphase 22 kV powerlines. The Victorian Government has mandated new standards</w:t>
      </w:r>
      <w:r>
        <w:rPr>
          <w:spacing w:val="-4"/>
        </w:rPr>
        <w:t> </w:t>
      </w:r>
      <w:r>
        <w:rPr/>
        <w:t>that</w:t>
      </w:r>
      <w:r>
        <w:rPr>
          <w:spacing w:val="-3"/>
        </w:rPr>
        <w:t> </w:t>
      </w:r>
      <w:r>
        <w:rPr/>
        <w:t>will</w:t>
      </w:r>
      <w:r>
        <w:rPr>
          <w:spacing w:val="-2"/>
        </w:rPr>
        <w:t> </w:t>
      </w:r>
      <w:r>
        <w:rPr/>
        <w:t>require</w:t>
      </w:r>
      <w:r>
        <w:rPr>
          <w:spacing w:val="-1"/>
        </w:rPr>
        <w:t> </w:t>
      </w:r>
      <w:r>
        <w:rPr/>
        <w:t>this</w:t>
      </w:r>
      <w:r>
        <w:rPr>
          <w:spacing w:val="-1"/>
        </w:rPr>
        <w:t> </w:t>
      </w:r>
      <w:r>
        <w:rPr/>
        <w:t>new</w:t>
      </w:r>
      <w:r>
        <w:rPr>
          <w:spacing w:val="-5"/>
        </w:rPr>
        <w:t> </w:t>
      </w:r>
      <w:r>
        <w:rPr/>
        <w:t>equipment</w:t>
      </w:r>
      <w:r>
        <w:rPr>
          <w:spacing w:val="-3"/>
        </w:rPr>
        <w:t> </w:t>
      </w:r>
      <w:r>
        <w:rPr/>
        <w:t>to</w:t>
      </w:r>
      <w:r>
        <w:rPr>
          <w:spacing w:val="-4"/>
        </w:rPr>
        <w:t> </w:t>
      </w:r>
      <w:r>
        <w:rPr/>
        <w:t>be</w:t>
      </w:r>
      <w:r>
        <w:rPr>
          <w:spacing w:val="-2"/>
        </w:rPr>
        <w:t> </w:t>
      </w:r>
      <w:r>
        <w:rPr/>
        <w:t>installed</w:t>
      </w:r>
      <w:r>
        <w:rPr>
          <w:spacing w:val="-2"/>
        </w:rPr>
        <w:t> </w:t>
      </w:r>
      <w:r>
        <w:rPr/>
        <w:t>in</w:t>
      </w:r>
      <w:r>
        <w:rPr>
          <w:spacing w:val="-2"/>
        </w:rPr>
        <w:t> </w:t>
      </w:r>
      <w:r>
        <w:rPr/>
        <w:t>45</w:t>
      </w:r>
      <w:r>
        <w:rPr>
          <w:spacing w:val="-2"/>
        </w:rPr>
        <w:t> </w:t>
      </w:r>
      <w:r>
        <w:rPr/>
        <w:t>zone</w:t>
      </w:r>
      <w:r>
        <w:rPr>
          <w:spacing w:val="-2"/>
        </w:rPr>
        <w:t> </w:t>
      </w:r>
      <w:r>
        <w:rPr/>
        <w:t>substations</w:t>
      </w:r>
      <w:r>
        <w:rPr>
          <w:spacing w:val="-4"/>
        </w:rPr>
        <w:t> </w:t>
      </w:r>
      <w:r>
        <w:rPr/>
        <w:t>that distribute electricity in high bushfire risk parts of the state.</w:t>
      </w:r>
    </w:p>
    <w:p>
      <w:pPr>
        <w:pStyle w:val="BodyText"/>
        <w:spacing w:before="10"/>
        <w:rPr>
          <w:sz w:val="20"/>
        </w:rPr>
      </w:pPr>
    </w:p>
    <w:p>
      <w:pPr>
        <w:pStyle w:val="BodyText"/>
        <w:spacing w:line="288" w:lineRule="auto"/>
        <w:ind w:left="292" w:right="311"/>
      </w:pPr>
      <w:r>
        <w:rPr/>
        <w:t>In</w:t>
      </w:r>
      <w:r>
        <w:rPr>
          <w:spacing w:val="-2"/>
        </w:rPr>
        <w:t> </w:t>
      </w:r>
      <w:r>
        <w:rPr/>
        <w:t>practice,</w:t>
      </w:r>
      <w:r>
        <w:rPr>
          <w:spacing w:val="-3"/>
        </w:rPr>
        <w:t> </w:t>
      </w:r>
      <w:r>
        <w:rPr/>
        <w:t>the</w:t>
      </w:r>
      <w:r>
        <w:rPr>
          <w:spacing w:val="-2"/>
        </w:rPr>
        <w:t> </w:t>
      </w:r>
      <w:r>
        <w:rPr/>
        <w:t>only</w:t>
      </w:r>
      <w:r>
        <w:rPr>
          <w:spacing w:val="-4"/>
        </w:rPr>
        <w:t> </w:t>
      </w:r>
      <w:r>
        <w:rPr/>
        <w:t>equipment</w:t>
      </w:r>
      <w:r>
        <w:rPr>
          <w:spacing w:val="-3"/>
        </w:rPr>
        <w:t> </w:t>
      </w:r>
      <w:r>
        <w:rPr/>
        <w:t>that will</w:t>
      </w:r>
      <w:r>
        <w:rPr>
          <w:spacing w:val="-2"/>
        </w:rPr>
        <w:t> </w:t>
      </w:r>
      <w:r>
        <w:rPr/>
        <w:t>currently</w:t>
      </w:r>
      <w:r>
        <w:rPr>
          <w:spacing w:val="-6"/>
        </w:rPr>
        <w:t> </w:t>
      </w:r>
      <w:r>
        <w:rPr/>
        <w:t>allow</w:t>
      </w:r>
      <w:r>
        <w:rPr>
          <w:spacing w:val="-5"/>
        </w:rPr>
        <w:t> </w:t>
      </w:r>
      <w:r>
        <w:rPr/>
        <w:t>the</w:t>
      </w:r>
      <w:r>
        <w:rPr>
          <w:spacing w:val="-2"/>
        </w:rPr>
        <w:t> </w:t>
      </w:r>
      <w:r>
        <w:rPr/>
        <w:t>standards</w:t>
      </w:r>
      <w:r>
        <w:rPr>
          <w:spacing w:val="-4"/>
        </w:rPr>
        <w:t> </w:t>
      </w:r>
      <w:r>
        <w:rPr/>
        <w:t>to</w:t>
      </w:r>
      <w:r>
        <w:rPr>
          <w:spacing w:val="-4"/>
        </w:rPr>
        <w:t> </w:t>
      </w:r>
      <w:r>
        <w:rPr/>
        <w:t>be</w:t>
      </w:r>
      <w:r>
        <w:rPr>
          <w:spacing w:val="-4"/>
        </w:rPr>
        <w:t> </w:t>
      </w:r>
      <w:r>
        <w:rPr/>
        <w:t>met is</w:t>
      </w:r>
      <w:r>
        <w:rPr>
          <w:spacing w:val="-4"/>
        </w:rPr>
        <w:t> </w:t>
      </w:r>
      <w:r>
        <w:rPr/>
        <w:t>a</w:t>
      </w:r>
      <w:r>
        <w:rPr>
          <w:spacing w:val="-2"/>
        </w:rPr>
        <w:t> </w:t>
      </w:r>
      <w:r>
        <w:rPr/>
        <w:t>REFCL</w:t>
      </w:r>
      <w:r>
        <w:rPr>
          <w:spacing w:val="-2"/>
        </w:rPr>
        <w:t> </w:t>
      </w:r>
      <w:r>
        <w:rPr/>
        <w:t>system currently</w:t>
      </w:r>
      <w:r>
        <w:rPr>
          <w:spacing w:val="-2"/>
        </w:rPr>
        <w:t> </w:t>
      </w:r>
      <w:r>
        <w:rPr/>
        <w:t>supplied by</w:t>
      </w:r>
      <w:r>
        <w:rPr>
          <w:spacing w:val="-2"/>
        </w:rPr>
        <w:t> </w:t>
      </w:r>
      <w:r>
        <w:rPr/>
        <w:t>a single company</w:t>
      </w:r>
      <w:r>
        <w:rPr>
          <w:spacing w:val="-2"/>
        </w:rPr>
        <w:t> </w:t>
      </w:r>
      <w:r>
        <w:rPr/>
        <w:t>based</w:t>
      </w:r>
      <w:r>
        <w:rPr>
          <w:spacing w:val="-2"/>
        </w:rPr>
        <w:t> </w:t>
      </w:r>
      <w:r>
        <w:rPr/>
        <w:t>in</w:t>
      </w:r>
      <w:r>
        <w:rPr>
          <w:spacing w:val="-2"/>
        </w:rPr>
        <w:t> </w:t>
      </w:r>
      <w:r>
        <w:rPr/>
        <w:t>Sweden. This equipment</w:t>
      </w:r>
      <w:r>
        <w:rPr>
          <w:spacing w:val="-1"/>
        </w:rPr>
        <w:t> </w:t>
      </w:r>
      <w:r>
        <w:rPr/>
        <w:t>rapidly</w:t>
      </w:r>
      <w:r>
        <w:rPr>
          <w:spacing w:val="-2"/>
        </w:rPr>
        <w:t> </w:t>
      </w:r>
      <w:r>
        <w:rPr/>
        <w:t>limits the</w:t>
      </w:r>
      <w:r>
        <w:rPr>
          <w:spacing w:val="-2"/>
        </w:rPr>
        <w:t> </w:t>
      </w:r>
      <w:r>
        <w:rPr/>
        <w:t>energy released when an electrical fault occurs on a powerline. A REFCL can reduce the fault current to very low levels within a few hundredths of a second on an affected circuit while, at the same time, maintaining supply by increasing voltage on the unaffected circuits.</w:t>
      </w:r>
    </w:p>
    <w:p>
      <w:pPr>
        <w:pStyle w:val="BodyText"/>
        <w:spacing w:before="10"/>
        <w:rPr>
          <w:sz w:val="20"/>
        </w:rPr>
      </w:pPr>
    </w:p>
    <w:p>
      <w:pPr>
        <w:pStyle w:val="BodyText"/>
        <w:spacing w:line="288" w:lineRule="auto"/>
        <w:ind w:left="292" w:right="311"/>
      </w:pPr>
      <w:r>
        <w:rPr/>
        <w:t>The</w:t>
      </w:r>
      <w:r>
        <w:rPr>
          <w:spacing w:val="-3"/>
        </w:rPr>
        <w:t> </w:t>
      </w:r>
      <w:r>
        <w:rPr/>
        <w:t>use</w:t>
      </w:r>
      <w:r>
        <w:rPr>
          <w:spacing w:val="-1"/>
        </w:rPr>
        <w:t> </w:t>
      </w:r>
      <w:r>
        <w:rPr/>
        <w:t>of REFCL</w:t>
      </w:r>
      <w:r>
        <w:rPr>
          <w:spacing w:val="-3"/>
        </w:rPr>
        <w:t> </w:t>
      </w:r>
      <w:r>
        <w:rPr/>
        <w:t>technology</w:t>
      </w:r>
      <w:r>
        <w:rPr>
          <w:spacing w:val="-3"/>
        </w:rPr>
        <w:t> </w:t>
      </w:r>
      <w:r>
        <w:rPr/>
        <w:t>to</w:t>
      </w:r>
      <w:r>
        <w:rPr>
          <w:spacing w:val="-3"/>
        </w:rPr>
        <w:t> </w:t>
      </w:r>
      <w:r>
        <w:rPr/>
        <w:t>reduce</w:t>
      </w:r>
      <w:r>
        <w:rPr>
          <w:spacing w:val="-3"/>
        </w:rPr>
        <w:t> </w:t>
      </w:r>
      <w:r>
        <w:rPr/>
        <w:t>bushfire</w:t>
      </w:r>
      <w:r>
        <w:rPr>
          <w:spacing w:val="-3"/>
        </w:rPr>
        <w:t> </w:t>
      </w:r>
      <w:r>
        <w:rPr/>
        <w:t>risk</w:t>
      </w:r>
      <w:r>
        <w:rPr>
          <w:spacing w:val="-1"/>
        </w:rPr>
        <w:t> </w:t>
      </w:r>
      <w:r>
        <w:rPr/>
        <w:t>is</w:t>
      </w:r>
      <w:r>
        <w:rPr>
          <w:spacing w:val="-1"/>
        </w:rPr>
        <w:t> </w:t>
      </w:r>
      <w:r>
        <w:rPr/>
        <w:t>being</w:t>
      </w:r>
      <w:r>
        <w:rPr>
          <w:spacing w:val="-1"/>
        </w:rPr>
        <w:t> </w:t>
      </w:r>
      <w:r>
        <w:rPr/>
        <w:t>adopted</w:t>
      </w:r>
      <w:r>
        <w:rPr>
          <w:spacing w:val="-6"/>
        </w:rPr>
        <w:t> </w:t>
      </w:r>
      <w:r>
        <w:rPr/>
        <w:t>for</w:t>
      </w:r>
      <w:r>
        <w:rPr>
          <w:spacing w:val="-2"/>
        </w:rPr>
        <w:t> </w:t>
      </w:r>
      <w:r>
        <w:rPr/>
        <w:t>the</w:t>
      </w:r>
      <w:r>
        <w:rPr>
          <w:spacing w:val="-3"/>
        </w:rPr>
        <w:t> </w:t>
      </w:r>
      <w:r>
        <w:rPr/>
        <w:t>first</w:t>
      </w:r>
      <w:r>
        <w:rPr>
          <w:spacing w:val="-2"/>
        </w:rPr>
        <w:t> </w:t>
      </w:r>
      <w:r>
        <w:rPr/>
        <w:t>time</w:t>
      </w:r>
      <w:r>
        <w:rPr>
          <w:spacing w:val="-1"/>
        </w:rPr>
        <w:t> </w:t>
      </w:r>
      <w:r>
        <w:rPr/>
        <w:t>in</w:t>
      </w:r>
      <w:r>
        <w:rPr>
          <w:spacing w:val="-1"/>
        </w:rPr>
        <w:t> </w:t>
      </w:r>
      <w:r>
        <w:rPr/>
        <w:t>Victoria following successful field trials in partnership with distribution businesses, funded through the PBSP’s research and development program. Although REFCLs have been used in Europe since the early 1990s to improve supply reliability, they have never previously been used for fire safety </w:t>
      </w:r>
      <w:r>
        <w:rPr>
          <w:spacing w:val="-2"/>
        </w:rPr>
        <w:t>measures.</w:t>
      </w:r>
    </w:p>
    <w:p>
      <w:pPr>
        <w:pStyle w:val="BodyText"/>
        <w:rPr>
          <w:sz w:val="21"/>
        </w:rPr>
      </w:pPr>
    </w:p>
    <w:p>
      <w:pPr>
        <w:pStyle w:val="BodyText"/>
        <w:spacing w:line="288" w:lineRule="auto"/>
        <w:ind w:left="292" w:right="374"/>
      </w:pPr>
      <w:r>
        <w:rPr/>
        <w:t>The</w:t>
      </w:r>
      <w:r>
        <w:rPr>
          <w:spacing w:val="-4"/>
        </w:rPr>
        <w:t> </w:t>
      </w:r>
      <w:r>
        <w:rPr/>
        <w:t>REFCL</w:t>
      </w:r>
      <w:r>
        <w:rPr>
          <w:spacing w:val="-2"/>
        </w:rPr>
        <w:t> </w:t>
      </w:r>
      <w:r>
        <w:rPr/>
        <w:t>program</w:t>
      </w:r>
      <w:r>
        <w:rPr>
          <w:spacing w:val="-3"/>
        </w:rPr>
        <w:t> </w:t>
      </w:r>
      <w:r>
        <w:rPr/>
        <w:t>is</w:t>
      </w:r>
      <w:r>
        <w:rPr>
          <w:spacing w:val="-4"/>
        </w:rPr>
        <w:t> </w:t>
      </w:r>
      <w:r>
        <w:rPr/>
        <w:t>technically</w:t>
      </w:r>
      <w:r>
        <w:rPr>
          <w:spacing w:val="-4"/>
        </w:rPr>
        <w:t> </w:t>
      </w:r>
      <w:r>
        <w:rPr/>
        <w:t>challenging</w:t>
      </w:r>
      <w:r>
        <w:rPr>
          <w:spacing w:val="-2"/>
        </w:rPr>
        <w:t> </w:t>
      </w:r>
      <w:r>
        <w:rPr/>
        <w:t>and</w:t>
      </w:r>
      <w:r>
        <w:rPr>
          <w:spacing w:val="-2"/>
        </w:rPr>
        <w:t> </w:t>
      </w:r>
      <w:r>
        <w:rPr/>
        <w:t>considerable</w:t>
      </w:r>
      <w:r>
        <w:rPr>
          <w:spacing w:val="-2"/>
        </w:rPr>
        <w:t> </w:t>
      </w:r>
      <w:r>
        <w:rPr/>
        <w:t>works</w:t>
      </w:r>
      <w:r>
        <w:rPr>
          <w:spacing w:val="-1"/>
        </w:rPr>
        <w:t> </w:t>
      </w:r>
      <w:r>
        <w:rPr/>
        <w:t>are</w:t>
      </w:r>
      <w:r>
        <w:rPr>
          <w:spacing w:val="-4"/>
        </w:rPr>
        <w:t> </w:t>
      </w:r>
      <w:r>
        <w:rPr/>
        <w:t>required</w:t>
      </w:r>
      <w:r>
        <w:rPr>
          <w:spacing w:val="-4"/>
        </w:rPr>
        <w:t> </w:t>
      </w:r>
      <w:r>
        <w:rPr/>
        <w:t>to</w:t>
      </w:r>
      <w:r>
        <w:rPr>
          <w:spacing w:val="-4"/>
        </w:rPr>
        <w:t> </w:t>
      </w:r>
      <w:r>
        <w:rPr/>
        <w:t>support</w:t>
      </w:r>
      <w:r>
        <w:rPr>
          <w:spacing w:val="-3"/>
        </w:rPr>
        <w:t> </w:t>
      </w:r>
      <w:r>
        <w:rPr/>
        <w:t>the implementation of units in zone substations. This includes extensive “network hardening” to manage voltage rises that can occur when REFCLs are triggered, and re-engineering of network </w:t>
      </w:r>
      <w:r>
        <w:rPr>
          <w:spacing w:val="-2"/>
        </w:rPr>
        <w:t>operations.</w:t>
      </w:r>
    </w:p>
    <w:p>
      <w:pPr>
        <w:pStyle w:val="BodyText"/>
        <w:spacing w:before="10"/>
        <w:rPr>
          <w:sz w:val="20"/>
        </w:rPr>
      </w:pPr>
    </w:p>
    <w:p>
      <w:pPr>
        <w:pStyle w:val="BodyText"/>
        <w:spacing w:line="288" w:lineRule="auto"/>
        <w:ind w:left="292" w:right="311"/>
      </w:pPr>
      <w:r>
        <w:rPr/>
        <w:t>A</w:t>
      </w:r>
      <w:r>
        <w:rPr>
          <w:spacing w:val="-3"/>
        </w:rPr>
        <w:t> </w:t>
      </w:r>
      <w:r>
        <w:rPr/>
        <w:t>regulatory</w:t>
      </w:r>
      <w:r>
        <w:rPr>
          <w:spacing w:val="-5"/>
        </w:rPr>
        <w:t> </w:t>
      </w:r>
      <w:r>
        <w:rPr/>
        <w:t>impact</w:t>
      </w:r>
      <w:r>
        <w:rPr>
          <w:spacing w:val="-4"/>
        </w:rPr>
        <w:t> </w:t>
      </w:r>
      <w:r>
        <w:rPr/>
        <w:t>assessment</w:t>
      </w:r>
      <w:r>
        <w:rPr>
          <w:spacing w:val="-1"/>
        </w:rPr>
        <w:t> </w:t>
      </w:r>
      <w:r>
        <w:rPr/>
        <w:t>was</w:t>
      </w:r>
      <w:r>
        <w:rPr>
          <w:spacing w:val="-3"/>
        </w:rPr>
        <w:t> </w:t>
      </w:r>
      <w:r>
        <w:rPr/>
        <w:t>prepared</w:t>
      </w:r>
      <w:r>
        <w:rPr>
          <w:spacing w:val="-3"/>
        </w:rPr>
        <w:t> </w:t>
      </w:r>
      <w:r>
        <w:rPr/>
        <w:t>before</w:t>
      </w:r>
      <w:r>
        <w:rPr>
          <w:spacing w:val="-5"/>
        </w:rPr>
        <w:t> </w:t>
      </w:r>
      <w:r>
        <w:rPr/>
        <w:t>the</w:t>
      </w:r>
      <w:r>
        <w:rPr>
          <w:spacing w:val="-5"/>
        </w:rPr>
        <w:t> </w:t>
      </w:r>
      <w:r>
        <w:rPr/>
        <w:t>new</w:t>
      </w:r>
      <w:r>
        <w:rPr>
          <w:spacing w:val="-7"/>
        </w:rPr>
        <w:t> </w:t>
      </w:r>
      <w:r>
        <w:rPr/>
        <w:t>fault</w:t>
      </w:r>
      <w:r>
        <w:rPr>
          <w:spacing w:val="-1"/>
        </w:rPr>
        <w:t> </w:t>
      </w:r>
      <w:r>
        <w:rPr/>
        <w:t>suppression</w:t>
      </w:r>
      <w:r>
        <w:rPr>
          <w:spacing w:val="-3"/>
        </w:rPr>
        <w:t> </w:t>
      </w:r>
      <w:r>
        <w:rPr/>
        <w:t>standards</w:t>
      </w:r>
      <w:r>
        <w:rPr>
          <w:spacing w:val="-5"/>
        </w:rPr>
        <w:t> </w:t>
      </w:r>
      <w:r>
        <w:rPr/>
        <w:t>that effectively require REFCLs to be mandated through the </w:t>
      </w:r>
      <w:r>
        <w:rPr>
          <w:i/>
        </w:rPr>
        <w:t>Electricity Safety (Bushfire Mitigation) Regulations 2013</w:t>
      </w:r>
      <w:r>
        <w:rPr/>
        <w:t>. This assessment was prepared by the consulting firm, ACIL Allen, and incorporated a detailed cost-benefit analysis indicating that the estimated costs of deploying REFCLs would be more than outweighed by the reliability and bushfire risk reduction benefits.</w:t>
      </w:r>
    </w:p>
    <w:p>
      <w:pPr>
        <w:pStyle w:val="BodyText"/>
        <w:spacing w:before="9"/>
        <w:rPr>
          <w:sz w:val="20"/>
        </w:rPr>
      </w:pPr>
    </w:p>
    <w:p>
      <w:pPr>
        <w:pStyle w:val="BodyText"/>
        <w:spacing w:line="288" w:lineRule="auto"/>
        <w:ind w:left="292" w:right="311"/>
      </w:pPr>
      <w:r>
        <w:rPr/>
        <w:t>More</w:t>
      </w:r>
      <w:r>
        <w:rPr>
          <w:spacing w:val="-2"/>
        </w:rPr>
        <w:t> </w:t>
      </w:r>
      <w:r>
        <w:rPr/>
        <w:t>recent</w:t>
      </w:r>
      <w:r>
        <w:rPr>
          <w:spacing w:val="-2"/>
        </w:rPr>
        <w:t> </w:t>
      </w:r>
      <w:r>
        <w:rPr/>
        <w:t>experience</w:t>
      </w:r>
      <w:r>
        <w:rPr>
          <w:spacing w:val="-5"/>
        </w:rPr>
        <w:t> </w:t>
      </w:r>
      <w:r>
        <w:rPr/>
        <w:t>has</w:t>
      </w:r>
      <w:r>
        <w:rPr>
          <w:spacing w:val="-2"/>
        </w:rPr>
        <w:t> </w:t>
      </w:r>
      <w:r>
        <w:rPr/>
        <w:t>shown</w:t>
      </w:r>
      <w:r>
        <w:rPr>
          <w:spacing w:val="-1"/>
        </w:rPr>
        <w:t> </w:t>
      </w:r>
      <w:r>
        <w:rPr/>
        <w:t>that</w:t>
      </w:r>
      <w:r>
        <w:rPr>
          <w:spacing w:val="-4"/>
        </w:rPr>
        <w:t> </w:t>
      </w:r>
      <w:r>
        <w:rPr/>
        <w:t>the</w:t>
      </w:r>
      <w:r>
        <w:rPr>
          <w:spacing w:val="-5"/>
        </w:rPr>
        <w:t> </w:t>
      </w:r>
      <w:r>
        <w:rPr/>
        <w:t>costs</w:t>
      </w:r>
      <w:r>
        <w:rPr>
          <w:spacing w:val="-5"/>
        </w:rPr>
        <w:t> </w:t>
      </w:r>
      <w:r>
        <w:rPr/>
        <w:t>of</w:t>
      </w:r>
      <w:r>
        <w:rPr>
          <w:spacing w:val="-1"/>
        </w:rPr>
        <w:t> </w:t>
      </w:r>
      <w:r>
        <w:rPr/>
        <w:t>deploying</w:t>
      </w:r>
      <w:r>
        <w:rPr>
          <w:spacing w:val="-1"/>
        </w:rPr>
        <w:t> </w:t>
      </w:r>
      <w:r>
        <w:rPr/>
        <w:t>REFCLs</w:t>
      </w:r>
      <w:r>
        <w:rPr>
          <w:spacing w:val="-3"/>
        </w:rPr>
        <w:t> </w:t>
      </w:r>
      <w:r>
        <w:rPr/>
        <w:t>will</w:t>
      </w:r>
      <w:r>
        <w:rPr>
          <w:spacing w:val="-3"/>
        </w:rPr>
        <w:t> </w:t>
      </w:r>
      <w:r>
        <w:rPr/>
        <w:t>be</w:t>
      </w:r>
      <w:r>
        <w:rPr>
          <w:spacing w:val="-3"/>
        </w:rPr>
        <w:t> </w:t>
      </w:r>
      <w:r>
        <w:rPr/>
        <w:t>considerably</w:t>
      </w:r>
      <w:r>
        <w:rPr>
          <w:spacing w:val="-5"/>
        </w:rPr>
        <w:t> </w:t>
      </w:r>
      <w:r>
        <w:rPr/>
        <w:t>higher than originally estimated by distribution businesses. The best currently available information on these costs comes from the Australian Energy Regulator’s decision on project funding determinations for the initial phase of REFCL installations by AusNet Services and Powercor.</w:t>
      </w:r>
    </w:p>
    <w:p>
      <w:pPr>
        <w:pStyle w:val="BodyText"/>
        <w:spacing w:line="288" w:lineRule="auto"/>
        <w:ind w:left="292" w:right="311"/>
      </w:pPr>
      <w:r>
        <w:rPr/>
        <w:t>Extrapolating the current estimated costs, the deployment of REFCLs would now have marginally higher</w:t>
      </w:r>
      <w:r>
        <w:rPr>
          <w:spacing w:val="-3"/>
        </w:rPr>
        <w:t> </w:t>
      </w:r>
      <w:r>
        <w:rPr/>
        <w:t>estimated</w:t>
      </w:r>
      <w:r>
        <w:rPr>
          <w:spacing w:val="-4"/>
        </w:rPr>
        <w:t> </w:t>
      </w:r>
      <w:r>
        <w:rPr/>
        <w:t>costs</w:t>
      </w:r>
      <w:r>
        <w:rPr>
          <w:spacing w:val="-4"/>
        </w:rPr>
        <w:t> </w:t>
      </w:r>
      <w:r>
        <w:rPr/>
        <w:t>than</w:t>
      </w:r>
      <w:r>
        <w:rPr>
          <w:spacing w:val="-2"/>
        </w:rPr>
        <w:t> </w:t>
      </w:r>
      <w:r>
        <w:rPr/>
        <w:t>estimated</w:t>
      </w:r>
      <w:r>
        <w:rPr>
          <w:spacing w:val="-4"/>
        </w:rPr>
        <w:t> </w:t>
      </w:r>
      <w:r>
        <w:rPr/>
        <w:t>benefits,</w:t>
      </w:r>
      <w:r>
        <w:rPr>
          <w:spacing w:val="-3"/>
        </w:rPr>
        <w:t> </w:t>
      </w:r>
      <w:r>
        <w:rPr/>
        <w:t>assuming</w:t>
      </w:r>
      <w:r>
        <w:rPr>
          <w:spacing w:val="-2"/>
        </w:rPr>
        <w:t> </w:t>
      </w:r>
      <w:r>
        <w:rPr/>
        <w:t>no</w:t>
      </w:r>
      <w:r>
        <w:rPr>
          <w:spacing w:val="-4"/>
        </w:rPr>
        <w:t> </w:t>
      </w:r>
      <w:r>
        <w:rPr/>
        <w:t>changes</w:t>
      </w:r>
      <w:r>
        <w:rPr>
          <w:spacing w:val="-4"/>
        </w:rPr>
        <w:t> </w:t>
      </w:r>
      <w:r>
        <w:rPr/>
        <w:t>in</w:t>
      </w:r>
      <w:r>
        <w:rPr>
          <w:spacing w:val="-2"/>
        </w:rPr>
        <w:t> </w:t>
      </w:r>
      <w:r>
        <w:rPr/>
        <w:t>any</w:t>
      </w:r>
      <w:r>
        <w:rPr>
          <w:spacing w:val="-4"/>
        </w:rPr>
        <w:t> </w:t>
      </w:r>
      <w:r>
        <w:rPr/>
        <w:t>of the</w:t>
      </w:r>
      <w:r>
        <w:rPr>
          <w:spacing w:val="-4"/>
        </w:rPr>
        <w:t> </w:t>
      </w:r>
      <w:r>
        <w:rPr/>
        <w:t>other</w:t>
      </w:r>
      <w:r>
        <w:rPr>
          <w:spacing w:val="-1"/>
        </w:rPr>
        <w:t> </w:t>
      </w:r>
      <w:r>
        <w:rPr/>
        <w:t>elements of the ACIL</w:t>
      </w:r>
      <w:r>
        <w:rPr>
          <w:spacing w:val="-1"/>
        </w:rPr>
        <w:t> </w:t>
      </w:r>
      <w:r>
        <w:rPr/>
        <w:t>Allen methodology. A</w:t>
      </w:r>
      <w:r>
        <w:rPr>
          <w:spacing w:val="-1"/>
        </w:rPr>
        <w:t> </w:t>
      </w:r>
      <w:r>
        <w:rPr/>
        <w:t>more</w:t>
      </w:r>
      <w:r>
        <w:rPr>
          <w:spacing w:val="-1"/>
        </w:rPr>
        <w:t> </w:t>
      </w:r>
      <w:r>
        <w:rPr/>
        <w:t>complete</w:t>
      </w:r>
      <w:r>
        <w:rPr>
          <w:spacing w:val="-3"/>
        </w:rPr>
        <w:t> </w:t>
      </w:r>
      <w:r>
        <w:rPr/>
        <w:t>analysis would be required to</w:t>
      </w:r>
      <w:r>
        <w:rPr>
          <w:spacing w:val="-3"/>
        </w:rPr>
        <w:t> </w:t>
      </w:r>
      <w:r>
        <w:rPr/>
        <w:t>fully</w:t>
      </w:r>
      <w:r>
        <w:rPr>
          <w:spacing w:val="-1"/>
        </w:rPr>
        <w:t> </w:t>
      </w:r>
      <w:r>
        <w:rPr/>
        <w:t>determine</w:t>
      </w:r>
      <w:r>
        <w:rPr>
          <w:spacing w:val="-1"/>
        </w:rPr>
        <w:t> </w:t>
      </w:r>
      <w:r>
        <w:rPr/>
        <w:t>the best estimated cost-benefit ratio at this time, noting also that it is inherently difficult to develop precise quantitative estimates of the benefits of lower risk to the community.</w:t>
      </w:r>
    </w:p>
    <w:p>
      <w:pPr>
        <w:pStyle w:val="BodyText"/>
        <w:spacing w:before="1"/>
        <w:rPr>
          <w:sz w:val="21"/>
        </w:rPr>
      </w:pPr>
    </w:p>
    <w:p>
      <w:pPr>
        <w:pStyle w:val="BodyText"/>
        <w:spacing w:line="288" w:lineRule="auto"/>
        <w:ind w:left="292" w:right="311"/>
      </w:pPr>
      <w:r>
        <w:rPr/>
        <w:t>In its Interim Report, the Review indicated that a measured approach should be adopted to the implementation of REFCLs, allowing policy settings to be considered with the benefit of greater experience</w:t>
      </w:r>
      <w:r>
        <w:rPr>
          <w:spacing w:val="-3"/>
        </w:rPr>
        <w:t> </w:t>
      </w:r>
      <w:r>
        <w:rPr/>
        <w:t>and</w:t>
      </w:r>
      <w:r>
        <w:rPr>
          <w:spacing w:val="-3"/>
        </w:rPr>
        <w:t> </w:t>
      </w:r>
      <w:r>
        <w:rPr/>
        <w:t>information.</w:t>
      </w:r>
      <w:r>
        <w:rPr>
          <w:spacing w:val="-1"/>
        </w:rPr>
        <w:t> </w:t>
      </w:r>
      <w:r>
        <w:rPr/>
        <w:t>As</w:t>
      </w:r>
      <w:r>
        <w:rPr>
          <w:spacing w:val="-5"/>
        </w:rPr>
        <w:t> </w:t>
      </w:r>
      <w:r>
        <w:rPr/>
        <w:t>a</w:t>
      </w:r>
      <w:r>
        <w:rPr>
          <w:spacing w:val="-3"/>
        </w:rPr>
        <w:t> </w:t>
      </w:r>
      <w:r>
        <w:rPr/>
        <w:t>draft</w:t>
      </w:r>
      <w:r>
        <w:rPr>
          <w:spacing w:val="-4"/>
        </w:rPr>
        <w:t> </w:t>
      </w:r>
      <w:r>
        <w:rPr/>
        <w:t>recommendation,</w:t>
      </w:r>
      <w:r>
        <w:rPr>
          <w:spacing w:val="-4"/>
        </w:rPr>
        <w:t> </w:t>
      </w:r>
      <w:r>
        <w:rPr/>
        <w:t>the</w:t>
      </w:r>
      <w:r>
        <w:rPr>
          <w:spacing w:val="-3"/>
        </w:rPr>
        <w:t> </w:t>
      </w:r>
      <w:r>
        <w:rPr/>
        <w:t>Review</w:t>
      </w:r>
      <w:r>
        <w:rPr>
          <w:spacing w:val="-6"/>
        </w:rPr>
        <w:t> </w:t>
      </w:r>
      <w:r>
        <w:rPr/>
        <w:t>proposed</w:t>
      </w:r>
      <w:r>
        <w:rPr>
          <w:spacing w:val="-3"/>
        </w:rPr>
        <w:t> </w:t>
      </w:r>
      <w:r>
        <w:rPr/>
        <w:t>that</w:t>
      </w:r>
      <w:r>
        <w:rPr>
          <w:spacing w:val="-4"/>
        </w:rPr>
        <w:t> </w:t>
      </w:r>
      <w:r>
        <w:rPr/>
        <w:t>the</w:t>
      </w:r>
      <w:r>
        <w:rPr>
          <w:spacing w:val="-3"/>
        </w:rPr>
        <w:t> </w:t>
      </w:r>
      <w:r>
        <w:rPr/>
        <w:t>deployment of REFCL technology to satisfy the </w:t>
      </w:r>
      <w:r>
        <w:rPr>
          <w:i/>
        </w:rPr>
        <w:t>Electricity Safety Act 1998 </w:t>
      </w:r>
      <w:r>
        <w:rPr/>
        <w:t>and the </w:t>
      </w:r>
      <w:r>
        <w:rPr>
          <w:i/>
        </w:rPr>
        <w:t>Electricity Safety (Bushfire Mitigation) Regulations 2013 </w:t>
      </w:r>
      <w:r>
        <w:rPr/>
        <w:t>be subject to review prior to each tranche by an independent expert panel appointed by the Minister for Energy, Environment and Climate Change.</w:t>
      </w:r>
    </w:p>
    <w:p>
      <w:pPr>
        <w:spacing w:after="0" w:line="288" w:lineRule="auto"/>
        <w:sectPr>
          <w:pgSz w:w="11910" w:h="16850"/>
          <w:pgMar w:header="465" w:footer="880" w:top="660" w:bottom="1060" w:left="840" w:right="820"/>
        </w:sectPr>
      </w:pPr>
    </w:p>
    <w:p>
      <w:pPr>
        <w:pStyle w:val="BodyText"/>
        <w:rPr>
          <w:sz w:val="20"/>
        </w:rPr>
      </w:pPr>
    </w:p>
    <w:p>
      <w:pPr>
        <w:pStyle w:val="BodyText"/>
        <w:rPr>
          <w:sz w:val="20"/>
        </w:rPr>
      </w:pPr>
    </w:p>
    <w:p>
      <w:pPr>
        <w:pStyle w:val="BodyText"/>
        <w:spacing w:before="4"/>
      </w:pPr>
    </w:p>
    <w:p>
      <w:pPr>
        <w:pStyle w:val="BodyText"/>
        <w:spacing w:line="288" w:lineRule="auto"/>
        <w:ind w:left="292" w:right="311"/>
      </w:pPr>
      <w:r>
        <w:rPr/>
        <w:t>Submissions</w:t>
      </w:r>
      <w:r>
        <w:rPr>
          <w:spacing w:val="-2"/>
        </w:rPr>
        <w:t> </w:t>
      </w:r>
      <w:r>
        <w:rPr/>
        <w:t>in</w:t>
      </w:r>
      <w:r>
        <w:rPr>
          <w:spacing w:val="-2"/>
        </w:rPr>
        <w:t> </w:t>
      </w:r>
      <w:r>
        <w:rPr/>
        <w:t>response</w:t>
      </w:r>
      <w:r>
        <w:rPr>
          <w:spacing w:val="-4"/>
        </w:rPr>
        <w:t> </w:t>
      </w:r>
      <w:r>
        <w:rPr/>
        <w:t>to</w:t>
      </w:r>
      <w:r>
        <w:rPr>
          <w:spacing w:val="-4"/>
        </w:rPr>
        <w:t> </w:t>
      </w:r>
      <w:r>
        <w:rPr/>
        <w:t>the</w:t>
      </w:r>
      <w:r>
        <w:rPr>
          <w:spacing w:val="-4"/>
        </w:rPr>
        <w:t> </w:t>
      </w:r>
      <w:r>
        <w:rPr/>
        <w:t>Interim</w:t>
      </w:r>
      <w:r>
        <w:rPr>
          <w:spacing w:val="-2"/>
        </w:rPr>
        <w:t> </w:t>
      </w:r>
      <w:r>
        <w:rPr/>
        <w:t>Report</w:t>
      </w:r>
      <w:r>
        <w:rPr>
          <w:spacing w:val="-1"/>
        </w:rPr>
        <w:t> </w:t>
      </w:r>
      <w:r>
        <w:rPr/>
        <w:t>and</w:t>
      </w:r>
      <w:r>
        <w:rPr>
          <w:spacing w:val="-4"/>
        </w:rPr>
        <w:t> </w:t>
      </w:r>
      <w:r>
        <w:rPr/>
        <w:t>further</w:t>
      </w:r>
      <w:r>
        <w:rPr>
          <w:spacing w:val="-2"/>
        </w:rPr>
        <w:t> </w:t>
      </w:r>
      <w:r>
        <w:rPr/>
        <w:t>consultations</w:t>
      </w:r>
      <w:r>
        <w:rPr>
          <w:spacing w:val="-4"/>
        </w:rPr>
        <w:t> </w:t>
      </w:r>
      <w:r>
        <w:rPr/>
        <w:t>undertaken</w:t>
      </w:r>
      <w:r>
        <w:rPr>
          <w:spacing w:val="-4"/>
        </w:rPr>
        <w:t> </w:t>
      </w:r>
      <w:r>
        <w:rPr/>
        <w:t>by</w:t>
      </w:r>
      <w:r>
        <w:rPr>
          <w:spacing w:val="-4"/>
        </w:rPr>
        <w:t> </w:t>
      </w:r>
      <w:r>
        <w:rPr/>
        <w:t>the</w:t>
      </w:r>
      <w:r>
        <w:rPr>
          <w:spacing w:val="-4"/>
        </w:rPr>
        <w:t> </w:t>
      </w:r>
      <w:r>
        <w:rPr/>
        <w:t>Review have drawn out practical difficulties with the implementation of the draft recommendation as originally presented. Firstly, there would be very substantial challenges – perhaps insurmountable challenges – in assembling a suitably equipped independent expert panel with a sufficient understanding of the technical issues in a timely fashion. Second, the current scheduling of the regulatory requirements involves considerable overlaps between the tranches, and the distribution businesses have advised that planning for the second tranche is already well advanced. In their submissions responding to the Interim Report, AusNet Services and Powercor have indicated that they consider a full program review could not be completed without 'stopping the clock' on the implementation of the second tranche.</w:t>
      </w:r>
    </w:p>
    <w:p>
      <w:pPr>
        <w:pStyle w:val="BodyText"/>
        <w:spacing w:before="11"/>
        <w:rPr>
          <w:sz w:val="20"/>
        </w:rPr>
      </w:pPr>
    </w:p>
    <w:p>
      <w:pPr>
        <w:pStyle w:val="BodyText"/>
        <w:spacing w:line="288" w:lineRule="auto"/>
        <w:ind w:left="292" w:right="374"/>
      </w:pPr>
      <w:r>
        <w:rPr/>
        <w:t>While</w:t>
      </w:r>
      <w:r>
        <w:rPr>
          <w:spacing w:val="-2"/>
        </w:rPr>
        <w:t> </w:t>
      </w:r>
      <w:r>
        <w:rPr/>
        <w:t>an</w:t>
      </w:r>
      <w:r>
        <w:rPr>
          <w:spacing w:val="-4"/>
        </w:rPr>
        <w:t> </w:t>
      </w:r>
      <w:r>
        <w:rPr/>
        <w:t>independent</w:t>
      </w:r>
      <w:r>
        <w:rPr>
          <w:spacing w:val="-3"/>
        </w:rPr>
        <w:t> </w:t>
      </w:r>
      <w:r>
        <w:rPr/>
        <w:t>review</w:t>
      </w:r>
      <w:r>
        <w:rPr>
          <w:spacing w:val="-5"/>
        </w:rPr>
        <w:t> </w:t>
      </w:r>
      <w:r>
        <w:rPr/>
        <w:t>of</w:t>
      </w:r>
      <w:r>
        <w:rPr>
          <w:spacing w:val="-1"/>
        </w:rPr>
        <w:t> </w:t>
      </w:r>
      <w:r>
        <w:rPr/>
        <w:t>the</w:t>
      </w:r>
      <w:r>
        <w:rPr>
          <w:spacing w:val="-4"/>
        </w:rPr>
        <w:t> </w:t>
      </w:r>
      <w:r>
        <w:rPr/>
        <w:t>kind</w:t>
      </w:r>
      <w:r>
        <w:rPr>
          <w:spacing w:val="-4"/>
        </w:rPr>
        <w:t> </w:t>
      </w:r>
      <w:r>
        <w:rPr/>
        <w:t>proposed</w:t>
      </w:r>
      <w:r>
        <w:rPr>
          <w:spacing w:val="-2"/>
        </w:rPr>
        <w:t> </w:t>
      </w:r>
      <w:r>
        <w:rPr/>
        <w:t>in</w:t>
      </w:r>
      <w:r>
        <w:rPr>
          <w:spacing w:val="-2"/>
        </w:rPr>
        <w:t> </w:t>
      </w:r>
      <w:r>
        <w:rPr/>
        <w:t>the</w:t>
      </w:r>
      <w:r>
        <w:rPr>
          <w:spacing w:val="-4"/>
        </w:rPr>
        <w:t> </w:t>
      </w:r>
      <w:r>
        <w:rPr/>
        <w:t>Review's</w:t>
      </w:r>
      <w:r>
        <w:rPr>
          <w:spacing w:val="-1"/>
        </w:rPr>
        <w:t> </w:t>
      </w:r>
      <w:r>
        <w:rPr/>
        <w:t>draft</w:t>
      </w:r>
      <w:r>
        <w:rPr>
          <w:spacing w:val="-3"/>
        </w:rPr>
        <w:t> </w:t>
      </w:r>
      <w:r>
        <w:rPr/>
        <w:t>recommendation</w:t>
      </w:r>
      <w:r>
        <w:rPr>
          <w:spacing w:val="-4"/>
        </w:rPr>
        <w:t> </w:t>
      </w:r>
      <w:r>
        <w:rPr/>
        <w:t>may</w:t>
      </w:r>
      <w:r>
        <w:rPr>
          <w:spacing w:val="-4"/>
        </w:rPr>
        <w:t> </w:t>
      </w:r>
      <w:r>
        <w:rPr/>
        <w:t>not be feasible without substantial delays, it is important that a careful</w:t>
      </w:r>
      <w:r>
        <w:rPr>
          <w:spacing w:val="-1"/>
        </w:rPr>
        <w:t> </w:t>
      </w:r>
      <w:r>
        <w:rPr/>
        <w:t>approach to implementation is taken and that program settings can be adjusted in a measured fashion when justified. This requires carefully weighing considerations around technical feasibility and the cost to consumers together with core policy objectives to reduce bushfire risks to Victorians as quickly as possible.</w:t>
      </w:r>
    </w:p>
    <w:p>
      <w:pPr>
        <w:pStyle w:val="BodyText"/>
        <w:spacing w:before="9"/>
        <w:rPr>
          <w:sz w:val="20"/>
        </w:rPr>
      </w:pPr>
    </w:p>
    <w:p>
      <w:pPr>
        <w:pStyle w:val="BodyText"/>
        <w:spacing w:line="288" w:lineRule="auto" w:before="1"/>
        <w:ind w:left="292" w:right="374"/>
      </w:pPr>
      <w:r>
        <w:rPr/>
        <w:t>Given the broader public interest and policy implications involved, the Review proposes that the current Powerline Bushfire Safety Committee be tasked with preparing annual implementation reports to the Minister for Energy, Environment and Climate Change. The reports should provide information on the costs and risk reduction benefits of the program in light of practical implementation</w:t>
      </w:r>
      <w:r>
        <w:rPr>
          <w:spacing w:val="-3"/>
        </w:rPr>
        <w:t> </w:t>
      </w:r>
      <w:r>
        <w:rPr/>
        <w:t>experience,</w:t>
      </w:r>
      <w:r>
        <w:rPr>
          <w:spacing w:val="-2"/>
        </w:rPr>
        <w:t> </w:t>
      </w:r>
      <w:r>
        <w:rPr/>
        <w:t>and</w:t>
      </w:r>
      <w:r>
        <w:rPr>
          <w:spacing w:val="-5"/>
        </w:rPr>
        <w:t> </w:t>
      </w:r>
      <w:r>
        <w:rPr/>
        <w:t>an</w:t>
      </w:r>
      <w:r>
        <w:rPr>
          <w:spacing w:val="-3"/>
        </w:rPr>
        <w:t> </w:t>
      </w:r>
      <w:r>
        <w:rPr/>
        <w:t>assessment</w:t>
      </w:r>
      <w:r>
        <w:rPr>
          <w:spacing w:val="-4"/>
        </w:rPr>
        <w:t> </w:t>
      </w:r>
      <w:r>
        <w:rPr/>
        <w:t>of</w:t>
      </w:r>
      <w:r>
        <w:rPr>
          <w:spacing w:val="-1"/>
        </w:rPr>
        <w:t> </w:t>
      </w:r>
      <w:r>
        <w:rPr/>
        <w:t>emerging</w:t>
      </w:r>
      <w:r>
        <w:rPr>
          <w:spacing w:val="-1"/>
        </w:rPr>
        <w:t> </w:t>
      </w:r>
      <w:r>
        <w:rPr/>
        <w:t>issues</w:t>
      </w:r>
      <w:r>
        <w:rPr>
          <w:spacing w:val="-5"/>
        </w:rPr>
        <w:t> </w:t>
      </w:r>
      <w:r>
        <w:rPr/>
        <w:t>that</w:t>
      </w:r>
      <w:r>
        <w:rPr>
          <w:spacing w:val="-4"/>
        </w:rPr>
        <w:t> </w:t>
      </w:r>
      <w:r>
        <w:rPr/>
        <w:t>may</w:t>
      </w:r>
      <w:r>
        <w:rPr>
          <w:spacing w:val="-5"/>
        </w:rPr>
        <w:t> </w:t>
      </w:r>
      <w:r>
        <w:rPr/>
        <w:t>require</w:t>
      </w:r>
      <w:r>
        <w:rPr>
          <w:spacing w:val="-5"/>
        </w:rPr>
        <w:t> </w:t>
      </w:r>
      <w:r>
        <w:rPr/>
        <w:t>adjustments to program timing or technical requirements (such as exemptions from requirements on certain feeder lines where risks can be more cost-effectively met through alternative mechanisms other than REFCLs).</w:t>
      </w:r>
    </w:p>
    <w:p>
      <w:pPr>
        <w:pStyle w:val="BodyText"/>
        <w:spacing w:before="10"/>
        <w:rPr>
          <w:sz w:val="20"/>
        </w:rPr>
      </w:pPr>
    </w:p>
    <w:p>
      <w:pPr>
        <w:pStyle w:val="BodyText"/>
        <w:spacing w:line="288" w:lineRule="auto"/>
        <w:ind w:left="292" w:right="311"/>
      </w:pPr>
      <w:r>
        <w:rPr/>
        <w:t>The</w:t>
      </w:r>
      <w:r>
        <w:rPr>
          <w:spacing w:val="-3"/>
        </w:rPr>
        <w:t> </w:t>
      </w:r>
      <w:r>
        <w:rPr/>
        <w:t>first report should be provided by May 2018. While it is expected that this report would inform the</w:t>
      </w:r>
      <w:r>
        <w:rPr>
          <w:spacing w:val="-1"/>
        </w:rPr>
        <w:t> </w:t>
      </w:r>
      <w:r>
        <w:rPr/>
        <w:t>implementation</w:t>
      </w:r>
      <w:r>
        <w:rPr>
          <w:spacing w:val="-2"/>
        </w:rPr>
        <w:t> </w:t>
      </w:r>
      <w:r>
        <w:rPr/>
        <w:t>of</w:t>
      </w:r>
      <w:r>
        <w:rPr>
          <w:spacing w:val="-3"/>
        </w:rPr>
        <w:t> </w:t>
      </w:r>
      <w:r>
        <w:rPr/>
        <w:t>the</w:t>
      </w:r>
      <w:r>
        <w:rPr>
          <w:spacing w:val="-2"/>
        </w:rPr>
        <w:t> </w:t>
      </w:r>
      <w:r>
        <w:rPr/>
        <w:t>already</w:t>
      </w:r>
      <w:r>
        <w:rPr>
          <w:spacing w:val="-4"/>
        </w:rPr>
        <w:t> </w:t>
      </w:r>
      <w:r>
        <w:rPr/>
        <w:t>commenced</w:t>
      </w:r>
      <w:r>
        <w:rPr>
          <w:spacing w:val="-7"/>
        </w:rPr>
        <w:t> </w:t>
      </w:r>
      <w:r>
        <w:rPr/>
        <w:t>first</w:t>
      </w:r>
      <w:r>
        <w:rPr>
          <w:spacing w:val="-3"/>
        </w:rPr>
        <w:t> </w:t>
      </w:r>
      <w:r>
        <w:rPr/>
        <w:t>tranche</w:t>
      </w:r>
      <w:r>
        <w:rPr>
          <w:spacing w:val="-4"/>
        </w:rPr>
        <w:t> </w:t>
      </w:r>
      <w:r>
        <w:rPr/>
        <w:t>and</w:t>
      </w:r>
      <w:r>
        <w:rPr>
          <w:spacing w:val="-4"/>
        </w:rPr>
        <w:t> </w:t>
      </w:r>
      <w:r>
        <w:rPr/>
        <w:t>the</w:t>
      </w:r>
      <w:r>
        <w:rPr>
          <w:spacing w:val="-3"/>
        </w:rPr>
        <w:t> </w:t>
      </w:r>
      <w:r>
        <w:rPr/>
        <w:t>forthcoming</w:t>
      </w:r>
      <w:r>
        <w:rPr>
          <w:spacing w:val="-2"/>
        </w:rPr>
        <w:t> </w:t>
      </w:r>
      <w:r>
        <w:rPr/>
        <w:t>second</w:t>
      </w:r>
      <w:r>
        <w:rPr>
          <w:spacing w:val="-5"/>
        </w:rPr>
        <w:t> </w:t>
      </w:r>
      <w:r>
        <w:rPr/>
        <w:t>tranche, it should not delay the presentation of contingent project applications to the Australian Energy </w:t>
      </w:r>
      <w:r>
        <w:rPr>
          <w:spacing w:val="-2"/>
        </w:rPr>
        <w:t>Regulator.</w:t>
      </w:r>
    </w:p>
    <w:p>
      <w:pPr>
        <w:pStyle w:val="BodyText"/>
        <w:spacing w:before="10"/>
        <w:rPr>
          <w:sz w:val="20"/>
        </w:rPr>
      </w:pPr>
    </w:p>
    <w:p>
      <w:pPr>
        <w:spacing w:line="288" w:lineRule="auto" w:before="0"/>
        <w:ind w:left="292" w:right="338" w:firstLine="0"/>
        <w:jc w:val="left"/>
        <w:rPr>
          <w:sz w:val="22"/>
        </w:rPr>
      </w:pPr>
      <w:r>
        <w:rPr>
          <w:sz w:val="22"/>
        </w:rPr>
        <w:t>Separately, as proposed in the Review’s Interim Report, there is an urgent need for the </w:t>
      </w:r>
      <w:r>
        <w:rPr>
          <w:i/>
          <w:sz w:val="22"/>
        </w:rPr>
        <w:t>Electricity Distribution Code </w:t>
      </w:r>
      <w:r>
        <w:rPr>
          <w:sz w:val="22"/>
        </w:rPr>
        <w:t>that applies to electricity distribution businesses to be reviewed. A number of submissions</w:t>
      </w:r>
      <w:r>
        <w:rPr>
          <w:spacing w:val="-4"/>
          <w:sz w:val="22"/>
        </w:rPr>
        <w:t> </w:t>
      </w:r>
      <w:r>
        <w:rPr>
          <w:sz w:val="22"/>
        </w:rPr>
        <w:t>to</w:t>
      </w:r>
      <w:r>
        <w:rPr>
          <w:spacing w:val="-4"/>
          <w:sz w:val="22"/>
        </w:rPr>
        <w:t> </w:t>
      </w:r>
      <w:r>
        <w:rPr>
          <w:sz w:val="22"/>
        </w:rPr>
        <w:t>the</w:t>
      </w:r>
      <w:r>
        <w:rPr>
          <w:spacing w:val="-2"/>
          <w:sz w:val="22"/>
        </w:rPr>
        <w:t> </w:t>
      </w:r>
      <w:r>
        <w:rPr>
          <w:sz w:val="22"/>
        </w:rPr>
        <w:t>Review</w:t>
      </w:r>
      <w:r>
        <w:rPr>
          <w:spacing w:val="-5"/>
          <w:sz w:val="22"/>
        </w:rPr>
        <w:t> </w:t>
      </w:r>
      <w:r>
        <w:rPr>
          <w:sz w:val="22"/>
        </w:rPr>
        <w:t>raised</w:t>
      </w:r>
      <w:r>
        <w:rPr>
          <w:spacing w:val="-2"/>
          <w:sz w:val="22"/>
        </w:rPr>
        <w:t> </w:t>
      </w:r>
      <w:r>
        <w:rPr>
          <w:sz w:val="22"/>
        </w:rPr>
        <w:t>concerns</w:t>
      </w:r>
      <w:r>
        <w:rPr>
          <w:spacing w:val="-4"/>
          <w:sz w:val="22"/>
        </w:rPr>
        <w:t> </w:t>
      </w:r>
      <w:r>
        <w:rPr>
          <w:sz w:val="22"/>
        </w:rPr>
        <w:t>that</w:t>
      </w:r>
      <w:r>
        <w:rPr>
          <w:spacing w:val="-3"/>
          <w:sz w:val="22"/>
        </w:rPr>
        <w:t> </w:t>
      </w:r>
      <w:r>
        <w:rPr>
          <w:sz w:val="22"/>
        </w:rPr>
        <w:t>the</w:t>
      </w:r>
      <w:r>
        <w:rPr>
          <w:spacing w:val="-2"/>
          <w:sz w:val="22"/>
        </w:rPr>
        <w:t> </w:t>
      </w:r>
      <w:r>
        <w:rPr>
          <w:sz w:val="22"/>
        </w:rPr>
        <w:t>requirements</w:t>
      </w:r>
      <w:r>
        <w:rPr>
          <w:spacing w:val="-1"/>
          <w:sz w:val="22"/>
        </w:rPr>
        <w:t> </w:t>
      </w:r>
      <w:r>
        <w:rPr>
          <w:sz w:val="22"/>
        </w:rPr>
        <w:t>of</w:t>
      </w:r>
      <w:r>
        <w:rPr>
          <w:spacing w:val="-3"/>
          <w:sz w:val="22"/>
        </w:rPr>
        <w:t> </w:t>
      </w:r>
      <w:r>
        <w:rPr>
          <w:sz w:val="22"/>
        </w:rPr>
        <w:t>the </w:t>
      </w:r>
      <w:r>
        <w:rPr>
          <w:i/>
          <w:sz w:val="22"/>
        </w:rPr>
        <w:t>Electricity</w:t>
      </w:r>
      <w:r>
        <w:rPr>
          <w:i/>
          <w:spacing w:val="-4"/>
          <w:sz w:val="22"/>
        </w:rPr>
        <w:t> </w:t>
      </w:r>
      <w:r>
        <w:rPr>
          <w:i/>
          <w:sz w:val="22"/>
        </w:rPr>
        <w:t>Safety</w:t>
      </w:r>
      <w:r>
        <w:rPr>
          <w:i/>
          <w:spacing w:val="-4"/>
          <w:sz w:val="22"/>
        </w:rPr>
        <w:t> </w:t>
      </w:r>
      <w:r>
        <w:rPr>
          <w:i/>
          <w:sz w:val="22"/>
        </w:rPr>
        <w:t>(Bushfire Mitigation) Regulations 2013</w:t>
      </w:r>
      <w:r>
        <w:rPr>
          <w:sz w:val="22"/>
        </w:rPr>
        <w:t>, which effectively mandate the adoption of REFCLs, will cause them to breach some of the provisions of the </w:t>
      </w:r>
      <w:r>
        <w:rPr>
          <w:i/>
          <w:sz w:val="22"/>
        </w:rPr>
        <w:t>Electricity Distribution Code</w:t>
      </w:r>
      <w:r>
        <w:rPr>
          <w:sz w:val="22"/>
        </w:rPr>
        <w:t>.</w:t>
      </w:r>
    </w:p>
    <w:p>
      <w:pPr>
        <w:pStyle w:val="BodyText"/>
        <w:spacing w:before="10"/>
        <w:rPr>
          <w:sz w:val="20"/>
        </w:rPr>
      </w:pPr>
    </w:p>
    <w:p>
      <w:pPr>
        <w:pStyle w:val="BodyText"/>
        <w:spacing w:line="288" w:lineRule="auto"/>
        <w:ind w:left="292" w:right="338"/>
      </w:pPr>
      <w:r>
        <w:rPr/>
        <w:t>The</w:t>
      </w:r>
      <w:r>
        <w:rPr>
          <w:spacing w:val="-5"/>
        </w:rPr>
        <w:t> </w:t>
      </w:r>
      <w:r>
        <w:rPr/>
        <w:t>potential</w:t>
      </w:r>
      <w:r>
        <w:rPr>
          <w:spacing w:val="-4"/>
        </w:rPr>
        <w:t> </w:t>
      </w:r>
      <w:r>
        <w:rPr/>
        <w:t>inconsistency</w:t>
      </w:r>
      <w:r>
        <w:rPr>
          <w:spacing w:val="-5"/>
        </w:rPr>
        <w:t> </w:t>
      </w:r>
      <w:r>
        <w:rPr/>
        <w:t>between</w:t>
      </w:r>
      <w:r>
        <w:rPr>
          <w:spacing w:val="-3"/>
        </w:rPr>
        <w:t> </w:t>
      </w:r>
      <w:r>
        <w:rPr/>
        <w:t>the</w:t>
      </w:r>
      <w:r>
        <w:rPr>
          <w:spacing w:val="-3"/>
        </w:rPr>
        <w:t> </w:t>
      </w:r>
      <w:r>
        <w:rPr/>
        <w:t>regulatory</w:t>
      </w:r>
      <w:r>
        <w:rPr>
          <w:spacing w:val="-5"/>
        </w:rPr>
        <w:t> </w:t>
      </w:r>
      <w:r>
        <w:rPr/>
        <w:t>requirements</w:t>
      </w:r>
      <w:r>
        <w:rPr>
          <w:spacing w:val="-2"/>
        </w:rPr>
        <w:t> </w:t>
      </w:r>
      <w:r>
        <w:rPr/>
        <w:t>arises</w:t>
      </w:r>
      <w:r>
        <w:rPr>
          <w:spacing w:val="-3"/>
        </w:rPr>
        <w:t> </w:t>
      </w:r>
      <w:r>
        <w:rPr/>
        <w:t>because</w:t>
      </w:r>
      <w:r>
        <w:rPr>
          <w:spacing w:val="-3"/>
        </w:rPr>
        <w:t> </w:t>
      </w:r>
      <w:r>
        <w:rPr/>
        <w:t>the</w:t>
      </w:r>
      <w:r>
        <w:rPr>
          <w:spacing w:val="-5"/>
        </w:rPr>
        <w:t> </w:t>
      </w:r>
      <w:r>
        <w:rPr/>
        <w:t>operation</w:t>
      </w:r>
      <w:r>
        <w:rPr>
          <w:spacing w:val="-3"/>
        </w:rPr>
        <w:t> </w:t>
      </w:r>
      <w:r>
        <w:rPr/>
        <w:t>of</w:t>
      </w:r>
      <w:r>
        <w:rPr>
          <w:spacing w:val="-1"/>
        </w:rPr>
        <w:t> </w:t>
      </w:r>
      <w:r>
        <w:rPr/>
        <w:t>a REFCL</w:t>
      </w:r>
      <w:r>
        <w:rPr>
          <w:spacing w:val="-3"/>
        </w:rPr>
        <w:t> </w:t>
      </w:r>
      <w:r>
        <w:rPr/>
        <w:t>following a</w:t>
      </w:r>
      <w:r>
        <w:rPr>
          <w:spacing w:val="-3"/>
        </w:rPr>
        <w:t> </w:t>
      </w:r>
      <w:r>
        <w:rPr/>
        <w:t>single-phase</w:t>
      </w:r>
      <w:r>
        <w:rPr>
          <w:spacing w:val="-3"/>
        </w:rPr>
        <w:t> </w:t>
      </w:r>
      <w:r>
        <w:rPr/>
        <w:t>fault leads</w:t>
      </w:r>
      <w:r>
        <w:rPr>
          <w:spacing w:val="-3"/>
        </w:rPr>
        <w:t> </w:t>
      </w:r>
      <w:r>
        <w:rPr/>
        <w:t>to</w:t>
      </w:r>
      <w:r>
        <w:rPr>
          <w:spacing w:val="-3"/>
        </w:rPr>
        <w:t> </w:t>
      </w:r>
      <w:r>
        <w:rPr/>
        <w:t>an</w:t>
      </w:r>
      <w:r>
        <w:rPr>
          <w:spacing w:val="-3"/>
        </w:rPr>
        <w:t> </w:t>
      </w:r>
      <w:r>
        <w:rPr/>
        <w:t>increase</w:t>
      </w:r>
      <w:r>
        <w:rPr>
          <w:spacing w:val="-3"/>
        </w:rPr>
        <w:t> </w:t>
      </w:r>
      <w:r>
        <w:rPr/>
        <w:t>in</w:t>
      </w:r>
      <w:r>
        <w:rPr>
          <w:spacing w:val="-1"/>
        </w:rPr>
        <w:t> </w:t>
      </w:r>
      <w:r>
        <w:rPr/>
        <w:t>voltage levels at</w:t>
      </w:r>
      <w:r>
        <w:rPr>
          <w:spacing w:val="-2"/>
        </w:rPr>
        <w:t> </w:t>
      </w:r>
      <w:r>
        <w:rPr/>
        <w:t>the</w:t>
      </w:r>
      <w:r>
        <w:rPr>
          <w:spacing w:val="-3"/>
        </w:rPr>
        <w:t> </w:t>
      </w:r>
      <w:r>
        <w:rPr/>
        <w:t>point</w:t>
      </w:r>
      <w:r>
        <w:rPr>
          <w:spacing w:val="-2"/>
        </w:rPr>
        <w:t> </w:t>
      </w:r>
      <w:r>
        <w:rPr/>
        <w:t>of supply</w:t>
      </w:r>
      <w:r>
        <w:rPr>
          <w:spacing w:val="-3"/>
        </w:rPr>
        <w:t> </w:t>
      </w:r>
      <w:r>
        <w:rPr/>
        <w:t>to high voltage customers, which exceeds the permissible level as currently specified in Clause 4.2.2 of the </w:t>
      </w:r>
      <w:r>
        <w:rPr>
          <w:i/>
        </w:rPr>
        <w:t>Electricity Distribution Code</w:t>
      </w:r>
      <w:r>
        <w:rPr/>
        <w:t>. The Essential Service Commission has committed to a review of the relevant parts of the Code to ensure it is consistent with the bushfire mitigation regulations.</w:t>
      </w:r>
    </w:p>
    <w:p>
      <w:pPr>
        <w:pStyle w:val="BodyText"/>
        <w:rPr>
          <w:sz w:val="24"/>
        </w:rPr>
      </w:pPr>
    </w:p>
    <w:p>
      <w:pPr>
        <w:pStyle w:val="Heading6"/>
        <w:spacing w:before="146"/>
        <w:ind w:left="292"/>
      </w:pPr>
      <w:r>
        <w:rPr/>
        <w:t>Future</w:t>
      </w:r>
      <w:r>
        <w:rPr>
          <w:spacing w:val="-3"/>
        </w:rPr>
        <w:t> </w:t>
      </w:r>
      <w:r>
        <w:rPr/>
        <w:t>research</w:t>
      </w:r>
      <w:r>
        <w:rPr>
          <w:spacing w:val="-5"/>
        </w:rPr>
        <w:t> </w:t>
      </w:r>
      <w:r>
        <w:rPr/>
        <w:t>and</w:t>
      </w:r>
      <w:r>
        <w:rPr>
          <w:spacing w:val="-5"/>
        </w:rPr>
        <w:t> </w:t>
      </w:r>
      <w:r>
        <w:rPr>
          <w:spacing w:val="-2"/>
        </w:rPr>
        <w:t>development</w:t>
      </w:r>
    </w:p>
    <w:p>
      <w:pPr>
        <w:pStyle w:val="BodyText"/>
        <w:spacing w:line="288" w:lineRule="auto" w:before="174"/>
        <w:ind w:left="292" w:right="311"/>
      </w:pPr>
      <w:r>
        <w:rPr/>
        <w:t>The $10 million in funding for research and development provided through the PBSP has helped drive</w:t>
      </w:r>
      <w:r>
        <w:rPr>
          <w:spacing w:val="-2"/>
        </w:rPr>
        <w:t> </w:t>
      </w:r>
      <w:r>
        <w:rPr/>
        <w:t>innovations</w:t>
      </w:r>
      <w:r>
        <w:rPr>
          <w:spacing w:val="-2"/>
        </w:rPr>
        <w:t> </w:t>
      </w:r>
      <w:r>
        <w:rPr/>
        <w:t>that have</w:t>
      </w:r>
      <w:r>
        <w:rPr>
          <w:spacing w:val="-2"/>
        </w:rPr>
        <w:t> </w:t>
      </w:r>
      <w:r>
        <w:rPr/>
        <w:t>placed</w:t>
      </w:r>
      <w:r>
        <w:rPr>
          <w:spacing w:val="-2"/>
        </w:rPr>
        <w:t> </w:t>
      </w:r>
      <w:r>
        <w:rPr/>
        <w:t>Victoria</w:t>
      </w:r>
      <w:r>
        <w:rPr>
          <w:spacing w:val="-2"/>
        </w:rPr>
        <w:t> </w:t>
      </w:r>
      <w:r>
        <w:rPr/>
        <w:t>at</w:t>
      </w:r>
      <w:r>
        <w:rPr>
          <w:spacing w:val="-5"/>
        </w:rPr>
        <w:t> </w:t>
      </w:r>
      <w:r>
        <w:rPr/>
        <w:t>the</w:t>
      </w:r>
      <w:r>
        <w:rPr>
          <w:spacing w:val="-4"/>
        </w:rPr>
        <w:t> </w:t>
      </w:r>
      <w:r>
        <w:rPr/>
        <w:t>forefront of new</w:t>
      </w:r>
      <w:r>
        <w:rPr>
          <w:spacing w:val="-5"/>
        </w:rPr>
        <w:t> </w:t>
      </w:r>
      <w:r>
        <w:rPr/>
        <w:t>approaches</w:t>
      </w:r>
      <w:r>
        <w:rPr>
          <w:spacing w:val="-1"/>
        </w:rPr>
        <w:t> </w:t>
      </w:r>
      <w:r>
        <w:rPr/>
        <w:t>to</w:t>
      </w:r>
      <w:r>
        <w:rPr>
          <w:spacing w:val="-4"/>
        </w:rPr>
        <w:t> </w:t>
      </w:r>
      <w:r>
        <w:rPr/>
        <w:t>the</w:t>
      </w:r>
      <w:r>
        <w:rPr>
          <w:spacing w:val="-7"/>
        </w:rPr>
        <w:t> </w:t>
      </w:r>
      <w:r>
        <w:rPr/>
        <w:t>management</w:t>
      </w:r>
    </w:p>
    <w:p>
      <w:pPr>
        <w:spacing w:after="0" w:line="288" w:lineRule="auto"/>
        <w:sectPr>
          <w:pgSz w:w="11910" w:h="16850"/>
          <w:pgMar w:header="465" w:footer="880" w:top="660" w:bottom="1060" w:left="840" w:right="820"/>
        </w:sectPr>
      </w:pPr>
    </w:p>
    <w:p>
      <w:pPr>
        <w:pStyle w:val="BodyText"/>
        <w:rPr>
          <w:sz w:val="20"/>
        </w:rPr>
      </w:pPr>
    </w:p>
    <w:p>
      <w:pPr>
        <w:pStyle w:val="BodyText"/>
        <w:rPr>
          <w:sz w:val="20"/>
        </w:rPr>
      </w:pPr>
    </w:p>
    <w:p>
      <w:pPr>
        <w:pStyle w:val="BodyText"/>
        <w:spacing w:before="4"/>
      </w:pPr>
    </w:p>
    <w:p>
      <w:pPr>
        <w:pStyle w:val="BodyText"/>
        <w:spacing w:line="288" w:lineRule="auto"/>
        <w:ind w:left="292" w:right="311"/>
      </w:pPr>
      <w:r>
        <w:rPr/>
        <w:t>of bushfire</w:t>
      </w:r>
      <w:r>
        <w:rPr>
          <w:spacing w:val="-4"/>
        </w:rPr>
        <w:t> </w:t>
      </w:r>
      <w:r>
        <w:rPr/>
        <w:t>risk.</w:t>
      </w:r>
      <w:r>
        <w:rPr>
          <w:spacing w:val="-7"/>
        </w:rPr>
        <w:t> </w:t>
      </w:r>
      <w:r>
        <w:rPr/>
        <w:t>With</w:t>
      </w:r>
      <w:r>
        <w:rPr>
          <w:spacing w:val="-4"/>
        </w:rPr>
        <w:t> </w:t>
      </w:r>
      <w:r>
        <w:rPr/>
        <w:t>this Program</w:t>
      </w:r>
      <w:r>
        <w:rPr>
          <w:spacing w:val="-3"/>
        </w:rPr>
        <w:t> </w:t>
      </w:r>
      <w:r>
        <w:rPr/>
        <w:t>now</w:t>
      </w:r>
      <w:r>
        <w:rPr>
          <w:spacing w:val="-5"/>
        </w:rPr>
        <w:t> </w:t>
      </w:r>
      <w:r>
        <w:rPr/>
        <w:t>largely</w:t>
      </w:r>
      <w:r>
        <w:rPr>
          <w:spacing w:val="-4"/>
        </w:rPr>
        <w:t> </w:t>
      </w:r>
      <w:r>
        <w:rPr/>
        <w:t>complete,</w:t>
      </w:r>
      <w:r>
        <w:rPr>
          <w:spacing w:val="-2"/>
        </w:rPr>
        <w:t> </w:t>
      </w:r>
      <w:r>
        <w:rPr/>
        <w:t>it</w:t>
      </w:r>
      <w:r>
        <w:rPr>
          <w:spacing w:val="-3"/>
        </w:rPr>
        <w:t> </w:t>
      </w:r>
      <w:r>
        <w:rPr/>
        <w:t>is</w:t>
      </w:r>
      <w:r>
        <w:rPr>
          <w:spacing w:val="-1"/>
        </w:rPr>
        <w:t> </w:t>
      </w:r>
      <w:r>
        <w:rPr/>
        <w:t>timely</w:t>
      </w:r>
      <w:r>
        <w:rPr>
          <w:spacing w:val="-4"/>
        </w:rPr>
        <w:t> </w:t>
      </w:r>
      <w:r>
        <w:rPr/>
        <w:t>to</w:t>
      </w:r>
      <w:r>
        <w:rPr>
          <w:spacing w:val="-2"/>
        </w:rPr>
        <w:t> </w:t>
      </w:r>
      <w:r>
        <w:rPr/>
        <w:t>ask</w:t>
      </w:r>
      <w:r>
        <w:rPr>
          <w:spacing w:val="-1"/>
        </w:rPr>
        <w:t> </w:t>
      </w:r>
      <w:r>
        <w:rPr/>
        <w:t>whether</w:t>
      </w:r>
      <w:r>
        <w:rPr>
          <w:spacing w:val="-1"/>
        </w:rPr>
        <w:t> </w:t>
      </w:r>
      <w:r>
        <w:rPr/>
        <w:t>there</w:t>
      </w:r>
      <w:r>
        <w:rPr>
          <w:spacing w:val="-2"/>
        </w:rPr>
        <w:t> </w:t>
      </w:r>
      <w:r>
        <w:rPr/>
        <w:t>is</w:t>
      </w:r>
      <w:r>
        <w:rPr>
          <w:spacing w:val="-4"/>
        </w:rPr>
        <w:t> </w:t>
      </w:r>
      <w:r>
        <w:rPr/>
        <w:t>a</w:t>
      </w:r>
      <w:r>
        <w:rPr>
          <w:spacing w:val="-4"/>
        </w:rPr>
        <w:t> </w:t>
      </w:r>
      <w:r>
        <w:rPr/>
        <w:t>case for continued research and development funding by the Victorian Government.</w:t>
      </w:r>
    </w:p>
    <w:p>
      <w:pPr>
        <w:pStyle w:val="BodyText"/>
        <w:spacing w:before="11"/>
        <w:rPr>
          <w:sz w:val="20"/>
        </w:rPr>
      </w:pPr>
    </w:p>
    <w:p>
      <w:pPr>
        <w:pStyle w:val="BodyText"/>
        <w:ind w:left="292"/>
      </w:pPr>
      <w:r>
        <w:rPr/>
        <w:t>There</w:t>
      </w:r>
      <w:r>
        <w:rPr>
          <w:spacing w:val="-7"/>
        </w:rPr>
        <w:t> </w:t>
      </w:r>
      <w:r>
        <w:rPr/>
        <w:t>are</w:t>
      </w:r>
      <w:r>
        <w:rPr>
          <w:spacing w:val="-5"/>
        </w:rPr>
        <w:t> </w:t>
      </w:r>
      <w:r>
        <w:rPr/>
        <w:t>several</w:t>
      </w:r>
      <w:r>
        <w:rPr>
          <w:spacing w:val="-7"/>
        </w:rPr>
        <w:t> </w:t>
      </w:r>
      <w:r>
        <w:rPr/>
        <w:t>relevant</w:t>
      </w:r>
      <w:r>
        <w:rPr>
          <w:spacing w:val="-4"/>
        </w:rPr>
        <w:t> </w:t>
      </w:r>
      <w:r>
        <w:rPr/>
        <w:t>considerations</w:t>
      </w:r>
      <w:r>
        <w:rPr>
          <w:spacing w:val="-7"/>
        </w:rPr>
        <w:t> </w:t>
      </w:r>
      <w:r>
        <w:rPr/>
        <w:t>to</w:t>
      </w:r>
      <w:r>
        <w:rPr>
          <w:spacing w:val="-7"/>
        </w:rPr>
        <w:t> </w:t>
      </w:r>
      <w:r>
        <w:rPr/>
        <w:t>take</w:t>
      </w:r>
      <w:r>
        <w:rPr>
          <w:spacing w:val="-9"/>
        </w:rPr>
        <w:t> </w:t>
      </w:r>
      <w:r>
        <w:rPr/>
        <w:t>into</w:t>
      </w:r>
      <w:r>
        <w:rPr>
          <w:spacing w:val="-4"/>
        </w:rPr>
        <w:t> </w:t>
      </w:r>
      <w:r>
        <w:rPr/>
        <w:t>account,</w:t>
      </w:r>
      <w:r>
        <w:rPr>
          <w:spacing w:val="-5"/>
        </w:rPr>
        <w:t> </w:t>
      </w:r>
      <w:r>
        <w:rPr>
          <w:spacing w:val="-2"/>
        </w:rPr>
        <w:t>including:</w:t>
      </w:r>
    </w:p>
    <w:p>
      <w:pPr>
        <w:pStyle w:val="BodyText"/>
        <w:spacing w:before="7"/>
        <w:rPr>
          <w:sz w:val="26"/>
        </w:rPr>
      </w:pPr>
    </w:p>
    <w:p>
      <w:pPr>
        <w:pStyle w:val="ListParagraph"/>
        <w:numPr>
          <w:ilvl w:val="1"/>
          <w:numId w:val="9"/>
        </w:numPr>
        <w:tabs>
          <w:tab w:pos="794" w:val="left" w:leader="none"/>
        </w:tabs>
        <w:spacing w:line="240" w:lineRule="auto" w:before="0" w:after="0"/>
        <w:ind w:left="794" w:right="0" w:hanging="360"/>
        <w:jc w:val="left"/>
        <w:rPr>
          <w:sz w:val="22"/>
        </w:rPr>
      </w:pPr>
      <w:r>
        <w:rPr>
          <w:sz w:val="22"/>
        </w:rPr>
        <w:t>Is</w:t>
      </w:r>
      <w:r>
        <w:rPr>
          <w:spacing w:val="-7"/>
          <w:sz w:val="22"/>
        </w:rPr>
        <w:t> </w:t>
      </w:r>
      <w:r>
        <w:rPr>
          <w:sz w:val="22"/>
        </w:rPr>
        <w:t>there</w:t>
      </w:r>
      <w:r>
        <w:rPr>
          <w:spacing w:val="-6"/>
          <w:sz w:val="22"/>
        </w:rPr>
        <w:t> </w:t>
      </w:r>
      <w:r>
        <w:rPr>
          <w:sz w:val="22"/>
        </w:rPr>
        <w:t>scope</w:t>
      </w:r>
      <w:r>
        <w:rPr>
          <w:spacing w:val="-8"/>
          <w:sz w:val="22"/>
        </w:rPr>
        <w:t> </w:t>
      </w:r>
      <w:r>
        <w:rPr>
          <w:sz w:val="22"/>
        </w:rPr>
        <w:t>for</w:t>
      </w:r>
      <w:r>
        <w:rPr>
          <w:spacing w:val="-5"/>
          <w:sz w:val="22"/>
        </w:rPr>
        <w:t> </w:t>
      </w:r>
      <w:r>
        <w:rPr>
          <w:sz w:val="22"/>
        </w:rPr>
        <w:t>further</w:t>
      </w:r>
      <w:r>
        <w:rPr>
          <w:spacing w:val="-5"/>
          <w:sz w:val="22"/>
        </w:rPr>
        <w:t> </w:t>
      </w:r>
      <w:r>
        <w:rPr>
          <w:sz w:val="22"/>
        </w:rPr>
        <w:t>technological</w:t>
      </w:r>
      <w:r>
        <w:rPr>
          <w:spacing w:val="-5"/>
          <w:sz w:val="22"/>
        </w:rPr>
        <w:t> </w:t>
      </w:r>
      <w:r>
        <w:rPr>
          <w:sz w:val="22"/>
        </w:rPr>
        <w:t>innovation</w:t>
      </w:r>
      <w:r>
        <w:rPr>
          <w:spacing w:val="-4"/>
          <w:sz w:val="22"/>
        </w:rPr>
        <w:t> </w:t>
      </w:r>
      <w:r>
        <w:rPr>
          <w:sz w:val="22"/>
        </w:rPr>
        <w:t>to</w:t>
      </w:r>
      <w:r>
        <w:rPr>
          <w:spacing w:val="-6"/>
          <w:sz w:val="22"/>
        </w:rPr>
        <w:t> </w:t>
      </w:r>
      <w:r>
        <w:rPr>
          <w:sz w:val="22"/>
        </w:rPr>
        <w:t>address</w:t>
      </w:r>
      <w:r>
        <w:rPr>
          <w:spacing w:val="-6"/>
          <w:sz w:val="22"/>
        </w:rPr>
        <w:t> </w:t>
      </w:r>
      <w:r>
        <w:rPr>
          <w:sz w:val="22"/>
        </w:rPr>
        <w:t>bushfire</w:t>
      </w:r>
      <w:r>
        <w:rPr>
          <w:spacing w:val="-6"/>
          <w:sz w:val="22"/>
        </w:rPr>
        <w:t> </w:t>
      </w:r>
      <w:r>
        <w:rPr>
          <w:spacing w:val="-2"/>
          <w:sz w:val="22"/>
        </w:rPr>
        <w:t>risk?</w:t>
      </w:r>
    </w:p>
    <w:p>
      <w:pPr>
        <w:pStyle w:val="BodyText"/>
        <w:spacing w:before="7"/>
        <w:rPr>
          <w:sz w:val="26"/>
        </w:rPr>
      </w:pPr>
    </w:p>
    <w:p>
      <w:pPr>
        <w:pStyle w:val="ListParagraph"/>
        <w:numPr>
          <w:ilvl w:val="1"/>
          <w:numId w:val="9"/>
        </w:numPr>
        <w:tabs>
          <w:tab w:pos="794" w:val="left" w:leader="none"/>
        </w:tabs>
        <w:spacing w:line="288" w:lineRule="auto" w:before="0" w:after="0"/>
        <w:ind w:left="794" w:right="437" w:hanging="361"/>
        <w:jc w:val="left"/>
        <w:rPr>
          <w:sz w:val="22"/>
        </w:rPr>
      </w:pPr>
      <w:r>
        <w:rPr>
          <w:sz w:val="22"/>
        </w:rPr>
        <w:t>Would</w:t>
      </w:r>
      <w:r>
        <w:rPr>
          <w:spacing w:val="-6"/>
          <w:sz w:val="22"/>
        </w:rPr>
        <w:t> </w:t>
      </w:r>
      <w:r>
        <w:rPr>
          <w:sz w:val="22"/>
        </w:rPr>
        <w:t>further</w:t>
      </w:r>
      <w:r>
        <w:rPr>
          <w:spacing w:val="-3"/>
          <w:sz w:val="22"/>
        </w:rPr>
        <w:t> </w:t>
      </w:r>
      <w:r>
        <w:rPr>
          <w:sz w:val="22"/>
        </w:rPr>
        <w:t>research</w:t>
      </w:r>
      <w:r>
        <w:rPr>
          <w:spacing w:val="-2"/>
          <w:sz w:val="22"/>
        </w:rPr>
        <w:t> </w:t>
      </w:r>
      <w:r>
        <w:rPr>
          <w:sz w:val="22"/>
        </w:rPr>
        <w:t>and</w:t>
      </w:r>
      <w:r>
        <w:rPr>
          <w:spacing w:val="-2"/>
          <w:sz w:val="22"/>
        </w:rPr>
        <w:t> </w:t>
      </w:r>
      <w:r>
        <w:rPr>
          <w:sz w:val="22"/>
        </w:rPr>
        <w:t>development have</w:t>
      </w:r>
      <w:r>
        <w:rPr>
          <w:spacing w:val="-2"/>
          <w:sz w:val="22"/>
        </w:rPr>
        <w:t> </w:t>
      </w:r>
      <w:r>
        <w:rPr>
          <w:sz w:val="22"/>
        </w:rPr>
        <w:t>a</w:t>
      </w:r>
      <w:r>
        <w:rPr>
          <w:spacing w:val="-3"/>
          <w:sz w:val="22"/>
        </w:rPr>
        <w:t> </w:t>
      </w:r>
      <w:r>
        <w:rPr>
          <w:sz w:val="22"/>
        </w:rPr>
        <w:t>sufficient</w:t>
      </w:r>
      <w:r>
        <w:rPr>
          <w:spacing w:val="-3"/>
          <w:sz w:val="22"/>
        </w:rPr>
        <w:t> </w:t>
      </w:r>
      <w:r>
        <w:rPr>
          <w:sz w:val="22"/>
        </w:rPr>
        <w:t>public</w:t>
      </w:r>
      <w:r>
        <w:rPr>
          <w:spacing w:val="-4"/>
          <w:sz w:val="22"/>
        </w:rPr>
        <w:t> </w:t>
      </w:r>
      <w:r>
        <w:rPr>
          <w:sz w:val="22"/>
        </w:rPr>
        <w:t>good</w:t>
      </w:r>
      <w:r>
        <w:rPr>
          <w:spacing w:val="-4"/>
          <w:sz w:val="22"/>
        </w:rPr>
        <w:t> </w:t>
      </w:r>
      <w:r>
        <w:rPr>
          <w:sz w:val="22"/>
        </w:rPr>
        <w:t>component</w:t>
      </w:r>
      <w:r>
        <w:rPr>
          <w:spacing w:val="-3"/>
          <w:sz w:val="22"/>
        </w:rPr>
        <w:t> </w:t>
      </w:r>
      <w:r>
        <w:rPr>
          <w:sz w:val="22"/>
        </w:rPr>
        <w:t>to</w:t>
      </w:r>
      <w:r>
        <w:rPr>
          <w:spacing w:val="-4"/>
          <w:sz w:val="22"/>
        </w:rPr>
        <w:t> </w:t>
      </w:r>
      <w:r>
        <w:rPr>
          <w:sz w:val="22"/>
        </w:rPr>
        <w:t>warrant government funding?</w:t>
      </w:r>
    </w:p>
    <w:p>
      <w:pPr>
        <w:pStyle w:val="BodyText"/>
        <w:spacing w:before="2"/>
      </w:pPr>
    </w:p>
    <w:p>
      <w:pPr>
        <w:pStyle w:val="ListParagraph"/>
        <w:numPr>
          <w:ilvl w:val="1"/>
          <w:numId w:val="9"/>
        </w:numPr>
        <w:tabs>
          <w:tab w:pos="794" w:val="left" w:leader="none"/>
        </w:tabs>
        <w:spacing w:line="288" w:lineRule="auto" w:before="0" w:after="0"/>
        <w:ind w:left="794" w:right="1269" w:hanging="361"/>
        <w:jc w:val="left"/>
        <w:rPr>
          <w:sz w:val="22"/>
        </w:rPr>
      </w:pPr>
      <w:r>
        <w:rPr>
          <w:sz w:val="22"/>
        </w:rPr>
        <w:t>What</w:t>
      </w:r>
      <w:r>
        <w:rPr>
          <w:spacing w:val="-4"/>
          <w:sz w:val="22"/>
        </w:rPr>
        <w:t> </w:t>
      </w:r>
      <w:r>
        <w:rPr>
          <w:sz w:val="22"/>
        </w:rPr>
        <w:t>arrangements</w:t>
      </w:r>
      <w:r>
        <w:rPr>
          <w:spacing w:val="-5"/>
          <w:sz w:val="22"/>
        </w:rPr>
        <w:t> </w:t>
      </w:r>
      <w:r>
        <w:rPr>
          <w:sz w:val="22"/>
        </w:rPr>
        <w:t>should</w:t>
      </w:r>
      <w:r>
        <w:rPr>
          <w:spacing w:val="-1"/>
          <w:sz w:val="22"/>
        </w:rPr>
        <w:t> </w:t>
      </w:r>
      <w:r>
        <w:rPr>
          <w:sz w:val="22"/>
        </w:rPr>
        <w:t>be</w:t>
      </w:r>
      <w:r>
        <w:rPr>
          <w:spacing w:val="-3"/>
          <w:sz w:val="22"/>
        </w:rPr>
        <w:t> </w:t>
      </w:r>
      <w:r>
        <w:rPr>
          <w:sz w:val="22"/>
        </w:rPr>
        <w:t>considered</w:t>
      </w:r>
      <w:r>
        <w:rPr>
          <w:spacing w:val="-5"/>
          <w:sz w:val="22"/>
        </w:rPr>
        <w:t> </w:t>
      </w:r>
      <w:r>
        <w:rPr>
          <w:sz w:val="22"/>
        </w:rPr>
        <w:t>to</w:t>
      </w:r>
      <w:r>
        <w:rPr>
          <w:spacing w:val="-7"/>
          <w:sz w:val="22"/>
        </w:rPr>
        <w:t> </w:t>
      </w:r>
      <w:r>
        <w:rPr>
          <w:sz w:val="22"/>
        </w:rPr>
        <w:t>maximise</w:t>
      </w:r>
      <w:r>
        <w:rPr>
          <w:spacing w:val="-3"/>
          <w:sz w:val="22"/>
        </w:rPr>
        <w:t> </w:t>
      </w:r>
      <w:r>
        <w:rPr>
          <w:sz w:val="22"/>
        </w:rPr>
        <w:t>involvement</w:t>
      </w:r>
      <w:r>
        <w:rPr>
          <w:spacing w:val="-4"/>
          <w:sz w:val="22"/>
        </w:rPr>
        <w:t> </w:t>
      </w:r>
      <w:r>
        <w:rPr>
          <w:sz w:val="22"/>
        </w:rPr>
        <w:t>from</w:t>
      </w:r>
      <w:r>
        <w:rPr>
          <w:spacing w:val="-4"/>
          <w:sz w:val="22"/>
        </w:rPr>
        <w:t> </w:t>
      </w:r>
      <w:r>
        <w:rPr>
          <w:sz w:val="22"/>
        </w:rPr>
        <w:t>distribution </w:t>
      </w:r>
      <w:r>
        <w:rPr>
          <w:spacing w:val="-2"/>
          <w:sz w:val="22"/>
        </w:rPr>
        <w:t>businesses?</w:t>
      </w:r>
    </w:p>
    <w:p>
      <w:pPr>
        <w:pStyle w:val="BodyText"/>
        <w:spacing w:before="7"/>
        <w:rPr>
          <w:sz w:val="20"/>
        </w:rPr>
      </w:pPr>
    </w:p>
    <w:p>
      <w:pPr>
        <w:pStyle w:val="BodyText"/>
        <w:spacing w:line="288" w:lineRule="auto" w:before="1"/>
        <w:ind w:left="292" w:right="311"/>
      </w:pPr>
      <w:r>
        <w:rPr/>
        <w:t>The information that has been provided to the Review indicates that the potential for technical innovation</w:t>
      </w:r>
      <w:r>
        <w:rPr>
          <w:spacing w:val="-3"/>
        </w:rPr>
        <w:t> </w:t>
      </w:r>
      <w:r>
        <w:rPr/>
        <w:t>to</w:t>
      </w:r>
      <w:r>
        <w:rPr>
          <w:spacing w:val="-3"/>
        </w:rPr>
        <w:t> </w:t>
      </w:r>
      <w:r>
        <w:rPr/>
        <w:t>achieve</w:t>
      </w:r>
      <w:r>
        <w:rPr>
          <w:spacing w:val="-3"/>
        </w:rPr>
        <w:t> </w:t>
      </w:r>
      <w:r>
        <w:rPr/>
        <w:t>greater</w:t>
      </w:r>
      <w:r>
        <w:rPr>
          <w:spacing w:val="-4"/>
        </w:rPr>
        <w:t> </w:t>
      </w:r>
      <w:r>
        <w:rPr/>
        <w:t>safety</w:t>
      </w:r>
      <w:r>
        <w:rPr>
          <w:spacing w:val="-5"/>
        </w:rPr>
        <w:t> </w:t>
      </w:r>
      <w:r>
        <w:rPr/>
        <w:t>has</w:t>
      </w:r>
      <w:r>
        <w:rPr>
          <w:spacing w:val="-2"/>
        </w:rPr>
        <w:t> </w:t>
      </w:r>
      <w:r>
        <w:rPr/>
        <w:t>not</w:t>
      </w:r>
      <w:r>
        <w:rPr>
          <w:spacing w:val="-1"/>
        </w:rPr>
        <w:t> </w:t>
      </w:r>
      <w:r>
        <w:rPr/>
        <w:t>been</w:t>
      </w:r>
      <w:r>
        <w:rPr>
          <w:spacing w:val="-8"/>
        </w:rPr>
        <w:t> </w:t>
      </w:r>
      <w:r>
        <w:rPr/>
        <w:t>exhausted.</w:t>
      </w:r>
      <w:r>
        <w:rPr>
          <w:spacing w:val="-2"/>
        </w:rPr>
        <w:t> </w:t>
      </w:r>
      <w:r>
        <w:rPr/>
        <w:t>Moreover,</w:t>
      </w:r>
      <w:r>
        <w:rPr>
          <w:spacing w:val="-1"/>
        </w:rPr>
        <w:t> </w:t>
      </w:r>
      <w:r>
        <w:rPr/>
        <w:t>research</w:t>
      </w:r>
      <w:r>
        <w:rPr>
          <w:spacing w:val="-3"/>
        </w:rPr>
        <w:t> </w:t>
      </w:r>
      <w:r>
        <w:rPr/>
        <w:t>in</w:t>
      </w:r>
      <w:r>
        <w:rPr>
          <w:spacing w:val="-5"/>
        </w:rPr>
        <w:t> </w:t>
      </w:r>
      <w:r>
        <w:rPr/>
        <w:t>this</w:t>
      </w:r>
      <w:r>
        <w:rPr>
          <w:spacing w:val="-2"/>
        </w:rPr>
        <w:t> </w:t>
      </w:r>
      <w:r>
        <w:rPr/>
        <w:t>area is likely to involve clear public good dimensions that would justify government funding.</w:t>
      </w:r>
    </w:p>
    <w:p>
      <w:pPr>
        <w:pStyle w:val="BodyText"/>
        <w:rPr>
          <w:sz w:val="21"/>
        </w:rPr>
      </w:pPr>
    </w:p>
    <w:p>
      <w:pPr>
        <w:pStyle w:val="BodyText"/>
        <w:spacing w:line="288" w:lineRule="auto"/>
        <w:ind w:left="292" w:right="311"/>
      </w:pPr>
      <w:r>
        <w:rPr/>
        <w:t>It</w:t>
      </w:r>
      <w:r>
        <w:rPr>
          <w:spacing w:val="-3"/>
        </w:rPr>
        <w:t> </w:t>
      </w:r>
      <w:r>
        <w:rPr/>
        <w:t>is, however, very</w:t>
      </w:r>
      <w:r>
        <w:rPr>
          <w:spacing w:val="-3"/>
        </w:rPr>
        <w:t> </w:t>
      </w:r>
      <w:r>
        <w:rPr/>
        <w:t>difficult to</w:t>
      </w:r>
      <w:r>
        <w:rPr>
          <w:spacing w:val="-4"/>
        </w:rPr>
        <w:t> </w:t>
      </w:r>
      <w:r>
        <w:rPr/>
        <w:t>be</w:t>
      </w:r>
      <w:r>
        <w:rPr>
          <w:spacing w:val="-2"/>
        </w:rPr>
        <w:t> </w:t>
      </w:r>
      <w:r>
        <w:rPr/>
        <w:t>definitive</w:t>
      </w:r>
      <w:r>
        <w:rPr>
          <w:spacing w:val="-2"/>
        </w:rPr>
        <w:t> </w:t>
      </w:r>
      <w:r>
        <w:rPr/>
        <w:t>in</w:t>
      </w:r>
      <w:r>
        <w:rPr>
          <w:spacing w:val="-2"/>
        </w:rPr>
        <w:t> </w:t>
      </w:r>
      <w:r>
        <w:rPr/>
        <w:t>any</w:t>
      </w:r>
      <w:r>
        <w:rPr>
          <w:spacing w:val="-4"/>
        </w:rPr>
        <w:t> </w:t>
      </w:r>
      <w:r>
        <w:rPr/>
        <w:t>way</w:t>
      </w:r>
      <w:r>
        <w:rPr>
          <w:spacing w:val="-4"/>
        </w:rPr>
        <w:t> </w:t>
      </w:r>
      <w:r>
        <w:rPr/>
        <w:t>as</w:t>
      </w:r>
      <w:r>
        <w:rPr>
          <w:spacing w:val="-2"/>
        </w:rPr>
        <w:t> </w:t>
      </w:r>
      <w:r>
        <w:rPr/>
        <w:t>to</w:t>
      </w:r>
      <w:r>
        <w:rPr>
          <w:spacing w:val="-2"/>
        </w:rPr>
        <w:t> </w:t>
      </w:r>
      <w:r>
        <w:rPr/>
        <w:t>how</w:t>
      </w:r>
      <w:r>
        <w:rPr>
          <w:spacing w:val="-5"/>
        </w:rPr>
        <w:t> </w:t>
      </w:r>
      <w:r>
        <w:rPr/>
        <w:t>much</w:t>
      </w:r>
      <w:r>
        <w:rPr>
          <w:spacing w:val="-7"/>
        </w:rPr>
        <w:t> </w:t>
      </w:r>
      <w:r>
        <w:rPr/>
        <w:t>funding</w:t>
      </w:r>
      <w:r>
        <w:rPr>
          <w:spacing w:val="-2"/>
        </w:rPr>
        <w:t> </w:t>
      </w:r>
      <w:r>
        <w:rPr/>
        <w:t>might</w:t>
      </w:r>
      <w:r>
        <w:rPr>
          <w:spacing w:val="-3"/>
        </w:rPr>
        <w:t> </w:t>
      </w:r>
      <w:r>
        <w:rPr/>
        <w:t>be</w:t>
      </w:r>
      <w:r>
        <w:rPr>
          <w:spacing w:val="-4"/>
        </w:rPr>
        <w:t> </w:t>
      </w:r>
      <w:r>
        <w:rPr/>
        <w:t>justified, at least given the available information. As a broad judgement, the Review would suggest a modest program of around $1 million per annum may be sufficient to continue focused areas of research, including through university researchers. If such a program were to be maintained, it should be undertaken</w:t>
      </w:r>
      <w:r>
        <w:rPr>
          <w:spacing w:val="-3"/>
        </w:rPr>
        <w:t> </w:t>
      </w:r>
      <w:r>
        <w:rPr/>
        <w:t>jointly</w:t>
      </w:r>
      <w:r>
        <w:rPr>
          <w:spacing w:val="-3"/>
        </w:rPr>
        <w:t> </w:t>
      </w:r>
      <w:r>
        <w:rPr/>
        <w:t>with</w:t>
      </w:r>
      <w:r>
        <w:rPr>
          <w:spacing w:val="-1"/>
        </w:rPr>
        <w:t> </w:t>
      </w:r>
      <w:r>
        <w:rPr/>
        <w:t>distribution</w:t>
      </w:r>
      <w:r>
        <w:rPr>
          <w:spacing w:val="-3"/>
        </w:rPr>
        <w:t> </w:t>
      </w:r>
      <w:r>
        <w:rPr/>
        <w:t>companies, and</w:t>
      </w:r>
      <w:r>
        <w:rPr>
          <w:spacing w:val="-1"/>
        </w:rPr>
        <w:t> </w:t>
      </w:r>
      <w:r>
        <w:rPr/>
        <w:t>on</w:t>
      </w:r>
      <w:r>
        <w:rPr>
          <w:spacing w:val="-3"/>
        </w:rPr>
        <w:t> </w:t>
      </w:r>
      <w:r>
        <w:rPr/>
        <w:t>the</w:t>
      </w:r>
      <w:r>
        <w:rPr>
          <w:spacing w:val="-1"/>
        </w:rPr>
        <w:t> </w:t>
      </w:r>
      <w:r>
        <w:rPr/>
        <w:t>basis</w:t>
      </w:r>
      <w:r>
        <w:rPr>
          <w:spacing w:val="-3"/>
        </w:rPr>
        <w:t> </w:t>
      </w:r>
      <w:r>
        <w:rPr/>
        <w:t>that government</w:t>
      </w:r>
      <w:r>
        <w:rPr>
          <w:spacing w:val="-4"/>
        </w:rPr>
        <w:t> </w:t>
      </w:r>
      <w:r>
        <w:rPr/>
        <w:t>funding</w:t>
      </w:r>
      <w:r>
        <w:rPr>
          <w:spacing w:val="-1"/>
        </w:rPr>
        <w:t> </w:t>
      </w:r>
      <w:r>
        <w:rPr/>
        <w:t>would</w:t>
      </w:r>
      <w:r>
        <w:rPr>
          <w:spacing w:val="-1"/>
        </w:rPr>
        <w:t> </w:t>
      </w:r>
      <w:r>
        <w:rPr/>
        <w:t>be more than matched by contributions from distribution companies. This research and development fund should be technology neutral to allow the entry of emergent technologies in the future or to facilitate improvements to existing technologies.</w:t>
      </w:r>
    </w:p>
    <w:p>
      <w:pPr>
        <w:pStyle w:val="BodyText"/>
        <w:spacing w:before="9"/>
        <w:rPr>
          <w:sz w:val="18"/>
        </w:rPr>
      </w:pPr>
      <w:r>
        <w:rPr/>
        <mc:AlternateContent>
          <mc:Choice Requires="wps">
            <w:drawing>
              <wp:anchor distT="0" distB="0" distL="0" distR="0" allowOverlap="1" layoutInCell="1" locked="0" behindDoc="1" simplePos="0" relativeHeight="487592448">
                <wp:simplePos x="0" y="0"/>
                <wp:positionH relativeFrom="page">
                  <wp:posOffset>719327</wp:posOffset>
                </wp:positionH>
                <wp:positionV relativeFrom="paragraph">
                  <wp:posOffset>152388</wp:posOffset>
                </wp:positionV>
                <wp:extent cx="5753100" cy="4027170"/>
                <wp:effectExtent l="0" t="0" r="0" b="0"/>
                <wp:wrapTopAndBottom/>
                <wp:docPr id="13" name="Textbox 13"/>
                <wp:cNvGraphicFramePr>
                  <a:graphicFrameLocks/>
                </wp:cNvGraphicFramePr>
                <a:graphic>
                  <a:graphicData uri="http://schemas.microsoft.com/office/word/2010/wordprocessingShape">
                    <wps:wsp>
                      <wps:cNvPr id="13" name="Textbox 13"/>
                      <wps:cNvSpPr txBox="1"/>
                      <wps:spPr>
                        <a:xfrm>
                          <a:off x="0" y="0"/>
                          <a:ext cx="5753100" cy="4027170"/>
                        </a:xfrm>
                        <a:prstGeom prst="rect">
                          <a:avLst/>
                        </a:prstGeom>
                        <a:solidFill>
                          <a:srgbClr val="D9D9D9"/>
                        </a:solidFill>
                      </wps:spPr>
                      <wps:txbx>
                        <w:txbxContent>
                          <w:p>
                            <w:pPr>
                              <w:pStyle w:val="BodyText"/>
                              <w:spacing w:before="10"/>
                              <w:rPr>
                                <w:color w:val="000000"/>
                                <w:sz w:val="20"/>
                              </w:rPr>
                            </w:pPr>
                          </w:p>
                          <w:p>
                            <w:pPr>
                              <w:spacing w:before="0"/>
                              <w:ind w:left="112" w:right="0" w:firstLine="0"/>
                              <w:jc w:val="left"/>
                              <w:rPr>
                                <w:b/>
                                <w:color w:val="000000"/>
                                <w:sz w:val="22"/>
                              </w:rPr>
                            </w:pPr>
                            <w:r>
                              <w:rPr>
                                <w:b/>
                                <w:color w:val="000000"/>
                                <w:sz w:val="22"/>
                              </w:rPr>
                              <w:t>Summary</w:t>
                            </w:r>
                            <w:r>
                              <w:rPr>
                                <w:b/>
                                <w:color w:val="000000"/>
                                <w:spacing w:val="-11"/>
                                <w:sz w:val="22"/>
                              </w:rPr>
                              <w:t> </w:t>
                            </w:r>
                            <w:r>
                              <w:rPr>
                                <w:b/>
                                <w:color w:val="000000"/>
                                <w:sz w:val="22"/>
                              </w:rPr>
                              <w:t>of</w:t>
                            </w:r>
                            <w:r>
                              <w:rPr>
                                <w:b/>
                                <w:color w:val="000000"/>
                                <w:spacing w:val="-7"/>
                                <w:sz w:val="22"/>
                              </w:rPr>
                              <w:t> </w:t>
                            </w:r>
                            <w:r>
                              <w:rPr>
                                <w:b/>
                                <w:color w:val="000000"/>
                                <w:sz w:val="22"/>
                              </w:rPr>
                              <w:t>recommendations:</w:t>
                            </w:r>
                            <w:r>
                              <w:rPr>
                                <w:b/>
                                <w:color w:val="000000"/>
                                <w:spacing w:val="-6"/>
                                <w:sz w:val="22"/>
                              </w:rPr>
                              <w:t> </w:t>
                            </w:r>
                            <w:r>
                              <w:rPr>
                                <w:b/>
                                <w:color w:val="000000"/>
                                <w:sz w:val="22"/>
                              </w:rPr>
                              <w:t>Bushfire</w:t>
                            </w:r>
                            <w:r>
                              <w:rPr>
                                <w:b/>
                                <w:color w:val="000000"/>
                                <w:spacing w:val="-10"/>
                                <w:sz w:val="22"/>
                              </w:rPr>
                              <w:t> </w:t>
                            </w:r>
                            <w:r>
                              <w:rPr>
                                <w:b/>
                                <w:color w:val="000000"/>
                                <w:sz w:val="22"/>
                              </w:rPr>
                              <w:t>safety</w:t>
                            </w:r>
                            <w:r>
                              <w:rPr>
                                <w:b/>
                                <w:color w:val="000000"/>
                                <w:spacing w:val="-10"/>
                                <w:sz w:val="22"/>
                              </w:rPr>
                              <w:t> </w:t>
                            </w:r>
                            <w:r>
                              <w:rPr>
                                <w:b/>
                                <w:color w:val="000000"/>
                                <w:spacing w:val="-2"/>
                                <w:sz w:val="22"/>
                              </w:rPr>
                              <w:t>programs</w:t>
                            </w:r>
                          </w:p>
                          <w:p>
                            <w:pPr>
                              <w:pStyle w:val="BodyText"/>
                              <w:spacing w:before="2"/>
                              <w:rPr>
                                <w:b/>
                                <w:color w:val="000000"/>
                                <w:sz w:val="25"/>
                              </w:rPr>
                            </w:pPr>
                          </w:p>
                          <w:p>
                            <w:pPr>
                              <w:pStyle w:val="BodyText"/>
                              <w:ind w:left="112"/>
                              <w:rPr>
                                <w:color w:val="000000"/>
                              </w:rPr>
                            </w:pPr>
                            <w:r>
                              <w:rPr>
                                <w:color w:val="000000"/>
                              </w:rPr>
                              <w:t>Recommendations</w:t>
                            </w:r>
                            <w:r>
                              <w:rPr>
                                <w:color w:val="000000"/>
                                <w:spacing w:val="-6"/>
                              </w:rPr>
                              <w:t> </w:t>
                            </w:r>
                            <w:r>
                              <w:rPr>
                                <w:color w:val="000000"/>
                              </w:rPr>
                              <w:t>presented</w:t>
                            </w:r>
                            <w:r>
                              <w:rPr>
                                <w:color w:val="000000"/>
                                <w:spacing w:val="-6"/>
                              </w:rPr>
                              <w:t> </w:t>
                            </w:r>
                            <w:r>
                              <w:rPr>
                                <w:color w:val="000000"/>
                              </w:rPr>
                              <w:t>by</w:t>
                            </w:r>
                            <w:r>
                              <w:rPr>
                                <w:color w:val="000000"/>
                                <w:spacing w:val="-9"/>
                              </w:rPr>
                              <w:t> </w:t>
                            </w:r>
                            <w:r>
                              <w:rPr>
                                <w:color w:val="000000"/>
                              </w:rPr>
                              <w:t>the</w:t>
                            </w:r>
                            <w:r>
                              <w:rPr>
                                <w:color w:val="000000"/>
                                <w:spacing w:val="-8"/>
                              </w:rPr>
                              <w:t> </w:t>
                            </w:r>
                            <w:r>
                              <w:rPr>
                                <w:color w:val="000000"/>
                              </w:rPr>
                              <w:t>Review</w:t>
                            </w:r>
                            <w:r>
                              <w:rPr>
                                <w:color w:val="000000"/>
                                <w:spacing w:val="-9"/>
                              </w:rPr>
                              <w:t> </w:t>
                            </w:r>
                            <w:r>
                              <w:rPr>
                                <w:color w:val="000000"/>
                                <w:spacing w:val="-2"/>
                              </w:rPr>
                              <w:t>include:</w:t>
                            </w:r>
                          </w:p>
                          <w:p>
                            <w:pPr>
                              <w:pStyle w:val="BodyText"/>
                              <w:spacing w:before="10"/>
                              <w:rPr>
                                <w:color w:val="000000"/>
                                <w:sz w:val="26"/>
                              </w:rPr>
                            </w:pPr>
                          </w:p>
                          <w:p>
                            <w:pPr>
                              <w:pStyle w:val="BodyText"/>
                              <w:numPr>
                                <w:ilvl w:val="0"/>
                                <w:numId w:val="15"/>
                              </w:numPr>
                              <w:tabs>
                                <w:tab w:pos="500" w:val="left" w:leader="none"/>
                                <w:tab w:pos="502" w:val="left" w:leader="none"/>
                              </w:tabs>
                              <w:spacing w:line="288" w:lineRule="auto" w:before="0" w:after="0"/>
                              <w:ind w:left="502" w:right="155" w:hanging="219"/>
                              <w:jc w:val="left"/>
                              <w:rPr>
                                <w:color w:val="000000"/>
                              </w:rPr>
                            </w:pPr>
                            <w:r>
                              <w:rPr>
                                <w:color w:val="000000"/>
                              </w:rPr>
                              <w:t>the progress of the deployment of REFCL technology to satisfy the </w:t>
                            </w:r>
                            <w:r>
                              <w:rPr>
                                <w:i/>
                                <w:color w:val="000000"/>
                              </w:rPr>
                              <w:t>Electricity Safety (Bushfire Mitigation) Regulations 2013 </w:t>
                            </w:r>
                            <w:r>
                              <w:rPr>
                                <w:color w:val="000000"/>
                              </w:rPr>
                              <w:t>should be subject to annual evaluation by the Powerline Bushfire Safety Committee. The first report should be provided through the Director</w:t>
                            </w:r>
                            <w:r>
                              <w:rPr>
                                <w:color w:val="000000"/>
                                <w:spacing w:val="-4"/>
                              </w:rPr>
                              <w:t> </w:t>
                            </w:r>
                            <w:r>
                              <w:rPr>
                                <w:color w:val="000000"/>
                              </w:rPr>
                              <w:t>of</w:t>
                            </w:r>
                            <w:r>
                              <w:rPr>
                                <w:color w:val="000000"/>
                                <w:spacing w:val="-1"/>
                              </w:rPr>
                              <w:t> </w:t>
                            </w:r>
                            <w:r>
                              <w:rPr>
                                <w:color w:val="000000"/>
                              </w:rPr>
                              <w:t>Energy</w:t>
                            </w:r>
                            <w:r>
                              <w:rPr>
                                <w:color w:val="000000"/>
                                <w:spacing w:val="-5"/>
                              </w:rPr>
                              <w:t> </w:t>
                            </w:r>
                            <w:r>
                              <w:rPr>
                                <w:color w:val="000000"/>
                              </w:rPr>
                              <w:t>Safety</w:t>
                            </w:r>
                            <w:r>
                              <w:rPr>
                                <w:color w:val="000000"/>
                                <w:spacing w:val="-5"/>
                              </w:rPr>
                              <w:t> </w:t>
                            </w:r>
                            <w:r>
                              <w:rPr>
                                <w:color w:val="000000"/>
                              </w:rPr>
                              <w:t>to</w:t>
                            </w:r>
                            <w:r>
                              <w:rPr>
                                <w:color w:val="000000"/>
                                <w:spacing w:val="-3"/>
                              </w:rPr>
                              <w:t> </w:t>
                            </w:r>
                            <w:r>
                              <w:rPr>
                                <w:color w:val="000000"/>
                              </w:rPr>
                              <w:t>the</w:t>
                            </w:r>
                            <w:r>
                              <w:rPr>
                                <w:color w:val="000000"/>
                                <w:spacing w:val="-3"/>
                              </w:rPr>
                              <w:t> </w:t>
                            </w:r>
                            <w:r>
                              <w:rPr>
                                <w:color w:val="000000"/>
                              </w:rPr>
                              <w:t>Minister</w:t>
                            </w:r>
                            <w:r>
                              <w:rPr>
                                <w:color w:val="000000"/>
                                <w:spacing w:val="-4"/>
                              </w:rPr>
                              <w:t> </w:t>
                            </w:r>
                            <w:r>
                              <w:rPr>
                                <w:color w:val="000000"/>
                              </w:rPr>
                              <w:t>for</w:t>
                            </w:r>
                            <w:r>
                              <w:rPr>
                                <w:color w:val="000000"/>
                                <w:spacing w:val="-2"/>
                              </w:rPr>
                              <w:t> </w:t>
                            </w:r>
                            <w:r>
                              <w:rPr>
                                <w:color w:val="000000"/>
                              </w:rPr>
                              <w:t>Energy,</w:t>
                            </w:r>
                            <w:r>
                              <w:rPr>
                                <w:color w:val="000000"/>
                                <w:spacing w:val="-1"/>
                              </w:rPr>
                              <w:t> </w:t>
                            </w:r>
                            <w:r>
                              <w:rPr>
                                <w:color w:val="000000"/>
                              </w:rPr>
                              <w:t>Environment</w:t>
                            </w:r>
                            <w:r>
                              <w:rPr>
                                <w:color w:val="000000"/>
                                <w:spacing w:val="-2"/>
                              </w:rPr>
                              <w:t> </w:t>
                            </w:r>
                            <w:r>
                              <w:rPr>
                                <w:color w:val="000000"/>
                              </w:rPr>
                              <w:t>and</w:t>
                            </w:r>
                            <w:r>
                              <w:rPr>
                                <w:color w:val="000000"/>
                                <w:spacing w:val="-5"/>
                              </w:rPr>
                              <w:t> </w:t>
                            </w:r>
                            <w:r>
                              <w:rPr>
                                <w:color w:val="000000"/>
                              </w:rPr>
                              <w:t>Climate</w:t>
                            </w:r>
                            <w:r>
                              <w:rPr>
                                <w:color w:val="000000"/>
                                <w:spacing w:val="-5"/>
                              </w:rPr>
                              <w:t> </w:t>
                            </w:r>
                            <w:r>
                              <w:rPr>
                                <w:color w:val="000000"/>
                              </w:rPr>
                              <w:t>Change by May 2018 (Recommendation 27);</w:t>
                            </w:r>
                          </w:p>
                          <w:p>
                            <w:pPr>
                              <w:pStyle w:val="BodyText"/>
                              <w:rPr>
                                <w:color w:val="000000"/>
                              </w:rPr>
                            </w:pPr>
                          </w:p>
                          <w:p>
                            <w:pPr>
                              <w:pStyle w:val="BodyText"/>
                              <w:numPr>
                                <w:ilvl w:val="0"/>
                                <w:numId w:val="15"/>
                              </w:numPr>
                              <w:tabs>
                                <w:tab w:pos="500" w:val="left" w:leader="none"/>
                                <w:tab w:pos="502" w:val="left" w:leader="none"/>
                              </w:tabs>
                              <w:spacing w:line="288" w:lineRule="auto" w:before="0" w:after="0"/>
                              <w:ind w:left="502" w:right="137" w:hanging="219"/>
                              <w:jc w:val="left"/>
                              <w:rPr>
                                <w:color w:val="000000"/>
                              </w:rPr>
                            </w:pPr>
                            <w:r>
                              <w:rPr>
                                <w:color w:val="000000"/>
                              </w:rPr>
                              <w:t>ESV should continue to work closely with distribution businesses, and with the assistance of the Powerline Bushfire Safety Committee, provide timely advice to the Minister</w:t>
                            </w:r>
                            <w:r>
                              <w:rPr>
                                <w:color w:val="000000"/>
                                <w:spacing w:val="-3"/>
                              </w:rPr>
                              <w:t> </w:t>
                            </w:r>
                            <w:r>
                              <w:rPr>
                                <w:color w:val="000000"/>
                              </w:rPr>
                              <w:t>for</w:t>
                            </w:r>
                            <w:r>
                              <w:rPr>
                                <w:color w:val="000000"/>
                                <w:spacing w:val="-1"/>
                              </w:rPr>
                              <w:t> </w:t>
                            </w:r>
                            <w:r>
                              <w:rPr>
                                <w:color w:val="000000"/>
                              </w:rPr>
                              <w:t>Energy, Environment and</w:t>
                            </w:r>
                            <w:r>
                              <w:rPr>
                                <w:color w:val="000000"/>
                                <w:spacing w:val="-4"/>
                              </w:rPr>
                              <w:t> </w:t>
                            </w:r>
                            <w:r>
                              <w:rPr>
                                <w:color w:val="000000"/>
                              </w:rPr>
                              <w:t>Climate</w:t>
                            </w:r>
                            <w:r>
                              <w:rPr>
                                <w:color w:val="000000"/>
                                <w:spacing w:val="-4"/>
                              </w:rPr>
                              <w:t> </w:t>
                            </w:r>
                            <w:r>
                              <w:rPr>
                                <w:color w:val="000000"/>
                              </w:rPr>
                              <w:t>Change</w:t>
                            </w:r>
                            <w:r>
                              <w:rPr>
                                <w:color w:val="000000"/>
                                <w:spacing w:val="-4"/>
                              </w:rPr>
                              <w:t> </w:t>
                            </w:r>
                            <w:r>
                              <w:rPr>
                                <w:color w:val="000000"/>
                              </w:rPr>
                              <w:t>on</w:t>
                            </w:r>
                            <w:r>
                              <w:rPr>
                                <w:color w:val="000000"/>
                                <w:spacing w:val="-4"/>
                              </w:rPr>
                              <w:t> </w:t>
                            </w:r>
                            <w:r>
                              <w:rPr>
                                <w:color w:val="000000"/>
                              </w:rPr>
                              <w:t>the</w:t>
                            </w:r>
                            <w:r>
                              <w:rPr>
                                <w:color w:val="000000"/>
                                <w:spacing w:val="-2"/>
                              </w:rPr>
                              <w:t> </w:t>
                            </w:r>
                            <w:r>
                              <w:rPr>
                                <w:color w:val="000000"/>
                              </w:rPr>
                              <w:t>need</w:t>
                            </w:r>
                            <w:r>
                              <w:rPr>
                                <w:color w:val="000000"/>
                                <w:spacing w:val="-7"/>
                              </w:rPr>
                              <w:t> </w:t>
                            </w:r>
                            <w:r>
                              <w:rPr>
                                <w:color w:val="000000"/>
                              </w:rPr>
                              <w:t>for</w:t>
                            </w:r>
                            <w:r>
                              <w:rPr>
                                <w:color w:val="000000"/>
                                <w:spacing w:val="-1"/>
                              </w:rPr>
                              <w:t> </w:t>
                            </w:r>
                            <w:r>
                              <w:rPr>
                                <w:color w:val="000000"/>
                              </w:rPr>
                              <w:t>any</w:t>
                            </w:r>
                            <w:r>
                              <w:rPr>
                                <w:color w:val="000000"/>
                                <w:spacing w:val="-6"/>
                              </w:rPr>
                              <w:t> </w:t>
                            </w:r>
                            <w:r>
                              <w:rPr>
                                <w:color w:val="000000"/>
                              </w:rPr>
                              <w:t>exemptions from the performance standards contained in the </w:t>
                            </w:r>
                            <w:r>
                              <w:rPr>
                                <w:i/>
                                <w:color w:val="000000"/>
                              </w:rPr>
                              <w:t>Electricity Safety (Bushfire</w:t>
                            </w:r>
                            <w:r>
                              <w:rPr>
                                <w:i/>
                                <w:color w:val="000000"/>
                                <w:spacing w:val="40"/>
                              </w:rPr>
                              <w:t> </w:t>
                            </w:r>
                            <w:r>
                              <w:rPr>
                                <w:i/>
                                <w:color w:val="000000"/>
                              </w:rPr>
                              <w:t>Mitigation) Regulations 2013 </w:t>
                            </w:r>
                            <w:r>
                              <w:rPr>
                                <w:color w:val="000000"/>
                              </w:rPr>
                              <w:t>(Recommendation 28); and</w:t>
                            </w:r>
                          </w:p>
                          <w:p>
                            <w:pPr>
                              <w:pStyle w:val="BodyText"/>
                              <w:spacing w:before="3"/>
                              <w:rPr>
                                <w:color w:val="000000"/>
                              </w:rPr>
                            </w:pPr>
                          </w:p>
                          <w:p>
                            <w:pPr>
                              <w:pStyle w:val="BodyText"/>
                              <w:numPr>
                                <w:ilvl w:val="0"/>
                                <w:numId w:val="15"/>
                              </w:numPr>
                              <w:tabs>
                                <w:tab w:pos="500" w:val="left" w:leader="none"/>
                                <w:tab w:pos="502" w:val="left" w:leader="none"/>
                              </w:tabs>
                              <w:spacing w:line="288" w:lineRule="auto" w:before="1" w:after="0"/>
                              <w:ind w:left="502" w:right="729" w:hanging="219"/>
                              <w:jc w:val="left"/>
                              <w:rPr>
                                <w:color w:val="000000"/>
                              </w:rPr>
                            </w:pPr>
                            <w:r>
                              <w:rPr>
                                <w:color w:val="000000"/>
                              </w:rPr>
                              <w:t>the Victorian Government should consider providing ongoing funding for further research</w:t>
                            </w:r>
                            <w:r>
                              <w:rPr>
                                <w:color w:val="000000"/>
                                <w:spacing w:val="-4"/>
                              </w:rPr>
                              <w:t> </w:t>
                            </w:r>
                            <w:r>
                              <w:rPr>
                                <w:color w:val="000000"/>
                              </w:rPr>
                              <w:t>and</w:t>
                            </w:r>
                            <w:r>
                              <w:rPr>
                                <w:color w:val="000000"/>
                                <w:spacing w:val="-3"/>
                              </w:rPr>
                              <w:t> </w:t>
                            </w:r>
                            <w:r>
                              <w:rPr>
                                <w:color w:val="000000"/>
                              </w:rPr>
                              <w:t>development</w:t>
                            </w:r>
                            <w:r>
                              <w:rPr>
                                <w:color w:val="000000"/>
                                <w:spacing w:val="-2"/>
                              </w:rPr>
                              <w:t> </w:t>
                            </w:r>
                            <w:r>
                              <w:rPr>
                                <w:color w:val="000000"/>
                              </w:rPr>
                              <w:t>into</w:t>
                            </w:r>
                            <w:r>
                              <w:rPr>
                                <w:color w:val="000000"/>
                                <w:spacing w:val="-4"/>
                              </w:rPr>
                              <w:t> </w:t>
                            </w:r>
                            <w:r>
                              <w:rPr>
                                <w:color w:val="000000"/>
                              </w:rPr>
                              <w:t>new</w:t>
                            </w:r>
                            <w:r>
                              <w:rPr>
                                <w:color w:val="000000"/>
                                <w:spacing w:val="-3"/>
                              </w:rPr>
                              <w:t> </w:t>
                            </w:r>
                            <w:r>
                              <w:rPr>
                                <w:color w:val="000000"/>
                              </w:rPr>
                              <w:t>technology</w:t>
                            </w:r>
                            <w:r>
                              <w:rPr>
                                <w:color w:val="000000"/>
                                <w:spacing w:val="-4"/>
                              </w:rPr>
                              <w:t> </w:t>
                            </w:r>
                            <w:r>
                              <w:rPr>
                                <w:color w:val="000000"/>
                              </w:rPr>
                              <w:t>to</w:t>
                            </w:r>
                            <w:r>
                              <w:rPr>
                                <w:color w:val="000000"/>
                                <w:spacing w:val="-4"/>
                              </w:rPr>
                              <w:t> </w:t>
                            </w:r>
                            <w:r>
                              <w:rPr>
                                <w:color w:val="000000"/>
                              </w:rPr>
                              <w:t>manage</w:t>
                            </w:r>
                            <w:r>
                              <w:rPr>
                                <w:color w:val="000000"/>
                                <w:spacing w:val="-4"/>
                              </w:rPr>
                              <w:t> </w:t>
                            </w:r>
                            <w:r>
                              <w:rPr>
                                <w:color w:val="000000"/>
                              </w:rPr>
                              <w:t>the</w:t>
                            </w:r>
                            <w:r>
                              <w:rPr>
                                <w:color w:val="000000"/>
                                <w:spacing w:val="-4"/>
                              </w:rPr>
                              <w:t> </w:t>
                            </w:r>
                            <w:r>
                              <w:rPr>
                                <w:color w:val="000000"/>
                              </w:rPr>
                              <w:t>bushfire</w:t>
                            </w:r>
                            <w:r>
                              <w:rPr>
                                <w:color w:val="000000"/>
                                <w:spacing w:val="-4"/>
                              </w:rPr>
                              <w:t> </w:t>
                            </w:r>
                            <w:r>
                              <w:rPr>
                                <w:color w:val="000000"/>
                              </w:rPr>
                              <w:t>risk</w:t>
                            </w:r>
                            <w:r>
                              <w:rPr>
                                <w:color w:val="000000"/>
                                <w:spacing w:val="-4"/>
                              </w:rPr>
                              <w:t> </w:t>
                            </w:r>
                            <w:r>
                              <w:rPr>
                                <w:color w:val="000000"/>
                              </w:rPr>
                              <w:t>from electric lines, with:</w:t>
                            </w:r>
                          </w:p>
                          <w:p>
                            <w:pPr>
                              <w:pStyle w:val="BodyText"/>
                              <w:spacing w:before="8"/>
                              <w:rPr>
                                <w:color w:val="000000"/>
                                <w:sz w:val="20"/>
                              </w:rPr>
                            </w:pPr>
                          </w:p>
                          <w:p>
                            <w:pPr>
                              <w:pStyle w:val="BodyText"/>
                              <w:ind w:left="463"/>
                              <w:rPr>
                                <w:color w:val="000000"/>
                              </w:rPr>
                            </w:pPr>
                            <w:r>
                              <w:rPr>
                                <w:color w:val="000000"/>
                              </w:rPr>
                              <w:t>–</w:t>
                            </w:r>
                            <w:r>
                              <w:rPr>
                                <w:color w:val="000000"/>
                                <w:spacing w:val="24"/>
                              </w:rPr>
                              <w:t> </w:t>
                            </w:r>
                            <w:r>
                              <w:rPr>
                                <w:color w:val="000000"/>
                              </w:rPr>
                              <w:t>any</w:t>
                            </w:r>
                            <w:r>
                              <w:rPr>
                                <w:color w:val="000000"/>
                                <w:spacing w:val="-5"/>
                              </w:rPr>
                              <w:t> </w:t>
                            </w:r>
                            <w:r>
                              <w:rPr>
                                <w:color w:val="000000"/>
                              </w:rPr>
                              <w:t>government</w:t>
                            </w:r>
                            <w:r>
                              <w:rPr>
                                <w:color w:val="000000"/>
                                <w:spacing w:val="-5"/>
                              </w:rPr>
                              <w:t> </w:t>
                            </w:r>
                            <w:r>
                              <w:rPr>
                                <w:color w:val="000000"/>
                              </w:rPr>
                              <w:t>funding</w:t>
                            </w:r>
                            <w:r>
                              <w:rPr>
                                <w:color w:val="000000"/>
                                <w:spacing w:val="-5"/>
                              </w:rPr>
                              <w:t> </w:t>
                            </w:r>
                            <w:r>
                              <w:rPr>
                                <w:color w:val="000000"/>
                              </w:rPr>
                              <w:t>to</w:t>
                            </w:r>
                            <w:r>
                              <w:rPr>
                                <w:color w:val="000000"/>
                                <w:spacing w:val="-3"/>
                              </w:rPr>
                              <w:t> </w:t>
                            </w:r>
                            <w:r>
                              <w:rPr>
                                <w:color w:val="000000"/>
                              </w:rPr>
                              <w:t>be</w:t>
                            </w:r>
                            <w:r>
                              <w:rPr>
                                <w:color w:val="000000"/>
                                <w:spacing w:val="-5"/>
                              </w:rPr>
                              <w:t> </w:t>
                            </w:r>
                            <w:r>
                              <w:rPr>
                                <w:color w:val="000000"/>
                              </w:rPr>
                              <w:t>contingent</w:t>
                            </w:r>
                            <w:r>
                              <w:rPr>
                                <w:color w:val="000000"/>
                                <w:spacing w:val="-1"/>
                              </w:rPr>
                              <w:t> </w:t>
                            </w:r>
                            <w:r>
                              <w:rPr>
                                <w:color w:val="000000"/>
                              </w:rPr>
                              <w:t>on</w:t>
                            </w:r>
                            <w:r>
                              <w:rPr>
                                <w:color w:val="000000"/>
                                <w:spacing w:val="-6"/>
                              </w:rPr>
                              <w:t> </w:t>
                            </w:r>
                            <w:r>
                              <w:rPr>
                                <w:color w:val="000000"/>
                              </w:rPr>
                              <w:t>being</w:t>
                            </w:r>
                            <w:r>
                              <w:rPr>
                                <w:color w:val="000000"/>
                                <w:spacing w:val="-3"/>
                              </w:rPr>
                              <w:t> </w:t>
                            </w:r>
                            <w:r>
                              <w:rPr>
                                <w:color w:val="000000"/>
                              </w:rPr>
                              <w:t>at</w:t>
                            </w:r>
                            <w:r>
                              <w:rPr>
                                <w:color w:val="000000"/>
                                <w:spacing w:val="-4"/>
                              </w:rPr>
                              <w:t> </w:t>
                            </w:r>
                            <w:r>
                              <w:rPr>
                                <w:color w:val="000000"/>
                              </w:rPr>
                              <w:t>least</w:t>
                            </w:r>
                            <w:r>
                              <w:rPr>
                                <w:color w:val="000000"/>
                                <w:spacing w:val="-4"/>
                              </w:rPr>
                              <w:t> </w:t>
                            </w:r>
                            <w:r>
                              <w:rPr>
                                <w:color w:val="000000"/>
                              </w:rPr>
                              <w:t>matched</w:t>
                            </w:r>
                            <w:r>
                              <w:rPr>
                                <w:color w:val="000000"/>
                                <w:spacing w:val="-3"/>
                              </w:rPr>
                              <w:t> </w:t>
                            </w:r>
                            <w:r>
                              <w:rPr>
                                <w:color w:val="000000"/>
                              </w:rPr>
                              <w:t>by</w:t>
                            </w:r>
                            <w:r>
                              <w:rPr>
                                <w:color w:val="000000"/>
                                <w:spacing w:val="-5"/>
                              </w:rPr>
                              <w:t> </w:t>
                            </w:r>
                            <w:r>
                              <w:rPr>
                                <w:color w:val="000000"/>
                                <w:spacing w:val="-2"/>
                              </w:rPr>
                              <w:t>contributions</w:t>
                            </w:r>
                          </w:p>
                        </w:txbxContent>
                      </wps:txbx>
                      <wps:bodyPr wrap="square" lIns="0" tIns="0" rIns="0" bIns="0" rtlCol="0">
                        <a:noAutofit/>
                      </wps:bodyPr>
                    </wps:wsp>
                  </a:graphicData>
                </a:graphic>
              </wp:anchor>
            </w:drawing>
          </mc:Choice>
          <mc:Fallback>
            <w:pict>
              <v:shape style="position:absolute;margin-left:56.639999pt;margin-top:11.999121pt;width:453pt;height:317.1pt;mso-position-horizontal-relative:page;mso-position-vertical-relative:paragraph;z-index:-15724032;mso-wrap-distance-left:0;mso-wrap-distance-right:0" type="#_x0000_t202" id="docshape12" filled="true" fillcolor="#d9d9d9" stroked="false">
                <v:textbox inset="0,0,0,0">
                  <w:txbxContent>
                    <w:p>
                      <w:pPr>
                        <w:pStyle w:val="BodyText"/>
                        <w:spacing w:before="10"/>
                        <w:rPr>
                          <w:color w:val="000000"/>
                          <w:sz w:val="20"/>
                        </w:rPr>
                      </w:pPr>
                    </w:p>
                    <w:p>
                      <w:pPr>
                        <w:spacing w:before="0"/>
                        <w:ind w:left="112" w:right="0" w:firstLine="0"/>
                        <w:jc w:val="left"/>
                        <w:rPr>
                          <w:b/>
                          <w:color w:val="000000"/>
                          <w:sz w:val="22"/>
                        </w:rPr>
                      </w:pPr>
                      <w:r>
                        <w:rPr>
                          <w:b/>
                          <w:color w:val="000000"/>
                          <w:sz w:val="22"/>
                        </w:rPr>
                        <w:t>Summary</w:t>
                      </w:r>
                      <w:r>
                        <w:rPr>
                          <w:b/>
                          <w:color w:val="000000"/>
                          <w:spacing w:val="-11"/>
                          <w:sz w:val="22"/>
                        </w:rPr>
                        <w:t> </w:t>
                      </w:r>
                      <w:r>
                        <w:rPr>
                          <w:b/>
                          <w:color w:val="000000"/>
                          <w:sz w:val="22"/>
                        </w:rPr>
                        <w:t>of</w:t>
                      </w:r>
                      <w:r>
                        <w:rPr>
                          <w:b/>
                          <w:color w:val="000000"/>
                          <w:spacing w:val="-7"/>
                          <w:sz w:val="22"/>
                        </w:rPr>
                        <w:t> </w:t>
                      </w:r>
                      <w:r>
                        <w:rPr>
                          <w:b/>
                          <w:color w:val="000000"/>
                          <w:sz w:val="22"/>
                        </w:rPr>
                        <w:t>recommendations:</w:t>
                      </w:r>
                      <w:r>
                        <w:rPr>
                          <w:b/>
                          <w:color w:val="000000"/>
                          <w:spacing w:val="-6"/>
                          <w:sz w:val="22"/>
                        </w:rPr>
                        <w:t> </w:t>
                      </w:r>
                      <w:r>
                        <w:rPr>
                          <w:b/>
                          <w:color w:val="000000"/>
                          <w:sz w:val="22"/>
                        </w:rPr>
                        <w:t>Bushfire</w:t>
                      </w:r>
                      <w:r>
                        <w:rPr>
                          <w:b/>
                          <w:color w:val="000000"/>
                          <w:spacing w:val="-10"/>
                          <w:sz w:val="22"/>
                        </w:rPr>
                        <w:t> </w:t>
                      </w:r>
                      <w:r>
                        <w:rPr>
                          <w:b/>
                          <w:color w:val="000000"/>
                          <w:sz w:val="22"/>
                        </w:rPr>
                        <w:t>safety</w:t>
                      </w:r>
                      <w:r>
                        <w:rPr>
                          <w:b/>
                          <w:color w:val="000000"/>
                          <w:spacing w:val="-10"/>
                          <w:sz w:val="22"/>
                        </w:rPr>
                        <w:t> </w:t>
                      </w:r>
                      <w:r>
                        <w:rPr>
                          <w:b/>
                          <w:color w:val="000000"/>
                          <w:spacing w:val="-2"/>
                          <w:sz w:val="22"/>
                        </w:rPr>
                        <w:t>programs</w:t>
                      </w:r>
                    </w:p>
                    <w:p>
                      <w:pPr>
                        <w:pStyle w:val="BodyText"/>
                        <w:spacing w:before="2"/>
                        <w:rPr>
                          <w:b/>
                          <w:color w:val="000000"/>
                          <w:sz w:val="25"/>
                        </w:rPr>
                      </w:pPr>
                    </w:p>
                    <w:p>
                      <w:pPr>
                        <w:pStyle w:val="BodyText"/>
                        <w:ind w:left="112"/>
                        <w:rPr>
                          <w:color w:val="000000"/>
                        </w:rPr>
                      </w:pPr>
                      <w:r>
                        <w:rPr>
                          <w:color w:val="000000"/>
                        </w:rPr>
                        <w:t>Recommendations</w:t>
                      </w:r>
                      <w:r>
                        <w:rPr>
                          <w:color w:val="000000"/>
                          <w:spacing w:val="-6"/>
                        </w:rPr>
                        <w:t> </w:t>
                      </w:r>
                      <w:r>
                        <w:rPr>
                          <w:color w:val="000000"/>
                        </w:rPr>
                        <w:t>presented</w:t>
                      </w:r>
                      <w:r>
                        <w:rPr>
                          <w:color w:val="000000"/>
                          <w:spacing w:val="-6"/>
                        </w:rPr>
                        <w:t> </w:t>
                      </w:r>
                      <w:r>
                        <w:rPr>
                          <w:color w:val="000000"/>
                        </w:rPr>
                        <w:t>by</w:t>
                      </w:r>
                      <w:r>
                        <w:rPr>
                          <w:color w:val="000000"/>
                          <w:spacing w:val="-9"/>
                        </w:rPr>
                        <w:t> </w:t>
                      </w:r>
                      <w:r>
                        <w:rPr>
                          <w:color w:val="000000"/>
                        </w:rPr>
                        <w:t>the</w:t>
                      </w:r>
                      <w:r>
                        <w:rPr>
                          <w:color w:val="000000"/>
                          <w:spacing w:val="-8"/>
                        </w:rPr>
                        <w:t> </w:t>
                      </w:r>
                      <w:r>
                        <w:rPr>
                          <w:color w:val="000000"/>
                        </w:rPr>
                        <w:t>Review</w:t>
                      </w:r>
                      <w:r>
                        <w:rPr>
                          <w:color w:val="000000"/>
                          <w:spacing w:val="-9"/>
                        </w:rPr>
                        <w:t> </w:t>
                      </w:r>
                      <w:r>
                        <w:rPr>
                          <w:color w:val="000000"/>
                          <w:spacing w:val="-2"/>
                        </w:rPr>
                        <w:t>include:</w:t>
                      </w:r>
                    </w:p>
                    <w:p>
                      <w:pPr>
                        <w:pStyle w:val="BodyText"/>
                        <w:spacing w:before="10"/>
                        <w:rPr>
                          <w:color w:val="000000"/>
                          <w:sz w:val="26"/>
                        </w:rPr>
                      </w:pPr>
                    </w:p>
                    <w:p>
                      <w:pPr>
                        <w:pStyle w:val="BodyText"/>
                        <w:numPr>
                          <w:ilvl w:val="0"/>
                          <w:numId w:val="15"/>
                        </w:numPr>
                        <w:tabs>
                          <w:tab w:pos="500" w:val="left" w:leader="none"/>
                          <w:tab w:pos="502" w:val="left" w:leader="none"/>
                        </w:tabs>
                        <w:spacing w:line="288" w:lineRule="auto" w:before="0" w:after="0"/>
                        <w:ind w:left="502" w:right="155" w:hanging="219"/>
                        <w:jc w:val="left"/>
                        <w:rPr>
                          <w:color w:val="000000"/>
                        </w:rPr>
                      </w:pPr>
                      <w:r>
                        <w:rPr>
                          <w:color w:val="000000"/>
                        </w:rPr>
                        <w:t>the progress of the deployment of REFCL technology to satisfy the </w:t>
                      </w:r>
                      <w:r>
                        <w:rPr>
                          <w:i/>
                          <w:color w:val="000000"/>
                        </w:rPr>
                        <w:t>Electricity Safety (Bushfire Mitigation) Regulations 2013 </w:t>
                      </w:r>
                      <w:r>
                        <w:rPr>
                          <w:color w:val="000000"/>
                        </w:rPr>
                        <w:t>should be subject to annual evaluation by the Powerline Bushfire Safety Committee. The first report should be provided through the Director</w:t>
                      </w:r>
                      <w:r>
                        <w:rPr>
                          <w:color w:val="000000"/>
                          <w:spacing w:val="-4"/>
                        </w:rPr>
                        <w:t> </w:t>
                      </w:r>
                      <w:r>
                        <w:rPr>
                          <w:color w:val="000000"/>
                        </w:rPr>
                        <w:t>of</w:t>
                      </w:r>
                      <w:r>
                        <w:rPr>
                          <w:color w:val="000000"/>
                          <w:spacing w:val="-1"/>
                        </w:rPr>
                        <w:t> </w:t>
                      </w:r>
                      <w:r>
                        <w:rPr>
                          <w:color w:val="000000"/>
                        </w:rPr>
                        <w:t>Energy</w:t>
                      </w:r>
                      <w:r>
                        <w:rPr>
                          <w:color w:val="000000"/>
                          <w:spacing w:val="-5"/>
                        </w:rPr>
                        <w:t> </w:t>
                      </w:r>
                      <w:r>
                        <w:rPr>
                          <w:color w:val="000000"/>
                        </w:rPr>
                        <w:t>Safety</w:t>
                      </w:r>
                      <w:r>
                        <w:rPr>
                          <w:color w:val="000000"/>
                          <w:spacing w:val="-5"/>
                        </w:rPr>
                        <w:t> </w:t>
                      </w:r>
                      <w:r>
                        <w:rPr>
                          <w:color w:val="000000"/>
                        </w:rPr>
                        <w:t>to</w:t>
                      </w:r>
                      <w:r>
                        <w:rPr>
                          <w:color w:val="000000"/>
                          <w:spacing w:val="-3"/>
                        </w:rPr>
                        <w:t> </w:t>
                      </w:r>
                      <w:r>
                        <w:rPr>
                          <w:color w:val="000000"/>
                        </w:rPr>
                        <w:t>the</w:t>
                      </w:r>
                      <w:r>
                        <w:rPr>
                          <w:color w:val="000000"/>
                          <w:spacing w:val="-3"/>
                        </w:rPr>
                        <w:t> </w:t>
                      </w:r>
                      <w:r>
                        <w:rPr>
                          <w:color w:val="000000"/>
                        </w:rPr>
                        <w:t>Minister</w:t>
                      </w:r>
                      <w:r>
                        <w:rPr>
                          <w:color w:val="000000"/>
                          <w:spacing w:val="-4"/>
                        </w:rPr>
                        <w:t> </w:t>
                      </w:r>
                      <w:r>
                        <w:rPr>
                          <w:color w:val="000000"/>
                        </w:rPr>
                        <w:t>for</w:t>
                      </w:r>
                      <w:r>
                        <w:rPr>
                          <w:color w:val="000000"/>
                          <w:spacing w:val="-2"/>
                        </w:rPr>
                        <w:t> </w:t>
                      </w:r>
                      <w:r>
                        <w:rPr>
                          <w:color w:val="000000"/>
                        </w:rPr>
                        <w:t>Energy,</w:t>
                      </w:r>
                      <w:r>
                        <w:rPr>
                          <w:color w:val="000000"/>
                          <w:spacing w:val="-1"/>
                        </w:rPr>
                        <w:t> </w:t>
                      </w:r>
                      <w:r>
                        <w:rPr>
                          <w:color w:val="000000"/>
                        </w:rPr>
                        <w:t>Environment</w:t>
                      </w:r>
                      <w:r>
                        <w:rPr>
                          <w:color w:val="000000"/>
                          <w:spacing w:val="-2"/>
                        </w:rPr>
                        <w:t> </w:t>
                      </w:r>
                      <w:r>
                        <w:rPr>
                          <w:color w:val="000000"/>
                        </w:rPr>
                        <w:t>and</w:t>
                      </w:r>
                      <w:r>
                        <w:rPr>
                          <w:color w:val="000000"/>
                          <w:spacing w:val="-5"/>
                        </w:rPr>
                        <w:t> </w:t>
                      </w:r>
                      <w:r>
                        <w:rPr>
                          <w:color w:val="000000"/>
                        </w:rPr>
                        <w:t>Climate</w:t>
                      </w:r>
                      <w:r>
                        <w:rPr>
                          <w:color w:val="000000"/>
                          <w:spacing w:val="-5"/>
                        </w:rPr>
                        <w:t> </w:t>
                      </w:r>
                      <w:r>
                        <w:rPr>
                          <w:color w:val="000000"/>
                        </w:rPr>
                        <w:t>Change by May 2018 (Recommendation 27);</w:t>
                      </w:r>
                    </w:p>
                    <w:p>
                      <w:pPr>
                        <w:pStyle w:val="BodyText"/>
                        <w:rPr>
                          <w:color w:val="000000"/>
                        </w:rPr>
                      </w:pPr>
                    </w:p>
                    <w:p>
                      <w:pPr>
                        <w:pStyle w:val="BodyText"/>
                        <w:numPr>
                          <w:ilvl w:val="0"/>
                          <w:numId w:val="15"/>
                        </w:numPr>
                        <w:tabs>
                          <w:tab w:pos="500" w:val="left" w:leader="none"/>
                          <w:tab w:pos="502" w:val="left" w:leader="none"/>
                        </w:tabs>
                        <w:spacing w:line="288" w:lineRule="auto" w:before="0" w:after="0"/>
                        <w:ind w:left="502" w:right="137" w:hanging="219"/>
                        <w:jc w:val="left"/>
                        <w:rPr>
                          <w:color w:val="000000"/>
                        </w:rPr>
                      </w:pPr>
                      <w:r>
                        <w:rPr>
                          <w:color w:val="000000"/>
                        </w:rPr>
                        <w:t>ESV should continue to work closely with distribution businesses, and with the assistance of the Powerline Bushfire Safety Committee, provide timely advice to the Minister</w:t>
                      </w:r>
                      <w:r>
                        <w:rPr>
                          <w:color w:val="000000"/>
                          <w:spacing w:val="-3"/>
                        </w:rPr>
                        <w:t> </w:t>
                      </w:r>
                      <w:r>
                        <w:rPr>
                          <w:color w:val="000000"/>
                        </w:rPr>
                        <w:t>for</w:t>
                      </w:r>
                      <w:r>
                        <w:rPr>
                          <w:color w:val="000000"/>
                          <w:spacing w:val="-1"/>
                        </w:rPr>
                        <w:t> </w:t>
                      </w:r>
                      <w:r>
                        <w:rPr>
                          <w:color w:val="000000"/>
                        </w:rPr>
                        <w:t>Energy, Environment and</w:t>
                      </w:r>
                      <w:r>
                        <w:rPr>
                          <w:color w:val="000000"/>
                          <w:spacing w:val="-4"/>
                        </w:rPr>
                        <w:t> </w:t>
                      </w:r>
                      <w:r>
                        <w:rPr>
                          <w:color w:val="000000"/>
                        </w:rPr>
                        <w:t>Climate</w:t>
                      </w:r>
                      <w:r>
                        <w:rPr>
                          <w:color w:val="000000"/>
                          <w:spacing w:val="-4"/>
                        </w:rPr>
                        <w:t> </w:t>
                      </w:r>
                      <w:r>
                        <w:rPr>
                          <w:color w:val="000000"/>
                        </w:rPr>
                        <w:t>Change</w:t>
                      </w:r>
                      <w:r>
                        <w:rPr>
                          <w:color w:val="000000"/>
                          <w:spacing w:val="-4"/>
                        </w:rPr>
                        <w:t> </w:t>
                      </w:r>
                      <w:r>
                        <w:rPr>
                          <w:color w:val="000000"/>
                        </w:rPr>
                        <w:t>on</w:t>
                      </w:r>
                      <w:r>
                        <w:rPr>
                          <w:color w:val="000000"/>
                          <w:spacing w:val="-4"/>
                        </w:rPr>
                        <w:t> </w:t>
                      </w:r>
                      <w:r>
                        <w:rPr>
                          <w:color w:val="000000"/>
                        </w:rPr>
                        <w:t>the</w:t>
                      </w:r>
                      <w:r>
                        <w:rPr>
                          <w:color w:val="000000"/>
                          <w:spacing w:val="-2"/>
                        </w:rPr>
                        <w:t> </w:t>
                      </w:r>
                      <w:r>
                        <w:rPr>
                          <w:color w:val="000000"/>
                        </w:rPr>
                        <w:t>need</w:t>
                      </w:r>
                      <w:r>
                        <w:rPr>
                          <w:color w:val="000000"/>
                          <w:spacing w:val="-7"/>
                        </w:rPr>
                        <w:t> </w:t>
                      </w:r>
                      <w:r>
                        <w:rPr>
                          <w:color w:val="000000"/>
                        </w:rPr>
                        <w:t>for</w:t>
                      </w:r>
                      <w:r>
                        <w:rPr>
                          <w:color w:val="000000"/>
                          <w:spacing w:val="-1"/>
                        </w:rPr>
                        <w:t> </w:t>
                      </w:r>
                      <w:r>
                        <w:rPr>
                          <w:color w:val="000000"/>
                        </w:rPr>
                        <w:t>any</w:t>
                      </w:r>
                      <w:r>
                        <w:rPr>
                          <w:color w:val="000000"/>
                          <w:spacing w:val="-6"/>
                        </w:rPr>
                        <w:t> </w:t>
                      </w:r>
                      <w:r>
                        <w:rPr>
                          <w:color w:val="000000"/>
                        </w:rPr>
                        <w:t>exemptions from the performance standards contained in the </w:t>
                      </w:r>
                      <w:r>
                        <w:rPr>
                          <w:i/>
                          <w:color w:val="000000"/>
                        </w:rPr>
                        <w:t>Electricity Safety (Bushfire</w:t>
                      </w:r>
                      <w:r>
                        <w:rPr>
                          <w:i/>
                          <w:color w:val="000000"/>
                          <w:spacing w:val="40"/>
                        </w:rPr>
                        <w:t> </w:t>
                      </w:r>
                      <w:r>
                        <w:rPr>
                          <w:i/>
                          <w:color w:val="000000"/>
                        </w:rPr>
                        <w:t>Mitigation) Regulations 2013 </w:t>
                      </w:r>
                      <w:r>
                        <w:rPr>
                          <w:color w:val="000000"/>
                        </w:rPr>
                        <w:t>(Recommendation 28); and</w:t>
                      </w:r>
                    </w:p>
                    <w:p>
                      <w:pPr>
                        <w:pStyle w:val="BodyText"/>
                        <w:spacing w:before="3"/>
                        <w:rPr>
                          <w:color w:val="000000"/>
                        </w:rPr>
                      </w:pPr>
                    </w:p>
                    <w:p>
                      <w:pPr>
                        <w:pStyle w:val="BodyText"/>
                        <w:numPr>
                          <w:ilvl w:val="0"/>
                          <w:numId w:val="15"/>
                        </w:numPr>
                        <w:tabs>
                          <w:tab w:pos="500" w:val="left" w:leader="none"/>
                          <w:tab w:pos="502" w:val="left" w:leader="none"/>
                        </w:tabs>
                        <w:spacing w:line="288" w:lineRule="auto" w:before="1" w:after="0"/>
                        <w:ind w:left="502" w:right="729" w:hanging="219"/>
                        <w:jc w:val="left"/>
                        <w:rPr>
                          <w:color w:val="000000"/>
                        </w:rPr>
                      </w:pPr>
                      <w:r>
                        <w:rPr>
                          <w:color w:val="000000"/>
                        </w:rPr>
                        <w:t>the Victorian Government should consider providing ongoing funding for further research</w:t>
                      </w:r>
                      <w:r>
                        <w:rPr>
                          <w:color w:val="000000"/>
                          <w:spacing w:val="-4"/>
                        </w:rPr>
                        <w:t> </w:t>
                      </w:r>
                      <w:r>
                        <w:rPr>
                          <w:color w:val="000000"/>
                        </w:rPr>
                        <w:t>and</w:t>
                      </w:r>
                      <w:r>
                        <w:rPr>
                          <w:color w:val="000000"/>
                          <w:spacing w:val="-3"/>
                        </w:rPr>
                        <w:t> </w:t>
                      </w:r>
                      <w:r>
                        <w:rPr>
                          <w:color w:val="000000"/>
                        </w:rPr>
                        <w:t>development</w:t>
                      </w:r>
                      <w:r>
                        <w:rPr>
                          <w:color w:val="000000"/>
                          <w:spacing w:val="-2"/>
                        </w:rPr>
                        <w:t> </w:t>
                      </w:r>
                      <w:r>
                        <w:rPr>
                          <w:color w:val="000000"/>
                        </w:rPr>
                        <w:t>into</w:t>
                      </w:r>
                      <w:r>
                        <w:rPr>
                          <w:color w:val="000000"/>
                          <w:spacing w:val="-4"/>
                        </w:rPr>
                        <w:t> </w:t>
                      </w:r>
                      <w:r>
                        <w:rPr>
                          <w:color w:val="000000"/>
                        </w:rPr>
                        <w:t>new</w:t>
                      </w:r>
                      <w:r>
                        <w:rPr>
                          <w:color w:val="000000"/>
                          <w:spacing w:val="-3"/>
                        </w:rPr>
                        <w:t> </w:t>
                      </w:r>
                      <w:r>
                        <w:rPr>
                          <w:color w:val="000000"/>
                        </w:rPr>
                        <w:t>technology</w:t>
                      </w:r>
                      <w:r>
                        <w:rPr>
                          <w:color w:val="000000"/>
                          <w:spacing w:val="-4"/>
                        </w:rPr>
                        <w:t> </w:t>
                      </w:r>
                      <w:r>
                        <w:rPr>
                          <w:color w:val="000000"/>
                        </w:rPr>
                        <w:t>to</w:t>
                      </w:r>
                      <w:r>
                        <w:rPr>
                          <w:color w:val="000000"/>
                          <w:spacing w:val="-4"/>
                        </w:rPr>
                        <w:t> </w:t>
                      </w:r>
                      <w:r>
                        <w:rPr>
                          <w:color w:val="000000"/>
                        </w:rPr>
                        <w:t>manage</w:t>
                      </w:r>
                      <w:r>
                        <w:rPr>
                          <w:color w:val="000000"/>
                          <w:spacing w:val="-4"/>
                        </w:rPr>
                        <w:t> </w:t>
                      </w:r>
                      <w:r>
                        <w:rPr>
                          <w:color w:val="000000"/>
                        </w:rPr>
                        <w:t>the</w:t>
                      </w:r>
                      <w:r>
                        <w:rPr>
                          <w:color w:val="000000"/>
                          <w:spacing w:val="-4"/>
                        </w:rPr>
                        <w:t> </w:t>
                      </w:r>
                      <w:r>
                        <w:rPr>
                          <w:color w:val="000000"/>
                        </w:rPr>
                        <w:t>bushfire</w:t>
                      </w:r>
                      <w:r>
                        <w:rPr>
                          <w:color w:val="000000"/>
                          <w:spacing w:val="-4"/>
                        </w:rPr>
                        <w:t> </w:t>
                      </w:r>
                      <w:r>
                        <w:rPr>
                          <w:color w:val="000000"/>
                        </w:rPr>
                        <w:t>risk</w:t>
                      </w:r>
                      <w:r>
                        <w:rPr>
                          <w:color w:val="000000"/>
                          <w:spacing w:val="-4"/>
                        </w:rPr>
                        <w:t> </w:t>
                      </w:r>
                      <w:r>
                        <w:rPr>
                          <w:color w:val="000000"/>
                        </w:rPr>
                        <w:t>from electric lines, with:</w:t>
                      </w:r>
                    </w:p>
                    <w:p>
                      <w:pPr>
                        <w:pStyle w:val="BodyText"/>
                        <w:spacing w:before="8"/>
                        <w:rPr>
                          <w:color w:val="000000"/>
                          <w:sz w:val="20"/>
                        </w:rPr>
                      </w:pPr>
                    </w:p>
                    <w:p>
                      <w:pPr>
                        <w:pStyle w:val="BodyText"/>
                        <w:ind w:left="463"/>
                        <w:rPr>
                          <w:color w:val="000000"/>
                        </w:rPr>
                      </w:pPr>
                      <w:r>
                        <w:rPr>
                          <w:color w:val="000000"/>
                        </w:rPr>
                        <w:t>–</w:t>
                      </w:r>
                      <w:r>
                        <w:rPr>
                          <w:color w:val="000000"/>
                          <w:spacing w:val="24"/>
                        </w:rPr>
                        <w:t> </w:t>
                      </w:r>
                      <w:r>
                        <w:rPr>
                          <w:color w:val="000000"/>
                        </w:rPr>
                        <w:t>any</w:t>
                      </w:r>
                      <w:r>
                        <w:rPr>
                          <w:color w:val="000000"/>
                          <w:spacing w:val="-5"/>
                        </w:rPr>
                        <w:t> </w:t>
                      </w:r>
                      <w:r>
                        <w:rPr>
                          <w:color w:val="000000"/>
                        </w:rPr>
                        <w:t>government</w:t>
                      </w:r>
                      <w:r>
                        <w:rPr>
                          <w:color w:val="000000"/>
                          <w:spacing w:val="-5"/>
                        </w:rPr>
                        <w:t> </w:t>
                      </w:r>
                      <w:r>
                        <w:rPr>
                          <w:color w:val="000000"/>
                        </w:rPr>
                        <w:t>funding</w:t>
                      </w:r>
                      <w:r>
                        <w:rPr>
                          <w:color w:val="000000"/>
                          <w:spacing w:val="-5"/>
                        </w:rPr>
                        <w:t> </w:t>
                      </w:r>
                      <w:r>
                        <w:rPr>
                          <w:color w:val="000000"/>
                        </w:rPr>
                        <w:t>to</w:t>
                      </w:r>
                      <w:r>
                        <w:rPr>
                          <w:color w:val="000000"/>
                          <w:spacing w:val="-3"/>
                        </w:rPr>
                        <w:t> </w:t>
                      </w:r>
                      <w:r>
                        <w:rPr>
                          <w:color w:val="000000"/>
                        </w:rPr>
                        <w:t>be</w:t>
                      </w:r>
                      <w:r>
                        <w:rPr>
                          <w:color w:val="000000"/>
                          <w:spacing w:val="-5"/>
                        </w:rPr>
                        <w:t> </w:t>
                      </w:r>
                      <w:r>
                        <w:rPr>
                          <w:color w:val="000000"/>
                        </w:rPr>
                        <w:t>contingent</w:t>
                      </w:r>
                      <w:r>
                        <w:rPr>
                          <w:color w:val="000000"/>
                          <w:spacing w:val="-1"/>
                        </w:rPr>
                        <w:t> </w:t>
                      </w:r>
                      <w:r>
                        <w:rPr>
                          <w:color w:val="000000"/>
                        </w:rPr>
                        <w:t>on</w:t>
                      </w:r>
                      <w:r>
                        <w:rPr>
                          <w:color w:val="000000"/>
                          <w:spacing w:val="-6"/>
                        </w:rPr>
                        <w:t> </w:t>
                      </w:r>
                      <w:r>
                        <w:rPr>
                          <w:color w:val="000000"/>
                        </w:rPr>
                        <w:t>being</w:t>
                      </w:r>
                      <w:r>
                        <w:rPr>
                          <w:color w:val="000000"/>
                          <w:spacing w:val="-3"/>
                        </w:rPr>
                        <w:t> </w:t>
                      </w:r>
                      <w:r>
                        <w:rPr>
                          <w:color w:val="000000"/>
                        </w:rPr>
                        <w:t>at</w:t>
                      </w:r>
                      <w:r>
                        <w:rPr>
                          <w:color w:val="000000"/>
                          <w:spacing w:val="-4"/>
                        </w:rPr>
                        <w:t> </w:t>
                      </w:r>
                      <w:r>
                        <w:rPr>
                          <w:color w:val="000000"/>
                        </w:rPr>
                        <w:t>least</w:t>
                      </w:r>
                      <w:r>
                        <w:rPr>
                          <w:color w:val="000000"/>
                          <w:spacing w:val="-4"/>
                        </w:rPr>
                        <w:t> </w:t>
                      </w:r>
                      <w:r>
                        <w:rPr>
                          <w:color w:val="000000"/>
                        </w:rPr>
                        <w:t>matched</w:t>
                      </w:r>
                      <w:r>
                        <w:rPr>
                          <w:color w:val="000000"/>
                          <w:spacing w:val="-3"/>
                        </w:rPr>
                        <w:t> </w:t>
                      </w:r>
                      <w:r>
                        <w:rPr>
                          <w:color w:val="000000"/>
                        </w:rPr>
                        <w:t>by</w:t>
                      </w:r>
                      <w:r>
                        <w:rPr>
                          <w:color w:val="000000"/>
                          <w:spacing w:val="-5"/>
                        </w:rPr>
                        <w:t> </w:t>
                      </w:r>
                      <w:r>
                        <w:rPr>
                          <w:color w:val="000000"/>
                          <w:spacing w:val="-2"/>
                        </w:rPr>
                        <w:t>contributions</w:t>
                      </w:r>
                    </w:p>
                  </w:txbxContent>
                </v:textbox>
                <v:fill type="solid"/>
                <w10:wrap type="topAndBottom"/>
              </v:shape>
            </w:pict>
          </mc:Fallback>
        </mc:AlternateContent>
      </w:r>
    </w:p>
    <w:p>
      <w:pPr>
        <w:spacing w:after="0"/>
        <w:rPr>
          <w:sz w:val="18"/>
        </w:rPr>
        <w:sectPr>
          <w:pgSz w:w="11910" w:h="16850"/>
          <w:pgMar w:header="465" w:footer="880" w:top="660" w:bottom="1060" w:left="840" w:right="820"/>
        </w:sectPr>
      </w:pPr>
    </w:p>
    <w:p>
      <w:pPr>
        <w:pStyle w:val="BodyText"/>
        <w:rPr>
          <w:sz w:val="20"/>
        </w:rPr>
      </w:pPr>
    </w:p>
    <w:p>
      <w:pPr>
        <w:pStyle w:val="BodyText"/>
        <w:rPr>
          <w:sz w:val="20"/>
        </w:rPr>
      </w:pPr>
    </w:p>
    <w:p>
      <w:pPr>
        <w:pStyle w:val="BodyText"/>
        <w:spacing w:before="4"/>
      </w:pPr>
    </w:p>
    <w:p>
      <w:pPr>
        <w:pStyle w:val="BodyText"/>
        <w:ind w:left="292"/>
        <w:rPr>
          <w:sz w:val="20"/>
        </w:rPr>
      </w:pPr>
      <w:r>
        <w:rPr>
          <w:sz w:val="20"/>
        </w:rPr>
        <mc:AlternateContent>
          <mc:Choice Requires="wps">
            <w:drawing>
              <wp:inline distT="0" distB="0" distL="0" distR="0">
                <wp:extent cx="5753100" cy="883285"/>
                <wp:effectExtent l="0" t="0" r="0" b="0"/>
                <wp:docPr id="14" name="Textbox 14"/>
                <wp:cNvGraphicFramePr>
                  <a:graphicFrameLocks/>
                </wp:cNvGraphicFramePr>
                <a:graphic>
                  <a:graphicData uri="http://schemas.microsoft.com/office/word/2010/wordprocessingShape">
                    <wps:wsp>
                      <wps:cNvPr id="14" name="Textbox 14"/>
                      <wps:cNvSpPr txBox="1"/>
                      <wps:spPr>
                        <a:xfrm>
                          <a:off x="0" y="0"/>
                          <a:ext cx="5753100" cy="883285"/>
                        </a:xfrm>
                        <a:prstGeom prst="rect">
                          <a:avLst/>
                        </a:prstGeom>
                        <a:solidFill>
                          <a:srgbClr val="D9D9D9"/>
                        </a:solidFill>
                      </wps:spPr>
                      <wps:txbx>
                        <w:txbxContent>
                          <w:p>
                            <w:pPr>
                              <w:pStyle w:val="BodyText"/>
                              <w:ind w:left="679"/>
                              <w:rPr>
                                <w:color w:val="000000"/>
                              </w:rPr>
                            </w:pPr>
                            <w:r>
                              <w:rPr>
                                <w:color w:val="000000"/>
                              </w:rPr>
                              <w:t>from</w:t>
                            </w:r>
                            <w:r>
                              <w:rPr>
                                <w:color w:val="000000"/>
                                <w:spacing w:val="-9"/>
                              </w:rPr>
                              <w:t> </w:t>
                            </w:r>
                            <w:r>
                              <w:rPr>
                                <w:color w:val="000000"/>
                              </w:rPr>
                              <w:t>distribution</w:t>
                            </w:r>
                            <w:r>
                              <w:rPr>
                                <w:color w:val="000000"/>
                                <w:spacing w:val="-10"/>
                              </w:rPr>
                              <w:t> </w:t>
                            </w:r>
                            <w:r>
                              <w:rPr>
                                <w:color w:val="000000"/>
                              </w:rPr>
                              <w:t>companies;</w:t>
                            </w:r>
                            <w:r>
                              <w:rPr>
                                <w:color w:val="000000"/>
                                <w:spacing w:val="-8"/>
                              </w:rPr>
                              <w:t> </w:t>
                            </w:r>
                            <w:r>
                              <w:rPr>
                                <w:color w:val="000000"/>
                                <w:spacing w:val="-5"/>
                              </w:rPr>
                              <w:t>and</w:t>
                            </w:r>
                          </w:p>
                          <w:p>
                            <w:pPr>
                              <w:pStyle w:val="BodyText"/>
                              <w:spacing w:before="2"/>
                              <w:rPr>
                                <w:color w:val="000000"/>
                                <w:sz w:val="25"/>
                              </w:rPr>
                            </w:pPr>
                          </w:p>
                          <w:p>
                            <w:pPr>
                              <w:pStyle w:val="BodyText"/>
                              <w:spacing w:line="288" w:lineRule="auto"/>
                              <w:ind w:left="679" w:hanging="216"/>
                              <w:rPr>
                                <w:color w:val="000000"/>
                              </w:rPr>
                            </w:pPr>
                            <w:r>
                              <w:rPr>
                                <w:color w:val="000000"/>
                              </w:rPr>
                              <w:t>–</w:t>
                            </w:r>
                            <w:r>
                              <w:rPr>
                                <w:color w:val="000000"/>
                                <w:spacing w:val="27"/>
                              </w:rPr>
                              <w:t> </w:t>
                            </w:r>
                            <w:r>
                              <w:rPr>
                                <w:color w:val="000000"/>
                              </w:rPr>
                              <w:t>the</w:t>
                            </w:r>
                            <w:r>
                              <w:rPr>
                                <w:color w:val="000000"/>
                                <w:spacing w:val="-4"/>
                              </w:rPr>
                              <w:t> </w:t>
                            </w:r>
                            <w:r>
                              <w:rPr>
                                <w:color w:val="000000"/>
                              </w:rPr>
                              <w:t>research</w:t>
                            </w:r>
                            <w:r>
                              <w:rPr>
                                <w:color w:val="000000"/>
                                <w:spacing w:val="-4"/>
                              </w:rPr>
                              <w:t> </w:t>
                            </w:r>
                            <w:r>
                              <w:rPr>
                                <w:color w:val="000000"/>
                              </w:rPr>
                              <w:t>and</w:t>
                            </w:r>
                            <w:r>
                              <w:rPr>
                                <w:color w:val="000000"/>
                                <w:spacing w:val="-4"/>
                              </w:rPr>
                              <w:t> </w:t>
                            </w:r>
                            <w:r>
                              <w:rPr>
                                <w:color w:val="000000"/>
                              </w:rPr>
                              <w:t>development</w:t>
                            </w:r>
                            <w:r>
                              <w:rPr>
                                <w:color w:val="000000"/>
                                <w:spacing w:val="-3"/>
                              </w:rPr>
                              <w:t> </w:t>
                            </w:r>
                            <w:r>
                              <w:rPr>
                                <w:color w:val="000000"/>
                              </w:rPr>
                              <w:t>program</w:t>
                            </w:r>
                            <w:r>
                              <w:rPr>
                                <w:color w:val="000000"/>
                                <w:spacing w:val="-3"/>
                              </w:rPr>
                              <w:t> </w:t>
                            </w:r>
                            <w:r>
                              <w:rPr>
                                <w:color w:val="000000"/>
                              </w:rPr>
                              <w:t>being</w:t>
                            </w:r>
                            <w:r>
                              <w:rPr>
                                <w:color w:val="000000"/>
                                <w:spacing w:val="-3"/>
                              </w:rPr>
                              <w:t> </w:t>
                            </w:r>
                            <w:r>
                              <w:rPr>
                                <w:color w:val="000000"/>
                              </w:rPr>
                              <w:t>managed</w:t>
                            </w:r>
                            <w:r>
                              <w:rPr>
                                <w:color w:val="000000"/>
                                <w:spacing w:val="-4"/>
                              </w:rPr>
                              <w:t> </w:t>
                            </w:r>
                            <w:r>
                              <w:rPr>
                                <w:color w:val="000000"/>
                              </w:rPr>
                              <w:t>jointly</w:t>
                            </w:r>
                            <w:r>
                              <w:rPr>
                                <w:color w:val="000000"/>
                                <w:spacing w:val="-4"/>
                              </w:rPr>
                              <w:t> </w:t>
                            </w:r>
                            <w:r>
                              <w:rPr>
                                <w:color w:val="000000"/>
                              </w:rPr>
                              <w:t>with</w:t>
                            </w:r>
                            <w:r>
                              <w:rPr>
                                <w:color w:val="000000"/>
                                <w:spacing w:val="-3"/>
                              </w:rPr>
                              <w:t> </w:t>
                            </w:r>
                            <w:r>
                              <w:rPr>
                                <w:color w:val="000000"/>
                              </w:rPr>
                              <w:t>distribution companies (Recommendation 29).</w:t>
                            </w:r>
                          </w:p>
                        </w:txbxContent>
                      </wps:txbx>
                      <wps:bodyPr wrap="square" lIns="0" tIns="0" rIns="0" bIns="0" rtlCol="0">
                        <a:noAutofit/>
                      </wps:bodyPr>
                    </wps:wsp>
                  </a:graphicData>
                </a:graphic>
              </wp:inline>
            </w:drawing>
          </mc:Choice>
          <mc:Fallback>
            <w:pict>
              <v:shape style="width:453pt;height:69.55pt;mso-position-horizontal-relative:char;mso-position-vertical-relative:line" type="#_x0000_t202" id="docshape13" filled="true" fillcolor="#d9d9d9" stroked="false">
                <w10:anchorlock/>
                <v:textbox inset="0,0,0,0">
                  <w:txbxContent>
                    <w:p>
                      <w:pPr>
                        <w:pStyle w:val="BodyText"/>
                        <w:ind w:left="679"/>
                        <w:rPr>
                          <w:color w:val="000000"/>
                        </w:rPr>
                      </w:pPr>
                      <w:r>
                        <w:rPr>
                          <w:color w:val="000000"/>
                        </w:rPr>
                        <w:t>from</w:t>
                      </w:r>
                      <w:r>
                        <w:rPr>
                          <w:color w:val="000000"/>
                          <w:spacing w:val="-9"/>
                        </w:rPr>
                        <w:t> </w:t>
                      </w:r>
                      <w:r>
                        <w:rPr>
                          <w:color w:val="000000"/>
                        </w:rPr>
                        <w:t>distribution</w:t>
                      </w:r>
                      <w:r>
                        <w:rPr>
                          <w:color w:val="000000"/>
                          <w:spacing w:val="-10"/>
                        </w:rPr>
                        <w:t> </w:t>
                      </w:r>
                      <w:r>
                        <w:rPr>
                          <w:color w:val="000000"/>
                        </w:rPr>
                        <w:t>companies;</w:t>
                      </w:r>
                      <w:r>
                        <w:rPr>
                          <w:color w:val="000000"/>
                          <w:spacing w:val="-8"/>
                        </w:rPr>
                        <w:t> </w:t>
                      </w:r>
                      <w:r>
                        <w:rPr>
                          <w:color w:val="000000"/>
                          <w:spacing w:val="-5"/>
                        </w:rPr>
                        <w:t>and</w:t>
                      </w:r>
                    </w:p>
                    <w:p>
                      <w:pPr>
                        <w:pStyle w:val="BodyText"/>
                        <w:spacing w:before="2"/>
                        <w:rPr>
                          <w:color w:val="000000"/>
                          <w:sz w:val="25"/>
                        </w:rPr>
                      </w:pPr>
                    </w:p>
                    <w:p>
                      <w:pPr>
                        <w:pStyle w:val="BodyText"/>
                        <w:spacing w:line="288" w:lineRule="auto"/>
                        <w:ind w:left="679" w:hanging="216"/>
                        <w:rPr>
                          <w:color w:val="000000"/>
                        </w:rPr>
                      </w:pPr>
                      <w:r>
                        <w:rPr>
                          <w:color w:val="000000"/>
                        </w:rPr>
                        <w:t>–</w:t>
                      </w:r>
                      <w:r>
                        <w:rPr>
                          <w:color w:val="000000"/>
                          <w:spacing w:val="27"/>
                        </w:rPr>
                        <w:t> </w:t>
                      </w:r>
                      <w:r>
                        <w:rPr>
                          <w:color w:val="000000"/>
                        </w:rPr>
                        <w:t>the</w:t>
                      </w:r>
                      <w:r>
                        <w:rPr>
                          <w:color w:val="000000"/>
                          <w:spacing w:val="-4"/>
                        </w:rPr>
                        <w:t> </w:t>
                      </w:r>
                      <w:r>
                        <w:rPr>
                          <w:color w:val="000000"/>
                        </w:rPr>
                        <w:t>research</w:t>
                      </w:r>
                      <w:r>
                        <w:rPr>
                          <w:color w:val="000000"/>
                          <w:spacing w:val="-4"/>
                        </w:rPr>
                        <w:t> </w:t>
                      </w:r>
                      <w:r>
                        <w:rPr>
                          <w:color w:val="000000"/>
                        </w:rPr>
                        <w:t>and</w:t>
                      </w:r>
                      <w:r>
                        <w:rPr>
                          <w:color w:val="000000"/>
                          <w:spacing w:val="-4"/>
                        </w:rPr>
                        <w:t> </w:t>
                      </w:r>
                      <w:r>
                        <w:rPr>
                          <w:color w:val="000000"/>
                        </w:rPr>
                        <w:t>development</w:t>
                      </w:r>
                      <w:r>
                        <w:rPr>
                          <w:color w:val="000000"/>
                          <w:spacing w:val="-3"/>
                        </w:rPr>
                        <w:t> </w:t>
                      </w:r>
                      <w:r>
                        <w:rPr>
                          <w:color w:val="000000"/>
                        </w:rPr>
                        <w:t>program</w:t>
                      </w:r>
                      <w:r>
                        <w:rPr>
                          <w:color w:val="000000"/>
                          <w:spacing w:val="-3"/>
                        </w:rPr>
                        <w:t> </w:t>
                      </w:r>
                      <w:r>
                        <w:rPr>
                          <w:color w:val="000000"/>
                        </w:rPr>
                        <w:t>being</w:t>
                      </w:r>
                      <w:r>
                        <w:rPr>
                          <w:color w:val="000000"/>
                          <w:spacing w:val="-3"/>
                        </w:rPr>
                        <w:t> </w:t>
                      </w:r>
                      <w:r>
                        <w:rPr>
                          <w:color w:val="000000"/>
                        </w:rPr>
                        <w:t>managed</w:t>
                      </w:r>
                      <w:r>
                        <w:rPr>
                          <w:color w:val="000000"/>
                          <w:spacing w:val="-4"/>
                        </w:rPr>
                        <w:t> </w:t>
                      </w:r>
                      <w:r>
                        <w:rPr>
                          <w:color w:val="000000"/>
                        </w:rPr>
                        <w:t>jointly</w:t>
                      </w:r>
                      <w:r>
                        <w:rPr>
                          <w:color w:val="000000"/>
                          <w:spacing w:val="-4"/>
                        </w:rPr>
                        <w:t> </w:t>
                      </w:r>
                      <w:r>
                        <w:rPr>
                          <w:color w:val="000000"/>
                        </w:rPr>
                        <w:t>with</w:t>
                      </w:r>
                      <w:r>
                        <w:rPr>
                          <w:color w:val="000000"/>
                          <w:spacing w:val="-3"/>
                        </w:rPr>
                        <w:t> </w:t>
                      </w:r>
                      <w:r>
                        <w:rPr>
                          <w:color w:val="000000"/>
                        </w:rPr>
                        <w:t>distribution companies (Recommendation 29).</w:t>
                      </w:r>
                    </w:p>
                  </w:txbxContent>
                </v:textbox>
                <v:fill type="solid"/>
              </v:shape>
            </w:pict>
          </mc:Fallback>
        </mc:AlternateContent>
      </w:r>
      <w:r>
        <w:rPr>
          <w:sz w:val="20"/>
        </w:rPr>
      </w:r>
    </w:p>
    <w:p>
      <w:pPr>
        <w:pStyle w:val="BodyText"/>
        <w:spacing w:before="9"/>
        <w:rPr>
          <w:sz w:val="21"/>
        </w:rPr>
      </w:pPr>
    </w:p>
    <w:p>
      <w:pPr>
        <w:pStyle w:val="Heading4"/>
        <w:ind w:left="292"/>
      </w:pPr>
      <w:r>
        <w:rPr>
          <w:color w:val="585858"/>
        </w:rPr>
        <w:t>Regulating</w:t>
      </w:r>
      <w:r>
        <w:rPr>
          <w:color w:val="585858"/>
          <w:spacing w:val="-18"/>
        </w:rPr>
        <w:t> </w:t>
      </w:r>
      <w:r>
        <w:rPr>
          <w:color w:val="585858"/>
        </w:rPr>
        <w:t>underground</w:t>
      </w:r>
      <w:r>
        <w:rPr>
          <w:color w:val="585858"/>
          <w:spacing w:val="-17"/>
        </w:rPr>
        <w:t> </w:t>
      </w:r>
      <w:r>
        <w:rPr>
          <w:color w:val="585858"/>
          <w:spacing w:val="-2"/>
        </w:rPr>
        <w:t>assets</w:t>
      </w:r>
    </w:p>
    <w:p>
      <w:pPr>
        <w:pStyle w:val="BodyText"/>
        <w:spacing w:line="288" w:lineRule="auto" w:before="314"/>
        <w:ind w:left="292"/>
      </w:pPr>
      <w:r>
        <w:rPr/>
        <w:t>The</w:t>
      </w:r>
      <w:r>
        <w:rPr>
          <w:spacing w:val="-4"/>
        </w:rPr>
        <w:t> </w:t>
      </w:r>
      <w:r>
        <w:rPr/>
        <w:t>Review</w:t>
      </w:r>
      <w:r>
        <w:rPr>
          <w:spacing w:val="-5"/>
        </w:rPr>
        <w:t> </w:t>
      </w:r>
      <w:r>
        <w:rPr/>
        <w:t>has</w:t>
      </w:r>
      <w:r>
        <w:rPr>
          <w:spacing w:val="-1"/>
        </w:rPr>
        <w:t> </w:t>
      </w:r>
      <w:r>
        <w:rPr/>
        <w:t>given</w:t>
      </w:r>
      <w:r>
        <w:rPr>
          <w:spacing w:val="-2"/>
        </w:rPr>
        <w:t> </w:t>
      </w:r>
      <w:r>
        <w:rPr/>
        <w:t>particular</w:t>
      </w:r>
      <w:r>
        <w:rPr>
          <w:spacing w:val="-3"/>
        </w:rPr>
        <w:t> </w:t>
      </w:r>
      <w:r>
        <w:rPr/>
        <w:t>consideration</w:t>
      </w:r>
      <w:r>
        <w:rPr>
          <w:spacing w:val="-2"/>
        </w:rPr>
        <w:t> </w:t>
      </w:r>
      <w:r>
        <w:rPr/>
        <w:t>to</w:t>
      </w:r>
      <w:r>
        <w:rPr>
          <w:spacing w:val="-4"/>
        </w:rPr>
        <w:t> </w:t>
      </w:r>
      <w:r>
        <w:rPr/>
        <w:t>the</w:t>
      </w:r>
      <w:r>
        <w:rPr>
          <w:spacing w:val="-4"/>
        </w:rPr>
        <w:t> </w:t>
      </w:r>
      <w:r>
        <w:rPr/>
        <w:t>issues</w:t>
      </w:r>
      <w:r>
        <w:rPr>
          <w:spacing w:val="-1"/>
        </w:rPr>
        <w:t> </w:t>
      </w:r>
      <w:r>
        <w:rPr/>
        <w:t>around</w:t>
      </w:r>
      <w:r>
        <w:rPr>
          <w:spacing w:val="-4"/>
        </w:rPr>
        <w:t> </w:t>
      </w:r>
      <w:r>
        <w:rPr/>
        <w:t>the</w:t>
      </w:r>
      <w:r>
        <w:rPr>
          <w:spacing w:val="-4"/>
        </w:rPr>
        <w:t> </w:t>
      </w:r>
      <w:r>
        <w:rPr/>
        <w:t>safety</w:t>
      </w:r>
      <w:r>
        <w:rPr>
          <w:spacing w:val="-3"/>
        </w:rPr>
        <w:t> </w:t>
      </w:r>
      <w:r>
        <w:rPr/>
        <w:t>regulation</w:t>
      </w:r>
      <w:r>
        <w:rPr>
          <w:spacing w:val="-4"/>
        </w:rPr>
        <w:t> </w:t>
      </w:r>
      <w:r>
        <w:rPr/>
        <w:t>of underground assets, both electricity lines and gas transmission and distribution pipelines.</w:t>
      </w:r>
    </w:p>
    <w:p>
      <w:pPr>
        <w:pStyle w:val="BodyText"/>
        <w:spacing w:before="10"/>
        <w:rPr>
          <w:sz w:val="20"/>
        </w:rPr>
      </w:pPr>
    </w:p>
    <w:p>
      <w:pPr>
        <w:pStyle w:val="BodyText"/>
        <w:ind w:left="292"/>
      </w:pPr>
      <w:r>
        <w:rPr/>
        <w:t>There</w:t>
      </w:r>
      <w:r>
        <w:rPr>
          <w:spacing w:val="-5"/>
        </w:rPr>
        <w:t> </w:t>
      </w:r>
      <w:r>
        <w:rPr/>
        <w:t>are</w:t>
      </w:r>
      <w:r>
        <w:rPr>
          <w:spacing w:val="-5"/>
        </w:rPr>
        <w:t> </w:t>
      </w:r>
      <w:r>
        <w:rPr/>
        <w:t>several</w:t>
      </w:r>
      <w:r>
        <w:rPr>
          <w:spacing w:val="-7"/>
        </w:rPr>
        <w:t> </w:t>
      </w:r>
      <w:r>
        <w:rPr/>
        <w:t>questions</w:t>
      </w:r>
      <w:r>
        <w:rPr>
          <w:spacing w:val="-4"/>
        </w:rPr>
        <w:t> </w:t>
      </w:r>
      <w:r>
        <w:rPr/>
        <w:t>of</w:t>
      </w:r>
      <w:r>
        <w:rPr>
          <w:spacing w:val="-3"/>
        </w:rPr>
        <w:t> </w:t>
      </w:r>
      <w:r>
        <w:rPr/>
        <w:t>interest,</w:t>
      </w:r>
      <w:r>
        <w:rPr>
          <w:spacing w:val="-3"/>
        </w:rPr>
        <w:t> </w:t>
      </w:r>
      <w:r>
        <w:rPr>
          <w:spacing w:val="-2"/>
        </w:rPr>
        <w:t>including:</w:t>
      </w:r>
    </w:p>
    <w:p>
      <w:pPr>
        <w:pStyle w:val="BodyText"/>
        <w:spacing w:before="10"/>
        <w:rPr>
          <w:sz w:val="26"/>
        </w:rPr>
      </w:pPr>
    </w:p>
    <w:p>
      <w:pPr>
        <w:pStyle w:val="ListParagraph"/>
        <w:numPr>
          <w:ilvl w:val="1"/>
          <w:numId w:val="9"/>
        </w:numPr>
        <w:tabs>
          <w:tab w:pos="794" w:val="left" w:leader="none"/>
        </w:tabs>
        <w:spacing w:line="288" w:lineRule="auto" w:before="0" w:after="0"/>
        <w:ind w:left="794" w:right="312" w:hanging="361"/>
        <w:jc w:val="left"/>
        <w:rPr>
          <w:sz w:val="22"/>
        </w:rPr>
      </w:pPr>
      <w:r>
        <w:rPr>
          <w:sz w:val="22"/>
        </w:rPr>
        <w:t>Do network companies have strong systems in place to make sure their underground assets are</w:t>
      </w:r>
      <w:r>
        <w:rPr>
          <w:spacing w:val="-1"/>
          <w:sz w:val="22"/>
        </w:rPr>
        <w:t> </w:t>
      </w:r>
      <w:r>
        <w:rPr>
          <w:sz w:val="22"/>
        </w:rPr>
        <w:t>properly</w:t>
      </w:r>
      <w:r>
        <w:rPr>
          <w:spacing w:val="-4"/>
          <w:sz w:val="22"/>
        </w:rPr>
        <w:t> </w:t>
      </w:r>
      <w:r>
        <w:rPr>
          <w:sz w:val="22"/>
        </w:rPr>
        <w:t>designated</w:t>
      </w:r>
      <w:r>
        <w:rPr>
          <w:spacing w:val="-3"/>
          <w:sz w:val="22"/>
        </w:rPr>
        <w:t> </w:t>
      </w:r>
      <w:r>
        <w:rPr>
          <w:sz w:val="22"/>
        </w:rPr>
        <w:t>(for</w:t>
      </w:r>
      <w:r>
        <w:rPr>
          <w:spacing w:val="-3"/>
          <w:sz w:val="22"/>
        </w:rPr>
        <w:t> </w:t>
      </w:r>
      <w:r>
        <w:rPr>
          <w:sz w:val="22"/>
        </w:rPr>
        <w:t>instance,</w:t>
      </w:r>
      <w:r>
        <w:rPr>
          <w:spacing w:val="-3"/>
          <w:sz w:val="22"/>
        </w:rPr>
        <w:t> </w:t>
      </w:r>
      <w:r>
        <w:rPr>
          <w:sz w:val="22"/>
        </w:rPr>
        <w:t>through</w:t>
      </w:r>
      <w:r>
        <w:rPr>
          <w:spacing w:val="-4"/>
          <w:sz w:val="22"/>
        </w:rPr>
        <w:t> </w:t>
      </w:r>
      <w:r>
        <w:rPr>
          <w:sz w:val="22"/>
        </w:rPr>
        <w:t>clear</w:t>
      </w:r>
      <w:r>
        <w:rPr>
          <w:spacing w:val="-1"/>
          <w:sz w:val="22"/>
        </w:rPr>
        <w:t> </w:t>
      </w:r>
      <w:r>
        <w:rPr>
          <w:sz w:val="22"/>
        </w:rPr>
        <w:t>signage)</w:t>
      </w:r>
      <w:r>
        <w:rPr>
          <w:spacing w:val="-3"/>
          <w:sz w:val="22"/>
        </w:rPr>
        <w:t> </w:t>
      </w:r>
      <w:r>
        <w:rPr>
          <w:sz w:val="22"/>
        </w:rPr>
        <w:t>to</w:t>
      </w:r>
      <w:r>
        <w:rPr>
          <w:spacing w:val="-6"/>
          <w:sz w:val="22"/>
        </w:rPr>
        <w:t> </w:t>
      </w:r>
      <w:r>
        <w:rPr>
          <w:sz w:val="22"/>
        </w:rPr>
        <w:t>minimise</w:t>
      </w:r>
      <w:r>
        <w:rPr>
          <w:spacing w:val="-2"/>
          <w:sz w:val="22"/>
        </w:rPr>
        <w:t> </w:t>
      </w:r>
      <w:r>
        <w:rPr>
          <w:sz w:val="22"/>
        </w:rPr>
        <w:t>the</w:t>
      </w:r>
      <w:r>
        <w:rPr>
          <w:spacing w:val="-2"/>
          <w:sz w:val="22"/>
        </w:rPr>
        <w:t> </w:t>
      </w:r>
      <w:r>
        <w:rPr>
          <w:sz w:val="22"/>
        </w:rPr>
        <w:t>risk</w:t>
      </w:r>
      <w:r>
        <w:rPr>
          <w:spacing w:val="-1"/>
          <w:sz w:val="22"/>
        </w:rPr>
        <w:t> </w:t>
      </w:r>
      <w:r>
        <w:rPr>
          <w:sz w:val="22"/>
        </w:rPr>
        <w:t>of accidental contact being made by third parties (for example, contractors undertaking excavation works) and does ESV provide effective regulation?</w:t>
      </w:r>
    </w:p>
    <w:p>
      <w:pPr>
        <w:pStyle w:val="BodyText"/>
        <w:spacing w:before="2"/>
      </w:pPr>
    </w:p>
    <w:p>
      <w:pPr>
        <w:pStyle w:val="ListParagraph"/>
        <w:numPr>
          <w:ilvl w:val="1"/>
          <w:numId w:val="9"/>
        </w:numPr>
        <w:tabs>
          <w:tab w:pos="794" w:val="left" w:leader="none"/>
        </w:tabs>
        <w:spacing w:line="288" w:lineRule="auto" w:before="0" w:after="0"/>
        <w:ind w:left="794" w:right="547" w:hanging="361"/>
        <w:jc w:val="left"/>
        <w:rPr>
          <w:sz w:val="22"/>
        </w:rPr>
      </w:pPr>
      <w:r>
        <w:rPr>
          <w:sz w:val="22"/>
        </w:rPr>
        <w:t>Does</w:t>
      </w:r>
      <w:r>
        <w:rPr>
          <w:spacing w:val="-3"/>
          <w:sz w:val="22"/>
        </w:rPr>
        <w:t> </w:t>
      </w:r>
      <w:r>
        <w:rPr>
          <w:sz w:val="22"/>
        </w:rPr>
        <w:t>the</w:t>
      </w:r>
      <w:r>
        <w:rPr>
          <w:spacing w:val="-5"/>
          <w:sz w:val="22"/>
        </w:rPr>
        <w:t> </w:t>
      </w:r>
      <w:r>
        <w:rPr>
          <w:sz w:val="22"/>
        </w:rPr>
        <w:t>planning</w:t>
      </w:r>
      <w:r>
        <w:rPr>
          <w:spacing w:val="-3"/>
          <w:sz w:val="22"/>
        </w:rPr>
        <w:t> </w:t>
      </w:r>
      <w:r>
        <w:rPr>
          <w:sz w:val="22"/>
        </w:rPr>
        <w:t>system</w:t>
      </w:r>
      <w:r>
        <w:rPr>
          <w:spacing w:val="-3"/>
          <w:sz w:val="22"/>
        </w:rPr>
        <w:t> </w:t>
      </w:r>
      <w:r>
        <w:rPr>
          <w:sz w:val="22"/>
        </w:rPr>
        <w:t>effectively</w:t>
      </w:r>
      <w:r>
        <w:rPr>
          <w:spacing w:val="-5"/>
          <w:sz w:val="22"/>
        </w:rPr>
        <w:t> </w:t>
      </w:r>
      <w:r>
        <w:rPr>
          <w:sz w:val="22"/>
        </w:rPr>
        <w:t>minimise</w:t>
      </w:r>
      <w:r>
        <w:rPr>
          <w:spacing w:val="-3"/>
          <w:sz w:val="22"/>
        </w:rPr>
        <w:t> </w:t>
      </w:r>
      <w:r>
        <w:rPr>
          <w:sz w:val="22"/>
        </w:rPr>
        <w:t>potential</w:t>
      </w:r>
      <w:r>
        <w:rPr>
          <w:spacing w:val="-4"/>
          <w:sz w:val="22"/>
        </w:rPr>
        <w:t> </w:t>
      </w:r>
      <w:r>
        <w:rPr>
          <w:sz w:val="22"/>
        </w:rPr>
        <w:t>sensitive</w:t>
      </w:r>
      <w:r>
        <w:rPr>
          <w:spacing w:val="-3"/>
          <w:sz w:val="22"/>
        </w:rPr>
        <w:t> </w:t>
      </w:r>
      <w:r>
        <w:rPr>
          <w:sz w:val="22"/>
        </w:rPr>
        <w:t>use</w:t>
      </w:r>
      <w:r>
        <w:rPr>
          <w:spacing w:val="-5"/>
          <w:sz w:val="22"/>
        </w:rPr>
        <w:t> </w:t>
      </w:r>
      <w:r>
        <w:rPr>
          <w:sz w:val="22"/>
        </w:rPr>
        <w:t>developments</w:t>
      </w:r>
      <w:r>
        <w:rPr>
          <w:spacing w:val="-3"/>
          <w:sz w:val="22"/>
        </w:rPr>
        <w:t> </w:t>
      </w:r>
      <w:r>
        <w:rPr>
          <w:sz w:val="22"/>
        </w:rPr>
        <w:t>around high-risk underground assets, particularly high pressure gas transmission lines?</w:t>
      </w:r>
    </w:p>
    <w:p>
      <w:pPr>
        <w:pStyle w:val="BodyText"/>
        <w:spacing w:before="7"/>
        <w:rPr>
          <w:sz w:val="20"/>
        </w:rPr>
      </w:pPr>
    </w:p>
    <w:p>
      <w:pPr>
        <w:pStyle w:val="BodyText"/>
        <w:spacing w:line="288" w:lineRule="auto"/>
        <w:ind w:left="292" w:right="358"/>
      </w:pPr>
      <w:r>
        <w:rPr/>
        <w:t>It is evident from the submissions to the Review that gas network companies see third party interference</w:t>
      </w:r>
      <w:r>
        <w:rPr>
          <w:spacing w:val="-3"/>
        </w:rPr>
        <w:t> </w:t>
      </w:r>
      <w:r>
        <w:rPr/>
        <w:t>as</w:t>
      </w:r>
      <w:r>
        <w:rPr>
          <w:spacing w:val="-2"/>
        </w:rPr>
        <w:t> </w:t>
      </w:r>
      <w:r>
        <w:rPr/>
        <w:t>a</w:t>
      </w:r>
      <w:r>
        <w:rPr>
          <w:spacing w:val="-5"/>
        </w:rPr>
        <w:t> </w:t>
      </w:r>
      <w:r>
        <w:rPr/>
        <w:t>significant</w:t>
      </w:r>
      <w:r>
        <w:rPr>
          <w:spacing w:val="-1"/>
        </w:rPr>
        <w:t> </w:t>
      </w:r>
      <w:r>
        <w:rPr/>
        <w:t>source</w:t>
      </w:r>
      <w:r>
        <w:rPr>
          <w:spacing w:val="-3"/>
        </w:rPr>
        <w:t> </w:t>
      </w:r>
      <w:r>
        <w:rPr/>
        <w:t>of</w:t>
      </w:r>
      <w:r>
        <w:rPr>
          <w:spacing w:val="-4"/>
        </w:rPr>
        <w:t> </w:t>
      </w:r>
      <w:r>
        <w:rPr/>
        <w:t>risk.</w:t>
      </w:r>
      <w:r>
        <w:rPr>
          <w:spacing w:val="-1"/>
        </w:rPr>
        <w:t> </w:t>
      </w:r>
      <w:r>
        <w:rPr/>
        <w:t>An</w:t>
      </w:r>
      <w:r>
        <w:rPr>
          <w:spacing w:val="-3"/>
        </w:rPr>
        <w:t> </w:t>
      </w:r>
      <w:r>
        <w:rPr/>
        <w:t>important</w:t>
      </w:r>
      <w:r>
        <w:rPr>
          <w:spacing w:val="-1"/>
        </w:rPr>
        <w:t> </w:t>
      </w:r>
      <w:r>
        <w:rPr/>
        <w:t>part</w:t>
      </w:r>
      <w:r>
        <w:rPr>
          <w:spacing w:val="-4"/>
        </w:rPr>
        <w:t> </w:t>
      </w:r>
      <w:r>
        <w:rPr/>
        <w:t>of</w:t>
      </w:r>
      <w:r>
        <w:rPr>
          <w:spacing w:val="-1"/>
        </w:rPr>
        <w:t> </w:t>
      </w:r>
      <w:r>
        <w:rPr/>
        <w:t>the</w:t>
      </w:r>
      <w:r>
        <w:rPr>
          <w:spacing w:val="-5"/>
        </w:rPr>
        <w:t> </w:t>
      </w:r>
      <w:r>
        <w:rPr/>
        <w:t>system</w:t>
      </w:r>
      <w:r>
        <w:rPr>
          <w:spacing w:val="-4"/>
        </w:rPr>
        <w:t> </w:t>
      </w:r>
      <w:r>
        <w:rPr/>
        <w:t>for</w:t>
      </w:r>
      <w:r>
        <w:rPr>
          <w:spacing w:val="-4"/>
        </w:rPr>
        <w:t> </w:t>
      </w:r>
      <w:r>
        <w:rPr/>
        <w:t>managing</w:t>
      </w:r>
      <w:r>
        <w:rPr>
          <w:spacing w:val="-3"/>
        </w:rPr>
        <w:t> </w:t>
      </w:r>
      <w:r>
        <w:rPr/>
        <w:t>this</w:t>
      </w:r>
      <w:r>
        <w:rPr>
          <w:spacing w:val="-5"/>
        </w:rPr>
        <w:t> </w:t>
      </w:r>
      <w:r>
        <w:rPr/>
        <w:t>risk is the </w:t>
      </w:r>
      <w:r>
        <w:rPr>
          <w:i/>
        </w:rPr>
        <w:t>Dial Before You Dig </w:t>
      </w:r>
      <w:r>
        <w:rPr/>
        <w:t>service. This “one-call” service allows individuals and businesses that might be planning excavation works to receive information about</w:t>
      </w:r>
      <w:r>
        <w:rPr>
          <w:spacing w:val="-1"/>
        </w:rPr>
        <w:t> </w:t>
      </w:r>
      <w:r>
        <w:rPr/>
        <w:t>the underground</w:t>
      </w:r>
      <w:r>
        <w:rPr>
          <w:spacing w:val="-1"/>
        </w:rPr>
        <w:t> </w:t>
      </w:r>
      <w:r>
        <w:rPr/>
        <w:t>assets that may be in the vicinity of their proposed activity.</w:t>
      </w:r>
    </w:p>
    <w:p>
      <w:pPr>
        <w:pStyle w:val="BodyText"/>
        <w:spacing w:before="10"/>
        <w:rPr>
          <w:sz w:val="20"/>
        </w:rPr>
      </w:pPr>
    </w:p>
    <w:p>
      <w:pPr>
        <w:pStyle w:val="BodyText"/>
        <w:spacing w:line="288" w:lineRule="auto"/>
        <w:ind w:left="292" w:right="311"/>
      </w:pPr>
      <w:r>
        <w:rPr/>
        <w:t>The</w:t>
      </w:r>
      <w:r>
        <w:rPr>
          <w:spacing w:val="-4"/>
        </w:rPr>
        <w:t> </w:t>
      </w:r>
      <w:r>
        <w:rPr>
          <w:i/>
        </w:rPr>
        <w:t>Dial</w:t>
      </w:r>
      <w:r>
        <w:rPr>
          <w:i/>
          <w:spacing w:val="-3"/>
        </w:rPr>
        <w:t> </w:t>
      </w:r>
      <w:r>
        <w:rPr>
          <w:i/>
        </w:rPr>
        <w:t>Before</w:t>
      </w:r>
      <w:r>
        <w:rPr>
          <w:i/>
          <w:spacing w:val="-4"/>
        </w:rPr>
        <w:t> </w:t>
      </w:r>
      <w:r>
        <w:rPr>
          <w:i/>
        </w:rPr>
        <w:t>You</w:t>
      </w:r>
      <w:r>
        <w:rPr>
          <w:i/>
          <w:spacing w:val="-2"/>
        </w:rPr>
        <w:t> </w:t>
      </w:r>
      <w:r>
        <w:rPr>
          <w:i/>
        </w:rPr>
        <w:t>Dig</w:t>
      </w:r>
      <w:r>
        <w:rPr>
          <w:i/>
          <w:spacing w:val="-3"/>
        </w:rPr>
        <w:t> </w:t>
      </w:r>
      <w:r>
        <w:rPr/>
        <w:t>service</w:t>
      </w:r>
      <w:r>
        <w:rPr>
          <w:spacing w:val="-2"/>
        </w:rPr>
        <w:t> </w:t>
      </w:r>
      <w:r>
        <w:rPr/>
        <w:t>operates</w:t>
      </w:r>
      <w:r>
        <w:rPr>
          <w:spacing w:val="-4"/>
        </w:rPr>
        <w:t> </w:t>
      </w:r>
      <w:r>
        <w:rPr/>
        <w:t>on</w:t>
      </w:r>
      <w:r>
        <w:rPr>
          <w:spacing w:val="-4"/>
        </w:rPr>
        <w:t> </w:t>
      </w:r>
      <w:r>
        <w:rPr/>
        <w:t>a</w:t>
      </w:r>
      <w:r>
        <w:rPr>
          <w:spacing w:val="-2"/>
        </w:rPr>
        <w:t> </w:t>
      </w:r>
      <w:r>
        <w:rPr/>
        <w:t>voluntary</w:t>
      </w:r>
      <w:r>
        <w:rPr>
          <w:spacing w:val="-3"/>
        </w:rPr>
        <w:t> </w:t>
      </w:r>
      <w:r>
        <w:rPr/>
        <w:t>basis</w:t>
      </w:r>
      <w:r>
        <w:rPr>
          <w:spacing w:val="-1"/>
        </w:rPr>
        <w:t> </w:t>
      </w:r>
      <w:r>
        <w:rPr/>
        <w:t>in</w:t>
      </w:r>
      <w:r>
        <w:rPr>
          <w:spacing w:val="-2"/>
        </w:rPr>
        <w:t> </w:t>
      </w:r>
      <w:r>
        <w:rPr/>
        <w:t>Victoria.</w:t>
      </w:r>
      <w:r>
        <w:rPr>
          <w:spacing w:val="-5"/>
        </w:rPr>
        <w:t> </w:t>
      </w:r>
      <w:r>
        <w:rPr/>
        <w:t>However, use</w:t>
      </w:r>
      <w:r>
        <w:rPr>
          <w:spacing w:val="-2"/>
        </w:rPr>
        <w:t> </w:t>
      </w:r>
      <w:r>
        <w:rPr/>
        <w:t>of</w:t>
      </w:r>
      <w:r>
        <w:rPr>
          <w:spacing w:val="-3"/>
        </w:rPr>
        <w:t> </w:t>
      </w:r>
      <w:r>
        <w:rPr/>
        <w:t>the service has been a mandatory legal obligation in New South Wales since 2010. Several submissions have advocated that Victoria should adopt a similar approach.</w:t>
      </w:r>
    </w:p>
    <w:p>
      <w:pPr>
        <w:pStyle w:val="BodyText"/>
        <w:spacing w:before="11"/>
        <w:rPr>
          <w:sz w:val="20"/>
        </w:rPr>
      </w:pPr>
    </w:p>
    <w:p>
      <w:pPr>
        <w:pStyle w:val="BodyText"/>
        <w:spacing w:line="288" w:lineRule="auto"/>
        <w:ind w:left="292" w:right="311"/>
      </w:pPr>
      <w:r>
        <w:rPr/>
        <w:t>Given</w:t>
      </w:r>
      <w:r>
        <w:rPr>
          <w:spacing w:val="-2"/>
        </w:rPr>
        <w:t> </w:t>
      </w:r>
      <w:r>
        <w:rPr/>
        <w:t>the</w:t>
      </w:r>
      <w:r>
        <w:rPr>
          <w:spacing w:val="-2"/>
        </w:rPr>
        <w:t> </w:t>
      </w:r>
      <w:r>
        <w:rPr/>
        <w:t>continuing</w:t>
      </w:r>
      <w:r>
        <w:rPr>
          <w:spacing w:val="-2"/>
        </w:rPr>
        <w:t> </w:t>
      </w:r>
      <w:r>
        <w:rPr/>
        <w:t>level</w:t>
      </w:r>
      <w:r>
        <w:rPr>
          <w:spacing w:val="-3"/>
        </w:rPr>
        <w:t> </w:t>
      </w:r>
      <w:r>
        <w:rPr/>
        <w:t>of third</w:t>
      </w:r>
      <w:r>
        <w:rPr>
          <w:spacing w:val="-2"/>
        </w:rPr>
        <w:t> </w:t>
      </w:r>
      <w:r>
        <w:rPr/>
        <w:t>party</w:t>
      </w:r>
      <w:r>
        <w:rPr>
          <w:spacing w:val="-4"/>
        </w:rPr>
        <w:t> </w:t>
      </w:r>
      <w:r>
        <w:rPr/>
        <w:t>damage</w:t>
      </w:r>
      <w:r>
        <w:rPr>
          <w:spacing w:val="-4"/>
        </w:rPr>
        <w:t> </w:t>
      </w:r>
      <w:r>
        <w:rPr/>
        <w:t>to</w:t>
      </w:r>
      <w:r>
        <w:rPr>
          <w:spacing w:val="-2"/>
        </w:rPr>
        <w:t> </w:t>
      </w:r>
      <w:r>
        <w:rPr/>
        <w:t>underground</w:t>
      </w:r>
      <w:r>
        <w:rPr>
          <w:spacing w:val="-2"/>
        </w:rPr>
        <w:t> </w:t>
      </w:r>
      <w:r>
        <w:rPr/>
        <w:t>assets,</w:t>
      </w:r>
      <w:r>
        <w:rPr>
          <w:spacing w:val="-3"/>
        </w:rPr>
        <w:t> </w:t>
      </w:r>
      <w:r>
        <w:rPr/>
        <w:t>the</w:t>
      </w:r>
      <w:r>
        <w:rPr>
          <w:spacing w:val="-2"/>
        </w:rPr>
        <w:t> </w:t>
      </w:r>
      <w:r>
        <w:rPr/>
        <w:t>Review</w:t>
      </w:r>
      <w:r>
        <w:rPr>
          <w:spacing w:val="-5"/>
        </w:rPr>
        <w:t> </w:t>
      </w:r>
      <w:r>
        <w:rPr/>
        <w:t>supports</w:t>
      </w:r>
      <w:r>
        <w:rPr>
          <w:spacing w:val="-4"/>
        </w:rPr>
        <w:t> </w:t>
      </w:r>
      <w:r>
        <w:rPr/>
        <w:t>this approach, contingent on a positive regulation impact assessment confirming that the expected benefits would outweigh the additional costs.</w:t>
      </w:r>
    </w:p>
    <w:p>
      <w:pPr>
        <w:pStyle w:val="BodyText"/>
        <w:spacing w:before="9"/>
        <w:rPr>
          <w:sz w:val="20"/>
        </w:rPr>
      </w:pPr>
    </w:p>
    <w:p>
      <w:pPr>
        <w:pStyle w:val="BodyText"/>
        <w:spacing w:line="288" w:lineRule="auto"/>
        <w:ind w:left="292" w:right="311"/>
      </w:pPr>
      <w:r>
        <w:rPr/>
        <w:t>In addition, the Review supports consideration of initiatives to strengthen planning processes around</w:t>
      </w:r>
      <w:r>
        <w:rPr>
          <w:spacing w:val="-4"/>
        </w:rPr>
        <w:t> </w:t>
      </w:r>
      <w:r>
        <w:rPr/>
        <w:t>future</w:t>
      </w:r>
      <w:r>
        <w:rPr>
          <w:spacing w:val="-2"/>
        </w:rPr>
        <w:t> </w:t>
      </w:r>
      <w:r>
        <w:rPr/>
        <w:t>developments</w:t>
      </w:r>
      <w:r>
        <w:rPr>
          <w:spacing w:val="-3"/>
        </w:rPr>
        <w:t> </w:t>
      </w:r>
      <w:r>
        <w:rPr/>
        <w:t>that</w:t>
      </w:r>
      <w:r>
        <w:rPr>
          <w:spacing w:val="-3"/>
        </w:rPr>
        <w:t> </w:t>
      </w:r>
      <w:r>
        <w:rPr/>
        <w:t>might be</w:t>
      </w:r>
      <w:r>
        <w:rPr>
          <w:spacing w:val="-4"/>
        </w:rPr>
        <w:t> </w:t>
      </w:r>
      <w:r>
        <w:rPr/>
        <w:t>proposed</w:t>
      </w:r>
      <w:r>
        <w:rPr>
          <w:spacing w:val="-2"/>
        </w:rPr>
        <w:t> </w:t>
      </w:r>
      <w:r>
        <w:rPr/>
        <w:t>in</w:t>
      </w:r>
      <w:r>
        <w:rPr>
          <w:spacing w:val="-2"/>
        </w:rPr>
        <w:t> </w:t>
      </w:r>
      <w:r>
        <w:rPr/>
        <w:t>close</w:t>
      </w:r>
      <w:r>
        <w:rPr>
          <w:spacing w:val="-2"/>
        </w:rPr>
        <w:t> </w:t>
      </w:r>
      <w:r>
        <w:rPr/>
        <w:t>vicinity</w:t>
      </w:r>
      <w:r>
        <w:rPr>
          <w:spacing w:val="-4"/>
        </w:rPr>
        <w:t> </w:t>
      </w:r>
      <w:r>
        <w:rPr/>
        <w:t>to</w:t>
      </w:r>
      <w:r>
        <w:rPr>
          <w:spacing w:val="-1"/>
        </w:rPr>
        <w:t> </w:t>
      </w:r>
      <w:r>
        <w:rPr/>
        <w:t>high</w:t>
      </w:r>
      <w:r>
        <w:rPr>
          <w:spacing w:val="-2"/>
        </w:rPr>
        <w:t> </w:t>
      </w:r>
      <w:r>
        <w:rPr/>
        <w:t>pressure</w:t>
      </w:r>
      <w:r>
        <w:rPr>
          <w:spacing w:val="-3"/>
        </w:rPr>
        <w:t> </w:t>
      </w:r>
      <w:r>
        <w:rPr/>
        <w:t>gas</w:t>
      </w:r>
      <w:r>
        <w:rPr>
          <w:spacing w:val="-1"/>
        </w:rPr>
        <w:t> </w:t>
      </w:r>
      <w:r>
        <w:rPr/>
        <w:t>pipelines. In</w:t>
      </w:r>
      <w:r>
        <w:rPr>
          <w:spacing w:val="-2"/>
        </w:rPr>
        <w:t> </w:t>
      </w:r>
      <w:r>
        <w:rPr/>
        <w:t>its</w:t>
      </w:r>
      <w:r>
        <w:rPr>
          <w:spacing w:val="-3"/>
        </w:rPr>
        <w:t> </w:t>
      </w:r>
      <w:r>
        <w:rPr/>
        <w:t>submission, AEMO has</w:t>
      </w:r>
      <w:r>
        <w:rPr>
          <w:spacing w:val="-4"/>
        </w:rPr>
        <w:t> </w:t>
      </w:r>
      <w:r>
        <w:rPr/>
        <w:t>raised</w:t>
      </w:r>
      <w:r>
        <w:rPr>
          <w:spacing w:val="-2"/>
        </w:rPr>
        <w:t> </w:t>
      </w:r>
      <w:r>
        <w:rPr/>
        <w:t>concerns</w:t>
      </w:r>
      <w:r>
        <w:rPr>
          <w:spacing w:val="-4"/>
        </w:rPr>
        <w:t> </w:t>
      </w:r>
      <w:r>
        <w:rPr/>
        <w:t>about developments</w:t>
      </w:r>
      <w:r>
        <w:rPr>
          <w:spacing w:val="-4"/>
        </w:rPr>
        <w:t> </w:t>
      </w:r>
      <w:r>
        <w:rPr/>
        <w:t>that have</w:t>
      </w:r>
      <w:r>
        <w:rPr>
          <w:spacing w:val="-2"/>
        </w:rPr>
        <w:t> </w:t>
      </w:r>
      <w:r>
        <w:rPr/>
        <w:t>been</w:t>
      </w:r>
      <w:r>
        <w:rPr>
          <w:spacing w:val="-2"/>
        </w:rPr>
        <w:t> </w:t>
      </w:r>
      <w:r>
        <w:rPr/>
        <w:t>allowed</w:t>
      </w:r>
      <w:r>
        <w:rPr>
          <w:spacing w:val="-2"/>
        </w:rPr>
        <w:t> </w:t>
      </w:r>
      <w:r>
        <w:rPr/>
        <w:t>close</w:t>
      </w:r>
      <w:r>
        <w:rPr>
          <w:spacing w:val="-2"/>
        </w:rPr>
        <w:t> </w:t>
      </w:r>
      <w:r>
        <w:rPr/>
        <w:t>to high pressure pipelines and the longer-term risks that may be involved.</w:t>
      </w:r>
    </w:p>
    <w:p>
      <w:pPr>
        <w:pStyle w:val="BodyText"/>
        <w:spacing w:before="11"/>
        <w:rPr>
          <w:sz w:val="20"/>
        </w:rPr>
      </w:pPr>
    </w:p>
    <w:p>
      <w:pPr>
        <w:pStyle w:val="BodyText"/>
        <w:spacing w:line="288" w:lineRule="auto"/>
        <w:ind w:left="292"/>
      </w:pPr>
      <w:r>
        <w:rPr/>
        <w:t>The final report of the Major Hazard Facility Advisory Committee established in 2015 included recommendations to review land use around high pressure pipelines, to provide a vehicle for the management of the emerging risks within the planning system. This would include establishing a formal</w:t>
      </w:r>
      <w:r>
        <w:rPr>
          <w:spacing w:val="-3"/>
        </w:rPr>
        <w:t> </w:t>
      </w:r>
      <w:r>
        <w:rPr/>
        <w:t>advisory</w:t>
      </w:r>
      <w:r>
        <w:rPr>
          <w:spacing w:val="-3"/>
        </w:rPr>
        <w:t> </w:t>
      </w:r>
      <w:r>
        <w:rPr/>
        <w:t>committee</w:t>
      </w:r>
      <w:r>
        <w:rPr>
          <w:spacing w:val="-2"/>
        </w:rPr>
        <w:t> </w:t>
      </w:r>
      <w:r>
        <w:rPr/>
        <w:t>under</w:t>
      </w:r>
      <w:r>
        <w:rPr>
          <w:spacing w:val="-3"/>
        </w:rPr>
        <w:t> </w:t>
      </w:r>
      <w:r>
        <w:rPr/>
        <w:t>the</w:t>
      </w:r>
      <w:r>
        <w:rPr>
          <w:spacing w:val="-2"/>
        </w:rPr>
        <w:t> </w:t>
      </w:r>
      <w:r>
        <w:rPr>
          <w:i/>
        </w:rPr>
        <w:t>Planning</w:t>
      </w:r>
      <w:r>
        <w:rPr>
          <w:i/>
          <w:spacing w:val="-2"/>
        </w:rPr>
        <w:t> </w:t>
      </w:r>
      <w:r>
        <w:rPr>
          <w:i/>
        </w:rPr>
        <w:t>and</w:t>
      </w:r>
      <w:r>
        <w:rPr>
          <w:i/>
          <w:spacing w:val="-2"/>
        </w:rPr>
        <w:t> </w:t>
      </w:r>
      <w:r>
        <w:rPr>
          <w:i/>
        </w:rPr>
        <w:t>Environment Act</w:t>
      </w:r>
      <w:r>
        <w:rPr>
          <w:i/>
          <w:spacing w:val="-3"/>
        </w:rPr>
        <w:t> </w:t>
      </w:r>
      <w:r>
        <w:rPr>
          <w:i/>
        </w:rPr>
        <w:t>1987</w:t>
      </w:r>
      <w:r>
        <w:rPr/>
        <w:t>,</w:t>
      </w:r>
      <w:r>
        <w:rPr>
          <w:spacing w:val="-3"/>
        </w:rPr>
        <w:t> </w:t>
      </w:r>
      <w:r>
        <w:rPr/>
        <w:t>providing a</w:t>
      </w:r>
      <w:r>
        <w:rPr>
          <w:spacing w:val="-4"/>
        </w:rPr>
        <w:t> </w:t>
      </w:r>
      <w:r>
        <w:rPr/>
        <w:t>more</w:t>
      </w:r>
      <w:r>
        <w:rPr>
          <w:spacing w:val="-4"/>
        </w:rPr>
        <w:t> </w:t>
      </w:r>
      <w:r>
        <w:rPr/>
        <w:t>formal status to the current </w:t>
      </w:r>
      <w:r>
        <w:rPr>
          <w:i/>
        </w:rPr>
        <w:t>Land Development Around Pipelines Working Group</w:t>
      </w:r>
      <w:r>
        <w:rPr/>
        <w:t>.</w:t>
      </w:r>
    </w:p>
    <w:p>
      <w:pPr>
        <w:spacing w:after="0" w:line="288" w:lineRule="auto"/>
        <w:sectPr>
          <w:pgSz w:w="11910" w:h="16850"/>
          <w:pgMar w:header="465" w:footer="880" w:top="660" w:bottom="1060" w:left="840" w:right="820"/>
        </w:sectPr>
      </w:pPr>
    </w:p>
    <w:p>
      <w:pPr>
        <w:pStyle w:val="BodyText"/>
        <w:rPr>
          <w:sz w:val="20"/>
        </w:rPr>
      </w:pPr>
    </w:p>
    <w:p>
      <w:pPr>
        <w:pStyle w:val="BodyText"/>
        <w:rPr>
          <w:sz w:val="20"/>
        </w:rPr>
      </w:pPr>
    </w:p>
    <w:p>
      <w:pPr>
        <w:pStyle w:val="BodyText"/>
        <w:spacing w:before="4"/>
      </w:pPr>
    </w:p>
    <w:p>
      <w:pPr>
        <w:pStyle w:val="BodyText"/>
        <w:ind w:left="292"/>
        <w:rPr>
          <w:sz w:val="20"/>
        </w:rPr>
      </w:pPr>
      <w:r>
        <w:rPr>
          <w:sz w:val="20"/>
        </w:rPr>
        <mc:AlternateContent>
          <mc:Choice Requires="wps">
            <w:drawing>
              <wp:inline distT="0" distB="0" distL="0" distR="0">
                <wp:extent cx="5753100" cy="2322830"/>
                <wp:effectExtent l="0" t="0" r="0" b="0"/>
                <wp:docPr id="15" name="Textbox 15"/>
                <wp:cNvGraphicFramePr>
                  <a:graphicFrameLocks/>
                </wp:cNvGraphicFramePr>
                <a:graphic>
                  <a:graphicData uri="http://schemas.microsoft.com/office/word/2010/wordprocessingShape">
                    <wps:wsp>
                      <wps:cNvPr id="15" name="Textbox 15"/>
                      <wps:cNvSpPr txBox="1"/>
                      <wps:spPr>
                        <a:xfrm>
                          <a:off x="0" y="0"/>
                          <a:ext cx="5753100" cy="2322830"/>
                        </a:xfrm>
                        <a:prstGeom prst="rect">
                          <a:avLst/>
                        </a:prstGeom>
                        <a:solidFill>
                          <a:srgbClr val="D9D9D9"/>
                        </a:solidFill>
                      </wps:spPr>
                      <wps:txbx>
                        <w:txbxContent>
                          <w:p>
                            <w:pPr>
                              <w:pStyle w:val="BodyText"/>
                              <w:spacing w:before="10"/>
                              <w:rPr>
                                <w:color w:val="000000"/>
                                <w:sz w:val="20"/>
                              </w:rPr>
                            </w:pPr>
                          </w:p>
                          <w:p>
                            <w:pPr>
                              <w:spacing w:before="0"/>
                              <w:ind w:left="112" w:right="0" w:firstLine="0"/>
                              <w:jc w:val="left"/>
                              <w:rPr>
                                <w:b/>
                                <w:color w:val="000000"/>
                                <w:sz w:val="22"/>
                              </w:rPr>
                            </w:pPr>
                            <w:r>
                              <w:rPr>
                                <w:b/>
                                <w:color w:val="000000"/>
                                <w:sz w:val="22"/>
                              </w:rPr>
                              <w:t>Summary</w:t>
                            </w:r>
                            <w:r>
                              <w:rPr>
                                <w:b/>
                                <w:color w:val="000000"/>
                                <w:spacing w:val="-12"/>
                                <w:sz w:val="22"/>
                              </w:rPr>
                              <w:t> </w:t>
                            </w:r>
                            <w:r>
                              <w:rPr>
                                <w:b/>
                                <w:color w:val="000000"/>
                                <w:sz w:val="22"/>
                              </w:rPr>
                              <w:t>of</w:t>
                            </w:r>
                            <w:r>
                              <w:rPr>
                                <w:b/>
                                <w:color w:val="000000"/>
                                <w:spacing w:val="-6"/>
                                <w:sz w:val="22"/>
                              </w:rPr>
                              <w:t> </w:t>
                            </w:r>
                            <w:r>
                              <w:rPr>
                                <w:b/>
                                <w:color w:val="000000"/>
                                <w:sz w:val="22"/>
                              </w:rPr>
                              <w:t>recommendations:</w:t>
                            </w:r>
                            <w:r>
                              <w:rPr>
                                <w:b/>
                                <w:color w:val="000000"/>
                                <w:spacing w:val="-4"/>
                                <w:sz w:val="22"/>
                              </w:rPr>
                              <w:t> </w:t>
                            </w:r>
                            <w:r>
                              <w:rPr>
                                <w:b/>
                                <w:color w:val="000000"/>
                                <w:sz w:val="22"/>
                              </w:rPr>
                              <w:t>Regulating</w:t>
                            </w:r>
                            <w:r>
                              <w:rPr>
                                <w:b/>
                                <w:color w:val="000000"/>
                                <w:spacing w:val="-10"/>
                                <w:sz w:val="22"/>
                              </w:rPr>
                              <w:t> </w:t>
                            </w:r>
                            <w:r>
                              <w:rPr>
                                <w:b/>
                                <w:color w:val="000000"/>
                                <w:sz w:val="22"/>
                              </w:rPr>
                              <w:t>underground</w:t>
                            </w:r>
                            <w:r>
                              <w:rPr>
                                <w:b/>
                                <w:color w:val="000000"/>
                                <w:spacing w:val="-7"/>
                                <w:sz w:val="22"/>
                              </w:rPr>
                              <w:t> </w:t>
                            </w:r>
                            <w:r>
                              <w:rPr>
                                <w:b/>
                                <w:color w:val="000000"/>
                                <w:spacing w:val="-2"/>
                                <w:sz w:val="22"/>
                              </w:rPr>
                              <w:t>assets</w:t>
                            </w:r>
                          </w:p>
                          <w:p>
                            <w:pPr>
                              <w:pStyle w:val="BodyText"/>
                              <w:spacing w:before="2"/>
                              <w:rPr>
                                <w:b/>
                                <w:color w:val="000000"/>
                                <w:sz w:val="25"/>
                              </w:rPr>
                            </w:pPr>
                          </w:p>
                          <w:p>
                            <w:pPr>
                              <w:pStyle w:val="BodyText"/>
                              <w:ind w:left="112"/>
                              <w:rPr>
                                <w:color w:val="000000"/>
                              </w:rPr>
                            </w:pPr>
                            <w:r>
                              <w:rPr>
                                <w:color w:val="000000"/>
                              </w:rPr>
                              <w:t>Recommendations</w:t>
                            </w:r>
                            <w:r>
                              <w:rPr>
                                <w:color w:val="000000"/>
                                <w:spacing w:val="-6"/>
                              </w:rPr>
                              <w:t> </w:t>
                            </w:r>
                            <w:r>
                              <w:rPr>
                                <w:color w:val="000000"/>
                              </w:rPr>
                              <w:t>presented</w:t>
                            </w:r>
                            <w:r>
                              <w:rPr>
                                <w:color w:val="000000"/>
                                <w:spacing w:val="-6"/>
                              </w:rPr>
                              <w:t> </w:t>
                            </w:r>
                            <w:r>
                              <w:rPr>
                                <w:color w:val="000000"/>
                              </w:rPr>
                              <w:t>by</w:t>
                            </w:r>
                            <w:r>
                              <w:rPr>
                                <w:color w:val="000000"/>
                                <w:spacing w:val="-9"/>
                              </w:rPr>
                              <w:t> </w:t>
                            </w:r>
                            <w:r>
                              <w:rPr>
                                <w:color w:val="000000"/>
                              </w:rPr>
                              <w:t>the</w:t>
                            </w:r>
                            <w:r>
                              <w:rPr>
                                <w:color w:val="000000"/>
                                <w:spacing w:val="-8"/>
                              </w:rPr>
                              <w:t> </w:t>
                            </w:r>
                            <w:r>
                              <w:rPr>
                                <w:color w:val="000000"/>
                              </w:rPr>
                              <w:t>Review</w:t>
                            </w:r>
                            <w:r>
                              <w:rPr>
                                <w:color w:val="000000"/>
                                <w:spacing w:val="-9"/>
                              </w:rPr>
                              <w:t> </w:t>
                            </w:r>
                            <w:r>
                              <w:rPr>
                                <w:color w:val="000000"/>
                                <w:spacing w:val="-2"/>
                              </w:rPr>
                              <w:t>include:</w:t>
                            </w:r>
                          </w:p>
                          <w:p>
                            <w:pPr>
                              <w:pStyle w:val="BodyText"/>
                              <w:spacing w:before="10"/>
                              <w:rPr>
                                <w:color w:val="000000"/>
                                <w:sz w:val="26"/>
                              </w:rPr>
                            </w:pPr>
                          </w:p>
                          <w:p>
                            <w:pPr>
                              <w:numPr>
                                <w:ilvl w:val="0"/>
                                <w:numId w:val="16"/>
                              </w:numPr>
                              <w:tabs>
                                <w:tab w:pos="500" w:val="left" w:leader="none"/>
                                <w:tab w:pos="502" w:val="left" w:leader="none"/>
                              </w:tabs>
                              <w:spacing w:line="288" w:lineRule="auto" w:before="0"/>
                              <w:ind w:left="502" w:right="260" w:hanging="219"/>
                              <w:jc w:val="left"/>
                              <w:rPr>
                                <w:color w:val="000000"/>
                                <w:sz w:val="22"/>
                              </w:rPr>
                            </w:pPr>
                            <w:r>
                              <w:rPr>
                                <w:color w:val="000000"/>
                                <w:sz w:val="22"/>
                              </w:rPr>
                              <w:t>formalising membership and operation of the </w:t>
                            </w:r>
                            <w:r>
                              <w:rPr>
                                <w:i/>
                                <w:color w:val="000000"/>
                                <w:sz w:val="22"/>
                              </w:rPr>
                              <w:t>Land Development Around Pipelines Working</w:t>
                            </w:r>
                            <w:r>
                              <w:rPr>
                                <w:i/>
                                <w:color w:val="000000"/>
                                <w:spacing w:val="-5"/>
                                <w:sz w:val="22"/>
                              </w:rPr>
                              <w:t> </w:t>
                            </w:r>
                            <w:r>
                              <w:rPr>
                                <w:i/>
                                <w:color w:val="000000"/>
                                <w:sz w:val="22"/>
                              </w:rPr>
                              <w:t>Group</w:t>
                            </w:r>
                            <w:r>
                              <w:rPr>
                                <w:i/>
                                <w:color w:val="000000"/>
                                <w:spacing w:val="-2"/>
                                <w:sz w:val="22"/>
                              </w:rPr>
                              <w:t> </w:t>
                            </w:r>
                            <w:r>
                              <w:rPr>
                                <w:color w:val="000000"/>
                                <w:sz w:val="22"/>
                              </w:rPr>
                              <w:t>and</w:t>
                            </w:r>
                            <w:r>
                              <w:rPr>
                                <w:color w:val="000000"/>
                                <w:spacing w:val="-5"/>
                                <w:sz w:val="22"/>
                              </w:rPr>
                              <w:t> </w:t>
                            </w:r>
                            <w:r>
                              <w:rPr>
                                <w:color w:val="000000"/>
                                <w:sz w:val="22"/>
                              </w:rPr>
                              <w:t>tasking</w:t>
                            </w:r>
                            <w:r>
                              <w:rPr>
                                <w:color w:val="000000"/>
                                <w:spacing w:val="-3"/>
                                <w:sz w:val="22"/>
                              </w:rPr>
                              <w:t> </w:t>
                            </w:r>
                            <w:r>
                              <w:rPr>
                                <w:color w:val="000000"/>
                                <w:sz w:val="22"/>
                              </w:rPr>
                              <w:t>the</w:t>
                            </w:r>
                            <w:r>
                              <w:rPr>
                                <w:color w:val="000000"/>
                                <w:spacing w:val="-5"/>
                                <w:sz w:val="22"/>
                              </w:rPr>
                              <w:t> </w:t>
                            </w:r>
                            <w:r>
                              <w:rPr>
                                <w:color w:val="000000"/>
                                <w:sz w:val="22"/>
                              </w:rPr>
                              <w:t>working</w:t>
                            </w:r>
                            <w:r>
                              <w:rPr>
                                <w:color w:val="000000"/>
                                <w:spacing w:val="-3"/>
                                <w:sz w:val="22"/>
                              </w:rPr>
                              <w:t> </w:t>
                            </w:r>
                            <w:r>
                              <w:rPr>
                                <w:color w:val="000000"/>
                                <w:sz w:val="22"/>
                              </w:rPr>
                              <w:t>group</w:t>
                            </w:r>
                            <w:r>
                              <w:rPr>
                                <w:color w:val="000000"/>
                                <w:spacing w:val="-3"/>
                                <w:sz w:val="22"/>
                              </w:rPr>
                              <w:t> </w:t>
                            </w:r>
                            <w:r>
                              <w:rPr>
                                <w:color w:val="000000"/>
                                <w:sz w:val="22"/>
                              </w:rPr>
                              <w:t>with</w:t>
                            </w:r>
                            <w:r>
                              <w:rPr>
                                <w:color w:val="000000"/>
                                <w:spacing w:val="-3"/>
                                <w:sz w:val="22"/>
                              </w:rPr>
                              <w:t> </w:t>
                            </w:r>
                            <w:r>
                              <w:rPr>
                                <w:color w:val="000000"/>
                                <w:sz w:val="22"/>
                              </w:rPr>
                              <w:t>providing</w:t>
                            </w:r>
                            <w:r>
                              <w:rPr>
                                <w:color w:val="000000"/>
                                <w:spacing w:val="-1"/>
                                <w:sz w:val="22"/>
                              </w:rPr>
                              <w:t> </w:t>
                            </w:r>
                            <w:r>
                              <w:rPr>
                                <w:color w:val="000000"/>
                                <w:sz w:val="22"/>
                              </w:rPr>
                              <w:t>advice</w:t>
                            </w:r>
                            <w:r>
                              <w:rPr>
                                <w:color w:val="000000"/>
                                <w:spacing w:val="-3"/>
                                <w:sz w:val="22"/>
                              </w:rPr>
                              <w:t> </w:t>
                            </w:r>
                            <w:r>
                              <w:rPr>
                                <w:color w:val="000000"/>
                                <w:sz w:val="22"/>
                              </w:rPr>
                              <w:t>to</w:t>
                            </w:r>
                            <w:r>
                              <w:rPr>
                                <w:color w:val="000000"/>
                                <w:spacing w:val="-6"/>
                                <w:sz w:val="22"/>
                              </w:rPr>
                              <w:t> </w:t>
                            </w:r>
                            <w:r>
                              <w:rPr>
                                <w:color w:val="000000"/>
                                <w:sz w:val="22"/>
                              </w:rPr>
                              <w:t>government</w:t>
                            </w:r>
                            <w:r>
                              <w:rPr>
                                <w:color w:val="000000"/>
                                <w:spacing w:val="-4"/>
                                <w:sz w:val="22"/>
                              </w:rPr>
                              <w:t> </w:t>
                            </w:r>
                            <w:r>
                              <w:rPr>
                                <w:color w:val="000000"/>
                                <w:sz w:val="22"/>
                              </w:rPr>
                              <w:t>to improve planning around high pressure gas pipelines (Recommendation 30); and</w:t>
                            </w:r>
                          </w:p>
                          <w:p>
                            <w:pPr>
                              <w:pStyle w:val="BodyText"/>
                              <w:rPr>
                                <w:color w:val="000000"/>
                              </w:rPr>
                            </w:pPr>
                          </w:p>
                          <w:p>
                            <w:pPr>
                              <w:pStyle w:val="BodyText"/>
                              <w:numPr>
                                <w:ilvl w:val="0"/>
                                <w:numId w:val="16"/>
                              </w:numPr>
                              <w:tabs>
                                <w:tab w:pos="500" w:val="left" w:leader="none"/>
                                <w:tab w:pos="502" w:val="left" w:leader="none"/>
                              </w:tabs>
                              <w:spacing w:line="288" w:lineRule="auto" w:before="0" w:after="0"/>
                              <w:ind w:left="502" w:right="178" w:hanging="219"/>
                              <w:jc w:val="left"/>
                              <w:rPr>
                                <w:color w:val="000000"/>
                              </w:rPr>
                            </w:pPr>
                            <w:r>
                              <w:rPr>
                                <w:i/>
                                <w:color w:val="000000"/>
                              </w:rPr>
                              <w:t>Dial</w:t>
                            </w:r>
                            <w:r>
                              <w:rPr>
                                <w:i/>
                                <w:color w:val="000000"/>
                                <w:spacing w:val="-3"/>
                              </w:rPr>
                              <w:t> </w:t>
                            </w:r>
                            <w:r>
                              <w:rPr>
                                <w:i/>
                                <w:color w:val="000000"/>
                              </w:rPr>
                              <w:t>Before</w:t>
                            </w:r>
                            <w:r>
                              <w:rPr>
                                <w:i/>
                                <w:color w:val="000000"/>
                                <w:spacing w:val="-2"/>
                              </w:rPr>
                              <w:t> </w:t>
                            </w:r>
                            <w:r>
                              <w:rPr>
                                <w:i/>
                                <w:color w:val="000000"/>
                              </w:rPr>
                              <w:t>You</w:t>
                            </w:r>
                            <w:r>
                              <w:rPr>
                                <w:i/>
                                <w:color w:val="000000"/>
                                <w:spacing w:val="-2"/>
                              </w:rPr>
                              <w:t> </w:t>
                            </w:r>
                            <w:r>
                              <w:rPr>
                                <w:i/>
                                <w:color w:val="000000"/>
                              </w:rPr>
                              <w:t>Dig</w:t>
                            </w:r>
                            <w:r>
                              <w:rPr>
                                <w:i/>
                                <w:color w:val="000000"/>
                                <w:spacing w:val="-3"/>
                              </w:rPr>
                              <w:t> </w:t>
                            </w:r>
                            <w:r>
                              <w:rPr>
                                <w:color w:val="000000"/>
                              </w:rPr>
                              <w:t>should</w:t>
                            </w:r>
                            <w:r>
                              <w:rPr>
                                <w:color w:val="000000"/>
                                <w:spacing w:val="-2"/>
                              </w:rPr>
                              <w:t> </w:t>
                            </w:r>
                            <w:r>
                              <w:rPr>
                                <w:color w:val="000000"/>
                              </w:rPr>
                              <w:t>be</w:t>
                            </w:r>
                            <w:r>
                              <w:rPr>
                                <w:color w:val="000000"/>
                                <w:spacing w:val="-2"/>
                              </w:rPr>
                              <w:t> </w:t>
                            </w:r>
                            <w:r>
                              <w:rPr>
                                <w:color w:val="000000"/>
                              </w:rPr>
                              <w:t>made</w:t>
                            </w:r>
                            <w:r>
                              <w:rPr>
                                <w:color w:val="000000"/>
                                <w:spacing w:val="-6"/>
                              </w:rPr>
                              <w:t> </w:t>
                            </w:r>
                            <w:r>
                              <w:rPr>
                                <w:color w:val="000000"/>
                              </w:rPr>
                              <w:t>mandatory</w:t>
                            </w:r>
                            <w:r>
                              <w:rPr>
                                <w:color w:val="000000"/>
                                <w:spacing w:val="-4"/>
                              </w:rPr>
                              <w:t> </w:t>
                            </w:r>
                            <w:r>
                              <w:rPr>
                                <w:color w:val="000000"/>
                              </w:rPr>
                              <w:t>in</w:t>
                            </w:r>
                            <w:r>
                              <w:rPr>
                                <w:color w:val="000000"/>
                                <w:spacing w:val="-2"/>
                              </w:rPr>
                              <w:t> </w:t>
                            </w:r>
                            <w:r>
                              <w:rPr>
                                <w:color w:val="000000"/>
                              </w:rPr>
                              <w:t>Victoria</w:t>
                            </w:r>
                            <w:r>
                              <w:rPr>
                                <w:color w:val="000000"/>
                                <w:spacing w:val="-4"/>
                              </w:rPr>
                              <w:t> </w:t>
                            </w:r>
                            <w:r>
                              <w:rPr>
                                <w:color w:val="000000"/>
                              </w:rPr>
                              <w:t>following</w:t>
                            </w:r>
                            <w:r>
                              <w:rPr>
                                <w:color w:val="000000"/>
                                <w:spacing w:val="-1"/>
                              </w:rPr>
                              <w:t> </w:t>
                            </w:r>
                            <w:r>
                              <w:rPr>
                                <w:color w:val="000000"/>
                              </w:rPr>
                              <w:t>the</w:t>
                            </w:r>
                            <w:r>
                              <w:rPr>
                                <w:color w:val="000000"/>
                                <w:spacing w:val="-2"/>
                              </w:rPr>
                              <w:t> </w:t>
                            </w:r>
                            <w:r>
                              <w:rPr>
                                <w:color w:val="000000"/>
                              </w:rPr>
                              <w:t>approach</w:t>
                            </w:r>
                            <w:r>
                              <w:rPr>
                                <w:color w:val="000000"/>
                                <w:spacing w:val="-4"/>
                              </w:rPr>
                              <w:t> </w:t>
                            </w:r>
                            <w:r>
                              <w:rPr>
                                <w:color w:val="000000"/>
                              </w:rPr>
                              <w:t>that has been adopted in New South Wales, subject to the completion of a positive regulation impact assessment (Recommendation 31).</w:t>
                            </w:r>
                          </w:p>
                        </w:txbxContent>
                      </wps:txbx>
                      <wps:bodyPr wrap="square" lIns="0" tIns="0" rIns="0" bIns="0" rtlCol="0">
                        <a:noAutofit/>
                      </wps:bodyPr>
                    </wps:wsp>
                  </a:graphicData>
                </a:graphic>
              </wp:inline>
            </w:drawing>
          </mc:Choice>
          <mc:Fallback>
            <w:pict>
              <v:shape style="width:453pt;height:182.9pt;mso-position-horizontal-relative:char;mso-position-vertical-relative:line" type="#_x0000_t202" id="docshape14" filled="true" fillcolor="#d9d9d9" stroked="false">
                <w10:anchorlock/>
                <v:textbox inset="0,0,0,0">
                  <w:txbxContent>
                    <w:p>
                      <w:pPr>
                        <w:pStyle w:val="BodyText"/>
                        <w:spacing w:before="10"/>
                        <w:rPr>
                          <w:color w:val="000000"/>
                          <w:sz w:val="20"/>
                        </w:rPr>
                      </w:pPr>
                    </w:p>
                    <w:p>
                      <w:pPr>
                        <w:spacing w:before="0"/>
                        <w:ind w:left="112" w:right="0" w:firstLine="0"/>
                        <w:jc w:val="left"/>
                        <w:rPr>
                          <w:b/>
                          <w:color w:val="000000"/>
                          <w:sz w:val="22"/>
                        </w:rPr>
                      </w:pPr>
                      <w:r>
                        <w:rPr>
                          <w:b/>
                          <w:color w:val="000000"/>
                          <w:sz w:val="22"/>
                        </w:rPr>
                        <w:t>Summary</w:t>
                      </w:r>
                      <w:r>
                        <w:rPr>
                          <w:b/>
                          <w:color w:val="000000"/>
                          <w:spacing w:val="-12"/>
                          <w:sz w:val="22"/>
                        </w:rPr>
                        <w:t> </w:t>
                      </w:r>
                      <w:r>
                        <w:rPr>
                          <w:b/>
                          <w:color w:val="000000"/>
                          <w:sz w:val="22"/>
                        </w:rPr>
                        <w:t>of</w:t>
                      </w:r>
                      <w:r>
                        <w:rPr>
                          <w:b/>
                          <w:color w:val="000000"/>
                          <w:spacing w:val="-6"/>
                          <w:sz w:val="22"/>
                        </w:rPr>
                        <w:t> </w:t>
                      </w:r>
                      <w:r>
                        <w:rPr>
                          <w:b/>
                          <w:color w:val="000000"/>
                          <w:sz w:val="22"/>
                        </w:rPr>
                        <w:t>recommendations:</w:t>
                      </w:r>
                      <w:r>
                        <w:rPr>
                          <w:b/>
                          <w:color w:val="000000"/>
                          <w:spacing w:val="-4"/>
                          <w:sz w:val="22"/>
                        </w:rPr>
                        <w:t> </w:t>
                      </w:r>
                      <w:r>
                        <w:rPr>
                          <w:b/>
                          <w:color w:val="000000"/>
                          <w:sz w:val="22"/>
                        </w:rPr>
                        <w:t>Regulating</w:t>
                      </w:r>
                      <w:r>
                        <w:rPr>
                          <w:b/>
                          <w:color w:val="000000"/>
                          <w:spacing w:val="-10"/>
                          <w:sz w:val="22"/>
                        </w:rPr>
                        <w:t> </w:t>
                      </w:r>
                      <w:r>
                        <w:rPr>
                          <w:b/>
                          <w:color w:val="000000"/>
                          <w:sz w:val="22"/>
                        </w:rPr>
                        <w:t>underground</w:t>
                      </w:r>
                      <w:r>
                        <w:rPr>
                          <w:b/>
                          <w:color w:val="000000"/>
                          <w:spacing w:val="-7"/>
                          <w:sz w:val="22"/>
                        </w:rPr>
                        <w:t> </w:t>
                      </w:r>
                      <w:r>
                        <w:rPr>
                          <w:b/>
                          <w:color w:val="000000"/>
                          <w:spacing w:val="-2"/>
                          <w:sz w:val="22"/>
                        </w:rPr>
                        <w:t>assets</w:t>
                      </w:r>
                    </w:p>
                    <w:p>
                      <w:pPr>
                        <w:pStyle w:val="BodyText"/>
                        <w:spacing w:before="2"/>
                        <w:rPr>
                          <w:b/>
                          <w:color w:val="000000"/>
                          <w:sz w:val="25"/>
                        </w:rPr>
                      </w:pPr>
                    </w:p>
                    <w:p>
                      <w:pPr>
                        <w:pStyle w:val="BodyText"/>
                        <w:ind w:left="112"/>
                        <w:rPr>
                          <w:color w:val="000000"/>
                        </w:rPr>
                      </w:pPr>
                      <w:r>
                        <w:rPr>
                          <w:color w:val="000000"/>
                        </w:rPr>
                        <w:t>Recommendations</w:t>
                      </w:r>
                      <w:r>
                        <w:rPr>
                          <w:color w:val="000000"/>
                          <w:spacing w:val="-6"/>
                        </w:rPr>
                        <w:t> </w:t>
                      </w:r>
                      <w:r>
                        <w:rPr>
                          <w:color w:val="000000"/>
                        </w:rPr>
                        <w:t>presented</w:t>
                      </w:r>
                      <w:r>
                        <w:rPr>
                          <w:color w:val="000000"/>
                          <w:spacing w:val="-6"/>
                        </w:rPr>
                        <w:t> </w:t>
                      </w:r>
                      <w:r>
                        <w:rPr>
                          <w:color w:val="000000"/>
                        </w:rPr>
                        <w:t>by</w:t>
                      </w:r>
                      <w:r>
                        <w:rPr>
                          <w:color w:val="000000"/>
                          <w:spacing w:val="-9"/>
                        </w:rPr>
                        <w:t> </w:t>
                      </w:r>
                      <w:r>
                        <w:rPr>
                          <w:color w:val="000000"/>
                        </w:rPr>
                        <w:t>the</w:t>
                      </w:r>
                      <w:r>
                        <w:rPr>
                          <w:color w:val="000000"/>
                          <w:spacing w:val="-8"/>
                        </w:rPr>
                        <w:t> </w:t>
                      </w:r>
                      <w:r>
                        <w:rPr>
                          <w:color w:val="000000"/>
                        </w:rPr>
                        <w:t>Review</w:t>
                      </w:r>
                      <w:r>
                        <w:rPr>
                          <w:color w:val="000000"/>
                          <w:spacing w:val="-9"/>
                        </w:rPr>
                        <w:t> </w:t>
                      </w:r>
                      <w:r>
                        <w:rPr>
                          <w:color w:val="000000"/>
                          <w:spacing w:val="-2"/>
                        </w:rPr>
                        <w:t>include:</w:t>
                      </w:r>
                    </w:p>
                    <w:p>
                      <w:pPr>
                        <w:pStyle w:val="BodyText"/>
                        <w:spacing w:before="10"/>
                        <w:rPr>
                          <w:color w:val="000000"/>
                          <w:sz w:val="26"/>
                        </w:rPr>
                      </w:pPr>
                    </w:p>
                    <w:p>
                      <w:pPr>
                        <w:numPr>
                          <w:ilvl w:val="0"/>
                          <w:numId w:val="16"/>
                        </w:numPr>
                        <w:tabs>
                          <w:tab w:pos="500" w:val="left" w:leader="none"/>
                          <w:tab w:pos="502" w:val="left" w:leader="none"/>
                        </w:tabs>
                        <w:spacing w:line="288" w:lineRule="auto" w:before="0"/>
                        <w:ind w:left="502" w:right="260" w:hanging="219"/>
                        <w:jc w:val="left"/>
                        <w:rPr>
                          <w:color w:val="000000"/>
                          <w:sz w:val="22"/>
                        </w:rPr>
                      </w:pPr>
                      <w:r>
                        <w:rPr>
                          <w:color w:val="000000"/>
                          <w:sz w:val="22"/>
                        </w:rPr>
                        <w:t>formalising membership and operation of the </w:t>
                      </w:r>
                      <w:r>
                        <w:rPr>
                          <w:i/>
                          <w:color w:val="000000"/>
                          <w:sz w:val="22"/>
                        </w:rPr>
                        <w:t>Land Development Around Pipelines Working</w:t>
                      </w:r>
                      <w:r>
                        <w:rPr>
                          <w:i/>
                          <w:color w:val="000000"/>
                          <w:spacing w:val="-5"/>
                          <w:sz w:val="22"/>
                        </w:rPr>
                        <w:t> </w:t>
                      </w:r>
                      <w:r>
                        <w:rPr>
                          <w:i/>
                          <w:color w:val="000000"/>
                          <w:sz w:val="22"/>
                        </w:rPr>
                        <w:t>Group</w:t>
                      </w:r>
                      <w:r>
                        <w:rPr>
                          <w:i/>
                          <w:color w:val="000000"/>
                          <w:spacing w:val="-2"/>
                          <w:sz w:val="22"/>
                        </w:rPr>
                        <w:t> </w:t>
                      </w:r>
                      <w:r>
                        <w:rPr>
                          <w:color w:val="000000"/>
                          <w:sz w:val="22"/>
                        </w:rPr>
                        <w:t>and</w:t>
                      </w:r>
                      <w:r>
                        <w:rPr>
                          <w:color w:val="000000"/>
                          <w:spacing w:val="-5"/>
                          <w:sz w:val="22"/>
                        </w:rPr>
                        <w:t> </w:t>
                      </w:r>
                      <w:r>
                        <w:rPr>
                          <w:color w:val="000000"/>
                          <w:sz w:val="22"/>
                        </w:rPr>
                        <w:t>tasking</w:t>
                      </w:r>
                      <w:r>
                        <w:rPr>
                          <w:color w:val="000000"/>
                          <w:spacing w:val="-3"/>
                          <w:sz w:val="22"/>
                        </w:rPr>
                        <w:t> </w:t>
                      </w:r>
                      <w:r>
                        <w:rPr>
                          <w:color w:val="000000"/>
                          <w:sz w:val="22"/>
                        </w:rPr>
                        <w:t>the</w:t>
                      </w:r>
                      <w:r>
                        <w:rPr>
                          <w:color w:val="000000"/>
                          <w:spacing w:val="-5"/>
                          <w:sz w:val="22"/>
                        </w:rPr>
                        <w:t> </w:t>
                      </w:r>
                      <w:r>
                        <w:rPr>
                          <w:color w:val="000000"/>
                          <w:sz w:val="22"/>
                        </w:rPr>
                        <w:t>working</w:t>
                      </w:r>
                      <w:r>
                        <w:rPr>
                          <w:color w:val="000000"/>
                          <w:spacing w:val="-3"/>
                          <w:sz w:val="22"/>
                        </w:rPr>
                        <w:t> </w:t>
                      </w:r>
                      <w:r>
                        <w:rPr>
                          <w:color w:val="000000"/>
                          <w:sz w:val="22"/>
                        </w:rPr>
                        <w:t>group</w:t>
                      </w:r>
                      <w:r>
                        <w:rPr>
                          <w:color w:val="000000"/>
                          <w:spacing w:val="-3"/>
                          <w:sz w:val="22"/>
                        </w:rPr>
                        <w:t> </w:t>
                      </w:r>
                      <w:r>
                        <w:rPr>
                          <w:color w:val="000000"/>
                          <w:sz w:val="22"/>
                        </w:rPr>
                        <w:t>with</w:t>
                      </w:r>
                      <w:r>
                        <w:rPr>
                          <w:color w:val="000000"/>
                          <w:spacing w:val="-3"/>
                          <w:sz w:val="22"/>
                        </w:rPr>
                        <w:t> </w:t>
                      </w:r>
                      <w:r>
                        <w:rPr>
                          <w:color w:val="000000"/>
                          <w:sz w:val="22"/>
                        </w:rPr>
                        <w:t>providing</w:t>
                      </w:r>
                      <w:r>
                        <w:rPr>
                          <w:color w:val="000000"/>
                          <w:spacing w:val="-1"/>
                          <w:sz w:val="22"/>
                        </w:rPr>
                        <w:t> </w:t>
                      </w:r>
                      <w:r>
                        <w:rPr>
                          <w:color w:val="000000"/>
                          <w:sz w:val="22"/>
                        </w:rPr>
                        <w:t>advice</w:t>
                      </w:r>
                      <w:r>
                        <w:rPr>
                          <w:color w:val="000000"/>
                          <w:spacing w:val="-3"/>
                          <w:sz w:val="22"/>
                        </w:rPr>
                        <w:t> </w:t>
                      </w:r>
                      <w:r>
                        <w:rPr>
                          <w:color w:val="000000"/>
                          <w:sz w:val="22"/>
                        </w:rPr>
                        <w:t>to</w:t>
                      </w:r>
                      <w:r>
                        <w:rPr>
                          <w:color w:val="000000"/>
                          <w:spacing w:val="-6"/>
                          <w:sz w:val="22"/>
                        </w:rPr>
                        <w:t> </w:t>
                      </w:r>
                      <w:r>
                        <w:rPr>
                          <w:color w:val="000000"/>
                          <w:sz w:val="22"/>
                        </w:rPr>
                        <w:t>government</w:t>
                      </w:r>
                      <w:r>
                        <w:rPr>
                          <w:color w:val="000000"/>
                          <w:spacing w:val="-4"/>
                          <w:sz w:val="22"/>
                        </w:rPr>
                        <w:t> </w:t>
                      </w:r>
                      <w:r>
                        <w:rPr>
                          <w:color w:val="000000"/>
                          <w:sz w:val="22"/>
                        </w:rPr>
                        <w:t>to improve planning around high pressure gas pipelines (Recommendation 30); and</w:t>
                      </w:r>
                    </w:p>
                    <w:p>
                      <w:pPr>
                        <w:pStyle w:val="BodyText"/>
                        <w:rPr>
                          <w:color w:val="000000"/>
                        </w:rPr>
                      </w:pPr>
                    </w:p>
                    <w:p>
                      <w:pPr>
                        <w:pStyle w:val="BodyText"/>
                        <w:numPr>
                          <w:ilvl w:val="0"/>
                          <w:numId w:val="16"/>
                        </w:numPr>
                        <w:tabs>
                          <w:tab w:pos="500" w:val="left" w:leader="none"/>
                          <w:tab w:pos="502" w:val="left" w:leader="none"/>
                        </w:tabs>
                        <w:spacing w:line="288" w:lineRule="auto" w:before="0" w:after="0"/>
                        <w:ind w:left="502" w:right="178" w:hanging="219"/>
                        <w:jc w:val="left"/>
                        <w:rPr>
                          <w:color w:val="000000"/>
                        </w:rPr>
                      </w:pPr>
                      <w:r>
                        <w:rPr>
                          <w:i/>
                          <w:color w:val="000000"/>
                        </w:rPr>
                        <w:t>Dial</w:t>
                      </w:r>
                      <w:r>
                        <w:rPr>
                          <w:i/>
                          <w:color w:val="000000"/>
                          <w:spacing w:val="-3"/>
                        </w:rPr>
                        <w:t> </w:t>
                      </w:r>
                      <w:r>
                        <w:rPr>
                          <w:i/>
                          <w:color w:val="000000"/>
                        </w:rPr>
                        <w:t>Before</w:t>
                      </w:r>
                      <w:r>
                        <w:rPr>
                          <w:i/>
                          <w:color w:val="000000"/>
                          <w:spacing w:val="-2"/>
                        </w:rPr>
                        <w:t> </w:t>
                      </w:r>
                      <w:r>
                        <w:rPr>
                          <w:i/>
                          <w:color w:val="000000"/>
                        </w:rPr>
                        <w:t>You</w:t>
                      </w:r>
                      <w:r>
                        <w:rPr>
                          <w:i/>
                          <w:color w:val="000000"/>
                          <w:spacing w:val="-2"/>
                        </w:rPr>
                        <w:t> </w:t>
                      </w:r>
                      <w:r>
                        <w:rPr>
                          <w:i/>
                          <w:color w:val="000000"/>
                        </w:rPr>
                        <w:t>Dig</w:t>
                      </w:r>
                      <w:r>
                        <w:rPr>
                          <w:i/>
                          <w:color w:val="000000"/>
                          <w:spacing w:val="-3"/>
                        </w:rPr>
                        <w:t> </w:t>
                      </w:r>
                      <w:r>
                        <w:rPr>
                          <w:color w:val="000000"/>
                        </w:rPr>
                        <w:t>should</w:t>
                      </w:r>
                      <w:r>
                        <w:rPr>
                          <w:color w:val="000000"/>
                          <w:spacing w:val="-2"/>
                        </w:rPr>
                        <w:t> </w:t>
                      </w:r>
                      <w:r>
                        <w:rPr>
                          <w:color w:val="000000"/>
                        </w:rPr>
                        <w:t>be</w:t>
                      </w:r>
                      <w:r>
                        <w:rPr>
                          <w:color w:val="000000"/>
                          <w:spacing w:val="-2"/>
                        </w:rPr>
                        <w:t> </w:t>
                      </w:r>
                      <w:r>
                        <w:rPr>
                          <w:color w:val="000000"/>
                        </w:rPr>
                        <w:t>made</w:t>
                      </w:r>
                      <w:r>
                        <w:rPr>
                          <w:color w:val="000000"/>
                          <w:spacing w:val="-6"/>
                        </w:rPr>
                        <w:t> </w:t>
                      </w:r>
                      <w:r>
                        <w:rPr>
                          <w:color w:val="000000"/>
                        </w:rPr>
                        <w:t>mandatory</w:t>
                      </w:r>
                      <w:r>
                        <w:rPr>
                          <w:color w:val="000000"/>
                          <w:spacing w:val="-4"/>
                        </w:rPr>
                        <w:t> </w:t>
                      </w:r>
                      <w:r>
                        <w:rPr>
                          <w:color w:val="000000"/>
                        </w:rPr>
                        <w:t>in</w:t>
                      </w:r>
                      <w:r>
                        <w:rPr>
                          <w:color w:val="000000"/>
                          <w:spacing w:val="-2"/>
                        </w:rPr>
                        <w:t> </w:t>
                      </w:r>
                      <w:r>
                        <w:rPr>
                          <w:color w:val="000000"/>
                        </w:rPr>
                        <w:t>Victoria</w:t>
                      </w:r>
                      <w:r>
                        <w:rPr>
                          <w:color w:val="000000"/>
                          <w:spacing w:val="-4"/>
                        </w:rPr>
                        <w:t> </w:t>
                      </w:r>
                      <w:r>
                        <w:rPr>
                          <w:color w:val="000000"/>
                        </w:rPr>
                        <w:t>following</w:t>
                      </w:r>
                      <w:r>
                        <w:rPr>
                          <w:color w:val="000000"/>
                          <w:spacing w:val="-1"/>
                        </w:rPr>
                        <w:t> </w:t>
                      </w:r>
                      <w:r>
                        <w:rPr>
                          <w:color w:val="000000"/>
                        </w:rPr>
                        <w:t>the</w:t>
                      </w:r>
                      <w:r>
                        <w:rPr>
                          <w:color w:val="000000"/>
                          <w:spacing w:val="-2"/>
                        </w:rPr>
                        <w:t> </w:t>
                      </w:r>
                      <w:r>
                        <w:rPr>
                          <w:color w:val="000000"/>
                        </w:rPr>
                        <w:t>approach</w:t>
                      </w:r>
                      <w:r>
                        <w:rPr>
                          <w:color w:val="000000"/>
                          <w:spacing w:val="-4"/>
                        </w:rPr>
                        <w:t> </w:t>
                      </w:r>
                      <w:r>
                        <w:rPr>
                          <w:color w:val="000000"/>
                        </w:rPr>
                        <w:t>that has been adopted in New South Wales, subject to the completion of a positive regulation impact assessment (Recommendation 31).</w:t>
                      </w:r>
                    </w:p>
                  </w:txbxContent>
                </v:textbox>
                <v:fill type="solid"/>
              </v:shape>
            </w:pict>
          </mc:Fallback>
        </mc:AlternateContent>
      </w:r>
      <w:r>
        <w:rPr>
          <w:sz w:val="20"/>
        </w:rPr>
      </w:r>
    </w:p>
    <w:p>
      <w:pPr>
        <w:pStyle w:val="BodyText"/>
        <w:spacing w:before="1"/>
      </w:pPr>
    </w:p>
    <w:p>
      <w:pPr>
        <w:pStyle w:val="Heading4"/>
        <w:ind w:left="292"/>
      </w:pPr>
      <w:r>
        <w:rPr>
          <w:color w:val="585858"/>
        </w:rPr>
        <w:t>Regulating</w:t>
      </w:r>
      <w:r>
        <w:rPr>
          <w:color w:val="585858"/>
          <w:spacing w:val="-10"/>
        </w:rPr>
        <w:t> </w:t>
      </w:r>
      <w:r>
        <w:rPr>
          <w:color w:val="585858"/>
        </w:rPr>
        <w:t>the</w:t>
      </w:r>
      <w:r>
        <w:rPr>
          <w:color w:val="585858"/>
          <w:spacing w:val="-7"/>
        </w:rPr>
        <w:t> </w:t>
      </w:r>
      <w:r>
        <w:rPr>
          <w:color w:val="585858"/>
        </w:rPr>
        <w:t>networks</w:t>
      </w:r>
      <w:r>
        <w:rPr>
          <w:color w:val="585858"/>
          <w:spacing w:val="-10"/>
        </w:rPr>
        <w:t> </w:t>
      </w:r>
      <w:r>
        <w:rPr>
          <w:color w:val="585858"/>
        </w:rPr>
        <w:t>of</w:t>
      </w:r>
      <w:r>
        <w:rPr>
          <w:color w:val="585858"/>
          <w:spacing w:val="-11"/>
        </w:rPr>
        <w:t> </w:t>
      </w:r>
      <w:r>
        <w:rPr>
          <w:color w:val="585858"/>
        </w:rPr>
        <w:t>the</w:t>
      </w:r>
      <w:r>
        <w:rPr>
          <w:color w:val="585858"/>
          <w:spacing w:val="-6"/>
        </w:rPr>
        <w:t> </w:t>
      </w:r>
      <w:r>
        <w:rPr>
          <w:color w:val="585858"/>
          <w:spacing w:val="-2"/>
        </w:rPr>
        <w:t>future</w:t>
      </w:r>
    </w:p>
    <w:p>
      <w:pPr>
        <w:pStyle w:val="BodyText"/>
        <w:spacing w:line="288" w:lineRule="auto" w:before="314"/>
        <w:ind w:left="292" w:right="311"/>
      </w:pPr>
      <w:r>
        <w:rPr/>
        <w:t>Energy networks in Victoria are facing transformational change over coming decades with new forms of generation, storage and distribution. Indeed, the transformation of networks has already commenced,</w:t>
      </w:r>
      <w:r>
        <w:rPr>
          <w:spacing w:val="-4"/>
        </w:rPr>
        <w:t> </w:t>
      </w:r>
      <w:r>
        <w:rPr/>
        <w:t>particularly</w:t>
      </w:r>
      <w:r>
        <w:rPr>
          <w:spacing w:val="-5"/>
        </w:rPr>
        <w:t> </w:t>
      </w:r>
      <w:r>
        <w:rPr/>
        <w:t>with</w:t>
      </w:r>
      <w:r>
        <w:rPr>
          <w:spacing w:val="-3"/>
        </w:rPr>
        <w:t> </w:t>
      </w:r>
      <w:r>
        <w:rPr/>
        <w:t>the</w:t>
      </w:r>
      <w:r>
        <w:rPr>
          <w:spacing w:val="-5"/>
        </w:rPr>
        <w:t> </w:t>
      </w:r>
      <w:r>
        <w:rPr/>
        <w:t>widespread</w:t>
      </w:r>
      <w:r>
        <w:rPr>
          <w:spacing w:val="-3"/>
        </w:rPr>
        <w:t> </w:t>
      </w:r>
      <w:r>
        <w:rPr/>
        <w:t>adoption</w:t>
      </w:r>
      <w:r>
        <w:rPr>
          <w:spacing w:val="-3"/>
        </w:rPr>
        <w:t> </w:t>
      </w:r>
      <w:r>
        <w:rPr/>
        <w:t>of</w:t>
      </w:r>
      <w:r>
        <w:rPr>
          <w:spacing w:val="-1"/>
        </w:rPr>
        <w:t> </w:t>
      </w:r>
      <w:r>
        <w:rPr/>
        <w:t>smaller-scale</w:t>
      </w:r>
      <w:r>
        <w:rPr>
          <w:spacing w:val="-5"/>
        </w:rPr>
        <w:t> </w:t>
      </w:r>
      <w:r>
        <w:rPr/>
        <w:t>solar</w:t>
      </w:r>
      <w:r>
        <w:rPr>
          <w:spacing w:val="-2"/>
        </w:rPr>
        <w:t> </w:t>
      </w:r>
      <w:r>
        <w:rPr/>
        <w:t>electricity</w:t>
      </w:r>
      <w:r>
        <w:rPr>
          <w:spacing w:val="-7"/>
        </w:rPr>
        <w:t> </w:t>
      </w:r>
      <w:r>
        <w:rPr/>
        <w:t>generation, including roof-top solar, and the increasing use of battery storage.</w:t>
      </w:r>
    </w:p>
    <w:p>
      <w:pPr>
        <w:pStyle w:val="BodyText"/>
        <w:spacing w:before="10"/>
        <w:rPr>
          <w:sz w:val="20"/>
        </w:rPr>
      </w:pPr>
    </w:p>
    <w:p>
      <w:pPr>
        <w:pStyle w:val="BodyText"/>
        <w:spacing w:line="288" w:lineRule="auto"/>
        <w:ind w:left="292"/>
      </w:pPr>
      <w:r>
        <w:rPr/>
        <w:t>The</w:t>
      </w:r>
      <w:r>
        <w:rPr>
          <w:spacing w:val="-3"/>
        </w:rPr>
        <w:t> </w:t>
      </w:r>
      <w:r>
        <w:rPr/>
        <w:t>transition</w:t>
      </w:r>
      <w:r>
        <w:rPr>
          <w:spacing w:val="-3"/>
        </w:rPr>
        <w:t> </w:t>
      </w:r>
      <w:r>
        <w:rPr/>
        <w:t>to</w:t>
      </w:r>
      <w:r>
        <w:rPr>
          <w:spacing w:val="-1"/>
        </w:rPr>
        <w:t> </w:t>
      </w:r>
      <w:r>
        <w:rPr/>
        <w:t>a</w:t>
      </w:r>
      <w:r>
        <w:rPr>
          <w:spacing w:val="-3"/>
        </w:rPr>
        <w:t> </w:t>
      </w:r>
      <w:r>
        <w:rPr/>
        <w:t>new</w:t>
      </w:r>
      <w:r>
        <w:rPr>
          <w:spacing w:val="-4"/>
        </w:rPr>
        <w:t> </w:t>
      </w:r>
      <w:r>
        <w:rPr/>
        <w:t>energy</w:t>
      </w:r>
      <w:r>
        <w:rPr>
          <w:spacing w:val="-5"/>
        </w:rPr>
        <w:t> </w:t>
      </w:r>
      <w:r>
        <w:rPr/>
        <w:t>future</w:t>
      </w:r>
      <w:r>
        <w:rPr>
          <w:spacing w:val="-1"/>
        </w:rPr>
        <w:t> </w:t>
      </w:r>
      <w:r>
        <w:rPr/>
        <w:t>will</w:t>
      </w:r>
      <w:r>
        <w:rPr>
          <w:spacing w:val="-1"/>
        </w:rPr>
        <w:t> </w:t>
      </w:r>
      <w:r>
        <w:rPr/>
        <w:t>raise</w:t>
      </w:r>
      <w:r>
        <w:rPr>
          <w:spacing w:val="-1"/>
        </w:rPr>
        <w:t> </w:t>
      </w:r>
      <w:r>
        <w:rPr/>
        <w:t>new</w:t>
      </w:r>
      <w:r>
        <w:rPr>
          <w:spacing w:val="-4"/>
        </w:rPr>
        <w:t> </w:t>
      </w:r>
      <w:r>
        <w:rPr/>
        <w:t>safety</w:t>
      </w:r>
      <w:r>
        <w:rPr>
          <w:spacing w:val="-3"/>
        </w:rPr>
        <w:t> </w:t>
      </w:r>
      <w:r>
        <w:rPr/>
        <w:t>risks</w:t>
      </w:r>
      <w:r>
        <w:rPr>
          <w:spacing w:val="-3"/>
        </w:rPr>
        <w:t> </w:t>
      </w:r>
      <w:r>
        <w:rPr/>
        <w:t>that</w:t>
      </w:r>
      <w:r>
        <w:rPr>
          <w:spacing w:val="-2"/>
        </w:rPr>
        <w:t> </w:t>
      </w:r>
      <w:r>
        <w:rPr/>
        <w:t>need</w:t>
      </w:r>
      <w:r>
        <w:rPr>
          <w:spacing w:val="-3"/>
        </w:rPr>
        <w:t> </w:t>
      </w:r>
      <w:r>
        <w:rPr/>
        <w:t>to</w:t>
      </w:r>
      <w:r>
        <w:rPr>
          <w:spacing w:val="-1"/>
        </w:rPr>
        <w:t> </w:t>
      </w:r>
      <w:r>
        <w:rPr/>
        <w:t>be</w:t>
      </w:r>
      <w:r>
        <w:rPr>
          <w:spacing w:val="-3"/>
        </w:rPr>
        <w:t> </w:t>
      </w:r>
      <w:r>
        <w:rPr/>
        <w:t>managed.</w:t>
      </w:r>
      <w:r>
        <w:rPr>
          <w:spacing w:val="-2"/>
        </w:rPr>
        <w:t> </w:t>
      </w:r>
      <w:r>
        <w:rPr/>
        <w:t>At</w:t>
      </w:r>
      <w:r>
        <w:rPr>
          <w:spacing w:val="-2"/>
        </w:rPr>
        <w:t> </w:t>
      </w:r>
      <w:r>
        <w:rPr/>
        <w:t>a</w:t>
      </w:r>
      <w:r>
        <w:rPr>
          <w:spacing w:val="-1"/>
        </w:rPr>
        <w:t> </w:t>
      </w:r>
      <w:r>
        <w:rPr/>
        <w:t>very broad level, there are two key challenges for the network safety framework:</w:t>
      </w:r>
    </w:p>
    <w:p>
      <w:pPr>
        <w:pStyle w:val="BodyText"/>
        <w:spacing w:before="4"/>
      </w:pPr>
    </w:p>
    <w:p>
      <w:pPr>
        <w:pStyle w:val="ListParagraph"/>
        <w:numPr>
          <w:ilvl w:val="1"/>
          <w:numId w:val="9"/>
        </w:numPr>
        <w:tabs>
          <w:tab w:pos="794" w:val="left" w:leader="none"/>
        </w:tabs>
        <w:spacing w:line="288" w:lineRule="auto" w:before="0" w:after="0"/>
        <w:ind w:left="794" w:right="1087" w:hanging="361"/>
        <w:jc w:val="left"/>
        <w:rPr>
          <w:sz w:val="22"/>
        </w:rPr>
      </w:pPr>
      <w:r>
        <w:rPr>
          <w:sz w:val="22"/>
        </w:rPr>
        <w:t>firstly,</w:t>
      </w:r>
      <w:r>
        <w:rPr>
          <w:spacing w:val="-3"/>
          <w:sz w:val="22"/>
        </w:rPr>
        <w:t> </w:t>
      </w:r>
      <w:r>
        <w:rPr>
          <w:sz w:val="22"/>
        </w:rPr>
        <w:t>that</w:t>
      </w:r>
      <w:r>
        <w:rPr>
          <w:spacing w:val="-3"/>
          <w:sz w:val="22"/>
        </w:rPr>
        <w:t> </w:t>
      </w:r>
      <w:r>
        <w:rPr>
          <w:sz w:val="22"/>
        </w:rPr>
        <w:t>new</w:t>
      </w:r>
      <w:r>
        <w:rPr>
          <w:spacing w:val="-5"/>
          <w:sz w:val="22"/>
        </w:rPr>
        <w:t> </w:t>
      </w:r>
      <w:r>
        <w:rPr>
          <w:sz w:val="22"/>
        </w:rPr>
        <w:t>emerging</w:t>
      </w:r>
      <w:r>
        <w:rPr>
          <w:spacing w:val="-2"/>
          <w:sz w:val="22"/>
        </w:rPr>
        <w:t> </w:t>
      </w:r>
      <w:r>
        <w:rPr>
          <w:sz w:val="22"/>
        </w:rPr>
        <w:t>safety</w:t>
      </w:r>
      <w:r>
        <w:rPr>
          <w:spacing w:val="-4"/>
          <w:sz w:val="22"/>
        </w:rPr>
        <w:t> </w:t>
      </w:r>
      <w:r>
        <w:rPr>
          <w:sz w:val="22"/>
        </w:rPr>
        <w:t>risks</w:t>
      </w:r>
      <w:r>
        <w:rPr>
          <w:spacing w:val="-4"/>
          <w:sz w:val="22"/>
        </w:rPr>
        <w:t> </w:t>
      </w:r>
      <w:r>
        <w:rPr>
          <w:sz w:val="22"/>
        </w:rPr>
        <w:t>are</w:t>
      </w:r>
      <w:r>
        <w:rPr>
          <w:spacing w:val="-4"/>
          <w:sz w:val="22"/>
        </w:rPr>
        <w:t> </w:t>
      </w:r>
      <w:r>
        <w:rPr>
          <w:sz w:val="22"/>
        </w:rPr>
        <w:t>not</w:t>
      </w:r>
      <w:r>
        <w:rPr>
          <w:spacing w:val="-3"/>
          <w:sz w:val="22"/>
        </w:rPr>
        <w:t> </w:t>
      </w:r>
      <w:r>
        <w:rPr>
          <w:sz w:val="22"/>
        </w:rPr>
        <w:t>properly</w:t>
      </w:r>
      <w:r>
        <w:rPr>
          <w:spacing w:val="-4"/>
          <w:sz w:val="22"/>
        </w:rPr>
        <w:t> </w:t>
      </w:r>
      <w:r>
        <w:rPr>
          <w:sz w:val="22"/>
        </w:rPr>
        <w:t>identified</w:t>
      </w:r>
      <w:r>
        <w:rPr>
          <w:spacing w:val="-2"/>
          <w:sz w:val="22"/>
        </w:rPr>
        <w:t> </w:t>
      </w:r>
      <w:r>
        <w:rPr>
          <w:sz w:val="22"/>
        </w:rPr>
        <w:t>and</w:t>
      </w:r>
      <w:r>
        <w:rPr>
          <w:spacing w:val="-6"/>
          <w:sz w:val="22"/>
        </w:rPr>
        <w:t> </w:t>
      </w:r>
      <w:r>
        <w:rPr>
          <w:sz w:val="22"/>
        </w:rPr>
        <w:t>managed</w:t>
      </w:r>
      <w:r>
        <w:rPr>
          <w:spacing w:val="-4"/>
          <w:sz w:val="22"/>
        </w:rPr>
        <w:t> </w:t>
      </w:r>
      <w:r>
        <w:rPr>
          <w:sz w:val="22"/>
        </w:rPr>
        <w:t>through appropriate regulatory responses; and</w:t>
      </w:r>
    </w:p>
    <w:p>
      <w:pPr>
        <w:pStyle w:val="BodyText"/>
        <w:spacing w:before="2"/>
      </w:pPr>
    </w:p>
    <w:p>
      <w:pPr>
        <w:pStyle w:val="ListParagraph"/>
        <w:numPr>
          <w:ilvl w:val="1"/>
          <w:numId w:val="9"/>
        </w:numPr>
        <w:tabs>
          <w:tab w:pos="794" w:val="left" w:leader="none"/>
        </w:tabs>
        <w:spacing w:line="288" w:lineRule="auto" w:before="0" w:after="0"/>
        <w:ind w:left="794" w:right="670" w:hanging="361"/>
        <w:jc w:val="left"/>
        <w:rPr>
          <w:sz w:val="22"/>
        </w:rPr>
      </w:pPr>
      <w:r>
        <w:rPr>
          <w:sz w:val="22"/>
        </w:rPr>
        <w:t>secondly, the adoption of new technology is delayed, or unnecessary costs are added, because</w:t>
      </w:r>
      <w:r>
        <w:rPr>
          <w:spacing w:val="-2"/>
          <w:sz w:val="22"/>
        </w:rPr>
        <w:t> </w:t>
      </w:r>
      <w:r>
        <w:rPr>
          <w:sz w:val="22"/>
        </w:rPr>
        <w:t>the</w:t>
      </w:r>
      <w:r>
        <w:rPr>
          <w:spacing w:val="-4"/>
          <w:sz w:val="22"/>
        </w:rPr>
        <w:t> </w:t>
      </w:r>
      <w:r>
        <w:rPr>
          <w:sz w:val="22"/>
        </w:rPr>
        <w:t>regulatory</w:t>
      </w:r>
      <w:r>
        <w:rPr>
          <w:spacing w:val="-4"/>
          <w:sz w:val="22"/>
        </w:rPr>
        <w:t> </w:t>
      </w:r>
      <w:r>
        <w:rPr>
          <w:sz w:val="22"/>
        </w:rPr>
        <w:t>system</w:t>
      </w:r>
      <w:r>
        <w:rPr>
          <w:spacing w:val="-1"/>
          <w:sz w:val="22"/>
        </w:rPr>
        <w:t> </w:t>
      </w:r>
      <w:r>
        <w:rPr>
          <w:sz w:val="22"/>
        </w:rPr>
        <w:t>has</w:t>
      </w:r>
      <w:r>
        <w:rPr>
          <w:spacing w:val="-6"/>
          <w:sz w:val="22"/>
        </w:rPr>
        <w:t> </w:t>
      </w:r>
      <w:r>
        <w:rPr>
          <w:sz w:val="22"/>
        </w:rPr>
        <w:t>failed</w:t>
      </w:r>
      <w:r>
        <w:rPr>
          <w:spacing w:val="-4"/>
          <w:sz w:val="22"/>
        </w:rPr>
        <w:t> </w:t>
      </w:r>
      <w:r>
        <w:rPr>
          <w:sz w:val="22"/>
        </w:rPr>
        <w:t>to</w:t>
      </w:r>
      <w:r>
        <w:rPr>
          <w:spacing w:val="-2"/>
          <w:sz w:val="22"/>
        </w:rPr>
        <w:t> </w:t>
      </w:r>
      <w:r>
        <w:rPr>
          <w:sz w:val="22"/>
        </w:rPr>
        <w:t>identify</w:t>
      </w:r>
      <w:r>
        <w:rPr>
          <w:spacing w:val="-4"/>
          <w:sz w:val="22"/>
        </w:rPr>
        <w:t> </w:t>
      </w:r>
      <w:r>
        <w:rPr>
          <w:sz w:val="22"/>
        </w:rPr>
        <w:t>emerging</w:t>
      </w:r>
      <w:r>
        <w:rPr>
          <w:spacing w:val="-2"/>
          <w:sz w:val="22"/>
        </w:rPr>
        <w:t> </w:t>
      </w:r>
      <w:r>
        <w:rPr>
          <w:sz w:val="22"/>
        </w:rPr>
        <w:t>risks</w:t>
      </w:r>
      <w:r>
        <w:rPr>
          <w:spacing w:val="-4"/>
          <w:sz w:val="22"/>
        </w:rPr>
        <w:t> </w:t>
      </w:r>
      <w:r>
        <w:rPr>
          <w:sz w:val="22"/>
        </w:rPr>
        <w:t>and</w:t>
      </w:r>
      <w:r>
        <w:rPr>
          <w:spacing w:val="-2"/>
          <w:sz w:val="22"/>
        </w:rPr>
        <w:t> </w:t>
      </w:r>
      <w:r>
        <w:rPr>
          <w:sz w:val="22"/>
        </w:rPr>
        <w:t>efficient</w:t>
      </w:r>
      <w:r>
        <w:rPr>
          <w:spacing w:val="-1"/>
          <w:sz w:val="22"/>
        </w:rPr>
        <w:t> </w:t>
      </w:r>
      <w:r>
        <w:rPr>
          <w:sz w:val="22"/>
        </w:rPr>
        <w:t>regulatory responses sufficiently early.</w:t>
      </w:r>
    </w:p>
    <w:p>
      <w:pPr>
        <w:pStyle w:val="BodyText"/>
        <w:spacing w:before="9"/>
        <w:rPr>
          <w:sz w:val="20"/>
        </w:rPr>
      </w:pPr>
    </w:p>
    <w:p>
      <w:pPr>
        <w:pStyle w:val="BodyText"/>
        <w:spacing w:line="288" w:lineRule="auto"/>
        <w:ind w:left="292" w:right="311"/>
      </w:pPr>
      <w:r>
        <w:rPr/>
        <w:t>In</w:t>
      </w:r>
      <w:r>
        <w:rPr>
          <w:spacing w:val="-2"/>
        </w:rPr>
        <w:t> </w:t>
      </w:r>
      <w:r>
        <w:rPr/>
        <w:t>both</w:t>
      </w:r>
      <w:r>
        <w:rPr>
          <w:spacing w:val="-2"/>
        </w:rPr>
        <w:t> </w:t>
      </w:r>
      <w:r>
        <w:rPr/>
        <w:t>cases,</w:t>
      </w:r>
      <w:r>
        <w:rPr>
          <w:spacing w:val="-3"/>
        </w:rPr>
        <w:t> </w:t>
      </w:r>
      <w:r>
        <w:rPr/>
        <w:t>ESV</w:t>
      </w:r>
      <w:r>
        <w:rPr>
          <w:spacing w:val="-2"/>
        </w:rPr>
        <w:t> </w:t>
      </w:r>
      <w:r>
        <w:rPr/>
        <w:t>and</w:t>
      </w:r>
      <w:r>
        <w:rPr>
          <w:spacing w:val="-4"/>
        </w:rPr>
        <w:t> </w:t>
      </w:r>
      <w:r>
        <w:rPr/>
        <w:t>network</w:t>
      </w:r>
      <w:r>
        <w:rPr>
          <w:spacing w:val="-1"/>
        </w:rPr>
        <w:t> </w:t>
      </w:r>
      <w:r>
        <w:rPr/>
        <w:t>businesses</w:t>
      </w:r>
      <w:r>
        <w:rPr>
          <w:spacing w:val="-2"/>
        </w:rPr>
        <w:t> </w:t>
      </w:r>
      <w:r>
        <w:rPr/>
        <w:t>need</w:t>
      </w:r>
      <w:r>
        <w:rPr>
          <w:spacing w:val="-2"/>
        </w:rPr>
        <w:t> </w:t>
      </w:r>
      <w:r>
        <w:rPr/>
        <w:t>to</w:t>
      </w:r>
      <w:r>
        <w:rPr>
          <w:spacing w:val="-4"/>
        </w:rPr>
        <w:t> </w:t>
      </w:r>
      <w:r>
        <w:rPr/>
        <w:t>stay</w:t>
      </w:r>
      <w:r>
        <w:rPr>
          <w:spacing w:val="-2"/>
        </w:rPr>
        <w:t> </w:t>
      </w:r>
      <w:r>
        <w:rPr/>
        <w:t>“ahead</w:t>
      </w:r>
      <w:r>
        <w:rPr>
          <w:spacing w:val="-2"/>
        </w:rPr>
        <w:t> </w:t>
      </w:r>
      <w:r>
        <w:rPr/>
        <w:t>of</w:t>
      </w:r>
      <w:r>
        <w:rPr>
          <w:spacing w:val="-3"/>
        </w:rPr>
        <w:t> </w:t>
      </w:r>
      <w:r>
        <w:rPr/>
        <w:t>the</w:t>
      </w:r>
      <w:r>
        <w:rPr>
          <w:spacing w:val="-2"/>
        </w:rPr>
        <w:t> </w:t>
      </w:r>
      <w:r>
        <w:rPr/>
        <w:t>curve”, working</w:t>
      </w:r>
      <w:r>
        <w:rPr>
          <w:spacing w:val="-2"/>
        </w:rPr>
        <w:t> </w:t>
      </w:r>
      <w:r>
        <w:rPr/>
        <w:t>together closely to identify emerging issues and develop effective responses.</w:t>
      </w:r>
    </w:p>
    <w:p>
      <w:pPr>
        <w:pStyle w:val="BodyText"/>
        <w:spacing w:before="10"/>
        <w:rPr>
          <w:sz w:val="20"/>
        </w:rPr>
      </w:pPr>
    </w:p>
    <w:p>
      <w:pPr>
        <w:spacing w:line="288" w:lineRule="auto" w:before="0"/>
        <w:ind w:left="292" w:right="374" w:firstLine="0"/>
        <w:jc w:val="left"/>
        <w:rPr>
          <w:sz w:val="22"/>
        </w:rPr>
      </w:pPr>
      <w:r>
        <w:rPr>
          <w:sz w:val="22"/>
        </w:rPr>
        <w:t>The energy network industry is already highly engaged in preparing for change, and has been active</w:t>
      </w:r>
      <w:r>
        <w:rPr>
          <w:spacing w:val="-3"/>
          <w:sz w:val="22"/>
        </w:rPr>
        <w:t> </w:t>
      </w:r>
      <w:r>
        <w:rPr>
          <w:sz w:val="22"/>
        </w:rPr>
        <w:t>in</w:t>
      </w:r>
      <w:r>
        <w:rPr>
          <w:spacing w:val="-3"/>
          <w:sz w:val="22"/>
        </w:rPr>
        <w:t> </w:t>
      </w:r>
      <w:r>
        <w:rPr>
          <w:sz w:val="22"/>
        </w:rPr>
        <w:t>mapping</w:t>
      </w:r>
      <w:r>
        <w:rPr>
          <w:spacing w:val="-1"/>
          <w:sz w:val="22"/>
        </w:rPr>
        <w:t> </w:t>
      </w:r>
      <w:r>
        <w:rPr>
          <w:sz w:val="22"/>
        </w:rPr>
        <w:t>out</w:t>
      </w:r>
      <w:r>
        <w:rPr>
          <w:spacing w:val="-2"/>
          <w:sz w:val="22"/>
        </w:rPr>
        <w:t> </w:t>
      </w:r>
      <w:r>
        <w:rPr>
          <w:sz w:val="22"/>
        </w:rPr>
        <w:t>the</w:t>
      </w:r>
      <w:r>
        <w:rPr>
          <w:spacing w:val="-5"/>
          <w:sz w:val="22"/>
        </w:rPr>
        <w:t> </w:t>
      </w:r>
      <w:r>
        <w:rPr>
          <w:sz w:val="22"/>
        </w:rPr>
        <w:t>emerging</w:t>
      </w:r>
      <w:r>
        <w:rPr>
          <w:spacing w:val="-3"/>
          <w:sz w:val="22"/>
        </w:rPr>
        <w:t> </w:t>
      </w:r>
      <w:r>
        <w:rPr>
          <w:sz w:val="22"/>
        </w:rPr>
        <w:t>challenges</w:t>
      </w:r>
      <w:r>
        <w:rPr>
          <w:spacing w:val="-2"/>
          <w:sz w:val="22"/>
        </w:rPr>
        <w:t> </w:t>
      </w:r>
      <w:r>
        <w:rPr>
          <w:sz w:val="22"/>
        </w:rPr>
        <w:t>and</w:t>
      </w:r>
      <w:r>
        <w:rPr>
          <w:spacing w:val="-3"/>
          <w:sz w:val="22"/>
        </w:rPr>
        <w:t> </w:t>
      </w:r>
      <w:r>
        <w:rPr>
          <w:sz w:val="22"/>
        </w:rPr>
        <w:t>opportunities,</w:t>
      </w:r>
      <w:r>
        <w:rPr>
          <w:spacing w:val="-4"/>
          <w:sz w:val="22"/>
        </w:rPr>
        <w:t> </w:t>
      </w:r>
      <w:r>
        <w:rPr>
          <w:sz w:val="22"/>
        </w:rPr>
        <w:t>including</w:t>
      </w:r>
      <w:r>
        <w:rPr>
          <w:spacing w:val="-3"/>
          <w:sz w:val="22"/>
        </w:rPr>
        <w:t> </w:t>
      </w:r>
      <w:r>
        <w:rPr>
          <w:sz w:val="22"/>
        </w:rPr>
        <w:t>through</w:t>
      </w:r>
      <w:r>
        <w:rPr>
          <w:spacing w:val="-1"/>
          <w:sz w:val="22"/>
        </w:rPr>
        <w:t> </w:t>
      </w:r>
      <w:r>
        <w:rPr>
          <w:i/>
          <w:sz w:val="22"/>
        </w:rPr>
        <w:t>Gas</w:t>
      </w:r>
      <w:r>
        <w:rPr>
          <w:i/>
          <w:spacing w:val="-5"/>
          <w:sz w:val="22"/>
        </w:rPr>
        <w:t> </w:t>
      </w:r>
      <w:r>
        <w:rPr>
          <w:i/>
          <w:sz w:val="22"/>
        </w:rPr>
        <w:t>Vision 2050 </w:t>
      </w:r>
      <w:r>
        <w:rPr>
          <w:sz w:val="22"/>
        </w:rPr>
        <w:t>and the </w:t>
      </w:r>
      <w:r>
        <w:rPr>
          <w:i/>
          <w:sz w:val="22"/>
        </w:rPr>
        <w:t>Electricity Network Transformation Roadmap </w:t>
      </w:r>
      <w:r>
        <w:rPr>
          <w:sz w:val="22"/>
        </w:rPr>
        <w:t>developed by Energy Networks Australia and CSIRO.</w:t>
      </w:r>
    </w:p>
    <w:p>
      <w:pPr>
        <w:pStyle w:val="BodyText"/>
        <w:spacing w:before="10"/>
        <w:rPr>
          <w:sz w:val="20"/>
        </w:rPr>
      </w:pPr>
    </w:p>
    <w:p>
      <w:pPr>
        <w:pStyle w:val="BodyText"/>
        <w:spacing w:line="288" w:lineRule="auto" w:before="1"/>
        <w:ind w:left="292" w:right="311"/>
      </w:pPr>
      <w:r>
        <w:rPr/>
        <w:t>At the same time, ESV has been active in horizon-scanning and identifying emerging issues and challenges as they relate to network safety specifically, including through a major commissioned report in</w:t>
      </w:r>
      <w:r>
        <w:rPr>
          <w:spacing w:val="-2"/>
        </w:rPr>
        <w:t> </w:t>
      </w:r>
      <w:r>
        <w:rPr/>
        <w:t>2016, </w:t>
      </w:r>
      <w:r>
        <w:rPr>
          <w:i/>
        </w:rPr>
        <w:t>Potential</w:t>
      </w:r>
      <w:r>
        <w:rPr>
          <w:i/>
          <w:spacing w:val="-5"/>
        </w:rPr>
        <w:t> </w:t>
      </w:r>
      <w:r>
        <w:rPr>
          <w:i/>
        </w:rPr>
        <w:t>Impacts</w:t>
      </w:r>
      <w:r>
        <w:rPr>
          <w:i/>
          <w:spacing w:val="-4"/>
        </w:rPr>
        <w:t> </w:t>
      </w:r>
      <w:r>
        <w:rPr>
          <w:i/>
        </w:rPr>
        <w:t>of</w:t>
      </w:r>
      <w:r>
        <w:rPr>
          <w:i/>
          <w:spacing w:val="-3"/>
        </w:rPr>
        <w:t> </w:t>
      </w:r>
      <w:r>
        <w:rPr>
          <w:i/>
        </w:rPr>
        <w:t>New</w:t>
      </w:r>
      <w:r>
        <w:rPr>
          <w:i/>
          <w:spacing w:val="-3"/>
        </w:rPr>
        <w:t> </w:t>
      </w:r>
      <w:r>
        <w:rPr>
          <w:i/>
        </w:rPr>
        <w:t>Energy</w:t>
      </w:r>
      <w:r>
        <w:rPr/>
        <w:t>.</w:t>
      </w:r>
      <w:r>
        <w:rPr>
          <w:spacing w:val="-3"/>
        </w:rPr>
        <w:t> </w:t>
      </w:r>
      <w:r>
        <w:rPr/>
        <w:t>This</w:t>
      </w:r>
      <w:r>
        <w:rPr>
          <w:spacing w:val="-4"/>
        </w:rPr>
        <w:t> </w:t>
      </w:r>
      <w:r>
        <w:rPr/>
        <w:t>report identified</w:t>
      </w:r>
      <w:r>
        <w:rPr>
          <w:spacing w:val="-2"/>
        </w:rPr>
        <w:t> </w:t>
      </w:r>
      <w:r>
        <w:rPr/>
        <w:t>a</w:t>
      </w:r>
      <w:r>
        <w:rPr>
          <w:spacing w:val="-4"/>
        </w:rPr>
        <w:t> </w:t>
      </w:r>
      <w:r>
        <w:rPr/>
        <w:t>number</w:t>
      </w:r>
      <w:r>
        <w:rPr>
          <w:spacing w:val="-3"/>
        </w:rPr>
        <w:t> </w:t>
      </w:r>
      <w:r>
        <w:rPr/>
        <w:t>of emerging</w:t>
      </w:r>
      <w:r>
        <w:rPr>
          <w:spacing w:val="-2"/>
        </w:rPr>
        <w:t> </w:t>
      </w:r>
      <w:r>
        <w:rPr/>
        <w:t>risks, </w:t>
      </w:r>
      <w:r>
        <w:rPr>
          <w:spacing w:val="-2"/>
        </w:rPr>
        <w:t>including:</w:t>
      </w:r>
    </w:p>
    <w:p>
      <w:pPr>
        <w:pStyle w:val="BodyText"/>
        <w:spacing w:before="3"/>
      </w:pPr>
    </w:p>
    <w:p>
      <w:pPr>
        <w:pStyle w:val="ListParagraph"/>
        <w:numPr>
          <w:ilvl w:val="1"/>
          <w:numId w:val="9"/>
        </w:numPr>
        <w:tabs>
          <w:tab w:pos="794" w:val="left" w:leader="none"/>
        </w:tabs>
        <w:spacing w:line="285" w:lineRule="auto" w:before="0" w:after="0"/>
        <w:ind w:left="794" w:right="667" w:hanging="361"/>
        <w:jc w:val="left"/>
        <w:rPr>
          <w:sz w:val="22"/>
        </w:rPr>
      </w:pPr>
      <w:r>
        <w:rPr>
          <w:sz w:val="22"/>
        </w:rPr>
        <w:t>increased</w:t>
      </w:r>
      <w:r>
        <w:rPr>
          <w:spacing w:val="-4"/>
          <w:sz w:val="22"/>
        </w:rPr>
        <w:t> </w:t>
      </w:r>
      <w:r>
        <w:rPr>
          <w:sz w:val="22"/>
        </w:rPr>
        <w:t>risks</w:t>
      </w:r>
      <w:r>
        <w:rPr>
          <w:spacing w:val="-1"/>
          <w:sz w:val="22"/>
        </w:rPr>
        <w:t> </w:t>
      </w:r>
      <w:r>
        <w:rPr>
          <w:sz w:val="22"/>
        </w:rPr>
        <w:t>of shocks</w:t>
      </w:r>
      <w:r>
        <w:rPr>
          <w:spacing w:val="-1"/>
          <w:sz w:val="22"/>
        </w:rPr>
        <w:t> </w:t>
      </w:r>
      <w:r>
        <w:rPr>
          <w:sz w:val="22"/>
        </w:rPr>
        <w:t>to</w:t>
      </w:r>
      <w:r>
        <w:rPr>
          <w:spacing w:val="-4"/>
          <w:sz w:val="22"/>
        </w:rPr>
        <w:t> </w:t>
      </w:r>
      <w:r>
        <w:rPr>
          <w:sz w:val="22"/>
        </w:rPr>
        <w:t>linesmen</w:t>
      </w:r>
      <w:r>
        <w:rPr>
          <w:spacing w:val="-2"/>
          <w:sz w:val="22"/>
        </w:rPr>
        <w:t> </w:t>
      </w:r>
      <w:r>
        <w:rPr>
          <w:sz w:val="22"/>
        </w:rPr>
        <w:t>due</w:t>
      </w:r>
      <w:r>
        <w:rPr>
          <w:spacing w:val="-6"/>
          <w:sz w:val="22"/>
        </w:rPr>
        <w:t> </w:t>
      </w:r>
      <w:r>
        <w:rPr>
          <w:sz w:val="22"/>
        </w:rPr>
        <w:t>to</w:t>
      </w:r>
      <w:r>
        <w:rPr>
          <w:spacing w:val="-2"/>
          <w:sz w:val="22"/>
        </w:rPr>
        <w:t> </w:t>
      </w:r>
      <w:r>
        <w:rPr>
          <w:sz w:val="22"/>
        </w:rPr>
        <w:t>back</w:t>
      </w:r>
      <w:r>
        <w:rPr>
          <w:spacing w:val="-1"/>
          <w:sz w:val="22"/>
        </w:rPr>
        <w:t> </w:t>
      </w:r>
      <w:r>
        <w:rPr>
          <w:sz w:val="22"/>
        </w:rPr>
        <w:t>energisation</w:t>
      </w:r>
      <w:r>
        <w:rPr>
          <w:spacing w:val="-2"/>
          <w:sz w:val="22"/>
        </w:rPr>
        <w:t> </w:t>
      </w:r>
      <w:r>
        <w:rPr>
          <w:sz w:val="22"/>
        </w:rPr>
        <w:t>of the</w:t>
      </w:r>
      <w:r>
        <w:rPr>
          <w:spacing w:val="-7"/>
          <w:sz w:val="22"/>
        </w:rPr>
        <w:t> </w:t>
      </w:r>
      <w:r>
        <w:rPr>
          <w:sz w:val="22"/>
        </w:rPr>
        <w:t>grid</w:t>
      </w:r>
      <w:r>
        <w:rPr>
          <w:spacing w:val="-6"/>
          <w:sz w:val="22"/>
        </w:rPr>
        <w:t> </w:t>
      </w:r>
      <w:r>
        <w:rPr>
          <w:sz w:val="22"/>
        </w:rPr>
        <w:t>from</w:t>
      </w:r>
      <w:r>
        <w:rPr>
          <w:spacing w:val="-3"/>
          <w:sz w:val="22"/>
        </w:rPr>
        <w:t> </w:t>
      </w:r>
      <w:r>
        <w:rPr>
          <w:sz w:val="22"/>
        </w:rPr>
        <w:t>residential- based solar PV systems;</w:t>
      </w:r>
    </w:p>
    <w:p>
      <w:pPr>
        <w:spacing w:after="0" w:line="285" w:lineRule="auto"/>
        <w:jc w:val="left"/>
        <w:rPr>
          <w:sz w:val="22"/>
        </w:rPr>
        <w:sectPr>
          <w:pgSz w:w="11910" w:h="16850"/>
          <w:pgMar w:header="465" w:footer="880" w:top="660" w:bottom="1060" w:left="840" w:right="820"/>
        </w:sectPr>
      </w:pPr>
    </w:p>
    <w:p>
      <w:pPr>
        <w:pStyle w:val="BodyText"/>
        <w:rPr>
          <w:sz w:val="20"/>
        </w:rPr>
      </w:pPr>
    </w:p>
    <w:p>
      <w:pPr>
        <w:pStyle w:val="BodyText"/>
        <w:rPr>
          <w:sz w:val="20"/>
        </w:rPr>
      </w:pPr>
    </w:p>
    <w:p>
      <w:pPr>
        <w:pStyle w:val="BodyText"/>
        <w:spacing w:before="10"/>
        <w:rPr>
          <w:sz w:val="23"/>
        </w:rPr>
      </w:pPr>
    </w:p>
    <w:p>
      <w:pPr>
        <w:pStyle w:val="ListParagraph"/>
        <w:numPr>
          <w:ilvl w:val="1"/>
          <w:numId w:val="9"/>
        </w:numPr>
        <w:tabs>
          <w:tab w:pos="794" w:val="left" w:leader="none"/>
        </w:tabs>
        <w:spacing w:line="285" w:lineRule="auto" w:before="0" w:after="0"/>
        <w:ind w:left="794" w:right="400" w:hanging="361"/>
        <w:jc w:val="left"/>
        <w:rPr>
          <w:sz w:val="22"/>
        </w:rPr>
      </w:pPr>
      <w:r>
        <w:rPr>
          <w:sz w:val="22"/>
        </w:rPr>
        <w:t>voltage</w:t>
      </w:r>
      <w:r>
        <w:rPr>
          <w:spacing w:val="-1"/>
          <w:sz w:val="22"/>
        </w:rPr>
        <w:t> </w:t>
      </w:r>
      <w:r>
        <w:rPr>
          <w:sz w:val="22"/>
        </w:rPr>
        <w:t>regulation</w:t>
      </w:r>
      <w:r>
        <w:rPr>
          <w:spacing w:val="-1"/>
          <w:sz w:val="22"/>
        </w:rPr>
        <w:t> </w:t>
      </w:r>
      <w:r>
        <w:rPr>
          <w:sz w:val="22"/>
        </w:rPr>
        <w:t>and</w:t>
      </w:r>
      <w:r>
        <w:rPr>
          <w:spacing w:val="-3"/>
          <w:sz w:val="22"/>
        </w:rPr>
        <w:t> </w:t>
      </w:r>
      <w:r>
        <w:rPr>
          <w:sz w:val="22"/>
        </w:rPr>
        <w:t>control</w:t>
      </w:r>
      <w:r>
        <w:rPr>
          <w:spacing w:val="-2"/>
          <w:sz w:val="22"/>
        </w:rPr>
        <w:t> </w:t>
      </w:r>
      <w:r>
        <w:rPr>
          <w:sz w:val="22"/>
        </w:rPr>
        <w:t>pressures,</w:t>
      </w:r>
      <w:r>
        <w:rPr>
          <w:spacing w:val="-2"/>
          <w:sz w:val="22"/>
        </w:rPr>
        <w:t> </w:t>
      </w:r>
      <w:r>
        <w:rPr>
          <w:sz w:val="22"/>
        </w:rPr>
        <w:t>requiring</w:t>
      </w:r>
      <w:r>
        <w:rPr>
          <w:spacing w:val="-1"/>
          <w:sz w:val="22"/>
        </w:rPr>
        <w:t> </w:t>
      </w:r>
      <w:r>
        <w:rPr>
          <w:sz w:val="22"/>
        </w:rPr>
        <w:t>changes</w:t>
      </w:r>
      <w:r>
        <w:rPr>
          <w:spacing w:val="-3"/>
          <w:sz w:val="22"/>
        </w:rPr>
        <w:t> </w:t>
      </w:r>
      <w:r>
        <w:rPr>
          <w:sz w:val="22"/>
        </w:rPr>
        <w:t>to</w:t>
      </w:r>
      <w:r>
        <w:rPr>
          <w:spacing w:val="-3"/>
          <w:sz w:val="22"/>
        </w:rPr>
        <w:t> </w:t>
      </w:r>
      <w:r>
        <w:rPr>
          <w:sz w:val="22"/>
        </w:rPr>
        <w:t>current</w:t>
      </w:r>
      <w:r>
        <w:rPr>
          <w:spacing w:val="-2"/>
          <w:sz w:val="22"/>
        </w:rPr>
        <w:t> </w:t>
      </w:r>
      <w:r>
        <w:rPr>
          <w:sz w:val="22"/>
        </w:rPr>
        <w:t>practices</w:t>
      </w:r>
      <w:r>
        <w:rPr>
          <w:spacing w:val="-3"/>
          <w:sz w:val="22"/>
        </w:rPr>
        <w:t> </w:t>
      </w:r>
      <w:r>
        <w:rPr>
          <w:sz w:val="22"/>
        </w:rPr>
        <w:t>to</w:t>
      </w:r>
      <w:r>
        <w:rPr>
          <w:spacing w:val="-1"/>
          <w:sz w:val="22"/>
        </w:rPr>
        <w:t> </w:t>
      </w:r>
      <w:r>
        <w:rPr>
          <w:sz w:val="22"/>
        </w:rPr>
        <w:t>avoid</w:t>
      </w:r>
      <w:r>
        <w:rPr>
          <w:spacing w:val="-1"/>
          <w:sz w:val="22"/>
        </w:rPr>
        <w:t> </w:t>
      </w:r>
      <w:r>
        <w:rPr>
          <w:sz w:val="22"/>
        </w:rPr>
        <w:t>over or</w:t>
      </w:r>
      <w:r>
        <w:rPr>
          <w:spacing w:val="-3"/>
          <w:sz w:val="22"/>
        </w:rPr>
        <w:t> </w:t>
      </w:r>
      <w:r>
        <w:rPr>
          <w:sz w:val="22"/>
        </w:rPr>
        <w:t>under-voltage</w:t>
      </w:r>
      <w:r>
        <w:rPr>
          <w:spacing w:val="-6"/>
          <w:sz w:val="22"/>
        </w:rPr>
        <w:t> </w:t>
      </w:r>
      <w:r>
        <w:rPr>
          <w:sz w:val="22"/>
        </w:rPr>
        <w:t>conditions</w:t>
      </w:r>
      <w:r>
        <w:rPr>
          <w:spacing w:val="-4"/>
          <w:sz w:val="22"/>
        </w:rPr>
        <w:t> </w:t>
      </w:r>
      <w:r>
        <w:rPr>
          <w:sz w:val="22"/>
        </w:rPr>
        <w:t>that</w:t>
      </w:r>
      <w:r>
        <w:rPr>
          <w:spacing w:val="-2"/>
          <w:sz w:val="22"/>
        </w:rPr>
        <w:t> </w:t>
      </w:r>
      <w:r>
        <w:rPr>
          <w:sz w:val="22"/>
        </w:rPr>
        <w:t>could</w:t>
      </w:r>
      <w:r>
        <w:rPr>
          <w:spacing w:val="-4"/>
          <w:sz w:val="22"/>
        </w:rPr>
        <w:t> </w:t>
      </w:r>
      <w:r>
        <w:rPr>
          <w:sz w:val="22"/>
        </w:rPr>
        <w:t>present</w:t>
      </w:r>
      <w:r>
        <w:rPr>
          <w:spacing w:val="-2"/>
          <w:sz w:val="22"/>
        </w:rPr>
        <w:t> </w:t>
      </w:r>
      <w:r>
        <w:rPr>
          <w:sz w:val="22"/>
        </w:rPr>
        <w:t>potential</w:t>
      </w:r>
      <w:r>
        <w:rPr>
          <w:spacing w:val="-5"/>
          <w:sz w:val="22"/>
        </w:rPr>
        <w:t> </w:t>
      </w:r>
      <w:r>
        <w:rPr>
          <w:sz w:val="22"/>
        </w:rPr>
        <w:t>hazards</w:t>
      </w:r>
      <w:r>
        <w:rPr>
          <w:spacing w:val="-3"/>
          <w:sz w:val="22"/>
        </w:rPr>
        <w:t> </w:t>
      </w:r>
      <w:r>
        <w:rPr>
          <w:sz w:val="22"/>
        </w:rPr>
        <w:t>to</w:t>
      </w:r>
      <w:r>
        <w:rPr>
          <w:spacing w:val="-6"/>
          <w:sz w:val="22"/>
        </w:rPr>
        <w:t> </w:t>
      </w:r>
      <w:r>
        <w:rPr>
          <w:sz w:val="22"/>
        </w:rPr>
        <w:t>personnel</w:t>
      </w:r>
      <w:r>
        <w:rPr>
          <w:spacing w:val="-4"/>
          <w:sz w:val="22"/>
        </w:rPr>
        <w:t> </w:t>
      </w:r>
      <w:r>
        <w:rPr>
          <w:sz w:val="22"/>
        </w:rPr>
        <w:t>and</w:t>
      </w:r>
      <w:r>
        <w:rPr>
          <w:spacing w:val="-4"/>
          <w:sz w:val="22"/>
        </w:rPr>
        <w:t> </w:t>
      </w:r>
      <w:r>
        <w:rPr>
          <w:sz w:val="22"/>
        </w:rPr>
        <w:t>equipment;</w:t>
      </w:r>
    </w:p>
    <w:p>
      <w:pPr>
        <w:pStyle w:val="BodyText"/>
        <w:spacing w:before="6"/>
      </w:pPr>
    </w:p>
    <w:p>
      <w:pPr>
        <w:pStyle w:val="ListParagraph"/>
        <w:numPr>
          <w:ilvl w:val="1"/>
          <w:numId w:val="9"/>
        </w:numPr>
        <w:tabs>
          <w:tab w:pos="794" w:val="left" w:leader="none"/>
        </w:tabs>
        <w:spacing w:line="288" w:lineRule="auto" w:before="1" w:after="0"/>
        <w:ind w:left="794" w:right="582" w:hanging="361"/>
        <w:jc w:val="left"/>
        <w:rPr>
          <w:sz w:val="22"/>
        </w:rPr>
      </w:pPr>
      <w:r>
        <w:rPr>
          <w:sz w:val="22"/>
        </w:rPr>
        <w:t>potential</w:t>
      </w:r>
      <w:r>
        <w:rPr>
          <w:spacing w:val="-3"/>
          <w:sz w:val="22"/>
        </w:rPr>
        <w:t> </w:t>
      </w:r>
      <w:r>
        <w:rPr>
          <w:sz w:val="22"/>
        </w:rPr>
        <w:t>degradation</w:t>
      </w:r>
      <w:r>
        <w:rPr>
          <w:spacing w:val="-2"/>
          <w:sz w:val="22"/>
        </w:rPr>
        <w:t> </w:t>
      </w:r>
      <w:r>
        <w:rPr>
          <w:sz w:val="22"/>
        </w:rPr>
        <w:t>in</w:t>
      </w:r>
      <w:r>
        <w:rPr>
          <w:spacing w:val="-4"/>
          <w:sz w:val="22"/>
        </w:rPr>
        <w:t> </w:t>
      </w:r>
      <w:r>
        <w:rPr>
          <w:sz w:val="22"/>
        </w:rPr>
        <w:t>power</w:t>
      </w:r>
      <w:r>
        <w:rPr>
          <w:spacing w:val="-1"/>
          <w:sz w:val="22"/>
        </w:rPr>
        <w:t> </w:t>
      </w:r>
      <w:r>
        <w:rPr>
          <w:sz w:val="22"/>
        </w:rPr>
        <w:t>quality</w:t>
      </w:r>
      <w:r>
        <w:rPr>
          <w:spacing w:val="-4"/>
          <w:sz w:val="22"/>
        </w:rPr>
        <w:t> </w:t>
      </w:r>
      <w:r>
        <w:rPr>
          <w:sz w:val="22"/>
        </w:rPr>
        <w:t>arising</w:t>
      </w:r>
      <w:r>
        <w:rPr>
          <w:spacing w:val="-4"/>
          <w:sz w:val="22"/>
        </w:rPr>
        <w:t> </w:t>
      </w:r>
      <w:r>
        <w:rPr>
          <w:sz w:val="22"/>
        </w:rPr>
        <w:t>from</w:t>
      </w:r>
      <w:r>
        <w:rPr>
          <w:spacing w:val="-3"/>
          <w:sz w:val="22"/>
        </w:rPr>
        <w:t> </w:t>
      </w:r>
      <w:r>
        <w:rPr>
          <w:sz w:val="22"/>
        </w:rPr>
        <w:t>the</w:t>
      </w:r>
      <w:r>
        <w:rPr>
          <w:spacing w:val="-2"/>
          <w:sz w:val="22"/>
        </w:rPr>
        <w:t> </w:t>
      </w:r>
      <w:r>
        <w:rPr>
          <w:sz w:val="22"/>
        </w:rPr>
        <w:t>increased</w:t>
      </w:r>
      <w:r>
        <w:rPr>
          <w:spacing w:val="-2"/>
          <w:sz w:val="22"/>
        </w:rPr>
        <w:t> </w:t>
      </w:r>
      <w:r>
        <w:rPr>
          <w:sz w:val="22"/>
        </w:rPr>
        <w:t>number</w:t>
      </w:r>
      <w:r>
        <w:rPr>
          <w:spacing w:val="-5"/>
          <w:sz w:val="22"/>
        </w:rPr>
        <w:t> </w:t>
      </w:r>
      <w:r>
        <w:rPr>
          <w:sz w:val="22"/>
        </w:rPr>
        <w:t>of inverters</w:t>
      </w:r>
      <w:r>
        <w:rPr>
          <w:spacing w:val="-1"/>
          <w:sz w:val="22"/>
        </w:rPr>
        <w:t> </w:t>
      </w:r>
      <w:r>
        <w:rPr>
          <w:sz w:val="22"/>
        </w:rPr>
        <w:t>on</w:t>
      </w:r>
      <w:r>
        <w:rPr>
          <w:spacing w:val="-4"/>
          <w:sz w:val="22"/>
        </w:rPr>
        <w:t> </w:t>
      </w:r>
      <w:r>
        <w:rPr>
          <w:sz w:val="22"/>
        </w:rPr>
        <w:t>the network, potentially leading to equipment malfunctions, failures and fires;</w:t>
      </w:r>
    </w:p>
    <w:p>
      <w:pPr>
        <w:pStyle w:val="BodyText"/>
        <w:spacing w:before="1"/>
      </w:pPr>
    </w:p>
    <w:p>
      <w:pPr>
        <w:pStyle w:val="ListParagraph"/>
        <w:numPr>
          <w:ilvl w:val="1"/>
          <w:numId w:val="9"/>
        </w:numPr>
        <w:tabs>
          <w:tab w:pos="794" w:val="left" w:leader="none"/>
        </w:tabs>
        <w:spacing w:line="288" w:lineRule="auto" w:before="0" w:after="0"/>
        <w:ind w:left="794" w:right="933" w:hanging="361"/>
        <w:jc w:val="left"/>
        <w:rPr>
          <w:sz w:val="22"/>
        </w:rPr>
      </w:pPr>
      <w:r>
        <w:rPr>
          <w:sz w:val="22"/>
        </w:rPr>
        <w:t>risks</w:t>
      </w:r>
      <w:r>
        <w:rPr>
          <w:spacing w:val="-2"/>
          <w:sz w:val="22"/>
        </w:rPr>
        <w:t> </w:t>
      </w:r>
      <w:r>
        <w:rPr>
          <w:sz w:val="22"/>
        </w:rPr>
        <w:t>arising</w:t>
      </w:r>
      <w:r>
        <w:rPr>
          <w:spacing w:val="-4"/>
          <w:sz w:val="22"/>
        </w:rPr>
        <w:t> </w:t>
      </w:r>
      <w:r>
        <w:rPr>
          <w:sz w:val="22"/>
        </w:rPr>
        <w:t>from</w:t>
      </w:r>
      <w:r>
        <w:rPr>
          <w:spacing w:val="-3"/>
          <w:sz w:val="22"/>
        </w:rPr>
        <w:t> </w:t>
      </w:r>
      <w:r>
        <w:rPr>
          <w:sz w:val="22"/>
        </w:rPr>
        <w:t>poor</w:t>
      </w:r>
      <w:r>
        <w:rPr>
          <w:spacing w:val="-3"/>
          <w:sz w:val="22"/>
        </w:rPr>
        <w:t> </w:t>
      </w:r>
      <w:r>
        <w:rPr>
          <w:sz w:val="22"/>
        </w:rPr>
        <w:t>installation</w:t>
      </w:r>
      <w:r>
        <w:rPr>
          <w:spacing w:val="-2"/>
          <w:sz w:val="22"/>
        </w:rPr>
        <w:t> </w:t>
      </w:r>
      <w:r>
        <w:rPr>
          <w:sz w:val="22"/>
        </w:rPr>
        <w:t>practices,</w:t>
      </w:r>
      <w:r>
        <w:rPr>
          <w:spacing w:val="-3"/>
          <w:sz w:val="22"/>
        </w:rPr>
        <w:t> </w:t>
      </w:r>
      <w:r>
        <w:rPr>
          <w:sz w:val="22"/>
        </w:rPr>
        <w:t>with</w:t>
      </w:r>
      <w:r>
        <w:rPr>
          <w:spacing w:val="-2"/>
          <w:sz w:val="22"/>
        </w:rPr>
        <w:t> </w:t>
      </w:r>
      <w:r>
        <w:rPr>
          <w:sz w:val="22"/>
        </w:rPr>
        <w:t>some</w:t>
      </w:r>
      <w:r>
        <w:rPr>
          <w:spacing w:val="-2"/>
          <w:sz w:val="22"/>
        </w:rPr>
        <w:t> </w:t>
      </w:r>
      <w:r>
        <w:rPr>
          <w:sz w:val="22"/>
        </w:rPr>
        <w:t>poor</w:t>
      </w:r>
      <w:r>
        <w:rPr>
          <w:spacing w:val="-2"/>
          <w:sz w:val="22"/>
        </w:rPr>
        <w:t> </w:t>
      </w:r>
      <w:r>
        <w:rPr>
          <w:sz w:val="22"/>
        </w:rPr>
        <w:t>quality</w:t>
      </w:r>
      <w:r>
        <w:rPr>
          <w:spacing w:val="-4"/>
          <w:sz w:val="22"/>
        </w:rPr>
        <w:t> </w:t>
      </w:r>
      <w:r>
        <w:rPr>
          <w:sz w:val="22"/>
        </w:rPr>
        <w:t>installations</w:t>
      </w:r>
      <w:r>
        <w:rPr>
          <w:spacing w:val="-2"/>
          <w:sz w:val="22"/>
        </w:rPr>
        <w:t> </w:t>
      </w:r>
      <w:r>
        <w:rPr>
          <w:sz w:val="22"/>
        </w:rPr>
        <w:t>already causing safety problems in solar PV installations; and</w:t>
      </w:r>
    </w:p>
    <w:p>
      <w:pPr>
        <w:pStyle w:val="BodyText"/>
        <w:spacing w:before="1"/>
      </w:pPr>
    </w:p>
    <w:p>
      <w:pPr>
        <w:pStyle w:val="ListParagraph"/>
        <w:numPr>
          <w:ilvl w:val="1"/>
          <w:numId w:val="9"/>
        </w:numPr>
        <w:tabs>
          <w:tab w:pos="794" w:val="left" w:leader="none"/>
        </w:tabs>
        <w:spacing w:line="288" w:lineRule="auto" w:before="1" w:after="0"/>
        <w:ind w:left="794" w:right="679" w:hanging="361"/>
        <w:jc w:val="left"/>
        <w:rPr>
          <w:sz w:val="22"/>
        </w:rPr>
      </w:pPr>
      <w:r>
        <w:rPr>
          <w:sz w:val="22"/>
        </w:rPr>
        <w:t>risks arising from poor maintenance practices – new technologies are likely to require maintenance</w:t>
      </w:r>
      <w:r>
        <w:rPr>
          <w:spacing w:val="-5"/>
          <w:sz w:val="22"/>
        </w:rPr>
        <w:t> </w:t>
      </w:r>
      <w:r>
        <w:rPr>
          <w:sz w:val="22"/>
        </w:rPr>
        <w:t>activities</w:t>
      </w:r>
      <w:r>
        <w:rPr>
          <w:spacing w:val="-3"/>
          <w:sz w:val="22"/>
        </w:rPr>
        <w:t> </w:t>
      </w:r>
      <w:r>
        <w:rPr>
          <w:sz w:val="22"/>
        </w:rPr>
        <w:t>that</w:t>
      </w:r>
      <w:r>
        <w:rPr>
          <w:spacing w:val="-2"/>
          <w:sz w:val="22"/>
        </w:rPr>
        <w:t> </w:t>
      </w:r>
      <w:r>
        <w:rPr>
          <w:sz w:val="22"/>
        </w:rPr>
        <w:t>householders</w:t>
      </w:r>
      <w:r>
        <w:rPr>
          <w:spacing w:val="-2"/>
          <w:sz w:val="22"/>
        </w:rPr>
        <w:t> </w:t>
      </w:r>
      <w:r>
        <w:rPr>
          <w:sz w:val="22"/>
        </w:rPr>
        <w:t>are</w:t>
      </w:r>
      <w:r>
        <w:rPr>
          <w:spacing w:val="-3"/>
          <w:sz w:val="22"/>
        </w:rPr>
        <w:t> </w:t>
      </w:r>
      <w:r>
        <w:rPr>
          <w:sz w:val="22"/>
        </w:rPr>
        <w:t>often</w:t>
      </w:r>
      <w:r>
        <w:rPr>
          <w:spacing w:val="-3"/>
          <w:sz w:val="22"/>
        </w:rPr>
        <w:t> </w:t>
      </w:r>
      <w:r>
        <w:rPr>
          <w:sz w:val="22"/>
        </w:rPr>
        <w:t>not</w:t>
      </w:r>
      <w:r>
        <w:rPr>
          <w:spacing w:val="-4"/>
          <w:sz w:val="22"/>
        </w:rPr>
        <w:t> </w:t>
      </w:r>
      <w:r>
        <w:rPr>
          <w:sz w:val="22"/>
        </w:rPr>
        <w:t>equipped</w:t>
      </w:r>
      <w:r>
        <w:rPr>
          <w:spacing w:val="-3"/>
          <w:sz w:val="22"/>
        </w:rPr>
        <w:t> </w:t>
      </w:r>
      <w:r>
        <w:rPr>
          <w:sz w:val="22"/>
        </w:rPr>
        <w:t>to</w:t>
      </w:r>
      <w:r>
        <w:rPr>
          <w:spacing w:val="-5"/>
          <w:sz w:val="22"/>
        </w:rPr>
        <w:t> </w:t>
      </w:r>
      <w:r>
        <w:rPr>
          <w:sz w:val="22"/>
        </w:rPr>
        <w:t>identify</w:t>
      </w:r>
      <w:r>
        <w:rPr>
          <w:spacing w:val="-5"/>
          <w:sz w:val="22"/>
        </w:rPr>
        <w:t> </w:t>
      </w:r>
      <w:r>
        <w:rPr>
          <w:sz w:val="22"/>
        </w:rPr>
        <w:t>and</w:t>
      </w:r>
      <w:r>
        <w:rPr>
          <w:spacing w:val="-3"/>
          <w:sz w:val="22"/>
        </w:rPr>
        <w:t> </w:t>
      </w:r>
      <w:r>
        <w:rPr>
          <w:sz w:val="22"/>
        </w:rPr>
        <w:t>undertake.</w:t>
      </w:r>
    </w:p>
    <w:p>
      <w:pPr>
        <w:pStyle w:val="BodyText"/>
        <w:spacing w:before="7"/>
        <w:rPr>
          <w:sz w:val="20"/>
        </w:rPr>
      </w:pPr>
    </w:p>
    <w:p>
      <w:pPr>
        <w:pStyle w:val="BodyText"/>
        <w:spacing w:line="288" w:lineRule="auto"/>
        <w:ind w:left="292" w:right="311"/>
      </w:pPr>
      <w:r>
        <w:rPr/>
        <w:t>To assist in developing effective regulatory responses, the Review proposes that ESV should establish</w:t>
      </w:r>
      <w:r>
        <w:rPr>
          <w:spacing w:val="-2"/>
        </w:rPr>
        <w:t> </w:t>
      </w:r>
      <w:r>
        <w:rPr/>
        <w:t>a</w:t>
      </w:r>
      <w:r>
        <w:rPr>
          <w:spacing w:val="-3"/>
        </w:rPr>
        <w:t> </w:t>
      </w:r>
      <w:r>
        <w:rPr/>
        <w:t>formal</w:t>
      </w:r>
      <w:r>
        <w:rPr>
          <w:spacing w:val="-3"/>
        </w:rPr>
        <w:t> </w:t>
      </w:r>
      <w:r>
        <w:rPr/>
        <w:t>advisory</w:t>
      </w:r>
      <w:r>
        <w:rPr>
          <w:spacing w:val="-3"/>
        </w:rPr>
        <w:t> </w:t>
      </w:r>
      <w:r>
        <w:rPr/>
        <w:t>committee</w:t>
      </w:r>
      <w:r>
        <w:rPr>
          <w:spacing w:val="-4"/>
        </w:rPr>
        <w:t> </w:t>
      </w:r>
      <w:r>
        <w:rPr/>
        <w:t>under</w:t>
      </w:r>
      <w:r>
        <w:rPr>
          <w:spacing w:val="-3"/>
        </w:rPr>
        <w:t> </w:t>
      </w:r>
      <w:r>
        <w:rPr/>
        <w:t>Section</w:t>
      </w:r>
      <w:r>
        <w:rPr>
          <w:spacing w:val="-2"/>
        </w:rPr>
        <w:t> </w:t>
      </w:r>
      <w:r>
        <w:rPr/>
        <w:t>8</w:t>
      </w:r>
      <w:r>
        <w:rPr>
          <w:spacing w:val="-2"/>
        </w:rPr>
        <w:t> </w:t>
      </w:r>
      <w:r>
        <w:rPr/>
        <w:t>of</w:t>
      </w:r>
      <w:r>
        <w:rPr>
          <w:spacing w:val="-3"/>
        </w:rPr>
        <w:t> </w:t>
      </w:r>
      <w:r>
        <w:rPr/>
        <w:t>the </w:t>
      </w:r>
      <w:r>
        <w:rPr>
          <w:i/>
        </w:rPr>
        <w:t>Energy</w:t>
      </w:r>
      <w:r>
        <w:rPr>
          <w:i/>
          <w:spacing w:val="-2"/>
        </w:rPr>
        <w:t> </w:t>
      </w:r>
      <w:r>
        <w:rPr>
          <w:i/>
        </w:rPr>
        <w:t>Safe</w:t>
      </w:r>
      <w:r>
        <w:rPr>
          <w:i/>
          <w:spacing w:val="-4"/>
        </w:rPr>
        <w:t> </w:t>
      </w:r>
      <w:r>
        <w:rPr>
          <w:i/>
        </w:rPr>
        <w:t>Victoria</w:t>
      </w:r>
      <w:r>
        <w:rPr>
          <w:i/>
          <w:spacing w:val="-2"/>
        </w:rPr>
        <w:t> </w:t>
      </w:r>
      <w:r>
        <w:rPr>
          <w:i/>
        </w:rPr>
        <w:t>Act</w:t>
      </w:r>
      <w:r>
        <w:rPr>
          <w:i/>
          <w:spacing w:val="-3"/>
        </w:rPr>
        <w:t> </w:t>
      </w:r>
      <w:r>
        <w:rPr>
          <w:i/>
        </w:rPr>
        <w:t>2005</w:t>
      </w:r>
      <w:r>
        <w:rPr/>
        <w:t>.</w:t>
      </w:r>
      <w:r>
        <w:rPr>
          <w:spacing w:val="-3"/>
        </w:rPr>
        <w:t> </w:t>
      </w:r>
      <w:r>
        <w:rPr/>
        <w:t>The committee would comprise members with relevant experience and expertise in energy networks and renewable energy generation, and an understanding of the future challenges arising from a changing energy sector.</w:t>
      </w:r>
    </w:p>
    <w:p>
      <w:pPr>
        <w:pStyle w:val="BodyText"/>
        <w:spacing w:before="1"/>
        <w:rPr>
          <w:sz w:val="21"/>
        </w:rPr>
      </w:pPr>
    </w:p>
    <w:p>
      <w:pPr>
        <w:pStyle w:val="BodyText"/>
        <w:spacing w:line="288" w:lineRule="auto"/>
        <w:ind w:left="292" w:right="311"/>
      </w:pPr>
      <w:r>
        <w:rPr/>
        <w:t>The development of a roadmap that clearly sets out what actions ESV needs to undertake to effectively respond to the emergence of new networks and the introduction of new technologies, would</w:t>
      </w:r>
      <w:r>
        <w:rPr>
          <w:spacing w:val="-2"/>
        </w:rPr>
        <w:t> </w:t>
      </w:r>
      <w:r>
        <w:rPr/>
        <w:t>also</w:t>
      </w:r>
      <w:r>
        <w:rPr>
          <w:spacing w:val="-2"/>
        </w:rPr>
        <w:t> </w:t>
      </w:r>
      <w:r>
        <w:rPr/>
        <w:t>assist</w:t>
      </w:r>
      <w:r>
        <w:rPr>
          <w:spacing w:val="-3"/>
        </w:rPr>
        <w:t> </w:t>
      </w:r>
      <w:r>
        <w:rPr/>
        <w:t>ESV</w:t>
      </w:r>
      <w:r>
        <w:rPr>
          <w:spacing w:val="-2"/>
        </w:rPr>
        <w:t> </w:t>
      </w:r>
      <w:r>
        <w:rPr/>
        <w:t>to</w:t>
      </w:r>
      <w:r>
        <w:rPr>
          <w:spacing w:val="-4"/>
        </w:rPr>
        <w:t> </w:t>
      </w:r>
      <w:r>
        <w:rPr/>
        <w:t>be</w:t>
      </w:r>
      <w:r>
        <w:rPr>
          <w:spacing w:val="-4"/>
        </w:rPr>
        <w:t> </w:t>
      </w:r>
      <w:r>
        <w:rPr/>
        <w:t>ready</w:t>
      </w:r>
      <w:r>
        <w:rPr>
          <w:spacing w:val="-4"/>
        </w:rPr>
        <w:t> </w:t>
      </w:r>
      <w:r>
        <w:rPr/>
        <w:t>to</w:t>
      </w:r>
      <w:r>
        <w:rPr>
          <w:spacing w:val="-4"/>
        </w:rPr>
        <w:t> </w:t>
      </w:r>
      <w:r>
        <w:rPr/>
        <w:t>meet</w:t>
      </w:r>
      <w:r>
        <w:rPr>
          <w:spacing w:val="-3"/>
        </w:rPr>
        <w:t> </w:t>
      </w:r>
      <w:r>
        <w:rPr/>
        <w:t>the</w:t>
      </w:r>
      <w:r>
        <w:rPr>
          <w:spacing w:val="-2"/>
        </w:rPr>
        <w:t> </w:t>
      </w:r>
      <w:r>
        <w:rPr/>
        <w:t>likely</w:t>
      </w:r>
      <w:r>
        <w:rPr>
          <w:spacing w:val="-4"/>
        </w:rPr>
        <w:t> </w:t>
      </w:r>
      <w:r>
        <w:rPr/>
        <w:t>challenges.</w:t>
      </w:r>
      <w:r>
        <w:rPr>
          <w:spacing w:val="-1"/>
        </w:rPr>
        <w:t> </w:t>
      </w:r>
      <w:r>
        <w:rPr/>
        <w:t>Regular</w:t>
      </w:r>
      <w:r>
        <w:rPr>
          <w:spacing w:val="-3"/>
        </w:rPr>
        <w:t> </w:t>
      </w:r>
      <w:r>
        <w:rPr/>
        <w:t>reporting would</w:t>
      </w:r>
      <w:r>
        <w:rPr>
          <w:spacing w:val="-2"/>
        </w:rPr>
        <w:t> </w:t>
      </w:r>
      <w:r>
        <w:rPr/>
        <w:t>also</w:t>
      </w:r>
      <w:r>
        <w:rPr>
          <w:spacing w:val="-2"/>
        </w:rPr>
        <w:t> </w:t>
      </w:r>
      <w:r>
        <w:rPr/>
        <w:t>help inform</w:t>
      </w:r>
      <w:r>
        <w:rPr>
          <w:spacing w:val="-3"/>
        </w:rPr>
        <w:t> </w:t>
      </w:r>
      <w:r>
        <w:rPr/>
        <w:t>stakeholders, including potential</w:t>
      </w:r>
      <w:r>
        <w:rPr>
          <w:spacing w:val="-3"/>
        </w:rPr>
        <w:t> </w:t>
      </w:r>
      <w:r>
        <w:rPr/>
        <w:t>new</w:t>
      </w:r>
      <w:r>
        <w:rPr>
          <w:spacing w:val="-5"/>
        </w:rPr>
        <w:t> </w:t>
      </w:r>
      <w:r>
        <w:rPr/>
        <w:t>entrants</w:t>
      </w:r>
      <w:r>
        <w:rPr>
          <w:spacing w:val="-4"/>
        </w:rPr>
        <w:t> </w:t>
      </w:r>
      <w:r>
        <w:rPr/>
        <w:t>to</w:t>
      </w:r>
      <w:r>
        <w:rPr>
          <w:spacing w:val="-4"/>
        </w:rPr>
        <w:t> </w:t>
      </w:r>
      <w:r>
        <w:rPr/>
        <w:t>the</w:t>
      </w:r>
      <w:r>
        <w:rPr>
          <w:spacing w:val="-2"/>
        </w:rPr>
        <w:t> </w:t>
      </w:r>
      <w:r>
        <w:rPr/>
        <w:t>energy</w:t>
      </w:r>
      <w:r>
        <w:rPr>
          <w:spacing w:val="-4"/>
        </w:rPr>
        <w:t> </w:t>
      </w:r>
      <w:r>
        <w:rPr/>
        <w:t>market,</w:t>
      </w:r>
      <w:r>
        <w:rPr>
          <w:spacing w:val="-3"/>
        </w:rPr>
        <w:t> </w:t>
      </w:r>
      <w:r>
        <w:rPr/>
        <w:t>about</w:t>
      </w:r>
      <w:r>
        <w:rPr>
          <w:spacing w:val="-3"/>
        </w:rPr>
        <w:t> </w:t>
      </w:r>
      <w:r>
        <w:rPr/>
        <w:t>emerging issues and the regulatory responses that may be required.</w:t>
      </w:r>
    </w:p>
    <w:p>
      <w:pPr>
        <w:pStyle w:val="BodyText"/>
        <w:spacing w:before="8"/>
        <w:rPr>
          <w:sz w:val="20"/>
        </w:rPr>
      </w:pPr>
    </w:p>
    <w:p>
      <w:pPr>
        <w:pStyle w:val="BodyText"/>
        <w:spacing w:line="288" w:lineRule="auto" w:before="1"/>
        <w:ind w:left="292"/>
      </w:pPr>
      <w:r>
        <w:rPr/>
        <w:t>ESV should also maintain a national leadership role in considering regulatory responses to new technologies</w:t>
      </w:r>
      <w:r>
        <w:rPr>
          <w:spacing w:val="-5"/>
        </w:rPr>
        <w:t> </w:t>
      </w:r>
      <w:r>
        <w:rPr/>
        <w:t>and</w:t>
      </w:r>
      <w:r>
        <w:rPr>
          <w:spacing w:val="-3"/>
        </w:rPr>
        <w:t> </w:t>
      </w:r>
      <w:r>
        <w:rPr/>
        <w:t>network</w:t>
      </w:r>
      <w:r>
        <w:rPr>
          <w:spacing w:val="-2"/>
        </w:rPr>
        <w:t> </w:t>
      </w:r>
      <w:r>
        <w:rPr/>
        <w:t>structures</w:t>
      </w:r>
      <w:r>
        <w:rPr>
          <w:spacing w:val="-5"/>
        </w:rPr>
        <w:t> </w:t>
      </w:r>
      <w:r>
        <w:rPr/>
        <w:t>through</w:t>
      </w:r>
      <w:r>
        <w:rPr>
          <w:spacing w:val="-5"/>
        </w:rPr>
        <w:t> </w:t>
      </w:r>
      <w:r>
        <w:rPr/>
        <w:t>the</w:t>
      </w:r>
      <w:r>
        <w:rPr>
          <w:spacing w:val="-5"/>
        </w:rPr>
        <w:t> </w:t>
      </w:r>
      <w:r>
        <w:rPr/>
        <w:t>relevant</w:t>
      </w:r>
      <w:r>
        <w:rPr>
          <w:spacing w:val="-1"/>
        </w:rPr>
        <w:t> </w:t>
      </w:r>
      <w:r>
        <w:rPr/>
        <w:t>national</w:t>
      </w:r>
      <w:r>
        <w:rPr>
          <w:spacing w:val="-4"/>
        </w:rPr>
        <w:t> </w:t>
      </w:r>
      <w:r>
        <w:rPr/>
        <w:t>bodies,</w:t>
      </w:r>
      <w:r>
        <w:rPr>
          <w:spacing w:val="-4"/>
        </w:rPr>
        <w:t> </w:t>
      </w:r>
      <w:r>
        <w:rPr/>
        <w:t>the</w:t>
      </w:r>
      <w:r>
        <w:rPr>
          <w:spacing w:val="-3"/>
        </w:rPr>
        <w:t> </w:t>
      </w:r>
      <w:r>
        <w:rPr/>
        <w:t>Electrical</w:t>
      </w:r>
      <w:r>
        <w:rPr>
          <w:spacing w:val="-4"/>
        </w:rPr>
        <w:t> </w:t>
      </w:r>
      <w:r>
        <w:rPr/>
        <w:t>Regulatory Authorities Council and the Gas Technical Regulators Committee.</w:t>
      </w:r>
    </w:p>
    <w:p>
      <w:pPr>
        <w:pStyle w:val="BodyText"/>
        <w:spacing w:before="10"/>
        <w:rPr>
          <w:sz w:val="18"/>
        </w:rPr>
      </w:pPr>
      <w:r>
        <w:rPr/>
        <mc:AlternateContent>
          <mc:Choice Requires="wps">
            <w:drawing>
              <wp:anchor distT="0" distB="0" distL="0" distR="0" allowOverlap="1" layoutInCell="1" locked="0" behindDoc="1" simplePos="0" relativeHeight="487593984">
                <wp:simplePos x="0" y="0"/>
                <wp:positionH relativeFrom="page">
                  <wp:posOffset>719327</wp:posOffset>
                </wp:positionH>
                <wp:positionV relativeFrom="paragraph">
                  <wp:posOffset>153534</wp:posOffset>
                </wp:positionV>
                <wp:extent cx="5753100" cy="2322830"/>
                <wp:effectExtent l="0" t="0" r="0" b="0"/>
                <wp:wrapTopAndBottom/>
                <wp:docPr id="16" name="Textbox 16"/>
                <wp:cNvGraphicFramePr>
                  <a:graphicFrameLocks/>
                </wp:cNvGraphicFramePr>
                <a:graphic>
                  <a:graphicData uri="http://schemas.microsoft.com/office/word/2010/wordprocessingShape">
                    <wps:wsp>
                      <wps:cNvPr id="16" name="Textbox 16"/>
                      <wps:cNvSpPr txBox="1"/>
                      <wps:spPr>
                        <a:xfrm>
                          <a:off x="0" y="0"/>
                          <a:ext cx="5753100" cy="2322830"/>
                        </a:xfrm>
                        <a:prstGeom prst="rect">
                          <a:avLst/>
                        </a:prstGeom>
                        <a:solidFill>
                          <a:srgbClr val="D9D9D9"/>
                        </a:solidFill>
                      </wps:spPr>
                      <wps:txbx>
                        <w:txbxContent>
                          <w:p>
                            <w:pPr>
                              <w:pStyle w:val="BodyText"/>
                              <w:spacing w:before="9"/>
                              <w:rPr>
                                <w:color w:val="000000"/>
                                <w:sz w:val="20"/>
                              </w:rPr>
                            </w:pPr>
                          </w:p>
                          <w:p>
                            <w:pPr>
                              <w:spacing w:before="1"/>
                              <w:ind w:left="112" w:right="0" w:firstLine="0"/>
                              <w:jc w:val="left"/>
                              <w:rPr>
                                <w:b/>
                                <w:color w:val="000000"/>
                                <w:sz w:val="22"/>
                              </w:rPr>
                            </w:pPr>
                            <w:r>
                              <w:rPr>
                                <w:b/>
                                <w:color w:val="000000"/>
                                <w:sz w:val="22"/>
                              </w:rPr>
                              <w:t>Summary</w:t>
                            </w:r>
                            <w:r>
                              <w:rPr>
                                <w:b/>
                                <w:color w:val="000000"/>
                                <w:spacing w:val="-11"/>
                                <w:sz w:val="22"/>
                              </w:rPr>
                              <w:t> </w:t>
                            </w:r>
                            <w:r>
                              <w:rPr>
                                <w:b/>
                                <w:color w:val="000000"/>
                                <w:sz w:val="22"/>
                              </w:rPr>
                              <w:t>of</w:t>
                            </w:r>
                            <w:r>
                              <w:rPr>
                                <w:b/>
                                <w:color w:val="000000"/>
                                <w:spacing w:val="-3"/>
                                <w:sz w:val="22"/>
                              </w:rPr>
                              <w:t> </w:t>
                            </w:r>
                            <w:r>
                              <w:rPr>
                                <w:b/>
                                <w:color w:val="000000"/>
                                <w:sz w:val="22"/>
                              </w:rPr>
                              <w:t>recommendations:</w:t>
                            </w:r>
                            <w:r>
                              <w:rPr>
                                <w:b/>
                                <w:color w:val="000000"/>
                                <w:spacing w:val="-3"/>
                                <w:sz w:val="22"/>
                              </w:rPr>
                              <w:t> </w:t>
                            </w:r>
                            <w:r>
                              <w:rPr>
                                <w:b/>
                                <w:color w:val="000000"/>
                                <w:sz w:val="22"/>
                              </w:rPr>
                              <w:t>Regulating</w:t>
                            </w:r>
                            <w:r>
                              <w:rPr>
                                <w:b/>
                                <w:color w:val="000000"/>
                                <w:spacing w:val="-7"/>
                                <w:sz w:val="22"/>
                              </w:rPr>
                              <w:t> </w:t>
                            </w:r>
                            <w:r>
                              <w:rPr>
                                <w:b/>
                                <w:color w:val="000000"/>
                                <w:sz w:val="22"/>
                              </w:rPr>
                              <w:t>the</w:t>
                            </w:r>
                            <w:r>
                              <w:rPr>
                                <w:b/>
                                <w:color w:val="000000"/>
                                <w:spacing w:val="-8"/>
                                <w:sz w:val="22"/>
                              </w:rPr>
                              <w:t> </w:t>
                            </w:r>
                            <w:r>
                              <w:rPr>
                                <w:b/>
                                <w:color w:val="000000"/>
                                <w:sz w:val="22"/>
                              </w:rPr>
                              <w:t>networks</w:t>
                            </w:r>
                            <w:r>
                              <w:rPr>
                                <w:b/>
                                <w:color w:val="000000"/>
                                <w:spacing w:val="-6"/>
                                <w:sz w:val="22"/>
                              </w:rPr>
                              <w:t> </w:t>
                            </w:r>
                            <w:r>
                              <w:rPr>
                                <w:b/>
                                <w:color w:val="000000"/>
                                <w:sz w:val="22"/>
                              </w:rPr>
                              <w:t>of</w:t>
                            </w:r>
                            <w:r>
                              <w:rPr>
                                <w:b/>
                                <w:color w:val="000000"/>
                                <w:spacing w:val="-6"/>
                                <w:sz w:val="22"/>
                              </w:rPr>
                              <w:t> </w:t>
                            </w:r>
                            <w:r>
                              <w:rPr>
                                <w:b/>
                                <w:color w:val="000000"/>
                                <w:sz w:val="22"/>
                              </w:rPr>
                              <w:t>the</w:t>
                            </w:r>
                            <w:r>
                              <w:rPr>
                                <w:b/>
                                <w:color w:val="000000"/>
                                <w:spacing w:val="-7"/>
                                <w:sz w:val="22"/>
                              </w:rPr>
                              <w:t> </w:t>
                            </w:r>
                            <w:r>
                              <w:rPr>
                                <w:b/>
                                <w:color w:val="000000"/>
                                <w:spacing w:val="-2"/>
                                <w:sz w:val="22"/>
                              </w:rPr>
                              <w:t>future</w:t>
                            </w:r>
                          </w:p>
                          <w:p>
                            <w:pPr>
                              <w:pStyle w:val="BodyText"/>
                              <w:spacing w:before="1"/>
                              <w:rPr>
                                <w:b/>
                                <w:color w:val="000000"/>
                                <w:sz w:val="25"/>
                              </w:rPr>
                            </w:pPr>
                          </w:p>
                          <w:p>
                            <w:pPr>
                              <w:pStyle w:val="BodyText"/>
                              <w:spacing w:before="1"/>
                              <w:ind w:left="112"/>
                              <w:rPr>
                                <w:color w:val="000000"/>
                              </w:rPr>
                            </w:pPr>
                            <w:r>
                              <w:rPr>
                                <w:color w:val="000000"/>
                              </w:rPr>
                              <w:t>The</w:t>
                            </w:r>
                            <w:r>
                              <w:rPr>
                                <w:color w:val="000000"/>
                                <w:spacing w:val="-7"/>
                              </w:rPr>
                              <w:t> </w:t>
                            </w:r>
                            <w:r>
                              <w:rPr>
                                <w:color w:val="000000"/>
                              </w:rPr>
                              <w:t>Review</w:t>
                            </w:r>
                            <w:r>
                              <w:rPr>
                                <w:color w:val="000000"/>
                                <w:spacing w:val="-7"/>
                              </w:rPr>
                              <w:t> </w:t>
                            </w:r>
                            <w:r>
                              <w:rPr>
                                <w:color w:val="000000"/>
                              </w:rPr>
                              <w:t>presented</w:t>
                            </w:r>
                            <w:r>
                              <w:rPr>
                                <w:color w:val="000000"/>
                                <w:spacing w:val="-6"/>
                              </w:rPr>
                              <w:t> </w:t>
                            </w:r>
                            <w:r>
                              <w:rPr>
                                <w:color w:val="000000"/>
                              </w:rPr>
                              <w:t>two</w:t>
                            </w:r>
                            <w:r>
                              <w:rPr>
                                <w:color w:val="000000"/>
                                <w:spacing w:val="-4"/>
                              </w:rPr>
                              <w:t> </w:t>
                            </w:r>
                            <w:r>
                              <w:rPr>
                                <w:color w:val="000000"/>
                                <w:spacing w:val="-2"/>
                              </w:rPr>
                              <w:t>recommendations:</w:t>
                            </w:r>
                          </w:p>
                          <w:p>
                            <w:pPr>
                              <w:pStyle w:val="BodyText"/>
                              <w:spacing w:before="9"/>
                              <w:rPr>
                                <w:color w:val="000000"/>
                                <w:sz w:val="26"/>
                              </w:rPr>
                            </w:pPr>
                          </w:p>
                          <w:p>
                            <w:pPr>
                              <w:pStyle w:val="BodyText"/>
                              <w:numPr>
                                <w:ilvl w:val="0"/>
                                <w:numId w:val="17"/>
                              </w:numPr>
                              <w:tabs>
                                <w:tab w:pos="500" w:val="left" w:leader="none"/>
                                <w:tab w:pos="502" w:val="left" w:leader="none"/>
                              </w:tabs>
                              <w:spacing w:line="288" w:lineRule="auto" w:before="0" w:after="0"/>
                              <w:ind w:left="502" w:right="529" w:hanging="219"/>
                              <w:jc w:val="left"/>
                              <w:rPr>
                                <w:color w:val="000000"/>
                              </w:rPr>
                            </w:pPr>
                            <w:r>
                              <w:rPr>
                                <w:color w:val="000000"/>
                              </w:rPr>
                              <w:t>establishment</w:t>
                            </w:r>
                            <w:r>
                              <w:rPr>
                                <w:color w:val="000000"/>
                                <w:spacing w:val="-3"/>
                              </w:rPr>
                              <w:t> </w:t>
                            </w:r>
                            <w:r>
                              <w:rPr>
                                <w:color w:val="000000"/>
                              </w:rPr>
                              <w:t>of</w:t>
                            </w:r>
                            <w:r>
                              <w:rPr>
                                <w:color w:val="000000"/>
                                <w:spacing w:val="-1"/>
                              </w:rPr>
                              <w:t> </w:t>
                            </w:r>
                            <w:r>
                              <w:rPr>
                                <w:color w:val="000000"/>
                              </w:rPr>
                              <w:t>an</w:t>
                            </w:r>
                            <w:r>
                              <w:rPr>
                                <w:color w:val="000000"/>
                                <w:spacing w:val="-5"/>
                              </w:rPr>
                              <w:t> </w:t>
                            </w:r>
                            <w:r>
                              <w:rPr>
                                <w:color w:val="000000"/>
                              </w:rPr>
                              <w:t>expert</w:t>
                            </w:r>
                            <w:r>
                              <w:rPr>
                                <w:color w:val="000000"/>
                                <w:spacing w:val="-4"/>
                              </w:rPr>
                              <w:t> </w:t>
                            </w:r>
                            <w:r>
                              <w:rPr>
                                <w:color w:val="000000"/>
                              </w:rPr>
                              <w:t>advisory</w:t>
                            </w:r>
                            <w:r>
                              <w:rPr>
                                <w:color w:val="000000"/>
                                <w:spacing w:val="-4"/>
                              </w:rPr>
                              <w:t> </w:t>
                            </w:r>
                            <w:r>
                              <w:rPr>
                                <w:color w:val="000000"/>
                              </w:rPr>
                              <w:t>committee</w:t>
                            </w:r>
                            <w:r>
                              <w:rPr>
                                <w:color w:val="000000"/>
                                <w:spacing w:val="-3"/>
                              </w:rPr>
                              <w:t> </w:t>
                            </w:r>
                            <w:r>
                              <w:rPr>
                                <w:color w:val="000000"/>
                              </w:rPr>
                              <w:t>under</w:t>
                            </w:r>
                            <w:r>
                              <w:rPr>
                                <w:color w:val="000000"/>
                                <w:spacing w:val="-2"/>
                              </w:rPr>
                              <w:t> </w:t>
                            </w:r>
                            <w:r>
                              <w:rPr>
                                <w:color w:val="000000"/>
                              </w:rPr>
                              <w:t>Section</w:t>
                            </w:r>
                            <w:r>
                              <w:rPr>
                                <w:color w:val="000000"/>
                                <w:spacing w:val="-3"/>
                              </w:rPr>
                              <w:t> </w:t>
                            </w:r>
                            <w:r>
                              <w:rPr>
                                <w:color w:val="000000"/>
                              </w:rPr>
                              <w:t>8</w:t>
                            </w:r>
                            <w:r>
                              <w:rPr>
                                <w:color w:val="000000"/>
                                <w:spacing w:val="-3"/>
                              </w:rPr>
                              <w:t> </w:t>
                            </w:r>
                            <w:r>
                              <w:rPr>
                                <w:color w:val="000000"/>
                              </w:rPr>
                              <w:t>of</w:t>
                            </w:r>
                            <w:r>
                              <w:rPr>
                                <w:color w:val="000000"/>
                                <w:spacing w:val="-4"/>
                              </w:rPr>
                              <w:t> </w:t>
                            </w:r>
                            <w:r>
                              <w:rPr>
                                <w:color w:val="000000"/>
                              </w:rPr>
                              <w:t>the</w:t>
                            </w:r>
                            <w:r>
                              <w:rPr>
                                <w:color w:val="000000"/>
                                <w:spacing w:val="-2"/>
                              </w:rPr>
                              <w:t> </w:t>
                            </w:r>
                            <w:r>
                              <w:rPr>
                                <w:i/>
                                <w:color w:val="000000"/>
                              </w:rPr>
                              <w:t>Energy</w:t>
                            </w:r>
                            <w:r>
                              <w:rPr>
                                <w:i/>
                                <w:color w:val="000000"/>
                                <w:spacing w:val="-3"/>
                              </w:rPr>
                              <w:t> </w:t>
                            </w:r>
                            <w:r>
                              <w:rPr>
                                <w:i/>
                                <w:color w:val="000000"/>
                              </w:rPr>
                              <w:t>Safe Victoria Act 2005, </w:t>
                            </w:r>
                            <w:r>
                              <w:rPr>
                                <w:color w:val="000000"/>
                              </w:rPr>
                              <w:t>including members with expertise in energy networks and renewable energy (Recommendation 32); and</w:t>
                            </w:r>
                          </w:p>
                          <w:p>
                            <w:pPr>
                              <w:pStyle w:val="BodyText"/>
                              <w:rPr>
                                <w:color w:val="000000"/>
                              </w:rPr>
                            </w:pPr>
                          </w:p>
                          <w:p>
                            <w:pPr>
                              <w:pStyle w:val="BodyText"/>
                              <w:numPr>
                                <w:ilvl w:val="0"/>
                                <w:numId w:val="17"/>
                              </w:numPr>
                              <w:tabs>
                                <w:tab w:pos="500" w:val="left" w:leader="none"/>
                                <w:tab w:pos="502" w:val="left" w:leader="none"/>
                              </w:tabs>
                              <w:spacing w:line="288" w:lineRule="auto" w:before="0" w:after="0"/>
                              <w:ind w:left="502" w:right="432" w:hanging="219"/>
                              <w:jc w:val="left"/>
                              <w:rPr>
                                <w:color w:val="000000"/>
                              </w:rPr>
                            </w:pPr>
                            <w:r>
                              <w:rPr>
                                <w:color w:val="000000"/>
                              </w:rPr>
                              <w:t>development of a roadmap by ESV that identifies emerging issues from new technologies</w:t>
                            </w:r>
                            <w:r>
                              <w:rPr>
                                <w:color w:val="000000"/>
                                <w:spacing w:val="-5"/>
                              </w:rPr>
                              <w:t> </w:t>
                            </w:r>
                            <w:r>
                              <w:rPr>
                                <w:color w:val="000000"/>
                              </w:rPr>
                              <w:t>and</w:t>
                            </w:r>
                            <w:r>
                              <w:rPr>
                                <w:color w:val="000000"/>
                                <w:spacing w:val="-3"/>
                              </w:rPr>
                              <w:t> </w:t>
                            </w:r>
                            <w:r>
                              <w:rPr>
                                <w:color w:val="000000"/>
                              </w:rPr>
                              <w:t>network</w:t>
                            </w:r>
                            <w:r>
                              <w:rPr>
                                <w:color w:val="000000"/>
                                <w:spacing w:val="-2"/>
                              </w:rPr>
                              <w:t> </w:t>
                            </w:r>
                            <w:r>
                              <w:rPr>
                                <w:color w:val="000000"/>
                              </w:rPr>
                              <w:t>structures</w:t>
                            </w:r>
                            <w:r>
                              <w:rPr>
                                <w:color w:val="000000"/>
                                <w:spacing w:val="-5"/>
                              </w:rPr>
                              <w:t> </w:t>
                            </w:r>
                            <w:r>
                              <w:rPr>
                                <w:color w:val="000000"/>
                              </w:rPr>
                              <w:t>and</w:t>
                            </w:r>
                            <w:r>
                              <w:rPr>
                                <w:color w:val="000000"/>
                                <w:spacing w:val="-3"/>
                              </w:rPr>
                              <w:t> </w:t>
                            </w:r>
                            <w:r>
                              <w:rPr>
                                <w:color w:val="000000"/>
                              </w:rPr>
                              <w:t>proposed</w:t>
                            </w:r>
                            <w:r>
                              <w:rPr>
                                <w:color w:val="000000"/>
                                <w:spacing w:val="-3"/>
                              </w:rPr>
                              <w:t> </w:t>
                            </w:r>
                            <w:r>
                              <w:rPr>
                                <w:color w:val="000000"/>
                              </w:rPr>
                              <w:t>actions</w:t>
                            </w:r>
                            <w:r>
                              <w:rPr>
                                <w:color w:val="000000"/>
                                <w:spacing w:val="-5"/>
                              </w:rPr>
                              <w:t> </w:t>
                            </w:r>
                            <w:r>
                              <w:rPr>
                                <w:color w:val="000000"/>
                              </w:rPr>
                              <w:t>in</w:t>
                            </w:r>
                            <w:r>
                              <w:rPr>
                                <w:color w:val="000000"/>
                                <w:spacing w:val="-3"/>
                              </w:rPr>
                              <w:t> </w:t>
                            </w:r>
                            <w:r>
                              <w:rPr>
                                <w:color w:val="000000"/>
                              </w:rPr>
                              <w:t>response,</w:t>
                            </w:r>
                            <w:r>
                              <w:rPr>
                                <w:color w:val="000000"/>
                                <w:spacing w:val="-4"/>
                              </w:rPr>
                              <w:t> </w:t>
                            </w:r>
                            <w:r>
                              <w:rPr>
                                <w:color w:val="000000"/>
                              </w:rPr>
                              <w:t>with</w:t>
                            </w:r>
                            <w:r>
                              <w:rPr>
                                <w:color w:val="000000"/>
                                <w:spacing w:val="-3"/>
                              </w:rPr>
                              <w:t> </w:t>
                            </w:r>
                            <w:r>
                              <w:rPr>
                                <w:color w:val="000000"/>
                              </w:rPr>
                              <w:t>annual reporting on progress (Recommendation 33).</w:t>
                            </w:r>
                          </w:p>
                        </w:txbxContent>
                      </wps:txbx>
                      <wps:bodyPr wrap="square" lIns="0" tIns="0" rIns="0" bIns="0" rtlCol="0">
                        <a:noAutofit/>
                      </wps:bodyPr>
                    </wps:wsp>
                  </a:graphicData>
                </a:graphic>
              </wp:anchor>
            </w:drawing>
          </mc:Choice>
          <mc:Fallback>
            <w:pict>
              <v:shape style="position:absolute;margin-left:56.639999pt;margin-top:12.089326pt;width:453pt;height:182.9pt;mso-position-horizontal-relative:page;mso-position-vertical-relative:paragraph;z-index:-15722496;mso-wrap-distance-left:0;mso-wrap-distance-right:0" type="#_x0000_t202" id="docshape15" filled="true" fillcolor="#d9d9d9" stroked="false">
                <v:textbox inset="0,0,0,0">
                  <w:txbxContent>
                    <w:p>
                      <w:pPr>
                        <w:pStyle w:val="BodyText"/>
                        <w:spacing w:before="9"/>
                        <w:rPr>
                          <w:color w:val="000000"/>
                          <w:sz w:val="20"/>
                        </w:rPr>
                      </w:pPr>
                    </w:p>
                    <w:p>
                      <w:pPr>
                        <w:spacing w:before="1"/>
                        <w:ind w:left="112" w:right="0" w:firstLine="0"/>
                        <w:jc w:val="left"/>
                        <w:rPr>
                          <w:b/>
                          <w:color w:val="000000"/>
                          <w:sz w:val="22"/>
                        </w:rPr>
                      </w:pPr>
                      <w:r>
                        <w:rPr>
                          <w:b/>
                          <w:color w:val="000000"/>
                          <w:sz w:val="22"/>
                        </w:rPr>
                        <w:t>Summary</w:t>
                      </w:r>
                      <w:r>
                        <w:rPr>
                          <w:b/>
                          <w:color w:val="000000"/>
                          <w:spacing w:val="-11"/>
                          <w:sz w:val="22"/>
                        </w:rPr>
                        <w:t> </w:t>
                      </w:r>
                      <w:r>
                        <w:rPr>
                          <w:b/>
                          <w:color w:val="000000"/>
                          <w:sz w:val="22"/>
                        </w:rPr>
                        <w:t>of</w:t>
                      </w:r>
                      <w:r>
                        <w:rPr>
                          <w:b/>
                          <w:color w:val="000000"/>
                          <w:spacing w:val="-3"/>
                          <w:sz w:val="22"/>
                        </w:rPr>
                        <w:t> </w:t>
                      </w:r>
                      <w:r>
                        <w:rPr>
                          <w:b/>
                          <w:color w:val="000000"/>
                          <w:sz w:val="22"/>
                        </w:rPr>
                        <w:t>recommendations:</w:t>
                      </w:r>
                      <w:r>
                        <w:rPr>
                          <w:b/>
                          <w:color w:val="000000"/>
                          <w:spacing w:val="-3"/>
                          <w:sz w:val="22"/>
                        </w:rPr>
                        <w:t> </w:t>
                      </w:r>
                      <w:r>
                        <w:rPr>
                          <w:b/>
                          <w:color w:val="000000"/>
                          <w:sz w:val="22"/>
                        </w:rPr>
                        <w:t>Regulating</w:t>
                      </w:r>
                      <w:r>
                        <w:rPr>
                          <w:b/>
                          <w:color w:val="000000"/>
                          <w:spacing w:val="-7"/>
                          <w:sz w:val="22"/>
                        </w:rPr>
                        <w:t> </w:t>
                      </w:r>
                      <w:r>
                        <w:rPr>
                          <w:b/>
                          <w:color w:val="000000"/>
                          <w:sz w:val="22"/>
                        </w:rPr>
                        <w:t>the</w:t>
                      </w:r>
                      <w:r>
                        <w:rPr>
                          <w:b/>
                          <w:color w:val="000000"/>
                          <w:spacing w:val="-8"/>
                          <w:sz w:val="22"/>
                        </w:rPr>
                        <w:t> </w:t>
                      </w:r>
                      <w:r>
                        <w:rPr>
                          <w:b/>
                          <w:color w:val="000000"/>
                          <w:sz w:val="22"/>
                        </w:rPr>
                        <w:t>networks</w:t>
                      </w:r>
                      <w:r>
                        <w:rPr>
                          <w:b/>
                          <w:color w:val="000000"/>
                          <w:spacing w:val="-6"/>
                          <w:sz w:val="22"/>
                        </w:rPr>
                        <w:t> </w:t>
                      </w:r>
                      <w:r>
                        <w:rPr>
                          <w:b/>
                          <w:color w:val="000000"/>
                          <w:sz w:val="22"/>
                        </w:rPr>
                        <w:t>of</w:t>
                      </w:r>
                      <w:r>
                        <w:rPr>
                          <w:b/>
                          <w:color w:val="000000"/>
                          <w:spacing w:val="-6"/>
                          <w:sz w:val="22"/>
                        </w:rPr>
                        <w:t> </w:t>
                      </w:r>
                      <w:r>
                        <w:rPr>
                          <w:b/>
                          <w:color w:val="000000"/>
                          <w:sz w:val="22"/>
                        </w:rPr>
                        <w:t>the</w:t>
                      </w:r>
                      <w:r>
                        <w:rPr>
                          <w:b/>
                          <w:color w:val="000000"/>
                          <w:spacing w:val="-7"/>
                          <w:sz w:val="22"/>
                        </w:rPr>
                        <w:t> </w:t>
                      </w:r>
                      <w:r>
                        <w:rPr>
                          <w:b/>
                          <w:color w:val="000000"/>
                          <w:spacing w:val="-2"/>
                          <w:sz w:val="22"/>
                        </w:rPr>
                        <w:t>future</w:t>
                      </w:r>
                    </w:p>
                    <w:p>
                      <w:pPr>
                        <w:pStyle w:val="BodyText"/>
                        <w:spacing w:before="1"/>
                        <w:rPr>
                          <w:b/>
                          <w:color w:val="000000"/>
                          <w:sz w:val="25"/>
                        </w:rPr>
                      </w:pPr>
                    </w:p>
                    <w:p>
                      <w:pPr>
                        <w:pStyle w:val="BodyText"/>
                        <w:spacing w:before="1"/>
                        <w:ind w:left="112"/>
                        <w:rPr>
                          <w:color w:val="000000"/>
                        </w:rPr>
                      </w:pPr>
                      <w:r>
                        <w:rPr>
                          <w:color w:val="000000"/>
                        </w:rPr>
                        <w:t>The</w:t>
                      </w:r>
                      <w:r>
                        <w:rPr>
                          <w:color w:val="000000"/>
                          <w:spacing w:val="-7"/>
                        </w:rPr>
                        <w:t> </w:t>
                      </w:r>
                      <w:r>
                        <w:rPr>
                          <w:color w:val="000000"/>
                        </w:rPr>
                        <w:t>Review</w:t>
                      </w:r>
                      <w:r>
                        <w:rPr>
                          <w:color w:val="000000"/>
                          <w:spacing w:val="-7"/>
                        </w:rPr>
                        <w:t> </w:t>
                      </w:r>
                      <w:r>
                        <w:rPr>
                          <w:color w:val="000000"/>
                        </w:rPr>
                        <w:t>presented</w:t>
                      </w:r>
                      <w:r>
                        <w:rPr>
                          <w:color w:val="000000"/>
                          <w:spacing w:val="-6"/>
                        </w:rPr>
                        <w:t> </w:t>
                      </w:r>
                      <w:r>
                        <w:rPr>
                          <w:color w:val="000000"/>
                        </w:rPr>
                        <w:t>two</w:t>
                      </w:r>
                      <w:r>
                        <w:rPr>
                          <w:color w:val="000000"/>
                          <w:spacing w:val="-4"/>
                        </w:rPr>
                        <w:t> </w:t>
                      </w:r>
                      <w:r>
                        <w:rPr>
                          <w:color w:val="000000"/>
                          <w:spacing w:val="-2"/>
                        </w:rPr>
                        <w:t>recommendations:</w:t>
                      </w:r>
                    </w:p>
                    <w:p>
                      <w:pPr>
                        <w:pStyle w:val="BodyText"/>
                        <w:spacing w:before="9"/>
                        <w:rPr>
                          <w:color w:val="000000"/>
                          <w:sz w:val="26"/>
                        </w:rPr>
                      </w:pPr>
                    </w:p>
                    <w:p>
                      <w:pPr>
                        <w:pStyle w:val="BodyText"/>
                        <w:numPr>
                          <w:ilvl w:val="0"/>
                          <w:numId w:val="17"/>
                        </w:numPr>
                        <w:tabs>
                          <w:tab w:pos="500" w:val="left" w:leader="none"/>
                          <w:tab w:pos="502" w:val="left" w:leader="none"/>
                        </w:tabs>
                        <w:spacing w:line="288" w:lineRule="auto" w:before="0" w:after="0"/>
                        <w:ind w:left="502" w:right="529" w:hanging="219"/>
                        <w:jc w:val="left"/>
                        <w:rPr>
                          <w:color w:val="000000"/>
                        </w:rPr>
                      </w:pPr>
                      <w:r>
                        <w:rPr>
                          <w:color w:val="000000"/>
                        </w:rPr>
                        <w:t>establishment</w:t>
                      </w:r>
                      <w:r>
                        <w:rPr>
                          <w:color w:val="000000"/>
                          <w:spacing w:val="-3"/>
                        </w:rPr>
                        <w:t> </w:t>
                      </w:r>
                      <w:r>
                        <w:rPr>
                          <w:color w:val="000000"/>
                        </w:rPr>
                        <w:t>of</w:t>
                      </w:r>
                      <w:r>
                        <w:rPr>
                          <w:color w:val="000000"/>
                          <w:spacing w:val="-1"/>
                        </w:rPr>
                        <w:t> </w:t>
                      </w:r>
                      <w:r>
                        <w:rPr>
                          <w:color w:val="000000"/>
                        </w:rPr>
                        <w:t>an</w:t>
                      </w:r>
                      <w:r>
                        <w:rPr>
                          <w:color w:val="000000"/>
                          <w:spacing w:val="-5"/>
                        </w:rPr>
                        <w:t> </w:t>
                      </w:r>
                      <w:r>
                        <w:rPr>
                          <w:color w:val="000000"/>
                        </w:rPr>
                        <w:t>expert</w:t>
                      </w:r>
                      <w:r>
                        <w:rPr>
                          <w:color w:val="000000"/>
                          <w:spacing w:val="-4"/>
                        </w:rPr>
                        <w:t> </w:t>
                      </w:r>
                      <w:r>
                        <w:rPr>
                          <w:color w:val="000000"/>
                        </w:rPr>
                        <w:t>advisory</w:t>
                      </w:r>
                      <w:r>
                        <w:rPr>
                          <w:color w:val="000000"/>
                          <w:spacing w:val="-4"/>
                        </w:rPr>
                        <w:t> </w:t>
                      </w:r>
                      <w:r>
                        <w:rPr>
                          <w:color w:val="000000"/>
                        </w:rPr>
                        <w:t>committee</w:t>
                      </w:r>
                      <w:r>
                        <w:rPr>
                          <w:color w:val="000000"/>
                          <w:spacing w:val="-3"/>
                        </w:rPr>
                        <w:t> </w:t>
                      </w:r>
                      <w:r>
                        <w:rPr>
                          <w:color w:val="000000"/>
                        </w:rPr>
                        <w:t>under</w:t>
                      </w:r>
                      <w:r>
                        <w:rPr>
                          <w:color w:val="000000"/>
                          <w:spacing w:val="-2"/>
                        </w:rPr>
                        <w:t> </w:t>
                      </w:r>
                      <w:r>
                        <w:rPr>
                          <w:color w:val="000000"/>
                        </w:rPr>
                        <w:t>Section</w:t>
                      </w:r>
                      <w:r>
                        <w:rPr>
                          <w:color w:val="000000"/>
                          <w:spacing w:val="-3"/>
                        </w:rPr>
                        <w:t> </w:t>
                      </w:r>
                      <w:r>
                        <w:rPr>
                          <w:color w:val="000000"/>
                        </w:rPr>
                        <w:t>8</w:t>
                      </w:r>
                      <w:r>
                        <w:rPr>
                          <w:color w:val="000000"/>
                          <w:spacing w:val="-3"/>
                        </w:rPr>
                        <w:t> </w:t>
                      </w:r>
                      <w:r>
                        <w:rPr>
                          <w:color w:val="000000"/>
                        </w:rPr>
                        <w:t>of</w:t>
                      </w:r>
                      <w:r>
                        <w:rPr>
                          <w:color w:val="000000"/>
                          <w:spacing w:val="-4"/>
                        </w:rPr>
                        <w:t> </w:t>
                      </w:r>
                      <w:r>
                        <w:rPr>
                          <w:color w:val="000000"/>
                        </w:rPr>
                        <w:t>the</w:t>
                      </w:r>
                      <w:r>
                        <w:rPr>
                          <w:color w:val="000000"/>
                          <w:spacing w:val="-2"/>
                        </w:rPr>
                        <w:t> </w:t>
                      </w:r>
                      <w:r>
                        <w:rPr>
                          <w:i/>
                          <w:color w:val="000000"/>
                        </w:rPr>
                        <w:t>Energy</w:t>
                      </w:r>
                      <w:r>
                        <w:rPr>
                          <w:i/>
                          <w:color w:val="000000"/>
                          <w:spacing w:val="-3"/>
                        </w:rPr>
                        <w:t> </w:t>
                      </w:r>
                      <w:r>
                        <w:rPr>
                          <w:i/>
                          <w:color w:val="000000"/>
                        </w:rPr>
                        <w:t>Safe Victoria Act 2005, </w:t>
                      </w:r>
                      <w:r>
                        <w:rPr>
                          <w:color w:val="000000"/>
                        </w:rPr>
                        <w:t>including members with expertise in energy networks and renewable energy (Recommendation 32); and</w:t>
                      </w:r>
                    </w:p>
                    <w:p>
                      <w:pPr>
                        <w:pStyle w:val="BodyText"/>
                        <w:rPr>
                          <w:color w:val="000000"/>
                        </w:rPr>
                      </w:pPr>
                    </w:p>
                    <w:p>
                      <w:pPr>
                        <w:pStyle w:val="BodyText"/>
                        <w:numPr>
                          <w:ilvl w:val="0"/>
                          <w:numId w:val="17"/>
                        </w:numPr>
                        <w:tabs>
                          <w:tab w:pos="500" w:val="left" w:leader="none"/>
                          <w:tab w:pos="502" w:val="left" w:leader="none"/>
                        </w:tabs>
                        <w:spacing w:line="288" w:lineRule="auto" w:before="0" w:after="0"/>
                        <w:ind w:left="502" w:right="432" w:hanging="219"/>
                        <w:jc w:val="left"/>
                        <w:rPr>
                          <w:color w:val="000000"/>
                        </w:rPr>
                      </w:pPr>
                      <w:r>
                        <w:rPr>
                          <w:color w:val="000000"/>
                        </w:rPr>
                        <w:t>development of a roadmap by ESV that identifies emerging issues from new technologies</w:t>
                      </w:r>
                      <w:r>
                        <w:rPr>
                          <w:color w:val="000000"/>
                          <w:spacing w:val="-5"/>
                        </w:rPr>
                        <w:t> </w:t>
                      </w:r>
                      <w:r>
                        <w:rPr>
                          <w:color w:val="000000"/>
                        </w:rPr>
                        <w:t>and</w:t>
                      </w:r>
                      <w:r>
                        <w:rPr>
                          <w:color w:val="000000"/>
                          <w:spacing w:val="-3"/>
                        </w:rPr>
                        <w:t> </w:t>
                      </w:r>
                      <w:r>
                        <w:rPr>
                          <w:color w:val="000000"/>
                        </w:rPr>
                        <w:t>network</w:t>
                      </w:r>
                      <w:r>
                        <w:rPr>
                          <w:color w:val="000000"/>
                          <w:spacing w:val="-2"/>
                        </w:rPr>
                        <w:t> </w:t>
                      </w:r>
                      <w:r>
                        <w:rPr>
                          <w:color w:val="000000"/>
                        </w:rPr>
                        <w:t>structures</w:t>
                      </w:r>
                      <w:r>
                        <w:rPr>
                          <w:color w:val="000000"/>
                          <w:spacing w:val="-5"/>
                        </w:rPr>
                        <w:t> </w:t>
                      </w:r>
                      <w:r>
                        <w:rPr>
                          <w:color w:val="000000"/>
                        </w:rPr>
                        <w:t>and</w:t>
                      </w:r>
                      <w:r>
                        <w:rPr>
                          <w:color w:val="000000"/>
                          <w:spacing w:val="-3"/>
                        </w:rPr>
                        <w:t> </w:t>
                      </w:r>
                      <w:r>
                        <w:rPr>
                          <w:color w:val="000000"/>
                        </w:rPr>
                        <w:t>proposed</w:t>
                      </w:r>
                      <w:r>
                        <w:rPr>
                          <w:color w:val="000000"/>
                          <w:spacing w:val="-3"/>
                        </w:rPr>
                        <w:t> </w:t>
                      </w:r>
                      <w:r>
                        <w:rPr>
                          <w:color w:val="000000"/>
                        </w:rPr>
                        <w:t>actions</w:t>
                      </w:r>
                      <w:r>
                        <w:rPr>
                          <w:color w:val="000000"/>
                          <w:spacing w:val="-5"/>
                        </w:rPr>
                        <w:t> </w:t>
                      </w:r>
                      <w:r>
                        <w:rPr>
                          <w:color w:val="000000"/>
                        </w:rPr>
                        <w:t>in</w:t>
                      </w:r>
                      <w:r>
                        <w:rPr>
                          <w:color w:val="000000"/>
                          <w:spacing w:val="-3"/>
                        </w:rPr>
                        <w:t> </w:t>
                      </w:r>
                      <w:r>
                        <w:rPr>
                          <w:color w:val="000000"/>
                        </w:rPr>
                        <w:t>response,</w:t>
                      </w:r>
                      <w:r>
                        <w:rPr>
                          <w:color w:val="000000"/>
                          <w:spacing w:val="-4"/>
                        </w:rPr>
                        <w:t> </w:t>
                      </w:r>
                      <w:r>
                        <w:rPr>
                          <w:color w:val="000000"/>
                        </w:rPr>
                        <w:t>with</w:t>
                      </w:r>
                      <w:r>
                        <w:rPr>
                          <w:color w:val="000000"/>
                          <w:spacing w:val="-3"/>
                        </w:rPr>
                        <w:t> </w:t>
                      </w:r>
                      <w:r>
                        <w:rPr>
                          <w:color w:val="000000"/>
                        </w:rPr>
                        <w:t>annual reporting on progress (Recommendation 33).</w:t>
                      </w:r>
                    </w:p>
                  </w:txbxContent>
                </v:textbox>
                <v:fill type="solid"/>
                <w10:wrap type="topAndBottom"/>
              </v:shape>
            </w:pict>
          </mc:Fallback>
        </mc:AlternateContent>
      </w:r>
    </w:p>
    <w:p>
      <w:pPr>
        <w:pStyle w:val="BodyText"/>
        <w:spacing w:before="6"/>
        <w:rPr>
          <w:sz w:val="23"/>
        </w:rPr>
      </w:pPr>
    </w:p>
    <w:p>
      <w:pPr>
        <w:pStyle w:val="Heading4"/>
        <w:ind w:left="292"/>
        <w:jc w:val="both"/>
      </w:pPr>
      <w:r>
        <w:rPr>
          <w:color w:val="585858"/>
        </w:rPr>
        <w:t>Strengthening</w:t>
      </w:r>
      <w:r>
        <w:rPr>
          <w:color w:val="585858"/>
          <w:spacing w:val="-12"/>
        </w:rPr>
        <w:t> </w:t>
      </w:r>
      <w:r>
        <w:rPr>
          <w:color w:val="585858"/>
        </w:rPr>
        <w:t>the</w:t>
      </w:r>
      <w:r>
        <w:rPr>
          <w:color w:val="585858"/>
          <w:spacing w:val="-12"/>
        </w:rPr>
        <w:t> </w:t>
      </w:r>
      <w:r>
        <w:rPr>
          <w:color w:val="585858"/>
        </w:rPr>
        <w:t>foundations</w:t>
      </w:r>
      <w:r>
        <w:rPr>
          <w:color w:val="585858"/>
          <w:spacing w:val="-9"/>
        </w:rPr>
        <w:t> </w:t>
      </w:r>
      <w:r>
        <w:rPr>
          <w:color w:val="585858"/>
        </w:rPr>
        <w:t>for</w:t>
      </w:r>
      <w:r>
        <w:rPr>
          <w:color w:val="585858"/>
          <w:spacing w:val="-12"/>
        </w:rPr>
        <w:t> </w:t>
      </w:r>
      <w:r>
        <w:rPr>
          <w:color w:val="585858"/>
        </w:rPr>
        <w:t>the</w:t>
      </w:r>
      <w:r>
        <w:rPr>
          <w:color w:val="585858"/>
          <w:spacing w:val="-11"/>
        </w:rPr>
        <w:t> </w:t>
      </w:r>
      <w:r>
        <w:rPr>
          <w:color w:val="585858"/>
          <w:spacing w:val="-2"/>
        </w:rPr>
        <w:t>future</w:t>
      </w:r>
    </w:p>
    <w:p>
      <w:pPr>
        <w:pStyle w:val="BodyText"/>
        <w:spacing w:line="288" w:lineRule="auto" w:before="314"/>
        <w:ind w:left="292" w:right="1037"/>
        <w:jc w:val="both"/>
      </w:pPr>
      <w:r>
        <w:rPr/>
        <w:t>The</w:t>
      </w:r>
      <w:r>
        <w:rPr>
          <w:spacing w:val="-2"/>
        </w:rPr>
        <w:t> </w:t>
      </w:r>
      <w:r>
        <w:rPr/>
        <w:t>electricity</w:t>
      </w:r>
      <w:r>
        <w:rPr>
          <w:spacing w:val="-2"/>
        </w:rPr>
        <w:t> </w:t>
      </w:r>
      <w:r>
        <w:rPr/>
        <w:t>and</w:t>
      </w:r>
      <w:r>
        <w:rPr>
          <w:spacing w:val="-4"/>
        </w:rPr>
        <w:t> </w:t>
      </w:r>
      <w:r>
        <w:rPr/>
        <w:t>gas</w:t>
      </w:r>
      <w:r>
        <w:rPr>
          <w:spacing w:val="-2"/>
        </w:rPr>
        <w:t> </w:t>
      </w:r>
      <w:r>
        <w:rPr/>
        <w:t>safety</w:t>
      </w:r>
      <w:r>
        <w:rPr>
          <w:spacing w:val="-3"/>
        </w:rPr>
        <w:t> </w:t>
      </w:r>
      <w:r>
        <w:rPr/>
        <w:t>framework has evolved over the past 20</w:t>
      </w:r>
      <w:r>
        <w:rPr>
          <w:spacing w:val="-2"/>
        </w:rPr>
        <w:t> </w:t>
      </w:r>
      <w:r>
        <w:rPr/>
        <w:t>years.</w:t>
      </w:r>
      <w:r>
        <w:rPr>
          <w:spacing w:val="-3"/>
        </w:rPr>
        <w:t> </w:t>
      </w:r>
      <w:r>
        <w:rPr/>
        <w:t>The advent of privatisation</w:t>
      </w:r>
      <w:r>
        <w:rPr>
          <w:spacing w:val="-3"/>
        </w:rPr>
        <w:t> </w:t>
      </w:r>
      <w:r>
        <w:rPr/>
        <w:t>saw</w:t>
      </w:r>
      <w:r>
        <w:rPr>
          <w:spacing w:val="-6"/>
        </w:rPr>
        <w:t> </w:t>
      </w:r>
      <w:r>
        <w:rPr/>
        <w:t>dedicated</w:t>
      </w:r>
      <w:r>
        <w:rPr>
          <w:spacing w:val="-3"/>
        </w:rPr>
        <w:t> </w:t>
      </w:r>
      <w:r>
        <w:rPr/>
        <w:t>regulators</w:t>
      </w:r>
      <w:r>
        <w:rPr>
          <w:spacing w:val="-2"/>
        </w:rPr>
        <w:t> </w:t>
      </w:r>
      <w:r>
        <w:rPr/>
        <w:t>established</w:t>
      </w:r>
      <w:r>
        <w:rPr>
          <w:spacing w:val="-5"/>
        </w:rPr>
        <w:t> </w:t>
      </w:r>
      <w:r>
        <w:rPr/>
        <w:t>for</w:t>
      </w:r>
      <w:r>
        <w:rPr>
          <w:spacing w:val="-4"/>
        </w:rPr>
        <w:t> </w:t>
      </w:r>
      <w:r>
        <w:rPr/>
        <w:t>the</w:t>
      </w:r>
      <w:r>
        <w:rPr>
          <w:spacing w:val="-5"/>
        </w:rPr>
        <w:t> </w:t>
      </w:r>
      <w:r>
        <w:rPr/>
        <w:t>two</w:t>
      </w:r>
      <w:r>
        <w:rPr>
          <w:spacing w:val="-3"/>
        </w:rPr>
        <w:t> </w:t>
      </w:r>
      <w:r>
        <w:rPr/>
        <w:t>sectors,</w:t>
      </w:r>
      <w:r>
        <w:rPr>
          <w:spacing w:val="-4"/>
        </w:rPr>
        <w:t> </w:t>
      </w:r>
      <w:r>
        <w:rPr/>
        <w:t>each</w:t>
      </w:r>
      <w:r>
        <w:rPr>
          <w:spacing w:val="-3"/>
        </w:rPr>
        <w:t> </w:t>
      </w:r>
      <w:r>
        <w:rPr/>
        <w:t>operating</w:t>
      </w:r>
      <w:r>
        <w:rPr>
          <w:spacing w:val="-3"/>
        </w:rPr>
        <w:t> </w:t>
      </w:r>
      <w:r>
        <w:rPr/>
        <w:t>under sector-specific safety legislation.</w:t>
      </w:r>
    </w:p>
    <w:p>
      <w:pPr>
        <w:spacing w:after="0" w:line="288" w:lineRule="auto"/>
        <w:jc w:val="both"/>
        <w:sectPr>
          <w:pgSz w:w="11910" w:h="16850"/>
          <w:pgMar w:header="465" w:footer="880" w:top="660" w:bottom="1060" w:left="840" w:right="820"/>
        </w:sectPr>
      </w:pPr>
    </w:p>
    <w:p>
      <w:pPr>
        <w:pStyle w:val="BodyText"/>
        <w:rPr>
          <w:sz w:val="20"/>
        </w:rPr>
      </w:pPr>
    </w:p>
    <w:p>
      <w:pPr>
        <w:pStyle w:val="BodyText"/>
        <w:rPr>
          <w:sz w:val="20"/>
        </w:rPr>
      </w:pPr>
    </w:p>
    <w:p>
      <w:pPr>
        <w:pStyle w:val="BodyText"/>
        <w:spacing w:before="4"/>
      </w:pPr>
    </w:p>
    <w:p>
      <w:pPr>
        <w:pStyle w:val="BodyText"/>
        <w:spacing w:line="288" w:lineRule="auto"/>
        <w:ind w:left="292" w:right="311"/>
      </w:pPr>
      <w:r>
        <w:rPr/>
        <w:t>In 2005 the Office of the Chief Electrical Inspector was merged with the Office of Gas Safety to create</w:t>
      </w:r>
      <w:r>
        <w:rPr>
          <w:spacing w:val="-4"/>
        </w:rPr>
        <w:t> </w:t>
      </w:r>
      <w:r>
        <w:rPr/>
        <w:t>ESV</w:t>
      </w:r>
      <w:r>
        <w:rPr>
          <w:spacing w:val="-2"/>
        </w:rPr>
        <w:t> </w:t>
      </w:r>
      <w:r>
        <w:rPr/>
        <w:t>under</w:t>
      </w:r>
      <w:r>
        <w:rPr>
          <w:spacing w:val="-3"/>
        </w:rPr>
        <w:t> </w:t>
      </w:r>
      <w:r>
        <w:rPr/>
        <w:t>a</w:t>
      </w:r>
      <w:r>
        <w:rPr>
          <w:spacing w:val="-2"/>
        </w:rPr>
        <w:t> </w:t>
      </w:r>
      <w:r>
        <w:rPr/>
        <w:t>dedicated</w:t>
      </w:r>
      <w:r>
        <w:rPr>
          <w:spacing w:val="-1"/>
        </w:rPr>
        <w:t> </w:t>
      </w:r>
      <w:r>
        <w:rPr>
          <w:i/>
        </w:rPr>
        <w:t>Energy</w:t>
      </w:r>
      <w:r>
        <w:rPr>
          <w:i/>
          <w:spacing w:val="-2"/>
        </w:rPr>
        <w:t> </w:t>
      </w:r>
      <w:r>
        <w:rPr>
          <w:i/>
        </w:rPr>
        <w:t>Safe</w:t>
      </w:r>
      <w:r>
        <w:rPr>
          <w:i/>
          <w:spacing w:val="-2"/>
        </w:rPr>
        <w:t> </w:t>
      </w:r>
      <w:r>
        <w:rPr>
          <w:i/>
        </w:rPr>
        <w:t>Victoria</w:t>
      </w:r>
      <w:r>
        <w:rPr>
          <w:i/>
          <w:spacing w:val="-2"/>
        </w:rPr>
        <w:t> </w:t>
      </w:r>
      <w:r>
        <w:rPr>
          <w:i/>
        </w:rPr>
        <w:t>Act</w:t>
      </w:r>
      <w:r>
        <w:rPr>
          <w:i/>
          <w:spacing w:val="-1"/>
        </w:rPr>
        <w:t> </w:t>
      </w:r>
      <w:r>
        <w:rPr>
          <w:i/>
        </w:rPr>
        <w:t>2005</w:t>
      </w:r>
      <w:r>
        <w:rPr/>
        <w:t>.</w:t>
      </w:r>
      <w:r>
        <w:rPr>
          <w:spacing w:val="-1"/>
        </w:rPr>
        <w:t> </w:t>
      </w:r>
      <w:r>
        <w:rPr/>
        <w:t>ESV</w:t>
      </w:r>
      <w:r>
        <w:rPr>
          <w:spacing w:val="-2"/>
        </w:rPr>
        <w:t> </w:t>
      </w:r>
      <w:r>
        <w:rPr/>
        <w:t>has</w:t>
      </w:r>
      <w:r>
        <w:rPr>
          <w:spacing w:val="-2"/>
        </w:rPr>
        <w:t> </w:t>
      </w:r>
      <w:r>
        <w:rPr/>
        <w:t>subsequently</w:t>
      </w:r>
      <w:r>
        <w:rPr>
          <w:spacing w:val="-4"/>
        </w:rPr>
        <w:t> </w:t>
      </w:r>
      <w:r>
        <w:rPr/>
        <w:t>become</w:t>
      </w:r>
      <w:r>
        <w:rPr>
          <w:spacing w:val="-4"/>
        </w:rPr>
        <w:t> </w:t>
      </w:r>
      <w:r>
        <w:rPr/>
        <w:t>the largest electricity and gas safety regulator in Australia.</w:t>
      </w:r>
    </w:p>
    <w:p>
      <w:pPr>
        <w:pStyle w:val="BodyText"/>
        <w:spacing w:before="10"/>
        <w:rPr>
          <w:sz w:val="20"/>
        </w:rPr>
      </w:pPr>
    </w:p>
    <w:p>
      <w:pPr>
        <w:pStyle w:val="BodyText"/>
        <w:spacing w:line="288" w:lineRule="auto"/>
        <w:ind w:left="292" w:right="311"/>
      </w:pPr>
      <w:r>
        <w:rPr/>
        <w:t>As</w:t>
      </w:r>
      <w:r>
        <w:rPr>
          <w:spacing w:val="-1"/>
        </w:rPr>
        <w:t> </w:t>
      </w:r>
      <w:r>
        <w:rPr/>
        <w:t>noted</w:t>
      </w:r>
      <w:r>
        <w:rPr>
          <w:spacing w:val="-4"/>
        </w:rPr>
        <w:t> </w:t>
      </w:r>
      <w:r>
        <w:rPr/>
        <w:t>earlier,</w:t>
      </w:r>
      <w:r>
        <w:rPr>
          <w:spacing w:val="-2"/>
        </w:rPr>
        <w:t> </w:t>
      </w:r>
      <w:r>
        <w:rPr/>
        <w:t>ESV</w:t>
      </w:r>
      <w:r>
        <w:rPr>
          <w:spacing w:val="-2"/>
        </w:rPr>
        <w:t> </w:t>
      </w:r>
      <w:r>
        <w:rPr/>
        <w:t>has</w:t>
      </w:r>
      <w:r>
        <w:rPr>
          <w:spacing w:val="-1"/>
        </w:rPr>
        <w:t> </w:t>
      </w:r>
      <w:r>
        <w:rPr/>
        <w:t>embarked</w:t>
      </w:r>
      <w:r>
        <w:rPr>
          <w:spacing w:val="-4"/>
        </w:rPr>
        <w:t> </w:t>
      </w:r>
      <w:r>
        <w:rPr/>
        <w:t>on</w:t>
      </w:r>
      <w:r>
        <w:rPr>
          <w:spacing w:val="-2"/>
        </w:rPr>
        <w:t> </w:t>
      </w:r>
      <w:r>
        <w:rPr/>
        <w:t>a</w:t>
      </w:r>
      <w:r>
        <w:rPr>
          <w:spacing w:val="-4"/>
        </w:rPr>
        <w:t> </w:t>
      </w:r>
      <w:r>
        <w:rPr/>
        <w:t>program</w:t>
      </w:r>
      <w:r>
        <w:rPr>
          <w:spacing w:val="-1"/>
        </w:rPr>
        <w:t> </w:t>
      </w:r>
      <w:r>
        <w:rPr/>
        <w:t>of internal</w:t>
      </w:r>
      <w:r>
        <w:rPr>
          <w:spacing w:val="-5"/>
        </w:rPr>
        <w:t> </w:t>
      </w:r>
      <w:r>
        <w:rPr/>
        <w:t>reform</w:t>
      </w:r>
      <w:r>
        <w:rPr>
          <w:spacing w:val="-3"/>
        </w:rPr>
        <w:t> </w:t>
      </w:r>
      <w:r>
        <w:rPr/>
        <w:t>over</w:t>
      </w:r>
      <w:r>
        <w:rPr>
          <w:spacing w:val="-1"/>
        </w:rPr>
        <w:t> </w:t>
      </w:r>
      <w:r>
        <w:rPr/>
        <w:t>the</w:t>
      </w:r>
      <w:r>
        <w:rPr>
          <w:spacing w:val="-4"/>
        </w:rPr>
        <w:t> </w:t>
      </w:r>
      <w:r>
        <w:rPr/>
        <w:t>past</w:t>
      </w:r>
      <w:r>
        <w:rPr>
          <w:spacing w:val="-3"/>
        </w:rPr>
        <w:t> </w:t>
      </w:r>
      <w:r>
        <w:rPr/>
        <w:t>two</w:t>
      </w:r>
      <w:r>
        <w:rPr>
          <w:spacing w:val="-2"/>
        </w:rPr>
        <w:t> </w:t>
      </w:r>
      <w:r>
        <w:rPr/>
        <w:t>years</w:t>
      </w:r>
      <w:r>
        <w:rPr>
          <w:spacing w:val="-1"/>
        </w:rPr>
        <w:t> </w:t>
      </w:r>
      <w:r>
        <w:rPr/>
        <w:t>or</w:t>
      </w:r>
      <w:r>
        <w:rPr>
          <w:spacing w:val="-1"/>
        </w:rPr>
        <w:t> </w:t>
      </w:r>
      <w:r>
        <w:rPr/>
        <w:t>so, and</w:t>
      </w:r>
      <w:r>
        <w:rPr>
          <w:spacing w:val="-1"/>
        </w:rPr>
        <w:t> </w:t>
      </w:r>
      <w:r>
        <w:rPr/>
        <w:t>its</w:t>
      </w:r>
      <w:r>
        <w:rPr>
          <w:spacing w:val="-2"/>
        </w:rPr>
        <w:t> </w:t>
      </w:r>
      <w:r>
        <w:rPr/>
        <w:t>most</w:t>
      </w:r>
      <w:r>
        <w:rPr>
          <w:spacing w:val="-2"/>
        </w:rPr>
        <w:t> </w:t>
      </w:r>
      <w:r>
        <w:rPr/>
        <w:t>recent Corporate</w:t>
      </w:r>
      <w:r>
        <w:rPr>
          <w:spacing w:val="-3"/>
        </w:rPr>
        <w:t> </w:t>
      </w:r>
      <w:r>
        <w:rPr/>
        <w:t>Plan, published</w:t>
      </w:r>
      <w:r>
        <w:rPr>
          <w:spacing w:val="-1"/>
        </w:rPr>
        <w:t> </w:t>
      </w:r>
      <w:r>
        <w:rPr/>
        <w:t>a</w:t>
      </w:r>
      <w:r>
        <w:rPr>
          <w:spacing w:val="-5"/>
        </w:rPr>
        <w:t> </w:t>
      </w:r>
      <w:r>
        <w:rPr/>
        <w:t>few</w:t>
      </w:r>
      <w:r>
        <w:rPr>
          <w:spacing w:val="-4"/>
        </w:rPr>
        <w:t> </w:t>
      </w:r>
      <w:r>
        <w:rPr/>
        <w:t>months</w:t>
      </w:r>
      <w:r>
        <w:rPr>
          <w:spacing w:val="-1"/>
        </w:rPr>
        <w:t> </w:t>
      </w:r>
      <w:r>
        <w:rPr/>
        <w:t>ago,</w:t>
      </w:r>
      <w:r>
        <w:rPr>
          <w:spacing w:val="-2"/>
        </w:rPr>
        <w:t> </w:t>
      </w:r>
      <w:r>
        <w:rPr/>
        <w:t>sets</w:t>
      </w:r>
      <w:r>
        <w:rPr>
          <w:spacing w:val="-2"/>
        </w:rPr>
        <w:t> </w:t>
      </w:r>
      <w:r>
        <w:rPr/>
        <w:t>out</w:t>
      </w:r>
      <w:r>
        <w:rPr>
          <w:spacing w:val="-4"/>
        </w:rPr>
        <w:t> </w:t>
      </w:r>
      <w:r>
        <w:rPr/>
        <w:t>a</w:t>
      </w:r>
      <w:r>
        <w:rPr>
          <w:spacing w:val="-1"/>
        </w:rPr>
        <w:t> </w:t>
      </w:r>
      <w:r>
        <w:rPr/>
        <w:t>blueprint</w:t>
      </w:r>
      <w:r>
        <w:rPr>
          <w:spacing w:val="-2"/>
        </w:rPr>
        <w:t> </w:t>
      </w:r>
      <w:r>
        <w:rPr/>
        <w:t>to</w:t>
      </w:r>
      <w:r>
        <w:rPr>
          <w:spacing w:val="-3"/>
        </w:rPr>
        <w:t> </w:t>
      </w:r>
      <w:r>
        <w:rPr/>
        <w:t>strengthen its capabilities and its approach to regulation. It is critical that the vision of ESV operating as a confident, well-resourced, and strongly independent regulator is realised.</w:t>
      </w:r>
    </w:p>
    <w:p>
      <w:pPr>
        <w:pStyle w:val="BodyText"/>
        <w:spacing w:before="10"/>
        <w:rPr>
          <w:sz w:val="20"/>
        </w:rPr>
      </w:pPr>
    </w:p>
    <w:p>
      <w:pPr>
        <w:pStyle w:val="BodyText"/>
        <w:spacing w:line="288" w:lineRule="auto"/>
        <w:ind w:left="292" w:right="311"/>
      </w:pPr>
      <w:r>
        <w:rPr/>
        <w:t>The Review has presented recommendations that would provide strong foundations for the evolution</w:t>
      </w:r>
      <w:r>
        <w:rPr>
          <w:spacing w:val="-2"/>
        </w:rPr>
        <w:t> </w:t>
      </w:r>
      <w:r>
        <w:rPr/>
        <w:t>of ESV</w:t>
      </w:r>
      <w:r>
        <w:rPr>
          <w:spacing w:val="-2"/>
        </w:rPr>
        <w:t> </w:t>
      </w:r>
      <w:r>
        <w:rPr/>
        <w:t>as</w:t>
      </w:r>
      <w:r>
        <w:rPr>
          <w:spacing w:val="-2"/>
        </w:rPr>
        <w:t> </w:t>
      </w:r>
      <w:r>
        <w:rPr/>
        <w:t>a</w:t>
      </w:r>
      <w:r>
        <w:rPr>
          <w:spacing w:val="-4"/>
        </w:rPr>
        <w:t> </w:t>
      </w:r>
      <w:r>
        <w:rPr/>
        <w:t>leading network</w:t>
      </w:r>
      <w:r>
        <w:rPr>
          <w:spacing w:val="-1"/>
        </w:rPr>
        <w:t> </w:t>
      </w:r>
      <w:r>
        <w:rPr/>
        <w:t>safety</w:t>
      </w:r>
      <w:r>
        <w:rPr>
          <w:spacing w:val="-4"/>
        </w:rPr>
        <w:t> </w:t>
      </w:r>
      <w:r>
        <w:rPr/>
        <w:t>regulator and</w:t>
      </w:r>
      <w:r>
        <w:rPr>
          <w:spacing w:val="-4"/>
        </w:rPr>
        <w:t> </w:t>
      </w:r>
      <w:r>
        <w:rPr/>
        <w:t>to</w:t>
      </w:r>
      <w:r>
        <w:rPr>
          <w:spacing w:val="-4"/>
        </w:rPr>
        <w:t> </w:t>
      </w:r>
      <w:r>
        <w:rPr/>
        <w:t>allow</w:t>
      </w:r>
      <w:r>
        <w:rPr>
          <w:spacing w:val="-5"/>
        </w:rPr>
        <w:t> </w:t>
      </w:r>
      <w:r>
        <w:rPr/>
        <w:t>Victoria</w:t>
      </w:r>
      <w:r>
        <w:rPr>
          <w:spacing w:val="-2"/>
        </w:rPr>
        <w:t> </w:t>
      </w:r>
      <w:r>
        <w:rPr/>
        <w:t>to</w:t>
      </w:r>
      <w:r>
        <w:rPr>
          <w:spacing w:val="-2"/>
        </w:rPr>
        <w:t> </w:t>
      </w:r>
      <w:r>
        <w:rPr/>
        <w:t>better</w:t>
      </w:r>
      <w:r>
        <w:rPr>
          <w:spacing w:val="-3"/>
        </w:rPr>
        <w:t> </w:t>
      </w:r>
      <w:r>
        <w:rPr/>
        <w:t>manage</w:t>
      </w:r>
      <w:r>
        <w:rPr>
          <w:spacing w:val="-4"/>
        </w:rPr>
        <w:t> </w:t>
      </w:r>
      <w:r>
        <w:rPr/>
        <w:t>the transition to new energy systems.</w:t>
      </w:r>
    </w:p>
    <w:p>
      <w:pPr>
        <w:pStyle w:val="BodyText"/>
        <w:rPr>
          <w:sz w:val="21"/>
        </w:rPr>
      </w:pPr>
    </w:p>
    <w:p>
      <w:pPr>
        <w:pStyle w:val="BodyText"/>
        <w:spacing w:line="288" w:lineRule="auto"/>
        <w:ind w:left="292" w:right="311"/>
      </w:pPr>
      <w:r>
        <w:rPr/>
        <w:t>A</w:t>
      </w:r>
      <w:r>
        <w:rPr>
          <w:spacing w:val="-4"/>
        </w:rPr>
        <w:t> </w:t>
      </w:r>
      <w:r>
        <w:rPr/>
        <w:t>further</w:t>
      </w:r>
      <w:r>
        <w:rPr>
          <w:spacing w:val="-3"/>
        </w:rPr>
        <w:t> </w:t>
      </w:r>
      <w:r>
        <w:rPr/>
        <w:t>aspiration</w:t>
      </w:r>
      <w:r>
        <w:rPr>
          <w:spacing w:val="-2"/>
        </w:rPr>
        <w:t> </w:t>
      </w:r>
      <w:r>
        <w:rPr/>
        <w:t>is</w:t>
      </w:r>
      <w:r>
        <w:rPr>
          <w:spacing w:val="-4"/>
        </w:rPr>
        <w:t> </w:t>
      </w:r>
      <w:r>
        <w:rPr/>
        <w:t>to</w:t>
      </w:r>
      <w:r>
        <w:rPr>
          <w:spacing w:val="-4"/>
        </w:rPr>
        <w:t> </w:t>
      </w:r>
      <w:r>
        <w:rPr/>
        <w:t>create</w:t>
      </w:r>
      <w:r>
        <w:rPr>
          <w:spacing w:val="-4"/>
        </w:rPr>
        <w:t> </w:t>
      </w:r>
      <w:r>
        <w:rPr/>
        <w:t>a</w:t>
      </w:r>
      <w:r>
        <w:rPr>
          <w:spacing w:val="-2"/>
        </w:rPr>
        <w:t> </w:t>
      </w:r>
      <w:r>
        <w:rPr/>
        <w:t>pathway</w:t>
      </w:r>
      <w:r>
        <w:rPr>
          <w:spacing w:val="-4"/>
        </w:rPr>
        <w:t> </w:t>
      </w:r>
      <w:r>
        <w:rPr/>
        <w:t>that would</w:t>
      </w:r>
      <w:r>
        <w:rPr>
          <w:spacing w:val="-2"/>
        </w:rPr>
        <w:t> </w:t>
      </w:r>
      <w:r>
        <w:rPr/>
        <w:t>allow</w:t>
      </w:r>
      <w:r>
        <w:rPr>
          <w:spacing w:val="-5"/>
        </w:rPr>
        <w:t> </w:t>
      </w:r>
      <w:r>
        <w:rPr/>
        <w:t>greater</w:t>
      </w:r>
      <w:r>
        <w:rPr>
          <w:spacing w:val="-3"/>
        </w:rPr>
        <w:t> </w:t>
      </w:r>
      <w:r>
        <w:rPr/>
        <w:t>emphasis</w:t>
      </w:r>
      <w:r>
        <w:rPr>
          <w:spacing w:val="-1"/>
        </w:rPr>
        <w:t> </w:t>
      </w:r>
      <w:r>
        <w:rPr/>
        <w:t>on</w:t>
      </w:r>
      <w:r>
        <w:rPr>
          <w:spacing w:val="-2"/>
        </w:rPr>
        <w:t> </w:t>
      </w:r>
      <w:r>
        <w:rPr/>
        <w:t>safety</w:t>
      </w:r>
      <w:r>
        <w:rPr>
          <w:spacing w:val="-3"/>
        </w:rPr>
        <w:t> </w:t>
      </w:r>
      <w:r>
        <w:rPr/>
        <w:t>case</w:t>
      </w:r>
      <w:r>
        <w:rPr>
          <w:spacing w:val="-4"/>
        </w:rPr>
        <w:t> </w:t>
      </w:r>
      <w:r>
        <w:rPr/>
        <w:t>based regulation, focused on achieving strong safety outcomes for the Victorian community, with less reliance on the statutory prescription of rules and standards. This approach would help foster the most cost-effective approaches to achieving high safety standards, reducing cost pressures on consumers over time.</w:t>
      </w:r>
    </w:p>
    <w:p>
      <w:pPr>
        <w:pStyle w:val="BodyText"/>
        <w:spacing w:before="9"/>
        <w:rPr>
          <w:sz w:val="20"/>
        </w:rPr>
      </w:pPr>
    </w:p>
    <w:p>
      <w:pPr>
        <w:pStyle w:val="BodyText"/>
        <w:spacing w:line="288" w:lineRule="auto"/>
        <w:ind w:left="292" w:right="311"/>
      </w:pPr>
      <w:r>
        <w:rPr/>
        <w:t>At</w:t>
      </w:r>
      <w:r>
        <w:rPr>
          <w:spacing w:val="-1"/>
        </w:rPr>
        <w:t> </w:t>
      </w:r>
      <w:r>
        <w:rPr/>
        <w:t>the</w:t>
      </w:r>
      <w:r>
        <w:rPr>
          <w:spacing w:val="-5"/>
        </w:rPr>
        <w:t> </w:t>
      </w:r>
      <w:r>
        <w:rPr/>
        <w:t>heart</w:t>
      </w:r>
      <w:r>
        <w:rPr>
          <w:spacing w:val="-4"/>
        </w:rPr>
        <w:t> </w:t>
      </w:r>
      <w:r>
        <w:rPr/>
        <w:t>of</w:t>
      </w:r>
      <w:r>
        <w:rPr>
          <w:spacing w:val="-1"/>
        </w:rPr>
        <w:t> </w:t>
      </w:r>
      <w:r>
        <w:rPr/>
        <w:t>the</w:t>
      </w:r>
      <w:r>
        <w:rPr>
          <w:spacing w:val="-5"/>
        </w:rPr>
        <w:t> </w:t>
      </w:r>
      <w:r>
        <w:rPr/>
        <w:t>Review's</w:t>
      </w:r>
      <w:r>
        <w:rPr>
          <w:spacing w:val="-2"/>
        </w:rPr>
        <w:t> </w:t>
      </w:r>
      <w:r>
        <w:rPr/>
        <w:t>recommendations</w:t>
      </w:r>
      <w:r>
        <w:rPr>
          <w:spacing w:val="-2"/>
        </w:rPr>
        <w:t> </w:t>
      </w:r>
      <w:r>
        <w:rPr/>
        <w:t>are</w:t>
      </w:r>
      <w:r>
        <w:rPr>
          <w:spacing w:val="-3"/>
        </w:rPr>
        <w:t> </w:t>
      </w:r>
      <w:r>
        <w:rPr/>
        <w:t>proposed</w:t>
      </w:r>
      <w:r>
        <w:rPr>
          <w:spacing w:val="-5"/>
        </w:rPr>
        <w:t> </w:t>
      </w:r>
      <w:r>
        <w:rPr/>
        <w:t>measures</w:t>
      </w:r>
      <w:r>
        <w:rPr>
          <w:spacing w:val="-5"/>
        </w:rPr>
        <w:t> </w:t>
      </w:r>
      <w:r>
        <w:rPr/>
        <w:t>to</w:t>
      </w:r>
      <w:r>
        <w:rPr>
          <w:spacing w:val="-7"/>
        </w:rPr>
        <w:t> </w:t>
      </w:r>
      <w:r>
        <w:rPr/>
        <w:t>strengthen</w:t>
      </w:r>
      <w:r>
        <w:rPr>
          <w:spacing w:val="-3"/>
        </w:rPr>
        <w:t> </w:t>
      </w:r>
      <w:r>
        <w:rPr/>
        <w:t>ESV's regulatory and corporate governance.</w:t>
      </w:r>
    </w:p>
    <w:p>
      <w:pPr>
        <w:pStyle w:val="BodyText"/>
        <w:spacing w:before="10"/>
        <w:rPr>
          <w:sz w:val="20"/>
        </w:rPr>
      </w:pPr>
    </w:p>
    <w:p>
      <w:pPr>
        <w:pStyle w:val="BodyText"/>
        <w:spacing w:line="288" w:lineRule="auto"/>
        <w:ind w:left="292" w:right="311"/>
      </w:pPr>
      <w:r>
        <w:rPr/>
        <w:t>The Director of Energy Safety and ESV’s senior leadership team have, as noted earlier, made important recent progress in establishing a formal Executive Management Board and bringing greater collective approaches to the administration of ESV's network safety regulation. This direction should be consolidated by establishing ESV as a multi-person commission operating under consolidated</w:t>
      </w:r>
      <w:r>
        <w:rPr>
          <w:spacing w:val="-1"/>
        </w:rPr>
        <w:t> </w:t>
      </w:r>
      <w:r>
        <w:rPr/>
        <w:t>energy</w:t>
      </w:r>
      <w:r>
        <w:rPr>
          <w:spacing w:val="-1"/>
        </w:rPr>
        <w:t> </w:t>
      </w:r>
      <w:r>
        <w:rPr/>
        <w:t>safety</w:t>
      </w:r>
      <w:r>
        <w:rPr>
          <w:spacing w:val="-1"/>
        </w:rPr>
        <w:t> </w:t>
      </w:r>
      <w:r>
        <w:rPr/>
        <w:t>legislation.</w:t>
      </w:r>
      <w:r>
        <w:rPr>
          <w:spacing w:val="-2"/>
        </w:rPr>
        <w:t> </w:t>
      </w:r>
      <w:r>
        <w:rPr/>
        <w:t>The</w:t>
      </w:r>
      <w:r>
        <w:rPr>
          <w:spacing w:val="-1"/>
        </w:rPr>
        <w:t> </w:t>
      </w:r>
      <w:r>
        <w:rPr/>
        <w:t>Review</w:t>
      </w:r>
      <w:r>
        <w:rPr>
          <w:spacing w:val="-2"/>
        </w:rPr>
        <w:t> </w:t>
      </w:r>
      <w:r>
        <w:rPr/>
        <w:t>proposes that the </w:t>
      </w:r>
      <w:r>
        <w:rPr>
          <w:i/>
        </w:rPr>
        <w:t>Energy</w:t>
      </w:r>
      <w:r>
        <w:rPr>
          <w:i/>
          <w:spacing w:val="-1"/>
        </w:rPr>
        <w:t> </w:t>
      </w:r>
      <w:r>
        <w:rPr>
          <w:i/>
        </w:rPr>
        <w:t>Safe</w:t>
      </w:r>
      <w:r>
        <w:rPr>
          <w:i/>
          <w:spacing w:val="-1"/>
        </w:rPr>
        <w:t> </w:t>
      </w:r>
      <w:r>
        <w:rPr>
          <w:i/>
        </w:rPr>
        <w:t>Victoria Act 2005</w:t>
      </w:r>
      <w:r>
        <w:rPr/>
        <w:t>,</w:t>
      </w:r>
      <w:r>
        <w:rPr>
          <w:spacing w:val="-2"/>
        </w:rPr>
        <w:t> </w:t>
      </w:r>
      <w:r>
        <w:rPr/>
        <w:t>the</w:t>
      </w:r>
      <w:r>
        <w:rPr>
          <w:spacing w:val="-1"/>
        </w:rPr>
        <w:t> </w:t>
      </w:r>
      <w:r>
        <w:rPr>
          <w:i/>
        </w:rPr>
        <w:t>Electricity</w:t>
      </w:r>
      <w:r>
        <w:rPr>
          <w:i/>
          <w:spacing w:val="-5"/>
        </w:rPr>
        <w:t> </w:t>
      </w:r>
      <w:r>
        <w:rPr>
          <w:i/>
        </w:rPr>
        <w:t>Safety</w:t>
      </w:r>
      <w:r>
        <w:rPr>
          <w:i/>
          <w:spacing w:val="-3"/>
        </w:rPr>
        <w:t> </w:t>
      </w:r>
      <w:r>
        <w:rPr>
          <w:i/>
        </w:rPr>
        <w:t>Act 1998</w:t>
      </w:r>
      <w:r>
        <w:rPr/>
        <w:t>,</w:t>
      </w:r>
      <w:r>
        <w:rPr>
          <w:spacing w:val="-2"/>
        </w:rPr>
        <w:t> </w:t>
      </w:r>
      <w:r>
        <w:rPr/>
        <w:t>the</w:t>
      </w:r>
      <w:r>
        <w:rPr>
          <w:spacing w:val="-6"/>
        </w:rPr>
        <w:t> </w:t>
      </w:r>
      <w:r>
        <w:rPr>
          <w:i/>
        </w:rPr>
        <w:t>Gas</w:t>
      </w:r>
      <w:r>
        <w:rPr>
          <w:i/>
          <w:spacing w:val="-3"/>
        </w:rPr>
        <w:t> </w:t>
      </w:r>
      <w:r>
        <w:rPr>
          <w:i/>
        </w:rPr>
        <w:t>Safety Act 1997</w:t>
      </w:r>
      <w:r>
        <w:rPr>
          <w:i/>
          <w:spacing w:val="-3"/>
        </w:rPr>
        <w:t> </w:t>
      </w:r>
      <w:r>
        <w:rPr/>
        <w:t>and</w:t>
      </w:r>
      <w:r>
        <w:rPr>
          <w:spacing w:val="-3"/>
        </w:rPr>
        <w:t> </w:t>
      </w:r>
      <w:r>
        <w:rPr/>
        <w:t>the</w:t>
      </w:r>
      <w:r>
        <w:rPr>
          <w:spacing w:val="-3"/>
        </w:rPr>
        <w:t> </w:t>
      </w:r>
      <w:r>
        <w:rPr/>
        <w:t>safety</w:t>
      </w:r>
      <w:r>
        <w:rPr>
          <w:spacing w:val="-3"/>
        </w:rPr>
        <w:t> </w:t>
      </w:r>
      <w:r>
        <w:rPr/>
        <w:t>elements</w:t>
      </w:r>
      <w:r>
        <w:rPr>
          <w:spacing w:val="-3"/>
        </w:rPr>
        <w:t> </w:t>
      </w:r>
      <w:r>
        <w:rPr/>
        <w:t>of</w:t>
      </w:r>
      <w:r>
        <w:rPr>
          <w:spacing w:val="-2"/>
        </w:rPr>
        <w:t> </w:t>
      </w:r>
      <w:r>
        <w:rPr/>
        <w:t>the </w:t>
      </w:r>
      <w:r>
        <w:rPr>
          <w:i/>
        </w:rPr>
        <w:t>Pipelines Act 2005 </w:t>
      </w:r>
      <w:r>
        <w:rPr/>
        <w:t>should be consolidated and the provisions applying to the electricity and gas sectors be aligned as far as possible. The consolidated Act should provide the foundations of a strong safety case based approach to network regulation.</w:t>
      </w:r>
    </w:p>
    <w:p>
      <w:pPr>
        <w:pStyle w:val="BodyText"/>
        <w:rPr>
          <w:sz w:val="21"/>
        </w:rPr>
      </w:pPr>
    </w:p>
    <w:p>
      <w:pPr>
        <w:pStyle w:val="BodyText"/>
        <w:spacing w:line="288" w:lineRule="auto" w:before="1"/>
        <w:ind w:left="292" w:right="311"/>
      </w:pPr>
      <w:r>
        <w:rPr/>
        <w:t>The</w:t>
      </w:r>
      <w:r>
        <w:rPr>
          <w:spacing w:val="-4"/>
        </w:rPr>
        <w:t> </w:t>
      </w:r>
      <w:r>
        <w:rPr/>
        <w:t>existing</w:t>
      </w:r>
      <w:r>
        <w:rPr>
          <w:spacing w:val="-1"/>
        </w:rPr>
        <w:t> </w:t>
      </w:r>
      <w:r>
        <w:rPr/>
        <w:t>statutory</w:t>
      </w:r>
      <w:r>
        <w:rPr>
          <w:spacing w:val="-4"/>
        </w:rPr>
        <w:t> </w:t>
      </w:r>
      <w:r>
        <w:rPr/>
        <w:t>prescriptive</w:t>
      </w:r>
      <w:r>
        <w:rPr>
          <w:spacing w:val="-2"/>
        </w:rPr>
        <w:t> </w:t>
      </w:r>
      <w:r>
        <w:rPr/>
        <w:t>requirements</w:t>
      </w:r>
      <w:r>
        <w:rPr>
          <w:spacing w:val="-4"/>
        </w:rPr>
        <w:t> </w:t>
      </w:r>
      <w:r>
        <w:rPr/>
        <w:t>should</w:t>
      </w:r>
      <w:r>
        <w:rPr>
          <w:spacing w:val="-2"/>
        </w:rPr>
        <w:t> </w:t>
      </w:r>
      <w:r>
        <w:rPr/>
        <w:t>be</w:t>
      </w:r>
      <w:r>
        <w:rPr>
          <w:spacing w:val="-2"/>
        </w:rPr>
        <w:t> </w:t>
      </w:r>
      <w:r>
        <w:rPr/>
        <w:t>maintained</w:t>
      </w:r>
      <w:r>
        <w:rPr>
          <w:spacing w:val="-2"/>
        </w:rPr>
        <w:t> </w:t>
      </w:r>
      <w:r>
        <w:rPr/>
        <w:t>under</w:t>
      </w:r>
      <w:r>
        <w:rPr>
          <w:spacing w:val="-3"/>
        </w:rPr>
        <w:t> </w:t>
      </w:r>
      <w:r>
        <w:rPr/>
        <w:t>the</w:t>
      </w:r>
      <w:r>
        <w:rPr>
          <w:spacing w:val="-2"/>
        </w:rPr>
        <w:t> </w:t>
      </w:r>
      <w:r>
        <w:rPr/>
        <w:t>new</w:t>
      </w:r>
      <w:r>
        <w:rPr>
          <w:spacing w:val="-5"/>
        </w:rPr>
        <w:t> </w:t>
      </w:r>
      <w:r>
        <w:rPr/>
        <w:t>consolidated Act. This includes the regulations relating to electric line clearance and bushfire mitigation plans.</w:t>
      </w:r>
    </w:p>
    <w:p>
      <w:pPr>
        <w:pStyle w:val="BodyText"/>
        <w:spacing w:before="9"/>
        <w:rPr>
          <w:sz w:val="20"/>
        </w:rPr>
      </w:pPr>
    </w:p>
    <w:p>
      <w:pPr>
        <w:pStyle w:val="BodyText"/>
        <w:spacing w:line="288" w:lineRule="auto" w:before="1"/>
        <w:ind w:left="292" w:right="358"/>
      </w:pPr>
      <w:r>
        <w:rPr/>
        <w:t>Following the establishment of ESV as a commission, the capacity of the Minister under recently introduced civil penalty provisions to commence proceedings should be removed. The current legislation</w:t>
      </w:r>
      <w:r>
        <w:rPr>
          <w:spacing w:val="-2"/>
        </w:rPr>
        <w:t> </w:t>
      </w:r>
      <w:r>
        <w:rPr/>
        <w:t>allows</w:t>
      </w:r>
      <w:r>
        <w:rPr>
          <w:spacing w:val="-1"/>
        </w:rPr>
        <w:t> </w:t>
      </w:r>
      <w:r>
        <w:rPr/>
        <w:t>civil</w:t>
      </w:r>
      <w:r>
        <w:rPr>
          <w:spacing w:val="-2"/>
        </w:rPr>
        <w:t> </w:t>
      </w:r>
      <w:r>
        <w:rPr/>
        <w:t>penalty</w:t>
      </w:r>
      <w:r>
        <w:rPr>
          <w:spacing w:val="-4"/>
        </w:rPr>
        <w:t> </w:t>
      </w:r>
      <w:r>
        <w:rPr/>
        <w:t>proceedings</w:t>
      </w:r>
      <w:r>
        <w:rPr>
          <w:spacing w:val="-4"/>
        </w:rPr>
        <w:t> </w:t>
      </w:r>
      <w:r>
        <w:rPr/>
        <w:t>to</w:t>
      </w:r>
      <w:r>
        <w:rPr>
          <w:spacing w:val="-2"/>
        </w:rPr>
        <w:t> </w:t>
      </w:r>
      <w:r>
        <w:rPr/>
        <w:t>be</w:t>
      </w:r>
      <w:r>
        <w:rPr>
          <w:spacing w:val="-4"/>
        </w:rPr>
        <w:t> </w:t>
      </w:r>
      <w:r>
        <w:rPr/>
        <w:t>initiated</w:t>
      </w:r>
      <w:r>
        <w:rPr>
          <w:spacing w:val="-2"/>
        </w:rPr>
        <w:t> </w:t>
      </w:r>
      <w:r>
        <w:rPr/>
        <w:t>by</w:t>
      </w:r>
      <w:r>
        <w:rPr>
          <w:spacing w:val="-4"/>
        </w:rPr>
        <w:t> </w:t>
      </w:r>
      <w:r>
        <w:rPr/>
        <w:t>either</w:t>
      </w:r>
      <w:r>
        <w:rPr>
          <w:spacing w:val="-3"/>
        </w:rPr>
        <w:t> </w:t>
      </w:r>
      <w:r>
        <w:rPr/>
        <w:t>ESV</w:t>
      </w:r>
      <w:r>
        <w:rPr>
          <w:spacing w:val="-2"/>
        </w:rPr>
        <w:t> </w:t>
      </w:r>
      <w:r>
        <w:rPr/>
        <w:t>or</w:t>
      </w:r>
      <w:r>
        <w:rPr>
          <w:spacing w:val="-6"/>
        </w:rPr>
        <w:t> </w:t>
      </w:r>
      <w:r>
        <w:rPr/>
        <w:t>the</w:t>
      </w:r>
      <w:r>
        <w:rPr>
          <w:spacing w:val="-2"/>
        </w:rPr>
        <w:t> </w:t>
      </w:r>
      <w:r>
        <w:rPr/>
        <w:t>Minister.</w:t>
      </w:r>
      <w:r>
        <w:rPr>
          <w:spacing w:val="-2"/>
        </w:rPr>
        <w:t> </w:t>
      </w:r>
      <w:r>
        <w:rPr/>
        <w:t>This</w:t>
      </w:r>
      <w:r>
        <w:rPr>
          <w:spacing w:val="-4"/>
        </w:rPr>
        <w:t> </w:t>
      </w:r>
      <w:r>
        <w:rPr/>
        <w:t>means that there are now potentially two regulatory decision makers: ESV itself and the Minister, supported by departmental advice. This arrangement has the potential to blur regulatory accountabilities over time. Establishing ESV as a commission, with the additional more formal regulatory governance that this model entails, should provide the necessary confidence for the enforcement of the civil penalties regime to be</w:t>
      </w:r>
      <w:r>
        <w:rPr>
          <w:spacing w:val="-3"/>
        </w:rPr>
        <w:t> </w:t>
      </w:r>
      <w:r>
        <w:rPr/>
        <w:t>fully assigned to ESV as the independent regulator.</w:t>
      </w:r>
    </w:p>
    <w:p>
      <w:pPr>
        <w:pStyle w:val="BodyText"/>
        <w:spacing w:before="8"/>
        <w:rPr>
          <w:sz w:val="20"/>
        </w:rPr>
      </w:pPr>
    </w:p>
    <w:p>
      <w:pPr>
        <w:pStyle w:val="BodyText"/>
        <w:spacing w:line="288" w:lineRule="auto"/>
        <w:ind w:left="292" w:right="374"/>
      </w:pPr>
      <w:r>
        <w:rPr/>
        <w:t>Looking further ahead, the prescriptive elements established under current regulations administered by ESV should be subject to a future review, with a view to identifying areas where the</w:t>
      </w:r>
      <w:r>
        <w:rPr>
          <w:spacing w:val="-2"/>
        </w:rPr>
        <w:t> </w:t>
      </w:r>
      <w:r>
        <w:rPr/>
        <w:t>current degree</w:t>
      </w:r>
      <w:r>
        <w:rPr>
          <w:spacing w:val="-2"/>
        </w:rPr>
        <w:t> </w:t>
      </w:r>
      <w:r>
        <w:rPr/>
        <w:t>of</w:t>
      </w:r>
      <w:r>
        <w:rPr>
          <w:spacing w:val="-3"/>
        </w:rPr>
        <w:t> </w:t>
      </w:r>
      <w:r>
        <w:rPr/>
        <w:t>statutory</w:t>
      </w:r>
      <w:r>
        <w:rPr>
          <w:spacing w:val="-4"/>
        </w:rPr>
        <w:t> </w:t>
      </w:r>
      <w:r>
        <w:rPr/>
        <w:t>prescription</w:t>
      </w:r>
      <w:r>
        <w:rPr>
          <w:spacing w:val="-2"/>
        </w:rPr>
        <w:t> </w:t>
      </w:r>
      <w:r>
        <w:rPr/>
        <w:t>could</w:t>
      </w:r>
      <w:r>
        <w:rPr>
          <w:spacing w:val="-4"/>
        </w:rPr>
        <w:t> </w:t>
      </w:r>
      <w:r>
        <w:rPr/>
        <w:t>be</w:t>
      </w:r>
      <w:r>
        <w:rPr>
          <w:spacing w:val="-2"/>
        </w:rPr>
        <w:t> </w:t>
      </w:r>
      <w:r>
        <w:rPr/>
        <w:t>reduced.</w:t>
      </w:r>
      <w:r>
        <w:rPr>
          <w:spacing w:val="-3"/>
        </w:rPr>
        <w:t> </w:t>
      </w:r>
      <w:r>
        <w:rPr/>
        <w:t>This</w:t>
      </w:r>
      <w:r>
        <w:rPr>
          <w:spacing w:val="-4"/>
        </w:rPr>
        <w:t> </w:t>
      </w:r>
      <w:r>
        <w:rPr/>
        <w:t>should</w:t>
      </w:r>
      <w:r>
        <w:rPr>
          <w:spacing w:val="-4"/>
        </w:rPr>
        <w:t> </w:t>
      </w:r>
      <w:r>
        <w:rPr/>
        <w:t>occur</w:t>
      </w:r>
      <w:r>
        <w:rPr>
          <w:spacing w:val="-1"/>
        </w:rPr>
        <w:t> </w:t>
      </w:r>
      <w:r>
        <w:rPr/>
        <w:t>only</w:t>
      </w:r>
      <w:r>
        <w:rPr>
          <w:spacing w:val="-4"/>
        </w:rPr>
        <w:t> </w:t>
      </w:r>
      <w:r>
        <w:rPr/>
        <w:t>after</w:t>
      </w:r>
      <w:r>
        <w:rPr>
          <w:spacing w:val="-3"/>
        </w:rPr>
        <w:t> </w:t>
      </w:r>
      <w:r>
        <w:rPr/>
        <w:t>the</w:t>
      </w:r>
      <w:r>
        <w:rPr>
          <w:spacing w:val="-4"/>
        </w:rPr>
        <w:t> </w:t>
      </w:r>
      <w:r>
        <w:rPr/>
        <w:t>new Act has been in operation for some time.</w:t>
      </w:r>
    </w:p>
    <w:p>
      <w:pPr>
        <w:spacing w:after="0" w:line="288" w:lineRule="auto"/>
        <w:sectPr>
          <w:pgSz w:w="11910" w:h="16850"/>
          <w:pgMar w:header="465" w:footer="880" w:top="660" w:bottom="1060" w:left="840" w:right="820"/>
        </w:sectPr>
      </w:pPr>
    </w:p>
    <w:p>
      <w:pPr>
        <w:pStyle w:val="BodyText"/>
        <w:rPr>
          <w:sz w:val="20"/>
        </w:rPr>
      </w:pPr>
    </w:p>
    <w:p>
      <w:pPr>
        <w:pStyle w:val="BodyText"/>
        <w:rPr>
          <w:sz w:val="20"/>
        </w:rPr>
      </w:pPr>
    </w:p>
    <w:p>
      <w:pPr>
        <w:pStyle w:val="BodyText"/>
        <w:spacing w:before="4"/>
      </w:pPr>
    </w:p>
    <w:p>
      <w:pPr>
        <w:pStyle w:val="BodyText"/>
        <w:spacing w:line="288" w:lineRule="auto"/>
        <w:ind w:left="292" w:right="311"/>
      </w:pPr>
      <w:r>
        <w:rPr/>
        <w:t>It is not possible to be definitive on a precise timeframe, but roughly four to five years would seem appropriate. As a basic condition, ESV and the network operators it is regulating would need to demonstrate the strong management of safety risk under an outcomes-based safety case framework. This would allow policy makers to consider any changes to the prescriptive degree of statutory</w:t>
      </w:r>
      <w:r>
        <w:rPr>
          <w:spacing w:val="-3"/>
        </w:rPr>
        <w:t> </w:t>
      </w:r>
      <w:r>
        <w:rPr/>
        <w:t>regulation,</w:t>
      </w:r>
      <w:r>
        <w:rPr>
          <w:spacing w:val="-3"/>
        </w:rPr>
        <w:t> </w:t>
      </w:r>
      <w:r>
        <w:rPr/>
        <w:t>confident</w:t>
      </w:r>
      <w:r>
        <w:rPr>
          <w:spacing w:val="-1"/>
        </w:rPr>
        <w:t> </w:t>
      </w:r>
      <w:r>
        <w:rPr/>
        <w:t>in</w:t>
      </w:r>
      <w:r>
        <w:rPr>
          <w:spacing w:val="-2"/>
        </w:rPr>
        <w:t> </w:t>
      </w:r>
      <w:r>
        <w:rPr/>
        <w:t>the</w:t>
      </w:r>
      <w:r>
        <w:rPr>
          <w:spacing w:val="-7"/>
        </w:rPr>
        <w:t> </w:t>
      </w:r>
      <w:r>
        <w:rPr/>
        <w:t>knowledge</w:t>
      </w:r>
      <w:r>
        <w:rPr>
          <w:spacing w:val="-4"/>
        </w:rPr>
        <w:t> </w:t>
      </w:r>
      <w:r>
        <w:rPr/>
        <w:t>that</w:t>
      </w:r>
      <w:r>
        <w:rPr>
          <w:spacing w:val="-1"/>
        </w:rPr>
        <w:t> </w:t>
      </w:r>
      <w:r>
        <w:rPr/>
        <w:t>safety</w:t>
      </w:r>
      <w:r>
        <w:rPr>
          <w:spacing w:val="-3"/>
        </w:rPr>
        <w:t> </w:t>
      </w:r>
      <w:r>
        <w:rPr/>
        <w:t>of</w:t>
      </w:r>
      <w:r>
        <w:rPr>
          <w:spacing w:val="-3"/>
        </w:rPr>
        <w:t> </w:t>
      </w:r>
      <w:r>
        <w:rPr/>
        <w:t>the</w:t>
      </w:r>
      <w:r>
        <w:rPr>
          <w:spacing w:val="-2"/>
        </w:rPr>
        <w:t> </w:t>
      </w:r>
      <w:r>
        <w:rPr/>
        <w:t>Victorian</w:t>
      </w:r>
      <w:r>
        <w:rPr>
          <w:spacing w:val="-4"/>
        </w:rPr>
        <w:t> </w:t>
      </w:r>
      <w:r>
        <w:rPr/>
        <w:t>community</w:t>
      </w:r>
      <w:r>
        <w:rPr>
          <w:spacing w:val="-4"/>
        </w:rPr>
        <w:t> </w:t>
      </w:r>
      <w:r>
        <w:rPr/>
        <w:t>was</w:t>
      </w:r>
      <w:r>
        <w:rPr>
          <w:spacing w:val="-2"/>
        </w:rPr>
        <w:t> </w:t>
      </w:r>
      <w:r>
        <w:rPr/>
        <w:t>properly </w:t>
      </w:r>
      <w:r>
        <w:rPr>
          <w:spacing w:val="-2"/>
        </w:rPr>
        <w:t>assured.</w:t>
      </w:r>
    </w:p>
    <w:p>
      <w:pPr>
        <w:pStyle w:val="BodyText"/>
        <w:spacing w:before="11"/>
        <w:rPr>
          <w:sz w:val="20"/>
        </w:rPr>
      </w:pPr>
    </w:p>
    <w:p>
      <w:pPr>
        <w:pStyle w:val="BodyText"/>
        <w:spacing w:line="288" w:lineRule="auto"/>
        <w:ind w:left="292" w:right="374"/>
      </w:pPr>
      <w:r>
        <w:rPr/>
        <w:t>As an immediate priority, ESV should develop and implement a far more active audit and inspections</w:t>
      </w:r>
      <w:r>
        <w:rPr>
          <w:spacing w:val="-2"/>
        </w:rPr>
        <w:t> </w:t>
      </w:r>
      <w:r>
        <w:rPr/>
        <w:t>program</w:t>
      </w:r>
      <w:r>
        <w:rPr>
          <w:spacing w:val="-1"/>
        </w:rPr>
        <w:t> </w:t>
      </w:r>
      <w:r>
        <w:rPr/>
        <w:t>as</w:t>
      </w:r>
      <w:r>
        <w:rPr>
          <w:spacing w:val="-6"/>
        </w:rPr>
        <w:t> </w:t>
      </w:r>
      <w:r>
        <w:rPr/>
        <w:t>outlined</w:t>
      </w:r>
      <w:r>
        <w:rPr>
          <w:spacing w:val="-2"/>
        </w:rPr>
        <w:t> </w:t>
      </w:r>
      <w:r>
        <w:rPr/>
        <w:t>in</w:t>
      </w:r>
      <w:r>
        <w:rPr>
          <w:spacing w:val="-2"/>
        </w:rPr>
        <w:t> </w:t>
      </w:r>
      <w:r>
        <w:rPr/>
        <w:t>its </w:t>
      </w:r>
      <w:r>
        <w:rPr>
          <w:i/>
        </w:rPr>
        <w:t>Corporate</w:t>
      </w:r>
      <w:r>
        <w:rPr>
          <w:i/>
          <w:spacing w:val="-4"/>
        </w:rPr>
        <w:t> </w:t>
      </w:r>
      <w:r>
        <w:rPr>
          <w:i/>
        </w:rPr>
        <w:t>Plan</w:t>
      </w:r>
      <w:r>
        <w:rPr>
          <w:i/>
          <w:spacing w:val="-2"/>
        </w:rPr>
        <w:t> </w:t>
      </w:r>
      <w:r>
        <w:rPr>
          <w:i/>
        </w:rPr>
        <w:t>2017–2020</w:t>
      </w:r>
      <w:r>
        <w:rPr/>
        <w:t>. A</w:t>
      </w:r>
      <w:r>
        <w:rPr>
          <w:spacing w:val="-5"/>
        </w:rPr>
        <w:t> </w:t>
      </w:r>
      <w:r>
        <w:rPr/>
        <w:t>rigorous</w:t>
      </w:r>
      <w:r>
        <w:rPr>
          <w:spacing w:val="-1"/>
        </w:rPr>
        <w:t> </w:t>
      </w:r>
      <w:r>
        <w:rPr/>
        <w:t>program</w:t>
      </w:r>
      <w:r>
        <w:rPr>
          <w:spacing w:val="-3"/>
        </w:rPr>
        <w:t> </w:t>
      </w:r>
      <w:r>
        <w:rPr/>
        <w:t>of audit</w:t>
      </w:r>
      <w:r>
        <w:rPr>
          <w:spacing w:val="-3"/>
        </w:rPr>
        <w:t> </w:t>
      </w:r>
      <w:r>
        <w:rPr/>
        <w:t>and inspections should be supported by substantially strengthened analytical and integrated intelligence</w:t>
      </w:r>
      <w:r>
        <w:rPr>
          <w:spacing w:val="-1"/>
        </w:rPr>
        <w:t> </w:t>
      </w:r>
      <w:r>
        <w:rPr/>
        <w:t>capabilities.</w:t>
      </w:r>
      <w:r>
        <w:rPr>
          <w:spacing w:val="-2"/>
        </w:rPr>
        <w:t> </w:t>
      </w:r>
      <w:r>
        <w:rPr/>
        <w:t>ESV</w:t>
      </w:r>
      <w:r>
        <w:rPr>
          <w:spacing w:val="-1"/>
        </w:rPr>
        <w:t> </w:t>
      </w:r>
      <w:r>
        <w:rPr/>
        <w:t>should</w:t>
      </w:r>
      <w:r>
        <w:rPr>
          <w:spacing w:val="-1"/>
        </w:rPr>
        <w:t> </w:t>
      </w:r>
      <w:r>
        <w:rPr/>
        <w:t>ensure</w:t>
      </w:r>
      <w:r>
        <w:rPr>
          <w:spacing w:val="-3"/>
        </w:rPr>
        <w:t> </w:t>
      </w:r>
      <w:r>
        <w:rPr/>
        <w:t>that it has</w:t>
      </w:r>
      <w:r>
        <w:rPr>
          <w:spacing w:val="-3"/>
        </w:rPr>
        <w:t> </w:t>
      </w:r>
      <w:r>
        <w:rPr/>
        <w:t>the</w:t>
      </w:r>
      <w:r>
        <w:rPr>
          <w:spacing w:val="-3"/>
        </w:rPr>
        <w:t> </w:t>
      </w:r>
      <w:r>
        <w:rPr/>
        <w:t>capabilities</w:t>
      </w:r>
      <w:r>
        <w:rPr>
          <w:spacing w:val="-1"/>
        </w:rPr>
        <w:t> </w:t>
      </w:r>
      <w:r>
        <w:rPr/>
        <w:t>to</w:t>
      </w:r>
      <w:r>
        <w:rPr>
          <w:spacing w:val="-3"/>
        </w:rPr>
        <w:t> </w:t>
      </w:r>
      <w:r>
        <w:rPr/>
        <w:t>effectively implement</w:t>
      </w:r>
      <w:r>
        <w:rPr>
          <w:spacing w:val="-2"/>
        </w:rPr>
        <w:t> </w:t>
      </w:r>
      <w:r>
        <w:rPr/>
        <w:t>the more robust approach addressing serious non-compliance foreshadowed in its </w:t>
      </w:r>
      <w:r>
        <w:rPr>
          <w:i/>
        </w:rPr>
        <w:t>Corporate Plan </w:t>
      </w:r>
      <w:r>
        <w:rPr>
          <w:i/>
          <w:spacing w:val="-2"/>
        </w:rPr>
        <w:t>2017–2020</w:t>
      </w:r>
      <w:r>
        <w:rPr>
          <w:spacing w:val="-2"/>
        </w:rPr>
        <w:t>.</w:t>
      </w:r>
    </w:p>
    <w:p>
      <w:pPr>
        <w:pStyle w:val="BodyText"/>
        <w:spacing w:before="11"/>
        <w:rPr>
          <w:sz w:val="20"/>
        </w:rPr>
      </w:pPr>
    </w:p>
    <w:p>
      <w:pPr>
        <w:pStyle w:val="BodyText"/>
        <w:spacing w:line="288" w:lineRule="auto"/>
        <w:ind w:left="292" w:right="311"/>
      </w:pPr>
      <w:r>
        <w:rPr/>
        <w:t>Finally, the Review proposes that the new consolidated safety Act should include a provision for ESV</w:t>
      </w:r>
      <w:r>
        <w:rPr>
          <w:spacing w:val="-2"/>
        </w:rPr>
        <w:t> </w:t>
      </w:r>
      <w:r>
        <w:rPr/>
        <w:t>to</w:t>
      </w:r>
      <w:r>
        <w:rPr>
          <w:spacing w:val="-2"/>
        </w:rPr>
        <w:t> </w:t>
      </w:r>
      <w:r>
        <w:rPr/>
        <w:t>be</w:t>
      </w:r>
      <w:r>
        <w:rPr>
          <w:spacing w:val="-4"/>
        </w:rPr>
        <w:t> </w:t>
      </w:r>
      <w:r>
        <w:rPr/>
        <w:t>reviewed</w:t>
      </w:r>
      <w:r>
        <w:rPr>
          <w:spacing w:val="-2"/>
        </w:rPr>
        <w:t> </w:t>
      </w:r>
      <w:r>
        <w:rPr/>
        <w:t>by</w:t>
      </w:r>
      <w:r>
        <w:rPr>
          <w:spacing w:val="-4"/>
        </w:rPr>
        <w:t> </w:t>
      </w:r>
      <w:r>
        <w:rPr/>
        <w:t>an</w:t>
      </w:r>
      <w:r>
        <w:rPr>
          <w:spacing w:val="-2"/>
        </w:rPr>
        <w:t> </w:t>
      </w:r>
      <w:r>
        <w:rPr/>
        <w:t>independent expert panel</w:t>
      </w:r>
      <w:r>
        <w:rPr>
          <w:spacing w:val="-2"/>
        </w:rPr>
        <w:t> </w:t>
      </w:r>
      <w:r>
        <w:rPr/>
        <w:t>every</w:t>
      </w:r>
      <w:r>
        <w:rPr>
          <w:spacing w:val="-3"/>
        </w:rPr>
        <w:t> </w:t>
      </w:r>
      <w:r>
        <w:rPr/>
        <w:t>five</w:t>
      </w:r>
      <w:r>
        <w:rPr>
          <w:spacing w:val="-2"/>
        </w:rPr>
        <w:t> </w:t>
      </w:r>
      <w:r>
        <w:rPr/>
        <w:t>years. A</w:t>
      </w:r>
      <w:r>
        <w:rPr>
          <w:spacing w:val="-5"/>
        </w:rPr>
        <w:t> </w:t>
      </w:r>
      <w:r>
        <w:rPr/>
        <w:t>similar</w:t>
      </w:r>
      <w:r>
        <w:rPr>
          <w:spacing w:val="-1"/>
        </w:rPr>
        <w:t> </w:t>
      </w:r>
      <w:r>
        <w:rPr/>
        <w:t>provision</w:t>
      </w:r>
      <w:r>
        <w:rPr>
          <w:spacing w:val="-2"/>
        </w:rPr>
        <w:t> </w:t>
      </w:r>
      <w:r>
        <w:rPr/>
        <w:t>applies</w:t>
      </w:r>
      <w:r>
        <w:rPr>
          <w:spacing w:val="-2"/>
        </w:rPr>
        <w:t> </w:t>
      </w:r>
      <w:r>
        <w:rPr/>
        <w:t>to the national offshore safety regulator, NOPSEMA. The safety of Victorians depends on the quality of the network safety framework, and periodic reviews would help ensure that Victoria is at the forefront of effective regulation.</w:t>
      </w:r>
    </w:p>
    <w:p>
      <w:pPr>
        <w:pStyle w:val="BodyText"/>
        <w:rPr>
          <w:sz w:val="20"/>
        </w:rPr>
      </w:pPr>
    </w:p>
    <w:p>
      <w:pPr>
        <w:pStyle w:val="BodyText"/>
        <w:rPr>
          <w:sz w:val="20"/>
        </w:rPr>
      </w:pPr>
    </w:p>
    <w:p>
      <w:pPr>
        <w:pStyle w:val="BodyText"/>
        <w:rPr>
          <w:sz w:val="20"/>
        </w:rPr>
      </w:pPr>
    </w:p>
    <w:p>
      <w:pPr>
        <w:pStyle w:val="Heading7"/>
        <w:spacing w:line="288" w:lineRule="auto" w:before="94"/>
        <w:ind w:left="405" w:right="910"/>
      </w:pPr>
      <w:r>
        <w:rPr/>
        <mc:AlternateContent>
          <mc:Choice Requires="wps">
            <w:drawing>
              <wp:anchor distT="0" distB="0" distL="0" distR="0" allowOverlap="1" layoutInCell="1" locked="0" behindDoc="1" simplePos="0" relativeHeight="482685440">
                <wp:simplePos x="0" y="0"/>
                <wp:positionH relativeFrom="page">
                  <wp:posOffset>719327</wp:posOffset>
                </wp:positionH>
                <wp:positionV relativeFrom="paragraph">
                  <wp:posOffset>-92787</wp:posOffset>
                </wp:positionV>
                <wp:extent cx="5753100" cy="4664075"/>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5753100" cy="4664075"/>
                        </a:xfrm>
                        <a:custGeom>
                          <a:avLst/>
                          <a:gdLst/>
                          <a:ahLst/>
                          <a:cxnLst/>
                          <a:rect l="l" t="t" r="r" b="b"/>
                          <a:pathLst>
                            <a:path w="5753100" h="4664075">
                              <a:moveTo>
                                <a:pt x="5752846" y="0"/>
                              </a:moveTo>
                              <a:lnTo>
                                <a:pt x="0" y="0"/>
                              </a:lnTo>
                              <a:lnTo>
                                <a:pt x="0" y="4664075"/>
                              </a:lnTo>
                              <a:lnTo>
                                <a:pt x="5752846" y="4664075"/>
                              </a:lnTo>
                              <a:lnTo>
                                <a:pt x="575284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56.639999pt;margin-top:-7.306131pt;width:452.98pt;height:367.25pt;mso-position-horizontal-relative:page;mso-position-vertical-relative:paragraph;z-index:-20631040" id="docshape16" filled="true" fillcolor="#d9d9d9" stroked="false">
                <v:fill type="solid"/>
                <w10:wrap type="none"/>
              </v:rect>
            </w:pict>
          </mc:Fallback>
        </mc:AlternateContent>
      </w:r>
      <w:r>
        <w:rPr/>
        <w:t>Summary</w:t>
      </w:r>
      <w:r>
        <w:rPr>
          <w:spacing w:val="-7"/>
        </w:rPr>
        <w:t> </w:t>
      </w:r>
      <w:r>
        <w:rPr/>
        <w:t>of</w:t>
      </w:r>
      <w:r>
        <w:rPr>
          <w:spacing w:val="-3"/>
        </w:rPr>
        <w:t> </w:t>
      </w:r>
      <w:r>
        <w:rPr/>
        <w:t>recommendations:</w:t>
      </w:r>
      <w:r>
        <w:rPr>
          <w:spacing w:val="-3"/>
        </w:rPr>
        <w:t> </w:t>
      </w:r>
      <w:r>
        <w:rPr/>
        <w:t>Establishing</w:t>
      </w:r>
      <w:r>
        <w:rPr>
          <w:spacing w:val="-6"/>
        </w:rPr>
        <w:t> </w:t>
      </w:r>
      <w:r>
        <w:rPr/>
        <w:t>strong</w:t>
      </w:r>
      <w:r>
        <w:rPr>
          <w:spacing w:val="-6"/>
        </w:rPr>
        <w:t> </w:t>
      </w:r>
      <w:r>
        <w:rPr/>
        <w:t>foundations</w:t>
      </w:r>
      <w:r>
        <w:rPr>
          <w:spacing w:val="-5"/>
        </w:rPr>
        <w:t> </w:t>
      </w:r>
      <w:r>
        <w:rPr/>
        <w:t>for</w:t>
      </w:r>
      <w:r>
        <w:rPr>
          <w:spacing w:val="-5"/>
        </w:rPr>
        <w:t> </w:t>
      </w:r>
      <w:r>
        <w:rPr/>
        <w:t>future</w:t>
      </w:r>
      <w:r>
        <w:rPr>
          <w:spacing w:val="-3"/>
        </w:rPr>
        <w:t> </w:t>
      </w:r>
      <w:r>
        <w:rPr/>
        <w:t>network safety regulation</w:t>
      </w:r>
    </w:p>
    <w:p>
      <w:pPr>
        <w:pStyle w:val="BodyText"/>
        <w:spacing w:before="10"/>
        <w:rPr>
          <w:b/>
          <w:sz w:val="21"/>
        </w:rPr>
      </w:pPr>
    </w:p>
    <w:p>
      <w:pPr>
        <w:pStyle w:val="BodyText"/>
        <w:ind w:left="405"/>
      </w:pPr>
      <w:r>
        <w:rPr/>
        <w:t>Recommendations</w:t>
      </w:r>
      <w:r>
        <w:rPr>
          <w:spacing w:val="-6"/>
        </w:rPr>
        <w:t> </w:t>
      </w:r>
      <w:r>
        <w:rPr/>
        <w:t>presented</w:t>
      </w:r>
      <w:r>
        <w:rPr>
          <w:spacing w:val="-6"/>
        </w:rPr>
        <w:t> </w:t>
      </w:r>
      <w:r>
        <w:rPr/>
        <w:t>by</w:t>
      </w:r>
      <w:r>
        <w:rPr>
          <w:spacing w:val="-9"/>
        </w:rPr>
        <w:t> </w:t>
      </w:r>
      <w:r>
        <w:rPr/>
        <w:t>the</w:t>
      </w:r>
      <w:r>
        <w:rPr>
          <w:spacing w:val="-8"/>
        </w:rPr>
        <w:t> </w:t>
      </w:r>
      <w:r>
        <w:rPr/>
        <w:t>Review</w:t>
      </w:r>
      <w:r>
        <w:rPr>
          <w:spacing w:val="-9"/>
        </w:rPr>
        <w:t> </w:t>
      </w:r>
      <w:r>
        <w:rPr>
          <w:spacing w:val="-2"/>
        </w:rPr>
        <w:t>include:</w:t>
      </w:r>
    </w:p>
    <w:p>
      <w:pPr>
        <w:pStyle w:val="BodyText"/>
        <w:spacing w:before="9"/>
        <w:rPr>
          <w:sz w:val="20"/>
        </w:rPr>
      </w:pPr>
    </w:p>
    <w:p>
      <w:pPr>
        <w:pStyle w:val="ListParagraph"/>
        <w:numPr>
          <w:ilvl w:val="1"/>
          <w:numId w:val="9"/>
        </w:numPr>
        <w:tabs>
          <w:tab w:pos="634" w:val="left" w:leader="none"/>
        </w:tabs>
        <w:spacing w:line="288" w:lineRule="auto" w:before="1" w:after="0"/>
        <w:ind w:left="634" w:right="1375" w:hanging="200"/>
        <w:jc w:val="left"/>
        <w:rPr>
          <w:sz w:val="22"/>
        </w:rPr>
      </w:pPr>
      <w:r>
        <w:rPr>
          <w:sz w:val="22"/>
        </w:rPr>
        <w:t>all</w:t>
      </w:r>
      <w:r>
        <w:rPr>
          <w:spacing w:val="-2"/>
          <w:sz w:val="22"/>
        </w:rPr>
        <w:t> </w:t>
      </w:r>
      <w:r>
        <w:rPr>
          <w:sz w:val="22"/>
        </w:rPr>
        <w:t>energy</w:t>
      </w:r>
      <w:r>
        <w:rPr>
          <w:spacing w:val="-4"/>
          <w:sz w:val="22"/>
        </w:rPr>
        <w:t> </w:t>
      </w:r>
      <w:r>
        <w:rPr>
          <w:sz w:val="22"/>
        </w:rPr>
        <w:t>safety</w:t>
      </w:r>
      <w:r>
        <w:rPr>
          <w:spacing w:val="-3"/>
          <w:sz w:val="22"/>
        </w:rPr>
        <w:t> </w:t>
      </w:r>
      <w:r>
        <w:rPr>
          <w:sz w:val="22"/>
        </w:rPr>
        <w:t>legislation</w:t>
      </w:r>
      <w:r>
        <w:rPr>
          <w:spacing w:val="-2"/>
          <w:sz w:val="22"/>
        </w:rPr>
        <w:t> </w:t>
      </w:r>
      <w:r>
        <w:rPr>
          <w:sz w:val="22"/>
        </w:rPr>
        <w:t>should</w:t>
      </w:r>
      <w:r>
        <w:rPr>
          <w:spacing w:val="-2"/>
          <w:sz w:val="22"/>
        </w:rPr>
        <w:t> </w:t>
      </w:r>
      <w:r>
        <w:rPr>
          <w:sz w:val="22"/>
        </w:rPr>
        <w:t>be</w:t>
      </w:r>
      <w:r>
        <w:rPr>
          <w:spacing w:val="-4"/>
          <w:sz w:val="22"/>
        </w:rPr>
        <w:t> </w:t>
      </w:r>
      <w:r>
        <w:rPr>
          <w:sz w:val="22"/>
        </w:rPr>
        <w:t>consolidated</w:t>
      </w:r>
      <w:r>
        <w:rPr>
          <w:spacing w:val="-2"/>
          <w:sz w:val="22"/>
        </w:rPr>
        <w:t> </w:t>
      </w:r>
      <w:r>
        <w:rPr>
          <w:sz w:val="22"/>
        </w:rPr>
        <w:t>in</w:t>
      </w:r>
      <w:r>
        <w:rPr>
          <w:spacing w:val="-2"/>
          <w:sz w:val="22"/>
        </w:rPr>
        <w:t> </w:t>
      </w:r>
      <w:r>
        <w:rPr>
          <w:sz w:val="22"/>
        </w:rPr>
        <w:t>a</w:t>
      </w:r>
      <w:r>
        <w:rPr>
          <w:spacing w:val="-2"/>
          <w:sz w:val="22"/>
        </w:rPr>
        <w:t> </w:t>
      </w:r>
      <w:r>
        <w:rPr>
          <w:sz w:val="22"/>
        </w:rPr>
        <w:t>single</w:t>
      </w:r>
      <w:r>
        <w:rPr>
          <w:spacing w:val="-2"/>
          <w:sz w:val="22"/>
        </w:rPr>
        <w:t> </w:t>
      </w:r>
      <w:r>
        <w:rPr>
          <w:sz w:val="22"/>
        </w:rPr>
        <w:t>new</w:t>
      </w:r>
      <w:r>
        <w:rPr>
          <w:spacing w:val="-5"/>
          <w:sz w:val="22"/>
        </w:rPr>
        <w:t> </w:t>
      </w:r>
      <w:r>
        <w:rPr>
          <w:sz w:val="22"/>
        </w:rPr>
        <w:t>energy</w:t>
      </w:r>
      <w:r>
        <w:rPr>
          <w:spacing w:val="-6"/>
          <w:sz w:val="22"/>
        </w:rPr>
        <w:t> </w:t>
      </w:r>
      <w:r>
        <w:rPr>
          <w:sz w:val="22"/>
        </w:rPr>
        <w:t>safety Act (Recommendation 34);</w:t>
      </w:r>
    </w:p>
    <w:p>
      <w:pPr>
        <w:pStyle w:val="BodyText"/>
        <w:spacing w:before="9"/>
        <w:rPr>
          <w:sz w:val="20"/>
        </w:rPr>
      </w:pPr>
    </w:p>
    <w:p>
      <w:pPr>
        <w:pStyle w:val="ListParagraph"/>
        <w:numPr>
          <w:ilvl w:val="1"/>
          <w:numId w:val="9"/>
        </w:numPr>
        <w:tabs>
          <w:tab w:pos="634" w:val="left" w:leader="none"/>
        </w:tabs>
        <w:spacing w:line="288" w:lineRule="auto" w:before="1" w:after="0"/>
        <w:ind w:left="634" w:right="1057" w:hanging="200"/>
        <w:jc w:val="left"/>
        <w:rPr>
          <w:sz w:val="22"/>
        </w:rPr>
      </w:pPr>
      <w:r>
        <w:rPr>
          <w:sz w:val="22"/>
        </w:rPr>
        <w:t>general safety duties within the new consolidated energy safety legislation should be based around a consistent application of the principle that risks should be reduced so</w:t>
      </w:r>
      <w:r>
        <w:rPr>
          <w:sz w:val="22"/>
        </w:rPr>
        <w:t> far</w:t>
      </w:r>
      <w:r>
        <w:rPr>
          <w:spacing w:val="-4"/>
          <w:sz w:val="22"/>
        </w:rPr>
        <w:t> </w:t>
      </w:r>
      <w:r>
        <w:rPr>
          <w:sz w:val="22"/>
        </w:rPr>
        <w:t>as</w:t>
      </w:r>
      <w:r>
        <w:rPr>
          <w:spacing w:val="-3"/>
          <w:sz w:val="22"/>
        </w:rPr>
        <w:t> </w:t>
      </w:r>
      <w:r>
        <w:rPr>
          <w:sz w:val="22"/>
        </w:rPr>
        <w:t>is</w:t>
      </w:r>
      <w:r>
        <w:rPr>
          <w:spacing w:val="-4"/>
          <w:sz w:val="22"/>
        </w:rPr>
        <w:t> </w:t>
      </w:r>
      <w:r>
        <w:rPr>
          <w:sz w:val="22"/>
        </w:rPr>
        <w:t>“reasonably</w:t>
      </w:r>
      <w:r>
        <w:rPr>
          <w:spacing w:val="-5"/>
          <w:sz w:val="22"/>
        </w:rPr>
        <w:t> </w:t>
      </w:r>
      <w:r>
        <w:rPr>
          <w:sz w:val="22"/>
        </w:rPr>
        <w:t>practicable”</w:t>
      </w:r>
      <w:r>
        <w:rPr>
          <w:spacing w:val="-2"/>
          <w:sz w:val="22"/>
        </w:rPr>
        <w:t> </w:t>
      </w:r>
      <w:r>
        <w:rPr>
          <w:sz w:val="22"/>
        </w:rPr>
        <w:t>aligning</w:t>
      </w:r>
      <w:r>
        <w:rPr>
          <w:spacing w:val="-3"/>
          <w:sz w:val="22"/>
        </w:rPr>
        <w:t> </w:t>
      </w:r>
      <w:r>
        <w:rPr>
          <w:sz w:val="22"/>
        </w:rPr>
        <w:t>with</w:t>
      </w:r>
      <w:r>
        <w:rPr>
          <w:spacing w:val="-3"/>
          <w:sz w:val="22"/>
        </w:rPr>
        <w:t> </w:t>
      </w:r>
      <w:r>
        <w:rPr>
          <w:sz w:val="22"/>
        </w:rPr>
        <w:t>the</w:t>
      </w:r>
      <w:r>
        <w:rPr>
          <w:spacing w:val="-3"/>
          <w:sz w:val="22"/>
        </w:rPr>
        <w:t> </w:t>
      </w:r>
      <w:r>
        <w:rPr>
          <w:sz w:val="22"/>
        </w:rPr>
        <w:t>precaution-based</w:t>
      </w:r>
      <w:r>
        <w:rPr>
          <w:spacing w:val="-4"/>
          <w:sz w:val="22"/>
        </w:rPr>
        <w:t> </w:t>
      </w:r>
      <w:r>
        <w:rPr>
          <w:sz w:val="22"/>
        </w:rPr>
        <w:t>approach</w:t>
      </w:r>
      <w:r>
        <w:rPr>
          <w:spacing w:val="-3"/>
          <w:sz w:val="22"/>
        </w:rPr>
        <w:t> </w:t>
      </w:r>
      <w:r>
        <w:rPr>
          <w:sz w:val="22"/>
        </w:rPr>
        <w:t>under</w:t>
      </w:r>
      <w:r>
        <w:rPr>
          <w:spacing w:val="-4"/>
          <w:sz w:val="22"/>
        </w:rPr>
        <w:t> </w:t>
      </w:r>
      <w:r>
        <w:rPr>
          <w:sz w:val="22"/>
        </w:rPr>
        <w:t>the </w:t>
      </w:r>
      <w:r>
        <w:rPr>
          <w:i/>
          <w:sz w:val="22"/>
        </w:rPr>
        <w:t>Occupational Health and Safety Act 2004 </w:t>
      </w:r>
      <w:r>
        <w:rPr>
          <w:sz w:val="22"/>
        </w:rPr>
        <w:t>(Recommendation 35);</w:t>
      </w:r>
    </w:p>
    <w:p>
      <w:pPr>
        <w:pStyle w:val="BodyText"/>
        <w:spacing w:before="10"/>
        <w:rPr>
          <w:sz w:val="20"/>
        </w:rPr>
      </w:pPr>
    </w:p>
    <w:p>
      <w:pPr>
        <w:pStyle w:val="ListParagraph"/>
        <w:numPr>
          <w:ilvl w:val="1"/>
          <w:numId w:val="9"/>
        </w:numPr>
        <w:tabs>
          <w:tab w:pos="634" w:val="left" w:leader="none"/>
        </w:tabs>
        <w:spacing w:line="288" w:lineRule="auto" w:before="0" w:after="0"/>
        <w:ind w:left="634" w:right="1120" w:hanging="200"/>
        <w:jc w:val="left"/>
        <w:rPr>
          <w:sz w:val="22"/>
        </w:rPr>
      </w:pPr>
      <w:r>
        <w:rPr>
          <w:sz w:val="22"/>
        </w:rPr>
        <w:t>the full responsibility for administering the civil penalty provisions applying to electricity network</w:t>
      </w:r>
      <w:r>
        <w:rPr>
          <w:spacing w:val="-2"/>
          <w:sz w:val="22"/>
        </w:rPr>
        <w:t> </w:t>
      </w:r>
      <w:r>
        <w:rPr>
          <w:sz w:val="22"/>
        </w:rPr>
        <w:t>businesses</w:t>
      </w:r>
      <w:r>
        <w:rPr>
          <w:spacing w:val="-4"/>
          <w:sz w:val="22"/>
        </w:rPr>
        <w:t> </w:t>
      </w:r>
      <w:r>
        <w:rPr>
          <w:sz w:val="22"/>
        </w:rPr>
        <w:t>should</w:t>
      </w:r>
      <w:r>
        <w:rPr>
          <w:spacing w:val="-2"/>
          <w:sz w:val="22"/>
        </w:rPr>
        <w:t> </w:t>
      </w:r>
      <w:r>
        <w:rPr>
          <w:sz w:val="22"/>
        </w:rPr>
        <w:t>be</w:t>
      </w:r>
      <w:r>
        <w:rPr>
          <w:spacing w:val="-3"/>
          <w:sz w:val="22"/>
        </w:rPr>
        <w:t> </w:t>
      </w:r>
      <w:r>
        <w:rPr>
          <w:sz w:val="22"/>
        </w:rPr>
        <w:t>assigned</w:t>
      </w:r>
      <w:r>
        <w:rPr>
          <w:spacing w:val="-4"/>
          <w:sz w:val="22"/>
        </w:rPr>
        <w:t> </w:t>
      </w:r>
      <w:r>
        <w:rPr>
          <w:sz w:val="22"/>
        </w:rPr>
        <w:t>to</w:t>
      </w:r>
      <w:r>
        <w:rPr>
          <w:spacing w:val="-2"/>
          <w:sz w:val="22"/>
        </w:rPr>
        <w:t> </w:t>
      </w:r>
      <w:r>
        <w:rPr>
          <w:sz w:val="22"/>
        </w:rPr>
        <w:t>ESV</w:t>
      </w:r>
      <w:r>
        <w:rPr>
          <w:spacing w:val="-4"/>
          <w:sz w:val="22"/>
        </w:rPr>
        <w:t> </w:t>
      </w:r>
      <w:r>
        <w:rPr>
          <w:sz w:val="22"/>
        </w:rPr>
        <w:t>when</w:t>
      </w:r>
      <w:r>
        <w:rPr>
          <w:spacing w:val="-2"/>
          <w:sz w:val="22"/>
        </w:rPr>
        <w:t> </w:t>
      </w:r>
      <w:r>
        <w:rPr>
          <w:sz w:val="22"/>
        </w:rPr>
        <w:t>it</w:t>
      </w:r>
      <w:r>
        <w:rPr>
          <w:spacing w:val="-2"/>
          <w:sz w:val="22"/>
        </w:rPr>
        <w:t> </w:t>
      </w:r>
      <w:r>
        <w:rPr>
          <w:sz w:val="22"/>
        </w:rPr>
        <w:t>is</w:t>
      </w:r>
      <w:r>
        <w:rPr>
          <w:spacing w:val="-2"/>
          <w:sz w:val="22"/>
        </w:rPr>
        <w:t> </w:t>
      </w:r>
      <w:r>
        <w:rPr>
          <w:sz w:val="22"/>
        </w:rPr>
        <w:t>established</w:t>
      </w:r>
      <w:r>
        <w:rPr>
          <w:spacing w:val="-1"/>
          <w:sz w:val="22"/>
        </w:rPr>
        <w:t> </w:t>
      </w:r>
      <w:r>
        <w:rPr>
          <w:sz w:val="22"/>
        </w:rPr>
        <w:t>as</w:t>
      </w:r>
      <w:r>
        <w:rPr>
          <w:spacing w:val="-6"/>
          <w:sz w:val="22"/>
        </w:rPr>
        <w:t> </w:t>
      </w:r>
      <w:r>
        <w:rPr>
          <w:sz w:val="22"/>
        </w:rPr>
        <w:t>a</w:t>
      </w:r>
      <w:r>
        <w:rPr>
          <w:spacing w:val="-2"/>
          <w:sz w:val="22"/>
        </w:rPr>
        <w:t> </w:t>
      </w:r>
      <w:r>
        <w:rPr>
          <w:sz w:val="22"/>
        </w:rPr>
        <w:t>commission under the new consolidated safety legislation (Recommendation 39);</w:t>
      </w:r>
    </w:p>
    <w:p>
      <w:pPr>
        <w:pStyle w:val="BodyText"/>
        <w:spacing w:before="9"/>
        <w:rPr>
          <w:sz w:val="20"/>
        </w:rPr>
      </w:pPr>
    </w:p>
    <w:p>
      <w:pPr>
        <w:pStyle w:val="ListParagraph"/>
        <w:numPr>
          <w:ilvl w:val="1"/>
          <w:numId w:val="9"/>
        </w:numPr>
        <w:tabs>
          <w:tab w:pos="634" w:val="left" w:leader="none"/>
        </w:tabs>
        <w:spacing w:line="288" w:lineRule="auto" w:before="0" w:after="0"/>
        <w:ind w:left="634" w:right="1242" w:hanging="200"/>
        <w:jc w:val="left"/>
        <w:rPr>
          <w:sz w:val="22"/>
        </w:rPr>
      </w:pPr>
      <w:r>
        <w:rPr>
          <w:sz w:val="22"/>
        </w:rPr>
        <w:t>the</w:t>
      </w:r>
      <w:r>
        <w:rPr>
          <w:spacing w:val="-3"/>
          <w:sz w:val="22"/>
        </w:rPr>
        <w:t> </w:t>
      </w:r>
      <w:r>
        <w:rPr>
          <w:sz w:val="22"/>
        </w:rPr>
        <w:t>consolidated</w:t>
      </w:r>
      <w:r>
        <w:rPr>
          <w:spacing w:val="-5"/>
          <w:sz w:val="22"/>
        </w:rPr>
        <w:t> </w:t>
      </w:r>
      <w:r>
        <w:rPr>
          <w:sz w:val="22"/>
        </w:rPr>
        <w:t>safety</w:t>
      </w:r>
      <w:r>
        <w:rPr>
          <w:spacing w:val="-4"/>
          <w:sz w:val="22"/>
        </w:rPr>
        <w:t> </w:t>
      </w:r>
      <w:r>
        <w:rPr>
          <w:sz w:val="22"/>
        </w:rPr>
        <w:t>legislation</w:t>
      </w:r>
      <w:r>
        <w:rPr>
          <w:spacing w:val="-3"/>
          <w:sz w:val="22"/>
        </w:rPr>
        <w:t> </w:t>
      </w:r>
      <w:r>
        <w:rPr>
          <w:sz w:val="22"/>
        </w:rPr>
        <w:t>should</w:t>
      </w:r>
      <w:r>
        <w:rPr>
          <w:spacing w:val="-5"/>
          <w:sz w:val="22"/>
        </w:rPr>
        <w:t> </w:t>
      </w:r>
      <w:r>
        <w:rPr>
          <w:sz w:val="22"/>
        </w:rPr>
        <w:t>provide</w:t>
      </w:r>
      <w:r>
        <w:rPr>
          <w:spacing w:val="-3"/>
          <w:sz w:val="22"/>
        </w:rPr>
        <w:t> </w:t>
      </w:r>
      <w:r>
        <w:rPr>
          <w:sz w:val="22"/>
        </w:rPr>
        <w:t>consistent</w:t>
      </w:r>
      <w:r>
        <w:rPr>
          <w:spacing w:val="-4"/>
          <w:sz w:val="22"/>
        </w:rPr>
        <w:t> </w:t>
      </w:r>
      <w:r>
        <w:rPr>
          <w:sz w:val="22"/>
        </w:rPr>
        <w:t>foundations</w:t>
      </w:r>
      <w:r>
        <w:rPr>
          <w:spacing w:val="-6"/>
          <w:sz w:val="22"/>
        </w:rPr>
        <w:t> </w:t>
      </w:r>
      <w:r>
        <w:rPr>
          <w:sz w:val="22"/>
        </w:rPr>
        <w:t>for</w:t>
      </w:r>
      <w:r>
        <w:rPr>
          <w:spacing w:val="-4"/>
          <w:sz w:val="22"/>
        </w:rPr>
        <w:t> </w:t>
      </w:r>
      <w:r>
        <w:rPr>
          <w:sz w:val="22"/>
        </w:rPr>
        <w:t>the</w:t>
      </w:r>
      <w:r>
        <w:rPr>
          <w:spacing w:val="-3"/>
          <w:sz w:val="22"/>
        </w:rPr>
        <w:t> </w:t>
      </w:r>
      <w:r>
        <w:rPr>
          <w:sz w:val="22"/>
        </w:rPr>
        <w:t>safety case regime in the regulation of electricity and gas network safety (Recommendation 37); and</w:t>
      </w:r>
    </w:p>
    <w:p>
      <w:pPr>
        <w:pStyle w:val="BodyText"/>
        <w:spacing w:before="9"/>
        <w:rPr>
          <w:sz w:val="20"/>
        </w:rPr>
      </w:pPr>
    </w:p>
    <w:p>
      <w:pPr>
        <w:pStyle w:val="ListParagraph"/>
        <w:numPr>
          <w:ilvl w:val="1"/>
          <w:numId w:val="9"/>
        </w:numPr>
        <w:tabs>
          <w:tab w:pos="634" w:val="left" w:leader="none"/>
        </w:tabs>
        <w:spacing w:line="288" w:lineRule="auto" w:before="0" w:after="0"/>
        <w:ind w:left="634" w:right="1114" w:hanging="200"/>
        <w:jc w:val="left"/>
        <w:rPr>
          <w:sz w:val="22"/>
        </w:rPr>
      </w:pPr>
      <w:r>
        <w:rPr>
          <w:sz w:val="22"/>
        </w:rPr>
        <w:t>further</w:t>
      </w:r>
      <w:r>
        <w:rPr>
          <w:spacing w:val="-4"/>
          <w:sz w:val="22"/>
        </w:rPr>
        <w:t> </w:t>
      </w:r>
      <w:r>
        <w:rPr>
          <w:sz w:val="22"/>
        </w:rPr>
        <w:t>improvements</w:t>
      </w:r>
      <w:r>
        <w:rPr>
          <w:spacing w:val="-5"/>
          <w:sz w:val="22"/>
        </w:rPr>
        <w:t> </w:t>
      </w:r>
      <w:r>
        <w:rPr>
          <w:sz w:val="22"/>
        </w:rPr>
        <w:t>should</w:t>
      </w:r>
      <w:r>
        <w:rPr>
          <w:spacing w:val="-3"/>
          <w:sz w:val="22"/>
        </w:rPr>
        <w:t> </w:t>
      </w:r>
      <w:r>
        <w:rPr>
          <w:sz w:val="22"/>
        </w:rPr>
        <w:t>be</w:t>
      </w:r>
      <w:r>
        <w:rPr>
          <w:spacing w:val="-3"/>
          <w:sz w:val="22"/>
        </w:rPr>
        <w:t> </w:t>
      </w:r>
      <w:r>
        <w:rPr>
          <w:sz w:val="22"/>
        </w:rPr>
        <w:t>made</w:t>
      </w:r>
      <w:r>
        <w:rPr>
          <w:spacing w:val="-7"/>
          <w:sz w:val="22"/>
        </w:rPr>
        <w:t> </w:t>
      </w:r>
      <w:r>
        <w:rPr>
          <w:sz w:val="22"/>
        </w:rPr>
        <w:t>to</w:t>
      </w:r>
      <w:r>
        <w:rPr>
          <w:spacing w:val="-3"/>
          <w:sz w:val="22"/>
        </w:rPr>
        <w:t> </w:t>
      </w:r>
      <w:r>
        <w:rPr>
          <w:sz w:val="22"/>
        </w:rPr>
        <w:t>ensure</w:t>
      </w:r>
      <w:r>
        <w:rPr>
          <w:spacing w:val="-5"/>
          <w:sz w:val="22"/>
        </w:rPr>
        <w:t> </w:t>
      </w:r>
      <w:r>
        <w:rPr>
          <w:sz w:val="22"/>
        </w:rPr>
        <w:t>the</w:t>
      </w:r>
      <w:r>
        <w:rPr>
          <w:spacing w:val="-3"/>
          <w:sz w:val="22"/>
        </w:rPr>
        <w:t> </w:t>
      </w:r>
      <w:r>
        <w:rPr>
          <w:sz w:val="22"/>
        </w:rPr>
        <w:t>effective</w:t>
      </w:r>
      <w:r>
        <w:rPr>
          <w:spacing w:val="-3"/>
          <w:sz w:val="22"/>
        </w:rPr>
        <w:t> </w:t>
      </w:r>
      <w:r>
        <w:rPr>
          <w:sz w:val="22"/>
        </w:rPr>
        <w:t>operation</w:t>
      </w:r>
      <w:r>
        <w:rPr>
          <w:spacing w:val="-3"/>
          <w:sz w:val="22"/>
        </w:rPr>
        <w:t> </w:t>
      </w:r>
      <w:r>
        <w:rPr>
          <w:sz w:val="22"/>
        </w:rPr>
        <w:t>of</w:t>
      </w:r>
      <w:r>
        <w:rPr>
          <w:spacing w:val="-4"/>
          <w:sz w:val="22"/>
        </w:rPr>
        <w:t> </w:t>
      </w:r>
      <w:r>
        <w:rPr>
          <w:sz w:val="22"/>
        </w:rPr>
        <w:t>safety</w:t>
      </w:r>
      <w:r>
        <w:rPr>
          <w:spacing w:val="-4"/>
          <w:sz w:val="22"/>
        </w:rPr>
        <w:t> </w:t>
      </w:r>
      <w:r>
        <w:rPr>
          <w:sz w:val="22"/>
        </w:rPr>
        <w:t>cases, including stronger guidance from ESV to assist businesses in the preparation of safety cases (Recommendation 42).</w:t>
      </w:r>
    </w:p>
    <w:p>
      <w:pPr>
        <w:spacing w:after="0" w:line="288" w:lineRule="auto"/>
        <w:jc w:val="left"/>
        <w:rPr>
          <w:sz w:val="22"/>
        </w:rPr>
        <w:sectPr>
          <w:pgSz w:w="11910" w:h="16850"/>
          <w:pgMar w:header="465" w:footer="880" w:top="660" w:bottom="1060" w:left="840" w:right="820"/>
        </w:sectPr>
      </w:pPr>
    </w:p>
    <w:p>
      <w:pPr>
        <w:pStyle w:val="BodyText"/>
        <w:rPr>
          <w:sz w:val="20"/>
        </w:rPr>
      </w:pPr>
    </w:p>
    <w:p>
      <w:pPr>
        <w:pStyle w:val="BodyText"/>
        <w:rPr>
          <w:sz w:val="20"/>
        </w:rPr>
      </w:pPr>
    </w:p>
    <w:p>
      <w:pPr>
        <w:pStyle w:val="Heading3"/>
        <w:spacing w:before="259"/>
        <w:ind w:left="292"/>
      </w:pPr>
      <w:bookmarkStart w:name="_bookmark2" w:id="3"/>
      <w:bookmarkEnd w:id="3"/>
      <w:r>
        <w:rPr>
          <w:b w:val="0"/>
        </w:rPr>
      </w:r>
      <w:r>
        <w:rPr>
          <w:color w:val="00B1A9"/>
          <w:spacing w:val="-2"/>
        </w:rPr>
        <w:t>Recommendations</w:t>
      </w:r>
    </w:p>
    <w:p>
      <w:pPr>
        <w:pStyle w:val="Heading5"/>
        <w:spacing w:before="330"/>
      </w:pPr>
      <w:r>
        <w:rPr/>
        <w:t>ESV’s</w:t>
      </w:r>
      <w:r>
        <w:rPr>
          <w:spacing w:val="-6"/>
        </w:rPr>
        <w:t> </w:t>
      </w:r>
      <w:r>
        <w:rPr/>
        <w:t>Regulatory</w:t>
      </w:r>
      <w:r>
        <w:rPr>
          <w:spacing w:val="-10"/>
        </w:rPr>
        <w:t> </w:t>
      </w:r>
      <w:r>
        <w:rPr/>
        <w:t>and</w:t>
      </w:r>
      <w:r>
        <w:rPr>
          <w:spacing w:val="-4"/>
        </w:rPr>
        <w:t> </w:t>
      </w:r>
      <w:r>
        <w:rPr/>
        <w:t>Corporate</w:t>
      </w:r>
      <w:r>
        <w:rPr>
          <w:spacing w:val="-3"/>
        </w:rPr>
        <w:t> </w:t>
      </w:r>
      <w:r>
        <w:rPr>
          <w:spacing w:val="-2"/>
        </w:rPr>
        <w:t>Governance</w:t>
      </w:r>
    </w:p>
    <w:p>
      <w:pPr>
        <w:pStyle w:val="BodyText"/>
        <w:spacing w:before="8"/>
        <w:rPr>
          <w:b/>
          <w:sz w:val="26"/>
        </w:rPr>
      </w:pPr>
    </w:p>
    <w:p>
      <w:pPr>
        <w:pStyle w:val="Heading8"/>
        <w:spacing w:before="1"/>
      </w:pPr>
      <w:r>
        <w:rPr/>
        <w:t>Recommendation</w:t>
      </w:r>
      <w:r>
        <w:rPr>
          <w:spacing w:val="-7"/>
        </w:rPr>
        <w:t> </w:t>
      </w:r>
      <w:r>
        <w:rPr>
          <w:spacing w:val="-10"/>
        </w:rPr>
        <w:t>1</w:t>
      </w:r>
    </w:p>
    <w:p>
      <w:pPr>
        <w:pStyle w:val="BodyText"/>
        <w:spacing w:before="7"/>
        <w:rPr>
          <w:rFonts w:ascii="Arial-BoldItalicMT"/>
          <w:b/>
          <w:i/>
          <w:sz w:val="21"/>
        </w:rPr>
      </w:pPr>
    </w:p>
    <w:p>
      <w:pPr>
        <w:pStyle w:val="BodyText"/>
        <w:spacing w:line="288" w:lineRule="auto"/>
        <w:ind w:left="292" w:right="311"/>
      </w:pPr>
      <w:r>
        <w:rPr/>
        <w:t>Energy Safe Victoria should be established as a commission with three commissioners. One commissioner</w:t>
      </w:r>
      <w:r>
        <w:rPr>
          <w:spacing w:val="-1"/>
        </w:rPr>
        <w:t> </w:t>
      </w:r>
      <w:r>
        <w:rPr/>
        <w:t>should</w:t>
      </w:r>
      <w:r>
        <w:rPr>
          <w:spacing w:val="-4"/>
        </w:rPr>
        <w:t> </w:t>
      </w:r>
      <w:r>
        <w:rPr/>
        <w:t>serve</w:t>
      </w:r>
      <w:r>
        <w:rPr>
          <w:spacing w:val="-2"/>
        </w:rPr>
        <w:t> </w:t>
      </w:r>
      <w:r>
        <w:rPr/>
        <w:t>as</w:t>
      </w:r>
      <w:r>
        <w:rPr>
          <w:spacing w:val="-1"/>
        </w:rPr>
        <w:t> </w:t>
      </w:r>
      <w:r>
        <w:rPr/>
        <w:t>a</w:t>
      </w:r>
      <w:r>
        <w:rPr>
          <w:spacing w:val="-4"/>
        </w:rPr>
        <w:t> </w:t>
      </w:r>
      <w:r>
        <w:rPr/>
        <w:t>full-time</w:t>
      </w:r>
      <w:r>
        <w:rPr>
          <w:spacing w:val="-4"/>
        </w:rPr>
        <w:t> </w:t>
      </w:r>
      <w:r>
        <w:rPr/>
        <w:t>chair,</w:t>
      </w:r>
      <w:r>
        <w:rPr>
          <w:spacing w:val="-3"/>
        </w:rPr>
        <w:t> </w:t>
      </w:r>
      <w:r>
        <w:rPr/>
        <w:t>with</w:t>
      </w:r>
      <w:r>
        <w:rPr>
          <w:spacing w:val="-4"/>
        </w:rPr>
        <w:t> </w:t>
      </w:r>
      <w:r>
        <w:rPr/>
        <w:t>reserve</w:t>
      </w:r>
      <w:r>
        <w:rPr>
          <w:spacing w:val="-2"/>
        </w:rPr>
        <w:t> </w:t>
      </w:r>
      <w:r>
        <w:rPr/>
        <w:t>powers</w:t>
      </w:r>
      <w:r>
        <w:rPr>
          <w:spacing w:val="-1"/>
        </w:rPr>
        <w:t> </w:t>
      </w:r>
      <w:r>
        <w:rPr/>
        <w:t>in</w:t>
      </w:r>
      <w:r>
        <w:rPr>
          <w:spacing w:val="-4"/>
        </w:rPr>
        <w:t> </w:t>
      </w:r>
      <w:r>
        <w:rPr/>
        <w:t>the</w:t>
      </w:r>
      <w:r>
        <w:rPr>
          <w:spacing w:val="-4"/>
        </w:rPr>
        <w:t> </w:t>
      </w:r>
      <w:r>
        <w:rPr/>
        <w:t>event</w:t>
      </w:r>
      <w:r>
        <w:rPr>
          <w:spacing w:val="-1"/>
        </w:rPr>
        <w:t> </w:t>
      </w:r>
      <w:r>
        <w:rPr/>
        <w:t>of emergencies. The</w:t>
      </w:r>
      <w:r>
        <w:rPr>
          <w:spacing w:val="-3"/>
        </w:rPr>
        <w:t> </w:t>
      </w:r>
      <w:r>
        <w:rPr/>
        <w:t>remaining</w:t>
      </w:r>
      <w:r>
        <w:rPr>
          <w:spacing w:val="-1"/>
        </w:rPr>
        <w:t> </w:t>
      </w:r>
      <w:r>
        <w:rPr/>
        <w:t>two</w:t>
      </w:r>
      <w:r>
        <w:rPr>
          <w:spacing w:val="-1"/>
        </w:rPr>
        <w:t> </w:t>
      </w:r>
      <w:r>
        <w:rPr/>
        <w:t>commissioners</w:t>
      </w:r>
      <w:r>
        <w:rPr>
          <w:spacing w:val="-2"/>
        </w:rPr>
        <w:t> </w:t>
      </w:r>
      <w:r>
        <w:rPr/>
        <w:t>should</w:t>
      </w:r>
      <w:r>
        <w:rPr>
          <w:spacing w:val="-1"/>
        </w:rPr>
        <w:t> </w:t>
      </w:r>
      <w:r>
        <w:rPr/>
        <w:t>be</w:t>
      </w:r>
      <w:r>
        <w:rPr>
          <w:spacing w:val="-1"/>
        </w:rPr>
        <w:t> </w:t>
      </w:r>
      <w:r>
        <w:rPr/>
        <w:t>appointed</w:t>
      </w:r>
      <w:r>
        <w:rPr>
          <w:spacing w:val="-1"/>
        </w:rPr>
        <w:t> </w:t>
      </w:r>
      <w:r>
        <w:rPr/>
        <w:t>on</w:t>
      </w:r>
      <w:r>
        <w:rPr>
          <w:spacing w:val="-1"/>
        </w:rPr>
        <w:t> </w:t>
      </w:r>
      <w:r>
        <w:rPr/>
        <w:t>a</w:t>
      </w:r>
      <w:r>
        <w:rPr>
          <w:spacing w:val="-3"/>
        </w:rPr>
        <w:t> </w:t>
      </w:r>
      <w:r>
        <w:rPr/>
        <w:t>part-time</w:t>
      </w:r>
      <w:r>
        <w:rPr>
          <w:spacing w:val="-3"/>
        </w:rPr>
        <w:t> </w:t>
      </w:r>
      <w:r>
        <w:rPr/>
        <w:t>basis.</w:t>
      </w:r>
      <w:r>
        <w:rPr>
          <w:spacing w:val="-2"/>
        </w:rPr>
        <w:t> </w:t>
      </w:r>
      <w:r>
        <w:rPr/>
        <w:t>The</w:t>
      </w:r>
      <w:r>
        <w:rPr>
          <w:spacing w:val="-3"/>
        </w:rPr>
        <w:t> </w:t>
      </w:r>
      <w:r>
        <w:rPr/>
        <w:t>commissioners should each have equal voting rights, with decisions being made by consensus, or by a simple majority if a consensus cannot be achieved. Commissioners should be appointed for five year terms, with the ability for these terms to be renewed once only.</w:t>
      </w:r>
    </w:p>
    <w:p>
      <w:pPr>
        <w:pStyle w:val="Heading8"/>
        <w:spacing w:before="202"/>
      </w:pPr>
      <w:r>
        <w:rPr/>
        <w:t>Recommendation</w:t>
      </w:r>
      <w:r>
        <w:rPr>
          <w:spacing w:val="-7"/>
        </w:rPr>
        <w:t> </w:t>
      </w:r>
      <w:r>
        <w:rPr>
          <w:spacing w:val="-10"/>
        </w:rPr>
        <w:t>2</w:t>
      </w:r>
    </w:p>
    <w:p>
      <w:pPr>
        <w:pStyle w:val="BodyText"/>
        <w:spacing w:before="7"/>
        <w:rPr>
          <w:rFonts w:ascii="Arial-BoldItalicMT"/>
          <w:b/>
          <w:i/>
          <w:sz w:val="21"/>
        </w:rPr>
      </w:pPr>
    </w:p>
    <w:p>
      <w:pPr>
        <w:pStyle w:val="BodyText"/>
        <w:spacing w:line="288" w:lineRule="auto"/>
        <w:ind w:left="292" w:right="374"/>
      </w:pPr>
      <w:r>
        <w:rPr/>
        <w:t>The</w:t>
      </w:r>
      <w:r>
        <w:rPr>
          <w:spacing w:val="-4"/>
        </w:rPr>
        <w:t> </w:t>
      </w:r>
      <w:r>
        <w:rPr/>
        <w:t>Chair</w:t>
      </w:r>
      <w:r>
        <w:rPr>
          <w:spacing w:val="-2"/>
        </w:rPr>
        <w:t> </w:t>
      </w:r>
      <w:r>
        <w:rPr/>
        <w:t>of</w:t>
      </w:r>
      <w:r>
        <w:rPr>
          <w:spacing w:val="-3"/>
        </w:rPr>
        <w:t> </w:t>
      </w:r>
      <w:r>
        <w:rPr/>
        <w:t>the</w:t>
      </w:r>
      <w:r>
        <w:rPr>
          <w:spacing w:val="-2"/>
        </w:rPr>
        <w:t> </w:t>
      </w:r>
      <w:r>
        <w:rPr/>
        <w:t>Energy</w:t>
      </w:r>
      <w:r>
        <w:rPr>
          <w:spacing w:val="-4"/>
        </w:rPr>
        <w:t> </w:t>
      </w:r>
      <w:r>
        <w:rPr/>
        <w:t>Safe</w:t>
      </w:r>
      <w:r>
        <w:rPr>
          <w:spacing w:val="-4"/>
        </w:rPr>
        <w:t> </w:t>
      </w:r>
      <w:r>
        <w:rPr/>
        <w:t>Victoria</w:t>
      </w:r>
      <w:r>
        <w:rPr>
          <w:spacing w:val="-2"/>
        </w:rPr>
        <w:t> </w:t>
      </w:r>
      <w:r>
        <w:rPr/>
        <w:t>Commission</w:t>
      </w:r>
      <w:r>
        <w:rPr>
          <w:spacing w:val="-2"/>
        </w:rPr>
        <w:t> </w:t>
      </w:r>
      <w:r>
        <w:rPr/>
        <w:t>should</w:t>
      </w:r>
      <w:r>
        <w:rPr>
          <w:spacing w:val="-2"/>
        </w:rPr>
        <w:t> </w:t>
      </w:r>
      <w:r>
        <w:rPr/>
        <w:t>also</w:t>
      </w:r>
      <w:r>
        <w:rPr>
          <w:spacing w:val="-2"/>
        </w:rPr>
        <w:t> </w:t>
      </w:r>
      <w:r>
        <w:rPr/>
        <w:t>serve</w:t>
      </w:r>
      <w:r>
        <w:rPr>
          <w:spacing w:val="-2"/>
        </w:rPr>
        <w:t> </w:t>
      </w:r>
      <w:r>
        <w:rPr/>
        <w:t>as</w:t>
      </w:r>
      <w:r>
        <w:rPr>
          <w:spacing w:val="-2"/>
        </w:rPr>
        <w:t> </w:t>
      </w:r>
      <w:r>
        <w:rPr/>
        <w:t>Chief</w:t>
      </w:r>
      <w:r>
        <w:rPr>
          <w:spacing w:val="-2"/>
        </w:rPr>
        <w:t> </w:t>
      </w:r>
      <w:r>
        <w:rPr/>
        <w:t>Executive</w:t>
      </w:r>
      <w:r>
        <w:rPr>
          <w:spacing w:val="-2"/>
        </w:rPr>
        <w:t> </w:t>
      </w:r>
      <w:r>
        <w:rPr/>
        <w:t>of</w:t>
      </w:r>
      <w:r>
        <w:rPr>
          <w:spacing w:val="-1"/>
        </w:rPr>
        <w:t> </w:t>
      </w:r>
      <w:r>
        <w:rPr/>
        <w:t>ESV and should have responsibility for the corporate leadership of ESV, advised by an Executive Management Board.</w:t>
      </w:r>
    </w:p>
    <w:p>
      <w:pPr>
        <w:pStyle w:val="Heading8"/>
        <w:spacing w:before="203"/>
      </w:pPr>
      <w:r>
        <w:rPr/>
        <w:t>Recommendation</w:t>
      </w:r>
      <w:r>
        <w:rPr>
          <w:spacing w:val="-7"/>
        </w:rPr>
        <w:t> </w:t>
      </w:r>
      <w:r>
        <w:rPr>
          <w:spacing w:val="-10"/>
        </w:rPr>
        <w:t>3</w:t>
      </w:r>
    </w:p>
    <w:p>
      <w:pPr>
        <w:pStyle w:val="BodyText"/>
        <w:spacing w:before="5"/>
        <w:rPr>
          <w:rFonts w:ascii="Arial-BoldItalicMT"/>
          <w:b/>
          <w:i/>
          <w:sz w:val="21"/>
        </w:rPr>
      </w:pPr>
    </w:p>
    <w:p>
      <w:pPr>
        <w:pStyle w:val="BodyText"/>
        <w:spacing w:line="288" w:lineRule="auto"/>
        <w:ind w:left="292" w:right="311"/>
      </w:pPr>
      <w:r>
        <w:rPr/>
        <w:t>Building on its existing </w:t>
      </w:r>
      <w:r>
        <w:rPr>
          <w:i/>
        </w:rPr>
        <w:t>Conflict of Interest Policy</w:t>
      </w:r>
      <w:r>
        <w:rPr/>
        <w:t>, ESV should develop documented protocols and additional</w:t>
      </w:r>
      <w:r>
        <w:rPr>
          <w:spacing w:val="-3"/>
        </w:rPr>
        <w:t> </w:t>
      </w:r>
      <w:r>
        <w:rPr/>
        <w:t>guidance</w:t>
      </w:r>
      <w:r>
        <w:rPr>
          <w:spacing w:val="-4"/>
        </w:rPr>
        <w:t> </w:t>
      </w:r>
      <w:r>
        <w:rPr/>
        <w:t>to</w:t>
      </w:r>
      <w:r>
        <w:rPr>
          <w:spacing w:val="-4"/>
        </w:rPr>
        <w:t> </w:t>
      </w:r>
      <w:r>
        <w:rPr/>
        <w:t>ensure</w:t>
      </w:r>
      <w:r>
        <w:rPr>
          <w:spacing w:val="-4"/>
        </w:rPr>
        <w:t> </w:t>
      </w:r>
      <w:r>
        <w:rPr/>
        <w:t>that</w:t>
      </w:r>
      <w:r>
        <w:rPr>
          <w:spacing w:val="-3"/>
        </w:rPr>
        <w:t> </w:t>
      </w:r>
      <w:r>
        <w:rPr/>
        <w:t>perceived</w:t>
      </w:r>
      <w:r>
        <w:rPr>
          <w:spacing w:val="-2"/>
        </w:rPr>
        <w:t> </w:t>
      </w:r>
      <w:r>
        <w:rPr/>
        <w:t>and</w:t>
      </w:r>
      <w:r>
        <w:rPr>
          <w:spacing w:val="-4"/>
        </w:rPr>
        <w:t> </w:t>
      </w:r>
      <w:r>
        <w:rPr/>
        <w:t>potential</w:t>
      </w:r>
      <w:r>
        <w:rPr>
          <w:spacing w:val="-3"/>
        </w:rPr>
        <w:t> </w:t>
      </w:r>
      <w:r>
        <w:rPr/>
        <w:t>conflicts</w:t>
      </w:r>
      <w:r>
        <w:rPr>
          <w:spacing w:val="-1"/>
        </w:rPr>
        <w:t> </w:t>
      </w:r>
      <w:r>
        <w:rPr/>
        <w:t>of interest</w:t>
      </w:r>
      <w:r>
        <w:rPr>
          <w:spacing w:val="-1"/>
        </w:rPr>
        <w:t> </w:t>
      </w:r>
      <w:r>
        <w:rPr/>
        <w:t>are</w:t>
      </w:r>
      <w:r>
        <w:rPr>
          <w:spacing w:val="-2"/>
        </w:rPr>
        <w:t> </w:t>
      </w:r>
      <w:r>
        <w:rPr/>
        <w:t>addressed</w:t>
      </w:r>
      <w:r>
        <w:rPr>
          <w:spacing w:val="-4"/>
        </w:rPr>
        <w:t> </w:t>
      </w:r>
      <w:r>
        <w:rPr/>
        <w:t>in</w:t>
      </w:r>
      <w:r>
        <w:rPr>
          <w:spacing w:val="-2"/>
        </w:rPr>
        <w:t> </w:t>
      </w:r>
      <w:r>
        <w:rPr/>
        <w:t>its regulatory decision making, particularly in cases where regulatory staff have previously been employed by network businesses or undertaken previous consulting engagements with network </w:t>
      </w:r>
      <w:r>
        <w:rPr>
          <w:spacing w:val="-2"/>
        </w:rPr>
        <w:t>businesses.</w:t>
      </w:r>
    </w:p>
    <w:p>
      <w:pPr>
        <w:pStyle w:val="Heading8"/>
        <w:spacing w:before="203"/>
      </w:pPr>
      <w:r>
        <w:rPr/>
        <w:t>Recommendation</w:t>
      </w:r>
      <w:r>
        <w:rPr>
          <w:spacing w:val="-7"/>
        </w:rPr>
        <w:t> </w:t>
      </w:r>
      <w:r>
        <w:rPr>
          <w:spacing w:val="-10"/>
        </w:rPr>
        <w:t>4</w:t>
      </w:r>
    </w:p>
    <w:p>
      <w:pPr>
        <w:pStyle w:val="BodyText"/>
        <w:spacing w:before="7"/>
        <w:rPr>
          <w:rFonts w:ascii="Arial-BoldItalicMT"/>
          <w:b/>
          <w:i/>
          <w:sz w:val="21"/>
        </w:rPr>
      </w:pPr>
    </w:p>
    <w:p>
      <w:pPr>
        <w:pStyle w:val="BodyText"/>
        <w:spacing w:line="288" w:lineRule="auto"/>
        <w:ind w:left="292"/>
      </w:pPr>
      <w:r>
        <w:rPr/>
        <w:t>The</w:t>
      </w:r>
      <w:r>
        <w:rPr>
          <w:spacing w:val="-5"/>
        </w:rPr>
        <w:t> </w:t>
      </w:r>
      <w:r>
        <w:rPr/>
        <w:t>Executive</w:t>
      </w:r>
      <w:r>
        <w:rPr>
          <w:spacing w:val="-1"/>
        </w:rPr>
        <w:t> </w:t>
      </w:r>
      <w:r>
        <w:rPr/>
        <w:t>Management</w:t>
      </w:r>
      <w:r>
        <w:rPr>
          <w:spacing w:val="-2"/>
        </w:rPr>
        <w:t> </w:t>
      </w:r>
      <w:r>
        <w:rPr/>
        <w:t>Board</w:t>
      </w:r>
      <w:r>
        <w:rPr>
          <w:spacing w:val="-5"/>
        </w:rPr>
        <w:t> </w:t>
      </w:r>
      <w:r>
        <w:rPr/>
        <w:t>of</w:t>
      </w:r>
      <w:r>
        <w:rPr>
          <w:spacing w:val="-2"/>
        </w:rPr>
        <w:t> </w:t>
      </w:r>
      <w:r>
        <w:rPr/>
        <w:t>ESV</w:t>
      </w:r>
      <w:r>
        <w:rPr>
          <w:spacing w:val="-4"/>
        </w:rPr>
        <w:t> </w:t>
      </w:r>
      <w:r>
        <w:rPr/>
        <w:t>should</w:t>
      </w:r>
      <w:r>
        <w:rPr>
          <w:spacing w:val="-5"/>
        </w:rPr>
        <w:t> </w:t>
      </w:r>
      <w:r>
        <w:rPr/>
        <w:t>develop</w:t>
      </w:r>
      <w:r>
        <w:rPr>
          <w:spacing w:val="-4"/>
        </w:rPr>
        <w:t> </w:t>
      </w:r>
      <w:r>
        <w:rPr/>
        <w:t>an</w:t>
      </w:r>
      <w:r>
        <w:rPr>
          <w:spacing w:val="-4"/>
        </w:rPr>
        <w:t> </w:t>
      </w:r>
      <w:r>
        <w:rPr/>
        <w:t>overarching</w:t>
      </w:r>
      <w:r>
        <w:rPr>
          <w:spacing w:val="-5"/>
        </w:rPr>
        <w:t> </w:t>
      </w:r>
      <w:r>
        <w:rPr/>
        <w:t>organisational</w:t>
      </w:r>
      <w:r>
        <w:rPr>
          <w:spacing w:val="-4"/>
        </w:rPr>
        <w:t> </w:t>
      </w:r>
      <w:r>
        <w:rPr/>
        <w:t>reform roadmap that details key actions that have already been taken to strengthen ESV’s corporate governance and management structures and processes, and the actions that have yet to be </w:t>
      </w:r>
      <w:r>
        <w:rPr>
          <w:spacing w:val="-2"/>
        </w:rPr>
        <w:t>completed.</w:t>
      </w:r>
    </w:p>
    <w:p>
      <w:pPr>
        <w:pStyle w:val="BodyText"/>
        <w:spacing w:line="288" w:lineRule="auto" w:before="200"/>
        <w:ind w:left="292" w:right="343"/>
      </w:pPr>
      <w:r>
        <w:rPr/>
        <w:t>This roadmap should take account of actions in response to the recommendations of this Review</w:t>
      </w:r>
      <w:r>
        <w:rPr/>
        <w:t> of Victoria’s Electricity and Gas Network Safety Framework and in response to the findings of previous</w:t>
      </w:r>
      <w:r>
        <w:rPr>
          <w:spacing w:val="-2"/>
        </w:rPr>
        <w:t> </w:t>
      </w:r>
      <w:r>
        <w:rPr/>
        <w:t>reviews</w:t>
      </w:r>
      <w:r>
        <w:rPr>
          <w:spacing w:val="-2"/>
        </w:rPr>
        <w:t> </w:t>
      </w:r>
      <w:r>
        <w:rPr/>
        <w:t>commissioned</w:t>
      </w:r>
      <w:r>
        <w:rPr>
          <w:spacing w:val="-2"/>
        </w:rPr>
        <w:t> </w:t>
      </w:r>
      <w:r>
        <w:rPr/>
        <w:t>by</w:t>
      </w:r>
      <w:r>
        <w:rPr>
          <w:spacing w:val="-4"/>
        </w:rPr>
        <w:t> </w:t>
      </w:r>
      <w:r>
        <w:rPr/>
        <w:t>the</w:t>
      </w:r>
      <w:r>
        <w:rPr>
          <w:spacing w:val="-2"/>
        </w:rPr>
        <w:t> </w:t>
      </w:r>
      <w:r>
        <w:rPr/>
        <w:t>Director</w:t>
      </w:r>
      <w:r>
        <w:rPr>
          <w:spacing w:val="-3"/>
        </w:rPr>
        <w:t> </w:t>
      </w:r>
      <w:r>
        <w:rPr/>
        <w:t>of</w:t>
      </w:r>
      <w:r>
        <w:rPr>
          <w:spacing w:val="-1"/>
        </w:rPr>
        <w:t> </w:t>
      </w:r>
      <w:r>
        <w:rPr/>
        <w:t>Energy</w:t>
      </w:r>
      <w:r>
        <w:rPr>
          <w:spacing w:val="-4"/>
        </w:rPr>
        <w:t> </w:t>
      </w:r>
      <w:r>
        <w:rPr/>
        <w:t>Safety.</w:t>
      </w:r>
      <w:r>
        <w:rPr>
          <w:spacing w:val="-3"/>
        </w:rPr>
        <w:t> </w:t>
      </w:r>
      <w:r>
        <w:rPr/>
        <w:t>The</w:t>
      </w:r>
      <w:r>
        <w:rPr>
          <w:spacing w:val="-4"/>
        </w:rPr>
        <w:t> </w:t>
      </w:r>
      <w:r>
        <w:rPr/>
        <w:t>roadmap</w:t>
      </w:r>
      <w:r>
        <w:rPr>
          <w:spacing w:val="-2"/>
        </w:rPr>
        <w:t> </w:t>
      </w:r>
      <w:r>
        <w:rPr/>
        <w:t>should</w:t>
      </w:r>
      <w:r>
        <w:rPr>
          <w:spacing w:val="-4"/>
        </w:rPr>
        <w:t> </w:t>
      </w:r>
      <w:r>
        <w:rPr/>
        <w:t>be</w:t>
      </w:r>
      <w:r>
        <w:rPr>
          <w:spacing w:val="-4"/>
        </w:rPr>
        <w:t> </w:t>
      </w:r>
      <w:r>
        <w:rPr/>
        <w:t>reported publicly on ESV’s website and updated quarterly until all key actions have been completed.</w:t>
      </w:r>
    </w:p>
    <w:p>
      <w:pPr>
        <w:pStyle w:val="Heading8"/>
        <w:spacing w:before="204"/>
      </w:pPr>
      <w:r>
        <w:rPr/>
        <w:t>Recommendation</w:t>
      </w:r>
      <w:r>
        <w:rPr>
          <w:spacing w:val="-8"/>
        </w:rPr>
        <w:t> </w:t>
      </w:r>
      <w:r>
        <w:rPr>
          <w:spacing w:val="-10"/>
        </w:rPr>
        <w:t>5</w:t>
      </w:r>
    </w:p>
    <w:p>
      <w:pPr>
        <w:pStyle w:val="BodyText"/>
        <w:spacing w:before="5"/>
        <w:rPr>
          <w:rFonts w:ascii="Arial-BoldItalicMT"/>
          <w:b/>
          <w:i/>
          <w:sz w:val="21"/>
        </w:rPr>
      </w:pPr>
    </w:p>
    <w:p>
      <w:pPr>
        <w:pStyle w:val="BodyText"/>
        <w:spacing w:line="288" w:lineRule="auto"/>
        <w:ind w:left="292" w:right="311"/>
      </w:pPr>
      <w:r>
        <w:rPr/>
        <w:t>ESV should develop and implement a formal workforce strategy to support the attraction and retention</w:t>
      </w:r>
      <w:r>
        <w:rPr>
          <w:spacing w:val="-2"/>
        </w:rPr>
        <w:t> </w:t>
      </w:r>
      <w:r>
        <w:rPr/>
        <w:t>of high</w:t>
      </w:r>
      <w:r>
        <w:rPr>
          <w:spacing w:val="-2"/>
        </w:rPr>
        <w:t> </w:t>
      </w:r>
      <w:r>
        <w:rPr/>
        <w:t>performing</w:t>
      </w:r>
      <w:r>
        <w:rPr>
          <w:spacing w:val="-2"/>
        </w:rPr>
        <w:t> </w:t>
      </w:r>
      <w:r>
        <w:rPr/>
        <w:t>staff.</w:t>
      </w:r>
      <w:r>
        <w:rPr>
          <w:spacing w:val="-5"/>
        </w:rPr>
        <w:t> </w:t>
      </w:r>
      <w:r>
        <w:rPr/>
        <w:t>This</w:t>
      </w:r>
      <w:r>
        <w:rPr>
          <w:spacing w:val="-4"/>
        </w:rPr>
        <w:t> </w:t>
      </w:r>
      <w:r>
        <w:rPr/>
        <w:t>strategy</w:t>
      </w:r>
      <w:r>
        <w:rPr>
          <w:spacing w:val="-4"/>
        </w:rPr>
        <w:t> </w:t>
      </w:r>
      <w:r>
        <w:rPr/>
        <w:t>should</w:t>
      </w:r>
      <w:r>
        <w:rPr>
          <w:spacing w:val="-2"/>
        </w:rPr>
        <w:t> </w:t>
      </w:r>
      <w:r>
        <w:rPr/>
        <w:t>include</w:t>
      </w:r>
      <w:r>
        <w:rPr>
          <w:spacing w:val="-2"/>
        </w:rPr>
        <w:t> </w:t>
      </w:r>
      <w:r>
        <w:rPr/>
        <w:t>a</w:t>
      </w:r>
      <w:r>
        <w:rPr>
          <w:spacing w:val="-1"/>
        </w:rPr>
        <w:t> </w:t>
      </w:r>
      <w:r>
        <w:rPr/>
        <w:t>specific</w:t>
      </w:r>
      <w:r>
        <w:rPr>
          <w:spacing w:val="-6"/>
        </w:rPr>
        <w:t> </w:t>
      </w:r>
      <w:r>
        <w:rPr/>
        <w:t>focus</w:t>
      </w:r>
      <w:r>
        <w:rPr>
          <w:spacing w:val="-2"/>
        </w:rPr>
        <w:t> </w:t>
      </w:r>
      <w:r>
        <w:rPr/>
        <w:t>on</w:t>
      </w:r>
      <w:r>
        <w:rPr>
          <w:spacing w:val="-2"/>
        </w:rPr>
        <w:t> </w:t>
      </w:r>
      <w:r>
        <w:rPr/>
        <w:t>broadening</w:t>
      </w:r>
      <w:r>
        <w:rPr>
          <w:spacing w:val="-2"/>
        </w:rPr>
        <w:t> </w:t>
      </w:r>
      <w:r>
        <w:rPr/>
        <w:t>the diversity of ESV’s workforce over time, including gender diversity.</w:t>
      </w:r>
    </w:p>
    <w:p>
      <w:pPr>
        <w:spacing w:after="0" w:line="288" w:lineRule="auto"/>
        <w:sectPr>
          <w:pgSz w:w="11910" w:h="16850"/>
          <w:pgMar w:header="465" w:footer="880" w:top="660" w:bottom="1060" w:left="840" w:right="820"/>
        </w:sectPr>
      </w:pPr>
    </w:p>
    <w:p>
      <w:pPr>
        <w:pStyle w:val="BodyText"/>
        <w:rPr>
          <w:sz w:val="20"/>
        </w:rPr>
      </w:pPr>
    </w:p>
    <w:p>
      <w:pPr>
        <w:pStyle w:val="BodyText"/>
        <w:rPr>
          <w:sz w:val="20"/>
        </w:rPr>
      </w:pPr>
    </w:p>
    <w:p>
      <w:pPr>
        <w:pStyle w:val="Heading5"/>
        <w:spacing w:before="256"/>
      </w:pPr>
      <w:r>
        <w:rPr/>
        <w:t>Regulatory</w:t>
      </w:r>
      <w:r>
        <w:rPr>
          <w:spacing w:val="-8"/>
        </w:rPr>
        <w:t> </w:t>
      </w:r>
      <w:r>
        <w:rPr/>
        <w:t>Approach</w:t>
      </w:r>
      <w:r>
        <w:rPr>
          <w:spacing w:val="-7"/>
        </w:rPr>
        <w:t> </w:t>
      </w:r>
      <w:r>
        <w:rPr/>
        <w:t>and</w:t>
      </w:r>
      <w:r>
        <w:rPr>
          <w:spacing w:val="-5"/>
        </w:rPr>
        <w:t> </w:t>
      </w:r>
      <w:r>
        <w:rPr>
          <w:spacing w:val="-2"/>
        </w:rPr>
        <w:t>Capabilities</w:t>
      </w:r>
    </w:p>
    <w:p>
      <w:pPr>
        <w:pStyle w:val="BodyText"/>
        <w:spacing w:before="7"/>
        <w:rPr>
          <w:b/>
          <w:sz w:val="26"/>
        </w:rPr>
      </w:pPr>
    </w:p>
    <w:p>
      <w:pPr>
        <w:pStyle w:val="Heading8"/>
      </w:pPr>
      <w:r>
        <w:rPr/>
        <w:t>Recommendation</w:t>
      </w:r>
      <w:r>
        <w:rPr>
          <w:spacing w:val="-7"/>
        </w:rPr>
        <w:t> </w:t>
      </w:r>
      <w:r>
        <w:rPr>
          <w:spacing w:val="-10"/>
        </w:rPr>
        <w:t>6</w:t>
      </w:r>
    </w:p>
    <w:p>
      <w:pPr>
        <w:pStyle w:val="BodyText"/>
        <w:spacing w:before="2"/>
        <w:rPr>
          <w:rFonts w:ascii="Arial-BoldItalicMT"/>
          <w:b/>
          <w:i/>
          <w:sz w:val="25"/>
        </w:rPr>
      </w:pPr>
    </w:p>
    <w:p>
      <w:pPr>
        <w:pStyle w:val="BodyText"/>
        <w:spacing w:line="288" w:lineRule="auto"/>
        <w:ind w:left="292" w:right="374"/>
      </w:pPr>
      <w:r>
        <w:rPr/>
        <w:t>ESV</w:t>
      </w:r>
      <w:r>
        <w:rPr>
          <w:spacing w:val="-3"/>
        </w:rPr>
        <w:t> </w:t>
      </w:r>
      <w:r>
        <w:rPr/>
        <w:t>should</w:t>
      </w:r>
      <w:r>
        <w:rPr>
          <w:spacing w:val="-3"/>
        </w:rPr>
        <w:t> </w:t>
      </w:r>
      <w:r>
        <w:rPr/>
        <w:t>substantially</w:t>
      </w:r>
      <w:r>
        <w:rPr>
          <w:spacing w:val="-2"/>
        </w:rPr>
        <w:t> </w:t>
      </w:r>
      <w:r>
        <w:rPr/>
        <w:t>increase</w:t>
      </w:r>
      <w:r>
        <w:rPr>
          <w:spacing w:val="-4"/>
        </w:rPr>
        <w:t> </w:t>
      </w:r>
      <w:r>
        <w:rPr/>
        <w:t>its</w:t>
      </w:r>
      <w:r>
        <w:rPr>
          <w:spacing w:val="-2"/>
        </w:rPr>
        <w:t> </w:t>
      </w:r>
      <w:r>
        <w:rPr/>
        <w:t>audit</w:t>
      </w:r>
      <w:r>
        <w:rPr>
          <w:spacing w:val="-1"/>
        </w:rPr>
        <w:t> </w:t>
      </w:r>
      <w:r>
        <w:rPr/>
        <w:t>and</w:t>
      </w:r>
      <w:r>
        <w:rPr>
          <w:spacing w:val="-4"/>
        </w:rPr>
        <w:t> </w:t>
      </w:r>
      <w:r>
        <w:rPr/>
        <w:t>inspection</w:t>
      </w:r>
      <w:r>
        <w:rPr>
          <w:spacing w:val="-4"/>
        </w:rPr>
        <w:t> </w:t>
      </w:r>
      <w:r>
        <w:rPr/>
        <w:t>resources</w:t>
      </w:r>
      <w:r>
        <w:rPr>
          <w:spacing w:val="-2"/>
        </w:rPr>
        <w:t> </w:t>
      </w:r>
      <w:r>
        <w:rPr/>
        <w:t>and</w:t>
      </w:r>
      <w:r>
        <w:rPr>
          <w:spacing w:val="-6"/>
        </w:rPr>
        <w:t> </w:t>
      </w:r>
      <w:r>
        <w:rPr/>
        <w:t>activity</w:t>
      </w:r>
      <w:r>
        <w:rPr>
          <w:spacing w:val="-4"/>
        </w:rPr>
        <w:t> </w:t>
      </w:r>
      <w:r>
        <w:rPr/>
        <w:t>compared</w:t>
      </w:r>
      <w:r>
        <w:rPr>
          <w:spacing w:val="-4"/>
        </w:rPr>
        <w:t> </w:t>
      </w:r>
      <w:r>
        <w:rPr/>
        <w:t>to recent years, in accordance with the directions set out in its </w:t>
      </w:r>
      <w:r>
        <w:rPr>
          <w:i/>
        </w:rPr>
        <w:t>Corporate Plan 2017-2020</w:t>
      </w:r>
      <w:r>
        <w:rPr/>
        <w:t>.</w:t>
      </w:r>
    </w:p>
    <w:p>
      <w:pPr>
        <w:pStyle w:val="BodyText"/>
        <w:spacing w:line="288" w:lineRule="auto"/>
        <w:ind w:left="292" w:right="311"/>
      </w:pPr>
      <w:r>
        <w:rPr/>
        <w:t>Performance against this plan should be reported publicly, including summary information that clearly explains, at a “plain English” level, what ESV has achieved and what more remains to be done to fully deliver its more intensive audit program. This should be supported by detailed information on the audits conducted each year, including: the number of audits, the sites and distribution</w:t>
      </w:r>
      <w:r>
        <w:rPr>
          <w:spacing w:val="-2"/>
        </w:rPr>
        <w:t> </w:t>
      </w:r>
      <w:r>
        <w:rPr/>
        <w:t>businesses</w:t>
      </w:r>
      <w:r>
        <w:rPr>
          <w:spacing w:val="-1"/>
        </w:rPr>
        <w:t> </w:t>
      </w:r>
      <w:r>
        <w:rPr/>
        <w:t>covered,</w:t>
      </w:r>
      <w:r>
        <w:rPr>
          <w:spacing w:val="-1"/>
        </w:rPr>
        <w:t> </w:t>
      </w:r>
      <w:r>
        <w:rPr/>
        <w:t>the</w:t>
      </w:r>
      <w:r>
        <w:rPr>
          <w:spacing w:val="-7"/>
        </w:rPr>
        <w:t> </w:t>
      </w:r>
      <w:r>
        <w:rPr/>
        <w:t>focus</w:t>
      </w:r>
      <w:r>
        <w:rPr>
          <w:spacing w:val="-2"/>
        </w:rPr>
        <w:t> </w:t>
      </w:r>
      <w:r>
        <w:rPr/>
        <w:t>of</w:t>
      </w:r>
      <w:r>
        <w:rPr>
          <w:spacing w:val="-3"/>
        </w:rPr>
        <w:t> </w:t>
      </w:r>
      <w:r>
        <w:rPr/>
        <w:t>the</w:t>
      </w:r>
      <w:r>
        <w:rPr>
          <w:spacing w:val="-4"/>
        </w:rPr>
        <w:t> </w:t>
      </w:r>
      <w:r>
        <w:rPr/>
        <w:t>audits</w:t>
      </w:r>
      <w:r>
        <w:rPr>
          <w:spacing w:val="-1"/>
        </w:rPr>
        <w:t> </w:t>
      </w:r>
      <w:r>
        <w:rPr/>
        <w:t>and</w:t>
      </w:r>
      <w:r>
        <w:rPr>
          <w:spacing w:val="-4"/>
        </w:rPr>
        <w:t> </w:t>
      </w:r>
      <w:r>
        <w:rPr/>
        <w:t>the</w:t>
      </w:r>
      <w:r>
        <w:rPr>
          <w:spacing w:val="-4"/>
        </w:rPr>
        <w:t> </w:t>
      </w:r>
      <w:r>
        <w:rPr/>
        <w:t>results</w:t>
      </w:r>
      <w:r>
        <w:rPr>
          <w:spacing w:val="-1"/>
        </w:rPr>
        <w:t> </w:t>
      </w:r>
      <w:r>
        <w:rPr/>
        <w:t>of</w:t>
      </w:r>
      <w:r>
        <w:rPr>
          <w:spacing w:val="-3"/>
        </w:rPr>
        <w:t> </w:t>
      </w:r>
      <w:r>
        <w:rPr/>
        <w:t>those</w:t>
      </w:r>
      <w:r>
        <w:rPr>
          <w:spacing w:val="-2"/>
        </w:rPr>
        <w:t> </w:t>
      </w:r>
      <w:r>
        <w:rPr/>
        <w:t>audits.</w:t>
      </w:r>
      <w:r>
        <w:rPr>
          <w:spacing w:val="-5"/>
        </w:rPr>
        <w:t> </w:t>
      </w:r>
      <w:r>
        <w:rPr/>
        <w:t>This</w:t>
      </w:r>
      <w:r>
        <w:rPr>
          <w:spacing w:val="-1"/>
        </w:rPr>
        <w:t> </w:t>
      </w:r>
      <w:r>
        <w:rPr/>
        <w:t>should build on and extend existing safety performance reporting by ESV.</w:t>
      </w:r>
    </w:p>
    <w:p>
      <w:pPr>
        <w:pStyle w:val="BodyText"/>
        <w:spacing w:before="11"/>
        <w:rPr>
          <w:sz w:val="20"/>
        </w:rPr>
      </w:pPr>
    </w:p>
    <w:p>
      <w:pPr>
        <w:pStyle w:val="Heading8"/>
      </w:pPr>
      <w:r>
        <w:rPr/>
        <w:t>Recommendation</w:t>
      </w:r>
      <w:r>
        <w:rPr>
          <w:spacing w:val="-7"/>
        </w:rPr>
        <w:t> </w:t>
      </w:r>
      <w:r>
        <w:rPr>
          <w:spacing w:val="-10"/>
        </w:rPr>
        <w:t>7</w:t>
      </w:r>
    </w:p>
    <w:p>
      <w:pPr>
        <w:pStyle w:val="BodyText"/>
        <w:spacing w:before="4"/>
        <w:rPr>
          <w:rFonts w:ascii="Arial-BoldItalicMT"/>
          <w:b/>
          <w:i/>
          <w:sz w:val="25"/>
        </w:rPr>
      </w:pPr>
    </w:p>
    <w:p>
      <w:pPr>
        <w:pStyle w:val="BodyText"/>
        <w:spacing w:line="288" w:lineRule="auto"/>
        <w:ind w:left="292"/>
      </w:pPr>
      <w:r>
        <w:rPr/>
        <w:t>ESV</w:t>
      </w:r>
      <w:r>
        <w:rPr>
          <w:spacing w:val="-2"/>
        </w:rPr>
        <w:t> </w:t>
      </w:r>
      <w:r>
        <w:rPr/>
        <w:t>should</w:t>
      </w:r>
      <w:r>
        <w:rPr>
          <w:spacing w:val="-2"/>
        </w:rPr>
        <w:t> </w:t>
      </w:r>
      <w:r>
        <w:rPr/>
        <w:t>conduct</w:t>
      </w:r>
      <w:r>
        <w:rPr>
          <w:spacing w:val="-3"/>
        </w:rPr>
        <w:t> </w:t>
      </w:r>
      <w:r>
        <w:rPr/>
        <w:t>an</w:t>
      </w:r>
      <w:r>
        <w:rPr>
          <w:spacing w:val="-2"/>
        </w:rPr>
        <w:t> </w:t>
      </w:r>
      <w:r>
        <w:rPr/>
        <w:t>internal</w:t>
      </w:r>
      <w:r>
        <w:rPr>
          <w:spacing w:val="-5"/>
        </w:rPr>
        <w:t> </w:t>
      </w:r>
      <w:r>
        <w:rPr/>
        <w:t>review</w:t>
      </w:r>
      <w:r>
        <w:rPr>
          <w:spacing w:val="-5"/>
        </w:rPr>
        <w:t> </w:t>
      </w:r>
      <w:r>
        <w:rPr/>
        <w:t>of</w:t>
      </w:r>
      <w:r>
        <w:rPr>
          <w:spacing w:val="-1"/>
        </w:rPr>
        <w:t> </w:t>
      </w:r>
      <w:r>
        <w:rPr/>
        <w:t>its</w:t>
      </w:r>
      <w:r>
        <w:rPr>
          <w:spacing w:val="-4"/>
        </w:rPr>
        <w:t> </w:t>
      </w:r>
      <w:r>
        <w:rPr/>
        <w:t>expanded</w:t>
      </w:r>
      <w:r>
        <w:rPr>
          <w:spacing w:val="-2"/>
        </w:rPr>
        <w:t> </w:t>
      </w:r>
      <w:r>
        <w:rPr/>
        <w:t>audit and</w:t>
      </w:r>
      <w:r>
        <w:rPr>
          <w:spacing w:val="-4"/>
        </w:rPr>
        <w:t> </w:t>
      </w:r>
      <w:r>
        <w:rPr/>
        <w:t>inspections</w:t>
      </w:r>
      <w:r>
        <w:rPr>
          <w:spacing w:val="-2"/>
        </w:rPr>
        <w:t> </w:t>
      </w:r>
      <w:r>
        <w:rPr/>
        <w:t>program</w:t>
      </w:r>
      <w:r>
        <w:rPr>
          <w:spacing w:val="-3"/>
        </w:rPr>
        <w:t> </w:t>
      </w:r>
      <w:r>
        <w:rPr/>
        <w:t>in</w:t>
      </w:r>
      <w:r>
        <w:rPr>
          <w:spacing w:val="-2"/>
        </w:rPr>
        <w:t> </w:t>
      </w:r>
      <w:r>
        <w:rPr/>
        <w:t>2020</w:t>
      </w:r>
      <w:r>
        <w:rPr>
          <w:spacing w:val="-5"/>
        </w:rPr>
        <w:t> </w:t>
      </w:r>
      <w:r>
        <w:rPr/>
        <w:t>to determine whether a further change in the resourcing of these functions is required.</w:t>
      </w:r>
    </w:p>
    <w:p>
      <w:pPr>
        <w:pStyle w:val="BodyText"/>
        <w:spacing w:before="10"/>
        <w:rPr>
          <w:sz w:val="20"/>
        </w:rPr>
      </w:pPr>
    </w:p>
    <w:p>
      <w:pPr>
        <w:pStyle w:val="Heading8"/>
      </w:pPr>
      <w:r>
        <w:rPr/>
        <w:t>Recommendation</w:t>
      </w:r>
      <w:r>
        <w:rPr>
          <w:spacing w:val="-7"/>
        </w:rPr>
        <w:t> </w:t>
      </w:r>
      <w:r>
        <w:rPr>
          <w:spacing w:val="-10"/>
        </w:rPr>
        <w:t>8</w:t>
      </w:r>
    </w:p>
    <w:p>
      <w:pPr>
        <w:pStyle w:val="BodyText"/>
        <w:spacing w:before="2"/>
        <w:rPr>
          <w:rFonts w:ascii="Arial-BoldItalicMT"/>
          <w:b/>
          <w:i/>
          <w:sz w:val="25"/>
        </w:rPr>
      </w:pPr>
    </w:p>
    <w:p>
      <w:pPr>
        <w:pStyle w:val="BodyText"/>
        <w:spacing w:line="288" w:lineRule="auto"/>
        <w:ind w:left="292" w:right="311"/>
      </w:pPr>
      <w:r>
        <w:rPr/>
        <w:t>ESV should develop an integrated plan of action to strengthen its analytical capabilities and processes</w:t>
      </w:r>
      <w:r>
        <w:rPr>
          <w:spacing w:val="-4"/>
        </w:rPr>
        <w:t> </w:t>
      </w:r>
      <w:r>
        <w:rPr/>
        <w:t>to</w:t>
      </w:r>
      <w:r>
        <w:rPr>
          <w:spacing w:val="-4"/>
        </w:rPr>
        <w:t> </w:t>
      </w:r>
      <w:r>
        <w:rPr/>
        <w:t>support</w:t>
      </w:r>
      <w:r>
        <w:rPr>
          <w:spacing w:val="-3"/>
        </w:rPr>
        <w:t> </w:t>
      </w:r>
      <w:r>
        <w:rPr/>
        <w:t>effective</w:t>
      </w:r>
      <w:r>
        <w:rPr>
          <w:spacing w:val="-2"/>
        </w:rPr>
        <w:t> </w:t>
      </w:r>
      <w:r>
        <w:rPr/>
        <w:t>risk-based</w:t>
      </w:r>
      <w:r>
        <w:rPr>
          <w:spacing w:val="-4"/>
        </w:rPr>
        <w:t> </w:t>
      </w:r>
      <w:r>
        <w:rPr/>
        <w:t>regulation.</w:t>
      </w:r>
      <w:r>
        <w:rPr>
          <w:spacing w:val="-3"/>
        </w:rPr>
        <w:t> </w:t>
      </w:r>
      <w:r>
        <w:rPr/>
        <w:t>This</w:t>
      </w:r>
      <w:r>
        <w:rPr>
          <w:spacing w:val="-1"/>
        </w:rPr>
        <w:t> </w:t>
      </w:r>
      <w:r>
        <w:rPr/>
        <w:t>action</w:t>
      </w:r>
      <w:r>
        <w:rPr>
          <w:spacing w:val="-2"/>
        </w:rPr>
        <w:t> </w:t>
      </w:r>
      <w:r>
        <w:rPr/>
        <w:t>plan</w:t>
      </w:r>
      <w:r>
        <w:rPr>
          <w:spacing w:val="-4"/>
        </w:rPr>
        <w:t> </w:t>
      </w:r>
      <w:r>
        <w:rPr/>
        <w:t>should</w:t>
      </w:r>
      <w:r>
        <w:rPr>
          <w:spacing w:val="-2"/>
        </w:rPr>
        <w:t> </w:t>
      </w:r>
      <w:r>
        <w:rPr/>
        <w:t>build</w:t>
      </w:r>
      <w:r>
        <w:rPr>
          <w:spacing w:val="-2"/>
        </w:rPr>
        <w:t> </w:t>
      </w:r>
      <w:r>
        <w:rPr/>
        <w:t>on</w:t>
      </w:r>
      <w:r>
        <w:rPr>
          <w:spacing w:val="-2"/>
        </w:rPr>
        <w:t> </w:t>
      </w:r>
      <w:r>
        <w:rPr/>
        <w:t>the</w:t>
      </w:r>
      <w:r>
        <w:rPr>
          <w:spacing w:val="-4"/>
        </w:rPr>
        <w:t> </w:t>
      </w:r>
      <w:r>
        <w:rPr/>
        <w:t>initiatives outlined in ESV’s </w:t>
      </w:r>
      <w:r>
        <w:rPr>
          <w:i/>
        </w:rPr>
        <w:t>Corporate Plan 2017-2020</w:t>
      </w:r>
      <w:r>
        <w:rPr/>
        <w:t>. To promote accountability, it should include clear actionable milestones. Progress against the action plan should be reported annually until all planned milestones have been completed.</w:t>
      </w:r>
    </w:p>
    <w:p>
      <w:pPr>
        <w:pStyle w:val="BodyText"/>
        <w:rPr>
          <w:sz w:val="21"/>
        </w:rPr>
      </w:pPr>
    </w:p>
    <w:p>
      <w:pPr>
        <w:pStyle w:val="Heading8"/>
        <w:spacing w:before="1"/>
      </w:pPr>
      <w:r>
        <w:rPr/>
        <w:t>Recommendation</w:t>
      </w:r>
      <w:r>
        <w:rPr>
          <w:spacing w:val="-7"/>
        </w:rPr>
        <w:t> </w:t>
      </w:r>
      <w:r>
        <w:rPr>
          <w:spacing w:val="-10"/>
        </w:rPr>
        <w:t>9</w:t>
      </w:r>
    </w:p>
    <w:p>
      <w:pPr>
        <w:pStyle w:val="BodyText"/>
        <w:spacing w:before="1"/>
        <w:rPr>
          <w:rFonts w:ascii="Arial-BoldItalicMT"/>
          <w:b/>
          <w:i/>
          <w:sz w:val="25"/>
        </w:rPr>
      </w:pPr>
    </w:p>
    <w:p>
      <w:pPr>
        <w:spacing w:line="288" w:lineRule="auto" w:before="1"/>
        <w:ind w:left="292" w:right="311" w:firstLine="0"/>
        <w:jc w:val="left"/>
        <w:rPr>
          <w:sz w:val="22"/>
        </w:rPr>
      </w:pPr>
      <w:r>
        <w:rPr>
          <w:sz w:val="22"/>
        </w:rPr>
        <w:t>ESV should implement the more robust approach to regulatory compliance and enforcement outlined in its </w:t>
      </w:r>
      <w:r>
        <w:rPr>
          <w:i/>
          <w:sz w:val="22"/>
        </w:rPr>
        <w:t>Corporate Plan 2017-2020</w:t>
      </w:r>
      <w:r>
        <w:rPr>
          <w:sz w:val="22"/>
        </w:rPr>
        <w:t>, and prepare an updated </w:t>
      </w:r>
      <w:r>
        <w:rPr>
          <w:i/>
          <w:sz w:val="22"/>
        </w:rPr>
        <w:t>Charter of Consultation and Regulatory</w:t>
      </w:r>
      <w:r>
        <w:rPr>
          <w:i/>
          <w:spacing w:val="-1"/>
          <w:sz w:val="22"/>
        </w:rPr>
        <w:t> </w:t>
      </w:r>
      <w:r>
        <w:rPr>
          <w:i/>
          <w:sz w:val="22"/>
        </w:rPr>
        <w:t>Practice</w:t>
      </w:r>
      <w:r>
        <w:rPr>
          <w:i/>
          <w:spacing w:val="-3"/>
          <w:sz w:val="22"/>
        </w:rPr>
        <w:t> </w:t>
      </w:r>
      <w:r>
        <w:rPr>
          <w:sz w:val="22"/>
        </w:rPr>
        <w:t>and</w:t>
      </w:r>
      <w:r>
        <w:rPr>
          <w:spacing w:val="-4"/>
          <w:sz w:val="22"/>
        </w:rPr>
        <w:t> </w:t>
      </w:r>
      <w:r>
        <w:rPr>
          <w:sz w:val="22"/>
        </w:rPr>
        <w:t>an</w:t>
      </w:r>
      <w:r>
        <w:rPr>
          <w:spacing w:val="-2"/>
          <w:sz w:val="22"/>
        </w:rPr>
        <w:t> </w:t>
      </w:r>
      <w:r>
        <w:rPr>
          <w:sz w:val="22"/>
        </w:rPr>
        <w:t>updated</w:t>
      </w:r>
      <w:r>
        <w:rPr>
          <w:spacing w:val="-4"/>
          <w:sz w:val="22"/>
        </w:rPr>
        <w:t> </w:t>
      </w:r>
      <w:r>
        <w:rPr>
          <w:i/>
          <w:sz w:val="22"/>
        </w:rPr>
        <w:t>Compliance</w:t>
      </w:r>
      <w:r>
        <w:rPr>
          <w:i/>
          <w:spacing w:val="-4"/>
          <w:sz w:val="22"/>
        </w:rPr>
        <w:t> </w:t>
      </w:r>
      <w:r>
        <w:rPr>
          <w:i/>
          <w:sz w:val="22"/>
        </w:rPr>
        <w:t>and</w:t>
      </w:r>
      <w:r>
        <w:rPr>
          <w:i/>
          <w:spacing w:val="-2"/>
          <w:sz w:val="22"/>
        </w:rPr>
        <w:t> </w:t>
      </w:r>
      <w:r>
        <w:rPr>
          <w:i/>
          <w:sz w:val="22"/>
        </w:rPr>
        <w:t>Enforcement Policy</w:t>
      </w:r>
      <w:r>
        <w:rPr>
          <w:sz w:val="22"/>
        </w:rPr>
        <w:t>,</w:t>
      </w:r>
      <w:r>
        <w:rPr>
          <w:spacing w:val="-5"/>
          <w:sz w:val="22"/>
        </w:rPr>
        <w:t> </w:t>
      </w:r>
      <w:r>
        <w:rPr>
          <w:sz w:val="22"/>
        </w:rPr>
        <w:t>to</w:t>
      </w:r>
      <w:r>
        <w:rPr>
          <w:spacing w:val="-4"/>
          <w:sz w:val="22"/>
        </w:rPr>
        <w:t> </w:t>
      </w:r>
      <w:r>
        <w:rPr>
          <w:sz w:val="22"/>
        </w:rPr>
        <w:t>reflect</w:t>
      </w:r>
      <w:r>
        <w:rPr>
          <w:spacing w:val="-3"/>
          <w:sz w:val="22"/>
        </w:rPr>
        <w:t> </w:t>
      </w:r>
      <w:r>
        <w:rPr>
          <w:sz w:val="22"/>
        </w:rPr>
        <w:t>this</w:t>
      </w:r>
      <w:r>
        <w:rPr>
          <w:spacing w:val="-1"/>
          <w:sz w:val="22"/>
        </w:rPr>
        <w:t> </w:t>
      </w:r>
      <w:r>
        <w:rPr>
          <w:sz w:val="22"/>
        </w:rPr>
        <w:t>amended </w:t>
      </w:r>
      <w:r>
        <w:rPr>
          <w:spacing w:val="-2"/>
          <w:sz w:val="22"/>
        </w:rPr>
        <w:t>approach.</w:t>
      </w:r>
    </w:p>
    <w:p>
      <w:pPr>
        <w:pStyle w:val="BodyText"/>
        <w:spacing w:before="9"/>
        <w:rPr>
          <w:sz w:val="20"/>
        </w:rPr>
      </w:pPr>
    </w:p>
    <w:p>
      <w:pPr>
        <w:pStyle w:val="Heading8"/>
        <w:spacing w:before="1"/>
      </w:pPr>
      <w:r>
        <w:rPr/>
        <w:t>Recommendation</w:t>
      </w:r>
      <w:r>
        <w:rPr>
          <w:spacing w:val="-7"/>
        </w:rPr>
        <w:t> </w:t>
      </w:r>
      <w:r>
        <w:rPr>
          <w:spacing w:val="-5"/>
        </w:rPr>
        <w:t>10</w:t>
      </w:r>
    </w:p>
    <w:p>
      <w:pPr>
        <w:pStyle w:val="BodyText"/>
        <w:spacing w:before="4"/>
        <w:rPr>
          <w:rFonts w:ascii="Arial-BoldItalicMT"/>
          <w:b/>
          <w:i/>
          <w:sz w:val="25"/>
        </w:rPr>
      </w:pPr>
    </w:p>
    <w:p>
      <w:pPr>
        <w:pStyle w:val="BodyText"/>
        <w:spacing w:line="288" w:lineRule="auto"/>
        <w:ind w:left="292" w:right="374"/>
      </w:pPr>
      <w:r>
        <w:rPr/>
        <w:t>ESV should maintain a sufficient capability to initiate strong enforcement actions, including legal prosecution,</w:t>
      </w:r>
      <w:r>
        <w:rPr>
          <w:spacing w:val="-2"/>
        </w:rPr>
        <w:t> </w:t>
      </w:r>
      <w:r>
        <w:rPr/>
        <w:t>when</w:t>
      </w:r>
      <w:r>
        <w:rPr>
          <w:spacing w:val="-4"/>
        </w:rPr>
        <w:t> </w:t>
      </w:r>
      <w:r>
        <w:rPr/>
        <w:t>justified</w:t>
      </w:r>
      <w:r>
        <w:rPr>
          <w:spacing w:val="-4"/>
        </w:rPr>
        <w:t> </w:t>
      </w:r>
      <w:r>
        <w:rPr/>
        <w:t>on</w:t>
      </w:r>
      <w:r>
        <w:rPr>
          <w:spacing w:val="-4"/>
        </w:rPr>
        <w:t> </w:t>
      </w:r>
      <w:r>
        <w:rPr/>
        <w:t>public</w:t>
      </w:r>
      <w:r>
        <w:rPr>
          <w:spacing w:val="-3"/>
        </w:rPr>
        <w:t> </w:t>
      </w:r>
      <w:r>
        <w:rPr/>
        <w:t>interest</w:t>
      </w:r>
      <w:r>
        <w:rPr>
          <w:spacing w:val="-5"/>
        </w:rPr>
        <w:t> </w:t>
      </w:r>
      <w:r>
        <w:rPr/>
        <w:t>grounds.</w:t>
      </w:r>
      <w:r>
        <w:rPr>
          <w:spacing w:val="-5"/>
        </w:rPr>
        <w:t> </w:t>
      </w:r>
      <w:r>
        <w:rPr/>
        <w:t>This</w:t>
      </w:r>
      <w:r>
        <w:rPr>
          <w:spacing w:val="-6"/>
        </w:rPr>
        <w:t> </w:t>
      </w:r>
      <w:r>
        <w:rPr/>
        <w:t>should</w:t>
      </w:r>
      <w:r>
        <w:rPr>
          <w:spacing w:val="-4"/>
        </w:rPr>
        <w:t> </w:t>
      </w:r>
      <w:r>
        <w:rPr/>
        <w:t>include</w:t>
      </w:r>
      <w:r>
        <w:rPr>
          <w:spacing w:val="-4"/>
        </w:rPr>
        <w:t> </w:t>
      </w:r>
      <w:r>
        <w:rPr/>
        <w:t>standing</w:t>
      </w:r>
      <w:r>
        <w:rPr>
          <w:spacing w:val="-2"/>
        </w:rPr>
        <w:t> </w:t>
      </w:r>
      <w:r>
        <w:rPr/>
        <w:t>arrangements to ensure it can effectively draw on specialist external resources if and when required. ESV’s capabilities to support strong enforcement actions should be reviewed by ESV’s Executive Management Board annually.</w:t>
      </w:r>
    </w:p>
    <w:p>
      <w:pPr>
        <w:pStyle w:val="BodyText"/>
        <w:spacing w:before="9"/>
        <w:rPr>
          <w:sz w:val="20"/>
        </w:rPr>
      </w:pPr>
    </w:p>
    <w:p>
      <w:pPr>
        <w:pStyle w:val="Heading8"/>
        <w:spacing w:before="1"/>
      </w:pPr>
      <w:r>
        <w:rPr/>
        <w:t>Recommendation</w:t>
      </w:r>
      <w:r>
        <w:rPr>
          <w:spacing w:val="-7"/>
        </w:rPr>
        <w:t> </w:t>
      </w:r>
      <w:r>
        <w:rPr>
          <w:spacing w:val="-5"/>
        </w:rPr>
        <w:t>11</w:t>
      </w:r>
    </w:p>
    <w:p>
      <w:pPr>
        <w:pStyle w:val="BodyText"/>
        <w:spacing w:before="1"/>
        <w:rPr>
          <w:rFonts w:ascii="Arial-BoldItalicMT"/>
          <w:b/>
          <w:i/>
          <w:sz w:val="25"/>
        </w:rPr>
      </w:pPr>
    </w:p>
    <w:p>
      <w:pPr>
        <w:pStyle w:val="BodyText"/>
        <w:spacing w:line="288" w:lineRule="auto" w:before="1"/>
        <w:ind w:left="292" w:right="311"/>
      </w:pPr>
      <w:r>
        <w:rPr/>
        <w:t>ESV should continue to strengthen its internal systems and processes to facilitate robust and consistent compliance and enforcement decision making. This should include the continued operation of the recently re-established Compliance and Enforcement Panel, and any necessary improvements</w:t>
      </w:r>
      <w:r>
        <w:rPr>
          <w:spacing w:val="-4"/>
        </w:rPr>
        <w:t> </w:t>
      </w:r>
      <w:r>
        <w:rPr/>
        <w:t>in</w:t>
      </w:r>
      <w:r>
        <w:rPr>
          <w:spacing w:val="-4"/>
        </w:rPr>
        <w:t> </w:t>
      </w:r>
      <w:r>
        <w:rPr/>
        <w:t>the</w:t>
      </w:r>
      <w:r>
        <w:rPr>
          <w:spacing w:val="-2"/>
        </w:rPr>
        <w:t> </w:t>
      </w:r>
      <w:r>
        <w:rPr/>
        <w:t>internal</w:t>
      </w:r>
      <w:r>
        <w:rPr>
          <w:spacing w:val="-5"/>
        </w:rPr>
        <w:t> </w:t>
      </w:r>
      <w:r>
        <w:rPr/>
        <w:t>guidance</w:t>
      </w:r>
      <w:r>
        <w:rPr>
          <w:spacing w:val="-4"/>
        </w:rPr>
        <w:t> </w:t>
      </w:r>
      <w:r>
        <w:rPr/>
        <w:t>to</w:t>
      </w:r>
      <w:r>
        <w:rPr>
          <w:spacing w:val="-2"/>
        </w:rPr>
        <w:t> </w:t>
      </w:r>
      <w:r>
        <w:rPr/>
        <w:t>ESV</w:t>
      </w:r>
      <w:r>
        <w:rPr>
          <w:spacing w:val="-2"/>
        </w:rPr>
        <w:t> </w:t>
      </w:r>
      <w:r>
        <w:rPr/>
        <w:t>officers</w:t>
      </w:r>
      <w:r>
        <w:rPr>
          <w:spacing w:val="-1"/>
        </w:rPr>
        <w:t> </w:t>
      </w:r>
      <w:r>
        <w:rPr/>
        <w:t>in</w:t>
      </w:r>
      <w:r>
        <w:rPr>
          <w:spacing w:val="-4"/>
        </w:rPr>
        <w:t> </w:t>
      </w:r>
      <w:r>
        <w:rPr/>
        <w:t>compliance</w:t>
      </w:r>
      <w:r>
        <w:rPr>
          <w:spacing w:val="-2"/>
        </w:rPr>
        <w:t> </w:t>
      </w:r>
      <w:r>
        <w:rPr/>
        <w:t>and</w:t>
      </w:r>
      <w:r>
        <w:rPr>
          <w:spacing w:val="-4"/>
        </w:rPr>
        <w:t> </w:t>
      </w:r>
      <w:r>
        <w:rPr/>
        <w:t>enforcement</w:t>
      </w:r>
      <w:r>
        <w:rPr>
          <w:spacing w:val="-3"/>
        </w:rPr>
        <w:t> </w:t>
      </w:r>
      <w:r>
        <w:rPr/>
        <w:t>related</w:t>
      </w:r>
      <w:r>
        <w:rPr>
          <w:spacing w:val="-4"/>
        </w:rPr>
        <w:t> </w:t>
      </w:r>
      <w:r>
        <w:rPr/>
        <w:t>roles to ensure timely and consistent decision making.</w:t>
      </w:r>
    </w:p>
    <w:p>
      <w:pPr>
        <w:spacing w:after="0" w:line="288" w:lineRule="auto"/>
        <w:sectPr>
          <w:pgSz w:w="11910" w:h="16850"/>
          <w:pgMar w:header="465" w:footer="880" w:top="660" w:bottom="1060" w:left="840" w:right="820"/>
        </w:sectPr>
      </w:pPr>
    </w:p>
    <w:p>
      <w:pPr>
        <w:pStyle w:val="BodyText"/>
        <w:rPr>
          <w:sz w:val="17"/>
        </w:rPr>
      </w:pPr>
    </w:p>
    <w:p>
      <w:pPr>
        <w:pStyle w:val="BodyText"/>
        <w:spacing w:line="288" w:lineRule="auto" w:before="94"/>
        <w:ind w:left="292" w:right="374"/>
      </w:pPr>
      <w:r>
        <w:rPr/>
        <w:t>The range of compliance and enforcement tools provided in legislation should be expanded, including provision for injunctions and adverse publicity orders, and giving ESV the capacity to enter</w:t>
      </w:r>
      <w:r>
        <w:rPr>
          <w:spacing w:val="-5"/>
        </w:rPr>
        <w:t> </w:t>
      </w:r>
      <w:r>
        <w:rPr/>
        <w:t>into</w:t>
      </w:r>
      <w:r>
        <w:rPr>
          <w:spacing w:val="-3"/>
        </w:rPr>
        <w:t> </w:t>
      </w:r>
      <w:r>
        <w:rPr/>
        <w:t>enforceable</w:t>
      </w:r>
      <w:r>
        <w:rPr>
          <w:spacing w:val="-4"/>
        </w:rPr>
        <w:t> </w:t>
      </w:r>
      <w:r>
        <w:rPr/>
        <w:t>undertakings.</w:t>
      </w:r>
      <w:r>
        <w:rPr>
          <w:spacing w:val="-5"/>
        </w:rPr>
        <w:t> </w:t>
      </w:r>
      <w:r>
        <w:rPr/>
        <w:t>In</w:t>
      </w:r>
      <w:r>
        <w:rPr>
          <w:spacing w:val="-4"/>
        </w:rPr>
        <w:t> </w:t>
      </w:r>
      <w:r>
        <w:rPr/>
        <w:t>addition,</w:t>
      </w:r>
      <w:r>
        <w:rPr>
          <w:spacing w:val="-2"/>
        </w:rPr>
        <w:t> </w:t>
      </w:r>
      <w:r>
        <w:rPr/>
        <w:t>existing</w:t>
      </w:r>
      <w:r>
        <w:rPr>
          <w:spacing w:val="-2"/>
        </w:rPr>
        <w:t> </w:t>
      </w:r>
      <w:r>
        <w:rPr/>
        <w:t>regulatory</w:t>
      </w:r>
      <w:r>
        <w:rPr>
          <w:spacing w:val="-5"/>
        </w:rPr>
        <w:t> </w:t>
      </w:r>
      <w:r>
        <w:rPr/>
        <w:t>tools</w:t>
      </w:r>
      <w:r>
        <w:rPr>
          <w:spacing w:val="-3"/>
        </w:rPr>
        <w:t> </w:t>
      </w:r>
      <w:r>
        <w:rPr/>
        <w:t>available</w:t>
      </w:r>
      <w:r>
        <w:rPr>
          <w:spacing w:val="-4"/>
        </w:rPr>
        <w:t> </w:t>
      </w:r>
      <w:r>
        <w:rPr/>
        <w:t>to</w:t>
      </w:r>
      <w:r>
        <w:rPr>
          <w:spacing w:val="-4"/>
        </w:rPr>
        <w:t> </w:t>
      </w:r>
      <w:r>
        <w:rPr/>
        <w:t>ESV</w:t>
      </w:r>
      <w:r>
        <w:rPr>
          <w:spacing w:val="-4"/>
        </w:rPr>
        <w:t> </w:t>
      </w:r>
      <w:r>
        <w:rPr/>
        <w:t>should be reviewed to:</w:t>
      </w:r>
    </w:p>
    <w:p>
      <w:pPr>
        <w:pStyle w:val="BodyText"/>
        <w:spacing w:before="4"/>
      </w:pPr>
    </w:p>
    <w:p>
      <w:pPr>
        <w:pStyle w:val="ListParagraph"/>
        <w:numPr>
          <w:ilvl w:val="0"/>
          <w:numId w:val="18"/>
        </w:numPr>
        <w:tabs>
          <w:tab w:pos="574" w:val="left" w:leader="none"/>
          <w:tab w:pos="576" w:val="left" w:leader="none"/>
        </w:tabs>
        <w:spacing w:line="288" w:lineRule="auto" w:before="0" w:after="0"/>
        <w:ind w:left="576" w:right="849" w:hanging="284"/>
        <w:jc w:val="left"/>
        <w:rPr>
          <w:sz w:val="22"/>
        </w:rPr>
      </w:pPr>
      <w:r>
        <w:rPr>
          <w:sz w:val="22"/>
        </w:rPr>
        <w:t>remove</w:t>
      </w:r>
      <w:r>
        <w:rPr>
          <w:spacing w:val="-2"/>
          <w:sz w:val="22"/>
        </w:rPr>
        <w:t> </w:t>
      </w:r>
      <w:r>
        <w:rPr>
          <w:sz w:val="22"/>
        </w:rPr>
        <w:t>unnecessary</w:t>
      </w:r>
      <w:r>
        <w:rPr>
          <w:spacing w:val="-4"/>
          <w:sz w:val="22"/>
        </w:rPr>
        <w:t> </w:t>
      </w:r>
      <w:r>
        <w:rPr>
          <w:sz w:val="22"/>
        </w:rPr>
        <w:t>limitations</w:t>
      </w:r>
      <w:r>
        <w:rPr>
          <w:spacing w:val="-2"/>
          <w:sz w:val="22"/>
        </w:rPr>
        <w:t> </w:t>
      </w:r>
      <w:r>
        <w:rPr>
          <w:sz w:val="22"/>
        </w:rPr>
        <w:t>on</w:t>
      </w:r>
      <w:r>
        <w:rPr>
          <w:spacing w:val="-4"/>
          <w:sz w:val="22"/>
        </w:rPr>
        <w:t> </w:t>
      </w:r>
      <w:r>
        <w:rPr>
          <w:sz w:val="22"/>
        </w:rPr>
        <w:t>what the</w:t>
      </w:r>
      <w:r>
        <w:rPr>
          <w:spacing w:val="-7"/>
          <w:sz w:val="22"/>
        </w:rPr>
        <w:t> </w:t>
      </w:r>
      <w:r>
        <w:rPr>
          <w:sz w:val="22"/>
        </w:rPr>
        <w:t>tools</w:t>
      </w:r>
      <w:r>
        <w:rPr>
          <w:spacing w:val="-4"/>
          <w:sz w:val="22"/>
        </w:rPr>
        <w:t> </w:t>
      </w:r>
      <w:r>
        <w:rPr>
          <w:sz w:val="22"/>
        </w:rPr>
        <w:t>can</w:t>
      </w:r>
      <w:r>
        <w:rPr>
          <w:spacing w:val="-2"/>
          <w:sz w:val="22"/>
        </w:rPr>
        <w:t> </w:t>
      </w:r>
      <w:r>
        <w:rPr>
          <w:sz w:val="22"/>
        </w:rPr>
        <w:t>be</w:t>
      </w:r>
      <w:r>
        <w:rPr>
          <w:spacing w:val="-2"/>
          <w:sz w:val="22"/>
        </w:rPr>
        <w:t> </w:t>
      </w:r>
      <w:r>
        <w:rPr>
          <w:sz w:val="22"/>
        </w:rPr>
        <w:t>used</w:t>
      </w:r>
      <w:r>
        <w:rPr>
          <w:spacing w:val="-6"/>
          <w:sz w:val="22"/>
        </w:rPr>
        <w:t> </w:t>
      </w:r>
      <w:r>
        <w:rPr>
          <w:sz w:val="22"/>
        </w:rPr>
        <w:t>for, including</w:t>
      </w:r>
      <w:r>
        <w:rPr>
          <w:spacing w:val="-2"/>
          <w:sz w:val="22"/>
        </w:rPr>
        <w:t> </w:t>
      </w:r>
      <w:r>
        <w:rPr>
          <w:sz w:val="22"/>
        </w:rPr>
        <w:t>expanding</w:t>
      </w:r>
      <w:r>
        <w:rPr>
          <w:spacing w:val="-2"/>
          <w:sz w:val="22"/>
        </w:rPr>
        <w:t> </w:t>
      </w:r>
      <w:r>
        <w:rPr>
          <w:sz w:val="22"/>
        </w:rPr>
        <w:t>the scope for infringement and improvement notices to be used;</w:t>
      </w:r>
    </w:p>
    <w:p>
      <w:pPr>
        <w:pStyle w:val="ListParagraph"/>
        <w:numPr>
          <w:ilvl w:val="0"/>
          <w:numId w:val="18"/>
        </w:numPr>
        <w:tabs>
          <w:tab w:pos="574" w:val="left" w:leader="none"/>
        </w:tabs>
        <w:spacing w:line="240" w:lineRule="auto" w:before="14" w:after="0"/>
        <w:ind w:left="574" w:right="0" w:hanging="282"/>
        <w:jc w:val="left"/>
        <w:rPr>
          <w:sz w:val="22"/>
        </w:rPr>
      </w:pPr>
      <w:r>
        <w:rPr>
          <w:sz w:val="22"/>
        </w:rPr>
        <w:t>better</w:t>
      </w:r>
      <w:r>
        <w:rPr>
          <w:spacing w:val="-3"/>
          <w:sz w:val="22"/>
        </w:rPr>
        <w:t> </w:t>
      </w:r>
      <w:r>
        <w:rPr>
          <w:sz w:val="22"/>
        </w:rPr>
        <w:t>align</w:t>
      </w:r>
      <w:r>
        <w:rPr>
          <w:spacing w:val="-6"/>
          <w:sz w:val="22"/>
        </w:rPr>
        <w:t> </w:t>
      </w:r>
      <w:r>
        <w:rPr>
          <w:sz w:val="22"/>
        </w:rPr>
        <w:t>them</w:t>
      </w:r>
      <w:r>
        <w:rPr>
          <w:spacing w:val="-5"/>
          <w:sz w:val="22"/>
        </w:rPr>
        <w:t> </w:t>
      </w:r>
      <w:r>
        <w:rPr>
          <w:sz w:val="22"/>
        </w:rPr>
        <w:t>between</w:t>
      </w:r>
      <w:r>
        <w:rPr>
          <w:spacing w:val="-4"/>
          <w:sz w:val="22"/>
        </w:rPr>
        <w:t> </w:t>
      </w:r>
      <w:r>
        <w:rPr>
          <w:sz w:val="22"/>
        </w:rPr>
        <w:t>electricity</w:t>
      </w:r>
      <w:r>
        <w:rPr>
          <w:spacing w:val="-6"/>
          <w:sz w:val="22"/>
        </w:rPr>
        <w:t> </w:t>
      </w:r>
      <w:r>
        <w:rPr>
          <w:sz w:val="22"/>
        </w:rPr>
        <w:t>and</w:t>
      </w:r>
      <w:r>
        <w:rPr>
          <w:spacing w:val="-8"/>
          <w:sz w:val="22"/>
        </w:rPr>
        <w:t> </w:t>
      </w:r>
      <w:r>
        <w:rPr>
          <w:sz w:val="22"/>
        </w:rPr>
        <w:t>gas</w:t>
      </w:r>
      <w:r>
        <w:rPr>
          <w:spacing w:val="-4"/>
          <w:sz w:val="22"/>
        </w:rPr>
        <w:t> </w:t>
      </w:r>
      <w:r>
        <w:rPr>
          <w:sz w:val="22"/>
        </w:rPr>
        <w:t>sectors;</w:t>
      </w:r>
      <w:r>
        <w:rPr>
          <w:spacing w:val="-3"/>
          <w:sz w:val="22"/>
        </w:rPr>
        <w:t> </w:t>
      </w:r>
      <w:r>
        <w:rPr>
          <w:spacing w:val="-5"/>
          <w:sz w:val="22"/>
        </w:rPr>
        <w:t>and</w:t>
      </w:r>
    </w:p>
    <w:p>
      <w:pPr>
        <w:pStyle w:val="ListParagraph"/>
        <w:numPr>
          <w:ilvl w:val="0"/>
          <w:numId w:val="18"/>
        </w:numPr>
        <w:tabs>
          <w:tab w:pos="574" w:val="left" w:leader="none"/>
        </w:tabs>
        <w:spacing w:line="240" w:lineRule="auto" w:before="66" w:after="0"/>
        <w:ind w:left="574" w:right="0" w:hanging="282"/>
        <w:jc w:val="left"/>
        <w:rPr>
          <w:sz w:val="22"/>
        </w:rPr>
      </w:pPr>
      <w:r>
        <w:rPr>
          <w:sz w:val="22"/>
        </w:rPr>
        <w:t>identify</w:t>
      </w:r>
      <w:r>
        <w:rPr>
          <w:spacing w:val="-6"/>
          <w:sz w:val="22"/>
        </w:rPr>
        <w:t> </w:t>
      </w:r>
      <w:r>
        <w:rPr>
          <w:sz w:val="22"/>
        </w:rPr>
        <w:t>any</w:t>
      </w:r>
      <w:r>
        <w:rPr>
          <w:spacing w:val="-7"/>
          <w:sz w:val="22"/>
        </w:rPr>
        <w:t> </w:t>
      </w:r>
      <w:r>
        <w:rPr>
          <w:sz w:val="22"/>
        </w:rPr>
        <w:t>further</w:t>
      </w:r>
      <w:r>
        <w:rPr>
          <w:spacing w:val="-3"/>
          <w:sz w:val="22"/>
        </w:rPr>
        <w:t> </w:t>
      </w:r>
      <w:r>
        <w:rPr>
          <w:sz w:val="22"/>
        </w:rPr>
        <w:t>improvements</w:t>
      </w:r>
      <w:r>
        <w:rPr>
          <w:spacing w:val="-5"/>
          <w:sz w:val="22"/>
        </w:rPr>
        <w:t> </w:t>
      </w:r>
      <w:r>
        <w:rPr>
          <w:sz w:val="22"/>
        </w:rPr>
        <w:t>that</w:t>
      </w:r>
      <w:r>
        <w:rPr>
          <w:spacing w:val="-5"/>
          <w:sz w:val="22"/>
        </w:rPr>
        <w:t> </w:t>
      </w:r>
      <w:r>
        <w:rPr>
          <w:sz w:val="22"/>
        </w:rPr>
        <w:t>may</w:t>
      </w:r>
      <w:r>
        <w:rPr>
          <w:spacing w:val="-5"/>
          <w:sz w:val="22"/>
        </w:rPr>
        <w:t> </w:t>
      </w:r>
      <w:r>
        <w:rPr>
          <w:sz w:val="22"/>
        </w:rPr>
        <w:t>be</w:t>
      </w:r>
      <w:r>
        <w:rPr>
          <w:spacing w:val="-5"/>
          <w:sz w:val="22"/>
        </w:rPr>
        <w:t> </w:t>
      </w:r>
      <w:r>
        <w:rPr>
          <w:spacing w:val="-2"/>
          <w:sz w:val="22"/>
        </w:rPr>
        <w:t>required.</w:t>
      </w:r>
    </w:p>
    <w:p>
      <w:pPr>
        <w:pStyle w:val="BodyText"/>
        <w:spacing w:before="7"/>
        <w:rPr>
          <w:sz w:val="21"/>
        </w:rPr>
      </w:pPr>
    </w:p>
    <w:p>
      <w:pPr>
        <w:pStyle w:val="Heading8"/>
        <w:spacing w:before="1"/>
      </w:pPr>
      <w:r>
        <w:rPr/>
        <w:t>Recommendation</w:t>
      </w:r>
      <w:r>
        <w:rPr>
          <w:spacing w:val="-7"/>
        </w:rPr>
        <w:t> </w:t>
      </w:r>
      <w:r>
        <w:rPr>
          <w:spacing w:val="-5"/>
        </w:rPr>
        <w:t>13</w:t>
      </w:r>
    </w:p>
    <w:p>
      <w:pPr>
        <w:pStyle w:val="BodyText"/>
        <w:spacing w:before="4"/>
        <w:rPr>
          <w:rFonts w:ascii="Arial-BoldItalicMT"/>
          <w:b/>
          <w:i/>
          <w:sz w:val="25"/>
        </w:rPr>
      </w:pPr>
    </w:p>
    <w:p>
      <w:pPr>
        <w:pStyle w:val="BodyText"/>
        <w:spacing w:line="288" w:lineRule="auto" w:before="1"/>
        <w:ind w:left="292" w:right="311"/>
      </w:pPr>
      <w:r>
        <w:rPr/>
        <w:t>The penalty levels for offences related to electricity and gas networks should be reviewed with a view</w:t>
      </w:r>
      <w:r>
        <w:rPr>
          <w:spacing w:val="-5"/>
        </w:rPr>
        <w:t> </w:t>
      </w:r>
      <w:r>
        <w:rPr/>
        <w:t>to</w:t>
      </w:r>
      <w:r>
        <w:rPr>
          <w:spacing w:val="-2"/>
        </w:rPr>
        <w:t> </w:t>
      </w:r>
      <w:r>
        <w:rPr/>
        <w:t>increasing</w:t>
      </w:r>
      <w:r>
        <w:rPr>
          <w:spacing w:val="-2"/>
        </w:rPr>
        <w:t> </w:t>
      </w:r>
      <w:r>
        <w:rPr/>
        <w:t>them</w:t>
      </w:r>
      <w:r>
        <w:rPr>
          <w:spacing w:val="-3"/>
        </w:rPr>
        <w:t> </w:t>
      </w:r>
      <w:r>
        <w:rPr/>
        <w:t>to</w:t>
      </w:r>
      <w:r>
        <w:rPr>
          <w:spacing w:val="-2"/>
        </w:rPr>
        <w:t> </w:t>
      </w:r>
      <w:r>
        <w:rPr/>
        <w:t>levels</w:t>
      </w:r>
      <w:r>
        <w:rPr>
          <w:spacing w:val="-1"/>
        </w:rPr>
        <w:t> </w:t>
      </w:r>
      <w:r>
        <w:rPr/>
        <w:t>that apply</w:t>
      </w:r>
      <w:r>
        <w:rPr>
          <w:spacing w:val="-4"/>
        </w:rPr>
        <w:t> </w:t>
      </w:r>
      <w:r>
        <w:rPr/>
        <w:t>in</w:t>
      </w:r>
      <w:r>
        <w:rPr>
          <w:spacing w:val="-2"/>
        </w:rPr>
        <w:t> </w:t>
      </w:r>
      <w:r>
        <w:rPr/>
        <w:t>other</w:t>
      </w:r>
      <w:r>
        <w:rPr>
          <w:spacing w:val="-1"/>
        </w:rPr>
        <w:t> </w:t>
      </w:r>
      <w:r>
        <w:rPr/>
        <w:t>leading</w:t>
      </w:r>
      <w:r>
        <w:rPr>
          <w:spacing w:val="-2"/>
        </w:rPr>
        <w:t> </w:t>
      </w:r>
      <w:r>
        <w:rPr/>
        <w:t>safety</w:t>
      </w:r>
      <w:r>
        <w:rPr>
          <w:spacing w:val="-3"/>
        </w:rPr>
        <w:t> </w:t>
      </w:r>
      <w:r>
        <w:rPr/>
        <w:t>regimes</w:t>
      </w:r>
      <w:r>
        <w:rPr>
          <w:spacing w:val="-1"/>
        </w:rPr>
        <w:t> </w:t>
      </w:r>
      <w:r>
        <w:rPr/>
        <w:t>in</w:t>
      </w:r>
      <w:r>
        <w:rPr>
          <w:spacing w:val="-2"/>
        </w:rPr>
        <w:t> </w:t>
      </w:r>
      <w:r>
        <w:rPr/>
        <w:t>Australia.</w:t>
      </w:r>
      <w:r>
        <w:rPr>
          <w:spacing w:val="-1"/>
        </w:rPr>
        <w:t> </w:t>
      </w:r>
      <w:r>
        <w:rPr/>
        <w:t>As</w:t>
      </w:r>
      <w:r>
        <w:rPr>
          <w:spacing w:val="-4"/>
        </w:rPr>
        <w:t> </w:t>
      </w:r>
      <w:r>
        <w:rPr/>
        <w:t>part of this process, the penalties for similar offences applying to pipelines, gas and electricity networks should be aligned.</w:t>
      </w:r>
    </w:p>
    <w:p>
      <w:pPr>
        <w:pStyle w:val="BodyText"/>
        <w:spacing w:before="9"/>
        <w:rPr>
          <w:sz w:val="20"/>
        </w:rPr>
      </w:pPr>
    </w:p>
    <w:p>
      <w:pPr>
        <w:pStyle w:val="Heading8"/>
        <w:spacing w:before="1"/>
      </w:pPr>
      <w:r>
        <w:rPr/>
        <w:t>Recommendation</w:t>
      </w:r>
      <w:r>
        <w:rPr>
          <w:spacing w:val="-7"/>
        </w:rPr>
        <w:t> </w:t>
      </w:r>
      <w:r>
        <w:rPr>
          <w:spacing w:val="-5"/>
        </w:rPr>
        <w:t>14</w:t>
      </w:r>
    </w:p>
    <w:p>
      <w:pPr>
        <w:pStyle w:val="BodyText"/>
        <w:spacing w:before="1"/>
        <w:rPr>
          <w:rFonts w:ascii="Arial-BoldItalicMT"/>
          <w:b/>
          <w:i/>
          <w:sz w:val="25"/>
        </w:rPr>
      </w:pPr>
    </w:p>
    <w:p>
      <w:pPr>
        <w:pStyle w:val="BodyText"/>
        <w:spacing w:line="288" w:lineRule="auto" w:before="1"/>
        <w:ind w:left="292" w:right="311"/>
      </w:pPr>
      <w:r>
        <w:rPr/>
        <w:t>The development of a mature data analytics capability, including the data collection and management systems to</w:t>
      </w:r>
      <w:r>
        <w:rPr>
          <w:spacing w:val="-1"/>
        </w:rPr>
        <w:t> </w:t>
      </w:r>
      <w:r>
        <w:rPr/>
        <w:t>support robust statistical analysis, should</w:t>
      </w:r>
      <w:r>
        <w:rPr>
          <w:spacing w:val="-1"/>
        </w:rPr>
        <w:t> </w:t>
      </w:r>
      <w:r>
        <w:rPr/>
        <w:t>form a</w:t>
      </w:r>
      <w:r>
        <w:rPr>
          <w:spacing w:val="-3"/>
        </w:rPr>
        <w:t> </w:t>
      </w:r>
      <w:r>
        <w:rPr/>
        <w:t>central</w:t>
      </w:r>
      <w:r>
        <w:rPr>
          <w:spacing w:val="-2"/>
        </w:rPr>
        <w:t> </w:t>
      </w:r>
      <w:r>
        <w:rPr/>
        <w:t>component of ESV’s</w:t>
      </w:r>
      <w:r>
        <w:rPr>
          <w:spacing w:val="-1"/>
        </w:rPr>
        <w:t> </w:t>
      </w:r>
      <w:r>
        <w:rPr/>
        <w:t>integrated</w:t>
      </w:r>
      <w:r>
        <w:rPr>
          <w:spacing w:val="-4"/>
        </w:rPr>
        <w:t> </w:t>
      </w:r>
      <w:r>
        <w:rPr/>
        <w:t>action</w:t>
      </w:r>
      <w:r>
        <w:rPr>
          <w:spacing w:val="-6"/>
        </w:rPr>
        <w:t> </w:t>
      </w:r>
      <w:r>
        <w:rPr/>
        <w:t>plan</w:t>
      </w:r>
      <w:r>
        <w:rPr>
          <w:spacing w:val="-2"/>
        </w:rPr>
        <w:t> </w:t>
      </w:r>
      <w:r>
        <w:rPr/>
        <w:t>to</w:t>
      </w:r>
      <w:r>
        <w:rPr>
          <w:spacing w:val="-2"/>
        </w:rPr>
        <w:t> </w:t>
      </w:r>
      <w:r>
        <w:rPr/>
        <w:t>strengthen</w:t>
      </w:r>
      <w:r>
        <w:rPr>
          <w:spacing w:val="-4"/>
        </w:rPr>
        <w:t> </w:t>
      </w:r>
      <w:r>
        <w:rPr/>
        <w:t>its</w:t>
      </w:r>
      <w:r>
        <w:rPr>
          <w:spacing w:val="-1"/>
        </w:rPr>
        <w:t> </w:t>
      </w:r>
      <w:r>
        <w:rPr/>
        <w:t>analytical</w:t>
      </w:r>
      <w:r>
        <w:rPr>
          <w:spacing w:val="-3"/>
        </w:rPr>
        <w:t> </w:t>
      </w:r>
      <w:r>
        <w:rPr/>
        <w:t>capabilities.</w:t>
      </w:r>
      <w:r>
        <w:rPr>
          <w:spacing w:val="-1"/>
        </w:rPr>
        <w:t> </w:t>
      </w:r>
      <w:r>
        <w:rPr/>
        <w:t>Clear</w:t>
      </w:r>
      <w:r>
        <w:rPr>
          <w:spacing w:val="-3"/>
        </w:rPr>
        <w:t> </w:t>
      </w:r>
      <w:r>
        <w:rPr/>
        <w:t>milestones</w:t>
      </w:r>
      <w:r>
        <w:rPr>
          <w:spacing w:val="-4"/>
        </w:rPr>
        <w:t> </w:t>
      </w:r>
      <w:r>
        <w:rPr/>
        <w:t>should</w:t>
      </w:r>
      <w:r>
        <w:rPr>
          <w:spacing w:val="-2"/>
        </w:rPr>
        <w:t> </w:t>
      </w:r>
      <w:r>
        <w:rPr/>
        <w:t>be developed to promote accountability.</w:t>
      </w:r>
    </w:p>
    <w:p>
      <w:pPr>
        <w:pStyle w:val="BodyText"/>
        <w:spacing w:before="10"/>
        <w:rPr>
          <w:sz w:val="20"/>
        </w:rPr>
      </w:pPr>
    </w:p>
    <w:p>
      <w:pPr>
        <w:pStyle w:val="Heading8"/>
      </w:pPr>
      <w:r>
        <w:rPr/>
        <w:t>Recommendation</w:t>
      </w:r>
      <w:r>
        <w:rPr>
          <w:spacing w:val="-7"/>
        </w:rPr>
        <w:t> </w:t>
      </w:r>
      <w:r>
        <w:rPr>
          <w:spacing w:val="-5"/>
        </w:rPr>
        <w:t>15</w:t>
      </w:r>
    </w:p>
    <w:p>
      <w:pPr>
        <w:pStyle w:val="BodyText"/>
        <w:spacing w:before="2"/>
        <w:rPr>
          <w:rFonts w:ascii="Arial-BoldItalicMT"/>
          <w:b/>
          <w:i/>
          <w:sz w:val="25"/>
        </w:rPr>
      </w:pPr>
    </w:p>
    <w:p>
      <w:pPr>
        <w:spacing w:line="288" w:lineRule="auto" w:before="0"/>
        <w:ind w:left="292" w:right="374" w:firstLine="0"/>
        <w:jc w:val="left"/>
        <w:rPr>
          <w:sz w:val="22"/>
        </w:rPr>
      </w:pPr>
      <w:r>
        <w:rPr>
          <w:sz w:val="22"/>
        </w:rPr>
        <w:t>ESV</w:t>
      </w:r>
      <w:r>
        <w:rPr>
          <w:spacing w:val="-3"/>
          <w:sz w:val="22"/>
        </w:rPr>
        <w:t> </w:t>
      </w:r>
      <w:r>
        <w:rPr>
          <w:sz w:val="22"/>
        </w:rPr>
        <w:t>should</w:t>
      </w:r>
      <w:r>
        <w:rPr>
          <w:spacing w:val="-3"/>
          <w:sz w:val="22"/>
        </w:rPr>
        <w:t> </w:t>
      </w:r>
      <w:r>
        <w:rPr>
          <w:sz w:val="22"/>
        </w:rPr>
        <w:t>consider</w:t>
      </w:r>
      <w:r>
        <w:rPr>
          <w:spacing w:val="-4"/>
          <w:sz w:val="22"/>
        </w:rPr>
        <w:t> </w:t>
      </w:r>
      <w:r>
        <w:rPr>
          <w:sz w:val="22"/>
        </w:rPr>
        <w:t>and</w:t>
      </w:r>
      <w:r>
        <w:rPr>
          <w:spacing w:val="-3"/>
          <w:sz w:val="22"/>
        </w:rPr>
        <w:t> </w:t>
      </w:r>
      <w:r>
        <w:rPr>
          <w:sz w:val="22"/>
        </w:rPr>
        <w:t>respond</w:t>
      </w:r>
      <w:r>
        <w:rPr>
          <w:spacing w:val="-5"/>
          <w:sz w:val="22"/>
        </w:rPr>
        <w:t> </w:t>
      </w:r>
      <w:r>
        <w:rPr>
          <w:sz w:val="22"/>
        </w:rPr>
        <w:t>to</w:t>
      </w:r>
      <w:r>
        <w:rPr>
          <w:spacing w:val="-5"/>
          <w:sz w:val="22"/>
        </w:rPr>
        <w:t> </w:t>
      </w:r>
      <w:r>
        <w:rPr>
          <w:sz w:val="22"/>
        </w:rPr>
        <w:t>all</w:t>
      </w:r>
      <w:r>
        <w:rPr>
          <w:spacing w:val="-3"/>
          <w:sz w:val="22"/>
        </w:rPr>
        <w:t> </w:t>
      </w:r>
      <w:r>
        <w:rPr>
          <w:sz w:val="22"/>
        </w:rPr>
        <w:t>recommendations</w:t>
      </w:r>
      <w:r>
        <w:rPr>
          <w:spacing w:val="-2"/>
          <w:sz w:val="22"/>
        </w:rPr>
        <w:t> </w:t>
      </w:r>
      <w:r>
        <w:rPr>
          <w:sz w:val="22"/>
        </w:rPr>
        <w:t>of</w:t>
      </w:r>
      <w:r>
        <w:rPr>
          <w:spacing w:val="-4"/>
          <w:sz w:val="22"/>
        </w:rPr>
        <w:t> </w:t>
      </w:r>
      <w:r>
        <w:rPr>
          <w:sz w:val="22"/>
        </w:rPr>
        <w:t>the</w:t>
      </w:r>
      <w:r>
        <w:rPr>
          <w:spacing w:val="-5"/>
          <w:sz w:val="22"/>
        </w:rPr>
        <w:t> </w:t>
      </w:r>
      <w:r>
        <w:rPr>
          <w:sz w:val="22"/>
        </w:rPr>
        <w:t>report </w:t>
      </w:r>
      <w:r>
        <w:rPr>
          <w:i/>
          <w:sz w:val="22"/>
        </w:rPr>
        <w:t>Assessment</w:t>
      </w:r>
      <w:r>
        <w:rPr>
          <w:i/>
          <w:spacing w:val="-1"/>
          <w:sz w:val="22"/>
        </w:rPr>
        <w:t> </w:t>
      </w:r>
      <w:r>
        <w:rPr>
          <w:i/>
          <w:sz w:val="22"/>
        </w:rPr>
        <w:t>and</w:t>
      </w:r>
      <w:r>
        <w:rPr>
          <w:i/>
          <w:spacing w:val="-5"/>
          <w:sz w:val="22"/>
        </w:rPr>
        <w:t> </w:t>
      </w:r>
      <w:r>
        <w:rPr>
          <w:i/>
          <w:sz w:val="22"/>
        </w:rPr>
        <w:t>Analysis of Incident Data Held by Energy Safe Victoria </w:t>
      </w:r>
      <w:r>
        <w:rPr>
          <w:sz w:val="22"/>
        </w:rPr>
        <w:t>as part of strengthening and expanding its Data Management and Analytics Strategy.</w:t>
      </w:r>
    </w:p>
    <w:p>
      <w:pPr>
        <w:pStyle w:val="BodyText"/>
        <w:rPr>
          <w:sz w:val="24"/>
        </w:rPr>
      </w:pPr>
    </w:p>
    <w:p>
      <w:pPr>
        <w:pStyle w:val="BodyText"/>
        <w:spacing w:before="9"/>
        <w:rPr>
          <w:sz w:val="28"/>
        </w:rPr>
      </w:pPr>
    </w:p>
    <w:p>
      <w:pPr>
        <w:pStyle w:val="Heading5"/>
        <w:spacing w:before="1"/>
      </w:pPr>
      <w:r>
        <w:rPr/>
        <w:t>Engagement</w:t>
      </w:r>
      <w:r>
        <w:rPr>
          <w:spacing w:val="-7"/>
        </w:rPr>
        <w:t> </w:t>
      </w:r>
      <w:r>
        <w:rPr/>
        <w:t>Across</w:t>
      </w:r>
      <w:r>
        <w:rPr>
          <w:spacing w:val="-7"/>
        </w:rPr>
        <w:t> </w:t>
      </w:r>
      <w:r>
        <w:rPr/>
        <w:t>Regulatory</w:t>
      </w:r>
      <w:r>
        <w:rPr>
          <w:spacing w:val="-15"/>
        </w:rPr>
        <w:t> </w:t>
      </w:r>
      <w:r>
        <w:rPr/>
        <w:t>and</w:t>
      </w:r>
      <w:r>
        <w:rPr>
          <w:spacing w:val="-5"/>
        </w:rPr>
        <w:t> </w:t>
      </w:r>
      <w:r>
        <w:rPr/>
        <w:t>Interagency</w:t>
      </w:r>
      <w:r>
        <w:rPr>
          <w:spacing w:val="-13"/>
        </w:rPr>
        <w:t> </w:t>
      </w:r>
      <w:r>
        <w:rPr>
          <w:spacing w:val="-2"/>
        </w:rPr>
        <w:t>Boundaries</w:t>
      </w:r>
    </w:p>
    <w:p>
      <w:pPr>
        <w:pStyle w:val="Heading8"/>
        <w:spacing w:before="267"/>
      </w:pPr>
      <w:r>
        <w:rPr/>
        <w:t>Recommendation</w:t>
      </w:r>
      <w:r>
        <w:rPr>
          <w:spacing w:val="-7"/>
        </w:rPr>
        <w:t> </w:t>
      </w:r>
      <w:r>
        <w:rPr>
          <w:spacing w:val="-5"/>
        </w:rPr>
        <w:t>16</w:t>
      </w:r>
    </w:p>
    <w:p>
      <w:pPr>
        <w:pStyle w:val="BodyText"/>
        <w:spacing w:before="7"/>
        <w:rPr>
          <w:rFonts w:ascii="Arial-BoldItalicMT"/>
          <w:b/>
          <w:i/>
          <w:sz w:val="21"/>
        </w:rPr>
      </w:pPr>
    </w:p>
    <w:p>
      <w:pPr>
        <w:pStyle w:val="BodyText"/>
        <w:spacing w:line="292" w:lineRule="auto"/>
        <w:ind w:left="292"/>
      </w:pPr>
      <w:r>
        <w:rPr/>
        <w:t>ESV</w:t>
      </w:r>
      <w:r>
        <w:rPr>
          <w:spacing w:val="-3"/>
        </w:rPr>
        <w:t> </w:t>
      </w:r>
      <w:r>
        <w:rPr/>
        <w:t>should</w:t>
      </w:r>
      <w:r>
        <w:rPr>
          <w:spacing w:val="-3"/>
        </w:rPr>
        <w:t> </w:t>
      </w:r>
      <w:r>
        <w:rPr/>
        <w:t>review</w:t>
      </w:r>
      <w:r>
        <w:rPr>
          <w:spacing w:val="-6"/>
        </w:rPr>
        <w:t> </w:t>
      </w:r>
      <w:r>
        <w:rPr/>
        <w:t>each</w:t>
      </w:r>
      <w:r>
        <w:rPr>
          <w:spacing w:val="-3"/>
        </w:rPr>
        <w:t> </w:t>
      </w:r>
      <w:r>
        <w:rPr/>
        <w:t>existing</w:t>
      </w:r>
      <w:r>
        <w:rPr>
          <w:spacing w:val="-1"/>
        </w:rPr>
        <w:t> </w:t>
      </w:r>
      <w:r>
        <w:rPr/>
        <w:t>MOU</w:t>
      </w:r>
      <w:r>
        <w:rPr>
          <w:spacing w:val="-3"/>
        </w:rPr>
        <w:t> </w:t>
      </w:r>
      <w:r>
        <w:rPr/>
        <w:t>with</w:t>
      </w:r>
      <w:r>
        <w:rPr>
          <w:spacing w:val="-3"/>
        </w:rPr>
        <w:t> </w:t>
      </w:r>
      <w:r>
        <w:rPr/>
        <w:t>other</w:t>
      </w:r>
      <w:r>
        <w:rPr>
          <w:spacing w:val="-4"/>
        </w:rPr>
        <w:t> </w:t>
      </w:r>
      <w:r>
        <w:rPr/>
        <w:t>regulators</w:t>
      </w:r>
      <w:r>
        <w:rPr>
          <w:spacing w:val="-5"/>
        </w:rPr>
        <w:t> </w:t>
      </w:r>
      <w:r>
        <w:rPr/>
        <w:t>and</w:t>
      </w:r>
      <w:r>
        <w:rPr>
          <w:spacing w:val="-5"/>
        </w:rPr>
        <w:t> </w:t>
      </w:r>
      <w:r>
        <w:rPr/>
        <w:t>government</w:t>
      </w:r>
      <w:r>
        <w:rPr>
          <w:spacing w:val="-2"/>
        </w:rPr>
        <w:t> </w:t>
      </w:r>
      <w:r>
        <w:rPr/>
        <w:t>departments</w:t>
      </w:r>
      <w:r>
        <w:rPr>
          <w:spacing w:val="-5"/>
        </w:rPr>
        <w:t> </w:t>
      </w:r>
      <w:r>
        <w:rPr/>
        <w:t>and agencies annually to ensure they remain current and fit-for-purpose.</w:t>
      </w:r>
    </w:p>
    <w:p>
      <w:pPr>
        <w:pStyle w:val="Heading8"/>
        <w:spacing w:before="202"/>
      </w:pPr>
      <w:r>
        <w:rPr/>
        <w:t>Recommendation</w:t>
      </w:r>
      <w:r>
        <w:rPr>
          <w:spacing w:val="-8"/>
        </w:rPr>
        <w:t> </w:t>
      </w:r>
      <w:r>
        <w:rPr>
          <w:spacing w:val="-5"/>
        </w:rPr>
        <w:t>17</w:t>
      </w:r>
    </w:p>
    <w:p>
      <w:pPr>
        <w:pStyle w:val="BodyText"/>
        <w:spacing w:line="288" w:lineRule="auto" w:before="200"/>
        <w:ind w:left="292" w:right="311"/>
      </w:pPr>
      <w:r>
        <w:rPr/>
        <w:t>ESV and DELWP should jointly develop an MOU to help manage their respective responsibilities. This should replace the MOU with the former Department of Primary Industries and update the arrangements</w:t>
      </w:r>
      <w:r>
        <w:rPr>
          <w:spacing w:val="-5"/>
        </w:rPr>
        <w:t> </w:t>
      </w:r>
      <w:r>
        <w:rPr/>
        <w:t>to</w:t>
      </w:r>
      <w:r>
        <w:rPr>
          <w:spacing w:val="-5"/>
        </w:rPr>
        <w:t> </w:t>
      </w:r>
      <w:r>
        <w:rPr/>
        <w:t>reflect</w:t>
      </w:r>
      <w:r>
        <w:rPr>
          <w:spacing w:val="-4"/>
        </w:rPr>
        <w:t> </w:t>
      </w:r>
      <w:r>
        <w:rPr/>
        <w:t>the</w:t>
      </w:r>
      <w:r>
        <w:rPr>
          <w:spacing w:val="-3"/>
        </w:rPr>
        <w:t> </w:t>
      </w:r>
      <w:r>
        <w:rPr/>
        <w:t>current</w:t>
      </w:r>
      <w:r>
        <w:rPr>
          <w:spacing w:val="-4"/>
        </w:rPr>
        <w:t> </w:t>
      </w:r>
      <w:r>
        <w:rPr/>
        <w:t>allocation</w:t>
      </w:r>
      <w:r>
        <w:rPr>
          <w:spacing w:val="-3"/>
        </w:rPr>
        <w:t> </w:t>
      </w:r>
      <w:r>
        <w:rPr/>
        <w:t>of responsibilities</w:t>
      </w:r>
      <w:r>
        <w:rPr>
          <w:spacing w:val="-3"/>
        </w:rPr>
        <w:t> </w:t>
      </w:r>
      <w:r>
        <w:rPr/>
        <w:t>between</w:t>
      </w:r>
      <w:r>
        <w:rPr>
          <w:spacing w:val="-3"/>
        </w:rPr>
        <w:t> </w:t>
      </w:r>
      <w:r>
        <w:rPr/>
        <w:t>ESV</w:t>
      </w:r>
      <w:r>
        <w:rPr>
          <w:spacing w:val="-3"/>
        </w:rPr>
        <w:t> </w:t>
      </w:r>
      <w:r>
        <w:rPr/>
        <w:t>and</w:t>
      </w:r>
      <w:r>
        <w:rPr>
          <w:spacing w:val="-3"/>
        </w:rPr>
        <w:t> </w:t>
      </w:r>
      <w:r>
        <w:rPr/>
        <w:t>the</w:t>
      </w:r>
      <w:r>
        <w:rPr>
          <w:spacing w:val="-5"/>
        </w:rPr>
        <w:t> </w:t>
      </w:r>
      <w:r>
        <w:rPr/>
        <w:t>department. The MOU should recognise and facilitate ESV’s independence in regulatory decision making, and the department’s role as the principal source of policy advice to the Minister for Energy, Environment and Climate Change.</w:t>
      </w:r>
    </w:p>
    <w:p>
      <w:pPr>
        <w:spacing w:after="0" w:line="288" w:lineRule="auto"/>
        <w:sectPr>
          <w:headerReference w:type="default" r:id="rId8"/>
          <w:footerReference w:type="default" r:id="rId9"/>
          <w:pgSz w:w="11910" w:h="16850"/>
          <w:pgMar w:header="523" w:footer="880" w:top="1620" w:bottom="1060" w:left="840" w:right="820"/>
        </w:sectPr>
      </w:pPr>
    </w:p>
    <w:p>
      <w:pPr>
        <w:pStyle w:val="BodyText"/>
        <w:spacing w:before="5"/>
        <w:rPr>
          <w:sz w:val="13"/>
        </w:rPr>
      </w:pPr>
    </w:p>
    <w:p>
      <w:pPr>
        <w:spacing w:line="288" w:lineRule="auto" w:before="94"/>
        <w:ind w:left="292" w:right="374" w:firstLine="0"/>
        <w:jc w:val="left"/>
        <w:rPr>
          <w:sz w:val="22"/>
        </w:rPr>
      </w:pPr>
      <w:r>
        <w:rPr>
          <w:sz w:val="22"/>
        </w:rPr>
        <w:t>The ESC should complete its review of the voltage variation standards under Clause 4.2.2 of the </w:t>
      </w:r>
      <w:r>
        <w:rPr>
          <w:i/>
          <w:sz w:val="22"/>
        </w:rPr>
        <w:t>Electricity Distribution Code </w:t>
      </w:r>
      <w:r>
        <w:rPr>
          <w:sz w:val="22"/>
        </w:rPr>
        <w:t>as soon as practicable. The planned broader reviews by the ESC of the </w:t>
      </w:r>
      <w:r>
        <w:rPr>
          <w:i/>
          <w:sz w:val="22"/>
        </w:rPr>
        <w:t>Electricity Distribution Code </w:t>
      </w:r>
      <w:r>
        <w:rPr>
          <w:sz w:val="22"/>
        </w:rPr>
        <w:t>and the </w:t>
      </w:r>
      <w:r>
        <w:rPr>
          <w:i/>
          <w:sz w:val="22"/>
        </w:rPr>
        <w:t>Gas Distribution Code </w:t>
      </w:r>
      <w:r>
        <w:rPr>
          <w:sz w:val="22"/>
        </w:rPr>
        <w:t>should ensure technical standards are</w:t>
      </w:r>
      <w:r>
        <w:rPr>
          <w:spacing w:val="-2"/>
          <w:sz w:val="22"/>
        </w:rPr>
        <w:t> </w:t>
      </w:r>
      <w:r>
        <w:rPr>
          <w:sz w:val="22"/>
        </w:rPr>
        <w:t>clearly</w:t>
      </w:r>
      <w:r>
        <w:rPr>
          <w:spacing w:val="-4"/>
          <w:sz w:val="22"/>
        </w:rPr>
        <w:t> </w:t>
      </w:r>
      <w:r>
        <w:rPr>
          <w:sz w:val="22"/>
        </w:rPr>
        <w:t>defined</w:t>
      </w:r>
      <w:r>
        <w:rPr>
          <w:spacing w:val="-3"/>
          <w:sz w:val="22"/>
        </w:rPr>
        <w:t> </w:t>
      </w:r>
      <w:r>
        <w:rPr>
          <w:sz w:val="22"/>
        </w:rPr>
        <w:t>and</w:t>
      </w:r>
      <w:r>
        <w:rPr>
          <w:spacing w:val="-4"/>
          <w:sz w:val="22"/>
        </w:rPr>
        <w:t> </w:t>
      </w:r>
      <w:r>
        <w:rPr>
          <w:sz w:val="22"/>
        </w:rPr>
        <w:t>consider</w:t>
      </w:r>
      <w:r>
        <w:rPr>
          <w:spacing w:val="-2"/>
          <w:sz w:val="22"/>
        </w:rPr>
        <w:t> </w:t>
      </w:r>
      <w:r>
        <w:rPr>
          <w:sz w:val="22"/>
        </w:rPr>
        <w:t>the</w:t>
      </w:r>
      <w:r>
        <w:rPr>
          <w:spacing w:val="-4"/>
          <w:sz w:val="22"/>
        </w:rPr>
        <w:t> </w:t>
      </w:r>
      <w:r>
        <w:rPr>
          <w:sz w:val="22"/>
        </w:rPr>
        <w:t>role</w:t>
      </w:r>
      <w:r>
        <w:rPr>
          <w:spacing w:val="-4"/>
          <w:sz w:val="22"/>
        </w:rPr>
        <w:t> </w:t>
      </w:r>
      <w:r>
        <w:rPr>
          <w:sz w:val="22"/>
        </w:rPr>
        <w:t>of</w:t>
      </w:r>
      <w:r>
        <w:rPr>
          <w:spacing w:val="-1"/>
          <w:sz w:val="22"/>
        </w:rPr>
        <w:t> </w:t>
      </w:r>
      <w:r>
        <w:rPr>
          <w:sz w:val="22"/>
        </w:rPr>
        <w:t>ESV</w:t>
      </w:r>
      <w:r>
        <w:rPr>
          <w:spacing w:val="-3"/>
          <w:sz w:val="22"/>
        </w:rPr>
        <w:t> </w:t>
      </w:r>
      <w:r>
        <w:rPr>
          <w:sz w:val="22"/>
        </w:rPr>
        <w:t>in</w:t>
      </w:r>
      <w:r>
        <w:rPr>
          <w:spacing w:val="-3"/>
          <w:sz w:val="22"/>
        </w:rPr>
        <w:t> </w:t>
      </w:r>
      <w:r>
        <w:rPr>
          <w:sz w:val="22"/>
        </w:rPr>
        <w:t>promoting</w:t>
      </w:r>
      <w:r>
        <w:rPr>
          <w:spacing w:val="-1"/>
          <w:sz w:val="22"/>
        </w:rPr>
        <w:t> </w:t>
      </w:r>
      <w:r>
        <w:rPr>
          <w:sz w:val="22"/>
        </w:rPr>
        <w:t>and</w:t>
      </w:r>
      <w:r>
        <w:rPr>
          <w:spacing w:val="-4"/>
          <w:sz w:val="22"/>
        </w:rPr>
        <w:t> </w:t>
      </w:r>
      <w:r>
        <w:rPr>
          <w:sz w:val="22"/>
        </w:rPr>
        <w:t>enforcing</w:t>
      </w:r>
      <w:r>
        <w:rPr>
          <w:spacing w:val="-3"/>
          <w:sz w:val="22"/>
        </w:rPr>
        <w:t> </w:t>
      </w:r>
      <w:r>
        <w:rPr>
          <w:sz w:val="22"/>
        </w:rPr>
        <w:t>compliance</w:t>
      </w:r>
      <w:r>
        <w:rPr>
          <w:spacing w:val="-3"/>
          <w:sz w:val="22"/>
        </w:rPr>
        <w:t> </w:t>
      </w:r>
      <w:r>
        <w:rPr>
          <w:sz w:val="22"/>
        </w:rPr>
        <w:t>with</w:t>
      </w:r>
      <w:r>
        <w:rPr>
          <w:spacing w:val="-3"/>
          <w:sz w:val="22"/>
        </w:rPr>
        <w:t> </w:t>
      </w:r>
      <w:r>
        <w:rPr>
          <w:sz w:val="22"/>
        </w:rPr>
        <w:t>these </w:t>
      </w:r>
      <w:r>
        <w:rPr>
          <w:spacing w:val="-2"/>
          <w:sz w:val="22"/>
        </w:rPr>
        <w:t>standards.</w:t>
      </w:r>
    </w:p>
    <w:p>
      <w:pPr>
        <w:pStyle w:val="BodyText"/>
        <w:spacing w:before="9"/>
        <w:rPr>
          <w:sz w:val="20"/>
        </w:rPr>
      </w:pPr>
    </w:p>
    <w:p>
      <w:pPr>
        <w:pStyle w:val="Heading8"/>
      </w:pPr>
      <w:r>
        <w:rPr/>
        <w:t>Recommendation</w:t>
      </w:r>
      <w:r>
        <w:rPr>
          <w:spacing w:val="-7"/>
        </w:rPr>
        <w:t> </w:t>
      </w:r>
      <w:r>
        <w:rPr>
          <w:spacing w:val="-5"/>
        </w:rPr>
        <w:t>19</w:t>
      </w:r>
    </w:p>
    <w:p>
      <w:pPr>
        <w:pStyle w:val="BodyText"/>
        <w:spacing w:before="4"/>
        <w:rPr>
          <w:rFonts w:ascii="Arial-BoldItalicMT"/>
          <w:b/>
          <w:i/>
          <w:sz w:val="25"/>
        </w:rPr>
      </w:pPr>
    </w:p>
    <w:p>
      <w:pPr>
        <w:pStyle w:val="BodyText"/>
        <w:spacing w:line="288" w:lineRule="auto"/>
        <w:ind w:left="292" w:right="374"/>
      </w:pPr>
      <w:r>
        <w:rPr/>
        <w:t>ESV should review, and update where necessary, the </w:t>
      </w:r>
      <w:r>
        <w:rPr>
          <w:i/>
        </w:rPr>
        <w:t>Electricity Hazards &amp; Safety Handbook for Emergency Service Personnel </w:t>
      </w:r>
      <w:r>
        <w:rPr/>
        <w:t>in consultation with DELWP, network businesses and the relevant emergency</w:t>
      </w:r>
      <w:r>
        <w:rPr>
          <w:spacing w:val="-4"/>
        </w:rPr>
        <w:t> </w:t>
      </w:r>
      <w:r>
        <w:rPr/>
        <w:t>services</w:t>
      </w:r>
      <w:r>
        <w:rPr>
          <w:spacing w:val="-2"/>
        </w:rPr>
        <w:t> </w:t>
      </w:r>
      <w:r>
        <w:rPr/>
        <w:t>agencies.</w:t>
      </w:r>
      <w:r>
        <w:rPr>
          <w:spacing w:val="-3"/>
        </w:rPr>
        <w:t> </w:t>
      </w:r>
      <w:r>
        <w:rPr/>
        <w:t>This</w:t>
      </w:r>
      <w:r>
        <w:rPr>
          <w:spacing w:val="-4"/>
        </w:rPr>
        <w:t> </w:t>
      </w:r>
      <w:r>
        <w:rPr/>
        <w:t>review</w:t>
      </w:r>
      <w:r>
        <w:rPr>
          <w:spacing w:val="-5"/>
        </w:rPr>
        <w:t> </w:t>
      </w:r>
      <w:r>
        <w:rPr/>
        <w:t>should</w:t>
      </w:r>
      <w:r>
        <w:rPr>
          <w:spacing w:val="-2"/>
        </w:rPr>
        <w:t> </w:t>
      </w:r>
      <w:r>
        <w:rPr/>
        <w:t>consider</w:t>
      </w:r>
      <w:r>
        <w:rPr>
          <w:spacing w:val="-3"/>
        </w:rPr>
        <w:t> </w:t>
      </w:r>
      <w:r>
        <w:rPr/>
        <w:t>any</w:t>
      </w:r>
      <w:r>
        <w:rPr>
          <w:spacing w:val="-4"/>
        </w:rPr>
        <w:t> </w:t>
      </w:r>
      <w:r>
        <w:rPr/>
        <w:t>areas</w:t>
      </w:r>
      <w:r>
        <w:rPr>
          <w:spacing w:val="-4"/>
        </w:rPr>
        <w:t> </w:t>
      </w:r>
      <w:r>
        <w:rPr/>
        <w:t>in</w:t>
      </w:r>
      <w:r>
        <w:rPr>
          <w:spacing w:val="-4"/>
        </w:rPr>
        <w:t> </w:t>
      </w:r>
      <w:r>
        <w:rPr/>
        <w:t>which</w:t>
      </w:r>
      <w:r>
        <w:rPr>
          <w:spacing w:val="-2"/>
        </w:rPr>
        <w:t> </w:t>
      </w:r>
      <w:r>
        <w:rPr/>
        <w:t>current operational responsibilities require clarification. In addition, ESV should prepare a Gas Hazards and Safety Handbook in consultation with DELWP, the industry and the relevant emergency services </w:t>
      </w:r>
      <w:r>
        <w:rPr>
          <w:spacing w:val="-2"/>
        </w:rPr>
        <w:t>agencies.</w:t>
      </w:r>
    </w:p>
    <w:p>
      <w:pPr>
        <w:pStyle w:val="BodyText"/>
        <w:rPr>
          <w:sz w:val="24"/>
        </w:rPr>
      </w:pPr>
    </w:p>
    <w:p>
      <w:pPr>
        <w:pStyle w:val="BodyText"/>
        <w:spacing w:before="2"/>
        <w:rPr>
          <w:sz w:val="23"/>
        </w:rPr>
      </w:pPr>
    </w:p>
    <w:p>
      <w:pPr>
        <w:pStyle w:val="Heading5"/>
      </w:pPr>
      <w:r>
        <w:rPr/>
        <w:t>Integrating</w:t>
      </w:r>
      <w:r>
        <w:rPr>
          <w:spacing w:val="-7"/>
        </w:rPr>
        <w:t> </w:t>
      </w:r>
      <w:r>
        <w:rPr/>
        <w:t>Safety</w:t>
      </w:r>
      <w:r>
        <w:rPr>
          <w:spacing w:val="-12"/>
        </w:rPr>
        <w:t> </w:t>
      </w:r>
      <w:r>
        <w:rPr/>
        <w:t>Regulation</w:t>
      </w:r>
      <w:r>
        <w:rPr>
          <w:spacing w:val="-9"/>
        </w:rPr>
        <w:t> </w:t>
      </w:r>
      <w:r>
        <w:rPr/>
        <w:t>with</w:t>
      </w:r>
      <w:r>
        <w:rPr>
          <w:spacing w:val="-5"/>
        </w:rPr>
        <w:t> </w:t>
      </w:r>
      <w:r>
        <w:rPr/>
        <w:t>Economic</w:t>
      </w:r>
      <w:r>
        <w:rPr>
          <w:spacing w:val="-3"/>
        </w:rPr>
        <w:t> </w:t>
      </w:r>
      <w:r>
        <w:rPr>
          <w:spacing w:val="-2"/>
        </w:rPr>
        <w:t>Regulation</w:t>
      </w:r>
    </w:p>
    <w:p>
      <w:pPr>
        <w:pStyle w:val="BodyText"/>
        <w:spacing w:before="6"/>
        <w:rPr>
          <w:b/>
          <w:sz w:val="26"/>
        </w:rPr>
      </w:pPr>
    </w:p>
    <w:p>
      <w:pPr>
        <w:pStyle w:val="Heading8"/>
        <w:spacing w:before="1"/>
      </w:pPr>
      <w:r>
        <w:rPr/>
        <w:t>Recommendation</w:t>
      </w:r>
      <w:r>
        <w:rPr>
          <w:spacing w:val="-7"/>
        </w:rPr>
        <w:t> </w:t>
      </w:r>
      <w:r>
        <w:rPr>
          <w:spacing w:val="-5"/>
        </w:rPr>
        <w:t>20</w:t>
      </w:r>
    </w:p>
    <w:p>
      <w:pPr>
        <w:pStyle w:val="BodyText"/>
        <w:spacing w:before="1"/>
        <w:rPr>
          <w:rFonts w:ascii="Arial-BoldItalicMT"/>
          <w:b/>
          <w:i/>
          <w:sz w:val="25"/>
        </w:rPr>
      </w:pPr>
    </w:p>
    <w:p>
      <w:pPr>
        <w:pStyle w:val="BodyText"/>
        <w:spacing w:line="288" w:lineRule="auto"/>
        <w:ind w:left="292" w:right="311"/>
      </w:pPr>
      <w:r>
        <w:rPr/>
        <w:t>In</w:t>
      </w:r>
      <w:r>
        <w:rPr>
          <w:spacing w:val="-3"/>
        </w:rPr>
        <w:t> </w:t>
      </w:r>
      <w:r>
        <w:rPr/>
        <w:t>consultation</w:t>
      </w:r>
      <w:r>
        <w:rPr>
          <w:spacing w:val="-3"/>
        </w:rPr>
        <w:t> </w:t>
      </w:r>
      <w:r>
        <w:rPr/>
        <w:t>with</w:t>
      </w:r>
      <w:r>
        <w:rPr>
          <w:spacing w:val="-3"/>
        </w:rPr>
        <w:t> </w:t>
      </w:r>
      <w:r>
        <w:rPr/>
        <w:t>the</w:t>
      </w:r>
      <w:r>
        <w:rPr>
          <w:spacing w:val="-4"/>
        </w:rPr>
        <w:t> </w:t>
      </w:r>
      <w:r>
        <w:rPr/>
        <w:t>AER,</w:t>
      </w:r>
      <w:r>
        <w:rPr>
          <w:spacing w:val="-1"/>
        </w:rPr>
        <w:t> </w:t>
      </w:r>
      <w:r>
        <w:rPr/>
        <w:t>ESV</w:t>
      </w:r>
      <w:r>
        <w:rPr>
          <w:spacing w:val="-3"/>
        </w:rPr>
        <w:t> </w:t>
      </w:r>
      <w:r>
        <w:rPr/>
        <w:t>should</w:t>
      </w:r>
      <w:r>
        <w:rPr>
          <w:spacing w:val="-3"/>
        </w:rPr>
        <w:t> </w:t>
      </w:r>
      <w:r>
        <w:rPr/>
        <w:t>annually</w:t>
      </w:r>
      <w:r>
        <w:rPr>
          <w:spacing w:val="-4"/>
        </w:rPr>
        <w:t> </w:t>
      </w:r>
      <w:r>
        <w:rPr/>
        <w:t>evaluate</w:t>
      </w:r>
      <w:r>
        <w:rPr>
          <w:spacing w:val="-3"/>
        </w:rPr>
        <w:t> </w:t>
      </w:r>
      <w:r>
        <w:rPr/>
        <w:t>the</w:t>
      </w:r>
      <w:r>
        <w:rPr>
          <w:spacing w:val="-3"/>
        </w:rPr>
        <w:t> </w:t>
      </w:r>
      <w:r>
        <w:rPr/>
        <w:t>operation</w:t>
      </w:r>
      <w:r>
        <w:rPr>
          <w:spacing w:val="-4"/>
        </w:rPr>
        <w:t> </w:t>
      </w:r>
      <w:r>
        <w:rPr/>
        <w:t>of its</w:t>
      </w:r>
      <w:r>
        <w:rPr>
          <w:spacing w:val="-2"/>
        </w:rPr>
        <w:t> </w:t>
      </w:r>
      <w:r>
        <w:rPr/>
        <w:t>MOU</w:t>
      </w:r>
      <w:r>
        <w:rPr>
          <w:spacing w:val="-2"/>
        </w:rPr>
        <w:t> </w:t>
      </w:r>
      <w:r>
        <w:rPr/>
        <w:t>with</w:t>
      </w:r>
      <w:r>
        <w:rPr>
          <w:spacing w:val="-3"/>
        </w:rPr>
        <w:t> </w:t>
      </w:r>
      <w:r>
        <w:rPr/>
        <w:t>the</w:t>
      </w:r>
      <w:r>
        <w:rPr>
          <w:spacing w:val="-3"/>
        </w:rPr>
        <w:t> </w:t>
      </w:r>
      <w:r>
        <w:rPr/>
        <w:t>AER. A summary of each evaluation should be published in ESV's Annual Report.</w:t>
      </w:r>
    </w:p>
    <w:p>
      <w:pPr>
        <w:pStyle w:val="BodyText"/>
        <w:spacing w:before="10"/>
        <w:rPr>
          <w:sz w:val="20"/>
        </w:rPr>
      </w:pPr>
    </w:p>
    <w:p>
      <w:pPr>
        <w:pStyle w:val="Heading8"/>
        <w:spacing w:before="1"/>
      </w:pPr>
      <w:r>
        <w:rPr/>
        <w:t>Recommendation</w:t>
      </w:r>
      <w:r>
        <w:rPr>
          <w:spacing w:val="-7"/>
        </w:rPr>
        <w:t> </w:t>
      </w:r>
      <w:r>
        <w:rPr>
          <w:spacing w:val="-5"/>
        </w:rPr>
        <w:t>21</w:t>
      </w:r>
    </w:p>
    <w:p>
      <w:pPr>
        <w:pStyle w:val="BodyText"/>
        <w:spacing w:before="4"/>
        <w:rPr>
          <w:rFonts w:ascii="Arial-BoldItalicMT"/>
          <w:b/>
          <w:i/>
          <w:sz w:val="25"/>
        </w:rPr>
      </w:pPr>
    </w:p>
    <w:p>
      <w:pPr>
        <w:pStyle w:val="BodyText"/>
        <w:spacing w:line="288" w:lineRule="auto"/>
        <w:ind w:left="292" w:right="311"/>
      </w:pPr>
      <w:r>
        <w:rPr/>
        <w:t>In</w:t>
      </w:r>
      <w:r>
        <w:rPr>
          <w:spacing w:val="-2"/>
        </w:rPr>
        <w:t> </w:t>
      </w:r>
      <w:r>
        <w:rPr/>
        <w:t>consultation</w:t>
      </w:r>
      <w:r>
        <w:rPr>
          <w:spacing w:val="-2"/>
        </w:rPr>
        <w:t> </w:t>
      </w:r>
      <w:r>
        <w:rPr/>
        <w:t>with</w:t>
      </w:r>
      <w:r>
        <w:rPr>
          <w:spacing w:val="-2"/>
        </w:rPr>
        <w:t> </w:t>
      </w:r>
      <w:r>
        <w:rPr/>
        <w:t>the</w:t>
      </w:r>
      <w:r>
        <w:rPr>
          <w:spacing w:val="-4"/>
        </w:rPr>
        <w:t> </w:t>
      </w:r>
      <w:r>
        <w:rPr/>
        <w:t>AER, ESV</w:t>
      </w:r>
      <w:r>
        <w:rPr>
          <w:spacing w:val="-2"/>
        </w:rPr>
        <w:t> </w:t>
      </w:r>
      <w:r>
        <w:rPr/>
        <w:t>should</w:t>
      </w:r>
      <w:r>
        <w:rPr>
          <w:spacing w:val="-2"/>
        </w:rPr>
        <w:t> </w:t>
      </w:r>
      <w:r>
        <w:rPr/>
        <w:t>prepare</w:t>
      </w:r>
      <w:r>
        <w:rPr>
          <w:spacing w:val="-4"/>
        </w:rPr>
        <w:t> </w:t>
      </w:r>
      <w:r>
        <w:rPr/>
        <w:t>public</w:t>
      </w:r>
      <w:r>
        <w:rPr>
          <w:spacing w:val="-4"/>
        </w:rPr>
        <w:t> </w:t>
      </w:r>
      <w:r>
        <w:rPr/>
        <w:t>guidance</w:t>
      </w:r>
      <w:r>
        <w:rPr>
          <w:spacing w:val="-2"/>
        </w:rPr>
        <w:t> </w:t>
      </w:r>
      <w:r>
        <w:rPr/>
        <w:t>that</w:t>
      </w:r>
      <w:r>
        <w:rPr>
          <w:spacing w:val="-3"/>
        </w:rPr>
        <w:t> </w:t>
      </w:r>
      <w:r>
        <w:rPr/>
        <w:t>sets</w:t>
      </w:r>
      <w:r>
        <w:rPr>
          <w:spacing w:val="-1"/>
        </w:rPr>
        <w:t> </w:t>
      </w:r>
      <w:r>
        <w:rPr/>
        <w:t>out</w:t>
      </w:r>
      <w:r>
        <w:rPr>
          <w:spacing w:val="-3"/>
        </w:rPr>
        <w:t> </w:t>
      </w:r>
      <w:r>
        <w:rPr/>
        <w:t>clear</w:t>
      </w:r>
      <w:r>
        <w:rPr>
          <w:spacing w:val="-3"/>
        </w:rPr>
        <w:t> </w:t>
      </w:r>
      <w:r>
        <w:rPr/>
        <w:t>protocols</w:t>
      </w:r>
      <w:r>
        <w:rPr>
          <w:spacing w:val="-4"/>
        </w:rPr>
        <w:t> </w:t>
      </w:r>
      <w:r>
        <w:rPr/>
        <w:t>to facilitate effective engagement between ESV and regulated network businesses as an input into price review processes conducted by the AER.</w:t>
      </w:r>
    </w:p>
    <w:p>
      <w:pPr>
        <w:pStyle w:val="BodyText"/>
        <w:spacing w:before="9"/>
        <w:rPr>
          <w:sz w:val="20"/>
        </w:rPr>
      </w:pPr>
    </w:p>
    <w:p>
      <w:pPr>
        <w:pStyle w:val="Heading8"/>
      </w:pPr>
      <w:r>
        <w:rPr/>
        <w:t>Recommendation</w:t>
      </w:r>
      <w:r>
        <w:rPr>
          <w:spacing w:val="-7"/>
        </w:rPr>
        <w:t> </w:t>
      </w:r>
      <w:r>
        <w:rPr>
          <w:spacing w:val="-5"/>
        </w:rPr>
        <w:t>22</w:t>
      </w:r>
    </w:p>
    <w:p>
      <w:pPr>
        <w:pStyle w:val="BodyText"/>
        <w:spacing w:before="4"/>
        <w:rPr>
          <w:rFonts w:ascii="Arial-BoldItalicMT"/>
          <w:b/>
          <w:i/>
          <w:sz w:val="25"/>
        </w:rPr>
      </w:pPr>
    </w:p>
    <w:p>
      <w:pPr>
        <w:pStyle w:val="BodyText"/>
        <w:spacing w:line="288" w:lineRule="auto" w:before="1"/>
        <w:ind w:left="292" w:right="374"/>
      </w:pPr>
      <w:r>
        <w:rPr/>
        <w:t>ESV should, in consultation with regulated network operators and the AER, evaluate its requirements</w:t>
      </w:r>
      <w:r>
        <w:rPr>
          <w:spacing w:val="-6"/>
        </w:rPr>
        <w:t> </w:t>
      </w:r>
      <w:r>
        <w:rPr/>
        <w:t>for</w:t>
      </w:r>
      <w:r>
        <w:rPr>
          <w:spacing w:val="-1"/>
        </w:rPr>
        <w:t> </w:t>
      </w:r>
      <w:r>
        <w:rPr/>
        <w:t>safety</w:t>
      </w:r>
      <w:r>
        <w:rPr>
          <w:spacing w:val="-3"/>
        </w:rPr>
        <w:t> </w:t>
      </w:r>
      <w:r>
        <w:rPr/>
        <w:t>cases</w:t>
      </w:r>
      <w:r>
        <w:rPr>
          <w:spacing w:val="-1"/>
        </w:rPr>
        <w:t> </w:t>
      </w:r>
      <w:r>
        <w:rPr/>
        <w:t>to</w:t>
      </w:r>
      <w:r>
        <w:rPr>
          <w:spacing w:val="-4"/>
        </w:rPr>
        <w:t> </w:t>
      </w:r>
      <w:r>
        <w:rPr/>
        <w:t>ensure</w:t>
      </w:r>
      <w:r>
        <w:rPr>
          <w:spacing w:val="-4"/>
        </w:rPr>
        <w:t> </w:t>
      </w:r>
      <w:r>
        <w:rPr/>
        <w:t>that</w:t>
      </w:r>
      <w:r>
        <w:rPr>
          <w:spacing w:val="-3"/>
        </w:rPr>
        <w:t> </w:t>
      </w:r>
      <w:r>
        <w:rPr/>
        <w:t>all</w:t>
      </w:r>
      <w:r>
        <w:rPr>
          <w:spacing w:val="-2"/>
        </w:rPr>
        <w:t> </w:t>
      </w:r>
      <w:r>
        <w:rPr/>
        <w:t>safety-related</w:t>
      </w:r>
      <w:r>
        <w:rPr>
          <w:spacing w:val="-4"/>
        </w:rPr>
        <w:t> </w:t>
      </w:r>
      <w:r>
        <w:rPr/>
        <w:t>elements</w:t>
      </w:r>
      <w:r>
        <w:rPr>
          <w:spacing w:val="-4"/>
        </w:rPr>
        <w:t> </w:t>
      </w:r>
      <w:r>
        <w:rPr/>
        <w:t>that have</w:t>
      </w:r>
      <w:r>
        <w:rPr>
          <w:spacing w:val="-2"/>
        </w:rPr>
        <w:t> </w:t>
      </w:r>
      <w:r>
        <w:rPr/>
        <w:t>been</w:t>
      </w:r>
      <w:r>
        <w:rPr>
          <w:spacing w:val="-4"/>
        </w:rPr>
        <w:t> </w:t>
      </w:r>
      <w:r>
        <w:rPr/>
        <w:t>factored into AER determinations, are identified and supported by clear implementation plans.</w:t>
      </w:r>
    </w:p>
    <w:p>
      <w:pPr>
        <w:pStyle w:val="BodyText"/>
        <w:spacing w:before="8"/>
        <w:rPr>
          <w:sz w:val="20"/>
        </w:rPr>
      </w:pPr>
    </w:p>
    <w:p>
      <w:pPr>
        <w:pStyle w:val="BodyText"/>
        <w:spacing w:line="288" w:lineRule="auto"/>
        <w:ind w:left="292" w:right="311"/>
      </w:pPr>
      <w:r>
        <w:rPr/>
        <w:t>ESV should report on the progress made by regulated network operators in its annual network safety</w:t>
      </w:r>
      <w:r>
        <w:rPr>
          <w:spacing w:val="-3"/>
        </w:rPr>
        <w:t> </w:t>
      </w:r>
      <w:r>
        <w:rPr/>
        <w:t>performance</w:t>
      </w:r>
      <w:r>
        <w:rPr>
          <w:spacing w:val="-4"/>
        </w:rPr>
        <w:t> </w:t>
      </w:r>
      <w:r>
        <w:rPr/>
        <w:t>reports.</w:t>
      </w:r>
      <w:r>
        <w:rPr>
          <w:spacing w:val="-3"/>
        </w:rPr>
        <w:t> </w:t>
      </w:r>
      <w:r>
        <w:rPr/>
        <w:t>The</w:t>
      </w:r>
      <w:r>
        <w:rPr>
          <w:spacing w:val="-4"/>
        </w:rPr>
        <w:t> </w:t>
      </w:r>
      <w:r>
        <w:rPr/>
        <w:t>reporting</w:t>
      </w:r>
      <w:r>
        <w:rPr>
          <w:spacing w:val="-2"/>
        </w:rPr>
        <w:t> </w:t>
      </w:r>
      <w:r>
        <w:rPr/>
        <w:t>should</w:t>
      </w:r>
      <w:r>
        <w:rPr>
          <w:spacing w:val="-4"/>
        </w:rPr>
        <w:t> </w:t>
      </w:r>
      <w:r>
        <w:rPr/>
        <w:t>be</w:t>
      </w:r>
      <w:r>
        <w:rPr>
          <w:spacing w:val="-2"/>
        </w:rPr>
        <w:t> </w:t>
      </w:r>
      <w:r>
        <w:rPr/>
        <w:t>sufficient</w:t>
      </w:r>
      <w:r>
        <w:rPr>
          <w:spacing w:val="-3"/>
        </w:rPr>
        <w:t> </w:t>
      </w:r>
      <w:r>
        <w:rPr/>
        <w:t>to</w:t>
      </w:r>
      <w:r>
        <w:rPr>
          <w:spacing w:val="-2"/>
        </w:rPr>
        <w:t> </w:t>
      </w:r>
      <w:r>
        <w:rPr/>
        <w:t>ensure</w:t>
      </w:r>
      <w:r>
        <w:rPr>
          <w:spacing w:val="-4"/>
        </w:rPr>
        <w:t> </w:t>
      </w:r>
      <w:r>
        <w:rPr/>
        <w:t>that</w:t>
      </w:r>
      <w:r>
        <w:rPr>
          <w:spacing w:val="-3"/>
        </w:rPr>
        <w:t> </w:t>
      </w:r>
      <w:r>
        <w:rPr/>
        <w:t>there</w:t>
      </w:r>
      <w:r>
        <w:rPr>
          <w:spacing w:val="-4"/>
        </w:rPr>
        <w:t> </w:t>
      </w:r>
      <w:r>
        <w:rPr/>
        <w:t>is</w:t>
      </w:r>
      <w:r>
        <w:rPr>
          <w:spacing w:val="-1"/>
        </w:rPr>
        <w:t> </w:t>
      </w:r>
      <w:r>
        <w:rPr/>
        <w:t>a</w:t>
      </w:r>
      <w:r>
        <w:rPr>
          <w:spacing w:val="-4"/>
        </w:rPr>
        <w:t> </w:t>
      </w:r>
      <w:r>
        <w:rPr/>
        <w:t>high</w:t>
      </w:r>
      <w:r>
        <w:rPr>
          <w:spacing w:val="-4"/>
        </w:rPr>
        <w:t> </w:t>
      </w:r>
      <w:r>
        <w:rPr/>
        <w:t>degree of transparency to the Victorian community about the progress in the implementation of safety </w:t>
      </w:r>
      <w:r>
        <w:rPr>
          <w:spacing w:val="-2"/>
        </w:rPr>
        <w:t>programs.</w:t>
      </w:r>
    </w:p>
    <w:p>
      <w:pPr>
        <w:pStyle w:val="BodyText"/>
        <w:spacing w:before="2"/>
        <w:rPr>
          <w:sz w:val="21"/>
        </w:rPr>
      </w:pPr>
    </w:p>
    <w:p>
      <w:pPr>
        <w:pStyle w:val="Heading8"/>
      </w:pPr>
      <w:r>
        <w:rPr/>
        <w:t>Recommendation</w:t>
      </w:r>
      <w:r>
        <w:rPr>
          <w:spacing w:val="-7"/>
        </w:rPr>
        <w:t> </w:t>
      </w:r>
      <w:r>
        <w:rPr>
          <w:spacing w:val="-5"/>
        </w:rPr>
        <w:t>23</w:t>
      </w:r>
    </w:p>
    <w:p>
      <w:pPr>
        <w:pStyle w:val="BodyText"/>
        <w:spacing w:before="7"/>
        <w:rPr>
          <w:rFonts w:ascii="Arial-BoldItalicMT"/>
          <w:b/>
          <w:i/>
          <w:sz w:val="21"/>
        </w:rPr>
      </w:pPr>
    </w:p>
    <w:p>
      <w:pPr>
        <w:pStyle w:val="BodyText"/>
        <w:spacing w:line="288" w:lineRule="auto"/>
        <w:ind w:left="292"/>
      </w:pPr>
      <w:r>
        <w:rPr/>
        <w:t>The Victorian Government should consider the case for a formal reliability standard for the gas network,</w:t>
      </w:r>
      <w:r>
        <w:rPr>
          <w:spacing w:val="-1"/>
        </w:rPr>
        <w:t> </w:t>
      </w:r>
      <w:r>
        <w:rPr/>
        <w:t>in</w:t>
      </w:r>
      <w:r>
        <w:rPr>
          <w:spacing w:val="-2"/>
        </w:rPr>
        <w:t> </w:t>
      </w:r>
      <w:r>
        <w:rPr/>
        <w:t>consultation</w:t>
      </w:r>
      <w:r>
        <w:rPr>
          <w:spacing w:val="-6"/>
        </w:rPr>
        <w:t> </w:t>
      </w:r>
      <w:r>
        <w:rPr/>
        <w:t>with</w:t>
      </w:r>
      <w:r>
        <w:rPr>
          <w:spacing w:val="-2"/>
        </w:rPr>
        <w:t> </w:t>
      </w:r>
      <w:r>
        <w:rPr/>
        <w:t>relevant</w:t>
      </w:r>
      <w:r>
        <w:rPr>
          <w:spacing w:val="-1"/>
        </w:rPr>
        <w:t> </w:t>
      </w:r>
      <w:r>
        <w:rPr/>
        <w:t>stakeholders.</w:t>
      </w:r>
      <w:r>
        <w:rPr>
          <w:spacing w:val="-3"/>
        </w:rPr>
        <w:t> </w:t>
      </w:r>
      <w:r>
        <w:rPr/>
        <w:t>If</w:t>
      </w:r>
      <w:r>
        <w:rPr>
          <w:spacing w:val="-1"/>
        </w:rPr>
        <w:t> </w:t>
      </w:r>
      <w:r>
        <w:rPr/>
        <w:t>the</w:t>
      </w:r>
      <w:r>
        <w:rPr>
          <w:spacing w:val="-4"/>
        </w:rPr>
        <w:t> </w:t>
      </w:r>
      <w:r>
        <w:rPr/>
        <w:t>adoption</w:t>
      </w:r>
      <w:r>
        <w:rPr>
          <w:spacing w:val="-4"/>
        </w:rPr>
        <w:t> </w:t>
      </w:r>
      <w:r>
        <w:rPr/>
        <w:t>of</w:t>
      </w:r>
      <w:r>
        <w:rPr>
          <w:spacing w:val="-1"/>
        </w:rPr>
        <w:t> </w:t>
      </w:r>
      <w:r>
        <w:rPr/>
        <w:t>a</w:t>
      </w:r>
      <w:r>
        <w:rPr>
          <w:spacing w:val="-4"/>
        </w:rPr>
        <w:t> </w:t>
      </w:r>
      <w:r>
        <w:rPr/>
        <w:t>formal</w:t>
      </w:r>
      <w:r>
        <w:rPr>
          <w:spacing w:val="-3"/>
        </w:rPr>
        <w:t> </w:t>
      </w:r>
      <w:r>
        <w:rPr/>
        <w:t>reliability</w:t>
      </w:r>
      <w:r>
        <w:rPr>
          <w:spacing w:val="-4"/>
        </w:rPr>
        <w:t> </w:t>
      </w:r>
      <w:r>
        <w:rPr/>
        <w:t>standard</w:t>
      </w:r>
      <w:r>
        <w:rPr>
          <w:spacing w:val="-2"/>
        </w:rPr>
        <w:t> </w:t>
      </w:r>
      <w:r>
        <w:rPr/>
        <w:t>is preferred, the Victorian Government should request the AEMC to determine the best approach to develop a framework and governance arrangements for establishing a reliability standard to</w:t>
      </w:r>
    </w:p>
    <w:p>
      <w:pPr>
        <w:spacing w:after="0" w:line="288" w:lineRule="auto"/>
        <w:sectPr>
          <w:headerReference w:type="default" r:id="rId10"/>
          <w:footerReference w:type="default" r:id="rId11"/>
          <w:pgSz w:w="11910" w:h="16850"/>
          <w:pgMar w:header="523" w:footer="880" w:top="1620" w:bottom="1060" w:left="840" w:right="820"/>
        </w:sectPr>
      </w:pPr>
    </w:p>
    <w:p>
      <w:pPr>
        <w:pStyle w:val="BodyText"/>
        <w:rPr>
          <w:sz w:val="20"/>
        </w:rPr>
      </w:pPr>
    </w:p>
    <w:p>
      <w:pPr>
        <w:pStyle w:val="BodyText"/>
        <w:rPr>
          <w:sz w:val="20"/>
        </w:rPr>
      </w:pPr>
    </w:p>
    <w:p>
      <w:pPr>
        <w:pStyle w:val="BodyText"/>
        <w:spacing w:before="4"/>
      </w:pPr>
    </w:p>
    <w:p>
      <w:pPr>
        <w:pStyle w:val="BodyText"/>
        <w:spacing w:line="290" w:lineRule="auto"/>
        <w:ind w:left="292" w:right="311"/>
      </w:pPr>
      <w:r>
        <w:rPr/>
        <w:t>support</w:t>
      </w:r>
      <w:r>
        <w:rPr>
          <w:spacing w:val="-4"/>
        </w:rPr>
        <w:t> </w:t>
      </w:r>
      <w:r>
        <w:rPr/>
        <w:t>consideration</w:t>
      </w:r>
      <w:r>
        <w:rPr>
          <w:spacing w:val="-3"/>
        </w:rPr>
        <w:t> </w:t>
      </w:r>
      <w:r>
        <w:rPr/>
        <w:t>of</w:t>
      </w:r>
      <w:r>
        <w:rPr>
          <w:spacing w:val="-4"/>
        </w:rPr>
        <w:t> </w:t>
      </w:r>
      <w:r>
        <w:rPr/>
        <w:t>a</w:t>
      </w:r>
      <w:r>
        <w:rPr>
          <w:spacing w:val="-3"/>
        </w:rPr>
        <w:t> </w:t>
      </w:r>
      <w:r>
        <w:rPr/>
        <w:t>robust,</w:t>
      </w:r>
      <w:r>
        <w:rPr>
          <w:spacing w:val="-4"/>
        </w:rPr>
        <w:t> </w:t>
      </w:r>
      <w:r>
        <w:rPr/>
        <w:t>economically</w:t>
      </w:r>
      <w:r>
        <w:rPr>
          <w:spacing w:val="-5"/>
        </w:rPr>
        <w:t> </w:t>
      </w:r>
      <w:r>
        <w:rPr/>
        <w:t>justified</w:t>
      </w:r>
      <w:r>
        <w:rPr>
          <w:spacing w:val="-3"/>
        </w:rPr>
        <w:t> </w:t>
      </w:r>
      <w:r>
        <w:rPr/>
        <w:t>level</w:t>
      </w:r>
      <w:r>
        <w:rPr>
          <w:spacing w:val="-4"/>
        </w:rPr>
        <w:t> </w:t>
      </w:r>
      <w:r>
        <w:rPr/>
        <w:t>of investment</w:t>
      </w:r>
      <w:r>
        <w:rPr>
          <w:spacing w:val="-4"/>
        </w:rPr>
        <w:t> </w:t>
      </w:r>
      <w:r>
        <w:rPr/>
        <w:t>for</w:t>
      </w:r>
      <w:r>
        <w:rPr>
          <w:spacing w:val="-4"/>
        </w:rPr>
        <w:t> </w:t>
      </w:r>
      <w:r>
        <w:rPr/>
        <w:t>reliable</w:t>
      </w:r>
      <w:r>
        <w:rPr>
          <w:spacing w:val="-3"/>
        </w:rPr>
        <w:t> </w:t>
      </w:r>
      <w:r>
        <w:rPr/>
        <w:t>and</w:t>
      </w:r>
      <w:r>
        <w:rPr>
          <w:spacing w:val="-3"/>
        </w:rPr>
        <w:t> </w:t>
      </w:r>
      <w:r>
        <w:rPr/>
        <w:t>secure gas supply.</w:t>
      </w:r>
    </w:p>
    <w:p>
      <w:pPr>
        <w:pStyle w:val="Heading8"/>
        <w:spacing w:before="197"/>
      </w:pPr>
      <w:r>
        <w:rPr/>
        <w:t>Recommendation</w:t>
      </w:r>
      <w:r>
        <w:rPr>
          <w:spacing w:val="-7"/>
        </w:rPr>
        <w:t> </w:t>
      </w:r>
      <w:r>
        <w:rPr>
          <w:spacing w:val="-5"/>
        </w:rPr>
        <w:t>24</w:t>
      </w:r>
    </w:p>
    <w:p>
      <w:pPr>
        <w:pStyle w:val="BodyText"/>
        <w:spacing w:before="7"/>
        <w:rPr>
          <w:rFonts w:ascii="Arial-BoldItalicMT"/>
          <w:b/>
          <w:i/>
          <w:sz w:val="21"/>
        </w:rPr>
      </w:pPr>
    </w:p>
    <w:p>
      <w:pPr>
        <w:pStyle w:val="BodyText"/>
        <w:spacing w:line="288" w:lineRule="auto" w:before="1"/>
        <w:ind w:left="292"/>
      </w:pPr>
      <w:r>
        <w:rPr/>
        <w:t>The Victorian Government, in consultation with relevant stakeholders, should consider the development</w:t>
      </w:r>
      <w:r>
        <w:rPr>
          <w:spacing w:val="-1"/>
        </w:rPr>
        <w:t> </w:t>
      </w:r>
      <w:r>
        <w:rPr/>
        <w:t>of</w:t>
      </w:r>
      <w:r>
        <w:rPr>
          <w:spacing w:val="-1"/>
        </w:rPr>
        <w:t> </w:t>
      </w:r>
      <w:r>
        <w:rPr/>
        <w:t>mechanisms</w:t>
      </w:r>
      <w:r>
        <w:rPr>
          <w:spacing w:val="-5"/>
        </w:rPr>
        <w:t> </w:t>
      </w:r>
      <w:r>
        <w:rPr/>
        <w:t>to</w:t>
      </w:r>
      <w:r>
        <w:rPr>
          <w:spacing w:val="-5"/>
        </w:rPr>
        <w:t> </w:t>
      </w:r>
      <w:r>
        <w:rPr/>
        <w:t>support</w:t>
      </w:r>
      <w:r>
        <w:rPr>
          <w:spacing w:val="-1"/>
        </w:rPr>
        <w:t> </w:t>
      </w:r>
      <w:r>
        <w:rPr/>
        <w:t>effective</w:t>
      </w:r>
      <w:r>
        <w:rPr>
          <w:spacing w:val="-3"/>
        </w:rPr>
        <w:t> </w:t>
      </w:r>
      <w:r>
        <w:rPr/>
        <w:t>coordination</w:t>
      </w:r>
      <w:r>
        <w:rPr>
          <w:spacing w:val="-3"/>
        </w:rPr>
        <w:t> </w:t>
      </w:r>
      <w:r>
        <w:rPr/>
        <w:t>in</w:t>
      </w:r>
      <w:r>
        <w:rPr>
          <w:spacing w:val="-3"/>
        </w:rPr>
        <w:t> </w:t>
      </w:r>
      <w:r>
        <w:rPr/>
        <w:t>system</w:t>
      </w:r>
      <w:r>
        <w:rPr>
          <w:spacing w:val="-2"/>
        </w:rPr>
        <w:t> </w:t>
      </w:r>
      <w:r>
        <w:rPr/>
        <w:t>planning</w:t>
      </w:r>
      <w:r>
        <w:rPr>
          <w:spacing w:val="-3"/>
        </w:rPr>
        <w:t> </w:t>
      </w:r>
      <w:r>
        <w:rPr/>
        <w:t>for</w:t>
      </w:r>
      <w:r>
        <w:rPr>
          <w:spacing w:val="-4"/>
        </w:rPr>
        <w:t> </w:t>
      </w:r>
      <w:r>
        <w:rPr/>
        <w:t>the</w:t>
      </w:r>
      <w:r>
        <w:rPr>
          <w:spacing w:val="-5"/>
        </w:rPr>
        <w:t> </w:t>
      </w:r>
      <w:r>
        <w:rPr/>
        <w:t>declared transmission system and gas distribution network in an economically efficient manner.</w:t>
      </w:r>
    </w:p>
    <w:p>
      <w:pPr>
        <w:pStyle w:val="BodyText"/>
        <w:rPr>
          <w:sz w:val="24"/>
        </w:rPr>
      </w:pPr>
    </w:p>
    <w:p>
      <w:pPr>
        <w:pStyle w:val="BodyText"/>
        <w:spacing w:before="7"/>
        <w:rPr>
          <w:sz w:val="19"/>
        </w:rPr>
      </w:pPr>
    </w:p>
    <w:p>
      <w:pPr>
        <w:pStyle w:val="Heading5"/>
      </w:pPr>
      <w:r>
        <w:rPr/>
        <w:t>Promoting</w:t>
      </w:r>
      <w:r>
        <w:rPr>
          <w:spacing w:val="-9"/>
        </w:rPr>
        <w:t> </w:t>
      </w:r>
      <w:r>
        <w:rPr/>
        <w:t>Workforce</w:t>
      </w:r>
      <w:r>
        <w:rPr>
          <w:spacing w:val="-9"/>
        </w:rPr>
        <w:t> </w:t>
      </w:r>
      <w:r>
        <w:rPr>
          <w:spacing w:val="-2"/>
        </w:rPr>
        <w:t>Engagement</w:t>
      </w:r>
    </w:p>
    <w:p>
      <w:pPr>
        <w:pStyle w:val="BodyText"/>
        <w:spacing w:before="6"/>
        <w:rPr>
          <w:b/>
          <w:sz w:val="26"/>
        </w:rPr>
      </w:pPr>
    </w:p>
    <w:p>
      <w:pPr>
        <w:pStyle w:val="Heading8"/>
      </w:pPr>
      <w:r>
        <w:rPr/>
        <w:t>Recommendation</w:t>
      </w:r>
      <w:r>
        <w:rPr>
          <w:spacing w:val="-7"/>
        </w:rPr>
        <w:t> </w:t>
      </w:r>
      <w:r>
        <w:rPr>
          <w:spacing w:val="-5"/>
        </w:rPr>
        <w:t>25</w:t>
      </w:r>
    </w:p>
    <w:p>
      <w:pPr>
        <w:pStyle w:val="BodyText"/>
        <w:spacing w:before="5"/>
        <w:rPr>
          <w:rFonts w:ascii="Arial-BoldItalicMT"/>
          <w:b/>
          <w:i/>
          <w:sz w:val="25"/>
        </w:rPr>
      </w:pPr>
    </w:p>
    <w:p>
      <w:pPr>
        <w:spacing w:line="288" w:lineRule="auto" w:before="0"/>
        <w:ind w:left="292" w:right="311" w:firstLine="0"/>
        <w:jc w:val="left"/>
        <w:rPr>
          <w:sz w:val="22"/>
        </w:rPr>
      </w:pPr>
      <w:r>
        <w:rPr>
          <w:sz w:val="22"/>
        </w:rPr>
        <w:t>ESV</w:t>
      </w:r>
      <w:r>
        <w:rPr>
          <w:spacing w:val="-2"/>
          <w:sz w:val="22"/>
        </w:rPr>
        <w:t> </w:t>
      </w:r>
      <w:r>
        <w:rPr>
          <w:sz w:val="22"/>
        </w:rPr>
        <w:t>should</w:t>
      </w:r>
      <w:r>
        <w:rPr>
          <w:spacing w:val="-2"/>
          <w:sz w:val="22"/>
        </w:rPr>
        <w:t> </w:t>
      </w:r>
      <w:r>
        <w:rPr>
          <w:sz w:val="22"/>
        </w:rPr>
        <w:t>establish</w:t>
      </w:r>
      <w:r>
        <w:rPr>
          <w:spacing w:val="-2"/>
          <w:sz w:val="22"/>
        </w:rPr>
        <w:t> </w:t>
      </w:r>
      <w:r>
        <w:rPr>
          <w:sz w:val="22"/>
        </w:rPr>
        <w:t>a</w:t>
      </w:r>
      <w:r>
        <w:rPr>
          <w:spacing w:val="-4"/>
          <w:sz w:val="22"/>
        </w:rPr>
        <w:t> </w:t>
      </w:r>
      <w:r>
        <w:rPr>
          <w:sz w:val="22"/>
        </w:rPr>
        <w:t>consultative</w:t>
      </w:r>
      <w:r>
        <w:rPr>
          <w:spacing w:val="-2"/>
          <w:sz w:val="22"/>
        </w:rPr>
        <w:t> </w:t>
      </w:r>
      <w:r>
        <w:rPr>
          <w:sz w:val="22"/>
        </w:rPr>
        <w:t>committee</w:t>
      </w:r>
      <w:r>
        <w:rPr>
          <w:spacing w:val="-4"/>
          <w:sz w:val="22"/>
        </w:rPr>
        <w:t> </w:t>
      </w:r>
      <w:r>
        <w:rPr>
          <w:sz w:val="22"/>
        </w:rPr>
        <w:t>under</w:t>
      </w:r>
      <w:r>
        <w:rPr>
          <w:spacing w:val="-1"/>
          <w:sz w:val="22"/>
        </w:rPr>
        <w:t> </w:t>
      </w:r>
      <w:r>
        <w:rPr>
          <w:sz w:val="22"/>
        </w:rPr>
        <w:t>Section</w:t>
      </w:r>
      <w:r>
        <w:rPr>
          <w:spacing w:val="-2"/>
          <w:sz w:val="22"/>
        </w:rPr>
        <w:t> </w:t>
      </w:r>
      <w:r>
        <w:rPr>
          <w:sz w:val="22"/>
        </w:rPr>
        <w:t>8</w:t>
      </w:r>
      <w:r>
        <w:rPr>
          <w:spacing w:val="-2"/>
          <w:sz w:val="22"/>
        </w:rPr>
        <w:t> </w:t>
      </w:r>
      <w:r>
        <w:rPr>
          <w:sz w:val="22"/>
        </w:rPr>
        <w:t>of</w:t>
      </w:r>
      <w:r>
        <w:rPr>
          <w:spacing w:val="-3"/>
          <w:sz w:val="22"/>
        </w:rPr>
        <w:t> </w:t>
      </w:r>
      <w:r>
        <w:rPr>
          <w:sz w:val="22"/>
        </w:rPr>
        <w:t>the</w:t>
      </w:r>
      <w:r>
        <w:rPr>
          <w:spacing w:val="-1"/>
          <w:sz w:val="22"/>
        </w:rPr>
        <w:t> </w:t>
      </w:r>
      <w:r>
        <w:rPr>
          <w:i/>
          <w:sz w:val="22"/>
        </w:rPr>
        <w:t>Energy</w:t>
      </w:r>
      <w:r>
        <w:rPr>
          <w:i/>
          <w:spacing w:val="-2"/>
          <w:sz w:val="22"/>
        </w:rPr>
        <w:t> </w:t>
      </w:r>
      <w:r>
        <w:rPr>
          <w:i/>
          <w:sz w:val="22"/>
        </w:rPr>
        <w:t>Safe</w:t>
      </w:r>
      <w:r>
        <w:rPr>
          <w:i/>
          <w:spacing w:val="-4"/>
          <w:sz w:val="22"/>
        </w:rPr>
        <w:t> </w:t>
      </w:r>
      <w:r>
        <w:rPr>
          <w:i/>
          <w:sz w:val="22"/>
        </w:rPr>
        <w:t>Victoria</w:t>
      </w:r>
      <w:r>
        <w:rPr>
          <w:i/>
          <w:spacing w:val="-2"/>
          <w:sz w:val="22"/>
        </w:rPr>
        <w:t> </w:t>
      </w:r>
      <w:r>
        <w:rPr>
          <w:i/>
          <w:sz w:val="22"/>
        </w:rPr>
        <w:t>Act 2005</w:t>
      </w:r>
      <w:r>
        <w:rPr>
          <w:sz w:val="22"/>
        </w:rPr>
        <w:t>. This committee should:</w:t>
      </w:r>
    </w:p>
    <w:p>
      <w:pPr>
        <w:pStyle w:val="BodyText"/>
        <w:spacing w:before="4"/>
      </w:pPr>
    </w:p>
    <w:p>
      <w:pPr>
        <w:pStyle w:val="ListParagraph"/>
        <w:numPr>
          <w:ilvl w:val="0"/>
          <w:numId w:val="18"/>
        </w:numPr>
        <w:tabs>
          <w:tab w:pos="717" w:val="left" w:leader="none"/>
        </w:tabs>
        <w:spacing w:line="240" w:lineRule="auto" w:before="0" w:after="0"/>
        <w:ind w:left="717" w:right="0" w:hanging="425"/>
        <w:jc w:val="left"/>
        <w:rPr>
          <w:sz w:val="22"/>
        </w:rPr>
      </w:pPr>
      <w:r>
        <w:rPr>
          <w:sz w:val="22"/>
        </w:rPr>
        <w:t>provide</w:t>
      </w:r>
      <w:r>
        <w:rPr>
          <w:spacing w:val="-7"/>
          <w:sz w:val="22"/>
        </w:rPr>
        <w:t> </w:t>
      </w:r>
      <w:r>
        <w:rPr>
          <w:sz w:val="22"/>
        </w:rPr>
        <w:t>advice</w:t>
      </w:r>
      <w:r>
        <w:rPr>
          <w:spacing w:val="-4"/>
          <w:sz w:val="22"/>
        </w:rPr>
        <w:t> </w:t>
      </w:r>
      <w:r>
        <w:rPr>
          <w:sz w:val="22"/>
        </w:rPr>
        <w:t>to</w:t>
      </w:r>
      <w:r>
        <w:rPr>
          <w:spacing w:val="-5"/>
          <w:sz w:val="22"/>
        </w:rPr>
        <w:t> </w:t>
      </w:r>
      <w:r>
        <w:rPr>
          <w:sz w:val="22"/>
        </w:rPr>
        <w:t>ESV</w:t>
      </w:r>
      <w:r>
        <w:rPr>
          <w:spacing w:val="-4"/>
          <w:sz w:val="22"/>
        </w:rPr>
        <w:t> </w:t>
      </w:r>
      <w:r>
        <w:rPr>
          <w:sz w:val="22"/>
        </w:rPr>
        <w:t>to</w:t>
      </w:r>
      <w:r>
        <w:rPr>
          <w:spacing w:val="-7"/>
          <w:sz w:val="22"/>
        </w:rPr>
        <w:t> </w:t>
      </w:r>
      <w:r>
        <w:rPr>
          <w:sz w:val="22"/>
        </w:rPr>
        <w:t>assist</w:t>
      </w:r>
      <w:r>
        <w:rPr>
          <w:spacing w:val="-5"/>
          <w:sz w:val="22"/>
        </w:rPr>
        <w:t> </w:t>
      </w:r>
      <w:r>
        <w:rPr>
          <w:sz w:val="22"/>
        </w:rPr>
        <w:t>in</w:t>
      </w:r>
      <w:r>
        <w:rPr>
          <w:spacing w:val="-4"/>
          <w:sz w:val="22"/>
        </w:rPr>
        <w:t> </w:t>
      </w:r>
      <w:r>
        <w:rPr>
          <w:sz w:val="22"/>
        </w:rPr>
        <w:t>its</w:t>
      </w:r>
      <w:r>
        <w:rPr>
          <w:spacing w:val="-6"/>
          <w:sz w:val="22"/>
        </w:rPr>
        <w:t> </w:t>
      </w:r>
      <w:r>
        <w:rPr>
          <w:sz w:val="22"/>
        </w:rPr>
        <w:t>consideration</w:t>
      </w:r>
      <w:r>
        <w:rPr>
          <w:spacing w:val="-4"/>
          <w:sz w:val="22"/>
        </w:rPr>
        <w:t> </w:t>
      </w:r>
      <w:r>
        <w:rPr>
          <w:sz w:val="22"/>
        </w:rPr>
        <w:t>of</w:t>
      </w:r>
      <w:r>
        <w:rPr>
          <w:spacing w:val="-3"/>
          <w:sz w:val="22"/>
        </w:rPr>
        <w:t> </w:t>
      </w:r>
      <w:r>
        <w:rPr>
          <w:sz w:val="22"/>
        </w:rPr>
        <w:t>workforce</w:t>
      </w:r>
      <w:r>
        <w:rPr>
          <w:spacing w:val="-6"/>
          <w:sz w:val="22"/>
        </w:rPr>
        <w:t> </w:t>
      </w:r>
      <w:r>
        <w:rPr>
          <w:sz w:val="22"/>
        </w:rPr>
        <w:t>engagement</w:t>
      </w:r>
      <w:r>
        <w:rPr>
          <w:spacing w:val="-3"/>
          <w:sz w:val="22"/>
        </w:rPr>
        <w:t> </w:t>
      </w:r>
      <w:r>
        <w:rPr>
          <w:spacing w:val="-2"/>
          <w:sz w:val="22"/>
        </w:rPr>
        <w:t>issues;</w:t>
      </w:r>
    </w:p>
    <w:p>
      <w:pPr>
        <w:pStyle w:val="ListParagraph"/>
        <w:numPr>
          <w:ilvl w:val="0"/>
          <w:numId w:val="18"/>
        </w:numPr>
        <w:tabs>
          <w:tab w:pos="718" w:val="left" w:leader="none"/>
        </w:tabs>
        <w:spacing w:line="288" w:lineRule="auto" w:before="64" w:after="0"/>
        <w:ind w:left="718" w:right="892" w:hanging="426"/>
        <w:jc w:val="left"/>
        <w:rPr>
          <w:sz w:val="22"/>
        </w:rPr>
      </w:pPr>
      <w:r>
        <w:rPr>
          <w:sz w:val="22"/>
        </w:rPr>
        <w:t>contribute</w:t>
      </w:r>
      <w:r>
        <w:rPr>
          <w:spacing w:val="-6"/>
          <w:sz w:val="22"/>
        </w:rPr>
        <w:t> </w:t>
      </w:r>
      <w:r>
        <w:rPr>
          <w:sz w:val="22"/>
        </w:rPr>
        <w:t>to</w:t>
      </w:r>
      <w:r>
        <w:rPr>
          <w:spacing w:val="-7"/>
          <w:sz w:val="22"/>
        </w:rPr>
        <w:t> </w:t>
      </w:r>
      <w:r>
        <w:rPr>
          <w:sz w:val="22"/>
        </w:rPr>
        <w:t>the</w:t>
      </w:r>
      <w:r>
        <w:rPr>
          <w:spacing w:val="-4"/>
          <w:sz w:val="22"/>
        </w:rPr>
        <w:t> </w:t>
      </w:r>
      <w:r>
        <w:rPr>
          <w:sz w:val="22"/>
        </w:rPr>
        <w:t>development</w:t>
      </w:r>
      <w:r>
        <w:rPr>
          <w:spacing w:val="-5"/>
          <w:sz w:val="22"/>
        </w:rPr>
        <w:t> </w:t>
      </w:r>
      <w:r>
        <w:rPr>
          <w:sz w:val="22"/>
        </w:rPr>
        <w:t>of</w:t>
      </w:r>
      <w:r>
        <w:rPr>
          <w:spacing w:val="-2"/>
          <w:sz w:val="22"/>
        </w:rPr>
        <w:t> </w:t>
      </w:r>
      <w:r>
        <w:rPr>
          <w:sz w:val="22"/>
        </w:rPr>
        <w:t>broader</w:t>
      </w:r>
      <w:r>
        <w:rPr>
          <w:spacing w:val="-3"/>
          <w:sz w:val="22"/>
        </w:rPr>
        <w:t> </w:t>
      </w:r>
      <w:r>
        <w:rPr>
          <w:sz w:val="22"/>
        </w:rPr>
        <w:t>workforce</w:t>
      </w:r>
      <w:r>
        <w:rPr>
          <w:spacing w:val="-4"/>
          <w:sz w:val="22"/>
        </w:rPr>
        <w:t> </w:t>
      </w:r>
      <w:r>
        <w:rPr>
          <w:sz w:val="22"/>
        </w:rPr>
        <w:t>engagement</w:t>
      </w:r>
      <w:r>
        <w:rPr>
          <w:spacing w:val="-5"/>
          <w:sz w:val="22"/>
        </w:rPr>
        <w:t> </w:t>
      </w:r>
      <w:r>
        <w:rPr>
          <w:sz w:val="22"/>
        </w:rPr>
        <w:t>strategies,</w:t>
      </w:r>
      <w:r>
        <w:rPr>
          <w:spacing w:val="-2"/>
          <w:sz w:val="22"/>
        </w:rPr>
        <w:t> </w:t>
      </w:r>
      <w:r>
        <w:rPr>
          <w:sz w:val="22"/>
        </w:rPr>
        <w:t>including</w:t>
      </w:r>
      <w:r>
        <w:rPr>
          <w:spacing w:val="-4"/>
          <w:sz w:val="22"/>
        </w:rPr>
        <w:t> </w:t>
      </w:r>
      <w:r>
        <w:rPr>
          <w:sz w:val="22"/>
        </w:rPr>
        <w:t>the sharing of best practices; and</w:t>
      </w:r>
    </w:p>
    <w:p>
      <w:pPr>
        <w:pStyle w:val="ListParagraph"/>
        <w:numPr>
          <w:ilvl w:val="0"/>
          <w:numId w:val="18"/>
        </w:numPr>
        <w:tabs>
          <w:tab w:pos="718" w:val="left" w:leader="none"/>
        </w:tabs>
        <w:spacing w:line="285" w:lineRule="auto" w:before="17" w:after="0"/>
        <w:ind w:left="718" w:right="682" w:hanging="426"/>
        <w:jc w:val="left"/>
        <w:rPr>
          <w:sz w:val="22"/>
        </w:rPr>
      </w:pPr>
      <w:r>
        <w:rPr>
          <w:sz w:val="22"/>
        </w:rPr>
        <w:t>be</w:t>
      </w:r>
      <w:r>
        <w:rPr>
          <w:spacing w:val="-4"/>
          <w:sz w:val="22"/>
        </w:rPr>
        <w:t> </w:t>
      </w:r>
      <w:r>
        <w:rPr>
          <w:sz w:val="22"/>
        </w:rPr>
        <w:t>comprised</w:t>
      </w:r>
      <w:r>
        <w:rPr>
          <w:spacing w:val="-4"/>
          <w:sz w:val="22"/>
        </w:rPr>
        <w:t> </w:t>
      </w:r>
      <w:r>
        <w:rPr>
          <w:sz w:val="22"/>
        </w:rPr>
        <w:t>of</w:t>
      </w:r>
      <w:r>
        <w:rPr>
          <w:spacing w:val="-5"/>
          <w:sz w:val="22"/>
        </w:rPr>
        <w:t> </w:t>
      </w:r>
      <w:r>
        <w:rPr>
          <w:sz w:val="22"/>
        </w:rPr>
        <w:t>representatives</w:t>
      </w:r>
      <w:r>
        <w:rPr>
          <w:spacing w:val="-5"/>
          <w:sz w:val="22"/>
        </w:rPr>
        <w:t> </w:t>
      </w:r>
      <w:r>
        <w:rPr>
          <w:sz w:val="22"/>
        </w:rPr>
        <w:t>from</w:t>
      </w:r>
      <w:r>
        <w:rPr>
          <w:spacing w:val="-5"/>
          <w:sz w:val="22"/>
        </w:rPr>
        <w:t> </w:t>
      </w:r>
      <w:r>
        <w:rPr>
          <w:sz w:val="22"/>
        </w:rPr>
        <w:t>network</w:t>
      </w:r>
      <w:r>
        <w:rPr>
          <w:spacing w:val="-1"/>
          <w:sz w:val="22"/>
        </w:rPr>
        <w:t> </w:t>
      </w:r>
      <w:r>
        <w:rPr>
          <w:sz w:val="22"/>
        </w:rPr>
        <w:t>businesses,</w:t>
      </w:r>
      <w:r>
        <w:rPr>
          <w:spacing w:val="-5"/>
          <w:sz w:val="22"/>
        </w:rPr>
        <w:t> </w:t>
      </w:r>
      <w:r>
        <w:rPr>
          <w:sz w:val="22"/>
        </w:rPr>
        <w:t>major</w:t>
      </w:r>
      <w:r>
        <w:rPr>
          <w:spacing w:val="-2"/>
          <w:sz w:val="22"/>
        </w:rPr>
        <w:t> </w:t>
      </w:r>
      <w:r>
        <w:rPr>
          <w:sz w:val="22"/>
        </w:rPr>
        <w:t>contractors,</w:t>
      </w:r>
      <w:r>
        <w:rPr>
          <w:spacing w:val="-4"/>
          <w:sz w:val="22"/>
        </w:rPr>
        <w:t> </w:t>
      </w:r>
      <w:r>
        <w:rPr>
          <w:sz w:val="22"/>
        </w:rPr>
        <w:t>trade</w:t>
      </w:r>
      <w:r>
        <w:rPr>
          <w:spacing w:val="-4"/>
          <w:sz w:val="22"/>
        </w:rPr>
        <w:t> </w:t>
      </w:r>
      <w:r>
        <w:rPr>
          <w:sz w:val="22"/>
        </w:rPr>
        <w:t>unions, WorkSafe Victoria and the workforce.</w:t>
      </w:r>
    </w:p>
    <w:p>
      <w:pPr>
        <w:pStyle w:val="BodyText"/>
        <w:rPr>
          <w:sz w:val="24"/>
        </w:rPr>
      </w:pPr>
    </w:p>
    <w:p>
      <w:pPr>
        <w:pStyle w:val="BodyText"/>
        <w:spacing w:before="11"/>
        <w:rPr>
          <w:sz w:val="19"/>
        </w:rPr>
      </w:pPr>
    </w:p>
    <w:p>
      <w:pPr>
        <w:pStyle w:val="Heading5"/>
      </w:pPr>
      <w:r>
        <w:rPr/>
        <w:t>Programs</w:t>
      </w:r>
      <w:r>
        <w:rPr>
          <w:spacing w:val="-8"/>
        </w:rPr>
        <w:t> </w:t>
      </w:r>
      <w:r>
        <w:rPr/>
        <w:t>to</w:t>
      </w:r>
      <w:r>
        <w:rPr>
          <w:spacing w:val="-3"/>
        </w:rPr>
        <w:t> </w:t>
      </w:r>
      <w:r>
        <w:rPr/>
        <w:t>Address</w:t>
      </w:r>
      <w:r>
        <w:rPr>
          <w:spacing w:val="-3"/>
        </w:rPr>
        <w:t> </w:t>
      </w:r>
      <w:r>
        <w:rPr/>
        <w:t>Bushfire</w:t>
      </w:r>
      <w:r>
        <w:rPr>
          <w:spacing w:val="-4"/>
        </w:rPr>
        <w:t> </w:t>
      </w:r>
      <w:r>
        <w:rPr/>
        <w:t>Risk</w:t>
      </w:r>
      <w:r>
        <w:rPr>
          <w:spacing w:val="-7"/>
        </w:rPr>
        <w:t> </w:t>
      </w:r>
      <w:r>
        <w:rPr/>
        <w:t>in</w:t>
      </w:r>
      <w:r>
        <w:rPr>
          <w:spacing w:val="-5"/>
        </w:rPr>
        <w:t> </w:t>
      </w:r>
      <w:r>
        <w:rPr>
          <w:spacing w:val="-2"/>
        </w:rPr>
        <w:t>Victoria</w:t>
      </w:r>
    </w:p>
    <w:p>
      <w:pPr>
        <w:pStyle w:val="BodyText"/>
        <w:spacing w:before="4"/>
        <w:rPr>
          <w:b/>
          <w:sz w:val="26"/>
        </w:rPr>
      </w:pPr>
    </w:p>
    <w:p>
      <w:pPr>
        <w:pStyle w:val="Heading8"/>
        <w:spacing w:before="1"/>
      </w:pPr>
      <w:r>
        <w:rPr/>
        <w:t>Recommendation</w:t>
      </w:r>
      <w:r>
        <w:rPr>
          <w:spacing w:val="-7"/>
        </w:rPr>
        <w:t> </w:t>
      </w:r>
      <w:r>
        <w:rPr>
          <w:spacing w:val="-5"/>
        </w:rPr>
        <w:t>26</w:t>
      </w:r>
    </w:p>
    <w:p>
      <w:pPr>
        <w:pStyle w:val="BodyText"/>
        <w:spacing w:before="4"/>
        <w:rPr>
          <w:rFonts w:ascii="Arial-BoldItalicMT"/>
          <w:b/>
          <w:i/>
          <w:sz w:val="25"/>
        </w:rPr>
      </w:pPr>
    </w:p>
    <w:p>
      <w:pPr>
        <w:pStyle w:val="BodyText"/>
        <w:spacing w:line="288" w:lineRule="auto"/>
        <w:ind w:left="292" w:right="586"/>
      </w:pPr>
      <w:r>
        <w:rPr/>
        <w:t>DELWP should develop a transition plan that outlines a clear pathway for the closure of its program</w:t>
      </w:r>
      <w:r>
        <w:rPr>
          <w:spacing w:val="-2"/>
        </w:rPr>
        <w:t> </w:t>
      </w:r>
      <w:r>
        <w:rPr/>
        <w:t>components</w:t>
      </w:r>
      <w:r>
        <w:rPr>
          <w:spacing w:val="-2"/>
        </w:rPr>
        <w:t> </w:t>
      </w:r>
      <w:r>
        <w:rPr/>
        <w:t>of</w:t>
      </w:r>
      <w:r>
        <w:rPr>
          <w:spacing w:val="-4"/>
        </w:rPr>
        <w:t> </w:t>
      </w:r>
      <w:r>
        <w:rPr/>
        <w:t>the</w:t>
      </w:r>
      <w:r>
        <w:rPr>
          <w:spacing w:val="-3"/>
        </w:rPr>
        <w:t> </w:t>
      </w:r>
      <w:r>
        <w:rPr/>
        <w:t>Powerline</w:t>
      </w:r>
      <w:r>
        <w:rPr>
          <w:spacing w:val="-3"/>
        </w:rPr>
        <w:t> </w:t>
      </w:r>
      <w:r>
        <w:rPr/>
        <w:t>Bushfire</w:t>
      </w:r>
      <w:r>
        <w:rPr>
          <w:spacing w:val="-5"/>
        </w:rPr>
        <w:t> </w:t>
      </w:r>
      <w:r>
        <w:rPr/>
        <w:t>Safety</w:t>
      </w:r>
      <w:r>
        <w:rPr>
          <w:spacing w:val="-4"/>
        </w:rPr>
        <w:t> </w:t>
      </w:r>
      <w:r>
        <w:rPr/>
        <w:t>Program</w:t>
      </w:r>
      <w:r>
        <w:rPr>
          <w:spacing w:val="-4"/>
        </w:rPr>
        <w:t> </w:t>
      </w:r>
      <w:r>
        <w:rPr/>
        <w:t>and</w:t>
      </w:r>
      <w:r>
        <w:rPr>
          <w:spacing w:val="-3"/>
        </w:rPr>
        <w:t> </w:t>
      </w:r>
      <w:r>
        <w:rPr/>
        <w:t>handover</w:t>
      </w:r>
      <w:r>
        <w:rPr>
          <w:spacing w:val="-2"/>
        </w:rPr>
        <w:t> </w:t>
      </w:r>
      <w:r>
        <w:rPr/>
        <w:t>arrangements</w:t>
      </w:r>
      <w:r>
        <w:rPr>
          <w:spacing w:val="-5"/>
        </w:rPr>
        <w:t> </w:t>
      </w:r>
      <w:r>
        <w:rPr/>
        <w:t>for residual components to ensure the learning gained through the program is maintained into the </w:t>
      </w:r>
      <w:r>
        <w:rPr>
          <w:spacing w:val="-2"/>
        </w:rPr>
        <w:t>future.</w:t>
      </w:r>
    </w:p>
    <w:p>
      <w:pPr>
        <w:pStyle w:val="BodyText"/>
        <w:spacing w:before="1"/>
        <w:rPr>
          <w:sz w:val="21"/>
        </w:rPr>
      </w:pPr>
    </w:p>
    <w:p>
      <w:pPr>
        <w:pStyle w:val="Heading8"/>
      </w:pPr>
      <w:r>
        <w:rPr/>
        <w:t>Recommendation</w:t>
      </w:r>
      <w:r>
        <w:rPr>
          <w:spacing w:val="-7"/>
        </w:rPr>
        <w:t> </w:t>
      </w:r>
      <w:r>
        <w:rPr>
          <w:spacing w:val="-5"/>
        </w:rPr>
        <w:t>27</w:t>
      </w:r>
    </w:p>
    <w:p>
      <w:pPr>
        <w:pStyle w:val="BodyText"/>
        <w:spacing w:before="7"/>
        <w:rPr>
          <w:rFonts w:ascii="Arial-BoldItalicMT"/>
          <w:b/>
          <w:i/>
          <w:sz w:val="21"/>
        </w:rPr>
      </w:pPr>
    </w:p>
    <w:p>
      <w:pPr>
        <w:pStyle w:val="BodyText"/>
        <w:spacing w:line="288" w:lineRule="auto"/>
        <w:ind w:left="292" w:right="374"/>
      </w:pPr>
      <w:r>
        <w:rPr/>
        <w:t>The mandate of the Powerline Bushfire Safety Committee should be expanded to require it to provide annual implementation reports on the deployment of REFCL technology to satisfy the </w:t>
      </w:r>
      <w:r>
        <w:rPr>
          <w:i/>
        </w:rPr>
        <w:t>Electricity Safety (Bushfire Mitigation) Regulations 2013</w:t>
      </w:r>
      <w:r>
        <w:rPr/>
        <w:t>. The implementation reports should include</w:t>
      </w:r>
      <w:r>
        <w:rPr>
          <w:spacing w:val="-3"/>
        </w:rPr>
        <w:t> </w:t>
      </w:r>
      <w:r>
        <w:rPr/>
        <w:t>information</w:t>
      </w:r>
      <w:r>
        <w:rPr>
          <w:spacing w:val="-3"/>
        </w:rPr>
        <w:t> </w:t>
      </w:r>
      <w:r>
        <w:rPr/>
        <w:t>on</w:t>
      </w:r>
      <w:r>
        <w:rPr>
          <w:spacing w:val="-4"/>
        </w:rPr>
        <w:t> </w:t>
      </w:r>
      <w:r>
        <w:rPr/>
        <w:t>the</w:t>
      </w:r>
      <w:r>
        <w:rPr>
          <w:spacing w:val="-3"/>
        </w:rPr>
        <w:t> </w:t>
      </w:r>
      <w:r>
        <w:rPr/>
        <w:t>costs</w:t>
      </w:r>
      <w:r>
        <w:rPr>
          <w:spacing w:val="-2"/>
        </w:rPr>
        <w:t> </w:t>
      </w:r>
      <w:r>
        <w:rPr/>
        <w:t>and</w:t>
      </w:r>
      <w:r>
        <w:rPr>
          <w:spacing w:val="-4"/>
        </w:rPr>
        <w:t> </w:t>
      </w:r>
      <w:r>
        <w:rPr/>
        <w:t>risk</w:t>
      </w:r>
      <w:r>
        <w:rPr>
          <w:spacing w:val="-2"/>
        </w:rPr>
        <w:t> </w:t>
      </w:r>
      <w:r>
        <w:rPr/>
        <w:t>reduction</w:t>
      </w:r>
      <w:r>
        <w:rPr>
          <w:spacing w:val="-3"/>
        </w:rPr>
        <w:t> </w:t>
      </w:r>
      <w:r>
        <w:rPr/>
        <w:t>benefits</w:t>
      </w:r>
      <w:r>
        <w:rPr>
          <w:spacing w:val="-4"/>
        </w:rPr>
        <w:t> </w:t>
      </w:r>
      <w:r>
        <w:rPr/>
        <w:t>in</w:t>
      </w:r>
      <w:r>
        <w:rPr>
          <w:spacing w:val="-3"/>
        </w:rPr>
        <w:t> </w:t>
      </w:r>
      <w:r>
        <w:rPr/>
        <w:t>light</w:t>
      </w:r>
      <w:r>
        <w:rPr>
          <w:spacing w:val="-4"/>
        </w:rPr>
        <w:t> </w:t>
      </w:r>
      <w:r>
        <w:rPr/>
        <w:t>of</w:t>
      </w:r>
      <w:r>
        <w:rPr>
          <w:spacing w:val="-1"/>
        </w:rPr>
        <w:t> </w:t>
      </w:r>
      <w:r>
        <w:rPr/>
        <w:t>actual</w:t>
      </w:r>
      <w:r>
        <w:rPr>
          <w:spacing w:val="-4"/>
        </w:rPr>
        <w:t> </w:t>
      </w:r>
      <w:r>
        <w:rPr/>
        <w:t>experience,</w:t>
      </w:r>
      <w:r>
        <w:rPr>
          <w:spacing w:val="-2"/>
        </w:rPr>
        <w:t> </w:t>
      </w:r>
      <w:r>
        <w:rPr/>
        <w:t>and</w:t>
      </w:r>
      <w:r>
        <w:rPr>
          <w:spacing w:val="-3"/>
        </w:rPr>
        <w:t> </w:t>
      </w:r>
      <w:r>
        <w:rPr/>
        <w:t>an assessment of emerging issues that may require adjustments to program timing or technical requirements. The first report should be provided through the Director of Energy Safety to the Minister for Energy, Environment and Climate Change by May 2018.</w:t>
      </w:r>
    </w:p>
    <w:p>
      <w:pPr>
        <w:pStyle w:val="BodyText"/>
        <w:spacing w:before="10"/>
        <w:rPr>
          <w:sz w:val="20"/>
        </w:rPr>
      </w:pPr>
    </w:p>
    <w:p>
      <w:pPr>
        <w:pStyle w:val="Heading8"/>
      </w:pPr>
      <w:r>
        <w:rPr/>
        <w:t>Recommendation</w:t>
      </w:r>
      <w:r>
        <w:rPr>
          <w:spacing w:val="-7"/>
        </w:rPr>
        <w:t> </w:t>
      </w:r>
      <w:r>
        <w:rPr>
          <w:spacing w:val="-5"/>
        </w:rPr>
        <w:t>28</w:t>
      </w:r>
    </w:p>
    <w:p>
      <w:pPr>
        <w:pStyle w:val="BodyText"/>
        <w:spacing w:before="4"/>
        <w:rPr>
          <w:rFonts w:ascii="Arial-BoldItalicMT"/>
          <w:b/>
          <w:i/>
          <w:sz w:val="25"/>
        </w:rPr>
      </w:pPr>
    </w:p>
    <w:p>
      <w:pPr>
        <w:pStyle w:val="BodyText"/>
        <w:spacing w:line="288" w:lineRule="auto"/>
        <w:ind w:left="292" w:right="311"/>
      </w:pPr>
      <w:r>
        <w:rPr/>
        <w:t>ESV should continue to work closely with distribution businesses, and with the assistance of the Powerline Bushfire Safety Committee, to provide timely advice to the Minister for Energy, Environment and</w:t>
      </w:r>
      <w:r>
        <w:rPr>
          <w:spacing w:val="-2"/>
        </w:rPr>
        <w:t> </w:t>
      </w:r>
      <w:r>
        <w:rPr/>
        <w:t>Climate</w:t>
      </w:r>
      <w:r>
        <w:rPr>
          <w:spacing w:val="-2"/>
        </w:rPr>
        <w:t> </w:t>
      </w:r>
      <w:r>
        <w:rPr/>
        <w:t>Change</w:t>
      </w:r>
      <w:r>
        <w:rPr>
          <w:spacing w:val="-4"/>
        </w:rPr>
        <w:t> </w:t>
      </w:r>
      <w:r>
        <w:rPr/>
        <w:t>on</w:t>
      </w:r>
      <w:r>
        <w:rPr>
          <w:spacing w:val="-2"/>
        </w:rPr>
        <w:t> </w:t>
      </w:r>
      <w:r>
        <w:rPr/>
        <w:t>the</w:t>
      </w:r>
      <w:r>
        <w:rPr>
          <w:spacing w:val="-4"/>
        </w:rPr>
        <w:t> </w:t>
      </w:r>
      <w:r>
        <w:rPr/>
        <w:t>need</w:t>
      </w:r>
      <w:r>
        <w:rPr>
          <w:spacing w:val="-4"/>
        </w:rPr>
        <w:t> </w:t>
      </w:r>
      <w:r>
        <w:rPr/>
        <w:t>for any</w:t>
      </w:r>
      <w:r>
        <w:rPr>
          <w:spacing w:val="-4"/>
        </w:rPr>
        <w:t> </w:t>
      </w:r>
      <w:r>
        <w:rPr/>
        <w:t>exemptions</w:t>
      </w:r>
      <w:r>
        <w:rPr>
          <w:spacing w:val="-4"/>
        </w:rPr>
        <w:t> </w:t>
      </w:r>
      <w:r>
        <w:rPr/>
        <w:t>from</w:t>
      </w:r>
      <w:r>
        <w:rPr>
          <w:spacing w:val="-3"/>
        </w:rPr>
        <w:t> </w:t>
      </w:r>
      <w:r>
        <w:rPr/>
        <w:t>the</w:t>
      </w:r>
      <w:r>
        <w:rPr>
          <w:spacing w:val="-2"/>
        </w:rPr>
        <w:t> </w:t>
      </w:r>
      <w:r>
        <w:rPr/>
        <w:t>performance</w:t>
      </w:r>
      <w:r>
        <w:rPr>
          <w:spacing w:val="-2"/>
        </w:rPr>
        <w:t> </w:t>
      </w:r>
      <w:r>
        <w:rPr/>
        <w:t>standards contained in the </w:t>
      </w:r>
      <w:r>
        <w:rPr>
          <w:i/>
        </w:rPr>
        <w:t>Electricity Safety (Bushfire Mitigation) Regulations 2013</w:t>
      </w:r>
      <w:r>
        <w:rPr/>
        <w:t>.</w:t>
      </w:r>
    </w:p>
    <w:p>
      <w:pPr>
        <w:spacing w:after="0" w:line="288" w:lineRule="auto"/>
        <w:sectPr>
          <w:headerReference w:type="default" r:id="rId12"/>
          <w:footerReference w:type="default" r:id="rId13"/>
          <w:pgSz w:w="11910" w:h="16850"/>
          <w:pgMar w:header="465" w:footer="880" w:top="660" w:bottom="1060" w:left="840" w:right="820"/>
        </w:sectPr>
      </w:pPr>
    </w:p>
    <w:p>
      <w:pPr>
        <w:pStyle w:val="BodyText"/>
        <w:spacing w:before="5"/>
        <w:rPr>
          <w:sz w:val="13"/>
        </w:rPr>
      </w:pPr>
    </w:p>
    <w:p>
      <w:pPr>
        <w:pStyle w:val="BodyText"/>
        <w:spacing w:line="288" w:lineRule="auto" w:before="94"/>
        <w:ind w:left="292" w:right="311"/>
      </w:pPr>
      <w:r>
        <w:rPr/>
        <w:t>The</w:t>
      </w:r>
      <w:r>
        <w:rPr>
          <w:spacing w:val="-5"/>
        </w:rPr>
        <w:t> </w:t>
      </w:r>
      <w:r>
        <w:rPr/>
        <w:t>Victorian</w:t>
      </w:r>
      <w:r>
        <w:rPr>
          <w:spacing w:val="-5"/>
        </w:rPr>
        <w:t> </w:t>
      </w:r>
      <w:r>
        <w:rPr/>
        <w:t>Government</w:t>
      </w:r>
      <w:r>
        <w:rPr>
          <w:spacing w:val="-2"/>
        </w:rPr>
        <w:t> </w:t>
      </w:r>
      <w:r>
        <w:rPr/>
        <w:t>should</w:t>
      </w:r>
      <w:r>
        <w:rPr>
          <w:spacing w:val="-3"/>
        </w:rPr>
        <w:t> </w:t>
      </w:r>
      <w:r>
        <w:rPr/>
        <w:t>provide</w:t>
      </w:r>
      <w:r>
        <w:rPr>
          <w:spacing w:val="-3"/>
        </w:rPr>
        <w:t> </w:t>
      </w:r>
      <w:r>
        <w:rPr/>
        <w:t>ongoing</w:t>
      </w:r>
      <w:r>
        <w:rPr>
          <w:spacing w:val="-5"/>
        </w:rPr>
        <w:t> </w:t>
      </w:r>
      <w:r>
        <w:rPr/>
        <w:t>funding</w:t>
      </w:r>
      <w:r>
        <w:rPr>
          <w:spacing w:val="-3"/>
        </w:rPr>
        <w:t> </w:t>
      </w:r>
      <w:r>
        <w:rPr/>
        <w:t>for</w:t>
      </w:r>
      <w:r>
        <w:rPr>
          <w:spacing w:val="-6"/>
        </w:rPr>
        <w:t> </w:t>
      </w:r>
      <w:r>
        <w:rPr/>
        <w:t>further</w:t>
      </w:r>
      <w:r>
        <w:rPr>
          <w:spacing w:val="-4"/>
        </w:rPr>
        <w:t> </w:t>
      </w:r>
      <w:r>
        <w:rPr/>
        <w:t>research</w:t>
      </w:r>
      <w:r>
        <w:rPr>
          <w:spacing w:val="-2"/>
        </w:rPr>
        <w:t> </w:t>
      </w:r>
      <w:r>
        <w:rPr/>
        <w:t>and</w:t>
      </w:r>
      <w:r>
        <w:rPr>
          <w:spacing w:val="-5"/>
        </w:rPr>
        <w:t> </w:t>
      </w:r>
      <w:r>
        <w:rPr/>
        <w:t>development into new technology to manage the bushfire risk from electric lines. Any funding should be contingent on being at least matched by contributions from distribution companies. The ongoing program should</w:t>
      </w:r>
      <w:r>
        <w:rPr>
          <w:spacing w:val="-3"/>
        </w:rPr>
        <w:t> </w:t>
      </w:r>
      <w:r>
        <w:rPr/>
        <w:t>be</w:t>
      </w:r>
      <w:r>
        <w:rPr>
          <w:spacing w:val="-3"/>
        </w:rPr>
        <w:t> </w:t>
      </w:r>
      <w:r>
        <w:rPr/>
        <w:t>managed</w:t>
      </w:r>
      <w:r>
        <w:rPr>
          <w:spacing w:val="-3"/>
        </w:rPr>
        <w:t> </w:t>
      </w:r>
      <w:r>
        <w:rPr/>
        <w:t>jointly</w:t>
      </w:r>
      <w:r>
        <w:rPr>
          <w:spacing w:val="-3"/>
        </w:rPr>
        <w:t> </w:t>
      </w:r>
      <w:r>
        <w:rPr/>
        <w:t>with</w:t>
      </w:r>
      <w:r>
        <w:rPr>
          <w:spacing w:val="-1"/>
        </w:rPr>
        <w:t> </w:t>
      </w:r>
      <w:r>
        <w:rPr/>
        <w:t>distribution</w:t>
      </w:r>
      <w:r>
        <w:rPr>
          <w:spacing w:val="-1"/>
        </w:rPr>
        <w:t> </w:t>
      </w:r>
      <w:r>
        <w:rPr/>
        <w:t>companies</w:t>
      </w:r>
      <w:r>
        <w:rPr>
          <w:spacing w:val="-3"/>
        </w:rPr>
        <w:t> </w:t>
      </w:r>
      <w:r>
        <w:rPr/>
        <w:t>and</w:t>
      </w:r>
      <w:r>
        <w:rPr>
          <w:spacing w:val="-1"/>
        </w:rPr>
        <w:t> </w:t>
      </w:r>
      <w:r>
        <w:rPr/>
        <w:t>involve input</w:t>
      </w:r>
      <w:r>
        <w:rPr>
          <w:spacing w:val="-2"/>
        </w:rPr>
        <w:t> </w:t>
      </w:r>
      <w:r>
        <w:rPr/>
        <w:t>from university researchers. It should be subject to evaluation at least every four years, with the continued provision of public funding to be contingent on satisfactory research performance.</w:t>
      </w:r>
    </w:p>
    <w:p>
      <w:pPr>
        <w:pStyle w:val="BodyText"/>
        <w:rPr>
          <w:sz w:val="24"/>
        </w:rPr>
      </w:pPr>
    </w:p>
    <w:p>
      <w:pPr>
        <w:pStyle w:val="BodyText"/>
        <w:spacing w:before="6"/>
        <w:rPr>
          <w:sz w:val="19"/>
        </w:rPr>
      </w:pPr>
    </w:p>
    <w:p>
      <w:pPr>
        <w:pStyle w:val="Heading5"/>
      </w:pPr>
      <w:r>
        <w:rPr/>
        <w:t>Regulating</w:t>
      </w:r>
      <w:r>
        <w:rPr>
          <w:spacing w:val="-9"/>
        </w:rPr>
        <w:t> </w:t>
      </w:r>
      <w:r>
        <w:rPr/>
        <w:t>Underground</w:t>
      </w:r>
      <w:r>
        <w:rPr>
          <w:spacing w:val="-8"/>
        </w:rPr>
        <w:t> </w:t>
      </w:r>
      <w:r>
        <w:rPr/>
        <w:t>Energy</w:t>
      </w:r>
      <w:r>
        <w:rPr>
          <w:spacing w:val="-12"/>
        </w:rPr>
        <w:t> </w:t>
      </w:r>
      <w:r>
        <w:rPr>
          <w:spacing w:val="-2"/>
        </w:rPr>
        <w:t>Assets</w:t>
      </w:r>
    </w:p>
    <w:p>
      <w:pPr>
        <w:pStyle w:val="BodyText"/>
        <w:spacing w:before="9"/>
        <w:rPr>
          <w:b/>
          <w:sz w:val="26"/>
        </w:rPr>
      </w:pPr>
    </w:p>
    <w:p>
      <w:pPr>
        <w:pStyle w:val="Heading8"/>
      </w:pPr>
      <w:r>
        <w:rPr/>
        <w:t>Recommendation</w:t>
      </w:r>
      <w:r>
        <w:rPr>
          <w:spacing w:val="-7"/>
        </w:rPr>
        <w:t> </w:t>
      </w:r>
      <w:r>
        <w:rPr>
          <w:spacing w:val="-5"/>
        </w:rPr>
        <w:t>30</w:t>
      </w:r>
    </w:p>
    <w:p>
      <w:pPr>
        <w:pStyle w:val="BodyText"/>
        <w:spacing w:before="8"/>
        <w:rPr>
          <w:rFonts w:ascii="Arial-BoldItalicMT"/>
          <w:b/>
          <w:i/>
          <w:sz w:val="21"/>
        </w:rPr>
      </w:pPr>
    </w:p>
    <w:p>
      <w:pPr>
        <w:pStyle w:val="BodyText"/>
        <w:spacing w:line="288" w:lineRule="auto"/>
        <w:ind w:left="292" w:right="311"/>
      </w:pPr>
      <w:r>
        <w:rPr/>
        <w:t>The Victorian Government should note the Review’s support for the Major Hazard Facilities Advisory Committee’s recommendations to formalise the membership and operation of the </w:t>
      </w:r>
      <w:r>
        <w:rPr>
          <w:i/>
        </w:rPr>
        <w:t>Land Development</w:t>
      </w:r>
      <w:r>
        <w:rPr>
          <w:i/>
          <w:spacing w:val="-1"/>
        </w:rPr>
        <w:t> </w:t>
      </w:r>
      <w:r>
        <w:rPr>
          <w:i/>
        </w:rPr>
        <w:t>Around</w:t>
      </w:r>
      <w:r>
        <w:rPr>
          <w:i/>
          <w:spacing w:val="-3"/>
        </w:rPr>
        <w:t> </w:t>
      </w:r>
      <w:r>
        <w:rPr>
          <w:i/>
        </w:rPr>
        <w:t>Pipelines</w:t>
      </w:r>
      <w:r>
        <w:rPr>
          <w:i/>
          <w:spacing w:val="-2"/>
        </w:rPr>
        <w:t> </w:t>
      </w:r>
      <w:r>
        <w:rPr>
          <w:i/>
        </w:rPr>
        <w:t>Working</w:t>
      </w:r>
      <w:r>
        <w:rPr>
          <w:i/>
          <w:spacing w:val="-5"/>
        </w:rPr>
        <w:t> </w:t>
      </w:r>
      <w:r>
        <w:rPr>
          <w:i/>
        </w:rPr>
        <w:t>Group </w:t>
      </w:r>
      <w:r>
        <w:rPr/>
        <w:t>and</w:t>
      </w:r>
      <w:r>
        <w:rPr>
          <w:spacing w:val="-3"/>
        </w:rPr>
        <w:t> </w:t>
      </w:r>
      <w:r>
        <w:rPr/>
        <w:t>to</w:t>
      </w:r>
      <w:r>
        <w:rPr>
          <w:spacing w:val="-5"/>
        </w:rPr>
        <w:t> </w:t>
      </w:r>
      <w:r>
        <w:rPr/>
        <w:t>task</w:t>
      </w:r>
      <w:r>
        <w:rPr>
          <w:spacing w:val="-5"/>
        </w:rPr>
        <w:t> </w:t>
      </w:r>
      <w:r>
        <w:rPr/>
        <w:t>the</w:t>
      </w:r>
      <w:r>
        <w:rPr>
          <w:spacing w:val="-3"/>
        </w:rPr>
        <w:t> </w:t>
      </w:r>
      <w:r>
        <w:rPr/>
        <w:t>working</w:t>
      </w:r>
      <w:r>
        <w:rPr>
          <w:spacing w:val="-4"/>
        </w:rPr>
        <w:t> </w:t>
      </w:r>
      <w:r>
        <w:rPr/>
        <w:t>group</w:t>
      </w:r>
      <w:r>
        <w:rPr>
          <w:spacing w:val="-3"/>
        </w:rPr>
        <w:t> </w:t>
      </w:r>
      <w:r>
        <w:rPr/>
        <w:t>with</w:t>
      </w:r>
      <w:r>
        <w:rPr>
          <w:spacing w:val="-3"/>
        </w:rPr>
        <w:t> </w:t>
      </w:r>
      <w:r>
        <w:rPr/>
        <w:t>providing</w:t>
      </w:r>
      <w:r>
        <w:rPr>
          <w:spacing w:val="-1"/>
        </w:rPr>
        <w:t> </w:t>
      </w:r>
      <w:r>
        <w:rPr/>
        <w:t>advice to government to improve planning around high pressure gas pipelines.</w:t>
      </w:r>
    </w:p>
    <w:p>
      <w:pPr>
        <w:pStyle w:val="Heading8"/>
        <w:spacing w:before="204"/>
      </w:pPr>
      <w:r>
        <w:rPr/>
        <w:t>Recommendation</w:t>
      </w:r>
      <w:r>
        <w:rPr>
          <w:spacing w:val="-7"/>
        </w:rPr>
        <w:t> </w:t>
      </w:r>
      <w:r>
        <w:rPr>
          <w:spacing w:val="-5"/>
        </w:rPr>
        <w:t>31</w:t>
      </w:r>
    </w:p>
    <w:p>
      <w:pPr>
        <w:pStyle w:val="BodyText"/>
        <w:spacing w:before="5"/>
        <w:rPr>
          <w:rFonts w:ascii="Arial-BoldItalicMT"/>
          <w:b/>
          <w:i/>
          <w:sz w:val="21"/>
        </w:rPr>
      </w:pPr>
    </w:p>
    <w:p>
      <w:pPr>
        <w:pStyle w:val="BodyText"/>
        <w:spacing w:line="288" w:lineRule="auto"/>
        <w:ind w:left="292" w:right="311"/>
      </w:pPr>
      <w:r>
        <w:rPr/>
        <w:t>Subject to the completion of a positive regulation impact assessment, </w:t>
      </w:r>
      <w:r>
        <w:rPr>
          <w:i/>
        </w:rPr>
        <w:t>Dial Before You Dig </w:t>
      </w:r>
      <w:r>
        <w:rPr/>
        <w:t>should be</w:t>
      </w:r>
      <w:r>
        <w:rPr>
          <w:spacing w:val="-2"/>
        </w:rPr>
        <w:t> </w:t>
      </w:r>
      <w:r>
        <w:rPr/>
        <w:t>made</w:t>
      </w:r>
      <w:r>
        <w:rPr>
          <w:spacing w:val="-4"/>
        </w:rPr>
        <w:t> </w:t>
      </w:r>
      <w:r>
        <w:rPr/>
        <w:t>mandatory</w:t>
      </w:r>
      <w:r>
        <w:rPr>
          <w:spacing w:val="-3"/>
        </w:rPr>
        <w:t> </w:t>
      </w:r>
      <w:r>
        <w:rPr/>
        <w:t>in</w:t>
      </w:r>
      <w:r>
        <w:rPr>
          <w:spacing w:val="-2"/>
        </w:rPr>
        <w:t> </w:t>
      </w:r>
      <w:r>
        <w:rPr/>
        <w:t>Victoria</w:t>
      </w:r>
      <w:r>
        <w:rPr>
          <w:spacing w:val="-4"/>
        </w:rPr>
        <w:t> </w:t>
      </w:r>
      <w:r>
        <w:rPr/>
        <w:t>following the</w:t>
      </w:r>
      <w:r>
        <w:rPr>
          <w:spacing w:val="-2"/>
        </w:rPr>
        <w:t> </w:t>
      </w:r>
      <w:r>
        <w:rPr/>
        <w:t>approach</w:t>
      </w:r>
      <w:r>
        <w:rPr>
          <w:spacing w:val="-2"/>
        </w:rPr>
        <w:t> </w:t>
      </w:r>
      <w:r>
        <w:rPr/>
        <w:t>that has</w:t>
      </w:r>
      <w:r>
        <w:rPr>
          <w:spacing w:val="-1"/>
        </w:rPr>
        <w:t> </w:t>
      </w:r>
      <w:r>
        <w:rPr/>
        <w:t>been</w:t>
      </w:r>
      <w:r>
        <w:rPr>
          <w:spacing w:val="-4"/>
        </w:rPr>
        <w:t> </w:t>
      </w:r>
      <w:r>
        <w:rPr/>
        <w:t>adopted</w:t>
      </w:r>
      <w:r>
        <w:rPr>
          <w:spacing w:val="-2"/>
        </w:rPr>
        <w:t> </w:t>
      </w:r>
      <w:r>
        <w:rPr/>
        <w:t>in</w:t>
      </w:r>
      <w:r>
        <w:rPr>
          <w:spacing w:val="-2"/>
        </w:rPr>
        <w:t> </w:t>
      </w:r>
      <w:r>
        <w:rPr/>
        <w:t>New</w:t>
      </w:r>
      <w:r>
        <w:rPr>
          <w:spacing w:val="-5"/>
        </w:rPr>
        <w:t> </w:t>
      </w:r>
      <w:r>
        <w:rPr/>
        <w:t>South</w:t>
      </w:r>
      <w:r>
        <w:rPr>
          <w:spacing w:val="-6"/>
        </w:rPr>
        <w:t> </w:t>
      </w:r>
      <w:r>
        <w:rPr/>
        <w:t>Wales.</w:t>
      </w:r>
    </w:p>
    <w:p>
      <w:pPr>
        <w:pStyle w:val="BodyText"/>
        <w:rPr>
          <w:sz w:val="24"/>
        </w:rPr>
      </w:pPr>
    </w:p>
    <w:p>
      <w:pPr>
        <w:pStyle w:val="BodyText"/>
        <w:spacing w:before="8"/>
        <w:rPr>
          <w:sz w:val="19"/>
        </w:rPr>
      </w:pPr>
    </w:p>
    <w:p>
      <w:pPr>
        <w:pStyle w:val="Heading5"/>
      </w:pPr>
      <w:r>
        <w:rPr/>
        <w:t>Regulating</w:t>
      </w:r>
      <w:r>
        <w:rPr>
          <w:spacing w:val="-5"/>
        </w:rPr>
        <w:t> </w:t>
      </w:r>
      <w:r>
        <w:rPr/>
        <w:t>the</w:t>
      </w:r>
      <w:r>
        <w:rPr>
          <w:spacing w:val="-4"/>
        </w:rPr>
        <w:t> </w:t>
      </w:r>
      <w:r>
        <w:rPr/>
        <w:t>Networks</w:t>
      </w:r>
      <w:r>
        <w:rPr>
          <w:spacing w:val="-6"/>
        </w:rPr>
        <w:t> </w:t>
      </w:r>
      <w:r>
        <w:rPr/>
        <w:t>of</w:t>
      </w:r>
      <w:r>
        <w:rPr>
          <w:spacing w:val="-4"/>
        </w:rPr>
        <w:t> </w:t>
      </w:r>
      <w:r>
        <w:rPr/>
        <w:t>the</w:t>
      </w:r>
      <w:r>
        <w:rPr>
          <w:spacing w:val="-6"/>
        </w:rPr>
        <w:t> </w:t>
      </w:r>
      <w:r>
        <w:rPr>
          <w:spacing w:val="-2"/>
        </w:rPr>
        <w:t>Future</w:t>
      </w:r>
    </w:p>
    <w:p>
      <w:pPr>
        <w:pStyle w:val="BodyText"/>
        <w:spacing w:before="7"/>
        <w:rPr>
          <w:b/>
          <w:sz w:val="26"/>
        </w:rPr>
      </w:pPr>
    </w:p>
    <w:p>
      <w:pPr>
        <w:pStyle w:val="Heading8"/>
      </w:pPr>
      <w:r>
        <w:rPr/>
        <w:t>Recommendation</w:t>
      </w:r>
      <w:r>
        <w:rPr>
          <w:spacing w:val="-7"/>
        </w:rPr>
        <w:t> </w:t>
      </w:r>
      <w:r>
        <w:rPr>
          <w:spacing w:val="-5"/>
        </w:rPr>
        <w:t>32</w:t>
      </w:r>
    </w:p>
    <w:p>
      <w:pPr>
        <w:pStyle w:val="BodyText"/>
        <w:spacing w:before="4"/>
        <w:rPr>
          <w:rFonts w:ascii="Arial-BoldItalicMT"/>
          <w:b/>
          <w:i/>
          <w:sz w:val="25"/>
        </w:rPr>
      </w:pPr>
    </w:p>
    <w:p>
      <w:pPr>
        <w:pStyle w:val="BodyText"/>
        <w:spacing w:line="288" w:lineRule="auto" w:before="1"/>
        <w:ind w:left="292" w:right="586"/>
      </w:pPr>
      <w:r>
        <w:rPr/>
        <w:t>ESV</w:t>
      </w:r>
      <w:r>
        <w:rPr>
          <w:spacing w:val="-2"/>
        </w:rPr>
        <w:t> </w:t>
      </w:r>
      <w:r>
        <w:rPr/>
        <w:t>should</w:t>
      </w:r>
      <w:r>
        <w:rPr>
          <w:spacing w:val="-2"/>
        </w:rPr>
        <w:t> </w:t>
      </w:r>
      <w:r>
        <w:rPr/>
        <w:t>establish</w:t>
      </w:r>
      <w:r>
        <w:rPr>
          <w:spacing w:val="-2"/>
        </w:rPr>
        <w:t> </w:t>
      </w:r>
      <w:r>
        <w:rPr/>
        <w:t>an</w:t>
      </w:r>
      <w:r>
        <w:rPr>
          <w:spacing w:val="-6"/>
        </w:rPr>
        <w:t> </w:t>
      </w:r>
      <w:r>
        <w:rPr/>
        <w:t>expert advisory</w:t>
      </w:r>
      <w:r>
        <w:rPr>
          <w:spacing w:val="-3"/>
        </w:rPr>
        <w:t> </w:t>
      </w:r>
      <w:r>
        <w:rPr/>
        <w:t>committee</w:t>
      </w:r>
      <w:r>
        <w:rPr>
          <w:spacing w:val="-2"/>
        </w:rPr>
        <w:t> </w:t>
      </w:r>
      <w:r>
        <w:rPr/>
        <w:t>under</w:t>
      </w:r>
      <w:r>
        <w:rPr>
          <w:spacing w:val="-3"/>
        </w:rPr>
        <w:t> </w:t>
      </w:r>
      <w:r>
        <w:rPr/>
        <w:t>Section</w:t>
      </w:r>
      <w:r>
        <w:rPr>
          <w:spacing w:val="-2"/>
        </w:rPr>
        <w:t> </w:t>
      </w:r>
      <w:r>
        <w:rPr/>
        <w:t>8</w:t>
      </w:r>
      <w:r>
        <w:rPr>
          <w:spacing w:val="-4"/>
        </w:rPr>
        <w:t> </w:t>
      </w:r>
      <w:r>
        <w:rPr/>
        <w:t>of</w:t>
      </w:r>
      <w:r>
        <w:rPr>
          <w:spacing w:val="-3"/>
        </w:rPr>
        <w:t> </w:t>
      </w:r>
      <w:r>
        <w:rPr/>
        <w:t>the</w:t>
      </w:r>
      <w:r>
        <w:rPr>
          <w:spacing w:val="-1"/>
        </w:rPr>
        <w:t> </w:t>
      </w:r>
      <w:r>
        <w:rPr>
          <w:i/>
        </w:rPr>
        <w:t>Energy</w:t>
      </w:r>
      <w:r>
        <w:rPr>
          <w:i/>
          <w:spacing w:val="-2"/>
        </w:rPr>
        <w:t> </w:t>
      </w:r>
      <w:r>
        <w:rPr>
          <w:i/>
        </w:rPr>
        <w:t>Safe</w:t>
      </w:r>
      <w:r>
        <w:rPr>
          <w:i/>
          <w:spacing w:val="-4"/>
        </w:rPr>
        <w:t> </w:t>
      </w:r>
      <w:r>
        <w:rPr>
          <w:i/>
        </w:rPr>
        <w:t>Victoria Act 2005 </w:t>
      </w:r>
      <w:r>
        <w:rPr/>
        <w:t>to advise on emerging trends in electricity and gas networks and possible changes to regulatory settings that might be considered necessary to manage new sources of safety risk.</w:t>
      </w:r>
    </w:p>
    <w:p>
      <w:pPr>
        <w:pStyle w:val="BodyText"/>
        <w:spacing w:before="8"/>
        <w:rPr>
          <w:sz w:val="20"/>
        </w:rPr>
      </w:pPr>
    </w:p>
    <w:p>
      <w:pPr>
        <w:pStyle w:val="Heading8"/>
      </w:pPr>
      <w:r>
        <w:rPr/>
        <w:t>Recommendation</w:t>
      </w:r>
      <w:r>
        <w:rPr>
          <w:spacing w:val="-7"/>
        </w:rPr>
        <w:t> </w:t>
      </w:r>
      <w:r>
        <w:rPr>
          <w:spacing w:val="-5"/>
        </w:rPr>
        <w:t>33</w:t>
      </w:r>
    </w:p>
    <w:p>
      <w:pPr>
        <w:pStyle w:val="BodyText"/>
        <w:spacing w:before="5"/>
        <w:rPr>
          <w:rFonts w:ascii="Arial-BoldItalicMT"/>
          <w:b/>
          <w:i/>
          <w:sz w:val="25"/>
        </w:rPr>
      </w:pPr>
    </w:p>
    <w:p>
      <w:pPr>
        <w:pStyle w:val="BodyText"/>
        <w:spacing w:line="288" w:lineRule="auto"/>
        <w:ind w:left="292" w:right="346"/>
      </w:pPr>
      <w:r>
        <w:rPr/>
        <w:t>ESV should develop a roadmap of emerging issues and proposed actions to ensure the safety risks arising from new technologies and network structures are identified early and managed effectively.</w:t>
      </w:r>
      <w:r>
        <w:rPr>
          <w:spacing w:val="-1"/>
        </w:rPr>
        <w:t> </w:t>
      </w:r>
      <w:r>
        <w:rPr/>
        <w:t>Progress</w:t>
      </w:r>
      <w:r>
        <w:rPr>
          <w:spacing w:val="-2"/>
        </w:rPr>
        <w:t> </w:t>
      </w:r>
      <w:r>
        <w:rPr/>
        <w:t>against</w:t>
      </w:r>
      <w:r>
        <w:rPr>
          <w:spacing w:val="-2"/>
        </w:rPr>
        <w:t> </w:t>
      </w:r>
      <w:r>
        <w:rPr/>
        <w:t>the</w:t>
      </w:r>
      <w:r>
        <w:rPr>
          <w:spacing w:val="-5"/>
        </w:rPr>
        <w:t> </w:t>
      </w:r>
      <w:r>
        <w:rPr/>
        <w:t>roadmap</w:t>
      </w:r>
      <w:r>
        <w:rPr>
          <w:spacing w:val="-5"/>
        </w:rPr>
        <w:t> </w:t>
      </w:r>
      <w:r>
        <w:rPr/>
        <w:t>should</w:t>
      </w:r>
      <w:r>
        <w:rPr>
          <w:spacing w:val="-5"/>
        </w:rPr>
        <w:t> </w:t>
      </w:r>
      <w:r>
        <w:rPr/>
        <w:t>be</w:t>
      </w:r>
      <w:r>
        <w:rPr>
          <w:spacing w:val="-3"/>
        </w:rPr>
        <w:t> </w:t>
      </w:r>
      <w:r>
        <w:rPr/>
        <w:t>reported</w:t>
      </w:r>
      <w:r>
        <w:rPr>
          <w:spacing w:val="-5"/>
        </w:rPr>
        <w:t> </w:t>
      </w:r>
      <w:r>
        <w:rPr/>
        <w:t>annually</w:t>
      </w:r>
      <w:r>
        <w:rPr>
          <w:spacing w:val="-5"/>
        </w:rPr>
        <w:t> </w:t>
      </w:r>
      <w:r>
        <w:rPr/>
        <w:t>in</w:t>
      </w:r>
      <w:r>
        <w:rPr>
          <w:spacing w:val="-3"/>
        </w:rPr>
        <w:t> </w:t>
      </w:r>
      <w:r>
        <w:rPr/>
        <w:t>ESV’s</w:t>
      </w:r>
      <w:r>
        <w:rPr>
          <w:spacing w:val="-2"/>
        </w:rPr>
        <w:t> </w:t>
      </w:r>
      <w:r>
        <w:rPr/>
        <w:t>Annual</w:t>
      </w:r>
      <w:r>
        <w:rPr>
          <w:spacing w:val="-3"/>
        </w:rPr>
        <w:t> </w:t>
      </w:r>
      <w:r>
        <w:rPr/>
        <w:t>Report</w:t>
      </w:r>
      <w:r>
        <w:rPr>
          <w:spacing w:val="-3"/>
        </w:rPr>
        <w:t> </w:t>
      </w:r>
      <w:r>
        <w:rPr/>
        <w:t>and network safety performance reports.</w:t>
      </w:r>
    </w:p>
    <w:p>
      <w:pPr>
        <w:pStyle w:val="BodyText"/>
        <w:rPr>
          <w:sz w:val="24"/>
        </w:rPr>
      </w:pPr>
    </w:p>
    <w:p>
      <w:pPr>
        <w:pStyle w:val="BodyText"/>
        <w:spacing w:before="1"/>
        <w:rPr>
          <w:sz w:val="23"/>
        </w:rPr>
      </w:pPr>
    </w:p>
    <w:p>
      <w:pPr>
        <w:pStyle w:val="Heading5"/>
      </w:pPr>
      <w:r>
        <w:rPr/>
        <w:t>Strengthening</w:t>
      </w:r>
      <w:r>
        <w:rPr>
          <w:spacing w:val="-9"/>
        </w:rPr>
        <w:t> </w:t>
      </w:r>
      <w:r>
        <w:rPr/>
        <w:t>the</w:t>
      </w:r>
      <w:r>
        <w:rPr>
          <w:spacing w:val="-8"/>
        </w:rPr>
        <w:t> </w:t>
      </w:r>
      <w:r>
        <w:rPr/>
        <w:t>Foundations</w:t>
      </w:r>
      <w:r>
        <w:rPr>
          <w:spacing w:val="-5"/>
        </w:rPr>
        <w:t> </w:t>
      </w:r>
      <w:r>
        <w:rPr/>
        <w:t>for</w:t>
      </w:r>
      <w:r>
        <w:rPr>
          <w:spacing w:val="-7"/>
        </w:rPr>
        <w:t> </w:t>
      </w:r>
      <w:r>
        <w:rPr/>
        <w:t>Future</w:t>
      </w:r>
      <w:r>
        <w:rPr>
          <w:spacing w:val="-6"/>
        </w:rPr>
        <w:t> </w:t>
      </w:r>
      <w:r>
        <w:rPr/>
        <w:t>Network</w:t>
      </w:r>
      <w:r>
        <w:rPr>
          <w:spacing w:val="-8"/>
        </w:rPr>
        <w:t> </w:t>
      </w:r>
      <w:r>
        <w:rPr/>
        <w:t>Safety</w:t>
      </w:r>
      <w:r>
        <w:rPr>
          <w:spacing w:val="-12"/>
        </w:rPr>
        <w:t> </w:t>
      </w:r>
      <w:r>
        <w:rPr>
          <w:spacing w:val="-2"/>
        </w:rPr>
        <w:t>Regulation</w:t>
      </w:r>
    </w:p>
    <w:p>
      <w:pPr>
        <w:pStyle w:val="BodyText"/>
        <w:spacing w:before="7"/>
        <w:rPr>
          <w:b/>
          <w:sz w:val="26"/>
        </w:rPr>
      </w:pPr>
    </w:p>
    <w:p>
      <w:pPr>
        <w:pStyle w:val="Heading8"/>
      </w:pPr>
      <w:r>
        <w:rPr/>
        <w:t>Recommendation</w:t>
      </w:r>
      <w:r>
        <w:rPr>
          <w:spacing w:val="-7"/>
        </w:rPr>
        <w:t> </w:t>
      </w:r>
      <w:r>
        <w:rPr>
          <w:spacing w:val="-5"/>
        </w:rPr>
        <w:t>34</w:t>
      </w:r>
    </w:p>
    <w:p>
      <w:pPr>
        <w:pStyle w:val="BodyText"/>
        <w:spacing w:before="2"/>
        <w:rPr>
          <w:rFonts w:ascii="Arial-BoldItalicMT"/>
          <w:b/>
          <w:i/>
          <w:sz w:val="25"/>
        </w:rPr>
      </w:pPr>
    </w:p>
    <w:p>
      <w:pPr>
        <w:spacing w:line="288" w:lineRule="auto" w:before="0"/>
        <w:ind w:left="292" w:right="311" w:firstLine="0"/>
        <w:jc w:val="left"/>
        <w:rPr>
          <w:sz w:val="22"/>
        </w:rPr>
      </w:pPr>
      <w:r>
        <w:rPr>
          <w:sz w:val="22"/>
        </w:rPr>
        <w:t>All</w:t>
      </w:r>
      <w:r>
        <w:rPr>
          <w:spacing w:val="-2"/>
          <w:sz w:val="22"/>
        </w:rPr>
        <w:t> </w:t>
      </w:r>
      <w:r>
        <w:rPr>
          <w:sz w:val="22"/>
        </w:rPr>
        <w:t>energy</w:t>
      </w:r>
      <w:r>
        <w:rPr>
          <w:spacing w:val="-4"/>
          <w:sz w:val="22"/>
        </w:rPr>
        <w:t> </w:t>
      </w:r>
      <w:r>
        <w:rPr>
          <w:sz w:val="22"/>
        </w:rPr>
        <w:t>safety</w:t>
      </w:r>
      <w:r>
        <w:rPr>
          <w:spacing w:val="-3"/>
          <w:sz w:val="22"/>
        </w:rPr>
        <w:t> </w:t>
      </w:r>
      <w:r>
        <w:rPr>
          <w:sz w:val="22"/>
        </w:rPr>
        <w:t>legislation</w:t>
      </w:r>
      <w:r>
        <w:rPr>
          <w:spacing w:val="-2"/>
          <w:sz w:val="22"/>
        </w:rPr>
        <w:t> </w:t>
      </w:r>
      <w:r>
        <w:rPr>
          <w:sz w:val="22"/>
        </w:rPr>
        <w:t>should</w:t>
      </w:r>
      <w:r>
        <w:rPr>
          <w:spacing w:val="-2"/>
          <w:sz w:val="22"/>
        </w:rPr>
        <w:t> </w:t>
      </w:r>
      <w:r>
        <w:rPr>
          <w:sz w:val="22"/>
        </w:rPr>
        <w:t>be</w:t>
      </w:r>
      <w:r>
        <w:rPr>
          <w:spacing w:val="-4"/>
          <w:sz w:val="22"/>
        </w:rPr>
        <w:t> </w:t>
      </w:r>
      <w:r>
        <w:rPr>
          <w:sz w:val="22"/>
        </w:rPr>
        <w:t>consolidated</w:t>
      </w:r>
      <w:r>
        <w:rPr>
          <w:spacing w:val="-2"/>
          <w:sz w:val="22"/>
        </w:rPr>
        <w:t> </w:t>
      </w:r>
      <w:r>
        <w:rPr>
          <w:sz w:val="22"/>
        </w:rPr>
        <w:t>in</w:t>
      </w:r>
      <w:r>
        <w:rPr>
          <w:spacing w:val="-2"/>
          <w:sz w:val="22"/>
        </w:rPr>
        <w:t> </w:t>
      </w:r>
      <w:r>
        <w:rPr>
          <w:sz w:val="22"/>
        </w:rPr>
        <w:t>a</w:t>
      </w:r>
      <w:r>
        <w:rPr>
          <w:spacing w:val="-2"/>
          <w:sz w:val="22"/>
        </w:rPr>
        <w:t> </w:t>
      </w:r>
      <w:r>
        <w:rPr>
          <w:sz w:val="22"/>
        </w:rPr>
        <w:t>single</w:t>
      </w:r>
      <w:r>
        <w:rPr>
          <w:spacing w:val="-2"/>
          <w:sz w:val="22"/>
        </w:rPr>
        <w:t> </w:t>
      </w:r>
      <w:r>
        <w:rPr>
          <w:sz w:val="22"/>
        </w:rPr>
        <w:t>new</w:t>
      </w:r>
      <w:r>
        <w:rPr>
          <w:spacing w:val="-5"/>
          <w:sz w:val="22"/>
        </w:rPr>
        <w:t> </w:t>
      </w:r>
      <w:r>
        <w:rPr>
          <w:sz w:val="22"/>
        </w:rPr>
        <w:t>energy</w:t>
      </w:r>
      <w:r>
        <w:rPr>
          <w:spacing w:val="-6"/>
          <w:sz w:val="22"/>
        </w:rPr>
        <w:t> </w:t>
      </w:r>
      <w:r>
        <w:rPr>
          <w:sz w:val="22"/>
        </w:rPr>
        <w:t>safety</w:t>
      </w:r>
      <w:r>
        <w:rPr>
          <w:spacing w:val="-3"/>
          <w:sz w:val="22"/>
        </w:rPr>
        <w:t> </w:t>
      </w:r>
      <w:r>
        <w:rPr>
          <w:sz w:val="22"/>
        </w:rPr>
        <w:t>Act,</w:t>
      </w:r>
      <w:r>
        <w:rPr>
          <w:spacing w:val="-3"/>
          <w:sz w:val="22"/>
        </w:rPr>
        <w:t> </w:t>
      </w:r>
      <w:r>
        <w:rPr>
          <w:sz w:val="22"/>
        </w:rPr>
        <w:t>replacing</w:t>
      </w:r>
      <w:r>
        <w:rPr>
          <w:spacing w:val="-2"/>
          <w:sz w:val="22"/>
        </w:rPr>
        <w:t> </w:t>
      </w:r>
      <w:r>
        <w:rPr>
          <w:sz w:val="22"/>
        </w:rPr>
        <w:t>the </w:t>
      </w:r>
      <w:r>
        <w:rPr>
          <w:i/>
          <w:sz w:val="22"/>
        </w:rPr>
        <w:t>Gas Safety Act 1997</w:t>
      </w:r>
      <w:r>
        <w:rPr>
          <w:sz w:val="22"/>
        </w:rPr>
        <w:t>, </w:t>
      </w:r>
      <w:r>
        <w:rPr>
          <w:i/>
          <w:sz w:val="22"/>
        </w:rPr>
        <w:t>Electricity Safety Act 1998</w:t>
      </w:r>
      <w:r>
        <w:rPr>
          <w:sz w:val="22"/>
        </w:rPr>
        <w:t>, those elements of the </w:t>
      </w:r>
      <w:r>
        <w:rPr>
          <w:i/>
          <w:sz w:val="22"/>
        </w:rPr>
        <w:t>Pipelines Act 2005 </w:t>
      </w:r>
      <w:r>
        <w:rPr>
          <w:sz w:val="22"/>
        </w:rPr>
        <w:t>that relate to safety, and the </w:t>
      </w:r>
      <w:r>
        <w:rPr>
          <w:i/>
          <w:sz w:val="22"/>
        </w:rPr>
        <w:t>Energy Safe Victoria Act 2005</w:t>
      </w:r>
      <w:r>
        <w:rPr>
          <w:sz w:val="22"/>
        </w:rPr>
        <w:t>.</w:t>
      </w:r>
    </w:p>
    <w:p>
      <w:pPr>
        <w:spacing w:after="0" w:line="288" w:lineRule="auto"/>
        <w:jc w:val="left"/>
        <w:rPr>
          <w:sz w:val="22"/>
        </w:rPr>
        <w:sectPr>
          <w:headerReference w:type="default" r:id="rId14"/>
          <w:footerReference w:type="default" r:id="rId15"/>
          <w:pgSz w:w="11910" w:h="16850"/>
          <w:pgMar w:header="523" w:footer="880" w:top="1620" w:bottom="1060" w:left="840" w:right="820"/>
        </w:sectPr>
      </w:pPr>
    </w:p>
    <w:p>
      <w:pPr>
        <w:pStyle w:val="BodyText"/>
        <w:spacing w:before="5"/>
        <w:rPr>
          <w:sz w:val="13"/>
        </w:rPr>
      </w:pPr>
    </w:p>
    <w:p>
      <w:pPr>
        <w:pStyle w:val="BodyText"/>
        <w:spacing w:line="288" w:lineRule="auto" w:before="94"/>
        <w:ind w:left="292" w:right="374"/>
      </w:pPr>
      <w:r>
        <w:rPr/>
        <w:t>The general safety duties within the new consolidated energy safety legislation should be based around a consistent application of the principle that risks should be reduced so far as is “reasonably</w:t>
      </w:r>
      <w:r>
        <w:rPr>
          <w:spacing w:val="-4"/>
        </w:rPr>
        <w:t> </w:t>
      </w:r>
      <w:r>
        <w:rPr/>
        <w:t>practicable”</w:t>
      </w:r>
      <w:r>
        <w:rPr>
          <w:spacing w:val="-3"/>
        </w:rPr>
        <w:t> </w:t>
      </w:r>
      <w:r>
        <w:rPr/>
        <w:t>aligning</w:t>
      </w:r>
      <w:r>
        <w:rPr>
          <w:spacing w:val="-2"/>
        </w:rPr>
        <w:t> </w:t>
      </w:r>
      <w:r>
        <w:rPr/>
        <w:t>with</w:t>
      </w:r>
      <w:r>
        <w:rPr>
          <w:spacing w:val="-2"/>
        </w:rPr>
        <w:t> </w:t>
      </w:r>
      <w:r>
        <w:rPr/>
        <w:t>the</w:t>
      </w:r>
      <w:r>
        <w:rPr>
          <w:spacing w:val="-2"/>
        </w:rPr>
        <w:t> </w:t>
      </w:r>
      <w:r>
        <w:rPr/>
        <w:t>definition</w:t>
      </w:r>
      <w:r>
        <w:rPr>
          <w:spacing w:val="-2"/>
        </w:rPr>
        <w:t> </w:t>
      </w:r>
      <w:r>
        <w:rPr/>
        <w:t>adopted</w:t>
      </w:r>
      <w:r>
        <w:rPr>
          <w:spacing w:val="-4"/>
        </w:rPr>
        <w:t> </w:t>
      </w:r>
      <w:r>
        <w:rPr/>
        <w:t>in</w:t>
      </w:r>
      <w:r>
        <w:rPr>
          <w:spacing w:val="-2"/>
        </w:rPr>
        <w:t> </w:t>
      </w:r>
      <w:r>
        <w:rPr/>
        <w:t>the</w:t>
      </w:r>
      <w:r>
        <w:rPr>
          <w:spacing w:val="-4"/>
        </w:rPr>
        <w:t> </w:t>
      </w:r>
      <w:r>
        <w:rPr>
          <w:i/>
        </w:rPr>
        <w:t>Occupational</w:t>
      </w:r>
      <w:r>
        <w:rPr>
          <w:i/>
          <w:spacing w:val="-3"/>
        </w:rPr>
        <w:t> </w:t>
      </w:r>
      <w:r>
        <w:rPr>
          <w:i/>
        </w:rPr>
        <w:t>Health</w:t>
      </w:r>
      <w:r>
        <w:rPr>
          <w:i/>
          <w:spacing w:val="-2"/>
        </w:rPr>
        <w:t> </w:t>
      </w:r>
      <w:r>
        <w:rPr>
          <w:i/>
        </w:rPr>
        <w:t>and</w:t>
      </w:r>
      <w:r>
        <w:rPr>
          <w:i/>
          <w:spacing w:val="-2"/>
        </w:rPr>
        <w:t> </w:t>
      </w:r>
      <w:r>
        <w:rPr>
          <w:i/>
        </w:rPr>
        <w:t>Safety Act 2004</w:t>
      </w:r>
      <w:r>
        <w:rPr/>
        <w:t>.</w:t>
      </w:r>
    </w:p>
    <w:p>
      <w:pPr>
        <w:pStyle w:val="Heading8"/>
        <w:spacing w:before="199"/>
      </w:pPr>
      <w:r>
        <w:rPr/>
        <w:t>Recommendation</w:t>
      </w:r>
      <w:r>
        <w:rPr>
          <w:spacing w:val="-7"/>
        </w:rPr>
        <w:t> </w:t>
      </w:r>
      <w:r>
        <w:rPr>
          <w:spacing w:val="-5"/>
        </w:rPr>
        <w:t>36</w:t>
      </w:r>
    </w:p>
    <w:p>
      <w:pPr>
        <w:pStyle w:val="BodyText"/>
        <w:spacing w:before="2"/>
        <w:rPr>
          <w:rFonts w:ascii="Arial-BoldItalicMT"/>
          <w:b/>
          <w:i/>
          <w:sz w:val="25"/>
        </w:rPr>
      </w:pPr>
    </w:p>
    <w:p>
      <w:pPr>
        <w:pStyle w:val="BodyText"/>
        <w:spacing w:line="288" w:lineRule="auto"/>
        <w:ind w:left="292" w:right="910"/>
      </w:pPr>
      <w:r>
        <w:rPr/>
        <w:t>The</w:t>
      </w:r>
      <w:r>
        <w:rPr>
          <w:spacing w:val="-6"/>
        </w:rPr>
        <w:t> </w:t>
      </w:r>
      <w:r>
        <w:rPr/>
        <w:t>general</w:t>
      </w:r>
      <w:r>
        <w:rPr>
          <w:spacing w:val="-2"/>
        </w:rPr>
        <w:t> </w:t>
      </w:r>
      <w:r>
        <w:rPr/>
        <w:t>safety</w:t>
      </w:r>
      <w:r>
        <w:rPr>
          <w:spacing w:val="-4"/>
        </w:rPr>
        <w:t> </w:t>
      </w:r>
      <w:r>
        <w:rPr/>
        <w:t>duties</w:t>
      </w:r>
      <w:r>
        <w:rPr>
          <w:spacing w:val="-2"/>
        </w:rPr>
        <w:t> </w:t>
      </w:r>
      <w:r>
        <w:rPr/>
        <w:t>within</w:t>
      </w:r>
      <w:r>
        <w:rPr>
          <w:spacing w:val="-2"/>
        </w:rPr>
        <w:t> </w:t>
      </w:r>
      <w:r>
        <w:rPr/>
        <w:t>the</w:t>
      </w:r>
      <w:r>
        <w:rPr>
          <w:spacing w:val="-2"/>
        </w:rPr>
        <w:t> </w:t>
      </w:r>
      <w:r>
        <w:rPr/>
        <w:t>new</w:t>
      </w:r>
      <w:r>
        <w:rPr>
          <w:spacing w:val="-5"/>
        </w:rPr>
        <w:t> </w:t>
      </w:r>
      <w:r>
        <w:rPr/>
        <w:t>consolidated</w:t>
      </w:r>
      <w:r>
        <w:rPr>
          <w:spacing w:val="-2"/>
        </w:rPr>
        <w:t> </w:t>
      </w:r>
      <w:r>
        <w:rPr/>
        <w:t>energy</w:t>
      </w:r>
      <w:r>
        <w:rPr>
          <w:spacing w:val="-4"/>
        </w:rPr>
        <w:t> </w:t>
      </w:r>
      <w:r>
        <w:rPr/>
        <w:t>safety</w:t>
      </w:r>
      <w:r>
        <w:rPr>
          <w:spacing w:val="-4"/>
        </w:rPr>
        <w:t> </w:t>
      </w:r>
      <w:r>
        <w:rPr/>
        <w:t>legislation</w:t>
      </w:r>
      <w:r>
        <w:rPr>
          <w:spacing w:val="-2"/>
        </w:rPr>
        <w:t> </w:t>
      </w:r>
      <w:r>
        <w:rPr/>
        <w:t>should</w:t>
      </w:r>
      <w:r>
        <w:rPr>
          <w:spacing w:val="-2"/>
        </w:rPr>
        <w:t> </w:t>
      </w:r>
      <w:r>
        <w:rPr/>
        <w:t>be presented clearly, with the aim that they:</w:t>
      </w:r>
    </w:p>
    <w:p>
      <w:pPr>
        <w:pStyle w:val="BodyText"/>
        <w:spacing w:before="4"/>
      </w:pPr>
    </w:p>
    <w:p>
      <w:pPr>
        <w:pStyle w:val="ListParagraph"/>
        <w:numPr>
          <w:ilvl w:val="0"/>
          <w:numId w:val="18"/>
        </w:numPr>
        <w:tabs>
          <w:tab w:pos="720" w:val="left" w:leader="none"/>
        </w:tabs>
        <w:spacing w:line="240" w:lineRule="auto" w:before="0" w:after="0"/>
        <w:ind w:left="720" w:right="0" w:hanging="428"/>
        <w:jc w:val="left"/>
        <w:rPr>
          <w:sz w:val="22"/>
        </w:rPr>
      </w:pPr>
      <w:r>
        <w:rPr>
          <w:sz w:val="22"/>
        </w:rPr>
        <w:t>are</w:t>
      </w:r>
      <w:r>
        <w:rPr>
          <w:spacing w:val="-6"/>
          <w:sz w:val="22"/>
        </w:rPr>
        <w:t> </w:t>
      </w:r>
      <w:r>
        <w:rPr>
          <w:sz w:val="22"/>
        </w:rPr>
        <w:t>aligned,</w:t>
      </w:r>
      <w:r>
        <w:rPr>
          <w:spacing w:val="-5"/>
          <w:sz w:val="22"/>
        </w:rPr>
        <w:t> </w:t>
      </w:r>
      <w:r>
        <w:rPr>
          <w:sz w:val="22"/>
        </w:rPr>
        <w:t>but</w:t>
      </w:r>
      <w:r>
        <w:rPr>
          <w:spacing w:val="-8"/>
          <w:sz w:val="22"/>
        </w:rPr>
        <w:t> </w:t>
      </w:r>
      <w:r>
        <w:rPr>
          <w:sz w:val="22"/>
        </w:rPr>
        <w:t>retain</w:t>
      </w:r>
      <w:r>
        <w:rPr>
          <w:spacing w:val="-7"/>
          <w:sz w:val="22"/>
        </w:rPr>
        <w:t> </w:t>
      </w:r>
      <w:r>
        <w:rPr>
          <w:sz w:val="22"/>
        </w:rPr>
        <w:t>necessary</w:t>
      </w:r>
      <w:r>
        <w:rPr>
          <w:spacing w:val="-9"/>
          <w:sz w:val="22"/>
        </w:rPr>
        <w:t> </w:t>
      </w:r>
      <w:r>
        <w:rPr>
          <w:sz w:val="22"/>
        </w:rPr>
        <w:t>sector-specific</w:t>
      </w:r>
      <w:r>
        <w:rPr>
          <w:spacing w:val="-5"/>
          <w:sz w:val="22"/>
        </w:rPr>
        <w:t> </w:t>
      </w:r>
      <w:r>
        <w:rPr>
          <w:spacing w:val="-2"/>
          <w:sz w:val="22"/>
        </w:rPr>
        <w:t>differences;</w:t>
      </w:r>
    </w:p>
    <w:p>
      <w:pPr>
        <w:pStyle w:val="ListParagraph"/>
        <w:numPr>
          <w:ilvl w:val="0"/>
          <w:numId w:val="18"/>
        </w:numPr>
        <w:tabs>
          <w:tab w:pos="720" w:val="left" w:leader="none"/>
        </w:tabs>
        <w:spacing w:line="240" w:lineRule="auto" w:before="66" w:after="0"/>
        <w:ind w:left="720" w:right="0" w:hanging="428"/>
        <w:jc w:val="left"/>
        <w:rPr>
          <w:sz w:val="22"/>
        </w:rPr>
      </w:pPr>
      <w:r>
        <w:rPr>
          <w:sz w:val="22"/>
        </w:rPr>
        <w:t>cover</w:t>
      </w:r>
      <w:r>
        <w:rPr>
          <w:spacing w:val="-4"/>
          <w:sz w:val="22"/>
        </w:rPr>
        <w:t> </w:t>
      </w:r>
      <w:r>
        <w:rPr>
          <w:sz w:val="22"/>
        </w:rPr>
        <w:t>a</w:t>
      </w:r>
      <w:r>
        <w:rPr>
          <w:spacing w:val="-4"/>
          <w:sz w:val="22"/>
        </w:rPr>
        <w:t> </w:t>
      </w:r>
      <w:r>
        <w:rPr>
          <w:sz w:val="22"/>
        </w:rPr>
        <w:t>range</w:t>
      </w:r>
      <w:r>
        <w:rPr>
          <w:spacing w:val="-6"/>
          <w:sz w:val="22"/>
        </w:rPr>
        <w:t> </w:t>
      </w:r>
      <w:r>
        <w:rPr>
          <w:sz w:val="22"/>
        </w:rPr>
        <w:t>of</w:t>
      </w:r>
      <w:r>
        <w:rPr>
          <w:spacing w:val="-2"/>
          <w:sz w:val="22"/>
        </w:rPr>
        <w:t> </w:t>
      </w:r>
      <w:r>
        <w:rPr>
          <w:sz w:val="22"/>
        </w:rPr>
        <w:t>circumstances</w:t>
      </w:r>
      <w:r>
        <w:rPr>
          <w:spacing w:val="-4"/>
          <w:sz w:val="22"/>
        </w:rPr>
        <w:t> </w:t>
      </w:r>
      <w:r>
        <w:rPr>
          <w:sz w:val="22"/>
        </w:rPr>
        <w:t>in</w:t>
      </w:r>
      <w:r>
        <w:rPr>
          <w:spacing w:val="-6"/>
          <w:sz w:val="22"/>
        </w:rPr>
        <w:t> </w:t>
      </w:r>
      <w:r>
        <w:rPr>
          <w:sz w:val="22"/>
        </w:rPr>
        <w:t>energy</w:t>
      </w:r>
      <w:r>
        <w:rPr>
          <w:spacing w:val="-6"/>
          <w:sz w:val="22"/>
        </w:rPr>
        <w:t> </w:t>
      </w:r>
      <w:r>
        <w:rPr>
          <w:sz w:val="22"/>
        </w:rPr>
        <w:t>network</w:t>
      </w:r>
      <w:r>
        <w:rPr>
          <w:spacing w:val="-3"/>
          <w:sz w:val="22"/>
        </w:rPr>
        <w:t> </w:t>
      </w:r>
      <w:r>
        <w:rPr>
          <w:spacing w:val="-2"/>
          <w:sz w:val="22"/>
        </w:rPr>
        <w:t>safety;</w:t>
      </w:r>
    </w:p>
    <w:p>
      <w:pPr>
        <w:pStyle w:val="ListParagraph"/>
        <w:numPr>
          <w:ilvl w:val="0"/>
          <w:numId w:val="18"/>
        </w:numPr>
        <w:tabs>
          <w:tab w:pos="720" w:val="left" w:leader="none"/>
        </w:tabs>
        <w:spacing w:line="240" w:lineRule="auto" w:before="67" w:after="0"/>
        <w:ind w:left="720" w:right="0" w:hanging="428"/>
        <w:jc w:val="left"/>
        <w:rPr>
          <w:sz w:val="22"/>
        </w:rPr>
      </w:pPr>
      <w:r>
        <w:rPr>
          <w:sz w:val="22"/>
        </w:rPr>
        <w:t>do</w:t>
      </w:r>
      <w:r>
        <w:rPr>
          <w:spacing w:val="-5"/>
          <w:sz w:val="22"/>
        </w:rPr>
        <w:t> </w:t>
      </w:r>
      <w:r>
        <w:rPr>
          <w:sz w:val="22"/>
        </w:rPr>
        <w:t>not</w:t>
      </w:r>
      <w:r>
        <w:rPr>
          <w:spacing w:val="-5"/>
          <w:sz w:val="22"/>
        </w:rPr>
        <w:t> </w:t>
      </w:r>
      <w:r>
        <w:rPr>
          <w:sz w:val="22"/>
        </w:rPr>
        <w:t>easily</w:t>
      </w:r>
      <w:r>
        <w:rPr>
          <w:spacing w:val="-6"/>
          <w:sz w:val="22"/>
        </w:rPr>
        <w:t> </w:t>
      </w:r>
      <w:r>
        <w:rPr>
          <w:sz w:val="22"/>
        </w:rPr>
        <w:t>become</w:t>
      </w:r>
      <w:r>
        <w:rPr>
          <w:spacing w:val="-3"/>
          <w:sz w:val="22"/>
        </w:rPr>
        <w:t> </w:t>
      </w:r>
      <w:r>
        <w:rPr>
          <w:sz w:val="22"/>
        </w:rPr>
        <w:t>outdated</w:t>
      </w:r>
      <w:r>
        <w:rPr>
          <w:spacing w:val="-5"/>
          <w:sz w:val="22"/>
        </w:rPr>
        <w:t> </w:t>
      </w:r>
      <w:r>
        <w:rPr>
          <w:sz w:val="22"/>
        </w:rPr>
        <w:t>and</w:t>
      </w:r>
      <w:r>
        <w:rPr>
          <w:spacing w:val="-6"/>
          <w:sz w:val="22"/>
        </w:rPr>
        <w:t> </w:t>
      </w:r>
      <w:r>
        <w:rPr>
          <w:sz w:val="22"/>
        </w:rPr>
        <w:t>can</w:t>
      </w:r>
      <w:r>
        <w:rPr>
          <w:spacing w:val="-6"/>
          <w:sz w:val="22"/>
        </w:rPr>
        <w:t> </w:t>
      </w:r>
      <w:r>
        <w:rPr>
          <w:sz w:val="22"/>
        </w:rPr>
        <w:t>cover</w:t>
      </w:r>
      <w:r>
        <w:rPr>
          <w:spacing w:val="-3"/>
          <w:sz w:val="22"/>
        </w:rPr>
        <w:t> </w:t>
      </w:r>
      <w:r>
        <w:rPr>
          <w:sz w:val="22"/>
        </w:rPr>
        <w:t>emerging</w:t>
      </w:r>
      <w:r>
        <w:rPr>
          <w:spacing w:val="-4"/>
          <w:sz w:val="22"/>
        </w:rPr>
        <w:t> </w:t>
      </w:r>
      <w:r>
        <w:rPr>
          <w:sz w:val="22"/>
        </w:rPr>
        <w:t>risks</w:t>
      </w:r>
      <w:r>
        <w:rPr>
          <w:spacing w:val="-6"/>
          <w:sz w:val="22"/>
        </w:rPr>
        <w:t> </w:t>
      </w:r>
      <w:r>
        <w:rPr>
          <w:sz w:val="22"/>
        </w:rPr>
        <w:t>and</w:t>
      </w:r>
      <w:r>
        <w:rPr>
          <w:spacing w:val="-5"/>
          <w:sz w:val="22"/>
        </w:rPr>
        <w:t> </w:t>
      </w:r>
      <w:r>
        <w:rPr>
          <w:sz w:val="22"/>
        </w:rPr>
        <w:t>industry</w:t>
      </w:r>
      <w:r>
        <w:rPr>
          <w:spacing w:val="-7"/>
          <w:sz w:val="22"/>
        </w:rPr>
        <w:t> </w:t>
      </w:r>
      <w:r>
        <w:rPr>
          <w:spacing w:val="-2"/>
          <w:sz w:val="22"/>
        </w:rPr>
        <w:t>changes;</w:t>
      </w:r>
    </w:p>
    <w:p>
      <w:pPr>
        <w:pStyle w:val="ListParagraph"/>
        <w:numPr>
          <w:ilvl w:val="0"/>
          <w:numId w:val="18"/>
        </w:numPr>
        <w:tabs>
          <w:tab w:pos="720" w:val="left" w:leader="none"/>
        </w:tabs>
        <w:spacing w:line="240" w:lineRule="auto" w:before="64" w:after="0"/>
        <w:ind w:left="720" w:right="0" w:hanging="428"/>
        <w:jc w:val="left"/>
        <w:rPr>
          <w:sz w:val="22"/>
        </w:rPr>
      </w:pPr>
      <w:r>
        <w:rPr>
          <w:sz w:val="22"/>
        </w:rPr>
        <w:t>are</w:t>
      </w:r>
      <w:r>
        <w:rPr>
          <w:spacing w:val="-4"/>
          <w:sz w:val="22"/>
        </w:rPr>
        <w:t> </w:t>
      </w:r>
      <w:r>
        <w:rPr>
          <w:sz w:val="22"/>
        </w:rPr>
        <w:t>clearly</w:t>
      </w:r>
      <w:r>
        <w:rPr>
          <w:spacing w:val="-7"/>
          <w:sz w:val="22"/>
        </w:rPr>
        <w:t> </w:t>
      </w:r>
      <w:r>
        <w:rPr>
          <w:sz w:val="22"/>
        </w:rPr>
        <w:t>expressed</w:t>
      </w:r>
      <w:r>
        <w:rPr>
          <w:spacing w:val="-4"/>
          <w:sz w:val="22"/>
        </w:rPr>
        <w:t> </w:t>
      </w:r>
      <w:r>
        <w:rPr>
          <w:sz w:val="22"/>
        </w:rPr>
        <w:t>as</w:t>
      </w:r>
      <w:r>
        <w:rPr>
          <w:spacing w:val="-8"/>
          <w:sz w:val="22"/>
        </w:rPr>
        <w:t> </w:t>
      </w:r>
      <w:r>
        <w:rPr>
          <w:sz w:val="22"/>
        </w:rPr>
        <w:t>to</w:t>
      </w:r>
      <w:r>
        <w:rPr>
          <w:spacing w:val="-7"/>
          <w:sz w:val="22"/>
        </w:rPr>
        <w:t> </w:t>
      </w:r>
      <w:r>
        <w:rPr>
          <w:sz w:val="22"/>
        </w:rPr>
        <w:t>the</w:t>
      </w:r>
      <w:r>
        <w:rPr>
          <w:spacing w:val="-4"/>
          <w:sz w:val="22"/>
        </w:rPr>
        <w:t> </w:t>
      </w:r>
      <w:r>
        <w:rPr>
          <w:sz w:val="22"/>
        </w:rPr>
        <w:t>obligations</w:t>
      </w:r>
      <w:r>
        <w:rPr>
          <w:spacing w:val="-4"/>
          <w:sz w:val="22"/>
        </w:rPr>
        <w:t> </w:t>
      </w:r>
      <w:r>
        <w:rPr>
          <w:sz w:val="22"/>
        </w:rPr>
        <w:t>imposed</w:t>
      </w:r>
      <w:r>
        <w:rPr>
          <w:spacing w:val="-4"/>
          <w:sz w:val="22"/>
        </w:rPr>
        <w:t> </w:t>
      </w:r>
      <w:r>
        <w:rPr>
          <w:sz w:val="22"/>
        </w:rPr>
        <w:t>and</w:t>
      </w:r>
      <w:r>
        <w:rPr>
          <w:spacing w:val="-5"/>
          <w:sz w:val="22"/>
        </w:rPr>
        <w:t> </w:t>
      </w:r>
      <w:r>
        <w:rPr>
          <w:sz w:val="22"/>
        </w:rPr>
        <w:t>classes</w:t>
      </w:r>
      <w:r>
        <w:rPr>
          <w:spacing w:val="-6"/>
          <w:sz w:val="22"/>
        </w:rPr>
        <w:t> </w:t>
      </w:r>
      <w:r>
        <w:rPr>
          <w:sz w:val="22"/>
        </w:rPr>
        <w:t>of</w:t>
      </w:r>
      <w:r>
        <w:rPr>
          <w:spacing w:val="-3"/>
          <w:sz w:val="22"/>
        </w:rPr>
        <w:t> </w:t>
      </w:r>
      <w:r>
        <w:rPr>
          <w:sz w:val="22"/>
        </w:rPr>
        <w:t>duty</w:t>
      </w:r>
      <w:r>
        <w:rPr>
          <w:spacing w:val="-6"/>
          <w:sz w:val="22"/>
        </w:rPr>
        <w:t> </w:t>
      </w:r>
      <w:r>
        <w:rPr>
          <w:spacing w:val="-2"/>
          <w:sz w:val="22"/>
        </w:rPr>
        <w:t>holders;</w:t>
      </w:r>
    </w:p>
    <w:p>
      <w:pPr>
        <w:pStyle w:val="ListParagraph"/>
        <w:numPr>
          <w:ilvl w:val="0"/>
          <w:numId w:val="18"/>
        </w:numPr>
        <w:tabs>
          <w:tab w:pos="720" w:val="left" w:leader="none"/>
        </w:tabs>
        <w:spacing w:line="240" w:lineRule="auto" w:before="66" w:after="0"/>
        <w:ind w:left="720" w:right="0" w:hanging="428"/>
        <w:jc w:val="left"/>
        <w:rPr>
          <w:sz w:val="22"/>
        </w:rPr>
      </w:pPr>
      <w:r>
        <w:rPr>
          <w:sz w:val="22"/>
        </w:rPr>
        <w:t>are</w:t>
      </w:r>
      <w:r>
        <w:rPr>
          <w:spacing w:val="-5"/>
          <w:sz w:val="22"/>
        </w:rPr>
        <w:t> </w:t>
      </w:r>
      <w:r>
        <w:rPr>
          <w:sz w:val="22"/>
        </w:rPr>
        <w:t>enforceable</w:t>
      </w:r>
      <w:r>
        <w:rPr>
          <w:spacing w:val="-5"/>
          <w:sz w:val="22"/>
        </w:rPr>
        <w:t> </w:t>
      </w:r>
      <w:r>
        <w:rPr>
          <w:sz w:val="22"/>
        </w:rPr>
        <w:t>in</w:t>
      </w:r>
      <w:r>
        <w:rPr>
          <w:spacing w:val="-7"/>
          <w:sz w:val="22"/>
        </w:rPr>
        <w:t> </w:t>
      </w:r>
      <w:r>
        <w:rPr>
          <w:spacing w:val="-2"/>
          <w:sz w:val="22"/>
        </w:rPr>
        <w:t>practice;</w:t>
      </w:r>
    </w:p>
    <w:p>
      <w:pPr>
        <w:pStyle w:val="ListParagraph"/>
        <w:numPr>
          <w:ilvl w:val="0"/>
          <w:numId w:val="18"/>
        </w:numPr>
        <w:tabs>
          <w:tab w:pos="720" w:val="left" w:leader="none"/>
        </w:tabs>
        <w:spacing w:line="285" w:lineRule="auto" w:before="66" w:after="0"/>
        <w:ind w:left="720" w:right="487" w:hanging="428"/>
        <w:jc w:val="left"/>
        <w:rPr>
          <w:sz w:val="22"/>
        </w:rPr>
      </w:pPr>
      <w:r>
        <w:rPr>
          <w:sz w:val="22"/>
        </w:rPr>
        <w:t>function</w:t>
      </w:r>
      <w:r>
        <w:rPr>
          <w:spacing w:val="-3"/>
          <w:sz w:val="22"/>
        </w:rPr>
        <w:t> </w:t>
      </w:r>
      <w:r>
        <w:rPr>
          <w:sz w:val="22"/>
        </w:rPr>
        <w:t>effectively</w:t>
      </w:r>
      <w:r>
        <w:rPr>
          <w:spacing w:val="-3"/>
          <w:sz w:val="22"/>
        </w:rPr>
        <w:t> </w:t>
      </w:r>
      <w:r>
        <w:rPr>
          <w:sz w:val="22"/>
        </w:rPr>
        <w:t>with</w:t>
      </w:r>
      <w:r>
        <w:rPr>
          <w:spacing w:val="-3"/>
          <w:sz w:val="22"/>
        </w:rPr>
        <w:t> </w:t>
      </w:r>
      <w:r>
        <w:rPr>
          <w:sz w:val="22"/>
        </w:rPr>
        <w:t>safety</w:t>
      </w:r>
      <w:r>
        <w:rPr>
          <w:spacing w:val="-4"/>
          <w:sz w:val="22"/>
        </w:rPr>
        <w:t> </w:t>
      </w:r>
      <w:r>
        <w:rPr>
          <w:sz w:val="22"/>
        </w:rPr>
        <w:t>case</w:t>
      </w:r>
      <w:r>
        <w:rPr>
          <w:spacing w:val="-5"/>
          <w:sz w:val="22"/>
        </w:rPr>
        <w:t> </w:t>
      </w:r>
      <w:r>
        <w:rPr>
          <w:sz w:val="22"/>
        </w:rPr>
        <w:t>provisions</w:t>
      </w:r>
      <w:r>
        <w:rPr>
          <w:spacing w:val="-2"/>
          <w:sz w:val="22"/>
        </w:rPr>
        <w:t> </w:t>
      </w:r>
      <w:r>
        <w:rPr>
          <w:sz w:val="22"/>
        </w:rPr>
        <w:t>under</w:t>
      </w:r>
      <w:r>
        <w:rPr>
          <w:spacing w:val="-4"/>
          <w:sz w:val="22"/>
        </w:rPr>
        <w:t> </w:t>
      </w:r>
      <w:r>
        <w:rPr>
          <w:sz w:val="22"/>
        </w:rPr>
        <w:t>the</w:t>
      </w:r>
      <w:r>
        <w:rPr>
          <w:spacing w:val="-3"/>
          <w:sz w:val="22"/>
        </w:rPr>
        <w:t> </w:t>
      </w:r>
      <w:r>
        <w:rPr>
          <w:sz w:val="22"/>
        </w:rPr>
        <w:t>Act,</w:t>
      </w:r>
      <w:r>
        <w:rPr>
          <w:spacing w:val="-4"/>
          <w:sz w:val="22"/>
        </w:rPr>
        <w:t> </w:t>
      </w:r>
      <w:r>
        <w:rPr>
          <w:sz w:val="22"/>
        </w:rPr>
        <w:t>including</w:t>
      </w:r>
      <w:r>
        <w:rPr>
          <w:spacing w:val="-1"/>
          <w:sz w:val="22"/>
        </w:rPr>
        <w:t> </w:t>
      </w:r>
      <w:r>
        <w:rPr>
          <w:sz w:val="22"/>
        </w:rPr>
        <w:t>enabling</w:t>
      </w:r>
      <w:r>
        <w:rPr>
          <w:spacing w:val="-1"/>
          <w:sz w:val="22"/>
        </w:rPr>
        <w:t> </w:t>
      </w:r>
      <w:r>
        <w:rPr>
          <w:sz w:val="22"/>
        </w:rPr>
        <w:t>the</w:t>
      </w:r>
      <w:r>
        <w:rPr>
          <w:spacing w:val="-5"/>
          <w:sz w:val="22"/>
        </w:rPr>
        <w:t> </w:t>
      </w:r>
      <w:r>
        <w:rPr>
          <w:sz w:val="22"/>
        </w:rPr>
        <w:t>regulator to take compliance and enforcement action in response to unacceptable risk; and</w:t>
      </w:r>
    </w:p>
    <w:p>
      <w:pPr>
        <w:pStyle w:val="ListParagraph"/>
        <w:numPr>
          <w:ilvl w:val="0"/>
          <w:numId w:val="18"/>
        </w:numPr>
        <w:tabs>
          <w:tab w:pos="720" w:val="left" w:leader="none"/>
        </w:tabs>
        <w:spacing w:line="240" w:lineRule="auto" w:before="20" w:after="0"/>
        <w:ind w:left="720" w:right="0" w:hanging="428"/>
        <w:jc w:val="left"/>
        <w:rPr>
          <w:sz w:val="22"/>
        </w:rPr>
      </w:pPr>
      <w:r>
        <w:rPr>
          <w:sz w:val="22"/>
        </w:rPr>
        <w:t>remain</w:t>
      </w:r>
      <w:r>
        <w:rPr>
          <w:spacing w:val="-11"/>
          <w:sz w:val="22"/>
        </w:rPr>
        <w:t> </w:t>
      </w:r>
      <w:r>
        <w:rPr>
          <w:sz w:val="22"/>
        </w:rPr>
        <w:t>outcomes-based</w:t>
      </w:r>
      <w:r>
        <w:rPr>
          <w:spacing w:val="-9"/>
          <w:sz w:val="22"/>
        </w:rPr>
        <w:t> </w:t>
      </w:r>
      <w:r>
        <w:rPr>
          <w:sz w:val="22"/>
        </w:rPr>
        <w:t>allowing</w:t>
      </w:r>
      <w:r>
        <w:rPr>
          <w:spacing w:val="-8"/>
          <w:sz w:val="22"/>
        </w:rPr>
        <w:t> </w:t>
      </w:r>
      <w:r>
        <w:rPr>
          <w:sz w:val="22"/>
        </w:rPr>
        <w:t>flexibility</w:t>
      </w:r>
      <w:r>
        <w:rPr>
          <w:spacing w:val="-10"/>
          <w:sz w:val="22"/>
        </w:rPr>
        <w:t> </w:t>
      </w:r>
      <w:r>
        <w:rPr>
          <w:sz w:val="22"/>
        </w:rPr>
        <w:t>in</w:t>
      </w:r>
      <w:r>
        <w:rPr>
          <w:spacing w:val="-8"/>
          <w:sz w:val="22"/>
        </w:rPr>
        <w:t> </w:t>
      </w:r>
      <w:r>
        <w:rPr>
          <w:sz w:val="22"/>
        </w:rPr>
        <w:t>compliance</w:t>
      </w:r>
      <w:r>
        <w:rPr>
          <w:spacing w:val="-8"/>
          <w:sz w:val="22"/>
        </w:rPr>
        <w:t> </w:t>
      </w:r>
      <w:r>
        <w:rPr>
          <w:spacing w:val="-2"/>
          <w:sz w:val="22"/>
        </w:rPr>
        <w:t>arrangements.</w:t>
      </w:r>
    </w:p>
    <w:p>
      <w:pPr>
        <w:pStyle w:val="BodyText"/>
        <w:spacing w:before="7"/>
        <w:rPr>
          <w:sz w:val="21"/>
        </w:rPr>
      </w:pPr>
    </w:p>
    <w:p>
      <w:pPr>
        <w:pStyle w:val="Heading8"/>
      </w:pPr>
      <w:r>
        <w:rPr/>
        <w:t>Recommendation</w:t>
      </w:r>
      <w:r>
        <w:rPr>
          <w:spacing w:val="-7"/>
        </w:rPr>
        <w:t> </w:t>
      </w:r>
      <w:r>
        <w:rPr>
          <w:spacing w:val="-5"/>
        </w:rPr>
        <w:t>37</w:t>
      </w:r>
    </w:p>
    <w:p>
      <w:pPr>
        <w:pStyle w:val="BodyText"/>
        <w:spacing w:before="2"/>
        <w:rPr>
          <w:rFonts w:ascii="Arial-BoldItalicMT"/>
          <w:b/>
          <w:i/>
          <w:sz w:val="25"/>
        </w:rPr>
      </w:pPr>
    </w:p>
    <w:p>
      <w:pPr>
        <w:pStyle w:val="BodyText"/>
        <w:spacing w:line="288" w:lineRule="auto"/>
        <w:ind w:left="292" w:right="374"/>
      </w:pPr>
      <w:r>
        <w:rPr/>
        <w:t>The consolidated energy safety legislation should provide consistent foundations for the safety case</w:t>
      </w:r>
      <w:r>
        <w:rPr>
          <w:spacing w:val="-2"/>
        </w:rPr>
        <w:t> </w:t>
      </w:r>
      <w:r>
        <w:rPr/>
        <w:t>regime</w:t>
      </w:r>
      <w:r>
        <w:rPr>
          <w:spacing w:val="-2"/>
        </w:rPr>
        <w:t> </w:t>
      </w:r>
      <w:r>
        <w:rPr/>
        <w:t>in</w:t>
      </w:r>
      <w:r>
        <w:rPr>
          <w:spacing w:val="-4"/>
        </w:rPr>
        <w:t> </w:t>
      </w:r>
      <w:r>
        <w:rPr/>
        <w:t>the</w:t>
      </w:r>
      <w:r>
        <w:rPr>
          <w:spacing w:val="-4"/>
        </w:rPr>
        <w:t> </w:t>
      </w:r>
      <w:r>
        <w:rPr/>
        <w:t>regulation</w:t>
      </w:r>
      <w:r>
        <w:rPr>
          <w:spacing w:val="-2"/>
        </w:rPr>
        <w:t> </w:t>
      </w:r>
      <w:r>
        <w:rPr/>
        <w:t>of electricity</w:t>
      </w:r>
      <w:r>
        <w:rPr>
          <w:spacing w:val="-4"/>
        </w:rPr>
        <w:t> </w:t>
      </w:r>
      <w:r>
        <w:rPr/>
        <w:t>and</w:t>
      </w:r>
      <w:r>
        <w:rPr>
          <w:spacing w:val="-4"/>
        </w:rPr>
        <w:t> </w:t>
      </w:r>
      <w:r>
        <w:rPr/>
        <w:t>gas</w:t>
      </w:r>
      <w:r>
        <w:rPr>
          <w:spacing w:val="-1"/>
        </w:rPr>
        <w:t> </w:t>
      </w:r>
      <w:r>
        <w:rPr/>
        <w:t>network safety.</w:t>
      </w:r>
      <w:r>
        <w:rPr>
          <w:spacing w:val="-5"/>
        </w:rPr>
        <w:t> </w:t>
      </w:r>
      <w:r>
        <w:rPr/>
        <w:t>The</w:t>
      </w:r>
      <w:r>
        <w:rPr>
          <w:spacing w:val="-2"/>
        </w:rPr>
        <w:t> </w:t>
      </w:r>
      <w:r>
        <w:rPr/>
        <w:t>legislation</w:t>
      </w:r>
      <w:r>
        <w:rPr>
          <w:spacing w:val="-2"/>
        </w:rPr>
        <w:t> </w:t>
      </w:r>
      <w:r>
        <w:rPr/>
        <w:t>should make</w:t>
      </w:r>
      <w:r>
        <w:rPr>
          <w:spacing w:val="-4"/>
        </w:rPr>
        <w:t> </w:t>
      </w:r>
      <w:r>
        <w:rPr/>
        <w:t>it clear that safety case based regulation must be supported by detailed systems and prescribed standards applied within network businesses. It should also be clear from ESV’s objectives, functions, and business’ safety duties that long-term asset integrity and sustainability are encompassed within the safety case regime and ESV’s regulatory remit.</w:t>
      </w:r>
    </w:p>
    <w:p>
      <w:pPr>
        <w:pStyle w:val="BodyText"/>
        <w:spacing w:before="10"/>
        <w:rPr>
          <w:sz w:val="20"/>
        </w:rPr>
      </w:pPr>
    </w:p>
    <w:p>
      <w:pPr>
        <w:pStyle w:val="Heading8"/>
        <w:spacing w:before="1"/>
      </w:pPr>
      <w:r>
        <w:rPr/>
        <w:t>Recommendation</w:t>
      </w:r>
      <w:r>
        <w:rPr>
          <w:spacing w:val="-7"/>
        </w:rPr>
        <w:t> </w:t>
      </w:r>
      <w:r>
        <w:rPr>
          <w:spacing w:val="-5"/>
        </w:rPr>
        <w:t>38</w:t>
      </w:r>
    </w:p>
    <w:p>
      <w:pPr>
        <w:pStyle w:val="BodyText"/>
        <w:spacing w:before="4"/>
        <w:rPr>
          <w:rFonts w:ascii="Arial-BoldItalicMT"/>
          <w:b/>
          <w:i/>
          <w:sz w:val="25"/>
        </w:rPr>
      </w:pPr>
    </w:p>
    <w:p>
      <w:pPr>
        <w:pStyle w:val="BodyText"/>
        <w:spacing w:line="288" w:lineRule="auto"/>
        <w:ind w:left="292" w:right="311"/>
      </w:pPr>
      <w:r>
        <w:rPr/>
        <w:t>In developing new consolidated energy safety legislation, consideration should be given to improving the structure and operation of regulations under the Act, including, for example, integrating</w:t>
      </w:r>
      <w:r>
        <w:rPr>
          <w:spacing w:val="-2"/>
        </w:rPr>
        <w:t> </w:t>
      </w:r>
      <w:r>
        <w:rPr/>
        <w:t>the</w:t>
      </w:r>
      <w:r>
        <w:rPr>
          <w:spacing w:val="-4"/>
        </w:rPr>
        <w:t> </w:t>
      </w:r>
      <w:r>
        <w:rPr/>
        <w:t>Code</w:t>
      </w:r>
      <w:r>
        <w:rPr>
          <w:spacing w:val="-2"/>
        </w:rPr>
        <w:t> </w:t>
      </w:r>
      <w:r>
        <w:rPr/>
        <w:t>of</w:t>
      </w:r>
      <w:r>
        <w:rPr>
          <w:spacing w:val="-1"/>
        </w:rPr>
        <w:t> </w:t>
      </w:r>
      <w:r>
        <w:rPr/>
        <w:t>Practice</w:t>
      </w:r>
      <w:r>
        <w:rPr>
          <w:spacing w:val="-7"/>
        </w:rPr>
        <w:t> </w:t>
      </w:r>
      <w:r>
        <w:rPr/>
        <w:t>for</w:t>
      </w:r>
      <w:r>
        <w:rPr>
          <w:spacing w:val="-2"/>
        </w:rPr>
        <w:t> </w:t>
      </w:r>
      <w:r>
        <w:rPr/>
        <w:t>Electric</w:t>
      </w:r>
      <w:r>
        <w:rPr>
          <w:spacing w:val="-2"/>
        </w:rPr>
        <w:t> </w:t>
      </w:r>
      <w:r>
        <w:rPr/>
        <w:t>Line</w:t>
      </w:r>
      <w:r>
        <w:rPr>
          <w:spacing w:val="-2"/>
        </w:rPr>
        <w:t> </w:t>
      </w:r>
      <w:r>
        <w:rPr/>
        <w:t>Clearance</w:t>
      </w:r>
      <w:r>
        <w:rPr>
          <w:spacing w:val="-2"/>
        </w:rPr>
        <w:t> </w:t>
      </w:r>
      <w:r>
        <w:rPr/>
        <w:t>into</w:t>
      </w:r>
      <w:r>
        <w:rPr>
          <w:spacing w:val="-4"/>
        </w:rPr>
        <w:t> </w:t>
      </w:r>
      <w:r>
        <w:rPr/>
        <w:t>the</w:t>
      </w:r>
      <w:r>
        <w:rPr>
          <w:spacing w:val="-1"/>
        </w:rPr>
        <w:t> </w:t>
      </w:r>
      <w:r>
        <w:rPr>
          <w:i/>
        </w:rPr>
        <w:t>Electricity</w:t>
      </w:r>
      <w:r>
        <w:rPr>
          <w:i/>
          <w:spacing w:val="-2"/>
        </w:rPr>
        <w:t> </w:t>
      </w:r>
      <w:r>
        <w:rPr>
          <w:i/>
        </w:rPr>
        <w:t>Safety</w:t>
      </w:r>
      <w:r>
        <w:rPr>
          <w:i/>
          <w:spacing w:val="-4"/>
        </w:rPr>
        <w:t> </w:t>
      </w:r>
      <w:r>
        <w:rPr>
          <w:i/>
        </w:rPr>
        <w:t>(Electric</w:t>
      </w:r>
      <w:r>
        <w:rPr>
          <w:i/>
          <w:spacing w:val="-2"/>
        </w:rPr>
        <w:t> </w:t>
      </w:r>
      <w:r>
        <w:rPr>
          <w:i/>
        </w:rPr>
        <w:t>Line Clearance) Regulations 2015 </w:t>
      </w:r>
      <w:r>
        <w:rPr/>
        <w:t>and setting the expiry period to ten years rather than five.</w:t>
      </w:r>
    </w:p>
    <w:p>
      <w:pPr>
        <w:pStyle w:val="BodyText"/>
        <w:spacing w:before="10"/>
        <w:rPr>
          <w:sz w:val="20"/>
        </w:rPr>
      </w:pPr>
    </w:p>
    <w:p>
      <w:pPr>
        <w:pStyle w:val="Heading8"/>
      </w:pPr>
      <w:r>
        <w:rPr/>
        <w:t>Recommendation</w:t>
      </w:r>
      <w:r>
        <w:rPr>
          <w:spacing w:val="-7"/>
        </w:rPr>
        <w:t> </w:t>
      </w:r>
      <w:r>
        <w:rPr>
          <w:spacing w:val="-5"/>
        </w:rPr>
        <w:t>39</w:t>
      </w:r>
    </w:p>
    <w:p>
      <w:pPr>
        <w:pStyle w:val="BodyText"/>
        <w:spacing w:before="2"/>
        <w:rPr>
          <w:rFonts w:ascii="Arial-BoldItalicMT"/>
          <w:b/>
          <w:i/>
          <w:sz w:val="25"/>
        </w:rPr>
      </w:pPr>
    </w:p>
    <w:p>
      <w:pPr>
        <w:pStyle w:val="BodyText"/>
        <w:spacing w:line="288" w:lineRule="auto" w:before="1"/>
        <w:ind w:left="292"/>
      </w:pPr>
      <w:r>
        <w:rPr/>
        <w:t>The</w:t>
      </w:r>
      <w:r>
        <w:rPr>
          <w:spacing w:val="-7"/>
        </w:rPr>
        <w:t> </w:t>
      </w:r>
      <w:r>
        <w:rPr/>
        <w:t>full</w:t>
      </w:r>
      <w:r>
        <w:rPr>
          <w:spacing w:val="-2"/>
        </w:rPr>
        <w:t> </w:t>
      </w:r>
      <w:r>
        <w:rPr/>
        <w:t>responsibility</w:t>
      </w:r>
      <w:r>
        <w:rPr>
          <w:spacing w:val="-4"/>
        </w:rPr>
        <w:t> </w:t>
      </w:r>
      <w:r>
        <w:rPr/>
        <w:t>for</w:t>
      </w:r>
      <w:r>
        <w:rPr>
          <w:spacing w:val="-3"/>
        </w:rPr>
        <w:t> </w:t>
      </w:r>
      <w:r>
        <w:rPr/>
        <w:t>administering</w:t>
      </w:r>
      <w:r>
        <w:rPr>
          <w:spacing w:val="-2"/>
        </w:rPr>
        <w:t> </w:t>
      </w:r>
      <w:r>
        <w:rPr/>
        <w:t>the</w:t>
      </w:r>
      <w:r>
        <w:rPr>
          <w:spacing w:val="-4"/>
        </w:rPr>
        <w:t> </w:t>
      </w:r>
      <w:r>
        <w:rPr/>
        <w:t>civil</w:t>
      </w:r>
      <w:r>
        <w:rPr>
          <w:spacing w:val="-2"/>
        </w:rPr>
        <w:t> </w:t>
      </w:r>
      <w:r>
        <w:rPr/>
        <w:t>penalty</w:t>
      </w:r>
      <w:r>
        <w:rPr>
          <w:spacing w:val="-4"/>
        </w:rPr>
        <w:t> </w:t>
      </w:r>
      <w:r>
        <w:rPr/>
        <w:t>provisions</w:t>
      </w:r>
      <w:r>
        <w:rPr>
          <w:spacing w:val="-1"/>
        </w:rPr>
        <w:t> </w:t>
      </w:r>
      <w:r>
        <w:rPr/>
        <w:t>applying</w:t>
      </w:r>
      <w:r>
        <w:rPr>
          <w:spacing w:val="-1"/>
        </w:rPr>
        <w:t> </w:t>
      </w:r>
      <w:r>
        <w:rPr/>
        <w:t>to</w:t>
      </w:r>
      <w:r>
        <w:rPr>
          <w:spacing w:val="-4"/>
        </w:rPr>
        <w:t> </w:t>
      </w:r>
      <w:r>
        <w:rPr/>
        <w:t>electricity</w:t>
      </w:r>
      <w:r>
        <w:rPr>
          <w:spacing w:val="-4"/>
        </w:rPr>
        <w:t> </w:t>
      </w:r>
      <w:r>
        <w:rPr/>
        <w:t>network businesses should be assigned to ESV when it is established as a commission under the new consolidated safety legislation. Any decision to exempt a business from the application of the requirements subject to civil penalties should remain with the responsible Minister.</w:t>
      </w:r>
    </w:p>
    <w:p>
      <w:pPr>
        <w:pStyle w:val="BodyText"/>
        <w:spacing w:before="10"/>
        <w:rPr>
          <w:sz w:val="20"/>
        </w:rPr>
      </w:pPr>
    </w:p>
    <w:p>
      <w:pPr>
        <w:pStyle w:val="Heading8"/>
      </w:pPr>
      <w:r>
        <w:rPr/>
        <w:t>Recommendation</w:t>
      </w:r>
      <w:r>
        <w:rPr>
          <w:spacing w:val="-7"/>
        </w:rPr>
        <w:t> </w:t>
      </w:r>
      <w:r>
        <w:rPr>
          <w:spacing w:val="-5"/>
        </w:rPr>
        <w:t>40</w:t>
      </w:r>
    </w:p>
    <w:p>
      <w:pPr>
        <w:pStyle w:val="BodyText"/>
        <w:spacing w:before="4"/>
        <w:rPr>
          <w:rFonts w:ascii="Arial-BoldItalicMT"/>
          <w:b/>
          <w:i/>
          <w:sz w:val="25"/>
        </w:rPr>
      </w:pPr>
    </w:p>
    <w:p>
      <w:pPr>
        <w:pStyle w:val="BodyText"/>
        <w:spacing w:line="288" w:lineRule="auto"/>
        <w:ind w:left="292"/>
      </w:pPr>
      <w:r>
        <w:rPr/>
        <w:t>The</w:t>
      </w:r>
      <w:r>
        <w:rPr>
          <w:spacing w:val="-4"/>
        </w:rPr>
        <w:t> </w:t>
      </w:r>
      <w:r>
        <w:rPr/>
        <w:t>safety</w:t>
      </w:r>
      <w:r>
        <w:rPr>
          <w:spacing w:val="-4"/>
        </w:rPr>
        <w:t> </w:t>
      </w:r>
      <w:r>
        <w:rPr/>
        <w:t>case</w:t>
      </w:r>
      <w:r>
        <w:rPr>
          <w:spacing w:val="-2"/>
        </w:rPr>
        <w:t> </w:t>
      </w:r>
      <w:r>
        <w:rPr/>
        <w:t>provisions</w:t>
      </w:r>
      <w:r>
        <w:rPr>
          <w:spacing w:val="-1"/>
        </w:rPr>
        <w:t> </w:t>
      </w:r>
      <w:r>
        <w:rPr/>
        <w:t>in</w:t>
      </w:r>
      <w:r>
        <w:rPr>
          <w:spacing w:val="-2"/>
        </w:rPr>
        <w:t> </w:t>
      </w:r>
      <w:r>
        <w:rPr/>
        <w:t>the</w:t>
      </w:r>
      <w:r>
        <w:rPr>
          <w:spacing w:val="-4"/>
        </w:rPr>
        <w:t> </w:t>
      </w:r>
      <w:r>
        <w:rPr/>
        <w:t>consolidated</w:t>
      </w:r>
      <w:r>
        <w:rPr>
          <w:spacing w:val="-4"/>
        </w:rPr>
        <w:t> </w:t>
      </w:r>
      <w:r>
        <w:rPr/>
        <w:t>energy</w:t>
      </w:r>
      <w:r>
        <w:rPr>
          <w:spacing w:val="-4"/>
        </w:rPr>
        <w:t> </w:t>
      </w:r>
      <w:r>
        <w:rPr/>
        <w:t>safety</w:t>
      </w:r>
      <w:r>
        <w:rPr>
          <w:spacing w:val="-4"/>
        </w:rPr>
        <w:t> </w:t>
      </w:r>
      <w:r>
        <w:rPr/>
        <w:t>legislation</w:t>
      </w:r>
      <w:r>
        <w:rPr>
          <w:spacing w:val="-2"/>
        </w:rPr>
        <w:t> </w:t>
      </w:r>
      <w:r>
        <w:rPr/>
        <w:t>should</w:t>
      </w:r>
      <w:r>
        <w:rPr>
          <w:spacing w:val="-4"/>
        </w:rPr>
        <w:t> </w:t>
      </w:r>
      <w:r>
        <w:rPr/>
        <w:t>facilitate</w:t>
      </w:r>
      <w:r>
        <w:rPr>
          <w:spacing w:val="-1"/>
        </w:rPr>
        <w:t> </w:t>
      </w:r>
      <w:r>
        <w:rPr/>
        <w:t>effective regulation by ESV including:</w:t>
      </w:r>
    </w:p>
    <w:p>
      <w:pPr>
        <w:spacing w:after="0" w:line="288" w:lineRule="auto"/>
        <w:sectPr>
          <w:headerReference w:type="default" r:id="rId16"/>
          <w:footerReference w:type="default" r:id="rId17"/>
          <w:pgSz w:w="11910" w:h="16850"/>
          <w:pgMar w:header="523" w:footer="880" w:top="1620" w:bottom="1060" w:left="840" w:right="820"/>
        </w:sectPr>
      </w:pPr>
    </w:p>
    <w:p>
      <w:pPr>
        <w:pStyle w:val="BodyText"/>
        <w:rPr>
          <w:sz w:val="20"/>
        </w:rPr>
      </w:pPr>
    </w:p>
    <w:p>
      <w:pPr>
        <w:pStyle w:val="BodyText"/>
        <w:rPr>
          <w:sz w:val="20"/>
        </w:rPr>
      </w:pPr>
    </w:p>
    <w:p>
      <w:pPr>
        <w:pStyle w:val="BodyText"/>
        <w:spacing w:before="10"/>
        <w:rPr>
          <w:sz w:val="23"/>
        </w:rPr>
      </w:pPr>
    </w:p>
    <w:p>
      <w:pPr>
        <w:pStyle w:val="ListParagraph"/>
        <w:numPr>
          <w:ilvl w:val="0"/>
          <w:numId w:val="18"/>
        </w:numPr>
        <w:tabs>
          <w:tab w:pos="720" w:val="left" w:leader="none"/>
        </w:tabs>
        <w:spacing w:line="240" w:lineRule="auto" w:before="0" w:after="0"/>
        <w:ind w:left="720" w:right="0" w:hanging="428"/>
        <w:jc w:val="left"/>
        <w:rPr>
          <w:sz w:val="22"/>
        </w:rPr>
      </w:pPr>
      <w:r>
        <w:rPr>
          <w:sz w:val="22"/>
        </w:rPr>
        <w:t>providing</w:t>
      </w:r>
      <w:r>
        <w:rPr>
          <w:spacing w:val="-3"/>
          <w:sz w:val="22"/>
        </w:rPr>
        <w:t> </w:t>
      </w:r>
      <w:r>
        <w:rPr>
          <w:sz w:val="22"/>
        </w:rPr>
        <w:t>broad</w:t>
      </w:r>
      <w:r>
        <w:rPr>
          <w:spacing w:val="-6"/>
          <w:sz w:val="22"/>
        </w:rPr>
        <w:t> </w:t>
      </w:r>
      <w:r>
        <w:rPr>
          <w:sz w:val="22"/>
        </w:rPr>
        <w:t>discretion</w:t>
      </w:r>
      <w:r>
        <w:rPr>
          <w:spacing w:val="-6"/>
          <w:sz w:val="22"/>
        </w:rPr>
        <w:t> </w:t>
      </w:r>
      <w:r>
        <w:rPr>
          <w:sz w:val="22"/>
        </w:rPr>
        <w:t>for</w:t>
      </w:r>
      <w:r>
        <w:rPr>
          <w:spacing w:val="-3"/>
          <w:sz w:val="22"/>
        </w:rPr>
        <w:t> </w:t>
      </w:r>
      <w:r>
        <w:rPr>
          <w:sz w:val="22"/>
        </w:rPr>
        <w:t>ESV</w:t>
      </w:r>
      <w:r>
        <w:rPr>
          <w:spacing w:val="-6"/>
          <w:sz w:val="22"/>
        </w:rPr>
        <w:t> </w:t>
      </w:r>
      <w:r>
        <w:rPr>
          <w:sz w:val="22"/>
        </w:rPr>
        <w:t>to</w:t>
      </w:r>
      <w:r>
        <w:rPr>
          <w:spacing w:val="-5"/>
          <w:sz w:val="22"/>
        </w:rPr>
        <w:t> </w:t>
      </w:r>
      <w:r>
        <w:rPr>
          <w:sz w:val="22"/>
        </w:rPr>
        <w:t>request</w:t>
      </w:r>
      <w:r>
        <w:rPr>
          <w:spacing w:val="-5"/>
          <w:sz w:val="22"/>
        </w:rPr>
        <w:t> </w:t>
      </w:r>
      <w:r>
        <w:rPr>
          <w:spacing w:val="-2"/>
          <w:sz w:val="22"/>
        </w:rPr>
        <w:t>changes;</w:t>
      </w:r>
    </w:p>
    <w:p>
      <w:pPr>
        <w:pStyle w:val="ListParagraph"/>
        <w:numPr>
          <w:ilvl w:val="0"/>
          <w:numId w:val="18"/>
        </w:numPr>
        <w:tabs>
          <w:tab w:pos="720" w:val="left" w:leader="none"/>
        </w:tabs>
        <w:spacing w:line="288" w:lineRule="auto" w:before="64" w:after="0"/>
        <w:ind w:left="720" w:right="381" w:hanging="428"/>
        <w:jc w:val="left"/>
        <w:rPr>
          <w:sz w:val="22"/>
        </w:rPr>
      </w:pPr>
      <w:r>
        <w:rPr>
          <w:sz w:val="22"/>
        </w:rPr>
        <w:t>providing</w:t>
      </w:r>
      <w:r>
        <w:rPr>
          <w:spacing w:val="-1"/>
          <w:sz w:val="22"/>
        </w:rPr>
        <w:t> </w:t>
      </w:r>
      <w:r>
        <w:rPr>
          <w:sz w:val="22"/>
        </w:rPr>
        <w:t>the</w:t>
      </w:r>
      <w:r>
        <w:rPr>
          <w:spacing w:val="-5"/>
          <w:sz w:val="22"/>
        </w:rPr>
        <w:t> </w:t>
      </w:r>
      <w:r>
        <w:rPr>
          <w:sz w:val="22"/>
        </w:rPr>
        <w:t>capacity</w:t>
      </w:r>
      <w:r>
        <w:rPr>
          <w:spacing w:val="-6"/>
          <w:sz w:val="22"/>
        </w:rPr>
        <w:t> </w:t>
      </w:r>
      <w:r>
        <w:rPr>
          <w:sz w:val="22"/>
        </w:rPr>
        <w:t>for</w:t>
      </w:r>
      <w:r>
        <w:rPr>
          <w:spacing w:val="-4"/>
          <w:sz w:val="22"/>
        </w:rPr>
        <w:t> </w:t>
      </w:r>
      <w:r>
        <w:rPr>
          <w:sz w:val="22"/>
        </w:rPr>
        <w:t>ESV</w:t>
      </w:r>
      <w:r>
        <w:rPr>
          <w:spacing w:val="-3"/>
          <w:sz w:val="22"/>
        </w:rPr>
        <w:t> </w:t>
      </w:r>
      <w:r>
        <w:rPr>
          <w:sz w:val="22"/>
        </w:rPr>
        <w:t>to</w:t>
      </w:r>
      <w:r>
        <w:rPr>
          <w:spacing w:val="-5"/>
          <w:sz w:val="22"/>
        </w:rPr>
        <w:t> </w:t>
      </w:r>
      <w:r>
        <w:rPr>
          <w:sz w:val="22"/>
        </w:rPr>
        <w:t>accept</w:t>
      </w:r>
      <w:r>
        <w:rPr>
          <w:spacing w:val="-1"/>
          <w:sz w:val="22"/>
        </w:rPr>
        <w:t> </w:t>
      </w:r>
      <w:r>
        <w:rPr>
          <w:sz w:val="22"/>
        </w:rPr>
        <w:t>changes</w:t>
      </w:r>
      <w:r>
        <w:rPr>
          <w:spacing w:val="-5"/>
          <w:sz w:val="22"/>
        </w:rPr>
        <w:t> </w:t>
      </w:r>
      <w:r>
        <w:rPr>
          <w:sz w:val="22"/>
        </w:rPr>
        <w:t>or</w:t>
      </w:r>
      <w:r>
        <w:rPr>
          <w:spacing w:val="-2"/>
          <w:sz w:val="22"/>
        </w:rPr>
        <w:t> </w:t>
      </w:r>
      <w:r>
        <w:rPr>
          <w:sz w:val="22"/>
        </w:rPr>
        <w:t>request</w:t>
      </w:r>
      <w:r>
        <w:rPr>
          <w:spacing w:val="-4"/>
          <w:sz w:val="22"/>
        </w:rPr>
        <w:t> </w:t>
      </w:r>
      <w:r>
        <w:rPr>
          <w:sz w:val="22"/>
        </w:rPr>
        <w:t>revisions</w:t>
      </w:r>
      <w:r>
        <w:rPr>
          <w:spacing w:val="-2"/>
          <w:sz w:val="22"/>
        </w:rPr>
        <w:t> </w:t>
      </w:r>
      <w:r>
        <w:rPr>
          <w:sz w:val="22"/>
        </w:rPr>
        <w:t>without</w:t>
      </w:r>
      <w:r>
        <w:rPr>
          <w:spacing w:val="-2"/>
          <w:sz w:val="22"/>
        </w:rPr>
        <w:t> </w:t>
      </w:r>
      <w:r>
        <w:rPr>
          <w:sz w:val="22"/>
        </w:rPr>
        <w:t>it</w:t>
      </w:r>
      <w:r>
        <w:rPr>
          <w:spacing w:val="-4"/>
          <w:sz w:val="22"/>
        </w:rPr>
        <w:t> </w:t>
      </w:r>
      <w:r>
        <w:rPr>
          <w:sz w:val="22"/>
        </w:rPr>
        <w:t>requiring</w:t>
      </w:r>
      <w:r>
        <w:rPr>
          <w:spacing w:val="-3"/>
          <w:sz w:val="22"/>
        </w:rPr>
        <w:t> </w:t>
      </w:r>
      <w:r>
        <w:rPr>
          <w:sz w:val="22"/>
        </w:rPr>
        <w:t>a</w:t>
      </w:r>
      <w:r>
        <w:rPr>
          <w:spacing w:val="-4"/>
          <w:sz w:val="22"/>
        </w:rPr>
        <w:t> </w:t>
      </w:r>
      <w:r>
        <w:rPr>
          <w:sz w:val="22"/>
        </w:rPr>
        <w:t>full revision resetting the five-year revision period;</w:t>
      </w:r>
    </w:p>
    <w:p>
      <w:pPr>
        <w:pStyle w:val="ListParagraph"/>
        <w:numPr>
          <w:ilvl w:val="0"/>
          <w:numId w:val="18"/>
        </w:numPr>
        <w:tabs>
          <w:tab w:pos="720" w:val="left" w:leader="none"/>
        </w:tabs>
        <w:spacing w:line="288" w:lineRule="auto" w:before="17" w:after="0"/>
        <w:ind w:left="720" w:right="328" w:hanging="428"/>
        <w:jc w:val="left"/>
        <w:rPr>
          <w:sz w:val="22"/>
        </w:rPr>
      </w:pPr>
      <w:r>
        <w:rPr>
          <w:sz w:val="22"/>
        </w:rPr>
        <w:t>providing the capacity for ESV to require a full revision of a safety case resetting the five-year revision</w:t>
      </w:r>
      <w:r>
        <w:rPr>
          <w:spacing w:val="-2"/>
          <w:sz w:val="22"/>
        </w:rPr>
        <w:t> </w:t>
      </w:r>
      <w:r>
        <w:rPr>
          <w:sz w:val="22"/>
        </w:rPr>
        <w:t>period, under</w:t>
      </w:r>
      <w:r>
        <w:rPr>
          <w:spacing w:val="-3"/>
          <w:sz w:val="22"/>
        </w:rPr>
        <w:t> </w:t>
      </w:r>
      <w:r>
        <w:rPr>
          <w:sz w:val="22"/>
        </w:rPr>
        <w:t>circumstances</w:t>
      </w:r>
      <w:r>
        <w:rPr>
          <w:spacing w:val="-2"/>
          <w:sz w:val="22"/>
        </w:rPr>
        <w:t> </w:t>
      </w:r>
      <w:r>
        <w:rPr>
          <w:sz w:val="22"/>
        </w:rPr>
        <w:t>where</w:t>
      </w:r>
      <w:r>
        <w:rPr>
          <w:spacing w:val="-4"/>
          <w:sz w:val="22"/>
        </w:rPr>
        <w:t> </w:t>
      </w:r>
      <w:r>
        <w:rPr>
          <w:sz w:val="22"/>
        </w:rPr>
        <w:t>there</w:t>
      </w:r>
      <w:r>
        <w:rPr>
          <w:spacing w:val="-4"/>
          <w:sz w:val="22"/>
        </w:rPr>
        <w:t> </w:t>
      </w:r>
      <w:r>
        <w:rPr>
          <w:sz w:val="22"/>
        </w:rPr>
        <w:t>has</w:t>
      </w:r>
      <w:r>
        <w:rPr>
          <w:spacing w:val="-1"/>
          <w:sz w:val="22"/>
        </w:rPr>
        <w:t> </w:t>
      </w:r>
      <w:r>
        <w:rPr>
          <w:sz w:val="22"/>
        </w:rPr>
        <w:t>been</w:t>
      </w:r>
      <w:r>
        <w:rPr>
          <w:spacing w:val="-4"/>
          <w:sz w:val="22"/>
        </w:rPr>
        <w:t> </w:t>
      </w:r>
      <w:r>
        <w:rPr>
          <w:sz w:val="22"/>
        </w:rPr>
        <w:t>a</w:t>
      </w:r>
      <w:r>
        <w:rPr>
          <w:spacing w:val="-4"/>
          <w:sz w:val="22"/>
        </w:rPr>
        <w:t> </w:t>
      </w:r>
      <w:r>
        <w:rPr>
          <w:sz w:val="22"/>
        </w:rPr>
        <w:t>material</w:t>
      </w:r>
      <w:r>
        <w:rPr>
          <w:spacing w:val="-2"/>
          <w:sz w:val="22"/>
        </w:rPr>
        <w:t> </w:t>
      </w:r>
      <w:r>
        <w:rPr>
          <w:sz w:val="22"/>
        </w:rPr>
        <w:t>change</w:t>
      </w:r>
      <w:r>
        <w:rPr>
          <w:spacing w:val="-4"/>
          <w:sz w:val="22"/>
        </w:rPr>
        <w:t> </w:t>
      </w:r>
      <w:r>
        <w:rPr>
          <w:sz w:val="22"/>
        </w:rPr>
        <w:t>warranting a</w:t>
      </w:r>
      <w:r>
        <w:rPr>
          <w:spacing w:val="-6"/>
          <w:sz w:val="22"/>
        </w:rPr>
        <w:t> </w:t>
      </w:r>
      <w:r>
        <w:rPr>
          <w:sz w:val="22"/>
        </w:rPr>
        <w:t>full revision; and</w:t>
      </w:r>
    </w:p>
    <w:p>
      <w:pPr>
        <w:pStyle w:val="ListParagraph"/>
        <w:numPr>
          <w:ilvl w:val="0"/>
          <w:numId w:val="18"/>
        </w:numPr>
        <w:tabs>
          <w:tab w:pos="720" w:val="left" w:leader="none"/>
        </w:tabs>
        <w:spacing w:line="288" w:lineRule="auto" w:before="13" w:after="0"/>
        <w:ind w:left="720" w:right="313" w:hanging="428"/>
        <w:jc w:val="left"/>
        <w:rPr>
          <w:sz w:val="22"/>
        </w:rPr>
      </w:pPr>
      <w:r>
        <w:rPr>
          <w:sz w:val="22"/>
        </w:rPr>
        <w:t>incorporating</w:t>
      </w:r>
      <w:r>
        <w:rPr>
          <w:spacing w:val="-4"/>
          <w:sz w:val="22"/>
        </w:rPr>
        <w:t> </w:t>
      </w:r>
      <w:r>
        <w:rPr>
          <w:sz w:val="22"/>
        </w:rPr>
        <w:t>effective</w:t>
      </w:r>
      <w:r>
        <w:rPr>
          <w:spacing w:val="-4"/>
          <w:sz w:val="22"/>
        </w:rPr>
        <w:t> </w:t>
      </w:r>
      <w:r>
        <w:rPr>
          <w:sz w:val="22"/>
        </w:rPr>
        <w:t>provisions</w:t>
      </w:r>
      <w:r>
        <w:rPr>
          <w:spacing w:val="-3"/>
          <w:sz w:val="22"/>
        </w:rPr>
        <w:t> </w:t>
      </w:r>
      <w:r>
        <w:rPr>
          <w:sz w:val="22"/>
        </w:rPr>
        <w:t>to</w:t>
      </w:r>
      <w:r>
        <w:rPr>
          <w:spacing w:val="-4"/>
          <w:sz w:val="22"/>
        </w:rPr>
        <w:t> </w:t>
      </w:r>
      <w:r>
        <w:rPr>
          <w:sz w:val="22"/>
        </w:rPr>
        <w:t>ensure</w:t>
      </w:r>
      <w:r>
        <w:rPr>
          <w:spacing w:val="-6"/>
          <w:sz w:val="22"/>
        </w:rPr>
        <w:t> </w:t>
      </w:r>
      <w:r>
        <w:rPr>
          <w:sz w:val="22"/>
        </w:rPr>
        <w:t>network</w:t>
      </w:r>
      <w:r>
        <w:rPr>
          <w:spacing w:val="-1"/>
          <w:sz w:val="22"/>
        </w:rPr>
        <w:t> </w:t>
      </w:r>
      <w:r>
        <w:rPr>
          <w:sz w:val="22"/>
        </w:rPr>
        <w:t>businesses</w:t>
      </w:r>
      <w:r>
        <w:rPr>
          <w:spacing w:val="-3"/>
          <w:sz w:val="22"/>
        </w:rPr>
        <w:t> </w:t>
      </w:r>
      <w:r>
        <w:rPr>
          <w:sz w:val="22"/>
        </w:rPr>
        <w:t>have</w:t>
      </w:r>
      <w:r>
        <w:rPr>
          <w:spacing w:val="-4"/>
          <w:sz w:val="22"/>
        </w:rPr>
        <w:t> </w:t>
      </w:r>
      <w:r>
        <w:rPr>
          <w:sz w:val="22"/>
        </w:rPr>
        <w:t>adequate</w:t>
      </w:r>
      <w:r>
        <w:rPr>
          <w:spacing w:val="-3"/>
          <w:sz w:val="22"/>
        </w:rPr>
        <w:t> </w:t>
      </w:r>
      <w:r>
        <w:rPr>
          <w:sz w:val="22"/>
        </w:rPr>
        <w:t>safety</w:t>
      </w:r>
      <w:r>
        <w:rPr>
          <w:spacing w:val="-5"/>
          <w:sz w:val="22"/>
        </w:rPr>
        <w:t> </w:t>
      </w:r>
      <w:r>
        <w:rPr>
          <w:sz w:val="22"/>
        </w:rPr>
        <w:t>cases</w:t>
      </w:r>
      <w:r>
        <w:rPr>
          <w:spacing w:val="-3"/>
          <w:sz w:val="22"/>
        </w:rPr>
        <w:t> </w:t>
      </w:r>
      <w:r>
        <w:rPr>
          <w:sz w:val="22"/>
        </w:rPr>
        <w:t>in </w:t>
      </w:r>
      <w:r>
        <w:rPr>
          <w:spacing w:val="-2"/>
          <w:sz w:val="22"/>
        </w:rPr>
        <w:t>place.</w:t>
      </w:r>
    </w:p>
    <w:p>
      <w:pPr>
        <w:pStyle w:val="Heading8"/>
        <w:spacing w:before="199"/>
      </w:pPr>
      <w:r>
        <w:rPr/>
        <w:t>Recommendation</w:t>
      </w:r>
      <w:r>
        <w:rPr>
          <w:spacing w:val="-7"/>
        </w:rPr>
        <w:t> </w:t>
      </w:r>
      <w:r>
        <w:rPr>
          <w:spacing w:val="-5"/>
        </w:rPr>
        <w:t>41</w:t>
      </w:r>
    </w:p>
    <w:p>
      <w:pPr>
        <w:pStyle w:val="BodyText"/>
        <w:spacing w:before="2"/>
        <w:rPr>
          <w:rFonts w:ascii="Arial-BoldItalicMT"/>
          <w:b/>
          <w:i/>
          <w:sz w:val="25"/>
        </w:rPr>
      </w:pPr>
    </w:p>
    <w:p>
      <w:pPr>
        <w:pStyle w:val="BodyText"/>
        <w:spacing w:line="288" w:lineRule="auto"/>
        <w:ind w:left="292" w:right="374"/>
      </w:pPr>
      <w:r>
        <w:rPr/>
        <w:t>As</w:t>
      </w:r>
      <w:r>
        <w:rPr>
          <w:spacing w:val="-2"/>
        </w:rPr>
        <w:t> </w:t>
      </w:r>
      <w:r>
        <w:rPr/>
        <w:t>part</w:t>
      </w:r>
      <w:r>
        <w:rPr>
          <w:spacing w:val="-1"/>
        </w:rPr>
        <w:t> </w:t>
      </w:r>
      <w:r>
        <w:rPr/>
        <w:t>of</w:t>
      </w:r>
      <w:r>
        <w:rPr>
          <w:spacing w:val="-4"/>
        </w:rPr>
        <w:t> </w:t>
      </w:r>
      <w:r>
        <w:rPr/>
        <w:t>the</w:t>
      </w:r>
      <w:r>
        <w:rPr>
          <w:spacing w:val="-3"/>
        </w:rPr>
        <w:t> </w:t>
      </w:r>
      <w:r>
        <w:rPr/>
        <w:t>consolidated</w:t>
      </w:r>
      <w:r>
        <w:rPr>
          <w:spacing w:val="-3"/>
        </w:rPr>
        <w:t> </w:t>
      </w:r>
      <w:r>
        <w:rPr/>
        <w:t>safety</w:t>
      </w:r>
      <w:r>
        <w:rPr>
          <w:spacing w:val="-5"/>
        </w:rPr>
        <w:t> </w:t>
      </w:r>
      <w:r>
        <w:rPr/>
        <w:t>legislation,</w:t>
      </w:r>
      <w:r>
        <w:rPr>
          <w:spacing w:val="-4"/>
        </w:rPr>
        <w:t> </w:t>
      </w:r>
      <w:r>
        <w:rPr/>
        <w:t>ESV</w:t>
      </w:r>
      <w:r>
        <w:rPr>
          <w:spacing w:val="-3"/>
        </w:rPr>
        <w:t> </w:t>
      </w:r>
      <w:r>
        <w:rPr/>
        <w:t>should</w:t>
      </w:r>
      <w:r>
        <w:rPr>
          <w:spacing w:val="-3"/>
        </w:rPr>
        <w:t> </w:t>
      </w:r>
      <w:r>
        <w:rPr/>
        <w:t>be</w:t>
      </w:r>
      <w:r>
        <w:rPr>
          <w:spacing w:val="-5"/>
        </w:rPr>
        <w:t> </w:t>
      </w:r>
      <w:r>
        <w:rPr/>
        <w:t>given</w:t>
      </w:r>
      <w:r>
        <w:rPr>
          <w:spacing w:val="-3"/>
        </w:rPr>
        <w:t> </w:t>
      </w:r>
      <w:r>
        <w:rPr/>
        <w:t>sufficiently</w:t>
      </w:r>
      <w:r>
        <w:rPr>
          <w:spacing w:val="-5"/>
        </w:rPr>
        <w:t> </w:t>
      </w:r>
      <w:r>
        <w:rPr/>
        <w:t>wide</w:t>
      </w:r>
      <w:r>
        <w:rPr>
          <w:spacing w:val="-3"/>
        </w:rPr>
        <w:t> </w:t>
      </w:r>
      <w:r>
        <w:rPr/>
        <w:t>powers</w:t>
      </w:r>
      <w:r>
        <w:rPr>
          <w:spacing w:val="-2"/>
        </w:rPr>
        <w:t> </w:t>
      </w:r>
      <w:r>
        <w:rPr/>
        <w:t>across sectors for requesting information to assist ESV in performing its functions. This should be informed by the powers available to the AER under the </w:t>
      </w:r>
      <w:r>
        <w:rPr>
          <w:i/>
        </w:rPr>
        <w:t>National Electricity Law</w:t>
      </w:r>
      <w:r>
        <w:rPr/>
        <w:t>.</w:t>
      </w:r>
    </w:p>
    <w:p>
      <w:pPr>
        <w:pStyle w:val="BodyText"/>
        <w:rPr>
          <w:sz w:val="21"/>
        </w:rPr>
      </w:pPr>
    </w:p>
    <w:p>
      <w:pPr>
        <w:pStyle w:val="Heading8"/>
        <w:spacing w:before="1"/>
      </w:pPr>
      <w:r>
        <w:rPr/>
        <w:t>Recommendation</w:t>
      </w:r>
      <w:r>
        <w:rPr>
          <w:spacing w:val="-7"/>
        </w:rPr>
        <w:t> </w:t>
      </w:r>
      <w:r>
        <w:rPr>
          <w:spacing w:val="-5"/>
        </w:rPr>
        <w:t>42</w:t>
      </w:r>
    </w:p>
    <w:p>
      <w:pPr>
        <w:pStyle w:val="BodyText"/>
        <w:spacing w:before="1"/>
        <w:rPr>
          <w:rFonts w:ascii="Arial-BoldItalicMT"/>
          <w:b/>
          <w:i/>
          <w:sz w:val="25"/>
        </w:rPr>
      </w:pPr>
    </w:p>
    <w:p>
      <w:pPr>
        <w:pStyle w:val="BodyText"/>
        <w:spacing w:line="288" w:lineRule="auto" w:before="1"/>
        <w:ind w:left="292" w:right="374"/>
      </w:pPr>
      <w:r>
        <w:rPr/>
        <w:t>ESV should, in consultation with network businesses, further develop internal and external guidance</w:t>
      </w:r>
      <w:r>
        <w:rPr>
          <w:spacing w:val="-2"/>
        </w:rPr>
        <w:t> </w:t>
      </w:r>
      <w:r>
        <w:rPr/>
        <w:t>on</w:t>
      </w:r>
      <w:r>
        <w:rPr>
          <w:spacing w:val="-4"/>
        </w:rPr>
        <w:t> </w:t>
      </w:r>
      <w:r>
        <w:rPr/>
        <w:t>its</w:t>
      </w:r>
      <w:r>
        <w:rPr>
          <w:spacing w:val="-4"/>
        </w:rPr>
        <w:t> </w:t>
      </w:r>
      <w:r>
        <w:rPr/>
        <w:t>expectations</w:t>
      </w:r>
      <w:r>
        <w:rPr>
          <w:spacing w:val="-4"/>
        </w:rPr>
        <w:t> </w:t>
      </w:r>
      <w:r>
        <w:rPr/>
        <w:t>for</w:t>
      </w:r>
      <w:r>
        <w:rPr>
          <w:spacing w:val="-1"/>
        </w:rPr>
        <w:t> </w:t>
      </w:r>
      <w:r>
        <w:rPr/>
        <w:t>safety cases,</w:t>
      </w:r>
      <w:r>
        <w:rPr>
          <w:spacing w:val="-3"/>
        </w:rPr>
        <w:t> </w:t>
      </w:r>
      <w:r>
        <w:rPr/>
        <w:t>and</w:t>
      </w:r>
      <w:r>
        <w:rPr>
          <w:spacing w:val="-4"/>
        </w:rPr>
        <w:t> </w:t>
      </w:r>
      <w:r>
        <w:rPr/>
        <w:t>its</w:t>
      </w:r>
      <w:r>
        <w:rPr>
          <w:spacing w:val="-1"/>
        </w:rPr>
        <w:t> </w:t>
      </w:r>
      <w:r>
        <w:rPr/>
        <w:t>approach</w:t>
      </w:r>
      <w:r>
        <w:rPr>
          <w:spacing w:val="-4"/>
        </w:rPr>
        <w:t> </w:t>
      </w:r>
      <w:r>
        <w:rPr/>
        <w:t>to</w:t>
      </w:r>
      <w:r>
        <w:rPr>
          <w:spacing w:val="-4"/>
        </w:rPr>
        <w:t> </w:t>
      </w:r>
      <w:r>
        <w:rPr/>
        <w:t>evaluating</w:t>
      </w:r>
      <w:r>
        <w:rPr>
          <w:spacing w:val="-2"/>
        </w:rPr>
        <w:t> </w:t>
      </w:r>
      <w:r>
        <w:rPr/>
        <w:t>safety</w:t>
      </w:r>
      <w:r>
        <w:rPr>
          <w:spacing w:val="-4"/>
        </w:rPr>
        <w:t> </w:t>
      </w:r>
      <w:r>
        <w:rPr/>
        <w:t>cases</w:t>
      </w:r>
      <w:r>
        <w:rPr>
          <w:spacing w:val="-6"/>
        </w:rPr>
        <w:t> </w:t>
      </w:r>
      <w:r>
        <w:rPr/>
        <w:t>for acceptance. This should include its approach and expectations for:</w:t>
      </w:r>
    </w:p>
    <w:p>
      <w:pPr>
        <w:pStyle w:val="BodyText"/>
        <w:spacing w:before="10"/>
        <w:rPr>
          <w:sz w:val="18"/>
        </w:rPr>
      </w:pPr>
    </w:p>
    <w:p>
      <w:pPr>
        <w:pStyle w:val="ListParagraph"/>
        <w:numPr>
          <w:ilvl w:val="0"/>
          <w:numId w:val="18"/>
        </w:numPr>
        <w:tabs>
          <w:tab w:pos="717" w:val="left" w:leader="none"/>
        </w:tabs>
        <w:spacing w:line="240" w:lineRule="auto" w:before="0" w:after="0"/>
        <w:ind w:left="717" w:right="0" w:hanging="360"/>
        <w:jc w:val="left"/>
        <w:rPr>
          <w:sz w:val="22"/>
        </w:rPr>
      </w:pPr>
      <w:r>
        <w:rPr>
          <w:sz w:val="22"/>
        </w:rPr>
        <w:t>safety</w:t>
      </w:r>
      <w:r>
        <w:rPr>
          <w:spacing w:val="-8"/>
          <w:sz w:val="22"/>
        </w:rPr>
        <w:t> </w:t>
      </w:r>
      <w:r>
        <w:rPr>
          <w:sz w:val="22"/>
        </w:rPr>
        <w:t>case</w:t>
      </w:r>
      <w:r>
        <w:rPr>
          <w:spacing w:val="-7"/>
          <w:sz w:val="22"/>
        </w:rPr>
        <w:t> </w:t>
      </w:r>
      <w:r>
        <w:rPr>
          <w:sz w:val="22"/>
        </w:rPr>
        <w:t>components</w:t>
      </w:r>
      <w:r>
        <w:rPr>
          <w:spacing w:val="-7"/>
          <w:sz w:val="22"/>
        </w:rPr>
        <w:t> </w:t>
      </w:r>
      <w:r>
        <w:rPr>
          <w:sz w:val="22"/>
        </w:rPr>
        <w:t>being</w:t>
      </w:r>
      <w:r>
        <w:rPr>
          <w:spacing w:val="-3"/>
          <w:sz w:val="22"/>
        </w:rPr>
        <w:t> </w:t>
      </w:r>
      <w:r>
        <w:rPr>
          <w:sz w:val="22"/>
        </w:rPr>
        <w:t>clear,</w:t>
      </w:r>
      <w:r>
        <w:rPr>
          <w:spacing w:val="-6"/>
          <w:sz w:val="22"/>
        </w:rPr>
        <w:t> </w:t>
      </w:r>
      <w:r>
        <w:rPr>
          <w:sz w:val="22"/>
        </w:rPr>
        <w:t>measurable</w:t>
      </w:r>
      <w:r>
        <w:rPr>
          <w:spacing w:val="-7"/>
          <w:sz w:val="22"/>
        </w:rPr>
        <w:t> </w:t>
      </w:r>
      <w:r>
        <w:rPr>
          <w:sz w:val="22"/>
        </w:rPr>
        <w:t>and</w:t>
      </w:r>
      <w:r>
        <w:rPr>
          <w:spacing w:val="-4"/>
          <w:sz w:val="22"/>
        </w:rPr>
        <w:t> </w:t>
      </w:r>
      <w:r>
        <w:rPr>
          <w:sz w:val="22"/>
        </w:rPr>
        <w:t>targeted</w:t>
      </w:r>
      <w:r>
        <w:rPr>
          <w:spacing w:val="-7"/>
          <w:sz w:val="22"/>
        </w:rPr>
        <w:t> </w:t>
      </w:r>
      <w:r>
        <w:rPr>
          <w:sz w:val="22"/>
        </w:rPr>
        <w:t>to</w:t>
      </w:r>
      <w:r>
        <w:rPr>
          <w:spacing w:val="-7"/>
          <w:sz w:val="22"/>
        </w:rPr>
        <w:t> </w:t>
      </w:r>
      <w:r>
        <w:rPr>
          <w:sz w:val="22"/>
        </w:rPr>
        <w:t>safety</w:t>
      </w:r>
      <w:r>
        <w:rPr>
          <w:spacing w:val="-5"/>
          <w:sz w:val="22"/>
        </w:rPr>
        <w:t> </w:t>
      </w:r>
      <w:r>
        <w:rPr>
          <w:spacing w:val="-2"/>
          <w:sz w:val="22"/>
        </w:rPr>
        <w:t>obligations;</w:t>
      </w:r>
    </w:p>
    <w:p>
      <w:pPr>
        <w:pStyle w:val="ListParagraph"/>
        <w:numPr>
          <w:ilvl w:val="0"/>
          <w:numId w:val="18"/>
        </w:numPr>
        <w:tabs>
          <w:tab w:pos="717" w:val="left" w:leader="none"/>
        </w:tabs>
        <w:spacing w:line="240" w:lineRule="auto" w:before="66" w:after="0"/>
        <w:ind w:left="717" w:right="0" w:hanging="360"/>
        <w:jc w:val="left"/>
        <w:rPr>
          <w:sz w:val="22"/>
        </w:rPr>
      </w:pPr>
      <w:r>
        <w:rPr>
          <w:sz w:val="22"/>
        </w:rPr>
        <w:t>how</w:t>
      </w:r>
      <w:r>
        <w:rPr>
          <w:spacing w:val="-8"/>
          <w:sz w:val="22"/>
        </w:rPr>
        <w:t> </w:t>
      </w:r>
      <w:r>
        <w:rPr>
          <w:sz w:val="22"/>
        </w:rPr>
        <w:t>a</w:t>
      </w:r>
      <w:r>
        <w:rPr>
          <w:spacing w:val="-5"/>
          <w:sz w:val="22"/>
        </w:rPr>
        <w:t> </w:t>
      </w:r>
      <w:r>
        <w:rPr>
          <w:sz w:val="22"/>
        </w:rPr>
        <w:t>precaution-based</w:t>
      </w:r>
      <w:r>
        <w:rPr>
          <w:spacing w:val="-9"/>
          <w:sz w:val="22"/>
        </w:rPr>
        <w:t> </w:t>
      </w:r>
      <w:r>
        <w:rPr>
          <w:sz w:val="22"/>
        </w:rPr>
        <w:t>approach</w:t>
      </w:r>
      <w:r>
        <w:rPr>
          <w:spacing w:val="-5"/>
          <w:sz w:val="22"/>
        </w:rPr>
        <w:t> </w:t>
      </w:r>
      <w:r>
        <w:rPr>
          <w:sz w:val="22"/>
        </w:rPr>
        <w:t>is</w:t>
      </w:r>
      <w:r>
        <w:rPr>
          <w:spacing w:val="-6"/>
          <w:sz w:val="22"/>
        </w:rPr>
        <w:t> </w:t>
      </w:r>
      <w:r>
        <w:rPr>
          <w:sz w:val="22"/>
        </w:rPr>
        <w:t>applied</w:t>
      </w:r>
      <w:r>
        <w:rPr>
          <w:spacing w:val="-5"/>
          <w:sz w:val="22"/>
        </w:rPr>
        <w:t> </w:t>
      </w:r>
      <w:r>
        <w:rPr>
          <w:sz w:val="22"/>
        </w:rPr>
        <w:t>to</w:t>
      </w:r>
      <w:r>
        <w:rPr>
          <w:spacing w:val="-6"/>
          <w:sz w:val="22"/>
        </w:rPr>
        <w:t> </w:t>
      </w:r>
      <w:r>
        <w:rPr>
          <w:sz w:val="22"/>
        </w:rPr>
        <w:t>managing</w:t>
      </w:r>
      <w:r>
        <w:rPr>
          <w:spacing w:val="-3"/>
          <w:sz w:val="22"/>
        </w:rPr>
        <w:t> </w:t>
      </w:r>
      <w:r>
        <w:rPr>
          <w:sz w:val="22"/>
        </w:rPr>
        <w:t>safety</w:t>
      </w:r>
      <w:r>
        <w:rPr>
          <w:spacing w:val="-7"/>
          <w:sz w:val="22"/>
        </w:rPr>
        <w:t> </w:t>
      </w:r>
      <w:r>
        <w:rPr>
          <w:sz w:val="22"/>
        </w:rPr>
        <w:t>risk;</w:t>
      </w:r>
      <w:r>
        <w:rPr>
          <w:spacing w:val="-5"/>
          <w:sz w:val="22"/>
        </w:rPr>
        <w:t> and</w:t>
      </w:r>
    </w:p>
    <w:p>
      <w:pPr>
        <w:pStyle w:val="ListParagraph"/>
        <w:numPr>
          <w:ilvl w:val="0"/>
          <w:numId w:val="18"/>
        </w:numPr>
        <w:tabs>
          <w:tab w:pos="717" w:val="left" w:leader="none"/>
        </w:tabs>
        <w:spacing w:line="240" w:lineRule="auto" w:before="64" w:after="0"/>
        <w:ind w:left="717" w:right="0" w:hanging="357"/>
        <w:jc w:val="left"/>
        <w:rPr>
          <w:sz w:val="22"/>
        </w:rPr>
      </w:pPr>
      <w:r>
        <w:rPr>
          <w:sz w:val="22"/>
        </w:rPr>
        <w:t>safety</w:t>
      </w:r>
      <w:r>
        <w:rPr>
          <w:spacing w:val="-7"/>
          <w:sz w:val="22"/>
        </w:rPr>
        <w:t> </w:t>
      </w:r>
      <w:r>
        <w:rPr>
          <w:sz w:val="22"/>
        </w:rPr>
        <w:t>case</w:t>
      </w:r>
      <w:r>
        <w:rPr>
          <w:spacing w:val="-7"/>
          <w:sz w:val="22"/>
        </w:rPr>
        <w:t> </w:t>
      </w:r>
      <w:r>
        <w:rPr>
          <w:sz w:val="22"/>
        </w:rPr>
        <w:t>submission</w:t>
      </w:r>
      <w:r>
        <w:rPr>
          <w:spacing w:val="-8"/>
          <w:sz w:val="22"/>
        </w:rPr>
        <w:t> </w:t>
      </w:r>
      <w:r>
        <w:rPr>
          <w:sz w:val="22"/>
        </w:rPr>
        <w:t>and</w:t>
      </w:r>
      <w:r>
        <w:rPr>
          <w:spacing w:val="-5"/>
          <w:sz w:val="22"/>
        </w:rPr>
        <w:t> </w:t>
      </w:r>
      <w:r>
        <w:rPr>
          <w:sz w:val="22"/>
        </w:rPr>
        <w:t>revision</w:t>
      </w:r>
      <w:r>
        <w:rPr>
          <w:spacing w:val="-5"/>
          <w:sz w:val="22"/>
        </w:rPr>
        <w:t> </w:t>
      </w:r>
      <w:r>
        <w:rPr>
          <w:spacing w:val="-2"/>
          <w:sz w:val="22"/>
        </w:rPr>
        <w:t>processes.</w:t>
      </w:r>
    </w:p>
    <w:p>
      <w:pPr>
        <w:pStyle w:val="BodyText"/>
        <w:spacing w:before="9"/>
        <w:rPr>
          <w:sz w:val="30"/>
        </w:rPr>
      </w:pPr>
    </w:p>
    <w:p>
      <w:pPr>
        <w:pStyle w:val="Heading8"/>
      </w:pPr>
      <w:r>
        <w:rPr/>
        <w:t>Recommendation</w:t>
      </w:r>
      <w:r>
        <w:rPr>
          <w:spacing w:val="-7"/>
        </w:rPr>
        <w:t> </w:t>
      </w:r>
      <w:r>
        <w:rPr>
          <w:spacing w:val="-5"/>
        </w:rPr>
        <w:t>43</w:t>
      </w:r>
    </w:p>
    <w:p>
      <w:pPr>
        <w:pStyle w:val="BodyText"/>
        <w:spacing w:before="2"/>
        <w:rPr>
          <w:rFonts w:ascii="Arial-BoldItalicMT"/>
          <w:b/>
          <w:i/>
          <w:sz w:val="25"/>
        </w:rPr>
      </w:pPr>
    </w:p>
    <w:p>
      <w:pPr>
        <w:pStyle w:val="BodyText"/>
        <w:spacing w:line="288" w:lineRule="auto" w:before="1"/>
        <w:ind w:left="292"/>
      </w:pPr>
      <w:r>
        <w:rPr/>
        <w:t>The</w:t>
      </w:r>
      <w:r>
        <w:rPr>
          <w:spacing w:val="-4"/>
        </w:rPr>
        <w:t> </w:t>
      </w:r>
      <w:r>
        <w:rPr/>
        <w:t>consolidated</w:t>
      </w:r>
      <w:r>
        <w:rPr>
          <w:spacing w:val="-2"/>
        </w:rPr>
        <w:t> </w:t>
      </w:r>
      <w:r>
        <w:rPr/>
        <w:t>safety</w:t>
      </w:r>
      <w:r>
        <w:rPr>
          <w:spacing w:val="-4"/>
        </w:rPr>
        <w:t> </w:t>
      </w:r>
      <w:r>
        <w:rPr/>
        <w:t>legislation</w:t>
      </w:r>
      <w:r>
        <w:rPr>
          <w:spacing w:val="-2"/>
        </w:rPr>
        <w:t> </w:t>
      </w:r>
      <w:r>
        <w:rPr/>
        <w:t>should</w:t>
      </w:r>
      <w:r>
        <w:rPr>
          <w:spacing w:val="-4"/>
        </w:rPr>
        <w:t> </w:t>
      </w:r>
      <w:r>
        <w:rPr/>
        <w:t>provide</w:t>
      </w:r>
      <w:r>
        <w:rPr>
          <w:spacing w:val="-4"/>
        </w:rPr>
        <w:t> </w:t>
      </w:r>
      <w:r>
        <w:rPr/>
        <w:t>for</w:t>
      </w:r>
      <w:r>
        <w:rPr>
          <w:spacing w:val="-3"/>
        </w:rPr>
        <w:t> </w:t>
      </w:r>
      <w:r>
        <w:rPr/>
        <w:t>the</w:t>
      </w:r>
      <w:r>
        <w:rPr>
          <w:spacing w:val="-4"/>
        </w:rPr>
        <w:t> </w:t>
      </w:r>
      <w:r>
        <w:rPr/>
        <w:t>review</w:t>
      </w:r>
      <w:r>
        <w:rPr>
          <w:spacing w:val="-5"/>
        </w:rPr>
        <w:t> </w:t>
      </w:r>
      <w:r>
        <w:rPr/>
        <w:t>of</w:t>
      </w:r>
      <w:r>
        <w:rPr>
          <w:spacing w:val="-1"/>
        </w:rPr>
        <w:t> </w:t>
      </w:r>
      <w:r>
        <w:rPr/>
        <w:t>ESV</w:t>
      </w:r>
      <w:r>
        <w:rPr>
          <w:spacing w:val="-2"/>
        </w:rPr>
        <w:t> </w:t>
      </w:r>
      <w:r>
        <w:rPr/>
        <w:t>by</w:t>
      </w:r>
      <w:r>
        <w:rPr>
          <w:spacing w:val="-4"/>
        </w:rPr>
        <w:t> </w:t>
      </w:r>
      <w:r>
        <w:rPr/>
        <w:t>an</w:t>
      </w:r>
      <w:r>
        <w:rPr>
          <w:spacing w:val="-2"/>
        </w:rPr>
        <w:t> </w:t>
      </w:r>
      <w:r>
        <w:rPr/>
        <w:t>independent</w:t>
      </w:r>
      <w:r>
        <w:rPr>
          <w:spacing w:val="-3"/>
        </w:rPr>
        <w:t> </w:t>
      </w:r>
      <w:r>
        <w:rPr/>
        <w:t>expert panel appointed by the responsible Minister every five years.</w:t>
      </w:r>
    </w:p>
    <w:p>
      <w:pPr>
        <w:spacing w:after="0" w:line="288" w:lineRule="auto"/>
        <w:sectPr>
          <w:headerReference w:type="default" r:id="rId18"/>
          <w:footerReference w:type="default" r:id="rId19"/>
          <w:pgSz w:w="11910" w:h="16850"/>
          <w:pgMar w:header="465" w:footer="880" w:top="660" w:bottom="1060" w:left="840" w:right="820"/>
        </w:sectPr>
      </w:pPr>
    </w:p>
    <w:p>
      <w:pPr>
        <w:pStyle w:val="BodyText"/>
        <w:spacing w:line="141" w:lineRule="exact"/>
        <w:ind w:left="264"/>
        <w:rPr>
          <w:sz w:val="14"/>
        </w:rPr>
      </w:pPr>
      <w:r>
        <w:rPr/>
        <w:drawing>
          <wp:anchor distT="0" distB="0" distL="0" distR="0" allowOverlap="1" layoutInCell="1" locked="0" behindDoc="0" simplePos="0" relativeHeight="15736832">
            <wp:simplePos x="0" y="0"/>
            <wp:positionH relativeFrom="page">
              <wp:posOffset>0</wp:posOffset>
            </wp:positionH>
            <wp:positionV relativeFrom="page">
              <wp:posOffset>0</wp:posOffset>
            </wp:positionV>
            <wp:extent cx="7555863" cy="10666093"/>
            <wp:effectExtent l="0" t="0" r="0" b="0"/>
            <wp:wrapNone/>
            <wp:docPr id="40" name="Image 40"/>
            <wp:cNvGraphicFramePr>
              <a:graphicFrameLocks/>
            </wp:cNvGraphicFramePr>
            <a:graphic>
              <a:graphicData uri="http://schemas.openxmlformats.org/drawingml/2006/picture">
                <pic:pic>
                  <pic:nvPicPr>
                    <pic:cNvPr id="40" name="Image 40"/>
                    <pic:cNvPicPr/>
                  </pic:nvPicPr>
                  <pic:blipFill>
                    <a:blip r:embed="rId22" cstate="print"/>
                    <a:stretch>
                      <a:fillRect/>
                    </a:stretch>
                  </pic:blipFill>
                  <pic:spPr>
                    <a:xfrm>
                      <a:off x="0" y="0"/>
                      <a:ext cx="7555863" cy="10666093"/>
                    </a:xfrm>
                    <a:prstGeom prst="rect">
                      <a:avLst/>
                    </a:prstGeom>
                  </pic:spPr>
                </pic:pic>
              </a:graphicData>
            </a:graphic>
          </wp:anchor>
        </w:drawing>
      </w:r>
      <w:r>
        <w:rPr>
          <w:position w:val="-2"/>
          <w:sz w:val="14"/>
        </w:rPr>
        <mc:AlternateContent>
          <mc:Choice Requires="wps">
            <w:drawing>
              <wp:inline distT="0" distB="0" distL="0" distR="0">
                <wp:extent cx="6158230" cy="90170"/>
                <wp:effectExtent l="0" t="0" r="0" b="0"/>
                <wp:docPr id="41" name="Group 41"/>
                <wp:cNvGraphicFramePr>
                  <a:graphicFrameLocks/>
                </wp:cNvGraphicFramePr>
                <a:graphic>
                  <a:graphicData uri="http://schemas.microsoft.com/office/word/2010/wordprocessingGroup">
                    <wpg:wgp>
                      <wpg:cNvPr id="41" name="Group 41"/>
                      <wpg:cNvGrpSpPr/>
                      <wpg:grpSpPr>
                        <a:xfrm>
                          <a:off x="0" y="0"/>
                          <a:ext cx="6158230" cy="90170"/>
                          <a:chExt cx="6158230" cy="90170"/>
                        </a:xfrm>
                      </wpg:grpSpPr>
                      <wps:wsp>
                        <wps:cNvPr id="42" name="Graphic 42"/>
                        <wps:cNvSpPr/>
                        <wps:spPr>
                          <a:xfrm>
                            <a:off x="0" y="0"/>
                            <a:ext cx="6158230" cy="90170"/>
                          </a:xfrm>
                          <a:custGeom>
                            <a:avLst/>
                            <a:gdLst/>
                            <a:ahLst/>
                            <a:cxnLst/>
                            <a:rect l="l" t="t" r="r" b="b"/>
                            <a:pathLst>
                              <a:path w="6158230" h="90170">
                                <a:moveTo>
                                  <a:pt x="6158230" y="0"/>
                                </a:moveTo>
                                <a:lnTo>
                                  <a:pt x="0" y="0"/>
                                </a:lnTo>
                                <a:lnTo>
                                  <a:pt x="0" y="89916"/>
                                </a:lnTo>
                                <a:lnTo>
                                  <a:pt x="6158230" y="89916"/>
                                </a:lnTo>
                                <a:lnTo>
                                  <a:pt x="6158230" y="0"/>
                                </a:lnTo>
                                <a:close/>
                              </a:path>
                            </a:pathLst>
                          </a:custGeom>
                          <a:solidFill>
                            <a:srgbClr val="00B3A8"/>
                          </a:solidFill>
                        </wps:spPr>
                        <wps:bodyPr wrap="square" lIns="0" tIns="0" rIns="0" bIns="0" rtlCol="0">
                          <a:prstTxWarp prst="textNoShape">
                            <a:avLst/>
                          </a:prstTxWarp>
                          <a:noAutofit/>
                        </wps:bodyPr>
                      </wps:wsp>
                    </wpg:wgp>
                  </a:graphicData>
                </a:graphic>
              </wp:inline>
            </w:drawing>
          </mc:Choice>
          <mc:Fallback>
            <w:pict>
              <v:group style="width:484.9pt;height:7.1pt;mso-position-horizontal-relative:char;mso-position-vertical-relative:line" id="docshapegroup39" coordorigin="0,0" coordsize="9698,142">
                <v:rect style="position:absolute;left:0;top:0;width:9698;height:142" id="docshape40" filled="true" fillcolor="#00b3a8" stroked="false">
                  <v:fill type="solid"/>
                </v:rect>
              </v:group>
            </w:pict>
          </mc:Fallback>
        </mc:AlternateContent>
      </w:r>
      <w:r>
        <w:rPr>
          <w:position w:val="-2"/>
          <w:sz w:val="14"/>
        </w:rPr>
      </w:r>
    </w:p>
    <w:p>
      <w:pPr>
        <w:pStyle w:val="BodyText"/>
        <w:rPr>
          <w:sz w:val="20"/>
        </w:rPr>
      </w:pPr>
    </w:p>
    <w:p>
      <w:pPr>
        <w:pStyle w:val="BodyText"/>
        <w:rPr>
          <w:sz w:val="20"/>
        </w:rPr>
      </w:pPr>
    </w:p>
    <w:p>
      <w:pPr>
        <w:pStyle w:val="Heading2"/>
        <w:spacing w:before="262"/>
      </w:pPr>
      <w:bookmarkStart w:name="_bookmark3" w:id="4"/>
      <w:bookmarkEnd w:id="4"/>
      <w:r>
        <w:rPr>
          <w:b w:val="0"/>
        </w:rPr>
      </w:r>
      <w:r>
        <w:rPr>
          <w:color w:val="00B1A9"/>
        </w:rPr>
        <w:t>PART</w:t>
      </w:r>
      <w:r>
        <w:rPr>
          <w:color w:val="00B1A9"/>
          <w:spacing w:val="-29"/>
        </w:rPr>
        <w:t> </w:t>
      </w:r>
      <w:r>
        <w:rPr>
          <w:color w:val="00B1A9"/>
        </w:rPr>
        <w:t>A:</w:t>
      </w:r>
      <w:r>
        <w:rPr>
          <w:color w:val="00B1A9"/>
          <w:spacing w:val="-13"/>
        </w:rPr>
        <w:t> </w:t>
      </w:r>
      <w:r>
        <w:rPr>
          <w:color w:val="00B1A9"/>
        </w:rPr>
        <w:t>THE</w:t>
      </w:r>
      <w:r>
        <w:rPr>
          <w:color w:val="00B1A9"/>
          <w:spacing w:val="-14"/>
        </w:rPr>
        <w:t> </w:t>
      </w:r>
      <w:r>
        <w:rPr>
          <w:color w:val="00B1A9"/>
          <w:spacing w:val="-2"/>
        </w:rPr>
        <w:t>REVIEW</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1"/>
        </w:rPr>
      </w:pPr>
    </w:p>
    <w:p>
      <w:pPr>
        <w:spacing w:before="0"/>
        <w:ind w:left="2508" w:right="2526" w:firstLine="0"/>
        <w:jc w:val="center"/>
        <w:rPr>
          <w:sz w:val="16"/>
        </w:rPr>
      </w:pPr>
      <w:r>
        <w:rPr/>
        <mc:AlternateContent>
          <mc:Choice Requires="wps">
            <w:drawing>
              <wp:anchor distT="0" distB="0" distL="0" distR="0" allowOverlap="1" layoutInCell="1" locked="0" behindDoc="1" simplePos="0" relativeHeight="487595520">
                <wp:simplePos x="0" y="0"/>
                <wp:positionH relativeFrom="page">
                  <wp:posOffset>701040</wp:posOffset>
                </wp:positionH>
                <wp:positionV relativeFrom="paragraph">
                  <wp:posOffset>133018</wp:posOffset>
                </wp:positionV>
                <wp:extent cx="6158230" cy="87630"/>
                <wp:effectExtent l="0" t="0" r="0" b="0"/>
                <wp:wrapTopAndBottom/>
                <wp:docPr id="43" name="Graphic 43"/>
                <wp:cNvGraphicFramePr>
                  <a:graphicFrameLocks/>
                </wp:cNvGraphicFramePr>
                <a:graphic>
                  <a:graphicData uri="http://schemas.microsoft.com/office/word/2010/wordprocessingShape">
                    <wps:wsp>
                      <wps:cNvPr id="43" name="Graphic 43"/>
                      <wps:cNvSpPr/>
                      <wps:spPr>
                        <a:xfrm>
                          <a:off x="0" y="0"/>
                          <a:ext cx="6158230" cy="87630"/>
                        </a:xfrm>
                        <a:custGeom>
                          <a:avLst/>
                          <a:gdLst/>
                          <a:ahLst/>
                          <a:cxnLst/>
                          <a:rect l="l" t="t" r="r" b="b"/>
                          <a:pathLst>
                            <a:path w="6158230" h="87630">
                              <a:moveTo>
                                <a:pt x="6158230" y="0"/>
                              </a:moveTo>
                              <a:lnTo>
                                <a:pt x="0" y="0"/>
                              </a:lnTo>
                              <a:lnTo>
                                <a:pt x="0" y="87172"/>
                              </a:lnTo>
                              <a:lnTo>
                                <a:pt x="6158230" y="87172"/>
                              </a:lnTo>
                              <a:lnTo>
                                <a:pt x="6158230" y="0"/>
                              </a:lnTo>
                              <a:close/>
                            </a:path>
                          </a:pathLst>
                        </a:custGeom>
                        <a:solidFill>
                          <a:srgbClr val="00B3A8"/>
                        </a:solidFill>
                      </wps:spPr>
                      <wps:bodyPr wrap="square" lIns="0" tIns="0" rIns="0" bIns="0" rtlCol="0">
                        <a:prstTxWarp prst="textNoShape">
                          <a:avLst/>
                        </a:prstTxWarp>
                        <a:noAutofit/>
                      </wps:bodyPr>
                    </wps:wsp>
                  </a:graphicData>
                </a:graphic>
              </wp:anchor>
            </w:drawing>
          </mc:Choice>
          <mc:Fallback>
            <w:pict>
              <v:rect style="position:absolute;margin-left:55.200001pt;margin-top:10.473905pt;width:484.9pt;height:6.864pt;mso-position-horizontal-relative:page;mso-position-vertical-relative:paragraph;z-index:-15720960;mso-wrap-distance-left:0;mso-wrap-distance-right:0" id="docshape41" filled="true" fillcolor="#00b3a8" stroked="false">
                <v:fill type="solid"/>
                <w10:wrap type="topAndBottom"/>
              </v:rect>
            </w:pict>
          </mc:Fallback>
        </mc:AlternateContent>
      </w:r>
      <w:r>
        <w:rPr>
          <w:spacing w:val="-5"/>
          <w:sz w:val="16"/>
        </w:rPr>
        <w:t>39</w:t>
      </w:r>
    </w:p>
    <w:p>
      <w:pPr>
        <w:spacing w:after="0"/>
        <w:jc w:val="center"/>
        <w:rPr>
          <w:sz w:val="16"/>
        </w:rPr>
        <w:sectPr>
          <w:headerReference w:type="default" r:id="rId20"/>
          <w:footerReference w:type="default" r:id="rId21"/>
          <w:pgSz w:w="11910" w:h="16850"/>
          <w:pgMar w:header="0" w:footer="0" w:top="520" w:bottom="280" w:left="840" w:right="820"/>
        </w:sectPr>
      </w:pPr>
    </w:p>
    <w:p>
      <w:pPr>
        <w:pStyle w:val="BodyText"/>
        <w:rPr>
          <w:sz w:val="20"/>
        </w:rPr>
      </w:pPr>
    </w:p>
    <w:p>
      <w:pPr>
        <w:pStyle w:val="BodyText"/>
        <w:rPr>
          <w:sz w:val="20"/>
        </w:rPr>
      </w:pPr>
    </w:p>
    <w:p>
      <w:pPr>
        <w:pStyle w:val="Heading3"/>
        <w:spacing w:before="259"/>
        <w:ind w:left="292"/>
      </w:pPr>
      <w:r>
        <w:rPr>
          <w:color w:val="00B1A9"/>
          <w:spacing w:val="-2"/>
        </w:rPr>
        <w:t>Introduction</w:t>
      </w:r>
    </w:p>
    <w:p>
      <w:pPr>
        <w:pStyle w:val="BodyText"/>
        <w:spacing w:line="288" w:lineRule="auto" w:before="331"/>
        <w:ind w:left="292"/>
      </w:pPr>
      <w:r>
        <w:rPr/>
        <w:t>On 19 January 2017, the Minister for Energy, Environment and Climate Change announced an independent</w:t>
      </w:r>
      <w:r>
        <w:rPr>
          <w:spacing w:val="-1"/>
        </w:rPr>
        <w:t> </w:t>
      </w:r>
      <w:r>
        <w:rPr/>
        <w:t>Review</w:t>
      </w:r>
      <w:r>
        <w:rPr>
          <w:spacing w:val="-4"/>
        </w:rPr>
        <w:t> </w:t>
      </w:r>
      <w:r>
        <w:rPr/>
        <w:t>of</w:t>
      </w:r>
      <w:r>
        <w:rPr>
          <w:spacing w:val="-1"/>
        </w:rPr>
        <w:t> </w:t>
      </w:r>
      <w:r>
        <w:rPr/>
        <w:t>Victoria’s</w:t>
      </w:r>
      <w:r>
        <w:rPr>
          <w:spacing w:val="-1"/>
        </w:rPr>
        <w:t> </w:t>
      </w:r>
      <w:r>
        <w:rPr/>
        <w:t>electricity</w:t>
      </w:r>
      <w:r>
        <w:rPr>
          <w:spacing w:val="-4"/>
        </w:rPr>
        <w:t> </w:t>
      </w:r>
      <w:r>
        <w:rPr/>
        <w:t>network</w:t>
      </w:r>
      <w:r>
        <w:rPr>
          <w:spacing w:val="-1"/>
        </w:rPr>
        <w:t> </w:t>
      </w:r>
      <w:r>
        <w:rPr/>
        <w:t>safety</w:t>
      </w:r>
      <w:r>
        <w:rPr>
          <w:spacing w:val="-6"/>
        </w:rPr>
        <w:t> </w:t>
      </w:r>
      <w:r>
        <w:rPr/>
        <w:t>framework.</w:t>
      </w:r>
      <w:r>
        <w:rPr>
          <w:spacing w:val="-5"/>
        </w:rPr>
        <w:t> </w:t>
      </w:r>
      <w:r>
        <w:rPr/>
        <w:t>On</w:t>
      </w:r>
      <w:r>
        <w:rPr>
          <w:spacing w:val="-2"/>
        </w:rPr>
        <w:t> </w:t>
      </w:r>
      <w:r>
        <w:rPr/>
        <w:t>5</w:t>
      </w:r>
      <w:r>
        <w:rPr>
          <w:spacing w:val="-4"/>
        </w:rPr>
        <w:t> </w:t>
      </w:r>
      <w:r>
        <w:rPr/>
        <w:t>May</w:t>
      </w:r>
      <w:r>
        <w:rPr>
          <w:spacing w:val="-4"/>
        </w:rPr>
        <w:t> </w:t>
      </w:r>
      <w:r>
        <w:rPr/>
        <w:t>2017,</w:t>
      </w:r>
      <w:r>
        <w:rPr>
          <w:spacing w:val="-3"/>
        </w:rPr>
        <w:t> </w:t>
      </w:r>
      <w:r>
        <w:rPr/>
        <w:t>the</w:t>
      </w:r>
      <w:r>
        <w:rPr>
          <w:spacing w:val="-2"/>
        </w:rPr>
        <w:t> </w:t>
      </w:r>
      <w:r>
        <w:rPr/>
        <w:t>Minister announced an expansion of the Review to include Victoria’s gas network safety framework.</w:t>
      </w:r>
    </w:p>
    <w:p>
      <w:pPr>
        <w:pStyle w:val="BodyText"/>
        <w:spacing w:before="9"/>
        <w:rPr>
          <w:sz w:val="20"/>
        </w:rPr>
      </w:pPr>
    </w:p>
    <w:p>
      <w:pPr>
        <w:pStyle w:val="BodyText"/>
        <w:spacing w:line="288" w:lineRule="auto"/>
        <w:ind w:left="292" w:right="374"/>
      </w:pPr>
      <w:r>
        <w:rPr/>
        <w:t>The Victorian Government appointed an independent Chair for the Review, Dr Paul Grimes supported by a Secretariat administered by the Department of Environment, Land, Water and Planning (DELWP). The Review published an Interim Report on 31 October 2017. This Final Report was</w:t>
      </w:r>
      <w:r>
        <w:rPr>
          <w:spacing w:val="-3"/>
        </w:rPr>
        <w:t> </w:t>
      </w:r>
      <w:r>
        <w:rPr/>
        <w:t>provided</w:t>
      </w:r>
      <w:r>
        <w:rPr>
          <w:spacing w:val="-3"/>
        </w:rPr>
        <w:t> </w:t>
      </w:r>
      <w:r>
        <w:rPr/>
        <w:t>to</w:t>
      </w:r>
      <w:r>
        <w:rPr>
          <w:spacing w:val="-5"/>
        </w:rPr>
        <w:t> </w:t>
      </w:r>
      <w:r>
        <w:rPr/>
        <w:t>the</w:t>
      </w:r>
      <w:r>
        <w:rPr>
          <w:spacing w:val="-3"/>
        </w:rPr>
        <w:t> </w:t>
      </w:r>
      <w:r>
        <w:rPr/>
        <w:t>Minister</w:t>
      </w:r>
      <w:r>
        <w:rPr>
          <w:spacing w:val="-4"/>
        </w:rPr>
        <w:t> </w:t>
      </w:r>
      <w:r>
        <w:rPr/>
        <w:t>for</w:t>
      </w:r>
      <w:r>
        <w:rPr>
          <w:spacing w:val="-4"/>
        </w:rPr>
        <w:t> </w:t>
      </w:r>
      <w:r>
        <w:rPr/>
        <w:t>Energy,</w:t>
      </w:r>
      <w:r>
        <w:rPr>
          <w:spacing w:val="-1"/>
        </w:rPr>
        <w:t> </w:t>
      </w:r>
      <w:r>
        <w:rPr/>
        <w:t>Environment</w:t>
      </w:r>
      <w:r>
        <w:rPr>
          <w:spacing w:val="-1"/>
        </w:rPr>
        <w:t> </w:t>
      </w:r>
      <w:r>
        <w:rPr/>
        <w:t>and</w:t>
      </w:r>
      <w:r>
        <w:rPr>
          <w:spacing w:val="-5"/>
        </w:rPr>
        <w:t> </w:t>
      </w:r>
      <w:r>
        <w:rPr/>
        <w:t>Climate</w:t>
      </w:r>
      <w:r>
        <w:rPr>
          <w:spacing w:val="-4"/>
        </w:rPr>
        <w:t> </w:t>
      </w:r>
      <w:r>
        <w:rPr/>
        <w:t>Change</w:t>
      </w:r>
      <w:r>
        <w:rPr>
          <w:spacing w:val="-2"/>
        </w:rPr>
        <w:t> </w:t>
      </w:r>
      <w:r>
        <w:rPr/>
        <w:t>in</w:t>
      </w:r>
      <w:r>
        <w:rPr>
          <w:spacing w:val="-5"/>
        </w:rPr>
        <w:t> </w:t>
      </w:r>
      <w:r>
        <w:rPr/>
        <w:t>December </w:t>
      </w:r>
      <w:r>
        <w:rPr>
          <w:spacing w:val="-2"/>
        </w:rPr>
        <w:t>2017.</w:t>
      </w:r>
    </w:p>
    <w:p>
      <w:pPr>
        <w:pStyle w:val="BodyText"/>
        <w:spacing w:before="5"/>
        <w:rPr>
          <w:sz w:val="31"/>
        </w:rPr>
      </w:pPr>
    </w:p>
    <w:p>
      <w:pPr>
        <w:pStyle w:val="Heading6"/>
        <w:spacing w:before="1"/>
        <w:ind w:left="292"/>
      </w:pPr>
      <w:r>
        <w:rPr/>
        <w:t>Scope</w:t>
      </w:r>
      <w:r>
        <w:rPr>
          <w:spacing w:val="-2"/>
        </w:rPr>
        <w:t> </w:t>
      </w:r>
      <w:r>
        <w:rPr/>
        <w:t>of</w:t>
      </w:r>
      <w:r>
        <w:rPr>
          <w:spacing w:val="-2"/>
        </w:rPr>
        <w:t> </w:t>
      </w:r>
      <w:r>
        <w:rPr/>
        <w:t>the</w:t>
      </w:r>
      <w:r>
        <w:rPr>
          <w:spacing w:val="-1"/>
        </w:rPr>
        <w:t> </w:t>
      </w:r>
      <w:r>
        <w:rPr>
          <w:spacing w:val="-2"/>
        </w:rPr>
        <w:t>Review</w:t>
      </w:r>
    </w:p>
    <w:p>
      <w:pPr>
        <w:pStyle w:val="BodyText"/>
        <w:spacing w:before="7"/>
        <w:rPr>
          <w:b/>
          <w:sz w:val="25"/>
        </w:rPr>
      </w:pPr>
    </w:p>
    <w:p>
      <w:pPr>
        <w:pStyle w:val="BodyText"/>
        <w:spacing w:line="288" w:lineRule="auto"/>
        <w:ind w:left="292" w:right="311"/>
      </w:pPr>
      <w:r>
        <w:rPr/>
        <w:t>The Review has considered the design and adequacy of the safety regulatory obligations, incentives</w:t>
      </w:r>
      <w:r>
        <w:rPr>
          <w:spacing w:val="-2"/>
        </w:rPr>
        <w:t> </w:t>
      </w:r>
      <w:r>
        <w:rPr/>
        <w:t>and</w:t>
      </w:r>
      <w:r>
        <w:rPr>
          <w:spacing w:val="-2"/>
        </w:rPr>
        <w:t> </w:t>
      </w:r>
      <w:r>
        <w:rPr/>
        <w:t>other</w:t>
      </w:r>
      <w:r>
        <w:rPr>
          <w:spacing w:val="-1"/>
        </w:rPr>
        <w:t> </w:t>
      </w:r>
      <w:r>
        <w:rPr/>
        <w:t>arrangements</w:t>
      </w:r>
      <w:r>
        <w:rPr>
          <w:spacing w:val="-6"/>
        </w:rPr>
        <w:t> </w:t>
      </w:r>
      <w:r>
        <w:rPr/>
        <w:t>governing</w:t>
      </w:r>
      <w:r>
        <w:rPr>
          <w:spacing w:val="-2"/>
        </w:rPr>
        <w:t> </w:t>
      </w:r>
      <w:r>
        <w:rPr/>
        <w:t>the</w:t>
      </w:r>
      <w:r>
        <w:rPr>
          <w:spacing w:val="-7"/>
        </w:rPr>
        <w:t> </w:t>
      </w:r>
      <w:r>
        <w:rPr/>
        <w:t>safety</w:t>
      </w:r>
      <w:r>
        <w:rPr>
          <w:spacing w:val="-3"/>
        </w:rPr>
        <w:t> </w:t>
      </w:r>
      <w:r>
        <w:rPr/>
        <w:t>of Victoria’s</w:t>
      </w:r>
      <w:r>
        <w:rPr>
          <w:spacing w:val="-1"/>
        </w:rPr>
        <w:t> </w:t>
      </w:r>
      <w:r>
        <w:rPr/>
        <w:t>electricity</w:t>
      </w:r>
      <w:r>
        <w:rPr>
          <w:spacing w:val="-4"/>
        </w:rPr>
        <w:t> </w:t>
      </w:r>
      <w:r>
        <w:rPr/>
        <w:t>and</w:t>
      </w:r>
      <w:r>
        <w:rPr>
          <w:spacing w:val="-4"/>
        </w:rPr>
        <w:t> </w:t>
      </w:r>
      <w:r>
        <w:rPr/>
        <w:t>gas</w:t>
      </w:r>
      <w:r>
        <w:rPr>
          <w:spacing w:val="-2"/>
        </w:rPr>
        <w:t> </w:t>
      </w:r>
      <w:r>
        <w:rPr/>
        <w:t>networks.</w:t>
      </w:r>
    </w:p>
    <w:p>
      <w:pPr>
        <w:pStyle w:val="BodyText"/>
        <w:spacing w:before="10"/>
        <w:rPr>
          <w:sz w:val="20"/>
        </w:rPr>
      </w:pPr>
    </w:p>
    <w:p>
      <w:pPr>
        <w:pStyle w:val="BodyText"/>
        <w:ind w:left="292"/>
      </w:pPr>
      <w:r>
        <w:rPr/>
        <w:t>The</w:t>
      </w:r>
      <w:r>
        <w:rPr>
          <w:spacing w:val="-11"/>
        </w:rPr>
        <w:t> </w:t>
      </w:r>
      <w:r>
        <w:rPr/>
        <w:t>Terms</w:t>
      </w:r>
      <w:r>
        <w:rPr>
          <w:spacing w:val="-3"/>
        </w:rPr>
        <w:t> </w:t>
      </w:r>
      <w:r>
        <w:rPr/>
        <w:t>of</w:t>
      </w:r>
      <w:r>
        <w:rPr>
          <w:spacing w:val="-2"/>
        </w:rPr>
        <w:t> </w:t>
      </w:r>
      <w:r>
        <w:rPr/>
        <w:t>Reference</w:t>
      </w:r>
      <w:r>
        <w:rPr>
          <w:spacing w:val="-8"/>
        </w:rPr>
        <w:t> </w:t>
      </w:r>
      <w:r>
        <w:rPr/>
        <w:t>for</w:t>
      </w:r>
      <w:r>
        <w:rPr>
          <w:spacing w:val="-5"/>
        </w:rPr>
        <w:t> </w:t>
      </w:r>
      <w:r>
        <w:rPr/>
        <w:t>the</w:t>
      </w:r>
      <w:r>
        <w:rPr>
          <w:spacing w:val="-5"/>
        </w:rPr>
        <w:t> </w:t>
      </w:r>
      <w:r>
        <w:rPr/>
        <w:t>Review</w:t>
      </w:r>
      <w:r>
        <w:rPr>
          <w:spacing w:val="-7"/>
        </w:rPr>
        <w:t> </w:t>
      </w:r>
      <w:r>
        <w:rPr/>
        <w:t>are</w:t>
      </w:r>
      <w:r>
        <w:rPr>
          <w:spacing w:val="-2"/>
        </w:rPr>
        <w:t> </w:t>
      </w:r>
      <w:r>
        <w:rPr/>
        <w:t>outlined</w:t>
      </w:r>
      <w:r>
        <w:rPr>
          <w:spacing w:val="-4"/>
        </w:rPr>
        <w:t> </w:t>
      </w:r>
      <w:r>
        <w:rPr/>
        <w:t>in</w:t>
      </w:r>
      <w:r>
        <w:rPr>
          <w:spacing w:val="-4"/>
        </w:rPr>
        <w:t> </w:t>
      </w:r>
      <w:r>
        <w:rPr/>
        <w:t>Appendix</w:t>
      </w:r>
      <w:r>
        <w:rPr>
          <w:spacing w:val="-5"/>
        </w:rPr>
        <w:t> A.</w:t>
      </w:r>
    </w:p>
    <w:p>
      <w:pPr>
        <w:pStyle w:val="BodyText"/>
        <w:spacing w:before="3"/>
        <w:rPr>
          <w:sz w:val="27"/>
        </w:rPr>
      </w:pPr>
    </w:p>
    <w:p>
      <w:pPr>
        <w:pStyle w:val="BodyText"/>
        <w:spacing w:line="288" w:lineRule="auto"/>
        <w:ind w:left="292" w:right="311"/>
      </w:pPr>
      <w:r>
        <w:rPr/>
        <w:t>The</w:t>
      </w:r>
      <w:r>
        <w:rPr>
          <w:spacing w:val="-3"/>
        </w:rPr>
        <w:t> </w:t>
      </w:r>
      <w:r>
        <w:rPr/>
        <w:t>scope</w:t>
      </w:r>
      <w:r>
        <w:rPr>
          <w:spacing w:val="-1"/>
        </w:rPr>
        <w:t> </w:t>
      </w:r>
      <w:r>
        <w:rPr/>
        <w:t>of</w:t>
      </w:r>
      <w:r>
        <w:rPr>
          <w:spacing w:val="-2"/>
        </w:rPr>
        <w:t> </w:t>
      </w:r>
      <w:r>
        <w:rPr/>
        <w:t>the</w:t>
      </w:r>
      <w:r>
        <w:rPr>
          <w:spacing w:val="-3"/>
        </w:rPr>
        <w:t> </w:t>
      </w:r>
      <w:r>
        <w:rPr/>
        <w:t>Review</w:t>
      </w:r>
      <w:r>
        <w:rPr>
          <w:spacing w:val="-1"/>
        </w:rPr>
        <w:t> </w:t>
      </w:r>
      <w:r>
        <w:rPr/>
        <w:t>is limited</w:t>
      </w:r>
      <w:r>
        <w:rPr>
          <w:spacing w:val="-3"/>
        </w:rPr>
        <w:t> </w:t>
      </w:r>
      <w:r>
        <w:rPr/>
        <w:t>to</w:t>
      </w:r>
      <w:r>
        <w:rPr>
          <w:spacing w:val="-3"/>
        </w:rPr>
        <w:t> </w:t>
      </w:r>
      <w:r>
        <w:rPr/>
        <w:t>the</w:t>
      </w:r>
      <w:r>
        <w:rPr>
          <w:spacing w:val="-3"/>
        </w:rPr>
        <w:t> </w:t>
      </w:r>
      <w:r>
        <w:rPr/>
        <w:t>electricity</w:t>
      </w:r>
      <w:r>
        <w:rPr>
          <w:spacing w:val="-3"/>
        </w:rPr>
        <w:t> </w:t>
      </w:r>
      <w:r>
        <w:rPr/>
        <w:t>and</w:t>
      </w:r>
      <w:r>
        <w:rPr>
          <w:spacing w:val="-1"/>
        </w:rPr>
        <w:t> </w:t>
      </w:r>
      <w:r>
        <w:rPr/>
        <w:t>gas</w:t>
      </w:r>
      <w:r>
        <w:rPr>
          <w:spacing w:val="-5"/>
        </w:rPr>
        <w:t> </w:t>
      </w:r>
      <w:r>
        <w:rPr/>
        <w:t>transmission</w:t>
      </w:r>
      <w:r>
        <w:rPr>
          <w:spacing w:val="-1"/>
        </w:rPr>
        <w:t> </w:t>
      </w:r>
      <w:r>
        <w:rPr/>
        <w:t>and</w:t>
      </w:r>
      <w:r>
        <w:rPr>
          <w:spacing w:val="-1"/>
        </w:rPr>
        <w:t> </w:t>
      </w:r>
      <w:r>
        <w:rPr/>
        <w:t>distribution</w:t>
      </w:r>
      <w:r>
        <w:rPr>
          <w:spacing w:val="-1"/>
        </w:rPr>
        <w:t> </w:t>
      </w:r>
      <w:r>
        <w:rPr/>
        <w:t>networks. It includes:</w:t>
      </w:r>
    </w:p>
    <w:p>
      <w:pPr>
        <w:pStyle w:val="ListParagraph"/>
        <w:numPr>
          <w:ilvl w:val="0"/>
          <w:numId w:val="18"/>
        </w:numPr>
        <w:tabs>
          <w:tab w:pos="720" w:val="left" w:leader="none"/>
        </w:tabs>
        <w:spacing w:line="288" w:lineRule="auto" w:before="74" w:after="0"/>
        <w:ind w:left="720" w:right="679" w:hanging="428"/>
        <w:jc w:val="left"/>
        <w:rPr>
          <w:sz w:val="22"/>
        </w:rPr>
      </w:pPr>
      <w:r>
        <w:rPr>
          <w:sz w:val="22"/>
        </w:rPr>
        <w:t>the</w:t>
      </w:r>
      <w:r>
        <w:rPr>
          <w:spacing w:val="-4"/>
          <w:sz w:val="22"/>
        </w:rPr>
        <w:t> </w:t>
      </w:r>
      <w:r>
        <w:rPr>
          <w:sz w:val="22"/>
        </w:rPr>
        <w:t>electricity</w:t>
      </w:r>
      <w:r>
        <w:rPr>
          <w:spacing w:val="-4"/>
          <w:sz w:val="22"/>
        </w:rPr>
        <w:t> </w:t>
      </w:r>
      <w:r>
        <w:rPr>
          <w:sz w:val="22"/>
        </w:rPr>
        <w:t>transmission</w:t>
      </w:r>
      <w:r>
        <w:rPr>
          <w:spacing w:val="-4"/>
          <w:sz w:val="22"/>
        </w:rPr>
        <w:t> </w:t>
      </w:r>
      <w:r>
        <w:rPr>
          <w:sz w:val="22"/>
        </w:rPr>
        <w:t>and</w:t>
      </w:r>
      <w:r>
        <w:rPr>
          <w:spacing w:val="-4"/>
          <w:sz w:val="22"/>
        </w:rPr>
        <w:t> </w:t>
      </w:r>
      <w:r>
        <w:rPr>
          <w:sz w:val="22"/>
        </w:rPr>
        <w:t>distribution</w:t>
      </w:r>
      <w:r>
        <w:rPr>
          <w:spacing w:val="-3"/>
          <w:sz w:val="22"/>
        </w:rPr>
        <w:t> </w:t>
      </w:r>
      <w:r>
        <w:rPr>
          <w:sz w:val="22"/>
        </w:rPr>
        <w:t>network</w:t>
      </w:r>
      <w:r>
        <w:rPr>
          <w:spacing w:val="-1"/>
          <w:sz w:val="22"/>
        </w:rPr>
        <w:t> </w:t>
      </w:r>
      <w:r>
        <w:rPr>
          <w:sz w:val="22"/>
        </w:rPr>
        <w:t>infrastructure</w:t>
      </w:r>
      <w:r>
        <w:rPr>
          <w:spacing w:val="-4"/>
          <w:sz w:val="22"/>
        </w:rPr>
        <w:t> </w:t>
      </w:r>
      <w:r>
        <w:rPr>
          <w:sz w:val="22"/>
        </w:rPr>
        <w:t>(the</w:t>
      </w:r>
      <w:r>
        <w:rPr>
          <w:spacing w:val="-4"/>
          <w:sz w:val="22"/>
        </w:rPr>
        <w:t> </w:t>
      </w:r>
      <w:r>
        <w:rPr>
          <w:sz w:val="22"/>
        </w:rPr>
        <w:t>poles</w:t>
      </w:r>
      <w:r>
        <w:rPr>
          <w:spacing w:val="-3"/>
          <w:sz w:val="22"/>
        </w:rPr>
        <w:t> </w:t>
      </w:r>
      <w:r>
        <w:rPr>
          <w:sz w:val="22"/>
        </w:rPr>
        <w:t>and</w:t>
      </w:r>
      <w:r>
        <w:rPr>
          <w:spacing w:val="-4"/>
          <w:sz w:val="22"/>
        </w:rPr>
        <w:t> </w:t>
      </w:r>
      <w:r>
        <w:rPr>
          <w:sz w:val="22"/>
        </w:rPr>
        <w:t>wires)</w:t>
      </w:r>
      <w:r>
        <w:rPr>
          <w:spacing w:val="-4"/>
          <w:sz w:val="22"/>
        </w:rPr>
        <w:t> </w:t>
      </w:r>
      <w:r>
        <w:rPr>
          <w:sz w:val="22"/>
        </w:rPr>
        <w:t>that transports electricity</w:t>
      </w:r>
      <w:r>
        <w:rPr>
          <w:spacing w:val="-1"/>
          <w:sz w:val="22"/>
        </w:rPr>
        <w:t> </w:t>
      </w:r>
      <w:r>
        <w:rPr>
          <w:sz w:val="22"/>
        </w:rPr>
        <w:t>from a generation facility to consumers, and the gas transmission and distribution network infrastructure (the gas pipelines) that transports natural gas from the production facility to consumers.</w:t>
      </w:r>
    </w:p>
    <w:p>
      <w:pPr>
        <w:pStyle w:val="ListParagraph"/>
        <w:numPr>
          <w:ilvl w:val="0"/>
          <w:numId w:val="18"/>
        </w:numPr>
        <w:tabs>
          <w:tab w:pos="720" w:val="left" w:leader="none"/>
        </w:tabs>
        <w:spacing w:line="285" w:lineRule="auto" w:before="78" w:after="0"/>
        <w:ind w:left="720" w:right="1071" w:hanging="428"/>
        <w:jc w:val="left"/>
        <w:rPr>
          <w:sz w:val="22"/>
        </w:rPr>
      </w:pPr>
      <w:r>
        <w:rPr>
          <w:sz w:val="22"/>
        </w:rPr>
        <w:t>the</w:t>
      </w:r>
      <w:r>
        <w:rPr>
          <w:spacing w:val="-2"/>
          <w:sz w:val="22"/>
        </w:rPr>
        <w:t> </w:t>
      </w:r>
      <w:r>
        <w:rPr>
          <w:sz w:val="22"/>
        </w:rPr>
        <w:t>network</w:t>
      </w:r>
      <w:r>
        <w:rPr>
          <w:spacing w:val="-1"/>
          <w:sz w:val="22"/>
        </w:rPr>
        <w:t> </w:t>
      </w:r>
      <w:r>
        <w:rPr>
          <w:sz w:val="22"/>
        </w:rPr>
        <w:t>up</w:t>
      </w:r>
      <w:r>
        <w:rPr>
          <w:spacing w:val="-2"/>
          <w:sz w:val="22"/>
        </w:rPr>
        <w:t> </w:t>
      </w:r>
      <w:r>
        <w:rPr>
          <w:sz w:val="22"/>
        </w:rPr>
        <w:t>until</w:t>
      </w:r>
      <w:r>
        <w:rPr>
          <w:spacing w:val="-2"/>
          <w:sz w:val="22"/>
        </w:rPr>
        <w:t> </w:t>
      </w:r>
      <w:r>
        <w:rPr>
          <w:sz w:val="22"/>
        </w:rPr>
        <w:t>the</w:t>
      </w:r>
      <w:r>
        <w:rPr>
          <w:spacing w:val="-7"/>
          <w:sz w:val="22"/>
        </w:rPr>
        <w:t> </w:t>
      </w:r>
      <w:r>
        <w:rPr>
          <w:sz w:val="22"/>
        </w:rPr>
        <w:t>point</w:t>
      </w:r>
      <w:r>
        <w:rPr>
          <w:spacing w:val="-1"/>
          <w:sz w:val="22"/>
        </w:rPr>
        <w:t> </w:t>
      </w:r>
      <w:r>
        <w:rPr>
          <w:sz w:val="22"/>
        </w:rPr>
        <w:t>of connection</w:t>
      </w:r>
      <w:r>
        <w:rPr>
          <w:spacing w:val="-2"/>
          <w:sz w:val="22"/>
        </w:rPr>
        <w:t> </w:t>
      </w:r>
      <w:r>
        <w:rPr>
          <w:sz w:val="22"/>
        </w:rPr>
        <w:t>to</w:t>
      </w:r>
      <w:r>
        <w:rPr>
          <w:spacing w:val="-4"/>
          <w:sz w:val="22"/>
        </w:rPr>
        <w:t> </w:t>
      </w:r>
      <w:r>
        <w:rPr>
          <w:sz w:val="22"/>
        </w:rPr>
        <w:t>a</w:t>
      </w:r>
      <w:r>
        <w:rPr>
          <w:spacing w:val="-6"/>
          <w:sz w:val="22"/>
        </w:rPr>
        <w:t> </w:t>
      </w:r>
      <w:r>
        <w:rPr>
          <w:sz w:val="22"/>
        </w:rPr>
        <w:t>home</w:t>
      </w:r>
      <w:r>
        <w:rPr>
          <w:spacing w:val="-2"/>
          <w:sz w:val="22"/>
        </w:rPr>
        <w:t> </w:t>
      </w:r>
      <w:r>
        <w:rPr>
          <w:sz w:val="22"/>
        </w:rPr>
        <w:t>or</w:t>
      </w:r>
      <w:r>
        <w:rPr>
          <w:spacing w:val="-1"/>
          <w:sz w:val="22"/>
        </w:rPr>
        <w:t> </w:t>
      </w:r>
      <w:r>
        <w:rPr>
          <w:sz w:val="22"/>
        </w:rPr>
        <w:t>business. It does</w:t>
      </w:r>
      <w:r>
        <w:rPr>
          <w:spacing w:val="-1"/>
          <w:sz w:val="22"/>
        </w:rPr>
        <w:t> </w:t>
      </w:r>
      <w:r>
        <w:rPr>
          <w:sz w:val="22"/>
        </w:rPr>
        <w:t>not</w:t>
      </w:r>
      <w:r>
        <w:rPr>
          <w:spacing w:val="-3"/>
          <w:sz w:val="22"/>
        </w:rPr>
        <w:t> </w:t>
      </w:r>
      <w:r>
        <w:rPr>
          <w:sz w:val="22"/>
        </w:rPr>
        <w:t>consider electricity or gas installations beyond the energy customer’s meter.</w:t>
      </w:r>
    </w:p>
    <w:p>
      <w:pPr>
        <w:pStyle w:val="BodyText"/>
        <w:spacing w:before="8"/>
        <w:rPr>
          <w:sz w:val="31"/>
        </w:rPr>
      </w:pPr>
    </w:p>
    <w:p>
      <w:pPr>
        <w:pStyle w:val="BodyText"/>
        <w:spacing w:line="288" w:lineRule="auto"/>
        <w:ind w:left="292"/>
      </w:pPr>
      <w:r>
        <w:rPr/>
        <w:t>The</w:t>
      </w:r>
      <w:r>
        <w:rPr>
          <w:spacing w:val="-3"/>
        </w:rPr>
        <w:t> </w:t>
      </w:r>
      <w:r>
        <w:rPr/>
        <w:t>scope</w:t>
      </w:r>
      <w:r>
        <w:rPr>
          <w:spacing w:val="-1"/>
        </w:rPr>
        <w:t> </w:t>
      </w:r>
      <w:r>
        <w:rPr/>
        <w:t>also</w:t>
      </w:r>
      <w:r>
        <w:rPr>
          <w:spacing w:val="-3"/>
        </w:rPr>
        <w:t> </w:t>
      </w:r>
      <w:r>
        <w:rPr/>
        <w:t>does</w:t>
      </w:r>
      <w:r>
        <w:rPr>
          <w:spacing w:val="-3"/>
        </w:rPr>
        <w:t> </w:t>
      </w:r>
      <w:r>
        <w:rPr/>
        <w:t>not</w:t>
      </w:r>
      <w:r>
        <w:rPr>
          <w:spacing w:val="-2"/>
        </w:rPr>
        <w:t> </w:t>
      </w:r>
      <w:r>
        <w:rPr/>
        <w:t>include</w:t>
      </w:r>
      <w:r>
        <w:rPr>
          <w:spacing w:val="-1"/>
        </w:rPr>
        <w:t> </w:t>
      </w:r>
      <w:r>
        <w:rPr/>
        <w:t>the</w:t>
      </w:r>
      <w:r>
        <w:rPr>
          <w:spacing w:val="-3"/>
        </w:rPr>
        <w:t> </w:t>
      </w:r>
      <w:r>
        <w:rPr/>
        <w:t>electricity</w:t>
      </w:r>
      <w:r>
        <w:rPr>
          <w:spacing w:val="-3"/>
        </w:rPr>
        <w:t> </w:t>
      </w:r>
      <w:r>
        <w:rPr/>
        <w:t>or</w:t>
      </w:r>
      <w:r>
        <w:rPr>
          <w:spacing w:val="-2"/>
        </w:rPr>
        <w:t> </w:t>
      </w:r>
      <w:r>
        <w:rPr/>
        <w:t>gas</w:t>
      </w:r>
      <w:r>
        <w:rPr>
          <w:spacing w:val="-5"/>
        </w:rPr>
        <w:t> </w:t>
      </w:r>
      <w:r>
        <w:rPr/>
        <w:t>generation</w:t>
      </w:r>
      <w:r>
        <w:rPr>
          <w:spacing w:val="-1"/>
        </w:rPr>
        <w:t> </w:t>
      </w:r>
      <w:r>
        <w:rPr/>
        <w:t>or</w:t>
      </w:r>
      <w:r>
        <w:rPr>
          <w:spacing w:val="-2"/>
        </w:rPr>
        <w:t> </w:t>
      </w:r>
      <w:r>
        <w:rPr/>
        <w:t>production</w:t>
      </w:r>
      <w:r>
        <w:rPr>
          <w:spacing w:val="-3"/>
        </w:rPr>
        <w:t> </w:t>
      </w:r>
      <w:r>
        <w:rPr/>
        <w:t>facilities,</w:t>
      </w:r>
      <w:r>
        <w:rPr>
          <w:spacing w:val="-2"/>
        </w:rPr>
        <w:t> </w:t>
      </w:r>
      <w:r>
        <w:rPr/>
        <w:t>off-shore pipelines or pipelines that carry products other than natural gas.</w:t>
      </w:r>
    </w:p>
    <w:p>
      <w:pPr>
        <w:pStyle w:val="BodyText"/>
        <w:spacing w:before="10"/>
        <w:rPr>
          <w:sz w:val="20"/>
        </w:rPr>
      </w:pPr>
    </w:p>
    <w:p>
      <w:pPr>
        <w:pStyle w:val="BodyText"/>
        <w:spacing w:line="288" w:lineRule="auto"/>
        <w:ind w:left="292" w:right="311"/>
      </w:pPr>
      <w:r>
        <w:rPr/>
        <w:t>A</w:t>
      </w:r>
      <w:r>
        <w:rPr>
          <w:spacing w:val="-2"/>
        </w:rPr>
        <w:t> </w:t>
      </w:r>
      <w:r>
        <w:rPr/>
        <w:t>detailed</w:t>
      </w:r>
      <w:r>
        <w:rPr>
          <w:spacing w:val="-2"/>
        </w:rPr>
        <w:t> </w:t>
      </w:r>
      <w:r>
        <w:rPr/>
        <w:t>definition</w:t>
      </w:r>
      <w:r>
        <w:rPr>
          <w:spacing w:val="-2"/>
        </w:rPr>
        <w:t> </w:t>
      </w:r>
      <w:r>
        <w:rPr/>
        <w:t>of</w:t>
      </w:r>
      <w:r>
        <w:rPr>
          <w:spacing w:val="-1"/>
        </w:rPr>
        <w:t> </w:t>
      </w:r>
      <w:r>
        <w:rPr/>
        <w:t>the</w:t>
      </w:r>
      <w:r>
        <w:rPr>
          <w:spacing w:val="-2"/>
        </w:rPr>
        <w:t> </w:t>
      </w:r>
      <w:r>
        <w:rPr/>
        <w:t>electricity</w:t>
      </w:r>
      <w:r>
        <w:rPr>
          <w:spacing w:val="-4"/>
        </w:rPr>
        <w:t> </w:t>
      </w:r>
      <w:r>
        <w:rPr/>
        <w:t>and</w:t>
      </w:r>
      <w:r>
        <w:rPr>
          <w:spacing w:val="-6"/>
        </w:rPr>
        <w:t> </w:t>
      </w:r>
      <w:r>
        <w:rPr/>
        <w:t>gas</w:t>
      </w:r>
      <w:r>
        <w:rPr>
          <w:spacing w:val="-4"/>
        </w:rPr>
        <w:t> </w:t>
      </w:r>
      <w:r>
        <w:rPr/>
        <w:t>transmission</w:t>
      </w:r>
      <w:r>
        <w:rPr>
          <w:spacing w:val="-2"/>
        </w:rPr>
        <w:t> </w:t>
      </w:r>
      <w:r>
        <w:rPr/>
        <w:t>and</w:t>
      </w:r>
      <w:r>
        <w:rPr>
          <w:spacing w:val="-4"/>
        </w:rPr>
        <w:t> </w:t>
      </w:r>
      <w:r>
        <w:rPr/>
        <w:t>distribution</w:t>
      </w:r>
      <w:r>
        <w:rPr>
          <w:spacing w:val="-2"/>
        </w:rPr>
        <w:t> </w:t>
      </w:r>
      <w:r>
        <w:rPr/>
        <w:t>networks</w:t>
      </w:r>
      <w:r>
        <w:rPr>
          <w:spacing w:val="-1"/>
        </w:rPr>
        <w:t> </w:t>
      </w:r>
      <w:r>
        <w:rPr/>
        <w:t>is</w:t>
      </w:r>
      <w:r>
        <w:rPr>
          <w:spacing w:val="-3"/>
        </w:rPr>
        <w:t> </w:t>
      </w:r>
      <w:r>
        <w:rPr/>
        <w:t>provided</w:t>
      </w:r>
      <w:r>
        <w:rPr>
          <w:spacing w:val="-2"/>
        </w:rPr>
        <w:t> </w:t>
      </w:r>
      <w:r>
        <w:rPr/>
        <w:t>in Part B of this Report.</w:t>
      </w:r>
    </w:p>
    <w:p>
      <w:pPr>
        <w:pStyle w:val="BodyText"/>
        <w:rPr>
          <w:sz w:val="24"/>
        </w:rPr>
      </w:pPr>
    </w:p>
    <w:p>
      <w:pPr>
        <w:pStyle w:val="Heading6"/>
        <w:spacing w:before="145"/>
        <w:ind w:left="292"/>
      </w:pPr>
      <w:r>
        <w:rPr/>
        <w:t>Conduct</w:t>
      </w:r>
      <w:r>
        <w:rPr>
          <w:spacing w:val="-3"/>
        </w:rPr>
        <w:t> </w:t>
      </w:r>
      <w:r>
        <w:rPr/>
        <w:t>of</w:t>
      </w:r>
      <w:r>
        <w:rPr>
          <w:spacing w:val="-3"/>
        </w:rPr>
        <w:t> </w:t>
      </w:r>
      <w:r>
        <w:rPr/>
        <w:t>the</w:t>
      </w:r>
      <w:r>
        <w:rPr>
          <w:spacing w:val="-1"/>
        </w:rPr>
        <w:t> </w:t>
      </w:r>
      <w:r>
        <w:rPr>
          <w:spacing w:val="-2"/>
        </w:rPr>
        <w:t>Review</w:t>
      </w:r>
    </w:p>
    <w:p>
      <w:pPr>
        <w:pStyle w:val="BodyText"/>
        <w:spacing w:before="175"/>
        <w:ind w:left="292"/>
      </w:pPr>
      <w:r>
        <w:rPr/>
        <w:t>The</w:t>
      </w:r>
      <w:r>
        <w:rPr>
          <w:spacing w:val="-6"/>
        </w:rPr>
        <w:t> </w:t>
      </w:r>
      <w:r>
        <w:rPr/>
        <w:t>Review</w:t>
      </w:r>
      <w:r>
        <w:rPr>
          <w:spacing w:val="-6"/>
        </w:rPr>
        <w:t> </w:t>
      </w:r>
      <w:r>
        <w:rPr/>
        <w:t>has</w:t>
      </w:r>
      <w:r>
        <w:rPr>
          <w:spacing w:val="-3"/>
        </w:rPr>
        <w:t> </w:t>
      </w:r>
      <w:r>
        <w:rPr/>
        <w:t>been</w:t>
      </w:r>
      <w:r>
        <w:rPr>
          <w:spacing w:val="-4"/>
        </w:rPr>
        <w:t> </w:t>
      </w:r>
      <w:r>
        <w:rPr/>
        <w:t>conducted</w:t>
      </w:r>
      <w:r>
        <w:rPr>
          <w:spacing w:val="-4"/>
        </w:rPr>
        <w:t> </w:t>
      </w:r>
      <w:r>
        <w:rPr/>
        <w:t>in</w:t>
      </w:r>
      <w:r>
        <w:rPr>
          <w:spacing w:val="-6"/>
        </w:rPr>
        <w:t> </w:t>
      </w:r>
      <w:r>
        <w:rPr/>
        <w:t>four</w:t>
      </w:r>
      <w:r>
        <w:rPr>
          <w:spacing w:val="-2"/>
        </w:rPr>
        <w:t> phases:</w:t>
      </w:r>
    </w:p>
    <w:p>
      <w:pPr>
        <w:pStyle w:val="BodyText"/>
        <w:spacing w:before="2"/>
        <w:rPr>
          <w:sz w:val="24"/>
        </w:rPr>
      </w:pPr>
    </w:p>
    <w:p>
      <w:pPr>
        <w:pStyle w:val="ListParagraph"/>
        <w:numPr>
          <w:ilvl w:val="0"/>
          <w:numId w:val="19"/>
        </w:numPr>
        <w:tabs>
          <w:tab w:pos="651" w:val="left" w:leader="none"/>
          <w:tab w:pos="653" w:val="left" w:leader="none"/>
        </w:tabs>
        <w:spacing w:line="288" w:lineRule="auto" w:before="0" w:after="0"/>
        <w:ind w:left="653" w:right="1102" w:hanging="361"/>
        <w:jc w:val="left"/>
        <w:rPr>
          <w:sz w:val="22"/>
        </w:rPr>
      </w:pPr>
      <w:r>
        <w:rPr>
          <w:sz w:val="22"/>
        </w:rPr>
        <w:t>Initial</w:t>
      </w:r>
      <w:r>
        <w:rPr>
          <w:spacing w:val="-4"/>
          <w:sz w:val="22"/>
        </w:rPr>
        <w:t> </w:t>
      </w:r>
      <w:r>
        <w:rPr>
          <w:sz w:val="22"/>
        </w:rPr>
        <w:t>scoping</w:t>
      </w:r>
      <w:r>
        <w:rPr>
          <w:spacing w:val="-1"/>
          <w:sz w:val="22"/>
        </w:rPr>
        <w:t> </w:t>
      </w:r>
      <w:r>
        <w:rPr>
          <w:sz w:val="22"/>
        </w:rPr>
        <w:t>and</w:t>
      </w:r>
      <w:r>
        <w:rPr>
          <w:spacing w:val="-5"/>
          <w:sz w:val="22"/>
        </w:rPr>
        <w:t> </w:t>
      </w:r>
      <w:r>
        <w:rPr>
          <w:sz w:val="22"/>
        </w:rPr>
        <w:t>preparation</w:t>
      </w:r>
      <w:r>
        <w:rPr>
          <w:spacing w:val="-3"/>
          <w:sz w:val="22"/>
        </w:rPr>
        <w:t> </w:t>
      </w:r>
      <w:r>
        <w:rPr>
          <w:sz w:val="22"/>
        </w:rPr>
        <w:t>of</w:t>
      </w:r>
      <w:r>
        <w:rPr>
          <w:spacing w:val="-1"/>
          <w:sz w:val="22"/>
        </w:rPr>
        <w:t> </w:t>
      </w:r>
      <w:r>
        <w:rPr>
          <w:sz w:val="22"/>
        </w:rPr>
        <w:t>an</w:t>
      </w:r>
      <w:r>
        <w:rPr>
          <w:spacing w:val="-5"/>
          <w:sz w:val="22"/>
        </w:rPr>
        <w:t> </w:t>
      </w:r>
      <w:r>
        <w:rPr>
          <w:sz w:val="22"/>
        </w:rPr>
        <w:t>Issues</w:t>
      </w:r>
      <w:r>
        <w:rPr>
          <w:spacing w:val="-2"/>
          <w:sz w:val="22"/>
        </w:rPr>
        <w:t> </w:t>
      </w:r>
      <w:r>
        <w:rPr>
          <w:sz w:val="22"/>
        </w:rPr>
        <w:t>Paper</w:t>
      </w:r>
      <w:r>
        <w:rPr>
          <w:spacing w:val="-4"/>
          <w:sz w:val="22"/>
        </w:rPr>
        <w:t> </w:t>
      </w:r>
      <w:r>
        <w:rPr>
          <w:sz w:val="22"/>
        </w:rPr>
        <w:t>on</w:t>
      </w:r>
      <w:r>
        <w:rPr>
          <w:spacing w:val="-5"/>
          <w:sz w:val="22"/>
        </w:rPr>
        <w:t> </w:t>
      </w:r>
      <w:r>
        <w:rPr>
          <w:sz w:val="22"/>
        </w:rPr>
        <w:t>the</w:t>
      </w:r>
      <w:r>
        <w:rPr>
          <w:spacing w:val="-3"/>
          <w:sz w:val="22"/>
        </w:rPr>
        <w:t> </w:t>
      </w:r>
      <w:r>
        <w:rPr>
          <w:sz w:val="22"/>
        </w:rPr>
        <w:t>Review</w:t>
      </w:r>
      <w:r>
        <w:rPr>
          <w:spacing w:val="-6"/>
          <w:sz w:val="22"/>
        </w:rPr>
        <w:t> </w:t>
      </w:r>
      <w:r>
        <w:rPr>
          <w:sz w:val="22"/>
        </w:rPr>
        <w:t>of Victoria’s Electricity Network Safety Framework released in April 2017.</w:t>
      </w:r>
    </w:p>
    <w:p>
      <w:pPr>
        <w:pStyle w:val="BodyText"/>
        <w:spacing w:before="10"/>
        <w:rPr>
          <w:sz w:val="20"/>
        </w:rPr>
      </w:pPr>
    </w:p>
    <w:p>
      <w:pPr>
        <w:pStyle w:val="ListParagraph"/>
        <w:numPr>
          <w:ilvl w:val="0"/>
          <w:numId w:val="19"/>
        </w:numPr>
        <w:tabs>
          <w:tab w:pos="651" w:val="left" w:leader="none"/>
          <w:tab w:pos="653" w:val="left" w:leader="none"/>
        </w:tabs>
        <w:spacing w:line="288" w:lineRule="auto" w:before="0" w:after="0"/>
        <w:ind w:left="653" w:right="691" w:hanging="361"/>
        <w:jc w:val="left"/>
        <w:rPr>
          <w:sz w:val="22"/>
        </w:rPr>
      </w:pPr>
      <w:r>
        <w:rPr>
          <w:sz w:val="22"/>
        </w:rPr>
        <w:t>Initial</w:t>
      </w:r>
      <w:r>
        <w:rPr>
          <w:spacing w:val="-4"/>
          <w:sz w:val="22"/>
        </w:rPr>
        <w:t> </w:t>
      </w:r>
      <w:r>
        <w:rPr>
          <w:sz w:val="22"/>
        </w:rPr>
        <w:t>scoping</w:t>
      </w:r>
      <w:r>
        <w:rPr>
          <w:spacing w:val="-1"/>
          <w:sz w:val="22"/>
        </w:rPr>
        <w:t> </w:t>
      </w:r>
      <w:r>
        <w:rPr>
          <w:sz w:val="22"/>
        </w:rPr>
        <w:t>and</w:t>
      </w:r>
      <w:r>
        <w:rPr>
          <w:spacing w:val="-5"/>
          <w:sz w:val="22"/>
        </w:rPr>
        <w:t> </w:t>
      </w:r>
      <w:r>
        <w:rPr>
          <w:sz w:val="22"/>
        </w:rPr>
        <w:t>preparation</w:t>
      </w:r>
      <w:r>
        <w:rPr>
          <w:spacing w:val="-3"/>
          <w:sz w:val="22"/>
        </w:rPr>
        <w:t> </w:t>
      </w:r>
      <w:r>
        <w:rPr>
          <w:sz w:val="22"/>
        </w:rPr>
        <w:t>of</w:t>
      </w:r>
      <w:r>
        <w:rPr>
          <w:spacing w:val="-1"/>
          <w:sz w:val="22"/>
        </w:rPr>
        <w:t> </w:t>
      </w:r>
      <w:r>
        <w:rPr>
          <w:sz w:val="22"/>
        </w:rPr>
        <w:t>a</w:t>
      </w:r>
      <w:r>
        <w:rPr>
          <w:spacing w:val="-5"/>
          <w:sz w:val="22"/>
        </w:rPr>
        <w:t> </w:t>
      </w:r>
      <w:r>
        <w:rPr>
          <w:sz w:val="22"/>
        </w:rPr>
        <w:t>Supplementary</w:t>
      </w:r>
      <w:r>
        <w:rPr>
          <w:spacing w:val="-5"/>
          <w:sz w:val="22"/>
        </w:rPr>
        <w:t> </w:t>
      </w:r>
      <w:r>
        <w:rPr>
          <w:sz w:val="22"/>
        </w:rPr>
        <w:t>Issues</w:t>
      </w:r>
      <w:r>
        <w:rPr>
          <w:spacing w:val="-2"/>
          <w:sz w:val="22"/>
        </w:rPr>
        <w:t> </w:t>
      </w:r>
      <w:r>
        <w:rPr>
          <w:sz w:val="22"/>
        </w:rPr>
        <w:t>Paper</w:t>
      </w:r>
      <w:r>
        <w:rPr>
          <w:spacing w:val="-2"/>
          <w:sz w:val="22"/>
        </w:rPr>
        <w:t> </w:t>
      </w:r>
      <w:r>
        <w:rPr>
          <w:sz w:val="22"/>
        </w:rPr>
        <w:t>on</w:t>
      </w:r>
      <w:r>
        <w:rPr>
          <w:spacing w:val="-5"/>
          <w:sz w:val="22"/>
        </w:rPr>
        <w:t> </w:t>
      </w:r>
      <w:r>
        <w:rPr>
          <w:sz w:val="22"/>
        </w:rPr>
        <w:t>the</w:t>
      </w:r>
      <w:r>
        <w:rPr>
          <w:spacing w:val="-5"/>
          <w:sz w:val="22"/>
        </w:rPr>
        <w:t> </w:t>
      </w:r>
      <w:r>
        <w:rPr>
          <w:sz w:val="22"/>
        </w:rPr>
        <w:t>Review</w:t>
      </w:r>
      <w:r>
        <w:rPr>
          <w:spacing w:val="-6"/>
          <w:sz w:val="22"/>
        </w:rPr>
        <w:t> </w:t>
      </w:r>
      <w:r>
        <w:rPr>
          <w:sz w:val="22"/>
        </w:rPr>
        <w:t>of Victoria’s Electricity and Gas Network Safety Framework released in May 2017.</w:t>
      </w:r>
    </w:p>
    <w:p>
      <w:pPr>
        <w:pStyle w:val="BodyText"/>
        <w:spacing w:before="10"/>
        <w:rPr>
          <w:sz w:val="20"/>
        </w:rPr>
      </w:pPr>
    </w:p>
    <w:p>
      <w:pPr>
        <w:pStyle w:val="ListParagraph"/>
        <w:numPr>
          <w:ilvl w:val="0"/>
          <w:numId w:val="19"/>
        </w:numPr>
        <w:tabs>
          <w:tab w:pos="651" w:val="left" w:leader="none"/>
        </w:tabs>
        <w:spacing w:line="240" w:lineRule="auto" w:before="0" w:after="0"/>
        <w:ind w:left="651" w:right="0" w:hanging="359"/>
        <w:jc w:val="left"/>
        <w:rPr>
          <w:sz w:val="22"/>
        </w:rPr>
      </w:pPr>
      <w:r>
        <w:rPr>
          <w:sz w:val="22"/>
        </w:rPr>
        <w:t>Release</w:t>
      </w:r>
      <w:r>
        <w:rPr>
          <w:spacing w:val="-6"/>
          <w:sz w:val="22"/>
        </w:rPr>
        <w:t> </w:t>
      </w:r>
      <w:r>
        <w:rPr>
          <w:sz w:val="22"/>
        </w:rPr>
        <w:t>of</w:t>
      </w:r>
      <w:r>
        <w:rPr>
          <w:spacing w:val="-1"/>
          <w:sz w:val="22"/>
        </w:rPr>
        <w:t> </w:t>
      </w:r>
      <w:r>
        <w:rPr>
          <w:sz w:val="22"/>
        </w:rPr>
        <w:t>an</w:t>
      </w:r>
      <w:r>
        <w:rPr>
          <w:spacing w:val="-7"/>
          <w:sz w:val="22"/>
        </w:rPr>
        <w:t> </w:t>
      </w:r>
      <w:r>
        <w:rPr>
          <w:sz w:val="22"/>
        </w:rPr>
        <w:t>Interim</w:t>
      </w:r>
      <w:r>
        <w:rPr>
          <w:spacing w:val="-5"/>
          <w:sz w:val="22"/>
        </w:rPr>
        <w:t> </w:t>
      </w:r>
      <w:r>
        <w:rPr>
          <w:sz w:val="22"/>
        </w:rPr>
        <w:t>Report</w:t>
      </w:r>
      <w:r>
        <w:rPr>
          <w:spacing w:val="-6"/>
          <w:sz w:val="22"/>
        </w:rPr>
        <w:t> </w:t>
      </w:r>
      <w:r>
        <w:rPr>
          <w:sz w:val="22"/>
        </w:rPr>
        <w:t>(October</w:t>
      </w:r>
      <w:r>
        <w:rPr>
          <w:spacing w:val="-3"/>
          <w:sz w:val="22"/>
        </w:rPr>
        <w:t> </w:t>
      </w:r>
      <w:r>
        <w:rPr>
          <w:spacing w:val="-2"/>
          <w:sz w:val="22"/>
        </w:rPr>
        <w:t>2017).</w:t>
      </w:r>
    </w:p>
    <w:p>
      <w:pPr>
        <w:pStyle w:val="BodyText"/>
        <w:spacing w:before="4"/>
        <w:rPr>
          <w:sz w:val="25"/>
        </w:rPr>
      </w:pPr>
    </w:p>
    <w:p>
      <w:pPr>
        <w:pStyle w:val="ListParagraph"/>
        <w:numPr>
          <w:ilvl w:val="0"/>
          <w:numId w:val="19"/>
        </w:numPr>
        <w:tabs>
          <w:tab w:pos="651" w:val="left" w:leader="none"/>
        </w:tabs>
        <w:spacing w:line="240" w:lineRule="auto" w:before="0" w:after="0"/>
        <w:ind w:left="651" w:right="0" w:hanging="359"/>
        <w:jc w:val="left"/>
        <w:rPr>
          <w:sz w:val="22"/>
        </w:rPr>
      </w:pPr>
      <w:r>
        <w:rPr>
          <w:sz w:val="22"/>
        </w:rPr>
        <w:t>Presentation</w:t>
      </w:r>
      <w:r>
        <w:rPr>
          <w:spacing w:val="-7"/>
          <w:sz w:val="22"/>
        </w:rPr>
        <w:t> </w:t>
      </w:r>
      <w:r>
        <w:rPr>
          <w:sz w:val="22"/>
        </w:rPr>
        <w:t>of</w:t>
      </w:r>
      <w:r>
        <w:rPr>
          <w:spacing w:val="-1"/>
          <w:sz w:val="22"/>
        </w:rPr>
        <w:t> </w:t>
      </w:r>
      <w:r>
        <w:rPr>
          <w:sz w:val="22"/>
        </w:rPr>
        <w:t>the</w:t>
      </w:r>
      <w:r>
        <w:rPr>
          <w:spacing w:val="-6"/>
          <w:sz w:val="22"/>
        </w:rPr>
        <w:t> </w:t>
      </w:r>
      <w:r>
        <w:rPr>
          <w:sz w:val="22"/>
        </w:rPr>
        <w:t>Final</w:t>
      </w:r>
      <w:r>
        <w:rPr>
          <w:spacing w:val="-7"/>
          <w:sz w:val="22"/>
        </w:rPr>
        <w:t> </w:t>
      </w:r>
      <w:r>
        <w:rPr>
          <w:sz w:val="22"/>
        </w:rPr>
        <w:t>Report</w:t>
      </w:r>
      <w:r>
        <w:rPr>
          <w:spacing w:val="-5"/>
          <w:sz w:val="22"/>
        </w:rPr>
        <w:t> </w:t>
      </w:r>
      <w:r>
        <w:rPr>
          <w:sz w:val="22"/>
        </w:rPr>
        <w:t>to</w:t>
      </w:r>
      <w:r>
        <w:rPr>
          <w:spacing w:val="-6"/>
          <w:sz w:val="22"/>
        </w:rPr>
        <w:t> </w:t>
      </w:r>
      <w:r>
        <w:rPr>
          <w:sz w:val="22"/>
        </w:rPr>
        <w:t>the</w:t>
      </w:r>
      <w:r>
        <w:rPr>
          <w:spacing w:val="-6"/>
          <w:sz w:val="22"/>
        </w:rPr>
        <w:t> </w:t>
      </w:r>
      <w:r>
        <w:rPr>
          <w:sz w:val="22"/>
        </w:rPr>
        <w:t>Minister</w:t>
      </w:r>
      <w:r>
        <w:rPr>
          <w:spacing w:val="-5"/>
          <w:sz w:val="22"/>
        </w:rPr>
        <w:t> </w:t>
      </w:r>
      <w:r>
        <w:rPr>
          <w:sz w:val="22"/>
        </w:rPr>
        <w:t>(December</w:t>
      </w:r>
      <w:r>
        <w:rPr>
          <w:spacing w:val="-5"/>
          <w:sz w:val="22"/>
        </w:rPr>
        <w:t> </w:t>
      </w:r>
      <w:r>
        <w:rPr>
          <w:spacing w:val="-2"/>
          <w:sz w:val="22"/>
        </w:rPr>
        <w:t>2017).</w:t>
      </w:r>
    </w:p>
    <w:p>
      <w:pPr>
        <w:spacing w:after="0" w:line="240" w:lineRule="auto"/>
        <w:jc w:val="left"/>
        <w:rPr>
          <w:sz w:val="22"/>
        </w:rPr>
        <w:sectPr>
          <w:headerReference w:type="default" r:id="rId23"/>
          <w:footerReference w:type="default" r:id="rId24"/>
          <w:pgSz w:w="11910" w:h="16850"/>
          <w:pgMar w:header="465" w:footer="880" w:top="660" w:bottom="1060" w:left="840" w:right="820"/>
          <w:pgNumType w:start="40"/>
        </w:sectPr>
      </w:pPr>
    </w:p>
    <w:p>
      <w:pPr>
        <w:pStyle w:val="BodyText"/>
        <w:rPr>
          <w:sz w:val="20"/>
        </w:rPr>
      </w:pPr>
    </w:p>
    <w:p>
      <w:pPr>
        <w:pStyle w:val="BodyText"/>
        <w:rPr>
          <w:sz w:val="20"/>
        </w:rPr>
      </w:pPr>
    </w:p>
    <w:p>
      <w:pPr>
        <w:pStyle w:val="BodyText"/>
        <w:spacing w:before="5"/>
      </w:pPr>
    </w:p>
    <w:p>
      <w:pPr>
        <w:pStyle w:val="Heading6"/>
        <w:ind w:left="292"/>
      </w:pPr>
      <w:r>
        <w:rPr/>
        <w:t>Stakeholder</w:t>
      </w:r>
      <w:r>
        <w:rPr>
          <w:spacing w:val="-6"/>
        </w:rPr>
        <w:t> </w:t>
      </w:r>
      <w:r>
        <w:rPr>
          <w:spacing w:val="-2"/>
        </w:rPr>
        <w:t>consultation</w:t>
      </w:r>
    </w:p>
    <w:p>
      <w:pPr>
        <w:pStyle w:val="BodyText"/>
        <w:spacing w:before="175"/>
        <w:ind w:left="292"/>
      </w:pPr>
      <w:r>
        <w:rPr/>
        <w:t>The</w:t>
      </w:r>
      <w:r>
        <w:rPr>
          <w:spacing w:val="-10"/>
        </w:rPr>
        <w:t> </w:t>
      </w:r>
      <w:r>
        <w:rPr/>
        <w:t>Review</w:t>
      </w:r>
      <w:r>
        <w:rPr>
          <w:spacing w:val="-7"/>
        </w:rPr>
        <w:t> </w:t>
      </w:r>
      <w:r>
        <w:rPr/>
        <w:t>has</w:t>
      </w:r>
      <w:r>
        <w:rPr>
          <w:spacing w:val="-4"/>
        </w:rPr>
        <w:t> </w:t>
      </w:r>
      <w:r>
        <w:rPr/>
        <w:t>consulted</w:t>
      </w:r>
      <w:r>
        <w:rPr>
          <w:spacing w:val="-6"/>
        </w:rPr>
        <w:t> </w:t>
      </w:r>
      <w:r>
        <w:rPr/>
        <w:t>with</w:t>
      </w:r>
      <w:r>
        <w:rPr>
          <w:spacing w:val="-5"/>
        </w:rPr>
        <w:t> </w:t>
      </w:r>
      <w:r>
        <w:rPr/>
        <w:t>a</w:t>
      </w:r>
      <w:r>
        <w:rPr>
          <w:spacing w:val="-4"/>
        </w:rPr>
        <w:t> </w:t>
      </w:r>
      <w:r>
        <w:rPr/>
        <w:t>wide</w:t>
      </w:r>
      <w:r>
        <w:rPr>
          <w:spacing w:val="-6"/>
        </w:rPr>
        <w:t> </w:t>
      </w:r>
      <w:r>
        <w:rPr/>
        <w:t>variety</w:t>
      </w:r>
      <w:r>
        <w:rPr>
          <w:spacing w:val="-7"/>
        </w:rPr>
        <w:t> </w:t>
      </w:r>
      <w:r>
        <w:rPr/>
        <w:t>of</w:t>
      </w:r>
      <w:r>
        <w:rPr>
          <w:spacing w:val="-4"/>
        </w:rPr>
        <w:t> </w:t>
      </w:r>
      <w:r>
        <w:rPr/>
        <w:t>organisations</w:t>
      </w:r>
      <w:r>
        <w:rPr>
          <w:spacing w:val="-6"/>
        </w:rPr>
        <w:t> </w:t>
      </w:r>
      <w:r>
        <w:rPr/>
        <w:t>and</w:t>
      </w:r>
      <w:r>
        <w:rPr>
          <w:spacing w:val="-7"/>
        </w:rPr>
        <w:t> </w:t>
      </w:r>
      <w:r>
        <w:rPr/>
        <w:t>individuals,</w:t>
      </w:r>
      <w:r>
        <w:rPr>
          <w:spacing w:val="-3"/>
        </w:rPr>
        <w:t> </w:t>
      </w:r>
      <w:r>
        <w:rPr>
          <w:spacing w:val="-2"/>
        </w:rPr>
        <w:t>including:</w:t>
      </w:r>
    </w:p>
    <w:p>
      <w:pPr>
        <w:pStyle w:val="BodyText"/>
        <w:spacing w:before="7"/>
        <w:rPr>
          <w:sz w:val="26"/>
        </w:rPr>
      </w:pPr>
    </w:p>
    <w:p>
      <w:pPr>
        <w:pStyle w:val="ListParagraph"/>
        <w:numPr>
          <w:ilvl w:val="1"/>
          <w:numId w:val="19"/>
        </w:numPr>
        <w:tabs>
          <w:tab w:pos="650" w:val="left" w:leader="none"/>
        </w:tabs>
        <w:spacing w:line="240" w:lineRule="auto" w:before="0" w:after="0"/>
        <w:ind w:left="650" w:right="0" w:hanging="358"/>
        <w:jc w:val="left"/>
        <w:rPr>
          <w:sz w:val="22"/>
        </w:rPr>
      </w:pPr>
      <w:r>
        <w:rPr>
          <w:sz w:val="22"/>
        </w:rPr>
        <w:t>all</w:t>
      </w:r>
      <w:r>
        <w:rPr>
          <w:spacing w:val="-5"/>
          <w:sz w:val="22"/>
        </w:rPr>
        <w:t> </w:t>
      </w:r>
      <w:r>
        <w:rPr>
          <w:sz w:val="22"/>
        </w:rPr>
        <w:t>state</w:t>
      </w:r>
      <w:r>
        <w:rPr>
          <w:spacing w:val="-6"/>
          <w:sz w:val="22"/>
        </w:rPr>
        <w:t> </w:t>
      </w:r>
      <w:r>
        <w:rPr>
          <w:sz w:val="22"/>
        </w:rPr>
        <w:t>regulators</w:t>
      </w:r>
      <w:r>
        <w:rPr>
          <w:spacing w:val="-3"/>
          <w:sz w:val="22"/>
        </w:rPr>
        <w:t> </w:t>
      </w:r>
      <w:r>
        <w:rPr>
          <w:sz w:val="22"/>
        </w:rPr>
        <w:t>of</w:t>
      </w:r>
      <w:r>
        <w:rPr>
          <w:spacing w:val="-5"/>
          <w:sz w:val="22"/>
        </w:rPr>
        <w:t> </w:t>
      </w:r>
      <w:r>
        <w:rPr>
          <w:sz w:val="22"/>
        </w:rPr>
        <w:t>electricity</w:t>
      </w:r>
      <w:r>
        <w:rPr>
          <w:spacing w:val="-7"/>
          <w:sz w:val="22"/>
        </w:rPr>
        <w:t> </w:t>
      </w:r>
      <w:r>
        <w:rPr>
          <w:sz w:val="22"/>
        </w:rPr>
        <w:t>and</w:t>
      </w:r>
      <w:r>
        <w:rPr>
          <w:spacing w:val="-6"/>
          <w:sz w:val="22"/>
        </w:rPr>
        <w:t> </w:t>
      </w:r>
      <w:r>
        <w:rPr>
          <w:sz w:val="22"/>
        </w:rPr>
        <w:t>gas</w:t>
      </w:r>
      <w:r>
        <w:rPr>
          <w:spacing w:val="-3"/>
          <w:sz w:val="22"/>
        </w:rPr>
        <w:t> </w:t>
      </w:r>
      <w:r>
        <w:rPr>
          <w:sz w:val="22"/>
        </w:rPr>
        <w:t>networks</w:t>
      </w:r>
      <w:r>
        <w:rPr>
          <w:spacing w:val="-6"/>
          <w:sz w:val="22"/>
        </w:rPr>
        <w:t> </w:t>
      </w:r>
      <w:r>
        <w:rPr>
          <w:sz w:val="22"/>
        </w:rPr>
        <w:t>in</w:t>
      </w:r>
      <w:r>
        <w:rPr>
          <w:spacing w:val="-4"/>
          <w:sz w:val="22"/>
        </w:rPr>
        <w:t> </w:t>
      </w:r>
      <w:r>
        <w:rPr>
          <w:spacing w:val="-2"/>
          <w:sz w:val="22"/>
        </w:rPr>
        <w:t>Australia;</w:t>
      </w:r>
    </w:p>
    <w:p>
      <w:pPr>
        <w:pStyle w:val="ListParagraph"/>
        <w:numPr>
          <w:ilvl w:val="1"/>
          <w:numId w:val="19"/>
        </w:numPr>
        <w:tabs>
          <w:tab w:pos="650" w:val="left" w:leader="none"/>
        </w:tabs>
        <w:spacing w:line="240" w:lineRule="auto" w:before="66" w:after="0"/>
        <w:ind w:left="650" w:right="0" w:hanging="358"/>
        <w:jc w:val="left"/>
        <w:rPr>
          <w:sz w:val="22"/>
        </w:rPr>
      </w:pPr>
      <w:r>
        <w:rPr>
          <w:sz w:val="22"/>
        </w:rPr>
        <w:t>all</w:t>
      </w:r>
      <w:r>
        <w:rPr>
          <w:spacing w:val="-9"/>
          <w:sz w:val="22"/>
        </w:rPr>
        <w:t> </w:t>
      </w:r>
      <w:r>
        <w:rPr>
          <w:sz w:val="22"/>
        </w:rPr>
        <w:t>gas</w:t>
      </w:r>
      <w:r>
        <w:rPr>
          <w:spacing w:val="-8"/>
          <w:sz w:val="22"/>
        </w:rPr>
        <w:t> </w:t>
      </w:r>
      <w:r>
        <w:rPr>
          <w:sz w:val="22"/>
        </w:rPr>
        <w:t>and</w:t>
      </w:r>
      <w:r>
        <w:rPr>
          <w:spacing w:val="-6"/>
          <w:sz w:val="22"/>
        </w:rPr>
        <w:t> </w:t>
      </w:r>
      <w:r>
        <w:rPr>
          <w:sz w:val="22"/>
        </w:rPr>
        <w:t>electricity</w:t>
      </w:r>
      <w:r>
        <w:rPr>
          <w:spacing w:val="-8"/>
          <w:sz w:val="22"/>
        </w:rPr>
        <w:t> </w:t>
      </w:r>
      <w:r>
        <w:rPr>
          <w:sz w:val="22"/>
        </w:rPr>
        <w:t>transmission</w:t>
      </w:r>
      <w:r>
        <w:rPr>
          <w:spacing w:val="-6"/>
          <w:sz w:val="22"/>
        </w:rPr>
        <w:t> </w:t>
      </w:r>
      <w:r>
        <w:rPr>
          <w:sz w:val="22"/>
        </w:rPr>
        <w:t>and</w:t>
      </w:r>
      <w:r>
        <w:rPr>
          <w:spacing w:val="-8"/>
          <w:sz w:val="22"/>
        </w:rPr>
        <w:t> </w:t>
      </w:r>
      <w:r>
        <w:rPr>
          <w:sz w:val="22"/>
        </w:rPr>
        <w:t>distribution</w:t>
      </w:r>
      <w:r>
        <w:rPr>
          <w:spacing w:val="-7"/>
          <w:sz w:val="22"/>
        </w:rPr>
        <w:t> </w:t>
      </w:r>
      <w:r>
        <w:rPr>
          <w:sz w:val="22"/>
        </w:rPr>
        <w:t>businesses</w:t>
      </w:r>
      <w:r>
        <w:rPr>
          <w:spacing w:val="-6"/>
          <w:sz w:val="22"/>
        </w:rPr>
        <w:t> </w:t>
      </w:r>
      <w:r>
        <w:rPr>
          <w:sz w:val="22"/>
        </w:rPr>
        <w:t>operating</w:t>
      </w:r>
      <w:r>
        <w:rPr>
          <w:spacing w:val="-6"/>
          <w:sz w:val="22"/>
        </w:rPr>
        <w:t> </w:t>
      </w:r>
      <w:r>
        <w:rPr>
          <w:sz w:val="22"/>
        </w:rPr>
        <w:t>in</w:t>
      </w:r>
      <w:r>
        <w:rPr>
          <w:spacing w:val="-6"/>
          <w:sz w:val="22"/>
        </w:rPr>
        <w:t> </w:t>
      </w:r>
      <w:r>
        <w:rPr>
          <w:spacing w:val="-2"/>
          <w:sz w:val="22"/>
        </w:rPr>
        <w:t>Victoria;</w:t>
      </w:r>
    </w:p>
    <w:p>
      <w:pPr>
        <w:pStyle w:val="ListParagraph"/>
        <w:numPr>
          <w:ilvl w:val="1"/>
          <w:numId w:val="19"/>
        </w:numPr>
        <w:tabs>
          <w:tab w:pos="650" w:val="left" w:leader="none"/>
        </w:tabs>
        <w:spacing w:line="240" w:lineRule="auto" w:before="67" w:after="0"/>
        <w:ind w:left="650" w:right="0" w:hanging="358"/>
        <w:jc w:val="left"/>
        <w:rPr>
          <w:sz w:val="22"/>
        </w:rPr>
      </w:pPr>
      <w:r>
        <w:rPr>
          <w:sz w:val="22"/>
        </w:rPr>
        <w:t>the</w:t>
      </w:r>
      <w:r>
        <w:rPr>
          <w:spacing w:val="-4"/>
          <w:sz w:val="22"/>
        </w:rPr>
        <w:t> </w:t>
      </w:r>
      <w:r>
        <w:rPr>
          <w:sz w:val="22"/>
        </w:rPr>
        <w:t>Electrical</w:t>
      </w:r>
      <w:r>
        <w:rPr>
          <w:spacing w:val="-7"/>
          <w:sz w:val="22"/>
        </w:rPr>
        <w:t> </w:t>
      </w:r>
      <w:r>
        <w:rPr>
          <w:sz w:val="22"/>
        </w:rPr>
        <w:t>Trades</w:t>
      </w:r>
      <w:r>
        <w:rPr>
          <w:spacing w:val="-5"/>
          <w:sz w:val="22"/>
        </w:rPr>
        <w:t> </w:t>
      </w:r>
      <w:r>
        <w:rPr>
          <w:spacing w:val="-2"/>
          <w:sz w:val="22"/>
        </w:rPr>
        <w:t>Union;</w:t>
      </w:r>
    </w:p>
    <w:p>
      <w:pPr>
        <w:pStyle w:val="ListParagraph"/>
        <w:numPr>
          <w:ilvl w:val="1"/>
          <w:numId w:val="19"/>
        </w:numPr>
        <w:tabs>
          <w:tab w:pos="650" w:val="left" w:leader="none"/>
        </w:tabs>
        <w:spacing w:line="240" w:lineRule="auto" w:before="64" w:after="0"/>
        <w:ind w:left="650" w:right="0" w:hanging="358"/>
        <w:jc w:val="left"/>
        <w:rPr>
          <w:sz w:val="22"/>
        </w:rPr>
      </w:pPr>
      <w:r>
        <w:rPr>
          <w:sz w:val="22"/>
        </w:rPr>
        <w:t>academic</w:t>
      </w:r>
      <w:r>
        <w:rPr>
          <w:spacing w:val="-7"/>
          <w:sz w:val="22"/>
        </w:rPr>
        <w:t> </w:t>
      </w:r>
      <w:r>
        <w:rPr>
          <w:sz w:val="22"/>
        </w:rPr>
        <w:t>experts;</w:t>
      </w:r>
      <w:r>
        <w:rPr>
          <w:spacing w:val="-7"/>
          <w:sz w:val="22"/>
        </w:rPr>
        <w:t> </w:t>
      </w:r>
      <w:r>
        <w:rPr>
          <w:spacing w:val="-5"/>
          <w:sz w:val="22"/>
        </w:rPr>
        <w:t>and</w:t>
      </w:r>
    </w:p>
    <w:p>
      <w:pPr>
        <w:pStyle w:val="ListParagraph"/>
        <w:numPr>
          <w:ilvl w:val="1"/>
          <w:numId w:val="19"/>
        </w:numPr>
        <w:tabs>
          <w:tab w:pos="650" w:val="left" w:leader="none"/>
        </w:tabs>
        <w:spacing w:line="288" w:lineRule="auto" w:before="66" w:after="0"/>
        <w:ind w:left="650" w:right="712" w:hanging="359"/>
        <w:jc w:val="left"/>
        <w:rPr>
          <w:sz w:val="22"/>
        </w:rPr>
      </w:pPr>
      <w:r>
        <w:rPr>
          <w:sz w:val="22"/>
        </w:rPr>
        <w:t>national</w:t>
      </w:r>
      <w:r>
        <w:rPr>
          <w:spacing w:val="-3"/>
          <w:sz w:val="22"/>
        </w:rPr>
        <w:t> </w:t>
      </w:r>
      <w:r>
        <w:rPr>
          <w:sz w:val="22"/>
        </w:rPr>
        <w:t>and</w:t>
      </w:r>
      <w:r>
        <w:rPr>
          <w:spacing w:val="-2"/>
          <w:sz w:val="22"/>
        </w:rPr>
        <w:t> </w:t>
      </w:r>
      <w:r>
        <w:rPr>
          <w:sz w:val="22"/>
        </w:rPr>
        <w:t>state</w:t>
      </w:r>
      <w:r>
        <w:rPr>
          <w:spacing w:val="-6"/>
          <w:sz w:val="22"/>
        </w:rPr>
        <w:t> </w:t>
      </w:r>
      <w:r>
        <w:rPr>
          <w:sz w:val="22"/>
        </w:rPr>
        <w:t>government</w:t>
      </w:r>
      <w:r>
        <w:rPr>
          <w:spacing w:val="-2"/>
          <w:sz w:val="22"/>
        </w:rPr>
        <w:t> </w:t>
      </w:r>
      <w:r>
        <w:rPr>
          <w:sz w:val="22"/>
        </w:rPr>
        <w:t>agencies</w:t>
      </w:r>
      <w:r>
        <w:rPr>
          <w:spacing w:val="-4"/>
          <w:sz w:val="22"/>
        </w:rPr>
        <w:t> </w:t>
      </w:r>
      <w:r>
        <w:rPr>
          <w:sz w:val="22"/>
        </w:rPr>
        <w:t>that</w:t>
      </w:r>
      <w:r>
        <w:rPr>
          <w:spacing w:val="-3"/>
          <w:sz w:val="22"/>
        </w:rPr>
        <w:t> </w:t>
      </w:r>
      <w:r>
        <w:rPr>
          <w:sz w:val="22"/>
        </w:rPr>
        <w:t>have</w:t>
      </w:r>
      <w:r>
        <w:rPr>
          <w:spacing w:val="-2"/>
          <w:sz w:val="22"/>
        </w:rPr>
        <w:t> </w:t>
      </w:r>
      <w:r>
        <w:rPr>
          <w:sz w:val="22"/>
        </w:rPr>
        <w:t>responsibilities</w:t>
      </w:r>
      <w:r>
        <w:rPr>
          <w:spacing w:val="-2"/>
          <w:sz w:val="22"/>
        </w:rPr>
        <w:t> </w:t>
      </w:r>
      <w:r>
        <w:rPr>
          <w:sz w:val="22"/>
        </w:rPr>
        <w:t>with</w:t>
      </w:r>
      <w:r>
        <w:rPr>
          <w:spacing w:val="-2"/>
          <w:sz w:val="22"/>
        </w:rPr>
        <w:t> </w:t>
      </w:r>
      <w:r>
        <w:rPr>
          <w:sz w:val="22"/>
        </w:rPr>
        <w:t>an</w:t>
      </w:r>
      <w:r>
        <w:rPr>
          <w:spacing w:val="-4"/>
          <w:sz w:val="22"/>
        </w:rPr>
        <w:t> </w:t>
      </w:r>
      <w:r>
        <w:rPr>
          <w:sz w:val="22"/>
        </w:rPr>
        <w:t>interest</w:t>
      </w:r>
      <w:r>
        <w:rPr>
          <w:spacing w:val="-3"/>
          <w:sz w:val="22"/>
        </w:rPr>
        <w:t> </w:t>
      </w:r>
      <w:r>
        <w:rPr>
          <w:sz w:val="22"/>
        </w:rPr>
        <w:t>in</w:t>
      </w:r>
      <w:r>
        <w:rPr>
          <w:spacing w:val="-2"/>
          <w:sz w:val="22"/>
        </w:rPr>
        <w:t> </w:t>
      </w:r>
      <w:r>
        <w:rPr>
          <w:sz w:val="22"/>
        </w:rPr>
        <w:t>energy network safety.</w:t>
      </w:r>
    </w:p>
    <w:p>
      <w:pPr>
        <w:pStyle w:val="BodyText"/>
        <w:spacing w:before="7"/>
        <w:rPr>
          <w:sz w:val="20"/>
        </w:rPr>
      </w:pPr>
    </w:p>
    <w:p>
      <w:pPr>
        <w:pStyle w:val="BodyText"/>
        <w:spacing w:line="288" w:lineRule="auto"/>
        <w:ind w:left="292" w:right="311"/>
      </w:pPr>
      <w:r>
        <w:rPr/>
        <w:t>A</w:t>
      </w:r>
      <w:r>
        <w:rPr>
          <w:spacing w:val="-2"/>
        </w:rPr>
        <w:t> </w:t>
      </w:r>
      <w:r>
        <w:rPr/>
        <w:t>stakeholder</w:t>
      </w:r>
      <w:r>
        <w:rPr>
          <w:spacing w:val="-2"/>
        </w:rPr>
        <w:t> </w:t>
      </w:r>
      <w:r>
        <w:rPr/>
        <w:t>consultation</w:t>
      </w:r>
      <w:r>
        <w:rPr>
          <w:spacing w:val="-4"/>
        </w:rPr>
        <w:t> </w:t>
      </w:r>
      <w:r>
        <w:rPr/>
        <w:t>forum</w:t>
      </w:r>
      <w:r>
        <w:rPr>
          <w:spacing w:val="-3"/>
        </w:rPr>
        <w:t> </w:t>
      </w:r>
      <w:r>
        <w:rPr/>
        <w:t>was held</w:t>
      </w:r>
      <w:r>
        <w:rPr>
          <w:spacing w:val="-2"/>
        </w:rPr>
        <w:t> </w:t>
      </w:r>
      <w:r>
        <w:rPr/>
        <w:t>on</w:t>
      </w:r>
      <w:r>
        <w:rPr>
          <w:spacing w:val="-2"/>
        </w:rPr>
        <w:t> </w:t>
      </w:r>
      <w:r>
        <w:rPr/>
        <w:t>4</w:t>
      </w:r>
      <w:r>
        <w:rPr>
          <w:spacing w:val="-6"/>
        </w:rPr>
        <w:t> </w:t>
      </w:r>
      <w:r>
        <w:rPr/>
        <w:t>April</w:t>
      </w:r>
      <w:r>
        <w:rPr>
          <w:spacing w:val="-3"/>
        </w:rPr>
        <w:t> </w:t>
      </w:r>
      <w:r>
        <w:rPr/>
        <w:t>2017.</w:t>
      </w:r>
      <w:r>
        <w:rPr>
          <w:spacing w:val="-3"/>
        </w:rPr>
        <w:t> </w:t>
      </w:r>
      <w:r>
        <w:rPr/>
        <w:t>Over 30</w:t>
      </w:r>
      <w:r>
        <w:rPr>
          <w:spacing w:val="-4"/>
        </w:rPr>
        <w:t> </w:t>
      </w:r>
      <w:r>
        <w:rPr/>
        <w:t>attendees</w:t>
      </w:r>
      <w:r>
        <w:rPr>
          <w:spacing w:val="-2"/>
        </w:rPr>
        <w:t> </w:t>
      </w:r>
      <w:r>
        <w:rPr/>
        <w:t>representing</w:t>
      </w:r>
      <w:r>
        <w:rPr>
          <w:spacing w:val="-2"/>
        </w:rPr>
        <w:t> </w:t>
      </w:r>
      <w:r>
        <w:rPr/>
        <w:t>a variety of organisations participated in the forum.</w:t>
      </w:r>
    </w:p>
    <w:p>
      <w:pPr>
        <w:pStyle w:val="BodyText"/>
        <w:spacing w:before="11"/>
        <w:rPr>
          <w:sz w:val="20"/>
        </w:rPr>
      </w:pPr>
    </w:p>
    <w:p>
      <w:pPr>
        <w:pStyle w:val="BodyText"/>
        <w:spacing w:line="288" w:lineRule="auto"/>
        <w:ind w:left="292" w:right="374"/>
      </w:pPr>
      <w:r>
        <w:rPr/>
        <w:t>The</w:t>
      </w:r>
      <w:r>
        <w:rPr>
          <w:spacing w:val="-4"/>
        </w:rPr>
        <w:t> </w:t>
      </w:r>
      <w:r>
        <w:rPr/>
        <w:t>Review</w:t>
      </w:r>
      <w:r>
        <w:rPr>
          <w:spacing w:val="-5"/>
        </w:rPr>
        <w:t> </w:t>
      </w:r>
      <w:r>
        <w:rPr/>
        <w:t>sought</w:t>
      </w:r>
      <w:r>
        <w:rPr>
          <w:spacing w:val="-3"/>
        </w:rPr>
        <w:t> </w:t>
      </w:r>
      <w:r>
        <w:rPr/>
        <w:t>submissions</w:t>
      </w:r>
      <w:r>
        <w:rPr>
          <w:spacing w:val="-1"/>
        </w:rPr>
        <w:t> </w:t>
      </w:r>
      <w:r>
        <w:rPr/>
        <w:t>on</w:t>
      </w:r>
      <w:r>
        <w:rPr>
          <w:spacing w:val="-4"/>
        </w:rPr>
        <w:t> </w:t>
      </w:r>
      <w:r>
        <w:rPr/>
        <w:t>an</w:t>
      </w:r>
      <w:r>
        <w:rPr>
          <w:spacing w:val="-4"/>
        </w:rPr>
        <w:t> </w:t>
      </w:r>
      <w:r>
        <w:rPr/>
        <w:t>Issues</w:t>
      </w:r>
      <w:r>
        <w:rPr>
          <w:spacing w:val="-2"/>
        </w:rPr>
        <w:t> </w:t>
      </w:r>
      <w:r>
        <w:rPr/>
        <w:t>Paper</w:t>
      </w:r>
      <w:r>
        <w:rPr>
          <w:spacing w:val="-1"/>
        </w:rPr>
        <w:t> </w:t>
      </w:r>
      <w:r>
        <w:rPr/>
        <w:t>published</w:t>
      </w:r>
      <w:r>
        <w:rPr>
          <w:spacing w:val="-2"/>
        </w:rPr>
        <w:t> </w:t>
      </w:r>
      <w:r>
        <w:rPr/>
        <w:t>in</w:t>
      </w:r>
      <w:r>
        <w:rPr>
          <w:spacing w:val="-2"/>
        </w:rPr>
        <w:t> </w:t>
      </w:r>
      <w:r>
        <w:rPr/>
        <w:t>April</w:t>
      </w:r>
      <w:r>
        <w:rPr>
          <w:spacing w:val="-2"/>
        </w:rPr>
        <w:t> </w:t>
      </w:r>
      <w:r>
        <w:rPr/>
        <w:t>2017</w:t>
      </w:r>
      <w:r>
        <w:rPr>
          <w:spacing w:val="-2"/>
        </w:rPr>
        <w:t> </w:t>
      </w:r>
      <w:r>
        <w:rPr/>
        <w:t>and</w:t>
      </w:r>
      <w:r>
        <w:rPr>
          <w:spacing w:val="-2"/>
        </w:rPr>
        <w:t> </w:t>
      </w:r>
      <w:r>
        <w:rPr/>
        <w:t>a</w:t>
      </w:r>
      <w:r>
        <w:rPr>
          <w:spacing w:val="-4"/>
        </w:rPr>
        <w:t> </w:t>
      </w:r>
      <w:r>
        <w:rPr/>
        <w:t>Supplementary Issues Paper published in May 2017. Thirteen submissions were received in response to the Issues Paper and twelve in response to the Supplementary Issues Paper.</w:t>
      </w:r>
    </w:p>
    <w:p>
      <w:pPr>
        <w:pStyle w:val="BodyText"/>
        <w:rPr>
          <w:sz w:val="21"/>
        </w:rPr>
      </w:pPr>
    </w:p>
    <w:p>
      <w:pPr>
        <w:pStyle w:val="BodyText"/>
        <w:spacing w:line="288" w:lineRule="auto"/>
        <w:ind w:left="292" w:right="910"/>
      </w:pPr>
      <w:r>
        <w:rPr/>
        <w:t>The</w:t>
      </w:r>
      <w:r>
        <w:rPr>
          <w:spacing w:val="-4"/>
        </w:rPr>
        <w:t> </w:t>
      </w:r>
      <w:r>
        <w:rPr/>
        <w:t>Review</w:t>
      </w:r>
      <w:r>
        <w:rPr>
          <w:spacing w:val="-5"/>
        </w:rPr>
        <w:t> </w:t>
      </w:r>
      <w:r>
        <w:rPr/>
        <w:t>also</w:t>
      </w:r>
      <w:r>
        <w:rPr>
          <w:spacing w:val="-2"/>
        </w:rPr>
        <w:t> </w:t>
      </w:r>
      <w:r>
        <w:rPr/>
        <w:t>sought</w:t>
      </w:r>
      <w:r>
        <w:rPr>
          <w:spacing w:val="-3"/>
        </w:rPr>
        <w:t> </w:t>
      </w:r>
      <w:r>
        <w:rPr/>
        <w:t>submissions</w:t>
      </w:r>
      <w:r>
        <w:rPr>
          <w:spacing w:val="-1"/>
        </w:rPr>
        <w:t> </w:t>
      </w:r>
      <w:r>
        <w:rPr/>
        <w:t>on</w:t>
      </w:r>
      <w:r>
        <w:rPr>
          <w:spacing w:val="-4"/>
        </w:rPr>
        <w:t> </w:t>
      </w:r>
      <w:r>
        <w:rPr/>
        <w:t>its</w:t>
      </w:r>
      <w:r>
        <w:rPr>
          <w:spacing w:val="-4"/>
        </w:rPr>
        <w:t> </w:t>
      </w:r>
      <w:r>
        <w:rPr/>
        <w:t>Interim</w:t>
      </w:r>
      <w:r>
        <w:rPr>
          <w:spacing w:val="-1"/>
        </w:rPr>
        <w:t> </w:t>
      </w:r>
      <w:r>
        <w:rPr/>
        <w:t>Report</w:t>
      </w:r>
      <w:r>
        <w:rPr>
          <w:spacing w:val="-3"/>
        </w:rPr>
        <w:t> </w:t>
      </w:r>
      <w:r>
        <w:rPr/>
        <w:t>published</w:t>
      </w:r>
      <w:r>
        <w:rPr>
          <w:spacing w:val="-2"/>
        </w:rPr>
        <w:t> </w:t>
      </w:r>
      <w:r>
        <w:rPr/>
        <w:t>in</w:t>
      </w:r>
      <w:r>
        <w:rPr>
          <w:spacing w:val="-2"/>
        </w:rPr>
        <w:t> </w:t>
      </w:r>
      <w:r>
        <w:rPr/>
        <w:t>October</w:t>
      </w:r>
      <w:r>
        <w:rPr>
          <w:spacing w:val="-3"/>
        </w:rPr>
        <w:t> </w:t>
      </w:r>
      <w:r>
        <w:rPr/>
        <w:t>2017. Seven public submissions were received. The papers and submissions are available at </w:t>
      </w:r>
      <w:hyperlink r:id="rId25">
        <w:r>
          <w:rPr>
            <w:spacing w:val="-2"/>
          </w:rPr>
          <w:t>engage.vic.gov.au/electricity-network-safety-review.</w:t>
        </w:r>
      </w:hyperlink>
    </w:p>
    <w:p>
      <w:pPr>
        <w:pStyle w:val="BodyText"/>
        <w:spacing w:before="9"/>
        <w:rPr>
          <w:sz w:val="20"/>
        </w:rPr>
      </w:pPr>
    </w:p>
    <w:p>
      <w:pPr>
        <w:pStyle w:val="BodyText"/>
        <w:spacing w:line="288" w:lineRule="auto"/>
        <w:ind w:left="292" w:right="374"/>
      </w:pPr>
      <w:r>
        <w:rPr/>
        <w:t>The</w:t>
      </w:r>
      <w:r>
        <w:rPr>
          <w:spacing w:val="-4"/>
        </w:rPr>
        <w:t> </w:t>
      </w:r>
      <w:r>
        <w:rPr/>
        <w:t>Review</w:t>
      </w:r>
      <w:r>
        <w:rPr>
          <w:spacing w:val="-5"/>
        </w:rPr>
        <w:t> </w:t>
      </w:r>
      <w:r>
        <w:rPr/>
        <w:t>conducted</w:t>
      </w:r>
      <w:r>
        <w:rPr>
          <w:spacing w:val="-2"/>
        </w:rPr>
        <w:t> </w:t>
      </w:r>
      <w:r>
        <w:rPr/>
        <w:t>site</w:t>
      </w:r>
      <w:r>
        <w:rPr>
          <w:spacing w:val="-2"/>
        </w:rPr>
        <w:t> </w:t>
      </w:r>
      <w:r>
        <w:rPr/>
        <w:t>visits with</w:t>
      </w:r>
      <w:r>
        <w:rPr>
          <w:spacing w:val="-1"/>
        </w:rPr>
        <w:t> </w:t>
      </w:r>
      <w:r>
        <w:rPr/>
        <w:t>AusNet</w:t>
      </w:r>
      <w:r>
        <w:rPr>
          <w:spacing w:val="-1"/>
        </w:rPr>
        <w:t> </w:t>
      </w:r>
      <w:r>
        <w:rPr/>
        <w:t>Services</w:t>
      </w:r>
      <w:r>
        <w:rPr>
          <w:spacing w:val="-2"/>
        </w:rPr>
        <w:t> </w:t>
      </w:r>
      <w:r>
        <w:rPr/>
        <w:t>and</w:t>
      </w:r>
      <w:r>
        <w:rPr>
          <w:spacing w:val="-2"/>
        </w:rPr>
        <w:t> </w:t>
      </w:r>
      <w:r>
        <w:rPr/>
        <w:t>Powercor.</w:t>
      </w:r>
      <w:r>
        <w:rPr>
          <w:spacing w:val="-3"/>
        </w:rPr>
        <w:t> </w:t>
      </w:r>
      <w:r>
        <w:rPr/>
        <w:t>The</w:t>
      </w:r>
      <w:r>
        <w:rPr>
          <w:spacing w:val="-4"/>
        </w:rPr>
        <w:t> </w:t>
      </w:r>
      <w:r>
        <w:rPr/>
        <w:t>Review</w:t>
      </w:r>
      <w:r>
        <w:rPr>
          <w:spacing w:val="-4"/>
        </w:rPr>
        <w:t> </w:t>
      </w:r>
      <w:r>
        <w:rPr/>
        <w:t>also</w:t>
      </w:r>
      <w:r>
        <w:rPr>
          <w:spacing w:val="-1"/>
        </w:rPr>
        <w:t> </w:t>
      </w:r>
      <w:r>
        <w:rPr/>
        <w:t>conducted a series of roundtable discussions with ESV including the Director of Energy Safety, senior executive management, ESV’s Audit and Risk Committee Chair, auditors, electricity and gas site inspectors and data analysts.</w:t>
      </w:r>
    </w:p>
    <w:p>
      <w:pPr>
        <w:pStyle w:val="BodyText"/>
        <w:rPr>
          <w:sz w:val="24"/>
        </w:rPr>
      </w:pPr>
    </w:p>
    <w:p>
      <w:pPr>
        <w:pStyle w:val="Heading6"/>
        <w:spacing w:before="145"/>
        <w:ind w:left="292"/>
      </w:pPr>
      <w:r>
        <w:rPr/>
        <w:t>Expert</w:t>
      </w:r>
      <w:r>
        <w:rPr>
          <w:spacing w:val="-1"/>
        </w:rPr>
        <w:t> </w:t>
      </w:r>
      <w:r>
        <w:rPr/>
        <w:t>advice</w:t>
      </w:r>
      <w:r>
        <w:rPr>
          <w:spacing w:val="-2"/>
        </w:rPr>
        <w:t> </w:t>
      </w:r>
      <w:r>
        <w:rPr/>
        <w:t>and</w:t>
      </w:r>
      <w:r>
        <w:rPr>
          <w:spacing w:val="-5"/>
        </w:rPr>
        <w:t> </w:t>
      </w:r>
      <w:r>
        <w:rPr/>
        <w:t>commissioning</w:t>
      </w:r>
      <w:r>
        <w:rPr>
          <w:spacing w:val="-2"/>
        </w:rPr>
        <w:t> </w:t>
      </w:r>
      <w:r>
        <w:rPr/>
        <w:t>of</w:t>
      </w:r>
      <w:r>
        <w:rPr>
          <w:spacing w:val="-1"/>
        </w:rPr>
        <w:t> </w:t>
      </w:r>
      <w:r>
        <w:rPr>
          <w:spacing w:val="-2"/>
        </w:rPr>
        <w:t>reports</w:t>
      </w:r>
    </w:p>
    <w:p>
      <w:pPr>
        <w:pStyle w:val="BodyText"/>
        <w:spacing w:line="276" w:lineRule="auto" w:before="175"/>
        <w:ind w:left="292" w:right="311"/>
      </w:pPr>
      <w:r>
        <w:rPr/>
        <w:t>To</w:t>
      </w:r>
      <w:r>
        <w:rPr>
          <w:spacing w:val="-5"/>
        </w:rPr>
        <w:t> </w:t>
      </w:r>
      <w:r>
        <w:rPr/>
        <w:t>inform</w:t>
      </w:r>
      <w:r>
        <w:rPr>
          <w:spacing w:val="-4"/>
        </w:rPr>
        <w:t> </w:t>
      </w:r>
      <w:r>
        <w:rPr/>
        <w:t>the</w:t>
      </w:r>
      <w:r>
        <w:rPr>
          <w:spacing w:val="-1"/>
        </w:rPr>
        <w:t> </w:t>
      </w:r>
      <w:r>
        <w:rPr/>
        <w:t>Review</w:t>
      </w:r>
      <w:r>
        <w:rPr>
          <w:spacing w:val="-6"/>
        </w:rPr>
        <w:t> </w:t>
      </w:r>
      <w:r>
        <w:rPr/>
        <w:t>findings,</w:t>
      </w:r>
      <w:r>
        <w:rPr>
          <w:spacing w:val="-4"/>
        </w:rPr>
        <w:t> </w:t>
      </w:r>
      <w:r>
        <w:rPr/>
        <w:t>the</w:t>
      </w:r>
      <w:r>
        <w:rPr>
          <w:spacing w:val="-5"/>
        </w:rPr>
        <w:t> </w:t>
      </w:r>
      <w:r>
        <w:rPr/>
        <w:t>Secretariat</w:t>
      </w:r>
      <w:r>
        <w:rPr>
          <w:spacing w:val="-2"/>
        </w:rPr>
        <w:t> </w:t>
      </w:r>
      <w:r>
        <w:rPr/>
        <w:t>conducted</w:t>
      </w:r>
      <w:r>
        <w:rPr>
          <w:spacing w:val="-5"/>
        </w:rPr>
        <w:t> </w:t>
      </w:r>
      <w:r>
        <w:rPr/>
        <w:t>research</w:t>
      </w:r>
      <w:r>
        <w:rPr>
          <w:spacing w:val="-3"/>
        </w:rPr>
        <w:t> </w:t>
      </w:r>
      <w:r>
        <w:rPr/>
        <w:t>and</w:t>
      </w:r>
      <w:r>
        <w:rPr>
          <w:spacing w:val="-5"/>
        </w:rPr>
        <w:t> </w:t>
      </w:r>
      <w:r>
        <w:rPr/>
        <w:t>analysis</w:t>
      </w:r>
      <w:r>
        <w:rPr>
          <w:spacing w:val="-2"/>
        </w:rPr>
        <w:t> </w:t>
      </w:r>
      <w:r>
        <w:rPr/>
        <w:t>of leading regulatory practice; data analysis; and commissioned expert consultants:</w:t>
      </w:r>
    </w:p>
    <w:p>
      <w:pPr>
        <w:pStyle w:val="BodyText"/>
        <w:spacing w:before="2"/>
      </w:pPr>
    </w:p>
    <w:p>
      <w:pPr>
        <w:pStyle w:val="ListParagraph"/>
        <w:numPr>
          <w:ilvl w:val="1"/>
          <w:numId w:val="19"/>
        </w:numPr>
        <w:tabs>
          <w:tab w:pos="650" w:val="left" w:leader="none"/>
        </w:tabs>
        <w:spacing w:line="288" w:lineRule="auto" w:before="0" w:after="0"/>
        <w:ind w:left="650" w:right="1385" w:hanging="359"/>
        <w:jc w:val="left"/>
        <w:rPr>
          <w:sz w:val="22"/>
        </w:rPr>
      </w:pPr>
      <w:r>
        <w:rPr>
          <w:sz w:val="22"/>
        </w:rPr>
        <w:t>Marsden</w:t>
      </w:r>
      <w:r>
        <w:rPr>
          <w:spacing w:val="-3"/>
          <w:sz w:val="22"/>
        </w:rPr>
        <w:t> </w:t>
      </w:r>
      <w:r>
        <w:rPr>
          <w:sz w:val="22"/>
        </w:rPr>
        <w:t>Jacob</w:t>
      </w:r>
      <w:r>
        <w:rPr>
          <w:spacing w:val="-3"/>
          <w:sz w:val="22"/>
        </w:rPr>
        <w:t> </w:t>
      </w:r>
      <w:r>
        <w:rPr>
          <w:sz w:val="22"/>
        </w:rPr>
        <w:t>was</w:t>
      </w:r>
      <w:r>
        <w:rPr>
          <w:spacing w:val="-3"/>
          <w:sz w:val="22"/>
        </w:rPr>
        <w:t> </w:t>
      </w:r>
      <w:r>
        <w:rPr>
          <w:sz w:val="22"/>
        </w:rPr>
        <w:t>commissioned</w:t>
      </w:r>
      <w:r>
        <w:rPr>
          <w:spacing w:val="-3"/>
          <w:sz w:val="22"/>
        </w:rPr>
        <w:t> </w:t>
      </w:r>
      <w:r>
        <w:rPr>
          <w:sz w:val="22"/>
        </w:rPr>
        <w:t>to</w:t>
      </w:r>
      <w:r>
        <w:rPr>
          <w:spacing w:val="-4"/>
          <w:sz w:val="22"/>
        </w:rPr>
        <w:t> </w:t>
      </w:r>
      <w:r>
        <w:rPr>
          <w:sz w:val="22"/>
        </w:rPr>
        <w:t>conduct</w:t>
      </w:r>
      <w:r>
        <w:rPr>
          <w:spacing w:val="-1"/>
          <w:sz w:val="22"/>
        </w:rPr>
        <w:t> </w:t>
      </w:r>
      <w:r>
        <w:rPr>
          <w:sz w:val="22"/>
        </w:rPr>
        <w:t>a</w:t>
      </w:r>
      <w:r>
        <w:rPr>
          <w:spacing w:val="-5"/>
          <w:sz w:val="22"/>
        </w:rPr>
        <w:t> </w:t>
      </w:r>
      <w:r>
        <w:rPr>
          <w:sz w:val="22"/>
        </w:rPr>
        <w:t>best-practice</w:t>
      </w:r>
      <w:r>
        <w:rPr>
          <w:spacing w:val="-5"/>
          <w:sz w:val="22"/>
        </w:rPr>
        <w:t> </w:t>
      </w:r>
      <w:r>
        <w:rPr>
          <w:sz w:val="22"/>
        </w:rPr>
        <w:t>review</w:t>
      </w:r>
      <w:r>
        <w:rPr>
          <w:spacing w:val="-6"/>
          <w:sz w:val="22"/>
        </w:rPr>
        <w:t> </w:t>
      </w:r>
      <w:r>
        <w:rPr>
          <w:sz w:val="22"/>
        </w:rPr>
        <w:t>of international jurisdictions; and</w:t>
      </w:r>
    </w:p>
    <w:p>
      <w:pPr>
        <w:pStyle w:val="BodyText"/>
        <w:spacing w:before="4"/>
      </w:pPr>
    </w:p>
    <w:p>
      <w:pPr>
        <w:pStyle w:val="ListParagraph"/>
        <w:numPr>
          <w:ilvl w:val="1"/>
          <w:numId w:val="19"/>
        </w:numPr>
        <w:tabs>
          <w:tab w:pos="650" w:val="left" w:leader="none"/>
        </w:tabs>
        <w:spacing w:line="288" w:lineRule="auto" w:before="0" w:after="0"/>
        <w:ind w:left="650" w:right="606" w:hanging="359"/>
        <w:jc w:val="left"/>
        <w:rPr>
          <w:sz w:val="22"/>
        </w:rPr>
      </w:pPr>
      <w:r>
        <w:rPr>
          <w:sz w:val="22"/>
        </w:rPr>
        <w:t>the Centre for Excellence in Biosecurity Risk Analysis at the University of Melbourne was commissioned</w:t>
      </w:r>
      <w:r>
        <w:rPr>
          <w:spacing w:val="-4"/>
          <w:sz w:val="22"/>
        </w:rPr>
        <w:t> </w:t>
      </w:r>
      <w:r>
        <w:rPr>
          <w:sz w:val="22"/>
        </w:rPr>
        <w:t>to</w:t>
      </w:r>
      <w:r>
        <w:rPr>
          <w:spacing w:val="-4"/>
          <w:sz w:val="22"/>
        </w:rPr>
        <w:t> </w:t>
      </w:r>
      <w:r>
        <w:rPr>
          <w:sz w:val="22"/>
        </w:rPr>
        <w:t>report</w:t>
      </w:r>
      <w:r>
        <w:rPr>
          <w:spacing w:val="-5"/>
          <w:sz w:val="22"/>
        </w:rPr>
        <w:t> </w:t>
      </w:r>
      <w:r>
        <w:rPr>
          <w:sz w:val="22"/>
        </w:rPr>
        <w:t>on</w:t>
      </w:r>
      <w:r>
        <w:rPr>
          <w:spacing w:val="-2"/>
          <w:sz w:val="22"/>
        </w:rPr>
        <w:t> </w:t>
      </w:r>
      <w:r>
        <w:rPr>
          <w:sz w:val="22"/>
        </w:rPr>
        <w:t>the</w:t>
      </w:r>
      <w:r>
        <w:rPr>
          <w:spacing w:val="-7"/>
          <w:sz w:val="22"/>
        </w:rPr>
        <w:t> </w:t>
      </w:r>
      <w:r>
        <w:rPr>
          <w:sz w:val="22"/>
        </w:rPr>
        <w:t>quality</w:t>
      </w:r>
      <w:r>
        <w:rPr>
          <w:spacing w:val="-4"/>
          <w:sz w:val="22"/>
        </w:rPr>
        <w:t> </w:t>
      </w:r>
      <w:r>
        <w:rPr>
          <w:sz w:val="22"/>
        </w:rPr>
        <w:t>and</w:t>
      </w:r>
      <w:r>
        <w:rPr>
          <w:spacing w:val="-2"/>
          <w:sz w:val="22"/>
        </w:rPr>
        <w:t> </w:t>
      </w:r>
      <w:r>
        <w:rPr>
          <w:sz w:val="22"/>
        </w:rPr>
        <w:t>integrity</w:t>
      </w:r>
      <w:r>
        <w:rPr>
          <w:spacing w:val="-4"/>
          <w:sz w:val="22"/>
        </w:rPr>
        <w:t> </w:t>
      </w:r>
      <w:r>
        <w:rPr>
          <w:sz w:val="22"/>
        </w:rPr>
        <w:t>of the</w:t>
      </w:r>
      <w:r>
        <w:rPr>
          <w:spacing w:val="-2"/>
          <w:sz w:val="22"/>
        </w:rPr>
        <w:t> </w:t>
      </w:r>
      <w:r>
        <w:rPr>
          <w:sz w:val="22"/>
        </w:rPr>
        <w:t>existing electricity</w:t>
      </w:r>
      <w:r>
        <w:rPr>
          <w:spacing w:val="-4"/>
          <w:sz w:val="22"/>
        </w:rPr>
        <w:t> </w:t>
      </w:r>
      <w:r>
        <w:rPr>
          <w:sz w:val="22"/>
        </w:rPr>
        <w:t>and</w:t>
      </w:r>
      <w:r>
        <w:rPr>
          <w:spacing w:val="-4"/>
          <w:sz w:val="22"/>
        </w:rPr>
        <w:t> </w:t>
      </w:r>
      <w:r>
        <w:rPr>
          <w:sz w:val="22"/>
        </w:rPr>
        <w:t>gas</w:t>
      </w:r>
      <w:r>
        <w:rPr>
          <w:spacing w:val="-4"/>
          <w:sz w:val="22"/>
        </w:rPr>
        <w:t> </w:t>
      </w:r>
      <w:r>
        <w:rPr>
          <w:sz w:val="22"/>
        </w:rPr>
        <w:t>network safety performance data held by ESV.</w:t>
      </w:r>
    </w:p>
    <w:p>
      <w:pPr>
        <w:pStyle w:val="BodyText"/>
        <w:rPr>
          <w:sz w:val="24"/>
        </w:rPr>
      </w:pPr>
    </w:p>
    <w:p>
      <w:pPr>
        <w:pStyle w:val="BodyText"/>
        <w:rPr>
          <w:sz w:val="24"/>
        </w:rPr>
      </w:pPr>
    </w:p>
    <w:p>
      <w:pPr>
        <w:pStyle w:val="BodyText"/>
        <w:rPr>
          <w:sz w:val="20"/>
        </w:rPr>
      </w:pPr>
    </w:p>
    <w:p>
      <w:pPr>
        <w:spacing w:line="288" w:lineRule="auto" w:before="0"/>
        <w:ind w:left="292" w:right="1369" w:firstLine="0"/>
        <w:jc w:val="left"/>
        <w:rPr>
          <w:b/>
          <w:sz w:val="22"/>
        </w:rPr>
      </w:pPr>
      <w:r>
        <w:rPr>
          <w:b/>
          <w:sz w:val="22"/>
        </w:rPr>
        <w:t>Further</w:t>
      </w:r>
      <w:r>
        <w:rPr>
          <w:b/>
          <w:spacing w:val="-3"/>
          <w:sz w:val="22"/>
        </w:rPr>
        <w:t> </w:t>
      </w:r>
      <w:r>
        <w:rPr>
          <w:b/>
          <w:sz w:val="22"/>
        </w:rPr>
        <w:t>information</w:t>
      </w:r>
      <w:r>
        <w:rPr>
          <w:b/>
          <w:spacing w:val="-2"/>
          <w:sz w:val="22"/>
        </w:rPr>
        <w:t> </w:t>
      </w:r>
      <w:r>
        <w:rPr>
          <w:b/>
          <w:sz w:val="22"/>
        </w:rPr>
        <w:t>on</w:t>
      </w:r>
      <w:r>
        <w:rPr>
          <w:b/>
          <w:spacing w:val="-7"/>
          <w:sz w:val="22"/>
        </w:rPr>
        <w:t> </w:t>
      </w:r>
      <w:r>
        <w:rPr>
          <w:b/>
          <w:sz w:val="22"/>
        </w:rPr>
        <w:t>the</w:t>
      </w:r>
      <w:r>
        <w:rPr>
          <w:b/>
          <w:spacing w:val="-2"/>
          <w:sz w:val="22"/>
        </w:rPr>
        <w:t> </w:t>
      </w:r>
      <w:r>
        <w:rPr>
          <w:b/>
          <w:sz w:val="22"/>
        </w:rPr>
        <w:t>Review can</w:t>
      </w:r>
      <w:r>
        <w:rPr>
          <w:b/>
          <w:spacing w:val="-2"/>
          <w:sz w:val="22"/>
        </w:rPr>
        <w:t> </w:t>
      </w:r>
      <w:r>
        <w:rPr>
          <w:b/>
          <w:sz w:val="22"/>
        </w:rPr>
        <w:t>be</w:t>
      </w:r>
      <w:r>
        <w:rPr>
          <w:b/>
          <w:spacing w:val="-1"/>
          <w:sz w:val="22"/>
        </w:rPr>
        <w:t> </w:t>
      </w:r>
      <w:r>
        <w:rPr>
          <w:b/>
          <w:sz w:val="22"/>
        </w:rPr>
        <w:t>found</w:t>
      </w:r>
      <w:r>
        <w:rPr>
          <w:b/>
          <w:spacing w:val="-1"/>
          <w:sz w:val="22"/>
        </w:rPr>
        <w:t> </w:t>
      </w:r>
      <w:r>
        <w:rPr>
          <w:b/>
          <w:sz w:val="22"/>
        </w:rPr>
        <w:t>on</w:t>
      </w:r>
      <w:r>
        <w:rPr>
          <w:b/>
          <w:spacing w:val="-5"/>
          <w:sz w:val="22"/>
        </w:rPr>
        <w:t> </w:t>
      </w:r>
      <w:r>
        <w:rPr>
          <w:b/>
          <w:sz w:val="22"/>
        </w:rPr>
        <w:t>the</w:t>
      </w:r>
      <w:r>
        <w:rPr>
          <w:b/>
          <w:spacing w:val="-1"/>
          <w:sz w:val="22"/>
        </w:rPr>
        <w:t> </w:t>
      </w:r>
      <w:r>
        <w:rPr>
          <w:b/>
          <w:sz w:val="22"/>
        </w:rPr>
        <w:t>Engage</w:t>
      </w:r>
      <w:r>
        <w:rPr>
          <w:b/>
          <w:spacing w:val="-4"/>
          <w:sz w:val="22"/>
        </w:rPr>
        <w:t> </w:t>
      </w:r>
      <w:r>
        <w:rPr>
          <w:b/>
          <w:sz w:val="22"/>
        </w:rPr>
        <w:t>Victoria</w:t>
      </w:r>
      <w:r>
        <w:rPr>
          <w:b/>
          <w:spacing w:val="-6"/>
          <w:sz w:val="22"/>
        </w:rPr>
        <w:t> </w:t>
      </w:r>
      <w:r>
        <w:rPr>
          <w:b/>
          <w:sz w:val="22"/>
        </w:rPr>
        <w:t>website</w:t>
      </w:r>
      <w:r>
        <w:rPr>
          <w:b/>
          <w:spacing w:val="-2"/>
          <w:sz w:val="22"/>
        </w:rPr>
        <w:t> </w:t>
      </w:r>
      <w:r>
        <w:rPr>
          <w:b/>
          <w:sz w:val="22"/>
        </w:rPr>
        <w:t>at </w:t>
      </w:r>
      <w:hyperlink r:id="rId25">
        <w:r>
          <w:rPr>
            <w:b/>
            <w:spacing w:val="-2"/>
            <w:sz w:val="22"/>
            <w:u w:val="thick"/>
          </w:rPr>
          <w:t>engage.vic.gov.au/electricity-network-safety-review</w:t>
        </w:r>
      </w:hyperlink>
      <w:r>
        <w:rPr>
          <w:b/>
          <w:spacing w:val="-2"/>
          <w:sz w:val="22"/>
        </w:rPr>
        <w:t>.</w:t>
      </w:r>
    </w:p>
    <w:p>
      <w:pPr>
        <w:spacing w:after="0" w:line="288" w:lineRule="auto"/>
        <w:jc w:val="left"/>
        <w:rPr>
          <w:sz w:val="22"/>
        </w:rPr>
        <w:sectPr>
          <w:pgSz w:w="11910" w:h="16850"/>
          <w:pgMar w:header="465" w:footer="880" w:top="660" w:bottom="1060" w:left="840" w:right="820"/>
        </w:sectPr>
      </w:pPr>
    </w:p>
    <w:p>
      <w:pPr>
        <w:pStyle w:val="BodyText"/>
        <w:spacing w:line="141" w:lineRule="exact"/>
        <w:ind w:left="264"/>
        <w:rPr>
          <w:sz w:val="14"/>
        </w:rPr>
      </w:pPr>
      <w:r>
        <w:rPr/>
        <w:drawing>
          <wp:anchor distT="0" distB="0" distL="0" distR="0" allowOverlap="1" layoutInCell="1" locked="0" behindDoc="0" simplePos="0" relativeHeight="15738368">
            <wp:simplePos x="0" y="0"/>
            <wp:positionH relativeFrom="page">
              <wp:posOffset>636</wp:posOffset>
            </wp:positionH>
            <wp:positionV relativeFrom="page">
              <wp:posOffset>0</wp:posOffset>
            </wp:positionV>
            <wp:extent cx="7559675" cy="10691493"/>
            <wp:effectExtent l="0" t="0" r="0" b="0"/>
            <wp:wrapNone/>
            <wp:docPr id="47" name="Image 47"/>
            <wp:cNvGraphicFramePr>
              <a:graphicFrameLocks/>
            </wp:cNvGraphicFramePr>
            <a:graphic>
              <a:graphicData uri="http://schemas.openxmlformats.org/drawingml/2006/picture">
                <pic:pic>
                  <pic:nvPicPr>
                    <pic:cNvPr id="47" name="Image 47"/>
                    <pic:cNvPicPr/>
                  </pic:nvPicPr>
                  <pic:blipFill>
                    <a:blip r:embed="rId28" cstate="print"/>
                    <a:stretch>
                      <a:fillRect/>
                    </a:stretch>
                  </pic:blipFill>
                  <pic:spPr>
                    <a:xfrm>
                      <a:off x="0" y="0"/>
                      <a:ext cx="7559675" cy="10691493"/>
                    </a:xfrm>
                    <a:prstGeom prst="rect">
                      <a:avLst/>
                    </a:prstGeom>
                  </pic:spPr>
                </pic:pic>
              </a:graphicData>
            </a:graphic>
          </wp:anchor>
        </w:drawing>
      </w:r>
      <w:r>
        <w:rPr>
          <w:position w:val="-2"/>
          <w:sz w:val="14"/>
        </w:rPr>
        <mc:AlternateContent>
          <mc:Choice Requires="wps">
            <w:drawing>
              <wp:inline distT="0" distB="0" distL="0" distR="0">
                <wp:extent cx="6158230" cy="90170"/>
                <wp:effectExtent l="0" t="0" r="0" b="0"/>
                <wp:docPr id="48" name="Group 48"/>
                <wp:cNvGraphicFramePr>
                  <a:graphicFrameLocks/>
                </wp:cNvGraphicFramePr>
                <a:graphic>
                  <a:graphicData uri="http://schemas.microsoft.com/office/word/2010/wordprocessingGroup">
                    <wpg:wgp>
                      <wpg:cNvPr id="48" name="Group 48"/>
                      <wpg:cNvGrpSpPr/>
                      <wpg:grpSpPr>
                        <a:xfrm>
                          <a:off x="0" y="0"/>
                          <a:ext cx="6158230" cy="90170"/>
                          <a:chExt cx="6158230" cy="90170"/>
                        </a:xfrm>
                      </wpg:grpSpPr>
                      <wps:wsp>
                        <wps:cNvPr id="49" name="Graphic 49"/>
                        <wps:cNvSpPr/>
                        <wps:spPr>
                          <a:xfrm>
                            <a:off x="0" y="0"/>
                            <a:ext cx="6158230" cy="90170"/>
                          </a:xfrm>
                          <a:custGeom>
                            <a:avLst/>
                            <a:gdLst/>
                            <a:ahLst/>
                            <a:cxnLst/>
                            <a:rect l="l" t="t" r="r" b="b"/>
                            <a:pathLst>
                              <a:path w="6158230" h="90170">
                                <a:moveTo>
                                  <a:pt x="6158230" y="0"/>
                                </a:moveTo>
                                <a:lnTo>
                                  <a:pt x="0" y="0"/>
                                </a:lnTo>
                                <a:lnTo>
                                  <a:pt x="0" y="89916"/>
                                </a:lnTo>
                                <a:lnTo>
                                  <a:pt x="6158230" y="89916"/>
                                </a:lnTo>
                                <a:lnTo>
                                  <a:pt x="6158230" y="0"/>
                                </a:lnTo>
                                <a:close/>
                              </a:path>
                            </a:pathLst>
                          </a:custGeom>
                          <a:solidFill>
                            <a:srgbClr val="00B3A8"/>
                          </a:solidFill>
                        </wps:spPr>
                        <wps:bodyPr wrap="square" lIns="0" tIns="0" rIns="0" bIns="0" rtlCol="0">
                          <a:prstTxWarp prst="textNoShape">
                            <a:avLst/>
                          </a:prstTxWarp>
                          <a:noAutofit/>
                        </wps:bodyPr>
                      </wps:wsp>
                    </wpg:wgp>
                  </a:graphicData>
                </a:graphic>
              </wp:inline>
            </w:drawing>
          </mc:Choice>
          <mc:Fallback>
            <w:pict>
              <v:group style="width:484.9pt;height:7.1pt;mso-position-horizontal-relative:char;mso-position-vertical-relative:line" id="docshapegroup45" coordorigin="0,0" coordsize="9698,142">
                <v:rect style="position:absolute;left:0;top:0;width:9698;height:142" id="docshape46" filled="true" fillcolor="#00b3a8" stroked="false">
                  <v:fill type="solid"/>
                </v:rect>
              </v:group>
            </w:pict>
          </mc:Fallback>
        </mc:AlternateContent>
      </w:r>
      <w:r>
        <w:rPr>
          <w:position w:val="-2"/>
          <w:sz w:val="14"/>
        </w:rPr>
      </w:r>
    </w:p>
    <w:p>
      <w:pPr>
        <w:pStyle w:val="BodyText"/>
        <w:rPr>
          <w:b/>
          <w:sz w:val="20"/>
        </w:rPr>
      </w:pPr>
    </w:p>
    <w:p>
      <w:pPr>
        <w:pStyle w:val="BodyText"/>
        <w:rPr>
          <w:b/>
          <w:sz w:val="20"/>
        </w:rPr>
      </w:pPr>
    </w:p>
    <w:p>
      <w:pPr>
        <w:pStyle w:val="Heading2"/>
        <w:spacing w:before="262"/>
      </w:pPr>
      <w:bookmarkStart w:name="_bookmark4" w:id="5"/>
      <w:bookmarkEnd w:id="5"/>
      <w:r>
        <w:rPr>
          <w:b w:val="0"/>
        </w:rPr>
      </w:r>
      <w:r>
        <w:rPr>
          <w:color w:val="00B1A9"/>
        </w:rPr>
        <w:t>PART</w:t>
      </w:r>
      <w:r>
        <w:rPr>
          <w:color w:val="00B1A9"/>
          <w:spacing w:val="-11"/>
        </w:rPr>
        <w:t> </w:t>
      </w:r>
      <w:r>
        <w:rPr>
          <w:color w:val="00B1A9"/>
        </w:rPr>
        <w:t>B:</w:t>
      </w:r>
      <w:r>
        <w:rPr>
          <w:color w:val="00B1A9"/>
          <w:spacing w:val="-10"/>
        </w:rPr>
        <w:t> </w:t>
      </w:r>
      <w:r>
        <w:rPr>
          <w:color w:val="00B1A9"/>
        </w:rPr>
        <w:t>THE</w:t>
      </w:r>
      <w:r>
        <w:rPr>
          <w:color w:val="00B1A9"/>
          <w:spacing w:val="-10"/>
        </w:rPr>
        <w:t> </w:t>
      </w:r>
      <w:r>
        <w:rPr>
          <w:color w:val="00B1A9"/>
        </w:rPr>
        <w:t>SAFETY</w:t>
      </w:r>
      <w:r>
        <w:rPr>
          <w:color w:val="00B1A9"/>
          <w:spacing w:val="-17"/>
        </w:rPr>
        <w:t> </w:t>
      </w:r>
      <w:r>
        <w:rPr>
          <w:color w:val="00B1A9"/>
          <w:spacing w:val="-2"/>
        </w:rPr>
        <w:t>FRAMEWORK</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1"/>
        </w:rPr>
      </w:pPr>
    </w:p>
    <w:p>
      <w:pPr>
        <w:spacing w:before="0"/>
        <w:ind w:left="2508" w:right="2526" w:firstLine="0"/>
        <w:jc w:val="center"/>
        <w:rPr>
          <w:sz w:val="16"/>
        </w:rPr>
      </w:pPr>
      <w:r>
        <w:rPr/>
        <mc:AlternateContent>
          <mc:Choice Requires="wps">
            <w:drawing>
              <wp:anchor distT="0" distB="0" distL="0" distR="0" allowOverlap="1" layoutInCell="1" locked="0" behindDoc="1" simplePos="0" relativeHeight="487597056">
                <wp:simplePos x="0" y="0"/>
                <wp:positionH relativeFrom="page">
                  <wp:posOffset>701040</wp:posOffset>
                </wp:positionH>
                <wp:positionV relativeFrom="paragraph">
                  <wp:posOffset>133018</wp:posOffset>
                </wp:positionV>
                <wp:extent cx="6158230" cy="87630"/>
                <wp:effectExtent l="0" t="0" r="0" b="0"/>
                <wp:wrapTopAndBottom/>
                <wp:docPr id="50" name="Graphic 50"/>
                <wp:cNvGraphicFramePr>
                  <a:graphicFrameLocks/>
                </wp:cNvGraphicFramePr>
                <a:graphic>
                  <a:graphicData uri="http://schemas.microsoft.com/office/word/2010/wordprocessingShape">
                    <wps:wsp>
                      <wps:cNvPr id="50" name="Graphic 50"/>
                      <wps:cNvSpPr/>
                      <wps:spPr>
                        <a:xfrm>
                          <a:off x="0" y="0"/>
                          <a:ext cx="6158230" cy="87630"/>
                        </a:xfrm>
                        <a:custGeom>
                          <a:avLst/>
                          <a:gdLst/>
                          <a:ahLst/>
                          <a:cxnLst/>
                          <a:rect l="l" t="t" r="r" b="b"/>
                          <a:pathLst>
                            <a:path w="6158230" h="87630">
                              <a:moveTo>
                                <a:pt x="6158230" y="0"/>
                              </a:moveTo>
                              <a:lnTo>
                                <a:pt x="0" y="0"/>
                              </a:lnTo>
                              <a:lnTo>
                                <a:pt x="0" y="87172"/>
                              </a:lnTo>
                              <a:lnTo>
                                <a:pt x="6158230" y="87172"/>
                              </a:lnTo>
                              <a:lnTo>
                                <a:pt x="6158230" y="0"/>
                              </a:lnTo>
                              <a:close/>
                            </a:path>
                          </a:pathLst>
                        </a:custGeom>
                        <a:solidFill>
                          <a:srgbClr val="00B3A8"/>
                        </a:solidFill>
                      </wps:spPr>
                      <wps:bodyPr wrap="square" lIns="0" tIns="0" rIns="0" bIns="0" rtlCol="0">
                        <a:prstTxWarp prst="textNoShape">
                          <a:avLst/>
                        </a:prstTxWarp>
                        <a:noAutofit/>
                      </wps:bodyPr>
                    </wps:wsp>
                  </a:graphicData>
                </a:graphic>
              </wp:anchor>
            </w:drawing>
          </mc:Choice>
          <mc:Fallback>
            <w:pict>
              <v:rect style="position:absolute;margin-left:55.200001pt;margin-top:10.473905pt;width:484.9pt;height:6.864pt;mso-position-horizontal-relative:page;mso-position-vertical-relative:paragraph;z-index:-15719424;mso-wrap-distance-left:0;mso-wrap-distance-right:0" id="docshape47" filled="true" fillcolor="#00b3a8" stroked="false">
                <v:fill type="solid"/>
                <w10:wrap type="topAndBottom"/>
              </v:rect>
            </w:pict>
          </mc:Fallback>
        </mc:AlternateContent>
      </w:r>
      <w:r>
        <w:rPr>
          <w:spacing w:val="-5"/>
          <w:sz w:val="16"/>
        </w:rPr>
        <w:t>42</w:t>
      </w:r>
    </w:p>
    <w:p>
      <w:pPr>
        <w:spacing w:after="0"/>
        <w:jc w:val="center"/>
        <w:rPr>
          <w:sz w:val="16"/>
        </w:rPr>
        <w:sectPr>
          <w:headerReference w:type="default" r:id="rId26"/>
          <w:footerReference w:type="default" r:id="rId27"/>
          <w:pgSz w:w="11910" w:h="16850"/>
          <w:pgMar w:header="0" w:footer="0" w:top="520" w:bottom="280" w:left="840" w:right="820"/>
        </w:sectPr>
      </w:pPr>
    </w:p>
    <w:p>
      <w:pPr>
        <w:pStyle w:val="BodyText"/>
        <w:rPr>
          <w:sz w:val="20"/>
        </w:rPr>
      </w:pPr>
    </w:p>
    <w:p>
      <w:pPr>
        <w:pStyle w:val="BodyText"/>
        <w:rPr>
          <w:sz w:val="20"/>
        </w:rPr>
      </w:pPr>
    </w:p>
    <w:p>
      <w:pPr>
        <w:pStyle w:val="Heading3"/>
        <w:spacing w:before="259"/>
        <w:ind w:left="292"/>
      </w:pPr>
      <w:r>
        <w:rPr>
          <w:color w:val="00B1A9"/>
        </w:rPr>
        <w:t>The</w:t>
      </w:r>
      <w:r>
        <w:rPr>
          <w:color w:val="00B1A9"/>
          <w:spacing w:val="-4"/>
        </w:rPr>
        <w:t> </w:t>
      </w:r>
      <w:r>
        <w:rPr>
          <w:color w:val="00B1A9"/>
        </w:rPr>
        <w:t>safety</w:t>
      </w:r>
      <w:r>
        <w:rPr>
          <w:color w:val="00B1A9"/>
          <w:spacing w:val="-7"/>
        </w:rPr>
        <w:t> </w:t>
      </w:r>
      <w:r>
        <w:rPr>
          <w:color w:val="00B1A9"/>
          <w:spacing w:val="-2"/>
        </w:rPr>
        <w:t>framework</w:t>
      </w:r>
    </w:p>
    <w:p>
      <w:pPr>
        <w:pStyle w:val="Heading7"/>
        <w:spacing w:line="288" w:lineRule="auto" w:before="331"/>
        <w:ind w:left="292" w:right="311"/>
      </w:pPr>
      <w:r>
        <w:rPr/>
        <w:t>Energy</w:t>
      </w:r>
      <w:r>
        <w:rPr>
          <w:spacing w:val="-6"/>
        </w:rPr>
        <w:t> </w:t>
      </w:r>
      <w:r>
        <w:rPr/>
        <w:t>is</w:t>
      </w:r>
      <w:r>
        <w:rPr>
          <w:spacing w:val="-1"/>
        </w:rPr>
        <w:t> </w:t>
      </w:r>
      <w:r>
        <w:rPr/>
        <w:t>critical</w:t>
      </w:r>
      <w:r>
        <w:rPr>
          <w:spacing w:val="-2"/>
        </w:rPr>
        <w:t> </w:t>
      </w:r>
      <w:r>
        <w:rPr/>
        <w:t>to</w:t>
      </w:r>
      <w:r>
        <w:rPr>
          <w:spacing w:val="-4"/>
        </w:rPr>
        <w:t> </w:t>
      </w:r>
      <w:r>
        <w:rPr/>
        <w:t>the</w:t>
      </w:r>
      <w:r>
        <w:rPr>
          <w:spacing w:val="-6"/>
        </w:rPr>
        <w:t> </w:t>
      </w:r>
      <w:r>
        <w:rPr/>
        <w:t>wellbeing</w:t>
      </w:r>
      <w:r>
        <w:rPr>
          <w:spacing w:val="-1"/>
        </w:rPr>
        <w:t> </w:t>
      </w:r>
      <w:r>
        <w:rPr/>
        <w:t>of</w:t>
      </w:r>
      <w:r>
        <w:rPr>
          <w:spacing w:val="-1"/>
        </w:rPr>
        <w:t> </w:t>
      </w:r>
      <w:r>
        <w:rPr/>
        <w:t>Victorians</w:t>
      </w:r>
      <w:r>
        <w:rPr>
          <w:spacing w:val="-2"/>
        </w:rPr>
        <w:t> </w:t>
      </w:r>
      <w:r>
        <w:rPr/>
        <w:t>and</w:t>
      </w:r>
      <w:r>
        <w:rPr>
          <w:spacing w:val="-2"/>
        </w:rPr>
        <w:t> </w:t>
      </w:r>
      <w:r>
        <w:rPr/>
        <w:t>underpins</w:t>
      </w:r>
      <w:r>
        <w:rPr>
          <w:spacing w:val="-5"/>
        </w:rPr>
        <w:t> </w:t>
      </w:r>
      <w:r>
        <w:rPr/>
        <w:t>the</w:t>
      </w:r>
      <w:r>
        <w:rPr>
          <w:spacing w:val="-3"/>
        </w:rPr>
        <w:t> </w:t>
      </w:r>
      <w:r>
        <w:rPr/>
        <w:t>growth</w:t>
      </w:r>
      <w:r>
        <w:rPr>
          <w:spacing w:val="-4"/>
        </w:rPr>
        <w:t> </w:t>
      </w:r>
      <w:r>
        <w:rPr/>
        <w:t>and</w:t>
      </w:r>
      <w:r>
        <w:rPr>
          <w:spacing w:val="-2"/>
        </w:rPr>
        <w:t> </w:t>
      </w:r>
      <w:r>
        <w:rPr/>
        <w:t>development of the Victorian economy.</w:t>
      </w:r>
    </w:p>
    <w:p>
      <w:pPr>
        <w:pStyle w:val="BodyText"/>
        <w:spacing w:before="10"/>
        <w:rPr>
          <w:b/>
          <w:sz w:val="20"/>
        </w:rPr>
      </w:pPr>
    </w:p>
    <w:p>
      <w:pPr>
        <w:pStyle w:val="BodyText"/>
        <w:spacing w:line="288" w:lineRule="auto"/>
        <w:ind w:left="292"/>
      </w:pPr>
      <w:r>
        <w:rPr/>
        <w:t>The</w:t>
      </w:r>
      <w:r>
        <w:rPr>
          <w:spacing w:val="-7"/>
        </w:rPr>
        <w:t> </w:t>
      </w:r>
      <w:r>
        <w:rPr/>
        <w:t>key</w:t>
      </w:r>
      <w:r>
        <w:rPr>
          <w:spacing w:val="-4"/>
        </w:rPr>
        <w:t> </w:t>
      </w:r>
      <w:r>
        <w:rPr/>
        <w:t>objective</w:t>
      </w:r>
      <w:r>
        <w:rPr>
          <w:spacing w:val="-2"/>
        </w:rPr>
        <w:t> </w:t>
      </w:r>
      <w:r>
        <w:rPr/>
        <w:t>of the</w:t>
      </w:r>
      <w:r>
        <w:rPr>
          <w:spacing w:val="-4"/>
        </w:rPr>
        <w:t> </w:t>
      </w:r>
      <w:r>
        <w:rPr/>
        <w:t>electricity</w:t>
      </w:r>
      <w:r>
        <w:rPr>
          <w:spacing w:val="-4"/>
        </w:rPr>
        <w:t> </w:t>
      </w:r>
      <w:r>
        <w:rPr/>
        <w:t>and</w:t>
      </w:r>
      <w:r>
        <w:rPr>
          <w:spacing w:val="-4"/>
        </w:rPr>
        <w:t> </w:t>
      </w:r>
      <w:r>
        <w:rPr/>
        <w:t>gas</w:t>
      </w:r>
      <w:r>
        <w:rPr>
          <w:spacing w:val="-4"/>
        </w:rPr>
        <w:t> </w:t>
      </w:r>
      <w:r>
        <w:rPr/>
        <w:t>network safety</w:t>
      </w:r>
      <w:r>
        <w:rPr>
          <w:spacing w:val="-5"/>
        </w:rPr>
        <w:t> </w:t>
      </w:r>
      <w:r>
        <w:rPr/>
        <w:t>framework</w:t>
      </w:r>
      <w:r>
        <w:rPr>
          <w:spacing w:val="-1"/>
        </w:rPr>
        <w:t> </w:t>
      </w:r>
      <w:r>
        <w:rPr/>
        <w:t>is</w:t>
      </w:r>
      <w:r>
        <w:rPr>
          <w:spacing w:val="-4"/>
        </w:rPr>
        <w:t> </w:t>
      </w:r>
      <w:r>
        <w:rPr/>
        <w:t>to</w:t>
      </w:r>
      <w:r>
        <w:rPr>
          <w:spacing w:val="-4"/>
        </w:rPr>
        <w:t> </w:t>
      </w:r>
      <w:r>
        <w:rPr/>
        <w:t>protect</w:t>
      </w:r>
      <w:r>
        <w:rPr>
          <w:spacing w:val="-3"/>
        </w:rPr>
        <w:t> </w:t>
      </w:r>
      <w:r>
        <w:rPr/>
        <w:t>the</w:t>
      </w:r>
      <w:r>
        <w:rPr>
          <w:spacing w:val="-2"/>
        </w:rPr>
        <w:t> </w:t>
      </w:r>
      <w:r>
        <w:rPr/>
        <w:t>Victorian community from the risks associated with the supply and use of electricity and gas.</w:t>
      </w:r>
    </w:p>
    <w:p>
      <w:pPr>
        <w:pStyle w:val="BodyText"/>
        <w:spacing w:before="10"/>
        <w:rPr>
          <w:sz w:val="20"/>
        </w:rPr>
      </w:pPr>
    </w:p>
    <w:p>
      <w:pPr>
        <w:pStyle w:val="BodyText"/>
        <w:spacing w:line="288" w:lineRule="auto"/>
        <w:ind w:left="292" w:right="311"/>
      </w:pPr>
      <w:r>
        <w:rPr/>
        <w:t>This</w:t>
      </w:r>
      <w:r>
        <w:rPr>
          <w:spacing w:val="-1"/>
        </w:rPr>
        <w:t> </w:t>
      </w:r>
      <w:r>
        <w:rPr/>
        <w:t>includes</w:t>
      </w:r>
      <w:r>
        <w:rPr>
          <w:spacing w:val="-4"/>
        </w:rPr>
        <w:t> </w:t>
      </w:r>
      <w:r>
        <w:rPr/>
        <w:t>the</w:t>
      </w:r>
      <w:r>
        <w:rPr>
          <w:spacing w:val="-4"/>
        </w:rPr>
        <w:t> </w:t>
      </w:r>
      <w:r>
        <w:rPr/>
        <w:t>safety</w:t>
      </w:r>
      <w:r>
        <w:rPr>
          <w:spacing w:val="-6"/>
        </w:rPr>
        <w:t> </w:t>
      </w:r>
      <w:r>
        <w:rPr/>
        <w:t>of the</w:t>
      </w:r>
      <w:r>
        <w:rPr>
          <w:spacing w:val="-2"/>
        </w:rPr>
        <w:t> </w:t>
      </w:r>
      <w:r>
        <w:rPr/>
        <w:t>public who</w:t>
      </w:r>
      <w:r>
        <w:rPr>
          <w:spacing w:val="-2"/>
        </w:rPr>
        <w:t> </w:t>
      </w:r>
      <w:r>
        <w:rPr/>
        <w:t>rely</w:t>
      </w:r>
      <w:r>
        <w:rPr>
          <w:spacing w:val="-4"/>
        </w:rPr>
        <w:t> </w:t>
      </w:r>
      <w:r>
        <w:rPr/>
        <w:t>on</w:t>
      </w:r>
      <w:r>
        <w:rPr>
          <w:spacing w:val="-4"/>
        </w:rPr>
        <w:t> </w:t>
      </w:r>
      <w:r>
        <w:rPr/>
        <w:t>the</w:t>
      </w:r>
      <w:r>
        <w:rPr>
          <w:spacing w:val="-2"/>
        </w:rPr>
        <w:t> </w:t>
      </w:r>
      <w:r>
        <w:rPr/>
        <w:t>supply</w:t>
      </w:r>
      <w:r>
        <w:rPr>
          <w:spacing w:val="-4"/>
        </w:rPr>
        <w:t> </w:t>
      </w:r>
      <w:r>
        <w:rPr/>
        <w:t>of electricity</w:t>
      </w:r>
      <w:r>
        <w:rPr>
          <w:spacing w:val="-4"/>
        </w:rPr>
        <w:t> </w:t>
      </w:r>
      <w:r>
        <w:rPr/>
        <w:t>and</w:t>
      </w:r>
      <w:r>
        <w:rPr>
          <w:spacing w:val="-4"/>
        </w:rPr>
        <w:t> </w:t>
      </w:r>
      <w:r>
        <w:rPr/>
        <w:t>gas,</w:t>
      </w:r>
      <w:r>
        <w:rPr>
          <w:spacing w:val="-3"/>
        </w:rPr>
        <w:t> </w:t>
      </w:r>
      <w:r>
        <w:rPr/>
        <w:t>the</w:t>
      </w:r>
      <w:r>
        <w:rPr>
          <w:spacing w:val="-4"/>
        </w:rPr>
        <w:t> </w:t>
      </w:r>
      <w:r>
        <w:rPr/>
        <w:t>people</w:t>
      </w:r>
      <w:r>
        <w:rPr>
          <w:spacing w:val="-2"/>
        </w:rPr>
        <w:t> </w:t>
      </w:r>
      <w:r>
        <w:rPr/>
        <w:t>who live and work near electricity and gas infrastructure, and the workers who work on the network </w:t>
      </w:r>
      <w:r>
        <w:rPr>
          <w:spacing w:val="-2"/>
        </w:rPr>
        <w:t>assets.</w:t>
      </w:r>
    </w:p>
    <w:p>
      <w:pPr>
        <w:pStyle w:val="BodyText"/>
        <w:spacing w:before="9"/>
        <w:rPr>
          <w:sz w:val="20"/>
        </w:rPr>
      </w:pPr>
    </w:p>
    <w:p>
      <w:pPr>
        <w:pStyle w:val="BodyText"/>
        <w:spacing w:line="288" w:lineRule="auto"/>
        <w:ind w:left="292" w:right="586"/>
      </w:pPr>
      <w:r>
        <w:rPr/>
        <w:t>Safety extends across the lifecycle of electricity and gas infrastructure, which includes the planning,</w:t>
      </w:r>
      <w:r>
        <w:rPr>
          <w:spacing w:val="-4"/>
        </w:rPr>
        <w:t> </w:t>
      </w:r>
      <w:r>
        <w:rPr/>
        <w:t>design,</w:t>
      </w:r>
      <w:r>
        <w:rPr>
          <w:spacing w:val="-4"/>
        </w:rPr>
        <w:t> </w:t>
      </w:r>
      <w:r>
        <w:rPr/>
        <w:t>construction,</w:t>
      </w:r>
      <w:r>
        <w:rPr>
          <w:spacing w:val="-6"/>
        </w:rPr>
        <w:t> </w:t>
      </w:r>
      <w:r>
        <w:rPr/>
        <w:t>commissioning,</w:t>
      </w:r>
      <w:r>
        <w:rPr>
          <w:spacing w:val="-4"/>
        </w:rPr>
        <w:t> </w:t>
      </w:r>
      <w:r>
        <w:rPr/>
        <w:t>operation,</w:t>
      </w:r>
      <w:r>
        <w:rPr>
          <w:spacing w:val="-6"/>
        </w:rPr>
        <w:t> </w:t>
      </w:r>
      <w:r>
        <w:rPr/>
        <w:t>maintenance</w:t>
      </w:r>
      <w:r>
        <w:rPr>
          <w:spacing w:val="-5"/>
        </w:rPr>
        <w:t> </w:t>
      </w:r>
      <w:r>
        <w:rPr/>
        <w:t>and</w:t>
      </w:r>
      <w:r>
        <w:rPr>
          <w:spacing w:val="-5"/>
        </w:rPr>
        <w:t> </w:t>
      </w:r>
      <w:r>
        <w:rPr/>
        <w:t>decommissioning</w:t>
      </w:r>
      <w:r>
        <w:rPr>
          <w:spacing w:val="-5"/>
        </w:rPr>
        <w:t> </w:t>
      </w:r>
      <w:r>
        <w:rPr/>
        <w:t>of network assets. Safety is achieved through a continuing process of hazard identification, risk assessment and risk management.</w:t>
      </w:r>
    </w:p>
    <w:p>
      <w:pPr>
        <w:pStyle w:val="BodyText"/>
        <w:spacing w:before="10"/>
        <w:rPr>
          <w:sz w:val="20"/>
        </w:rPr>
      </w:pPr>
    </w:p>
    <w:p>
      <w:pPr>
        <w:pStyle w:val="BodyText"/>
        <w:spacing w:line="288" w:lineRule="auto" w:before="1"/>
        <w:ind w:left="292" w:right="311"/>
      </w:pPr>
      <w:r>
        <w:rPr/>
        <w:t>The safety framework has evolved significantly over the past three decades with the deregulation and</w:t>
      </w:r>
      <w:r>
        <w:rPr>
          <w:spacing w:val="-2"/>
        </w:rPr>
        <w:t> </w:t>
      </w:r>
      <w:r>
        <w:rPr/>
        <w:t>privatisation</w:t>
      </w:r>
      <w:r>
        <w:rPr>
          <w:spacing w:val="-2"/>
        </w:rPr>
        <w:t> </w:t>
      </w:r>
      <w:r>
        <w:rPr/>
        <w:t>of</w:t>
      </w:r>
      <w:r>
        <w:rPr>
          <w:spacing w:val="-3"/>
        </w:rPr>
        <w:t> </w:t>
      </w:r>
      <w:r>
        <w:rPr/>
        <w:t>the</w:t>
      </w:r>
      <w:r>
        <w:rPr>
          <w:spacing w:val="-2"/>
        </w:rPr>
        <w:t> </w:t>
      </w:r>
      <w:r>
        <w:rPr/>
        <w:t>energy</w:t>
      </w:r>
      <w:r>
        <w:rPr>
          <w:spacing w:val="-4"/>
        </w:rPr>
        <w:t> </w:t>
      </w:r>
      <w:r>
        <w:rPr/>
        <w:t>industry,</w:t>
      </w:r>
      <w:r>
        <w:rPr>
          <w:spacing w:val="-3"/>
        </w:rPr>
        <w:t> </w:t>
      </w:r>
      <w:r>
        <w:rPr/>
        <w:t>the</w:t>
      </w:r>
      <w:r>
        <w:rPr>
          <w:spacing w:val="-2"/>
        </w:rPr>
        <w:t> </w:t>
      </w:r>
      <w:r>
        <w:rPr/>
        <w:t>establishment</w:t>
      </w:r>
      <w:r>
        <w:rPr>
          <w:spacing w:val="-1"/>
        </w:rPr>
        <w:t> </w:t>
      </w:r>
      <w:r>
        <w:rPr/>
        <w:t>of a</w:t>
      </w:r>
      <w:r>
        <w:rPr>
          <w:spacing w:val="-4"/>
        </w:rPr>
        <w:t> </w:t>
      </w:r>
      <w:r>
        <w:rPr/>
        <w:t>new</w:t>
      </w:r>
      <w:r>
        <w:rPr>
          <w:spacing w:val="-5"/>
        </w:rPr>
        <w:t> </w:t>
      </w:r>
      <w:r>
        <w:rPr/>
        <w:t>single</w:t>
      </w:r>
      <w:r>
        <w:rPr>
          <w:spacing w:val="-4"/>
        </w:rPr>
        <w:t> </w:t>
      </w:r>
      <w:r>
        <w:rPr/>
        <w:t>energy</w:t>
      </w:r>
      <w:r>
        <w:rPr>
          <w:spacing w:val="-4"/>
        </w:rPr>
        <w:t> </w:t>
      </w:r>
      <w:r>
        <w:rPr/>
        <w:t>safety</w:t>
      </w:r>
      <w:r>
        <w:rPr>
          <w:spacing w:val="-5"/>
        </w:rPr>
        <w:t> </w:t>
      </w:r>
      <w:r>
        <w:rPr/>
        <w:t>regulator, and the introduction of new technologies and changing consumer behaviour.</w:t>
      </w:r>
    </w:p>
    <w:p>
      <w:pPr>
        <w:pStyle w:val="BodyText"/>
        <w:spacing w:before="4"/>
        <w:rPr>
          <w:sz w:val="31"/>
        </w:rPr>
      </w:pPr>
    </w:p>
    <w:p>
      <w:pPr>
        <w:pStyle w:val="Heading4"/>
        <w:spacing w:before="0"/>
        <w:ind w:left="292"/>
      </w:pPr>
      <w:r>
        <w:rPr>
          <w:color w:val="585858"/>
        </w:rPr>
        <w:t>Defining</w:t>
      </w:r>
      <w:r>
        <w:rPr>
          <w:color w:val="585858"/>
          <w:spacing w:val="-9"/>
        </w:rPr>
        <w:t> </w:t>
      </w:r>
      <w:r>
        <w:rPr>
          <w:color w:val="585858"/>
        </w:rPr>
        <w:t>electricity</w:t>
      </w:r>
      <w:r>
        <w:rPr>
          <w:color w:val="585858"/>
          <w:spacing w:val="-13"/>
        </w:rPr>
        <w:t> </w:t>
      </w:r>
      <w:r>
        <w:rPr>
          <w:color w:val="585858"/>
        </w:rPr>
        <w:t>and</w:t>
      </w:r>
      <w:r>
        <w:rPr>
          <w:color w:val="585858"/>
          <w:spacing w:val="-9"/>
        </w:rPr>
        <w:t> </w:t>
      </w:r>
      <w:r>
        <w:rPr>
          <w:color w:val="585858"/>
        </w:rPr>
        <w:t>gas</w:t>
      </w:r>
      <w:r>
        <w:rPr>
          <w:color w:val="585858"/>
          <w:spacing w:val="-9"/>
        </w:rPr>
        <w:t> </w:t>
      </w:r>
      <w:r>
        <w:rPr>
          <w:color w:val="585858"/>
          <w:spacing w:val="-2"/>
        </w:rPr>
        <w:t>networks</w:t>
      </w:r>
    </w:p>
    <w:p>
      <w:pPr>
        <w:pStyle w:val="BodyText"/>
        <w:spacing w:line="288" w:lineRule="auto" w:before="314"/>
        <w:ind w:left="292" w:right="311"/>
      </w:pPr>
      <w:r>
        <w:rPr/>
        <w:t>The electricity and gas networks in Victoria operate under a regulated market model with transmission</w:t>
      </w:r>
      <w:r>
        <w:rPr>
          <w:spacing w:val="-2"/>
        </w:rPr>
        <w:t> </w:t>
      </w:r>
      <w:r>
        <w:rPr/>
        <w:t>and</w:t>
      </w:r>
      <w:r>
        <w:rPr>
          <w:spacing w:val="-5"/>
        </w:rPr>
        <w:t> </w:t>
      </w:r>
      <w:r>
        <w:rPr/>
        <w:t>distribution</w:t>
      </w:r>
      <w:r>
        <w:rPr>
          <w:spacing w:val="-3"/>
        </w:rPr>
        <w:t> </w:t>
      </w:r>
      <w:r>
        <w:rPr/>
        <w:t>in</w:t>
      </w:r>
      <w:r>
        <w:rPr>
          <w:spacing w:val="-3"/>
        </w:rPr>
        <w:t> </w:t>
      </w:r>
      <w:r>
        <w:rPr/>
        <w:t>designated</w:t>
      </w:r>
      <w:r>
        <w:rPr>
          <w:spacing w:val="-5"/>
        </w:rPr>
        <w:t> </w:t>
      </w:r>
      <w:r>
        <w:rPr/>
        <w:t>regions,</w:t>
      </w:r>
      <w:r>
        <w:rPr>
          <w:spacing w:val="-2"/>
        </w:rPr>
        <w:t> </w:t>
      </w:r>
      <w:r>
        <w:rPr/>
        <w:t>the</w:t>
      </w:r>
      <w:r>
        <w:rPr>
          <w:spacing w:val="-5"/>
        </w:rPr>
        <w:t> </w:t>
      </w:r>
      <w:r>
        <w:rPr/>
        <w:t>responsibility</w:t>
      </w:r>
      <w:r>
        <w:rPr>
          <w:spacing w:val="-5"/>
        </w:rPr>
        <w:t> </w:t>
      </w:r>
      <w:r>
        <w:rPr/>
        <w:t>of</w:t>
      </w:r>
      <w:r>
        <w:rPr>
          <w:spacing w:val="-4"/>
        </w:rPr>
        <w:t> </w:t>
      </w:r>
      <w:r>
        <w:rPr/>
        <w:t>monopoly</w:t>
      </w:r>
      <w:r>
        <w:rPr>
          <w:spacing w:val="-5"/>
        </w:rPr>
        <w:t> </w:t>
      </w:r>
      <w:r>
        <w:rPr/>
        <w:t>businesses. Electricity and gas supply is made up of four separate industries and systems – generation/production, transmission, distribution and retail.</w:t>
      </w:r>
    </w:p>
    <w:p>
      <w:pPr>
        <w:pStyle w:val="BodyText"/>
        <w:rPr>
          <w:sz w:val="24"/>
        </w:rPr>
      </w:pPr>
    </w:p>
    <w:p>
      <w:pPr>
        <w:pStyle w:val="Heading6"/>
        <w:spacing w:before="145"/>
        <w:ind w:left="292"/>
      </w:pPr>
      <w:r>
        <w:rPr>
          <w:spacing w:val="-2"/>
        </w:rPr>
        <w:t>Electricity</w:t>
      </w:r>
    </w:p>
    <w:p>
      <w:pPr>
        <w:pStyle w:val="BodyText"/>
        <w:spacing w:line="288" w:lineRule="auto" w:before="175"/>
        <w:ind w:left="292" w:right="311"/>
      </w:pPr>
      <w:r>
        <w:rPr>
          <w:b/>
        </w:rPr>
        <w:t>Generation</w:t>
      </w:r>
      <w:r>
        <w:rPr>
          <w:b/>
          <w:spacing w:val="-5"/>
        </w:rPr>
        <w:t> </w:t>
      </w:r>
      <w:r>
        <w:rPr/>
        <w:t>refers</w:t>
      </w:r>
      <w:r>
        <w:rPr>
          <w:spacing w:val="-4"/>
        </w:rPr>
        <w:t> </w:t>
      </w:r>
      <w:r>
        <w:rPr/>
        <w:t>to</w:t>
      </w:r>
      <w:r>
        <w:rPr>
          <w:spacing w:val="-5"/>
        </w:rPr>
        <w:t> </w:t>
      </w:r>
      <w:r>
        <w:rPr/>
        <w:t>power</w:t>
      </w:r>
      <w:r>
        <w:rPr>
          <w:spacing w:val="-1"/>
        </w:rPr>
        <w:t> </w:t>
      </w:r>
      <w:r>
        <w:rPr/>
        <w:t>plants</w:t>
      </w:r>
      <w:r>
        <w:rPr>
          <w:spacing w:val="-2"/>
        </w:rPr>
        <w:t> </w:t>
      </w:r>
      <w:r>
        <w:rPr/>
        <w:t>which</w:t>
      </w:r>
      <w:r>
        <w:rPr>
          <w:spacing w:val="-3"/>
        </w:rPr>
        <w:t> </w:t>
      </w:r>
      <w:r>
        <w:rPr/>
        <w:t>generate</w:t>
      </w:r>
      <w:r>
        <w:rPr>
          <w:spacing w:val="-3"/>
        </w:rPr>
        <w:t> </w:t>
      </w:r>
      <w:r>
        <w:rPr/>
        <w:t>electricity</w:t>
      </w:r>
      <w:r>
        <w:rPr>
          <w:spacing w:val="-5"/>
        </w:rPr>
        <w:t> </w:t>
      </w:r>
      <w:r>
        <w:rPr/>
        <w:t>either</w:t>
      </w:r>
      <w:r>
        <w:rPr>
          <w:spacing w:val="-4"/>
        </w:rPr>
        <w:t> </w:t>
      </w:r>
      <w:r>
        <w:rPr/>
        <w:t>through</w:t>
      </w:r>
      <w:r>
        <w:rPr>
          <w:spacing w:val="-3"/>
        </w:rPr>
        <w:t> </w:t>
      </w:r>
      <w:r>
        <w:rPr/>
        <w:t>combustion</w:t>
      </w:r>
      <w:r>
        <w:rPr>
          <w:spacing w:val="-3"/>
        </w:rPr>
        <w:t> </w:t>
      </w:r>
      <w:r>
        <w:rPr/>
        <w:t>of</w:t>
      </w:r>
      <w:r>
        <w:rPr>
          <w:spacing w:val="-4"/>
        </w:rPr>
        <w:t> </w:t>
      </w:r>
      <w:r>
        <w:rPr/>
        <w:t>fossil fuels (coal, gas), or the use of renewable resources (wind, hydro, solar). These are outside the Review’s scope.</w:t>
      </w:r>
    </w:p>
    <w:p>
      <w:pPr>
        <w:pStyle w:val="BodyText"/>
        <w:spacing w:before="8"/>
        <w:rPr>
          <w:sz w:val="20"/>
        </w:rPr>
      </w:pPr>
    </w:p>
    <w:p>
      <w:pPr>
        <w:pStyle w:val="BodyText"/>
        <w:spacing w:line="288" w:lineRule="auto" w:before="1"/>
        <w:ind w:left="292" w:right="646"/>
        <w:jc w:val="both"/>
      </w:pPr>
      <w:r>
        <w:rPr>
          <w:b/>
        </w:rPr>
        <w:t>Transmission</w:t>
      </w:r>
      <w:r>
        <w:rPr>
          <w:b/>
          <w:spacing w:val="-1"/>
        </w:rPr>
        <w:t> </w:t>
      </w:r>
      <w:r>
        <w:rPr/>
        <w:t>refers to</w:t>
      </w:r>
      <w:r>
        <w:rPr>
          <w:spacing w:val="-1"/>
        </w:rPr>
        <w:t> </w:t>
      </w:r>
      <w:r>
        <w:rPr/>
        <w:t>the movement of this power along large</w:t>
      </w:r>
      <w:r>
        <w:rPr>
          <w:spacing w:val="-1"/>
        </w:rPr>
        <w:t> </w:t>
      </w:r>
      <w:r>
        <w:rPr/>
        <w:t>powerlines across</w:t>
      </w:r>
      <w:r>
        <w:rPr>
          <w:spacing w:val="-1"/>
        </w:rPr>
        <w:t> </w:t>
      </w:r>
      <w:r>
        <w:rPr/>
        <w:t>the state, at very</w:t>
      </w:r>
      <w:r>
        <w:rPr>
          <w:spacing w:val="-3"/>
        </w:rPr>
        <w:t> </w:t>
      </w:r>
      <w:r>
        <w:rPr/>
        <w:t>high</w:t>
      </w:r>
      <w:r>
        <w:rPr>
          <w:spacing w:val="-2"/>
        </w:rPr>
        <w:t> </w:t>
      </w:r>
      <w:r>
        <w:rPr/>
        <w:t>voltages</w:t>
      </w:r>
      <w:r>
        <w:rPr>
          <w:spacing w:val="-4"/>
        </w:rPr>
        <w:t> </w:t>
      </w:r>
      <w:r>
        <w:rPr/>
        <w:t>(500,</w:t>
      </w:r>
      <w:r>
        <w:rPr>
          <w:spacing w:val="-3"/>
        </w:rPr>
        <w:t> </w:t>
      </w:r>
      <w:r>
        <w:rPr/>
        <w:t>330</w:t>
      </w:r>
      <w:r>
        <w:rPr>
          <w:spacing w:val="-2"/>
        </w:rPr>
        <w:t> </w:t>
      </w:r>
      <w:r>
        <w:rPr/>
        <w:t>or</w:t>
      </w:r>
      <w:r>
        <w:rPr>
          <w:spacing w:val="-3"/>
        </w:rPr>
        <w:t> </w:t>
      </w:r>
      <w:r>
        <w:rPr/>
        <w:t>220</w:t>
      </w:r>
      <w:r>
        <w:rPr>
          <w:spacing w:val="-4"/>
        </w:rPr>
        <w:t> </w:t>
      </w:r>
      <w:r>
        <w:rPr/>
        <w:t>kV’s).</w:t>
      </w:r>
      <w:r>
        <w:rPr>
          <w:spacing w:val="-5"/>
        </w:rPr>
        <w:t> </w:t>
      </w:r>
      <w:r>
        <w:rPr/>
        <w:t>The</w:t>
      </w:r>
      <w:r>
        <w:rPr>
          <w:spacing w:val="-2"/>
        </w:rPr>
        <w:t> </w:t>
      </w:r>
      <w:r>
        <w:rPr/>
        <w:t>electricity</w:t>
      </w:r>
      <w:r>
        <w:rPr>
          <w:spacing w:val="-4"/>
        </w:rPr>
        <w:t> </w:t>
      </w:r>
      <w:r>
        <w:rPr/>
        <w:t>is</w:t>
      </w:r>
      <w:r>
        <w:rPr>
          <w:spacing w:val="-4"/>
        </w:rPr>
        <w:t> </w:t>
      </w:r>
      <w:r>
        <w:rPr/>
        <w:t>taken</w:t>
      </w:r>
      <w:r>
        <w:rPr>
          <w:spacing w:val="-4"/>
        </w:rPr>
        <w:t> </w:t>
      </w:r>
      <w:r>
        <w:rPr/>
        <w:t>to</w:t>
      </w:r>
      <w:r>
        <w:rPr>
          <w:spacing w:val="-4"/>
        </w:rPr>
        <w:t> </w:t>
      </w:r>
      <w:r>
        <w:rPr/>
        <w:t>a</w:t>
      </w:r>
      <w:r>
        <w:rPr>
          <w:spacing w:val="-2"/>
        </w:rPr>
        <w:t> </w:t>
      </w:r>
      <w:r>
        <w:rPr/>
        <w:t>limited</w:t>
      </w:r>
      <w:r>
        <w:rPr>
          <w:spacing w:val="-2"/>
        </w:rPr>
        <w:t> </w:t>
      </w:r>
      <w:r>
        <w:rPr/>
        <w:t>number</w:t>
      </w:r>
      <w:r>
        <w:rPr>
          <w:spacing w:val="-1"/>
        </w:rPr>
        <w:t> </w:t>
      </w:r>
      <w:r>
        <w:rPr/>
        <w:t>of network locations (terminal stations) for conversion to lower voltages.</w:t>
      </w:r>
    </w:p>
    <w:p>
      <w:pPr>
        <w:pStyle w:val="BodyText"/>
        <w:rPr>
          <w:sz w:val="21"/>
        </w:rPr>
      </w:pPr>
    </w:p>
    <w:p>
      <w:pPr>
        <w:pStyle w:val="BodyText"/>
        <w:spacing w:line="288" w:lineRule="auto"/>
        <w:ind w:left="292" w:right="311"/>
      </w:pPr>
      <w:r>
        <w:rPr/>
        <w:t>The transmission sector in Victoria is comprised of 6,500 kilometres of high-voltage electricity transmission</w:t>
      </w:r>
      <w:r>
        <w:rPr>
          <w:spacing w:val="-3"/>
        </w:rPr>
        <w:t> </w:t>
      </w:r>
      <w:r>
        <w:rPr/>
        <w:t>owned</w:t>
      </w:r>
      <w:r>
        <w:rPr>
          <w:spacing w:val="-3"/>
        </w:rPr>
        <w:t> </w:t>
      </w:r>
      <w:r>
        <w:rPr/>
        <w:t>and</w:t>
      </w:r>
      <w:r>
        <w:rPr>
          <w:spacing w:val="-5"/>
        </w:rPr>
        <w:t> </w:t>
      </w:r>
      <w:r>
        <w:rPr/>
        <w:t>maintained</w:t>
      </w:r>
      <w:r>
        <w:rPr>
          <w:spacing w:val="-3"/>
        </w:rPr>
        <w:t> </w:t>
      </w:r>
      <w:r>
        <w:rPr/>
        <w:t>by</w:t>
      </w:r>
      <w:r>
        <w:rPr>
          <w:spacing w:val="-3"/>
        </w:rPr>
        <w:t> </w:t>
      </w:r>
      <w:r>
        <w:rPr/>
        <w:t>AusNet</w:t>
      </w:r>
      <w:r>
        <w:rPr>
          <w:spacing w:val="-4"/>
        </w:rPr>
        <w:t> </w:t>
      </w:r>
      <w:r>
        <w:rPr/>
        <w:t>Services</w:t>
      </w:r>
      <w:r>
        <w:rPr>
          <w:spacing w:val="-2"/>
        </w:rPr>
        <w:t> </w:t>
      </w:r>
      <w:r>
        <w:rPr/>
        <w:t>(AER,</w:t>
      </w:r>
      <w:r>
        <w:rPr>
          <w:spacing w:val="-1"/>
        </w:rPr>
        <w:t> </w:t>
      </w:r>
      <w:r>
        <w:rPr/>
        <w:t>2015).</w:t>
      </w:r>
      <w:r>
        <w:rPr>
          <w:spacing w:val="-4"/>
        </w:rPr>
        <w:t> </w:t>
      </w:r>
      <w:r>
        <w:rPr/>
        <w:t>Basslink</w:t>
      </w:r>
      <w:r>
        <w:rPr>
          <w:spacing w:val="-1"/>
        </w:rPr>
        <w:t> </w:t>
      </w:r>
      <w:r>
        <w:rPr/>
        <w:t>owns</w:t>
      </w:r>
      <w:r>
        <w:rPr>
          <w:spacing w:val="-3"/>
        </w:rPr>
        <w:t> </w:t>
      </w:r>
      <w:r>
        <w:rPr/>
        <w:t>the</w:t>
      </w:r>
      <w:r>
        <w:rPr>
          <w:spacing w:val="-5"/>
        </w:rPr>
        <w:t> </w:t>
      </w:r>
      <w:r>
        <w:rPr/>
        <w:t>overhead lines</w:t>
      </w:r>
      <w:r>
        <w:rPr>
          <w:spacing w:val="-1"/>
        </w:rPr>
        <w:t> </w:t>
      </w:r>
      <w:r>
        <w:rPr/>
        <w:t>and</w:t>
      </w:r>
      <w:r>
        <w:rPr>
          <w:spacing w:val="-2"/>
        </w:rPr>
        <w:t> </w:t>
      </w:r>
      <w:r>
        <w:rPr/>
        <w:t>underground</w:t>
      </w:r>
      <w:r>
        <w:rPr>
          <w:spacing w:val="-2"/>
        </w:rPr>
        <w:t> </w:t>
      </w:r>
      <w:r>
        <w:rPr/>
        <w:t>cable</w:t>
      </w:r>
      <w:r>
        <w:rPr>
          <w:spacing w:val="-2"/>
        </w:rPr>
        <w:t> </w:t>
      </w:r>
      <w:r>
        <w:rPr/>
        <w:t>that</w:t>
      </w:r>
      <w:r>
        <w:rPr>
          <w:spacing w:val="-3"/>
        </w:rPr>
        <w:t> </w:t>
      </w:r>
      <w:r>
        <w:rPr/>
        <w:t>link</w:t>
      </w:r>
      <w:r>
        <w:rPr>
          <w:spacing w:val="-2"/>
        </w:rPr>
        <w:t> </w:t>
      </w:r>
      <w:r>
        <w:rPr/>
        <w:t>Victoria</w:t>
      </w:r>
      <w:r>
        <w:rPr>
          <w:spacing w:val="-5"/>
        </w:rPr>
        <w:t> </w:t>
      </w:r>
      <w:r>
        <w:rPr/>
        <w:t>and</w:t>
      </w:r>
      <w:r>
        <w:rPr>
          <w:spacing w:val="-4"/>
        </w:rPr>
        <w:t> </w:t>
      </w:r>
      <w:r>
        <w:rPr/>
        <w:t>Tasmania.</w:t>
      </w:r>
      <w:r>
        <w:rPr>
          <w:spacing w:val="-3"/>
        </w:rPr>
        <w:t> </w:t>
      </w:r>
      <w:r>
        <w:rPr/>
        <w:t>The</w:t>
      </w:r>
      <w:r>
        <w:rPr>
          <w:spacing w:val="-4"/>
        </w:rPr>
        <w:t> </w:t>
      </w:r>
      <w:r>
        <w:rPr/>
        <w:t>transmission</w:t>
      </w:r>
      <w:r>
        <w:rPr>
          <w:spacing w:val="-2"/>
        </w:rPr>
        <w:t> </w:t>
      </w:r>
      <w:r>
        <w:rPr/>
        <w:t>system</w:t>
      </w:r>
      <w:r>
        <w:rPr>
          <w:spacing w:val="-3"/>
        </w:rPr>
        <w:t> </w:t>
      </w:r>
      <w:r>
        <w:rPr/>
        <w:t>is</w:t>
      </w:r>
      <w:r>
        <w:rPr>
          <w:spacing w:val="-1"/>
        </w:rPr>
        <w:t> </w:t>
      </w:r>
      <w:r>
        <w:rPr/>
        <w:t>subject</w:t>
      </w:r>
      <w:r>
        <w:rPr>
          <w:spacing w:val="-3"/>
        </w:rPr>
        <w:t> </w:t>
      </w:r>
      <w:r>
        <w:rPr/>
        <w:t>to the operational control of the </w:t>
      </w:r>
      <w:hyperlink r:id="rId31">
        <w:r>
          <w:rPr/>
          <w:t>Australian Energy Market Operator</w:t>
        </w:r>
      </w:hyperlink>
      <w:r>
        <w:rPr/>
        <w:t> (AEMO), a market and system operator owned by state and federal governments.</w:t>
      </w:r>
    </w:p>
    <w:p>
      <w:pPr>
        <w:pStyle w:val="BodyText"/>
        <w:spacing w:before="9"/>
        <w:rPr>
          <w:sz w:val="20"/>
        </w:rPr>
      </w:pPr>
    </w:p>
    <w:p>
      <w:pPr>
        <w:pStyle w:val="BodyText"/>
        <w:spacing w:line="288" w:lineRule="auto"/>
        <w:ind w:left="292" w:right="311"/>
      </w:pPr>
      <w:r>
        <w:rPr>
          <w:b/>
        </w:rPr>
        <w:t>Distribution</w:t>
      </w:r>
      <w:r>
        <w:rPr>
          <w:b/>
          <w:spacing w:val="-4"/>
        </w:rPr>
        <w:t> </w:t>
      </w:r>
      <w:r>
        <w:rPr/>
        <w:t>refers</w:t>
      </w:r>
      <w:r>
        <w:rPr>
          <w:spacing w:val="-4"/>
        </w:rPr>
        <w:t> </w:t>
      </w:r>
      <w:r>
        <w:rPr/>
        <w:t>to</w:t>
      </w:r>
      <w:r>
        <w:rPr>
          <w:spacing w:val="-3"/>
        </w:rPr>
        <w:t> </w:t>
      </w:r>
      <w:r>
        <w:rPr/>
        <w:t>the</w:t>
      </w:r>
      <w:r>
        <w:rPr>
          <w:spacing w:val="-2"/>
        </w:rPr>
        <w:t> </w:t>
      </w:r>
      <w:r>
        <w:rPr/>
        <w:t>portion</w:t>
      </w:r>
      <w:r>
        <w:rPr>
          <w:spacing w:val="-2"/>
        </w:rPr>
        <w:t> </w:t>
      </w:r>
      <w:r>
        <w:rPr/>
        <w:t>of the</w:t>
      </w:r>
      <w:r>
        <w:rPr>
          <w:spacing w:val="-4"/>
        </w:rPr>
        <w:t> </w:t>
      </w:r>
      <w:r>
        <w:rPr/>
        <w:t>electricity</w:t>
      </w:r>
      <w:r>
        <w:rPr>
          <w:spacing w:val="-4"/>
        </w:rPr>
        <w:t> </w:t>
      </w:r>
      <w:r>
        <w:rPr/>
        <w:t>supply</w:t>
      </w:r>
      <w:r>
        <w:rPr>
          <w:spacing w:val="-4"/>
        </w:rPr>
        <w:t> </w:t>
      </w:r>
      <w:r>
        <w:rPr/>
        <w:t>network</w:t>
      </w:r>
      <w:r>
        <w:rPr>
          <w:spacing w:val="-1"/>
        </w:rPr>
        <w:t> </w:t>
      </w:r>
      <w:r>
        <w:rPr/>
        <w:t>stemming</w:t>
      </w:r>
      <w:r>
        <w:rPr>
          <w:spacing w:val="-4"/>
        </w:rPr>
        <w:t> </w:t>
      </w:r>
      <w:r>
        <w:rPr/>
        <w:t>from</w:t>
      </w:r>
      <w:r>
        <w:rPr>
          <w:spacing w:val="-3"/>
        </w:rPr>
        <w:t> </w:t>
      </w:r>
      <w:r>
        <w:rPr/>
        <w:t>terminal</w:t>
      </w:r>
      <w:r>
        <w:rPr>
          <w:spacing w:val="-2"/>
        </w:rPr>
        <w:t> </w:t>
      </w:r>
      <w:r>
        <w:rPr/>
        <w:t>stations and ending with individual customers. At a terminal station, sub-transmission voltage (66 kV) is taken to a number of network locations (zone substations) to be converted to a lower voltage (22</w:t>
      </w:r>
    </w:p>
    <w:p>
      <w:pPr>
        <w:spacing w:after="0" w:line="288" w:lineRule="auto"/>
        <w:sectPr>
          <w:headerReference w:type="default" r:id="rId29"/>
          <w:footerReference w:type="default" r:id="rId30"/>
          <w:pgSz w:w="11910" w:h="16850"/>
          <w:pgMar w:header="465" w:footer="880" w:top="660" w:bottom="1060" w:left="840" w:right="820"/>
          <w:pgNumType w:start="43"/>
        </w:sectPr>
      </w:pPr>
    </w:p>
    <w:p>
      <w:pPr>
        <w:pStyle w:val="BodyText"/>
        <w:rPr>
          <w:sz w:val="20"/>
        </w:rPr>
      </w:pPr>
    </w:p>
    <w:p>
      <w:pPr>
        <w:pStyle w:val="BodyText"/>
        <w:rPr>
          <w:sz w:val="20"/>
        </w:rPr>
      </w:pPr>
    </w:p>
    <w:p>
      <w:pPr>
        <w:pStyle w:val="BodyText"/>
        <w:spacing w:before="4"/>
      </w:pPr>
    </w:p>
    <w:p>
      <w:pPr>
        <w:pStyle w:val="BodyText"/>
        <w:spacing w:line="288" w:lineRule="auto"/>
        <w:ind w:left="292" w:right="910"/>
      </w:pPr>
      <w:r>
        <w:rPr/>
        <w:t>kV),</w:t>
      </w:r>
      <w:r>
        <w:rPr>
          <w:spacing w:val="-4"/>
        </w:rPr>
        <w:t> </w:t>
      </w:r>
      <w:r>
        <w:rPr/>
        <w:t>and</w:t>
      </w:r>
      <w:r>
        <w:rPr>
          <w:spacing w:val="-3"/>
        </w:rPr>
        <w:t> </w:t>
      </w:r>
      <w:r>
        <w:rPr/>
        <w:t>distributed</w:t>
      </w:r>
      <w:r>
        <w:rPr>
          <w:spacing w:val="-5"/>
        </w:rPr>
        <w:t> </w:t>
      </w:r>
      <w:r>
        <w:rPr/>
        <w:t>on</w:t>
      </w:r>
      <w:r>
        <w:rPr>
          <w:spacing w:val="-3"/>
        </w:rPr>
        <w:t> </w:t>
      </w:r>
      <w:r>
        <w:rPr/>
        <w:t>individual</w:t>
      </w:r>
      <w:r>
        <w:rPr>
          <w:spacing w:val="-4"/>
        </w:rPr>
        <w:t> </w:t>
      </w:r>
      <w:r>
        <w:rPr/>
        <w:t>feeders.</w:t>
      </w:r>
      <w:r>
        <w:rPr>
          <w:spacing w:val="-4"/>
        </w:rPr>
        <w:t> </w:t>
      </w:r>
      <w:r>
        <w:rPr/>
        <w:t>Feeders</w:t>
      </w:r>
      <w:r>
        <w:rPr>
          <w:spacing w:val="-2"/>
        </w:rPr>
        <w:t> </w:t>
      </w:r>
      <w:r>
        <w:rPr/>
        <w:t>then</w:t>
      </w:r>
      <w:r>
        <w:rPr>
          <w:spacing w:val="-5"/>
        </w:rPr>
        <w:t> </w:t>
      </w:r>
      <w:r>
        <w:rPr/>
        <w:t>radiate</w:t>
      </w:r>
      <w:r>
        <w:rPr>
          <w:spacing w:val="-5"/>
        </w:rPr>
        <w:t> </w:t>
      </w:r>
      <w:r>
        <w:rPr/>
        <w:t>outward,</w:t>
      </w:r>
      <w:r>
        <w:rPr>
          <w:spacing w:val="-4"/>
        </w:rPr>
        <w:t> </w:t>
      </w:r>
      <w:r>
        <w:rPr/>
        <w:t>with</w:t>
      </w:r>
      <w:r>
        <w:rPr>
          <w:spacing w:val="-5"/>
        </w:rPr>
        <w:t> </w:t>
      </w:r>
      <w:r>
        <w:rPr/>
        <w:t>further transformation to low voltage to service individual customers</w:t>
      </w:r>
      <w:r>
        <w:rPr>
          <w:vertAlign w:val="superscript"/>
        </w:rPr>
        <w:t>1</w:t>
      </w:r>
      <w:r>
        <w:rPr>
          <w:vertAlign w:val="baseline"/>
        </w:rPr>
        <w:t>.</w:t>
      </w:r>
    </w:p>
    <w:p>
      <w:pPr>
        <w:pStyle w:val="BodyText"/>
        <w:spacing w:before="11"/>
        <w:rPr>
          <w:sz w:val="20"/>
        </w:rPr>
      </w:pPr>
    </w:p>
    <w:p>
      <w:pPr>
        <w:pStyle w:val="BodyText"/>
        <w:spacing w:line="288" w:lineRule="auto"/>
        <w:ind w:left="292" w:right="374"/>
      </w:pPr>
      <w:r>
        <w:rPr/>
        <w:t>The</w:t>
      </w:r>
      <w:r>
        <w:rPr>
          <w:spacing w:val="-4"/>
        </w:rPr>
        <w:t> </w:t>
      </w:r>
      <w:r>
        <w:rPr/>
        <w:t>distribution</w:t>
      </w:r>
      <w:r>
        <w:rPr>
          <w:spacing w:val="-2"/>
        </w:rPr>
        <w:t> </w:t>
      </w:r>
      <w:r>
        <w:rPr/>
        <w:t>sector</w:t>
      </w:r>
      <w:r>
        <w:rPr>
          <w:spacing w:val="-3"/>
        </w:rPr>
        <w:t> </w:t>
      </w:r>
      <w:r>
        <w:rPr/>
        <w:t>comprises</w:t>
      </w:r>
      <w:r>
        <w:rPr>
          <w:spacing w:val="-4"/>
        </w:rPr>
        <w:t> </w:t>
      </w:r>
      <w:r>
        <w:rPr/>
        <w:t>powerlines</w:t>
      </w:r>
      <w:r>
        <w:rPr>
          <w:spacing w:val="-1"/>
        </w:rPr>
        <w:t> </w:t>
      </w:r>
      <w:r>
        <w:rPr/>
        <w:t>delivering electricity</w:t>
      </w:r>
      <w:r>
        <w:rPr>
          <w:spacing w:val="-4"/>
        </w:rPr>
        <w:t> </w:t>
      </w:r>
      <w:r>
        <w:rPr/>
        <w:t>at</w:t>
      </w:r>
      <w:r>
        <w:rPr>
          <w:spacing w:val="-1"/>
        </w:rPr>
        <w:t> </w:t>
      </w:r>
      <w:r>
        <w:rPr/>
        <w:t>voltages</w:t>
      </w:r>
      <w:r>
        <w:rPr>
          <w:spacing w:val="-4"/>
        </w:rPr>
        <w:t> </w:t>
      </w:r>
      <w:r>
        <w:rPr/>
        <w:t>of 66</w:t>
      </w:r>
      <w:r>
        <w:rPr>
          <w:spacing w:val="-4"/>
        </w:rPr>
        <w:t> </w:t>
      </w:r>
      <w:r>
        <w:rPr/>
        <w:t>kV</w:t>
      </w:r>
      <w:r>
        <w:rPr>
          <w:spacing w:val="-4"/>
        </w:rPr>
        <w:t> </w:t>
      </w:r>
      <w:r>
        <w:rPr/>
        <w:t>or</w:t>
      </w:r>
      <w:r>
        <w:rPr>
          <w:spacing w:val="-3"/>
        </w:rPr>
        <w:t> </w:t>
      </w:r>
      <w:r>
        <w:rPr/>
        <w:t>less.</w:t>
      </w:r>
      <w:r>
        <w:rPr>
          <w:spacing w:val="-3"/>
        </w:rPr>
        <w:t> </w:t>
      </w:r>
      <w:r>
        <w:rPr/>
        <w:t>In recent times, the electricity distribution sector has been consolidated following international mergers and acquisitions of energy businesses. AusNet Services, CitiPower, Powercor, United Energy and Jemena hold distribution licenses to deliver electricity to homes and businesses.</w:t>
      </w:r>
    </w:p>
    <w:p>
      <w:pPr>
        <w:pStyle w:val="BodyText"/>
        <w:spacing w:before="10"/>
        <w:rPr>
          <w:sz w:val="20"/>
        </w:rPr>
      </w:pPr>
    </w:p>
    <w:p>
      <w:pPr>
        <w:pStyle w:val="Heading7"/>
        <w:ind w:left="292"/>
      </w:pPr>
      <w:r>
        <w:rPr/>
        <w:t>Figure</w:t>
      </w:r>
      <w:r>
        <w:rPr>
          <w:spacing w:val="-4"/>
        </w:rPr>
        <w:t> </w:t>
      </w:r>
      <w:r>
        <w:rPr/>
        <w:t>1:</w:t>
      </w:r>
      <w:r>
        <w:rPr>
          <w:spacing w:val="-3"/>
        </w:rPr>
        <w:t> </w:t>
      </w:r>
      <w:r>
        <w:rPr/>
        <w:t>Electricity</w:t>
      </w:r>
      <w:r>
        <w:rPr>
          <w:spacing w:val="-8"/>
        </w:rPr>
        <w:t> </w:t>
      </w:r>
      <w:r>
        <w:rPr/>
        <w:t>distribution</w:t>
      </w:r>
      <w:r>
        <w:rPr>
          <w:spacing w:val="-7"/>
        </w:rPr>
        <w:t> </w:t>
      </w:r>
      <w:r>
        <w:rPr/>
        <w:t>areas</w:t>
      </w:r>
      <w:r>
        <w:rPr>
          <w:spacing w:val="-4"/>
        </w:rPr>
        <w:t> </w:t>
      </w:r>
      <w:r>
        <w:rPr/>
        <w:t>in</w:t>
      </w:r>
      <w:r>
        <w:rPr>
          <w:spacing w:val="-6"/>
        </w:rPr>
        <w:t> </w:t>
      </w:r>
      <w:r>
        <w:rPr>
          <w:spacing w:val="-2"/>
        </w:rPr>
        <w:t>Victoria</w:t>
      </w:r>
    </w:p>
    <w:p>
      <w:pPr>
        <w:pStyle w:val="BodyText"/>
        <w:rPr>
          <w:b/>
          <w:sz w:val="20"/>
        </w:rPr>
      </w:pPr>
    </w:p>
    <w:p>
      <w:pPr>
        <w:pStyle w:val="BodyText"/>
        <w:rPr>
          <w:b/>
          <w:sz w:val="20"/>
        </w:rPr>
      </w:pPr>
    </w:p>
    <w:p>
      <w:pPr>
        <w:pStyle w:val="BodyText"/>
        <w:spacing w:before="9"/>
        <w:rPr>
          <w:b/>
          <w:sz w:val="20"/>
        </w:rPr>
      </w:pPr>
      <w:r>
        <w:rPr/>
        <w:drawing>
          <wp:anchor distT="0" distB="0" distL="0" distR="0" allowOverlap="1" layoutInCell="1" locked="0" behindDoc="1" simplePos="0" relativeHeight="487598080">
            <wp:simplePos x="0" y="0"/>
            <wp:positionH relativeFrom="page">
              <wp:posOffset>1074980</wp:posOffset>
            </wp:positionH>
            <wp:positionV relativeFrom="paragraph">
              <wp:posOffset>167480</wp:posOffset>
            </wp:positionV>
            <wp:extent cx="5486597" cy="3784473"/>
            <wp:effectExtent l="0" t="0" r="0" b="0"/>
            <wp:wrapTopAndBottom/>
            <wp:docPr id="54" name="Image 54" descr="C:\Users\rb2f\AppData\Local\Microsoft\Windows\Temporary Internet Files\Content.Word\Fig1.jpg"/>
            <wp:cNvGraphicFramePr>
              <a:graphicFrameLocks/>
            </wp:cNvGraphicFramePr>
            <a:graphic>
              <a:graphicData uri="http://schemas.openxmlformats.org/drawingml/2006/picture">
                <pic:pic>
                  <pic:nvPicPr>
                    <pic:cNvPr id="54" name="Image 54" descr="C:\Users\rb2f\AppData\Local\Microsoft\Windows\Temporary Internet Files\Content.Word\Fig1.jpg"/>
                    <pic:cNvPicPr/>
                  </pic:nvPicPr>
                  <pic:blipFill>
                    <a:blip r:embed="rId32" cstate="print"/>
                    <a:stretch>
                      <a:fillRect/>
                    </a:stretch>
                  </pic:blipFill>
                  <pic:spPr>
                    <a:xfrm>
                      <a:off x="0" y="0"/>
                      <a:ext cx="5486597" cy="3784473"/>
                    </a:xfrm>
                    <a:prstGeom prst="rect">
                      <a:avLst/>
                    </a:prstGeom>
                  </pic:spPr>
                </pic:pic>
              </a:graphicData>
            </a:graphic>
          </wp:anchor>
        </w:drawing>
      </w:r>
    </w:p>
    <w:p>
      <w:pPr>
        <w:pStyle w:val="BodyText"/>
        <w:rPr>
          <w:b/>
          <w:sz w:val="24"/>
        </w:rPr>
      </w:pPr>
    </w:p>
    <w:p>
      <w:pPr>
        <w:spacing w:before="208"/>
        <w:ind w:left="292" w:right="0" w:firstLine="0"/>
        <w:jc w:val="left"/>
        <w:rPr>
          <w:sz w:val="18"/>
        </w:rPr>
      </w:pPr>
      <w:r>
        <w:rPr>
          <w:sz w:val="18"/>
        </w:rPr>
        <w:t>Source:</w:t>
      </w:r>
      <w:r>
        <w:rPr>
          <w:spacing w:val="-3"/>
          <w:sz w:val="18"/>
        </w:rPr>
        <w:t> </w:t>
      </w:r>
      <w:r>
        <w:rPr>
          <w:sz w:val="18"/>
        </w:rPr>
        <w:t>Adapted</w:t>
      </w:r>
      <w:r>
        <w:rPr>
          <w:spacing w:val="-5"/>
          <w:sz w:val="18"/>
        </w:rPr>
        <w:t> </w:t>
      </w:r>
      <w:r>
        <w:rPr>
          <w:sz w:val="18"/>
        </w:rPr>
        <w:t>from</w:t>
      </w:r>
      <w:r>
        <w:rPr>
          <w:spacing w:val="-3"/>
          <w:sz w:val="18"/>
        </w:rPr>
        <w:t> </w:t>
      </w:r>
      <w:r>
        <w:rPr>
          <w:sz w:val="18"/>
        </w:rPr>
        <w:t>ACIL</w:t>
      </w:r>
      <w:r>
        <w:rPr>
          <w:spacing w:val="-3"/>
          <w:sz w:val="18"/>
        </w:rPr>
        <w:t> </w:t>
      </w:r>
      <w:r>
        <w:rPr>
          <w:sz w:val="18"/>
        </w:rPr>
        <w:t>Allen</w:t>
      </w:r>
      <w:r>
        <w:rPr>
          <w:spacing w:val="-4"/>
          <w:sz w:val="18"/>
        </w:rPr>
        <w:t> </w:t>
      </w:r>
      <w:r>
        <w:rPr>
          <w:sz w:val="18"/>
        </w:rPr>
        <w:t>Consulting</w:t>
      </w:r>
      <w:r>
        <w:rPr>
          <w:spacing w:val="-3"/>
          <w:sz w:val="18"/>
        </w:rPr>
        <w:t> </w:t>
      </w:r>
      <w:r>
        <w:rPr>
          <w:spacing w:val="-2"/>
          <w:sz w:val="18"/>
        </w:rPr>
        <w:t>(2015)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1"/>
        </w:rPr>
      </w:pPr>
      <w:r>
        <w:rPr/>
        <mc:AlternateContent>
          <mc:Choice Requires="wps">
            <w:drawing>
              <wp:anchor distT="0" distB="0" distL="0" distR="0" allowOverlap="1" layoutInCell="1" locked="0" behindDoc="1" simplePos="0" relativeHeight="487598592">
                <wp:simplePos x="0" y="0"/>
                <wp:positionH relativeFrom="page">
                  <wp:posOffset>701040</wp:posOffset>
                </wp:positionH>
                <wp:positionV relativeFrom="paragraph">
                  <wp:posOffset>172581</wp:posOffset>
                </wp:positionV>
                <wp:extent cx="6158230" cy="1270"/>
                <wp:effectExtent l="0" t="0" r="0" b="0"/>
                <wp:wrapTopAndBottom/>
                <wp:docPr id="55" name="Graphic 55"/>
                <wp:cNvGraphicFramePr>
                  <a:graphicFrameLocks/>
                </wp:cNvGraphicFramePr>
                <a:graphic>
                  <a:graphicData uri="http://schemas.microsoft.com/office/word/2010/wordprocessingShape">
                    <wps:wsp>
                      <wps:cNvPr id="55" name="Graphic 55"/>
                      <wps:cNvSpPr/>
                      <wps:spPr>
                        <a:xfrm>
                          <a:off x="0" y="0"/>
                          <a:ext cx="6158230" cy="1270"/>
                        </a:xfrm>
                        <a:custGeom>
                          <a:avLst/>
                          <a:gdLst/>
                          <a:ahLst/>
                          <a:cxnLst/>
                          <a:rect l="l" t="t" r="r" b="b"/>
                          <a:pathLst>
                            <a:path w="6158230" h="0">
                              <a:moveTo>
                                <a:pt x="0" y="0"/>
                              </a:moveTo>
                              <a:lnTo>
                                <a:pt x="6158230" y="0"/>
                              </a:lnTo>
                            </a:path>
                          </a:pathLst>
                        </a:custGeom>
                        <a:ln w="12192">
                          <a:solidFill>
                            <a:srgbClr val="000000"/>
                          </a:solidFill>
                          <a:prstDash val="sysDot"/>
                        </a:ln>
                      </wps:spPr>
                      <wps:bodyPr wrap="square" lIns="0" tIns="0" rIns="0" bIns="0" rtlCol="0">
                        <a:prstTxWarp prst="textNoShape">
                          <a:avLst/>
                        </a:prstTxWarp>
                        <a:noAutofit/>
                      </wps:bodyPr>
                    </wps:wsp>
                  </a:graphicData>
                </a:graphic>
              </wp:anchor>
            </w:drawing>
          </mc:Choice>
          <mc:Fallback>
            <w:pict>
              <v:shape style="position:absolute;margin-left:55.200001pt;margin-top:13.589125pt;width:484.9pt;height:.1pt;mso-position-horizontal-relative:page;mso-position-vertical-relative:paragraph;z-index:-15717888;mso-wrap-distance-left:0;mso-wrap-distance-right:0" id="docshape51" coordorigin="1104,272" coordsize="9698,0" path="m1104,272l10802,272e" filled="false" stroked="true" strokeweight=".96pt" strokecolor="#000000">
                <v:path arrowok="t"/>
                <v:stroke dashstyle="shortdot"/>
                <w10:wrap type="topAndBottom"/>
              </v:shape>
            </w:pict>
          </mc:Fallback>
        </mc:AlternateContent>
      </w:r>
    </w:p>
    <w:p>
      <w:pPr>
        <w:pStyle w:val="BodyText"/>
        <w:spacing w:before="1"/>
        <w:rPr>
          <w:sz w:val="23"/>
        </w:rPr>
      </w:pPr>
    </w:p>
    <w:p>
      <w:pPr>
        <w:spacing w:before="95"/>
        <w:ind w:left="576" w:right="374" w:hanging="284"/>
        <w:jc w:val="left"/>
        <w:rPr>
          <w:sz w:val="16"/>
        </w:rPr>
      </w:pPr>
      <w:r>
        <w:rPr>
          <w:position w:val="5"/>
          <w:sz w:val="9"/>
        </w:rPr>
        <w:t>1</w:t>
      </w:r>
      <w:r>
        <w:rPr>
          <w:spacing w:val="15"/>
          <w:position w:val="5"/>
          <w:sz w:val="9"/>
        </w:rPr>
        <w:t> </w:t>
      </w:r>
      <w:r>
        <w:rPr>
          <w:sz w:val="16"/>
        </w:rPr>
        <w:t>Low</w:t>
      </w:r>
      <w:r>
        <w:rPr>
          <w:spacing w:val="-1"/>
          <w:sz w:val="16"/>
        </w:rPr>
        <w:t> </w:t>
      </w:r>
      <w:r>
        <w:rPr>
          <w:sz w:val="16"/>
        </w:rPr>
        <w:t>voltage is defined</w:t>
      </w:r>
      <w:r>
        <w:rPr>
          <w:spacing w:val="-1"/>
          <w:sz w:val="16"/>
        </w:rPr>
        <w:t> </w:t>
      </w:r>
      <w:r>
        <w:rPr>
          <w:sz w:val="16"/>
        </w:rPr>
        <w:t>as any voltage under 1,000 volts. See </w:t>
      </w:r>
      <w:r>
        <w:rPr>
          <w:i/>
          <w:sz w:val="16"/>
        </w:rPr>
        <w:t>ANZ Standard 3000</w:t>
      </w:r>
      <w:r>
        <w:rPr>
          <w:sz w:val="16"/>
        </w:rPr>
        <w:t>. In</w:t>
      </w:r>
      <w:r>
        <w:rPr>
          <w:spacing w:val="-11"/>
          <w:sz w:val="16"/>
        </w:rPr>
        <w:t> </w:t>
      </w:r>
      <w:r>
        <w:rPr>
          <w:sz w:val="16"/>
        </w:rPr>
        <w:t>Australia</w:t>
      </w:r>
      <w:r>
        <w:rPr>
          <w:spacing w:val="-1"/>
          <w:sz w:val="16"/>
        </w:rPr>
        <w:t> </w:t>
      </w:r>
      <w:r>
        <w:rPr>
          <w:sz w:val="16"/>
        </w:rPr>
        <w:t>low</w:t>
      </w:r>
      <w:r>
        <w:rPr>
          <w:spacing w:val="-1"/>
          <w:sz w:val="16"/>
        </w:rPr>
        <w:t> </w:t>
      </w:r>
      <w:r>
        <w:rPr>
          <w:sz w:val="16"/>
        </w:rPr>
        <w:t>voltage principally</w:t>
      </w:r>
      <w:r>
        <w:rPr>
          <w:spacing w:val="-1"/>
          <w:sz w:val="16"/>
        </w:rPr>
        <w:t> </w:t>
      </w:r>
      <w:r>
        <w:rPr>
          <w:sz w:val="16"/>
        </w:rPr>
        <w:t>comprises voltage</w:t>
      </w:r>
      <w:r>
        <w:rPr>
          <w:spacing w:val="-2"/>
          <w:sz w:val="16"/>
        </w:rPr>
        <w:t> </w:t>
      </w:r>
      <w:r>
        <w:rPr>
          <w:sz w:val="16"/>
        </w:rPr>
        <w:t>of</w:t>
      </w:r>
      <w:r>
        <w:rPr>
          <w:spacing w:val="-1"/>
          <w:sz w:val="16"/>
        </w:rPr>
        <w:t> </w:t>
      </w:r>
      <w:r>
        <w:rPr>
          <w:sz w:val="16"/>
        </w:rPr>
        <w:t>415</w:t>
      </w:r>
      <w:r>
        <w:rPr>
          <w:spacing w:val="-5"/>
          <w:sz w:val="16"/>
        </w:rPr>
        <w:t> </w:t>
      </w:r>
      <w:r>
        <w:rPr>
          <w:sz w:val="16"/>
        </w:rPr>
        <w:t>phase-to-phase,</w:t>
      </w:r>
      <w:r>
        <w:rPr>
          <w:spacing w:val="-1"/>
          <w:sz w:val="16"/>
        </w:rPr>
        <w:t> </w:t>
      </w:r>
      <w:r>
        <w:rPr>
          <w:sz w:val="16"/>
        </w:rPr>
        <w:t>or</w:t>
      </w:r>
      <w:r>
        <w:rPr>
          <w:spacing w:val="-4"/>
          <w:sz w:val="16"/>
        </w:rPr>
        <w:t> </w:t>
      </w:r>
      <w:r>
        <w:rPr>
          <w:sz w:val="16"/>
        </w:rPr>
        <w:t>240</w:t>
      </w:r>
      <w:r>
        <w:rPr>
          <w:spacing w:val="-2"/>
          <w:sz w:val="16"/>
        </w:rPr>
        <w:t> </w:t>
      </w:r>
      <w:r>
        <w:rPr>
          <w:sz w:val="16"/>
        </w:rPr>
        <w:t>phase-to-ground.</w:t>
      </w:r>
      <w:r>
        <w:rPr>
          <w:spacing w:val="-10"/>
          <w:sz w:val="16"/>
        </w:rPr>
        <w:t> </w:t>
      </w:r>
      <w:r>
        <w:rPr>
          <w:sz w:val="16"/>
        </w:rPr>
        <w:t>As</w:t>
      </w:r>
      <w:r>
        <w:rPr>
          <w:spacing w:val="-3"/>
          <w:sz w:val="16"/>
        </w:rPr>
        <w:t> </w:t>
      </w:r>
      <w:r>
        <w:rPr>
          <w:sz w:val="16"/>
        </w:rPr>
        <w:t>the</w:t>
      </w:r>
      <w:r>
        <w:rPr>
          <w:spacing w:val="-4"/>
          <w:sz w:val="16"/>
        </w:rPr>
        <w:t> </w:t>
      </w:r>
      <w:r>
        <w:rPr>
          <w:sz w:val="16"/>
        </w:rPr>
        <w:t>majority</w:t>
      </w:r>
      <w:r>
        <w:rPr>
          <w:spacing w:val="-3"/>
          <w:sz w:val="16"/>
        </w:rPr>
        <w:t> </w:t>
      </w:r>
      <w:r>
        <w:rPr>
          <w:sz w:val="16"/>
        </w:rPr>
        <w:t>of</w:t>
      </w:r>
      <w:r>
        <w:rPr>
          <w:spacing w:val="-3"/>
          <w:sz w:val="16"/>
        </w:rPr>
        <w:t> </w:t>
      </w:r>
      <w:r>
        <w:rPr>
          <w:sz w:val="16"/>
        </w:rPr>
        <w:t>customers are</w:t>
      </w:r>
      <w:r>
        <w:rPr>
          <w:spacing w:val="-5"/>
          <w:sz w:val="16"/>
        </w:rPr>
        <w:t> </w:t>
      </w:r>
      <w:r>
        <w:rPr>
          <w:sz w:val="16"/>
        </w:rPr>
        <w:t>supplied</w:t>
      </w:r>
      <w:r>
        <w:rPr>
          <w:spacing w:val="-5"/>
          <w:sz w:val="16"/>
        </w:rPr>
        <w:t> </w:t>
      </w:r>
      <w:r>
        <w:rPr>
          <w:sz w:val="16"/>
        </w:rPr>
        <w:t>by</w:t>
      </w:r>
      <w:r>
        <w:rPr>
          <w:spacing w:val="-3"/>
          <w:sz w:val="16"/>
        </w:rPr>
        <w:t> </w:t>
      </w:r>
      <w:r>
        <w:rPr>
          <w:sz w:val="16"/>
        </w:rPr>
        <w:t>single</w:t>
      </w:r>
      <w:r>
        <w:rPr>
          <w:spacing w:val="-2"/>
          <w:sz w:val="16"/>
        </w:rPr>
        <w:t> </w:t>
      </w:r>
      <w:r>
        <w:rPr>
          <w:sz w:val="16"/>
        </w:rPr>
        <w:t>phase</w:t>
      </w:r>
      <w:r>
        <w:rPr>
          <w:spacing w:val="-2"/>
          <w:sz w:val="16"/>
        </w:rPr>
        <w:t> </w:t>
      </w:r>
      <w:r>
        <w:rPr>
          <w:sz w:val="16"/>
        </w:rPr>
        <w:t>power</w:t>
      </w:r>
      <w:r>
        <w:rPr>
          <w:spacing w:val="-2"/>
          <w:sz w:val="16"/>
        </w:rPr>
        <w:t> </w:t>
      </w:r>
      <w:r>
        <w:rPr>
          <w:sz w:val="16"/>
        </w:rPr>
        <w:t>240</w:t>
      </w:r>
    </w:p>
    <w:p>
      <w:pPr>
        <w:spacing w:after="0"/>
        <w:jc w:val="left"/>
        <w:rPr>
          <w:sz w:val="16"/>
        </w:rPr>
        <w:sectPr>
          <w:pgSz w:w="11910" w:h="16850"/>
          <w:pgMar w:header="465" w:footer="880" w:top="660" w:bottom="1060" w:left="840" w:right="820"/>
        </w:sectPr>
      </w:pPr>
    </w:p>
    <w:p>
      <w:pPr>
        <w:pStyle w:val="BodyText"/>
        <w:rPr>
          <w:sz w:val="20"/>
        </w:rPr>
      </w:pPr>
    </w:p>
    <w:p>
      <w:pPr>
        <w:pStyle w:val="BodyText"/>
        <w:rPr>
          <w:sz w:val="20"/>
        </w:rPr>
      </w:pPr>
    </w:p>
    <w:p>
      <w:pPr>
        <w:pStyle w:val="BodyText"/>
        <w:spacing w:before="5"/>
      </w:pPr>
    </w:p>
    <w:p>
      <w:pPr>
        <w:pStyle w:val="BodyText"/>
        <w:spacing w:line="288" w:lineRule="auto"/>
        <w:ind w:left="600" w:right="374"/>
      </w:pPr>
      <w:r>
        <w:rPr>
          <w:b/>
        </w:rPr>
        <w:t>Retailers</w:t>
      </w:r>
      <w:r>
        <w:rPr>
          <w:b/>
          <w:spacing w:val="-1"/>
        </w:rPr>
        <w:t> </w:t>
      </w:r>
      <w:r>
        <w:rPr/>
        <w:t>are</w:t>
      </w:r>
      <w:r>
        <w:rPr>
          <w:spacing w:val="-4"/>
        </w:rPr>
        <w:t> </w:t>
      </w:r>
      <w:r>
        <w:rPr/>
        <w:t>responsible</w:t>
      </w:r>
      <w:r>
        <w:rPr>
          <w:spacing w:val="-4"/>
        </w:rPr>
        <w:t> </w:t>
      </w:r>
      <w:r>
        <w:rPr/>
        <w:t>for</w:t>
      </w:r>
      <w:r>
        <w:rPr>
          <w:spacing w:val="-1"/>
        </w:rPr>
        <w:t> </w:t>
      </w:r>
      <w:r>
        <w:rPr/>
        <w:t>maintaining</w:t>
      </w:r>
      <w:r>
        <w:rPr>
          <w:spacing w:val="-2"/>
        </w:rPr>
        <w:t> </w:t>
      </w:r>
      <w:r>
        <w:rPr/>
        <w:t>the</w:t>
      </w:r>
      <w:r>
        <w:rPr>
          <w:spacing w:val="-4"/>
        </w:rPr>
        <w:t> </w:t>
      </w:r>
      <w:r>
        <w:rPr/>
        <w:t>billing</w:t>
      </w:r>
      <w:r>
        <w:rPr>
          <w:spacing w:val="-2"/>
        </w:rPr>
        <w:t> </w:t>
      </w:r>
      <w:r>
        <w:rPr/>
        <w:t>interface</w:t>
      </w:r>
      <w:r>
        <w:rPr>
          <w:spacing w:val="-2"/>
        </w:rPr>
        <w:t> </w:t>
      </w:r>
      <w:r>
        <w:rPr/>
        <w:t>between</w:t>
      </w:r>
      <w:r>
        <w:rPr>
          <w:spacing w:val="-2"/>
        </w:rPr>
        <w:t> </w:t>
      </w:r>
      <w:r>
        <w:rPr/>
        <w:t>the</w:t>
      </w:r>
      <w:r>
        <w:rPr>
          <w:spacing w:val="-4"/>
        </w:rPr>
        <w:t> </w:t>
      </w:r>
      <w:r>
        <w:rPr/>
        <w:t>industry</w:t>
      </w:r>
      <w:r>
        <w:rPr>
          <w:spacing w:val="-4"/>
        </w:rPr>
        <w:t> </w:t>
      </w:r>
      <w:r>
        <w:rPr/>
        <w:t>and individual customers. Retail functions are outside the Review’s scope.</w:t>
      </w:r>
    </w:p>
    <w:p>
      <w:pPr>
        <w:pStyle w:val="BodyText"/>
        <w:spacing w:before="3"/>
        <w:rPr>
          <w:sz w:val="31"/>
        </w:rPr>
      </w:pPr>
    </w:p>
    <w:p>
      <w:pPr>
        <w:pStyle w:val="Heading7"/>
        <w:ind w:left="600"/>
      </w:pPr>
      <w:r>
        <w:rPr/>
        <w:t>Figure</w:t>
      </w:r>
      <w:r>
        <w:rPr>
          <w:spacing w:val="-5"/>
        </w:rPr>
        <w:t> </w:t>
      </w:r>
      <w:r>
        <w:rPr/>
        <w:t>2:</w:t>
      </w:r>
      <w:r>
        <w:rPr>
          <w:spacing w:val="-4"/>
        </w:rPr>
        <w:t> </w:t>
      </w:r>
      <w:r>
        <w:rPr/>
        <w:t>The</w:t>
      </w:r>
      <w:r>
        <w:rPr>
          <w:spacing w:val="-6"/>
        </w:rPr>
        <w:t> </w:t>
      </w:r>
      <w:r>
        <w:rPr/>
        <w:t>modern</w:t>
      </w:r>
      <w:r>
        <w:rPr>
          <w:spacing w:val="-5"/>
        </w:rPr>
        <w:t> </w:t>
      </w:r>
      <w:r>
        <w:rPr/>
        <w:t>electricity</w:t>
      </w:r>
      <w:r>
        <w:rPr>
          <w:spacing w:val="-9"/>
        </w:rPr>
        <w:t> </w:t>
      </w:r>
      <w:r>
        <w:rPr>
          <w:spacing w:val="-2"/>
        </w:rPr>
        <w:t>network</w:t>
      </w:r>
    </w:p>
    <w:p>
      <w:pPr>
        <w:pStyle w:val="BodyText"/>
        <w:rPr>
          <w:b/>
          <w:sz w:val="20"/>
        </w:rPr>
      </w:pPr>
    </w:p>
    <w:p>
      <w:pPr>
        <w:pStyle w:val="BodyText"/>
        <w:rPr>
          <w:b/>
          <w:sz w:val="11"/>
        </w:rPr>
      </w:pPr>
      <w:r>
        <w:rPr/>
        <w:drawing>
          <wp:anchor distT="0" distB="0" distL="0" distR="0" allowOverlap="1" layoutInCell="1" locked="0" behindDoc="1" simplePos="0" relativeHeight="487599104">
            <wp:simplePos x="0" y="0"/>
            <wp:positionH relativeFrom="page">
              <wp:posOffset>980752</wp:posOffset>
            </wp:positionH>
            <wp:positionV relativeFrom="paragraph">
              <wp:posOffset>95748</wp:posOffset>
            </wp:positionV>
            <wp:extent cx="5216857" cy="3669791"/>
            <wp:effectExtent l="0" t="0" r="0" b="0"/>
            <wp:wrapTopAndBottom/>
            <wp:docPr id="59" name="Image 59" descr="C:\Users\rb2f\AppData\Local\Microsoft\Windows\Temporary Internet Files\Content.Word\Fig2.ModernElectricityNetwork.jpg"/>
            <wp:cNvGraphicFramePr>
              <a:graphicFrameLocks/>
            </wp:cNvGraphicFramePr>
            <a:graphic>
              <a:graphicData uri="http://schemas.openxmlformats.org/drawingml/2006/picture">
                <pic:pic>
                  <pic:nvPicPr>
                    <pic:cNvPr id="59" name="Image 59" descr="C:\Users\rb2f\AppData\Local\Microsoft\Windows\Temporary Internet Files\Content.Word\Fig2.ModernElectricityNetwork.jpg"/>
                    <pic:cNvPicPr/>
                  </pic:nvPicPr>
                  <pic:blipFill>
                    <a:blip r:embed="rId35" cstate="print"/>
                    <a:stretch>
                      <a:fillRect/>
                    </a:stretch>
                  </pic:blipFill>
                  <pic:spPr>
                    <a:xfrm>
                      <a:off x="0" y="0"/>
                      <a:ext cx="5216857" cy="3669791"/>
                    </a:xfrm>
                    <a:prstGeom prst="rect">
                      <a:avLst/>
                    </a:prstGeom>
                  </pic:spPr>
                </pic:pic>
              </a:graphicData>
            </a:graphic>
          </wp:anchor>
        </w:drawing>
      </w:r>
    </w:p>
    <w:p>
      <w:pPr>
        <w:pStyle w:val="BodyText"/>
        <w:spacing w:before="10"/>
        <w:rPr>
          <w:b/>
          <w:sz w:val="25"/>
        </w:rPr>
      </w:pPr>
    </w:p>
    <w:p>
      <w:pPr>
        <w:spacing w:before="0"/>
        <w:ind w:left="600" w:right="0" w:firstLine="0"/>
        <w:jc w:val="left"/>
        <w:rPr>
          <w:sz w:val="18"/>
        </w:rPr>
      </w:pPr>
      <w:r>
        <w:rPr>
          <w:sz w:val="18"/>
        </w:rPr>
        <w:t>Source:</w:t>
      </w:r>
      <w:r>
        <w:rPr>
          <w:spacing w:val="-2"/>
          <w:sz w:val="18"/>
        </w:rPr>
        <w:t> </w:t>
      </w:r>
      <w:r>
        <w:rPr>
          <w:sz w:val="18"/>
        </w:rPr>
        <w:t>Adapted</w:t>
      </w:r>
      <w:r>
        <w:rPr>
          <w:spacing w:val="-4"/>
          <w:sz w:val="18"/>
        </w:rPr>
        <w:t> </w:t>
      </w:r>
      <w:r>
        <w:rPr>
          <w:sz w:val="18"/>
        </w:rPr>
        <w:t>from</w:t>
      </w:r>
      <w:r>
        <w:rPr>
          <w:spacing w:val="-2"/>
          <w:sz w:val="18"/>
        </w:rPr>
        <w:t> </w:t>
      </w:r>
      <w:r>
        <w:rPr>
          <w:sz w:val="18"/>
        </w:rPr>
        <w:t>CSIRO</w:t>
      </w:r>
      <w:r>
        <w:rPr>
          <w:spacing w:val="-3"/>
          <w:sz w:val="18"/>
        </w:rPr>
        <w:t> </w:t>
      </w:r>
      <w:r>
        <w:rPr>
          <w:spacing w:val="-2"/>
          <w:sz w:val="18"/>
        </w:rPr>
        <w:t>(2015)</w:t>
      </w:r>
    </w:p>
    <w:p>
      <w:pPr>
        <w:pStyle w:val="BodyText"/>
        <w:rPr>
          <w:sz w:val="20"/>
        </w:rPr>
      </w:pPr>
    </w:p>
    <w:p>
      <w:pPr>
        <w:pStyle w:val="BodyText"/>
        <w:spacing w:before="2"/>
        <w:rPr>
          <w:sz w:val="20"/>
        </w:rPr>
      </w:pPr>
    </w:p>
    <w:p>
      <w:pPr>
        <w:pStyle w:val="Heading6"/>
        <w:ind w:left="600"/>
      </w:pPr>
      <w:r>
        <w:rPr>
          <w:spacing w:val="-5"/>
        </w:rPr>
        <w:t>Gas</w:t>
      </w:r>
    </w:p>
    <w:p>
      <w:pPr>
        <w:pStyle w:val="BodyText"/>
        <w:spacing w:line="288" w:lineRule="auto" w:before="175"/>
        <w:ind w:left="600" w:right="586"/>
      </w:pPr>
      <w:r>
        <w:rPr>
          <w:b/>
        </w:rPr>
        <w:t>Production</w:t>
      </w:r>
      <w:r>
        <w:rPr>
          <w:b/>
          <w:spacing w:val="-5"/>
        </w:rPr>
        <w:t> </w:t>
      </w:r>
      <w:r>
        <w:rPr/>
        <w:t>facilities process natural</w:t>
      </w:r>
      <w:r>
        <w:rPr>
          <w:spacing w:val="-2"/>
        </w:rPr>
        <w:t> </w:t>
      </w:r>
      <w:r>
        <w:rPr/>
        <w:t>gas</w:t>
      </w:r>
      <w:r>
        <w:rPr>
          <w:spacing w:val="-2"/>
        </w:rPr>
        <w:t> </w:t>
      </w:r>
      <w:r>
        <w:rPr/>
        <w:t>sourced</w:t>
      </w:r>
      <w:r>
        <w:rPr>
          <w:spacing w:val="-5"/>
        </w:rPr>
        <w:t> </w:t>
      </w:r>
      <w:r>
        <w:rPr/>
        <w:t>from</w:t>
      </w:r>
      <w:r>
        <w:rPr>
          <w:spacing w:val="-1"/>
        </w:rPr>
        <w:t> </w:t>
      </w:r>
      <w:r>
        <w:rPr/>
        <w:t>oil and</w:t>
      </w:r>
      <w:r>
        <w:rPr>
          <w:spacing w:val="-2"/>
        </w:rPr>
        <w:t> </w:t>
      </w:r>
      <w:r>
        <w:rPr/>
        <w:t>gas</w:t>
      </w:r>
      <w:r>
        <w:rPr>
          <w:spacing w:val="-4"/>
        </w:rPr>
        <w:t> </w:t>
      </w:r>
      <w:r>
        <w:rPr/>
        <w:t>fields located offshore</w:t>
      </w:r>
      <w:r>
        <w:rPr>
          <w:spacing w:val="-2"/>
        </w:rPr>
        <w:t> </w:t>
      </w:r>
      <w:r>
        <w:rPr/>
        <w:t>in the Gippsland and Otway Basins, and the Bass Coast area. The gas is odourised and then injected into the transmission system. Some gas is also supplied from interstate (South Australia</w:t>
      </w:r>
      <w:r>
        <w:rPr>
          <w:spacing w:val="-3"/>
        </w:rPr>
        <w:t> </w:t>
      </w:r>
      <w:r>
        <w:rPr/>
        <w:t>and</w:t>
      </w:r>
      <w:r>
        <w:rPr>
          <w:spacing w:val="-3"/>
        </w:rPr>
        <w:t> </w:t>
      </w:r>
      <w:r>
        <w:rPr/>
        <w:t>New</w:t>
      </w:r>
      <w:r>
        <w:rPr>
          <w:spacing w:val="-6"/>
        </w:rPr>
        <w:t> </w:t>
      </w:r>
      <w:r>
        <w:rPr/>
        <w:t>South</w:t>
      </w:r>
      <w:r>
        <w:rPr>
          <w:spacing w:val="-9"/>
        </w:rPr>
        <w:t> </w:t>
      </w:r>
      <w:r>
        <w:rPr/>
        <w:t>Wales). Production</w:t>
      </w:r>
      <w:r>
        <w:rPr>
          <w:spacing w:val="-5"/>
        </w:rPr>
        <w:t> </w:t>
      </w:r>
      <w:r>
        <w:rPr/>
        <w:t>infrastructure</w:t>
      </w:r>
      <w:r>
        <w:rPr>
          <w:spacing w:val="-5"/>
        </w:rPr>
        <w:t> </w:t>
      </w:r>
      <w:r>
        <w:rPr/>
        <w:t>is</w:t>
      </w:r>
      <w:r>
        <w:rPr>
          <w:spacing w:val="-2"/>
        </w:rPr>
        <w:t> </w:t>
      </w:r>
      <w:r>
        <w:rPr/>
        <w:t>not</w:t>
      </w:r>
      <w:r>
        <w:rPr>
          <w:spacing w:val="-1"/>
        </w:rPr>
        <w:t> </w:t>
      </w:r>
      <w:r>
        <w:rPr/>
        <w:t>within</w:t>
      </w:r>
      <w:r>
        <w:rPr>
          <w:spacing w:val="-3"/>
        </w:rPr>
        <w:t> </w:t>
      </w:r>
      <w:r>
        <w:rPr/>
        <w:t>the</w:t>
      </w:r>
      <w:r>
        <w:rPr>
          <w:spacing w:val="-5"/>
        </w:rPr>
        <w:t> </w:t>
      </w:r>
      <w:r>
        <w:rPr/>
        <w:t>Review’s</w:t>
      </w:r>
      <w:r>
        <w:rPr>
          <w:spacing w:val="-2"/>
        </w:rPr>
        <w:t> </w:t>
      </w:r>
      <w:r>
        <w:rPr/>
        <w:t>scope.</w:t>
      </w:r>
    </w:p>
    <w:p>
      <w:pPr>
        <w:pStyle w:val="BodyText"/>
        <w:spacing w:before="10"/>
        <w:rPr>
          <w:sz w:val="20"/>
        </w:rPr>
      </w:pPr>
    </w:p>
    <w:p>
      <w:pPr>
        <w:pStyle w:val="BodyText"/>
        <w:spacing w:line="288" w:lineRule="auto"/>
        <w:ind w:left="600" w:right="586"/>
      </w:pPr>
      <w:r>
        <w:rPr/>
        <w:t>Victoria’s </w:t>
      </w:r>
      <w:r>
        <w:rPr>
          <w:b/>
        </w:rPr>
        <w:t>transmission </w:t>
      </w:r>
      <w:r>
        <w:rPr/>
        <w:t>system is made up of pipelines and compressor stations that transport natural gas at high pressure to the distribution networks. The main transmission system, known as the Declared Transmission System (DTS) is a network of 2,000 km of pipelines</w:t>
      </w:r>
      <w:r>
        <w:rPr>
          <w:spacing w:val="-2"/>
        </w:rPr>
        <w:t> </w:t>
      </w:r>
      <w:r>
        <w:rPr/>
        <w:t>carrying</w:t>
      </w:r>
      <w:r>
        <w:rPr>
          <w:spacing w:val="-1"/>
        </w:rPr>
        <w:t> </w:t>
      </w:r>
      <w:r>
        <w:rPr/>
        <w:t>natural</w:t>
      </w:r>
      <w:r>
        <w:rPr>
          <w:spacing w:val="-8"/>
        </w:rPr>
        <w:t> </w:t>
      </w:r>
      <w:r>
        <w:rPr/>
        <w:t>gas</w:t>
      </w:r>
      <w:r>
        <w:rPr>
          <w:spacing w:val="-3"/>
        </w:rPr>
        <w:t> </w:t>
      </w:r>
      <w:r>
        <w:rPr/>
        <w:t>at</w:t>
      </w:r>
      <w:r>
        <w:rPr>
          <w:spacing w:val="-1"/>
        </w:rPr>
        <w:t> </w:t>
      </w:r>
      <w:r>
        <w:rPr/>
        <w:t>pressures</w:t>
      </w:r>
      <w:r>
        <w:rPr>
          <w:spacing w:val="-5"/>
        </w:rPr>
        <w:t> </w:t>
      </w:r>
      <w:r>
        <w:rPr/>
        <w:t>typically</w:t>
      </w:r>
      <w:r>
        <w:rPr>
          <w:spacing w:val="-5"/>
        </w:rPr>
        <w:t> </w:t>
      </w:r>
      <w:r>
        <w:rPr/>
        <w:t>between</w:t>
      </w:r>
      <w:r>
        <w:rPr>
          <w:spacing w:val="-3"/>
        </w:rPr>
        <w:t> </w:t>
      </w:r>
      <w:r>
        <w:rPr/>
        <w:t>2,000</w:t>
      </w:r>
      <w:r>
        <w:rPr>
          <w:spacing w:val="-3"/>
        </w:rPr>
        <w:t> </w:t>
      </w:r>
      <w:r>
        <w:rPr/>
        <w:t>to</w:t>
      </w:r>
      <w:r>
        <w:rPr>
          <w:spacing w:val="-5"/>
        </w:rPr>
        <w:t> </w:t>
      </w:r>
      <w:r>
        <w:rPr/>
        <w:t>15,000</w:t>
      </w:r>
      <w:r>
        <w:rPr>
          <w:spacing w:val="-5"/>
        </w:rPr>
        <w:t> </w:t>
      </w:r>
      <w:r>
        <w:rPr/>
        <w:t>kPa (AEMO, </w:t>
      </w:r>
      <w:r>
        <w:rPr>
          <w:spacing w:val="-2"/>
        </w:rPr>
        <w:t>2015).</w:t>
      </w:r>
    </w:p>
    <w:p>
      <w:pPr>
        <w:pStyle w:val="BodyText"/>
        <w:rPr>
          <w:sz w:val="21"/>
        </w:rPr>
      </w:pPr>
    </w:p>
    <w:p>
      <w:pPr>
        <w:pStyle w:val="BodyText"/>
        <w:spacing w:line="288" w:lineRule="auto"/>
        <w:ind w:left="600" w:right="586"/>
      </w:pPr>
      <w:r>
        <w:rPr/>
        <w:t>The</w:t>
      </w:r>
      <w:r>
        <w:rPr>
          <w:spacing w:val="-2"/>
        </w:rPr>
        <w:t> </w:t>
      </w:r>
      <w:r>
        <w:rPr/>
        <w:t>DTS</w:t>
      </w:r>
      <w:r>
        <w:rPr>
          <w:spacing w:val="-3"/>
        </w:rPr>
        <w:t> </w:t>
      </w:r>
      <w:r>
        <w:rPr/>
        <w:t>is owned by</w:t>
      </w:r>
      <w:r>
        <w:rPr>
          <w:spacing w:val="-1"/>
        </w:rPr>
        <w:t> </w:t>
      </w:r>
      <w:r>
        <w:rPr/>
        <w:t>APA VTS Australia (Operations) Pty</w:t>
      </w:r>
      <w:r>
        <w:rPr>
          <w:spacing w:val="-2"/>
        </w:rPr>
        <w:t> </w:t>
      </w:r>
      <w:r>
        <w:rPr/>
        <w:t>Ltd</w:t>
      </w:r>
      <w:r>
        <w:rPr>
          <w:spacing w:val="-2"/>
        </w:rPr>
        <w:t> </w:t>
      </w:r>
      <w:r>
        <w:rPr/>
        <w:t>(a</w:t>
      </w:r>
      <w:r>
        <w:rPr>
          <w:spacing w:val="-2"/>
        </w:rPr>
        <w:t> </w:t>
      </w:r>
      <w:r>
        <w:rPr/>
        <w:t>subsidiary</w:t>
      </w:r>
      <w:r>
        <w:rPr>
          <w:spacing w:val="-1"/>
        </w:rPr>
        <w:t> </w:t>
      </w:r>
      <w:r>
        <w:rPr/>
        <w:t>of APA</w:t>
      </w:r>
      <w:r>
        <w:rPr>
          <w:spacing w:val="-2"/>
        </w:rPr>
        <w:t> </w:t>
      </w:r>
      <w:r>
        <w:rPr/>
        <w:t>Group) and operated by AEMO. Separate businesses own and operate gas pipelines that connect Victoria with neighbouring states. Other transmission pipelines, including the Eastern Gas Pipeline, SEA</w:t>
      </w:r>
      <w:r>
        <w:rPr>
          <w:spacing w:val="-2"/>
        </w:rPr>
        <w:t> </w:t>
      </w:r>
      <w:r>
        <w:rPr/>
        <w:t>gas</w:t>
      </w:r>
      <w:r>
        <w:rPr>
          <w:spacing w:val="-4"/>
        </w:rPr>
        <w:t> </w:t>
      </w:r>
      <w:r>
        <w:rPr/>
        <w:t>pipeline</w:t>
      </w:r>
      <w:r>
        <w:rPr>
          <w:spacing w:val="-2"/>
        </w:rPr>
        <w:t> </w:t>
      </w:r>
      <w:r>
        <w:rPr/>
        <w:t>and</w:t>
      </w:r>
      <w:r>
        <w:rPr>
          <w:spacing w:val="-4"/>
        </w:rPr>
        <w:t> </w:t>
      </w:r>
      <w:r>
        <w:rPr/>
        <w:t>the</w:t>
      </w:r>
      <w:r>
        <w:rPr>
          <w:spacing w:val="-4"/>
        </w:rPr>
        <w:t> </w:t>
      </w:r>
      <w:r>
        <w:rPr/>
        <w:t>Tasmanian</w:t>
      </w:r>
      <w:r>
        <w:rPr>
          <w:spacing w:val="-4"/>
        </w:rPr>
        <w:t> </w:t>
      </w:r>
      <w:r>
        <w:rPr/>
        <w:t>Gas</w:t>
      </w:r>
      <w:r>
        <w:rPr>
          <w:spacing w:val="-2"/>
        </w:rPr>
        <w:t> </w:t>
      </w:r>
      <w:r>
        <w:rPr/>
        <w:t>Pipeline</w:t>
      </w:r>
      <w:r>
        <w:rPr>
          <w:spacing w:val="-4"/>
        </w:rPr>
        <w:t> </w:t>
      </w:r>
      <w:r>
        <w:rPr/>
        <w:t>fall</w:t>
      </w:r>
      <w:r>
        <w:rPr>
          <w:spacing w:val="-2"/>
        </w:rPr>
        <w:t> </w:t>
      </w:r>
      <w:r>
        <w:rPr/>
        <w:t>outside</w:t>
      </w:r>
      <w:r>
        <w:rPr>
          <w:spacing w:val="-2"/>
        </w:rPr>
        <w:t> </w:t>
      </w:r>
      <w:r>
        <w:rPr/>
        <w:t>of</w:t>
      </w:r>
      <w:r>
        <w:rPr>
          <w:spacing w:val="-3"/>
        </w:rPr>
        <w:t> </w:t>
      </w:r>
      <w:r>
        <w:rPr/>
        <w:t>the</w:t>
      </w:r>
      <w:r>
        <w:rPr>
          <w:spacing w:val="-4"/>
        </w:rPr>
        <w:t> </w:t>
      </w:r>
      <w:r>
        <w:rPr/>
        <w:t>DTS</w:t>
      </w:r>
      <w:r>
        <w:rPr>
          <w:spacing w:val="-4"/>
        </w:rPr>
        <w:t> </w:t>
      </w:r>
      <w:r>
        <w:rPr/>
        <w:t>and</w:t>
      </w:r>
      <w:r>
        <w:rPr>
          <w:spacing w:val="-2"/>
        </w:rPr>
        <w:t> </w:t>
      </w:r>
      <w:r>
        <w:rPr/>
        <w:t>are not operated by AEMO.</w:t>
      </w:r>
    </w:p>
    <w:p>
      <w:pPr>
        <w:spacing w:after="0" w:line="288" w:lineRule="auto"/>
        <w:sectPr>
          <w:headerReference w:type="default" r:id="rId33"/>
          <w:footerReference w:type="default" r:id="rId34"/>
          <w:pgSz w:w="11910" w:h="16840"/>
          <w:pgMar w:header="887" w:footer="1243" w:top="1080" w:bottom="1440" w:left="840" w:right="820"/>
        </w:sectPr>
      </w:pPr>
    </w:p>
    <w:p>
      <w:pPr>
        <w:pStyle w:val="BodyText"/>
        <w:rPr>
          <w:sz w:val="20"/>
        </w:rPr>
      </w:pPr>
    </w:p>
    <w:p>
      <w:pPr>
        <w:pStyle w:val="BodyText"/>
        <w:rPr>
          <w:sz w:val="20"/>
        </w:rPr>
      </w:pPr>
    </w:p>
    <w:p>
      <w:pPr>
        <w:pStyle w:val="BodyText"/>
        <w:spacing w:before="5"/>
      </w:pPr>
    </w:p>
    <w:p>
      <w:pPr>
        <w:pStyle w:val="BodyText"/>
        <w:spacing w:line="288" w:lineRule="auto"/>
        <w:ind w:left="600" w:right="311"/>
      </w:pPr>
      <w:r>
        <w:rPr/>
        <w:t>Figure</w:t>
      </w:r>
      <w:r>
        <w:rPr>
          <w:spacing w:val="-4"/>
        </w:rPr>
        <w:t> </w:t>
      </w:r>
      <w:r>
        <w:rPr/>
        <w:t>3</w:t>
      </w:r>
      <w:r>
        <w:rPr>
          <w:spacing w:val="-3"/>
        </w:rPr>
        <w:t> </w:t>
      </w:r>
      <w:r>
        <w:rPr/>
        <w:t>below</w:t>
      </w:r>
      <w:r>
        <w:rPr>
          <w:spacing w:val="-6"/>
        </w:rPr>
        <w:t> </w:t>
      </w:r>
      <w:r>
        <w:rPr/>
        <w:t>shows</w:t>
      </w:r>
      <w:r>
        <w:rPr>
          <w:spacing w:val="-2"/>
        </w:rPr>
        <w:t> </w:t>
      </w:r>
      <w:r>
        <w:rPr/>
        <w:t>the</w:t>
      </w:r>
      <w:r>
        <w:rPr>
          <w:spacing w:val="-3"/>
        </w:rPr>
        <w:t> </w:t>
      </w:r>
      <w:r>
        <w:rPr/>
        <w:t>Victorian</w:t>
      </w:r>
      <w:r>
        <w:rPr>
          <w:spacing w:val="-5"/>
        </w:rPr>
        <w:t> </w:t>
      </w:r>
      <w:r>
        <w:rPr/>
        <w:t>gas</w:t>
      </w:r>
      <w:r>
        <w:rPr>
          <w:spacing w:val="-2"/>
        </w:rPr>
        <w:t> </w:t>
      </w:r>
      <w:r>
        <w:rPr/>
        <w:t>system,</w:t>
      </w:r>
      <w:r>
        <w:rPr>
          <w:spacing w:val="-4"/>
        </w:rPr>
        <w:t> </w:t>
      </w:r>
      <w:r>
        <w:rPr/>
        <w:t>comprising</w:t>
      </w:r>
      <w:r>
        <w:rPr>
          <w:spacing w:val="-1"/>
        </w:rPr>
        <w:t> </w:t>
      </w:r>
      <w:r>
        <w:rPr/>
        <w:t>both</w:t>
      </w:r>
      <w:r>
        <w:rPr>
          <w:spacing w:val="-5"/>
        </w:rPr>
        <w:t> </w:t>
      </w:r>
      <w:r>
        <w:rPr/>
        <w:t>the</w:t>
      </w:r>
      <w:r>
        <w:rPr>
          <w:spacing w:val="-3"/>
        </w:rPr>
        <w:t> </w:t>
      </w:r>
      <w:r>
        <w:rPr/>
        <w:t>Declared</w:t>
      </w:r>
      <w:r>
        <w:rPr>
          <w:spacing w:val="-5"/>
        </w:rPr>
        <w:t> </w:t>
      </w:r>
      <w:r>
        <w:rPr/>
        <w:t>Transmission System in green and other transmission pipelines in grey.</w:t>
      </w:r>
    </w:p>
    <w:p>
      <w:pPr>
        <w:pStyle w:val="BodyText"/>
        <w:spacing w:before="3"/>
        <w:rPr>
          <w:sz w:val="31"/>
        </w:rPr>
      </w:pPr>
    </w:p>
    <w:p>
      <w:pPr>
        <w:pStyle w:val="Heading7"/>
        <w:ind w:left="600"/>
      </w:pPr>
      <w:r>
        <w:rPr/>
        <w:t>Figure</w:t>
      </w:r>
      <w:r>
        <w:rPr>
          <w:spacing w:val="-7"/>
        </w:rPr>
        <w:t> </w:t>
      </w:r>
      <w:r>
        <w:rPr/>
        <w:t>3:</w:t>
      </w:r>
      <w:r>
        <w:rPr>
          <w:spacing w:val="-4"/>
        </w:rPr>
        <w:t> </w:t>
      </w:r>
      <w:r>
        <w:rPr/>
        <w:t>Victorian</w:t>
      </w:r>
      <w:r>
        <w:rPr>
          <w:spacing w:val="-8"/>
        </w:rPr>
        <w:t> </w:t>
      </w:r>
      <w:r>
        <w:rPr/>
        <w:t>gas</w:t>
      </w:r>
      <w:r>
        <w:rPr>
          <w:spacing w:val="-7"/>
        </w:rPr>
        <w:t> </w:t>
      </w:r>
      <w:r>
        <w:rPr/>
        <w:t>transmission</w:t>
      </w:r>
      <w:r>
        <w:rPr>
          <w:spacing w:val="-5"/>
        </w:rPr>
        <w:t> </w:t>
      </w:r>
      <w:r>
        <w:rPr>
          <w:spacing w:val="-2"/>
        </w:rPr>
        <w:t>system</w:t>
      </w:r>
    </w:p>
    <w:p>
      <w:pPr>
        <w:pStyle w:val="BodyText"/>
        <w:rPr>
          <w:b/>
          <w:sz w:val="20"/>
        </w:rPr>
      </w:pPr>
    </w:p>
    <w:p>
      <w:pPr>
        <w:pStyle w:val="BodyText"/>
        <w:rPr>
          <w:b/>
          <w:sz w:val="20"/>
        </w:rPr>
      </w:pPr>
    </w:p>
    <w:p>
      <w:pPr>
        <w:pStyle w:val="BodyText"/>
        <w:spacing w:before="10"/>
        <w:rPr>
          <w:b/>
          <w:sz w:val="11"/>
        </w:rPr>
      </w:pPr>
      <w:r>
        <w:rPr/>
        <w:drawing>
          <wp:anchor distT="0" distB="0" distL="0" distR="0" allowOverlap="1" layoutInCell="1" locked="0" behindDoc="1" simplePos="0" relativeHeight="487599616">
            <wp:simplePos x="0" y="0"/>
            <wp:positionH relativeFrom="page">
              <wp:posOffset>980844</wp:posOffset>
            </wp:positionH>
            <wp:positionV relativeFrom="paragraph">
              <wp:posOffset>102430</wp:posOffset>
            </wp:positionV>
            <wp:extent cx="5595724" cy="3688079"/>
            <wp:effectExtent l="0" t="0" r="0" b="0"/>
            <wp:wrapTopAndBottom/>
            <wp:docPr id="60" name="Image 60" descr="C:\Users\rb2f\AppData\Local\Microsoft\Windows\Temporary Internet Files\Content.Word\Fig3.jpg"/>
            <wp:cNvGraphicFramePr>
              <a:graphicFrameLocks/>
            </wp:cNvGraphicFramePr>
            <a:graphic>
              <a:graphicData uri="http://schemas.openxmlformats.org/drawingml/2006/picture">
                <pic:pic>
                  <pic:nvPicPr>
                    <pic:cNvPr id="60" name="Image 60" descr="C:\Users\rb2f\AppData\Local\Microsoft\Windows\Temporary Internet Files\Content.Word\Fig3.jpg"/>
                    <pic:cNvPicPr/>
                  </pic:nvPicPr>
                  <pic:blipFill>
                    <a:blip r:embed="rId36" cstate="print"/>
                    <a:stretch>
                      <a:fillRect/>
                    </a:stretch>
                  </pic:blipFill>
                  <pic:spPr>
                    <a:xfrm>
                      <a:off x="0" y="0"/>
                      <a:ext cx="5595724" cy="3688079"/>
                    </a:xfrm>
                    <a:prstGeom prst="rect">
                      <a:avLst/>
                    </a:prstGeom>
                  </pic:spPr>
                </pic:pic>
              </a:graphicData>
            </a:graphic>
          </wp:anchor>
        </w:drawing>
      </w:r>
    </w:p>
    <w:p>
      <w:pPr>
        <w:pStyle w:val="BodyText"/>
        <w:spacing w:before="1"/>
        <w:rPr>
          <w:b/>
          <w:sz w:val="27"/>
        </w:rPr>
      </w:pPr>
    </w:p>
    <w:p>
      <w:pPr>
        <w:spacing w:before="0"/>
        <w:ind w:left="600" w:right="0" w:firstLine="0"/>
        <w:jc w:val="left"/>
        <w:rPr>
          <w:sz w:val="18"/>
        </w:rPr>
      </w:pPr>
      <w:r>
        <w:rPr>
          <w:sz w:val="18"/>
        </w:rPr>
        <w:t>Source:</w:t>
      </w:r>
      <w:r>
        <w:rPr>
          <w:spacing w:val="-3"/>
          <w:sz w:val="18"/>
        </w:rPr>
        <w:t> </w:t>
      </w:r>
      <w:r>
        <w:rPr>
          <w:sz w:val="18"/>
        </w:rPr>
        <w:t>Adapted</w:t>
      </w:r>
      <w:r>
        <w:rPr>
          <w:spacing w:val="-4"/>
          <w:sz w:val="18"/>
        </w:rPr>
        <w:t> </w:t>
      </w:r>
      <w:r>
        <w:rPr>
          <w:sz w:val="18"/>
        </w:rPr>
        <w:t>from</w:t>
      </w:r>
      <w:r>
        <w:rPr>
          <w:spacing w:val="-4"/>
          <w:sz w:val="18"/>
        </w:rPr>
        <w:t> </w:t>
      </w:r>
      <w:r>
        <w:rPr>
          <w:sz w:val="18"/>
        </w:rPr>
        <w:t>AEMO</w:t>
      </w:r>
      <w:r>
        <w:rPr>
          <w:spacing w:val="-3"/>
          <w:sz w:val="18"/>
        </w:rPr>
        <w:t> </w:t>
      </w:r>
      <w:r>
        <w:rPr>
          <w:spacing w:val="-2"/>
          <w:sz w:val="18"/>
        </w:rPr>
        <w:t>(2012)</w:t>
      </w:r>
    </w:p>
    <w:p>
      <w:pPr>
        <w:pStyle w:val="BodyText"/>
        <w:spacing w:before="5"/>
        <w:rPr>
          <w:sz w:val="24"/>
        </w:rPr>
      </w:pPr>
    </w:p>
    <w:p>
      <w:pPr>
        <w:pStyle w:val="BodyText"/>
        <w:spacing w:line="288" w:lineRule="auto" w:before="1"/>
        <w:ind w:left="600" w:right="713"/>
      </w:pPr>
      <w:r>
        <w:rPr>
          <w:b/>
        </w:rPr>
        <w:t>Distribution </w:t>
      </w:r>
      <w:r>
        <w:rPr/>
        <w:t>networks transport lower pressure natural gas (between a range of 700 to 2,800</w:t>
      </w:r>
      <w:r>
        <w:rPr>
          <w:spacing w:val="-5"/>
        </w:rPr>
        <w:t> </w:t>
      </w:r>
      <w:r>
        <w:rPr/>
        <w:t>kPa)</w:t>
      </w:r>
      <w:r>
        <w:rPr>
          <w:spacing w:val="-4"/>
        </w:rPr>
        <w:t> </w:t>
      </w:r>
      <w:r>
        <w:rPr/>
        <w:t>from</w:t>
      </w:r>
      <w:r>
        <w:rPr>
          <w:spacing w:val="-2"/>
        </w:rPr>
        <w:t> </w:t>
      </w:r>
      <w:r>
        <w:rPr/>
        <w:t>pressure-reduction</w:t>
      </w:r>
      <w:r>
        <w:rPr>
          <w:spacing w:val="-5"/>
        </w:rPr>
        <w:t> </w:t>
      </w:r>
      <w:r>
        <w:rPr/>
        <w:t>facilities</w:t>
      </w:r>
      <w:r>
        <w:rPr>
          <w:spacing w:val="-4"/>
        </w:rPr>
        <w:t> </w:t>
      </w:r>
      <w:r>
        <w:rPr/>
        <w:t>to</w:t>
      </w:r>
      <w:r>
        <w:rPr>
          <w:spacing w:val="-4"/>
        </w:rPr>
        <w:t> </w:t>
      </w:r>
      <w:r>
        <w:rPr/>
        <w:t>end</w:t>
      </w:r>
      <w:r>
        <w:rPr>
          <w:spacing w:val="-4"/>
        </w:rPr>
        <w:t> </w:t>
      </w:r>
      <w:r>
        <w:rPr/>
        <w:t>users. AusNet</w:t>
      </w:r>
      <w:r>
        <w:rPr>
          <w:spacing w:val="-2"/>
        </w:rPr>
        <w:t> </w:t>
      </w:r>
      <w:r>
        <w:rPr/>
        <w:t>Services,</w:t>
      </w:r>
      <w:r>
        <w:rPr>
          <w:spacing w:val="-2"/>
        </w:rPr>
        <w:t> </w:t>
      </w:r>
      <w:r>
        <w:rPr/>
        <w:t>Australian</w:t>
      </w:r>
      <w:r>
        <w:rPr>
          <w:spacing w:val="-5"/>
        </w:rPr>
        <w:t> </w:t>
      </w:r>
      <w:r>
        <w:rPr/>
        <w:t>Gas Networks and Multinet Gas hold distribution licenses to deliver natural gas to homes and </w:t>
      </w:r>
      <w:r>
        <w:rPr>
          <w:spacing w:val="-2"/>
        </w:rPr>
        <w:t>businesses.</w:t>
      </w:r>
    </w:p>
    <w:p>
      <w:pPr>
        <w:pStyle w:val="BodyText"/>
        <w:spacing w:before="9"/>
        <w:rPr>
          <w:sz w:val="20"/>
        </w:rPr>
      </w:pPr>
    </w:p>
    <w:p>
      <w:pPr>
        <w:pStyle w:val="BodyText"/>
        <w:spacing w:line="288" w:lineRule="auto" w:before="1"/>
        <w:ind w:left="600" w:right="586"/>
      </w:pPr>
      <w:r>
        <w:rPr>
          <w:b/>
        </w:rPr>
        <w:t>Retailers </w:t>
      </w:r>
      <w:r>
        <w:rPr/>
        <w:t>purchase the gas and sell it to end users. The retailer is the point of contact between</w:t>
      </w:r>
      <w:r>
        <w:rPr>
          <w:spacing w:val="-3"/>
        </w:rPr>
        <w:t> </w:t>
      </w:r>
      <w:r>
        <w:rPr/>
        <w:t>the</w:t>
      </w:r>
      <w:r>
        <w:rPr>
          <w:spacing w:val="-3"/>
        </w:rPr>
        <w:t> </w:t>
      </w:r>
      <w:r>
        <w:rPr/>
        <w:t>industry</w:t>
      </w:r>
      <w:r>
        <w:rPr>
          <w:spacing w:val="-5"/>
        </w:rPr>
        <w:t> </w:t>
      </w:r>
      <w:r>
        <w:rPr/>
        <w:t>and</w:t>
      </w:r>
      <w:r>
        <w:rPr>
          <w:spacing w:val="-3"/>
        </w:rPr>
        <w:t> </w:t>
      </w:r>
      <w:r>
        <w:rPr/>
        <w:t>individual</w:t>
      </w:r>
      <w:r>
        <w:rPr>
          <w:spacing w:val="-3"/>
        </w:rPr>
        <w:t> </w:t>
      </w:r>
      <w:r>
        <w:rPr/>
        <w:t>customers</w:t>
      </w:r>
      <w:r>
        <w:rPr>
          <w:spacing w:val="-5"/>
        </w:rPr>
        <w:t> </w:t>
      </w:r>
      <w:r>
        <w:rPr/>
        <w:t>with</w:t>
      </w:r>
      <w:r>
        <w:rPr>
          <w:spacing w:val="-3"/>
        </w:rPr>
        <w:t> </w:t>
      </w:r>
      <w:r>
        <w:rPr/>
        <w:t>specific</w:t>
      </w:r>
      <w:r>
        <w:rPr>
          <w:spacing w:val="-5"/>
        </w:rPr>
        <w:t> </w:t>
      </w:r>
      <w:r>
        <w:rPr/>
        <w:t>duties</w:t>
      </w:r>
      <w:r>
        <w:rPr>
          <w:spacing w:val="-5"/>
        </w:rPr>
        <w:t> </w:t>
      </w:r>
      <w:r>
        <w:rPr/>
        <w:t>contained</w:t>
      </w:r>
      <w:r>
        <w:rPr>
          <w:spacing w:val="-3"/>
        </w:rPr>
        <w:t> </w:t>
      </w:r>
      <w:r>
        <w:rPr/>
        <w:t>within</w:t>
      </w:r>
      <w:r>
        <w:rPr>
          <w:spacing w:val="-3"/>
        </w:rPr>
        <w:t> </w:t>
      </w:r>
      <w:r>
        <w:rPr/>
        <w:t>the </w:t>
      </w:r>
      <w:r>
        <w:rPr>
          <w:i/>
        </w:rPr>
        <w:t>Gas Safety Act 1997 </w:t>
      </w:r>
      <w:r>
        <w:rPr/>
        <w:t>and associated regulations. A retailer’s key responsibility includes maintaining the billing interface between the industry and individual customers.</w:t>
      </w:r>
    </w:p>
    <w:p>
      <w:pPr>
        <w:spacing w:after="0" w:line="288" w:lineRule="auto"/>
        <w:sectPr>
          <w:pgSz w:w="11910" w:h="16840"/>
          <w:pgMar w:header="887" w:footer="1243" w:top="1080" w:bottom="1500" w:left="840" w:right="820"/>
        </w:sectPr>
      </w:pPr>
    </w:p>
    <w:p>
      <w:pPr>
        <w:pStyle w:val="BodyText"/>
        <w:rPr>
          <w:sz w:val="20"/>
        </w:rPr>
      </w:pPr>
    </w:p>
    <w:p>
      <w:pPr>
        <w:pStyle w:val="BodyText"/>
        <w:rPr>
          <w:sz w:val="20"/>
        </w:rPr>
      </w:pPr>
    </w:p>
    <w:p>
      <w:pPr>
        <w:pStyle w:val="BodyText"/>
        <w:spacing w:before="5"/>
      </w:pPr>
    </w:p>
    <w:p>
      <w:pPr>
        <w:pStyle w:val="Heading7"/>
        <w:ind w:left="600"/>
      </w:pPr>
      <w:r>
        <w:rPr/>
        <w:t>Figure</w:t>
      </w:r>
      <w:r>
        <w:rPr>
          <w:spacing w:val="-4"/>
        </w:rPr>
        <w:t> </w:t>
      </w:r>
      <w:r>
        <w:rPr/>
        <w:t>4:</w:t>
      </w:r>
      <w:r>
        <w:rPr>
          <w:spacing w:val="-2"/>
        </w:rPr>
        <w:t> </w:t>
      </w:r>
      <w:r>
        <w:rPr/>
        <w:t>Natural</w:t>
      </w:r>
      <w:r>
        <w:rPr>
          <w:spacing w:val="-2"/>
        </w:rPr>
        <w:t> </w:t>
      </w:r>
      <w:r>
        <w:rPr/>
        <w:t>gas</w:t>
      </w:r>
      <w:r>
        <w:rPr>
          <w:spacing w:val="-6"/>
        </w:rPr>
        <w:t> </w:t>
      </w:r>
      <w:r>
        <w:rPr/>
        <w:t>production</w:t>
      </w:r>
      <w:r>
        <w:rPr>
          <w:spacing w:val="-7"/>
        </w:rPr>
        <w:t> </w:t>
      </w:r>
      <w:r>
        <w:rPr/>
        <w:t>and</w:t>
      </w:r>
      <w:r>
        <w:rPr>
          <w:spacing w:val="-4"/>
        </w:rPr>
        <w:t> </w:t>
      </w:r>
      <w:r>
        <w:rPr>
          <w:spacing w:val="-2"/>
        </w:rPr>
        <w:t>delivery</w:t>
      </w:r>
    </w:p>
    <w:p>
      <w:pPr>
        <w:pStyle w:val="BodyText"/>
        <w:rPr>
          <w:b/>
          <w:sz w:val="20"/>
        </w:rPr>
      </w:pPr>
    </w:p>
    <w:p>
      <w:pPr>
        <w:pStyle w:val="BodyText"/>
        <w:rPr>
          <w:b/>
          <w:sz w:val="11"/>
        </w:rPr>
      </w:pPr>
      <w:r>
        <w:rPr/>
        <w:drawing>
          <wp:anchor distT="0" distB="0" distL="0" distR="0" allowOverlap="1" layoutInCell="1" locked="0" behindDoc="1" simplePos="0" relativeHeight="487600128">
            <wp:simplePos x="0" y="0"/>
            <wp:positionH relativeFrom="page">
              <wp:posOffset>980849</wp:posOffset>
            </wp:positionH>
            <wp:positionV relativeFrom="paragraph">
              <wp:posOffset>95871</wp:posOffset>
            </wp:positionV>
            <wp:extent cx="5560639" cy="3419855"/>
            <wp:effectExtent l="0" t="0" r="0" b="0"/>
            <wp:wrapTopAndBottom/>
            <wp:docPr id="61" name="Image 61" descr="C:\Users\rb2f\AppData\Local\Microsoft\Windows\Temporary Internet Files\Content.Word\Fig4.NaturalGas.jpg"/>
            <wp:cNvGraphicFramePr>
              <a:graphicFrameLocks/>
            </wp:cNvGraphicFramePr>
            <a:graphic>
              <a:graphicData uri="http://schemas.openxmlformats.org/drawingml/2006/picture">
                <pic:pic>
                  <pic:nvPicPr>
                    <pic:cNvPr id="61" name="Image 61" descr="C:\Users\rb2f\AppData\Local\Microsoft\Windows\Temporary Internet Files\Content.Word\Fig4.NaturalGas.jpg"/>
                    <pic:cNvPicPr/>
                  </pic:nvPicPr>
                  <pic:blipFill>
                    <a:blip r:embed="rId37" cstate="print"/>
                    <a:stretch>
                      <a:fillRect/>
                    </a:stretch>
                  </pic:blipFill>
                  <pic:spPr>
                    <a:xfrm>
                      <a:off x="0" y="0"/>
                      <a:ext cx="5560639" cy="3419855"/>
                    </a:xfrm>
                    <a:prstGeom prst="rect">
                      <a:avLst/>
                    </a:prstGeom>
                  </pic:spPr>
                </pic:pic>
              </a:graphicData>
            </a:graphic>
          </wp:anchor>
        </w:drawing>
      </w:r>
    </w:p>
    <w:p>
      <w:pPr>
        <w:pStyle w:val="BodyText"/>
        <w:spacing w:before="9"/>
        <w:rPr>
          <w:b/>
          <w:sz w:val="34"/>
        </w:rPr>
      </w:pPr>
    </w:p>
    <w:p>
      <w:pPr>
        <w:spacing w:before="0"/>
        <w:ind w:left="600" w:right="0" w:firstLine="0"/>
        <w:jc w:val="left"/>
        <w:rPr>
          <w:sz w:val="18"/>
        </w:rPr>
      </w:pPr>
      <w:r>
        <w:rPr>
          <w:sz w:val="18"/>
        </w:rPr>
        <w:t>Source:</w:t>
      </w:r>
      <w:r>
        <w:rPr>
          <w:spacing w:val="-4"/>
          <w:sz w:val="18"/>
        </w:rPr>
        <w:t> </w:t>
      </w:r>
      <w:r>
        <w:rPr>
          <w:sz w:val="18"/>
        </w:rPr>
        <w:t>Adapted</w:t>
      </w:r>
      <w:r>
        <w:rPr>
          <w:spacing w:val="-6"/>
          <w:sz w:val="18"/>
        </w:rPr>
        <w:t> </w:t>
      </w:r>
      <w:r>
        <w:rPr>
          <w:sz w:val="18"/>
        </w:rPr>
        <w:t>from</w:t>
      </w:r>
      <w:r>
        <w:rPr>
          <w:spacing w:val="-4"/>
          <w:sz w:val="18"/>
        </w:rPr>
        <w:t> </w:t>
      </w:r>
      <w:r>
        <w:rPr>
          <w:sz w:val="18"/>
        </w:rPr>
        <w:t>U.S</w:t>
      </w:r>
      <w:r>
        <w:rPr>
          <w:spacing w:val="-4"/>
          <w:sz w:val="18"/>
        </w:rPr>
        <w:t> </w:t>
      </w:r>
      <w:r>
        <w:rPr>
          <w:sz w:val="18"/>
        </w:rPr>
        <w:t>Energy</w:t>
      </w:r>
      <w:r>
        <w:rPr>
          <w:spacing w:val="-6"/>
          <w:sz w:val="18"/>
        </w:rPr>
        <w:t> </w:t>
      </w:r>
      <w:r>
        <w:rPr>
          <w:sz w:val="18"/>
        </w:rPr>
        <w:t>Information</w:t>
      </w:r>
      <w:r>
        <w:rPr>
          <w:spacing w:val="-4"/>
          <w:sz w:val="18"/>
        </w:rPr>
        <w:t> </w:t>
      </w:r>
      <w:r>
        <w:rPr>
          <w:sz w:val="18"/>
        </w:rPr>
        <w:t>Administration</w:t>
      </w:r>
      <w:r>
        <w:rPr>
          <w:spacing w:val="-2"/>
          <w:sz w:val="18"/>
        </w:rPr>
        <w:t> (2017)</w:t>
      </w:r>
    </w:p>
    <w:p>
      <w:pPr>
        <w:pStyle w:val="BodyText"/>
        <w:rPr>
          <w:sz w:val="20"/>
        </w:rPr>
      </w:pPr>
    </w:p>
    <w:p>
      <w:pPr>
        <w:pStyle w:val="BodyText"/>
        <w:spacing w:line="288" w:lineRule="auto" w:before="174"/>
        <w:ind w:left="600"/>
      </w:pPr>
      <w:r>
        <w:rPr/>
        <w:t>Consistent with</w:t>
      </w:r>
      <w:r>
        <w:rPr>
          <w:spacing w:val="-2"/>
        </w:rPr>
        <w:t> </w:t>
      </w:r>
      <w:r>
        <w:rPr/>
        <w:t>the</w:t>
      </w:r>
      <w:r>
        <w:rPr>
          <w:spacing w:val="-7"/>
        </w:rPr>
        <w:t> </w:t>
      </w:r>
      <w:r>
        <w:rPr/>
        <w:t>Terms</w:t>
      </w:r>
      <w:r>
        <w:rPr>
          <w:spacing w:val="-1"/>
        </w:rPr>
        <w:t> </w:t>
      </w:r>
      <w:r>
        <w:rPr/>
        <w:t>of Reference,</w:t>
      </w:r>
      <w:r>
        <w:rPr>
          <w:spacing w:val="-3"/>
        </w:rPr>
        <w:t> </w:t>
      </w:r>
      <w:r>
        <w:rPr/>
        <w:t>this</w:t>
      </w:r>
      <w:r>
        <w:rPr>
          <w:spacing w:val="-4"/>
        </w:rPr>
        <w:t> </w:t>
      </w:r>
      <w:r>
        <w:rPr/>
        <w:t>Review</w:t>
      </w:r>
      <w:r>
        <w:rPr>
          <w:spacing w:val="-2"/>
        </w:rPr>
        <w:t> </w:t>
      </w:r>
      <w:r>
        <w:rPr/>
        <w:t>is</w:t>
      </w:r>
      <w:r>
        <w:rPr>
          <w:spacing w:val="-1"/>
        </w:rPr>
        <w:t> </w:t>
      </w:r>
      <w:r>
        <w:rPr/>
        <w:t>restricted</w:t>
      </w:r>
      <w:r>
        <w:rPr>
          <w:spacing w:val="-4"/>
        </w:rPr>
        <w:t> </w:t>
      </w:r>
      <w:r>
        <w:rPr/>
        <w:t>to</w:t>
      </w:r>
      <w:r>
        <w:rPr>
          <w:spacing w:val="-3"/>
        </w:rPr>
        <w:t> </w:t>
      </w:r>
      <w:r>
        <w:rPr/>
        <w:t>the</w:t>
      </w:r>
      <w:r>
        <w:rPr>
          <w:spacing w:val="-2"/>
        </w:rPr>
        <w:t> </w:t>
      </w:r>
      <w:r>
        <w:rPr/>
        <w:t>electricity</w:t>
      </w:r>
      <w:r>
        <w:rPr>
          <w:spacing w:val="-4"/>
        </w:rPr>
        <w:t> </w:t>
      </w:r>
      <w:r>
        <w:rPr/>
        <w:t>and</w:t>
      </w:r>
      <w:r>
        <w:rPr>
          <w:spacing w:val="-4"/>
        </w:rPr>
        <w:t> </w:t>
      </w:r>
      <w:r>
        <w:rPr/>
        <w:t>gas transmission and distribution sector only.</w:t>
      </w:r>
    </w:p>
    <w:p>
      <w:pPr>
        <w:pStyle w:val="BodyText"/>
        <w:spacing w:before="3"/>
        <w:rPr>
          <w:sz w:val="31"/>
        </w:rPr>
      </w:pPr>
    </w:p>
    <w:p>
      <w:pPr>
        <w:pStyle w:val="Heading4"/>
        <w:spacing w:before="0"/>
        <w:ind w:left="600"/>
      </w:pPr>
      <w:r>
        <w:rPr>
          <w:color w:val="585858"/>
        </w:rPr>
        <w:t>The</w:t>
      </w:r>
      <w:r>
        <w:rPr>
          <w:color w:val="585858"/>
          <w:spacing w:val="-8"/>
        </w:rPr>
        <w:t> </w:t>
      </w:r>
      <w:r>
        <w:rPr>
          <w:color w:val="585858"/>
        </w:rPr>
        <w:t>safety</w:t>
      </w:r>
      <w:r>
        <w:rPr>
          <w:color w:val="585858"/>
          <w:spacing w:val="-11"/>
        </w:rPr>
        <w:t> </w:t>
      </w:r>
      <w:r>
        <w:rPr>
          <w:color w:val="585858"/>
          <w:spacing w:val="-2"/>
        </w:rPr>
        <w:t>risks</w:t>
      </w:r>
    </w:p>
    <w:p>
      <w:pPr>
        <w:pStyle w:val="BodyText"/>
        <w:rPr>
          <w:b/>
          <w:sz w:val="43"/>
        </w:rPr>
      </w:pPr>
    </w:p>
    <w:p>
      <w:pPr>
        <w:pStyle w:val="Heading6"/>
        <w:ind w:left="600"/>
      </w:pPr>
      <w:r>
        <w:rPr>
          <w:spacing w:val="-2"/>
        </w:rPr>
        <w:t>Electricity</w:t>
      </w:r>
    </w:p>
    <w:p>
      <w:pPr>
        <w:pStyle w:val="BodyText"/>
        <w:spacing w:line="288" w:lineRule="auto" w:before="175"/>
        <w:ind w:left="600" w:right="713"/>
      </w:pPr>
      <w:r>
        <w:rPr/>
        <w:t>The</w:t>
      </w:r>
      <w:r>
        <w:rPr>
          <w:spacing w:val="-7"/>
        </w:rPr>
        <w:t> </w:t>
      </w:r>
      <w:r>
        <w:rPr/>
        <w:t>key</w:t>
      </w:r>
      <w:r>
        <w:rPr>
          <w:spacing w:val="-4"/>
        </w:rPr>
        <w:t> </w:t>
      </w:r>
      <w:r>
        <w:rPr/>
        <w:t>risks</w:t>
      </w:r>
      <w:r>
        <w:rPr>
          <w:spacing w:val="-4"/>
        </w:rPr>
        <w:t> </w:t>
      </w:r>
      <w:r>
        <w:rPr/>
        <w:t>associated</w:t>
      </w:r>
      <w:r>
        <w:rPr>
          <w:spacing w:val="-4"/>
        </w:rPr>
        <w:t> </w:t>
      </w:r>
      <w:r>
        <w:rPr/>
        <w:t>with</w:t>
      </w:r>
      <w:r>
        <w:rPr>
          <w:spacing w:val="-2"/>
        </w:rPr>
        <w:t> </w:t>
      </w:r>
      <w:r>
        <w:rPr/>
        <w:t>the</w:t>
      </w:r>
      <w:r>
        <w:rPr>
          <w:spacing w:val="-2"/>
        </w:rPr>
        <w:t> </w:t>
      </w:r>
      <w:r>
        <w:rPr/>
        <w:t>electricity</w:t>
      </w:r>
      <w:r>
        <w:rPr>
          <w:spacing w:val="-4"/>
        </w:rPr>
        <w:t> </w:t>
      </w:r>
      <w:r>
        <w:rPr/>
        <w:t>network</w:t>
      </w:r>
      <w:r>
        <w:rPr>
          <w:spacing w:val="-1"/>
        </w:rPr>
        <w:t> </w:t>
      </w:r>
      <w:r>
        <w:rPr/>
        <w:t>relate</w:t>
      </w:r>
      <w:r>
        <w:rPr>
          <w:spacing w:val="-3"/>
        </w:rPr>
        <w:t> </w:t>
      </w:r>
      <w:r>
        <w:rPr/>
        <w:t>to</w:t>
      </w:r>
      <w:r>
        <w:rPr>
          <w:spacing w:val="-2"/>
        </w:rPr>
        <w:t> </w:t>
      </w:r>
      <w:r>
        <w:rPr/>
        <w:t>electrocution</w:t>
      </w:r>
      <w:r>
        <w:rPr>
          <w:spacing w:val="-4"/>
        </w:rPr>
        <w:t> </w:t>
      </w:r>
      <w:r>
        <w:rPr/>
        <w:t>and</w:t>
      </w:r>
      <w:r>
        <w:rPr>
          <w:spacing w:val="-2"/>
        </w:rPr>
        <w:t> </w:t>
      </w:r>
      <w:r>
        <w:rPr/>
        <w:t>the</w:t>
      </w:r>
      <w:r>
        <w:rPr>
          <w:spacing w:val="-4"/>
        </w:rPr>
        <w:t> </w:t>
      </w:r>
      <w:r>
        <w:rPr/>
        <w:t>impacts of bushfires ignited by electrical infrastructure. A lack of supply can also have a significant impact on the safety and wellbeing of individuals and the community.</w:t>
      </w:r>
    </w:p>
    <w:p>
      <w:pPr>
        <w:pStyle w:val="BodyText"/>
        <w:spacing w:before="9"/>
        <w:rPr>
          <w:sz w:val="20"/>
        </w:rPr>
      </w:pPr>
    </w:p>
    <w:p>
      <w:pPr>
        <w:pStyle w:val="Heading8"/>
        <w:ind w:left="600"/>
      </w:pPr>
      <w:r>
        <w:rPr>
          <w:spacing w:val="-2"/>
        </w:rPr>
        <w:t>Electrocution</w:t>
      </w:r>
    </w:p>
    <w:p>
      <w:pPr>
        <w:pStyle w:val="BodyText"/>
        <w:spacing w:before="172"/>
        <w:ind w:left="600"/>
      </w:pPr>
      <w:r>
        <w:rPr/>
        <w:t>Electrocution</w:t>
      </w:r>
      <w:r>
        <w:rPr>
          <w:spacing w:val="-7"/>
        </w:rPr>
        <w:t> </w:t>
      </w:r>
      <w:r>
        <w:rPr/>
        <w:t>can</w:t>
      </w:r>
      <w:r>
        <w:rPr>
          <w:spacing w:val="-5"/>
        </w:rPr>
        <w:t> </w:t>
      </w:r>
      <w:r>
        <w:rPr/>
        <w:t>occur</w:t>
      </w:r>
      <w:r>
        <w:rPr>
          <w:spacing w:val="-5"/>
        </w:rPr>
        <w:t> </w:t>
      </w:r>
      <w:r>
        <w:rPr/>
        <w:t>through</w:t>
      </w:r>
      <w:r>
        <w:rPr>
          <w:spacing w:val="-5"/>
        </w:rPr>
        <w:t> </w:t>
      </w:r>
      <w:r>
        <w:rPr/>
        <w:t>contact</w:t>
      </w:r>
      <w:r>
        <w:rPr>
          <w:spacing w:val="-3"/>
        </w:rPr>
        <w:t> </w:t>
      </w:r>
      <w:r>
        <w:rPr/>
        <w:t>with</w:t>
      </w:r>
      <w:r>
        <w:rPr>
          <w:spacing w:val="-5"/>
        </w:rPr>
        <w:t> </w:t>
      </w:r>
      <w:r>
        <w:rPr/>
        <w:t>electrical</w:t>
      </w:r>
      <w:r>
        <w:rPr>
          <w:spacing w:val="-5"/>
        </w:rPr>
        <w:t> </w:t>
      </w:r>
      <w:r>
        <w:rPr/>
        <w:t>assets</w:t>
      </w:r>
      <w:r>
        <w:rPr>
          <w:spacing w:val="-7"/>
        </w:rPr>
        <w:t> </w:t>
      </w:r>
      <w:r>
        <w:rPr/>
        <w:t>as</w:t>
      </w:r>
      <w:r>
        <w:rPr>
          <w:spacing w:val="-6"/>
        </w:rPr>
        <w:t> </w:t>
      </w:r>
      <w:r>
        <w:rPr/>
        <w:t>a</w:t>
      </w:r>
      <w:r>
        <w:rPr>
          <w:spacing w:val="-7"/>
        </w:rPr>
        <w:t> </w:t>
      </w:r>
      <w:r>
        <w:rPr/>
        <w:t>result</w:t>
      </w:r>
      <w:r>
        <w:rPr>
          <w:spacing w:val="-5"/>
        </w:rPr>
        <w:t> of:</w:t>
      </w:r>
    </w:p>
    <w:p>
      <w:pPr>
        <w:pStyle w:val="BodyText"/>
        <w:spacing w:before="7"/>
        <w:rPr>
          <w:sz w:val="26"/>
        </w:rPr>
      </w:pPr>
    </w:p>
    <w:p>
      <w:pPr>
        <w:pStyle w:val="ListParagraph"/>
        <w:numPr>
          <w:ilvl w:val="0"/>
          <w:numId w:val="20"/>
        </w:numPr>
        <w:tabs>
          <w:tab w:pos="958" w:val="left" w:leader="none"/>
        </w:tabs>
        <w:spacing w:line="288" w:lineRule="auto" w:before="0" w:after="0"/>
        <w:ind w:left="958" w:right="782" w:hanging="358"/>
        <w:jc w:val="left"/>
        <w:rPr>
          <w:sz w:val="22"/>
        </w:rPr>
      </w:pPr>
      <w:r>
        <w:rPr>
          <w:sz w:val="22"/>
        </w:rPr>
        <w:t>damaged</w:t>
      </w:r>
      <w:r>
        <w:rPr>
          <w:spacing w:val="-3"/>
          <w:sz w:val="22"/>
        </w:rPr>
        <w:t> </w:t>
      </w:r>
      <w:r>
        <w:rPr>
          <w:sz w:val="22"/>
        </w:rPr>
        <w:t>infrastructure</w:t>
      </w:r>
      <w:r>
        <w:rPr>
          <w:spacing w:val="-5"/>
          <w:sz w:val="22"/>
        </w:rPr>
        <w:t> </w:t>
      </w:r>
      <w:r>
        <w:rPr>
          <w:sz w:val="22"/>
        </w:rPr>
        <w:t>such</w:t>
      </w:r>
      <w:r>
        <w:rPr>
          <w:spacing w:val="-3"/>
          <w:sz w:val="22"/>
        </w:rPr>
        <w:t> </w:t>
      </w:r>
      <w:r>
        <w:rPr>
          <w:sz w:val="22"/>
        </w:rPr>
        <w:t>as</w:t>
      </w:r>
      <w:r>
        <w:rPr>
          <w:spacing w:val="-5"/>
          <w:sz w:val="22"/>
        </w:rPr>
        <w:t> </w:t>
      </w:r>
      <w:r>
        <w:rPr>
          <w:sz w:val="22"/>
        </w:rPr>
        <w:t>fallen powerlines,</w:t>
      </w:r>
      <w:r>
        <w:rPr>
          <w:spacing w:val="-1"/>
          <w:sz w:val="22"/>
        </w:rPr>
        <w:t> </w:t>
      </w:r>
      <w:r>
        <w:rPr>
          <w:sz w:val="22"/>
        </w:rPr>
        <w:t>equipment</w:t>
      </w:r>
      <w:r>
        <w:rPr>
          <w:spacing w:val="-6"/>
          <w:sz w:val="22"/>
        </w:rPr>
        <w:t> </w:t>
      </w:r>
      <w:r>
        <w:rPr>
          <w:sz w:val="22"/>
        </w:rPr>
        <w:t>failure,</w:t>
      </w:r>
      <w:r>
        <w:rPr>
          <w:spacing w:val="-4"/>
          <w:sz w:val="22"/>
        </w:rPr>
        <w:t> </w:t>
      </w:r>
      <w:r>
        <w:rPr>
          <w:sz w:val="22"/>
        </w:rPr>
        <w:t>traffic</w:t>
      </w:r>
      <w:r>
        <w:rPr>
          <w:spacing w:val="-5"/>
          <w:sz w:val="22"/>
        </w:rPr>
        <w:t> </w:t>
      </w:r>
      <w:r>
        <w:rPr>
          <w:sz w:val="22"/>
        </w:rPr>
        <w:t>accidents</w:t>
      </w:r>
      <w:r>
        <w:rPr>
          <w:spacing w:val="-2"/>
          <w:sz w:val="22"/>
        </w:rPr>
        <w:t> </w:t>
      </w:r>
      <w:r>
        <w:rPr>
          <w:sz w:val="22"/>
        </w:rPr>
        <w:t>or third party damage (either accidental or intentional); or as a result of high winds, thunderstorms, flooding, earthquake, or bushfires;</w:t>
      </w:r>
    </w:p>
    <w:p>
      <w:pPr>
        <w:pStyle w:val="BodyText"/>
        <w:spacing w:before="3"/>
      </w:pPr>
    </w:p>
    <w:p>
      <w:pPr>
        <w:pStyle w:val="ListParagraph"/>
        <w:numPr>
          <w:ilvl w:val="0"/>
          <w:numId w:val="20"/>
        </w:numPr>
        <w:tabs>
          <w:tab w:pos="957" w:val="left" w:leader="none"/>
        </w:tabs>
        <w:spacing w:line="240" w:lineRule="auto" w:before="0" w:after="0"/>
        <w:ind w:left="957" w:right="0" w:hanging="357"/>
        <w:jc w:val="left"/>
        <w:rPr>
          <w:sz w:val="22"/>
        </w:rPr>
      </w:pPr>
      <w:r>
        <w:rPr>
          <w:sz w:val="22"/>
        </w:rPr>
        <w:t>unauthorised</w:t>
      </w:r>
      <w:r>
        <w:rPr>
          <w:spacing w:val="-8"/>
          <w:sz w:val="22"/>
        </w:rPr>
        <w:t> </w:t>
      </w:r>
      <w:r>
        <w:rPr>
          <w:sz w:val="22"/>
        </w:rPr>
        <w:t>access</w:t>
      </w:r>
      <w:r>
        <w:rPr>
          <w:spacing w:val="-7"/>
          <w:sz w:val="22"/>
        </w:rPr>
        <w:t> </w:t>
      </w:r>
      <w:r>
        <w:rPr>
          <w:sz w:val="22"/>
        </w:rPr>
        <w:t>to</w:t>
      </w:r>
      <w:r>
        <w:rPr>
          <w:spacing w:val="-6"/>
          <w:sz w:val="22"/>
        </w:rPr>
        <w:t> </w:t>
      </w:r>
      <w:r>
        <w:rPr>
          <w:sz w:val="22"/>
        </w:rPr>
        <w:t>substations</w:t>
      </w:r>
      <w:r>
        <w:rPr>
          <w:spacing w:val="-7"/>
          <w:sz w:val="22"/>
        </w:rPr>
        <w:t> </w:t>
      </w:r>
      <w:r>
        <w:rPr>
          <w:sz w:val="22"/>
        </w:rPr>
        <w:t>or</w:t>
      </w:r>
      <w:r>
        <w:rPr>
          <w:spacing w:val="-6"/>
          <w:sz w:val="22"/>
        </w:rPr>
        <w:t> </w:t>
      </w:r>
      <w:r>
        <w:rPr>
          <w:sz w:val="22"/>
        </w:rPr>
        <w:t>climbing</w:t>
      </w:r>
      <w:r>
        <w:rPr>
          <w:spacing w:val="-5"/>
          <w:sz w:val="22"/>
        </w:rPr>
        <w:t> </w:t>
      </w:r>
      <w:r>
        <w:rPr>
          <w:sz w:val="22"/>
        </w:rPr>
        <w:t>of</w:t>
      </w:r>
      <w:r>
        <w:rPr>
          <w:spacing w:val="-6"/>
          <w:sz w:val="22"/>
        </w:rPr>
        <w:t> </w:t>
      </w:r>
      <w:r>
        <w:rPr>
          <w:sz w:val="22"/>
        </w:rPr>
        <w:t>electrical</w:t>
      </w:r>
      <w:r>
        <w:rPr>
          <w:spacing w:val="-6"/>
          <w:sz w:val="22"/>
        </w:rPr>
        <w:t> </w:t>
      </w:r>
      <w:r>
        <w:rPr>
          <w:spacing w:val="-2"/>
          <w:sz w:val="22"/>
        </w:rPr>
        <w:t>infrastructure;</w:t>
      </w:r>
    </w:p>
    <w:p>
      <w:pPr>
        <w:spacing w:after="0" w:line="240" w:lineRule="auto"/>
        <w:jc w:val="left"/>
        <w:rPr>
          <w:sz w:val="22"/>
        </w:rPr>
        <w:sectPr>
          <w:pgSz w:w="11910" w:h="16840"/>
          <w:pgMar w:header="887" w:footer="1243" w:top="1080" w:bottom="1500" w:left="840" w:right="820"/>
        </w:sectPr>
      </w:pPr>
    </w:p>
    <w:p>
      <w:pPr>
        <w:pStyle w:val="BodyText"/>
        <w:rPr>
          <w:sz w:val="20"/>
        </w:rPr>
      </w:pPr>
    </w:p>
    <w:p>
      <w:pPr>
        <w:pStyle w:val="BodyText"/>
        <w:rPr>
          <w:sz w:val="20"/>
        </w:rPr>
      </w:pPr>
    </w:p>
    <w:p>
      <w:pPr>
        <w:pStyle w:val="BodyText"/>
        <w:spacing w:before="10"/>
        <w:rPr>
          <w:sz w:val="23"/>
        </w:rPr>
      </w:pPr>
    </w:p>
    <w:p>
      <w:pPr>
        <w:pStyle w:val="ListParagraph"/>
        <w:numPr>
          <w:ilvl w:val="0"/>
          <w:numId w:val="20"/>
        </w:numPr>
        <w:tabs>
          <w:tab w:pos="958" w:val="left" w:leader="none"/>
        </w:tabs>
        <w:spacing w:line="288" w:lineRule="auto" w:before="0" w:after="0"/>
        <w:ind w:left="958" w:right="1158" w:hanging="358"/>
        <w:jc w:val="left"/>
        <w:rPr>
          <w:sz w:val="22"/>
        </w:rPr>
      </w:pPr>
      <w:r>
        <w:rPr>
          <w:sz w:val="22"/>
        </w:rPr>
        <w:t>contact</w:t>
      </w:r>
      <w:r>
        <w:rPr>
          <w:spacing w:val="-4"/>
          <w:sz w:val="22"/>
        </w:rPr>
        <w:t> </w:t>
      </w:r>
      <w:r>
        <w:rPr>
          <w:sz w:val="22"/>
        </w:rPr>
        <w:t>with</w:t>
      </w:r>
      <w:r>
        <w:rPr>
          <w:spacing w:val="-3"/>
          <w:sz w:val="22"/>
        </w:rPr>
        <w:t> </w:t>
      </w:r>
      <w:r>
        <w:rPr>
          <w:sz w:val="22"/>
        </w:rPr>
        <w:t>excavators,</w:t>
      </w:r>
      <w:r>
        <w:rPr>
          <w:spacing w:val="-4"/>
          <w:sz w:val="22"/>
        </w:rPr>
        <w:t> </w:t>
      </w:r>
      <w:r>
        <w:rPr>
          <w:sz w:val="22"/>
        </w:rPr>
        <w:t>cranes</w:t>
      </w:r>
      <w:r>
        <w:rPr>
          <w:spacing w:val="-3"/>
          <w:sz w:val="22"/>
        </w:rPr>
        <w:t> </w:t>
      </w:r>
      <w:r>
        <w:rPr>
          <w:sz w:val="22"/>
        </w:rPr>
        <w:t>or</w:t>
      </w:r>
      <w:r>
        <w:rPr>
          <w:spacing w:val="-1"/>
          <w:sz w:val="22"/>
        </w:rPr>
        <w:t> </w:t>
      </w:r>
      <w:r>
        <w:rPr>
          <w:sz w:val="22"/>
        </w:rPr>
        <w:t>earth-moving</w:t>
      </w:r>
      <w:r>
        <w:rPr>
          <w:spacing w:val="-3"/>
          <w:sz w:val="22"/>
        </w:rPr>
        <w:t> </w:t>
      </w:r>
      <w:r>
        <w:rPr>
          <w:sz w:val="22"/>
        </w:rPr>
        <w:t>machinery</w:t>
      </w:r>
      <w:r>
        <w:rPr>
          <w:spacing w:val="-5"/>
          <w:sz w:val="22"/>
        </w:rPr>
        <w:t> </w:t>
      </w:r>
      <w:r>
        <w:rPr>
          <w:sz w:val="22"/>
        </w:rPr>
        <w:t>working</w:t>
      </w:r>
      <w:r>
        <w:rPr>
          <w:spacing w:val="-2"/>
          <w:sz w:val="22"/>
        </w:rPr>
        <w:t> </w:t>
      </w:r>
      <w:r>
        <w:rPr>
          <w:sz w:val="22"/>
        </w:rPr>
        <w:t>in</w:t>
      </w:r>
      <w:r>
        <w:rPr>
          <w:spacing w:val="-5"/>
          <w:sz w:val="22"/>
        </w:rPr>
        <w:t> </w:t>
      </w:r>
      <w:r>
        <w:rPr>
          <w:sz w:val="22"/>
        </w:rPr>
        <w:t>the</w:t>
      </w:r>
      <w:r>
        <w:rPr>
          <w:spacing w:val="-5"/>
          <w:sz w:val="22"/>
        </w:rPr>
        <w:t> </w:t>
      </w:r>
      <w:r>
        <w:rPr>
          <w:sz w:val="22"/>
        </w:rPr>
        <w:t>vicinity</w:t>
      </w:r>
      <w:r>
        <w:rPr>
          <w:spacing w:val="-5"/>
          <w:sz w:val="22"/>
        </w:rPr>
        <w:t> </w:t>
      </w:r>
      <w:r>
        <w:rPr>
          <w:sz w:val="22"/>
        </w:rPr>
        <w:t>of electrical infrastructure, or low flying aerial activities; or</w:t>
      </w:r>
    </w:p>
    <w:p>
      <w:pPr>
        <w:pStyle w:val="BodyText"/>
        <w:spacing w:before="4"/>
      </w:pPr>
    </w:p>
    <w:p>
      <w:pPr>
        <w:pStyle w:val="ListParagraph"/>
        <w:numPr>
          <w:ilvl w:val="0"/>
          <w:numId w:val="20"/>
        </w:numPr>
        <w:tabs>
          <w:tab w:pos="957" w:val="left" w:leader="none"/>
        </w:tabs>
        <w:spacing w:line="240" w:lineRule="auto" w:before="0" w:after="0"/>
        <w:ind w:left="957" w:right="0" w:hanging="357"/>
        <w:jc w:val="left"/>
        <w:rPr>
          <w:sz w:val="22"/>
        </w:rPr>
      </w:pPr>
      <w:r>
        <w:rPr>
          <w:sz w:val="22"/>
        </w:rPr>
        <w:t>people</w:t>
      </w:r>
      <w:r>
        <w:rPr>
          <w:spacing w:val="-5"/>
          <w:sz w:val="22"/>
        </w:rPr>
        <w:t> </w:t>
      </w:r>
      <w:r>
        <w:rPr>
          <w:sz w:val="22"/>
        </w:rPr>
        <w:t>working</w:t>
      </w:r>
      <w:r>
        <w:rPr>
          <w:spacing w:val="-5"/>
          <w:sz w:val="22"/>
        </w:rPr>
        <w:t> </w:t>
      </w:r>
      <w:r>
        <w:rPr>
          <w:sz w:val="22"/>
        </w:rPr>
        <w:t>on</w:t>
      </w:r>
      <w:r>
        <w:rPr>
          <w:spacing w:val="-5"/>
          <w:sz w:val="22"/>
        </w:rPr>
        <w:t> </w:t>
      </w:r>
      <w:r>
        <w:rPr>
          <w:sz w:val="22"/>
        </w:rPr>
        <w:t>live</w:t>
      </w:r>
      <w:r>
        <w:rPr>
          <w:spacing w:val="-5"/>
          <w:sz w:val="22"/>
        </w:rPr>
        <w:t> </w:t>
      </w:r>
      <w:r>
        <w:rPr>
          <w:sz w:val="22"/>
        </w:rPr>
        <w:t>electrical</w:t>
      </w:r>
      <w:r>
        <w:rPr>
          <w:spacing w:val="-5"/>
          <w:sz w:val="22"/>
        </w:rPr>
        <w:t> </w:t>
      </w:r>
      <w:r>
        <w:rPr>
          <w:spacing w:val="-2"/>
          <w:sz w:val="22"/>
        </w:rPr>
        <w:t>infrastructure.</w:t>
      </w:r>
    </w:p>
    <w:p>
      <w:pPr>
        <w:pStyle w:val="BodyText"/>
        <w:spacing w:before="11"/>
        <w:rPr>
          <w:sz w:val="24"/>
        </w:rPr>
      </w:pPr>
    </w:p>
    <w:p>
      <w:pPr>
        <w:pStyle w:val="Heading8"/>
        <w:ind w:left="600"/>
      </w:pPr>
      <w:r>
        <w:rPr>
          <w:spacing w:val="-2"/>
        </w:rPr>
        <w:t>Bushfires</w:t>
      </w:r>
    </w:p>
    <w:p>
      <w:pPr>
        <w:pStyle w:val="BodyText"/>
        <w:spacing w:line="288" w:lineRule="auto" w:before="172"/>
        <w:ind w:left="600" w:right="586"/>
      </w:pPr>
      <w:r>
        <w:rPr/>
        <w:t>Victoria</w:t>
      </w:r>
      <w:r>
        <w:rPr>
          <w:spacing w:val="-2"/>
        </w:rPr>
        <w:t> </w:t>
      </w:r>
      <w:r>
        <w:rPr/>
        <w:t>is</w:t>
      </w:r>
      <w:r>
        <w:rPr>
          <w:spacing w:val="-1"/>
        </w:rPr>
        <w:t> </w:t>
      </w:r>
      <w:r>
        <w:rPr/>
        <w:t>one</w:t>
      </w:r>
      <w:r>
        <w:rPr>
          <w:spacing w:val="-4"/>
        </w:rPr>
        <w:t> </w:t>
      </w:r>
      <w:r>
        <w:rPr/>
        <w:t>of the</w:t>
      </w:r>
      <w:r>
        <w:rPr>
          <w:spacing w:val="-6"/>
        </w:rPr>
        <w:t> </w:t>
      </w:r>
      <w:r>
        <w:rPr/>
        <w:t>most bushfire-prone</w:t>
      </w:r>
      <w:r>
        <w:rPr>
          <w:spacing w:val="-4"/>
        </w:rPr>
        <w:t> </w:t>
      </w:r>
      <w:r>
        <w:rPr/>
        <w:t>regions</w:t>
      </w:r>
      <w:r>
        <w:rPr>
          <w:spacing w:val="-4"/>
        </w:rPr>
        <w:t> </w:t>
      </w:r>
      <w:r>
        <w:rPr/>
        <w:t>of the</w:t>
      </w:r>
      <w:r>
        <w:rPr>
          <w:spacing w:val="-4"/>
        </w:rPr>
        <w:t> </w:t>
      </w:r>
      <w:r>
        <w:rPr/>
        <w:t>world.</w:t>
      </w:r>
      <w:r>
        <w:rPr>
          <w:spacing w:val="-3"/>
        </w:rPr>
        <w:t> </w:t>
      </w:r>
      <w:r>
        <w:rPr/>
        <w:t>While</w:t>
      </w:r>
      <w:r>
        <w:rPr>
          <w:spacing w:val="-4"/>
        </w:rPr>
        <w:t> </w:t>
      </w:r>
      <w:r>
        <w:rPr/>
        <w:t>there</w:t>
      </w:r>
      <w:r>
        <w:rPr>
          <w:spacing w:val="-4"/>
        </w:rPr>
        <w:t> </w:t>
      </w:r>
      <w:r>
        <w:rPr/>
        <w:t>are</w:t>
      </w:r>
      <w:r>
        <w:rPr>
          <w:spacing w:val="-4"/>
        </w:rPr>
        <w:t> </w:t>
      </w:r>
      <w:r>
        <w:rPr/>
        <w:t>many</w:t>
      </w:r>
      <w:r>
        <w:rPr>
          <w:spacing w:val="-4"/>
        </w:rPr>
        <w:t> </w:t>
      </w:r>
      <w:r>
        <w:rPr/>
        <w:t>causes of bushfire ignitions including lightning and human activity (whether intentional or unintentional), electrical infrastructure has long been known to be one of the causes of fires (CSIRO, 2014). In conditions of abundant fuel, high temperature, low humidity and high winds, a small spark can</w:t>
      </w:r>
      <w:r>
        <w:rPr>
          <w:spacing w:val="-3"/>
        </w:rPr>
        <w:t> </w:t>
      </w:r>
      <w:r>
        <w:rPr/>
        <w:t>quickly grow</w:t>
      </w:r>
      <w:r>
        <w:rPr>
          <w:spacing w:val="-1"/>
        </w:rPr>
        <w:t> </w:t>
      </w:r>
      <w:r>
        <w:rPr/>
        <w:t>to a major</w:t>
      </w:r>
      <w:r>
        <w:rPr>
          <w:spacing w:val="-2"/>
        </w:rPr>
        <w:t> </w:t>
      </w:r>
      <w:r>
        <w:rPr/>
        <w:t>bushfire and cause widespread damage to people, property and the environment.</w:t>
      </w:r>
    </w:p>
    <w:p>
      <w:pPr>
        <w:pStyle w:val="BodyText"/>
        <w:spacing w:before="10"/>
        <w:rPr>
          <w:sz w:val="20"/>
        </w:rPr>
      </w:pPr>
    </w:p>
    <w:p>
      <w:pPr>
        <w:pStyle w:val="BodyText"/>
        <w:spacing w:before="1"/>
        <w:ind w:left="600"/>
      </w:pPr>
      <w:r>
        <w:rPr/>
        <w:t>Fires</w:t>
      </w:r>
      <w:r>
        <w:rPr>
          <w:spacing w:val="-5"/>
        </w:rPr>
        <w:t> </w:t>
      </w:r>
      <w:r>
        <w:rPr/>
        <w:t>starting</w:t>
      </w:r>
      <w:r>
        <w:rPr>
          <w:spacing w:val="-4"/>
        </w:rPr>
        <w:t> </w:t>
      </w:r>
      <w:r>
        <w:rPr/>
        <w:t>as</w:t>
      </w:r>
      <w:r>
        <w:rPr>
          <w:spacing w:val="-4"/>
        </w:rPr>
        <w:t> </w:t>
      </w:r>
      <w:r>
        <w:rPr/>
        <w:t>a</w:t>
      </w:r>
      <w:r>
        <w:rPr>
          <w:spacing w:val="-7"/>
        </w:rPr>
        <w:t> </w:t>
      </w:r>
      <w:r>
        <w:rPr/>
        <w:t>result</w:t>
      </w:r>
      <w:r>
        <w:rPr>
          <w:spacing w:val="-5"/>
        </w:rPr>
        <w:t> </w:t>
      </w:r>
      <w:r>
        <w:rPr/>
        <w:t>of electrical</w:t>
      </w:r>
      <w:r>
        <w:rPr>
          <w:spacing w:val="-6"/>
        </w:rPr>
        <w:t> </w:t>
      </w:r>
      <w:r>
        <w:rPr/>
        <w:t>infrastructure</w:t>
      </w:r>
      <w:r>
        <w:rPr>
          <w:spacing w:val="-4"/>
        </w:rPr>
        <w:t> </w:t>
      </w:r>
      <w:r>
        <w:rPr/>
        <w:t>can</w:t>
      </w:r>
      <w:r>
        <w:rPr>
          <w:spacing w:val="-4"/>
        </w:rPr>
        <w:t> </w:t>
      </w:r>
      <w:r>
        <w:rPr/>
        <w:t>be</w:t>
      </w:r>
      <w:r>
        <w:rPr>
          <w:spacing w:val="-6"/>
        </w:rPr>
        <w:t> </w:t>
      </w:r>
      <w:r>
        <w:rPr/>
        <w:t>caused</w:t>
      </w:r>
      <w:r>
        <w:rPr>
          <w:spacing w:val="-6"/>
        </w:rPr>
        <w:t> </w:t>
      </w:r>
      <w:r>
        <w:rPr>
          <w:spacing w:val="-5"/>
        </w:rPr>
        <w:t>by:</w:t>
      </w:r>
    </w:p>
    <w:p>
      <w:pPr>
        <w:pStyle w:val="BodyText"/>
        <w:spacing w:before="7"/>
        <w:rPr>
          <w:sz w:val="26"/>
        </w:rPr>
      </w:pPr>
    </w:p>
    <w:p>
      <w:pPr>
        <w:pStyle w:val="ListParagraph"/>
        <w:numPr>
          <w:ilvl w:val="0"/>
          <w:numId w:val="20"/>
        </w:numPr>
        <w:tabs>
          <w:tab w:pos="958" w:val="left" w:leader="none"/>
        </w:tabs>
        <w:spacing w:line="288" w:lineRule="auto" w:before="0" w:after="0"/>
        <w:ind w:left="958" w:right="1085" w:hanging="358"/>
        <w:jc w:val="left"/>
        <w:rPr>
          <w:sz w:val="22"/>
        </w:rPr>
      </w:pPr>
      <w:r>
        <w:rPr>
          <w:sz w:val="22"/>
        </w:rPr>
        <w:t>an electric current that flows through vegetation, animal or other material, causing ignition,</w:t>
      </w:r>
      <w:r>
        <w:rPr>
          <w:spacing w:val="-4"/>
          <w:sz w:val="22"/>
        </w:rPr>
        <w:t> </w:t>
      </w:r>
      <w:r>
        <w:rPr>
          <w:sz w:val="22"/>
        </w:rPr>
        <w:t>when</w:t>
      </w:r>
      <w:r>
        <w:rPr>
          <w:spacing w:val="-3"/>
          <w:sz w:val="22"/>
        </w:rPr>
        <w:t> </w:t>
      </w:r>
      <w:r>
        <w:rPr>
          <w:sz w:val="22"/>
        </w:rPr>
        <w:t>they</w:t>
      </w:r>
      <w:r>
        <w:rPr>
          <w:spacing w:val="-5"/>
          <w:sz w:val="22"/>
        </w:rPr>
        <w:t> </w:t>
      </w:r>
      <w:r>
        <w:rPr>
          <w:sz w:val="22"/>
        </w:rPr>
        <w:t>contact</w:t>
      </w:r>
      <w:r>
        <w:rPr>
          <w:spacing w:val="-1"/>
          <w:sz w:val="22"/>
        </w:rPr>
        <w:t> </w:t>
      </w:r>
      <w:r>
        <w:rPr>
          <w:sz w:val="22"/>
        </w:rPr>
        <w:t>live</w:t>
      </w:r>
      <w:r>
        <w:rPr>
          <w:spacing w:val="-3"/>
          <w:sz w:val="22"/>
        </w:rPr>
        <w:t> </w:t>
      </w:r>
      <w:r>
        <w:rPr>
          <w:sz w:val="22"/>
        </w:rPr>
        <w:t>parts</w:t>
      </w:r>
      <w:r>
        <w:rPr>
          <w:spacing w:val="-5"/>
          <w:sz w:val="22"/>
        </w:rPr>
        <w:t> </w:t>
      </w:r>
      <w:r>
        <w:rPr>
          <w:sz w:val="22"/>
        </w:rPr>
        <w:t>of</w:t>
      </w:r>
      <w:r>
        <w:rPr>
          <w:spacing w:val="-4"/>
          <w:sz w:val="22"/>
        </w:rPr>
        <w:t> </w:t>
      </w:r>
      <w:r>
        <w:rPr>
          <w:sz w:val="22"/>
        </w:rPr>
        <w:t>the</w:t>
      </w:r>
      <w:r>
        <w:rPr>
          <w:spacing w:val="-3"/>
          <w:sz w:val="22"/>
        </w:rPr>
        <w:t> </w:t>
      </w:r>
      <w:r>
        <w:rPr>
          <w:sz w:val="22"/>
        </w:rPr>
        <w:t>network</w:t>
      </w:r>
      <w:r>
        <w:rPr>
          <w:spacing w:val="-2"/>
          <w:sz w:val="22"/>
        </w:rPr>
        <w:t> </w:t>
      </w:r>
      <w:r>
        <w:rPr>
          <w:sz w:val="22"/>
        </w:rPr>
        <w:t>(either</w:t>
      </w:r>
      <w:r>
        <w:rPr>
          <w:spacing w:val="-2"/>
          <w:sz w:val="22"/>
        </w:rPr>
        <w:t> </w:t>
      </w:r>
      <w:r>
        <w:rPr>
          <w:sz w:val="22"/>
        </w:rPr>
        <w:t>between</w:t>
      </w:r>
      <w:r>
        <w:rPr>
          <w:spacing w:val="-3"/>
          <w:sz w:val="22"/>
        </w:rPr>
        <w:t> </w:t>
      </w:r>
      <w:r>
        <w:rPr>
          <w:sz w:val="22"/>
        </w:rPr>
        <w:t>two</w:t>
      </w:r>
      <w:r>
        <w:rPr>
          <w:spacing w:val="-3"/>
          <w:sz w:val="22"/>
        </w:rPr>
        <w:t> </w:t>
      </w:r>
      <w:r>
        <w:rPr>
          <w:sz w:val="22"/>
        </w:rPr>
        <w:t>different</w:t>
      </w:r>
      <w:r>
        <w:rPr>
          <w:spacing w:val="-4"/>
          <w:sz w:val="22"/>
        </w:rPr>
        <w:t> </w:t>
      </w:r>
      <w:r>
        <w:rPr>
          <w:sz w:val="22"/>
        </w:rPr>
        <w:t>live parts or between one live part and the ground);</w:t>
      </w:r>
    </w:p>
    <w:p>
      <w:pPr>
        <w:pStyle w:val="BodyText"/>
        <w:spacing w:before="2"/>
      </w:pPr>
    </w:p>
    <w:p>
      <w:pPr>
        <w:pStyle w:val="ListParagraph"/>
        <w:numPr>
          <w:ilvl w:val="0"/>
          <w:numId w:val="20"/>
        </w:numPr>
        <w:tabs>
          <w:tab w:pos="957" w:val="left" w:leader="none"/>
        </w:tabs>
        <w:spacing w:line="240" w:lineRule="auto" w:before="1" w:after="0"/>
        <w:ind w:left="957" w:right="0" w:hanging="357"/>
        <w:jc w:val="left"/>
        <w:rPr>
          <w:sz w:val="22"/>
        </w:rPr>
      </w:pPr>
      <w:r>
        <w:rPr>
          <w:sz w:val="22"/>
        </w:rPr>
        <w:t>equipment</w:t>
      </w:r>
      <w:r>
        <w:rPr>
          <w:spacing w:val="-12"/>
          <w:sz w:val="22"/>
        </w:rPr>
        <w:t> </w:t>
      </w:r>
      <w:r>
        <w:rPr>
          <w:spacing w:val="-2"/>
          <w:sz w:val="22"/>
        </w:rPr>
        <w:t>failure;</w:t>
      </w:r>
    </w:p>
    <w:p>
      <w:pPr>
        <w:pStyle w:val="BodyText"/>
        <w:spacing w:before="7"/>
        <w:rPr>
          <w:sz w:val="26"/>
        </w:rPr>
      </w:pPr>
    </w:p>
    <w:p>
      <w:pPr>
        <w:pStyle w:val="ListParagraph"/>
        <w:numPr>
          <w:ilvl w:val="0"/>
          <w:numId w:val="20"/>
        </w:numPr>
        <w:tabs>
          <w:tab w:pos="958" w:val="left" w:leader="none"/>
        </w:tabs>
        <w:spacing w:line="285" w:lineRule="auto" w:before="0" w:after="0"/>
        <w:ind w:left="958" w:right="624" w:hanging="358"/>
        <w:jc w:val="left"/>
        <w:rPr>
          <w:sz w:val="22"/>
        </w:rPr>
      </w:pPr>
      <w:r>
        <w:rPr>
          <w:sz w:val="22"/>
        </w:rPr>
        <w:t>an</w:t>
      </w:r>
      <w:r>
        <w:rPr>
          <w:spacing w:val="-3"/>
          <w:sz w:val="22"/>
        </w:rPr>
        <w:t> </w:t>
      </w:r>
      <w:r>
        <w:rPr>
          <w:sz w:val="22"/>
        </w:rPr>
        <w:t>electric</w:t>
      </w:r>
      <w:r>
        <w:rPr>
          <w:spacing w:val="-5"/>
          <w:sz w:val="22"/>
        </w:rPr>
        <w:t> </w:t>
      </w:r>
      <w:r>
        <w:rPr>
          <w:sz w:val="22"/>
        </w:rPr>
        <w:t>arc</w:t>
      </w:r>
      <w:r>
        <w:rPr>
          <w:spacing w:val="-4"/>
          <w:sz w:val="22"/>
        </w:rPr>
        <w:t> </w:t>
      </w:r>
      <w:r>
        <w:rPr>
          <w:sz w:val="22"/>
        </w:rPr>
        <w:t>igniting</w:t>
      </w:r>
      <w:r>
        <w:rPr>
          <w:spacing w:val="-3"/>
          <w:sz w:val="22"/>
        </w:rPr>
        <w:t> </w:t>
      </w:r>
      <w:r>
        <w:rPr>
          <w:sz w:val="22"/>
        </w:rPr>
        <w:t>surrounding</w:t>
      </w:r>
      <w:r>
        <w:rPr>
          <w:spacing w:val="-1"/>
          <w:sz w:val="22"/>
        </w:rPr>
        <w:t> </w:t>
      </w:r>
      <w:r>
        <w:rPr>
          <w:sz w:val="22"/>
        </w:rPr>
        <w:t>vegetation</w:t>
      </w:r>
      <w:r>
        <w:rPr>
          <w:spacing w:val="-5"/>
          <w:sz w:val="22"/>
        </w:rPr>
        <w:t> </w:t>
      </w:r>
      <w:r>
        <w:rPr>
          <w:sz w:val="22"/>
        </w:rPr>
        <w:t>or</w:t>
      </w:r>
      <w:r>
        <w:rPr>
          <w:spacing w:val="-4"/>
          <w:sz w:val="22"/>
        </w:rPr>
        <w:t> </w:t>
      </w:r>
      <w:r>
        <w:rPr>
          <w:sz w:val="22"/>
        </w:rPr>
        <w:t>other</w:t>
      </w:r>
      <w:r>
        <w:rPr>
          <w:spacing w:val="-4"/>
          <w:sz w:val="22"/>
        </w:rPr>
        <w:t> </w:t>
      </w:r>
      <w:r>
        <w:rPr>
          <w:sz w:val="22"/>
        </w:rPr>
        <w:t>combustible</w:t>
      </w:r>
      <w:r>
        <w:rPr>
          <w:spacing w:val="-5"/>
          <w:sz w:val="22"/>
        </w:rPr>
        <w:t> </w:t>
      </w:r>
      <w:r>
        <w:rPr>
          <w:sz w:val="22"/>
        </w:rPr>
        <w:t>material,</w:t>
      </w:r>
      <w:r>
        <w:rPr>
          <w:spacing w:val="-4"/>
          <w:sz w:val="22"/>
        </w:rPr>
        <w:t> </w:t>
      </w:r>
      <w:r>
        <w:rPr>
          <w:sz w:val="22"/>
        </w:rPr>
        <w:t>for</w:t>
      </w:r>
      <w:r>
        <w:rPr>
          <w:spacing w:val="-2"/>
          <w:sz w:val="22"/>
        </w:rPr>
        <w:t> </w:t>
      </w:r>
      <w:r>
        <w:rPr>
          <w:sz w:val="22"/>
        </w:rPr>
        <w:t>example, if a line falls to the ground; or</w:t>
      </w:r>
    </w:p>
    <w:p>
      <w:pPr>
        <w:pStyle w:val="BodyText"/>
        <w:spacing w:before="6"/>
      </w:pPr>
    </w:p>
    <w:p>
      <w:pPr>
        <w:pStyle w:val="ListParagraph"/>
        <w:numPr>
          <w:ilvl w:val="0"/>
          <w:numId w:val="20"/>
        </w:numPr>
        <w:tabs>
          <w:tab w:pos="958" w:val="left" w:leader="none"/>
        </w:tabs>
        <w:spacing w:line="285" w:lineRule="auto" w:before="0" w:after="0"/>
        <w:ind w:left="958" w:right="799" w:hanging="358"/>
        <w:jc w:val="left"/>
        <w:rPr>
          <w:sz w:val="22"/>
        </w:rPr>
      </w:pPr>
      <w:r>
        <w:rPr>
          <w:sz w:val="22"/>
        </w:rPr>
        <w:t>hot molten metal particles released when two live parts of powerlines make physical contact,</w:t>
      </w:r>
      <w:r>
        <w:rPr>
          <w:spacing w:val="-3"/>
          <w:sz w:val="22"/>
        </w:rPr>
        <w:t> </w:t>
      </w:r>
      <w:r>
        <w:rPr>
          <w:sz w:val="22"/>
        </w:rPr>
        <w:t>for</w:t>
      </w:r>
      <w:r>
        <w:rPr>
          <w:spacing w:val="-1"/>
          <w:sz w:val="22"/>
        </w:rPr>
        <w:t> </w:t>
      </w:r>
      <w:r>
        <w:rPr>
          <w:sz w:val="22"/>
        </w:rPr>
        <w:t>example,</w:t>
      </w:r>
      <w:r>
        <w:rPr>
          <w:spacing w:val="-3"/>
          <w:sz w:val="22"/>
        </w:rPr>
        <w:t> </w:t>
      </w:r>
      <w:r>
        <w:rPr>
          <w:sz w:val="22"/>
        </w:rPr>
        <w:t>in</w:t>
      </w:r>
      <w:r>
        <w:rPr>
          <w:spacing w:val="-4"/>
          <w:sz w:val="22"/>
        </w:rPr>
        <w:t> </w:t>
      </w:r>
      <w:r>
        <w:rPr>
          <w:sz w:val="22"/>
        </w:rPr>
        <w:t>wire</w:t>
      </w:r>
      <w:r>
        <w:rPr>
          <w:spacing w:val="-2"/>
          <w:sz w:val="22"/>
        </w:rPr>
        <w:t> </w:t>
      </w:r>
      <w:r>
        <w:rPr>
          <w:sz w:val="22"/>
        </w:rPr>
        <w:t>clashing</w:t>
      </w:r>
      <w:r>
        <w:rPr>
          <w:spacing w:val="-2"/>
          <w:sz w:val="22"/>
        </w:rPr>
        <w:t> </w:t>
      </w:r>
      <w:r>
        <w:rPr>
          <w:sz w:val="22"/>
        </w:rPr>
        <w:t>incidents,</w:t>
      </w:r>
      <w:r>
        <w:rPr>
          <w:spacing w:val="-1"/>
          <w:sz w:val="22"/>
        </w:rPr>
        <w:t> </w:t>
      </w:r>
      <w:r>
        <w:rPr>
          <w:sz w:val="22"/>
        </w:rPr>
        <w:t>igniting dry</w:t>
      </w:r>
      <w:r>
        <w:rPr>
          <w:spacing w:val="-4"/>
          <w:sz w:val="22"/>
        </w:rPr>
        <w:t> </w:t>
      </w:r>
      <w:r>
        <w:rPr>
          <w:sz w:val="22"/>
        </w:rPr>
        <w:t>materials</w:t>
      </w:r>
      <w:r>
        <w:rPr>
          <w:spacing w:val="-1"/>
          <w:sz w:val="22"/>
        </w:rPr>
        <w:t> </w:t>
      </w:r>
      <w:r>
        <w:rPr>
          <w:sz w:val="22"/>
        </w:rPr>
        <w:t>on</w:t>
      </w:r>
      <w:r>
        <w:rPr>
          <w:spacing w:val="-7"/>
          <w:sz w:val="22"/>
        </w:rPr>
        <w:t> </w:t>
      </w:r>
      <w:r>
        <w:rPr>
          <w:sz w:val="22"/>
        </w:rPr>
        <w:t>which</w:t>
      </w:r>
      <w:r>
        <w:rPr>
          <w:spacing w:val="-2"/>
          <w:sz w:val="22"/>
        </w:rPr>
        <w:t> </w:t>
      </w:r>
      <w:r>
        <w:rPr>
          <w:sz w:val="22"/>
        </w:rPr>
        <w:t>they</w:t>
      </w:r>
      <w:r>
        <w:rPr>
          <w:spacing w:val="-6"/>
          <w:sz w:val="22"/>
        </w:rPr>
        <w:t> </w:t>
      </w:r>
      <w:r>
        <w:rPr>
          <w:sz w:val="22"/>
        </w:rPr>
        <w:t>fall.</w:t>
      </w:r>
    </w:p>
    <w:p>
      <w:pPr>
        <w:pStyle w:val="BodyText"/>
        <w:spacing w:before="2"/>
        <w:rPr>
          <w:sz w:val="21"/>
        </w:rPr>
      </w:pPr>
    </w:p>
    <w:p>
      <w:pPr>
        <w:pStyle w:val="BodyText"/>
        <w:spacing w:line="288" w:lineRule="auto"/>
        <w:ind w:left="600" w:right="910"/>
      </w:pPr>
      <w:r>
        <w:rPr/>
        <w:t>Contact between overhead electric lines and trees has the potential to cause fires, electrocution and loss of power supply. The risk of these events occurring can be substantially</w:t>
      </w:r>
      <w:r>
        <w:rPr>
          <w:spacing w:val="-5"/>
        </w:rPr>
        <w:t> </w:t>
      </w:r>
      <w:r>
        <w:rPr/>
        <w:t>reduced</w:t>
      </w:r>
      <w:r>
        <w:rPr>
          <w:spacing w:val="-3"/>
        </w:rPr>
        <w:t> </w:t>
      </w:r>
      <w:r>
        <w:rPr/>
        <w:t>by</w:t>
      </w:r>
      <w:r>
        <w:rPr>
          <w:spacing w:val="-7"/>
        </w:rPr>
        <w:t> </w:t>
      </w:r>
      <w:r>
        <w:rPr/>
        <w:t>managing</w:t>
      </w:r>
      <w:r>
        <w:rPr>
          <w:spacing w:val="-3"/>
        </w:rPr>
        <w:t> </w:t>
      </w:r>
      <w:r>
        <w:rPr/>
        <w:t>vegetation</w:t>
      </w:r>
      <w:r>
        <w:rPr>
          <w:spacing w:val="-5"/>
        </w:rPr>
        <w:t> </w:t>
      </w:r>
      <w:r>
        <w:rPr/>
        <w:t>to</w:t>
      </w:r>
      <w:r>
        <w:rPr>
          <w:spacing w:val="-5"/>
        </w:rPr>
        <w:t> </w:t>
      </w:r>
      <w:r>
        <w:rPr/>
        <w:t>maintain</w:t>
      </w:r>
      <w:r>
        <w:rPr>
          <w:spacing w:val="-3"/>
        </w:rPr>
        <w:t> </w:t>
      </w:r>
      <w:r>
        <w:rPr/>
        <w:t>appropriate</w:t>
      </w:r>
      <w:r>
        <w:rPr>
          <w:spacing w:val="-5"/>
        </w:rPr>
        <w:t> </w:t>
      </w:r>
      <w:r>
        <w:rPr/>
        <w:t>clearance</w:t>
      </w:r>
      <w:r>
        <w:rPr>
          <w:spacing w:val="-3"/>
        </w:rPr>
        <w:t> </w:t>
      </w:r>
      <w:r>
        <w:rPr/>
        <w:t>spaces between overhead electric lines and trees, to reduce the potential for contact, whether through</w:t>
      </w:r>
      <w:r>
        <w:rPr>
          <w:spacing w:val="-3"/>
        </w:rPr>
        <w:t> </w:t>
      </w:r>
      <w:r>
        <w:rPr/>
        <w:t>natural</w:t>
      </w:r>
      <w:r>
        <w:rPr>
          <w:spacing w:val="-4"/>
        </w:rPr>
        <w:t> </w:t>
      </w:r>
      <w:r>
        <w:rPr/>
        <w:t>growth</w:t>
      </w:r>
      <w:r>
        <w:rPr>
          <w:spacing w:val="-1"/>
        </w:rPr>
        <w:t> </w:t>
      </w:r>
      <w:r>
        <w:rPr/>
        <w:t>or when</w:t>
      </w:r>
      <w:r>
        <w:rPr>
          <w:spacing w:val="-1"/>
        </w:rPr>
        <w:t> </w:t>
      </w:r>
      <w:r>
        <w:rPr/>
        <w:t>a tree</w:t>
      </w:r>
      <w:r>
        <w:rPr>
          <w:spacing w:val="-1"/>
        </w:rPr>
        <w:t> </w:t>
      </w:r>
      <w:r>
        <w:rPr/>
        <w:t>or</w:t>
      </w:r>
      <w:r>
        <w:rPr>
          <w:spacing w:val="-2"/>
        </w:rPr>
        <w:t> </w:t>
      </w:r>
      <w:r>
        <w:rPr/>
        <w:t>branch</w:t>
      </w:r>
      <w:r>
        <w:rPr>
          <w:spacing w:val="-6"/>
        </w:rPr>
        <w:t> </w:t>
      </w:r>
      <w:r>
        <w:rPr/>
        <w:t>falls on</w:t>
      </w:r>
      <w:r>
        <w:rPr>
          <w:spacing w:val="-1"/>
        </w:rPr>
        <w:t> </w:t>
      </w:r>
      <w:r>
        <w:rPr/>
        <w:t>the</w:t>
      </w:r>
      <w:r>
        <w:rPr>
          <w:spacing w:val="-3"/>
        </w:rPr>
        <w:t> </w:t>
      </w:r>
      <w:r>
        <w:rPr/>
        <w:t>electric</w:t>
      </w:r>
      <w:r>
        <w:rPr>
          <w:spacing w:val="-3"/>
        </w:rPr>
        <w:t> </w:t>
      </w:r>
      <w:r>
        <w:rPr/>
        <w:t>lines (PBSP, 2011).</w:t>
      </w:r>
    </w:p>
    <w:p>
      <w:pPr>
        <w:pStyle w:val="BodyText"/>
        <w:spacing w:before="9"/>
        <w:rPr>
          <w:sz w:val="20"/>
        </w:rPr>
      </w:pPr>
    </w:p>
    <w:p>
      <w:pPr>
        <w:pStyle w:val="Heading8"/>
        <w:ind w:left="600"/>
      </w:pPr>
      <w:r>
        <w:rPr/>
        <w:t>Disruptions</w:t>
      </w:r>
      <w:r>
        <w:rPr>
          <w:spacing w:val="-6"/>
        </w:rPr>
        <w:t> </w:t>
      </w:r>
      <w:r>
        <w:rPr/>
        <w:t>to</w:t>
      </w:r>
      <w:r>
        <w:rPr>
          <w:spacing w:val="-3"/>
        </w:rPr>
        <w:t> </w:t>
      </w:r>
      <w:r>
        <w:rPr>
          <w:spacing w:val="-2"/>
        </w:rPr>
        <w:t>supply</w:t>
      </w:r>
    </w:p>
    <w:p>
      <w:pPr>
        <w:pStyle w:val="BodyText"/>
        <w:spacing w:line="288" w:lineRule="auto" w:before="172"/>
        <w:ind w:left="600" w:right="311"/>
      </w:pPr>
      <w:r>
        <w:rPr/>
        <w:t>Disruption to supply may be caused by extreme weather conditions such as high winds, thunderstorms,</w:t>
      </w:r>
      <w:r>
        <w:rPr>
          <w:spacing w:val="-4"/>
        </w:rPr>
        <w:t> </w:t>
      </w:r>
      <w:r>
        <w:rPr/>
        <w:t>flooding</w:t>
      </w:r>
      <w:r>
        <w:rPr>
          <w:spacing w:val="-5"/>
        </w:rPr>
        <w:t> </w:t>
      </w:r>
      <w:r>
        <w:rPr/>
        <w:t>or</w:t>
      </w:r>
      <w:r>
        <w:rPr>
          <w:spacing w:val="-2"/>
        </w:rPr>
        <w:t> </w:t>
      </w:r>
      <w:r>
        <w:rPr/>
        <w:t>bushfires,</w:t>
      </w:r>
      <w:r>
        <w:rPr>
          <w:spacing w:val="-1"/>
        </w:rPr>
        <w:t> </w:t>
      </w:r>
      <w:r>
        <w:rPr/>
        <w:t>or</w:t>
      </w:r>
      <w:r>
        <w:rPr>
          <w:spacing w:val="-2"/>
        </w:rPr>
        <w:t> </w:t>
      </w:r>
      <w:r>
        <w:rPr/>
        <w:t>by</w:t>
      </w:r>
      <w:r>
        <w:rPr>
          <w:spacing w:val="-5"/>
        </w:rPr>
        <w:t> </w:t>
      </w:r>
      <w:r>
        <w:rPr/>
        <w:t>other</w:t>
      </w:r>
      <w:r>
        <w:rPr>
          <w:spacing w:val="-4"/>
        </w:rPr>
        <w:t> </w:t>
      </w:r>
      <w:r>
        <w:rPr/>
        <w:t>causes</w:t>
      </w:r>
      <w:r>
        <w:rPr>
          <w:spacing w:val="-3"/>
        </w:rPr>
        <w:t> </w:t>
      </w:r>
      <w:r>
        <w:rPr/>
        <w:t>such</w:t>
      </w:r>
      <w:r>
        <w:rPr>
          <w:spacing w:val="-5"/>
        </w:rPr>
        <w:t> </w:t>
      </w:r>
      <w:r>
        <w:rPr/>
        <w:t>as</w:t>
      </w:r>
      <w:r>
        <w:rPr>
          <w:spacing w:val="-5"/>
        </w:rPr>
        <w:t> </w:t>
      </w:r>
      <w:r>
        <w:rPr/>
        <w:t>traffic</w:t>
      </w:r>
      <w:r>
        <w:rPr>
          <w:spacing w:val="-2"/>
        </w:rPr>
        <w:t> </w:t>
      </w:r>
      <w:r>
        <w:rPr/>
        <w:t>accidents</w:t>
      </w:r>
      <w:r>
        <w:rPr>
          <w:spacing w:val="-2"/>
        </w:rPr>
        <w:t> </w:t>
      </w:r>
      <w:r>
        <w:rPr/>
        <w:t>or</w:t>
      </w:r>
      <w:r>
        <w:rPr>
          <w:spacing w:val="-2"/>
        </w:rPr>
        <w:t> </w:t>
      </w:r>
      <w:r>
        <w:rPr/>
        <w:t>animals coming into contact with equipment, or third party damage.</w:t>
      </w:r>
    </w:p>
    <w:p>
      <w:pPr>
        <w:pStyle w:val="BodyText"/>
        <w:spacing w:before="9"/>
        <w:rPr>
          <w:sz w:val="20"/>
        </w:rPr>
      </w:pPr>
    </w:p>
    <w:p>
      <w:pPr>
        <w:pStyle w:val="BodyText"/>
        <w:spacing w:line="288" w:lineRule="auto"/>
        <w:ind w:left="600" w:right="713"/>
      </w:pPr>
      <w:r>
        <w:rPr/>
        <w:t>Because</w:t>
      </w:r>
      <w:r>
        <w:rPr>
          <w:spacing w:val="-4"/>
        </w:rPr>
        <w:t> </w:t>
      </w:r>
      <w:r>
        <w:rPr/>
        <w:t>of</w:t>
      </w:r>
      <w:r>
        <w:rPr>
          <w:spacing w:val="-2"/>
        </w:rPr>
        <w:t> </w:t>
      </w:r>
      <w:r>
        <w:rPr/>
        <w:t>people’s</w:t>
      </w:r>
      <w:r>
        <w:rPr>
          <w:spacing w:val="-3"/>
        </w:rPr>
        <w:t> </w:t>
      </w:r>
      <w:r>
        <w:rPr/>
        <w:t>reliance</w:t>
      </w:r>
      <w:r>
        <w:rPr>
          <w:spacing w:val="-4"/>
        </w:rPr>
        <w:t> </w:t>
      </w:r>
      <w:r>
        <w:rPr/>
        <w:t>on</w:t>
      </w:r>
      <w:r>
        <w:rPr>
          <w:spacing w:val="-4"/>
        </w:rPr>
        <w:t> </w:t>
      </w:r>
      <w:r>
        <w:rPr/>
        <w:t>electricity,</w:t>
      </w:r>
      <w:r>
        <w:rPr>
          <w:spacing w:val="-2"/>
        </w:rPr>
        <w:t> </w:t>
      </w:r>
      <w:r>
        <w:rPr/>
        <w:t>prolonged</w:t>
      </w:r>
      <w:r>
        <w:rPr>
          <w:spacing w:val="-5"/>
        </w:rPr>
        <w:t> </w:t>
      </w:r>
      <w:r>
        <w:rPr/>
        <w:t>or</w:t>
      </w:r>
      <w:r>
        <w:rPr>
          <w:spacing w:val="-4"/>
        </w:rPr>
        <w:t> </w:t>
      </w:r>
      <w:r>
        <w:rPr/>
        <w:t>widespread</w:t>
      </w:r>
      <w:r>
        <w:rPr>
          <w:spacing w:val="-4"/>
        </w:rPr>
        <w:t> </w:t>
      </w:r>
      <w:r>
        <w:rPr/>
        <w:t>disruptions</w:t>
      </w:r>
      <w:r>
        <w:rPr>
          <w:spacing w:val="-3"/>
        </w:rPr>
        <w:t> </w:t>
      </w:r>
      <w:r>
        <w:rPr/>
        <w:t>can</w:t>
      </w:r>
      <w:r>
        <w:rPr>
          <w:spacing w:val="-5"/>
        </w:rPr>
        <w:t> </w:t>
      </w:r>
      <w:r>
        <w:rPr/>
        <w:t>have</w:t>
      </w:r>
      <w:r>
        <w:rPr>
          <w:spacing w:val="-4"/>
        </w:rPr>
        <w:t> </w:t>
      </w:r>
      <w:r>
        <w:rPr/>
        <w:t>a significant impact on households, as well as on businesses, industry and major infrastructure. Impacts on the community can include health and wellbeing consequences due to lack of air conditioning and fans, and loss of telecommunications, refrigeration, lighting and cooking facilities.</w:t>
      </w:r>
    </w:p>
    <w:p>
      <w:pPr>
        <w:spacing w:after="0" w:line="288" w:lineRule="auto"/>
        <w:sectPr>
          <w:pgSz w:w="11910" w:h="16840"/>
          <w:pgMar w:header="887" w:footer="1243" w:top="1080" w:bottom="1500" w:left="840" w:right="820"/>
        </w:sectPr>
      </w:pPr>
    </w:p>
    <w:p>
      <w:pPr>
        <w:pStyle w:val="BodyText"/>
        <w:rPr>
          <w:sz w:val="20"/>
        </w:rPr>
      </w:pPr>
    </w:p>
    <w:p>
      <w:pPr>
        <w:pStyle w:val="BodyText"/>
        <w:rPr>
          <w:sz w:val="20"/>
        </w:rPr>
      </w:pPr>
    </w:p>
    <w:p>
      <w:pPr>
        <w:pStyle w:val="BodyText"/>
        <w:spacing w:before="5"/>
      </w:pPr>
    </w:p>
    <w:p>
      <w:pPr>
        <w:pStyle w:val="BodyText"/>
        <w:spacing w:line="288" w:lineRule="auto"/>
        <w:ind w:left="600" w:right="586"/>
      </w:pPr>
      <w:r>
        <w:rPr/>
        <w:t>Community</w:t>
      </w:r>
      <w:r>
        <w:rPr>
          <w:spacing w:val="-3"/>
        </w:rPr>
        <w:t> </w:t>
      </w:r>
      <w:r>
        <w:rPr/>
        <w:t>impacts</w:t>
      </w:r>
      <w:r>
        <w:rPr>
          <w:spacing w:val="-3"/>
        </w:rPr>
        <w:t> </w:t>
      </w:r>
      <w:r>
        <w:rPr/>
        <w:t>may</w:t>
      </w:r>
      <w:r>
        <w:rPr>
          <w:spacing w:val="-4"/>
        </w:rPr>
        <w:t> </w:t>
      </w:r>
      <w:r>
        <w:rPr/>
        <w:t>also</w:t>
      </w:r>
      <w:r>
        <w:rPr>
          <w:spacing w:val="-2"/>
        </w:rPr>
        <w:t> </w:t>
      </w:r>
      <w:r>
        <w:rPr/>
        <w:t>include</w:t>
      </w:r>
      <w:r>
        <w:rPr>
          <w:spacing w:val="-1"/>
        </w:rPr>
        <w:t> </w:t>
      </w:r>
      <w:r>
        <w:rPr/>
        <w:t>traffic</w:t>
      </w:r>
      <w:r>
        <w:rPr>
          <w:spacing w:val="-1"/>
        </w:rPr>
        <w:t> </w:t>
      </w:r>
      <w:r>
        <w:rPr/>
        <w:t>disruption</w:t>
      </w:r>
      <w:r>
        <w:rPr>
          <w:spacing w:val="-2"/>
        </w:rPr>
        <w:t> </w:t>
      </w:r>
      <w:r>
        <w:rPr/>
        <w:t>due</w:t>
      </w:r>
      <w:r>
        <w:rPr>
          <w:spacing w:val="-4"/>
        </w:rPr>
        <w:t> </w:t>
      </w:r>
      <w:r>
        <w:rPr/>
        <w:t>to</w:t>
      </w:r>
      <w:r>
        <w:rPr>
          <w:spacing w:val="-2"/>
        </w:rPr>
        <w:t> </w:t>
      </w:r>
      <w:r>
        <w:rPr/>
        <w:t>traffic</w:t>
      </w:r>
      <w:r>
        <w:rPr>
          <w:spacing w:val="-4"/>
        </w:rPr>
        <w:t> </w:t>
      </w:r>
      <w:r>
        <w:rPr/>
        <w:t>signal</w:t>
      </w:r>
      <w:r>
        <w:rPr>
          <w:spacing w:val="-5"/>
        </w:rPr>
        <w:t> </w:t>
      </w:r>
      <w:r>
        <w:rPr/>
        <w:t>failures;</w:t>
      </w:r>
      <w:r>
        <w:rPr>
          <w:spacing w:val="-3"/>
        </w:rPr>
        <w:t> </w:t>
      </w:r>
      <w:r>
        <w:rPr/>
        <w:t>disruption to the rail or tram networks; and disruption to essential services such as the healthcare or banking systems. The impact on vulnerable people and other sectors of the community will vary significantly.</w:t>
      </w:r>
    </w:p>
    <w:p>
      <w:pPr>
        <w:pStyle w:val="BodyText"/>
        <w:rPr>
          <w:sz w:val="24"/>
        </w:rPr>
      </w:pPr>
    </w:p>
    <w:p>
      <w:pPr>
        <w:pStyle w:val="Heading6"/>
        <w:spacing w:before="144"/>
        <w:ind w:left="600"/>
      </w:pPr>
      <w:r>
        <w:rPr>
          <w:spacing w:val="-5"/>
        </w:rPr>
        <w:t>Gas</w:t>
      </w:r>
    </w:p>
    <w:p>
      <w:pPr>
        <w:pStyle w:val="BodyText"/>
        <w:spacing w:line="288" w:lineRule="auto" w:before="175"/>
        <w:ind w:left="600" w:right="713"/>
      </w:pPr>
      <w:r>
        <w:rPr/>
        <w:t>A key objective of the gas network safety framework is to protect the Victorian community from injury or death caused by gas leakages, loss of integrity of the pipelines transporting the</w:t>
      </w:r>
      <w:r>
        <w:rPr>
          <w:spacing w:val="-4"/>
        </w:rPr>
        <w:t> </w:t>
      </w:r>
      <w:r>
        <w:rPr/>
        <w:t>gas, or</w:t>
      </w:r>
      <w:r>
        <w:rPr>
          <w:spacing w:val="-1"/>
        </w:rPr>
        <w:t> </w:t>
      </w:r>
      <w:r>
        <w:rPr/>
        <w:t>other</w:t>
      </w:r>
      <w:r>
        <w:rPr>
          <w:spacing w:val="-3"/>
        </w:rPr>
        <w:t> </w:t>
      </w:r>
      <w:r>
        <w:rPr/>
        <w:t>issues</w:t>
      </w:r>
      <w:r>
        <w:rPr>
          <w:spacing w:val="-4"/>
        </w:rPr>
        <w:t> </w:t>
      </w:r>
      <w:r>
        <w:rPr/>
        <w:t>that could</w:t>
      </w:r>
      <w:r>
        <w:rPr>
          <w:spacing w:val="-2"/>
        </w:rPr>
        <w:t> </w:t>
      </w:r>
      <w:r>
        <w:rPr/>
        <w:t>affect</w:t>
      </w:r>
      <w:r>
        <w:rPr>
          <w:spacing w:val="-3"/>
        </w:rPr>
        <w:t> </w:t>
      </w:r>
      <w:r>
        <w:rPr/>
        <w:t>the</w:t>
      </w:r>
      <w:r>
        <w:rPr>
          <w:spacing w:val="-4"/>
        </w:rPr>
        <w:t> </w:t>
      </w:r>
      <w:r>
        <w:rPr/>
        <w:t>integrity, security</w:t>
      </w:r>
      <w:r>
        <w:rPr>
          <w:spacing w:val="-4"/>
        </w:rPr>
        <w:t> </w:t>
      </w:r>
      <w:r>
        <w:rPr/>
        <w:t>and</w:t>
      </w:r>
      <w:r>
        <w:rPr>
          <w:spacing w:val="-4"/>
        </w:rPr>
        <w:t> </w:t>
      </w:r>
      <w:r>
        <w:rPr/>
        <w:t>quality</w:t>
      </w:r>
      <w:r>
        <w:rPr>
          <w:spacing w:val="-6"/>
        </w:rPr>
        <w:t> </w:t>
      </w:r>
      <w:r>
        <w:rPr/>
        <w:t>of the</w:t>
      </w:r>
      <w:r>
        <w:rPr>
          <w:spacing w:val="-4"/>
        </w:rPr>
        <w:t> </w:t>
      </w:r>
      <w:r>
        <w:rPr/>
        <w:t>gas</w:t>
      </w:r>
      <w:r>
        <w:rPr>
          <w:spacing w:val="-4"/>
        </w:rPr>
        <w:t> </w:t>
      </w:r>
      <w:r>
        <w:rPr/>
        <w:t>supply. While significant gas</w:t>
      </w:r>
      <w:r>
        <w:rPr>
          <w:spacing w:val="-1"/>
        </w:rPr>
        <w:t> </w:t>
      </w:r>
      <w:r>
        <w:rPr/>
        <w:t>incidents are</w:t>
      </w:r>
      <w:r>
        <w:rPr>
          <w:spacing w:val="-1"/>
        </w:rPr>
        <w:t> </w:t>
      </w:r>
      <w:r>
        <w:rPr/>
        <w:t>rare, the</w:t>
      </w:r>
      <w:r>
        <w:rPr>
          <w:spacing w:val="-1"/>
        </w:rPr>
        <w:t> </w:t>
      </w:r>
      <w:r>
        <w:rPr/>
        <w:t>consequences</w:t>
      </w:r>
      <w:r>
        <w:rPr>
          <w:spacing w:val="-1"/>
        </w:rPr>
        <w:t> </w:t>
      </w:r>
      <w:r>
        <w:rPr/>
        <w:t>could have</w:t>
      </w:r>
      <w:r>
        <w:rPr>
          <w:spacing w:val="-1"/>
        </w:rPr>
        <w:t> </w:t>
      </w:r>
      <w:r>
        <w:rPr/>
        <w:t>major economic and safety impacts on the community.</w:t>
      </w:r>
    </w:p>
    <w:p>
      <w:pPr>
        <w:pStyle w:val="BodyText"/>
        <w:rPr>
          <w:sz w:val="21"/>
        </w:rPr>
      </w:pPr>
    </w:p>
    <w:p>
      <w:pPr>
        <w:pStyle w:val="BodyText"/>
        <w:spacing w:line="288" w:lineRule="auto" w:before="1"/>
        <w:ind w:left="600" w:right="629"/>
      </w:pPr>
      <w:r>
        <w:rPr/>
        <w:t>The dangers associated with the production of natural gas were made apparent in 1998 when</w:t>
      </w:r>
      <w:r>
        <w:rPr>
          <w:spacing w:val="-2"/>
        </w:rPr>
        <w:t> </w:t>
      </w:r>
      <w:r>
        <w:rPr/>
        <w:t>an</w:t>
      </w:r>
      <w:r>
        <w:rPr>
          <w:spacing w:val="-2"/>
        </w:rPr>
        <w:t> </w:t>
      </w:r>
      <w:r>
        <w:rPr/>
        <w:t>event at</w:t>
      </w:r>
      <w:r>
        <w:rPr>
          <w:spacing w:val="-1"/>
        </w:rPr>
        <w:t> </w:t>
      </w:r>
      <w:r>
        <w:rPr/>
        <w:t>Esso’s</w:t>
      </w:r>
      <w:r>
        <w:rPr>
          <w:spacing w:val="-6"/>
        </w:rPr>
        <w:t> </w:t>
      </w:r>
      <w:r>
        <w:rPr/>
        <w:t>gas</w:t>
      </w:r>
      <w:r>
        <w:rPr>
          <w:spacing w:val="-4"/>
        </w:rPr>
        <w:t> </w:t>
      </w:r>
      <w:r>
        <w:rPr/>
        <w:t>plant in</w:t>
      </w:r>
      <w:r>
        <w:rPr>
          <w:spacing w:val="-4"/>
        </w:rPr>
        <w:t> </w:t>
      </w:r>
      <w:r>
        <w:rPr/>
        <w:t>Longford,</w:t>
      </w:r>
      <w:r>
        <w:rPr>
          <w:spacing w:val="-3"/>
        </w:rPr>
        <w:t> </w:t>
      </w:r>
      <w:r>
        <w:rPr/>
        <w:t>Victoria</w:t>
      </w:r>
      <w:r>
        <w:rPr>
          <w:spacing w:val="-4"/>
        </w:rPr>
        <w:t> </w:t>
      </w:r>
      <w:r>
        <w:rPr/>
        <w:t>caused</w:t>
      </w:r>
      <w:r>
        <w:rPr>
          <w:spacing w:val="-4"/>
        </w:rPr>
        <w:t> </w:t>
      </w:r>
      <w:r>
        <w:rPr/>
        <w:t>the</w:t>
      </w:r>
      <w:r>
        <w:rPr>
          <w:spacing w:val="-2"/>
        </w:rPr>
        <w:t> </w:t>
      </w:r>
      <w:r>
        <w:rPr/>
        <w:t>death</w:t>
      </w:r>
      <w:r>
        <w:rPr>
          <w:spacing w:val="-4"/>
        </w:rPr>
        <w:t> </w:t>
      </w:r>
      <w:r>
        <w:rPr/>
        <w:t>of two</w:t>
      </w:r>
      <w:r>
        <w:rPr>
          <w:spacing w:val="-2"/>
        </w:rPr>
        <w:t> </w:t>
      </w:r>
      <w:r>
        <w:rPr/>
        <w:t>workers</w:t>
      </w:r>
      <w:r>
        <w:rPr>
          <w:spacing w:val="-3"/>
        </w:rPr>
        <w:t> </w:t>
      </w:r>
      <w:r>
        <w:rPr/>
        <w:t>and severed the State’s gas supply for two weeks. This resulted in major disruption to the Victorian community and caused significant economic damage. Although gas production is out of scope for this Review, the Esso Longford incident highlights the potential impacts of a catastrophic incident.</w:t>
      </w:r>
    </w:p>
    <w:p>
      <w:pPr>
        <w:pStyle w:val="BodyText"/>
        <w:spacing w:before="10"/>
        <w:rPr>
          <w:sz w:val="20"/>
        </w:rPr>
      </w:pPr>
    </w:p>
    <w:p>
      <w:pPr>
        <w:pStyle w:val="Heading8"/>
        <w:ind w:left="600"/>
      </w:pPr>
      <w:r>
        <w:rPr/>
        <w:t>Damage</w:t>
      </w:r>
      <w:r>
        <w:rPr>
          <w:spacing w:val="-3"/>
        </w:rPr>
        <w:t> </w:t>
      </w:r>
      <w:r>
        <w:rPr/>
        <w:t>to</w:t>
      </w:r>
      <w:r>
        <w:rPr>
          <w:spacing w:val="-5"/>
        </w:rPr>
        <w:t> </w:t>
      </w:r>
      <w:r>
        <w:rPr/>
        <w:t>pipelines</w:t>
      </w:r>
      <w:r>
        <w:rPr>
          <w:spacing w:val="-2"/>
        </w:rPr>
        <w:t> </w:t>
      </w:r>
      <w:r>
        <w:rPr/>
        <w:t>or</w:t>
      </w:r>
      <w:r>
        <w:rPr>
          <w:spacing w:val="-3"/>
        </w:rPr>
        <w:t> </w:t>
      </w:r>
      <w:r>
        <w:rPr/>
        <w:t>loss</w:t>
      </w:r>
      <w:r>
        <w:rPr>
          <w:spacing w:val="-5"/>
        </w:rPr>
        <w:t> </w:t>
      </w:r>
      <w:r>
        <w:rPr/>
        <w:t>of</w:t>
      </w:r>
      <w:r>
        <w:rPr>
          <w:spacing w:val="-3"/>
        </w:rPr>
        <w:t> </w:t>
      </w:r>
      <w:r>
        <w:rPr>
          <w:spacing w:val="-2"/>
        </w:rPr>
        <w:t>containment</w:t>
      </w:r>
    </w:p>
    <w:p>
      <w:pPr>
        <w:pStyle w:val="BodyText"/>
        <w:spacing w:line="276" w:lineRule="auto" w:before="169"/>
        <w:ind w:left="600" w:right="713"/>
      </w:pPr>
      <w:r>
        <w:rPr/>
        <w:t>Damage to pipelines can occur through inadequate maintenance, ageing infrastructure, corrosion,</w:t>
      </w:r>
      <w:r>
        <w:rPr>
          <w:spacing w:val="-4"/>
        </w:rPr>
        <w:t> </w:t>
      </w:r>
      <w:r>
        <w:rPr/>
        <w:t>accidental</w:t>
      </w:r>
      <w:r>
        <w:rPr>
          <w:spacing w:val="-4"/>
        </w:rPr>
        <w:t> </w:t>
      </w:r>
      <w:r>
        <w:rPr/>
        <w:t>damage</w:t>
      </w:r>
      <w:r>
        <w:rPr>
          <w:spacing w:val="-3"/>
        </w:rPr>
        <w:t> </w:t>
      </w:r>
      <w:r>
        <w:rPr/>
        <w:t>caused</w:t>
      </w:r>
      <w:r>
        <w:rPr>
          <w:spacing w:val="-3"/>
        </w:rPr>
        <w:t> </w:t>
      </w:r>
      <w:r>
        <w:rPr/>
        <w:t>by</w:t>
      </w:r>
      <w:r>
        <w:rPr>
          <w:spacing w:val="-5"/>
        </w:rPr>
        <w:t> </w:t>
      </w:r>
      <w:r>
        <w:rPr/>
        <w:t>third</w:t>
      </w:r>
      <w:r>
        <w:rPr>
          <w:spacing w:val="-3"/>
        </w:rPr>
        <w:t> </w:t>
      </w:r>
      <w:r>
        <w:rPr/>
        <w:t>parties</w:t>
      </w:r>
      <w:r>
        <w:rPr>
          <w:spacing w:val="-3"/>
        </w:rPr>
        <w:t> </w:t>
      </w:r>
      <w:r>
        <w:rPr/>
        <w:t>digging</w:t>
      </w:r>
      <w:r>
        <w:rPr>
          <w:spacing w:val="-3"/>
        </w:rPr>
        <w:t> </w:t>
      </w:r>
      <w:r>
        <w:rPr/>
        <w:t>(the</w:t>
      </w:r>
      <w:r>
        <w:rPr>
          <w:spacing w:val="-5"/>
        </w:rPr>
        <w:t> </w:t>
      </w:r>
      <w:r>
        <w:rPr/>
        <w:t>risk</w:t>
      </w:r>
      <w:r>
        <w:rPr>
          <w:spacing w:val="-2"/>
        </w:rPr>
        <w:t> </w:t>
      </w:r>
      <w:r>
        <w:rPr/>
        <w:t>and</w:t>
      </w:r>
      <w:r>
        <w:rPr>
          <w:spacing w:val="-3"/>
        </w:rPr>
        <w:t> </w:t>
      </w:r>
      <w:r>
        <w:rPr/>
        <w:t>consequences</w:t>
      </w:r>
      <w:r>
        <w:rPr>
          <w:spacing w:val="-5"/>
        </w:rPr>
        <w:t> </w:t>
      </w:r>
      <w:r>
        <w:rPr/>
        <w:t>of which can be exacerbated by encroachment), sabotage, weather events such as flooding and land movement (earthquake, landslides).</w:t>
      </w:r>
    </w:p>
    <w:p>
      <w:pPr>
        <w:pStyle w:val="BodyText"/>
        <w:spacing w:before="11"/>
        <w:rPr>
          <w:sz w:val="20"/>
        </w:rPr>
      </w:pPr>
    </w:p>
    <w:p>
      <w:pPr>
        <w:pStyle w:val="BodyText"/>
        <w:spacing w:line="276" w:lineRule="auto"/>
        <w:ind w:left="600" w:right="311"/>
      </w:pPr>
      <w:r>
        <w:rPr/>
        <w:t>Leakages</w:t>
      </w:r>
      <w:r>
        <w:rPr>
          <w:spacing w:val="-4"/>
        </w:rPr>
        <w:t> </w:t>
      </w:r>
      <w:r>
        <w:rPr/>
        <w:t>of</w:t>
      </w:r>
      <w:r>
        <w:rPr>
          <w:spacing w:val="-3"/>
        </w:rPr>
        <w:t> </w:t>
      </w:r>
      <w:r>
        <w:rPr/>
        <w:t>gas</w:t>
      </w:r>
      <w:r>
        <w:rPr>
          <w:spacing w:val="-6"/>
        </w:rPr>
        <w:t> </w:t>
      </w:r>
      <w:r>
        <w:rPr/>
        <w:t>from</w:t>
      </w:r>
      <w:r>
        <w:rPr>
          <w:spacing w:val="-3"/>
        </w:rPr>
        <w:t> </w:t>
      </w:r>
      <w:r>
        <w:rPr/>
        <w:t>pipelines can</w:t>
      </w:r>
      <w:r>
        <w:rPr>
          <w:spacing w:val="-2"/>
        </w:rPr>
        <w:t> </w:t>
      </w:r>
      <w:r>
        <w:rPr/>
        <w:t>occur</w:t>
      </w:r>
      <w:r>
        <w:rPr>
          <w:spacing w:val="-1"/>
        </w:rPr>
        <w:t> </w:t>
      </w:r>
      <w:r>
        <w:rPr/>
        <w:t>as</w:t>
      </w:r>
      <w:r>
        <w:rPr>
          <w:spacing w:val="-4"/>
        </w:rPr>
        <w:t> </w:t>
      </w:r>
      <w:r>
        <w:rPr/>
        <w:t>a</w:t>
      </w:r>
      <w:r>
        <w:rPr>
          <w:spacing w:val="-4"/>
        </w:rPr>
        <w:t> </w:t>
      </w:r>
      <w:r>
        <w:rPr/>
        <w:t>result of damage</w:t>
      </w:r>
      <w:r>
        <w:rPr>
          <w:spacing w:val="-4"/>
        </w:rPr>
        <w:t> </w:t>
      </w:r>
      <w:r>
        <w:rPr/>
        <w:t>to</w:t>
      </w:r>
      <w:r>
        <w:rPr>
          <w:spacing w:val="-4"/>
        </w:rPr>
        <w:t> </w:t>
      </w:r>
      <w:r>
        <w:rPr/>
        <w:t>the</w:t>
      </w:r>
      <w:r>
        <w:rPr>
          <w:spacing w:val="-2"/>
        </w:rPr>
        <w:t> </w:t>
      </w:r>
      <w:r>
        <w:rPr/>
        <w:t>pipeline</w:t>
      </w:r>
      <w:r>
        <w:rPr>
          <w:spacing w:val="-2"/>
        </w:rPr>
        <w:t> </w:t>
      </w:r>
      <w:r>
        <w:rPr/>
        <w:t>or</w:t>
      </w:r>
      <w:r>
        <w:rPr>
          <w:spacing w:val="-3"/>
        </w:rPr>
        <w:t> </w:t>
      </w:r>
      <w:r>
        <w:rPr/>
        <w:t>from inadequate operation, human error or technical malfunction.</w:t>
      </w:r>
    </w:p>
    <w:p>
      <w:pPr>
        <w:pStyle w:val="BodyText"/>
        <w:spacing w:line="276" w:lineRule="auto" w:before="121"/>
        <w:ind w:left="600" w:right="586"/>
      </w:pPr>
      <w:r>
        <w:rPr/>
        <w:t>The hazardous nature of combustible gas as well as the high pressure at which it is transported</w:t>
      </w:r>
      <w:r>
        <w:rPr>
          <w:spacing w:val="-4"/>
        </w:rPr>
        <w:t> </w:t>
      </w:r>
      <w:r>
        <w:rPr/>
        <w:t>can, if there</w:t>
      </w:r>
      <w:r>
        <w:rPr>
          <w:spacing w:val="-2"/>
        </w:rPr>
        <w:t> </w:t>
      </w:r>
      <w:r>
        <w:rPr/>
        <w:t>is</w:t>
      </w:r>
      <w:r>
        <w:rPr>
          <w:spacing w:val="-1"/>
        </w:rPr>
        <w:t> </w:t>
      </w:r>
      <w:r>
        <w:rPr/>
        <w:t>a</w:t>
      </w:r>
      <w:r>
        <w:rPr>
          <w:spacing w:val="-2"/>
        </w:rPr>
        <w:t> </w:t>
      </w:r>
      <w:r>
        <w:rPr/>
        <w:t>loss</w:t>
      </w:r>
      <w:r>
        <w:rPr>
          <w:spacing w:val="-4"/>
        </w:rPr>
        <w:t> </w:t>
      </w:r>
      <w:r>
        <w:rPr/>
        <w:t>of containment, lead</w:t>
      </w:r>
      <w:r>
        <w:rPr>
          <w:spacing w:val="-2"/>
        </w:rPr>
        <w:t> </w:t>
      </w:r>
      <w:r>
        <w:rPr/>
        <w:t>to</w:t>
      </w:r>
      <w:r>
        <w:rPr>
          <w:spacing w:val="-4"/>
        </w:rPr>
        <w:t> </w:t>
      </w:r>
      <w:r>
        <w:rPr/>
        <w:t>the</w:t>
      </w:r>
      <w:r>
        <w:rPr>
          <w:spacing w:val="-4"/>
        </w:rPr>
        <w:t> </w:t>
      </w:r>
      <w:r>
        <w:rPr/>
        <w:t>conditions</w:t>
      </w:r>
      <w:r>
        <w:rPr>
          <w:spacing w:val="-4"/>
        </w:rPr>
        <w:t> </w:t>
      </w:r>
      <w:r>
        <w:rPr/>
        <w:t>for</w:t>
      </w:r>
      <w:r>
        <w:rPr>
          <w:spacing w:val="-6"/>
        </w:rPr>
        <w:t> </w:t>
      </w:r>
      <w:r>
        <w:rPr/>
        <w:t>a</w:t>
      </w:r>
      <w:r>
        <w:rPr>
          <w:spacing w:val="-2"/>
        </w:rPr>
        <w:t> </w:t>
      </w:r>
      <w:r>
        <w:rPr/>
        <w:t>potentially</w:t>
      </w:r>
      <w:r>
        <w:rPr>
          <w:spacing w:val="-4"/>
        </w:rPr>
        <w:t> </w:t>
      </w:r>
      <w:r>
        <w:rPr/>
        <w:t>large explosion, presenting a major risk to public safety.</w:t>
      </w:r>
    </w:p>
    <w:p>
      <w:pPr>
        <w:pStyle w:val="BodyText"/>
        <w:spacing w:before="9"/>
        <w:rPr>
          <w:sz w:val="20"/>
        </w:rPr>
      </w:pPr>
    </w:p>
    <w:p>
      <w:pPr>
        <w:pStyle w:val="Heading8"/>
        <w:ind w:left="600"/>
      </w:pPr>
      <w:r>
        <w:rPr/>
        <w:t>Gas</w:t>
      </w:r>
      <w:r>
        <w:rPr>
          <w:spacing w:val="-1"/>
        </w:rPr>
        <w:t> </w:t>
      </w:r>
      <w:r>
        <w:rPr>
          <w:spacing w:val="-2"/>
        </w:rPr>
        <w:t>quality</w:t>
      </w:r>
    </w:p>
    <w:p>
      <w:pPr>
        <w:pStyle w:val="BodyText"/>
        <w:spacing w:line="288" w:lineRule="auto" w:before="172"/>
        <w:ind w:left="600" w:right="374"/>
      </w:pPr>
      <w:r>
        <w:rPr/>
        <w:t>Gas</w:t>
      </w:r>
      <w:r>
        <w:rPr>
          <w:spacing w:val="-4"/>
        </w:rPr>
        <w:t> </w:t>
      </w:r>
      <w:r>
        <w:rPr/>
        <w:t>conveyed</w:t>
      </w:r>
      <w:r>
        <w:rPr>
          <w:spacing w:val="-3"/>
        </w:rPr>
        <w:t> </w:t>
      </w:r>
      <w:r>
        <w:rPr/>
        <w:t>through</w:t>
      </w:r>
      <w:r>
        <w:rPr>
          <w:spacing w:val="-4"/>
        </w:rPr>
        <w:t> </w:t>
      </w:r>
      <w:r>
        <w:rPr/>
        <w:t>the</w:t>
      </w:r>
      <w:r>
        <w:rPr>
          <w:spacing w:val="-3"/>
        </w:rPr>
        <w:t> </w:t>
      </w:r>
      <w:r>
        <w:rPr/>
        <w:t>network</w:t>
      </w:r>
      <w:r>
        <w:rPr>
          <w:spacing w:val="-2"/>
        </w:rPr>
        <w:t> </w:t>
      </w:r>
      <w:r>
        <w:rPr/>
        <w:t>must</w:t>
      </w:r>
      <w:r>
        <w:rPr>
          <w:spacing w:val="-5"/>
        </w:rPr>
        <w:t> </w:t>
      </w:r>
      <w:r>
        <w:rPr/>
        <w:t>meet</w:t>
      </w:r>
      <w:r>
        <w:rPr>
          <w:spacing w:val="-3"/>
        </w:rPr>
        <w:t> </w:t>
      </w:r>
      <w:r>
        <w:rPr/>
        <w:t>prescribed</w:t>
      </w:r>
      <w:r>
        <w:rPr>
          <w:spacing w:val="-4"/>
        </w:rPr>
        <w:t> </w:t>
      </w:r>
      <w:r>
        <w:rPr/>
        <w:t>quality</w:t>
      </w:r>
      <w:r>
        <w:rPr>
          <w:spacing w:val="-4"/>
        </w:rPr>
        <w:t> </w:t>
      </w:r>
      <w:r>
        <w:rPr/>
        <w:t>standards. By</w:t>
      </w:r>
      <w:r>
        <w:rPr>
          <w:spacing w:val="-4"/>
        </w:rPr>
        <w:t> </w:t>
      </w:r>
      <w:r>
        <w:rPr/>
        <w:t>ensuring</w:t>
      </w:r>
      <w:r>
        <w:rPr>
          <w:spacing w:val="-3"/>
        </w:rPr>
        <w:t> </w:t>
      </w:r>
      <w:r>
        <w:rPr/>
        <w:t>that gas meets relevant quality parameters, the standards help to prevent explosion and fire occurring. Gas quality can also affect the integrity of the pipeline. Because domestic and industrial appliances are designed to operate safely within a certain gas quality specification range, off-specification gas can yield a risk to the community through a potential explosion.</w:t>
      </w:r>
    </w:p>
    <w:p>
      <w:pPr>
        <w:pStyle w:val="BodyText"/>
        <w:spacing w:before="9"/>
        <w:rPr>
          <w:sz w:val="20"/>
        </w:rPr>
      </w:pPr>
    </w:p>
    <w:p>
      <w:pPr>
        <w:pStyle w:val="BodyText"/>
        <w:spacing w:line="288" w:lineRule="auto"/>
        <w:ind w:left="600" w:right="586"/>
      </w:pPr>
      <w:r>
        <w:rPr/>
        <w:t>Gas is also intentionally odourised so that the people can detect it at a concentration well below</w:t>
      </w:r>
      <w:r>
        <w:rPr>
          <w:spacing w:val="-6"/>
        </w:rPr>
        <w:t> </w:t>
      </w:r>
      <w:r>
        <w:rPr/>
        <w:t>the</w:t>
      </w:r>
      <w:r>
        <w:rPr>
          <w:spacing w:val="-3"/>
        </w:rPr>
        <w:t> </w:t>
      </w:r>
      <w:r>
        <w:rPr/>
        <w:t>explosive</w:t>
      </w:r>
      <w:r>
        <w:rPr>
          <w:spacing w:val="-3"/>
        </w:rPr>
        <w:t> </w:t>
      </w:r>
      <w:r>
        <w:rPr/>
        <w:t>range.</w:t>
      </w:r>
      <w:r>
        <w:rPr>
          <w:spacing w:val="-1"/>
        </w:rPr>
        <w:t> </w:t>
      </w:r>
      <w:r>
        <w:rPr/>
        <w:t>By</w:t>
      </w:r>
      <w:r>
        <w:rPr>
          <w:spacing w:val="-3"/>
        </w:rPr>
        <w:t> </w:t>
      </w:r>
      <w:r>
        <w:rPr/>
        <w:t>ensuring</w:t>
      </w:r>
      <w:r>
        <w:rPr>
          <w:spacing w:val="-3"/>
        </w:rPr>
        <w:t> </w:t>
      </w:r>
      <w:r>
        <w:rPr/>
        <w:t>that</w:t>
      </w:r>
      <w:r>
        <w:rPr>
          <w:spacing w:val="-4"/>
        </w:rPr>
        <w:t> </w:t>
      </w:r>
      <w:r>
        <w:rPr/>
        <w:t>gas</w:t>
      </w:r>
      <w:r>
        <w:rPr>
          <w:spacing w:val="-5"/>
        </w:rPr>
        <w:t> </w:t>
      </w:r>
      <w:r>
        <w:rPr/>
        <w:t>contains</w:t>
      </w:r>
      <w:r>
        <w:rPr>
          <w:spacing w:val="-3"/>
        </w:rPr>
        <w:t> </w:t>
      </w:r>
      <w:r>
        <w:rPr/>
        <w:t>a</w:t>
      </w:r>
      <w:r>
        <w:rPr>
          <w:spacing w:val="-2"/>
        </w:rPr>
        <w:t> </w:t>
      </w:r>
      <w:r>
        <w:rPr/>
        <w:t>distinctive</w:t>
      </w:r>
      <w:r>
        <w:rPr>
          <w:spacing w:val="-3"/>
        </w:rPr>
        <w:t> </w:t>
      </w:r>
      <w:r>
        <w:rPr/>
        <w:t>and</w:t>
      </w:r>
      <w:r>
        <w:rPr>
          <w:spacing w:val="-5"/>
        </w:rPr>
        <w:t> </w:t>
      </w:r>
      <w:r>
        <w:rPr/>
        <w:t>unpleasant</w:t>
      </w:r>
      <w:r>
        <w:rPr>
          <w:spacing w:val="-1"/>
        </w:rPr>
        <w:t> </w:t>
      </w:r>
      <w:r>
        <w:rPr/>
        <w:t>odour, gas leaks are readily detected by consumers and members of the public, thus helping to ensure leaks are addressed to avert explosion, fire and suffocation risks.</w:t>
      </w:r>
    </w:p>
    <w:p>
      <w:pPr>
        <w:spacing w:after="0" w:line="288" w:lineRule="auto"/>
        <w:sectPr>
          <w:pgSz w:w="11910" w:h="16840"/>
          <w:pgMar w:header="887" w:footer="1243" w:top="1080" w:bottom="1500" w:left="840" w:right="820"/>
        </w:sectPr>
      </w:pPr>
    </w:p>
    <w:p>
      <w:pPr>
        <w:pStyle w:val="BodyText"/>
        <w:rPr>
          <w:sz w:val="20"/>
        </w:rPr>
      </w:pPr>
    </w:p>
    <w:p>
      <w:pPr>
        <w:pStyle w:val="BodyText"/>
        <w:rPr>
          <w:sz w:val="20"/>
        </w:rPr>
      </w:pPr>
    </w:p>
    <w:p>
      <w:pPr>
        <w:pStyle w:val="BodyText"/>
        <w:spacing w:before="5"/>
      </w:pPr>
    </w:p>
    <w:p>
      <w:pPr>
        <w:pStyle w:val="Heading8"/>
        <w:ind w:left="600"/>
      </w:pPr>
      <w:r>
        <w:rPr/>
        <w:t>Loss</w:t>
      </w:r>
      <w:r>
        <w:rPr>
          <w:spacing w:val="-4"/>
        </w:rPr>
        <w:t> </w:t>
      </w:r>
      <w:r>
        <w:rPr/>
        <w:t>of</w:t>
      </w:r>
      <w:r>
        <w:rPr>
          <w:spacing w:val="-2"/>
        </w:rPr>
        <w:t> supply</w:t>
      </w:r>
    </w:p>
    <w:p>
      <w:pPr>
        <w:pStyle w:val="BodyText"/>
        <w:spacing w:line="288" w:lineRule="auto" w:before="172"/>
        <w:ind w:left="600" w:right="311"/>
      </w:pPr>
      <w:r>
        <w:rPr/>
        <w:t>Due</w:t>
      </w:r>
      <w:r>
        <w:rPr>
          <w:spacing w:val="-2"/>
        </w:rPr>
        <w:t> </w:t>
      </w:r>
      <w:r>
        <w:rPr/>
        <w:t>to</w:t>
      </w:r>
      <w:r>
        <w:rPr>
          <w:spacing w:val="-4"/>
        </w:rPr>
        <w:t> </w:t>
      </w:r>
      <w:r>
        <w:rPr/>
        <w:t>the</w:t>
      </w:r>
      <w:r>
        <w:rPr>
          <w:spacing w:val="-4"/>
        </w:rPr>
        <w:t> </w:t>
      </w:r>
      <w:r>
        <w:rPr/>
        <w:t>high</w:t>
      </w:r>
      <w:r>
        <w:rPr>
          <w:spacing w:val="-3"/>
        </w:rPr>
        <w:t> </w:t>
      </w:r>
      <w:r>
        <w:rPr/>
        <w:t>penetration</w:t>
      </w:r>
      <w:r>
        <w:rPr>
          <w:spacing w:val="-1"/>
        </w:rPr>
        <w:t> </w:t>
      </w:r>
      <w:r>
        <w:rPr/>
        <w:t>level</w:t>
      </w:r>
      <w:r>
        <w:rPr>
          <w:spacing w:val="-3"/>
        </w:rPr>
        <w:t> </w:t>
      </w:r>
      <w:r>
        <w:rPr/>
        <w:t>of</w:t>
      </w:r>
      <w:r>
        <w:rPr>
          <w:spacing w:val="-1"/>
        </w:rPr>
        <w:t> </w:t>
      </w:r>
      <w:r>
        <w:rPr/>
        <w:t>reticulation</w:t>
      </w:r>
      <w:r>
        <w:rPr>
          <w:spacing w:val="-2"/>
        </w:rPr>
        <w:t> </w:t>
      </w:r>
      <w:r>
        <w:rPr/>
        <w:t>in</w:t>
      </w:r>
      <w:r>
        <w:rPr>
          <w:spacing w:val="-4"/>
        </w:rPr>
        <w:t> </w:t>
      </w:r>
      <w:r>
        <w:rPr/>
        <w:t>Victoria, natural</w:t>
      </w:r>
      <w:r>
        <w:rPr>
          <w:spacing w:val="-7"/>
        </w:rPr>
        <w:t> </w:t>
      </w:r>
      <w:r>
        <w:rPr/>
        <w:t>gas</w:t>
      </w:r>
      <w:r>
        <w:rPr>
          <w:spacing w:val="-2"/>
        </w:rPr>
        <w:t> </w:t>
      </w:r>
      <w:r>
        <w:rPr/>
        <w:t>is</w:t>
      </w:r>
      <w:r>
        <w:rPr>
          <w:spacing w:val="-4"/>
        </w:rPr>
        <w:t> </w:t>
      </w:r>
      <w:r>
        <w:rPr/>
        <w:t>an</w:t>
      </w:r>
      <w:r>
        <w:rPr>
          <w:spacing w:val="-2"/>
        </w:rPr>
        <w:t> </w:t>
      </w:r>
      <w:r>
        <w:rPr/>
        <w:t>integral</w:t>
      </w:r>
      <w:r>
        <w:rPr>
          <w:spacing w:val="-3"/>
        </w:rPr>
        <w:t> </w:t>
      </w:r>
      <w:r>
        <w:rPr/>
        <w:t>part</w:t>
      </w:r>
      <w:r>
        <w:rPr>
          <w:spacing w:val="-3"/>
        </w:rPr>
        <w:t> </w:t>
      </w:r>
      <w:r>
        <w:rPr/>
        <w:t>of Victorians’ livelihoods and businesses, and is used for heating, hot water, cooking and in industrial processes in manufacturing and gas-fired electricity generation.</w:t>
      </w:r>
    </w:p>
    <w:p>
      <w:pPr>
        <w:pStyle w:val="BodyText"/>
        <w:spacing w:before="8"/>
        <w:rPr>
          <w:sz w:val="20"/>
        </w:rPr>
      </w:pPr>
    </w:p>
    <w:p>
      <w:pPr>
        <w:pStyle w:val="BodyText"/>
        <w:spacing w:line="288" w:lineRule="auto" w:before="1"/>
        <w:ind w:left="600" w:right="713"/>
      </w:pPr>
      <w:r>
        <w:rPr/>
        <w:t>Victoria</w:t>
      </w:r>
      <w:r>
        <w:rPr>
          <w:spacing w:val="-2"/>
        </w:rPr>
        <w:t> </w:t>
      </w:r>
      <w:r>
        <w:rPr/>
        <w:t>has</w:t>
      </w:r>
      <w:r>
        <w:rPr>
          <w:spacing w:val="-4"/>
        </w:rPr>
        <w:t> </w:t>
      </w:r>
      <w:r>
        <w:rPr/>
        <w:t>the</w:t>
      </w:r>
      <w:r>
        <w:rPr>
          <w:spacing w:val="-4"/>
        </w:rPr>
        <w:t> </w:t>
      </w:r>
      <w:r>
        <w:rPr/>
        <w:t>largest</w:t>
      </w:r>
      <w:r>
        <w:rPr>
          <w:spacing w:val="-3"/>
        </w:rPr>
        <w:t> </w:t>
      </w:r>
      <w:r>
        <w:rPr/>
        <w:t>residential</w:t>
      </w:r>
      <w:r>
        <w:rPr>
          <w:spacing w:val="-2"/>
        </w:rPr>
        <w:t> </w:t>
      </w:r>
      <w:r>
        <w:rPr/>
        <w:t>gas</w:t>
      </w:r>
      <w:r>
        <w:rPr>
          <w:spacing w:val="-4"/>
        </w:rPr>
        <w:t> </w:t>
      </w:r>
      <w:r>
        <w:rPr/>
        <w:t>demand</w:t>
      </w:r>
      <w:r>
        <w:rPr>
          <w:spacing w:val="-2"/>
        </w:rPr>
        <w:t> </w:t>
      </w:r>
      <w:r>
        <w:rPr/>
        <w:t>of</w:t>
      </w:r>
      <w:r>
        <w:rPr>
          <w:spacing w:val="-3"/>
        </w:rPr>
        <w:t> </w:t>
      </w:r>
      <w:r>
        <w:rPr/>
        <w:t>any</w:t>
      </w:r>
      <w:r>
        <w:rPr>
          <w:spacing w:val="-4"/>
        </w:rPr>
        <w:t> </w:t>
      </w:r>
      <w:r>
        <w:rPr/>
        <w:t>Australian</w:t>
      </w:r>
      <w:r>
        <w:rPr>
          <w:spacing w:val="-2"/>
        </w:rPr>
        <w:t> </w:t>
      </w:r>
      <w:r>
        <w:rPr/>
        <w:t>state.</w:t>
      </w:r>
      <w:r>
        <w:rPr>
          <w:spacing w:val="-8"/>
        </w:rPr>
        <w:t> </w:t>
      </w:r>
      <w:r>
        <w:rPr/>
        <w:t>While</w:t>
      </w:r>
      <w:r>
        <w:rPr>
          <w:spacing w:val="-2"/>
        </w:rPr>
        <w:t> </w:t>
      </w:r>
      <w:r>
        <w:rPr/>
        <w:t>significant</w:t>
      </w:r>
      <w:r>
        <w:rPr>
          <w:spacing w:val="-5"/>
        </w:rPr>
        <w:t> </w:t>
      </w:r>
      <w:r>
        <w:rPr/>
        <w:t>gas incidents are rare, the consequence of an incident occurring could have a major economic and safety impact on the community. A significant disruption to natural gas supply during peak summer periods may also impact on natural gas fired peaking electricity generation, and hence on the availability of electricity.</w:t>
      </w:r>
    </w:p>
    <w:p>
      <w:pPr>
        <w:pStyle w:val="BodyText"/>
        <w:spacing w:before="11"/>
        <w:rPr>
          <w:sz w:val="20"/>
        </w:rPr>
      </w:pPr>
    </w:p>
    <w:p>
      <w:pPr>
        <w:pStyle w:val="BodyText"/>
        <w:spacing w:line="288" w:lineRule="auto"/>
        <w:ind w:left="600" w:right="713"/>
      </w:pPr>
      <w:r>
        <w:rPr/>
        <w:t>A</w:t>
      </w:r>
      <w:r>
        <w:rPr>
          <w:spacing w:val="-1"/>
        </w:rPr>
        <w:t> </w:t>
      </w:r>
      <w:r>
        <w:rPr/>
        <w:t>disruption</w:t>
      </w:r>
      <w:r>
        <w:rPr>
          <w:spacing w:val="-3"/>
        </w:rPr>
        <w:t> </w:t>
      </w:r>
      <w:r>
        <w:rPr/>
        <w:t>to</w:t>
      </w:r>
      <w:r>
        <w:rPr>
          <w:spacing w:val="-3"/>
        </w:rPr>
        <w:t> </w:t>
      </w:r>
      <w:r>
        <w:rPr/>
        <w:t>supply</w:t>
      </w:r>
      <w:r>
        <w:rPr>
          <w:spacing w:val="-3"/>
        </w:rPr>
        <w:t> </w:t>
      </w:r>
      <w:r>
        <w:rPr/>
        <w:t>may</w:t>
      </w:r>
      <w:r>
        <w:rPr>
          <w:spacing w:val="-3"/>
        </w:rPr>
        <w:t> </w:t>
      </w:r>
      <w:r>
        <w:rPr/>
        <w:t>also</w:t>
      </w:r>
      <w:r>
        <w:rPr>
          <w:spacing w:val="-1"/>
        </w:rPr>
        <w:t> </w:t>
      </w:r>
      <w:r>
        <w:rPr/>
        <w:t>arise</w:t>
      </w:r>
      <w:r>
        <w:rPr>
          <w:spacing w:val="-1"/>
        </w:rPr>
        <w:t> </w:t>
      </w:r>
      <w:r>
        <w:rPr/>
        <w:t>when</w:t>
      </w:r>
      <w:r>
        <w:rPr>
          <w:spacing w:val="-1"/>
        </w:rPr>
        <w:t> </w:t>
      </w:r>
      <w:r>
        <w:rPr/>
        <w:t>natural</w:t>
      </w:r>
      <w:r>
        <w:rPr>
          <w:spacing w:val="-2"/>
        </w:rPr>
        <w:t> </w:t>
      </w:r>
      <w:r>
        <w:rPr/>
        <w:t>gas</w:t>
      </w:r>
      <w:r>
        <w:rPr>
          <w:spacing w:val="-3"/>
        </w:rPr>
        <w:t> </w:t>
      </w:r>
      <w:r>
        <w:rPr/>
        <w:t>in</w:t>
      </w:r>
      <w:r>
        <w:rPr>
          <w:spacing w:val="-3"/>
        </w:rPr>
        <w:t> </w:t>
      </w:r>
      <w:r>
        <w:rPr/>
        <w:t>the</w:t>
      </w:r>
      <w:r>
        <w:rPr>
          <w:spacing w:val="-1"/>
        </w:rPr>
        <w:t> </w:t>
      </w:r>
      <w:r>
        <w:rPr/>
        <w:t>system</w:t>
      </w:r>
      <w:r>
        <w:rPr>
          <w:spacing w:val="-1"/>
        </w:rPr>
        <w:t> </w:t>
      </w:r>
      <w:r>
        <w:rPr/>
        <w:t>is</w:t>
      </w:r>
      <w:r>
        <w:rPr>
          <w:spacing w:val="-3"/>
        </w:rPr>
        <w:t> </w:t>
      </w:r>
      <w:r>
        <w:rPr/>
        <w:t>off-specification</w:t>
      </w:r>
      <w:r>
        <w:rPr>
          <w:spacing w:val="-1"/>
        </w:rPr>
        <w:t> </w:t>
      </w:r>
      <w:r>
        <w:rPr/>
        <w:t>and is therefore unsafe to use.</w:t>
      </w:r>
    </w:p>
    <w:p>
      <w:pPr>
        <w:pStyle w:val="BodyText"/>
        <w:spacing w:before="10"/>
        <w:rPr>
          <w:sz w:val="20"/>
        </w:rPr>
      </w:pPr>
    </w:p>
    <w:p>
      <w:pPr>
        <w:pStyle w:val="BodyText"/>
        <w:spacing w:line="288" w:lineRule="auto" w:before="1"/>
        <w:ind w:left="600" w:right="586"/>
      </w:pPr>
      <w:r>
        <w:rPr/>
        <w:t>Loss</w:t>
      </w:r>
      <w:r>
        <w:rPr>
          <w:spacing w:val="-1"/>
        </w:rPr>
        <w:t> </w:t>
      </w:r>
      <w:r>
        <w:rPr/>
        <w:t>of</w:t>
      </w:r>
      <w:r>
        <w:rPr>
          <w:spacing w:val="-2"/>
        </w:rPr>
        <w:t> </w:t>
      </w:r>
      <w:r>
        <w:rPr/>
        <w:t>gas</w:t>
      </w:r>
      <w:r>
        <w:rPr>
          <w:spacing w:val="-4"/>
        </w:rPr>
        <w:t> </w:t>
      </w:r>
      <w:r>
        <w:rPr/>
        <w:t>supply</w:t>
      </w:r>
      <w:r>
        <w:rPr>
          <w:spacing w:val="-4"/>
        </w:rPr>
        <w:t> </w:t>
      </w:r>
      <w:r>
        <w:rPr/>
        <w:t>can</w:t>
      </w:r>
      <w:r>
        <w:rPr>
          <w:spacing w:val="-2"/>
        </w:rPr>
        <w:t> </w:t>
      </w:r>
      <w:r>
        <w:rPr/>
        <w:t>also</w:t>
      </w:r>
      <w:r>
        <w:rPr>
          <w:spacing w:val="-2"/>
        </w:rPr>
        <w:t> </w:t>
      </w:r>
      <w:r>
        <w:rPr/>
        <w:t>result</w:t>
      </w:r>
      <w:r>
        <w:rPr>
          <w:spacing w:val="-3"/>
        </w:rPr>
        <w:t> </w:t>
      </w:r>
      <w:r>
        <w:rPr/>
        <w:t>in</w:t>
      </w:r>
      <w:r>
        <w:rPr>
          <w:spacing w:val="-2"/>
        </w:rPr>
        <w:t> </w:t>
      </w:r>
      <w:r>
        <w:rPr/>
        <w:t>a</w:t>
      </w:r>
      <w:r>
        <w:rPr>
          <w:spacing w:val="-3"/>
        </w:rPr>
        <w:t> </w:t>
      </w:r>
      <w:r>
        <w:rPr/>
        <w:t>risk</w:t>
      </w:r>
      <w:r>
        <w:rPr>
          <w:spacing w:val="-1"/>
        </w:rPr>
        <w:t> </w:t>
      </w:r>
      <w:r>
        <w:rPr/>
        <w:t>to</w:t>
      </w:r>
      <w:r>
        <w:rPr>
          <w:spacing w:val="-2"/>
        </w:rPr>
        <w:t> </w:t>
      </w:r>
      <w:r>
        <w:rPr/>
        <w:t>public</w:t>
      </w:r>
      <w:r>
        <w:rPr>
          <w:spacing w:val="-1"/>
        </w:rPr>
        <w:t> </w:t>
      </w:r>
      <w:r>
        <w:rPr/>
        <w:t>safety</w:t>
      </w:r>
      <w:r>
        <w:rPr>
          <w:spacing w:val="-4"/>
        </w:rPr>
        <w:t> </w:t>
      </w:r>
      <w:r>
        <w:rPr/>
        <w:t>at</w:t>
      </w:r>
      <w:r>
        <w:rPr>
          <w:spacing w:val="-3"/>
        </w:rPr>
        <w:t> </w:t>
      </w:r>
      <w:r>
        <w:rPr/>
        <w:t>the</w:t>
      </w:r>
      <w:r>
        <w:rPr>
          <w:spacing w:val="-4"/>
        </w:rPr>
        <w:t> </w:t>
      </w:r>
      <w:r>
        <w:rPr/>
        <w:t>time</w:t>
      </w:r>
      <w:r>
        <w:rPr>
          <w:spacing w:val="-4"/>
        </w:rPr>
        <w:t> </w:t>
      </w:r>
      <w:r>
        <w:rPr/>
        <w:t>of reinstatement.</w:t>
      </w:r>
      <w:r>
        <w:rPr>
          <w:spacing w:val="-3"/>
        </w:rPr>
        <w:t> </w:t>
      </w:r>
      <w:r>
        <w:rPr/>
        <w:t>For example, air penetrating the gas supply network would need to be purged from gas installations</w:t>
      </w:r>
      <w:r>
        <w:rPr>
          <w:spacing w:val="-2"/>
        </w:rPr>
        <w:t> </w:t>
      </w:r>
      <w:r>
        <w:rPr/>
        <w:t>and</w:t>
      </w:r>
      <w:r>
        <w:rPr>
          <w:spacing w:val="-2"/>
        </w:rPr>
        <w:t> </w:t>
      </w:r>
      <w:r>
        <w:rPr/>
        <w:t>appliances</w:t>
      </w:r>
      <w:r>
        <w:rPr>
          <w:spacing w:val="-1"/>
        </w:rPr>
        <w:t> </w:t>
      </w:r>
      <w:r>
        <w:rPr/>
        <w:t>before</w:t>
      </w:r>
      <w:r>
        <w:rPr>
          <w:spacing w:val="-4"/>
        </w:rPr>
        <w:t> </w:t>
      </w:r>
      <w:r>
        <w:rPr/>
        <w:t>the</w:t>
      </w:r>
      <w:r>
        <w:rPr>
          <w:spacing w:val="-4"/>
        </w:rPr>
        <w:t> </w:t>
      </w:r>
      <w:r>
        <w:rPr/>
        <w:t>installation</w:t>
      </w:r>
      <w:r>
        <w:rPr>
          <w:spacing w:val="-2"/>
        </w:rPr>
        <w:t> </w:t>
      </w:r>
      <w:r>
        <w:rPr/>
        <w:t>is</w:t>
      </w:r>
      <w:r>
        <w:rPr>
          <w:spacing w:val="-2"/>
        </w:rPr>
        <w:t> </w:t>
      </w:r>
      <w:r>
        <w:rPr/>
        <w:t>relit, or</w:t>
      </w:r>
      <w:r>
        <w:rPr>
          <w:spacing w:val="-3"/>
        </w:rPr>
        <w:t> </w:t>
      </w:r>
      <w:r>
        <w:rPr/>
        <w:t>the</w:t>
      </w:r>
      <w:r>
        <w:rPr>
          <w:spacing w:val="-2"/>
        </w:rPr>
        <w:t> </w:t>
      </w:r>
      <w:r>
        <w:rPr/>
        <w:t>appliance</w:t>
      </w:r>
      <w:r>
        <w:rPr>
          <w:spacing w:val="-4"/>
        </w:rPr>
        <w:t> </w:t>
      </w:r>
      <w:r>
        <w:rPr/>
        <w:t>is</w:t>
      </w:r>
      <w:r>
        <w:rPr>
          <w:spacing w:val="-1"/>
        </w:rPr>
        <w:t> </w:t>
      </w:r>
      <w:r>
        <w:rPr/>
        <w:t>used,</w:t>
      </w:r>
      <w:r>
        <w:rPr>
          <w:spacing w:val="-3"/>
        </w:rPr>
        <w:t> </w:t>
      </w:r>
      <w:r>
        <w:rPr/>
        <w:t>to</w:t>
      </w:r>
      <w:r>
        <w:rPr>
          <w:spacing w:val="-1"/>
        </w:rPr>
        <w:t> </w:t>
      </w:r>
      <w:r>
        <w:rPr/>
        <w:t>avoid the possibility of an explosive air–gas mixture existing or forming in the pipeline, or gas </w:t>
      </w:r>
      <w:r>
        <w:rPr>
          <w:spacing w:val="-2"/>
        </w:rPr>
        <w:t>appliance.</w:t>
      </w:r>
    </w:p>
    <w:p>
      <w:pPr>
        <w:pStyle w:val="BodyText"/>
        <w:spacing w:before="2"/>
        <w:rPr>
          <w:sz w:val="31"/>
        </w:rPr>
      </w:pPr>
    </w:p>
    <w:p>
      <w:pPr>
        <w:pStyle w:val="Heading4"/>
        <w:spacing w:before="0"/>
        <w:ind w:left="600"/>
      </w:pPr>
      <w:r>
        <w:rPr>
          <w:color w:val="585858"/>
        </w:rPr>
        <w:t>The</w:t>
      </w:r>
      <w:r>
        <w:rPr>
          <w:color w:val="585858"/>
          <w:spacing w:val="-7"/>
        </w:rPr>
        <w:t> </w:t>
      </w:r>
      <w:r>
        <w:rPr>
          <w:color w:val="585858"/>
        </w:rPr>
        <w:t>objectives</w:t>
      </w:r>
      <w:r>
        <w:rPr>
          <w:color w:val="585858"/>
          <w:spacing w:val="-7"/>
        </w:rPr>
        <w:t> </w:t>
      </w:r>
      <w:r>
        <w:rPr>
          <w:color w:val="585858"/>
        </w:rPr>
        <w:t>of</w:t>
      </w:r>
      <w:r>
        <w:rPr>
          <w:color w:val="585858"/>
          <w:spacing w:val="-10"/>
        </w:rPr>
        <w:t> </w:t>
      </w:r>
      <w:r>
        <w:rPr>
          <w:color w:val="585858"/>
        </w:rPr>
        <w:t>the</w:t>
      </w:r>
      <w:r>
        <w:rPr>
          <w:color w:val="585858"/>
          <w:spacing w:val="-10"/>
        </w:rPr>
        <w:t> </w:t>
      </w:r>
      <w:r>
        <w:rPr>
          <w:color w:val="585858"/>
        </w:rPr>
        <w:t>safety</w:t>
      </w:r>
      <w:r>
        <w:rPr>
          <w:color w:val="585858"/>
          <w:spacing w:val="-11"/>
        </w:rPr>
        <w:t> </w:t>
      </w:r>
      <w:r>
        <w:rPr>
          <w:color w:val="585858"/>
          <w:spacing w:val="-2"/>
        </w:rPr>
        <w:t>framework</w:t>
      </w:r>
    </w:p>
    <w:p>
      <w:pPr>
        <w:pStyle w:val="BodyText"/>
        <w:spacing w:line="288" w:lineRule="auto" w:before="314"/>
        <w:ind w:left="600" w:right="586"/>
      </w:pPr>
      <w:r>
        <w:rPr/>
        <w:t>The key objective of the electricity and gas network safety framework is to protect the Victorian community</w:t>
      </w:r>
      <w:r>
        <w:rPr>
          <w:spacing w:val="-3"/>
        </w:rPr>
        <w:t> </w:t>
      </w:r>
      <w:r>
        <w:rPr/>
        <w:t>from the</w:t>
      </w:r>
      <w:r>
        <w:rPr>
          <w:spacing w:val="-1"/>
        </w:rPr>
        <w:t> </w:t>
      </w:r>
      <w:r>
        <w:rPr/>
        <w:t>risks associated</w:t>
      </w:r>
      <w:r>
        <w:rPr>
          <w:spacing w:val="-1"/>
        </w:rPr>
        <w:t> </w:t>
      </w:r>
      <w:r>
        <w:rPr/>
        <w:t>with</w:t>
      </w:r>
      <w:r>
        <w:rPr>
          <w:spacing w:val="-1"/>
        </w:rPr>
        <w:t> </w:t>
      </w:r>
      <w:r>
        <w:rPr/>
        <w:t>the supply</w:t>
      </w:r>
      <w:r>
        <w:rPr>
          <w:spacing w:val="-1"/>
        </w:rPr>
        <w:t> </w:t>
      </w:r>
      <w:r>
        <w:rPr/>
        <w:t>and use</w:t>
      </w:r>
      <w:r>
        <w:rPr>
          <w:spacing w:val="-1"/>
        </w:rPr>
        <w:t> </w:t>
      </w:r>
      <w:r>
        <w:rPr/>
        <w:t>of electricity</w:t>
      </w:r>
      <w:r>
        <w:rPr>
          <w:spacing w:val="-1"/>
        </w:rPr>
        <w:t> </w:t>
      </w:r>
      <w:r>
        <w:rPr/>
        <w:t>and</w:t>
      </w:r>
      <w:r>
        <w:rPr>
          <w:spacing w:val="-1"/>
        </w:rPr>
        <w:t> </w:t>
      </w:r>
      <w:r>
        <w:rPr/>
        <w:t>gas. More specifically, this includes protecting the community from injury or death caused by electrocution or from the dangers posed from bushfires starting as a result of electrical infrastructure, or</w:t>
      </w:r>
      <w:r>
        <w:rPr>
          <w:spacing w:val="-3"/>
        </w:rPr>
        <w:t> </w:t>
      </w:r>
      <w:r>
        <w:rPr/>
        <w:t>from</w:t>
      </w:r>
      <w:r>
        <w:rPr>
          <w:spacing w:val="-3"/>
        </w:rPr>
        <w:t> </w:t>
      </w:r>
      <w:r>
        <w:rPr/>
        <w:t>the</w:t>
      </w:r>
      <w:r>
        <w:rPr>
          <w:spacing w:val="-2"/>
        </w:rPr>
        <w:t> </w:t>
      </w:r>
      <w:r>
        <w:rPr/>
        <w:t>dangers</w:t>
      </w:r>
      <w:r>
        <w:rPr>
          <w:spacing w:val="-3"/>
        </w:rPr>
        <w:t> </w:t>
      </w:r>
      <w:r>
        <w:rPr/>
        <w:t>associated</w:t>
      </w:r>
      <w:r>
        <w:rPr>
          <w:spacing w:val="-2"/>
        </w:rPr>
        <w:t> </w:t>
      </w:r>
      <w:r>
        <w:rPr/>
        <w:t>with</w:t>
      </w:r>
      <w:r>
        <w:rPr>
          <w:spacing w:val="-4"/>
        </w:rPr>
        <w:t> </w:t>
      </w:r>
      <w:r>
        <w:rPr/>
        <w:t>gas</w:t>
      </w:r>
      <w:r>
        <w:rPr>
          <w:spacing w:val="-2"/>
        </w:rPr>
        <w:t> </w:t>
      </w:r>
      <w:r>
        <w:rPr/>
        <w:t>exposure, or</w:t>
      </w:r>
      <w:r>
        <w:rPr>
          <w:spacing w:val="-1"/>
        </w:rPr>
        <w:t> </w:t>
      </w:r>
      <w:r>
        <w:rPr/>
        <w:t>an</w:t>
      </w:r>
      <w:r>
        <w:rPr>
          <w:spacing w:val="-4"/>
        </w:rPr>
        <w:t> </w:t>
      </w:r>
      <w:r>
        <w:rPr/>
        <w:t>explosion</w:t>
      </w:r>
      <w:r>
        <w:rPr>
          <w:spacing w:val="-1"/>
        </w:rPr>
        <w:t> </w:t>
      </w:r>
      <w:r>
        <w:rPr/>
        <w:t>or</w:t>
      </w:r>
      <w:r>
        <w:rPr>
          <w:spacing w:val="-3"/>
        </w:rPr>
        <w:t> </w:t>
      </w:r>
      <w:r>
        <w:rPr/>
        <w:t>fire</w:t>
      </w:r>
      <w:r>
        <w:rPr>
          <w:spacing w:val="-1"/>
        </w:rPr>
        <w:t> </w:t>
      </w:r>
      <w:r>
        <w:rPr/>
        <w:t>as</w:t>
      </w:r>
      <w:r>
        <w:rPr>
          <w:spacing w:val="-4"/>
        </w:rPr>
        <w:t> </w:t>
      </w:r>
      <w:r>
        <w:rPr/>
        <w:t>a result of loss of containment or gas quality.</w:t>
      </w:r>
    </w:p>
    <w:p>
      <w:pPr>
        <w:pStyle w:val="BodyText"/>
        <w:spacing w:before="10"/>
        <w:rPr>
          <w:sz w:val="20"/>
        </w:rPr>
      </w:pPr>
    </w:p>
    <w:p>
      <w:pPr>
        <w:pStyle w:val="BodyText"/>
        <w:spacing w:line="288" w:lineRule="auto"/>
        <w:ind w:left="600" w:right="374"/>
      </w:pPr>
      <w:r>
        <w:rPr/>
        <w:t>While</w:t>
      </w:r>
      <w:r>
        <w:rPr>
          <w:spacing w:val="-4"/>
        </w:rPr>
        <w:t> </w:t>
      </w:r>
      <w:r>
        <w:rPr/>
        <w:t>the</w:t>
      </w:r>
      <w:r>
        <w:rPr>
          <w:spacing w:val="-1"/>
        </w:rPr>
        <w:t> </w:t>
      </w:r>
      <w:r>
        <w:rPr/>
        <w:t>primary</w:t>
      </w:r>
      <w:r>
        <w:rPr>
          <w:spacing w:val="-4"/>
        </w:rPr>
        <w:t> </w:t>
      </w:r>
      <w:r>
        <w:rPr/>
        <w:t>responsibility</w:t>
      </w:r>
      <w:r>
        <w:rPr>
          <w:spacing w:val="-4"/>
        </w:rPr>
        <w:t> </w:t>
      </w:r>
      <w:r>
        <w:rPr/>
        <w:t>for</w:t>
      </w:r>
      <w:r>
        <w:rPr>
          <w:spacing w:val="-1"/>
        </w:rPr>
        <w:t> </w:t>
      </w:r>
      <w:r>
        <w:rPr/>
        <w:t>electricity</w:t>
      </w:r>
      <w:r>
        <w:rPr>
          <w:spacing w:val="-4"/>
        </w:rPr>
        <w:t> </w:t>
      </w:r>
      <w:r>
        <w:rPr/>
        <w:t>and</w:t>
      </w:r>
      <w:r>
        <w:rPr>
          <w:spacing w:val="-6"/>
        </w:rPr>
        <w:t> </w:t>
      </w:r>
      <w:r>
        <w:rPr/>
        <w:t>gas</w:t>
      </w:r>
      <w:r>
        <w:rPr>
          <w:spacing w:val="-4"/>
        </w:rPr>
        <w:t> </w:t>
      </w:r>
      <w:r>
        <w:rPr/>
        <w:t>network safety</w:t>
      </w:r>
      <w:r>
        <w:rPr>
          <w:spacing w:val="-4"/>
        </w:rPr>
        <w:t> </w:t>
      </w:r>
      <w:r>
        <w:rPr/>
        <w:t>rests</w:t>
      </w:r>
      <w:r>
        <w:rPr>
          <w:spacing w:val="-4"/>
        </w:rPr>
        <w:t> </w:t>
      </w:r>
      <w:r>
        <w:rPr/>
        <w:t>with</w:t>
      </w:r>
      <w:r>
        <w:rPr>
          <w:spacing w:val="-2"/>
        </w:rPr>
        <w:t> </w:t>
      </w:r>
      <w:r>
        <w:rPr/>
        <w:t>the</w:t>
      </w:r>
      <w:r>
        <w:rPr>
          <w:spacing w:val="-4"/>
        </w:rPr>
        <w:t> </w:t>
      </w:r>
      <w:r>
        <w:rPr/>
        <w:t>electricity and gas companies that own and operate these networks, the energy safety regulator is charged with ensuring these companies meet their obligations in relation to the safe transmission and distribution of energy.</w:t>
      </w:r>
    </w:p>
    <w:p>
      <w:pPr>
        <w:pStyle w:val="BodyText"/>
        <w:spacing w:before="10"/>
        <w:rPr>
          <w:sz w:val="20"/>
        </w:rPr>
      </w:pPr>
    </w:p>
    <w:p>
      <w:pPr>
        <w:spacing w:line="288" w:lineRule="auto" w:before="0"/>
        <w:ind w:left="600" w:right="586" w:firstLine="0"/>
        <w:jc w:val="left"/>
        <w:rPr>
          <w:sz w:val="22"/>
        </w:rPr>
      </w:pPr>
      <w:r>
        <w:rPr>
          <w:sz w:val="22"/>
        </w:rPr>
        <w:t>The</w:t>
      </w:r>
      <w:r>
        <w:rPr>
          <w:spacing w:val="-3"/>
          <w:sz w:val="22"/>
        </w:rPr>
        <w:t> </w:t>
      </w:r>
      <w:r>
        <w:rPr>
          <w:i/>
          <w:sz w:val="22"/>
        </w:rPr>
        <w:t>Energy</w:t>
      </w:r>
      <w:r>
        <w:rPr>
          <w:i/>
          <w:spacing w:val="-3"/>
          <w:sz w:val="22"/>
        </w:rPr>
        <w:t> </w:t>
      </w:r>
      <w:r>
        <w:rPr>
          <w:i/>
          <w:sz w:val="22"/>
        </w:rPr>
        <w:t>Safe</w:t>
      </w:r>
      <w:r>
        <w:rPr>
          <w:i/>
          <w:spacing w:val="-3"/>
          <w:sz w:val="22"/>
        </w:rPr>
        <w:t> </w:t>
      </w:r>
      <w:r>
        <w:rPr>
          <w:i/>
          <w:sz w:val="22"/>
        </w:rPr>
        <w:t>Victoria</w:t>
      </w:r>
      <w:r>
        <w:rPr>
          <w:i/>
          <w:spacing w:val="-4"/>
          <w:sz w:val="22"/>
        </w:rPr>
        <w:t> </w:t>
      </w:r>
      <w:r>
        <w:rPr>
          <w:i/>
          <w:sz w:val="22"/>
        </w:rPr>
        <w:t>Act</w:t>
      </w:r>
      <w:r>
        <w:rPr>
          <w:i/>
          <w:spacing w:val="-2"/>
          <w:sz w:val="22"/>
        </w:rPr>
        <w:t> </w:t>
      </w:r>
      <w:r>
        <w:rPr>
          <w:i/>
          <w:sz w:val="22"/>
        </w:rPr>
        <w:t>2005 </w:t>
      </w:r>
      <w:r>
        <w:rPr>
          <w:sz w:val="22"/>
        </w:rPr>
        <w:t>established ESV</w:t>
      </w:r>
      <w:r>
        <w:rPr>
          <w:spacing w:val="-1"/>
          <w:sz w:val="22"/>
        </w:rPr>
        <w:t> </w:t>
      </w:r>
      <w:r>
        <w:rPr>
          <w:sz w:val="22"/>
        </w:rPr>
        <w:t>as</w:t>
      </w:r>
      <w:r>
        <w:rPr>
          <w:spacing w:val="-1"/>
          <w:sz w:val="22"/>
        </w:rPr>
        <w:t> </w:t>
      </w:r>
      <w:r>
        <w:rPr>
          <w:sz w:val="22"/>
        </w:rPr>
        <w:t>Victoria’s independent energy</w:t>
      </w:r>
      <w:r>
        <w:rPr>
          <w:spacing w:val="-3"/>
          <w:sz w:val="22"/>
        </w:rPr>
        <w:t> </w:t>
      </w:r>
      <w:r>
        <w:rPr>
          <w:sz w:val="22"/>
        </w:rPr>
        <w:t>safety regulator,</w:t>
      </w:r>
      <w:r>
        <w:rPr>
          <w:spacing w:val="-1"/>
          <w:sz w:val="22"/>
        </w:rPr>
        <w:t> </w:t>
      </w:r>
      <w:r>
        <w:rPr>
          <w:sz w:val="22"/>
        </w:rPr>
        <w:t>vesting</w:t>
      </w:r>
      <w:r>
        <w:rPr>
          <w:spacing w:val="-1"/>
          <w:sz w:val="22"/>
        </w:rPr>
        <w:t> </w:t>
      </w:r>
      <w:r>
        <w:rPr>
          <w:sz w:val="22"/>
        </w:rPr>
        <w:t>ESV</w:t>
      </w:r>
      <w:r>
        <w:rPr>
          <w:spacing w:val="-3"/>
          <w:sz w:val="22"/>
        </w:rPr>
        <w:t> </w:t>
      </w:r>
      <w:r>
        <w:rPr>
          <w:sz w:val="22"/>
        </w:rPr>
        <w:t>with</w:t>
      </w:r>
      <w:r>
        <w:rPr>
          <w:spacing w:val="-3"/>
          <w:sz w:val="22"/>
        </w:rPr>
        <w:t> </w:t>
      </w:r>
      <w:r>
        <w:rPr>
          <w:sz w:val="22"/>
        </w:rPr>
        <w:t>this</w:t>
      </w:r>
      <w:r>
        <w:rPr>
          <w:spacing w:val="-5"/>
          <w:sz w:val="22"/>
        </w:rPr>
        <w:t> </w:t>
      </w:r>
      <w:r>
        <w:rPr>
          <w:sz w:val="22"/>
        </w:rPr>
        <w:t>responsibility.</w:t>
      </w:r>
      <w:r>
        <w:rPr>
          <w:spacing w:val="-4"/>
          <w:sz w:val="22"/>
        </w:rPr>
        <w:t> </w:t>
      </w:r>
      <w:r>
        <w:rPr>
          <w:sz w:val="22"/>
        </w:rPr>
        <w:t>The </w:t>
      </w:r>
      <w:r>
        <w:rPr>
          <w:i/>
          <w:sz w:val="22"/>
        </w:rPr>
        <w:t>Energy</w:t>
      </w:r>
      <w:r>
        <w:rPr>
          <w:i/>
          <w:spacing w:val="-5"/>
          <w:sz w:val="22"/>
        </w:rPr>
        <w:t> </w:t>
      </w:r>
      <w:r>
        <w:rPr>
          <w:i/>
          <w:sz w:val="22"/>
        </w:rPr>
        <w:t>Safe</w:t>
      </w:r>
      <w:r>
        <w:rPr>
          <w:i/>
          <w:spacing w:val="-5"/>
          <w:sz w:val="22"/>
        </w:rPr>
        <w:t> </w:t>
      </w:r>
      <w:r>
        <w:rPr>
          <w:i/>
          <w:sz w:val="22"/>
        </w:rPr>
        <w:t>Victoria</w:t>
      </w:r>
      <w:r>
        <w:rPr>
          <w:i/>
          <w:spacing w:val="-3"/>
          <w:sz w:val="22"/>
        </w:rPr>
        <w:t> </w:t>
      </w:r>
      <w:r>
        <w:rPr>
          <w:i/>
          <w:sz w:val="22"/>
        </w:rPr>
        <w:t>Act 2005</w:t>
      </w:r>
      <w:r>
        <w:rPr>
          <w:i/>
          <w:spacing w:val="-4"/>
          <w:sz w:val="22"/>
        </w:rPr>
        <w:t> </w:t>
      </w:r>
      <w:r>
        <w:rPr>
          <w:sz w:val="22"/>
        </w:rPr>
        <w:t>confers</w:t>
      </w:r>
      <w:r>
        <w:rPr>
          <w:spacing w:val="-4"/>
          <w:sz w:val="22"/>
        </w:rPr>
        <w:t> </w:t>
      </w:r>
      <w:r>
        <w:rPr>
          <w:sz w:val="22"/>
        </w:rPr>
        <w:t>on ESV the objectives to perform its functions and exercise its powers in such a manner as it considers best to achieve the objectives specified in the </w:t>
      </w:r>
      <w:r>
        <w:rPr>
          <w:i/>
          <w:sz w:val="22"/>
        </w:rPr>
        <w:t>Electricity Safety Act 1998 </w:t>
      </w:r>
      <w:r>
        <w:rPr>
          <w:sz w:val="22"/>
        </w:rPr>
        <w:t>and the </w:t>
      </w:r>
      <w:r>
        <w:rPr>
          <w:i/>
          <w:sz w:val="22"/>
        </w:rPr>
        <w:t>Gas Safety Act 1997 </w:t>
      </w:r>
      <w:r>
        <w:rPr>
          <w:sz w:val="22"/>
        </w:rPr>
        <w:t>and any other Act.</w:t>
      </w:r>
    </w:p>
    <w:p>
      <w:pPr>
        <w:pStyle w:val="BodyText"/>
        <w:spacing w:before="1"/>
        <w:rPr>
          <w:sz w:val="21"/>
        </w:rPr>
      </w:pPr>
    </w:p>
    <w:p>
      <w:pPr>
        <w:spacing w:line="288" w:lineRule="auto" w:before="0"/>
        <w:ind w:left="600" w:right="586" w:firstLine="0"/>
        <w:jc w:val="left"/>
        <w:rPr>
          <w:sz w:val="22"/>
        </w:rPr>
      </w:pPr>
      <w:r>
        <w:rPr>
          <w:sz w:val="22"/>
        </w:rPr>
        <w:t>The</w:t>
      </w:r>
      <w:r>
        <w:rPr>
          <w:spacing w:val="-3"/>
          <w:sz w:val="22"/>
        </w:rPr>
        <w:t> </w:t>
      </w:r>
      <w:r>
        <w:rPr>
          <w:sz w:val="22"/>
        </w:rPr>
        <w:t>nature</w:t>
      </w:r>
      <w:r>
        <w:rPr>
          <w:spacing w:val="-1"/>
          <w:sz w:val="22"/>
        </w:rPr>
        <w:t> </w:t>
      </w:r>
      <w:r>
        <w:rPr>
          <w:sz w:val="22"/>
        </w:rPr>
        <w:t>and</w:t>
      </w:r>
      <w:r>
        <w:rPr>
          <w:spacing w:val="-3"/>
          <w:sz w:val="22"/>
        </w:rPr>
        <w:t> </w:t>
      </w:r>
      <w:r>
        <w:rPr>
          <w:sz w:val="22"/>
        </w:rPr>
        <w:t>scope</w:t>
      </w:r>
      <w:r>
        <w:rPr>
          <w:spacing w:val="-3"/>
          <w:sz w:val="22"/>
        </w:rPr>
        <w:t> </w:t>
      </w:r>
      <w:r>
        <w:rPr>
          <w:sz w:val="22"/>
        </w:rPr>
        <w:t>of</w:t>
      </w:r>
      <w:r>
        <w:rPr>
          <w:spacing w:val="-2"/>
          <w:sz w:val="22"/>
        </w:rPr>
        <w:t> </w:t>
      </w:r>
      <w:r>
        <w:rPr>
          <w:sz w:val="22"/>
        </w:rPr>
        <w:t>ESV’s activities are defined</w:t>
      </w:r>
      <w:r>
        <w:rPr>
          <w:spacing w:val="-1"/>
          <w:sz w:val="22"/>
        </w:rPr>
        <w:t> </w:t>
      </w:r>
      <w:r>
        <w:rPr>
          <w:sz w:val="22"/>
        </w:rPr>
        <w:t>in</w:t>
      </w:r>
      <w:r>
        <w:rPr>
          <w:spacing w:val="-1"/>
          <w:sz w:val="22"/>
        </w:rPr>
        <w:t> </w:t>
      </w:r>
      <w:r>
        <w:rPr>
          <w:sz w:val="22"/>
        </w:rPr>
        <w:t>its</w:t>
      </w:r>
      <w:r>
        <w:rPr>
          <w:spacing w:val="-2"/>
          <w:sz w:val="22"/>
        </w:rPr>
        <w:t> </w:t>
      </w:r>
      <w:r>
        <w:rPr>
          <w:sz w:val="22"/>
        </w:rPr>
        <w:t>mission,</w:t>
      </w:r>
      <w:r>
        <w:rPr>
          <w:spacing w:val="-2"/>
          <w:sz w:val="22"/>
        </w:rPr>
        <w:t> </w:t>
      </w:r>
      <w:r>
        <w:rPr>
          <w:sz w:val="22"/>
        </w:rPr>
        <w:t>objectives,</w:t>
      </w:r>
      <w:r>
        <w:rPr>
          <w:spacing w:val="-2"/>
          <w:sz w:val="22"/>
        </w:rPr>
        <w:t> </w:t>
      </w:r>
      <w:r>
        <w:rPr>
          <w:sz w:val="22"/>
        </w:rPr>
        <w:t>functions</w:t>
      </w:r>
      <w:r>
        <w:rPr>
          <w:spacing w:val="-3"/>
          <w:sz w:val="22"/>
        </w:rPr>
        <w:t> </w:t>
      </w:r>
      <w:r>
        <w:rPr>
          <w:sz w:val="22"/>
        </w:rPr>
        <w:t>and responsibilities which are described in the </w:t>
      </w:r>
      <w:r>
        <w:rPr>
          <w:i/>
          <w:sz w:val="22"/>
        </w:rPr>
        <w:t>Energy Safe Victoria Act 2005, </w:t>
      </w:r>
      <w:r>
        <w:rPr>
          <w:sz w:val="22"/>
        </w:rPr>
        <w:t>the </w:t>
      </w:r>
      <w:r>
        <w:rPr>
          <w:i/>
          <w:sz w:val="22"/>
        </w:rPr>
        <w:t>Electricity Safety</w:t>
      </w:r>
      <w:r>
        <w:rPr>
          <w:i/>
          <w:spacing w:val="-4"/>
          <w:sz w:val="22"/>
        </w:rPr>
        <w:t> </w:t>
      </w:r>
      <w:r>
        <w:rPr>
          <w:i/>
          <w:sz w:val="22"/>
        </w:rPr>
        <w:t>Act</w:t>
      </w:r>
      <w:r>
        <w:rPr>
          <w:i/>
          <w:spacing w:val="-3"/>
          <w:sz w:val="22"/>
        </w:rPr>
        <w:t> </w:t>
      </w:r>
      <w:r>
        <w:rPr>
          <w:i/>
          <w:sz w:val="22"/>
        </w:rPr>
        <w:t>1998,</w:t>
      </w:r>
      <w:r>
        <w:rPr>
          <w:i/>
          <w:spacing w:val="-3"/>
          <w:sz w:val="22"/>
        </w:rPr>
        <w:t> </w:t>
      </w:r>
      <w:r>
        <w:rPr>
          <w:sz w:val="22"/>
        </w:rPr>
        <w:t>the</w:t>
      </w:r>
      <w:r>
        <w:rPr>
          <w:spacing w:val="-7"/>
          <w:sz w:val="22"/>
        </w:rPr>
        <w:t> </w:t>
      </w:r>
      <w:r>
        <w:rPr>
          <w:i/>
          <w:sz w:val="22"/>
        </w:rPr>
        <w:t>Gas</w:t>
      </w:r>
      <w:r>
        <w:rPr>
          <w:i/>
          <w:spacing w:val="-4"/>
          <w:sz w:val="22"/>
        </w:rPr>
        <w:t> </w:t>
      </w:r>
      <w:r>
        <w:rPr>
          <w:i/>
          <w:sz w:val="22"/>
        </w:rPr>
        <w:t>Safety</w:t>
      </w:r>
      <w:r>
        <w:rPr>
          <w:i/>
          <w:spacing w:val="-1"/>
          <w:sz w:val="22"/>
        </w:rPr>
        <w:t> </w:t>
      </w:r>
      <w:r>
        <w:rPr>
          <w:i/>
          <w:sz w:val="22"/>
        </w:rPr>
        <w:t>Act 1997</w:t>
      </w:r>
      <w:r>
        <w:rPr>
          <w:i/>
          <w:spacing w:val="-3"/>
          <w:sz w:val="22"/>
        </w:rPr>
        <w:t> </w:t>
      </w:r>
      <w:r>
        <w:rPr>
          <w:sz w:val="22"/>
        </w:rPr>
        <w:t>and</w:t>
      </w:r>
      <w:r>
        <w:rPr>
          <w:spacing w:val="-4"/>
          <w:sz w:val="22"/>
        </w:rPr>
        <w:t> </w:t>
      </w:r>
      <w:r>
        <w:rPr>
          <w:sz w:val="22"/>
        </w:rPr>
        <w:t>the</w:t>
      </w:r>
      <w:r>
        <w:rPr>
          <w:spacing w:val="-4"/>
          <w:sz w:val="22"/>
        </w:rPr>
        <w:t> </w:t>
      </w:r>
      <w:r>
        <w:rPr>
          <w:i/>
          <w:sz w:val="22"/>
        </w:rPr>
        <w:t>Pipelines</w:t>
      </w:r>
      <w:r>
        <w:rPr>
          <w:i/>
          <w:spacing w:val="-1"/>
          <w:sz w:val="22"/>
        </w:rPr>
        <w:t> </w:t>
      </w:r>
      <w:r>
        <w:rPr>
          <w:i/>
          <w:sz w:val="22"/>
        </w:rPr>
        <w:t>Act 2005</w:t>
      </w:r>
      <w:r>
        <w:rPr>
          <w:i/>
          <w:spacing w:val="-3"/>
          <w:sz w:val="22"/>
        </w:rPr>
        <w:t> </w:t>
      </w:r>
      <w:r>
        <w:rPr>
          <w:sz w:val="22"/>
        </w:rPr>
        <w:t>and</w:t>
      </w:r>
      <w:r>
        <w:rPr>
          <w:spacing w:val="-4"/>
          <w:sz w:val="22"/>
        </w:rPr>
        <w:t> </w:t>
      </w:r>
      <w:r>
        <w:rPr>
          <w:sz w:val="22"/>
        </w:rPr>
        <w:t>the</w:t>
      </w:r>
      <w:r>
        <w:rPr>
          <w:spacing w:val="-2"/>
          <w:sz w:val="22"/>
        </w:rPr>
        <w:t> </w:t>
      </w:r>
      <w:r>
        <w:rPr>
          <w:sz w:val="22"/>
        </w:rPr>
        <w:t>corresponding regulations. ESV operates within, and enforces compliance with, this legislation and can prosecute breaches of these safety Acts.</w:t>
      </w:r>
    </w:p>
    <w:p>
      <w:pPr>
        <w:spacing w:after="0" w:line="288" w:lineRule="auto"/>
        <w:jc w:val="left"/>
        <w:rPr>
          <w:sz w:val="22"/>
        </w:rPr>
        <w:sectPr>
          <w:pgSz w:w="11910" w:h="16840"/>
          <w:pgMar w:header="887" w:footer="1243" w:top="1080" w:bottom="1460" w:left="840" w:right="820"/>
        </w:sectPr>
      </w:pPr>
    </w:p>
    <w:p>
      <w:pPr>
        <w:pStyle w:val="BodyText"/>
        <w:rPr>
          <w:sz w:val="20"/>
        </w:rPr>
      </w:pPr>
    </w:p>
    <w:p>
      <w:pPr>
        <w:pStyle w:val="BodyText"/>
        <w:rPr>
          <w:sz w:val="20"/>
        </w:rPr>
      </w:pPr>
    </w:p>
    <w:p>
      <w:pPr>
        <w:pStyle w:val="BodyText"/>
        <w:rPr>
          <w:sz w:val="20"/>
        </w:rPr>
      </w:pPr>
    </w:p>
    <w:p>
      <w:pPr>
        <w:pStyle w:val="BodyText"/>
        <w:spacing w:before="3"/>
        <w:rPr>
          <w:sz w:val="23"/>
        </w:rPr>
      </w:pPr>
    </w:p>
    <w:p>
      <w:pPr>
        <w:pStyle w:val="Heading7"/>
        <w:ind w:left="550"/>
      </w:pPr>
      <w:r>
        <w:rPr/>
        <mc:AlternateContent>
          <mc:Choice Requires="wps">
            <w:drawing>
              <wp:anchor distT="0" distB="0" distL="0" distR="0" allowOverlap="1" layoutInCell="1" locked="0" behindDoc="1" simplePos="0" relativeHeight="482691584">
                <wp:simplePos x="0" y="0"/>
                <wp:positionH relativeFrom="page">
                  <wp:posOffset>813816</wp:posOffset>
                </wp:positionH>
                <wp:positionV relativeFrom="paragraph">
                  <wp:posOffset>-152680</wp:posOffset>
                </wp:positionV>
                <wp:extent cx="6306185" cy="5597525"/>
                <wp:effectExtent l="0" t="0" r="0" b="0"/>
                <wp:wrapNone/>
                <wp:docPr id="62" name="Graphic 62"/>
                <wp:cNvGraphicFramePr>
                  <a:graphicFrameLocks/>
                </wp:cNvGraphicFramePr>
                <a:graphic>
                  <a:graphicData uri="http://schemas.microsoft.com/office/word/2010/wordprocessingShape">
                    <wps:wsp>
                      <wps:cNvPr id="62" name="Graphic 62"/>
                      <wps:cNvSpPr/>
                      <wps:spPr>
                        <a:xfrm>
                          <a:off x="0" y="0"/>
                          <a:ext cx="6306185" cy="5597525"/>
                        </a:xfrm>
                        <a:custGeom>
                          <a:avLst/>
                          <a:gdLst/>
                          <a:ahLst/>
                          <a:cxnLst/>
                          <a:rect l="l" t="t" r="r" b="b"/>
                          <a:pathLst>
                            <a:path w="6306185" h="5597525">
                              <a:moveTo>
                                <a:pt x="6306058" y="0"/>
                              </a:moveTo>
                              <a:lnTo>
                                <a:pt x="0" y="0"/>
                              </a:lnTo>
                              <a:lnTo>
                                <a:pt x="0" y="5597017"/>
                              </a:lnTo>
                              <a:lnTo>
                                <a:pt x="6306058" y="5597017"/>
                              </a:lnTo>
                              <a:lnTo>
                                <a:pt x="6306058" y="0"/>
                              </a:lnTo>
                              <a:close/>
                            </a:path>
                          </a:pathLst>
                        </a:custGeom>
                        <a:solidFill>
                          <a:srgbClr val="CDEBEB"/>
                        </a:solidFill>
                      </wps:spPr>
                      <wps:bodyPr wrap="square" lIns="0" tIns="0" rIns="0" bIns="0" rtlCol="0">
                        <a:prstTxWarp prst="textNoShape">
                          <a:avLst/>
                        </a:prstTxWarp>
                        <a:noAutofit/>
                      </wps:bodyPr>
                    </wps:wsp>
                  </a:graphicData>
                </a:graphic>
              </wp:anchor>
            </w:drawing>
          </mc:Choice>
          <mc:Fallback>
            <w:pict>
              <v:rect style="position:absolute;margin-left:64.080002pt;margin-top:-12.022102pt;width:496.54pt;height:440.71pt;mso-position-horizontal-relative:page;mso-position-vertical-relative:paragraph;z-index:-20624896" id="docshape55" filled="true" fillcolor="#cdebeb" stroked="false">
                <v:fill type="solid"/>
                <w10:wrap type="none"/>
              </v:rect>
            </w:pict>
          </mc:Fallback>
        </mc:AlternateContent>
      </w:r>
      <w:r>
        <w:rPr/>
        <w:t>Box</w:t>
      </w:r>
      <w:r>
        <w:rPr>
          <w:spacing w:val="-3"/>
        </w:rPr>
        <w:t> </w:t>
      </w:r>
      <w:r>
        <w:rPr/>
        <w:t>1:</w:t>
      </w:r>
      <w:r>
        <w:rPr>
          <w:spacing w:val="-1"/>
        </w:rPr>
        <w:t> </w:t>
      </w:r>
      <w:r>
        <w:rPr/>
        <w:t>ESV’s</w:t>
      </w:r>
      <w:r>
        <w:rPr>
          <w:spacing w:val="-3"/>
        </w:rPr>
        <w:t> </w:t>
      </w:r>
      <w:r>
        <w:rPr>
          <w:spacing w:val="-2"/>
        </w:rPr>
        <w:t>objectives</w:t>
      </w:r>
    </w:p>
    <w:p>
      <w:pPr>
        <w:pStyle w:val="BodyText"/>
        <w:spacing w:before="4"/>
        <w:rPr>
          <w:b/>
          <w:sz w:val="25"/>
        </w:rPr>
      </w:pPr>
    </w:p>
    <w:p>
      <w:pPr>
        <w:spacing w:before="1"/>
        <w:ind w:left="550" w:right="0" w:firstLine="0"/>
        <w:jc w:val="left"/>
        <w:rPr>
          <w:sz w:val="22"/>
        </w:rPr>
      </w:pPr>
      <w:r>
        <w:rPr>
          <w:sz w:val="22"/>
        </w:rPr>
        <w:t>The</w:t>
      </w:r>
      <w:r>
        <w:rPr>
          <w:spacing w:val="-5"/>
          <w:sz w:val="22"/>
        </w:rPr>
        <w:t> </w:t>
      </w:r>
      <w:r>
        <w:rPr>
          <w:sz w:val="22"/>
        </w:rPr>
        <w:t>objectives</w:t>
      </w:r>
      <w:r>
        <w:rPr>
          <w:spacing w:val="-3"/>
          <w:sz w:val="22"/>
        </w:rPr>
        <w:t> </w:t>
      </w:r>
      <w:r>
        <w:rPr>
          <w:sz w:val="22"/>
        </w:rPr>
        <w:t>of</w:t>
      </w:r>
      <w:r>
        <w:rPr>
          <w:spacing w:val="-1"/>
          <w:sz w:val="22"/>
        </w:rPr>
        <w:t> </w:t>
      </w:r>
      <w:r>
        <w:rPr>
          <w:sz w:val="22"/>
        </w:rPr>
        <w:t>ESV</w:t>
      </w:r>
      <w:r>
        <w:rPr>
          <w:spacing w:val="-3"/>
          <w:sz w:val="22"/>
        </w:rPr>
        <w:t> </w:t>
      </w:r>
      <w:r>
        <w:rPr>
          <w:sz w:val="22"/>
        </w:rPr>
        <w:t>as</w:t>
      </w:r>
      <w:r>
        <w:rPr>
          <w:spacing w:val="-2"/>
          <w:sz w:val="22"/>
        </w:rPr>
        <w:t> </w:t>
      </w:r>
      <w:r>
        <w:rPr>
          <w:sz w:val="22"/>
        </w:rPr>
        <w:t>stated</w:t>
      </w:r>
      <w:r>
        <w:rPr>
          <w:spacing w:val="-3"/>
          <w:sz w:val="22"/>
        </w:rPr>
        <w:t> </w:t>
      </w:r>
      <w:r>
        <w:rPr>
          <w:sz w:val="22"/>
        </w:rPr>
        <w:t>in</w:t>
      </w:r>
      <w:r>
        <w:rPr>
          <w:spacing w:val="-5"/>
          <w:sz w:val="22"/>
        </w:rPr>
        <w:t> </w:t>
      </w:r>
      <w:r>
        <w:rPr>
          <w:sz w:val="22"/>
        </w:rPr>
        <w:t>the</w:t>
      </w:r>
      <w:r>
        <w:rPr>
          <w:spacing w:val="-3"/>
          <w:sz w:val="22"/>
        </w:rPr>
        <w:t> </w:t>
      </w:r>
      <w:r>
        <w:rPr>
          <w:i/>
          <w:sz w:val="22"/>
        </w:rPr>
        <w:t>Electricity</w:t>
      </w:r>
      <w:r>
        <w:rPr>
          <w:i/>
          <w:spacing w:val="-5"/>
          <w:sz w:val="22"/>
        </w:rPr>
        <w:t> </w:t>
      </w:r>
      <w:r>
        <w:rPr>
          <w:i/>
          <w:sz w:val="22"/>
        </w:rPr>
        <w:t>Safety</w:t>
      </w:r>
      <w:r>
        <w:rPr>
          <w:i/>
          <w:spacing w:val="-5"/>
          <w:sz w:val="22"/>
        </w:rPr>
        <w:t> </w:t>
      </w:r>
      <w:r>
        <w:rPr>
          <w:i/>
          <w:sz w:val="22"/>
        </w:rPr>
        <w:t>Act</w:t>
      </w:r>
      <w:r>
        <w:rPr>
          <w:i/>
          <w:spacing w:val="-4"/>
          <w:sz w:val="22"/>
        </w:rPr>
        <w:t> </w:t>
      </w:r>
      <w:r>
        <w:rPr>
          <w:i/>
          <w:sz w:val="22"/>
        </w:rPr>
        <w:t>1998</w:t>
      </w:r>
      <w:r>
        <w:rPr>
          <w:i/>
          <w:spacing w:val="-1"/>
          <w:sz w:val="22"/>
        </w:rPr>
        <w:t> </w:t>
      </w:r>
      <w:r>
        <w:rPr>
          <w:spacing w:val="-4"/>
          <w:sz w:val="22"/>
        </w:rPr>
        <w:t>are:</w:t>
      </w:r>
    </w:p>
    <w:p>
      <w:pPr>
        <w:pStyle w:val="BodyText"/>
        <w:spacing w:before="1"/>
        <w:rPr>
          <w:sz w:val="25"/>
        </w:rPr>
      </w:pPr>
    </w:p>
    <w:p>
      <w:pPr>
        <w:pStyle w:val="ListParagraph"/>
        <w:numPr>
          <w:ilvl w:val="0"/>
          <w:numId w:val="21"/>
        </w:numPr>
        <w:tabs>
          <w:tab w:pos="904" w:val="left" w:leader="none"/>
          <w:tab w:pos="907" w:val="left" w:leader="none"/>
        </w:tabs>
        <w:spacing w:line="288" w:lineRule="auto" w:before="1" w:after="0"/>
        <w:ind w:left="907" w:right="361" w:hanging="358"/>
        <w:jc w:val="left"/>
        <w:rPr>
          <w:sz w:val="22"/>
        </w:rPr>
      </w:pPr>
      <w:r>
        <w:rPr>
          <w:sz w:val="22"/>
        </w:rPr>
        <w:t>to</w:t>
      </w:r>
      <w:r>
        <w:rPr>
          <w:spacing w:val="-2"/>
          <w:sz w:val="22"/>
        </w:rPr>
        <w:t> </w:t>
      </w:r>
      <w:r>
        <w:rPr>
          <w:sz w:val="22"/>
        </w:rPr>
        <w:t>ensure</w:t>
      </w:r>
      <w:r>
        <w:rPr>
          <w:spacing w:val="-4"/>
          <w:sz w:val="22"/>
        </w:rPr>
        <w:t> </w:t>
      </w:r>
      <w:r>
        <w:rPr>
          <w:sz w:val="22"/>
        </w:rPr>
        <w:t>the</w:t>
      </w:r>
      <w:r>
        <w:rPr>
          <w:spacing w:val="-2"/>
          <w:sz w:val="22"/>
        </w:rPr>
        <w:t> </w:t>
      </w:r>
      <w:r>
        <w:rPr>
          <w:sz w:val="22"/>
        </w:rPr>
        <w:t>electrical</w:t>
      </w:r>
      <w:r>
        <w:rPr>
          <w:spacing w:val="-3"/>
          <w:sz w:val="22"/>
        </w:rPr>
        <w:t> </w:t>
      </w:r>
      <w:r>
        <w:rPr>
          <w:sz w:val="22"/>
        </w:rPr>
        <w:t>safety</w:t>
      </w:r>
      <w:r>
        <w:rPr>
          <w:spacing w:val="-3"/>
          <w:sz w:val="22"/>
        </w:rPr>
        <w:t> </w:t>
      </w:r>
      <w:r>
        <w:rPr>
          <w:sz w:val="22"/>
        </w:rPr>
        <w:t>of electrical</w:t>
      </w:r>
      <w:r>
        <w:rPr>
          <w:spacing w:val="-5"/>
          <w:sz w:val="22"/>
        </w:rPr>
        <w:t> </w:t>
      </w:r>
      <w:r>
        <w:rPr>
          <w:sz w:val="22"/>
        </w:rPr>
        <w:t>generation,</w:t>
      </w:r>
      <w:r>
        <w:rPr>
          <w:spacing w:val="-3"/>
          <w:sz w:val="22"/>
        </w:rPr>
        <w:t> </w:t>
      </w:r>
      <w:r>
        <w:rPr>
          <w:sz w:val="22"/>
        </w:rPr>
        <w:t>transmission</w:t>
      </w:r>
      <w:r>
        <w:rPr>
          <w:spacing w:val="-2"/>
          <w:sz w:val="22"/>
        </w:rPr>
        <w:t> </w:t>
      </w:r>
      <w:r>
        <w:rPr>
          <w:sz w:val="22"/>
        </w:rPr>
        <w:t>and</w:t>
      </w:r>
      <w:r>
        <w:rPr>
          <w:spacing w:val="-4"/>
          <w:sz w:val="22"/>
        </w:rPr>
        <w:t> </w:t>
      </w:r>
      <w:r>
        <w:rPr>
          <w:sz w:val="22"/>
        </w:rPr>
        <w:t>distribution</w:t>
      </w:r>
      <w:r>
        <w:rPr>
          <w:spacing w:val="-4"/>
          <w:sz w:val="22"/>
        </w:rPr>
        <w:t> </w:t>
      </w:r>
      <w:r>
        <w:rPr>
          <w:sz w:val="22"/>
        </w:rPr>
        <w:t>systems, electrical installations and electrical equipment;</w:t>
      </w:r>
    </w:p>
    <w:p>
      <w:pPr>
        <w:pStyle w:val="BodyText"/>
        <w:spacing w:before="9"/>
        <w:rPr>
          <w:sz w:val="20"/>
        </w:rPr>
      </w:pPr>
    </w:p>
    <w:p>
      <w:pPr>
        <w:pStyle w:val="ListParagraph"/>
        <w:numPr>
          <w:ilvl w:val="0"/>
          <w:numId w:val="21"/>
        </w:numPr>
        <w:tabs>
          <w:tab w:pos="905" w:val="left" w:leader="none"/>
        </w:tabs>
        <w:spacing w:line="240" w:lineRule="auto" w:before="1" w:after="0"/>
        <w:ind w:left="905" w:right="0" w:hanging="355"/>
        <w:jc w:val="left"/>
        <w:rPr>
          <w:sz w:val="22"/>
        </w:rPr>
      </w:pPr>
      <w:r>
        <w:rPr>
          <w:sz w:val="22"/>
        </w:rPr>
        <w:t>to</w:t>
      </w:r>
      <w:r>
        <w:rPr>
          <w:spacing w:val="-7"/>
          <w:sz w:val="22"/>
        </w:rPr>
        <w:t> </w:t>
      </w:r>
      <w:r>
        <w:rPr>
          <w:sz w:val="22"/>
        </w:rPr>
        <w:t>control</w:t>
      </w:r>
      <w:r>
        <w:rPr>
          <w:spacing w:val="-6"/>
          <w:sz w:val="22"/>
        </w:rPr>
        <w:t> </w:t>
      </w:r>
      <w:r>
        <w:rPr>
          <w:sz w:val="22"/>
        </w:rPr>
        <w:t>the</w:t>
      </w:r>
      <w:r>
        <w:rPr>
          <w:spacing w:val="-6"/>
          <w:sz w:val="22"/>
        </w:rPr>
        <w:t> </w:t>
      </w:r>
      <w:r>
        <w:rPr>
          <w:sz w:val="22"/>
        </w:rPr>
        <w:t>electrical</w:t>
      </w:r>
      <w:r>
        <w:rPr>
          <w:spacing w:val="-7"/>
          <w:sz w:val="22"/>
        </w:rPr>
        <w:t> </w:t>
      </w:r>
      <w:r>
        <w:rPr>
          <w:sz w:val="22"/>
        </w:rPr>
        <w:t>safety</w:t>
      </w:r>
      <w:r>
        <w:rPr>
          <w:spacing w:val="-5"/>
          <w:sz w:val="22"/>
        </w:rPr>
        <w:t> </w:t>
      </w:r>
      <w:r>
        <w:rPr>
          <w:sz w:val="22"/>
        </w:rPr>
        <w:t>standards</w:t>
      </w:r>
      <w:r>
        <w:rPr>
          <w:spacing w:val="-6"/>
          <w:sz w:val="22"/>
        </w:rPr>
        <w:t> </w:t>
      </w:r>
      <w:r>
        <w:rPr>
          <w:sz w:val="22"/>
        </w:rPr>
        <w:t>of</w:t>
      </w:r>
      <w:r>
        <w:rPr>
          <w:spacing w:val="-2"/>
          <w:sz w:val="22"/>
        </w:rPr>
        <w:t> </w:t>
      </w:r>
      <w:r>
        <w:rPr>
          <w:sz w:val="22"/>
        </w:rPr>
        <w:t>electrical</w:t>
      </w:r>
      <w:r>
        <w:rPr>
          <w:spacing w:val="-5"/>
          <w:sz w:val="22"/>
        </w:rPr>
        <w:t> </w:t>
      </w:r>
      <w:r>
        <w:rPr>
          <w:sz w:val="22"/>
        </w:rPr>
        <w:t>work</w:t>
      </w:r>
      <w:r>
        <w:rPr>
          <w:spacing w:val="-2"/>
          <w:sz w:val="22"/>
        </w:rPr>
        <w:t> </w:t>
      </w:r>
      <w:r>
        <w:rPr>
          <w:sz w:val="22"/>
        </w:rPr>
        <w:t>carried</w:t>
      </w:r>
      <w:r>
        <w:rPr>
          <w:spacing w:val="-6"/>
          <w:sz w:val="22"/>
        </w:rPr>
        <w:t> </w:t>
      </w:r>
      <w:r>
        <w:rPr>
          <w:sz w:val="22"/>
        </w:rPr>
        <w:t>out</w:t>
      </w:r>
      <w:r>
        <w:rPr>
          <w:spacing w:val="-5"/>
          <w:sz w:val="22"/>
        </w:rPr>
        <w:t> </w:t>
      </w:r>
      <w:r>
        <w:rPr>
          <w:sz w:val="22"/>
        </w:rPr>
        <w:t>by</w:t>
      </w:r>
      <w:r>
        <w:rPr>
          <w:spacing w:val="-5"/>
          <w:sz w:val="22"/>
        </w:rPr>
        <w:t> </w:t>
      </w:r>
      <w:r>
        <w:rPr>
          <w:sz w:val="22"/>
        </w:rPr>
        <w:t>electrical</w:t>
      </w:r>
      <w:r>
        <w:rPr>
          <w:spacing w:val="-5"/>
          <w:sz w:val="22"/>
        </w:rPr>
        <w:t> </w:t>
      </w:r>
      <w:r>
        <w:rPr>
          <w:spacing w:val="-2"/>
          <w:sz w:val="22"/>
        </w:rPr>
        <w:t>workers;</w:t>
      </w:r>
    </w:p>
    <w:p>
      <w:pPr>
        <w:pStyle w:val="BodyText"/>
        <w:spacing w:before="4"/>
        <w:rPr>
          <w:sz w:val="25"/>
        </w:rPr>
      </w:pPr>
    </w:p>
    <w:p>
      <w:pPr>
        <w:pStyle w:val="ListParagraph"/>
        <w:numPr>
          <w:ilvl w:val="0"/>
          <w:numId w:val="21"/>
        </w:numPr>
        <w:tabs>
          <w:tab w:pos="905" w:val="left" w:leader="none"/>
          <w:tab w:pos="907" w:val="left" w:leader="none"/>
        </w:tabs>
        <w:spacing w:line="288" w:lineRule="auto" w:before="0" w:after="0"/>
        <w:ind w:left="907" w:right="642" w:hanging="358"/>
        <w:jc w:val="left"/>
        <w:rPr>
          <w:sz w:val="22"/>
        </w:rPr>
      </w:pPr>
      <w:r>
        <w:rPr>
          <w:sz w:val="22"/>
        </w:rPr>
        <w:t>to</w:t>
      </w:r>
      <w:r>
        <w:rPr>
          <w:spacing w:val="-3"/>
          <w:sz w:val="22"/>
        </w:rPr>
        <w:t> </w:t>
      </w:r>
      <w:r>
        <w:rPr>
          <w:sz w:val="22"/>
        </w:rPr>
        <w:t>promote</w:t>
      </w:r>
      <w:r>
        <w:rPr>
          <w:spacing w:val="-3"/>
          <w:sz w:val="22"/>
        </w:rPr>
        <w:t> </w:t>
      </w:r>
      <w:r>
        <w:rPr>
          <w:sz w:val="22"/>
        </w:rPr>
        <w:t>awareness</w:t>
      </w:r>
      <w:r>
        <w:rPr>
          <w:spacing w:val="-5"/>
          <w:sz w:val="22"/>
        </w:rPr>
        <w:t> </w:t>
      </w:r>
      <w:r>
        <w:rPr>
          <w:sz w:val="22"/>
        </w:rPr>
        <w:t>of</w:t>
      </w:r>
      <w:r>
        <w:rPr>
          <w:spacing w:val="-1"/>
          <w:sz w:val="22"/>
        </w:rPr>
        <w:t> </w:t>
      </w:r>
      <w:r>
        <w:rPr>
          <w:sz w:val="22"/>
        </w:rPr>
        <w:t>energy</w:t>
      </w:r>
      <w:r>
        <w:rPr>
          <w:spacing w:val="-5"/>
          <w:sz w:val="22"/>
        </w:rPr>
        <w:t> </w:t>
      </w:r>
      <w:r>
        <w:rPr>
          <w:sz w:val="22"/>
        </w:rPr>
        <w:t>efficiency</w:t>
      </w:r>
      <w:r>
        <w:rPr>
          <w:spacing w:val="-5"/>
          <w:sz w:val="22"/>
        </w:rPr>
        <w:t> </w:t>
      </w:r>
      <w:r>
        <w:rPr>
          <w:sz w:val="22"/>
        </w:rPr>
        <w:t>through</w:t>
      </w:r>
      <w:r>
        <w:rPr>
          <w:spacing w:val="-3"/>
          <w:sz w:val="22"/>
        </w:rPr>
        <w:t> </w:t>
      </w:r>
      <w:r>
        <w:rPr>
          <w:sz w:val="22"/>
        </w:rPr>
        <w:t>energy</w:t>
      </w:r>
      <w:r>
        <w:rPr>
          <w:spacing w:val="-5"/>
          <w:sz w:val="22"/>
        </w:rPr>
        <w:t> </w:t>
      </w:r>
      <w:r>
        <w:rPr>
          <w:sz w:val="22"/>
        </w:rPr>
        <w:t>efficiency</w:t>
      </w:r>
      <w:r>
        <w:rPr>
          <w:spacing w:val="-5"/>
          <w:sz w:val="22"/>
        </w:rPr>
        <w:t> </w:t>
      </w:r>
      <w:r>
        <w:rPr>
          <w:sz w:val="22"/>
        </w:rPr>
        <w:t>labelling</w:t>
      </w:r>
      <w:r>
        <w:rPr>
          <w:spacing w:val="-1"/>
          <w:sz w:val="22"/>
        </w:rPr>
        <w:t> </w:t>
      </w:r>
      <w:r>
        <w:rPr>
          <w:sz w:val="22"/>
        </w:rPr>
        <w:t>of</w:t>
      </w:r>
      <w:r>
        <w:rPr>
          <w:spacing w:val="-1"/>
          <w:sz w:val="22"/>
        </w:rPr>
        <w:t> </w:t>
      </w:r>
      <w:r>
        <w:rPr>
          <w:sz w:val="22"/>
        </w:rPr>
        <w:t>electrical equipment and energy efficiency regulation of electrical equipment;</w:t>
      </w:r>
    </w:p>
    <w:p>
      <w:pPr>
        <w:pStyle w:val="BodyText"/>
        <w:spacing w:before="10"/>
        <w:rPr>
          <w:sz w:val="20"/>
        </w:rPr>
      </w:pPr>
    </w:p>
    <w:p>
      <w:pPr>
        <w:pStyle w:val="ListParagraph"/>
        <w:numPr>
          <w:ilvl w:val="0"/>
          <w:numId w:val="21"/>
        </w:numPr>
        <w:tabs>
          <w:tab w:pos="905" w:val="left" w:leader="none"/>
        </w:tabs>
        <w:spacing w:line="240" w:lineRule="auto" w:before="0" w:after="0"/>
        <w:ind w:left="905" w:right="0" w:hanging="355"/>
        <w:jc w:val="left"/>
        <w:rPr>
          <w:sz w:val="22"/>
        </w:rPr>
      </w:pPr>
      <w:r>
        <w:rPr>
          <w:sz w:val="22"/>
        </w:rPr>
        <w:t>to</w:t>
      </w:r>
      <w:r>
        <w:rPr>
          <w:spacing w:val="-8"/>
          <w:sz w:val="22"/>
        </w:rPr>
        <w:t> </w:t>
      </w:r>
      <w:r>
        <w:rPr>
          <w:sz w:val="22"/>
        </w:rPr>
        <w:t>promote</w:t>
      </w:r>
      <w:r>
        <w:rPr>
          <w:spacing w:val="-7"/>
          <w:sz w:val="22"/>
        </w:rPr>
        <w:t> </w:t>
      </w:r>
      <w:r>
        <w:rPr>
          <w:sz w:val="22"/>
        </w:rPr>
        <w:t>the</w:t>
      </w:r>
      <w:r>
        <w:rPr>
          <w:spacing w:val="-6"/>
          <w:sz w:val="22"/>
        </w:rPr>
        <w:t> </w:t>
      </w:r>
      <w:r>
        <w:rPr>
          <w:sz w:val="22"/>
        </w:rPr>
        <w:t>prevention</w:t>
      </w:r>
      <w:r>
        <w:rPr>
          <w:spacing w:val="-5"/>
          <w:sz w:val="22"/>
        </w:rPr>
        <w:t> </w:t>
      </w:r>
      <w:r>
        <w:rPr>
          <w:sz w:val="22"/>
        </w:rPr>
        <w:t>and</w:t>
      </w:r>
      <w:r>
        <w:rPr>
          <w:spacing w:val="-8"/>
          <w:sz w:val="22"/>
        </w:rPr>
        <w:t> </w:t>
      </w:r>
      <w:r>
        <w:rPr>
          <w:sz w:val="22"/>
        </w:rPr>
        <w:t>mitigation</w:t>
      </w:r>
      <w:r>
        <w:rPr>
          <w:spacing w:val="-5"/>
          <w:sz w:val="22"/>
        </w:rPr>
        <w:t> </w:t>
      </w:r>
      <w:r>
        <w:rPr>
          <w:sz w:val="22"/>
        </w:rPr>
        <w:t>of</w:t>
      </w:r>
      <w:r>
        <w:rPr>
          <w:spacing w:val="-4"/>
          <w:sz w:val="22"/>
        </w:rPr>
        <w:t> </w:t>
      </w:r>
      <w:r>
        <w:rPr>
          <w:sz w:val="22"/>
        </w:rPr>
        <w:t>bushfire</w:t>
      </w:r>
      <w:r>
        <w:rPr>
          <w:spacing w:val="-5"/>
          <w:sz w:val="22"/>
        </w:rPr>
        <w:t> </w:t>
      </w:r>
      <w:r>
        <w:rPr>
          <w:spacing w:val="-2"/>
          <w:sz w:val="22"/>
        </w:rPr>
        <w:t>danger;</w:t>
      </w:r>
    </w:p>
    <w:p>
      <w:pPr>
        <w:pStyle w:val="BodyText"/>
        <w:spacing w:before="2"/>
        <w:rPr>
          <w:sz w:val="25"/>
        </w:rPr>
      </w:pPr>
    </w:p>
    <w:p>
      <w:pPr>
        <w:pStyle w:val="ListParagraph"/>
        <w:numPr>
          <w:ilvl w:val="0"/>
          <w:numId w:val="21"/>
        </w:numPr>
        <w:tabs>
          <w:tab w:pos="904" w:val="left" w:leader="none"/>
          <w:tab w:pos="907" w:val="left" w:leader="none"/>
        </w:tabs>
        <w:spacing w:line="288" w:lineRule="auto" w:before="1" w:after="0"/>
        <w:ind w:left="907" w:right="493" w:hanging="358"/>
        <w:jc w:val="left"/>
        <w:rPr>
          <w:sz w:val="22"/>
        </w:rPr>
      </w:pPr>
      <w:r>
        <w:rPr>
          <w:sz w:val="22"/>
        </w:rPr>
        <w:t>to</w:t>
      </w:r>
      <w:r>
        <w:rPr>
          <w:spacing w:val="-2"/>
          <w:sz w:val="22"/>
        </w:rPr>
        <w:t> </w:t>
      </w:r>
      <w:r>
        <w:rPr>
          <w:sz w:val="22"/>
        </w:rPr>
        <w:t>protect underground</w:t>
      </w:r>
      <w:r>
        <w:rPr>
          <w:spacing w:val="-4"/>
          <w:sz w:val="22"/>
        </w:rPr>
        <w:t> </w:t>
      </w:r>
      <w:r>
        <w:rPr>
          <w:sz w:val="22"/>
        </w:rPr>
        <w:t>and</w:t>
      </w:r>
      <w:r>
        <w:rPr>
          <w:spacing w:val="-2"/>
          <w:sz w:val="22"/>
        </w:rPr>
        <w:t> </w:t>
      </w:r>
      <w:r>
        <w:rPr>
          <w:sz w:val="22"/>
        </w:rPr>
        <w:t>underwater</w:t>
      </w:r>
      <w:r>
        <w:rPr>
          <w:spacing w:val="-3"/>
          <w:sz w:val="22"/>
        </w:rPr>
        <w:t> </w:t>
      </w:r>
      <w:r>
        <w:rPr>
          <w:sz w:val="22"/>
        </w:rPr>
        <w:t>structures</w:t>
      </w:r>
      <w:r>
        <w:rPr>
          <w:spacing w:val="-6"/>
          <w:sz w:val="22"/>
        </w:rPr>
        <w:t> </w:t>
      </w:r>
      <w:r>
        <w:rPr>
          <w:sz w:val="22"/>
        </w:rPr>
        <w:t>from</w:t>
      </w:r>
      <w:r>
        <w:rPr>
          <w:spacing w:val="-3"/>
          <w:sz w:val="22"/>
        </w:rPr>
        <w:t> </w:t>
      </w:r>
      <w:r>
        <w:rPr>
          <w:sz w:val="22"/>
        </w:rPr>
        <w:t>corrosion</w:t>
      </w:r>
      <w:r>
        <w:rPr>
          <w:spacing w:val="-2"/>
          <w:sz w:val="22"/>
        </w:rPr>
        <w:t> </w:t>
      </w:r>
      <w:r>
        <w:rPr>
          <w:sz w:val="22"/>
        </w:rPr>
        <w:t>caused</w:t>
      </w:r>
      <w:r>
        <w:rPr>
          <w:spacing w:val="-2"/>
          <w:sz w:val="22"/>
        </w:rPr>
        <w:t> </w:t>
      </w:r>
      <w:r>
        <w:rPr>
          <w:sz w:val="22"/>
        </w:rPr>
        <w:t>by</w:t>
      </w:r>
      <w:r>
        <w:rPr>
          <w:spacing w:val="-4"/>
          <w:sz w:val="22"/>
        </w:rPr>
        <w:t> </w:t>
      </w:r>
      <w:r>
        <w:rPr>
          <w:sz w:val="22"/>
        </w:rPr>
        <w:t>stray</w:t>
      </w:r>
      <w:r>
        <w:rPr>
          <w:spacing w:val="-4"/>
          <w:sz w:val="22"/>
        </w:rPr>
        <w:t> </w:t>
      </w:r>
      <w:r>
        <w:rPr>
          <w:sz w:val="22"/>
        </w:rPr>
        <w:t>electrical currents; and</w:t>
      </w:r>
    </w:p>
    <w:p>
      <w:pPr>
        <w:pStyle w:val="BodyText"/>
        <w:spacing w:before="10"/>
        <w:rPr>
          <w:sz w:val="20"/>
        </w:rPr>
      </w:pPr>
    </w:p>
    <w:p>
      <w:pPr>
        <w:pStyle w:val="ListParagraph"/>
        <w:numPr>
          <w:ilvl w:val="0"/>
          <w:numId w:val="21"/>
        </w:numPr>
        <w:tabs>
          <w:tab w:pos="906" w:val="left" w:leader="none"/>
        </w:tabs>
        <w:spacing w:line="240" w:lineRule="auto" w:before="0" w:after="0"/>
        <w:ind w:left="906" w:right="0" w:hanging="356"/>
        <w:jc w:val="left"/>
        <w:rPr>
          <w:sz w:val="22"/>
        </w:rPr>
      </w:pPr>
      <w:r>
        <w:rPr>
          <w:sz w:val="22"/>
        </w:rPr>
        <w:t>to</w:t>
      </w:r>
      <w:r>
        <w:rPr>
          <w:spacing w:val="-9"/>
          <w:sz w:val="22"/>
        </w:rPr>
        <w:t> </w:t>
      </w:r>
      <w:r>
        <w:rPr>
          <w:sz w:val="22"/>
        </w:rPr>
        <w:t>maintain</w:t>
      </w:r>
      <w:r>
        <w:rPr>
          <w:spacing w:val="-5"/>
          <w:sz w:val="22"/>
        </w:rPr>
        <w:t> </w:t>
      </w:r>
      <w:r>
        <w:rPr>
          <w:sz w:val="22"/>
        </w:rPr>
        <w:t>public</w:t>
      </w:r>
      <w:r>
        <w:rPr>
          <w:spacing w:val="-3"/>
          <w:sz w:val="22"/>
        </w:rPr>
        <w:t> </w:t>
      </w:r>
      <w:r>
        <w:rPr>
          <w:sz w:val="22"/>
        </w:rPr>
        <w:t>and</w:t>
      </w:r>
      <w:r>
        <w:rPr>
          <w:spacing w:val="-7"/>
          <w:sz w:val="22"/>
        </w:rPr>
        <w:t> </w:t>
      </w:r>
      <w:r>
        <w:rPr>
          <w:sz w:val="22"/>
        </w:rPr>
        <w:t>industry</w:t>
      </w:r>
      <w:r>
        <w:rPr>
          <w:spacing w:val="-6"/>
          <w:sz w:val="22"/>
        </w:rPr>
        <w:t> </w:t>
      </w:r>
      <w:r>
        <w:rPr>
          <w:sz w:val="22"/>
        </w:rPr>
        <w:t>awareness</w:t>
      </w:r>
      <w:r>
        <w:rPr>
          <w:spacing w:val="-5"/>
          <w:sz w:val="22"/>
        </w:rPr>
        <w:t> </w:t>
      </w:r>
      <w:r>
        <w:rPr>
          <w:sz w:val="22"/>
        </w:rPr>
        <w:t>of</w:t>
      </w:r>
      <w:r>
        <w:rPr>
          <w:spacing w:val="-2"/>
          <w:sz w:val="22"/>
        </w:rPr>
        <w:t> </w:t>
      </w:r>
      <w:r>
        <w:rPr>
          <w:sz w:val="22"/>
        </w:rPr>
        <w:t>electrical</w:t>
      </w:r>
      <w:r>
        <w:rPr>
          <w:spacing w:val="-6"/>
          <w:sz w:val="22"/>
        </w:rPr>
        <w:t> </w:t>
      </w:r>
      <w:r>
        <w:rPr>
          <w:sz w:val="22"/>
        </w:rPr>
        <w:t>safety</w:t>
      </w:r>
      <w:r>
        <w:rPr>
          <w:spacing w:val="-5"/>
          <w:sz w:val="22"/>
        </w:rPr>
        <w:t> </w:t>
      </w:r>
      <w:r>
        <w:rPr>
          <w:spacing w:val="-2"/>
          <w:sz w:val="22"/>
        </w:rPr>
        <w:t>requirements.</w:t>
      </w:r>
    </w:p>
    <w:p>
      <w:pPr>
        <w:pStyle w:val="BodyText"/>
        <w:spacing w:before="4"/>
        <w:rPr>
          <w:sz w:val="25"/>
        </w:rPr>
      </w:pPr>
    </w:p>
    <w:p>
      <w:pPr>
        <w:spacing w:before="0"/>
        <w:ind w:left="550" w:right="0" w:firstLine="0"/>
        <w:jc w:val="left"/>
        <w:rPr>
          <w:sz w:val="22"/>
        </w:rPr>
      </w:pPr>
      <w:r>
        <w:rPr>
          <w:sz w:val="22"/>
        </w:rPr>
        <w:t>The</w:t>
      </w:r>
      <w:r>
        <w:rPr>
          <w:spacing w:val="-5"/>
          <w:sz w:val="22"/>
        </w:rPr>
        <w:t> </w:t>
      </w:r>
      <w:r>
        <w:rPr>
          <w:sz w:val="22"/>
        </w:rPr>
        <w:t>objectives</w:t>
      </w:r>
      <w:r>
        <w:rPr>
          <w:spacing w:val="-3"/>
          <w:sz w:val="22"/>
        </w:rPr>
        <w:t> </w:t>
      </w:r>
      <w:r>
        <w:rPr>
          <w:sz w:val="22"/>
        </w:rPr>
        <w:t>of</w:t>
      </w:r>
      <w:r>
        <w:rPr>
          <w:spacing w:val="-1"/>
          <w:sz w:val="22"/>
        </w:rPr>
        <w:t> </w:t>
      </w:r>
      <w:r>
        <w:rPr>
          <w:sz w:val="22"/>
        </w:rPr>
        <w:t>ESV</w:t>
      </w:r>
      <w:r>
        <w:rPr>
          <w:spacing w:val="-2"/>
          <w:sz w:val="22"/>
        </w:rPr>
        <w:t> </w:t>
      </w:r>
      <w:r>
        <w:rPr>
          <w:sz w:val="22"/>
        </w:rPr>
        <w:t>under</w:t>
      </w:r>
      <w:r>
        <w:rPr>
          <w:spacing w:val="-4"/>
          <w:sz w:val="22"/>
        </w:rPr>
        <w:t> </w:t>
      </w:r>
      <w:r>
        <w:rPr>
          <w:sz w:val="22"/>
        </w:rPr>
        <w:t>the</w:t>
      </w:r>
      <w:r>
        <w:rPr>
          <w:spacing w:val="-4"/>
          <w:sz w:val="22"/>
        </w:rPr>
        <w:t> </w:t>
      </w:r>
      <w:r>
        <w:rPr>
          <w:i/>
          <w:sz w:val="22"/>
        </w:rPr>
        <w:t>Gas</w:t>
      </w:r>
      <w:r>
        <w:rPr>
          <w:i/>
          <w:spacing w:val="-5"/>
          <w:sz w:val="22"/>
        </w:rPr>
        <w:t> </w:t>
      </w:r>
      <w:r>
        <w:rPr>
          <w:i/>
          <w:sz w:val="22"/>
        </w:rPr>
        <w:t>Safety</w:t>
      </w:r>
      <w:r>
        <w:rPr>
          <w:i/>
          <w:spacing w:val="-2"/>
          <w:sz w:val="22"/>
        </w:rPr>
        <w:t> </w:t>
      </w:r>
      <w:r>
        <w:rPr>
          <w:i/>
          <w:sz w:val="22"/>
        </w:rPr>
        <w:t>Act</w:t>
      </w:r>
      <w:r>
        <w:rPr>
          <w:i/>
          <w:spacing w:val="-4"/>
          <w:sz w:val="22"/>
        </w:rPr>
        <w:t> </w:t>
      </w:r>
      <w:r>
        <w:rPr>
          <w:i/>
          <w:sz w:val="22"/>
        </w:rPr>
        <w:t>1997</w:t>
      </w:r>
      <w:r>
        <w:rPr>
          <w:i/>
          <w:spacing w:val="-1"/>
          <w:sz w:val="22"/>
        </w:rPr>
        <w:t> </w:t>
      </w:r>
      <w:r>
        <w:rPr>
          <w:spacing w:val="-4"/>
          <w:sz w:val="22"/>
        </w:rPr>
        <w:t>are:</w:t>
      </w:r>
    </w:p>
    <w:p>
      <w:pPr>
        <w:pStyle w:val="BodyText"/>
        <w:spacing w:before="1"/>
        <w:rPr>
          <w:sz w:val="24"/>
        </w:rPr>
      </w:pPr>
    </w:p>
    <w:p>
      <w:pPr>
        <w:pStyle w:val="ListParagraph"/>
        <w:numPr>
          <w:ilvl w:val="0"/>
          <w:numId w:val="22"/>
        </w:numPr>
        <w:tabs>
          <w:tab w:pos="905" w:val="left" w:leader="none"/>
        </w:tabs>
        <w:spacing w:line="240" w:lineRule="auto" w:before="1" w:after="0"/>
        <w:ind w:left="905" w:right="0" w:hanging="355"/>
        <w:jc w:val="left"/>
        <w:rPr>
          <w:sz w:val="22"/>
        </w:rPr>
      </w:pPr>
      <w:r>
        <w:rPr>
          <w:sz w:val="22"/>
        </w:rPr>
        <w:t>to</w:t>
      </w:r>
      <w:r>
        <w:rPr>
          <w:spacing w:val="-6"/>
          <w:sz w:val="22"/>
        </w:rPr>
        <w:t> </w:t>
      </w:r>
      <w:r>
        <w:rPr>
          <w:sz w:val="22"/>
        </w:rPr>
        <w:t>ensure</w:t>
      </w:r>
      <w:r>
        <w:rPr>
          <w:spacing w:val="-7"/>
          <w:sz w:val="22"/>
        </w:rPr>
        <w:t> </w:t>
      </w:r>
      <w:r>
        <w:rPr>
          <w:sz w:val="22"/>
        </w:rPr>
        <w:t>the</w:t>
      </w:r>
      <w:r>
        <w:rPr>
          <w:spacing w:val="-7"/>
          <w:sz w:val="22"/>
        </w:rPr>
        <w:t> </w:t>
      </w:r>
      <w:r>
        <w:rPr>
          <w:sz w:val="22"/>
        </w:rPr>
        <w:t>safety</w:t>
      </w:r>
      <w:r>
        <w:rPr>
          <w:spacing w:val="-7"/>
          <w:sz w:val="22"/>
        </w:rPr>
        <w:t> </w:t>
      </w:r>
      <w:r>
        <w:rPr>
          <w:sz w:val="22"/>
        </w:rPr>
        <w:t>of</w:t>
      </w:r>
      <w:r>
        <w:rPr>
          <w:spacing w:val="-3"/>
          <w:sz w:val="22"/>
        </w:rPr>
        <w:t> </w:t>
      </w:r>
      <w:r>
        <w:rPr>
          <w:sz w:val="22"/>
        </w:rPr>
        <w:t>the</w:t>
      </w:r>
      <w:r>
        <w:rPr>
          <w:spacing w:val="-3"/>
          <w:sz w:val="22"/>
        </w:rPr>
        <w:t> </w:t>
      </w:r>
      <w:hyperlink r:id="rId38">
        <w:r>
          <w:rPr>
            <w:sz w:val="22"/>
          </w:rPr>
          <w:t>conveyance</w:t>
        </w:r>
      </w:hyperlink>
      <w:r>
        <w:rPr>
          <w:sz w:val="22"/>
        </w:rPr>
        <w:t>,</w:t>
      </w:r>
      <w:r>
        <w:rPr>
          <w:spacing w:val="-3"/>
          <w:sz w:val="22"/>
        </w:rPr>
        <w:t> </w:t>
      </w:r>
      <w:r>
        <w:rPr>
          <w:sz w:val="22"/>
        </w:rPr>
        <w:t>sale,</w:t>
      </w:r>
      <w:r>
        <w:rPr>
          <w:spacing w:val="-4"/>
          <w:sz w:val="22"/>
        </w:rPr>
        <w:t> </w:t>
      </w:r>
      <w:r>
        <w:rPr>
          <w:sz w:val="22"/>
        </w:rPr>
        <w:t>supply,</w:t>
      </w:r>
      <w:r>
        <w:rPr>
          <w:spacing w:val="-4"/>
          <w:sz w:val="22"/>
        </w:rPr>
        <w:t> </w:t>
      </w:r>
      <w:r>
        <w:rPr>
          <w:sz w:val="22"/>
        </w:rPr>
        <w:t>measurement,</w:t>
      </w:r>
      <w:r>
        <w:rPr>
          <w:spacing w:val="-6"/>
          <w:sz w:val="22"/>
        </w:rPr>
        <w:t> </w:t>
      </w:r>
      <w:r>
        <w:rPr>
          <w:sz w:val="22"/>
        </w:rPr>
        <w:t>control</w:t>
      </w:r>
      <w:r>
        <w:rPr>
          <w:spacing w:val="-6"/>
          <w:sz w:val="22"/>
        </w:rPr>
        <w:t> </w:t>
      </w:r>
      <w:r>
        <w:rPr>
          <w:sz w:val="22"/>
        </w:rPr>
        <w:t>and</w:t>
      </w:r>
      <w:r>
        <w:rPr>
          <w:spacing w:val="-5"/>
          <w:sz w:val="22"/>
        </w:rPr>
        <w:t> </w:t>
      </w:r>
      <w:r>
        <w:rPr>
          <w:sz w:val="22"/>
        </w:rPr>
        <w:t>use</w:t>
      </w:r>
      <w:r>
        <w:rPr>
          <w:spacing w:val="-5"/>
          <w:sz w:val="22"/>
        </w:rPr>
        <w:t> </w:t>
      </w:r>
      <w:r>
        <w:rPr>
          <w:sz w:val="22"/>
        </w:rPr>
        <w:t>of</w:t>
      </w:r>
      <w:r>
        <w:rPr>
          <w:spacing w:val="-6"/>
          <w:sz w:val="22"/>
        </w:rPr>
        <w:t> </w:t>
      </w:r>
      <w:r>
        <w:rPr>
          <w:spacing w:val="-4"/>
          <w:sz w:val="22"/>
        </w:rPr>
        <w:t>gas;</w:t>
      </w:r>
    </w:p>
    <w:p>
      <w:pPr>
        <w:pStyle w:val="BodyText"/>
        <w:spacing w:before="4"/>
        <w:rPr>
          <w:sz w:val="25"/>
        </w:rPr>
      </w:pPr>
    </w:p>
    <w:p>
      <w:pPr>
        <w:pStyle w:val="ListParagraph"/>
        <w:numPr>
          <w:ilvl w:val="0"/>
          <w:numId w:val="22"/>
        </w:numPr>
        <w:tabs>
          <w:tab w:pos="905" w:val="left" w:leader="none"/>
        </w:tabs>
        <w:spacing w:line="240" w:lineRule="auto" w:before="0" w:after="0"/>
        <w:ind w:left="905" w:right="0" w:hanging="355"/>
        <w:jc w:val="left"/>
        <w:rPr>
          <w:sz w:val="22"/>
        </w:rPr>
      </w:pPr>
      <w:r>
        <w:rPr>
          <w:sz w:val="22"/>
        </w:rPr>
        <w:t>to</w:t>
      </w:r>
      <w:r>
        <w:rPr>
          <w:spacing w:val="-3"/>
          <w:sz w:val="22"/>
        </w:rPr>
        <w:t> </w:t>
      </w:r>
      <w:r>
        <w:rPr>
          <w:sz w:val="22"/>
        </w:rPr>
        <w:t>control</w:t>
      </w:r>
      <w:r>
        <w:rPr>
          <w:spacing w:val="-6"/>
          <w:sz w:val="22"/>
        </w:rPr>
        <w:t> </w:t>
      </w:r>
      <w:r>
        <w:rPr>
          <w:sz w:val="22"/>
        </w:rPr>
        <w:t>the</w:t>
      </w:r>
      <w:r>
        <w:rPr>
          <w:spacing w:val="-5"/>
          <w:sz w:val="22"/>
        </w:rPr>
        <w:t> </w:t>
      </w:r>
      <w:r>
        <w:rPr>
          <w:sz w:val="22"/>
        </w:rPr>
        <w:t>safety</w:t>
      </w:r>
      <w:r>
        <w:rPr>
          <w:spacing w:val="-4"/>
          <w:sz w:val="22"/>
        </w:rPr>
        <w:t> </w:t>
      </w:r>
      <w:r>
        <w:rPr>
          <w:sz w:val="22"/>
        </w:rPr>
        <w:t>standards</w:t>
      </w:r>
      <w:r>
        <w:rPr>
          <w:spacing w:val="-3"/>
          <w:sz w:val="22"/>
        </w:rPr>
        <w:t> </w:t>
      </w:r>
      <w:r>
        <w:rPr>
          <w:sz w:val="22"/>
        </w:rPr>
        <w:t>of</w:t>
      </w:r>
      <w:r>
        <w:rPr>
          <w:spacing w:val="-2"/>
          <w:sz w:val="22"/>
        </w:rPr>
        <w:t> </w:t>
      </w:r>
      <w:hyperlink r:id="rId39">
        <w:r>
          <w:rPr>
            <w:sz w:val="22"/>
          </w:rPr>
          <w:t>gas</w:t>
        </w:r>
        <w:r>
          <w:rPr>
            <w:spacing w:val="-4"/>
            <w:sz w:val="22"/>
          </w:rPr>
          <w:t> </w:t>
        </w:r>
        <w:r>
          <w:rPr>
            <w:spacing w:val="-2"/>
            <w:sz w:val="22"/>
          </w:rPr>
          <w:t>work</w:t>
        </w:r>
      </w:hyperlink>
      <w:r>
        <w:rPr>
          <w:spacing w:val="-2"/>
          <w:sz w:val="22"/>
        </w:rPr>
        <w:t>;</w:t>
      </w:r>
    </w:p>
    <w:p>
      <w:pPr>
        <w:pStyle w:val="BodyText"/>
        <w:spacing w:before="2"/>
        <w:rPr>
          <w:sz w:val="25"/>
        </w:rPr>
      </w:pPr>
    </w:p>
    <w:p>
      <w:pPr>
        <w:pStyle w:val="ListParagraph"/>
        <w:numPr>
          <w:ilvl w:val="0"/>
          <w:numId w:val="22"/>
        </w:numPr>
        <w:tabs>
          <w:tab w:pos="906" w:val="left" w:leader="none"/>
        </w:tabs>
        <w:spacing w:line="240" w:lineRule="auto" w:before="0" w:after="0"/>
        <w:ind w:left="906" w:right="0" w:hanging="356"/>
        <w:jc w:val="left"/>
        <w:rPr>
          <w:sz w:val="22"/>
        </w:rPr>
      </w:pPr>
      <w:r>
        <w:rPr>
          <w:sz w:val="22"/>
        </w:rPr>
        <w:t>to</w:t>
      </w:r>
      <w:r>
        <w:rPr>
          <w:spacing w:val="-6"/>
          <w:sz w:val="22"/>
        </w:rPr>
        <w:t> </w:t>
      </w:r>
      <w:r>
        <w:rPr>
          <w:sz w:val="22"/>
        </w:rPr>
        <w:t>maintain</w:t>
      </w:r>
      <w:r>
        <w:rPr>
          <w:spacing w:val="-5"/>
          <w:sz w:val="22"/>
        </w:rPr>
        <w:t> </w:t>
      </w:r>
      <w:r>
        <w:rPr>
          <w:sz w:val="22"/>
        </w:rPr>
        <w:t>public</w:t>
      </w:r>
      <w:r>
        <w:rPr>
          <w:spacing w:val="-3"/>
          <w:sz w:val="22"/>
        </w:rPr>
        <w:t> </w:t>
      </w:r>
      <w:r>
        <w:rPr>
          <w:sz w:val="22"/>
        </w:rPr>
        <w:t>and</w:t>
      </w:r>
      <w:r>
        <w:rPr>
          <w:spacing w:val="-6"/>
          <w:sz w:val="22"/>
        </w:rPr>
        <w:t> </w:t>
      </w:r>
      <w:r>
        <w:rPr>
          <w:sz w:val="22"/>
        </w:rPr>
        <w:t>industry</w:t>
      </w:r>
      <w:r>
        <w:rPr>
          <w:spacing w:val="-6"/>
          <w:sz w:val="22"/>
        </w:rPr>
        <w:t> </w:t>
      </w:r>
      <w:r>
        <w:rPr>
          <w:sz w:val="22"/>
        </w:rPr>
        <w:t>awareness</w:t>
      </w:r>
      <w:r>
        <w:rPr>
          <w:spacing w:val="-4"/>
          <w:sz w:val="22"/>
        </w:rPr>
        <w:t> </w:t>
      </w:r>
      <w:r>
        <w:rPr>
          <w:sz w:val="22"/>
        </w:rPr>
        <w:t>of</w:t>
      </w:r>
      <w:r>
        <w:rPr>
          <w:spacing w:val="-5"/>
          <w:sz w:val="22"/>
        </w:rPr>
        <w:t> </w:t>
      </w:r>
      <w:r>
        <w:rPr>
          <w:sz w:val="22"/>
        </w:rPr>
        <w:t>gas</w:t>
      </w:r>
      <w:r>
        <w:rPr>
          <w:spacing w:val="-7"/>
          <w:sz w:val="22"/>
        </w:rPr>
        <w:t> </w:t>
      </w:r>
      <w:r>
        <w:rPr>
          <w:sz w:val="22"/>
        </w:rPr>
        <w:t>safety</w:t>
      </w:r>
      <w:r>
        <w:rPr>
          <w:spacing w:val="-5"/>
          <w:sz w:val="22"/>
        </w:rPr>
        <w:t> </w:t>
      </w:r>
      <w:r>
        <w:rPr>
          <w:sz w:val="22"/>
        </w:rPr>
        <w:t>requirements;</w:t>
      </w:r>
      <w:r>
        <w:rPr>
          <w:spacing w:val="-5"/>
          <w:sz w:val="22"/>
        </w:rPr>
        <w:t> and</w:t>
      </w:r>
    </w:p>
    <w:p>
      <w:pPr>
        <w:pStyle w:val="BodyText"/>
        <w:spacing w:before="4"/>
        <w:rPr>
          <w:sz w:val="25"/>
        </w:rPr>
      </w:pPr>
    </w:p>
    <w:p>
      <w:pPr>
        <w:pStyle w:val="ListParagraph"/>
        <w:numPr>
          <w:ilvl w:val="0"/>
          <w:numId w:val="22"/>
        </w:numPr>
        <w:tabs>
          <w:tab w:pos="904" w:val="left" w:leader="none"/>
          <w:tab w:pos="907" w:val="left" w:leader="none"/>
        </w:tabs>
        <w:spacing w:line="288" w:lineRule="auto" w:before="1" w:after="0"/>
        <w:ind w:left="907" w:right="221" w:hanging="358"/>
        <w:jc w:val="left"/>
        <w:rPr>
          <w:sz w:val="22"/>
        </w:rPr>
      </w:pPr>
      <w:r>
        <w:rPr>
          <w:sz w:val="22"/>
        </w:rPr>
        <w:t>to promote awareness of energy efficiency through energy efficiency labelling of </w:t>
      </w:r>
      <w:hyperlink r:id="rId40">
        <w:r>
          <w:rPr>
            <w:sz w:val="22"/>
          </w:rPr>
          <w:t>gas</w:t>
        </w:r>
      </w:hyperlink>
      <w:r>
        <w:rPr>
          <w:sz w:val="22"/>
        </w:rPr>
        <w:t> </w:t>
      </w:r>
      <w:hyperlink r:id="rId40">
        <w:r>
          <w:rPr>
            <w:sz w:val="22"/>
          </w:rPr>
          <w:t>installations</w:t>
        </w:r>
      </w:hyperlink>
      <w:r>
        <w:rPr>
          <w:sz w:val="22"/>
        </w:rPr>
        <w:t>,</w:t>
      </w:r>
      <w:r>
        <w:rPr>
          <w:spacing w:val="-1"/>
          <w:sz w:val="22"/>
        </w:rPr>
        <w:t> </w:t>
      </w:r>
      <w:hyperlink r:id="rId41">
        <w:r>
          <w:rPr>
            <w:sz w:val="22"/>
          </w:rPr>
          <w:t>appliances</w:t>
        </w:r>
      </w:hyperlink>
      <w:r>
        <w:rPr>
          <w:spacing w:val="-5"/>
          <w:sz w:val="22"/>
        </w:rPr>
        <w:t> </w:t>
      </w:r>
      <w:r>
        <w:rPr>
          <w:sz w:val="22"/>
        </w:rPr>
        <w:t>and</w:t>
      </w:r>
      <w:r>
        <w:rPr>
          <w:spacing w:val="-3"/>
          <w:sz w:val="22"/>
        </w:rPr>
        <w:t> </w:t>
      </w:r>
      <w:hyperlink r:id="rId42">
        <w:r>
          <w:rPr>
            <w:sz w:val="22"/>
          </w:rPr>
          <w:t>components</w:t>
        </w:r>
      </w:hyperlink>
      <w:r>
        <w:rPr>
          <w:spacing w:val="-4"/>
          <w:sz w:val="22"/>
        </w:rPr>
        <w:t> </w:t>
      </w:r>
      <w:r>
        <w:rPr>
          <w:sz w:val="22"/>
        </w:rPr>
        <w:t>and</w:t>
      </w:r>
      <w:r>
        <w:rPr>
          <w:spacing w:val="-3"/>
          <w:sz w:val="22"/>
        </w:rPr>
        <w:t> </w:t>
      </w:r>
      <w:r>
        <w:rPr>
          <w:sz w:val="22"/>
        </w:rPr>
        <w:t>energy</w:t>
      </w:r>
      <w:r>
        <w:rPr>
          <w:spacing w:val="-5"/>
          <w:sz w:val="22"/>
        </w:rPr>
        <w:t> </w:t>
      </w:r>
      <w:r>
        <w:rPr>
          <w:sz w:val="22"/>
        </w:rPr>
        <w:t>efficiency</w:t>
      </w:r>
      <w:r>
        <w:rPr>
          <w:spacing w:val="-5"/>
          <w:sz w:val="22"/>
        </w:rPr>
        <w:t> </w:t>
      </w:r>
      <w:r>
        <w:rPr>
          <w:sz w:val="22"/>
        </w:rPr>
        <w:t>regulation</w:t>
      </w:r>
      <w:r>
        <w:rPr>
          <w:spacing w:val="-5"/>
          <w:sz w:val="22"/>
        </w:rPr>
        <w:t> </w:t>
      </w:r>
      <w:r>
        <w:rPr>
          <w:sz w:val="22"/>
        </w:rPr>
        <w:t>of</w:t>
      </w:r>
      <w:r>
        <w:rPr>
          <w:spacing w:val="-1"/>
          <w:sz w:val="22"/>
        </w:rPr>
        <w:t> </w:t>
      </w:r>
      <w:hyperlink r:id="rId40">
        <w:r>
          <w:rPr>
            <w:sz w:val="22"/>
          </w:rPr>
          <w:t>gas</w:t>
        </w:r>
        <w:r>
          <w:rPr>
            <w:spacing w:val="-3"/>
            <w:sz w:val="22"/>
          </w:rPr>
          <w:t> </w:t>
        </w:r>
        <w:r>
          <w:rPr>
            <w:sz w:val="22"/>
          </w:rPr>
          <w:t>installations</w:t>
        </w:r>
      </w:hyperlink>
      <w:r>
        <w:rPr>
          <w:sz w:val="22"/>
        </w:rPr>
        <w:t>, </w:t>
      </w:r>
      <w:hyperlink r:id="rId41">
        <w:r>
          <w:rPr>
            <w:sz w:val="22"/>
          </w:rPr>
          <w:t>appliances</w:t>
        </w:r>
      </w:hyperlink>
      <w:r>
        <w:rPr>
          <w:sz w:val="22"/>
        </w:rPr>
        <w:t> and components.</w:t>
      </w:r>
    </w:p>
    <w:p>
      <w:pPr>
        <w:spacing w:after="0" w:line="288" w:lineRule="auto"/>
        <w:jc w:val="left"/>
        <w:rPr>
          <w:sz w:val="22"/>
        </w:rPr>
        <w:sectPr>
          <w:pgSz w:w="11910" w:h="16840"/>
          <w:pgMar w:header="887" w:footer="1243" w:top="1080" w:bottom="1500" w:left="840" w:right="820"/>
        </w:sectPr>
      </w:pPr>
    </w:p>
    <w:p>
      <w:pPr>
        <w:pStyle w:val="BodyText"/>
        <w:rPr>
          <w:sz w:val="20"/>
        </w:rPr>
      </w:pPr>
    </w:p>
    <w:p>
      <w:pPr>
        <w:pStyle w:val="BodyText"/>
        <w:rPr>
          <w:sz w:val="20"/>
        </w:rPr>
      </w:pPr>
    </w:p>
    <w:p>
      <w:pPr>
        <w:pStyle w:val="BodyText"/>
        <w:rPr>
          <w:sz w:val="20"/>
        </w:rPr>
      </w:pPr>
    </w:p>
    <w:p>
      <w:pPr>
        <w:pStyle w:val="BodyText"/>
        <w:spacing w:before="9"/>
        <w:rPr>
          <w:sz w:val="25"/>
        </w:rPr>
      </w:pPr>
    </w:p>
    <w:p>
      <w:pPr>
        <w:pStyle w:val="Heading5"/>
        <w:spacing w:before="92"/>
        <w:ind w:left="2479" w:right="2526"/>
        <w:jc w:val="center"/>
        <w:rPr>
          <w:sz w:val="22"/>
        </w:rPr>
      </w:pPr>
      <w:r>
        <w:rPr>
          <w:color w:val="FFFFFF"/>
        </w:rPr>
        <w:t>The</w:t>
      </w:r>
      <w:r>
        <w:rPr>
          <w:color w:val="FFFFFF"/>
          <w:spacing w:val="-3"/>
        </w:rPr>
        <w:t> </w:t>
      </w:r>
      <w:r>
        <w:rPr>
          <w:color w:val="FFFFFF"/>
        </w:rPr>
        <w:t>objectives</w:t>
      </w:r>
      <w:r>
        <w:rPr>
          <w:color w:val="FFFFFF"/>
          <w:spacing w:val="-5"/>
        </w:rPr>
        <w:t> </w:t>
      </w:r>
      <w:r>
        <w:rPr>
          <w:color w:val="FFFFFF"/>
        </w:rPr>
        <w:t>of</w:t>
      </w:r>
      <w:r>
        <w:rPr>
          <w:color w:val="FFFFFF"/>
          <w:spacing w:val="-4"/>
        </w:rPr>
        <w:t> </w:t>
      </w:r>
      <w:r>
        <w:rPr>
          <w:color w:val="FFFFFF"/>
        </w:rPr>
        <w:t>ESV</w:t>
      </w:r>
      <w:r>
        <w:rPr>
          <w:color w:val="FFFFFF"/>
          <w:spacing w:val="-5"/>
        </w:rPr>
        <w:t> </w:t>
      </w:r>
      <w:r>
        <w:rPr>
          <w:color w:val="FFFFFF"/>
        </w:rPr>
        <w:t>are</w:t>
      </w:r>
      <w:r>
        <w:rPr>
          <w:color w:val="FFFFFF"/>
          <w:spacing w:val="-4"/>
        </w:rPr>
        <w:t> </w:t>
      </w:r>
      <w:r>
        <w:rPr>
          <w:color w:val="FFFFFF"/>
          <w:spacing w:val="-5"/>
        </w:rPr>
        <w:t>to</w:t>
      </w:r>
      <w:r>
        <w:rPr>
          <w:color w:val="FFFFFF"/>
          <w:spacing w:val="-5"/>
          <w:sz w:val="22"/>
        </w:rPr>
        <w:t>:</w:t>
      </w:r>
    </w:p>
    <w:p>
      <w:pPr>
        <w:pStyle w:val="BodyText"/>
        <w:rPr>
          <w:b/>
          <w:sz w:val="20"/>
        </w:rPr>
      </w:pPr>
    </w:p>
    <w:p>
      <w:pPr>
        <w:pStyle w:val="BodyText"/>
        <w:spacing w:before="8"/>
        <w:rPr>
          <w:b/>
          <w:sz w:val="21"/>
        </w:rPr>
      </w:pPr>
    </w:p>
    <w:p>
      <w:pPr>
        <w:spacing w:after="0"/>
        <w:rPr>
          <w:sz w:val="21"/>
        </w:rPr>
        <w:sectPr>
          <w:pgSz w:w="11910" w:h="16840"/>
          <w:pgMar w:header="887" w:footer="1243" w:top="1080" w:bottom="1500" w:left="840" w:right="820"/>
        </w:sectPr>
      </w:pPr>
    </w:p>
    <w:p>
      <w:pPr>
        <w:spacing w:line="240" w:lineRule="auto" w:before="114"/>
        <w:ind w:left="344" w:right="0" w:firstLine="0"/>
        <w:jc w:val="left"/>
        <w:rPr>
          <w:b/>
          <w:sz w:val="28"/>
        </w:rPr>
      </w:pPr>
      <w:r>
        <w:rPr>
          <w:b/>
          <w:color w:val="FFFFFF"/>
          <w:spacing w:val="-2"/>
          <w:sz w:val="28"/>
        </w:rPr>
        <w:t>Promote Energy Awareness:</w:t>
      </w:r>
    </w:p>
    <w:p>
      <w:pPr>
        <w:spacing w:before="2"/>
        <w:ind w:left="344" w:right="0" w:firstLine="0"/>
        <w:jc w:val="left"/>
        <w:rPr>
          <w:sz w:val="20"/>
        </w:rPr>
      </w:pPr>
      <w:r>
        <w:rPr>
          <w:color w:val="FFFFFF"/>
          <w:sz w:val="20"/>
        </w:rPr>
        <w:t>Promote</w:t>
      </w:r>
      <w:r>
        <w:rPr>
          <w:color w:val="FFFFFF"/>
          <w:spacing w:val="-14"/>
          <w:sz w:val="20"/>
        </w:rPr>
        <w:t> </w:t>
      </w:r>
      <w:r>
        <w:rPr>
          <w:color w:val="FFFFFF"/>
          <w:sz w:val="20"/>
        </w:rPr>
        <w:t>awareness</w:t>
      </w:r>
      <w:r>
        <w:rPr>
          <w:color w:val="FFFFFF"/>
          <w:spacing w:val="-14"/>
          <w:sz w:val="20"/>
        </w:rPr>
        <w:t> </w:t>
      </w:r>
      <w:r>
        <w:rPr>
          <w:color w:val="FFFFFF"/>
          <w:sz w:val="20"/>
        </w:rPr>
        <w:t>of energy efficiency through energy efficiency</w:t>
      </w:r>
      <w:r>
        <w:rPr>
          <w:color w:val="FFFFFF"/>
          <w:spacing w:val="-14"/>
          <w:sz w:val="20"/>
        </w:rPr>
        <w:t> </w:t>
      </w:r>
      <w:r>
        <w:rPr>
          <w:color w:val="FFFFFF"/>
          <w:sz w:val="20"/>
        </w:rPr>
        <w:t>labelling</w:t>
      </w:r>
      <w:r>
        <w:rPr>
          <w:color w:val="FFFFFF"/>
          <w:spacing w:val="-14"/>
          <w:sz w:val="20"/>
        </w:rPr>
        <w:t> </w:t>
      </w:r>
      <w:r>
        <w:rPr>
          <w:color w:val="FFFFFF"/>
          <w:sz w:val="20"/>
        </w:rPr>
        <w:t>and regulation of electrical equipment and gas installations; and maintain public and industry awareness of electrical and gas safety requirements.</w:t>
      </w:r>
    </w:p>
    <w:p>
      <w:pPr>
        <w:pStyle w:val="Heading5"/>
        <w:spacing w:before="114"/>
        <w:ind w:left="344" w:right="119"/>
      </w:pPr>
      <w:r>
        <w:rPr>
          <w:b w:val="0"/>
        </w:rPr>
        <w:br w:type="column"/>
      </w:r>
      <w:r>
        <w:rPr>
          <w:color w:val="FFFFFF"/>
          <w:spacing w:val="-2"/>
        </w:rPr>
        <w:t>Ensure Electrical Safety:</w:t>
      </w:r>
    </w:p>
    <w:p>
      <w:pPr>
        <w:spacing w:before="2"/>
        <w:ind w:left="344" w:right="0" w:firstLine="0"/>
        <w:jc w:val="left"/>
        <w:rPr>
          <w:sz w:val="20"/>
        </w:rPr>
      </w:pPr>
      <w:r>
        <w:rPr>
          <w:color w:val="FFFFFF"/>
          <w:sz w:val="20"/>
        </w:rPr>
        <w:t>Ensure electrical safety of electrical generation, transmission and distribution systems, electrical installations</w:t>
      </w:r>
      <w:r>
        <w:rPr>
          <w:color w:val="FFFFFF"/>
          <w:spacing w:val="40"/>
          <w:sz w:val="20"/>
        </w:rPr>
        <w:t> </w:t>
      </w:r>
      <w:r>
        <w:rPr>
          <w:color w:val="FFFFFF"/>
          <w:sz w:val="20"/>
        </w:rPr>
        <w:t>and equipment; control the electrical safety standards</w:t>
      </w:r>
      <w:r>
        <w:rPr>
          <w:color w:val="FFFFFF"/>
          <w:spacing w:val="-14"/>
          <w:sz w:val="20"/>
        </w:rPr>
        <w:t> </w:t>
      </w:r>
      <w:r>
        <w:rPr>
          <w:color w:val="FFFFFF"/>
          <w:sz w:val="20"/>
        </w:rPr>
        <w:t>of</w:t>
      </w:r>
      <w:r>
        <w:rPr>
          <w:color w:val="FFFFFF"/>
          <w:spacing w:val="-14"/>
          <w:sz w:val="20"/>
        </w:rPr>
        <w:t> </w:t>
      </w:r>
      <w:r>
        <w:rPr>
          <w:color w:val="FFFFFF"/>
          <w:sz w:val="20"/>
        </w:rPr>
        <w:t>work</w:t>
      </w:r>
      <w:r>
        <w:rPr>
          <w:color w:val="FFFFFF"/>
          <w:spacing w:val="-14"/>
          <w:sz w:val="20"/>
        </w:rPr>
        <w:t> </w:t>
      </w:r>
      <w:r>
        <w:rPr>
          <w:color w:val="FFFFFF"/>
          <w:sz w:val="20"/>
        </w:rPr>
        <w:t>carried out by electrical workers; and promote the prevention</w:t>
      </w:r>
      <w:r>
        <w:rPr>
          <w:color w:val="FFFFFF"/>
          <w:spacing w:val="-14"/>
          <w:sz w:val="20"/>
        </w:rPr>
        <w:t> </w:t>
      </w:r>
      <w:r>
        <w:rPr>
          <w:color w:val="FFFFFF"/>
          <w:sz w:val="20"/>
        </w:rPr>
        <w:t>and</w:t>
      </w:r>
      <w:r>
        <w:rPr>
          <w:color w:val="FFFFFF"/>
          <w:spacing w:val="-14"/>
          <w:sz w:val="20"/>
        </w:rPr>
        <w:t> </w:t>
      </w:r>
      <w:r>
        <w:rPr>
          <w:color w:val="FFFFFF"/>
          <w:sz w:val="20"/>
        </w:rPr>
        <w:t>mitigation of bushfire danger.</w:t>
      </w:r>
    </w:p>
    <w:p>
      <w:pPr>
        <w:pStyle w:val="Heading5"/>
        <w:spacing w:line="242" w:lineRule="auto" w:before="93"/>
        <w:ind w:left="254"/>
      </w:pPr>
      <w:r>
        <w:rPr>
          <w:b w:val="0"/>
        </w:rPr>
        <w:br w:type="column"/>
      </w:r>
      <w:r>
        <w:rPr>
          <w:color w:val="FFFFFF"/>
        </w:rPr>
        <w:t>Ensure</w:t>
      </w:r>
      <w:r>
        <w:rPr>
          <w:color w:val="FFFFFF"/>
          <w:spacing w:val="-20"/>
        </w:rPr>
        <w:t> </w:t>
      </w:r>
      <w:r>
        <w:rPr>
          <w:color w:val="FFFFFF"/>
        </w:rPr>
        <w:t>Gas </w:t>
      </w:r>
      <w:r>
        <w:rPr>
          <w:color w:val="FFFFFF"/>
          <w:spacing w:val="-2"/>
        </w:rPr>
        <w:t>Safety:</w:t>
      </w:r>
    </w:p>
    <w:p>
      <w:pPr>
        <w:spacing w:line="240" w:lineRule="auto" w:before="0"/>
        <w:ind w:left="254" w:right="0" w:firstLine="0"/>
        <w:jc w:val="left"/>
        <w:rPr>
          <w:sz w:val="20"/>
        </w:rPr>
      </w:pPr>
      <w:r>
        <w:rPr>
          <w:color w:val="FFFFFF"/>
          <w:sz w:val="20"/>
        </w:rPr>
        <w:t>Ensure</w:t>
      </w:r>
      <w:r>
        <w:rPr>
          <w:color w:val="FFFFFF"/>
          <w:spacing w:val="-10"/>
          <w:sz w:val="20"/>
        </w:rPr>
        <w:t> </w:t>
      </w:r>
      <w:r>
        <w:rPr>
          <w:color w:val="FFFFFF"/>
          <w:sz w:val="20"/>
        </w:rPr>
        <w:t>the</w:t>
      </w:r>
      <w:r>
        <w:rPr>
          <w:color w:val="FFFFFF"/>
          <w:spacing w:val="-10"/>
          <w:sz w:val="20"/>
        </w:rPr>
        <w:t> </w:t>
      </w:r>
      <w:r>
        <w:rPr>
          <w:color w:val="FFFFFF"/>
          <w:sz w:val="20"/>
        </w:rPr>
        <w:t>safety</w:t>
      </w:r>
      <w:r>
        <w:rPr>
          <w:color w:val="FFFFFF"/>
          <w:spacing w:val="-10"/>
          <w:sz w:val="20"/>
        </w:rPr>
        <w:t> </w:t>
      </w:r>
      <w:r>
        <w:rPr>
          <w:color w:val="FFFFFF"/>
          <w:sz w:val="20"/>
        </w:rPr>
        <w:t>of</w:t>
      </w:r>
      <w:r>
        <w:rPr>
          <w:color w:val="FFFFFF"/>
          <w:spacing w:val="-12"/>
          <w:sz w:val="20"/>
        </w:rPr>
        <w:t> </w:t>
      </w:r>
      <w:r>
        <w:rPr>
          <w:color w:val="FFFFFF"/>
          <w:sz w:val="20"/>
        </w:rPr>
        <w:t>the conveyance, sale, supply, measurement, control and use of gas; and control the safety standards of gas work.</w:t>
      </w:r>
    </w:p>
    <w:p>
      <w:pPr>
        <w:pStyle w:val="Heading5"/>
        <w:spacing w:line="242" w:lineRule="auto" w:before="92"/>
        <w:ind w:left="344"/>
      </w:pPr>
      <w:r>
        <w:rPr>
          <w:b w:val="0"/>
        </w:rPr>
        <w:br w:type="column"/>
      </w:r>
      <w:r>
        <w:rPr>
          <w:color w:val="FFFFFF"/>
        </w:rPr>
        <w:t>Ensure</w:t>
      </w:r>
      <w:r>
        <w:rPr>
          <w:color w:val="FFFFFF"/>
          <w:spacing w:val="-20"/>
        </w:rPr>
        <w:t> </w:t>
      </w:r>
      <w:r>
        <w:rPr>
          <w:color w:val="FFFFFF"/>
        </w:rPr>
        <w:t>Pipeline </w:t>
      </w:r>
      <w:r>
        <w:rPr>
          <w:color w:val="FFFFFF"/>
          <w:spacing w:val="-2"/>
        </w:rPr>
        <w:t>Safety:</w:t>
      </w:r>
    </w:p>
    <w:p>
      <w:pPr>
        <w:spacing w:line="240" w:lineRule="auto" w:before="0"/>
        <w:ind w:left="344" w:right="200" w:firstLine="0"/>
        <w:jc w:val="left"/>
        <w:rPr>
          <w:sz w:val="20"/>
        </w:rPr>
      </w:pPr>
      <w:r>
        <w:rPr>
          <w:color w:val="FFFFFF"/>
          <w:sz w:val="20"/>
        </w:rPr>
        <w:t>Protect</w:t>
      </w:r>
      <w:r>
        <w:rPr>
          <w:color w:val="FFFFFF"/>
          <w:spacing w:val="-14"/>
          <w:sz w:val="20"/>
        </w:rPr>
        <w:t> </w:t>
      </w:r>
      <w:r>
        <w:rPr>
          <w:color w:val="FFFFFF"/>
          <w:sz w:val="20"/>
        </w:rPr>
        <w:t>underground</w:t>
      </w:r>
      <w:r>
        <w:rPr>
          <w:color w:val="FFFFFF"/>
          <w:spacing w:val="-14"/>
          <w:sz w:val="20"/>
        </w:rPr>
        <w:t> </w:t>
      </w:r>
      <w:r>
        <w:rPr>
          <w:color w:val="FFFFFF"/>
          <w:sz w:val="20"/>
        </w:rPr>
        <w:t>and underwater structures from corrosion; and protect the public from environmental, health and</w:t>
      </w:r>
      <w:r>
        <w:rPr>
          <w:color w:val="FFFFFF"/>
          <w:spacing w:val="-7"/>
          <w:sz w:val="20"/>
        </w:rPr>
        <w:t> </w:t>
      </w:r>
      <w:r>
        <w:rPr>
          <w:color w:val="FFFFFF"/>
          <w:sz w:val="20"/>
        </w:rPr>
        <w:t>safety</w:t>
      </w:r>
      <w:r>
        <w:rPr>
          <w:color w:val="FFFFFF"/>
          <w:spacing w:val="-8"/>
          <w:sz w:val="20"/>
        </w:rPr>
        <w:t> </w:t>
      </w:r>
      <w:r>
        <w:rPr>
          <w:color w:val="FFFFFF"/>
          <w:sz w:val="20"/>
        </w:rPr>
        <w:t>risks</w:t>
      </w:r>
      <w:r>
        <w:rPr>
          <w:color w:val="FFFFFF"/>
          <w:spacing w:val="-12"/>
          <w:sz w:val="20"/>
        </w:rPr>
        <w:t> </w:t>
      </w:r>
      <w:r>
        <w:rPr>
          <w:color w:val="FFFFFF"/>
          <w:sz w:val="20"/>
        </w:rPr>
        <w:t>resulting from the construction and operation of </w:t>
      </w:r>
      <w:r>
        <w:rPr>
          <w:color w:val="FFFFFF"/>
          <w:spacing w:val="-2"/>
          <w:sz w:val="20"/>
        </w:rPr>
        <w:t>pipelines.</w:t>
      </w:r>
    </w:p>
    <w:p>
      <w:pPr>
        <w:spacing w:after="0" w:line="240" w:lineRule="auto"/>
        <w:jc w:val="left"/>
        <w:rPr>
          <w:sz w:val="20"/>
        </w:rPr>
        <w:sectPr>
          <w:type w:val="continuous"/>
          <w:pgSz w:w="11910" w:h="16840"/>
          <w:pgMar w:header="887" w:footer="1243" w:top="1940" w:bottom="280" w:left="840" w:right="820"/>
          <w:cols w:num="4" w:equalWidth="0">
            <w:col w:w="2353" w:space="62"/>
            <w:col w:w="2588" w:space="39"/>
            <w:col w:w="2404" w:space="44"/>
            <w:col w:w="2760"/>
          </w:cols>
        </w:sectPr>
      </w:pPr>
    </w:p>
    <w:p>
      <w:pPr>
        <w:pStyle w:val="BodyText"/>
        <w:rPr>
          <w:sz w:val="20"/>
        </w:rPr>
      </w:pPr>
    </w:p>
    <w:p>
      <w:pPr>
        <w:pStyle w:val="BodyText"/>
        <w:rPr>
          <w:sz w:val="20"/>
        </w:rPr>
      </w:pPr>
    </w:p>
    <w:p>
      <w:pPr>
        <w:pStyle w:val="BodyText"/>
        <w:spacing w:before="11"/>
        <w:rPr>
          <w:sz w:val="26"/>
        </w:rPr>
      </w:pPr>
    </w:p>
    <w:p>
      <w:pPr>
        <w:pStyle w:val="Heading5"/>
        <w:spacing w:before="91"/>
        <w:ind w:left="2578" w:right="2526"/>
        <w:jc w:val="center"/>
        <w:rPr>
          <w:sz w:val="22"/>
        </w:rPr>
      </w:pPr>
      <w:r>
        <w:rPr>
          <w:color w:val="FFFFFF"/>
        </w:rPr>
        <w:t>ESV’s</w:t>
      </w:r>
      <w:r>
        <w:rPr>
          <w:color w:val="FFFFFF"/>
          <w:spacing w:val="-10"/>
        </w:rPr>
        <w:t> </w:t>
      </w:r>
      <w:r>
        <w:rPr>
          <w:color w:val="FFFFFF"/>
        </w:rPr>
        <w:t>core</w:t>
      </w:r>
      <w:r>
        <w:rPr>
          <w:color w:val="FFFFFF"/>
          <w:spacing w:val="-7"/>
        </w:rPr>
        <w:t> </w:t>
      </w:r>
      <w:r>
        <w:rPr>
          <w:color w:val="FFFFFF"/>
        </w:rPr>
        <w:t>regulatory</w:t>
      </w:r>
      <w:r>
        <w:rPr>
          <w:color w:val="FFFFFF"/>
          <w:spacing w:val="-9"/>
        </w:rPr>
        <w:t> </w:t>
      </w:r>
      <w:r>
        <w:rPr>
          <w:color w:val="FFFFFF"/>
        </w:rPr>
        <w:t>functions</w:t>
      </w:r>
      <w:r>
        <w:rPr>
          <w:color w:val="FFFFFF"/>
          <w:spacing w:val="-7"/>
        </w:rPr>
        <w:t> </w:t>
      </w:r>
      <w:r>
        <w:rPr>
          <w:color w:val="FFFFFF"/>
        </w:rPr>
        <w:t>are</w:t>
      </w:r>
      <w:r>
        <w:rPr>
          <w:color w:val="FFFFFF"/>
          <w:spacing w:val="-9"/>
        </w:rPr>
        <w:t> </w:t>
      </w:r>
      <w:r>
        <w:rPr>
          <w:color w:val="FFFFFF"/>
          <w:spacing w:val="-5"/>
        </w:rPr>
        <w:t>to</w:t>
      </w:r>
      <w:r>
        <w:rPr>
          <w:color w:val="FFFFFF"/>
          <w:spacing w:val="-5"/>
          <w:sz w:val="22"/>
        </w:rPr>
        <w:t>:</w:t>
      </w:r>
    </w:p>
    <w:p>
      <w:pPr>
        <w:pStyle w:val="BodyText"/>
        <w:rPr>
          <w:b/>
          <w:sz w:val="20"/>
        </w:rPr>
      </w:pPr>
    </w:p>
    <w:p>
      <w:pPr>
        <w:spacing w:after="0"/>
        <w:rPr>
          <w:sz w:val="20"/>
        </w:rPr>
        <w:sectPr>
          <w:type w:val="continuous"/>
          <w:pgSz w:w="11910" w:h="16840"/>
          <w:pgMar w:header="887" w:footer="1243" w:top="1940" w:bottom="280" w:left="840" w:right="820"/>
        </w:sectPr>
      </w:pPr>
    </w:p>
    <w:p>
      <w:pPr>
        <w:spacing w:line="240" w:lineRule="auto" w:before="257"/>
        <w:ind w:left="158" w:right="62" w:firstLine="0"/>
        <w:jc w:val="left"/>
        <w:rPr>
          <w:b/>
          <w:sz w:val="28"/>
        </w:rPr>
      </w:pPr>
      <w:r>
        <w:rPr/>
        <mc:AlternateContent>
          <mc:Choice Requires="wps">
            <w:drawing>
              <wp:anchor distT="0" distB="0" distL="0" distR="0" allowOverlap="1" layoutInCell="1" locked="0" behindDoc="1" simplePos="0" relativeHeight="482692096">
                <wp:simplePos x="0" y="0"/>
                <wp:positionH relativeFrom="page">
                  <wp:posOffset>601841</wp:posOffset>
                </wp:positionH>
                <wp:positionV relativeFrom="page">
                  <wp:posOffset>1193279</wp:posOffset>
                </wp:positionV>
                <wp:extent cx="6957059" cy="3347720"/>
                <wp:effectExtent l="0" t="0" r="0" b="0"/>
                <wp:wrapNone/>
                <wp:docPr id="63" name="Group 63"/>
                <wp:cNvGraphicFramePr>
                  <a:graphicFrameLocks/>
                </wp:cNvGraphicFramePr>
                <a:graphic>
                  <a:graphicData uri="http://schemas.microsoft.com/office/word/2010/wordprocessingGroup">
                    <wpg:wgp>
                      <wpg:cNvPr id="63" name="Group 63"/>
                      <wpg:cNvGrpSpPr/>
                      <wpg:grpSpPr>
                        <a:xfrm>
                          <a:off x="0" y="0"/>
                          <a:ext cx="6957059" cy="3347720"/>
                          <a:chExt cx="6957059" cy="3347720"/>
                        </a:xfrm>
                      </wpg:grpSpPr>
                      <pic:pic>
                        <pic:nvPicPr>
                          <pic:cNvPr id="64" name="Image 64"/>
                          <pic:cNvPicPr/>
                        </pic:nvPicPr>
                        <pic:blipFill>
                          <a:blip r:embed="rId43" cstate="print"/>
                          <a:stretch>
                            <a:fillRect/>
                          </a:stretch>
                        </pic:blipFill>
                        <pic:spPr>
                          <a:xfrm>
                            <a:off x="0" y="624818"/>
                            <a:ext cx="1646919" cy="2690691"/>
                          </a:xfrm>
                          <a:prstGeom prst="rect">
                            <a:avLst/>
                          </a:prstGeom>
                        </pic:spPr>
                      </pic:pic>
                      <pic:pic>
                        <pic:nvPicPr>
                          <pic:cNvPr id="65" name="Image 65"/>
                          <pic:cNvPicPr/>
                        </pic:nvPicPr>
                        <pic:blipFill>
                          <a:blip r:embed="rId44" cstate="print"/>
                          <a:stretch>
                            <a:fillRect/>
                          </a:stretch>
                        </pic:blipFill>
                        <pic:spPr>
                          <a:xfrm>
                            <a:off x="1469274" y="611136"/>
                            <a:ext cx="2451354" cy="2736342"/>
                          </a:xfrm>
                          <a:prstGeom prst="rect">
                            <a:avLst/>
                          </a:prstGeom>
                        </pic:spPr>
                      </pic:pic>
                      <pic:pic>
                        <pic:nvPicPr>
                          <pic:cNvPr id="66" name="Image 66"/>
                          <pic:cNvPicPr/>
                        </pic:nvPicPr>
                        <pic:blipFill>
                          <a:blip r:embed="rId45" cstate="print"/>
                          <a:stretch>
                            <a:fillRect/>
                          </a:stretch>
                        </pic:blipFill>
                        <pic:spPr>
                          <a:xfrm>
                            <a:off x="3080142" y="597420"/>
                            <a:ext cx="3143250" cy="2740914"/>
                          </a:xfrm>
                          <a:prstGeom prst="rect">
                            <a:avLst/>
                          </a:prstGeom>
                        </pic:spPr>
                      </pic:pic>
                      <pic:pic>
                        <pic:nvPicPr>
                          <pic:cNvPr id="67" name="Image 67"/>
                          <pic:cNvPicPr/>
                        </pic:nvPicPr>
                        <pic:blipFill>
                          <a:blip r:embed="rId46" cstate="print"/>
                          <a:stretch>
                            <a:fillRect/>
                          </a:stretch>
                        </pic:blipFill>
                        <pic:spPr>
                          <a:xfrm>
                            <a:off x="4691010" y="597420"/>
                            <a:ext cx="2265426" cy="2742438"/>
                          </a:xfrm>
                          <a:prstGeom prst="rect">
                            <a:avLst/>
                          </a:prstGeom>
                        </pic:spPr>
                      </pic:pic>
                      <pic:pic>
                        <pic:nvPicPr>
                          <pic:cNvPr id="68" name="Image 68"/>
                          <pic:cNvPicPr/>
                        </pic:nvPicPr>
                        <pic:blipFill>
                          <a:blip r:embed="rId47" cstate="print"/>
                          <a:stretch>
                            <a:fillRect/>
                          </a:stretch>
                        </pic:blipFill>
                        <pic:spPr>
                          <a:xfrm>
                            <a:off x="364374" y="0"/>
                            <a:ext cx="5606034" cy="611898"/>
                          </a:xfrm>
                          <a:prstGeom prst="rect">
                            <a:avLst/>
                          </a:prstGeom>
                        </pic:spPr>
                      </pic:pic>
                    </wpg:wgp>
                  </a:graphicData>
                </a:graphic>
              </wp:anchor>
            </w:drawing>
          </mc:Choice>
          <mc:Fallback>
            <w:pict>
              <v:group style="position:absolute;margin-left:47.389091pt;margin-top:93.958984pt;width:547.8pt;height:263.6pt;mso-position-horizontal-relative:page;mso-position-vertical-relative:page;z-index:-20624384" id="docshapegroup56" coordorigin="948,1879" coordsize="10956,5272">
                <v:shape style="position:absolute;left:947;top:2863;width:2594;height:4238" type="#_x0000_t75" id="docshape57" stroked="false">
                  <v:imagedata r:id="rId43" o:title=""/>
                </v:shape>
                <v:shape style="position:absolute;left:3261;top:2841;width:3861;height:4310" type="#_x0000_t75" id="docshape58" stroked="false">
                  <v:imagedata r:id="rId44" o:title=""/>
                </v:shape>
                <v:shape style="position:absolute;left:5798;top:2820;width:4950;height:4317" type="#_x0000_t75" id="docshape59" stroked="false">
                  <v:imagedata r:id="rId45" o:title=""/>
                </v:shape>
                <v:shape style="position:absolute;left:8335;top:2820;width:3568;height:4319" type="#_x0000_t75" id="docshape60" stroked="false">
                  <v:imagedata r:id="rId46" o:title=""/>
                </v:shape>
                <v:shape style="position:absolute;left:1521;top:1879;width:8829;height:964" type="#_x0000_t75" id="docshape61" stroked="false">
                  <v:imagedata r:id="rId47" o:title=""/>
                </v:shape>
                <w10:wrap type="none"/>
              </v:group>
            </w:pict>
          </mc:Fallback>
        </mc:AlternateContent>
      </w:r>
      <w:r>
        <w:rPr/>
        <mc:AlternateContent>
          <mc:Choice Requires="wps">
            <w:drawing>
              <wp:anchor distT="0" distB="0" distL="0" distR="0" allowOverlap="1" layoutInCell="1" locked="0" behindDoc="1" simplePos="0" relativeHeight="482692608">
                <wp:simplePos x="0" y="0"/>
                <wp:positionH relativeFrom="page">
                  <wp:posOffset>478301</wp:posOffset>
                </wp:positionH>
                <wp:positionV relativeFrom="page">
                  <wp:posOffset>4713731</wp:posOffset>
                </wp:positionV>
                <wp:extent cx="7080250" cy="3867150"/>
                <wp:effectExtent l="0" t="0" r="0" b="0"/>
                <wp:wrapNone/>
                <wp:docPr id="69" name="Group 69"/>
                <wp:cNvGraphicFramePr>
                  <a:graphicFrameLocks/>
                </wp:cNvGraphicFramePr>
                <a:graphic>
                  <a:graphicData uri="http://schemas.microsoft.com/office/word/2010/wordprocessingGroup">
                    <wpg:wgp>
                      <wpg:cNvPr id="69" name="Group 69"/>
                      <wpg:cNvGrpSpPr/>
                      <wpg:grpSpPr>
                        <a:xfrm>
                          <a:off x="0" y="0"/>
                          <a:ext cx="7080250" cy="3867150"/>
                          <a:chExt cx="7080250" cy="3867150"/>
                        </a:xfrm>
                      </wpg:grpSpPr>
                      <pic:pic>
                        <pic:nvPicPr>
                          <pic:cNvPr id="70" name="Image 70"/>
                          <pic:cNvPicPr/>
                        </pic:nvPicPr>
                        <pic:blipFill>
                          <a:blip r:embed="rId48" cstate="print"/>
                          <a:stretch>
                            <a:fillRect/>
                          </a:stretch>
                        </pic:blipFill>
                        <pic:spPr>
                          <a:xfrm>
                            <a:off x="0" y="531854"/>
                            <a:ext cx="1744172" cy="3309402"/>
                          </a:xfrm>
                          <a:prstGeom prst="rect">
                            <a:avLst/>
                          </a:prstGeom>
                        </pic:spPr>
                      </pic:pic>
                      <pic:pic>
                        <pic:nvPicPr>
                          <pic:cNvPr id="71" name="Image 71"/>
                          <pic:cNvPicPr/>
                        </pic:nvPicPr>
                        <pic:blipFill>
                          <a:blip r:embed="rId49" cstate="print"/>
                          <a:stretch>
                            <a:fillRect/>
                          </a:stretch>
                        </pic:blipFill>
                        <pic:spPr>
                          <a:xfrm>
                            <a:off x="1600434" y="524255"/>
                            <a:ext cx="2372106" cy="3326129"/>
                          </a:xfrm>
                          <a:prstGeom prst="rect">
                            <a:avLst/>
                          </a:prstGeom>
                        </pic:spPr>
                      </pic:pic>
                      <pic:pic>
                        <pic:nvPicPr>
                          <pic:cNvPr id="72" name="Image 72"/>
                          <pic:cNvPicPr/>
                        </pic:nvPicPr>
                        <pic:blipFill>
                          <a:blip r:embed="rId50" cstate="print"/>
                          <a:stretch>
                            <a:fillRect/>
                          </a:stretch>
                        </pic:blipFill>
                        <pic:spPr>
                          <a:xfrm>
                            <a:off x="3180822" y="522731"/>
                            <a:ext cx="3038094" cy="3330702"/>
                          </a:xfrm>
                          <a:prstGeom prst="rect">
                            <a:avLst/>
                          </a:prstGeom>
                        </pic:spPr>
                      </pic:pic>
                      <pic:pic>
                        <pic:nvPicPr>
                          <pic:cNvPr id="73" name="Image 73"/>
                          <pic:cNvPicPr/>
                        </pic:nvPicPr>
                        <pic:blipFill>
                          <a:blip r:embed="rId51" cstate="print"/>
                          <a:stretch>
                            <a:fillRect/>
                          </a:stretch>
                        </pic:blipFill>
                        <pic:spPr>
                          <a:xfrm>
                            <a:off x="4820646" y="537972"/>
                            <a:ext cx="2259329" cy="3329178"/>
                          </a:xfrm>
                          <a:prstGeom prst="rect">
                            <a:avLst/>
                          </a:prstGeom>
                        </pic:spPr>
                      </pic:pic>
                      <pic:pic>
                        <pic:nvPicPr>
                          <pic:cNvPr id="74" name="Image 74"/>
                          <pic:cNvPicPr/>
                        </pic:nvPicPr>
                        <pic:blipFill>
                          <a:blip r:embed="rId52" cstate="print"/>
                          <a:stretch>
                            <a:fillRect/>
                          </a:stretch>
                        </pic:blipFill>
                        <pic:spPr>
                          <a:xfrm>
                            <a:off x="686034" y="0"/>
                            <a:ext cx="5275326" cy="585977"/>
                          </a:xfrm>
                          <a:prstGeom prst="rect">
                            <a:avLst/>
                          </a:prstGeom>
                        </pic:spPr>
                      </pic:pic>
                    </wpg:wgp>
                  </a:graphicData>
                </a:graphic>
              </wp:anchor>
            </w:drawing>
          </mc:Choice>
          <mc:Fallback>
            <w:pict>
              <v:group style="position:absolute;margin-left:37.661549pt;margin-top:371.159973pt;width:557.5pt;height:304.5pt;mso-position-horizontal-relative:page;mso-position-vertical-relative:page;z-index:-20623872" id="docshapegroup62" coordorigin="753,7423" coordsize="11150,6090">
                <v:shape style="position:absolute;left:753;top:8260;width:2747;height:5212" type="#_x0000_t75" id="docshape63" stroked="false">
                  <v:imagedata r:id="rId48" o:title=""/>
                </v:shape>
                <v:shape style="position:absolute;left:3273;top:8248;width:3736;height:5238" type="#_x0000_t75" id="docshape64" stroked="false">
                  <v:imagedata r:id="rId49" o:title=""/>
                </v:shape>
                <v:shape style="position:absolute;left:5762;top:8246;width:4785;height:5246" type="#_x0000_t75" id="docshape65" stroked="false">
                  <v:imagedata r:id="rId50" o:title=""/>
                </v:shape>
                <v:shape style="position:absolute;left:8344;top:8270;width:3558;height:5243" type="#_x0000_t75" id="docshape66" stroked="false">
                  <v:imagedata r:id="rId51" o:title=""/>
                </v:shape>
                <v:shape style="position:absolute;left:1833;top:7423;width:8308;height:923" type="#_x0000_t75" id="docshape67" stroked="false">
                  <v:imagedata r:id="rId52" o:title=""/>
                </v:shape>
                <w10:wrap type="none"/>
              </v:group>
            </w:pict>
          </mc:Fallback>
        </mc:AlternateContent>
      </w:r>
      <w:r>
        <w:rPr>
          <w:b/>
          <w:color w:val="FFFFFF"/>
          <w:spacing w:val="-2"/>
          <w:sz w:val="28"/>
        </w:rPr>
        <w:t>Licence, </w:t>
      </w:r>
      <w:r>
        <w:rPr>
          <w:b/>
          <w:color w:val="FFFFFF"/>
          <w:sz w:val="28"/>
        </w:rPr>
        <w:t>Approve</w:t>
      </w:r>
      <w:r>
        <w:rPr>
          <w:b/>
          <w:color w:val="FFFFFF"/>
          <w:spacing w:val="-20"/>
          <w:sz w:val="28"/>
        </w:rPr>
        <w:t> </w:t>
      </w:r>
      <w:r>
        <w:rPr>
          <w:b/>
          <w:color w:val="FFFFFF"/>
          <w:sz w:val="28"/>
        </w:rPr>
        <w:t>or </w:t>
      </w:r>
      <w:r>
        <w:rPr>
          <w:b/>
          <w:color w:val="FFFFFF"/>
          <w:spacing w:val="-2"/>
          <w:sz w:val="28"/>
        </w:rPr>
        <w:t>Accept:</w:t>
      </w:r>
    </w:p>
    <w:p>
      <w:pPr>
        <w:spacing w:before="2"/>
        <w:ind w:left="158" w:right="39" w:firstLine="0"/>
        <w:jc w:val="left"/>
        <w:rPr>
          <w:sz w:val="20"/>
        </w:rPr>
      </w:pPr>
      <w:r>
        <w:rPr>
          <w:color w:val="FFFFFF"/>
          <w:sz w:val="20"/>
        </w:rPr>
        <w:t>Ensure that appliances meet</w:t>
      </w:r>
      <w:r>
        <w:rPr>
          <w:color w:val="FFFFFF"/>
          <w:spacing w:val="-14"/>
          <w:sz w:val="20"/>
        </w:rPr>
        <w:t> </w:t>
      </w:r>
      <w:r>
        <w:rPr>
          <w:color w:val="FFFFFF"/>
          <w:sz w:val="20"/>
        </w:rPr>
        <w:t>stringent</w:t>
      </w:r>
      <w:r>
        <w:rPr>
          <w:color w:val="FFFFFF"/>
          <w:spacing w:val="-14"/>
          <w:sz w:val="20"/>
        </w:rPr>
        <w:t> </w:t>
      </w:r>
      <w:r>
        <w:rPr>
          <w:color w:val="FFFFFF"/>
          <w:sz w:val="20"/>
        </w:rPr>
        <w:t>safety</w:t>
      </w:r>
      <w:r>
        <w:rPr>
          <w:color w:val="FFFFFF"/>
          <w:spacing w:val="-13"/>
          <w:sz w:val="20"/>
        </w:rPr>
        <w:t> </w:t>
      </w:r>
      <w:r>
        <w:rPr>
          <w:color w:val="FFFFFF"/>
          <w:sz w:val="20"/>
        </w:rPr>
        <w:t>and energy efficiency standards before they</w:t>
      </w:r>
      <w:r>
        <w:rPr>
          <w:color w:val="FFFFFF"/>
          <w:spacing w:val="40"/>
          <w:sz w:val="20"/>
        </w:rPr>
        <w:t> </w:t>
      </w:r>
      <w:r>
        <w:rPr>
          <w:color w:val="FFFFFF"/>
          <w:sz w:val="20"/>
        </w:rPr>
        <w:t>are sold.</w:t>
      </w:r>
    </w:p>
    <w:p>
      <w:pPr>
        <w:spacing w:before="79"/>
        <w:ind w:left="158" w:right="62" w:firstLine="0"/>
        <w:jc w:val="left"/>
        <w:rPr>
          <w:sz w:val="20"/>
        </w:rPr>
      </w:pPr>
      <w:r>
        <w:rPr>
          <w:color w:val="FFFFFF"/>
          <w:sz w:val="20"/>
        </w:rPr>
        <w:t>Administer licensing, registration</w:t>
      </w:r>
      <w:r>
        <w:rPr>
          <w:color w:val="FFFFFF"/>
          <w:spacing w:val="-14"/>
          <w:sz w:val="20"/>
        </w:rPr>
        <w:t> </w:t>
      </w:r>
      <w:r>
        <w:rPr>
          <w:color w:val="FFFFFF"/>
          <w:sz w:val="20"/>
        </w:rPr>
        <w:t>and</w:t>
      </w:r>
      <w:r>
        <w:rPr>
          <w:color w:val="FFFFFF"/>
          <w:spacing w:val="-14"/>
          <w:sz w:val="20"/>
        </w:rPr>
        <w:t> </w:t>
      </w:r>
      <w:r>
        <w:rPr>
          <w:color w:val="FFFFFF"/>
          <w:sz w:val="20"/>
        </w:rPr>
        <w:t>approval systems that maintain safety standards and </w:t>
      </w:r>
      <w:r>
        <w:rPr>
          <w:color w:val="FFFFFF"/>
          <w:spacing w:val="-2"/>
          <w:sz w:val="20"/>
        </w:rPr>
        <w:t>skills.</w:t>
      </w:r>
    </w:p>
    <w:p>
      <w:pPr>
        <w:pStyle w:val="Heading5"/>
        <w:spacing w:line="242" w:lineRule="auto" w:before="268"/>
        <w:ind w:left="158"/>
      </w:pPr>
      <w:r>
        <w:rPr>
          <w:b w:val="0"/>
        </w:rPr>
        <w:br w:type="column"/>
      </w:r>
      <w:r>
        <w:rPr>
          <w:color w:val="FFFFFF"/>
        </w:rPr>
        <w:t>Monitor</w:t>
      </w:r>
      <w:r>
        <w:rPr>
          <w:color w:val="FFFFFF"/>
          <w:spacing w:val="-20"/>
        </w:rPr>
        <w:t> </w:t>
      </w:r>
      <w:r>
        <w:rPr>
          <w:color w:val="FFFFFF"/>
        </w:rPr>
        <w:t>and </w:t>
      </w:r>
      <w:r>
        <w:rPr>
          <w:color w:val="FFFFFF"/>
          <w:spacing w:val="-2"/>
        </w:rPr>
        <w:t>Audit:</w:t>
      </w:r>
    </w:p>
    <w:p>
      <w:pPr>
        <w:spacing w:line="240" w:lineRule="auto" w:before="0"/>
        <w:ind w:left="158" w:right="22" w:firstLine="0"/>
        <w:jc w:val="left"/>
        <w:rPr>
          <w:sz w:val="20"/>
        </w:rPr>
      </w:pPr>
      <w:r>
        <w:rPr>
          <w:color w:val="FFFFFF"/>
          <w:sz w:val="20"/>
        </w:rPr>
        <w:t>Inspect</w:t>
      </w:r>
      <w:r>
        <w:rPr>
          <w:color w:val="FFFFFF"/>
          <w:spacing w:val="-14"/>
          <w:sz w:val="20"/>
        </w:rPr>
        <w:t> </w:t>
      </w:r>
      <w:r>
        <w:rPr>
          <w:color w:val="FFFFFF"/>
          <w:sz w:val="20"/>
        </w:rPr>
        <w:t>and</w:t>
      </w:r>
      <w:r>
        <w:rPr>
          <w:color w:val="FFFFFF"/>
          <w:spacing w:val="-14"/>
          <w:sz w:val="20"/>
        </w:rPr>
        <w:t> </w:t>
      </w:r>
      <w:r>
        <w:rPr>
          <w:color w:val="FFFFFF"/>
          <w:sz w:val="20"/>
        </w:rPr>
        <w:t>audit</w:t>
      </w:r>
      <w:r>
        <w:rPr>
          <w:color w:val="FFFFFF"/>
          <w:spacing w:val="-11"/>
          <w:sz w:val="20"/>
        </w:rPr>
        <w:t> </w:t>
      </w:r>
      <w:r>
        <w:rPr>
          <w:color w:val="FFFFFF"/>
          <w:sz w:val="20"/>
        </w:rPr>
        <w:t>safety systems (including safety management systems, safety cases and plans), and also safety practices in relation to the design, construction and maintenance of all electricity, gas and pipeline networks and </w:t>
      </w:r>
      <w:r>
        <w:rPr>
          <w:color w:val="FFFFFF"/>
          <w:spacing w:val="-2"/>
          <w:sz w:val="20"/>
        </w:rPr>
        <w:t>installations.</w:t>
      </w:r>
    </w:p>
    <w:p>
      <w:pPr>
        <w:spacing w:before="76"/>
        <w:ind w:left="158" w:right="22" w:firstLine="0"/>
        <w:jc w:val="left"/>
        <w:rPr>
          <w:sz w:val="20"/>
        </w:rPr>
      </w:pPr>
      <w:r>
        <w:rPr>
          <w:color w:val="FFFFFF"/>
          <w:sz w:val="20"/>
        </w:rPr>
        <w:t>Monitor, audit and enforce</w:t>
      </w:r>
      <w:r>
        <w:rPr>
          <w:color w:val="FFFFFF"/>
          <w:spacing w:val="-14"/>
          <w:sz w:val="20"/>
        </w:rPr>
        <w:t> </w:t>
      </w:r>
      <w:r>
        <w:rPr>
          <w:color w:val="FFFFFF"/>
          <w:sz w:val="20"/>
        </w:rPr>
        <w:t>compliance</w:t>
      </w:r>
      <w:r>
        <w:rPr>
          <w:color w:val="FFFFFF"/>
          <w:spacing w:val="-14"/>
          <w:sz w:val="20"/>
        </w:rPr>
        <w:t> </w:t>
      </w:r>
      <w:r>
        <w:rPr>
          <w:color w:val="FFFFFF"/>
          <w:sz w:val="20"/>
        </w:rPr>
        <w:t>with Standards and </w:t>
      </w:r>
      <w:r>
        <w:rPr>
          <w:color w:val="FFFFFF"/>
          <w:spacing w:val="-2"/>
          <w:sz w:val="20"/>
        </w:rPr>
        <w:t>requirements.</w:t>
      </w:r>
    </w:p>
    <w:p>
      <w:pPr>
        <w:pStyle w:val="Heading5"/>
        <w:spacing w:line="242" w:lineRule="auto" w:before="264"/>
        <w:ind w:left="158" w:right="30"/>
        <w:rPr>
          <w:sz w:val="22"/>
        </w:rPr>
      </w:pPr>
      <w:r>
        <w:rPr>
          <w:b w:val="0"/>
        </w:rPr>
        <w:br w:type="column"/>
      </w:r>
      <w:r>
        <w:rPr>
          <w:color w:val="FFFFFF"/>
        </w:rPr>
        <w:t>Educate</w:t>
      </w:r>
      <w:r>
        <w:rPr>
          <w:color w:val="FFFFFF"/>
          <w:spacing w:val="-20"/>
        </w:rPr>
        <w:t> </w:t>
      </w:r>
      <w:r>
        <w:rPr>
          <w:color w:val="FFFFFF"/>
        </w:rPr>
        <w:t>and </w:t>
      </w:r>
      <w:r>
        <w:rPr>
          <w:color w:val="FFFFFF"/>
          <w:spacing w:val="-2"/>
        </w:rPr>
        <w:t>Encourage</w:t>
      </w:r>
      <w:r>
        <w:rPr>
          <w:color w:val="FFFFFF"/>
          <w:spacing w:val="-2"/>
          <w:sz w:val="22"/>
        </w:rPr>
        <w:t>:</w:t>
      </w:r>
    </w:p>
    <w:p>
      <w:pPr>
        <w:spacing w:line="240" w:lineRule="auto" w:before="0"/>
        <w:ind w:left="158" w:right="30" w:firstLine="0"/>
        <w:jc w:val="left"/>
        <w:rPr>
          <w:sz w:val="20"/>
        </w:rPr>
      </w:pPr>
      <w:r>
        <w:rPr>
          <w:color w:val="FFFFFF"/>
          <w:sz w:val="20"/>
        </w:rPr>
        <w:t>Cooperatively</w:t>
      </w:r>
      <w:r>
        <w:rPr>
          <w:color w:val="FFFFFF"/>
          <w:spacing w:val="-11"/>
          <w:sz w:val="20"/>
        </w:rPr>
        <w:t> </w:t>
      </w:r>
      <w:r>
        <w:rPr>
          <w:color w:val="FFFFFF"/>
          <w:sz w:val="20"/>
        </w:rPr>
        <w:t>engage with industry and the community</w:t>
      </w:r>
      <w:r>
        <w:rPr>
          <w:color w:val="FFFFFF"/>
          <w:spacing w:val="-14"/>
          <w:sz w:val="20"/>
        </w:rPr>
        <w:t> </w:t>
      </w:r>
      <w:r>
        <w:rPr>
          <w:color w:val="FFFFFF"/>
          <w:sz w:val="20"/>
        </w:rPr>
        <w:t>to</w:t>
      </w:r>
      <w:r>
        <w:rPr>
          <w:color w:val="FFFFFF"/>
          <w:spacing w:val="-14"/>
          <w:sz w:val="20"/>
        </w:rPr>
        <w:t> </w:t>
      </w:r>
      <w:r>
        <w:rPr>
          <w:color w:val="FFFFFF"/>
          <w:sz w:val="20"/>
        </w:rPr>
        <w:t>facilitate safety outcomes.</w:t>
      </w:r>
    </w:p>
    <w:p>
      <w:pPr>
        <w:spacing w:before="75"/>
        <w:ind w:left="158" w:right="30" w:firstLine="0"/>
        <w:jc w:val="left"/>
        <w:rPr>
          <w:sz w:val="20"/>
        </w:rPr>
      </w:pPr>
      <w:r>
        <w:rPr>
          <w:color w:val="FFFFFF"/>
          <w:sz w:val="20"/>
        </w:rPr>
        <w:t>Conduct</w:t>
      </w:r>
      <w:r>
        <w:rPr>
          <w:color w:val="FFFFFF"/>
          <w:spacing w:val="-14"/>
          <w:sz w:val="20"/>
        </w:rPr>
        <w:t> </w:t>
      </w:r>
      <w:r>
        <w:rPr>
          <w:color w:val="FFFFFF"/>
          <w:sz w:val="20"/>
        </w:rPr>
        <w:t>comprehensive public awareness campaigns to educate the community and industry on the hazards associated with electricity, gas and </w:t>
      </w:r>
      <w:r>
        <w:rPr>
          <w:color w:val="FFFFFF"/>
          <w:spacing w:val="-2"/>
          <w:sz w:val="20"/>
        </w:rPr>
        <w:t>pipelines.</w:t>
      </w:r>
    </w:p>
    <w:p>
      <w:pPr>
        <w:spacing w:line="240" w:lineRule="auto" w:before="1"/>
        <w:rPr>
          <w:sz w:val="25"/>
        </w:rPr>
      </w:pPr>
      <w:r>
        <w:rPr/>
        <w:br w:type="column"/>
      </w:r>
      <w:r>
        <w:rPr>
          <w:sz w:val="25"/>
        </w:rPr>
      </w:r>
    </w:p>
    <w:p>
      <w:pPr>
        <w:pStyle w:val="Heading5"/>
        <w:spacing w:line="242" w:lineRule="auto"/>
        <w:ind w:left="158"/>
        <w:rPr>
          <w:sz w:val="22"/>
        </w:rPr>
      </w:pPr>
      <w:r>
        <w:rPr>
          <w:color w:val="FFFFFF"/>
          <w:spacing w:val="-2"/>
        </w:rPr>
        <w:t>Enforce Compliance</w:t>
      </w:r>
      <w:r>
        <w:rPr>
          <w:color w:val="FFFFFF"/>
          <w:spacing w:val="-2"/>
          <w:sz w:val="22"/>
        </w:rPr>
        <w:t>:</w:t>
      </w:r>
    </w:p>
    <w:p>
      <w:pPr>
        <w:spacing w:line="240" w:lineRule="auto" w:before="0"/>
        <w:ind w:left="158" w:right="116" w:firstLine="0"/>
        <w:jc w:val="left"/>
        <w:rPr>
          <w:sz w:val="20"/>
        </w:rPr>
      </w:pPr>
      <w:r>
        <w:rPr>
          <w:color w:val="FFFFFF"/>
          <w:sz w:val="20"/>
        </w:rPr>
        <w:t>Take appropriate enforcement action (based on the severity of risk and harm), and while accounting for responsible behaviour, may</w:t>
      </w:r>
      <w:r>
        <w:rPr>
          <w:color w:val="FFFFFF"/>
          <w:spacing w:val="-13"/>
          <w:sz w:val="20"/>
        </w:rPr>
        <w:t> </w:t>
      </w:r>
      <w:r>
        <w:rPr>
          <w:color w:val="FFFFFF"/>
          <w:sz w:val="20"/>
        </w:rPr>
        <w:t>take</w:t>
      </w:r>
      <w:r>
        <w:rPr>
          <w:color w:val="FFFFFF"/>
          <w:spacing w:val="-14"/>
          <w:sz w:val="20"/>
        </w:rPr>
        <w:t> </w:t>
      </w:r>
      <w:r>
        <w:rPr>
          <w:color w:val="FFFFFF"/>
          <w:sz w:val="20"/>
        </w:rPr>
        <w:t>action</w:t>
      </w:r>
      <w:r>
        <w:rPr>
          <w:color w:val="FFFFFF"/>
          <w:spacing w:val="-8"/>
          <w:sz w:val="20"/>
        </w:rPr>
        <w:t> </w:t>
      </w:r>
      <w:r>
        <w:rPr>
          <w:color w:val="FFFFFF"/>
          <w:sz w:val="20"/>
        </w:rPr>
        <w:t>anyway</w:t>
      </w:r>
      <w:r>
        <w:rPr>
          <w:color w:val="FFFFFF"/>
          <w:spacing w:val="-5"/>
          <w:sz w:val="20"/>
        </w:rPr>
        <w:t> </w:t>
      </w:r>
      <w:r>
        <w:rPr>
          <w:color w:val="FFFFFF"/>
          <w:sz w:val="20"/>
        </w:rPr>
        <w:t>if negligence can</w:t>
      </w:r>
      <w:r>
        <w:rPr>
          <w:color w:val="FFFFFF"/>
          <w:spacing w:val="-4"/>
          <w:sz w:val="20"/>
        </w:rPr>
        <w:t> </w:t>
      </w:r>
      <w:r>
        <w:rPr>
          <w:color w:val="FFFFFF"/>
          <w:sz w:val="20"/>
        </w:rPr>
        <w:t>be</w:t>
      </w:r>
      <w:r>
        <w:rPr>
          <w:color w:val="FFFFFF"/>
          <w:spacing w:val="-5"/>
          <w:sz w:val="20"/>
        </w:rPr>
        <w:t> </w:t>
      </w:r>
      <w:r>
        <w:rPr>
          <w:color w:val="FFFFFF"/>
          <w:sz w:val="20"/>
        </w:rPr>
        <w:t>shown and others have been placed at risk.</w:t>
      </w:r>
    </w:p>
    <w:p>
      <w:pPr>
        <w:spacing w:after="0" w:line="240" w:lineRule="auto"/>
        <w:jc w:val="left"/>
        <w:rPr>
          <w:sz w:val="20"/>
        </w:rPr>
        <w:sectPr>
          <w:type w:val="continuous"/>
          <w:pgSz w:w="11910" w:h="16840"/>
          <w:pgMar w:header="887" w:footer="1243" w:top="1940" w:bottom="280" w:left="840" w:right="820"/>
          <w:cols w:num="4" w:equalWidth="0">
            <w:col w:w="2441" w:space="171"/>
            <w:col w:w="2339" w:space="152"/>
            <w:col w:w="2351" w:space="232"/>
            <w:col w:w="2564"/>
          </w:cols>
        </w:sectPr>
      </w:pPr>
    </w:p>
    <w:p>
      <w:pPr>
        <w:pStyle w:val="BodyText"/>
        <w:rPr>
          <w:sz w:val="20"/>
        </w:rPr>
      </w:pPr>
    </w:p>
    <w:p>
      <w:pPr>
        <w:pStyle w:val="BodyText"/>
        <w:rPr>
          <w:sz w:val="20"/>
        </w:rPr>
      </w:pPr>
    </w:p>
    <w:p>
      <w:pPr>
        <w:pStyle w:val="BodyText"/>
        <w:spacing w:before="5"/>
      </w:pPr>
    </w:p>
    <w:p>
      <w:pPr>
        <w:pStyle w:val="BodyText"/>
        <w:spacing w:line="288" w:lineRule="auto"/>
        <w:ind w:left="600" w:right="910"/>
      </w:pPr>
      <w:r>
        <w:rPr/>
        <w:t>In its </w:t>
      </w:r>
      <w:r>
        <w:rPr>
          <w:i/>
        </w:rPr>
        <w:t>Corporate Plan 2017–2020</w:t>
      </w:r>
      <w:r>
        <w:rPr/>
        <w:t>, ESV notes that in addition to its stated objectives and functions,</w:t>
      </w:r>
      <w:r>
        <w:rPr>
          <w:spacing w:val="-1"/>
        </w:rPr>
        <w:t> </w:t>
      </w:r>
      <w:r>
        <w:rPr/>
        <w:t>ESV</w:t>
      </w:r>
      <w:r>
        <w:rPr>
          <w:spacing w:val="-3"/>
        </w:rPr>
        <w:t> </w:t>
      </w:r>
      <w:r>
        <w:rPr/>
        <w:t>also</w:t>
      </w:r>
      <w:r>
        <w:rPr>
          <w:spacing w:val="-5"/>
        </w:rPr>
        <w:t> </w:t>
      </w:r>
      <w:r>
        <w:rPr/>
        <w:t>invests</w:t>
      </w:r>
      <w:r>
        <w:rPr>
          <w:spacing w:val="-5"/>
        </w:rPr>
        <w:t> </w:t>
      </w:r>
      <w:r>
        <w:rPr/>
        <w:t>significant</w:t>
      </w:r>
      <w:r>
        <w:rPr>
          <w:spacing w:val="-1"/>
        </w:rPr>
        <w:t> </w:t>
      </w:r>
      <w:r>
        <w:rPr/>
        <w:t>effort</w:t>
      </w:r>
      <w:r>
        <w:rPr>
          <w:spacing w:val="-4"/>
        </w:rPr>
        <w:t> </w:t>
      </w:r>
      <w:r>
        <w:rPr/>
        <w:t>and</w:t>
      </w:r>
      <w:r>
        <w:rPr>
          <w:spacing w:val="-5"/>
        </w:rPr>
        <w:t> </w:t>
      </w:r>
      <w:r>
        <w:rPr/>
        <w:t>resources</w:t>
      </w:r>
      <w:r>
        <w:rPr>
          <w:spacing w:val="-5"/>
        </w:rPr>
        <w:t> </w:t>
      </w:r>
      <w:r>
        <w:rPr/>
        <w:t>into</w:t>
      </w:r>
      <w:r>
        <w:rPr>
          <w:spacing w:val="-2"/>
        </w:rPr>
        <w:t> </w:t>
      </w:r>
      <w:r>
        <w:rPr/>
        <w:t>overseeing</w:t>
      </w:r>
      <w:r>
        <w:rPr>
          <w:spacing w:val="-3"/>
        </w:rPr>
        <w:t> </w:t>
      </w:r>
      <w:r>
        <w:rPr/>
        <w:t>the</w:t>
      </w:r>
      <w:r>
        <w:rPr>
          <w:spacing w:val="-5"/>
        </w:rPr>
        <w:t> </w:t>
      </w:r>
      <w:r>
        <w:rPr/>
        <w:t>operation and maintenance of electricity networks to, as</w:t>
      </w:r>
      <w:r>
        <w:rPr>
          <w:spacing w:val="-1"/>
        </w:rPr>
        <w:t> </w:t>
      </w:r>
      <w:r>
        <w:rPr/>
        <w:t>far as is practical, prevent significant fires caused by electrical assets (ESV, 2017).</w:t>
      </w:r>
    </w:p>
    <w:p>
      <w:pPr>
        <w:pStyle w:val="BodyText"/>
        <w:spacing w:before="3"/>
        <w:rPr>
          <w:sz w:val="31"/>
        </w:rPr>
      </w:pPr>
    </w:p>
    <w:p>
      <w:pPr>
        <w:pStyle w:val="Heading4"/>
        <w:spacing w:before="0"/>
        <w:ind w:left="600"/>
      </w:pPr>
      <w:r>
        <w:rPr>
          <w:color w:val="585858"/>
        </w:rPr>
        <w:t>The</w:t>
      </w:r>
      <w:r>
        <w:rPr>
          <w:color w:val="585858"/>
          <w:spacing w:val="-11"/>
        </w:rPr>
        <w:t> </w:t>
      </w:r>
      <w:r>
        <w:rPr>
          <w:color w:val="585858"/>
        </w:rPr>
        <w:t>evolution</w:t>
      </w:r>
      <w:r>
        <w:rPr>
          <w:color w:val="585858"/>
          <w:spacing w:val="-10"/>
        </w:rPr>
        <w:t> </w:t>
      </w:r>
      <w:r>
        <w:rPr>
          <w:color w:val="585858"/>
        </w:rPr>
        <w:t>of</w:t>
      </w:r>
      <w:r>
        <w:rPr>
          <w:color w:val="585858"/>
          <w:spacing w:val="-10"/>
        </w:rPr>
        <w:t> </w:t>
      </w:r>
      <w:r>
        <w:rPr>
          <w:color w:val="585858"/>
        </w:rPr>
        <w:t>the</w:t>
      </w:r>
      <w:r>
        <w:rPr>
          <w:color w:val="585858"/>
          <w:spacing w:val="-9"/>
        </w:rPr>
        <w:t> </w:t>
      </w:r>
      <w:r>
        <w:rPr>
          <w:color w:val="585858"/>
        </w:rPr>
        <w:t>Victorian</w:t>
      </w:r>
      <w:r>
        <w:rPr>
          <w:color w:val="585858"/>
          <w:spacing w:val="-10"/>
        </w:rPr>
        <w:t> </w:t>
      </w:r>
      <w:r>
        <w:rPr>
          <w:color w:val="585858"/>
        </w:rPr>
        <w:t>safety</w:t>
      </w:r>
      <w:r>
        <w:rPr>
          <w:color w:val="585858"/>
          <w:spacing w:val="-12"/>
        </w:rPr>
        <w:t> </w:t>
      </w:r>
      <w:r>
        <w:rPr>
          <w:color w:val="585858"/>
          <w:spacing w:val="-2"/>
        </w:rPr>
        <w:t>framework</w:t>
      </w:r>
    </w:p>
    <w:p>
      <w:pPr>
        <w:pStyle w:val="BodyText"/>
        <w:spacing w:line="288" w:lineRule="auto" w:before="314"/>
        <w:ind w:left="600" w:right="586"/>
      </w:pPr>
      <w:r>
        <w:rPr/>
        <w:t>The electricity and gas network safety framework has undergone significant change from its origins</w:t>
      </w:r>
      <w:r>
        <w:rPr>
          <w:spacing w:val="-3"/>
        </w:rPr>
        <w:t> </w:t>
      </w:r>
      <w:r>
        <w:rPr/>
        <w:t>in</w:t>
      </w:r>
      <w:r>
        <w:rPr>
          <w:spacing w:val="-5"/>
        </w:rPr>
        <w:t> </w:t>
      </w:r>
      <w:r>
        <w:rPr/>
        <w:t>the</w:t>
      </w:r>
      <w:r>
        <w:rPr>
          <w:spacing w:val="-5"/>
        </w:rPr>
        <w:t> </w:t>
      </w:r>
      <w:r>
        <w:rPr/>
        <w:t>state-owned</w:t>
      </w:r>
      <w:r>
        <w:rPr>
          <w:spacing w:val="-3"/>
        </w:rPr>
        <w:t> </w:t>
      </w:r>
      <w:r>
        <w:rPr/>
        <w:t>entities</w:t>
      </w:r>
      <w:r>
        <w:rPr>
          <w:spacing w:val="-5"/>
        </w:rPr>
        <w:t> </w:t>
      </w:r>
      <w:r>
        <w:rPr/>
        <w:t>of</w:t>
      </w:r>
      <w:r>
        <w:rPr>
          <w:spacing w:val="-1"/>
        </w:rPr>
        <w:t> </w:t>
      </w:r>
      <w:r>
        <w:rPr/>
        <w:t>the</w:t>
      </w:r>
      <w:r>
        <w:rPr>
          <w:spacing w:val="-5"/>
        </w:rPr>
        <w:t> </w:t>
      </w:r>
      <w:r>
        <w:rPr/>
        <w:t>State</w:t>
      </w:r>
      <w:r>
        <w:rPr>
          <w:spacing w:val="-3"/>
        </w:rPr>
        <w:t> </w:t>
      </w:r>
      <w:r>
        <w:rPr/>
        <w:t>Electricity</w:t>
      </w:r>
      <w:r>
        <w:rPr>
          <w:spacing w:val="-5"/>
        </w:rPr>
        <w:t> </w:t>
      </w:r>
      <w:r>
        <w:rPr/>
        <w:t>Commission</w:t>
      </w:r>
      <w:r>
        <w:rPr>
          <w:spacing w:val="-3"/>
        </w:rPr>
        <w:t> </w:t>
      </w:r>
      <w:r>
        <w:rPr/>
        <w:t>of</w:t>
      </w:r>
      <w:r>
        <w:rPr>
          <w:spacing w:val="-1"/>
        </w:rPr>
        <w:t> </w:t>
      </w:r>
      <w:r>
        <w:rPr/>
        <w:t>Victoria</w:t>
      </w:r>
      <w:r>
        <w:rPr>
          <w:spacing w:val="-5"/>
        </w:rPr>
        <w:t> </w:t>
      </w:r>
      <w:r>
        <w:rPr/>
        <w:t>(SECV)</w:t>
      </w:r>
      <w:r>
        <w:rPr>
          <w:spacing w:val="-2"/>
        </w:rPr>
        <w:t> </w:t>
      </w:r>
      <w:r>
        <w:rPr/>
        <w:t>and the Gas and Fuel Corporation of Victoria. Over the past three decades the safety</w:t>
      </w:r>
      <w:r>
        <w:rPr>
          <w:spacing w:val="-2"/>
        </w:rPr>
        <w:t> </w:t>
      </w:r>
      <w:r>
        <w:rPr/>
        <w:t>framework has evolved with the deregulation and privatisation of the energy industry.</w:t>
      </w:r>
    </w:p>
    <w:p>
      <w:pPr>
        <w:spacing w:after="0" w:line="288" w:lineRule="auto"/>
        <w:sectPr>
          <w:pgSz w:w="11910" w:h="16840"/>
          <w:pgMar w:header="887" w:footer="1243" w:top="1080" w:bottom="1500" w:left="840" w:right="820"/>
        </w:sectPr>
      </w:pPr>
    </w:p>
    <w:p>
      <w:pPr>
        <w:pStyle w:val="BodyText"/>
        <w:rPr>
          <w:sz w:val="20"/>
        </w:rPr>
      </w:pPr>
    </w:p>
    <w:p>
      <w:pPr>
        <w:pStyle w:val="BodyText"/>
        <w:rPr>
          <w:sz w:val="20"/>
        </w:rPr>
      </w:pPr>
    </w:p>
    <w:p>
      <w:pPr>
        <w:pStyle w:val="BodyText"/>
        <w:spacing w:before="5"/>
      </w:pPr>
    </w:p>
    <w:p>
      <w:pPr>
        <w:pStyle w:val="Heading7"/>
        <w:spacing w:line="288" w:lineRule="auto"/>
        <w:ind w:left="600"/>
      </w:pPr>
      <w:r>
        <w:rPr/>
        <w:t>Figure 5: A</w:t>
      </w:r>
      <w:r>
        <w:rPr>
          <w:spacing w:val="-9"/>
        </w:rPr>
        <w:t> </w:t>
      </w:r>
      <w:r>
        <w:rPr/>
        <w:t>chronology</w:t>
      </w:r>
      <w:r>
        <w:rPr>
          <w:spacing w:val="-3"/>
        </w:rPr>
        <w:t> </w:t>
      </w:r>
      <w:r>
        <w:rPr/>
        <w:t>of</w:t>
      </w:r>
      <w:r>
        <w:rPr>
          <w:spacing w:val="-2"/>
        </w:rPr>
        <w:t> </w:t>
      </w:r>
      <w:r>
        <w:rPr/>
        <w:t>the</w:t>
      </w:r>
      <w:r>
        <w:rPr>
          <w:spacing w:val="-4"/>
        </w:rPr>
        <w:t> </w:t>
      </w:r>
      <w:r>
        <w:rPr/>
        <w:t>key</w:t>
      </w:r>
      <w:r>
        <w:rPr>
          <w:spacing w:val="-5"/>
        </w:rPr>
        <w:t> </w:t>
      </w:r>
      <w:r>
        <w:rPr/>
        <w:t>dates</w:t>
      </w:r>
      <w:r>
        <w:rPr>
          <w:spacing w:val="-1"/>
        </w:rPr>
        <w:t> </w:t>
      </w:r>
      <w:r>
        <w:rPr/>
        <w:t>in</w:t>
      </w:r>
      <w:r>
        <w:rPr>
          <w:spacing w:val="-3"/>
        </w:rPr>
        <w:t> </w:t>
      </w:r>
      <w:r>
        <w:rPr/>
        <w:t>the</w:t>
      </w:r>
      <w:r>
        <w:rPr>
          <w:spacing w:val="-3"/>
        </w:rPr>
        <w:t> </w:t>
      </w:r>
      <w:r>
        <w:rPr/>
        <w:t>evolution</w:t>
      </w:r>
      <w:r>
        <w:rPr>
          <w:spacing w:val="-1"/>
        </w:rPr>
        <w:t> </w:t>
      </w:r>
      <w:r>
        <w:rPr/>
        <w:t>of</w:t>
      </w:r>
      <w:r>
        <w:rPr>
          <w:spacing w:val="-2"/>
        </w:rPr>
        <w:t> </w:t>
      </w:r>
      <w:r>
        <w:rPr/>
        <w:t>the</w:t>
      </w:r>
      <w:r>
        <w:rPr>
          <w:spacing w:val="-1"/>
        </w:rPr>
        <w:t> </w:t>
      </w:r>
      <w:r>
        <w:rPr/>
        <w:t>Victorian</w:t>
      </w:r>
      <w:r>
        <w:rPr>
          <w:spacing w:val="-1"/>
        </w:rPr>
        <w:t> </w:t>
      </w:r>
      <w:r>
        <w:rPr/>
        <w:t>energy</w:t>
      </w:r>
      <w:r>
        <w:rPr>
          <w:spacing w:val="-6"/>
        </w:rPr>
        <w:t> </w:t>
      </w:r>
      <w:r>
        <w:rPr/>
        <w:t>safety </w:t>
      </w:r>
      <w:r>
        <w:rPr>
          <w:spacing w:val="-2"/>
        </w:rPr>
        <w:t>framework</w:t>
      </w:r>
    </w:p>
    <w:p>
      <w:pPr>
        <w:pStyle w:val="BodyText"/>
        <w:rPr>
          <w:b/>
          <w:sz w:val="20"/>
        </w:rPr>
      </w:pPr>
    </w:p>
    <w:p>
      <w:pPr>
        <w:pStyle w:val="BodyText"/>
        <w:spacing w:before="10"/>
        <w:rPr>
          <w:b/>
          <w:sz w:val="20"/>
        </w:rPr>
      </w:pPr>
    </w:p>
    <w:tbl>
      <w:tblPr>
        <w:tblW w:w="0" w:type="auto"/>
        <w:jc w:val="left"/>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88"/>
        <w:gridCol w:w="7939"/>
      </w:tblGrid>
      <w:tr>
        <w:trPr>
          <w:trHeight w:val="489" w:hRule="atLeast"/>
        </w:trPr>
        <w:tc>
          <w:tcPr>
            <w:tcW w:w="1088" w:type="dxa"/>
            <w:tcBorders>
              <w:right w:val="single" w:sz="24" w:space="0" w:color="00B3A8"/>
            </w:tcBorders>
            <w:shd w:val="clear" w:color="auto" w:fill="E4F7F6"/>
          </w:tcPr>
          <w:p>
            <w:pPr>
              <w:pStyle w:val="TableParagraph"/>
              <w:spacing w:before="119"/>
              <w:ind w:left="112"/>
              <w:rPr>
                <w:sz w:val="18"/>
              </w:rPr>
            </w:pPr>
            <w:r>
              <w:rPr>
                <w:spacing w:val="-2"/>
                <w:sz w:val="18"/>
              </w:rPr>
              <w:t>1920s</w:t>
            </w:r>
          </w:p>
        </w:tc>
        <w:tc>
          <w:tcPr>
            <w:tcW w:w="7939" w:type="dxa"/>
            <w:tcBorders>
              <w:left w:val="single" w:sz="24" w:space="0" w:color="00B3A8"/>
            </w:tcBorders>
            <w:shd w:val="clear" w:color="auto" w:fill="E4F7F6"/>
          </w:tcPr>
          <w:p>
            <w:pPr>
              <w:pStyle w:val="TableParagraph"/>
              <w:spacing w:before="119"/>
              <w:ind w:left="115"/>
              <w:rPr>
                <w:sz w:val="18"/>
              </w:rPr>
            </w:pPr>
            <w:r>
              <w:rPr>
                <w:sz w:val="18"/>
              </w:rPr>
              <w:t>SECV</w:t>
            </w:r>
            <w:r>
              <w:rPr>
                <w:spacing w:val="-7"/>
                <w:sz w:val="18"/>
              </w:rPr>
              <w:t> </w:t>
            </w:r>
            <w:r>
              <w:rPr>
                <w:spacing w:val="-2"/>
                <w:sz w:val="18"/>
              </w:rPr>
              <w:t>established</w:t>
            </w:r>
          </w:p>
        </w:tc>
      </w:tr>
      <w:tr>
        <w:trPr>
          <w:trHeight w:val="487" w:hRule="atLeast"/>
        </w:trPr>
        <w:tc>
          <w:tcPr>
            <w:tcW w:w="1088" w:type="dxa"/>
            <w:tcBorders>
              <w:right w:val="single" w:sz="24" w:space="0" w:color="00B3A8"/>
            </w:tcBorders>
          </w:tcPr>
          <w:p>
            <w:pPr>
              <w:pStyle w:val="TableParagraph"/>
              <w:spacing w:before="119"/>
              <w:ind w:left="112"/>
              <w:rPr>
                <w:sz w:val="18"/>
              </w:rPr>
            </w:pPr>
            <w:r>
              <w:rPr>
                <w:spacing w:val="-2"/>
                <w:sz w:val="18"/>
              </w:rPr>
              <w:t>1950s</w:t>
            </w:r>
          </w:p>
        </w:tc>
        <w:tc>
          <w:tcPr>
            <w:tcW w:w="7939" w:type="dxa"/>
            <w:tcBorders>
              <w:left w:val="single" w:sz="24" w:space="0" w:color="00B3A8"/>
            </w:tcBorders>
          </w:tcPr>
          <w:p>
            <w:pPr>
              <w:pStyle w:val="TableParagraph"/>
              <w:spacing w:before="119"/>
              <w:ind w:left="115"/>
              <w:rPr>
                <w:sz w:val="18"/>
              </w:rPr>
            </w:pPr>
            <w:r>
              <w:rPr>
                <w:sz w:val="18"/>
              </w:rPr>
              <w:t>Gas</w:t>
            </w:r>
            <w:r>
              <w:rPr>
                <w:spacing w:val="-3"/>
                <w:sz w:val="18"/>
              </w:rPr>
              <w:t> </w:t>
            </w:r>
            <w:r>
              <w:rPr>
                <w:sz w:val="18"/>
              </w:rPr>
              <w:t>and</w:t>
            </w:r>
            <w:r>
              <w:rPr>
                <w:spacing w:val="-6"/>
                <w:sz w:val="18"/>
              </w:rPr>
              <w:t> </w:t>
            </w:r>
            <w:r>
              <w:rPr>
                <w:sz w:val="18"/>
              </w:rPr>
              <w:t>Fuel</w:t>
            </w:r>
            <w:r>
              <w:rPr>
                <w:spacing w:val="-3"/>
                <w:sz w:val="18"/>
              </w:rPr>
              <w:t> </w:t>
            </w:r>
            <w:r>
              <w:rPr>
                <w:sz w:val="18"/>
              </w:rPr>
              <w:t>Corporation</w:t>
            </w:r>
            <w:r>
              <w:rPr>
                <w:spacing w:val="-4"/>
                <w:sz w:val="18"/>
              </w:rPr>
              <w:t> </w:t>
            </w:r>
            <w:r>
              <w:rPr>
                <w:sz w:val="18"/>
              </w:rPr>
              <w:t>of</w:t>
            </w:r>
            <w:r>
              <w:rPr>
                <w:spacing w:val="-3"/>
                <w:sz w:val="18"/>
              </w:rPr>
              <w:t> </w:t>
            </w:r>
            <w:r>
              <w:rPr>
                <w:sz w:val="18"/>
              </w:rPr>
              <w:t>Victoria</w:t>
            </w:r>
            <w:r>
              <w:rPr>
                <w:spacing w:val="-4"/>
                <w:sz w:val="18"/>
              </w:rPr>
              <w:t> </w:t>
            </w:r>
            <w:r>
              <w:rPr>
                <w:spacing w:val="-2"/>
                <w:sz w:val="18"/>
              </w:rPr>
              <w:t>established</w:t>
            </w:r>
          </w:p>
        </w:tc>
      </w:tr>
      <w:tr>
        <w:trPr>
          <w:trHeight w:val="736" w:hRule="atLeast"/>
        </w:trPr>
        <w:tc>
          <w:tcPr>
            <w:tcW w:w="1088" w:type="dxa"/>
            <w:tcBorders>
              <w:right w:val="single" w:sz="24" w:space="0" w:color="00B3A8"/>
            </w:tcBorders>
            <w:shd w:val="clear" w:color="auto" w:fill="E4F7F6"/>
          </w:tcPr>
          <w:p>
            <w:pPr>
              <w:pStyle w:val="TableParagraph"/>
              <w:spacing w:before="2"/>
              <w:rPr>
                <w:b/>
                <w:sz w:val="21"/>
              </w:rPr>
            </w:pPr>
          </w:p>
          <w:p>
            <w:pPr>
              <w:pStyle w:val="TableParagraph"/>
              <w:ind w:left="112"/>
              <w:rPr>
                <w:sz w:val="18"/>
              </w:rPr>
            </w:pPr>
            <w:r>
              <w:rPr>
                <w:spacing w:val="-4"/>
                <w:sz w:val="18"/>
              </w:rPr>
              <w:t>1983</w:t>
            </w:r>
          </w:p>
        </w:tc>
        <w:tc>
          <w:tcPr>
            <w:tcW w:w="7939" w:type="dxa"/>
            <w:tcBorders>
              <w:left w:val="single" w:sz="24" w:space="0" w:color="00B3A8"/>
            </w:tcBorders>
            <w:shd w:val="clear" w:color="auto" w:fill="E4F7F6"/>
          </w:tcPr>
          <w:p>
            <w:pPr>
              <w:pStyle w:val="TableParagraph"/>
              <w:spacing w:line="290" w:lineRule="auto" w:before="119"/>
              <w:ind w:left="115"/>
              <w:rPr>
                <w:sz w:val="18"/>
              </w:rPr>
            </w:pPr>
            <w:r>
              <w:rPr>
                <w:sz w:val="18"/>
              </w:rPr>
              <w:t>Ash</w:t>
            </w:r>
            <w:r>
              <w:rPr>
                <w:spacing w:val="-7"/>
                <w:sz w:val="18"/>
              </w:rPr>
              <w:t> </w:t>
            </w:r>
            <w:r>
              <w:rPr>
                <w:sz w:val="18"/>
              </w:rPr>
              <w:t>Wednesday</w:t>
            </w:r>
            <w:r>
              <w:rPr>
                <w:spacing w:val="-5"/>
                <w:sz w:val="18"/>
              </w:rPr>
              <w:t> </w:t>
            </w:r>
            <w:r>
              <w:rPr>
                <w:sz w:val="18"/>
              </w:rPr>
              <w:t>bushfires,</w:t>
            </w:r>
            <w:r>
              <w:rPr>
                <w:spacing w:val="-3"/>
                <w:sz w:val="18"/>
              </w:rPr>
              <w:t> </w:t>
            </w:r>
            <w:r>
              <w:rPr>
                <w:sz w:val="18"/>
              </w:rPr>
              <w:t>mandatory</w:t>
            </w:r>
            <w:r>
              <w:rPr>
                <w:spacing w:val="-5"/>
                <w:sz w:val="18"/>
              </w:rPr>
              <w:t> </w:t>
            </w:r>
            <w:r>
              <w:rPr>
                <w:sz w:val="18"/>
              </w:rPr>
              <w:t>code</w:t>
            </w:r>
            <w:r>
              <w:rPr>
                <w:spacing w:val="-5"/>
                <w:sz w:val="18"/>
              </w:rPr>
              <w:t> </w:t>
            </w:r>
            <w:r>
              <w:rPr>
                <w:sz w:val="18"/>
              </w:rPr>
              <w:t>of practice</w:t>
            </w:r>
            <w:r>
              <w:rPr>
                <w:spacing w:val="-5"/>
                <w:sz w:val="18"/>
              </w:rPr>
              <w:t> </w:t>
            </w:r>
            <w:r>
              <w:rPr>
                <w:sz w:val="18"/>
              </w:rPr>
              <w:t>for</w:t>
            </w:r>
            <w:r>
              <w:rPr>
                <w:spacing w:val="-3"/>
                <w:sz w:val="18"/>
              </w:rPr>
              <w:t> </w:t>
            </w:r>
            <w:r>
              <w:rPr>
                <w:sz w:val="18"/>
              </w:rPr>
              <w:t>vegetation</w:t>
            </w:r>
            <w:r>
              <w:rPr>
                <w:spacing w:val="-5"/>
                <w:sz w:val="18"/>
              </w:rPr>
              <w:t> </w:t>
            </w:r>
            <w:r>
              <w:rPr>
                <w:sz w:val="18"/>
              </w:rPr>
              <w:t>management</w:t>
            </w:r>
            <w:r>
              <w:rPr>
                <w:spacing w:val="-5"/>
                <w:sz w:val="18"/>
              </w:rPr>
              <w:t> </w:t>
            </w:r>
            <w:r>
              <w:rPr>
                <w:sz w:val="18"/>
              </w:rPr>
              <w:t>near</w:t>
            </w:r>
            <w:r>
              <w:rPr>
                <w:spacing w:val="-6"/>
                <w:sz w:val="18"/>
              </w:rPr>
              <w:t> </w:t>
            </w:r>
            <w:r>
              <w:rPr>
                <w:sz w:val="18"/>
              </w:rPr>
              <w:t>electric lines introduced</w:t>
            </w:r>
          </w:p>
        </w:tc>
      </w:tr>
      <w:tr>
        <w:trPr>
          <w:trHeight w:val="489" w:hRule="atLeast"/>
        </w:trPr>
        <w:tc>
          <w:tcPr>
            <w:tcW w:w="1088" w:type="dxa"/>
            <w:tcBorders>
              <w:right w:val="single" w:sz="24" w:space="0" w:color="00B3A8"/>
            </w:tcBorders>
          </w:tcPr>
          <w:p>
            <w:pPr>
              <w:pStyle w:val="TableParagraph"/>
              <w:spacing w:before="119"/>
              <w:ind w:left="112"/>
              <w:rPr>
                <w:sz w:val="18"/>
              </w:rPr>
            </w:pPr>
            <w:r>
              <w:rPr>
                <w:spacing w:val="-4"/>
                <w:sz w:val="18"/>
              </w:rPr>
              <w:t>1993</w:t>
            </w:r>
          </w:p>
        </w:tc>
        <w:tc>
          <w:tcPr>
            <w:tcW w:w="7939" w:type="dxa"/>
            <w:tcBorders>
              <w:left w:val="single" w:sz="24" w:space="0" w:color="00B3A8"/>
            </w:tcBorders>
          </w:tcPr>
          <w:p>
            <w:pPr>
              <w:pStyle w:val="TableParagraph"/>
              <w:spacing w:before="119"/>
              <w:ind w:left="115"/>
              <w:rPr>
                <w:sz w:val="18"/>
              </w:rPr>
            </w:pPr>
            <w:r>
              <w:rPr>
                <w:sz w:val="18"/>
              </w:rPr>
              <w:t>Chief</w:t>
            </w:r>
            <w:r>
              <w:rPr>
                <w:spacing w:val="-5"/>
                <w:sz w:val="18"/>
              </w:rPr>
              <w:t> </w:t>
            </w:r>
            <w:r>
              <w:rPr>
                <w:sz w:val="18"/>
              </w:rPr>
              <w:t>Electrical</w:t>
            </w:r>
            <w:r>
              <w:rPr>
                <w:spacing w:val="-5"/>
                <w:sz w:val="18"/>
              </w:rPr>
              <w:t> </w:t>
            </w:r>
            <w:r>
              <w:rPr>
                <w:sz w:val="18"/>
              </w:rPr>
              <w:t>Inspector</w:t>
            </w:r>
            <w:r>
              <w:rPr>
                <w:spacing w:val="-8"/>
                <w:sz w:val="18"/>
              </w:rPr>
              <w:t> </w:t>
            </w:r>
            <w:r>
              <w:rPr>
                <w:sz w:val="18"/>
              </w:rPr>
              <w:t>established</w:t>
            </w:r>
            <w:r>
              <w:rPr>
                <w:spacing w:val="-5"/>
                <w:sz w:val="18"/>
              </w:rPr>
              <w:t> </w:t>
            </w:r>
            <w:r>
              <w:rPr>
                <w:sz w:val="18"/>
              </w:rPr>
              <w:t>within</w:t>
            </w:r>
            <w:r>
              <w:rPr>
                <w:spacing w:val="-5"/>
                <w:sz w:val="18"/>
              </w:rPr>
              <w:t> </w:t>
            </w:r>
            <w:r>
              <w:rPr>
                <w:spacing w:val="-4"/>
                <w:sz w:val="18"/>
              </w:rPr>
              <w:t>SECV</w:t>
            </w:r>
          </w:p>
        </w:tc>
      </w:tr>
      <w:tr>
        <w:trPr>
          <w:trHeight w:val="737" w:hRule="atLeast"/>
        </w:trPr>
        <w:tc>
          <w:tcPr>
            <w:tcW w:w="1088" w:type="dxa"/>
            <w:tcBorders>
              <w:right w:val="single" w:sz="24" w:space="0" w:color="00B3A8"/>
            </w:tcBorders>
            <w:shd w:val="clear" w:color="auto" w:fill="E4F7F6"/>
          </w:tcPr>
          <w:p>
            <w:pPr>
              <w:pStyle w:val="TableParagraph"/>
              <w:spacing w:line="285" w:lineRule="auto" w:before="119"/>
              <w:ind w:left="112" w:right="445" w:firstLine="50"/>
              <w:rPr>
                <w:sz w:val="18"/>
              </w:rPr>
            </w:pPr>
            <w:r>
              <w:rPr>
                <w:spacing w:val="-4"/>
                <w:sz w:val="18"/>
              </w:rPr>
              <w:t>Late </w:t>
            </w:r>
            <w:r>
              <w:rPr>
                <w:spacing w:val="-2"/>
                <w:sz w:val="18"/>
              </w:rPr>
              <w:t>1990s</w:t>
            </w:r>
          </w:p>
        </w:tc>
        <w:tc>
          <w:tcPr>
            <w:tcW w:w="7939" w:type="dxa"/>
            <w:tcBorders>
              <w:left w:val="single" w:sz="24" w:space="0" w:color="00B3A8"/>
            </w:tcBorders>
            <w:shd w:val="clear" w:color="auto" w:fill="E4F7F6"/>
          </w:tcPr>
          <w:p>
            <w:pPr>
              <w:pStyle w:val="TableParagraph"/>
              <w:spacing w:before="9"/>
              <w:rPr>
                <w:b/>
                <w:sz w:val="20"/>
              </w:rPr>
            </w:pPr>
          </w:p>
          <w:p>
            <w:pPr>
              <w:pStyle w:val="TableParagraph"/>
              <w:ind w:left="115"/>
              <w:rPr>
                <w:sz w:val="18"/>
              </w:rPr>
            </w:pPr>
            <w:r>
              <w:rPr>
                <w:sz w:val="18"/>
              </w:rPr>
              <w:t>Victoria’s</w:t>
            </w:r>
            <w:r>
              <w:rPr>
                <w:spacing w:val="-3"/>
                <w:sz w:val="18"/>
              </w:rPr>
              <w:t> </w:t>
            </w:r>
            <w:r>
              <w:rPr>
                <w:sz w:val="18"/>
              </w:rPr>
              <w:t>state-owned</w:t>
            </w:r>
            <w:r>
              <w:rPr>
                <w:spacing w:val="-4"/>
                <w:sz w:val="18"/>
              </w:rPr>
              <w:t> </w:t>
            </w:r>
            <w:r>
              <w:rPr>
                <w:sz w:val="18"/>
              </w:rPr>
              <w:t>electricity</w:t>
            </w:r>
            <w:r>
              <w:rPr>
                <w:spacing w:val="-6"/>
                <w:sz w:val="18"/>
              </w:rPr>
              <w:t> </w:t>
            </w:r>
            <w:r>
              <w:rPr>
                <w:sz w:val="18"/>
              </w:rPr>
              <w:t>and</w:t>
            </w:r>
            <w:r>
              <w:rPr>
                <w:spacing w:val="-4"/>
                <w:sz w:val="18"/>
              </w:rPr>
              <w:t> </w:t>
            </w:r>
            <w:r>
              <w:rPr>
                <w:sz w:val="18"/>
              </w:rPr>
              <w:t>gas</w:t>
            </w:r>
            <w:r>
              <w:rPr>
                <w:spacing w:val="-3"/>
                <w:sz w:val="18"/>
              </w:rPr>
              <w:t> </w:t>
            </w:r>
            <w:r>
              <w:rPr>
                <w:sz w:val="18"/>
              </w:rPr>
              <w:t>assets</w:t>
            </w:r>
            <w:r>
              <w:rPr>
                <w:spacing w:val="-5"/>
                <w:sz w:val="18"/>
              </w:rPr>
              <w:t> </w:t>
            </w:r>
            <w:r>
              <w:rPr>
                <w:spacing w:val="-2"/>
                <w:sz w:val="18"/>
              </w:rPr>
              <w:t>privatised</w:t>
            </w:r>
          </w:p>
        </w:tc>
      </w:tr>
      <w:tr>
        <w:trPr>
          <w:trHeight w:val="736" w:hRule="atLeast"/>
        </w:trPr>
        <w:tc>
          <w:tcPr>
            <w:tcW w:w="1088" w:type="dxa"/>
            <w:tcBorders>
              <w:right w:val="single" w:sz="24" w:space="0" w:color="00B3A8"/>
            </w:tcBorders>
          </w:tcPr>
          <w:p>
            <w:pPr>
              <w:pStyle w:val="TableParagraph"/>
              <w:spacing w:before="119"/>
              <w:ind w:left="112"/>
              <w:rPr>
                <w:sz w:val="18"/>
              </w:rPr>
            </w:pPr>
            <w:r>
              <w:rPr>
                <w:spacing w:val="-4"/>
                <w:sz w:val="18"/>
              </w:rPr>
              <w:t>1997</w:t>
            </w:r>
          </w:p>
        </w:tc>
        <w:tc>
          <w:tcPr>
            <w:tcW w:w="7939" w:type="dxa"/>
            <w:tcBorders>
              <w:left w:val="single" w:sz="24" w:space="0" w:color="00B3A8"/>
            </w:tcBorders>
          </w:tcPr>
          <w:p>
            <w:pPr>
              <w:pStyle w:val="TableParagraph"/>
              <w:spacing w:line="285" w:lineRule="auto" w:before="119"/>
              <w:ind w:left="115"/>
              <w:rPr>
                <w:sz w:val="18"/>
              </w:rPr>
            </w:pPr>
            <w:r>
              <w:rPr>
                <w:i/>
                <w:sz w:val="18"/>
              </w:rPr>
              <w:t>Gas</w:t>
            </w:r>
            <w:r>
              <w:rPr>
                <w:i/>
                <w:spacing w:val="-2"/>
                <w:sz w:val="18"/>
              </w:rPr>
              <w:t> </w:t>
            </w:r>
            <w:r>
              <w:rPr>
                <w:i/>
                <w:sz w:val="18"/>
              </w:rPr>
              <w:t>Safety</w:t>
            </w:r>
            <w:r>
              <w:rPr>
                <w:i/>
                <w:spacing w:val="-2"/>
                <w:sz w:val="18"/>
              </w:rPr>
              <w:t> </w:t>
            </w:r>
            <w:r>
              <w:rPr>
                <w:i/>
                <w:sz w:val="18"/>
              </w:rPr>
              <w:t>Act</w:t>
            </w:r>
            <w:r>
              <w:rPr>
                <w:i/>
                <w:spacing w:val="-3"/>
                <w:sz w:val="18"/>
              </w:rPr>
              <w:t> </w:t>
            </w:r>
            <w:r>
              <w:rPr>
                <w:i/>
                <w:sz w:val="18"/>
              </w:rPr>
              <w:t>1997</w:t>
            </w:r>
            <w:r>
              <w:rPr>
                <w:i/>
                <w:spacing w:val="-3"/>
                <w:sz w:val="18"/>
              </w:rPr>
              <w:t> </w:t>
            </w:r>
            <w:r>
              <w:rPr>
                <w:sz w:val="18"/>
              </w:rPr>
              <w:t>passed,</w:t>
            </w:r>
            <w:r>
              <w:rPr>
                <w:spacing w:val="-5"/>
                <w:sz w:val="18"/>
              </w:rPr>
              <w:t> </w:t>
            </w:r>
            <w:r>
              <w:rPr>
                <w:sz w:val="18"/>
              </w:rPr>
              <w:t>Office</w:t>
            </w:r>
            <w:r>
              <w:rPr>
                <w:spacing w:val="-5"/>
                <w:sz w:val="18"/>
              </w:rPr>
              <w:t> </w:t>
            </w:r>
            <w:r>
              <w:rPr>
                <w:sz w:val="18"/>
              </w:rPr>
              <w:t>of</w:t>
            </w:r>
            <w:r>
              <w:rPr>
                <w:spacing w:val="-3"/>
                <w:sz w:val="18"/>
              </w:rPr>
              <w:t> </w:t>
            </w:r>
            <w:r>
              <w:rPr>
                <w:sz w:val="18"/>
              </w:rPr>
              <w:t>Gas</w:t>
            </w:r>
            <w:r>
              <w:rPr>
                <w:spacing w:val="-2"/>
                <w:sz w:val="18"/>
              </w:rPr>
              <w:t> </w:t>
            </w:r>
            <w:r>
              <w:rPr>
                <w:sz w:val="18"/>
              </w:rPr>
              <w:t>Safety</w:t>
            </w:r>
            <w:r>
              <w:rPr>
                <w:spacing w:val="-1"/>
                <w:sz w:val="18"/>
              </w:rPr>
              <w:t> </w:t>
            </w:r>
            <w:r>
              <w:rPr>
                <w:sz w:val="18"/>
              </w:rPr>
              <w:t>established,</w:t>
            </w:r>
            <w:r>
              <w:rPr>
                <w:spacing w:val="-3"/>
                <w:sz w:val="18"/>
              </w:rPr>
              <w:t> </w:t>
            </w:r>
            <w:r>
              <w:rPr>
                <w:sz w:val="18"/>
              </w:rPr>
              <w:t>safety</w:t>
            </w:r>
            <w:r>
              <w:rPr>
                <w:spacing w:val="-4"/>
                <w:sz w:val="18"/>
              </w:rPr>
              <w:t> </w:t>
            </w:r>
            <w:r>
              <w:rPr>
                <w:sz w:val="18"/>
              </w:rPr>
              <w:t>cases</w:t>
            </w:r>
            <w:r>
              <w:rPr>
                <w:spacing w:val="-2"/>
                <w:sz w:val="18"/>
              </w:rPr>
              <w:t> </w:t>
            </w:r>
            <w:r>
              <w:rPr>
                <w:sz w:val="18"/>
              </w:rPr>
              <w:t>introduced</w:t>
            </w:r>
            <w:r>
              <w:rPr>
                <w:spacing w:val="-3"/>
                <w:sz w:val="18"/>
              </w:rPr>
              <w:t> </w:t>
            </w:r>
            <w:r>
              <w:rPr>
                <w:sz w:val="18"/>
              </w:rPr>
              <w:t>for</w:t>
            </w:r>
            <w:r>
              <w:rPr>
                <w:spacing w:val="-6"/>
                <w:sz w:val="18"/>
              </w:rPr>
              <w:t> </w:t>
            </w:r>
            <w:r>
              <w:rPr>
                <w:sz w:val="18"/>
              </w:rPr>
              <w:t>gas supply in Victoria</w:t>
            </w:r>
          </w:p>
        </w:tc>
      </w:tr>
      <w:tr>
        <w:trPr>
          <w:trHeight w:val="736" w:hRule="atLeast"/>
        </w:trPr>
        <w:tc>
          <w:tcPr>
            <w:tcW w:w="1088" w:type="dxa"/>
            <w:tcBorders>
              <w:right w:val="single" w:sz="24" w:space="0" w:color="00B3A8"/>
            </w:tcBorders>
            <w:shd w:val="clear" w:color="auto" w:fill="E4F7F6"/>
          </w:tcPr>
          <w:p>
            <w:pPr>
              <w:pStyle w:val="TableParagraph"/>
              <w:rPr>
                <w:b/>
                <w:sz w:val="21"/>
              </w:rPr>
            </w:pPr>
          </w:p>
          <w:p>
            <w:pPr>
              <w:pStyle w:val="TableParagraph"/>
              <w:ind w:left="112"/>
              <w:rPr>
                <w:sz w:val="18"/>
              </w:rPr>
            </w:pPr>
            <w:r>
              <w:rPr>
                <w:spacing w:val="-4"/>
                <w:sz w:val="18"/>
              </w:rPr>
              <w:t>1998</w:t>
            </w:r>
          </w:p>
        </w:tc>
        <w:tc>
          <w:tcPr>
            <w:tcW w:w="7939" w:type="dxa"/>
            <w:tcBorders>
              <w:left w:val="single" w:sz="24" w:space="0" w:color="00B3A8"/>
            </w:tcBorders>
            <w:shd w:val="clear" w:color="auto" w:fill="E4F7F6"/>
          </w:tcPr>
          <w:p>
            <w:pPr>
              <w:pStyle w:val="TableParagraph"/>
              <w:spacing w:line="285" w:lineRule="auto" w:before="119"/>
              <w:ind w:left="115" w:right="83"/>
              <w:rPr>
                <w:sz w:val="18"/>
              </w:rPr>
            </w:pPr>
            <w:r>
              <w:rPr>
                <w:i/>
                <w:sz w:val="18"/>
              </w:rPr>
              <w:t>Electricity</w:t>
            </w:r>
            <w:r>
              <w:rPr>
                <w:i/>
                <w:spacing w:val="-3"/>
                <w:sz w:val="18"/>
              </w:rPr>
              <w:t> </w:t>
            </w:r>
            <w:r>
              <w:rPr>
                <w:i/>
                <w:sz w:val="18"/>
              </w:rPr>
              <w:t>Safety</w:t>
            </w:r>
            <w:r>
              <w:rPr>
                <w:i/>
                <w:spacing w:val="-3"/>
                <w:sz w:val="18"/>
              </w:rPr>
              <w:t> </w:t>
            </w:r>
            <w:r>
              <w:rPr>
                <w:i/>
                <w:sz w:val="18"/>
              </w:rPr>
              <w:t>Act</w:t>
            </w:r>
            <w:r>
              <w:rPr>
                <w:i/>
                <w:spacing w:val="-6"/>
                <w:sz w:val="18"/>
              </w:rPr>
              <w:t> </w:t>
            </w:r>
            <w:r>
              <w:rPr>
                <w:i/>
                <w:sz w:val="18"/>
              </w:rPr>
              <w:t>1998</w:t>
            </w:r>
            <w:r>
              <w:rPr>
                <w:i/>
                <w:spacing w:val="-1"/>
                <w:sz w:val="18"/>
              </w:rPr>
              <w:t> </w:t>
            </w:r>
            <w:r>
              <w:rPr>
                <w:sz w:val="18"/>
              </w:rPr>
              <w:t>passed,</w:t>
            </w:r>
            <w:r>
              <w:rPr>
                <w:spacing w:val="-4"/>
                <w:sz w:val="18"/>
              </w:rPr>
              <w:t> </w:t>
            </w:r>
            <w:r>
              <w:rPr>
                <w:sz w:val="18"/>
              </w:rPr>
              <w:t>Office</w:t>
            </w:r>
            <w:r>
              <w:rPr>
                <w:spacing w:val="-6"/>
                <w:sz w:val="18"/>
              </w:rPr>
              <w:t> </w:t>
            </w:r>
            <w:r>
              <w:rPr>
                <w:sz w:val="18"/>
              </w:rPr>
              <w:t>of</w:t>
            </w:r>
            <w:r>
              <w:rPr>
                <w:spacing w:val="-4"/>
                <w:sz w:val="18"/>
              </w:rPr>
              <w:t> </w:t>
            </w:r>
            <w:r>
              <w:rPr>
                <w:sz w:val="18"/>
              </w:rPr>
              <w:t>the</w:t>
            </w:r>
            <w:r>
              <w:rPr>
                <w:spacing w:val="-4"/>
                <w:sz w:val="18"/>
              </w:rPr>
              <w:t> </w:t>
            </w:r>
            <w:r>
              <w:rPr>
                <w:sz w:val="18"/>
              </w:rPr>
              <w:t>Chief</w:t>
            </w:r>
            <w:r>
              <w:rPr>
                <w:spacing w:val="-4"/>
                <w:sz w:val="18"/>
              </w:rPr>
              <w:t> </w:t>
            </w:r>
            <w:r>
              <w:rPr>
                <w:sz w:val="18"/>
              </w:rPr>
              <w:t>Electrical</w:t>
            </w:r>
            <w:r>
              <w:rPr>
                <w:spacing w:val="-4"/>
                <w:sz w:val="18"/>
              </w:rPr>
              <w:t> </w:t>
            </w:r>
            <w:r>
              <w:rPr>
                <w:sz w:val="18"/>
              </w:rPr>
              <w:t>Inspector</w:t>
            </w:r>
            <w:r>
              <w:rPr>
                <w:spacing w:val="-4"/>
                <w:sz w:val="18"/>
              </w:rPr>
              <w:t> </w:t>
            </w:r>
            <w:r>
              <w:rPr>
                <w:sz w:val="18"/>
              </w:rPr>
              <w:t>becomes</w:t>
            </w:r>
            <w:r>
              <w:rPr>
                <w:spacing w:val="-3"/>
                <w:sz w:val="18"/>
              </w:rPr>
              <w:t> </w:t>
            </w:r>
            <w:r>
              <w:rPr>
                <w:sz w:val="18"/>
              </w:rPr>
              <w:t>independent of SECV</w:t>
            </w:r>
          </w:p>
        </w:tc>
      </w:tr>
      <w:tr>
        <w:trPr>
          <w:trHeight w:val="487" w:hRule="atLeast"/>
        </w:trPr>
        <w:tc>
          <w:tcPr>
            <w:tcW w:w="1088" w:type="dxa"/>
            <w:tcBorders>
              <w:right w:val="single" w:sz="24" w:space="0" w:color="00B3A8"/>
            </w:tcBorders>
          </w:tcPr>
          <w:p>
            <w:pPr>
              <w:pStyle w:val="TableParagraph"/>
              <w:spacing w:before="119"/>
              <w:ind w:left="112"/>
              <w:rPr>
                <w:sz w:val="18"/>
              </w:rPr>
            </w:pPr>
            <w:r>
              <w:rPr>
                <w:spacing w:val="-4"/>
                <w:sz w:val="18"/>
              </w:rPr>
              <w:t>1998</w:t>
            </w:r>
          </w:p>
        </w:tc>
        <w:tc>
          <w:tcPr>
            <w:tcW w:w="7939" w:type="dxa"/>
            <w:tcBorders>
              <w:left w:val="single" w:sz="24" w:space="0" w:color="00B3A8"/>
            </w:tcBorders>
          </w:tcPr>
          <w:p>
            <w:pPr>
              <w:pStyle w:val="TableParagraph"/>
              <w:spacing w:before="119"/>
              <w:ind w:left="115"/>
              <w:rPr>
                <w:sz w:val="18"/>
              </w:rPr>
            </w:pPr>
            <w:r>
              <w:rPr>
                <w:sz w:val="18"/>
              </w:rPr>
              <w:t>Longford</w:t>
            </w:r>
            <w:r>
              <w:rPr>
                <w:spacing w:val="-5"/>
                <w:sz w:val="18"/>
              </w:rPr>
              <w:t> </w:t>
            </w:r>
            <w:r>
              <w:rPr>
                <w:sz w:val="18"/>
              </w:rPr>
              <w:t>gas</w:t>
            </w:r>
            <w:r>
              <w:rPr>
                <w:spacing w:val="-4"/>
                <w:sz w:val="18"/>
              </w:rPr>
              <w:t> </w:t>
            </w:r>
            <w:r>
              <w:rPr>
                <w:sz w:val="18"/>
              </w:rPr>
              <w:t>plant</w:t>
            </w:r>
            <w:r>
              <w:rPr>
                <w:spacing w:val="-2"/>
                <w:sz w:val="18"/>
              </w:rPr>
              <w:t> explosion</w:t>
            </w:r>
          </w:p>
        </w:tc>
      </w:tr>
      <w:tr>
        <w:trPr>
          <w:trHeight w:val="736" w:hRule="atLeast"/>
        </w:trPr>
        <w:tc>
          <w:tcPr>
            <w:tcW w:w="1088" w:type="dxa"/>
            <w:tcBorders>
              <w:right w:val="single" w:sz="24" w:space="0" w:color="00B3A8"/>
            </w:tcBorders>
            <w:shd w:val="clear" w:color="auto" w:fill="E4F7F6"/>
          </w:tcPr>
          <w:p>
            <w:pPr>
              <w:pStyle w:val="TableParagraph"/>
              <w:spacing w:before="2"/>
              <w:rPr>
                <w:b/>
                <w:sz w:val="21"/>
              </w:rPr>
            </w:pPr>
          </w:p>
          <w:p>
            <w:pPr>
              <w:pStyle w:val="TableParagraph"/>
              <w:ind w:left="112"/>
              <w:rPr>
                <w:sz w:val="18"/>
              </w:rPr>
            </w:pPr>
            <w:r>
              <w:rPr>
                <w:spacing w:val="-4"/>
                <w:sz w:val="18"/>
              </w:rPr>
              <w:t>2005</w:t>
            </w:r>
          </w:p>
        </w:tc>
        <w:tc>
          <w:tcPr>
            <w:tcW w:w="7939" w:type="dxa"/>
            <w:tcBorders>
              <w:left w:val="single" w:sz="24" w:space="0" w:color="00B3A8"/>
            </w:tcBorders>
            <w:shd w:val="clear" w:color="auto" w:fill="E4F7F6"/>
          </w:tcPr>
          <w:p>
            <w:pPr>
              <w:pStyle w:val="TableParagraph"/>
              <w:spacing w:line="290" w:lineRule="auto" w:before="119"/>
              <w:ind w:left="115"/>
              <w:rPr>
                <w:sz w:val="18"/>
              </w:rPr>
            </w:pPr>
            <w:r>
              <w:rPr>
                <w:i/>
                <w:sz w:val="18"/>
              </w:rPr>
              <w:t>Energy</w:t>
            </w:r>
            <w:r>
              <w:rPr>
                <w:i/>
                <w:spacing w:val="-5"/>
                <w:sz w:val="18"/>
              </w:rPr>
              <w:t> </w:t>
            </w:r>
            <w:r>
              <w:rPr>
                <w:i/>
                <w:sz w:val="18"/>
              </w:rPr>
              <w:t>Safe</w:t>
            </w:r>
            <w:r>
              <w:rPr>
                <w:i/>
                <w:spacing w:val="-3"/>
                <w:sz w:val="18"/>
              </w:rPr>
              <w:t> </w:t>
            </w:r>
            <w:r>
              <w:rPr>
                <w:i/>
                <w:sz w:val="18"/>
              </w:rPr>
              <w:t>Victoria</w:t>
            </w:r>
            <w:r>
              <w:rPr>
                <w:i/>
                <w:spacing w:val="-3"/>
                <w:sz w:val="18"/>
              </w:rPr>
              <w:t> </w:t>
            </w:r>
            <w:r>
              <w:rPr>
                <w:i/>
                <w:sz w:val="18"/>
              </w:rPr>
              <w:t>Act</w:t>
            </w:r>
            <w:r>
              <w:rPr>
                <w:i/>
                <w:spacing w:val="-5"/>
                <w:sz w:val="18"/>
              </w:rPr>
              <w:t> </w:t>
            </w:r>
            <w:r>
              <w:rPr>
                <w:i/>
                <w:sz w:val="18"/>
              </w:rPr>
              <w:t>2005</w:t>
            </w:r>
            <w:r>
              <w:rPr>
                <w:i/>
                <w:spacing w:val="-4"/>
                <w:sz w:val="18"/>
              </w:rPr>
              <w:t> </w:t>
            </w:r>
            <w:r>
              <w:rPr>
                <w:sz w:val="18"/>
              </w:rPr>
              <w:t>passed</w:t>
            </w:r>
            <w:r>
              <w:rPr>
                <w:spacing w:val="-3"/>
                <w:sz w:val="18"/>
              </w:rPr>
              <w:t> </w:t>
            </w:r>
            <w:r>
              <w:rPr>
                <w:sz w:val="18"/>
              </w:rPr>
              <w:t>to</w:t>
            </w:r>
            <w:r>
              <w:rPr>
                <w:spacing w:val="-3"/>
                <w:sz w:val="18"/>
              </w:rPr>
              <w:t> </w:t>
            </w:r>
            <w:r>
              <w:rPr>
                <w:sz w:val="18"/>
              </w:rPr>
              <w:t>establish</w:t>
            </w:r>
            <w:r>
              <w:rPr>
                <w:spacing w:val="-3"/>
                <w:sz w:val="18"/>
              </w:rPr>
              <w:t> </w:t>
            </w:r>
            <w:r>
              <w:rPr>
                <w:sz w:val="18"/>
              </w:rPr>
              <w:t>ESV, </w:t>
            </w:r>
            <w:r>
              <w:rPr>
                <w:i/>
                <w:sz w:val="18"/>
              </w:rPr>
              <w:t>Pipelines</w:t>
            </w:r>
            <w:r>
              <w:rPr>
                <w:i/>
                <w:spacing w:val="-5"/>
                <w:sz w:val="18"/>
              </w:rPr>
              <w:t> </w:t>
            </w:r>
            <w:r>
              <w:rPr>
                <w:i/>
                <w:sz w:val="18"/>
              </w:rPr>
              <w:t>Act</w:t>
            </w:r>
            <w:r>
              <w:rPr>
                <w:i/>
                <w:spacing w:val="-5"/>
                <w:sz w:val="18"/>
              </w:rPr>
              <w:t> </w:t>
            </w:r>
            <w:r>
              <w:rPr>
                <w:i/>
                <w:sz w:val="18"/>
              </w:rPr>
              <w:t>2005</w:t>
            </w:r>
            <w:r>
              <w:rPr>
                <w:i/>
                <w:spacing w:val="-3"/>
                <w:sz w:val="18"/>
              </w:rPr>
              <w:t> </w:t>
            </w:r>
            <w:r>
              <w:rPr>
                <w:sz w:val="18"/>
              </w:rPr>
              <w:t>passed</w:t>
            </w:r>
            <w:r>
              <w:rPr>
                <w:spacing w:val="-3"/>
                <w:sz w:val="18"/>
              </w:rPr>
              <w:t> </w:t>
            </w:r>
            <w:r>
              <w:rPr>
                <w:sz w:val="18"/>
              </w:rPr>
              <w:t>to</w:t>
            </w:r>
            <w:r>
              <w:rPr>
                <w:spacing w:val="-5"/>
                <w:sz w:val="18"/>
              </w:rPr>
              <w:t> </w:t>
            </w:r>
            <w:r>
              <w:rPr>
                <w:sz w:val="18"/>
              </w:rPr>
              <w:t>improve pipeline safety, f-factor Incentive Scheme introduced</w:t>
            </w:r>
          </w:p>
        </w:tc>
      </w:tr>
      <w:tr>
        <w:trPr>
          <w:trHeight w:val="487" w:hRule="atLeast"/>
        </w:trPr>
        <w:tc>
          <w:tcPr>
            <w:tcW w:w="1088" w:type="dxa"/>
            <w:tcBorders>
              <w:right w:val="single" w:sz="24" w:space="0" w:color="00B3A8"/>
            </w:tcBorders>
          </w:tcPr>
          <w:p>
            <w:pPr>
              <w:pStyle w:val="TableParagraph"/>
              <w:spacing w:before="119"/>
              <w:ind w:left="112"/>
              <w:rPr>
                <w:sz w:val="18"/>
              </w:rPr>
            </w:pPr>
            <w:r>
              <w:rPr>
                <w:spacing w:val="-4"/>
                <w:sz w:val="18"/>
              </w:rPr>
              <w:t>2009</w:t>
            </w:r>
          </w:p>
        </w:tc>
        <w:tc>
          <w:tcPr>
            <w:tcW w:w="7939" w:type="dxa"/>
            <w:tcBorders>
              <w:left w:val="single" w:sz="24" w:space="0" w:color="00B3A8"/>
            </w:tcBorders>
          </w:tcPr>
          <w:p>
            <w:pPr>
              <w:pStyle w:val="TableParagraph"/>
              <w:spacing w:before="119"/>
              <w:ind w:left="115"/>
              <w:rPr>
                <w:sz w:val="18"/>
              </w:rPr>
            </w:pPr>
            <w:r>
              <w:rPr>
                <w:sz w:val="18"/>
              </w:rPr>
              <w:t>Black</w:t>
            </w:r>
            <w:r>
              <w:rPr>
                <w:spacing w:val="-4"/>
                <w:sz w:val="18"/>
              </w:rPr>
              <w:t> </w:t>
            </w:r>
            <w:r>
              <w:rPr>
                <w:sz w:val="18"/>
              </w:rPr>
              <w:t>Saturday</w:t>
            </w:r>
            <w:r>
              <w:rPr>
                <w:spacing w:val="-5"/>
                <w:sz w:val="18"/>
              </w:rPr>
              <w:t> </w:t>
            </w:r>
            <w:r>
              <w:rPr>
                <w:spacing w:val="-2"/>
                <w:sz w:val="18"/>
              </w:rPr>
              <w:t>bushfires</w:t>
            </w:r>
          </w:p>
        </w:tc>
      </w:tr>
      <w:tr>
        <w:trPr>
          <w:trHeight w:val="737" w:hRule="atLeast"/>
        </w:trPr>
        <w:tc>
          <w:tcPr>
            <w:tcW w:w="1088" w:type="dxa"/>
            <w:tcBorders>
              <w:right w:val="single" w:sz="24" w:space="0" w:color="00B3A8"/>
            </w:tcBorders>
            <w:shd w:val="clear" w:color="auto" w:fill="E4F7F6"/>
          </w:tcPr>
          <w:p>
            <w:pPr>
              <w:pStyle w:val="TableParagraph"/>
              <w:spacing w:before="119"/>
              <w:ind w:left="112"/>
              <w:rPr>
                <w:sz w:val="18"/>
              </w:rPr>
            </w:pPr>
            <w:r>
              <w:rPr>
                <w:spacing w:val="-4"/>
                <w:sz w:val="18"/>
              </w:rPr>
              <w:t>2010</w:t>
            </w:r>
          </w:p>
        </w:tc>
        <w:tc>
          <w:tcPr>
            <w:tcW w:w="7939" w:type="dxa"/>
            <w:tcBorders>
              <w:left w:val="single" w:sz="24" w:space="0" w:color="00B3A8"/>
            </w:tcBorders>
            <w:shd w:val="clear" w:color="auto" w:fill="E4F7F6"/>
          </w:tcPr>
          <w:p>
            <w:pPr>
              <w:pStyle w:val="TableParagraph"/>
              <w:spacing w:line="290" w:lineRule="auto" w:before="119"/>
              <w:ind w:left="115" w:right="205"/>
              <w:rPr>
                <w:sz w:val="18"/>
              </w:rPr>
            </w:pPr>
            <w:r>
              <w:rPr>
                <w:sz w:val="18"/>
              </w:rPr>
              <w:t>Electricity</w:t>
            </w:r>
            <w:r>
              <w:rPr>
                <w:spacing w:val="-6"/>
                <w:sz w:val="18"/>
              </w:rPr>
              <w:t> </w:t>
            </w:r>
            <w:r>
              <w:rPr>
                <w:sz w:val="18"/>
              </w:rPr>
              <w:t>Safety</w:t>
            </w:r>
            <w:r>
              <w:rPr>
                <w:spacing w:val="-6"/>
                <w:sz w:val="18"/>
              </w:rPr>
              <w:t> </w:t>
            </w:r>
            <w:r>
              <w:rPr>
                <w:sz w:val="18"/>
              </w:rPr>
              <w:t>Management</w:t>
            </w:r>
            <w:r>
              <w:rPr>
                <w:spacing w:val="-7"/>
                <w:sz w:val="18"/>
              </w:rPr>
              <w:t> </w:t>
            </w:r>
            <w:r>
              <w:rPr>
                <w:sz w:val="18"/>
              </w:rPr>
              <w:t>Scheme</w:t>
            </w:r>
            <w:r>
              <w:rPr>
                <w:spacing w:val="-1"/>
                <w:sz w:val="18"/>
              </w:rPr>
              <w:t> </w:t>
            </w:r>
            <w:r>
              <w:rPr>
                <w:sz w:val="18"/>
              </w:rPr>
              <w:t>becomes</w:t>
            </w:r>
            <w:r>
              <w:rPr>
                <w:spacing w:val="-6"/>
                <w:sz w:val="18"/>
              </w:rPr>
              <w:t> </w:t>
            </w:r>
            <w:r>
              <w:rPr>
                <w:sz w:val="18"/>
              </w:rPr>
              <w:t>mandatory</w:t>
            </w:r>
            <w:r>
              <w:rPr>
                <w:spacing w:val="-9"/>
                <w:sz w:val="18"/>
              </w:rPr>
              <w:t> </w:t>
            </w:r>
            <w:r>
              <w:rPr>
                <w:sz w:val="18"/>
              </w:rPr>
              <w:t>for</w:t>
            </w:r>
            <w:r>
              <w:rPr>
                <w:spacing w:val="-5"/>
                <w:sz w:val="18"/>
              </w:rPr>
              <w:t> </w:t>
            </w:r>
            <w:r>
              <w:rPr>
                <w:sz w:val="18"/>
              </w:rPr>
              <w:t>MECs,</w:t>
            </w:r>
            <w:r>
              <w:rPr>
                <w:spacing w:val="-5"/>
                <w:sz w:val="18"/>
              </w:rPr>
              <w:t> </w:t>
            </w:r>
            <w:r>
              <w:rPr>
                <w:sz w:val="18"/>
              </w:rPr>
              <w:t>VBRC recommendations published</w:t>
            </w:r>
          </w:p>
        </w:tc>
      </w:tr>
      <w:tr>
        <w:trPr>
          <w:trHeight w:val="736" w:hRule="atLeast"/>
        </w:trPr>
        <w:tc>
          <w:tcPr>
            <w:tcW w:w="1088" w:type="dxa"/>
            <w:tcBorders>
              <w:right w:val="single" w:sz="24" w:space="0" w:color="00B3A8"/>
            </w:tcBorders>
          </w:tcPr>
          <w:p>
            <w:pPr>
              <w:pStyle w:val="TableParagraph"/>
              <w:spacing w:before="2"/>
              <w:rPr>
                <w:b/>
                <w:sz w:val="21"/>
              </w:rPr>
            </w:pPr>
          </w:p>
          <w:p>
            <w:pPr>
              <w:pStyle w:val="TableParagraph"/>
              <w:ind w:left="112"/>
              <w:rPr>
                <w:sz w:val="18"/>
              </w:rPr>
            </w:pPr>
            <w:r>
              <w:rPr>
                <w:spacing w:val="-4"/>
                <w:sz w:val="18"/>
              </w:rPr>
              <w:t>2011</w:t>
            </w:r>
          </w:p>
        </w:tc>
        <w:tc>
          <w:tcPr>
            <w:tcW w:w="7939" w:type="dxa"/>
            <w:tcBorders>
              <w:left w:val="single" w:sz="24" w:space="0" w:color="00B3A8"/>
            </w:tcBorders>
          </w:tcPr>
          <w:p>
            <w:pPr>
              <w:pStyle w:val="TableParagraph"/>
              <w:spacing w:line="290" w:lineRule="auto" w:before="119"/>
              <w:ind w:left="115" w:right="83"/>
              <w:rPr>
                <w:sz w:val="18"/>
              </w:rPr>
            </w:pPr>
            <w:r>
              <w:rPr>
                <w:sz w:val="18"/>
              </w:rPr>
              <w:t>Powerline</w:t>
            </w:r>
            <w:r>
              <w:rPr>
                <w:spacing w:val="-5"/>
                <w:sz w:val="18"/>
              </w:rPr>
              <w:t> </w:t>
            </w:r>
            <w:r>
              <w:rPr>
                <w:sz w:val="18"/>
              </w:rPr>
              <w:t>Bushfire</w:t>
            </w:r>
            <w:r>
              <w:rPr>
                <w:spacing w:val="-5"/>
                <w:sz w:val="18"/>
              </w:rPr>
              <w:t> </w:t>
            </w:r>
            <w:r>
              <w:rPr>
                <w:sz w:val="18"/>
              </w:rPr>
              <w:t>Safety</w:t>
            </w:r>
            <w:r>
              <w:rPr>
                <w:spacing w:val="-6"/>
                <w:sz w:val="18"/>
              </w:rPr>
              <w:t> </w:t>
            </w:r>
            <w:r>
              <w:rPr>
                <w:sz w:val="18"/>
              </w:rPr>
              <w:t>Taskforce</w:t>
            </w:r>
            <w:r>
              <w:rPr>
                <w:spacing w:val="-5"/>
                <w:sz w:val="18"/>
              </w:rPr>
              <w:t> </w:t>
            </w:r>
            <w:r>
              <w:rPr>
                <w:sz w:val="18"/>
              </w:rPr>
              <w:t>presents</w:t>
            </w:r>
            <w:r>
              <w:rPr>
                <w:spacing w:val="-6"/>
                <w:sz w:val="18"/>
              </w:rPr>
              <w:t> </w:t>
            </w:r>
            <w:r>
              <w:rPr>
                <w:sz w:val="18"/>
              </w:rPr>
              <w:t>bushfire</w:t>
            </w:r>
            <w:r>
              <w:rPr>
                <w:spacing w:val="-5"/>
                <w:sz w:val="18"/>
              </w:rPr>
              <w:t> </w:t>
            </w:r>
            <w:r>
              <w:rPr>
                <w:sz w:val="18"/>
              </w:rPr>
              <w:t>risk</w:t>
            </w:r>
            <w:r>
              <w:rPr>
                <w:spacing w:val="-4"/>
                <w:sz w:val="18"/>
              </w:rPr>
              <w:t> </w:t>
            </w:r>
            <w:r>
              <w:rPr>
                <w:sz w:val="18"/>
              </w:rPr>
              <w:t>reduction</w:t>
            </w:r>
            <w:r>
              <w:rPr>
                <w:spacing w:val="-7"/>
                <w:sz w:val="18"/>
              </w:rPr>
              <w:t> </w:t>
            </w:r>
            <w:r>
              <w:rPr>
                <w:sz w:val="18"/>
              </w:rPr>
              <w:t>recommendations, Powerline Bushfire Safety Program established</w:t>
            </w:r>
          </w:p>
        </w:tc>
      </w:tr>
      <w:tr>
        <w:trPr>
          <w:trHeight w:val="489" w:hRule="atLeast"/>
        </w:trPr>
        <w:tc>
          <w:tcPr>
            <w:tcW w:w="1088" w:type="dxa"/>
            <w:tcBorders>
              <w:right w:val="single" w:sz="24" w:space="0" w:color="00B3A8"/>
            </w:tcBorders>
            <w:shd w:val="clear" w:color="auto" w:fill="E4F7F6"/>
          </w:tcPr>
          <w:p>
            <w:pPr>
              <w:pStyle w:val="TableParagraph"/>
              <w:spacing w:before="119"/>
              <w:ind w:left="112"/>
              <w:rPr>
                <w:sz w:val="18"/>
              </w:rPr>
            </w:pPr>
            <w:r>
              <w:rPr>
                <w:spacing w:val="-4"/>
                <w:sz w:val="18"/>
              </w:rPr>
              <w:t>2013</w:t>
            </w:r>
          </w:p>
        </w:tc>
        <w:tc>
          <w:tcPr>
            <w:tcW w:w="7939" w:type="dxa"/>
            <w:tcBorders>
              <w:left w:val="single" w:sz="24" w:space="0" w:color="00B3A8"/>
            </w:tcBorders>
            <w:shd w:val="clear" w:color="auto" w:fill="E4F7F6"/>
          </w:tcPr>
          <w:p>
            <w:pPr>
              <w:pStyle w:val="TableParagraph"/>
              <w:spacing w:before="119"/>
              <w:ind w:left="115"/>
              <w:rPr>
                <w:sz w:val="18"/>
              </w:rPr>
            </w:pPr>
            <w:r>
              <w:rPr>
                <w:sz w:val="18"/>
              </w:rPr>
              <w:t>ESV</w:t>
            </w:r>
            <w:r>
              <w:rPr>
                <w:spacing w:val="-3"/>
                <w:sz w:val="18"/>
              </w:rPr>
              <w:t> </w:t>
            </w:r>
            <w:r>
              <w:rPr>
                <w:sz w:val="18"/>
              </w:rPr>
              <w:t>requires</w:t>
            </w:r>
            <w:r>
              <w:rPr>
                <w:spacing w:val="-1"/>
                <w:sz w:val="18"/>
              </w:rPr>
              <w:t> </w:t>
            </w:r>
            <w:r>
              <w:rPr>
                <w:sz w:val="18"/>
              </w:rPr>
              <w:t>MECs</w:t>
            </w:r>
            <w:r>
              <w:rPr>
                <w:spacing w:val="-2"/>
                <w:sz w:val="18"/>
              </w:rPr>
              <w:t> </w:t>
            </w:r>
            <w:r>
              <w:rPr>
                <w:sz w:val="18"/>
              </w:rPr>
              <w:t>to</w:t>
            </w:r>
            <w:r>
              <w:rPr>
                <w:spacing w:val="-3"/>
                <w:sz w:val="18"/>
              </w:rPr>
              <w:t> </w:t>
            </w:r>
            <w:r>
              <w:rPr>
                <w:sz w:val="18"/>
              </w:rPr>
              <w:t>submit</w:t>
            </w:r>
            <w:r>
              <w:rPr>
                <w:spacing w:val="-4"/>
                <w:sz w:val="18"/>
              </w:rPr>
              <w:t> </w:t>
            </w:r>
            <w:r>
              <w:rPr>
                <w:sz w:val="18"/>
              </w:rPr>
              <w:t>bushfire</w:t>
            </w:r>
            <w:r>
              <w:rPr>
                <w:spacing w:val="-4"/>
                <w:sz w:val="18"/>
              </w:rPr>
              <w:t> </w:t>
            </w:r>
            <w:r>
              <w:rPr>
                <w:sz w:val="18"/>
              </w:rPr>
              <w:t>mitigation</w:t>
            </w:r>
            <w:r>
              <w:rPr>
                <w:spacing w:val="-4"/>
                <w:sz w:val="18"/>
              </w:rPr>
              <w:t> plans</w:t>
            </w:r>
          </w:p>
        </w:tc>
      </w:tr>
      <w:tr>
        <w:trPr>
          <w:trHeight w:val="487" w:hRule="atLeast"/>
        </w:trPr>
        <w:tc>
          <w:tcPr>
            <w:tcW w:w="1088" w:type="dxa"/>
            <w:tcBorders>
              <w:right w:val="single" w:sz="24" w:space="0" w:color="00B3A8"/>
            </w:tcBorders>
          </w:tcPr>
          <w:p>
            <w:pPr>
              <w:pStyle w:val="TableParagraph"/>
              <w:spacing w:before="119"/>
              <w:ind w:left="112"/>
              <w:rPr>
                <w:sz w:val="18"/>
              </w:rPr>
            </w:pPr>
            <w:r>
              <w:rPr>
                <w:spacing w:val="-4"/>
                <w:sz w:val="18"/>
              </w:rPr>
              <w:t>2015</w:t>
            </w:r>
          </w:p>
        </w:tc>
        <w:tc>
          <w:tcPr>
            <w:tcW w:w="7939" w:type="dxa"/>
            <w:tcBorders>
              <w:left w:val="single" w:sz="24" w:space="0" w:color="00B3A8"/>
            </w:tcBorders>
          </w:tcPr>
          <w:p>
            <w:pPr>
              <w:pStyle w:val="TableParagraph"/>
              <w:spacing w:before="119"/>
              <w:ind w:left="115"/>
              <w:rPr>
                <w:sz w:val="18"/>
              </w:rPr>
            </w:pPr>
            <w:r>
              <w:rPr>
                <w:sz w:val="18"/>
              </w:rPr>
              <w:t>ESV</w:t>
            </w:r>
            <w:r>
              <w:rPr>
                <w:spacing w:val="-5"/>
                <w:sz w:val="18"/>
              </w:rPr>
              <w:t> </w:t>
            </w:r>
            <w:r>
              <w:rPr>
                <w:sz w:val="18"/>
              </w:rPr>
              <w:t>requires</w:t>
            </w:r>
            <w:r>
              <w:rPr>
                <w:spacing w:val="-1"/>
                <w:sz w:val="18"/>
              </w:rPr>
              <w:t> </w:t>
            </w:r>
            <w:r>
              <w:rPr>
                <w:sz w:val="18"/>
              </w:rPr>
              <w:t>MECs</w:t>
            </w:r>
            <w:r>
              <w:rPr>
                <w:spacing w:val="-3"/>
                <w:sz w:val="18"/>
              </w:rPr>
              <w:t> </w:t>
            </w:r>
            <w:r>
              <w:rPr>
                <w:sz w:val="18"/>
              </w:rPr>
              <w:t>to</w:t>
            </w:r>
            <w:r>
              <w:rPr>
                <w:spacing w:val="-2"/>
                <w:sz w:val="18"/>
              </w:rPr>
              <w:t> </w:t>
            </w:r>
            <w:r>
              <w:rPr>
                <w:sz w:val="18"/>
              </w:rPr>
              <w:t>submit</w:t>
            </w:r>
            <w:r>
              <w:rPr>
                <w:spacing w:val="-5"/>
                <w:sz w:val="18"/>
              </w:rPr>
              <w:t> </w:t>
            </w:r>
            <w:r>
              <w:rPr>
                <w:sz w:val="18"/>
              </w:rPr>
              <w:t>safety</w:t>
            </w:r>
            <w:r>
              <w:rPr>
                <w:spacing w:val="-5"/>
                <w:sz w:val="18"/>
              </w:rPr>
              <w:t> </w:t>
            </w:r>
            <w:r>
              <w:rPr>
                <w:sz w:val="18"/>
              </w:rPr>
              <w:t>cases</w:t>
            </w:r>
            <w:r>
              <w:rPr>
                <w:spacing w:val="-1"/>
                <w:sz w:val="18"/>
              </w:rPr>
              <w:t> </w:t>
            </w:r>
            <w:r>
              <w:rPr>
                <w:sz w:val="18"/>
              </w:rPr>
              <w:t>with</w:t>
            </w:r>
            <w:r>
              <w:rPr>
                <w:spacing w:val="-3"/>
                <w:sz w:val="18"/>
              </w:rPr>
              <w:t> </w:t>
            </w:r>
            <w:r>
              <w:rPr>
                <w:sz w:val="18"/>
              </w:rPr>
              <w:t>their</w:t>
            </w:r>
            <w:r>
              <w:rPr>
                <w:spacing w:val="-2"/>
                <w:sz w:val="18"/>
              </w:rPr>
              <w:t> </w:t>
            </w:r>
            <w:r>
              <w:rPr>
                <w:sz w:val="18"/>
              </w:rPr>
              <w:t>Electricity</w:t>
            </w:r>
            <w:r>
              <w:rPr>
                <w:spacing w:val="-4"/>
                <w:sz w:val="18"/>
              </w:rPr>
              <w:t> </w:t>
            </w:r>
            <w:r>
              <w:rPr>
                <w:sz w:val="18"/>
              </w:rPr>
              <w:t>Safety</w:t>
            </w:r>
            <w:r>
              <w:rPr>
                <w:spacing w:val="-3"/>
                <w:sz w:val="18"/>
              </w:rPr>
              <w:t> </w:t>
            </w:r>
            <w:r>
              <w:rPr>
                <w:sz w:val="18"/>
              </w:rPr>
              <w:t>Management</w:t>
            </w:r>
            <w:r>
              <w:rPr>
                <w:spacing w:val="-2"/>
                <w:sz w:val="18"/>
              </w:rPr>
              <w:t> Scheme</w:t>
            </w:r>
          </w:p>
        </w:tc>
      </w:tr>
      <w:tr>
        <w:trPr>
          <w:trHeight w:val="609" w:hRule="atLeast"/>
        </w:trPr>
        <w:tc>
          <w:tcPr>
            <w:tcW w:w="1088" w:type="dxa"/>
            <w:tcBorders>
              <w:right w:val="single" w:sz="24" w:space="0" w:color="00B3A8"/>
            </w:tcBorders>
            <w:shd w:val="clear" w:color="auto" w:fill="E4F7F6"/>
          </w:tcPr>
          <w:p>
            <w:pPr>
              <w:pStyle w:val="TableParagraph"/>
              <w:spacing w:before="119"/>
              <w:ind w:left="112"/>
              <w:rPr>
                <w:sz w:val="18"/>
              </w:rPr>
            </w:pPr>
            <w:r>
              <w:rPr>
                <w:spacing w:val="-4"/>
                <w:sz w:val="18"/>
              </w:rPr>
              <w:t>2017</w:t>
            </w:r>
          </w:p>
        </w:tc>
        <w:tc>
          <w:tcPr>
            <w:tcW w:w="7939" w:type="dxa"/>
            <w:tcBorders>
              <w:left w:val="single" w:sz="24" w:space="0" w:color="00B3A8"/>
            </w:tcBorders>
            <w:shd w:val="clear" w:color="auto" w:fill="E4F7F6"/>
          </w:tcPr>
          <w:p>
            <w:pPr>
              <w:pStyle w:val="TableParagraph"/>
              <w:spacing w:before="119"/>
              <w:ind w:left="115"/>
              <w:rPr>
                <w:sz w:val="18"/>
              </w:rPr>
            </w:pPr>
            <w:r>
              <w:rPr>
                <w:sz w:val="18"/>
              </w:rPr>
              <w:t>Civil</w:t>
            </w:r>
            <w:r>
              <w:rPr>
                <w:spacing w:val="-4"/>
                <w:sz w:val="18"/>
              </w:rPr>
              <w:t> </w:t>
            </w:r>
            <w:r>
              <w:rPr>
                <w:sz w:val="18"/>
              </w:rPr>
              <w:t>Penalties</w:t>
            </w:r>
            <w:r>
              <w:rPr>
                <w:spacing w:val="-3"/>
                <w:sz w:val="18"/>
              </w:rPr>
              <w:t> </w:t>
            </w:r>
            <w:r>
              <w:rPr>
                <w:sz w:val="18"/>
              </w:rPr>
              <w:t>Scheme</w:t>
            </w:r>
            <w:r>
              <w:rPr>
                <w:spacing w:val="-4"/>
                <w:sz w:val="18"/>
              </w:rPr>
              <w:t> </w:t>
            </w:r>
            <w:r>
              <w:rPr>
                <w:spacing w:val="-2"/>
                <w:sz w:val="18"/>
              </w:rPr>
              <w:t>introduced</w:t>
            </w:r>
          </w:p>
        </w:tc>
      </w:tr>
    </w:tbl>
    <w:p>
      <w:pPr>
        <w:pStyle w:val="BodyText"/>
        <w:rPr>
          <w:b/>
          <w:sz w:val="24"/>
        </w:rPr>
      </w:pPr>
    </w:p>
    <w:p>
      <w:pPr>
        <w:pStyle w:val="BodyText"/>
        <w:spacing w:before="8"/>
        <w:rPr>
          <w:b/>
          <w:sz w:val="32"/>
        </w:rPr>
      </w:pPr>
    </w:p>
    <w:p>
      <w:pPr>
        <w:spacing w:before="0"/>
        <w:ind w:left="600" w:right="0" w:firstLine="0"/>
        <w:jc w:val="left"/>
        <w:rPr>
          <w:sz w:val="16"/>
        </w:rPr>
      </w:pPr>
      <w:r>
        <w:rPr>
          <w:sz w:val="16"/>
        </w:rPr>
        <w:t>MEC</w:t>
      </w:r>
      <w:r>
        <w:rPr>
          <w:spacing w:val="-5"/>
          <w:sz w:val="16"/>
        </w:rPr>
        <w:t> </w:t>
      </w:r>
      <w:r>
        <w:rPr>
          <w:sz w:val="16"/>
        </w:rPr>
        <w:t>–</w:t>
      </w:r>
      <w:r>
        <w:rPr>
          <w:spacing w:val="-4"/>
          <w:sz w:val="16"/>
        </w:rPr>
        <w:t> </w:t>
      </w:r>
      <w:r>
        <w:rPr>
          <w:sz w:val="16"/>
        </w:rPr>
        <w:t>Major</w:t>
      </w:r>
      <w:r>
        <w:rPr>
          <w:spacing w:val="-5"/>
          <w:sz w:val="16"/>
        </w:rPr>
        <w:t> </w:t>
      </w:r>
      <w:r>
        <w:rPr>
          <w:sz w:val="16"/>
        </w:rPr>
        <w:t>Electricity</w:t>
      </w:r>
      <w:r>
        <w:rPr>
          <w:spacing w:val="-4"/>
          <w:sz w:val="16"/>
        </w:rPr>
        <w:t> </w:t>
      </w:r>
      <w:r>
        <w:rPr>
          <w:spacing w:val="-2"/>
          <w:sz w:val="16"/>
        </w:rPr>
        <w:t>Companies</w:t>
      </w:r>
    </w:p>
    <w:p>
      <w:pPr>
        <w:spacing w:before="37"/>
        <w:ind w:left="600" w:right="0" w:firstLine="0"/>
        <w:jc w:val="left"/>
        <w:rPr>
          <w:sz w:val="16"/>
        </w:rPr>
      </w:pPr>
      <w:r>
        <w:rPr>
          <w:sz w:val="16"/>
        </w:rPr>
        <w:t>VBRC</w:t>
      </w:r>
      <w:r>
        <w:rPr>
          <w:spacing w:val="-5"/>
          <w:sz w:val="16"/>
        </w:rPr>
        <w:t> </w:t>
      </w:r>
      <w:r>
        <w:rPr>
          <w:sz w:val="16"/>
        </w:rPr>
        <w:t>–</w:t>
      </w:r>
      <w:r>
        <w:rPr>
          <w:spacing w:val="-7"/>
          <w:sz w:val="16"/>
        </w:rPr>
        <w:t> </w:t>
      </w:r>
      <w:r>
        <w:rPr>
          <w:sz w:val="16"/>
        </w:rPr>
        <w:t>Victorian</w:t>
      </w:r>
      <w:r>
        <w:rPr>
          <w:spacing w:val="-7"/>
          <w:sz w:val="16"/>
        </w:rPr>
        <w:t> </w:t>
      </w:r>
      <w:r>
        <w:rPr>
          <w:sz w:val="16"/>
        </w:rPr>
        <w:t>Bushfires</w:t>
      </w:r>
      <w:r>
        <w:rPr>
          <w:spacing w:val="-3"/>
          <w:sz w:val="16"/>
        </w:rPr>
        <w:t> </w:t>
      </w:r>
      <w:r>
        <w:rPr>
          <w:sz w:val="16"/>
        </w:rPr>
        <w:t>Royal</w:t>
      </w:r>
      <w:r>
        <w:rPr>
          <w:spacing w:val="-5"/>
          <w:sz w:val="16"/>
        </w:rPr>
        <w:t> </w:t>
      </w:r>
      <w:r>
        <w:rPr>
          <w:spacing w:val="-2"/>
          <w:sz w:val="16"/>
        </w:rPr>
        <w:t>Commission</w:t>
      </w:r>
    </w:p>
    <w:p>
      <w:pPr>
        <w:pStyle w:val="BodyText"/>
        <w:rPr>
          <w:sz w:val="18"/>
        </w:rPr>
      </w:pPr>
    </w:p>
    <w:p>
      <w:pPr>
        <w:pStyle w:val="BodyText"/>
        <w:spacing w:before="8"/>
        <w:rPr>
          <w:sz w:val="21"/>
        </w:rPr>
      </w:pPr>
    </w:p>
    <w:p>
      <w:pPr>
        <w:pStyle w:val="Heading6"/>
        <w:ind w:left="600"/>
      </w:pPr>
      <w:r>
        <w:rPr/>
        <w:t>The</w:t>
      </w:r>
      <w:r>
        <w:rPr>
          <w:spacing w:val="-1"/>
        </w:rPr>
        <w:t> </w:t>
      </w:r>
      <w:r>
        <w:rPr>
          <w:spacing w:val="-2"/>
        </w:rPr>
        <w:t>entities</w:t>
      </w:r>
    </w:p>
    <w:p>
      <w:pPr>
        <w:pStyle w:val="BodyText"/>
        <w:spacing w:line="288" w:lineRule="auto" w:before="175"/>
        <w:ind w:left="600" w:right="586"/>
      </w:pPr>
      <w:r>
        <w:rPr/>
        <w:t>The SECV was established in the 1920s, absorbing a number of private and municipal electricity generation and distribution companies. The Gas and Fuel Corporation of Victoria was established in 1951, absorbing the Melbourne Metropolitan Gas Company, before acquiring</w:t>
      </w:r>
      <w:r>
        <w:rPr>
          <w:spacing w:val="-2"/>
        </w:rPr>
        <w:t> </w:t>
      </w:r>
      <w:r>
        <w:rPr/>
        <w:t>the</w:t>
      </w:r>
      <w:r>
        <w:rPr>
          <w:spacing w:val="-4"/>
        </w:rPr>
        <w:t> </w:t>
      </w:r>
      <w:r>
        <w:rPr/>
        <w:t>remaining</w:t>
      </w:r>
      <w:r>
        <w:rPr>
          <w:spacing w:val="-4"/>
        </w:rPr>
        <w:t> </w:t>
      </w:r>
      <w:r>
        <w:rPr/>
        <w:t>private</w:t>
      </w:r>
      <w:r>
        <w:rPr>
          <w:spacing w:val="-1"/>
        </w:rPr>
        <w:t> </w:t>
      </w:r>
      <w:r>
        <w:rPr/>
        <w:t>gas</w:t>
      </w:r>
      <w:r>
        <w:rPr>
          <w:spacing w:val="-1"/>
        </w:rPr>
        <w:t> </w:t>
      </w:r>
      <w:r>
        <w:rPr/>
        <w:t>companies</w:t>
      </w:r>
      <w:r>
        <w:rPr>
          <w:spacing w:val="-4"/>
        </w:rPr>
        <w:t> </w:t>
      </w:r>
      <w:r>
        <w:rPr/>
        <w:t>that</w:t>
      </w:r>
      <w:r>
        <w:rPr>
          <w:spacing w:val="-1"/>
        </w:rPr>
        <w:t> </w:t>
      </w:r>
      <w:r>
        <w:rPr/>
        <w:t>supplied</w:t>
      </w:r>
      <w:r>
        <w:rPr>
          <w:spacing w:val="-4"/>
        </w:rPr>
        <w:t> </w:t>
      </w:r>
      <w:r>
        <w:rPr/>
        <w:t>gas</w:t>
      </w:r>
      <w:r>
        <w:rPr>
          <w:spacing w:val="-4"/>
        </w:rPr>
        <w:t> </w:t>
      </w:r>
      <w:r>
        <w:rPr/>
        <w:t>to</w:t>
      </w:r>
      <w:r>
        <w:rPr>
          <w:spacing w:val="-4"/>
        </w:rPr>
        <w:t> </w:t>
      </w:r>
      <w:r>
        <w:rPr/>
        <w:t>Victorian</w:t>
      </w:r>
      <w:r>
        <w:rPr>
          <w:spacing w:val="-2"/>
        </w:rPr>
        <w:t> </w:t>
      </w:r>
      <w:r>
        <w:rPr/>
        <w:t>customers.</w:t>
      </w:r>
      <w:r>
        <w:rPr>
          <w:spacing w:val="-5"/>
        </w:rPr>
        <w:t> </w:t>
      </w:r>
      <w:r>
        <w:rPr/>
        <w:t>The</w:t>
      </w:r>
    </w:p>
    <w:p>
      <w:pPr>
        <w:spacing w:after="0" w:line="288" w:lineRule="auto"/>
        <w:sectPr>
          <w:pgSz w:w="11910" w:h="16840"/>
          <w:pgMar w:header="887" w:footer="1243" w:top="1080" w:bottom="1500" w:left="840" w:right="820"/>
        </w:sectPr>
      </w:pPr>
    </w:p>
    <w:p>
      <w:pPr>
        <w:pStyle w:val="BodyText"/>
        <w:rPr>
          <w:sz w:val="20"/>
        </w:rPr>
      </w:pPr>
    </w:p>
    <w:p>
      <w:pPr>
        <w:pStyle w:val="BodyText"/>
        <w:rPr>
          <w:sz w:val="20"/>
        </w:rPr>
      </w:pPr>
    </w:p>
    <w:p>
      <w:pPr>
        <w:pStyle w:val="BodyText"/>
        <w:spacing w:before="5"/>
      </w:pPr>
    </w:p>
    <w:p>
      <w:pPr>
        <w:pStyle w:val="BodyText"/>
        <w:spacing w:line="288" w:lineRule="auto"/>
        <w:ind w:left="600"/>
      </w:pPr>
      <w:r>
        <w:rPr/>
        <w:t>safety</w:t>
      </w:r>
      <w:r>
        <w:rPr>
          <w:spacing w:val="-3"/>
        </w:rPr>
        <w:t> </w:t>
      </w:r>
      <w:r>
        <w:rPr/>
        <w:t>regulation</w:t>
      </w:r>
      <w:r>
        <w:rPr>
          <w:spacing w:val="-2"/>
        </w:rPr>
        <w:t> </w:t>
      </w:r>
      <w:r>
        <w:rPr/>
        <w:t>of</w:t>
      </w:r>
      <w:r>
        <w:rPr>
          <w:spacing w:val="-1"/>
        </w:rPr>
        <w:t> </w:t>
      </w:r>
      <w:r>
        <w:rPr/>
        <w:t>electricity</w:t>
      </w:r>
      <w:r>
        <w:rPr>
          <w:spacing w:val="-4"/>
        </w:rPr>
        <w:t> </w:t>
      </w:r>
      <w:r>
        <w:rPr/>
        <w:t>and</w:t>
      </w:r>
      <w:r>
        <w:rPr>
          <w:spacing w:val="-4"/>
        </w:rPr>
        <w:t> </w:t>
      </w:r>
      <w:r>
        <w:rPr/>
        <w:t>gas</w:t>
      </w:r>
      <w:r>
        <w:rPr>
          <w:spacing w:val="-2"/>
        </w:rPr>
        <w:t> </w:t>
      </w:r>
      <w:r>
        <w:rPr/>
        <w:t>was</w:t>
      </w:r>
      <w:r>
        <w:rPr>
          <w:spacing w:val="-2"/>
        </w:rPr>
        <w:t> </w:t>
      </w:r>
      <w:r>
        <w:rPr/>
        <w:t>the</w:t>
      </w:r>
      <w:r>
        <w:rPr>
          <w:spacing w:val="-4"/>
        </w:rPr>
        <w:t> </w:t>
      </w:r>
      <w:r>
        <w:rPr/>
        <w:t>responsibility</w:t>
      </w:r>
      <w:r>
        <w:rPr>
          <w:spacing w:val="-4"/>
        </w:rPr>
        <w:t> </w:t>
      </w:r>
      <w:r>
        <w:rPr/>
        <w:t>of</w:t>
      </w:r>
      <w:r>
        <w:rPr>
          <w:spacing w:val="-2"/>
        </w:rPr>
        <w:t> </w:t>
      </w:r>
      <w:r>
        <w:rPr/>
        <w:t>these</w:t>
      </w:r>
      <w:r>
        <w:rPr>
          <w:spacing w:val="-4"/>
        </w:rPr>
        <w:t> </w:t>
      </w:r>
      <w:r>
        <w:rPr/>
        <w:t>entities</w:t>
      </w:r>
      <w:r>
        <w:rPr>
          <w:spacing w:val="-2"/>
        </w:rPr>
        <w:t> </w:t>
      </w:r>
      <w:r>
        <w:rPr/>
        <w:t>up</w:t>
      </w:r>
      <w:r>
        <w:rPr>
          <w:spacing w:val="-2"/>
        </w:rPr>
        <w:t> </w:t>
      </w:r>
      <w:r>
        <w:rPr/>
        <w:t>until their disaggregation and sale in the late 1990s.</w:t>
      </w:r>
    </w:p>
    <w:p>
      <w:pPr>
        <w:pStyle w:val="BodyText"/>
        <w:spacing w:before="10"/>
        <w:rPr>
          <w:sz w:val="20"/>
        </w:rPr>
      </w:pPr>
    </w:p>
    <w:p>
      <w:pPr>
        <w:pStyle w:val="BodyText"/>
        <w:spacing w:line="288" w:lineRule="auto"/>
        <w:ind w:left="600" w:right="620"/>
      </w:pPr>
      <w:r>
        <w:rPr/>
        <w:t>The Chief Electrical Inspector initially operated within the SECV to regulate electrical safety throughout Victoria. Privatisation of Victoria’s state-owned electricity and gas assets necessitated new regulatory arrangements. The </w:t>
      </w:r>
      <w:r>
        <w:rPr>
          <w:i/>
        </w:rPr>
        <w:t>Electricity Industry Act 1993 </w:t>
      </w:r>
      <w:r>
        <w:rPr/>
        <w:t>was the principal Act for restructuring the electricity industry, including achieving the economic separation of electricity generation, transmission and distribution assets. As part of the reforms related to electricity privatisation, the Office of the Chief Electrical Inspector was established</w:t>
      </w:r>
      <w:r>
        <w:rPr>
          <w:spacing w:val="-3"/>
        </w:rPr>
        <w:t> </w:t>
      </w:r>
      <w:r>
        <w:rPr/>
        <w:t>as</w:t>
      </w:r>
      <w:r>
        <w:rPr>
          <w:spacing w:val="-2"/>
        </w:rPr>
        <w:t> </w:t>
      </w:r>
      <w:r>
        <w:rPr/>
        <w:t>an</w:t>
      </w:r>
      <w:r>
        <w:rPr>
          <w:spacing w:val="-5"/>
        </w:rPr>
        <w:t> </w:t>
      </w:r>
      <w:r>
        <w:rPr/>
        <w:t>independent</w:t>
      </w:r>
      <w:r>
        <w:rPr>
          <w:spacing w:val="-4"/>
        </w:rPr>
        <w:t> </w:t>
      </w:r>
      <w:r>
        <w:rPr/>
        <w:t>regulator,</w:t>
      </w:r>
      <w:r>
        <w:rPr>
          <w:spacing w:val="-4"/>
        </w:rPr>
        <w:t> </w:t>
      </w:r>
      <w:r>
        <w:rPr/>
        <w:t>firstly</w:t>
      </w:r>
      <w:r>
        <w:rPr>
          <w:spacing w:val="-5"/>
        </w:rPr>
        <w:t> </w:t>
      </w:r>
      <w:r>
        <w:rPr/>
        <w:t>in</w:t>
      </w:r>
      <w:r>
        <w:rPr>
          <w:spacing w:val="-3"/>
        </w:rPr>
        <w:t> </w:t>
      </w:r>
      <w:r>
        <w:rPr/>
        <w:t>accordance</w:t>
      </w:r>
      <w:r>
        <w:rPr>
          <w:spacing w:val="-5"/>
        </w:rPr>
        <w:t> </w:t>
      </w:r>
      <w:r>
        <w:rPr/>
        <w:t>with</w:t>
      </w:r>
      <w:r>
        <w:rPr>
          <w:spacing w:val="-3"/>
        </w:rPr>
        <w:t> </w:t>
      </w:r>
      <w:r>
        <w:rPr/>
        <w:t>the </w:t>
      </w:r>
      <w:r>
        <w:rPr>
          <w:i/>
        </w:rPr>
        <w:t>Electricity</w:t>
      </w:r>
      <w:r>
        <w:rPr>
          <w:i/>
          <w:spacing w:val="-5"/>
        </w:rPr>
        <w:t> </w:t>
      </w:r>
      <w:r>
        <w:rPr>
          <w:i/>
        </w:rPr>
        <w:t>Industry</w:t>
      </w:r>
      <w:r>
        <w:rPr>
          <w:i/>
          <w:spacing w:val="-2"/>
        </w:rPr>
        <w:t> </w:t>
      </w:r>
      <w:r>
        <w:rPr>
          <w:i/>
        </w:rPr>
        <w:t>Act 1993 </w:t>
      </w:r>
      <w:r>
        <w:rPr/>
        <w:t>and then in accordance with the </w:t>
      </w:r>
      <w:r>
        <w:rPr>
          <w:i/>
        </w:rPr>
        <w:t>Electricity Safety Act 1998 </w:t>
      </w:r>
      <w:r>
        <w:rPr/>
        <w:t>(ESV, 2009).</w:t>
      </w:r>
    </w:p>
    <w:p>
      <w:pPr>
        <w:pStyle w:val="BodyText"/>
        <w:spacing w:before="10"/>
        <w:rPr>
          <w:sz w:val="20"/>
        </w:rPr>
      </w:pPr>
    </w:p>
    <w:p>
      <w:pPr>
        <w:pStyle w:val="BodyText"/>
        <w:spacing w:line="288" w:lineRule="auto"/>
        <w:ind w:left="600" w:right="586"/>
      </w:pPr>
      <w:r>
        <w:rPr/>
        <w:t>The </w:t>
      </w:r>
      <w:r>
        <w:rPr>
          <w:i/>
        </w:rPr>
        <w:t>Gas Industry Act </w:t>
      </w:r>
      <w:r>
        <w:rPr/>
        <w:t>disaggregated the monopoly utility into three new gas distribution companies and</w:t>
      </w:r>
      <w:r>
        <w:rPr>
          <w:spacing w:val="-1"/>
        </w:rPr>
        <w:t> </w:t>
      </w:r>
      <w:r>
        <w:rPr/>
        <w:t>three new</w:t>
      </w:r>
      <w:r>
        <w:rPr>
          <w:spacing w:val="-2"/>
        </w:rPr>
        <w:t> </w:t>
      </w:r>
      <w:r>
        <w:rPr/>
        <w:t>gas</w:t>
      </w:r>
      <w:r>
        <w:rPr>
          <w:spacing w:val="-1"/>
        </w:rPr>
        <w:t> </w:t>
      </w:r>
      <w:r>
        <w:rPr/>
        <w:t>retail companies.</w:t>
      </w:r>
      <w:r>
        <w:rPr>
          <w:spacing w:val="-2"/>
        </w:rPr>
        <w:t> </w:t>
      </w:r>
      <w:r>
        <w:rPr/>
        <w:t>That Act also</w:t>
      </w:r>
      <w:r>
        <w:rPr>
          <w:spacing w:val="-1"/>
        </w:rPr>
        <w:t> </w:t>
      </w:r>
      <w:r>
        <w:rPr/>
        <w:t>established the</w:t>
      </w:r>
      <w:r>
        <w:rPr>
          <w:spacing w:val="-1"/>
        </w:rPr>
        <w:t> </w:t>
      </w:r>
      <w:r>
        <w:rPr/>
        <w:t>Office</w:t>
      </w:r>
      <w:r>
        <w:rPr>
          <w:spacing w:val="-1"/>
        </w:rPr>
        <w:t> </w:t>
      </w:r>
      <w:r>
        <w:rPr/>
        <w:t>of Gas Safety in July 1997, to oversee the safety of the distribution and use of gas. The accompanying</w:t>
      </w:r>
      <w:r>
        <w:rPr>
          <w:spacing w:val="-3"/>
        </w:rPr>
        <w:t> </w:t>
      </w:r>
      <w:r>
        <w:rPr>
          <w:i/>
        </w:rPr>
        <w:t>Gas</w:t>
      </w:r>
      <w:r>
        <w:rPr>
          <w:i/>
          <w:spacing w:val="-5"/>
        </w:rPr>
        <w:t> </w:t>
      </w:r>
      <w:r>
        <w:rPr>
          <w:i/>
        </w:rPr>
        <w:t>Safety</w:t>
      </w:r>
      <w:r>
        <w:rPr>
          <w:i/>
          <w:spacing w:val="-2"/>
        </w:rPr>
        <w:t> </w:t>
      </w:r>
      <w:r>
        <w:rPr>
          <w:i/>
        </w:rPr>
        <w:t>Act</w:t>
      </w:r>
      <w:r>
        <w:rPr>
          <w:i/>
          <w:spacing w:val="-1"/>
        </w:rPr>
        <w:t> </w:t>
      </w:r>
      <w:r>
        <w:rPr>
          <w:i/>
        </w:rPr>
        <w:t>1997</w:t>
      </w:r>
      <w:r>
        <w:rPr>
          <w:i/>
          <w:spacing w:val="-6"/>
        </w:rPr>
        <w:t> </w:t>
      </w:r>
      <w:r>
        <w:rPr/>
        <w:t>gave</w:t>
      </w:r>
      <w:r>
        <w:rPr>
          <w:spacing w:val="-3"/>
        </w:rPr>
        <w:t> </w:t>
      </w:r>
      <w:r>
        <w:rPr/>
        <w:t>the</w:t>
      </w:r>
      <w:r>
        <w:rPr>
          <w:spacing w:val="-5"/>
        </w:rPr>
        <w:t> </w:t>
      </w:r>
      <w:r>
        <w:rPr/>
        <w:t>Office</w:t>
      </w:r>
      <w:r>
        <w:rPr>
          <w:spacing w:val="-3"/>
        </w:rPr>
        <w:t> </w:t>
      </w:r>
      <w:r>
        <w:rPr/>
        <w:t>of</w:t>
      </w:r>
      <w:r>
        <w:rPr>
          <w:spacing w:val="-1"/>
        </w:rPr>
        <w:t> </w:t>
      </w:r>
      <w:r>
        <w:rPr/>
        <w:t>Gas</w:t>
      </w:r>
      <w:r>
        <w:rPr>
          <w:spacing w:val="-2"/>
        </w:rPr>
        <w:t> </w:t>
      </w:r>
      <w:r>
        <w:rPr/>
        <w:t>Safety</w:t>
      </w:r>
      <w:r>
        <w:rPr>
          <w:spacing w:val="-4"/>
        </w:rPr>
        <w:t> </w:t>
      </w:r>
      <w:r>
        <w:rPr/>
        <w:t>legislative</w:t>
      </w:r>
      <w:r>
        <w:rPr>
          <w:spacing w:val="-3"/>
        </w:rPr>
        <w:t> </w:t>
      </w:r>
      <w:r>
        <w:rPr/>
        <w:t>and</w:t>
      </w:r>
      <w:r>
        <w:rPr>
          <w:spacing w:val="-3"/>
        </w:rPr>
        <w:t> </w:t>
      </w:r>
      <w:r>
        <w:rPr/>
        <w:t>regulatory force, and inspection powers. The </w:t>
      </w:r>
      <w:r>
        <w:rPr>
          <w:i/>
        </w:rPr>
        <w:t>Gas Safety Act 1997 </w:t>
      </w:r>
      <w:r>
        <w:rPr/>
        <w:t>also introduced safety case requirements</w:t>
      </w:r>
      <w:r>
        <w:rPr>
          <w:spacing w:val="-2"/>
        </w:rPr>
        <w:t> </w:t>
      </w:r>
      <w:r>
        <w:rPr/>
        <w:t>into</w:t>
      </w:r>
      <w:r>
        <w:rPr>
          <w:spacing w:val="-1"/>
        </w:rPr>
        <w:t> </w:t>
      </w:r>
      <w:r>
        <w:rPr/>
        <w:t>the</w:t>
      </w:r>
      <w:r>
        <w:rPr>
          <w:spacing w:val="-2"/>
        </w:rPr>
        <w:t> </w:t>
      </w:r>
      <w:r>
        <w:rPr/>
        <w:t>gas supply</w:t>
      </w:r>
      <w:r>
        <w:rPr>
          <w:spacing w:val="-2"/>
        </w:rPr>
        <w:t> </w:t>
      </w:r>
      <w:r>
        <w:rPr/>
        <w:t>sector in Victoria, particularly</w:t>
      </w:r>
      <w:r>
        <w:rPr>
          <w:spacing w:val="-2"/>
        </w:rPr>
        <w:t> </w:t>
      </w:r>
      <w:r>
        <w:rPr/>
        <w:t>in relation</w:t>
      </w:r>
      <w:r>
        <w:rPr>
          <w:spacing w:val="-2"/>
        </w:rPr>
        <w:t> </w:t>
      </w:r>
      <w:r>
        <w:rPr/>
        <w:t>to the</w:t>
      </w:r>
      <w:r>
        <w:rPr>
          <w:spacing w:val="-2"/>
        </w:rPr>
        <w:t> </w:t>
      </w:r>
      <w:r>
        <w:rPr/>
        <w:t>operation of gas transmission, distribution and retail companies.</w:t>
      </w:r>
    </w:p>
    <w:p>
      <w:pPr>
        <w:pStyle w:val="BodyText"/>
        <w:spacing w:before="11"/>
        <w:rPr>
          <w:sz w:val="18"/>
        </w:rPr>
      </w:pPr>
      <w:r>
        <w:rPr/>
        <mc:AlternateContent>
          <mc:Choice Requires="wps">
            <w:drawing>
              <wp:anchor distT="0" distB="0" distL="0" distR="0" allowOverlap="1" layoutInCell="1" locked="0" behindDoc="1" simplePos="0" relativeHeight="487602176">
                <wp:simplePos x="0" y="0"/>
                <wp:positionH relativeFrom="page">
                  <wp:posOffset>914704</wp:posOffset>
                </wp:positionH>
                <wp:positionV relativeFrom="paragraph">
                  <wp:posOffset>153884</wp:posOffset>
                </wp:positionV>
                <wp:extent cx="5732780" cy="1987550"/>
                <wp:effectExtent l="0" t="0" r="0" b="0"/>
                <wp:wrapTopAndBottom/>
                <wp:docPr id="75" name="Textbox 75"/>
                <wp:cNvGraphicFramePr>
                  <a:graphicFrameLocks/>
                </wp:cNvGraphicFramePr>
                <a:graphic>
                  <a:graphicData uri="http://schemas.microsoft.com/office/word/2010/wordprocessingShape">
                    <wps:wsp>
                      <wps:cNvPr id="75" name="Textbox 75"/>
                      <wps:cNvSpPr txBox="1"/>
                      <wps:spPr>
                        <a:xfrm>
                          <a:off x="0" y="0"/>
                          <a:ext cx="5732780" cy="1987550"/>
                        </a:xfrm>
                        <a:prstGeom prst="rect">
                          <a:avLst/>
                        </a:prstGeom>
                        <a:solidFill>
                          <a:srgbClr val="CDEBEB"/>
                        </a:solidFill>
                      </wps:spPr>
                      <wps:txbx>
                        <w:txbxContent>
                          <w:p>
                            <w:pPr>
                              <w:pStyle w:val="BodyText"/>
                              <w:spacing w:before="10"/>
                              <w:rPr>
                                <w:color w:val="000000"/>
                                <w:sz w:val="20"/>
                              </w:rPr>
                            </w:pPr>
                          </w:p>
                          <w:p>
                            <w:pPr>
                              <w:spacing w:before="0"/>
                              <w:ind w:left="112" w:right="0" w:firstLine="0"/>
                              <w:jc w:val="left"/>
                              <w:rPr>
                                <w:b/>
                                <w:color w:val="000000"/>
                                <w:sz w:val="22"/>
                              </w:rPr>
                            </w:pPr>
                            <w:r>
                              <w:rPr>
                                <w:b/>
                                <w:color w:val="000000"/>
                                <w:sz w:val="22"/>
                              </w:rPr>
                              <w:t>Box</w:t>
                            </w:r>
                            <w:r>
                              <w:rPr>
                                <w:b/>
                                <w:color w:val="000000"/>
                                <w:spacing w:val="-4"/>
                                <w:sz w:val="22"/>
                              </w:rPr>
                              <w:t> </w:t>
                            </w:r>
                            <w:r>
                              <w:rPr>
                                <w:b/>
                                <w:color w:val="000000"/>
                                <w:sz w:val="22"/>
                              </w:rPr>
                              <w:t>2:</w:t>
                            </w:r>
                            <w:r>
                              <w:rPr>
                                <w:b/>
                                <w:color w:val="000000"/>
                                <w:spacing w:val="-2"/>
                                <w:sz w:val="22"/>
                              </w:rPr>
                              <w:t> </w:t>
                            </w:r>
                            <w:r>
                              <w:rPr>
                                <w:b/>
                                <w:color w:val="000000"/>
                                <w:sz w:val="22"/>
                              </w:rPr>
                              <w:t>Definition</w:t>
                            </w:r>
                            <w:r>
                              <w:rPr>
                                <w:b/>
                                <w:color w:val="000000"/>
                                <w:spacing w:val="-3"/>
                                <w:sz w:val="22"/>
                              </w:rPr>
                              <w:t> </w:t>
                            </w:r>
                            <w:r>
                              <w:rPr>
                                <w:b/>
                                <w:color w:val="000000"/>
                                <w:sz w:val="22"/>
                              </w:rPr>
                              <w:t>of</w:t>
                            </w:r>
                            <w:r>
                              <w:rPr>
                                <w:b/>
                                <w:color w:val="000000"/>
                                <w:spacing w:val="-2"/>
                                <w:sz w:val="22"/>
                              </w:rPr>
                              <w:t> </w:t>
                            </w:r>
                            <w:r>
                              <w:rPr>
                                <w:b/>
                                <w:color w:val="000000"/>
                                <w:sz w:val="22"/>
                              </w:rPr>
                              <w:t>a</w:t>
                            </w:r>
                            <w:r>
                              <w:rPr>
                                <w:b/>
                                <w:color w:val="000000"/>
                                <w:spacing w:val="-5"/>
                                <w:sz w:val="22"/>
                              </w:rPr>
                              <w:t> </w:t>
                            </w:r>
                            <w:r>
                              <w:rPr>
                                <w:b/>
                                <w:color w:val="000000"/>
                                <w:sz w:val="22"/>
                              </w:rPr>
                              <w:t>safety</w:t>
                            </w:r>
                            <w:r>
                              <w:rPr>
                                <w:b/>
                                <w:color w:val="000000"/>
                                <w:spacing w:val="-7"/>
                                <w:sz w:val="22"/>
                              </w:rPr>
                              <w:t> </w:t>
                            </w:r>
                            <w:r>
                              <w:rPr>
                                <w:b/>
                                <w:color w:val="000000"/>
                                <w:spacing w:val="-4"/>
                                <w:sz w:val="22"/>
                              </w:rPr>
                              <w:t>case</w:t>
                            </w:r>
                          </w:p>
                          <w:p>
                            <w:pPr>
                              <w:pStyle w:val="BodyText"/>
                              <w:spacing w:before="2"/>
                              <w:rPr>
                                <w:b/>
                                <w:color w:val="000000"/>
                                <w:sz w:val="25"/>
                              </w:rPr>
                            </w:pPr>
                          </w:p>
                          <w:p>
                            <w:pPr>
                              <w:pStyle w:val="BodyText"/>
                              <w:spacing w:line="288" w:lineRule="auto"/>
                              <w:ind w:left="112"/>
                              <w:rPr>
                                <w:color w:val="000000"/>
                              </w:rPr>
                            </w:pPr>
                            <w:r>
                              <w:rPr>
                                <w:color w:val="000000"/>
                              </w:rPr>
                              <w:t>A</w:t>
                            </w:r>
                            <w:r>
                              <w:rPr>
                                <w:color w:val="000000"/>
                                <w:spacing w:val="-3"/>
                              </w:rPr>
                              <w:t> </w:t>
                            </w:r>
                            <w:r>
                              <w:rPr>
                                <w:color w:val="000000"/>
                              </w:rPr>
                              <w:t>safety</w:t>
                            </w:r>
                            <w:r>
                              <w:rPr>
                                <w:color w:val="000000"/>
                                <w:spacing w:val="-5"/>
                              </w:rPr>
                              <w:t> </w:t>
                            </w:r>
                            <w:r>
                              <w:rPr>
                                <w:color w:val="000000"/>
                              </w:rPr>
                              <w:t>case</w:t>
                            </w:r>
                            <w:r>
                              <w:rPr>
                                <w:color w:val="000000"/>
                                <w:spacing w:val="-3"/>
                              </w:rPr>
                              <w:t> </w:t>
                            </w:r>
                            <w:r>
                              <w:rPr>
                                <w:color w:val="000000"/>
                              </w:rPr>
                              <w:t>is</w:t>
                            </w:r>
                            <w:r>
                              <w:rPr>
                                <w:color w:val="000000"/>
                                <w:spacing w:val="-5"/>
                              </w:rPr>
                              <w:t> </w:t>
                            </w:r>
                            <w:r>
                              <w:rPr>
                                <w:color w:val="000000"/>
                              </w:rPr>
                              <w:t>a</w:t>
                            </w:r>
                            <w:r>
                              <w:rPr>
                                <w:color w:val="000000"/>
                                <w:spacing w:val="-3"/>
                              </w:rPr>
                              <w:t> </w:t>
                            </w:r>
                            <w:r>
                              <w:rPr>
                                <w:color w:val="000000"/>
                              </w:rPr>
                              <w:t>document</w:t>
                            </w:r>
                            <w:r>
                              <w:rPr>
                                <w:color w:val="000000"/>
                                <w:spacing w:val="-1"/>
                              </w:rPr>
                              <w:t> </w:t>
                            </w:r>
                            <w:r>
                              <w:rPr>
                                <w:color w:val="000000"/>
                              </w:rPr>
                              <w:t>produced</w:t>
                            </w:r>
                            <w:r>
                              <w:rPr>
                                <w:color w:val="000000"/>
                                <w:spacing w:val="-3"/>
                              </w:rPr>
                              <w:t> </w:t>
                            </w:r>
                            <w:r>
                              <w:rPr>
                                <w:color w:val="000000"/>
                              </w:rPr>
                              <w:t>by</w:t>
                            </w:r>
                            <w:r>
                              <w:rPr>
                                <w:color w:val="000000"/>
                                <w:spacing w:val="-7"/>
                              </w:rPr>
                              <w:t> </w:t>
                            </w:r>
                            <w:r>
                              <w:rPr>
                                <w:color w:val="000000"/>
                              </w:rPr>
                              <w:t>the</w:t>
                            </w:r>
                            <w:r>
                              <w:rPr>
                                <w:color w:val="000000"/>
                                <w:spacing w:val="-3"/>
                              </w:rPr>
                              <w:t> </w:t>
                            </w:r>
                            <w:r>
                              <w:rPr>
                                <w:color w:val="000000"/>
                              </w:rPr>
                              <w:t>operator</w:t>
                            </w:r>
                            <w:r>
                              <w:rPr>
                                <w:color w:val="000000"/>
                                <w:spacing w:val="-4"/>
                              </w:rPr>
                              <w:t> </w:t>
                            </w:r>
                            <w:r>
                              <w:rPr>
                                <w:color w:val="000000"/>
                              </w:rPr>
                              <w:t>of</w:t>
                            </w:r>
                            <w:r>
                              <w:rPr>
                                <w:color w:val="000000"/>
                                <w:spacing w:val="-1"/>
                              </w:rPr>
                              <w:t> </w:t>
                            </w:r>
                            <w:r>
                              <w:rPr>
                                <w:color w:val="000000"/>
                              </w:rPr>
                              <w:t>infrastructure,</w:t>
                            </w:r>
                            <w:r>
                              <w:rPr>
                                <w:color w:val="000000"/>
                                <w:spacing w:val="-4"/>
                              </w:rPr>
                              <w:t> </w:t>
                            </w:r>
                            <w:r>
                              <w:rPr>
                                <w:color w:val="000000"/>
                              </w:rPr>
                              <w:t>including</w:t>
                            </w:r>
                            <w:r>
                              <w:rPr>
                                <w:color w:val="000000"/>
                                <w:spacing w:val="-1"/>
                              </w:rPr>
                              <w:t> </w:t>
                            </w:r>
                            <w:r>
                              <w:rPr>
                                <w:color w:val="000000"/>
                              </w:rPr>
                              <w:t>energy networks which:</w:t>
                            </w:r>
                          </w:p>
                          <w:p>
                            <w:pPr>
                              <w:pStyle w:val="BodyText"/>
                              <w:spacing w:before="4"/>
                              <w:rPr>
                                <w:color w:val="000000"/>
                              </w:rPr>
                            </w:pPr>
                          </w:p>
                          <w:p>
                            <w:pPr>
                              <w:pStyle w:val="BodyText"/>
                              <w:numPr>
                                <w:ilvl w:val="0"/>
                                <w:numId w:val="23"/>
                              </w:numPr>
                              <w:tabs>
                                <w:tab w:pos="470" w:val="left" w:leader="none"/>
                              </w:tabs>
                              <w:spacing w:line="240" w:lineRule="auto" w:before="0" w:after="0"/>
                              <w:ind w:left="470" w:right="0" w:hanging="358"/>
                              <w:jc w:val="left"/>
                              <w:rPr>
                                <w:color w:val="000000"/>
                              </w:rPr>
                            </w:pPr>
                            <w:r>
                              <w:rPr>
                                <w:color w:val="000000"/>
                              </w:rPr>
                              <w:t>identifies</w:t>
                            </w:r>
                            <w:r>
                              <w:rPr>
                                <w:color w:val="000000"/>
                                <w:spacing w:val="-7"/>
                              </w:rPr>
                              <w:t> </w:t>
                            </w:r>
                            <w:r>
                              <w:rPr>
                                <w:color w:val="000000"/>
                              </w:rPr>
                              <w:t>the</w:t>
                            </w:r>
                            <w:r>
                              <w:rPr>
                                <w:color w:val="000000"/>
                                <w:spacing w:val="-6"/>
                              </w:rPr>
                              <w:t> </w:t>
                            </w:r>
                            <w:r>
                              <w:rPr>
                                <w:color w:val="000000"/>
                              </w:rPr>
                              <w:t>hazards</w:t>
                            </w:r>
                            <w:r>
                              <w:rPr>
                                <w:color w:val="000000"/>
                                <w:spacing w:val="-4"/>
                              </w:rPr>
                              <w:t> </w:t>
                            </w:r>
                            <w:r>
                              <w:rPr>
                                <w:color w:val="000000"/>
                              </w:rPr>
                              <w:t>and</w:t>
                            </w:r>
                            <w:r>
                              <w:rPr>
                                <w:color w:val="000000"/>
                                <w:spacing w:val="-4"/>
                              </w:rPr>
                              <w:t> </w:t>
                            </w:r>
                            <w:r>
                              <w:rPr>
                                <w:color w:val="000000"/>
                              </w:rPr>
                              <w:t>risks</w:t>
                            </w:r>
                            <w:r>
                              <w:rPr>
                                <w:color w:val="000000"/>
                                <w:spacing w:val="-6"/>
                              </w:rPr>
                              <w:t> </w:t>
                            </w:r>
                            <w:r>
                              <w:rPr>
                                <w:color w:val="000000"/>
                              </w:rPr>
                              <w:t>associated</w:t>
                            </w:r>
                            <w:r>
                              <w:rPr>
                                <w:color w:val="000000"/>
                                <w:spacing w:val="-7"/>
                              </w:rPr>
                              <w:t> </w:t>
                            </w:r>
                            <w:r>
                              <w:rPr>
                                <w:color w:val="000000"/>
                              </w:rPr>
                              <w:t>with</w:t>
                            </w:r>
                            <w:r>
                              <w:rPr>
                                <w:color w:val="000000"/>
                                <w:spacing w:val="-4"/>
                              </w:rPr>
                              <w:t> </w:t>
                            </w:r>
                            <w:r>
                              <w:rPr>
                                <w:color w:val="000000"/>
                              </w:rPr>
                              <w:t>the</w:t>
                            </w:r>
                            <w:r>
                              <w:rPr>
                                <w:color w:val="000000"/>
                                <w:spacing w:val="-4"/>
                              </w:rPr>
                              <w:t> </w:t>
                            </w:r>
                            <w:r>
                              <w:rPr>
                                <w:color w:val="000000"/>
                                <w:spacing w:val="-2"/>
                              </w:rPr>
                              <w:t>asset;</w:t>
                            </w:r>
                          </w:p>
                          <w:p>
                            <w:pPr>
                              <w:pStyle w:val="BodyText"/>
                              <w:numPr>
                                <w:ilvl w:val="0"/>
                                <w:numId w:val="23"/>
                              </w:numPr>
                              <w:tabs>
                                <w:tab w:pos="470" w:val="left" w:leader="none"/>
                              </w:tabs>
                              <w:spacing w:line="240" w:lineRule="auto" w:before="66" w:after="0"/>
                              <w:ind w:left="470" w:right="0" w:hanging="358"/>
                              <w:jc w:val="left"/>
                              <w:rPr>
                                <w:color w:val="000000"/>
                              </w:rPr>
                            </w:pPr>
                            <w:r>
                              <w:rPr>
                                <w:color w:val="000000"/>
                              </w:rPr>
                              <w:t>describes</w:t>
                            </w:r>
                            <w:r>
                              <w:rPr>
                                <w:color w:val="000000"/>
                                <w:spacing w:val="-6"/>
                              </w:rPr>
                              <w:t> </w:t>
                            </w:r>
                            <w:r>
                              <w:rPr>
                                <w:color w:val="000000"/>
                              </w:rPr>
                              <w:t>how</w:t>
                            </w:r>
                            <w:r>
                              <w:rPr>
                                <w:color w:val="000000"/>
                                <w:spacing w:val="-7"/>
                              </w:rPr>
                              <w:t> </w:t>
                            </w:r>
                            <w:r>
                              <w:rPr>
                                <w:color w:val="000000"/>
                              </w:rPr>
                              <w:t>the</w:t>
                            </w:r>
                            <w:r>
                              <w:rPr>
                                <w:color w:val="000000"/>
                                <w:spacing w:val="-6"/>
                              </w:rPr>
                              <w:t> </w:t>
                            </w:r>
                            <w:r>
                              <w:rPr>
                                <w:color w:val="000000"/>
                              </w:rPr>
                              <w:t>safety</w:t>
                            </w:r>
                            <w:r>
                              <w:rPr>
                                <w:color w:val="000000"/>
                                <w:spacing w:val="-6"/>
                              </w:rPr>
                              <w:t> </w:t>
                            </w:r>
                            <w:r>
                              <w:rPr>
                                <w:color w:val="000000"/>
                              </w:rPr>
                              <w:t>risks</w:t>
                            </w:r>
                            <w:r>
                              <w:rPr>
                                <w:color w:val="000000"/>
                                <w:spacing w:val="-7"/>
                              </w:rPr>
                              <w:t> </w:t>
                            </w:r>
                            <w:r>
                              <w:rPr>
                                <w:color w:val="000000"/>
                              </w:rPr>
                              <w:t>are</w:t>
                            </w:r>
                            <w:r>
                              <w:rPr>
                                <w:color w:val="000000"/>
                                <w:spacing w:val="-6"/>
                              </w:rPr>
                              <w:t> </w:t>
                            </w:r>
                            <w:r>
                              <w:rPr>
                                <w:color w:val="000000"/>
                              </w:rPr>
                              <w:t>controlled;</w:t>
                            </w:r>
                            <w:r>
                              <w:rPr>
                                <w:color w:val="000000"/>
                                <w:spacing w:val="1"/>
                              </w:rPr>
                              <w:t> </w:t>
                            </w:r>
                            <w:r>
                              <w:rPr>
                                <w:color w:val="000000"/>
                                <w:spacing w:val="-5"/>
                              </w:rPr>
                              <w:t>and</w:t>
                            </w:r>
                          </w:p>
                          <w:p>
                            <w:pPr>
                              <w:pStyle w:val="BodyText"/>
                              <w:numPr>
                                <w:ilvl w:val="0"/>
                                <w:numId w:val="23"/>
                              </w:numPr>
                              <w:tabs>
                                <w:tab w:pos="470" w:val="left" w:leader="none"/>
                              </w:tabs>
                              <w:spacing w:line="285" w:lineRule="auto" w:before="66" w:after="0"/>
                              <w:ind w:left="470" w:right="1123" w:hanging="358"/>
                              <w:jc w:val="left"/>
                              <w:rPr>
                                <w:color w:val="000000"/>
                              </w:rPr>
                            </w:pPr>
                            <w:r>
                              <w:rPr>
                                <w:color w:val="000000"/>
                              </w:rPr>
                              <w:t>describes</w:t>
                            </w:r>
                            <w:r>
                              <w:rPr>
                                <w:color w:val="000000"/>
                                <w:spacing w:val="-5"/>
                              </w:rPr>
                              <w:t> </w:t>
                            </w:r>
                            <w:r>
                              <w:rPr>
                                <w:color w:val="000000"/>
                              </w:rPr>
                              <w:t>the</w:t>
                            </w:r>
                            <w:r>
                              <w:rPr>
                                <w:color w:val="000000"/>
                                <w:spacing w:val="-3"/>
                              </w:rPr>
                              <w:t> </w:t>
                            </w:r>
                            <w:r>
                              <w:rPr>
                                <w:color w:val="000000"/>
                              </w:rPr>
                              <w:t>safety</w:t>
                            </w:r>
                            <w:r>
                              <w:rPr>
                                <w:color w:val="000000"/>
                                <w:spacing w:val="-5"/>
                              </w:rPr>
                              <w:t> </w:t>
                            </w:r>
                            <w:r>
                              <w:rPr>
                                <w:color w:val="000000"/>
                              </w:rPr>
                              <w:t>management</w:t>
                            </w:r>
                            <w:r>
                              <w:rPr>
                                <w:color w:val="000000"/>
                                <w:spacing w:val="-4"/>
                              </w:rPr>
                              <w:t> </w:t>
                            </w:r>
                            <w:r>
                              <w:rPr>
                                <w:color w:val="000000"/>
                              </w:rPr>
                              <w:t>system</w:t>
                            </w:r>
                            <w:r>
                              <w:rPr>
                                <w:color w:val="000000"/>
                                <w:spacing w:val="-4"/>
                              </w:rPr>
                              <w:t> </w:t>
                            </w:r>
                            <w:r>
                              <w:rPr>
                                <w:color w:val="000000"/>
                              </w:rPr>
                              <w:t>in</w:t>
                            </w:r>
                            <w:r>
                              <w:rPr>
                                <w:color w:val="000000"/>
                                <w:spacing w:val="-3"/>
                              </w:rPr>
                              <w:t> </w:t>
                            </w:r>
                            <w:r>
                              <w:rPr>
                                <w:color w:val="000000"/>
                              </w:rPr>
                              <w:t>place</w:t>
                            </w:r>
                            <w:r>
                              <w:rPr>
                                <w:color w:val="000000"/>
                                <w:spacing w:val="-5"/>
                              </w:rPr>
                              <w:t> </w:t>
                            </w:r>
                            <w:r>
                              <w:rPr>
                                <w:color w:val="000000"/>
                              </w:rPr>
                              <w:t>to</w:t>
                            </w:r>
                            <w:r>
                              <w:rPr>
                                <w:color w:val="000000"/>
                                <w:spacing w:val="-5"/>
                              </w:rPr>
                              <w:t> </w:t>
                            </w:r>
                            <w:r>
                              <w:rPr>
                                <w:color w:val="000000"/>
                              </w:rPr>
                              <w:t>ensure</w:t>
                            </w:r>
                            <w:r>
                              <w:rPr>
                                <w:color w:val="000000"/>
                                <w:spacing w:val="-5"/>
                              </w:rPr>
                              <w:t> </w:t>
                            </w:r>
                            <w:r>
                              <w:rPr>
                                <w:color w:val="000000"/>
                              </w:rPr>
                              <w:t>the</w:t>
                            </w:r>
                            <w:r>
                              <w:rPr>
                                <w:color w:val="000000"/>
                                <w:spacing w:val="-5"/>
                              </w:rPr>
                              <w:t> </w:t>
                            </w:r>
                            <w:r>
                              <w:rPr>
                                <w:color w:val="000000"/>
                              </w:rPr>
                              <w:t>controls</w:t>
                            </w:r>
                            <w:r>
                              <w:rPr>
                                <w:color w:val="000000"/>
                                <w:spacing w:val="-2"/>
                              </w:rPr>
                              <w:t> </w:t>
                            </w:r>
                            <w:r>
                              <w:rPr>
                                <w:color w:val="000000"/>
                              </w:rPr>
                              <w:t>are effectively and consistently applied.</w:t>
                            </w:r>
                          </w:p>
                        </w:txbxContent>
                      </wps:txbx>
                      <wps:bodyPr wrap="square" lIns="0" tIns="0" rIns="0" bIns="0" rtlCol="0">
                        <a:noAutofit/>
                      </wps:bodyPr>
                    </wps:wsp>
                  </a:graphicData>
                </a:graphic>
              </wp:anchor>
            </w:drawing>
          </mc:Choice>
          <mc:Fallback>
            <w:pict>
              <v:shape style="position:absolute;margin-left:72.024002pt;margin-top:12.116895pt;width:451.4pt;height:156.5pt;mso-position-horizontal-relative:page;mso-position-vertical-relative:paragraph;z-index:-15714304;mso-wrap-distance-left:0;mso-wrap-distance-right:0" type="#_x0000_t202" id="docshape68" filled="true" fillcolor="#cdebeb" stroked="false">
                <v:textbox inset="0,0,0,0">
                  <w:txbxContent>
                    <w:p>
                      <w:pPr>
                        <w:pStyle w:val="BodyText"/>
                        <w:spacing w:before="10"/>
                        <w:rPr>
                          <w:color w:val="000000"/>
                          <w:sz w:val="20"/>
                        </w:rPr>
                      </w:pPr>
                    </w:p>
                    <w:p>
                      <w:pPr>
                        <w:spacing w:before="0"/>
                        <w:ind w:left="112" w:right="0" w:firstLine="0"/>
                        <w:jc w:val="left"/>
                        <w:rPr>
                          <w:b/>
                          <w:color w:val="000000"/>
                          <w:sz w:val="22"/>
                        </w:rPr>
                      </w:pPr>
                      <w:r>
                        <w:rPr>
                          <w:b/>
                          <w:color w:val="000000"/>
                          <w:sz w:val="22"/>
                        </w:rPr>
                        <w:t>Box</w:t>
                      </w:r>
                      <w:r>
                        <w:rPr>
                          <w:b/>
                          <w:color w:val="000000"/>
                          <w:spacing w:val="-4"/>
                          <w:sz w:val="22"/>
                        </w:rPr>
                        <w:t> </w:t>
                      </w:r>
                      <w:r>
                        <w:rPr>
                          <w:b/>
                          <w:color w:val="000000"/>
                          <w:sz w:val="22"/>
                        </w:rPr>
                        <w:t>2:</w:t>
                      </w:r>
                      <w:r>
                        <w:rPr>
                          <w:b/>
                          <w:color w:val="000000"/>
                          <w:spacing w:val="-2"/>
                          <w:sz w:val="22"/>
                        </w:rPr>
                        <w:t> </w:t>
                      </w:r>
                      <w:r>
                        <w:rPr>
                          <w:b/>
                          <w:color w:val="000000"/>
                          <w:sz w:val="22"/>
                        </w:rPr>
                        <w:t>Definition</w:t>
                      </w:r>
                      <w:r>
                        <w:rPr>
                          <w:b/>
                          <w:color w:val="000000"/>
                          <w:spacing w:val="-3"/>
                          <w:sz w:val="22"/>
                        </w:rPr>
                        <w:t> </w:t>
                      </w:r>
                      <w:r>
                        <w:rPr>
                          <w:b/>
                          <w:color w:val="000000"/>
                          <w:sz w:val="22"/>
                        </w:rPr>
                        <w:t>of</w:t>
                      </w:r>
                      <w:r>
                        <w:rPr>
                          <w:b/>
                          <w:color w:val="000000"/>
                          <w:spacing w:val="-2"/>
                          <w:sz w:val="22"/>
                        </w:rPr>
                        <w:t> </w:t>
                      </w:r>
                      <w:r>
                        <w:rPr>
                          <w:b/>
                          <w:color w:val="000000"/>
                          <w:sz w:val="22"/>
                        </w:rPr>
                        <w:t>a</w:t>
                      </w:r>
                      <w:r>
                        <w:rPr>
                          <w:b/>
                          <w:color w:val="000000"/>
                          <w:spacing w:val="-5"/>
                          <w:sz w:val="22"/>
                        </w:rPr>
                        <w:t> </w:t>
                      </w:r>
                      <w:r>
                        <w:rPr>
                          <w:b/>
                          <w:color w:val="000000"/>
                          <w:sz w:val="22"/>
                        </w:rPr>
                        <w:t>safety</w:t>
                      </w:r>
                      <w:r>
                        <w:rPr>
                          <w:b/>
                          <w:color w:val="000000"/>
                          <w:spacing w:val="-7"/>
                          <w:sz w:val="22"/>
                        </w:rPr>
                        <w:t> </w:t>
                      </w:r>
                      <w:r>
                        <w:rPr>
                          <w:b/>
                          <w:color w:val="000000"/>
                          <w:spacing w:val="-4"/>
                          <w:sz w:val="22"/>
                        </w:rPr>
                        <w:t>case</w:t>
                      </w:r>
                    </w:p>
                    <w:p>
                      <w:pPr>
                        <w:pStyle w:val="BodyText"/>
                        <w:spacing w:before="2"/>
                        <w:rPr>
                          <w:b/>
                          <w:color w:val="000000"/>
                          <w:sz w:val="25"/>
                        </w:rPr>
                      </w:pPr>
                    </w:p>
                    <w:p>
                      <w:pPr>
                        <w:pStyle w:val="BodyText"/>
                        <w:spacing w:line="288" w:lineRule="auto"/>
                        <w:ind w:left="112"/>
                        <w:rPr>
                          <w:color w:val="000000"/>
                        </w:rPr>
                      </w:pPr>
                      <w:r>
                        <w:rPr>
                          <w:color w:val="000000"/>
                        </w:rPr>
                        <w:t>A</w:t>
                      </w:r>
                      <w:r>
                        <w:rPr>
                          <w:color w:val="000000"/>
                          <w:spacing w:val="-3"/>
                        </w:rPr>
                        <w:t> </w:t>
                      </w:r>
                      <w:r>
                        <w:rPr>
                          <w:color w:val="000000"/>
                        </w:rPr>
                        <w:t>safety</w:t>
                      </w:r>
                      <w:r>
                        <w:rPr>
                          <w:color w:val="000000"/>
                          <w:spacing w:val="-5"/>
                        </w:rPr>
                        <w:t> </w:t>
                      </w:r>
                      <w:r>
                        <w:rPr>
                          <w:color w:val="000000"/>
                        </w:rPr>
                        <w:t>case</w:t>
                      </w:r>
                      <w:r>
                        <w:rPr>
                          <w:color w:val="000000"/>
                          <w:spacing w:val="-3"/>
                        </w:rPr>
                        <w:t> </w:t>
                      </w:r>
                      <w:r>
                        <w:rPr>
                          <w:color w:val="000000"/>
                        </w:rPr>
                        <w:t>is</w:t>
                      </w:r>
                      <w:r>
                        <w:rPr>
                          <w:color w:val="000000"/>
                          <w:spacing w:val="-5"/>
                        </w:rPr>
                        <w:t> </w:t>
                      </w:r>
                      <w:r>
                        <w:rPr>
                          <w:color w:val="000000"/>
                        </w:rPr>
                        <w:t>a</w:t>
                      </w:r>
                      <w:r>
                        <w:rPr>
                          <w:color w:val="000000"/>
                          <w:spacing w:val="-3"/>
                        </w:rPr>
                        <w:t> </w:t>
                      </w:r>
                      <w:r>
                        <w:rPr>
                          <w:color w:val="000000"/>
                        </w:rPr>
                        <w:t>document</w:t>
                      </w:r>
                      <w:r>
                        <w:rPr>
                          <w:color w:val="000000"/>
                          <w:spacing w:val="-1"/>
                        </w:rPr>
                        <w:t> </w:t>
                      </w:r>
                      <w:r>
                        <w:rPr>
                          <w:color w:val="000000"/>
                        </w:rPr>
                        <w:t>produced</w:t>
                      </w:r>
                      <w:r>
                        <w:rPr>
                          <w:color w:val="000000"/>
                          <w:spacing w:val="-3"/>
                        </w:rPr>
                        <w:t> </w:t>
                      </w:r>
                      <w:r>
                        <w:rPr>
                          <w:color w:val="000000"/>
                        </w:rPr>
                        <w:t>by</w:t>
                      </w:r>
                      <w:r>
                        <w:rPr>
                          <w:color w:val="000000"/>
                          <w:spacing w:val="-7"/>
                        </w:rPr>
                        <w:t> </w:t>
                      </w:r>
                      <w:r>
                        <w:rPr>
                          <w:color w:val="000000"/>
                        </w:rPr>
                        <w:t>the</w:t>
                      </w:r>
                      <w:r>
                        <w:rPr>
                          <w:color w:val="000000"/>
                          <w:spacing w:val="-3"/>
                        </w:rPr>
                        <w:t> </w:t>
                      </w:r>
                      <w:r>
                        <w:rPr>
                          <w:color w:val="000000"/>
                        </w:rPr>
                        <w:t>operator</w:t>
                      </w:r>
                      <w:r>
                        <w:rPr>
                          <w:color w:val="000000"/>
                          <w:spacing w:val="-4"/>
                        </w:rPr>
                        <w:t> </w:t>
                      </w:r>
                      <w:r>
                        <w:rPr>
                          <w:color w:val="000000"/>
                        </w:rPr>
                        <w:t>of</w:t>
                      </w:r>
                      <w:r>
                        <w:rPr>
                          <w:color w:val="000000"/>
                          <w:spacing w:val="-1"/>
                        </w:rPr>
                        <w:t> </w:t>
                      </w:r>
                      <w:r>
                        <w:rPr>
                          <w:color w:val="000000"/>
                        </w:rPr>
                        <w:t>infrastructure,</w:t>
                      </w:r>
                      <w:r>
                        <w:rPr>
                          <w:color w:val="000000"/>
                          <w:spacing w:val="-4"/>
                        </w:rPr>
                        <w:t> </w:t>
                      </w:r>
                      <w:r>
                        <w:rPr>
                          <w:color w:val="000000"/>
                        </w:rPr>
                        <w:t>including</w:t>
                      </w:r>
                      <w:r>
                        <w:rPr>
                          <w:color w:val="000000"/>
                          <w:spacing w:val="-1"/>
                        </w:rPr>
                        <w:t> </w:t>
                      </w:r>
                      <w:r>
                        <w:rPr>
                          <w:color w:val="000000"/>
                        </w:rPr>
                        <w:t>energy networks which:</w:t>
                      </w:r>
                    </w:p>
                    <w:p>
                      <w:pPr>
                        <w:pStyle w:val="BodyText"/>
                        <w:spacing w:before="4"/>
                        <w:rPr>
                          <w:color w:val="000000"/>
                        </w:rPr>
                      </w:pPr>
                    </w:p>
                    <w:p>
                      <w:pPr>
                        <w:pStyle w:val="BodyText"/>
                        <w:numPr>
                          <w:ilvl w:val="0"/>
                          <w:numId w:val="23"/>
                        </w:numPr>
                        <w:tabs>
                          <w:tab w:pos="470" w:val="left" w:leader="none"/>
                        </w:tabs>
                        <w:spacing w:line="240" w:lineRule="auto" w:before="0" w:after="0"/>
                        <w:ind w:left="470" w:right="0" w:hanging="358"/>
                        <w:jc w:val="left"/>
                        <w:rPr>
                          <w:color w:val="000000"/>
                        </w:rPr>
                      </w:pPr>
                      <w:r>
                        <w:rPr>
                          <w:color w:val="000000"/>
                        </w:rPr>
                        <w:t>identifies</w:t>
                      </w:r>
                      <w:r>
                        <w:rPr>
                          <w:color w:val="000000"/>
                          <w:spacing w:val="-7"/>
                        </w:rPr>
                        <w:t> </w:t>
                      </w:r>
                      <w:r>
                        <w:rPr>
                          <w:color w:val="000000"/>
                        </w:rPr>
                        <w:t>the</w:t>
                      </w:r>
                      <w:r>
                        <w:rPr>
                          <w:color w:val="000000"/>
                          <w:spacing w:val="-6"/>
                        </w:rPr>
                        <w:t> </w:t>
                      </w:r>
                      <w:r>
                        <w:rPr>
                          <w:color w:val="000000"/>
                        </w:rPr>
                        <w:t>hazards</w:t>
                      </w:r>
                      <w:r>
                        <w:rPr>
                          <w:color w:val="000000"/>
                          <w:spacing w:val="-4"/>
                        </w:rPr>
                        <w:t> </w:t>
                      </w:r>
                      <w:r>
                        <w:rPr>
                          <w:color w:val="000000"/>
                        </w:rPr>
                        <w:t>and</w:t>
                      </w:r>
                      <w:r>
                        <w:rPr>
                          <w:color w:val="000000"/>
                          <w:spacing w:val="-4"/>
                        </w:rPr>
                        <w:t> </w:t>
                      </w:r>
                      <w:r>
                        <w:rPr>
                          <w:color w:val="000000"/>
                        </w:rPr>
                        <w:t>risks</w:t>
                      </w:r>
                      <w:r>
                        <w:rPr>
                          <w:color w:val="000000"/>
                          <w:spacing w:val="-6"/>
                        </w:rPr>
                        <w:t> </w:t>
                      </w:r>
                      <w:r>
                        <w:rPr>
                          <w:color w:val="000000"/>
                        </w:rPr>
                        <w:t>associated</w:t>
                      </w:r>
                      <w:r>
                        <w:rPr>
                          <w:color w:val="000000"/>
                          <w:spacing w:val="-7"/>
                        </w:rPr>
                        <w:t> </w:t>
                      </w:r>
                      <w:r>
                        <w:rPr>
                          <w:color w:val="000000"/>
                        </w:rPr>
                        <w:t>with</w:t>
                      </w:r>
                      <w:r>
                        <w:rPr>
                          <w:color w:val="000000"/>
                          <w:spacing w:val="-4"/>
                        </w:rPr>
                        <w:t> </w:t>
                      </w:r>
                      <w:r>
                        <w:rPr>
                          <w:color w:val="000000"/>
                        </w:rPr>
                        <w:t>the</w:t>
                      </w:r>
                      <w:r>
                        <w:rPr>
                          <w:color w:val="000000"/>
                          <w:spacing w:val="-4"/>
                        </w:rPr>
                        <w:t> </w:t>
                      </w:r>
                      <w:r>
                        <w:rPr>
                          <w:color w:val="000000"/>
                          <w:spacing w:val="-2"/>
                        </w:rPr>
                        <w:t>asset;</w:t>
                      </w:r>
                    </w:p>
                    <w:p>
                      <w:pPr>
                        <w:pStyle w:val="BodyText"/>
                        <w:numPr>
                          <w:ilvl w:val="0"/>
                          <w:numId w:val="23"/>
                        </w:numPr>
                        <w:tabs>
                          <w:tab w:pos="470" w:val="left" w:leader="none"/>
                        </w:tabs>
                        <w:spacing w:line="240" w:lineRule="auto" w:before="66" w:after="0"/>
                        <w:ind w:left="470" w:right="0" w:hanging="358"/>
                        <w:jc w:val="left"/>
                        <w:rPr>
                          <w:color w:val="000000"/>
                        </w:rPr>
                      </w:pPr>
                      <w:r>
                        <w:rPr>
                          <w:color w:val="000000"/>
                        </w:rPr>
                        <w:t>describes</w:t>
                      </w:r>
                      <w:r>
                        <w:rPr>
                          <w:color w:val="000000"/>
                          <w:spacing w:val="-6"/>
                        </w:rPr>
                        <w:t> </w:t>
                      </w:r>
                      <w:r>
                        <w:rPr>
                          <w:color w:val="000000"/>
                        </w:rPr>
                        <w:t>how</w:t>
                      </w:r>
                      <w:r>
                        <w:rPr>
                          <w:color w:val="000000"/>
                          <w:spacing w:val="-7"/>
                        </w:rPr>
                        <w:t> </w:t>
                      </w:r>
                      <w:r>
                        <w:rPr>
                          <w:color w:val="000000"/>
                        </w:rPr>
                        <w:t>the</w:t>
                      </w:r>
                      <w:r>
                        <w:rPr>
                          <w:color w:val="000000"/>
                          <w:spacing w:val="-6"/>
                        </w:rPr>
                        <w:t> </w:t>
                      </w:r>
                      <w:r>
                        <w:rPr>
                          <w:color w:val="000000"/>
                        </w:rPr>
                        <w:t>safety</w:t>
                      </w:r>
                      <w:r>
                        <w:rPr>
                          <w:color w:val="000000"/>
                          <w:spacing w:val="-6"/>
                        </w:rPr>
                        <w:t> </w:t>
                      </w:r>
                      <w:r>
                        <w:rPr>
                          <w:color w:val="000000"/>
                        </w:rPr>
                        <w:t>risks</w:t>
                      </w:r>
                      <w:r>
                        <w:rPr>
                          <w:color w:val="000000"/>
                          <w:spacing w:val="-7"/>
                        </w:rPr>
                        <w:t> </w:t>
                      </w:r>
                      <w:r>
                        <w:rPr>
                          <w:color w:val="000000"/>
                        </w:rPr>
                        <w:t>are</w:t>
                      </w:r>
                      <w:r>
                        <w:rPr>
                          <w:color w:val="000000"/>
                          <w:spacing w:val="-6"/>
                        </w:rPr>
                        <w:t> </w:t>
                      </w:r>
                      <w:r>
                        <w:rPr>
                          <w:color w:val="000000"/>
                        </w:rPr>
                        <w:t>controlled;</w:t>
                      </w:r>
                      <w:r>
                        <w:rPr>
                          <w:color w:val="000000"/>
                          <w:spacing w:val="1"/>
                        </w:rPr>
                        <w:t> </w:t>
                      </w:r>
                      <w:r>
                        <w:rPr>
                          <w:color w:val="000000"/>
                          <w:spacing w:val="-5"/>
                        </w:rPr>
                        <w:t>and</w:t>
                      </w:r>
                    </w:p>
                    <w:p>
                      <w:pPr>
                        <w:pStyle w:val="BodyText"/>
                        <w:numPr>
                          <w:ilvl w:val="0"/>
                          <w:numId w:val="23"/>
                        </w:numPr>
                        <w:tabs>
                          <w:tab w:pos="470" w:val="left" w:leader="none"/>
                        </w:tabs>
                        <w:spacing w:line="285" w:lineRule="auto" w:before="66" w:after="0"/>
                        <w:ind w:left="470" w:right="1123" w:hanging="358"/>
                        <w:jc w:val="left"/>
                        <w:rPr>
                          <w:color w:val="000000"/>
                        </w:rPr>
                      </w:pPr>
                      <w:r>
                        <w:rPr>
                          <w:color w:val="000000"/>
                        </w:rPr>
                        <w:t>describes</w:t>
                      </w:r>
                      <w:r>
                        <w:rPr>
                          <w:color w:val="000000"/>
                          <w:spacing w:val="-5"/>
                        </w:rPr>
                        <w:t> </w:t>
                      </w:r>
                      <w:r>
                        <w:rPr>
                          <w:color w:val="000000"/>
                        </w:rPr>
                        <w:t>the</w:t>
                      </w:r>
                      <w:r>
                        <w:rPr>
                          <w:color w:val="000000"/>
                          <w:spacing w:val="-3"/>
                        </w:rPr>
                        <w:t> </w:t>
                      </w:r>
                      <w:r>
                        <w:rPr>
                          <w:color w:val="000000"/>
                        </w:rPr>
                        <w:t>safety</w:t>
                      </w:r>
                      <w:r>
                        <w:rPr>
                          <w:color w:val="000000"/>
                          <w:spacing w:val="-5"/>
                        </w:rPr>
                        <w:t> </w:t>
                      </w:r>
                      <w:r>
                        <w:rPr>
                          <w:color w:val="000000"/>
                        </w:rPr>
                        <w:t>management</w:t>
                      </w:r>
                      <w:r>
                        <w:rPr>
                          <w:color w:val="000000"/>
                          <w:spacing w:val="-4"/>
                        </w:rPr>
                        <w:t> </w:t>
                      </w:r>
                      <w:r>
                        <w:rPr>
                          <w:color w:val="000000"/>
                        </w:rPr>
                        <w:t>system</w:t>
                      </w:r>
                      <w:r>
                        <w:rPr>
                          <w:color w:val="000000"/>
                          <w:spacing w:val="-4"/>
                        </w:rPr>
                        <w:t> </w:t>
                      </w:r>
                      <w:r>
                        <w:rPr>
                          <w:color w:val="000000"/>
                        </w:rPr>
                        <w:t>in</w:t>
                      </w:r>
                      <w:r>
                        <w:rPr>
                          <w:color w:val="000000"/>
                          <w:spacing w:val="-3"/>
                        </w:rPr>
                        <w:t> </w:t>
                      </w:r>
                      <w:r>
                        <w:rPr>
                          <w:color w:val="000000"/>
                        </w:rPr>
                        <w:t>place</w:t>
                      </w:r>
                      <w:r>
                        <w:rPr>
                          <w:color w:val="000000"/>
                          <w:spacing w:val="-5"/>
                        </w:rPr>
                        <w:t> </w:t>
                      </w:r>
                      <w:r>
                        <w:rPr>
                          <w:color w:val="000000"/>
                        </w:rPr>
                        <w:t>to</w:t>
                      </w:r>
                      <w:r>
                        <w:rPr>
                          <w:color w:val="000000"/>
                          <w:spacing w:val="-5"/>
                        </w:rPr>
                        <w:t> </w:t>
                      </w:r>
                      <w:r>
                        <w:rPr>
                          <w:color w:val="000000"/>
                        </w:rPr>
                        <w:t>ensure</w:t>
                      </w:r>
                      <w:r>
                        <w:rPr>
                          <w:color w:val="000000"/>
                          <w:spacing w:val="-5"/>
                        </w:rPr>
                        <w:t> </w:t>
                      </w:r>
                      <w:r>
                        <w:rPr>
                          <w:color w:val="000000"/>
                        </w:rPr>
                        <w:t>the</w:t>
                      </w:r>
                      <w:r>
                        <w:rPr>
                          <w:color w:val="000000"/>
                          <w:spacing w:val="-5"/>
                        </w:rPr>
                        <w:t> </w:t>
                      </w:r>
                      <w:r>
                        <w:rPr>
                          <w:color w:val="000000"/>
                        </w:rPr>
                        <w:t>controls</w:t>
                      </w:r>
                      <w:r>
                        <w:rPr>
                          <w:color w:val="000000"/>
                          <w:spacing w:val="-2"/>
                        </w:rPr>
                        <w:t> </w:t>
                      </w:r>
                      <w:r>
                        <w:rPr>
                          <w:color w:val="000000"/>
                        </w:rPr>
                        <w:t>are effectively and consistently applied.</w:t>
                      </w:r>
                    </w:p>
                  </w:txbxContent>
                </v:textbox>
                <v:fill type="solid"/>
                <w10:wrap type="topAndBottom"/>
              </v:shape>
            </w:pict>
          </mc:Fallback>
        </mc:AlternateContent>
      </w:r>
    </w:p>
    <w:p>
      <w:pPr>
        <w:pStyle w:val="BodyText"/>
        <w:rPr>
          <w:sz w:val="20"/>
        </w:rPr>
      </w:pPr>
    </w:p>
    <w:p>
      <w:pPr>
        <w:pStyle w:val="BodyText"/>
        <w:rPr>
          <w:sz w:val="19"/>
        </w:rPr>
      </w:pPr>
    </w:p>
    <w:p>
      <w:pPr>
        <w:pStyle w:val="BodyText"/>
        <w:spacing w:line="288" w:lineRule="auto" w:before="94"/>
        <w:ind w:left="600" w:right="713"/>
        <w:rPr>
          <w:i/>
        </w:rPr>
      </w:pPr>
      <w:r>
        <w:rPr/>
        <w:t>In 2004, the Victorian Government engaged Impaq Consulting to conduct a Review of Energy Safety Regulators in Victoria. The purpose of the review was to consider the organisational</w:t>
      </w:r>
      <w:r>
        <w:rPr>
          <w:spacing w:val="-3"/>
        </w:rPr>
        <w:t> </w:t>
      </w:r>
      <w:r>
        <w:rPr/>
        <w:t>effectiveness</w:t>
      </w:r>
      <w:r>
        <w:rPr>
          <w:spacing w:val="-3"/>
        </w:rPr>
        <w:t> </w:t>
      </w:r>
      <w:r>
        <w:rPr/>
        <w:t>and</w:t>
      </w:r>
      <w:r>
        <w:rPr>
          <w:spacing w:val="-3"/>
        </w:rPr>
        <w:t> </w:t>
      </w:r>
      <w:r>
        <w:rPr/>
        <w:t>efficiency</w:t>
      </w:r>
      <w:r>
        <w:rPr>
          <w:spacing w:val="-5"/>
        </w:rPr>
        <w:t> </w:t>
      </w:r>
      <w:r>
        <w:rPr/>
        <w:t>of</w:t>
      </w:r>
      <w:r>
        <w:rPr>
          <w:spacing w:val="-1"/>
        </w:rPr>
        <w:t> </w:t>
      </w:r>
      <w:r>
        <w:rPr/>
        <w:t>the</w:t>
      </w:r>
      <w:r>
        <w:rPr>
          <w:spacing w:val="-8"/>
        </w:rPr>
        <w:t> </w:t>
      </w:r>
      <w:r>
        <w:rPr/>
        <w:t>regulatory</w:t>
      </w:r>
      <w:r>
        <w:rPr>
          <w:spacing w:val="-5"/>
        </w:rPr>
        <w:t> </w:t>
      </w:r>
      <w:r>
        <w:rPr/>
        <w:t>agencies</w:t>
      </w:r>
      <w:r>
        <w:rPr>
          <w:spacing w:val="-5"/>
        </w:rPr>
        <w:t> </w:t>
      </w:r>
      <w:r>
        <w:rPr/>
        <w:t>responsible</w:t>
      </w:r>
      <w:r>
        <w:rPr>
          <w:spacing w:val="-5"/>
        </w:rPr>
        <w:t> </w:t>
      </w:r>
      <w:r>
        <w:rPr/>
        <w:t>for</w:t>
      </w:r>
      <w:r>
        <w:rPr>
          <w:spacing w:val="-4"/>
        </w:rPr>
        <w:t> </w:t>
      </w:r>
      <w:r>
        <w:rPr/>
        <w:t>safety in the electrical and gas industries in Victoria. The review recommended a merger of the Office of the Chief Electrical Inspector and the Office of Gas Safety to establish a single, integrated electricity and gas safety regulator to streamline its work and improve efficiency. This led to the establishment of ESV, an independent statutory entity, enacted through the </w:t>
      </w:r>
      <w:r>
        <w:rPr>
          <w:i/>
        </w:rPr>
        <w:t>Energy Safe Victoria Act 2005.</w:t>
      </w:r>
    </w:p>
    <w:p>
      <w:pPr>
        <w:pStyle w:val="BodyText"/>
        <w:spacing w:before="10"/>
        <w:rPr>
          <w:i/>
          <w:sz w:val="20"/>
        </w:rPr>
      </w:pPr>
    </w:p>
    <w:p>
      <w:pPr>
        <w:pStyle w:val="Heading8"/>
        <w:spacing w:before="1"/>
        <w:ind w:left="600"/>
      </w:pPr>
      <w:r>
        <w:rPr>
          <w:spacing w:val="-2"/>
        </w:rPr>
        <w:t>Electricity</w:t>
      </w:r>
    </w:p>
    <w:p>
      <w:pPr>
        <w:pStyle w:val="BodyText"/>
        <w:spacing w:line="288" w:lineRule="auto" w:before="171"/>
        <w:ind w:left="600" w:right="586"/>
      </w:pPr>
      <w:r>
        <w:rPr/>
        <w:t>The causal links between powerlines and bushfire ignitions have long been known. Powerlines</w:t>
      </w:r>
      <w:r>
        <w:rPr>
          <w:spacing w:val="-2"/>
        </w:rPr>
        <w:t> </w:t>
      </w:r>
      <w:r>
        <w:rPr/>
        <w:t>have</w:t>
      </w:r>
      <w:r>
        <w:rPr>
          <w:spacing w:val="-3"/>
        </w:rPr>
        <w:t> </w:t>
      </w:r>
      <w:r>
        <w:rPr/>
        <w:t>been</w:t>
      </w:r>
      <w:r>
        <w:rPr>
          <w:spacing w:val="-3"/>
        </w:rPr>
        <w:t> </w:t>
      </w:r>
      <w:r>
        <w:rPr/>
        <w:t>the</w:t>
      </w:r>
      <w:r>
        <w:rPr>
          <w:spacing w:val="-3"/>
        </w:rPr>
        <w:t> </w:t>
      </w:r>
      <w:r>
        <w:rPr/>
        <w:t>cause</w:t>
      </w:r>
      <w:r>
        <w:rPr>
          <w:spacing w:val="-3"/>
        </w:rPr>
        <w:t> </w:t>
      </w:r>
      <w:r>
        <w:rPr/>
        <w:t>of</w:t>
      </w:r>
      <w:r>
        <w:rPr>
          <w:spacing w:val="-2"/>
        </w:rPr>
        <w:t> </w:t>
      </w:r>
      <w:r>
        <w:rPr/>
        <w:t>a</w:t>
      </w:r>
      <w:r>
        <w:rPr>
          <w:spacing w:val="-3"/>
        </w:rPr>
        <w:t> </w:t>
      </w:r>
      <w:r>
        <w:rPr/>
        <w:t>number</w:t>
      </w:r>
      <w:r>
        <w:rPr>
          <w:spacing w:val="-4"/>
        </w:rPr>
        <w:t> </w:t>
      </w:r>
      <w:r>
        <w:rPr/>
        <w:t>of</w:t>
      </w:r>
      <w:r>
        <w:rPr>
          <w:spacing w:val="-3"/>
        </w:rPr>
        <w:t> </w:t>
      </w:r>
      <w:r>
        <w:rPr/>
        <w:t>major</w:t>
      </w:r>
      <w:r>
        <w:rPr>
          <w:spacing w:val="-4"/>
        </w:rPr>
        <w:t> </w:t>
      </w:r>
      <w:r>
        <w:rPr/>
        <w:t>fire</w:t>
      </w:r>
      <w:r>
        <w:rPr>
          <w:spacing w:val="-3"/>
        </w:rPr>
        <w:t> </w:t>
      </w:r>
      <w:r>
        <w:rPr/>
        <w:t>events</w:t>
      </w:r>
      <w:r>
        <w:rPr>
          <w:spacing w:val="-3"/>
        </w:rPr>
        <w:t> </w:t>
      </w:r>
      <w:r>
        <w:rPr/>
        <w:t>in</w:t>
      </w:r>
      <w:r>
        <w:rPr>
          <w:spacing w:val="-3"/>
        </w:rPr>
        <w:t> </w:t>
      </w:r>
      <w:r>
        <w:rPr/>
        <w:t>Victoria,</w:t>
      </w:r>
      <w:r>
        <w:rPr>
          <w:spacing w:val="-1"/>
        </w:rPr>
        <w:t> </w:t>
      </w:r>
      <w:r>
        <w:rPr/>
        <w:t>with</w:t>
      </w:r>
      <w:r>
        <w:rPr>
          <w:spacing w:val="-3"/>
        </w:rPr>
        <w:t> </w:t>
      </w:r>
      <w:r>
        <w:rPr/>
        <w:t>electricity assets thought to have started:</w:t>
      </w:r>
    </w:p>
    <w:p>
      <w:pPr>
        <w:spacing w:after="0" w:line="288" w:lineRule="auto"/>
        <w:sectPr>
          <w:pgSz w:w="11910" w:h="16840"/>
          <w:pgMar w:header="887" w:footer="1243" w:top="1080" w:bottom="1440" w:left="840" w:right="820"/>
        </w:sectPr>
      </w:pPr>
    </w:p>
    <w:p>
      <w:pPr>
        <w:pStyle w:val="BodyText"/>
        <w:rPr>
          <w:sz w:val="20"/>
        </w:rPr>
      </w:pPr>
    </w:p>
    <w:p>
      <w:pPr>
        <w:pStyle w:val="BodyText"/>
        <w:rPr>
          <w:sz w:val="20"/>
        </w:rPr>
      </w:pPr>
    </w:p>
    <w:p>
      <w:pPr>
        <w:pStyle w:val="BodyText"/>
        <w:spacing w:before="10"/>
        <w:rPr>
          <w:sz w:val="23"/>
        </w:rPr>
      </w:pPr>
    </w:p>
    <w:p>
      <w:pPr>
        <w:pStyle w:val="ListParagraph"/>
        <w:numPr>
          <w:ilvl w:val="0"/>
          <w:numId w:val="24"/>
        </w:numPr>
        <w:tabs>
          <w:tab w:pos="957" w:val="left" w:leader="none"/>
        </w:tabs>
        <w:spacing w:line="240" w:lineRule="auto" w:before="0" w:after="0"/>
        <w:ind w:left="957" w:right="0" w:hanging="357"/>
        <w:jc w:val="left"/>
        <w:rPr>
          <w:sz w:val="22"/>
        </w:rPr>
      </w:pPr>
      <w:r>
        <w:rPr>
          <w:sz w:val="22"/>
        </w:rPr>
        <w:t>nine</w:t>
      </w:r>
      <w:r>
        <w:rPr>
          <w:spacing w:val="-3"/>
          <w:sz w:val="22"/>
        </w:rPr>
        <w:t> </w:t>
      </w:r>
      <w:r>
        <w:rPr>
          <w:sz w:val="22"/>
        </w:rPr>
        <w:t>of</w:t>
      </w:r>
      <w:r>
        <w:rPr>
          <w:spacing w:val="-1"/>
          <w:sz w:val="22"/>
        </w:rPr>
        <w:t> </w:t>
      </w:r>
      <w:r>
        <w:rPr>
          <w:sz w:val="22"/>
        </w:rPr>
        <w:t>the</w:t>
      </w:r>
      <w:r>
        <w:rPr>
          <w:spacing w:val="-2"/>
          <w:sz w:val="22"/>
        </w:rPr>
        <w:t> </w:t>
      </w:r>
      <w:r>
        <w:rPr>
          <w:sz w:val="22"/>
        </w:rPr>
        <w:t>16</w:t>
      </w:r>
      <w:r>
        <w:rPr>
          <w:spacing w:val="-7"/>
          <w:sz w:val="22"/>
        </w:rPr>
        <w:t> </w:t>
      </w:r>
      <w:r>
        <w:rPr>
          <w:sz w:val="22"/>
        </w:rPr>
        <w:t>major</w:t>
      </w:r>
      <w:r>
        <w:rPr>
          <w:spacing w:val="-4"/>
          <w:sz w:val="22"/>
        </w:rPr>
        <w:t> </w:t>
      </w:r>
      <w:r>
        <w:rPr>
          <w:sz w:val="22"/>
        </w:rPr>
        <w:t>fires</w:t>
      </w:r>
      <w:r>
        <w:rPr>
          <w:spacing w:val="-4"/>
          <w:sz w:val="22"/>
        </w:rPr>
        <w:t> </w:t>
      </w:r>
      <w:r>
        <w:rPr>
          <w:sz w:val="22"/>
        </w:rPr>
        <w:t>on</w:t>
      </w:r>
      <w:r>
        <w:rPr>
          <w:spacing w:val="-3"/>
          <w:sz w:val="22"/>
        </w:rPr>
        <w:t> </w:t>
      </w:r>
      <w:r>
        <w:rPr>
          <w:sz w:val="22"/>
        </w:rPr>
        <w:t>12</w:t>
      </w:r>
      <w:r>
        <w:rPr>
          <w:spacing w:val="-4"/>
          <w:sz w:val="22"/>
        </w:rPr>
        <w:t> </w:t>
      </w:r>
      <w:r>
        <w:rPr>
          <w:sz w:val="22"/>
        </w:rPr>
        <w:t>February</w:t>
      </w:r>
      <w:r>
        <w:rPr>
          <w:spacing w:val="-4"/>
          <w:sz w:val="22"/>
        </w:rPr>
        <w:t> 1977;</w:t>
      </w:r>
    </w:p>
    <w:p>
      <w:pPr>
        <w:pStyle w:val="ListParagraph"/>
        <w:numPr>
          <w:ilvl w:val="0"/>
          <w:numId w:val="24"/>
        </w:numPr>
        <w:tabs>
          <w:tab w:pos="957" w:val="left" w:leader="none"/>
        </w:tabs>
        <w:spacing w:line="240" w:lineRule="auto" w:before="66" w:after="0"/>
        <w:ind w:left="957" w:right="0" w:hanging="357"/>
        <w:jc w:val="left"/>
        <w:rPr>
          <w:sz w:val="22"/>
        </w:rPr>
      </w:pPr>
      <w:r>
        <w:rPr>
          <w:sz w:val="22"/>
        </w:rPr>
        <w:t>four</w:t>
      </w:r>
      <w:r>
        <w:rPr>
          <w:spacing w:val="-6"/>
          <w:sz w:val="22"/>
        </w:rPr>
        <w:t> </w:t>
      </w:r>
      <w:r>
        <w:rPr>
          <w:sz w:val="22"/>
        </w:rPr>
        <w:t>of</w:t>
      </w:r>
      <w:r>
        <w:rPr>
          <w:spacing w:val="-1"/>
          <w:sz w:val="22"/>
        </w:rPr>
        <w:t> </w:t>
      </w:r>
      <w:r>
        <w:rPr>
          <w:sz w:val="22"/>
        </w:rPr>
        <w:t>the</w:t>
      </w:r>
      <w:r>
        <w:rPr>
          <w:spacing w:val="-5"/>
          <w:sz w:val="22"/>
        </w:rPr>
        <w:t> </w:t>
      </w:r>
      <w:r>
        <w:rPr>
          <w:sz w:val="22"/>
        </w:rPr>
        <w:t>eight</w:t>
      </w:r>
      <w:r>
        <w:rPr>
          <w:spacing w:val="-4"/>
          <w:sz w:val="22"/>
        </w:rPr>
        <w:t> </w:t>
      </w:r>
      <w:r>
        <w:rPr>
          <w:sz w:val="22"/>
        </w:rPr>
        <w:t>major</w:t>
      </w:r>
      <w:r>
        <w:rPr>
          <w:spacing w:val="-6"/>
          <w:sz w:val="22"/>
        </w:rPr>
        <w:t> </w:t>
      </w:r>
      <w:r>
        <w:rPr>
          <w:sz w:val="22"/>
        </w:rPr>
        <w:t>fires</w:t>
      </w:r>
      <w:r>
        <w:rPr>
          <w:spacing w:val="-3"/>
          <w:sz w:val="22"/>
        </w:rPr>
        <w:t> </w:t>
      </w:r>
      <w:r>
        <w:rPr>
          <w:sz w:val="22"/>
        </w:rPr>
        <w:t>on</w:t>
      </w:r>
      <w:r>
        <w:rPr>
          <w:spacing w:val="-3"/>
          <w:sz w:val="22"/>
        </w:rPr>
        <w:t> </w:t>
      </w:r>
      <w:r>
        <w:rPr>
          <w:sz w:val="22"/>
        </w:rPr>
        <w:t>Ash</w:t>
      </w:r>
      <w:r>
        <w:rPr>
          <w:spacing w:val="-9"/>
          <w:sz w:val="22"/>
        </w:rPr>
        <w:t> </w:t>
      </w:r>
      <w:r>
        <w:rPr>
          <w:sz w:val="22"/>
        </w:rPr>
        <w:t>Wednesday</w:t>
      </w:r>
      <w:r>
        <w:rPr>
          <w:spacing w:val="-5"/>
          <w:sz w:val="22"/>
        </w:rPr>
        <w:t> </w:t>
      </w:r>
      <w:r>
        <w:rPr>
          <w:sz w:val="22"/>
        </w:rPr>
        <w:t>(16</w:t>
      </w:r>
      <w:r>
        <w:rPr>
          <w:spacing w:val="-3"/>
          <w:sz w:val="22"/>
        </w:rPr>
        <w:t> </w:t>
      </w:r>
      <w:r>
        <w:rPr>
          <w:sz w:val="22"/>
        </w:rPr>
        <w:t>February</w:t>
      </w:r>
      <w:r>
        <w:rPr>
          <w:spacing w:val="-5"/>
          <w:sz w:val="22"/>
        </w:rPr>
        <w:t> </w:t>
      </w:r>
      <w:r>
        <w:rPr>
          <w:sz w:val="22"/>
        </w:rPr>
        <w:t>1983);</w:t>
      </w:r>
      <w:r>
        <w:rPr>
          <w:spacing w:val="2"/>
          <w:sz w:val="22"/>
        </w:rPr>
        <w:t> </w:t>
      </w:r>
      <w:r>
        <w:rPr>
          <w:spacing w:val="-5"/>
          <w:sz w:val="22"/>
        </w:rPr>
        <w:t>and</w:t>
      </w:r>
    </w:p>
    <w:p>
      <w:pPr>
        <w:pStyle w:val="ListParagraph"/>
        <w:numPr>
          <w:ilvl w:val="0"/>
          <w:numId w:val="24"/>
        </w:numPr>
        <w:tabs>
          <w:tab w:pos="957" w:val="left" w:leader="none"/>
        </w:tabs>
        <w:spacing w:line="240" w:lineRule="auto" w:before="67" w:after="0"/>
        <w:ind w:left="957" w:right="0" w:hanging="357"/>
        <w:jc w:val="left"/>
        <w:rPr>
          <w:sz w:val="22"/>
        </w:rPr>
      </w:pPr>
      <w:r>
        <w:rPr>
          <w:sz w:val="22"/>
        </w:rPr>
        <w:t>six</w:t>
      </w:r>
      <w:r>
        <w:rPr>
          <w:spacing w:val="-8"/>
          <w:sz w:val="22"/>
        </w:rPr>
        <w:t> </w:t>
      </w:r>
      <w:r>
        <w:rPr>
          <w:sz w:val="22"/>
        </w:rPr>
        <w:t>of</w:t>
      </w:r>
      <w:r>
        <w:rPr>
          <w:spacing w:val="-2"/>
          <w:sz w:val="22"/>
        </w:rPr>
        <w:t> </w:t>
      </w:r>
      <w:r>
        <w:rPr>
          <w:sz w:val="22"/>
        </w:rPr>
        <w:t>the</w:t>
      </w:r>
      <w:r>
        <w:rPr>
          <w:spacing w:val="-5"/>
          <w:sz w:val="22"/>
        </w:rPr>
        <w:t> </w:t>
      </w:r>
      <w:r>
        <w:rPr>
          <w:sz w:val="22"/>
        </w:rPr>
        <w:t>11</w:t>
      </w:r>
      <w:r>
        <w:rPr>
          <w:spacing w:val="-5"/>
          <w:sz w:val="22"/>
        </w:rPr>
        <w:t> </w:t>
      </w:r>
      <w:r>
        <w:rPr>
          <w:sz w:val="22"/>
        </w:rPr>
        <w:t>major</w:t>
      </w:r>
      <w:r>
        <w:rPr>
          <w:spacing w:val="-8"/>
          <w:sz w:val="22"/>
        </w:rPr>
        <w:t> </w:t>
      </w:r>
      <w:r>
        <w:rPr>
          <w:sz w:val="22"/>
        </w:rPr>
        <w:t>fires</w:t>
      </w:r>
      <w:r>
        <w:rPr>
          <w:spacing w:val="-7"/>
          <w:sz w:val="22"/>
        </w:rPr>
        <w:t> </w:t>
      </w:r>
      <w:r>
        <w:rPr>
          <w:sz w:val="22"/>
        </w:rPr>
        <w:t>on</w:t>
      </w:r>
      <w:r>
        <w:rPr>
          <w:spacing w:val="-3"/>
          <w:sz w:val="22"/>
        </w:rPr>
        <w:t> </w:t>
      </w:r>
      <w:r>
        <w:rPr>
          <w:sz w:val="22"/>
        </w:rPr>
        <w:t>Black</w:t>
      </w:r>
      <w:r>
        <w:rPr>
          <w:spacing w:val="-3"/>
          <w:sz w:val="22"/>
        </w:rPr>
        <w:t> </w:t>
      </w:r>
      <w:r>
        <w:rPr>
          <w:sz w:val="22"/>
        </w:rPr>
        <w:t>Saturday</w:t>
      </w:r>
      <w:r>
        <w:rPr>
          <w:spacing w:val="-3"/>
          <w:sz w:val="22"/>
        </w:rPr>
        <w:t> </w:t>
      </w:r>
      <w:r>
        <w:rPr>
          <w:sz w:val="22"/>
        </w:rPr>
        <w:t>(ACIL</w:t>
      </w:r>
      <w:r>
        <w:rPr>
          <w:spacing w:val="-5"/>
          <w:sz w:val="22"/>
        </w:rPr>
        <w:t> </w:t>
      </w:r>
      <w:r>
        <w:rPr>
          <w:sz w:val="22"/>
        </w:rPr>
        <w:t>Allen</w:t>
      </w:r>
      <w:r>
        <w:rPr>
          <w:spacing w:val="-3"/>
          <w:sz w:val="22"/>
        </w:rPr>
        <w:t> </w:t>
      </w:r>
      <w:r>
        <w:rPr>
          <w:sz w:val="22"/>
        </w:rPr>
        <w:t>Consulting,</w:t>
      </w:r>
      <w:r>
        <w:rPr>
          <w:spacing w:val="-1"/>
          <w:sz w:val="22"/>
        </w:rPr>
        <w:t> </w:t>
      </w:r>
      <w:r>
        <w:rPr>
          <w:spacing w:val="-2"/>
          <w:sz w:val="22"/>
        </w:rPr>
        <w:t>2015).</w:t>
      </w:r>
    </w:p>
    <w:p>
      <w:pPr>
        <w:pStyle w:val="BodyText"/>
        <w:spacing w:before="10"/>
        <w:rPr>
          <w:sz w:val="24"/>
        </w:rPr>
      </w:pPr>
    </w:p>
    <w:p>
      <w:pPr>
        <w:pStyle w:val="BodyText"/>
        <w:spacing w:line="288" w:lineRule="auto" w:before="1"/>
        <w:ind w:left="600" w:right="374"/>
      </w:pPr>
      <w:r>
        <w:rPr/>
        <w:t>The</w:t>
      </w:r>
      <w:r>
        <w:rPr>
          <w:spacing w:val="-5"/>
        </w:rPr>
        <w:t> </w:t>
      </w:r>
      <w:r>
        <w:rPr/>
        <w:t>primary</w:t>
      </w:r>
      <w:r>
        <w:rPr>
          <w:spacing w:val="-4"/>
        </w:rPr>
        <w:t> </w:t>
      </w:r>
      <w:r>
        <w:rPr/>
        <w:t>causes</w:t>
      </w:r>
      <w:r>
        <w:rPr>
          <w:spacing w:val="-5"/>
        </w:rPr>
        <w:t> </w:t>
      </w:r>
      <w:r>
        <w:rPr/>
        <w:t>of</w:t>
      </w:r>
      <w:r>
        <w:rPr>
          <w:spacing w:val="-1"/>
        </w:rPr>
        <w:t> </w:t>
      </w:r>
      <w:r>
        <w:rPr/>
        <w:t>bushfires</w:t>
      </w:r>
      <w:r>
        <w:rPr>
          <w:spacing w:val="-5"/>
        </w:rPr>
        <w:t> </w:t>
      </w:r>
      <w:r>
        <w:rPr/>
        <w:t>in</w:t>
      </w:r>
      <w:r>
        <w:rPr>
          <w:spacing w:val="-3"/>
        </w:rPr>
        <w:t> </w:t>
      </w:r>
      <w:r>
        <w:rPr/>
        <w:t>1977</w:t>
      </w:r>
      <w:r>
        <w:rPr>
          <w:spacing w:val="-3"/>
        </w:rPr>
        <w:t> </w:t>
      </w:r>
      <w:r>
        <w:rPr/>
        <w:t>and</w:t>
      </w:r>
      <w:r>
        <w:rPr>
          <w:spacing w:val="-5"/>
        </w:rPr>
        <w:t> </w:t>
      </w:r>
      <w:r>
        <w:rPr/>
        <w:t>1983</w:t>
      </w:r>
      <w:r>
        <w:rPr>
          <w:spacing w:val="-3"/>
        </w:rPr>
        <w:t> </w:t>
      </w:r>
      <w:r>
        <w:rPr/>
        <w:t>were</w:t>
      </w:r>
      <w:r>
        <w:rPr>
          <w:spacing w:val="-2"/>
        </w:rPr>
        <w:t> </w:t>
      </w:r>
      <w:r>
        <w:rPr/>
        <w:t>vegetation</w:t>
      </w:r>
      <w:r>
        <w:rPr>
          <w:spacing w:val="-3"/>
        </w:rPr>
        <w:t> </w:t>
      </w:r>
      <w:r>
        <w:rPr/>
        <w:t>touching</w:t>
      </w:r>
      <w:r>
        <w:rPr>
          <w:spacing w:val="-3"/>
        </w:rPr>
        <w:t> </w:t>
      </w:r>
      <w:r>
        <w:rPr/>
        <w:t>live wires;</w:t>
      </w:r>
      <w:r>
        <w:rPr>
          <w:spacing w:val="-4"/>
        </w:rPr>
        <w:t> </w:t>
      </w:r>
      <w:r>
        <w:rPr/>
        <w:t>fuses that produced hot metal particles when they operated; and clashing wires (PBSP, 2011).</w:t>
      </w:r>
    </w:p>
    <w:p>
      <w:pPr>
        <w:pStyle w:val="BodyText"/>
        <w:spacing w:before="9"/>
        <w:rPr>
          <w:sz w:val="20"/>
        </w:rPr>
      </w:pPr>
    </w:p>
    <w:p>
      <w:pPr>
        <w:pStyle w:val="BodyText"/>
        <w:spacing w:line="288" w:lineRule="auto" w:before="1"/>
        <w:ind w:left="600" w:right="586"/>
      </w:pPr>
      <w:r>
        <w:rPr/>
        <w:t>Formal</w:t>
      </w:r>
      <w:r>
        <w:rPr>
          <w:spacing w:val="-3"/>
        </w:rPr>
        <w:t> </w:t>
      </w:r>
      <w:r>
        <w:rPr/>
        <w:t>inquiries</w:t>
      </w:r>
      <w:r>
        <w:rPr>
          <w:spacing w:val="-2"/>
        </w:rPr>
        <w:t> </w:t>
      </w:r>
      <w:r>
        <w:rPr/>
        <w:t>were</w:t>
      </w:r>
      <w:r>
        <w:rPr>
          <w:spacing w:val="-1"/>
        </w:rPr>
        <w:t> </w:t>
      </w:r>
      <w:r>
        <w:rPr/>
        <w:t>held</w:t>
      </w:r>
      <w:r>
        <w:rPr>
          <w:spacing w:val="-2"/>
        </w:rPr>
        <w:t> </w:t>
      </w:r>
      <w:r>
        <w:rPr/>
        <w:t>after</w:t>
      </w:r>
      <w:r>
        <w:rPr>
          <w:spacing w:val="-3"/>
        </w:rPr>
        <w:t> </w:t>
      </w:r>
      <w:r>
        <w:rPr/>
        <w:t>the</w:t>
      </w:r>
      <w:r>
        <w:rPr>
          <w:spacing w:val="-2"/>
        </w:rPr>
        <w:t> </w:t>
      </w:r>
      <w:r>
        <w:rPr/>
        <w:t>1977</w:t>
      </w:r>
      <w:r>
        <w:rPr>
          <w:spacing w:val="-4"/>
        </w:rPr>
        <w:t> </w:t>
      </w:r>
      <w:r>
        <w:rPr/>
        <w:t>and</w:t>
      </w:r>
      <w:r>
        <w:rPr>
          <w:spacing w:val="-4"/>
        </w:rPr>
        <w:t> </w:t>
      </w:r>
      <w:r>
        <w:rPr/>
        <w:t>1983</w:t>
      </w:r>
      <w:r>
        <w:rPr>
          <w:spacing w:val="-4"/>
        </w:rPr>
        <w:t> </w:t>
      </w:r>
      <w:r>
        <w:rPr/>
        <w:t>fires</w:t>
      </w:r>
      <w:r>
        <w:rPr>
          <w:spacing w:val="-4"/>
        </w:rPr>
        <w:t> </w:t>
      </w:r>
      <w:r>
        <w:rPr/>
        <w:t>and</w:t>
      </w:r>
      <w:r>
        <w:rPr>
          <w:spacing w:val="-2"/>
        </w:rPr>
        <w:t> </w:t>
      </w:r>
      <w:r>
        <w:rPr/>
        <w:t>a</w:t>
      </w:r>
      <w:r>
        <w:rPr>
          <w:spacing w:val="-4"/>
        </w:rPr>
        <w:t> </w:t>
      </w:r>
      <w:r>
        <w:rPr/>
        <w:t>number</w:t>
      </w:r>
      <w:r>
        <w:rPr>
          <w:spacing w:val="-3"/>
        </w:rPr>
        <w:t> </w:t>
      </w:r>
      <w:r>
        <w:rPr/>
        <w:t>of actions</w:t>
      </w:r>
      <w:r>
        <w:rPr>
          <w:spacing w:val="-1"/>
        </w:rPr>
        <w:t> </w:t>
      </w:r>
      <w:r>
        <w:rPr/>
        <w:t>were</w:t>
      </w:r>
      <w:r>
        <w:rPr>
          <w:spacing w:val="-1"/>
        </w:rPr>
        <w:t> </w:t>
      </w:r>
      <w:r>
        <w:rPr/>
        <w:t>taken by the former SECV and the Victorian Government. These included:</w:t>
      </w:r>
    </w:p>
    <w:p>
      <w:pPr>
        <w:pStyle w:val="BodyText"/>
        <w:spacing w:before="3"/>
      </w:pPr>
    </w:p>
    <w:p>
      <w:pPr>
        <w:pStyle w:val="ListParagraph"/>
        <w:numPr>
          <w:ilvl w:val="0"/>
          <w:numId w:val="24"/>
        </w:numPr>
        <w:tabs>
          <w:tab w:pos="957" w:val="left" w:leader="none"/>
        </w:tabs>
        <w:spacing w:line="240" w:lineRule="auto" w:before="1" w:after="0"/>
        <w:ind w:left="957" w:right="0" w:hanging="357"/>
        <w:jc w:val="left"/>
        <w:rPr>
          <w:sz w:val="22"/>
        </w:rPr>
      </w:pPr>
      <w:r>
        <w:rPr>
          <w:sz w:val="22"/>
        </w:rPr>
        <w:t>installation</w:t>
      </w:r>
      <w:r>
        <w:rPr>
          <w:spacing w:val="-8"/>
          <w:sz w:val="22"/>
        </w:rPr>
        <w:t> </w:t>
      </w:r>
      <w:r>
        <w:rPr>
          <w:sz w:val="22"/>
        </w:rPr>
        <w:t>of</w:t>
      </w:r>
      <w:r>
        <w:rPr>
          <w:spacing w:val="-3"/>
          <w:sz w:val="22"/>
        </w:rPr>
        <w:t> </w:t>
      </w:r>
      <w:r>
        <w:rPr>
          <w:sz w:val="22"/>
        </w:rPr>
        <w:t>spreaders</w:t>
      </w:r>
      <w:r>
        <w:rPr>
          <w:spacing w:val="-7"/>
          <w:sz w:val="22"/>
        </w:rPr>
        <w:t> </w:t>
      </w:r>
      <w:r>
        <w:rPr>
          <w:sz w:val="22"/>
        </w:rPr>
        <w:t>on</w:t>
      </w:r>
      <w:r>
        <w:rPr>
          <w:spacing w:val="-5"/>
          <w:sz w:val="22"/>
        </w:rPr>
        <w:t> </w:t>
      </w:r>
      <w:r>
        <w:rPr>
          <w:sz w:val="22"/>
        </w:rPr>
        <w:t>low</w:t>
      </w:r>
      <w:r>
        <w:rPr>
          <w:spacing w:val="-8"/>
          <w:sz w:val="22"/>
        </w:rPr>
        <w:t> </w:t>
      </w:r>
      <w:r>
        <w:rPr>
          <w:sz w:val="22"/>
        </w:rPr>
        <w:t>voltage</w:t>
      </w:r>
      <w:r>
        <w:rPr>
          <w:spacing w:val="-6"/>
          <w:sz w:val="22"/>
        </w:rPr>
        <w:t> </w:t>
      </w:r>
      <w:r>
        <w:rPr>
          <w:sz w:val="22"/>
        </w:rPr>
        <w:t>lines</w:t>
      </w:r>
      <w:r>
        <w:rPr>
          <w:spacing w:val="-7"/>
          <w:sz w:val="22"/>
        </w:rPr>
        <w:t> </w:t>
      </w:r>
      <w:r>
        <w:rPr>
          <w:sz w:val="22"/>
        </w:rPr>
        <w:t>to</w:t>
      </w:r>
      <w:r>
        <w:rPr>
          <w:spacing w:val="-7"/>
          <w:sz w:val="22"/>
        </w:rPr>
        <w:t> </w:t>
      </w:r>
      <w:r>
        <w:rPr>
          <w:sz w:val="22"/>
        </w:rPr>
        <w:t>prevent</w:t>
      </w:r>
      <w:r>
        <w:rPr>
          <w:spacing w:val="-3"/>
          <w:sz w:val="22"/>
        </w:rPr>
        <w:t> </w:t>
      </w:r>
      <w:r>
        <w:rPr>
          <w:sz w:val="22"/>
        </w:rPr>
        <w:t>wires</w:t>
      </w:r>
      <w:r>
        <w:rPr>
          <w:spacing w:val="-5"/>
          <w:sz w:val="22"/>
        </w:rPr>
        <w:t> </w:t>
      </w:r>
      <w:r>
        <w:rPr>
          <w:spacing w:val="-2"/>
          <w:sz w:val="22"/>
        </w:rPr>
        <w:t>clashing;</w:t>
      </w:r>
    </w:p>
    <w:p>
      <w:pPr>
        <w:pStyle w:val="BodyText"/>
        <w:spacing w:before="7"/>
        <w:rPr>
          <w:sz w:val="26"/>
        </w:rPr>
      </w:pPr>
    </w:p>
    <w:p>
      <w:pPr>
        <w:pStyle w:val="ListParagraph"/>
        <w:numPr>
          <w:ilvl w:val="0"/>
          <w:numId w:val="24"/>
        </w:numPr>
        <w:tabs>
          <w:tab w:pos="957" w:val="left" w:leader="none"/>
        </w:tabs>
        <w:spacing w:line="240" w:lineRule="auto" w:before="0" w:after="0"/>
        <w:ind w:left="957" w:right="0" w:hanging="357"/>
        <w:jc w:val="left"/>
        <w:rPr>
          <w:sz w:val="22"/>
        </w:rPr>
      </w:pPr>
      <w:r>
        <w:rPr>
          <w:sz w:val="22"/>
        </w:rPr>
        <w:t>replacement</w:t>
      </w:r>
      <w:r>
        <w:rPr>
          <w:spacing w:val="-5"/>
          <w:sz w:val="22"/>
        </w:rPr>
        <w:t> </w:t>
      </w:r>
      <w:r>
        <w:rPr>
          <w:sz w:val="22"/>
        </w:rPr>
        <w:t>of</w:t>
      </w:r>
      <w:r>
        <w:rPr>
          <w:spacing w:val="-4"/>
          <w:sz w:val="22"/>
        </w:rPr>
        <w:t> </w:t>
      </w:r>
      <w:r>
        <w:rPr>
          <w:sz w:val="22"/>
        </w:rPr>
        <w:t>old</w:t>
      </w:r>
      <w:r>
        <w:rPr>
          <w:spacing w:val="-7"/>
          <w:sz w:val="22"/>
        </w:rPr>
        <w:t> </w:t>
      </w:r>
      <w:r>
        <w:rPr>
          <w:spacing w:val="-2"/>
          <w:sz w:val="22"/>
        </w:rPr>
        <w:t>fuses;</w:t>
      </w:r>
    </w:p>
    <w:p>
      <w:pPr>
        <w:pStyle w:val="BodyText"/>
        <w:spacing w:before="7"/>
        <w:rPr>
          <w:sz w:val="26"/>
        </w:rPr>
      </w:pPr>
    </w:p>
    <w:p>
      <w:pPr>
        <w:pStyle w:val="ListParagraph"/>
        <w:numPr>
          <w:ilvl w:val="0"/>
          <w:numId w:val="24"/>
        </w:numPr>
        <w:tabs>
          <w:tab w:pos="958" w:val="left" w:leader="none"/>
        </w:tabs>
        <w:spacing w:line="285" w:lineRule="auto" w:before="1" w:after="0"/>
        <w:ind w:left="958" w:right="1019" w:hanging="358"/>
        <w:jc w:val="left"/>
        <w:rPr>
          <w:sz w:val="22"/>
        </w:rPr>
      </w:pPr>
      <w:r>
        <w:rPr>
          <w:sz w:val="22"/>
        </w:rPr>
        <w:t>installation</w:t>
      </w:r>
      <w:r>
        <w:rPr>
          <w:spacing w:val="-3"/>
          <w:sz w:val="22"/>
        </w:rPr>
        <w:t> </w:t>
      </w:r>
      <w:r>
        <w:rPr>
          <w:sz w:val="22"/>
        </w:rPr>
        <w:t>of neutral</w:t>
      </w:r>
      <w:r>
        <w:rPr>
          <w:spacing w:val="-4"/>
          <w:sz w:val="22"/>
        </w:rPr>
        <w:t> </w:t>
      </w:r>
      <w:r>
        <w:rPr>
          <w:sz w:val="22"/>
        </w:rPr>
        <w:t>earthing</w:t>
      </w:r>
      <w:r>
        <w:rPr>
          <w:spacing w:val="-3"/>
          <w:sz w:val="22"/>
        </w:rPr>
        <w:t> </w:t>
      </w:r>
      <w:r>
        <w:rPr>
          <w:sz w:val="22"/>
        </w:rPr>
        <w:t>resistors</w:t>
      </w:r>
      <w:r>
        <w:rPr>
          <w:spacing w:val="-4"/>
          <w:sz w:val="22"/>
        </w:rPr>
        <w:t> </w:t>
      </w:r>
      <w:r>
        <w:rPr>
          <w:sz w:val="22"/>
        </w:rPr>
        <w:t>in</w:t>
      </w:r>
      <w:r>
        <w:rPr>
          <w:spacing w:val="-3"/>
          <w:sz w:val="22"/>
        </w:rPr>
        <w:t> </w:t>
      </w:r>
      <w:r>
        <w:rPr>
          <w:sz w:val="22"/>
        </w:rPr>
        <w:t>some</w:t>
      </w:r>
      <w:r>
        <w:rPr>
          <w:spacing w:val="-3"/>
          <w:sz w:val="22"/>
        </w:rPr>
        <w:t> </w:t>
      </w:r>
      <w:r>
        <w:rPr>
          <w:sz w:val="22"/>
        </w:rPr>
        <w:t>zone</w:t>
      </w:r>
      <w:r>
        <w:rPr>
          <w:spacing w:val="-3"/>
          <w:sz w:val="22"/>
        </w:rPr>
        <w:t> </w:t>
      </w:r>
      <w:r>
        <w:rPr>
          <w:sz w:val="22"/>
        </w:rPr>
        <w:t>substations</w:t>
      </w:r>
      <w:r>
        <w:rPr>
          <w:spacing w:val="-2"/>
          <w:sz w:val="22"/>
        </w:rPr>
        <w:t> </w:t>
      </w:r>
      <w:r>
        <w:rPr>
          <w:sz w:val="22"/>
        </w:rPr>
        <w:t>in</w:t>
      </w:r>
      <w:r>
        <w:rPr>
          <w:spacing w:val="-5"/>
          <w:sz w:val="22"/>
        </w:rPr>
        <w:t> </w:t>
      </w:r>
      <w:r>
        <w:rPr>
          <w:sz w:val="22"/>
        </w:rPr>
        <w:t>high</w:t>
      </w:r>
      <w:r>
        <w:rPr>
          <w:spacing w:val="-5"/>
          <w:sz w:val="22"/>
        </w:rPr>
        <w:t> </w:t>
      </w:r>
      <w:r>
        <w:rPr>
          <w:sz w:val="22"/>
        </w:rPr>
        <w:t>bushfire</w:t>
      </w:r>
      <w:r>
        <w:rPr>
          <w:spacing w:val="-5"/>
          <w:sz w:val="22"/>
        </w:rPr>
        <w:t> </w:t>
      </w:r>
      <w:r>
        <w:rPr>
          <w:sz w:val="22"/>
        </w:rPr>
        <w:t>risk areas to reduce the fault current;</w:t>
      </w:r>
    </w:p>
    <w:p>
      <w:pPr>
        <w:pStyle w:val="BodyText"/>
        <w:spacing w:before="6"/>
      </w:pPr>
    </w:p>
    <w:p>
      <w:pPr>
        <w:pStyle w:val="ListParagraph"/>
        <w:numPr>
          <w:ilvl w:val="0"/>
          <w:numId w:val="24"/>
        </w:numPr>
        <w:tabs>
          <w:tab w:pos="958" w:val="left" w:leader="none"/>
        </w:tabs>
        <w:spacing w:line="288" w:lineRule="auto" w:before="0" w:after="0"/>
        <w:ind w:left="958" w:right="1435" w:hanging="358"/>
        <w:jc w:val="left"/>
        <w:rPr>
          <w:sz w:val="22"/>
        </w:rPr>
      </w:pPr>
      <w:r>
        <w:rPr>
          <w:sz w:val="22"/>
        </w:rPr>
        <w:t>increased</w:t>
      </w:r>
      <w:r>
        <w:rPr>
          <w:spacing w:val="-5"/>
          <w:sz w:val="22"/>
        </w:rPr>
        <w:t> </w:t>
      </w:r>
      <w:r>
        <w:rPr>
          <w:sz w:val="22"/>
        </w:rPr>
        <w:t>inspection</w:t>
      </w:r>
      <w:r>
        <w:rPr>
          <w:spacing w:val="-5"/>
          <w:sz w:val="22"/>
        </w:rPr>
        <w:t> </w:t>
      </w:r>
      <w:r>
        <w:rPr>
          <w:sz w:val="22"/>
        </w:rPr>
        <w:t>and</w:t>
      </w:r>
      <w:r>
        <w:rPr>
          <w:spacing w:val="-6"/>
          <w:sz w:val="22"/>
        </w:rPr>
        <w:t> </w:t>
      </w:r>
      <w:r>
        <w:rPr>
          <w:sz w:val="22"/>
        </w:rPr>
        <w:t>maintenance</w:t>
      </w:r>
      <w:r>
        <w:rPr>
          <w:spacing w:val="-5"/>
          <w:sz w:val="22"/>
        </w:rPr>
        <w:t> </w:t>
      </w:r>
      <w:r>
        <w:rPr>
          <w:sz w:val="22"/>
        </w:rPr>
        <w:t>obligations</w:t>
      </w:r>
      <w:r>
        <w:rPr>
          <w:spacing w:val="-6"/>
          <w:sz w:val="22"/>
        </w:rPr>
        <w:t> </w:t>
      </w:r>
      <w:r>
        <w:rPr>
          <w:sz w:val="22"/>
        </w:rPr>
        <w:t>on</w:t>
      </w:r>
      <w:r>
        <w:rPr>
          <w:spacing w:val="-5"/>
          <w:sz w:val="22"/>
        </w:rPr>
        <w:t> </w:t>
      </w:r>
      <w:r>
        <w:rPr>
          <w:sz w:val="22"/>
        </w:rPr>
        <w:t>distribution</w:t>
      </w:r>
      <w:r>
        <w:rPr>
          <w:spacing w:val="-5"/>
          <w:sz w:val="22"/>
        </w:rPr>
        <w:t> </w:t>
      </w:r>
      <w:r>
        <w:rPr>
          <w:sz w:val="22"/>
        </w:rPr>
        <w:t>companies</w:t>
      </w:r>
      <w:r>
        <w:rPr>
          <w:spacing w:val="-4"/>
          <w:sz w:val="22"/>
        </w:rPr>
        <w:t> </w:t>
      </w:r>
      <w:r>
        <w:rPr>
          <w:sz w:val="22"/>
        </w:rPr>
        <w:t>and customers with private overhead lines;</w:t>
      </w:r>
    </w:p>
    <w:p>
      <w:pPr>
        <w:pStyle w:val="BodyText"/>
        <w:spacing w:before="1"/>
      </w:pPr>
    </w:p>
    <w:p>
      <w:pPr>
        <w:pStyle w:val="ListParagraph"/>
        <w:numPr>
          <w:ilvl w:val="0"/>
          <w:numId w:val="24"/>
        </w:numPr>
        <w:tabs>
          <w:tab w:pos="958" w:val="left" w:leader="none"/>
        </w:tabs>
        <w:spacing w:line="288" w:lineRule="auto" w:before="1" w:after="0"/>
        <w:ind w:left="958" w:right="1163" w:hanging="358"/>
        <w:jc w:val="left"/>
        <w:rPr>
          <w:sz w:val="22"/>
        </w:rPr>
      </w:pPr>
      <w:r>
        <w:rPr>
          <w:sz w:val="22"/>
        </w:rPr>
        <w:t>a</w:t>
      </w:r>
      <w:r>
        <w:rPr>
          <w:spacing w:val="-3"/>
          <w:sz w:val="22"/>
        </w:rPr>
        <w:t> </w:t>
      </w:r>
      <w:r>
        <w:rPr>
          <w:sz w:val="22"/>
        </w:rPr>
        <w:t>requirement</w:t>
      </w:r>
      <w:r>
        <w:rPr>
          <w:spacing w:val="-4"/>
          <w:sz w:val="22"/>
        </w:rPr>
        <w:t> </w:t>
      </w:r>
      <w:r>
        <w:rPr>
          <w:sz w:val="22"/>
        </w:rPr>
        <w:t>that</w:t>
      </w:r>
      <w:r>
        <w:rPr>
          <w:spacing w:val="-4"/>
          <w:sz w:val="22"/>
        </w:rPr>
        <w:t> </w:t>
      </w:r>
      <w:r>
        <w:rPr>
          <w:sz w:val="22"/>
        </w:rPr>
        <w:t>all</w:t>
      </w:r>
      <w:r>
        <w:rPr>
          <w:spacing w:val="-3"/>
          <w:sz w:val="22"/>
        </w:rPr>
        <w:t> </w:t>
      </w:r>
      <w:r>
        <w:rPr>
          <w:sz w:val="22"/>
        </w:rPr>
        <w:t>new</w:t>
      </w:r>
      <w:r>
        <w:rPr>
          <w:spacing w:val="-5"/>
          <w:sz w:val="22"/>
        </w:rPr>
        <w:t> </w:t>
      </w:r>
      <w:r>
        <w:rPr>
          <w:sz w:val="22"/>
        </w:rPr>
        <w:t>and</w:t>
      </w:r>
      <w:r>
        <w:rPr>
          <w:spacing w:val="-3"/>
          <w:sz w:val="22"/>
        </w:rPr>
        <w:t> </w:t>
      </w:r>
      <w:r>
        <w:rPr>
          <w:sz w:val="22"/>
        </w:rPr>
        <w:t>reconstructed</w:t>
      </w:r>
      <w:r>
        <w:rPr>
          <w:spacing w:val="-4"/>
          <w:sz w:val="22"/>
        </w:rPr>
        <w:t> </w:t>
      </w:r>
      <w:r>
        <w:rPr>
          <w:sz w:val="22"/>
        </w:rPr>
        <w:t>private</w:t>
      </w:r>
      <w:r>
        <w:rPr>
          <w:spacing w:val="-2"/>
          <w:sz w:val="22"/>
        </w:rPr>
        <w:t> </w:t>
      </w:r>
      <w:r>
        <w:rPr>
          <w:sz w:val="22"/>
        </w:rPr>
        <w:t>overhead</w:t>
      </w:r>
      <w:r>
        <w:rPr>
          <w:spacing w:val="-3"/>
          <w:sz w:val="22"/>
        </w:rPr>
        <w:t> </w:t>
      </w:r>
      <w:r>
        <w:rPr>
          <w:sz w:val="22"/>
        </w:rPr>
        <w:t>lines</w:t>
      </w:r>
      <w:r>
        <w:rPr>
          <w:spacing w:val="-2"/>
          <w:sz w:val="22"/>
        </w:rPr>
        <w:t> </w:t>
      </w:r>
      <w:r>
        <w:rPr>
          <w:sz w:val="22"/>
        </w:rPr>
        <w:t>in</w:t>
      </w:r>
      <w:r>
        <w:rPr>
          <w:spacing w:val="-4"/>
          <w:sz w:val="22"/>
        </w:rPr>
        <w:t> </w:t>
      </w:r>
      <w:r>
        <w:rPr>
          <w:sz w:val="22"/>
        </w:rPr>
        <w:t>high</w:t>
      </w:r>
      <w:r>
        <w:rPr>
          <w:spacing w:val="-3"/>
          <w:sz w:val="22"/>
        </w:rPr>
        <w:t> </w:t>
      </w:r>
      <w:r>
        <w:rPr>
          <w:sz w:val="22"/>
        </w:rPr>
        <w:t>bushfire areas are placed underground;</w:t>
      </w:r>
    </w:p>
    <w:p>
      <w:pPr>
        <w:pStyle w:val="BodyText"/>
        <w:spacing w:before="1"/>
      </w:pPr>
    </w:p>
    <w:p>
      <w:pPr>
        <w:pStyle w:val="ListParagraph"/>
        <w:numPr>
          <w:ilvl w:val="0"/>
          <w:numId w:val="24"/>
        </w:numPr>
        <w:tabs>
          <w:tab w:pos="958" w:val="left" w:leader="none"/>
        </w:tabs>
        <w:spacing w:line="288" w:lineRule="auto" w:before="0" w:after="0"/>
        <w:ind w:left="958" w:right="775" w:hanging="358"/>
        <w:jc w:val="left"/>
        <w:rPr>
          <w:sz w:val="22"/>
        </w:rPr>
      </w:pPr>
      <w:r>
        <w:rPr>
          <w:sz w:val="22"/>
        </w:rPr>
        <w:t>the introduction of a mandatory code of practice prescribing the management of vegetation</w:t>
      </w:r>
      <w:r>
        <w:rPr>
          <w:spacing w:val="-3"/>
          <w:sz w:val="22"/>
        </w:rPr>
        <w:t> </w:t>
      </w:r>
      <w:r>
        <w:rPr>
          <w:sz w:val="22"/>
        </w:rPr>
        <w:t>near</w:t>
      </w:r>
      <w:r>
        <w:rPr>
          <w:spacing w:val="-4"/>
          <w:sz w:val="22"/>
        </w:rPr>
        <w:t> </w:t>
      </w:r>
      <w:r>
        <w:rPr>
          <w:sz w:val="22"/>
        </w:rPr>
        <w:t>powerlines.</w:t>
      </w:r>
      <w:r>
        <w:rPr>
          <w:spacing w:val="-2"/>
          <w:sz w:val="22"/>
        </w:rPr>
        <w:t> </w:t>
      </w:r>
      <w:r>
        <w:rPr>
          <w:sz w:val="22"/>
        </w:rPr>
        <w:t>Prior</w:t>
      </w:r>
      <w:r>
        <w:rPr>
          <w:spacing w:val="-4"/>
          <w:sz w:val="22"/>
        </w:rPr>
        <w:t> </w:t>
      </w:r>
      <w:r>
        <w:rPr>
          <w:sz w:val="22"/>
        </w:rPr>
        <w:t>to</w:t>
      </w:r>
      <w:r>
        <w:rPr>
          <w:spacing w:val="-5"/>
          <w:sz w:val="22"/>
        </w:rPr>
        <w:t> </w:t>
      </w:r>
      <w:r>
        <w:rPr>
          <w:sz w:val="22"/>
        </w:rPr>
        <w:t>this,</w:t>
      </w:r>
      <w:r>
        <w:rPr>
          <w:spacing w:val="-4"/>
          <w:sz w:val="22"/>
        </w:rPr>
        <w:t> </w:t>
      </w:r>
      <w:r>
        <w:rPr>
          <w:sz w:val="22"/>
        </w:rPr>
        <w:t>a</w:t>
      </w:r>
      <w:r>
        <w:rPr>
          <w:spacing w:val="-3"/>
          <w:sz w:val="22"/>
        </w:rPr>
        <w:t> </w:t>
      </w:r>
      <w:r>
        <w:rPr>
          <w:sz w:val="22"/>
        </w:rPr>
        <w:t>voluntary</w:t>
      </w:r>
      <w:r>
        <w:rPr>
          <w:spacing w:val="-4"/>
          <w:sz w:val="22"/>
        </w:rPr>
        <w:t> </w:t>
      </w:r>
      <w:r>
        <w:rPr>
          <w:sz w:val="22"/>
        </w:rPr>
        <w:t>code</w:t>
      </w:r>
      <w:r>
        <w:rPr>
          <w:spacing w:val="-3"/>
          <w:sz w:val="22"/>
        </w:rPr>
        <w:t> </w:t>
      </w:r>
      <w:r>
        <w:rPr>
          <w:sz w:val="22"/>
        </w:rPr>
        <w:t>existed</w:t>
      </w:r>
      <w:r>
        <w:rPr>
          <w:spacing w:val="-3"/>
          <w:sz w:val="22"/>
        </w:rPr>
        <w:t> </w:t>
      </w:r>
      <w:r>
        <w:rPr>
          <w:sz w:val="22"/>
        </w:rPr>
        <w:t>between</w:t>
      </w:r>
      <w:r>
        <w:rPr>
          <w:spacing w:val="-3"/>
          <w:sz w:val="22"/>
        </w:rPr>
        <w:t> </w:t>
      </w:r>
      <w:r>
        <w:rPr>
          <w:sz w:val="22"/>
        </w:rPr>
        <w:t>the</w:t>
      </w:r>
      <w:r>
        <w:rPr>
          <w:spacing w:val="-5"/>
          <w:sz w:val="22"/>
        </w:rPr>
        <w:t> </w:t>
      </w:r>
      <w:r>
        <w:rPr>
          <w:sz w:val="22"/>
        </w:rPr>
        <w:t>SECV</w:t>
      </w:r>
      <w:r>
        <w:rPr>
          <w:spacing w:val="-3"/>
          <w:sz w:val="22"/>
        </w:rPr>
        <w:t> </w:t>
      </w:r>
      <w:r>
        <w:rPr>
          <w:sz w:val="22"/>
        </w:rPr>
        <w:t>in conjunction with local government.</w:t>
      </w:r>
    </w:p>
    <w:p>
      <w:pPr>
        <w:pStyle w:val="BodyText"/>
        <w:spacing w:before="9"/>
        <w:rPr>
          <w:sz w:val="20"/>
        </w:rPr>
      </w:pPr>
    </w:p>
    <w:p>
      <w:pPr>
        <w:pStyle w:val="BodyText"/>
        <w:spacing w:line="288" w:lineRule="auto"/>
        <w:ind w:left="600" w:right="647"/>
      </w:pPr>
      <w:r>
        <w:rPr/>
        <w:t>Prior</w:t>
      </w:r>
      <w:r>
        <w:rPr>
          <w:spacing w:val="-3"/>
        </w:rPr>
        <w:t> </w:t>
      </w:r>
      <w:r>
        <w:rPr/>
        <w:t>to</w:t>
      </w:r>
      <w:r>
        <w:rPr>
          <w:spacing w:val="-2"/>
        </w:rPr>
        <w:t> </w:t>
      </w:r>
      <w:r>
        <w:rPr/>
        <w:t>1</w:t>
      </w:r>
      <w:r>
        <w:rPr>
          <w:spacing w:val="-4"/>
        </w:rPr>
        <w:t> </w:t>
      </w:r>
      <w:r>
        <w:rPr/>
        <w:t>January</w:t>
      </w:r>
      <w:r>
        <w:rPr>
          <w:spacing w:val="-4"/>
        </w:rPr>
        <w:t> </w:t>
      </w:r>
      <w:r>
        <w:rPr/>
        <w:t>2010,</w:t>
      </w:r>
      <w:r>
        <w:rPr>
          <w:spacing w:val="-3"/>
        </w:rPr>
        <w:t> </w:t>
      </w:r>
      <w:r>
        <w:rPr/>
        <w:t>safety-related</w:t>
      </w:r>
      <w:r>
        <w:rPr>
          <w:spacing w:val="-4"/>
        </w:rPr>
        <w:t> </w:t>
      </w:r>
      <w:r>
        <w:rPr/>
        <w:t>regulation</w:t>
      </w:r>
      <w:r>
        <w:rPr>
          <w:spacing w:val="-4"/>
        </w:rPr>
        <w:t> </w:t>
      </w:r>
      <w:r>
        <w:rPr/>
        <w:t>of electricity</w:t>
      </w:r>
      <w:r>
        <w:rPr>
          <w:spacing w:val="-4"/>
        </w:rPr>
        <w:t> </w:t>
      </w:r>
      <w:r>
        <w:rPr/>
        <w:t>operators</w:t>
      </w:r>
      <w:r>
        <w:rPr>
          <w:spacing w:val="-3"/>
        </w:rPr>
        <w:t> </w:t>
      </w:r>
      <w:r>
        <w:rPr/>
        <w:t>in</w:t>
      </w:r>
      <w:r>
        <w:rPr>
          <w:spacing w:val="-4"/>
        </w:rPr>
        <w:t> </w:t>
      </w:r>
      <w:r>
        <w:rPr/>
        <w:t>Victoria</w:t>
      </w:r>
      <w:r>
        <w:rPr>
          <w:spacing w:val="-2"/>
        </w:rPr>
        <w:t> </w:t>
      </w:r>
      <w:r>
        <w:rPr/>
        <w:t>under</w:t>
      </w:r>
      <w:r>
        <w:rPr>
          <w:spacing w:val="-3"/>
        </w:rPr>
        <w:t> </w:t>
      </w:r>
      <w:r>
        <w:rPr/>
        <w:t>the </w:t>
      </w:r>
      <w:r>
        <w:rPr>
          <w:i/>
        </w:rPr>
        <w:t>Electricity Safety Act 1998 </w:t>
      </w:r>
      <w:r>
        <w:rPr/>
        <w:t>and its associated regulations, had historically been undertaken on a largely prescriptive basis. However, most electricity network businesses had provided an Electricity Safety Management Scheme on a voluntary basis. Amendments made to the </w:t>
      </w:r>
      <w:r>
        <w:rPr>
          <w:i/>
        </w:rPr>
        <w:t>Electricity Safety Act 1998 </w:t>
      </w:r>
      <w:r>
        <w:rPr/>
        <w:t>and the corresponding </w:t>
      </w:r>
      <w:r>
        <w:rPr>
          <w:i/>
        </w:rPr>
        <w:t>Electricity Safety (Management) Regulations 2009 </w:t>
      </w:r>
      <w:r>
        <w:rPr/>
        <w:t>made the requirement to submit an Electricity Safety Management Scheme to ESV every five years, mandatory for major electricity companies.</w:t>
      </w:r>
    </w:p>
    <w:p>
      <w:pPr>
        <w:pStyle w:val="BodyText"/>
        <w:spacing w:before="8"/>
        <w:rPr>
          <w:sz w:val="18"/>
        </w:rPr>
      </w:pPr>
      <w:r>
        <w:rPr/>
        <mc:AlternateContent>
          <mc:Choice Requires="wps">
            <w:drawing>
              <wp:anchor distT="0" distB="0" distL="0" distR="0" allowOverlap="1" layoutInCell="1" locked="0" behindDoc="1" simplePos="0" relativeHeight="487602688">
                <wp:simplePos x="0" y="0"/>
                <wp:positionH relativeFrom="page">
                  <wp:posOffset>914704</wp:posOffset>
                </wp:positionH>
                <wp:positionV relativeFrom="paragraph">
                  <wp:posOffset>151753</wp:posOffset>
                </wp:positionV>
                <wp:extent cx="5732780" cy="1228725"/>
                <wp:effectExtent l="0" t="0" r="0" b="0"/>
                <wp:wrapTopAndBottom/>
                <wp:docPr id="76" name="Textbox 76"/>
                <wp:cNvGraphicFramePr>
                  <a:graphicFrameLocks/>
                </wp:cNvGraphicFramePr>
                <a:graphic>
                  <a:graphicData uri="http://schemas.microsoft.com/office/word/2010/wordprocessingShape">
                    <wps:wsp>
                      <wps:cNvPr id="76" name="Textbox 76"/>
                      <wps:cNvSpPr txBox="1"/>
                      <wps:spPr>
                        <a:xfrm>
                          <a:off x="0" y="0"/>
                          <a:ext cx="5732780" cy="1228725"/>
                        </a:xfrm>
                        <a:prstGeom prst="rect">
                          <a:avLst/>
                        </a:prstGeom>
                        <a:solidFill>
                          <a:srgbClr val="CDEBEB"/>
                        </a:solidFill>
                      </wps:spPr>
                      <wps:txbx>
                        <w:txbxContent>
                          <w:p>
                            <w:pPr>
                              <w:pStyle w:val="BodyText"/>
                              <w:spacing w:before="9"/>
                              <w:rPr>
                                <w:color w:val="000000"/>
                                <w:sz w:val="20"/>
                              </w:rPr>
                            </w:pPr>
                          </w:p>
                          <w:p>
                            <w:pPr>
                              <w:spacing w:before="1"/>
                              <w:ind w:left="112" w:right="0" w:firstLine="0"/>
                              <w:jc w:val="left"/>
                              <w:rPr>
                                <w:b/>
                                <w:color w:val="000000"/>
                                <w:sz w:val="22"/>
                              </w:rPr>
                            </w:pPr>
                            <w:r>
                              <w:rPr>
                                <w:b/>
                                <w:color w:val="000000"/>
                                <w:sz w:val="22"/>
                              </w:rPr>
                              <w:t>Box</w:t>
                            </w:r>
                            <w:r>
                              <w:rPr>
                                <w:b/>
                                <w:color w:val="000000"/>
                                <w:spacing w:val="-6"/>
                                <w:sz w:val="22"/>
                              </w:rPr>
                              <w:t> </w:t>
                            </w:r>
                            <w:r>
                              <w:rPr>
                                <w:b/>
                                <w:color w:val="000000"/>
                                <w:sz w:val="22"/>
                              </w:rPr>
                              <w:t>3:</w:t>
                            </w:r>
                            <w:r>
                              <w:rPr>
                                <w:b/>
                                <w:color w:val="000000"/>
                                <w:spacing w:val="-2"/>
                                <w:sz w:val="22"/>
                              </w:rPr>
                              <w:t> </w:t>
                            </w:r>
                            <w:r>
                              <w:rPr>
                                <w:b/>
                                <w:color w:val="000000"/>
                                <w:sz w:val="22"/>
                              </w:rPr>
                              <w:t>Definition</w:t>
                            </w:r>
                            <w:r>
                              <w:rPr>
                                <w:b/>
                                <w:color w:val="000000"/>
                                <w:spacing w:val="-3"/>
                                <w:sz w:val="22"/>
                              </w:rPr>
                              <w:t> </w:t>
                            </w:r>
                            <w:r>
                              <w:rPr>
                                <w:b/>
                                <w:color w:val="000000"/>
                                <w:sz w:val="22"/>
                              </w:rPr>
                              <w:t>of</w:t>
                            </w:r>
                            <w:r>
                              <w:rPr>
                                <w:b/>
                                <w:color w:val="000000"/>
                                <w:spacing w:val="-2"/>
                                <w:sz w:val="22"/>
                              </w:rPr>
                              <w:t> </w:t>
                            </w:r>
                            <w:r>
                              <w:rPr>
                                <w:b/>
                                <w:color w:val="000000"/>
                                <w:sz w:val="22"/>
                              </w:rPr>
                              <w:t>an</w:t>
                            </w:r>
                            <w:r>
                              <w:rPr>
                                <w:b/>
                                <w:color w:val="000000"/>
                                <w:spacing w:val="-7"/>
                                <w:sz w:val="22"/>
                              </w:rPr>
                              <w:t> </w:t>
                            </w:r>
                            <w:r>
                              <w:rPr>
                                <w:b/>
                                <w:color w:val="000000"/>
                                <w:sz w:val="22"/>
                              </w:rPr>
                              <w:t>Electricity</w:t>
                            </w:r>
                            <w:r>
                              <w:rPr>
                                <w:b/>
                                <w:color w:val="000000"/>
                                <w:spacing w:val="-7"/>
                                <w:sz w:val="22"/>
                              </w:rPr>
                              <w:t> </w:t>
                            </w:r>
                            <w:r>
                              <w:rPr>
                                <w:b/>
                                <w:color w:val="000000"/>
                                <w:sz w:val="22"/>
                              </w:rPr>
                              <w:t>Safety</w:t>
                            </w:r>
                            <w:r>
                              <w:rPr>
                                <w:b/>
                                <w:color w:val="000000"/>
                                <w:spacing w:val="-7"/>
                                <w:sz w:val="22"/>
                              </w:rPr>
                              <w:t> </w:t>
                            </w:r>
                            <w:r>
                              <w:rPr>
                                <w:b/>
                                <w:color w:val="000000"/>
                                <w:sz w:val="22"/>
                              </w:rPr>
                              <w:t>Management</w:t>
                            </w:r>
                            <w:r>
                              <w:rPr>
                                <w:b/>
                                <w:color w:val="000000"/>
                                <w:spacing w:val="-4"/>
                                <w:sz w:val="22"/>
                              </w:rPr>
                              <w:t> </w:t>
                            </w:r>
                            <w:r>
                              <w:rPr>
                                <w:b/>
                                <w:color w:val="000000"/>
                                <w:spacing w:val="-2"/>
                                <w:sz w:val="22"/>
                              </w:rPr>
                              <w:t>Scheme</w:t>
                            </w:r>
                          </w:p>
                          <w:p>
                            <w:pPr>
                              <w:pStyle w:val="BodyText"/>
                              <w:spacing w:before="4"/>
                              <w:rPr>
                                <w:b/>
                                <w:color w:val="000000"/>
                                <w:sz w:val="25"/>
                              </w:rPr>
                            </w:pPr>
                          </w:p>
                          <w:p>
                            <w:pPr>
                              <w:pStyle w:val="BodyText"/>
                              <w:spacing w:line="288" w:lineRule="auto"/>
                              <w:ind w:left="141" w:right="205"/>
                              <w:rPr>
                                <w:color w:val="000000"/>
                              </w:rPr>
                            </w:pPr>
                            <w:r>
                              <w:rPr>
                                <w:color w:val="000000"/>
                              </w:rPr>
                              <w:t>An Electricity Safety Management Scheme involves setting out the safety management system</w:t>
                            </w:r>
                            <w:r>
                              <w:rPr>
                                <w:color w:val="000000"/>
                                <w:spacing w:val="-1"/>
                              </w:rPr>
                              <w:t> </w:t>
                            </w:r>
                            <w:r>
                              <w:rPr>
                                <w:color w:val="000000"/>
                              </w:rPr>
                              <w:t>an</w:t>
                            </w:r>
                            <w:r>
                              <w:rPr>
                                <w:color w:val="000000"/>
                                <w:spacing w:val="-4"/>
                              </w:rPr>
                              <w:t> </w:t>
                            </w:r>
                            <w:r>
                              <w:rPr>
                                <w:color w:val="000000"/>
                              </w:rPr>
                              <w:t>electricity</w:t>
                            </w:r>
                            <w:r>
                              <w:rPr>
                                <w:color w:val="000000"/>
                                <w:spacing w:val="-4"/>
                              </w:rPr>
                              <w:t> </w:t>
                            </w:r>
                            <w:r>
                              <w:rPr>
                                <w:color w:val="000000"/>
                              </w:rPr>
                              <w:t>company</w:t>
                            </w:r>
                            <w:r>
                              <w:rPr>
                                <w:color w:val="000000"/>
                                <w:spacing w:val="-4"/>
                              </w:rPr>
                              <w:t> </w:t>
                            </w:r>
                            <w:r>
                              <w:rPr>
                                <w:color w:val="000000"/>
                              </w:rPr>
                              <w:t>has</w:t>
                            </w:r>
                            <w:r>
                              <w:rPr>
                                <w:color w:val="000000"/>
                                <w:spacing w:val="-1"/>
                              </w:rPr>
                              <w:t> </w:t>
                            </w:r>
                            <w:r>
                              <w:rPr>
                                <w:color w:val="000000"/>
                              </w:rPr>
                              <w:t>in</w:t>
                            </w:r>
                            <w:r>
                              <w:rPr>
                                <w:color w:val="000000"/>
                                <w:spacing w:val="-2"/>
                              </w:rPr>
                              <w:t> </w:t>
                            </w:r>
                            <w:r>
                              <w:rPr>
                                <w:color w:val="000000"/>
                              </w:rPr>
                              <w:t>place</w:t>
                            </w:r>
                            <w:r>
                              <w:rPr>
                                <w:color w:val="000000"/>
                                <w:spacing w:val="-4"/>
                              </w:rPr>
                              <w:t> </w:t>
                            </w:r>
                            <w:r>
                              <w:rPr>
                                <w:color w:val="000000"/>
                              </w:rPr>
                              <w:t>to</w:t>
                            </w:r>
                            <w:r>
                              <w:rPr>
                                <w:color w:val="000000"/>
                                <w:spacing w:val="-4"/>
                              </w:rPr>
                              <w:t> </w:t>
                            </w:r>
                            <w:r>
                              <w:rPr>
                                <w:color w:val="000000"/>
                              </w:rPr>
                              <w:t>acquit</w:t>
                            </w:r>
                            <w:r>
                              <w:rPr>
                                <w:color w:val="000000"/>
                                <w:spacing w:val="-3"/>
                              </w:rPr>
                              <w:t> </w:t>
                            </w:r>
                            <w:r>
                              <w:rPr>
                                <w:color w:val="000000"/>
                              </w:rPr>
                              <w:t>its</w:t>
                            </w:r>
                            <w:r>
                              <w:rPr>
                                <w:color w:val="000000"/>
                                <w:spacing w:val="-6"/>
                              </w:rPr>
                              <w:t> </w:t>
                            </w:r>
                            <w:r>
                              <w:rPr>
                                <w:color w:val="000000"/>
                              </w:rPr>
                              <w:t>general</w:t>
                            </w:r>
                            <w:r>
                              <w:rPr>
                                <w:color w:val="000000"/>
                                <w:spacing w:val="-2"/>
                              </w:rPr>
                              <w:t> </w:t>
                            </w:r>
                            <w:r>
                              <w:rPr>
                                <w:color w:val="000000"/>
                              </w:rPr>
                              <w:t>duties</w:t>
                            </w:r>
                            <w:r>
                              <w:rPr>
                                <w:color w:val="000000"/>
                                <w:spacing w:val="-2"/>
                              </w:rPr>
                              <w:t> </w:t>
                            </w:r>
                            <w:r>
                              <w:rPr>
                                <w:color w:val="000000"/>
                              </w:rPr>
                              <w:t>and</w:t>
                            </w:r>
                            <w:r>
                              <w:rPr>
                                <w:color w:val="000000"/>
                                <w:spacing w:val="-2"/>
                              </w:rPr>
                              <w:t> </w:t>
                            </w:r>
                            <w:r>
                              <w:rPr>
                                <w:color w:val="000000"/>
                              </w:rPr>
                              <w:t>ensure</w:t>
                            </w:r>
                            <w:r>
                              <w:rPr>
                                <w:color w:val="000000"/>
                                <w:spacing w:val="-4"/>
                              </w:rPr>
                              <w:t> </w:t>
                            </w:r>
                            <w:r>
                              <w:rPr>
                                <w:color w:val="000000"/>
                              </w:rPr>
                              <w:t>it has built safety procedures into all aspects of its processes</w:t>
                            </w:r>
                          </w:p>
                        </w:txbxContent>
                      </wps:txbx>
                      <wps:bodyPr wrap="square" lIns="0" tIns="0" rIns="0" bIns="0" rtlCol="0">
                        <a:noAutofit/>
                      </wps:bodyPr>
                    </wps:wsp>
                  </a:graphicData>
                </a:graphic>
              </wp:anchor>
            </w:drawing>
          </mc:Choice>
          <mc:Fallback>
            <w:pict>
              <v:shape style="position:absolute;margin-left:72.024002pt;margin-top:11.949121pt;width:451.4pt;height:96.75pt;mso-position-horizontal-relative:page;mso-position-vertical-relative:paragraph;z-index:-15713792;mso-wrap-distance-left:0;mso-wrap-distance-right:0" type="#_x0000_t202" id="docshape69" filled="true" fillcolor="#cdebeb" stroked="false">
                <v:textbox inset="0,0,0,0">
                  <w:txbxContent>
                    <w:p>
                      <w:pPr>
                        <w:pStyle w:val="BodyText"/>
                        <w:spacing w:before="9"/>
                        <w:rPr>
                          <w:color w:val="000000"/>
                          <w:sz w:val="20"/>
                        </w:rPr>
                      </w:pPr>
                    </w:p>
                    <w:p>
                      <w:pPr>
                        <w:spacing w:before="1"/>
                        <w:ind w:left="112" w:right="0" w:firstLine="0"/>
                        <w:jc w:val="left"/>
                        <w:rPr>
                          <w:b/>
                          <w:color w:val="000000"/>
                          <w:sz w:val="22"/>
                        </w:rPr>
                      </w:pPr>
                      <w:r>
                        <w:rPr>
                          <w:b/>
                          <w:color w:val="000000"/>
                          <w:sz w:val="22"/>
                        </w:rPr>
                        <w:t>Box</w:t>
                      </w:r>
                      <w:r>
                        <w:rPr>
                          <w:b/>
                          <w:color w:val="000000"/>
                          <w:spacing w:val="-6"/>
                          <w:sz w:val="22"/>
                        </w:rPr>
                        <w:t> </w:t>
                      </w:r>
                      <w:r>
                        <w:rPr>
                          <w:b/>
                          <w:color w:val="000000"/>
                          <w:sz w:val="22"/>
                        </w:rPr>
                        <w:t>3:</w:t>
                      </w:r>
                      <w:r>
                        <w:rPr>
                          <w:b/>
                          <w:color w:val="000000"/>
                          <w:spacing w:val="-2"/>
                          <w:sz w:val="22"/>
                        </w:rPr>
                        <w:t> </w:t>
                      </w:r>
                      <w:r>
                        <w:rPr>
                          <w:b/>
                          <w:color w:val="000000"/>
                          <w:sz w:val="22"/>
                        </w:rPr>
                        <w:t>Definition</w:t>
                      </w:r>
                      <w:r>
                        <w:rPr>
                          <w:b/>
                          <w:color w:val="000000"/>
                          <w:spacing w:val="-3"/>
                          <w:sz w:val="22"/>
                        </w:rPr>
                        <w:t> </w:t>
                      </w:r>
                      <w:r>
                        <w:rPr>
                          <w:b/>
                          <w:color w:val="000000"/>
                          <w:sz w:val="22"/>
                        </w:rPr>
                        <w:t>of</w:t>
                      </w:r>
                      <w:r>
                        <w:rPr>
                          <w:b/>
                          <w:color w:val="000000"/>
                          <w:spacing w:val="-2"/>
                          <w:sz w:val="22"/>
                        </w:rPr>
                        <w:t> </w:t>
                      </w:r>
                      <w:r>
                        <w:rPr>
                          <w:b/>
                          <w:color w:val="000000"/>
                          <w:sz w:val="22"/>
                        </w:rPr>
                        <w:t>an</w:t>
                      </w:r>
                      <w:r>
                        <w:rPr>
                          <w:b/>
                          <w:color w:val="000000"/>
                          <w:spacing w:val="-7"/>
                          <w:sz w:val="22"/>
                        </w:rPr>
                        <w:t> </w:t>
                      </w:r>
                      <w:r>
                        <w:rPr>
                          <w:b/>
                          <w:color w:val="000000"/>
                          <w:sz w:val="22"/>
                        </w:rPr>
                        <w:t>Electricity</w:t>
                      </w:r>
                      <w:r>
                        <w:rPr>
                          <w:b/>
                          <w:color w:val="000000"/>
                          <w:spacing w:val="-7"/>
                          <w:sz w:val="22"/>
                        </w:rPr>
                        <w:t> </w:t>
                      </w:r>
                      <w:r>
                        <w:rPr>
                          <w:b/>
                          <w:color w:val="000000"/>
                          <w:sz w:val="22"/>
                        </w:rPr>
                        <w:t>Safety</w:t>
                      </w:r>
                      <w:r>
                        <w:rPr>
                          <w:b/>
                          <w:color w:val="000000"/>
                          <w:spacing w:val="-7"/>
                          <w:sz w:val="22"/>
                        </w:rPr>
                        <w:t> </w:t>
                      </w:r>
                      <w:r>
                        <w:rPr>
                          <w:b/>
                          <w:color w:val="000000"/>
                          <w:sz w:val="22"/>
                        </w:rPr>
                        <w:t>Management</w:t>
                      </w:r>
                      <w:r>
                        <w:rPr>
                          <w:b/>
                          <w:color w:val="000000"/>
                          <w:spacing w:val="-4"/>
                          <w:sz w:val="22"/>
                        </w:rPr>
                        <w:t> </w:t>
                      </w:r>
                      <w:r>
                        <w:rPr>
                          <w:b/>
                          <w:color w:val="000000"/>
                          <w:spacing w:val="-2"/>
                          <w:sz w:val="22"/>
                        </w:rPr>
                        <w:t>Scheme</w:t>
                      </w:r>
                    </w:p>
                    <w:p>
                      <w:pPr>
                        <w:pStyle w:val="BodyText"/>
                        <w:spacing w:before="4"/>
                        <w:rPr>
                          <w:b/>
                          <w:color w:val="000000"/>
                          <w:sz w:val="25"/>
                        </w:rPr>
                      </w:pPr>
                    </w:p>
                    <w:p>
                      <w:pPr>
                        <w:pStyle w:val="BodyText"/>
                        <w:spacing w:line="288" w:lineRule="auto"/>
                        <w:ind w:left="141" w:right="205"/>
                        <w:rPr>
                          <w:color w:val="000000"/>
                        </w:rPr>
                      </w:pPr>
                      <w:r>
                        <w:rPr>
                          <w:color w:val="000000"/>
                        </w:rPr>
                        <w:t>An Electricity Safety Management Scheme involves setting out the safety management system</w:t>
                      </w:r>
                      <w:r>
                        <w:rPr>
                          <w:color w:val="000000"/>
                          <w:spacing w:val="-1"/>
                        </w:rPr>
                        <w:t> </w:t>
                      </w:r>
                      <w:r>
                        <w:rPr>
                          <w:color w:val="000000"/>
                        </w:rPr>
                        <w:t>an</w:t>
                      </w:r>
                      <w:r>
                        <w:rPr>
                          <w:color w:val="000000"/>
                          <w:spacing w:val="-4"/>
                        </w:rPr>
                        <w:t> </w:t>
                      </w:r>
                      <w:r>
                        <w:rPr>
                          <w:color w:val="000000"/>
                        </w:rPr>
                        <w:t>electricity</w:t>
                      </w:r>
                      <w:r>
                        <w:rPr>
                          <w:color w:val="000000"/>
                          <w:spacing w:val="-4"/>
                        </w:rPr>
                        <w:t> </w:t>
                      </w:r>
                      <w:r>
                        <w:rPr>
                          <w:color w:val="000000"/>
                        </w:rPr>
                        <w:t>company</w:t>
                      </w:r>
                      <w:r>
                        <w:rPr>
                          <w:color w:val="000000"/>
                          <w:spacing w:val="-4"/>
                        </w:rPr>
                        <w:t> </w:t>
                      </w:r>
                      <w:r>
                        <w:rPr>
                          <w:color w:val="000000"/>
                        </w:rPr>
                        <w:t>has</w:t>
                      </w:r>
                      <w:r>
                        <w:rPr>
                          <w:color w:val="000000"/>
                          <w:spacing w:val="-1"/>
                        </w:rPr>
                        <w:t> </w:t>
                      </w:r>
                      <w:r>
                        <w:rPr>
                          <w:color w:val="000000"/>
                        </w:rPr>
                        <w:t>in</w:t>
                      </w:r>
                      <w:r>
                        <w:rPr>
                          <w:color w:val="000000"/>
                          <w:spacing w:val="-2"/>
                        </w:rPr>
                        <w:t> </w:t>
                      </w:r>
                      <w:r>
                        <w:rPr>
                          <w:color w:val="000000"/>
                        </w:rPr>
                        <w:t>place</w:t>
                      </w:r>
                      <w:r>
                        <w:rPr>
                          <w:color w:val="000000"/>
                          <w:spacing w:val="-4"/>
                        </w:rPr>
                        <w:t> </w:t>
                      </w:r>
                      <w:r>
                        <w:rPr>
                          <w:color w:val="000000"/>
                        </w:rPr>
                        <w:t>to</w:t>
                      </w:r>
                      <w:r>
                        <w:rPr>
                          <w:color w:val="000000"/>
                          <w:spacing w:val="-4"/>
                        </w:rPr>
                        <w:t> </w:t>
                      </w:r>
                      <w:r>
                        <w:rPr>
                          <w:color w:val="000000"/>
                        </w:rPr>
                        <w:t>acquit</w:t>
                      </w:r>
                      <w:r>
                        <w:rPr>
                          <w:color w:val="000000"/>
                          <w:spacing w:val="-3"/>
                        </w:rPr>
                        <w:t> </w:t>
                      </w:r>
                      <w:r>
                        <w:rPr>
                          <w:color w:val="000000"/>
                        </w:rPr>
                        <w:t>its</w:t>
                      </w:r>
                      <w:r>
                        <w:rPr>
                          <w:color w:val="000000"/>
                          <w:spacing w:val="-6"/>
                        </w:rPr>
                        <w:t> </w:t>
                      </w:r>
                      <w:r>
                        <w:rPr>
                          <w:color w:val="000000"/>
                        </w:rPr>
                        <w:t>general</w:t>
                      </w:r>
                      <w:r>
                        <w:rPr>
                          <w:color w:val="000000"/>
                          <w:spacing w:val="-2"/>
                        </w:rPr>
                        <w:t> </w:t>
                      </w:r>
                      <w:r>
                        <w:rPr>
                          <w:color w:val="000000"/>
                        </w:rPr>
                        <w:t>duties</w:t>
                      </w:r>
                      <w:r>
                        <w:rPr>
                          <w:color w:val="000000"/>
                          <w:spacing w:val="-2"/>
                        </w:rPr>
                        <w:t> </w:t>
                      </w:r>
                      <w:r>
                        <w:rPr>
                          <w:color w:val="000000"/>
                        </w:rPr>
                        <w:t>and</w:t>
                      </w:r>
                      <w:r>
                        <w:rPr>
                          <w:color w:val="000000"/>
                          <w:spacing w:val="-2"/>
                        </w:rPr>
                        <w:t> </w:t>
                      </w:r>
                      <w:r>
                        <w:rPr>
                          <w:color w:val="000000"/>
                        </w:rPr>
                        <w:t>ensure</w:t>
                      </w:r>
                      <w:r>
                        <w:rPr>
                          <w:color w:val="000000"/>
                          <w:spacing w:val="-4"/>
                        </w:rPr>
                        <w:t> </w:t>
                      </w:r>
                      <w:r>
                        <w:rPr>
                          <w:color w:val="000000"/>
                        </w:rPr>
                        <w:t>it has built safety procedures into all aspects of its processes</w:t>
                      </w:r>
                    </w:p>
                  </w:txbxContent>
                </v:textbox>
                <v:fill type="solid"/>
                <w10:wrap type="topAndBottom"/>
              </v:shape>
            </w:pict>
          </mc:Fallback>
        </mc:AlternateContent>
      </w:r>
    </w:p>
    <w:p>
      <w:pPr>
        <w:spacing w:after="0"/>
        <w:rPr>
          <w:sz w:val="18"/>
        </w:rPr>
        <w:sectPr>
          <w:pgSz w:w="11910" w:h="16840"/>
          <w:pgMar w:header="887" w:footer="1243" w:top="1080" w:bottom="1500" w:left="840" w:right="820"/>
        </w:sectPr>
      </w:pPr>
    </w:p>
    <w:p>
      <w:pPr>
        <w:pStyle w:val="BodyText"/>
        <w:rPr>
          <w:sz w:val="20"/>
        </w:rPr>
      </w:pPr>
    </w:p>
    <w:p>
      <w:pPr>
        <w:pStyle w:val="BodyText"/>
        <w:rPr>
          <w:sz w:val="20"/>
        </w:rPr>
      </w:pPr>
    </w:p>
    <w:p>
      <w:pPr>
        <w:pStyle w:val="BodyText"/>
        <w:spacing w:before="5"/>
      </w:pPr>
    </w:p>
    <w:p>
      <w:pPr>
        <w:pStyle w:val="Heading6"/>
        <w:ind w:left="600"/>
        <w:jc w:val="both"/>
      </w:pPr>
      <w:r>
        <w:rPr/>
        <w:t>The</w:t>
      </w:r>
      <w:r>
        <w:rPr>
          <w:spacing w:val="-9"/>
        </w:rPr>
        <w:t> </w:t>
      </w:r>
      <w:r>
        <w:rPr/>
        <w:t>Victorian</w:t>
      </w:r>
      <w:r>
        <w:rPr>
          <w:spacing w:val="-9"/>
        </w:rPr>
        <w:t> </w:t>
      </w:r>
      <w:r>
        <w:rPr/>
        <w:t>Bushfires</w:t>
      </w:r>
      <w:r>
        <w:rPr>
          <w:spacing w:val="-8"/>
        </w:rPr>
        <w:t> </w:t>
      </w:r>
      <w:r>
        <w:rPr/>
        <w:t>Royal</w:t>
      </w:r>
      <w:r>
        <w:rPr>
          <w:spacing w:val="-9"/>
        </w:rPr>
        <w:t> </w:t>
      </w:r>
      <w:r>
        <w:rPr>
          <w:spacing w:val="-2"/>
        </w:rPr>
        <w:t>Commission</w:t>
      </w:r>
    </w:p>
    <w:p>
      <w:pPr>
        <w:pStyle w:val="BodyText"/>
        <w:spacing w:line="288" w:lineRule="auto" w:before="175"/>
        <w:ind w:left="600" w:right="701"/>
        <w:jc w:val="both"/>
      </w:pPr>
      <w:r>
        <w:rPr/>
        <w:t>The</w:t>
      </w:r>
      <w:r>
        <w:rPr>
          <w:spacing w:val="-3"/>
        </w:rPr>
        <w:t> </w:t>
      </w:r>
      <w:r>
        <w:rPr/>
        <w:t>VBRC</w:t>
      </w:r>
      <w:r>
        <w:rPr>
          <w:spacing w:val="-1"/>
        </w:rPr>
        <w:t> </w:t>
      </w:r>
      <w:r>
        <w:rPr/>
        <w:t>conducted</w:t>
      </w:r>
      <w:r>
        <w:rPr>
          <w:spacing w:val="-6"/>
        </w:rPr>
        <w:t> </w:t>
      </w:r>
      <w:r>
        <w:rPr/>
        <w:t>following the</w:t>
      </w:r>
      <w:r>
        <w:rPr>
          <w:spacing w:val="-3"/>
        </w:rPr>
        <w:t> </w:t>
      </w:r>
      <w:r>
        <w:rPr/>
        <w:t>February</w:t>
      </w:r>
      <w:r>
        <w:rPr>
          <w:spacing w:val="-3"/>
        </w:rPr>
        <w:t> </w:t>
      </w:r>
      <w:r>
        <w:rPr/>
        <w:t>2009 Black</w:t>
      </w:r>
      <w:r>
        <w:rPr>
          <w:spacing w:val="-1"/>
        </w:rPr>
        <w:t> </w:t>
      </w:r>
      <w:r>
        <w:rPr/>
        <w:t>Saturday</w:t>
      </w:r>
      <w:r>
        <w:rPr>
          <w:spacing w:val="-3"/>
        </w:rPr>
        <w:t> </w:t>
      </w:r>
      <w:r>
        <w:rPr/>
        <w:t>bushfires, was</w:t>
      </w:r>
      <w:r>
        <w:rPr>
          <w:spacing w:val="-1"/>
        </w:rPr>
        <w:t> </w:t>
      </w:r>
      <w:r>
        <w:rPr/>
        <w:t>convened to</w:t>
      </w:r>
      <w:r>
        <w:rPr>
          <w:spacing w:val="-2"/>
        </w:rPr>
        <w:t> </w:t>
      </w:r>
      <w:r>
        <w:rPr/>
        <w:t>investigate</w:t>
      </w:r>
      <w:r>
        <w:rPr>
          <w:spacing w:val="-4"/>
        </w:rPr>
        <w:t> </w:t>
      </w:r>
      <w:r>
        <w:rPr/>
        <w:t>the</w:t>
      </w:r>
      <w:r>
        <w:rPr>
          <w:spacing w:val="-4"/>
        </w:rPr>
        <w:t> </w:t>
      </w:r>
      <w:r>
        <w:rPr/>
        <w:t>causes</w:t>
      </w:r>
      <w:r>
        <w:rPr>
          <w:spacing w:val="-4"/>
        </w:rPr>
        <w:t> </w:t>
      </w:r>
      <w:r>
        <w:rPr/>
        <w:t>of the</w:t>
      </w:r>
      <w:r>
        <w:rPr>
          <w:spacing w:val="-4"/>
        </w:rPr>
        <w:t> </w:t>
      </w:r>
      <w:r>
        <w:rPr/>
        <w:t>bushfires</w:t>
      </w:r>
      <w:r>
        <w:rPr>
          <w:spacing w:val="-2"/>
        </w:rPr>
        <w:t> </w:t>
      </w:r>
      <w:r>
        <w:rPr/>
        <w:t>and</w:t>
      </w:r>
      <w:r>
        <w:rPr>
          <w:spacing w:val="-4"/>
        </w:rPr>
        <w:t> </w:t>
      </w:r>
      <w:r>
        <w:rPr/>
        <w:t>identify</w:t>
      </w:r>
      <w:r>
        <w:rPr>
          <w:spacing w:val="-4"/>
        </w:rPr>
        <w:t> </w:t>
      </w:r>
      <w:r>
        <w:rPr/>
        <w:t>ways</w:t>
      </w:r>
      <w:r>
        <w:rPr>
          <w:spacing w:val="-1"/>
        </w:rPr>
        <w:t> </w:t>
      </w:r>
      <w:r>
        <w:rPr/>
        <w:t>in</w:t>
      </w:r>
      <w:r>
        <w:rPr>
          <w:spacing w:val="-2"/>
        </w:rPr>
        <w:t> </w:t>
      </w:r>
      <w:r>
        <w:rPr/>
        <w:t>which</w:t>
      </w:r>
      <w:r>
        <w:rPr>
          <w:spacing w:val="-2"/>
        </w:rPr>
        <w:t> </w:t>
      </w:r>
      <w:r>
        <w:rPr/>
        <w:t>future, similar</w:t>
      </w:r>
      <w:r>
        <w:rPr>
          <w:spacing w:val="-3"/>
        </w:rPr>
        <w:t> </w:t>
      </w:r>
      <w:r>
        <w:rPr/>
        <w:t>tragedies could be avoided.</w:t>
      </w:r>
    </w:p>
    <w:p>
      <w:pPr>
        <w:pStyle w:val="BodyText"/>
        <w:rPr>
          <w:sz w:val="21"/>
        </w:rPr>
      </w:pPr>
    </w:p>
    <w:p>
      <w:pPr>
        <w:pStyle w:val="BodyText"/>
        <w:spacing w:line="288" w:lineRule="auto"/>
        <w:ind w:left="600" w:right="641"/>
      </w:pPr>
      <w:r>
        <w:rPr/>
        <w:t>The VBRC provided its final report in July 2010, making 67 separate recommendations</w:t>
      </w:r>
      <w:r>
        <w:rPr>
          <w:spacing w:val="40"/>
        </w:rPr>
        <w:t> </w:t>
      </w:r>
      <w:r>
        <w:rPr/>
        <w:t>about</w:t>
      </w:r>
      <w:r>
        <w:rPr>
          <w:spacing w:val="-1"/>
        </w:rPr>
        <w:t> </w:t>
      </w:r>
      <w:r>
        <w:rPr/>
        <w:t>how</w:t>
      </w:r>
      <w:r>
        <w:rPr>
          <w:spacing w:val="-6"/>
        </w:rPr>
        <w:t> </w:t>
      </w:r>
      <w:r>
        <w:rPr/>
        <w:t>to</w:t>
      </w:r>
      <w:r>
        <w:rPr>
          <w:spacing w:val="-5"/>
        </w:rPr>
        <w:t> </w:t>
      </w:r>
      <w:r>
        <w:rPr/>
        <w:t>better</w:t>
      </w:r>
      <w:r>
        <w:rPr>
          <w:spacing w:val="-4"/>
        </w:rPr>
        <w:t> </w:t>
      </w:r>
      <w:r>
        <w:rPr/>
        <w:t>protect</w:t>
      </w:r>
      <w:r>
        <w:rPr>
          <w:spacing w:val="-1"/>
        </w:rPr>
        <w:t> </w:t>
      </w:r>
      <w:r>
        <w:rPr/>
        <w:t>Victorians.</w:t>
      </w:r>
      <w:r>
        <w:rPr>
          <w:spacing w:val="-6"/>
        </w:rPr>
        <w:t> </w:t>
      </w:r>
      <w:r>
        <w:rPr/>
        <w:t>The</w:t>
      </w:r>
      <w:r>
        <w:rPr>
          <w:spacing w:val="-1"/>
        </w:rPr>
        <w:t> </w:t>
      </w:r>
      <w:r>
        <w:rPr/>
        <w:t>Victorian</w:t>
      </w:r>
      <w:r>
        <w:rPr>
          <w:spacing w:val="-3"/>
        </w:rPr>
        <w:t> </w:t>
      </w:r>
      <w:r>
        <w:rPr/>
        <w:t>Government</w:t>
      </w:r>
      <w:r>
        <w:rPr>
          <w:spacing w:val="-3"/>
        </w:rPr>
        <w:t> </w:t>
      </w:r>
      <w:r>
        <w:rPr/>
        <w:t>committed</w:t>
      </w:r>
      <w:r>
        <w:rPr>
          <w:spacing w:val="-3"/>
        </w:rPr>
        <w:t> </w:t>
      </w:r>
      <w:r>
        <w:rPr/>
        <w:t>to</w:t>
      </w:r>
      <w:r>
        <w:rPr>
          <w:spacing w:val="-5"/>
        </w:rPr>
        <w:t> </w:t>
      </w:r>
      <w:r>
        <w:rPr/>
        <w:t>implementing each of the 67 recommendations.</w:t>
      </w:r>
    </w:p>
    <w:p>
      <w:pPr>
        <w:pStyle w:val="BodyText"/>
        <w:spacing w:before="9"/>
        <w:rPr>
          <w:sz w:val="20"/>
        </w:rPr>
      </w:pPr>
    </w:p>
    <w:p>
      <w:pPr>
        <w:pStyle w:val="BodyText"/>
        <w:spacing w:line="288" w:lineRule="auto"/>
        <w:ind w:left="600" w:right="629"/>
      </w:pPr>
      <w:r>
        <w:rPr/>
        <w:t>Eight of the VBRC recommendations relate directly to the prevention of bushfires linked to electricity assets. The VBRC identified powerlines as being the cause of five of the major fires that occurred on 7 February 2009, and responsible for 119 deaths. A sixth fire (Murrindindi)</w:t>
      </w:r>
      <w:r>
        <w:rPr>
          <w:spacing w:val="-2"/>
        </w:rPr>
        <w:t> </w:t>
      </w:r>
      <w:r>
        <w:rPr/>
        <w:t>was</w:t>
      </w:r>
      <w:r>
        <w:rPr>
          <w:spacing w:val="-3"/>
        </w:rPr>
        <w:t> </w:t>
      </w:r>
      <w:r>
        <w:rPr/>
        <w:t>not</w:t>
      </w:r>
      <w:r>
        <w:rPr>
          <w:spacing w:val="-2"/>
        </w:rPr>
        <w:t> </w:t>
      </w:r>
      <w:r>
        <w:rPr/>
        <w:t>investigated</w:t>
      </w:r>
      <w:r>
        <w:rPr>
          <w:spacing w:val="-3"/>
        </w:rPr>
        <w:t> </w:t>
      </w:r>
      <w:r>
        <w:rPr/>
        <w:t>by</w:t>
      </w:r>
      <w:r>
        <w:rPr>
          <w:spacing w:val="-7"/>
        </w:rPr>
        <w:t> </w:t>
      </w:r>
      <w:r>
        <w:rPr/>
        <w:t>the</w:t>
      </w:r>
      <w:r>
        <w:rPr>
          <w:spacing w:val="-3"/>
        </w:rPr>
        <w:t> </w:t>
      </w:r>
      <w:r>
        <w:rPr/>
        <w:t>VBRC</w:t>
      </w:r>
      <w:r>
        <w:rPr>
          <w:spacing w:val="-3"/>
        </w:rPr>
        <w:t> </w:t>
      </w:r>
      <w:r>
        <w:rPr/>
        <w:t>as</w:t>
      </w:r>
      <w:r>
        <w:rPr>
          <w:spacing w:val="-2"/>
        </w:rPr>
        <w:t> </w:t>
      </w:r>
      <w:r>
        <w:rPr/>
        <w:t>it</w:t>
      </w:r>
      <w:r>
        <w:rPr>
          <w:spacing w:val="-1"/>
        </w:rPr>
        <w:t> </w:t>
      </w:r>
      <w:r>
        <w:rPr/>
        <w:t>was</w:t>
      </w:r>
      <w:r>
        <w:rPr>
          <w:spacing w:val="-3"/>
        </w:rPr>
        <w:t> </w:t>
      </w:r>
      <w:r>
        <w:rPr/>
        <w:t>then</w:t>
      </w:r>
      <w:r>
        <w:rPr>
          <w:spacing w:val="-5"/>
        </w:rPr>
        <w:t> </w:t>
      </w:r>
      <w:r>
        <w:rPr/>
        <w:t>under</w:t>
      </w:r>
      <w:r>
        <w:rPr>
          <w:spacing w:val="-2"/>
        </w:rPr>
        <w:t> </w:t>
      </w:r>
      <w:r>
        <w:rPr/>
        <w:t>investigation</w:t>
      </w:r>
      <w:r>
        <w:rPr>
          <w:spacing w:val="-3"/>
        </w:rPr>
        <w:t> </w:t>
      </w:r>
      <w:r>
        <w:rPr/>
        <w:t>by</w:t>
      </w:r>
      <w:r>
        <w:rPr>
          <w:spacing w:val="-5"/>
        </w:rPr>
        <w:t> </w:t>
      </w:r>
      <w:r>
        <w:rPr/>
        <w:t>Victoria Police on suspicion of arson. Victoria Police subsequently concluded that arson was not the cause, and referred the matter to the Coroners Court for inquiry.</w:t>
      </w:r>
    </w:p>
    <w:p>
      <w:pPr>
        <w:pStyle w:val="BodyText"/>
        <w:spacing w:before="10"/>
        <w:rPr>
          <w:sz w:val="20"/>
        </w:rPr>
      </w:pPr>
    </w:p>
    <w:p>
      <w:pPr>
        <w:pStyle w:val="BodyText"/>
        <w:spacing w:line="288" w:lineRule="auto"/>
        <w:ind w:left="600" w:right="713"/>
      </w:pPr>
      <w:r>
        <w:rPr/>
        <w:t>On</w:t>
      </w:r>
      <w:r>
        <w:rPr>
          <w:spacing w:val="-2"/>
        </w:rPr>
        <w:t> </w:t>
      </w:r>
      <w:r>
        <w:rPr/>
        <w:t>27</w:t>
      </w:r>
      <w:r>
        <w:rPr>
          <w:spacing w:val="-4"/>
        </w:rPr>
        <w:t> </w:t>
      </w:r>
      <w:r>
        <w:rPr/>
        <w:t>November</w:t>
      </w:r>
      <w:r>
        <w:rPr>
          <w:spacing w:val="-1"/>
        </w:rPr>
        <w:t> </w:t>
      </w:r>
      <w:r>
        <w:rPr/>
        <w:t>2015,</w:t>
      </w:r>
      <w:r>
        <w:rPr>
          <w:spacing w:val="-3"/>
        </w:rPr>
        <w:t> </w:t>
      </w:r>
      <w:r>
        <w:rPr/>
        <w:t>the</w:t>
      </w:r>
      <w:r>
        <w:rPr>
          <w:spacing w:val="-2"/>
        </w:rPr>
        <w:t> </w:t>
      </w:r>
      <w:r>
        <w:rPr/>
        <w:t>Coroners</w:t>
      </w:r>
      <w:r>
        <w:rPr>
          <w:spacing w:val="-1"/>
        </w:rPr>
        <w:t> </w:t>
      </w:r>
      <w:r>
        <w:rPr/>
        <w:t>Court</w:t>
      </w:r>
      <w:r>
        <w:rPr>
          <w:spacing w:val="-3"/>
        </w:rPr>
        <w:t> </w:t>
      </w:r>
      <w:r>
        <w:rPr/>
        <w:t>found</w:t>
      </w:r>
      <w:r>
        <w:rPr>
          <w:spacing w:val="-4"/>
        </w:rPr>
        <w:t> </w:t>
      </w:r>
      <w:r>
        <w:rPr/>
        <w:t>that</w:t>
      </w:r>
      <w:r>
        <w:rPr>
          <w:spacing w:val="-3"/>
        </w:rPr>
        <w:t> </w:t>
      </w:r>
      <w:r>
        <w:rPr/>
        <w:t>the</w:t>
      </w:r>
      <w:r>
        <w:rPr>
          <w:spacing w:val="-2"/>
        </w:rPr>
        <w:t> </w:t>
      </w:r>
      <w:r>
        <w:rPr/>
        <w:t>Murrindindi</w:t>
      </w:r>
      <w:r>
        <w:rPr>
          <w:spacing w:val="-5"/>
        </w:rPr>
        <w:t> </w:t>
      </w:r>
      <w:r>
        <w:rPr/>
        <w:t>fire</w:t>
      </w:r>
      <w:r>
        <w:rPr>
          <w:spacing w:val="-6"/>
        </w:rPr>
        <w:t> </w:t>
      </w:r>
      <w:r>
        <w:rPr/>
        <w:t>was</w:t>
      </w:r>
      <w:r>
        <w:rPr>
          <w:spacing w:val="-2"/>
        </w:rPr>
        <w:t> </w:t>
      </w:r>
      <w:r>
        <w:rPr/>
        <w:t>also</w:t>
      </w:r>
      <w:r>
        <w:rPr>
          <w:spacing w:val="-2"/>
        </w:rPr>
        <w:t> </w:t>
      </w:r>
      <w:r>
        <w:rPr/>
        <w:t>caused by electricity distribution assets, adding the loss of a further 40 lives to the total deaths attributable to fires that were associated with electricity distribution assets.</w:t>
      </w:r>
    </w:p>
    <w:p>
      <w:pPr>
        <w:pStyle w:val="BodyText"/>
        <w:rPr>
          <w:sz w:val="21"/>
        </w:rPr>
      </w:pPr>
    </w:p>
    <w:p>
      <w:pPr>
        <w:pStyle w:val="BodyText"/>
        <w:spacing w:line="288" w:lineRule="auto"/>
        <w:ind w:left="600" w:right="713"/>
      </w:pPr>
      <w:r>
        <w:rPr/>
        <w:t>In October 2010, Mr Neil Comrie AO APM, was appointed as the Bushfires Royal Commission</w:t>
      </w:r>
      <w:r>
        <w:rPr>
          <w:spacing w:val="-5"/>
        </w:rPr>
        <w:t> </w:t>
      </w:r>
      <w:r>
        <w:rPr/>
        <w:t>Implementation</w:t>
      </w:r>
      <w:r>
        <w:rPr>
          <w:spacing w:val="-3"/>
        </w:rPr>
        <w:t> </w:t>
      </w:r>
      <w:r>
        <w:rPr/>
        <w:t>Monitor</w:t>
      </w:r>
      <w:r>
        <w:rPr>
          <w:spacing w:val="-2"/>
        </w:rPr>
        <w:t> </w:t>
      </w:r>
      <w:r>
        <w:rPr/>
        <w:t>(BRCIM),</w:t>
      </w:r>
      <w:r>
        <w:rPr>
          <w:spacing w:val="-4"/>
        </w:rPr>
        <w:t> </w:t>
      </w:r>
      <w:r>
        <w:rPr/>
        <w:t>to</w:t>
      </w:r>
      <w:r>
        <w:rPr>
          <w:spacing w:val="-5"/>
        </w:rPr>
        <w:t> </w:t>
      </w:r>
      <w:r>
        <w:rPr/>
        <w:t>oversee</w:t>
      </w:r>
      <w:r>
        <w:rPr>
          <w:spacing w:val="-3"/>
        </w:rPr>
        <w:t> </w:t>
      </w:r>
      <w:r>
        <w:rPr/>
        <w:t>and</w:t>
      </w:r>
      <w:r>
        <w:rPr>
          <w:spacing w:val="-3"/>
        </w:rPr>
        <w:t> </w:t>
      </w:r>
      <w:r>
        <w:rPr/>
        <w:t>report</w:t>
      </w:r>
      <w:r>
        <w:rPr>
          <w:spacing w:val="-4"/>
        </w:rPr>
        <w:t> </w:t>
      </w:r>
      <w:r>
        <w:rPr/>
        <w:t>on</w:t>
      </w:r>
      <w:r>
        <w:rPr>
          <w:spacing w:val="-5"/>
        </w:rPr>
        <w:t> </w:t>
      </w:r>
      <w:r>
        <w:rPr/>
        <w:t>the</w:t>
      </w:r>
      <w:r>
        <w:rPr>
          <w:spacing w:val="-3"/>
        </w:rPr>
        <w:t> </w:t>
      </w:r>
      <w:r>
        <w:rPr/>
        <w:t>implementation of all VBRC recommendations.</w:t>
      </w:r>
    </w:p>
    <w:p>
      <w:pPr>
        <w:pStyle w:val="BodyText"/>
        <w:spacing w:before="9"/>
        <w:rPr>
          <w:sz w:val="20"/>
        </w:rPr>
      </w:pPr>
    </w:p>
    <w:p>
      <w:pPr>
        <w:pStyle w:val="BodyText"/>
        <w:spacing w:line="288" w:lineRule="auto"/>
        <w:ind w:left="600" w:right="586"/>
      </w:pPr>
      <w:r>
        <w:rPr/>
        <w:t>Following his</w:t>
      </w:r>
      <w:r>
        <w:rPr>
          <w:spacing w:val="-1"/>
        </w:rPr>
        <w:t> </w:t>
      </w:r>
      <w:r>
        <w:rPr/>
        <w:t>appointment,</w:t>
      </w:r>
      <w:r>
        <w:rPr>
          <w:spacing w:val="-2"/>
        </w:rPr>
        <w:t> </w:t>
      </w:r>
      <w:r>
        <w:rPr/>
        <w:t>the</w:t>
      </w:r>
      <w:r>
        <w:rPr>
          <w:spacing w:val="-4"/>
        </w:rPr>
        <w:t> </w:t>
      </w:r>
      <w:r>
        <w:rPr/>
        <w:t>BRCIM</w:t>
      </w:r>
      <w:r>
        <w:rPr>
          <w:spacing w:val="-5"/>
        </w:rPr>
        <w:t> </w:t>
      </w:r>
      <w:r>
        <w:rPr/>
        <w:t>reported</w:t>
      </w:r>
      <w:r>
        <w:rPr>
          <w:spacing w:val="-4"/>
        </w:rPr>
        <w:t> </w:t>
      </w:r>
      <w:r>
        <w:rPr/>
        <w:t>annually</w:t>
      </w:r>
      <w:r>
        <w:rPr>
          <w:spacing w:val="-4"/>
        </w:rPr>
        <w:t> </w:t>
      </w:r>
      <w:r>
        <w:rPr/>
        <w:t>to</w:t>
      </w:r>
      <w:r>
        <w:rPr>
          <w:spacing w:val="-4"/>
        </w:rPr>
        <w:t> </w:t>
      </w:r>
      <w:r>
        <w:rPr/>
        <w:t>the</w:t>
      </w:r>
      <w:r>
        <w:rPr>
          <w:spacing w:val="-2"/>
        </w:rPr>
        <w:t> </w:t>
      </w:r>
      <w:r>
        <w:rPr/>
        <w:t>Victorian</w:t>
      </w:r>
      <w:r>
        <w:rPr>
          <w:spacing w:val="-4"/>
        </w:rPr>
        <w:t> </w:t>
      </w:r>
      <w:r>
        <w:rPr/>
        <w:t>Government.</w:t>
      </w:r>
      <w:r>
        <w:rPr>
          <w:spacing w:val="-7"/>
        </w:rPr>
        <w:t> </w:t>
      </w:r>
      <w:r>
        <w:rPr/>
        <w:t>With most of the recommendations assessed as having been implemented, this monitoring function was discontinued, and the final BRCIM report was provided to Parliament in July 2014 (IGEM, 2014).</w:t>
      </w:r>
    </w:p>
    <w:p>
      <w:pPr>
        <w:pStyle w:val="BodyText"/>
        <w:spacing w:before="11"/>
        <w:rPr>
          <w:sz w:val="20"/>
        </w:rPr>
      </w:pPr>
    </w:p>
    <w:p>
      <w:pPr>
        <w:pStyle w:val="BodyText"/>
        <w:spacing w:line="288" w:lineRule="auto"/>
        <w:ind w:left="600" w:right="910"/>
      </w:pPr>
      <w:r>
        <w:rPr/>
        <w:t>The Inspector-General for Emergency Management (IGEM) assumed responsibility for future</w:t>
      </w:r>
      <w:r>
        <w:rPr>
          <w:spacing w:val="-6"/>
        </w:rPr>
        <w:t> </w:t>
      </w:r>
      <w:r>
        <w:rPr/>
        <w:t>monitoring</w:t>
      </w:r>
      <w:r>
        <w:rPr>
          <w:spacing w:val="-4"/>
        </w:rPr>
        <w:t> </w:t>
      </w:r>
      <w:r>
        <w:rPr/>
        <w:t>of</w:t>
      </w:r>
      <w:r>
        <w:rPr>
          <w:spacing w:val="-2"/>
        </w:rPr>
        <w:t> </w:t>
      </w:r>
      <w:r>
        <w:rPr/>
        <w:t>the</w:t>
      </w:r>
      <w:r>
        <w:rPr>
          <w:spacing w:val="-6"/>
        </w:rPr>
        <w:t> </w:t>
      </w:r>
      <w:r>
        <w:rPr/>
        <w:t>implementation</w:t>
      </w:r>
      <w:r>
        <w:rPr>
          <w:spacing w:val="-4"/>
        </w:rPr>
        <w:t> </w:t>
      </w:r>
      <w:r>
        <w:rPr/>
        <w:t>of</w:t>
      </w:r>
      <w:r>
        <w:rPr>
          <w:spacing w:val="-2"/>
        </w:rPr>
        <w:t> </w:t>
      </w:r>
      <w:r>
        <w:rPr/>
        <w:t>outstanding</w:t>
      </w:r>
      <w:r>
        <w:rPr>
          <w:spacing w:val="-2"/>
        </w:rPr>
        <w:t> </w:t>
      </w:r>
      <w:r>
        <w:rPr/>
        <w:t>VBRC</w:t>
      </w:r>
      <w:r>
        <w:rPr>
          <w:spacing w:val="-7"/>
        </w:rPr>
        <w:t> </w:t>
      </w:r>
      <w:r>
        <w:rPr/>
        <w:t>recommendations</w:t>
      </w:r>
      <w:r>
        <w:rPr>
          <w:spacing w:val="-4"/>
        </w:rPr>
        <w:t> </w:t>
      </w:r>
      <w:r>
        <w:rPr/>
        <w:t>in</w:t>
      </w:r>
      <w:r>
        <w:rPr>
          <w:spacing w:val="-4"/>
        </w:rPr>
        <w:t> </w:t>
      </w:r>
      <w:r>
        <w:rPr/>
        <w:t>August </w:t>
      </w:r>
      <w:r>
        <w:rPr>
          <w:spacing w:val="-2"/>
        </w:rPr>
        <w:t>2014.</w:t>
      </w:r>
    </w:p>
    <w:p>
      <w:pPr>
        <w:pStyle w:val="BodyText"/>
        <w:spacing w:before="11"/>
        <w:rPr>
          <w:sz w:val="20"/>
        </w:rPr>
      </w:pPr>
    </w:p>
    <w:p>
      <w:pPr>
        <w:pStyle w:val="BodyText"/>
        <w:spacing w:line="288" w:lineRule="auto"/>
        <w:ind w:left="600" w:right="713"/>
      </w:pPr>
      <w:r>
        <w:rPr/>
        <w:t>Established</w:t>
      </w:r>
      <w:r>
        <w:rPr>
          <w:spacing w:val="-2"/>
        </w:rPr>
        <w:t> </w:t>
      </w:r>
      <w:r>
        <w:rPr/>
        <w:t>on</w:t>
      </w:r>
      <w:r>
        <w:rPr>
          <w:spacing w:val="-2"/>
        </w:rPr>
        <w:t> </w:t>
      </w:r>
      <w:r>
        <w:rPr/>
        <w:t>1</w:t>
      </w:r>
      <w:r>
        <w:rPr>
          <w:spacing w:val="-4"/>
        </w:rPr>
        <w:t> </w:t>
      </w:r>
      <w:r>
        <w:rPr/>
        <w:t>July</w:t>
      </w:r>
      <w:r>
        <w:rPr>
          <w:spacing w:val="-4"/>
        </w:rPr>
        <w:t> </w:t>
      </w:r>
      <w:r>
        <w:rPr/>
        <w:t>2014</w:t>
      </w:r>
      <w:r>
        <w:rPr>
          <w:spacing w:val="-2"/>
        </w:rPr>
        <w:t> </w:t>
      </w:r>
      <w:r>
        <w:rPr/>
        <w:t>by</w:t>
      </w:r>
      <w:r>
        <w:rPr>
          <w:spacing w:val="-3"/>
        </w:rPr>
        <w:t> </w:t>
      </w:r>
      <w:r>
        <w:rPr/>
        <w:t>the</w:t>
      </w:r>
      <w:r>
        <w:rPr>
          <w:spacing w:val="-2"/>
        </w:rPr>
        <w:t> </w:t>
      </w:r>
      <w:r>
        <w:rPr>
          <w:i/>
        </w:rPr>
        <w:t>Emergency</w:t>
      </w:r>
      <w:r>
        <w:rPr>
          <w:i/>
          <w:spacing w:val="-1"/>
        </w:rPr>
        <w:t> </w:t>
      </w:r>
      <w:r>
        <w:rPr>
          <w:i/>
        </w:rPr>
        <w:t>Management</w:t>
      </w:r>
      <w:r>
        <w:rPr>
          <w:i/>
          <w:spacing w:val="-3"/>
        </w:rPr>
        <w:t> </w:t>
      </w:r>
      <w:r>
        <w:rPr>
          <w:i/>
        </w:rPr>
        <w:t>Act</w:t>
      </w:r>
      <w:r>
        <w:rPr>
          <w:i/>
          <w:spacing w:val="-3"/>
        </w:rPr>
        <w:t> </w:t>
      </w:r>
      <w:r>
        <w:rPr>
          <w:i/>
        </w:rPr>
        <w:t>2013</w:t>
      </w:r>
      <w:r>
        <w:rPr/>
        <w:t>,</w:t>
      </w:r>
      <w:r>
        <w:rPr>
          <w:spacing w:val="-5"/>
        </w:rPr>
        <w:t> </w:t>
      </w:r>
      <w:r>
        <w:rPr/>
        <w:t>the</w:t>
      </w:r>
      <w:r>
        <w:rPr>
          <w:spacing w:val="-4"/>
        </w:rPr>
        <w:t> </w:t>
      </w:r>
      <w:r>
        <w:rPr/>
        <w:t>IGEM</w:t>
      </w:r>
      <w:r>
        <w:rPr>
          <w:spacing w:val="-5"/>
        </w:rPr>
        <w:t> </w:t>
      </w:r>
      <w:r>
        <w:rPr/>
        <w:t>works</w:t>
      </w:r>
      <w:r>
        <w:rPr>
          <w:spacing w:val="-1"/>
        </w:rPr>
        <w:t> </w:t>
      </w:r>
      <w:r>
        <w:rPr/>
        <w:t>with its emergency management partners and the community to strengthen emergency management arrangements and community safety in Victoria. IGEM’s primary role is providing assurance</w:t>
      </w:r>
      <w:r>
        <w:rPr>
          <w:spacing w:val="-1"/>
        </w:rPr>
        <w:t> </w:t>
      </w:r>
      <w:r>
        <w:rPr/>
        <w:t>to</w:t>
      </w:r>
      <w:r>
        <w:rPr>
          <w:spacing w:val="-1"/>
        </w:rPr>
        <w:t> </w:t>
      </w:r>
      <w:r>
        <w:rPr/>
        <w:t>government and</w:t>
      </w:r>
      <w:r>
        <w:rPr>
          <w:spacing w:val="-3"/>
        </w:rPr>
        <w:t> </w:t>
      </w:r>
      <w:r>
        <w:rPr/>
        <w:t>the community</w:t>
      </w:r>
      <w:r>
        <w:rPr>
          <w:spacing w:val="-1"/>
        </w:rPr>
        <w:t> </w:t>
      </w:r>
      <w:r>
        <w:rPr/>
        <w:t>regarding emergency</w:t>
      </w:r>
      <w:r>
        <w:rPr>
          <w:spacing w:val="-1"/>
        </w:rPr>
        <w:t> </w:t>
      </w:r>
      <w:r>
        <w:rPr/>
        <w:t>management arrangements in Victoria, and fostering their continuous improvement.</w:t>
      </w:r>
    </w:p>
    <w:p>
      <w:pPr>
        <w:pStyle w:val="BodyText"/>
        <w:spacing w:before="9"/>
        <w:rPr>
          <w:sz w:val="20"/>
        </w:rPr>
      </w:pPr>
    </w:p>
    <w:p>
      <w:pPr>
        <w:pStyle w:val="BodyText"/>
        <w:spacing w:line="288" w:lineRule="auto" w:before="1"/>
        <w:ind w:left="600"/>
      </w:pPr>
      <w:r>
        <w:rPr/>
        <w:t>In</w:t>
      </w:r>
      <w:r>
        <w:rPr>
          <w:spacing w:val="-2"/>
        </w:rPr>
        <w:t> </w:t>
      </w:r>
      <w:r>
        <w:rPr/>
        <w:t>its</w:t>
      </w:r>
      <w:r>
        <w:rPr>
          <w:spacing w:val="-3"/>
        </w:rPr>
        <w:t> </w:t>
      </w:r>
      <w:r>
        <w:rPr/>
        <w:t>inaugural</w:t>
      </w:r>
      <w:r>
        <w:rPr>
          <w:spacing w:val="-4"/>
        </w:rPr>
        <w:t> </w:t>
      </w:r>
      <w:r>
        <w:rPr/>
        <w:t>report in</w:t>
      </w:r>
      <w:r>
        <w:rPr>
          <w:spacing w:val="-6"/>
        </w:rPr>
        <w:t> </w:t>
      </w:r>
      <w:r>
        <w:rPr/>
        <w:t>August 2015,</w:t>
      </w:r>
      <w:r>
        <w:rPr>
          <w:spacing w:val="-3"/>
        </w:rPr>
        <w:t> </w:t>
      </w:r>
      <w:r>
        <w:rPr/>
        <w:t>IGEM</w:t>
      </w:r>
      <w:r>
        <w:rPr>
          <w:spacing w:val="-5"/>
        </w:rPr>
        <w:t> </w:t>
      </w:r>
      <w:r>
        <w:rPr/>
        <w:t>reported</w:t>
      </w:r>
      <w:r>
        <w:rPr>
          <w:spacing w:val="-4"/>
        </w:rPr>
        <w:t> </w:t>
      </w:r>
      <w:r>
        <w:rPr/>
        <w:t>it considered</w:t>
      </w:r>
      <w:r>
        <w:rPr>
          <w:spacing w:val="-4"/>
        </w:rPr>
        <w:t> </w:t>
      </w:r>
      <w:r>
        <w:rPr/>
        <w:t>the</w:t>
      </w:r>
      <w:r>
        <w:rPr>
          <w:spacing w:val="-4"/>
        </w:rPr>
        <w:t> </w:t>
      </w:r>
      <w:r>
        <w:rPr/>
        <w:t>sector</w:t>
      </w:r>
      <w:r>
        <w:rPr>
          <w:spacing w:val="-3"/>
        </w:rPr>
        <w:t> </w:t>
      </w:r>
      <w:r>
        <w:rPr/>
        <w:t>to</w:t>
      </w:r>
      <w:r>
        <w:rPr>
          <w:spacing w:val="-4"/>
        </w:rPr>
        <w:t> </w:t>
      </w:r>
      <w:r>
        <w:rPr/>
        <w:t>be</w:t>
      </w:r>
      <w:r>
        <w:rPr>
          <w:spacing w:val="-4"/>
        </w:rPr>
        <w:t> </w:t>
      </w:r>
      <w:r>
        <w:rPr/>
        <w:t>making satisfactory progress towards completing the implementation of the remaining seven recommendations – many of which are scheduled for completion by the end of 2017.</w:t>
      </w:r>
    </w:p>
    <w:p>
      <w:pPr>
        <w:pStyle w:val="BodyText"/>
        <w:spacing w:before="11"/>
        <w:rPr>
          <w:sz w:val="20"/>
        </w:rPr>
      </w:pPr>
    </w:p>
    <w:p>
      <w:pPr>
        <w:spacing w:line="288" w:lineRule="auto" w:before="0"/>
        <w:ind w:left="600" w:right="586" w:firstLine="0"/>
        <w:jc w:val="left"/>
        <w:rPr>
          <w:sz w:val="22"/>
        </w:rPr>
      </w:pPr>
      <w:r>
        <w:rPr>
          <w:sz w:val="22"/>
        </w:rPr>
        <w:t>Since</w:t>
      </w:r>
      <w:r>
        <w:rPr>
          <w:spacing w:val="-3"/>
          <w:sz w:val="22"/>
        </w:rPr>
        <w:t> </w:t>
      </w:r>
      <w:r>
        <w:rPr>
          <w:sz w:val="22"/>
        </w:rPr>
        <w:t>2013,</w:t>
      </w:r>
      <w:r>
        <w:rPr>
          <w:spacing w:val="-4"/>
          <w:sz w:val="22"/>
        </w:rPr>
        <w:t> </w:t>
      </w:r>
      <w:r>
        <w:rPr>
          <w:sz w:val="22"/>
        </w:rPr>
        <w:t>the</w:t>
      </w:r>
      <w:r>
        <w:rPr>
          <w:spacing w:val="-3"/>
          <w:sz w:val="22"/>
        </w:rPr>
        <w:t> </w:t>
      </w:r>
      <w:r>
        <w:rPr>
          <w:i/>
          <w:sz w:val="22"/>
        </w:rPr>
        <w:t>Electricity</w:t>
      </w:r>
      <w:r>
        <w:rPr>
          <w:i/>
          <w:spacing w:val="-2"/>
          <w:sz w:val="22"/>
        </w:rPr>
        <w:t> </w:t>
      </w:r>
      <w:r>
        <w:rPr>
          <w:i/>
          <w:sz w:val="22"/>
        </w:rPr>
        <w:t>Safety</w:t>
      </w:r>
      <w:r>
        <w:rPr>
          <w:i/>
          <w:spacing w:val="-2"/>
          <w:sz w:val="22"/>
        </w:rPr>
        <w:t> </w:t>
      </w:r>
      <w:r>
        <w:rPr>
          <w:i/>
          <w:sz w:val="22"/>
        </w:rPr>
        <w:t>Act 1998</w:t>
      </w:r>
      <w:r>
        <w:rPr>
          <w:i/>
          <w:spacing w:val="-5"/>
          <w:sz w:val="22"/>
        </w:rPr>
        <w:t> </w:t>
      </w:r>
      <w:r>
        <w:rPr>
          <w:sz w:val="22"/>
        </w:rPr>
        <w:t>has</w:t>
      </w:r>
      <w:r>
        <w:rPr>
          <w:spacing w:val="-5"/>
          <w:sz w:val="22"/>
        </w:rPr>
        <w:t> </w:t>
      </w:r>
      <w:r>
        <w:rPr>
          <w:sz w:val="22"/>
        </w:rPr>
        <w:t>required</w:t>
      </w:r>
      <w:r>
        <w:rPr>
          <w:spacing w:val="-5"/>
          <w:sz w:val="22"/>
        </w:rPr>
        <w:t> </w:t>
      </w:r>
      <w:r>
        <w:rPr>
          <w:sz w:val="22"/>
        </w:rPr>
        <w:t>each</w:t>
      </w:r>
      <w:r>
        <w:rPr>
          <w:spacing w:val="-3"/>
          <w:sz w:val="22"/>
        </w:rPr>
        <w:t> </w:t>
      </w:r>
      <w:r>
        <w:rPr>
          <w:sz w:val="22"/>
        </w:rPr>
        <w:t>electricity</w:t>
      </w:r>
      <w:r>
        <w:rPr>
          <w:spacing w:val="-3"/>
          <w:sz w:val="22"/>
        </w:rPr>
        <w:t> </w:t>
      </w:r>
      <w:r>
        <w:rPr>
          <w:sz w:val="22"/>
        </w:rPr>
        <w:t>distribution</w:t>
      </w:r>
      <w:r>
        <w:rPr>
          <w:spacing w:val="-5"/>
          <w:sz w:val="22"/>
        </w:rPr>
        <w:t> </w:t>
      </w:r>
      <w:r>
        <w:rPr>
          <w:sz w:val="22"/>
        </w:rPr>
        <w:t>business to submit a bushfire mitigation plan to ESV every five years for acceptance. The </w:t>
      </w:r>
      <w:r>
        <w:rPr>
          <w:i/>
          <w:sz w:val="22"/>
        </w:rPr>
        <w:t>Electricity Safety (Bushfire Mitigation) Regulations 2013 </w:t>
      </w:r>
      <w:r>
        <w:rPr>
          <w:sz w:val="22"/>
        </w:rPr>
        <w:t>make provision for the preparation of the</w:t>
      </w:r>
    </w:p>
    <w:p>
      <w:pPr>
        <w:spacing w:after="0" w:line="288" w:lineRule="auto"/>
        <w:jc w:val="left"/>
        <w:rPr>
          <w:sz w:val="22"/>
        </w:rPr>
        <w:sectPr>
          <w:pgSz w:w="11910" w:h="16840"/>
          <w:pgMar w:header="887" w:footer="1243" w:top="1080" w:bottom="1460" w:left="840" w:right="820"/>
        </w:sectPr>
      </w:pPr>
    </w:p>
    <w:p>
      <w:pPr>
        <w:pStyle w:val="BodyText"/>
        <w:rPr>
          <w:sz w:val="20"/>
        </w:rPr>
      </w:pPr>
    </w:p>
    <w:p>
      <w:pPr>
        <w:pStyle w:val="BodyText"/>
        <w:rPr>
          <w:sz w:val="20"/>
        </w:rPr>
      </w:pPr>
    </w:p>
    <w:p>
      <w:pPr>
        <w:pStyle w:val="BodyText"/>
        <w:spacing w:before="5"/>
      </w:pPr>
    </w:p>
    <w:p>
      <w:pPr>
        <w:pStyle w:val="BodyText"/>
        <w:spacing w:line="288" w:lineRule="auto"/>
        <w:ind w:left="600" w:right="910"/>
      </w:pPr>
      <w:r>
        <w:rPr/>
        <w:t>bushfire</w:t>
      </w:r>
      <w:r>
        <w:rPr>
          <w:spacing w:val="-4"/>
        </w:rPr>
        <w:t> </w:t>
      </w:r>
      <w:r>
        <w:rPr/>
        <w:t>mitigation</w:t>
      </w:r>
      <w:r>
        <w:rPr>
          <w:spacing w:val="-4"/>
        </w:rPr>
        <w:t> </w:t>
      </w:r>
      <w:r>
        <w:rPr/>
        <w:t>plans</w:t>
      </w:r>
      <w:r>
        <w:rPr>
          <w:spacing w:val="-4"/>
        </w:rPr>
        <w:t> </w:t>
      </w:r>
      <w:r>
        <w:rPr/>
        <w:t>and</w:t>
      </w:r>
      <w:r>
        <w:rPr>
          <w:spacing w:val="-4"/>
        </w:rPr>
        <w:t> </w:t>
      </w:r>
      <w:r>
        <w:rPr/>
        <w:t>for</w:t>
      </w:r>
      <w:r>
        <w:rPr>
          <w:spacing w:val="-3"/>
        </w:rPr>
        <w:t> </w:t>
      </w:r>
      <w:r>
        <w:rPr/>
        <w:t>the</w:t>
      </w:r>
      <w:r>
        <w:rPr>
          <w:spacing w:val="-2"/>
        </w:rPr>
        <w:t> </w:t>
      </w:r>
      <w:r>
        <w:rPr/>
        <w:t>inspection</w:t>
      </w:r>
      <w:r>
        <w:rPr>
          <w:spacing w:val="-2"/>
        </w:rPr>
        <w:t> </w:t>
      </w:r>
      <w:r>
        <w:rPr/>
        <w:t>of</w:t>
      </w:r>
      <w:r>
        <w:rPr>
          <w:spacing w:val="-3"/>
        </w:rPr>
        <w:t> </w:t>
      </w:r>
      <w:r>
        <w:rPr/>
        <w:t>overhead</w:t>
      </w:r>
      <w:r>
        <w:rPr>
          <w:spacing w:val="-2"/>
        </w:rPr>
        <w:t> </w:t>
      </w:r>
      <w:r>
        <w:rPr/>
        <w:t>electric</w:t>
      </w:r>
      <w:r>
        <w:rPr>
          <w:spacing w:val="-1"/>
        </w:rPr>
        <w:t> </w:t>
      </w:r>
      <w:r>
        <w:rPr/>
        <w:t>lines</w:t>
      </w:r>
      <w:r>
        <w:rPr>
          <w:spacing w:val="-1"/>
        </w:rPr>
        <w:t> </w:t>
      </w:r>
      <w:r>
        <w:rPr/>
        <w:t>and</w:t>
      </w:r>
      <w:r>
        <w:rPr>
          <w:spacing w:val="-2"/>
        </w:rPr>
        <w:t> </w:t>
      </w:r>
      <w:r>
        <w:rPr/>
        <w:t>supply </w:t>
      </w:r>
      <w:r>
        <w:rPr>
          <w:spacing w:val="-2"/>
        </w:rPr>
        <w:t>networks.</w:t>
      </w:r>
    </w:p>
    <w:p>
      <w:pPr>
        <w:pStyle w:val="BodyText"/>
        <w:spacing w:before="10"/>
        <w:rPr>
          <w:sz w:val="20"/>
        </w:rPr>
      </w:pPr>
    </w:p>
    <w:p>
      <w:pPr>
        <w:pStyle w:val="BodyText"/>
        <w:spacing w:line="288" w:lineRule="auto"/>
        <w:ind w:left="600" w:right="713"/>
      </w:pPr>
      <w:r>
        <w:rPr/>
        <w:t>The</w:t>
      </w:r>
      <w:r>
        <w:rPr>
          <w:spacing w:val="-2"/>
        </w:rPr>
        <w:t> </w:t>
      </w:r>
      <w:r>
        <w:rPr/>
        <w:t>bushfire</w:t>
      </w:r>
      <w:r>
        <w:rPr>
          <w:spacing w:val="-4"/>
        </w:rPr>
        <w:t> </w:t>
      </w:r>
      <w:r>
        <w:rPr/>
        <w:t>mitigation plan sets</w:t>
      </w:r>
      <w:r>
        <w:rPr>
          <w:spacing w:val="-1"/>
        </w:rPr>
        <w:t> </w:t>
      </w:r>
      <w:r>
        <w:rPr/>
        <w:t>out</w:t>
      </w:r>
      <w:r>
        <w:rPr>
          <w:spacing w:val="-1"/>
        </w:rPr>
        <w:t> </w:t>
      </w:r>
      <w:r>
        <w:rPr/>
        <w:t>how</w:t>
      </w:r>
      <w:r>
        <w:rPr>
          <w:spacing w:val="-3"/>
        </w:rPr>
        <w:t> </w:t>
      </w:r>
      <w:r>
        <w:rPr/>
        <w:t>each network business will manage</w:t>
      </w:r>
      <w:r>
        <w:rPr>
          <w:spacing w:val="-2"/>
        </w:rPr>
        <w:t> </w:t>
      </w:r>
      <w:r>
        <w:rPr/>
        <w:t>the</w:t>
      </w:r>
      <w:r>
        <w:rPr>
          <w:spacing w:val="-2"/>
        </w:rPr>
        <w:t> </w:t>
      </w:r>
      <w:r>
        <w:rPr/>
        <w:t>bushfire risk</w:t>
      </w:r>
      <w:r>
        <w:rPr>
          <w:spacing w:val="-2"/>
        </w:rPr>
        <w:t> </w:t>
      </w:r>
      <w:r>
        <w:rPr/>
        <w:t>presented</w:t>
      </w:r>
      <w:r>
        <w:rPr>
          <w:spacing w:val="-4"/>
        </w:rPr>
        <w:t> </w:t>
      </w:r>
      <w:r>
        <w:rPr/>
        <w:t>by</w:t>
      </w:r>
      <w:r>
        <w:rPr>
          <w:spacing w:val="-4"/>
        </w:rPr>
        <w:t> </w:t>
      </w:r>
      <w:r>
        <w:rPr/>
        <w:t>its</w:t>
      </w:r>
      <w:r>
        <w:rPr>
          <w:spacing w:val="-2"/>
        </w:rPr>
        <w:t> </w:t>
      </w:r>
      <w:r>
        <w:rPr/>
        <w:t>networks.</w:t>
      </w:r>
      <w:r>
        <w:rPr>
          <w:spacing w:val="-5"/>
        </w:rPr>
        <w:t> </w:t>
      </w:r>
      <w:r>
        <w:rPr/>
        <w:t>These</w:t>
      </w:r>
      <w:r>
        <w:rPr>
          <w:spacing w:val="-3"/>
        </w:rPr>
        <w:t> </w:t>
      </w:r>
      <w:r>
        <w:rPr/>
        <w:t>plans,</w:t>
      </w:r>
      <w:r>
        <w:rPr>
          <w:spacing w:val="-1"/>
        </w:rPr>
        <w:t> </w:t>
      </w:r>
      <w:r>
        <w:rPr/>
        <w:t>and</w:t>
      </w:r>
      <w:r>
        <w:rPr>
          <w:spacing w:val="-6"/>
        </w:rPr>
        <w:t> </w:t>
      </w:r>
      <w:r>
        <w:rPr/>
        <w:t>the</w:t>
      </w:r>
      <w:r>
        <w:rPr>
          <w:spacing w:val="-3"/>
        </w:rPr>
        <w:t> </w:t>
      </w:r>
      <w:r>
        <w:rPr/>
        <w:t>safety</w:t>
      </w:r>
      <w:r>
        <w:rPr>
          <w:spacing w:val="-5"/>
        </w:rPr>
        <w:t> </w:t>
      </w:r>
      <w:r>
        <w:rPr/>
        <w:t>management</w:t>
      </w:r>
      <w:r>
        <w:rPr>
          <w:spacing w:val="-3"/>
        </w:rPr>
        <w:t> </w:t>
      </w:r>
      <w:r>
        <w:rPr/>
        <w:t>scheme</w:t>
      </w:r>
      <w:r>
        <w:rPr>
          <w:spacing w:val="-4"/>
        </w:rPr>
        <w:t> </w:t>
      </w:r>
      <w:r>
        <w:rPr/>
        <w:t>of</w:t>
      </w:r>
      <w:r>
        <w:rPr>
          <w:spacing w:val="-1"/>
        </w:rPr>
        <w:t> </w:t>
      </w:r>
      <w:r>
        <w:rPr/>
        <w:t>which bushfire mitigation plans are a part, must be accepted by ESV as a condition of network </w:t>
      </w:r>
      <w:r>
        <w:rPr>
          <w:spacing w:val="-2"/>
        </w:rPr>
        <w:t>operation.</w:t>
      </w:r>
    </w:p>
    <w:p>
      <w:pPr>
        <w:pStyle w:val="BodyText"/>
        <w:spacing w:before="10"/>
        <w:rPr>
          <w:sz w:val="20"/>
        </w:rPr>
      </w:pPr>
    </w:p>
    <w:p>
      <w:pPr>
        <w:pStyle w:val="BodyText"/>
        <w:spacing w:line="288" w:lineRule="auto"/>
        <w:ind w:left="600" w:right="586"/>
      </w:pPr>
      <w:r>
        <w:rPr/>
        <w:t>In September 2017, civil penalty provisions were introduced into the </w:t>
      </w:r>
      <w:r>
        <w:rPr>
          <w:i/>
        </w:rPr>
        <w:t>Electricity Safety Act 1998</w:t>
      </w:r>
      <w:r>
        <w:rPr/>
        <w:t>.</w:t>
      </w:r>
      <w:r>
        <w:rPr>
          <w:spacing w:val="-4"/>
        </w:rPr>
        <w:t> </w:t>
      </w:r>
      <w:r>
        <w:rPr/>
        <w:t>This</w:t>
      </w:r>
      <w:r>
        <w:rPr>
          <w:spacing w:val="-2"/>
        </w:rPr>
        <w:t> </w:t>
      </w:r>
      <w:r>
        <w:rPr/>
        <w:t>allows</w:t>
      </w:r>
      <w:r>
        <w:rPr>
          <w:spacing w:val="-2"/>
        </w:rPr>
        <w:t> </w:t>
      </w:r>
      <w:r>
        <w:rPr/>
        <w:t>ESV</w:t>
      </w:r>
      <w:r>
        <w:rPr>
          <w:spacing w:val="-3"/>
        </w:rPr>
        <w:t> </w:t>
      </w:r>
      <w:r>
        <w:rPr/>
        <w:t>or</w:t>
      </w:r>
      <w:r>
        <w:rPr>
          <w:spacing w:val="-4"/>
        </w:rPr>
        <w:t> </w:t>
      </w:r>
      <w:r>
        <w:rPr/>
        <w:t>the</w:t>
      </w:r>
      <w:r>
        <w:rPr>
          <w:spacing w:val="-3"/>
        </w:rPr>
        <w:t> </w:t>
      </w:r>
      <w:r>
        <w:rPr/>
        <w:t>Minister</w:t>
      </w:r>
      <w:r>
        <w:rPr>
          <w:spacing w:val="-2"/>
        </w:rPr>
        <w:t> </w:t>
      </w:r>
      <w:r>
        <w:rPr/>
        <w:t>to</w:t>
      </w:r>
      <w:r>
        <w:rPr>
          <w:spacing w:val="-4"/>
        </w:rPr>
        <w:t> </w:t>
      </w:r>
      <w:r>
        <w:rPr/>
        <w:t>commence</w:t>
      </w:r>
      <w:r>
        <w:rPr>
          <w:spacing w:val="-2"/>
        </w:rPr>
        <w:t> </w:t>
      </w:r>
      <w:r>
        <w:rPr/>
        <w:t>a</w:t>
      </w:r>
      <w:r>
        <w:rPr>
          <w:spacing w:val="-3"/>
        </w:rPr>
        <w:t> </w:t>
      </w:r>
      <w:r>
        <w:rPr/>
        <w:t>civil</w:t>
      </w:r>
      <w:r>
        <w:rPr>
          <w:spacing w:val="-3"/>
        </w:rPr>
        <w:t> </w:t>
      </w:r>
      <w:r>
        <w:rPr/>
        <w:t>proceeding</w:t>
      </w:r>
      <w:r>
        <w:rPr>
          <w:spacing w:val="-3"/>
        </w:rPr>
        <w:t> </w:t>
      </w:r>
      <w:r>
        <w:rPr/>
        <w:t>against</w:t>
      </w:r>
      <w:r>
        <w:rPr>
          <w:spacing w:val="-2"/>
        </w:rPr>
        <w:t> </w:t>
      </w:r>
      <w:r>
        <w:rPr/>
        <w:t>an</w:t>
      </w:r>
      <w:r>
        <w:rPr>
          <w:spacing w:val="-2"/>
        </w:rPr>
        <w:t> </w:t>
      </w:r>
      <w:r>
        <w:rPr/>
        <w:t>electricity distribution business if it fails to comply with the civil penalty provisions.</w:t>
      </w:r>
    </w:p>
    <w:p>
      <w:pPr>
        <w:pStyle w:val="BodyText"/>
        <w:rPr>
          <w:sz w:val="21"/>
        </w:rPr>
      </w:pPr>
    </w:p>
    <w:p>
      <w:pPr>
        <w:pStyle w:val="BodyText"/>
        <w:spacing w:line="288" w:lineRule="auto"/>
        <w:ind w:left="600" w:right="647"/>
      </w:pPr>
      <w:r>
        <w:rPr/>
        <w:t>The civil penalties regime requires electricity network businesses to deliver heightened powerline fault detection</w:t>
      </w:r>
      <w:r>
        <w:rPr>
          <w:spacing w:val="-2"/>
        </w:rPr>
        <w:t> </w:t>
      </w:r>
      <w:r>
        <w:rPr/>
        <w:t>and suppression capabilities by</w:t>
      </w:r>
      <w:r>
        <w:rPr>
          <w:spacing w:val="-2"/>
        </w:rPr>
        <w:t> </w:t>
      </w:r>
      <w:r>
        <w:rPr/>
        <w:t>installing new</w:t>
      </w:r>
      <w:r>
        <w:rPr>
          <w:spacing w:val="-3"/>
        </w:rPr>
        <w:t> </w:t>
      </w:r>
      <w:r>
        <w:rPr/>
        <w:t>capital</w:t>
      </w:r>
      <w:r>
        <w:rPr>
          <w:spacing w:val="-1"/>
        </w:rPr>
        <w:t> </w:t>
      </w:r>
      <w:r>
        <w:rPr/>
        <w:t>infrastructure over a seven-year period, which concludes in 2023. In addition, electricity businesses must replace</w:t>
      </w:r>
      <w:r>
        <w:rPr>
          <w:spacing w:val="-4"/>
        </w:rPr>
        <w:t> </w:t>
      </w:r>
      <w:r>
        <w:rPr/>
        <w:t>bare-wire</w:t>
      </w:r>
      <w:r>
        <w:rPr>
          <w:spacing w:val="-4"/>
        </w:rPr>
        <w:t> </w:t>
      </w:r>
      <w:r>
        <w:rPr/>
        <w:t>powerline</w:t>
      </w:r>
      <w:r>
        <w:rPr>
          <w:spacing w:val="-4"/>
        </w:rPr>
        <w:t> </w:t>
      </w:r>
      <w:r>
        <w:rPr/>
        <w:t>conductors</w:t>
      </w:r>
      <w:r>
        <w:rPr>
          <w:spacing w:val="-3"/>
        </w:rPr>
        <w:t> </w:t>
      </w:r>
      <w:r>
        <w:rPr/>
        <w:t>with</w:t>
      </w:r>
      <w:r>
        <w:rPr>
          <w:spacing w:val="-4"/>
        </w:rPr>
        <w:t> </w:t>
      </w:r>
      <w:r>
        <w:rPr/>
        <w:t>covered</w:t>
      </w:r>
      <w:r>
        <w:rPr>
          <w:spacing w:val="-4"/>
        </w:rPr>
        <w:t> </w:t>
      </w:r>
      <w:r>
        <w:rPr/>
        <w:t>conductors</w:t>
      </w:r>
      <w:r>
        <w:rPr>
          <w:spacing w:val="-3"/>
        </w:rPr>
        <w:t> </w:t>
      </w:r>
      <w:r>
        <w:rPr/>
        <w:t>or</w:t>
      </w:r>
      <w:r>
        <w:rPr>
          <w:spacing w:val="-4"/>
        </w:rPr>
        <w:t> </w:t>
      </w:r>
      <w:r>
        <w:rPr/>
        <w:t>underground</w:t>
      </w:r>
      <w:r>
        <w:rPr>
          <w:spacing w:val="-4"/>
        </w:rPr>
        <w:t> </w:t>
      </w:r>
      <w:r>
        <w:rPr/>
        <w:t>powerlines in designated high</w:t>
      </w:r>
      <w:r>
        <w:rPr>
          <w:spacing w:val="-2"/>
        </w:rPr>
        <w:t> </w:t>
      </w:r>
      <w:r>
        <w:rPr/>
        <w:t>consequence</w:t>
      </w:r>
      <w:r>
        <w:rPr>
          <w:spacing w:val="-2"/>
        </w:rPr>
        <w:t> </w:t>
      </w:r>
      <w:r>
        <w:rPr/>
        <w:t>bushfire areas.</w:t>
      </w:r>
      <w:r>
        <w:rPr>
          <w:spacing w:val="-3"/>
        </w:rPr>
        <w:t> </w:t>
      </w:r>
      <w:r>
        <w:rPr/>
        <w:t>The businesses will face</w:t>
      </w:r>
      <w:r>
        <w:rPr>
          <w:spacing w:val="-5"/>
        </w:rPr>
        <w:t> </w:t>
      </w:r>
      <w:r>
        <w:rPr/>
        <w:t>financial</w:t>
      </w:r>
      <w:r>
        <w:rPr>
          <w:spacing w:val="-1"/>
        </w:rPr>
        <w:t> </w:t>
      </w:r>
      <w:r>
        <w:rPr/>
        <w:t>penalties if they fail to meet the prescribed requirements.</w:t>
      </w:r>
    </w:p>
    <w:p>
      <w:pPr>
        <w:pStyle w:val="BodyText"/>
        <w:spacing w:before="10"/>
        <w:rPr>
          <w:sz w:val="20"/>
        </w:rPr>
      </w:pPr>
    </w:p>
    <w:p>
      <w:pPr>
        <w:pStyle w:val="Heading8"/>
        <w:spacing w:before="1"/>
        <w:ind w:left="600"/>
      </w:pPr>
      <w:r>
        <w:rPr>
          <w:spacing w:val="-5"/>
        </w:rPr>
        <w:t>Gas</w:t>
      </w:r>
    </w:p>
    <w:p>
      <w:pPr>
        <w:pStyle w:val="BodyText"/>
        <w:spacing w:line="288" w:lineRule="auto" w:before="169"/>
        <w:ind w:left="600" w:right="657"/>
      </w:pPr>
      <w:r>
        <w:rPr/>
        <w:t>While significant gas incidents that impact the pipelines transporting gas are rare, the consequences of an incident could have major economic and safety impact on the community.</w:t>
      </w:r>
      <w:r>
        <w:rPr>
          <w:spacing w:val="-3"/>
        </w:rPr>
        <w:t> </w:t>
      </w:r>
      <w:r>
        <w:rPr/>
        <w:t>Over</w:t>
      </w:r>
      <w:r>
        <w:rPr>
          <w:spacing w:val="-1"/>
        </w:rPr>
        <w:t> </w:t>
      </w:r>
      <w:r>
        <w:rPr/>
        <w:t>the</w:t>
      </w:r>
      <w:r>
        <w:rPr>
          <w:spacing w:val="-4"/>
        </w:rPr>
        <w:t> </w:t>
      </w:r>
      <w:r>
        <w:rPr/>
        <w:t>last</w:t>
      </w:r>
      <w:r>
        <w:rPr>
          <w:spacing w:val="-3"/>
        </w:rPr>
        <w:t> </w:t>
      </w:r>
      <w:r>
        <w:rPr/>
        <w:t>decade,</w:t>
      </w:r>
      <w:r>
        <w:rPr>
          <w:spacing w:val="-3"/>
        </w:rPr>
        <w:t> </w:t>
      </w:r>
      <w:r>
        <w:rPr/>
        <w:t>pipeline</w:t>
      </w:r>
      <w:r>
        <w:rPr>
          <w:spacing w:val="-2"/>
        </w:rPr>
        <w:t> </w:t>
      </w:r>
      <w:r>
        <w:rPr/>
        <w:t>disasters</w:t>
      </w:r>
      <w:r>
        <w:rPr>
          <w:spacing w:val="-1"/>
        </w:rPr>
        <w:t> </w:t>
      </w:r>
      <w:r>
        <w:rPr/>
        <w:t>across</w:t>
      </w:r>
      <w:r>
        <w:rPr>
          <w:spacing w:val="-4"/>
        </w:rPr>
        <w:t> </w:t>
      </w:r>
      <w:r>
        <w:rPr/>
        <w:t>North</w:t>
      </w:r>
      <w:r>
        <w:rPr>
          <w:spacing w:val="-2"/>
        </w:rPr>
        <w:t> </w:t>
      </w:r>
      <w:r>
        <w:rPr/>
        <w:t>America,</w:t>
      </w:r>
      <w:r>
        <w:rPr>
          <w:spacing w:val="-3"/>
        </w:rPr>
        <w:t> </w:t>
      </w:r>
      <w:r>
        <w:rPr/>
        <w:t>Europe</w:t>
      </w:r>
      <w:r>
        <w:rPr>
          <w:spacing w:val="-2"/>
        </w:rPr>
        <w:t> </w:t>
      </w:r>
      <w:r>
        <w:rPr/>
        <w:t>and</w:t>
      </w:r>
      <w:r>
        <w:rPr>
          <w:spacing w:val="-4"/>
        </w:rPr>
        <w:t> </w:t>
      </w:r>
      <w:r>
        <w:rPr/>
        <w:t>Asia have resulted in around 50 fatalities and many hundreds more injured; town evacuations; and damage to major roads and infrastructure.</w:t>
      </w:r>
    </w:p>
    <w:p>
      <w:pPr>
        <w:pStyle w:val="BodyText"/>
        <w:rPr>
          <w:sz w:val="21"/>
        </w:rPr>
      </w:pPr>
    </w:p>
    <w:p>
      <w:pPr>
        <w:pStyle w:val="BodyText"/>
        <w:spacing w:line="288" w:lineRule="auto"/>
        <w:ind w:left="600" w:right="713"/>
      </w:pPr>
      <w:r>
        <w:rPr/>
        <w:t>By contrast, the Australian pipeline industry has no recorded fatalities associated with pipeline damage and far lower injury rates. Deloitte Access Economics (2016) in its regulatory impact statement (RIS) for the Proposed Pipelines Regulations commented in December 2016 that the absence of such severe incidents in Australia, particularly when compared</w:t>
      </w:r>
      <w:r>
        <w:rPr>
          <w:spacing w:val="-1"/>
        </w:rPr>
        <w:t> </w:t>
      </w:r>
      <w:r>
        <w:rPr/>
        <w:t>to</w:t>
      </w:r>
      <w:r>
        <w:rPr>
          <w:spacing w:val="-1"/>
        </w:rPr>
        <w:t> </w:t>
      </w:r>
      <w:r>
        <w:rPr/>
        <w:t>some international jurisdictions, is likely</w:t>
      </w:r>
      <w:r>
        <w:rPr>
          <w:spacing w:val="-1"/>
        </w:rPr>
        <w:t> </w:t>
      </w:r>
      <w:r>
        <w:rPr/>
        <w:t>to be due</w:t>
      </w:r>
      <w:r>
        <w:rPr>
          <w:spacing w:val="-1"/>
        </w:rPr>
        <w:t> </w:t>
      </w:r>
      <w:r>
        <w:rPr/>
        <w:t>to</w:t>
      </w:r>
      <w:r>
        <w:rPr>
          <w:spacing w:val="-1"/>
        </w:rPr>
        <w:t> </w:t>
      </w:r>
      <w:r>
        <w:rPr/>
        <w:t>the</w:t>
      </w:r>
      <w:r>
        <w:rPr>
          <w:spacing w:val="-4"/>
        </w:rPr>
        <w:t> </w:t>
      </w:r>
      <w:r>
        <w:rPr/>
        <w:t>generally</w:t>
      </w:r>
      <w:r>
        <w:rPr>
          <w:spacing w:val="-1"/>
        </w:rPr>
        <w:t> </w:t>
      </w:r>
      <w:r>
        <w:rPr/>
        <w:t>high level of compliance</w:t>
      </w:r>
      <w:r>
        <w:rPr>
          <w:spacing w:val="-3"/>
        </w:rPr>
        <w:t> </w:t>
      </w:r>
      <w:r>
        <w:rPr/>
        <w:t>with</w:t>
      </w:r>
      <w:r>
        <w:rPr>
          <w:spacing w:val="-3"/>
        </w:rPr>
        <w:t> </w:t>
      </w:r>
      <w:r>
        <w:rPr/>
        <w:t>regulatory</w:t>
      </w:r>
      <w:r>
        <w:rPr>
          <w:spacing w:val="-5"/>
        </w:rPr>
        <w:t> </w:t>
      </w:r>
      <w:r>
        <w:rPr/>
        <w:t>requirements,</w:t>
      </w:r>
      <w:r>
        <w:rPr>
          <w:spacing w:val="-4"/>
        </w:rPr>
        <w:t> </w:t>
      </w:r>
      <w:r>
        <w:rPr/>
        <w:t>the</w:t>
      </w:r>
      <w:r>
        <w:rPr>
          <w:spacing w:val="-5"/>
        </w:rPr>
        <w:t> </w:t>
      </w:r>
      <w:r>
        <w:rPr/>
        <w:t>fact that</w:t>
      </w:r>
      <w:r>
        <w:rPr>
          <w:spacing w:val="-4"/>
        </w:rPr>
        <w:t> </w:t>
      </w:r>
      <w:r>
        <w:rPr/>
        <w:t>the</w:t>
      </w:r>
      <w:r>
        <w:rPr>
          <w:spacing w:val="-5"/>
        </w:rPr>
        <w:t> </w:t>
      </w:r>
      <w:r>
        <w:rPr/>
        <w:t>majority</w:t>
      </w:r>
      <w:r>
        <w:rPr>
          <w:spacing w:val="-5"/>
        </w:rPr>
        <w:t> </w:t>
      </w:r>
      <w:r>
        <w:rPr/>
        <w:t>of pipelines</w:t>
      </w:r>
      <w:r>
        <w:rPr>
          <w:spacing w:val="-2"/>
        </w:rPr>
        <w:t> </w:t>
      </w:r>
      <w:r>
        <w:rPr/>
        <w:t>are</w:t>
      </w:r>
      <w:r>
        <w:rPr>
          <w:spacing w:val="-5"/>
        </w:rPr>
        <w:t> </w:t>
      </w:r>
      <w:r>
        <w:rPr/>
        <w:t>owned</w:t>
      </w:r>
      <w:r>
        <w:rPr>
          <w:spacing w:val="-3"/>
        </w:rPr>
        <w:t> </w:t>
      </w:r>
      <w:r>
        <w:rPr/>
        <w:t>or operated by generally large and experienced firms, as well as locational issues and the age profile of the pipelines.</w:t>
      </w:r>
    </w:p>
    <w:p>
      <w:pPr>
        <w:pStyle w:val="BodyText"/>
        <w:spacing w:before="10"/>
        <w:rPr>
          <w:sz w:val="20"/>
        </w:rPr>
      </w:pPr>
    </w:p>
    <w:p>
      <w:pPr>
        <w:pStyle w:val="BodyText"/>
        <w:spacing w:line="288" w:lineRule="auto"/>
        <w:ind w:left="600" w:right="910"/>
      </w:pPr>
      <w:r>
        <w:rPr/>
        <w:t>The table below shows reportable gas safety incidents in Victoria in the last decade. A reportable</w:t>
      </w:r>
      <w:r>
        <w:rPr>
          <w:spacing w:val="-2"/>
        </w:rPr>
        <w:t> </w:t>
      </w:r>
      <w:r>
        <w:rPr/>
        <w:t>safety</w:t>
      </w:r>
      <w:r>
        <w:rPr>
          <w:spacing w:val="-4"/>
        </w:rPr>
        <w:t> </w:t>
      </w:r>
      <w:r>
        <w:rPr/>
        <w:t>incident</w:t>
      </w:r>
      <w:r>
        <w:rPr>
          <w:spacing w:val="-1"/>
        </w:rPr>
        <w:t> </w:t>
      </w:r>
      <w:r>
        <w:rPr/>
        <w:t>is</w:t>
      </w:r>
      <w:r>
        <w:rPr>
          <w:spacing w:val="-1"/>
        </w:rPr>
        <w:t> </w:t>
      </w:r>
      <w:r>
        <w:rPr/>
        <w:t>defined</w:t>
      </w:r>
      <w:r>
        <w:rPr>
          <w:spacing w:val="-2"/>
        </w:rPr>
        <w:t> </w:t>
      </w:r>
      <w:r>
        <w:rPr/>
        <w:t>by</w:t>
      </w:r>
      <w:r>
        <w:rPr>
          <w:spacing w:val="-4"/>
        </w:rPr>
        <w:t> </w:t>
      </w:r>
      <w:r>
        <w:rPr/>
        <w:t>the</w:t>
      </w:r>
      <w:r>
        <w:rPr>
          <w:spacing w:val="-4"/>
        </w:rPr>
        <w:t> </w:t>
      </w:r>
      <w:r>
        <w:rPr>
          <w:i/>
        </w:rPr>
        <w:t>Gas</w:t>
      </w:r>
      <w:r>
        <w:rPr>
          <w:i/>
          <w:spacing w:val="-2"/>
        </w:rPr>
        <w:t> </w:t>
      </w:r>
      <w:r>
        <w:rPr>
          <w:i/>
        </w:rPr>
        <w:t>Safety</w:t>
      </w:r>
      <w:r>
        <w:rPr>
          <w:i/>
          <w:spacing w:val="-4"/>
        </w:rPr>
        <w:t> </w:t>
      </w:r>
      <w:r>
        <w:rPr>
          <w:i/>
        </w:rPr>
        <w:t>Act</w:t>
      </w:r>
      <w:r>
        <w:rPr>
          <w:i/>
          <w:spacing w:val="-3"/>
        </w:rPr>
        <w:t> </w:t>
      </w:r>
      <w:r>
        <w:rPr>
          <w:i/>
        </w:rPr>
        <w:t>1997</w:t>
      </w:r>
      <w:r>
        <w:rPr>
          <w:i/>
          <w:spacing w:val="-1"/>
        </w:rPr>
        <w:t> </w:t>
      </w:r>
      <w:r>
        <w:rPr/>
        <w:t>as</w:t>
      </w:r>
      <w:r>
        <w:rPr>
          <w:spacing w:val="-1"/>
        </w:rPr>
        <w:t> </w:t>
      </w:r>
      <w:r>
        <w:rPr/>
        <w:t>an</w:t>
      </w:r>
      <w:r>
        <w:rPr>
          <w:spacing w:val="-4"/>
        </w:rPr>
        <w:t> </w:t>
      </w:r>
      <w:r>
        <w:rPr/>
        <w:t>incident</w:t>
      </w:r>
      <w:r>
        <w:rPr>
          <w:spacing w:val="-1"/>
        </w:rPr>
        <w:t> </w:t>
      </w:r>
      <w:r>
        <w:rPr/>
        <w:t>or</w:t>
      </w:r>
      <w:r>
        <w:rPr>
          <w:spacing w:val="-1"/>
        </w:rPr>
        <w:t> </w:t>
      </w:r>
      <w:r>
        <w:rPr/>
        <w:t>event relating to:</w:t>
      </w:r>
    </w:p>
    <w:p>
      <w:pPr>
        <w:pStyle w:val="BodyText"/>
        <w:spacing w:before="10"/>
        <w:rPr>
          <w:sz w:val="20"/>
        </w:rPr>
      </w:pPr>
    </w:p>
    <w:p>
      <w:pPr>
        <w:spacing w:line="288" w:lineRule="auto" w:before="0"/>
        <w:ind w:left="1166" w:right="1369" w:firstLine="0"/>
        <w:jc w:val="left"/>
        <w:rPr>
          <w:i/>
          <w:sz w:val="22"/>
        </w:rPr>
      </w:pPr>
      <w:r>
        <w:rPr>
          <w:i/>
          <w:sz w:val="22"/>
        </w:rPr>
        <w:t>“the</w:t>
      </w:r>
      <w:r>
        <w:rPr>
          <w:i/>
          <w:spacing w:val="-4"/>
          <w:sz w:val="22"/>
        </w:rPr>
        <w:t> </w:t>
      </w:r>
      <w:r>
        <w:rPr>
          <w:i/>
          <w:sz w:val="22"/>
        </w:rPr>
        <w:t>conveyance,</w:t>
      </w:r>
      <w:r>
        <w:rPr>
          <w:i/>
          <w:spacing w:val="-3"/>
          <w:sz w:val="22"/>
        </w:rPr>
        <w:t> </w:t>
      </w:r>
      <w:r>
        <w:rPr>
          <w:i/>
          <w:sz w:val="22"/>
        </w:rPr>
        <w:t>supply</w:t>
      </w:r>
      <w:r>
        <w:rPr>
          <w:i/>
          <w:spacing w:val="-4"/>
          <w:sz w:val="22"/>
        </w:rPr>
        <w:t> </w:t>
      </w:r>
      <w:r>
        <w:rPr>
          <w:i/>
          <w:sz w:val="22"/>
        </w:rPr>
        <w:t>or</w:t>
      </w:r>
      <w:r>
        <w:rPr>
          <w:i/>
          <w:spacing w:val="-1"/>
          <w:sz w:val="22"/>
        </w:rPr>
        <w:t> </w:t>
      </w:r>
      <w:r>
        <w:rPr>
          <w:i/>
          <w:sz w:val="22"/>
        </w:rPr>
        <w:t>use</w:t>
      </w:r>
      <w:r>
        <w:rPr>
          <w:i/>
          <w:spacing w:val="-4"/>
          <w:sz w:val="22"/>
        </w:rPr>
        <w:t> </w:t>
      </w:r>
      <w:r>
        <w:rPr>
          <w:i/>
          <w:sz w:val="22"/>
        </w:rPr>
        <w:t>of</w:t>
      </w:r>
      <w:r>
        <w:rPr>
          <w:i/>
          <w:spacing w:val="-3"/>
          <w:sz w:val="22"/>
        </w:rPr>
        <w:t> </w:t>
      </w:r>
      <w:r>
        <w:rPr>
          <w:i/>
          <w:sz w:val="22"/>
        </w:rPr>
        <w:t>gas</w:t>
      </w:r>
      <w:r>
        <w:rPr>
          <w:i/>
          <w:spacing w:val="-4"/>
          <w:sz w:val="22"/>
        </w:rPr>
        <w:t> </w:t>
      </w:r>
      <w:r>
        <w:rPr>
          <w:i/>
          <w:sz w:val="22"/>
        </w:rPr>
        <w:t>which</w:t>
      </w:r>
      <w:r>
        <w:rPr>
          <w:i/>
          <w:spacing w:val="-4"/>
          <w:sz w:val="22"/>
        </w:rPr>
        <w:t> </w:t>
      </w:r>
      <w:r>
        <w:rPr>
          <w:i/>
          <w:sz w:val="22"/>
        </w:rPr>
        <w:t>causes</w:t>
      </w:r>
      <w:r>
        <w:rPr>
          <w:i/>
          <w:spacing w:val="-2"/>
          <w:sz w:val="22"/>
        </w:rPr>
        <w:t> </w:t>
      </w:r>
      <w:r>
        <w:rPr>
          <w:i/>
          <w:sz w:val="22"/>
        </w:rPr>
        <w:t>or</w:t>
      </w:r>
      <w:r>
        <w:rPr>
          <w:i/>
          <w:spacing w:val="-3"/>
          <w:sz w:val="22"/>
        </w:rPr>
        <w:t> </w:t>
      </w:r>
      <w:r>
        <w:rPr>
          <w:i/>
          <w:sz w:val="22"/>
        </w:rPr>
        <w:t>has</w:t>
      </w:r>
      <w:r>
        <w:rPr>
          <w:i/>
          <w:spacing w:val="-4"/>
          <w:sz w:val="22"/>
        </w:rPr>
        <w:t> </w:t>
      </w:r>
      <w:r>
        <w:rPr>
          <w:i/>
          <w:sz w:val="22"/>
        </w:rPr>
        <w:t>the</w:t>
      </w:r>
      <w:r>
        <w:rPr>
          <w:i/>
          <w:spacing w:val="-4"/>
          <w:sz w:val="22"/>
        </w:rPr>
        <w:t> </w:t>
      </w:r>
      <w:r>
        <w:rPr>
          <w:i/>
          <w:sz w:val="22"/>
        </w:rPr>
        <w:t>potential</w:t>
      </w:r>
      <w:r>
        <w:rPr>
          <w:i/>
          <w:spacing w:val="-3"/>
          <w:sz w:val="22"/>
        </w:rPr>
        <w:t> </w:t>
      </w:r>
      <w:r>
        <w:rPr>
          <w:i/>
          <w:sz w:val="22"/>
        </w:rPr>
        <w:t>to cause —</w:t>
      </w:r>
    </w:p>
    <w:p>
      <w:pPr>
        <w:pStyle w:val="ListParagraph"/>
        <w:numPr>
          <w:ilvl w:val="0"/>
          <w:numId w:val="25"/>
        </w:numPr>
        <w:tabs>
          <w:tab w:pos="2232" w:val="left" w:leader="none"/>
        </w:tabs>
        <w:spacing w:line="240" w:lineRule="auto" w:before="0" w:after="0"/>
        <w:ind w:left="2232" w:right="0" w:hanging="576"/>
        <w:jc w:val="left"/>
        <w:rPr>
          <w:i/>
          <w:sz w:val="22"/>
        </w:rPr>
      </w:pPr>
      <w:r>
        <w:rPr>
          <w:i/>
          <w:sz w:val="22"/>
        </w:rPr>
        <w:t>the</w:t>
      </w:r>
      <w:r>
        <w:rPr>
          <w:i/>
          <w:spacing w:val="-6"/>
          <w:sz w:val="22"/>
        </w:rPr>
        <w:t> </w:t>
      </w:r>
      <w:r>
        <w:rPr>
          <w:i/>
          <w:sz w:val="22"/>
        </w:rPr>
        <w:t>death</w:t>
      </w:r>
      <w:r>
        <w:rPr>
          <w:i/>
          <w:spacing w:val="-3"/>
          <w:sz w:val="22"/>
        </w:rPr>
        <w:t> </w:t>
      </w:r>
      <w:r>
        <w:rPr>
          <w:i/>
          <w:sz w:val="22"/>
        </w:rPr>
        <w:t>of</w:t>
      </w:r>
      <w:r>
        <w:rPr>
          <w:i/>
          <w:spacing w:val="-1"/>
          <w:sz w:val="22"/>
        </w:rPr>
        <w:t> </w:t>
      </w:r>
      <w:r>
        <w:rPr>
          <w:i/>
          <w:sz w:val="22"/>
        </w:rPr>
        <w:t>or</w:t>
      </w:r>
      <w:r>
        <w:rPr>
          <w:i/>
          <w:spacing w:val="-2"/>
          <w:sz w:val="22"/>
        </w:rPr>
        <w:t> </w:t>
      </w:r>
      <w:r>
        <w:rPr>
          <w:i/>
          <w:sz w:val="22"/>
        </w:rPr>
        <w:t>injury</w:t>
      </w:r>
      <w:r>
        <w:rPr>
          <w:i/>
          <w:spacing w:val="-4"/>
          <w:sz w:val="22"/>
        </w:rPr>
        <w:t> </w:t>
      </w:r>
      <w:r>
        <w:rPr>
          <w:i/>
          <w:sz w:val="22"/>
        </w:rPr>
        <w:t>to</w:t>
      </w:r>
      <w:r>
        <w:rPr>
          <w:i/>
          <w:spacing w:val="-5"/>
          <w:sz w:val="22"/>
        </w:rPr>
        <w:t> </w:t>
      </w:r>
      <w:r>
        <w:rPr>
          <w:i/>
          <w:sz w:val="22"/>
        </w:rPr>
        <w:t>a person;</w:t>
      </w:r>
      <w:r>
        <w:rPr>
          <w:i/>
          <w:spacing w:val="-4"/>
          <w:sz w:val="22"/>
        </w:rPr>
        <w:t> </w:t>
      </w:r>
      <w:r>
        <w:rPr>
          <w:i/>
          <w:spacing w:val="-5"/>
          <w:sz w:val="22"/>
        </w:rPr>
        <w:t>or</w:t>
      </w:r>
    </w:p>
    <w:p>
      <w:pPr>
        <w:pStyle w:val="ListParagraph"/>
        <w:numPr>
          <w:ilvl w:val="0"/>
          <w:numId w:val="25"/>
        </w:numPr>
        <w:tabs>
          <w:tab w:pos="2232" w:val="left" w:leader="none"/>
        </w:tabs>
        <w:spacing w:line="240" w:lineRule="auto" w:before="52" w:after="0"/>
        <w:ind w:left="2232" w:right="0" w:hanging="576"/>
        <w:jc w:val="left"/>
        <w:rPr>
          <w:i/>
          <w:sz w:val="22"/>
        </w:rPr>
      </w:pPr>
      <w:r>
        <w:rPr>
          <w:i/>
          <w:sz w:val="22"/>
        </w:rPr>
        <w:t>significant</w:t>
      </w:r>
      <w:r>
        <w:rPr>
          <w:i/>
          <w:spacing w:val="-9"/>
          <w:sz w:val="22"/>
        </w:rPr>
        <w:t> </w:t>
      </w:r>
      <w:r>
        <w:rPr>
          <w:i/>
          <w:sz w:val="22"/>
        </w:rPr>
        <w:t>damage</w:t>
      </w:r>
      <w:r>
        <w:rPr>
          <w:i/>
          <w:spacing w:val="-9"/>
          <w:sz w:val="22"/>
        </w:rPr>
        <w:t> </w:t>
      </w:r>
      <w:r>
        <w:rPr>
          <w:i/>
          <w:sz w:val="22"/>
        </w:rPr>
        <w:t>to</w:t>
      </w:r>
      <w:r>
        <w:rPr>
          <w:i/>
          <w:spacing w:val="-7"/>
          <w:sz w:val="22"/>
        </w:rPr>
        <w:t> </w:t>
      </w:r>
      <w:r>
        <w:rPr>
          <w:i/>
          <w:sz w:val="22"/>
        </w:rPr>
        <w:t>property;</w:t>
      </w:r>
      <w:r>
        <w:rPr>
          <w:i/>
          <w:spacing w:val="-5"/>
          <w:sz w:val="22"/>
        </w:rPr>
        <w:t> or</w:t>
      </w:r>
    </w:p>
    <w:p>
      <w:pPr>
        <w:pStyle w:val="ListParagraph"/>
        <w:numPr>
          <w:ilvl w:val="0"/>
          <w:numId w:val="25"/>
        </w:numPr>
        <w:tabs>
          <w:tab w:pos="2220" w:val="left" w:leader="none"/>
        </w:tabs>
        <w:spacing w:line="240" w:lineRule="auto" w:before="49" w:after="0"/>
        <w:ind w:left="2220" w:right="0" w:hanging="564"/>
        <w:jc w:val="left"/>
        <w:rPr>
          <w:i/>
          <w:sz w:val="22"/>
        </w:rPr>
      </w:pPr>
      <w:r>
        <w:rPr>
          <w:i/>
          <w:sz w:val="22"/>
        </w:rPr>
        <w:t>an</w:t>
      </w:r>
      <w:r>
        <w:rPr>
          <w:i/>
          <w:spacing w:val="-3"/>
          <w:sz w:val="22"/>
        </w:rPr>
        <w:t> </w:t>
      </w:r>
      <w:r>
        <w:rPr>
          <w:i/>
          <w:spacing w:val="-2"/>
          <w:sz w:val="22"/>
        </w:rPr>
        <w:t>explosion.”</w:t>
      </w:r>
    </w:p>
    <w:p>
      <w:pPr>
        <w:spacing w:after="0" w:line="240" w:lineRule="auto"/>
        <w:jc w:val="left"/>
        <w:rPr>
          <w:sz w:val="22"/>
        </w:rPr>
        <w:sectPr>
          <w:pgSz w:w="11910" w:h="16840"/>
          <w:pgMar w:header="887" w:footer="1243" w:top="1080" w:bottom="1500" w:left="840" w:right="820"/>
        </w:sectPr>
      </w:pPr>
    </w:p>
    <w:p>
      <w:pPr>
        <w:pStyle w:val="BodyText"/>
        <w:rPr>
          <w:i/>
          <w:sz w:val="20"/>
        </w:rPr>
      </w:pPr>
    </w:p>
    <w:p>
      <w:pPr>
        <w:pStyle w:val="BodyText"/>
        <w:rPr>
          <w:i/>
          <w:sz w:val="20"/>
        </w:rPr>
      </w:pPr>
    </w:p>
    <w:p>
      <w:pPr>
        <w:pStyle w:val="BodyText"/>
        <w:spacing w:before="5"/>
        <w:rPr>
          <w:i/>
        </w:rPr>
      </w:pPr>
    </w:p>
    <w:p>
      <w:pPr>
        <w:pStyle w:val="BodyText"/>
        <w:ind w:left="600"/>
      </w:pPr>
      <w:r>
        <w:rPr/>
        <w:t>These</w:t>
      </w:r>
      <w:r>
        <w:rPr>
          <w:spacing w:val="-10"/>
        </w:rPr>
        <w:t> </w:t>
      </w:r>
      <w:r>
        <w:rPr/>
        <w:t>incidents</w:t>
      </w:r>
      <w:r>
        <w:rPr>
          <w:spacing w:val="-4"/>
        </w:rPr>
        <w:t> </w:t>
      </w:r>
      <w:r>
        <w:rPr/>
        <w:t>listed</w:t>
      </w:r>
      <w:r>
        <w:rPr>
          <w:spacing w:val="-7"/>
        </w:rPr>
        <w:t> </w:t>
      </w:r>
      <w:r>
        <w:rPr/>
        <w:t>below,</w:t>
      </w:r>
      <w:r>
        <w:rPr>
          <w:spacing w:val="-4"/>
        </w:rPr>
        <w:t> </w:t>
      </w:r>
      <w:r>
        <w:rPr/>
        <w:t>while</w:t>
      </w:r>
      <w:r>
        <w:rPr>
          <w:spacing w:val="-5"/>
        </w:rPr>
        <w:t> </w:t>
      </w:r>
      <w:r>
        <w:rPr/>
        <w:t>serious,</w:t>
      </w:r>
      <w:r>
        <w:rPr>
          <w:spacing w:val="-4"/>
        </w:rPr>
        <w:t> </w:t>
      </w:r>
      <w:r>
        <w:rPr/>
        <w:t>have</w:t>
      </w:r>
      <w:r>
        <w:rPr>
          <w:spacing w:val="-6"/>
        </w:rPr>
        <w:t> </w:t>
      </w:r>
      <w:r>
        <w:rPr/>
        <w:t>generally</w:t>
      </w:r>
      <w:r>
        <w:rPr>
          <w:spacing w:val="-7"/>
        </w:rPr>
        <w:t> </w:t>
      </w:r>
      <w:r>
        <w:rPr/>
        <w:t>been</w:t>
      </w:r>
      <w:r>
        <w:rPr>
          <w:spacing w:val="-6"/>
        </w:rPr>
        <w:t> </w:t>
      </w:r>
      <w:r>
        <w:rPr/>
        <w:t>limited</w:t>
      </w:r>
      <w:r>
        <w:rPr>
          <w:spacing w:val="-5"/>
        </w:rPr>
        <w:t> </w:t>
      </w:r>
      <w:r>
        <w:rPr/>
        <w:t>in</w:t>
      </w:r>
      <w:r>
        <w:rPr>
          <w:spacing w:val="-8"/>
        </w:rPr>
        <w:t> </w:t>
      </w:r>
      <w:r>
        <w:rPr/>
        <w:t>their</w:t>
      </w:r>
      <w:r>
        <w:rPr>
          <w:spacing w:val="-4"/>
        </w:rPr>
        <w:t> </w:t>
      </w:r>
      <w:r>
        <w:rPr>
          <w:spacing w:val="-2"/>
        </w:rPr>
        <w:t>severity.</w:t>
      </w:r>
    </w:p>
    <w:p>
      <w:pPr>
        <w:pStyle w:val="BodyText"/>
        <w:spacing w:before="9"/>
        <w:rPr>
          <w:sz w:val="35"/>
        </w:rPr>
      </w:pPr>
    </w:p>
    <w:p>
      <w:pPr>
        <w:spacing w:before="0"/>
        <w:ind w:left="600" w:right="0" w:firstLine="0"/>
        <w:jc w:val="left"/>
        <w:rPr>
          <w:b/>
          <w:sz w:val="22"/>
        </w:rPr>
      </w:pPr>
      <w:r>
        <w:rPr>
          <w:b/>
          <w:sz w:val="22"/>
        </w:rPr>
        <w:t>Table</w:t>
      </w:r>
      <w:r>
        <w:rPr>
          <w:b/>
          <w:spacing w:val="-6"/>
          <w:sz w:val="22"/>
        </w:rPr>
        <w:t> </w:t>
      </w:r>
      <w:r>
        <w:rPr>
          <w:b/>
          <w:sz w:val="22"/>
        </w:rPr>
        <w:t>1:</w:t>
      </w:r>
      <w:r>
        <w:rPr>
          <w:b/>
          <w:spacing w:val="-3"/>
          <w:sz w:val="22"/>
        </w:rPr>
        <w:t> </w:t>
      </w:r>
      <w:r>
        <w:rPr>
          <w:b/>
          <w:sz w:val="22"/>
        </w:rPr>
        <w:t>Victoria</w:t>
      </w:r>
      <w:r>
        <w:rPr>
          <w:b/>
          <w:spacing w:val="-8"/>
          <w:sz w:val="22"/>
        </w:rPr>
        <w:t> </w:t>
      </w:r>
      <w:r>
        <w:rPr>
          <w:b/>
          <w:sz w:val="22"/>
        </w:rPr>
        <w:t>reportable</w:t>
      </w:r>
      <w:r>
        <w:rPr>
          <w:b/>
          <w:spacing w:val="-5"/>
          <w:sz w:val="22"/>
        </w:rPr>
        <w:t> </w:t>
      </w:r>
      <w:r>
        <w:rPr>
          <w:b/>
          <w:sz w:val="22"/>
        </w:rPr>
        <w:t>safety</w:t>
      </w:r>
      <w:r>
        <w:rPr>
          <w:b/>
          <w:spacing w:val="-9"/>
          <w:sz w:val="22"/>
        </w:rPr>
        <w:t> </w:t>
      </w:r>
      <w:r>
        <w:rPr>
          <w:b/>
          <w:sz w:val="22"/>
        </w:rPr>
        <w:t>incidents</w:t>
      </w:r>
      <w:r>
        <w:rPr>
          <w:b/>
          <w:spacing w:val="-7"/>
          <w:sz w:val="22"/>
        </w:rPr>
        <w:t> </w:t>
      </w:r>
      <w:r>
        <w:rPr>
          <w:b/>
          <w:sz w:val="22"/>
        </w:rPr>
        <w:t>since</w:t>
      </w:r>
      <w:r>
        <w:rPr>
          <w:b/>
          <w:spacing w:val="-5"/>
          <w:sz w:val="22"/>
        </w:rPr>
        <w:t> </w:t>
      </w:r>
      <w:r>
        <w:rPr>
          <w:b/>
          <w:spacing w:val="-4"/>
          <w:sz w:val="22"/>
        </w:rPr>
        <w:t>2007</w:t>
      </w:r>
    </w:p>
    <w:p>
      <w:pPr>
        <w:pStyle w:val="BodyText"/>
        <w:spacing w:before="8" w:after="1"/>
        <w:rPr>
          <w:b/>
          <w:sz w:val="14"/>
        </w:r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49"/>
        <w:gridCol w:w="1933"/>
        <w:gridCol w:w="2548"/>
        <w:gridCol w:w="2836"/>
      </w:tblGrid>
      <w:tr>
        <w:trPr>
          <w:trHeight w:val="820" w:hRule="atLeast"/>
        </w:trPr>
        <w:tc>
          <w:tcPr>
            <w:tcW w:w="2149" w:type="dxa"/>
            <w:tcBorders>
              <w:top w:val="single" w:sz="4" w:space="0" w:color="A6A6A6"/>
              <w:left w:val="single" w:sz="4" w:space="0" w:color="A6A6A6"/>
            </w:tcBorders>
            <w:shd w:val="clear" w:color="auto" w:fill="D9D9D9"/>
          </w:tcPr>
          <w:p>
            <w:pPr>
              <w:pStyle w:val="TableParagraph"/>
              <w:spacing w:before="122"/>
              <w:ind w:left="108"/>
              <w:rPr>
                <w:b/>
                <w:sz w:val="21"/>
              </w:rPr>
            </w:pPr>
            <w:r>
              <w:rPr>
                <w:b/>
                <w:sz w:val="21"/>
              </w:rPr>
              <w:t>Incident</w:t>
            </w:r>
            <w:r>
              <w:rPr>
                <w:b/>
                <w:spacing w:val="-11"/>
                <w:sz w:val="21"/>
              </w:rPr>
              <w:t> </w:t>
            </w:r>
            <w:r>
              <w:rPr>
                <w:b/>
                <w:spacing w:val="-4"/>
                <w:sz w:val="21"/>
              </w:rPr>
              <w:t>date</w:t>
            </w:r>
          </w:p>
        </w:tc>
        <w:tc>
          <w:tcPr>
            <w:tcW w:w="1933" w:type="dxa"/>
            <w:tcBorders>
              <w:top w:val="single" w:sz="4" w:space="0" w:color="A6A6A6"/>
            </w:tcBorders>
            <w:shd w:val="clear" w:color="auto" w:fill="D9D9D9"/>
          </w:tcPr>
          <w:p>
            <w:pPr>
              <w:pStyle w:val="TableParagraph"/>
              <w:spacing w:line="285" w:lineRule="auto" w:before="122"/>
              <w:ind w:left="198" w:right="925"/>
              <w:rPr>
                <w:b/>
                <w:sz w:val="21"/>
              </w:rPr>
            </w:pPr>
            <w:r>
              <w:rPr>
                <w:b/>
                <w:spacing w:val="-2"/>
                <w:sz w:val="21"/>
              </w:rPr>
              <w:t>Incident location</w:t>
            </w:r>
          </w:p>
        </w:tc>
        <w:tc>
          <w:tcPr>
            <w:tcW w:w="2548" w:type="dxa"/>
            <w:tcBorders>
              <w:top w:val="single" w:sz="4" w:space="0" w:color="A6A6A6"/>
            </w:tcBorders>
            <w:shd w:val="clear" w:color="auto" w:fill="D9D9D9"/>
          </w:tcPr>
          <w:p>
            <w:pPr>
              <w:pStyle w:val="TableParagraph"/>
              <w:spacing w:before="122"/>
              <w:ind w:left="118"/>
              <w:rPr>
                <w:b/>
                <w:sz w:val="21"/>
              </w:rPr>
            </w:pPr>
            <w:r>
              <w:rPr>
                <w:b/>
                <w:sz w:val="21"/>
              </w:rPr>
              <w:t>Incident</w:t>
            </w:r>
            <w:r>
              <w:rPr>
                <w:b/>
                <w:spacing w:val="-9"/>
                <w:sz w:val="21"/>
              </w:rPr>
              <w:t> </w:t>
            </w:r>
            <w:r>
              <w:rPr>
                <w:b/>
                <w:spacing w:val="-2"/>
                <w:sz w:val="21"/>
              </w:rPr>
              <w:t>description</w:t>
            </w:r>
          </w:p>
        </w:tc>
        <w:tc>
          <w:tcPr>
            <w:tcW w:w="2836" w:type="dxa"/>
            <w:tcBorders>
              <w:top w:val="single" w:sz="4" w:space="0" w:color="A6A6A6"/>
              <w:right w:val="single" w:sz="4" w:space="0" w:color="A6A6A6"/>
            </w:tcBorders>
            <w:shd w:val="clear" w:color="auto" w:fill="D9D9D9"/>
          </w:tcPr>
          <w:p>
            <w:pPr>
              <w:pStyle w:val="TableParagraph"/>
              <w:spacing w:before="122"/>
              <w:ind w:left="112"/>
              <w:rPr>
                <w:b/>
                <w:sz w:val="21"/>
              </w:rPr>
            </w:pPr>
            <w:r>
              <w:rPr>
                <w:b/>
                <w:spacing w:val="-2"/>
                <w:sz w:val="21"/>
              </w:rPr>
              <w:t>Impact</w:t>
            </w:r>
          </w:p>
        </w:tc>
      </w:tr>
      <w:tr>
        <w:trPr>
          <w:trHeight w:val="1108" w:hRule="atLeast"/>
        </w:trPr>
        <w:tc>
          <w:tcPr>
            <w:tcW w:w="2149" w:type="dxa"/>
            <w:tcBorders>
              <w:left w:val="single" w:sz="4" w:space="0" w:color="A6A6A6"/>
            </w:tcBorders>
          </w:tcPr>
          <w:p>
            <w:pPr>
              <w:pStyle w:val="TableParagraph"/>
              <w:spacing w:before="120"/>
              <w:ind w:left="108"/>
              <w:rPr>
                <w:sz w:val="21"/>
              </w:rPr>
            </w:pPr>
            <w:r>
              <w:rPr>
                <w:sz w:val="21"/>
              </w:rPr>
              <w:t>20</w:t>
            </w:r>
            <w:r>
              <w:rPr>
                <w:spacing w:val="-5"/>
                <w:sz w:val="21"/>
              </w:rPr>
              <w:t> </w:t>
            </w:r>
            <w:r>
              <w:rPr>
                <w:sz w:val="21"/>
              </w:rPr>
              <w:t>October</w:t>
            </w:r>
            <w:r>
              <w:rPr>
                <w:spacing w:val="-3"/>
                <w:sz w:val="21"/>
              </w:rPr>
              <w:t> </w:t>
            </w:r>
            <w:r>
              <w:rPr>
                <w:spacing w:val="-4"/>
                <w:sz w:val="21"/>
              </w:rPr>
              <w:t>2008</w:t>
            </w:r>
          </w:p>
        </w:tc>
        <w:tc>
          <w:tcPr>
            <w:tcW w:w="1933" w:type="dxa"/>
          </w:tcPr>
          <w:p>
            <w:pPr>
              <w:pStyle w:val="TableParagraph"/>
              <w:spacing w:line="288" w:lineRule="auto" w:before="120"/>
              <w:ind w:left="198" w:right="92"/>
              <w:rPr>
                <w:sz w:val="21"/>
              </w:rPr>
            </w:pPr>
            <w:r>
              <w:rPr>
                <w:spacing w:val="-2"/>
                <w:sz w:val="21"/>
              </w:rPr>
              <w:t>Pressure reduction </w:t>
            </w:r>
            <w:r>
              <w:rPr>
                <w:sz w:val="21"/>
              </w:rPr>
              <w:t>metering</w:t>
            </w:r>
            <w:r>
              <w:rPr>
                <w:spacing w:val="-15"/>
                <w:sz w:val="21"/>
              </w:rPr>
              <w:t> </w:t>
            </w:r>
            <w:r>
              <w:rPr>
                <w:sz w:val="21"/>
              </w:rPr>
              <w:t>station</w:t>
            </w:r>
          </w:p>
        </w:tc>
        <w:tc>
          <w:tcPr>
            <w:tcW w:w="2548" w:type="dxa"/>
          </w:tcPr>
          <w:p>
            <w:pPr>
              <w:pStyle w:val="TableParagraph"/>
              <w:spacing w:line="288" w:lineRule="auto" w:before="120"/>
              <w:ind w:left="118" w:right="533"/>
              <w:jc w:val="both"/>
              <w:rPr>
                <w:sz w:val="21"/>
              </w:rPr>
            </w:pPr>
            <w:r>
              <w:rPr>
                <w:sz w:val="21"/>
              </w:rPr>
              <w:t>Sudden</w:t>
            </w:r>
            <w:r>
              <w:rPr>
                <w:spacing w:val="-15"/>
                <w:sz w:val="21"/>
              </w:rPr>
              <w:t> </w:t>
            </w:r>
            <w:r>
              <w:rPr>
                <w:sz w:val="21"/>
              </w:rPr>
              <w:t>retraction</w:t>
            </w:r>
            <w:r>
              <w:rPr>
                <w:spacing w:val="-15"/>
                <w:sz w:val="21"/>
              </w:rPr>
              <w:t> </w:t>
            </w:r>
            <w:r>
              <w:rPr>
                <w:sz w:val="21"/>
              </w:rPr>
              <w:t>of Welker</w:t>
            </w:r>
            <w:r>
              <w:rPr>
                <w:spacing w:val="-15"/>
                <w:sz w:val="21"/>
              </w:rPr>
              <w:t> </w:t>
            </w:r>
            <w:r>
              <w:rPr>
                <w:sz w:val="21"/>
              </w:rPr>
              <w:t>probe</w:t>
            </w:r>
            <w:r>
              <w:rPr>
                <w:spacing w:val="-15"/>
                <w:sz w:val="21"/>
              </w:rPr>
              <w:t> </w:t>
            </w:r>
            <w:r>
              <w:rPr>
                <w:sz w:val="21"/>
              </w:rPr>
              <w:t>during </w:t>
            </w:r>
            <w:r>
              <w:rPr>
                <w:spacing w:val="-2"/>
                <w:sz w:val="21"/>
              </w:rPr>
              <w:t>maintenance.</w:t>
            </w:r>
          </w:p>
        </w:tc>
        <w:tc>
          <w:tcPr>
            <w:tcW w:w="2836" w:type="dxa"/>
            <w:tcBorders>
              <w:right w:val="single" w:sz="4" w:space="0" w:color="A6A6A6"/>
            </w:tcBorders>
          </w:tcPr>
          <w:p>
            <w:pPr>
              <w:pStyle w:val="TableParagraph"/>
              <w:spacing w:line="288" w:lineRule="auto" w:before="120"/>
              <w:ind w:left="112"/>
              <w:rPr>
                <w:sz w:val="21"/>
              </w:rPr>
            </w:pPr>
            <w:r>
              <w:rPr>
                <w:sz w:val="21"/>
              </w:rPr>
              <w:t>Maintenance operative suffered</w:t>
            </w:r>
            <w:r>
              <w:rPr>
                <w:spacing w:val="-12"/>
                <w:sz w:val="21"/>
              </w:rPr>
              <w:t> </w:t>
            </w:r>
            <w:r>
              <w:rPr>
                <w:sz w:val="21"/>
              </w:rPr>
              <w:t>soft</w:t>
            </w:r>
            <w:r>
              <w:rPr>
                <w:spacing w:val="-13"/>
                <w:sz w:val="21"/>
              </w:rPr>
              <w:t> </w:t>
            </w:r>
            <w:r>
              <w:rPr>
                <w:sz w:val="21"/>
              </w:rPr>
              <w:t>tissue</w:t>
            </w:r>
            <w:r>
              <w:rPr>
                <w:spacing w:val="-12"/>
                <w:sz w:val="21"/>
              </w:rPr>
              <w:t> </w:t>
            </w:r>
            <w:r>
              <w:rPr>
                <w:sz w:val="21"/>
              </w:rPr>
              <w:t>crush injury requiring surgery.</w:t>
            </w:r>
          </w:p>
        </w:tc>
      </w:tr>
      <w:tr>
        <w:trPr>
          <w:trHeight w:val="1690" w:hRule="atLeast"/>
        </w:trPr>
        <w:tc>
          <w:tcPr>
            <w:tcW w:w="2149" w:type="dxa"/>
            <w:tcBorders>
              <w:left w:val="single" w:sz="4" w:space="0" w:color="A6A6A6"/>
            </w:tcBorders>
            <w:shd w:val="clear" w:color="auto" w:fill="CDEBEB"/>
          </w:tcPr>
          <w:p>
            <w:pPr>
              <w:pStyle w:val="TableParagraph"/>
              <w:spacing w:before="119"/>
              <w:ind w:left="108"/>
              <w:rPr>
                <w:sz w:val="21"/>
              </w:rPr>
            </w:pPr>
            <w:r>
              <w:rPr>
                <w:sz w:val="21"/>
              </w:rPr>
              <w:t>13</w:t>
            </w:r>
            <w:r>
              <w:rPr>
                <w:spacing w:val="-7"/>
                <w:sz w:val="21"/>
              </w:rPr>
              <w:t> </w:t>
            </w:r>
            <w:r>
              <w:rPr>
                <w:sz w:val="21"/>
              </w:rPr>
              <w:t>November</w:t>
            </w:r>
            <w:r>
              <w:rPr>
                <w:spacing w:val="-5"/>
                <w:sz w:val="21"/>
              </w:rPr>
              <w:t> </w:t>
            </w:r>
            <w:r>
              <w:rPr>
                <w:spacing w:val="-4"/>
                <w:sz w:val="21"/>
              </w:rPr>
              <w:t>2012</w:t>
            </w:r>
          </w:p>
        </w:tc>
        <w:tc>
          <w:tcPr>
            <w:tcW w:w="1933" w:type="dxa"/>
            <w:shd w:val="clear" w:color="auto" w:fill="CDEBEB"/>
          </w:tcPr>
          <w:p>
            <w:pPr>
              <w:pStyle w:val="TableParagraph"/>
              <w:spacing w:line="288" w:lineRule="auto" w:before="119"/>
              <w:ind w:left="198" w:right="92"/>
              <w:rPr>
                <w:sz w:val="21"/>
              </w:rPr>
            </w:pPr>
            <w:r>
              <w:rPr>
                <w:spacing w:val="-2"/>
                <w:sz w:val="21"/>
              </w:rPr>
              <w:t>Compressor station</w:t>
            </w:r>
          </w:p>
        </w:tc>
        <w:tc>
          <w:tcPr>
            <w:tcW w:w="2548" w:type="dxa"/>
            <w:shd w:val="clear" w:color="auto" w:fill="CDEBEB"/>
          </w:tcPr>
          <w:p>
            <w:pPr>
              <w:pStyle w:val="TableParagraph"/>
              <w:spacing w:line="288" w:lineRule="auto" w:before="119"/>
              <w:ind w:left="118" w:right="48"/>
              <w:rPr>
                <w:sz w:val="21"/>
              </w:rPr>
            </w:pPr>
            <w:r>
              <w:rPr>
                <w:sz w:val="21"/>
              </w:rPr>
              <w:t>Unrestrained</w:t>
            </w:r>
            <w:r>
              <w:rPr>
                <w:spacing w:val="-15"/>
                <w:sz w:val="21"/>
              </w:rPr>
              <w:t> </w:t>
            </w:r>
            <w:r>
              <w:rPr>
                <w:sz w:val="21"/>
              </w:rPr>
              <w:t>movement of gas turbine engine during compressor package maintenance.</w:t>
            </w:r>
          </w:p>
        </w:tc>
        <w:tc>
          <w:tcPr>
            <w:tcW w:w="2836" w:type="dxa"/>
            <w:tcBorders>
              <w:right w:val="single" w:sz="4" w:space="0" w:color="A6A6A6"/>
            </w:tcBorders>
            <w:shd w:val="clear" w:color="auto" w:fill="CDEBEB"/>
          </w:tcPr>
          <w:p>
            <w:pPr>
              <w:pStyle w:val="TableParagraph"/>
              <w:spacing w:line="288" w:lineRule="auto" w:before="119"/>
              <w:ind w:left="112" w:right="154"/>
              <w:rPr>
                <w:sz w:val="21"/>
              </w:rPr>
            </w:pPr>
            <w:r>
              <w:rPr>
                <w:sz w:val="21"/>
              </w:rPr>
              <w:t>Two injuries suffered by maintenance personnel, one requiring surgery and the</w:t>
            </w:r>
            <w:r>
              <w:rPr>
                <w:spacing w:val="-12"/>
                <w:sz w:val="21"/>
              </w:rPr>
              <w:t> </w:t>
            </w:r>
            <w:r>
              <w:rPr>
                <w:sz w:val="21"/>
              </w:rPr>
              <w:t>other</w:t>
            </w:r>
            <w:r>
              <w:rPr>
                <w:spacing w:val="-13"/>
                <w:sz w:val="21"/>
              </w:rPr>
              <w:t> </w:t>
            </w:r>
            <w:r>
              <w:rPr>
                <w:sz w:val="21"/>
              </w:rPr>
              <w:t>medical</w:t>
            </w:r>
            <w:r>
              <w:rPr>
                <w:spacing w:val="-12"/>
                <w:sz w:val="21"/>
              </w:rPr>
              <w:t> </w:t>
            </w:r>
            <w:r>
              <w:rPr>
                <w:sz w:val="21"/>
              </w:rPr>
              <w:t>treatment at hospital.</w:t>
            </w:r>
          </w:p>
        </w:tc>
      </w:tr>
      <w:tr>
        <w:trPr>
          <w:trHeight w:val="1108" w:hRule="atLeast"/>
        </w:trPr>
        <w:tc>
          <w:tcPr>
            <w:tcW w:w="2149" w:type="dxa"/>
            <w:tcBorders>
              <w:left w:val="single" w:sz="4" w:space="0" w:color="A6A6A6"/>
            </w:tcBorders>
          </w:tcPr>
          <w:p>
            <w:pPr>
              <w:pStyle w:val="TableParagraph"/>
              <w:spacing w:before="120"/>
              <w:ind w:left="108"/>
              <w:rPr>
                <w:sz w:val="21"/>
              </w:rPr>
            </w:pPr>
            <w:r>
              <w:rPr>
                <w:sz w:val="21"/>
              </w:rPr>
              <w:t>1</w:t>
            </w:r>
            <w:r>
              <w:rPr>
                <w:spacing w:val="-6"/>
                <w:sz w:val="21"/>
              </w:rPr>
              <w:t> </w:t>
            </w:r>
            <w:r>
              <w:rPr>
                <w:sz w:val="21"/>
              </w:rPr>
              <w:t>September</w:t>
            </w:r>
            <w:r>
              <w:rPr>
                <w:spacing w:val="-4"/>
                <w:sz w:val="21"/>
              </w:rPr>
              <w:t> 2014</w:t>
            </w:r>
          </w:p>
        </w:tc>
        <w:tc>
          <w:tcPr>
            <w:tcW w:w="1933" w:type="dxa"/>
          </w:tcPr>
          <w:p>
            <w:pPr>
              <w:pStyle w:val="TableParagraph"/>
              <w:spacing w:line="288" w:lineRule="auto" w:before="120"/>
              <w:ind w:left="198" w:right="667"/>
              <w:rPr>
                <w:sz w:val="21"/>
              </w:rPr>
            </w:pPr>
            <w:r>
              <w:rPr>
                <w:sz w:val="21"/>
              </w:rPr>
              <w:t>Longford</w:t>
            </w:r>
            <w:r>
              <w:rPr>
                <w:spacing w:val="-15"/>
                <w:sz w:val="21"/>
              </w:rPr>
              <w:t> </w:t>
            </w:r>
            <w:r>
              <w:rPr>
                <w:sz w:val="21"/>
              </w:rPr>
              <w:t>to </w:t>
            </w:r>
            <w:r>
              <w:rPr>
                <w:spacing w:val="-2"/>
                <w:sz w:val="21"/>
              </w:rPr>
              <w:t>Melbourne Pipeline</w:t>
            </w:r>
          </w:p>
        </w:tc>
        <w:tc>
          <w:tcPr>
            <w:tcW w:w="2548" w:type="dxa"/>
          </w:tcPr>
          <w:p>
            <w:pPr>
              <w:pStyle w:val="TableParagraph"/>
              <w:spacing w:line="288" w:lineRule="auto" w:before="120"/>
              <w:ind w:left="118"/>
              <w:rPr>
                <w:sz w:val="21"/>
              </w:rPr>
            </w:pPr>
            <w:r>
              <w:rPr>
                <w:sz w:val="21"/>
              </w:rPr>
              <w:t>Pipeline</w:t>
            </w:r>
            <w:r>
              <w:rPr>
                <w:spacing w:val="-15"/>
                <w:sz w:val="21"/>
              </w:rPr>
              <w:t> </w:t>
            </w:r>
            <w:r>
              <w:rPr>
                <w:sz w:val="21"/>
              </w:rPr>
              <w:t>damaged</w:t>
            </w:r>
            <w:r>
              <w:rPr>
                <w:spacing w:val="-15"/>
                <w:sz w:val="21"/>
              </w:rPr>
              <w:t> </w:t>
            </w:r>
            <w:r>
              <w:rPr>
                <w:sz w:val="21"/>
              </w:rPr>
              <w:t>during third party excavation </w:t>
            </w:r>
            <w:r>
              <w:rPr>
                <w:spacing w:val="-2"/>
                <w:sz w:val="21"/>
              </w:rPr>
              <w:t>works.</w:t>
            </w:r>
          </w:p>
        </w:tc>
        <w:tc>
          <w:tcPr>
            <w:tcW w:w="2836" w:type="dxa"/>
            <w:tcBorders>
              <w:right w:val="single" w:sz="4" w:space="0" w:color="A6A6A6"/>
            </w:tcBorders>
          </w:tcPr>
          <w:p>
            <w:pPr>
              <w:pStyle w:val="TableParagraph"/>
              <w:spacing w:line="288" w:lineRule="auto" w:before="120"/>
              <w:ind w:left="112"/>
              <w:rPr>
                <w:sz w:val="21"/>
              </w:rPr>
            </w:pPr>
            <w:r>
              <w:rPr>
                <w:sz w:val="21"/>
              </w:rPr>
              <w:t>Operating</w:t>
            </w:r>
            <w:r>
              <w:rPr>
                <w:spacing w:val="-15"/>
                <w:sz w:val="21"/>
              </w:rPr>
              <w:t> </w:t>
            </w:r>
            <w:r>
              <w:rPr>
                <w:sz w:val="21"/>
              </w:rPr>
              <w:t>pressure</w:t>
            </w:r>
            <w:r>
              <w:rPr>
                <w:spacing w:val="-15"/>
                <w:sz w:val="21"/>
              </w:rPr>
              <w:t> </w:t>
            </w:r>
            <w:r>
              <w:rPr>
                <w:sz w:val="21"/>
              </w:rPr>
              <w:t>reduced for safety and curtailment narrowly avoided.</w:t>
            </w:r>
          </w:p>
        </w:tc>
      </w:tr>
      <w:tr>
        <w:trPr>
          <w:trHeight w:val="1108" w:hRule="atLeast"/>
        </w:trPr>
        <w:tc>
          <w:tcPr>
            <w:tcW w:w="2149" w:type="dxa"/>
            <w:tcBorders>
              <w:left w:val="single" w:sz="4" w:space="0" w:color="A6A6A6"/>
            </w:tcBorders>
            <w:shd w:val="clear" w:color="auto" w:fill="CDEBEB"/>
          </w:tcPr>
          <w:p>
            <w:pPr>
              <w:pStyle w:val="TableParagraph"/>
              <w:spacing w:before="120"/>
              <w:ind w:left="108"/>
              <w:rPr>
                <w:sz w:val="21"/>
              </w:rPr>
            </w:pPr>
            <w:r>
              <w:rPr>
                <w:sz w:val="21"/>
              </w:rPr>
              <w:t>28</w:t>
            </w:r>
            <w:r>
              <w:rPr>
                <w:spacing w:val="-5"/>
                <w:sz w:val="21"/>
              </w:rPr>
              <w:t> </w:t>
            </w:r>
            <w:r>
              <w:rPr>
                <w:sz w:val="21"/>
              </w:rPr>
              <w:t>September</w:t>
            </w:r>
            <w:r>
              <w:rPr>
                <w:spacing w:val="-4"/>
                <w:sz w:val="21"/>
              </w:rPr>
              <w:t> 2016</w:t>
            </w:r>
          </w:p>
        </w:tc>
        <w:tc>
          <w:tcPr>
            <w:tcW w:w="1933" w:type="dxa"/>
            <w:shd w:val="clear" w:color="auto" w:fill="CDEBEB"/>
          </w:tcPr>
          <w:p>
            <w:pPr>
              <w:pStyle w:val="TableParagraph"/>
              <w:spacing w:line="288" w:lineRule="auto" w:before="120"/>
              <w:ind w:left="198" w:right="92"/>
              <w:rPr>
                <w:sz w:val="21"/>
              </w:rPr>
            </w:pPr>
            <w:r>
              <w:rPr>
                <w:sz w:val="21"/>
              </w:rPr>
              <w:t>Gas</w:t>
            </w:r>
            <w:r>
              <w:rPr>
                <w:spacing w:val="-15"/>
                <w:sz w:val="21"/>
              </w:rPr>
              <w:t> </w:t>
            </w:r>
            <w:r>
              <w:rPr>
                <w:sz w:val="21"/>
              </w:rPr>
              <w:t>transmission main at Arthurs </w:t>
            </w:r>
            <w:r>
              <w:rPr>
                <w:spacing w:val="-4"/>
                <w:sz w:val="21"/>
              </w:rPr>
              <w:t>Seat</w:t>
            </w:r>
          </w:p>
        </w:tc>
        <w:tc>
          <w:tcPr>
            <w:tcW w:w="2548" w:type="dxa"/>
            <w:shd w:val="clear" w:color="auto" w:fill="CDEBEB"/>
          </w:tcPr>
          <w:p>
            <w:pPr>
              <w:pStyle w:val="TableParagraph"/>
              <w:spacing w:line="288" w:lineRule="auto" w:before="120"/>
              <w:ind w:left="118"/>
              <w:rPr>
                <w:sz w:val="21"/>
              </w:rPr>
            </w:pPr>
            <w:r>
              <w:rPr>
                <w:sz w:val="21"/>
              </w:rPr>
              <w:t>Pipeline</w:t>
            </w:r>
            <w:r>
              <w:rPr>
                <w:spacing w:val="-15"/>
                <w:sz w:val="21"/>
              </w:rPr>
              <w:t> </w:t>
            </w:r>
            <w:r>
              <w:rPr>
                <w:sz w:val="21"/>
              </w:rPr>
              <w:t>damaged</w:t>
            </w:r>
            <w:r>
              <w:rPr>
                <w:spacing w:val="-15"/>
                <w:sz w:val="21"/>
              </w:rPr>
              <w:t> </w:t>
            </w:r>
            <w:r>
              <w:rPr>
                <w:sz w:val="21"/>
              </w:rPr>
              <w:t>during third party excavation </w:t>
            </w:r>
            <w:r>
              <w:rPr>
                <w:spacing w:val="-2"/>
                <w:sz w:val="21"/>
              </w:rPr>
              <w:t>works.</w:t>
            </w:r>
          </w:p>
        </w:tc>
        <w:tc>
          <w:tcPr>
            <w:tcW w:w="2836" w:type="dxa"/>
            <w:tcBorders>
              <w:right w:val="single" w:sz="4" w:space="0" w:color="A6A6A6"/>
            </w:tcBorders>
            <w:shd w:val="clear" w:color="auto" w:fill="CDEBEB"/>
          </w:tcPr>
          <w:p>
            <w:pPr>
              <w:pStyle w:val="TableParagraph"/>
              <w:spacing w:line="288" w:lineRule="auto" w:before="120"/>
              <w:ind w:left="112"/>
              <w:rPr>
                <w:sz w:val="21"/>
              </w:rPr>
            </w:pPr>
            <w:r>
              <w:rPr>
                <w:sz w:val="21"/>
              </w:rPr>
              <w:t>Immediate</w:t>
            </w:r>
            <w:r>
              <w:rPr>
                <w:spacing w:val="-15"/>
                <w:sz w:val="21"/>
              </w:rPr>
              <w:t> </w:t>
            </w:r>
            <w:r>
              <w:rPr>
                <w:sz w:val="21"/>
              </w:rPr>
              <w:t>area</w:t>
            </w:r>
            <w:r>
              <w:rPr>
                <w:spacing w:val="-15"/>
                <w:sz w:val="21"/>
              </w:rPr>
              <w:t> </w:t>
            </w:r>
            <w:r>
              <w:rPr>
                <w:sz w:val="21"/>
              </w:rPr>
              <w:t>evacuated due to gas leak.</w:t>
            </w:r>
          </w:p>
        </w:tc>
      </w:tr>
      <w:tr>
        <w:trPr>
          <w:trHeight w:val="1111" w:hRule="atLeast"/>
        </w:trPr>
        <w:tc>
          <w:tcPr>
            <w:tcW w:w="2149" w:type="dxa"/>
            <w:tcBorders>
              <w:left w:val="single" w:sz="4" w:space="0" w:color="A6A6A6"/>
              <w:bottom w:val="single" w:sz="4" w:space="0" w:color="A6A6A6"/>
            </w:tcBorders>
          </w:tcPr>
          <w:p>
            <w:pPr>
              <w:pStyle w:val="TableParagraph"/>
              <w:spacing w:before="120"/>
              <w:ind w:left="108"/>
              <w:rPr>
                <w:sz w:val="21"/>
              </w:rPr>
            </w:pPr>
            <w:r>
              <w:rPr>
                <w:sz w:val="21"/>
              </w:rPr>
              <w:t>20</w:t>
            </w:r>
            <w:r>
              <w:rPr>
                <w:spacing w:val="-4"/>
                <w:sz w:val="21"/>
              </w:rPr>
              <w:t> </w:t>
            </w:r>
            <w:r>
              <w:rPr>
                <w:sz w:val="21"/>
              </w:rPr>
              <w:t>February</w:t>
            </w:r>
            <w:r>
              <w:rPr>
                <w:spacing w:val="-5"/>
                <w:sz w:val="21"/>
              </w:rPr>
              <w:t> </w:t>
            </w:r>
            <w:r>
              <w:rPr>
                <w:spacing w:val="-4"/>
                <w:sz w:val="21"/>
              </w:rPr>
              <w:t>2017</w:t>
            </w:r>
          </w:p>
        </w:tc>
        <w:tc>
          <w:tcPr>
            <w:tcW w:w="1933" w:type="dxa"/>
            <w:tcBorders>
              <w:bottom w:val="single" w:sz="4" w:space="0" w:color="A6A6A6"/>
            </w:tcBorders>
          </w:tcPr>
          <w:p>
            <w:pPr>
              <w:pStyle w:val="TableParagraph"/>
              <w:spacing w:line="288" w:lineRule="auto" w:before="120"/>
              <w:ind w:left="198" w:right="832"/>
              <w:jc w:val="both"/>
              <w:rPr>
                <w:sz w:val="21"/>
              </w:rPr>
            </w:pPr>
            <w:r>
              <w:rPr>
                <w:sz w:val="21"/>
              </w:rPr>
              <w:t>Wollert</w:t>
            </w:r>
            <w:r>
              <w:rPr>
                <w:spacing w:val="-15"/>
                <w:sz w:val="21"/>
              </w:rPr>
              <w:t> </w:t>
            </w:r>
            <w:r>
              <w:rPr>
                <w:sz w:val="21"/>
              </w:rPr>
              <w:t>to </w:t>
            </w:r>
            <w:r>
              <w:rPr>
                <w:spacing w:val="-2"/>
                <w:sz w:val="21"/>
              </w:rPr>
              <w:t>Wodonga Pipeline</w:t>
            </w:r>
          </w:p>
        </w:tc>
        <w:tc>
          <w:tcPr>
            <w:tcW w:w="2548" w:type="dxa"/>
            <w:tcBorders>
              <w:bottom w:val="single" w:sz="4" w:space="0" w:color="A6A6A6"/>
            </w:tcBorders>
          </w:tcPr>
          <w:p>
            <w:pPr>
              <w:pStyle w:val="TableParagraph"/>
              <w:spacing w:line="288" w:lineRule="auto" w:before="120"/>
              <w:ind w:left="118" w:right="48"/>
              <w:rPr>
                <w:sz w:val="21"/>
              </w:rPr>
            </w:pPr>
            <w:r>
              <w:rPr>
                <w:sz w:val="21"/>
              </w:rPr>
              <w:t>Near</w:t>
            </w:r>
            <w:r>
              <w:rPr>
                <w:spacing w:val="-10"/>
                <w:sz w:val="21"/>
              </w:rPr>
              <w:t> </w:t>
            </w:r>
            <w:r>
              <w:rPr>
                <w:sz w:val="21"/>
              </w:rPr>
              <w:t>miss</w:t>
            </w:r>
            <w:r>
              <w:rPr>
                <w:spacing w:val="-8"/>
                <w:sz w:val="21"/>
              </w:rPr>
              <w:t> </w:t>
            </w:r>
            <w:r>
              <w:rPr>
                <w:sz w:val="21"/>
              </w:rPr>
              <w:t>by</w:t>
            </w:r>
            <w:r>
              <w:rPr>
                <w:spacing w:val="-10"/>
                <w:sz w:val="21"/>
              </w:rPr>
              <w:t> </w:t>
            </w:r>
            <w:r>
              <w:rPr>
                <w:sz w:val="21"/>
              </w:rPr>
              <w:t>third</w:t>
            </w:r>
            <w:r>
              <w:rPr>
                <w:spacing w:val="-8"/>
                <w:sz w:val="21"/>
              </w:rPr>
              <w:t> </w:t>
            </w:r>
            <w:r>
              <w:rPr>
                <w:sz w:val="21"/>
              </w:rPr>
              <w:t>party excavation of transmission pipeline.</w:t>
            </w:r>
          </w:p>
        </w:tc>
        <w:tc>
          <w:tcPr>
            <w:tcW w:w="2836" w:type="dxa"/>
            <w:tcBorders>
              <w:bottom w:val="single" w:sz="4" w:space="0" w:color="A6A6A6"/>
              <w:right w:val="single" w:sz="4" w:space="0" w:color="A6A6A6"/>
            </w:tcBorders>
          </w:tcPr>
          <w:p>
            <w:pPr>
              <w:pStyle w:val="TableParagraph"/>
              <w:spacing w:line="288" w:lineRule="auto" w:before="120"/>
              <w:ind w:left="112" w:right="154"/>
              <w:rPr>
                <w:sz w:val="21"/>
              </w:rPr>
            </w:pPr>
            <w:r>
              <w:rPr>
                <w:sz w:val="21"/>
              </w:rPr>
              <w:t>Pipeline</w:t>
            </w:r>
            <w:r>
              <w:rPr>
                <w:spacing w:val="-15"/>
                <w:sz w:val="21"/>
              </w:rPr>
              <w:t> </w:t>
            </w:r>
            <w:r>
              <w:rPr>
                <w:sz w:val="21"/>
              </w:rPr>
              <w:t>pressure</w:t>
            </w:r>
            <w:r>
              <w:rPr>
                <w:spacing w:val="-15"/>
                <w:sz w:val="21"/>
              </w:rPr>
              <w:t> </w:t>
            </w:r>
            <w:r>
              <w:rPr>
                <w:sz w:val="21"/>
              </w:rPr>
              <w:t>reduced to allow inspection.</w:t>
            </w:r>
          </w:p>
        </w:tc>
      </w:tr>
    </w:tbl>
    <w:p>
      <w:pPr>
        <w:spacing w:after="0" w:line="288" w:lineRule="auto"/>
        <w:rPr>
          <w:sz w:val="21"/>
        </w:rPr>
        <w:sectPr>
          <w:pgSz w:w="11910" w:h="16840"/>
          <w:pgMar w:header="887" w:footer="1243" w:top="1080" w:bottom="1500" w:left="840" w:right="820"/>
        </w:sectPr>
      </w:pPr>
    </w:p>
    <w:p>
      <w:pPr>
        <w:pStyle w:val="BodyText"/>
        <w:rPr>
          <w:b/>
          <w:sz w:val="20"/>
        </w:rPr>
      </w:pPr>
    </w:p>
    <w:p>
      <w:pPr>
        <w:pStyle w:val="BodyText"/>
        <w:rPr>
          <w:b/>
          <w:sz w:val="20"/>
        </w:rPr>
      </w:pPr>
    </w:p>
    <w:p>
      <w:pPr>
        <w:pStyle w:val="Heading4"/>
        <w:spacing w:before="258"/>
        <w:ind w:left="600"/>
      </w:pPr>
      <w:r>
        <w:rPr>
          <w:color w:val="585858"/>
        </w:rPr>
        <w:t>The</w:t>
      </w:r>
      <w:r>
        <w:rPr>
          <w:color w:val="585858"/>
          <w:spacing w:val="-11"/>
        </w:rPr>
        <w:t> </w:t>
      </w:r>
      <w:r>
        <w:rPr>
          <w:color w:val="585858"/>
        </w:rPr>
        <w:t>current</w:t>
      </w:r>
      <w:r>
        <w:rPr>
          <w:color w:val="585858"/>
          <w:spacing w:val="-11"/>
        </w:rPr>
        <w:t> </w:t>
      </w:r>
      <w:r>
        <w:rPr>
          <w:color w:val="585858"/>
        </w:rPr>
        <w:t>Victorian</w:t>
      </w:r>
      <w:r>
        <w:rPr>
          <w:color w:val="585858"/>
          <w:spacing w:val="-11"/>
        </w:rPr>
        <w:t> </w:t>
      </w:r>
      <w:r>
        <w:rPr>
          <w:color w:val="585858"/>
        </w:rPr>
        <w:t>safety</w:t>
      </w:r>
      <w:r>
        <w:rPr>
          <w:color w:val="585858"/>
          <w:spacing w:val="-12"/>
        </w:rPr>
        <w:t> </w:t>
      </w:r>
      <w:r>
        <w:rPr>
          <w:color w:val="585858"/>
          <w:spacing w:val="-2"/>
        </w:rPr>
        <w:t>framework</w:t>
      </w:r>
    </w:p>
    <w:p>
      <w:pPr>
        <w:pStyle w:val="BodyText"/>
        <w:spacing w:before="8"/>
        <w:rPr>
          <w:b/>
          <w:sz w:val="37"/>
        </w:rPr>
      </w:pPr>
    </w:p>
    <w:p>
      <w:pPr>
        <w:pStyle w:val="BodyText"/>
        <w:spacing w:line="288" w:lineRule="auto"/>
        <w:ind w:left="600" w:right="586"/>
      </w:pPr>
      <w:r>
        <w:rPr/>
        <w:t>The electricity and gas network safety framework is a combination of the regulation, obligations and economic incentives that apply to electricity and gas distribution and transmission network businesses, and the means by which the safety and reliability of the networks are regulated. Table 2 lists the current legilsation that applies to the safety and economic</w:t>
      </w:r>
      <w:r>
        <w:rPr>
          <w:spacing w:val="-5"/>
        </w:rPr>
        <w:t> </w:t>
      </w:r>
      <w:r>
        <w:rPr/>
        <w:t>regulation</w:t>
      </w:r>
      <w:r>
        <w:rPr>
          <w:spacing w:val="-3"/>
        </w:rPr>
        <w:t> </w:t>
      </w:r>
      <w:r>
        <w:rPr/>
        <w:t>of</w:t>
      </w:r>
      <w:r>
        <w:rPr>
          <w:spacing w:val="-1"/>
        </w:rPr>
        <w:t> </w:t>
      </w:r>
      <w:r>
        <w:rPr/>
        <w:t>electricity</w:t>
      </w:r>
      <w:r>
        <w:rPr>
          <w:spacing w:val="-5"/>
        </w:rPr>
        <w:t> </w:t>
      </w:r>
      <w:r>
        <w:rPr/>
        <w:t>and</w:t>
      </w:r>
      <w:r>
        <w:rPr>
          <w:spacing w:val="-5"/>
        </w:rPr>
        <w:t> </w:t>
      </w:r>
      <w:r>
        <w:rPr/>
        <w:t>gas</w:t>
      </w:r>
      <w:r>
        <w:rPr>
          <w:spacing w:val="-2"/>
        </w:rPr>
        <w:t> </w:t>
      </w:r>
      <w:r>
        <w:rPr/>
        <w:t>networks,</w:t>
      </w:r>
      <w:r>
        <w:rPr>
          <w:spacing w:val="-1"/>
        </w:rPr>
        <w:t> </w:t>
      </w:r>
      <w:r>
        <w:rPr/>
        <w:t>and</w:t>
      </w:r>
      <w:r>
        <w:rPr>
          <w:spacing w:val="-5"/>
        </w:rPr>
        <w:t> </w:t>
      </w:r>
      <w:r>
        <w:rPr/>
        <w:t>associated</w:t>
      </w:r>
      <w:r>
        <w:rPr>
          <w:spacing w:val="-5"/>
        </w:rPr>
        <w:t> </w:t>
      </w:r>
      <w:r>
        <w:rPr/>
        <w:t>regulations</w:t>
      </w:r>
      <w:r>
        <w:rPr>
          <w:spacing w:val="-2"/>
        </w:rPr>
        <w:t> </w:t>
      </w:r>
      <w:r>
        <w:rPr/>
        <w:t>and</w:t>
      </w:r>
      <w:r>
        <w:rPr>
          <w:spacing w:val="-3"/>
        </w:rPr>
        <w:t> </w:t>
      </w:r>
      <w:r>
        <w:rPr/>
        <w:t>codes.</w:t>
      </w:r>
    </w:p>
    <w:p>
      <w:pPr>
        <w:pStyle w:val="BodyText"/>
        <w:spacing w:before="5"/>
        <w:rPr>
          <w:sz w:val="31"/>
        </w:rPr>
      </w:pPr>
    </w:p>
    <w:p>
      <w:pPr>
        <w:pStyle w:val="BodyText"/>
        <w:spacing w:line="288" w:lineRule="auto"/>
        <w:ind w:left="600" w:right="910"/>
      </w:pPr>
      <w:r>
        <w:rPr/>
        <w:t>A detailed description of the legilsation that applies to electricity and gas networks is available</w:t>
      </w:r>
      <w:r>
        <w:rPr>
          <w:spacing w:val="-2"/>
        </w:rPr>
        <w:t> </w:t>
      </w:r>
      <w:r>
        <w:rPr/>
        <w:t>in</w:t>
      </w:r>
      <w:r>
        <w:rPr>
          <w:spacing w:val="-2"/>
        </w:rPr>
        <w:t> </w:t>
      </w:r>
      <w:r>
        <w:rPr/>
        <w:t>Appendix</w:t>
      </w:r>
      <w:r>
        <w:rPr>
          <w:spacing w:val="-4"/>
        </w:rPr>
        <w:t> </w:t>
      </w:r>
      <w:r>
        <w:rPr/>
        <w:t>C. Information</w:t>
      </w:r>
      <w:r>
        <w:rPr>
          <w:spacing w:val="-2"/>
        </w:rPr>
        <w:t> </w:t>
      </w:r>
      <w:r>
        <w:rPr/>
        <w:t>on</w:t>
      </w:r>
      <w:r>
        <w:rPr>
          <w:spacing w:val="-4"/>
        </w:rPr>
        <w:t> </w:t>
      </w:r>
      <w:r>
        <w:rPr/>
        <w:t>the</w:t>
      </w:r>
      <w:r>
        <w:rPr>
          <w:spacing w:val="-4"/>
        </w:rPr>
        <w:t> </w:t>
      </w:r>
      <w:r>
        <w:rPr/>
        <w:t>economic</w:t>
      </w:r>
      <w:r>
        <w:rPr>
          <w:spacing w:val="-4"/>
        </w:rPr>
        <w:t> </w:t>
      </w:r>
      <w:r>
        <w:rPr/>
        <w:t>framework</w:t>
      </w:r>
      <w:r>
        <w:rPr>
          <w:spacing w:val="-1"/>
        </w:rPr>
        <w:t> </w:t>
      </w:r>
      <w:r>
        <w:rPr/>
        <w:t>and</w:t>
      </w:r>
      <w:r>
        <w:rPr>
          <w:spacing w:val="-2"/>
        </w:rPr>
        <w:t> </w:t>
      </w:r>
      <w:r>
        <w:rPr/>
        <w:t>how</w:t>
      </w:r>
      <w:r>
        <w:rPr>
          <w:spacing w:val="-5"/>
        </w:rPr>
        <w:t> </w:t>
      </w:r>
      <w:r>
        <w:rPr/>
        <w:t>it applies</w:t>
      </w:r>
      <w:r>
        <w:rPr>
          <w:spacing w:val="-4"/>
        </w:rPr>
        <w:t> </w:t>
      </w:r>
      <w:r>
        <w:rPr/>
        <w:t>to</w:t>
      </w:r>
      <w:r>
        <w:rPr>
          <w:spacing w:val="-4"/>
        </w:rPr>
        <w:t> </w:t>
      </w:r>
      <w:r>
        <w:rPr/>
        <w:t>the electricity and gas networks is avialable in Appendix D.</w:t>
      </w:r>
    </w:p>
    <w:p>
      <w:pPr>
        <w:spacing w:after="0" w:line="288" w:lineRule="auto"/>
        <w:sectPr>
          <w:pgSz w:w="11910" w:h="16840"/>
          <w:pgMar w:header="887" w:footer="1243" w:top="1080" w:bottom="1500" w:left="840" w:right="820"/>
        </w:sectPr>
      </w:pPr>
    </w:p>
    <w:p>
      <w:pPr>
        <w:pStyle w:val="BodyText"/>
        <w:rPr>
          <w:sz w:val="20"/>
        </w:rPr>
      </w:pPr>
    </w:p>
    <w:p>
      <w:pPr>
        <w:pStyle w:val="BodyText"/>
        <w:rPr>
          <w:sz w:val="20"/>
        </w:rPr>
      </w:pPr>
    </w:p>
    <w:p>
      <w:pPr>
        <w:pStyle w:val="BodyText"/>
        <w:spacing w:before="5"/>
      </w:pPr>
    </w:p>
    <w:p>
      <w:pPr>
        <w:spacing w:line="288" w:lineRule="auto" w:before="0"/>
        <w:ind w:left="600" w:right="311" w:firstLine="0"/>
        <w:jc w:val="left"/>
        <w:rPr>
          <w:b/>
          <w:sz w:val="22"/>
        </w:rPr>
      </w:pPr>
      <w:r>
        <w:rPr>
          <w:b/>
          <w:sz w:val="22"/>
        </w:rPr>
        <w:t>Table</w:t>
      </w:r>
      <w:r>
        <w:rPr>
          <w:b/>
          <w:spacing w:val="-3"/>
          <w:sz w:val="22"/>
        </w:rPr>
        <w:t> </w:t>
      </w:r>
      <w:r>
        <w:rPr>
          <w:b/>
          <w:sz w:val="22"/>
        </w:rPr>
        <w:t>2:</w:t>
      </w:r>
      <w:r>
        <w:rPr>
          <w:b/>
          <w:spacing w:val="-1"/>
          <w:sz w:val="22"/>
        </w:rPr>
        <w:t> </w:t>
      </w:r>
      <w:r>
        <w:rPr>
          <w:b/>
          <w:sz w:val="22"/>
        </w:rPr>
        <w:t>Electricity</w:t>
      </w:r>
      <w:r>
        <w:rPr>
          <w:b/>
          <w:spacing w:val="-6"/>
          <w:sz w:val="22"/>
        </w:rPr>
        <w:t> </w:t>
      </w:r>
      <w:r>
        <w:rPr>
          <w:b/>
          <w:sz w:val="22"/>
        </w:rPr>
        <w:t>and</w:t>
      </w:r>
      <w:r>
        <w:rPr>
          <w:b/>
          <w:spacing w:val="-1"/>
          <w:sz w:val="22"/>
        </w:rPr>
        <w:t> </w:t>
      </w:r>
      <w:r>
        <w:rPr>
          <w:b/>
          <w:sz w:val="22"/>
        </w:rPr>
        <w:t>gas</w:t>
      </w:r>
      <w:r>
        <w:rPr>
          <w:b/>
          <w:spacing w:val="-2"/>
          <w:sz w:val="22"/>
        </w:rPr>
        <w:t> </w:t>
      </w:r>
      <w:r>
        <w:rPr>
          <w:b/>
          <w:sz w:val="22"/>
        </w:rPr>
        <w:t>safety</w:t>
      </w:r>
      <w:r>
        <w:rPr>
          <w:b/>
          <w:spacing w:val="-6"/>
          <w:sz w:val="22"/>
        </w:rPr>
        <w:t> </w:t>
      </w:r>
      <w:r>
        <w:rPr>
          <w:b/>
          <w:sz w:val="22"/>
        </w:rPr>
        <w:t>legislation</w:t>
      </w:r>
      <w:r>
        <w:rPr>
          <w:b/>
          <w:spacing w:val="-7"/>
          <w:sz w:val="22"/>
        </w:rPr>
        <w:t> </w:t>
      </w:r>
      <w:r>
        <w:rPr>
          <w:b/>
          <w:sz w:val="22"/>
        </w:rPr>
        <w:t>and</w:t>
      </w:r>
      <w:r>
        <w:rPr>
          <w:b/>
          <w:spacing w:val="-3"/>
          <w:sz w:val="22"/>
        </w:rPr>
        <w:t> </w:t>
      </w:r>
      <w:r>
        <w:rPr>
          <w:b/>
          <w:sz w:val="22"/>
        </w:rPr>
        <w:t>associated</w:t>
      </w:r>
      <w:r>
        <w:rPr>
          <w:b/>
          <w:spacing w:val="-4"/>
          <w:sz w:val="22"/>
        </w:rPr>
        <w:t> </w:t>
      </w:r>
      <w:r>
        <w:rPr>
          <w:b/>
          <w:sz w:val="22"/>
        </w:rPr>
        <w:t>regulations</w:t>
      </w:r>
      <w:r>
        <w:rPr>
          <w:b/>
          <w:spacing w:val="-1"/>
          <w:sz w:val="22"/>
        </w:rPr>
        <w:t> </w:t>
      </w:r>
      <w:r>
        <w:rPr>
          <w:b/>
          <w:sz w:val="22"/>
        </w:rPr>
        <w:t>including broader economic regulation</w:t>
      </w:r>
    </w:p>
    <w:p>
      <w:pPr>
        <w:pStyle w:val="BodyText"/>
        <w:spacing w:before="5"/>
        <w:rPr>
          <w:b/>
          <w:sz w:val="10"/>
        </w:rPr>
      </w:pPr>
    </w:p>
    <w:tbl>
      <w:tblPr>
        <w:tblW w:w="0" w:type="auto"/>
        <w:jc w:val="left"/>
        <w:tblInd w:w="60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top w:w="0" w:type="dxa"/>
          <w:left w:w="0" w:type="dxa"/>
          <w:bottom w:w="0" w:type="dxa"/>
          <w:right w:w="0" w:type="dxa"/>
        </w:tblCellMar>
        <w:tblLook w:val="01E0"/>
      </w:tblPr>
      <w:tblGrid>
        <w:gridCol w:w="6412"/>
        <w:gridCol w:w="2626"/>
      </w:tblGrid>
      <w:tr>
        <w:trPr>
          <w:trHeight w:val="328" w:hRule="atLeast"/>
        </w:trPr>
        <w:tc>
          <w:tcPr>
            <w:tcW w:w="6412" w:type="dxa"/>
            <w:tcBorders>
              <w:bottom w:val="nil"/>
              <w:right w:val="nil"/>
            </w:tcBorders>
            <w:shd w:val="clear" w:color="auto" w:fill="D9D9D9"/>
          </w:tcPr>
          <w:p>
            <w:pPr>
              <w:pStyle w:val="TableParagraph"/>
              <w:spacing w:before="61"/>
              <w:ind w:left="117"/>
              <w:rPr>
                <w:b/>
                <w:sz w:val="18"/>
              </w:rPr>
            </w:pPr>
            <w:r>
              <w:rPr>
                <w:b/>
                <w:sz w:val="18"/>
              </w:rPr>
              <w:t>Legislation</w:t>
            </w:r>
            <w:r>
              <w:rPr>
                <w:b/>
                <w:spacing w:val="-4"/>
                <w:sz w:val="18"/>
              </w:rPr>
              <w:t> </w:t>
            </w:r>
            <w:r>
              <w:rPr>
                <w:b/>
                <w:sz w:val="18"/>
              </w:rPr>
              <w:t>and</w:t>
            </w:r>
            <w:r>
              <w:rPr>
                <w:b/>
                <w:spacing w:val="-1"/>
                <w:sz w:val="18"/>
              </w:rPr>
              <w:t> </w:t>
            </w:r>
            <w:r>
              <w:rPr>
                <w:b/>
                <w:spacing w:val="-2"/>
                <w:sz w:val="18"/>
              </w:rPr>
              <w:t>incentives</w:t>
            </w:r>
          </w:p>
        </w:tc>
        <w:tc>
          <w:tcPr>
            <w:tcW w:w="2626" w:type="dxa"/>
            <w:tcBorders>
              <w:left w:val="nil"/>
              <w:bottom w:val="nil"/>
            </w:tcBorders>
            <w:shd w:val="clear" w:color="auto" w:fill="D9D9D9"/>
          </w:tcPr>
          <w:p>
            <w:pPr>
              <w:pStyle w:val="TableParagraph"/>
              <w:spacing w:before="61"/>
              <w:ind w:left="757"/>
              <w:rPr>
                <w:b/>
                <w:sz w:val="18"/>
              </w:rPr>
            </w:pPr>
            <w:r>
              <w:rPr>
                <w:b/>
                <w:sz w:val="18"/>
              </w:rPr>
              <w:t>Administered</w:t>
            </w:r>
            <w:r>
              <w:rPr>
                <w:b/>
                <w:spacing w:val="-7"/>
                <w:sz w:val="18"/>
              </w:rPr>
              <w:t> </w:t>
            </w:r>
            <w:r>
              <w:rPr>
                <w:b/>
                <w:spacing w:val="-5"/>
                <w:sz w:val="18"/>
              </w:rPr>
              <w:t>by</w:t>
            </w:r>
          </w:p>
        </w:tc>
      </w:tr>
      <w:tr>
        <w:trPr>
          <w:trHeight w:val="326" w:hRule="atLeast"/>
        </w:trPr>
        <w:tc>
          <w:tcPr>
            <w:tcW w:w="9038" w:type="dxa"/>
            <w:gridSpan w:val="2"/>
            <w:tcBorders>
              <w:top w:val="nil"/>
              <w:bottom w:val="nil"/>
            </w:tcBorders>
            <w:shd w:val="clear" w:color="auto" w:fill="CDEBEB"/>
          </w:tcPr>
          <w:p>
            <w:pPr>
              <w:pStyle w:val="TableParagraph"/>
              <w:spacing w:before="59"/>
              <w:ind w:left="117"/>
              <w:rPr>
                <w:b/>
                <w:sz w:val="18"/>
              </w:rPr>
            </w:pPr>
            <w:r>
              <w:rPr>
                <w:b/>
                <w:spacing w:val="-2"/>
                <w:sz w:val="18"/>
              </w:rPr>
              <w:t>Electricity</w:t>
            </w:r>
          </w:p>
        </w:tc>
      </w:tr>
      <w:tr>
        <w:trPr>
          <w:trHeight w:val="1127" w:hRule="atLeast"/>
        </w:trPr>
        <w:tc>
          <w:tcPr>
            <w:tcW w:w="6412" w:type="dxa"/>
            <w:tcBorders>
              <w:top w:val="nil"/>
              <w:right w:val="nil"/>
            </w:tcBorders>
          </w:tcPr>
          <w:p>
            <w:pPr>
              <w:pStyle w:val="TableParagraph"/>
              <w:spacing w:before="59"/>
              <w:ind w:left="117"/>
              <w:rPr>
                <w:rFonts w:ascii="Arial-BoldItalicMT"/>
                <w:b/>
                <w:i/>
                <w:sz w:val="18"/>
              </w:rPr>
            </w:pPr>
            <w:r>
              <w:rPr>
                <w:rFonts w:ascii="Arial-BoldItalicMT"/>
                <w:b/>
                <w:i/>
                <w:sz w:val="18"/>
              </w:rPr>
              <w:t>National</w:t>
            </w:r>
            <w:r>
              <w:rPr>
                <w:rFonts w:ascii="Arial-BoldItalicMT"/>
                <w:b/>
                <w:i/>
                <w:spacing w:val="-12"/>
                <w:sz w:val="18"/>
              </w:rPr>
              <w:t> </w:t>
            </w:r>
            <w:r>
              <w:rPr>
                <w:rFonts w:ascii="Arial-BoldItalicMT"/>
                <w:b/>
                <w:i/>
                <w:sz w:val="18"/>
              </w:rPr>
              <w:t>Electricity</w:t>
            </w:r>
            <w:r>
              <w:rPr>
                <w:rFonts w:ascii="Arial-BoldItalicMT"/>
                <w:b/>
                <w:i/>
                <w:spacing w:val="-11"/>
                <w:sz w:val="18"/>
              </w:rPr>
              <w:t> </w:t>
            </w:r>
            <w:r>
              <w:rPr>
                <w:rFonts w:ascii="Arial-BoldItalicMT"/>
                <w:b/>
                <w:i/>
                <w:sz w:val="18"/>
              </w:rPr>
              <w:t>(Victoria)</w:t>
            </w:r>
            <w:r>
              <w:rPr>
                <w:rFonts w:ascii="Arial-BoldItalicMT"/>
                <w:b/>
                <w:i/>
                <w:spacing w:val="-13"/>
                <w:sz w:val="18"/>
              </w:rPr>
              <w:t> </w:t>
            </w:r>
            <w:r>
              <w:rPr>
                <w:rFonts w:ascii="Arial-BoldItalicMT"/>
                <w:b/>
                <w:i/>
                <w:sz w:val="18"/>
              </w:rPr>
              <w:t>Act</w:t>
            </w:r>
            <w:r>
              <w:rPr>
                <w:rFonts w:ascii="Arial-BoldItalicMT"/>
                <w:b/>
                <w:i/>
                <w:spacing w:val="-11"/>
                <w:sz w:val="18"/>
              </w:rPr>
              <w:t> </w:t>
            </w:r>
            <w:r>
              <w:rPr>
                <w:rFonts w:ascii="Arial-BoldItalicMT"/>
                <w:b/>
                <w:i/>
                <w:spacing w:val="-4"/>
                <w:sz w:val="18"/>
              </w:rPr>
              <w:t>2005</w:t>
            </w:r>
          </w:p>
          <w:p>
            <w:pPr>
              <w:pStyle w:val="TableParagraph"/>
              <w:spacing w:before="59"/>
              <w:ind w:left="117"/>
              <w:rPr>
                <w:i/>
                <w:sz w:val="18"/>
              </w:rPr>
            </w:pPr>
            <w:r>
              <w:rPr>
                <w:i/>
                <w:sz w:val="18"/>
              </w:rPr>
              <w:t>National</w:t>
            </w:r>
            <w:r>
              <w:rPr>
                <w:i/>
                <w:spacing w:val="-5"/>
                <w:sz w:val="18"/>
              </w:rPr>
              <w:t> </w:t>
            </w:r>
            <w:r>
              <w:rPr>
                <w:i/>
                <w:sz w:val="18"/>
              </w:rPr>
              <w:t>Electricity</w:t>
            </w:r>
            <w:r>
              <w:rPr>
                <w:i/>
                <w:spacing w:val="-6"/>
                <w:sz w:val="18"/>
              </w:rPr>
              <w:t> </w:t>
            </w:r>
            <w:r>
              <w:rPr>
                <w:i/>
                <w:spacing w:val="-5"/>
                <w:sz w:val="18"/>
              </w:rPr>
              <w:t>Law</w:t>
            </w:r>
          </w:p>
          <w:p>
            <w:pPr>
              <w:pStyle w:val="TableParagraph"/>
              <w:spacing w:line="260" w:lineRule="atLeast" w:before="9"/>
              <w:ind w:left="117" w:right="4246"/>
              <w:rPr>
                <w:i/>
                <w:sz w:val="18"/>
              </w:rPr>
            </w:pPr>
            <w:r>
              <w:rPr>
                <w:i/>
                <w:sz w:val="18"/>
              </w:rPr>
              <w:t>National Electricity Rules f-factor</w:t>
            </w:r>
            <w:r>
              <w:rPr>
                <w:i/>
                <w:spacing w:val="-15"/>
                <w:sz w:val="18"/>
              </w:rPr>
              <w:t> </w:t>
            </w:r>
            <w:r>
              <w:rPr>
                <w:i/>
                <w:sz w:val="18"/>
              </w:rPr>
              <w:t>Incentive</w:t>
            </w:r>
            <w:r>
              <w:rPr>
                <w:i/>
                <w:spacing w:val="-12"/>
                <w:sz w:val="18"/>
              </w:rPr>
              <w:t> </w:t>
            </w:r>
            <w:r>
              <w:rPr>
                <w:i/>
                <w:sz w:val="18"/>
              </w:rPr>
              <w:t>Scheme</w:t>
            </w:r>
          </w:p>
        </w:tc>
        <w:tc>
          <w:tcPr>
            <w:tcW w:w="2626" w:type="dxa"/>
            <w:tcBorders>
              <w:top w:val="nil"/>
              <w:left w:val="nil"/>
            </w:tcBorders>
          </w:tcPr>
          <w:p>
            <w:pPr>
              <w:pStyle w:val="TableParagraph"/>
              <w:spacing w:before="59"/>
              <w:ind w:left="757"/>
              <w:rPr>
                <w:b/>
                <w:sz w:val="18"/>
              </w:rPr>
            </w:pPr>
            <w:r>
              <w:rPr>
                <w:b/>
                <w:sz w:val="18"/>
              </w:rPr>
              <w:t>ESV</w:t>
            </w:r>
            <w:r>
              <w:rPr>
                <w:b/>
                <w:spacing w:val="-1"/>
                <w:sz w:val="18"/>
              </w:rPr>
              <w:t> </w:t>
            </w:r>
            <w:r>
              <w:rPr>
                <w:b/>
                <w:sz w:val="18"/>
              </w:rPr>
              <w:t>and</w:t>
            </w:r>
            <w:r>
              <w:rPr>
                <w:b/>
                <w:spacing w:val="1"/>
                <w:sz w:val="18"/>
              </w:rPr>
              <w:t> </w:t>
            </w:r>
            <w:r>
              <w:rPr>
                <w:b/>
                <w:spacing w:val="-2"/>
                <w:sz w:val="18"/>
              </w:rPr>
              <w:t>DELWP</w:t>
            </w:r>
          </w:p>
          <w:p>
            <w:pPr>
              <w:pStyle w:val="TableParagraph"/>
              <w:spacing w:before="59"/>
              <w:ind w:left="757"/>
              <w:rPr>
                <w:sz w:val="18"/>
              </w:rPr>
            </w:pPr>
            <w:r>
              <w:rPr>
                <w:spacing w:val="-5"/>
                <w:sz w:val="18"/>
              </w:rPr>
              <w:t>AER</w:t>
            </w:r>
          </w:p>
          <w:p>
            <w:pPr>
              <w:pStyle w:val="TableParagraph"/>
              <w:spacing w:line="260" w:lineRule="atLeast" w:before="9"/>
              <w:ind w:left="757" w:right="1485"/>
              <w:rPr>
                <w:sz w:val="18"/>
              </w:rPr>
            </w:pPr>
            <w:r>
              <w:rPr>
                <w:spacing w:val="-4"/>
                <w:sz w:val="18"/>
              </w:rPr>
              <w:t>AER </w:t>
            </w:r>
            <w:r>
              <w:rPr>
                <w:spacing w:val="-5"/>
                <w:sz w:val="18"/>
              </w:rPr>
              <w:t>AER</w:t>
            </w:r>
          </w:p>
        </w:tc>
      </w:tr>
      <w:tr>
        <w:trPr>
          <w:trHeight w:val="2462" w:hRule="atLeast"/>
        </w:trPr>
        <w:tc>
          <w:tcPr>
            <w:tcW w:w="6412" w:type="dxa"/>
            <w:tcBorders>
              <w:right w:val="nil"/>
            </w:tcBorders>
          </w:tcPr>
          <w:p>
            <w:pPr>
              <w:pStyle w:val="TableParagraph"/>
              <w:spacing w:before="59"/>
              <w:ind w:left="117"/>
              <w:rPr>
                <w:rFonts w:ascii="Arial-BoldItalicMT"/>
                <w:b/>
                <w:i/>
                <w:sz w:val="18"/>
              </w:rPr>
            </w:pPr>
            <w:r>
              <w:rPr>
                <w:rFonts w:ascii="Arial-BoldItalicMT"/>
                <w:b/>
                <w:i/>
                <w:sz w:val="18"/>
              </w:rPr>
              <w:t>Electricity</w:t>
            </w:r>
            <w:r>
              <w:rPr>
                <w:rFonts w:ascii="Arial-BoldItalicMT"/>
                <w:b/>
                <w:i/>
                <w:spacing w:val="-6"/>
                <w:sz w:val="18"/>
              </w:rPr>
              <w:t> </w:t>
            </w:r>
            <w:r>
              <w:rPr>
                <w:rFonts w:ascii="Arial-BoldItalicMT"/>
                <w:b/>
                <w:i/>
                <w:sz w:val="18"/>
              </w:rPr>
              <w:t>Safety</w:t>
            </w:r>
            <w:r>
              <w:rPr>
                <w:rFonts w:ascii="Arial-BoldItalicMT"/>
                <w:b/>
                <w:i/>
                <w:spacing w:val="-6"/>
                <w:sz w:val="18"/>
              </w:rPr>
              <w:t> </w:t>
            </w:r>
            <w:r>
              <w:rPr>
                <w:rFonts w:ascii="Arial-BoldItalicMT"/>
                <w:b/>
                <w:i/>
                <w:sz w:val="18"/>
              </w:rPr>
              <w:t>Act</w:t>
            </w:r>
            <w:r>
              <w:rPr>
                <w:rFonts w:ascii="Arial-BoldItalicMT"/>
                <w:b/>
                <w:i/>
                <w:spacing w:val="-5"/>
                <w:sz w:val="18"/>
              </w:rPr>
              <w:t> </w:t>
            </w:r>
            <w:r>
              <w:rPr>
                <w:rFonts w:ascii="Arial-BoldItalicMT"/>
                <w:b/>
                <w:i/>
                <w:spacing w:val="-4"/>
                <w:sz w:val="18"/>
              </w:rPr>
              <w:t>1998</w:t>
            </w:r>
          </w:p>
          <w:p>
            <w:pPr>
              <w:pStyle w:val="TableParagraph"/>
              <w:spacing w:line="309" w:lineRule="auto" w:before="61"/>
              <w:ind w:left="117" w:right="1768"/>
              <w:rPr>
                <w:i/>
                <w:sz w:val="18"/>
              </w:rPr>
            </w:pPr>
            <w:r>
              <w:rPr>
                <w:i/>
                <w:sz w:val="18"/>
              </w:rPr>
              <w:t>Electricity</w:t>
            </w:r>
            <w:r>
              <w:rPr>
                <w:i/>
                <w:spacing w:val="-10"/>
                <w:sz w:val="18"/>
              </w:rPr>
              <w:t> </w:t>
            </w:r>
            <w:r>
              <w:rPr>
                <w:i/>
                <w:sz w:val="18"/>
              </w:rPr>
              <w:t>Safety</w:t>
            </w:r>
            <w:r>
              <w:rPr>
                <w:i/>
                <w:spacing w:val="-10"/>
                <w:sz w:val="18"/>
              </w:rPr>
              <w:t> </w:t>
            </w:r>
            <w:r>
              <w:rPr>
                <w:i/>
                <w:sz w:val="18"/>
              </w:rPr>
              <w:t>(Management)</w:t>
            </w:r>
            <w:r>
              <w:rPr>
                <w:i/>
                <w:spacing w:val="-11"/>
                <w:sz w:val="18"/>
              </w:rPr>
              <w:t> </w:t>
            </w:r>
            <w:r>
              <w:rPr>
                <w:i/>
                <w:sz w:val="18"/>
              </w:rPr>
              <w:t>Regulations</w:t>
            </w:r>
            <w:r>
              <w:rPr>
                <w:i/>
                <w:spacing w:val="-12"/>
                <w:sz w:val="18"/>
              </w:rPr>
              <w:t> </w:t>
            </w:r>
            <w:r>
              <w:rPr>
                <w:i/>
                <w:sz w:val="18"/>
              </w:rPr>
              <w:t>2009 Electricity Safety (Installations) Regulations 2009 Electricity Safety (Equipment) Regulations 2009</w:t>
            </w:r>
          </w:p>
          <w:p>
            <w:pPr>
              <w:pStyle w:val="TableParagraph"/>
              <w:spacing w:line="309" w:lineRule="auto"/>
              <w:ind w:left="117" w:right="1107"/>
              <w:rPr>
                <w:i/>
                <w:sz w:val="18"/>
              </w:rPr>
            </w:pPr>
            <w:r>
              <w:rPr>
                <w:i/>
                <w:sz w:val="18"/>
              </w:rPr>
              <w:t>Electricity</w:t>
            </w:r>
            <w:r>
              <w:rPr>
                <w:i/>
                <w:spacing w:val="-6"/>
                <w:sz w:val="18"/>
              </w:rPr>
              <w:t> </w:t>
            </w:r>
            <w:r>
              <w:rPr>
                <w:i/>
                <w:sz w:val="18"/>
              </w:rPr>
              <w:t>Safety</w:t>
            </w:r>
            <w:r>
              <w:rPr>
                <w:i/>
                <w:spacing w:val="-6"/>
                <w:sz w:val="18"/>
              </w:rPr>
              <w:t> </w:t>
            </w:r>
            <w:r>
              <w:rPr>
                <w:i/>
                <w:sz w:val="18"/>
              </w:rPr>
              <w:t>(Registration</w:t>
            </w:r>
            <w:r>
              <w:rPr>
                <w:i/>
                <w:spacing w:val="-9"/>
                <w:sz w:val="18"/>
              </w:rPr>
              <w:t> </w:t>
            </w:r>
            <w:r>
              <w:rPr>
                <w:i/>
                <w:sz w:val="18"/>
              </w:rPr>
              <w:t>and</w:t>
            </w:r>
            <w:r>
              <w:rPr>
                <w:i/>
                <w:spacing w:val="-7"/>
                <w:sz w:val="18"/>
              </w:rPr>
              <w:t> </w:t>
            </w:r>
            <w:r>
              <w:rPr>
                <w:i/>
                <w:sz w:val="18"/>
              </w:rPr>
              <w:t>Licencing)</w:t>
            </w:r>
            <w:r>
              <w:rPr>
                <w:i/>
                <w:spacing w:val="-7"/>
                <w:sz w:val="18"/>
              </w:rPr>
              <w:t> </w:t>
            </w:r>
            <w:r>
              <w:rPr>
                <w:i/>
                <w:sz w:val="18"/>
              </w:rPr>
              <w:t>Regulations</w:t>
            </w:r>
            <w:r>
              <w:rPr>
                <w:i/>
                <w:spacing w:val="-8"/>
                <w:sz w:val="18"/>
              </w:rPr>
              <w:t> </w:t>
            </w:r>
            <w:r>
              <w:rPr>
                <w:i/>
                <w:sz w:val="18"/>
              </w:rPr>
              <w:t>2010 Electricity Safety (Bushfire Mitigation) Regulations 2013 Electricity Safety (Bushfire Mitigation Duties) Regulations 2017 Electricity Safety (Electric Line Clearance) Regulations 2015</w:t>
            </w:r>
          </w:p>
          <w:p>
            <w:pPr>
              <w:pStyle w:val="TableParagraph"/>
              <w:ind w:left="117"/>
              <w:rPr>
                <w:i/>
                <w:sz w:val="18"/>
              </w:rPr>
            </w:pPr>
            <w:r>
              <w:rPr>
                <w:i/>
                <w:sz w:val="18"/>
              </w:rPr>
              <w:t>Electricity</w:t>
            </w:r>
            <w:r>
              <w:rPr>
                <w:i/>
                <w:spacing w:val="-5"/>
                <w:sz w:val="18"/>
              </w:rPr>
              <w:t> </w:t>
            </w:r>
            <w:r>
              <w:rPr>
                <w:i/>
                <w:sz w:val="18"/>
              </w:rPr>
              <w:t>Safety</w:t>
            </w:r>
            <w:r>
              <w:rPr>
                <w:i/>
                <w:spacing w:val="-4"/>
                <w:sz w:val="18"/>
              </w:rPr>
              <w:t> </w:t>
            </w:r>
            <w:r>
              <w:rPr>
                <w:i/>
                <w:sz w:val="18"/>
              </w:rPr>
              <w:t>(Cathodic</w:t>
            </w:r>
            <w:r>
              <w:rPr>
                <w:i/>
                <w:spacing w:val="-5"/>
                <w:sz w:val="18"/>
              </w:rPr>
              <w:t> </w:t>
            </w:r>
            <w:r>
              <w:rPr>
                <w:i/>
                <w:sz w:val="18"/>
              </w:rPr>
              <w:t>Protection)</w:t>
            </w:r>
            <w:r>
              <w:rPr>
                <w:i/>
                <w:spacing w:val="-3"/>
                <w:sz w:val="18"/>
              </w:rPr>
              <w:t> </w:t>
            </w:r>
            <w:r>
              <w:rPr>
                <w:i/>
                <w:sz w:val="18"/>
              </w:rPr>
              <w:t>Regulations</w:t>
            </w:r>
            <w:r>
              <w:rPr>
                <w:i/>
                <w:spacing w:val="-8"/>
                <w:sz w:val="18"/>
              </w:rPr>
              <w:t> </w:t>
            </w:r>
            <w:r>
              <w:rPr>
                <w:i/>
                <w:spacing w:val="-4"/>
                <w:sz w:val="18"/>
              </w:rPr>
              <w:t>2009</w:t>
            </w:r>
          </w:p>
        </w:tc>
        <w:tc>
          <w:tcPr>
            <w:tcW w:w="2626" w:type="dxa"/>
            <w:tcBorders>
              <w:left w:val="nil"/>
            </w:tcBorders>
          </w:tcPr>
          <w:p>
            <w:pPr>
              <w:pStyle w:val="TableParagraph"/>
              <w:spacing w:line="309" w:lineRule="auto" w:before="59"/>
              <w:ind w:left="757" w:right="1501"/>
              <w:jc w:val="both"/>
              <w:rPr>
                <w:sz w:val="18"/>
              </w:rPr>
            </w:pPr>
            <w:r>
              <w:rPr>
                <w:b/>
                <w:spacing w:val="-4"/>
                <w:sz w:val="18"/>
              </w:rPr>
              <w:t>ESV </w:t>
            </w:r>
            <w:r>
              <w:rPr>
                <w:spacing w:val="-4"/>
                <w:sz w:val="18"/>
              </w:rPr>
              <w:t>ESV ESV ESV ESV ESV ESV </w:t>
            </w:r>
            <w:r>
              <w:rPr>
                <w:spacing w:val="-5"/>
                <w:sz w:val="18"/>
              </w:rPr>
              <w:t>ESV</w:t>
            </w:r>
          </w:p>
          <w:p>
            <w:pPr>
              <w:pStyle w:val="TableParagraph"/>
              <w:ind w:left="757"/>
              <w:rPr>
                <w:sz w:val="18"/>
              </w:rPr>
            </w:pPr>
            <w:r>
              <w:rPr>
                <w:spacing w:val="-5"/>
                <w:sz w:val="18"/>
              </w:rPr>
              <w:t>ESV</w:t>
            </w:r>
          </w:p>
        </w:tc>
      </w:tr>
      <w:tr>
        <w:trPr>
          <w:trHeight w:val="861" w:hRule="atLeast"/>
        </w:trPr>
        <w:tc>
          <w:tcPr>
            <w:tcW w:w="6412" w:type="dxa"/>
            <w:tcBorders>
              <w:right w:val="nil"/>
            </w:tcBorders>
          </w:tcPr>
          <w:p>
            <w:pPr>
              <w:pStyle w:val="TableParagraph"/>
              <w:spacing w:before="61"/>
              <w:ind w:left="117"/>
              <w:rPr>
                <w:rFonts w:ascii="Arial-BoldItalicMT"/>
                <w:b/>
                <w:i/>
                <w:sz w:val="18"/>
              </w:rPr>
            </w:pPr>
            <w:r>
              <w:rPr>
                <w:rFonts w:ascii="Arial-BoldItalicMT"/>
                <w:b/>
                <w:i/>
                <w:sz w:val="18"/>
              </w:rPr>
              <w:t>Electricity</w:t>
            </w:r>
            <w:r>
              <w:rPr>
                <w:rFonts w:ascii="Arial-BoldItalicMT"/>
                <w:b/>
                <w:i/>
                <w:spacing w:val="-7"/>
                <w:sz w:val="18"/>
              </w:rPr>
              <w:t> </w:t>
            </w:r>
            <w:r>
              <w:rPr>
                <w:rFonts w:ascii="Arial-BoldItalicMT"/>
                <w:b/>
                <w:i/>
                <w:sz w:val="18"/>
              </w:rPr>
              <w:t>Industry</w:t>
            </w:r>
            <w:r>
              <w:rPr>
                <w:rFonts w:ascii="Arial-BoldItalicMT"/>
                <w:b/>
                <w:i/>
                <w:spacing w:val="-5"/>
                <w:sz w:val="18"/>
              </w:rPr>
              <w:t> </w:t>
            </w:r>
            <w:r>
              <w:rPr>
                <w:rFonts w:ascii="Arial-BoldItalicMT"/>
                <w:b/>
                <w:i/>
                <w:sz w:val="18"/>
              </w:rPr>
              <w:t>Act</w:t>
            </w:r>
            <w:r>
              <w:rPr>
                <w:rFonts w:ascii="Arial-BoldItalicMT"/>
                <w:b/>
                <w:i/>
                <w:spacing w:val="-4"/>
                <w:sz w:val="18"/>
              </w:rPr>
              <w:t> 2000</w:t>
            </w:r>
          </w:p>
          <w:p>
            <w:pPr>
              <w:pStyle w:val="TableParagraph"/>
              <w:spacing w:before="59"/>
              <w:ind w:left="117"/>
              <w:rPr>
                <w:i/>
                <w:sz w:val="18"/>
              </w:rPr>
            </w:pPr>
            <w:r>
              <w:rPr>
                <w:i/>
                <w:sz w:val="18"/>
              </w:rPr>
              <w:t>Electricity</w:t>
            </w:r>
            <w:r>
              <w:rPr>
                <w:i/>
                <w:spacing w:val="-4"/>
                <w:sz w:val="18"/>
              </w:rPr>
              <w:t> </w:t>
            </w:r>
            <w:r>
              <w:rPr>
                <w:i/>
                <w:sz w:val="18"/>
              </w:rPr>
              <w:t>Distribution</w:t>
            </w:r>
            <w:r>
              <w:rPr>
                <w:i/>
                <w:spacing w:val="-5"/>
                <w:sz w:val="18"/>
              </w:rPr>
              <w:t> </w:t>
            </w:r>
            <w:r>
              <w:rPr>
                <w:i/>
                <w:sz w:val="18"/>
              </w:rPr>
              <w:t>Price</w:t>
            </w:r>
            <w:r>
              <w:rPr>
                <w:i/>
                <w:spacing w:val="-6"/>
                <w:sz w:val="18"/>
              </w:rPr>
              <w:t> </w:t>
            </w:r>
            <w:r>
              <w:rPr>
                <w:i/>
                <w:spacing w:val="-2"/>
                <w:sz w:val="18"/>
              </w:rPr>
              <w:t>Review</w:t>
            </w:r>
          </w:p>
          <w:p>
            <w:pPr>
              <w:pStyle w:val="TableParagraph"/>
              <w:spacing w:before="60"/>
              <w:ind w:left="117"/>
              <w:rPr>
                <w:i/>
                <w:sz w:val="18"/>
              </w:rPr>
            </w:pPr>
            <w:r>
              <w:rPr>
                <w:i/>
                <w:sz w:val="18"/>
              </w:rPr>
              <w:t>Service</w:t>
            </w:r>
            <w:r>
              <w:rPr>
                <w:i/>
                <w:spacing w:val="-5"/>
                <w:sz w:val="18"/>
              </w:rPr>
              <w:t> </w:t>
            </w:r>
            <w:r>
              <w:rPr>
                <w:i/>
                <w:sz w:val="18"/>
              </w:rPr>
              <w:t>Target</w:t>
            </w:r>
            <w:r>
              <w:rPr>
                <w:i/>
                <w:spacing w:val="-4"/>
                <w:sz w:val="18"/>
              </w:rPr>
              <w:t> </w:t>
            </w:r>
            <w:r>
              <w:rPr>
                <w:i/>
                <w:sz w:val="18"/>
              </w:rPr>
              <w:t>Performance</w:t>
            </w:r>
            <w:r>
              <w:rPr>
                <w:i/>
                <w:spacing w:val="-4"/>
                <w:sz w:val="18"/>
              </w:rPr>
              <w:t> </w:t>
            </w:r>
            <w:r>
              <w:rPr>
                <w:i/>
                <w:sz w:val="18"/>
              </w:rPr>
              <w:t>Incentive</w:t>
            </w:r>
            <w:r>
              <w:rPr>
                <w:i/>
                <w:spacing w:val="-5"/>
                <w:sz w:val="18"/>
              </w:rPr>
              <w:t> </w:t>
            </w:r>
            <w:r>
              <w:rPr>
                <w:i/>
                <w:spacing w:val="-2"/>
                <w:sz w:val="18"/>
              </w:rPr>
              <w:t>Scheme</w:t>
            </w:r>
          </w:p>
        </w:tc>
        <w:tc>
          <w:tcPr>
            <w:tcW w:w="2626" w:type="dxa"/>
            <w:tcBorders>
              <w:left w:val="nil"/>
            </w:tcBorders>
          </w:tcPr>
          <w:p>
            <w:pPr>
              <w:pStyle w:val="TableParagraph"/>
              <w:spacing w:line="260" w:lineRule="atLeast" w:before="8"/>
              <w:ind w:left="757" w:right="1491"/>
              <w:jc w:val="both"/>
              <w:rPr>
                <w:sz w:val="18"/>
              </w:rPr>
            </w:pPr>
            <w:r>
              <w:rPr>
                <w:b/>
                <w:spacing w:val="-4"/>
                <w:sz w:val="18"/>
              </w:rPr>
              <w:t>ESC </w:t>
            </w:r>
            <w:r>
              <w:rPr>
                <w:spacing w:val="-4"/>
                <w:sz w:val="18"/>
              </w:rPr>
              <w:t>AER </w:t>
            </w:r>
            <w:r>
              <w:rPr>
                <w:spacing w:val="-5"/>
                <w:sz w:val="18"/>
              </w:rPr>
              <w:t>AER</w:t>
            </w:r>
          </w:p>
        </w:tc>
      </w:tr>
      <w:tr>
        <w:trPr>
          <w:trHeight w:val="861" w:hRule="atLeast"/>
        </w:trPr>
        <w:tc>
          <w:tcPr>
            <w:tcW w:w="6412" w:type="dxa"/>
            <w:tcBorders>
              <w:right w:val="nil"/>
            </w:tcBorders>
          </w:tcPr>
          <w:p>
            <w:pPr>
              <w:pStyle w:val="TableParagraph"/>
              <w:spacing w:before="61"/>
              <w:ind w:left="117"/>
              <w:rPr>
                <w:rFonts w:ascii="Arial-BoldItalicMT"/>
                <w:b/>
                <w:i/>
                <w:sz w:val="18"/>
              </w:rPr>
            </w:pPr>
            <w:r>
              <w:rPr>
                <w:rFonts w:ascii="Arial-BoldItalicMT"/>
                <w:b/>
                <w:i/>
                <w:sz w:val="18"/>
              </w:rPr>
              <w:t>Essential</w:t>
            </w:r>
            <w:r>
              <w:rPr>
                <w:rFonts w:ascii="Arial-BoldItalicMT"/>
                <w:b/>
                <w:i/>
                <w:spacing w:val="-5"/>
                <w:sz w:val="18"/>
              </w:rPr>
              <w:t> </w:t>
            </w:r>
            <w:r>
              <w:rPr>
                <w:rFonts w:ascii="Arial-BoldItalicMT"/>
                <w:b/>
                <w:i/>
                <w:sz w:val="18"/>
              </w:rPr>
              <w:t>Services</w:t>
            </w:r>
            <w:r>
              <w:rPr>
                <w:rFonts w:ascii="Arial-BoldItalicMT"/>
                <w:b/>
                <w:i/>
                <w:spacing w:val="-4"/>
                <w:sz w:val="18"/>
              </w:rPr>
              <w:t> </w:t>
            </w:r>
            <w:r>
              <w:rPr>
                <w:rFonts w:ascii="Arial-BoldItalicMT"/>
                <w:b/>
                <w:i/>
                <w:sz w:val="18"/>
              </w:rPr>
              <w:t>Commission</w:t>
            </w:r>
            <w:r>
              <w:rPr>
                <w:rFonts w:ascii="Arial-BoldItalicMT"/>
                <w:b/>
                <w:i/>
                <w:spacing w:val="-4"/>
                <w:sz w:val="18"/>
              </w:rPr>
              <w:t> </w:t>
            </w:r>
            <w:r>
              <w:rPr>
                <w:rFonts w:ascii="Arial-BoldItalicMT"/>
                <w:b/>
                <w:i/>
                <w:sz w:val="18"/>
              </w:rPr>
              <w:t>and</w:t>
            </w:r>
            <w:r>
              <w:rPr>
                <w:rFonts w:ascii="Arial-BoldItalicMT"/>
                <w:b/>
                <w:i/>
                <w:spacing w:val="-6"/>
                <w:sz w:val="18"/>
              </w:rPr>
              <w:t> </w:t>
            </w:r>
            <w:r>
              <w:rPr>
                <w:rFonts w:ascii="Arial-BoldItalicMT"/>
                <w:b/>
                <w:i/>
                <w:sz w:val="18"/>
              </w:rPr>
              <w:t>Electricity</w:t>
            </w:r>
            <w:r>
              <w:rPr>
                <w:rFonts w:ascii="Arial-BoldItalicMT"/>
                <w:b/>
                <w:i/>
                <w:spacing w:val="-4"/>
                <w:sz w:val="18"/>
              </w:rPr>
              <w:t> </w:t>
            </w:r>
            <w:r>
              <w:rPr>
                <w:rFonts w:ascii="Arial-BoldItalicMT"/>
                <w:b/>
                <w:i/>
                <w:sz w:val="18"/>
              </w:rPr>
              <w:t>Industry</w:t>
            </w:r>
            <w:r>
              <w:rPr>
                <w:rFonts w:ascii="Arial-BoldItalicMT"/>
                <w:b/>
                <w:i/>
                <w:spacing w:val="-7"/>
                <w:sz w:val="18"/>
              </w:rPr>
              <w:t> </w:t>
            </w:r>
            <w:r>
              <w:rPr>
                <w:rFonts w:ascii="Arial-BoldItalicMT"/>
                <w:b/>
                <w:i/>
                <w:sz w:val="18"/>
              </w:rPr>
              <w:t>Act</w:t>
            </w:r>
            <w:r>
              <w:rPr>
                <w:rFonts w:ascii="Arial-BoldItalicMT"/>
                <w:b/>
                <w:i/>
                <w:spacing w:val="-4"/>
                <w:sz w:val="18"/>
              </w:rPr>
              <w:t> 2000</w:t>
            </w:r>
          </w:p>
          <w:p>
            <w:pPr>
              <w:pStyle w:val="TableParagraph"/>
              <w:spacing w:line="260" w:lineRule="atLeast" w:before="6"/>
              <w:ind w:left="117" w:right="3925"/>
              <w:rPr>
                <w:i/>
                <w:sz w:val="18"/>
              </w:rPr>
            </w:pPr>
            <w:r>
              <w:rPr>
                <w:i/>
                <w:sz w:val="18"/>
              </w:rPr>
              <w:t>Electricity</w:t>
            </w:r>
            <w:r>
              <w:rPr>
                <w:i/>
                <w:spacing w:val="-15"/>
                <w:sz w:val="18"/>
              </w:rPr>
              <w:t> </w:t>
            </w:r>
            <w:r>
              <w:rPr>
                <w:i/>
                <w:sz w:val="18"/>
              </w:rPr>
              <w:t>Distribution</w:t>
            </w:r>
            <w:r>
              <w:rPr>
                <w:i/>
                <w:spacing w:val="-12"/>
                <w:sz w:val="18"/>
              </w:rPr>
              <w:t> </w:t>
            </w:r>
            <w:r>
              <w:rPr>
                <w:i/>
                <w:sz w:val="18"/>
              </w:rPr>
              <w:t>Code Guaranteed Service Level</w:t>
            </w:r>
          </w:p>
        </w:tc>
        <w:tc>
          <w:tcPr>
            <w:tcW w:w="2626" w:type="dxa"/>
            <w:tcBorders>
              <w:left w:val="nil"/>
            </w:tcBorders>
          </w:tcPr>
          <w:p>
            <w:pPr>
              <w:pStyle w:val="TableParagraph"/>
              <w:spacing w:line="260" w:lineRule="atLeast" w:before="8"/>
              <w:ind w:left="757" w:right="1491"/>
              <w:jc w:val="both"/>
              <w:rPr>
                <w:sz w:val="18"/>
              </w:rPr>
            </w:pPr>
            <w:r>
              <w:rPr>
                <w:b/>
                <w:spacing w:val="-4"/>
                <w:sz w:val="18"/>
              </w:rPr>
              <w:t>ESC </w:t>
            </w:r>
            <w:r>
              <w:rPr>
                <w:spacing w:val="-4"/>
                <w:sz w:val="18"/>
              </w:rPr>
              <w:t>ESC </w:t>
            </w:r>
            <w:r>
              <w:rPr>
                <w:spacing w:val="-5"/>
                <w:sz w:val="18"/>
              </w:rPr>
              <w:t>ESC</w:t>
            </w:r>
          </w:p>
        </w:tc>
      </w:tr>
      <w:tr>
        <w:trPr>
          <w:trHeight w:val="328" w:hRule="atLeast"/>
        </w:trPr>
        <w:tc>
          <w:tcPr>
            <w:tcW w:w="9038" w:type="dxa"/>
            <w:gridSpan w:val="2"/>
            <w:tcBorders>
              <w:bottom w:val="nil"/>
            </w:tcBorders>
          </w:tcPr>
          <w:p>
            <w:pPr>
              <w:pStyle w:val="TableParagraph"/>
              <w:spacing w:before="59"/>
              <w:ind w:left="117"/>
              <w:rPr>
                <w:rFonts w:ascii="Arial-BoldItalicMT"/>
                <w:b/>
                <w:i/>
                <w:sz w:val="18"/>
              </w:rPr>
            </w:pPr>
            <w:r>
              <w:rPr>
                <w:rFonts w:ascii="Arial-BoldItalicMT"/>
                <w:b/>
                <w:i/>
                <w:sz w:val="18"/>
              </w:rPr>
              <w:t>Financial</w:t>
            </w:r>
            <w:r>
              <w:rPr>
                <w:rFonts w:ascii="Arial-BoldItalicMT"/>
                <w:b/>
                <w:i/>
                <w:spacing w:val="-5"/>
                <w:sz w:val="18"/>
              </w:rPr>
              <w:t> </w:t>
            </w:r>
            <w:r>
              <w:rPr>
                <w:rFonts w:ascii="Arial-BoldItalicMT"/>
                <w:b/>
                <w:i/>
                <w:sz w:val="18"/>
              </w:rPr>
              <w:t>Management</w:t>
            </w:r>
            <w:r>
              <w:rPr>
                <w:rFonts w:ascii="Arial-BoldItalicMT"/>
                <w:b/>
                <w:i/>
                <w:spacing w:val="-5"/>
                <w:sz w:val="18"/>
              </w:rPr>
              <w:t> </w:t>
            </w:r>
            <w:r>
              <w:rPr>
                <w:rFonts w:ascii="Arial-BoldItalicMT"/>
                <w:b/>
                <w:i/>
                <w:sz w:val="18"/>
              </w:rPr>
              <w:t>Act</w:t>
            </w:r>
            <w:r>
              <w:rPr>
                <w:rFonts w:ascii="Arial-BoldItalicMT"/>
                <w:b/>
                <w:i/>
                <w:spacing w:val="-4"/>
                <w:sz w:val="18"/>
              </w:rPr>
              <w:t> 1994</w:t>
            </w:r>
          </w:p>
        </w:tc>
      </w:tr>
      <w:tr>
        <w:trPr>
          <w:trHeight w:val="326" w:hRule="atLeast"/>
        </w:trPr>
        <w:tc>
          <w:tcPr>
            <w:tcW w:w="9038" w:type="dxa"/>
            <w:gridSpan w:val="2"/>
            <w:tcBorders>
              <w:top w:val="nil"/>
              <w:bottom w:val="nil"/>
            </w:tcBorders>
            <w:shd w:val="clear" w:color="auto" w:fill="CDEBEB"/>
          </w:tcPr>
          <w:p>
            <w:pPr>
              <w:pStyle w:val="TableParagraph"/>
              <w:spacing w:before="59"/>
              <w:ind w:left="117"/>
              <w:rPr>
                <w:b/>
                <w:sz w:val="18"/>
              </w:rPr>
            </w:pPr>
            <w:r>
              <w:rPr>
                <w:b/>
                <w:spacing w:val="-5"/>
                <w:sz w:val="18"/>
              </w:rPr>
              <w:t>Gas</w:t>
            </w:r>
          </w:p>
        </w:tc>
      </w:tr>
      <w:tr>
        <w:trPr>
          <w:trHeight w:val="1128" w:hRule="atLeast"/>
        </w:trPr>
        <w:tc>
          <w:tcPr>
            <w:tcW w:w="6412" w:type="dxa"/>
            <w:tcBorders>
              <w:top w:val="nil"/>
              <w:right w:val="nil"/>
            </w:tcBorders>
          </w:tcPr>
          <w:p>
            <w:pPr>
              <w:pStyle w:val="TableParagraph"/>
              <w:spacing w:before="59"/>
              <w:ind w:left="117"/>
              <w:rPr>
                <w:rFonts w:ascii="Arial-BoldItalicMT"/>
                <w:b/>
                <w:i/>
                <w:sz w:val="18"/>
              </w:rPr>
            </w:pPr>
            <w:r>
              <w:rPr>
                <w:rFonts w:ascii="Arial-BoldItalicMT"/>
                <w:b/>
                <w:i/>
                <w:sz w:val="18"/>
              </w:rPr>
              <w:t>Gas</w:t>
            </w:r>
            <w:r>
              <w:rPr>
                <w:rFonts w:ascii="Arial-BoldItalicMT"/>
                <w:b/>
                <w:i/>
                <w:spacing w:val="-3"/>
                <w:sz w:val="18"/>
              </w:rPr>
              <w:t> </w:t>
            </w:r>
            <w:r>
              <w:rPr>
                <w:rFonts w:ascii="Arial-BoldItalicMT"/>
                <w:b/>
                <w:i/>
                <w:sz w:val="18"/>
              </w:rPr>
              <w:t>Safety</w:t>
            </w:r>
            <w:r>
              <w:rPr>
                <w:rFonts w:ascii="Arial-BoldItalicMT"/>
                <w:b/>
                <w:i/>
                <w:spacing w:val="-3"/>
                <w:sz w:val="18"/>
              </w:rPr>
              <w:t> </w:t>
            </w:r>
            <w:r>
              <w:rPr>
                <w:rFonts w:ascii="Arial-BoldItalicMT"/>
                <w:b/>
                <w:i/>
                <w:sz w:val="18"/>
              </w:rPr>
              <w:t>Act</w:t>
            </w:r>
            <w:r>
              <w:rPr>
                <w:rFonts w:ascii="Arial-BoldItalicMT"/>
                <w:b/>
                <w:i/>
                <w:spacing w:val="-3"/>
                <w:sz w:val="18"/>
              </w:rPr>
              <w:t> </w:t>
            </w:r>
            <w:r>
              <w:rPr>
                <w:rFonts w:ascii="Arial-BoldItalicMT"/>
                <w:b/>
                <w:i/>
                <w:spacing w:val="-4"/>
                <w:sz w:val="18"/>
              </w:rPr>
              <w:t>1997</w:t>
            </w:r>
          </w:p>
          <w:p>
            <w:pPr>
              <w:pStyle w:val="TableParagraph"/>
              <w:spacing w:line="309" w:lineRule="auto" w:before="60"/>
              <w:ind w:left="117" w:right="2530"/>
              <w:rPr>
                <w:i/>
                <w:sz w:val="18"/>
              </w:rPr>
            </w:pPr>
            <w:r>
              <w:rPr>
                <w:i/>
                <w:sz w:val="18"/>
              </w:rPr>
              <w:t>Gas</w:t>
            </w:r>
            <w:r>
              <w:rPr>
                <w:i/>
                <w:spacing w:val="-8"/>
                <w:sz w:val="18"/>
              </w:rPr>
              <w:t> </w:t>
            </w:r>
            <w:r>
              <w:rPr>
                <w:i/>
                <w:sz w:val="18"/>
              </w:rPr>
              <w:t>Safety</w:t>
            </w:r>
            <w:r>
              <w:rPr>
                <w:i/>
                <w:spacing w:val="-8"/>
                <w:sz w:val="18"/>
              </w:rPr>
              <w:t> </w:t>
            </w:r>
            <w:r>
              <w:rPr>
                <w:i/>
                <w:sz w:val="18"/>
              </w:rPr>
              <w:t>(Safety</w:t>
            </w:r>
            <w:r>
              <w:rPr>
                <w:i/>
                <w:spacing w:val="-8"/>
                <w:sz w:val="18"/>
              </w:rPr>
              <w:t> </w:t>
            </w:r>
            <w:r>
              <w:rPr>
                <w:i/>
                <w:sz w:val="18"/>
              </w:rPr>
              <w:t>Case)</w:t>
            </w:r>
            <w:r>
              <w:rPr>
                <w:i/>
                <w:spacing w:val="-9"/>
                <w:sz w:val="18"/>
              </w:rPr>
              <w:t> </w:t>
            </w:r>
            <w:r>
              <w:rPr>
                <w:i/>
                <w:sz w:val="18"/>
              </w:rPr>
              <w:t>Regulations</w:t>
            </w:r>
            <w:r>
              <w:rPr>
                <w:i/>
                <w:spacing w:val="-10"/>
                <w:sz w:val="18"/>
              </w:rPr>
              <w:t> </w:t>
            </w:r>
            <w:r>
              <w:rPr>
                <w:i/>
                <w:sz w:val="18"/>
              </w:rPr>
              <w:t>2008 Gas Safety (Gas Quality)</w:t>
            </w:r>
            <w:r>
              <w:rPr>
                <w:i/>
                <w:spacing w:val="-1"/>
                <w:sz w:val="18"/>
              </w:rPr>
              <w:t> </w:t>
            </w:r>
            <w:r>
              <w:rPr>
                <w:i/>
                <w:sz w:val="18"/>
              </w:rPr>
              <w:t>Regulations</w:t>
            </w:r>
            <w:r>
              <w:rPr>
                <w:i/>
                <w:spacing w:val="-3"/>
                <w:sz w:val="18"/>
              </w:rPr>
              <w:t> </w:t>
            </w:r>
            <w:r>
              <w:rPr>
                <w:i/>
                <w:sz w:val="18"/>
              </w:rPr>
              <w:t>2007</w:t>
            </w:r>
          </w:p>
          <w:p>
            <w:pPr>
              <w:pStyle w:val="TableParagraph"/>
              <w:spacing w:before="1"/>
              <w:ind w:left="117"/>
              <w:rPr>
                <w:i/>
                <w:sz w:val="18"/>
              </w:rPr>
            </w:pPr>
            <w:r>
              <w:rPr>
                <w:i/>
                <w:sz w:val="18"/>
              </w:rPr>
              <w:t>Gas</w:t>
            </w:r>
            <w:r>
              <w:rPr>
                <w:i/>
                <w:spacing w:val="-4"/>
                <w:sz w:val="18"/>
              </w:rPr>
              <w:t> </w:t>
            </w:r>
            <w:r>
              <w:rPr>
                <w:i/>
                <w:sz w:val="18"/>
              </w:rPr>
              <w:t>Safety</w:t>
            </w:r>
            <w:r>
              <w:rPr>
                <w:i/>
                <w:spacing w:val="-3"/>
                <w:sz w:val="18"/>
              </w:rPr>
              <w:t> </w:t>
            </w:r>
            <w:r>
              <w:rPr>
                <w:i/>
                <w:sz w:val="18"/>
              </w:rPr>
              <w:t>(Gas</w:t>
            </w:r>
            <w:r>
              <w:rPr>
                <w:i/>
                <w:spacing w:val="-4"/>
                <w:sz w:val="18"/>
              </w:rPr>
              <w:t> </w:t>
            </w:r>
            <w:r>
              <w:rPr>
                <w:i/>
                <w:sz w:val="18"/>
              </w:rPr>
              <w:t>Installation)</w:t>
            </w:r>
            <w:r>
              <w:rPr>
                <w:i/>
                <w:spacing w:val="-6"/>
                <w:sz w:val="18"/>
              </w:rPr>
              <w:t> </w:t>
            </w:r>
            <w:r>
              <w:rPr>
                <w:i/>
                <w:sz w:val="18"/>
              </w:rPr>
              <w:t>Regulations</w:t>
            </w:r>
            <w:r>
              <w:rPr>
                <w:i/>
                <w:spacing w:val="-3"/>
                <w:sz w:val="18"/>
              </w:rPr>
              <w:t> </w:t>
            </w:r>
            <w:r>
              <w:rPr>
                <w:i/>
                <w:spacing w:val="-4"/>
                <w:sz w:val="18"/>
              </w:rPr>
              <w:t>2008</w:t>
            </w:r>
          </w:p>
        </w:tc>
        <w:tc>
          <w:tcPr>
            <w:tcW w:w="2626" w:type="dxa"/>
            <w:tcBorders>
              <w:top w:val="nil"/>
              <w:left w:val="nil"/>
            </w:tcBorders>
          </w:tcPr>
          <w:p>
            <w:pPr>
              <w:pStyle w:val="TableParagraph"/>
              <w:spacing w:line="309" w:lineRule="auto" w:before="59"/>
              <w:ind w:left="757" w:right="1501"/>
              <w:jc w:val="both"/>
              <w:rPr>
                <w:sz w:val="18"/>
              </w:rPr>
            </w:pPr>
            <w:r>
              <w:rPr>
                <w:b/>
                <w:spacing w:val="-4"/>
                <w:sz w:val="18"/>
              </w:rPr>
              <w:t>ESV </w:t>
            </w:r>
            <w:r>
              <w:rPr>
                <w:spacing w:val="-4"/>
                <w:sz w:val="18"/>
              </w:rPr>
              <w:t>ESV </w:t>
            </w:r>
            <w:r>
              <w:rPr>
                <w:spacing w:val="-5"/>
                <w:sz w:val="18"/>
              </w:rPr>
              <w:t>ESV</w:t>
            </w:r>
          </w:p>
          <w:p>
            <w:pPr>
              <w:pStyle w:val="TableParagraph"/>
              <w:spacing w:before="1"/>
              <w:ind w:left="757"/>
              <w:rPr>
                <w:sz w:val="18"/>
              </w:rPr>
            </w:pPr>
            <w:r>
              <w:rPr>
                <w:spacing w:val="-5"/>
                <w:sz w:val="18"/>
              </w:rPr>
              <w:t>ESV</w:t>
            </w:r>
          </w:p>
        </w:tc>
      </w:tr>
      <w:tr>
        <w:trPr>
          <w:trHeight w:val="325" w:hRule="atLeast"/>
        </w:trPr>
        <w:tc>
          <w:tcPr>
            <w:tcW w:w="9038" w:type="dxa"/>
            <w:gridSpan w:val="2"/>
          </w:tcPr>
          <w:p>
            <w:pPr>
              <w:pStyle w:val="TableParagraph"/>
              <w:spacing w:before="59"/>
              <w:ind w:left="117"/>
              <w:rPr>
                <w:rFonts w:ascii="Arial-BoldItalicMT"/>
                <w:b/>
                <w:i/>
                <w:sz w:val="18"/>
              </w:rPr>
            </w:pPr>
            <w:r>
              <w:rPr>
                <w:rFonts w:ascii="Arial-BoldItalicMT"/>
                <w:b/>
                <w:i/>
                <w:sz w:val="18"/>
              </w:rPr>
              <w:t>Energy</w:t>
            </w:r>
            <w:r>
              <w:rPr>
                <w:rFonts w:ascii="Arial-BoldItalicMT"/>
                <w:b/>
                <w:i/>
                <w:spacing w:val="-4"/>
                <w:sz w:val="18"/>
              </w:rPr>
              <w:t> </w:t>
            </w:r>
            <w:r>
              <w:rPr>
                <w:rFonts w:ascii="Arial-BoldItalicMT"/>
                <w:b/>
                <w:i/>
                <w:sz w:val="18"/>
              </w:rPr>
              <w:t>Safe</w:t>
            </w:r>
            <w:r>
              <w:rPr>
                <w:rFonts w:ascii="Arial-BoldItalicMT"/>
                <w:b/>
                <w:i/>
                <w:spacing w:val="-5"/>
                <w:sz w:val="18"/>
              </w:rPr>
              <w:t> </w:t>
            </w:r>
            <w:r>
              <w:rPr>
                <w:rFonts w:ascii="Arial-BoldItalicMT"/>
                <w:b/>
                <w:i/>
                <w:sz w:val="18"/>
              </w:rPr>
              <w:t>Victoria</w:t>
            </w:r>
            <w:r>
              <w:rPr>
                <w:rFonts w:ascii="Arial-BoldItalicMT"/>
                <w:b/>
                <w:i/>
                <w:spacing w:val="-5"/>
                <w:sz w:val="18"/>
              </w:rPr>
              <w:t> </w:t>
            </w:r>
            <w:r>
              <w:rPr>
                <w:rFonts w:ascii="Arial-BoldItalicMT"/>
                <w:b/>
                <w:i/>
                <w:sz w:val="18"/>
              </w:rPr>
              <w:t>Act</w:t>
            </w:r>
            <w:r>
              <w:rPr>
                <w:rFonts w:ascii="Arial-BoldItalicMT"/>
                <w:b/>
                <w:i/>
                <w:spacing w:val="-4"/>
                <w:sz w:val="18"/>
              </w:rPr>
              <w:t> 2005</w:t>
            </w:r>
          </w:p>
        </w:tc>
      </w:tr>
      <w:tr>
        <w:trPr>
          <w:trHeight w:val="594" w:hRule="atLeast"/>
        </w:trPr>
        <w:tc>
          <w:tcPr>
            <w:tcW w:w="6412" w:type="dxa"/>
            <w:tcBorders>
              <w:right w:val="nil"/>
            </w:tcBorders>
          </w:tcPr>
          <w:p>
            <w:pPr>
              <w:pStyle w:val="TableParagraph"/>
              <w:spacing w:before="59"/>
              <w:ind w:left="117"/>
              <w:rPr>
                <w:rFonts w:ascii="Arial-BoldItalicMT"/>
                <w:b/>
                <w:i/>
                <w:sz w:val="18"/>
              </w:rPr>
            </w:pPr>
            <w:r>
              <w:rPr>
                <w:rFonts w:ascii="Arial-BoldItalicMT"/>
                <w:b/>
                <w:i/>
                <w:sz w:val="18"/>
              </w:rPr>
              <w:t>Pipelines</w:t>
            </w:r>
            <w:r>
              <w:rPr>
                <w:rFonts w:ascii="Arial-BoldItalicMT"/>
                <w:b/>
                <w:i/>
                <w:spacing w:val="-4"/>
                <w:sz w:val="18"/>
              </w:rPr>
              <w:t> </w:t>
            </w:r>
            <w:r>
              <w:rPr>
                <w:rFonts w:ascii="Arial-BoldItalicMT"/>
                <w:b/>
                <w:i/>
                <w:sz w:val="18"/>
              </w:rPr>
              <w:t>Act</w:t>
            </w:r>
            <w:r>
              <w:rPr>
                <w:rFonts w:ascii="Arial-BoldItalicMT"/>
                <w:b/>
                <w:i/>
                <w:spacing w:val="-3"/>
                <w:sz w:val="18"/>
              </w:rPr>
              <w:t> </w:t>
            </w:r>
            <w:r>
              <w:rPr>
                <w:rFonts w:ascii="Arial-BoldItalicMT"/>
                <w:b/>
                <w:i/>
                <w:spacing w:val="-4"/>
                <w:sz w:val="18"/>
              </w:rPr>
              <w:t>2005</w:t>
            </w:r>
          </w:p>
          <w:p>
            <w:pPr>
              <w:pStyle w:val="TableParagraph"/>
              <w:spacing w:before="61"/>
              <w:ind w:left="117"/>
              <w:rPr>
                <w:i/>
                <w:sz w:val="18"/>
              </w:rPr>
            </w:pPr>
            <w:r>
              <w:rPr>
                <w:i/>
                <w:sz w:val="18"/>
              </w:rPr>
              <w:t>Pipelines</w:t>
            </w:r>
            <w:r>
              <w:rPr>
                <w:i/>
                <w:spacing w:val="-7"/>
                <w:sz w:val="18"/>
              </w:rPr>
              <w:t> </w:t>
            </w:r>
            <w:r>
              <w:rPr>
                <w:i/>
                <w:sz w:val="18"/>
              </w:rPr>
              <w:t>Regulations</w:t>
            </w:r>
            <w:r>
              <w:rPr>
                <w:i/>
                <w:spacing w:val="-6"/>
                <w:sz w:val="18"/>
              </w:rPr>
              <w:t> </w:t>
            </w:r>
            <w:r>
              <w:rPr>
                <w:i/>
                <w:spacing w:val="-4"/>
                <w:sz w:val="18"/>
              </w:rPr>
              <w:t>2017</w:t>
            </w:r>
          </w:p>
        </w:tc>
        <w:tc>
          <w:tcPr>
            <w:tcW w:w="2626" w:type="dxa"/>
            <w:tcBorders>
              <w:left w:val="nil"/>
            </w:tcBorders>
          </w:tcPr>
          <w:p>
            <w:pPr>
              <w:pStyle w:val="TableParagraph"/>
              <w:spacing w:before="59"/>
              <w:ind w:left="757"/>
              <w:rPr>
                <w:b/>
                <w:sz w:val="18"/>
              </w:rPr>
            </w:pPr>
            <w:r>
              <w:rPr>
                <w:b/>
                <w:sz w:val="18"/>
              </w:rPr>
              <w:t>ESV</w:t>
            </w:r>
            <w:r>
              <w:rPr>
                <w:b/>
                <w:spacing w:val="-1"/>
                <w:sz w:val="18"/>
              </w:rPr>
              <w:t> </w:t>
            </w:r>
            <w:r>
              <w:rPr>
                <w:b/>
                <w:sz w:val="18"/>
              </w:rPr>
              <w:t>and</w:t>
            </w:r>
            <w:r>
              <w:rPr>
                <w:b/>
                <w:spacing w:val="1"/>
                <w:sz w:val="18"/>
              </w:rPr>
              <w:t> </w:t>
            </w:r>
            <w:r>
              <w:rPr>
                <w:b/>
                <w:spacing w:val="-2"/>
                <w:sz w:val="18"/>
              </w:rPr>
              <w:t>DELWP</w:t>
            </w:r>
          </w:p>
          <w:p>
            <w:pPr>
              <w:pStyle w:val="TableParagraph"/>
              <w:spacing w:before="61"/>
              <w:ind w:left="757"/>
              <w:rPr>
                <w:sz w:val="18"/>
              </w:rPr>
            </w:pPr>
            <w:r>
              <w:rPr>
                <w:spacing w:val="-5"/>
                <w:sz w:val="18"/>
              </w:rPr>
              <w:t>ESV</w:t>
            </w:r>
          </w:p>
        </w:tc>
      </w:tr>
      <w:tr>
        <w:trPr>
          <w:trHeight w:val="594" w:hRule="atLeast"/>
        </w:trPr>
        <w:tc>
          <w:tcPr>
            <w:tcW w:w="6412" w:type="dxa"/>
            <w:tcBorders>
              <w:right w:val="nil"/>
            </w:tcBorders>
          </w:tcPr>
          <w:p>
            <w:pPr>
              <w:pStyle w:val="TableParagraph"/>
              <w:spacing w:before="59"/>
              <w:ind w:left="117"/>
              <w:rPr>
                <w:rFonts w:ascii="Arial-BoldItalicMT"/>
                <w:b/>
                <w:i/>
                <w:sz w:val="18"/>
              </w:rPr>
            </w:pPr>
            <w:r>
              <w:rPr>
                <w:rFonts w:ascii="Arial-BoldItalicMT"/>
                <w:b/>
                <w:i/>
                <w:sz w:val="18"/>
              </w:rPr>
              <w:t>Gas</w:t>
            </w:r>
            <w:r>
              <w:rPr>
                <w:rFonts w:ascii="Arial-BoldItalicMT"/>
                <w:b/>
                <w:i/>
                <w:spacing w:val="-4"/>
                <w:sz w:val="18"/>
              </w:rPr>
              <w:t> </w:t>
            </w:r>
            <w:r>
              <w:rPr>
                <w:rFonts w:ascii="Arial-BoldItalicMT"/>
                <w:b/>
                <w:i/>
                <w:sz w:val="18"/>
              </w:rPr>
              <w:t>Industry</w:t>
            </w:r>
            <w:r>
              <w:rPr>
                <w:rFonts w:ascii="Arial-BoldItalicMT"/>
                <w:b/>
                <w:i/>
                <w:spacing w:val="-3"/>
                <w:sz w:val="18"/>
              </w:rPr>
              <w:t> </w:t>
            </w:r>
            <w:r>
              <w:rPr>
                <w:rFonts w:ascii="Arial-BoldItalicMT"/>
                <w:b/>
                <w:i/>
                <w:sz w:val="18"/>
              </w:rPr>
              <w:t>Act</w:t>
            </w:r>
            <w:r>
              <w:rPr>
                <w:rFonts w:ascii="Arial-BoldItalicMT"/>
                <w:b/>
                <w:i/>
                <w:spacing w:val="-3"/>
                <w:sz w:val="18"/>
              </w:rPr>
              <w:t> </w:t>
            </w:r>
            <w:r>
              <w:rPr>
                <w:rFonts w:ascii="Arial-BoldItalicMT"/>
                <w:b/>
                <w:i/>
                <w:spacing w:val="-4"/>
                <w:sz w:val="18"/>
              </w:rPr>
              <w:t>2001</w:t>
            </w:r>
          </w:p>
          <w:p>
            <w:pPr>
              <w:pStyle w:val="TableParagraph"/>
              <w:spacing w:before="59"/>
              <w:ind w:left="117"/>
              <w:rPr>
                <w:i/>
                <w:sz w:val="18"/>
              </w:rPr>
            </w:pPr>
            <w:r>
              <w:rPr>
                <w:i/>
                <w:sz w:val="18"/>
              </w:rPr>
              <w:t>Gas</w:t>
            </w:r>
            <w:r>
              <w:rPr>
                <w:i/>
                <w:spacing w:val="-3"/>
                <w:sz w:val="18"/>
              </w:rPr>
              <w:t> </w:t>
            </w:r>
            <w:r>
              <w:rPr>
                <w:i/>
                <w:sz w:val="18"/>
              </w:rPr>
              <w:t>Access</w:t>
            </w:r>
            <w:r>
              <w:rPr>
                <w:i/>
                <w:spacing w:val="-2"/>
                <w:sz w:val="18"/>
              </w:rPr>
              <w:t> </w:t>
            </w:r>
            <w:r>
              <w:rPr>
                <w:i/>
                <w:sz w:val="18"/>
              </w:rPr>
              <w:t>Arrangement</w:t>
            </w:r>
            <w:r>
              <w:rPr>
                <w:i/>
                <w:spacing w:val="-5"/>
                <w:sz w:val="18"/>
              </w:rPr>
              <w:t> </w:t>
            </w:r>
            <w:r>
              <w:rPr>
                <w:i/>
                <w:spacing w:val="-2"/>
                <w:sz w:val="18"/>
              </w:rPr>
              <w:t>Review</w:t>
            </w:r>
          </w:p>
        </w:tc>
        <w:tc>
          <w:tcPr>
            <w:tcW w:w="2626" w:type="dxa"/>
            <w:tcBorders>
              <w:left w:val="nil"/>
            </w:tcBorders>
          </w:tcPr>
          <w:p>
            <w:pPr>
              <w:pStyle w:val="TableParagraph"/>
              <w:spacing w:before="59"/>
              <w:ind w:left="757"/>
              <w:rPr>
                <w:b/>
                <w:sz w:val="18"/>
              </w:rPr>
            </w:pPr>
            <w:r>
              <w:rPr>
                <w:b/>
                <w:spacing w:val="-5"/>
                <w:sz w:val="18"/>
              </w:rPr>
              <w:t>ESC</w:t>
            </w:r>
          </w:p>
          <w:p>
            <w:pPr>
              <w:pStyle w:val="TableParagraph"/>
              <w:spacing w:before="59"/>
              <w:ind w:left="757"/>
              <w:rPr>
                <w:sz w:val="18"/>
              </w:rPr>
            </w:pPr>
            <w:r>
              <w:rPr>
                <w:spacing w:val="-5"/>
                <w:sz w:val="18"/>
              </w:rPr>
              <w:t>AER</w:t>
            </w:r>
          </w:p>
        </w:tc>
      </w:tr>
      <w:tr>
        <w:trPr>
          <w:trHeight w:val="1127" w:hRule="atLeast"/>
        </w:trPr>
        <w:tc>
          <w:tcPr>
            <w:tcW w:w="6412" w:type="dxa"/>
            <w:tcBorders>
              <w:right w:val="nil"/>
            </w:tcBorders>
          </w:tcPr>
          <w:p>
            <w:pPr>
              <w:pStyle w:val="TableParagraph"/>
              <w:spacing w:line="309" w:lineRule="auto" w:before="59"/>
              <w:ind w:left="117" w:right="1768"/>
              <w:rPr>
                <w:rFonts w:ascii="Arial-BoldItalicMT"/>
                <w:b/>
                <w:i/>
                <w:sz w:val="18"/>
              </w:rPr>
            </w:pPr>
            <w:r>
              <w:rPr>
                <w:rFonts w:ascii="Arial-BoldItalicMT"/>
                <w:b/>
                <w:i/>
                <w:sz w:val="18"/>
              </w:rPr>
              <w:t>Occupational Health and Safety Act 2004 </w:t>
            </w:r>
            <w:r>
              <w:rPr>
                <w:i/>
                <w:sz w:val="18"/>
              </w:rPr>
              <w:t>Occupational</w:t>
            </w:r>
            <w:r>
              <w:rPr>
                <w:i/>
                <w:spacing w:val="-8"/>
                <w:sz w:val="18"/>
              </w:rPr>
              <w:t> </w:t>
            </w:r>
            <w:r>
              <w:rPr>
                <w:i/>
                <w:sz w:val="18"/>
              </w:rPr>
              <w:t>Health</w:t>
            </w:r>
            <w:r>
              <w:rPr>
                <w:i/>
                <w:spacing w:val="-8"/>
                <w:sz w:val="18"/>
              </w:rPr>
              <w:t> </w:t>
            </w:r>
            <w:r>
              <w:rPr>
                <w:i/>
                <w:sz w:val="18"/>
              </w:rPr>
              <w:t>and</w:t>
            </w:r>
            <w:r>
              <w:rPr>
                <w:i/>
                <w:spacing w:val="-8"/>
                <w:sz w:val="18"/>
              </w:rPr>
              <w:t> </w:t>
            </w:r>
            <w:r>
              <w:rPr>
                <w:i/>
                <w:sz w:val="18"/>
              </w:rPr>
              <w:t>Safety</w:t>
            </w:r>
            <w:r>
              <w:rPr>
                <w:i/>
                <w:spacing w:val="-7"/>
                <w:sz w:val="18"/>
              </w:rPr>
              <w:t> </w:t>
            </w:r>
            <w:r>
              <w:rPr>
                <w:i/>
                <w:sz w:val="18"/>
              </w:rPr>
              <w:t>Regulations</w:t>
            </w:r>
            <w:r>
              <w:rPr>
                <w:i/>
                <w:spacing w:val="-7"/>
                <w:sz w:val="18"/>
              </w:rPr>
              <w:t> </w:t>
            </w:r>
            <w:r>
              <w:rPr>
                <w:i/>
                <w:sz w:val="18"/>
              </w:rPr>
              <w:t>2017 </w:t>
            </w:r>
            <w:r>
              <w:rPr>
                <w:rFonts w:ascii="Arial-BoldItalicMT"/>
                <w:b/>
                <w:i/>
                <w:sz w:val="18"/>
              </w:rPr>
              <w:t>Dangerous Goods Act 1985</w:t>
            </w:r>
          </w:p>
          <w:p>
            <w:pPr>
              <w:pStyle w:val="TableParagraph"/>
              <w:spacing w:line="205" w:lineRule="exact"/>
              <w:ind w:left="117"/>
              <w:rPr>
                <w:i/>
                <w:sz w:val="18"/>
              </w:rPr>
            </w:pPr>
            <w:r>
              <w:rPr>
                <w:i/>
                <w:sz w:val="18"/>
              </w:rPr>
              <w:t>Dangerous</w:t>
            </w:r>
            <w:r>
              <w:rPr>
                <w:i/>
                <w:spacing w:val="-6"/>
                <w:sz w:val="18"/>
              </w:rPr>
              <w:t> </w:t>
            </w:r>
            <w:r>
              <w:rPr>
                <w:i/>
                <w:sz w:val="18"/>
              </w:rPr>
              <w:t>Goods</w:t>
            </w:r>
            <w:r>
              <w:rPr>
                <w:i/>
                <w:spacing w:val="-5"/>
                <w:sz w:val="18"/>
              </w:rPr>
              <w:t> </w:t>
            </w:r>
            <w:r>
              <w:rPr>
                <w:i/>
                <w:sz w:val="18"/>
              </w:rPr>
              <w:t>Safety</w:t>
            </w:r>
            <w:r>
              <w:rPr>
                <w:i/>
                <w:spacing w:val="-6"/>
                <w:sz w:val="18"/>
              </w:rPr>
              <w:t> </w:t>
            </w:r>
            <w:r>
              <w:rPr>
                <w:i/>
                <w:sz w:val="18"/>
              </w:rPr>
              <w:t>(Major</w:t>
            </w:r>
            <w:r>
              <w:rPr>
                <w:i/>
                <w:spacing w:val="-7"/>
                <w:sz w:val="18"/>
              </w:rPr>
              <w:t> </w:t>
            </w:r>
            <w:r>
              <w:rPr>
                <w:i/>
                <w:sz w:val="18"/>
              </w:rPr>
              <w:t>Hazard</w:t>
            </w:r>
            <w:r>
              <w:rPr>
                <w:i/>
                <w:spacing w:val="-6"/>
                <w:sz w:val="18"/>
              </w:rPr>
              <w:t> </w:t>
            </w:r>
            <w:r>
              <w:rPr>
                <w:i/>
                <w:sz w:val="18"/>
              </w:rPr>
              <w:t>Facilities)</w:t>
            </w:r>
            <w:r>
              <w:rPr>
                <w:i/>
                <w:spacing w:val="-7"/>
                <w:sz w:val="18"/>
              </w:rPr>
              <w:t> </w:t>
            </w:r>
            <w:r>
              <w:rPr>
                <w:i/>
                <w:sz w:val="18"/>
              </w:rPr>
              <w:t>Regulations</w:t>
            </w:r>
            <w:r>
              <w:rPr>
                <w:i/>
                <w:spacing w:val="-5"/>
                <w:sz w:val="18"/>
              </w:rPr>
              <w:t> </w:t>
            </w:r>
            <w:r>
              <w:rPr>
                <w:i/>
                <w:spacing w:val="-4"/>
                <w:sz w:val="18"/>
              </w:rPr>
              <w:t>2007</w:t>
            </w:r>
          </w:p>
        </w:tc>
        <w:tc>
          <w:tcPr>
            <w:tcW w:w="2626" w:type="dxa"/>
            <w:tcBorders>
              <w:left w:val="nil"/>
            </w:tcBorders>
          </w:tcPr>
          <w:p>
            <w:pPr>
              <w:pStyle w:val="TableParagraph"/>
              <w:spacing w:line="266" w:lineRule="exact" w:before="15"/>
              <w:ind w:left="757" w:right="316"/>
              <w:rPr>
                <w:sz w:val="18"/>
              </w:rPr>
            </w:pPr>
            <w:r>
              <w:rPr>
                <w:b/>
                <w:sz w:val="18"/>
              </w:rPr>
              <w:t>WorkSafe</w:t>
            </w:r>
            <w:r>
              <w:rPr>
                <w:b/>
                <w:spacing w:val="-13"/>
                <w:sz w:val="18"/>
              </w:rPr>
              <w:t> </w:t>
            </w:r>
            <w:r>
              <w:rPr>
                <w:b/>
                <w:sz w:val="18"/>
              </w:rPr>
              <w:t>Victoria </w:t>
            </w:r>
            <w:r>
              <w:rPr>
                <w:sz w:val="18"/>
              </w:rPr>
              <w:t>WorkSafe Victoria </w:t>
            </w:r>
            <w:r>
              <w:rPr>
                <w:b/>
                <w:sz w:val="18"/>
              </w:rPr>
              <w:t>WorkSafe</w:t>
            </w:r>
            <w:r>
              <w:rPr>
                <w:b/>
                <w:spacing w:val="-13"/>
                <w:sz w:val="18"/>
              </w:rPr>
              <w:t> </w:t>
            </w:r>
            <w:r>
              <w:rPr>
                <w:b/>
                <w:sz w:val="18"/>
              </w:rPr>
              <w:t>Victoria </w:t>
            </w:r>
            <w:r>
              <w:rPr>
                <w:sz w:val="18"/>
              </w:rPr>
              <w:t>WorkSafe Victoria</w:t>
            </w:r>
          </w:p>
        </w:tc>
      </w:tr>
      <w:tr>
        <w:trPr>
          <w:trHeight w:val="861" w:hRule="atLeast"/>
        </w:trPr>
        <w:tc>
          <w:tcPr>
            <w:tcW w:w="6412" w:type="dxa"/>
            <w:tcBorders>
              <w:right w:val="nil"/>
            </w:tcBorders>
          </w:tcPr>
          <w:p>
            <w:pPr>
              <w:pStyle w:val="TableParagraph"/>
              <w:spacing w:before="59"/>
              <w:ind w:left="117"/>
              <w:rPr>
                <w:rFonts w:ascii="Arial-BoldItalicMT"/>
                <w:b/>
                <w:i/>
                <w:sz w:val="18"/>
              </w:rPr>
            </w:pPr>
            <w:r>
              <w:rPr>
                <w:rFonts w:ascii="Arial-BoldItalicMT"/>
                <w:b/>
                <w:i/>
                <w:sz w:val="18"/>
              </w:rPr>
              <w:t>National</w:t>
            </w:r>
            <w:r>
              <w:rPr>
                <w:rFonts w:ascii="Arial-BoldItalicMT"/>
                <w:b/>
                <w:i/>
                <w:spacing w:val="-5"/>
                <w:sz w:val="18"/>
              </w:rPr>
              <w:t> </w:t>
            </w:r>
            <w:r>
              <w:rPr>
                <w:rFonts w:ascii="Arial-BoldItalicMT"/>
                <w:b/>
                <w:i/>
                <w:sz w:val="18"/>
              </w:rPr>
              <w:t>Gas</w:t>
            </w:r>
            <w:r>
              <w:rPr>
                <w:rFonts w:ascii="Arial-BoldItalicMT"/>
                <w:b/>
                <w:i/>
                <w:spacing w:val="-4"/>
                <w:sz w:val="18"/>
              </w:rPr>
              <w:t> </w:t>
            </w:r>
            <w:r>
              <w:rPr>
                <w:rFonts w:ascii="Arial-BoldItalicMT"/>
                <w:b/>
                <w:i/>
                <w:sz w:val="18"/>
              </w:rPr>
              <w:t>Victoria</w:t>
            </w:r>
            <w:r>
              <w:rPr>
                <w:rFonts w:ascii="Arial-BoldItalicMT"/>
                <w:b/>
                <w:i/>
                <w:spacing w:val="-4"/>
                <w:sz w:val="18"/>
              </w:rPr>
              <w:t> </w:t>
            </w:r>
            <w:r>
              <w:rPr>
                <w:rFonts w:ascii="Arial-BoldItalicMT"/>
                <w:b/>
                <w:i/>
                <w:sz w:val="18"/>
              </w:rPr>
              <w:t>Act</w:t>
            </w:r>
            <w:r>
              <w:rPr>
                <w:rFonts w:ascii="Arial-BoldItalicMT"/>
                <w:b/>
                <w:i/>
                <w:spacing w:val="-3"/>
                <w:sz w:val="18"/>
              </w:rPr>
              <w:t> </w:t>
            </w:r>
            <w:r>
              <w:rPr>
                <w:rFonts w:ascii="Arial-BoldItalicMT"/>
                <w:b/>
                <w:i/>
                <w:spacing w:val="-4"/>
                <w:sz w:val="18"/>
              </w:rPr>
              <w:t>2008</w:t>
            </w:r>
          </w:p>
          <w:p>
            <w:pPr>
              <w:pStyle w:val="TableParagraph"/>
              <w:spacing w:line="260" w:lineRule="atLeast" w:before="7"/>
              <w:ind w:left="117" w:right="4246"/>
              <w:rPr>
                <w:i/>
                <w:sz w:val="18"/>
              </w:rPr>
            </w:pPr>
            <w:r>
              <w:rPr>
                <w:i/>
                <w:sz w:val="18"/>
              </w:rPr>
              <w:t>National Gas Law National</w:t>
            </w:r>
            <w:r>
              <w:rPr>
                <w:i/>
                <w:spacing w:val="-15"/>
                <w:sz w:val="18"/>
              </w:rPr>
              <w:t> </w:t>
            </w:r>
            <w:r>
              <w:rPr>
                <w:i/>
                <w:sz w:val="18"/>
              </w:rPr>
              <w:t>Gas</w:t>
            </w:r>
            <w:r>
              <w:rPr>
                <w:i/>
                <w:spacing w:val="-12"/>
                <w:sz w:val="18"/>
              </w:rPr>
              <w:t> </w:t>
            </w:r>
            <w:r>
              <w:rPr>
                <w:i/>
                <w:sz w:val="18"/>
              </w:rPr>
              <w:t>Rules</w:t>
            </w:r>
          </w:p>
        </w:tc>
        <w:tc>
          <w:tcPr>
            <w:tcW w:w="2626" w:type="dxa"/>
            <w:tcBorders>
              <w:left w:val="nil"/>
            </w:tcBorders>
          </w:tcPr>
          <w:p>
            <w:pPr>
              <w:pStyle w:val="TableParagraph"/>
              <w:spacing w:line="260" w:lineRule="atLeast" w:before="6"/>
              <w:ind w:left="757" w:right="1339"/>
              <w:rPr>
                <w:sz w:val="18"/>
              </w:rPr>
            </w:pPr>
            <w:r>
              <w:rPr>
                <w:b/>
                <w:spacing w:val="-4"/>
                <w:sz w:val="18"/>
              </w:rPr>
              <w:t>AER </w:t>
            </w:r>
            <w:r>
              <w:rPr>
                <w:spacing w:val="-4"/>
                <w:sz w:val="18"/>
              </w:rPr>
              <w:t>AEMC AEMC</w:t>
            </w:r>
          </w:p>
        </w:tc>
      </w:tr>
      <w:tr>
        <w:trPr>
          <w:trHeight w:val="1127" w:hRule="atLeast"/>
        </w:trPr>
        <w:tc>
          <w:tcPr>
            <w:tcW w:w="6412" w:type="dxa"/>
            <w:tcBorders>
              <w:right w:val="nil"/>
            </w:tcBorders>
          </w:tcPr>
          <w:p>
            <w:pPr>
              <w:pStyle w:val="TableParagraph"/>
              <w:spacing w:before="59"/>
              <w:ind w:left="117"/>
              <w:rPr>
                <w:rFonts w:ascii="Arial-BoldItalicMT"/>
                <w:b/>
                <w:i/>
                <w:sz w:val="18"/>
              </w:rPr>
            </w:pPr>
            <w:r>
              <w:rPr>
                <w:rFonts w:ascii="Arial-BoldItalicMT"/>
                <w:b/>
                <w:i/>
                <w:sz w:val="18"/>
              </w:rPr>
              <w:t>Essential</w:t>
            </w:r>
            <w:r>
              <w:rPr>
                <w:rFonts w:ascii="Arial-BoldItalicMT"/>
                <w:b/>
                <w:i/>
                <w:spacing w:val="-4"/>
                <w:sz w:val="18"/>
              </w:rPr>
              <w:t> </w:t>
            </w:r>
            <w:r>
              <w:rPr>
                <w:rFonts w:ascii="Arial-BoldItalicMT"/>
                <w:b/>
                <w:i/>
                <w:sz w:val="18"/>
              </w:rPr>
              <w:t>Services</w:t>
            </w:r>
            <w:r>
              <w:rPr>
                <w:rFonts w:ascii="Arial-BoldItalicMT"/>
                <w:b/>
                <w:i/>
                <w:spacing w:val="-4"/>
                <w:sz w:val="18"/>
              </w:rPr>
              <w:t> </w:t>
            </w:r>
            <w:r>
              <w:rPr>
                <w:rFonts w:ascii="Arial-BoldItalicMT"/>
                <w:b/>
                <w:i/>
                <w:sz w:val="18"/>
              </w:rPr>
              <w:t>Commission</w:t>
            </w:r>
            <w:r>
              <w:rPr>
                <w:rFonts w:ascii="Arial-BoldItalicMT"/>
                <w:b/>
                <w:i/>
                <w:spacing w:val="-3"/>
                <w:sz w:val="18"/>
              </w:rPr>
              <w:t> </w:t>
            </w:r>
            <w:r>
              <w:rPr>
                <w:rFonts w:ascii="Arial-BoldItalicMT"/>
                <w:b/>
                <w:i/>
                <w:sz w:val="18"/>
              </w:rPr>
              <w:t>and</w:t>
            </w:r>
            <w:r>
              <w:rPr>
                <w:rFonts w:ascii="Arial-BoldItalicMT"/>
                <w:b/>
                <w:i/>
                <w:spacing w:val="-6"/>
                <w:sz w:val="18"/>
              </w:rPr>
              <w:t> </w:t>
            </w:r>
            <w:r>
              <w:rPr>
                <w:rFonts w:ascii="Arial-BoldItalicMT"/>
                <w:b/>
                <w:i/>
                <w:sz w:val="18"/>
              </w:rPr>
              <w:t>Gas Industry</w:t>
            </w:r>
            <w:r>
              <w:rPr>
                <w:rFonts w:ascii="Arial-BoldItalicMT"/>
                <w:b/>
                <w:i/>
                <w:spacing w:val="-3"/>
                <w:sz w:val="18"/>
              </w:rPr>
              <w:t> </w:t>
            </w:r>
            <w:r>
              <w:rPr>
                <w:rFonts w:ascii="Arial-BoldItalicMT"/>
                <w:b/>
                <w:i/>
                <w:sz w:val="18"/>
              </w:rPr>
              <w:t>Act</w:t>
            </w:r>
            <w:r>
              <w:rPr>
                <w:rFonts w:ascii="Arial-BoldItalicMT"/>
                <w:b/>
                <w:i/>
                <w:spacing w:val="-6"/>
                <w:sz w:val="18"/>
              </w:rPr>
              <w:t> </w:t>
            </w:r>
            <w:r>
              <w:rPr>
                <w:rFonts w:ascii="Arial-BoldItalicMT"/>
                <w:b/>
                <w:i/>
                <w:spacing w:val="-4"/>
                <w:sz w:val="18"/>
              </w:rPr>
              <w:t>2001</w:t>
            </w:r>
          </w:p>
          <w:p>
            <w:pPr>
              <w:pStyle w:val="TableParagraph"/>
              <w:spacing w:line="309" w:lineRule="auto" w:before="59"/>
              <w:ind w:left="117" w:right="3925"/>
              <w:rPr>
                <w:i/>
                <w:sz w:val="18"/>
              </w:rPr>
            </w:pPr>
            <w:r>
              <w:rPr>
                <w:i/>
                <w:sz w:val="18"/>
              </w:rPr>
              <w:t>Guaranteed</w:t>
            </w:r>
            <w:r>
              <w:rPr>
                <w:i/>
                <w:spacing w:val="-15"/>
                <w:sz w:val="18"/>
              </w:rPr>
              <w:t> </w:t>
            </w:r>
            <w:r>
              <w:rPr>
                <w:i/>
                <w:sz w:val="18"/>
              </w:rPr>
              <w:t>Service</w:t>
            </w:r>
            <w:r>
              <w:rPr>
                <w:i/>
                <w:spacing w:val="-12"/>
                <w:sz w:val="18"/>
              </w:rPr>
              <w:t> </w:t>
            </w:r>
            <w:r>
              <w:rPr>
                <w:i/>
                <w:sz w:val="18"/>
              </w:rPr>
              <w:t>Level Gas Distribution Code</w:t>
            </w:r>
          </w:p>
          <w:p>
            <w:pPr>
              <w:pStyle w:val="TableParagraph"/>
              <w:spacing w:line="206" w:lineRule="exact"/>
              <w:ind w:left="117"/>
              <w:rPr>
                <w:i/>
                <w:sz w:val="18"/>
              </w:rPr>
            </w:pPr>
            <w:r>
              <w:rPr>
                <w:i/>
                <w:sz w:val="18"/>
              </w:rPr>
              <w:t>Unaccounted</w:t>
            </w:r>
            <w:r>
              <w:rPr>
                <w:i/>
                <w:spacing w:val="-8"/>
                <w:sz w:val="18"/>
              </w:rPr>
              <w:t> </w:t>
            </w:r>
            <w:r>
              <w:rPr>
                <w:i/>
                <w:sz w:val="18"/>
              </w:rPr>
              <w:t>for</w:t>
            </w:r>
            <w:r>
              <w:rPr>
                <w:i/>
                <w:spacing w:val="-7"/>
                <w:sz w:val="18"/>
              </w:rPr>
              <w:t> </w:t>
            </w:r>
            <w:r>
              <w:rPr>
                <w:i/>
                <w:sz w:val="18"/>
              </w:rPr>
              <w:t>Gas</w:t>
            </w:r>
            <w:r>
              <w:rPr>
                <w:i/>
                <w:spacing w:val="-8"/>
                <w:sz w:val="18"/>
              </w:rPr>
              <w:t> </w:t>
            </w:r>
            <w:r>
              <w:rPr>
                <w:i/>
                <w:sz w:val="18"/>
              </w:rPr>
              <w:t>Incentive</w:t>
            </w:r>
            <w:r>
              <w:rPr>
                <w:i/>
                <w:spacing w:val="-7"/>
                <w:sz w:val="18"/>
              </w:rPr>
              <w:t> </w:t>
            </w:r>
            <w:r>
              <w:rPr>
                <w:i/>
                <w:spacing w:val="-2"/>
                <w:sz w:val="18"/>
              </w:rPr>
              <w:t>Mechanism</w:t>
            </w:r>
          </w:p>
        </w:tc>
        <w:tc>
          <w:tcPr>
            <w:tcW w:w="2626" w:type="dxa"/>
            <w:tcBorders>
              <w:left w:val="nil"/>
            </w:tcBorders>
          </w:tcPr>
          <w:p>
            <w:pPr>
              <w:pStyle w:val="TableParagraph"/>
              <w:spacing w:line="266" w:lineRule="exact" w:before="15"/>
              <w:ind w:left="757" w:right="1491"/>
              <w:jc w:val="both"/>
              <w:rPr>
                <w:sz w:val="18"/>
              </w:rPr>
            </w:pPr>
            <w:r>
              <w:rPr>
                <w:b/>
                <w:spacing w:val="-4"/>
                <w:sz w:val="18"/>
              </w:rPr>
              <w:t>ESC </w:t>
            </w:r>
            <w:r>
              <w:rPr>
                <w:spacing w:val="-4"/>
                <w:sz w:val="18"/>
              </w:rPr>
              <w:t>ESC ESC </w:t>
            </w:r>
            <w:r>
              <w:rPr>
                <w:spacing w:val="-5"/>
                <w:sz w:val="18"/>
              </w:rPr>
              <w:t>ESC</w:t>
            </w:r>
          </w:p>
        </w:tc>
      </w:tr>
    </w:tbl>
    <w:p>
      <w:pPr>
        <w:spacing w:after="0" w:line="266" w:lineRule="exact"/>
        <w:jc w:val="both"/>
        <w:rPr>
          <w:sz w:val="18"/>
        </w:rPr>
        <w:sectPr>
          <w:pgSz w:w="11910" w:h="16840"/>
          <w:pgMar w:header="887" w:footer="1243" w:top="1080" w:bottom="1500" w:left="840" w:right="820"/>
        </w:sectPr>
      </w:pPr>
    </w:p>
    <w:p>
      <w:pPr>
        <w:pStyle w:val="BodyText"/>
        <w:rPr>
          <w:b/>
          <w:sz w:val="20"/>
        </w:rPr>
      </w:pPr>
    </w:p>
    <w:p>
      <w:pPr>
        <w:pStyle w:val="BodyText"/>
        <w:rPr>
          <w:b/>
          <w:sz w:val="20"/>
        </w:rPr>
      </w:pPr>
    </w:p>
    <w:p>
      <w:pPr>
        <w:pStyle w:val="Heading4"/>
        <w:spacing w:before="258"/>
        <w:ind w:left="600"/>
      </w:pPr>
      <w:r>
        <w:rPr>
          <w:color w:val="585858"/>
          <w:spacing w:val="-2"/>
        </w:rPr>
        <w:t>References</w:t>
      </w:r>
    </w:p>
    <w:p>
      <w:pPr>
        <w:spacing w:before="313"/>
        <w:ind w:left="600" w:right="0" w:firstLine="0"/>
        <w:jc w:val="left"/>
        <w:rPr>
          <w:sz w:val="18"/>
        </w:rPr>
      </w:pPr>
      <w:r>
        <w:rPr>
          <w:sz w:val="18"/>
        </w:rPr>
        <w:t>2009</w:t>
      </w:r>
      <w:r>
        <w:rPr>
          <w:spacing w:val="-4"/>
          <w:sz w:val="18"/>
        </w:rPr>
        <w:t> </w:t>
      </w:r>
      <w:r>
        <w:rPr>
          <w:sz w:val="18"/>
        </w:rPr>
        <w:t>Victorian</w:t>
      </w:r>
      <w:r>
        <w:rPr>
          <w:spacing w:val="-5"/>
          <w:sz w:val="18"/>
        </w:rPr>
        <w:t> </w:t>
      </w:r>
      <w:r>
        <w:rPr>
          <w:sz w:val="18"/>
        </w:rPr>
        <w:t>Bushfires</w:t>
      </w:r>
      <w:r>
        <w:rPr>
          <w:spacing w:val="-2"/>
          <w:sz w:val="18"/>
        </w:rPr>
        <w:t> </w:t>
      </w:r>
      <w:r>
        <w:rPr>
          <w:sz w:val="18"/>
        </w:rPr>
        <w:t>Royal</w:t>
      </w:r>
      <w:r>
        <w:rPr>
          <w:spacing w:val="-4"/>
          <w:sz w:val="18"/>
        </w:rPr>
        <w:t> </w:t>
      </w:r>
      <w:r>
        <w:rPr>
          <w:sz w:val="18"/>
        </w:rPr>
        <w:t>Commission,</w:t>
      </w:r>
      <w:r>
        <w:rPr>
          <w:spacing w:val="-3"/>
          <w:sz w:val="18"/>
        </w:rPr>
        <w:t> </w:t>
      </w:r>
      <w:r>
        <w:rPr>
          <w:sz w:val="18"/>
        </w:rPr>
        <w:t>2010.</w:t>
      </w:r>
      <w:r>
        <w:rPr>
          <w:spacing w:val="-1"/>
          <w:sz w:val="18"/>
        </w:rPr>
        <w:t> </w:t>
      </w:r>
      <w:r>
        <w:rPr>
          <w:i/>
          <w:sz w:val="18"/>
        </w:rPr>
        <w:t>Final</w:t>
      </w:r>
      <w:r>
        <w:rPr>
          <w:i/>
          <w:spacing w:val="-3"/>
          <w:sz w:val="18"/>
        </w:rPr>
        <w:t> </w:t>
      </w:r>
      <w:r>
        <w:rPr>
          <w:i/>
          <w:spacing w:val="-2"/>
          <w:sz w:val="18"/>
        </w:rPr>
        <w:t>Report</w:t>
      </w:r>
      <w:r>
        <w:rPr>
          <w:spacing w:val="-2"/>
          <w:sz w:val="18"/>
        </w:rPr>
        <w:t>.</w:t>
      </w:r>
    </w:p>
    <w:p>
      <w:pPr>
        <w:spacing w:line="381" w:lineRule="auto" w:before="121"/>
        <w:ind w:left="600" w:right="910" w:firstLine="0"/>
        <w:jc w:val="left"/>
        <w:rPr>
          <w:sz w:val="18"/>
        </w:rPr>
      </w:pPr>
      <w:r>
        <w:rPr>
          <w:sz w:val="18"/>
        </w:rPr>
        <w:t>ACIL</w:t>
      </w:r>
      <w:r>
        <w:rPr>
          <w:spacing w:val="-3"/>
          <w:sz w:val="18"/>
        </w:rPr>
        <w:t> </w:t>
      </w:r>
      <w:r>
        <w:rPr>
          <w:sz w:val="18"/>
        </w:rPr>
        <w:t>Allen</w:t>
      </w:r>
      <w:r>
        <w:rPr>
          <w:spacing w:val="-3"/>
          <w:sz w:val="18"/>
        </w:rPr>
        <w:t> </w:t>
      </w:r>
      <w:r>
        <w:rPr>
          <w:sz w:val="18"/>
        </w:rPr>
        <w:t>Consulting,</w:t>
      </w:r>
      <w:r>
        <w:rPr>
          <w:spacing w:val="-3"/>
          <w:sz w:val="18"/>
        </w:rPr>
        <w:t> </w:t>
      </w:r>
      <w:r>
        <w:rPr>
          <w:sz w:val="18"/>
        </w:rPr>
        <w:t>2015.</w:t>
      </w:r>
      <w:r>
        <w:rPr>
          <w:spacing w:val="-3"/>
          <w:sz w:val="18"/>
        </w:rPr>
        <w:t> </w:t>
      </w:r>
      <w:r>
        <w:rPr>
          <w:i/>
          <w:sz w:val="18"/>
        </w:rPr>
        <w:t>Regulatory</w:t>
      </w:r>
      <w:r>
        <w:rPr>
          <w:i/>
          <w:spacing w:val="-4"/>
          <w:sz w:val="18"/>
        </w:rPr>
        <w:t> </w:t>
      </w:r>
      <w:r>
        <w:rPr>
          <w:i/>
          <w:sz w:val="18"/>
        </w:rPr>
        <w:t>Impact</w:t>
      </w:r>
      <w:r>
        <w:rPr>
          <w:i/>
          <w:spacing w:val="-3"/>
          <w:sz w:val="18"/>
        </w:rPr>
        <w:t> </w:t>
      </w:r>
      <w:r>
        <w:rPr>
          <w:i/>
          <w:sz w:val="18"/>
        </w:rPr>
        <w:t>Statement:</w:t>
      </w:r>
      <w:r>
        <w:rPr>
          <w:i/>
          <w:spacing w:val="-5"/>
          <w:sz w:val="18"/>
        </w:rPr>
        <w:t> </w:t>
      </w:r>
      <w:r>
        <w:rPr>
          <w:i/>
          <w:sz w:val="18"/>
        </w:rPr>
        <w:t>Bushfire</w:t>
      </w:r>
      <w:r>
        <w:rPr>
          <w:i/>
          <w:spacing w:val="-3"/>
          <w:sz w:val="18"/>
        </w:rPr>
        <w:t> </w:t>
      </w:r>
      <w:r>
        <w:rPr>
          <w:i/>
          <w:sz w:val="18"/>
        </w:rPr>
        <w:t>Mitigation</w:t>
      </w:r>
      <w:r>
        <w:rPr>
          <w:i/>
          <w:spacing w:val="-3"/>
          <w:sz w:val="18"/>
        </w:rPr>
        <w:t> </w:t>
      </w:r>
      <w:r>
        <w:rPr>
          <w:i/>
          <w:sz w:val="18"/>
        </w:rPr>
        <w:t>Regulations</w:t>
      </w:r>
      <w:r>
        <w:rPr>
          <w:i/>
          <w:spacing w:val="-2"/>
          <w:sz w:val="18"/>
        </w:rPr>
        <w:t> </w:t>
      </w:r>
      <w:r>
        <w:rPr>
          <w:i/>
          <w:sz w:val="18"/>
        </w:rPr>
        <w:t>Amendment</w:t>
      </w:r>
      <w:r>
        <w:rPr>
          <w:sz w:val="18"/>
        </w:rPr>
        <w:t>. AEMO, 2012. </w:t>
      </w:r>
      <w:r>
        <w:rPr>
          <w:i/>
          <w:sz w:val="18"/>
        </w:rPr>
        <w:t>Guide to Victoria's Declared Wholesale Gas Market</w:t>
      </w:r>
      <w:r>
        <w:rPr>
          <w:sz w:val="18"/>
        </w:rPr>
        <w:t>.</w:t>
      </w:r>
    </w:p>
    <w:p>
      <w:pPr>
        <w:spacing w:line="206" w:lineRule="exact" w:before="0"/>
        <w:ind w:left="600" w:right="0" w:firstLine="0"/>
        <w:jc w:val="left"/>
        <w:rPr>
          <w:i/>
          <w:sz w:val="18"/>
        </w:rPr>
      </w:pPr>
      <w:r>
        <w:rPr>
          <w:sz w:val="18"/>
        </w:rPr>
        <w:t>AEMO,</w:t>
      </w:r>
      <w:r>
        <w:rPr>
          <w:spacing w:val="-2"/>
          <w:sz w:val="18"/>
        </w:rPr>
        <w:t> </w:t>
      </w:r>
      <w:r>
        <w:rPr>
          <w:sz w:val="18"/>
        </w:rPr>
        <w:t>2015.</w:t>
      </w:r>
      <w:r>
        <w:rPr>
          <w:spacing w:val="-1"/>
          <w:sz w:val="18"/>
        </w:rPr>
        <w:t> </w:t>
      </w:r>
      <w:r>
        <w:rPr>
          <w:i/>
          <w:sz w:val="18"/>
        </w:rPr>
        <w:t>An</w:t>
      </w:r>
      <w:r>
        <w:rPr>
          <w:i/>
          <w:spacing w:val="-1"/>
          <w:sz w:val="18"/>
        </w:rPr>
        <w:t> </w:t>
      </w:r>
      <w:r>
        <w:rPr>
          <w:i/>
          <w:sz w:val="18"/>
        </w:rPr>
        <w:t>Overview</w:t>
      </w:r>
      <w:r>
        <w:rPr>
          <w:i/>
          <w:spacing w:val="-2"/>
          <w:sz w:val="18"/>
        </w:rPr>
        <w:t> </w:t>
      </w:r>
      <w:r>
        <w:rPr>
          <w:i/>
          <w:sz w:val="18"/>
        </w:rPr>
        <w:t>of</w:t>
      </w:r>
      <w:r>
        <w:rPr>
          <w:i/>
          <w:spacing w:val="-4"/>
          <w:sz w:val="18"/>
        </w:rPr>
        <w:t> </w:t>
      </w:r>
      <w:r>
        <w:rPr>
          <w:i/>
          <w:sz w:val="18"/>
        </w:rPr>
        <w:t>the</w:t>
      </w:r>
      <w:r>
        <w:rPr>
          <w:i/>
          <w:spacing w:val="-1"/>
          <w:sz w:val="18"/>
        </w:rPr>
        <w:t> </w:t>
      </w:r>
      <w:r>
        <w:rPr>
          <w:i/>
          <w:sz w:val="18"/>
        </w:rPr>
        <w:t>Vic</w:t>
      </w:r>
      <w:r>
        <w:rPr>
          <w:i/>
          <w:spacing w:val="-1"/>
          <w:sz w:val="18"/>
        </w:rPr>
        <w:t> </w:t>
      </w:r>
      <w:r>
        <w:rPr>
          <w:i/>
          <w:sz w:val="18"/>
        </w:rPr>
        <w:t>Gas </w:t>
      </w:r>
      <w:r>
        <w:rPr>
          <w:i/>
          <w:spacing w:val="-2"/>
          <w:sz w:val="18"/>
        </w:rPr>
        <w:t>Market.</w:t>
      </w:r>
    </w:p>
    <w:p>
      <w:pPr>
        <w:spacing w:before="122"/>
        <w:ind w:left="600" w:right="0" w:firstLine="0"/>
        <w:jc w:val="left"/>
        <w:rPr>
          <w:sz w:val="18"/>
        </w:rPr>
      </w:pPr>
      <w:r>
        <w:rPr>
          <w:sz w:val="18"/>
        </w:rPr>
        <w:t>AER,</w:t>
      </w:r>
      <w:r>
        <w:rPr>
          <w:spacing w:val="-2"/>
          <w:sz w:val="18"/>
        </w:rPr>
        <w:t> </w:t>
      </w:r>
      <w:r>
        <w:rPr>
          <w:sz w:val="18"/>
        </w:rPr>
        <w:t>2015.</w:t>
      </w:r>
      <w:r>
        <w:rPr>
          <w:spacing w:val="-3"/>
          <w:sz w:val="18"/>
        </w:rPr>
        <w:t> </w:t>
      </w:r>
      <w:r>
        <w:rPr>
          <w:i/>
          <w:sz w:val="18"/>
        </w:rPr>
        <w:t>State</w:t>
      </w:r>
      <w:r>
        <w:rPr>
          <w:i/>
          <w:spacing w:val="-4"/>
          <w:sz w:val="18"/>
        </w:rPr>
        <w:t> </w:t>
      </w:r>
      <w:r>
        <w:rPr>
          <w:i/>
          <w:sz w:val="18"/>
        </w:rPr>
        <w:t>of</w:t>
      </w:r>
      <w:r>
        <w:rPr>
          <w:i/>
          <w:spacing w:val="-1"/>
          <w:sz w:val="18"/>
        </w:rPr>
        <w:t> </w:t>
      </w:r>
      <w:r>
        <w:rPr>
          <w:i/>
          <w:sz w:val="18"/>
        </w:rPr>
        <w:t>the</w:t>
      </w:r>
      <w:r>
        <w:rPr>
          <w:i/>
          <w:spacing w:val="-2"/>
          <w:sz w:val="18"/>
        </w:rPr>
        <w:t> </w:t>
      </w:r>
      <w:r>
        <w:rPr>
          <w:i/>
          <w:sz w:val="18"/>
        </w:rPr>
        <w:t>energy market</w:t>
      </w:r>
      <w:r>
        <w:rPr>
          <w:i/>
          <w:spacing w:val="-3"/>
          <w:sz w:val="18"/>
        </w:rPr>
        <w:t> </w:t>
      </w:r>
      <w:r>
        <w:rPr>
          <w:i/>
          <w:spacing w:val="-4"/>
          <w:sz w:val="18"/>
        </w:rPr>
        <w:t>2015</w:t>
      </w:r>
      <w:r>
        <w:rPr>
          <w:spacing w:val="-4"/>
          <w:sz w:val="18"/>
        </w:rPr>
        <w:t>.</w:t>
      </w:r>
    </w:p>
    <w:p>
      <w:pPr>
        <w:spacing w:line="379" w:lineRule="auto" w:before="122"/>
        <w:ind w:left="600" w:right="2635" w:firstLine="0"/>
        <w:jc w:val="left"/>
        <w:rPr>
          <w:sz w:val="18"/>
        </w:rPr>
      </w:pPr>
      <w:r>
        <w:rPr>
          <w:sz w:val="18"/>
        </w:rPr>
        <w:t>CSIRO,</w:t>
      </w:r>
      <w:r>
        <w:rPr>
          <w:spacing w:val="-3"/>
          <w:sz w:val="18"/>
        </w:rPr>
        <w:t> </w:t>
      </w:r>
      <w:r>
        <w:rPr>
          <w:sz w:val="18"/>
        </w:rPr>
        <w:t>2014.</w:t>
      </w:r>
      <w:r>
        <w:rPr>
          <w:spacing w:val="-4"/>
          <w:sz w:val="18"/>
        </w:rPr>
        <w:t> </w:t>
      </w:r>
      <w:r>
        <w:rPr>
          <w:i/>
          <w:sz w:val="18"/>
        </w:rPr>
        <w:t>Links</w:t>
      </w:r>
      <w:r>
        <w:rPr>
          <w:i/>
          <w:spacing w:val="-4"/>
          <w:sz w:val="18"/>
        </w:rPr>
        <w:t> </w:t>
      </w:r>
      <w:r>
        <w:rPr>
          <w:i/>
          <w:sz w:val="18"/>
        </w:rPr>
        <w:t>between</w:t>
      </w:r>
      <w:r>
        <w:rPr>
          <w:i/>
          <w:spacing w:val="-5"/>
          <w:sz w:val="18"/>
        </w:rPr>
        <w:t> </w:t>
      </w:r>
      <w:r>
        <w:rPr>
          <w:i/>
          <w:sz w:val="18"/>
        </w:rPr>
        <w:t>bushfires</w:t>
      </w:r>
      <w:r>
        <w:rPr>
          <w:i/>
          <w:spacing w:val="-2"/>
          <w:sz w:val="18"/>
        </w:rPr>
        <w:t> </w:t>
      </w:r>
      <w:r>
        <w:rPr>
          <w:i/>
          <w:sz w:val="18"/>
        </w:rPr>
        <w:t>from</w:t>
      </w:r>
      <w:r>
        <w:rPr>
          <w:i/>
          <w:spacing w:val="-1"/>
          <w:sz w:val="18"/>
        </w:rPr>
        <w:t> </w:t>
      </w:r>
      <w:r>
        <w:rPr>
          <w:i/>
          <w:sz w:val="18"/>
        </w:rPr>
        <w:t>powerlines</w:t>
      </w:r>
      <w:r>
        <w:rPr>
          <w:i/>
          <w:spacing w:val="-5"/>
          <w:sz w:val="18"/>
        </w:rPr>
        <w:t> </w:t>
      </w:r>
      <w:r>
        <w:rPr>
          <w:i/>
          <w:sz w:val="18"/>
        </w:rPr>
        <w:t>and</w:t>
      </w:r>
      <w:r>
        <w:rPr>
          <w:i/>
          <w:spacing w:val="-7"/>
          <w:sz w:val="18"/>
        </w:rPr>
        <w:t> </w:t>
      </w:r>
      <w:r>
        <w:rPr>
          <w:i/>
          <w:sz w:val="18"/>
        </w:rPr>
        <w:t>catastrophic</w:t>
      </w:r>
      <w:r>
        <w:rPr>
          <w:i/>
          <w:spacing w:val="-2"/>
          <w:sz w:val="18"/>
        </w:rPr>
        <w:t> </w:t>
      </w:r>
      <w:r>
        <w:rPr>
          <w:i/>
          <w:sz w:val="18"/>
        </w:rPr>
        <w:t>fire</w:t>
      </w:r>
      <w:r>
        <w:rPr>
          <w:i/>
          <w:spacing w:val="-3"/>
          <w:sz w:val="18"/>
        </w:rPr>
        <w:t> </w:t>
      </w:r>
      <w:r>
        <w:rPr>
          <w:i/>
          <w:sz w:val="18"/>
        </w:rPr>
        <w:t>events</w:t>
      </w:r>
      <w:r>
        <w:rPr>
          <w:sz w:val="18"/>
        </w:rPr>
        <w:t>. CSIRO, 2015. </w:t>
      </w:r>
      <w:r>
        <w:rPr>
          <w:i/>
          <w:sz w:val="18"/>
        </w:rPr>
        <w:t>Electrical energy storage: Technology overview and applications</w:t>
      </w:r>
      <w:r>
        <w:rPr>
          <w:sz w:val="18"/>
        </w:rPr>
        <w:t>.</w:t>
      </w:r>
    </w:p>
    <w:p>
      <w:pPr>
        <w:spacing w:before="1"/>
        <w:ind w:left="600" w:right="0" w:firstLine="0"/>
        <w:jc w:val="left"/>
        <w:rPr>
          <w:i/>
          <w:sz w:val="18"/>
        </w:rPr>
      </w:pPr>
      <w:r>
        <w:rPr>
          <w:sz w:val="18"/>
        </w:rPr>
        <w:t>Parliament</w:t>
      </w:r>
      <w:r>
        <w:rPr>
          <w:spacing w:val="-5"/>
          <w:sz w:val="18"/>
        </w:rPr>
        <w:t> </w:t>
      </w:r>
      <w:r>
        <w:rPr>
          <w:sz w:val="18"/>
        </w:rPr>
        <w:t>of</w:t>
      </w:r>
      <w:r>
        <w:rPr>
          <w:spacing w:val="-2"/>
          <w:sz w:val="18"/>
        </w:rPr>
        <w:t> </w:t>
      </w:r>
      <w:r>
        <w:rPr>
          <w:sz w:val="18"/>
        </w:rPr>
        <w:t>Victoria,</w:t>
      </w:r>
      <w:r>
        <w:rPr>
          <w:spacing w:val="-5"/>
          <w:sz w:val="18"/>
        </w:rPr>
        <w:t> </w:t>
      </w:r>
      <w:r>
        <w:rPr>
          <w:sz w:val="18"/>
        </w:rPr>
        <w:t>1998.</w:t>
      </w:r>
      <w:r>
        <w:rPr>
          <w:spacing w:val="-1"/>
          <w:sz w:val="18"/>
        </w:rPr>
        <w:t> </w:t>
      </w:r>
      <w:r>
        <w:rPr>
          <w:i/>
          <w:sz w:val="18"/>
        </w:rPr>
        <w:t>Electricity</w:t>
      </w:r>
      <w:r>
        <w:rPr>
          <w:i/>
          <w:spacing w:val="-2"/>
          <w:sz w:val="18"/>
        </w:rPr>
        <w:t> </w:t>
      </w:r>
      <w:r>
        <w:rPr>
          <w:i/>
          <w:sz w:val="18"/>
        </w:rPr>
        <w:t>Safety</w:t>
      </w:r>
      <w:r>
        <w:rPr>
          <w:i/>
          <w:spacing w:val="-1"/>
          <w:sz w:val="18"/>
        </w:rPr>
        <w:t> </w:t>
      </w:r>
      <w:r>
        <w:rPr>
          <w:i/>
          <w:sz w:val="18"/>
        </w:rPr>
        <w:t>Act</w:t>
      </w:r>
      <w:r>
        <w:rPr>
          <w:i/>
          <w:spacing w:val="-4"/>
          <w:sz w:val="18"/>
        </w:rPr>
        <w:t> 1998</w:t>
      </w:r>
    </w:p>
    <w:p>
      <w:pPr>
        <w:spacing w:before="122"/>
        <w:ind w:left="600" w:right="0" w:firstLine="0"/>
        <w:jc w:val="left"/>
        <w:rPr>
          <w:sz w:val="18"/>
        </w:rPr>
      </w:pPr>
      <w:r>
        <w:rPr>
          <w:sz w:val="18"/>
        </w:rPr>
        <w:t>Deloitte,</w:t>
      </w:r>
      <w:r>
        <w:rPr>
          <w:spacing w:val="-6"/>
          <w:sz w:val="18"/>
        </w:rPr>
        <w:t> </w:t>
      </w:r>
      <w:r>
        <w:rPr>
          <w:sz w:val="18"/>
        </w:rPr>
        <w:t>2016.</w:t>
      </w:r>
      <w:r>
        <w:rPr>
          <w:spacing w:val="-5"/>
          <w:sz w:val="18"/>
        </w:rPr>
        <w:t> </w:t>
      </w:r>
      <w:r>
        <w:rPr>
          <w:i/>
          <w:sz w:val="18"/>
        </w:rPr>
        <w:t>Proposed</w:t>
      </w:r>
      <w:r>
        <w:rPr>
          <w:i/>
          <w:spacing w:val="-7"/>
          <w:sz w:val="18"/>
        </w:rPr>
        <w:t> </w:t>
      </w:r>
      <w:r>
        <w:rPr>
          <w:i/>
          <w:sz w:val="18"/>
        </w:rPr>
        <w:t>Pipelines</w:t>
      </w:r>
      <w:r>
        <w:rPr>
          <w:i/>
          <w:spacing w:val="-8"/>
          <w:sz w:val="18"/>
        </w:rPr>
        <w:t> </w:t>
      </w:r>
      <w:r>
        <w:rPr>
          <w:i/>
          <w:sz w:val="18"/>
        </w:rPr>
        <w:t>Regulations</w:t>
      </w:r>
      <w:r>
        <w:rPr>
          <w:i/>
          <w:spacing w:val="-7"/>
          <w:sz w:val="18"/>
        </w:rPr>
        <w:t> </w:t>
      </w:r>
      <w:r>
        <w:rPr>
          <w:i/>
          <w:sz w:val="18"/>
        </w:rPr>
        <w:t>2017:</w:t>
      </w:r>
      <w:r>
        <w:rPr>
          <w:i/>
          <w:spacing w:val="-6"/>
          <w:sz w:val="18"/>
        </w:rPr>
        <w:t> </w:t>
      </w:r>
      <w:r>
        <w:rPr>
          <w:i/>
          <w:sz w:val="18"/>
        </w:rPr>
        <w:t>Regulatory</w:t>
      </w:r>
      <w:r>
        <w:rPr>
          <w:i/>
          <w:spacing w:val="-4"/>
          <w:sz w:val="18"/>
        </w:rPr>
        <w:t> </w:t>
      </w:r>
      <w:r>
        <w:rPr>
          <w:i/>
          <w:sz w:val="18"/>
        </w:rPr>
        <w:t>Impact</w:t>
      </w:r>
      <w:r>
        <w:rPr>
          <w:i/>
          <w:spacing w:val="-1"/>
          <w:sz w:val="18"/>
        </w:rPr>
        <w:t> </w:t>
      </w:r>
      <w:r>
        <w:rPr>
          <w:i/>
          <w:spacing w:val="-2"/>
          <w:sz w:val="18"/>
        </w:rPr>
        <w:t>Statement</w:t>
      </w:r>
      <w:r>
        <w:rPr>
          <w:spacing w:val="-2"/>
          <w:sz w:val="18"/>
        </w:rPr>
        <w:t>.</w:t>
      </w:r>
    </w:p>
    <w:p>
      <w:pPr>
        <w:spacing w:before="43"/>
        <w:ind w:left="650" w:right="0" w:firstLine="0"/>
        <w:jc w:val="left"/>
        <w:rPr>
          <w:sz w:val="18"/>
        </w:rPr>
      </w:pPr>
      <w:r>
        <w:rPr>
          <w:sz w:val="18"/>
        </w:rPr>
        <w:t>ESV,</w:t>
      </w:r>
      <w:r>
        <w:rPr>
          <w:spacing w:val="-7"/>
          <w:sz w:val="18"/>
        </w:rPr>
        <w:t> </w:t>
      </w:r>
      <w:r>
        <w:rPr>
          <w:sz w:val="18"/>
        </w:rPr>
        <w:t>2009.</w:t>
      </w:r>
      <w:r>
        <w:rPr>
          <w:spacing w:val="-3"/>
          <w:sz w:val="18"/>
        </w:rPr>
        <w:t> </w:t>
      </w:r>
      <w:r>
        <w:rPr>
          <w:i/>
          <w:sz w:val="18"/>
        </w:rPr>
        <w:t>Electricity</w:t>
      </w:r>
      <w:r>
        <w:rPr>
          <w:i/>
          <w:spacing w:val="-4"/>
          <w:sz w:val="18"/>
        </w:rPr>
        <w:t> </w:t>
      </w:r>
      <w:r>
        <w:rPr>
          <w:i/>
          <w:sz w:val="18"/>
        </w:rPr>
        <w:t>Safety</w:t>
      </w:r>
      <w:r>
        <w:rPr>
          <w:i/>
          <w:spacing w:val="-5"/>
          <w:sz w:val="18"/>
        </w:rPr>
        <w:t> </w:t>
      </w:r>
      <w:r>
        <w:rPr>
          <w:i/>
          <w:sz w:val="18"/>
        </w:rPr>
        <w:t>(Installations)</w:t>
      </w:r>
      <w:r>
        <w:rPr>
          <w:i/>
          <w:spacing w:val="-5"/>
          <w:sz w:val="18"/>
        </w:rPr>
        <w:t> </w:t>
      </w:r>
      <w:r>
        <w:rPr>
          <w:i/>
          <w:sz w:val="18"/>
        </w:rPr>
        <w:t>Regulations</w:t>
      </w:r>
      <w:r>
        <w:rPr>
          <w:i/>
          <w:spacing w:val="-3"/>
          <w:sz w:val="18"/>
        </w:rPr>
        <w:t> </w:t>
      </w:r>
      <w:r>
        <w:rPr>
          <w:i/>
          <w:sz w:val="18"/>
        </w:rPr>
        <w:t>2009:</w:t>
      </w:r>
      <w:r>
        <w:rPr>
          <w:i/>
          <w:spacing w:val="-5"/>
          <w:sz w:val="18"/>
        </w:rPr>
        <w:t> </w:t>
      </w:r>
      <w:r>
        <w:rPr>
          <w:i/>
          <w:sz w:val="18"/>
        </w:rPr>
        <w:t>Regulatory</w:t>
      </w:r>
      <w:r>
        <w:rPr>
          <w:i/>
          <w:spacing w:val="-3"/>
          <w:sz w:val="18"/>
        </w:rPr>
        <w:t> </w:t>
      </w:r>
      <w:r>
        <w:rPr>
          <w:i/>
          <w:sz w:val="18"/>
        </w:rPr>
        <w:t>Impact</w:t>
      </w:r>
      <w:r>
        <w:rPr>
          <w:i/>
          <w:spacing w:val="-4"/>
          <w:sz w:val="18"/>
        </w:rPr>
        <w:t> </w:t>
      </w:r>
      <w:r>
        <w:rPr>
          <w:i/>
          <w:spacing w:val="-2"/>
          <w:sz w:val="18"/>
        </w:rPr>
        <w:t>Statement</w:t>
      </w:r>
      <w:r>
        <w:rPr>
          <w:spacing w:val="-2"/>
          <w:sz w:val="18"/>
        </w:rPr>
        <w:t>.</w:t>
      </w:r>
    </w:p>
    <w:p>
      <w:pPr>
        <w:spacing w:line="290" w:lineRule="auto" w:before="120"/>
        <w:ind w:left="600" w:right="910" w:firstLine="0"/>
        <w:jc w:val="left"/>
        <w:rPr>
          <w:sz w:val="18"/>
        </w:rPr>
      </w:pPr>
      <w:r>
        <w:rPr>
          <w:sz w:val="18"/>
        </w:rPr>
        <w:t>ESV,</w:t>
      </w:r>
      <w:r>
        <w:rPr>
          <w:spacing w:val="-2"/>
          <w:sz w:val="18"/>
        </w:rPr>
        <w:t> </w:t>
      </w:r>
      <w:r>
        <w:rPr>
          <w:sz w:val="18"/>
        </w:rPr>
        <w:t>2012.</w:t>
      </w:r>
      <w:r>
        <w:rPr>
          <w:spacing w:val="-1"/>
          <w:sz w:val="18"/>
        </w:rPr>
        <w:t> </w:t>
      </w:r>
      <w:r>
        <w:rPr>
          <w:i/>
          <w:sz w:val="18"/>
        </w:rPr>
        <w:t>Code</w:t>
      </w:r>
      <w:r>
        <w:rPr>
          <w:i/>
          <w:spacing w:val="-4"/>
          <w:sz w:val="18"/>
        </w:rPr>
        <w:t> </w:t>
      </w:r>
      <w:r>
        <w:rPr>
          <w:i/>
          <w:sz w:val="18"/>
        </w:rPr>
        <w:t>of</w:t>
      </w:r>
      <w:r>
        <w:rPr>
          <w:i/>
          <w:spacing w:val="-2"/>
          <w:sz w:val="18"/>
        </w:rPr>
        <w:t> </w:t>
      </w:r>
      <w:r>
        <w:rPr>
          <w:i/>
          <w:sz w:val="18"/>
        </w:rPr>
        <w:t>Practice</w:t>
      </w:r>
      <w:r>
        <w:rPr>
          <w:i/>
          <w:spacing w:val="-4"/>
          <w:sz w:val="18"/>
        </w:rPr>
        <w:t> </w:t>
      </w:r>
      <w:r>
        <w:rPr>
          <w:i/>
          <w:sz w:val="18"/>
        </w:rPr>
        <w:t>on</w:t>
      </w:r>
      <w:r>
        <w:rPr>
          <w:i/>
          <w:spacing w:val="-2"/>
          <w:sz w:val="18"/>
        </w:rPr>
        <w:t> </w:t>
      </w:r>
      <w:r>
        <w:rPr>
          <w:i/>
          <w:sz w:val="18"/>
        </w:rPr>
        <w:t>Electrical</w:t>
      </w:r>
      <w:r>
        <w:rPr>
          <w:i/>
          <w:spacing w:val="-2"/>
          <w:sz w:val="18"/>
        </w:rPr>
        <w:t> </w:t>
      </w:r>
      <w:r>
        <w:rPr>
          <w:i/>
          <w:sz w:val="18"/>
        </w:rPr>
        <w:t>Safety</w:t>
      </w:r>
      <w:r>
        <w:rPr>
          <w:i/>
          <w:spacing w:val="-1"/>
          <w:sz w:val="18"/>
        </w:rPr>
        <w:t> </w:t>
      </w:r>
      <w:r>
        <w:rPr>
          <w:i/>
          <w:sz w:val="18"/>
        </w:rPr>
        <w:t>for</w:t>
      </w:r>
      <w:r>
        <w:rPr>
          <w:i/>
          <w:spacing w:val="-4"/>
          <w:sz w:val="18"/>
        </w:rPr>
        <w:t> </w:t>
      </w:r>
      <w:r>
        <w:rPr>
          <w:i/>
          <w:sz w:val="18"/>
        </w:rPr>
        <w:t>Work</w:t>
      </w:r>
      <w:r>
        <w:rPr>
          <w:i/>
          <w:spacing w:val="-4"/>
          <w:sz w:val="18"/>
        </w:rPr>
        <w:t> </w:t>
      </w:r>
      <w:r>
        <w:rPr>
          <w:i/>
          <w:sz w:val="18"/>
        </w:rPr>
        <w:t>on</w:t>
      </w:r>
      <w:r>
        <w:rPr>
          <w:i/>
          <w:spacing w:val="-4"/>
          <w:sz w:val="18"/>
        </w:rPr>
        <w:t> </w:t>
      </w:r>
      <w:r>
        <w:rPr>
          <w:i/>
          <w:sz w:val="18"/>
        </w:rPr>
        <w:t>or</w:t>
      </w:r>
      <w:r>
        <w:rPr>
          <w:i/>
          <w:spacing w:val="-2"/>
          <w:sz w:val="18"/>
        </w:rPr>
        <w:t> </w:t>
      </w:r>
      <w:r>
        <w:rPr>
          <w:i/>
          <w:sz w:val="18"/>
        </w:rPr>
        <w:t>Near</w:t>
      </w:r>
      <w:r>
        <w:rPr>
          <w:i/>
          <w:spacing w:val="-2"/>
          <w:sz w:val="18"/>
        </w:rPr>
        <w:t> </w:t>
      </w:r>
      <w:r>
        <w:rPr>
          <w:i/>
          <w:sz w:val="18"/>
        </w:rPr>
        <w:t>High</w:t>
      </w:r>
      <w:r>
        <w:rPr>
          <w:i/>
          <w:spacing w:val="-2"/>
          <w:sz w:val="18"/>
        </w:rPr>
        <w:t> </w:t>
      </w:r>
      <w:r>
        <w:rPr>
          <w:i/>
          <w:sz w:val="18"/>
        </w:rPr>
        <w:t>Voltage</w:t>
      </w:r>
      <w:r>
        <w:rPr>
          <w:i/>
          <w:spacing w:val="-2"/>
          <w:sz w:val="18"/>
        </w:rPr>
        <w:t> </w:t>
      </w:r>
      <w:r>
        <w:rPr>
          <w:i/>
          <w:sz w:val="18"/>
        </w:rPr>
        <w:t>Electrical</w:t>
      </w:r>
      <w:r>
        <w:rPr>
          <w:i/>
          <w:spacing w:val="-2"/>
          <w:sz w:val="18"/>
        </w:rPr>
        <w:t> </w:t>
      </w:r>
      <w:r>
        <w:rPr>
          <w:i/>
          <w:sz w:val="18"/>
        </w:rPr>
        <w:t>Apparatus-</w:t>
      </w:r>
      <w:r>
        <w:rPr>
          <w:i/>
          <w:spacing w:val="-2"/>
          <w:sz w:val="18"/>
        </w:rPr>
        <w:t> </w:t>
      </w:r>
      <w:r>
        <w:rPr>
          <w:i/>
          <w:sz w:val="18"/>
        </w:rPr>
        <w:t>Blue </w:t>
      </w:r>
      <w:r>
        <w:rPr>
          <w:i/>
          <w:spacing w:val="-2"/>
          <w:sz w:val="18"/>
        </w:rPr>
        <w:t>Book</w:t>
      </w:r>
      <w:r>
        <w:rPr>
          <w:spacing w:val="-2"/>
          <w:sz w:val="18"/>
        </w:rPr>
        <w:t>.</w:t>
      </w:r>
    </w:p>
    <w:p>
      <w:pPr>
        <w:spacing w:line="381" w:lineRule="auto" w:before="77"/>
        <w:ind w:left="600" w:right="4021" w:firstLine="0"/>
        <w:jc w:val="left"/>
        <w:rPr>
          <w:i/>
          <w:sz w:val="18"/>
        </w:rPr>
      </w:pPr>
      <w:r>
        <w:rPr>
          <w:sz w:val="18"/>
        </w:rPr>
        <w:t>ESV,</w:t>
      </w:r>
      <w:r>
        <w:rPr>
          <w:spacing w:val="-5"/>
          <w:sz w:val="18"/>
        </w:rPr>
        <w:t> </w:t>
      </w:r>
      <w:r>
        <w:rPr>
          <w:sz w:val="18"/>
        </w:rPr>
        <w:t>2017.</w:t>
      </w:r>
      <w:r>
        <w:rPr>
          <w:spacing w:val="-4"/>
          <w:sz w:val="18"/>
        </w:rPr>
        <w:t> </w:t>
      </w:r>
      <w:r>
        <w:rPr>
          <w:i/>
          <w:sz w:val="18"/>
        </w:rPr>
        <w:t>Energy</w:t>
      </w:r>
      <w:r>
        <w:rPr>
          <w:i/>
          <w:spacing w:val="-4"/>
          <w:sz w:val="18"/>
        </w:rPr>
        <w:t> </w:t>
      </w:r>
      <w:r>
        <w:rPr>
          <w:i/>
          <w:sz w:val="18"/>
        </w:rPr>
        <w:t>Safe</w:t>
      </w:r>
      <w:r>
        <w:rPr>
          <w:i/>
          <w:spacing w:val="-5"/>
          <w:sz w:val="18"/>
        </w:rPr>
        <w:t> </w:t>
      </w:r>
      <w:r>
        <w:rPr>
          <w:i/>
          <w:sz w:val="18"/>
        </w:rPr>
        <w:t>Victoria</w:t>
      </w:r>
      <w:r>
        <w:rPr>
          <w:i/>
          <w:spacing w:val="-5"/>
          <w:sz w:val="18"/>
        </w:rPr>
        <w:t> </w:t>
      </w:r>
      <w:r>
        <w:rPr>
          <w:i/>
          <w:sz w:val="18"/>
        </w:rPr>
        <w:t>Corporate</w:t>
      </w:r>
      <w:r>
        <w:rPr>
          <w:i/>
          <w:spacing w:val="-5"/>
          <w:sz w:val="18"/>
        </w:rPr>
        <w:t> </w:t>
      </w:r>
      <w:r>
        <w:rPr>
          <w:i/>
          <w:sz w:val="18"/>
        </w:rPr>
        <w:t>Plan</w:t>
      </w:r>
      <w:r>
        <w:rPr>
          <w:i/>
          <w:spacing w:val="-7"/>
          <w:sz w:val="18"/>
        </w:rPr>
        <w:t> </w:t>
      </w:r>
      <w:r>
        <w:rPr>
          <w:i/>
          <w:sz w:val="18"/>
        </w:rPr>
        <w:t>2017-2020</w:t>
      </w:r>
      <w:r>
        <w:rPr>
          <w:sz w:val="18"/>
        </w:rPr>
        <w:t>. Parliament of Victoria, 2001. </w:t>
      </w:r>
      <w:r>
        <w:rPr>
          <w:i/>
          <w:sz w:val="18"/>
        </w:rPr>
        <w:t>Gas Industry Act 2001</w:t>
      </w:r>
    </w:p>
    <w:p>
      <w:pPr>
        <w:spacing w:line="204" w:lineRule="exact" w:before="0"/>
        <w:ind w:left="600" w:right="0" w:firstLine="0"/>
        <w:jc w:val="left"/>
        <w:rPr>
          <w:i/>
          <w:sz w:val="18"/>
        </w:rPr>
      </w:pPr>
      <w:r>
        <w:rPr>
          <w:sz w:val="18"/>
        </w:rPr>
        <w:t>Parliament</w:t>
      </w:r>
      <w:r>
        <w:rPr>
          <w:spacing w:val="-6"/>
          <w:sz w:val="18"/>
        </w:rPr>
        <w:t> </w:t>
      </w:r>
      <w:r>
        <w:rPr>
          <w:sz w:val="18"/>
        </w:rPr>
        <w:t>of</w:t>
      </w:r>
      <w:r>
        <w:rPr>
          <w:spacing w:val="-3"/>
          <w:sz w:val="18"/>
        </w:rPr>
        <w:t> </w:t>
      </w:r>
      <w:r>
        <w:rPr>
          <w:sz w:val="18"/>
        </w:rPr>
        <w:t>Victoria,</w:t>
      </w:r>
      <w:r>
        <w:rPr>
          <w:spacing w:val="-5"/>
          <w:sz w:val="18"/>
        </w:rPr>
        <w:t> </w:t>
      </w:r>
      <w:r>
        <w:rPr>
          <w:sz w:val="18"/>
        </w:rPr>
        <w:t>2008.</w:t>
      </w:r>
      <w:r>
        <w:rPr>
          <w:spacing w:val="-2"/>
          <w:sz w:val="18"/>
        </w:rPr>
        <w:t> </w:t>
      </w:r>
      <w:r>
        <w:rPr>
          <w:i/>
          <w:sz w:val="18"/>
        </w:rPr>
        <w:t>Gas</w:t>
      </w:r>
      <w:r>
        <w:rPr>
          <w:i/>
          <w:spacing w:val="-2"/>
          <w:sz w:val="18"/>
        </w:rPr>
        <w:t> </w:t>
      </w:r>
      <w:r>
        <w:rPr>
          <w:i/>
          <w:sz w:val="18"/>
        </w:rPr>
        <w:t>Safety</w:t>
      </w:r>
      <w:r>
        <w:rPr>
          <w:i/>
          <w:spacing w:val="-3"/>
          <w:sz w:val="18"/>
        </w:rPr>
        <w:t> </w:t>
      </w:r>
      <w:r>
        <w:rPr>
          <w:i/>
          <w:sz w:val="18"/>
        </w:rPr>
        <w:t>(Safety</w:t>
      </w:r>
      <w:r>
        <w:rPr>
          <w:i/>
          <w:spacing w:val="-2"/>
          <w:sz w:val="18"/>
        </w:rPr>
        <w:t> </w:t>
      </w:r>
      <w:r>
        <w:rPr>
          <w:i/>
          <w:sz w:val="18"/>
        </w:rPr>
        <w:t>Case)</w:t>
      </w:r>
      <w:r>
        <w:rPr>
          <w:i/>
          <w:spacing w:val="-3"/>
          <w:sz w:val="18"/>
        </w:rPr>
        <w:t> </w:t>
      </w:r>
      <w:r>
        <w:rPr>
          <w:i/>
          <w:sz w:val="18"/>
        </w:rPr>
        <w:t>Regulations</w:t>
      </w:r>
      <w:r>
        <w:rPr>
          <w:i/>
          <w:spacing w:val="-2"/>
          <w:sz w:val="18"/>
        </w:rPr>
        <w:t> </w:t>
      </w:r>
      <w:r>
        <w:rPr>
          <w:i/>
          <w:spacing w:val="-4"/>
          <w:sz w:val="18"/>
        </w:rPr>
        <w:t>2008</w:t>
      </w:r>
    </w:p>
    <w:p>
      <w:pPr>
        <w:spacing w:before="122"/>
        <w:ind w:left="600" w:right="0" w:firstLine="0"/>
        <w:jc w:val="left"/>
        <w:rPr>
          <w:i/>
          <w:sz w:val="18"/>
        </w:rPr>
      </w:pPr>
      <w:r>
        <w:rPr>
          <w:sz w:val="18"/>
        </w:rPr>
        <w:t>Parliament</w:t>
      </w:r>
      <w:r>
        <w:rPr>
          <w:spacing w:val="-5"/>
          <w:sz w:val="18"/>
        </w:rPr>
        <w:t> </w:t>
      </w:r>
      <w:r>
        <w:rPr>
          <w:sz w:val="18"/>
        </w:rPr>
        <w:t>of</w:t>
      </w:r>
      <w:r>
        <w:rPr>
          <w:spacing w:val="-2"/>
          <w:sz w:val="18"/>
        </w:rPr>
        <w:t> </w:t>
      </w:r>
      <w:r>
        <w:rPr>
          <w:sz w:val="18"/>
        </w:rPr>
        <w:t>Victoria,</w:t>
      </w:r>
      <w:r>
        <w:rPr>
          <w:spacing w:val="-5"/>
          <w:sz w:val="18"/>
        </w:rPr>
        <w:t> </w:t>
      </w:r>
      <w:r>
        <w:rPr>
          <w:sz w:val="18"/>
        </w:rPr>
        <w:t>1997</w:t>
      </w:r>
      <w:r>
        <w:rPr>
          <w:i/>
          <w:sz w:val="18"/>
        </w:rPr>
        <w:t>.</w:t>
      </w:r>
      <w:r>
        <w:rPr>
          <w:i/>
          <w:spacing w:val="-2"/>
          <w:sz w:val="18"/>
        </w:rPr>
        <w:t> </w:t>
      </w:r>
      <w:r>
        <w:rPr>
          <w:i/>
          <w:sz w:val="18"/>
        </w:rPr>
        <w:t>Gas</w:t>
      </w:r>
      <w:r>
        <w:rPr>
          <w:i/>
          <w:spacing w:val="-2"/>
          <w:sz w:val="18"/>
        </w:rPr>
        <w:t> </w:t>
      </w:r>
      <w:r>
        <w:rPr>
          <w:i/>
          <w:sz w:val="18"/>
        </w:rPr>
        <w:t>Safety</w:t>
      </w:r>
      <w:r>
        <w:rPr>
          <w:i/>
          <w:spacing w:val="-1"/>
          <w:sz w:val="18"/>
        </w:rPr>
        <w:t> </w:t>
      </w:r>
      <w:r>
        <w:rPr>
          <w:i/>
          <w:sz w:val="18"/>
        </w:rPr>
        <w:t>Act</w:t>
      </w:r>
      <w:r>
        <w:rPr>
          <w:i/>
          <w:spacing w:val="-4"/>
          <w:sz w:val="18"/>
        </w:rPr>
        <w:t> 1997</w:t>
      </w:r>
    </w:p>
    <w:p>
      <w:pPr>
        <w:spacing w:before="122"/>
        <w:ind w:left="600" w:right="0" w:firstLine="0"/>
        <w:jc w:val="left"/>
        <w:rPr>
          <w:sz w:val="18"/>
        </w:rPr>
      </w:pPr>
      <w:r>
        <w:rPr>
          <w:sz w:val="18"/>
        </w:rPr>
        <w:t>IGEM,</w:t>
      </w:r>
      <w:r>
        <w:rPr>
          <w:spacing w:val="-5"/>
          <w:sz w:val="18"/>
        </w:rPr>
        <w:t> </w:t>
      </w:r>
      <w:r>
        <w:rPr>
          <w:sz w:val="18"/>
        </w:rPr>
        <w:t>2014.</w:t>
      </w:r>
      <w:r>
        <w:rPr>
          <w:spacing w:val="-2"/>
          <w:sz w:val="18"/>
        </w:rPr>
        <w:t> </w:t>
      </w:r>
      <w:r>
        <w:rPr>
          <w:i/>
          <w:sz w:val="18"/>
        </w:rPr>
        <w:t>Bushfires</w:t>
      </w:r>
      <w:r>
        <w:rPr>
          <w:i/>
          <w:spacing w:val="-5"/>
          <w:sz w:val="18"/>
        </w:rPr>
        <w:t> </w:t>
      </w:r>
      <w:r>
        <w:rPr>
          <w:i/>
          <w:sz w:val="18"/>
        </w:rPr>
        <w:t>Royal</w:t>
      </w:r>
      <w:r>
        <w:rPr>
          <w:i/>
          <w:spacing w:val="-5"/>
          <w:sz w:val="18"/>
        </w:rPr>
        <w:t> </w:t>
      </w:r>
      <w:r>
        <w:rPr>
          <w:i/>
          <w:sz w:val="18"/>
        </w:rPr>
        <w:t>Commission</w:t>
      </w:r>
      <w:r>
        <w:rPr>
          <w:i/>
          <w:spacing w:val="-5"/>
          <w:sz w:val="18"/>
        </w:rPr>
        <w:t> </w:t>
      </w:r>
      <w:r>
        <w:rPr>
          <w:i/>
          <w:sz w:val="18"/>
        </w:rPr>
        <w:t>Implementation</w:t>
      </w:r>
      <w:r>
        <w:rPr>
          <w:i/>
          <w:spacing w:val="-5"/>
          <w:sz w:val="18"/>
        </w:rPr>
        <w:t> </w:t>
      </w:r>
      <w:r>
        <w:rPr>
          <w:i/>
          <w:sz w:val="18"/>
        </w:rPr>
        <w:t>Monitor:</w:t>
      </w:r>
      <w:r>
        <w:rPr>
          <w:i/>
          <w:spacing w:val="-3"/>
          <w:sz w:val="18"/>
        </w:rPr>
        <w:t> </w:t>
      </w:r>
      <w:r>
        <w:rPr>
          <w:i/>
          <w:sz w:val="18"/>
        </w:rPr>
        <w:t>Annual</w:t>
      </w:r>
      <w:r>
        <w:rPr>
          <w:i/>
          <w:spacing w:val="-2"/>
          <w:sz w:val="18"/>
        </w:rPr>
        <w:t> Report</w:t>
      </w:r>
      <w:r>
        <w:rPr>
          <w:spacing w:val="-2"/>
          <w:sz w:val="18"/>
        </w:rPr>
        <w:t>.</w:t>
      </w:r>
    </w:p>
    <w:p>
      <w:pPr>
        <w:spacing w:line="285" w:lineRule="auto" w:before="122"/>
        <w:ind w:left="600" w:right="311" w:firstLine="0"/>
        <w:jc w:val="left"/>
        <w:rPr>
          <w:sz w:val="18"/>
        </w:rPr>
      </w:pPr>
      <w:r>
        <w:rPr>
          <w:sz w:val="18"/>
        </w:rPr>
        <w:t>IGEM,</w:t>
      </w:r>
      <w:r>
        <w:rPr>
          <w:spacing w:val="-3"/>
          <w:sz w:val="18"/>
        </w:rPr>
        <w:t> </w:t>
      </w:r>
      <w:r>
        <w:rPr>
          <w:sz w:val="18"/>
        </w:rPr>
        <w:t>2015.</w:t>
      </w:r>
      <w:r>
        <w:rPr>
          <w:spacing w:val="-2"/>
          <w:sz w:val="18"/>
        </w:rPr>
        <w:t> </w:t>
      </w:r>
      <w:r>
        <w:rPr>
          <w:i/>
          <w:sz w:val="18"/>
        </w:rPr>
        <w:t>Progress</w:t>
      </w:r>
      <w:r>
        <w:rPr>
          <w:i/>
          <w:spacing w:val="-2"/>
          <w:sz w:val="18"/>
        </w:rPr>
        <w:t> </w:t>
      </w:r>
      <w:r>
        <w:rPr>
          <w:i/>
          <w:sz w:val="18"/>
        </w:rPr>
        <w:t>Report:</w:t>
      </w:r>
      <w:r>
        <w:rPr>
          <w:i/>
          <w:spacing w:val="-5"/>
          <w:sz w:val="18"/>
        </w:rPr>
        <w:t> </w:t>
      </w:r>
      <w:r>
        <w:rPr>
          <w:i/>
          <w:sz w:val="18"/>
        </w:rPr>
        <w:t>Victorian</w:t>
      </w:r>
      <w:r>
        <w:rPr>
          <w:i/>
          <w:spacing w:val="-5"/>
          <w:sz w:val="18"/>
        </w:rPr>
        <w:t> </w:t>
      </w:r>
      <w:r>
        <w:rPr>
          <w:i/>
          <w:sz w:val="18"/>
        </w:rPr>
        <w:t>Bushfires</w:t>
      </w:r>
      <w:r>
        <w:rPr>
          <w:i/>
          <w:spacing w:val="-2"/>
          <w:sz w:val="18"/>
        </w:rPr>
        <w:t> </w:t>
      </w:r>
      <w:r>
        <w:rPr>
          <w:i/>
          <w:sz w:val="18"/>
        </w:rPr>
        <w:t>Royal</w:t>
      </w:r>
      <w:r>
        <w:rPr>
          <w:i/>
          <w:spacing w:val="-3"/>
          <w:sz w:val="18"/>
        </w:rPr>
        <w:t> </w:t>
      </w:r>
      <w:r>
        <w:rPr>
          <w:i/>
          <w:sz w:val="18"/>
        </w:rPr>
        <w:t>Commission</w:t>
      </w:r>
      <w:r>
        <w:rPr>
          <w:i/>
          <w:spacing w:val="-5"/>
          <w:sz w:val="18"/>
        </w:rPr>
        <w:t> </w:t>
      </w:r>
      <w:r>
        <w:rPr>
          <w:i/>
          <w:sz w:val="18"/>
        </w:rPr>
        <w:t>Implementation</w:t>
      </w:r>
      <w:r>
        <w:rPr>
          <w:i/>
          <w:spacing w:val="-3"/>
          <w:sz w:val="18"/>
        </w:rPr>
        <w:t> </w:t>
      </w:r>
      <w:r>
        <w:rPr>
          <w:i/>
          <w:sz w:val="18"/>
        </w:rPr>
        <w:t>of</w:t>
      </w:r>
      <w:r>
        <w:rPr>
          <w:i/>
          <w:spacing w:val="-3"/>
          <w:sz w:val="18"/>
        </w:rPr>
        <w:t> </w:t>
      </w:r>
      <w:r>
        <w:rPr>
          <w:i/>
          <w:sz w:val="18"/>
        </w:rPr>
        <w:t>recommendations</w:t>
      </w:r>
      <w:r>
        <w:rPr>
          <w:i/>
          <w:spacing w:val="-2"/>
          <w:sz w:val="18"/>
        </w:rPr>
        <w:t> </w:t>
      </w:r>
      <w:r>
        <w:rPr>
          <w:i/>
          <w:sz w:val="18"/>
        </w:rPr>
        <w:t>and </w:t>
      </w:r>
      <w:r>
        <w:rPr>
          <w:i/>
          <w:spacing w:val="-2"/>
          <w:sz w:val="18"/>
        </w:rPr>
        <w:t>actions</w:t>
      </w:r>
      <w:r>
        <w:rPr>
          <w:spacing w:val="-2"/>
          <w:sz w:val="18"/>
        </w:rPr>
        <w:t>.</w:t>
      </w:r>
    </w:p>
    <w:p>
      <w:pPr>
        <w:spacing w:before="83"/>
        <w:ind w:left="600" w:right="0" w:firstLine="0"/>
        <w:jc w:val="left"/>
        <w:rPr>
          <w:sz w:val="18"/>
        </w:rPr>
      </w:pPr>
      <w:r>
        <w:rPr>
          <w:sz w:val="18"/>
        </w:rPr>
        <w:t>Marchment</w:t>
      </w:r>
      <w:r>
        <w:rPr>
          <w:spacing w:val="-6"/>
          <w:sz w:val="18"/>
        </w:rPr>
        <w:t> </w:t>
      </w:r>
      <w:r>
        <w:rPr>
          <w:sz w:val="18"/>
        </w:rPr>
        <w:t>Hill</w:t>
      </w:r>
      <w:r>
        <w:rPr>
          <w:spacing w:val="-4"/>
          <w:sz w:val="18"/>
        </w:rPr>
        <w:t> </w:t>
      </w:r>
      <w:r>
        <w:rPr>
          <w:sz w:val="18"/>
        </w:rPr>
        <w:t>Consulting,</w:t>
      </w:r>
      <w:r>
        <w:rPr>
          <w:spacing w:val="-4"/>
          <w:sz w:val="18"/>
        </w:rPr>
        <w:t> </w:t>
      </w:r>
      <w:r>
        <w:rPr>
          <w:sz w:val="18"/>
        </w:rPr>
        <w:t>2016.</w:t>
      </w:r>
      <w:r>
        <w:rPr>
          <w:spacing w:val="-1"/>
          <w:sz w:val="18"/>
        </w:rPr>
        <w:t> </w:t>
      </w:r>
      <w:r>
        <w:rPr>
          <w:i/>
          <w:sz w:val="18"/>
        </w:rPr>
        <w:t>ESV</w:t>
      </w:r>
      <w:r>
        <w:rPr>
          <w:i/>
          <w:spacing w:val="-4"/>
          <w:sz w:val="18"/>
        </w:rPr>
        <w:t> </w:t>
      </w:r>
      <w:r>
        <w:rPr>
          <w:i/>
          <w:sz w:val="18"/>
        </w:rPr>
        <w:t>Executive</w:t>
      </w:r>
      <w:r>
        <w:rPr>
          <w:i/>
          <w:spacing w:val="-2"/>
          <w:sz w:val="18"/>
        </w:rPr>
        <w:t> </w:t>
      </w:r>
      <w:r>
        <w:rPr>
          <w:i/>
          <w:sz w:val="18"/>
        </w:rPr>
        <w:t>Structure</w:t>
      </w:r>
      <w:r>
        <w:rPr>
          <w:i/>
          <w:spacing w:val="-4"/>
          <w:sz w:val="18"/>
        </w:rPr>
        <w:t> </w:t>
      </w:r>
      <w:r>
        <w:rPr>
          <w:i/>
          <w:sz w:val="18"/>
        </w:rPr>
        <w:t>Review:</w:t>
      </w:r>
      <w:r>
        <w:rPr>
          <w:i/>
          <w:spacing w:val="-7"/>
          <w:sz w:val="18"/>
        </w:rPr>
        <w:t> </w:t>
      </w:r>
      <w:r>
        <w:rPr>
          <w:i/>
          <w:sz w:val="18"/>
        </w:rPr>
        <w:t>Final</w:t>
      </w:r>
      <w:r>
        <w:rPr>
          <w:i/>
          <w:spacing w:val="-3"/>
          <w:sz w:val="18"/>
        </w:rPr>
        <w:t> </w:t>
      </w:r>
      <w:r>
        <w:rPr>
          <w:i/>
          <w:spacing w:val="-2"/>
          <w:sz w:val="18"/>
        </w:rPr>
        <w:t>Report</w:t>
      </w:r>
      <w:r>
        <w:rPr>
          <w:spacing w:val="-2"/>
          <w:sz w:val="18"/>
        </w:rPr>
        <w:t>.</w:t>
      </w:r>
    </w:p>
    <w:p>
      <w:pPr>
        <w:spacing w:before="122"/>
        <w:ind w:left="600" w:right="0" w:firstLine="0"/>
        <w:jc w:val="left"/>
        <w:rPr>
          <w:i/>
          <w:sz w:val="18"/>
        </w:rPr>
      </w:pPr>
      <w:r>
        <w:rPr>
          <w:sz w:val="18"/>
        </w:rPr>
        <w:t>Parliament</w:t>
      </w:r>
      <w:r>
        <w:rPr>
          <w:spacing w:val="-8"/>
          <w:sz w:val="18"/>
        </w:rPr>
        <w:t> </w:t>
      </w:r>
      <w:r>
        <w:rPr>
          <w:sz w:val="18"/>
        </w:rPr>
        <w:t>of</w:t>
      </w:r>
      <w:r>
        <w:rPr>
          <w:spacing w:val="-4"/>
          <w:sz w:val="18"/>
        </w:rPr>
        <w:t> </w:t>
      </w:r>
      <w:r>
        <w:rPr>
          <w:sz w:val="18"/>
        </w:rPr>
        <w:t>Victoria.</w:t>
      </w:r>
      <w:r>
        <w:rPr>
          <w:spacing w:val="-5"/>
          <w:sz w:val="18"/>
        </w:rPr>
        <w:t> </w:t>
      </w:r>
      <w:r>
        <w:rPr>
          <w:sz w:val="18"/>
        </w:rPr>
        <w:t>2000.</w:t>
      </w:r>
      <w:r>
        <w:rPr>
          <w:spacing w:val="-1"/>
          <w:sz w:val="18"/>
        </w:rPr>
        <w:t> </w:t>
      </w:r>
      <w:r>
        <w:rPr>
          <w:i/>
          <w:sz w:val="18"/>
        </w:rPr>
        <w:t>Occupational</w:t>
      </w:r>
      <w:r>
        <w:rPr>
          <w:i/>
          <w:spacing w:val="-2"/>
          <w:sz w:val="18"/>
        </w:rPr>
        <w:t> </w:t>
      </w:r>
      <w:r>
        <w:rPr>
          <w:i/>
          <w:sz w:val="18"/>
        </w:rPr>
        <w:t>Health</w:t>
      </w:r>
      <w:r>
        <w:rPr>
          <w:i/>
          <w:spacing w:val="-4"/>
          <w:sz w:val="18"/>
        </w:rPr>
        <w:t> </w:t>
      </w:r>
      <w:r>
        <w:rPr>
          <w:i/>
          <w:sz w:val="18"/>
        </w:rPr>
        <w:t>and</w:t>
      </w:r>
      <w:r>
        <w:rPr>
          <w:i/>
          <w:spacing w:val="-3"/>
          <w:sz w:val="18"/>
        </w:rPr>
        <w:t> </w:t>
      </w:r>
      <w:r>
        <w:rPr>
          <w:i/>
          <w:sz w:val="18"/>
        </w:rPr>
        <w:t>Safety</w:t>
      </w:r>
      <w:r>
        <w:rPr>
          <w:i/>
          <w:spacing w:val="-7"/>
          <w:sz w:val="18"/>
        </w:rPr>
        <w:t> </w:t>
      </w:r>
      <w:r>
        <w:rPr>
          <w:i/>
          <w:sz w:val="18"/>
        </w:rPr>
        <w:t>(Major</w:t>
      </w:r>
      <w:r>
        <w:rPr>
          <w:i/>
          <w:spacing w:val="-4"/>
          <w:sz w:val="18"/>
        </w:rPr>
        <w:t> </w:t>
      </w:r>
      <w:r>
        <w:rPr>
          <w:i/>
          <w:sz w:val="18"/>
        </w:rPr>
        <w:t>Hazard</w:t>
      </w:r>
      <w:r>
        <w:rPr>
          <w:i/>
          <w:spacing w:val="-3"/>
          <w:sz w:val="18"/>
        </w:rPr>
        <w:t> </w:t>
      </w:r>
      <w:r>
        <w:rPr>
          <w:i/>
          <w:sz w:val="18"/>
        </w:rPr>
        <w:t>Facilities)</w:t>
      </w:r>
      <w:r>
        <w:rPr>
          <w:i/>
          <w:spacing w:val="-4"/>
          <w:sz w:val="18"/>
        </w:rPr>
        <w:t> </w:t>
      </w:r>
      <w:r>
        <w:rPr>
          <w:i/>
          <w:sz w:val="18"/>
        </w:rPr>
        <w:t>Regulations</w:t>
      </w:r>
      <w:r>
        <w:rPr>
          <w:i/>
          <w:spacing w:val="-4"/>
          <w:sz w:val="18"/>
        </w:rPr>
        <w:t> 2000</w:t>
      </w:r>
    </w:p>
    <w:p>
      <w:pPr>
        <w:spacing w:before="122"/>
        <w:ind w:left="600" w:right="0" w:firstLine="0"/>
        <w:jc w:val="left"/>
        <w:rPr>
          <w:sz w:val="18"/>
        </w:rPr>
      </w:pPr>
      <w:r>
        <w:rPr>
          <w:sz w:val="18"/>
        </w:rPr>
        <w:t>PBSP,</w:t>
      </w:r>
      <w:r>
        <w:rPr>
          <w:spacing w:val="-4"/>
          <w:sz w:val="18"/>
        </w:rPr>
        <w:t> </w:t>
      </w:r>
      <w:r>
        <w:rPr>
          <w:sz w:val="18"/>
        </w:rPr>
        <w:t>2011.</w:t>
      </w:r>
      <w:r>
        <w:rPr>
          <w:spacing w:val="-4"/>
          <w:sz w:val="18"/>
        </w:rPr>
        <w:t> </w:t>
      </w:r>
      <w:r>
        <w:rPr>
          <w:i/>
          <w:sz w:val="18"/>
        </w:rPr>
        <w:t>Powerline</w:t>
      </w:r>
      <w:r>
        <w:rPr>
          <w:i/>
          <w:spacing w:val="-4"/>
          <w:sz w:val="18"/>
        </w:rPr>
        <w:t> </w:t>
      </w:r>
      <w:r>
        <w:rPr>
          <w:i/>
          <w:sz w:val="18"/>
        </w:rPr>
        <w:t>Bushfire</w:t>
      </w:r>
      <w:r>
        <w:rPr>
          <w:i/>
          <w:spacing w:val="-2"/>
          <w:sz w:val="18"/>
        </w:rPr>
        <w:t> </w:t>
      </w:r>
      <w:r>
        <w:rPr>
          <w:i/>
          <w:sz w:val="18"/>
        </w:rPr>
        <w:t>Safety</w:t>
      </w:r>
      <w:r>
        <w:rPr>
          <w:i/>
          <w:spacing w:val="-3"/>
          <w:sz w:val="18"/>
        </w:rPr>
        <w:t> </w:t>
      </w:r>
      <w:r>
        <w:rPr>
          <w:i/>
          <w:sz w:val="18"/>
        </w:rPr>
        <w:t>Taskforce:</w:t>
      </w:r>
      <w:r>
        <w:rPr>
          <w:i/>
          <w:spacing w:val="-4"/>
          <w:sz w:val="18"/>
        </w:rPr>
        <w:t> </w:t>
      </w:r>
      <w:r>
        <w:rPr>
          <w:i/>
          <w:sz w:val="18"/>
        </w:rPr>
        <w:t>Final</w:t>
      </w:r>
      <w:r>
        <w:rPr>
          <w:i/>
          <w:spacing w:val="-5"/>
          <w:sz w:val="18"/>
        </w:rPr>
        <w:t> </w:t>
      </w:r>
      <w:r>
        <w:rPr>
          <w:i/>
          <w:spacing w:val="-2"/>
          <w:sz w:val="18"/>
        </w:rPr>
        <w:t>Report</w:t>
      </w:r>
      <w:r>
        <w:rPr>
          <w:spacing w:val="-2"/>
          <w:sz w:val="18"/>
        </w:rPr>
        <w:t>.</w:t>
      </w:r>
    </w:p>
    <w:p>
      <w:pPr>
        <w:spacing w:line="285" w:lineRule="auto" w:before="122"/>
        <w:ind w:left="600" w:right="2635" w:firstLine="0"/>
        <w:jc w:val="left"/>
        <w:rPr>
          <w:sz w:val="18"/>
        </w:rPr>
      </w:pPr>
      <w:r>
        <w:rPr>
          <w:sz w:val="18"/>
        </w:rPr>
        <w:t>U.S.</w:t>
      </w:r>
      <w:r>
        <w:rPr>
          <w:spacing w:val="-4"/>
          <w:sz w:val="18"/>
        </w:rPr>
        <w:t> </w:t>
      </w:r>
      <w:r>
        <w:rPr>
          <w:sz w:val="18"/>
        </w:rPr>
        <w:t>Energy</w:t>
      </w:r>
      <w:r>
        <w:rPr>
          <w:spacing w:val="-6"/>
          <w:sz w:val="18"/>
        </w:rPr>
        <w:t> </w:t>
      </w:r>
      <w:r>
        <w:rPr>
          <w:sz w:val="18"/>
        </w:rPr>
        <w:t>Information</w:t>
      </w:r>
      <w:r>
        <w:rPr>
          <w:spacing w:val="-4"/>
          <w:sz w:val="18"/>
        </w:rPr>
        <w:t> </w:t>
      </w:r>
      <w:r>
        <w:rPr>
          <w:sz w:val="18"/>
        </w:rPr>
        <w:t>Administration,</w:t>
      </w:r>
      <w:r>
        <w:rPr>
          <w:spacing w:val="-4"/>
          <w:sz w:val="18"/>
        </w:rPr>
        <w:t> </w:t>
      </w:r>
      <w:r>
        <w:rPr>
          <w:sz w:val="18"/>
        </w:rPr>
        <w:t>2017. </w:t>
      </w:r>
      <w:r>
        <w:rPr>
          <w:i/>
          <w:sz w:val="18"/>
        </w:rPr>
        <w:t>EIA</w:t>
      </w:r>
      <w:r>
        <w:rPr>
          <w:i/>
          <w:spacing w:val="-4"/>
          <w:sz w:val="18"/>
        </w:rPr>
        <w:t> </w:t>
      </w:r>
      <w:r>
        <w:rPr>
          <w:i/>
          <w:sz w:val="18"/>
        </w:rPr>
        <w:t>Energy</w:t>
      </w:r>
      <w:r>
        <w:rPr>
          <w:i/>
          <w:spacing w:val="-3"/>
          <w:sz w:val="18"/>
        </w:rPr>
        <w:t> </w:t>
      </w:r>
      <w:r>
        <w:rPr>
          <w:i/>
          <w:sz w:val="18"/>
        </w:rPr>
        <w:t>Kids-</w:t>
      </w:r>
      <w:r>
        <w:rPr>
          <w:i/>
          <w:spacing w:val="-4"/>
          <w:sz w:val="18"/>
        </w:rPr>
        <w:t> </w:t>
      </w:r>
      <w:r>
        <w:rPr>
          <w:i/>
          <w:sz w:val="18"/>
        </w:rPr>
        <w:t>Natural</w:t>
      </w:r>
      <w:r>
        <w:rPr>
          <w:i/>
          <w:spacing w:val="-4"/>
          <w:sz w:val="18"/>
        </w:rPr>
        <w:t> </w:t>
      </w:r>
      <w:r>
        <w:rPr>
          <w:i/>
          <w:sz w:val="18"/>
        </w:rPr>
        <w:t>Gas.</w:t>
      </w:r>
      <w:r>
        <w:rPr>
          <w:i/>
          <w:spacing w:val="-3"/>
          <w:sz w:val="18"/>
        </w:rPr>
        <w:t> </w:t>
      </w:r>
      <w:r>
        <w:rPr>
          <w:sz w:val="18"/>
        </w:rPr>
        <w:t>[Online] Available at: </w:t>
      </w:r>
      <w:r>
        <w:rPr>
          <w:sz w:val="18"/>
          <w:u w:val="single"/>
        </w:rPr>
        <w:t>https:/</w:t>
      </w:r>
      <w:hyperlink r:id="rId53">
        <w:r>
          <w:rPr>
            <w:sz w:val="18"/>
            <w:u w:val="single"/>
          </w:rPr>
          <w:t>/www.e</w:t>
        </w:r>
      </w:hyperlink>
      <w:r>
        <w:rPr>
          <w:sz w:val="18"/>
          <w:u w:val="single"/>
        </w:rPr>
        <w:t>i</w:t>
      </w:r>
      <w:hyperlink r:id="rId53">
        <w:r>
          <w:rPr>
            <w:sz w:val="18"/>
            <w:u w:val="single"/>
          </w:rPr>
          <w:t>a.gov/KIDS/energy.cfm?page=natural_gas_home-basics</w:t>
        </w:r>
      </w:hyperlink>
    </w:p>
    <w:p>
      <w:pPr>
        <w:spacing w:after="0" w:line="285" w:lineRule="auto"/>
        <w:jc w:val="left"/>
        <w:rPr>
          <w:sz w:val="18"/>
        </w:rPr>
        <w:sectPr>
          <w:pgSz w:w="11910" w:h="16840"/>
          <w:pgMar w:header="887" w:footer="1243" w:top="1080" w:bottom="1500" w:left="840" w:right="820"/>
        </w:sectPr>
      </w:pPr>
    </w:p>
    <w:p>
      <w:pPr>
        <w:pStyle w:val="BodyText"/>
        <w:spacing w:line="139" w:lineRule="exact"/>
        <w:ind w:left="571"/>
        <w:rPr>
          <w:sz w:val="13"/>
        </w:rPr>
      </w:pPr>
      <w:r>
        <w:rPr/>
        <w:drawing>
          <wp:anchor distT="0" distB="0" distL="0" distR="0" allowOverlap="1" layoutInCell="1" locked="0" behindDoc="0" simplePos="0" relativeHeight="15745024">
            <wp:simplePos x="0" y="0"/>
            <wp:positionH relativeFrom="page">
              <wp:posOffset>636</wp:posOffset>
            </wp:positionH>
            <wp:positionV relativeFrom="page">
              <wp:posOffset>0</wp:posOffset>
            </wp:positionV>
            <wp:extent cx="7559675" cy="10691493"/>
            <wp:effectExtent l="0" t="0" r="0" b="0"/>
            <wp:wrapNone/>
            <wp:docPr id="77" name="Image 77"/>
            <wp:cNvGraphicFramePr>
              <a:graphicFrameLocks/>
            </wp:cNvGraphicFramePr>
            <a:graphic>
              <a:graphicData uri="http://schemas.openxmlformats.org/drawingml/2006/picture">
                <pic:pic>
                  <pic:nvPicPr>
                    <pic:cNvPr id="77" name="Image 77"/>
                    <pic:cNvPicPr/>
                  </pic:nvPicPr>
                  <pic:blipFill>
                    <a:blip r:embed="rId56" cstate="print"/>
                    <a:stretch>
                      <a:fillRect/>
                    </a:stretch>
                  </pic:blipFill>
                  <pic:spPr>
                    <a:xfrm>
                      <a:off x="0" y="0"/>
                      <a:ext cx="7559675" cy="10691493"/>
                    </a:xfrm>
                    <a:prstGeom prst="rect">
                      <a:avLst/>
                    </a:prstGeom>
                  </pic:spPr>
                </pic:pic>
              </a:graphicData>
            </a:graphic>
          </wp:anchor>
        </w:drawing>
      </w:r>
      <w:r>
        <w:rPr>
          <w:position w:val="-2"/>
          <w:sz w:val="13"/>
        </w:rPr>
        <mc:AlternateContent>
          <mc:Choice Requires="wps">
            <w:drawing>
              <wp:inline distT="0" distB="0" distL="0" distR="0">
                <wp:extent cx="5769610" cy="88900"/>
                <wp:effectExtent l="0" t="0" r="0" b="0"/>
                <wp:docPr id="78" name="Group 78"/>
                <wp:cNvGraphicFramePr>
                  <a:graphicFrameLocks/>
                </wp:cNvGraphicFramePr>
                <a:graphic>
                  <a:graphicData uri="http://schemas.microsoft.com/office/word/2010/wordprocessingGroup">
                    <wpg:wgp>
                      <wpg:cNvPr id="78" name="Group 78"/>
                      <wpg:cNvGrpSpPr/>
                      <wpg:grpSpPr>
                        <a:xfrm>
                          <a:off x="0" y="0"/>
                          <a:ext cx="5769610" cy="88900"/>
                          <a:chExt cx="5769610" cy="88900"/>
                        </a:xfrm>
                      </wpg:grpSpPr>
                      <wps:wsp>
                        <wps:cNvPr id="79" name="Graphic 79"/>
                        <wps:cNvSpPr/>
                        <wps:spPr>
                          <a:xfrm>
                            <a:off x="0" y="0"/>
                            <a:ext cx="5769610" cy="88900"/>
                          </a:xfrm>
                          <a:custGeom>
                            <a:avLst/>
                            <a:gdLst/>
                            <a:ahLst/>
                            <a:cxnLst/>
                            <a:rect l="l" t="t" r="r" b="b"/>
                            <a:pathLst>
                              <a:path w="5769610" h="88900">
                                <a:moveTo>
                                  <a:pt x="5769229" y="0"/>
                                </a:moveTo>
                                <a:lnTo>
                                  <a:pt x="0" y="0"/>
                                </a:lnTo>
                                <a:lnTo>
                                  <a:pt x="0" y="88392"/>
                                </a:lnTo>
                                <a:lnTo>
                                  <a:pt x="5769229" y="88392"/>
                                </a:lnTo>
                                <a:lnTo>
                                  <a:pt x="5769229" y="0"/>
                                </a:lnTo>
                                <a:close/>
                              </a:path>
                            </a:pathLst>
                          </a:custGeom>
                          <a:solidFill>
                            <a:srgbClr val="00B3A8"/>
                          </a:solidFill>
                        </wps:spPr>
                        <wps:bodyPr wrap="square" lIns="0" tIns="0" rIns="0" bIns="0" rtlCol="0">
                          <a:prstTxWarp prst="textNoShape">
                            <a:avLst/>
                          </a:prstTxWarp>
                          <a:noAutofit/>
                        </wps:bodyPr>
                      </wps:wsp>
                    </wpg:wgp>
                  </a:graphicData>
                </a:graphic>
              </wp:inline>
            </w:drawing>
          </mc:Choice>
          <mc:Fallback>
            <w:pict>
              <v:group style="width:454.3pt;height:7pt;mso-position-horizontal-relative:char;mso-position-vertical-relative:line" id="docshapegroup70" coordorigin="0,0" coordsize="9086,140">
                <v:rect style="position:absolute;left:0;top:0;width:9086;height:140" id="docshape71" filled="true" fillcolor="#00b3a8" stroked="false">
                  <v:fill type="solid"/>
                </v:rect>
              </v:group>
            </w:pict>
          </mc:Fallback>
        </mc:AlternateContent>
      </w:r>
      <w:r>
        <w:rPr>
          <w:position w:val="-2"/>
          <w:sz w:val="13"/>
        </w:rPr>
      </w:r>
    </w:p>
    <w:p>
      <w:pPr>
        <w:pStyle w:val="BodyText"/>
        <w:rPr>
          <w:sz w:val="20"/>
        </w:rPr>
      </w:pPr>
    </w:p>
    <w:p>
      <w:pPr>
        <w:pStyle w:val="BodyText"/>
        <w:rPr>
          <w:sz w:val="20"/>
        </w:rPr>
      </w:pPr>
    </w:p>
    <w:p>
      <w:pPr>
        <w:pStyle w:val="BodyText"/>
        <w:spacing w:before="2"/>
        <w:rPr>
          <w:sz w:val="16"/>
        </w:rPr>
      </w:pPr>
    </w:p>
    <w:p>
      <w:pPr>
        <w:pStyle w:val="Heading2"/>
        <w:ind w:left="600"/>
      </w:pPr>
      <w:bookmarkStart w:name="_bookmark5" w:id="6"/>
      <w:bookmarkEnd w:id="6"/>
      <w:r>
        <w:rPr>
          <w:b w:val="0"/>
        </w:rPr>
      </w:r>
      <w:r>
        <w:rPr>
          <w:color w:val="00B1A9"/>
        </w:rPr>
        <w:t>PART</w:t>
      </w:r>
      <w:r>
        <w:rPr>
          <w:color w:val="00B1A9"/>
          <w:spacing w:val="-14"/>
        </w:rPr>
        <w:t> </w:t>
      </w:r>
      <w:r>
        <w:rPr>
          <w:color w:val="00B1A9"/>
        </w:rPr>
        <w:t>C:</w:t>
      </w:r>
      <w:r>
        <w:rPr>
          <w:color w:val="00B1A9"/>
          <w:spacing w:val="-14"/>
        </w:rPr>
        <w:t> </w:t>
      </w:r>
      <w:r>
        <w:rPr>
          <w:color w:val="00B1A9"/>
        </w:rPr>
        <w:t>LEADING</w:t>
      </w:r>
      <w:r>
        <w:rPr>
          <w:color w:val="00B1A9"/>
          <w:spacing w:val="-13"/>
        </w:rPr>
        <w:t> </w:t>
      </w:r>
      <w:r>
        <w:rPr>
          <w:color w:val="00B1A9"/>
          <w:spacing w:val="-2"/>
        </w:rPr>
        <w:t>PRACTICE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19"/>
        </w:rPr>
      </w:pPr>
    </w:p>
    <w:p>
      <w:pPr>
        <w:spacing w:before="96"/>
        <w:ind w:left="2508" w:right="2526" w:firstLine="0"/>
        <w:jc w:val="center"/>
        <w:rPr>
          <w:sz w:val="16"/>
        </w:rPr>
      </w:pPr>
      <w:r>
        <w:rPr/>
        <mc:AlternateContent>
          <mc:Choice Requires="wps">
            <w:drawing>
              <wp:anchor distT="0" distB="0" distL="0" distR="0" allowOverlap="1" layoutInCell="1" locked="0" behindDoc="1" simplePos="0" relativeHeight="487603712">
                <wp:simplePos x="0" y="0"/>
                <wp:positionH relativeFrom="page">
                  <wp:posOffset>896416</wp:posOffset>
                </wp:positionH>
                <wp:positionV relativeFrom="paragraph">
                  <wp:posOffset>192943</wp:posOffset>
                </wp:positionV>
                <wp:extent cx="5769610" cy="88900"/>
                <wp:effectExtent l="0" t="0" r="0" b="0"/>
                <wp:wrapTopAndBottom/>
                <wp:docPr id="80" name="Graphic 80"/>
                <wp:cNvGraphicFramePr>
                  <a:graphicFrameLocks/>
                </wp:cNvGraphicFramePr>
                <a:graphic>
                  <a:graphicData uri="http://schemas.microsoft.com/office/word/2010/wordprocessingShape">
                    <wps:wsp>
                      <wps:cNvPr id="80" name="Graphic 80"/>
                      <wps:cNvSpPr/>
                      <wps:spPr>
                        <a:xfrm>
                          <a:off x="0" y="0"/>
                          <a:ext cx="5769610" cy="88900"/>
                        </a:xfrm>
                        <a:custGeom>
                          <a:avLst/>
                          <a:gdLst/>
                          <a:ahLst/>
                          <a:cxnLst/>
                          <a:rect l="l" t="t" r="r" b="b"/>
                          <a:pathLst>
                            <a:path w="5769610" h="88900">
                              <a:moveTo>
                                <a:pt x="5769229" y="0"/>
                              </a:moveTo>
                              <a:lnTo>
                                <a:pt x="0" y="0"/>
                              </a:lnTo>
                              <a:lnTo>
                                <a:pt x="0" y="88392"/>
                              </a:lnTo>
                              <a:lnTo>
                                <a:pt x="5769229" y="88392"/>
                              </a:lnTo>
                              <a:lnTo>
                                <a:pt x="5769229" y="0"/>
                              </a:lnTo>
                              <a:close/>
                            </a:path>
                          </a:pathLst>
                        </a:custGeom>
                        <a:solidFill>
                          <a:srgbClr val="00B3A8"/>
                        </a:solidFill>
                      </wps:spPr>
                      <wps:bodyPr wrap="square" lIns="0" tIns="0" rIns="0" bIns="0" rtlCol="0">
                        <a:prstTxWarp prst="textNoShape">
                          <a:avLst/>
                        </a:prstTxWarp>
                        <a:noAutofit/>
                      </wps:bodyPr>
                    </wps:wsp>
                  </a:graphicData>
                </a:graphic>
              </wp:anchor>
            </w:drawing>
          </mc:Choice>
          <mc:Fallback>
            <w:pict>
              <v:rect style="position:absolute;margin-left:70.584pt;margin-top:15.192406pt;width:454.27pt;height:6.96pt;mso-position-horizontal-relative:page;mso-position-vertical-relative:paragraph;z-index:-15712768;mso-wrap-distance-left:0;mso-wrap-distance-right:0" id="docshape72" filled="true" fillcolor="#00b3a8" stroked="false">
                <v:fill type="solid"/>
                <w10:wrap type="topAndBottom"/>
              </v:rect>
            </w:pict>
          </mc:Fallback>
        </mc:AlternateContent>
      </w:r>
      <w:r>
        <w:rPr>
          <w:spacing w:val="-5"/>
          <w:sz w:val="16"/>
        </w:rPr>
        <w:t>63</w:t>
      </w:r>
    </w:p>
    <w:p>
      <w:pPr>
        <w:spacing w:after="0"/>
        <w:jc w:val="center"/>
        <w:rPr>
          <w:sz w:val="16"/>
        </w:rPr>
        <w:sectPr>
          <w:headerReference w:type="default" r:id="rId54"/>
          <w:footerReference w:type="default" r:id="rId55"/>
          <w:pgSz w:w="11910" w:h="16840"/>
          <w:pgMar w:header="0" w:footer="0" w:top="920" w:bottom="280" w:left="840" w:right="820"/>
        </w:sectPr>
      </w:pPr>
    </w:p>
    <w:p>
      <w:pPr>
        <w:pStyle w:val="BodyText"/>
        <w:rPr>
          <w:sz w:val="20"/>
        </w:rPr>
      </w:pPr>
    </w:p>
    <w:p>
      <w:pPr>
        <w:pStyle w:val="BodyText"/>
        <w:rPr>
          <w:sz w:val="20"/>
        </w:rPr>
      </w:pPr>
    </w:p>
    <w:p>
      <w:pPr>
        <w:pStyle w:val="Heading3"/>
        <w:spacing w:before="262"/>
        <w:ind w:left="600"/>
      </w:pPr>
      <w:r>
        <w:rPr>
          <w:color w:val="00B1A9"/>
        </w:rPr>
        <w:t>Leading</w:t>
      </w:r>
      <w:r>
        <w:rPr>
          <w:color w:val="00B1A9"/>
          <w:spacing w:val="-5"/>
        </w:rPr>
        <w:t> </w:t>
      </w:r>
      <w:r>
        <w:rPr>
          <w:color w:val="00B1A9"/>
        </w:rPr>
        <w:t>practice</w:t>
      </w:r>
      <w:r>
        <w:rPr>
          <w:color w:val="00B1A9"/>
          <w:spacing w:val="-4"/>
        </w:rPr>
        <w:t> </w:t>
      </w:r>
      <w:r>
        <w:rPr>
          <w:color w:val="00B1A9"/>
        </w:rPr>
        <w:t>and</w:t>
      </w:r>
      <w:r>
        <w:rPr>
          <w:color w:val="00B1A9"/>
          <w:spacing w:val="-3"/>
        </w:rPr>
        <w:t> </w:t>
      </w:r>
      <w:r>
        <w:rPr>
          <w:color w:val="00B1A9"/>
        </w:rPr>
        <w:t>network</w:t>
      </w:r>
      <w:r>
        <w:rPr>
          <w:color w:val="00B1A9"/>
          <w:spacing w:val="-3"/>
        </w:rPr>
        <w:t> </w:t>
      </w:r>
      <w:r>
        <w:rPr>
          <w:color w:val="00B1A9"/>
        </w:rPr>
        <w:t>safety</w:t>
      </w:r>
      <w:r>
        <w:rPr>
          <w:color w:val="00B1A9"/>
          <w:spacing w:val="-8"/>
        </w:rPr>
        <w:t> </w:t>
      </w:r>
      <w:r>
        <w:rPr>
          <w:color w:val="00B1A9"/>
          <w:spacing w:val="-2"/>
        </w:rPr>
        <w:t>regulation</w:t>
      </w:r>
    </w:p>
    <w:p>
      <w:pPr>
        <w:pStyle w:val="BodyText"/>
        <w:rPr>
          <w:b/>
          <w:sz w:val="20"/>
        </w:rPr>
      </w:pPr>
    </w:p>
    <w:p>
      <w:pPr>
        <w:pStyle w:val="BodyText"/>
        <w:spacing w:before="7"/>
        <w:rPr>
          <w:b/>
          <w:sz w:val="21"/>
        </w:rPr>
      </w:pPr>
    </w:p>
    <w:p>
      <w:pPr>
        <w:pStyle w:val="Heading4"/>
        <w:ind w:left="742"/>
      </w:pPr>
      <w:r>
        <w:rPr/>
        <mc:AlternateContent>
          <mc:Choice Requires="wps">
            <w:drawing>
              <wp:anchor distT="0" distB="0" distL="0" distR="0" allowOverlap="1" layoutInCell="1" locked="0" behindDoc="1" simplePos="0" relativeHeight="482695680">
                <wp:simplePos x="0" y="0"/>
                <wp:positionH relativeFrom="page">
                  <wp:posOffset>914704</wp:posOffset>
                </wp:positionH>
                <wp:positionV relativeFrom="paragraph">
                  <wp:posOffset>-95658</wp:posOffset>
                </wp:positionV>
                <wp:extent cx="5732780" cy="6778625"/>
                <wp:effectExtent l="0" t="0" r="0" b="0"/>
                <wp:wrapNone/>
                <wp:docPr id="84" name="Graphic 84"/>
                <wp:cNvGraphicFramePr>
                  <a:graphicFrameLocks/>
                </wp:cNvGraphicFramePr>
                <a:graphic>
                  <a:graphicData uri="http://schemas.microsoft.com/office/word/2010/wordprocessingShape">
                    <wps:wsp>
                      <wps:cNvPr id="84" name="Graphic 84"/>
                      <wps:cNvSpPr/>
                      <wps:spPr>
                        <a:xfrm>
                          <a:off x="0" y="0"/>
                          <a:ext cx="5732780" cy="6778625"/>
                        </a:xfrm>
                        <a:custGeom>
                          <a:avLst/>
                          <a:gdLst/>
                          <a:ahLst/>
                          <a:cxnLst/>
                          <a:rect l="l" t="t" r="r" b="b"/>
                          <a:pathLst>
                            <a:path w="5732780" h="6778625">
                              <a:moveTo>
                                <a:pt x="5732653" y="0"/>
                              </a:moveTo>
                              <a:lnTo>
                                <a:pt x="0" y="0"/>
                              </a:lnTo>
                              <a:lnTo>
                                <a:pt x="0" y="6778117"/>
                              </a:lnTo>
                              <a:lnTo>
                                <a:pt x="5732653" y="6778117"/>
                              </a:lnTo>
                              <a:lnTo>
                                <a:pt x="5732653"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72.024002pt;margin-top:-7.53219pt;width:451.39pt;height:533.71pt;mso-position-horizontal-relative:page;mso-position-vertical-relative:paragraph;z-index:-20620800" id="docshape76" filled="true" fillcolor="#d9d9d9" stroked="false">
                <v:fill type="solid"/>
                <w10:wrap type="none"/>
              </v:rect>
            </w:pict>
          </mc:Fallback>
        </mc:AlternateContent>
      </w:r>
      <w:r>
        <w:rPr>
          <w:color w:val="585858"/>
          <w:spacing w:val="-2"/>
        </w:rPr>
        <w:t>Summary</w:t>
      </w:r>
    </w:p>
    <w:p>
      <w:pPr>
        <w:pStyle w:val="BodyText"/>
        <w:spacing w:line="288" w:lineRule="auto" w:before="314"/>
        <w:ind w:left="713" w:right="769"/>
      </w:pPr>
      <w:r>
        <w:rPr/>
        <w:t>Safety regulation in major industrial settings has progressed significantly over the past three</w:t>
      </w:r>
      <w:r>
        <w:rPr>
          <w:spacing w:val="-4"/>
        </w:rPr>
        <w:t> </w:t>
      </w:r>
      <w:r>
        <w:rPr/>
        <w:t>to</w:t>
      </w:r>
      <w:r>
        <w:rPr>
          <w:spacing w:val="-6"/>
        </w:rPr>
        <w:t> </w:t>
      </w:r>
      <w:r>
        <w:rPr/>
        <w:t>four</w:t>
      </w:r>
      <w:r>
        <w:rPr>
          <w:spacing w:val="-1"/>
        </w:rPr>
        <w:t> </w:t>
      </w:r>
      <w:r>
        <w:rPr/>
        <w:t>decades,</w:t>
      </w:r>
      <w:r>
        <w:rPr>
          <w:spacing w:val="-3"/>
        </w:rPr>
        <w:t> </w:t>
      </w:r>
      <w:r>
        <w:rPr/>
        <w:t>heavily</w:t>
      </w:r>
      <w:r>
        <w:rPr>
          <w:spacing w:val="-4"/>
        </w:rPr>
        <w:t> </w:t>
      </w:r>
      <w:r>
        <w:rPr/>
        <w:t>influenced</w:t>
      </w:r>
      <w:r>
        <w:rPr>
          <w:spacing w:val="-2"/>
        </w:rPr>
        <w:t> </w:t>
      </w:r>
      <w:r>
        <w:rPr/>
        <w:t>by</w:t>
      </w:r>
      <w:r>
        <w:rPr>
          <w:spacing w:val="-1"/>
        </w:rPr>
        <w:t> </w:t>
      </w:r>
      <w:r>
        <w:rPr/>
        <w:t>several</w:t>
      </w:r>
      <w:r>
        <w:rPr>
          <w:spacing w:val="-2"/>
        </w:rPr>
        <w:t> </w:t>
      </w:r>
      <w:r>
        <w:rPr/>
        <w:t>major</w:t>
      </w:r>
      <w:r>
        <w:rPr>
          <w:spacing w:val="-1"/>
        </w:rPr>
        <w:t> </w:t>
      </w:r>
      <w:r>
        <w:rPr/>
        <w:t>incidents.</w:t>
      </w:r>
      <w:r>
        <w:rPr>
          <w:spacing w:val="-3"/>
        </w:rPr>
        <w:t> </w:t>
      </w:r>
      <w:r>
        <w:rPr/>
        <w:t>Leading</w:t>
      </w:r>
      <w:r>
        <w:rPr>
          <w:spacing w:val="-2"/>
        </w:rPr>
        <w:t> </w:t>
      </w:r>
      <w:r>
        <w:rPr/>
        <w:t>practice</w:t>
      </w:r>
      <w:r>
        <w:rPr>
          <w:spacing w:val="-2"/>
        </w:rPr>
        <w:t> </w:t>
      </w:r>
      <w:r>
        <w:rPr/>
        <w:t>has coalesced around the concept of the “safety case” as the foundation of safety management and regulation of hazardous industries.</w:t>
      </w:r>
    </w:p>
    <w:p>
      <w:pPr>
        <w:pStyle w:val="BodyText"/>
        <w:spacing w:before="10"/>
        <w:rPr>
          <w:sz w:val="20"/>
        </w:rPr>
      </w:pPr>
    </w:p>
    <w:p>
      <w:pPr>
        <w:pStyle w:val="BodyText"/>
        <w:spacing w:line="288" w:lineRule="auto"/>
        <w:ind w:left="713" w:right="311"/>
      </w:pPr>
      <w:r>
        <w:rPr/>
        <w:t>A safety case describes how a regulated entity will run its operations to meet its safety obligations.</w:t>
      </w:r>
      <w:r>
        <w:rPr>
          <w:spacing w:val="-2"/>
        </w:rPr>
        <w:t> </w:t>
      </w:r>
      <w:r>
        <w:rPr/>
        <w:t>It</w:t>
      </w:r>
      <w:r>
        <w:rPr>
          <w:spacing w:val="-2"/>
        </w:rPr>
        <w:t> </w:t>
      </w:r>
      <w:r>
        <w:rPr/>
        <w:t>requires</w:t>
      </w:r>
      <w:r>
        <w:rPr>
          <w:spacing w:val="-3"/>
        </w:rPr>
        <w:t> </w:t>
      </w:r>
      <w:r>
        <w:rPr/>
        <w:t>the</w:t>
      </w:r>
      <w:r>
        <w:rPr>
          <w:spacing w:val="-1"/>
        </w:rPr>
        <w:t> </w:t>
      </w:r>
      <w:r>
        <w:rPr/>
        <w:t>entity</w:t>
      </w:r>
      <w:r>
        <w:rPr>
          <w:spacing w:val="-3"/>
        </w:rPr>
        <w:t> </w:t>
      </w:r>
      <w:r>
        <w:rPr/>
        <w:t>to</w:t>
      </w:r>
      <w:r>
        <w:rPr>
          <w:spacing w:val="-1"/>
        </w:rPr>
        <w:t> </w:t>
      </w:r>
      <w:r>
        <w:rPr/>
        <w:t>identify</w:t>
      </w:r>
      <w:r>
        <w:rPr>
          <w:spacing w:val="-3"/>
        </w:rPr>
        <w:t> </w:t>
      </w:r>
      <w:r>
        <w:rPr/>
        <w:t>safety</w:t>
      </w:r>
      <w:r>
        <w:rPr>
          <w:spacing w:val="-4"/>
        </w:rPr>
        <w:t> </w:t>
      </w:r>
      <w:r>
        <w:rPr/>
        <w:t>risks,</w:t>
      </w:r>
      <w:r>
        <w:rPr>
          <w:spacing w:val="-2"/>
        </w:rPr>
        <w:t> </w:t>
      </w:r>
      <w:r>
        <w:rPr/>
        <w:t>describe</w:t>
      </w:r>
      <w:r>
        <w:rPr>
          <w:spacing w:val="-3"/>
        </w:rPr>
        <w:t> </w:t>
      </w:r>
      <w:r>
        <w:rPr/>
        <w:t>how</w:t>
      </w:r>
      <w:r>
        <w:rPr>
          <w:spacing w:val="-4"/>
        </w:rPr>
        <w:t> </w:t>
      </w:r>
      <w:r>
        <w:rPr/>
        <w:t>those</w:t>
      </w:r>
      <w:r>
        <w:rPr>
          <w:spacing w:val="-1"/>
        </w:rPr>
        <w:t> </w:t>
      </w:r>
      <w:r>
        <w:rPr/>
        <w:t>risks</w:t>
      </w:r>
      <w:r>
        <w:rPr>
          <w:spacing w:val="-3"/>
        </w:rPr>
        <w:t> </w:t>
      </w:r>
      <w:r>
        <w:rPr/>
        <w:t>are</w:t>
      </w:r>
      <w:r>
        <w:rPr>
          <w:spacing w:val="-3"/>
        </w:rPr>
        <w:t> </w:t>
      </w:r>
      <w:r>
        <w:rPr/>
        <w:t>to</w:t>
      </w:r>
      <w:r>
        <w:rPr>
          <w:spacing w:val="-3"/>
        </w:rPr>
        <w:t> </w:t>
      </w:r>
      <w:r>
        <w:rPr/>
        <w:t>be controlled, and the system for implementing and maintaining those controls effectively.</w:t>
      </w:r>
    </w:p>
    <w:p>
      <w:pPr>
        <w:pStyle w:val="BodyText"/>
        <w:rPr>
          <w:sz w:val="21"/>
        </w:rPr>
      </w:pPr>
    </w:p>
    <w:p>
      <w:pPr>
        <w:pStyle w:val="BodyText"/>
        <w:spacing w:line="288" w:lineRule="auto" w:before="1"/>
        <w:ind w:left="713" w:right="910"/>
      </w:pPr>
      <w:r>
        <w:rPr/>
        <w:t>Victoria</w:t>
      </w:r>
      <w:r>
        <w:rPr>
          <w:spacing w:val="-2"/>
        </w:rPr>
        <w:t> </w:t>
      </w:r>
      <w:r>
        <w:rPr/>
        <w:t>has</w:t>
      </w:r>
      <w:r>
        <w:rPr>
          <w:spacing w:val="-4"/>
        </w:rPr>
        <w:t> </w:t>
      </w:r>
      <w:r>
        <w:rPr/>
        <w:t>been</w:t>
      </w:r>
      <w:r>
        <w:rPr>
          <w:spacing w:val="-2"/>
        </w:rPr>
        <w:t> </w:t>
      </w:r>
      <w:r>
        <w:rPr/>
        <w:t>on</w:t>
      </w:r>
      <w:r>
        <w:rPr>
          <w:spacing w:val="-4"/>
        </w:rPr>
        <w:t> </w:t>
      </w:r>
      <w:r>
        <w:rPr/>
        <w:t>the</w:t>
      </w:r>
      <w:r>
        <w:rPr>
          <w:spacing w:val="-7"/>
        </w:rPr>
        <w:t> </w:t>
      </w:r>
      <w:r>
        <w:rPr/>
        <w:t>forefront of national</w:t>
      </w:r>
      <w:r>
        <w:rPr>
          <w:spacing w:val="-3"/>
        </w:rPr>
        <w:t> </w:t>
      </w:r>
      <w:r>
        <w:rPr/>
        <w:t>reforms</w:t>
      </w:r>
      <w:r>
        <w:rPr>
          <w:spacing w:val="-4"/>
        </w:rPr>
        <w:t> </w:t>
      </w:r>
      <w:r>
        <w:rPr/>
        <w:t>to</w:t>
      </w:r>
      <w:r>
        <w:rPr>
          <w:spacing w:val="-4"/>
        </w:rPr>
        <w:t> </w:t>
      </w:r>
      <w:r>
        <w:rPr/>
        <w:t>strengthen</w:t>
      </w:r>
      <w:r>
        <w:rPr>
          <w:spacing w:val="-4"/>
        </w:rPr>
        <w:t> </w:t>
      </w:r>
      <w:r>
        <w:rPr/>
        <w:t>industrial</w:t>
      </w:r>
      <w:r>
        <w:rPr>
          <w:spacing w:val="-3"/>
        </w:rPr>
        <w:t> </w:t>
      </w:r>
      <w:r>
        <w:rPr/>
        <w:t>and workplace safety frameworks over the past two decades.</w:t>
      </w:r>
    </w:p>
    <w:p>
      <w:pPr>
        <w:pStyle w:val="BodyText"/>
        <w:spacing w:before="9"/>
        <w:rPr>
          <w:sz w:val="20"/>
        </w:rPr>
      </w:pPr>
    </w:p>
    <w:p>
      <w:pPr>
        <w:pStyle w:val="BodyText"/>
        <w:spacing w:line="288" w:lineRule="auto" w:before="1"/>
        <w:ind w:left="713" w:right="813"/>
      </w:pPr>
      <w:r>
        <w:rPr/>
        <w:t>Having been adopted in legislation for Victorian gas transmission and distribution networks as early as 1997, the broader application of a safety case regime to Major Hazard</w:t>
      </w:r>
      <w:r>
        <w:rPr>
          <w:spacing w:val="-2"/>
        </w:rPr>
        <w:t> </w:t>
      </w:r>
      <w:r>
        <w:rPr/>
        <w:t>Facilities</w:t>
      </w:r>
      <w:r>
        <w:rPr>
          <w:spacing w:val="-3"/>
        </w:rPr>
        <w:t> </w:t>
      </w:r>
      <w:r>
        <w:rPr/>
        <w:t>was</w:t>
      </w:r>
      <w:r>
        <w:rPr>
          <w:spacing w:val="-3"/>
        </w:rPr>
        <w:t> </w:t>
      </w:r>
      <w:r>
        <w:rPr/>
        <w:t>a</w:t>
      </w:r>
      <w:r>
        <w:rPr>
          <w:spacing w:val="-2"/>
        </w:rPr>
        <w:t> </w:t>
      </w:r>
      <w:r>
        <w:rPr/>
        <w:t>recommendation</w:t>
      </w:r>
      <w:r>
        <w:rPr>
          <w:spacing w:val="-3"/>
        </w:rPr>
        <w:t> </w:t>
      </w:r>
      <w:r>
        <w:rPr/>
        <w:t>of</w:t>
      </w:r>
      <w:r>
        <w:rPr>
          <w:spacing w:val="-4"/>
        </w:rPr>
        <w:t> </w:t>
      </w:r>
      <w:r>
        <w:rPr/>
        <w:t>the</w:t>
      </w:r>
      <w:r>
        <w:rPr>
          <w:spacing w:val="-3"/>
        </w:rPr>
        <w:t> </w:t>
      </w:r>
      <w:r>
        <w:rPr/>
        <w:t>Longford</w:t>
      </w:r>
      <w:r>
        <w:rPr>
          <w:spacing w:val="-5"/>
        </w:rPr>
        <w:t> </w:t>
      </w:r>
      <w:r>
        <w:rPr/>
        <w:t>Royal</w:t>
      </w:r>
      <w:r>
        <w:rPr>
          <w:spacing w:val="-4"/>
        </w:rPr>
        <w:t> </w:t>
      </w:r>
      <w:r>
        <w:rPr/>
        <w:t>Commission</w:t>
      </w:r>
      <w:r>
        <w:rPr>
          <w:spacing w:val="-3"/>
        </w:rPr>
        <w:t> </w:t>
      </w:r>
      <w:r>
        <w:rPr/>
        <w:t>in</w:t>
      </w:r>
      <w:r>
        <w:rPr>
          <w:spacing w:val="-3"/>
        </w:rPr>
        <w:t> </w:t>
      </w:r>
      <w:r>
        <w:rPr/>
        <w:t>1999.</w:t>
      </w:r>
    </w:p>
    <w:p>
      <w:pPr>
        <w:pStyle w:val="BodyText"/>
        <w:spacing w:before="8"/>
        <w:rPr>
          <w:sz w:val="20"/>
        </w:rPr>
      </w:pPr>
    </w:p>
    <w:p>
      <w:pPr>
        <w:pStyle w:val="BodyText"/>
        <w:spacing w:line="288" w:lineRule="auto"/>
        <w:ind w:left="713" w:right="910"/>
      </w:pPr>
      <w:r>
        <w:rPr/>
        <w:t>Over</w:t>
      </w:r>
      <w:r>
        <w:rPr>
          <w:spacing w:val="-1"/>
        </w:rPr>
        <w:t> </w:t>
      </w:r>
      <w:r>
        <w:rPr/>
        <w:t>the</w:t>
      </w:r>
      <w:r>
        <w:rPr>
          <w:spacing w:val="-4"/>
        </w:rPr>
        <w:t> </w:t>
      </w:r>
      <w:r>
        <w:rPr/>
        <w:t>past</w:t>
      </w:r>
      <w:r>
        <w:rPr>
          <w:spacing w:val="-2"/>
        </w:rPr>
        <w:t> </w:t>
      </w:r>
      <w:r>
        <w:rPr/>
        <w:t>two</w:t>
      </w:r>
      <w:r>
        <w:rPr>
          <w:spacing w:val="-2"/>
        </w:rPr>
        <w:t> </w:t>
      </w:r>
      <w:r>
        <w:rPr/>
        <w:t>years</w:t>
      </w:r>
      <w:r>
        <w:rPr>
          <w:spacing w:val="-1"/>
        </w:rPr>
        <w:t> </w:t>
      </w:r>
      <w:r>
        <w:rPr/>
        <w:t>or</w:t>
      </w:r>
      <w:r>
        <w:rPr>
          <w:spacing w:val="-1"/>
        </w:rPr>
        <w:t> </w:t>
      </w:r>
      <w:r>
        <w:rPr/>
        <w:t>so, Energy</w:t>
      </w:r>
      <w:r>
        <w:rPr>
          <w:spacing w:val="-4"/>
        </w:rPr>
        <w:t> </w:t>
      </w:r>
      <w:r>
        <w:rPr/>
        <w:t>Safe</w:t>
      </w:r>
      <w:r>
        <w:rPr>
          <w:spacing w:val="-2"/>
        </w:rPr>
        <w:t> </w:t>
      </w:r>
      <w:r>
        <w:rPr/>
        <w:t>Victoria</w:t>
      </w:r>
      <w:r>
        <w:rPr>
          <w:spacing w:val="-2"/>
        </w:rPr>
        <w:t> </w:t>
      </w:r>
      <w:r>
        <w:rPr/>
        <w:t>(ESV) has</w:t>
      </w:r>
      <w:r>
        <w:rPr>
          <w:spacing w:val="-4"/>
        </w:rPr>
        <w:t> </w:t>
      </w:r>
      <w:r>
        <w:rPr/>
        <w:t>sought</w:t>
      </w:r>
      <w:r>
        <w:rPr>
          <w:spacing w:val="-3"/>
        </w:rPr>
        <w:t> </w:t>
      </w:r>
      <w:r>
        <w:rPr/>
        <w:t>to</w:t>
      </w:r>
      <w:r>
        <w:rPr>
          <w:spacing w:val="-2"/>
        </w:rPr>
        <w:t> </w:t>
      </w:r>
      <w:r>
        <w:rPr/>
        <w:t>apply</w:t>
      </w:r>
      <w:r>
        <w:rPr>
          <w:spacing w:val="-4"/>
        </w:rPr>
        <w:t> </w:t>
      </w:r>
      <w:r>
        <w:rPr/>
        <w:t>a</w:t>
      </w:r>
      <w:r>
        <w:rPr>
          <w:spacing w:val="-2"/>
        </w:rPr>
        <w:t> </w:t>
      </w:r>
      <w:r>
        <w:rPr/>
        <w:t>safety case approach more consistently across its regulation of electricity and gas networks.</w:t>
      </w:r>
    </w:p>
    <w:p>
      <w:pPr>
        <w:pStyle w:val="BodyText"/>
        <w:spacing w:before="10"/>
        <w:rPr>
          <w:sz w:val="20"/>
        </w:rPr>
      </w:pPr>
    </w:p>
    <w:p>
      <w:pPr>
        <w:pStyle w:val="BodyText"/>
        <w:spacing w:line="290" w:lineRule="auto" w:before="1"/>
        <w:ind w:left="713" w:right="813"/>
      </w:pPr>
      <w:r>
        <w:rPr/>
        <w:t>A</w:t>
      </w:r>
      <w:r>
        <w:rPr>
          <w:spacing w:val="-3"/>
        </w:rPr>
        <w:t> </w:t>
      </w:r>
      <w:r>
        <w:rPr/>
        <w:t>safety</w:t>
      </w:r>
      <w:r>
        <w:rPr>
          <w:spacing w:val="-4"/>
        </w:rPr>
        <w:t> </w:t>
      </w:r>
      <w:r>
        <w:rPr/>
        <w:t>case</w:t>
      </w:r>
      <w:r>
        <w:rPr>
          <w:spacing w:val="-5"/>
        </w:rPr>
        <w:t> </w:t>
      </w:r>
      <w:r>
        <w:rPr/>
        <w:t>regime</w:t>
      </w:r>
      <w:r>
        <w:rPr>
          <w:spacing w:val="-5"/>
        </w:rPr>
        <w:t> </w:t>
      </w:r>
      <w:r>
        <w:rPr/>
        <w:t>provides</w:t>
      </w:r>
      <w:r>
        <w:rPr>
          <w:spacing w:val="-2"/>
        </w:rPr>
        <w:t> </w:t>
      </w:r>
      <w:r>
        <w:rPr/>
        <w:t>a</w:t>
      </w:r>
      <w:r>
        <w:rPr>
          <w:spacing w:val="-3"/>
        </w:rPr>
        <w:t> </w:t>
      </w:r>
      <w:r>
        <w:rPr/>
        <w:t>strong</w:t>
      </w:r>
      <w:r>
        <w:rPr>
          <w:spacing w:val="-5"/>
        </w:rPr>
        <w:t> </w:t>
      </w:r>
      <w:r>
        <w:rPr/>
        <w:t>foundation</w:t>
      </w:r>
      <w:r>
        <w:rPr>
          <w:spacing w:val="-5"/>
        </w:rPr>
        <w:t> </w:t>
      </w:r>
      <w:r>
        <w:rPr/>
        <w:t>for</w:t>
      </w:r>
      <w:r>
        <w:rPr>
          <w:spacing w:val="-2"/>
        </w:rPr>
        <w:t> </w:t>
      </w:r>
      <w:r>
        <w:rPr/>
        <w:t>safety</w:t>
      </w:r>
      <w:r>
        <w:rPr>
          <w:spacing w:val="-6"/>
        </w:rPr>
        <w:t> </w:t>
      </w:r>
      <w:r>
        <w:rPr/>
        <w:t>regulation, but</w:t>
      </w:r>
      <w:r>
        <w:rPr>
          <w:spacing w:val="-1"/>
        </w:rPr>
        <w:t> </w:t>
      </w:r>
      <w:r>
        <w:rPr/>
        <w:t>effective implementation is critical.</w:t>
      </w:r>
    </w:p>
    <w:p>
      <w:pPr>
        <w:pStyle w:val="BodyText"/>
        <w:spacing w:before="5"/>
        <w:rPr>
          <w:sz w:val="20"/>
        </w:rPr>
      </w:pPr>
    </w:p>
    <w:p>
      <w:pPr>
        <w:pStyle w:val="BodyText"/>
        <w:spacing w:line="288" w:lineRule="auto"/>
        <w:ind w:left="713" w:right="910"/>
      </w:pPr>
      <w:r>
        <w:rPr/>
        <w:t>The</w:t>
      </w:r>
      <w:r>
        <w:rPr>
          <w:spacing w:val="-1"/>
        </w:rPr>
        <w:t> </w:t>
      </w:r>
      <w:r>
        <w:rPr/>
        <w:t>effectiveness of the</w:t>
      </w:r>
      <w:r>
        <w:rPr>
          <w:spacing w:val="-1"/>
        </w:rPr>
        <w:t> </w:t>
      </w:r>
      <w:r>
        <w:rPr/>
        <w:t>framework depends on</w:t>
      </w:r>
      <w:r>
        <w:rPr>
          <w:spacing w:val="-1"/>
        </w:rPr>
        <w:t> </w:t>
      </w:r>
      <w:r>
        <w:rPr/>
        <w:t>how well each safety</w:t>
      </w:r>
      <w:r>
        <w:rPr>
          <w:spacing w:val="-1"/>
        </w:rPr>
        <w:t> </w:t>
      </w:r>
      <w:r>
        <w:rPr/>
        <w:t>case</w:t>
      </w:r>
      <w:r>
        <w:rPr>
          <w:spacing w:val="-1"/>
        </w:rPr>
        <w:t> </w:t>
      </w:r>
      <w:r>
        <w:rPr/>
        <w:t>is prepared; how deeply it is embedded in the working arrangements and cultures within each regulated</w:t>
      </w:r>
      <w:r>
        <w:rPr>
          <w:spacing w:val="-3"/>
        </w:rPr>
        <w:t> </w:t>
      </w:r>
      <w:r>
        <w:rPr/>
        <w:t>organisation;</w:t>
      </w:r>
      <w:r>
        <w:rPr>
          <w:spacing w:val="-4"/>
        </w:rPr>
        <w:t> </w:t>
      </w:r>
      <w:r>
        <w:rPr/>
        <w:t>how</w:t>
      </w:r>
      <w:r>
        <w:rPr>
          <w:spacing w:val="-6"/>
        </w:rPr>
        <w:t> </w:t>
      </w:r>
      <w:r>
        <w:rPr/>
        <w:t>effectively</w:t>
      </w:r>
      <w:r>
        <w:rPr>
          <w:spacing w:val="-5"/>
        </w:rPr>
        <w:t> </w:t>
      </w:r>
      <w:r>
        <w:rPr/>
        <w:t>it</w:t>
      </w:r>
      <w:r>
        <w:rPr>
          <w:spacing w:val="-1"/>
        </w:rPr>
        <w:t> </w:t>
      </w:r>
      <w:r>
        <w:rPr/>
        <w:t>is</w:t>
      </w:r>
      <w:r>
        <w:rPr>
          <w:spacing w:val="-2"/>
        </w:rPr>
        <w:t> </w:t>
      </w:r>
      <w:r>
        <w:rPr/>
        <w:t>implemented</w:t>
      </w:r>
      <w:r>
        <w:rPr>
          <w:spacing w:val="-5"/>
        </w:rPr>
        <w:t> </w:t>
      </w:r>
      <w:r>
        <w:rPr/>
        <w:t>and</w:t>
      </w:r>
      <w:r>
        <w:rPr>
          <w:spacing w:val="-3"/>
        </w:rPr>
        <w:t> </w:t>
      </w:r>
      <w:r>
        <w:rPr/>
        <w:t>updated;</w:t>
      </w:r>
      <w:r>
        <w:rPr>
          <w:spacing w:val="-4"/>
        </w:rPr>
        <w:t> </w:t>
      </w:r>
      <w:r>
        <w:rPr/>
        <w:t>and</w:t>
      </w:r>
      <w:r>
        <w:rPr>
          <w:spacing w:val="-3"/>
        </w:rPr>
        <w:t> </w:t>
      </w:r>
      <w:r>
        <w:rPr/>
        <w:t>how</w:t>
      </w:r>
      <w:r>
        <w:rPr>
          <w:spacing w:val="-6"/>
        </w:rPr>
        <w:t> </w:t>
      </w:r>
      <w:r>
        <w:rPr/>
        <w:t>well</w:t>
      </w:r>
      <w:r>
        <w:rPr>
          <w:spacing w:val="-3"/>
        </w:rPr>
        <w:t> </w:t>
      </w:r>
      <w:r>
        <w:rPr/>
        <w:t>it</w:t>
      </w:r>
      <w:r>
        <w:rPr>
          <w:spacing w:val="-1"/>
        </w:rPr>
        <w:t> </w:t>
      </w:r>
      <w:r>
        <w:rPr/>
        <w:t>is regulated by the external regulator.</w:t>
      </w:r>
    </w:p>
    <w:p>
      <w:pPr>
        <w:pStyle w:val="BodyText"/>
        <w:spacing w:before="10"/>
        <w:rPr>
          <w:sz w:val="20"/>
        </w:rPr>
      </w:pPr>
    </w:p>
    <w:p>
      <w:pPr>
        <w:pStyle w:val="BodyText"/>
        <w:spacing w:line="288" w:lineRule="auto"/>
        <w:ind w:left="713" w:right="910"/>
      </w:pPr>
      <w:r>
        <w:rPr/>
        <w:t>A safety case regime offers flexibility for network operators to determine the standards and</w:t>
      </w:r>
      <w:r>
        <w:rPr>
          <w:spacing w:val="-3"/>
        </w:rPr>
        <w:t> </w:t>
      </w:r>
      <w:r>
        <w:rPr/>
        <w:t>approaches</w:t>
      </w:r>
      <w:r>
        <w:rPr>
          <w:spacing w:val="-6"/>
        </w:rPr>
        <w:t> </w:t>
      </w:r>
      <w:r>
        <w:rPr/>
        <w:t>that</w:t>
      </w:r>
      <w:r>
        <w:rPr>
          <w:spacing w:val="-4"/>
        </w:rPr>
        <w:t> </w:t>
      </w:r>
      <w:r>
        <w:rPr/>
        <w:t>might</w:t>
      </w:r>
      <w:r>
        <w:rPr>
          <w:spacing w:val="-1"/>
        </w:rPr>
        <w:t> </w:t>
      </w:r>
      <w:r>
        <w:rPr/>
        <w:t>allow</w:t>
      </w:r>
      <w:r>
        <w:rPr>
          <w:spacing w:val="-5"/>
        </w:rPr>
        <w:t> </w:t>
      </w:r>
      <w:r>
        <w:rPr/>
        <w:t>them</w:t>
      </w:r>
      <w:r>
        <w:rPr>
          <w:spacing w:val="-4"/>
        </w:rPr>
        <w:t> </w:t>
      </w:r>
      <w:r>
        <w:rPr/>
        <w:t>to</w:t>
      </w:r>
      <w:r>
        <w:rPr>
          <w:spacing w:val="-4"/>
        </w:rPr>
        <w:t> </w:t>
      </w:r>
      <w:r>
        <w:rPr/>
        <w:t>most</w:t>
      </w:r>
      <w:r>
        <w:rPr>
          <w:spacing w:val="-1"/>
        </w:rPr>
        <w:t> </w:t>
      </w:r>
      <w:r>
        <w:rPr/>
        <w:t>efficiently</w:t>
      </w:r>
      <w:r>
        <w:rPr>
          <w:spacing w:val="-4"/>
        </w:rPr>
        <w:t> </w:t>
      </w:r>
      <w:r>
        <w:rPr/>
        <w:t>achieve</w:t>
      </w:r>
      <w:r>
        <w:rPr>
          <w:spacing w:val="-3"/>
        </w:rPr>
        <w:t> </w:t>
      </w:r>
      <w:r>
        <w:rPr/>
        <w:t>safety</w:t>
      </w:r>
      <w:r>
        <w:rPr>
          <w:spacing w:val="-4"/>
        </w:rPr>
        <w:t> </w:t>
      </w:r>
      <w:r>
        <w:rPr/>
        <w:t>outcomes,</w:t>
      </w:r>
      <w:r>
        <w:rPr>
          <w:spacing w:val="-4"/>
        </w:rPr>
        <w:t> </w:t>
      </w:r>
      <w:r>
        <w:rPr/>
        <w:t>with potential price benefits for energy consumers.</w:t>
      </w:r>
    </w:p>
    <w:p>
      <w:pPr>
        <w:pStyle w:val="BodyText"/>
        <w:rPr>
          <w:sz w:val="21"/>
        </w:rPr>
      </w:pPr>
    </w:p>
    <w:p>
      <w:pPr>
        <w:pStyle w:val="BodyText"/>
        <w:spacing w:line="288" w:lineRule="auto"/>
        <w:ind w:left="713" w:right="586"/>
      </w:pPr>
      <w:r>
        <w:rPr/>
        <w:t>External</w:t>
      </w:r>
      <w:r>
        <w:rPr>
          <w:spacing w:val="-5"/>
        </w:rPr>
        <w:t> </w:t>
      </w:r>
      <w:r>
        <w:rPr/>
        <w:t>technical</w:t>
      </w:r>
      <w:r>
        <w:rPr>
          <w:spacing w:val="-5"/>
        </w:rPr>
        <w:t> </w:t>
      </w:r>
      <w:r>
        <w:rPr/>
        <w:t>standards</w:t>
      </w:r>
      <w:r>
        <w:rPr>
          <w:spacing w:val="-3"/>
        </w:rPr>
        <w:t> </w:t>
      </w:r>
      <w:r>
        <w:rPr/>
        <w:t>and</w:t>
      </w:r>
      <w:r>
        <w:rPr>
          <w:spacing w:val="-6"/>
        </w:rPr>
        <w:t> </w:t>
      </w:r>
      <w:r>
        <w:rPr/>
        <w:t>well-designed</w:t>
      </w:r>
      <w:r>
        <w:rPr>
          <w:spacing w:val="-4"/>
        </w:rPr>
        <w:t> </w:t>
      </w:r>
      <w:r>
        <w:rPr/>
        <w:t>prescriptive</w:t>
      </w:r>
      <w:r>
        <w:rPr>
          <w:spacing w:val="-4"/>
        </w:rPr>
        <w:t> </w:t>
      </w:r>
      <w:r>
        <w:rPr/>
        <w:t>requirements</w:t>
      </w:r>
      <w:r>
        <w:rPr>
          <w:spacing w:val="-6"/>
        </w:rPr>
        <w:t> </w:t>
      </w:r>
      <w:r>
        <w:rPr/>
        <w:t>remain</w:t>
      </w:r>
      <w:r>
        <w:rPr>
          <w:spacing w:val="-6"/>
        </w:rPr>
        <w:t> </w:t>
      </w:r>
      <w:r>
        <w:rPr/>
        <w:t>relevant, and often play a critical role within a mature and robust safety case based system.</w:t>
      </w:r>
    </w:p>
    <w:p>
      <w:pPr>
        <w:spacing w:after="0" w:line="288" w:lineRule="auto"/>
        <w:sectPr>
          <w:headerReference w:type="default" r:id="rId57"/>
          <w:footerReference w:type="default" r:id="rId58"/>
          <w:pgSz w:w="11910" w:h="16840"/>
          <w:pgMar w:header="887" w:footer="1286" w:top="1080" w:bottom="1480" w:left="840" w:right="820"/>
          <w:pgNumType w:start="64"/>
        </w:sectPr>
      </w:pPr>
    </w:p>
    <w:p>
      <w:pPr>
        <w:pStyle w:val="BodyText"/>
        <w:rPr>
          <w:sz w:val="20"/>
        </w:rPr>
      </w:pPr>
    </w:p>
    <w:p>
      <w:pPr>
        <w:pStyle w:val="BodyText"/>
        <w:rPr>
          <w:sz w:val="20"/>
        </w:rPr>
      </w:pPr>
    </w:p>
    <w:p>
      <w:pPr>
        <w:pStyle w:val="Heading4"/>
        <w:spacing w:line="288" w:lineRule="auto" w:before="258"/>
        <w:ind w:left="600"/>
      </w:pPr>
      <w:r>
        <w:rPr>
          <w:color w:val="585858"/>
        </w:rPr>
        <w:t>The</w:t>
      </w:r>
      <w:r>
        <w:rPr>
          <w:color w:val="585858"/>
          <w:spacing w:val="-6"/>
        </w:rPr>
        <w:t> </w:t>
      </w:r>
      <w:r>
        <w:rPr>
          <w:color w:val="585858"/>
        </w:rPr>
        <w:t>safety</w:t>
      </w:r>
      <w:r>
        <w:rPr>
          <w:color w:val="585858"/>
          <w:spacing w:val="-8"/>
        </w:rPr>
        <w:t> </w:t>
      </w:r>
      <w:r>
        <w:rPr>
          <w:color w:val="585858"/>
        </w:rPr>
        <w:t>case:</w:t>
      </w:r>
      <w:r>
        <w:rPr>
          <w:color w:val="585858"/>
          <w:spacing w:val="-4"/>
        </w:rPr>
        <w:t> </w:t>
      </w:r>
      <w:r>
        <w:rPr>
          <w:color w:val="585858"/>
        </w:rPr>
        <w:t>Promoting</w:t>
      </w:r>
      <w:r>
        <w:rPr>
          <w:color w:val="585858"/>
          <w:spacing w:val="-7"/>
        </w:rPr>
        <w:t> </w:t>
      </w:r>
      <w:r>
        <w:rPr>
          <w:color w:val="585858"/>
        </w:rPr>
        <w:t>a</w:t>
      </w:r>
      <w:r>
        <w:rPr>
          <w:color w:val="585858"/>
          <w:spacing w:val="-3"/>
        </w:rPr>
        <w:t> </w:t>
      </w:r>
      <w:r>
        <w:rPr>
          <w:color w:val="585858"/>
        </w:rPr>
        <w:t>comprehensive</w:t>
      </w:r>
      <w:r>
        <w:rPr>
          <w:color w:val="585858"/>
          <w:spacing w:val="-6"/>
        </w:rPr>
        <w:t> </w:t>
      </w:r>
      <w:r>
        <w:rPr>
          <w:color w:val="585858"/>
        </w:rPr>
        <w:t>approach</w:t>
      </w:r>
      <w:r>
        <w:rPr>
          <w:color w:val="585858"/>
          <w:spacing w:val="-6"/>
        </w:rPr>
        <w:t> </w:t>
      </w:r>
      <w:r>
        <w:rPr>
          <w:color w:val="585858"/>
        </w:rPr>
        <w:t>to </w:t>
      </w:r>
      <w:r>
        <w:rPr>
          <w:color w:val="585858"/>
          <w:spacing w:val="-2"/>
        </w:rPr>
        <w:t>safety</w:t>
      </w:r>
    </w:p>
    <w:p>
      <w:pPr>
        <w:pStyle w:val="BodyText"/>
        <w:spacing w:line="288" w:lineRule="auto" w:before="240"/>
        <w:ind w:left="600" w:right="713"/>
      </w:pPr>
      <w:r>
        <w:rPr/>
        <w:t>The foundation for the Review’s analysis is an assessment of leading practice frameworks for</w:t>
      </w:r>
      <w:r>
        <w:rPr>
          <w:spacing w:val="-3"/>
        </w:rPr>
        <w:t> </w:t>
      </w:r>
      <w:r>
        <w:rPr/>
        <w:t>safety</w:t>
      </w:r>
      <w:r>
        <w:rPr>
          <w:spacing w:val="-4"/>
        </w:rPr>
        <w:t> </w:t>
      </w:r>
      <w:r>
        <w:rPr/>
        <w:t>regulation,</w:t>
      </w:r>
      <w:r>
        <w:rPr>
          <w:spacing w:val="-3"/>
        </w:rPr>
        <w:t> </w:t>
      </w:r>
      <w:r>
        <w:rPr/>
        <w:t>in</w:t>
      </w:r>
      <w:r>
        <w:rPr>
          <w:spacing w:val="-2"/>
        </w:rPr>
        <w:t> </w:t>
      </w:r>
      <w:r>
        <w:rPr/>
        <w:t>particular,</w:t>
      </w:r>
      <w:r>
        <w:rPr>
          <w:spacing w:val="-4"/>
        </w:rPr>
        <w:t> </w:t>
      </w:r>
      <w:r>
        <w:rPr/>
        <w:t>for</w:t>
      </w:r>
      <w:r>
        <w:rPr>
          <w:spacing w:val="-3"/>
        </w:rPr>
        <w:t> </w:t>
      </w:r>
      <w:r>
        <w:rPr/>
        <w:t>the</w:t>
      </w:r>
      <w:r>
        <w:rPr>
          <w:spacing w:val="-4"/>
        </w:rPr>
        <w:t> </w:t>
      </w:r>
      <w:r>
        <w:rPr/>
        <w:t>effective</w:t>
      </w:r>
      <w:r>
        <w:rPr>
          <w:spacing w:val="-2"/>
        </w:rPr>
        <w:t> </w:t>
      </w:r>
      <w:r>
        <w:rPr/>
        <w:t>regulation</w:t>
      </w:r>
      <w:r>
        <w:rPr>
          <w:spacing w:val="-2"/>
        </w:rPr>
        <w:t> </w:t>
      </w:r>
      <w:r>
        <w:rPr/>
        <w:t>of</w:t>
      </w:r>
      <w:r>
        <w:rPr>
          <w:spacing w:val="-1"/>
        </w:rPr>
        <w:t> </w:t>
      </w:r>
      <w:r>
        <w:rPr/>
        <w:t>electricity</w:t>
      </w:r>
      <w:r>
        <w:rPr>
          <w:spacing w:val="-4"/>
        </w:rPr>
        <w:t> </w:t>
      </w:r>
      <w:r>
        <w:rPr/>
        <w:t>and</w:t>
      </w:r>
      <w:r>
        <w:rPr>
          <w:spacing w:val="-4"/>
        </w:rPr>
        <w:t> </w:t>
      </w:r>
      <w:r>
        <w:rPr/>
        <w:t>gas</w:t>
      </w:r>
      <w:r>
        <w:rPr>
          <w:spacing w:val="-2"/>
        </w:rPr>
        <w:t> </w:t>
      </w:r>
      <w:r>
        <w:rPr/>
        <w:t>networks.</w:t>
      </w:r>
    </w:p>
    <w:p>
      <w:pPr>
        <w:pStyle w:val="BodyText"/>
        <w:spacing w:before="10"/>
        <w:rPr>
          <w:sz w:val="20"/>
        </w:rPr>
      </w:pPr>
    </w:p>
    <w:p>
      <w:pPr>
        <w:pStyle w:val="BodyText"/>
        <w:spacing w:line="288" w:lineRule="auto"/>
        <w:ind w:left="600" w:right="657"/>
      </w:pPr>
      <w:r>
        <w:rPr/>
        <w:t>Perhaps the closest reference point for the regulation of safety in large-scale electricity and gas networks is the regulation of safety in other major industrial settings. International thinking and practice around the best way to regulate safety has progressed significantly over</w:t>
      </w:r>
      <w:r>
        <w:rPr>
          <w:spacing w:val="-1"/>
        </w:rPr>
        <w:t> </w:t>
      </w:r>
      <w:r>
        <w:rPr/>
        <w:t>the</w:t>
      </w:r>
      <w:r>
        <w:rPr>
          <w:spacing w:val="-2"/>
        </w:rPr>
        <w:t> </w:t>
      </w:r>
      <w:r>
        <w:rPr/>
        <w:t>past</w:t>
      </w:r>
      <w:r>
        <w:rPr>
          <w:spacing w:val="-3"/>
        </w:rPr>
        <w:t> </w:t>
      </w:r>
      <w:r>
        <w:rPr/>
        <w:t>three</w:t>
      </w:r>
      <w:r>
        <w:rPr>
          <w:spacing w:val="-4"/>
        </w:rPr>
        <w:t> </w:t>
      </w:r>
      <w:r>
        <w:rPr/>
        <w:t>to</w:t>
      </w:r>
      <w:r>
        <w:rPr>
          <w:spacing w:val="-3"/>
        </w:rPr>
        <w:t> </w:t>
      </w:r>
      <w:r>
        <w:rPr/>
        <w:t>four</w:t>
      </w:r>
      <w:r>
        <w:rPr>
          <w:spacing w:val="-1"/>
        </w:rPr>
        <w:t> </w:t>
      </w:r>
      <w:r>
        <w:rPr/>
        <w:t>decades, heavily</w:t>
      </w:r>
      <w:r>
        <w:rPr>
          <w:spacing w:val="-4"/>
        </w:rPr>
        <w:t> </w:t>
      </w:r>
      <w:r>
        <w:rPr/>
        <w:t>influenced</w:t>
      </w:r>
      <w:r>
        <w:rPr>
          <w:spacing w:val="-2"/>
        </w:rPr>
        <w:t> </w:t>
      </w:r>
      <w:r>
        <w:rPr/>
        <w:t>by</w:t>
      </w:r>
      <w:r>
        <w:rPr>
          <w:spacing w:val="-4"/>
        </w:rPr>
        <w:t> </w:t>
      </w:r>
      <w:r>
        <w:rPr/>
        <w:t>several</w:t>
      </w:r>
      <w:r>
        <w:rPr>
          <w:spacing w:val="-2"/>
        </w:rPr>
        <w:t> </w:t>
      </w:r>
      <w:r>
        <w:rPr/>
        <w:t>major</w:t>
      </w:r>
      <w:r>
        <w:rPr>
          <w:spacing w:val="-3"/>
        </w:rPr>
        <w:t> </w:t>
      </w:r>
      <w:r>
        <w:rPr/>
        <w:t>incidents,</w:t>
      </w:r>
      <w:r>
        <w:rPr>
          <w:spacing w:val="-2"/>
        </w:rPr>
        <w:t> </w:t>
      </w:r>
      <w:r>
        <w:rPr/>
        <w:t>especially those involving offshore oil and gas production, nuclear power, chemicals production, aviation and rail transport.</w:t>
      </w:r>
    </w:p>
    <w:p>
      <w:pPr>
        <w:pStyle w:val="BodyText"/>
        <w:spacing w:before="11"/>
        <w:rPr>
          <w:sz w:val="20"/>
        </w:rPr>
      </w:pPr>
    </w:p>
    <w:p>
      <w:pPr>
        <w:pStyle w:val="BodyText"/>
        <w:ind w:left="600"/>
      </w:pPr>
      <w:r>
        <w:rPr/>
        <w:t>There</w:t>
      </w:r>
      <w:r>
        <w:rPr>
          <w:spacing w:val="-7"/>
        </w:rPr>
        <w:t> </w:t>
      </w:r>
      <w:r>
        <w:rPr/>
        <w:t>are</w:t>
      </w:r>
      <w:r>
        <w:rPr>
          <w:spacing w:val="-5"/>
        </w:rPr>
        <w:t> </w:t>
      </w:r>
      <w:r>
        <w:rPr/>
        <w:t>some</w:t>
      </w:r>
      <w:r>
        <w:rPr>
          <w:spacing w:val="-5"/>
        </w:rPr>
        <w:t> </w:t>
      </w:r>
      <w:r>
        <w:rPr/>
        <w:t>important</w:t>
      </w:r>
      <w:r>
        <w:rPr>
          <w:spacing w:val="-4"/>
        </w:rPr>
        <w:t> </w:t>
      </w:r>
      <w:r>
        <w:rPr/>
        <w:t>common</w:t>
      </w:r>
      <w:r>
        <w:rPr>
          <w:spacing w:val="-7"/>
        </w:rPr>
        <w:t> </w:t>
      </w:r>
      <w:r>
        <w:rPr/>
        <w:t>threads</w:t>
      </w:r>
      <w:r>
        <w:rPr>
          <w:spacing w:val="-7"/>
        </w:rPr>
        <w:t> </w:t>
      </w:r>
      <w:r>
        <w:rPr/>
        <w:t>across</w:t>
      </w:r>
      <w:r>
        <w:rPr>
          <w:spacing w:val="-4"/>
        </w:rPr>
        <w:t> </w:t>
      </w:r>
      <w:r>
        <w:rPr/>
        <w:t>these</w:t>
      </w:r>
      <w:r>
        <w:rPr>
          <w:spacing w:val="-4"/>
        </w:rPr>
        <w:t> </w:t>
      </w:r>
      <w:r>
        <w:rPr>
          <w:spacing w:val="-2"/>
        </w:rPr>
        <w:t>sectors:</w:t>
      </w:r>
    </w:p>
    <w:p>
      <w:pPr>
        <w:pStyle w:val="BodyText"/>
        <w:spacing w:before="9"/>
        <w:rPr>
          <w:sz w:val="26"/>
        </w:rPr>
      </w:pPr>
    </w:p>
    <w:p>
      <w:pPr>
        <w:pStyle w:val="ListParagraph"/>
        <w:numPr>
          <w:ilvl w:val="0"/>
          <w:numId w:val="26"/>
        </w:numPr>
        <w:tabs>
          <w:tab w:pos="1166" w:val="left" w:leader="none"/>
        </w:tabs>
        <w:spacing w:line="288" w:lineRule="auto" w:before="0" w:after="0"/>
        <w:ind w:left="1166" w:right="722" w:hanging="425"/>
        <w:jc w:val="left"/>
        <w:rPr>
          <w:sz w:val="22"/>
        </w:rPr>
      </w:pPr>
      <w:r>
        <w:rPr>
          <w:sz w:val="22"/>
        </w:rPr>
        <w:t>all</w:t>
      </w:r>
      <w:r>
        <w:rPr>
          <w:spacing w:val="-3"/>
          <w:sz w:val="22"/>
        </w:rPr>
        <w:t> </w:t>
      </w:r>
      <w:r>
        <w:rPr>
          <w:sz w:val="22"/>
        </w:rPr>
        <w:t>involve</w:t>
      </w:r>
      <w:r>
        <w:rPr>
          <w:spacing w:val="-3"/>
          <w:sz w:val="22"/>
        </w:rPr>
        <w:t> </w:t>
      </w:r>
      <w:r>
        <w:rPr>
          <w:sz w:val="22"/>
        </w:rPr>
        <w:t>complex</w:t>
      </w:r>
      <w:r>
        <w:rPr>
          <w:spacing w:val="-5"/>
          <w:sz w:val="22"/>
        </w:rPr>
        <w:t> </w:t>
      </w:r>
      <w:r>
        <w:rPr>
          <w:sz w:val="22"/>
        </w:rPr>
        <w:t>systems</w:t>
      </w:r>
      <w:r>
        <w:rPr>
          <w:spacing w:val="-2"/>
          <w:sz w:val="22"/>
        </w:rPr>
        <w:t> </w:t>
      </w:r>
      <w:r>
        <w:rPr>
          <w:sz w:val="22"/>
        </w:rPr>
        <w:t>and</w:t>
      </w:r>
      <w:r>
        <w:rPr>
          <w:spacing w:val="-5"/>
          <w:sz w:val="22"/>
        </w:rPr>
        <w:t> </w:t>
      </w:r>
      <w:r>
        <w:rPr>
          <w:sz w:val="22"/>
        </w:rPr>
        <w:t>processes,</w:t>
      </w:r>
      <w:r>
        <w:rPr>
          <w:spacing w:val="-1"/>
          <w:sz w:val="22"/>
        </w:rPr>
        <w:t> </w:t>
      </w:r>
      <w:r>
        <w:rPr>
          <w:sz w:val="22"/>
        </w:rPr>
        <w:t>or</w:t>
      </w:r>
      <w:r>
        <w:rPr>
          <w:spacing w:val="-2"/>
          <w:sz w:val="22"/>
        </w:rPr>
        <w:t> </w:t>
      </w:r>
      <w:r>
        <w:rPr>
          <w:sz w:val="22"/>
        </w:rPr>
        <w:t>large-scale</w:t>
      </w:r>
      <w:r>
        <w:rPr>
          <w:spacing w:val="-3"/>
          <w:sz w:val="22"/>
        </w:rPr>
        <w:t> </w:t>
      </w:r>
      <w:r>
        <w:rPr>
          <w:sz w:val="22"/>
        </w:rPr>
        <w:t>networks,</w:t>
      </w:r>
      <w:r>
        <w:rPr>
          <w:spacing w:val="-1"/>
          <w:sz w:val="22"/>
        </w:rPr>
        <w:t> </w:t>
      </w:r>
      <w:r>
        <w:rPr>
          <w:sz w:val="22"/>
        </w:rPr>
        <w:t>or</w:t>
      </w:r>
      <w:r>
        <w:rPr>
          <w:spacing w:val="-2"/>
          <w:sz w:val="22"/>
        </w:rPr>
        <w:t> </w:t>
      </w:r>
      <w:r>
        <w:rPr>
          <w:sz w:val="22"/>
        </w:rPr>
        <w:t>a</w:t>
      </w:r>
      <w:r>
        <w:rPr>
          <w:spacing w:val="-5"/>
          <w:sz w:val="22"/>
        </w:rPr>
        <w:t> </w:t>
      </w:r>
      <w:r>
        <w:rPr>
          <w:sz w:val="22"/>
        </w:rPr>
        <w:t>combination of both;</w:t>
      </w:r>
    </w:p>
    <w:p>
      <w:pPr>
        <w:pStyle w:val="ListParagraph"/>
        <w:numPr>
          <w:ilvl w:val="0"/>
          <w:numId w:val="26"/>
        </w:numPr>
        <w:tabs>
          <w:tab w:pos="1166" w:val="left" w:leader="none"/>
        </w:tabs>
        <w:spacing w:line="288" w:lineRule="auto" w:before="15" w:after="0"/>
        <w:ind w:left="1166" w:right="1033" w:hanging="425"/>
        <w:jc w:val="left"/>
        <w:rPr>
          <w:sz w:val="22"/>
        </w:rPr>
      </w:pPr>
      <w:r>
        <w:rPr>
          <w:sz w:val="22"/>
        </w:rPr>
        <w:t>all</w:t>
      </w:r>
      <w:r>
        <w:rPr>
          <w:spacing w:val="-3"/>
          <w:sz w:val="22"/>
        </w:rPr>
        <w:t> </w:t>
      </w:r>
      <w:r>
        <w:rPr>
          <w:sz w:val="22"/>
        </w:rPr>
        <w:t>involve</w:t>
      </w:r>
      <w:r>
        <w:rPr>
          <w:spacing w:val="-3"/>
          <w:sz w:val="22"/>
        </w:rPr>
        <w:t> </w:t>
      </w:r>
      <w:r>
        <w:rPr>
          <w:sz w:val="22"/>
        </w:rPr>
        <w:t>hazardous</w:t>
      </w:r>
      <w:r>
        <w:rPr>
          <w:spacing w:val="-3"/>
          <w:sz w:val="22"/>
        </w:rPr>
        <w:t> </w:t>
      </w:r>
      <w:r>
        <w:rPr>
          <w:sz w:val="22"/>
        </w:rPr>
        <w:t>processes</w:t>
      </w:r>
      <w:r>
        <w:rPr>
          <w:spacing w:val="-5"/>
          <w:sz w:val="22"/>
        </w:rPr>
        <w:t> </w:t>
      </w:r>
      <w:r>
        <w:rPr>
          <w:sz w:val="22"/>
        </w:rPr>
        <w:t>that</w:t>
      </w:r>
      <w:r>
        <w:rPr>
          <w:spacing w:val="-4"/>
          <w:sz w:val="22"/>
        </w:rPr>
        <w:t> </w:t>
      </w:r>
      <w:r>
        <w:rPr>
          <w:sz w:val="22"/>
        </w:rPr>
        <w:t>potentially</w:t>
      </w:r>
      <w:r>
        <w:rPr>
          <w:spacing w:val="-5"/>
          <w:sz w:val="22"/>
        </w:rPr>
        <w:t> </w:t>
      </w:r>
      <w:r>
        <w:rPr>
          <w:sz w:val="22"/>
        </w:rPr>
        <w:t>expose</w:t>
      </w:r>
      <w:r>
        <w:rPr>
          <w:spacing w:val="-3"/>
          <w:sz w:val="22"/>
        </w:rPr>
        <w:t> </w:t>
      </w:r>
      <w:r>
        <w:rPr>
          <w:sz w:val="22"/>
        </w:rPr>
        <w:t>large</w:t>
      </w:r>
      <w:r>
        <w:rPr>
          <w:spacing w:val="-5"/>
          <w:sz w:val="22"/>
        </w:rPr>
        <w:t> </w:t>
      </w:r>
      <w:r>
        <w:rPr>
          <w:sz w:val="22"/>
        </w:rPr>
        <w:t>numbers</w:t>
      </w:r>
      <w:r>
        <w:rPr>
          <w:spacing w:val="-2"/>
          <w:sz w:val="22"/>
        </w:rPr>
        <w:t> </w:t>
      </w:r>
      <w:r>
        <w:rPr>
          <w:sz w:val="22"/>
        </w:rPr>
        <w:t>of</w:t>
      </w:r>
      <w:r>
        <w:rPr>
          <w:spacing w:val="-6"/>
          <w:sz w:val="22"/>
        </w:rPr>
        <w:t> </w:t>
      </w:r>
      <w:r>
        <w:rPr>
          <w:sz w:val="22"/>
        </w:rPr>
        <w:t>people</w:t>
      </w:r>
      <w:r>
        <w:rPr>
          <w:spacing w:val="-3"/>
          <w:sz w:val="22"/>
        </w:rPr>
        <w:t> </w:t>
      </w:r>
      <w:r>
        <w:rPr>
          <w:sz w:val="22"/>
        </w:rPr>
        <w:t>to </w:t>
      </w:r>
      <w:r>
        <w:rPr>
          <w:spacing w:val="-2"/>
          <w:sz w:val="22"/>
        </w:rPr>
        <w:t>risk;</w:t>
      </w:r>
    </w:p>
    <w:p>
      <w:pPr>
        <w:pStyle w:val="ListParagraph"/>
        <w:numPr>
          <w:ilvl w:val="0"/>
          <w:numId w:val="26"/>
        </w:numPr>
        <w:tabs>
          <w:tab w:pos="1166" w:val="left" w:leader="none"/>
        </w:tabs>
        <w:spacing w:line="288" w:lineRule="auto" w:before="14" w:after="0"/>
        <w:ind w:left="1166" w:right="1275" w:hanging="425"/>
        <w:jc w:val="left"/>
        <w:rPr>
          <w:sz w:val="22"/>
        </w:rPr>
      </w:pPr>
      <w:r>
        <w:rPr>
          <w:sz w:val="22"/>
        </w:rPr>
        <w:t>the</w:t>
      </w:r>
      <w:r>
        <w:rPr>
          <w:spacing w:val="-3"/>
          <w:sz w:val="22"/>
        </w:rPr>
        <w:t> </w:t>
      </w:r>
      <w:r>
        <w:rPr>
          <w:sz w:val="22"/>
        </w:rPr>
        <w:t>circumstances</w:t>
      </w:r>
      <w:r>
        <w:rPr>
          <w:spacing w:val="-4"/>
          <w:sz w:val="22"/>
        </w:rPr>
        <w:t> </w:t>
      </w:r>
      <w:r>
        <w:rPr>
          <w:sz w:val="22"/>
        </w:rPr>
        <w:t>in</w:t>
      </w:r>
      <w:r>
        <w:rPr>
          <w:spacing w:val="-3"/>
          <w:sz w:val="22"/>
        </w:rPr>
        <w:t> </w:t>
      </w:r>
      <w:r>
        <w:rPr>
          <w:sz w:val="22"/>
        </w:rPr>
        <w:t>which</w:t>
      </w:r>
      <w:r>
        <w:rPr>
          <w:spacing w:val="-3"/>
          <w:sz w:val="22"/>
        </w:rPr>
        <w:t> </w:t>
      </w:r>
      <w:r>
        <w:rPr>
          <w:sz w:val="22"/>
        </w:rPr>
        <w:t>major</w:t>
      </w:r>
      <w:r>
        <w:rPr>
          <w:spacing w:val="-3"/>
          <w:sz w:val="22"/>
        </w:rPr>
        <w:t> </w:t>
      </w:r>
      <w:r>
        <w:rPr>
          <w:sz w:val="22"/>
        </w:rPr>
        <w:t>incidents</w:t>
      </w:r>
      <w:r>
        <w:rPr>
          <w:spacing w:val="-3"/>
          <w:sz w:val="22"/>
        </w:rPr>
        <w:t> </w:t>
      </w:r>
      <w:r>
        <w:rPr>
          <w:sz w:val="22"/>
        </w:rPr>
        <w:t>may</w:t>
      </w:r>
      <w:r>
        <w:rPr>
          <w:spacing w:val="-4"/>
          <w:sz w:val="22"/>
        </w:rPr>
        <w:t> </w:t>
      </w:r>
      <w:r>
        <w:rPr>
          <w:sz w:val="22"/>
        </w:rPr>
        <w:t>occur</w:t>
      </w:r>
      <w:r>
        <w:rPr>
          <w:spacing w:val="-2"/>
          <w:sz w:val="22"/>
        </w:rPr>
        <w:t> </w:t>
      </w:r>
      <w:r>
        <w:rPr>
          <w:sz w:val="22"/>
        </w:rPr>
        <w:t>are</w:t>
      </w:r>
      <w:r>
        <w:rPr>
          <w:spacing w:val="-4"/>
          <w:sz w:val="22"/>
        </w:rPr>
        <w:t> </w:t>
      </w:r>
      <w:r>
        <w:rPr>
          <w:sz w:val="22"/>
        </w:rPr>
        <w:t>relatively</w:t>
      </w:r>
      <w:r>
        <w:rPr>
          <w:spacing w:val="-4"/>
          <w:sz w:val="22"/>
        </w:rPr>
        <w:t> </w:t>
      </w:r>
      <w:r>
        <w:rPr>
          <w:sz w:val="22"/>
        </w:rPr>
        <w:t>rare,</w:t>
      </w:r>
      <w:r>
        <w:rPr>
          <w:spacing w:val="-1"/>
          <w:sz w:val="22"/>
        </w:rPr>
        <w:t> </w:t>
      </w:r>
      <w:r>
        <w:rPr>
          <w:sz w:val="22"/>
        </w:rPr>
        <w:t>but</w:t>
      </w:r>
      <w:r>
        <w:rPr>
          <w:spacing w:val="-3"/>
          <w:sz w:val="22"/>
        </w:rPr>
        <w:t> </w:t>
      </w:r>
      <w:r>
        <w:rPr>
          <w:sz w:val="22"/>
        </w:rPr>
        <w:t>the consequences are likely to be significant, indeed they may be catastrophic.</w:t>
      </w:r>
    </w:p>
    <w:p>
      <w:pPr>
        <w:pStyle w:val="BodyText"/>
        <w:spacing w:before="8"/>
        <w:rPr>
          <w:sz w:val="20"/>
        </w:rPr>
      </w:pPr>
    </w:p>
    <w:p>
      <w:pPr>
        <w:pStyle w:val="BodyText"/>
        <w:spacing w:line="288" w:lineRule="auto"/>
        <w:ind w:left="600" w:right="713"/>
      </w:pPr>
      <w:r>
        <w:rPr/>
        <w:t>There is a broad consensus that effective safety regulation in these sectors requires a comprehensive, multi-dimensional approach to ensure that a safety mindset is deeply embedded,</w:t>
      </w:r>
      <w:r>
        <w:rPr>
          <w:spacing w:val="-3"/>
        </w:rPr>
        <w:t> </w:t>
      </w:r>
      <w:r>
        <w:rPr/>
        <w:t>not</w:t>
      </w:r>
      <w:r>
        <w:rPr>
          <w:spacing w:val="-3"/>
        </w:rPr>
        <w:t> </w:t>
      </w:r>
      <w:r>
        <w:rPr/>
        <w:t>only</w:t>
      </w:r>
      <w:r>
        <w:rPr>
          <w:spacing w:val="-4"/>
        </w:rPr>
        <w:t> </w:t>
      </w:r>
      <w:r>
        <w:rPr/>
        <w:t>within</w:t>
      </w:r>
      <w:r>
        <w:rPr>
          <w:spacing w:val="-2"/>
        </w:rPr>
        <w:t> </w:t>
      </w:r>
      <w:r>
        <w:rPr/>
        <w:t>the</w:t>
      </w:r>
      <w:r>
        <w:rPr>
          <w:spacing w:val="-4"/>
        </w:rPr>
        <w:t> </w:t>
      </w:r>
      <w:r>
        <w:rPr/>
        <w:t>systems</w:t>
      </w:r>
      <w:r>
        <w:rPr>
          <w:spacing w:val="-3"/>
        </w:rPr>
        <w:t> </w:t>
      </w:r>
      <w:r>
        <w:rPr/>
        <w:t>and</w:t>
      </w:r>
      <w:r>
        <w:rPr>
          <w:spacing w:val="-4"/>
        </w:rPr>
        <w:t> </w:t>
      </w:r>
      <w:r>
        <w:rPr/>
        <w:t>processes</w:t>
      </w:r>
      <w:r>
        <w:rPr>
          <w:spacing w:val="-2"/>
        </w:rPr>
        <w:t> </w:t>
      </w:r>
      <w:r>
        <w:rPr/>
        <w:t>of</w:t>
      </w:r>
      <w:r>
        <w:rPr>
          <w:spacing w:val="-3"/>
        </w:rPr>
        <w:t> </w:t>
      </w:r>
      <w:r>
        <w:rPr/>
        <w:t>regulated</w:t>
      </w:r>
      <w:r>
        <w:rPr>
          <w:spacing w:val="-2"/>
        </w:rPr>
        <w:t> </w:t>
      </w:r>
      <w:r>
        <w:rPr/>
        <w:t>businesses,</w:t>
      </w:r>
      <w:r>
        <w:rPr>
          <w:spacing w:val="-3"/>
        </w:rPr>
        <w:t> </w:t>
      </w:r>
      <w:r>
        <w:rPr/>
        <w:t>but</w:t>
      </w:r>
      <w:r>
        <w:rPr>
          <w:spacing w:val="-3"/>
        </w:rPr>
        <w:t> </w:t>
      </w:r>
      <w:r>
        <w:rPr/>
        <w:t>also</w:t>
      </w:r>
      <w:r>
        <w:rPr>
          <w:spacing w:val="-2"/>
        </w:rPr>
        <w:t> </w:t>
      </w:r>
      <w:r>
        <w:rPr/>
        <w:t>as an entrenched part of their organisational cultures.</w:t>
      </w:r>
    </w:p>
    <w:p>
      <w:pPr>
        <w:pStyle w:val="BodyText"/>
        <w:spacing w:before="10"/>
        <w:rPr>
          <w:sz w:val="20"/>
        </w:rPr>
      </w:pPr>
    </w:p>
    <w:p>
      <w:pPr>
        <w:pStyle w:val="BodyText"/>
        <w:spacing w:line="288" w:lineRule="auto"/>
        <w:ind w:left="600" w:right="586"/>
      </w:pPr>
      <w:r>
        <w:rPr/>
        <w:t>It</w:t>
      </w:r>
      <w:r>
        <w:rPr>
          <w:spacing w:val="-3"/>
        </w:rPr>
        <w:t> </w:t>
      </w:r>
      <w:r>
        <w:rPr/>
        <w:t>is</w:t>
      </w:r>
      <w:r>
        <w:rPr>
          <w:spacing w:val="-1"/>
        </w:rPr>
        <w:t> </w:t>
      </w:r>
      <w:r>
        <w:rPr/>
        <w:t>also</w:t>
      </w:r>
      <w:r>
        <w:rPr>
          <w:spacing w:val="-2"/>
        </w:rPr>
        <w:t> </w:t>
      </w:r>
      <w:r>
        <w:rPr/>
        <w:t>broadly</w:t>
      </w:r>
      <w:r>
        <w:rPr>
          <w:spacing w:val="-4"/>
        </w:rPr>
        <w:t> </w:t>
      </w:r>
      <w:r>
        <w:rPr/>
        <w:t>recognised</w:t>
      </w:r>
      <w:r>
        <w:rPr>
          <w:spacing w:val="-2"/>
        </w:rPr>
        <w:t> </w:t>
      </w:r>
      <w:r>
        <w:rPr/>
        <w:t>that</w:t>
      </w:r>
      <w:r>
        <w:rPr>
          <w:spacing w:val="-3"/>
        </w:rPr>
        <w:t> </w:t>
      </w:r>
      <w:r>
        <w:rPr/>
        <w:t>safety</w:t>
      </w:r>
      <w:r>
        <w:rPr>
          <w:spacing w:val="-4"/>
        </w:rPr>
        <w:t> </w:t>
      </w:r>
      <w:r>
        <w:rPr/>
        <w:t>within</w:t>
      </w:r>
      <w:r>
        <w:rPr>
          <w:spacing w:val="-2"/>
        </w:rPr>
        <w:t> </w:t>
      </w:r>
      <w:r>
        <w:rPr/>
        <w:t>complex</w:t>
      </w:r>
      <w:r>
        <w:rPr>
          <w:spacing w:val="-4"/>
        </w:rPr>
        <w:t> </w:t>
      </w:r>
      <w:r>
        <w:rPr/>
        <w:t>and</w:t>
      </w:r>
      <w:r>
        <w:rPr>
          <w:spacing w:val="-2"/>
        </w:rPr>
        <w:t> </w:t>
      </w:r>
      <w:r>
        <w:rPr/>
        <w:t>large-scale</w:t>
      </w:r>
      <w:r>
        <w:rPr>
          <w:spacing w:val="-2"/>
        </w:rPr>
        <w:t> </w:t>
      </w:r>
      <w:r>
        <w:rPr/>
        <w:t>systems</w:t>
      </w:r>
      <w:r>
        <w:rPr>
          <w:spacing w:val="-1"/>
        </w:rPr>
        <w:t> </w:t>
      </w:r>
      <w:r>
        <w:rPr/>
        <w:t>cannot be achieved by simply mandating and applying central technical rules and standards, even though such standards may have an important place in the overall regulatory framework.</w:t>
      </w:r>
    </w:p>
    <w:p>
      <w:pPr>
        <w:pStyle w:val="BodyText"/>
        <w:rPr>
          <w:sz w:val="21"/>
        </w:rPr>
      </w:pPr>
    </w:p>
    <w:p>
      <w:pPr>
        <w:pStyle w:val="BodyText"/>
        <w:spacing w:line="288" w:lineRule="auto"/>
        <w:ind w:left="600" w:right="691"/>
      </w:pPr>
      <w:r>
        <w:rPr/>
        <w:t>In</w:t>
      </w:r>
      <w:r>
        <w:rPr>
          <w:spacing w:val="-3"/>
        </w:rPr>
        <w:t> </w:t>
      </w:r>
      <w:r>
        <w:rPr/>
        <w:t>Britain,</w:t>
      </w:r>
      <w:r>
        <w:rPr>
          <w:spacing w:val="-2"/>
        </w:rPr>
        <w:t> </w:t>
      </w:r>
      <w:r>
        <w:rPr/>
        <w:t>Australia</w:t>
      </w:r>
      <w:r>
        <w:rPr>
          <w:spacing w:val="-3"/>
        </w:rPr>
        <w:t> </w:t>
      </w:r>
      <w:r>
        <w:rPr/>
        <w:t>and</w:t>
      </w:r>
      <w:r>
        <w:rPr>
          <w:spacing w:val="-6"/>
        </w:rPr>
        <w:t> </w:t>
      </w:r>
      <w:r>
        <w:rPr/>
        <w:t>New</w:t>
      </w:r>
      <w:r>
        <w:rPr>
          <w:spacing w:val="-5"/>
        </w:rPr>
        <w:t> </w:t>
      </w:r>
      <w:r>
        <w:rPr/>
        <w:t>Zealand,</w:t>
      </w:r>
      <w:r>
        <w:rPr>
          <w:spacing w:val="-2"/>
        </w:rPr>
        <w:t> </w:t>
      </w:r>
      <w:r>
        <w:rPr/>
        <w:t>leading</w:t>
      </w:r>
      <w:r>
        <w:rPr>
          <w:spacing w:val="-1"/>
        </w:rPr>
        <w:t> </w:t>
      </w:r>
      <w:r>
        <w:rPr/>
        <w:t>practice</w:t>
      </w:r>
      <w:r>
        <w:rPr>
          <w:spacing w:val="-3"/>
        </w:rPr>
        <w:t> </w:t>
      </w:r>
      <w:r>
        <w:rPr/>
        <w:t>has</w:t>
      </w:r>
      <w:r>
        <w:rPr>
          <w:spacing w:val="-4"/>
        </w:rPr>
        <w:t> </w:t>
      </w:r>
      <w:r>
        <w:rPr/>
        <w:t>coalesced</w:t>
      </w:r>
      <w:r>
        <w:rPr>
          <w:spacing w:val="-4"/>
        </w:rPr>
        <w:t> </w:t>
      </w:r>
      <w:r>
        <w:rPr/>
        <w:t>around</w:t>
      </w:r>
      <w:r>
        <w:rPr>
          <w:spacing w:val="-3"/>
        </w:rPr>
        <w:t> </w:t>
      </w:r>
      <w:r>
        <w:rPr/>
        <w:t>the</w:t>
      </w:r>
      <w:r>
        <w:rPr>
          <w:spacing w:val="-4"/>
        </w:rPr>
        <w:t> </w:t>
      </w:r>
      <w:r>
        <w:rPr/>
        <w:t>concept</w:t>
      </w:r>
      <w:r>
        <w:rPr>
          <w:spacing w:val="-1"/>
        </w:rPr>
        <w:t> </w:t>
      </w:r>
      <w:r>
        <w:rPr/>
        <w:t>of the “safety case” as the foundation of safety management and regulation of hazardous industries. A safety case describes comprehensively how a regulated entity will run its operations to meet its safety obligations. It requires the entity to identify safety risks, describe how those risks are to be controlled, and the system for implementing and maintaining those controls effectively.</w:t>
      </w:r>
    </w:p>
    <w:p>
      <w:pPr>
        <w:pStyle w:val="BodyText"/>
        <w:spacing w:before="11"/>
        <w:rPr>
          <w:sz w:val="20"/>
        </w:rPr>
      </w:pPr>
    </w:p>
    <w:p>
      <w:pPr>
        <w:pStyle w:val="BodyText"/>
        <w:spacing w:line="288" w:lineRule="auto"/>
        <w:ind w:left="600" w:right="713"/>
      </w:pPr>
      <w:r>
        <w:rPr/>
        <w:t>In Australia, Victoria and Western Australia were the first states to formally apply a safety case</w:t>
      </w:r>
      <w:r>
        <w:rPr>
          <w:spacing w:val="-3"/>
        </w:rPr>
        <w:t> </w:t>
      </w:r>
      <w:r>
        <w:rPr/>
        <w:t>regime</w:t>
      </w:r>
      <w:r>
        <w:rPr>
          <w:spacing w:val="-5"/>
        </w:rPr>
        <w:t> </w:t>
      </w:r>
      <w:r>
        <w:rPr/>
        <w:t>to</w:t>
      </w:r>
      <w:r>
        <w:rPr>
          <w:spacing w:val="-5"/>
        </w:rPr>
        <w:t> </w:t>
      </w:r>
      <w:r>
        <w:rPr/>
        <w:t>the</w:t>
      </w:r>
      <w:r>
        <w:rPr>
          <w:spacing w:val="-5"/>
        </w:rPr>
        <w:t> </w:t>
      </w:r>
      <w:r>
        <w:rPr/>
        <w:t>safety</w:t>
      </w:r>
      <w:r>
        <w:rPr>
          <w:spacing w:val="-5"/>
        </w:rPr>
        <w:t> </w:t>
      </w:r>
      <w:r>
        <w:rPr/>
        <w:t>regulation</w:t>
      </w:r>
      <w:r>
        <w:rPr>
          <w:spacing w:val="-5"/>
        </w:rPr>
        <w:t> </w:t>
      </w:r>
      <w:r>
        <w:rPr/>
        <w:t>of</w:t>
      </w:r>
      <w:r>
        <w:rPr>
          <w:spacing w:val="-1"/>
        </w:rPr>
        <w:t> </w:t>
      </w:r>
      <w:r>
        <w:rPr/>
        <w:t>Major</w:t>
      </w:r>
      <w:r>
        <w:rPr>
          <w:spacing w:val="-2"/>
        </w:rPr>
        <w:t> </w:t>
      </w:r>
      <w:r>
        <w:rPr/>
        <w:t>Hazard</w:t>
      </w:r>
      <w:r>
        <w:rPr>
          <w:spacing w:val="-2"/>
        </w:rPr>
        <w:t> </w:t>
      </w:r>
      <w:r>
        <w:rPr/>
        <w:t>Facilities.</w:t>
      </w:r>
      <w:r>
        <w:rPr>
          <w:spacing w:val="-4"/>
        </w:rPr>
        <w:t> </w:t>
      </w:r>
      <w:r>
        <w:rPr/>
        <w:t>In</w:t>
      </w:r>
      <w:r>
        <w:rPr>
          <w:spacing w:val="-5"/>
        </w:rPr>
        <w:t> </w:t>
      </w:r>
      <w:r>
        <w:rPr/>
        <w:t>Victoria’s</w:t>
      </w:r>
      <w:r>
        <w:rPr>
          <w:spacing w:val="-2"/>
        </w:rPr>
        <w:t> </w:t>
      </w:r>
      <w:r>
        <w:rPr/>
        <w:t>case,</w:t>
      </w:r>
      <w:r>
        <w:rPr>
          <w:spacing w:val="-4"/>
        </w:rPr>
        <w:t> </w:t>
      </w:r>
      <w:r>
        <w:rPr/>
        <w:t>the</w:t>
      </w:r>
      <w:r>
        <w:rPr>
          <w:spacing w:val="-3"/>
        </w:rPr>
        <w:t> </w:t>
      </w:r>
      <w:r>
        <w:rPr/>
        <w:t>Royal Commission inquiring into the gas explosion at the Esso Longford plant in 1998 recommended that a legislative change be made to require Major Hazard Facilities to conform</w:t>
      </w:r>
      <w:r>
        <w:rPr>
          <w:spacing w:val="-3"/>
        </w:rPr>
        <w:t> </w:t>
      </w:r>
      <w:r>
        <w:rPr/>
        <w:t>to</w:t>
      </w:r>
      <w:r>
        <w:rPr>
          <w:spacing w:val="-2"/>
        </w:rPr>
        <w:t> </w:t>
      </w:r>
      <w:r>
        <w:rPr/>
        <w:t>a</w:t>
      </w:r>
      <w:r>
        <w:rPr>
          <w:spacing w:val="-4"/>
        </w:rPr>
        <w:t> </w:t>
      </w:r>
      <w:r>
        <w:rPr/>
        <w:t>safety</w:t>
      </w:r>
      <w:r>
        <w:rPr>
          <w:spacing w:val="-3"/>
        </w:rPr>
        <w:t> </w:t>
      </w:r>
      <w:r>
        <w:rPr/>
        <w:t>case</w:t>
      </w:r>
      <w:r>
        <w:rPr>
          <w:spacing w:val="-4"/>
        </w:rPr>
        <w:t> </w:t>
      </w:r>
      <w:r>
        <w:rPr/>
        <w:t>procedure.</w:t>
      </w:r>
      <w:r>
        <w:rPr>
          <w:spacing w:val="-3"/>
        </w:rPr>
        <w:t> </w:t>
      </w:r>
      <w:r>
        <w:rPr/>
        <w:t>Regulations</w:t>
      </w:r>
      <w:r>
        <w:rPr>
          <w:spacing w:val="-4"/>
        </w:rPr>
        <w:t> </w:t>
      </w:r>
      <w:r>
        <w:rPr/>
        <w:t>giving effect</w:t>
      </w:r>
      <w:r>
        <w:rPr>
          <w:spacing w:val="-3"/>
        </w:rPr>
        <w:t> </w:t>
      </w:r>
      <w:r>
        <w:rPr/>
        <w:t>to</w:t>
      </w:r>
      <w:r>
        <w:rPr>
          <w:spacing w:val="-4"/>
        </w:rPr>
        <w:t> </w:t>
      </w:r>
      <w:r>
        <w:rPr/>
        <w:t>this</w:t>
      </w:r>
      <w:r>
        <w:rPr>
          <w:spacing w:val="-4"/>
        </w:rPr>
        <w:t> </w:t>
      </w:r>
      <w:r>
        <w:rPr/>
        <w:t>recommendation</w:t>
      </w:r>
      <w:r>
        <w:rPr>
          <w:spacing w:val="-2"/>
        </w:rPr>
        <w:t> </w:t>
      </w:r>
      <w:r>
        <w:rPr/>
        <w:t>were introduced in 2000 and have been applied by WorkSafe Victoria since that time (Cooke, </w:t>
      </w:r>
      <w:r>
        <w:rPr>
          <w:spacing w:val="-2"/>
        </w:rPr>
        <w:t>2003).</w:t>
      </w:r>
    </w:p>
    <w:p>
      <w:pPr>
        <w:spacing w:after="0" w:line="288" w:lineRule="auto"/>
        <w:sectPr>
          <w:pgSz w:w="11910" w:h="16840"/>
          <w:pgMar w:header="887" w:footer="1286" w:top="1080" w:bottom="1500" w:left="840" w:right="820"/>
        </w:sectPr>
      </w:pPr>
    </w:p>
    <w:p>
      <w:pPr>
        <w:pStyle w:val="BodyText"/>
        <w:rPr>
          <w:sz w:val="20"/>
        </w:rPr>
      </w:pPr>
    </w:p>
    <w:p>
      <w:pPr>
        <w:pStyle w:val="BodyText"/>
        <w:rPr>
          <w:sz w:val="20"/>
        </w:rPr>
      </w:pPr>
    </w:p>
    <w:p>
      <w:pPr>
        <w:pStyle w:val="BodyText"/>
        <w:spacing w:before="5"/>
      </w:pPr>
    </w:p>
    <w:p>
      <w:pPr>
        <w:spacing w:line="288" w:lineRule="auto" w:before="0"/>
        <w:ind w:left="600" w:right="680" w:firstLine="0"/>
        <w:jc w:val="left"/>
        <w:rPr>
          <w:sz w:val="22"/>
        </w:rPr>
      </w:pPr>
      <w:r>
        <w:rPr>
          <w:sz w:val="22"/>
        </w:rPr>
        <w:t>While the application of a safety case was not a statutory requirement applying to Esso’s Longford plant in 1998, the Victorian Government had already applied a safety case regime to gas distribution and transmission networks under the </w:t>
      </w:r>
      <w:r>
        <w:rPr>
          <w:i/>
          <w:sz w:val="22"/>
        </w:rPr>
        <w:t>Gas Safety Act 1997</w:t>
      </w:r>
      <w:r>
        <w:rPr>
          <w:sz w:val="22"/>
        </w:rPr>
        <w:t>, and the Commonwealth had also applied similar safety requirements to offshore gas production under the </w:t>
      </w:r>
      <w:r>
        <w:rPr>
          <w:i/>
          <w:sz w:val="22"/>
        </w:rPr>
        <w:t>Petroleum (Submerged Lands) Management of Safety on Offshore Facilities Regulations 1996</w:t>
      </w:r>
      <w:r>
        <w:rPr>
          <w:sz w:val="22"/>
        </w:rPr>
        <w:t>. ESV’s predecessor agency, the Office of Gas Safety, was therefore one of the earliest safety regulators in Australia to adopt a safety case regime. As discussed further in </w:t>
      </w:r>
      <w:r>
        <w:rPr>
          <w:i/>
          <w:sz w:val="22"/>
        </w:rPr>
        <w:t>Chapter 9: Strengthening the Foundations for Future Network Safety Regulation</w:t>
      </w:r>
      <w:r>
        <w:rPr>
          <w:sz w:val="22"/>
        </w:rPr>
        <w:t>, ESV</w:t>
      </w:r>
      <w:r>
        <w:rPr>
          <w:spacing w:val="-2"/>
          <w:sz w:val="22"/>
        </w:rPr>
        <w:t> </w:t>
      </w:r>
      <w:r>
        <w:rPr>
          <w:sz w:val="22"/>
        </w:rPr>
        <w:t>has</w:t>
      </w:r>
      <w:r>
        <w:rPr>
          <w:spacing w:val="-1"/>
          <w:sz w:val="22"/>
        </w:rPr>
        <w:t> </w:t>
      </w:r>
      <w:r>
        <w:rPr>
          <w:sz w:val="22"/>
        </w:rPr>
        <w:t>recently</w:t>
      </w:r>
      <w:r>
        <w:rPr>
          <w:spacing w:val="-6"/>
          <w:sz w:val="22"/>
        </w:rPr>
        <w:t> </w:t>
      </w:r>
      <w:r>
        <w:rPr>
          <w:sz w:val="22"/>
        </w:rPr>
        <w:t>focused</w:t>
      </w:r>
      <w:r>
        <w:rPr>
          <w:spacing w:val="-2"/>
          <w:sz w:val="22"/>
        </w:rPr>
        <w:t> </w:t>
      </w:r>
      <w:r>
        <w:rPr>
          <w:sz w:val="22"/>
        </w:rPr>
        <w:t>on</w:t>
      </w:r>
      <w:r>
        <w:rPr>
          <w:spacing w:val="-4"/>
          <w:sz w:val="22"/>
        </w:rPr>
        <w:t> </w:t>
      </w:r>
      <w:r>
        <w:rPr>
          <w:sz w:val="22"/>
        </w:rPr>
        <w:t>the</w:t>
      </w:r>
      <w:r>
        <w:rPr>
          <w:spacing w:val="-2"/>
          <w:sz w:val="22"/>
        </w:rPr>
        <w:t> </w:t>
      </w:r>
      <w:r>
        <w:rPr>
          <w:sz w:val="22"/>
        </w:rPr>
        <w:t>safety</w:t>
      </w:r>
      <w:r>
        <w:rPr>
          <w:spacing w:val="-3"/>
          <w:sz w:val="22"/>
        </w:rPr>
        <w:t> </w:t>
      </w:r>
      <w:r>
        <w:rPr>
          <w:sz w:val="22"/>
        </w:rPr>
        <w:t>case</w:t>
      </w:r>
      <w:r>
        <w:rPr>
          <w:spacing w:val="-4"/>
          <w:sz w:val="22"/>
        </w:rPr>
        <w:t> </w:t>
      </w:r>
      <w:r>
        <w:rPr>
          <w:sz w:val="22"/>
        </w:rPr>
        <w:t>regime</w:t>
      </w:r>
      <w:r>
        <w:rPr>
          <w:spacing w:val="-4"/>
          <w:sz w:val="22"/>
        </w:rPr>
        <w:t> </w:t>
      </w:r>
      <w:r>
        <w:rPr>
          <w:sz w:val="22"/>
        </w:rPr>
        <w:t>for</w:t>
      </w:r>
      <w:r>
        <w:rPr>
          <w:spacing w:val="-3"/>
          <w:sz w:val="22"/>
        </w:rPr>
        <w:t> </w:t>
      </w:r>
      <w:r>
        <w:rPr>
          <w:sz w:val="22"/>
        </w:rPr>
        <w:t>regulating</w:t>
      </w:r>
      <w:r>
        <w:rPr>
          <w:spacing w:val="-2"/>
          <w:sz w:val="22"/>
        </w:rPr>
        <w:t> </w:t>
      </w:r>
      <w:r>
        <w:rPr>
          <w:sz w:val="22"/>
        </w:rPr>
        <w:t>electricity</w:t>
      </w:r>
      <w:r>
        <w:rPr>
          <w:spacing w:val="-4"/>
          <w:sz w:val="22"/>
        </w:rPr>
        <w:t> </w:t>
      </w:r>
      <w:r>
        <w:rPr>
          <w:sz w:val="22"/>
        </w:rPr>
        <w:t>network</w:t>
      </w:r>
      <w:r>
        <w:rPr>
          <w:spacing w:val="-1"/>
          <w:sz w:val="22"/>
        </w:rPr>
        <w:t> </w:t>
      </w:r>
      <w:r>
        <w:rPr>
          <w:sz w:val="22"/>
        </w:rPr>
        <w:t>safety, building on the Electricity Safety Management Scheme.</w:t>
      </w:r>
    </w:p>
    <w:p>
      <w:pPr>
        <w:pStyle w:val="BodyText"/>
        <w:spacing w:before="10"/>
        <w:rPr>
          <w:sz w:val="20"/>
        </w:rPr>
      </w:pPr>
    </w:p>
    <w:p>
      <w:pPr>
        <w:pStyle w:val="BodyText"/>
        <w:spacing w:line="288" w:lineRule="auto"/>
        <w:ind w:left="600" w:right="657"/>
      </w:pPr>
      <w:r>
        <w:rPr/>
        <w:t>Despite</w:t>
      </w:r>
      <w:r>
        <w:rPr>
          <w:spacing w:val="-1"/>
        </w:rPr>
        <w:t> </w:t>
      </w:r>
      <w:r>
        <w:rPr/>
        <w:t>the</w:t>
      </w:r>
      <w:r>
        <w:rPr>
          <w:spacing w:val="-3"/>
        </w:rPr>
        <w:t> </w:t>
      </w:r>
      <w:r>
        <w:rPr/>
        <w:t>widespread</w:t>
      </w:r>
      <w:r>
        <w:rPr>
          <w:spacing w:val="-1"/>
        </w:rPr>
        <w:t> </w:t>
      </w:r>
      <w:r>
        <w:rPr/>
        <w:t>recognition</w:t>
      </w:r>
      <w:r>
        <w:rPr>
          <w:spacing w:val="-3"/>
        </w:rPr>
        <w:t> </w:t>
      </w:r>
      <w:r>
        <w:rPr/>
        <w:t>that a</w:t>
      </w:r>
      <w:r>
        <w:rPr>
          <w:spacing w:val="-3"/>
        </w:rPr>
        <w:t> </w:t>
      </w:r>
      <w:r>
        <w:rPr/>
        <w:t>safety</w:t>
      </w:r>
      <w:r>
        <w:rPr>
          <w:spacing w:val="-3"/>
        </w:rPr>
        <w:t> </w:t>
      </w:r>
      <w:r>
        <w:rPr/>
        <w:t>case</w:t>
      </w:r>
      <w:r>
        <w:rPr>
          <w:spacing w:val="-1"/>
        </w:rPr>
        <w:t> </w:t>
      </w:r>
      <w:r>
        <w:rPr/>
        <w:t>regime</w:t>
      </w:r>
      <w:r>
        <w:rPr>
          <w:spacing w:val="-1"/>
        </w:rPr>
        <w:t> </w:t>
      </w:r>
      <w:r>
        <w:rPr/>
        <w:t>is</w:t>
      </w:r>
      <w:r>
        <w:rPr>
          <w:spacing w:val="-1"/>
        </w:rPr>
        <w:t> </w:t>
      </w:r>
      <w:r>
        <w:rPr/>
        <w:t>a</w:t>
      </w:r>
      <w:r>
        <w:rPr>
          <w:spacing w:val="-3"/>
        </w:rPr>
        <w:t> </w:t>
      </w:r>
      <w:r>
        <w:rPr/>
        <w:t>leading</w:t>
      </w:r>
      <w:r>
        <w:rPr>
          <w:spacing w:val="-1"/>
        </w:rPr>
        <w:t> </w:t>
      </w:r>
      <w:r>
        <w:rPr/>
        <w:t>practice</w:t>
      </w:r>
      <w:r>
        <w:rPr>
          <w:spacing w:val="-3"/>
        </w:rPr>
        <w:t> </w:t>
      </w:r>
      <w:r>
        <w:rPr/>
        <w:t>approach to safety regulation, its effective implementation is critical. The simple existence of a safety case that sets out how safety will be managed across a major facility or across a complex network may be necessary and desirable, but is not sufficient. Everything depends on how well the safety case is prepared; how deeply it is embedded in the working arrangements and</w:t>
      </w:r>
      <w:r>
        <w:rPr>
          <w:spacing w:val="-3"/>
        </w:rPr>
        <w:t> </w:t>
      </w:r>
      <w:r>
        <w:rPr/>
        <w:t>cultures</w:t>
      </w:r>
      <w:r>
        <w:rPr>
          <w:spacing w:val="-2"/>
        </w:rPr>
        <w:t> </w:t>
      </w:r>
      <w:r>
        <w:rPr/>
        <w:t>within</w:t>
      </w:r>
      <w:r>
        <w:rPr>
          <w:spacing w:val="-3"/>
        </w:rPr>
        <w:t> </w:t>
      </w:r>
      <w:r>
        <w:rPr/>
        <w:t>the</w:t>
      </w:r>
      <w:r>
        <w:rPr>
          <w:spacing w:val="-3"/>
        </w:rPr>
        <w:t> </w:t>
      </w:r>
      <w:r>
        <w:rPr/>
        <w:t>organisation</w:t>
      </w:r>
      <w:r>
        <w:rPr>
          <w:spacing w:val="-5"/>
        </w:rPr>
        <w:t> </w:t>
      </w:r>
      <w:r>
        <w:rPr/>
        <w:t>that</w:t>
      </w:r>
      <w:r>
        <w:rPr>
          <w:spacing w:val="-1"/>
        </w:rPr>
        <w:t> </w:t>
      </w:r>
      <w:r>
        <w:rPr/>
        <w:t>is</w:t>
      </w:r>
      <w:r>
        <w:rPr>
          <w:spacing w:val="-5"/>
        </w:rPr>
        <w:t> </w:t>
      </w:r>
      <w:r>
        <w:rPr/>
        <w:t>being</w:t>
      </w:r>
      <w:r>
        <w:rPr>
          <w:spacing w:val="-3"/>
        </w:rPr>
        <w:t> </w:t>
      </w:r>
      <w:r>
        <w:rPr/>
        <w:t>regulated;</w:t>
      </w:r>
      <w:r>
        <w:rPr>
          <w:spacing w:val="-1"/>
        </w:rPr>
        <w:t> </w:t>
      </w:r>
      <w:r>
        <w:rPr/>
        <w:t>how</w:t>
      </w:r>
      <w:r>
        <w:rPr>
          <w:spacing w:val="-6"/>
        </w:rPr>
        <w:t> </w:t>
      </w:r>
      <w:r>
        <w:rPr/>
        <w:t>effectively</w:t>
      </w:r>
      <w:r>
        <w:rPr>
          <w:spacing w:val="-2"/>
        </w:rPr>
        <w:t> </w:t>
      </w:r>
      <w:r>
        <w:rPr/>
        <w:t>it</w:t>
      </w:r>
      <w:r>
        <w:rPr>
          <w:spacing w:val="-1"/>
        </w:rPr>
        <w:t> </w:t>
      </w:r>
      <w:r>
        <w:rPr/>
        <w:t>is</w:t>
      </w:r>
      <w:r>
        <w:rPr>
          <w:spacing w:val="-5"/>
        </w:rPr>
        <w:t> </w:t>
      </w:r>
      <w:r>
        <w:rPr/>
        <w:t>implemented and updated; and how well it is regulated by the external regulator.</w:t>
      </w:r>
    </w:p>
    <w:p>
      <w:pPr>
        <w:pStyle w:val="BodyText"/>
        <w:rPr>
          <w:sz w:val="21"/>
        </w:rPr>
      </w:pPr>
    </w:p>
    <w:p>
      <w:pPr>
        <w:pStyle w:val="BodyText"/>
        <w:spacing w:line="288" w:lineRule="auto" w:before="1"/>
        <w:ind w:left="600"/>
      </w:pPr>
      <w:r>
        <w:rPr/>
        <w:t>In a recent speech, Justice Haddon-Cave, who conducted a major inquiry for the British Government into</w:t>
      </w:r>
      <w:r>
        <w:rPr>
          <w:spacing w:val="-4"/>
        </w:rPr>
        <w:t> </w:t>
      </w:r>
      <w:r>
        <w:rPr/>
        <w:t>the</w:t>
      </w:r>
      <w:r>
        <w:rPr>
          <w:spacing w:val="-4"/>
        </w:rPr>
        <w:t> </w:t>
      </w:r>
      <w:r>
        <w:rPr/>
        <w:t>causes</w:t>
      </w:r>
      <w:r>
        <w:rPr>
          <w:spacing w:val="-2"/>
        </w:rPr>
        <w:t> </w:t>
      </w:r>
      <w:r>
        <w:rPr/>
        <w:t>of a</w:t>
      </w:r>
      <w:r>
        <w:rPr>
          <w:spacing w:val="-4"/>
        </w:rPr>
        <w:t> </w:t>
      </w:r>
      <w:r>
        <w:rPr/>
        <w:t>catastrophic</w:t>
      </w:r>
      <w:r>
        <w:rPr>
          <w:spacing w:val="-4"/>
        </w:rPr>
        <w:t> </w:t>
      </w:r>
      <w:r>
        <w:rPr/>
        <w:t>mid-air</w:t>
      </w:r>
      <w:r>
        <w:rPr>
          <w:spacing w:val="-1"/>
        </w:rPr>
        <w:t> </w:t>
      </w:r>
      <w:r>
        <w:rPr/>
        <w:t>loss</w:t>
      </w:r>
      <w:r>
        <w:rPr>
          <w:spacing w:val="-4"/>
        </w:rPr>
        <w:t> </w:t>
      </w:r>
      <w:r>
        <w:rPr/>
        <w:t>of an</w:t>
      </w:r>
      <w:r>
        <w:rPr>
          <w:spacing w:val="-2"/>
        </w:rPr>
        <w:t> </w:t>
      </w:r>
      <w:r>
        <w:rPr/>
        <w:t>RAF</w:t>
      </w:r>
      <w:r>
        <w:rPr>
          <w:spacing w:val="-2"/>
        </w:rPr>
        <w:t> </w:t>
      </w:r>
      <w:r>
        <w:rPr/>
        <w:t>Nimrod</w:t>
      </w:r>
      <w:r>
        <w:rPr>
          <w:spacing w:val="-2"/>
        </w:rPr>
        <w:t> </w:t>
      </w:r>
      <w:r>
        <w:rPr/>
        <w:t>aircraft</w:t>
      </w:r>
      <w:r>
        <w:rPr>
          <w:spacing w:val="-3"/>
        </w:rPr>
        <w:t> </w:t>
      </w:r>
      <w:r>
        <w:rPr/>
        <w:t>in</w:t>
      </w:r>
      <w:r>
        <w:rPr>
          <w:spacing w:val="-2"/>
        </w:rPr>
        <w:t> </w:t>
      </w:r>
      <w:r>
        <w:rPr/>
        <w:t>2006, summarised this point clearly:</w:t>
      </w:r>
    </w:p>
    <w:p>
      <w:pPr>
        <w:pStyle w:val="BodyText"/>
        <w:spacing w:before="8"/>
        <w:rPr>
          <w:sz w:val="20"/>
        </w:rPr>
      </w:pPr>
    </w:p>
    <w:p>
      <w:pPr>
        <w:spacing w:line="288" w:lineRule="auto" w:before="0"/>
        <w:ind w:left="1166" w:right="1200" w:firstLine="0"/>
        <w:jc w:val="left"/>
        <w:rPr>
          <w:i/>
          <w:sz w:val="22"/>
        </w:rPr>
      </w:pPr>
      <w:r>
        <w:rPr>
          <w:i/>
          <w:sz w:val="22"/>
        </w:rPr>
        <w:t>“Safety</w:t>
      </w:r>
      <w:r>
        <w:rPr>
          <w:i/>
          <w:spacing w:val="-1"/>
          <w:sz w:val="22"/>
        </w:rPr>
        <w:t> </w:t>
      </w:r>
      <w:r>
        <w:rPr>
          <w:i/>
          <w:sz w:val="22"/>
        </w:rPr>
        <w:t>Cases</w:t>
      </w:r>
      <w:r>
        <w:rPr>
          <w:i/>
          <w:spacing w:val="-4"/>
          <w:sz w:val="22"/>
        </w:rPr>
        <w:t> </w:t>
      </w:r>
      <w:r>
        <w:rPr>
          <w:i/>
          <w:sz w:val="22"/>
        </w:rPr>
        <w:t>and</w:t>
      </w:r>
      <w:r>
        <w:rPr>
          <w:i/>
          <w:spacing w:val="-4"/>
          <w:sz w:val="22"/>
        </w:rPr>
        <w:t> </w:t>
      </w:r>
      <w:r>
        <w:rPr>
          <w:i/>
          <w:sz w:val="22"/>
        </w:rPr>
        <w:t>the</w:t>
      </w:r>
      <w:r>
        <w:rPr>
          <w:i/>
          <w:spacing w:val="-2"/>
          <w:sz w:val="22"/>
        </w:rPr>
        <w:t> </w:t>
      </w:r>
      <w:r>
        <w:rPr>
          <w:i/>
          <w:sz w:val="22"/>
        </w:rPr>
        <w:t>Safety</w:t>
      </w:r>
      <w:r>
        <w:rPr>
          <w:i/>
          <w:spacing w:val="-4"/>
          <w:sz w:val="22"/>
        </w:rPr>
        <w:t> </w:t>
      </w:r>
      <w:r>
        <w:rPr>
          <w:i/>
          <w:sz w:val="22"/>
        </w:rPr>
        <w:t>Case</w:t>
      </w:r>
      <w:r>
        <w:rPr>
          <w:i/>
          <w:spacing w:val="-4"/>
          <w:sz w:val="22"/>
        </w:rPr>
        <w:t> </w:t>
      </w:r>
      <w:r>
        <w:rPr>
          <w:i/>
          <w:sz w:val="22"/>
        </w:rPr>
        <w:t>regime</w:t>
      </w:r>
      <w:r>
        <w:rPr>
          <w:i/>
          <w:spacing w:val="-4"/>
          <w:sz w:val="22"/>
        </w:rPr>
        <w:t> </w:t>
      </w:r>
      <w:r>
        <w:rPr>
          <w:i/>
          <w:sz w:val="22"/>
        </w:rPr>
        <w:t>and</w:t>
      </w:r>
      <w:r>
        <w:rPr>
          <w:i/>
          <w:spacing w:val="-4"/>
          <w:sz w:val="22"/>
        </w:rPr>
        <w:t> </w:t>
      </w:r>
      <w:r>
        <w:rPr>
          <w:i/>
          <w:sz w:val="22"/>
        </w:rPr>
        <w:t>methodology</w:t>
      </w:r>
      <w:r>
        <w:rPr>
          <w:i/>
          <w:spacing w:val="-4"/>
          <w:sz w:val="22"/>
        </w:rPr>
        <w:t> </w:t>
      </w:r>
      <w:r>
        <w:rPr>
          <w:i/>
          <w:sz w:val="22"/>
        </w:rPr>
        <w:t>are</w:t>
      </w:r>
      <w:r>
        <w:rPr>
          <w:i/>
          <w:spacing w:val="-4"/>
          <w:sz w:val="22"/>
        </w:rPr>
        <w:t> </w:t>
      </w:r>
      <w:r>
        <w:rPr>
          <w:i/>
          <w:sz w:val="22"/>
        </w:rPr>
        <w:t>invaluable</w:t>
      </w:r>
      <w:r>
        <w:rPr>
          <w:i/>
          <w:spacing w:val="-2"/>
          <w:sz w:val="22"/>
        </w:rPr>
        <w:t> </w:t>
      </w:r>
      <w:r>
        <w:rPr>
          <w:i/>
          <w:sz w:val="22"/>
        </w:rPr>
        <w:t>tools in modern risk management. Safety Cases are here to stay. Properly used, they provide an invaluable intellectual and practical structure for analysing, anticipating and ameliorating risks. However, like so many ‘paper-based’</w:t>
      </w:r>
    </w:p>
    <w:p>
      <w:pPr>
        <w:spacing w:line="288" w:lineRule="auto" w:before="1"/>
        <w:ind w:left="1166" w:right="1369" w:firstLine="0"/>
        <w:jc w:val="left"/>
        <w:rPr>
          <w:sz w:val="22"/>
        </w:rPr>
      </w:pPr>
      <w:r>
        <w:rPr>
          <w:i/>
          <w:sz w:val="22"/>
        </w:rPr>
        <w:t>solutions,</w:t>
      </w:r>
      <w:r>
        <w:rPr>
          <w:i/>
          <w:spacing w:val="-3"/>
          <w:sz w:val="22"/>
        </w:rPr>
        <w:t> </w:t>
      </w:r>
      <w:r>
        <w:rPr>
          <w:i/>
          <w:sz w:val="22"/>
        </w:rPr>
        <w:t>they</w:t>
      </w:r>
      <w:r>
        <w:rPr>
          <w:i/>
          <w:spacing w:val="-4"/>
          <w:sz w:val="22"/>
        </w:rPr>
        <w:t> </w:t>
      </w:r>
      <w:r>
        <w:rPr>
          <w:i/>
          <w:sz w:val="22"/>
        </w:rPr>
        <w:t>are</w:t>
      </w:r>
      <w:r>
        <w:rPr>
          <w:i/>
          <w:spacing w:val="-4"/>
          <w:sz w:val="22"/>
        </w:rPr>
        <w:t> </w:t>
      </w:r>
      <w:r>
        <w:rPr>
          <w:i/>
          <w:sz w:val="22"/>
        </w:rPr>
        <w:t>open</w:t>
      </w:r>
      <w:r>
        <w:rPr>
          <w:i/>
          <w:spacing w:val="-4"/>
          <w:sz w:val="22"/>
        </w:rPr>
        <w:t> </w:t>
      </w:r>
      <w:r>
        <w:rPr>
          <w:i/>
          <w:sz w:val="22"/>
        </w:rPr>
        <w:t>to</w:t>
      </w:r>
      <w:r>
        <w:rPr>
          <w:i/>
          <w:spacing w:val="-2"/>
          <w:sz w:val="22"/>
        </w:rPr>
        <w:t> </w:t>
      </w:r>
      <w:r>
        <w:rPr>
          <w:i/>
          <w:sz w:val="22"/>
        </w:rPr>
        <w:t>abuse</w:t>
      </w:r>
      <w:r>
        <w:rPr>
          <w:i/>
          <w:spacing w:val="-5"/>
          <w:sz w:val="22"/>
        </w:rPr>
        <w:t> </w:t>
      </w:r>
      <w:r>
        <w:rPr>
          <w:i/>
          <w:sz w:val="22"/>
        </w:rPr>
        <w:t>and</w:t>
      </w:r>
      <w:r>
        <w:rPr>
          <w:i/>
          <w:spacing w:val="-2"/>
          <w:sz w:val="22"/>
        </w:rPr>
        <w:t> </w:t>
      </w:r>
      <w:r>
        <w:rPr>
          <w:i/>
          <w:sz w:val="22"/>
        </w:rPr>
        <w:t>lassitude</w:t>
      </w:r>
      <w:r>
        <w:rPr>
          <w:i/>
          <w:spacing w:val="-2"/>
          <w:sz w:val="22"/>
        </w:rPr>
        <w:t> </w:t>
      </w:r>
      <w:r>
        <w:rPr>
          <w:i/>
          <w:sz w:val="22"/>
        </w:rPr>
        <w:t>and</w:t>
      </w:r>
      <w:r>
        <w:rPr>
          <w:i/>
          <w:spacing w:val="-2"/>
          <w:sz w:val="22"/>
        </w:rPr>
        <w:t> </w:t>
      </w:r>
      <w:r>
        <w:rPr>
          <w:i/>
          <w:sz w:val="22"/>
        </w:rPr>
        <w:t>can</w:t>
      </w:r>
      <w:r>
        <w:rPr>
          <w:i/>
          <w:spacing w:val="-2"/>
          <w:sz w:val="22"/>
        </w:rPr>
        <w:t> </w:t>
      </w:r>
      <w:r>
        <w:rPr>
          <w:i/>
          <w:sz w:val="22"/>
        </w:rPr>
        <w:t>become</w:t>
      </w:r>
      <w:r>
        <w:rPr>
          <w:i/>
          <w:spacing w:val="-4"/>
          <w:sz w:val="22"/>
        </w:rPr>
        <w:t> </w:t>
      </w:r>
      <w:r>
        <w:rPr>
          <w:i/>
          <w:sz w:val="22"/>
        </w:rPr>
        <w:t>a</w:t>
      </w:r>
      <w:r>
        <w:rPr>
          <w:i/>
          <w:spacing w:val="-2"/>
          <w:sz w:val="22"/>
        </w:rPr>
        <w:t> </w:t>
      </w:r>
      <w:r>
        <w:rPr>
          <w:i/>
          <w:sz w:val="22"/>
        </w:rPr>
        <w:t>‘comfort blanket’ to keep one warm from the chill of having to face the realities of multifarious risk.” </w:t>
      </w:r>
      <w:r>
        <w:rPr>
          <w:sz w:val="22"/>
        </w:rPr>
        <w:t>(Haddon-Cave, 2017, p. 9)</w:t>
      </w:r>
    </w:p>
    <w:p>
      <w:pPr>
        <w:pStyle w:val="BodyText"/>
        <w:rPr>
          <w:sz w:val="21"/>
        </w:rPr>
      </w:pPr>
    </w:p>
    <w:p>
      <w:pPr>
        <w:pStyle w:val="BodyText"/>
        <w:spacing w:line="288" w:lineRule="auto"/>
        <w:ind w:left="600" w:right="311"/>
      </w:pPr>
      <w:r>
        <w:rPr/>
        <w:t>Professor</w:t>
      </w:r>
      <w:r>
        <w:rPr>
          <w:spacing w:val="-3"/>
        </w:rPr>
        <w:t> </w:t>
      </w:r>
      <w:r>
        <w:rPr/>
        <w:t>Andrew</w:t>
      </w:r>
      <w:r>
        <w:rPr>
          <w:spacing w:val="-6"/>
        </w:rPr>
        <w:t> </w:t>
      </w:r>
      <w:r>
        <w:rPr/>
        <w:t>Hopkins,</w:t>
      </w:r>
      <w:r>
        <w:rPr>
          <w:spacing w:val="-3"/>
        </w:rPr>
        <w:t> </w:t>
      </w:r>
      <w:r>
        <w:rPr/>
        <w:t>of</w:t>
      </w:r>
      <w:r>
        <w:rPr>
          <w:spacing w:val="-4"/>
        </w:rPr>
        <w:t> </w:t>
      </w:r>
      <w:r>
        <w:rPr/>
        <w:t>the</w:t>
      </w:r>
      <w:r>
        <w:rPr>
          <w:spacing w:val="-3"/>
        </w:rPr>
        <w:t> </w:t>
      </w:r>
      <w:r>
        <w:rPr/>
        <w:t>Australian</w:t>
      </w:r>
      <w:r>
        <w:rPr>
          <w:spacing w:val="-3"/>
        </w:rPr>
        <w:t> </w:t>
      </w:r>
      <w:r>
        <w:rPr/>
        <w:t>National</w:t>
      </w:r>
      <w:r>
        <w:rPr>
          <w:spacing w:val="-4"/>
        </w:rPr>
        <w:t> </w:t>
      </w:r>
      <w:r>
        <w:rPr/>
        <w:t>University,</w:t>
      </w:r>
      <w:r>
        <w:rPr>
          <w:spacing w:val="-2"/>
        </w:rPr>
        <w:t> </w:t>
      </w:r>
      <w:r>
        <w:rPr/>
        <w:t>has</w:t>
      </w:r>
      <w:r>
        <w:rPr>
          <w:spacing w:val="-3"/>
        </w:rPr>
        <w:t> </w:t>
      </w:r>
      <w:r>
        <w:rPr/>
        <w:t>identified</w:t>
      </w:r>
      <w:r>
        <w:rPr>
          <w:spacing w:val="-3"/>
        </w:rPr>
        <w:t> </w:t>
      </w:r>
      <w:r>
        <w:rPr/>
        <w:t>the</w:t>
      </w:r>
      <w:r>
        <w:rPr>
          <w:spacing w:val="-8"/>
        </w:rPr>
        <w:t> </w:t>
      </w:r>
      <w:r>
        <w:rPr/>
        <w:t>following features of an effective safety case system (Hopkins, 2012):</w:t>
      </w:r>
    </w:p>
    <w:p>
      <w:pPr>
        <w:pStyle w:val="BodyText"/>
        <w:spacing w:before="3"/>
      </w:pPr>
    </w:p>
    <w:p>
      <w:pPr>
        <w:pStyle w:val="ListParagraph"/>
        <w:numPr>
          <w:ilvl w:val="0"/>
          <w:numId w:val="26"/>
        </w:numPr>
        <w:tabs>
          <w:tab w:pos="1102" w:val="left" w:leader="none"/>
        </w:tabs>
        <w:spacing w:line="285" w:lineRule="auto" w:before="1" w:after="0"/>
        <w:ind w:left="1102" w:right="621" w:hanging="360"/>
        <w:jc w:val="left"/>
        <w:rPr>
          <w:sz w:val="22"/>
        </w:rPr>
      </w:pPr>
      <w:r>
        <w:rPr>
          <w:sz w:val="22"/>
        </w:rPr>
        <w:t>The</w:t>
      </w:r>
      <w:r>
        <w:rPr>
          <w:spacing w:val="-4"/>
          <w:sz w:val="22"/>
        </w:rPr>
        <w:t> </w:t>
      </w:r>
      <w:r>
        <w:rPr>
          <w:sz w:val="22"/>
        </w:rPr>
        <w:t>entity</w:t>
      </w:r>
      <w:r>
        <w:rPr>
          <w:spacing w:val="-4"/>
          <w:sz w:val="22"/>
        </w:rPr>
        <w:t> </w:t>
      </w:r>
      <w:r>
        <w:rPr>
          <w:sz w:val="22"/>
        </w:rPr>
        <w:t>identifies</w:t>
      </w:r>
      <w:r>
        <w:rPr>
          <w:spacing w:val="-4"/>
          <w:sz w:val="22"/>
        </w:rPr>
        <w:t> </w:t>
      </w:r>
      <w:r>
        <w:rPr>
          <w:sz w:val="22"/>
        </w:rPr>
        <w:t>hazards,</w:t>
      </w:r>
      <w:r>
        <w:rPr>
          <w:spacing w:val="-3"/>
          <w:sz w:val="22"/>
        </w:rPr>
        <w:t> </w:t>
      </w:r>
      <w:r>
        <w:rPr>
          <w:sz w:val="22"/>
        </w:rPr>
        <w:t>controls</w:t>
      </w:r>
      <w:r>
        <w:rPr>
          <w:spacing w:val="-4"/>
          <w:sz w:val="22"/>
        </w:rPr>
        <w:t> </w:t>
      </w:r>
      <w:r>
        <w:rPr>
          <w:sz w:val="22"/>
        </w:rPr>
        <w:t>for</w:t>
      </w:r>
      <w:r>
        <w:rPr>
          <w:spacing w:val="-3"/>
          <w:sz w:val="22"/>
        </w:rPr>
        <w:t> </w:t>
      </w:r>
      <w:r>
        <w:rPr>
          <w:sz w:val="22"/>
        </w:rPr>
        <w:t>their</w:t>
      </w:r>
      <w:r>
        <w:rPr>
          <w:spacing w:val="-5"/>
          <w:sz w:val="22"/>
        </w:rPr>
        <w:t> </w:t>
      </w:r>
      <w:r>
        <w:rPr>
          <w:sz w:val="22"/>
        </w:rPr>
        <w:t>management, and</w:t>
      </w:r>
      <w:r>
        <w:rPr>
          <w:spacing w:val="-6"/>
          <w:sz w:val="22"/>
        </w:rPr>
        <w:t> </w:t>
      </w:r>
      <w:r>
        <w:rPr>
          <w:sz w:val="22"/>
        </w:rPr>
        <w:t>measures</w:t>
      </w:r>
      <w:r>
        <w:rPr>
          <w:spacing w:val="-4"/>
          <w:sz w:val="22"/>
        </w:rPr>
        <w:t> </w:t>
      </w:r>
      <w:r>
        <w:rPr>
          <w:sz w:val="22"/>
        </w:rPr>
        <w:t>for</w:t>
      </w:r>
      <w:r>
        <w:rPr>
          <w:spacing w:val="-1"/>
          <w:sz w:val="22"/>
        </w:rPr>
        <w:t> </w:t>
      </w:r>
      <w:r>
        <w:rPr>
          <w:sz w:val="22"/>
        </w:rPr>
        <w:t>ensuring controls remain effective.</w:t>
      </w:r>
    </w:p>
    <w:p>
      <w:pPr>
        <w:pStyle w:val="BodyText"/>
        <w:spacing w:before="6"/>
      </w:pPr>
    </w:p>
    <w:p>
      <w:pPr>
        <w:pStyle w:val="ListParagraph"/>
        <w:numPr>
          <w:ilvl w:val="0"/>
          <w:numId w:val="26"/>
        </w:numPr>
        <w:tabs>
          <w:tab w:pos="1102" w:val="left" w:leader="none"/>
        </w:tabs>
        <w:spacing w:line="288" w:lineRule="auto" w:before="0" w:after="0"/>
        <w:ind w:left="1102" w:right="754" w:hanging="360"/>
        <w:jc w:val="left"/>
        <w:rPr>
          <w:sz w:val="22"/>
        </w:rPr>
      </w:pPr>
      <w:r>
        <w:rPr>
          <w:sz w:val="22"/>
        </w:rPr>
        <w:t>The</w:t>
      </w:r>
      <w:r>
        <w:rPr>
          <w:spacing w:val="-5"/>
          <w:sz w:val="22"/>
        </w:rPr>
        <w:t> </w:t>
      </w:r>
      <w:r>
        <w:rPr>
          <w:sz w:val="22"/>
        </w:rPr>
        <w:t>entity</w:t>
      </w:r>
      <w:r>
        <w:rPr>
          <w:spacing w:val="-5"/>
          <w:sz w:val="22"/>
        </w:rPr>
        <w:t> </w:t>
      </w:r>
      <w:r>
        <w:rPr>
          <w:sz w:val="22"/>
        </w:rPr>
        <w:t>receives</w:t>
      </w:r>
      <w:r>
        <w:rPr>
          <w:spacing w:val="-3"/>
          <w:sz w:val="22"/>
        </w:rPr>
        <w:t> </w:t>
      </w:r>
      <w:r>
        <w:rPr>
          <w:sz w:val="22"/>
        </w:rPr>
        <w:t>input</w:t>
      </w:r>
      <w:r>
        <w:rPr>
          <w:spacing w:val="-4"/>
          <w:sz w:val="22"/>
        </w:rPr>
        <w:t> </w:t>
      </w:r>
      <w:r>
        <w:rPr>
          <w:sz w:val="22"/>
        </w:rPr>
        <w:t>from</w:t>
      </w:r>
      <w:r>
        <w:rPr>
          <w:spacing w:val="-2"/>
          <w:sz w:val="22"/>
        </w:rPr>
        <w:t> </w:t>
      </w:r>
      <w:r>
        <w:rPr>
          <w:sz w:val="22"/>
        </w:rPr>
        <w:t>employees</w:t>
      </w:r>
      <w:r>
        <w:rPr>
          <w:spacing w:val="-5"/>
          <w:sz w:val="22"/>
        </w:rPr>
        <w:t> </w:t>
      </w:r>
      <w:r>
        <w:rPr>
          <w:sz w:val="22"/>
        </w:rPr>
        <w:t>for</w:t>
      </w:r>
      <w:r>
        <w:rPr>
          <w:spacing w:val="-4"/>
          <w:sz w:val="22"/>
        </w:rPr>
        <w:t> </w:t>
      </w:r>
      <w:r>
        <w:rPr>
          <w:sz w:val="22"/>
        </w:rPr>
        <w:t>development</w:t>
      </w:r>
      <w:r>
        <w:rPr>
          <w:spacing w:val="-1"/>
          <w:sz w:val="22"/>
        </w:rPr>
        <w:t> </w:t>
      </w:r>
      <w:r>
        <w:rPr>
          <w:sz w:val="22"/>
        </w:rPr>
        <w:t>of</w:t>
      </w:r>
      <w:r>
        <w:rPr>
          <w:spacing w:val="-1"/>
          <w:sz w:val="22"/>
        </w:rPr>
        <w:t> </w:t>
      </w:r>
      <w:r>
        <w:rPr>
          <w:sz w:val="22"/>
        </w:rPr>
        <w:t>its</w:t>
      </w:r>
      <w:r>
        <w:rPr>
          <w:spacing w:val="-2"/>
          <w:sz w:val="22"/>
        </w:rPr>
        <w:t> </w:t>
      </w:r>
      <w:r>
        <w:rPr>
          <w:sz w:val="22"/>
        </w:rPr>
        <w:t>safety</w:t>
      </w:r>
      <w:r>
        <w:rPr>
          <w:spacing w:val="-5"/>
          <w:sz w:val="22"/>
        </w:rPr>
        <w:t> </w:t>
      </w:r>
      <w:r>
        <w:rPr>
          <w:sz w:val="22"/>
        </w:rPr>
        <w:t>documentation, and regulators auditing consult with staff representatives.</w:t>
      </w:r>
    </w:p>
    <w:p>
      <w:pPr>
        <w:pStyle w:val="BodyText"/>
        <w:spacing w:before="2"/>
      </w:pPr>
    </w:p>
    <w:p>
      <w:pPr>
        <w:pStyle w:val="ListParagraph"/>
        <w:numPr>
          <w:ilvl w:val="0"/>
          <w:numId w:val="26"/>
        </w:numPr>
        <w:tabs>
          <w:tab w:pos="1102" w:val="left" w:leader="none"/>
        </w:tabs>
        <w:spacing w:line="288" w:lineRule="auto" w:before="0" w:after="0"/>
        <w:ind w:left="1102" w:right="1097" w:hanging="360"/>
        <w:jc w:val="left"/>
        <w:rPr>
          <w:sz w:val="22"/>
        </w:rPr>
      </w:pPr>
      <w:r>
        <w:rPr>
          <w:sz w:val="22"/>
        </w:rPr>
        <w:t>The entity puts the case to the regulator on its processes to identify hazards, methodology</w:t>
      </w:r>
      <w:r>
        <w:rPr>
          <w:spacing w:val="-5"/>
          <w:sz w:val="22"/>
        </w:rPr>
        <w:t> </w:t>
      </w:r>
      <w:r>
        <w:rPr>
          <w:sz w:val="22"/>
        </w:rPr>
        <w:t>to</w:t>
      </w:r>
      <w:r>
        <w:rPr>
          <w:spacing w:val="-5"/>
          <w:sz w:val="22"/>
        </w:rPr>
        <w:t> </w:t>
      </w:r>
      <w:r>
        <w:rPr>
          <w:sz w:val="22"/>
        </w:rPr>
        <w:t>determine</w:t>
      </w:r>
      <w:r>
        <w:rPr>
          <w:spacing w:val="-3"/>
          <w:sz w:val="22"/>
        </w:rPr>
        <w:t> </w:t>
      </w:r>
      <w:r>
        <w:rPr>
          <w:sz w:val="22"/>
        </w:rPr>
        <w:t>risk</w:t>
      </w:r>
      <w:r>
        <w:rPr>
          <w:spacing w:val="-2"/>
          <w:sz w:val="22"/>
        </w:rPr>
        <w:t> </w:t>
      </w:r>
      <w:r>
        <w:rPr>
          <w:sz w:val="22"/>
        </w:rPr>
        <w:t>and</w:t>
      </w:r>
      <w:r>
        <w:rPr>
          <w:spacing w:val="-3"/>
          <w:sz w:val="22"/>
        </w:rPr>
        <w:t> </w:t>
      </w:r>
      <w:r>
        <w:rPr>
          <w:sz w:val="22"/>
        </w:rPr>
        <w:t>decision</w:t>
      </w:r>
      <w:r>
        <w:rPr>
          <w:spacing w:val="-5"/>
          <w:sz w:val="22"/>
        </w:rPr>
        <w:t> </w:t>
      </w:r>
      <w:r>
        <w:rPr>
          <w:sz w:val="22"/>
        </w:rPr>
        <w:t>making</w:t>
      </w:r>
      <w:r>
        <w:rPr>
          <w:spacing w:val="-5"/>
          <w:sz w:val="22"/>
        </w:rPr>
        <w:t> </w:t>
      </w:r>
      <w:r>
        <w:rPr>
          <w:sz w:val="22"/>
        </w:rPr>
        <w:t>for</w:t>
      </w:r>
      <w:r>
        <w:rPr>
          <w:spacing w:val="-4"/>
          <w:sz w:val="22"/>
        </w:rPr>
        <w:t> </w:t>
      </w:r>
      <w:r>
        <w:rPr>
          <w:sz w:val="22"/>
        </w:rPr>
        <w:t>the</w:t>
      </w:r>
      <w:r>
        <w:rPr>
          <w:spacing w:val="-3"/>
          <w:sz w:val="22"/>
        </w:rPr>
        <w:t> </w:t>
      </w:r>
      <w:r>
        <w:rPr>
          <w:sz w:val="22"/>
        </w:rPr>
        <w:t>use</w:t>
      </w:r>
      <w:r>
        <w:rPr>
          <w:spacing w:val="-5"/>
          <w:sz w:val="22"/>
        </w:rPr>
        <w:t> </w:t>
      </w:r>
      <w:r>
        <w:rPr>
          <w:sz w:val="22"/>
        </w:rPr>
        <w:t>of</w:t>
      </w:r>
      <w:r>
        <w:rPr>
          <w:spacing w:val="-1"/>
          <w:sz w:val="22"/>
        </w:rPr>
        <w:t> </w:t>
      </w:r>
      <w:r>
        <w:rPr>
          <w:sz w:val="22"/>
        </w:rPr>
        <w:t>controls,</w:t>
      </w:r>
      <w:r>
        <w:rPr>
          <w:spacing w:val="-1"/>
          <w:sz w:val="22"/>
        </w:rPr>
        <w:t> </w:t>
      </w:r>
      <w:r>
        <w:rPr>
          <w:sz w:val="22"/>
        </w:rPr>
        <w:t>and</w:t>
      </w:r>
      <w:r>
        <w:rPr>
          <w:spacing w:val="-5"/>
          <w:sz w:val="22"/>
        </w:rPr>
        <w:t> </w:t>
      </w:r>
      <w:r>
        <w:rPr>
          <w:sz w:val="22"/>
        </w:rPr>
        <w:t>the regulator accepts or rejects the entity’s case.</w:t>
      </w:r>
    </w:p>
    <w:p>
      <w:pPr>
        <w:pStyle w:val="BodyText"/>
        <w:spacing w:before="3"/>
      </w:pPr>
    </w:p>
    <w:p>
      <w:pPr>
        <w:pStyle w:val="ListParagraph"/>
        <w:numPr>
          <w:ilvl w:val="0"/>
          <w:numId w:val="26"/>
        </w:numPr>
        <w:tabs>
          <w:tab w:pos="1102" w:val="left" w:leader="none"/>
        </w:tabs>
        <w:spacing w:line="285" w:lineRule="auto" w:before="0" w:after="0"/>
        <w:ind w:left="1102" w:right="797" w:hanging="360"/>
        <w:jc w:val="left"/>
        <w:rPr>
          <w:sz w:val="22"/>
        </w:rPr>
      </w:pPr>
      <w:r>
        <w:rPr>
          <w:sz w:val="22"/>
        </w:rPr>
        <w:t>The</w:t>
      </w:r>
      <w:r>
        <w:rPr>
          <w:spacing w:val="-5"/>
          <w:sz w:val="22"/>
        </w:rPr>
        <w:t> </w:t>
      </w:r>
      <w:r>
        <w:rPr>
          <w:sz w:val="22"/>
        </w:rPr>
        <w:t>regulator</w:t>
      </w:r>
      <w:r>
        <w:rPr>
          <w:spacing w:val="-2"/>
          <w:sz w:val="22"/>
        </w:rPr>
        <w:t> </w:t>
      </w:r>
      <w:r>
        <w:rPr>
          <w:sz w:val="22"/>
        </w:rPr>
        <w:t>is</w:t>
      </w:r>
      <w:r>
        <w:rPr>
          <w:spacing w:val="-5"/>
          <w:sz w:val="22"/>
        </w:rPr>
        <w:t> </w:t>
      </w:r>
      <w:r>
        <w:rPr>
          <w:sz w:val="22"/>
        </w:rPr>
        <w:t>competent,</w:t>
      </w:r>
      <w:r>
        <w:rPr>
          <w:spacing w:val="-3"/>
          <w:sz w:val="22"/>
        </w:rPr>
        <w:t> </w:t>
      </w:r>
      <w:r>
        <w:rPr>
          <w:sz w:val="22"/>
        </w:rPr>
        <w:t>independent,</w:t>
      </w:r>
      <w:r>
        <w:rPr>
          <w:spacing w:val="-3"/>
          <w:sz w:val="22"/>
        </w:rPr>
        <w:t> </w:t>
      </w:r>
      <w:r>
        <w:rPr>
          <w:sz w:val="22"/>
        </w:rPr>
        <w:t>engaged</w:t>
      </w:r>
      <w:r>
        <w:rPr>
          <w:spacing w:val="-3"/>
          <w:sz w:val="22"/>
        </w:rPr>
        <w:t> </w:t>
      </w:r>
      <w:r>
        <w:rPr>
          <w:sz w:val="22"/>
        </w:rPr>
        <w:t>and</w:t>
      </w:r>
      <w:r>
        <w:rPr>
          <w:spacing w:val="-3"/>
          <w:sz w:val="22"/>
        </w:rPr>
        <w:t> </w:t>
      </w:r>
      <w:r>
        <w:rPr>
          <w:sz w:val="22"/>
        </w:rPr>
        <w:t>well-resourced.</w:t>
      </w:r>
      <w:r>
        <w:rPr>
          <w:spacing w:val="-1"/>
          <w:sz w:val="22"/>
        </w:rPr>
        <w:t> </w:t>
      </w:r>
      <w:r>
        <w:rPr>
          <w:sz w:val="22"/>
        </w:rPr>
        <w:t>A</w:t>
      </w:r>
      <w:r>
        <w:rPr>
          <w:spacing w:val="-5"/>
          <w:sz w:val="22"/>
        </w:rPr>
        <w:t> </w:t>
      </w:r>
      <w:r>
        <w:rPr>
          <w:sz w:val="22"/>
        </w:rPr>
        <w:t>high</w:t>
      </w:r>
      <w:r>
        <w:rPr>
          <w:spacing w:val="-3"/>
          <w:sz w:val="22"/>
        </w:rPr>
        <w:t> </w:t>
      </w:r>
      <w:r>
        <w:rPr>
          <w:sz w:val="22"/>
        </w:rPr>
        <w:t>degree of expertise is needed to scrutinise a safety case for acceptance and thorough audit.</w:t>
      </w:r>
    </w:p>
    <w:p>
      <w:pPr>
        <w:spacing w:after="0" w:line="285" w:lineRule="auto"/>
        <w:jc w:val="left"/>
        <w:rPr>
          <w:sz w:val="22"/>
        </w:rPr>
        <w:sectPr>
          <w:pgSz w:w="11910" w:h="16840"/>
          <w:pgMar w:header="887" w:footer="1286" w:top="1080" w:bottom="1480" w:left="840" w:right="820"/>
        </w:sectPr>
      </w:pPr>
    </w:p>
    <w:p>
      <w:pPr>
        <w:pStyle w:val="BodyText"/>
        <w:rPr>
          <w:sz w:val="20"/>
        </w:rPr>
      </w:pPr>
    </w:p>
    <w:p>
      <w:pPr>
        <w:pStyle w:val="BodyText"/>
        <w:rPr>
          <w:sz w:val="20"/>
        </w:rPr>
      </w:pPr>
    </w:p>
    <w:p>
      <w:pPr>
        <w:pStyle w:val="BodyText"/>
        <w:spacing w:before="10"/>
        <w:rPr>
          <w:sz w:val="23"/>
        </w:rPr>
      </w:pPr>
    </w:p>
    <w:p>
      <w:pPr>
        <w:pStyle w:val="ListParagraph"/>
        <w:numPr>
          <w:ilvl w:val="0"/>
          <w:numId w:val="26"/>
        </w:numPr>
        <w:tabs>
          <w:tab w:pos="1102" w:val="left" w:leader="none"/>
        </w:tabs>
        <w:spacing w:line="288" w:lineRule="auto" w:before="0" w:after="0"/>
        <w:ind w:left="1102" w:right="800" w:hanging="360"/>
        <w:jc w:val="left"/>
        <w:rPr>
          <w:sz w:val="22"/>
        </w:rPr>
      </w:pPr>
      <w:r>
        <w:rPr>
          <w:sz w:val="22"/>
        </w:rPr>
        <w:t>A</w:t>
      </w:r>
      <w:r>
        <w:rPr>
          <w:spacing w:val="-2"/>
          <w:sz w:val="22"/>
        </w:rPr>
        <w:t> </w:t>
      </w:r>
      <w:r>
        <w:rPr>
          <w:sz w:val="22"/>
        </w:rPr>
        <w:t>general</w:t>
      </w:r>
      <w:r>
        <w:rPr>
          <w:spacing w:val="-3"/>
          <w:sz w:val="22"/>
        </w:rPr>
        <w:t> </w:t>
      </w:r>
      <w:r>
        <w:rPr>
          <w:sz w:val="22"/>
        </w:rPr>
        <w:t>duty</w:t>
      </w:r>
      <w:r>
        <w:rPr>
          <w:spacing w:val="-4"/>
          <w:sz w:val="22"/>
        </w:rPr>
        <w:t> </w:t>
      </w:r>
      <w:r>
        <w:rPr>
          <w:sz w:val="22"/>
        </w:rPr>
        <w:t>of care</w:t>
      </w:r>
      <w:r>
        <w:rPr>
          <w:spacing w:val="-4"/>
          <w:sz w:val="22"/>
        </w:rPr>
        <w:t> </w:t>
      </w:r>
      <w:r>
        <w:rPr>
          <w:sz w:val="22"/>
        </w:rPr>
        <w:t>is</w:t>
      </w:r>
      <w:r>
        <w:rPr>
          <w:spacing w:val="-4"/>
          <w:sz w:val="22"/>
        </w:rPr>
        <w:t> </w:t>
      </w:r>
      <w:r>
        <w:rPr>
          <w:sz w:val="22"/>
        </w:rPr>
        <w:t>imposed</w:t>
      </w:r>
      <w:r>
        <w:rPr>
          <w:spacing w:val="-4"/>
          <w:sz w:val="22"/>
        </w:rPr>
        <w:t> </w:t>
      </w:r>
      <w:r>
        <w:rPr>
          <w:sz w:val="22"/>
        </w:rPr>
        <w:t>for</w:t>
      </w:r>
      <w:r>
        <w:rPr>
          <w:spacing w:val="-3"/>
          <w:sz w:val="22"/>
        </w:rPr>
        <w:t> </w:t>
      </w:r>
      <w:r>
        <w:rPr>
          <w:sz w:val="22"/>
        </w:rPr>
        <w:t>the</w:t>
      </w:r>
      <w:r>
        <w:rPr>
          <w:spacing w:val="-4"/>
          <w:sz w:val="22"/>
        </w:rPr>
        <w:t> </w:t>
      </w:r>
      <w:r>
        <w:rPr>
          <w:sz w:val="22"/>
        </w:rPr>
        <w:t>entity</w:t>
      </w:r>
      <w:r>
        <w:rPr>
          <w:spacing w:val="-6"/>
          <w:sz w:val="22"/>
        </w:rPr>
        <w:t> </w:t>
      </w:r>
      <w:r>
        <w:rPr>
          <w:sz w:val="22"/>
        </w:rPr>
        <w:t>to</w:t>
      </w:r>
      <w:r>
        <w:rPr>
          <w:spacing w:val="-4"/>
          <w:sz w:val="22"/>
        </w:rPr>
        <w:t> </w:t>
      </w:r>
      <w:r>
        <w:rPr>
          <w:sz w:val="22"/>
        </w:rPr>
        <w:t>do</w:t>
      </w:r>
      <w:r>
        <w:rPr>
          <w:spacing w:val="-2"/>
          <w:sz w:val="22"/>
        </w:rPr>
        <w:t> </w:t>
      </w:r>
      <w:r>
        <w:rPr>
          <w:sz w:val="22"/>
        </w:rPr>
        <w:t>what is</w:t>
      </w:r>
      <w:r>
        <w:rPr>
          <w:spacing w:val="-1"/>
          <w:sz w:val="22"/>
        </w:rPr>
        <w:t> </w:t>
      </w:r>
      <w:r>
        <w:rPr>
          <w:sz w:val="22"/>
        </w:rPr>
        <w:t>reasonably</w:t>
      </w:r>
      <w:r>
        <w:rPr>
          <w:spacing w:val="-4"/>
          <w:sz w:val="22"/>
        </w:rPr>
        <w:t> </w:t>
      </w:r>
      <w:r>
        <w:rPr>
          <w:sz w:val="22"/>
        </w:rPr>
        <w:t>practicable</w:t>
      </w:r>
      <w:r>
        <w:rPr>
          <w:spacing w:val="-2"/>
          <w:sz w:val="22"/>
        </w:rPr>
        <w:t> </w:t>
      </w:r>
      <w:r>
        <w:rPr>
          <w:sz w:val="22"/>
        </w:rPr>
        <w:t>to identify and control hazards.</w:t>
      </w:r>
    </w:p>
    <w:p>
      <w:pPr>
        <w:pStyle w:val="BodyText"/>
        <w:spacing w:before="3"/>
        <w:rPr>
          <w:sz w:val="31"/>
        </w:rPr>
      </w:pPr>
    </w:p>
    <w:p>
      <w:pPr>
        <w:pStyle w:val="Heading4"/>
        <w:spacing w:before="0"/>
        <w:ind w:left="600"/>
      </w:pPr>
      <w:r>
        <w:rPr>
          <w:color w:val="585858"/>
        </w:rPr>
        <w:t>The</w:t>
      </w:r>
      <w:r>
        <w:rPr>
          <w:color w:val="585858"/>
          <w:spacing w:val="-6"/>
        </w:rPr>
        <w:t> </w:t>
      </w:r>
      <w:r>
        <w:rPr>
          <w:color w:val="585858"/>
        </w:rPr>
        <w:t>duty</w:t>
      </w:r>
      <w:r>
        <w:rPr>
          <w:color w:val="585858"/>
          <w:spacing w:val="-10"/>
        </w:rPr>
        <w:t> </w:t>
      </w:r>
      <w:r>
        <w:rPr>
          <w:color w:val="585858"/>
        </w:rPr>
        <w:t>of</w:t>
      </w:r>
      <w:r>
        <w:rPr>
          <w:color w:val="585858"/>
          <w:spacing w:val="-8"/>
        </w:rPr>
        <w:t> </w:t>
      </w:r>
      <w:r>
        <w:rPr>
          <w:color w:val="585858"/>
        </w:rPr>
        <w:t>care</w:t>
      </w:r>
      <w:r>
        <w:rPr>
          <w:color w:val="585858"/>
          <w:spacing w:val="-8"/>
        </w:rPr>
        <w:t> </w:t>
      </w:r>
      <w:r>
        <w:rPr>
          <w:color w:val="585858"/>
        </w:rPr>
        <w:t>and</w:t>
      </w:r>
      <w:r>
        <w:rPr>
          <w:color w:val="585858"/>
          <w:spacing w:val="-8"/>
        </w:rPr>
        <w:t> </w:t>
      </w:r>
      <w:r>
        <w:rPr>
          <w:color w:val="585858"/>
        </w:rPr>
        <w:t>approach</w:t>
      </w:r>
      <w:r>
        <w:rPr>
          <w:color w:val="585858"/>
          <w:spacing w:val="-5"/>
        </w:rPr>
        <w:t> </w:t>
      </w:r>
      <w:r>
        <w:rPr>
          <w:color w:val="585858"/>
        </w:rPr>
        <w:t>to</w:t>
      </w:r>
      <w:r>
        <w:rPr>
          <w:color w:val="585858"/>
          <w:spacing w:val="-9"/>
        </w:rPr>
        <w:t> </w:t>
      </w:r>
      <w:r>
        <w:rPr>
          <w:color w:val="585858"/>
        </w:rPr>
        <w:t>managing</w:t>
      </w:r>
      <w:r>
        <w:rPr>
          <w:color w:val="585858"/>
          <w:spacing w:val="-9"/>
        </w:rPr>
        <w:t> </w:t>
      </w:r>
      <w:r>
        <w:rPr>
          <w:color w:val="585858"/>
          <w:spacing w:val="-2"/>
        </w:rPr>
        <w:t>risks</w:t>
      </w:r>
    </w:p>
    <w:p>
      <w:pPr>
        <w:pStyle w:val="BodyText"/>
        <w:spacing w:line="288" w:lineRule="auto" w:before="314"/>
        <w:ind w:left="600" w:right="586"/>
      </w:pPr>
      <w:r>
        <w:rPr/>
        <w:t>Effective</w:t>
      </w:r>
      <w:r>
        <w:rPr>
          <w:spacing w:val="-3"/>
        </w:rPr>
        <w:t> </w:t>
      </w:r>
      <w:r>
        <w:rPr/>
        <w:t>safety</w:t>
      </w:r>
      <w:r>
        <w:rPr>
          <w:spacing w:val="-6"/>
        </w:rPr>
        <w:t> </w:t>
      </w:r>
      <w:r>
        <w:rPr/>
        <w:t>management</w:t>
      </w:r>
      <w:r>
        <w:rPr>
          <w:spacing w:val="-4"/>
        </w:rPr>
        <w:t> </w:t>
      </w:r>
      <w:r>
        <w:rPr/>
        <w:t>requires</w:t>
      </w:r>
      <w:r>
        <w:rPr>
          <w:spacing w:val="-2"/>
        </w:rPr>
        <w:t> </w:t>
      </w:r>
      <w:r>
        <w:rPr/>
        <w:t>clarity</w:t>
      </w:r>
      <w:r>
        <w:rPr>
          <w:spacing w:val="-5"/>
        </w:rPr>
        <w:t> </w:t>
      </w:r>
      <w:r>
        <w:rPr/>
        <w:t>around</w:t>
      </w:r>
      <w:r>
        <w:rPr>
          <w:spacing w:val="-3"/>
        </w:rPr>
        <w:t> </w:t>
      </w:r>
      <w:r>
        <w:rPr/>
        <w:t>the</w:t>
      </w:r>
      <w:r>
        <w:rPr>
          <w:spacing w:val="-5"/>
        </w:rPr>
        <w:t> </w:t>
      </w:r>
      <w:r>
        <w:rPr/>
        <w:t>objectives</w:t>
      </w:r>
      <w:r>
        <w:rPr>
          <w:spacing w:val="-3"/>
        </w:rPr>
        <w:t> </w:t>
      </w:r>
      <w:r>
        <w:rPr/>
        <w:t>to</w:t>
      </w:r>
      <w:r>
        <w:rPr>
          <w:spacing w:val="-5"/>
        </w:rPr>
        <w:t> </w:t>
      </w:r>
      <w:r>
        <w:rPr/>
        <w:t>be</w:t>
      </w:r>
      <w:r>
        <w:rPr>
          <w:spacing w:val="-5"/>
        </w:rPr>
        <w:t> </w:t>
      </w:r>
      <w:r>
        <w:rPr/>
        <w:t>achieved</w:t>
      </w:r>
      <w:r>
        <w:rPr>
          <w:spacing w:val="-3"/>
        </w:rPr>
        <w:t> </w:t>
      </w:r>
      <w:r>
        <w:rPr/>
        <w:t>and</w:t>
      </w:r>
      <w:r>
        <w:rPr>
          <w:spacing w:val="-3"/>
        </w:rPr>
        <w:t> </w:t>
      </w:r>
      <w:r>
        <w:rPr/>
        <w:t>how they are to be achieved.</w:t>
      </w:r>
    </w:p>
    <w:p>
      <w:pPr>
        <w:pStyle w:val="BodyText"/>
        <w:spacing w:before="10"/>
        <w:rPr>
          <w:sz w:val="20"/>
        </w:rPr>
      </w:pPr>
    </w:p>
    <w:p>
      <w:pPr>
        <w:pStyle w:val="BodyText"/>
        <w:ind w:left="600"/>
      </w:pPr>
      <w:r>
        <w:rPr/>
        <w:t>The</w:t>
      </w:r>
      <w:r>
        <w:rPr>
          <w:spacing w:val="-7"/>
        </w:rPr>
        <w:t> </w:t>
      </w:r>
      <w:r>
        <w:rPr/>
        <w:t>central</w:t>
      </w:r>
      <w:r>
        <w:rPr>
          <w:spacing w:val="-8"/>
        </w:rPr>
        <w:t> </w:t>
      </w:r>
      <w:r>
        <w:rPr/>
        <w:t>questions</w:t>
      </w:r>
      <w:r>
        <w:rPr>
          <w:spacing w:val="-3"/>
        </w:rPr>
        <w:t> </w:t>
      </w:r>
      <w:r>
        <w:rPr>
          <w:spacing w:val="-4"/>
        </w:rPr>
        <w:t>are:</w:t>
      </w:r>
    </w:p>
    <w:p>
      <w:pPr>
        <w:pStyle w:val="BodyText"/>
        <w:spacing w:before="7"/>
        <w:rPr>
          <w:sz w:val="26"/>
        </w:rPr>
      </w:pPr>
    </w:p>
    <w:p>
      <w:pPr>
        <w:pStyle w:val="ListParagraph"/>
        <w:numPr>
          <w:ilvl w:val="0"/>
          <w:numId w:val="26"/>
        </w:numPr>
        <w:tabs>
          <w:tab w:pos="1166" w:val="left" w:leader="none"/>
        </w:tabs>
        <w:spacing w:line="240" w:lineRule="auto" w:before="1" w:after="0"/>
        <w:ind w:left="1166" w:right="0" w:hanging="424"/>
        <w:jc w:val="left"/>
        <w:rPr>
          <w:sz w:val="22"/>
        </w:rPr>
      </w:pPr>
      <w:r>
        <w:rPr>
          <w:sz w:val="22"/>
        </w:rPr>
        <w:t>What</w:t>
      </w:r>
      <w:r>
        <w:rPr>
          <w:spacing w:val="-5"/>
          <w:sz w:val="22"/>
        </w:rPr>
        <w:t> </w:t>
      </w:r>
      <w:r>
        <w:rPr>
          <w:sz w:val="22"/>
        </w:rPr>
        <w:t>is</w:t>
      </w:r>
      <w:r>
        <w:rPr>
          <w:spacing w:val="-3"/>
          <w:sz w:val="22"/>
        </w:rPr>
        <w:t> </w:t>
      </w:r>
      <w:r>
        <w:rPr>
          <w:sz w:val="22"/>
        </w:rPr>
        <w:t>an</w:t>
      </w:r>
      <w:r>
        <w:rPr>
          <w:spacing w:val="-3"/>
          <w:sz w:val="22"/>
        </w:rPr>
        <w:t> </w:t>
      </w:r>
      <w:r>
        <w:rPr>
          <w:sz w:val="22"/>
        </w:rPr>
        <w:t>acceptable</w:t>
      </w:r>
      <w:r>
        <w:rPr>
          <w:spacing w:val="-5"/>
          <w:sz w:val="22"/>
        </w:rPr>
        <w:t> </w:t>
      </w:r>
      <w:r>
        <w:rPr>
          <w:sz w:val="22"/>
        </w:rPr>
        <w:t>level</w:t>
      </w:r>
      <w:r>
        <w:rPr>
          <w:spacing w:val="-5"/>
          <w:sz w:val="22"/>
        </w:rPr>
        <w:t> </w:t>
      </w:r>
      <w:r>
        <w:rPr>
          <w:sz w:val="22"/>
        </w:rPr>
        <w:t>of</w:t>
      </w:r>
      <w:r>
        <w:rPr>
          <w:spacing w:val="-2"/>
          <w:sz w:val="22"/>
        </w:rPr>
        <w:t> safety?</w:t>
      </w:r>
    </w:p>
    <w:p>
      <w:pPr>
        <w:pStyle w:val="ListParagraph"/>
        <w:numPr>
          <w:ilvl w:val="0"/>
          <w:numId w:val="26"/>
        </w:numPr>
        <w:tabs>
          <w:tab w:pos="1166" w:val="left" w:leader="none"/>
        </w:tabs>
        <w:spacing w:line="285" w:lineRule="auto" w:before="66" w:after="0"/>
        <w:ind w:left="1166" w:right="1376" w:hanging="425"/>
        <w:jc w:val="left"/>
        <w:rPr>
          <w:sz w:val="22"/>
        </w:rPr>
      </w:pPr>
      <w:r>
        <w:rPr>
          <w:sz w:val="22"/>
        </w:rPr>
        <w:t>How</w:t>
      </w:r>
      <w:r>
        <w:rPr>
          <w:spacing w:val="-6"/>
          <w:sz w:val="22"/>
        </w:rPr>
        <w:t> </w:t>
      </w:r>
      <w:r>
        <w:rPr>
          <w:sz w:val="22"/>
        </w:rPr>
        <w:t>can</w:t>
      </w:r>
      <w:r>
        <w:rPr>
          <w:spacing w:val="-3"/>
          <w:sz w:val="22"/>
        </w:rPr>
        <w:t> </w:t>
      </w:r>
      <w:r>
        <w:rPr>
          <w:sz w:val="22"/>
        </w:rPr>
        <w:t>the</w:t>
      </w:r>
      <w:r>
        <w:rPr>
          <w:spacing w:val="-3"/>
          <w:sz w:val="22"/>
        </w:rPr>
        <w:t> </w:t>
      </w:r>
      <w:r>
        <w:rPr>
          <w:sz w:val="22"/>
        </w:rPr>
        <w:t>community</w:t>
      </w:r>
      <w:r>
        <w:rPr>
          <w:spacing w:val="-5"/>
          <w:sz w:val="22"/>
        </w:rPr>
        <w:t> </w:t>
      </w:r>
      <w:r>
        <w:rPr>
          <w:sz w:val="22"/>
        </w:rPr>
        <w:t>be</w:t>
      </w:r>
      <w:r>
        <w:rPr>
          <w:spacing w:val="-3"/>
          <w:sz w:val="22"/>
        </w:rPr>
        <w:t> </w:t>
      </w:r>
      <w:r>
        <w:rPr>
          <w:sz w:val="22"/>
        </w:rPr>
        <w:t>sure</w:t>
      </w:r>
      <w:r>
        <w:rPr>
          <w:spacing w:val="-5"/>
          <w:sz w:val="22"/>
        </w:rPr>
        <w:t> </w:t>
      </w:r>
      <w:r>
        <w:rPr>
          <w:sz w:val="22"/>
        </w:rPr>
        <w:t>that</w:t>
      </w:r>
      <w:r>
        <w:rPr>
          <w:spacing w:val="-1"/>
          <w:sz w:val="22"/>
        </w:rPr>
        <w:t> </w:t>
      </w:r>
      <w:r>
        <w:rPr>
          <w:sz w:val="22"/>
        </w:rPr>
        <w:t>everything</w:t>
      </w:r>
      <w:r>
        <w:rPr>
          <w:spacing w:val="-3"/>
          <w:sz w:val="22"/>
        </w:rPr>
        <w:t> </w:t>
      </w:r>
      <w:r>
        <w:rPr>
          <w:sz w:val="22"/>
        </w:rPr>
        <w:t>that</w:t>
      </w:r>
      <w:r>
        <w:rPr>
          <w:spacing w:val="-1"/>
          <w:sz w:val="22"/>
        </w:rPr>
        <w:t> </w:t>
      </w:r>
      <w:r>
        <w:rPr>
          <w:sz w:val="22"/>
        </w:rPr>
        <w:t>should</w:t>
      </w:r>
      <w:r>
        <w:rPr>
          <w:spacing w:val="-3"/>
          <w:sz w:val="22"/>
        </w:rPr>
        <w:t> </w:t>
      </w:r>
      <w:r>
        <w:rPr>
          <w:sz w:val="22"/>
        </w:rPr>
        <w:t>be</w:t>
      </w:r>
      <w:r>
        <w:rPr>
          <w:spacing w:val="-3"/>
          <w:sz w:val="22"/>
        </w:rPr>
        <w:t> </w:t>
      </w:r>
      <w:r>
        <w:rPr>
          <w:sz w:val="22"/>
        </w:rPr>
        <w:t>done</w:t>
      </w:r>
      <w:r>
        <w:rPr>
          <w:spacing w:val="-6"/>
          <w:sz w:val="22"/>
        </w:rPr>
        <w:t> </w:t>
      </w:r>
      <w:r>
        <w:rPr>
          <w:sz w:val="22"/>
        </w:rPr>
        <w:t>to</w:t>
      </w:r>
      <w:r>
        <w:rPr>
          <w:spacing w:val="-5"/>
          <w:sz w:val="22"/>
        </w:rPr>
        <w:t> </w:t>
      </w:r>
      <w:r>
        <w:rPr>
          <w:sz w:val="22"/>
        </w:rPr>
        <w:t>achieve acceptable safety has been done?</w:t>
      </w:r>
    </w:p>
    <w:p>
      <w:pPr>
        <w:pStyle w:val="BodyText"/>
        <w:spacing w:before="1"/>
        <w:rPr>
          <w:sz w:val="21"/>
        </w:rPr>
      </w:pPr>
    </w:p>
    <w:p>
      <w:pPr>
        <w:pStyle w:val="BodyText"/>
        <w:spacing w:line="288" w:lineRule="auto" w:before="1"/>
        <w:ind w:left="600" w:right="642"/>
      </w:pPr>
      <w:r>
        <w:rPr/>
        <w:t>The notion of what constitutes acceptable safety immediately raises questions about the trade-offs between the benefits of extra safety, that is, the benefits of less risk and the costs of reducing risk. These costs could be capital costs – the expenses from investing in more heavily</w:t>
      </w:r>
      <w:r>
        <w:rPr>
          <w:spacing w:val="-5"/>
        </w:rPr>
        <w:t> </w:t>
      </w:r>
      <w:r>
        <w:rPr/>
        <w:t>engineered</w:t>
      </w:r>
      <w:r>
        <w:rPr>
          <w:spacing w:val="-3"/>
        </w:rPr>
        <w:t> </w:t>
      </w:r>
      <w:r>
        <w:rPr/>
        <w:t>infrastructure</w:t>
      </w:r>
      <w:r>
        <w:rPr>
          <w:spacing w:val="-2"/>
        </w:rPr>
        <w:t> </w:t>
      </w:r>
      <w:r>
        <w:rPr/>
        <w:t>or</w:t>
      </w:r>
      <w:r>
        <w:rPr>
          <w:spacing w:val="-4"/>
        </w:rPr>
        <w:t> </w:t>
      </w:r>
      <w:r>
        <w:rPr/>
        <w:t>new</w:t>
      </w:r>
      <w:r>
        <w:rPr>
          <w:spacing w:val="-6"/>
        </w:rPr>
        <w:t> </w:t>
      </w:r>
      <w:r>
        <w:rPr/>
        <w:t>technology.</w:t>
      </w:r>
      <w:r>
        <w:rPr>
          <w:spacing w:val="-4"/>
        </w:rPr>
        <w:t> </w:t>
      </w:r>
      <w:r>
        <w:rPr/>
        <w:t>Or</w:t>
      </w:r>
      <w:r>
        <w:rPr>
          <w:spacing w:val="-4"/>
        </w:rPr>
        <w:t> </w:t>
      </w:r>
      <w:r>
        <w:rPr/>
        <w:t>they</w:t>
      </w:r>
      <w:r>
        <w:rPr>
          <w:spacing w:val="-5"/>
        </w:rPr>
        <w:t> </w:t>
      </w:r>
      <w:r>
        <w:rPr/>
        <w:t>could</w:t>
      </w:r>
      <w:r>
        <w:rPr>
          <w:spacing w:val="-3"/>
        </w:rPr>
        <w:t> </w:t>
      </w:r>
      <w:r>
        <w:rPr/>
        <w:t>be</w:t>
      </w:r>
      <w:r>
        <w:rPr>
          <w:spacing w:val="-3"/>
        </w:rPr>
        <w:t> </w:t>
      </w:r>
      <w:r>
        <w:rPr/>
        <w:t>higher</w:t>
      </w:r>
      <w:r>
        <w:rPr>
          <w:spacing w:val="-2"/>
        </w:rPr>
        <w:t> </w:t>
      </w:r>
      <w:r>
        <w:rPr/>
        <w:t>operating</w:t>
      </w:r>
      <w:r>
        <w:rPr>
          <w:spacing w:val="-1"/>
        </w:rPr>
        <w:t> </w:t>
      </w:r>
      <w:r>
        <w:rPr/>
        <w:t>costs – greater spending on maintenance, inspections or similar activities.</w:t>
      </w:r>
    </w:p>
    <w:p>
      <w:pPr>
        <w:pStyle w:val="BodyText"/>
        <w:spacing w:before="8"/>
        <w:rPr>
          <w:sz w:val="20"/>
        </w:rPr>
      </w:pPr>
    </w:p>
    <w:p>
      <w:pPr>
        <w:pStyle w:val="BodyText"/>
        <w:spacing w:line="288" w:lineRule="auto" w:before="1"/>
        <w:ind w:left="600" w:right="586"/>
      </w:pPr>
      <w:r>
        <w:rPr/>
        <w:t>In almost any endeavour, risks cannot be eliminated entirely. This is certainly true of electricity</w:t>
      </w:r>
      <w:r>
        <w:rPr>
          <w:spacing w:val="-4"/>
        </w:rPr>
        <w:t> </w:t>
      </w:r>
      <w:r>
        <w:rPr/>
        <w:t>and</w:t>
      </w:r>
      <w:r>
        <w:rPr>
          <w:spacing w:val="-4"/>
        </w:rPr>
        <w:t> </w:t>
      </w:r>
      <w:r>
        <w:rPr/>
        <w:t>gas</w:t>
      </w:r>
      <w:r>
        <w:rPr>
          <w:spacing w:val="-4"/>
        </w:rPr>
        <w:t> </w:t>
      </w:r>
      <w:r>
        <w:rPr/>
        <w:t>networks.</w:t>
      </w:r>
      <w:r>
        <w:rPr>
          <w:spacing w:val="-3"/>
        </w:rPr>
        <w:t> </w:t>
      </w:r>
      <w:r>
        <w:rPr/>
        <w:t>It</w:t>
      </w:r>
      <w:r>
        <w:rPr>
          <w:spacing w:val="-3"/>
        </w:rPr>
        <w:t> </w:t>
      </w:r>
      <w:r>
        <w:rPr/>
        <w:t>may</w:t>
      </w:r>
      <w:r>
        <w:rPr>
          <w:spacing w:val="-4"/>
        </w:rPr>
        <w:t> </w:t>
      </w:r>
      <w:r>
        <w:rPr/>
        <w:t>be</w:t>
      </w:r>
      <w:r>
        <w:rPr>
          <w:spacing w:val="-4"/>
        </w:rPr>
        <w:t> </w:t>
      </w:r>
      <w:r>
        <w:rPr/>
        <w:t>stating</w:t>
      </w:r>
      <w:r>
        <w:rPr>
          <w:spacing w:val="-2"/>
        </w:rPr>
        <w:t> </w:t>
      </w:r>
      <w:r>
        <w:rPr/>
        <w:t>an</w:t>
      </w:r>
      <w:r>
        <w:rPr>
          <w:spacing w:val="-4"/>
        </w:rPr>
        <w:t> </w:t>
      </w:r>
      <w:r>
        <w:rPr/>
        <w:t>obvious</w:t>
      </w:r>
      <w:r>
        <w:rPr>
          <w:spacing w:val="-1"/>
        </w:rPr>
        <w:t> </w:t>
      </w:r>
      <w:r>
        <w:rPr/>
        <w:t>point, but</w:t>
      </w:r>
      <w:r>
        <w:rPr>
          <w:spacing w:val="-3"/>
        </w:rPr>
        <w:t> </w:t>
      </w:r>
      <w:r>
        <w:rPr/>
        <w:t>perfectly</w:t>
      </w:r>
      <w:r>
        <w:rPr>
          <w:spacing w:val="-4"/>
        </w:rPr>
        <w:t> </w:t>
      </w:r>
      <w:r>
        <w:rPr/>
        <w:t>safe</w:t>
      </w:r>
      <w:r>
        <w:rPr>
          <w:spacing w:val="-2"/>
        </w:rPr>
        <w:t> </w:t>
      </w:r>
      <w:r>
        <w:rPr/>
        <w:t>electricity and/or gas networks only ever exist on paper. Therefore, if zero safety risk cannot be achieved, at what point should network operators cease making the additional capital investments or incurring the additional operating costs necessary to make electricity or</w:t>
      </w:r>
      <w:r>
        <w:rPr>
          <w:spacing w:val="-1"/>
        </w:rPr>
        <w:t> </w:t>
      </w:r>
      <w:r>
        <w:rPr/>
        <w:t>gas networks safer?</w:t>
      </w:r>
    </w:p>
    <w:p>
      <w:pPr>
        <w:pStyle w:val="BodyText"/>
        <w:spacing w:before="10"/>
        <w:rPr>
          <w:sz w:val="20"/>
        </w:rPr>
      </w:pPr>
    </w:p>
    <w:p>
      <w:pPr>
        <w:pStyle w:val="BodyText"/>
        <w:spacing w:line="288" w:lineRule="auto"/>
        <w:ind w:left="600" w:right="586"/>
      </w:pPr>
      <w:r>
        <w:rPr/>
        <w:t>In</w:t>
      </w:r>
      <w:r>
        <w:rPr>
          <w:spacing w:val="-2"/>
        </w:rPr>
        <w:t> </w:t>
      </w:r>
      <w:r>
        <w:rPr/>
        <w:t>its</w:t>
      </w:r>
      <w:r>
        <w:rPr>
          <w:spacing w:val="-3"/>
        </w:rPr>
        <w:t> </w:t>
      </w:r>
      <w:r>
        <w:rPr/>
        <w:t>submission</w:t>
      </w:r>
      <w:r>
        <w:rPr>
          <w:spacing w:val="-2"/>
        </w:rPr>
        <w:t> </w:t>
      </w:r>
      <w:r>
        <w:rPr/>
        <w:t>to</w:t>
      </w:r>
      <w:r>
        <w:rPr>
          <w:spacing w:val="-6"/>
        </w:rPr>
        <w:t> </w:t>
      </w:r>
      <w:r>
        <w:rPr/>
        <w:t>the</w:t>
      </w:r>
      <w:r>
        <w:rPr>
          <w:spacing w:val="-4"/>
        </w:rPr>
        <w:t> </w:t>
      </w:r>
      <w:r>
        <w:rPr/>
        <w:t>Review, AusNet</w:t>
      </w:r>
      <w:r>
        <w:rPr>
          <w:spacing w:val="-1"/>
        </w:rPr>
        <w:t> </w:t>
      </w:r>
      <w:r>
        <w:rPr/>
        <w:t>Services (2017) has</w:t>
      </w:r>
      <w:r>
        <w:rPr>
          <w:spacing w:val="-4"/>
        </w:rPr>
        <w:t> </w:t>
      </w:r>
      <w:r>
        <w:rPr/>
        <w:t>illustrated</w:t>
      </w:r>
      <w:r>
        <w:rPr>
          <w:spacing w:val="-4"/>
        </w:rPr>
        <w:t> </w:t>
      </w:r>
      <w:r>
        <w:rPr/>
        <w:t>this</w:t>
      </w:r>
      <w:r>
        <w:rPr>
          <w:spacing w:val="-1"/>
        </w:rPr>
        <w:t> </w:t>
      </w:r>
      <w:r>
        <w:rPr/>
        <w:t>question</w:t>
      </w:r>
      <w:r>
        <w:rPr>
          <w:spacing w:val="-2"/>
        </w:rPr>
        <w:t> </w:t>
      </w:r>
      <w:r>
        <w:rPr/>
        <w:t>with</w:t>
      </w:r>
      <w:r>
        <w:rPr>
          <w:spacing w:val="-2"/>
        </w:rPr>
        <w:t> </w:t>
      </w:r>
      <w:r>
        <w:rPr/>
        <w:t>the aid of a simple diagram (see Figure 6). In this diagram, the benefits from investments in safety are</w:t>
      </w:r>
      <w:r>
        <w:rPr>
          <w:spacing w:val="-3"/>
        </w:rPr>
        <w:t> </w:t>
      </w:r>
      <w:r>
        <w:rPr/>
        <w:t>measured</w:t>
      </w:r>
      <w:r>
        <w:rPr>
          <w:spacing w:val="-1"/>
        </w:rPr>
        <w:t> </w:t>
      </w:r>
      <w:r>
        <w:rPr/>
        <w:t>against the</w:t>
      </w:r>
      <w:r>
        <w:rPr>
          <w:spacing w:val="-1"/>
        </w:rPr>
        <w:t> </w:t>
      </w:r>
      <w:r>
        <w:rPr/>
        <w:t>costs</w:t>
      </w:r>
      <w:r>
        <w:rPr>
          <w:spacing w:val="-1"/>
        </w:rPr>
        <w:t> </w:t>
      </w:r>
      <w:r>
        <w:rPr/>
        <w:t>of these</w:t>
      </w:r>
      <w:r>
        <w:rPr>
          <w:spacing w:val="-1"/>
        </w:rPr>
        <w:t> </w:t>
      </w:r>
      <w:r>
        <w:rPr/>
        <w:t>investments. As</w:t>
      </w:r>
      <w:r>
        <w:rPr>
          <w:spacing w:val="-1"/>
        </w:rPr>
        <w:t> </w:t>
      </w:r>
      <w:r>
        <w:rPr/>
        <w:t>more</w:t>
      </w:r>
      <w:r>
        <w:rPr>
          <w:spacing w:val="-1"/>
        </w:rPr>
        <w:t> </w:t>
      </w:r>
      <w:r>
        <w:rPr/>
        <w:t>investment in</w:t>
      </w:r>
      <w:r>
        <w:rPr>
          <w:spacing w:val="-1"/>
        </w:rPr>
        <w:t> </w:t>
      </w:r>
      <w:r>
        <w:rPr/>
        <w:t>safety is made, the safety benefit increases. However, the relationship is not a straight line that increases</w:t>
      </w:r>
      <w:r>
        <w:rPr>
          <w:spacing w:val="-2"/>
        </w:rPr>
        <w:t> </w:t>
      </w:r>
      <w:r>
        <w:rPr/>
        <w:t>no</w:t>
      </w:r>
      <w:r>
        <w:rPr>
          <w:spacing w:val="-4"/>
        </w:rPr>
        <w:t> </w:t>
      </w:r>
      <w:r>
        <w:rPr/>
        <w:t>matter how</w:t>
      </w:r>
      <w:r>
        <w:rPr>
          <w:spacing w:val="-3"/>
        </w:rPr>
        <w:t> </w:t>
      </w:r>
      <w:r>
        <w:rPr/>
        <w:t>much</w:t>
      </w:r>
      <w:r>
        <w:rPr>
          <w:spacing w:val="-3"/>
        </w:rPr>
        <w:t> </w:t>
      </w:r>
      <w:r>
        <w:rPr/>
        <w:t>expenditure</w:t>
      </w:r>
      <w:r>
        <w:rPr>
          <w:spacing w:val="-1"/>
        </w:rPr>
        <w:t> </w:t>
      </w:r>
      <w:r>
        <w:rPr/>
        <w:t>is</w:t>
      </w:r>
      <w:r>
        <w:rPr>
          <w:spacing w:val="-4"/>
        </w:rPr>
        <w:t> </w:t>
      </w:r>
      <w:r>
        <w:rPr/>
        <w:t>incurred, but</w:t>
      </w:r>
      <w:r>
        <w:rPr>
          <w:spacing w:val="-3"/>
        </w:rPr>
        <w:t> </w:t>
      </w:r>
      <w:r>
        <w:rPr/>
        <w:t>rather is</w:t>
      </w:r>
      <w:r>
        <w:rPr>
          <w:spacing w:val="-4"/>
        </w:rPr>
        <w:t> </w:t>
      </w:r>
      <w:r>
        <w:rPr/>
        <w:t>a</w:t>
      </w:r>
      <w:r>
        <w:rPr>
          <w:spacing w:val="-2"/>
        </w:rPr>
        <w:t> </w:t>
      </w:r>
      <w:r>
        <w:rPr/>
        <w:t>curve.</w:t>
      </w:r>
      <w:r>
        <w:rPr>
          <w:spacing w:val="-1"/>
        </w:rPr>
        <w:t> </w:t>
      </w:r>
      <w:r>
        <w:rPr/>
        <w:t>This</w:t>
      </w:r>
      <w:r>
        <w:rPr>
          <w:spacing w:val="-4"/>
        </w:rPr>
        <w:t> </w:t>
      </w:r>
      <w:r>
        <w:rPr/>
        <w:t>is</w:t>
      </w:r>
      <w:r>
        <w:rPr>
          <w:spacing w:val="-1"/>
        </w:rPr>
        <w:t> </w:t>
      </w:r>
      <w:r>
        <w:rPr/>
        <w:t>because as more investment is made in safety, it becomes increasingly difficult to squeeze additional safety benefits from that expenditure.</w:t>
      </w:r>
    </w:p>
    <w:p>
      <w:pPr>
        <w:pStyle w:val="BodyText"/>
        <w:rPr>
          <w:sz w:val="21"/>
        </w:rPr>
      </w:pPr>
    </w:p>
    <w:p>
      <w:pPr>
        <w:pStyle w:val="BodyText"/>
        <w:spacing w:line="288" w:lineRule="auto"/>
        <w:ind w:left="600" w:right="713"/>
      </w:pPr>
      <w:r>
        <w:rPr/>
        <w:t>In</w:t>
      </w:r>
      <w:r>
        <w:rPr>
          <w:spacing w:val="-2"/>
        </w:rPr>
        <w:t> </w:t>
      </w:r>
      <w:r>
        <w:rPr/>
        <w:t>economic</w:t>
      </w:r>
      <w:r>
        <w:rPr>
          <w:spacing w:val="-4"/>
        </w:rPr>
        <w:t> </w:t>
      </w:r>
      <w:r>
        <w:rPr/>
        <w:t>terms,</w:t>
      </w:r>
      <w:r>
        <w:rPr>
          <w:spacing w:val="-1"/>
        </w:rPr>
        <w:t> </w:t>
      </w:r>
      <w:r>
        <w:rPr/>
        <w:t>efficiency</w:t>
      </w:r>
      <w:r>
        <w:rPr>
          <w:spacing w:val="-4"/>
        </w:rPr>
        <w:t> </w:t>
      </w:r>
      <w:r>
        <w:rPr/>
        <w:t>is</w:t>
      </w:r>
      <w:r>
        <w:rPr>
          <w:spacing w:val="-2"/>
        </w:rPr>
        <w:t> </w:t>
      </w:r>
      <w:r>
        <w:rPr/>
        <w:t>maximised</w:t>
      </w:r>
      <w:r>
        <w:rPr>
          <w:spacing w:val="-2"/>
        </w:rPr>
        <w:t> </w:t>
      </w:r>
      <w:r>
        <w:rPr/>
        <w:t>to</w:t>
      </w:r>
      <w:r>
        <w:rPr>
          <w:spacing w:val="-2"/>
        </w:rPr>
        <w:t> </w:t>
      </w:r>
      <w:r>
        <w:rPr/>
        <w:t>the</w:t>
      </w:r>
      <w:r>
        <w:rPr>
          <w:spacing w:val="-4"/>
        </w:rPr>
        <w:t> </w:t>
      </w:r>
      <w:r>
        <w:rPr/>
        <w:t>point</w:t>
      </w:r>
      <w:r>
        <w:rPr>
          <w:spacing w:val="-2"/>
        </w:rPr>
        <w:t> </w:t>
      </w:r>
      <w:r>
        <w:rPr/>
        <w:t>at</w:t>
      </w:r>
      <w:r>
        <w:rPr>
          <w:spacing w:val="-1"/>
        </w:rPr>
        <w:t> </w:t>
      </w:r>
      <w:r>
        <w:rPr/>
        <w:t>which</w:t>
      </w:r>
      <w:r>
        <w:rPr>
          <w:spacing w:val="-2"/>
        </w:rPr>
        <w:t> </w:t>
      </w:r>
      <w:r>
        <w:rPr/>
        <w:t>the</w:t>
      </w:r>
      <w:r>
        <w:rPr>
          <w:spacing w:val="-4"/>
        </w:rPr>
        <w:t> </w:t>
      </w:r>
      <w:r>
        <w:rPr/>
        <w:t>additional</w:t>
      </w:r>
      <w:r>
        <w:rPr>
          <w:spacing w:val="-3"/>
        </w:rPr>
        <w:t> </w:t>
      </w:r>
      <w:r>
        <w:rPr/>
        <w:t>benefit</w:t>
      </w:r>
      <w:r>
        <w:rPr>
          <w:spacing w:val="-3"/>
        </w:rPr>
        <w:t> </w:t>
      </w:r>
      <w:r>
        <w:rPr/>
        <w:t>from extra expenditure on safety is equal to the cost of the additional investment (the</w:t>
      </w:r>
      <w:r>
        <w:rPr>
          <w:spacing w:val="-1"/>
        </w:rPr>
        <w:t> </w:t>
      </w:r>
      <w:r>
        <w:rPr/>
        <w:t>first point noted on the curve). Any greater expenditure would have more cost than the additional safety benefit it delivers.</w:t>
      </w:r>
    </w:p>
    <w:p>
      <w:pPr>
        <w:pStyle w:val="BodyText"/>
        <w:spacing w:before="11"/>
        <w:rPr>
          <w:sz w:val="20"/>
        </w:rPr>
      </w:pPr>
    </w:p>
    <w:p>
      <w:pPr>
        <w:spacing w:line="288" w:lineRule="auto" w:before="0"/>
        <w:ind w:left="600" w:right="713" w:firstLine="0"/>
        <w:jc w:val="left"/>
        <w:rPr>
          <w:sz w:val="22"/>
        </w:rPr>
      </w:pPr>
      <w:r>
        <w:rPr>
          <w:sz w:val="22"/>
        </w:rPr>
        <w:t>As discussed further below and in </w:t>
      </w:r>
      <w:r>
        <w:rPr>
          <w:i/>
          <w:sz w:val="22"/>
        </w:rPr>
        <w:t>Chapter 9: Strengthening the Foundations for Future Network Safety Regulation</w:t>
      </w:r>
      <w:r>
        <w:rPr>
          <w:sz w:val="22"/>
        </w:rPr>
        <w:t>, safety legislation and the legal tests applied by the courts typically</w:t>
      </w:r>
      <w:r>
        <w:rPr>
          <w:spacing w:val="-4"/>
          <w:sz w:val="22"/>
        </w:rPr>
        <w:t> </w:t>
      </w:r>
      <w:r>
        <w:rPr>
          <w:sz w:val="22"/>
        </w:rPr>
        <w:t>imply</w:t>
      </w:r>
      <w:r>
        <w:rPr>
          <w:spacing w:val="-4"/>
          <w:sz w:val="22"/>
        </w:rPr>
        <w:t> </w:t>
      </w:r>
      <w:r>
        <w:rPr>
          <w:sz w:val="22"/>
        </w:rPr>
        <w:t>that investments</w:t>
      </w:r>
      <w:r>
        <w:rPr>
          <w:spacing w:val="-4"/>
          <w:sz w:val="22"/>
        </w:rPr>
        <w:t> </w:t>
      </w:r>
      <w:r>
        <w:rPr>
          <w:sz w:val="22"/>
        </w:rPr>
        <w:t>should</w:t>
      </w:r>
      <w:r>
        <w:rPr>
          <w:spacing w:val="-2"/>
          <w:sz w:val="22"/>
        </w:rPr>
        <w:t> </w:t>
      </w:r>
      <w:r>
        <w:rPr>
          <w:sz w:val="22"/>
        </w:rPr>
        <w:t>continue</w:t>
      </w:r>
      <w:r>
        <w:rPr>
          <w:spacing w:val="-4"/>
          <w:sz w:val="22"/>
        </w:rPr>
        <w:t> </w:t>
      </w:r>
      <w:r>
        <w:rPr>
          <w:sz w:val="22"/>
        </w:rPr>
        <w:t>to</w:t>
      </w:r>
      <w:r>
        <w:rPr>
          <w:spacing w:val="-4"/>
          <w:sz w:val="22"/>
        </w:rPr>
        <w:t> </w:t>
      </w:r>
      <w:r>
        <w:rPr>
          <w:sz w:val="22"/>
        </w:rPr>
        <w:t>be</w:t>
      </w:r>
      <w:r>
        <w:rPr>
          <w:spacing w:val="-4"/>
          <w:sz w:val="22"/>
        </w:rPr>
        <w:t> </w:t>
      </w:r>
      <w:r>
        <w:rPr>
          <w:sz w:val="22"/>
        </w:rPr>
        <w:t>made</w:t>
      </w:r>
      <w:r>
        <w:rPr>
          <w:spacing w:val="-2"/>
          <w:sz w:val="22"/>
        </w:rPr>
        <w:t> </w:t>
      </w:r>
      <w:r>
        <w:rPr>
          <w:sz w:val="22"/>
        </w:rPr>
        <w:t>until</w:t>
      </w:r>
      <w:r>
        <w:rPr>
          <w:spacing w:val="-2"/>
          <w:sz w:val="22"/>
        </w:rPr>
        <w:t> </w:t>
      </w:r>
      <w:r>
        <w:rPr>
          <w:sz w:val="22"/>
        </w:rPr>
        <w:t>a</w:t>
      </w:r>
      <w:r>
        <w:rPr>
          <w:spacing w:val="-2"/>
          <w:sz w:val="22"/>
        </w:rPr>
        <w:t> </w:t>
      </w:r>
      <w:r>
        <w:rPr>
          <w:sz w:val="22"/>
        </w:rPr>
        <w:t>point</w:t>
      </w:r>
      <w:r>
        <w:rPr>
          <w:spacing w:val="-3"/>
          <w:sz w:val="22"/>
        </w:rPr>
        <w:t> </w:t>
      </w:r>
      <w:r>
        <w:rPr>
          <w:sz w:val="22"/>
        </w:rPr>
        <w:t>at</w:t>
      </w:r>
      <w:r>
        <w:rPr>
          <w:spacing w:val="-5"/>
          <w:sz w:val="22"/>
        </w:rPr>
        <w:t> </w:t>
      </w:r>
      <w:r>
        <w:rPr>
          <w:sz w:val="22"/>
        </w:rPr>
        <w:t>which</w:t>
      </w:r>
      <w:r>
        <w:rPr>
          <w:spacing w:val="-2"/>
          <w:sz w:val="22"/>
        </w:rPr>
        <w:t> </w:t>
      </w:r>
      <w:r>
        <w:rPr>
          <w:sz w:val="22"/>
        </w:rPr>
        <w:t>the</w:t>
      </w:r>
      <w:r>
        <w:rPr>
          <w:spacing w:val="-2"/>
          <w:sz w:val="22"/>
        </w:rPr>
        <w:t> </w:t>
      </w:r>
      <w:r>
        <w:rPr>
          <w:sz w:val="22"/>
        </w:rPr>
        <w:t>cost</w:t>
      </w:r>
      <w:r>
        <w:rPr>
          <w:spacing w:val="-3"/>
          <w:sz w:val="22"/>
        </w:rPr>
        <w:t> </w:t>
      </w:r>
      <w:r>
        <w:rPr>
          <w:sz w:val="22"/>
        </w:rPr>
        <w:t>of securing additional safety is disproportionate to the benefits (the second point noted on the </w:t>
      </w:r>
      <w:r>
        <w:rPr>
          <w:spacing w:val="-2"/>
          <w:sz w:val="22"/>
        </w:rPr>
        <w:t>curve).</w:t>
      </w:r>
    </w:p>
    <w:p>
      <w:pPr>
        <w:spacing w:after="0" w:line="288" w:lineRule="auto"/>
        <w:jc w:val="left"/>
        <w:rPr>
          <w:sz w:val="22"/>
        </w:rPr>
        <w:sectPr>
          <w:pgSz w:w="11910" w:h="16840"/>
          <w:pgMar w:header="887" w:footer="1286" w:top="1080" w:bottom="1500" w:left="840" w:right="820"/>
        </w:sectPr>
      </w:pPr>
    </w:p>
    <w:p>
      <w:pPr>
        <w:pStyle w:val="BodyText"/>
        <w:rPr>
          <w:sz w:val="20"/>
        </w:rPr>
      </w:pPr>
    </w:p>
    <w:p>
      <w:pPr>
        <w:pStyle w:val="BodyText"/>
        <w:rPr>
          <w:sz w:val="20"/>
        </w:rPr>
      </w:pPr>
    </w:p>
    <w:p>
      <w:pPr>
        <w:pStyle w:val="BodyText"/>
        <w:spacing w:before="5"/>
      </w:pPr>
    </w:p>
    <w:p>
      <w:pPr>
        <w:pStyle w:val="Heading7"/>
        <w:spacing w:line="288" w:lineRule="auto"/>
        <w:ind w:left="600" w:right="910"/>
      </w:pPr>
      <w:r>
        <w:rPr/>
        <w:t>Figure</w:t>
      </w:r>
      <w:r>
        <w:rPr>
          <w:spacing w:val="-2"/>
        </w:rPr>
        <w:t> </w:t>
      </w:r>
      <w:r>
        <w:rPr/>
        <w:t>6: An</w:t>
      </w:r>
      <w:r>
        <w:rPr>
          <w:spacing w:val="-3"/>
        </w:rPr>
        <w:t> </w:t>
      </w:r>
      <w:r>
        <w:rPr/>
        <w:t>illustration</w:t>
      </w:r>
      <w:r>
        <w:rPr>
          <w:spacing w:val="-3"/>
        </w:rPr>
        <w:t> </w:t>
      </w:r>
      <w:r>
        <w:rPr/>
        <w:t>of</w:t>
      </w:r>
      <w:r>
        <w:rPr>
          <w:spacing w:val="-4"/>
        </w:rPr>
        <w:t> </w:t>
      </w:r>
      <w:r>
        <w:rPr/>
        <w:t>the</w:t>
      </w:r>
      <w:r>
        <w:rPr>
          <w:spacing w:val="-6"/>
        </w:rPr>
        <w:t> </w:t>
      </w:r>
      <w:r>
        <w:rPr/>
        <w:t>economic</w:t>
      </w:r>
      <w:r>
        <w:rPr>
          <w:spacing w:val="-3"/>
        </w:rPr>
        <w:t> </w:t>
      </w:r>
      <w:r>
        <w:rPr/>
        <w:t>analysis</w:t>
      </w:r>
      <w:r>
        <w:rPr>
          <w:spacing w:val="-2"/>
        </w:rPr>
        <w:t> </w:t>
      </w:r>
      <w:r>
        <w:rPr/>
        <w:t>of</w:t>
      </w:r>
      <w:r>
        <w:rPr>
          <w:spacing w:val="-4"/>
        </w:rPr>
        <w:t> </w:t>
      </w:r>
      <w:r>
        <w:rPr/>
        <w:t>the</w:t>
      </w:r>
      <w:r>
        <w:rPr>
          <w:spacing w:val="-3"/>
        </w:rPr>
        <w:t> </w:t>
      </w:r>
      <w:r>
        <w:rPr/>
        <w:t>optimum</w:t>
      </w:r>
      <w:r>
        <w:rPr>
          <w:spacing w:val="-4"/>
        </w:rPr>
        <w:t> </w:t>
      </w:r>
      <w:r>
        <w:rPr/>
        <w:t>balance</w:t>
      </w:r>
      <w:r>
        <w:rPr>
          <w:spacing w:val="-3"/>
        </w:rPr>
        <w:t> </w:t>
      </w:r>
      <w:r>
        <w:rPr/>
        <w:t>between safety benefit relative to safety cost</w:t>
      </w:r>
    </w:p>
    <w:p>
      <w:pPr>
        <w:pStyle w:val="BodyText"/>
        <w:rPr>
          <w:b/>
          <w:sz w:val="20"/>
        </w:rPr>
      </w:pPr>
    </w:p>
    <w:p>
      <w:pPr>
        <w:pStyle w:val="BodyText"/>
        <w:spacing w:before="2"/>
        <w:rPr>
          <w:b/>
          <w:sz w:val="11"/>
        </w:rPr>
      </w:pPr>
      <w:r>
        <w:rPr/>
        <w:drawing>
          <wp:anchor distT="0" distB="0" distL="0" distR="0" allowOverlap="1" layoutInCell="1" locked="0" behindDoc="1" simplePos="0" relativeHeight="487605248">
            <wp:simplePos x="0" y="0"/>
            <wp:positionH relativeFrom="page">
              <wp:posOffset>1013988</wp:posOffset>
            </wp:positionH>
            <wp:positionV relativeFrom="paragraph">
              <wp:posOffset>97064</wp:posOffset>
            </wp:positionV>
            <wp:extent cx="5018846" cy="3319272"/>
            <wp:effectExtent l="0" t="0" r="0" b="0"/>
            <wp:wrapTopAndBottom/>
            <wp:docPr id="85" name="Image 85" descr="C:\Users\rb2f\AppData\Local\Microsoft\Windows\Temporary Internet Files\Content.Word\Fig6.jpg"/>
            <wp:cNvGraphicFramePr>
              <a:graphicFrameLocks/>
            </wp:cNvGraphicFramePr>
            <a:graphic>
              <a:graphicData uri="http://schemas.openxmlformats.org/drawingml/2006/picture">
                <pic:pic>
                  <pic:nvPicPr>
                    <pic:cNvPr id="85" name="Image 85" descr="C:\Users\rb2f\AppData\Local\Microsoft\Windows\Temporary Internet Files\Content.Word\Fig6.jpg"/>
                    <pic:cNvPicPr/>
                  </pic:nvPicPr>
                  <pic:blipFill>
                    <a:blip r:embed="rId59" cstate="print"/>
                    <a:stretch>
                      <a:fillRect/>
                    </a:stretch>
                  </pic:blipFill>
                  <pic:spPr>
                    <a:xfrm>
                      <a:off x="0" y="0"/>
                      <a:ext cx="5018846" cy="3319272"/>
                    </a:xfrm>
                    <a:prstGeom prst="rect">
                      <a:avLst/>
                    </a:prstGeom>
                  </pic:spPr>
                </pic:pic>
              </a:graphicData>
            </a:graphic>
          </wp:anchor>
        </w:drawing>
      </w:r>
    </w:p>
    <w:p>
      <w:pPr>
        <w:pStyle w:val="BodyText"/>
        <w:spacing w:before="4"/>
        <w:rPr>
          <w:b/>
          <w:sz w:val="21"/>
        </w:rPr>
      </w:pPr>
    </w:p>
    <w:p>
      <w:pPr>
        <w:spacing w:before="0"/>
        <w:ind w:left="600" w:right="0" w:firstLine="0"/>
        <w:jc w:val="left"/>
        <w:rPr>
          <w:sz w:val="18"/>
        </w:rPr>
      </w:pPr>
      <w:r>
        <w:rPr>
          <w:sz w:val="18"/>
        </w:rPr>
        <w:t>Source:</w:t>
      </w:r>
      <w:r>
        <w:rPr>
          <w:spacing w:val="-3"/>
          <w:sz w:val="18"/>
        </w:rPr>
        <w:t> </w:t>
      </w:r>
      <w:r>
        <w:rPr>
          <w:sz w:val="18"/>
        </w:rPr>
        <w:t>Adapted</w:t>
      </w:r>
      <w:r>
        <w:rPr>
          <w:spacing w:val="-5"/>
          <w:sz w:val="18"/>
        </w:rPr>
        <w:t> </w:t>
      </w:r>
      <w:r>
        <w:rPr>
          <w:sz w:val="18"/>
        </w:rPr>
        <w:t>from</w:t>
      </w:r>
      <w:r>
        <w:rPr>
          <w:spacing w:val="-4"/>
          <w:sz w:val="18"/>
        </w:rPr>
        <w:t> </w:t>
      </w:r>
      <w:r>
        <w:rPr>
          <w:sz w:val="18"/>
        </w:rPr>
        <w:t>AusNet</w:t>
      </w:r>
      <w:r>
        <w:rPr>
          <w:spacing w:val="-5"/>
          <w:sz w:val="18"/>
        </w:rPr>
        <w:t> </w:t>
      </w:r>
      <w:r>
        <w:rPr>
          <w:sz w:val="18"/>
        </w:rPr>
        <w:t>Services</w:t>
      </w:r>
      <w:r>
        <w:rPr>
          <w:spacing w:val="-5"/>
          <w:sz w:val="18"/>
        </w:rPr>
        <w:t> </w:t>
      </w:r>
      <w:r>
        <w:rPr>
          <w:sz w:val="18"/>
        </w:rPr>
        <w:t>submission</w:t>
      </w:r>
      <w:r>
        <w:rPr>
          <w:spacing w:val="-4"/>
          <w:sz w:val="18"/>
        </w:rPr>
        <w:t> </w:t>
      </w:r>
      <w:r>
        <w:rPr>
          <w:sz w:val="18"/>
        </w:rPr>
        <w:t>(2017,</w:t>
      </w:r>
      <w:r>
        <w:rPr>
          <w:spacing w:val="-3"/>
          <w:sz w:val="18"/>
        </w:rPr>
        <w:t> </w:t>
      </w:r>
      <w:r>
        <w:rPr>
          <w:sz w:val="18"/>
        </w:rPr>
        <w:t>p.</w:t>
      </w:r>
      <w:r>
        <w:rPr>
          <w:spacing w:val="-6"/>
          <w:sz w:val="18"/>
        </w:rPr>
        <w:t> </w:t>
      </w:r>
      <w:r>
        <w:rPr>
          <w:spacing w:val="-5"/>
          <w:sz w:val="18"/>
        </w:rPr>
        <w:t>13)</w:t>
      </w:r>
    </w:p>
    <w:p>
      <w:pPr>
        <w:pStyle w:val="BodyText"/>
        <w:spacing w:before="2"/>
      </w:pPr>
    </w:p>
    <w:p>
      <w:pPr>
        <w:pStyle w:val="BodyText"/>
        <w:spacing w:line="288" w:lineRule="auto"/>
        <w:ind w:left="600" w:right="910"/>
      </w:pPr>
      <w:r>
        <w:rPr/>
        <w:t>The</w:t>
      </w:r>
      <w:r>
        <w:rPr>
          <w:spacing w:val="-4"/>
        </w:rPr>
        <w:t> </w:t>
      </w:r>
      <w:r>
        <w:rPr/>
        <w:t>simple</w:t>
      </w:r>
      <w:r>
        <w:rPr>
          <w:spacing w:val="-2"/>
        </w:rPr>
        <w:t> </w:t>
      </w:r>
      <w:r>
        <w:rPr/>
        <w:t>diagram</w:t>
      </w:r>
      <w:r>
        <w:rPr>
          <w:spacing w:val="-3"/>
        </w:rPr>
        <w:t> </w:t>
      </w:r>
      <w:r>
        <w:rPr/>
        <w:t>is</w:t>
      </w:r>
      <w:r>
        <w:rPr>
          <w:spacing w:val="-1"/>
        </w:rPr>
        <w:t> </w:t>
      </w:r>
      <w:r>
        <w:rPr/>
        <w:t>very</w:t>
      </w:r>
      <w:r>
        <w:rPr>
          <w:spacing w:val="-3"/>
        </w:rPr>
        <w:t> </w:t>
      </w:r>
      <w:r>
        <w:rPr/>
        <w:t>useful</w:t>
      </w:r>
      <w:r>
        <w:rPr>
          <w:spacing w:val="-5"/>
        </w:rPr>
        <w:t> </w:t>
      </w:r>
      <w:r>
        <w:rPr/>
        <w:t>for</w:t>
      </w:r>
      <w:r>
        <w:rPr>
          <w:spacing w:val="-3"/>
        </w:rPr>
        <w:t> </w:t>
      </w:r>
      <w:r>
        <w:rPr/>
        <w:t>illustrating</w:t>
      </w:r>
      <w:r>
        <w:rPr>
          <w:spacing w:val="-2"/>
        </w:rPr>
        <w:t> </w:t>
      </w:r>
      <w:r>
        <w:rPr/>
        <w:t>the</w:t>
      </w:r>
      <w:r>
        <w:rPr>
          <w:spacing w:val="-2"/>
        </w:rPr>
        <w:t> </w:t>
      </w:r>
      <w:r>
        <w:rPr/>
        <w:t>concepts</w:t>
      </w:r>
      <w:r>
        <w:rPr>
          <w:spacing w:val="-4"/>
        </w:rPr>
        <w:t> </w:t>
      </w:r>
      <w:r>
        <w:rPr/>
        <w:t>that</w:t>
      </w:r>
      <w:r>
        <w:rPr>
          <w:spacing w:val="-3"/>
        </w:rPr>
        <w:t> </w:t>
      </w:r>
      <w:r>
        <w:rPr/>
        <w:t>need</w:t>
      </w:r>
      <w:r>
        <w:rPr>
          <w:spacing w:val="-4"/>
        </w:rPr>
        <w:t> </w:t>
      </w:r>
      <w:r>
        <w:rPr/>
        <w:t>to</w:t>
      </w:r>
      <w:r>
        <w:rPr>
          <w:spacing w:val="-4"/>
        </w:rPr>
        <w:t> </w:t>
      </w:r>
      <w:r>
        <w:rPr/>
        <w:t>be</w:t>
      </w:r>
      <w:r>
        <w:rPr>
          <w:spacing w:val="-2"/>
        </w:rPr>
        <w:t> </w:t>
      </w:r>
      <w:r>
        <w:rPr/>
        <w:t>considered. However, there can be significant practical and methodological problems in measuring marginal safety benefits and costs with high degrees of precision.</w:t>
      </w:r>
    </w:p>
    <w:p>
      <w:pPr>
        <w:pStyle w:val="BodyText"/>
        <w:rPr>
          <w:sz w:val="21"/>
        </w:rPr>
      </w:pPr>
    </w:p>
    <w:p>
      <w:pPr>
        <w:pStyle w:val="BodyText"/>
        <w:spacing w:line="288" w:lineRule="auto"/>
        <w:ind w:left="600" w:right="713"/>
      </w:pPr>
      <w:r>
        <w:rPr/>
        <w:t>In 2010, the Powerline Bushfire Safety</w:t>
      </w:r>
      <w:r>
        <w:rPr>
          <w:spacing w:val="-2"/>
        </w:rPr>
        <w:t> </w:t>
      </w:r>
      <w:r>
        <w:rPr/>
        <w:t>Taskforce</w:t>
      </w:r>
      <w:r>
        <w:rPr>
          <w:spacing w:val="-1"/>
        </w:rPr>
        <w:t> </w:t>
      </w:r>
      <w:r>
        <w:rPr/>
        <w:t>invested a</w:t>
      </w:r>
      <w:r>
        <w:rPr>
          <w:spacing w:val="-1"/>
        </w:rPr>
        <w:t> </w:t>
      </w:r>
      <w:r>
        <w:rPr/>
        <w:t>great deal of effort in exploring questions around the benefits of investments in additional safety for the Victorian electricity network. Among other things, the Powerline Bushfire Safety Taskforce commissioned detailed customer research to better understand what Victorians might regard as an acceptable</w:t>
      </w:r>
      <w:r>
        <w:rPr>
          <w:spacing w:val="-3"/>
        </w:rPr>
        <w:t> </w:t>
      </w:r>
      <w:r>
        <w:rPr/>
        <w:t>balance</w:t>
      </w:r>
      <w:r>
        <w:rPr>
          <w:spacing w:val="-5"/>
        </w:rPr>
        <w:t> </w:t>
      </w:r>
      <w:r>
        <w:rPr/>
        <w:t>between</w:t>
      </w:r>
      <w:r>
        <w:rPr>
          <w:spacing w:val="-2"/>
        </w:rPr>
        <w:t> </w:t>
      </w:r>
      <w:r>
        <w:rPr/>
        <w:t>these</w:t>
      </w:r>
      <w:r>
        <w:rPr>
          <w:spacing w:val="-5"/>
        </w:rPr>
        <w:t> </w:t>
      </w:r>
      <w:r>
        <w:rPr/>
        <w:t>competing</w:t>
      </w:r>
      <w:r>
        <w:rPr>
          <w:spacing w:val="-1"/>
        </w:rPr>
        <w:t> </w:t>
      </w:r>
      <w:r>
        <w:rPr/>
        <w:t>objectives</w:t>
      </w:r>
      <w:r>
        <w:rPr>
          <w:spacing w:val="-3"/>
        </w:rPr>
        <w:t> </w:t>
      </w:r>
      <w:r>
        <w:rPr/>
        <w:t>of</w:t>
      </w:r>
      <w:r>
        <w:rPr>
          <w:spacing w:val="-1"/>
        </w:rPr>
        <w:t> </w:t>
      </w:r>
      <w:r>
        <w:rPr/>
        <w:t>more</w:t>
      </w:r>
      <w:r>
        <w:rPr>
          <w:spacing w:val="-5"/>
        </w:rPr>
        <w:t> </w:t>
      </w:r>
      <w:r>
        <w:rPr/>
        <w:t>safety</w:t>
      </w:r>
      <w:r>
        <w:rPr>
          <w:spacing w:val="-4"/>
        </w:rPr>
        <w:t> </w:t>
      </w:r>
      <w:r>
        <w:rPr/>
        <w:t>and</w:t>
      </w:r>
      <w:r>
        <w:rPr>
          <w:spacing w:val="-3"/>
        </w:rPr>
        <w:t> </w:t>
      </w:r>
      <w:r>
        <w:rPr/>
        <w:t>additional</w:t>
      </w:r>
      <w:r>
        <w:rPr>
          <w:spacing w:val="-4"/>
        </w:rPr>
        <w:t> </w:t>
      </w:r>
      <w:r>
        <w:rPr/>
        <w:t>cost. The survey included a variety of individuals and businesses across metropolitan areas, regional centres and rural areas, including fire-affected areas. The research revealed that participants in the survey were overwhelmingly of the view that it was important to reduce the bushfire risk associated with powerlines when there was no cost associated with this (Powerline Bushfire Safety Taskforce, 2011).</w:t>
      </w:r>
    </w:p>
    <w:p>
      <w:pPr>
        <w:pStyle w:val="BodyText"/>
        <w:spacing w:before="8"/>
        <w:rPr>
          <w:sz w:val="20"/>
        </w:rPr>
      </w:pPr>
    </w:p>
    <w:p>
      <w:pPr>
        <w:pStyle w:val="BodyText"/>
        <w:spacing w:line="288" w:lineRule="auto"/>
        <w:ind w:left="600" w:right="691"/>
      </w:pPr>
      <w:r>
        <w:rPr/>
        <w:t>When cost was added to the equation, participants indicated that, on average, they were only willing to pay a little more to reduce the likelihood of bushfire starting by powerlines – eight</w:t>
      </w:r>
      <w:r>
        <w:rPr>
          <w:spacing w:val="-3"/>
        </w:rPr>
        <w:t> </w:t>
      </w:r>
      <w:r>
        <w:rPr/>
        <w:t>per</w:t>
      </w:r>
      <w:r>
        <w:rPr>
          <w:spacing w:val="-3"/>
        </w:rPr>
        <w:t> </w:t>
      </w:r>
      <w:r>
        <w:rPr/>
        <w:t>cent</w:t>
      </w:r>
      <w:r>
        <w:rPr>
          <w:spacing w:val="-5"/>
        </w:rPr>
        <w:t> </w:t>
      </w:r>
      <w:r>
        <w:rPr/>
        <w:t>more</w:t>
      </w:r>
      <w:r>
        <w:rPr>
          <w:spacing w:val="-4"/>
        </w:rPr>
        <w:t> </w:t>
      </w:r>
      <w:r>
        <w:rPr/>
        <w:t>with</w:t>
      </w:r>
      <w:r>
        <w:rPr>
          <w:spacing w:val="-2"/>
        </w:rPr>
        <w:t> </w:t>
      </w:r>
      <w:r>
        <w:rPr/>
        <w:t>no</w:t>
      </w:r>
      <w:r>
        <w:rPr>
          <w:spacing w:val="-2"/>
        </w:rPr>
        <w:t> </w:t>
      </w:r>
      <w:r>
        <w:rPr/>
        <w:t>deterioration</w:t>
      </w:r>
      <w:r>
        <w:rPr>
          <w:spacing w:val="-2"/>
        </w:rPr>
        <w:t> </w:t>
      </w:r>
      <w:r>
        <w:rPr/>
        <w:t>in</w:t>
      </w:r>
      <w:r>
        <w:rPr>
          <w:spacing w:val="-4"/>
        </w:rPr>
        <w:t> </w:t>
      </w:r>
      <w:r>
        <w:rPr/>
        <w:t>the</w:t>
      </w:r>
      <w:r>
        <w:rPr>
          <w:spacing w:val="-4"/>
        </w:rPr>
        <w:t> </w:t>
      </w:r>
      <w:r>
        <w:rPr/>
        <w:t>reliability</w:t>
      </w:r>
      <w:r>
        <w:rPr>
          <w:spacing w:val="-4"/>
        </w:rPr>
        <w:t> </w:t>
      </w:r>
      <w:r>
        <w:rPr/>
        <w:t>of</w:t>
      </w:r>
      <w:r>
        <w:rPr>
          <w:spacing w:val="-1"/>
        </w:rPr>
        <w:t> </w:t>
      </w:r>
      <w:r>
        <w:rPr/>
        <w:t>the</w:t>
      </w:r>
      <w:r>
        <w:rPr>
          <w:spacing w:val="-4"/>
        </w:rPr>
        <w:t> </w:t>
      </w:r>
      <w:r>
        <w:rPr/>
        <w:t>electricity</w:t>
      </w:r>
      <w:r>
        <w:rPr>
          <w:spacing w:val="-4"/>
        </w:rPr>
        <w:t> </w:t>
      </w:r>
      <w:r>
        <w:rPr/>
        <w:t>supply, reducing</w:t>
      </w:r>
      <w:r>
        <w:rPr>
          <w:spacing w:val="-2"/>
        </w:rPr>
        <w:t> </w:t>
      </w:r>
      <w:r>
        <w:rPr/>
        <w:t>to two per cent if there was a deterioration in the reliability of supply.</w:t>
      </w:r>
    </w:p>
    <w:p>
      <w:pPr>
        <w:spacing w:after="0" w:line="288" w:lineRule="auto"/>
        <w:sectPr>
          <w:pgSz w:w="11910" w:h="16840"/>
          <w:pgMar w:header="887" w:footer="1286" w:top="1080" w:bottom="1500" w:left="840" w:right="820"/>
        </w:sectPr>
      </w:pPr>
    </w:p>
    <w:p>
      <w:pPr>
        <w:pStyle w:val="BodyText"/>
        <w:rPr>
          <w:sz w:val="20"/>
        </w:rPr>
      </w:pPr>
    </w:p>
    <w:p>
      <w:pPr>
        <w:pStyle w:val="BodyText"/>
        <w:rPr>
          <w:sz w:val="20"/>
        </w:rPr>
      </w:pPr>
    </w:p>
    <w:p>
      <w:pPr>
        <w:pStyle w:val="BodyText"/>
        <w:spacing w:before="5"/>
      </w:pPr>
    </w:p>
    <w:p>
      <w:pPr>
        <w:pStyle w:val="Heading7"/>
        <w:ind w:left="600"/>
      </w:pPr>
      <w:r>
        <w:rPr/>
        <w:t>Figure</w:t>
      </w:r>
      <w:r>
        <w:rPr>
          <w:spacing w:val="-6"/>
        </w:rPr>
        <w:t> </w:t>
      </w:r>
      <w:r>
        <w:rPr/>
        <w:t>7:</w:t>
      </w:r>
      <w:r>
        <w:rPr>
          <w:spacing w:val="-5"/>
        </w:rPr>
        <w:t> </w:t>
      </w:r>
      <w:r>
        <w:rPr/>
        <w:t>Willingness</w:t>
      </w:r>
      <w:r>
        <w:rPr>
          <w:spacing w:val="-6"/>
        </w:rPr>
        <w:t> </w:t>
      </w:r>
      <w:r>
        <w:rPr/>
        <w:t>of</w:t>
      </w:r>
      <w:r>
        <w:rPr>
          <w:spacing w:val="-3"/>
        </w:rPr>
        <w:t> </w:t>
      </w:r>
      <w:r>
        <w:rPr/>
        <w:t>Victorians</w:t>
      </w:r>
      <w:r>
        <w:rPr>
          <w:spacing w:val="-6"/>
        </w:rPr>
        <w:t> </w:t>
      </w:r>
      <w:r>
        <w:rPr/>
        <w:t>to</w:t>
      </w:r>
      <w:r>
        <w:rPr>
          <w:spacing w:val="-5"/>
        </w:rPr>
        <w:t> </w:t>
      </w:r>
      <w:r>
        <w:rPr/>
        <w:t>pay</w:t>
      </w:r>
      <w:r>
        <w:rPr>
          <w:spacing w:val="-9"/>
        </w:rPr>
        <w:t> </w:t>
      </w:r>
      <w:r>
        <w:rPr/>
        <w:t>for</w:t>
      </w:r>
      <w:r>
        <w:rPr>
          <w:spacing w:val="-6"/>
        </w:rPr>
        <w:t> </w:t>
      </w:r>
      <w:r>
        <w:rPr/>
        <w:t>reduced</w:t>
      </w:r>
      <w:r>
        <w:rPr>
          <w:spacing w:val="-4"/>
        </w:rPr>
        <w:t> </w:t>
      </w:r>
      <w:r>
        <w:rPr/>
        <w:t>bushfire</w:t>
      </w:r>
      <w:r>
        <w:rPr>
          <w:spacing w:val="-6"/>
        </w:rPr>
        <w:t> </w:t>
      </w:r>
      <w:r>
        <w:rPr/>
        <w:t>risk</w:t>
      </w:r>
      <w:r>
        <w:rPr>
          <w:spacing w:val="-6"/>
        </w:rPr>
        <w:t> </w:t>
      </w:r>
      <w:r>
        <w:rPr/>
        <w:t>from</w:t>
      </w:r>
      <w:r>
        <w:rPr>
          <w:spacing w:val="-3"/>
        </w:rPr>
        <w:t> </w:t>
      </w:r>
      <w:r>
        <w:rPr>
          <w:spacing w:val="-2"/>
        </w:rPr>
        <w:t>powerlines</w:t>
      </w:r>
    </w:p>
    <w:p>
      <w:pPr>
        <w:pStyle w:val="BodyText"/>
        <w:rPr>
          <w:b/>
          <w:sz w:val="20"/>
        </w:rPr>
      </w:pPr>
    </w:p>
    <w:p>
      <w:pPr>
        <w:pStyle w:val="BodyText"/>
        <w:spacing w:before="6"/>
        <w:rPr>
          <w:b/>
          <w:sz w:val="15"/>
        </w:rPr>
      </w:pPr>
      <w:r>
        <w:rPr/>
        <w:drawing>
          <wp:anchor distT="0" distB="0" distL="0" distR="0" allowOverlap="1" layoutInCell="1" locked="0" behindDoc="1" simplePos="0" relativeHeight="487605760">
            <wp:simplePos x="0" y="0"/>
            <wp:positionH relativeFrom="page">
              <wp:posOffset>980989</wp:posOffset>
            </wp:positionH>
            <wp:positionV relativeFrom="paragraph">
              <wp:posOffset>128897</wp:posOffset>
            </wp:positionV>
            <wp:extent cx="5647287" cy="2447544"/>
            <wp:effectExtent l="0" t="0" r="0" b="0"/>
            <wp:wrapTopAndBottom/>
            <wp:docPr id="86" name="Image 86" descr="C:\Users\rb2f\AppData\Local\Microsoft\Windows\Temporary Internet Files\Content.Word\Fig7.jpg"/>
            <wp:cNvGraphicFramePr>
              <a:graphicFrameLocks/>
            </wp:cNvGraphicFramePr>
            <a:graphic>
              <a:graphicData uri="http://schemas.openxmlformats.org/drawingml/2006/picture">
                <pic:pic>
                  <pic:nvPicPr>
                    <pic:cNvPr id="86" name="Image 86" descr="C:\Users\rb2f\AppData\Local\Microsoft\Windows\Temporary Internet Files\Content.Word\Fig7.jpg"/>
                    <pic:cNvPicPr/>
                  </pic:nvPicPr>
                  <pic:blipFill>
                    <a:blip r:embed="rId60" cstate="print"/>
                    <a:stretch>
                      <a:fillRect/>
                    </a:stretch>
                  </pic:blipFill>
                  <pic:spPr>
                    <a:xfrm>
                      <a:off x="0" y="0"/>
                      <a:ext cx="5647287" cy="2447544"/>
                    </a:xfrm>
                    <a:prstGeom prst="rect">
                      <a:avLst/>
                    </a:prstGeom>
                  </pic:spPr>
                </pic:pic>
              </a:graphicData>
            </a:graphic>
          </wp:anchor>
        </w:drawing>
      </w:r>
    </w:p>
    <w:p>
      <w:pPr>
        <w:pStyle w:val="BodyText"/>
        <w:rPr>
          <w:b/>
          <w:sz w:val="24"/>
        </w:rPr>
      </w:pPr>
    </w:p>
    <w:p>
      <w:pPr>
        <w:pStyle w:val="BodyText"/>
        <w:spacing w:before="5"/>
        <w:rPr>
          <w:b/>
          <w:sz w:val="24"/>
        </w:rPr>
      </w:pPr>
    </w:p>
    <w:p>
      <w:pPr>
        <w:spacing w:before="0"/>
        <w:ind w:left="600" w:right="0" w:firstLine="0"/>
        <w:jc w:val="left"/>
        <w:rPr>
          <w:sz w:val="18"/>
        </w:rPr>
      </w:pPr>
      <w:r>
        <w:rPr>
          <w:sz w:val="18"/>
        </w:rPr>
        <w:t>Source:</w:t>
      </w:r>
      <w:r>
        <w:rPr>
          <w:spacing w:val="-5"/>
          <w:sz w:val="18"/>
        </w:rPr>
        <w:t> </w:t>
      </w:r>
      <w:r>
        <w:rPr>
          <w:sz w:val="18"/>
        </w:rPr>
        <w:t>Adapted</w:t>
      </w:r>
      <w:r>
        <w:rPr>
          <w:spacing w:val="-5"/>
          <w:sz w:val="18"/>
        </w:rPr>
        <w:t> </w:t>
      </w:r>
      <w:r>
        <w:rPr>
          <w:sz w:val="18"/>
        </w:rPr>
        <w:t>from</w:t>
      </w:r>
      <w:r>
        <w:rPr>
          <w:spacing w:val="-3"/>
          <w:sz w:val="18"/>
        </w:rPr>
        <w:t> </w:t>
      </w:r>
      <w:r>
        <w:rPr>
          <w:sz w:val="18"/>
        </w:rPr>
        <w:t>Powerline</w:t>
      </w:r>
      <w:r>
        <w:rPr>
          <w:spacing w:val="-3"/>
          <w:sz w:val="18"/>
        </w:rPr>
        <w:t> </w:t>
      </w:r>
      <w:r>
        <w:rPr>
          <w:sz w:val="18"/>
        </w:rPr>
        <w:t>Bushfire</w:t>
      </w:r>
      <w:r>
        <w:rPr>
          <w:spacing w:val="-3"/>
          <w:sz w:val="18"/>
        </w:rPr>
        <w:t> </w:t>
      </w:r>
      <w:r>
        <w:rPr>
          <w:sz w:val="18"/>
        </w:rPr>
        <w:t>Safety</w:t>
      </w:r>
      <w:r>
        <w:rPr>
          <w:spacing w:val="-4"/>
          <w:sz w:val="18"/>
        </w:rPr>
        <w:t> </w:t>
      </w:r>
      <w:r>
        <w:rPr>
          <w:sz w:val="18"/>
        </w:rPr>
        <w:t>Taskforce</w:t>
      </w:r>
      <w:r>
        <w:rPr>
          <w:spacing w:val="-3"/>
          <w:sz w:val="18"/>
        </w:rPr>
        <w:t> </w:t>
      </w:r>
      <w:r>
        <w:rPr>
          <w:sz w:val="18"/>
        </w:rPr>
        <w:t>(2011,</w:t>
      </w:r>
      <w:r>
        <w:rPr>
          <w:spacing w:val="42"/>
          <w:sz w:val="18"/>
        </w:rPr>
        <w:t> </w:t>
      </w:r>
      <w:r>
        <w:rPr>
          <w:sz w:val="18"/>
        </w:rPr>
        <w:t>p.</w:t>
      </w:r>
      <w:r>
        <w:rPr>
          <w:spacing w:val="-5"/>
          <w:sz w:val="18"/>
        </w:rPr>
        <w:t> 51)</w:t>
      </w:r>
    </w:p>
    <w:p>
      <w:pPr>
        <w:pStyle w:val="BodyText"/>
        <w:rPr>
          <w:sz w:val="20"/>
        </w:rPr>
      </w:pPr>
    </w:p>
    <w:p>
      <w:pPr>
        <w:pStyle w:val="BodyText"/>
        <w:spacing w:line="288" w:lineRule="auto" w:before="169"/>
        <w:ind w:left="600" w:right="629"/>
      </w:pPr>
      <w:r>
        <w:rPr/>
        <w:t>While the Taskforce estimated that the likelihood of powerlines starting bushfires could be reduced</w:t>
      </w:r>
      <w:r>
        <w:rPr>
          <w:spacing w:val="-2"/>
        </w:rPr>
        <w:t> </w:t>
      </w:r>
      <w:r>
        <w:rPr/>
        <w:t>by</w:t>
      </w:r>
      <w:r>
        <w:rPr>
          <w:spacing w:val="-4"/>
        </w:rPr>
        <w:t> </w:t>
      </w:r>
      <w:r>
        <w:rPr/>
        <w:t>around</w:t>
      </w:r>
      <w:r>
        <w:rPr>
          <w:spacing w:val="-5"/>
        </w:rPr>
        <w:t> </w:t>
      </w:r>
      <w:r>
        <w:rPr/>
        <w:t>99</w:t>
      </w:r>
      <w:r>
        <w:rPr>
          <w:spacing w:val="-4"/>
        </w:rPr>
        <w:t> </w:t>
      </w:r>
      <w:r>
        <w:rPr/>
        <w:t>per</w:t>
      </w:r>
      <w:r>
        <w:rPr>
          <w:spacing w:val="-1"/>
        </w:rPr>
        <w:t> </w:t>
      </w:r>
      <w:r>
        <w:rPr/>
        <w:t>cent by</w:t>
      </w:r>
      <w:r>
        <w:rPr>
          <w:spacing w:val="-4"/>
        </w:rPr>
        <w:t> </w:t>
      </w:r>
      <w:r>
        <w:rPr/>
        <w:t>undergrounding</w:t>
      </w:r>
      <w:r>
        <w:rPr>
          <w:spacing w:val="-2"/>
        </w:rPr>
        <w:t> </w:t>
      </w:r>
      <w:r>
        <w:rPr/>
        <w:t>cables,</w:t>
      </w:r>
      <w:r>
        <w:rPr>
          <w:spacing w:val="-3"/>
        </w:rPr>
        <w:t> </w:t>
      </w:r>
      <w:r>
        <w:rPr/>
        <w:t>the</w:t>
      </w:r>
      <w:r>
        <w:rPr>
          <w:spacing w:val="-4"/>
        </w:rPr>
        <w:t> </w:t>
      </w:r>
      <w:r>
        <w:rPr/>
        <w:t>capital</w:t>
      </w:r>
      <w:r>
        <w:rPr>
          <w:spacing w:val="-3"/>
        </w:rPr>
        <w:t> </w:t>
      </w:r>
      <w:r>
        <w:rPr/>
        <w:t>cost</w:t>
      </w:r>
      <w:r>
        <w:rPr>
          <w:spacing w:val="-3"/>
        </w:rPr>
        <w:t> </w:t>
      </w:r>
      <w:r>
        <w:rPr/>
        <w:t>to</w:t>
      </w:r>
      <w:r>
        <w:rPr>
          <w:spacing w:val="-2"/>
        </w:rPr>
        <w:t> </w:t>
      </w:r>
      <w:r>
        <w:rPr/>
        <w:t>underground</w:t>
      </w:r>
      <w:r>
        <w:rPr>
          <w:spacing w:val="-2"/>
        </w:rPr>
        <w:t> </w:t>
      </w:r>
      <w:r>
        <w:rPr/>
        <w:t>all powerlines in non-urban areas of the state was estimated to be around $40 billion (real 2011). This cost was vastly above the broad assessment of the amount that Victorian consumers would be prepared to fund through higher prices (Powerline Bushfire Safety Taskforce, 2011).</w:t>
      </w:r>
    </w:p>
    <w:p>
      <w:pPr>
        <w:pStyle w:val="BodyText"/>
        <w:rPr>
          <w:sz w:val="24"/>
        </w:rPr>
      </w:pPr>
    </w:p>
    <w:p>
      <w:pPr>
        <w:pStyle w:val="Heading6"/>
        <w:spacing w:before="145"/>
        <w:ind w:left="600"/>
      </w:pPr>
      <w:r>
        <w:rPr/>
        <w:t>Reducing</w:t>
      </w:r>
      <w:r>
        <w:rPr>
          <w:spacing w:val="-9"/>
        </w:rPr>
        <w:t> </w:t>
      </w:r>
      <w:r>
        <w:rPr/>
        <w:t>risks</w:t>
      </w:r>
      <w:r>
        <w:rPr>
          <w:spacing w:val="-11"/>
        </w:rPr>
        <w:t> </w:t>
      </w:r>
      <w:r>
        <w:rPr/>
        <w:t>as</w:t>
      </w:r>
      <w:r>
        <w:rPr>
          <w:spacing w:val="-8"/>
        </w:rPr>
        <w:t> </w:t>
      </w:r>
      <w:r>
        <w:rPr/>
        <w:t>far</w:t>
      </w:r>
      <w:r>
        <w:rPr>
          <w:spacing w:val="-12"/>
        </w:rPr>
        <w:t> </w:t>
      </w:r>
      <w:r>
        <w:rPr/>
        <w:t>as</w:t>
      </w:r>
      <w:r>
        <w:rPr>
          <w:spacing w:val="-8"/>
        </w:rPr>
        <w:t> </w:t>
      </w:r>
      <w:r>
        <w:rPr/>
        <w:t>reasonably</w:t>
      </w:r>
      <w:r>
        <w:rPr>
          <w:spacing w:val="-15"/>
        </w:rPr>
        <w:t> </w:t>
      </w:r>
      <w:r>
        <w:rPr>
          <w:spacing w:val="-2"/>
        </w:rPr>
        <w:t>practicable</w:t>
      </w:r>
    </w:p>
    <w:p>
      <w:pPr>
        <w:pStyle w:val="BodyText"/>
        <w:spacing w:line="288" w:lineRule="auto" w:before="174"/>
        <w:ind w:left="600" w:right="910"/>
      </w:pPr>
      <w:r>
        <w:rPr/>
        <w:t>Since the landmark 1949 British case </w:t>
      </w:r>
      <w:r>
        <w:rPr>
          <w:i/>
        </w:rPr>
        <w:t>Edwards v National Coal Board, </w:t>
      </w:r>
      <w:r>
        <w:rPr/>
        <w:t>the principle that organisations</w:t>
      </w:r>
      <w:r>
        <w:rPr>
          <w:spacing w:val="-2"/>
        </w:rPr>
        <w:t> </w:t>
      </w:r>
      <w:r>
        <w:rPr/>
        <w:t>with</w:t>
      </w:r>
      <w:r>
        <w:rPr>
          <w:spacing w:val="-1"/>
        </w:rPr>
        <w:t> </w:t>
      </w:r>
      <w:r>
        <w:rPr/>
        <w:t>a</w:t>
      </w:r>
      <w:r>
        <w:rPr>
          <w:spacing w:val="-2"/>
        </w:rPr>
        <w:t> </w:t>
      </w:r>
      <w:r>
        <w:rPr/>
        <w:t>duty</w:t>
      </w:r>
      <w:r>
        <w:rPr>
          <w:spacing w:val="-4"/>
        </w:rPr>
        <w:t> </w:t>
      </w:r>
      <w:r>
        <w:rPr/>
        <w:t>of care</w:t>
      </w:r>
      <w:r>
        <w:rPr>
          <w:spacing w:val="-6"/>
        </w:rPr>
        <w:t> </w:t>
      </w:r>
      <w:r>
        <w:rPr/>
        <w:t>for</w:t>
      </w:r>
      <w:r>
        <w:rPr>
          <w:spacing w:val="-3"/>
        </w:rPr>
        <w:t> </w:t>
      </w:r>
      <w:r>
        <w:rPr/>
        <w:t>the</w:t>
      </w:r>
      <w:r>
        <w:rPr>
          <w:spacing w:val="-4"/>
        </w:rPr>
        <w:t> </w:t>
      </w:r>
      <w:r>
        <w:rPr/>
        <w:t>safety</w:t>
      </w:r>
      <w:r>
        <w:rPr>
          <w:spacing w:val="-4"/>
        </w:rPr>
        <w:t> </w:t>
      </w:r>
      <w:r>
        <w:rPr/>
        <w:t>of others</w:t>
      </w:r>
      <w:r>
        <w:rPr>
          <w:spacing w:val="-4"/>
        </w:rPr>
        <w:t> </w:t>
      </w:r>
      <w:r>
        <w:rPr/>
        <w:t>should</w:t>
      </w:r>
      <w:r>
        <w:rPr>
          <w:spacing w:val="-2"/>
        </w:rPr>
        <w:t> </w:t>
      </w:r>
      <w:r>
        <w:rPr/>
        <w:t>seek</w:t>
      </w:r>
      <w:r>
        <w:rPr>
          <w:spacing w:val="-4"/>
        </w:rPr>
        <w:t> </w:t>
      </w:r>
      <w:r>
        <w:rPr/>
        <w:t>to</w:t>
      </w:r>
      <w:r>
        <w:rPr>
          <w:spacing w:val="-4"/>
        </w:rPr>
        <w:t> </w:t>
      </w:r>
      <w:r>
        <w:rPr/>
        <w:t>reduce</w:t>
      </w:r>
      <w:r>
        <w:rPr>
          <w:spacing w:val="-2"/>
        </w:rPr>
        <w:t> </w:t>
      </w:r>
      <w:r>
        <w:rPr/>
        <w:t>risks</w:t>
      </w:r>
      <w:r>
        <w:rPr>
          <w:spacing w:val="-4"/>
        </w:rPr>
        <w:t> </w:t>
      </w:r>
      <w:r>
        <w:rPr/>
        <w:t>as</w:t>
      </w:r>
      <w:r>
        <w:rPr>
          <w:spacing w:val="-6"/>
        </w:rPr>
        <w:t> </w:t>
      </w:r>
      <w:r>
        <w:rPr/>
        <w:t>far as “reasonably practicable” has been firmly entrenched in legal judgements and statutory </w:t>
      </w:r>
      <w:r>
        <w:rPr>
          <w:spacing w:val="-2"/>
        </w:rPr>
        <w:t>frameworks.</w:t>
      </w:r>
    </w:p>
    <w:p>
      <w:pPr>
        <w:pStyle w:val="BodyText"/>
        <w:spacing w:before="10"/>
        <w:rPr>
          <w:sz w:val="20"/>
        </w:rPr>
      </w:pPr>
    </w:p>
    <w:p>
      <w:pPr>
        <w:spacing w:line="288" w:lineRule="auto" w:before="0"/>
        <w:ind w:left="600" w:right="586" w:firstLine="0"/>
        <w:jc w:val="left"/>
        <w:rPr>
          <w:sz w:val="22"/>
        </w:rPr>
      </w:pPr>
      <w:r>
        <w:rPr>
          <w:sz w:val="22"/>
        </w:rPr>
        <w:t>In </w:t>
      </w:r>
      <w:r>
        <w:rPr>
          <w:i/>
          <w:sz w:val="22"/>
        </w:rPr>
        <w:t>Edwards v National Coal Board</w:t>
      </w:r>
      <w:r>
        <w:rPr>
          <w:sz w:val="22"/>
        </w:rPr>
        <w:t>, the Court found that: “</w:t>
      </w:r>
      <w:r>
        <w:rPr>
          <w:i/>
          <w:sz w:val="22"/>
        </w:rPr>
        <w:t>Reasonably practicable is a narrower</w:t>
      </w:r>
      <w:r>
        <w:rPr>
          <w:i/>
          <w:spacing w:val="-3"/>
          <w:sz w:val="22"/>
        </w:rPr>
        <w:t> </w:t>
      </w:r>
      <w:r>
        <w:rPr>
          <w:i/>
          <w:sz w:val="22"/>
        </w:rPr>
        <w:t>term</w:t>
      </w:r>
      <w:r>
        <w:rPr>
          <w:i/>
          <w:spacing w:val="-5"/>
          <w:sz w:val="22"/>
        </w:rPr>
        <w:t> </w:t>
      </w:r>
      <w:r>
        <w:rPr>
          <w:i/>
          <w:sz w:val="22"/>
        </w:rPr>
        <w:t>than</w:t>
      </w:r>
      <w:r>
        <w:rPr>
          <w:i/>
          <w:spacing w:val="-2"/>
          <w:sz w:val="22"/>
        </w:rPr>
        <w:t> </w:t>
      </w:r>
      <w:r>
        <w:rPr>
          <w:i/>
          <w:sz w:val="22"/>
        </w:rPr>
        <w:t>‘physically</w:t>
      </w:r>
      <w:r>
        <w:rPr>
          <w:i/>
          <w:spacing w:val="-1"/>
          <w:sz w:val="22"/>
        </w:rPr>
        <w:t> </w:t>
      </w:r>
      <w:r>
        <w:rPr>
          <w:i/>
          <w:sz w:val="22"/>
        </w:rPr>
        <w:t>possible’</w:t>
      </w:r>
      <w:r>
        <w:rPr>
          <w:i/>
          <w:spacing w:val="-7"/>
          <w:sz w:val="22"/>
        </w:rPr>
        <w:t> </w:t>
      </w:r>
      <w:r>
        <w:rPr>
          <w:i/>
          <w:sz w:val="22"/>
        </w:rPr>
        <w:t>and</w:t>
      </w:r>
      <w:r>
        <w:rPr>
          <w:i/>
          <w:spacing w:val="-2"/>
          <w:sz w:val="22"/>
        </w:rPr>
        <w:t> </w:t>
      </w:r>
      <w:r>
        <w:rPr>
          <w:i/>
          <w:sz w:val="22"/>
        </w:rPr>
        <w:t>it</w:t>
      </w:r>
      <w:r>
        <w:rPr>
          <w:i/>
          <w:spacing w:val="-1"/>
          <w:sz w:val="22"/>
        </w:rPr>
        <w:t> </w:t>
      </w:r>
      <w:r>
        <w:rPr>
          <w:i/>
          <w:sz w:val="22"/>
        </w:rPr>
        <w:t>requires</w:t>
      </w:r>
      <w:r>
        <w:rPr>
          <w:i/>
          <w:spacing w:val="-2"/>
          <w:sz w:val="22"/>
        </w:rPr>
        <w:t> </w:t>
      </w:r>
      <w:r>
        <w:rPr>
          <w:i/>
          <w:sz w:val="22"/>
        </w:rPr>
        <w:t>an</w:t>
      </w:r>
      <w:r>
        <w:rPr>
          <w:i/>
          <w:spacing w:val="-2"/>
          <w:sz w:val="22"/>
        </w:rPr>
        <w:t> </w:t>
      </w:r>
      <w:r>
        <w:rPr>
          <w:i/>
          <w:sz w:val="22"/>
        </w:rPr>
        <w:t>assessment</w:t>
      </w:r>
      <w:r>
        <w:rPr>
          <w:i/>
          <w:spacing w:val="-3"/>
          <w:sz w:val="22"/>
        </w:rPr>
        <w:t> </w:t>
      </w:r>
      <w:r>
        <w:rPr>
          <w:i/>
          <w:sz w:val="22"/>
        </w:rPr>
        <w:t>of</w:t>
      </w:r>
      <w:r>
        <w:rPr>
          <w:i/>
          <w:spacing w:val="-3"/>
          <w:sz w:val="22"/>
        </w:rPr>
        <w:t> </w:t>
      </w:r>
      <w:r>
        <w:rPr>
          <w:i/>
          <w:sz w:val="22"/>
        </w:rPr>
        <w:t>risk</w:t>
      </w:r>
      <w:r>
        <w:rPr>
          <w:i/>
          <w:spacing w:val="-1"/>
          <w:sz w:val="22"/>
        </w:rPr>
        <w:t> </w:t>
      </w:r>
      <w:r>
        <w:rPr>
          <w:i/>
          <w:sz w:val="22"/>
        </w:rPr>
        <w:t>and</w:t>
      </w:r>
      <w:r>
        <w:rPr>
          <w:i/>
          <w:spacing w:val="-4"/>
          <w:sz w:val="22"/>
        </w:rPr>
        <w:t> </w:t>
      </w:r>
      <w:r>
        <w:rPr>
          <w:i/>
          <w:sz w:val="22"/>
        </w:rPr>
        <w:t>measures to avert the risk</w:t>
      </w:r>
      <w:r>
        <w:rPr>
          <w:sz w:val="22"/>
        </w:rPr>
        <w:t>”.</w:t>
      </w:r>
    </w:p>
    <w:p>
      <w:pPr>
        <w:pStyle w:val="BodyText"/>
        <w:spacing w:before="9"/>
        <w:rPr>
          <w:sz w:val="20"/>
        </w:rPr>
      </w:pPr>
    </w:p>
    <w:p>
      <w:pPr>
        <w:pStyle w:val="BodyText"/>
        <w:spacing w:line="288" w:lineRule="auto"/>
        <w:ind w:left="600" w:right="586"/>
      </w:pPr>
      <w:r>
        <w:rPr/>
        <w:t>A central question for the Review is what should constitute “reducing risks as far as reasonable practicable” in a leading practice system of safety regulation? While not dealing with electricity and gas network safety specifically, the 2008 National Review into Model Occupational</w:t>
      </w:r>
      <w:r>
        <w:rPr>
          <w:spacing w:val="-3"/>
        </w:rPr>
        <w:t> </w:t>
      </w:r>
      <w:r>
        <w:rPr/>
        <w:t>Health</w:t>
      </w:r>
      <w:r>
        <w:rPr>
          <w:spacing w:val="-2"/>
        </w:rPr>
        <w:t> </w:t>
      </w:r>
      <w:r>
        <w:rPr/>
        <w:t>and</w:t>
      </w:r>
      <w:r>
        <w:rPr>
          <w:spacing w:val="-4"/>
        </w:rPr>
        <w:t> </w:t>
      </w:r>
      <w:r>
        <w:rPr/>
        <w:t>Safety</w:t>
      </w:r>
      <w:r>
        <w:rPr>
          <w:spacing w:val="-3"/>
        </w:rPr>
        <w:t> </w:t>
      </w:r>
      <w:r>
        <w:rPr/>
        <w:t>Laws</w:t>
      </w:r>
      <w:r>
        <w:rPr>
          <w:spacing w:val="-1"/>
        </w:rPr>
        <w:t> </w:t>
      </w:r>
      <w:r>
        <w:rPr/>
        <w:t>considered</w:t>
      </w:r>
      <w:r>
        <w:rPr>
          <w:spacing w:val="-4"/>
        </w:rPr>
        <w:t> </w:t>
      </w:r>
      <w:r>
        <w:rPr/>
        <w:t>the</w:t>
      </w:r>
      <w:r>
        <w:rPr>
          <w:spacing w:val="-4"/>
        </w:rPr>
        <w:t> </w:t>
      </w:r>
      <w:r>
        <w:rPr/>
        <w:t>definition</w:t>
      </w:r>
      <w:r>
        <w:rPr>
          <w:spacing w:val="-2"/>
        </w:rPr>
        <w:t> </w:t>
      </w:r>
      <w:r>
        <w:rPr/>
        <w:t>of “reasonably</w:t>
      </w:r>
      <w:r>
        <w:rPr>
          <w:spacing w:val="-4"/>
        </w:rPr>
        <w:t> </w:t>
      </w:r>
      <w:r>
        <w:rPr/>
        <w:t>practicable”</w:t>
      </w:r>
      <w:r>
        <w:rPr>
          <w:spacing w:val="-3"/>
        </w:rPr>
        <w:t> </w:t>
      </w:r>
      <w:r>
        <w:rPr/>
        <w:t>to support general safety duties and proposed the following:</w:t>
      </w:r>
    </w:p>
    <w:p>
      <w:pPr>
        <w:pStyle w:val="BodyText"/>
        <w:spacing w:before="1"/>
        <w:rPr>
          <w:sz w:val="21"/>
        </w:rPr>
      </w:pPr>
    </w:p>
    <w:p>
      <w:pPr>
        <w:spacing w:line="288" w:lineRule="auto" w:before="0"/>
        <w:ind w:left="1166" w:right="1369" w:firstLine="0"/>
        <w:jc w:val="left"/>
        <w:rPr>
          <w:i/>
          <w:sz w:val="22"/>
        </w:rPr>
      </w:pPr>
      <w:r>
        <w:rPr>
          <w:rFonts w:ascii="Arial-BoldItalicMT" w:hAnsi="Arial-BoldItalicMT"/>
          <w:b/>
          <w:i/>
          <w:sz w:val="22"/>
        </w:rPr>
        <w:t>“Reasonably practicable </w:t>
      </w:r>
      <w:r>
        <w:rPr>
          <w:i/>
          <w:sz w:val="22"/>
        </w:rPr>
        <w:t>means (except in relation to obligations for consultation)</w:t>
      </w:r>
      <w:r>
        <w:rPr>
          <w:i/>
          <w:spacing w:val="-3"/>
          <w:sz w:val="22"/>
        </w:rPr>
        <w:t> </w:t>
      </w:r>
      <w:r>
        <w:rPr>
          <w:i/>
          <w:sz w:val="22"/>
        </w:rPr>
        <w:t>that</w:t>
      </w:r>
      <w:r>
        <w:rPr>
          <w:i/>
          <w:spacing w:val="-3"/>
          <w:sz w:val="22"/>
        </w:rPr>
        <w:t> </w:t>
      </w:r>
      <w:r>
        <w:rPr>
          <w:i/>
          <w:sz w:val="22"/>
        </w:rPr>
        <w:t>which</w:t>
      </w:r>
      <w:r>
        <w:rPr>
          <w:i/>
          <w:spacing w:val="-4"/>
          <w:sz w:val="22"/>
        </w:rPr>
        <w:t> </w:t>
      </w:r>
      <w:r>
        <w:rPr>
          <w:i/>
          <w:sz w:val="22"/>
        </w:rPr>
        <w:t>is, or</w:t>
      </w:r>
      <w:r>
        <w:rPr>
          <w:i/>
          <w:spacing w:val="-3"/>
          <w:sz w:val="22"/>
        </w:rPr>
        <w:t> </w:t>
      </w:r>
      <w:r>
        <w:rPr>
          <w:i/>
          <w:sz w:val="22"/>
        </w:rPr>
        <w:t>was</w:t>
      </w:r>
      <w:r>
        <w:rPr>
          <w:i/>
          <w:spacing w:val="-4"/>
          <w:sz w:val="22"/>
        </w:rPr>
        <w:t> </w:t>
      </w:r>
      <w:r>
        <w:rPr>
          <w:i/>
          <w:sz w:val="22"/>
        </w:rPr>
        <w:t>at</w:t>
      </w:r>
      <w:r>
        <w:rPr>
          <w:i/>
          <w:spacing w:val="-3"/>
          <w:sz w:val="22"/>
        </w:rPr>
        <w:t> </w:t>
      </w:r>
      <w:r>
        <w:rPr>
          <w:i/>
          <w:sz w:val="22"/>
        </w:rPr>
        <w:t>a</w:t>
      </w:r>
      <w:r>
        <w:rPr>
          <w:i/>
          <w:spacing w:val="-2"/>
          <w:sz w:val="22"/>
        </w:rPr>
        <w:t> </w:t>
      </w:r>
      <w:r>
        <w:rPr>
          <w:i/>
          <w:sz w:val="22"/>
        </w:rPr>
        <w:t>particular</w:t>
      </w:r>
      <w:r>
        <w:rPr>
          <w:i/>
          <w:spacing w:val="-3"/>
          <w:sz w:val="22"/>
        </w:rPr>
        <w:t> </w:t>
      </w:r>
      <w:r>
        <w:rPr>
          <w:i/>
          <w:sz w:val="22"/>
        </w:rPr>
        <w:t>time,</w:t>
      </w:r>
      <w:r>
        <w:rPr>
          <w:i/>
          <w:spacing w:val="-3"/>
          <w:sz w:val="22"/>
        </w:rPr>
        <w:t> </w:t>
      </w:r>
      <w:r>
        <w:rPr>
          <w:i/>
          <w:sz w:val="22"/>
        </w:rPr>
        <w:t>reasonably</w:t>
      </w:r>
      <w:r>
        <w:rPr>
          <w:i/>
          <w:spacing w:val="-4"/>
          <w:sz w:val="22"/>
        </w:rPr>
        <w:t> </w:t>
      </w:r>
      <w:r>
        <w:rPr>
          <w:i/>
          <w:sz w:val="22"/>
        </w:rPr>
        <w:t>able</w:t>
      </w:r>
      <w:r>
        <w:rPr>
          <w:i/>
          <w:spacing w:val="-4"/>
          <w:sz w:val="22"/>
        </w:rPr>
        <w:t> </w:t>
      </w:r>
      <w:r>
        <w:rPr>
          <w:i/>
          <w:sz w:val="22"/>
        </w:rPr>
        <w:t>to</w:t>
      </w:r>
      <w:r>
        <w:rPr>
          <w:i/>
          <w:spacing w:val="-2"/>
          <w:sz w:val="22"/>
        </w:rPr>
        <w:t> </w:t>
      </w:r>
      <w:r>
        <w:rPr>
          <w:i/>
          <w:sz w:val="22"/>
        </w:rPr>
        <w:t>be</w:t>
      </w:r>
    </w:p>
    <w:p>
      <w:pPr>
        <w:spacing w:after="0" w:line="288" w:lineRule="auto"/>
        <w:jc w:val="left"/>
        <w:rPr>
          <w:sz w:val="22"/>
        </w:rPr>
        <w:sectPr>
          <w:pgSz w:w="11910" w:h="16840"/>
          <w:pgMar w:header="887" w:footer="1286" w:top="1080" w:bottom="1500" w:left="840" w:right="820"/>
        </w:sectPr>
      </w:pPr>
    </w:p>
    <w:p>
      <w:pPr>
        <w:pStyle w:val="BodyText"/>
        <w:rPr>
          <w:i/>
          <w:sz w:val="20"/>
        </w:rPr>
      </w:pPr>
    </w:p>
    <w:p>
      <w:pPr>
        <w:pStyle w:val="BodyText"/>
        <w:rPr>
          <w:i/>
          <w:sz w:val="20"/>
        </w:rPr>
      </w:pPr>
    </w:p>
    <w:p>
      <w:pPr>
        <w:pStyle w:val="BodyText"/>
        <w:spacing w:before="5"/>
        <w:rPr>
          <w:i/>
        </w:rPr>
      </w:pPr>
    </w:p>
    <w:p>
      <w:pPr>
        <w:spacing w:line="288" w:lineRule="auto" w:before="0"/>
        <w:ind w:left="1166" w:right="1369" w:firstLine="0"/>
        <w:jc w:val="left"/>
        <w:rPr>
          <w:i/>
          <w:sz w:val="22"/>
        </w:rPr>
      </w:pPr>
      <w:r>
        <w:rPr>
          <w:i/>
          <w:sz w:val="22"/>
        </w:rPr>
        <w:t>done</w:t>
      </w:r>
      <w:r>
        <w:rPr>
          <w:i/>
          <w:spacing w:val="-3"/>
          <w:sz w:val="22"/>
        </w:rPr>
        <w:t> </w:t>
      </w:r>
      <w:r>
        <w:rPr>
          <w:i/>
          <w:sz w:val="22"/>
        </w:rPr>
        <w:t>in</w:t>
      </w:r>
      <w:r>
        <w:rPr>
          <w:i/>
          <w:spacing w:val="-3"/>
          <w:sz w:val="22"/>
        </w:rPr>
        <w:t> </w:t>
      </w:r>
      <w:r>
        <w:rPr>
          <w:i/>
          <w:sz w:val="22"/>
        </w:rPr>
        <w:t>relation</w:t>
      </w:r>
      <w:r>
        <w:rPr>
          <w:i/>
          <w:spacing w:val="-5"/>
          <w:sz w:val="22"/>
        </w:rPr>
        <w:t> </w:t>
      </w:r>
      <w:r>
        <w:rPr>
          <w:i/>
          <w:sz w:val="22"/>
        </w:rPr>
        <w:t>to</w:t>
      </w:r>
      <w:r>
        <w:rPr>
          <w:i/>
          <w:spacing w:val="-5"/>
          <w:sz w:val="22"/>
        </w:rPr>
        <w:t> </w:t>
      </w:r>
      <w:r>
        <w:rPr>
          <w:i/>
          <w:sz w:val="22"/>
        </w:rPr>
        <w:t>ensuring</w:t>
      </w:r>
      <w:r>
        <w:rPr>
          <w:i/>
          <w:spacing w:val="-2"/>
          <w:sz w:val="22"/>
        </w:rPr>
        <w:t> </w:t>
      </w:r>
      <w:r>
        <w:rPr>
          <w:i/>
          <w:sz w:val="22"/>
        </w:rPr>
        <w:t>health</w:t>
      </w:r>
      <w:r>
        <w:rPr>
          <w:i/>
          <w:spacing w:val="-3"/>
          <w:sz w:val="22"/>
        </w:rPr>
        <w:t> </w:t>
      </w:r>
      <w:r>
        <w:rPr>
          <w:i/>
          <w:sz w:val="22"/>
        </w:rPr>
        <w:t>and</w:t>
      </w:r>
      <w:r>
        <w:rPr>
          <w:i/>
          <w:spacing w:val="-5"/>
          <w:sz w:val="22"/>
        </w:rPr>
        <w:t> </w:t>
      </w:r>
      <w:r>
        <w:rPr>
          <w:i/>
          <w:sz w:val="22"/>
        </w:rPr>
        <w:t>safety,</w:t>
      </w:r>
      <w:r>
        <w:rPr>
          <w:i/>
          <w:spacing w:val="-4"/>
          <w:sz w:val="22"/>
        </w:rPr>
        <w:t> </w:t>
      </w:r>
      <w:r>
        <w:rPr>
          <w:i/>
          <w:sz w:val="22"/>
        </w:rPr>
        <w:t>taking</w:t>
      </w:r>
      <w:r>
        <w:rPr>
          <w:i/>
          <w:spacing w:val="-3"/>
          <w:sz w:val="22"/>
        </w:rPr>
        <w:t> </w:t>
      </w:r>
      <w:r>
        <w:rPr>
          <w:i/>
          <w:sz w:val="22"/>
        </w:rPr>
        <w:t>into</w:t>
      </w:r>
      <w:r>
        <w:rPr>
          <w:i/>
          <w:spacing w:val="-2"/>
          <w:sz w:val="22"/>
        </w:rPr>
        <w:t> </w:t>
      </w:r>
      <w:r>
        <w:rPr>
          <w:i/>
          <w:sz w:val="22"/>
        </w:rPr>
        <w:t>account</w:t>
      </w:r>
      <w:r>
        <w:rPr>
          <w:i/>
          <w:spacing w:val="-4"/>
          <w:sz w:val="22"/>
        </w:rPr>
        <w:t> </w:t>
      </w:r>
      <w:r>
        <w:rPr>
          <w:i/>
          <w:sz w:val="22"/>
        </w:rPr>
        <w:t>and</w:t>
      </w:r>
      <w:r>
        <w:rPr>
          <w:i/>
          <w:spacing w:val="-5"/>
          <w:sz w:val="22"/>
        </w:rPr>
        <w:t> </w:t>
      </w:r>
      <w:r>
        <w:rPr>
          <w:i/>
          <w:sz w:val="22"/>
        </w:rPr>
        <w:t>weighing up all relevant matters including:</w:t>
      </w:r>
    </w:p>
    <w:p>
      <w:pPr>
        <w:pStyle w:val="BodyText"/>
        <w:spacing w:before="10"/>
        <w:rPr>
          <w:i/>
          <w:sz w:val="20"/>
        </w:rPr>
      </w:pPr>
    </w:p>
    <w:p>
      <w:pPr>
        <w:pStyle w:val="ListParagraph"/>
        <w:numPr>
          <w:ilvl w:val="0"/>
          <w:numId w:val="27"/>
        </w:numPr>
        <w:tabs>
          <w:tab w:pos="1522" w:val="left" w:leader="none"/>
        </w:tabs>
        <w:spacing w:line="240" w:lineRule="auto" w:before="0" w:after="0"/>
        <w:ind w:left="1522" w:right="0" w:hanging="358"/>
        <w:jc w:val="left"/>
        <w:rPr>
          <w:i/>
          <w:sz w:val="22"/>
        </w:rPr>
      </w:pPr>
      <w:r>
        <w:rPr>
          <w:i/>
          <w:sz w:val="22"/>
        </w:rPr>
        <w:t>the</w:t>
      </w:r>
      <w:r>
        <w:rPr>
          <w:i/>
          <w:spacing w:val="-7"/>
          <w:sz w:val="22"/>
        </w:rPr>
        <w:t> </w:t>
      </w:r>
      <w:r>
        <w:rPr>
          <w:i/>
          <w:sz w:val="22"/>
        </w:rPr>
        <w:t>likelihood</w:t>
      </w:r>
      <w:r>
        <w:rPr>
          <w:i/>
          <w:spacing w:val="-5"/>
          <w:sz w:val="22"/>
        </w:rPr>
        <w:t> </w:t>
      </w:r>
      <w:r>
        <w:rPr>
          <w:i/>
          <w:sz w:val="22"/>
        </w:rPr>
        <w:t>of</w:t>
      </w:r>
      <w:r>
        <w:rPr>
          <w:i/>
          <w:spacing w:val="-5"/>
          <w:sz w:val="22"/>
        </w:rPr>
        <w:t> </w:t>
      </w:r>
      <w:r>
        <w:rPr>
          <w:i/>
          <w:sz w:val="22"/>
        </w:rPr>
        <w:t>the</w:t>
      </w:r>
      <w:r>
        <w:rPr>
          <w:i/>
          <w:spacing w:val="-7"/>
          <w:sz w:val="22"/>
        </w:rPr>
        <w:t> </w:t>
      </w:r>
      <w:r>
        <w:rPr>
          <w:i/>
          <w:sz w:val="22"/>
        </w:rPr>
        <w:t>hazard</w:t>
      </w:r>
      <w:r>
        <w:rPr>
          <w:i/>
          <w:spacing w:val="-4"/>
          <w:sz w:val="22"/>
        </w:rPr>
        <w:t> </w:t>
      </w:r>
      <w:r>
        <w:rPr>
          <w:i/>
          <w:sz w:val="22"/>
        </w:rPr>
        <w:t>or</w:t>
      </w:r>
      <w:r>
        <w:rPr>
          <w:i/>
          <w:spacing w:val="-6"/>
          <w:sz w:val="22"/>
        </w:rPr>
        <w:t> </w:t>
      </w:r>
      <w:r>
        <w:rPr>
          <w:i/>
          <w:sz w:val="22"/>
        </w:rPr>
        <w:t>the</w:t>
      </w:r>
      <w:r>
        <w:rPr>
          <w:i/>
          <w:spacing w:val="-6"/>
          <w:sz w:val="22"/>
        </w:rPr>
        <w:t> </w:t>
      </w:r>
      <w:r>
        <w:rPr>
          <w:i/>
          <w:sz w:val="22"/>
        </w:rPr>
        <w:t>risk</w:t>
      </w:r>
      <w:r>
        <w:rPr>
          <w:i/>
          <w:spacing w:val="-4"/>
          <w:sz w:val="22"/>
        </w:rPr>
        <w:t> </w:t>
      </w:r>
      <w:r>
        <w:rPr>
          <w:i/>
          <w:sz w:val="22"/>
        </w:rPr>
        <w:t>concerned</w:t>
      </w:r>
      <w:r>
        <w:rPr>
          <w:i/>
          <w:spacing w:val="-8"/>
          <w:sz w:val="22"/>
        </w:rPr>
        <w:t> </w:t>
      </w:r>
      <w:r>
        <w:rPr>
          <w:i/>
          <w:sz w:val="22"/>
        </w:rPr>
        <w:t>occurring;</w:t>
      </w:r>
      <w:r>
        <w:rPr>
          <w:i/>
          <w:spacing w:val="-5"/>
          <w:sz w:val="22"/>
        </w:rPr>
        <w:t> and</w:t>
      </w:r>
    </w:p>
    <w:p>
      <w:pPr>
        <w:pStyle w:val="ListParagraph"/>
        <w:numPr>
          <w:ilvl w:val="0"/>
          <w:numId w:val="27"/>
        </w:numPr>
        <w:tabs>
          <w:tab w:pos="1522" w:val="left" w:leader="none"/>
        </w:tabs>
        <w:spacing w:line="240" w:lineRule="auto" w:before="52" w:after="0"/>
        <w:ind w:left="1522" w:right="0" w:hanging="358"/>
        <w:jc w:val="left"/>
        <w:rPr>
          <w:i/>
          <w:sz w:val="22"/>
        </w:rPr>
      </w:pPr>
      <w:r>
        <w:rPr>
          <w:i/>
          <w:sz w:val="22"/>
        </w:rPr>
        <w:t>the</w:t>
      </w:r>
      <w:r>
        <w:rPr>
          <w:i/>
          <w:spacing w:val="-6"/>
          <w:sz w:val="22"/>
        </w:rPr>
        <w:t> </w:t>
      </w:r>
      <w:r>
        <w:rPr>
          <w:i/>
          <w:sz w:val="22"/>
        </w:rPr>
        <w:t>degree</w:t>
      </w:r>
      <w:r>
        <w:rPr>
          <w:i/>
          <w:spacing w:val="-3"/>
          <w:sz w:val="22"/>
        </w:rPr>
        <w:t> </w:t>
      </w:r>
      <w:r>
        <w:rPr>
          <w:i/>
          <w:sz w:val="22"/>
        </w:rPr>
        <w:t>of</w:t>
      </w:r>
      <w:r>
        <w:rPr>
          <w:i/>
          <w:spacing w:val="-2"/>
          <w:sz w:val="22"/>
        </w:rPr>
        <w:t> </w:t>
      </w:r>
      <w:r>
        <w:rPr>
          <w:i/>
          <w:sz w:val="22"/>
        </w:rPr>
        <w:t>harm</w:t>
      </w:r>
      <w:r>
        <w:rPr>
          <w:i/>
          <w:spacing w:val="-4"/>
          <w:sz w:val="22"/>
        </w:rPr>
        <w:t> </w:t>
      </w:r>
      <w:r>
        <w:rPr>
          <w:i/>
          <w:sz w:val="22"/>
        </w:rPr>
        <w:t>that</w:t>
      </w:r>
      <w:r>
        <w:rPr>
          <w:i/>
          <w:spacing w:val="-6"/>
          <w:sz w:val="22"/>
        </w:rPr>
        <w:t> </w:t>
      </w:r>
      <w:r>
        <w:rPr>
          <w:i/>
          <w:sz w:val="22"/>
        </w:rPr>
        <w:t>might</w:t>
      </w:r>
      <w:r>
        <w:rPr>
          <w:i/>
          <w:spacing w:val="-4"/>
          <w:sz w:val="22"/>
        </w:rPr>
        <w:t> </w:t>
      </w:r>
      <w:r>
        <w:rPr>
          <w:i/>
          <w:sz w:val="22"/>
        </w:rPr>
        <w:t>result</w:t>
      </w:r>
      <w:r>
        <w:rPr>
          <w:i/>
          <w:spacing w:val="-5"/>
          <w:sz w:val="22"/>
        </w:rPr>
        <w:t> </w:t>
      </w:r>
      <w:r>
        <w:rPr>
          <w:i/>
          <w:sz w:val="22"/>
        </w:rPr>
        <w:t>from</w:t>
      </w:r>
      <w:r>
        <w:rPr>
          <w:i/>
          <w:spacing w:val="-4"/>
          <w:sz w:val="22"/>
        </w:rPr>
        <w:t> </w:t>
      </w:r>
      <w:r>
        <w:rPr>
          <w:i/>
          <w:sz w:val="22"/>
        </w:rPr>
        <w:t>the</w:t>
      </w:r>
      <w:r>
        <w:rPr>
          <w:i/>
          <w:spacing w:val="-5"/>
          <w:sz w:val="22"/>
        </w:rPr>
        <w:t> </w:t>
      </w:r>
      <w:r>
        <w:rPr>
          <w:i/>
          <w:sz w:val="22"/>
        </w:rPr>
        <w:t>hazard</w:t>
      </w:r>
      <w:r>
        <w:rPr>
          <w:i/>
          <w:spacing w:val="-3"/>
          <w:sz w:val="22"/>
        </w:rPr>
        <w:t> </w:t>
      </w:r>
      <w:r>
        <w:rPr>
          <w:i/>
          <w:sz w:val="22"/>
        </w:rPr>
        <w:t>or</w:t>
      </w:r>
      <w:r>
        <w:rPr>
          <w:i/>
          <w:spacing w:val="-4"/>
          <w:sz w:val="22"/>
        </w:rPr>
        <w:t> </w:t>
      </w:r>
      <w:r>
        <w:rPr>
          <w:i/>
          <w:sz w:val="22"/>
        </w:rPr>
        <w:t>the</w:t>
      </w:r>
      <w:r>
        <w:rPr>
          <w:i/>
          <w:spacing w:val="-5"/>
          <w:sz w:val="22"/>
        </w:rPr>
        <w:t> </w:t>
      </w:r>
      <w:r>
        <w:rPr>
          <w:i/>
          <w:sz w:val="22"/>
        </w:rPr>
        <w:t>risk;</w:t>
      </w:r>
      <w:r>
        <w:rPr>
          <w:i/>
          <w:spacing w:val="-4"/>
          <w:sz w:val="22"/>
        </w:rPr>
        <w:t> </w:t>
      </w:r>
      <w:r>
        <w:rPr>
          <w:i/>
          <w:spacing w:val="-5"/>
          <w:sz w:val="22"/>
        </w:rPr>
        <w:t>and</w:t>
      </w:r>
    </w:p>
    <w:p>
      <w:pPr>
        <w:pStyle w:val="ListParagraph"/>
        <w:numPr>
          <w:ilvl w:val="0"/>
          <w:numId w:val="27"/>
        </w:numPr>
        <w:tabs>
          <w:tab w:pos="1523" w:val="left" w:leader="none"/>
        </w:tabs>
        <w:spacing w:line="240" w:lineRule="auto" w:before="49" w:after="0"/>
        <w:ind w:left="1523" w:right="0" w:hanging="359"/>
        <w:jc w:val="left"/>
        <w:rPr>
          <w:i/>
          <w:sz w:val="22"/>
        </w:rPr>
      </w:pPr>
      <w:r>
        <w:rPr>
          <w:i/>
          <w:sz w:val="22"/>
        </w:rPr>
        <w:t>what</w:t>
      </w:r>
      <w:r>
        <w:rPr>
          <w:i/>
          <w:spacing w:val="-6"/>
          <w:sz w:val="22"/>
        </w:rPr>
        <w:t> </w:t>
      </w:r>
      <w:r>
        <w:rPr>
          <w:i/>
          <w:sz w:val="22"/>
        </w:rPr>
        <w:t>the</w:t>
      </w:r>
      <w:r>
        <w:rPr>
          <w:i/>
          <w:spacing w:val="-7"/>
          <w:sz w:val="22"/>
        </w:rPr>
        <w:t> </w:t>
      </w:r>
      <w:r>
        <w:rPr>
          <w:i/>
          <w:sz w:val="22"/>
        </w:rPr>
        <w:t>person</w:t>
      </w:r>
      <w:r>
        <w:rPr>
          <w:i/>
          <w:spacing w:val="-5"/>
          <w:sz w:val="22"/>
        </w:rPr>
        <w:t> </w:t>
      </w:r>
      <w:r>
        <w:rPr>
          <w:i/>
          <w:sz w:val="22"/>
        </w:rPr>
        <w:t>concerned</w:t>
      </w:r>
      <w:r>
        <w:rPr>
          <w:i/>
          <w:spacing w:val="-5"/>
          <w:sz w:val="22"/>
        </w:rPr>
        <w:t> </w:t>
      </w:r>
      <w:r>
        <w:rPr>
          <w:i/>
          <w:sz w:val="22"/>
        </w:rPr>
        <w:t>knows,</w:t>
      </w:r>
      <w:r>
        <w:rPr>
          <w:i/>
          <w:spacing w:val="-6"/>
          <w:sz w:val="22"/>
        </w:rPr>
        <w:t> </w:t>
      </w:r>
      <w:r>
        <w:rPr>
          <w:i/>
          <w:sz w:val="22"/>
        </w:rPr>
        <w:t>or</w:t>
      </w:r>
      <w:r>
        <w:rPr>
          <w:i/>
          <w:spacing w:val="-6"/>
          <w:sz w:val="22"/>
        </w:rPr>
        <w:t> </w:t>
      </w:r>
      <w:r>
        <w:rPr>
          <w:i/>
          <w:sz w:val="22"/>
        </w:rPr>
        <w:t>ought</w:t>
      </w:r>
      <w:r>
        <w:rPr>
          <w:i/>
          <w:spacing w:val="-6"/>
          <w:sz w:val="22"/>
        </w:rPr>
        <w:t> </w:t>
      </w:r>
      <w:r>
        <w:rPr>
          <w:i/>
          <w:sz w:val="22"/>
        </w:rPr>
        <w:t>reasonably</w:t>
      </w:r>
      <w:r>
        <w:rPr>
          <w:i/>
          <w:spacing w:val="-4"/>
          <w:sz w:val="22"/>
        </w:rPr>
        <w:t> </w:t>
      </w:r>
      <w:r>
        <w:rPr>
          <w:i/>
          <w:sz w:val="22"/>
        </w:rPr>
        <w:t>to</w:t>
      </w:r>
      <w:r>
        <w:rPr>
          <w:i/>
          <w:spacing w:val="-7"/>
          <w:sz w:val="22"/>
        </w:rPr>
        <w:t> </w:t>
      </w:r>
      <w:r>
        <w:rPr>
          <w:i/>
          <w:sz w:val="22"/>
        </w:rPr>
        <w:t>know,</w:t>
      </w:r>
      <w:r>
        <w:rPr>
          <w:i/>
          <w:spacing w:val="-5"/>
          <w:sz w:val="22"/>
        </w:rPr>
        <w:t> </w:t>
      </w:r>
      <w:r>
        <w:rPr>
          <w:i/>
          <w:spacing w:val="-2"/>
          <w:sz w:val="22"/>
        </w:rPr>
        <w:t>about:</w:t>
      </w:r>
    </w:p>
    <w:p>
      <w:pPr>
        <w:pStyle w:val="ListParagraph"/>
        <w:numPr>
          <w:ilvl w:val="1"/>
          <w:numId w:val="27"/>
        </w:numPr>
        <w:tabs>
          <w:tab w:pos="1778" w:val="left" w:leader="none"/>
        </w:tabs>
        <w:spacing w:line="240" w:lineRule="auto" w:before="52" w:after="0"/>
        <w:ind w:left="1778" w:right="0" w:hanging="254"/>
        <w:jc w:val="left"/>
        <w:rPr>
          <w:i/>
          <w:sz w:val="22"/>
        </w:rPr>
      </w:pPr>
      <w:r>
        <w:rPr>
          <w:i/>
          <w:sz w:val="22"/>
        </w:rPr>
        <w:t>the</w:t>
      </w:r>
      <w:r>
        <w:rPr>
          <w:i/>
          <w:spacing w:val="-3"/>
          <w:sz w:val="22"/>
        </w:rPr>
        <w:t> </w:t>
      </w:r>
      <w:r>
        <w:rPr>
          <w:i/>
          <w:sz w:val="22"/>
        </w:rPr>
        <w:t>hazard</w:t>
      </w:r>
      <w:r>
        <w:rPr>
          <w:i/>
          <w:spacing w:val="-2"/>
          <w:sz w:val="22"/>
        </w:rPr>
        <w:t> </w:t>
      </w:r>
      <w:r>
        <w:rPr>
          <w:i/>
          <w:sz w:val="22"/>
        </w:rPr>
        <w:t>or</w:t>
      </w:r>
      <w:r>
        <w:rPr>
          <w:i/>
          <w:spacing w:val="-4"/>
          <w:sz w:val="22"/>
        </w:rPr>
        <w:t> </w:t>
      </w:r>
      <w:r>
        <w:rPr>
          <w:i/>
          <w:sz w:val="22"/>
        </w:rPr>
        <w:t>the</w:t>
      </w:r>
      <w:r>
        <w:rPr>
          <w:i/>
          <w:spacing w:val="-5"/>
          <w:sz w:val="22"/>
        </w:rPr>
        <w:t> </w:t>
      </w:r>
      <w:r>
        <w:rPr>
          <w:i/>
          <w:sz w:val="22"/>
        </w:rPr>
        <w:t>risk;</w:t>
      </w:r>
      <w:r>
        <w:rPr>
          <w:i/>
          <w:spacing w:val="-5"/>
          <w:sz w:val="22"/>
        </w:rPr>
        <w:t> and</w:t>
      </w:r>
    </w:p>
    <w:p>
      <w:pPr>
        <w:pStyle w:val="ListParagraph"/>
        <w:numPr>
          <w:ilvl w:val="1"/>
          <w:numId w:val="27"/>
        </w:numPr>
        <w:tabs>
          <w:tab w:pos="1825" w:val="left" w:leader="none"/>
        </w:tabs>
        <w:spacing w:line="240" w:lineRule="auto" w:before="49" w:after="0"/>
        <w:ind w:left="1825" w:right="0" w:hanging="301"/>
        <w:jc w:val="left"/>
        <w:rPr>
          <w:i/>
          <w:sz w:val="22"/>
        </w:rPr>
      </w:pPr>
      <w:r>
        <w:rPr>
          <w:i/>
          <w:sz w:val="22"/>
        </w:rPr>
        <w:t>ways</w:t>
      </w:r>
      <w:r>
        <w:rPr>
          <w:i/>
          <w:spacing w:val="-5"/>
          <w:sz w:val="22"/>
        </w:rPr>
        <w:t> </w:t>
      </w:r>
      <w:r>
        <w:rPr>
          <w:i/>
          <w:sz w:val="22"/>
        </w:rPr>
        <w:t>of</w:t>
      </w:r>
      <w:r>
        <w:rPr>
          <w:i/>
          <w:spacing w:val="-3"/>
          <w:sz w:val="22"/>
        </w:rPr>
        <w:t> </w:t>
      </w:r>
      <w:r>
        <w:rPr>
          <w:i/>
          <w:sz w:val="22"/>
        </w:rPr>
        <w:t>eliminating</w:t>
      </w:r>
      <w:r>
        <w:rPr>
          <w:i/>
          <w:spacing w:val="-4"/>
          <w:sz w:val="22"/>
        </w:rPr>
        <w:t> </w:t>
      </w:r>
      <w:r>
        <w:rPr>
          <w:i/>
          <w:sz w:val="22"/>
        </w:rPr>
        <w:t>or</w:t>
      </w:r>
      <w:r>
        <w:rPr>
          <w:i/>
          <w:spacing w:val="-5"/>
          <w:sz w:val="22"/>
        </w:rPr>
        <w:t> </w:t>
      </w:r>
      <w:r>
        <w:rPr>
          <w:i/>
          <w:sz w:val="22"/>
        </w:rPr>
        <w:t>minimising</w:t>
      </w:r>
      <w:r>
        <w:rPr>
          <w:i/>
          <w:spacing w:val="-7"/>
          <w:sz w:val="22"/>
        </w:rPr>
        <w:t> </w:t>
      </w:r>
      <w:r>
        <w:rPr>
          <w:i/>
          <w:sz w:val="22"/>
        </w:rPr>
        <w:t>the</w:t>
      </w:r>
      <w:r>
        <w:rPr>
          <w:i/>
          <w:spacing w:val="-6"/>
          <w:sz w:val="22"/>
        </w:rPr>
        <w:t> </w:t>
      </w:r>
      <w:r>
        <w:rPr>
          <w:i/>
          <w:sz w:val="22"/>
        </w:rPr>
        <w:t>risk;</w:t>
      </w:r>
      <w:r>
        <w:rPr>
          <w:i/>
          <w:spacing w:val="-5"/>
          <w:sz w:val="22"/>
        </w:rPr>
        <w:t> and</w:t>
      </w:r>
    </w:p>
    <w:p>
      <w:pPr>
        <w:pStyle w:val="ListParagraph"/>
        <w:numPr>
          <w:ilvl w:val="0"/>
          <w:numId w:val="27"/>
        </w:numPr>
        <w:tabs>
          <w:tab w:pos="1522" w:val="left" w:leader="none"/>
        </w:tabs>
        <w:spacing w:line="240" w:lineRule="auto" w:before="52" w:after="0"/>
        <w:ind w:left="1522" w:right="0" w:hanging="358"/>
        <w:jc w:val="left"/>
        <w:rPr>
          <w:i/>
          <w:sz w:val="22"/>
        </w:rPr>
      </w:pPr>
      <w:r>
        <w:rPr>
          <w:i/>
          <w:sz w:val="22"/>
        </w:rPr>
        <w:t>the</w:t>
      </w:r>
      <w:r>
        <w:rPr>
          <w:i/>
          <w:spacing w:val="-7"/>
          <w:sz w:val="22"/>
        </w:rPr>
        <w:t> </w:t>
      </w:r>
      <w:r>
        <w:rPr>
          <w:i/>
          <w:sz w:val="22"/>
        </w:rPr>
        <w:t>availability</w:t>
      </w:r>
      <w:r>
        <w:rPr>
          <w:i/>
          <w:spacing w:val="-3"/>
          <w:sz w:val="22"/>
        </w:rPr>
        <w:t> </w:t>
      </w:r>
      <w:r>
        <w:rPr>
          <w:i/>
          <w:sz w:val="22"/>
        </w:rPr>
        <w:t>and</w:t>
      </w:r>
      <w:r>
        <w:rPr>
          <w:i/>
          <w:spacing w:val="-4"/>
          <w:sz w:val="22"/>
        </w:rPr>
        <w:t> </w:t>
      </w:r>
      <w:r>
        <w:rPr>
          <w:i/>
          <w:sz w:val="22"/>
        </w:rPr>
        <w:t>suitability</w:t>
      </w:r>
      <w:r>
        <w:rPr>
          <w:i/>
          <w:spacing w:val="-3"/>
          <w:sz w:val="22"/>
        </w:rPr>
        <w:t> </w:t>
      </w:r>
      <w:r>
        <w:rPr>
          <w:i/>
          <w:sz w:val="22"/>
        </w:rPr>
        <w:t>of</w:t>
      </w:r>
      <w:r>
        <w:rPr>
          <w:i/>
          <w:spacing w:val="-5"/>
          <w:sz w:val="22"/>
        </w:rPr>
        <w:t> </w:t>
      </w:r>
      <w:r>
        <w:rPr>
          <w:i/>
          <w:sz w:val="22"/>
        </w:rPr>
        <w:t>ways</w:t>
      </w:r>
      <w:r>
        <w:rPr>
          <w:i/>
          <w:spacing w:val="-6"/>
          <w:sz w:val="22"/>
        </w:rPr>
        <w:t> </w:t>
      </w:r>
      <w:r>
        <w:rPr>
          <w:i/>
          <w:sz w:val="22"/>
        </w:rPr>
        <w:t>to</w:t>
      </w:r>
      <w:r>
        <w:rPr>
          <w:i/>
          <w:spacing w:val="-6"/>
          <w:sz w:val="22"/>
        </w:rPr>
        <w:t> </w:t>
      </w:r>
      <w:r>
        <w:rPr>
          <w:i/>
          <w:sz w:val="22"/>
        </w:rPr>
        <w:t>eliminate</w:t>
      </w:r>
      <w:r>
        <w:rPr>
          <w:i/>
          <w:spacing w:val="-6"/>
          <w:sz w:val="22"/>
        </w:rPr>
        <w:t> </w:t>
      </w:r>
      <w:r>
        <w:rPr>
          <w:i/>
          <w:sz w:val="22"/>
        </w:rPr>
        <w:t>or</w:t>
      </w:r>
      <w:r>
        <w:rPr>
          <w:i/>
          <w:spacing w:val="-5"/>
          <w:sz w:val="22"/>
        </w:rPr>
        <w:t> </w:t>
      </w:r>
      <w:r>
        <w:rPr>
          <w:i/>
          <w:sz w:val="22"/>
        </w:rPr>
        <w:t>minimise</w:t>
      </w:r>
      <w:r>
        <w:rPr>
          <w:i/>
          <w:spacing w:val="-6"/>
          <w:sz w:val="22"/>
        </w:rPr>
        <w:t> </w:t>
      </w:r>
      <w:r>
        <w:rPr>
          <w:i/>
          <w:sz w:val="22"/>
        </w:rPr>
        <w:t>the</w:t>
      </w:r>
      <w:r>
        <w:rPr>
          <w:i/>
          <w:spacing w:val="-6"/>
          <w:sz w:val="22"/>
        </w:rPr>
        <w:t> </w:t>
      </w:r>
      <w:r>
        <w:rPr>
          <w:i/>
          <w:sz w:val="22"/>
        </w:rPr>
        <w:t>risk;</w:t>
      </w:r>
      <w:r>
        <w:rPr>
          <w:i/>
          <w:spacing w:val="-5"/>
          <w:sz w:val="22"/>
        </w:rPr>
        <w:t> and</w:t>
      </w:r>
    </w:p>
    <w:p>
      <w:pPr>
        <w:pStyle w:val="ListParagraph"/>
        <w:numPr>
          <w:ilvl w:val="0"/>
          <w:numId w:val="27"/>
        </w:numPr>
        <w:tabs>
          <w:tab w:pos="1524" w:val="left" w:leader="none"/>
          <w:tab w:pos="1526" w:val="left" w:leader="none"/>
        </w:tabs>
        <w:spacing w:line="288" w:lineRule="auto" w:before="50" w:after="0"/>
        <w:ind w:left="1526" w:right="1295" w:hanging="360"/>
        <w:jc w:val="left"/>
        <w:rPr>
          <w:sz w:val="22"/>
        </w:rPr>
      </w:pPr>
      <w:r>
        <w:rPr>
          <w:i/>
          <w:sz w:val="22"/>
        </w:rPr>
        <w:t>after</w:t>
      </w:r>
      <w:r>
        <w:rPr>
          <w:i/>
          <w:spacing w:val="-1"/>
          <w:sz w:val="22"/>
        </w:rPr>
        <w:t> </w:t>
      </w:r>
      <w:r>
        <w:rPr>
          <w:i/>
          <w:sz w:val="22"/>
        </w:rPr>
        <w:t>assessing</w:t>
      </w:r>
      <w:r>
        <w:rPr>
          <w:i/>
          <w:spacing w:val="-2"/>
          <w:sz w:val="22"/>
        </w:rPr>
        <w:t> </w:t>
      </w:r>
      <w:r>
        <w:rPr>
          <w:i/>
          <w:sz w:val="22"/>
        </w:rPr>
        <w:t>the</w:t>
      </w:r>
      <w:r>
        <w:rPr>
          <w:i/>
          <w:spacing w:val="-2"/>
          <w:sz w:val="22"/>
        </w:rPr>
        <w:t> </w:t>
      </w:r>
      <w:r>
        <w:rPr>
          <w:i/>
          <w:sz w:val="22"/>
        </w:rPr>
        <w:t>extent of</w:t>
      </w:r>
      <w:r>
        <w:rPr>
          <w:i/>
          <w:spacing w:val="-3"/>
          <w:sz w:val="22"/>
        </w:rPr>
        <w:t> </w:t>
      </w:r>
      <w:r>
        <w:rPr>
          <w:i/>
          <w:sz w:val="22"/>
        </w:rPr>
        <w:t>the</w:t>
      </w:r>
      <w:r>
        <w:rPr>
          <w:i/>
          <w:spacing w:val="-4"/>
          <w:sz w:val="22"/>
        </w:rPr>
        <w:t> </w:t>
      </w:r>
      <w:r>
        <w:rPr>
          <w:i/>
          <w:sz w:val="22"/>
        </w:rPr>
        <w:t>risk</w:t>
      </w:r>
      <w:r>
        <w:rPr>
          <w:i/>
          <w:spacing w:val="-1"/>
          <w:sz w:val="22"/>
        </w:rPr>
        <w:t> </w:t>
      </w:r>
      <w:r>
        <w:rPr>
          <w:i/>
          <w:sz w:val="22"/>
        </w:rPr>
        <w:t>and</w:t>
      </w:r>
      <w:r>
        <w:rPr>
          <w:i/>
          <w:spacing w:val="-4"/>
          <w:sz w:val="22"/>
        </w:rPr>
        <w:t> </w:t>
      </w:r>
      <w:r>
        <w:rPr>
          <w:i/>
          <w:sz w:val="22"/>
        </w:rPr>
        <w:t>the</w:t>
      </w:r>
      <w:r>
        <w:rPr>
          <w:i/>
          <w:spacing w:val="-4"/>
          <w:sz w:val="22"/>
        </w:rPr>
        <w:t> </w:t>
      </w:r>
      <w:r>
        <w:rPr>
          <w:i/>
          <w:sz w:val="22"/>
        </w:rPr>
        <w:t>available</w:t>
      </w:r>
      <w:r>
        <w:rPr>
          <w:i/>
          <w:spacing w:val="-2"/>
          <w:sz w:val="22"/>
        </w:rPr>
        <w:t> </w:t>
      </w:r>
      <w:r>
        <w:rPr>
          <w:i/>
          <w:sz w:val="22"/>
        </w:rPr>
        <w:t>ways</w:t>
      </w:r>
      <w:r>
        <w:rPr>
          <w:i/>
          <w:spacing w:val="-4"/>
          <w:sz w:val="22"/>
        </w:rPr>
        <w:t> </w:t>
      </w:r>
      <w:r>
        <w:rPr>
          <w:i/>
          <w:sz w:val="22"/>
        </w:rPr>
        <w:t>of</w:t>
      </w:r>
      <w:r>
        <w:rPr>
          <w:i/>
          <w:spacing w:val="-3"/>
          <w:sz w:val="22"/>
        </w:rPr>
        <w:t> </w:t>
      </w:r>
      <w:r>
        <w:rPr>
          <w:i/>
          <w:sz w:val="22"/>
        </w:rPr>
        <w:t>eliminating</w:t>
      </w:r>
      <w:r>
        <w:rPr>
          <w:i/>
          <w:spacing w:val="-4"/>
          <w:sz w:val="22"/>
        </w:rPr>
        <w:t> </w:t>
      </w:r>
      <w:r>
        <w:rPr>
          <w:i/>
          <w:sz w:val="22"/>
        </w:rPr>
        <w:t>or minimising the risk, the cost associated with available ways of eliminating or minimising the risk, including whether the cost is grossly disproportionate to the risk.” </w:t>
      </w:r>
      <w:r>
        <w:rPr>
          <w:sz w:val="22"/>
        </w:rPr>
        <w:t>(Workplace Relations Ministers’ Council, 2008, p. 44)</w:t>
      </w:r>
    </w:p>
    <w:p>
      <w:pPr>
        <w:pStyle w:val="BodyText"/>
        <w:spacing w:before="10"/>
        <w:rPr>
          <w:sz w:val="20"/>
        </w:rPr>
      </w:pPr>
    </w:p>
    <w:p>
      <w:pPr>
        <w:spacing w:before="0"/>
        <w:ind w:left="600" w:right="0" w:firstLine="0"/>
        <w:jc w:val="left"/>
        <w:rPr>
          <w:sz w:val="22"/>
        </w:rPr>
      </w:pPr>
      <w:r>
        <w:rPr>
          <w:sz w:val="22"/>
        </w:rPr>
        <w:t>A</w:t>
      </w:r>
      <w:r>
        <w:rPr>
          <w:spacing w:val="-8"/>
          <w:sz w:val="22"/>
        </w:rPr>
        <w:t> </w:t>
      </w:r>
      <w:r>
        <w:rPr>
          <w:sz w:val="22"/>
        </w:rPr>
        <w:t>similar</w:t>
      </w:r>
      <w:r>
        <w:rPr>
          <w:spacing w:val="-4"/>
          <w:sz w:val="22"/>
        </w:rPr>
        <w:t> </w:t>
      </w:r>
      <w:r>
        <w:rPr>
          <w:sz w:val="22"/>
        </w:rPr>
        <w:t>definition</w:t>
      </w:r>
      <w:r>
        <w:rPr>
          <w:spacing w:val="-7"/>
          <w:sz w:val="22"/>
        </w:rPr>
        <w:t> </w:t>
      </w:r>
      <w:r>
        <w:rPr>
          <w:sz w:val="22"/>
        </w:rPr>
        <w:t>is</w:t>
      </w:r>
      <w:r>
        <w:rPr>
          <w:spacing w:val="-7"/>
          <w:sz w:val="22"/>
        </w:rPr>
        <w:t> </w:t>
      </w:r>
      <w:r>
        <w:rPr>
          <w:sz w:val="22"/>
        </w:rPr>
        <w:t>found</w:t>
      </w:r>
      <w:r>
        <w:rPr>
          <w:spacing w:val="-5"/>
          <w:sz w:val="22"/>
        </w:rPr>
        <w:t> </w:t>
      </w:r>
      <w:r>
        <w:rPr>
          <w:sz w:val="22"/>
        </w:rPr>
        <w:t>in</w:t>
      </w:r>
      <w:r>
        <w:rPr>
          <w:spacing w:val="-5"/>
          <w:sz w:val="22"/>
        </w:rPr>
        <w:t> </w:t>
      </w:r>
      <w:r>
        <w:rPr>
          <w:sz w:val="22"/>
        </w:rPr>
        <w:t>the</w:t>
      </w:r>
      <w:r>
        <w:rPr>
          <w:spacing w:val="-7"/>
          <w:sz w:val="22"/>
        </w:rPr>
        <w:t> </w:t>
      </w:r>
      <w:r>
        <w:rPr>
          <w:sz w:val="22"/>
        </w:rPr>
        <w:t>Victorian</w:t>
      </w:r>
      <w:r>
        <w:rPr>
          <w:spacing w:val="-4"/>
          <w:sz w:val="22"/>
        </w:rPr>
        <w:t> </w:t>
      </w:r>
      <w:r>
        <w:rPr>
          <w:i/>
          <w:sz w:val="22"/>
        </w:rPr>
        <w:t>Occupational</w:t>
      </w:r>
      <w:r>
        <w:rPr>
          <w:i/>
          <w:spacing w:val="-6"/>
          <w:sz w:val="22"/>
        </w:rPr>
        <w:t> </w:t>
      </w:r>
      <w:r>
        <w:rPr>
          <w:i/>
          <w:sz w:val="22"/>
        </w:rPr>
        <w:t>Health</w:t>
      </w:r>
      <w:r>
        <w:rPr>
          <w:i/>
          <w:spacing w:val="-5"/>
          <w:sz w:val="22"/>
        </w:rPr>
        <w:t> </w:t>
      </w:r>
      <w:r>
        <w:rPr>
          <w:i/>
          <w:sz w:val="22"/>
        </w:rPr>
        <w:t>and</w:t>
      </w:r>
      <w:r>
        <w:rPr>
          <w:i/>
          <w:spacing w:val="-7"/>
          <w:sz w:val="22"/>
        </w:rPr>
        <w:t> </w:t>
      </w:r>
      <w:r>
        <w:rPr>
          <w:i/>
          <w:sz w:val="22"/>
        </w:rPr>
        <w:t>Safety</w:t>
      </w:r>
      <w:r>
        <w:rPr>
          <w:i/>
          <w:spacing w:val="-4"/>
          <w:sz w:val="22"/>
        </w:rPr>
        <w:t> </w:t>
      </w:r>
      <w:r>
        <w:rPr>
          <w:i/>
          <w:sz w:val="22"/>
        </w:rPr>
        <w:t>Act</w:t>
      </w:r>
      <w:r>
        <w:rPr>
          <w:i/>
          <w:spacing w:val="-3"/>
          <w:sz w:val="22"/>
        </w:rPr>
        <w:t> </w:t>
      </w:r>
      <w:r>
        <w:rPr>
          <w:i/>
          <w:spacing w:val="-2"/>
          <w:sz w:val="22"/>
        </w:rPr>
        <w:t>2004</w:t>
      </w:r>
      <w:r>
        <w:rPr>
          <w:spacing w:val="-2"/>
          <w:sz w:val="22"/>
        </w:rPr>
        <w:t>.</w:t>
      </w:r>
    </w:p>
    <w:p>
      <w:pPr>
        <w:pStyle w:val="BodyText"/>
        <w:spacing w:before="4"/>
        <w:rPr>
          <w:sz w:val="25"/>
        </w:rPr>
      </w:pPr>
    </w:p>
    <w:p>
      <w:pPr>
        <w:pStyle w:val="BodyText"/>
        <w:spacing w:line="288" w:lineRule="auto" w:before="1"/>
        <w:ind w:left="600" w:right="642"/>
      </w:pPr>
      <w:r>
        <w:rPr/>
        <w:t>In</w:t>
      </w:r>
      <w:r>
        <w:rPr>
          <w:spacing w:val="-2"/>
        </w:rPr>
        <w:t> </w:t>
      </w:r>
      <w:r>
        <w:rPr/>
        <w:t>its</w:t>
      </w:r>
      <w:r>
        <w:rPr>
          <w:spacing w:val="-3"/>
        </w:rPr>
        <w:t> </w:t>
      </w:r>
      <w:r>
        <w:rPr/>
        <w:t>submission</w:t>
      </w:r>
      <w:r>
        <w:rPr>
          <w:spacing w:val="-2"/>
        </w:rPr>
        <w:t> </w:t>
      </w:r>
      <w:r>
        <w:rPr/>
        <w:t>to</w:t>
      </w:r>
      <w:r>
        <w:rPr>
          <w:spacing w:val="-6"/>
        </w:rPr>
        <w:t> </w:t>
      </w:r>
      <w:r>
        <w:rPr/>
        <w:t>the</w:t>
      </w:r>
      <w:r>
        <w:rPr>
          <w:spacing w:val="-3"/>
        </w:rPr>
        <w:t> </w:t>
      </w:r>
      <w:r>
        <w:rPr/>
        <w:t>Review, R2A</w:t>
      </w:r>
      <w:r>
        <w:rPr>
          <w:spacing w:val="-1"/>
        </w:rPr>
        <w:t> </w:t>
      </w:r>
      <w:r>
        <w:rPr/>
        <w:t>has</w:t>
      </w:r>
      <w:r>
        <w:rPr>
          <w:spacing w:val="-1"/>
        </w:rPr>
        <w:t> </w:t>
      </w:r>
      <w:r>
        <w:rPr/>
        <w:t>expressed</w:t>
      </w:r>
      <w:r>
        <w:rPr>
          <w:spacing w:val="-2"/>
        </w:rPr>
        <w:t> </w:t>
      </w:r>
      <w:r>
        <w:rPr/>
        <w:t>a</w:t>
      </w:r>
      <w:r>
        <w:rPr>
          <w:spacing w:val="-1"/>
        </w:rPr>
        <w:t> </w:t>
      </w:r>
      <w:r>
        <w:rPr/>
        <w:t>view</w:t>
      </w:r>
      <w:r>
        <w:rPr>
          <w:spacing w:val="-5"/>
        </w:rPr>
        <w:t> </w:t>
      </w:r>
      <w:r>
        <w:rPr/>
        <w:t>that</w:t>
      </w:r>
      <w:r>
        <w:rPr>
          <w:spacing w:val="-3"/>
        </w:rPr>
        <w:t> </w:t>
      </w:r>
      <w:r>
        <w:rPr/>
        <w:t>there</w:t>
      </w:r>
      <w:r>
        <w:rPr>
          <w:spacing w:val="-4"/>
        </w:rPr>
        <w:t> </w:t>
      </w:r>
      <w:r>
        <w:rPr/>
        <w:t>needs</w:t>
      </w:r>
      <w:r>
        <w:rPr>
          <w:spacing w:val="-1"/>
        </w:rPr>
        <w:t> </w:t>
      </w:r>
      <w:r>
        <w:rPr/>
        <w:t>to</w:t>
      </w:r>
      <w:r>
        <w:rPr>
          <w:spacing w:val="-4"/>
        </w:rPr>
        <w:t> </w:t>
      </w:r>
      <w:r>
        <w:rPr/>
        <w:t>be</w:t>
      </w:r>
      <w:r>
        <w:rPr>
          <w:spacing w:val="-4"/>
        </w:rPr>
        <w:t> </w:t>
      </w:r>
      <w:r>
        <w:rPr/>
        <w:t>clarity</w:t>
      </w:r>
      <w:r>
        <w:rPr>
          <w:spacing w:val="-3"/>
        </w:rPr>
        <w:t> </w:t>
      </w:r>
      <w:r>
        <w:rPr/>
        <w:t>and consistency around the question of what constitutes “reasonably practicable” and, in</w:t>
      </w:r>
      <w:r>
        <w:rPr/>
        <w:t> addition, the language that is adopted to express the objective of the safety framework.</w:t>
      </w:r>
    </w:p>
    <w:p>
      <w:pPr>
        <w:pStyle w:val="BodyText"/>
        <w:spacing w:before="8"/>
        <w:rPr>
          <w:sz w:val="20"/>
        </w:rPr>
      </w:pPr>
    </w:p>
    <w:p>
      <w:pPr>
        <w:pStyle w:val="BodyText"/>
        <w:spacing w:line="288" w:lineRule="auto" w:before="1"/>
        <w:ind w:left="600"/>
      </w:pPr>
      <w:r>
        <w:rPr/>
        <w:t>There</w:t>
      </w:r>
      <w:r>
        <w:rPr>
          <w:spacing w:val="-2"/>
        </w:rPr>
        <w:t> </w:t>
      </w:r>
      <w:r>
        <w:rPr/>
        <w:t>are</w:t>
      </w:r>
      <w:r>
        <w:rPr>
          <w:spacing w:val="-4"/>
        </w:rPr>
        <w:t> </w:t>
      </w:r>
      <w:r>
        <w:rPr/>
        <w:t>two</w:t>
      </w:r>
      <w:r>
        <w:rPr>
          <w:spacing w:val="-2"/>
        </w:rPr>
        <w:t> </w:t>
      </w:r>
      <w:r>
        <w:rPr/>
        <w:t>broad</w:t>
      </w:r>
      <w:r>
        <w:rPr>
          <w:spacing w:val="-2"/>
        </w:rPr>
        <w:t> </w:t>
      </w:r>
      <w:r>
        <w:rPr/>
        <w:t>approaches</w:t>
      </w:r>
      <w:r>
        <w:rPr>
          <w:spacing w:val="-4"/>
        </w:rPr>
        <w:t> </w:t>
      </w:r>
      <w:r>
        <w:rPr/>
        <w:t>to</w:t>
      </w:r>
      <w:r>
        <w:rPr>
          <w:spacing w:val="-2"/>
        </w:rPr>
        <w:t> </w:t>
      </w:r>
      <w:r>
        <w:rPr/>
        <w:t>determining</w:t>
      </w:r>
      <w:r>
        <w:rPr>
          <w:spacing w:val="-4"/>
        </w:rPr>
        <w:t> </w:t>
      </w:r>
      <w:r>
        <w:rPr/>
        <w:t>whether</w:t>
      </w:r>
      <w:r>
        <w:rPr>
          <w:spacing w:val="-1"/>
        </w:rPr>
        <w:t> </w:t>
      </w:r>
      <w:r>
        <w:rPr/>
        <w:t>risks</w:t>
      </w:r>
      <w:r>
        <w:rPr>
          <w:spacing w:val="-4"/>
        </w:rPr>
        <w:t> </w:t>
      </w:r>
      <w:r>
        <w:rPr/>
        <w:t>have</w:t>
      </w:r>
      <w:r>
        <w:rPr>
          <w:spacing w:val="-2"/>
        </w:rPr>
        <w:t> </w:t>
      </w:r>
      <w:r>
        <w:rPr/>
        <w:t>been</w:t>
      </w:r>
      <w:r>
        <w:rPr>
          <w:spacing w:val="-4"/>
        </w:rPr>
        <w:t> </w:t>
      </w:r>
      <w:r>
        <w:rPr/>
        <w:t>reduced</w:t>
      </w:r>
      <w:r>
        <w:rPr>
          <w:spacing w:val="-2"/>
        </w:rPr>
        <w:t> </w:t>
      </w:r>
      <w:r>
        <w:rPr/>
        <w:t>as</w:t>
      </w:r>
      <w:r>
        <w:rPr>
          <w:spacing w:val="-6"/>
        </w:rPr>
        <w:t> </w:t>
      </w:r>
      <w:r>
        <w:rPr/>
        <w:t>far</w:t>
      </w:r>
      <w:r>
        <w:rPr>
          <w:spacing w:val="-3"/>
        </w:rPr>
        <w:t> </w:t>
      </w:r>
      <w:r>
        <w:rPr/>
        <w:t>as practicable. These are:</w:t>
      </w:r>
    </w:p>
    <w:p>
      <w:pPr>
        <w:pStyle w:val="BodyText"/>
        <w:spacing w:before="3"/>
      </w:pPr>
    </w:p>
    <w:p>
      <w:pPr>
        <w:pStyle w:val="ListParagraph"/>
        <w:numPr>
          <w:ilvl w:val="0"/>
          <w:numId w:val="28"/>
        </w:numPr>
        <w:tabs>
          <w:tab w:pos="1027" w:val="left" w:leader="none"/>
        </w:tabs>
        <w:spacing w:line="240" w:lineRule="auto" w:before="0" w:after="0"/>
        <w:ind w:left="1027" w:right="0" w:hanging="427"/>
        <w:jc w:val="left"/>
        <w:rPr>
          <w:sz w:val="22"/>
        </w:rPr>
      </w:pPr>
      <w:r>
        <w:rPr>
          <w:sz w:val="22"/>
        </w:rPr>
        <w:t>a</w:t>
      </w:r>
      <w:r>
        <w:rPr>
          <w:spacing w:val="-9"/>
          <w:sz w:val="22"/>
        </w:rPr>
        <w:t> </w:t>
      </w:r>
      <w:r>
        <w:rPr>
          <w:sz w:val="22"/>
        </w:rPr>
        <w:t>precaution-based</w:t>
      </w:r>
      <w:r>
        <w:rPr>
          <w:spacing w:val="-9"/>
          <w:sz w:val="22"/>
        </w:rPr>
        <w:t> </w:t>
      </w:r>
      <w:r>
        <w:rPr>
          <w:sz w:val="22"/>
        </w:rPr>
        <w:t>approach,</w:t>
      </w:r>
      <w:r>
        <w:rPr>
          <w:spacing w:val="-6"/>
          <w:sz w:val="22"/>
        </w:rPr>
        <w:t> </w:t>
      </w:r>
      <w:r>
        <w:rPr>
          <w:sz w:val="22"/>
        </w:rPr>
        <w:t>looking</w:t>
      </w:r>
      <w:r>
        <w:rPr>
          <w:spacing w:val="-5"/>
          <w:sz w:val="22"/>
        </w:rPr>
        <w:t> </w:t>
      </w:r>
      <w:r>
        <w:rPr>
          <w:sz w:val="22"/>
        </w:rPr>
        <w:t>at</w:t>
      </w:r>
      <w:r>
        <w:rPr>
          <w:spacing w:val="-5"/>
          <w:sz w:val="22"/>
        </w:rPr>
        <w:t> </w:t>
      </w:r>
      <w:r>
        <w:rPr>
          <w:sz w:val="22"/>
        </w:rPr>
        <w:t>all</w:t>
      </w:r>
      <w:r>
        <w:rPr>
          <w:spacing w:val="-9"/>
          <w:sz w:val="22"/>
        </w:rPr>
        <w:t> </w:t>
      </w:r>
      <w:r>
        <w:rPr>
          <w:sz w:val="22"/>
        </w:rPr>
        <w:t>reasonably</w:t>
      </w:r>
      <w:r>
        <w:rPr>
          <w:spacing w:val="-9"/>
          <w:sz w:val="22"/>
        </w:rPr>
        <w:t> </w:t>
      </w:r>
      <w:r>
        <w:rPr>
          <w:sz w:val="22"/>
        </w:rPr>
        <w:t>practicable</w:t>
      </w:r>
      <w:r>
        <w:rPr>
          <w:spacing w:val="-6"/>
          <w:sz w:val="22"/>
        </w:rPr>
        <w:t> </w:t>
      </w:r>
      <w:r>
        <w:rPr>
          <w:spacing w:val="-2"/>
          <w:sz w:val="22"/>
        </w:rPr>
        <w:t>precautions;</w:t>
      </w:r>
    </w:p>
    <w:p>
      <w:pPr>
        <w:pStyle w:val="ListParagraph"/>
        <w:numPr>
          <w:ilvl w:val="0"/>
          <w:numId w:val="28"/>
        </w:numPr>
        <w:tabs>
          <w:tab w:pos="1027" w:val="left" w:leader="none"/>
        </w:tabs>
        <w:spacing w:line="288" w:lineRule="auto" w:before="67" w:after="0"/>
        <w:ind w:left="1027" w:right="1038" w:hanging="428"/>
        <w:jc w:val="left"/>
        <w:rPr>
          <w:sz w:val="22"/>
        </w:rPr>
      </w:pPr>
      <w:r>
        <w:rPr>
          <w:sz w:val="22"/>
        </w:rPr>
        <w:t>a</w:t>
      </w:r>
      <w:r>
        <w:rPr>
          <w:spacing w:val="-3"/>
          <w:sz w:val="22"/>
        </w:rPr>
        <w:t> </w:t>
      </w:r>
      <w:r>
        <w:rPr>
          <w:sz w:val="22"/>
        </w:rPr>
        <w:t>target</w:t>
      </w:r>
      <w:r>
        <w:rPr>
          <w:spacing w:val="-4"/>
          <w:sz w:val="22"/>
        </w:rPr>
        <w:t> </w:t>
      </w:r>
      <w:r>
        <w:rPr>
          <w:sz w:val="22"/>
        </w:rPr>
        <w:t>risk</w:t>
      </w:r>
      <w:r>
        <w:rPr>
          <w:spacing w:val="-2"/>
          <w:sz w:val="22"/>
        </w:rPr>
        <w:t> </w:t>
      </w:r>
      <w:r>
        <w:rPr>
          <w:sz w:val="22"/>
        </w:rPr>
        <w:t>approach,</w:t>
      </w:r>
      <w:r>
        <w:rPr>
          <w:spacing w:val="-1"/>
          <w:sz w:val="22"/>
        </w:rPr>
        <w:t> </w:t>
      </w:r>
      <w:r>
        <w:rPr>
          <w:sz w:val="22"/>
        </w:rPr>
        <w:t>looking</w:t>
      </w:r>
      <w:r>
        <w:rPr>
          <w:spacing w:val="-3"/>
          <w:sz w:val="22"/>
        </w:rPr>
        <w:t> </w:t>
      </w:r>
      <w:r>
        <w:rPr>
          <w:sz w:val="22"/>
        </w:rPr>
        <w:t>to</w:t>
      </w:r>
      <w:r>
        <w:rPr>
          <w:spacing w:val="-5"/>
          <w:sz w:val="22"/>
        </w:rPr>
        <w:t> </w:t>
      </w:r>
      <w:r>
        <w:rPr>
          <w:sz w:val="22"/>
        </w:rPr>
        <w:t>reduce</w:t>
      </w:r>
      <w:r>
        <w:rPr>
          <w:spacing w:val="-5"/>
          <w:sz w:val="22"/>
        </w:rPr>
        <w:t> </w:t>
      </w:r>
      <w:r>
        <w:rPr>
          <w:sz w:val="22"/>
        </w:rPr>
        <w:t>all</w:t>
      </w:r>
      <w:r>
        <w:rPr>
          <w:spacing w:val="-3"/>
          <w:sz w:val="22"/>
        </w:rPr>
        <w:t> </w:t>
      </w:r>
      <w:r>
        <w:rPr>
          <w:sz w:val="22"/>
        </w:rPr>
        <w:t>risks</w:t>
      </w:r>
      <w:r>
        <w:rPr>
          <w:spacing w:val="-5"/>
          <w:sz w:val="22"/>
        </w:rPr>
        <w:t> </w:t>
      </w:r>
      <w:r>
        <w:rPr>
          <w:sz w:val="22"/>
        </w:rPr>
        <w:t>to</w:t>
      </w:r>
      <w:r>
        <w:rPr>
          <w:spacing w:val="-3"/>
          <w:sz w:val="22"/>
        </w:rPr>
        <w:t> </w:t>
      </w:r>
      <w:r>
        <w:rPr>
          <w:sz w:val="22"/>
        </w:rPr>
        <w:t>an</w:t>
      </w:r>
      <w:r>
        <w:rPr>
          <w:spacing w:val="-3"/>
          <w:sz w:val="22"/>
        </w:rPr>
        <w:t> </w:t>
      </w:r>
      <w:r>
        <w:rPr>
          <w:sz w:val="22"/>
        </w:rPr>
        <w:t>acceptable</w:t>
      </w:r>
      <w:r>
        <w:rPr>
          <w:spacing w:val="-3"/>
          <w:sz w:val="22"/>
        </w:rPr>
        <w:t> </w:t>
      </w:r>
      <w:r>
        <w:rPr>
          <w:sz w:val="22"/>
        </w:rPr>
        <w:t>or</w:t>
      </w:r>
      <w:r>
        <w:rPr>
          <w:spacing w:val="-4"/>
          <w:sz w:val="22"/>
        </w:rPr>
        <w:t> </w:t>
      </w:r>
      <w:r>
        <w:rPr>
          <w:sz w:val="22"/>
        </w:rPr>
        <w:t>tolerable</w:t>
      </w:r>
      <w:r>
        <w:rPr>
          <w:spacing w:val="-3"/>
          <w:sz w:val="22"/>
        </w:rPr>
        <w:t> </w:t>
      </w:r>
      <w:r>
        <w:rPr>
          <w:sz w:val="22"/>
        </w:rPr>
        <w:t>target level of risk or safety.</w:t>
      </w:r>
    </w:p>
    <w:p>
      <w:pPr>
        <w:pStyle w:val="BodyText"/>
        <w:spacing w:before="8"/>
        <w:rPr>
          <w:sz w:val="20"/>
        </w:rPr>
      </w:pPr>
    </w:p>
    <w:p>
      <w:pPr>
        <w:pStyle w:val="BodyText"/>
        <w:spacing w:line="288" w:lineRule="auto"/>
        <w:ind w:left="600" w:right="713"/>
      </w:pPr>
      <w:r>
        <w:rPr/>
        <w:t>The two approaches overlap considerably and the differences between them may seem quite</w:t>
      </w:r>
      <w:r>
        <w:rPr>
          <w:spacing w:val="-5"/>
        </w:rPr>
        <w:t> </w:t>
      </w:r>
      <w:r>
        <w:rPr/>
        <w:t>subtle</w:t>
      </w:r>
      <w:r>
        <w:rPr>
          <w:spacing w:val="-4"/>
        </w:rPr>
        <w:t> </w:t>
      </w:r>
      <w:r>
        <w:rPr/>
        <w:t>at</w:t>
      </w:r>
      <w:r>
        <w:rPr>
          <w:spacing w:val="-6"/>
        </w:rPr>
        <w:t> </w:t>
      </w:r>
      <w:r>
        <w:rPr/>
        <w:t>first.</w:t>
      </w:r>
      <w:r>
        <w:rPr>
          <w:spacing w:val="-1"/>
        </w:rPr>
        <w:t> </w:t>
      </w:r>
      <w:r>
        <w:rPr/>
        <w:t>However,</w:t>
      </w:r>
      <w:r>
        <w:rPr>
          <w:spacing w:val="-1"/>
        </w:rPr>
        <w:t> </w:t>
      </w:r>
      <w:r>
        <w:rPr/>
        <w:t>R2A</w:t>
      </w:r>
      <w:r>
        <w:rPr>
          <w:spacing w:val="-4"/>
        </w:rPr>
        <w:t> </w:t>
      </w:r>
      <w:r>
        <w:rPr/>
        <w:t>has</w:t>
      </w:r>
      <w:r>
        <w:rPr>
          <w:spacing w:val="-5"/>
        </w:rPr>
        <w:t> </w:t>
      </w:r>
      <w:r>
        <w:rPr/>
        <w:t>drawn</w:t>
      </w:r>
      <w:r>
        <w:rPr>
          <w:spacing w:val="-3"/>
        </w:rPr>
        <w:t> </w:t>
      </w:r>
      <w:r>
        <w:rPr/>
        <w:t>attention</w:t>
      </w:r>
      <w:r>
        <w:rPr>
          <w:spacing w:val="-3"/>
        </w:rPr>
        <w:t> </w:t>
      </w:r>
      <w:r>
        <w:rPr/>
        <w:t>to</w:t>
      </w:r>
      <w:r>
        <w:rPr>
          <w:spacing w:val="-5"/>
        </w:rPr>
        <w:t> </w:t>
      </w:r>
      <w:r>
        <w:rPr/>
        <w:t>some</w:t>
      </w:r>
      <w:r>
        <w:rPr>
          <w:spacing w:val="-3"/>
        </w:rPr>
        <w:t> </w:t>
      </w:r>
      <w:r>
        <w:rPr/>
        <w:t>significant</w:t>
      </w:r>
      <w:r>
        <w:rPr>
          <w:spacing w:val="-1"/>
        </w:rPr>
        <w:t> </w:t>
      </w:r>
      <w:r>
        <w:rPr/>
        <w:t>differences</w:t>
      </w:r>
      <w:r>
        <w:rPr>
          <w:spacing w:val="-2"/>
        </w:rPr>
        <w:t> </w:t>
      </w:r>
      <w:r>
        <w:rPr/>
        <w:t>in</w:t>
      </w:r>
      <w:r>
        <w:rPr>
          <w:spacing w:val="-5"/>
        </w:rPr>
        <w:t> </w:t>
      </w:r>
      <w:r>
        <w:rPr/>
        <w:t>the practical implications of the two approaches.</w:t>
      </w:r>
      <w:r>
        <w:rPr>
          <w:vertAlign w:val="superscript"/>
        </w:rPr>
        <w:t>2</w:t>
      </w:r>
      <w:r>
        <w:rPr>
          <w:vertAlign w:val="baseline"/>
        </w:rPr>
        <w:t> In doing so, in its submission R2A has identified several difficulties with the target risk approach, including:</w:t>
      </w:r>
    </w:p>
    <w:p>
      <w:pPr>
        <w:pStyle w:val="BodyText"/>
        <w:spacing w:before="3"/>
      </w:pPr>
    </w:p>
    <w:p>
      <w:pPr>
        <w:pStyle w:val="ListParagraph"/>
        <w:numPr>
          <w:ilvl w:val="0"/>
          <w:numId w:val="28"/>
        </w:numPr>
        <w:tabs>
          <w:tab w:pos="957" w:val="left" w:leader="none"/>
        </w:tabs>
        <w:spacing w:line="240" w:lineRule="auto" w:before="1" w:after="0"/>
        <w:ind w:left="957" w:right="0" w:hanging="357"/>
        <w:jc w:val="left"/>
        <w:rPr>
          <w:sz w:val="22"/>
        </w:rPr>
      </w:pPr>
      <w:r>
        <w:rPr>
          <w:sz w:val="22"/>
        </w:rPr>
        <w:t>“</w:t>
      </w:r>
      <w:r>
        <w:rPr>
          <w:i/>
          <w:sz w:val="22"/>
        </w:rPr>
        <w:t>hazard</w:t>
      </w:r>
      <w:r>
        <w:rPr>
          <w:i/>
          <w:spacing w:val="-7"/>
          <w:sz w:val="22"/>
        </w:rPr>
        <w:t> </w:t>
      </w:r>
      <w:r>
        <w:rPr>
          <w:i/>
          <w:sz w:val="22"/>
        </w:rPr>
        <w:t>analysis</w:t>
      </w:r>
      <w:r>
        <w:rPr>
          <w:i/>
          <w:spacing w:val="-6"/>
          <w:sz w:val="22"/>
        </w:rPr>
        <w:t> </w:t>
      </w:r>
      <w:r>
        <w:rPr>
          <w:i/>
          <w:sz w:val="22"/>
        </w:rPr>
        <w:t>and</w:t>
      </w:r>
      <w:r>
        <w:rPr>
          <w:i/>
          <w:spacing w:val="-7"/>
          <w:sz w:val="22"/>
        </w:rPr>
        <w:t> </w:t>
      </w:r>
      <w:r>
        <w:rPr>
          <w:i/>
          <w:sz w:val="22"/>
        </w:rPr>
        <w:t>risk</w:t>
      </w:r>
      <w:r>
        <w:rPr>
          <w:i/>
          <w:spacing w:val="-9"/>
          <w:sz w:val="22"/>
        </w:rPr>
        <w:t> </w:t>
      </w:r>
      <w:r>
        <w:rPr>
          <w:i/>
          <w:sz w:val="22"/>
        </w:rPr>
        <w:t>calculations</w:t>
      </w:r>
      <w:r>
        <w:rPr>
          <w:i/>
          <w:spacing w:val="-7"/>
          <w:sz w:val="22"/>
        </w:rPr>
        <w:t> </w:t>
      </w:r>
      <w:r>
        <w:rPr>
          <w:i/>
          <w:sz w:val="22"/>
        </w:rPr>
        <w:t>are</w:t>
      </w:r>
      <w:r>
        <w:rPr>
          <w:i/>
          <w:spacing w:val="-7"/>
          <w:sz w:val="22"/>
        </w:rPr>
        <w:t> </w:t>
      </w:r>
      <w:r>
        <w:rPr>
          <w:i/>
          <w:sz w:val="22"/>
        </w:rPr>
        <w:t>inherently</w:t>
      </w:r>
      <w:r>
        <w:rPr>
          <w:i/>
          <w:spacing w:val="-6"/>
          <w:sz w:val="22"/>
        </w:rPr>
        <w:t> </w:t>
      </w:r>
      <w:r>
        <w:rPr>
          <w:i/>
          <w:spacing w:val="-2"/>
          <w:sz w:val="22"/>
        </w:rPr>
        <w:t>unrepeatable</w:t>
      </w:r>
      <w:r>
        <w:rPr>
          <w:spacing w:val="-2"/>
          <w:sz w:val="22"/>
        </w:rPr>
        <w:t>”;</w:t>
      </w:r>
    </w:p>
    <w:p>
      <w:pPr>
        <w:pStyle w:val="ListParagraph"/>
        <w:numPr>
          <w:ilvl w:val="0"/>
          <w:numId w:val="28"/>
        </w:numPr>
        <w:tabs>
          <w:tab w:pos="957" w:val="left" w:leader="none"/>
        </w:tabs>
        <w:spacing w:line="240" w:lineRule="auto" w:before="66" w:after="0"/>
        <w:ind w:left="957" w:right="0" w:hanging="357"/>
        <w:jc w:val="left"/>
        <w:rPr>
          <w:sz w:val="22"/>
        </w:rPr>
      </w:pPr>
      <w:r>
        <w:rPr>
          <w:sz w:val="22"/>
        </w:rPr>
        <w:t>“</w:t>
      </w:r>
      <w:r>
        <w:rPr>
          <w:i/>
          <w:sz w:val="22"/>
        </w:rPr>
        <w:t>risk</w:t>
      </w:r>
      <w:r>
        <w:rPr>
          <w:i/>
          <w:spacing w:val="-6"/>
          <w:sz w:val="22"/>
        </w:rPr>
        <w:t> </w:t>
      </w:r>
      <w:r>
        <w:rPr>
          <w:i/>
          <w:sz w:val="22"/>
        </w:rPr>
        <w:t>criteria</w:t>
      </w:r>
      <w:r>
        <w:rPr>
          <w:i/>
          <w:spacing w:val="-5"/>
          <w:sz w:val="22"/>
        </w:rPr>
        <w:t> </w:t>
      </w:r>
      <w:r>
        <w:rPr>
          <w:i/>
          <w:sz w:val="22"/>
        </w:rPr>
        <w:t>are</w:t>
      </w:r>
      <w:r>
        <w:rPr>
          <w:i/>
          <w:spacing w:val="-5"/>
          <w:sz w:val="22"/>
        </w:rPr>
        <w:t> </w:t>
      </w:r>
      <w:r>
        <w:rPr>
          <w:i/>
          <w:sz w:val="22"/>
        </w:rPr>
        <w:t>subjective</w:t>
      </w:r>
      <w:r>
        <w:rPr>
          <w:sz w:val="22"/>
        </w:rPr>
        <w:t>”;</w:t>
      </w:r>
      <w:r>
        <w:rPr>
          <w:spacing w:val="-5"/>
          <w:sz w:val="22"/>
        </w:rPr>
        <w:t> and</w:t>
      </w:r>
    </w:p>
    <w:p>
      <w:pPr>
        <w:pStyle w:val="BodyText"/>
        <w:rPr>
          <w:sz w:val="20"/>
        </w:rPr>
      </w:pPr>
    </w:p>
    <w:p>
      <w:pPr>
        <w:pStyle w:val="BodyText"/>
        <w:rPr>
          <w:sz w:val="20"/>
        </w:rPr>
      </w:pPr>
    </w:p>
    <w:p>
      <w:pPr>
        <w:pStyle w:val="BodyText"/>
        <w:spacing w:before="11"/>
        <w:rPr>
          <w:sz w:val="13"/>
        </w:rPr>
      </w:pPr>
      <w:r>
        <w:rPr/>
        <mc:AlternateContent>
          <mc:Choice Requires="wps">
            <w:drawing>
              <wp:anchor distT="0" distB="0" distL="0" distR="0" allowOverlap="1" layoutInCell="1" locked="0" behindDoc="1" simplePos="0" relativeHeight="487606272">
                <wp:simplePos x="0" y="0"/>
                <wp:positionH relativeFrom="page">
                  <wp:posOffset>896416</wp:posOffset>
                </wp:positionH>
                <wp:positionV relativeFrom="paragraph">
                  <wp:posOffset>117346</wp:posOffset>
                </wp:positionV>
                <wp:extent cx="5769610" cy="1270"/>
                <wp:effectExtent l="0" t="0" r="0" b="0"/>
                <wp:wrapTopAndBottom/>
                <wp:docPr id="87" name="Graphic 87"/>
                <wp:cNvGraphicFramePr>
                  <a:graphicFrameLocks/>
                </wp:cNvGraphicFramePr>
                <a:graphic>
                  <a:graphicData uri="http://schemas.microsoft.com/office/word/2010/wordprocessingShape">
                    <wps:wsp>
                      <wps:cNvPr id="87" name="Graphic 87"/>
                      <wps:cNvSpPr/>
                      <wps:spPr>
                        <a:xfrm>
                          <a:off x="0" y="0"/>
                          <a:ext cx="5769610" cy="1270"/>
                        </a:xfrm>
                        <a:custGeom>
                          <a:avLst/>
                          <a:gdLst/>
                          <a:ahLst/>
                          <a:cxnLst/>
                          <a:rect l="l" t="t" r="r" b="b"/>
                          <a:pathLst>
                            <a:path w="5769610" h="0">
                              <a:moveTo>
                                <a:pt x="0" y="0"/>
                              </a:moveTo>
                              <a:lnTo>
                                <a:pt x="5769305" y="0"/>
                              </a:lnTo>
                            </a:path>
                          </a:pathLst>
                        </a:custGeom>
                        <a:ln w="12192">
                          <a:solidFill>
                            <a:srgbClr val="000000"/>
                          </a:solidFill>
                          <a:prstDash val="sysDot"/>
                        </a:ln>
                      </wps:spPr>
                      <wps:bodyPr wrap="square" lIns="0" tIns="0" rIns="0" bIns="0" rtlCol="0">
                        <a:prstTxWarp prst="textNoShape">
                          <a:avLst/>
                        </a:prstTxWarp>
                        <a:noAutofit/>
                      </wps:bodyPr>
                    </wps:wsp>
                  </a:graphicData>
                </a:graphic>
              </wp:anchor>
            </w:drawing>
          </mc:Choice>
          <mc:Fallback>
            <w:pict>
              <v:shape style="position:absolute;margin-left:70.584pt;margin-top:9.239912pt;width:454.3pt;height:.1pt;mso-position-horizontal-relative:page;mso-position-vertical-relative:paragraph;z-index:-15710208;mso-wrap-distance-left:0;mso-wrap-distance-right:0" id="docshape77" coordorigin="1412,185" coordsize="9086,0" path="m1412,185l10497,185e" filled="false" stroked="true" strokeweight=".96pt" strokecolor="#000000">
                <v:path arrowok="t"/>
                <v:stroke dashstyle="shortdot"/>
                <w10:wrap type="topAndBottom"/>
              </v:shape>
            </w:pict>
          </mc:Fallback>
        </mc:AlternateContent>
      </w:r>
    </w:p>
    <w:p>
      <w:pPr>
        <w:pStyle w:val="BodyText"/>
        <w:spacing w:before="6"/>
      </w:pPr>
    </w:p>
    <w:p>
      <w:pPr>
        <w:spacing w:before="102"/>
        <w:ind w:left="742" w:right="586" w:hanging="142"/>
        <w:jc w:val="left"/>
        <w:rPr>
          <w:sz w:val="16"/>
        </w:rPr>
      </w:pPr>
      <w:r>
        <w:rPr>
          <w:sz w:val="16"/>
          <w:vertAlign w:val="superscript"/>
        </w:rPr>
        <w:t>2</w:t>
      </w:r>
      <w:r>
        <w:rPr>
          <w:spacing w:val="40"/>
          <w:sz w:val="16"/>
          <w:vertAlign w:val="baseline"/>
        </w:rPr>
        <w:t> </w:t>
      </w:r>
      <w:r>
        <w:rPr>
          <w:sz w:val="16"/>
          <w:vertAlign w:val="baseline"/>
        </w:rPr>
        <w:t>R2A</w:t>
      </w:r>
      <w:r>
        <w:rPr>
          <w:spacing w:val="-4"/>
          <w:sz w:val="16"/>
          <w:vertAlign w:val="baseline"/>
        </w:rPr>
        <w:t> </w:t>
      </w:r>
      <w:r>
        <w:rPr>
          <w:sz w:val="16"/>
          <w:vertAlign w:val="baseline"/>
        </w:rPr>
        <w:t>has effectively characterised the precaution based approach as involving reducing risks so far as is reasonably practicable</w:t>
      </w:r>
      <w:r>
        <w:rPr>
          <w:spacing w:val="-3"/>
          <w:sz w:val="16"/>
          <w:vertAlign w:val="baseline"/>
        </w:rPr>
        <w:t> </w:t>
      </w:r>
      <w:r>
        <w:rPr>
          <w:sz w:val="16"/>
          <w:vertAlign w:val="baseline"/>
        </w:rPr>
        <w:t>(SFAIRP);</w:t>
      </w:r>
      <w:r>
        <w:rPr>
          <w:spacing w:val="-2"/>
          <w:sz w:val="16"/>
          <w:vertAlign w:val="baseline"/>
        </w:rPr>
        <w:t> </w:t>
      </w:r>
      <w:r>
        <w:rPr>
          <w:sz w:val="16"/>
          <w:vertAlign w:val="baseline"/>
        </w:rPr>
        <w:t>while</w:t>
      </w:r>
      <w:r>
        <w:rPr>
          <w:spacing w:val="-3"/>
          <w:sz w:val="16"/>
          <w:vertAlign w:val="baseline"/>
        </w:rPr>
        <w:t> </w:t>
      </w:r>
      <w:r>
        <w:rPr>
          <w:sz w:val="16"/>
          <w:vertAlign w:val="baseline"/>
        </w:rPr>
        <w:t>the</w:t>
      </w:r>
      <w:r>
        <w:rPr>
          <w:spacing w:val="-6"/>
          <w:sz w:val="16"/>
          <w:vertAlign w:val="baseline"/>
        </w:rPr>
        <w:t> </w:t>
      </w:r>
      <w:r>
        <w:rPr>
          <w:sz w:val="16"/>
          <w:vertAlign w:val="baseline"/>
        </w:rPr>
        <w:t>target</w:t>
      </w:r>
      <w:r>
        <w:rPr>
          <w:spacing w:val="-2"/>
          <w:sz w:val="16"/>
          <w:vertAlign w:val="baseline"/>
        </w:rPr>
        <w:t> </w:t>
      </w:r>
      <w:r>
        <w:rPr>
          <w:sz w:val="16"/>
          <w:vertAlign w:val="baseline"/>
        </w:rPr>
        <w:t>risk</w:t>
      </w:r>
      <w:r>
        <w:rPr>
          <w:spacing w:val="-4"/>
          <w:sz w:val="16"/>
          <w:vertAlign w:val="baseline"/>
        </w:rPr>
        <w:t> </w:t>
      </w:r>
      <w:r>
        <w:rPr>
          <w:sz w:val="16"/>
          <w:vertAlign w:val="baseline"/>
        </w:rPr>
        <w:t>approach</w:t>
      </w:r>
      <w:r>
        <w:rPr>
          <w:spacing w:val="-3"/>
          <w:sz w:val="16"/>
          <w:vertAlign w:val="baseline"/>
        </w:rPr>
        <w:t> </w:t>
      </w:r>
      <w:r>
        <w:rPr>
          <w:sz w:val="16"/>
          <w:vertAlign w:val="baseline"/>
        </w:rPr>
        <w:t>involves</w:t>
      </w:r>
      <w:r>
        <w:rPr>
          <w:spacing w:val="-4"/>
          <w:sz w:val="16"/>
          <w:vertAlign w:val="baseline"/>
        </w:rPr>
        <w:t> </w:t>
      </w:r>
      <w:r>
        <w:rPr>
          <w:sz w:val="16"/>
          <w:vertAlign w:val="baseline"/>
        </w:rPr>
        <w:t>reducing</w:t>
      </w:r>
      <w:r>
        <w:rPr>
          <w:spacing w:val="-3"/>
          <w:sz w:val="16"/>
          <w:vertAlign w:val="baseline"/>
        </w:rPr>
        <w:t> </w:t>
      </w:r>
      <w:r>
        <w:rPr>
          <w:sz w:val="16"/>
          <w:vertAlign w:val="baseline"/>
        </w:rPr>
        <w:t>risks</w:t>
      </w:r>
      <w:r>
        <w:rPr>
          <w:spacing w:val="-4"/>
          <w:sz w:val="16"/>
          <w:vertAlign w:val="baseline"/>
        </w:rPr>
        <w:t> </w:t>
      </w:r>
      <w:r>
        <w:rPr>
          <w:sz w:val="16"/>
          <w:vertAlign w:val="baseline"/>
        </w:rPr>
        <w:t>as</w:t>
      </w:r>
      <w:r>
        <w:rPr>
          <w:spacing w:val="-4"/>
          <w:sz w:val="16"/>
          <w:vertAlign w:val="baseline"/>
        </w:rPr>
        <w:t> </w:t>
      </w:r>
      <w:r>
        <w:rPr>
          <w:sz w:val="16"/>
          <w:vertAlign w:val="baseline"/>
        </w:rPr>
        <w:t>low</w:t>
      </w:r>
      <w:r>
        <w:rPr>
          <w:spacing w:val="-6"/>
          <w:sz w:val="16"/>
          <w:vertAlign w:val="baseline"/>
        </w:rPr>
        <w:t> </w:t>
      </w:r>
      <w:r>
        <w:rPr>
          <w:sz w:val="16"/>
          <w:vertAlign w:val="baseline"/>
        </w:rPr>
        <w:t>as</w:t>
      </w:r>
      <w:r>
        <w:rPr>
          <w:spacing w:val="-1"/>
          <w:sz w:val="16"/>
          <w:vertAlign w:val="baseline"/>
        </w:rPr>
        <w:t> </w:t>
      </w:r>
      <w:r>
        <w:rPr>
          <w:sz w:val="16"/>
          <w:vertAlign w:val="baseline"/>
        </w:rPr>
        <w:t>reasonably</w:t>
      </w:r>
      <w:r>
        <w:rPr>
          <w:spacing w:val="-3"/>
          <w:sz w:val="16"/>
          <w:vertAlign w:val="baseline"/>
        </w:rPr>
        <w:t> </w:t>
      </w:r>
      <w:r>
        <w:rPr>
          <w:sz w:val="16"/>
          <w:vertAlign w:val="baseline"/>
        </w:rPr>
        <w:t>practicable</w:t>
      </w:r>
      <w:r>
        <w:rPr>
          <w:spacing w:val="-3"/>
          <w:sz w:val="16"/>
          <w:vertAlign w:val="baseline"/>
        </w:rPr>
        <w:t> </w:t>
      </w:r>
      <w:r>
        <w:rPr>
          <w:sz w:val="16"/>
          <w:vertAlign w:val="baseline"/>
        </w:rPr>
        <w:t>(ALARP).</w:t>
      </w:r>
      <w:r>
        <w:rPr>
          <w:spacing w:val="-4"/>
          <w:sz w:val="16"/>
          <w:vertAlign w:val="baseline"/>
        </w:rPr>
        <w:t> </w:t>
      </w:r>
      <w:r>
        <w:rPr>
          <w:sz w:val="16"/>
          <w:vertAlign w:val="baseline"/>
        </w:rPr>
        <w:t>There is,</w:t>
      </w:r>
      <w:r>
        <w:rPr>
          <w:spacing w:val="-3"/>
          <w:sz w:val="16"/>
          <w:vertAlign w:val="baseline"/>
        </w:rPr>
        <w:t> </w:t>
      </w:r>
      <w:r>
        <w:rPr>
          <w:sz w:val="16"/>
          <w:vertAlign w:val="baseline"/>
        </w:rPr>
        <w:t>however,</w:t>
      </w:r>
      <w:r>
        <w:rPr>
          <w:spacing w:val="-1"/>
          <w:sz w:val="16"/>
          <w:vertAlign w:val="baseline"/>
        </w:rPr>
        <w:t> </w:t>
      </w:r>
      <w:r>
        <w:rPr>
          <w:sz w:val="16"/>
          <w:vertAlign w:val="baseline"/>
        </w:rPr>
        <w:t>no</w:t>
      </w:r>
      <w:r>
        <w:rPr>
          <w:spacing w:val="-2"/>
          <w:sz w:val="16"/>
          <w:vertAlign w:val="baseline"/>
        </w:rPr>
        <w:t> </w:t>
      </w:r>
      <w:r>
        <w:rPr>
          <w:sz w:val="16"/>
          <w:vertAlign w:val="baseline"/>
        </w:rPr>
        <w:t>generally</w:t>
      </w:r>
      <w:r>
        <w:rPr>
          <w:spacing w:val="-3"/>
          <w:sz w:val="16"/>
          <w:vertAlign w:val="baseline"/>
        </w:rPr>
        <w:t> </w:t>
      </w:r>
      <w:r>
        <w:rPr>
          <w:sz w:val="16"/>
          <w:vertAlign w:val="baseline"/>
        </w:rPr>
        <w:t>established</w:t>
      </w:r>
      <w:r>
        <w:rPr>
          <w:spacing w:val="-2"/>
          <w:sz w:val="16"/>
          <w:vertAlign w:val="baseline"/>
        </w:rPr>
        <w:t> </w:t>
      </w:r>
      <w:r>
        <w:rPr>
          <w:sz w:val="16"/>
          <w:vertAlign w:val="baseline"/>
        </w:rPr>
        <w:t>agreement</w:t>
      </w:r>
      <w:r>
        <w:rPr>
          <w:spacing w:val="-1"/>
          <w:sz w:val="16"/>
          <w:vertAlign w:val="baseline"/>
        </w:rPr>
        <w:t> </w:t>
      </w:r>
      <w:r>
        <w:rPr>
          <w:sz w:val="16"/>
          <w:vertAlign w:val="baseline"/>
        </w:rPr>
        <w:t>on</w:t>
      </w:r>
      <w:r>
        <w:rPr>
          <w:spacing w:val="-4"/>
          <w:sz w:val="16"/>
          <w:vertAlign w:val="baseline"/>
        </w:rPr>
        <w:t> </w:t>
      </w:r>
      <w:r>
        <w:rPr>
          <w:sz w:val="16"/>
          <w:vertAlign w:val="baseline"/>
        </w:rPr>
        <w:t>the</w:t>
      </w:r>
      <w:r>
        <w:rPr>
          <w:spacing w:val="-2"/>
          <w:sz w:val="16"/>
          <w:vertAlign w:val="baseline"/>
        </w:rPr>
        <w:t> </w:t>
      </w:r>
      <w:r>
        <w:rPr>
          <w:sz w:val="16"/>
          <w:vertAlign w:val="baseline"/>
        </w:rPr>
        <w:t>precise</w:t>
      </w:r>
      <w:r>
        <w:rPr>
          <w:spacing w:val="-5"/>
          <w:sz w:val="16"/>
          <w:vertAlign w:val="baseline"/>
        </w:rPr>
        <w:t> </w:t>
      </w:r>
      <w:r>
        <w:rPr>
          <w:sz w:val="16"/>
          <w:vertAlign w:val="baseline"/>
        </w:rPr>
        <w:t>distinction</w:t>
      </w:r>
      <w:r>
        <w:rPr>
          <w:spacing w:val="-5"/>
          <w:sz w:val="16"/>
          <w:vertAlign w:val="baseline"/>
        </w:rPr>
        <w:t> </w:t>
      </w:r>
      <w:r>
        <w:rPr>
          <w:sz w:val="16"/>
          <w:vertAlign w:val="baseline"/>
        </w:rPr>
        <w:t>between</w:t>
      </w:r>
      <w:r>
        <w:rPr>
          <w:spacing w:val="-2"/>
          <w:sz w:val="16"/>
          <w:vertAlign w:val="baseline"/>
        </w:rPr>
        <w:t> </w:t>
      </w:r>
      <w:r>
        <w:rPr>
          <w:sz w:val="16"/>
          <w:vertAlign w:val="baseline"/>
        </w:rPr>
        <w:t>the</w:t>
      </w:r>
      <w:r>
        <w:rPr>
          <w:spacing w:val="-2"/>
          <w:sz w:val="16"/>
          <w:vertAlign w:val="baseline"/>
        </w:rPr>
        <w:t> </w:t>
      </w:r>
      <w:r>
        <w:rPr>
          <w:sz w:val="16"/>
          <w:vertAlign w:val="baseline"/>
        </w:rPr>
        <w:t>terms</w:t>
      </w:r>
      <w:r>
        <w:rPr>
          <w:spacing w:val="-12"/>
          <w:sz w:val="16"/>
          <w:vertAlign w:val="baseline"/>
        </w:rPr>
        <w:t> </w:t>
      </w:r>
      <w:r>
        <w:rPr>
          <w:sz w:val="16"/>
          <w:vertAlign w:val="baseline"/>
        </w:rPr>
        <w:t>ALARP</w:t>
      </w:r>
      <w:r>
        <w:rPr>
          <w:spacing w:val="-2"/>
          <w:sz w:val="16"/>
          <w:vertAlign w:val="baseline"/>
        </w:rPr>
        <w:t> </w:t>
      </w:r>
      <w:r>
        <w:rPr>
          <w:sz w:val="16"/>
          <w:vertAlign w:val="baseline"/>
        </w:rPr>
        <w:t>and</w:t>
      </w:r>
      <w:r>
        <w:rPr>
          <w:spacing w:val="-2"/>
          <w:sz w:val="16"/>
          <w:vertAlign w:val="baseline"/>
        </w:rPr>
        <w:t> </w:t>
      </w:r>
      <w:r>
        <w:rPr>
          <w:sz w:val="16"/>
          <w:vertAlign w:val="baseline"/>
        </w:rPr>
        <w:t>SFAIRP,</w:t>
      </w:r>
      <w:r>
        <w:rPr>
          <w:spacing w:val="-3"/>
          <w:sz w:val="16"/>
          <w:vertAlign w:val="baseline"/>
        </w:rPr>
        <w:t> </w:t>
      </w:r>
      <w:r>
        <w:rPr>
          <w:sz w:val="16"/>
          <w:vertAlign w:val="baseline"/>
        </w:rPr>
        <w:t>and</w:t>
      </w:r>
      <w:r>
        <w:rPr>
          <w:spacing w:val="-2"/>
          <w:sz w:val="16"/>
          <w:vertAlign w:val="baseline"/>
        </w:rPr>
        <w:t> </w:t>
      </w:r>
      <w:r>
        <w:rPr>
          <w:sz w:val="16"/>
          <w:vertAlign w:val="baseline"/>
        </w:rPr>
        <w:t>other authorities suggest that the two terms can be used interchangeably (see, for example, the UK Health and Safety Executive guidance,</w:t>
      </w:r>
      <w:r>
        <w:rPr>
          <w:spacing w:val="-1"/>
          <w:sz w:val="16"/>
          <w:vertAlign w:val="baseline"/>
        </w:rPr>
        <w:t> </w:t>
      </w:r>
      <w:r>
        <w:rPr>
          <w:i/>
          <w:sz w:val="16"/>
          <w:vertAlign w:val="baseline"/>
        </w:rPr>
        <w:t>Principles</w:t>
      </w:r>
      <w:r>
        <w:rPr>
          <w:i/>
          <w:spacing w:val="-2"/>
          <w:sz w:val="16"/>
          <w:vertAlign w:val="baseline"/>
        </w:rPr>
        <w:t> </w:t>
      </w:r>
      <w:r>
        <w:rPr>
          <w:i/>
          <w:sz w:val="16"/>
          <w:vertAlign w:val="baseline"/>
        </w:rPr>
        <w:t>and</w:t>
      </w:r>
      <w:r>
        <w:rPr>
          <w:i/>
          <w:spacing w:val="-1"/>
          <w:sz w:val="16"/>
          <w:vertAlign w:val="baseline"/>
        </w:rPr>
        <w:t> </w:t>
      </w:r>
      <w:r>
        <w:rPr>
          <w:i/>
          <w:sz w:val="16"/>
          <w:vertAlign w:val="baseline"/>
        </w:rPr>
        <w:t>guidelines</w:t>
      </w:r>
      <w:r>
        <w:rPr>
          <w:i/>
          <w:spacing w:val="-2"/>
          <w:sz w:val="16"/>
          <w:vertAlign w:val="baseline"/>
        </w:rPr>
        <w:t> </w:t>
      </w:r>
      <w:r>
        <w:rPr>
          <w:i/>
          <w:sz w:val="16"/>
          <w:vertAlign w:val="baseline"/>
        </w:rPr>
        <w:t>to</w:t>
      </w:r>
      <w:r>
        <w:rPr>
          <w:i/>
          <w:spacing w:val="-1"/>
          <w:sz w:val="16"/>
          <w:vertAlign w:val="baseline"/>
        </w:rPr>
        <w:t> </w:t>
      </w:r>
      <w:r>
        <w:rPr>
          <w:i/>
          <w:sz w:val="16"/>
          <w:vertAlign w:val="baseline"/>
        </w:rPr>
        <w:t>assist HSE</w:t>
      </w:r>
      <w:r>
        <w:rPr>
          <w:i/>
          <w:spacing w:val="-2"/>
          <w:sz w:val="16"/>
          <w:vertAlign w:val="baseline"/>
        </w:rPr>
        <w:t> </w:t>
      </w:r>
      <w:r>
        <w:rPr>
          <w:i/>
          <w:sz w:val="16"/>
          <w:vertAlign w:val="baseline"/>
        </w:rPr>
        <w:t>in</w:t>
      </w:r>
      <w:r>
        <w:rPr>
          <w:i/>
          <w:spacing w:val="-1"/>
          <w:sz w:val="16"/>
          <w:vertAlign w:val="baseline"/>
        </w:rPr>
        <w:t> </w:t>
      </w:r>
      <w:r>
        <w:rPr>
          <w:i/>
          <w:sz w:val="16"/>
          <w:vertAlign w:val="baseline"/>
        </w:rPr>
        <w:t>its</w:t>
      </w:r>
      <w:r>
        <w:rPr>
          <w:i/>
          <w:spacing w:val="-2"/>
          <w:sz w:val="16"/>
          <w:vertAlign w:val="baseline"/>
        </w:rPr>
        <w:t> </w:t>
      </w:r>
      <w:r>
        <w:rPr>
          <w:i/>
          <w:sz w:val="16"/>
          <w:vertAlign w:val="baseline"/>
        </w:rPr>
        <w:t>judgements</w:t>
      </w:r>
      <w:r>
        <w:rPr>
          <w:i/>
          <w:spacing w:val="-2"/>
          <w:sz w:val="16"/>
          <w:vertAlign w:val="baseline"/>
        </w:rPr>
        <w:t> </w:t>
      </w:r>
      <w:r>
        <w:rPr>
          <w:i/>
          <w:sz w:val="16"/>
          <w:vertAlign w:val="baseline"/>
        </w:rPr>
        <w:t>that duty-holders have</w:t>
      </w:r>
      <w:r>
        <w:rPr>
          <w:i/>
          <w:spacing w:val="-1"/>
          <w:sz w:val="16"/>
          <w:vertAlign w:val="baseline"/>
        </w:rPr>
        <w:t> </w:t>
      </w:r>
      <w:r>
        <w:rPr>
          <w:i/>
          <w:sz w:val="16"/>
          <w:vertAlign w:val="baseline"/>
        </w:rPr>
        <w:t>reduced</w:t>
      </w:r>
      <w:r>
        <w:rPr>
          <w:i/>
          <w:spacing w:val="-1"/>
          <w:sz w:val="16"/>
          <w:vertAlign w:val="baseline"/>
        </w:rPr>
        <w:t> </w:t>
      </w:r>
      <w:r>
        <w:rPr>
          <w:i/>
          <w:sz w:val="16"/>
          <w:vertAlign w:val="baseline"/>
        </w:rPr>
        <w:t>risk</w:t>
      </w:r>
      <w:r>
        <w:rPr>
          <w:i/>
          <w:spacing w:val="-2"/>
          <w:sz w:val="16"/>
          <w:vertAlign w:val="baseline"/>
        </w:rPr>
        <w:t> </w:t>
      </w:r>
      <w:r>
        <w:rPr>
          <w:i/>
          <w:sz w:val="16"/>
          <w:vertAlign w:val="baseline"/>
        </w:rPr>
        <w:t>as</w:t>
      </w:r>
      <w:r>
        <w:rPr>
          <w:i/>
          <w:spacing w:val="-2"/>
          <w:sz w:val="16"/>
          <w:vertAlign w:val="baseline"/>
        </w:rPr>
        <w:t> </w:t>
      </w:r>
      <w:r>
        <w:rPr>
          <w:i/>
          <w:sz w:val="16"/>
          <w:vertAlign w:val="baseline"/>
        </w:rPr>
        <w:t>low</w:t>
      </w:r>
      <w:r>
        <w:rPr>
          <w:i/>
          <w:spacing w:val="-2"/>
          <w:sz w:val="16"/>
          <w:vertAlign w:val="baseline"/>
        </w:rPr>
        <w:t> </w:t>
      </w:r>
      <w:r>
        <w:rPr>
          <w:i/>
          <w:sz w:val="16"/>
          <w:vertAlign w:val="baseline"/>
        </w:rPr>
        <w:t>as reasonably practicable</w:t>
      </w:r>
      <w:r>
        <w:rPr>
          <w:sz w:val="16"/>
          <w:vertAlign w:val="baseline"/>
        </w:rPr>
        <w:t>, available on its website). Nevertheless, the methodological distinction between the target risk and a precaution- based approaches, and the other important practical implications identified by R2A, are highly relevant to the Review’s consideration and have helped inform its assessment of leading practice.</w:t>
      </w:r>
    </w:p>
    <w:p>
      <w:pPr>
        <w:spacing w:after="0"/>
        <w:jc w:val="left"/>
        <w:rPr>
          <w:sz w:val="16"/>
        </w:rPr>
        <w:sectPr>
          <w:pgSz w:w="11910" w:h="16840"/>
          <w:pgMar w:header="887" w:footer="1286" w:top="1080" w:bottom="1500" w:left="840" w:right="820"/>
        </w:sectPr>
      </w:pPr>
    </w:p>
    <w:p>
      <w:pPr>
        <w:pStyle w:val="BodyText"/>
        <w:rPr>
          <w:sz w:val="20"/>
        </w:rPr>
      </w:pPr>
    </w:p>
    <w:p>
      <w:pPr>
        <w:pStyle w:val="BodyText"/>
        <w:rPr>
          <w:sz w:val="20"/>
        </w:rPr>
      </w:pPr>
    </w:p>
    <w:p>
      <w:pPr>
        <w:pStyle w:val="BodyText"/>
        <w:spacing w:before="10"/>
        <w:rPr>
          <w:sz w:val="23"/>
        </w:rPr>
      </w:pPr>
    </w:p>
    <w:p>
      <w:pPr>
        <w:pStyle w:val="ListParagraph"/>
        <w:numPr>
          <w:ilvl w:val="1"/>
          <w:numId w:val="28"/>
        </w:numPr>
        <w:tabs>
          <w:tab w:pos="1102" w:val="left" w:leader="none"/>
        </w:tabs>
        <w:spacing w:line="288" w:lineRule="auto" w:before="0" w:after="0"/>
        <w:ind w:left="1102" w:right="1171" w:hanging="360"/>
        <w:jc w:val="left"/>
        <w:rPr>
          <w:sz w:val="22"/>
        </w:rPr>
      </w:pPr>
      <w:r>
        <w:rPr>
          <w:sz w:val="22"/>
        </w:rPr>
        <w:t>“</w:t>
      </w:r>
      <w:r>
        <w:rPr>
          <w:i/>
          <w:sz w:val="22"/>
        </w:rPr>
        <w:t>if</w:t>
      </w:r>
      <w:r>
        <w:rPr>
          <w:i/>
          <w:spacing w:val="-4"/>
          <w:sz w:val="22"/>
        </w:rPr>
        <w:t> </w:t>
      </w:r>
      <w:r>
        <w:rPr>
          <w:i/>
          <w:sz w:val="22"/>
        </w:rPr>
        <w:t>the</w:t>
      </w:r>
      <w:r>
        <w:rPr>
          <w:i/>
          <w:spacing w:val="-5"/>
          <w:sz w:val="22"/>
        </w:rPr>
        <w:t> </w:t>
      </w:r>
      <w:r>
        <w:rPr>
          <w:i/>
          <w:sz w:val="22"/>
        </w:rPr>
        <w:t>risk</w:t>
      </w:r>
      <w:r>
        <w:rPr>
          <w:i/>
          <w:spacing w:val="-2"/>
          <w:sz w:val="22"/>
        </w:rPr>
        <w:t> </w:t>
      </w:r>
      <w:r>
        <w:rPr>
          <w:i/>
          <w:sz w:val="22"/>
        </w:rPr>
        <w:t>associated</w:t>
      </w:r>
      <w:r>
        <w:rPr>
          <w:i/>
          <w:spacing w:val="-5"/>
          <w:sz w:val="22"/>
        </w:rPr>
        <w:t> </w:t>
      </w:r>
      <w:r>
        <w:rPr>
          <w:i/>
          <w:sz w:val="22"/>
        </w:rPr>
        <w:t>with</w:t>
      </w:r>
      <w:r>
        <w:rPr>
          <w:i/>
          <w:spacing w:val="-3"/>
          <w:sz w:val="22"/>
        </w:rPr>
        <w:t> </w:t>
      </w:r>
      <w:r>
        <w:rPr>
          <w:i/>
          <w:sz w:val="22"/>
        </w:rPr>
        <w:t>a</w:t>
      </w:r>
      <w:r>
        <w:rPr>
          <w:i/>
          <w:spacing w:val="-2"/>
          <w:sz w:val="22"/>
        </w:rPr>
        <w:t> </w:t>
      </w:r>
      <w:r>
        <w:rPr>
          <w:i/>
          <w:sz w:val="22"/>
        </w:rPr>
        <w:t>hazard</w:t>
      </w:r>
      <w:r>
        <w:rPr>
          <w:i/>
          <w:spacing w:val="-2"/>
          <w:sz w:val="22"/>
        </w:rPr>
        <w:t> </w:t>
      </w:r>
      <w:r>
        <w:rPr>
          <w:i/>
          <w:sz w:val="22"/>
        </w:rPr>
        <w:t>is</w:t>
      </w:r>
      <w:r>
        <w:rPr>
          <w:i/>
          <w:spacing w:val="-2"/>
          <w:sz w:val="22"/>
        </w:rPr>
        <w:t> </w:t>
      </w:r>
      <w:r>
        <w:rPr>
          <w:i/>
          <w:sz w:val="22"/>
        </w:rPr>
        <w:t>below</w:t>
      </w:r>
      <w:r>
        <w:rPr>
          <w:i/>
          <w:spacing w:val="-4"/>
          <w:sz w:val="22"/>
        </w:rPr>
        <w:t> </w:t>
      </w:r>
      <w:r>
        <w:rPr>
          <w:i/>
          <w:sz w:val="22"/>
        </w:rPr>
        <w:t>the</w:t>
      </w:r>
      <w:r>
        <w:rPr>
          <w:i/>
          <w:spacing w:val="-5"/>
          <w:sz w:val="22"/>
        </w:rPr>
        <w:t> </w:t>
      </w:r>
      <w:r>
        <w:rPr>
          <w:i/>
          <w:sz w:val="22"/>
        </w:rPr>
        <w:t>acceptable</w:t>
      </w:r>
      <w:r>
        <w:rPr>
          <w:i/>
          <w:spacing w:val="-3"/>
          <w:sz w:val="22"/>
        </w:rPr>
        <w:t> </w:t>
      </w:r>
      <w:r>
        <w:rPr>
          <w:i/>
          <w:sz w:val="22"/>
        </w:rPr>
        <w:t>or</w:t>
      </w:r>
      <w:r>
        <w:rPr>
          <w:i/>
          <w:spacing w:val="-4"/>
          <w:sz w:val="22"/>
        </w:rPr>
        <w:t> </w:t>
      </w:r>
      <w:r>
        <w:rPr>
          <w:i/>
          <w:sz w:val="22"/>
        </w:rPr>
        <w:t>tolerable</w:t>
      </w:r>
      <w:r>
        <w:rPr>
          <w:i/>
          <w:spacing w:val="-5"/>
          <w:sz w:val="22"/>
        </w:rPr>
        <w:t> </w:t>
      </w:r>
      <w:r>
        <w:rPr>
          <w:i/>
          <w:sz w:val="22"/>
        </w:rPr>
        <w:t>threshold, there is a tendency to say that nothing further needs to be done, which is always problematic with low frequency, high severity events.</w:t>
      </w:r>
      <w:r>
        <w:rPr>
          <w:sz w:val="22"/>
        </w:rPr>
        <w:t>” (R2A, 2017, p. 10)</w:t>
      </w:r>
    </w:p>
    <w:p>
      <w:pPr>
        <w:pStyle w:val="BodyText"/>
        <w:spacing w:before="9"/>
        <w:rPr>
          <w:sz w:val="20"/>
        </w:rPr>
      </w:pPr>
    </w:p>
    <w:p>
      <w:pPr>
        <w:spacing w:line="288" w:lineRule="auto" w:before="0"/>
        <w:ind w:left="600" w:right="586" w:firstLine="0"/>
        <w:jc w:val="left"/>
        <w:rPr>
          <w:sz w:val="22"/>
        </w:rPr>
      </w:pPr>
      <w:r>
        <w:rPr>
          <w:sz w:val="22"/>
        </w:rPr>
        <w:t>The Review is persuaded by the arguments that a pure target risk approach, while having some</w:t>
      </w:r>
      <w:r>
        <w:rPr>
          <w:spacing w:val="-5"/>
          <w:sz w:val="22"/>
        </w:rPr>
        <w:t> </w:t>
      </w:r>
      <w:r>
        <w:rPr>
          <w:sz w:val="22"/>
        </w:rPr>
        <w:t>theoretical</w:t>
      </w:r>
      <w:r>
        <w:rPr>
          <w:spacing w:val="-3"/>
          <w:sz w:val="22"/>
        </w:rPr>
        <w:t> </w:t>
      </w:r>
      <w:r>
        <w:rPr>
          <w:sz w:val="22"/>
        </w:rPr>
        <w:t>elegance,</w:t>
      </w:r>
      <w:r>
        <w:rPr>
          <w:spacing w:val="-2"/>
          <w:sz w:val="22"/>
        </w:rPr>
        <w:t> </w:t>
      </w:r>
      <w:r>
        <w:rPr>
          <w:sz w:val="22"/>
        </w:rPr>
        <w:t>is</w:t>
      </w:r>
      <w:r>
        <w:rPr>
          <w:spacing w:val="-2"/>
          <w:sz w:val="22"/>
        </w:rPr>
        <w:t> </w:t>
      </w:r>
      <w:r>
        <w:rPr>
          <w:sz w:val="22"/>
        </w:rPr>
        <w:t>less</w:t>
      </w:r>
      <w:r>
        <w:rPr>
          <w:spacing w:val="-5"/>
          <w:sz w:val="22"/>
        </w:rPr>
        <w:t> </w:t>
      </w:r>
      <w:r>
        <w:rPr>
          <w:sz w:val="22"/>
        </w:rPr>
        <w:t>robust</w:t>
      </w:r>
      <w:r>
        <w:rPr>
          <w:spacing w:val="-2"/>
          <w:sz w:val="22"/>
        </w:rPr>
        <w:t> </w:t>
      </w:r>
      <w:r>
        <w:rPr>
          <w:sz w:val="22"/>
        </w:rPr>
        <w:t>in</w:t>
      </w:r>
      <w:r>
        <w:rPr>
          <w:spacing w:val="-3"/>
          <w:sz w:val="22"/>
        </w:rPr>
        <w:t> </w:t>
      </w:r>
      <w:r>
        <w:rPr>
          <w:sz w:val="22"/>
        </w:rPr>
        <w:t>practice</w:t>
      </w:r>
      <w:r>
        <w:rPr>
          <w:spacing w:val="-2"/>
          <w:sz w:val="22"/>
        </w:rPr>
        <w:t> </w:t>
      </w:r>
      <w:r>
        <w:rPr>
          <w:sz w:val="22"/>
        </w:rPr>
        <w:t>than</w:t>
      </w:r>
      <w:r>
        <w:rPr>
          <w:spacing w:val="-5"/>
          <w:sz w:val="22"/>
        </w:rPr>
        <w:t> </w:t>
      </w:r>
      <w:r>
        <w:rPr>
          <w:sz w:val="22"/>
        </w:rPr>
        <w:t>a</w:t>
      </w:r>
      <w:r>
        <w:rPr>
          <w:spacing w:val="-3"/>
          <w:sz w:val="22"/>
        </w:rPr>
        <w:t> </w:t>
      </w:r>
      <w:r>
        <w:rPr>
          <w:sz w:val="22"/>
        </w:rPr>
        <w:t>precaution-based</w:t>
      </w:r>
      <w:r>
        <w:rPr>
          <w:spacing w:val="-3"/>
          <w:sz w:val="22"/>
        </w:rPr>
        <w:t> </w:t>
      </w:r>
      <w:r>
        <w:rPr>
          <w:sz w:val="22"/>
        </w:rPr>
        <w:t>approach,</w:t>
      </w:r>
      <w:r>
        <w:rPr>
          <w:spacing w:val="-1"/>
          <w:sz w:val="22"/>
        </w:rPr>
        <w:t> </w:t>
      </w:r>
      <w:r>
        <w:rPr>
          <w:sz w:val="22"/>
        </w:rPr>
        <w:t>as embedded in the definitions applied in safety-related legislation, including the Victorian </w:t>
      </w:r>
      <w:r>
        <w:rPr>
          <w:i/>
          <w:sz w:val="22"/>
        </w:rPr>
        <w:t>Occupational Health and Safety Act 2004</w:t>
      </w:r>
      <w:r>
        <w:rPr>
          <w:sz w:val="22"/>
        </w:rPr>
        <w:t>. Indeed, as outlined further in </w:t>
      </w:r>
      <w:r>
        <w:rPr>
          <w:i/>
          <w:sz w:val="22"/>
        </w:rPr>
        <w:t>Chapter 9: Strengthening the Foundations for Future Network Safety Regulation</w:t>
      </w:r>
      <w:r>
        <w:rPr>
          <w:sz w:val="22"/>
        </w:rPr>
        <w:t>, the Review is proposing a recommendation that this definition be formally adopted for electricity and gas network safety.</w:t>
      </w:r>
    </w:p>
    <w:p>
      <w:pPr>
        <w:spacing w:after="0" w:line="288" w:lineRule="auto"/>
        <w:jc w:val="left"/>
        <w:rPr>
          <w:sz w:val="22"/>
        </w:rPr>
        <w:sectPr>
          <w:pgSz w:w="11910" w:h="16840"/>
          <w:pgMar w:header="887" w:footer="1286" w:top="1080" w:bottom="1500" w:left="840" w:right="820"/>
        </w:sectPr>
      </w:pPr>
    </w:p>
    <w:p>
      <w:pPr>
        <w:pStyle w:val="BodyText"/>
        <w:rPr>
          <w:sz w:val="20"/>
        </w:rPr>
      </w:pPr>
    </w:p>
    <w:p>
      <w:pPr>
        <w:pStyle w:val="BodyText"/>
        <w:rPr>
          <w:sz w:val="20"/>
        </w:rPr>
      </w:pPr>
    </w:p>
    <w:p>
      <w:pPr>
        <w:pStyle w:val="BodyText"/>
        <w:rPr>
          <w:sz w:val="20"/>
        </w:rPr>
      </w:pPr>
    </w:p>
    <w:p>
      <w:pPr>
        <w:pStyle w:val="BodyText"/>
        <w:spacing w:before="3"/>
        <w:rPr>
          <w:sz w:val="23"/>
        </w:rPr>
      </w:pPr>
    </w:p>
    <w:p>
      <w:pPr>
        <w:pStyle w:val="Heading7"/>
        <w:ind w:left="742"/>
      </w:pPr>
      <w:r>
        <w:rPr/>
        <mc:AlternateContent>
          <mc:Choice Requires="wps">
            <w:drawing>
              <wp:anchor distT="0" distB="0" distL="0" distR="0" allowOverlap="1" layoutInCell="1" locked="0" behindDoc="1" simplePos="0" relativeHeight="482697728">
                <wp:simplePos x="0" y="0"/>
                <wp:positionH relativeFrom="page">
                  <wp:posOffset>914704</wp:posOffset>
                </wp:positionH>
                <wp:positionV relativeFrom="paragraph">
                  <wp:posOffset>-152680</wp:posOffset>
                </wp:positionV>
                <wp:extent cx="5732780" cy="7278370"/>
                <wp:effectExtent l="0" t="0" r="0" b="0"/>
                <wp:wrapNone/>
                <wp:docPr id="88" name="Graphic 88"/>
                <wp:cNvGraphicFramePr>
                  <a:graphicFrameLocks/>
                </wp:cNvGraphicFramePr>
                <a:graphic>
                  <a:graphicData uri="http://schemas.microsoft.com/office/word/2010/wordprocessingShape">
                    <wps:wsp>
                      <wps:cNvPr id="88" name="Graphic 88"/>
                      <wps:cNvSpPr/>
                      <wps:spPr>
                        <a:xfrm>
                          <a:off x="0" y="0"/>
                          <a:ext cx="5732780" cy="7278370"/>
                        </a:xfrm>
                        <a:custGeom>
                          <a:avLst/>
                          <a:gdLst/>
                          <a:ahLst/>
                          <a:cxnLst/>
                          <a:rect l="l" t="t" r="r" b="b"/>
                          <a:pathLst>
                            <a:path w="5732780" h="7278370">
                              <a:moveTo>
                                <a:pt x="5732653" y="0"/>
                              </a:moveTo>
                              <a:lnTo>
                                <a:pt x="0" y="0"/>
                              </a:lnTo>
                              <a:lnTo>
                                <a:pt x="0" y="7278370"/>
                              </a:lnTo>
                              <a:lnTo>
                                <a:pt x="5732653" y="7278370"/>
                              </a:lnTo>
                              <a:lnTo>
                                <a:pt x="5732653" y="0"/>
                              </a:lnTo>
                              <a:close/>
                            </a:path>
                          </a:pathLst>
                        </a:custGeom>
                        <a:solidFill>
                          <a:srgbClr val="CDEBEB"/>
                        </a:solidFill>
                      </wps:spPr>
                      <wps:bodyPr wrap="square" lIns="0" tIns="0" rIns="0" bIns="0" rtlCol="0">
                        <a:prstTxWarp prst="textNoShape">
                          <a:avLst/>
                        </a:prstTxWarp>
                        <a:noAutofit/>
                      </wps:bodyPr>
                    </wps:wsp>
                  </a:graphicData>
                </a:graphic>
              </wp:anchor>
            </w:drawing>
          </mc:Choice>
          <mc:Fallback>
            <w:pict>
              <v:rect style="position:absolute;margin-left:72.024002pt;margin-top:-12.022102pt;width:451.39pt;height:573.1pt;mso-position-horizontal-relative:page;mso-position-vertical-relative:paragraph;z-index:-20618752" id="docshape78" filled="true" fillcolor="#cdebeb" stroked="false">
                <v:fill type="solid"/>
                <w10:wrap type="none"/>
              </v:rect>
            </w:pict>
          </mc:Fallback>
        </mc:AlternateContent>
      </w:r>
      <w:r>
        <w:rPr/>
        <w:t>Box</w:t>
      </w:r>
      <w:r>
        <w:rPr>
          <w:spacing w:val="-8"/>
        </w:rPr>
        <w:t> </w:t>
      </w:r>
      <w:r>
        <w:rPr/>
        <w:t>4:</w:t>
      </w:r>
      <w:r>
        <w:rPr>
          <w:spacing w:val="-3"/>
        </w:rPr>
        <w:t> </w:t>
      </w:r>
      <w:r>
        <w:rPr/>
        <w:t>Regulatory</w:t>
      </w:r>
      <w:r>
        <w:rPr>
          <w:spacing w:val="-9"/>
        </w:rPr>
        <w:t> </w:t>
      </w:r>
      <w:r>
        <w:rPr/>
        <w:t>guidance</w:t>
      </w:r>
      <w:r>
        <w:rPr>
          <w:spacing w:val="-6"/>
        </w:rPr>
        <w:t> </w:t>
      </w:r>
      <w:r>
        <w:rPr/>
        <w:t>on</w:t>
      </w:r>
      <w:r>
        <w:rPr>
          <w:spacing w:val="-7"/>
        </w:rPr>
        <w:t> </w:t>
      </w:r>
      <w:r>
        <w:rPr/>
        <w:t>the</w:t>
      </w:r>
      <w:r>
        <w:rPr>
          <w:spacing w:val="-5"/>
        </w:rPr>
        <w:t> </w:t>
      </w:r>
      <w:r>
        <w:rPr/>
        <w:t>precaution-based</w:t>
      </w:r>
      <w:r>
        <w:rPr>
          <w:spacing w:val="-5"/>
        </w:rPr>
        <w:t> </w:t>
      </w:r>
      <w:r>
        <w:rPr>
          <w:spacing w:val="-2"/>
        </w:rPr>
        <w:t>approach</w:t>
      </w:r>
    </w:p>
    <w:p>
      <w:pPr>
        <w:pStyle w:val="BodyText"/>
        <w:spacing w:before="4"/>
        <w:rPr>
          <w:b/>
          <w:sz w:val="25"/>
        </w:rPr>
      </w:pPr>
    </w:p>
    <w:p>
      <w:pPr>
        <w:spacing w:line="288" w:lineRule="auto" w:before="1"/>
        <w:ind w:left="713" w:right="769" w:firstLine="0"/>
        <w:jc w:val="left"/>
        <w:rPr>
          <w:sz w:val="22"/>
        </w:rPr>
      </w:pPr>
      <w:r>
        <w:rPr>
          <w:sz w:val="22"/>
        </w:rPr>
        <w:t>In its</w:t>
      </w:r>
      <w:r>
        <w:rPr>
          <w:spacing w:val="-1"/>
          <w:sz w:val="22"/>
        </w:rPr>
        <w:t> </w:t>
      </w:r>
      <w:r>
        <w:rPr>
          <w:sz w:val="22"/>
        </w:rPr>
        <w:t>first submission to the Review, R2A highlighted the problem</w:t>
      </w:r>
      <w:r>
        <w:rPr>
          <w:spacing w:val="-1"/>
          <w:sz w:val="22"/>
        </w:rPr>
        <w:t> </w:t>
      </w:r>
      <w:r>
        <w:rPr>
          <w:sz w:val="22"/>
        </w:rPr>
        <w:t>for the electricity sector of</w:t>
      </w:r>
      <w:r>
        <w:rPr>
          <w:spacing w:val="-1"/>
          <w:sz w:val="22"/>
        </w:rPr>
        <w:t> </w:t>
      </w:r>
      <w:r>
        <w:rPr>
          <w:sz w:val="22"/>
        </w:rPr>
        <w:t>the</w:t>
      </w:r>
      <w:r>
        <w:rPr>
          <w:spacing w:val="-5"/>
          <w:sz w:val="22"/>
        </w:rPr>
        <w:t> </w:t>
      </w:r>
      <w:r>
        <w:rPr>
          <w:sz w:val="22"/>
        </w:rPr>
        <w:t>risk</w:t>
      </w:r>
      <w:r>
        <w:rPr>
          <w:spacing w:val="-2"/>
          <w:sz w:val="22"/>
        </w:rPr>
        <w:t> </w:t>
      </w:r>
      <w:r>
        <w:rPr>
          <w:sz w:val="22"/>
        </w:rPr>
        <w:t>management</w:t>
      </w:r>
      <w:r>
        <w:rPr>
          <w:spacing w:val="-6"/>
          <w:sz w:val="22"/>
        </w:rPr>
        <w:t> </w:t>
      </w:r>
      <w:r>
        <w:rPr>
          <w:sz w:val="22"/>
        </w:rPr>
        <w:t>standard</w:t>
      </w:r>
      <w:r>
        <w:rPr>
          <w:spacing w:val="-5"/>
          <w:sz w:val="22"/>
        </w:rPr>
        <w:t> </w:t>
      </w:r>
      <w:r>
        <w:rPr>
          <w:sz w:val="22"/>
        </w:rPr>
        <w:t>ISO</w:t>
      </w:r>
      <w:r>
        <w:rPr>
          <w:spacing w:val="-1"/>
          <w:sz w:val="22"/>
        </w:rPr>
        <w:t> </w:t>
      </w:r>
      <w:r>
        <w:rPr>
          <w:sz w:val="22"/>
        </w:rPr>
        <w:t>31000</w:t>
      </w:r>
      <w:r>
        <w:rPr>
          <w:spacing w:val="-5"/>
          <w:sz w:val="22"/>
        </w:rPr>
        <w:t> </w:t>
      </w:r>
      <w:r>
        <w:rPr>
          <w:sz w:val="22"/>
        </w:rPr>
        <w:t>requiring</w:t>
      </w:r>
      <w:r>
        <w:rPr>
          <w:spacing w:val="-1"/>
          <w:sz w:val="22"/>
        </w:rPr>
        <w:t> </w:t>
      </w:r>
      <w:r>
        <w:rPr>
          <w:sz w:val="22"/>
        </w:rPr>
        <w:t>a</w:t>
      </w:r>
      <w:r>
        <w:rPr>
          <w:spacing w:val="-5"/>
          <w:sz w:val="22"/>
        </w:rPr>
        <w:t> </w:t>
      </w:r>
      <w:r>
        <w:rPr>
          <w:sz w:val="22"/>
        </w:rPr>
        <w:t>risk</w:t>
      </w:r>
      <w:r>
        <w:rPr>
          <w:spacing w:val="-2"/>
          <w:sz w:val="22"/>
        </w:rPr>
        <w:t> </w:t>
      </w:r>
      <w:r>
        <w:rPr>
          <w:sz w:val="22"/>
        </w:rPr>
        <w:t>target</w:t>
      </w:r>
      <w:r>
        <w:rPr>
          <w:spacing w:val="-4"/>
          <w:sz w:val="22"/>
        </w:rPr>
        <w:t> </w:t>
      </w:r>
      <w:r>
        <w:rPr>
          <w:sz w:val="22"/>
        </w:rPr>
        <w:t>approach,</w:t>
      </w:r>
      <w:r>
        <w:rPr>
          <w:spacing w:val="-1"/>
          <w:sz w:val="22"/>
        </w:rPr>
        <w:t> </w:t>
      </w:r>
      <w:r>
        <w:rPr>
          <w:sz w:val="22"/>
        </w:rPr>
        <w:t>and</w:t>
      </w:r>
      <w:r>
        <w:rPr>
          <w:spacing w:val="-5"/>
          <w:sz w:val="22"/>
        </w:rPr>
        <w:t> </w:t>
      </w:r>
      <w:r>
        <w:rPr>
          <w:sz w:val="22"/>
        </w:rPr>
        <w:t>internal contradictions with references to precaution and risk target approaches in </w:t>
      </w:r>
      <w:r>
        <w:rPr>
          <w:i/>
          <w:sz w:val="22"/>
        </w:rPr>
        <w:t>AS 5577 Electricity network safety management systems </w:t>
      </w:r>
      <w:r>
        <w:rPr>
          <w:sz w:val="22"/>
        </w:rPr>
        <w:t>and the </w:t>
      </w:r>
      <w:r>
        <w:rPr>
          <w:i/>
          <w:sz w:val="22"/>
        </w:rPr>
        <w:t>EG(0) Power System Earthing </w:t>
      </w:r>
      <w:r>
        <w:rPr>
          <w:i/>
          <w:spacing w:val="-2"/>
          <w:sz w:val="22"/>
        </w:rPr>
        <w:t>Guide</w:t>
      </w:r>
      <w:r>
        <w:rPr>
          <w:spacing w:val="-2"/>
          <w:sz w:val="22"/>
        </w:rPr>
        <w:t>.</w:t>
      </w:r>
    </w:p>
    <w:p>
      <w:pPr>
        <w:pStyle w:val="BodyText"/>
        <w:spacing w:before="8"/>
        <w:rPr>
          <w:sz w:val="20"/>
        </w:rPr>
      </w:pPr>
    </w:p>
    <w:p>
      <w:pPr>
        <w:spacing w:line="288" w:lineRule="auto" w:before="1"/>
        <w:ind w:left="713" w:right="769" w:firstLine="0"/>
        <w:jc w:val="left"/>
        <w:rPr>
          <w:sz w:val="22"/>
        </w:rPr>
      </w:pPr>
      <w:r>
        <w:rPr>
          <w:sz w:val="22"/>
        </w:rPr>
        <w:t>In its guidance to auditors, in the context of AS 5577, the NSW regulator for electricity network safety attempts to clarify the precaution-based approach is to be used. It states that where AS 5577 requires implementation of controls that reduce hazard to “as low as reasonably practicable” (ALARP), it means that “</w:t>
      </w:r>
      <w:r>
        <w:rPr>
          <w:i/>
          <w:sz w:val="22"/>
        </w:rPr>
        <w:t>network operators consider all options and implement further reasonable practicable risk reduction options even if they have reduced</w:t>
      </w:r>
      <w:r>
        <w:rPr>
          <w:i/>
          <w:spacing w:val="-4"/>
          <w:sz w:val="22"/>
        </w:rPr>
        <w:t> </w:t>
      </w:r>
      <w:r>
        <w:rPr>
          <w:i/>
          <w:sz w:val="22"/>
        </w:rPr>
        <w:t>risks</w:t>
      </w:r>
      <w:r>
        <w:rPr>
          <w:i/>
          <w:spacing w:val="-4"/>
          <w:sz w:val="22"/>
        </w:rPr>
        <w:t> </w:t>
      </w:r>
      <w:r>
        <w:rPr>
          <w:i/>
          <w:sz w:val="22"/>
        </w:rPr>
        <w:t>to</w:t>
      </w:r>
      <w:r>
        <w:rPr>
          <w:i/>
          <w:spacing w:val="-2"/>
          <w:sz w:val="22"/>
        </w:rPr>
        <w:t> </w:t>
      </w:r>
      <w:r>
        <w:rPr>
          <w:i/>
          <w:sz w:val="22"/>
        </w:rPr>
        <w:t>established</w:t>
      </w:r>
      <w:r>
        <w:rPr>
          <w:i/>
          <w:spacing w:val="-2"/>
          <w:sz w:val="22"/>
        </w:rPr>
        <w:t> </w:t>
      </w:r>
      <w:r>
        <w:rPr>
          <w:i/>
          <w:sz w:val="22"/>
        </w:rPr>
        <w:t>tolerable</w:t>
      </w:r>
      <w:r>
        <w:rPr>
          <w:i/>
          <w:spacing w:val="-4"/>
          <w:sz w:val="22"/>
        </w:rPr>
        <w:t> </w:t>
      </w:r>
      <w:r>
        <w:rPr>
          <w:i/>
          <w:sz w:val="22"/>
        </w:rPr>
        <w:t>criteria</w:t>
      </w:r>
      <w:r>
        <w:rPr>
          <w:sz w:val="22"/>
        </w:rPr>
        <w:t>.”</w:t>
      </w:r>
      <w:r>
        <w:rPr>
          <w:spacing w:val="-3"/>
          <w:sz w:val="22"/>
        </w:rPr>
        <w:t> </w:t>
      </w:r>
      <w:r>
        <w:rPr>
          <w:sz w:val="22"/>
        </w:rPr>
        <w:t>It</w:t>
      </w:r>
      <w:r>
        <w:rPr>
          <w:spacing w:val="-5"/>
          <w:sz w:val="22"/>
        </w:rPr>
        <w:t> </w:t>
      </w:r>
      <w:r>
        <w:rPr>
          <w:sz w:val="22"/>
        </w:rPr>
        <w:t>also</w:t>
      </w:r>
      <w:r>
        <w:rPr>
          <w:spacing w:val="-2"/>
          <w:sz w:val="22"/>
        </w:rPr>
        <w:t> </w:t>
      </w:r>
      <w:r>
        <w:rPr>
          <w:sz w:val="22"/>
        </w:rPr>
        <w:t>states,</w:t>
      </w:r>
      <w:r>
        <w:rPr>
          <w:spacing w:val="-3"/>
          <w:sz w:val="22"/>
        </w:rPr>
        <w:t> </w:t>
      </w:r>
      <w:r>
        <w:rPr>
          <w:sz w:val="22"/>
        </w:rPr>
        <w:t>“</w:t>
      </w:r>
      <w:r>
        <w:rPr>
          <w:i/>
          <w:sz w:val="22"/>
        </w:rPr>
        <w:t>more</w:t>
      </w:r>
      <w:r>
        <w:rPr>
          <w:i/>
          <w:spacing w:val="-4"/>
          <w:sz w:val="22"/>
        </w:rPr>
        <w:t> </w:t>
      </w:r>
      <w:r>
        <w:rPr>
          <w:i/>
          <w:sz w:val="22"/>
        </w:rPr>
        <w:t>serious</w:t>
      </w:r>
      <w:r>
        <w:rPr>
          <w:i/>
          <w:spacing w:val="-1"/>
          <w:sz w:val="22"/>
        </w:rPr>
        <w:t> </w:t>
      </w:r>
      <w:r>
        <w:rPr>
          <w:i/>
          <w:sz w:val="22"/>
        </w:rPr>
        <w:t>consequences may be justification for greater expenditure on a control even if the likelihood is low</w:t>
      </w:r>
      <w:r>
        <w:rPr>
          <w:sz w:val="22"/>
        </w:rPr>
        <w:t>” (IPART, 2017, p. 7).</w:t>
      </w:r>
    </w:p>
    <w:p>
      <w:pPr>
        <w:pStyle w:val="BodyText"/>
        <w:spacing w:before="10"/>
        <w:rPr>
          <w:sz w:val="20"/>
        </w:rPr>
      </w:pPr>
    </w:p>
    <w:p>
      <w:pPr>
        <w:spacing w:line="288" w:lineRule="auto" w:before="0"/>
        <w:ind w:left="713" w:right="713" w:firstLine="0"/>
        <w:jc w:val="left"/>
        <w:rPr>
          <w:sz w:val="22"/>
        </w:rPr>
      </w:pPr>
      <w:r>
        <w:rPr>
          <w:sz w:val="22"/>
        </w:rPr>
        <w:t>Similar guidance is found within the draft AS 2885.6 for pipeline safety which states, “</w:t>
      </w:r>
      <w:r>
        <w:rPr>
          <w:i/>
          <w:sz w:val="22"/>
        </w:rPr>
        <w:t>ALARP</w:t>
      </w:r>
      <w:r>
        <w:rPr>
          <w:i/>
          <w:spacing w:val="-2"/>
          <w:sz w:val="22"/>
        </w:rPr>
        <w:t> </w:t>
      </w:r>
      <w:r>
        <w:rPr>
          <w:i/>
          <w:sz w:val="22"/>
        </w:rPr>
        <w:t>is</w:t>
      </w:r>
      <w:r>
        <w:rPr>
          <w:i/>
          <w:spacing w:val="-1"/>
          <w:sz w:val="22"/>
        </w:rPr>
        <w:t> </w:t>
      </w:r>
      <w:r>
        <w:rPr>
          <w:i/>
          <w:sz w:val="22"/>
        </w:rPr>
        <w:t>not</w:t>
      </w:r>
      <w:r>
        <w:rPr>
          <w:i/>
          <w:spacing w:val="-3"/>
          <w:sz w:val="22"/>
        </w:rPr>
        <w:t> </w:t>
      </w:r>
      <w:r>
        <w:rPr>
          <w:i/>
          <w:sz w:val="22"/>
        </w:rPr>
        <w:t>an</w:t>
      </w:r>
      <w:r>
        <w:rPr>
          <w:i/>
          <w:spacing w:val="-2"/>
          <w:sz w:val="22"/>
        </w:rPr>
        <w:t> </w:t>
      </w:r>
      <w:r>
        <w:rPr>
          <w:i/>
          <w:sz w:val="22"/>
        </w:rPr>
        <w:t>equation, a</w:t>
      </w:r>
      <w:r>
        <w:rPr>
          <w:i/>
          <w:spacing w:val="-4"/>
          <w:sz w:val="22"/>
        </w:rPr>
        <w:t> </w:t>
      </w:r>
      <w:r>
        <w:rPr>
          <w:i/>
          <w:sz w:val="22"/>
        </w:rPr>
        <w:t>specific</w:t>
      </w:r>
      <w:r>
        <w:rPr>
          <w:i/>
          <w:spacing w:val="-4"/>
          <w:sz w:val="22"/>
        </w:rPr>
        <w:t> </w:t>
      </w:r>
      <w:r>
        <w:rPr>
          <w:i/>
          <w:sz w:val="22"/>
        </w:rPr>
        <w:t>test</w:t>
      </w:r>
      <w:r>
        <w:rPr>
          <w:i/>
          <w:spacing w:val="-3"/>
          <w:sz w:val="22"/>
        </w:rPr>
        <w:t> </w:t>
      </w:r>
      <w:r>
        <w:rPr>
          <w:i/>
          <w:sz w:val="22"/>
        </w:rPr>
        <w:t>that</w:t>
      </w:r>
      <w:r>
        <w:rPr>
          <w:i/>
          <w:spacing w:val="-3"/>
          <w:sz w:val="22"/>
        </w:rPr>
        <w:t> </w:t>
      </w:r>
      <w:r>
        <w:rPr>
          <w:i/>
          <w:sz w:val="22"/>
        </w:rPr>
        <w:t>applies</w:t>
      </w:r>
      <w:r>
        <w:rPr>
          <w:i/>
          <w:spacing w:val="-2"/>
          <w:sz w:val="22"/>
        </w:rPr>
        <w:t> </w:t>
      </w:r>
      <w:r>
        <w:rPr>
          <w:i/>
          <w:sz w:val="22"/>
        </w:rPr>
        <w:t>in</w:t>
      </w:r>
      <w:r>
        <w:rPr>
          <w:i/>
          <w:spacing w:val="-2"/>
          <w:sz w:val="22"/>
        </w:rPr>
        <w:t> </w:t>
      </w:r>
      <w:r>
        <w:rPr>
          <w:i/>
          <w:sz w:val="22"/>
        </w:rPr>
        <w:t>only</w:t>
      </w:r>
      <w:r>
        <w:rPr>
          <w:i/>
          <w:spacing w:val="-1"/>
          <w:sz w:val="22"/>
        </w:rPr>
        <w:t> </w:t>
      </w:r>
      <w:r>
        <w:rPr>
          <w:i/>
          <w:sz w:val="22"/>
        </w:rPr>
        <w:t>some</w:t>
      </w:r>
      <w:r>
        <w:rPr>
          <w:i/>
          <w:spacing w:val="-4"/>
          <w:sz w:val="22"/>
        </w:rPr>
        <w:t> </w:t>
      </w:r>
      <w:r>
        <w:rPr>
          <w:i/>
          <w:sz w:val="22"/>
        </w:rPr>
        <w:t>cases,</w:t>
      </w:r>
      <w:r>
        <w:rPr>
          <w:i/>
          <w:spacing w:val="-3"/>
          <w:sz w:val="22"/>
        </w:rPr>
        <w:t> </w:t>
      </w:r>
      <w:r>
        <w:rPr>
          <w:i/>
          <w:sz w:val="22"/>
        </w:rPr>
        <w:t>nor</w:t>
      </w:r>
      <w:r>
        <w:rPr>
          <w:i/>
          <w:spacing w:val="-3"/>
          <w:sz w:val="22"/>
        </w:rPr>
        <w:t> </w:t>
      </w:r>
      <w:r>
        <w:rPr>
          <w:i/>
          <w:sz w:val="22"/>
        </w:rPr>
        <w:t>something that is unique to this Standard… It is not intended that achievement of a low or negligible risk rank means that further risk reduction is unnecessary. If there are additional readily available and cost-effective risk reduction measures it would be inconsistent with the ALARP principle to ignore them solely because the risk is already low or negligible</w:t>
      </w:r>
      <w:r>
        <w:rPr>
          <w:sz w:val="22"/>
        </w:rPr>
        <w:t>” (Australia/New Zealand Standard, 2017, pp. 71–72).</w:t>
      </w:r>
    </w:p>
    <w:p>
      <w:pPr>
        <w:pStyle w:val="BodyText"/>
        <w:spacing w:before="1"/>
        <w:rPr>
          <w:sz w:val="21"/>
        </w:rPr>
      </w:pPr>
    </w:p>
    <w:p>
      <w:pPr>
        <w:spacing w:line="288" w:lineRule="auto" w:before="0"/>
        <w:ind w:left="713" w:right="759" w:firstLine="0"/>
        <w:jc w:val="left"/>
        <w:rPr>
          <w:sz w:val="22"/>
        </w:rPr>
      </w:pPr>
      <w:r>
        <w:rPr>
          <w:sz w:val="22"/>
        </w:rPr>
        <w:t>In relation to rail safety, the Office of the National Rail Safety Regulator (ONRSR) also provides some useful guidance on the precautionary approach. The Rail Safety National Law (RSNL) uses “so far as is reasonably practicable” (SFAIRP) and in its guidance, the Office of the National Rail Safety Regulator states it considers both “SFAIRP” and “ALARP” call for the same tests, but: “</w:t>
      </w:r>
      <w:r>
        <w:rPr>
          <w:i/>
          <w:sz w:val="22"/>
        </w:rPr>
        <w:t>Duty holders should be cautious of using ALARP guidance</w:t>
      </w:r>
      <w:r>
        <w:rPr>
          <w:i/>
          <w:spacing w:val="-3"/>
          <w:sz w:val="22"/>
        </w:rPr>
        <w:t> </w:t>
      </w:r>
      <w:r>
        <w:rPr>
          <w:i/>
          <w:sz w:val="22"/>
        </w:rPr>
        <w:t>documents</w:t>
      </w:r>
      <w:r>
        <w:rPr>
          <w:i/>
          <w:spacing w:val="-5"/>
          <w:sz w:val="22"/>
        </w:rPr>
        <w:t> </w:t>
      </w:r>
      <w:r>
        <w:rPr>
          <w:i/>
          <w:sz w:val="22"/>
        </w:rPr>
        <w:t>produced</w:t>
      </w:r>
      <w:r>
        <w:rPr>
          <w:i/>
          <w:spacing w:val="-3"/>
          <w:sz w:val="22"/>
        </w:rPr>
        <w:t> </w:t>
      </w:r>
      <w:r>
        <w:rPr>
          <w:i/>
          <w:sz w:val="22"/>
        </w:rPr>
        <w:t>by</w:t>
      </w:r>
      <w:r>
        <w:rPr>
          <w:i/>
          <w:spacing w:val="-3"/>
          <w:sz w:val="22"/>
        </w:rPr>
        <w:t> </w:t>
      </w:r>
      <w:r>
        <w:rPr>
          <w:i/>
          <w:sz w:val="22"/>
        </w:rPr>
        <w:t>other</w:t>
      </w:r>
      <w:r>
        <w:rPr>
          <w:i/>
          <w:spacing w:val="-2"/>
          <w:sz w:val="22"/>
        </w:rPr>
        <w:t> </w:t>
      </w:r>
      <w:r>
        <w:rPr>
          <w:i/>
          <w:sz w:val="22"/>
        </w:rPr>
        <w:t>jurisdictions</w:t>
      </w:r>
      <w:r>
        <w:rPr>
          <w:i/>
          <w:spacing w:val="-3"/>
          <w:sz w:val="22"/>
        </w:rPr>
        <w:t> </w:t>
      </w:r>
      <w:r>
        <w:rPr>
          <w:i/>
          <w:sz w:val="22"/>
        </w:rPr>
        <w:t>or</w:t>
      </w:r>
      <w:r>
        <w:rPr>
          <w:i/>
          <w:spacing w:val="-4"/>
          <w:sz w:val="22"/>
        </w:rPr>
        <w:t> </w:t>
      </w:r>
      <w:r>
        <w:rPr>
          <w:i/>
          <w:sz w:val="22"/>
        </w:rPr>
        <w:t>for</w:t>
      </w:r>
      <w:r>
        <w:rPr>
          <w:i/>
          <w:spacing w:val="-2"/>
          <w:sz w:val="22"/>
        </w:rPr>
        <w:t> </w:t>
      </w:r>
      <w:r>
        <w:rPr>
          <w:i/>
          <w:sz w:val="22"/>
        </w:rPr>
        <w:t>legal</w:t>
      </w:r>
      <w:r>
        <w:rPr>
          <w:i/>
          <w:spacing w:val="-6"/>
          <w:sz w:val="22"/>
        </w:rPr>
        <w:t> </w:t>
      </w:r>
      <w:r>
        <w:rPr>
          <w:i/>
          <w:sz w:val="22"/>
        </w:rPr>
        <w:t>frameworks</w:t>
      </w:r>
      <w:r>
        <w:rPr>
          <w:i/>
          <w:spacing w:val="-2"/>
          <w:sz w:val="22"/>
        </w:rPr>
        <w:t> </w:t>
      </w:r>
      <w:r>
        <w:rPr>
          <w:i/>
          <w:sz w:val="22"/>
        </w:rPr>
        <w:t>other</w:t>
      </w:r>
      <w:r>
        <w:rPr>
          <w:i/>
          <w:spacing w:val="-4"/>
          <w:sz w:val="22"/>
        </w:rPr>
        <w:t> </w:t>
      </w:r>
      <w:r>
        <w:rPr>
          <w:i/>
          <w:sz w:val="22"/>
        </w:rPr>
        <w:t>than</w:t>
      </w:r>
      <w:r>
        <w:rPr>
          <w:i/>
          <w:spacing w:val="-5"/>
          <w:sz w:val="22"/>
        </w:rPr>
        <w:t> </w:t>
      </w:r>
      <w:r>
        <w:rPr>
          <w:i/>
          <w:sz w:val="22"/>
        </w:rPr>
        <w:t>the RSNL. Any such guidance should be used only if it supports compliance with the RSNL</w:t>
      </w:r>
      <w:r>
        <w:rPr>
          <w:sz w:val="22"/>
        </w:rPr>
        <w:t>.” And that, “</w:t>
      </w:r>
      <w:r>
        <w:rPr>
          <w:i/>
          <w:sz w:val="22"/>
        </w:rPr>
        <w:t>should a duty holder define a ‘broadly acceptable’ region in its criteria, the ONRSR will still expect</w:t>
      </w:r>
      <w:r>
        <w:rPr>
          <w:i/>
          <w:spacing w:val="-1"/>
          <w:sz w:val="22"/>
        </w:rPr>
        <w:t> </w:t>
      </w:r>
      <w:r>
        <w:rPr>
          <w:i/>
          <w:sz w:val="22"/>
        </w:rPr>
        <w:t>the duty</w:t>
      </w:r>
      <w:r>
        <w:rPr>
          <w:i/>
          <w:spacing w:val="-2"/>
          <w:sz w:val="22"/>
        </w:rPr>
        <w:t> </w:t>
      </w:r>
      <w:r>
        <w:rPr>
          <w:i/>
          <w:sz w:val="22"/>
        </w:rPr>
        <w:t>holder</w:t>
      </w:r>
      <w:r>
        <w:rPr>
          <w:i/>
          <w:spacing w:val="-1"/>
          <w:sz w:val="22"/>
        </w:rPr>
        <w:t> </w:t>
      </w:r>
      <w:r>
        <w:rPr>
          <w:i/>
          <w:sz w:val="22"/>
        </w:rPr>
        <w:t>to</w:t>
      </w:r>
      <w:r>
        <w:rPr>
          <w:i/>
          <w:spacing w:val="-2"/>
          <w:sz w:val="22"/>
        </w:rPr>
        <w:t> </w:t>
      </w:r>
      <w:r>
        <w:rPr>
          <w:i/>
          <w:sz w:val="22"/>
        </w:rPr>
        <w:t>eliminate or</w:t>
      </w:r>
      <w:r>
        <w:rPr>
          <w:i/>
          <w:spacing w:val="-1"/>
          <w:sz w:val="22"/>
        </w:rPr>
        <w:t> </w:t>
      </w:r>
      <w:r>
        <w:rPr>
          <w:i/>
          <w:sz w:val="22"/>
        </w:rPr>
        <w:t>minimise risks assessed as</w:t>
      </w:r>
      <w:r>
        <w:rPr>
          <w:i/>
          <w:spacing w:val="-2"/>
          <w:sz w:val="22"/>
        </w:rPr>
        <w:t> </w:t>
      </w:r>
      <w:r>
        <w:rPr>
          <w:i/>
          <w:sz w:val="22"/>
        </w:rPr>
        <w:t>being in this region SFAIRP – in other words a risk cannot be excluded from the requirements of the RSNL merely because it is assessed as being small</w:t>
      </w:r>
      <w:r>
        <w:rPr>
          <w:sz w:val="22"/>
        </w:rPr>
        <w:t>” (Office of the National Rail</w:t>
      </w:r>
      <w:r>
        <w:rPr>
          <w:spacing w:val="40"/>
          <w:sz w:val="22"/>
        </w:rPr>
        <w:t> </w:t>
      </w:r>
      <w:r>
        <w:rPr>
          <w:sz w:val="22"/>
        </w:rPr>
        <w:t>Safety Regulator, 2016, p. 13).</w:t>
      </w:r>
    </w:p>
    <w:p>
      <w:pPr>
        <w:pStyle w:val="BodyText"/>
        <w:rPr>
          <w:sz w:val="24"/>
        </w:rPr>
      </w:pPr>
    </w:p>
    <w:p>
      <w:pPr>
        <w:pStyle w:val="BodyText"/>
        <w:rPr>
          <w:sz w:val="24"/>
        </w:rPr>
      </w:pPr>
    </w:p>
    <w:p>
      <w:pPr>
        <w:pStyle w:val="BodyText"/>
        <w:spacing w:before="9"/>
        <w:rPr>
          <w:sz w:val="35"/>
        </w:rPr>
      </w:pPr>
    </w:p>
    <w:p>
      <w:pPr>
        <w:pStyle w:val="Heading6"/>
        <w:ind w:left="600"/>
      </w:pPr>
      <w:r>
        <w:rPr/>
        <w:t>Bowtie</w:t>
      </w:r>
      <w:r>
        <w:rPr>
          <w:spacing w:val="-4"/>
        </w:rPr>
        <w:t> </w:t>
      </w:r>
      <w:r>
        <w:rPr>
          <w:spacing w:val="-2"/>
        </w:rPr>
        <w:t>diagram</w:t>
      </w:r>
    </w:p>
    <w:p>
      <w:pPr>
        <w:pStyle w:val="BodyText"/>
        <w:spacing w:line="288" w:lineRule="auto" w:before="175"/>
        <w:ind w:left="600" w:right="586"/>
      </w:pPr>
      <w:r>
        <w:rPr/>
        <w:t>It</w:t>
      </w:r>
      <w:r>
        <w:rPr>
          <w:spacing w:val="-2"/>
        </w:rPr>
        <w:t> </w:t>
      </w:r>
      <w:r>
        <w:rPr/>
        <w:t>is widely</w:t>
      </w:r>
      <w:r>
        <w:rPr>
          <w:spacing w:val="-3"/>
        </w:rPr>
        <w:t> </w:t>
      </w:r>
      <w:r>
        <w:rPr/>
        <w:t>accepted</w:t>
      </w:r>
      <w:r>
        <w:rPr>
          <w:spacing w:val="-3"/>
        </w:rPr>
        <w:t> </w:t>
      </w:r>
      <w:r>
        <w:rPr/>
        <w:t>that</w:t>
      </w:r>
      <w:r>
        <w:rPr>
          <w:spacing w:val="-2"/>
        </w:rPr>
        <w:t> </w:t>
      </w:r>
      <w:r>
        <w:rPr/>
        <w:t>the</w:t>
      </w:r>
      <w:r>
        <w:rPr>
          <w:spacing w:val="-3"/>
        </w:rPr>
        <w:t> </w:t>
      </w:r>
      <w:r>
        <w:rPr/>
        <w:t>so-called</w:t>
      </w:r>
      <w:r>
        <w:rPr>
          <w:spacing w:val="-3"/>
        </w:rPr>
        <w:t> </w:t>
      </w:r>
      <w:r>
        <w:rPr/>
        <w:t>“bowtie</w:t>
      </w:r>
      <w:r>
        <w:rPr>
          <w:spacing w:val="-1"/>
        </w:rPr>
        <w:t> </w:t>
      </w:r>
      <w:r>
        <w:rPr/>
        <w:t>diagram” provides an</w:t>
      </w:r>
      <w:r>
        <w:rPr>
          <w:spacing w:val="-1"/>
        </w:rPr>
        <w:t> </w:t>
      </w:r>
      <w:r>
        <w:rPr/>
        <w:t>effective</w:t>
      </w:r>
      <w:r>
        <w:rPr>
          <w:spacing w:val="-1"/>
        </w:rPr>
        <w:t> </w:t>
      </w:r>
      <w:r>
        <w:rPr/>
        <w:t>foundation</w:t>
      </w:r>
      <w:r>
        <w:rPr>
          <w:spacing w:val="-3"/>
        </w:rPr>
        <w:t> </w:t>
      </w:r>
      <w:r>
        <w:rPr/>
        <w:t>for the</w:t>
      </w:r>
      <w:r>
        <w:rPr>
          <w:spacing w:val="-5"/>
        </w:rPr>
        <w:t> </w:t>
      </w:r>
      <w:r>
        <w:rPr/>
        <w:t>consideration</w:t>
      </w:r>
      <w:r>
        <w:rPr>
          <w:spacing w:val="-4"/>
        </w:rPr>
        <w:t> </w:t>
      </w:r>
      <w:r>
        <w:rPr/>
        <w:t>of</w:t>
      </w:r>
      <w:r>
        <w:rPr>
          <w:spacing w:val="-4"/>
        </w:rPr>
        <w:t> </w:t>
      </w:r>
      <w:r>
        <w:rPr/>
        <w:t>safety</w:t>
      </w:r>
      <w:r>
        <w:rPr>
          <w:spacing w:val="-5"/>
        </w:rPr>
        <w:t> </w:t>
      </w:r>
      <w:r>
        <w:rPr/>
        <w:t>risks</w:t>
      </w:r>
      <w:r>
        <w:rPr>
          <w:spacing w:val="-5"/>
        </w:rPr>
        <w:t> </w:t>
      </w:r>
      <w:r>
        <w:rPr/>
        <w:t>(see</w:t>
      </w:r>
      <w:r>
        <w:rPr>
          <w:spacing w:val="-6"/>
        </w:rPr>
        <w:t> </w:t>
      </w:r>
      <w:r>
        <w:rPr/>
        <w:t>Figure</w:t>
      </w:r>
      <w:r>
        <w:rPr>
          <w:spacing w:val="-4"/>
        </w:rPr>
        <w:t> </w:t>
      </w:r>
      <w:r>
        <w:rPr/>
        <w:t>8</w:t>
      </w:r>
      <w:r>
        <w:rPr>
          <w:spacing w:val="-6"/>
        </w:rPr>
        <w:t> </w:t>
      </w:r>
      <w:r>
        <w:rPr/>
        <w:t>below).</w:t>
      </w:r>
      <w:r>
        <w:rPr>
          <w:spacing w:val="-2"/>
        </w:rPr>
        <w:t> </w:t>
      </w:r>
      <w:r>
        <w:rPr/>
        <w:t>Professor</w:t>
      </w:r>
      <w:r>
        <w:rPr>
          <w:spacing w:val="-6"/>
        </w:rPr>
        <w:t> </w:t>
      </w:r>
      <w:r>
        <w:rPr/>
        <w:t>Andrew</w:t>
      </w:r>
      <w:r>
        <w:rPr>
          <w:spacing w:val="-7"/>
        </w:rPr>
        <w:t> </w:t>
      </w:r>
      <w:r>
        <w:rPr/>
        <w:t>Hopkins</w:t>
      </w:r>
      <w:r>
        <w:rPr>
          <w:spacing w:val="-3"/>
        </w:rPr>
        <w:t> </w:t>
      </w:r>
      <w:r>
        <w:rPr/>
        <w:t>has</w:t>
      </w:r>
      <w:r>
        <w:rPr>
          <w:spacing w:val="-3"/>
        </w:rPr>
        <w:t> </w:t>
      </w:r>
      <w:r>
        <w:rPr>
          <w:spacing w:val="-2"/>
        </w:rPr>
        <w:t>noted</w:t>
      </w:r>
    </w:p>
    <w:p>
      <w:pPr>
        <w:spacing w:after="0" w:line="288" w:lineRule="auto"/>
        <w:sectPr>
          <w:pgSz w:w="11910" w:h="16840"/>
          <w:pgMar w:header="887" w:footer="1286" w:top="1080" w:bottom="1500" w:left="840" w:right="820"/>
        </w:sectPr>
      </w:pPr>
    </w:p>
    <w:p>
      <w:pPr>
        <w:pStyle w:val="BodyText"/>
        <w:rPr>
          <w:sz w:val="20"/>
        </w:rPr>
      </w:pPr>
    </w:p>
    <w:p>
      <w:pPr>
        <w:pStyle w:val="BodyText"/>
        <w:rPr>
          <w:sz w:val="20"/>
        </w:rPr>
      </w:pPr>
    </w:p>
    <w:p>
      <w:pPr>
        <w:pStyle w:val="BodyText"/>
        <w:spacing w:before="5"/>
      </w:pPr>
    </w:p>
    <w:p>
      <w:pPr>
        <w:pStyle w:val="BodyText"/>
        <w:spacing w:line="288" w:lineRule="auto"/>
        <w:ind w:left="600" w:right="910"/>
      </w:pPr>
      <w:r>
        <w:rPr/>
        <w:t>the</w:t>
      </w:r>
      <w:r>
        <w:rPr>
          <w:spacing w:val="-2"/>
        </w:rPr>
        <w:t> </w:t>
      </w:r>
      <w:r>
        <w:rPr/>
        <w:t>importance</w:t>
      </w:r>
      <w:r>
        <w:rPr>
          <w:spacing w:val="-2"/>
        </w:rPr>
        <w:t> </w:t>
      </w:r>
      <w:r>
        <w:rPr/>
        <w:t>of</w:t>
      </w:r>
      <w:r>
        <w:rPr>
          <w:spacing w:val="-3"/>
        </w:rPr>
        <w:t> </w:t>
      </w:r>
      <w:r>
        <w:rPr/>
        <w:t>this</w:t>
      </w:r>
      <w:r>
        <w:rPr>
          <w:spacing w:val="-4"/>
        </w:rPr>
        <w:t> </w:t>
      </w:r>
      <w:r>
        <w:rPr/>
        <w:t>framework</w:t>
      </w:r>
      <w:r>
        <w:rPr>
          <w:spacing w:val="-1"/>
        </w:rPr>
        <w:t> </w:t>
      </w:r>
      <w:r>
        <w:rPr/>
        <w:t>within a</w:t>
      </w:r>
      <w:r>
        <w:rPr>
          <w:spacing w:val="-2"/>
        </w:rPr>
        <w:t> </w:t>
      </w:r>
      <w:r>
        <w:rPr/>
        <w:t>safety</w:t>
      </w:r>
      <w:r>
        <w:rPr>
          <w:spacing w:val="-4"/>
        </w:rPr>
        <w:t> </w:t>
      </w:r>
      <w:r>
        <w:rPr/>
        <w:t>case</w:t>
      </w:r>
      <w:r>
        <w:rPr>
          <w:spacing w:val="-2"/>
        </w:rPr>
        <w:t> </w:t>
      </w:r>
      <w:r>
        <w:rPr/>
        <w:t>regime,</w:t>
      </w:r>
      <w:r>
        <w:rPr>
          <w:spacing w:val="-3"/>
        </w:rPr>
        <w:t> </w:t>
      </w:r>
      <w:r>
        <w:rPr/>
        <w:t>particularly</w:t>
      </w:r>
      <w:r>
        <w:rPr>
          <w:spacing w:val="-4"/>
        </w:rPr>
        <w:t> </w:t>
      </w:r>
      <w:r>
        <w:rPr/>
        <w:t>in</w:t>
      </w:r>
      <w:r>
        <w:rPr>
          <w:spacing w:val="-2"/>
        </w:rPr>
        <w:t> </w:t>
      </w:r>
      <w:r>
        <w:rPr/>
        <w:t>relation</w:t>
      </w:r>
      <w:r>
        <w:rPr>
          <w:spacing w:val="-4"/>
        </w:rPr>
        <w:t> </w:t>
      </w:r>
      <w:r>
        <w:rPr/>
        <w:t>to effective auditing:</w:t>
      </w:r>
    </w:p>
    <w:p>
      <w:pPr>
        <w:pStyle w:val="BodyText"/>
        <w:spacing w:before="10"/>
        <w:rPr>
          <w:sz w:val="20"/>
        </w:rPr>
      </w:pPr>
    </w:p>
    <w:p>
      <w:pPr>
        <w:spacing w:line="288" w:lineRule="auto" w:before="0"/>
        <w:ind w:left="1166" w:right="1200" w:firstLine="0"/>
        <w:jc w:val="left"/>
        <w:rPr>
          <w:sz w:val="22"/>
        </w:rPr>
      </w:pPr>
      <w:r>
        <w:rPr>
          <w:i/>
          <w:sz w:val="22"/>
        </w:rPr>
        <w:t>“The outcome of any risk management process can be summarised in a bowtie diagram,</w:t>
      </w:r>
      <w:r>
        <w:rPr>
          <w:i/>
          <w:spacing w:val="-2"/>
          <w:sz w:val="22"/>
        </w:rPr>
        <w:t> </w:t>
      </w:r>
      <w:r>
        <w:rPr>
          <w:i/>
          <w:sz w:val="22"/>
        </w:rPr>
        <w:t>or</w:t>
      </w:r>
      <w:r>
        <w:rPr>
          <w:i/>
          <w:spacing w:val="-3"/>
          <w:sz w:val="22"/>
        </w:rPr>
        <w:t> </w:t>
      </w:r>
      <w:r>
        <w:rPr>
          <w:i/>
          <w:sz w:val="22"/>
        </w:rPr>
        <w:t>series</w:t>
      </w:r>
      <w:r>
        <w:rPr>
          <w:i/>
          <w:spacing w:val="-2"/>
          <w:sz w:val="22"/>
        </w:rPr>
        <w:t> </w:t>
      </w:r>
      <w:r>
        <w:rPr>
          <w:i/>
          <w:sz w:val="22"/>
        </w:rPr>
        <w:t>of</w:t>
      </w:r>
      <w:r>
        <w:rPr>
          <w:i/>
          <w:spacing w:val="-2"/>
          <w:sz w:val="22"/>
        </w:rPr>
        <w:t> </w:t>
      </w:r>
      <w:r>
        <w:rPr>
          <w:i/>
          <w:sz w:val="22"/>
        </w:rPr>
        <w:t>such</w:t>
      </w:r>
      <w:r>
        <w:rPr>
          <w:i/>
          <w:spacing w:val="-2"/>
          <w:sz w:val="22"/>
        </w:rPr>
        <w:t> </w:t>
      </w:r>
      <w:r>
        <w:rPr>
          <w:i/>
          <w:sz w:val="22"/>
        </w:rPr>
        <w:t>diagrams.</w:t>
      </w:r>
      <w:r>
        <w:rPr>
          <w:i/>
          <w:spacing w:val="-3"/>
          <w:sz w:val="22"/>
        </w:rPr>
        <w:t> </w:t>
      </w:r>
      <w:r>
        <w:rPr>
          <w:i/>
          <w:sz w:val="22"/>
        </w:rPr>
        <w:t>A</w:t>
      </w:r>
      <w:r>
        <w:rPr>
          <w:i/>
          <w:spacing w:val="-2"/>
          <w:sz w:val="22"/>
        </w:rPr>
        <w:t> </w:t>
      </w:r>
      <w:r>
        <w:rPr>
          <w:i/>
          <w:sz w:val="22"/>
        </w:rPr>
        <w:t>good</w:t>
      </w:r>
      <w:r>
        <w:rPr>
          <w:i/>
          <w:spacing w:val="-4"/>
          <w:sz w:val="22"/>
        </w:rPr>
        <w:t> </w:t>
      </w:r>
      <w:r>
        <w:rPr>
          <w:i/>
          <w:sz w:val="22"/>
        </w:rPr>
        <w:t>auditor</w:t>
      </w:r>
      <w:r>
        <w:rPr>
          <w:i/>
          <w:spacing w:val="-3"/>
          <w:sz w:val="22"/>
        </w:rPr>
        <w:t> </w:t>
      </w:r>
      <w:r>
        <w:rPr>
          <w:i/>
          <w:sz w:val="22"/>
        </w:rPr>
        <w:t>will</w:t>
      </w:r>
      <w:r>
        <w:rPr>
          <w:i/>
          <w:spacing w:val="-2"/>
          <w:sz w:val="22"/>
        </w:rPr>
        <w:t> </w:t>
      </w:r>
      <w:r>
        <w:rPr>
          <w:i/>
          <w:sz w:val="22"/>
        </w:rPr>
        <w:t>therefore</w:t>
      </w:r>
      <w:r>
        <w:rPr>
          <w:i/>
          <w:spacing w:val="-4"/>
          <w:sz w:val="22"/>
        </w:rPr>
        <w:t> </w:t>
      </w:r>
      <w:r>
        <w:rPr>
          <w:i/>
          <w:sz w:val="22"/>
        </w:rPr>
        <w:t>find</w:t>
      </w:r>
      <w:r>
        <w:rPr>
          <w:i/>
          <w:spacing w:val="-4"/>
          <w:sz w:val="22"/>
        </w:rPr>
        <w:t> </w:t>
      </w:r>
      <w:r>
        <w:rPr>
          <w:i/>
          <w:sz w:val="22"/>
        </w:rPr>
        <w:t>it useful</w:t>
      </w:r>
      <w:r>
        <w:rPr>
          <w:i/>
          <w:spacing w:val="-2"/>
          <w:sz w:val="22"/>
        </w:rPr>
        <w:t> </w:t>
      </w:r>
      <w:r>
        <w:rPr>
          <w:i/>
          <w:sz w:val="22"/>
        </w:rPr>
        <w:t>to study the bowtie diagrams and check whether the controls indicated in these diagrams are indeed in place. Auditing in this way breathes life into safety case documents. Unless regulators are willing and able to do this, a safety case may be no more than a lifeless set of documents sitting on some inaccessible shelf, gathering dust.” </w:t>
      </w:r>
      <w:r>
        <w:rPr>
          <w:sz w:val="22"/>
        </w:rPr>
        <w:t>(Hopkins, 2012, p. 6)</w:t>
      </w:r>
    </w:p>
    <w:p>
      <w:pPr>
        <w:pStyle w:val="BodyText"/>
        <w:rPr>
          <w:sz w:val="21"/>
        </w:rPr>
      </w:pPr>
    </w:p>
    <w:p>
      <w:pPr>
        <w:pStyle w:val="BodyText"/>
        <w:spacing w:line="288" w:lineRule="auto"/>
        <w:ind w:left="600" w:right="374"/>
      </w:pPr>
      <w:r>
        <w:rPr/>
        <w:t>On</w:t>
      </w:r>
      <w:r>
        <w:rPr>
          <w:spacing w:val="-1"/>
        </w:rPr>
        <w:t> </w:t>
      </w:r>
      <w:r>
        <w:rPr/>
        <w:t>one</w:t>
      </w:r>
      <w:r>
        <w:rPr>
          <w:spacing w:val="-3"/>
        </w:rPr>
        <w:t> </w:t>
      </w:r>
      <w:r>
        <w:rPr/>
        <w:t>side</w:t>
      </w:r>
      <w:r>
        <w:rPr>
          <w:spacing w:val="-1"/>
        </w:rPr>
        <w:t> </w:t>
      </w:r>
      <w:r>
        <w:rPr/>
        <w:t>of</w:t>
      </w:r>
      <w:r>
        <w:rPr>
          <w:spacing w:val="-2"/>
        </w:rPr>
        <w:t> </w:t>
      </w:r>
      <w:r>
        <w:rPr/>
        <w:t>the</w:t>
      </w:r>
      <w:r>
        <w:rPr>
          <w:spacing w:val="-1"/>
        </w:rPr>
        <w:t> </w:t>
      </w:r>
      <w:r>
        <w:rPr/>
        <w:t>bowtie</w:t>
      </w:r>
      <w:r>
        <w:rPr>
          <w:spacing w:val="-1"/>
        </w:rPr>
        <w:t> </w:t>
      </w:r>
      <w:r>
        <w:rPr/>
        <w:t>diagram</w:t>
      </w:r>
      <w:r>
        <w:rPr>
          <w:spacing w:val="-1"/>
        </w:rPr>
        <w:t> </w:t>
      </w:r>
      <w:r>
        <w:rPr/>
        <w:t>are</w:t>
      </w:r>
      <w:r>
        <w:rPr>
          <w:spacing w:val="-3"/>
        </w:rPr>
        <w:t> </w:t>
      </w:r>
      <w:r>
        <w:rPr/>
        <w:t>all</w:t>
      </w:r>
      <w:r>
        <w:rPr>
          <w:spacing w:val="-1"/>
        </w:rPr>
        <w:t> </w:t>
      </w:r>
      <w:r>
        <w:rPr/>
        <w:t>the</w:t>
      </w:r>
      <w:r>
        <w:rPr>
          <w:spacing w:val="-3"/>
        </w:rPr>
        <w:t> </w:t>
      </w:r>
      <w:r>
        <w:rPr/>
        <w:t>things</w:t>
      </w:r>
      <w:r>
        <w:rPr>
          <w:spacing w:val="-3"/>
        </w:rPr>
        <w:t> </w:t>
      </w:r>
      <w:r>
        <w:rPr/>
        <w:t>that</w:t>
      </w:r>
      <w:r>
        <w:rPr>
          <w:spacing w:val="-2"/>
        </w:rPr>
        <w:t> </w:t>
      </w:r>
      <w:r>
        <w:rPr/>
        <w:t>might</w:t>
      </w:r>
      <w:r>
        <w:rPr>
          <w:spacing w:val="-2"/>
        </w:rPr>
        <w:t> </w:t>
      </w:r>
      <w:r>
        <w:rPr/>
        <w:t>cause</w:t>
      </w:r>
      <w:r>
        <w:rPr>
          <w:spacing w:val="-3"/>
        </w:rPr>
        <w:t> </w:t>
      </w:r>
      <w:r>
        <w:rPr/>
        <w:t>a</w:t>
      </w:r>
      <w:r>
        <w:rPr>
          <w:spacing w:val="-3"/>
        </w:rPr>
        <w:t> </w:t>
      </w:r>
      <w:r>
        <w:rPr/>
        <w:t>major</w:t>
      </w:r>
      <w:r>
        <w:rPr>
          <w:spacing w:val="-2"/>
        </w:rPr>
        <w:t> </w:t>
      </w:r>
      <w:r>
        <w:rPr/>
        <w:t>safety</w:t>
      </w:r>
      <w:r>
        <w:rPr>
          <w:spacing w:val="-3"/>
        </w:rPr>
        <w:t> </w:t>
      </w:r>
      <w:r>
        <w:rPr/>
        <w:t>incident and the preventative controls that are in place to try to stop those risks from materialising.</w:t>
      </w:r>
    </w:p>
    <w:p>
      <w:pPr>
        <w:pStyle w:val="BodyText"/>
        <w:spacing w:line="288" w:lineRule="auto"/>
        <w:ind w:left="600" w:right="311"/>
      </w:pPr>
      <w:r>
        <w:rPr/>
        <w:t>On the other side are the outcomes that might follow from a major safety incident and the mitigative</w:t>
      </w:r>
      <w:r>
        <w:rPr>
          <w:spacing w:val="-2"/>
        </w:rPr>
        <w:t> </w:t>
      </w:r>
      <w:r>
        <w:rPr/>
        <w:t>controls</w:t>
      </w:r>
      <w:r>
        <w:rPr>
          <w:spacing w:val="-1"/>
        </w:rPr>
        <w:t> </w:t>
      </w:r>
      <w:r>
        <w:rPr/>
        <w:t>that</w:t>
      </w:r>
      <w:r>
        <w:rPr>
          <w:spacing w:val="-3"/>
        </w:rPr>
        <w:t> </w:t>
      </w:r>
      <w:r>
        <w:rPr/>
        <w:t>are</w:t>
      </w:r>
      <w:r>
        <w:rPr>
          <w:spacing w:val="-2"/>
        </w:rPr>
        <w:t> </w:t>
      </w:r>
      <w:r>
        <w:rPr/>
        <w:t>in</w:t>
      </w:r>
      <w:r>
        <w:rPr>
          <w:spacing w:val="-2"/>
        </w:rPr>
        <w:t> </w:t>
      </w:r>
      <w:r>
        <w:rPr/>
        <w:t>place</w:t>
      </w:r>
      <w:r>
        <w:rPr>
          <w:spacing w:val="-4"/>
        </w:rPr>
        <w:t> </w:t>
      </w:r>
      <w:r>
        <w:rPr/>
        <w:t>to</w:t>
      </w:r>
      <w:r>
        <w:rPr>
          <w:spacing w:val="-4"/>
        </w:rPr>
        <w:t> </w:t>
      </w:r>
      <w:r>
        <w:rPr/>
        <w:t>try</w:t>
      </w:r>
      <w:r>
        <w:rPr>
          <w:spacing w:val="-4"/>
        </w:rPr>
        <w:t> </w:t>
      </w:r>
      <w:r>
        <w:rPr/>
        <w:t>to</w:t>
      </w:r>
      <w:r>
        <w:rPr>
          <w:spacing w:val="-4"/>
        </w:rPr>
        <w:t> </w:t>
      </w:r>
      <w:r>
        <w:rPr/>
        <w:t>reduce</w:t>
      </w:r>
      <w:r>
        <w:rPr>
          <w:spacing w:val="-2"/>
        </w:rPr>
        <w:t> </w:t>
      </w:r>
      <w:r>
        <w:rPr/>
        <w:t>the</w:t>
      </w:r>
      <w:r>
        <w:rPr>
          <w:spacing w:val="-4"/>
        </w:rPr>
        <w:t> </w:t>
      </w:r>
      <w:r>
        <w:rPr/>
        <w:t>severity</w:t>
      </w:r>
      <w:r>
        <w:rPr>
          <w:spacing w:val="-3"/>
        </w:rPr>
        <w:t> </w:t>
      </w:r>
      <w:r>
        <w:rPr/>
        <w:t>of the</w:t>
      </w:r>
      <w:r>
        <w:rPr>
          <w:spacing w:val="-4"/>
        </w:rPr>
        <w:t> </w:t>
      </w:r>
      <w:r>
        <w:rPr/>
        <w:t>outcomes</w:t>
      </w:r>
      <w:r>
        <w:rPr>
          <w:spacing w:val="-1"/>
        </w:rPr>
        <w:t> </w:t>
      </w:r>
      <w:r>
        <w:rPr/>
        <w:t>if</w:t>
      </w:r>
      <w:r>
        <w:rPr>
          <w:spacing w:val="-3"/>
        </w:rPr>
        <w:t> </w:t>
      </w:r>
      <w:r>
        <w:rPr/>
        <w:t>there</w:t>
      </w:r>
      <w:r>
        <w:rPr>
          <w:spacing w:val="-4"/>
        </w:rPr>
        <w:t> </w:t>
      </w:r>
      <w:r>
        <w:rPr/>
        <w:t>is</w:t>
      </w:r>
      <w:r>
        <w:rPr>
          <w:spacing w:val="-1"/>
        </w:rPr>
        <w:t> </w:t>
      </w:r>
      <w:r>
        <w:rPr/>
        <w:t>a major incident.</w:t>
      </w:r>
    </w:p>
    <w:p>
      <w:pPr>
        <w:pStyle w:val="BodyText"/>
        <w:spacing w:before="3"/>
        <w:rPr>
          <w:sz w:val="31"/>
        </w:rPr>
      </w:pPr>
    </w:p>
    <w:p>
      <w:pPr>
        <w:pStyle w:val="Heading7"/>
        <w:ind w:left="600"/>
      </w:pPr>
      <w:r>
        <w:rPr/>
        <w:t>Figure</w:t>
      </w:r>
      <w:r>
        <w:rPr>
          <w:spacing w:val="-5"/>
        </w:rPr>
        <w:t> </w:t>
      </w:r>
      <w:r>
        <w:rPr/>
        <w:t>8:</w:t>
      </w:r>
      <w:r>
        <w:rPr>
          <w:spacing w:val="-4"/>
        </w:rPr>
        <w:t> </w:t>
      </w:r>
      <w:r>
        <w:rPr/>
        <w:t>Bowtie</w:t>
      </w:r>
      <w:r>
        <w:rPr>
          <w:spacing w:val="-4"/>
        </w:rPr>
        <w:t> </w:t>
      </w:r>
      <w:r>
        <w:rPr>
          <w:spacing w:val="-2"/>
        </w:rPr>
        <w:t>diagram</w:t>
      </w:r>
    </w:p>
    <w:p>
      <w:pPr>
        <w:pStyle w:val="BodyText"/>
        <w:rPr>
          <w:b/>
          <w:sz w:val="20"/>
        </w:rPr>
      </w:pPr>
    </w:p>
    <w:p>
      <w:pPr>
        <w:pStyle w:val="BodyText"/>
        <w:spacing w:before="11"/>
        <w:rPr>
          <w:b/>
          <w:sz w:val="10"/>
        </w:rPr>
      </w:pPr>
      <w:r>
        <w:rPr/>
        <w:drawing>
          <wp:anchor distT="0" distB="0" distL="0" distR="0" allowOverlap="1" layoutInCell="1" locked="0" behindDoc="1" simplePos="0" relativeHeight="487607296">
            <wp:simplePos x="0" y="0"/>
            <wp:positionH relativeFrom="page">
              <wp:posOffset>1113375</wp:posOffset>
            </wp:positionH>
            <wp:positionV relativeFrom="paragraph">
              <wp:posOffset>95319</wp:posOffset>
            </wp:positionV>
            <wp:extent cx="5558258" cy="1810512"/>
            <wp:effectExtent l="0" t="0" r="0" b="0"/>
            <wp:wrapTopAndBottom/>
            <wp:docPr id="89" name="Image 89" descr="C:\Users\rb2f\AppData\Local\Microsoft\Windows\Temporary Internet Files\Content.Word\Fig8.BowtieDiagram.jpg"/>
            <wp:cNvGraphicFramePr>
              <a:graphicFrameLocks/>
            </wp:cNvGraphicFramePr>
            <a:graphic>
              <a:graphicData uri="http://schemas.openxmlformats.org/drawingml/2006/picture">
                <pic:pic>
                  <pic:nvPicPr>
                    <pic:cNvPr id="89" name="Image 89" descr="C:\Users\rb2f\AppData\Local\Microsoft\Windows\Temporary Internet Files\Content.Word\Fig8.BowtieDiagram.jpg"/>
                    <pic:cNvPicPr/>
                  </pic:nvPicPr>
                  <pic:blipFill>
                    <a:blip r:embed="rId61" cstate="print"/>
                    <a:stretch>
                      <a:fillRect/>
                    </a:stretch>
                  </pic:blipFill>
                  <pic:spPr>
                    <a:xfrm>
                      <a:off x="0" y="0"/>
                      <a:ext cx="5558258" cy="1810512"/>
                    </a:xfrm>
                    <a:prstGeom prst="rect">
                      <a:avLst/>
                    </a:prstGeom>
                  </pic:spPr>
                </pic:pic>
              </a:graphicData>
            </a:graphic>
          </wp:anchor>
        </w:drawing>
      </w:r>
    </w:p>
    <w:p>
      <w:pPr>
        <w:pStyle w:val="BodyText"/>
        <w:rPr>
          <w:b/>
          <w:sz w:val="24"/>
        </w:rPr>
      </w:pPr>
    </w:p>
    <w:p>
      <w:pPr>
        <w:pStyle w:val="BodyText"/>
        <w:spacing w:before="8"/>
        <w:rPr>
          <w:b/>
        </w:rPr>
      </w:pPr>
    </w:p>
    <w:p>
      <w:pPr>
        <w:spacing w:before="1"/>
        <w:ind w:left="600" w:right="0" w:firstLine="0"/>
        <w:jc w:val="left"/>
        <w:rPr>
          <w:sz w:val="18"/>
        </w:rPr>
      </w:pPr>
      <w:r>
        <w:rPr>
          <w:sz w:val="18"/>
        </w:rPr>
        <w:t>Source:</w:t>
      </w:r>
      <w:r>
        <w:rPr>
          <w:spacing w:val="-3"/>
          <w:sz w:val="18"/>
        </w:rPr>
        <w:t> </w:t>
      </w:r>
      <w:r>
        <w:rPr>
          <w:sz w:val="18"/>
        </w:rPr>
        <w:t>Adapted</w:t>
      </w:r>
      <w:r>
        <w:rPr>
          <w:spacing w:val="-5"/>
          <w:sz w:val="18"/>
        </w:rPr>
        <w:t> </w:t>
      </w:r>
      <w:r>
        <w:rPr>
          <w:sz w:val="18"/>
        </w:rPr>
        <w:t>from</w:t>
      </w:r>
      <w:r>
        <w:rPr>
          <w:spacing w:val="-9"/>
          <w:sz w:val="18"/>
        </w:rPr>
        <w:t> </w:t>
      </w:r>
      <w:r>
        <w:rPr>
          <w:sz w:val="18"/>
        </w:rPr>
        <w:t>WorkSafe</w:t>
      </w:r>
      <w:r>
        <w:rPr>
          <w:spacing w:val="-4"/>
          <w:sz w:val="18"/>
        </w:rPr>
        <w:t> </w:t>
      </w:r>
      <w:r>
        <w:rPr>
          <w:sz w:val="18"/>
        </w:rPr>
        <w:t>Victoria</w:t>
      </w:r>
      <w:r>
        <w:rPr>
          <w:spacing w:val="-3"/>
          <w:sz w:val="18"/>
        </w:rPr>
        <w:t> </w:t>
      </w:r>
      <w:r>
        <w:rPr>
          <w:sz w:val="18"/>
        </w:rPr>
        <w:t>(2011,</w:t>
      </w:r>
      <w:r>
        <w:rPr>
          <w:spacing w:val="-4"/>
          <w:sz w:val="18"/>
        </w:rPr>
        <w:t> </w:t>
      </w:r>
      <w:r>
        <w:rPr>
          <w:sz w:val="18"/>
        </w:rPr>
        <w:t>p.</w:t>
      </w:r>
      <w:r>
        <w:rPr>
          <w:spacing w:val="-3"/>
          <w:sz w:val="18"/>
        </w:rPr>
        <w:t> </w:t>
      </w:r>
      <w:r>
        <w:rPr>
          <w:spacing w:val="-4"/>
          <w:sz w:val="18"/>
        </w:rPr>
        <w:t>16).</w:t>
      </w:r>
    </w:p>
    <w:p>
      <w:pPr>
        <w:pStyle w:val="BodyText"/>
        <w:rPr>
          <w:sz w:val="20"/>
        </w:rPr>
      </w:pPr>
    </w:p>
    <w:p>
      <w:pPr>
        <w:pStyle w:val="Heading4"/>
        <w:spacing w:line="288" w:lineRule="auto" w:before="173"/>
        <w:ind w:left="600" w:right="2302"/>
      </w:pPr>
      <w:r>
        <w:rPr>
          <w:color w:val="585858"/>
        </w:rPr>
        <w:t>Efficient</w:t>
      </w:r>
      <w:r>
        <w:rPr>
          <w:color w:val="585858"/>
          <w:spacing w:val="-10"/>
        </w:rPr>
        <w:t> </w:t>
      </w:r>
      <w:r>
        <w:rPr>
          <w:color w:val="585858"/>
        </w:rPr>
        <w:t>regulation:</w:t>
      </w:r>
      <w:r>
        <w:rPr>
          <w:color w:val="585858"/>
          <w:spacing w:val="-10"/>
        </w:rPr>
        <w:t> </w:t>
      </w:r>
      <w:r>
        <w:rPr>
          <w:color w:val="585858"/>
        </w:rPr>
        <w:t>Integrating</w:t>
      </w:r>
      <w:r>
        <w:rPr>
          <w:color w:val="585858"/>
          <w:spacing w:val="-6"/>
        </w:rPr>
        <w:t> </w:t>
      </w:r>
      <w:r>
        <w:rPr>
          <w:color w:val="585858"/>
        </w:rPr>
        <w:t>prescription</w:t>
      </w:r>
      <w:r>
        <w:rPr>
          <w:color w:val="585858"/>
          <w:spacing w:val="-10"/>
        </w:rPr>
        <w:t> </w:t>
      </w:r>
      <w:r>
        <w:rPr>
          <w:color w:val="585858"/>
        </w:rPr>
        <w:t>and outcomes-based regulation</w:t>
      </w:r>
    </w:p>
    <w:p>
      <w:pPr>
        <w:pStyle w:val="BodyText"/>
        <w:spacing w:line="288" w:lineRule="auto" w:before="240"/>
        <w:ind w:left="600" w:right="311"/>
      </w:pPr>
      <w:r>
        <w:rPr/>
        <w:t>Policy</w:t>
      </w:r>
      <w:r>
        <w:rPr>
          <w:spacing w:val="-4"/>
        </w:rPr>
        <w:t> </w:t>
      </w:r>
      <w:r>
        <w:rPr/>
        <w:t>consideration</w:t>
      </w:r>
      <w:r>
        <w:rPr>
          <w:spacing w:val="-2"/>
        </w:rPr>
        <w:t> </w:t>
      </w:r>
      <w:r>
        <w:rPr/>
        <w:t>around</w:t>
      </w:r>
      <w:r>
        <w:rPr>
          <w:spacing w:val="-2"/>
        </w:rPr>
        <w:t> </w:t>
      </w:r>
      <w:r>
        <w:rPr/>
        <w:t>the</w:t>
      </w:r>
      <w:r>
        <w:rPr>
          <w:spacing w:val="-4"/>
        </w:rPr>
        <w:t> </w:t>
      </w:r>
      <w:r>
        <w:rPr/>
        <w:t>optimal</w:t>
      </w:r>
      <w:r>
        <w:rPr>
          <w:spacing w:val="-3"/>
        </w:rPr>
        <w:t> </w:t>
      </w:r>
      <w:r>
        <w:rPr/>
        <w:t>approach</w:t>
      </w:r>
      <w:r>
        <w:rPr>
          <w:spacing w:val="-2"/>
        </w:rPr>
        <w:t> </w:t>
      </w:r>
      <w:r>
        <w:rPr/>
        <w:t>to</w:t>
      </w:r>
      <w:r>
        <w:rPr>
          <w:spacing w:val="-4"/>
        </w:rPr>
        <w:t> </w:t>
      </w:r>
      <w:r>
        <w:rPr/>
        <w:t>the</w:t>
      </w:r>
      <w:r>
        <w:rPr>
          <w:spacing w:val="-4"/>
        </w:rPr>
        <w:t> </w:t>
      </w:r>
      <w:r>
        <w:rPr/>
        <w:t>regulation</w:t>
      </w:r>
      <w:r>
        <w:rPr>
          <w:spacing w:val="-4"/>
        </w:rPr>
        <w:t> </w:t>
      </w:r>
      <w:r>
        <w:rPr/>
        <w:t>of safety</w:t>
      </w:r>
      <w:r>
        <w:rPr>
          <w:spacing w:val="-3"/>
        </w:rPr>
        <w:t> </w:t>
      </w:r>
      <w:r>
        <w:rPr/>
        <w:t>risks frequently centres around these questions:</w:t>
      </w:r>
    </w:p>
    <w:p>
      <w:pPr>
        <w:pStyle w:val="BodyText"/>
        <w:spacing w:before="4"/>
      </w:pPr>
    </w:p>
    <w:p>
      <w:pPr>
        <w:pStyle w:val="ListParagraph"/>
        <w:numPr>
          <w:ilvl w:val="1"/>
          <w:numId w:val="28"/>
        </w:numPr>
        <w:tabs>
          <w:tab w:pos="1102" w:val="left" w:leader="none"/>
        </w:tabs>
        <w:spacing w:line="285" w:lineRule="auto" w:before="1" w:after="0"/>
        <w:ind w:left="1102" w:right="1134" w:hanging="360"/>
        <w:jc w:val="left"/>
        <w:rPr>
          <w:sz w:val="22"/>
        </w:rPr>
      </w:pPr>
      <w:r>
        <w:rPr>
          <w:sz w:val="22"/>
        </w:rPr>
        <w:t>To</w:t>
      </w:r>
      <w:r>
        <w:rPr>
          <w:spacing w:val="-5"/>
          <w:sz w:val="22"/>
        </w:rPr>
        <w:t> </w:t>
      </w:r>
      <w:r>
        <w:rPr>
          <w:sz w:val="22"/>
        </w:rPr>
        <w:t>what</w:t>
      </w:r>
      <w:r>
        <w:rPr>
          <w:spacing w:val="-1"/>
          <w:sz w:val="22"/>
        </w:rPr>
        <w:t> </w:t>
      </w:r>
      <w:r>
        <w:rPr>
          <w:sz w:val="22"/>
        </w:rPr>
        <w:t>extent</w:t>
      </w:r>
      <w:r>
        <w:rPr>
          <w:spacing w:val="-1"/>
          <w:sz w:val="22"/>
        </w:rPr>
        <w:t> </w:t>
      </w:r>
      <w:r>
        <w:rPr>
          <w:sz w:val="22"/>
        </w:rPr>
        <w:t>should</w:t>
      </w:r>
      <w:r>
        <w:rPr>
          <w:spacing w:val="-5"/>
          <w:sz w:val="22"/>
        </w:rPr>
        <w:t> </w:t>
      </w:r>
      <w:r>
        <w:rPr>
          <w:sz w:val="22"/>
        </w:rPr>
        <w:t>regulated</w:t>
      </w:r>
      <w:r>
        <w:rPr>
          <w:spacing w:val="-5"/>
          <w:sz w:val="22"/>
        </w:rPr>
        <w:t> </w:t>
      </w:r>
      <w:r>
        <w:rPr>
          <w:sz w:val="22"/>
        </w:rPr>
        <w:t>operators</w:t>
      </w:r>
      <w:r>
        <w:rPr>
          <w:spacing w:val="-4"/>
          <w:sz w:val="22"/>
        </w:rPr>
        <w:t> </w:t>
      </w:r>
      <w:r>
        <w:rPr>
          <w:sz w:val="22"/>
        </w:rPr>
        <w:t>be</w:t>
      </w:r>
      <w:r>
        <w:rPr>
          <w:spacing w:val="-5"/>
          <w:sz w:val="22"/>
        </w:rPr>
        <w:t> </w:t>
      </w:r>
      <w:r>
        <w:rPr>
          <w:sz w:val="22"/>
        </w:rPr>
        <w:t>required</w:t>
      </w:r>
      <w:r>
        <w:rPr>
          <w:spacing w:val="-3"/>
          <w:sz w:val="22"/>
        </w:rPr>
        <w:t> </w:t>
      </w:r>
      <w:r>
        <w:rPr>
          <w:sz w:val="22"/>
        </w:rPr>
        <w:t>to</w:t>
      </w:r>
      <w:r>
        <w:rPr>
          <w:spacing w:val="-5"/>
          <w:sz w:val="22"/>
        </w:rPr>
        <w:t> </w:t>
      </w:r>
      <w:r>
        <w:rPr>
          <w:sz w:val="22"/>
        </w:rPr>
        <w:t>meet</w:t>
      </w:r>
      <w:r>
        <w:rPr>
          <w:spacing w:val="-4"/>
          <w:sz w:val="22"/>
        </w:rPr>
        <w:t> </w:t>
      </w:r>
      <w:r>
        <w:rPr>
          <w:sz w:val="22"/>
        </w:rPr>
        <w:t>formally</w:t>
      </w:r>
      <w:r>
        <w:rPr>
          <w:spacing w:val="-5"/>
          <w:sz w:val="22"/>
        </w:rPr>
        <w:t> </w:t>
      </w:r>
      <w:r>
        <w:rPr>
          <w:sz w:val="22"/>
        </w:rPr>
        <w:t>prescribed rules and standards, with little or no discretion to depart from them?</w:t>
      </w:r>
    </w:p>
    <w:p>
      <w:pPr>
        <w:pStyle w:val="BodyText"/>
        <w:spacing w:before="6"/>
      </w:pPr>
    </w:p>
    <w:p>
      <w:pPr>
        <w:pStyle w:val="ListParagraph"/>
        <w:numPr>
          <w:ilvl w:val="1"/>
          <w:numId w:val="28"/>
        </w:numPr>
        <w:tabs>
          <w:tab w:pos="1102" w:val="left" w:leader="none"/>
        </w:tabs>
        <w:spacing w:line="288" w:lineRule="auto" w:before="0" w:after="0"/>
        <w:ind w:left="1102" w:right="911" w:hanging="360"/>
        <w:jc w:val="left"/>
        <w:rPr>
          <w:sz w:val="22"/>
        </w:rPr>
      </w:pPr>
      <w:r>
        <w:rPr>
          <w:sz w:val="22"/>
        </w:rPr>
        <w:t>To</w:t>
      </w:r>
      <w:r>
        <w:rPr>
          <w:spacing w:val="-4"/>
          <w:sz w:val="22"/>
        </w:rPr>
        <w:t> </w:t>
      </w:r>
      <w:r>
        <w:rPr>
          <w:sz w:val="22"/>
        </w:rPr>
        <w:t>what</w:t>
      </w:r>
      <w:r>
        <w:rPr>
          <w:spacing w:val="-1"/>
          <w:sz w:val="22"/>
        </w:rPr>
        <w:t> </w:t>
      </w:r>
      <w:r>
        <w:rPr>
          <w:sz w:val="22"/>
        </w:rPr>
        <w:t>extent</w:t>
      </w:r>
      <w:r>
        <w:rPr>
          <w:spacing w:val="-1"/>
          <w:sz w:val="22"/>
        </w:rPr>
        <w:t> </w:t>
      </w:r>
      <w:r>
        <w:rPr>
          <w:sz w:val="22"/>
        </w:rPr>
        <w:t>should</w:t>
      </w:r>
      <w:r>
        <w:rPr>
          <w:spacing w:val="-4"/>
          <w:sz w:val="22"/>
        </w:rPr>
        <w:t> </w:t>
      </w:r>
      <w:r>
        <w:rPr>
          <w:sz w:val="22"/>
        </w:rPr>
        <w:t>they</w:t>
      </w:r>
      <w:r>
        <w:rPr>
          <w:spacing w:val="-4"/>
          <w:sz w:val="22"/>
        </w:rPr>
        <w:t> </w:t>
      </w:r>
      <w:r>
        <w:rPr>
          <w:sz w:val="22"/>
        </w:rPr>
        <w:t>be</w:t>
      </w:r>
      <w:r>
        <w:rPr>
          <w:spacing w:val="-2"/>
          <w:sz w:val="22"/>
        </w:rPr>
        <w:t> </w:t>
      </w:r>
      <w:r>
        <w:rPr>
          <w:sz w:val="22"/>
        </w:rPr>
        <w:t>required</w:t>
      </w:r>
      <w:r>
        <w:rPr>
          <w:spacing w:val="-4"/>
          <w:sz w:val="22"/>
        </w:rPr>
        <w:t> </w:t>
      </w:r>
      <w:r>
        <w:rPr>
          <w:sz w:val="22"/>
        </w:rPr>
        <w:t>to</w:t>
      </w:r>
      <w:r>
        <w:rPr>
          <w:spacing w:val="-4"/>
          <w:sz w:val="22"/>
        </w:rPr>
        <w:t> </w:t>
      </w:r>
      <w:r>
        <w:rPr>
          <w:sz w:val="22"/>
        </w:rPr>
        <w:t>meet</w:t>
      </w:r>
      <w:r>
        <w:rPr>
          <w:spacing w:val="-1"/>
          <w:sz w:val="22"/>
        </w:rPr>
        <w:t> </w:t>
      </w:r>
      <w:r>
        <w:rPr>
          <w:sz w:val="22"/>
        </w:rPr>
        <w:t>certain</w:t>
      </w:r>
      <w:r>
        <w:rPr>
          <w:spacing w:val="-2"/>
          <w:sz w:val="22"/>
        </w:rPr>
        <w:t> </w:t>
      </w:r>
      <w:r>
        <w:rPr>
          <w:sz w:val="22"/>
        </w:rPr>
        <w:t>safety</w:t>
      </w:r>
      <w:r>
        <w:rPr>
          <w:spacing w:val="-3"/>
          <w:sz w:val="22"/>
        </w:rPr>
        <w:t> </w:t>
      </w:r>
      <w:r>
        <w:rPr>
          <w:sz w:val="22"/>
        </w:rPr>
        <w:t>outcomes,</w:t>
      </w:r>
      <w:r>
        <w:rPr>
          <w:spacing w:val="-5"/>
          <w:sz w:val="22"/>
        </w:rPr>
        <w:t> </w:t>
      </w:r>
      <w:r>
        <w:rPr>
          <w:sz w:val="22"/>
        </w:rPr>
        <w:t>but</w:t>
      </w:r>
      <w:r>
        <w:rPr>
          <w:spacing w:val="-1"/>
          <w:sz w:val="22"/>
        </w:rPr>
        <w:t> </w:t>
      </w:r>
      <w:r>
        <w:rPr>
          <w:sz w:val="22"/>
        </w:rPr>
        <w:t>with</w:t>
      </w:r>
      <w:r>
        <w:rPr>
          <w:spacing w:val="-2"/>
          <w:sz w:val="22"/>
        </w:rPr>
        <w:t> </w:t>
      </w:r>
      <w:r>
        <w:rPr>
          <w:sz w:val="22"/>
        </w:rPr>
        <w:t>the flexibility</w:t>
      </w:r>
      <w:r>
        <w:rPr>
          <w:spacing w:val="-2"/>
          <w:sz w:val="22"/>
        </w:rPr>
        <w:t> </w:t>
      </w:r>
      <w:r>
        <w:rPr>
          <w:sz w:val="22"/>
        </w:rPr>
        <w:t>to determine how</w:t>
      </w:r>
      <w:r>
        <w:rPr>
          <w:spacing w:val="-3"/>
          <w:sz w:val="22"/>
        </w:rPr>
        <w:t> </w:t>
      </w:r>
      <w:r>
        <w:rPr>
          <w:sz w:val="22"/>
        </w:rPr>
        <w:t>they</w:t>
      </w:r>
      <w:r>
        <w:rPr>
          <w:spacing w:val="-2"/>
          <w:sz w:val="22"/>
        </w:rPr>
        <w:t> </w:t>
      </w:r>
      <w:r>
        <w:rPr>
          <w:sz w:val="22"/>
        </w:rPr>
        <w:t>might</w:t>
      </w:r>
      <w:r>
        <w:rPr>
          <w:spacing w:val="-3"/>
          <w:sz w:val="22"/>
        </w:rPr>
        <w:t> </w:t>
      </w:r>
      <w:r>
        <w:rPr>
          <w:sz w:val="22"/>
        </w:rPr>
        <w:t>most</w:t>
      </w:r>
      <w:r>
        <w:rPr>
          <w:spacing w:val="-1"/>
          <w:sz w:val="22"/>
        </w:rPr>
        <w:t> </w:t>
      </w:r>
      <w:r>
        <w:rPr>
          <w:sz w:val="22"/>
        </w:rPr>
        <w:t>effectively</w:t>
      </w:r>
      <w:r>
        <w:rPr>
          <w:spacing w:val="-2"/>
          <w:sz w:val="22"/>
        </w:rPr>
        <w:t> </w:t>
      </w:r>
      <w:r>
        <w:rPr>
          <w:sz w:val="22"/>
        </w:rPr>
        <w:t>deliver required safety</w:t>
      </w:r>
      <w:r>
        <w:rPr>
          <w:spacing w:val="-2"/>
          <w:sz w:val="22"/>
        </w:rPr>
        <w:t> </w:t>
      </w:r>
      <w:r>
        <w:rPr>
          <w:sz w:val="22"/>
        </w:rPr>
        <w:t>levels?</w:t>
      </w:r>
    </w:p>
    <w:p>
      <w:pPr>
        <w:spacing w:after="0" w:line="288" w:lineRule="auto"/>
        <w:jc w:val="left"/>
        <w:rPr>
          <w:sz w:val="22"/>
        </w:rPr>
        <w:sectPr>
          <w:pgSz w:w="11910" w:h="16840"/>
          <w:pgMar w:header="887" w:footer="1286" w:top="1080" w:bottom="1500" w:left="840" w:right="820"/>
        </w:sectPr>
      </w:pPr>
    </w:p>
    <w:p>
      <w:pPr>
        <w:pStyle w:val="BodyText"/>
        <w:rPr>
          <w:sz w:val="20"/>
        </w:rPr>
      </w:pPr>
    </w:p>
    <w:p>
      <w:pPr>
        <w:pStyle w:val="BodyText"/>
        <w:rPr>
          <w:sz w:val="20"/>
        </w:rPr>
      </w:pPr>
    </w:p>
    <w:p>
      <w:pPr>
        <w:pStyle w:val="BodyText"/>
        <w:spacing w:before="5"/>
      </w:pPr>
    </w:p>
    <w:p>
      <w:pPr>
        <w:pStyle w:val="BodyText"/>
        <w:spacing w:line="288" w:lineRule="auto"/>
        <w:ind w:left="600" w:right="910"/>
      </w:pPr>
      <w:r>
        <w:rPr/>
        <w:t>The</w:t>
      </w:r>
      <w:r>
        <w:rPr>
          <w:spacing w:val="-5"/>
        </w:rPr>
        <w:t> </w:t>
      </w:r>
      <w:r>
        <w:rPr/>
        <w:t>distinction</w:t>
      </w:r>
      <w:r>
        <w:rPr>
          <w:spacing w:val="-3"/>
        </w:rPr>
        <w:t> </w:t>
      </w:r>
      <w:r>
        <w:rPr/>
        <w:t>is</w:t>
      </w:r>
      <w:r>
        <w:rPr>
          <w:spacing w:val="-5"/>
        </w:rPr>
        <w:t> </w:t>
      </w:r>
      <w:r>
        <w:rPr/>
        <w:t>between</w:t>
      </w:r>
      <w:r>
        <w:rPr>
          <w:spacing w:val="-2"/>
        </w:rPr>
        <w:t> </w:t>
      </w:r>
      <w:r>
        <w:rPr/>
        <w:t>“prescriptive</w:t>
      </w:r>
      <w:r>
        <w:rPr>
          <w:spacing w:val="-3"/>
        </w:rPr>
        <w:t> </w:t>
      </w:r>
      <w:r>
        <w:rPr/>
        <w:t>regulation”</w:t>
      </w:r>
      <w:r>
        <w:rPr>
          <w:spacing w:val="-1"/>
        </w:rPr>
        <w:t> </w:t>
      </w:r>
      <w:r>
        <w:rPr/>
        <w:t>and</w:t>
      </w:r>
      <w:r>
        <w:rPr>
          <w:spacing w:val="-5"/>
        </w:rPr>
        <w:t> </w:t>
      </w:r>
      <w:r>
        <w:rPr/>
        <w:t>“outcomes-based</w:t>
      </w:r>
      <w:r>
        <w:rPr>
          <w:spacing w:val="-5"/>
        </w:rPr>
        <w:t> </w:t>
      </w:r>
      <w:r>
        <w:rPr/>
        <w:t>regulation”,</w:t>
      </w:r>
      <w:r>
        <w:rPr>
          <w:spacing w:val="-1"/>
        </w:rPr>
        <w:t> </w:t>
      </w:r>
      <w:r>
        <w:rPr/>
        <w:t>and what constitutes the most appropriate balance between the two.</w:t>
      </w:r>
    </w:p>
    <w:p>
      <w:pPr>
        <w:pStyle w:val="BodyText"/>
        <w:spacing w:before="10"/>
        <w:rPr>
          <w:sz w:val="20"/>
        </w:rPr>
      </w:pPr>
    </w:p>
    <w:p>
      <w:pPr>
        <w:pStyle w:val="BodyText"/>
        <w:spacing w:line="288" w:lineRule="auto"/>
        <w:ind w:left="600" w:right="311"/>
      </w:pPr>
      <w:r>
        <w:rPr/>
        <w:t>In</w:t>
      </w:r>
      <w:r>
        <w:rPr>
          <w:spacing w:val="-3"/>
        </w:rPr>
        <w:t> </w:t>
      </w:r>
      <w:r>
        <w:rPr/>
        <w:t>its</w:t>
      </w:r>
      <w:r>
        <w:rPr>
          <w:spacing w:val="-4"/>
        </w:rPr>
        <w:t> </w:t>
      </w:r>
      <w:r>
        <w:rPr/>
        <w:t>submission</w:t>
      </w:r>
      <w:r>
        <w:rPr>
          <w:spacing w:val="-3"/>
        </w:rPr>
        <w:t> </w:t>
      </w:r>
      <w:r>
        <w:rPr/>
        <w:t>to</w:t>
      </w:r>
      <w:r>
        <w:rPr>
          <w:spacing w:val="-6"/>
        </w:rPr>
        <w:t> </w:t>
      </w:r>
      <w:r>
        <w:rPr/>
        <w:t>the</w:t>
      </w:r>
      <w:r>
        <w:rPr>
          <w:spacing w:val="-4"/>
        </w:rPr>
        <w:t> </w:t>
      </w:r>
      <w:r>
        <w:rPr/>
        <w:t>Review,</w:t>
      </w:r>
      <w:r>
        <w:rPr>
          <w:spacing w:val="-1"/>
        </w:rPr>
        <w:t> </w:t>
      </w:r>
      <w:r>
        <w:rPr/>
        <w:t>AusNet</w:t>
      </w:r>
      <w:r>
        <w:rPr>
          <w:spacing w:val="-2"/>
        </w:rPr>
        <w:t> </w:t>
      </w:r>
      <w:r>
        <w:rPr/>
        <w:t>Services has</w:t>
      </w:r>
      <w:r>
        <w:rPr>
          <w:spacing w:val="-2"/>
        </w:rPr>
        <w:t> </w:t>
      </w:r>
      <w:r>
        <w:rPr/>
        <w:t>noted</w:t>
      </w:r>
      <w:r>
        <w:rPr>
          <w:spacing w:val="-4"/>
        </w:rPr>
        <w:t> </w:t>
      </w:r>
      <w:r>
        <w:rPr/>
        <w:t>the</w:t>
      </w:r>
      <w:r>
        <w:rPr>
          <w:spacing w:val="-4"/>
        </w:rPr>
        <w:t> </w:t>
      </w:r>
      <w:r>
        <w:rPr/>
        <w:t>advantages,</w:t>
      </w:r>
      <w:r>
        <w:rPr>
          <w:spacing w:val="-1"/>
        </w:rPr>
        <w:t> </w:t>
      </w:r>
      <w:r>
        <w:rPr/>
        <w:t>including</w:t>
      </w:r>
      <w:r>
        <w:rPr>
          <w:spacing w:val="-3"/>
        </w:rPr>
        <w:t> </w:t>
      </w:r>
      <w:r>
        <w:rPr/>
        <w:t>the greater flexibility, of an outcomes-based approach:</w:t>
      </w:r>
    </w:p>
    <w:p>
      <w:pPr>
        <w:pStyle w:val="BodyText"/>
        <w:spacing w:before="10"/>
        <w:rPr>
          <w:sz w:val="20"/>
        </w:rPr>
      </w:pPr>
    </w:p>
    <w:p>
      <w:pPr>
        <w:spacing w:line="288" w:lineRule="auto" w:before="0"/>
        <w:ind w:left="1166" w:right="1253" w:firstLine="0"/>
        <w:jc w:val="left"/>
        <w:rPr>
          <w:sz w:val="22"/>
        </w:rPr>
      </w:pPr>
      <w:r>
        <w:rPr>
          <w:i/>
          <w:sz w:val="22"/>
        </w:rPr>
        <w:t>“The</w:t>
      </w:r>
      <w:r>
        <w:rPr>
          <w:i/>
          <w:spacing w:val="-5"/>
          <w:sz w:val="22"/>
        </w:rPr>
        <w:t> </w:t>
      </w:r>
      <w:r>
        <w:rPr>
          <w:i/>
          <w:sz w:val="22"/>
        </w:rPr>
        <w:t>flexibility</w:t>
      </w:r>
      <w:r>
        <w:rPr>
          <w:i/>
          <w:spacing w:val="-2"/>
          <w:sz w:val="22"/>
        </w:rPr>
        <w:t> </w:t>
      </w:r>
      <w:r>
        <w:rPr>
          <w:i/>
          <w:sz w:val="22"/>
        </w:rPr>
        <w:t>of</w:t>
      </w:r>
      <w:r>
        <w:rPr>
          <w:i/>
          <w:spacing w:val="-2"/>
          <w:sz w:val="22"/>
        </w:rPr>
        <w:t> </w:t>
      </w:r>
      <w:r>
        <w:rPr>
          <w:i/>
          <w:sz w:val="22"/>
        </w:rPr>
        <w:t>a</w:t>
      </w:r>
      <w:r>
        <w:rPr>
          <w:i/>
          <w:spacing w:val="-5"/>
          <w:sz w:val="22"/>
        </w:rPr>
        <w:t> </w:t>
      </w:r>
      <w:r>
        <w:rPr>
          <w:i/>
          <w:sz w:val="22"/>
        </w:rPr>
        <w:t>non-prescriptive</w:t>
      </w:r>
      <w:r>
        <w:rPr>
          <w:i/>
          <w:spacing w:val="-5"/>
          <w:sz w:val="22"/>
        </w:rPr>
        <w:t> </w:t>
      </w:r>
      <w:r>
        <w:rPr>
          <w:i/>
          <w:sz w:val="22"/>
        </w:rPr>
        <w:t>framework</w:t>
      </w:r>
      <w:r>
        <w:rPr>
          <w:i/>
          <w:spacing w:val="-2"/>
          <w:sz w:val="22"/>
        </w:rPr>
        <w:t> </w:t>
      </w:r>
      <w:r>
        <w:rPr>
          <w:i/>
          <w:sz w:val="22"/>
        </w:rPr>
        <w:t>enables</w:t>
      </w:r>
      <w:r>
        <w:rPr>
          <w:i/>
          <w:spacing w:val="-3"/>
          <w:sz w:val="22"/>
        </w:rPr>
        <w:t> </w:t>
      </w:r>
      <w:r>
        <w:rPr>
          <w:i/>
          <w:sz w:val="22"/>
        </w:rPr>
        <w:t>the</w:t>
      </w:r>
      <w:r>
        <w:rPr>
          <w:i/>
          <w:spacing w:val="-5"/>
          <w:sz w:val="22"/>
        </w:rPr>
        <w:t> </w:t>
      </w:r>
      <w:r>
        <w:rPr>
          <w:i/>
          <w:sz w:val="22"/>
        </w:rPr>
        <w:t>continued</w:t>
      </w:r>
      <w:r>
        <w:rPr>
          <w:i/>
          <w:spacing w:val="-3"/>
          <w:sz w:val="22"/>
        </w:rPr>
        <w:t> </w:t>
      </w:r>
      <w:r>
        <w:rPr>
          <w:i/>
          <w:sz w:val="22"/>
        </w:rPr>
        <w:t>application of precautionary measures until monitoring of safety outcomes indicates the measures need to be reduced, stopped or investment directed toward other measures to achieve the required outcomes. A prescriptive approach requires the continued application of a measure regardless of network safety outcomes.” </w:t>
      </w:r>
      <w:r>
        <w:rPr>
          <w:sz w:val="22"/>
        </w:rPr>
        <w:t>(AusNet Services, 2017, p. 5)</w:t>
      </w:r>
    </w:p>
    <w:p>
      <w:pPr>
        <w:pStyle w:val="BodyText"/>
        <w:spacing w:before="11"/>
        <w:rPr>
          <w:sz w:val="20"/>
        </w:rPr>
      </w:pPr>
    </w:p>
    <w:p>
      <w:pPr>
        <w:pStyle w:val="BodyText"/>
        <w:spacing w:line="288" w:lineRule="auto"/>
        <w:ind w:left="600"/>
      </w:pPr>
      <w:r>
        <w:rPr/>
        <w:t>Similarly,</w:t>
      </w:r>
      <w:r>
        <w:rPr>
          <w:spacing w:val="-2"/>
        </w:rPr>
        <w:t> </w:t>
      </w:r>
      <w:r>
        <w:rPr/>
        <w:t>CitiPower</w:t>
      </w:r>
      <w:r>
        <w:rPr>
          <w:spacing w:val="-3"/>
        </w:rPr>
        <w:t> </w:t>
      </w:r>
      <w:r>
        <w:rPr/>
        <w:t>and</w:t>
      </w:r>
      <w:r>
        <w:rPr>
          <w:spacing w:val="-6"/>
        </w:rPr>
        <w:t> </w:t>
      </w:r>
      <w:r>
        <w:rPr/>
        <w:t>Powercor</w:t>
      </w:r>
      <w:r>
        <w:rPr>
          <w:spacing w:val="-2"/>
        </w:rPr>
        <w:t> </w:t>
      </w:r>
      <w:r>
        <w:rPr/>
        <w:t>Australia</w:t>
      </w:r>
      <w:r>
        <w:rPr>
          <w:spacing w:val="-3"/>
        </w:rPr>
        <w:t> </w:t>
      </w:r>
      <w:r>
        <w:rPr/>
        <w:t>noted</w:t>
      </w:r>
      <w:r>
        <w:rPr>
          <w:spacing w:val="-4"/>
        </w:rPr>
        <w:t> </w:t>
      </w:r>
      <w:r>
        <w:rPr/>
        <w:t>the</w:t>
      </w:r>
      <w:r>
        <w:rPr>
          <w:spacing w:val="-6"/>
        </w:rPr>
        <w:t> </w:t>
      </w:r>
      <w:r>
        <w:rPr/>
        <w:t>limitations</w:t>
      </w:r>
      <w:r>
        <w:rPr>
          <w:spacing w:val="-6"/>
        </w:rPr>
        <w:t> </w:t>
      </w:r>
      <w:r>
        <w:rPr/>
        <w:t>of</w:t>
      </w:r>
      <w:r>
        <w:rPr>
          <w:spacing w:val="-2"/>
        </w:rPr>
        <w:t> </w:t>
      </w:r>
      <w:r>
        <w:rPr/>
        <w:t>applying</w:t>
      </w:r>
      <w:r>
        <w:rPr>
          <w:spacing w:val="-4"/>
        </w:rPr>
        <w:t> </w:t>
      </w:r>
      <w:r>
        <w:rPr/>
        <w:t>prescriptive approaches in a complex environment:</w:t>
      </w:r>
    </w:p>
    <w:p>
      <w:pPr>
        <w:pStyle w:val="BodyText"/>
        <w:spacing w:before="10"/>
        <w:rPr>
          <w:sz w:val="20"/>
        </w:rPr>
      </w:pPr>
    </w:p>
    <w:p>
      <w:pPr>
        <w:spacing w:line="288" w:lineRule="auto" w:before="0"/>
        <w:ind w:left="1166" w:right="1200" w:firstLine="0"/>
        <w:jc w:val="left"/>
        <w:rPr>
          <w:sz w:val="22"/>
        </w:rPr>
      </w:pPr>
      <w:r>
        <w:rPr>
          <w:i/>
          <w:sz w:val="22"/>
        </w:rPr>
        <w:t>“The</w:t>
      </w:r>
      <w:r>
        <w:rPr>
          <w:i/>
          <w:spacing w:val="-3"/>
          <w:sz w:val="22"/>
        </w:rPr>
        <w:t> </w:t>
      </w:r>
      <w:r>
        <w:rPr>
          <w:i/>
          <w:sz w:val="22"/>
        </w:rPr>
        <w:t>complex</w:t>
      </w:r>
      <w:r>
        <w:rPr>
          <w:i/>
          <w:spacing w:val="-3"/>
          <w:sz w:val="22"/>
        </w:rPr>
        <w:t> </w:t>
      </w:r>
      <w:r>
        <w:rPr>
          <w:i/>
          <w:sz w:val="22"/>
        </w:rPr>
        <w:t>dynamics</w:t>
      </w:r>
      <w:r>
        <w:rPr>
          <w:i/>
          <w:spacing w:val="-7"/>
          <w:sz w:val="22"/>
        </w:rPr>
        <w:t> </w:t>
      </w:r>
      <w:r>
        <w:rPr>
          <w:i/>
          <w:sz w:val="22"/>
        </w:rPr>
        <w:t>of</w:t>
      </w:r>
      <w:r>
        <w:rPr>
          <w:i/>
          <w:spacing w:val="-4"/>
          <w:sz w:val="22"/>
        </w:rPr>
        <w:t> </w:t>
      </w:r>
      <w:r>
        <w:rPr>
          <w:i/>
          <w:sz w:val="22"/>
        </w:rPr>
        <w:t>the</w:t>
      </w:r>
      <w:r>
        <w:rPr>
          <w:i/>
          <w:spacing w:val="-3"/>
          <w:sz w:val="22"/>
        </w:rPr>
        <w:t> </w:t>
      </w:r>
      <w:r>
        <w:rPr>
          <w:i/>
          <w:sz w:val="22"/>
        </w:rPr>
        <w:t>electricity</w:t>
      </w:r>
      <w:r>
        <w:rPr>
          <w:i/>
          <w:spacing w:val="-5"/>
          <w:sz w:val="22"/>
        </w:rPr>
        <w:t> </w:t>
      </w:r>
      <w:r>
        <w:rPr>
          <w:i/>
          <w:sz w:val="22"/>
        </w:rPr>
        <w:t>network,</w:t>
      </w:r>
      <w:r>
        <w:rPr>
          <w:i/>
          <w:spacing w:val="-4"/>
          <w:sz w:val="22"/>
        </w:rPr>
        <w:t> </w:t>
      </w:r>
      <w:r>
        <w:rPr>
          <w:i/>
          <w:sz w:val="22"/>
        </w:rPr>
        <w:t>and</w:t>
      </w:r>
      <w:r>
        <w:rPr>
          <w:i/>
          <w:spacing w:val="-5"/>
          <w:sz w:val="22"/>
        </w:rPr>
        <w:t> </w:t>
      </w:r>
      <w:r>
        <w:rPr>
          <w:i/>
          <w:sz w:val="22"/>
        </w:rPr>
        <w:t>the</w:t>
      </w:r>
      <w:r>
        <w:rPr>
          <w:i/>
          <w:spacing w:val="-3"/>
          <w:sz w:val="22"/>
        </w:rPr>
        <w:t> </w:t>
      </w:r>
      <w:r>
        <w:rPr>
          <w:i/>
          <w:sz w:val="22"/>
        </w:rPr>
        <w:t>different</w:t>
      </w:r>
      <w:r>
        <w:rPr>
          <w:i/>
          <w:spacing w:val="-1"/>
          <w:sz w:val="22"/>
        </w:rPr>
        <w:t> </w:t>
      </w:r>
      <w:r>
        <w:rPr>
          <w:i/>
          <w:sz w:val="22"/>
        </w:rPr>
        <w:t>environments that the businesses operate in, limit the cost-effectiveness of the prescribed measures such as a broad one-size-fits-all solutions.” </w:t>
      </w:r>
      <w:r>
        <w:rPr>
          <w:sz w:val="22"/>
        </w:rPr>
        <w:t>(CitiPower &amp; Powercor Australia, 2017, p. 14)</w:t>
      </w:r>
    </w:p>
    <w:p>
      <w:pPr>
        <w:pStyle w:val="BodyText"/>
        <w:spacing w:before="10"/>
        <w:rPr>
          <w:sz w:val="20"/>
        </w:rPr>
      </w:pPr>
    </w:p>
    <w:p>
      <w:pPr>
        <w:pStyle w:val="BodyText"/>
        <w:spacing w:line="288" w:lineRule="auto"/>
        <w:ind w:left="600" w:right="713"/>
      </w:pPr>
      <w:r>
        <w:rPr/>
        <w:t>By</w:t>
      </w:r>
      <w:r>
        <w:rPr>
          <w:spacing w:val="-4"/>
        </w:rPr>
        <w:t> </w:t>
      </w:r>
      <w:r>
        <w:rPr/>
        <w:t>itself, a</w:t>
      </w:r>
      <w:r>
        <w:rPr>
          <w:spacing w:val="-3"/>
        </w:rPr>
        <w:t> </w:t>
      </w:r>
      <w:r>
        <w:rPr/>
        <w:t>safety</w:t>
      </w:r>
      <w:r>
        <w:rPr>
          <w:spacing w:val="-4"/>
        </w:rPr>
        <w:t> </w:t>
      </w:r>
      <w:r>
        <w:rPr/>
        <w:t>case</w:t>
      </w:r>
      <w:r>
        <w:rPr>
          <w:spacing w:val="-3"/>
        </w:rPr>
        <w:t> </w:t>
      </w:r>
      <w:r>
        <w:rPr/>
        <w:t>approach</w:t>
      </w:r>
      <w:r>
        <w:rPr>
          <w:spacing w:val="-4"/>
        </w:rPr>
        <w:t> </w:t>
      </w:r>
      <w:r>
        <w:rPr/>
        <w:t>(or</w:t>
      </w:r>
      <w:r>
        <w:rPr>
          <w:spacing w:val="-3"/>
        </w:rPr>
        <w:t> </w:t>
      </w:r>
      <w:r>
        <w:rPr/>
        <w:t>a</w:t>
      </w:r>
      <w:r>
        <w:rPr>
          <w:spacing w:val="-2"/>
        </w:rPr>
        <w:t> </w:t>
      </w:r>
      <w:r>
        <w:rPr/>
        <w:t>similar,</w:t>
      </w:r>
      <w:r>
        <w:rPr>
          <w:spacing w:val="-2"/>
        </w:rPr>
        <w:t> </w:t>
      </w:r>
      <w:r>
        <w:rPr/>
        <w:t>but</w:t>
      </w:r>
      <w:r>
        <w:rPr>
          <w:spacing w:val="-3"/>
        </w:rPr>
        <w:t> </w:t>
      </w:r>
      <w:r>
        <w:rPr/>
        <w:t>less</w:t>
      </w:r>
      <w:r>
        <w:rPr>
          <w:spacing w:val="-2"/>
        </w:rPr>
        <w:t> </w:t>
      </w:r>
      <w:r>
        <w:rPr/>
        <w:t>comprehensive,</w:t>
      </w:r>
      <w:r>
        <w:rPr>
          <w:spacing w:val="-1"/>
        </w:rPr>
        <w:t> </w:t>
      </w:r>
      <w:r>
        <w:rPr/>
        <w:t>safety</w:t>
      </w:r>
      <w:r>
        <w:rPr>
          <w:spacing w:val="-4"/>
        </w:rPr>
        <w:t> </w:t>
      </w:r>
      <w:r>
        <w:rPr/>
        <w:t>management system approach) may be considered as providing for outcomes-based regulation. In this case, the government sets out in legislation its requirements around the general safety duties that operators have, leaving operators the flexibility, through their individual safety cases, to determine how they might best achieve those safety outcomes.</w:t>
      </w:r>
    </w:p>
    <w:p>
      <w:pPr>
        <w:pStyle w:val="BodyText"/>
        <w:rPr>
          <w:sz w:val="21"/>
        </w:rPr>
      </w:pPr>
    </w:p>
    <w:p>
      <w:pPr>
        <w:pStyle w:val="BodyText"/>
        <w:spacing w:line="288" w:lineRule="auto"/>
        <w:ind w:left="600" w:right="620"/>
      </w:pPr>
      <w:r>
        <w:rPr/>
        <w:t>In practice, many legislative frameworks built on an outcomes-based regime also contain more specific measures to be implemented. The inquiry by Lord Cullen following the explosion</w:t>
      </w:r>
      <w:r>
        <w:rPr>
          <w:spacing w:val="-3"/>
        </w:rPr>
        <w:t> </w:t>
      </w:r>
      <w:r>
        <w:rPr/>
        <w:t>at</w:t>
      </w:r>
      <w:r>
        <w:rPr>
          <w:spacing w:val="-2"/>
        </w:rPr>
        <w:t> </w:t>
      </w:r>
      <w:r>
        <w:rPr/>
        <w:t>the</w:t>
      </w:r>
      <w:r>
        <w:rPr>
          <w:spacing w:val="-3"/>
        </w:rPr>
        <w:t> </w:t>
      </w:r>
      <w:r>
        <w:rPr/>
        <w:t>UK</w:t>
      </w:r>
      <w:r>
        <w:rPr>
          <w:spacing w:val="-6"/>
        </w:rPr>
        <w:t> </w:t>
      </w:r>
      <w:r>
        <w:rPr/>
        <w:t>Piper</w:t>
      </w:r>
      <w:r>
        <w:rPr>
          <w:spacing w:val="-2"/>
        </w:rPr>
        <w:t> </w:t>
      </w:r>
      <w:r>
        <w:rPr/>
        <w:t>Alpha</w:t>
      </w:r>
      <w:r>
        <w:rPr>
          <w:spacing w:val="-3"/>
        </w:rPr>
        <w:t> </w:t>
      </w:r>
      <w:r>
        <w:rPr/>
        <w:t>oil</w:t>
      </w:r>
      <w:r>
        <w:rPr>
          <w:spacing w:val="-3"/>
        </w:rPr>
        <w:t> </w:t>
      </w:r>
      <w:r>
        <w:rPr/>
        <w:t>platform</w:t>
      </w:r>
      <w:r>
        <w:rPr>
          <w:spacing w:val="-2"/>
        </w:rPr>
        <w:t> </w:t>
      </w:r>
      <w:r>
        <w:rPr/>
        <w:t>in</w:t>
      </w:r>
      <w:r>
        <w:rPr>
          <w:spacing w:val="-3"/>
        </w:rPr>
        <w:t> </w:t>
      </w:r>
      <w:r>
        <w:rPr/>
        <w:t>1988</w:t>
      </w:r>
      <w:r>
        <w:rPr>
          <w:spacing w:val="-3"/>
        </w:rPr>
        <w:t> </w:t>
      </w:r>
      <w:r>
        <w:rPr/>
        <w:t>recommended</w:t>
      </w:r>
      <w:r>
        <w:rPr>
          <w:spacing w:val="-5"/>
        </w:rPr>
        <w:t> </w:t>
      </w:r>
      <w:r>
        <w:rPr/>
        <w:t>that</w:t>
      </w:r>
      <w:r>
        <w:rPr>
          <w:spacing w:val="-4"/>
        </w:rPr>
        <w:t> </w:t>
      </w:r>
      <w:r>
        <w:rPr/>
        <w:t>both</w:t>
      </w:r>
      <w:r>
        <w:rPr>
          <w:spacing w:val="-3"/>
        </w:rPr>
        <w:t> </w:t>
      </w:r>
      <w:r>
        <w:rPr/>
        <w:t>prescriptive</w:t>
      </w:r>
      <w:r>
        <w:rPr>
          <w:spacing w:val="-3"/>
        </w:rPr>
        <w:t> </w:t>
      </w:r>
      <w:r>
        <w:rPr/>
        <w:t>and outcomes-based regulation was needed (Wilkinson, 2014).</w:t>
      </w:r>
    </w:p>
    <w:p>
      <w:pPr>
        <w:pStyle w:val="BodyText"/>
        <w:spacing w:before="10"/>
        <w:rPr>
          <w:sz w:val="20"/>
        </w:rPr>
      </w:pPr>
    </w:p>
    <w:p>
      <w:pPr>
        <w:spacing w:line="288" w:lineRule="auto" w:before="0"/>
        <w:ind w:left="600" w:right="680" w:firstLine="0"/>
        <w:jc w:val="left"/>
        <w:rPr>
          <w:sz w:val="22"/>
        </w:rPr>
      </w:pPr>
      <w:r>
        <w:rPr>
          <w:sz w:val="22"/>
        </w:rPr>
        <w:t>Outcomes-based regulation was also considered following the 2009 Montara oil spill. The Montara Commission of Inquiry noted that the offshore oil and gas framework had removed prescription</w:t>
      </w:r>
      <w:r>
        <w:rPr>
          <w:spacing w:val="-5"/>
          <w:sz w:val="22"/>
        </w:rPr>
        <w:t> </w:t>
      </w:r>
      <w:r>
        <w:rPr>
          <w:sz w:val="22"/>
        </w:rPr>
        <w:t>for well</w:t>
      </w:r>
      <w:r>
        <w:rPr>
          <w:spacing w:val="-1"/>
          <w:sz w:val="22"/>
        </w:rPr>
        <w:t> </w:t>
      </w:r>
      <w:r>
        <w:rPr>
          <w:sz w:val="22"/>
        </w:rPr>
        <w:t>integrity. It</w:t>
      </w:r>
      <w:r>
        <w:rPr>
          <w:spacing w:val="-2"/>
          <w:sz w:val="22"/>
        </w:rPr>
        <w:t> </w:t>
      </w:r>
      <w:r>
        <w:rPr>
          <w:sz w:val="22"/>
        </w:rPr>
        <w:t>found</w:t>
      </w:r>
      <w:r>
        <w:rPr>
          <w:spacing w:val="-3"/>
          <w:sz w:val="22"/>
        </w:rPr>
        <w:t> </w:t>
      </w:r>
      <w:r>
        <w:rPr>
          <w:sz w:val="22"/>
        </w:rPr>
        <w:t>the</w:t>
      </w:r>
      <w:r>
        <w:rPr>
          <w:spacing w:val="-1"/>
          <w:sz w:val="22"/>
        </w:rPr>
        <w:t> </w:t>
      </w:r>
      <w:r>
        <w:rPr>
          <w:sz w:val="22"/>
        </w:rPr>
        <w:t>safety</w:t>
      </w:r>
      <w:r>
        <w:rPr>
          <w:spacing w:val="-3"/>
          <w:sz w:val="22"/>
        </w:rPr>
        <w:t> </w:t>
      </w:r>
      <w:r>
        <w:rPr>
          <w:sz w:val="22"/>
        </w:rPr>
        <w:t>obligation was</w:t>
      </w:r>
      <w:r>
        <w:rPr>
          <w:spacing w:val="-1"/>
          <w:sz w:val="22"/>
        </w:rPr>
        <w:t> </w:t>
      </w:r>
      <w:r>
        <w:rPr>
          <w:sz w:val="22"/>
        </w:rPr>
        <w:t>ambiguous</w:t>
      </w:r>
      <w:r>
        <w:rPr>
          <w:spacing w:val="-3"/>
          <w:sz w:val="22"/>
        </w:rPr>
        <w:t> </w:t>
      </w:r>
      <w:r>
        <w:rPr>
          <w:sz w:val="22"/>
        </w:rPr>
        <w:t>and</w:t>
      </w:r>
      <w:r>
        <w:rPr>
          <w:spacing w:val="-1"/>
          <w:sz w:val="22"/>
        </w:rPr>
        <w:t> </w:t>
      </w:r>
      <w:r>
        <w:rPr>
          <w:sz w:val="22"/>
        </w:rPr>
        <w:t>likely</w:t>
      </w:r>
      <w:r>
        <w:rPr>
          <w:spacing w:val="-3"/>
          <w:sz w:val="22"/>
        </w:rPr>
        <w:t> </w:t>
      </w:r>
      <w:r>
        <w:rPr>
          <w:sz w:val="22"/>
        </w:rPr>
        <w:t>to</w:t>
      </w:r>
      <w:r>
        <w:rPr>
          <w:spacing w:val="-1"/>
          <w:sz w:val="22"/>
        </w:rPr>
        <w:t> </w:t>
      </w:r>
      <w:r>
        <w:rPr>
          <w:sz w:val="22"/>
        </w:rPr>
        <w:t>have led to deficiencies, suggesting “</w:t>
      </w:r>
      <w:r>
        <w:rPr>
          <w:i/>
          <w:sz w:val="22"/>
        </w:rPr>
        <w:t>the pendulum may have swung too far away from prescriptive standards</w:t>
      </w:r>
      <w:r>
        <w:rPr>
          <w:sz w:val="22"/>
        </w:rPr>
        <w:t>” and that in some areas minimum standards are required. It noted that a “</w:t>
      </w:r>
      <w:r>
        <w:rPr>
          <w:i/>
          <w:sz w:val="22"/>
        </w:rPr>
        <w:t>balance between prescriptive standards and technical innovation and flexibility must be achieved. In attempting to strike an appropriate balance, a stead</w:t>
      </w:r>
      <w:r>
        <w:rPr>
          <w:i/>
          <w:sz w:val="23"/>
        </w:rPr>
        <w:t>‐</w:t>
      </w:r>
      <w:r>
        <w:rPr>
          <w:i/>
          <w:sz w:val="22"/>
        </w:rPr>
        <w:t>fast eye must be kept on</w:t>
      </w:r>
      <w:r>
        <w:rPr>
          <w:i/>
          <w:spacing w:val="-3"/>
          <w:sz w:val="22"/>
        </w:rPr>
        <w:t> </w:t>
      </w:r>
      <w:r>
        <w:rPr>
          <w:i/>
          <w:sz w:val="22"/>
        </w:rPr>
        <w:t>the</w:t>
      </w:r>
      <w:r>
        <w:rPr>
          <w:i/>
          <w:spacing w:val="-5"/>
          <w:sz w:val="22"/>
        </w:rPr>
        <w:t> </w:t>
      </w:r>
      <w:r>
        <w:rPr>
          <w:i/>
          <w:sz w:val="22"/>
        </w:rPr>
        <w:t>ultimate</w:t>
      </w:r>
      <w:r>
        <w:rPr>
          <w:i/>
          <w:spacing w:val="-3"/>
          <w:sz w:val="22"/>
        </w:rPr>
        <w:t> </w:t>
      </w:r>
      <w:r>
        <w:rPr>
          <w:i/>
          <w:sz w:val="22"/>
        </w:rPr>
        <w:t>goal</w:t>
      </w:r>
      <w:r>
        <w:rPr>
          <w:i/>
          <w:spacing w:val="-4"/>
          <w:sz w:val="22"/>
        </w:rPr>
        <w:t> </w:t>
      </w:r>
      <w:r>
        <w:rPr>
          <w:i/>
          <w:sz w:val="22"/>
        </w:rPr>
        <w:t>of</w:t>
      </w:r>
      <w:r>
        <w:rPr>
          <w:i/>
          <w:spacing w:val="-1"/>
          <w:sz w:val="22"/>
        </w:rPr>
        <w:t> </w:t>
      </w:r>
      <w:r>
        <w:rPr>
          <w:i/>
          <w:sz w:val="22"/>
        </w:rPr>
        <w:t>health,</w:t>
      </w:r>
      <w:r>
        <w:rPr>
          <w:i/>
          <w:spacing w:val="-2"/>
          <w:sz w:val="22"/>
        </w:rPr>
        <w:t> </w:t>
      </w:r>
      <w:r>
        <w:rPr>
          <w:i/>
          <w:sz w:val="22"/>
        </w:rPr>
        <w:t>safety</w:t>
      </w:r>
      <w:r>
        <w:rPr>
          <w:i/>
          <w:spacing w:val="-2"/>
          <w:sz w:val="22"/>
        </w:rPr>
        <w:t> </w:t>
      </w:r>
      <w:r>
        <w:rPr>
          <w:i/>
          <w:sz w:val="22"/>
        </w:rPr>
        <w:t>and</w:t>
      </w:r>
      <w:r>
        <w:rPr>
          <w:i/>
          <w:spacing w:val="-5"/>
          <w:sz w:val="22"/>
        </w:rPr>
        <w:t> </w:t>
      </w:r>
      <w:r>
        <w:rPr>
          <w:i/>
          <w:sz w:val="22"/>
        </w:rPr>
        <w:t>environmental</w:t>
      </w:r>
      <w:r>
        <w:rPr>
          <w:i/>
          <w:spacing w:val="-4"/>
          <w:sz w:val="22"/>
        </w:rPr>
        <w:t> </w:t>
      </w:r>
      <w:r>
        <w:rPr>
          <w:i/>
          <w:sz w:val="22"/>
        </w:rPr>
        <w:t>protection</w:t>
      </w:r>
      <w:r>
        <w:rPr>
          <w:sz w:val="22"/>
        </w:rPr>
        <w:t>”</w:t>
      </w:r>
      <w:r>
        <w:rPr>
          <w:spacing w:val="-4"/>
          <w:sz w:val="22"/>
        </w:rPr>
        <w:t> </w:t>
      </w:r>
      <w:r>
        <w:rPr>
          <w:sz w:val="22"/>
        </w:rPr>
        <w:t>(Montara</w:t>
      </w:r>
      <w:r>
        <w:rPr>
          <w:spacing w:val="-2"/>
          <w:sz w:val="22"/>
        </w:rPr>
        <w:t> </w:t>
      </w:r>
      <w:r>
        <w:rPr>
          <w:sz w:val="22"/>
        </w:rPr>
        <w:t>Commission</w:t>
      </w:r>
      <w:r>
        <w:rPr>
          <w:spacing w:val="-3"/>
          <w:sz w:val="22"/>
        </w:rPr>
        <w:t> </w:t>
      </w:r>
      <w:r>
        <w:rPr>
          <w:sz w:val="22"/>
        </w:rPr>
        <w:t>of Inquiry, 2010, p. 188).</w:t>
      </w:r>
    </w:p>
    <w:p>
      <w:pPr>
        <w:pStyle w:val="BodyText"/>
        <w:spacing w:before="3"/>
        <w:rPr>
          <w:sz w:val="20"/>
        </w:rPr>
      </w:pPr>
    </w:p>
    <w:p>
      <w:pPr>
        <w:pStyle w:val="BodyText"/>
        <w:spacing w:line="288" w:lineRule="auto"/>
        <w:ind w:left="600" w:right="713"/>
      </w:pPr>
      <w:r>
        <w:rPr/>
        <w:t>The</w:t>
      </w:r>
      <w:r>
        <w:rPr>
          <w:spacing w:val="-5"/>
        </w:rPr>
        <w:t> </w:t>
      </w:r>
      <w:r>
        <w:rPr/>
        <w:t>appropriate</w:t>
      </w:r>
      <w:r>
        <w:rPr>
          <w:spacing w:val="-4"/>
        </w:rPr>
        <w:t> </w:t>
      </w:r>
      <w:r>
        <w:rPr/>
        <w:t>mix</w:t>
      </w:r>
      <w:r>
        <w:rPr>
          <w:spacing w:val="-4"/>
        </w:rPr>
        <w:t> </w:t>
      </w:r>
      <w:r>
        <w:rPr/>
        <w:t>of outcomes-based</w:t>
      </w:r>
      <w:r>
        <w:rPr>
          <w:spacing w:val="-5"/>
        </w:rPr>
        <w:t> </w:t>
      </w:r>
      <w:r>
        <w:rPr/>
        <w:t>and</w:t>
      </w:r>
      <w:r>
        <w:rPr>
          <w:spacing w:val="-3"/>
        </w:rPr>
        <w:t> </w:t>
      </w:r>
      <w:r>
        <w:rPr/>
        <w:t>prescriptive</w:t>
      </w:r>
      <w:r>
        <w:rPr>
          <w:spacing w:val="-3"/>
        </w:rPr>
        <w:t> </w:t>
      </w:r>
      <w:r>
        <w:rPr/>
        <w:t>regulation</w:t>
      </w:r>
      <w:r>
        <w:rPr>
          <w:spacing w:val="-1"/>
        </w:rPr>
        <w:t> </w:t>
      </w:r>
      <w:r>
        <w:rPr/>
        <w:t>within</w:t>
      </w:r>
      <w:r>
        <w:rPr>
          <w:spacing w:val="-3"/>
        </w:rPr>
        <w:t> </w:t>
      </w:r>
      <w:r>
        <w:rPr/>
        <w:t>a</w:t>
      </w:r>
      <w:r>
        <w:rPr>
          <w:spacing w:val="-4"/>
        </w:rPr>
        <w:t> </w:t>
      </w:r>
      <w:r>
        <w:rPr/>
        <w:t>framework can be influenced by industry characteristics, technical expertise needed and the number of regulated entities (Advisian, 2015). Advantages of prescriptive regulation are that it can</w:t>
      </w:r>
    </w:p>
    <w:p>
      <w:pPr>
        <w:spacing w:after="0" w:line="288" w:lineRule="auto"/>
        <w:sectPr>
          <w:pgSz w:w="11910" w:h="16840"/>
          <w:pgMar w:header="887" w:footer="1286" w:top="1080" w:bottom="1500" w:left="840" w:right="820"/>
        </w:sectPr>
      </w:pPr>
    </w:p>
    <w:p>
      <w:pPr>
        <w:pStyle w:val="BodyText"/>
        <w:rPr>
          <w:sz w:val="20"/>
        </w:rPr>
      </w:pPr>
    </w:p>
    <w:p>
      <w:pPr>
        <w:pStyle w:val="BodyText"/>
        <w:rPr>
          <w:sz w:val="20"/>
        </w:rPr>
      </w:pPr>
    </w:p>
    <w:p>
      <w:pPr>
        <w:pStyle w:val="BodyText"/>
        <w:spacing w:before="5"/>
      </w:pPr>
    </w:p>
    <w:p>
      <w:pPr>
        <w:pStyle w:val="BodyText"/>
        <w:spacing w:line="288" w:lineRule="auto"/>
        <w:ind w:left="600" w:right="910"/>
      </w:pPr>
      <w:r>
        <w:rPr/>
        <w:t>create</w:t>
      </w:r>
      <w:r>
        <w:rPr>
          <w:spacing w:val="-4"/>
        </w:rPr>
        <w:t> </w:t>
      </w:r>
      <w:r>
        <w:rPr/>
        <w:t>certainty</w:t>
      </w:r>
      <w:r>
        <w:rPr>
          <w:spacing w:val="-3"/>
        </w:rPr>
        <w:t> </w:t>
      </w:r>
      <w:r>
        <w:rPr/>
        <w:t>about</w:t>
      </w:r>
      <w:r>
        <w:rPr>
          <w:spacing w:val="-3"/>
        </w:rPr>
        <w:t> </w:t>
      </w:r>
      <w:r>
        <w:rPr/>
        <w:t>exactly</w:t>
      </w:r>
      <w:r>
        <w:rPr>
          <w:spacing w:val="-4"/>
        </w:rPr>
        <w:t> </w:t>
      </w:r>
      <w:r>
        <w:rPr/>
        <w:t>what must</w:t>
      </w:r>
      <w:r>
        <w:rPr>
          <w:spacing w:val="-3"/>
        </w:rPr>
        <w:t> </w:t>
      </w:r>
      <w:r>
        <w:rPr/>
        <w:t>be</w:t>
      </w:r>
      <w:r>
        <w:rPr>
          <w:spacing w:val="-2"/>
        </w:rPr>
        <w:t> </w:t>
      </w:r>
      <w:r>
        <w:rPr/>
        <w:t>done</w:t>
      </w:r>
      <w:r>
        <w:rPr>
          <w:spacing w:val="-7"/>
        </w:rPr>
        <w:t> </w:t>
      </w:r>
      <w:r>
        <w:rPr/>
        <w:t>to</w:t>
      </w:r>
      <w:r>
        <w:rPr>
          <w:spacing w:val="-4"/>
        </w:rPr>
        <w:t> </w:t>
      </w:r>
      <w:r>
        <w:rPr/>
        <w:t>meet</w:t>
      </w:r>
      <w:r>
        <w:rPr>
          <w:spacing w:val="-3"/>
        </w:rPr>
        <w:t> </w:t>
      </w:r>
      <w:r>
        <w:rPr/>
        <w:t>legislative</w:t>
      </w:r>
      <w:r>
        <w:rPr>
          <w:spacing w:val="-2"/>
        </w:rPr>
        <w:t> </w:t>
      </w:r>
      <w:r>
        <w:rPr/>
        <w:t>obligations, and</w:t>
      </w:r>
      <w:r>
        <w:rPr>
          <w:spacing w:val="-4"/>
        </w:rPr>
        <w:t> </w:t>
      </w:r>
      <w:r>
        <w:rPr/>
        <w:t>can also facilitate a greater level of transparency.</w:t>
      </w:r>
    </w:p>
    <w:p>
      <w:pPr>
        <w:pStyle w:val="BodyText"/>
        <w:spacing w:before="10"/>
        <w:rPr>
          <w:sz w:val="20"/>
        </w:rPr>
      </w:pPr>
    </w:p>
    <w:p>
      <w:pPr>
        <w:pStyle w:val="BodyText"/>
        <w:spacing w:line="288" w:lineRule="auto"/>
        <w:ind w:left="600" w:right="374"/>
      </w:pPr>
      <w:r>
        <w:rPr/>
        <w:t>In</w:t>
      </w:r>
      <w:r>
        <w:rPr>
          <w:spacing w:val="-3"/>
        </w:rPr>
        <w:t> </w:t>
      </w:r>
      <w:r>
        <w:rPr/>
        <w:t>energy</w:t>
      </w:r>
      <w:r>
        <w:rPr>
          <w:spacing w:val="-5"/>
        </w:rPr>
        <w:t> </w:t>
      </w:r>
      <w:r>
        <w:rPr/>
        <w:t>network</w:t>
      </w:r>
      <w:r>
        <w:rPr>
          <w:spacing w:val="-2"/>
        </w:rPr>
        <w:t> </w:t>
      </w:r>
      <w:r>
        <w:rPr/>
        <w:t>safety</w:t>
      </w:r>
      <w:r>
        <w:rPr>
          <w:spacing w:val="-4"/>
        </w:rPr>
        <w:t> </w:t>
      </w:r>
      <w:r>
        <w:rPr/>
        <w:t>regulation,</w:t>
      </w:r>
      <w:r>
        <w:rPr>
          <w:spacing w:val="-4"/>
        </w:rPr>
        <w:t> </w:t>
      </w:r>
      <w:r>
        <w:rPr/>
        <w:t>an</w:t>
      </w:r>
      <w:r>
        <w:rPr>
          <w:spacing w:val="-5"/>
        </w:rPr>
        <w:t> </w:t>
      </w:r>
      <w:r>
        <w:rPr/>
        <w:t>example</w:t>
      </w:r>
      <w:r>
        <w:rPr>
          <w:spacing w:val="-5"/>
        </w:rPr>
        <w:t> </w:t>
      </w:r>
      <w:r>
        <w:rPr/>
        <w:t>of prescriptive</w:t>
      </w:r>
      <w:r>
        <w:rPr>
          <w:spacing w:val="-3"/>
        </w:rPr>
        <w:t> </w:t>
      </w:r>
      <w:r>
        <w:rPr/>
        <w:t>regulation</w:t>
      </w:r>
      <w:r>
        <w:rPr>
          <w:spacing w:val="-5"/>
        </w:rPr>
        <w:t> </w:t>
      </w:r>
      <w:r>
        <w:rPr/>
        <w:t>for</w:t>
      </w:r>
      <w:r>
        <w:rPr>
          <w:spacing w:val="-2"/>
        </w:rPr>
        <w:t> </w:t>
      </w:r>
      <w:r>
        <w:rPr/>
        <w:t>entities</w:t>
      </w:r>
      <w:r>
        <w:rPr>
          <w:spacing w:val="-3"/>
        </w:rPr>
        <w:t> </w:t>
      </w:r>
      <w:r>
        <w:rPr/>
        <w:t>also subject to outcomes-based regulation is mandated electric line clearance distances.</w:t>
      </w:r>
    </w:p>
    <w:p>
      <w:pPr>
        <w:pStyle w:val="BodyText"/>
        <w:spacing w:line="288" w:lineRule="auto"/>
        <w:ind w:left="600" w:right="311"/>
      </w:pPr>
      <w:r>
        <w:rPr/>
        <w:t>Prescription in this case may be based on the advantage of clear obligations that can be checked</w:t>
      </w:r>
      <w:r>
        <w:rPr>
          <w:spacing w:val="-3"/>
        </w:rPr>
        <w:t> </w:t>
      </w:r>
      <w:r>
        <w:rPr/>
        <w:t>easily</w:t>
      </w:r>
      <w:r>
        <w:rPr>
          <w:spacing w:val="-5"/>
        </w:rPr>
        <w:t> </w:t>
      </w:r>
      <w:r>
        <w:rPr/>
        <w:t>and</w:t>
      </w:r>
      <w:r>
        <w:rPr>
          <w:spacing w:val="-3"/>
        </w:rPr>
        <w:t> </w:t>
      </w:r>
      <w:r>
        <w:rPr/>
        <w:t>there</w:t>
      </w:r>
      <w:r>
        <w:rPr>
          <w:spacing w:val="-5"/>
        </w:rPr>
        <w:t> </w:t>
      </w:r>
      <w:r>
        <w:rPr/>
        <w:t>being</w:t>
      </w:r>
      <w:r>
        <w:rPr>
          <w:spacing w:val="-3"/>
        </w:rPr>
        <w:t> </w:t>
      </w:r>
      <w:r>
        <w:rPr/>
        <w:t>less</w:t>
      </w:r>
      <w:r>
        <w:rPr>
          <w:spacing w:val="-3"/>
        </w:rPr>
        <w:t> </w:t>
      </w:r>
      <w:r>
        <w:rPr/>
        <w:t>scope</w:t>
      </w:r>
      <w:r>
        <w:rPr>
          <w:spacing w:val="-5"/>
        </w:rPr>
        <w:t> </w:t>
      </w:r>
      <w:r>
        <w:rPr/>
        <w:t>to</w:t>
      </w:r>
      <w:r>
        <w:rPr>
          <w:spacing w:val="-3"/>
        </w:rPr>
        <w:t> </w:t>
      </w:r>
      <w:r>
        <w:rPr/>
        <w:t>innovate (Marsden</w:t>
      </w:r>
      <w:r>
        <w:rPr>
          <w:spacing w:val="-3"/>
        </w:rPr>
        <w:t> </w:t>
      </w:r>
      <w:r>
        <w:rPr/>
        <w:t>Jacob</w:t>
      </w:r>
      <w:r>
        <w:rPr>
          <w:spacing w:val="-3"/>
        </w:rPr>
        <w:t> </w:t>
      </w:r>
      <w:r>
        <w:rPr/>
        <w:t>Associates,</w:t>
      </w:r>
      <w:r>
        <w:rPr>
          <w:spacing w:val="-3"/>
        </w:rPr>
        <w:t> </w:t>
      </w:r>
      <w:r>
        <w:rPr/>
        <w:t>2017). Another common example is prescribed incident reporting requirements.</w:t>
      </w:r>
    </w:p>
    <w:p>
      <w:pPr>
        <w:pStyle w:val="BodyText"/>
        <w:rPr>
          <w:sz w:val="21"/>
        </w:rPr>
      </w:pPr>
    </w:p>
    <w:p>
      <w:pPr>
        <w:pStyle w:val="BodyText"/>
        <w:spacing w:line="288" w:lineRule="auto"/>
        <w:ind w:left="600" w:right="680"/>
      </w:pPr>
      <w:r>
        <w:rPr/>
        <w:t>In</w:t>
      </w:r>
      <w:r>
        <w:rPr>
          <w:spacing w:val="-3"/>
        </w:rPr>
        <w:t> </w:t>
      </w:r>
      <w:r>
        <w:rPr/>
        <w:t>Victoria,</w:t>
      </w:r>
      <w:r>
        <w:rPr>
          <w:spacing w:val="-4"/>
        </w:rPr>
        <w:t> </w:t>
      </w:r>
      <w:r>
        <w:rPr/>
        <w:t>following</w:t>
      </w:r>
      <w:r>
        <w:rPr>
          <w:spacing w:val="-1"/>
        </w:rPr>
        <w:t> </w:t>
      </w:r>
      <w:r>
        <w:rPr/>
        <w:t>recommendations</w:t>
      </w:r>
      <w:r>
        <w:rPr>
          <w:spacing w:val="-2"/>
        </w:rPr>
        <w:t> </w:t>
      </w:r>
      <w:r>
        <w:rPr/>
        <w:t>of</w:t>
      </w:r>
      <w:r>
        <w:rPr>
          <w:spacing w:val="-4"/>
        </w:rPr>
        <w:t> </w:t>
      </w:r>
      <w:r>
        <w:rPr/>
        <w:t>the</w:t>
      </w:r>
      <w:r>
        <w:rPr>
          <w:spacing w:val="-3"/>
        </w:rPr>
        <w:t> </w:t>
      </w:r>
      <w:r>
        <w:rPr/>
        <w:t>Victorian</w:t>
      </w:r>
      <w:r>
        <w:rPr>
          <w:spacing w:val="-3"/>
        </w:rPr>
        <w:t> </w:t>
      </w:r>
      <w:r>
        <w:rPr/>
        <w:t>Bushfires</w:t>
      </w:r>
      <w:r>
        <w:rPr>
          <w:spacing w:val="-2"/>
        </w:rPr>
        <w:t> </w:t>
      </w:r>
      <w:r>
        <w:rPr/>
        <w:t>Royal</w:t>
      </w:r>
      <w:r>
        <w:rPr>
          <w:spacing w:val="-4"/>
        </w:rPr>
        <w:t> </w:t>
      </w:r>
      <w:r>
        <w:rPr/>
        <w:t>Commission</w:t>
      </w:r>
      <w:r>
        <w:rPr>
          <w:spacing w:val="-3"/>
        </w:rPr>
        <w:t> </w:t>
      </w:r>
      <w:r>
        <w:rPr/>
        <w:t>and</w:t>
      </w:r>
      <w:r>
        <w:rPr>
          <w:spacing w:val="-7"/>
        </w:rPr>
        <w:t> </w:t>
      </w:r>
      <w:r>
        <w:rPr/>
        <w:t>the Powerline Bushfire Safety Taskforce, prescriptive regulation was introduced to mandate specific measures for bushfire mitigation, including enhanced fault detection and suppression capacity and heightened powerline conductor technology standards for particular powerlines. The Powerline Bushfire Safety Taskforce noted that:</w:t>
      </w:r>
    </w:p>
    <w:p>
      <w:pPr>
        <w:pStyle w:val="BodyText"/>
        <w:spacing w:before="9"/>
        <w:rPr>
          <w:sz w:val="20"/>
        </w:rPr>
      </w:pPr>
    </w:p>
    <w:p>
      <w:pPr>
        <w:spacing w:line="288" w:lineRule="auto" w:before="0"/>
        <w:ind w:left="1166" w:right="1200" w:firstLine="0"/>
        <w:jc w:val="left"/>
        <w:rPr>
          <w:sz w:val="22"/>
        </w:rPr>
      </w:pPr>
      <w:r>
        <w:rPr>
          <w:i/>
          <w:sz w:val="22"/>
        </w:rPr>
        <w:t>“Consistent with contemporary work on risk management, the Taskforce has adopted a precautionary-based risk management framework to identify and assess</w:t>
      </w:r>
      <w:r>
        <w:rPr>
          <w:i/>
          <w:spacing w:val="-2"/>
          <w:sz w:val="22"/>
        </w:rPr>
        <w:t> </w:t>
      </w:r>
      <w:r>
        <w:rPr>
          <w:i/>
          <w:sz w:val="22"/>
        </w:rPr>
        <w:t>actions</w:t>
      </w:r>
      <w:r>
        <w:rPr>
          <w:i/>
          <w:spacing w:val="-4"/>
          <w:sz w:val="22"/>
        </w:rPr>
        <w:t> </w:t>
      </w:r>
      <w:r>
        <w:rPr>
          <w:i/>
          <w:sz w:val="22"/>
        </w:rPr>
        <w:t>that</w:t>
      </w:r>
      <w:r>
        <w:rPr>
          <w:i/>
          <w:spacing w:val="-3"/>
          <w:sz w:val="22"/>
        </w:rPr>
        <w:t> </w:t>
      </w:r>
      <w:r>
        <w:rPr>
          <w:i/>
          <w:sz w:val="22"/>
        </w:rPr>
        <w:t>can</w:t>
      </w:r>
      <w:r>
        <w:rPr>
          <w:i/>
          <w:spacing w:val="-7"/>
          <w:sz w:val="22"/>
        </w:rPr>
        <w:t> </w:t>
      </w:r>
      <w:r>
        <w:rPr>
          <w:i/>
          <w:sz w:val="22"/>
        </w:rPr>
        <w:t>be</w:t>
      </w:r>
      <w:r>
        <w:rPr>
          <w:i/>
          <w:spacing w:val="-2"/>
          <w:sz w:val="22"/>
        </w:rPr>
        <w:t> </w:t>
      </w:r>
      <w:r>
        <w:rPr>
          <w:i/>
          <w:sz w:val="22"/>
        </w:rPr>
        <w:t>taken</w:t>
      </w:r>
      <w:r>
        <w:rPr>
          <w:i/>
          <w:spacing w:val="-4"/>
          <w:sz w:val="22"/>
        </w:rPr>
        <w:t> </w:t>
      </w:r>
      <w:r>
        <w:rPr>
          <w:i/>
          <w:sz w:val="22"/>
        </w:rPr>
        <w:t>to</w:t>
      </w:r>
      <w:r>
        <w:rPr>
          <w:i/>
          <w:spacing w:val="-4"/>
          <w:sz w:val="22"/>
        </w:rPr>
        <w:t> </w:t>
      </w:r>
      <w:r>
        <w:rPr>
          <w:i/>
          <w:sz w:val="22"/>
        </w:rPr>
        <w:t>reduce</w:t>
      </w:r>
      <w:r>
        <w:rPr>
          <w:i/>
          <w:spacing w:val="-2"/>
          <w:sz w:val="22"/>
        </w:rPr>
        <w:t> </w:t>
      </w:r>
      <w:r>
        <w:rPr>
          <w:i/>
          <w:sz w:val="22"/>
        </w:rPr>
        <w:t>bushfire</w:t>
      </w:r>
      <w:r>
        <w:rPr>
          <w:i/>
          <w:spacing w:val="-2"/>
          <w:sz w:val="22"/>
        </w:rPr>
        <w:t> </w:t>
      </w:r>
      <w:r>
        <w:rPr>
          <w:i/>
          <w:sz w:val="22"/>
        </w:rPr>
        <w:t>risk</w:t>
      </w:r>
      <w:r>
        <w:rPr>
          <w:i/>
          <w:spacing w:val="-4"/>
          <w:sz w:val="22"/>
        </w:rPr>
        <w:t> </w:t>
      </w:r>
      <w:r>
        <w:rPr>
          <w:i/>
          <w:sz w:val="22"/>
        </w:rPr>
        <w:t>from</w:t>
      </w:r>
      <w:r>
        <w:rPr>
          <w:i/>
          <w:spacing w:val="-3"/>
          <w:sz w:val="22"/>
        </w:rPr>
        <w:t> </w:t>
      </w:r>
      <w:r>
        <w:rPr>
          <w:i/>
          <w:sz w:val="22"/>
        </w:rPr>
        <w:t>powerlines.</w:t>
      </w:r>
      <w:r>
        <w:rPr>
          <w:i/>
          <w:spacing w:val="-5"/>
          <w:sz w:val="22"/>
        </w:rPr>
        <w:t> </w:t>
      </w:r>
      <w:r>
        <w:rPr>
          <w:i/>
          <w:sz w:val="22"/>
        </w:rPr>
        <w:t>Under the precautionary-based approach, all reasonable practicable precautions are adopted based on the balance of the significance of the risk and the effort required to reduce the risk.” </w:t>
      </w:r>
      <w:r>
        <w:rPr>
          <w:sz w:val="22"/>
        </w:rPr>
        <w:t>(Powerline Bushfire Safety Taskforce, 2011, p. 4)</w:t>
      </w:r>
    </w:p>
    <w:p>
      <w:pPr>
        <w:pStyle w:val="BodyText"/>
        <w:spacing w:before="10"/>
        <w:rPr>
          <w:sz w:val="20"/>
        </w:rPr>
      </w:pPr>
    </w:p>
    <w:p>
      <w:pPr>
        <w:pStyle w:val="BodyText"/>
        <w:ind w:left="600"/>
      </w:pPr>
      <w:r>
        <w:rPr/>
        <w:t>In</w:t>
      </w:r>
      <w:r>
        <w:rPr>
          <w:spacing w:val="-4"/>
        </w:rPr>
        <w:t> </w:t>
      </w:r>
      <w:r>
        <w:rPr/>
        <w:t>addition,</w:t>
      </w:r>
      <w:r>
        <w:rPr>
          <w:spacing w:val="-5"/>
        </w:rPr>
        <w:t> </w:t>
      </w:r>
      <w:r>
        <w:rPr/>
        <w:t>it</w:t>
      </w:r>
      <w:r>
        <w:rPr>
          <w:spacing w:val="-4"/>
        </w:rPr>
        <w:t> </w:t>
      </w:r>
      <w:r>
        <w:rPr>
          <w:spacing w:val="-2"/>
        </w:rPr>
        <w:t>noted:</w:t>
      </w:r>
    </w:p>
    <w:p>
      <w:pPr>
        <w:pStyle w:val="BodyText"/>
        <w:spacing w:before="5"/>
        <w:rPr>
          <w:sz w:val="25"/>
        </w:rPr>
      </w:pPr>
    </w:p>
    <w:p>
      <w:pPr>
        <w:spacing w:line="288" w:lineRule="auto" w:before="0"/>
        <w:ind w:left="1166" w:right="910" w:firstLine="0"/>
        <w:jc w:val="left"/>
        <w:rPr>
          <w:sz w:val="22"/>
        </w:rPr>
      </w:pPr>
      <w:r>
        <w:rPr>
          <w:i/>
          <w:sz w:val="22"/>
        </w:rPr>
        <w:t>“Consistent with principles for best practice regulation and the current regulatory regime,</w:t>
      </w:r>
      <w:r>
        <w:rPr>
          <w:i/>
          <w:spacing w:val="-4"/>
          <w:sz w:val="22"/>
        </w:rPr>
        <w:t> </w:t>
      </w:r>
      <w:r>
        <w:rPr>
          <w:i/>
          <w:sz w:val="22"/>
        </w:rPr>
        <w:t>the</w:t>
      </w:r>
      <w:r>
        <w:rPr>
          <w:i/>
          <w:spacing w:val="-5"/>
          <w:sz w:val="22"/>
        </w:rPr>
        <w:t> </w:t>
      </w:r>
      <w:r>
        <w:rPr>
          <w:i/>
          <w:sz w:val="22"/>
        </w:rPr>
        <w:t>Taskforce</w:t>
      </w:r>
      <w:r>
        <w:rPr>
          <w:i/>
          <w:spacing w:val="-5"/>
          <w:sz w:val="22"/>
        </w:rPr>
        <w:t> </w:t>
      </w:r>
      <w:r>
        <w:rPr>
          <w:i/>
          <w:sz w:val="22"/>
        </w:rPr>
        <w:t>has</w:t>
      </w:r>
      <w:r>
        <w:rPr>
          <w:i/>
          <w:spacing w:val="-2"/>
          <w:sz w:val="22"/>
        </w:rPr>
        <w:t> </w:t>
      </w:r>
      <w:r>
        <w:rPr>
          <w:i/>
          <w:sz w:val="22"/>
        </w:rPr>
        <w:t>sought,</w:t>
      </w:r>
      <w:r>
        <w:rPr>
          <w:i/>
          <w:spacing w:val="-4"/>
          <w:sz w:val="22"/>
        </w:rPr>
        <w:t> </w:t>
      </w:r>
      <w:r>
        <w:rPr>
          <w:i/>
          <w:sz w:val="22"/>
        </w:rPr>
        <w:t>wherever</w:t>
      </w:r>
      <w:r>
        <w:rPr>
          <w:i/>
          <w:spacing w:val="-4"/>
          <w:sz w:val="22"/>
        </w:rPr>
        <w:t> </w:t>
      </w:r>
      <w:r>
        <w:rPr>
          <w:i/>
          <w:sz w:val="22"/>
        </w:rPr>
        <w:t>possible,</w:t>
      </w:r>
      <w:r>
        <w:rPr>
          <w:i/>
          <w:spacing w:val="-2"/>
          <w:sz w:val="22"/>
        </w:rPr>
        <w:t> </w:t>
      </w:r>
      <w:r>
        <w:rPr>
          <w:i/>
          <w:sz w:val="22"/>
        </w:rPr>
        <w:t>to</w:t>
      </w:r>
      <w:r>
        <w:rPr>
          <w:i/>
          <w:spacing w:val="-5"/>
          <w:sz w:val="22"/>
        </w:rPr>
        <w:t> </w:t>
      </w:r>
      <w:r>
        <w:rPr>
          <w:i/>
          <w:sz w:val="22"/>
        </w:rPr>
        <w:t>make</w:t>
      </w:r>
      <w:r>
        <w:rPr>
          <w:i/>
          <w:spacing w:val="-5"/>
          <w:sz w:val="22"/>
        </w:rPr>
        <w:t> </w:t>
      </w:r>
      <w:r>
        <w:rPr>
          <w:i/>
          <w:sz w:val="22"/>
        </w:rPr>
        <w:t>recommendations that are outcomes-based rather than prescriptive. However, it is recognised that some prescriptive elements might be appropriate.” </w:t>
      </w:r>
      <w:r>
        <w:rPr>
          <w:sz w:val="22"/>
        </w:rPr>
        <w:t>(Powerline Bushfire Safety Taskforce, 2011, p. 55)</w:t>
      </w:r>
    </w:p>
    <w:p>
      <w:pPr>
        <w:pStyle w:val="BodyText"/>
        <w:spacing w:before="9"/>
        <w:rPr>
          <w:sz w:val="20"/>
        </w:rPr>
      </w:pPr>
    </w:p>
    <w:p>
      <w:pPr>
        <w:pStyle w:val="BodyText"/>
        <w:spacing w:line="288" w:lineRule="auto"/>
        <w:ind w:left="600" w:right="910"/>
      </w:pPr>
      <w:r>
        <w:rPr/>
        <w:t>In adopting the recommendations of the Taskforce and the Victorian Bushfires Royal Commission,</w:t>
      </w:r>
      <w:r>
        <w:rPr>
          <w:spacing w:val="-4"/>
        </w:rPr>
        <w:t> </w:t>
      </w:r>
      <w:r>
        <w:rPr/>
        <w:t>the</w:t>
      </w:r>
      <w:r>
        <w:rPr>
          <w:spacing w:val="-8"/>
        </w:rPr>
        <w:t> </w:t>
      </w:r>
      <w:r>
        <w:rPr/>
        <w:t>government</w:t>
      </w:r>
      <w:r>
        <w:rPr>
          <w:spacing w:val="-3"/>
        </w:rPr>
        <w:t> </w:t>
      </w:r>
      <w:r>
        <w:rPr/>
        <w:t>considered</w:t>
      </w:r>
      <w:r>
        <w:rPr>
          <w:spacing w:val="-5"/>
        </w:rPr>
        <w:t> </w:t>
      </w:r>
      <w:r>
        <w:rPr/>
        <w:t>that</w:t>
      </w:r>
      <w:r>
        <w:rPr>
          <w:spacing w:val="-1"/>
        </w:rPr>
        <w:t> </w:t>
      </w:r>
      <w:r>
        <w:rPr/>
        <w:t>prescriptive</w:t>
      </w:r>
      <w:r>
        <w:rPr>
          <w:spacing w:val="-3"/>
        </w:rPr>
        <w:t> </w:t>
      </w:r>
      <w:r>
        <w:rPr/>
        <w:t>legislation</w:t>
      </w:r>
      <w:r>
        <w:rPr>
          <w:spacing w:val="-3"/>
        </w:rPr>
        <w:t> </w:t>
      </w:r>
      <w:r>
        <w:rPr/>
        <w:t>was</w:t>
      </w:r>
      <w:r>
        <w:rPr>
          <w:spacing w:val="-5"/>
        </w:rPr>
        <w:t> </w:t>
      </w:r>
      <w:r>
        <w:rPr/>
        <w:t>warranted to minimise bushfire risk. Victoria faces some of the highest bushfire risks in the world.</w:t>
      </w:r>
    </w:p>
    <w:p>
      <w:pPr>
        <w:spacing w:after="0" w:line="288" w:lineRule="auto"/>
        <w:sectPr>
          <w:pgSz w:w="11910" w:h="16840"/>
          <w:pgMar w:header="887" w:footer="1286" w:top="1080" w:bottom="1500" w:left="840" w:right="820"/>
        </w:sectPr>
      </w:pPr>
    </w:p>
    <w:p>
      <w:pPr>
        <w:pStyle w:val="BodyText"/>
        <w:rPr>
          <w:sz w:val="20"/>
        </w:rPr>
      </w:pPr>
    </w:p>
    <w:p>
      <w:pPr>
        <w:pStyle w:val="BodyText"/>
        <w:rPr>
          <w:sz w:val="20"/>
        </w:rPr>
      </w:pPr>
    </w:p>
    <w:p>
      <w:pPr>
        <w:pStyle w:val="BodyText"/>
        <w:rPr>
          <w:sz w:val="20"/>
        </w:rPr>
      </w:pPr>
    </w:p>
    <w:p>
      <w:pPr>
        <w:pStyle w:val="BodyText"/>
        <w:spacing w:before="3"/>
        <w:rPr>
          <w:sz w:val="23"/>
        </w:rPr>
      </w:pPr>
    </w:p>
    <w:p>
      <w:pPr>
        <w:pStyle w:val="Heading7"/>
        <w:spacing w:line="288" w:lineRule="auto"/>
        <w:ind w:left="742" w:right="311"/>
      </w:pPr>
      <w:r>
        <w:rPr/>
        <mc:AlternateContent>
          <mc:Choice Requires="wps">
            <w:drawing>
              <wp:anchor distT="0" distB="0" distL="0" distR="0" allowOverlap="1" layoutInCell="1" locked="0" behindDoc="1" simplePos="0" relativeHeight="482698752">
                <wp:simplePos x="0" y="0"/>
                <wp:positionH relativeFrom="page">
                  <wp:posOffset>914704</wp:posOffset>
                </wp:positionH>
                <wp:positionV relativeFrom="paragraph">
                  <wp:posOffset>-152680</wp:posOffset>
                </wp:positionV>
                <wp:extent cx="5732780" cy="7237095"/>
                <wp:effectExtent l="0" t="0" r="0" b="0"/>
                <wp:wrapNone/>
                <wp:docPr id="90" name="Graphic 90"/>
                <wp:cNvGraphicFramePr>
                  <a:graphicFrameLocks/>
                </wp:cNvGraphicFramePr>
                <a:graphic>
                  <a:graphicData uri="http://schemas.microsoft.com/office/word/2010/wordprocessingShape">
                    <wps:wsp>
                      <wps:cNvPr id="90" name="Graphic 90"/>
                      <wps:cNvSpPr/>
                      <wps:spPr>
                        <a:xfrm>
                          <a:off x="0" y="0"/>
                          <a:ext cx="5732780" cy="7237095"/>
                        </a:xfrm>
                        <a:custGeom>
                          <a:avLst/>
                          <a:gdLst/>
                          <a:ahLst/>
                          <a:cxnLst/>
                          <a:rect l="l" t="t" r="r" b="b"/>
                          <a:pathLst>
                            <a:path w="5732780" h="7237095">
                              <a:moveTo>
                                <a:pt x="5732653" y="0"/>
                              </a:moveTo>
                              <a:lnTo>
                                <a:pt x="0" y="0"/>
                              </a:lnTo>
                              <a:lnTo>
                                <a:pt x="0" y="7236841"/>
                              </a:lnTo>
                              <a:lnTo>
                                <a:pt x="5732653" y="7236841"/>
                              </a:lnTo>
                              <a:lnTo>
                                <a:pt x="5732653" y="0"/>
                              </a:lnTo>
                              <a:close/>
                            </a:path>
                          </a:pathLst>
                        </a:custGeom>
                        <a:solidFill>
                          <a:srgbClr val="CDEBEB"/>
                        </a:solidFill>
                      </wps:spPr>
                      <wps:bodyPr wrap="square" lIns="0" tIns="0" rIns="0" bIns="0" rtlCol="0">
                        <a:prstTxWarp prst="textNoShape">
                          <a:avLst/>
                        </a:prstTxWarp>
                        <a:noAutofit/>
                      </wps:bodyPr>
                    </wps:wsp>
                  </a:graphicData>
                </a:graphic>
              </wp:anchor>
            </w:drawing>
          </mc:Choice>
          <mc:Fallback>
            <w:pict>
              <v:rect style="position:absolute;margin-left:72.024002pt;margin-top:-12.022102pt;width:451.39pt;height:569.830pt;mso-position-horizontal-relative:page;mso-position-vertical-relative:paragraph;z-index:-20617728" id="docshape79" filled="true" fillcolor="#cdebeb" stroked="false">
                <v:fill type="solid"/>
                <w10:wrap type="none"/>
              </v:rect>
            </w:pict>
          </mc:Fallback>
        </mc:AlternateContent>
      </w:r>
      <w:r>
        <w:rPr/>
        <w:t>Box</w:t>
      </w:r>
      <w:r>
        <w:rPr>
          <w:spacing w:val="-2"/>
        </w:rPr>
        <w:t> </w:t>
      </w:r>
      <w:r>
        <w:rPr/>
        <w:t>5: Early</w:t>
      </w:r>
      <w:r>
        <w:rPr>
          <w:spacing w:val="-6"/>
        </w:rPr>
        <w:t> </w:t>
      </w:r>
      <w:r>
        <w:rPr/>
        <w:t>adoption</w:t>
      </w:r>
      <w:r>
        <w:rPr>
          <w:spacing w:val="-5"/>
        </w:rPr>
        <w:t> </w:t>
      </w:r>
      <w:r>
        <w:rPr/>
        <w:t>of</w:t>
      </w:r>
      <w:r>
        <w:rPr>
          <w:spacing w:val="-1"/>
        </w:rPr>
        <w:t> </w:t>
      </w:r>
      <w:r>
        <w:rPr/>
        <w:t>outcomes-based</w:t>
      </w:r>
      <w:r>
        <w:rPr>
          <w:spacing w:val="-2"/>
        </w:rPr>
        <w:t> </w:t>
      </w:r>
      <w:r>
        <w:rPr/>
        <w:t>safety</w:t>
      </w:r>
      <w:r>
        <w:rPr>
          <w:spacing w:val="-6"/>
        </w:rPr>
        <w:t> </w:t>
      </w:r>
      <w:r>
        <w:rPr/>
        <w:t>regulation</w:t>
      </w:r>
      <w:r>
        <w:rPr>
          <w:spacing w:val="-5"/>
        </w:rPr>
        <w:t> </w:t>
      </w:r>
      <w:r>
        <w:rPr/>
        <w:t>for</w:t>
      </w:r>
      <w:r>
        <w:rPr>
          <w:spacing w:val="-4"/>
        </w:rPr>
        <w:t> </w:t>
      </w:r>
      <w:r>
        <w:rPr/>
        <w:t>gas</w:t>
      </w:r>
      <w:r>
        <w:rPr>
          <w:spacing w:val="-2"/>
        </w:rPr>
        <w:t> </w:t>
      </w:r>
      <w:r>
        <w:rPr/>
        <w:t>and</w:t>
      </w:r>
      <w:r>
        <w:rPr>
          <w:spacing w:val="-2"/>
        </w:rPr>
        <w:t> </w:t>
      </w:r>
      <w:r>
        <w:rPr/>
        <w:t>electricity networks in Victoria</w:t>
      </w:r>
    </w:p>
    <w:p>
      <w:pPr>
        <w:pStyle w:val="BodyText"/>
        <w:spacing w:before="10"/>
        <w:rPr>
          <w:b/>
          <w:sz w:val="20"/>
        </w:rPr>
      </w:pPr>
    </w:p>
    <w:p>
      <w:pPr>
        <w:pStyle w:val="BodyText"/>
        <w:spacing w:line="288" w:lineRule="auto"/>
        <w:ind w:left="713" w:right="713"/>
      </w:pPr>
      <w:r>
        <w:rPr/>
        <w:t>Victoria</w:t>
      </w:r>
      <w:r>
        <w:rPr>
          <w:spacing w:val="-3"/>
        </w:rPr>
        <w:t> </w:t>
      </w:r>
      <w:r>
        <w:rPr/>
        <w:t>was</w:t>
      </w:r>
      <w:r>
        <w:rPr>
          <w:spacing w:val="-3"/>
        </w:rPr>
        <w:t> </w:t>
      </w:r>
      <w:r>
        <w:rPr/>
        <w:t>an</w:t>
      </w:r>
      <w:r>
        <w:rPr>
          <w:spacing w:val="-3"/>
        </w:rPr>
        <w:t> </w:t>
      </w:r>
      <w:r>
        <w:rPr/>
        <w:t>early</w:t>
      </w:r>
      <w:r>
        <w:rPr>
          <w:spacing w:val="-4"/>
        </w:rPr>
        <w:t> </w:t>
      </w:r>
      <w:r>
        <w:rPr/>
        <w:t>adopter</w:t>
      </w:r>
      <w:r>
        <w:rPr>
          <w:spacing w:val="-3"/>
        </w:rPr>
        <w:t> </w:t>
      </w:r>
      <w:r>
        <w:rPr/>
        <w:t>of</w:t>
      </w:r>
      <w:r>
        <w:rPr>
          <w:spacing w:val="-1"/>
        </w:rPr>
        <w:t> </w:t>
      </w:r>
      <w:r>
        <w:rPr/>
        <w:t>outcomes-based</w:t>
      </w:r>
      <w:r>
        <w:rPr>
          <w:spacing w:val="-4"/>
        </w:rPr>
        <w:t> </w:t>
      </w:r>
      <w:r>
        <w:rPr/>
        <w:t>regulation</w:t>
      </w:r>
      <w:r>
        <w:rPr>
          <w:spacing w:val="-4"/>
        </w:rPr>
        <w:t> </w:t>
      </w:r>
      <w:r>
        <w:rPr/>
        <w:t>for</w:t>
      </w:r>
      <w:r>
        <w:rPr>
          <w:spacing w:val="-3"/>
        </w:rPr>
        <w:t> </w:t>
      </w:r>
      <w:r>
        <w:rPr/>
        <w:t>electricity</w:t>
      </w:r>
      <w:r>
        <w:rPr>
          <w:spacing w:val="-4"/>
        </w:rPr>
        <w:t> </w:t>
      </w:r>
      <w:r>
        <w:rPr/>
        <w:t>and</w:t>
      </w:r>
      <w:r>
        <w:rPr>
          <w:spacing w:val="-4"/>
        </w:rPr>
        <w:t> </w:t>
      </w:r>
      <w:r>
        <w:rPr/>
        <w:t>gas</w:t>
      </w:r>
      <w:r>
        <w:rPr>
          <w:spacing w:val="-3"/>
        </w:rPr>
        <w:t> </w:t>
      </w:r>
      <w:r>
        <w:rPr/>
        <w:t>network safety. As</w:t>
      </w:r>
      <w:r>
        <w:rPr>
          <w:spacing w:val="-4"/>
        </w:rPr>
        <w:t> </w:t>
      </w:r>
      <w:r>
        <w:rPr/>
        <w:t>noted</w:t>
      </w:r>
      <w:r>
        <w:rPr>
          <w:spacing w:val="-2"/>
        </w:rPr>
        <w:t> </w:t>
      </w:r>
      <w:r>
        <w:rPr/>
        <w:t>earlier</w:t>
      </w:r>
      <w:r>
        <w:rPr>
          <w:spacing w:val="-1"/>
        </w:rPr>
        <w:t> </w:t>
      </w:r>
      <w:r>
        <w:rPr/>
        <w:t>in</w:t>
      </w:r>
      <w:r>
        <w:rPr>
          <w:spacing w:val="-2"/>
        </w:rPr>
        <w:t> </w:t>
      </w:r>
      <w:r>
        <w:rPr/>
        <w:t>this</w:t>
      </w:r>
      <w:r>
        <w:rPr>
          <w:spacing w:val="-4"/>
        </w:rPr>
        <w:t> </w:t>
      </w:r>
      <w:r>
        <w:rPr/>
        <w:t>chapter,</w:t>
      </w:r>
      <w:r>
        <w:rPr>
          <w:spacing w:val="-3"/>
        </w:rPr>
        <w:t> </w:t>
      </w:r>
      <w:r>
        <w:rPr/>
        <w:t>the</w:t>
      </w:r>
      <w:r>
        <w:rPr>
          <w:spacing w:val="-4"/>
        </w:rPr>
        <w:t> </w:t>
      </w:r>
      <w:r>
        <w:rPr/>
        <w:t>requirement</w:t>
      </w:r>
      <w:r>
        <w:rPr>
          <w:spacing w:val="-5"/>
        </w:rPr>
        <w:t> </w:t>
      </w:r>
      <w:r>
        <w:rPr/>
        <w:t>for</w:t>
      </w:r>
      <w:r>
        <w:rPr>
          <w:spacing w:val="-1"/>
        </w:rPr>
        <w:t> </w:t>
      </w:r>
      <w:r>
        <w:rPr/>
        <w:t>safety</w:t>
      </w:r>
      <w:r>
        <w:rPr>
          <w:spacing w:val="-4"/>
        </w:rPr>
        <w:t> </w:t>
      </w:r>
      <w:r>
        <w:rPr/>
        <w:t>cases</w:t>
      </w:r>
      <w:r>
        <w:rPr>
          <w:spacing w:val="-4"/>
        </w:rPr>
        <w:t> </w:t>
      </w:r>
      <w:r>
        <w:rPr/>
        <w:t>to</w:t>
      </w:r>
      <w:r>
        <w:rPr>
          <w:spacing w:val="-2"/>
        </w:rPr>
        <w:t> </w:t>
      </w:r>
      <w:r>
        <w:rPr/>
        <w:t>be</w:t>
      </w:r>
      <w:r>
        <w:rPr>
          <w:spacing w:val="-2"/>
        </w:rPr>
        <w:t> </w:t>
      </w:r>
      <w:r>
        <w:rPr/>
        <w:t>produced</w:t>
      </w:r>
      <w:r>
        <w:rPr>
          <w:spacing w:val="-2"/>
        </w:rPr>
        <w:t> </w:t>
      </w:r>
      <w:r>
        <w:rPr/>
        <w:t>by gas network operators was introduced with the </w:t>
      </w:r>
      <w:r>
        <w:rPr>
          <w:i/>
        </w:rPr>
        <w:t>Gas Safety Act </w:t>
      </w:r>
      <w:r>
        <w:rPr/>
        <w:t>in 1997, almost 3 years before the requirement was applied to major hazard facility operators following the Longford gas explosion. In introducing the </w:t>
      </w:r>
      <w:r>
        <w:rPr>
          <w:i/>
        </w:rPr>
        <w:t>Gas Safety Bill 1997</w:t>
      </w:r>
      <w:r>
        <w:rPr/>
        <w:t>, the then Minister for Finance outlined the rationale for the safety case regime:</w:t>
      </w:r>
    </w:p>
    <w:p>
      <w:pPr>
        <w:pStyle w:val="BodyText"/>
        <w:spacing w:before="10"/>
        <w:rPr>
          <w:sz w:val="20"/>
        </w:rPr>
      </w:pPr>
    </w:p>
    <w:p>
      <w:pPr>
        <w:spacing w:line="288" w:lineRule="auto" w:before="1"/>
        <w:ind w:left="1166" w:right="1348" w:firstLine="0"/>
        <w:jc w:val="left"/>
        <w:rPr>
          <w:sz w:val="22"/>
        </w:rPr>
      </w:pPr>
      <w:r>
        <w:rPr>
          <w:i/>
          <w:sz w:val="22"/>
        </w:rPr>
        <w:t>“The safety case</w:t>
      </w:r>
      <w:r>
        <w:rPr>
          <w:i/>
          <w:spacing w:val="-1"/>
          <w:sz w:val="22"/>
        </w:rPr>
        <w:t> </w:t>
      </w:r>
      <w:r>
        <w:rPr>
          <w:i/>
          <w:sz w:val="22"/>
        </w:rPr>
        <w:t>regime</w:t>
      </w:r>
      <w:r>
        <w:rPr>
          <w:i/>
          <w:spacing w:val="-1"/>
          <w:sz w:val="22"/>
        </w:rPr>
        <w:t> </w:t>
      </w:r>
      <w:r>
        <w:rPr>
          <w:i/>
          <w:sz w:val="22"/>
        </w:rPr>
        <w:t>has been identified as</w:t>
      </w:r>
      <w:r>
        <w:rPr>
          <w:i/>
          <w:spacing w:val="-1"/>
          <w:sz w:val="22"/>
        </w:rPr>
        <w:t> </w:t>
      </w:r>
      <w:r>
        <w:rPr>
          <w:i/>
          <w:sz w:val="22"/>
        </w:rPr>
        <w:t>the most appropriate</w:t>
      </w:r>
      <w:r>
        <w:rPr>
          <w:i/>
          <w:spacing w:val="-1"/>
          <w:sz w:val="22"/>
        </w:rPr>
        <w:t> </w:t>
      </w:r>
      <w:r>
        <w:rPr>
          <w:i/>
          <w:sz w:val="22"/>
        </w:rPr>
        <w:t>regulatory framework for the supply sector of the Victorian gas industry. It represents a light-handed approach in that it avoids prescriptive regulation and therefore reduces</w:t>
      </w:r>
      <w:r>
        <w:rPr>
          <w:i/>
          <w:spacing w:val="-4"/>
          <w:sz w:val="22"/>
        </w:rPr>
        <w:t> </w:t>
      </w:r>
      <w:r>
        <w:rPr>
          <w:i/>
          <w:sz w:val="22"/>
        </w:rPr>
        <w:t>compliance</w:t>
      </w:r>
      <w:r>
        <w:rPr>
          <w:i/>
          <w:spacing w:val="-2"/>
          <w:sz w:val="22"/>
        </w:rPr>
        <w:t> </w:t>
      </w:r>
      <w:r>
        <w:rPr>
          <w:i/>
          <w:sz w:val="22"/>
        </w:rPr>
        <w:t>burdens</w:t>
      </w:r>
      <w:r>
        <w:rPr>
          <w:i/>
          <w:spacing w:val="-2"/>
          <w:sz w:val="22"/>
        </w:rPr>
        <w:t> </w:t>
      </w:r>
      <w:r>
        <w:rPr>
          <w:i/>
          <w:sz w:val="22"/>
        </w:rPr>
        <w:t>for</w:t>
      </w:r>
      <w:r>
        <w:rPr>
          <w:i/>
          <w:spacing w:val="-1"/>
          <w:sz w:val="22"/>
        </w:rPr>
        <w:t> </w:t>
      </w:r>
      <w:r>
        <w:rPr>
          <w:i/>
          <w:sz w:val="22"/>
        </w:rPr>
        <w:t>gas</w:t>
      </w:r>
      <w:r>
        <w:rPr>
          <w:i/>
          <w:spacing w:val="-4"/>
          <w:sz w:val="22"/>
        </w:rPr>
        <w:t> </w:t>
      </w:r>
      <w:r>
        <w:rPr>
          <w:i/>
          <w:sz w:val="22"/>
        </w:rPr>
        <w:t>companies,</w:t>
      </w:r>
      <w:r>
        <w:rPr>
          <w:i/>
          <w:spacing w:val="-3"/>
          <w:sz w:val="22"/>
        </w:rPr>
        <w:t> </w:t>
      </w:r>
      <w:r>
        <w:rPr>
          <w:i/>
          <w:sz w:val="22"/>
        </w:rPr>
        <w:t>but</w:t>
      </w:r>
      <w:r>
        <w:rPr>
          <w:i/>
          <w:spacing w:val="-3"/>
          <w:sz w:val="22"/>
        </w:rPr>
        <w:t> </w:t>
      </w:r>
      <w:r>
        <w:rPr>
          <w:i/>
          <w:sz w:val="22"/>
        </w:rPr>
        <w:t>at</w:t>
      </w:r>
      <w:r>
        <w:rPr>
          <w:i/>
          <w:spacing w:val="-3"/>
          <w:sz w:val="22"/>
        </w:rPr>
        <w:t> </w:t>
      </w:r>
      <w:r>
        <w:rPr>
          <w:i/>
          <w:sz w:val="22"/>
        </w:rPr>
        <w:t>the</w:t>
      </w:r>
      <w:r>
        <w:rPr>
          <w:i/>
          <w:spacing w:val="-4"/>
          <w:sz w:val="22"/>
        </w:rPr>
        <w:t> </w:t>
      </w:r>
      <w:r>
        <w:rPr>
          <w:i/>
          <w:sz w:val="22"/>
        </w:rPr>
        <w:t>same</w:t>
      </w:r>
      <w:r>
        <w:rPr>
          <w:i/>
          <w:spacing w:val="-4"/>
          <w:sz w:val="22"/>
        </w:rPr>
        <w:t> </w:t>
      </w:r>
      <w:r>
        <w:rPr>
          <w:i/>
          <w:sz w:val="22"/>
        </w:rPr>
        <w:t>time</w:t>
      </w:r>
      <w:r>
        <w:rPr>
          <w:i/>
          <w:spacing w:val="-2"/>
          <w:sz w:val="22"/>
        </w:rPr>
        <w:t> </w:t>
      </w:r>
      <w:r>
        <w:rPr>
          <w:i/>
          <w:sz w:val="22"/>
        </w:rPr>
        <w:t>is</w:t>
      </w:r>
      <w:r>
        <w:rPr>
          <w:i/>
          <w:spacing w:val="-6"/>
          <w:sz w:val="22"/>
        </w:rPr>
        <w:t> </w:t>
      </w:r>
      <w:r>
        <w:rPr>
          <w:i/>
          <w:sz w:val="22"/>
        </w:rPr>
        <w:t>able</w:t>
      </w:r>
      <w:r>
        <w:rPr>
          <w:i/>
          <w:spacing w:val="-2"/>
          <w:sz w:val="22"/>
        </w:rPr>
        <w:t> </w:t>
      </w:r>
      <w:r>
        <w:rPr>
          <w:i/>
          <w:sz w:val="22"/>
        </w:rPr>
        <w:t>to minimise the risks associated with the conveyance and supply of gas.” </w:t>
      </w:r>
      <w:r>
        <w:rPr>
          <w:sz w:val="22"/>
        </w:rPr>
        <w:t>(Parliament of Victoria, 1997, p. 673)</w:t>
      </w:r>
    </w:p>
    <w:p>
      <w:pPr>
        <w:pStyle w:val="BodyText"/>
        <w:spacing w:before="10"/>
        <w:rPr>
          <w:sz w:val="20"/>
        </w:rPr>
      </w:pPr>
    </w:p>
    <w:p>
      <w:pPr>
        <w:pStyle w:val="BodyText"/>
        <w:spacing w:line="288" w:lineRule="auto"/>
        <w:ind w:left="713" w:right="769"/>
      </w:pPr>
      <w:r>
        <w:rPr/>
        <w:t>The then Victorian Government adopted a different approach to electricity safety regulation when the </w:t>
      </w:r>
      <w:r>
        <w:rPr>
          <w:i/>
        </w:rPr>
        <w:t>Electricity Safety Bill 1998 </w:t>
      </w:r>
      <w:r>
        <w:rPr/>
        <w:t>was introduced a few months after the passage</w:t>
      </w:r>
      <w:r>
        <w:rPr>
          <w:spacing w:val="-3"/>
        </w:rPr>
        <w:t> </w:t>
      </w:r>
      <w:r>
        <w:rPr/>
        <w:t>of</w:t>
      </w:r>
      <w:r>
        <w:rPr>
          <w:spacing w:val="-2"/>
        </w:rPr>
        <w:t> </w:t>
      </w:r>
      <w:r>
        <w:rPr/>
        <w:t>the</w:t>
      </w:r>
      <w:r>
        <w:rPr>
          <w:spacing w:val="-3"/>
        </w:rPr>
        <w:t> </w:t>
      </w:r>
      <w:r>
        <w:rPr>
          <w:i/>
        </w:rPr>
        <w:t>Gas</w:t>
      </w:r>
      <w:r>
        <w:rPr>
          <w:i/>
          <w:spacing w:val="-3"/>
        </w:rPr>
        <w:t> </w:t>
      </w:r>
      <w:r>
        <w:rPr>
          <w:i/>
        </w:rPr>
        <w:t>Safety Act 1997</w:t>
      </w:r>
      <w:r>
        <w:rPr/>
        <w:t>.</w:t>
      </w:r>
      <w:r>
        <w:rPr>
          <w:spacing w:val="-2"/>
        </w:rPr>
        <w:t> </w:t>
      </w:r>
      <w:r>
        <w:rPr/>
        <w:t>The</w:t>
      </w:r>
      <w:r>
        <w:rPr>
          <w:spacing w:val="-3"/>
        </w:rPr>
        <w:t> </w:t>
      </w:r>
      <w:r>
        <w:rPr/>
        <w:t>new</w:t>
      </w:r>
      <w:r>
        <w:rPr>
          <w:spacing w:val="-4"/>
        </w:rPr>
        <w:t> </w:t>
      </w:r>
      <w:r>
        <w:rPr/>
        <w:t>legislation</w:t>
      </w:r>
      <w:r>
        <w:rPr>
          <w:spacing w:val="-3"/>
        </w:rPr>
        <w:t> </w:t>
      </w:r>
      <w:r>
        <w:rPr/>
        <w:t>for</w:t>
      </w:r>
      <w:r>
        <w:rPr>
          <w:spacing w:val="-2"/>
        </w:rPr>
        <w:t> </w:t>
      </w:r>
      <w:r>
        <w:rPr/>
        <w:t>electricity</w:t>
      </w:r>
      <w:r>
        <w:rPr>
          <w:spacing w:val="-3"/>
        </w:rPr>
        <w:t> </w:t>
      </w:r>
      <w:r>
        <w:rPr/>
        <w:t>safety</w:t>
      </w:r>
      <w:r>
        <w:rPr>
          <w:spacing w:val="-2"/>
        </w:rPr>
        <w:t> </w:t>
      </w:r>
      <w:r>
        <w:rPr/>
        <w:t>incorporated prescriptive requirements, including for electric line clearance. Nevertheless, the legislation also made provision for voluntary outcomes-based electricity safety management</w:t>
      </w:r>
      <w:r>
        <w:rPr>
          <w:spacing w:val="-4"/>
        </w:rPr>
        <w:t> </w:t>
      </w:r>
      <w:r>
        <w:rPr/>
        <w:t>schemes.</w:t>
      </w:r>
      <w:r>
        <w:rPr>
          <w:spacing w:val="-4"/>
        </w:rPr>
        <w:t> </w:t>
      </w:r>
      <w:r>
        <w:rPr/>
        <w:t>In</w:t>
      </w:r>
      <w:r>
        <w:rPr>
          <w:spacing w:val="-3"/>
        </w:rPr>
        <w:t> </w:t>
      </w:r>
      <w:r>
        <w:rPr/>
        <w:t>the</w:t>
      </w:r>
      <w:r>
        <w:rPr>
          <w:spacing w:val="-4"/>
        </w:rPr>
        <w:t> </w:t>
      </w:r>
      <w:r>
        <w:rPr/>
        <w:t>second</w:t>
      </w:r>
      <w:r>
        <w:rPr>
          <w:spacing w:val="-4"/>
        </w:rPr>
        <w:t> </w:t>
      </w:r>
      <w:r>
        <w:rPr/>
        <w:t>reading</w:t>
      </w:r>
      <w:r>
        <w:rPr>
          <w:spacing w:val="-1"/>
        </w:rPr>
        <w:t> </w:t>
      </w:r>
      <w:r>
        <w:rPr/>
        <w:t>speech,</w:t>
      </w:r>
      <w:r>
        <w:rPr>
          <w:spacing w:val="-4"/>
        </w:rPr>
        <w:t> </w:t>
      </w:r>
      <w:r>
        <w:rPr/>
        <w:t>the</w:t>
      </w:r>
      <w:r>
        <w:rPr>
          <w:spacing w:val="-4"/>
        </w:rPr>
        <w:t> </w:t>
      </w:r>
      <w:r>
        <w:rPr/>
        <w:t>then Minister</w:t>
      </w:r>
      <w:r>
        <w:rPr>
          <w:spacing w:val="-4"/>
        </w:rPr>
        <w:t> </w:t>
      </w:r>
      <w:r>
        <w:rPr/>
        <w:t>for</w:t>
      </w:r>
      <w:r>
        <w:rPr>
          <w:spacing w:val="-2"/>
        </w:rPr>
        <w:t> </w:t>
      </w:r>
      <w:r>
        <w:rPr/>
        <w:t>Finance</w:t>
      </w:r>
      <w:r>
        <w:rPr>
          <w:spacing w:val="-3"/>
        </w:rPr>
        <w:t> </w:t>
      </w:r>
      <w:r>
        <w:rPr/>
        <w:t>noted that the voluntary provisions allowing network operators to prepare Electricity Safety Management Schemes would provide an alternative way to satisfy the legislation’s safety </w:t>
      </w:r>
      <w:r>
        <w:rPr>
          <w:spacing w:val="-2"/>
        </w:rPr>
        <w:t>outcomes:</w:t>
      </w:r>
    </w:p>
    <w:p>
      <w:pPr>
        <w:pStyle w:val="BodyText"/>
        <w:spacing w:before="1"/>
        <w:rPr>
          <w:sz w:val="21"/>
        </w:rPr>
      </w:pPr>
    </w:p>
    <w:p>
      <w:pPr>
        <w:spacing w:line="288" w:lineRule="auto" w:before="0"/>
        <w:ind w:left="1166" w:right="1369" w:firstLine="0"/>
        <w:jc w:val="left"/>
        <w:rPr>
          <w:i/>
          <w:sz w:val="22"/>
        </w:rPr>
      </w:pPr>
      <w:r>
        <w:rPr>
          <w:i/>
          <w:sz w:val="22"/>
        </w:rPr>
        <w:t>“The</w:t>
      </w:r>
      <w:r>
        <w:rPr>
          <w:i/>
          <w:spacing w:val="-3"/>
          <w:sz w:val="22"/>
        </w:rPr>
        <w:t> </w:t>
      </w:r>
      <w:r>
        <w:rPr>
          <w:i/>
          <w:sz w:val="22"/>
        </w:rPr>
        <w:t>new</w:t>
      </w:r>
      <w:r>
        <w:rPr>
          <w:i/>
          <w:spacing w:val="-3"/>
          <w:sz w:val="22"/>
        </w:rPr>
        <w:t> </w:t>
      </w:r>
      <w:r>
        <w:rPr>
          <w:i/>
          <w:sz w:val="22"/>
        </w:rPr>
        <w:t>regime</w:t>
      </w:r>
      <w:r>
        <w:rPr>
          <w:i/>
          <w:spacing w:val="-5"/>
          <w:sz w:val="22"/>
        </w:rPr>
        <w:t> </w:t>
      </w:r>
      <w:r>
        <w:rPr>
          <w:i/>
          <w:sz w:val="22"/>
        </w:rPr>
        <w:t>of</w:t>
      </w:r>
      <w:r>
        <w:rPr>
          <w:i/>
          <w:spacing w:val="-4"/>
          <w:sz w:val="22"/>
        </w:rPr>
        <w:t> </w:t>
      </w:r>
      <w:r>
        <w:rPr>
          <w:i/>
          <w:sz w:val="22"/>
        </w:rPr>
        <w:t>electrical</w:t>
      </w:r>
      <w:r>
        <w:rPr>
          <w:i/>
          <w:spacing w:val="-4"/>
          <w:sz w:val="22"/>
        </w:rPr>
        <w:t> </w:t>
      </w:r>
      <w:r>
        <w:rPr>
          <w:i/>
          <w:sz w:val="22"/>
        </w:rPr>
        <w:t>safety</w:t>
      </w:r>
      <w:r>
        <w:rPr>
          <w:i/>
          <w:spacing w:val="-5"/>
          <w:sz w:val="22"/>
        </w:rPr>
        <w:t> </w:t>
      </w:r>
      <w:r>
        <w:rPr>
          <w:i/>
          <w:sz w:val="22"/>
        </w:rPr>
        <w:t>management</w:t>
      </w:r>
      <w:r>
        <w:rPr>
          <w:i/>
          <w:spacing w:val="-4"/>
          <w:sz w:val="22"/>
        </w:rPr>
        <w:t> </w:t>
      </w:r>
      <w:r>
        <w:rPr>
          <w:i/>
          <w:sz w:val="22"/>
        </w:rPr>
        <w:t>schemes,</w:t>
      </w:r>
      <w:r>
        <w:rPr>
          <w:i/>
          <w:spacing w:val="-4"/>
          <w:sz w:val="22"/>
        </w:rPr>
        <w:t> </w:t>
      </w:r>
      <w:r>
        <w:rPr>
          <w:i/>
          <w:sz w:val="22"/>
        </w:rPr>
        <w:t>as</w:t>
      </w:r>
      <w:r>
        <w:rPr>
          <w:i/>
          <w:spacing w:val="-3"/>
          <w:sz w:val="22"/>
        </w:rPr>
        <w:t> </w:t>
      </w:r>
      <w:r>
        <w:rPr>
          <w:i/>
          <w:sz w:val="22"/>
        </w:rPr>
        <w:t>provided</w:t>
      </w:r>
      <w:r>
        <w:rPr>
          <w:i/>
          <w:spacing w:val="-5"/>
          <w:sz w:val="22"/>
        </w:rPr>
        <w:t> </w:t>
      </w:r>
      <w:r>
        <w:rPr>
          <w:i/>
          <w:sz w:val="22"/>
        </w:rPr>
        <w:t>for</w:t>
      </w:r>
      <w:r>
        <w:rPr>
          <w:i/>
          <w:spacing w:val="-2"/>
          <w:sz w:val="22"/>
        </w:rPr>
        <w:t> </w:t>
      </w:r>
      <w:r>
        <w:rPr>
          <w:i/>
          <w:sz w:val="22"/>
        </w:rPr>
        <w:t>in the</w:t>
      </w:r>
      <w:r>
        <w:rPr>
          <w:i/>
          <w:spacing w:val="-1"/>
          <w:sz w:val="22"/>
        </w:rPr>
        <w:t> </w:t>
      </w:r>
      <w:r>
        <w:rPr>
          <w:i/>
          <w:sz w:val="22"/>
        </w:rPr>
        <w:t>bill, is designed</w:t>
      </w:r>
      <w:r>
        <w:rPr>
          <w:i/>
          <w:spacing w:val="-1"/>
          <w:sz w:val="22"/>
        </w:rPr>
        <w:t> </w:t>
      </w:r>
      <w:r>
        <w:rPr>
          <w:i/>
          <w:sz w:val="22"/>
        </w:rPr>
        <w:t>to</w:t>
      </w:r>
      <w:r>
        <w:rPr>
          <w:i/>
          <w:spacing w:val="-3"/>
          <w:sz w:val="22"/>
        </w:rPr>
        <w:t> </w:t>
      </w:r>
      <w:r>
        <w:rPr>
          <w:i/>
          <w:sz w:val="22"/>
        </w:rPr>
        <w:t>introduce</w:t>
      </w:r>
      <w:r>
        <w:rPr>
          <w:i/>
          <w:spacing w:val="-1"/>
          <w:sz w:val="22"/>
        </w:rPr>
        <w:t> </w:t>
      </w:r>
      <w:r>
        <w:rPr>
          <w:i/>
          <w:sz w:val="22"/>
        </w:rPr>
        <w:t>greater</w:t>
      </w:r>
      <w:r>
        <w:rPr>
          <w:i/>
          <w:spacing w:val="-2"/>
          <w:sz w:val="22"/>
        </w:rPr>
        <w:t> </w:t>
      </w:r>
      <w:r>
        <w:rPr>
          <w:i/>
          <w:sz w:val="22"/>
        </w:rPr>
        <w:t>flexibility to</w:t>
      </w:r>
      <w:r>
        <w:rPr>
          <w:i/>
          <w:spacing w:val="-1"/>
          <w:sz w:val="22"/>
        </w:rPr>
        <w:t> </w:t>
      </w:r>
      <w:r>
        <w:rPr>
          <w:i/>
          <w:sz w:val="22"/>
        </w:rPr>
        <w:t>the</w:t>
      </w:r>
      <w:r>
        <w:rPr>
          <w:i/>
          <w:spacing w:val="-3"/>
          <w:sz w:val="22"/>
        </w:rPr>
        <w:t> </w:t>
      </w:r>
      <w:r>
        <w:rPr>
          <w:i/>
          <w:sz w:val="22"/>
        </w:rPr>
        <w:t>regulation</w:t>
      </w:r>
      <w:r>
        <w:rPr>
          <w:i/>
          <w:spacing w:val="-3"/>
          <w:sz w:val="22"/>
        </w:rPr>
        <w:t> </w:t>
      </w:r>
      <w:r>
        <w:rPr>
          <w:i/>
          <w:sz w:val="22"/>
        </w:rPr>
        <w:t>of</w:t>
      </w:r>
      <w:r>
        <w:rPr>
          <w:i/>
          <w:spacing w:val="-2"/>
          <w:sz w:val="22"/>
        </w:rPr>
        <w:t> </w:t>
      </w:r>
      <w:r>
        <w:rPr>
          <w:i/>
          <w:sz w:val="22"/>
        </w:rPr>
        <w:t>electrical safety and provide cost savings to industry participants and consumers alike. The introduction of safety management schemes is intended to give industry participants the option of putting forward an alternative way of achieving the safety outcomes of the legislation.</w:t>
      </w:r>
    </w:p>
    <w:p>
      <w:pPr>
        <w:pStyle w:val="BodyText"/>
        <w:spacing w:before="10"/>
        <w:rPr>
          <w:i/>
          <w:sz w:val="20"/>
        </w:rPr>
      </w:pPr>
    </w:p>
    <w:p>
      <w:pPr>
        <w:spacing w:line="288" w:lineRule="auto" w:before="0"/>
        <w:ind w:left="1166" w:right="1200" w:firstLine="0"/>
        <w:jc w:val="left"/>
        <w:rPr>
          <w:sz w:val="22"/>
        </w:rPr>
      </w:pPr>
      <w:r>
        <w:rPr>
          <w:i/>
          <w:sz w:val="22"/>
        </w:rPr>
        <w:t>… A scheme may be accepted only if it can be demonstrated that safety outcomes</w:t>
      </w:r>
      <w:r>
        <w:rPr>
          <w:i/>
          <w:spacing w:val="-4"/>
          <w:sz w:val="22"/>
        </w:rPr>
        <w:t> </w:t>
      </w:r>
      <w:r>
        <w:rPr>
          <w:i/>
          <w:sz w:val="22"/>
        </w:rPr>
        <w:t>will</w:t>
      </w:r>
      <w:r>
        <w:rPr>
          <w:i/>
          <w:spacing w:val="-2"/>
          <w:sz w:val="22"/>
        </w:rPr>
        <w:t> </w:t>
      </w:r>
      <w:r>
        <w:rPr>
          <w:i/>
          <w:sz w:val="22"/>
        </w:rPr>
        <w:t>not be</w:t>
      </w:r>
      <w:r>
        <w:rPr>
          <w:i/>
          <w:spacing w:val="-4"/>
          <w:sz w:val="22"/>
        </w:rPr>
        <w:t> </w:t>
      </w:r>
      <w:r>
        <w:rPr>
          <w:i/>
          <w:sz w:val="22"/>
        </w:rPr>
        <w:t>compromised</w:t>
      </w:r>
      <w:r>
        <w:rPr>
          <w:i/>
          <w:spacing w:val="-2"/>
          <w:sz w:val="22"/>
        </w:rPr>
        <w:t> </w:t>
      </w:r>
      <w:r>
        <w:rPr>
          <w:i/>
          <w:sz w:val="22"/>
        </w:rPr>
        <w:t>by</w:t>
      </w:r>
      <w:r>
        <w:rPr>
          <w:i/>
          <w:spacing w:val="-4"/>
          <w:sz w:val="22"/>
        </w:rPr>
        <w:t> </w:t>
      </w:r>
      <w:r>
        <w:rPr>
          <w:i/>
          <w:sz w:val="22"/>
        </w:rPr>
        <w:t>the</w:t>
      </w:r>
      <w:r>
        <w:rPr>
          <w:i/>
          <w:spacing w:val="-4"/>
          <w:sz w:val="22"/>
        </w:rPr>
        <w:t> </w:t>
      </w:r>
      <w:r>
        <w:rPr>
          <w:i/>
          <w:sz w:val="22"/>
        </w:rPr>
        <w:t>operation</w:t>
      </w:r>
      <w:r>
        <w:rPr>
          <w:i/>
          <w:spacing w:val="-2"/>
          <w:sz w:val="22"/>
        </w:rPr>
        <w:t> </w:t>
      </w:r>
      <w:r>
        <w:rPr>
          <w:i/>
          <w:sz w:val="22"/>
        </w:rPr>
        <w:t>of</w:t>
      </w:r>
      <w:r>
        <w:rPr>
          <w:i/>
          <w:spacing w:val="-3"/>
          <w:sz w:val="22"/>
        </w:rPr>
        <w:t> </w:t>
      </w:r>
      <w:r>
        <w:rPr>
          <w:i/>
          <w:sz w:val="22"/>
        </w:rPr>
        <w:t>the</w:t>
      </w:r>
      <w:r>
        <w:rPr>
          <w:i/>
          <w:spacing w:val="-4"/>
          <w:sz w:val="22"/>
        </w:rPr>
        <w:t> </w:t>
      </w:r>
      <w:r>
        <w:rPr>
          <w:i/>
          <w:sz w:val="22"/>
        </w:rPr>
        <w:t>scheme.”</w:t>
      </w:r>
      <w:r>
        <w:rPr>
          <w:i/>
          <w:spacing w:val="-8"/>
          <w:sz w:val="22"/>
        </w:rPr>
        <w:t> </w:t>
      </w:r>
      <w:r>
        <w:rPr>
          <w:sz w:val="22"/>
        </w:rPr>
        <w:t>(Parliament of Victoria, 1998, p. 505)</w:t>
      </w:r>
    </w:p>
    <w:p>
      <w:pPr>
        <w:spacing w:after="0" w:line="288" w:lineRule="auto"/>
        <w:jc w:val="left"/>
        <w:rPr>
          <w:sz w:val="22"/>
        </w:rPr>
        <w:sectPr>
          <w:pgSz w:w="11910" w:h="16840"/>
          <w:pgMar w:header="887" w:footer="1286" w:top="1080" w:bottom="1500" w:left="840" w:right="820"/>
        </w:sectPr>
      </w:pPr>
    </w:p>
    <w:p>
      <w:pPr>
        <w:pStyle w:val="BodyText"/>
        <w:rPr>
          <w:sz w:val="20"/>
        </w:rPr>
      </w:pPr>
    </w:p>
    <w:p>
      <w:pPr>
        <w:pStyle w:val="BodyText"/>
        <w:rPr>
          <w:sz w:val="20"/>
        </w:rPr>
      </w:pPr>
    </w:p>
    <w:p>
      <w:pPr>
        <w:pStyle w:val="Heading4"/>
        <w:spacing w:line="288" w:lineRule="auto" w:before="258"/>
        <w:ind w:left="600" w:right="910"/>
      </w:pPr>
      <w:r>
        <w:rPr>
          <w:color w:val="585858"/>
        </w:rPr>
        <w:t>The</w:t>
      </w:r>
      <w:r>
        <w:rPr>
          <w:color w:val="585858"/>
          <w:spacing w:val="-5"/>
        </w:rPr>
        <w:t> </w:t>
      </w:r>
      <w:r>
        <w:rPr>
          <w:color w:val="585858"/>
        </w:rPr>
        <w:t>role</w:t>
      </w:r>
      <w:r>
        <w:rPr>
          <w:color w:val="585858"/>
          <w:spacing w:val="-5"/>
        </w:rPr>
        <w:t> </w:t>
      </w:r>
      <w:r>
        <w:rPr>
          <w:color w:val="585858"/>
        </w:rPr>
        <w:t>of</w:t>
      </w:r>
      <w:r>
        <w:rPr>
          <w:color w:val="585858"/>
          <w:spacing w:val="-5"/>
        </w:rPr>
        <w:t> </w:t>
      </w:r>
      <w:r>
        <w:rPr>
          <w:color w:val="585858"/>
        </w:rPr>
        <w:t>prescription</w:t>
      </w:r>
      <w:r>
        <w:rPr>
          <w:color w:val="585858"/>
          <w:spacing w:val="-5"/>
        </w:rPr>
        <w:t> </w:t>
      </w:r>
      <w:r>
        <w:rPr>
          <w:color w:val="585858"/>
        </w:rPr>
        <w:t>and</w:t>
      </w:r>
      <w:r>
        <w:rPr>
          <w:color w:val="585858"/>
          <w:spacing w:val="-6"/>
        </w:rPr>
        <w:t> </w:t>
      </w:r>
      <w:r>
        <w:rPr>
          <w:color w:val="585858"/>
        </w:rPr>
        <w:t>standards</w:t>
      </w:r>
      <w:r>
        <w:rPr>
          <w:color w:val="585858"/>
          <w:spacing w:val="-5"/>
        </w:rPr>
        <w:t> </w:t>
      </w:r>
      <w:r>
        <w:rPr>
          <w:color w:val="585858"/>
        </w:rPr>
        <w:t>in</w:t>
      </w:r>
      <w:r>
        <w:rPr>
          <w:color w:val="585858"/>
          <w:spacing w:val="-5"/>
        </w:rPr>
        <w:t> </w:t>
      </w:r>
      <w:r>
        <w:rPr>
          <w:color w:val="585858"/>
        </w:rPr>
        <w:t>a</w:t>
      </w:r>
      <w:r>
        <w:rPr>
          <w:color w:val="585858"/>
          <w:spacing w:val="-3"/>
        </w:rPr>
        <w:t> </w:t>
      </w:r>
      <w:r>
        <w:rPr>
          <w:color w:val="585858"/>
        </w:rPr>
        <w:t>safety</w:t>
      </w:r>
      <w:r>
        <w:rPr>
          <w:color w:val="585858"/>
          <w:spacing w:val="-9"/>
        </w:rPr>
        <w:t> </w:t>
      </w:r>
      <w:r>
        <w:rPr>
          <w:color w:val="585858"/>
        </w:rPr>
        <w:t>case </w:t>
      </w:r>
      <w:r>
        <w:rPr>
          <w:color w:val="585858"/>
          <w:spacing w:val="-2"/>
        </w:rPr>
        <w:t>regime</w:t>
      </w:r>
    </w:p>
    <w:p>
      <w:pPr>
        <w:pStyle w:val="BodyText"/>
        <w:spacing w:line="288" w:lineRule="auto" w:before="240"/>
        <w:ind w:left="600" w:right="629"/>
      </w:pPr>
      <w:r>
        <w:rPr/>
        <w:t>In most, if not all circumstances, outcomes-based regulation is likely to provide the most efficient approach</w:t>
      </w:r>
      <w:r>
        <w:rPr>
          <w:spacing w:val="-1"/>
        </w:rPr>
        <w:t> </w:t>
      </w:r>
      <w:r>
        <w:rPr/>
        <w:t>to</w:t>
      </w:r>
      <w:r>
        <w:rPr>
          <w:spacing w:val="-1"/>
        </w:rPr>
        <w:t> </w:t>
      </w:r>
      <w:r>
        <w:rPr/>
        <w:t>achieving acceptable</w:t>
      </w:r>
      <w:r>
        <w:rPr>
          <w:spacing w:val="-1"/>
        </w:rPr>
        <w:t> </w:t>
      </w:r>
      <w:r>
        <w:rPr/>
        <w:t>safety. This is because</w:t>
      </w:r>
      <w:r>
        <w:rPr>
          <w:spacing w:val="-1"/>
        </w:rPr>
        <w:t> </w:t>
      </w:r>
      <w:r>
        <w:rPr/>
        <w:t>of the</w:t>
      </w:r>
      <w:r>
        <w:rPr>
          <w:spacing w:val="-4"/>
        </w:rPr>
        <w:t> </w:t>
      </w:r>
      <w:r>
        <w:rPr/>
        <w:t>flexibility</w:t>
      </w:r>
      <w:r>
        <w:rPr>
          <w:spacing w:val="-1"/>
        </w:rPr>
        <w:t> </w:t>
      </w:r>
      <w:r>
        <w:rPr/>
        <w:t>it provides –</w:t>
      </w:r>
      <w:r>
        <w:rPr>
          <w:spacing w:val="-2"/>
        </w:rPr>
        <w:t> </w:t>
      </w:r>
      <w:r>
        <w:rPr/>
        <w:t>operators</w:t>
      </w:r>
      <w:r>
        <w:rPr>
          <w:spacing w:val="-3"/>
        </w:rPr>
        <w:t> </w:t>
      </w:r>
      <w:r>
        <w:rPr/>
        <w:t>are</w:t>
      </w:r>
      <w:r>
        <w:rPr>
          <w:spacing w:val="-6"/>
        </w:rPr>
        <w:t> </w:t>
      </w:r>
      <w:r>
        <w:rPr/>
        <w:t>freer</w:t>
      </w:r>
      <w:r>
        <w:rPr>
          <w:spacing w:val="-3"/>
        </w:rPr>
        <w:t> </w:t>
      </w:r>
      <w:r>
        <w:rPr/>
        <w:t>to</w:t>
      </w:r>
      <w:r>
        <w:rPr>
          <w:spacing w:val="-4"/>
        </w:rPr>
        <w:t> </w:t>
      </w:r>
      <w:r>
        <w:rPr/>
        <w:t>innovate</w:t>
      </w:r>
      <w:r>
        <w:rPr>
          <w:spacing w:val="-1"/>
        </w:rPr>
        <w:t> </w:t>
      </w:r>
      <w:r>
        <w:rPr/>
        <w:t>and</w:t>
      </w:r>
      <w:r>
        <w:rPr>
          <w:spacing w:val="-4"/>
        </w:rPr>
        <w:t> </w:t>
      </w:r>
      <w:r>
        <w:rPr/>
        <w:t>find</w:t>
      </w:r>
      <w:r>
        <w:rPr>
          <w:spacing w:val="-4"/>
        </w:rPr>
        <w:t> </w:t>
      </w:r>
      <w:r>
        <w:rPr/>
        <w:t>more</w:t>
      </w:r>
      <w:r>
        <w:rPr>
          <w:spacing w:val="-2"/>
        </w:rPr>
        <w:t> </w:t>
      </w:r>
      <w:r>
        <w:rPr/>
        <w:t>cost-effective</w:t>
      </w:r>
      <w:r>
        <w:rPr>
          <w:spacing w:val="-2"/>
        </w:rPr>
        <w:t> </w:t>
      </w:r>
      <w:r>
        <w:rPr/>
        <w:t>methods of</w:t>
      </w:r>
      <w:r>
        <w:rPr>
          <w:spacing w:val="-3"/>
        </w:rPr>
        <w:t> </w:t>
      </w:r>
      <w:r>
        <w:rPr/>
        <w:t>achieving safety.</w:t>
      </w:r>
      <w:r>
        <w:rPr>
          <w:spacing w:val="-1"/>
        </w:rPr>
        <w:t> </w:t>
      </w:r>
      <w:r>
        <w:rPr/>
        <w:t>In its report, </w:t>
      </w:r>
      <w:r>
        <w:rPr>
          <w:i/>
        </w:rPr>
        <w:t>Best Practice Electricity and Gas Network Safety Frameworks in International Jurisdictions</w:t>
      </w:r>
      <w:r>
        <w:rPr/>
        <w:t>, Marsden Jacob found that of five selected international jurisdictions, all except the</w:t>
      </w:r>
      <w:r>
        <w:rPr>
          <w:spacing w:val="-4"/>
        </w:rPr>
        <w:t> </w:t>
      </w:r>
      <w:r>
        <w:rPr/>
        <w:t>gas</w:t>
      </w:r>
      <w:r>
        <w:rPr>
          <w:spacing w:val="-4"/>
        </w:rPr>
        <w:t> </w:t>
      </w:r>
      <w:r>
        <w:rPr/>
        <w:t>safety</w:t>
      </w:r>
      <w:r>
        <w:rPr>
          <w:spacing w:val="-5"/>
        </w:rPr>
        <w:t> </w:t>
      </w:r>
      <w:r>
        <w:rPr/>
        <w:t>framework</w:t>
      </w:r>
      <w:r>
        <w:rPr>
          <w:spacing w:val="-1"/>
        </w:rPr>
        <w:t> </w:t>
      </w:r>
      <w:r>
        <w:rPr/>
        <w:t>in</w:t>
      </w:r>
      <w:r>
        <w:rPr>
          <w:spacing w:val="-4"/>
        </w:rPr>
        <w:t> </w:t>
      </w:r>
      <w:r>
        <w:rPr/>
        <w:t>Texas</w:t>
      </w:r>
      <w:r>
        <w:rPr>
          <w:spacing w:val="-4"/>
        </w:rPr>
        <w:t> </w:t>
      </w:r>
      <w:r>
        <w:rPr/>
        <w:t>followed</w:t>
      </w:r>
      <w:r>
        <w:rPr>
          <w:spacing w:val="-2"/>
        </w:rPr>
        <w:t> </w:t>
      </w:r>
      <w:r>
        <w:rPr/>
        <w:t>an outcomes-based</w:t>
      </w:r>
      <w:r>
        <w:rPr>
          <w:spacing w:val="-4"/>
        </w:rPr>
        <w:t> </w:t>
      </w:r>
      <w:r>
        <w:rPr/>
        <w:t>approach</w:t>
      </w:r>
      <w:r>
        <w:rPr>
          <w:spacing w:val="-2"/>
        </w:rPr>
        <w:t> </w:t>
      </w:r>
      <w:r>
        <w:rPr/>
        <w:t>to</w:t>
      </w:r>
      <w:r>
        <w:rPr>
          <w:spacing w:val="-4"/>
        </w:rPr>
        <w:t> </w:t>
      </w:r>
      <w:r>
        <w:rPr/>
        <w:t>energy</w:t>
      </w:r>
      <w:r>
        <w:rPr>
          <w:spacing w:val="-4"/>
        </w:rPr>
        <w:t> </w:t>
      </w:r>
      <w:r>
        <w:rPr/>
        <w:t>network safety regulation (Marsden Jacob Associates, 2017).</w:t>
      </w:r>
    </w:p>
    <w:p>
      <w:pPr>
        <w:pStyle w:val="BodyText"/>
        <w:rPr>
          <w:sz w:val="21"/>
        </w:rPr>
      </w:pPr>
    </w:p>
    <w:p>
      <w:pPr>
        <w:pStyle w:val="BodyText"/>
        <w:spacing w:line="288" w:lineRule="auto"/>
        <w:ind w:left="600" w:right="586"/>
      </w:pPr>
      <w:r>
        <w:rPr/>
        <w:t>However, there</w:t>
      </w:r>
      <w:r>
        <w:rPr>
          <w:spacing w:val="-4"/>
        </w:rPr>
        <w:t> </w:t>
      </w:r>
      <w:r>
        <w:rPr/>
        <w:t>can</w:t>
      </w:r>
      <w:r>
        <w:rPr>
          <w:spacing w:val="-4"/>
        </w:rPr>
        <w:t> </w:t>
      </w:r>
      <w:r>
        <w:rPr/>
        <w:t>sometimes</w:t>
      </w:r>
      <w:r>
        <w:rPr>
          <w:spacing w:val="-4"/>
        </w:rPr>
        <w:t> </w:t>
      </w:r>
      <w:r>
        <w:rPr/>
        <w:t>be</w:t>
      </w:r>
      <w:r>
        <w:rPr>
          <w:spacing w:val="-2"/>
        </w:rPr>
        <w:t> </w:t>
      </w:r>
      <w:r>
        <w:rPr/>
        <w:t>a</w:t>
      </w:r>
      <w:r>
        <w:rPr>
          <w:spacing w:val="-4"/>
        </w:rPr>
        <w:t> </w:t>
      </w:r>
      <w:r>
        <w:rPr/>
        <w:t>misconception</w:t>
      </w:r>
      <w:r>
        <w:rPr>
          <w:spacing w:val="-2"/>
        </w:rPr>
        <w:t> </w:t>
      </w:r>
      <w:r>
        <w:rPr/>
        <w:t>that</w:t>
      </w:r>
      <w:r>
        <w:rPr>
          <w:spacing w:val="-3"/>
        </w:rPr>
        <w:t> </w:t>
      </w:r>
      <w:r>
        <w:rPr/>
        <w:t>the</w:t>
      </w:r>
      <w:r>
        <w:rPr>
          <w:spacing w:val="-2"/>
        </w:rPr>
        <w:t> </w:t>
      </w:r>
      <w:r>
        <w:rPr/>
        <w:t>safety</w:t>
      </w:r>
      <w:r>
        <w:rPr>
          <w:spacing w:val="-4"/>
        </w:rPr>
        <w:t> </w:t>
      </w:r>
      <w:r>
        <w:rPr/>
        <w:t>case</w:t>
      </w:r>
      <w:r>
        <w:rPr>
          <w:spacing w:val="-2"/>
        </w:rPr>
        <w:t> </w:t>
      </w:r>
      <w:r>
        <w:rPr/>
        <w:t>approach</w:t>
      </w:r>
      <w:r>
        <w:rPr>
          <w:spacing w:val="-2"/>
        </w:rPr>
        <w:t> </w:t>
      </w:r>
      <w:r>
        <w:rPr/>
        <w:t>does</w:t>
      </w:r>
      <w:r>
        <w:rPr>
          <w:spacing w:val="-4"/>
        </w:rPr>
        <w:t> </w:t>
      </w:r>
      <w:r>
        <w:rPr/>
        <w:t>not involve the application of prescription or standards, or involves the regulator “vacating the field”. As Hopkins (2012) has noted, this is not what happens in an effective safety case </w:t>
      </w:r>
      <w:r>
        <w:rPr>
          <w:spacing w:val="-2"/>
        </w:rPr>
        <w:t>regime:</w:t>
      </w:r>
    </w:p>
    <w:p>
      <w:pPr>
        <w:pStyle w:val="BodyText"/>
        <w:spacing w:before="10"/>
        <w:rPr>
          <w:sz w:val="20"/>
        </w:rPr>
      </w:pPr>
    </w:p>
    <w:p>
      <w:pPr>
        <w:spacing w:line="288" w:lineRule="auto" w:before="0"/>
        <w:ind w:left="1166" w:right="1200" w:firstLine="0"/>
        <w:jc w:val="left"/>
        <w:rPr>
          <w:i/>
          <w:sz w:val="22"/>
        </w:rPr>
      </w:pPr>
      <w:r>
        <w:rPr>
          <w:i/>
          <w:sz w:val="22"/>
        </w:rPr>
        <w:t>“A safety case does not give operators a free rein in how they respond to hazards. They need to specify the procedures and standards they intend to adopt. Where an operator proposes to adopt an inadequate standard, a safety case regulator may challenge the operator to adopt a better standard. For instance, if an operator indicated in its safety case that it intended to rely on a manifestly</w:t>
      </w:r>
      <w:r>
        <w:rPr>
          <w:i/>
          <w:spacing w:val="-2"/>
          <w:sz w:val="22"/>
        </w:rPr>
        <w:t> </w:t>
      </w:r>
      <w:r>
        <w:rPr>
          <w:i/>
          <w:sz w:val="22"/>
        </w:rPr>
        <w:t>inadequate</w:t>
      </w:r>
      <w:r>
        <w:rPr>
          <w:i/>
          <w:spacing w:val="-5"/>
          <w:sz w:val="22"/>
        </w:rPr>
        <w:t> </w:t>
      </w:r>
      <w:r>
        <w:rPr>
          <w:i/>
          <w:sz w:val="22"/>
        </w:rPr>
        <w:t>standard,</w:t>
      </w:r>
      <w:r>
        <w:rPr>
          <w:i/>
          <w:spacing w:val="-4"/>
          <w:sz w:val="22"/>
        </w:rPr>
        <w:t> </w:t>
      </w:r>
      <w:r>
        <w:rPr>
          <w:i/>
          <w:sz w:val="22"/>
        </w:rPr>
        <w:t>the</w:t>
      </w:r>
      <w:r>
        <w:rPr>
          <w:i/>
          <w:spacing w:val="-5"/>
          <w:sz w:val="22"/>
        </w:rPr>
        <w:t> </w:t>
      </w:r>
      <w:r>
        <w:rPr>
          <w:i/>
          <w:sz w:val="22"/>
        </w:rPr>
        <w:t>regulator</w:t>
      </w:r>
      <w:r>
        <w:rPr>
          <w:i/>
          <w:spacing w:val="-4"/>
          <w:sz w:val="22"/>
        </w:rPr>
        <w:t> </w:t>
      </w:r>
      <w:r>
        <w:rPr>
          <w:i/>
          <w:sz w:val="22"/>
        </w:rPr>
        <w:t>could</w:t>
      </w:r>
      <w:r>
        <w:rPr>
          <w:i/>
          <w:spacing w:val="-3"/>
          <w:sz w:val="22"/>
        </w:rPr>
        <w:t> </w:t>
      </w:r>
      <w:r>
        <w:rPr>
          <w:i/>
          <w:sz w:val="22"/>
        </w:rPr>
        <w:t>challenge</w:t>
      </w:r>
      <w:r>
        <w:rPr>
          <w:i/>
          <w:spacing w:val="-3"/>
          <w:sz w:val="22"/>
        </w:rPr>
        <w:t> </w:t>
      </w:r>
      <w:r>
        <w:rPr>
          <w:i/>
          <w:sz w:val="22"/>
        </w:rPr>
        <w:t>it</w:t>
      </w:r>
      <w:r>
        <w:rPr>
          <w:i/>
          <w:spacing w:val="-1"/>
          <w:sz w:val="22"/>
        </w:rPr>
        <w:t> </w:t>
      </w:r>
      <w:r>
        <w:rPr>
          <w:i/>
          <w:sz w:val="22"/>
        </w:rPr>
        <w:t>to</w:t>
      </w:r>
      <w:r>
        <w:rPr>
          <w:i/>
          <w:spacing w:val="-5"/>
          <w:sz w:val="22"/>
        </w:rPr>
        <w:t> </w:t>
      </w:r>
      <w:r>
        <w:rPr>
          <w:i/>
          <w:sz w:val="22"/>
        </w:rPr>
        <w:t>adopt</w:t>
      </w:r>
      <w:r>
        <w:rPr>
          <w:i/>
          <w:spacing w:val="-4"/>
          <w:sz w:val="22"/>
        </w:rPr>
        <w:t> </w:t>
      </w:r>
      <w:r>
        <w:rPr>
          <w:i/>
          <w:sz w:val="22"/>
        </w:rPr>
        <w:t>the</w:t>
      </w:r>
      <w:r>
        <w:rPr>
          <w:i/>
          <w:spacing w:val="-3"/>
          <w:sz w:val="22"/>
        </w:rPr>
        <w:t> </w:t>
      </w:r>
      <w:r>
        <w:rPr>
          <w:i/>
          <w:sz w:val="22"/>
        </w:rPr>
        <w:t>best international standards. However, the success of this challenge may depend on whether or not the jurisdiction imposes a general duty on the operator to reduce risk as low as reasonably possible … which would in effect mandate that operators adopt the best international standards.</w:t>
      </w:r>
    </w:p>
    <w:p>
      <w:pPr>
        <w:pStyle w:val="BodyText"/>
        <w:spacing w:before="11"/>
        <w:rPr>
          <w:i/>
          <w:sz w:val="20"/>
        </w:rPr>
      </w:pPr>
    </w:p>
    <w:p>
      <w:pPr>
        <w:spacing w:line="288" w:lineRule="auto" w:before="0"/>
        <w:ind w:left="1166" w:right="311" w:firstLine="0"/>
        <w:jc w:val="left"/>
        <w:rPr>
          <w:i/>
          <w:sz w:val="22"/>
        </w:rPr>
      </w:pPr>
      <w:r>
        <w:rPr>
          <w:i/>
          <w:sz w:val="22"/>
        </w:rPr>
        <w:t>One of the misconceptions … about safety case regulation is that it involves the abandonment</w:t>
      </w:r>
      <w:r>
        <w:rPr>
          <w:i/>
          <w:spacing w:val="-3"/>
          <w:sz w:val="22"/>
        </w:rPr>
        <w:t> </w:t>
      </w:r>
      <w:r>
        <w:rPr>
          <w:i/>
          <w:sz w:val="22"/>
        </w:rPr>
        <w:t>of</w:t>
      </w:r>
      <w:r>
        <w:rPr>
          <w:i/>
          <w:spacing w:val="-3"/>
          <w:sz w:val="22"/>
        </w:rPr>
        <w:t> </w:t>
      </w:r>
      <w:r>
        <w:rPr>
          <w:i/>
          <w:sz w:val="22"/>
        </w:rPr>
        <w:t>prescription.</w:t>
      </w:r>
      <w:r>
        <w:rPr>
          <w:i/>
          <w:spacing w:val="-1"/>
          <w:sz w:val="22"/>
        </w:rPr>
        <w:t> </w:t>
      </w:r>
      <w:r>
        <w:rPr>
          <w:i/>
          <w:sz w:val="22"/>
        </w:rPr>
        <w:t>That</w:t>
      </w:r>
      <w:r>
        <w:rPr>
          <w:i/>
          <w:spacing w:val="-1"/>
          <w:sz w:val="22"/>
        </w:rPr>
        <w:t> </w:t>
      </w:r>
      <w:r>
        <w:rPr>
          <w:i/>
          <w:sz w:val="22"/>
        </w:rPr>
        <w:t>is</w:t>
      </w:r>
      <w:r>
        <w:rPr>
          <w:i/>
          <w:spacing w:val="-5"/>
          <w:sz w:val="22"/>
        </w:rPr>
        <w:t> </w:t>
      </w:r>
      <w:r>
        <w:rPr>
          <w:i/>
          <w:sz w:val="22"/>
        </w:rPr>
        <w:t>not</w:t>
      </w:r>
      <w:r>
        <w:rPr>
          <w:i/>
          <w:spacing w:val="-3"/>
          <w:sz w:val="22"/>
        </w:rPr>
        <w:t> </w:t>
      </w:r>
      <w:r>
        <w:rPr>
          <w:i/>
          <w:sz w:val="22"/>
        </w:rPr>
        <w:t>so.</w:t>
      </w:r>
      <w:r>
        <w:rPr>
          <w:i/>
          <w:spacing w:val="-3"/>
          <w:sz w:val="22"/>
        </w:rPr>
        <w:t> </w:t>
      </w:r>
      <w:r>
        <w:rPr>
          <w:i/>
          <w:sz w:val="22"/>
        </w:rPr>
        <w:t>A</w:t>
      </w:r>
      <w:r>
        <w:rPr>
          <w:i/>
          <w:spacing w:val="-5"/>
          <w:sz w:val="22"/>
        </w:rPr>
        <w:t> </w:t>
      </w:r>
      <w:r>
        <w:rPr>
          <w:i/>
          <w:sz w:val="22"/>
        </w:rPr>
        <w:t>safety</w:t>
      </w:r>
      <w:r>
        <w:rPr>
          <w:i/>
          <w:spacing w:val="-1"/>
          <w:sz w:val="22"/>
        </w:rPr>
        <w:t> </w:t>
      </w:r>
      <w:r>
        <w:rPr>
          <w:i/>
          <w:sz w:val="22"/>
        </w:rPr>
        <w:t>case</w:t>
      </w:r>
      <w:r>
        <w:rPr>
          <w:i/>
          <w:spacing w:val="-3"/>
          <w:sz w:val="22"/>
        </w:rPr>
        <w:t> </w:t>
      </w:r>
      <w:r>
        <w:rPr>
          <w:i/>
          <w:sz w:val="22"/>
        </w:rPr>
        <w:t>requires</w:t>
      </w:r>
      <w:r>
        <w:rPr>
          <w:i/>
          <w:spacing w:val="-3"/>
          <w:sz w:val="22"/>
        </w:rPr>
        <w:t> </w:t>
      </w:r>
      <w:r>
        <w:rPr>
          <w:i/>
          <w:sz w:val="22"/>
        </w:rPr>
        <w:t>that</w:t>
      </w:r>
      <w:r>
        <w:rPr>
          <w:i/>
          <w:spacing w:val="-3"/>
          <w:sz w:val="22"/>
        </w:rPr>
        <w:t> </w:t>
      </w:r>
      <w:r>
        <w:rPr>
          <w:i/>
          <w:sz w:val="22"/>
        </w:rPr>
        <w:t>technical standards be specified and regulators can then enforce those standards.</w:t>
      </w:r>
    </w:p>
    <w:p>
      <w:pPr>
        <w:spacing w:line="288" w:lineRule="auto" w:before="0"/>
        <w:ind w:left="1166" w:right="1200" w:firstLine="0"/>
        <w:jc w:val="left"/>
        <w:rPr>
          <w:sz w:val="22"/>
        </w:rPr>
      </w:pPr>
      <w:r>
        <w:rPr>
          <w:i/>
          <w:sz w:val="22"/>
        </w:rPr>
        <w:t>Moreover,</w:t>
      </w:r>
      <w:r>
        <w:rPr>
          <w:i/>
          <w:spacing w:val="-4"/>
          <w:sz w:val="22"/>
        </w:rPr>
        <w:t> </w:t>
      </w:r>
      <w:r>
        <w:rPr>
          <w:i/>
          <w:sz w:val="22"/>
        </w:rPr>
        <w:t>there</w:t>
      </w:r>
      <w:r>
        <w:rPr>
          <w:i/>
          <w:spacing w:val="-6"/>
          <w:sz w:val="22"/>
        </w:rPr>
        <w:t> </w:t>
      </w:r>
      <w:r>
        <w:rPr>
          <w:i/>
          <w:sz w:val="22"/>
        </w:rPr>
        <w:t>remains</w:t>
      </w:r>
      <w:r>
        <w:rPr>
          <w:i/>
          <w:spacing w:val="-4"/>
          <w:sz w:val="22"/>
        </w:rPr>
        <w:t> </w:t>
      </w:r>
      <w:r>
        <w:rPr>
          <w:i/>
          <w:sz w:val="22"/>
        </w:rPr>
        <w:t>room</w:t>
      </w:r>
      <w:r>
        <w:rPr>
          <w:i/>
          <w:spacing w:val="-5"/>
          <w:sz w:val="22"/>
        </w:rPr>
        <w:t> </w:t>
      </w:r>
      <w:r>
        <w:rPr>
          <w:i/>
          <w:sz w:val="22"/>
        </w:rPr>
        <w:t>for</w:t>
      </w:r>
      <w:r>
        <w:rPr>
          <w:i/>
          <w:spacing w:val="-5"/>
          <w:sz w:val="22"/>
        </w:rPr>
        <w:t> </w:t>
      </w:r>
      <w:r>
        <w:rPr>
          <w:i/>
          <w:sz w:val="22"/>
        </w:rPr>
        <w:t>prescriptive,</w:t>
      </w:r>
      <w:r>
        <w:rPr>
          <w:i/>
          <w:spacing w:val="-2"/>
          <w:sz w:val="22"/>
        </w:rPr>
        <w:t> </w:t>
      </w:r>
      <w:r>
        <w:rPr>
          <w:i/>
          <w:sz w:val="22"/>
        </w:rPr>
        <w:t>government-imposed</w:t>
      </w:r>
      <w:r>
        <w:rPr>
          <w:i/>
          <w:spacing w:val="-6"/>
          <w:sz w:val="22"/>
        </w:rPr>
        <w:t> </w:t>
      </w:r>
      <w:r>
        <w:rPr>
          <w:i/>
          <w:sz w:val="22"/>
        </w:rPr>
        <w:t>regulation. For example, regulations can specify the kinds of incidents that operators are required to report.” </w:t>
      </w:r>
      <w:r>
        <w:rPr>
          <w:sz w:val="22"/>
        </w:rPr>
        <w:t>(Hopkins, 2012, p. 5)</w:t>
      </w:r>
    </w:p>
    <w:p>
      <w:pPr>
        <w:pStyle w:val="BodyText"/>
        <w:spacing w:before="10"/>
        <w:rPr>
          <w:sz w:val="20"/>
        </w:rPr>
      </w:pPr>
    </w:p>
    <w:p>
      <w:pPr>
        <w:pStyle w:val="BodyText"/>
        <w:spacing w:line="288" w:lineRule="auto"/>
        <w:ind w:left="600" w:right="713"/>
      </w:pPr>
      <w:r>
        <w:rPr/>
        <w:t>While a safety case approach may be an outcomes-based approach in the sense that it offers flexibility for operators to determine what standards and methods might be most effective</w:t>
      </w:r>
      <w:r>
        <w:rPr>
          <w:spacing w:val="-2"/>
        </w:rPr>
        <w:t> </w:t>
      </w:r>
      <w:r>
        <w:rPr/>
        <w:t>in</w:t>
      </w:r>
      <w:r>
        <w:rPr>
          <w:spacing w:val="-3"/>
        </w:rPr>
        <w:t> </w:t>
      </w:r>
      <w:r>
        <w:rPr/>
        <w:t>reducing</w:t>
      </w:r>
      <w:r>
        <w:rPr>
          <w:spacing w:val="-1"/>
        </w:rPr>
        <w:t> </w:t>
      </w:r>
      <w:r>
        <w:rPr/>
        <w:t>safety</w:t>
      </w:r>
      <w:r>
        <w:rPr>
          <w:spacing w:val="-4"/>
        </w:rPr>
        <w:t> </w:t>
      </w:r>
      <w:r>
        <w:rPr/>
        <w:t>risk as</w:t>
      </w:r>
      <w:r>
        <w:rPr>
          <w:spacing w:val="-6"/>
        </w:rPr>
        <w:t> </w:t>
      </w:r>
      <w:r>
        <w:rPr/>
        <w:t>far</w:t>
      </w:r>
      <w:r>
        <w:rPr>
          <w:spacing w:val="-2"/>
        </w:rPr>
        <w:t> </w:t>
      </w:r>
      <w:r>
        <w:rPr/>
        <w:t>as</w:t>
      </w:r>
      <w:r>
        <w:rPr>
          <w:spacing w:val="-4"/>
        </w:rPr>
        <w:t> </w:t>
      </w:r>
      <w:r>
        <w:rPr/>
        <w:t>reasonably</w:t>
      </w:r>
      <w:r>
        <w:rPr>
          <w:spacing w:val="-4"/>
        </w:rPr>
        <w:t> </w:t>
      </w:r>
      <w:r>
        <w:rPr/>
        <w:t>practicable,</w:t>
      </w:r>
      <w:r>
        <w:rPr>
          <w:spacing w:val="-8"/>
        </w:rPr>
        <w:t> </w:t>
      </w:r>
      <w:r>
        <w:rPr/>
        <w:t>Wilkinson</w:t>
      </w:r>
      <w:r>
        <w:rPr>
          <w:spacing w:val="-2"/>
        </w:rPr>
        <w:t> </w:t>
      </w:r>
      <w:r>
        <w:rPr/>
        <w:t>(2002,</w:t>
      </w:r>
      <w:r>
        <w:rPr>
          <w:spacing w:val="-1"/>
        </w:rPr>
        <w:t> </w:t>
      </w:r>
      <w:r>
        <w:rPr/>
        <w:t>p.</w:t>
      </w:r>
      <w:r>
        <w:rPr>
          <w:spacing w:val="-1"/>
        </w:rPr>
        <w:t> </w:t>
      </w:r>
      <w:r>
        <w:rPr/>
        <w:t>6) also notes that it does not involve abandoning prescription completely:</w:t>
      </w:r>
    </w:p>
    <w:p>
      <w:pPr>
        <w:pStyle w:val="BodyText"/>
        <w:spacing w:before="11"/>
        <w:rPr>
          <w:sz w:val="20"/>
        </w:rPr>
      </w:pPr>
    </w:p>
    <w:p>
      <w:pPr>
        <w:spacing w:before="0"/>
        <w:ind w:left="1166" w:right="0" w:firstLine="0"/>
        <w:jc w:val="left"/>
        <w:rPr>
          <w:i/>
          <w:sz w:val="22"/>
        </w:rPr>
      </w:pPr>
      <w:r>
        <w:rPr>
          <w:i/>
          <w:sz w:val="22"/>
        </w:rPr>
        <w:t>“…</w:t>
      </w:r>
      <w:r>
        <w:rPr>
          <w:i/>
          <w:spacing w:val="-6"/>
          <w:sz w:val="22"/>
        </w:rPr>
        <w:t> </w:t>
      </w:r>
      <w:r>
        <w:rPr>
          <w:i/>
          <w:sz w:val="22"/>
        </w:rPr>
        <w:t>effective</w:t>
      </w:r>
      <w:r>
        <w:rPr>
          <w:i/>
          <w:spacing w:val="-5"/>
          <w:sz w:val="22"/>
        </w:rPr>
        <w:t> </w:t>
      </w:r>
      <w:r>
        <w:rPr>
          <w:i/>
          <w:sz w:val="22"/>
        </w:rPr>
        <w:t>application</w:t>
      </w:r>
      <w:r>
        <w:rPr>
          <w:i/>
          <w:spacing w:val="-8"/>
          <w:sz w:val="22"/>
        </w:rPr>
        <w:t> </w:t>
      </w:r>
      <w:r>
        <w:rPr>
          <w:i/>
          <w:sz w:val="22"/>
        </w:rPr>
        <w:t>of</w:t>
      </w:r>
      <w:r>
        <w:rPr>
          <w:i/>
          <w:spacing w:val="-6"/>
          <w:sz w:val="22"/>
        </w:rPr>
        <w:t> </w:t>
      </w:r>
      <w:r>
        <w:rPr>
          <w:i/>
          <w:sz w:val="22"/>
        </w:rPr>
        <w:t>the</w:t>
      </w:r>
      <w:r>
        <w:rPr>
          <w:i/>
          <w:spacing w:val="-5"/>
          <w:sz w:val="22"/>
        </w:rPr>
        <w:t> </w:t>
      </w:r>
      <w:r>
        <w:rPr>
          <w:i/>
          <w:sz w:val="22"/>
        </w:rPr>
        <w:t>safety</w:t>
      </w:r>
      <w:r>
        <w:rPr>
          <w:i/>
          <w:spacing w:val="-4"/>
          <w:sz w:val="22"/>
        </w:rPr>
        <w:t> </w:t>
      </w:r>
      <w:r>
        <w:rPr>
          <w:i/>
          <w:sz w:val="22"/>
        </w:rPr>
        <w:t>case</w:t>
      </w:r>
      <w:r>
        <w:rPr>
          <w:i/>
          <w:spacing w:val="-6"/>
          <w:sz w:val="22"/>
        </w:rPr>
        <w:t> </w:t>
      </w:r>
      <w:r>
        <w:rPr>
          <w:i/>
          <w:sz w:val="22"/>
        </w:rPr>
        <w:t>approach</w:t>
      </w:r>
      <w:r>
        <w:rPr>
          <w:i/>
          <w:spacing w:val="-5"/>
          <w:sz w:val="22"/>
        </w:rPr>
        <w:t> </w:t>
      </w:r>
      <w:r>
        <w:rPr>
          <w:i/>
          <w:sz w:val="22"/>
        </w:rPr>
        <w:t>requires</w:t>
      </w:r>
      <w:r>
        <w:rPr>
          <w:i/>
          <w:spacing w:val="-6"/>
          <w:sz w:val="22"/>
        </w:rPr>
        <w:t> </w:t>
      </w:r>
      <w:r>
        <w:rPr>
          <w:i/>
          <w:sz w:val="22"/>
        </w:rPr>
        <w:t>there</w:t>
      </w:r>
      <w:r>
        <w:rPr>
          <w:i/>
          <w:spacing w:val="-7"/>
          <w:sz w:val="22"/>
        </w:rPr>
        <w:t> </w:t>
      </w:r>
      <w:r>
        <w:rPr>
          <w:i/>
          <w:sz w:val="22"/>
        </w:rPr>
        <w:t>to</w:t>
      </w:r>
      <w:r>
        <w:rPr>
          <w:i/>
          <w:spacing w:val="-6"/>
          <w:sz w:val="22"/>
        </w:rPr>
        <w:t> </w:t>
      </w:r>
      <w:r>
        <w:rPr>
          <w:i/>
          <w:spacing w:val="-5"/>
          <w:sz w:val="22"/>
        </w:rPr>
        <w:t>be</w:t>
      </w:r>
    </w:p>
    <w:p>
      <w:pPr>
        <w:spacing w:line="288" w:lineRule="auto" w:before="49"/>
        <w:ind w:left="1166" w:right="910" w:firstLine="0"/>
        <w:jc w:val="left"/>
        <w:rPr>
          <w:i/>
          <w:sz w:val="22"/>
        </w:rPr>
      </w:pPr>
      <w:r>
        <w:rPr>
          <w:i/>
          <w:sz w:val="22"/>
        </w:rPr>
        <w:t>elements of prescription … the ‘prescription’ is not the traditional government imposed</w:t>
      </w:r>
      <w:r>
        <w:rPr>
          <w:i/>
          <w:spacing w:val="-3"/>
          <w:sz w:val="22"/>
        </w:rPr>
        <w:t> </w:t>
      </w:r>
      <w:r>
        <w:rPr>
          <w:i/>
          <w:sz w:val="22"/>
        </w:rPr>
        <w:t>prescription</w:t>
      </w:r>
      <w:r>
        <w:rPr>
          <w:i/>
          <w:spacing w:val="-3"/>
          <w:sz w:val="22"/>
        </w:rPr>
        <w:t> </w:t>
      </w:r>
      <w:r>
        <w:rPr>
          <w:i/>
          <w:sz w:val="22"/>
        </w:rPr>
        <w:t>but</w:t>
      </w:r>
      <w:r>
        <w:rPr>
          <w:i/>
          <w:spacing w:val="-4"/>
          <w:sz w:val="22"/>
        </w:rPr>
        <w:t> </w:t>
      </w:r>
      <w:r>
        <w:rPr>
          <w:i/>
          <w:sz w:val="22"/>
        </w:rPr>
        <w:t>comes</w:t>
      </w:r>
      <w:r>
        <w:rPr>
          <w:i/>
          <w:spacing w:val="-2"/>
          <w:sz w:val="22"/>
        </w:rPr>
        <w:t> </w:t>
      </w:r>
      <w:r>
        <w:rPr>
          <w:i/>
          <w:sz w:val="22"/>
        </w:rPr>
        <w:t>about</w:t>
      </w:r>
      <w:r>
        <w:rPr>
          <w:i/>
          <w:spacing w:val="-1"/>
          <w:sz w:val="22"/>
        </w:rPr>
        <w:t> </w:t>
      </w:r>
      <w:r>
        <w:rPr>
          <w:i/>
          <w:sz w:val="22"/>
        </w:rPr>
        <w:t>as</w:t>
      </w:r>
      <w:r>
        <w:rPr>
          <w:i/>
          <w:spacing w:val="-5"/>
          <w:sz w:val="22"/>
        </w:rPr>
        <w:t> </w:t>
      </w:r>
      <w:r>
        <w:rPr>
          <w:i/>
          <w:sz w:val="22"/>
        </w:rPr>
        <w:t>a</w:t>
      </w:r>
      <w:r>
        <w:rPr>
          <w:i/>
          <w:spacing w:val="-5"/>
          <w:sz w:val="22"/>
        </w:rPr>
        <w:t> </w:t>
      </w:r>
      <w:r>
        <w:rPr>
          <w:i/>
          <w:sz w:val="22"/>
        </w:rPr>
        <w:t>result</w:t>
      </w:r>
      <w:r>
        <w:rPr>
          <w:i/>
          <w:spacing w:val="-4"/>
          <w:sz w:val="22"/>
        </w:rPr>
        <w:t> </w:t>
      </w:r>
      <w:r>
        <w:rPr>
          <w:i/>
          <w:sz w:val="22"/>
        </w:rPr>
        <w:t>of</w:t>
      </w:r>
      <w:r>
        <w:rPr>
          <w:i/>
          <w:spacing w:val="-4"/>
          <w:sz w:val="22"/>
        </w:rPr>
        <w:t> </w:t>
      </w:r>
      <w:r>
        <w:rPr>
          <w:i/>
          <w:sz w:val="22"/>
        </w:rPr>
        <w:t>the</w:t>
      </w:r>
      <w:r>
        <w:rPr>
          <w:i/>
          <w:spacing w:val="-5"/>
          <w:sz w:val="22"/>
        </w:rPr>
        <w:t> </w:t>
      </w:r>
      <w:r>
        <w:rPr>
          <w:i/>
          <w:sz w:val="22"/>
        </w:rPr>
        <w:t>operator</w:t>
      </w:r>
      <w:r>
        <w:rPr>
          <w:i/>
          <w:spacing w:val="-4"/>
          <w:sz w:val="22"/>
        </w:rPr>
        <w:t> </w:t>
      </w:r>
      <w:r>
        <w:rPr>
          <w:i/>
          <w:sz w:val="22"/>
        </w:rPr>
        <w:t>describing</w:t>
      </w:r>
      <w:r>
        <w:rPr>
          <w:i/>
          <w:spacing w:val="-3"/>
          <w:sz w:val="22"/>
        </w:rPr>
        <w:t> </w:t>
      </w:r>
      <w:r>
        <w:rPr>
          <w:i/>
          <w:sz w:val="22"/>
        </w:rPr>
        <w:t>(or prescribing?) in their safety case how safety is to be achieved.”</w:t>
      </w:r>
    </w:p>
    <w:p>
      <w:pPr>
        <w:spacing w:after="0" w:line="288" w:lineRule="auto"/>
        <w:jc w:val="left"/>
        <w:rPr>
          <w:sz w:val="22"/>
        </w:rPr>
        <w:sectPr>
          <w:pgSz w:w="11910" w:h="16840"/>
          <w:pgMar w:header="887" w:footer="1286" w:top="1080" w:bottom="1500" w:left="840" w:right="820"/>
        </w:sectPr>
      </w:pPr>
    </w:p>
    <w:p>
      <w:pPr>
        <w:pStyle w:val="BodyText"/>
        <w:rPr>
          <w:i/>
          <w:sz w:val="20"/>
        </w:rPr>
      </w:pPr>
    </w:p>
    <w:p>
      <w:pPr>
        <w:pStyle w:val="BodyText"/>
        <w:rPr>
          <w:i/>
          <w:sz w:val="20"/>
        </w:rPr>
      </w:pPr>
    </w:p>
    <w:p>
      <w:pPr>
        <w:pStyle w:val="Heading4"/>
        <w:spacing w:before="258"/>
        <w:ind w:left="600"/>
        <w:jc w:val="both"/>
      </w:pPr>
      <w:r>
        <w:rPr>
          <w:color w:val="585858"/>
        </w:rPr>
        <w:t>Core</w:t>
      </w:r>
      <w:r>
        <w:rPr>
          <w:color w:val="585858"/>
          <w:spacing w:val="-11"/>
        </w:rPr>
        <w:t> </w:t>
      </w:r>
      <w:r>
        <w:rPr>
          <w:color w:val="585858"/>
        </w:rPr>
        <w:t>capabilities</w:t>
      </w:r>
      <w:r>
        <w:rPr>
          <w:color w:val="585858"/>
          <w:spacing w:val="-10"/>
        </w:rPr>
        <w:t> </w:t>
      </w:r>
      <w:r>
        <w:rPr>
          <w:color w:val="585858"/>
        </w:rPr>
        <w:t>for</w:t>
      </w:r>
      <w:r>
        <w:rPr>
          <w:color w:val="585858"/>
          <w:spacing w:val="-10"/>
        </w:rPr>
        <w:t> </w:t>
      </w:r>
      <w:r>
        <w:rPr>
          <w:color w:val="585858"/>
        </w:rPr>
        <w:t>an</w:t>
      </w:r>
      <w:r>
        <w:rPr>
          <w:color w:val="585858"/>
          <w:spacing w:val="-10"/>
        </w:rPr>
        <w:t> </w:t>
      </w:r>
      <w:r>
        <w:rPr>
          <w:color w:val="585858"/>
        </w:rPr>
        <w:t>effective</w:t>
      </w:r>
      <w:r>
        <w:rPr>
          <w:color w:val="585858"/>
          <w:spacing w:val="-10"/>
        </w:rPr>
        <w:t> </w:t>
      </w:r>
      <w:r>
        <w:rPr>
          <w:color w:val="585858"/>
        </w:rPr>
        <w:t>safety</w:t>
      </w:r>
      <w:r>
        <w:rPr>
          <w:color w:val="585858"/>
          <w:spacing w:val="-11"/>
        </w:rPr>
        <w:t> </w:t>
      </w:r>
      <w:r>
        <w:rPr>
          <w:color w:val="585858"/>
          <w:spacing w:val="-2"/>
        </w:rPr>
        <w:t>regulator</w:t>
      </w:r>
    </w:p>
    <w:p>
      <w:pPr>
        <w:pStyle w:val="BodyText"/>
        <w:spacing w:line="288" w:lineRule="auto" w:before="313"/>
        <w:ind w:left="600" w:right="622"/>
        <w:jc w:val="both"/>
      </w:pPr>
      <w:r>
        <w:rPr/>
        <w:t>There is a</w:t>
      </w:r>
      <w:r>
        <w:rPr>
          <w:spacing w:val="-2"/>
        </w:rPr>
        <w:t> </w:t>
      </w:r>
      <w:r>
        <w:rPr/>
        <w:t>large</w:t>
      </w:r>
      <w:r>
        <w:rPr>
          <w:spacing w:val="-2"/>
        </w:rPr>
        <w:t> </w:t>
      </w:r>
      <w:r>
        <w:rPr/>
        <w:t>and</w:t>
      </w:r>
      <w:r>
        <w:rPr>
          <w:spacing w:val="-2"/>
        </w:rPr>
        <w:t> </w:t>
      </w:r>
      <w:r>
        <w:rPr/>
        <w:t>growing literature</w:t>
      </w:r>
      <w:r>
        <w:rPr>
          <w:spacing w:val="-2"/>
        </w:rPr>
        <w:t> </w:t>
      </w:r>
      <w:r>
        <w:rPr/>
        <w:t>identifying the</w:t>
      </w:r>
      <w:r>
        <w:rPr>
          <w:spacing w:val="-5"/>
        </w:rPr>
        <w:t> </w:t>
      </w:r>
      <w:r>
        <w:rPr/>
        <w:t>key</w:t>
      </w:r>
      <w:r>
        <w:rPr>
          <w:spacing w:val="-2"/>
        </w:rPr>
        <w:t> </w:t>
      </w:r>
      <w:r>
        <w:rPr/>
        <w:t>capabilities and</w:t>
      </w:r>
      <w:r>
        <w:rPr>
          <w:spacing w:val="-2"/>
        </w:rPr>
        <w:t> </w:t>
      </w:r>
      <w:r>
        <w:rPr/>
        <w:t>characteristics</w:t>
      </w:r>
      <w:r>
        <w:rPr>
          <w:spacing w:val="-2"/>
        </w:rPr>
        <w:t> </w:t>
      </w:r>
      <w:r>
        <w:rPr/>
        <w:t>that regulators</w:t>
      </w:r>
      <w:r>
        <w:rPr>
          <w:spacing w:val="-4"/>
        </w:rPr>
        <w:t> </w:t>
      </w:r>
      <w:r>
        <w:rPr/>
        <w:t>require</w:t>
      </w:r>
      <w:r>
        <w:rPr>
          <w:spacing w:val="-4"/>
        </w:rPr>
        <w:t> </w:t>
      </w:r>
      <w:r>
        <w:rPr/>
        <w:t>to</w:t>
      </w:r>
      <w:r>
        <w:rPr>
          <w:spacing w:val="-2"/>
        </w:rPr>
        <w:t> </w:t>
      </w:r>
      <w:r>
        <w:rPr/>
        <w:t>be</w:t>
      </w:r>
      <w:r>
        <w:rPr>
          <w:spacing w:val="-4"/>
        </w:rPr>
        <w:t> </w:t>
      </w:r>
      <w:r>
        <w:rPr/>
        <w:t>successful.</w:t>
      </w:r>
      <w:r>
        <w:rPr>
          <w:spacing w:val="-3"/>
        </w:rPr>
        <w:t> </w:t>
      </w:r>
      <w:r>
        <w:rPr/>
        <w:t>A</w:t>
      </w:r>
      <w:r>
        <w:rPr>
          <w:spacing w:val="-2"/>
        </w:rPr>
        <w:t> </w:t>
      </w:r>
      <w:r>
        <w:rPr/>
        <w:t>number</w:t>
      </w:r>
      <w:r>
        <w:rPr>
          <w:spacing w:val="-3"/>
        </w:rPr>
        <w:t> </w:t>
      </w:r>
      <w:r>
        <w:rPr/>
        <w:t>of</w:t>
      </w:r>
      <w:r>
        <w:rPr>
          <w:spacing w:val="-3"/>
        </w:rPr>
        <w:t> </w:t>
      </w:r>
      <w:r>
        <w:rPr/>
        <w:t>these</w:t>
      </w:r>
      <w:r>
        <w:rPr>
          <w:spacing w:val="-2"/>
        </w:rPr>
        <w:t> </w:t>
      </w:r>
      <w:r>
        <w:rPr/>
        <w:t>are</w:t>
      </w:r>
      <w:r>
        <w:rPr>
          <w:spacing w:val="-4"/>
        </w:rPr>
        <w:t> </w:t>
      </w:r>
      <w:r>
        <w:rPr/>
        <w:t>particularly</w:t>
      </w:r>
      <w:r>
        <w:rPr>
          <w:spacing w:val="-4"/>
        </w:rPr>
        <w:t> </w:t>
      </w:r>
      <w:r>
        <w:rPr/>
        <w:t>valuable</w:t>
      </w:r>
      <w:r>
        <w:rPr>
          <w:spacing w:val="-4"/>
        </w:rPr>
        <w:t> </w:t>
      </w:r>
      <w:r>
        <w:rPr/>
        <w:t>for</w:t>
      </w:r>
      <w:r>
        <w:rPr>
          <w:spacing w:val="-3"/>
        </w:rPr>
        <w:t> </w:t>
      </w:r>
      <w:r>
        <w:rPr/>
        <w:t>regulators administering safety case based regulation.</w:t>
      </w:r>
    </w:p>
    <w:p>
      <w:pPr>
        <w:pStyle w:val="BodyText"/>
        <w:rPr>
          <w:sz w:val="24"/>
        </w:rPr>
      </w:pPr>
    </w:p>
    <w:p>
      <w:pPr>
        <w:pStyle w:val="Heading6"/>
        <w:spacing w:before="146"/>
        <w:ind w:left="600"/>
      </w:pPr>
      <w:r>
        <w:rPr/>
        <w:t>A</w:t>
      </w:r>
      <w:r>
        <w:rPr>
          <w:spacing w:val="-4"/>
        </w:rPr>
        <w:t> </w:t>
      </w:r>
      <w:r>
        <w:rPr/>
        <w:t>highly</w:t>
      </w:r>
      <w:r>
        <w:rPr>
          <w:spacing w:val="-5"/>
        </w:rPr>
        <w:t> </w:t>
      </w:r>
      <w:r>
        <w:rPr/>
        <w:t>capable and</w:t>
      </w:r>
      <w:r>
        <w:rPr>
          <w:spacing w:val="-6"/>
        </w:rPr>
        <w:t> </w:t>
      </w:r>
      <w:r>
        <w:rPr/>
        <w:t>well-resourced</w:t>
      </w:r>
      <w:r>
        <w:rPr>
          <w:spacing w:val="-3"/>
        </w:rPr>
        <w:t> </w:t>
      </w:r>
      <w:r>
        <w:rPr>
          <w:spacing w:val="-2"/>
        </w:rPr>
        <w:t>regulator</w:t>
      </w:r>
    </w:p>
    <w:p>
      <w:pPr>
        <w:spacing w:line="288" w:lineRule="auto" w:before="175"/>
        <w:ind w:left="600" w:right="713" w:firstLine="0"/>
        <w:jc w:val="left"/>
        <w:rPr>
          <w:sz w:val="22"/>
        </w:rPr>
      </w:pPr>
      <w:r>
        <w:rPr>
          <w:sz w:val="22"/>
        </w:rPr>
        <w:t>In its report, </w:t>
      </w:r>
      <w:r>
        <w:rPr>
          <w:i/>
          <w:sz w:val="22"/>
        </w:rPr>
        <w:t>Regulatory Institutions and Practices</w:t>
      </w:r>
      <w:r>
        <w:rPr>
          <w:sz w:val="22"/>
        </w:rPr>
        <w:t>, the New Zealand Productivity Commission</w:t>
      </w:r>
      <w:r>
        <w:rPr>
          <w:spacing w:val="-2"/>
          <w:sz w:val="22"/>
        </w:rPr>
        <w:t> </w:t>
      </w:r>
      <w:r>
        <w:rPr>
          <w:sz w:val="22"/>
        </w:rPr>
        <w:t>noted</w:t>
      </w:r>
      <w:r>
        <w:rPr>
          <w:spacing w:val="-2"/>
          <w:sz w:val="22"/>
        </w:rPr>
        <w:t> </w:t>
      </w:r>
      <w:r>
        <w:rPr>
          <w:sz w:val="22"/>
        </w:rPr>
        <w:t>one</w:t>
      </w:r>
      <w:r>
        <w:rPr>
          <w:spacing w:val="-6"/>
          <w:sz w:val="22"/>
        </w:rPr>
        <w:t> </w:t>
      </w:r>
      <w:r>
        <w:rPr>
          <w:sz w:val="22"/>
        </w:rPr>
        <w:t>feature</w:t>
      </w:r>
      <w:r>
        <w:rPr>
          <w:spacing w:val="-4"/>
          <w:sz w:val="22"/>
        </w:rPr>
        <w:t> </w:t>
      </w:r>
      <w:r>
        <w:rPr>
          <w:sz w:val="22"/>
        </w:rPr>
        <w:t>of successful</w:t>
      </w:r>
      <w:r>
        <w:rPr>
          <w:spacing w:val="-5"/>
          <w:sz w:val="22"/>
        </w:rPr>
        <w:t> </w:t>
      </w:r>
      <w:r>
        <w:rPr>
          <w:sz w:val="22"/>
        </w:rPr>
        <w:t>regulators</w:t>
      </w:r>
      <w:r>
        <w:rPr>
          <w:spacing w:val="-1"/>
          <w:sz w:val="22"/>
        </w:rPr>
        <w:t> </w:t>
      </w:r>
      <w:r>
        <w:rPr>
          <w:sz w:val="22"/>
        </w:rPr>
        <w:t>is</w:t>
      </w:r>
      <w:r>
        <w:rPr>
          <w:spacing w:val="-4"/>
          <w:sz w:val="22"/>
        </w:rPr>
        <w:t> </w:t>
      </w:r>
      <w:r>
        <w:rPr>
          <w:sz w:val="22"/>
        </w:rPr>
        <w:t>“</w:t>
      </w:r>
      <w:r>
        <w:rPr>
          <w:i/>
          <w:sz w:val="22"/>
        </w:rPr>
        <w:t>an</w:t>
      </w:r>
      <w:r>
        <w:rPr>
          <w:i/>
          <w:spacing w:val="-4"/>
          <w:sz w:val="22"/>
        </w:rPr>
        <w:t> </w:t>
      </w:r>
      <w:r>
        <w:rPr>
          <w:i/>
          <w:sz w:val="22"/>
        </w:rPr>
        <w:t>appropriate</w:t>
      </w:r>
      <w:r>
        <w:rPr>
          <w:i/>
          <w:spacing w:val="-4"/>
          <w:sz w:val="22"/>
        </w:rPr>
        <w:t> </w:t>
      </w:r>
      <w:r>
        <w:rPr>
          <w:i/>
          <w:sz w:val="22"/>
        </w:rPr>
        <w:t>institutional</w:t>
      </w:r>
      <w:r>
        <w:rPr>
          <w:i/>
          <w:spacing w:val="-3"/>
          <w:sz w:val="22"/>
        </w:rPr>
        <w:t> </w:t>
      </w:r>
      <w:r>
        <w:rPr>
          <w:i/>
          <w:sz w:val="22"/>
        </w:rPr>
        <w:t>form and degree of independence to enable them to function as intended</w:t>
      </w:r>
      <w:r>
        <w:rPr>
          <w:sz w:val="22"/>
        </w:rPr>
        <w:t>” (The New Zealand Productivity Commission, 2014, p. 3).</w:t>
      </w:r>
    </w:p>
    <w:p>
      <w:pPr>
        <w:pStyle w:val="BodyText"/>
        <w:spacing w:before="10"/>
        <w:rPr>
          <w:sz w:val="20"/>
        </w:rPr>
      </w:pPr>
    </w:p>
    <w:p>
      <w:pPr>
        <w:pStyle w:val="BodyText"/>
        <w:spacing w:line="288" w:lineRule="auto" w:before="1"/>
        <w:ind w:left="600" w:right="643"/>
      </w:pPr>
      <w:r>
        <w:rPr/>
        <w:t>Regulators must be able to make objective, impartial, consistent and expert decisions</w:t>
      </w:r>
      <w:r>
        <w:rPr/>
        <w:t> without</w:t>
      </w:r>
      <w:r>
        <w:rPr>
          <w:spacing w:val="-2"/>
        </w:rPr>
        <w:t> </w:t>
      </w:r>
      <w:r>
        <w:rPr/>
        <w:t>any</w:t>
      </w:r>
      <w:r>
        <w:rPr>
          <w:spacing w:val="-5"/>
        </w:rPr>
        <w:t> </w:t>
      </w:r>
      <w:r>
        <w:rPr/>
        <w:t>perception</w:t>
      </w:r>
      <w:r>
        <w:rPr>
          <w:spacing w:val="-3"/>
        </w:rPr>
        <w:t> </w:t>
      </w:r>
      <w:r>
        <w:rPr/>
        <w:t>of</w:t>
      </w:r>
      <w:r>
        <w:rPr>
          <w:spacing w:val="-4"/>
        </w:rPr>
        <w:t> </w:t>
      </w:r>
      <w:r>
        <w:rPr/>
        <w:t>being</w:t>
      </w:r>
      <w:r>
        <w:rPr>
          <w:spacing w:val="-3"/>
        </w:rPr>
        <w:t> </w:t>
      </w:r>
      <w:r>
        <w:rPr/>
        <w:t>influenced</w:t>
      </w:r>
      <w:r>
        <w:rPr>
          <w:spacing w:val="-3"/>
        </w:rPr>
        <w:t> </w:t>
      </w:r>
      <w:r>
        <w:rPr/>
        <w:t>by</w:t>
      </w:r>
      <w:r>
        <w:rPr>
          <w:spacing w:val="-5"/>
        </w:rPr>
        <w:t> </w:t>
      </w:r>
      <w:r>
        <w:rPr/>
        <w:t>conflict</w:t>
      </w:r>
      <w:r>
        <w:rPr>
          <w:spacing w:val="-1"/>
        </w:rPr>
        <w:t> </w:t>
      </w:r>
      <w:r>
        <w:rPr/>
        <w:t>or</w:t>
      </w:r>
      <w:r>
        <w:rPr>
          <w:spacing w:val="-4"/>
        </w:rPr>
        <w:t> </w:t>
      </w:r>
      <w:r>
        <w:rPr/>
        <w:t>bias,</w:t>
      </w:r>
      <w:r>
        <w:rPr>
          <w:spacing w:val="-2"/>
        </w:rPr>
        <w:t> </w:t>
      </w:r>
      <w:r>
        <w:rPr/>
        <w:t>whether</w:t>
      </w:r>
      <w:r>
        <w:rPr>
          <w:spacing w:val="-6"/>
        </w:rPr>
        <w:t> </w:t>
      </w:r>
      <w:r>
        <w:rPr/>
        <w:t>from</w:t>
      </w:r>
      <w:r>
        <w:rPr>
          <w:spacing w:val="-4"/>
        </w:rPr>
        <w:t> </w:t>
      </w:r>
      <w:r>
        <w:rPr/>
        <w:t>regulated</w:t>
      </w:r>
      <w:r>
        <w:rPr>
          <w:spacing w:val="-5"/>
        </w:rPr>
        <w:t> </w:t>
      </w:r>
      <w:r>
        <w:rPr/>
        <w:t>entities or government. They should have capacity to work collaboratively with regulated entities,</w:t>
      </w:r>
      <w:r>
        <w:rPr>
          <w:spacing w:val="40"/>
        </w:rPr>
        <w:t> </w:t>
      </w:r>
      <w:r>
        <w:rPr/>
        <w:t>and take independent action when required.</w:t>
      </w:r>
    </w:p>
    <w:p>
      <w:pPr>
        <w:pStyle w:val="BodyText"/>
        <w:rPr>
          <w:sz w:val="24"/>
        </w:rPr>
      </w:pPr>
    </w:p>
    <w:p>
      <w:pPr>
        <w:pStyle w:val="Heading6"/>
        <w:spacing w:before="144"/>
        <w:ind w:left="600"/>
      </w:pPr>
      <w:r>
        <w:rPr/>
        <w:t>Analytical</w:t>
      </w:r>
      <w:r>
        <w:rPr>
          <w:spacing w:val="-5"/>
        </w:rPr>
        <w:t> </w:t>
      </w:r>
      <w:r>
        <w:rPr/>
        <w:t>capabilities</w:t>
      </w:r>
      <w:r>
        <w:rPr>
          <w:spacing w:val="-5"/>
        </w:rPr>
        <w:t> </w:t>
      </w:r>
      <w:r>
        <w:rPr/>
        <w:t>and</w:t>
      </w:r>
      <w:r>
        <w:rPr>
          <w:spacing w:val="-5"/>
        </w:rPr>
        <w:t> </w:t>
      </w:r>
      <w:r>
        <w:rPr>
          <w:spacing w:val="-2"/>
        </w:rPr>
        <w:t>reporting</w:t>
      </w:r>
    </w:p>
    <w:p>
      <w:pPr>
        <w:pStyle w:val="BodyText"/>
        <w:spacing w:line="288" w:lineRule="auto" w:before="175"/>
        <w:ind w:left="600" w:right="586"/>
      </w:pPr>
      <w:r>
        <w:rPr/>
        <w:t>An</w:t>
      </w:r>
      <w:r>
        <w:rPr>
          <w:spacing w:val="-3"/>
        </w:rPr>
        <w:t> </w:t>
      </w:r>
      <w:r>
        <w:rPr/>
        <w:t>effective</w:t>
      </w:r>
      <w:r>
        <w:rPr>
          <w:spacing w:val="-3"/>
        </w:rPr>
        <w:t> </w:t>
      </w:r>
      <w:r>
        <w:rPr/>
        <w:t>regulator</w:t>
      </w:r>
      <w:r>
        <w:rPr>
          <w:spacing w:val="-2"/>
        </w:rPr>
        <w:t> </w:t>
      </w:r>
      <w:r>
        <w:rPr/>
        <w:t>possesses</w:t>
      </w:r>
      <w:r>
        <w:rPr>
          <w:spacing w:val="-2"/>
        </w:rPr>
        <w:t> </w:t>
      </w:r>
      <w:r>
        <w:rPr/>
        <w:t>strong</w:t>
      </w:r>
      <w:r>
        <w:rPr>
          <w:spacing w:val="-1"/>
        </w:rPr>
        <w:t> </w:t>
      </w:r>
      <w:r>
        <w:rPr/>
        <w:t>analytical</w:t>
      </w:r>
      <w:r>
        <w:rPr>
          <w:spacing w:val="-4"/>
        </w:rPr>
        <w:t> </w:t>
      </w:r>
      <w:r>
        <w:rPr/>
        <w:t>capabilities</w:t>
      </w:r>
      <w:r>
        <w:rPr>
          <w:spacing w:val="-3"/>
        </w:rPr>
        <w:t> </w:t>
      </w:r>
      <w:r>
        <w:rPr/>
        <w:t>and</w:t>
      </w:r>
      <w:r>
        <w:rPr>
          <w:spacing w:val="-3"/>
        </w:rPr>
        <w:t> </w:t>
      </w:r>
      <w:r>
        <w:rPr/>
        <w:t>processes,</w:t>
      </w:r>
      <w:r>
        <w:rPr>
          <w:spacing w:val="-1"/>
        </w:rPr>
        <w:t> </w:t>
      </w:r>
      <w:r>
        <w:rPr/>
        <w:t>and</w:t>
      </w:r>
      <w:r>
        <w:rPr>
          <w:spacing w:val="-5"/>
        </w:rPr>
        <w:t> </w:t>
      </w:r>
      <w:r>
        <w:rPr/>
        <w:t>a</w:t>
      </w:r>
      <w:r>
        <w:rPr>
          <w:spacing w:val="-4"/>
        </w:rPr>
        <w:t> </w:t>
      </w:r>
      <w:r>
        <w:rPr/>
        <w:t>strategy for the use of data. This provides a regulator with confidence in its decisions, backed by evidence from a variety of sources and a strong analytical framework.</w:t>
      </w:r>
    </w:p>
    <w:p>
      <w:pPr>
        <w:pStyle w:val="BodyText"/>
        <w:spacing w:before="9"/>
        <w:rPr>
          <w:sz w:val="20"/>
        </w:rPr>
      </w:pPr>
    </w:p>
    <w:p>
      <w:pPr>
        <w:pStyle w:val="BodyText"/>
        <w:spacing w:line="288" w:lineRule="auto"/>
        <w:ind w:left="600" w:right="910"/>
      </w:pPr>
      <w:r>
        <w:rPr/>
        <w:t>Strong analytical capabilities enable a sophisticated understanding of risks, regulated industries and the operating environment (such as emerging risks and technologies). Leading</w:t>
      </w:r>
      <w:r>
        <w:rPr>
          <w:spacing w:val="-3"/>
        </w:rPr>
        <w:t> </w:t>
      </w:r>
      <w:r>
        <w:rPr/>
        <w:t>regulators</w:t>
      </w:r>
      <w:r>
        <w:rPr>
          <w:spacing w:val="-5"/>
        </w:rPr>
        <w:t> </w:t>
      </w:r>
      <w:r>
        <w:rPr/>
        <w:t>typically</w:t>
      </w:r>
      <w:r>
        <w:rPr>
          <w:spacing w:val="-5"/>
        </w:rPr>
        <w:t> </w:t>
      </w:r>
      <w:r>
        <w:rPr/>
        <w:t>embrace</w:t>
      </w:r>
      <w:r>
        <w:rPr>
          <w:spacing w:val="-5"/>
        </w:rPr>
        <w:t> </w:t>
      </w:r>
      <w:r>
        <w:rPr/>
        <w:t>regular</w:t>
      </w:r>
      <w:r>
        <w:rPr>
          <w:spacing w:val="-4"/>
        </w:rPr>
        <w:t> </w:t>
      </w:r>
      <w:r>
        <w:rPr/>
        <w:t>reporting to</w:t>
      </w:r>
      <w:r>
        <w:rPr>
          <w:spacing w:val="-5"/>
        </w:rPr>
        <w:t> </w:t>
      </w:r>
      <w:r>
        <w:rPr/>
        <w:t>foster</w:t>
      </w:r>
      <w:r>
        <w:rPr>
          <w:spacing w:val="-4"/>
        </w:rPr>
        <w:t> </w:t>
      </w:r>
      <w:r>
        <w:rPr/>
        <w:t>business</w:t>
      </w:r>
      <w:r>
        <w:rPr>
          <w:spacing w:val="-5"/>
        </w:rPr>
        <w:t> </w:t>
      </w:r>
      <w:r>
        <w:rPr/>
        <w:t>and</w:t>
      </w:r>
      <w:r>
        <w:rPr>
          <w:spacing w:val="-3"/>
        </w:rPr>
        <w:t> </w:t>
      </w:r>
      <w:r>
        <w:rPr/>
        <w:t>community </w:t>
      </w:r>
      <w:r>
        <w:rPr>
          <w:spacing w:val="-2"/>
        </w:rPr>
        <w:t>confidence.</w:t>
      </w:r>
    </w:p>
    <w:p>
      <w:pPr>
        <w:pStyle w:val="BodyText"/>
        <w:rPr>
          <w:sz w:val="24"/>
        </w:rPr>
      </w:pPr>
    </w:p>
    <w:p>
      <w:pPr>
        <w:pStyle w:val="Heading6"/>
        <w:spacing w:before="145"/>
        <w:ind w:left="600"/>
      </w:pPr>
      <w:r>
        <w:rPr>
          <w:spacing w:val="-2"/>
        </w:rPr>
        <w:t>Expertise</w:t>
      </w:r>
    </w:p>
    <w:p>
      <w:pPr>
        <w:pStyle w:val="BodyText"/>
        <w:spacing w:line="288" w:lineRule="auto" w:before="175"/>
        <w:ind w:left="600" w:right="910"/>
      </w:pPr>
      <w:r>
        <w:rPr/>
        <w:t>A</w:t>
      </w:r>
      <w:r>
        <w:rPr>
          <w:spacing w:val="-2"/>
        </w:rPr>
        <w:t> </w:t>
      </w:r>
      <w:r>
        <w:rPr/>
        <w:t>regulator</w:t>
      </w:r>
      <w:r>
        <w:rPr>
          <w:spacing w:val="-2"/>
        </w:rPr>
        <w:t> </w:t>
      </w:r>
      <w:r>
        <w:rPr/>
        <w:t>should</w:t>
      </w:r>
      <w:r>
        <w:rPr>
          <w:spacing w:val="-4"/>
        </w:rPr>
        <w:t> </w:t>
      </w:r>
      <w:r>
        <w:rPr/>
        <w:t>have</w:t>
      </w:r>
      <w:r>
        <w:rPr>
          <w:spacing w:val="-2"/>
        </w:rPr>
        <w:t> </w:t>
      </w:r>
      <w:r>
        <w:rPr/>
        <w:t>a</w:t>
      </w:r>
      <w:r>
        <w:rPr>
          <w:spacing w:val="-2"/>
        </w:rPr>
        <w:t> </w:t>
      </w:r>
      <w:r>
        <w:rPr/>
        <w:t>deep</w:t>
      </w:r>
      <w:r>
        <w:rPr>
          <w:spacing w:val="-4"/>
        </w:rPr>
        <w:t> </w:t>
      </w:r>
      <w:r>
        <w:rPr/>
        <w:t>technical</w:t>
      </w:r>
      <w:r>
        <w:rPr>
          <w:spacing w:val="-3"/>
        </w:rPr>
        <w:t> </w:t>
      </w:r>
      <w:r>
        <w:rPr/>
        <w:t>understanding</w:t>
      </w:r>
      <w:r>
        <w:rPr>
          <w:spacing w:val="-1"/>
        </w:rPr>
        <w:t> </w:t>
      </w:r>
      <w:r>
        <w:rPr/>
        <w:t>of</w:t>
      </w:r>
      <w:r>
        <w:rPr>
          <w:spacing w:val="-3"/>
        </w:rPr>
        <w:t> </w:t>
      </w:r>
      <w:r>
        <w:rPr/>
        <w:t>the</w:t>
      </w:r>
      <w:r>
        <w:rPr>
          <w:spacing w:val="-2"/>
        </w:rPr>
        <w:t> </w:t>
      </w:r>
      <w:r>
        <w:rPr/>
        <w:t>industry</w:t>
      </w:r>
      <w:r>
        <w:rPr>
          <w:spacing w:val="-4"/>
        </w:rPr>
        <w:t> </w:t>
      </w:r>
      <w:r>
        <w:rPr/>
        <w:t>and</w:t>
      </w:r>
      <w:r>
        <w:rPr>
          <w:spacing w:val="-4"/>
        </w:rPr>
        <w:t> </w:t>
      </w:r>
      <w:r>
        <w:rPr/>
        <w:t>functions</w:t>
      </w:r>
      <w:r>
        <w:rPr>
          <w:spacing w:val="-2"/>
        </w:rPr>
        <w:t> </w:t>
      </w:r>
      <w:r>
        <w:rPr/>
        <w:t>it</w:t>
      </w:r>
      <w:r>
        <w:rPr>
          <w:spacing w:val="-3"/>
        </w:rPr>
        <w:t> </w:t>
      </w:r>
      <w:r>
        <w:rPr/>
        <w:t>is regulating. It must also possess clear organisational knowledge of the obligations it is imposing, and its compliance and enforcement approach.</w:t>
      </w:r>
    </w:p>
    <w:p>
      <w:pPr>
        <w:pStyle w:val="BodyText"/>
        <w:spacing w:before="11"/>
        <w:rPr>
          <w:sz w:val="20"/>
        </w:rPr>
      </w:pPr>
    </w:p>
    <w:p>
      <w:pPr>
        <w:pStyle w:val="BodyText"/>
        <w:ind w:left="600"/>
      </w:pPr>
      <w:r>
        <w:rPr/>
        <w:t>Such</w:t>
      </w:r>
      <w:r>
        <w:rPr>
          <w:spacing w:val="-6"/>
        </w:rPr>
        <w:t> </w:t>
      </w:r>
      <w:r>
        <w:rPr/>
        <w:t>expertise</w:t>
      </w:r>
      <w:r>
        <w:rPr>
          <w:spacing w:val="-5"/>
        </w:rPr>
        <w:t> </w:t>
      </w:r>
      <w:r>
        <w:rPr/>
        <w:t>is</w:t>
      </w:r>
      <w:r>
        <w:rPr>
          <w:spacing w:val="-5"/>
        </w:rPr>
        <w:t> </w:t>
      </w:r>
      <w:r>
        <w:rPr/>
        <w:t>needed</w:t>
      </w:r>
      <w:r>
        <w:rPr>
          <w:spacing w:val="-6"/>
        </w:rPr>
        <w:t> </w:t>
      </w:r>
      <w:r>
        <w:rPr/>
        <w:t>across</w:t>
      </w:r>
      <w:r>
        <w:rPr>
          <w:spacing w:val="-7"/>
        </w:rPr>
        <w:t> </w:t>
      </w:r>
      <w:r>
        <w:rPr/>
        <w:t>management</w:t>
      </w:r>
      <w:r>
        <w:rPr>
          <w:spacing w:val="-6"/>
        </w:rPr>
        <w:t> </w:t>
      </w:r>
      <w:r>
        <w:rPr/>
        <w:t>and</w:t>
      </w:r>
      <w:r>
        <w:rPr>
          <w:spacing w:val="-7"/>
        </w:rPr>
        <w:t> </w:t>
      </w:r>
      <w:r>
        <w:rPr/>
        <w:t>front-line</w:t>
      </w:r>
      <w:r>
        <w:rPr>
          <w:spacing w:val="-5"/>
        </w:rPr>
        <w:t> </w:t>
      </w:r>
      <w:r>
        <w:rPr/>
        <w:t>staff,</w:t>
      </w:r>
      <w:r>
        <w:rPr>
          <w:spacing w:val="-7"/>
        </w:rPr>
        <w:t> </w:t>
      </w:r>
      <w:r>
        <w:rPr>
          <w:spacing w:val="-4"/>
        </w:rPr>
        <w:t>for:</w:t>
      </w:r>
    </w:p>
    <w:p>
      <w:pPr>
        <w:pStyle w:val="BodyText"/>
        <w:spacing w:before="7"/>
        <w:rPr>
          <w:sz w:val="26"/>
        </w:rPr>
      </w:pPr>
    </w:p>
    <w:p>
      <w:pPr>
        <w:pStyle w:val="ListParagraph"/>
        <w:numPr>
          <w:ilvl w:val="0"/>
          <w:numId w:val="29"/>
        </w:numPr>
        <w:tabs>
          <w:tab w:pos="957" w:val="left" w:leader="none"/>
        </w:tabs>
        <w:spacing w:line="240" w:lineRule="auto" w:before="0" w:after="0"/>
        <w:ind w:left="957" w:right="0" w:hanging="357"/>
        <w:jc w:val="left"/>
        <w:rPr>
          <w:sz w:val="22"/>
        </w:rPr>
      </w:pPr>
      <w:r>
        <w:rPr>
          <w:sz w:val="22"/>
        </w:rPr>
        <w:t>informed,</w:t>
      </w:r>
      <w:r>
        <w:rPr>
          <w:spacing w:val="-9"/>
          <w:sz w:val="22"/>
        </w:rPr>
        <w:t> </w:t>
      </w:r>
      <w:r>
        <w:rPr>
          <w:sz w:val="22"/>
        </w:rPr>
        <w:t>swift</w:t>
      </w:r>
      <w:r>
        <w:rPr>
          <w:spacing w:val="-6"/>
          <w:sz w:val="22"/>
        </w:rPr>
        <w:t> </w:t>
      </w:r>
      <w:r>
        <w:rPr>
          <w:sz w:val="22"/>
        </w:rPr>
        <w:t>and</w:t>
      </w:r>
      <w:r>
        <w:rPr>
          <w:spacing w:val="-5"/>
          <w:sz w:val="22"/>
        </w:rPr>
        <w:t> </w:t>
      </w:r>
      <w:r>
        <w:rPr>
          <w:sz w:val="22"/>
        </w:rPr>
        <w:t>consistent</w:t>
      </w:r>
      <w:r>
        <w:rPr>
          <w:spacing w:val="-6"/>
          <w:sz w:val="22"/>
        </w:rPr>
        <w:t> </w:t>
      </w:r>
      <w:r>
        <w:rPr>
          <w:sz w:val="22"/>
        </w:rPr>
        <w:t>decisions</w:t>
      </w:r>
      <w:r>
        <w:rPr>
          <w:spacing w:val="-5"/>
          <w:sz w:val="22"/>
        </w:rPr>
        <w:t> </w:t>
      </w:r>
      <w:r>
        <w:rPr>
          <w:sz w:val="22"/>
        </w:rPr>
        <w:t>on</w:t>
      </w:r>
      <w:r>
        <w:rPr>
          <w:spacing w:val="-7"/>
          <w:sz w:val="22"/>
        </w:rPr>
        <w:t> </w:t>
      </w:r>
      <w:r>
        <w:rPr>
          <w:sz w:val="22"/>
        </w:rPr>
        <w:t>safety</w:t>
      </w:r>
      <w:r>
        <w:rPr>
          <w:spacing w:val="-7"/>
          <w:sz w:val="22"/>
        </w:rPr>
        <w:t> </w:t>
      </w:r>
      <w:r>
        <w:rPr>
          <w:sz w:val="22"/>
        </w:rPr>
        <w:t>case</w:t>
      </w:r>
      <w:r>
        <w:rPr>
          <w:spacing w:val="-5"/>
          <w:sz w:val="22"/>
        </w:rPr>
        <w:t> </w:t>
      </w:r>
      <w:r>
        <w:rPr>
          <w:spacing w:val="-2"/>
          <w:sz w:val="22"/>
        </w:rPr>
        <w:t>acceptance;</w:t>
      </w:r>
    </w:p>
    <w:p>
      <w:pPr>
        <w:pStyle w:val="ListParagraph"/>
        <w:numPr>
          <w:ilvl w:val="0"/>
          <w:numId w:val="29"/>
        </w:numPr>
        <w:tabs>
          <w:tab w:pos="958" w:val="left" w:leader="none"/>
        </w:tabs>
        <w:spacing w:line="288" w:lineRule="auto" w:before="67" w:after="0"/>
        <w:ind w:left="958" w:right="1546" w:hanging="358"/>
        <w:jc w:val="left"/>
        <w:rPr>
          <w:sz w:val="22"/>
        </w:rPr>
      </w:pPr>
      <w:r>
        <w:rPr>
          <w:sz w:val="22"/>
        </w:rPr>
        <w:t>monitoring</w:t>
      </w:r>
      <w:r>
        <w:rPr>
          <w:spacing w:val="-4"/>
          <w:sz w:val="22"/>
        </w:rPr>
        <w:t> </w:t>
      </w:r>
      <w:r>
        <w:rPr>
          <w:sz w:val="22"/>
        </w:rPr>
        <w:t>whether</w:t>
      </w:r>
      <w:r>
        <w:rPr>
          <w:spacing w:val="-3"/>
          <w:sz w:val="22"/>
        </w:rPr>
        <w:t> </w:t>
      </w:r>
      <w:r>
        <w:rPr>
          <w:sz w:val="22"/>
        </w:rPr>
        <w:t>controls</w:t>
      </w:r>
      <w:r>
        <w:rPr>
          <w:spacing w:val="-3"/>
          <w:sz w:val="22"/>
        </w:rPr>
        <w:t> </w:t>
      </w:r>
      <w:r>
        <w:rPr>
          <w:sz w:val="22"/>
        </w:rPr>
        <w:t>specified</w:t>
      </w:r>
      <w:r>
        <w:rPr>
          <w:spacing w:val="-4"/>
          <w:sz w:val="22"/>
        </w:rPr>
        <w:t> </w:t>
      </w:r>
      <w:r>
        <w:rPr>
          <w:sz w:val="22"/>
        </w:rPr>
        <w:t>are</w:t>
      </w:r>
      <w:r>
        <w:rPr>
          <w:spacing w:val="-6"/>
          <w:sz w:val="22"/>
        </w:rPr>
        <w:t> </w:t>
      </w:r>
      <w:r>
        <w:rPr>
          <w:sz w:val="22"/>
        </w:rPr>
        <w:t>functioning</w:t>
      </w:r>
      <w:r>
        <w:rPr>
          <w:spacing w:val="-2"/>
          <w:sz w:val="22"/>
        </w:rPr>
        <w:t> </w:t>
      </w:r>
      <w:r>
        <w:rPr>
          <w:sz w:val="22"/>
        </w:rPr>
        <w:t>as</w:t>
      </w:r>
      <w:r>
        <w:rPr>
          <w:spacing w:val="-6"/>
          <w:sz w:val="22"/>
        </w:rPr>
        <w:t> </w:t>
      </w:r>
      <w:r>
        <w:rPr>
          <w:sz w:val="22"/>
        </w:rPr>
        <w:t>the</w:t>
      </w:r>
      <w:r>
        <w:rPr>
          <w:spacing w:val="-6"/>
          <w:sz w:val="22"/>
        </w:rPr>
        <w:t> </w:t>
      </w:r>
      <w:r>
        <w:rPr>
          <w:sz w:val="22"/>
        </w:rPr>
        <w:t>entity</w:t>
      </w:r>
      <w:r>
        <w:rPr>
          <w:spacing w:val="-6"/>
          <w:sz w:val="22"/>
        </w:rPr>
        <w:t> </w:t>
      </w:r>
      <w:r>
        <w:rPr>
          <w:sz w:val="22"/>
        </w:rPr>
        <w:t>and</w:t>
      </w:r>
      <w:r>
        <w:rPr>
          <w:spacing w:val="-4"/>
          <w:sz w:val="22"/>
        </w:rPr>
        <w:t> </w:t>
      </w:r>
      <w:r>
        <w:rPr>
          <w:sz w:val="22"/>
        </w:rPr>
        <w:t>regulator </w:t>
      </w:r>
      <w:r>
        <w:rPr>
          <w:spacing w:val="-2"/>
          <w:sz w:val="22"/>
        </w:rPr>
        <w:t>intended;</w:t>
      </w:r>
    </w:p>
    <w:p>
      <w:pPr>
        <w:pStyle w:val="ListParagraph"/>
        <w:numPr>
          <w:ilvl w:val="0"/>
          <w:numId w:val="29"/>
        </w:numPr>
        <w:tabs>
          <w:tab w:pos="957" w:val="left" w:leader="none"/>
        </w:tabs>
        <w:spacing w:line="240" w:lineRule="auto" w:before="14" w:after="0"/>
        <w:ind w:left="957" w:right="0" w:hanging="357"/>
        <w:jc w:val="left"/>
        <w:rPr>
          <w:sz w:val="22"/>
        </w:rPr>
      </w:pPr>
      <w:r>
        <w:rPr>
          <w:sz w:val="22"/>
        </w:rPr>
        <w:t>detecting</w:t>
      </w:r>
      <w:r>
        <w:rPr>
          <w:spacing w:val="-6"/>
          <w:sz w:val="22"/>
        </w:rPr>
        <w:t> </w:t>
      </w:r>
      <w:r>
        <w:rPr>
          <w:sz w:val="22"/>
        </w:rPr>
        <w:t>risks</w:t>
      </w:r>
      <w:r>
        <w:rPr>
          <w:spacing w:val="-8"/>
          <w:sz w:val="22"/>
        </w:rPr>
        <w:t> </w:t>
      </w:r>
      <w:r>
        <w:rPr>
          <w:sz w:val="22"/>
        </w:rPr>
        <w:t>and</w:t>
      </w:r>
      <w:r>
        <w:rPr>
          <w:spacing w:val="-6"/>
          <w:sz w:val="22"/>
        </w:rPr>
        <w:t> </w:t>
      </w:r>
      <w:r>
        <w:rPr>
          <w:sz w:val="22"/>
        </w:rPr>
        <w:t>emerging</w:t>
      </w:r>
      <w:r>
        <w:rPr>
          <w:spacing w:val="-4"/>
          <w:sz w:val="22"/>
        </w:rPr>
        <w:t> </w:t>
      </w:r>
      <w:r>
        <w:rPr>
          <w:spacing w:val="-2"/>
          <w:sz w:val="22"/>
        </w:rPr>
        <w:t>issues;</w:t>
      </w:r>
    </w:p>
    <w:p>
      <w:pPr>
        <w:pStyle w:val="ListParagraph"/>
        <w:numPr>
          <w:ilvl w:val="0"/>
          <w:numId w:val="29"/>
        </w:numPr>
        <w:tabs>
          <w:tab w:pos="957" w:val="left" w:leader="none"/>
        </w:tabs>
        <w:spacing w:line="240" w:lineRule="auto" w:before="67" w:after="0"/>
        <w:ind w:left="957" w:right="0" w:hanging="357"/>
        <w:jc w:val="left"/>
        <w:rPr>
          <w:sz w:val="22"/>
        </w:rPr>
      </w:pPr>
      <w:r>
        <w:rPr>
          <w:sz w:val="22"/>
        </w:rPr>
        <w:t>useful</w:t>
      </w:r>
      <w:r>
        <w:rPr>
          <w:spacing w:val="-10"/>
          <w:sz w:val="22"/>
        </w:rPr>
        <w:t> </w:t>
      </w:r>
      <w:r>
        <w:rPr>
          <w:sz w:val="22"/>
        </w:rPr>
        <w:t>guidance</w:t>
      </w:r>
      <w:r>
        <w:rPr>
          <w:spacing w:val="-6"/>
          <w:sz w:val="22"/>
        </w:rPr>
        <w:t> </w:t>
      </w:r>
      <w:r>
        <w:rPr>
          <w:sz w:val="22"/>
        </w:rPr>
        <w:t>and</w:t>
      </w:r>
      <w:r>
        <w:rPr>
          <w:spacing w:val="-8"/>
          <w:sz w:val="22"/>
        </w:rPr>
        <w:t> </w:t>
      </w:r>
      <w:r>
        <w:rPr>
          <w:sz w:val="22"/>
        </w:rPr>
        <w:t>engagement</w:t>
      </w:r>
      <w:r>
        <w:rPr>
          <w:spacing w:val="-7"/>
          <w:sz w:val="22"/>
        </w:rPr>
        <w:t> </w:t>
      </w:r>
      <w:r>
        <w:rPr>
          <w:sz w:val="22"/>
        </w:rPr>
        <w:t>to</w:t>
      </w:r>
      <w:r>
        <w:rPr>
          <w:spacing w:val="-8"/>
          <w:sz w:val="22"/>
        </w:rPr>
        <w:t> </w:t>
      </w:r>
      <w:r>
        <w:rPr>
          <w:sz w:val="22"/>
        </w:rPr>
        <w:t>encourage</w:t>
      </w:r>
      <w:r>
        <w:rPr>
          <w:spacing w:val="-7"/>
          <w:sz w:val="22"/>
        </w:rPr>
        <w:t> </w:t>
      </w:r>
      <w:r>
        <w:rPr>
          <w:sz w:val="22"/>
        </w:rPr>
        <w:t>better</w:t>
      </w:r>
      <w:r>
        <w:rPr>
          <w:spacing w:val="-5"/>
          <w:sz w:val="22"/>
        </w:rPr>
        <w:t> </w:t>
      </w:r>
      <w:r>
        <w:rPr>
          <w:sz w:val="22"/>
        </w:rPr>
        <w:t>performance;</w:t>
      </w:r>
      <w:r>
        <w:rPr>
          <w:spacing w:val="-7"/>
          <w:sz w:val="22"/>
        </w:rPr>
        <w:t> </w:t>
      </w:r>
      <w:r>
        <w:rPr>
          <w:spacing w:val="-5"/>
          <w:sz w:val="22"/>
        </w:rPr>
        <w:t>and</w:t>
      </w:r>
    </w:p>
    <w:p>
      <w:pPr>
        <w:pStyle w:val="ListParagraph"/>
        <w:numPr>
          <w:ilvl w:val="0"/>
          <w:numId w:val="29"/>
        </w:numPr>
        <w:tabs>
          <w:tab w:pos="957" w:val="left" w:leader="none"/>
        </w:tabs>
        <w:spacing w:line="240" w:lineRule="auto" w:before="64" w:after="0"/>
        <w:ind w:left="957" w:right="0" w:hanging="357"/>
        <w:jc w:val="left"/>
        <w:rPr>
          <w:sz w:val="22"/>
        </w:rPr>
      </w:pPr>
      <w:r>
        <w:rPr>
          <w:sz w:val="22"/>
        </w:rPr>
        <w:t>responding</w:t>
      </w:r>
      <w:r>
        <w:rPr>
          <w:spacing w:val="-8"/>
          <w:sz w:val="22"/>
        </w:rPr>
        <w:t> </w:t>
      </w:r>
      <w:r>
        <w:rPr>
          <w:sz w:val="22"/>
        </w:rPr>
        <w:t>appropriately</w:t>
      </w:r>
      <w:r>
        <w:rPr>
          <w:spacing w:val="-10"/>
          <w:sz w:val="22"/>
        </w:rPr>
        <w:t> </w:t>
      </w:r>
      <w:r>
        <w:rPr>
          <w:sz w:val="22"/>
        </w:rPr>
        <w:t>to</w:t>
      </w:r>
      <w:r>
        <w:rPr>
          <w:spacing w:val="-9"/>
          <w:sz w:val="22"/>
        </w:rPr>
        <w:t> </w:t>
      </w:r>
      <w:r>
        <w:rPr>
          <w:spacing w:val="-2"/>
          <w:sz w:val="22"/>
        </w:rPr>
        <w:t>noncompliance.</w:t>
      </w:r>
    </w:p>
    <w:p>
      <w:pPr>
        <w:spacing w:after="0" w:line="240" w:lineRule="auto"/>
        <w:jc w:val="left"/>
        <w:rPr>
          <w:sz w:val="22"/>
        </w:rPr>
        <w:sectPr>
          <w:pgSz w:w="11910" w:h="16840"/>
          <w:pgMar w:header="887" w:footer="1286" w:top="1080" w:bottom="1500" w:left="840" w:right="820"/>
        </w:sectPr>
      </w:pPr>
    </w:p>
    <w:p>
      <w:pPr>
        <w:pStyle w:val="BodyText"/>
        <w:rPr>
          <w:sz w:val="20"/>
        </w:rPr>
      </w:pPr>
    </w:p>
    <w:p>
      <w:pPr>
        <w:pStyle w:val="BodyText"/>
        <w:rPr>
          <w:sz w:val="20"/>
        </w:rPr>
      </w:pPr>
    </w:p>
    <w:p>
      <w:pPr>
        <w:pStyle w:val="BodyText"/>
        <w:spacing w:before="5"/>
      </w:pPr>
    </w:p>
    <w:p>
      <w:pPr>
        <w:pStyle w:val="Heading6"/>
        <w:ind w:left="600"/>
      </w:pPr>
      <w:r>
        <w:rPr>
          <w:spacing w:val="-2"/>
        </w:rPr>
        <w:t>Regulatory</w:t>
      </w:r>
      <w:r>
        <w:rPr>
          <w:spacing w:val="-4"/>
        </w:rPr>
        <w:t> </w:t>
      </w:r>
      <w:r>
        <w:rPr>
          <w:spacing w:val="-2"/>
        </w:rPr>
        <w:t>approach</w:t>
      </w:r>
    </w:p>
    <w:p>
      <w:pPr>
        <w:pStyle w:val="BodyText"/>
        <w:spacing w:line="288" w:lineRule="auto" w:before="175"/>
        <w:ind w:left="600" w:right="713"/>
      </w:pPr>
      <w:r>
        <w:rPr/>
        <w:t>For its compliance and enforcement approach to be effective, a regulator should have a range of tools, from education at one end, through to stronger measures such as prosecution and revocation of licence to operate at the other. With a range of options, the regulator</w:t>
      </w:r>
      <w:r>
        <w:rPr>
          <w:spacing w:val="-3"/>
        </w:rPr>
        <w:t> </w:t>
      </w:r>
      <w:r>
        <w:rPr/>
        <w:t>can</w:t>
      </w:r>
      <w:r>
        <w:rPr>
          <w:spacing w:val="-2"/>
        </w:rPr>
        <w:t> </w:t>
      </w:r>
      <w:r>
        <w:rPr/>
        <w:t>develop</w:t>
      </w:r>
      <w:r>
        <w:rPr>
          <w:spacing w:val="-2"/>
        </w:rPr>
        <w:t> </w:t>
      </w:r>
      <w:r>
        <w:rPr/>
        <w:t>and</w:t>
      </w:r>
      <w:r>
        <w:rPr>
          <w:spacing w:val="-2"/>
        </w:rPr>
        <w:t> </w:t>
      </w:r>
      <w:r>
        <w:rPr/>
        <w:t>apply</w:t>
      </w:r>
      <w:r>
        <w:rPr>
          <w:spacing w:val="-4"/>
        </w:rPr>
        <w:t> </w:t>
      </w:r>
      <w:r>
        <w:rPr/>
        <w:t>its</w:t>
      </w:r>
      <w:r>
        <w:rPr>
          <w:spacing w:val="-1"/>
        </w:rPr>
        <w:t> </w:t>
      </w:r>
      <w:r>
        <w:rPr/>
        <w:t>policies</w:t>
      </w:r>
      <w:r>
        <w:rPr>
          <w:spacing w:val="-2"/>
        </w:rPr>
        <w:t> </w:t>
      </w:r>
      <w:r>
        <w:rPr/>
        <w:t>to</w:t>
      </w:r>
      <w:r>
        <w:rPr>
          <w:spacing w:val="-4"/>
        </w:rPr>
        <w:t> </w:t>
      </w:r>
      <w:r>
        <w:rPr/>
        <w:t>select</w:t>
      </w:r>
      <w:r>
        <w:rPr>
          <w:spacing w:val="-3"/>
        </w:rPr>
        <w:t> </w:t>
      </w:r>
      <w:r>
        <w:rPr/>
        <w:t>the</w:t>
      </w:r>
      <w:r>
        <w:rPr>
          <w:spacing w:val="-4"/>
        </w:rPr>
        <w:t> </w:t>
      </w:r>
      <w:r>
        <w:rPr/>
        <w:t>most appropriate</w:t>
      </w:r>
      <w:r>
        <w:rPr>
          <w:spacing w:val="-6"/>
        </w:rPr>
        <w:t> </w:t>
      </w:r>
      <w:r>
        <w:rPr/>
        <w:t>tool(s)</w:t>
      </w:r>
      <w:r>
        <w:rPr>
          <w:spacing w:val="-3"/>
        </w:rPr>
        <w:t> </w:t>
      </w:r>
      <w:r>
        <w:rPr/>
        <w:t>to</w:t>
      </w:r>
      <w:r>
        <w:rPr>
          <w:spacing w:val="-4"/>
        </w:rPr>
        <w:t> </w:t>
      </w:r>
      <w:r>
        <w:rPr/>
        <w:t>improve performance and deter noncompliance.</w:t>
      </w:r>
    </w:p>
    <w:p>
      <w:pPr>
        <w:pStyle w:val="BodyText"/>
        <w:rPr>
          <w:sz w:val="21"/>
        </w:rPr>
      </w:pPr>
    </w:p>
    <w:p>
      <w:pPr>
        <w:spacing w:line="288" w:lineRule="auto" w:before="0"/>
        <w:ind w:left="600" w:right="629" w:firstLine="0"/>
        <w:jc w:val="left"/>
        <w:rPr>
          <w:sz w:val="22"/>
        </w:rPr>
      </w:pPr>
      <w:r>
        <w:rPr>
          <w:sz w:val="22"/>
        </w:rPr>
        <w:t>Effectiveness of regulation is not</w:t>
      </w:r>
      <w:r>
        <w:rPr>
          <w:spacing w:val="-1"/>
          <w:sz w:val="22"/>
        </w:rPr>
        <w:t> </w:t>
      </w:r>
      <w:r>
        <w:rPr>
          <w:sz w:val="22"/>
        </w:rPr>
        <w:t>only</w:t>
      </w:r>
      <w:r>
        <w:rPr>
          <w:spacing w:val="-2"/>
          <w:sz w:val="22"/>
        </w:rPr>
        <w:t> </w:t>
      </w:r>
      <w:r>
        <w:rPr>
          <w:sz w:val="22"/>
        </w:rPr>
        <w:t>dependent</w:t>
      </w:r>
      <w:r>
        <w:rPr>
          <w:spacing w:val="-1"/>
          <w:sz w:val="22"/>
        </w:rPr>
        <w:t> </w:t>
      </w:r>
      <w:r>
        <w:rPr>
          <w:sz w:val="22"/>
        </w:rPr>
        <w:t>on</w:t>
      </w:r>
      <w:r>
        <w:rPr>
          <w:spacing w:val="-2"/>
          <w:sz w:val="22"/>
        </w:rPr>
        <w:t> </w:t>
      </w:r>
      <w:r>
        <w:rPr>
          <w:sz w:val="22"/>
        </w:rPr>
        <w:t>the design</w:t>
      </w:r>
      <w:r>
        <w:rPr>
          <w:spacing w:val="-2"/>
          <w:sz w:val="22"/>
        </w:rPr>
        <w:t> </w:t>
      </w:r>
      <w:r>
        <w:rPr>
          <w:sz w:val="22"/>
        </w:rPr>
        <w:t>of the</w:t>
      </w:r>
      <w:r>
        <w:rPr>
          <w:spacing w:val="-2"/>
          <w:sz w:val="22"/>
        </w:rPr>
        <w:t> </w:t>
      </w:r>
      <w:r>
        <w:rPr>
          <w:sz w:val="22"/>
        </w:rPr>
        <w:t>regulation, but</w:t>
      </w:r>
      <w:r>
        <w:rPr>
          <w:spacing w:val="-1"/>
          <w:sz w:val="22"/>
        </w:rPr>
        <w:t> </w:t>
      </w:r>
      <w:r>
        <w:rPr>
          <w:sz w:val="22"/>
        </w:rPr>
        <w:t>also on a</w:t>
      </w:r>
      <w:r>
        <w:rPr>
          <w:spacing w:val="-2"/>
          <w:sz w:val="22"/>
        </w:rPr>
        <w:t> </w:t>
      </w:r>
      <w:r>
        <w:rPr>
          <w:sz w:val="22"/>
        </w:rPr>
        <w:t>clear</w:t>
      </w:r>
      <w:r>
        <w:rPr>
          <w:spacing w:val="-1"/>
          <w:sz w:val="22"/>
        </w:rPr>
        <w:t> </w:t>
      </w:r>
      <w:r>
        <w:rPr>
          <w:sz w:val="22"/>
        </w:rPr>
        <w:t>and</w:t>
      </w:r>
      <w:r>
        <w:rPr>
          <w:spacing w:val="-4"/>
          <w:sz w:val="22"/>
        </w:rPr>
        <w:t> </w:t>
      </w:r>
      <w:r>
        <w:rPr>
          <w:sz w:val="22"/>
        </w:rPr>
        <w:t>tailored</w:t>
      </w:r>
      <w:r>
        <w:rPr>
          <w:spacing w:val="-4"/>
          <w:sz w:val="22"/>
        </w:rPr>
        <w:t> </w:t>
      </w:r>
      <w:r>
        <w:rPr>
          <w:sz w:val="22"/>
        </w:rPr>
        <w:t>compliance</w:t>
      </w:r>
      <w:r>
        <w:rPr>
          <w:spacing w:val="-2"/>
          <w:sz w:val="22"/>
        </w:rPr>
        <w:t> </w:t>
      </w:r>
      <w:r>
        <w:rPr>
          <w:sz w:val="22"/>
        </w:rPr>
        <w:t>and</w:t>
      </w:r>
      <w:r>
        <w:rPr>
          <w:spacing w:val="-2"/>
          <w:sz w:val="22"/>
        </w:rPr>
        <w:t> </w:t>
      </w:r>
      <w:r>
        <w:rPr>
          <w:sz w:val="22"/>
        </w:rPr>
        <w:t>enforcement</w:t>
      </w:r>
      <w:r>
        <w:rPr>
          <w:spacing w:val="-3"/>
          <w:sz w:val="22"/>
        </w:rPr>
        <w:t> </w:t>
      </w:r>
      <w:r>
        <w:rPr>
          <w:sz w:val="22"/>
        </w:rPr>
        <w:t>approach</w:t>
      </w:r>
      <w:r>
        <w:rPr>
          <w:spacing w:val="-4"/>
          <w:sz w:val="22"/>
        </w:rPr>
        <w:t> </w:t>
      </w:r>
      <w:r>
        <w:rPr>
          <w:sz w:val="22"/>
        </w:rPr>
        <w:t>that is</w:t>
      </w:r>
      <w:r>
        <w:rPr>
          <w:spacing w:val="-4"/>
          <w:sz w:val="22"/>
        </w:rPr>
        <w:t> </w:t>
      </w:r>
      <w:r>
        <w:rPr>
          <w:sz w:val="22"/>
        </w:rPr>
        <w:t>put</w:t>
      </w:r>
      <w:r>
        <w:rPr>
          <w:spacing w:val="-3"/>
          <w:sz w:val="22"/>
        </w:rPr>
        <w:t> </w:t>
      </w:r>
      <w:r>
        <w:rPr>
          <w:sz w:val="22"/>
        </w:rPr>
        <w:t>into</w:t>
      </w:r>
      <w:r>
        <w:rPr>
          <w:spacing w:val="-4"/>
          <w:sz w:val="22"/>
        </w:rPr>
        <w:t> </w:t>
      </w:r>
      <w:r>
        <w:rPr>
          <w:sz w:val="22"/>
        </w:rPr>
        <w:t>practice.</w:t>
      </w:r>
      <w:r>
        <w:rPr>
          <w:spacing w:val="-3"/>
          <w:sz w:val="22"/>
        </w:rPr>
        <w:t> </w:t>
      </w:r>
      <w:r>
        <w:rPr>
          <w:sz w:val="22"/>
        </w:rPr>
        <w:t>As</w:t>
      </w:r>
      <w:r>
        <w:rPr>
          <w:spacing w:val="-1"/>
          <w:sz w:val="22"/>
        </w:rPr>
        <w:t> </w:t>
      </w:r>
      <w:r>
        <w:rPr>
          <w:sz w:val="22"/>
        </w:rPr>
        <w:t>noted by</w:t>
      </w:r>
      <w:r>
        <w:rPr>
          <w:spacing w:val="-1"/>
          <w:sz w:val="22"/>
        </w:rPr>
        <w:t> </w:t>
      </w:r>
      <w:r>
        <w:rPr>
          <w:sz w:val="22"/>
        </w:rPr>
        <w:t>the Productivity</w:t>
      </w:r>
      <w:r>
        <w:rPr>
          <w:spacing w:val="-1"/>
          <w:sz w:val="22"/>
        </w:rPr>
        <w:t> </w:t>
      </w:r>
      <w:r>
        <w:rPr>
          <w:sz w:val="22"/>
        </w:rPr>
        <w:t>Commission: “</w:t>
      </w:r>
      <w:r>
        <w:rPr>
          <w:i/>
          <w:sz w:val="22"/>
        </w:rPr>
        <w:t>Even</w:t>
      </w:r>
      <w:r>
        <w:rPr>
          <w:i/>
          <w:spacing w:val="-1"/>
          <w:sz w:val="22"/>
        </w:rPr>
        <w:t> </w:t>
      </w:r>
      <w:r>
        <w:rPr>
          <w:i/>
          <w:sz w:val="22"/>
        </w:rPr>
        <w:t>where new or reformed regulation</w:t>
      </w:r>
      <w:r>
        <w:rPr>
          <w:i/>
          <w:spacing w:val="-1"/>
          <w:sz w:val="22"/>
        </w:rPr>
        <w:t> </w:t>
      </w:r>
      <w:r>
        <w:rPr>
          <w:i/>
          <w:sz w:val="22"/>
        </w:rPr>
        <w:t>is appropriate and well designed, poor enforcement practices can risk rendering it ineffective, or unduly burdensome, or both</w:t>
      </w:r>
      <w:r>
        <w:rPr>
          <w:sz w:val="22"/>
        </w:rPr>
        <w:t>” (Productivity Commission , 2011, pp. 14-15).</w:t>
      </w:r>
    </w:p>
    <w:p>
      <w:pPr>
        <w:pStyle w:val="BodyText"/>
        <w:spacing w:before="9"/>
        <w:rPr>
          <w:sz w:val="20"/>
        </w:rPr>
      </w:pPr>
    </w:p>
    <w:p>
      <w:pPr>
        <w:pStyle w:val="BodyText"/>
        <w:spacing w:line="288" w:lineRule="auto"/>
        <w:ind w:left="600" w:right="586"/>
      </w:pPr>
      <w:r>
        <w:rPr/>
        <w:t>Ayres</w:t>
      </w:r>
      <w:r>
        <w:rPr>
          <w:spacing w:val="-2"/>
        </w:rPr>
        <w:t> </w:t>
      </w:r>
      <w:r>
        <w:rPr/>
        <w:t>and</w:t>
      </w:r>
      <w:r>
        <w:rPr>
          <w:spacing w:val="-2"/>
        </w:rPr>
        <w:t> </w:t>
      </w:r>
      <w:r>
        <w:rPr/>
        <w:t>Braithwaite</w:t>
      </w:r>
      <w:r>
        <w:rPr>
          <w:spacing w:val="-2"/>
        </w:rPr>
        <w:t> </w:t>
      </w:r>
      <w:r>
        <w:rPr/>
        <w:t>explain</w:t>
      </w:r>
      <w:r>
        <w:rPr>
          <w:spacing w:val="-2"/>
        </w:rPr>
        <w:t> </w:t>
      </w:r>
      <w:r>
        <w:rPr/>
        <w:t>how</w:t>
      </w:r>
      <w:r>
        <w:rPr>
          <w:spacing w:val="-5"/>
        </w:rPr>
        <w:t> </w:t>
      </w:r>
      <w:r>
        <w:rPr/>
        <w:t>both</w:t>
      </w:r>
      <w:r>
        <w:rPr>
          <w:spacing w:val="-2"/>
        </w:rPr>
        <w:t> </w:t>
      </w:r>
      <w:r>
        <w:rPr/>
        <w:t>cooperative</w:t>
      </w:r>
      <w:r>
        <w:rPr>
          <w:spacing w:val="-2"/>
        </w:rPr>
        <w:t> </w:t>
      </w:r>
      <w:r>
        <w:rPr/>
        <w:t>and</w:t>
      </w:r>
      <w:r>
        <w:rPr>
          <w:spacing w:val="-2"/>
        </w:rPr>
        <w:t> </w:t>
      </w:r>
      <w:r>
        <w:rPr/>
        <w:t>deterrent</w:t>
      </w:r>
      <w:r>
        <w:rPr>
          <w:spacing w:val="-3"/>
        </w:rPr>
        <w:t> </w:t>
      </w:r>
      <w:r>
        <w:rPr/>
        <w:t>activities</w:t>
      </w:r>
      <w:r>
        <w:rPr>
          <w:spacing w:val="-1"/>
        </w:rPr>
        <w:t> </w:t>
      </w:r>
      <w:r>
        <w:rPr/>
        <w:t>can</w:t>
      </w:r>
      <w:r>
        <w:rPr>
          <w:spacing w:val="-2"/>
        </w:rPr>
        <w:t> </w:t>
      </w:r>
      <w:r>
        <w:rPr/>
        <w:t>be</w:t>
      </w:r>
      <w:r>
        <w:rPr>
          <w:spacing w:val="-4"/>
        </w:rPr>
        <w:t> </w:t>
      </w:r>
      <w:r>
        <w:rPr/>
        <w:t>used</w:t>
      </w:r>
      <w:r>
        <w:rPr>
          <w:spacing w:val="-4"/>
        </w:rPr>
        <w:t> </w:t>
      </w:r>
      <w:r>
        <w:rPr/>
        <w:t>by the regulator through a responsive approach in Figure 9. Under their model, persuasive techniques are used in the first instance, with more punitive responses where the desired behaviour is not achieved.</w:t>
      </w:r>
    </w:p>
    <w:p>
      <w:pPr>
        <w:pStyle w:val="BodyText"/>
        <w:spacing w:before="4"/>
        <w:rPr>
          <w:sz w:val="31"/>
        </w:rPr>
      </w:pPr>
    </w:p>
    <w:p>
      <w:pPr>
        <w:pStyle w:val="Heading7"/>
        <w:ind w:left="600"/>
      </w:pPr>
      <w:r>
        <w:rPr/>
        <w:t>Figure</w:t>
      </w:r>
      <w:r>
        <w:rPr>
          <w:spacing w:val="-5"/>
        </w:rPr>
        <w:t> </w:t>
      </w:r>
      <w:r>
        <w:rPr/>
        <w:t>9:</w:t>
      </w:r>
      <w:r>
        <w:rPr>
          <w:spacing w:val="-3"/>
        </w:rPr>
        <w:t> </w:t>
      </w:r>
      <w:r>
        <w:rPr/>
        <w:t>How cooperative</w:t>
      </w:r>
      <w:r>
        <w:rPr>
          <w:spacing w:val="-4"/>
        </w:rPr>
        <w:t> </w:t>
      </w:r>
      <w:r>
        <w:rPr/>
        <w:t>and</w:t>
      </w:r>
      <w:r>
        <w:rPr>
          <w:spacing w:val="-4"/>
        </w:rPr>
        <w:t> </w:t>
      </w:r>
      <w:r>
        <w:rPr/>
        <w:t>deterrent</w:t>
      </w:r>
      <w:r>
        <w:rPr>
          <w:spacing w:val="-5"/>
        </w:rPr>
        <w:t> </w:t>
      </w:r>
      <w:r>
        <w:rPr/>
        <w:t>activities</w:t>
      </w:r>
      <w:r>
        <w:rPr>
          <w:spacing w:val="-6"/>
        </w:rPr>
        <w:t> </w:t>
      </w:r>
      <w:r>
        <w:rPr/>
        <w:t>can</w:t>
      </w:r>
      <w:r>
        <w:rPr>
          <w:spacing w:val="-4"/>
        </w:rPr>
        <w:t> </w:t>
      </w:r>
      <w:r>
        <w:rPr/>
        <w:t>be</w:t>
      </w:r>
      <w:r>
        <w:rPr>
          <w:spacing w:val="-5"/>
        </w:rPr>
        <w:t> </w:t>
      </w:r>
      <w:r>
        <w:rPr/>
        <w:t>used</w:t>
      </w:r>
      <w:r>
        <w:rPr>
          <w:spacing w:val="-4"/>
        </w:rPr>
        <w:t> </w:t>
      </w:r>
      <w:r>
        <w:rPr/>
        <w:t>by</w:t>
      </w:r>
      <w:r>
        <w:rPr>
          <w:spacing w:val="-9"/>
        </w:rPr>
        <w:t> </w:t>
      </w:r>
      <w:r>
        <w:rPr/>
        <w:t>the</w:t>
      </w:r>
      <w:r>
        <w:rPr>
          <w:spacing w:val="-3"/>
        </w:rPr>
        <w:t> </w:t>
      </w:r>
      <w:r>
        <w:rPr>
          <w:spacing w:val="-2"/>
        </w:rPr>
        <w:t>regulator</w:t>
      </w:r>
    </w:p>
    <w:p>
      <w:pPr>
        <w:pStyle w:val="BodyText"/>
        <w:rPr>
          <w:b/>
          <w:sz w:val="20"/>
        </w:rPr>
      </w:pPr>
    </w:p>
    <w:p>
      <w:pPr>
        <w:pStyle w:val="BodyText"/>
        <w:rPr>
          <w:b/>
          <w:sz w:val="11"/>
        </w:rPr>
      </w:pPr>
      <w:r>
        <w:rPr/>
        <w:drawing>
          <wp:anchor distT="0" distB="0" distL="0" distR="0" allowOverlap="1" layoutInCell="1" locked="0" behindDoc="1" simplePos="0" relativeHeight="487608320">
            <wp:simplePos x="0" y="0"/>
            <wp:positionH relativeFrom="page">
              <wp:posOffset>1246347</wp:posOffset>
            </wp:positionH>
            <wp:positionV relativeFrom="paragraph">
              <wp:posOffset>95688</wp:posOffset>
            </wp:positionV>
            <wp:extent cx="5219557" cy="2548128"/>
            <wp:effectExtent l="0" t="0" r="0" b="0"/>
            <wp:wrapTopAndBottom/>
            <wp:docPr id="91" name="Image 91" descr="C:\Users\rb2f\AppData\Local\Microsoft\Windows\Temporary Internet Files\Content.Word\Fig9.ActivitiesUsedByRegulator.jpg"/>
            <wp:cNvGraphicFramePr>
              <a:graphicFrameLocks/>
            </wp:cNvGraphicFramePr>
            <a:graphic>
              <a:graphicData uri="http://schemas.openxmlformats.org/drawingml/2006/picture">
                <pic:pic>
                  <pic:nvPicPr>
                    <pic:cNvPr id="91" name="Image 91" descr="C:\Users\rb2f\AppData\Local\Microsoft\Windows\Temporary Internet Files\Content.Word\Fig9.ActivitiesUsedByRegulator.jpg"/>
                    <pic:cNvPicPr/>
                  </pic:nvPicPr>
                  <pic:blipFill>
                    <a:blip r:embed="rId62" cstate="print"/>
                    <a:stretch>
                      <a:fillRect/>
                    </a:stretch>
                  </pic:blipFill>
                  <pic:spPr>
                    <a:xfrm>
                      <a:off x="0" y="0"/>
                      <a:ext cx="5219557" cy="2548128"/>
                    </a:xfrm>
                    <a:prstGeom prst="rect">
                      <a:avLst/>
                    </a:prstGeom>
                  </pic:spPr>
                </pic:pic>
              </a:graphicData>
            </a:graphic>
          </wp:anchor>
        </w:drawing>
      </w:r>
    </w:p>
    <w:p>
      <w:pPr>
        <w:pStyle w:val="BodyText"/>
        <w:spacing w:before="5"/>
        <w:rPr>
          <w:b/>
          <w:sz w:val="25"/>
        </w:rPr>
      </w:pPr>
    </w:p>
    <w:p>
      <w:pPr>
        <w:spacing w:before="0"/>
        <w:ind w:left="600" w:right="0" w:firstLine="0"/>
        <w:jc w:val="left"/>
        <w:rPr>
          <w:sz w:val="18"/>
        </w:rPr>
      </w:pPr>
      <w:r>
        <w:rPr>
          <w:sz w:val="18"/>
        </w:rPr>
        <w:t>Source:</w:t>
      </w:r>
      <w:r>
        <w:rPr>
          <w:spacing w:val="-3"/>
          <w:sz w:val="18"/>
        </w:rPr>
        <w:t> </w:t>
      </w:r>
      <w:r>
        <w:rPr>
          <w:sz w:val="18"/>
        </w:rPr>
        <w:t>Adapted</w:t>
      </w:r>
      <w:r>
        <w:rPr>
          <w:spacing w:val="-6"/>
          <w:sz w:val="18"/>
        </w:rPr>
        <w:t> </w:t>
      </w:r>
      <w:r>
        <w:rPr>
          <w:sz w:val="18"/>
        </w:rPr>
        <w:t>from</w:t>
      </w:r>
      <w:r>
        <w:rPr>
          <w:spacing w:val="-3"/>
          <w:sz w:val="18"/>
        </w:rPr>
        <w:t> </w:t>
      </w:r>
      <w:r>
        <w:rPr>
          <w:sz w:val="18"/>
        </w:rPr>
        <w:t>The</w:t>
      </w:r>
      <w:r>
        <w:rPr>
          <w:spacing w:val="-4"/>
          <w:sz w:val="18"/>
        </w:rPr>
        <w:t> </w:t>
      </w:r>
      <w:r>
        <w:rPr>
          <w:sz w:val="18"/>
        </w:rPr>
        <w:t>New</w:t>
      </w:r>
      <w:r>
        <w:rPr>
          <w:spacing w:val="-7"/>
          <w:sz w:val="18"/>
        </w:rPr>
        <w:t> </w:t>
      </w:r>
      <w:r>
        <w:rPr>
          <w:sz w:val="18"/>
        </w:rPr>
        <w:t>Zealand</w:t>
      </w:r>
      <w:r>
        <w:rPr>
          <w:spacing w:val="-3"/>
          <w:sz w:val="18"/>
        </w:rPr>
        <w:t> </w:t>
      </w:r>
      <w:r>
        <w:rPr>
          <w:sz w:val="18"/>
        </w:rPr>
        <w:t>Productivity</w:t>
      </w:r>
      <w:r>
        <w:rPr>
          <w:spacing w:val="-5"/>
          <w:sz w:val="18"/>
        </w:rPr>
        <w:t> </w:t>
      </w:r>
      <w:r>
        <w:rPr>
          <w:sz w:val="18"/>
        </w:rPr>
        <w:t>Commission</w:t>
      </w:r>
      <w:r>
        <w:rPr>
          <w:spacing w:val="-3"/>
          <w:sz w:val="18"/>
        </w:rPr>
        <w:t> </w:t>
      </w:r>
      <w:r>
        <w:rPr>
          <w:sz w:val="18"/>
        </w:rPr>
        <w:t>(2014,</w:t>
      </w:r>
      <w:r>
        <w:rPr>
          <w:spacing w:val="-6"/>
          <w:sz w:val="18"/>
        </w:rPr>
        <w:t> </w:t>
      </w:r>
      <w:r>
        <w:rPr>
          <w:sz w:val="18"/>
        </w:rPr>
        <w:t>p.</w:t>
      </w:r>
      <w:r>
        <w:rPr>
          <w:spacing w:val="-4"/>
          <w:sz w:val="18"/>
        </w:rPr>
        <w:t> </w:t>
      </w:r>
      <w:r>
        <w:rPr>
          <w:spacing w:val="-5"/>
          <w:sz w:val="18"/>
        </w:rPr>
        <w:t>56)</w:t>
      </w:r>
    </w:p>
    <w:p>
      <w:pPr>
        <w:pStyle w:val="BodyText"/>
        <w:rPr>
          <w:sz w:val="20"/>
        </w:rPr>
      </w:pPr>
    </w:p>
    <w:p>
      <w:pPr>
        <w:pStyle w:val="BodyText"/>
        <w:spacing w:before="171"/>
        <w:ind w:left="600"/>
      </w:pPr>
      <w:r>
        <w:rPr/>
        <w:t>Under</w:t>
      </w:r>
      <w:r>
        <w:rPr>
          <w:spacing w:val="-7"/>
        </w:rPr>
        <w:t> </w:t>
      </w:r>
      <w:r>
        <w:rPr/>
        <w:t>a</w:t>
      </w:r>
      <w:r>
        <w:rPr>
          <w:spacing w:val="-7"/>
        </w:rPr>
        <w:t> </w:t>
      </w:r>
      <w:r>
        <w:rPr/>
        <w:t>risk-based</w:t>
      </w:r>
      <w:r>
        <w:rPr>
          <w:spacing w:val="-5"/>
        </w:rPr>
        <w:t> </w:t>
      </w:r>
      <w:r>
        <w:rPr/>
        <w:t>approach,</w:t>
      </w:r>
      <w:r>
        <w:rPr>
          <w:spacing w:val="-5"/>
        </w:rPr>
        <w:t> </w:t>
      </w:r>
      <w:r>
        <w:rPr/>
        <w:t>responses</w:t>
      </w:r>
      <w:r>
        <w:rPr>
          <w:spacing w:val="-7"/>
        </w:rPr>
        <w:t> </w:t>
      </w:r>
      <w:r>
        <w:rPr/>
        <w:t>are</w:t>
      </w:r>
      <w:r>
        <w:rPr>
          <w:spacing w:val="-7"/>
        </w:rPr>
        <w:t> </w:t>
      </w:r>
      <w:r>
        <w:rPr/>
        <w:t>targeted</w:t>
      </w:r>
      <w:r>
        <w:rPr>
          <w:spacing w:val="-5"/>
        </w:rPr>
        <w:t> </w:t>
      </w:r>
      <w:r>
        <w:rPr/>
        <w:t>based</w:t>
      </w:r>
      <w:r>
        <w:rPr>
          <w:spacing w:val="-7"/>
        </w:rPr>
        <w:t> </w:t>
      </w:r>
      <w:r>
        <w:rPr/>
        <w:t>on</w:t>
      </w:r>
      <w:r>
        <w:rPr>
          <w:spacing w:val="-5"/>
        </w:rPr>
        <w:t> </w:t>
      </w:r>
      <w:r>
        <w:rPr/>
        <w:t>assessed</w:t>
      </w:r>
      <w:r>
        <w:rPr>
          <w:spacing w:val="-8"/>
        </w:rPr>
        <w:t> </w:t>
      </w:r>
      <w:r>
        <w:rPr>
          <w:spacing w:val="-2"/>
        </w:rPr>
        <w:t>risk.</w:t>
      </w:r>
    </w:p>
    <w:p>
      <w:pPr>
        <w:pStyle w:val="BodyText"/>
        <w:spacing w:before="5"/>
        <w:rPr>
          <w:sz w:val="25"/>
        </w:rPr>
      </w:pPr>
    </w:p>
    <w:p>
      <w:pPr>
        <w:pStyle w:val="BodyText"/>
        <w:spacing w:line="288" w:lineRule="auto"/>
        <w:ind w:left="600" w:right="586"/>
      </w:pPr>
      <w:r>
        <w:rPr/>
        <w:t>In his report, </w:t>
      </w:r>
      <w:r>
        <w:rPr>
          <w:i/>
        </w:rPr>
        <w:t>Compliance, Enforcement, and Regulatory Excellence, </w:t>
      </w:r>
      <w:r>
        <w:rPr/>
        <w:t>Gunningham outlines various approaches and suggests different strategies can be applied and used in combination,</w:t>
      </w:r>
      <w:r>
        <w:rPr>
          <w:spacing w:val="-3"/>
        </w:rPr>
        <w:t> </w:t>
      </w:r>
      <w:r>
        <w:rPr/>
        <w:t>according</w:t>
      </w:r>
      <w:r>
        <w:rPr>
          <w:spacing w:val="-2"/>
        </w:rPr>
        <w:t> </w:t>
      </w:r>
      <w:r>
        <w:rPr/>
        <w:t>to</w:t>
      </w:r>
      <w:r>
        <w:rPr>
          <w:spacing w:val="-2"/>
        </w:rPr>
        <w:t> </w:t>
      </w:r>
      <w:r>
        <w:rPr/>
        <w:t>their</w:t>
      </w:r>
      <w:r>
        <w:rPr>
          <w:spacing w:val="-3"/>
        </w:rPr>
        <w:t> </w:t>
      </w:r>
      <w:r>
        <w:rPr/>
        <w:t>suitability</w:t>
      </w:r>
      <w:r>
        <w:rPr>
          <w:spacing w:val="-4"/>
        </w:rPr>
        <w:t> </w:t>
      </w:r>
      <w:r>
        <w:rPr/>
        <w:t>to</w:t>
      </w:r>
      <w:r>
        <w:rPr>
          <w:spacing w:val="-4"/>
        </w:rPr>
        <w:t> </w:t>
      </w:r>
      <w:r>
        <w:rPr/>
        <w:t>regulatory</w:t>
      </w:r>
      <w:r>
        <w:rPr>
          <w:spacing w:val="-4"/>
        </w:rPr>
        <w:t> </w:t>
      </w:r>
      <w:r>
        <w:rPr/>
        <w:t>contexts</w:t>
      </w:r>
      <w:r>
        <w:rPr>
          <w:spacing w:val="-1"/>
        </w:rPr>
        <w:t> </w:t>
      </w:r>
      <w:r>
        <w:rPr/>
        <w:t>(Gunningham,</w:t>
      </w:r>
      <w:r>
        <w:rPr>
          <w:spacing w:val="-2"/>
        </w:rPr>
        <w:t> </w:t>
      </w:r>
      <w:r>
        <w:rPr/>
        <w:t>2015,</w:t>
      </w:r>
      <w:r>
        <w:rPr>
          <w:spacing w:val="-3"/>
        </w:rPr>
        <w:t> </w:t>
      </w:r>
      <w:r>
        <w:rPr/>
        <w:t>p.</w:t>
      </w:r>
      <w:r>
        <w:rPr>
          <w:spacing w:val="-3"/>
        </w:rPr>
        <w:t> </w:t>
      </w:r>
      <w:r>
        <w:rPr/>
        <w:t>13).</w:t>
      </w:r>
    </w:p>
    <w:p>
      <w:pPr>
        <w:spacing w:after="0" w:line="288" w:lineRule="auto"/>
        <w:sectPr>
          <w:pgSz w:w="11910" w:h="16840"/>
          <w:pgMar w:header="887" w:footer="1286" w:top="1080" w:bottom="1500" w:left="840" w:right="820"/>
        </w:sectPr>
      </w:pPr>
    </w:p>
    <w:p>
      <w:pPr>
        <w:pStyle w:val="BodyText"/>
        <w:rPr>
          <w:sz w:val="20"/>
        </w:rPr>
      </w:pPr>
    </w:p>
    <w:p>
      <w:pPr>
        <w:pStyle w:val="BodyText"/>
        <w:rPr>
          <w:sz w:val="20"/>
        </w:rPr>
      </w:pPr>
    </w:p>
    <w:p>
      <w:pPr>
        <w:pStyle w:val="BodyText"/>
        <w:spacing w:before="5"/>
      </w:pPr>
    </w:p>
    <w:p>
      <w:pPr>
        <w:pStyle w:val="Heading6"/>
        <w:ind w:left="600"/>
      </w:pPr>
      <w:r>
        <w:rPr/>
        <w:t>Audit</w:t>
      </w:r>
      <w:r>
        <w:rPr>
          <w:spacing w:val="-4"/>
        </w:rPr>
        <w:t> </w:t>
      </w:r>
      <w:r>
        <w:rPr/>
        <w:t>and</w:t>
      </w:r>
      <w:r>
        <w:rPr>
          <w:spacing w:val="-3"/>
        </w:rPr>
        <w:t> </w:t>
      </w:r>
      <w:r>
        <w:rPr>
          <w:spacing w:val="-2"/>
        </w:rPr>
        <w:t>inspections</w:t>
      </w:r>
    </w:p>
    <w:p>
      <w:pPr>
        <w:pStyle w:val="BodyText"/>
        <w:spacing w:line="288" w:lineRule="auto" w:before="175"/>
        <w:ind w:left="600" w:right="586"/>
      </w:pPr>
      <w:r>
        <w:rPr/>
        <w:t>Targeted and extensive audit and inspection programs give the regulator and businesses confidence that systems continue to work in practice, based on an accepted safety case. They</w:t>
      </w:r>
      <w:r>
        <w:rPr>
          <w:spacing w:val="-4"/>
        </w:rPr>
        <w:t> </w:t>
      </w:r>
      <w:r>
        <w:rPr/>
        <w:t>require</w:t>
      </w:r>
      <w:r>
        <w:rPr>
          <w:spacing w:val="-4"/>
        </w:rPr>
        <w:t> </w:t>
      </w:r>
      <w:r>
        <w:rPr/>
        <w:t>a</w:t>
      </w:r>
      <w:r>
        <w:rPr>
          <w:spacing w:val="-4"/>
        </w:rPr>
        <w:t> </w:t>
      </w:r>
      <w:r>
        <w:rPr/>
        <w:t>significant level of activity</w:t>
      </w:r>
      <w:r>
        <w:rPr>
          <w:spacing w:val="-4"/>
        </w:rPr>
        <w:t> </w:t>
      </w:r>
      <w:r>
        <w:rPr/>
        <w:t>and</w:t>
      </w:r>
      <w:r>
        <w:rPr>
          <w:spacing w:val="-2"/>
        </w:rPr>
        <w:t> </w:t>
      </w:r>
      <w:r>
        <w:rPr/>
        <w:t>expertise</w:t>
      </w:r>
      <w:r>
        <w:rPr>
          <w:spacing w:val="-2"/>
        </w:rPr>
        <w:t> </w:t>
      </w:r>
      <w:r>
        <w:rPr/>
        <w:t>to</w:t>
      </w:r>
      <w:r>
        <w:rPr>
          <w:spacing w:val="-2"/>
        </w:rPr>
        <w:t> </w:t>
      </w:r>
      <w:r>
        <w:rPr/>
        <w:t>determine</w:t>
      </w:r>
      <w:r>
        <w:rPr>
          <w:spacing w:val="-2"/>
        </w:rPr>
        <w:t> </w:t>
      </w:r>
      <w:r>
        <w:rPr/>
        <w:t>whether</w:t>
      </w:r>
      <w:r>
        <w:rPr>
          <w:spacing w:val="-3"/>
        </w:rPr>
        <w:t> </w:t>
      </w:r>
      <w:r>
        <w:rPr/>
        <w:t>the</w:t>
      </w:r>
      <w:r>
        <w:rPr>
          <w:spacing w:val="-2"/>
        </w:rPr>
        <w:t> </w:t>
      </w:r>
      <w:r>
        <w:rPr/>
        <w:t>safety</w:t>
      </w:r>
      <w:r>
        <w:rPr>
          <w:spacing w:val="-3"/>
        </w:rPr>
        <w:t> </w:t>
      </w:r>
      <w:r>
        <w:rPr/>
        <w:t>case is achieving desired outcomes, rather than a simple desktop compliance process.</w:t>
      </w:r>
    </w:p>
    <w:p>
      <w:pPr>
        <w:pStyle w:val="BodyText"/>
        <w:rPr>
          <w:sz w:val="24"/>
        </w:rPr>
      </w:pPr>
    </w:p>
    <w:p>
      <w:pPr>
        <w:pStyle w:val="Heading6"/>
        <w:spacing w:before="145"/>
        <w:ind w:left="600"/>
      </w:pPr>
      <w:r>
        <w:rPr/>
        <w:t>Workforce</w:t>
      </w:r>
      <w:r>
        <w:rPr>
          <w:spacing w:val="-5"/>
        </w:rPr>
        <w:t> </w:t>
      </w:r>
      <w:r>
        <w:rPr>
          <w:spacing w:val="-2"/>
        </w:rPr>
        <w:t>engagement</w:t>
      </w:r>
    </w:p>
    <w:p>
      <w:pPr>
        <w:pStyle w:val="BodyText"/>
        <w:spacing w:line="288" w:lineRule="auto" w:before="174"/>
        <w:ind w:left="600" w:right="900"/>
      </w:pPr>
      <w:r>
        <w:rPr/>
        <w:t>Worker involvement in safety case development enables input from all levels, promotes business-wide understanding of the approach to safety to be followed, and the implementation</w:t>
      </w:r>
      <w:r>
        <w:rPr>
          <w:spacing w:val="-3"/>
        </w:rPr>
        <w:t> </w:t>
      </w:r>
      <w:r>
        <w:rPr/>
        <w:t>of</w:t>
      </w:r>
      <w:r>
        <w:rPr>
          <w:spacing w:val="-1"/>
        </w:rPr>
        <w:t> </w:t>
      </w:r>
      <w:r>
        <w:rPr/>
        <w:t>the</w:t>
      </w:r>
      <w:r>
        <w:rPr>
          <w:spacing w:val="-3"/>
        </w:rPr>
        <w:t> </w:t>
      </w:r>
      <w:r>
        <w:rPr/>
        <w:t>safety</w:t>
      </w:r>
      <w:r>
        <w:rPr>
          <w:spacing w:val="-4"/>
        </w:rPr>
        <w:t> </w:t>
      </w:r>
      <w:r>
        <w:rPr/>
        <w:t>case</w:t>
      </w:r>
      <w:r>
        <w:rPr>
          <w:spacing w:val="-5"/>
        </w:rPr>
        <w:t> </w:t>
      </w:r>
      <w:r>
        <w:rPr/>
        <w:t>can</w:t>
      </w:r>
      <w:r>
        <w:rPr>
          <w:spacing w:val="-3"/>
        </w:rPr>
        <w:t> </w:t>
      </w:r>
      <w:r>
        <w:rPr/>
        <w:t>be</w:t>
      </w:r>
      <w:r>
        <w:rPr>
          <w:spacing w:val="-5"/>
        </w:rPr>
        <w:t> </w:t>
      </w:r>
      <w:r>
        <w:rPr/>
        <w:t>challenged</w:t>
      </w:r>
      <w:r>
        <w:rPr>
          <w:spacing w:val="-5"/>
        </w:rPr>
        <w:t> </w:t>
      </w:r>
      <w:r>
        <w:rPr/>
        <w:t>in</w:t>
      </w:r>
      <w:r>
        <w:rPr>
          <w:spacing w:val="-3"/>
        </w:rPr>
        <w:t> </w:t>
      </w:r>
      <w:r>
        <w:rPr/>
        <w:t>response</w:t>
      </w:r>
      <w:r>
        <w:rPr>
          <w:spacing w:val="-5"/>
        </w:rPr>
        <w:t> </w:t>
      </w:r>
      <w:r>
        <w:rPr/>
        <w:t>to</w:t>
      </w:r>
      <w:r>
        <w:rPr>
          <w:spacing w:val="-3"/>
        </w:rPr>
        <w:t> </w:t>
      </w:r>
      <w:r>
        <w:rPr/>
        <w:t>detected</w:t>
      </w:r>
      <w:r>
        <w:rPr>
          <w:spacing w:val="-3"/>
        </w:rPr>
        <w:t> </w:t>
      </w:r>
      <w:r>
        <w:rPr/>
        <w:t>deficiencies.</w:t>
      </w:r>
    </w:p>
    <w:p>
      <w:pPr>
        <w:pStyle w:val="BodyText"/>
        <w:spacing w:before="1"/>
        <w:rPr>
          <w:sz w:val="21"/>
        </w:rPr>
      </w:pPr>
    </w:p>
    <w:p>
      <w:pPr>
        <w:pStyle w:val="BodyText"/>
        <w:spacing w:line="288" w:lineRule="auto"/>
        <w:ind w:left="600" w:right="639"/>
      </w:pPr>
      <w:r>
        <w:rPr/>
        <w:t>As</w:t>
      </w:r>
      <w:r>
        <w:rPr>
          <w:spacing w:val="-2"/>
        </w:rPr>
        <w:t> </w:t>
      </w:r>
      <w:r>
        <w:rPr/>
        <w:t>part</w:t>
      </w:r>
      <w:r>
        <w:rPr>
          <w:spacing w:val="-1"/>
        </w:rPr>
        <w:t> </w:t>
      </w:r>
      <w:r>
        <w:rPr/>
        <w:t>of</w:t>
      </w:r>
      <w:r>
        <w:rPr>
          <w:spacing w:val="-4"/>
        </w:rPr>
        <w:t> </w:t>
      </w:r>
      <w:r>
        <w:rPr/>
        <w:t>the</w:t>
      </w:r>
      <w:r>
        <w:rPr>
          <w:spacing w:val="-2"/>
        </w:rPr>
        <w:t> </w:t>
      </w:r>
      <w:r>
        <w:rPr/>
        <w:t>Ladbroke</w:t>
      </w:r>
      <w:r>
        <w:rPr>
          <w:spacing w:val="-7"/>
        </w:rPr>
        <w:t> </w:t>
      </w:r>
      <w:r>
        <w:rPr/>
        <w:t>Grove</w:t>
      </w:r>
      <w:r>
        <w:rPr>
          <w:spacing w:val="-3"/>
        </w:rPr>
        <w:t> </w:t>
      </w:r>
      <w:r>
        <w:rPr/>
        <w:t>Inquiry,</w:t>
      </w:r>
      <w:r>
        <w:rPr>
          <w:spacing w:val="-1"/>
        </w:rPr>
        <w:t> </w:t>
      </w:r>
      <w:r>
        <w:rPr/>
        <w:t>a</w:t>
      </w:r>
      <w:r>
        <w:rPr>
          <w:spacing w:val="-5"/>
        </w:rPr>
        <w:t> </w:t>
      </w:r>
      <w:r>
        <w:rPr/>
        <w:t>commissioned</w:t>
      </w:r>
      <w:r>
        <w:rPr>
          <w:spacing w:val="-3"/>
        </w:rPr>
        <w:t> </w:t>
      </w:r>
      <w:r>
        <w:rPr/>
        <w:t>report</w:t>
      </w:r>
      <w:r>
        <w:rPr>
          <w:spacing w:val="-4"/>
        </w:rPr>
        <w:t> </w:t>
      </w:r>
      <w:r>
        <w:rPr/>
        <w:t>found</w:t>
      </w:r>
      <w:r>
        <w:rPr>
          <w:spacing w:val="-4"/>
        </w:rPr>
        <w:t> </w:t>
      </w:r>
      <w:r>
        <w:rPr/>
        <w:t>that</w:t>
      </w:r>
      <w:r>
        <w:rPr>
          <w:spacing w:val="-4"/>
        </w:rPr>
        <w:t> </w:t>
      </w:r>
      <w:r>
        <w:rPr/>
        <w:t>worker</w:t>
      </w:r>
      <w:r>
        <w:rPr>
          <w:spacing w:val="-2"/>
        </w:rPr>
        <w:t> </w:t>
      </w:r>
      <w:r>
        <w:rPr/>
        <w:t>involvement in developing a safety case was important for worker “ownership” and commitment to the safety case, rather than simply advising the workers of the safety case (Haddon-Cave, </w:t>
      </w:r>
      <w:r>
        <w:rPr>
          <w:spacing w:val="-2"/>
        </w:rPr>
        <w:t>2017).</w:t>
      </w:r>
    </w:p>
    <w:p>
      <w:pPr>
        <w:spacing w:after="0" w:line="288" w:lineRule="auto"/>
        <w:sectPr>
          <w:pgSz w:w="11910" w:h="16840"/>
          <w:pgMar w:header="887" w:footer="1286" w:top="1080" w:bottom="1500" w:left="840" w:right="820"/>
        </w:sectPr>
      </w:pPr>
    </w:p>
    <w:p>
      <w:pPr>
        <w:pStyle w:val="BodyText"/>
        <w:rPr>
          <w:sz w:val="20"/>
        </w:rPr>
      </w:pPr>
    </w:p>
    <w:p>
      <w:pPr>
        <w:pStyle w:val="BodyText"/>
        <w:rPr>
          <w:sz w:val="20"/>
        </w:rPr>
      </w:pPr>
    </w:p>
    <w:p>
      <w:pPr>
        <w:pStyle w:val="Heading4"/>
        <w:spacing w:before="258"/>
        <w:ind w:left="600"/>
      </w:pPr>
      <w:r>
        <w:rPr>
          <w:color w:val="585858"/>
          <w:spacing w:val="-2"/>
        </w:rPr>
        <w:t>References</w:t>
      </w:r>
    </w:p>
    <w:p>
      <w:pPr>
        <w:spacing w:before="313"/>
        <w:ind w:left="600" w:right="0" w:firstLine="0"/>
        <w:jc w:val="left"/>
        <w:rPr>
          <w:sz w:val="18"/>
        </w:rPr>
      </w:pPr>
      <w:r>
        <w:rPr>
          <w:sz w:val="18"/>
        </w:rPr>
        <w:t>Advisian,</w:t>
      </w:r>
      <w:r>
        <w:rPr>
          <w:spacing w:val="-6"/>
          <w:sz w:val="18"/>
        </w:rPr>
        <w:t> </w:t>
      </w:r>
      <w:r>
        <w:rPr>
          <w:sz w:val="18"/>
        </w:rPr>
        <w:t>2015.</w:t>
      </w:r>
      <w:r>
        <w:rPr>
          <w:spacing w:val="-3"/>
          <w:sz w:val="18"/>
        </w:rPr>
        <w:t> </w:t>
      </w:r>
      <w:r>
        <w:rPr>
          <w:i/>
          <w:sz w:val="18"/>
        </w:rPr>
        <w:t>Developing</w:t>
      </w:r>
      <w:r>
        <w:rPr>
          <w:i/>
          <w:spacing w:val="-5"/>
          <w:sz w:val="18"/>
        </w:rPr>
        <w:t> </w:t>
      </w:r>
      <w:r>
        <w:rPr>
          <w:i/>
          <w:sz w:val="18"/>
        </w:rPr>
        <w:t>Best</w:t>
      </w:r>
      <w:r>
        <w:rPr>
          <w:i/>
          <w:spacing w:val="-5"/>
          <w:sz w:val="18"/>
        </w:rPr>
        <w:t> </w:t>
      </w:r>
      <w:r>
        <w:rPr>
          <w:i/>
          <w:spacing w:val="-2"/>
          <w:sz w:val="18"/>
        </w:rPr>
        <w:t>Practice</w:t>
      </w:r>
      <w:r>
        <w:rPr>
          <w:spacing w:val="-2"/>
          <w:sz w:val="18"/>
        </w:rPr>
        <w:t>.</w:t>
      </w:r>
    </w:p>
    <w:p>
      <w:pPr>
        <w:spacing w:before="121"/>
        <w:ind w:left="600" w:right="0" w:firstLine="0"/>
        <w:jc w:val="left"/>
        <w:rPr>
          <w:sz w:val="18"/>
        </w:rPr>
      </w:pPr>
      <w:r>
        <w:rPr>
          <w:sz w:val="18"/>
        </w:rPr>
        <w:t>AusNet</w:t>
      </w:r>
      <w:r>
        <w:rPr>
          <w:spacing w:val="-5"/>
          <w:sz w:val="18"/>
        </w:rPr>
        <w:t> </w:t>
      </w:r>
      <w:r>
        <w:rPr>
          <w:sz w:val="18"/>
        </w:rPr>
        <w:t>Services,</w:t>
      </w:r>
      <w:r>
        <w:rPr>
          <w:spacing w:val="-4"/>
          <w:sz w:val="18"/>
        </w:rPr>
        <w:t> </w:t>
      </w:r>
      <w:r>
        <w:rPr>
          <w:sz w:val="18"/>
        </w:rPr>
        <w:t>2017.</w:t>
      </w:r>
      <w:r>
        <w:rPr>
          <w:spacing w:val="-3"/>
          <w:sz w:val="18"/>
        </w:rPr>
        <w:t> </w:t>
      </w:r>
      <w:r>
        <w:rPr>
          <w:i/>
          <w:sz w:val="18"/>
        </w:rPr>
        <w:t>Safety</w:t>
      </w:r>
      <w:r>
        <w:rPr>
          <w:i/>
          <w:spacing w:val="-6"/>
          <w:sz w:val="18"/>
        </w:rPr>
        <w:t> </w:t>
      </w:r>
      <w:r>
        <w:rPr>
          <w:i/>
          <w:sz w:val="18"/>
        </w:rPr>
        <w:t>Review</w:t>
      </w:r>
      <w:r>
        <w:rPr>
          <w:i/>
          <w:spacing w:val="-5"/>
          <w:sz w:val="18"/>
        </w:rPr>
        <w:t> </w:t>
      </w:r>
      <w:r>
        <w:rPr>
          <w:i/>
          <w:spacing w:val="-2"/>
          <w:sz w:val="18"/>
        </w:rPr>
        <w:t>Submission</w:t>
      </w:r>
      <w:r>
        <w:rPr>
          <w:spacing w:val="-2"/>
          <w:sz w:val="18"/>
        </w:rPr>
        <w:t>.</w:t>
      </w:r>
    </w:p>
    <w:p>
      <w:pPr>
        <w:spacing w:line="290" w:lineRule="auto" w:before="122"/>
        <w:ind w:left="600" w:right="374" w:firstLine="0"/>
        <w:jc w:val="left"/>
        <w:rPr>
          <w:sz w:val="18"/>
        </w:rPr>
      </w:pPr>
      <w:r>
        <w:rPr>
          <w:sz w:val="18"/>
        </w:rPr>
        <w:t>Australia/New</w:t>
      </w:r>
      <w:r>
        <w:rPr>
          <w:spacing w:val="-5"/>
          <w:sz w:val="18"/>
        </w:rPr>
        <w:t> </w:t>
      </w:r>
      <w:r>
        <w:rPr>
          <w:sz w:val="18"/>
        </w:rPr>
        <w:t>Zealand</w:t>
      </w:r>
      <w:r>
        <w:rPr>
          <w:spacing w:val="-4"/>
          <w:sz w:val="18"/>
        </w:rPr>
        <w:t> </w:t>
      </w:r>
      <w:r>
        <w:rPr>
          <w:sz w:val="18"/>
        </w:rPr>
        <w:t>Standard,</w:t>
      </w:r>
      <w:r>
        <w:rPr>
          <w:spacing w:val="-3"/>
          <w:sz w:val="18"/>
        </w:rPr>
        <w:t> </w:t>
      </w:r>
      <w:r>
        <w:rPr>
          <w:sz w:val="18"/>
        </w:rPr>
        <w:t>2017. </w:t>
      </w:r>
      <w:r>
        <w:rPr>
          <w:i/>
          <w:sz w:val="18"/>
        </w:rPr>
        <w:t>Pipelines-</w:t>
      </w:r>
      <w:r>
        <w:rPr>
          <w:i/>
          <w:spacing w:val="-3"/>
          <w:sz w:val="18"/>
        </w:rPr>
        <w:t> </w:t>
      </w:r>
      <w:r>
        <w:rPr>
          <w:i/>
          <w:sz w:val="18"/>
        </w:rPr>
        <w:t>Gas</w:t>
      </w:r>
      <w:r>
        <w:rPr>
          <w:i/>
          <w:spacing w:val="-4"/>
          <w:sz w:val="18"/>
        </w:rPr>
        <w:t> </w:t>
      </w:r>
      <w:r>
        <w:rPr>
          <w:i/>
          <w:sz w:val="18"/>
        </w:rPr>
        <w:t>and</w:t>
      </w:r>
      <w:r>
        <w:rPr>
          <w:i/>
          <w:spacing w:val="-4"/>
          <w:sz w:val="18"/>
        </w:rPr>
        <w:t> </w:t>
      </w:r>
      <w:r>
        <w:rPr>
          <w:i/>
          <w:sz w:val="18"/>
        </w:rPr>
        <w:t>liquid</w:t>
      </w:r>
      <w:r>
        <w:rPr>
          <w:i/>
          <w:spacing w:val="-4"/>
          <w:sz w:val="18"/>
        </w:rPr>
        <w:t> </w:t>
      </w:r>
      <w:r>
        <w:rPr>
          <w:i/>
          <w:sz w:val="18"/>
        </w:rPr>
        <w:t>petroleum</w:t>
      </w:r>
      <w:r>
        <w:rPr>
          <w:i/>
          <w:spacing w:val="-4"/>
          <w:sz w:val="18"/>
        </w:rPr>
        <w:t> </w:t>
      </w:r>
      <w:r>
        <w:rPr>
          <w:i/>
          <w:sz w:val="18"/>
        </w:rPr>
        <w:t>Part</w:t>
      </w:r>
      <w:r>
        <w:rPr>
          <w:i/>
          <w:spacing w:val="-4"/>
          <w:sz w:val="18"/>
        </w:rPr>
        <w:t> </w:t>
      </w:r>
      <w:r>
        <w:rPr>
          <w:i/>
          <w:sz w:val="18"/>
        </w:rPr>
        <w:t>6:</w:t>
      </w:r>
      <w:r>
        <w:rPr>
          <w:i/>
          <w:spacing w:val="-3"/>
          <w:sz w:val="18"/>
        </w:rPr>
        <w:t> </w:t>
      </w:r>
      <w:r>
        <w:rPr>
          <w:i/>
          <w:sz w:val="18"/>
        </w:rPr>
        <w:t>Pipeline</w:t>
      </w:r>
      <w:r>
        <w:rPr>
          <w:i/>
          <w:spacing w:val="-3"/>
          <w:sz w:val="18"/>
        </w:rPr>
        <w:t> </w:t>
      </w:r>
      <w:r>
        <w:rPr>
          <w:i/>
          <w:sz w:val="18"/>
        </w:rPr>
        <w:t>safety</w:t>
      </w:r>
      <w:r>
        <w:rPr>
          <w:i/>
          <w:spacing w:val="-2"/>
          <w:sz w:val="18"/>
        </w:rPr>
        <w:t> </w:t>
      </w:r>
      <w:r>
        <w:rPr>
          <w:i/>
          <w:sz w:val="18"/>
        </w:rPr>
        <w:t>management (Draft for Public Comment)</w:t>
      </w:r>
      <w:r>
        <w:rPr>
          <w:sz w:val="18"/>
        </w:rPr>
        <w:t>.</w:t>
      </w:r>
    </w:p>
    <w:p>
      <w:pPr>
        <w:spacing w:line="290" w:lineRule="auto" w:before="75"/>
        <w:ind w:left="600" w:right="910" w:firstLine="0"/>
        <w:jc w:val="left"/>
        <w:rPr>
          <w:sz w:val="18"/>
        </w:rPr>
      </w:pPr>
      <w:r>
        <w:rPr>
          <w:sz w:val="18"/>
        </w:rPr>
        <w:t>CitiPower</w:t>
      </w:r>
      <w:r>
        <w:rPr>
          <w:spacing w:val="-3"/>
          <w:sz w:val="18"/>
        </w:rPr>
        <w:t> </w:t>
      </w:r>
      <w:r>
        <w:rPr>
          <w:sz w:val="18"/>
        </w:rPr>
        <w:t>&amp;</w:t>
      </w:r>
      <w:r>
        <w:rPr>
          <w:spacing w:val="-3"/>
          <w:sz w:val="18"/>
        </w:rPr>
        <w:t> </w:t>
      </w:r>
      <w:r>
        <w:rPr>
          <w:sz w:val="18"/>
        </w:rPr>
        <w:t>Powercor</w:t>
      </w:r>
      <w:r>
        <w:rPr>
          <w:spacing w:val="-3"/>
          <w:sz w:val="18"/>
        </w:rPr>
        <w:t> </w:t>
      </w:r>
      <w:r>
        <w:rPr>
          <w:sz w:val="18"/>
        </w:rPr>
        <w:t>Australia,</w:t>
      </w:r>
      <w:r>
        <w:rPr>
          <w:spacing w:val="-3"/>
          <w:sz w:val="18"/>
        </w:rPr>
        <w:t> </w:t>
      </w:r>
      <w:r>
        <w:rPr>
          <w:sz w:val="18"/>
        </w:rPr>
        <w:t>2017. </w:t>
      </w:r>
      <w:r>
        <w:rPr>
          <w:i/>
          <w:sz w:val="18"/>
        </w:rPr>
        <w:t>Additional</w:t>
      </w:r>
      <w:r>
        <w:rPr>
          <w:i/>
          <w:spacing w:val="-3"/>
          <w:sz w:val="18"/>
        </w:rPr>
        <w:t> </w:t>
      </w:r>
      <w:r>
        <w:rPr>
          <w:i/>
          <w:sz w:val="18"/>
        </w:rPr>
        <w:t>Information</w:t>
      </w:r>
      <w:r>
        <w:rPr>
          <w:i/>
          <w:spacing w:val="-5"/>
          <w:sz w:val="18"/>
        </w:rPr>
        <w:t> </w:t>
      </w:r>
      <w:r>
        <w:rPr>
          <w:i/>
          <w:sz w:val="18"/>
        </w:rPr>
        <w:t>to</w:t>
      </w:r>
      <w:r>
        <w:rPr>
          <w:i/>
          <w:spacing w:val="-3"/>
          <w:sz w:val="18"/>
        </w:rPr>
        <w:t> </w:t>
      </w:r>
      <w:r>
        <w:rPr>
          <w:i/>
          <w:sz w:val="18"/>
        </w:rPr>
        <w:t>Support</w:t>
      </w:r>
      <w:r>
        <w:rPr>
          <w:i/>
          <w:spacing w:val="-3"/>
          <w:sz w:val="18"/>
        </w:rPr>
        <w:t> </w:t>
      </w:r>
      <w:r>
        <w:rPr>
          <w:i/>
          <w:sz w:val="18"/>
        </w:rPr>
        <w:t>the</w:t>
      </w:r>
      <w:r>
        <w:rPr>
          <w:i/>
          <w:spacing w:val="-3"/>
          <w:sz w:val="18"/>
        </w:rPr>
        <w:t> </w:t>
      </w:r>
      <w:r>
        <w:rPr>
          <w:i/>
          <w:sz w:val="18"/>
        </w:rPr>
        <w:t>Review</w:t>
      </w:r>
      <w:r>
        <w:rPr>
          <w:i/>
          <w:spacing w:val="-6"/>
          <w:sz w:val="18"/>
        </w:rPr>
        <w:t> </w:t>
      </w:r>
      <w:r>
        <w:rPr>
          <w:i/>
          <w:sz w:val="18"/>
        </w:rPr>
        <w:t>of</w:t>
      </w:r>
      <w:r>
        <w:rPr>
          <w:i/>
          <w:spacing w:val="-3"/>
          <w:sz w:val="18"/>
        </w:rPr>
        <w:t> </w:t>
      </w:r>
      <w:r>
        <w:rPr>
          <w:i/>
          <w:sz w:val="18"/>
        </w:rPr>
        <w:t>Victoria’s</w:t>
      </w:r>
      <w:r>
        <w:rPr>
          <w:i/>
          <w:spacing w:val="-3"/>
          <w:sz w:val="18"/>
        </w:rPr>
        <w:t> </w:t>
      </w:r>
      <w:r>
        <w:rPr>
          <w:i/>
          <w:sz w:val="18"/>
        </w:rPr>
        <w:t>Electricity Network Safety Framework</w:t>
      </w:r>
      <w:r>
        <w:rPr>
          <w:sz w:val="18"/>
        </w:rPr>
        <w:t>.</w:t>
      </w:r>
    </w:p>
    <w:p>
      <w:pPr>
        <w:spacing w:line="285" w:lineRule="auto" w:before="78"/>
        <w:ind w:left="600" w:right="586" w:firstLine="0"/>
        <w:jc w:val="left"/>
        <w:rPr>
          <w:sz w:val="18"/>
        </w:rPr>
      </w:pPr>
      <w:r>
        <w:rPr>
          <w:sz w:val="18"/>
        </w:rPr>
        <w:t>Cooke,</w:t>
      </w:r>
      <w:r>
        <w:rPr>
          <w:spacing w:val="-5"/>
          <w:sz w:val="18"/>
        </w:rPr>
        <w:t> </w:t>
      </w:r>
      <w:r>
        <w:rPr>
          <w:sz w:val="18"/>
        </w:rPr>
        <w:t>G.,</w:t>
      </w:r>
      <w:r>
        <w:rPr>
          <w:spacing w:val="-3"/>
          <w:sz w:val="18"/>
        </w:rPr>
        <w:t> </w:t>
      </w:r>
      <w:r>
        <w:rPr>
          <w:sz w:val="18"/>
        </w:rPr>
        <w:t>2003.</w:t>
      </w:r>
      <w:r>
        <w:rPr>
          <w:spacing w:val="-3"/>
          <w:sz w:val="18"/>
        </w:rPr>
        <w:t> </w:t>
      </w:r>
      <w:r>
        <w:rPr>
          <w:sz w:val="18"/>
        </w:rPr>
        <w:t>Safety</w:t>
      </w:r>
      <w:r>
        <w:rPr>
          <w:spacing w:val="-5"/>
          <w:sz w:val="18"/>
        </w:rPr>
        <w:t> </w:t>
      </w:r>
      <w:r>
        <w:rPr>
          <w:sz w:val="18"/>
        </w:rPr>
        <w:t>Case</w:t>
      </w:r>
      <w:r>
        <w:rPr>
          <w:spacing w:val="-5"/>
          <w:sz w:val="18"/>
        </w:rPr>
        <w:t> </w:t>
      </w:r>
      <w:r>
        <w:rPr>
          <w:sz w:val="18"/>
        </w:rPr>
        <w:t>Implementation–</w:t>
      </w:r>
      <w:r>
        <w:rPr>
          <w:spacing w:val="-5"/>
          <w:sz w:val="18"/>
        </w:rPr>
        <w:t> </w:t>
      </w:r>
      <w:r>
        <w:rPr>
          <w:sz w:val="18"/>
        </w:rPr>
        <w:t>An</w:t>
      </w:r>
      <w:r>
        <w:rPr>
          <w:spacing w:val="-3"/>
          <w:sz w:val="18"/>
        </w:rPr>
        <w:t> </w:t>
      </w:r>
      <w:r>
        <w:rPr>
          <w:sz w:val="18"/>
        </w:rPr>
        <w:t>Australian</w:t>
      </w:r>
      <w:r>
        <w:rPr>
          <w:spacing w:val="-5"/>
          <w:sz w:val="18"/>
        </w:rPr>
        <w:t> </w:t>
      </w:r>
      <w:r>
        <w:rPr>
          <w:sz w:val="18"/>
        </w:rPr>
        <w:t>Regulator's</w:t>
      </w:r>
      <w:r>
        <w:rPr>
          <w:spacing w:val="-2"/>
          <w:sz w:val="18"/>
        </w:rPr>
        <w:t> </w:t>
      </w:r>
      <w:r>
        <w:rPr>
          <w:sz w:val="18"/>
        </w:rPr>
        <w:t>Experience. </w:t>
      </w:r>
      <w:r>
        <w:rPr>
          <w:i/>
          <w:sz w:val="18"/>
        </w:rPr>
        <w:t>Symposium</w:t>
      </w:r>
      <w:r>
        <w:rPr>
          <w:i/>
          <w:spacing w:val="-5"/>
          <w:sz w:val="18"/>
        </w:rPr>
        <w:t> </w:t>
      </w:r>
      <w:r>
        <w:rPr>
          <w:i/>
          <w:sz w:val="18"/>
        </w:rPr>
        <w:t>Series,</w:t>
      </w:r>
      <w:r>
        <w:rPr>
          <w:i/>
          <w:spacing w:val="-1"/>
          <w:sz w:val="18"/>
        </w:rPr>
        <w:t> </w:t>
      </w:r>
      <w:r>
        <w:rPr>
          <w:sz w:val="18"/>
        </w:rPr>
        <w:t>Issue 149, pp. 605-617.</w:t>
      </w:r>
    </w:p>
    <w:p>
      <w:pPr>
        <w:spacing w:before="83"/>
        <w:ind w:left="600" w:right="0" w:firstLine="0"/>
        <w:jc w:val="left"/>
        <w:rPr>
          <w:sz w:val="18"/>
        </w:rPr>
      </w:pPr>
      <w:r>
        <w:rPr>
          <w:i/>
          <w:sz w:val="18"/>
        </w:rPr>
        <w:t>Edwards</w:t>
      </w:r>
      <w:r>
        <w:rPr>
          <w:i/>
          <w:spacing w:val="-5"/>
          <w:sz w:val="18"/>
        </w:rPr>
        <w:t> </w:t>
      </w:r>
      <w:r>
        <w:rPr>
          <w:i/>
          <w:sz w:val="18"/>
        </w:rPr>
        <w:t>v</w:t>
      </w:r>
      <w:r>
        <w:rPr>
          <w:i/>
          <w:spacing w:val="-4"/>
          <w:sz w:val="18"/>
        </w:rPr>
        <w:t> </w:t>
      </w:r>
      <w:r>
        <w:rPr>
          <w:i/>
          <w:sz w:val="18"/>
        </w:rPr>
        <w:t>National</w:t>
      </w:r>
      <w:r>
        <w:rPr>
          <w:i/>
          <w:spacing w:val="-4"/>
          <w:sz w:val="18"/>
        </w:rPr>
        <w:t> </w:t>
      </w:r>
      <w:r>
        <w:rPr>
          <w:i/>
          <w:sz w:val="18"/>
        </w:rPr>
        <w:t>Coal</w:t>
      </w:r>
      <w:r>
        <w:rPr>
          <w:i/>
          <w:spacing w:val="-4"/>
          <w:sz w:val="18"/>
        </w:rPr>
        <w:t> </w:t>
      </w:r>
      <w:r>
        <w:rPr>
          <w:i/>
          <w:sz w:val="18"/>
        </w:rPr>
        <w:t>Board</w:t>
      </w:r>
      <w:r>
        <w:rPr>
          <w:i/>
          <w:spacing w:val="-2"/>
          <w:sz w:val="18"/>
        </w:rPr>
        <w:t> </w:t>
      </w:r>
      <w:r>
        <w:rPr>
          <w:spacing w:val="-2"/>
          <w:sz w:val="18"/>
        </w:rPr>
        <w:t>(1949).</w:t>
      </w:r>
    </w:p>
    <w:p>
      <w:pPr>
        <w:spacing w:before="122"/>
        <w:ind w:left="600" w:right="0" w:firstLine="0"/>
        <w:jc w:val="left"/>
        <w:rPr>
          <w:sz w:val="18"/>
        </w:rPr>
      </w:pPr>
      <w:r>
        <w:rPr>
          <w:sz w:val="18"/>
        </w:rPr>
        <w:t>Gunningham,</w:t>
      </w:r>
      <w:r>
        <w:rPr>
          <w:spacing w:val="-6"/>
          <w:sz w:val="18"/>
        </w:rPr>
        <w:t> </w:t>
      </w:r>
      <w:r>
        <w:rPr>
          <w:sz w:val="18"/>
        </w:rPr>
        <w:t>N.,</w:t>
      </w:r>
      <w:r>
        <w:rPr>
          <w:spacing w:val="-5"/>
          <w:sz w:val="18"/>
        </w:rPr>
        <w:t> </w:t>
      </w:r>
      <w:r>
        <w:rPr>
          <w:sz w:val="18"/>
        </w:rPr>
        <w:t>2015.</w:t>
      </w:r>
      <w:r>
        <w:rPr>
          <w:spacing w:val="-5"/>
          <w:sz w:val="18"/>
        </w:rPr>
        <w:t> </w:t>
      </w:r>
      <w:r>
        <w:rPr>
          <w:i/>
          <w:sz w:val="18"/>
        </w:rPr>
        <w:t>Compliance,</w:t>
      </w:r>
      <w:r>
        <w:rPr>
          <w:i/>
          <w:spacing w:val="-5"/>
          <w:sz w:val="18"/>
        </w:rPr>
        <w:t> </w:t>
      </w:r>
      <w:r>
        <w:rPr>
          <w:i/>
          <w:sz w:val="18"/>
        </w:rPr>
        <w:t>Enforcement,</w:t>
      </w:r>
      <w:r>
        <w:rPr>
          <w:i/>
          <w:spacing w:val="-5"/>
          <w:sz w:val="18"/>
        </w:rPr>
        <w:t> </w:t>
      </w:r>
      <w:r>
        <w:rPr>
          <w:i/>
          <w:sz w:val="18"/>
        </w:rPr>
        <w:t>and</w:t>
      </w:r>
      <w:r>
        <w:rPr>
          <w:i/>
          <w:spacing w:val="-5"/>
          <w:sz w:val="18"/>
        </w:rPr>
        <w:t> </w:t>
      </w:r>
      <w:r>
        <w:rPr>
          <w:i/>
          <w:sz w:val="18"/>
        </w:rPr>
        <w:t>Regulatory</w:t>
      </w:r>
      <w:r>
        <w:rPr>
          <w:i/>
          <w:spacing w:val="-4"/>
          <w:sz w:val="18"/>
        </w:rPr>
        <w:t> </w:t>
      </w:r>
      <w:r>
        <w:rPr>
          <w:i/>
          <w:spacing w:val="-2"/>
          <w:sz w:val="18"/>
        </w:rPr>
        <w:t>Excellence</w:t>
      </w:r>
      <w:r>
        <w:rPr>
          <w:spacing w:val="-2"/>
          <w:sz w:val="18"/>
        </w:rPr>
        <w:t>.</w:t>
      </w:r>
    </w:p>
    <w:p>
      <w:pPr>
        <w:spacing w:line="381" w:lineRule="auto" w:before="122"/>
        <w:ind w:left="600" w:right="910" w:firstLine="0"/>
        <w:jc w:val="left"/>
        <w:rPr>
          <w:sz w:val="18"/>
        </w:rPr>
      </w:pPr>
      <w:r>
        <w:rPr>
          <w:sz w:val="18"/>
        </w:rPr>
        <w:t>Haddon-Cave,</w:t>
      </w:r>
      <w:r>
        <w:rPr>
          <w:spacing w:val="-4"/>
          <w:sz w:val="18"/>
        </w:rPr>
        <w:t> </w:t>
      </w:r>
      <w:r>
        <w:rPr>
          <w:sz w:val="18"/>
        </w:rPr>
        <w:t>J.,</w:t>
      </w:r>
      <w:r>
        <w:rPr>
          <w:spacing w:val="-4"/>
          <w:sz w:val="18"/>
        </w:rPr>
        <w:t> </w:t>
      </w:r>
      <w:r>
        <w:rPr>
          <w:sz w:val="18"/>
        </w:rPr>
        <w:t>2017.</w:t>
      </w:r>
      <w:r>
        <w:rPr>
          <w:spacing w:val="-1"/>
          <w:sz w:val="18"/>
        </w:rPr>
        <w:t> </w:t>
      </w:r>
      <w:r>
        <w:rPr>
          <w:i/>
          <w:sz w:val="18"/>
        </w:rPr>
        <w:t>Zen</w:t>
      </w:r>
      <w:r>
        <w:rPr>
          <w:i/>
          <w:spacing w:val="-2"/>
          <w:sz w:val="18"/>
        </w:rPr>
        <w:t> </w:t>
      </w:r>
      <w:r>
        <w:rPr>
          <w:i/>
          <w:sz w:val="18"/>
        </w:rPr>
        <w:t>and</w:t>
      </w:r>
      <w:r>
        <w:rPr>
          <w:i/>
          <w:spacing w:val="-2"/>
          <w:sz w:val="18"/>
        </w:rPr>
        <w:t> </w:t>
      </w:r>
      <w:r>
        <w:rPr>
          <w:i/>
          <w:sz w:val="18"/>
        </w:rPr>
        <w:t>the</w:t>
      </w:r>
      <w:r>
        <w:rPr>
          <w:i/>
          <w:spacing w:val="-4"/>
          <w:sz w:val="18"/>
        </w:rPr>
        <w:t> </w:t>
      </w:r>
      <w:r>
        <w:rPr>
          <w:i/>
          <w:sz w:val="18"/>
        </w:rPr>
        <w:t>Art</w:t>
      </w:r>
      <w:r>
        <w:rPr>
          <w:i/>
          <w:spacing w:val="-2"/>
          <w:sz w:val="18"/>
        </w:rPr>
        <w:t> </w:t>
      </w:r>
      <w:r>
        <w:rPr>
          <w:i/>
          <w:sz w:val="18"/>
        </w:rPr>
        <w:t>of</w:t>
      </w:r>
      <w:r>
        <w:rPr>
          <w:i/>
          <w:spacing w:val="-4"/>
          <w:sz w:val="18"/>
        </w:rPr>
        <w:t> </w:t>
      </w:r>
      <w:r>
        <w:rPr>
          <w:i/>
          <w:sz w:val="18"/>
        </w:rPr>
        <w:t>Safety</w:t>
      </w:r>
      <w:r>
        <w:rPr>
          <w:i/>
          <w:spacing w:val="-1"/>
          <w:sz w:val="18"/>
        </w:rPr>
        <w:t> </w:t>
      </w:r>
      <w:r>
        <w:rPr>
          <w:i/>
          <w:sz w:val="18"/>
        </w:rPr>
        <w:t>Case</w:t>
      </w:r>
      <w:r>
        <w:rPr>
          <w:i/>
          <w:spacing w:val="-2"/>
          <w:sz w:val="18"/>
        </w:rPr>
        <w:t> </w:t>
      </w:r>
      <w:r>
        <w:rPr>
          <w:i/>
          <w:sz w:val="18"/>
        </w:rPr>
        <w:t>Maintenance</w:t>
      </w:r>
      <w:r>
        <w:rPr>
          <w:i/>
          <w:spacing w:val="-4"/>
          <w:sz w:val="18"/>
        </w:rPr>
        <w:t> </w:t>
      </w:r>
      <w:r>
        <w:rPr>
          <w:i/>
          <w:sz w:val="18"/>
        </w:rPr>
        <w:t>in</w:t>
      </w:r>
      <w:r>
        <w:rPr>
          <w:i/>
          <w:spacing w:val="-2"/>
          <w:sz w:val="18"/>
        </w:rPr>
        <w:t> </w:t>
      </w:r>
      <w:r>
        <w:rPr>
          <w:i/>
          <w:sz w:val="18"/>
        </w:rPr>
        <w:t>the</w:t>
      </w:r>
      <w:r>
        <w:rPr>
          <w:i/>
          <w:spacing w:val="-2"/>
          <w:sz w:val="18"/>
        </w:rPr>
        <w:t> </w:t>
      </w:r>
      <w:r>
        <w:rPr>
          <w:i/>
          <w:sz w:val="18"/>
        </w:rPr>
        <w:t>Post-Nimrod</w:t>
      </w:r>
      <w:r>
        <w:rPr>
          <w:i/>
          <w:spacing w:val="-4"/>
          <w:sz w:val="18"/>
        </w:rPr>
        <w:t> </w:t>
      </w:r>
      <w:r>
        <w:rPr>
          <w:i/>
          <w:sz w:val="18"/>
        </w:rPr>
        <w:t>World.</w:t>
      </w:r>
      <w:r>
        <w:rPr>
          <w:i/>
          <w:spacing w:val="-3"/>
          <w:sz w:val="18"/>
        </w:rPr>
        <w:t> </w:t>
      </w:r>
      <w:r>
        <w:rPr>
          <w:sz w:val="18"/>
        </w:rPr>
        <w:t>London. Hopkins, A., 2012. </w:t>
      </w:r>
      <w:r>
        <w:rPr>
          <w:i/>
          <w:sz w:val="18"/>
        </w:rPr>
        <w:t>Explaining “Safety Case”</w:t>
      </w:r>
      <w:r>
        <w:rPr>
          <w:sz w:val="18"/>
        </w:rPr>
        <w:t>.</w:t>
      </w:r>
    </w:p>
    <w:p>
      <w:pPr>
        <w:spacing w:line="204" w:lineRule="exact" w:before="0"/>
        <w:ind w:left="600" w:right="0" w:firstLine="0"/>
        <w:jc w:val="left"/>
        <w:rPr>
          <w:sz w:val="18"/>
        </w:rPr>
      </w:pPr>
      <w:r>
        <w:rPr>
          <w:sz w:val="18"/>
        </w:rPr>
        <w:t>IPART,</w:t>
      </w:r>
      <w:r>
        <w:rPr>
          <w:spacing w:val="-5"/>
          <w:sz w:val="18"/>
        </w:rPr>
        <w:t> </w:t>
      </w:r>
      <w:r>
        <w:rPr>
          <w:sz w:val="18"/>
        </w:rPr>
        <w:t>2017.</w:t>
      </w:r>
      <w:r>
        <w:rPr>
          <w:spacing w:val="-4"/>
          <w:sz w:val="18"/>
        </w:rPr>
        <w:t> </w:t>
      </w:r>
      <w:r>
        <w:rPr>
          <w:i/>
          <w:sz w:val="18"/>
        </w:rPr>
        <w:t>Electricity</w:t>
      </w:r>
      <w:r>
        <w:rPr>
          <w:i/>
          <w:spacing w:val="-3"/>
          <w:sz w:val="18"/>
        </w:rPr>
        <w:t> </w:t>
      </w:r>
      <w:r>
        <w:rPr>
          <w:i/>
          <w:sz w:val="18"/>
        </w:rPr>
        <w:t>Networks</w:t>
      </w:r>
      <w:r>
        <w:rPr>
          <w:i/>
          <w:spacing w:val="-4"/>
          <w:sz w:val="18"/>
        </w:rPr>
        <w:t> </w:t>
      </w:r>
      <w:r>
        <w:rPr>
          <w:i/>
          <w:sz w:val="18"/>
        </w:rPr>
        <w:t>Audit</w:t>
      </w:r>
      <w:r>
        <w:rPr>
          <w:i/>
          <w:spacing w:val="-5"/>
          <w:sz w:val="18"/>
        </w:rPr>
        <w:t> </w:t>
      </w:r>
      <w:r>
        <w:rPr>
          <w:i/>
          <w:sz w:val="18"/>
        </w:rPr>
        <w:t>Guideline-</w:t>
      </w:r>
      <w:r>
        <w:rPr>
          <w:i/>
          <w:spacing w:val="-4"/>
          <w:sz w:val="18"/>
        </w:rPr>
        <w:t> </w:t>
      </w:r>
      <w:r>
        <w:rPr>
          <w:i/>
          <w:sz w:val="18"/>
        </w:rPr>
        <w:t>Consultation</w:t>
      </w:r>
      <w:r>
        <w:rPr>
          <w:i/>
          <w:spacing w:val="-5"/>
          <w:sz w:val="18"/>
        </w:rPr>
        <w:t> </w:t>
      </w:r>
      <w:r>
        <w:rPr>
          <w:i/>
          <w:spacing w:val="-2"/>
          <w:sz w:val="18"/>
        </w:rPr>
        <w:t>Paper</w:t>
      </w:r>
      <w:r>
        <w:rPr>
          <w:spacing w:val="-2"/>
          <w:sz w:val="18"/>
        </w:rPr>
        <w:t>.</w:t>
      </w:r>
    </w:p>
    <w:p>
      <w:pPr>
        <w:spacing w:line="290" w:lineRule="auto" w:before="122"/>
        <w:ind w:left="600" w:right="311" w:firstLine="0"/>
        <w:jc w:val="left"/>
        <w:rPr>
          <w:sz w:val="18"/>
        </w:rPr>
      </w:pPr>
      <w:r>
        <w:rPr>
          <w:sz w:val="18"/>
        </w:rPr>
        <w:t>Marsden</w:t>
      </w:r>
      <w:r>
        <w:rPr>
          <w:spacing w:val="-4"/>
          <w:sz w:val="18"/>
        </w:rPr>
        <w:t> </w:t>
      </w:r>
      <w:r>
        <w:rPr>
          <w:sz w:val="18"/>
        </w:rPr>
        <w:t>Jacob</w:t>
      </w:r>
      <w:r>
        <w:rPr>
          <w:spacing w:val="-4"/>
          <w:sz w:val="18"/>
        </w:rPr>
        <w:t> </w:t>
      </w:r>
      <w:r>
        <w:rPr>
          <w:sz w:val="18"/>
        </w:rPr>
        <w:t>Associates,</w:t>
      </w:r>
      <w:r>
        <w:rPr>
          <w:spacing w:val="-4"/>
          <w:sz w:val="18"/>
        </w:rPr>
        <w:t> </w:t>
      </w:r>
      <w:r>
        <w:rPr>
          <w:sz w:val="18"/>
        </w:rPr>
        <w:t>2017. </w:t>
      </w:r>
      <w:r>
        <w:rPr>
          <w:i/>
          <w:sz w:val="18"/>
        </w:rPr>
        <w:t>Best</w:t>
      </w:r>
      <w:r>
        <w:rPr>
          <w:i/>
          <w:spacing w:val="-4"/>
          <w:sz w:val="18"/>
        </w:rPr>
        <w:t> </w:t>
      </w:r>
      <w:r>
        <w:rPr>
          <w:i/>
          <w:sz w:val="18"/>
        </w:rPr>
        <w:t>practice</w:t>
      </w:r>
      <w:r>
        <w:rPr>
          <w:i/>
          <w:spacing w:val="-5"/>
          <w:sz w:val="18"/>
        </w:rPr>
        <w:t> </w:t>
      </w:r>
      <w:r>
        <w:rPr>
          <w:i/>
          <w:sz w:val="18"/>
        </w:rPr>
        <w:t>electricity</w:t>
      </w:r>
      <w:r>
        <w:rPr>
          <w:i/>
          <w:spacing w:val="-3"/>
          <w:sz w:val="18"/>
        </w:rPr>
        <w:t> </w:t>
      </w:r>
      <w:r>
        <w:rPr>
          <w:i/>
          <w:sz w:val="18"/>
        </w:rPr>
        <w:t>and</w:t>
      </w:r>
      <w:r>
        <w:rPr>
          <w:i/>
          <w:spacing w:val="-4"/>
          <w:sz w:val="18"/>
        </w:rPr>
        <w:t> </w:t>
      </w:r>
      <w:r>
        <w:rPr>
          <w:i/>
          <w:sz w:val="18"/>
        </w:rPr>
        <w:t>gas</w:t>
      </w:r>
      <w:r>
        <w:rPr>
          <w:i/>
          <w:spacing w:val="-3"/>
          <w:sz w:val="18"/>
        </w:rPr>
        <w:t> </w:t>
      </w:r>
      <w:r>
        <w:rPr>
          <w:i/>
          <w:sz w:val="18"/>
        </w:rPr>
        <w:t>network</w:t>
      </w:r>
      <w:r>
        <w:rPr>
          <w:i/>
          <w:spacing w:val="-5"/>
          <w:sz w:val="18"/>
        </w:rPr>
        <w:t> </w:t>
      </w:r>
      <w:r>
        <w:rPr>
          <w:i/>
          <w:sz w:val="18"/>
        </w:rPr>
        <w:t>safety</w:t>
      </w:r>
      <w:r>
        <w:rPr>
          <w:i/>
          <w:spacing w:val="-3"/>
          <w:sz w:val="18"/>
        </w:rPr>
        <w:t> </w:t>
      </w:r>
      <w:r>
        <w:rPr>
          <w:i/>
          <w:sz w:val="18"/>
        </w:rPr>
        <w:t>frameworks</w:t>
      </w:r>
      <w:r>
        <w:rPr>
          <w:i/>
          <w:spacing w:val="-3"/>
          <w:sz w:val="18"/>
        </w:rPr>
        <w:t> </w:t>
      </w:r>
      <w:r>
        <w:rPr>
          <w:i/>
          <w:sz w:val="18"/>
        </w:rPr>
        <w:t>in</w:t>
      </w:r>
      <w:r>
        <w:rPr>
          <w:i/>
          <w:spacing w:val="-4"/>
          <w:sz w:val="18"/>
        </w:rPr>
        <w:t> </w:t>
      </w:r>
      <w:r>
        <w:rPr>
          <w:i/>
          <w:sz w:val="18"/>
        </w:rPr>
        <w:t>international </w:t>
      </w:r>
      <w:r>
        <w:rPr>
          <w:i/>
          <w:spacing w:val="-2"/>
          <w:sz w:val="18"/>
        </w:rPr>
        <w:t>jurisdictions</w:t>
      </w:r>
      <w:r>
        <w:rPr>
          <w:spacing w:val="-2"/>
          <w:sz w:val="18"/>
        </w:rPr>
        <w:t>.</w:t>
      </w:r>
    </w:p>
    <w:p>
      <w:pPr>
        <w:spacing w:before="78"/>
        <w:ind w:left="600" w:right="0" w:firstLine="0"/>
        <w:jc w:val="left"/>
        <w:rPr>
          <w:sz w:val="18"/>
        </w:rPr>
      </w:pPr>
      <w:r>
        <w:rPr>
          <w:sz w:val="18"/>
        </w:rPr>
        <w:t>Montara</w:t>
      </w:r>
      <w:r>
        <w:rPr>
          <w:spacing w:val="-6"/>
          <w:sz w:val="18"/>
        </w:rPr>
        <w:t> </w:t>
      </w:r>
      <w:r>
        <w:rPr>
          <w:sz w:val="18"/>
        </w:rPr>
        <w:t>Commission</w:t>
      </w:r>
      <w:r>
        <w:rPr>
          <w:spacing w:val="-6"/>
          <w:sz w:val="18"/>
        </w:rPr>
        <w:t> </w:t>
      </w:r>
      <w:r>
        <w:rPr>
          <w:sz w:val="18"/>
        </w:rPr>
        <w:t>of</w:t>
      </w:r>
      <w:r>
        <w:rPr>
          <w:spacing w:val="-5"/>
          <w:sz w:val="18"/>
        </w:rPr>
        <w:t> </w:t>
      </w:r>
      <w:r>
        <w:rPr>
          <w:sz w:val="18"/>
        </w:rPr>
        <w:t>Inquiry,</w:t>
      </w:r>
      <w:r>
        <w:rPr>
          <w:spacing w:val="-5"/>
          <w:sz w:val="18"/>
        </w:rPr>
        <w:t> </w:t>
      </w:r>
      <w:r>
        <w:rPr>
          <w:sz w:val="18"/>
        </w:rPr>
        <w:t>2010.</w:t>
      </w:r>
      <w:r>
        <w:rPr>
          <w:spacing w:val="-1"/>
          <w:sz w:val="18"/>
        </w:rPr>
        <w:t> </w:t>
      </w:r>
      <w:r>
        <w:rPr>
          <w:i/>
          <w:sz w:val="18"/>
        </w:rPr>
        <w:t>Report</w:t>
      </w:r>
      <w:r>
        <w:rPr>
          <w:i/>
          <w:spacing w:val="-6"/>
          <w:sz w:val="18"/>
        </w:rPr>
        <w:t> </w:t>
      </w:r>
      <w:r>
        <w:rPr>
          <w:i/>
          <w:sz w:val="18"/>
        </w:rPr>
        <w:t>of</w:t>
      </w:r>
      <w:r>
        <w:rPr>
          <w:i/>
          <w:spacing w:val="-5"/>
          <w:sz w:val="18"/>
        </w:rPr>
        <w:t> </w:t>
      </w:r>
      <w:r>
        <w:rPr>
          <w:i/>
          <w:sz w:val="18"/>
        </w:rPr>
        <w:t>the</w:t>
      </w:r>
      <w:r>
        <w:rPr>
          <w:i/>
          <w:spacing w:val="-5"/>
          <w:sz w:val="18"/>
        </w:rPr>
        <w:t> </w:t>
      </w:r>
      <w:r>
        <w:rPr>
          <w:i/>
          <w:sz w:val="18"/>
        </w:rPr>
        <w:t>Montara</w:t>
      </w:r>
      <w:r>
        <w:rPr>
          <w:i/>
          <w:spacing w:val="-6"/>
          <w:sz w:val="18"/>
        </w:rPr>
        <w:t> </w:t>
      </w:r>
      <w:r>
        <w:rPr>
          <w:i/>
          <w:sz w:val="18"/>
        </w:rPr>
        <w:t>Commission</w:t>
      </w:r>
      <w:r>
        <w:rPr>
          <w:i/>
          <w:spacing w:val="-5"/>
          <w:sz w:val="18"/>
        </w:rPr>
        <w:t> </w:t>
      </w:r>
      <w:r>
        <w:rPr>
          <w:i/>
          <w:sz w:val="18"/>
        </w:rPr>
        <w:t>of</w:t>
      </w:r>
      <w:r>
        <w:rPr>
          <w:i/>
          <w:spacing w:val="-5"/>
          <w:sz w:val="18"/>
        </w:rPr>
        <w:t> </w:t>
      </w:r>
      <w:r>
        <w:rPr>
          <w:i/>
          <w:spacing w:val="-2"/>
          <w:sz w:val="18"/>
        </w:rPr>
        <w:t>Inquiry</w:t>
      </w:r>
      <w:r>
        <w:rPr>
          <w:spacing w:val="-2"/>
          <w:sz w:val="18"/>
        </w:rPr>
        <w:t>.</w:t>
      </w:r>
    </w:p>
    <w:p>
      <w:pPr>
        <w:spacing w:line="290" w:lineRule="auto" w:before="119"/>
        <w:ind w:left="600" w:right="910" w:firstLine="0"/>
        <w:jc w:val="left"/>
        <w:rPr>
          <w:sz w:val="18"/>
        </w:rPr>
      </w:pPr>
      <w:r>
        <w:rPr>
          <w:sz w:val="18"/>
        </w:rPr>
        <w:t>Office</w:t>
      </w:r>
      <w:r>
        <w:rPr>
          <w:spacing w:val="-4"/>
          <w:sz w:val="18"/>
        </w:rPr>
        <w:t> </w:t>
      </w:r>
      <w:r>
        <w:rPr>
          <w:sz w:val="18"/>
        </w:rPr>
        <w:t>of</w:t>
      </w:r>
      <w:r>
        <w:rPr>
          <w:spacing w:val="-2"/>
          <w:sz w:val="18"/>
        </w:rPr>
        <w:t> </w:t>
      </w:r>
      <w:r>
        <w:rPr>
          <w:sz w:val="18"/>
        </w:rPr>
        <w:t>the</w:t>
      </w:r>
      <w:r>
        <w:rPr>
          <w:spacing w:val="-2"/>
          <w:sz w:val="18"/>
        </w:rPr>
        <w:t> </w:t>
      </w:r>
      <w:r>
        <w:rPr>
          <w:sz w:val="18"/>
        </w:rPr>
        <w:t>National</w:t>
      </w:r>
      <w:r>
        <w:rPr>
          <w:spacing w:val="-2"/>
          <w:sz w:val="18"/>
        </w:rPr>
        <w:t> </w:t>
      </w:r>
      <w:r>
        <w:rPr>
          <w:sz w:val="18"/>
        </w:rPr>
        <w:t>Rail</w:t>
      </w:r>
      <w:r>
        <w:rPr>
          <w:spacing w:val="-2"/>
          <w:sz w:val="18"/>
        </w:rPr>
        <w:t> </w:t>
      </w:r>
      <w:r>
        <w:rPr>
          <w:sz w:val="18"/>
        </w:rPr>
        <w:t>Safety</w:t>
      </w:r>
      <w:r>
        <w:rPr>
          <w:spacing w:val="-3"/>
          <w:sz w:val="18"/>
        </w:rPr>
        <w:t> </w:t>
      </w:r>
      <w:r>
        <w:rPr>
          <w:sz w:val="18"/>
        </w:rPr>
        <w:t>Regulator,</w:t>
      </w:r>
      <w:r>
        <w:rPr>
          <w:spacing w:val="-2"/>
          <w:sz w:val="18"/>
        </w:rPr>
        <w:t> </w:t>
      </w:r>
      <w:r>
        <w:rPr>
          <w:sz w:val="18"/>
        </w:rPr>
        <w:t>2016. </w:t>
      </w:r>
      <w:r>
        <w:rPr>
          <w:i/>
          <w:sz w:val="18"/>
        </w:rPr>
        <w:t>Guideline:</w:t>
      </w:r>
      <w:r>
        <w:rPr>
          <w:i/>
          <w:spacing w:val="-2"/>
          <w:sz w:val="18"/>
        </w:rPr>
        <w:t> </w:t>
      </w:r>
      <w:r>
        <w:rPr>
          <w:i/>
          <w:sz w:val="18"/>
        </w:rPr>
        <w:t>Meaning</w:t>
      </w:r>
      <w:r>
        <w:rPr>
          <w:i/>
          <w:spacing w:val="-2"/>
          <w:sz w:val="18"/>
        </w:rPr>
        <w:t> </w:t>
      </w:r>
      <w:r>
        <w:rPr>
          <w:i/>
          <w:sz w:val="18"/>
        </w:rPr>
        <w:t>of</w:t>
      </w:r>
      <w:r>
        <w:rPr>
          <w:i/>
          <w:spacing w:val="-4"/>
          <w:sz w:val="18"/>
        </w:rPr>
        <w:t> </w:t>
      </w:r>
      <w:r>
        <w:rPr>
          <w:i/>
          <w:sz w:val="18"/>
        </w:rPr>
        <w:t>duty</w:t>
      </w:r>
      <w:r>
        <w:rPr>
          <w:i/>
          <w:spacing w:val="-1"/>
          <w:sz w:val="18"/>
        </w:rPr>
        <w:t> </w:t>
      </w:r>
      <w:r>
        <w:rPr>
          <w:i/>
          <w:sz w:val="18"/>
        </w:rPr>
        <w:t>to</w:t>
      </w:r>
      <w:r>
        <w:rPr>
          <w:i/>
          <w:spacing w:val="-4"/>
          <w:sz w:val="18"/>
        </w:rPr>
        <w:t> </w:t>
      </w:r>
      <w:r>
        <w:rPr>
          <w:i/>
          <w:sz w:val="18"/>
        </w:rPr>
        <w:t>ensure</w:t>
      </w:r>
      <w:r>
        <w:rPr>
          <w:i/>
          <w:spacing w:val="-4"/>
          <w:sz w:val="18"/>
        </w:rPr>
        <w:t> </w:t>
      </w:r>
      <w:r>
        <w:rPr>
          <w:i/>
          <w:sz w:val="18"/>
        </w:rPr>
        <w:t>safety</w:t>
      </w:r>
      <w:r>
        <w:rPr>
          <w:i/>
          <w:spacing w:val="-3"/>
          <w:sz w:val="18"/>
        </w:rPr>
        <w:t> </w:t>
      </w:r>
      <w:r>
        <w:rPr>
          <w:i/>
          <w:sz w:val="18"/>
        </w:rPr>
        <w:t>so</w:t>
      </w:r>
      <w:r>
        <w:rPr>
          <w:i/>
          <w:spacing w:val="-2"/>
          <w:sz w:val="18"/>
        </w:rPr>
        <w:t> </w:t>
      </w:r>
      <w:r>
        <w:rPr>
          <w:i/>
          <w:sz w:val="18"/>
        </w:rPr>
        <w:t>far</w:t>
      </w:r>
      <w:r>
        <w:rPr>
          <w:i/>
          <w:spacing w:val="-2"/>
          <w:sz w:val="18"/>
        </w:rPr>
        <w:t> </w:t>
      </w:r>
      <w:r>
        <w:rPr>
          <w:i/>
          <w:sz w:val="18"/>
        </w:rPr>
        <w:t>as</w:t>
      </w:r>
      <w:r>
        <w:rPr>
          <w:i/>
          <w:spacing w:val="-1"/>
          <w:sz w:val="18"/>
        </w:rPr>
        <w:t> </w:t>
      </w:r>
      <w:r>
        <w:rPr>
          <w:i/>
          <w:sz w:val="18"/>
        </w:rPr>
        <w:t>is reasonably practicable- SFAIRP, </w:t>
      </w:r>
      <w:r>
        <w:rPr>
          <w:sz w:val="18"/>
        </w:rPr>
        <w:t>Adelaide.</w:t>
      </w:r>
    </w:p>
    <w:p>
      <w:pPr>
        <w:spacing w:line="379" w:lineRule="auto" w:before="78"/>
        <w:ind w:left="600" w:right="4021" w:firstLine="0"/>
        <w:jc w:val="left"/>
        <w:rPr>
          <w:sz w:val="18"/>
        </w:rPr>
      </w:pPr>
      <w:r>
        <w:rPr>
          <w:sz w:val="18"/>
        </w:rPr>
        <w:t>Parliament of Victoria, 1997. </w:t>
      </w:r>
      <w:r>
        <w:rPr>
          <w:i/>
          <w:sz w:val="18"/>
        </w:rPr>
        <w:t>Gas Safety Bill: Second Reading</w:t>
      </w:r>
      <w:r>
        <w:rPr>
          <w:sz w:val="18"/>
        </w:rPr>
        <w:t>. Parliament</w:t>
      </w:r>
      <w:r>
        <w:rPr>
          <w:spacing w:val="-6"/>
          <w:sz w:val="18"/>
        </w:rPr>
        <w:t> </w:t>
      </w:r>
      <w:r>
        <w:rPr>
          <w:sz w:val="18"/>
        </w:rPr>
        <w:t>of</w:t>
      </w:r>
      <w:r>
        <w:rPr>
          <w:spacing w:val="-4"/>
          <w:sz w:val="18"/>
        </w:rPr>
        <w:t> </w:t>
      </w:r>
      <w:r>
        <w:rPr>
          <w:sz w:val="18"/>
        </w:rPr>
        <w:t>Victoria,</w:t>
      </w:r>
      <w:r>
        <w:rPr>
          <w:spacing w:val="-6"/>
          <w:sz w:val="18"/>
        </w:rPr>
        <w:t> </w:t>
      </w:r>
      <w:r>
        <w:rPr>
          <w:sz w:val="18"/>
        </w:rPr>
        <w:t>1998.</w:t>
      </w:r>
      <w:r>
        <w:rPr>
          <w:spacing w:val="-2"/>
          <w:sz w:val="18"/>
        </w:rPr>
        <w:t> </w:t>
      </w:r>
      <w:r>
        <w:rPr>
          <w:i/>
          <w:sz w:val="18"/>
        </w:rPr>
        <w:t>Electricity</w:t>
      </w:r>
      <w:r>
        <w:rPr>
          <w:i/>
          <w:spacing w:val="-4"/>
          <w:sz w:val="18"/>
        </w:rPr>
        <w:t> </w:t>
      </w:r>
      <w:r>
        <w:rPr>
          <w:i/>
          <w:sz w:val="18"/>
        </w:rPr>
        <w:t>Safety</w:t>
      </w:r>
      <w:r>
        <w:rPr>
          <w:i/>
          <w:spacing w:val="-4"/>
          <w:sz w:val="18"/>
        </w:rPr>
        <w:t> </w:t>
      </w:r>
      <w:r>
        <w:rPr>
          <w:i/>
          <w:sz w:val="18"/>
        </w:rPr>
        <w:t>Bill:</w:t>
      </w:r>
      <w:r>
        <w:rPr>
          <w:i/>
          <w:spacing w:val="-4"/>
          <w:sz w:val="18"/>
        </w:rPr>
        <w:t> </w:t>
      </w:r>
      <w:r>
        <w:rPr>
          <w:i/>
          <w:sz w:val="18"/>
        </w:rPr>
        <w:t>Second</w:t>
      </w:r>
      <w:r>
        <w:rPr>
          <w:i/>
          <w:spacing w:val="-4"/>
          <w:sz w:val="18"/>
        </w:rPr>
        <w:t> </w:t>
      </w:r>
      <w:r>
        <w:rPr>
          <w:i/>
          <w:sz w:val="18"/>
        </w:rPr>
        <w:t>Reading</w:t>
      </w:r>
      <w:r>
        <w:rPr>
          <w:sz w:val="18"/>
        </w:rPr>
        <w:t>.</w:t>
      </w:r>
    </w:p>
    <w:p>
      <w:pPr>
        <w:spacing w:line="381" w:lineRule="auto" w:before="1"/>
        <w:ind w:left="600" w:right="1369" w:firstLine="0"/>
        <w:jc w:val="left"/>
        <w:rPr>
          <w:sz w:val="18"/>
        </w:rPr>
      </w:pPr>
      <w:r>
        <w:rPr>
          <w:sz w:val="18"/>
        </w:rPr>
        <w:t>Powerline</w:t>
      </w:r>
      <w:r>
        <w:rPr>
          <w:spacing w:val="-4"/>
          <w:sz w:val="18"/>
        </w:rPr>
        <w:t> </w:t>
      </w:r>
      <w:r>
        <w:rPr>
          <w:sz w:val="18"/>
        </w:rPr>
        <w:t>Bushfire</w:t>
      </w:r>
      <w:r>
        <w:rPr>
          <w:spacing w:val="-4"/>
          <w:sz w:val="18"/>
        </w:rPr>
        <w:t> </w:t>
      </w:r>
      <w:r>
        <w:rPr>
          <w:sz w:val="18"/>
        </w:rPr>
        <w:t>Safety</w:t>
      </w:r>
      <w:r>
        <w:rPr>
          <w:spacing w:val="-4"/>
          <w:sz w:val="18"/>
        </w:rPr>
        <w:t> </w:t>
      </w:r>
      <w:r>
        <w:rPr>
          <w:sz w:val="18"/>
        </w:rPr>
        <w:t>Taskforce,</w:t>
      </w:r>
      <w:r>
        <w:rPr>
          <w:spacing w:val="-4"/>
          <w:sz w:val="18"/>
        </w:rPr>
        <w:t> </w:t>
      </w:r>
      <w:r>
        <w:rPr>
          <w:sz w:val="18"/>
        </w:rPr>
        <w:t>2011.</w:t>
      </w:r>
      <w:r>
        <w:rPr>
          <w:spacing w:val="-2"/>
          <w:sz w:val="18"/>
        </w:rPr>
        <w:t> </w:t>
      </w:r>
      <w:r>
        <w:rPr>
          <w:i/>
          <w:sz w:val="18"/>
        </w:rPr>
        <w:t>Powerline</w:t>
      </w:r>
      <w:r>
        <w:rPr>
          <w:i/>
          <w:spacing w:val="-4"/>
          <w:sz w:val="18"/>
        </w:rPr>
        <w:t> </w:t>
      </w:r>
      <w:r>
        <w:rPr>
          <w:i/>
          <w:sz w:val="18"/>
        </w:rPr>
        <w:t>Bushfire</w:t>
      </w:r>
      <w:r>
        <w:rPr>
          <w:i/>
          <w:spacing w:val="-4"/>
          <w:sz w:val="18"/>
        </w:rPr>
        <w:t> </w:t>
      </w:r>
      <w:r>
        <w:rPr>
          <w:i/>
          <w:sz w:val="18"/>
        </w:rPr>
        <w:t>Safety</w:t>
      </w:r>
      <w:r>
        <w:rPr>
          <w:i/>
          <w:spacing w:val="-3"/>
          <w:sz w:val="18"/>
        </w:rPr>
        <w:t> </w:t>
      </w:r>
      <w:r>
        <w:rPr>
          <w:i/>
          <w:sz w:val="18"/>
        </w:rPr>
        <w:t>Taskforce:</w:t>
      </w:r>
      <w:r>
        <w:rPr>
          <w:i/>
          <w:spacing w:val="-4"/>
          <w:sz w:val="18"/>
        </w:rPr>
        <w:t> </w:t>
      </w:r>
      <w:r>
        <w:rPr>
          <w:i/>
          <w:sz w:val="18"/>
        </w:rPr>
        <w:t>Final</w:t>
      </w:r>
      <w:r>
        <w:rPr>
          <w:i/>
          <w:spacing w:val="-5"/>
          <w:sz w:val="18"/>
        </w:rPr>
        <w:t> </w:t>
      </w:r>
      <w:r>
        <w:rPr>
          <w:i/>
          <w:sz w:val="18"/>
        </w:rPr>
        <w:t>Report</w:t>
      </w:r>
      <w:r>
        <w:rPr>
          <w:sz w:val="18"/>
        </w:rPr>
        <w:t>. Productivity Commission, 2011. </w:t>
      </w:r>
      <w:r>
        <w:rPr>
          <w:i/>
          <w:sz w:val="18"/>
        </w:rPr>
        <w:t>Identifying and Evaluating Regulation Reforms, </w:t>
      </w:r>
      <w:r>
        <w:rPr>
          <w:sz w:val="18"/>
        </w:rPr>
        <w:t>Canberra.</w:t>
      </w:r>
    </w:p>
    <w:p>
      <w:pPr>
        <w:spacing w:line="381" w:lineRule="auto" w:before="0"/>
        <w:ind w:left="600" w:right="1893" w:firstLine="0"/>
        <w:jc w:val="left"/>
        <w:rPr>
          <w:sz w:val="18"/>
        </w:rPr>
      </w:pPr>
      <w:r>
        <w:rPr>
          <w:sz w:val="18"/>
        </w:rPr>
        <w:t>R2A,</w:t>
      </w:r>
      <w:r>
        <w:rPr>
          <w:spacing w:val="-4"/>
          <w:sz w:val="18"/>
        </w:rPr>
        <w:t> </w:t>
      </w:r>
      <w:r>
        <w:rPr>
          <w:sz w:val="18"/>
        </w:rPr>
        <w:t>2017.</w:t>
      </w:r>
      <w:r>
        <w:rPr>
          <w:spacing w:val="-3"/>
          <w:sz w:val="18"/>
        </w:rPr>
        <w:t> </w:t>
      </w:r>
      <w:r>
        <w:rPr>
          <w:i/>
          <w:sz w:val="18"/>
        </w:rPr>
        <w:t>R2A’s</w:t>
      </w:r>
      <w:r>
        <w:rPr>
          <w:i/>
          <w:spacing w:val="-3"/>
          <w:sz w:val="18"/>
        </w:rPr>
        <w:t> </w:t>
      </w:r>
      <w:r>
        <w:rPr>
          <w:i/>
          <w:sz w:val="18"/>
        </w:rPr>
        <w:t>Response</w:t>
      </w:r>
      <w:r>
        <w:rPr>
          <w:i/>
          <w:spacing w:val="-5"/>
          <w:sz w:val="18"/>
        </w:rPr>
        <w:t> </w:t>
      </w:r>
      <w:r>
        <w:rPr>
          <w:i/>
          <w:sz w:val="18"/>
        </w:rPr>
        <w:t>to</w:t>
      </w:r>
      <w:r>
        <w:rPr>
          <w:i/>
          <w:spacing w:val="-3"/>
          <w:sz w:val="18"/>
        </w:rPr>
        <w:t> </w:t>
      </w:r>
      <w:r>
        <w:rPr>
          <w:i/>
          <w:sz w:val="18"/>
        </w:rPr>
        <w:t>the</w:t>
      </w:r>
      <w:r>
        <w:rPr>
          <w:i/>
          <w:spacing w:val="-3"/>
          <w:sz w:val="18"/>
        </w:rPr>
        <w:t> </w:t>
      </w:r>
      <w:r>
        <w:rPr>
          <w:i/>
          <w:sz w:val="18"/>
        </w:rPr>
        <w:t>Review</w:t>
      </w:r>
      <w:r>
        <w:rPr>
          <w:i/>
          <w:spacing w:val="-4"/>
          <w:sz w:val="18"/>
        </w:rPr>
        <w:t> </w:t>
      </w:r>
      <w:r>
        <w:rPr>
          <w:i/>
          <w:sz w:val="18"/>
        </w:rPr>
        <w:t>of</w:t>
      </w:r>
      <w:r>
        <w:rPr>
          <w:i/>
          <w:spacing w:val="-4"/>
          <w:sz w:val="18"/>
        </w:rPr>
        <w:t> </w:t>
      </w:r>
      <w:r>
        <w:rPr>
          <w:i/>
          <w:sz w:val="18"/>
        </w:rPr>
        <w:t>Victoria’s</w:t>
      </w:r>
      <w:r>
        <w:rPr>
          <w:i/>
          <w:spacing w:val="-2"/>
          <w:sz w:val="18"/>
        </w:rPr>
        <w:t> </w:t>
      </w:r>
      <w:r>
        <w:rPr>
          <w:i/>
          <w:sz w:val="18"/>
        </w:rPr>
        <w:t>Electricity</w:t>
      </w:r>
      <w:r>
        <w:rPr>
          <w:i/>
          <w:spacing w:val="-1"/>
          <w:sz w:val="18"/>
        </w:rPr>
        <w:t> </w:t>
      </w:r>
      <w:r>
        <w:rPr>
          <w:i/>
          <w:sz w:val="18"/>
        </w:rPr>
        <w:t>Network</w:t>
      </w:r>
      <w:r>
        <w:rPr>
          <w:i/>
          <w:spacing w:val="-2"/>
          <w:sz w:val="18"/>
        </w:rPr>
        <w:t> </w:t>
      </w:r>
      <w:r>
        <w:rPr>
          <w:i/>
          <w:sz w:val="18"/>
        </w:rPr>
        <w:t>Safety</w:t>
      </w:r>
      <w:r>
        <w:rPr>
          <w:i/>
          <w:spacing w:val="-3"/>
          <w:sz w:val="18"/>
        </w:rPr>
        <w:t> </w:t>
      </w:r>
      <w:r>
        <w:rPr>
          <w:i/>
          <w:sz w:val="18"/>
        </w:rPr>
        <w:t>Framework</w:t>
      </w:r>
      <w:r>
        <w:rPr>
          <w:sz w:val="18"/>
        </w:rPr>
        <w:t>. The New Zealand Productivity Commission, 2014. </w:t>
      </w:r>
      <w:r>
        <w:rPr>
          <w:i/>
          <w:sz w:val="18"/>
        </w:rPr>
        <w:t>Regulatory institutions and practices</w:t>
      </w:r>
      <w:r>
        <w:rPr>
          <w:sz w:val="18"/>
        </w:rPr>
        <w:t>.</w:t>
      </w:r>
    </w:p>
    <w:p>
      <w:pPr>
        <w:spacing w:line="206" w:lineRule="exact" w:before="0"/>
        <w:ind w:left="600" w:right="0" w:firstLine="0"/>
        <w:jc w:val="left"/>
        <w:rPr>
          <w:sz w:val="18"/>
        </w:rPr>
      </w:pPr>
      <w:r>
        <w:rPr>
          <w:sz w:val="18"/>
        </w:rPr>
        <w:t>Wilkinson,</w:t>
      </w:r>
      <w:r>
        <w:rPr>
          <w:spacing w:val="-4"/>
          <w:sz w:val="18"/>
        </w:rPr>
        <w:t> </w:t>
      </w:r>
      <w:r>
        <w:rPr>
          <w:sz w:val="18"/>
        </w:rPr>
        <w:t>P.,</w:t>
      </w:r>
      <w:r>
        <w:rPr>
          <w:spacing w:val="-3"/>
          <w:sz w:val="18"/>
        </w:rPr>
        <w:t> </w:t>
      </w:r>
      <w:r>
        <w:rPr>
          <w:sz w:val="18"/>
        </w:rPr>
        <w:t>2002.</w:t>
      </w:r>
      <w:r>
        <w:rPr>
          <w:spacing w:val="-2"/>
          <w:sz w:val="18"/>
        </w:rPr>
        <w:t> </w:t>
      </w:r>
      <w:r>
        <w:rPr>
          <w:i/>
          <w:sz w:val="18"/>
        </w:rPr>
        <w:t>Safety</w:t>
      </w:r>
      <w:r>
        <w:rPr>
          <w:i/>
          <w:spacing w:val="-3"/>
          <w:sz w:val="18"/>
        </w:rPr>
        <w:t> </w:t>
      </w:r>
      <w:r>
        <w:rPr>
          <w:i/>
          <w:sz w:val="18"/>
        </w:rPr>
        <w:t>Cases:</w:t>
      </w:r>
      <w:r>
        <w:rPr>
          <w:i/>
          <w:spacing w:val="-5"/>
          <w:sz w:val="18"/>
        </w:rPr>
        <w:t> </w:t>
      </w:r>
      <w:r>
        <w:rPr>
          <w:i/>
          <w:sz w:val="18"/>
        </w:rPr>
        <w:t>Success</w:t>
      </w:r>
      <w:r>
        <w:rPr>
          <w:i/>
          <w:spacing w:val="-4"/>
          <w:sz w:val="18"/>
        </w:rPr>
        <w:t> </w:t>
      </w:r>
      <w:r>
        <w:rPr>
          <w:i/>
          <w:sz w:val="18"/>
        </w:rPr>
        <w:t>or</w:t>
      </w:r>
      <w:r>
        <w:rPr>
          <w:i/>
          <w:spacing w:val="-4"/>
          <w:sz w:val="18"/>
        </w:rPr>
        <w:t> </w:t>
      </w:r>
      <w:r>
        <w:rPr>
          <w:i/>
          <w:spacing w:val="-2"/>
          <w:sz w:val="18"/>
        </w:rPr>
        <w:t>Failure?</w:t>
      </w:r>
      <w:r>
        <w:rPr>
          <w:spacing w:val="-2"/>
          <w:sz w:val="18"/>
        </w:rPr>
        <w:t>.</w:t>
      </w:r>
    </w:p>
    <w:p>
      <w:pPr>
        <w:spacing w:line="290" w:lineRule="auto" w:before="119"/>
        <w:ind w:left="600" w:right="586" w:firstLine="0"/>
        <w:jc w:val="left"/>
        <w:rPr>
          <w:sz w:val="18"/>
        </w:rPr>
      </w:pPr>
      <w:r>
        <w:rPr>
          <w:sz w:val="18"/>
        </w:rPr>
        <w:t>Wilkinson,</w:t>
      </w:r>
      <w:r>
        <w:rPr>
          <w:spacing w:val="-3"/>
          <w:sz w:val="18"/>
        </w:rPr>
        <w:t> </w:t>
      </w:r>
      <w:r>
        <w:rPr>
          <w:sz w:val="18"/>
        </w:rPr>
        <w:t>P.,</w:t>
      </w:r>
      <w:r>
        <w:rPr>
          <w:spacing w:val="-3"/>
          <w:sz w:val="18"/>
        </w:rPr>
        <w:t> </w:t>
      </w:r>
      <w:r>
        <w:rPr>
          <w:sz w:val="18"/>
        </w:rPr>
        <w:t>2014.</w:t>
      </w:r>
      <w:r>
        <w:rPr>
          <w:spacing w:val="-1"/>
          <w:sz w:val="18"/>
        </w:rPr>
        <w:t> </w:t>
      </w:r>
      <w:r>
        <w:rPr>
          <w:i/>
          <w:sz w:val="18"/>
        </w:rPr>
        <w:t>“The</w:t>
      </w:r>
      <w:r>
        <w:rPr>
          <w:i/>
          <w:spacing w:val="-5"/>
          <w:sz w:val="18"/>
        </w:rPr>
        <w:t> </w:t>
      </w:r>
      <w:r>
        <w:rPr>
          <w:i/>
          <w:sz w:val="18"/>
        </w:rPr>
        <w:t>use</w:t>
      </w:r>
      <w:r>
        <w:rPr>
          <w:i/>
          <w:spacing w:val="-5"/>
          <w:sz w:val="18"/>
        </w:rPr>
        <w:t> </w:t>
      </w:r>
      <w:r>
        <w:rPr>
          <w:i/>
          <w:sz w:val="18"/>
        </w:rPr>
        <w:t>of</w:t>
      </w:r>
      <w:r>
        <w:rPr>
          <w:i/>
          <w:spacing w:val="-3"/>
          <w:sz w:val="18"/>
        </w:rPr>
        <w:t> </w:t>
      </w:r>
      <w:r>
        <w:rPr>
          <w:i/>
          <w:sz w:val="18"/>
        </w:rPr>
        <w:t>Safety</w:t>
      </w:r>
      <w:r>
        <w:rPr>
          <w:i/>
          <w:spacing w:val="-2"/>
          <w:sz w:val="18"/>
        </w:rPr>
        <w:t> </w:t>
      </w:r>
      <w:r>
        <w:rPr>
          <w:i/>
          <w:sz w:val="18"/>
        </w:rPr>
        <w:t>Cases</w:t>
      </w:r>
      <w:r>
        <w:rPr>
          <w:i/>
          <w:spacing w:val="-2"/>
          <w:sz w:val="18"/>
        </w:rPr>
        <w:t> </w:t>
      </w:r>
      <w:r>
        <w:rPr>
          <w:i/>
          <w:sz w:val="18"/>
        </w:rPr>
        <w:t>in</w:t>
      </w:r>
      <w:r>
        <w:rPr>
          <w:i/>
          <w:spacing w:val="-3"/>
          <w:sz w:val="18"/>
        </w:rPr>
        <w:t> </w:t>
      </w:r>
      <w:r>
        <w:rPr>
          <w:i/>
          <w:sz w:val="18"/>
        </w:rPr>
        <w:t>Certification</w:t>
      </w:r>
      <w:r>
        <w:rPr>
          <w:i/>
          <w:spacing w:val="-3"/>
          <w:sz w:val="18"/>
        </w:rPr>
        <w:t> </w:t>
      </w:r>
      <w:r>
        <w:rPr>
          <w:i/>
          <w:sz w:val="18"/>
        </w:rPr>
        <w:t>and</w:t>
      </w:r>
      <w:r>
        <w:rPr>
          <w:i/>
          <w:spacing w:val="-3"/>
          <w:sz w:val="18"/>
        </w:rPr>
        <w:t> </w:t>
      </w:r>
      <w:r>
        <w:rPr>
          <w:i/>
          <w:sz w:val="18"/>
        </w:rPr>
        <w:t>Regulation”</w:t>
      </w:r>
      <w:r>
        <w:rPr>
          <w:i/>
          <w:spacing w:val="-5"/>
          <w:sz w:val="18"/>
        </w:rPr>
        <w:t> </w:t>
      </w:r>
      <w:r>
        <w:rPr>
          <w:i/>
          <w:sz w:val="18"/>
        </w:rPr>
        <w:t>by</w:t>
      </w:r>
      <w:r>
        <w:rPr>
          <w:i/>
          <w:spacing w:val="-2"/>
          <w:sz w:val="18"/>
        </w:rPr>
        <w:t> </w:t>
      </w:r>
      <w:r>
        <w:rPr>
          <w:i/>
          <w:sz w:val="18"/>
        </w:rPr>
        <w:t>Professor</w:t>
      </w:r>
      <w:r>
        <w:rPr>
          <w:i/>
          <w:spacing w:val="-3"/>
          <w:sz w:val="18"/>
        </w:rPr>
        <w:t> </w:t>
      </w:r>
      <w:r>
        <w:rPr>
          <w:i/>
          <w:sz w:val="18"/>
        </w:rPr>
        <w:t>Nancy</w:t>
      </w:r>
      <w:r>
        <w:rPr>
          <w:i/>
          <w:spacing w:val="-2"/>
          <w:sz w:val="18"/>
        </w:rPr>
        <w:t> </w:t>
      </w:r>
      <w:r>
        <w:rPr>
          <w:i/>
          <w:sz w:val="18"/>
        </w:rPr>
        <w:t>Leveson:</w:t>
      </w:r>
      <w:r>
        <w:rPr>
          <w:i/>
          <w:spacing w:val="-3"/>
          <w:sz w:val="18"/>
        </w:rPr>
        <w:t> </w:t>
      </w:r>
      <w:r>
        <w:rPr>
          <w:i/>
          <w:sz w:val="18"/>
        </w:rPr>
        <w:t>A review by Peter Wilkinson, </w:t>
      </w:r>
      <w:r>
        <w:rPr>
          <w:sz w:val="18"/>
        </w:rPr>
        <w:t>Sydney: Noetic Risk Solutions.</w:t>
      </w:r>
    </w:p>
    <w:p>
      <w:pPr>
        <w:spacing w:line="285" w:lineRule="auto" w:before="77"/>
        <w:ind w:left="600" w:right="374" w:firstLine="0"/>
        <w:jc w:val="left"/>
        <w:rPr>
          <w:sz w:val="18"/>
        </w:rPr>
      </w:pPr>
      <w:r>
        <w:rPr>
          <w:sz w:val="18"/>
        </w:rPr>
        <w:t>Workplace</w:t>
      </w:r>
      <w:r>
        <w:rPr>
          <w:spacing w:val="-3"/>
          <w:sz w:val="18"/>
        </w:rPr>
        <w:t> </w:t>
      </w:r>
      <w:r>
        <w:rPr>
          <w:sz w:val="18"/>
        </w:rPr>
        <w:t>Relations</w:t>
      </w:r>
      <w:r>
        <w:rPr>
          <w:spacing w:val="-2"/>
          <w:sz w:val="18"/>
        </w:rPr>
        <w:t> </w:t>
      </w:r>
      <w:r>
        <w:rPr>
          <w:sz w:val="18"/>
        </w:rPr>
        <w:t>Ministers’</w:t>
      </w:r>
      <w:r>
        <w:rPr>
          <w:spacing w:val="-3"/>
          <w:sz w:val="18"/>
        </w:rPr>
        <w:t> </w:t>
      </w:r>
      <w:r>
        <w:rPr>
          <w:sz w:val="18"/>
        </w:rPr>
        <w:t>Council,</w:t>
      </w:r>
      <w:r>
        <w:rPr>
          <w:spacing w:val="-3"/>
          <w:sz w:val="18"/>
        </w:rPr>
        <w:t> </w:t>
      </w:r>
      <w:r>
        <w:rPr>
          <w:sz w:val="18"/>
        </w:rPr>
        <w:t>2008. </w:t>
      </w:r>
      <w:r>
        <w:rPr>
          <w:i/>
          <w:sz w:val="18"/>
        </w:rPr>
        <w:t>National</w:t>
      </w:r>
      <w:r>
        <w:rPr>
          <w:i/>
          <w:spacing w:val="-3"/>
          <w:sz w:val="18"/>
        </w:rPr>
        <w:t> </w:t>
      </w:r>
      <w:r>
        <w:rPr>
          <w:i/>
          <w:sz w:val="18"/>
        </w:rPr>
        <w:t>Review</w:t>
      </w:r>
      <w:r>
        <w:rPr>
          <w:i/>
          <w:spacing w:val="-3"/>
          <w:sz w:val="18"/>
        </w:rPr>
        <w:t> </w:t>
      </w:r>
      <w:r>
        <w:rPr>
          <w:i/>
          <w:sz w:val="18"/>
        </w:rPr>
        <w:t>into</w:t>
      </w:r>
      <w:r>
        <w:rPr>
          <w:i/>
          <w:spacing w:val="-5"/>
          <w:sz w:val="18"/>
        </w:rPr>
        <w:t> </w:t>
      </w:r>
      <w:r>
        <w:rPr>
          <w:i/>
          <w:sz w:val="18"/>
        </w:rPr>
        <w:t>Model</w:t>
      </w:r>
      <w:r>
        <w:rPr>
          <w:i/>
          <w:spacing w:val="-3"/>
          <w:sz w:val="18"/>
        </w:rPr>
        <w:t> </w:t>
      </w:r>
      <w:r>
        <w:rPr>
          <w:i/>
          <w:sz w:val="18"/>
        </w:rPr>
        <w:t>Occupational</w:t>
      </w:r>
      <w:r>
        <w:rPr>
          <w:i/>
          <w:spacing w:val="-3"/>
          <w:sz w:val="18"/>
        </w:rPr>
        <w:t> </w:t>
      </w:r>
      <w:r>
        <w:rPr>
          <w:i/>
          <w:sz w:val="18"/>
        </w:rPr>
        <w:t>Health</w:t>
      </w:r>
      <w:r>
        <w:rPr>
          <w:i/>
          <w:spacing w:val="-5"/>
          <w:sz w:val="18"/>
        </w:rPr>
        <w:t> </w:t>
      </w:r>
      <w:r>
        <w:rPr>
          <w:i/>
          <w:sz w:val="18"/>
        </w:rPr>
        <w:t>and</w:t>
      </w:r>
      <w:r>
        <w:rPr>
          <w:i/>
          <w:spacing w:val="-5"/>
          <w:sz w:val="18"/>
        </w:rPr>
        <w:t> </w:t>
      </w:r>
      <w:r>
        <w:rPr>
          <w:i/>
          <w:sz w:val="18"/>
        </w:rPr>
        <w:t>Safety</w:t>
      </w:r>
      <w:r>
        <w:rPr>
          <w:i/>
          <w:spacing w:val="-2"/>
          <w:sz w:val="18"/>
        </w:rPr>
        <w:t> </w:t>
      </w:r>
      <w:r>
        <w:rPr>
          <w:i/>
          <w:sz w:val="18"/>
        </w:rPr>
        <w:t>Laws: First Report</w:t>
      </w:r>
      <w:r>
        <w:rPr>
          <w:sz w:val="18"/>
        </w:rPr>
        <w:t>.</w:t>
      </w:r>
    </w:p>
    <w:p>
      <w:pPr>
        <w:spacing w:before="84"/>
        <w:ind w:left="600" w:right="0" w:firstLine="0"/>
        <w:jc w:val="left"/>
        <w:rPr>
          <w:sz w:val="18"/>
        </w:rPr>
      </w:pPr>
      <w:r>
        <w:rPr>
          <w:sz w:val="18"/>
        </w:rPr>
        <w:t>WorkSafe</w:t>
      </w:r>
      <w:r>
        <w:rPr>
          <w:spacing w:val="-6"/>
          <w:sz w:val="18"/>
        </w:rPr>
        <w:t> </w:t>
      </w:r>
      <w:r>
        <w:rPr>
          <w:sz w:val="18"/>
        </w:rPr>
        <w:t>Victoria,</w:t>
      </w:r>
      <w:r>
        <w:rPr>
          <w:spacing w:val="-3"/>
          <w:sz w:val="18"/>
        </w:rPr>
        <w:t> </w:t>
      </w:r>
      <w:r>
        <w:rPr>
          <w:sz w:val="18"/>
        </w:rPr>
        <w:t>2011.</w:t>
      </w:r>
      <w:r>
        <w:rPr>
          <w:spacing w:val="-3"/>
          <w:sz w:val="18"/>
        </w:rPr>
        <w:t> </w:t>
      </w:r>
      <w:r>
        <w:rPr>
          <w:i/>
          <w:sz w:val="18"/>
        </w:rPr>
        <w:t>Safety</w:t>
      </w:r>
      <w:r>
        <w:rPr>
          <w:i/>
          <w:spacing w:val="-2"/>
          <w:sz w:val="18"/>
        </w:rPr>
        <w:t> </w:t>
      </w:r>
      <w:r>
        <w:rPr>
          <w:i/>
          <w:sz w:val="18"/>
        </w:rPr>
        <w:t>Assessment</w:t>
      </w:r>
      <w:r>
        <w:rPr>
          <w:i/>
          <w:spacing w:val="-5"/>
          <w:sz w:val="18"/>
        </w:rPr>
        <w:t> </w:t>
      </w:r>
      <w:r>
        <w:rPr>
          <w:i/>
          <w:sz w:val="18"/>
        </w:rPr>
        <w:t>for</w:t>
      </w:r>
      <w:r>
        <w:rPr>
          <w:i/>
          <w:spacing w:val="-3"/>
          <w:sz w:val="18"/>
        </w:rPr>
        <w:t> </w:t>
      </w:r>
      <w:r>
        <w:rPr>
          <w:i/>
          <w:sz w:val="18"/>
        </w:rPr>
        <w:t>a</w:t>
      </w:r>
      <w:r>
        <w:rPr>
          <w:i/>
          <w:spacing w:val="-4"/>
          <w:sz w:val="18"/>
        </w:rPr>
        <w:t> </w:t>
      </w:r>
      <w:r>
        <w:rPr>
          <w:i/>
          <w:sz w:val="18"/>
        </w:rPr>
        <w:t>major</w:t>
      </w:r>
      <w:r>
        <w:rPr>
          <w:i/>
          <w:spacing w:val="-3"/>
          <w:sz w:val="18"/>
        </w:rPr>
        <w:t> </w:t>
      </w:r>
      <w:r>
        <w:rPr>
          <w:i/>
          <w:sz w:val="18"/>
        </w:rPr>
        <w:t>hazard</w:t>
      </w:r>
      <w:r>
        <w:rPr>
          <w:i/>
          <w:spacing w:val="-3"/>
          <w:sz w:val="18"/>
        </w:rPr>
        <w:t> </w:t>
      </w:r>
      <w:r>
        <w:rPr>
          <w:i/>
          <w:spacing w:val="-2"/>
          <w:sz w:val="18"/>
        </w:rPr>
        <w:t>facility</w:t>
      </w:r>
      <w:r>
        <w:rPr>
          <w:spacing w:val="-2"/>
          <w:sz w:val="18"/>
        </w:rPr>
        <w:t>.</w:t>
      </w:r>
    </w:p>
    <w:p>
      <w:pPr>
        <w:spacing w:after="0"/>
        <w:jc w:val="left"/>
        <w:rPr>
          <w:sz w:val="18"/>
        </w:rPr>
        <w:sectPr>
          <w:pgSz w:w="11910" w:h="16840"/>
          <w:pgMar w:header="887" w:footer="1286" w:top="1080" w:bottom="1500" w:left="840" w:right="820"/>
        </w:sectPr>
      </w:pPr>
    </w:p>
    <w:p>
      <w:pPr>
        <w:pStyle w:val="BodyText"/>
        <w:spacing w:line="139" w:lineRule="exact"/>
        <w:ind w:left="571"/>
        <w:rPr>
          <w:sz w:val="13"/>
        </w:rPr>
      </w:pPr>
      <w:r>
        <w:rPr/>
        <w:drawing>
          <wp:anchor distT="0" distB="0" distL="0" distR="0" allowOverlap="1" layoutInCell="1" locked="0" behindDoc="0" simplePos="0" relativeHeight="15750656">
            <wp:simplePos x="0" y="0"/>
            <wp:positionH relativeFrom="page">
              <wp:posOffset>636</wp:posOffset>
            </wp:positionH>
            <wp:positionV relativeFrom="page">
              <wp:posOffset>0</wp:posOffset>
            </wp:positionV>
            <wp:extent cx="7559675" cy="10691493"/>
            <wp:effectExtent l="0" t="0" r="0" b="0"/>
            <wp:wrapNone/>
            <wp:docPr id="92" name="Image 92"/>
            <wp:cNvGraphicFramePr>
              <a:graphicFrameLocks/>
            </wp:cNvGraphicFramePr>
            <a:graphic>
              <a:graphicData uri="http://schemas.openxmlformats.org/drawingml/2006/picture">
                <pic:pic>
                  <pic:nvPicPr>
                    <pic:cNvPr id="92" name="Image 92"/>
                    <pic:cNvPicPr/>
                  </pic:nvPicPr>
                  <pic:blipFill>
                    <a:blip r:embed="rId65" cstate="print"/>
                    <a:stretch>
                      <a:fillRect/>
                    </a:stretch>
                  </pic:blipFill>
                  <pic:spPr>
                    <a:xfrm>
                      <a:off x="0" y="0"/>
                      <a:ext cx="7559675" cy="10691493"/>
                    </a:xfrm>
                    <a:prstGeom prst="rect">
                      <a:avLst/>
                    </a:prstGeom>
                  </pic:spPr>
                </pic:pic>
              </a:graphicData>
            </a:graphic>
          </wp:anchor>
        </w:drawing>
      </w:r>
      <w:r>
        <w:rPr>
          <w:position w:val="-2"/>
          <w:sz w:val="13"/>
        </w:rPr>
        <mc:AlternateContent>
          <mc:Choice Requires="wps">
            <w:drawing>
              <wp:inline distT="0" distB="0" distL="0" distR="0">
                <wp:extent cx="5769610" cy="88900"/>
                <wp:effectExtent l="0" t="0" r="0" b="0"/>
                <wp:docPr id="93" name="Group 93"/>
                <wp:cNvGraphicFramePr>
                  <a:graphicFrameLocks/>
                </wp:cNvGraphicFramePr>
                <a:graphic>
                  <a:graphicData uri="http://schemas.microsoft.com/office/word/2010/wordprocessingGroup">
                    <wpg:wgp>
                      <wpg:cNvPr id="93" name="Group 93"/>
                      <wpg:cNvGrpSpPr/>
                      <wpg:grpSpPr>
                        <a:xfrm>
                          <a:off x="0" y="0"/>
                          <a:ext cx="5769610" cy="88900"/>
                          <a:chExt cx="5769610" cy="88900"/>
                        </a:xfrm>
                      </wpg:grpSpPr>
                      <wps:wsp>
                        <wps:cNvPr id="94" name="Graphic 94"/>
                        <wps:cNvSpPr/>
                        <wps:spPr>
                          <a:xfrm>
                            <a:off x="0" y="0"/>
                            <a:ext cx="5769610" cy="88900"/>
                          </a:xfrm>
                          <a:custGeom>
                            <a:avLst/>
                            <a:gdLst/>
                            <a:ahLst/>
                            <a:cxnLst/>
                            <a:rect l="l" t="t" r="r" b="b"/>
                            <a:pathLst>
                              <a:path w="5769610" h="88900">
                                <a:moveTo>
                                  <a:pt x="5769229" y="0"/>
                                </a:moveTo>
                                <a:lnTo>
                                  <a:pt x="0" y="0"/>
                                </a:lnTo>
                                <a:lnTo>
                                  <a:pt x="0" y="88392"/>
                                </a:lnTo>
                                <a:lnTo>
                                  <a:pt x="5769229" y="88392"/>
                                </a:lnTo>
                                <a:lnTo>
                                  <a:pt x="5769229" y="0"/>
                                </a:lnTo>
                                <a:close/>
                              </a:path>
                            </a:pathLst>
                          </a:custGeom>
                          <a:solidFill>
                            <a:srgbClr val="00B3A8"/>
                          </a:solidFill>
                        </wps:spPr>
                        <wps:bodyPr wrap="square" lIns="0" tIns="0" rIns="0" bIns="0" rtlCol="0">
                          <a:prstTxWarp prst="textNoShape">
                            <a:avLst/>
                          </a:prstTxWarp>
                          <a:noAutofit/>
                        </wps:bodyPr>
                      </wps:wsp>
                    </wpg:wgp>
                  </a:graphicData>
                </a:graphic>
              </wp:inline>
            </w:drawing>
          </mc:Choice>
          <mc:Fallback>
            <w:pict>
              <v:group style="width:454.3pt;height:7pt;mso-position-horizontal-relative:char;mso-position-vertical-relative:line" id="docshapegroup80" coordorigin="0,0" coordsize="9086,140">
                <v:rect style="position:absolute;left:0;top:0;width:9086;height:140" id="docshape81" filled="true" fillcolor="#00b3a8" stroked="false">
                  <v:fill type="solid"/>
                </v:rect>
              </v:group>
            </w:pict>
          </mc:Fallback>
        </mc:AlternateContent>
      </w:r>
      <w:r>
        <w:rPr>
          <w:position w:val="-2"/>
          <w:sz w:val="13"/>
        </w:rPr>
      </w:r>
    </w:p>
    <w:p>
      <w:pPr>
        <w:pStyle w:val="BodyText"/>
        <w:rPr>
          <w:sz w:val="20"/>
        </w:rPr>
      </w:pPr>
    </w:p>
    <w:p>
      <w:pPr>
        <w:pStyle w:val="BodyText"/>
        <w:rPr>
          <w:sz w:val="20"/>
        </w:rPr>
      </w:pPr>
    </w:p>
    <w:p>
      <w:pPr>
        <w:pStyle w:val="BodyText"/>
        <w:spacing w:before="2"/>
        <w:rPr>
          <w:sz w:val="16"/>
        </w:rPr>
      </w:pPr>
    </w:p>
    <w:p>
      <w:pPr>
        <w:pStyle w:val="Heading2"/>
        <w:spacing w:line="288" w:lineRule="auto"/>
        <w:ind w:left="600" w:right="763"/>
        <w:jc w:val="both"/>
      </w:pPr>
      <w:bookmarkStart w:name="_bookmark6" w:id="7"/>
      <w:bookmarkEnd w:id="7"/>
      <w:r>
        <w:rPr>
          <w:b w:val="0"/>
        </w:rPr>
      </w:r>
      <w:r>
        <w:rPr>
          <w:color w:val="00B1A9"/>
        </w:rPr>
        <w:t>PART</w:t>
      </w:r>
      <w:r>
        <w:rPr>
          <w:color w:val="00B1A9"/>
          <w:spacing w:val="-13"/>
        </w:rPr>
        <w:t> </w:t>
      </w:r>
      <w:r>
        <w:rPr>
          <w:color w:val="00B1A9"/>
        </w:rPr>
        <w:t>D:</w:t>
      </w:r>
      <w:r>
        <w:rPr>
          <w:color w:val="00B1A9"/>
          <w:spacing w:val="-12"/>
        </w:rPr>
        <w:t> </w:t>
      </w:r>
      <w:r>
        <w:rPr>
          <w:color w:val="00B1A9"/>
        </w:rPr>
        <w:t>THE</w:t>
      </w:r>
      <w:r>
        <w:rPr>
          <w:color w:val="00B1A9"/>
          <w:spacing w:val="-13"/>
        </w:rPr>
        <w:t> </w:t>
      </w:r>
      <w:r>
        <w:rPr>
          <w:color w:val="00B1A9"/>
        </w:rPr>
        <w:t>BUILDING</w:t>
      </w:r>
      <w:r>
        <w:rPr>
          <w:color w:val="00B1A9"/>
          <w:spacing w:val="-13"/>
        </w:rPr>
        <w:t> </w:t>
      </w:r>
      <w:r>
        <w:rPr>
          <w:color w:val="00B1A9"/>
        </w:rPr>
        <w:t>BLOCKS</w:t>
      </w:r>
      <w:r>
        <w:rPr>
          <w:color w:val="00B1A9"/>
          <w:spacing w:val="-13"/>
        </w:rPr>
        <w:t> </w:t>
      </w:r>
      <w:r>
        <w:rPr>
          <w:color w:val="00B1A9"/>
        </w:rPr>
        <w:t>OF</w:t>
      </w:r>
      <w:r>
        <w:rPr>
          <w:color w:val="00B1A9"/>
          <w:spacing w:val="-27"/>
        </w:rPr>
        <w:t> </w:t>
      </w:r>
      <w:r>
        <w:rPr>
          <w:color w:val="00B1A9"/>
        </w:rPr>
        <w:t>A WORLD</w:t>
      </w:r>
      <w:r>
        <w:rPr>
          <w:color w:val="00B1A9"/>
          <w:spacing w:val="-9"/>
        </w:rPr>
        <w:t> </w:t>
      </w:r>
      <w:r>
        <w:rPr>
          <w:color w:val="00B1A9"/>
        </w:rPr>
        <w:t>LEADING</w:t>
      </w:r>
      <w:r>
        <w:rPr>
          <w:color w:val="00B1A9"/>
          <w:spacing w:val="-9"/>
        </w:rPr>
        <w:t> </w:t>
      </w:r>
      <w:r>
        <w:rPr>
          <w:color w:val="00B1A9"/>
        </w:rPr>
        <w:t>ENERGY</w:t>
      </w:r>
      <w:r>
        <w:rPr>
          <w:color w:val="00B1A9"/>
          <w:spacing w:val="-16"/>
        </w:rPr>
        <w:t> </w:t>
      </w:r>
      <w:r>
        <w:rPr>
          <w:color w:val="00B1A9"/>
        </w:rPr>
        <w:t>NETWORK SAFETY REGIME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3"/>
        </w:rPr>
      </w:pPr>
    </w:p>
    <w:p>
      <w:pPr>
        <w:spacing w:before="1"/>
        <w:ind w:left="2508" w:right="2526" w:firstLine="0"/>
        <w:jc w:val="center"/>
        <w:rPr>
          <w:sz w:val="16"/>
        </w:rPr>
      </w:pPr>
      <w:r>
        <w:rPr/>
        <mc:AlternateContent>
          <mc:Choice Requires="wps">
            <w:drawing>
              <wp:anchor distT="0" distB="0" distL="0" distR="0" allowOverlap="1" layoutInCell="1" locked="0" behindDoc="1" simplePos="0" relativeHeight="487609344">
                <wp:simplePos x="0" y="0"/>
                <wp:positionH relativeFrom="page">
                  <wp:posOffset>896416</wp:posOffset>
                </wp:positionH>
                <wp:positionV relativeFrom="paragraph">
                  <wp:posOffset>132740</wp:posOffset>
                </wp:positionV>
                <wp:extent cx="5769610" cy="88900"/>
                <wp:effectExtent l="0" t="0" r="0" b="0"/>
                <wp:wrapTopAndBottom/>
                <wp:docPr id="95" name="Graphic 95"/>
                <wp:cNvGraphicFramePr>
                  <a:graphicFrameLocks/>
                </wp:cNvGraphicFramePr>
                <a:graphic>
                  <a:graphicData uri="http://schemas.microsoft.com/office/word/2010/wordprocessingShape">
                    <wps:wsp>
                      <wps:cNvPr id="95" name="Graphic 95"/>
                      <wps:cNvSpPr/>
                      <wps:spPr>
                        <a:xfrm>
                          <a:off x="0" y="0"/>
                          <a:ext cx="5769610" cy="88900"/>
                        </a:xfrm>
                        <a:custGeom>
                          <a:avLst/>
                          <a:gdLst/>
                          <a:ahLst/>
                          <a:cxnLst/>
                          <a:rect l="l" t="t" r="r" b="b"/>
                          <a:pathLst>
                            <a:path w="5769610" h="88900">
                              <a:moveTo>
                                <a:pt x="5769229" y="0"/>
                              </a:moveTo>
                              <a:lnTo>
                                <a:pt x="0" y="0"/>
                              </a:lnTo>
                              <a:lnTo>
                                <a:pt x="0" y="88392"/>
                              </a:lnTo>
                              <a:lnTo>
                                <a:pt x="5769229" y="88392"/>
                              </a:lnTo>
                              <a:lnTo>
                                <a:pt x="5769229" y="0"/>
                              </a:lnTo>
                              <a:close/>
                            </a:path>
                          </a:pathLst>
                        </a:custGeom>
                        <a:solidFill>
                          <a:srgbClr val="00B3A8"/>
                        </a:solidFill>
                      </wps:spPr>
                      <wps:bodyPr wrap="square" lIns="0" tIns="0" rIns="0" bIns="0" rtlCol="0">
                        <a:prstTxWarp prst="textNoShape">
                          <a:avLst/>
                        </a:prstTxWarp>
                        <a:noAutofit/>
                      </wps:bodyPr>
                    </wps:wsp>
                  </a:graphicData>
                </a:graphic>
              </wp:anchor>
            </w:drawing>
          </mc:Choice>
          <mc:Fallback>
            <w:pict>
              <v:rect style="position:absolute;margin-left:70.584pt;margin-top:10.451976pt;width:454.27pt;height:6.96pt;mso-position-horizontal-relative:page;mso-position-vertical-relative:paragraph;z-index:-15707136;mso-wrap-distance-left:0;mso-wrap-distance-right:0" id="docshape82" filled="true" fillcolor="#00b3a8" stroked="false">
                <v:fill type="solid"/>
                <w10:wrap type="topAndBottom"/>
              </v:rect>
            </w:pict>
          </mc:Fallback>
        </mc:AlternateContent>
      </w:r>
      <w:r>
        <w:rPr>
          <w:spacing w:val="-5"/>
          <w:sz w:val="16"/>
        </w:rPr>
        <w:t>82</w:t>
      </w:r>
    </w:p>
    <w:p>
      <w:pPr>
        <w:spacing w:after="0"/>
        <w:jc w:val="center"/>
        <w:rPr>
          <w:sz w:val="16"/>
        </w:rPr>
        <w:sectPr>
          <w:headerReference w:type="default" r:id="rId63"/>
          <w:footerReference w:type="default" r:id="rId64"/>
          <w:pgSz w:w="11910" w:h="16840"/>
          <w:pgMar w:header="0" w:footer="0" w:top="920" w:bottom="280" w:left="840" w:right="820"/>
        </w:sectPr>
      </w:pPr>
    </w:p>
    <w:p>
      <w:pPr>
        <w:pStyle w:val="BodyText"/>
        <w:rPr>
          <w:sz w:val="20"/>
        </w:rPr>
      </w:pPr>
    </w:p>
    <w:p>
      <w:pPr>
        <w:pStyle w:val="BodyText"/>
        <w:rPr>
          <w:sz w:val="20"/>
        </w:rPr>
      </w:pPr>
    </w:p>
    <w:p>
      <w:pPr>
        <w:pStyle w:val="Heading3"/>
        <w:spacing w:line="285" w:lineRule="auto" w:before="262"/>
        <w:ind w:left="600"/>
      </w:pPr>
      <w:bookmarkStart w:name="_bookmark7" w:id="8"/>
      <w:bookmarkEnd w:id="8"/>
      <w:r>
        <w:rPr>
          <w:b w:val="0"/>
        </w:rPr>
      </w:r>
      <w:r>
        <w:rPr>
          <w:color w:val="00B1A9"/>
        </w:rPr>
        <w:t>Chapter</w:t>
      </w:r>
      <w:r>
        <w:rPr>
          <w:color w:val="00B1A9"/>
          <w:spacing w:val="-9"/>
        </w:rPr>
        <w:t> </w:t>
      </w:r>
      <w:r>
        <w:rPr>
          <w:color w:val="00B1A9"/>
        </w:rPr>
        <w:t>1:</w:t>
      </w:r>
      <w:r>
        <w:rPr>
          <w:color w:val="00B1A9"/>
          <w:spacing w:val="-9"/>
        </w:rPr>
        <w:t> </w:t>
      </w:r>
      <w:r>
        <w:rPr>
          <w:color w:val="00B1A9"/>
        </w:rPr>
        <w:t>ESV’s</w:t>
      </w:r>
      <w:r>
        <w:rPr>
          <w:color w:val="00B1A9"/>
          <w:spacing w:val="-9"/>
        </w:rPr>
        <w:t> </w:t>
      </w:r>
      <w:r>
        <w:rPr>
          <w:color w:val="00B1A9"/>
        </w:rPr>
        <w:t>Regulatory</w:t>
      </w:r>
      <w:r>
        <w:rPr>
          <w:color w:val="00B1A9"/>
          <w:spacing w:val="-13"/>
        </w:rPr>
        <w:t> </w:t>
      </w:r>
      <w:r>
        <w:rPr>
          <w:color w:val="00B1A9"/>
        </w:rPr>
        <w:t>and</w:t>
      </w:r>
      <w:r>
        <w:rPr>
          <w:color w:val="00B1A9"/>
          <w:spacing w:val="-10"/>
        </w:rPr>
        <w:t> </w:t>
      </w:r>
      <w:r>
        <w:rPr>
          <w:color w:val="00B1A9"/>
        </w:rPr>
        <w:t>Corporate </w:t>
      </w:r>
      <w:r>
        <w:rPr>
          <w:color w:val="00B1A9"/>
          <w:spacing w:val="-2"/>
        </w:rPr>
        <w:t>Governance</w:t>
      </w:r>
    </w:p>
    <w:p>
      <w:pPr>
        <w:pStyle w:val="BodyText"/>
        <w:rPr>
          <w:b/>
          <w:sz w:val="20"/>
        </w:rPr>
      </w:pPr>
    </w:p>
    <w:p>
      <w:pPr>
        <w:pStyle w:val="Heading4"/>
        <w:spacing w:before="255"/>
        <w:ind w:left="742"/>
      </w:pPr>
      <w:r>
        <w:rPr/>
        <mc:AlternateContent>
          <mc:Choice Requires="wps">
            <w:drawing>
              <wp:anchor distT="0" distB="0" distL="0" distR="0" allowOverlap="1" layoutInCell="1" locked="0" behindDoc="1" simplePos="0" relativeHeight="482701312">
                <wp:simplePos x="0" y="0"/>
                <wp:positionH relativeFrom="page">
                  <wp:posOffset>914704</wp:posOffset>
                </wp:positionH>
                <wp:positionV relativeFrom="paragraph">
                  <wp:posOffset>9624</wp:posOffset>
                </wp:positionV>
                <wp:extent cx="5732780" cy="6087745"/>
                <wp:effectExtent l="0" t="0" r="0" b="0"/>
                <wp:wrapNone/>
                <wp:docPr id="99" name="Graphic 99"/>
                <wp:cNvGraphicFramePr>
                  <a:graphicFrameLocks/>
                </wp:cNvGraphicFramePr>
                <a:graphic>
                  <a:graphicData uri="http://schemas.microsoft.com/office/word/2010/wordprocessingShape">
                    <wps:wsp>
                      <wps:cNvPr id="99" name="Graphic 99"/>
                      <wps:cNvSpPr/>
                      <wps:spPr>
                        <a:xfrm>
                          <a:off x="0" y="0"/>
                          <a:ext cx="5732780" cy="6087745"/>
                        </a:xfrm>
                        <a:custGeom>
                          <a:avLst/>
                          <a:gdLst/>
                          <a:ahLst/>
                          <a:cxnLst/>
                          <a:rect l="l" t="t" r="r" b="b"/>
                          <a:pathLst>
                            <a:path w="5732780" h="6087745">
                              <a:moveTo>
                                <a:pt x="5732653" y="0"/>
                              </a:moveTo>
                              <a:lnTo>
                                <a:pt x="0" y="0"/>
                              </a:lnTo>
                              <a:lnTo>
                                <a:pt x="0" y="6087491"/>
                              </a:lnTo>
                              <a:lnTo>
                                <a:pt x="5732653" y="6087491"/>
                              </a:lnTo>
                              <a:lnTo>
                                <a:pt x="5732653"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72.024002pt;margin-top:.757834pt;width:451.39pt;height:479.33pt;mso-position-horizontal-relative:page;mso-position-vertical-relative:paragraph;z-index:-20615168" id="docshape86" filled="true" fillcolor="#d9d9d9" stroked="false">
                <v:fill type="solid"/>
                <w10:wrap type="none"/>
              </v:rect>
            </w:pict>
          </mc:Fallback>
        </mc:AlternateContent>
      </w:r>
      <w:r>
        <w:rPr>
          <w:color w:val="585858"/>
          <w:spacing w:val="-2"/>
        </w:rPr>
        <w:t>Summary</w:t>
      </w:r>
    </w:p>
    <w:p>
      <w:pPr>
        <w:pStyle w:val="BodyText"/>
        <w:spacing w:line="288" w:lineRule="auto" w:before="314"/>
        <w:ind w:left="713" w:right="775"/>
        <w:jc w:val="both"/>
      </w:pPr>
      <w:r>
        <w:rPr/>
        <w:t>Energy</w:t>
      </w:r>
      <w:r>
        <w:rPr>
          <w:spacing w:val="-4"/>
        </w:rPr>
        <w:t> </w:t>
      </w:r>
      <w:r>
        <w:rPr/>
        <w:t>Safe</w:t>
      </w:r>
      <w:r>
        <w:rPr>
          <w:spacing w:val="-4"/>
        </w:rPr>
        <w:t> </w:t>
      </w:r>
      <w:r>
        <w:rPr/>
        <w:t>Victoria</w:t>
      </w:r>
      <w:r>
        <w:rPr>
          <w:spacing w:val="-2"/>
        </w:rPr>
        <w:t> </w:t>
      </w:r>
      <w:r>
        <w:rPr/>
        <w:t>(ESV)</w:t>
      </w:r>
      <w:r>
        <w:rPr>
          <w:spacing w:val="-1"/>
        </w:rPr>
        <w:t> </w:t>
      </w:r>
      <w:r>
        <w:rPr/>
        <w:t>has</w:t>
      </w:r>
      <w:r>
        <w:rPr>
          <w:spacing w:val="-4"/>
        </w:rPr>
        <w:t> </w:t>
      </w:r>
      <w:r>
        <w:rPr/>
        <w:t>developed</w:t>
      </w:r>
      <w:r>
        <w:rPr>
          <w:spacing w:val="-2"/>
        </w:rPr>
        <w:t> </w:t>
      </w:r>
      <w:r>
        <w:rPr/>
        <w:t>a</w:t>
      </w:r>
      <w:r>
        <w:rPr>
          <w:spacing w:val="-2"/>
        </w:rPr>
        <w:t> </w:t>
      </w:r>
      <w:r>
        <w:rPr/>
        <w:t>strong</w:t>
      </w:r>
      <w:r>
        <w:rPr>
          <w:spacing w:val="-2"/>
        </w:rPr>
        <w:t> </w:t>
      </w:r>
      <w:r>
        <w:rPr/>
        <w:t>reputation</w:t>
      </w:r>
      <w:r>
        <w:rPr>
          <w:spacing w:val="-2"/>
        </w:rPr>
        <w:t> </w:t>
      </w:r>
      <w:r>
        <w:rPr/>
        <w:t>as</w:t>
      </w:r>
      <w:r>
        <w:rPr>
          <w:spacing w:val="-1"/>
        </w:rPr>
        <w:t> </w:t>
      </w:r>
      <w:r>
        <w:rPr/>
        <w:t>a</w:t>
      </w:r>
      <w:r>
        <w:rPr>
          <w:spacing w:val="-4"/>
        </w:rPr>
        <w:t> </w:t>
      </w:r>
      <w:r>
        <w:rPr/>
        <w:t>regulator</w:t>
      </w:r>
      <w:r>
        <w:rPr>
          <w:spacing w:val="-3"/>
        </w:rPr>
        <w:t> </w:t>
      </w:r>
      <w:r>
        <w:rPr/>
        <w:t>that</w:t>
      </w:r>
      <w:r>
        <w:rPr>
          <w:spacing w:val="-3"/>
        </w:rPr>
        <w:t> </w:t>
      </w:r>
      <w:r>
        <w:rPr/>
        <w:t>seeks</w:t>
      </w:r>
      <w:r>
        <w:rPr>
          <w:spacing w:val="-4"/>
        </w:rPr>
        <w:t> </w:t>
      </w:r>
      <w:r>
        <w:rPr/>
        <w:t>to work collaboratively with energy network businesses. There is less consensus around the degree to which ESV strikes an effective balance in enforcing its regulation.</w:t>
      </w:r>
    </w:p>
    <w:p>
      <w:pPr>
        <w:pStyle w:val="BodyText"/>
        <w:spacing w:before="11"/>
        <w:rPr>
          <w:sz w:val="20"/>
        </w:rPr>
      </w:pPr>
    </w:p>
    <w:p>
      <w:pPr>
        <w:pStyle w:val="BodyText"/>
        <w:ind w:left="713"/>
        <w:jc w:val="both"/>
      </w:pPr>
      <w:r>
        <w:rPr/>
        <w:t>ESV</w:t>
      </w:r>
      <w:r>
        <w:rPr>
          <w:spacing w:val="-7"/>
        </w:rPr>
        <w:t> </w:t>
      </w:r>
      <w:r>
        <w:rPr/>
        <w:t>should</w:t>
      </w:r>
      <w:r>
        <w:rPr>
          <w:spacing w:val="-5"/>
        </w:rPr>
        <w:t> </w:t>
      </w:r>
      <w:r>
        <w:rPr/>
        <w:t>be</w:t>
      </w:r>
      <w:r>
        <w:rPr>
          <w:spacing w:val="-4"/>
        </w:rPr>
        <w:t> </w:t>
      </w:r>
      <w:r>
        <w:rPr/>
        <w:t>constituted</w:t>
      </w:r>
      <w:r>
        <w:rPr>
          <w:spacing w:val="-5"/>
        </w:rPr>
        <w:t> </w:t>
      </w:r>
      <w:r>
        <w:rPr/>
        <w:t>as</w:t>
      </w:r>
      <w:r>
        <w:rPr>
          <w:spacing w:val="-5"/>
        </w:rPr>
        <w:t> </w:t>
      </w:r>
      <w:r>
        <w:rPr/>
        <w:t>a</w:t>
      </w:r>
      <w:r>
        <w:rPr>
          <w:spacing w:val="-6"/>
        </w:rPr>
        <w:t> </w:t>
      </w:r>
      <w:r>
        <w:rPr/>
        <w:t>three-person</w:t>
      </w:r>
      <w:r>
        <w:rPr>
          <w:spacing w:val="-7"/>
        </w:rPr>
        <w:t> </w:t>
      </w:r>
      <w:r>
        <w:rPr/>
        <w:t>commission</w:t>
      </w:r>
      <w:r>
        <w:rPr>
          <w:spacing w:val="-6"/>
        </w:rPr>
        <w:t> </w:t>
      </w:r>
      <w:r>
        <w:rPr/>
        <w:t>to</w:t>
      </w:r>
      <w:r>
        <w:rPr>
          <w:spacing w:val="-7"/>
        </w:rPr>
        <w:t> </w:t>
      </w:r>
      <w:r>
        <w:rPr/>
        <w:t>buttress</w:t>
      </w:r>
      <w:r>
        <w:rPr>
          <w:spacing w:val="-6"/>
        </w:rPr>
        <w:t> </w:t>
      </w:r>
      <w:r>
        <w:rPr/>
        <w:t>its</w:t>
      </w:r>
      <w:r>
        <w:rPr>
          <w:spacing w:val="-6"/>
        </w:rPr>
        <w:t> </w:t>
      </w:r>
      <w:r>
        <w:rPr>
          <w:spacing w:val="-2"/>
        </w:rPr>
        <w:t>independence.</w:t>
      </w:r>
    </w:p>
    <w:p>
      <w:pPr>
        <w:pStyle w:val="BodyText"/>
        <w:spacing w:before="2"/>
        <w:rPr>
          <w:sz w:val="25"/>
        </w:rPr>
      </w:pPr>
    </w:p>
    <w:p>
      <w:pPr>
        <w:pStyle w:val="BodyText"/>
        <w:spacing w:line="288" w:lineRule="auto" w:before="1"/>
        <w:ind w:left="713" w:right="813"/>
      </w:pPr>
      <w:r>
        <w:rPr/>
        <w:t>This would broaden accountability for ESV's regulatory decisions and approach from a single</w:t>
      </w:r>
      <w:r>
        <w:rPr>
          <w:spacing w:val="-3"/>
        </w:rPr>
        <w:t> </w:t>
      </w:r>
      <w:r>
        <w:rPr/>
        <w:t>Director</w:t>
      </w:r>
      <w:r>
        <w:rPr>
          <w:spacing w:val="-4"/>
        </w:rPr>
        <w:t> </w:t>
      </w:r>
      <w:r>
        <w:rPr/>
        <w:t>of</w:t>
      </w:r>
      <w:r>
        <w:rPr>
          <w:spacing w:val="-1"/>
        </w:rPr>
        <w:t> </w:t>
      </w:r>
      <w:r>
        <w:rPr/>
        <w:t>Energy</w:t>
      </w:r>
      <w:r>
        <w:rPr>
          <w:spacing w:val="-5"/>
        </w:rPr>
        <w:t> </w:t>
      </w:r>
      <w:r>
        <w:rPr/>
        <w:t>Safety.</w:t>
      </w:r>
      <w:r>
        <w:rPr>
          <w:spacing w:val="-4"/>
        </w:rPr>
        <w:t> </w:t>
      </w:r>
      <w:r>
        <w:rPr/>
        <w:t>It</w:t>
      </w:r>
      <w:r>
        <w:rPr>
          <w:spacing w:val="-1"/>
        </w:rPr>
        <w:t> </w:t>
      </w:r>
      <w:r>
        <w:rPr/>
        <w:t>would</w:t>
      </w:r>
      <w:r>
        <w:rPr>
          <w:spacing w:val="-3"/>
        </w:rPr>
        <w:t> </w:t>
      </w:r>
      <w:r>
        <w:rPr/>
        <w:t>also</w:t>
      </w:r>
      <w:r>
        <w:rPr>
          <w:spacing w:val="-3"/>
        </w:rPr>
        <w:t> </w:t>
      </w:r>
      <w:r>
        <w:rPr/>
        <w:t>promote</w:t>
      </w:r>
      <w:r>
        <w:rPr>
          <w:spacing w:val="-5"/>
        </w:rPr>
        <w:t> </w:t>
      </w:r>
      <w:r>
        <w:rPr/>
        <w:t>consideration</w:t>
      </w:r>
      <w:r>
        <w:rPr>
          <w:spacing w:val="-3"/>
        </w:rPr>
        <w:t> </w:t>
      </w:r>
      <w:r>
        <w:rPr/>
        <w:t>of</w:t>
      </w:r>
      <w:r>
        <w:rPr>
          <w:spacing w:val="-1"/>
        </w:rPr>
        <w:t> </w:t>
      </w:r>
      <w:r>
        <w:rPr/>
        <w:t>a</w:t>
      </w:r>
      <w:r>
        <w:rPr>
          <w:spacing w:val="-7"/>
        </w:rPr>
        <w:t> </w:t>
      </w:r>
      <w:r>
        <w:rPr/>
        <w:t>wider</w:t>
      </w:r>
      <w:r>
        <w:rPr>
          <w:spacing w:val="-2"/>
        </w:rPr>
        <w:t> </w:t>
      </w:r>
      <w:r>
        <w:rPr/>
        <w:t>range</w:t>
      </w:r>
      <w:r>
        <w:rPr>
          <w:spacing w:val="-5"/>
        </w:rPr>
        <w:t> </w:t>
      </w:r>
      <w:r>
        <w:rPr/>
        <w:t>of perspectives in regulatory decision making and support strengthened corporate governance (</w:t>
      </w:r>
      <w:r>
        <w:rPr>
          <w:b/>
        </w:rPr>
        <w:t>Recommendations 1 and 2</w:t>
      </w:r>
      <w:r>
        <w:rPr/>
        <w:t>).</w:t>
      </w:r>
    </w:p>
    <w:p>
      <w:pPr>
        <w:pStyle w:val="BodyText"/>
        <w:spacing w:before="10"/>
        <w:rPr>
          <w:sz w:val="20"/>
        </w:rPr>
      </w:pPr>
    </w:p>
    <w:p>
      <w:pPr>
        <w:pStyle w:val="BodyText"/>
        <w:spacing w:line="288" w:lineRule="auto"/>
        <w:ind w:left="713" w:right="586"/>
      </w:pPr>
      <w:r>
        <w:rPr/>
        <w:t>ESV</w:t>
      </w:r>
      <w:r>
        <w:rPr>
          <w:spacing w:val="-3"/>
        </w:rPr>
        <w:t> </w:t>
      </w:r>
      <w:r>
        <w:rPr/>
        <w:t>is</w:t>
      </w:r>
      <w:r>
        <w:rPr>
          <w:spacing w:val="-2"/>
        </w:rPr>
        <w:t> </w:t>
      </w:r>
      <w:r>
        <w:rPr/>
        <w:t>a</w:t>
      </w:r>
      <w:r>
        <w:rPr>
          <w:spacing w:val="-3"/>
        </w:rPr>
        <w:t> </w:t>
      </w:r>
      <w:r>
        <w:rPr/>
        <w:t>technical</w:t>
      </w:r>
      <w:r>
        <w:rPr>
          <w:spacing w:val="-4"/>
        </w:rPr>
        <w:t> </w:t>
      </w:r>
      <w:r>
        <w:rPr/>
        <w:t>regulator</w:t>
      </w:r>
      <w:r>
        <w:rPr>
          <w:spacing w:val="-4"/>
        </w:rPr>
        <w:t> </w:t>
      </w:r>
      <w:r>
        <w:rPr/>
        <w:t>requiring</w:t>
      </w:r>
      <w:r>
        <w:rPr>
          <w:spacing w:val="-3"/>
        </w:rPr>
        <w:t> </w:t>
      </w:r>
      <w:r>
        <w:rPr/>
        <w:t>specialist</w:t>
      </w:r>
      <w:r>
        <w:rPr>
          <w:spacing w:val="-1"/>
        </w:rPr>
        <w:t> </w:t>
      </w:r>
      <w:r>
        <w:rPr/>
        <w:t>skills.</w:t>
      </w:r>
      <w:r>
        <w:rPr>
          <w:spacing w:val="-1"/>
        </w:rPr>
        <w:t> </w:t>
      </w:r>
      <w:r>
        <w:rPr/>
        <w:t>It</w:t>
      </w:r>
      <w:r>
        <w:rPr>
          <w:spacing w:val="-4"/>
        </w:rPr>
        <w:t> </w:t>
      </w:r>
      <w:r>
        <w:rPr/>
        <w:t>relies</w:t>
      </w:r>
      <w:r>
        <w:rPr>
          <w:spacing w:val="-3"/>
        </w:rPr>
        <w:t> </w:t>
      </w:r>
      <w:r>
        <w:rPr/>
        <w:t>on</w:t>
      </w:r>
      <w:r>
        <w:rPr>
          <w:spacing w:val="-5"/>
        </w:rPr>
        <w:t> </w:t>
      </w:r>
      <w:r>
        <w:rPr/>
        <w:t>staff</w:t>
      </w:r>
      <w:r>
        <w:rPr>
          <w:spacing w:val="-1"/>
        </w:rPr>
        <w:t> </w:t>
      </w:r>
      <w:r>
        <w:rPr/>
        <w:t>who</w:t>
      </w:r>
      <w:r>
        <w:rPr>
          <w:spacing w:val="-3"/>
        </w:rPr>
        <w:t> </w:t>
      </w:r>
      <w:r>
        <w:rPr/>
        <w:t>have</w:t>
      </w:r>
      <w:r>
        <w:rPr>
          <w:spacing w:val="-3"/>
        </w:rPr>
        <w:t> </w:t>
      </w:r>
      <w:r>
        <w:rPr/>
        <w:t>previously been employed by the network businesses that ESV regulates or who have consulted to those businesses.</w:t>
      </w:r>
    </w:p>
    <w:p>
      <w:pPr>
        <w:pStyle w:val="BodyText"/>
        <w:spacing w:before="11"/>
        <w:rPr>
          <w:sz w:val="20"/>
        </w:rPr>
      </w:pPr>
    </w:p>
    <w:p>
      <w:pPr>
        <w:pStyle w:val="BodyText"/>
        <w:spacing w:line="288" w:lineRule="auto"/>
        <w:ind w:left="713" w:right="586"/>
      </w:pPr>
      <w:r>
        <w:rPr/>
        <w:t>The</w:t>
      </w:r>
      <w:r>
        <w:rPr>
          <w:spacing w:val="-1"/>
        </w:rPr>
        <w:t> </w:t>
      </w:r>
      <w:r>
        <w:rPr/>
        <w:t>movement of staff has a number of benefits,</w:t>
      </w:r>
      <w:r>
        <w:rPr>
          <w:spacing w:val="-2"/>
        </w:rPr>
        <w:t> </w:t>
      </w:r>
      <w:r>
        <w:rPr/>
        <w:t>but it also brings</w:t>
      </w:r>
      <w:r>
        <w:rPr>
          <w:spacing w:val="-1"/>
        </w:rPr>
        <w:t> </w:t>
      </w:r>
      <w:r>
        <w:rPr/>
        <w:t>risks of perceived and actual</w:t>
      </w:r>
      <w:r>
        <w:rPr>
          <w:spacing w:val="-3"/>
        </w:rPr>
        <w:t> </w:t>
      </w:r>
      <w:r>
        <w:rPr/>
        <w:t>conflicts</w:t>
      </w:r>
      <w:r>
        <w:rPr>
          <w:spacing w:val="-2"/>
        </w:rPr>
        <w:t> </w:t>
      </w:r>
      <w:r>
        <w:rPr/>
        <w:t>of</w:t>
      </w:r>
      <w:r>
        <w:rPr>
          <w:spacing w:val="-1"/>
        </w:rPr>
        <w:t> </w:t>
      </w:r>
      <w:r>
        <w:rPr/>
        <w:t>interest</w:t>
      </w:r>
      <w:r>
        <w:rPr>
          <w:spacing w:val="-1"/>
        </w:rPr>
        <w:t> </w:t>
      </w:r>
      <w:r>
        <w:rPr/>
        <w:t>in</w:t>
      </w:r>
      <w:r>
        <w:rPr>
          <w:spacing w:val="-5"/>
        </w:rPr>
        <w:t> </w:t>
      </w:r>
      <w:r>
        <w:rPr/>
        <w:t>regulatory</w:t>
      </w:r>
      <w:r>
        <w:rPr>
          <w:spacing w:val="-5"/>
        </w:rPr>
        <w:t> </w:t>
      </w:r>
      <w:r>
        <w:rPr/>
        <w:t>decision</w:t>
      </w:r>
      <w:r>
        <w:rPr>
          <w:spacing w:val="-5"/>
        </w:rPr>
        <w:t> </w:t>
      </w:r>
      <w:r>
        <w:rPr/>
        <w:t>making.</w:t>
      </w:r>
      <w:r>
        <w:rPr>
          <w:spacing w:val="-4"/>
        </w:rPr>
        <w:t> </w:t>
      </w:r>
      <w:r>
        <w:rPr/>
        <w:t>Building</w:t>
      </w:r>
      <w:r>
        <w:rPr>
          <w:spacing w:val="-1"/>
        </w:rPr>
        <w:t> </w:t>
      </w:r>
      <w:r>
        <w:rPr/>
        <w:t>on</w:t>
      </w:r>
      <w:r>
        <w:rPr>
          <w:spacing w:val="-5"/>
        </w:rPr>
        <w:t> </w:t>
      </w:r>
      <w:r>
        <w:rPr/>
        <w:t>its</w:t>
      </w:r>
      <w:r>
        <w:rPr>
          <w:spacing w:val="-5"/>
        </w:rPr>
        <w:t> </w:t>
      </w:r>
      <w:r>
        <w:rPr/>
        <w:t>current </w:t>
      </w:r>
      <w:r>
        <w:rPr>
          <w:i/>
        </w:rPr>
        <w:t>Conflict</w:t>
      </w:r>
      <w:r>
        <w:rPr>
          <w:i/>
          <w:spacing w:val="-1"/>
        </w:rPr>
        <w:t> </w:t>
      </w:r>
      <w:r>
        <w:rPr>
          <w:i/>
        </w:rPr>
        <w:t>of Interest Policy</w:t>
      </w:r>
      <w:r>
        <w:rPr/>
        <w:t>, ESV should develop stronger and more formal arrangements to manage these risks (</w:t>
      </w:r>
      <w:r>
        <w:rPr>
          <w:b/>
        </w:rPr>
        <w:t>Recommendation 3</w:t>
      </w:r>
      <w:r>
        <w:rPr/>
        <w:t>).</w:t>
      </w:r>
    </w:p>
    <w:p>
      <w:pPr>
        <w:pStyle w:val="BodyText"/>
        <w:spacing w:before="10"/>
        <w:rPr>
          <w:sz w:val="20"/>
        </w:rPr>
      </w:pPr>
    </w:p>
    <w:p>
      <w:pPr>
        <w:pStyle w:val="BodyText"/>
        <w:spacing w:line="288" w:lineRule="auto" w:before="1"/>
        <w:ind w:left="713" w:right="910"/>
      </w:pPr>
      <w:r>
        <w:rPr/>
        <w:t>ESV should continue to strengthen its internal corporate governance and associated management</w:t>
      </w:r>
      <w:r>
        <w:rPr>
          <w:spacing w:val="-3"/>
        </w:rPr>
        <w:t> </w:t>
      </w:r>
      <w:r>
        <w:rPr/>
        <w:t>processes</w:t>
      </w:r>
      <w:r>
        <w:rPr>
          <w:spacing w:val="-7"/>
        </w:rPr>
        <w:t> </w:t>
      </w:r>
      <w:r>
        <w:rPr/>
        <w:t>and</w:t>
      </w:r>
      <w:r>
        <w:rPr>
          <w:spacing w:val="-5"/>
        </w:rPr>
        <w:t> </w:t>
      </w:r>
      <w:r>
        <w:rPr/>
        <w:t>systems</w:t>
      </w:r>
      <w:r>
        <w:rPr>
          <w:spacing w:val="-4"/>
        </w:rPr>
        <w:t> </w:t>
      </w:r>
      <w:r>
        <w:rPr/>
        <w:t>(</w:t>
      </w:r>
      <w:r>
        <w:rPr>
          <w:b/>
        </w:rPr>
        <w:t>Recommendation</w:t>
      </w:r>
      <w:r>
        <w:rPr>
          <w:b/>
          <w:spacing w:val="-8"/>
        </w:rPr>
        <w:t> </w:t>
      </w:r>
      <w:r>
        <w:rPr>
          <w:b/>
        </w:rPr>
        <w:t>4</w:t>
      </w:r>
      <w:r>
        <w:rPr/>
        <w:t>).</w:t>
      </w:r>
      <w:r>
        <w:rPr>
          <w:spacing w:val="-3"/>
        </w:rPr>
        <w:t> </w:t>
      </w:r>
      <w:r>
        <w:rPr/>
        <w:t>Recent</w:t>
      </w:r>
      <w:r>
        <w:rPr>
          <w:spacing w:val="-3"/>
        </w:rPr>
        <w:t> </w:t>
      </w:r>
      <w:r>
        <w:rPr/>
        <w:t>external</w:t>
      </w:r>
      <w:r>
        <w:rPr>
          <w:spacing w:val="-5"/>
        </w:rPr>
        <w:t> </w:t>
      </w:r>
      <w:r>
        <w:rPr/>
        <w:t>reviews commissioned by ESV have identified areas of weakness in ESV’s systems and </w:t>
      </w:r>
      <w:r>
        <w:rPr>
          <w:spacing w:val="-2"/>
        </w:rPr>
        <w:t>processes.</w:t>
      </w:r>
    </w:p>
    <w:p>
      <w:pPr>
        <w:pStyle w:val="BodyText"/>
        <w:spacing w:before="9"/>
        <w:rPr>
          <w:sz w:val="20"/>
        </w:rPr>
      </w:pPr>
    </w:p>
    <w:p>
      <w:pPr>
        <w:pStyle w:val="BodyText"/>
        <w:spacing w:line="288" w:lineRule="auto" w:before="1"/>
        <w:ind w:left="713" w:right="910"/>
      </w:pPr>
      <w:r>
        <w:rPr/>
        <w:t>The Director of Energy Safety and ESV’s senior leadership team have commenced a significant internal reform program aimed at promoting more formal collective management</w:t>
      </w:r>
      <w:r>
        <w:rPr>
          <w:spacing w:val="-4"/>
        </w:rPr>
        <w:t> </w:t>
      </w:r>
      <w:r>
        <w:rPr/>
        <w:t>structures</w:t>
      </w:r>
      <w:r>
        <w:rPr>
          <w:spacing w:val="-7"/>
        </w:rPr>
        <w:t> </w:t>
      </w:r>
      <w:r>
        <w:rPr/>
        <w:t>and</w:t>
      </w:r>
      <w:r>
        <w:rPr>
          <w:spacing w:val="-5"/>
        </w:rPr>
        <w:t> </w:t>
      </w:r>
      <w:r>
        <w:rPr/>
        <w:t>governance.</w:t>
      </w:r>
      <w:r>
        <w:rPr>
          <w:spacing w:val="-6"/>
        </w:rPr>
        <w:t> </w:t>
      </w:r>
      <w:r>
        <w:rPr/>
        <w:t>This</w:t>
      </w:r>
      <w:r>
        <w:rPr>
          <w:spacing w:val="-2"/>
        </w:rPr>
        <w:t> </w:t>
      </w:r>
      <w:r>
        <w:rPr/>
        <w:t>ongoing</w:t>
      </w:r>
      <w:r>
        <w:rPr>
          <w:spacing w:val="-1"/>
        </w:rPr>
        <w:t> </w:t>
      </w:r>
      <w:r>
        <w:rPr/>
        <w:t>work should</w:t>
      </w:r>
      <w:r>
        <w:rPr>
          <w:spacing w:val="-5"/>
        </w:rPr>
        <w:t> </w:t>
      </w:r>
      <w:r>
        <w:rPr/>
        <w:t>continue</w:t>
      </w:r>
      <w:r>
        <w:rPr>
          <w:spacing w:val="-3"/>
        </w:rPr>
        <w:t> </w:t>
      </w:r>
      <w:r>
        <w:rPr/>
        <w:t>as</w:t>
      </w:r>
      <w:r>
        <w:rPr>
          <w:spacing w:val="-3"/>
        </w:rPr>
        <w:t> </w:t>
      </w:r>
      <w:r>
        <w:rPr/>
        <w:t>a</w:t>
      </w:r>
      <w:r>
        <w:rPr>
          <w:spacing w:val="-5"/>
        </w:rPr>
        <w:t> </w:t>
      </w:r>
      <w:r>
        <w:rPr/>
        <w:t>high priority for the organisation.</w:t>
      </w:r>
    </w:p>
    <w:p>
      <w:pPr>
        <w:spacing w:after="0" w:line="288" w:lineRule="auto"/>
        <w:sectPr>
          <w:headerReference w:type="default" r:id="rId66"/>
          <w:footerReference w:type="default" r:id="rId67"/>
          <w:pgSz w:w="11910" w:h="16840"/>
          <w:pgMar w:header="887" w:footer="1228" w:top="1080" w:bottom="1420" w:left="840" w:right="820"/>
          <w:pgNumType w:start="83"/>
        </w:sectPr>
      </w:pPr>
    </w:p>
    <w:p>
      <w:pPr>
        <w:pStyle w:val="BodyText"/>
        <w:rPr>
          <w:sz w:val="20"/>
        </w:rPr>
      </w:pPr>
    </w:p>
    <w:p>
      <w:pPr>
        <w:pStyle w:val="BodyText"/>
        <w:rPr>
          <w:sz w:val="20"/>
        </w:rPr>
      </w:pPr>
    </w:p>
    <w:p>
      <w:pPr>
        <w:pStyle w:val="Heading4"/>
        <w:spacing w:before="260"/>
        <w:ind w:left="600"/>
      </w:pPr>
      <w:r>
        <w:rPr>
          <w:color w:val="585858"/>
        </w:rPr>
        <w:t>Principles</w:t>
      </w:r>
      <w:r>
        <w:rPr>
          <w:color w:val="585858"/>
          <w:spacing w:val="-11"/>
        </w:rPr>
        <w:t> </w:t>
      </w:r>
      <w:r>
        <w:rPr>
          <w:color w:val="585858"/>
        </w:rPr>
        <w:t>for</w:t>
      </w:r>
      <w:r>
        <w:rPr>
          <w:color w:val="585858"/>
          <w:spacing w:val="-13"/>
        </w:rPr>
        <w:t> </w:t>
      </w:r>
      <w:r>
        <w:rPr>
          <w:color w:val="585858"/>
        </w:rPr>
        <w:t>effective</w:t>
      </w:r>
      <w:r>
        <w:rPr>
          <w:color w:val="585858"/>
          <w:spacing w:val="-11"/>
        </w:rPr>
        <w:t> </w:t>
      </w:r>
      <w:r>
        <w:rPr>
          <w:color w:val="585858"/>
        </w:rPr>
        <w:t>regulatory</w:t>
      </w:r>
      <w:r>
        <w:rPr>
          <w:color w:val="585858"/>
          <w:spacing w:val="-15"/>
        </w:rPr>
        <w:t> </w:t>
      </w:r>
      <w:r>
        <w:rPr>
          <w:color w:val="585858"/>
          <w:spacing w:val="-2"/>
        </w:rPr>
        <w:t>governance</w:t>
      </w:r>
    </w:p>
    <w:p>
      <w:pPr>
        <w:pStyle w:val="BodyText"/>
        <w:spacing w:line="288" w:lineRule="auto" w:before="311"/>
        <w:ind w:left="600" w:right="713"/>
      </w:pPr>
      <w:r>
        <w:rPr/>
        <w:t>The</w:t>
      </w:r>
      <w:r>
        <w:rPr>
          <w:spacing w:val="-1"/>
        </w:rPr>
        <w:t> </w:t>
      </w:r>
      <w:r>
        <w:rPr/>
        <w:t>hallmark of an effective and mature outcomes-based</w:t>
      </w:r>
      <w:r>
        <w:rPr>
          <w:spacing w:val="-1"/>
        </w:rPr>
        <w:t> </w:t>
      </w:r>
      <w:r>
        <w:rPr/>
        <w:t>safety</w:t>
      </w:r>
      <w:r>
        <w:rPr>
          <w:spacing w:val="-1"/>
        </w:rPr>
        <w:t> </w:t>
      </w:r>
      <w:r>
        <w:rPr/>
        <w:t>system is one in which the regulated businesses accept full accountability for the management of safety risks. This assignment</w:t>
      </w:r>
      <w:r>
        <w:rPr>
          <w:spacing w:val="-3"/>
        </w:rPr>
        <w:t> </w:t>
      </w:r>
      <w:r>
        <w:rPr/>
        <w:t>of accountability</w:t>
      </w:r>
      <w:r>
        <w:rPr>
          <w:spacing w:val="-4"/>
        </w:rPr>
        <w:t> </w:t>
      </w:r>
      <w:r>
        <w:rPr/>
        <w:t>does</w:t>
      </w:r>
      <w:r>
        <w:rPr>
          <w:spacing w:val="-2"/>
        </w:rPr>
        <w:t> </w:t>
      </w:r>
      <w:r>
        <w:rPr/>
        <w:t>not</w:t>
      </w:r>
      <w:r>
        <w:rPr>
          <w:spacing w:val="-3"/>
        </w:rPr>
        <w:t> </w:t>
      </w:r>
      <w:r>
        <w:rPr/>
        <w:t>mean</w:t>
      </w:r>
      <w:r>
        <w:rPr>
          <w:spacing w:val="-4"/>
        </w:rPr>
        <w:t> </w:t>
      </w:r>
      <w:r>
        <w:rPr/>
        <w:t>that</w:t>
      </w:r>
      <w:r>
        <w:rPr>
          <w:spacing w:val="-3"/>
        </w:rPr>
        <w:t> </w:t>
      </w:r>
      <w:r>
        <w:rPr/>
        <w:t>the</w:t>
      </w:r>
      <w:r>
        <w:rPr>
          <w:spacing w:val="-2"/>
        </w:rPr>
        <w:t> </w:t>
      </w:r>
      <w:r>
        <w:rPr/>
        <w:t>regulator</w:t>
      </w:r>
      <w:r>
        <w:rPr>
          <w:spacing w:val="-1"/>
        </w:rPr>
        <w:t> </w:t>
      </w:r>
      <w:r>
        <w:rPr/>
        <w:t>has</w:t>
      </w:r>
      <w:r>
        <w:rPr>
          <w:spacing w:val="-4"/>
        </w:rPr>
        <w:t> </w:t>
      </w:r>
      <w:r>
        <w:rPr/>
        <w:t>a</w:t>
      </w:r>
      <w:r>
        <w:rPr>
          <w:spacing w:val="-4"/>
        </w:rPr>
        <w:t> </w:t>
      </w:r>
      <w:r>
        <w:rPr/>
        <w:t>secondary</w:t>
      </w:r>
      <w:r>
        <w:rPr>
          <w:spacing w:val="-4"/>
        </w:rPr>
        <w:t> </w:t>
      </w:r>
      <w:r>
        <w:rPr/>
        <w:t>role.</w:t>
      </w:r>
      <w:r>
        <w:rPr>
          <w:spacing w:val="-3"/>
        </w:rPr>
        <w:t> </w:t>
      </w:r>
      <w:r>
        <w:rPr/>
        <w:t>In</w:t>
      </w:r>
      <w:r>
        <w:rPr>
          <w:spacing w:val="-4"/>
        </w:rPr>
        <w:t> </w:t>
      </w:r>
      <w:r>
        <w:rPr/>
        <w:t>fact, a strong, well-resourced and confident regulator plays an essential role.</w:t>
      </w:r>
    </w:p>
    <w:p>
      <w:pPr>
        <w:pStyle w:val="BodyText"/>
        <w:spacing w:before="10"/>
        <w:rPr>
          <w:sz w:val="20"/>
        </w:rPr>
      </w:pPr>
    </w:p>
    <w:p>
      <w:pPr>
        <w:pStyle w:val="BodyText"/>
        <w:spacing w:line="288" w:lineRule="auto" w:before="1"/>
        <w:ind w:left="600" w:right="713"/>
      </w:pPr>
      <w:r>
        <w:rPr/>
        <w:t>For businesses that are well led, a strong and independent regulator provides robust external</w:t>
      </w:r>
      <w:r>
        <w:rPr>
          <w:spacing w:val="-5"/>
        </w:rPr>
        <w:t> </w:t>
      </w:r>
      <w:r>
        <w:rPr/>
        <w:t>assurance</w:t>
      </w:r>
      <w:r>
        <w:rPr>
          <w:spacing w:val="-6"/>
        </w:rPr>
        <w:t> </w:t>
      </w:r>
      <w:r>
        <w:rPr/>
        <w:t>that</w:t>
      </w:r>
      <w:r>
        <w:rPr>
          <w:spacing w:val="-7"/>
        </w:rPr>
        <w:t> </w:t>
      </w:r>
      <w:r>
        <w:rPr/>
        <w:t>safety</w:t>
      </w:r>
      <w:r>
        <w:rPr>
          <w:spacing w:val="-5"/>
        </w:rPr>
        <w:t> </w:t>
      </w:r>
      <w:r>
        <w:rPr/>
        <w:t>risks</w:t>
      </w:r>
      <w:r>
        <w:rPr>
          <w:spacing w:val="-3"/>
        </w:rPr>
        <w:t> </w:t>
      </w:r>
      <w:r>
        <w:rPr/>
        <w:t>are</w:t>
      </w:r>
      <w:r>
        <w:rPr>
          <w:spacing w:val="-4"/>
        </w:rPr>
        <w:t> </w:t>
      </w:r>
      <w:r>
        <w:rPr/>
        <w:t>being</w:t>
      </w:r>
      <w:r>
        <w:rPr>
          <w:spacing w:val="-4"/>
        </w:rPr>
        <w:t> </w:t>
      </w:r>
      <w:r>
        <w:rPr/>
        <w:t>managed</w:t>
      </w:r>
      <w:r>
        <w:rPr>
          <w:spacing w:val="-6"/>
        </w:rPr>
        <w:t> </w:t>
      </w:r>
      <w:r>
        <w:rPr/>
        <w:t>effectively.</w:t>
      </w:r>
      <w:r>
        <w:rPr>
          <w:spacing w:val="-2"/>
        </w:rPr>
        <w:t> </w:t>
      </w:r>
      <w:r>
        <w:rPr/>
        <w:t>Conversely,</w:t>
      </w:r>
      <w:r>
        <w:rPr>
          <w:spacing w:val="-2"/>
        </w:rPr>
        <w:t> </w:t>
      </w:r>
      <w:r>
        <w:rPr/>
        <w:t>it</w:t>
      </w:r>
      <w:r>
        <w:rPr>
          <w:spacing w:val="-2"/>
        </w:rPr>
        <w:t> </w:t>
      </w:r>
      <w:r>
        <w:rPr/>
        <w:t>provides assurance to the community that if risks are not being managed effectively, there is a high probability that the regulator will discover systemic weaknesses early, and it will act.</w:t>
      </w:r>
    </w:p>
    <w:p>
      <w:pPr>
        <w:pStyle w:val="BodyText"/>
        <w:spacing w:before="9"/>
        <w:rPr>
          <w:sz w:val="20"/>
        </w:rPr>
      </w:pPr>
    </w:p>
    <w:p>
      <w:pPr>
        <w:pStyle w:val="BodyText"/>
        <w:spacing w:line="288" w:lineRule="auto" w:before="1"/>
        <w:ind w:left="600" w:right="586"/>
      </w:pPr>
      <w:r>
        <w:rPr/>
        <w:t>In considering ESV’s governance arrangements, the Review has been guided by the Organisation</w:t>
      </w:r>
      <w:r>
        <w:rPr>
          <w:spacing w:val="-5"/>
        </w:rPr>
        <w:t> </w:t>
      </w:r>
      <w:r>
        <w:rPr/>
        <w:t>for</w:t>
      </w:r>
      <w:r>
        <w:rPr>
          <w:spacing w:val="-2"/>
        </w:rPr>
        <w:t> </w:t>
      </w:r>
      <w:r>
        <w:rPr/>
        <w:t>Economic</w:t>
      </w:r>
      <w:r>
        <w:rPr>
          <w:spacing w:val="-2"/>
        </w:rPr>
        <w:t> </w:t>
      </w:r>
      <w:r>
        <w:rPr/>
        <w:t>Co-operation</w:t>
      </w:r>
      <w:r>
        <w:rPr>
          <w:spacing w:val="-3"/>
        </w:rPr>
        <w:t> </w:t>
      </w:r>
      <w:r>
        <w:rPr/>
        <w:t>and</w:t>
      </w:r>
      <w:r>
        <w:rPr>
          <w:spacing w:val="-3"/>
        </w:rPr>
        <w:t> </w:t>
      </w:r>
      <w:r>
        <w:rPr/>
        <w:t>Development’s</w:t>
      </w:r>
      <w:r>
        <w:rPr>
          <w:spacing w:val="-5"/>
        </w:rPr>
        <w:t> </w:t>
      </w:r>
      <w:r>
        <w:rPr/>
        <w:t>(OECD)</w:t>
      </w:r>
      <w:r>
        <w:rPr>
          <w:spacing w:val="-4"/>
        </w:rPr>
        <w:t> </w:t>
      </w:r>
      <w:r>
        <w:rPr/>
        <w:t>best</w:t>
      </w:r>
      <w:r>
        <w:rPr>
          <w:spacing w:val="-4"/>
        </w:rPr>
        <w:t> </w:t>
      </w:r>
      <w:r>
        <w:rPr/>
        <w:t>practice</w:t>
      </w:r>
      <w:r>
        <w:rPr>
          <w:spacing w:val="-5"/>
        </w:rPr>
        <w:t> </w:t>
      </w:r>
      <w:r>
        <w:rPr/>
        <w:t>principles for regulatory policy as set out in </w:t>
      </w:r>
      <w:r>
        <w:rPr>
          <w:i/>
        </w:rPr>
        <w:t>The Governance of Regulators </w:t>
      </w:r>
      <w:r>
        <w:rPr/>
        <w:t>(OECD, 2014). These internationally accepted principles for modern, fit-for-purpose regulation have been strongly influenced by principles developed earlier in Victoria (Government of Victoria, 2010). The OECD’s principles include:</w:t>
      </w:r>
    </w:p>
    <w:p>
      <w:pPr>
        <w:pStyle w:val="BodyText"/>
        <w:spacing w:before="4"/>
      </w:pPr>
    </w:p>
    <w:p>
      <w:pPr>
        <w:pStyle w:val="ListParagraph"/>
        <w:numPr>
          <w:ilvl w:val="0"/>
          <w:numId w:val="30"/>
        </w:numPr>
        <w:tabs>
          <w:tab w:pos="1102" w:val="left" w:leader="none"/>
        </w:tabs>
        <w:spacing w:line="288" w:lineRule="auto" w:before="0" w:after="0"/>
        <w:ind w:left="1102" w:right="753" w:hanging="360"/>
        <w:jc w:val="left"/>
        <w:rPr>
          <w:sz w:val="22"/>
        </w:rPr>
      </w:pPr>
      <w:r>
        <w:rPr>
          <w:b/>
          <w:sz w:val="22"/>
        </w:rPr>
        <w:t>Preventing</w:t>
      </w:r>
      <w:r>
        <w:rPr>
          <w:b/>
          <w:spacing w:val="-3"/>
          <w:sz w:val="22"/>
        </w:rPr>
        <w:t> </w:t>
      </w:r>
      <w:r>
        <w:rPr>
          <w:b/>
          <w:sz w:val="22"/>
        </w:rPr>
        <w:t>undue</w:t>
      </w:r>
      <w:r>
        <w:rPr>
          <w:b/>
          <w:spacing w:val="-5"/>
          <w:sz w:val="22"/>
        </w:rPr>
        <w:t> </w:t>
      </w:r>
      <w:r>
        <w:rPr>
          <w:b/>
          <w:sz w:val="22"/>
        </w:rPr>
        <w:t>influence</w:t>
      </w:r>
      <w:r>
        <w:rPr>
          <w:b/>
          <w:spacing w:val="-3"/>
          <w:sz w:val="22"/>
        </w:rPr>
        <w:t> </w:t>
      </w:r>
      <w:r>
        <w:rPr>
          <w:b/>
          <w:sz w:val="22"/>
        </w:rPr>
        <w:t>and</w:t>
      </w:r>
      <w:r>
        <w:rPr>
          <w:b/>
          <w:spacing w:val="-5"/>
          <w:sz w:val="22"/>
        </w:rPr>
        <w:t> </w:t>
      </w:r>
      <w:r>
        <w:rPr>
          <w:b/>
          <w:sz w:val="22"/>
        </w:rPr>
        <w:t>maintaining</w:t>
      </w:r>
      <w:r>
        <w:rPr>
          <w:b/>
          <w:spacing w:val="-6"/>
          <w:sz w:val="22"/>
        </w:rPr>
        <w:t> </w:t>
      </w:r>
      <w:r>
        <w:rPr>
          <w:b/>
          <w:sz w:val="22"/>
        </w:rPr>
        <w:t>trust </w:t>
      </w:r>
      <w:r>
        <w:rPr>
          <w:sz w:val="22"/>
        </w:rPr>
        <w:t>–</w:t>
      </w:r>
      <w:r>
        <w:rPr>
          <w:spacing w:val="-5"/>
          <w:sz w:val="22"/>
        </w:rPr>
        <w:t> </w:t>
      </w:r>
      <w:r>
        <w:rPr>
          <w:sz w:val="22"/>
        </w:rPr>
        <w:t>all</w:t>
      </w:r>
      <w:r>
        <w:rPr>
          <w:spacing w:val="-3"/>
          <w:sz w:val="22"/>
        </w:rPr>
        <w:t> </w:t>
      </w:r>
      <w:r>
        <w:rPr>
          <w:sz w:val="22"/>
        </w:rPr>
        <w:t>decisions</w:t>
      </w:r>
      <w:r>
        <w:rPr>
          <w:spacing w:val="-2"/>
          <w:sz w:val="22"/>
        </w:rPr>
        <w:t> </w:t>
      </w:r>
      <w:r>
        <w:rPr>
          <w:sz w:val="22"/>
        </w:rPr>
        <w:t>and</w:t>
      </w:r>
      <w:r>
        <w:rPr>
          <w:spacing w:val="-7"/>
          <w:sz w:val="22"/>
        </w:rPr>
        <w:t> </w:t>
      </w:r>
      <w:r>
        <w:rPr>
          <w:sz w:val="22"/>
        </w:rPr>
        <w:t>activities</w:t>
      </w:r>
      <w:r>
        <w:rPr>
          <w:spacing w:val="-3"/>
          <w:sz w:val="22"/>
        </w:rPr>
        <w:t> </w:t>
      </w:r>
      <w:r>
        <w:rPr>
          <w:sz w:val="22"/>
        </w:rPr>
        <w:t>of a regulator should be objective, impartial, consistent and expert. The OECD notes that “</w:t>
      </w:r>
      <w:r>
        <w:rPr>
          <w:i/>
          <w:sz w:val="22"/>
        </w:rPr>
        <w:t>establishing the regulator with a degree of formal independence both from those it regulates and from government can provide greater confidence that decisions are impartial</w:t>
      </w:r>
      <w:r>
        <w:rPr>
          <w:sz w:val="22"/>
        </w:rPr>
        <w:t>” (OECD, 2014, p. 48).</w:t>
      </w:r>
    </w:p>
    <w:p>
      <w:pPr>
        <w:pStyle w:val="BodyText"/>
        <w:spacing w:before="3"/>
      </w:pPr>
    </w:p>
    <w:p>
      <w:pPr>
        <w:pStyle w:val="ListParagraph"/>
        <w:numPr>
          <w:ilvl w:val="0"/>
          <w:numId w:val="30"/>
        </w:numPr>
        <w:tabs>
          <w:tab w:pos="1102" w:val="left" w:leader="none"/>
        </w:tabs>
        <w:spacing w:line="288" w:lineRule="auto" w:before="0" w:after="0"/>
        <w:ind w:left="1102" w:right="691" w:hanging="360"/>
        <w:jc w:val="left"/>
        <w:rPr>
          <w:sz w:val="22"/>
        </w:rPr>
      </w:pPr>
      <w:r>
        <w:rPr>
          <w:b/>
          <w:sz w:val="22"/>
        </w:rPr>
        <w:t>Governing body structure </w:t>
      </w:r>
      <w:r>
        <w:rPr>
          <w:sz w:val="22"/>
        </w:rPr>
        <w:t>– the governing body structure of a regulator should depend on the nature of the regulatory task including “</w:t>
      </w:r>
      <w:r>
        <w:rPr>
          <w:i/>
          <w:sz w:val="22"/>
        </w:rPr>
        <w:t>the level of risk, degree of discretion level of strategic oversight required and the importance of consistency over time</w:t>
      </w:r>
      <w:r>
        <w:rPr>
          <w:sz w:val="22"/>
        </w:rPr>
        <w:t>”</w:t>
      </w:r>
      <w:r>
        <w:rPr>
          <w:spacing w:val="-3"/>
          <w:sz w:val="22"/>
        </w:rPr>
        <w:t> </w:t>
      </w:r>
      <w:r>
        <w:rPr>
          <w:sz w:val="22"/>
        </w:rPr>
        <w:t>(OECD,</w:t>
      </w:r>
      <w:r>
        <w:rPr>
          <w:spacing w:val="-3"/>
          <w:sz w:val="22"/>
        </w:rPr>
        <w:t> </w:t>
      </w:r>
      <w:r>
        <w:rPr>
          <w:sz w:val="22"/>
        </w:rPr>
        <w:t>2014,</w:t>
      </w:r>
      <w:r>
        <w:rPr>
          <w:spacing w:val="-3"/>
          <w:sz w:val="22"/>
        </w:rPr>
        <w:t> </w:t>
      </w:r>
      <w:r>
        <w:rPr>
          <w:sz w:val="22"/>
        </w:rPr>
        <w:t>p.</w:t>
      </w:r>
      <w:r>
        <w:rPr>
          <w:spacing w:val="-3"/>
          <w:sz w:val="22"/>
        </w:rPr>
        <w:t> </w:t>
      </w:r>
      <w:r>
        <w:rPr>
          <w:sz w:val="22"/>
        </w:rPr>
        <w:t>68).</w:t>
      </w:r>
      <w:r>
        <w:rPr>
          <w:spacing w:val="-5"/>
          <w:sz w:val="22"/>
        </w:rPr>
        <w:t> </w:t>
      </w:r>
      <w:r>
        <w:rPr>
          <w:sz w:val="22"/>
        </w:rPr>
        <w:t>The</w:t>
      </w:r>
      <w:r>
        <w:rPr>
          <w:spacing w:val="-4"/>
          <w:sz w:val="22"/>
        </w:rPr>
        <w:t> </w:t>
      </w:r>
      <w:r>
        <w:rPr>
          <w:sz w:val="22"/>
        </w:rPr>
        <w:t>OECD</w:t>
      </w:r>
      <w:r>
        <w:rPr>
          <w:spacing w:val="-2"/>
          <w:sz w:val="22"/>
        </w:rPr>
        <w:t> </w:t>
      </w:r>
      <w:r>
        <w:rPr>
          <w:sz w:val="22"/>
        </w:rPr>
        <w:t>has</w:t>
      </w:r>
      <w:r>
        <w:rPr>
          <w:spacing w:val="-4"/>
          <w:sz w:val="22"/>
        </w:rPr>
        <w:t> </w:t>
      </w:r>
      <w:r>
        <w:rPr>
          <w:sz w:val="22"/>
        </w:rPr>
        <w:t>identified</w:t>
      </w:r>
      <w:r>
        <w:rPr>
          <w:spacing w:val="-4"/>
          <w:sz w:val="22"/>
        </w:rPr>
        <w:t> </w:t>
      </w:r>
      <w:r>
        <w:rPr>
          <w:sz w:val="22"/>
        </w:rPr>
        <w:t>three</w:t>
      </w:r>
      <w:r>
        <w:rPr>
          <w:spacing w:val="-4"/>
          <w:sz w:val="22"/>
        </w:rPr>
        <w:t> </w:t>
      </w:r>
      <w:r>
        <w:rPr>
          <w:sz w:val="22"/>
        </w:rPr>
        <w:t>main</w:t>
      </w:r>
      <w:r>
        <w:rPr>
          <w:spacing w:val="-4"/>
          <w:sz w:val="22"/>
        </w:rPr>
        <w:t> </w:t>
      </w:r>
      <w:r>
        <w:rPr>
          <w:sz w:val="22"/>
        </w:rPr>
        <w:t>governance</w:t>
      </w:r>
      <w:r>
        <w:rPr>
          <w:spacing w:val="-2"/>
          <w:sz w:val="22"/>
        </w:rPr>
        <w:t> </w:t>
      </w:r>
      <w:r>
        <w:rPr>
          <w:sz w:val="22"/>
        </w:rPr>
        <w:t>structures for independent regulators:</w:t>
      </w:r>
    </w:p>
    <w:p>
      <w:pPr>
        <w:pStyle w:val="BodyText"/>
        <w:spacing w:before="9"/>
        <w:rPr>
          <w:sz w:val="20"/>
        </w:rPr>
      </w:pPr>
    </w:p>
    <w:p>
      <w:pPr>
        <w:pStyle w:val="ListParagraph"/>
        <w:numPr>
          <w:ilvl w:val="1"/>
          <w:numId w:val="30"/>
        </w:numPr>
        <w:tabs>
          <w:tab w:pos="1169" w:val="left" w:leader="none"/>
        </w:tabs>
        <w:spacing w:line="278" w:lineRule="auto" w:before="0" w:after="0"/>
        <w:ind w:left="1169" w:right="1127" w:hanging="286"/>
        <w:jc w:val="left"/>
        <w:rPr>
          <w:sz w:val="22"/>
        </w:rPr>
      </w:pPr>
      <w:r>
        <w:rPr>
          <w:sz w:val="22"/>
        </w:rPr>
        <w:t>Governance Board Model – the board is primarily responsible for the oversight, strategic</w:t>
      </w:r>
      <w:r>
        <w:rPr>
          <w:spacing w:val="-5"/>
          <w:sz w:val="22"/>
        </w:rPr>
        <w:t> </w:t>
      </w:r>
      <w:r>
        <w:rPr>
          <w:sz w:val="22"/>
        </w:rPr>
        <w:t>guidance</w:t>
      </w:r>
      <w:r>
        <w:rPr>
          <w:spacing w:val="-5"/>
          <w:sz w:val="22"/>
        </w:rPr>
        <w:t> </w:t>
      </w:r>
      <w:r>
        <w:rPr>
          <w:sz w:val="22"/>
        </w:rPr>
        <w:t>and</w:t>
      </w:r>
      <w:r>
        <w:rPr>
          <w:spacing w:val="-3"/>
          <w:sz w:val="22"/>
        </w:rPr>
        <w:t> </w:t>
      </w:r>
      <w:r>
        <w:rPr>
          <w:sz w:val="22"/>
        </w:rPr>
        <w:t>operational</w:t>
      </w:r>
      <w:r>
        <w:rPr>
          <w:spacing w:val="-4"/>
          <w:sz w:val="22"/>
        </w:rPr>
        <w:t> </w:t>
      </w:r>
      <w:r>
        <w:rPr>
          <w:sz w:val="22"/>
        </w:rPr>
        <w:t>policy</w:t>
      </w:r>
      <w:r>
        <w:rPr>
          <w:spacing w:val="-5"/>
          <w:sz w:val="22"/>
        </w:rPr>
        <w:t> </w:t>
      </w:r>
      <w:r>
        <w:rPr>
          <w:sz w:val="22"/>
        </w:rPr>
        <w:t>of</w:t>
      </w:r>
      <w:r>
        <w:rPr>
          <w:spacing w:val="-1"/>
          <w:sz w:val="22"/>
        </w:rPr>
        <w:t> </w:t>
      </w:r>
      <w:r>
        <w:rPr>
          <w:sz w:val="22"/>
        </w:rPr>
        <w:t>the</w:t>
      </w:r>
      <w:r>
        <w:rPr>
          <w:spacing w:val="-5"/>
          <w:sz w:val="22"/>
        </w:rPr>
        <w:t> </w:t>
      </w:r>
      <w:r>
        <w:rPr>
          <w:sz w:val="22"/>
        </w:rPr>
        <w:t>regulator,</w:t>
      </w:r>
      <w:r>
        <w:rPr>
          <w:spacing w:val="-4"/>
          <w:sz w:val="22"/>
        </w:rPr>
        <w:t> </w:t>
      </w:r>
      <w:r>
        <w:rPr>
          <w:sz w:val="22"/>
        </w:rPr>
        <w:t>with</w:t>
      </w:r>
      <w:r>
        <w:rPr>
          <w:spacing w:val="-3"/>
          <w:sz w:val="22"/>
        </w:rPr>
        <w:t> </w:t>
      </w:r>
      <w:r>
        <w:rPr>
          <w:sz w:val="22"/>
        </w:rPr>
        <w:t>regulatory</w:t>
      </w:r>
      <w:r>
        <w:rPr>
          <w:spacing w:val="-7"/>
          <w:sz w:val="22"/>
        </w:rPr>
        <w:t> </w:t>
      </w:r>
      <w:r>
        <w:rPr>
          <w:sz w:val="22"/>
        </w:rPr>
        <w:t>decision making functions largely delegated to the Chief Executive Officer and staff;</w:t>
      </w:r>
    </w:p>
    <w:p>
      <w:pPr>
        <w:pStyle w:val="BodyText"/>
        <w:spacing w:before="8"/>
        <w:rPr>
          <w:sz w:val="21"/>
        </w:rPr>
      </w:pPr>
    </w:p>
    <w:p>
      <w:pPr>
        <w:pStyle w:val="ListParagraph"/>
        <w:numPr>
          <w:ilvl w:val="1"/>
          <w:numId w:val="30"/>
        </w:numPr>
        <w:tabs>
          <w:tab w:pos="1169" w:val="left" w:leader="none"/>
        </w:tabs>
        <w:spacing w:line="268" w:lineRule="auto" w:before="1" w:after="0"/>
        <w:ind w:left="1169" w:right="1396" w:hanging="286"/>
        <w:jc w:val="left"/>
        <w:rPr>
          <w:sz w:val="22"/>
        </w:rPr>
      </w:pPr>
      <w:r>
        <w:rPr>
          <w:sz w:val="22"/>
        </w:rPr>
        <w:t>Commission</w:t>
      </w:r>
      <w:r>
        <w:rPr>
          <w:spacing w:val="-4"/>
          <w:sz w:val="22"/>
        </w:rPr>
        <w:t> </w:t>
      </w:r>
      <w:r>
        <w:rPr>
          <w:sz w:val="22"/>
        </w:rPr>
        <w:t>Model</w:t>
      </w:r>
      <w:r>
        <w:rPr>
          <w:spacing w:val="-4"/>
          <w:sz w:val="22"/>
        </w:rPr>
        <w:t> </w:t>
      </w:r>
      <w:r>
        <w:rPr>
          <w:sz w:val="22"/>
        </w:rPr>
        <w:t>–</w:t>
      </w:r>
      <w:r>
        <w:rPr>
          <w:spacing w:val="-3"/>
          <w:sz w:val="22"/>
        </w:rPr>
        <w:t> </w:t>
      </w:r>
      <w:r>
        <w:rPr>
          <w:sz w:val="22"/>
        </w:rPr>
        <w:t>the</w:t>
      </w:r>
      <w:r>
        <w:rPr>
          <w:spacing w:val="-6"/>
          <w:sz w:val="22"/>
        </w:rPr>
        <w:t> </w:t>
      </w:r>
      <w:r>
        <w:rPr>
          <w:sz w:val="22"/>
        </w:rPr>
        <w:t>commission</w:t>
      </w:r>
      <w:r>
        <w:rPr>
          <w:spacing w:val="-4"/>
          <w:sz w:val="22"/>
        </w:rPr>
        <w:t> </w:t>
      </w:r>
      <w:r>
        <w:rPr>
          <w:sz w:val="22"/>
        </w:rPr>
        <w:t>itself</w:t>
      </w:r>
      <w:r>
        <w:rPr>
          <w:spacing w:val="-5"/>
          <w:sz w:val="22"/>
        </w:rPr>
        <w:t> </w:t>
      </w:r>
      <w:r>
        <w:rPr>
          <w:sz w:val="22"/>
        </w:rPr>
        <w:t>makes</w:t>
      </w:r>
      <w:r>
        <w:rPr>
          <w:spacing w:val="-6"/>
          <w:sz w:val="22"/>
        </w:rPr>
        <w:t> </w:t>
      </w:r>
      <w:r>
        <w:rPr>
          <w:sz w:val="22"/>
        </w:rPr>
        <w:t>most</w:t>
      </w:r>
      <w:r>
        <w:rPr>
          <w:spacing w:val="-5"/>
          <w:sz w:val="22"/>
        </w:rPr>
        <w:t> </w:t>
      </w:r>
      <w:r>
        <w:rPr>
          <w:sz w:val="22"/>
        </w:rPr>
        <w:t>substantive,</w:t>
      </w:r>
      <w:r>
        <w:rPr>
          <w:spacing w:val="-3"/>
          <w:sz w:val="22"/>
        </w:rPr>
        <w:t> </w:t>
      </w:r>
      <w:r>
        <w:rPr>
          <w:sz w:val="22"/>
        </w:rPr>
        <w:t>regulatory decisions; and</w:t>
      </w:r>
    </w:p>
    <w:p>
      <w:pPr>
        <w:pStyle w:val="BodyText"/>
        <w:spacing w:before="8"/>
      </w:pPr>
    </w:p>
    <w:p>
      <w:pPr>
        <w:pStyle w:val="ListParagraph"/>
        <w:numPr>
          <w:ilvl w:val="1"/>
          <w:numId w:val="30"/>
        </w:numPr>
        <w:tabs>
          <w:tab w:pos="1169" w:val="left" w:leader="none"/>
        </w:tabs>
        <w:spacing w:line="268" w:lineRule="auto" w:before="0" w:after="0"/>
        <w:ind w:left="1169" w:right="954" w:hanging="286"/>
        <w:jc w:val="left"/>
        <w:rPr>
          <w:sz w:val="22"/>
        </w:rPr>
      </w:pPr>
      <w:r>
        <w:rPr>
          <w:sz w:val="22"/>
        </w:rPr>
        <w:t>Single-Member</w:t>
      </w:r>
      <w:r>
        <w:rPr>
          <w:spacing w:val="-2"/>
          <w:sz w:val="22"/>
        </w:rPr>
        <w:t> </w:t>
      </w:r>
      <w:r>
        <w:rPr>
          <w:sz w:val="22"/>
        </w:rPr>
        <w:t>Regulator –</w:t>
      </w:r>
      <w:r>
        <w:rPr>
          <w:spacing w:val="-5"/>
          <w:sz w:val="22"/>
        </w:rPr>
        <w:t> </w:t>
      </w:r>
      <w:r>
        <w:rPr>
          <w:sz w:val="22"/>
        </w:rPr>
        <w:t>an</w:t>
      </w:r>
      <w:r>
        <w:rPr>
          <w:spacing w:val="-3"/>
          <w:sz w:val="22"/>
        </w:rPr>
        <w:t> </w:t>
      </w:r>
      <w:r>
        <w:rPr>
          <w:sz w:val="22"/>
        </w:rPr>
        <w:t>individual</w:t>
      </w:r>
      <w:r>
        <w:rPr>
          <w:spacing w:val="-4"/>
          <w:sz w:val="22"/>
        </w:rPr>
        <w:t> </w:t>
      </w:r>
      <w:r>
        <w:rPr>
          <w:sz w:val="22"/>
        </w:rPr>
        <w:t>is</w:t>
      </w:r>
      <w:r>
        <w:rPr>
          <w:spacing w:val="-2"/>
          <w:sz w:val="22"/>
        </w:rPr>
        <w:t> </w:t>
      </w:r>
      <w:r>
        <w:rPr>
          <w:sz w:val="22"/>
        </w:rPr>
        <w:t>appointed</w:t>
      </w:r>
      <w:r>
        <w:rPr>
          <w:spacing w:val="-3"/>
          <w:sz w:val="22"/>
        </w:rPr>
        <w:t> </w:t>
      </w:r>
      <w:r>
        <w:rPr>
          <w:sz w:val="22"/>
        </w:rPr>
        <w:t>as</w:t>
      </w:r>
      <w:r>
        <w:rPr>
          <w:spacing w:val="-5"/>
          <w:sz w:val="22"/>
        </w:rPr>
        <w:t> </w:t>
      </w:r>
      <w:r>
        <w:rPr>
          <w:sz w:val="22"/>
        </w:rPr>
        <w:t>regulator</w:t>
      </w:r>
      <w:r>
        <w:rPr>
          <w:spacing w:val="-4"/>
          <w:sz w:val="22"/>
        </w:rPr>
        <w:t> </w:t>
      </w:r>
      <w:r>
        <w:rPr>
          <w:sz w:val="22"/>
        </w:rPr>
        <w:t>and</w:t>
      </w:r>
      <w:r>
        <w:rPr>
          <w:spacing w:val="-5"/>
          <w:sz w:val="22"/>
        </w:rPr>
        <w:t> </w:t>
      </w:r>
      <w:r>
        <w:rPr>
          <w:sz w:val="22"/>
        </w:rPr>
        <w:t>makes</w:t>
      </w:r>
      <w:r>
        <w:rPr>
          <w:spacing w:val="-7"/>
          <w:sz w:val="22"/>
        </w:rPr>
        <w:t> </w:t>
      </w:r>
      <w:r>
        <w:rPr>
          <w:sz w:val="22"/>
        </w:rPr>
        <w:t>most substantive regulatory decisions and delegates other decisions to his or her staff.</w:t>
      </w:r>
    </w:p>
    <w:p>
      <w:pPr>
        <w:pStyle w:val="BodyText"/>
        <w:spacing w:before="2"/>
        <w:rPr>
          <w:sz w:val="24"/>
        </w:rPr>
      </w:pPr>
    </w:p>
    <w:p>
      <w:pPr>
        <w:pStyle w:val="ListParagraph"/>
        <w:numPr>
          <w:ilvl w:val="0"/>
          <w:numId w:val="30"/>
        </w:numPr>
        <w:tabs>
          <w:tab w:pos="1102" w:val="left" w:leader="none"/>
        </w:tabs>
        <w:spacing w:line="288" w:lineRule="auto" w:before="0" w:after="0"/>
        <w:ind w:left="1102" w:right="616" w:hanging="360"/>
        <w:jc w:val="left"/>
        <w:rPr>
          <w:sz w:val="22"/>
        </w:rPr>
      </w:pPr>
      <w:r>
        <w:rPr>
          <w:b/>
          <w:sz w:val="22"/>
        </w:rPr>
        <w:t>Accountability</w:t>
      </w:r>
      <w:r>
        <w:rPr>
          <w:b/>
          <w:spacing w:val="-6"/>
          <w:sz w:val="22"/>
        </w:rPr>
        <w:t> </w:t>
      </w:r>
      <w:r>
        <w:rPr>
          <w:b/>
          <w:sz w:val="22"/>
        </w:rPr>
        <w:t>and</w:t>
      </w:r>
      <w:r>
        <w:rPr>
          <w:b/>
          <w:spacing w:val="-2"/>
          <w:sz w:val="22"/>
        </w:rPr>
        <w:t> </w:t>
      </w:r>
      <w:r>
        <w:rPr>
          <w:b/>
          <w:sz w:val="22"/>
        </w:rPr>
        <w:t>transparency</w:t>
      </w:r>
      <w:r>
        <w:rPr>
          <w:b/>
          <w:spacing w:val="-5"/>
          <w:sz w:val="22"/>
        </w:rPr>
        <w:t> </w:t>
      </w:r>
      <w:r>
        <w:rPr>
          <w:sz w:val="22"/>
        </w:rPr>
        <w:t>–</w:t>
      </w:r>
      <w:r>
        <w:rPr>
          <w:spacing w:val="-2"/>
          <w:sz w:val="22"/>
        </w:rPr>
        <w:t> </w:t>
      </w:r>
      <w:r>
        <w:rPr>
          <w:sz w:val="22"/>
        </w:rPr>
        <w:t>a</w:t>
      </w:r>
      <w:r>
        <w:rPr>
          <w:spacing w:val="-2"/>
          <w:sz w:val="22"/>
        </w:rPr>
        <w:t> </w:t>
      </w:r>
      <w:r>
        <w:rPr>
          <w:sz w:val="22"/>
        </w:rPr>
        <w:t>regulator</w:t>
      </w:r>
      <w:r>
        <w:rPr>
          <w:spacing w:val="-3"/>
          <w:sz w:val="22"/>
        </w:rPr>
        <w:t> </w:t>
      </w:r>
      <w:r>
        <w:rPr>
          <w:sz w:val="22"/>
        </w:rPr>
        <w:t>needs</w:t>
      </w:r>
      <w:r>
        <w:rPr>
          <w:spacing w:val="-2"/>
          <w:sz w:val="22"/>
        </w:rPr>
        <w:t> </w:t>
      </w:r>
      <w:r>
        <w:rPr>
          <w:sz w:val="22"/>
        </w:rPr>
        <w:t>to</w:t>
      </w:r>
      <w:r>
        <w:rPr>
          <w:spacing w:val="-4"/>
          <w:sz w:val="22"/>
        </w:rPr>
        <w:t> </w:t>
      </w:r>
      <w:r>
        <w:rPr>
          <w:sz w:val="22"/>
        </w:rPr>
        <w:t>be</w:t>
      </w:r>
      <w:r>
        <w:rPr>
          <w:spacing w:val="-2"/>
          <w:sz w:val="22"/>
        </w:rPr>
        <w:t> </w:t>
      </w:r>
      <w:r>
        <w:rPr>
          <w:sz w:val="22"/>
        </w:rPr>
        <w:t>accountable</w:t>
      </w:r>
      <w:r>
        <w:rPr>
          <w:spacing w:val="-4"/>
          <w:sz w:val="22"/>
        </w:rPr>
        <w:t> </w:t>
      </w:r>
      <w:r>
        <w:rPr>
          <w:sz w:val="22"/>
        </w:rPr>
        <w:t>to</w:t>
      </w:r>
      <w:r>
        <w:rPr>
          <w:spacing w:val="-2"/>
          <w:sz w:val="22"/>
        </w:rPr>
        <w:t> </w:t>
      </w:r>
      <w:r>
        <w:rPr>
          <w:sz w:val="22"/>
        </w:rPr>
        <w:t>its</w:t>
      </w:r>
      <w:r>
        <w:rPr>
          <w:spacing w:val="-3"/>
          <w:sz w:val="22"/>
        </w:rPr>
        <w:t> </w:t>
      </w:r>
      <w:r>
        <w:rPr>
          <w:sz w:val="22"/>
        </w:rPr>
        <w:t>minister and the legislature, as well as the entities it is regulating and the public. The OECD notes that “</w:t>
      </w:r>
      <w:r>
        <w:rPr>
          <w:i/>
          <w:sz w:val="22"/>
        </w:rPr>
        <w:t>accountability and transparency is the other side of the coin of</w:t>
      </w:r>
      <w:r>
        <w:rPr>
          <w:i/>
          <w:sz w:val="22"/>
        </w:rPr>
        <w:t> independence and a balance is required between the two</w:t>
      </w:r>
      <w:r>
        <w:rPr>
          <w:sz w:val="22"/>
        </w:rPr>
        <w:t>” (OECD, 2014, p. 81).</w:t>
      </w:r>
    </w:p>
    <w:p>
      <w:pPr>
        <w:spacing w:after="0" w:line="288" w:lineRule="auto"/>
        <w:jc w:val="left"/>
        <w:rPr>
          <w:sz w:val="22"/>
        </w:rPr>
        <w:sectPr>
          <w:pgSz w:w="11910" w:h="16840"/>
          <w:pgMar w:header="887" w:footer="1228" w:top="1080" w:bottom="1500" w:left="840" w:right="820"/>
        </w:sectPr>
      </w:pPr>
    </w:p>
    <w:p>
      <w:pPr>
        <w:pStyle w:val="BodyText"/>
        <w:rPr>
          <w:sz w:val="20"/>
        </w:rPr>
      </w:pPr>
    </w:p>
    <w:p>
      <w:pPr>
        <w:pStyle w:val="BodyText"/>
        <w:rPr>
          <w:sz w:val="20"/>
        </w:rPr>
      </w:pPr>
    </w:p>
    <w:p>
      <w:pPr>
        <w:pStyle w:val="BodyText"/>
        <w:spacing w:before="5"/>
      </w:pPr>
    </w:p>
    <w:p>
      <w:pPr>
        <w:pStyle w:val="BodyText"/>
        <w:spacing w:line="288" w:lineRule="auto"/>
        <w:ind w:left="1102" w:right="910"/>
      </w:pPr>
      <w:r>
        <w:rPr/>
        <w:t>Confidence</w:t>
      </w:r>
      <w:r>
        <w:rPr>
          <w:spacing w:val="-5"/>
        </w:rPr>
        <w:t> </w:t>
      </w:r>
      <w:r>
        <w:rPr/>
        <w:t>in</w:t>
      </w:r>
      <w:r>
        <w:rPr>
          <w:spacing w:val="-3"/>
        </w:rPr>
        <w:t> </w:t>
      </w:r>
      <w:r>
        <w:rPr/>
        <w:t>the</w:t>
      </w:r>
      <w:r>
        <w:rPr>
          <w:spacing w:val="-5"/>
        </w:rPr>
        <w:t> </w:t>
      </w:r>
      <w:r>
        <w:rPr/>
        <w:t>integrity</w:t>
      </w:r>
      <w:r>
        <w:rPr>
          <w:spacing w:val="-5"/>
        </w:rPr>
        <w:t> </w:t>
      </w:r>
      <w:r>
        <w:rPr/>
        <w:t>and</w:t>
      </w:r>
      <w:r>
        <w:rPr>
          <w:spacing w:val="-3"/>
        </w:rPr>
        <w:t> </w:t>
      </w:r>
      <w:r>
        <w:rPr/>
        <w:t>impartiality</w:t>
      </w:r>
      <w:r>
        <w:rPr>
          <w:spacing w:val="-5"/>
        </w:rPr>
        <w:t> </w:t>
      </w:r>
      <w:r>
        <w:rPr/>
        <w:t>of</w:t>
      </w:r>
      <w:r>
        <w:rPr>
          <w:spacing w:val="-2"/>
        </w:rPr>
        <w:t> </w:t>
      </w:r>
      <w:r>
        <w:rPr/>
        <w:t>regulatory</w:t>
      </w:r>
      <w:r>
        <w:rPr>
          <w:spacing w:val="-5"/>
        </w:rPr>
        <w:t> </w:t>
      </w:r>
      <w:r>
        <w:rPr/>
        <w:t>decision</w:t>
      </w:r>
      <w:r>
        <w:rPr>
          <w:spacing w:val="-5"/>
        </w:rPr>
        <w:t> </w:t>
      </w:r>
      <w:r>
        <w:rPr/>
        <w:t>making</w:t>
      </w:r>
      <w:r>
        <w:rPr>
          <w:spacing w:val="-3"/>
        </w:rPr>
        <w:t> </w:t>
      </w:r>
      <w:r>
        <w:rPr/>
        <w:t>can</w:t>
      </w:r>
      <w:r>
        <w:rPr>
          <w:spacing w:val="-3"/>
        </w:rPr>
        <w:t> </w:t>
      </w:r>
      <w:r>
        <w:rPr/>
        <w:t>be fostered by the regulator being open and transparent about its decisions.</w:t>
      </w:r>
    </w:p>
    <w:p>
      <w:pPr>
        <w:pStyle w:val="BodyText"/>
        <w:spacing w:before="3"/>
      </w:pPr>
    </w:p>
    <w:p>
      <w:pPr>
        <w:pStyle w:val="ListParagraph"/>
        <w:numPr>
          <w:ilvl w:val="0"/>
          <w:numId w:val="30"/>
        </w:numPr>
        <w:tabs>
          <w:tab w:pos="1102" w:val="left" w:leader="none"/>
        </w:tabs>
        <w:spacing w:line="288" w:lineRule="auto" w:before="1" w:after="0"/>
        <w:ind w:left="1102" w:right="628" w:hanging="360"/>
        <w:jc w:val="left"/>
        <w:rPr>
          <w:sz w:val="22"/>
        </w:rPr>
      </w:pPr>
      <w:r>
        <w:rPr>
          <w:b/>
          <w:sz w:val="22"/>
        </w:rPr>
        <w:t>Funding </w:t>
      </w:r>
      <w:r>
        <w:rPr>
          <w:sz w:val="22"/>
        </w:rPr>
        <w:t>– it is important for a regulator to have a transparent source and level of funding to protect its independence and objectivity (OECD, 2014). Clarity on how the regulator is funded can further strengthen public confidence that the regulator is both efficient</w:t>
      </w:r>
      <w:r>
        <w:rPr>
          <w:spacing w:val="-3"/>
          <w:sz w:val="22"/>
        </w:rPr>
        <w:t> </w:t>
      </w:r>
      <w:r>
        <w:rPr>
          <w:sz w:val="22"/>
        </w:rPr>
        <w:t>and</w:t>
      </w:r>
      <w:r>
        <w:rPr>
          <w:spacing w:val="-2"/>
          <w:sz w:val="22"/>
        </w:rPr>
        <w:t> </w:t>
      </w:r>
      <w:r>
        <w:rPr>
          <w:sz w:val="22"/>
        </w:rPr>
        <w:t>effective.</w:t>
      </w:r>
      <w:r>
        <w:rPr>
          <w:spacing w:val="-3"/>
          <w:sz w:val="22"/>
        </w:rPr>
        <w:t> </w:t>
      </w:r>
      <w:r>
        <w:rPr>
          <w:sz w:val="22"/>
        </w:rPr>
        <w:t>The</w:t>
      </w:r>
      <w:r>
        <w:rPr>
          <w:spacing w:val="-2"/>
          <w:sz w:val="22"/>
        </w:rPr>
        <w:t> </w:t>
      </w:r>
      <w:r>
        <w:rPr>
          <w:sz w:val="22"/>
        </w:rPr>
        <w:t>regulator</w:t>
      </w:r>
      <w:r>
        <w:rPr>
          <w:spacing w:val="-1"/>
          <w:sz w:val="22"/>
        </w:rPr>
        <w:t> </w:t>
      </w:r>
      <w:r>
        <w:rPr>
          <w:sz w:val="22"/>
        </w:rPr>
        <w:t>should</w:t>
      </w:r>
      <w:r>
        <w:rPr>
          <w:spacing w:val="-4"/>
          <w:sz w:val="22"/>
        </w:rPr>
        <w:t> </w:t>
      </w:r>
      <w:r>
        <w:rPr>
          <w:sz w:val="22"/>
        </w:rPr>
        <w:t>not</w:t>
      </w:r>
      <w:r>
        <w:rPr>
          <w:spacing w:val="-3"/>
          <w:sz w:val="22"/>
        </w:rPr>
        <w:t> </w:t>
      </w:r>
      <w:r>
        <w:rPr>
          <w:sz w:val="22"/>
        </w:rPr>
        <w:t>set cost</w:t>
      </w:r>
      <w:r>
        <w:rPr>
          <w:spacing w:val="-3"/>
          <w:sz w:val="22"/>
        </w:rPr>
        <w:t> </w:t>
      </w:r>
      <w:r>
        <w:rPr>
          <w:sz w:val="22"/>
        </w:rPr>
        <w:t>recovery</w:t>
      </w:r>
      <w:r>
        <w:rPr>
          <w:spacing w:val="-6"/>
          <w:sz w:val="22"/>
        </w:rPr>
        <w:t> </w:t>
      </w:r>
      <w:r>
        <w:rPr>
          <w:sz w:val="22"/>
        </w:rPr>
        <w:t>fees</w:t>
      </w:r>
      <w:r>
        <w:rPr>
          <w:spacing w:val="-4"/>
          <w:sz w:val="22"/>
        </w:rPr>
        <w:t> </w:t>
      </w:r>
      <w:r>
        <w:rPr>
          <w:sz w:val="22"/>
        </w:rPr>
        <w:t>without</w:t>
      </w:r>
      <w:r>
        <w:rPr>
          <w:spacing w:val="-1"/>
          <w:sz w:val="22"/>
        </w:rPr>
        <w:t> </w:t>
      </w:r>
      <w:r>
        <w:rPr>
          <w:sz w:val="22"/>
        </w:rPr>
        <w:t>an</w:t>
      </w:r>
      <w:r>
        <w:rPr>
          <w:spacing w:val="-4"/>
          <w:sz w:val="22"/>
        </w:rPr>
        <w:t> </w:t>
      </w:r>
      <w:r>
        <w:rPr>
          <w:sz w:val="22"/>
        </w:rPr>
        <w:t>arm’s- length oversight.</w:t>
      </w:r>
    </w:p>
    <w:p>
      <w:pPr>
        <w:pStyle w:val="BodyText"/>
        <w:spacing w:before="7"/>
        <w:rPr>
          <w:sz w:val="18"/>
        </w:rPr>
      </w:pPr>
      <w:r>
        <w:rPr/>
        <mc:AlternateContent>
          <mc:Choice Requires="wps">
            <w:drawing>
              <wp:anchor distT="0" distB="0" distL="0" distR="0" allowOverlap="1" layoutInCell="1" locked="0" behindDoc="1" simplePos="0" relativeHeight="487610880">
                <wp:simplePos x="0" y="0"/>
                <wp:positionH relativeFrom="page">
                  <wp:posOffset>914704</wp:posOffset>
                </wp:positionH>
                <wp:positionV relativeFrom="paragraph">
                  <wp:posOffset>151677</wp:posOffset>
                </wp:positionV>
                <wp:extent cx="5732780" cy="4158615"/>
                <wp:effectExtent l="0" t="0" r="0" b="0"/>
                <wp:wrapTopAndBottom/>
                <wp:docPr id="100" name="Textbox 100"/>
                <wp:cNvGraphicFramePr>
                  <a:graphicFrameLocks/>
                </wp:cNvGraphicFramePr>
                <a:graphic>
                  <a:graphicData uri="http://schemas.microsoft.com/office/word/2010/wordprocessingShape">
                    <wps:wsp>
                      <wps:cNvPr id="100" name="Textbox 100"/>
                      <wps:cNvSpPr txBox="1"/>
                      <wps:spPr>
                        <a:xfrm>
                          <a:off x="0" y="0"/>
                          <a:ext cx="5732780" cy="4158615"/>
                        </a:xfrm>
                        <a:prstGeom prst="rect">
                          <a:avLst/>
                        </a:prstGeom>
                        <a:solidFill>
                          <a:srgbClr val="CEEBEB"/>
                        </a:solidFill>
                      </wps:spPr>
                      <wps:txbx>
                        <w:txbxContent>
                          <w:p>
                            <w:pPr>
                              <w:pStyle w:val="BodyText"/>
                              <w:spacing w:before="10"/>
                              <w:rPr>
                                <w:color w:val="000000"/>
                                <w:sz w:val="20"/>
                              </w:rPr>
                            </w:pPr>
                          </w:p>
                          <w:p>
                            <w:pPr>
                              <w:spacing w:line="288" w:lineRule="auto" w:before="0"/>
                              <w:ind w:left="0" w:right="0" w:firstLine="0"/>
                              <w:jc w:val="left"/>
                              <w:rPr>
                                <w:b/>
                                <w:color w:val="000000"/>
                                <w:sz w:val="22"/>
                              </w:rPr>
                            </w:pPr>
                            <w:r>
                              <w:rPr>
                                <w:b/>
                                <w:color w:val="000000"/>
                                <w:sz w:val="22"/>
                              </w:rPr>
                              <w:t>Box</w:t>
                            </w:r>
                            <w:r>
                              <w:rPr>
                                <w:b/>
                                <w:color w:val="000000"/>
                                <w:spacing w:val="-3"/>
                                <w:sz w:val="22"/>
                              </w:rPr>
                              <w:t> </w:t>
                            </w:r>
                            <w:r>
                              <w:rPr>
                                <w:b/>
                                <w:color w:val="000000"/>
                                <w:sz w:val="22"/>
                              </w:rPr>
                              <w:t>6:</w:t>
                            </w:r>
                            <w:r>
                              <w:rPr>
                                <w:b/>
                                <w:color w:val="000000"/>
                                <w:spacing w:val="-4"/>
                                <w:sz w:val="22"/>
                              </w:rPr>
                              <w:t> </w:t>
                            </w:r>
                            <w:r>
                              <w:rPr>
                                <w:b/>
                                <w:color w:val="000000"/>
                                <w:sz w:val="22"/>
                              </w:rPr>
                              <w:t>Multi-Member</w:t>
                            </w:r>
                            <w:r>
                              <w:rPr>
                                <w:b/>
                                <w:color w:val="000000"/>
                                <w:spacing w:val="-4"/>
                                <w:sz w:val="22"/>
                              </w:rPr>
                              <w:t> </w:t>
                            </w:r>
                            <w:r>
                              <w:rPr>
                                <w:b/>
                                <w:color w:val="000000"/>
                                <w:sz w:val="22"/>
                              </w:rPr>
                              <w:t>Versus</w:t>
                            </w:r>
                            <w:r>
                              <w:rPr>
                                <w:b/>
                                <w:color w:val="000000"/>
                                <w:spacing w:val="-3"/>
                                <w:sz w:val="22"/>
                              </w:rPr>
                              <w:t> </w:t>
                            </w:r>
                            <w:r>
                              <w:rPr>
                                <w:b/>
                                <w:color w:val="000000"/>
                                <w:sz w:val="22"/>
                              </w:rPr>
                              <w:t>Single</w:t>
                            </w:r>
                            <w:r>
                              <w:rPr>
                                <w:b/>
                                <w:color w:val="000000"/>
                                <w:spacing w:val="-5"/>
                                <w:sz w:val="22"/>
                              </w:rPr>
                              <w:t> </w:t>
                            </w:r>
                            <w:r>
                              <w:rPr>
                                <w:b/>
                                <w:color w:val="000000"/>
                                <w:sz w:val="22"/>
                              </w:rPr>
                              <w:t>Member</w:t>
                            </w:r>
                            <w:r>
                              <w:rPr>
                                <w:b/>
                                <w:color w:val="000000"/>
                                <w:spacing w:val="-5"/>
                                <w:sz w:val="22"/>
                              </w:rPr>
                              <w:t> </w:t>
                            </w:r>
                            <w:r>
                              <w:rPr>
                                <w:b/>
                                <w:color w:val="000000"/>
                                <w:sz w:val="22"/>
                              </w:rPr>
                              <w:t>Governance</w:t>
                            </w:r>
                            <w:r>
                              <w:rPr>
                                <w:b/>
                                <w:color w:val="000000"/>
                                <w:spacing w:val="-3"/>
                                <w:sz w:val="22"/>
                              </w:rPr>
                              <w:t> </w:t>
                            </w:r>
                            <w:r>
                              <w:rPr>
                                <w:b/>
                                <w:color w:val="000000"/>
                                <w:sz w:val="22"/>
                              </w:rPr>
                              <w:t>Structures</w:t>
                            </w:r>
                            <w:r>
                              <w:rPr>
                                <w:b/>
                                <w:color w:val="000000"/>
                                <w:spacing w:val="-3"/>
                                <w:sz w:val="22"/>
                              </w:rPr>
                              <w:t> </w:t>
                            </w:r>
                            <w:r>
                              <w:rPr>
                                <w:b/>
                                <w:color w:val="000000"/>
                                <w:sz w:val="22"/>
                              </w:rPr>
                              <w:t>–</w:t>
                            </w:r>
                            <w:r>
                              <w:rPr>
                                <w:b/>
                                <w:color w:val="000000"/>
                                <w:spacing w:val="-5"/>
                                <w:sz w:val="22"/>
                              </w:rPr>
                              <w:t> </w:t>
                            </w:r>
                            <w:r>
                              <w:rPr>
                                <w:b/>
                                <w:color w:val="000000"/>
                                <w:sz w:val="22"/>
                              </w:rPr>
                              <w:t>Selected Considerations Identified by OECD</w:t>
                            </w:r>
                          </w:p>
                          <w:p>
                            <w:pPr>
                              <w:pStyle w:val="BodyText"/>
                              <w:spacing w:before="10"/>
                              <w:rPr>
                                <w:b/>
                                <w:color w:val="000000"/>
                                <w:sz w:val="20"/>
                              </w:rPr>
                            </w:pPr>
                          </w:p>
                          <w:p>
                            <w:pPr>
                              <w:pStyle w:val="BodyText"/>
                              <w:spacing w:line="288" w:lineRule="auto"/>
                              <w:ind w:left="112" w:right="205"/>
                              <w:rPr>
                                <w:color w:val="000000"/>
                              </w:rPr>
                            </w:pPr>
                            <w:r>
                              <w:rPr>
                                <w:color w:val="000000"/>
                              </w:rPr>
                              <w:t>The</w:t>
                            </w:r>
                            <w:r>
                              <w:rPr>
                                <w:color w:val="000000"/>
                                <w:spacing w:val="-5"/>
                              </w:rPr>
                              <w:t> </w:t>
                            </w:r>
                            <w:r>
                              <w:rPr>
                                <w:color w:val="000000"/>
                              </w:rPr>
                              <w:t>OECD’s</w:t>
                            </w:r>
                            <w:r>
                              <w:rPr>
                                <w:color w:val="000000"/>
                                <w:spacing w:val="-2"/>
                              </w:rPr>
                              <w:t> </w:t>
                            </w:r>
                            <w:r>
                              <w:rPr>
                                <w:color w:val="000000"/>
                              </w:rPr>
                              <w:t>principles</w:t>
                            </w:r>
                            <w:r>
                              <w:rPr>
                                <w:color w:val="000000"/>
                                <w:spacing w:val="-3"/>
                              </w:rPr>
                              <w:t> </w:t>
                            </w:r>
                            <w:r>
                              <w:rPr>
                                <w:color w:val="000000"/>
                              </w:rPr>
                              <w:t>incorporate</w:t>
                            </w:r>
                            <w:r>
                              <w:rPr>
                                <w:color w:val="000000"/>
                                <w:spacing w:val="-3"/>
                              </w:rPr>
                              <w:t> </w:t>
                            </w:r>
                            <w:r>
                              <w:rPr>
                                <w:color w:val="000000"/>
                              </w:rPr>
                              <w:t>a</w:t>
                            </w:r>
                            <w:r>
                              <w:rPr>
                                <w:color w:val="000000"/>
                                <w:spacing w:val="-5"/>
                              </w:rPr>
                              <w:t> </w:t>
                            </w:r>
                            <w:r>
                              <w:rPr>
                                <w:color w:val="000000"/>
                              </w:rPr>
                              <w:t>range</w:t>
                            </w:r>
                            <w:r>
                              <w:rPr>
                                <w:color w:val="000000"/>
                                <w:spacing w:val="-5"/>
                              </w:rPr>
                              <w:t> </w:t>
                            </w:r>
                            <w:r>
                              <w:rPr>
                                <w:color w:val="000000"/>
                              </w:rPr>
                              <w:t>of</w:t>
                            </w:r>
                            <w:r>
                              <w:rPr>
                                <w:color w:val="000000"/>
                                <w:spacing w:val="-2"/>
                              </w:rPr>
                              <w:t> </w:t>
                            </w:r>
                            <w:r>
                              <w:rPr>
                                <w:color w:val="000000"/>
                              </w:rPr>
                              <w:t>considerations</w:t>
                            </w:r>
                            <w:r>
                              <w:rPr>
                                <w:color w:val="000000"/>
                                <w:spacing w:val="-3"/>
                              </w:rPr>
                              <w:t> </w:t>
                            </w:r>
                            <w:r>
                              <w:rPr>
                                <w:color w:val="000000"/>
                              </w:rPr>
                              <w:t>in</w:t>
                            </w:r>
                            <w:r>
                              <w:rPr>
                                <w:color w:val="000000"/>
                                <w:spacing w:val="-5"/>
                              </w:rPr>
                              <w:t> </w:t>
                            </w:r>
                            <w:r>
                              <w:rPr>
                                <w:color w:val="000000"/>
                              </w:rPr>
                              <w:t>considering</w:t>
                            </w:r>
                            <w:r>
                              <w:rPr>
                                <w:color w:val="000000"/>
                                <w:spacing w:val="-3"/>
                              </w:rPr>
                              <w:t> </w:t>
                            </w:r>
                            <w:r>
                              <w:rPr>
                                <w:color w:val="000000"/>
                              </w:rPr>
                              <w:t>the</w:t>
                            </w:r>
                            <w:r>
                              <w:rPr>
                                <w:color w:val="000000"/>
                                <w:spacing w:val="-5"/>
                              </w:rPr>
                              <w:t> </w:t>
                            </w:r>
                            <w:r>
                              <w:rPr>
                                <w:color w:val="000000"/>
                              </w:rPr>
                              <w:t>potential value of a multi-member structure compared with a single-member decision making model, including,</w:t>
                            </w:r>
                          </w:p>
                          <w:p>
                            <w:pPr>
                              <w:pStyle w:val="BodyText"/>
                              <w:spacing w:before="5"/>
                              <w:rPr>
                                <w:color w:val="000000"/>
                              </w:rPr>
                            </w:pPr>
                          </w:p>
                          <w:p>
                            <w:pPr>
                              <w:numPr>
                                <w:ilvl w:val="0"/>
                                <w:numId w:val="31"/>
                              </w:numPr>
                              <w:tabs>
                                <w:tab w:pos="472" w:val="left" w:leader="none"/>
                              </w:tabs>
                              <w:spacing w:line="285" w:lineRule="auto" w:before="1"/>
                              <w:ind w:left="472" w:right="664" w:hanging="360"/>
                              <w:jc w:val="left"/>
                              <w:rPr>
                                <w:color w:val="000000"/>
                                <w:sz w:val="22"/>
                              </w:rPr>
                            </w:pPr>
                            <w:r>
                              <w:rPr>
                                <w:color w:val="000000"/>
                                <w:sz w:val="22"/>
                              </w:rPr>
                              <w:t>“</w:t>
                            </w:r>
                            <w:r>
                              <w:rPr>
                                <w:i/>
                                <w:color w:val="000000"/>
                                <w:sz w:val="22"/>
                              </w:rPr>
                              <w:t>a</w:t>
                            </w:r>
                            <w:r>
                              <w:rPr>
                                <w:i/>
                                <w:color w:val="000000"/>
                                <w:spacing w:val="-2"/>
                                <w:sz w:val="22"/>
                              </w:rPr>
                              <w:t> </w:t>
                            </w:r>
                            <w:r>
                              <w:rPr>
                                <w:i/>
                                <w:color w:val="000000"/>
                                <w:sz w:val="22"/>
                              </w:rPr>
                              <w:t>group</w:t>
                            </w:r>
                            <w:r>
                              <w:rPr>
                                <w:i/>
                                <w:color w:val="000000"/>
                                <w:spacing w:val="-2"/>
                                <w:sz w:val="22"/>
                              </w:rPr>
                              <w:t> </w:t>
                            </w:r>
                            <w:r>
                              <w:rPr>
                                <w:i/>
                                <w:color w:val="000000"/>
                                <w:sz w:val="22"/>
                              </w:rPr>
                              <w:t>of decision</w:t>
                            </w:r>
                            <w:r>
                              <w:rPr>
                                <w:i/>
                                <w:color w:val="000000"/>
                                <w:spacing w:val="-4"/>
                                <w:sz w:val="22"/>
                              </w:rPr>
                              <w:t> </w:t>
                            </w:r>
                            <w:r>
                              <w:rPr>
                                <w:i/>
                                <w:color w:val="000000"/>
                                <w:sz w:val="22"/>
                              </w:rPr>
                              <w:t>makers</w:t>
                            </w:r>
                            <w:r>
                              <w:rPr>
                                <w:i/>
                                <w:color w:val="000000"/>
                                <w:spacing w:val="-1"/>
                                <w:sz w:val="22"/>
                              </w:rPr>
                              <w:t> </w:t>
                            </w:r>
                            <w:r>
                              <w:rPr>
                                <w:i/>
                                <w:color w:val="000000"/>
                                <w:sz w:val="22"/>
                              </w:rPr>
                              <w:t>is</w:t>
                            </w:r>
                            <w:r>
                              <w:rPr>
                                <w:i/>
                                <w:color w:val="000000"/>
                                <w:spacing w:val="-4"/>
                                <w:sz w:val="22"/>
                              </w:rPr>
                              <w:t> </w:t>
                            </w:r>
                            <w:r>
                              <w:rPr>
                                <w:i/>
                                <w:color w:val="000000"/>
                                <w:sz w:val="22"/>
                              </w:rPr>
                              <w:t>less</w:t>
                            </w:r>
                            <w:r>
                              <w:rPr>
                                <w:i/>
                                <w:color w:val="000000"/>
                                <w:spacing w:val="-2"/>
                                <w:sz w:val="22"/>
                              </w:rPr>
                              <w:t> </w:t>
                            </w:r>
                            <w:r>
                              <w:rPr>
                                <w:i/>
                                <w:color w:val="000000"/>
                                <w:sz w:val="22"/>
                              </w:rPr>
                              <w:t>likely</w:t>
                            </w:r>
                            <w:r>
                              <w:rPr>
                                <w:i/>
                                <w:color w:val="000000"/>
                                <w:spacing w:val="-1"/>
                                <w:sz w:val="22"/>
                              </w:rPr>
                              <w:t> </w:t>
                            </w:r>
                            <w:r>
                              <w:rPr>
                                <w:i/>
                                <w:color w:val="000000"/>
                                <w:sz w:val="22"/>
                              </w:rPr>
                              <w:t>to</w:t>
                            </w:r>
                            <w:r>
                              <w:rPr>
                                <w:i/>
                                <w:color w:val="000000"/>
                                <w:spacing w:val="-4"/>
                                <w:sz w:val="22"/>
                              </w:rPr>
                              <w:t> </w:t>
                            </w:r>
                            <w:r>
                              <w:rPr>
                                <w:i/>
                                <w:color w:val="000000"/>
                                <w:sz w:val="22"/>
                              </w:rPr>
                              <w:t>be</w:t>
                            </w:r>
                            <w:r>
                              <w:rPr>
                                <w:i/>
                                <w:color w:val="000000"/>
                                <w:spacing w:val="-2"/>
                                <w:sz w:val="22"/>
                              </w:rPr>
                              <w:t> </w:t>
                            </w:r>
                            <w:r>
                              <w:rPr>
                                <w:i/>
                                <w:color w:val="000000"/>
                                <w:sz w:val="22"/>
                              </w:rPr>
                              <w:t>‘captured’</w:t>
                            </w:r>
                            <w:r>
                              <w:rPr>
                                <w:i/>
                                <w:color w:val="000000"/>
                                <w:spacing w:val="-7"/>
                                <w:sz w:val="22"/>
                              </w:rPr>
                              <w:t> </w:t>
                            </w:r>
                            <w:r>
                              <w:rPr>
                                <w:i/>
                                <w:color w:val="000000"/>
                                <w:sz w:val="22"/>
                              </w:rPr>
                              <w:t>than</w:t>
                            </w:r>
                            <w:r>
                              <w:rPr>
                                <w:i/>
                                <w:color w:val="000000"/>
                                <w:spacing w:val="-2"/>
                                <w:sz w:val="22"/>
                              </w:rPr>
                              <w:t> </w:t>
                            </w:r>
                            <w:r>
                              <w:rPr>
                                <w:i/>
                                <w:color w:val="000000"/>
                                <w:sz w:val="22"/>
                              </w:rPr>
                              <w:t>an</w:t>
                            </w:r>
                            <w:r>
                              <w:rPr>
                                <w:i/>
                                <w:color w:val="000000"/>
                                <w:spacing w:val="-2"/>
                                <w:sz w:val="22"/>
                              </w:rPr>
                              <w:t> </w:t>
                            </w:r>
                            <w:r>
                              <w:rPr>
                                <w:i/>
                                <w:color w:val="000000"/>
                                <w:sz w:val="22"/>
                              </w:rPr>
                              <w:t>individual</w:t>
                            </w:r>
                            <w:r>
                              <w:rPr>
                                <w:i/>
                                <w:color w:val="000000"/>
                                <w:spacing w:val="-3"/>
                                <w:sz w:val="22"/>
                              </w:rPr>
                              <w:t> </w:t>
                            </w:r>
                            <w:r>
                              <w:rPr>
                                <w:i/>
                                <w:color w:val="000000"/>
                                <w:sz w:val="22"/>
                              </w:rPr>
                              <w:t>and</w:t>
                            </w:r>
                            <w:r>
                              <w:rPr>
                                <w:i/>
                                <w:color w:val="000000"/>
                                <w:spacing w:val="-2"/>
                                <w:sz w:val="22"/>
                              </w:rPr>
                              <w:t> </w:t>
                            </w:r>
                            <w:r>
                              <w:rPr>
                                <w:i/>
                                <w:color w:val="000000"/>
                                <w:sz w:val="22"/>
                              </w:rPr>
                              <w:t>a group will bring differing perspectives to decisions</w:t>
                            </w:r>
                            <w:r>
                              <w:rPr>
                                <w:color w:val="000000"/>
                                <w:sz w:val="22"/>
                              </w:rPr>
                              <w:t>”;</w:t>
                            </w:r>
                          </w:p>
                          <w:p>
                            <w:pPr>
                              <w:pStyle w:val="BodyText"/>
                              <w:spacing w:before="6"/>
                              <w:rPr>
                                <w:color w:val="000000"/>
                              </w:rPr>
                            </w:pPr>
                          </w:p>
                          <w:p>
                            <w:pPr>
                              <w:numPr>
                                <w:ilvl w:val="0"/>
                                <w:numId w:val="31"/>
                              </w:numPr>
                              <w:tabs>
                                <w:tab w:pos="472" w:val="left" w:leader="none"/>
                              </w:tabs>
                              <w:spacing w:line="288" w:lineRule="auto" w:before="0"/>
                              <w:ind w:left="472" w:right="383" w:hanging="360"/>
                              <w:jc w:val="left"/>
                              <w:rPr>
                                <w:color w:val="000000"/>
                                <w:sz w:val="22"/>
                              </w:rPr>
                            </w:pPr>
                            <w:r>
                              <w:rPr>
                                <w:color w:val="000000"/>
                                <w:sz w:val="22"/>
                              </w:rPr>
                              <w:t>“</w:t>
                            </w:r>
                            <w:r>
                              <w:rPr>
                                <w:i/>
                                <w:color w:val="000000"/>
                                <w:sz w:val="22"/>
                              </w:rPr>
                              <w:t>diversity of wisdom, experience and perceptions (is) required for informed decision making</w:t>
                            </w:r>
                            <w:r>
                              <w:rPr>
                                <w:i/>
                                <w:color w:val="000000"/>
                                <w:spacing w:val="-4"/>
                                <w:sz w:val="22"/>
                              </w:rPr>
                              <w:t> </w:t>
                            </w:r>
                            <w:r>
                              <w:rPr>
                                <w:i/>
                                <w:color w:val="000000"/>
                                <w:sz w:val="22"/>
                              </w:rPr>
                              <w:t>…</w:t>
                            </w:r>
                            <w:r>
                              <w:rPr>
                                <w:i/>
                                <w:color w:val="000000"/>
                                <w:spacing w:val="-6"/>
                                <w:sz w:val="22"/>
                              </w:rPr>
                              <w:t> </w:t>
                            </w:r>
                            <w:r>
                              <w:rPr>
                                <w:i/>
                                <w:color w:val="000000"/>
                                <w:sz w:val="22"/>
                              </w:rPr>
                              <w:t>collective</w:t>
                            </w:r>
                            <w:r>
                              <w:rPr>
                                <w:i/>
                                <w:color w:val="000000"/>
                                <w:spacing w:val="-4"/>
                                <w:sz w:val="22"/>
                              </w:rPr>
                              <w:t> </w:t>
                            </w:r>
                            <w:r>
                              <w:rPr>
                                <w:i/>
                                <w:color w:val="000000"/>
                                <w:sz w:val="22"/>
                              </w:rPr>
                              <w:t>decision</w:t>
                            </w:r>
                            <w:r>
                              <w:rPr>
                                <w:i/>
                                <w:color w:val="000000"/>
                                <w:spacing w:val="-4"/>
                                <w:sz w:val="22"/>
                              </w:rPr>
                              <w:t> </w:t>
                            </w:r>
                            <w:r>
                              <w:rPr>
                                <w:i/>
                                <w:color w:val="000000"/>
                                <w:sz w:val="22"/>
                              </w:rPr>
                              <w:t>making</w:t>
                            </w:r>
                            <w:r>
                              <w:rPr>
                                <w:i/>
                                <w:color w:val="000000"/>
                                <w:spacing w:val="-4"/>
                                <w:sz w:val="22"/>
                              </w:rPr>
                              <w:t> </w:t>
                            </w:r>
                            <w:r>
                              <w:rPr>
                                <w:i/>
                                <w:color w:val="000000"/>
                                <w:sz w:val="22"/>
                              </w:rPr>
                              <w:t>provides</w:t>
                            </w:r>
                            <w:r>
                              <w:rPr>
                                <w:i/>
                                <w:color w:val="000000"/>
                                <w:spacing w:val="-3"/>
                                <w:sz w:val="22"/>
                              </w:rPr>
                              <w:t> </w:t>
                            </w:r>
                            <w:r>
                              <w:rPr>
                                <w:i/>
                                <w:color w:val="000000"/>
                                <w:sz w:val="22"/>
                              </w:rPr>
                              <w:t>better</w:t>
                            </w:r>
                            <w:r>
                              <w:rPr>
                                <w:i/>
                                <w:color w:val="000000"/>
                                <w:spacing w:val="-5"/>
                                <w:sz w:val="22"/>
                              </w:rPr>
                              <w:t> </w:t>
                            </w:r>
                            <w:r>
                              <w:rPr>
                                <w:i/>
                                <w:color w:val="000000"/>
                                <w:sz w:val="22"/>
                              </w:rPr>
                              <w:t>balancing</w:t>
                            </w:r>
                            <w:r>
                              <w:rPr>
                                <w:i/>
                                <w:color w:val="000000"/>
                                <w:spacing w:val="-4"/>
                                <w:sz w:val="22"/>
                              </w:rPr>
                              <w:t> </w:t>
                            </w:r>
                            <w:r>
                              <w:rPr>
                                <w:i/>
                                <w:color w:val="000000"/>
                                <w:sz w:val="22"/>
                              </w:rPr>
                              <w:t>of</w:t>
                            </w:r>
                            <w:r>
                              <w:rPr>
                                <w:i/>
                                <w:color w:val="000000"/>
                                <w:spacing w:val="-5"/>
                                <w:sz w:val="22"/>
                              </w:rPr>
                              <w:t> </w:t>
                            </w:r>
                            <w:r>
                              <w:rPr>
                                <w:i/>
                                <w:color w:val="000000"/>
                                <w:sz w:val="22"/>
                              </w:rPr>
                              <w:t>judgement</w:t>
                            </w:r>
                            <w:r>
                              <w:rPr>
                                <w:i/>
                                <w:color w:val="000000"/>
                                <w:spacing w:val="-5"/>
                                <w:sz w:val="22"/>
                              </w:rPr>
                              <w:t> </w:t>
                            </w:r>
                            <w:r>
                              <w:rPr>
                                <w:i/>
                                <w:color w:val="000000"/>
                                <w:sz w:val="22"/>
                              </w:rPr>
                              <w:t>factors and minimises the risks of varying judgements</w:t>
                            </w:r>
                            <w:r>
                              <w:rPr>
                                <w:color w:val="000000"/>
                                <w:sz w:val="22"/>
                              </w:rPr>
                              <w:t>”;</w:t>
                            </w:r>
                          </w:p>
                          <w:p>
                            <w:pPr>
                              <w:pStyle w:val="BodyText"/>
                              <w:rPr>
                                <w:color w:val="000000"/>
                              </w:rPr>
                            </w:pPr>
                          </w:p>
                          <w:p>
                            <w:pPr>
                              <w:numPr>
                                <w:ilvl w:val="0"/>
                                <w:numId w:val="31"/>
                              </w:numPr>
                              <w:tabs>
                                <w:tab w:pos="472" w:val="left" w:leader="none"/>
                              </w:tabs>
                              <w:spacing w:before="0"/>
                              <w:ind w:left="472" w:right="0" w:hanging="360"/>
                              <w:jc w:val="left"/>
                              <w:rPr>
                                <w:color w:val="000000"/>
                                <w:sz w:val="22"/>
                              </w:rPr>
                            </w:pPr>
                            <w:r>
                              <w:rPr>
                                <w:color w:val="000000"/>
                                <w:sz w:val="22"/>
                              </w:rPr>
                              <w:t>“</w:t>
                            </w:r>
                            <w:r>
                              <w:rPr>
                                <w:i/>
                                <w:color w:val="000000"/>
                                <w:sz w:val="22"/>
                              </w:rPr>
                              <w:t>collegiate</w:t>
                            </w:r>
                            <w:r>
                              <w:rPr>
                                <w:i/>
                                <w:color w:val="000000"/>
                                <w:spacing w:val="-7"/>
                                <w:sz w:val="22"/>
                              </w:rPr>
                              <w:t> </w:t>
                            </w:r>
                            <w:r>
                              <w:rPr>
                                <w:i/>
                                <w:color w:val="000000"/>
                                <w:sz w:val="22"/>
                              </w:rPr>
                              <w:t>support</w:t>
                            </w:r>
                            <w:r>
                              <w:rPr>
                                <w:i/>
                                <w:color w:val="000000"/>
                                <w:spacing w:val="-9"/>
                                <w:sz w:val="22"/>
                              </w:rPr>
                              <w:t> </w:t>
                            </w:r>
                            <w:r>
                              <w:rPr>
                                <w:i/>
                                <w:color w:val="000000"/>
                                <w:sz w:val="22"/>
                              </w:rPr>
                              <w:t>for</w:t>
                            </w:r>
                            <w:r>
                              <w:rPr>
                                <w:i/>
                                <w:color w:val="000000"/>
                                <w:spacing w:val="-9"/>
                                <w:sz w:val="22"/>
                              </w:rPr>
                              <w:t> </w:t>
                            </w:r>
                            <w:r>
                              <w:rPr>
                                <w:i/>
                                <w:color w:val="000000"/>
                                <w:sz w:val="22"/>
                              </w:rPr>
                              <w:t>strategic</w:t>
                            </w:r>
                            <w:r>
                              <w:rPr>
                                <w:i/>
                                <w:color w:val="000000"/>
                                <w:spacing w:val="-7"/>
                                <w:sz w:val="22"/>
                              </w:rPr>
                              <w:t> </w:t>
                            </w:r>
                            <w:r>
                              <w:rPr>
                                <w:i/>
                                <w:color w:val="000000"/>
                                <w:sz w:val="22"/>
                              </w:rPr>
                              <w:t>decision</w:t>
                            </w:r>
                            <w:r>
                              <w:rPr>
                                <w:i/>
                                <w:color w:val="000000"/>
                                <w:spacing w:val="-9"/>
                                <w:sz w:val="22"/>
                              </w:rPr>
                              <w:t> </w:t>
                            </w:r>
                            <w:r>
                              <w:rPr>
                                <w:i/>
                                <w:color w:val="000000"/>
                                <w:spacing w:val="-2"/>
                                <w:sz w:val="22"/>
                              </w:rPr>
                              <w:t>making</w:t>
                            </w:r>
                            <w:r>
                              <w:rPr>
                                <w:color w:val="000000"/>
                                <w:spacing w:val="-2"/>
                                <w:sz w:val="22"/>
                              </w:rPr>
                              <w:t>”;</w:t>
                            </w:r>
                          </w:p>
                          <w:p>
                            <w:pPr>
                              <w:pStyle w:val="BodyText"/>
                              <w:spacing w:before="8"/>
                              <w:rPr>
                                <w:color w:val="000000"/>
                                <w:sz w:val="26"/>
                              </w:rPr>
                            </w:pPr>
                          </w:p>
                          <w:p>
                            <w:pPr>
                              <w:numPr>
                                <w:ilvl w:val="0"/>
                                <w:numId w:val="31"/>
                              </w:numPr>
                              <w:tabs>
                                <w:tab w:pos="472" w:val="left" w:leader="none"/>
                              </w:tabs>
                              <w:spacing w:line="288" w:lineRule="auto" w:before="0"/>
                              <w:ind w:left="472" w:right="724" w:hanging="360"/>
                              <w:jc w:val="left"/>
                              <w:rPr>
                                <w:color w:val="000000"/>
                                <w:sz w:val="22"/>
                              </w:rPr>
                            </w:pPr>
                            <w:r>
                              <w:rPr>
                                <w:color w:val="000000"/>
                                <w:sz w:val="22"/>
                              </w:rPr>
                              <w:t>“</w:t>
                            </w:r>
                            <w:r>
                              <w:rPr>
                                <w:i/>
                                <w:color w:val="000000"/>
                                <w:sz w:val="22"/>
                              </w:rPr>
                              <w:t>where</w:t>
                            </w:r>
                            <w:r>
                              <w:rPr>
                                <w:i/>
                                <w:color w:val="000000"/>
                                <w:spacing w:val="-5"/>
                                <w:sz w:val="22"/>
                              </w:rPr>
                              <w:t> </w:t>
                            </w:r>
                            <w:r>
                              <w:rPr>
                                <w:i/>
                                <w:color w:val="000000"/>
                                <w:sz w:val="22"/>
                              </w:rPr>
                              <w:t>regulatory</w:t>
                            </w:r>
                            <w:r>
                              <w:rPr>
                                <w:i/>
                                <w:color w:val="000000"/>
                                <w:spacing w:val="-3"/>
                                <w:sz w:val="22"/>
                              </w:rPr>
                              <w:t> </w:t>
                            </w:r>
                            <w:r>
                              <w:rPr>
                                <w:i/>
                                <w:color w:val="000000"/>
                                <w:sz w:val="22"/>
                              </w:rPr>
                              <w:t>decisions</w:t>
                            </w:r>
                            <w:r>
                              <w:rPr>
                                <w:i/>
                                <w:color w:val="000000"/>
                                <w:spacing w:val="-3"/>
                                <w:sz w:val="22"/>
                              </w:rPr>
                              <w:t> </w:t>
                            </w:r>
                            <w:r>
                              <w:rPr>
                                <w:i/>
                                <w:color w:val="000000"/>
                                <w:sz w:val="22"/>
                              </w:rPr>
                              <w:t>require</w:t>
                            </w:r>
                            <w:r>
                              <w:rPr>
                                <w:i/>
                                <w:color w:val="000000"/>
                                <w:spacing w:val="-5"/>
                                <w:sz w:val="22"/>
                              </w:rPr>
                              <w:t> </w:t>
                            </w:r>
                            <w:r>
                              <w:rPr>
                                <w:i/>
                                <w:color w:val="000000"/>
                                <w:sz w:val="22"/>
                              </w:rPr>
                              <w:t>a</w:t>
                            </w:r>
                            <w:r>
                              <w:rPr>
                                <w:i/>
                                <w:color w:val="000000"/>
                                <w:spacing w:val="-4"/>
                                <w:sz w:val="22"/>
                              </w:rPr>
                              <w:t> </w:t>
                            </w:r>
                            <w:r>
                              <w:rPr>
                                <w:i/>
                                <w:color w:val="000000"/>
                                <w:sz w:val="22"/>
                              </w:rPr>
                              <w:t>high</w:t>
                            </w:r>
                            <w:r>
                              <w:rPr>
                                <w:i/>
                                <w:color w:val="000000"/>
                                <w:spacing w:val="-5"/>
                                <w:sz w:val="22"/>
                              </w:rPr>
                              <w:t> </w:t>
                            </w:r>
                            <w:r>
                              <w:rPr>
                                <w:i/>
                                <w:color w:val="000000"/>
                                <w:sz w:val="22"/>
                              </w:rPr>
                              <w:t>degree</w:t>
                            </w:r>
                            <w:r>
                              <w:rPr>
                                <w:i/>
                                <w:color w:val="000000"/>
                                <w:spacing w:val="-4"/>
                                <w:sz w:val="22"/>
                              </w:rPr>
                              <w:t> </w:t>
                            </w:r>
                            <w:r>
                              <w:rPr>
                                <w:i/>
                                <w:color w:val="000000"/>
                                <w:sz w:val="22"/>
                              </w:rPr>
                              <w:t>of</w:t>
                            </w:r>
                            <w:r>
                              <w:rPr>
                                <w:i/>
                                <w:color w:val="000000"/>
                                <w:spacing w:val="-4"/>
                                <w:sz w:val="22"/>
                              </w:rPr>
                              <w:t> </w:t>
                            </w:r>
                            <w:r>
                              <w:rPr>
                                <w:i/>
                                <w:color w:val="000000"/>
                                <w:sz w:val="22"/>
                              </w:rPr>
                              <w:t>judgement,</w:t>
                            </w:r>
                            <w:r>
                              <w:rPr>
                                <w:i/>
                                <w:color w:val="000000"/>
                                <w:spacing w:val="-5"/>
                                <w:sz w:val="22"/>
                              </w:rPr>
                              <w:t> </w:t>
                            </w:r>
                            <w:r>
                              <w:rPr>
                                <w:i/>
                                <w:color w:val="000000"/>
                                <w:sz w:val="22"/>
                              </w:rPr>
                              <w:t>a</w:t>
                            </w:r>
                            <w:r>
                              <w:rPr>
                                <w:i/>
                                <w:color w:val="000000"/>
                                <w:spacing w:val="-3"/>
                                <w:sz w:val="22"/>
                              </w:rPr>
                              <w:t> </w:t>
                            </w:r>
                            <w:r>
                              <w:rPr>
                                <w:i/>
                                <w:color w:val="000000"/>
                                <w:sz w:val="22"/>
                              </w:rPr>
                              <w:t>multi-member decision making body provides more ‘corporate memory’ over time</w:t>
                            </w:r>
                            <w:r>
                              <w:rPr>
                                <w:color w:val="000000"/>
                                <w:sz w:val="22"/>
                              </w:rPr>
                              <w:t>”; and</w:t>
                            </w:r>
                          </w:p>
                          <w:p>
                            <w:pPr>
                              <w:pStyle w:val="BodyText"/>
                              <w:spacing w:before="1"/>
                              <w:rPr>
                                <w:color w:val="000000"/>
                              </w:rPr>
                            </w:pPr>
                          </w:p>
                          <w:p>
                            <w:pPr>
                              <w:numPr>
                                <w:ilvl w:val="0"/>
                                <w:numId w:val="31"/>
                              </w:numPr>
                              <w:tabs>
                                <w:tab w:pos="472" w:val="left" w:leader="none"/>
                              </w:tabs>
                              <w:spacing w:line="288" w:lineRule="auto" w:before="0"/>
                              <w:ind w:left="472" w:right="203" w:hanging="360"/>
                              <w:jc w:val="left"/>
                              <w:rPr>
                                <w:color w:val="000000"/>
                                <w:sz w:val="22"/>
                              </w:rPr>
                            </w:pPr>
                            <w:r>
                              <w:rPr>
                                <w:color w:val="000000"/>
                                <w:sz w:val="22"/>
                              </w:rPr>
                              <w:t>“</w:t>
                            </w:r>
                            <w:r>
                              <w:rPr>
                                <w:i/>
                                <w:color w:val="000000"/>
                                <w:sz w:val="22"/>
                              </w:rPr>
                              <w:t>a</w:t>
                            </w:r>
                            <w:r>
                              <w:rPr>
                                <w:i/>
                                <w:color w:val="000000"/>
                                <w:spacing w:val="-2"/>
                                <w:sz w:val="22"/>
                              </w:rPr>
                              <w:t> </w:t>
                            </w:r>
                            <w:r>
                              <w:rPr>
                                <w:i/>
                                <w:color w:val="000000"/>
                                <w:sz w:val="22"/>
                              </w:rPr>
                              <w:t>board</w:t>
                            </w:r>
                            <w:r>
                              <w:rPr>
                                <w:i/>
                                <w:color w:val="000000"/>
                                <w:spacing w:val="-4"/>
                                <w:sz w:val="22"/>
                              </w:rPr>
                              <w:t> </w:t>
                            </w:r>
                            <w:r>
                              <w:rPr>
                                <w:i/>
                                <w:color w:val="000000"/>
                                <w:sz w:val="22"/>
                              </w:rPr>
                              <w:t>will</w:t>
                            </w:r>
                            <w:r>
                              <w:rPr>
                                <w:i/>
                                <w:color w:val="000000"/>
                                <w:spacing w:val="-2"/>
                                <w:sz w:val="22"/>
                              </w:rPr>
                              <w:t> </w:t>
                            </w:r>
                            <w:r>
                              <w:rPr>
                                <w:i/>
                                <w:color w:val="000000"/>
                                <w:sz w:val="22"/>
                              </w:rPr>
                              <w:t>be</w:t>
                            </w:r>
                            <w:r>
                              <w:rPr>
                                <w:i/>
                                <w:color w:val="000000"/>
                                <w:spacing w:val="-2"/>
                                <w:sz w:val="22"/>
                              </w:rPr>
                              <w:t> </w:t>
                            </w:r>
                            <w:r>
                              <w:rPr>
                                <w:i/>
                                <w:color w:val="000000"/>
                                <w:sz w:val="22"/>
                              </w:rPr>
                              <w:t>less</w:t>
                            </w:r>
                            <w:r>
                              <w:rPr>
                                <w:i/>
                                <w:color w:val="000000"/>
                                <w:spacing w:val="-4"/>
                                <w:sz w:val="22"/>
                              </w:rPr>
                              <w:t> </w:t>
                            </w:r>
                            <w:r>
                              <w:rPr>
                                <w:i/>
                                <w:color w:val="000000"/>
                                <w:sz w:val="22"/>
                              </w:rPr>
                              <w:t>susceptible</w:t>
                            </w:r>
                            <w:r>
                              <w:rPr>
                                <w:i/>
                                <w:color w:val="000000"/>
                                <w:spacing w:val="-2"/>
                                <w:sz w:val="22"/>
                              </w:rPr>
                              <w:t> </w:t>
                            </w:r>
                            <w:r>
                              <w:rPr>
                                <w:i/>
                                <w:color w:val="000000"/>
                                <w:sz w:val="22"/>
                              </w:rPr>
                              <w:t>to</w:t>
                            </w:r>
                            <w:r>
                              <w:rPr>
                                <w:i/>
                                <w:color w:val="000000"/>
                                <w:spacing w:val="-4"/>
                                <w:sz w:val="22"/>
                              </w:rPr>
                              <w:t> </w:t>
                            </w:r>
                            <w:r>
                              <w:rPr>
                                <w:i/>
                                <w:color w:val="000000"/>
                                <w:sz w:val="22"/>
                              </w:rPr>
                              <w:t>political</w:t>
                            </w:r>
                            <w:r>
                              <w:rPr>
                                <w:i/>
                                <w:color w:val="000000"/>
                                <w:spacing w:val="-3"/>
                                <w:sz w:val="22"/>
                              </w:rPr>
                              <w:t> </w:t>
                            </w:r>
                            <w:r>
                              <w:rPr>
                                <w:i/>
                                <w:color w:val="000000"/>
                                <w:sz w:val="22"/>
                              </w:rPr>
                              <w:t>or</w:t>
                            </w:r>
                            <w:r>
                              <w:rPr>
                                <w:i/>
                                <w:color w:val="000000"/>
                                <w:spacing w:val="-2"/>
                                <w:sz w:val="22"/>
                              </w:rPr>
                              <w:t> </w:t>
                            </w:r>
                            <w:r>
                              <w:rPr>
                                <w:i/>
                                <w:color w:val="000000"/>
                                <w:sz w:val="22"/>
                              </w:rPr>
                              <w:t>industry</w:t>
                            </w:r>
                            <w:r>
                              <w:rPr>
                                <w:i/>
                                <w:color w:val="000000"/>
                                <w:spacing w:val="-4"/>
                                <w:sz w:val="22"/>
                              </w:rPr>
                              <w:t> </w:t>
                            </w:r>
                            <w:r>
                              <w:rPr>
                                <w:i/>
                                <w:color w:val="000000"/>
                                <w:sz w:val="22"/>
                              </w:rPr>
                              <w:t>influence</w:t>
                            </w:r>
                            <w:r>
                              <w:rPr>
                                <w:i/>
                                <w:color w:val="000000"/>
                                <w:spacing w:val="-4"/>
                                <w:sz w:val="22"/>
                              </w:rPr>
                              <w:t> </w:t>
                            </w:r>
                            <w:r>
                              <w:rPr>
                                <w:i/>
                                <w:color w:val="000000"/>
                                <w:sz w:val="22"/>
                              </w:rPr>
                              <w:t>than</w:t>
                            </w:r>
                            <w:r>
                              <w:rPr>
                                <w:i/>
                                <w:color w:val="000000"/>
                                <w:spacing w:val="-4"/>
                                <w:sz w:val="22"/>
                              </w:rPr>
                              <w:t> </w:t>
                            </w:r>
                            <w:r>
                              <w:rPr>
                                <w:i/>
                                <w:color w:val="000000"/>
                                <w:sz w:val="22"/>
                              </w:rPr>
                              <w:t>a</w:t>
                            </w:r>
                            <w:r>
                              <w:rPr>
                                <w:i/>
                                <w:color w:val="000000"/>
                                <w:spacing w:val="-2"/>
                                <w:sz w:val="22"/>
                              </w:rPr>
                              <w:t> </w:t>
                            </w:r>
                            <w:r>
                              <w:rPr>
                                <w:i/>
                                <w:color w:val="000000"/>
                                <w:sz w:val="22"/>
                              </w:rPr>
                              <w:t>single</w:t>
                            </w:r>
                            <w:r>
                              <w:rPr>
                                <w:i/>
                                <w:color w:val="000000"/>
                                <w:spacing w:val="-2"/>
                                <w:sz w:val="22"/>
                              </w:rPr>
                              <w:t> </w:t>
                            </w:r>
                            <w:r>
                              <w:rPr>
                                <w:i/>
                                <w:color w:val="000000"/>
                                <w:sz w:val="22"/>
                              </w:rPr>
                              <w:t>decision maker.</w:t>
                            </w:r>
                            <w:r>
                              <w:rPr>
                                <w:color w:val="000000"/>
                                <w:sz w:val="22"/>
                              </w:rPr>
                              <w:t>” (OECD, 2014, pp. 70-71)</w:t>
                            </w:r>
                          </w:p>
                        </w:txbxContent>
                      </wps:txbx>
                      <wps:bodyPr wrap="square" lIns="0" tIns="0" rIns="0" bIns="0" rtlCol="0">
                        <a:noAutofit/>
                      </wps:bodyPr>
                    </wps:wsp>
                  </a:graphicData>
                </a:graphic>
              </wp:anchor>
            </w:drawing>
          </mc:Choice>
          <mc:Fallback>
            <w:pict>
              <v:shape style="position:absolute;margin-left:72.024002pt;margin-top:11.943125pt;width:451.4pt;height:327.45pt;mso-position-horizontal-relative:page;mso-position-vertical-relative:paragraph;z-index:-15705600;mso-wrap-distance-left:0;mso-wrap-distance-right:0" type="#_x0000_t202" id="docshape87" filled="true" fillcolor="#ceebeb" stroked="false">
                <v:textbox inset="0,0,0,0">
                  <w:txbxContent>
                    <w:p>
                      <w:pPr>
                        <w:pStyle w:val="BodyText"/>
                        <w:spacing w:before="10"/>
                        <w:rPr>
                          <w:color w:val="000000"/>
                          <w:sz w:val="20"/>
                        </w:rPr>
                      </w:pPr>
                    </w:p>
                    <w:p>
                      <w:pPr>
                        <w:spacing w:line="288" w:lineRule="auto" w:before="0"/>
                        <w:ind w:left="0" w:right="0" w:firstLine="0"/>
                        <w:jc w:val="left"/>
                        <w:rPr>
                          <w:b/>
                          <w:color w:val="000000"/>
                          <w:sz w:val="22"/>
                        </w:rPr>
                      </w:pPr>
                      <w:r>
                        <w:rPr>
                          <w:b/>
                          <w:color w:val="000000"/>
                          <w:sz w:val="22"/>
                        </w:rPr>
                        <w:t>Box</w:t>
                      </w:r>
                      <w:r>
                        <w:rPr>
                          <w:b/>
                          <w:color w:val="000000"/>
                          <w:spacing w:val="-3"/>
                          <w:sz w:val="22"/>
                        </w:rPr>
                        <w:t> </w:t>
                      </w:r>
                      <w:r>
                        <w:rPr>
                          <w:b/>
                          <w:color w:val="000000"/>
                          <w:sz w:val="22"/>
                        </w:rPr>
                        <w:t>6:</w:t>
                      </w:r>
                      <w:r>
                        <w:rPr>
                          <w:b/>
                          <w:color w:val="000000"/>
                          <w:spacing w:val="-4"/>
                          <w:sz w:val="22"/>
                        </w:rPr>
                        <w:t> </w:t>
                      </w:r>
                      <w:r>
                        <w:rPr>
                          <w:b/>
                          <w:color w:val="000000"/>
                          <w:sz w:val="22"/>
                        </w:rPr>
                        <w:t>Multi-Member</w:t>
                      </w:r>
                      <w:r>
                        <w:rPr>
                          <w:b/>
                          <w:color w:val="000000"/>
                          <w:spacing w:val="-4"/>
                          <w:sz w:val="22"/>
                        </w:rPr>
                        <w:t> </w:t>
                      </w:r>
                      <w:r>
                        <w:rPr>
                          <w:b/>
                          <w:color w:val="000000"/>
                          <w:sz w:val="22"/>
                        </w:rPr>
                        <w:t>Versus</w:t>
                      </w:r>
                      <w:r>
                        <w:rPr>
                          <w:b/>
                          <w:color w:val="000000"/>
                          <w:spacing w:val="-3"/>
                          <w:sz w:val="22"/>
                        </w:rPr>
                        <w:t> </w:t>
                      </w:r>
                      <w:r>
                        <w:rPr>
                          <w:b/>
                          <w:color w:val="000000"/>
                          <w:sz w:val="22"/>
                        </w:rPr>
                        <w:t>Single</w:t>
                      </w:r>
                      <w:r>
                        <w:rPr>
                          <w:b/>
                          <w:color w:val="000000"/>
                          <w:spacing w:val="-5"/>
                          <w:sz w:val="22"/>
                        </w:rPr>
                        <w:t> </w:t>
                      </w:r>
                      <w:r>
                        <w:rPr>
                          <w:b/>
                          <w:color w:val="000000"/>
                          <w:sz w:val="22"/>
                        </w:rPr>
                        <w:t>Member</w:t>
                      </w:r>
                      <w:r>
                        <w:rPr>
                          <w:b/>
                          <w:color w:val="000000"/>
                          <w:spacing w:val="-5"/>
                          <w:sz w:val="22"/>
                        </w:rPr>
                        <w:t> </w:t>
                      </w:r>
                      <w:r>
                        <w:rPr>
                          <w:b/>
                          <w:color w:val="000000"/>
                          <w:sz w:val="22"/>
                        </w:rPr>
                        <w:t>Governance</w:t>
                      </w:r>
                      <w:r>
                        <w:rPr>
                          <w:b/>
                          <w:color w:val="000000"/>
                          <w:spacing w:val="-3"/>
                          <w:sz w:val="22"/>
                        </w:rPr>
                        <w:t> </w:t>
                      </w:r>
                      <w:r>
                        <w:rPr>
                          <w:b/>
                          <w:color w:val="000000"/>
                          <w:sz w:val="22"/>
                        </w:rPr>
                        <w:t>Structures</w:t>
                      </w:r>
                      <w:r>
                        <w:rPr>
                          <w:b/>
                          <w:color w:val="000000"/>
                          <w:spacing w:val="-3"/>
                          <w:sz w:val="22"/>
                        </w:rPr>
                        <w:t> </w:t>
                      </w:r>
                      <w:r>
                        <w:rPr>
                          <w:b/>
                          <w:color w:val="000000"/>
                          <w:sz w:val="22"/>
                        </w:rPr>
                        <w:t>–</w:t>
                      </w:r>
                      <w:r>
                        <w:rPr>
                          <w:b/>
                          <w:color w:val="000000"/>
                          <w:spacing w:val="-5"/>
                          <w:sz w:val="22"/>
                        </w:rPr>
                        <w:t> </w:t>
                      </w:r>
                      <w:r>
                        <w:rPr>
                          <w:b/>
                          <w:color w:val="000000"/>
                          <w:sz w:val="22"/>
                        </w:rPr>
                        <w:t>Selected Considerations Identified by OECD</w:t>
                      </w:r>
                    </w:p>
                    <w:p>
                      <w:pPr>
                        <w:pStyle w:val="BodyText"/>
                        <w:spacing w:before="10"/>
                        <w:rPr>
                          <w:b/>
                          <w:color w:val="000000"/>
                          <w:sz w:val="20"/>
                        </w:rPr>
                      </w:pPr>
                    </w:p>
                    <w:p>
                      <w:pPr>
                        <w:pStyle w:val="BodyText"/>
                        <w:spacing w:line="288" w:lineRule="auto"/>
                        <w:ind w:left="112" w:right="205"/>
                        <w:rPr>
                          <w:color w:val="000000"/>
                        </w:rPr>
                      </w:pPr>
                      <w:r>
                        <w:rPr>
                          <w:color w:val="000000"/>
                        </w:rPr>
                        <w:t>The</w:t>
                      </w:r>
                      <w:r>
                        <w:rPr>
                          <w:color w:val="000000"/>
                          <w:spacing w:val="-5"/>
                        </w:rPr>
                        <w:t> </w:t>
                      </w:r>
                      <w:r>
                        <w:rPr>
                          <w:color w:val="000000"/>
                        </w:rPr>
                        <w:t>OECD’s</w:t>
                      </w:r>
                      <w:r>
                        <w:rPr>
                          <w:color w:val="000000"/>
                          <w:spacing w:val="-2"/>
                        </w:rPr>
                        <w:t> </w:t>
                      </w:r>
                      <w:r>
                        <w:rPr>
                          <w:color w:val="000000"/>
                        </w:rPr>
                        <w:t>principles</w:t>
                      </w:r>
                      <w:r>
                        <w:rPr>
                          <w:color w:val="000000"/>
                          <w:spacing w:val="-3"/>
                        </w:rPr>
                        <w:t> </w:t>
                      </w:r>
                      <w:r>
                        <w:rPr>
                          <w:color w:val="000000"/>
                        </w:rPr>
                        <w:t>incorporate</w:t>
                      </w:r>
                      <w:r>
                        <w:rPr>
                          <w:color w:val="000000"/>
                          <w:spacing w:val="-3"/>
                        </w:rPr>
                        <w:t> </w:t>
                      </w:r>
                      <w:r>
                        <w:rPr>
                          <w:color w:val="000000"/>
                        </w:rPr>
                        <w:t>a</w:t>
                      </w:r>
                      <w:r>
                        <w:rPr>
                          <w:color w:val="000000"/>
                          <w:spacing w:val="-5"/>
                        </w:rPr>
                        <w:t> </w:t>
                      </w:r>
                      <w:r>
                        <w:rPr>
                          <w:color w:val="000000"/>
                        </w:rPr>
                        <w:t>range</w:t>
                      </w:r>
                      <w:r>
                        <w:rPr>
                          <w:color w:val="000000"/>
                          <w:spacing w:val="-5"/>
                        </w:rPr>
                        <w:t> </w:t>
                      </w:r>
                      <w:r>
                        <w:rPr>
                          <w:color w:val="000000"/>
                        </w:rPr>
                        <w:t>of</w:t>
                      </w:r>
                      <w:r>
                        <w:rPr>
                          <w:color w:val="000000"/>
                          <w:spacing w:val="-2"/>
                        </w:rPr>
                        <w:t> </w:t>
                      </w:r>
                      <w:r>
                        <w:rPr>
                          <w:color w:val="000000"/>
                        </w:rPr>
                        <w:t>considerations</w:t>
                      </w:r>
                      <w:r>
                        <w:rPr>
                          <w:color w:val="000000"/>
                          <w:spacing w:val="-3"/>
                        </w:rPr>
                        <w:t> </w:t>
                      </w:r>
                      <w:r>
                        <w:rPr>
                          <w:color w:val="000000"/>
                        </w:rPr>
                        <w:t>in</w:t>
                      </w:r>
                      <w:r>
                        <w:rPr>
                          <w:color w:val="000000"/>
                          <w:spacing w:val="-5"/>
                        </w:rPr>
                        <w:t> </w:t>
                      </w:r>
                      <w:r>
                        <w:rPr>
                          <w:color w:val="000000"/>
                        </w:rPr>
                        <w:t>considering</w:t>
                      </w:r>
                      <w:r>
                        <w:rPr>
                          <w:color w:val="000000"/>
                          <w:spacing w:val="-3"/>
                        </w:rPr>
                        <w:t> </w:t>
                      </w:r>
                      <w:r>
                        <w:rPr>
                          <w:color w:val="000000"/>
                        </w:rPr>
                        <w:t>the</w:t>
                      </w:r>
                      <w:r>
                        <w:rPr>
                          <w:color w:val="000000"/>
                          <w:spacing w:val="-5"/>
                        </w:rPr>
                        <w:t> </w:t>
                      </w:r>
                      <w:r>
                        <w:rPr>
                          <w:color w:val="000000"/>
                        </w:rPr>
                        <w:t>potential value of a multi-member structure compared with a single-member decision making model, including,</w:t>
                      </w:r>
                    </w:p>
                    <w:p>
                      <w:pPr>
                        <w:pStyle w:val="BodyText"/>
                        <w:spacing w:before="5"/>
                        <w:rPr>
                          <w:color w:val="000000"/>
                        </w:rPr>
                      </w:pPr>
                    </w:p>
                    <w:p>
                      <w:pPr>
                        <w:numPr>
                          <w:ilvl w:val="0"/>
                          <w:numId w:val="31"/>
                        </w:numPr>
                        <w:tabs>
                          <w:tab w:pos="472" w:val="left" w:leader="none"/>
                        </w:tabs>
                        <w:spacing w:line="285" w:lineRule="auto" w:before="1"/>
                        <w:ind w:left="472" w:right="664" w:hanging="360"/>
                        <w:jc w:val="left"/>
                        <w:rPr>
                          <w:color w:val="000000"/>
                          <w:sz w:val="22"/>
                        </w:rPr>
                      </w:pPr>
                      <w:r>
                        <w:rPr>
                          <w:color w:val="000000"/>
                          <w:sz w:val="22"/>
                        </w:rPr>
                        <w:t>“</w:t>
                      </w:r>
                      <w:r>
                        <w:rPr>
                          <w:i/>
                          <w:color w:val="000000"/>
                          <w:sz w:val="22"/>
                        </w:rPr>
                        <w:t>a</w:t>
                      </w:r>
                      <w:r>
                        <w:rPr>
                          <w:i/>
                          <w:color w:val="000000"/>
                          <w:spacing w:val="-2"/>
                          <w:sz w:val="22"/>
                        </w:rPr>
                        <w:t> </w:t>
                      </w:r>
                      <w:r>
                        <w:rPr>
                          <w:i/>
                          <w:color w:val="000000"/>
                          <w:sz w:val="22"/>
                        </w:rPr>
                        <w:t>group</w:t>
                      </w:r>
                      <w:r>
                        <w:rPr>
                          <w:i/>
                          <w:color w:val="000000"/>
                          <w:spacing w:val="-2"/>
                          <w:sz w:val="22"/>
                        </w:rPr>
                        <w:t> </w:t>
                      </w:r>
                      <w:r>
                        <w:rPr>
                          <w:i/>
                          <w:color w:val="000000"/>
                          <w:sz w:val="22"/>
                        </w:rPr>
                        <w:t>of decision</w:t>
                      </w:r>
                      <w:r>
                        <w:rPr>
                          <w:i/>
                          <w:color w:val="000000"/>
                          <w:spacing w:val="-4"/>
                          <w:sz w:val="22"/>
                        </w:rPr>
                        <w:t> </w:t>
                      </w:r>
                      <w:r>
                        <w:rPr>
                          <w:i/>
                          <w:color w:val="000000"/>
                          <w:sz w:val="22"/>
                        </w:rPr>
                        <w:t>makers</w:t>
                      </w:r>
                      <w:r>
                        <w:rPr>
                          <w:i/>
                          <w:color w:val="000000"/>
                          <w:spacing w:val="-1"/>
                          <w:sz w:val="22"/>
                        </w:rPr>
                        <w:t> </w:t>
                      </w:r>
                      <w:r>
                        <w:rPr>
                          <w:i/>
                          <w:color w:val="000000"/>
                          <w:sz w:val="22"/>
                        </w:rPr>
                        <w:t>is</w:t>
                      </w:r>
                      <w:r>
                        <w:rPr>
                          <w:i/>
                          <w:color w:val="000000"/>
                          <w:spacing w:val="-4"/>
                          <w:sz w:val="22"/>
                        </w:rPr>
                        <w:t> </w:t>
                      </w:r>
                      <w:r>
                        <w:rPr>
                          <w:i/>
                          <w:color w:val="000000"/>
                          <w:sz w:val="22"/>
                        </w:rPr>
                        <w:t>less</w:t>
                      </w:r>
                      <w:r>
                        <w:rPr>
                          <w:i/>
                          <w:color w:val="000000"/>
                          <w:spacing w:val="-2"/>
                          <w:sz w:val="22"/>
                        </w:rPr>
                        <w:t> </w:t>
                      </w:r>
                      <w:r>
                        <w:rPr>
                          <w:i/>
                          <w:color w:val="000000"/>
                          <w:sz w:val="22"/>
                        </w:rPr>
                        <w:t>likely</w:t>
                      </w:r>
                      <w:r>
                        <w:rPr>
                          <w:i/>
                          <w:color w:val="000000"/>
                          <w:spacing w:val="-1"/>
                          <w:sz w:val="22"/>
                        </w:rPr>
                        <w:t> </w:t>
                      </w:r>
                      <w:r>
                        <w:rPr>
                          <w:i/>
                          <w:color w:val="000000"/>
                          <w:sz w:val="22"/>
                        </w:rPr>
                        <w:t>to</w:t>
                      </w:r>
                      <w:r>
                        <w:rPr>
                          <w:i/>
                          <w:color w:val="000000"/>
                          <w:spacing w:val="-4"/>
                          <w:sz w:val="22"/>
                        </w:rPr>
                        <w:t> </w:t>
                      </w:r>
                      <w:r>
                        <w:rPr>
                          <w:i/>
                          <w:color w:val="000000"/>
                          <w:sz w:val="22"/>
                        </w:rPr>
                        <w:t>be</w:t>
                      </w:r>
                      <w:r>
                        <w:rPr>
                          <w:i/>
                          <w:color w:val="000000"/>
                          <w:spacing w:val="-2"/>
                          <w:sz w:val="22"/>
                        </w:rPr>
                        <w:t> </w:t>
                      </w:r>
                      <w:r>
                        <w:rPr>
                          <w:i/>
                          <w:color w:val="000000"/>
                          <w:sz w:val="22"/>
                        </w:rPr>
                        <w:t>‘captured’</w:t>
                      </w:r>
                      <w:r>
                        <w:rPr>
                          <w:i/>
                          <w:color w:val="000000"/>
                          <w:spacing w:val="-7"/>
                          <w:sz w:val="22"/>
                        </w:rPr>
                        <w:t> </w:t>
                      </w:r>
                      <w:r>
                        <w:rPr>
                          <w:i/>
                          <w:color w:val="000000"/>
                          <w:sz w:val="22"/>
                        </w:rPr>
                        <w:t>than</w:t>
                      </w:r>
                      <w:r>
                        <w:rPr>
                          <w:i/>
                          <w:color w:val="000000"/>
                          <w:spacing w:val="-2"/>
                          <w:sz w:val="22"/>
                        </w:rPr>
                        <w:t> </w:t>
                      </w:r>
                      <w:r>
                        <w:rPr>
                          <w:i/>
                          <w:color w:val="000000"/>
                          <w:sz w:val="22"/>
                        </w:rPr>
                        <w:t>an</w:t>
                      </w:r>
                      <w:r>
                        <w:rPr>
                          <w:i/>
                          <w:color w:val="000000"/>
                          <w:spacing w:val="-2"/>
                          <w:sz w:val="22"/>
                        </w:rPr>
                        <w:t> </w:t>
                      </w:r>
                      <w:r>
                        <w:rPr>
                          <w:i/>
                          <w:color w:val="000000"/>
                          <w:sz w:val="22"/>
                        </w:rPr>
                        <w:t>individual</w:t>
                      </w:r>
                      <w:r>
                        <w:rPr>
                          <w:i/>
                          <w:color w:val="000000"/>
                          <w:spacing w:val="-3"/>
                          <w:sz w:val="22"/>
                        </w:rPr>
                        <w:t> </w:t>
                      </w:r>
                      <w:r>
                        <w:rPr>
                          <w:i/>
                          <w:color w:val="000000"/>
                          <w:sz w:val="22"/>
                        </w:rPr>
                        <w:t>and</w:t>
                      </w:r>
                      <w:r>
                        <w:rPr>
                          <w:i/>
                          <w:color w:val="000000"/>
                          <w:spacing w:val="-2"/>
                          <w:sz w:val="22"/>
                        </w:rPr>
                        <w:t> </w:t>
                      </w:r>
                      <w:r>
                        <w:rPr>
                          <w:i/>
                          <w:color w:val="000000"/>
                          <w:sz w:val="22"/>
                        </w:rPr>
                        <w:t>a group will bring differing perspectives to decisions</w:t>
                      </w:r>
                      <w:r>
                        <w:rPr>
                          <w:color w:val="000000"/>
                          <w:sz w:val="22"/>
                        </w:rPr>
                        <w:t>”;</w:t>
                      </w:r>
                    </w:p>
                    <w:p>
                      <w:pPr>
                        <w:pStyle w:val="BodyText"/>
                        <w:spacing w:before="6"/>
                        <w:rPr>
                          <w:color w:val="000000"/>
                        </w:rPr>
                      </w:pPr>
                    </w:p>
                    <w:p>
                      <w:pPr>
                        <w:numPr>
                          <w:ilvl w:val="0"/>
                          <w:numId w:val="31"/>
                        </w:numPr>
                        <w:tabs>
                          <w:tab w:pos="472" w:val="left" w:leader="none"/>
                        </w:tabs>
                        <w:spacing w:line="288" w:lineRule="auto" w:before="0"/>
                        <w:ind w:left="472" w:right="383" w:hanging="360"/>
                        <w:jc w:val="left"/>
                        <w:rPr>
                          <w:color w:val="000000"/>
                          <w:sz w:val="22"/>
                        </w:rPr>
                      </w:pPr>
                      <w:r>
                        <w:rPr>
                          <w:color w:val="000000"/>
                          <w:sz w:val="22"/>
                        </w:rPr>
                        <w:t>“</w:t>
                      </w:r>
                      <w:r>
                        <w:rPr>
                          <w:i/>
                          <w:color w:val="000000"/>
                          <w:sz w:val="22"/>
                        </w:rPr>
                        <w:t>diversity of wisdom, experience and perceptions (is) required for informed decision making</w:t>
                      </w:r>
                      <w:r>
                        <w:rPr>
                          <w:i/>
                          <w:color w:val="000000"/>
                          <w:spacing w:val="-4"/>
                          <w:sz w:val="22"/>
                        </w:rPr>
                        <w:t> </w:t>
                      </w:r>
                      <w:r>
                        <w:rPr>
                          <w:i/>
                          <w:color w:val="000000"/>
                          <w:sz w:val="22"/>
                        </w:rPr>
                        <w:t>…</w:t>
                      </w:r>
                      <w:r>
                        <w:rPr>
                          <w:i/>
                          <w:color w:val="000000"/>
                          <w:spacing w:val="-6"/>
                          <w:sz w:val="22"/>
                        </w:rPr>
                        <w:t> </w:t>
                      </w:r>
                      <w:r>
                        <w:rPr>
                          <w:i/>
                          <w:color w:val="000000"/>
                          <w:sz w:val="22"/>
                        </w:rPr>
                        <w:t>collective</w:t>
                      </w:r>
                      <w:r>
                        <w:rPr>
                          <w:i/>
                          <w:color w:val="000000"/>
                          <w:spacing w:val="-4"/>
                          <w:sz w:val="22"/>
                        </w:rPr>
                        <w:t> </w:t>
                      </w:r>
                      <w:r>
                        <w:rPr>
                          <w:i/>
                          <w:color w:val="000000"/>
                          <w:sz w:val="22"/>
                        </w:rPr>
                        <w:t>decision</w:t>
                      </w:r>
                      <w:r>
                        <w:rPr>
                          <w:i/>
                          <w:color w:val="000000"/>
                          <w:spacing w:val="-4"/>
                          <w:sz w:val="22"/>
                        </w:rPr>
                        <w:t> </w:t>
                      </w:r>
                      <w:r>
                        <w:rPr>
                          <w:i/>
                          <w:color w:val="000000"/>
                          <w:sz w:val="22"/>
                        </w:rPr>
                        <w:t>making</w:t>
                      </w:r>
                      <w:r>
                        <w:rPr>
                          <w:i/>
                          <w:color w:val="000000"/>
                          <w:spacing w:val="-4"/>
                          <w:sz w:val="22"/>
                        </w:rPr>
                        <w:t> </w:t>
                      </w:r>
                      <w:r>
                        <w:rPr>
                          <w:i/>
                          <w:color w:val="000000"/>
                          <w:sz w:val="22"/>
                        </w:rPr>
                        <w:t>provides</w:t>
                      </w:r>
                      <w:r>
                        <w:rPr>
                          <w:i/>
                          <w:color w:val="000000"/>
                          <w:spacing w:val="-3"/>
                          <w:sz w:val="22"/>
                        </w:rPr>
                        <w:t> </w:t>
                      </w:r>
                      <w:r>
                        <w:rPr>
                          <w:i/>
                          <w:color w:val="000000"/>
                          <w:sz w:val="22"/>
                        </w:rPr>
                        <w:t>better</w:t>
                      </w:r>
                      <w:r>
                        <w:rPr>
                          <w:i/>
                          <w:color w:val="000000"/>
                          <w:spacing w:val="-5"/>
                          <w:sz w:val="22"/>
                        </w:rPr>
                        <w:t> </w:t>
                      </w:r>
                      <w:r>
                        <w:rPr>
                          <w:i/>
                          <w:color w:val="000000"/>
                          <w:sz w:val="22"/>
                        </w:rPr>
                        <w:t>balancing</w:t>
                      </w:r>
                      <w:r>
                        <w:rPr>
                          <w:i/>
                          <w:color w:val="000000"/>
                          <w:spacing w:val="-4"/>
                          <w:sz w:val="22"/>
                        </w:rPr>
                        <w:t> </w:t>
                      </w:r>
                      <w:r>
                        <w:rPr>
                          <w:i/>
                          <w:color w:val="000000"/>
                          <w:sz w:val="22"/>
                        </w:rPr>
                        <w:t>of</w:t>
                      </w:r>
                      <w:r>
                        <w:rPr>
                          <w:i/>
                          <w:color w:val="000000"/>
                          <w:spacing w:val="-5"/>
                          <w:sz w:val="22"/>
                        </w:rPr>
                        <w:t> </w:t>
                      </w:r>
                      <w:r>
                        <w:rPr>
                          <w:i/>
                          <w:color w:val="000000"/>
                          <w:sz w:val="22"/>
                        </w:rPr>
                        <w:t>judgement</w:t>
                      </w:r>
                      <w:r>
                        <w:rPr>
                          <w:i/>
                          <w:color w:val="000000"/>
                          <w:spacing w:val="-5"/>
                          <w:sz w:val="22"/>
                        </w:rPr>
                        <w:t> </w:t>
                      </w:r>
                      <w:r>
                        <w:rPr>
                          <w:i/>
                          <w:color w:val="000000"/>
                          <w:sz w:val="22"/>
                        </w:rPr>
                        <w:t>factors and minimises the risks of varying judgements</w:t>
                      </w:r>
                      <w:r>
                        <w:rPr>
                          <w:color w:val="000000"/>
                          <w:sz w:val="22"/>
                        </w:rPr>
                        <w:t>”;</w:t>
                      </w:r>
                    </w:p>
                    <w:p>
                      <w:pPr>
                        <w:pStyle w:val="BodyText"/>
                        <w:rPr>
                          <w:color w:val="000000"/>
                        </w:rPr>
                      </w:pPr>
                    </w:p>
                    <w:p>
                      <w:pPr>
                        <w:numPr>
                          <w:ilvl w:val="0"/>
                          <w:numId w:val="31"/>
                        </w:numPr>
                        <w:tabs>
                          <w:tab w:pos="472" w:val="left" w:leader="none"/>
                        </w:tabs>
                        <w:spacing w:before="0"/>
                        <w:ind w:left="472" w:right="0" w:hanging="360"/>
                        <w:jc w:val="left"/>
                        <w:rPr>
                          <w:color w:val="000000"/>
                          <w:sz w:val="22"/>
                        </w:rPr>
                      </w:pPr>
                      <w:r>
                        <w:rPr>
                          <w:color w:val="000000"/>
                          <w:sz w:val="22"/>
                        </w:rPr>
                        <w:t>“</w:t>
                      </w:r>
                      <w:r>
                        <w:rPr>
                          <w:i/>
                          <w:color w:val="000000"/>
                          <w:sz w:val="22"/>
                        </w:rPr>
                        <w:t>collegiate</w:t>
                      </w:r>
                      <w:r>
                        <w:rPr>
                          <w:i/>
                          <w:color w:val="000000"/>
                          <w:spacing w:val="-7"/>
                          <w:sz w:val="22"/>
                        </w:rPr>
                        <w:t> </w:t>
                      </w:r>
                      <w:r>
                        <w:rPr>
                          <w:i/>
                          <w:color w:val="000000"/>
                          <w:sz w:val="22"/>
                        </w:rPr>
                        <w:t>support</w:t>
                      </w:r>
                      <w:r>
                        <w:rPr>
                          <w:i/>
                          <w:color w:val="000000"/>
                          <w:spacing w:val="-9"/>
                          <w:sz w:val="22"/>
                        </w:rPr>
                        <w:t> </w:t>
                      </w:r>
                      <w:r>
                        <w:rPr>
                          <w:i/>
                          <w:color w:val="000000"/>
                          <w:sz w:val="22"/>
                        </w:rPr>
                        <w:t>for</w:t>
                      </w:r>
                      <w:r>
                        <w:rPr>
                          <w:i/>
                          <w:color w:val="000000"/>
                          <w:spacing w:val="-9"/>
                          <w:sz w:val="22"/>
                        </w:rPr>
                        <w:t> </w:t>
                      </w:r>
                      <w:r>
                        <w:rPr>
                          <w:i/>
                          <w:color w:val="000000"/>
                          <w:sz w:val="22"/>
                        </w:rPr>
                        <w:t>strategic</w:t>
                      </w:r>
                      <w:r>
                        <w:rPr>
                          <w:i/>
                          <w:color w:val="000000"/>
                          <w:spacing w:val="-7"/>
                          <w:sz w:val="22"/>
                        </w:rPr>
                        <w:t> </w:t>
                      </w:r>
                      <w:r>
                        <w:rPr>
                          <w:i/>
                          <w:color w:val="000000"/>
                          <w:sz w:val="22"/>
                        </w:rPr>
                        <w:t>decision</w:t>
                      </w:r>
                      <w:r>
                        <w:rPr>
                          <w:i/>
                          <w:color w:val="000000"/>
                          <w:spacing w:val="-9"/>
                          <w:sz w:val="22"/>
                        </w:rPr>
                        <w:t> </w:t>
                      </w:r>
                      <w:r>
                        <w:rPr>
                          <w:i/>
                          <w:color w:val="000000"/>
                          <w:spacing w:val="-2"/>
                          <w:sz w:val="22"/>
                        </w:rPr>
                        <w:t>making</w:t>
                      </w:r>
                      <w:r>
                        <w:rPr>
                          <w:color w:val="000000"/>
                          <w:spacing w:val="-2"/>
                          <w:sz w:val="22"/>
                        </w:rPr>
                        <w:t>”;</w:t>
                      </w:r>
                    </w:p>
                    <w:p>
                      <w:pPr>
                        <w:pStyle w:val="BodyText"/>
                        <w:spacing w:before="8"/>
                        <w:rPr>
                          <w:color w:val="000000"/>
                          <w:sz w:val="26"/>
                        </w:rPr>
                      </w:pPr>
                    </w:p>
                    <w:p>
                      <w:pPr>
                        <w:numPr>
                          <w:ilvl w:val="0"/>
                          <w:numId w:val="31"/>
                        </w:numPr>
                        <w:tabs>
                          <w:tab w:pos="472" w:val="left" w:leader="none"/>
                        </w:tabs>
                        <w:spacing w:line="288" w:lineRule="auto" w:before="0"/>
                        <w:ind w:left="472" w:right="724" w:hanging="360"/>
                        <w:jc w:val="left"/>
                        <w:rPr>
                          <w:color w:val="000000"/>
                          <w:sz w:val="22"/>
                        </w:rPr>
                      </w:pPr>
                      <w:r>
                        <w:rPr>
                          <w:color w:val="000000"/>
                          <w:sz w:val="22"/>
                        </w:rPr>
                        <w:t>“</w:t>
                      </w:r>
                      <w:r>
                        <w:rPr>
                          <w:i/>
                          <w:color w:val="000000"/>
                          <w:sz w:val="22"/>
                        </w:rPr>
                        <w:t>where</w:t>
                      </w:r>
                      <w:r>
                        <w:rPr>
                          <w:i/>
                          <w:color w:val="000000"/>
                          <w:spacing w:val="-5"/>
                          <w:sz w:val="22"/>
                        </w:rPr>
                        <w:t> </w:t>
                      </w:r>
                      <w:r>
                        <w:rPr>
                          <w:i/>
                          <w:color w:val="000000"/>
                          <w:sz w:val="22"/>
                        </w:rPr>
                        <w:t>regulatory</w:t>
                      </w:r>
                      <w:r>
                        <w:rPr>
                          <w:i/>
                          <w:color w:val="000000"/>
                          <w:spacing w:val="-3"/>
                          <w:sz w:val="22"/>
                        </w:rPr>
                        <w:t> </w:t>
                      </w:r>
                      <w:r>
                        <w:rPr>
                          <w:i/>
                          <w:color w:val="000000"/>
                          <w:sz w:val="22"/>
                        </w:rPr>
                        <w:t>decisions</w:t>
                      </w:r>
                      <w:r>
                        <w:rPr>
                          <w:i/>
                          <w:color w:val="000000"/>
                          <w:spacing w:val="-3"/>
                          <w:sz w:val="22"/>
                        </w:rPr>
                        <w:t> </w:t>
                      </w:r>
                      <w:r>
                        <w:rPr>
                          <w:i/>
                          <w:color w:val="000000"/>
                          <w:sz w:val="22"/>
                        </w:rPr>
                        <w:t>require</w:t>
                      </w:r>
                      <w:r>
                        <w:rPr>
                          <w:i/>
                          <w:color w:val="000000"/>
                          <w:spacing w:val="-5"/>
                          <w:sz w:val="22"/>
                        </w:rPr>
                        <w:t> </w:t>
                      </w:r>
                      <w:r>
                        <w:rPr>
                          <w:i/>
                          <w:color w:val="000000"/>
                          <w:sz w:val="22"/>
                        </w:rPr>
                        <w:t>a</w:t>
                      </w:r>
                      <w:r>
                        <w:rPr>
                          <w:i/>
                          <w:color w:val="000000"/>
                          <w:spacing w:val="-4"/>
                          <w:sz w:val="22"/>
                        </w:rPr>
                        <w:t> </w:t>
                      </w:r>
                      <w:r>
                        <w:rPr>
                          <w:i/>
                          <w:color w:val="000000"/>
                          <w:sz w:val="22"/>
                        </w:rPr>
                        <w:t>high</w:t>
                      </w:r>
                      <w:r>
                        <w:rPr>
                          <w:i/>
                          <w:color w:val="000000"/>
                          <w:spacing w:val="-5"/>
                          <w:sz w:val="22"/>
                        </w:rPr>
                        <w:t> </w:t>
                      </w:r>
                      <w:r>
                        <w:rPr>
                          <w:i/>
                          <w:color w:val="000000"/>
                          <w:sz w:val="22"/>
                        </w:rPr>
                        <w:t>degree</w:t>
                      </w:r>
                      <w:r>
                        <w:rPr>
                          <w:i/>
                          <w:color w:val="000000"/>
                          <w:spacing w:val="-4"/>
                          <w:sz w:val="22"/>
                        </w:rPr>
                        <w:t> </w:t>
                      </w:r>
                      <w:r>
                        <w:rPr>
                          <w:i/>
                          <w:color w:val="000000"/>
                          <w:sz w:val="22"/>
                        </w:rPr>
                        <w:t>of</w:t>
                      </w:r>
                      <w:r>
                        <w:rPr>
                          <w:i/>
                          <w:color w:val="000000"/>
                          <w:spacing w:val="-4"/>
                          <w:sz w:val="22"/>
                        </w:rPr>
                        <w:t> </w:t>
                      </w:r>
                      <w:r>
                        <w:rPr>
                          <w:i/>
                          <w:color w:val="000000"/>
                          <w:sz w:val="22"/>
                        </w:rPr>
                        <w:t>judgement,</w:t>
                      </w:r>
                      <w:r>
                        <w:rPr>
                          <w:i/>
                          <w:color w:val="000000"/>
                          <w:spacing w:val="-5"/>
                          <w:sz w:val="22"/>
                        </w:rPr>
                        <w:t> </w:t>
                      </w:r>
                      <w:r>
                        <w:rPr>
                          <w:i/>
                          <w:color w:val="000000"/>
                          <w:sz w:val="22"/>
                        </w:rPr>
                        <w:t>a</w:t>
                      </w:r>
                      <w:r>
                        <w:rPr>
                          <w:i/>
                          <w:color w:val="000000"/>
                          <w:spacing w:val="-3"/>
                          <w:sz w:val="22"/>
                        </w:rPr>
                        <w:t> </w:t>
                      </w:r>
                      <w:r>
                        <w:rPr>
                          <w:i/>
                          <w:color w:val="000000"/>
                          <w:sz w:val="22"/>
                        </w:rPr>
                        <w:t>multi-member decision making body provides more ‘corporate memory’ over time</w:t>
                      </w:r>
                      <w:r>
                        <w:rPr>
                          <w:color w:val="000000"/>
                          <w:sz w:val="22"/>
                        </w:rPr>
                        <w:t>”; and</w:t>
                      </w:r>
                    </w:p>
                    <w:p>
                      <w:pPr>
                        <w:pStyle w:val="BodyText"/>
                        <w:spacing w:before="1"/>
                        <w:rPr>
                          <w:color w:val="000000"/>
                        </w:rPr>
                      </w:pPr>
                    </w:p>
                    <w:p>
                      <w:pPr>
                        <w:numPr>
                          <w:ilvl w:val="0"/>
                          <w:numId w:val="31"/>
                        </w:numPr>
                        <w:tabs>
                          <w:tab w:pos="472" w:val="left" w:leader="none"/>
                        </w:tabs>
                        <w:spacing w:line="288" w:lineRule="auto" w:before="0"/>
                        <w:ind w:left="472" w:right="203" w:hanging="360"/>
                        <w:jc w:val="left"/>
                        <w:rPr>
                          <w:color w:val="000000"/>
                          <w:sz w:val="22"/>
                        </w:rPr>
                      </w:pPr>
                      <w:r>
                        <w:rPr>
                          <w:color w:val="000000"/>
                          <w:sz w:val="22"/>
                        </w:rPr>
                        <w:t>“</w:t>
                      </w:r>
                      <w:r>
                        <w:rPr>
                          <w:i/>
                          <w:color w:val="000000"/>
                          <w:sz w:val="22"/>
                        </w:rPr>
                        <w:t>a</w:t>
                      </w:r>
                      <w:r>
                        <w:rPr>
                          <w:i/>
                          <w:color w:val="000000"/>
                          <w:spacing w:val="-2"/>
                          <w:sz w:val="22"/>
                        </w:rPr>
                        <w:t> </w:t>
                      </w:r>
                      <w:r>
                        <w:rPr>
                          <w:i/>
                          <w:color w:val="000000"/>
                          <w:sz w:val="22"/>
                        </w:rPr>
                        <w:t>board</w:t>
                      </w:r>
                      <w:r>
                        <w:rPr>
                          <w:i/>
                          <w:color w:val="000000"/>
                          <w:spacing w:val="-4"/>
                          <w:sz w:val="22"/>
                        </w:rPr>
                        <w:t> </w:t>
                      </w:r>
                      <w:r>
                        <w:rPr>
                          <w:i/>
                          <w:color w:val="000000"/>
                          <w:sz w:val="22"/>
                        </w:rPr>
                        <w:t>will</w:t>
                      </w:r>
                      <w:r>
                        <w:rPr>
                          <w:i/>
                          <w:color w:val="000000"/>
                          <w:spacing w:val="-2"/>
                          <w:sz w:val="22"/>
                        </w:rPr>
                        <w:t> </w:t>
                      </w:r>
                      <w:r>
                        <w:rPr>
                          <w:i/>
                          <w:color w:val="000000"/>
                          <w:sz w:val="22"/>
                        </w:rPr>
                        <w:t>be</w:t>
                      </w:r>
                      <w:r>
                        <w:rPr>
                          <w:i/>
                          <w:color w:val="000000"/>
                          <w:spacing w:val="-2"/>
                          <w:sz w:val="22"/>
                        </w:rPr>
                        <w:t> </w:t>
                      </w:r>
                      <w:r>
                        <w:rPr>
                          <w:i/>
                          <w:color w:val="000000"/>
                          <w:sz w:val="22"/>
                        </w:rPr>
                        <w:t>less</w:t>
                      </w:r>
                      <w:r>
                        <w:rPr>
                          <w:i/>
                          <w:color w:val="000000"/>
                          <w:spacing w:val="-4"/>
                          <w:sz w:val="22"/>
                        </w:rPr>
                        <w:t> </w:t>
                      </w:r>
                      <w:r>
                        <w:rPr>
                          <w:i/>
                          <w:color w:val="000000"/>
                          <w:sz w:val="22"/>
                        </w:rPr>
                        <w:t>susceptible</w:t>
                      </w:r>
                      <w:r>
                        <w:rPr>
                          <w:i/>
                          <w:color w:val="000000"/>
                          <w:spacing w:val="-2"/>
                          <w:sz w:val="22"/>
                        </w:rPr>
                        <w:t> </w:t>
                      </w:r>
                      <w:r>
                        <w:rPr>
                          <w:i/>
                          <w:color w:val="000000"/>
                          <w:sz w:val="22"/>
                        </w:rPr>
                        <w:t>to</w:t>
                      </w:r>
                      <w:r>
                        <w:rPr>
                          <w:i/>
                          <w:color w:val="000000"/>
                          <w:spacing w:val="-4"/>
                          <w:sz w:val="22"/>
                        </w:rPr>
                        <w:t> </w:t>
                      </w:r>
                      <w:r>
                        <w:rPr>
                          <w:i/>
                          <w:color w:val="000000"/>
                          <w:sz w:val="22"/>
                        </w:rPr>
                        <w:t>political</w:t>
                      </w:r>
                      <w:r>
                        <w:rPr>
                          <w:i/>
                          <w:color w:val="000000"/>
                          <w:spacing w:val="-3"/>
                          <w:sz w:val="22"/>
                        </w:rPr>
                        <w:t> </w:t>
                      </w:r>
                      <w:r>
                        <w:rPr>
                          <w:i/>
                          <w:color w:val="000000"/>
                          <w:sz w:val="22"/>
                        </w:rPr>
                        <w:t>or</w:t>
                      </w:r>
                      <w:r>
                        <w:rPr>
                          <w:i/>
                          <w:color w:val="000000"/>
                          <w:spacing w:val="-2"/>
                          <w:sz w:val="22"/>
                        </w:rPr>
                        <w:t> </w:t>
                      </w:r>
                      <w:r>
                        <w:rPr>
                          <w:i/>
                          <w:color w:val="000000"/>
                          <w:sz w:val="22"/>
                        </w:rPr>
                        <w:t>industry</w:t>
                      </w:r>
                      <w:r>
                        <w:rPr>
                          <w:i/>
                          <w:color w:val="000000"/>
                          <w:spacing w:val="-4"/>
                          <w:sz w:val="22"/>
                        </w:rPr>
                        <w:t> </w:t>
                      </w:r>
                      <w:r>
                        <w:rPr>
                          <w:i/>
                          <w:color w:val="000000"/>
                          <w:sz w:val="22"/>
                        </w:rPr>
                        <w:t>influence</w:t>
                      </w:r>
                      <w:r>
                        <w:rPr>
                          <w:i/>
                          <w:color w:val="000000"/>
                          <w:spacing w:val="-4"/>
                          <w:sz w:val="22"/>
                        </w:rPr>
                        <w:t> </w:t>
                      </w:r>
                      <w:r>
                        <w:rPr>
                          <w:i/>
                          <w:color w:val="000000"/>
                          <w:sz w:val="22"/>
                        </w:rPr>
                        <w:t>than</w:t>
                      </w:r>
                      <w:r>
                        <w:rPr>
                          <w:i/>
                          <w:color w:val="000000"/>
                          <w:spacing w:val="-4"/>
                          <w:sz w:val="22"/>
                        </w:rPr>
                        <w:t> </w:t>
                      </w:r>
                      <w:r>
                        <w:rPr>
                          <w:i/>
                          <w:color w:val="000000"/>
                          <w:sz w:val="22"/>
                        </w:rPr>
                        <w:t>a</w:t>
                      </w:r>
                      <w:r>
                        <w:rPr>
                          <w:i/>
                          <w:color w:val="000000"/>
                          <w:spacing w:val="-2"/>
                          <w:sz w:val="22"/>
                        </w:rPr>
                        <w:t> </w:t>
                      </w:r>
                      <w:r>
                        <w:rPr>
                          <w:i/>
                          <w:color w:val="000000"/>
                          <w:sz w:val="22"/>
                        </w:rPr>
                        <w:t>single</w:t>
                      </w:r>
                      <w:r>
                        <w:rPr>
                          <w:i/>
                          <w:color w:val="000000"/>
                          <w:spacing w:val="-2"/>
                          <w:sz w:val="22"/>
                        </w:rPr>
                        <w:t> </w:t>
                      </w:r>
                      <w:r>
                        <w:rPr>
                          <w:i/>
                          <w:color w:val="000000"/>
                          <w:sz w:val="22"/>
                        </w:rPr>
                        <w:t>decision maker.</w:t>
                      </w:r>
                      <w:r>
                        <w:rPr>
                          <w:color w:val="000000"/>
                          <w:sz w:val="22"/>
                        </w:rPr>
                        <w:t>” (OECD, 2014, pp. 70-71)</w:t>
                      </w:r>
                    </w:p>
                  </w:txbxContent>
                </v:textbox>
                <v:fill type="solid"/>
                <w10:wrap type="topAndBottom"/>
              </v:shape>
            </w:pict>
          </mc:Fallback>
        </mc:AlternateContent>
      </w:r>
    </w:p>
    <w:p>
      <w:pPr>
        <w:pStyle w:val="BodyText"/>
        <w:spacing w:before="6"/>
        <w:rPr>
          <w:sz w:val="23"/>
        </w:rPr>
      </w:pPr>
    </w:p>
    <w:p>
      <w:pPr>
        <w:pStyle w:val="Heading4"/>
        <w:ind w:left="600"/>
      </w:pPr>
      <w:r>
        <w:rPr>
          <w:color w:val="585858"/>
        </w:rPr>
        <w:t>ESV’s</w:t>
      </w:r>
      <w:r>
        <w:rPr>
          <w:color w:val="585858"/>
          <w:spacing w:val="-17"/>
        </w:rPr>
        <w:t> </w:t>
      </w:r>
      <w:r>
        <w:rPr>
          <w:color w:val="585858"/>
        </w:rPr>
        <w:t>current</w:t>
      </w:r>
      <w:r>
        <w:rPr>
          <w:color w:val="585858"/>
          <w:spacing w:val="-17"/>
        </w:rPr>
        <w:t> </w:t>
      </w:r>
      <w:r>
        <w:rPr>
          <w:color w:val="585858"/>
        </w:rPr>
        <w:t>regulatory</w:t>
      </w:r>
      <w:r>
        <w:rPr>
          <w:color w:val="585858"/>
          <w:spacing w:val="-19"/>
        </w:rPr>
        <w:t> </w:t>
      </w:r>
      <w:r>
        <w:rPr>
          <w:color w:val="585858"/>
        </w:rPr>
        <w:t>and</w:t>
      </w:r>
      <w:r>
        <w:rPr>
          <w:color w:val="585858"/>
          <w:spacing w:val="-16"/>
        </w:rPr>
        <w:t> </w:t>
      </w:r>
      <w:r>
        <w:rPr>
          <w:color w:val="585858"/>
        </w:rPr>
        <w:t>organisational</w:t>
      </w:r>
      <w:r>
        <w:rPr>
          <w:color w:val="585858"/>
          <w:spacing w:val="-17"/>
        </w:rPr>
        <w:t> </w:t>
      </w:r>
      <w:r>
        <w:rPr>
          <w:color w:val="585858"/>
          <w:spacing w:val="-2"/>
        </w:rPr>
        <w:t>governance</w:t>
      </w:r>
    </w:p>
    <w:p>
      <w:pPr>
        <w:pStyle w:val="BodyText"/>
        <w:spacing w:line="288" w:lineRule="auto" w:before="314"/>
        <w:ind w:left="600" w:right="586"/>
      </w:pPr>
      <w:r>
        <w:rPr/>
        <w:t>ESV is currently established as an independent statutory authority, with a single member – the</w:t>
      </w:r>
      <w:r>
        <w:rPr>
          <w:spacing w:val="-2"/>
        </w:rPr>
        <w:t> </w:t>
      </w:r>
      <w:r>
        <w:rPr/>
        <w:t>Director</w:t>
      </w:r>
      <w:r>
        <w:rPr>
          <w:spacing w:val="-3"/>
        </w:rPr>
        <w:t> </w:t>
      </w:r>
      <w:r>
        <w:rPr/>
        <w:t>of Energy</w:t>
      </w:r>
      <w:r>
        <w:rPr>
          <w:spacing w:val="-4"/>
        </w:rPr>
        <w:t> </w:t>
      </w:r>
      <w:r>
        <w:rPr/>
        <w:t>Safety. As</w:t>
      </w:r>
      <w:r>
        <w:rPr>
          <w:spacing w:val="-4"/>
        </w:rPr>
        <w:t> </w:t>
      </w:r>
      <w:r>
        <w:rPr/>
        <w:t>a</w:t>
      </w:r>
      <w:r>
        <w:rPr>
          <w:spacing w:val="-4"/>
        </w:rPr>
        <w:t> </w:t>
      </w:r>
      <w:r>
        <w:rPr/>
        <w:t>single-member</w:t>
      </w:r>
      <w:r>
        <w:rPr>
          <w:spacing w:val="-1"/>
        </w:rPr>
        <w:t> </w:t>
      </w:r>
      <w:r>
        <w:rPr/>
        <w:t>regulator,</w:t>
      </w:r>
      <w:r>
        <w:rPr>
          <w:spacing w:val="-3"/>
        </w:rPr>
        <w:t> </w:t>
      </w:r>
      <w:r>
        <w:rPr/>
        <w:t>the</w:t>
      </w:r>
      <w:r>
        <w:rPr>
          <w:spacing w:val="-2"/>
        </w:rPr>
        <w:t> </w:t>
      </w:r>
      <w:r>
        <w:rPr/>
        <w:t>Director</w:t>
      </w:r>
      <w:r>
        <w:rPr>
          <w:spacing w:val="-6"/>
        </w:rPr>
        <w:t> </w:t>
      </w:r>
      <w:r>
        <w:rPr/>
        <w:t>is</w:t>
      </w:r>
      <w:r>
        <w:rPr>
          <w:spacing w:val="-1"/>
        </w:rPr>
        <w:t> </w:t>
      </w:r>
      <w:r>
        <w:rPr/>
        <w:t>the</w:t>
      </w:r>
      <w:r>
        <w:rPr>
          <w:spacing w:val="-4"/>
        </w:rPr>
        <w:t> </w:t>
      </w:r>
      <w:r>
        <w:rPr/>
        <w:t>statutory</w:t>
      </w:r>
      <w:r>
        <w:rPr>
          <w:spacing w:val="-4"/>
        </w:rPr>
        <w:t> </w:t>
      </w:r>
      <w:r>
        <w:rPr/>
        <w:t>and accountable officer responsible for regulatory decisions. The governance structure of ESV also vests the administrative responsibilities with the Director, and ESV notes that “</w:t>
      </w:r>
      <w:r>
        <w:rPr>
          <w:i/>
        </w:rPr>
        <w:t>the Director is also the Chief Executive Officer (CEO) of ESV</w:t>
      </w:r>
      <w:r>
        <w:rPr/>
        <w:t>” (ESV, 2017a).</w:t>
      </w:r>
    </w:p>
    <w:p>
      <w:pPr>
        <w:pStyle w:val="BodyText"/>
        <w:rPr>
          <w:sz w:val="21"/>
        </w:rPr>
      </w:pPr>
    </w:p>
    <w:p>
      <w:pPr>
        <w:pStyle w:val="BodyText"/>
        <w:spacing w:line="288" w:lineRule="auto"/>
        <w:ind w:left="600" w:right="586"/>
      </w:pPr>
      <w:r>
        <w:rPr/>
        <w:t>ESV’s</w:t>
      </w:r>
      <w:r>
        <w:rPr>
          <w:spacing w:val="-1"/>
        </w:rPr>
        <w:t> </w:t>
      </w:r>
      <w:r>
        <w:rPr/>
        <w:t>funding</w:t>
      </w:r>
      <w:r>
        <w:rPr>
          <w:spacing w:val="-2"/>
        </w:rPr>
        <w:t> </w:t>
      </w:r>
      <w:r>
        <w:rPr/>
        <w:t>sources</w:t>
      </w:r>
      <w:r>
        <w:rPr>
          <w:spacing w:val="-2"/>
        </w:rPr>
        <w:t> </w:t>
      </w:r>
      <w:r>
        <w:rPr/>
        <w:t>are</w:t>
      </w:r>
      <w:r>
        <w:rPr>
          <w:spacing w:val="-2"/>
        </w:rPr>
        <w:t> </w:t>
      </w:r>
      <w:r>
        <w:rPr/>
        <w:t>provided</w:t>
      </w:r>
      <w:r>
        <w:rPr>
          <w:spacing w:val="-2"/>
        </w:rPr>
        <w:t> </w:t>
      </w:r>
      <w:r>
        <w:rPr/>
        <w:t>for</w:t>
      </w:r>
      <w:r>
        <w:rPr>
          <w:spacing w:val="-1"/>
        </w:rPr>
        <w:t> </w:t>
      </w:r>
      <w:r>
        <w:rPr/>
        <w:t>within</w:t>
      </w:r>
      <w:r>
        <w:rPr>
          <w:spacing w:val="-2"/>
        </w:rPr>
        <w:t> </w:t>
      </w:r>
      <w:r>
        <w:rPr/>
        <w:t>its</w:t>
      </w:r>
      <w:r>
        <w:rPr>
          <w:spacing w:val="-3"/>
        </w:rPr>
        <w:t> </w:t>
      </w:r>
      <w:r>
        <w:rPr/>
        <w:t>Corporate</w:t>
      </w:r>
      <w:r>
        <w:rPr>
          <w:spacing w:val="-4"/>
        </w:rPr>
        <w:t> </w:t>
      </w:r>
      <w:r>
        <w:rPr/>
        <w:t>Plan and</w:t>
      </w:r>
      <w:r>
        <w:rPr>
          <w:spacing w:val="-4"/>
        </w:rPr>
        <w:t> </w:t>
      </w:r>
      <w:r>
        <w:rPr/>
        <w:t>reported</w:t>
      </w:r>
      <w:r>
        <w:rPr>
          <w:spacing w:val="-4"/>
        </w:rPr>
        <w:t> </w:t>
      </w:r>
      <w:r>
        <w:rPr/>
        <w:t>in</w:t>
      </w:r>
      <w:r>
        <w:rPr>
          <w:spacing w:val="-2"/>
        </w:rPr>
        <w:t> </w:t>
      </w:r>
      <w:r>
        <w:rPr/>
        <w:t>its</w:t>
      </w:r>
      <w:r>
        <w:rPr>
          <w:spacing w:val="-3"/>
        </w:rPr>
        <w:t> </w:t>
      </w:r>
      <w:r>
        <w:rPr/>
        <w:t>Annual Report. The main sources of funding for ESV are from industry levies approved by the Minister and other fees. ESV is fully industry funded and does not receive State budget </w:t>
      </w:r>
      <w:r>
        <w:rPr>
          <w:spacing w:val="-2"/>
        </w:rPr>
        <w:t>appropriations.</w:t>
      </w:r>
    </w:p>
    <w:p>
      <w:pPr>
        <w:spacing w:after="0" w:line="288" w:lineRule="auto"/>
        <w:sectPr>
          <w:pgSz w:w="11910" w:h="16840"/>
          <w:pgMar w:header="887" w:footer="1228" w:top="1080" w:bottom="1500" w:left="840" w:right="820"/>
        </w:sectPr>
      </w:pPr>
    </w:p>
    <w:p>
      <w:pPr>
        <w:pStyle w:val="BodyText"/>
        <w:rPr>
          <w:sz w:val="20"/>
        </w:rPr>
      </w:pPr>
    </w:p>
    <w:p>
      <w:pPr>
        <w:pStyle w:val="BodyText"/>
        <w:rPr>
          <w:sz w:val="20"/>
        </w:rPr>
      </w:pPr>
    </w:p>
    <w:p>
      <w:pPr>
        <w:pStyle w:val="BodyText"/>
        <w:spacing w:before="5"/>
      </w:pPr>
    </w:p>
    <w:p>
      <w:pPr>
        <w:pStyle w:val="BodyText"/>
        <w:spacing w:line="288" w:lineRule="auto"/>
        <w:ind w:left="600" w:right="910"/>
      </w:pPr>
      <w:r>
        <w:rPr/>
        <w:t>As an independent statutory authority, ESV must ensure high consequence risks are managed adequately, and impacts on the community and industry are balanced proportionately. In accordance with the Standing Directions as part of the </w:t>
      </w:r>
      <w:r>
        <w:rPr>
          <w:i/>
        </w:rPr>
        <w:t>Financial Management</w:t>
      </w:r>
      <w:r>
        <w:rPr>
          <w:i/>
          <w:spacing w:val="-1"/>
        </w:rPr>
        <w:t> </w:t>
      </w:r>
      <w:r>
        <w:rPr>
          <w:i/>
        </w:rPr>
        <w:t>Act</w:t>
      </w:r>
      <w:r>
        <w:rPr>
          <w:i/>
          <w:spacing w:val="-3"/>
        </w:rPr>
        <w:t> </w:t>
      </w:r>
      <w:r>
        <w:rPr>
          <w:i/>
        </w:rPr>
        <w:t>1994,</w:t>
      </w:r>
      <w:r>
        <w:rPr>
          <w:i/>
          <w:spacing w:val="-3"/>
        </w:rPr>
        <w:t> </w:t>
      </w:r>
      <w:r>
        <w:rPr/>
        <w:t>the</w:t>
      </w:r>
      <w:r>
        <w:rPr>
          <w:spacing w:val="-2"/>
        </w:rPr>
        <w:t> </w:t>
      </w:r>
      <w:r>
        <w:rPr/>
        <w:t>Minister</w:t>
      </w:r>
      <w:r>
        <w:rPr>
          <w:spacing w:val="-1"/>
        </w:rPr>
        <w:t> </w:t>
      </w:r>
      <w:r>
        <w:rPr/>
        <w:t>is</w:t>
      </w:r>
      <w:r>
        <w:rPr>
          <w:spacing w:val="-4"/>
        </w:rPr>
        <w:t> </w:t>
      </w:r>
      <w:r>
        <w:rPr/>
        <w:t>required</w:t>
      </w:r>
      <w:r>
        <w:rPr>
          <w:spacing w:val="-4"/>
        </w:rPr>
        <w:t> </w:t>
      </w:r>
      <w:r>
        <w:rPr/>
        <w:t>to</w:t>
      </w:r>
      <w:r>
        <w:rPr>
          <w:spacing w:val="-4"/>
        </w:rPr>
        <w:t> </w:t>
      </w:r>
      <w:r>
        <w:rPr/>
        <w:t>articulate</w:t>
      </w:r>
      <w:r>
        <w:rPr>
          <w:spacing w:val="-3"/>
        </w:rPr>
        <w:t> </w:t>
      </w:r>
      <w:r>
        <w:rPr/>
        <w:t>the</w:t>
      </w:r>
      <w:r>
        <w:rPr>
          <w:spacing w:val="-2"/>
        </w:rPr>
        <w:t> </w:t>
      </w:r>
      <w:r>
        <w:rPr/>
        <w:t>expectations</w:t>
      </w:r>
      <w:r>
        <w:rPr>
          <w:spacing w:val="-1"/>
        </w:rPr>
        <w:t> </w:t>
      </w:r>
      <w:r>
        <w:rPr/>
        <w:t>of ESV</w:t>
      </w:r>
      <w:r>
        <w:rPr>
          <w:spacing w:val="-2"/>
        </w:rPr>
        <w:t> </w:t>
      </w:r>
      <w:r>
        <w:rPr/>
        <w:t>by issuing a formal and publicly available Ministerial Statement of Expectations.</w:t>
      </w:r>
    </w:p>
    <w:p>
      <w:pPr>
        <w:pStyle w:val="BodyText"/>
        <w:spacing w:before="11"/>
        <w:rPr>
          <w:sz w:val="20"/>
        </w:rPr>
      </w:pPr>
    </w:p>
    <w:p>
      <w:pPr>
        <w:pStyle w:val="BodyText"/>
        <w:spacing w:line="288" w:lineRule="auto"/>
        <w:ind w:left="600" w:right="586"/>
      </w:pPr>
      <w:r>
        <w:rPr/>
        <w:t>In turn, ESV is required to detail within its Corporate Plan how it intends to meet the requirements</w:t>
      </w:r>
      <w:r>
        <w:rPr>
          <w:spacing w:val="-4"/>
        </w:rPr>
        <w:t> </w:t>
      </w:r>
      <w:r>
        <w:rPr/>
        <w:t>as</w:t>
      </w:r>
      <w:r>
        <w:rPr>
          <w:spacing w:val="-2"/>
        </w:rPr>
        <w:t> </w:t>
      </w:r>
      <w:r>
        <w:rPr/>
        <w:t>set out</w:t>
      </w:r>
      <w:r>
        <w:rPr>
          <w:spacing w:val="-3"/>
        </w:rPr>
        <w:t> </w:t>
      </w:r>
      <w:r>
        <w:rPr/>
        <w:t>in</w:t>
      </w:r>
      <w:r>
        <w:rPr>
          <w:spacing w:val="-2"/>
        </w:rPr>
        <w:t> </w:t>
      </w:r>
      <w:r>
        <w:rPr/>
        <w:t>the</w:t>
      </w:r>
      <w:r>
        <w:rPr>
          <w:spacing w:val="-4"/>
        </w:rPr>
        <w:t> </w:t>
      </w:r>
      <w:r>
        <w:rPr/>
        <w:t>Statement of Expectations.</w:t>
      </w:r>
      <w:r>
        <w:rPr>
          <w:spacing w:val="-3"/>
        </w:rPr>
        <w:t> </w:t>
      </w:r>
      <w:r>
        <w:rPr/>
        <w:t>The</w:t>
      </w:r>
      <w:r>
        <w:rPr>
          <w:spacing w:val="-4"/>
        </w:rPr>
        <w:t> </w:t>
      </w:r>
      <w:r>
        <w:rPr/>
        <w:t>Corporate</w:t>
      </w:r>
      <w:r>
        <w:rPr>
          <w:spacing w:val="-6"/>
        </w:rPr>
        <w:t> </w:t>
      </w:r>
      <w:r>
        <w:rPr/>
        <w:t>Plan</w:t>
      </w:r>
      <w:r>
        <w:rPr>
          <w:spacing w:val="-2"/>
        </w:rPr>
        <w:t> </w:t>
      </w:r>
      <w:r>
        <w:rPr/>
        <w:t>must</w:t>
      </w:r>
      <w:r>
        <w:rPr>
          <w:spacing w:val="-3"/>
        </w:rPr>
        <w:t> </w:t>
      </w:r>
      <w:r>
        <w:rPr/>
        <w:t>include the following elements as defined within the </w:t>
      </w:r>
      <w:r>
        <w:rPr>
          <w:i/>
        </w:rPr>
        <w:t>Energy Safe Victoria Act 2005</w:t>
      </w:r>
      <w:r>
        <w:rPr/>
        <w:t>:</w:t>
      </w:r>
    </w:p>
    <w:p>
      <w:pPr>
        <w:pStyle w:val="BodyText"/>
        <w:spacing w:before="3"/>
      </w:pPr>
    </w:p>
    <w:p>
      <w:pPr>
        <w:pStyle w:val="ListParagraph"/>
        <w:numPr>
          <w:ilvl w:val="0"/>
          <w:numId w:val="30"/>
        </w:numPr>
        <w:tabs>
          <w:tab w:pos="1102" w:val="left" w:leader="none"/>
        </w:tabs>
        <w:spacing w:line="288" w:lineRule="auto" w:before="0" w:after="0"/>
        <w:ind w:left="1102" w:right="1295" w:hanging="360"/>
        <w:jc w:val="left"/>
        <w:rPr>
          <w:sz w:val="22"/>
        </w:rPr>
      </w:pPr>
      <w:r>
        <w:rPr>
          <w:sz w:val="22"/>
        </w:rPr>
        <w:t>Statements</w:t>
      </w:r>
      <w:r>
        <w:rPr>
          <w:spacing w:val="-5"/>
          <w:sz w:val="22"/>
        </w:rPr>
        <w:t> </w:t>
      </w:r>
      <w:r>
        <w:rPr>
          <w:sz w:val="22"/>
        </w:rPr>
        <w:t>of</w:t>
      </w:r>
      <w:r>
        <w:rPr>
          <w:spacing w:val="-1"/>
          <w:sz w:val="22"/>
        </w:rPr>
        <w:t> </w:t>
      </w:r>
      <w:r>
        <w:rPr>
          <w:sz w:val="22"/>
        </w:rPr>
        <w:t>corporate</w:t>
      </w:r>
      <w:r>
        <w:rPr>
          <w:spacing w:val="-5"/>
          <w:sz w:val="22"/>
        </w:rPr>
        <w:t> </w:t>
      </w:r>
      <w:r>
        <w:rPr>
          <w:sz w:val="22"/>
        </w:rPr>
        <w:t>intent</w:t>
      </w:r>
      <w:r>
        <w:rPr>
          <w:spacing w:val="-4"/>
          <w:sz w:val="22"/>
        </w:rPr>
        <w:t> </w:t>
      </w:r>
      <w:r>
        <w:rPr>
          <w:sz w:val="22"/>
        </w:rPr>
        <w:t>for</w:t>
      </w:r>
      <w:r>
        <w:rPr>
          <w:spacing w:val="-4"/>
          <w:sz w:val="22"/>
        </w:rPr>
        <w:t> </w:t>
      </w:r>
      <w:r>
        <w:rPr>
          <w:sz w:val="22"/>
        </w:rPr>
        <w:t>the</w:t>
      </w:r>
      <w:r>
        <w:rPr>
          <w:spacing w:val="-5"/>
          <w:sz w:val="22"/>
        </w:rPr>
        <w:t> </w:t>
      </w:r>
      <w:r>
        <w:rPr>
          <w:sz w:val="22"/>
        </w:rPr>
        <w:t>current</w:t>
      </w:r>
      <w:r>
        <w:rPr>
          <w:spacing w:val="-4"/>
          <w:sz w:val="22"/>
        </w:rPr>
        <w:t> </w:t>
      </w:r>
      <w:r>
        <w:rPr>
          <w:sz w:val="22"/>
        </w:rPr>
        <w:t>financial</w:t>
      </w:r>
      <w:r>
        <w:rPr>
          <w:spacing w:val="-4"/>
          <w:sz w:val="22"/>
        </w:rPr>
        <w:t> </w:t>
      </w:r>
      <w:r>
        <w:rPr>
          <w:sz w:val="22"/>
        </w:rPr>
        <w:t>year</w:t>
      </w:r>
      <w:r>
        <w:rPr>
          <w:spacing w:val="-2"/>
          <w:sz w:val="22"/>
        </w:rPr>
        <w:t> </w:t>
      </w:r>
      <w:r>
        <w:rPr>
          <w:sz w:val="22"/>
        </w:rPr>
        <w:t>and</w:t>
      </w:r>
      <w:r>
        <w:rPr>
          <w:spacing w:val="-3"/>
          <w:sz w:val="22"/>
        </w:rPr>
        <w:t> </w:t>
      </w:r>
      <w:r>
        <w:rPr>
          <w:sz w:val="22"/>
        </w:rPr>
        <w:t>the</w:t>
      </w:r>
      <w:r>
        <w:rPr>
          <w:spacing w:val="-5"/>
          <w:sz w:val="22"/>
        </w:rPr>
        <w:t> </w:t>
      </w:r>
      <w:r>
        <w:rPr>
          <w:sz w:val="22"/>
        </w:rPr>
        <w:t>two</w:t>
      </w:r>
      <w:r>
        <w:rPr>
          <w:spacing w:val="-5"/>
          <w:sz w:val="22"/>
        </w:rPr>
        <w:t> </w:t>
      </w:r>
      <w:r>
        <w:rPr>
          <w:sz w:val="22"/>
        </w:rPr>
        <w:t>following financial years, incorporating:</w:t>
      </w:r>
    </w:p>
    <w:p>
      <w:pPr>
        <w:pStyle w:val="BodyText"/>
        <w:spacing w:before="10"/>
        <w:rPr>
          <w:sz w:val="20"/>
        </w:rPr>
      </w:pPr>
    </w:p>
    <w:p>
      <w:pPr>
        <w:pStyle w:val="ListParagraph"/>
        <w:numPr>
          <w:ilvl w:val="1"/>
          <w:numId w:val="30"/>
        </w:numPr>
        <w:tabs>
          <w:tab w:pos="1307" w:val="left" w:leader="none"/>
        </w:tabs>
        <w:spacing w:line="240" w:lineRule="auto" w:before="1" w:after="0"/>
        <w:ind w:left="1307" w:right="0" w:hanging="280"/>
        <w:jc w:val="left"/>
        <w:rPr>
          <w:sz w:val="22"/>
        </w:rPr>
      </w:pPr>
      <w:r>
        <w:rPr>
          <w:sz w:val="22"/>
        </w:rPr>
        <w:t>the</w:t>
      </w:r>
      <w:r>
        <w:rPr>
          <w:spacing w:val="-6"/>
          <w:sz w:val="22"/>
        </w:rPr>
        <w:t> </w:t>
      </w:r>
      <w:r>
        <w:rPr>
          <w:sz w:val="22"/>
        </w:rPr>
        <w:t>objectives</w:t>
      </w:r>
      <w:r>
        <w:rPr>
          <w:spacing w:val="-4"/>
          <w:sz w:val="22"/>
        </w:rPr>
        <w:t> </w:t>
      </w:r>
      <w:r>
        <w:rPr>
          <w:sz w:val="22"/>
        </w:rPr>
        <w:t>of</w:t>
      </w:r>
      <w:r>
        <w:rPr>
          <w:spacing w:val="-1"/>
          <w:sz w:val="22"/>
        </w:rPr>
        <w:t> </w:t>
      </w:r>
      <w:r>
        <w:rPr>
          <w:spacing w:val="-4"/>
          <w:sz w:val="22"/>
        </w:rPr>
        <w:t>ESV;</w:t>
      </w:r>
    </w:p>
    <w:p>
      <w:pPr>
        <w:pStyle w:val="ListParagraph"/>
        <w:numPr>
          <w:ilvl w:val="1"/>
          <w:numId w:val="30"/>
        </w:numPr>
        <w:tabs>
          <w:tab w:pos="1307" w:val="left" w:leader="none"/>
        </w:tabs>
        <w:spacing w:line="240" w:lineRule="auto" w:before="29" w:after="0"/>
        <w:ind w:left="1307" w:right="0" w:hanging="280"/>
        <w:jc w:val="left"/>
        <w:rPr>
          <w:sz w:val="22"/>
        </w:rPr>
      </w:pPr>
      <w:r>
        <w:rPr>
          <w:sz w:val="22"/>
        </w:rPr>
        <w:t>the</w:t>
      </w:r>
      <w:r>
        <w:rPr>
          <w:spacing w:val="-4"/>
          <w:sz w:val="22"/>
        </w:rPr>
        <w:t> </w:t>
      </w:r>
      <w:r>
        <w:rPr>
          <w:sz w:val="22"/>
        </w:rPr>
        <w:t>nature</w:t>
      </w:r>
      <w:r>
        <w:rPr>
          <w:spacing w:val="-5"/>
          <w:sz w:val="22"/>
        </w:rPr>
        <w:t> </w:t>
      </w:r>
      <w:r>
        <w:rPr>
          <w:sz w:val="22"/>
        </w:rPr>
        <w:t>and</w:t>
      </w:r>
      <w:r>
        <w:rPr>
          <w:spacing w:val="-4"/>
          <w:sz w:val="22"/>
        </w:rPr>
        <w:t> </w:t>
      </w:r>
      <w:r>
        <w:rPr>
          <w:sz w:val="22"/>
        </w:rPr>
        <w:t>scope</w:t>
      </w:r>
      <w:r>
        <w:rPr>
          <w:spacing w:val="-3"/>
          <w:sz w:val="22"/>
        </w:rPr>
        <w:t> </w:t>
      </w:r>
      <w:r>
        <w:rPr>
          <w:sz w:val="22"/>
        </w:rPr>
        <w:t>of</w:t>
      </w:r>
      <w:r>
        <w:rPr>
          <w:spacing w:val="-5"/>
          <w:sz w:val="22"/>
        </w:rPr>
        <w:t> </w:t>
      </w:r>
      <w:r>
        <w:rPr>
          <w:sz w:val="22"/>
        </w:rPr>
        <w:t>activities</w:t>
      </w:r>
      <w:r>
        <w:rPr>
          <w:spacing w:val="-3"/>
          <w:sz w:val="22"/>
        </w:rPr>
        <w:t> </w:t>
      </w:r>
      <w:r>
        <w:rPr>
          <w:sz w:val="22"/>
        </w:rPr>
        <w:t>to</w:t>
      </w:r>
      <w:r>
        <w:rPr>
          <w:spacing w:val="-3"/>
          <w:sz w:val="22"/>
        </w:rPr>
        <w:t> </w:t>
      </w:r>
      <w:r>
        <w:rPr>
          <w:sz w:val="22"/>
        </w:rPr>
        <w:t>be</w:t>
      </w:r>
      <w:r>
        <w:rPr>
          <w:spacing w:val="-6"/>
          <w:sz w:val="22"/>
        </w:rPr>
        <w:t> </w:t>
      </w:r>
      <w:r>
        <w:rPr>
          <w:sz w:val="22"/>
        </w:rPr>
        <w:t>undertaken</w:t>
      </w:r>
      <w:r>
        <w:rPr>
          <w:spacing w:val="-3"/>
          <w:sz w:val="22"/>
        </w:rPr>
        <w:t> </w:t>
      </w:r>
      <w:r>
        <w:rPr>
          <w:sz w:val="22"/>
        </w:rPr>
        <w:t>by</w:t>
      </w:r>
      <w:r>
        <w:rPr>
          <w:spacing w:val="-5"/>
          <w:sz w:val="22"/>
        </w:rPr>
        <w:t> </w:t>
      </w:r>
      <w:r>
        <w:rPr>
          <w:spacing w:val="-4"/>
          <w:sz w:val="22"/>
        </w:rPr>
        <w:t>ESV;</w:t>
      </w:r>
    </w:p>
    <w:p>
      <w:pPr>
        <w:pStyle w:val="ListParagraph"/>
        <w:numPr>
          <w:ilvl w:val="1"/>
          <w:numId w:val="30"/>
        </w:numPr>
        <w:tabs>
          <w:tab w:pos="1307" w:val="left" w:leader="none"/>
        </w:tabs>
        <w:spacing w:line="240" w:lineRule="auto" w:before="33" w:after="0"/>
        <w:ind w:left="1307" w:right="0" w:hanging="280"/>
        <w:jc w:val="left"/>
        <w:rPr>
          <w:sz w:val="22"/>
        </w:rPr>
      </w:pPr>
      <w:r>
        <w:rPr>
          <w:sz w:val="22"/>
        </w:rPr>
        <w:t>accounting</w:t>
      </w:r>
      <w:r>
        <w:rPr>
          <w:spacing w:val="-4"/>
          <w:sz w:val="22"/>
        </w:rPr>
        <w:t> </w:t>
      </w:r>
      <w:r>
        <w:rPr>
          <w:sz w:val="22"/>
        </w:rPr>
        <w:t>policies</w:t>
      </w:r>
      <w:r>
        <w:rPr>
          <w:spacing w:val="-5"/>
          <w:sz w:val="22"/>
        </w:rPr>
        <w:t> </w:t>
      </w:r>
      <w:r>
        <w:rPr>
          <w:sz w:val="22"/>
        </w:rPr>
        <w:t>to</w:t>
      </w:r>
      <w:r>
        <w:rPr>
          <w:spacing w:val="-7"/>
          <w:sz w:val="22"/>
        </w:rPr>
        <w:t> </w:t>
      </w:r>
      <w:r>
        <w:rPr>
          <w:sz w:val="22"/>
        </w:rPr>
        <w:t>be</w:t>
      </w:r>
      <w:r>
        <w:rPr>
          <w:spacing w:val="-6"/>
          <w:sz w:val="22"/>
        </w:rPr>
        <w:t> </w:t>
      </w:r>
      <w:r>
        <w:rPr>
          <w:spacing w:val="-2"/>
          <w:sz w:val="22"/>
        </w:rPr>
        <w:t>adopted;</w:t>
      </w:r>
    </w:p>
    <w:p>
      <w:pPr>
        <w:pStyle w:val="ListParagraph"/>
        <w:numPr>
          <w:ilvl w:val="1"/>
          <w:numId w:val="30"/>
        </w:numPr>
        <w:tabs>
          <w:tab w:pos="1307" w:val="left" w:leader="none"/>
        </w:tabs>
        <w:spacing w:line="240" w:lineRule="auto" w:before="30" w:after="0"/>
        <w:ind w:left="1307" w:right="0" w:hanging="280"/>
        <w:jc w:val="left"/>
        <w:rPr>
          <w:sz w:val="22"/>
        </w:rPr>
      </w:pPr>
      <w:r>
        <w:rPr>
          <w:sz w:val="22"/>
        </w:rPr>
        <w:t>performance</w:t>
      </w:r>
      <w:r>
        <w:rPr>
          <w:spacing w:val="-8"/>
          <w:sz w:val="22"/>
        </w:rPr>
        <w:t> </w:t>
      </w:r>
      <w:r>
        <w:rPr>
          <w:sz w:val="22"/>
        </w:rPr>
        <w:t>targets</w:t>
      </w:r>
      <w:r>
        <w:rPr>
          <w:spacing w:val="-4"/>
          <w:sz w:val="22"/>
        </w:rPr>
        <w:t> </w:t>
      </w:r>
      <w:r>
        <w:rPr>
          <w:sz w:val="22"/>
        </w:rPr>
        <w:t>and</w:t>
      </w:r>
      <w:r>
        <w:rPr>
          <w:spacing w:val="-7"/>
          <w:sz w:val="22"/>
        </w:rPr>
        <w:t> </w:t>
      </w:r>
      <w:r>
        <w:rPr>
          <w:sz w:val="22"/>
        </w:rPr>
        <w:t>other</w:t>
      </w:r>
      <w:r>
        <w:rPr>
          <w:spacing w:val="-6"/>
          <w:sz w:val="22"/>
        </w:rPr>
        <w:t> </w:t>
      </w:r>
      <w:r>
        <w:rPr>
          <w:spacing w:val="-2"/>
          <w:sz w:val="22"/>
        </w:rPr>
        <w:t>measures;</w:t>
      </w:r>
    </w:p>
    <w:p>
      <w:pPr>
        <w:pStyle w:val="ListParagraph"/>
        <w:numPr>
          <w:ilvl w:val="1"/>
          <w:numId w:val="30"/>
        </w:numPr>
        <w:tabs>
          <w:tab w:pos="1307" w:val="left" w:leader="none"/>
        </w:tabs>
        <w:spacing w:line="240" w:lineRule="auto" w:before="32" w:after="0"/>
        <w:ind w:left="1307" w:right="0" w:hanging="280"/>
        <w:jc w:val="left"/>
        <w:rPr>
          <w:sz w:val="22"/>
        </w:rPr>
      </w:pPr>
      <w:r>
        <w:rPr>
          <w:sz w:val="22"/>
        </w:rPr>
        <w:t>the</w:t>
      </w:r>
      <w:r>
        <w:rPr>
          <w:spacing w:val="-8"/>
          <w:sz w:val="22"/>
        </w:rPr>
        <w:t> </w:t>
      </w:r>
      <w:r>
        <w:rPr>
          <w:sz w:val="22"/>
        </w:rPr>
        <w:t>kind</w:t>
      </w:r>
      <w:r>
        <w:rPr>
          <w:spacing w:val="-4"/>
          <w:sz w:val="22"/>
        </w:rPr>
        <w:t> </w:t>
      </w:r>
      <w:r>
        <w:rPr>
          <w:sz w:val="22"/>
        </w:rPr>
        <w:t>of</w:t>
      </w:r>
      <w:r>
        <w:rPr>
          <w:spacing w:val="-2"/>
          <w:sz w:val="22"/>
        </w:rPr>
        <w:t> </w:t>
      </w:r>
      <w:r>
        <w:rPr>
          <w:sz w:val="22"/>
        </w:rPr>
        <w:t>information</w:t>
      </w:r>
      <w:r>
        <w:rPr>
          <w:spacing w:val="-6"/>
          <w:sz w:val="22"/>
        </w:rPr>
        <w:t> </w:t>
      </w:r>
      <w:r>
        <w:rPr>
          <w:sz w:val="22"/>
        </w:rPr>
        <w:t>to</w:t>
      </w:r>
      <w:r>
        <w:rPr>
          <w:spacing w:val="-5"/>
          <w:sz w:val="22"/>
        </w:rPr>
        <w:t> </w:t>
      </w:r>
      <w:r>
        <w:rPr>
          <w:sz w:val="22"/>
        </w:rPr>
        <w:t>be</w:t>
      </w:r>
      <w:r>
        <w:rPr>
          <w:spacing w:val="-4"/>
          <w:sz w:val="22"/>
        </w:rPr>
        <w:t> </w:t>
      </w:r>
      <w:r>
        <w:rPr>
          <w:sz w:val="22"/>
        </w:rPr>
        <w:t>provided</w:t>
      </w:r>
      <w:r>
        <w:rPr>
          <w:spacing w:val="-4"/>
          <w:sz w:val="22"/>
        </w:rPr>
        <w:t> </w:t>
      </w:r>
      <w:r>
        <w:rPr>
          <w:sz w:val="22"/>
        </w:rPr>
        <w:t>to</w:t>
      </w:r>
      <w:r>
        <w:rPr>
          <w:spacing w:val="-5"/>
          <w:sz w:val="22"/>
        </w:rPr>
        <w:t> </w:t>
      </w:r>
      <w:r>
        <w:rPr>
          <w:sz w:val="22"/>
        </w:rPr>
        <w:t>the</w:t>
      </w:r>
      <w:r>
        <w:rPr>
          <w:spacing w:val="-4"/>
          <w:sz w:val="22"/>
        </w:rPr>
        <w:t> </w:t>
      </w:r>
      <w:r>
        <w:rPr>
          <w:sz w:val="22"/>
        </w:rPr>
        <w:t>Minister</w:t>
      </w:r>
      <w:r>
        <w:rPr>
          <w:spacing w:val="-5"/>
          <w:sz w:val="22"/>
        </w:rPr>
        <w:t> </w:t>
      </w:r>
      <w:r>
        <w:rPr>
          <w:sz w:val="22"/>
        </w:rPr>
        <w:t>during</w:t>
      </w:r>
      <w:r>
        <w:rPr>
          <w:spacing w:val="-4"/>
          <w:sz w:val="22"/>
        </w:rPr>
        <w:t> </w:t>
      </w:r>
      <w:r>
        <w:rPr>
          <w:sz w:val="22"/>
        </w:rPr>
        <w:t>the</w:t>
      </w:r>
      <w:r>
        <w:rPr>
          <w:spacing w:val="-4"/>
          <w:sz w:val="22"/>
        </w:rPr>
        <w:t> </w:t>
      </w:r>
      <w:r>
        <w:rPr>
          <w:sz w:val="22"/>
        </w:rPr>
        <w:t>year;</w:t>
      </w:r>
      <w:r>
        <w:rPr>
          <w:spacing w:val="-1"/>
          <w:sz w:val="22"/>
        </w:rPr>
        <w:t> </w:t>
      </w:r>
      <w:r>
        <w:rPr>
          <w:spacing w:val="-5"/>
          <w:sz w:val="22"/>
        </w:rPr>
        <w:t>and</w:t>
      </w:r>
    </w:p>
    <w:p>
      <w:pPr>
        <w:pStyle w:val="ListParagraph"/>
        <w:numPr>
          <w:ilvl w:val="1"/>
          <w:numId w:val="30"/>
        </w:numPr>
        <w:tabs>
          <w:tab w:pos="1307" w:val="left" w:leader="none"/>
        </w:tabs>
        <w:spacing w:line="240" w:lineRule="auto" w:before="30" w:after="0"/>
        <w:ind w:left="1307" w:right="0" w:hanging="280"/>
        <w:jc w:val="left"/>
        <w:rPr>
          <w:sz w:val="22"/>
        </w:rPr>
      </w:pPr>
      <w:r>
        <w:rPr>
          <w:sz w:val="22"/>
        </w:rPr>
        <w:t>other</w:t>
      </w:r>
      <w:r>
        <w:rPr>
          <w:spacing w:val="-6"/>
          <w:sz w:val="22"/>
        </w:rPr>
        <w:t> </w:t>
      </w:r>
      <w:r>
        <w:rPr>
          <w:sz w:val="22"/>
        </w:rPr>
        <w:t>matters</w:t>
      </w:r>
      <w:r>
        <w:rPr>
          <w:spacing w:val="-4"/>
          <w:sz w:val="22"/>
        </w:rPr>
        <w:t> </w:t>
      </w:r>
      <w:r>
        <w:rPr>
          <w:sz w:val="22"/>
        </w:rPr>
        <w:t>agreed</w:t>
      </w:r>
      <w:r>
        <w:rPr>
          <w:spacing w:val="-6"/>
          <w:sz w:val="22"/>
        </w:rPr>
        <w:t> </w:t>
      </w:r>
      <w:r>
        <w:rPr>
          <w:sz w:val="22"/>
        </w:rPr>
        <w:t>between</w:t>
      </w:r>
      <w:r>
        <w:rPr>
          <w:spacing w:val="-5"/>
          <w:sz w:val="22"/>
        </w:rPr>
        <w:t> </w:t>
      </w:r>
      <w:r>
        <w:rPr>
          <w:sz w:val="22"/>
        </w:rPr>
        <w:t>the</w:t>
      </w:r>
      <w:r>
        <w:rPr>
          <w:spacing w:val="-4"/>
          <w:sz w:val="22"/>
        </w:rPr>
        <w:t> </w:t>
      </w:r>
      <w:r>
        <w:rPr>
          <w:sz w:val="22"/>
        </w:rPr>
        <w:t>Minister</w:t>
      </w:r>
      <w:r>
        <w:rPr>
          <w:spacing w:val="-4"/>
          <w:sz w:val="22"/>
        </w:rPr>
        <w:t> </w:t>
      </w:r>
      <w:r>
        <w:rPr>
          <w:sz w:val="22"/>
        </w:rPr>
        <w:t>and</w:t>
      </w:r>
      <w:r>
        <w:rPr>
          <w:spacing w:val="-6"/>
          <w:sz w:val="22"/>
        </w:rPr>
        <w:t> </w:t>
      </w:r>
      <w:r>
        <w:rPr>
          <w:spacing w:val="-4"/>
          <w:sz w:val="22"/>
        </w:rPr>
        <w:t>ESV.</w:t>
      </w:r>
    </w:p>
    <w:p>
      <w:pPr>
        <w:pStyle w:val="BodyText"/>
        <w:spacing w:before="11"/>
        <w:rPr>
          <w:sz w:val="24"/>
        </w:rPr>
      </w:pPr>
    </w:p>
    <w:p>
      <w:pPr>
        <w:pStyle w:val="ListParagraph"/>
        <w:numPr>
          <w:ilvl w:val="0"/>
          <w:numId w:val="30"/>
        </w:numPr>
        <w:tabs>
          <w:tab w:pos="1101" w:val="left" w:leader="none"/>
        </w:tabs>
        <w:spacing w:line="240" w:lineRule="auto" w:before="0" w:after="0"/>
        <w:ind w:left="1101" w:right="0" w:hanging="359"/>
        <w:jc w:val="left"/>
        <w:rPr>
          <w:sz w:val="22"/>
        </w:rPr>
      </w:pPr>
      <w:r>
        <w:rPr>
          <w:sz w:val="22"/>
        </w:rPr>
        <w:t>a</w:t>
      </w:r>
      <w:r>
        <w:rPr>
          <w:spacing w:val="-6"/>
          <w:sz w:val="22"/>
        </w:rPr>
        <w:t> </w:t>
      </w:r>
      <w:r>
        <w:rPr>
          <w:sz w:val="22"/>
        </w:rPr>
        <w:t>Business</w:t>
      </w:r>
      <w:r>
        <w:rPr>
          <w:spacing w:val="-5"/>
          <w:sz w:val="22"/>
        </w:rPr>
        <w:t> </w:t>
      </w:r>
      <w:r>
        <w:rPr>
          <w:sz w:val="22"/>
        </w:rPr>
        <w:t>Plan</w:t>
      </w:r>
      <w:r>
        <w:rPr>
          <w:spacing w:val="-6"/>
          <w:sz w:val="22"/>
        </w:rPr>
        <w:t> </w:t>
      </w:r>
      <w:r>
        <w:rPr>
          <w:sz w:val="22"/>
        </w:rPr>
        <w:t>containing</w:t>
      </w:r>
      <w:r>
        <w:rPr>
          <w:spacing w:val="-5"/>
          <w:sz w:val="22"/>
        </w:rPr>
        <w:t> </w:t>
      </w:r>
      <w:r>
        <w:rPr>
          <w:sz w:val="22"/>
        </w:rPr>
        <w:t>information</w:t>
      </w:r>
      <w:r>
        <w:rPr>
          <w:spacing w:val="-8"/>
          <w:sz w:val="22"/>
        </w:rPr>
        <w:t> </w:t>
      </w:r>
      <w:r>
        <w:rPr>
          <w:sz w:val="22"/>
        </w:rPr>
        <w:t>required</w:t>
      </w:r>
      <w:r>
        <w:rPr>
          <w:spacing w:val="-7"/>
          <w:sz w:val="22"/>
        </w:rPr>
        <w:t> </w:t>
      </w:r>
      <w:r>
        <w:rPr>
          <w:sz w:val="22"/>
        </w:rPr>
        <w:t>by</w:t>
      </w:r>
      <w:r>
        <w:rPr>
          <w:spacing w:val="-8"/>
          <w:sz w:val="22"/>
        </w:rPr>
        <w:t> </w:t>
      </w:r>
      <w:r>
        <w:rPr>
          <w:sz w:val="22"/>
        </w:rPr>
        <w:t>the</w:t>
      </w:r>
      <w:r>
        <w:rPr>
          <w:spacing w:val="-6"/>
          <w:sz w:val="22"/>
        </w:rPr>
        <w:t> </w:t>
      </w:r>
      <w:r>
        <w:rPr>
          <w:sz w:val="22"/>
        </w:rPr>
        <w:t>Minister;</w:t>
      </w:r>
      <w:r>
        <w:rPr>
          <w:spacing w:val="-3"/>
          <w:sz w:val="22"/>
        </w:rPr>
        <w:t> </w:t>
      </w:r>
      <w:r>
        <w:rPr>
          <w:spacing w:val="-5"/>
          <w:sz w:val="22"/>
        </w:rPr>
        <w:t>and</w:t>
      </w:r>
    </w:p>
    <w:p>
      <w:pPr>
        <w:pStyle w:val="BodyText"/>
        <w:spacing w:before="7"/>
        <w:rPr>
          <w:sz w:val="26"/>
        </w:rPr>
      </w:pPr>
    </w:p>
    <w:p>
      <w:pPr>
        <w:pStyle w:val="ListParagraph"/>
        <w:numPr>
          <w:ilvl w:val="0"/>
          <w:numId w:val="30"/>
        </w:numPr>
        <w:tabs>
          <w:tab w:pos="1101" w:val="left" w:leader="none"/>
        </w:tabs>
        <w:spacing w:line="240" w:lineRule="auto" w:before="0" w:after="0"/>
        <w:ind w:left="1101" w:right="0" w:hanging="359"/>
        <w:jc w:val="left"/>
        <w:rPr>
          <w:sz w:val="22"/>
        </w:rPr>
      </w:pPr>
      <w:r>
        <w:rPr>
          <w:sz w:val="22"/>
        </w:rPr>
        <w:t>financial</w:t>
      </w:r>
      <w:r>
        <w:rPr>
          <w:spacing w:val="-10"/>
          <w:sz w:val="22"/>
        </w:rPr>
        <w:t> </w:t>
      </w:r>
      <w:r>
        <w:rPr>
          <w:sz w:val="22"/>
        </w:rPr>
        <w:t>statements</w:t>
      </w:r>
      <w:r>
        <w:rPr>
          <w:spacing w:val="-6"/>
          <w:sz w:val="22"/>
        </w:rPr>
        <w:t> </w:t>
      </w:r>
      <w:r>
        <w:rPr>
          <w:sz w:val="22"/>
        </w:rPr>
        <w:t>containing</w:t>
      </w:r>
      <w:r>
        <w:rPr>
          <w:spacing w:val="-5"/>
          <w:sz w:val="22"/>
        </w:rPr>
        <w:t> </w:t>
      </w:r>
      <w:r>
        <w:rPr>
          <w:sz w:val="22"/>
        </w:rPr>
        <w:t>information</w:t>
      </w:r>
      <w:r>
        <w:rPr>
          <w:spacing w:val="-6"/>
          <w:sz w:val="22"/>
        </w:rPr>
        <w:t> </w:t>
      </w:r>
      <w:r>
        <w:rPr>
          <w:sz w:val="22"/>
        </w:rPr>
        <w:t>as</w:t>
      </w:r>
      <w:r>
        <w:rPr>
          <w:spacing w:val="-9"/>
          <w:sz w:val="22"/>
        </w:rPr>
        <w:t> </w:t>
      </w:r>
      <w:r>
        <w:rPr>
          <w:sz w:val="22"/>
        </w:rPr>
        <w:t>required</w:t>
      </w:r>
      <w:r>
        <w:rPr>
          <w:spacing w:val="-6"/>
          <w:sz w:val="22"/>
        </w:rPr>
        <w:t> </w:t>
      </w:r>
      <w:r>
        <w:rPr>
          <w:sz w:val="22"/>
        </w:rPr>
        <w:t>by</w:t>
      </w:r>
      <w:r>
        <w:rPr>
          <w:spacing w:val="-9"/>
          <w:sz w:val="22"/>
        </w:rPr>
        <w:t> </w:t>
      </w:r>
      <w:r>
        <w:rPr>
          <w:sz w:val="22"/>
        </w:rPr>
        <w:t>the</w:t>
      </w:r>
      <w:r>
        <w:rPr>
          <w:spacing w:val="-6"/>
          <w:sz w:val="22"/>
        </w:rPr>
        <w:t> </w:t>
      </w:r>
      <w:r>
        <w:rPr>
          <w:spacing w:val="-2"/>
          <w:sz w:val="22"/>
        </w:rPr>
        <w:t>Minister.</w:t>
      </w:r>
    </w:p>
    <w:p>
      <w:pPr>
        <w:pStyle w:val="BodyText"/>
        <w:spacing w:before="2"/>
        <w:rPr>
          <w:sz w:val="25"/>
        </w:rPr>
      </w:pPr>
    </w:p>
    <w:p>
      <w:pPr>
        <w:spacing w:line="288" w:lineRule="auto" w:before="0"/>
        <w:ind w:left="600" w:right="910" w:firstLine="0"/>
        <w:jc w:val="left"/>
        <w:rPr>
          <w:sz w:val="22"/>
        </w:rPr>
      </w:pPr>
      <w:r>
        <w:rPr>
          <w:sz w:val="22"/>
        </w:rPr>
        <w:t>Under</w:t>
      </w:r>
      <w:r>
        <w:rPr>
          <w:spacing w:val="-1"/>
          <w:sz w:val="22"/>
        </w:rPr>
        <w:t> </w:t>
      </w:r>
      <w:r>
        <w:rPr>
          <w:sz w:val="22"/>
        </w:rPr>
        <w:t>the</w:t>
      </w:r>
      <w:r>
        <w:rPr>
          <w:spacing w:val="-4"/>
          <w:sz w:val="22"/>
        </w:rPr>
        <w:t> </w:t>
      </w:r>
      <w:r>
        <w:rPr>
          <w:i/>
          <w:sz w:val="22"/>
        </w:rPr>
        <w:t>Energy</w:t>
      </w:r>
      <w:r>
        <w:rPr>
          <w:i/>
          <w:spacing w:val="-4"/>
          <w:sz w:val="22"/>
        </w:rPr>
        <w:t> </w:t>
      </w:r>
      <w:r>
        <w:rPr>
          <w:i/>
          <w:sz w:val="22"/>
        </w:rPr>
        <w:t>Safe</w:t>
      </w:r>
      <w:r>
        <w:rPr>
          <w:i/>
          <w:spacing w:val="-4"/>
          <w:sz w:val="22"/>
        </w:rPr>
        <w:t> </w:t>
      </w:r>
      <w:r>
        <w:rPr>
          <w:i/>
          <w:sz w:val="22"/>
        </w:rPr>
        <w:t>Victoria</w:t>
      </w:r>
      <w:r>
        <w:rPr>
          <w:i/>
          <w:spacing w:val="-2"/>
          <w:sz w:val="22"/>
        </w:rPr>
        <w:t> </w:t>
      </w:r>
      <w:r>
        <w:rPr>
          <w:i/>
          <w:sz w:val="22"/>
        </w:rPr>
        <w:t>Act 2005,</w:t>
      </w:r>
      <w:r>
        <w:rPr>
          <w:i/>
          <w:spacing w:val="-1"/>
          <w:sz w:val="22"/>
        </w:rPr>
        <w:t> </w:t>
      </w:r>
      <w:r>
        <w:rPr>
          <w:sz w:val="22"/>
        </w:rPr>
        <w:t>the</w:t>
      </w:r>
      <w:r>
        <w:rPr>
          <w:spacing w:val="-2"/>
          <w:sz w:val="22"/>
        </w:rPr>
        <w:t> </w:t>
      </w:r>
      <w:r>
        <w:rPr>
          <w:sz w:val="22"/>
        </w:rPr>
        <w:t>Corporate</w:t>
      </w:r>
      <w:r>
        <w:rPr>
          <w:spacing w:val="-4"/>
          <w:sz w:val="22"/>
        </w:rPr>
        <w:t> </w:t>
      </w:r>
      <w:r>
        <w:rPr>
          <w:sz w:val="22"/>
        </w:rPr>
        <w:t>Plan</w:t>
      </w:r>
      <w:r>
        <w:rPr>
          <w:spacing w:val="-2"/>
          <w:sz w:val="22"/>
        </w:rPr>
        <w:t> </w:t>
      </w:r>
      <w:r>
        <w:rPr>
          <w:sz w:val="22"/>
        </w:rPr>
        <w:t>may</w:t>
      </w:r>
      <w:r>
        <w:rPr>
          <w:spacing w:val="-4"/>
          <w:sz w:val="22"/>
        </w:rPr>
        <w:t> </w:t>
      </w:r>
      <w:r>
        <w:rPr>
          <w:sz w:val="22"/>
        </w:rPr>
        <w:t>be</w:t>
      </w:r>
      <w:r>
        <w:rPr>
          <w:spacing w:val="-4"/>
          <w:sz w:val="22"/>
        </w:rPr>
        <w:t> </w:t>
      </w:r>
      <w:r>
        <w:rPr>
          <w:sz w:val="22"/>
        </w:rPr>
        <w:t>published</w:t>
      </w:r>
      <w:r>
        <w:rPr>
          <w:spacing w:val="-2"/>
          <w:sz w:val="22"/>
        </w:rPr>
        <w:t> </w:t>
      </w:r>
      <w:r>
        <w:rPr>
          <w:sz w:val="22"/>
        </w:rPr>
        <w:t>or</w:t>
      </w:r>
      <w:r>
        <w:rPr>
          <w:spacing w:val="-3"/>
          <w:sz w:val="22"/>
        </w:rPr>
        <w:t> </w:t>
      </w:r>
      <w:r>
        <w:rPr>
          <w:sz w:val="22"/>
        </w:rPr>
        <w:t>made publicly available only after approval by both ESV and the Minister.</w:t>
      </w:r>
    </w:p>
    <w:p>
      <w:pPr>
        <w:pStyle w:val="BodyText"/>
        <w:spacing w:before="10"/>
        <w:rPr>
          <w:sz w:val="20"/>
        </w:rPr>
      </w:pPr>
    </w:p>
    <w:p>
      <w:pPr>
        <w:pStyle w:val="BodyText"/>
        <w:spacing w:line="288" w:lineRule="auto" w:before="1"/>
        <w:ind w:left="600" w:right="374"/>
      </w:pPr>
      <w:r>
        <w:rPr/>
        <w:t>The Annual Report also reports ESV’s progress in achieving the outcomes set out in its Corporate Plan. The Ministerial Statement of Expectations, ESV’s formal response to the Statement</w:t>
      </w:r>
      <w:r>
        <w:rPr>
          <w:spacing w:val="-4"/>
        </w:rPr>
        <w:t> </w:t>
      </w:r>
      <w:r>
        <w:rPr/>
        <w:t>of</w:t>
      </w:r>
      <w:r>
        <w:rPr>
          <w:spacing w:val="-1"/>
        </w:rPr>
        <w:t> </w:t>
      </w:r>
      <w:r>
        <w:rPr/>
        <w:t>Expectations,</w:t>
      </w:r>
      <w:r>
        <w:rPr>
          <w:spacing w:val="-2"/>
        </w:rPr>
        <w:t> </w:t>
      </w:r>
      <w:r>
        <w:rPr/>
        <w:t>Corporate</w:t>
      </w:r>
      <w:r>
        <w:rPr>
          <w:spacing w:val="-3"/>
        </w:rPr>
        <w:t> </w:t>
      </w:r>
      <w:r>
        <w:rPr/>
        <w:t>Plan</w:t>
      </w:r>
      <w:r>
        <w:rPr>
          <w:spacing w:val="-1"/>
        </w:rPr>
        <w:t> </w:t>
      </w:r>
      <w:r>
        <w:rPr/>
        <w:t>and</w:t>
      </w:r>
      <w:r>
        <w:rPr>
          <w:spacing w:val="-7"/>
        </w:rPr>
        <w:t> </w:t>
      </w:r>
      <w:r>
        <w:rPr/>
        <w:t>Annual</w:t>
      </w:r>
      <w:r>
        <w:rPr>
          <w:spacing w:val="-3"/>
        </w:rPr>
        <w:t> </w:t>
      </w:r>
      <w:r>
        <w:rPr/>
        <w:t>Report</w:t>
      </w:r>
      <w:r>
        <w:rPr>
          <w:spacing w:val="-1"/>
        </w:rPr>
        <w:t> </w:t>
      </w:r>
      <w:r>
        <w:rPr/>
        <w:t>are</w:t>
      </w:r>
      <w:r>
        <w:rPr>
          <w:spacing w:val="-5"/>
        </w:rPr>
        <w:t> </w:t>
      </w:r>
      <w:r>
        <w:rPr/>
        <w:t>all</w:t>
      </w:r>
      <w:r>
        <w:rPr>
          <w:spacing w:val="-3"/>
        </w:rPr>
        <w:t> </w:t>
      </w:r>
      <w:r>
        <w:rPr/>
        <w:t>publicly</w:t>
      </w:r>
      <w:r>
        <w:rPr>
          <w:spacing w:val="-5"/>
        </w:rPr>
        <w:t> </w:t>
      </w:r>
      <w:r>
        <w:rPr/>
        <w:t>available</w:t>
      </w:r>
      <w:r>
        <w:rPr>
          <w:spacing w:val="-3"/>
        </w:rPr>
        <w:t> </w:t>
      </w:r>
      <w:r>
        <w:rPr/>
        <w:t>on ESV’s website.</w:t>
      </w:r>
    </w:p>
    <w:p>
      <w:pPr>
        <w:pStyle w:val="BodyText"/>
        <w:spacing w:before="10"/>
        <w:rPr>
          <w:sz w:val="20"/>
        </w:rPr>
      </w:pPr>
    </w:p>
    <w:p>
      <w:pPr>
        <w:pStyle w:val="BodyText"/>
        <w:spacing w:line="288" w:lineRule="auto"/>
        <w:ind w:left="600" w:right="311"/>
      </w:pPr>
      <w:r>
        <w:rPr/>
        <w:t>In</w:t>
      </w:r>
      <w:r>
        <w:rPr>
          <w:spacing w:val="-2"/>
        </w:rPr>
        <w:t> </w:t>
      </w:r>
      <w:r>
        <w:rPr/>
        <w:t>comparison</w:t>
      </w:r>
      <w:r>
        <w:rPr>
          <w:spacing w:val="-4"/>
        </w:rPr>
        <w:t> </w:t>
      </w:r>
      <w:r>
        <w:rPr/>
        <w:t>with</w:t>
      </w:r>
      <w:r>
        <w:rPr>
          <w:spacing w:val="-2"/>
        </w:rPr>
        <w:t> </w:t>
      </w:r>
      <w:r>
        <w:rPr/>
        <w:t>other</w:t>
      </w:r>
      <w:r>
        <w:rPr>
          <w:spacing w:val="-3"/>
        </w:rPr>
        <w:t> </w:t>
      </w:r>
      <w:r>
        <w:rPr/>
        <w:t>Australian</w:t>
      </w:r>
      <w:r>
        <w:rPr>
          <w:spacing w:val="-2"/>
        </w:rPr>
        <w:t> </w:t>
      </w:r>
      <w:r>
        <w:rPr/>
        <w:t>energy</w:t>
      </w:r>
      <w:r>
        <w:rPr>
          <w:spacing w:val="-4"/>
        </w:rPr>
        <w:t> </w:t>
      </w:r>
      <w:r>
        <w:rPr/>
        <w:t>safety</w:t>
      </w:r>
      <w:r>
        <w:rPr>
          <w:spacing w:val="-4"/>
        </w:rPr>
        <w:t> </w:t>
      </w:r>
      <w:r>
        <w:rPr/>
        <w:t>regulators,</w:t>
      </w:r>
      <w:r>
        <w:rPr>
          <w:spacing w:val="-3"/>
        </w:rPr>
        <w:t> </w:t>
      </w:r>
      <w:r>
        <w:rPr/>
        <w:t>only</w:t>
      </w:r>
      <w:r>
        <w:rPr>
          <w:spacing w:val="-4"/>
        </w:rPr>
        <w:t> </w:t>
      </w:r>
      <w:r>
        <w:rPr/>
        <w:t>ESV</w:t>
      </w:r>
      <w:r>
        <w:rPr>
          <w:spacing w:val="-2"/>
        </w:rPr>
        <w:t> </w:t>
      </w:r>
      <w:r>
        <w:rPr/>
        <w:t>and</w:t>
      </w:r>
      <w:r>
        <w:rPr>
          <w:spacing w:val="-2"/>
        </w:rPr>
        <w:t> </w:t>
      </w:r>
      <w:r>
        <w:rPr/>
        <w:t>the</w:t>
      </w:r>
      <w:r>
        <w:rPr>
          <w:spacing w:val="-4"/>
        </w:rPr>
        <w:t> </w:t>
      </w:r>
      <w:r>
        <w:rPr/>
        <w:t>Independent Pricing and Regulatory Tribunal (IPART) in New South Wales have been established on an independent statutory basis. The remaining states have their energy safety regulation established as a division or statutory office within a department.</w:t>
      </w:r>
    </w:p>
    <w:p>
      <w:pPr>
        <w:pStyle w:val="BodyText"/>
        <w:spacing w:before="10"/>
        <w:rPr>
          <w:sz w:val="20"/>
        </w:rPr>
      </w:pPr>
    </w:p>
    <w:p>
      <w:pPr>
        <w:pStyle w:val="BodyText"/>
        <w:spacing w:line="288" w:lineRule="auto"/>
        <w:ind w:left="600" w:right="910"/>
      </w:pPr>
      <w:r>
        <w:rPr/>
        <w:t>The</w:t>
      </w:r>
      <w:r>
        <w:rPr>
          <w:spacing w:val="-4"/>
        </w:rPr>
        <w:t> </w:t>
      </w:r>
      <w:r>
        <w:rPr/>
        <w:t>current</w:t>
      </w:r>
      <w:r>
        <w:rPr>
          <w:spacing w:val="-3"/>
        </w:rPr>
        <w:t> </w:t>
      </w:r>
      <w:r>
        <w:rPr/>
        <w:t>ESV</w:t>
      </w:r>
      <w:r>
        <w:rPr>
          <w:spacing w:val="-2"/>
        </w:rPr>
        <w:t> </w:t>
      </w:r>
      <w:r>
        <w:rPr/>
        <w:t>structure</w:t>
      </w:r>
      <w:r>
        <w:rPr>
          <w:spacing w:val="-2"/>
        </w:rPr>
        <w:t> </w:t>
      </w:r>
      <w:r>
        <w:rPr/>
        <w:t>comprises</w:t>
      </w:r>
      <w:r>
        <w:rPr>
          <w:spacing w:val="-4"/>
        </w:rPr>
        <w:t> </w:t>
      </w:r>
      <w:r>
        <w:rPr/>
        <w:t>five</w:t>
      </w:r>
      <w:r>
        <w:rPr>
          <w:spacing w:val="-2"/>
        </w:rPr>
        <w:t> </w:t>
      </w:r>
      <w:r>
        <w:rPr/>
        <w:t>divisions</w:t>
      </w:r>
      <w:r>
        <w:rPr>
          <w:spacing w:val="-1"/>
        </w:rPr>
        <w:t> </w:t>
      </w:r>
      <w:r>
        <w:rPr/>
        <w:t>with</w:t>
      </w:r>
      <w:r>
        <w:rPr>
          <w:spacing w:val="-2"/>
        </w:rPr>
        <w:t> </w:t>
      </w:r>
      <w:r>
        <w:rPr/>
        <w:t>the</w:t>
      </w:r>
      <w:r>
        <w:rPr>
          <w:spacing w:val="-4"/>
        </w:rPr>
        <w:t> </w:t>
      </w:r>
      <w:r>
        <w:rPr/>
        <w:t>General</w:t>
      </w:r>
      <w:r>
        <w:rPr>
          <w:spacing w:val="-3"/>
        </w:rPr>
        <w:t> </w:t>
      </w:r>
      <w:r>
        <w:rPr/>
        <w:t>Manager</w:t>
      </w:r>
      <w:r>
        <w:rPr>
          <w:spacing w:val="-3"/>
        </w:rPr>
        <w:t> </w:t>
      </w:r>
      <w:r>
        <w:rPr/>
        <w:t>for</w:t>
      </w:r>
      <w:r>
        <w:rPr>
          <w:spacing w:val="-3"/>
        </w:rPr>
        <w:t> </w:t>
      </w:r>
      <w:r>
        <w:rPr/>
        <w:t>each reporting to the Director of Energy Safety. The five divisions are as follows:</w:t>
      </w:r>
    </w:p>
    <w:p>
      <w:pPr>
        <w:pStyle w:val="BodyText"/>
        <w:spacing w:before="4"/>
      </w:pPr>
    </w:p>
    <w:p>
      <w:pPr>
        <w:pStyle w:val="ListParagraph"/>
        <w:numPr>
          <w:ilvl w:val="0"/>
          <w:numId w:val="30"/>
        </w:numPr>
        <w:tabs>
          <w:tab w:pos="1102" w:val="left" w:leader="none"/>
        </w:tabs>
        <w:spacing w:line="288" w:lineRule="auto" w:before="0" w:after="0"/>
        <w:ind w:left="1102" w:right="775" w:hanging="360"/>
        <w:jc w:val="left"/>
        <w:rPr>
          <w:sz w:val="22"/>
        </w:rPr>
      </w:pPr>
      <w:r>
        <w:rPr>
          <w:b/>
          <w:sz w:val="22"/>
        </w:rPr>
        <w:t>Electrical Safety and Technical Regulation (ESTR) </w:t>
      </w:r>
      <w:r>
        <w:rPr>
          <w:sz w:val="22"/>
        </w:rPr>
        <w:t>– Responsible for the safety of electrical</w:t>
      </w:r>
      <w:r>
        <w:rPr>
          <w:spacing w:val="-5"/>
          <w:sz w:val="22"/>
        </w:rPr>
        <w:t> </w:t>
      </w:r>
      <w:r>
        <w:rPr>
          <w:sz w:val="22"/>
        </w:rPr>
        <w:t>networks,</w:t>
      </w:r>
      <w:r>
        <w:rPr>
          <w:spacing w:val="-2"/>
          <w:sz w:val="22"/>
        </w:rPr>
        <w:t> </w:t>
      </w:r>
      <w:r>
        <w:rPr>
          <w:sz w:val="22"/>
        </w:rPr>
        <w:t>installations</w:t>
      </w:r>
      <w:r>
        <w:rPr>
          <w:spacing w:val="-4"/>
          <w:sz w:val="22"/>
        </w:rPr>
        <w:t> </w:t>
      </w:r>
      <w:r>
        <w:rPr>
          <w:sz w:val="22"/>
        </w:rPr>
        <w:t>and</w:t>
      </w:r>
      <w:r>
        <w:rPr>
          <w:spacing w:val="-4"/>
          <w:sz w:val="22"/>
        </w:rPr>
        <w:t> </w:t>
      </w:r>
      <w:r>
        <w:rPr>
          <w:sz w:val="22"/>
        </w:rPr>
        <w:t>equipment,</w:t>
      </w:r>
      <w:r>
        <w:rPr>
          <w:spacing w:val="-2"/>
          <w:sz w:val="22"/>
        </w:rPr>
        <w:t> </w:t>
      </w:r>
      <w:r>
        <w:rPr>
          <w:sz w:val="22"/>
        </w:rPr>
        <w:t>and</w:t>
      </w:r>
      <w:r>
        <w:rPr>
          <w:spacing w:val="-4"/>
          <w:sz w:val="22"/>
        </w:rPr>
        <w:t> </w:t>
      </w:r>
      <w:r>
        <w:rPr>
          <w:sz w:val="22"/>
        </w:rPr>
        <w:t>provides</w:t>
      </w:r>
      <w:r>
        <w:rPr>
          <w:spacing w:val="-3"/>
          <w:sz w:val="22"/>
        </w:rPr>
        <w:t> </w:t>
      </w:r>
      <w:r>
        <w:rPr>
          <w:sz w:val="22"/>
        </w:rPr>
        <w:t>analytical</w:t>
      </w:r>
      <w:r>
        <w:rPr>
          <w:spacing w:val="-5"/>
          <w:sz w:val="22"/>
        </w:rPr>
        <w:t> </w:t>
      </w:r>
      <w:r>
        <w:rPr>
          <w:sz w:val="22"/>
        </w:rPr>
        <w:t>support</w:t>
      </w:r>
      <w:r>
        <w:rPr>
          <w:spacing w:val="-5"/>
          <w:sz w:val="22"/>
        </w:rPr>
        <w:t> </w:t>
      </w:r>
      <w:r>
        <w:rPr>
          <w:sz w:val="22"/>
        </w:rPr>
        <w:t>to</w:t>
      </w:r>
      <w:r>
        <w:rPr>
          <w:spacing w:val="-6"/>
          <w:sz w:val="22"/>
        </w:rPr>
        <w:t> </w:t>
      </w:r>
      <w:r>
        <w:rPr>
          <w:sz w:val="22"/>
        </w:rPr>
        <w:t>the GPSTR division.</w:t>
      </w:r>
    </w:p>
    <w:p>
      <w:pPr>
        <w:pStyle w:val="BodyText"/>
        <w:spacing w:before="1"/>
      </w:pPr>
    </w:p>
    <w:p>
      <w:pPr>
        <w:pStyle w:val="ListParagraph"/>
        <w:numPr>
          <w:ilvl w:val="0"/>
          <w:numId w:val="30"/>
        </w:numPr>
        <w:tabs>
          <w:tab w:pos="1102" w:val="left" w:leader="none"/>
        </w:tabs>
        <w:spacing w:line="288" w:lineRule="auto" w:before="0" w:after="0"/>
        <w:ind w:left="1102" w:right="813" w:hanging="360"/>
        <w:jc w:val="left"/>
        <w:rPr>
          <w:sz w:val="22"/>
        </w:rPr>
      </w:pPr>
      <w:r>
        <w:rPr>
          <w:b/>
          <w:sz w:val="22"/>
        </w:rPr>
        <w:t>Gas</w:t>
      </w:r>
      <w:r>
        <w:rPr>
          <w:b/>
          <w:spacing w:val="-3"/>
          <w:sz w:val="22"/>
        </w:rPr>
        <w:t> </w:t>
      </w:r>
      <w:r>
        <w:rPr>
          <w:b/>
          <w:sz w:val="22"/>
        </w:rPr>
        <w:t>and</w:t>
      </w:r>
      <w:r>
        <w:rPr>
          <w:b/>
          <w:spacing w:val="-5"/>
          <w:sz w:val="22"/>
        </w:rPr>
        <w:t> </w:t>
      </w:r>
      <w:r>
        <w:rPr>
          <w:b/>
          <w:sz w:val="22"/>
        </w:rPr>
        <w:t>Pipeline</w:t>
      </w:r>
      <w:r>
        <w:rPr>
          <w:b/>
          <w:spacing w:val="-6"/>
          <w:sz w:val="22"/>
        </w:rPr>
        <w:t> </w:t>
      </w:r>
      <w:r>
        <w:rPr>
          <w:b/>
          <w:sz w:val="22"/>
        </w:rPr>
        <w:t>Safety</w:t>
      </w:r>
      <w:r>
        <w:rPr>
          <w:b/>
          <w:spacing w:val="-6"/>
          <w:sz w:val="22"/>
        </w:rPr>
        <w:t> </w:t>
      </w:r>
      <w:r>
        <w:rPr>
          <w:b/>
          <w:sz w:val="22"/>
        </w:rPr>
        <w:t>and</w:t>
      </w:r>
      <w:r>
        <w:rPr>
          <w:b/>
          <w:spacing w:val="-1"/>
          <w:sz w:val="22"/>
        </w:rPr>
        <w:t> </w:t>
      </w:r>
      <w:r>
        <w:rPr>
          <w:b/>
          <w:sz w:val="22"/>
        </w:rPr>
        <w:t>Technical</w:t>
      </w:r>
      <w:r>
        <w:rPr>
          <w:b/>
          <w:spacing w:val="-1"/>
          <w:sz w:val="22"/>
        </w:rPr>
        <w:t> </w:t>
      </w:r>
      <w:r>
        <w:rPr>
          <w:b/>
          <w:sz w:val="22"/>
        </w:rPr>
        <w:t>Regulation</w:t>
      </w:r>
      <w:r>
        <w:rPr>
          <w:b/>
          <w:spacing w:val="-6"/>
          <w:sz w:val="22"/>
        </w:rPr>
        <w:t> </w:t>
      </w:r>
      <w:r>
        <w:rPr>
          <w:b/>
          <w:sz w:val="22"/>
        </w:rPr>
        <w:t>(GPSTR) </w:t>
      </w:r>
      <w:r>
        <w:rPr>
          <w:sz w:val="22"/>
        </w:rPr>
        <w:t>–</w:t>
      </w:r>
      <w:r>
        <w:rPr>
          <w:spacing w:val="-3"/>
          <w:sz w:val="22"/>
        </w:rPr>
        <w:t> </w:t>
      </w:r>
      <w:r>
        <w:rPr>
          <w:sz w:val="22"/>
        </w:rPr>
        <w:t>Responsible</w:t>
      </w:r>
      <w:r>
        <w:rPr>
          <w:spacing w:val="-5"/>
          <w:sz w:val="22"/>
        </w:rPr>
        <w:t> </w:t>
      </w:r>
      <w:r>
        <w:rPr>
          <w:sz w:val="22"/>
        </w:rPr>
        <w:t>for</w:t>
      </w:r>
      <w:r>
        <w:rPr>
          <w:spacing w:val="-4"/>
          <w:sz w:val="22"/>
        </w:rPr>
        <w:t> </w:t>
      </w:r>
      <w:r>
        <w:rPr>
          <w:sz w:val="22"/>
        </w:rPr>
        <w:t>the safety of natural gas, LPG, and LP distribution networks, complex and type B gas</w:t>
      </w:r>
    </w:p>
    <w:p>
      <w:pPr>
        <w:spacing w:after="0" w:line="288" w:lineRule="auto"/>
        <w:jc w:val="left"/>
        <w:rPr>
          <w:sz w:val="22"/>
        </w:rPr>
        <w:sectPr>
          <w:pgSz w:w="11910" w:h="16840"/>
          <w:pgMar w:header="887" w:footer="1228" w:top="1080" w:bottom="1500" w:left="840" w:right="820"/>
        </w:sectPr>
      </w:pPr>
    </w:p>
    <w:p>
      <w:pPr>
        <w:pStyle w:val="BodyText"/>
        <w:rPr>
          <w:sz w:val="20"/>
        </w:rPr>
      </w:pPr>
    </w:p>
    <w:p>
      <w:pPr>
        <w:pStyle w:val="BodyText"/>
        <w:rPr>
          <w:sz w:val="20"/>
        </w:rPr>
      </w:pPr>
    </w:p>
    <w:p>
      <w:pPr>
        <w:pStyle w:val="BodyText"/>
        <w:spacing w:before="5"/>
      </w:pPr>
    </w:p>
    <w:p>
      <w:pPr>
        <w:pStyle w:val="BodyText"/>
        <w:spacing w:line="288" w:lineRule="auto"/>
        <w:ind w:left="1102" w:right="586"/>
      </w:pPr>
      <w:r>
        <w:rPr/>
        <w:t>installations,</w:t>
      </w:r>
      <w:r>
        <w:rPr>
          <w:spacing w:val="-2"/>
        </w:rPr>
        <w:t> </w:t>
      </w:r>
      <w:r>
        <w:rPr/>
        <w:t>and</w:t>
      </w:r>
      <w:r>
        <w:rPr>
          <w:spacing w:val="-7"/>
        </w:rPr>
        <w:t> </w:t>
      </w:r>
      <w:r>
        <w:rPr/>
        <w:t>gas</w:t>
      </w:r>
      <w:r>
        <w:rPr>
          <w:spacing w:val="-3"/>
        </w:rPr>
        <w:t> </w:t>
      </w:r>
      <w:r>
        <w:rPr/>
        <w:t>appliances.</w:t>
      </w:r>
      <w:r>
        <w:rPr>
          <w:spacing w:val="-2"/>
        </w:rPr>
        <w:t> </w:t>
      </w:r>
      <w:r>
        <w:rPr/>
        <w:t>GPSTR</w:t>
      </w:r>
      <w:r>
        <w:rPr>
          <w:spacing w:val="-3"/>
        </w:rPr>
        <w:t> </w:t>
      </w:r>
      <w:r>
        <w:rPr/>
        <w:t>also</w:t>
      </w:r>
      <w:r>
        <w:rPr>
          <w:spacing w:val="-5"/>
        </w:rPr>
        <w:t> </w:t>
      </w:r>
      <w:r>
        <w:rPr/>
        <w:t>has</w:t>
      </w:r>
      <w:r>
        <w:rPr>
          <w:spacing w:val="-3"/>
        </w:rPr>
        <w:t> </w:t>
      </w:r>
      <w:r>
        <w:rPr/>
        <w:t>oversight</w:t>
      </w:r>
      <w:r>
        <w:rPr>
          <w:spacing w:val="-1"/>
        </w:rPr>
        <w:t> </w:t>
      </w:r>
      <w:r>
        <w:rPr/>
        <w:t>of</w:t>
      </w:r>
      <w:r>
        <w:rPr>
          <w:spacing w:val="-1"/>
        </w:rPr>
        <w:t> </w:t>
      </w:r>
      <w:r>
        <w:rPr/>
        <w:t>licensed</w:t>
      </w:r>
      <w:r>
        <w:rPr>
          <w:spacing w:val="-8"/>
        </w:rPr>
        <w:t> </w:t>
      </w:r>
      <w:r>
        <w:rPr/>
        <w:t>pipeline</w:t>
      </w:r>
      <w:r>
        <w:rPr>
          <w:spacing w:val="-3"/>
        </w:rPr>
        <w:t> </w:t>
      </w:r>
      <w:r>
        <w:rPr/>
        <w:t>safety and the protection of metallic structures from stray currents.</w:t>
      </w:r>
    </w:p>
    <w:p>
      <w:pPr>
        <w:pStyle w:val="BodyText"/>
        <w:spacing w:before="3"/>
      </w:pPr>
    </w:p>
    <w:p>
      <w:pPr>
        <w:pStyle w:val="ListParagraph"/>
        <w:numPr>
          <w:ilvl w:val="0"/>
          <w:numId w:val="30"/>
        </w:numPr>
        <w:tabs>
          <w:tab w:pos="1102" w:val="left" w:leader="none"/>
        </w:tabs>
        <w:spacing w:line="288" w:lineRule="auto" w:before="1" w:after="0"/>
        <w:ind w:left="1102" w:right="659" w:hanging="360"/>
        <w:jc w:val="left"/>
        <w:rPr>
          <w:sz w:val="22"/>
        </w:rPr>
      </w:pPr>
      <w:r>
        <w:rPr>
          <w:b/>
          <w:sz w:val="22"/>
        </w:rPr>
        <w:t>Licensing, Standards and Certification Development </w:t>
      </w:r>
      <w:r>
        <w:rPr>
          <w:sz w:val="22"/>
        </w:rPr>
        <w:t>– Accountable for the administration</w:t>
      </w:r>
      <w:r>
        <w:rPr>
          <w:spacing w:val="-4"/>
          <w:sz w:val="22"/>
        </w:rPr>
        <w:t> </w:t>
      </w:r>
      <w:r>
        <w:rPr>
          <w:sz w:val="22"/>
        </w:rPr>
        <w:t>of</w:t>
      </w:r>
      <w:r>
        <w:rPr>
          <w:spacing w:val="-2"/>
          <w:sz w:val="22"/>
        </w:rPr>
        <w:t> </w:t>
      </w:r>
      <w:r>
        <w:rPr>
          <w:sz w:val="22"/>
        </w:rPr>
        <w:t>electrical</w:t>
      </w:r>
      <w:r>
        <w:rPr>
          <w:spacing w:val="-5"/>
          <w:sz w:val="22"/>
        </w:rPr>
        <w:t> </w:t>
      </w:r>
      <w:r>
        <w:rPr>
          <w:sz w:val="22"/>
        </w:rPr>
        <w:t>worker</w:t>
      </w:r>
      <w:r>
        <w:rPr>
          <w:spacing w:val="-5"/>
          <w:sz w:val="22"/>
        </w:rPr>
        <w:t> </w:t>
      </w:r>
      <w:r>
        <w:rPr>
          <w:sz w:val="22"/>
        </w:rPr>
        <w:t>licensing,</w:t>
      </w:r>
      <w:r>
        <w:rPr>
          <w:spacing w:val="-5"/>
          <w:sz w:val="22"/>
        </w:rPr>
        <w:t> </w:t>
      </w:r>
      <w:r>
        <w:rPr>
          <w:sz w:val="22"/>
        </w:rPr>
        <w:t>and</w:t>
      </w:r>
      <w:r>
        <w:rPr>
          <w:spacing w:val="-7"/>
          <w:sz w:val="22"/>
        </w:rPr>
        <w:t> </w:t>
      </w:r>
      <w:r>
        <w:rPr>
          <w:sz w:val="22"/>
        </w:rPr>
        <w:t>compliance</w:t>
      </w:r>
      <w:r>
        <w:rPr>
          <w:spacing w:val="-4"/>
          <w:sz w:val="22"/>
        </w:rPr>
        <w:t> </w:t>
      </w:r>
      <w:r>
        <w:rPr>
          <w:sz w:val="22"/>
        </w:rPr>
        <w:t>of</w:t>
      </w:r>
      <w:r>
        <w:rPr>
          <w:spacing w:val="-2"/>
          <w:sz w:val="22"/>
        </w:rPr>
        <w:t> </w:t>
      </w:r>
      <w:r>
        <w:rPr>
          <w:sz w:val="22"/>
        </w:rPr>
        <w:t>the</w:t>
      </w:r>
      <w:r>
        <w:rPr>
          <w:spacing w:val="-6"/>
          <w:sz w:val="22"/>
        </w:rPr>
        <w:t> </w:t>
      </w:r>
      <w:r>
        <w:rPr>
          <w:sz w:val="22"/>
        </w:rPr>
        <w:t>electrical</w:t>
      </w:r>
      <w:r>
        <w:rPr>
          <w:spacing w:val="-5"/>
          <w:sz w:val="22"/>
        </w:rPr>
        <w:t> </w:t>
      </w:r>
      <w:r>
        <w:rPr>
          <w:sz w:val="22"/>
        </w:rPr>
        <w:t>installation safety certification scheme (COES).</w:t>
      </w:r>
    </w:p>
    <w:p>
      <w:pPr>
        <w:pStyle w:val="BodyText"/>
        <w:spacing w:before="2"/>
      </w:pPr>
    </w:p>
    <w:p>
      <w:pPr>
        <w:pStyle w:val="ListParagraph"/>
        <w:numPr>
          <w:ilvl w:val="0"/>
          <w:numId w:val="30"/>
        </w:numPr>
        <w:tabs>
          <w:tab w:pos="1102" w:val="left" w:leader="none"/>
        </w:tabs>
        <w:spacing w:line="288" w:lineRule="auto" w:before="0" w:after="0"/>
        <w:ind w:left="1102" w:right="679" w:hanging="360"/>
        <w:jc w:val="left"/>
        <w:rPr>
          <w:sz w:val="22"/>
        </w:rPr>
      </w:pPr>
      <w:r>
        <w:rPr>
          <w:b/>
          <w:sz w:val="22"/>
        </w:rPr>
        <w:t>Risk, Regulatory Planning and Policy </w:t>
      </w:r>
      <w:r>
        <w:rPr>
          <w:sz w:val="22"/>
        </w:rPr>
        <w:t>– Provides legal support for ESV’s activities, and</w:t>
      </w:r>
      <w:r>
        <w:rPr>
          <w:spacing w:val="-3"/>
          <w:sz w:val="22"/>
        </w:rPr>
        <w:t> </w:t>
      </w:r>
      <w:r>
        <w:rPr>
          <w:sz w:val="22"/>
        </w:rPr>
        <w:t>oversees</w:t>
      </w:r>
      <w:r>
        <w:rPr>
          <w:spacing w:val="-5"/>
          <w:sz w:val="22"/>
        </w:rPr>
        <w:t> </w:t>
      </w:r>
      <w:r>
        <w:rPr>
          <w:sz w:val="22"/>
        </w:rPr>
        <w:t>the</w:t>
      </w:r>
      <w:r>
        <w:rPr>
          <w:spacing w:val="-3"/>
          <w:sz w:val="22"/>
        </w:rPr>
        <w:t> </w:t>
      </w:r>
      <w:r>
        <w:rPr>
          <w:sz w:val="22"/>
        </w:rPr>
        <w:t>organisational</w:t>
      </w:r>
      <w:r>
        <w:rPr>
          <w:spacing w:val="-3"/>
          <w:sz w:val="22"/>
        </w:rPr>
        <w:t> </w:t>
      </w:r>
      <w:r>
        <w:rPr>
          <w:sz w:val="22"/>
        </w:rPr>
        <w:t>risk,</w:t>
      </w:r>
      <w:r>
        <w:rPr>
          <w:spacing w:val="-1"/>
          <w:sz w:val="22"/>
        </w:rPr>
        <w:t> </w:t>
      </w:r>
      <w:r>
        <w:rPr>
          <w:sz w:val="22"/>
        </w:rPr>
        <w:t>planning,</w:t>
      </w:r>
      <w:r>
        <w:rPr>
          <w:spacing w:val="-4"/>
          <w:sz w:val="22"/>
        </w:rPr>
        <w:t> </w:t>
      </w:r>
      <w:r>
        <w:rPr>
          <w:sz w:val="22"/>
        </w:rPr>
        <w:t>regulatory</w:t>
      </w:r>
      <w:r>
        <w:rPr>
          <w:spacing w:val="-5"/>
          <w:sz w:val="22"/>
        </w:rPr>
        <w:t> </w:t>
      </w:r>
      <w:r>
        <w:rPr>
          <w:sz w:val="22"/>
        </w:rPr>
        <w:t>practice</w:t>
      </w:r>
      <w:r>
        <w:rPr>
          <w:spacing w:val="-3"/>
          <w:sz w:val="22"/>
        </w:rPr>
        <w:t> </w:t>
      </w:r>
      <w:r>
        <w:rPr>
          <w:sz w:val="22"/>
        </w:rPr>
        <w:t>and</w:t>
      </w:r>
      <w:r>
        <w:rPr>
          <w:spacing w:val="-5"/>
          <w:sz w:val="22"/>
        </w:rPr>
        <w:t> </w:t>
      </w:r>
      <w:r>
        <w:rPr>
          <w:sz w:val="22"/>
        </w:rPr>
        <w:t>policy</w:t>
      </w:r>
      <w:r>
        <w:rPr>
          <w:spacing w:val="-5"/>
          <w:sz w:val="22"/>
        </w:rPr>
        <w:t> </w:t>
      </w:r>
      <w:r>
        <w:rPr>
          <w:sz w:val="22"/>
        </w:rPr>
        <w:t>functions.</w:t>
      </w:r>
    </w:p>
    <w:p>
      <w:pPr>
        <w:pStyle w:val="BodyText"/>
        <w:spacing w:before="2"/>
      </w:pPr>
    </w:p>
    <w:p>
      <w:pPr>
        <w:pStyle w:val="ListParagraph"/>
        <w:numPr>
          <w:ilvl w:val="0"/>
          <w:numId w:val="30"/>
        </w:numPr>
        <w:tabs>
          <w:tab w:pos="1102" w:val="left" w:leader="none"/>
        </w:tabs>
        <w:spacing w:line="288" w:lineRule="auto" w:before="0" w:after="0"/>
        <w:ind w:left="1102" w:right="777" w:hanging="360"/>
        <w:jc w:val="left"/>
        <w:rPr>
          <w:sz w:val="22"/>
        </w:rPr>
      </w:pPr>
      <w:r>
        <w:rPr>
          <w:b/>
          <w:sz w:val="22"/>
        </w:rPr>
        <w:t>Corporate</w:t>
      </w:r>
      <w:r>
        <w:rPr>
          <w:b/>
          <w:spacing w:val="-3"/>
          <w:sz w:val="22"/>
        </w:rPr>
        <w:t> </w:t>
      </w:r>
      <w:r>
        <w:rPr>
          <w:b/>
          <w:sz w:val="22"/>
        </w:rPr>
        <w:t>Services</w:t>
      </w:r>
      <w:r>
        <w:rPr>
          <w:b/>
          <w:spacing w:val="-2"/>
          <w:sz w:val="22"/>
        </w:rPr>
        <w:t> </w:t>
      </w:r>
      <w:r>
        <w:rPr>
          <w:sz w:val="22"/>
        </w:rPr>
        <w:t>–</w:t>
      </w:r>
      <w:r>
        <w:rPr>
          <w:spacing w:val="-3"/>
          <w:sz w:val="22"/>
        </w:rPr>
        <w:t> </w:t>
      </w:r>
      <w:r>
        <w:rPr>
          <w:sz w:val="22"/>
        </w:rPr>
        <w:t>Provides</w:t>
      </w:r>
      <w:r>
        <w:rPr>
          <w:spacing w:val="-5"/>
          <w:sz w:val="22"/>
        </w:rPr>
        <w:t> </w:t>
      </w:r>
      <w:r>
        <w:rPr>
          <w:sz w:val="22"/>
        </w:rPr>
        <w:t>fundamental</w:t>
      </w:r>
      <w:r>
        <w:rPr>
          <w:spacing w:val="-4"/>
          <w:sz w:val="22"/>
        </w:rPr>
        <w:t> </w:t>
      </w:r>
      <w:r>
        <w:rPr>
          <w:sz w:val="22"/>
        </w:rPr>
        <w:t>support</w:t>
      </w:r>
      <w:r>
        <w:rPr>
          <w:spacing w:val="-4"/>
          <w:sz w:val="22"/>
        </w:rPr>
        <w:t> </w:t>
      </w:r>
      <w:r>
        <w:rPr>
          <w:sz w:val="22"/>
        </w:rPr>
        <w:t>services</w:t>
      </w:r>
      <w:r>
        <w:rPr>
          <w:spacing w:val="-3"/>
          <w:sz w:val="22"/>
        </w:rPr>
        <w:t> </w:t>
      </w:r>
      <w:r>
        <w:rPr>
          <w:sz w:val="22"/>
        </w:rPr>
        <w:t>to</w:t>
      </w:r>
      <w:r>
        <w:rPr>
          <w:spacing w:val="-5"/>
          <w:sz w:val="22"/>
        </w:rPr>
        <w:t> </w:t>
      </w:r>
      <w:r>
        <w:rPr>
          <w:sz w:val="22"/>
        </w:rPr>
        <w:t>the</w:t>
      </w:r>
      <w:r>
        <w:rPr>
          <w:spacing w:val="-3"/>
          <w:sz w:val="22"/>
        </w:rPr>
        <w:t> </w:t>
      </w:r>
      <w:r>
        <w:rPr>
          <w:sz w:val="22"/>
        </w:rPr>
        <w:t>operational</w:t>
      </w:r>
      <w:r>
        <w:rPr>
          <w:spacing w:val="-3"/>
          <w:sz w:val="22"/>
        </w:rPr>
        <w:t> </w:t>
      </w:r>
      <w:r>
        <w:rPr>
          <w:sz w:val="22"/>
        </w:rPr>
        <w:t>arms of the business including finance, strategy, information services, people services, occupational health and safety (OH&amp;S) and communications.</w:t>
      </w:r>
    </w:p>
    <w:p>
      <w:pPr>
        <w:pStyle w:val="BodyText"/>
        <w:spacing w:before="3"/>
        <w:rPr>
          <w:sz w:val="31"/>
        </w:rPr>
      </w:pPr>
    </w:p>
    <w:p>
      <w:pPr>
        <w:spacing w:before="0"/>
        <w:ind w:left="600" w:right="0" w:firstLine="0"/>
        <w:jc w:val="left"/>
        <w:rPr>
          <w:b/>
          <w:sz w:val="22"/>
        </w:rPr>
      </w:pPr>
      <w:r>
        <w:rPr>
          <w:b/>
          <w:sz w:val="22"/>
        </w:rPr>
        <w:t>Figure</w:t>
      </w:r>
      <w:r>
        <w:rPr>
          <w:b/>
          <w:spacing w:val="-5"/>
          <w:sz w:val="22"/>
        </w:rPr>
        <w:t> </w:t>
      </w:r>
      <w:r>
        <w:rPr>
          <w:b/>
          <w:sz w:val="22"/>
        </w:rPr>
        <w:t>10:</w:t>
      </w:r>
      <w:r>
        <w:rPr>
          <w:b/>
          <w:spacing w:val="-4"/>
          <w:sz w:val="22"/>
        </w:rPr>
        <w:t> </w:t>
      </w:r>
      <w:r>
        <w:rPr>
          <w:b/>
          <w:sz w:val="22"/>
        </w:rPr>
        <w:t>ESV</w:t>
      </w:r>
      <w:r>
        <w:rPr>
          <w:b/>
          <w:spacing w:val="-8"/>
          <w:sz w:val="22"/>
        </w:rPr>
        <w:t> </w:t>
      </w:r>
      <w:r>
        <w:rPr>
          <w:b/>
          <w:sz w:val="22"/>
        </w:rPr>
        <w:t>current</w:t>
      </w:r>
      <w:r>
        <w:rPr>
          <w:b/>
          <w:spacing w:val="-6"/>
          <w:sz w:val="22"/>
        </w:rPr>
        <w:t> </w:t>
      </w:r>
      <w:r>
        <w:rPr>
          <w:b/>
          <w:sz w:val="22"/>
        </w:rPr>
        <w:t>organisational</w:t>
      </w:r>
      <w:r>
        <w:rPr>
          <w:b/>
          <w:spacing w:val="-5"/>
          <w:sz w:val="22"/>
        </w:rPr>
        <w:t> </w:t>
      </w:r>
      <w:r>
        <w:rPr>
          <w:b/>
          <w:spacing w:val="-4"/>
          <w:sz w:val="22"/>
        </w:rPr>
        <w:t>chart</w:t>
      </w:r>
    </w:p>
    <w:p>
      <w:pPr>
        <w:pStyle w:val="BodyText"/>
        <w:spacing w:before="10"/>
        <w:rPr>
          <w:b/>
          <w:sz w:val="25"/>
        </w:rPr>
      </w:pPr>
      <w:r>
        <w:rPr/>
        <w:drawing>
          <wp:anchor distT="0" distB="0" distL="0" distR="0" allowOverlap="1" layoutInCell="1" locked="0" behindDoc="1" simplePos="0" relativeHeight="487611392">
            <wp:simplePos x="0" y="0"/>
            <wp:positionH relativeFrom="page">
              <wp:posOffset>914400</wp:posOffset>
            </wp:positionH>
            <wp:positionV relativeFrom="paragraph">
              <wp:posOffset>204441</wp:posOffset>
            </wp:positionV>
            <wp:extent cx="5818558" cy="1303020"/>
            <wp:effectExtent l="0" t="0" r="0" b="0"/>
            <wp:wrapTopAndBottom/>
            <wp:docPr id="101" name="Image 101" descr="C:\Users\rb2f\AppData\Local\Microsoft\Windows\Temporary Internet Files\Content.Word\Fig10.ESVOrgChart.jpg"/>
            <wp:cNvGraphicFramePr>
              <a:graphicFrameLocks/>
            </wp:cNvGraphicFramePr>
            <a:graphic>
              <a:graphicData uri="http://schemas.openxmlformats.org/drawingml/2006/picture">
                <pic:pic>
                  <pic:nvPicPr>
                    <pic:cNvPr id="101" name="Image 101" descr="C:\Users\rb2f\AppData\Local\Microsoft\Windows\Temporary Internet Files\Content.Word\Fig10.ESVOrgChart.jpg"/>
                    <pic:cNvPicPr/>
                  </pic:nvPicPr>
                  <pic:blipFill>
                    <a:blip r:embed="rId68" cstate="print"/>
                    <a:stretch>
                      <a:fillRect/>
                    </a:stretch>
                  </pic:blipFill>
                  <pic:spPr>
                    <a:xfrm>
                      <a:off x="0" y="0"/>
                      <a:ext cx="5818558" cy="1303020"/>
                    </a:xfrm>
                    <a:prstGeom prst="rect">
                      <a:avLst/>
                    </a:prstGeom>
                  </pic:spPr>
                </pic:pic>
              </a:graphicData>
            </a:graphic>
          </wp:anchor>
        </w:drawing>
      </w:r>
    </w:p>
    <w:p>
      <w:pPr>
        <w:pStyle w:val="BodyText"/>
        <w:rPr>
          <w:b/>
          <w:sz w:val="24"/>
        </w:rPr>
      </w:pPr>
    </w:p>
    <w:p>
      <w:pPr>
        <w:pStyle w:val="Heading4"/>
        <w:spacing w:before="159"/>
        <w:ind w:left="600"/>
      </w:pPr>
      <w:r>
        <w:rPr>
          <w:color w:val="585858"/>
        </w:rPr>
        <w:t>Establishing</w:t>
      </w:r>
      <w:r>
        <w:rPr>
          <w:color w:val="585858"/>
          <w:spacing w:val="-9"/>
        </w:rPr>
        <w:t> </w:t>
      </w:r>
      <w:r>
        <w:rPr>
          <w:color w:val="585858"/>
        </w:rPr>
        <w:t>ESV</w:t>
      </w:r>
      <w:r>
        <w:rPr>
          <w:color w:val="585858"/>
          <w:spacing w:val="-9"/>
        </w:rPr>
        <w:t> </w:t>
      </w:r>
      <w:r>
        <w:rPr>
          <w:color w:val="585858"/>
        </w:rPr>
        <w:t>as</w:t>
      </w:r>
      <w:r>
        <w:rPr>
          <w:color w:val="585858"/>
          <w:spacing w:val="-8"/>
        </w:rPr>
        <w:t> </w:t>
      </w:r>
      <w:r>
        <w:rPr>
          <w:color w:val="585858"/>
        </w:rPr>
        <w:t>a</w:t>
      </w:r>
      <w:r>
        <w:rPr>
          <w:color w:val="585858"/>
          <w:spacing w:val="-8"/>
        </w:rPr>
        <w:t> </w:t>
      </w:r>
      <w:r>
        <w:rPr>
          <w:color w:val="585858"/>
          <w:spacing w:val="-2"/>
        </w:rPr>
        <w:t>commission</w:t>
      </w:r>
    </w:p>
    <w:p>
      <w:pPr>
        <w:pStyle w:val="BodyText"/>
        <w:spacing w:before="314"/>
        <w:ind w:left="600"/>
      </w:pPr>
      <w:r>
        <w:rPr/>
        <w:t>The</w:t>
      </w:r>
      <w:r>
        <w:rPr>
          <w:spacing w:val="-8"/>
        </w:rPr>
        <w:t> </w:t>
      </w:r>
      <w:r>
        <w:rPr/>
        <w:t>Review</w:t>
      </w:r>
      <w:r>
        <w:rPr>
          <w:spacing w:val="-7"/>
        </w:rPr>
        <w:t> </w:t>
      </w:r>
      <w:r>
        <w:rPr/>
        <w:t>proposes</w:t>
      </w:r>
      <w:r>
        <w:rPr>
          <w:spacing w:val="-3"/>
        </w:rPr>
        <w:t> </w:t>
      </w:r>
      <w:r>
        <w:rPr/>
        <w:t>that</w:t>
      </w:r>
      <w:r>
        <w:rPr>
          <w:spacing w:val="-4"/>
        </w:rPr>
        <w:t> </w:t>
      </w:r>
      <w:r>
        <w:rPr/>
        <w:t>ESV</w:t>
      </w:r>
      <w:r>
        <w:rPr>
          <w:spacing w:val="-4"/>
        </w:rPr>
        <w:t> </w:t>
      </w:r>
      <w:r>
        <w:rPr/>
        <w:t>be</w:t>
      </w:r>
      <w:r>
        <w:rPr>
          <w:spacing w:val="-6"/>
        </w:rPr>
        <w:t> </w:t>
      </w:r>
      <w:r>
        <w:rPr/>
        <w:t>reconstituted</w:t>
      </w:r>
      <w:r>
        <w:rPr>
          <w:spacing w:val="-5"/>
        </w:rPr>
        <w:t> </w:t>
      </w:r>
      <w:r>
        <w:rPr/>
        <w:t>as</w:t>
      </w:r>
      <w:r>
        <w:rPr>
          <w:spacing w:val="-5"/>
        </w:rPr>
        <w:t> </w:t>
      </w:r>
      <w:r>
        <w:rPr/>
        <w:t>a</w:t>
      </w:r>
      <w:r>
        <w:rPr>
          <w:spacing w:val="-4"/>
        </w:rPr>
        <w:t> </w:t>
      </w:r>
      <w:r>
        <w:rPr/>
        <w:t>multi-member</w:t>
      </w:r>
      <w:r>
        <w:rPr>
          <w:spacing w:val="-5"/>
        </w:rPr>
        <w:t> </w:t>
      </w:r>
      <w:r>
        <w:rPr>
          <w:spacing w:val="-2"/>
        </w:rPr>
        <w:t>commission.</w:t>
      </w:r>
    </w:p>
    <w:p>
      <w:pPr>
        <w:pStyle w:val="BodyText"/>
        <w:spacing w:before="2"/>
        <w:rPr>
          <w:sz w:val="25"/>
        </w:rPr>
      </w:pPr>
    </w:p>
    <w:p>
      <w:pPr>
        <w:pStyle w:val="BodyText"/>
        <w:spacing w:line="288" w:lineRule="auto"/>
        <w:ind w:left="600" w:right="311"/>
      </w:pPr>
      <w:r>
        <w:rPr/>
        <w:t>The current single-member model, which sees the Director of Energy Safety having sole accountability</w:t>
      </w:r>
      <w:r>
        <w:rPr>
          <w:spacing w:val="-6"/>
        </w:rPr>
        <w:t> </w:t>
      </w:r>
      <w:r>
        <w:rPr/>
        <w:t>for</w:t>
      </w:r>
      <w:r>
        <w:rPr>
          <w:spacing w:val="-3"/>
        </w:rPr>
        <w:t> </w:t>
      </w:r>
      <w:r>
        <w:rPr/>
        <w:t>regulatory</w:t>
      </w:r>
      <w:r>
        <w:rPr>
          <w:spacing w:val="-3"/>
        </w:rPr>
        <w:t> </w:t>
      </w:r>
      <w:r>
        <w:rPr/>
        <w:t>decision</w:t>
      </w:r>
      <w:r>
        <w:rPr>
          <w:spacing w:val="-2"/>
        </w:rPr>
        <w:t> </w:t>
      </w:r>
      <w:r>
        <w:rPr/>
        <w:t>making,</w:t>
      </w:r>
      <w:r>
        <w:rPr>
          <w:spacing w:val="-3"/>
        </w:rPr>
        <w:t> </w:t>
      </w:r>
      <w:r>
        <w:rPr/>
        <w:t>has</w:t>
      </w:r>
      <w:r>
        <w:rPr>
          <w:spacing w:val="-4"/>
        </w:rPr>
        <w:t> </w:t>
      </w:r>
      <w:r>
        <w:rPr/>
        <w:t>some</w:t>
      </w:r>
      <w:r>
        <w:rPr>
          <w:spacing w:val="-4"/>
        </w:rPr>
        <w:t> </w:t>
      </w:r>
      <w:r>
        <w:rPr/>
        <w:t>strengths</w:t>
      </w:r>
      <w:r>
        <w:rPr>
          <w:spacing w:val="-1"/>
        </w:rPr>
        <w:t> </w:t>
      </w:r>
      <w:r>
        <w:rPr/>
        <w:t>–</w:t>
      </w:r>
      <w:r>
        <w:rPr>
          <w:spacing w:val="-4"/>
        </w:rPr>
        <w:t> </w:t>
      </w:r>
      <w:r>
        <w:rPr/>
        <w:t>it</w:t>
      </w:r>
      <w:r>
        <w:rPr>
          <w:spacing w:val="-3"/>
        </w:rPr>
        <w:t> </w:t>
      </w:r>
      <w:r>
        <w:rPr/>
        <w:t>is</w:t>
      </w:r>
      <w:r>
        <w:rPr>
          <w:spacing w:val="-1"/>
        </w:rPr>
        <w:t> </w:t>
      </w:r>
      <w:r>
        <w:rPr/>
        <w:t>simple,</w:t>
      </w:r>
      <w:r>
        <w:rPr>
          <w:spacing w:val="-1"/>
        </w:rPr>
        <w:t> </w:t>
      </w:r>
      <w:r>
        <w:rPr/>
        <w:t>individual accountability is clear (it is the Director who ‘carries the can’) and it avoids the additional overheads that are inherent in collective decision making structures.</w:t>
      </w:r>
    </w:p>
    <w:p>
      <w:pPr>
        <w:pStyle w:val="BodyText"/>
        <w:spacing w:before="10"/>
        <w:rPr>
          <w:sz w:val="20"/>
        </w:rPr>
      </w:pPr>
    </w:p>
    <w:p>
      <w:pPr>
        <w:pStyle w:val="BodyText"/>
        <w:ind w:left="600"/>
      </w:pPr>
      <w:r>
        <w:rPr/>
        <w:t>However,</w:t>
      </w:r>
      <w:r>
        <w:rPr>
          <w:spacing w:val="-4"/>
        </w:rPr>
        <w:t> </w:t>
      </w:r>
      <w:r>
        <w:rPr/>
        <w:t>the</w:t>
      </w:r>
      <w:r>
        <w:rPr>
          <w:spacing w:val="-8"/>
        </w:rPr>
        <w:t> </w:t>
      </w:r>
      <w:r>
        <w:rPr/>
        <w:t>single-member</w:t>
      </w:r>
      <w:r>
        <w:rPr>
          <w:spacing w:val="-6"/>
        </w:rPr>
        <w:t> </w:t>
      </w:r>
      <w:r>
        <w:rPr/>
        <w:t>structure</w:t>
      </w:r>
      <w:r>
        <w:rPr>
          <w:spacing w:val="-8"/>
        </w:rPr>
        <w:t> </w:t>
      </w:r>
      <w:r>
        <w:rPr/>
        <w:t>also</w:t>
      </w:r>
      <w:r>
        <w:rPr>
          <w:spacing w:val="-5"/>
        </w:rPr>
        <w:t> </w:t>
      </w:r>
      <w:r>
        <w:rPr/>
        <w:t>has</w:t>
      </w:r>
      <w:r>
        <w:rPr>
          <w:spacing w:val="-9"/>
        </w:rPr>
        <w:t> </w:t>
      </w:r>
      <w:r>
        <w:rPr/>
        <w:t>several</w:t>
      </w:r>
      <w:r>
        <w:rPr>
          <w:spacing w:val="-6"/>
        </w:rPr>
        <w:t> </w:t>
      </w:r>
      <w:r>
        <w:rPr/>
        <w:t>potential</w:t>
      </w:r>
      <w:r>
        <w:rPr>
          <w:spacing w:val="-5"/>
        </w:rPr>
        <w:t> </w:t>
      </w:r>
      <w:r>
        <w:rPr>
          <w:spacing w:val="-2"/>
        </w:rPr>
        <w:t>weaknesses:</w:t>
      </w:r>
    </w:p>
    <w:p>
      <w:pPr>
        <w:pStyle w:val="BodyText"/>
        <w:spacing w:before="10"/>
        <w:rPr>
          <w:sz w:val="26"/>
        </w:rPr>
      </w:pPr>
    </w:p>
    <w:p>
      <w:pPr>
        <w:pStyle w:val="ListParagraph"/>
        <w:numPr>
          <w:ilvl w:val="0"/>
          <w:numId w:val="30"/>
        </w:numPr>
        <w:tabs>
          <w:tab w:pos="1102" w:val="left" w:leader="none"/>
        </w:tabs>
        <w:spacing w:line="285" w:lineRule="auto" w:before="0" w:after="0"/>
        <w:ind w:left="1102" w:right="652" w:hanging="360"/>
        <w:jc w:val="left"/>
        <w:rPr>
          <w:sz w:val="22"/>
        </w:rPr>
      </w:pPr>
      <w:r>
        <w:rPr>
          <w:sz w:val="22"/>
        </w:rPr>
        <w:t>it</w:t>
      </w:r>
      <w:r>
        <w:rPr>
          <w:spacing w:val="-1"/>
          <w:sz w:val="22"/>
        </w:rPr>
        <w:t> </w:t>
      </w:r>
      <w:r>
        <w:rPr>
          <w:sz w:val="22"/>
        </w:rPr>
        <w:t>does</w:t>
      </w:r>
      <w:r>
        <w:rPr>
          <w:spacing w:val="-3"/>
          <w:sz w:val="22"/>
        </w:rPr>
        <w:t> </w:t>
      </w:r>
      <w:r>
        <w:rPr>
          <w:sz w:val="22"/>
        </w:rPr>
        <w:t>not</w:t>
      </w:r>
      <w:r>
        <w:rPr>
          <w:spacing w:val="-4"/>
          <w:sz w:val="22"/>
        </w:rPr>
        <w:t> </w:t>
      </w:r>
      <w:r>
        <w:rPr>
          <w:sz w:val="22"/>
        </w:rPr>
        <w:t>provide</w:t>
      </w:r>
      <w:r>
        <w:rPr>
          <w:spacing w:val="-3"/>
          <w:sz w:val="22"/>
        </w:rPr>
        <w:t> </w:t>
      </w:r>
      <w:r>
        <w:rPr>
          <w:sz w:val="22"/>
        </w:rPr>
        <w:t>the</w:t>
      </w:r>
      <w:r>
        <w:rPr>
          <w:spacing w:val="-3"/>
          <w:sz w:val="22"/>
        </w:rPr>
        <w:t> </w:t>
      </w:r>
      <w:r>
        <w:rPr>
          <w:sz w:val="22"/>
        </w:rPr>
        <w:t>broader</w:t>
      </w:r>
      <w:r>
        <w:rPr>
          <w:spacing w:val="-2"/>
          <w:sz w:val="22"/>
        </w:rPr>
        <w:t> </w:t>
      </w:r>
      <w:r>
        <w:rPr>
          <w:sz w:val="22"/>
        </w:rPr>
        <w:t>perspectives</w:t>
      </w:r>
      <w:r>
        <w:rPr>
          <w:spacing w:val="-3"/>
          <w:sz w:val="22"/>
        </w:rPr>
        <w:t> </w:t>
      </w:r>
      <w:r>
        <w:rPr>
          <w:sz w:val="22"/>
        </w:rPr>
        <w:t>and</w:t>
      </w:r>
      <w:r>
        <w:rPr>
          <w:spacing w:val="-6"/>
          <w:sz w:val="22"/>
        </w:rPr>
        <w:t> </w:t>
      </w:r>
      <w:r>
        <w:rPr>
          <w:sz w:val="22"/>
        </w:rPr>
        <w:t>experience</w:t>
      </w:r>
      <w:r>
        <w:rPr>
          <w:spacing w:val="-3"/>
          <w:sz w:val="22"/>
        </w:rPr>
        <w:t> </w:t>
      </w:r>
      <w:r>
        <w:rPr>
          <w:sz w:val="22"/>
        </w:rPr>
        <w:t>that</w:t>
      </w:r>
      <w:r>
        <w:rPr>
          <w:spacing w:val="-4"/>
          <w:sz w:val="22"/>
        </w:rPr>
        <w:t> </w:t>
      </w:r>
      <w:r>
        <w:rPr>
          <w:sz w:val="22"/>
        </w:rPr>
        <w:t>a</w:t>
      </w:r>
      <w:r>
        <w:rPr>
          <w:spacing w:val="-5"/>
          <w:sz w:val="22"/>
        </w:rPr>
        <w:t> </w:t>
      </w:r>
      <w:r>
        <w:rPr>
          <w:sz w:val="22"/>
        </w:rPr>
        <w:t>multi-member</w:t>
      </w:r>
      <w:r>
        <w:rPr>
          <w:spacing w:val="-4"/>
          <w:sz w:val="22"/>
        </w:rPr>
        <w:t> </w:t>
      </w:r>
      <w:r>
        <w:rPr>
          <w:sz w:val="22"/>
        </w:rPr>
        <w:t>group can bring to difficult regulatory decision making;</w:t>
      </w:r>
    </w:p>
    <w:p>
      <w:pPr>
        <w:pStyle w:val="BodyText"/>
        <w:spacing w:before="7"/>
      </w:pPr>
    </w:p>
    <w:p>
      <w:pPr>
        <w:pStyle w:val="ListParagraph"/>
        <w:numPr>
          <w:ilvl w:val="0"/>
          <w:numId w:val="30"/>
        </w:numPr>
        <w:tabs>
          <w:tab w:pos="1101" w:val="left" w:leader="none"/>
        </w:tabs>
        <w:spacing w:line="240" w:lineRule="auto" w:before="0" w:after="0"/>
        <w:ind w:left="1101" w:right="0" w:hanging="359"/>
        <w:jc w:val="left"/>
        <w:rPr>
          <w:sz w:val="22"/>
        </w:rPr>
      </w:pPr>
      <w:r>
        <w:rPr>
          <w:sz w:val="22"/>
        </w:rPr>
        <w:t>it</w:t>
      </w:r>
      <w:r>
        <w:rPr>
          <w:spacing w:val="-4"/>
          <w:sz w:val="22"/>
        </w:rPr>
        <w:t> </w:t>
      </w:r>
      <w:r>
        <w:rPr>
          <w:sz w:val="22"/>
        </w:rPr>
        <w:t>can</w:t>
      </w:r>
      <w:r>
        <w:rPr>
          <w:spacing w:val="-5"/>
          <w:sz w:val="22"/>
        </w:rPr>
        <w:t> </w:t>
      </w:r>
      <w:r>
        <w:rPr>
          <w:sz w:val="22"/>
        </w:rPr>
        <w:t>leave</w:t>
      </w:r>
      <w:r>
        <w:rPr>
          <w:spacing w:val="-5"/>
          <w:sz w:val="22"/>
        </w:rPr>
        <w:t> </w:t>
      </w:r>
      <w:r>
        <w:rPr>
          <w:sz w:val="22"/>
        </w:rPr>
        <w:t>the</w:t>
      </w:r>
      <w:r>
        <w:rPr>
          <w:spacing w:val="-7"/>
          <w:sz w:val="22"/>
        </w:rPr>
        <w:t> </w:t>
      </w:r>
      <w:r>
        <w:rPr>
          <w:sz w:val="22"/>
        </w:rPr>
        <w:t>regulator</w:t>
      </w:r>
      <w:r>
        <w:rPr>
          <w:spacing w:val="-6"/>
          <w:sz w:val="22"/>
        </w:rPr>
        <w:t> </w:t>
      </w:r>
      <w:r>
        <w:rPr>
          <w:sz w:val="22"/>
        </w:rPr>
        <w:t>more</w:t>
      </w:r>
      <w:r>
        <w:rPr>
          <w:spacing w:val="-5"/>
          <w:sz w:val="22"/>
        </w:rPr>
        <w:t> </w:t>
      </w:r>
      <w:r>
        <w:rPr>
          <w:sz w:val="22"/>
        </w:rPr>
        <w:t>exposed</w:t>
      </w:r>
      <w:r>
        <w:rPr>
          <w:spacing w:val="-7"/>
          <w:sz w:val="22"/>
        </w:rPr>
        <w:t> </w:t>
      </w:r>
      <w:r>
        <w:rPr>
          <w:sz w:val="22"/>
        </w:rPr>
        <w:t>to</w:t>
      </w:r>
      <w:r>
        <w:rPr>
          <w:spacing w:val="-6"/>
          <w:sz w:val="22"/>
        </w:rPr>
        <w:t> </w:t>
      </w:r>
      <w:r>
        <w:rPr>
          <w:sz w:val="22"/>
        </w:rPr>
        <w:t>allegations</w:t>
      </w:r>
      <w:r>
        <w:rPr>
          <w:spacing w:val="-4"/>
          <w:sz w:val="22"/>
        </w:rPr>
        <w:t> </w:t>
      </w:r>
      <w:r>
        <w:rPr>
          <w:sz w:val="22"/>
        </w:rPr>
        <w:t>of</w:t>
      </w:r>
      <w:r>
        <w:rPr>
          <w:spacing w:val="-3"/>
          <w:sz w:val="22"/>
        </w:rPr>
        <w:t> </w:t>
      </w:r>
      <w:r>
        <w:rPr>
          <w:sz w:val="22"/>
        </w:rPr>
        <w:t>regulatory</w:t>
      </w:r>
      <w:r>
        <w:rPr>
          <w:spacing w:val="-7"/>
          <w:sz w:val="22"/>
        </w:rPr>
        <w:t> </w:t>
      </w:r>
      <w:r>
        <w:rPr>
          <w:sz w:val="22"/>
        </w:rPr>
        <w:t>capture;</w:t>
      </w:r>
      <w:r>
        <w:rPr>
          <w:spacing w:val="-4"/>
          <w:sz w:val="22"/>
        </w:rPr>
        <w:t> </w:t>
      </w:r>
      <w:r>
        <w:rPr>
          <w:spacing w:val="-5"/>
          <w:sz w:val="22"/>
        </w:rPr>
        <w:t>and</w:t>
      </w:r>
    </w:p>
    <w:p>
      <w:pPr>
        <w:pStyle w:val="BodyText"/>
        <w:spacing w:before="7"/>
        <w:rPr>
          <w:sz w:val="26"/>
        </w:rPr>
      </w:pPr>
    </w:p>
    <w:p>
      <w:pPr>
        <w:pStyle w:val="ListParagraph"/>
        <w:numPr>
          <w:ilvl w:val="0"/>
          <w:numId w:val="30"/>
        </w:numPr>
        <w:tabs>
          <w:tab w:pos="1102" w:val="left" w:leader="none"/>
        </w:tabs>
        <w:spacing w:line="285" w:lineRule="auto" w:before="0" w:after="0"/>
        <w:ind w:left="1102" w:right="743" w:hanging="360"/>
        <w:jc w:val="left"/>
        <w:rPr>
          <w:sz w:val="22"/>
        </w:rPr>
      </w:pPr>
      <w:r>
        <w:rPr>
          <w:sz w:val="22"/>
        </w:rPr>
        <w:t>it</w:t>
      </w:r>
      <w:r>
        <w:rPr>
          <w:spacing w:val="-1"/>
          <w:sz w:val="22"/>
        </w:rPr>
        <w:t> </w:t>
      </w:r>
      <w:r>
        <w:rPr>
          <w:sz w:val="22"/>
        </w:rPr>
        <w:t>increases</w:t>
      </w:r>
      <w:r>
        <w:rPr>
          <w:spacing w:val="-5"/>
          <w:sz w:val="22"/>
        </w:rPr>
        <w:t> </w:t>
      </w:r>
      <w:r>
        <w:rPr>
          <w:sz w:val="22"/>
        </w:rPr>
        <w:t>the</w:t>
      </w:r>
      <w:r>
        <w:rPr>
          <w:spacing w:val="-5"/>
          <w:sz w:val="22"/>
        </w:rPr>
        <w:t> </w:t>
      </w:r>
      <w:r>
        <w:rPr>
          <w:sz w:val="22"/>
        </w:rPr>
        <w:t>pressure</w:t>
      </w:r>
      <w:r>
        <w:rPr>
          <w:spacing w:val="-5"/>
          <w:sz w:val="22"/>
        </w:rPr>
        <w:t> </w:t>
      </w:r>
      <w:r>
        <w:rPr>
          <w:sz w:val="22"/>
        </w:rPr>
        <w:t>on</w:t>
      </w:r>
      <w:r>
        <w:rPr>
          <w:spacing w:val="-3"/>
          <w:sz w:val="22"/>
        </w:rPr>
        <w:t> </w:t>
      </w:r>
      <w:r>
        <w:rPr>
          <w:sz w:val="22"/>
        </w:rPr>
        <w:t>a</w:t>
      </w:r>
      <w:r>
        <w:rPr>
          <w:spacing w:val="-5"/>
          <w:sz w:val="22"/>
        </w:rPr>
        <w:t> </w:t>
      </w:r>
      <w:r>
        <w:rPr>
          <w:sz w:val="22"/>
        </w:rPr>
        <w:t>single</w:t>
      </w:r>
      <w:r>
        <w:rPr>
          <w:spacing w:val="-5"/>
          <w:sz w:val="22"/>
        </w:rPr>
        <w:t> </w:t>
      </w:r>
      <w:r>
        <w:rPr>
          <w:sz w:val="22"/>
        </w:rPr>
        <w:t>individual</w:t>
      </w:r>
      <w:r>
        <w:rPr>
          <w:spacing w:val="-3"/>
          <w:sz w:val="22"/>
        </w:rPr>
        <w:t> </w:t>
      </w:r>
      <w:r>
        <w:rPr>
          <w:sz w:val="22"/>
        </w:rPr>
        <w:t>when</w:t>
      </w:r>
      <w:r>
        <w:rPr>
          <w:spacing w:val="-3"/>
          <w:sz w:val="22"/>
        </w:rPr>
        <w:t> </w:t>
      </w:r>
      <w:r>
        <w:rPr>
          <w:sz w:val="22"/>
        </w:rPr>
        <w:t>difficult</w:t>
      </w:r>
      <w:r>
        <w:rPr>
          <w:spacing w:val="-4"/>
          <w:sz w:val="22"/>
        </w:rPr>
        <w:t> </w:t>
      </w:r>
      <w:r>
        <w:rPr>
          <w:sz w:val="22"/>
        </w:rPr>
        <w:t>regulatory</w:t>
      </w:r>
      <w:r>
        <w:rPr>
          <w:spacing w:val="-5"/>
          <w:sz w:val="22"/>
        </w:rPr>
        <w:t> </w:t>
      </w:r>
      <w:r>
        <w:rPr>
          <w:sz w:val="22"/>
        </w:rPr>
        <w:t>decisions</w:t>
      </w:r>
      <w:r>
        <w:rPr>
          <w:spacing w:val="-2"/>
          <w:sz w:val="22"/>
        </w:rPr>
        <w:t> </w:t>
      </w:r>
      <w:r>
        <w:rPr>
          <w:sz w:val="22"/>
        </w:rPr>
        <w:t>need to be made.</w:t>
      </w:r>
    </w:p>
    <w:p>
      <w:pPr>
        <w:spacing w:after="0" w:line="285" w:lineRule="auto"/>
        <w:jc w:val="left"/>
        <w:rPr>
          <w:sz w:val="22"/>
        </w:rPr>
        <w:sectPr>
          <w:pgSz w:w="11910" w:h="16840"/>
          <w:pgMar w:header="887" w:footer="1228" w:top="1080" w:bottom="1500" w:left="840" w:right="820"/>
        </w:sectPr>
      </w:pPr>
    </w:p>
    <w:p>
      <w:pPr>
        <w:pStyle w:val="BodyText"/>
        <w:rPr>
          <w:sz w:val="20"/>
        </w:rPr>
      </w:pPr>
    </w:p>
    <w:p>
      <w:pPr>
        <w:pStyle w:val="BodyText"/>
        <w:rPr>
          <w:sz w:val="20"/>
        </w:rPr>
      </w:pPr>
    </w:p>
    <w:p>
      <w:pPr>
        <w:pStyle w:val="BodyText"/>
        <w:spacing w:before="5"/>
      </w:pPr>
    </w:p>
    <w:p>
      <w:pPr>
        <w:pStyle w:val="BodyText"/>
        <w:spacing w:line="288" w:lineRule="auto"/>
        <w:ind w:left="600" w:right="586"/>
      </w:pPr>
      <w:r>
        <w:rPr/>
        <w:t>In the Review’s judgement, the advantages of the current single-member model are outweighed</w:t>
      </w:r>
      <w:r>
        <w:rPr>
          <w:spacing w:val="-3"/>
        </w:rPr>
        <w:t> </w:t>
      </w:r>
      <w:r>
        <w:rPr/>
        <w:t>by</w:t>
      </w:r>
      <w:r>
        <w:rPr>
          <w:spacing w:val="-5"/>
        </w:rPr>
        <w:t> </w:t>
      </w:r>
      <w:r>
        <w:rPr/>
        <w:t>the</w:t>
      </w:r>
      <w:r>
        <w:rPr>
          <w:spacing w:val="-3"/>
        </w:rPr>
        <w:t> </w:t>
      </w:r>
      <w:r>
        <w:rPr/>
        <w:t>disadvantages.</w:t>
      </w:r>
      <w:r>
        <w:rPr>
          <w:spacing w:val="-4"/>
        </w:rPr>
        <w:t> </w:t>
      </w:r>
      <w:r>
        <w:rPr/>
        <w:t>Accordingly,</w:t>
      </w:r>
      <w:r>
        <w:rPr>
          <w:spacing w:val="-1"/>
        </w:rPr>
        <w:t> </w:t>
      </w:r>
      <w:r>
        <w:rPr/>
        <w:t>it</w:t>
      </w:r>
      <w:r>
        <w:rPr>
          <w:spacing w:val="-6"/>
        </w:rPr>
        <w:t> </w:t>
      </w:r>
      <w:r>
        <w:rPr/>
        <w:t>is</w:t>
      </w:r>
      <w:r>
        <w:rPr>
          <w:spacing w:val="-2"/>
        </w:rPr>
        <w:t> </w:t>
      </w:r>
      <w:r>
        <w:rPr/>
        <w:t>proposed</w:t>
      </w:r>
      <w:r>
        <w:rPr>
          <w:spacing w:val="-5"/>
        </w:rPr>
        <w:t> </w:t>
      </w:r>
      <w:r>
        <w:rPr/>
        <w:t>that</w:t>
      </w:r>
      <w:r>
        <w:rPr>
          <w:spacing w:val="-1"/>
        </w:rPr>
        <w:t> </w:t>
      </w:r>
      <w:r>
        <w:rPr/>
        <w:t>a</w:t>
      </w:r>
      <w:r>
        <w:rPr>
          <w:spacing w:val="-5"/>
        </w:rPr>
        <w:t> </w:t>
      </w:r>
      <w:r>
        <w:rPr/>
        <w:t>multi-member</w:t>
      </w:r>
      <w:r>
        <w:rPr>
          <w:spacing w:val="-2"/>
        </w:rPr>
        <w:t> </w:t>
      </w:r>
      <w:r>
        <w:rPr/>
        <w:t>structure should be adopted instead.</w:t>
      </w:r>
    </w:p>
    <w:p>
      <w:pPr>
        <w:pStyle w:val="BodyText"/>
        <w:spacing w:before="11"/>
        <w:rPr>
          <w:sz w:val="20"/>
        </w:rPr>
      </w:pPr>
    </w:p>
    <w:p>
      <w:pPr>
        <w:pStyle w:val="BodyText"/>
        <w:spacing w:line="288" w:lineRule="auto"/>
        <w:ind w:left="600" w:right="586"/>
      </w:pPr>
      <w:r>
        <w:rPr/>
        <w:t>Constituting ESV as a commission would bring it broadly into line with a number of energy regulators that are structured as commissions (see Table 3). This broad alignment is not a definitive</w:t>
      </w:r>
      <w:r>
        <w:rPr>
          <w:spacing w:val="-1"/>
        </w:rPr>
        <w:t> </w:t>
      </w:r>
      <w:r>
        <w:rPr/>
        <w:t>consideration</w:t>
      </w:r>
      <w:r>
        <w:rPr>
          <w:spacing w:val="-1"/>
        </w:rPr>
        <w:t> </w:t>
      </w:r>
      <w:r>
        <w:rPr/>
        <w:t>in</w:t>
      </w:r>
      <w:r>
        <w:rPr>
          <w:spacing w:val="-1"/>
        </w:rPr>
        <w:t> </w:t>
      </w:r>
      <w:r>
        <w:rPr/>
        <w:t>itself:</w:t>
      </w:r>
      <w:r>
        <w:rPr>
          <w:spacing w:val="-2"/>
        </w:rPr>
        <w:t> </w:t>
      </w:r>
      <w:r>
        <w:rPr/>
        <w:t>the</w:t>
      </w:r>
      <w:r>
        <w:rPr>
          <w:spacing w:val="-1"/>
        </w:rPr>
        <w:t> </w:t>
      </w:r>
      <w:r>
        <w:rPr/>
        <w:t>precise</w:t>
      </w:r>
      <w:r>
        <w:rPr>
          <w:spacing w:val="-1"/>
        </w:rPr>
        <w:t> </w:t>
      </w:r>
      <w:r>
        <w:rPr/>
        <w:t>governance</w:t>
      </w:r>
      <w:r>
        <w:rPr>
          <w:spacing w:val="-1"/>
        </w:rPr>
        <w:t> </w:t>
      </w:r>
      <w:r>
        <w:rPr/>
        <w:t>arrangements</w:t>
      </w:r>
      <w:r>
        <w:rPr>
          <w:spacing w:val="-3"/>
        </w:rPr>
        <w:t> </w:t>
      </w:r>
      <w:r>
        <w:rPr/>
        <w:t>should</w:t>
      </w:r>
      <w:r>
        <w:rPr>
          <w:spacing w:val="-1"/>
        </w:rPr>
        <w:t> </w:t>
      </w:r>
      <w:r>
        <w:rPr/>
        <w:t>depend</w:t>
      </w:r>
      <w:r>
        <w:rPr>
          <w:spacing w:val="-1"/>
        </w:rPr>
        <w:t> </w:t>
      </w:r>
      <w:r>
        <w:rPr/>
        <w:t>on</w:t>
      </w:r>
      <w:r>
        <w:rPr>
          <w:spacing w:val="-3"/>
        </w:rPr>
        <w:t> </w:t>
      </w:r>
      <w:r>
        <w:rPr/>
        <w:t>the specific circumstances and objectives of each regulator. Nevertheless, a commission structure</w:t>
      </w:r>
      <w:r>
        <w:rPr>
          <w:spacing w:val="-4"/>
        </w:rPr>
        <w:t> </w:t>
      </w:r>
      <w:r>
        <w:rPr/>
        <w:t>is</w:t>
      </w:r>
      <w:r>
        <w:rPr>
          <w:spacing w:val="-2"/>
        </w:rPr>
        <w:t> </w:t>
      </w:r>
      <w:r>
        <w:rPr/>
        <w:t>common</w:t>
      </w:r>
      <w:r>
        <w:rPr>
          <w:spacing w:val="-3"/>
        </w:rPr>
        <w:t> </w:t>
      </w:r>
      <w:r>
        <w:rPr/>
        <w:t>among</w:t>
      </w:r>
      <w:r>
        <w:rPr>
          <w:spacing w:val="-3"/>
        </w:rPr>
        <w:t> </w:t>
      </w:r>
      <w:r>
        <w:rPr/>
        <w:t>other</w:t>
      </w:r>
      <w:r>
        <w:rPr>
          <w:spacing w:val="-4"/>
        </w:rPr>
        <w:t> </w:t>
      </w:r>
      <w:r>
        <w:rPr/>
        <w:t>major</w:t>
      </w:r>
      <w:r>
        <w:rPr>
          <w:spacing w:val="-4"/>
        </w:rPr>
        <w:t> </w:t>
      </w:r>
      <w:r>
        <w:rPr/>
        <w:t>regulators</w:t>
      </w:r>
      <w:r>
        <w:rPr>
          <w:spacing w:val="-2"/>
        </w:rPr>
        <w:t> </w:t>
      </w:r>
      <w:r>
        <w:rPr/>
        <w:t>and</w:t>
      </w:r>
      <w:r>
        <w:rPr>
          <w:spacing w:val="-4"/>
        </w:rPr>
        <w:t> </w:t>
      </w:r>
      <w:r>
        <w:rPr/>
        <w:t>this</w:t>
      </w:r>
      <w:r>
        <w:rPr>
          <w:spacing w:val="-4"/>
        </w:rPr>
        <w:t> </w:t>
      </w:r>
      <w:r>
        <w:rPr/>
        <w:t>provides</w:t>
      </w:r>
      <w:r>
        <w:rPr>
          <w:spacing w:val="-2"/>
        </w:rPr>
        <w:t> </w:t>
      </w:r>
      <w:r>
        <w:rPr/>
        <w:t>a</w:t>
      </w:r>
      <w:r>
        <w:rPr>
          <w:spacing w:val="-3"/>
        </w:rPr>
        <w:t> </w:t>
      </w:r>
      <w:r>
        <w:rPr/>
        <w:t>useful</w:t>
      </w:r>
      <w:r>
        <w:rPr>
          <w:spacing w:val="-4"/>
        </w:rPr>
        <w:t> </w:t>
      </w:r>
      <w:r>
        <w:rPr/>
        <w:t>reference</w:t>
      </w:r>
      <w:r>
        <w:rPr>
          <w:spacing w:val="-4"/>
        </w:rPr>
        <w:t> </w:t>
      </w:r>
      <w:r>
        <w:rPr/>
        <w:t>point for consideration of ESV’s governance arrangements.</w:t>
      </w:r>
    </w:p>
    <w:p>
      <w:pPr>
        <w:pStyle w:val="BodyText"/>
        <w:spacing w:before="4"/>
        <w:rPr>
          <w:sz w:val="31"/>
        </w:rPr>
      </w:pPr>
    </w:p>
    <w:p>
      <w:pPr>
        <w:pStyle w:val="Heading7"/>
        <w:ind w:left="600"/>
      </w:pPr>
      <w:r>
        <w:rPr/>
        <w:t>Table</w:t>
      </w:r>
      <w:r>
        <w:rPr>
          <w:spacing w:val="-6"/>
        </w:rPr>
        <w:t> </w:t>
      </w:r>
      <w:r>
        <w:rPr/>
        <w:t>3:</w:t>
      </w:r>
      <w:r>
        <w:rPr>
          <w:spacing w:val="-4"/>
        </w:rPr>
        <w:t> </w:t>
      </w:r>
      <w:r>
        <w:rPr/>
        <w:t>Other</w:t>
      </w:r>
      <w:r>
        <w:rPr>
          <w:spacing w:val="-4"/>
        </w:rPr>
        <w:t> </w:t>
      </w:r>
      <w:r>
        <w:rPr/>
        <w:t>major</w:t>
      </w:r>
      <w:r>
        <w:rPr>
          <w:spacing w:val="-3"/>
        </w:rPr>
        <w:t> </w:t>
      </w:r>
      <w:r>
        <w:rPr/>
        <w:t>energy</w:t>
      </w:r>
      <w:r>
        <w:rPr>
          <w:spacing w:val="-7"/>
        </w:rPr>
        <w:t> </w:t>
      </w:r>
      <w:r>
        <w:rPr/>
        <w:t>regulators</w:t>
      </w:r>
      <w:r>
        <w:rPr>
          <w:spacing w:val="-2"/>
        </w:rPr>
        <w:t> </w:t>
      </w:r>
      <w:r>
        <w:rPr/>
        <w:t>structured</w:t>
      </w:r>
      <w:r>
        <w:rPr>
          <w:spacing w:val="-3"/>
        </w:rPr>
        <w:t> </w:t>
      </w:r>
      <w:r>
        <w:rPr/>
        <w:t>as</w:t>
      </w:r>
      <w:r>
        <w:rPr>
          <w:spacing w:val="-3"/>
        </w:rPr>
        <w:t> </w:t>
      </w:r>
      <w:r>
        <w:rPr>
          <w:spacing w:val="-2"/>
        </w:rPr>
        <w:t>commissions</w:t>
      </w:r>
    </w:p>
    <w:p>
      <w:pPr>
        <w:pStyle w:val="BodyText"/>
        <w:spacing w:before="8"/>
        <w:rPr>
          <w:b/>
          <w:sz w:val="14"/>
        </w:rPr>
      </w:pPr>
    </w:p>
    <w:tbl>
      <w:tblPr>
        <w:tblW w:w="0" w:type="auto"/>
        <w:jc w:val="left"/>
        <w:tblInd w:w="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95"/>
        <w:gridCol w:w="2247"/>
        <w:gridCol w:w="2068"/>
      </w:tblGrid>
      <w:tr>
        <w:trPr>
          <w:trHeight w:val="789" w:hRule="atLeast"/>
        </w:trPr>
        <w:tc>
          <w:tcPr>
            <w:tcW w:w="4895" w:type="dxa"/>
            <w:tcBorders>
              <w:top w:val="single" w:sz="4" w:space="0" w:color="F79546"/>
              <w:left w:val="single" w:sz="4" w:space="0" w:color="F79546"/>
              <w:bottom w:val="single" w:sz="4" w:space="0" w:color="F79546"/>
            </w:tcBorders>
            <w:shd w:val="clear" w:color="auto" w:fill="D9D9D9"/>
          </w:tcPr>
          <w:p>
            <w:pPr>
              <w:pStyle w:val="TableParagraph"/>
              <w:spacing w:before="63"/>
              <w:ind w:left="107"/>
              <w:rPr>
                <w:b/>
                <w:sz w:val="22"/>
              </w:rPr>
            </w:pPr>
            <w:r>
              <w:rPr>
                <w:b/>
                <w:spacing w:val="-2"/>
                <w:sz w:val="22"/>
              </w:rPr>
              <w:t>Regulator</w:t>
            </w:r>
          </w:p>
        </w:tc>
        <w:tc>
          <w:tcPr>
            <w:tcW w:w="2247" w:type="dxa"/>
            <w:tcBorders>
              <w:top w:val="single" w:sz="4" w:space="0" w:color="F79546"/>
              <w:bottom w:val="single" w:sz="4" w:space="0" w:color="F79546"/>
            </w:tcBorders>
            <w:shd w:val="clear" w:color="auto" w:fill="D9D9D9"/>
          </w:tcPr>
          <w:p>
            <w:pPr>
              <w:pStyle w:val="TableParagraph"/>
              <w:spacing w:line="288" w:lineRule="auto" w:before="63"/>
              <w:ind w:left="462" w:right="325"/>
              <w:rPr>
                <w:b/>
                <w:sz w:val="22"/>
              </w:rPr>
            </w:pPr>
            <w:r>
              <w:rPr>
                <w:b/>
                <w:sz w:val="22"/>
              </w:rPr>
              <w:t>Single or </w:t>
            </w:r>
            <w:r>
              <w:rPr>
                <w:b/>
                <w:spacing w:val="-2"/>
                <w:sz w:val="22"/>
              </w:rPr>
              <w:t>multi-member</w:t>
            </w:r>
          </w:p>
        </w:tc>
        <w:tc>
          <w:tcPr>
            <w:tcW w:w="2068" w:type="dxa"/>
            <w:tcBorders>
              <w:top w:val="single" w:sz="4" w:space="0" w:color="F79546"/>
              <w:bottom w:val="single" w:sz="4" w:space="0" w:color="F79546"/>
              <w:right w:val="single" w:sz="4" w:space="0" w:color="F79546"/>
            </w:tcBorders>
            <w:shd w:val="clear" w:color="auto" w:fill="D9D9D9"/>
          </w:tcPr>
          <w:p>
            <w:pPr>
              <w:pStyle w:val="TableParagraph"/>
              <w:spacing w:line="288" w:lineRule="auto" w:before="63"/>
              <w:ind w:left="339"/>
              <w:rPr>
                <w:b/>
                <w:sz w:val="22"/>
              </w:rPr>
            </w:pPr>
            <w:r>
              <w:rPr>
                <w:b/>
                <w:spacing w:val="-2"/>
                <w:sz w:val="22"/>
              </w:rPr>
              <w:t>Governance structure</w:t>
            </w:r>
          </w:p>
        </w:tc>
      </w:tr>
      <w:tr>
        <w:trPr>
          <w:trHeight w:val="508" w:hRule="atLeast"/>
        </w:trPr>
        <w:tc>
          <w:tcPr>
            <w:tcW w:w="4895" w:type="dxa"/>
            <w:tcBorders>
              <w:top w:val="single" w:sz="4" w:space="0" w:color="F79546"/>
              <w:left w:val="single" w:sz="4" w:space="0" w:color="A6A6A6"/>
            </w:tcBorders>
          </w:tcPr>
          <w:p>
            <w:pPr>
              <w:pStyle w:val="TableParagraph"/>
              <w:spacing w:before="60"/>
              <w:ind w:left="107"/>
              <w:rPr>
                <w:b/>
                <w:sz w:val="22"/>
              </w:rPr>
            </w:pPr>
            <w:r>
              <w:rPr>
                <w:b/>
                <w:sz w:val="22"/>
              </w:rPr>
              <w:t>Australian</w:t>
            </w:r>
            <w:r>
              <w:rPr>
                <w:b/>
                <w:spacing w:val="-6"/>
                <w:sz w:val="22"/>
              </w:rPr>
              <w:t> </w:t>
            </w:r>
            <w:r>
              <w:rPr>
                <w:b/>
                <w:sz w:val="22"/>
              </w:rPr>
              <w:t>Energy</w:t>
            </w:r>
            <w:r>
              <w:rPr>
                <w:b/>
                <w:spacing w:val="-10"/>
                <w:sz w:val="22"/>
              </w:rPr>
              <w:t> </w:t>
            </w:r>
            <w:r>
              <w:rPr>
                <w:b/>
                <w:sz w:val="22"/>
              </w:rPr>
              <w:t>Market</w:t>
            </w:r>
            <w:r>
              <w:rPr>
                <w:b/>
                <w:spacing w:val="-4"/>
                <w:sz w:val="22"/>
              </w:rPr>
              <w:t> </w:t>
            </w:r>
            <w:r>
              <w:rPr>
                <w:b/>
                <w:spacing w:val="-2"/>
                <w:sz w:val="22"/>
              </w:rPr>
              <w:t>Commission</w:t>
            </w:r>
          </w:p>
        </w:tc>
        <w:tc>
          <w:tcPr>
            <w:tcW w:w="2247" w:type="dxa"/>
            <w:tcBorders>
              <w:top w:val="single" w:sz="4" w:space="0" w:color="F79546"/>
            </w:tcBorders>
          </w:tcPr>
          <w:p>
            <w:pPr>
              <w:pStyle w:val="TableParagraph"/>
              <w:spacing w:before="60"/>
              <w:ind w:right="437"/>
              <w:jc w:val="right"/>
              <w:rPr>
                <w:sz w:val="22"/>
              </w:rPr>
            </w:pPr>
            <w:r>
              <w:rPr>
                <w:spacing w:val="-2"/>
                <w:sz w:val="22"/>
              </w:rPr>
              <w:t>Multi-member</w:t>
            </w:r>
          </w:p>
        </w:tc>
        <w:tc>
          <w:tcPr>
            <w:tcW w:w="2068" w:type="dxa"/>
            <w:tcBorders>
              <w:top w:val="single" w:sz="4" w:space="0" w:color="F79546"/>
              <w:right w:val="single" w:sz="4" w:space="0" w:color="A6A6A6"/>
            </w:tcBorders>
          </w:tcPr>
          <w:p>
            <w:pPr>
              <w:pStyle w:val="TableParagraph"/>
              <w:spacing w:before="60"/>
              <w:ind w:left="339"/>
              <w:rPr>
                <w:sz w:val="22"/>
              </w:rPr>
            </w:pPr>
            <w:r>
              <w:rPr>
                <w:spacing w:val="-2"/>
                <w:sz w:val="22"/>
              </w:rPr>
              <w:t>Commission</w:t>
            </w:r>
          </w:p>
        </w:tc>
      </w:tr>
      <w:tr>
        <w:trPr>
          <w:trHeight w:val="508" w:hRule="atLeast"/>
        </w:trPr>
        <w:tc>
          <w:tcPr>
            <w:tcW w:w="4895" w:type="dxa"/>
            <w:tcBorders>
              <w:left w:val="single" w:sz="4" w:space="0" w:color="A6A6A6"/>
            </w:tcBorders>
            <w:shd w:val="clear" w:color="auto" w:fill="CEEBEB"/>
          </w:tcPr>
          <w:p>
            <w:pPr>
              <w:pStyle w:val="TableParagraph"/>
              <w:spacing w:before="60"/>
              <w:ind w:left="107"/>
              <w:rPr>
                <w:b/>
                <w:sz w:val="22"/>
              </w:rPr>
            </w:pPr>
            <w:r>
              <w:rPr>
                <w:b/>
                <w:sz w:val="22"/>
              </w:rPr>
              <w:t>Australian</w:t>
            </w:r>
            <w:r>
              <w:rPr>
                <w:b/>
                <w:spacing w:val="-6"/>
                <w:sz w:val="22"/>
              </w:rPr>
              <w:t> </w:t>
            </w:r>
            <w:r>
              <w:rPr>
                <w:b/>
                <w:sz w:val="22"/>
              </w:rPr>
              <w:t>Energy</w:t>
            </w:r>
            <w:r>
              <w:rPr>
                <w:b/>
                <w:spacing w:val="-9"/>
                <w:sz w:val="22"/>
              </w:rPr>
              <w:t> </w:t>
            </w:r>
            <w:r>
              <w:rPr>
                <w:b/>
                <w:spacing w:val="-2"/>
                <w:sz w:val="22"/>
              </w:rPr>
              <w:t>Regulator</w:t>
            </w:r>
          </w:p>
        </w:tc>
        <w:tc>
          <w:tcPr>
            <w:tcW w:w="2247" w:type="dxa"/>
            <w:shd w:val="clear" w:color="auto" w:fill="CEEBEB"/>
          </w:tcPr>
          <w:p>
            <w:pPr>
              <w:pStyle w:val="TableParagraph"/>
              <w:spacing w:before="60"/>
              <w:ind w:right="437"/>
              <w:jc w:val="right"/>
              <w:rPr>
                <w:sz w:val="22"/>
              </w:rPr>
            </w:pPr>
            <w:r>
              <w:rPr>
                <w:spacing w:val="-2"/>
                <w:sz w:val="22"/>
              </w:rPr>
              <w:t>Multi-member</w:t>
            </w:r>
          </w:p>
        </w:tc>
        <w:tc>
          <w:tcPr>
            <w:tcW w:w="2068" w:type="dxa"/>
            <w:tcBorders>
              <w:right w:val="single" w:sz="4" w:space="0" w:color="A6A6A6"/>
            </w:tcBorders>
            <w:shd w:val="clear" w:color="auto" w:fill="CEEBEB"/>
          </w:tcPr>
          <w:p>
            <w:pPr>
              <w:pStyle w:val="TableParagraph"/>
              <w:spacing w:before="60"/>
              <w:ind w:left="339"/>
              <w:rPr>
                <w:sz w:val="22"/>
              </w:rPr>
            </w:pPr>
            <w:r>
              <w:rPr>
                <w:spacing w:val="-2"/>
                <w:sz w:val="22"/>
              </w:rPr>
              <w:t>Commission</w:t>
            </w:r>
          </w:p>
        </w:tc>
      </w:tr>
      <w:tr>
        <w:trPr>
          <w:trHeight w:val="787" w:hRule="atLeast"/>
        </w:trPr>
        <w:tc>
          <w:tcPr>
            <w:tcW w:w="4895" w:type="dxa"/>
            <w:tcBorders>
              <w:left w:val="single" w:sz="4" w:space="0" w:color="A6A6A6"/>
            </w:tcBorders>
          </w:tcPr>
          <w:p>
            <w:pPr>
              <w:pStyle w:val="TableParagraph"/>
              <w:spacing w:line="288" w:lineRule="auto" w:before="60"/>
              <w:ind w:left="107"/>
              <w:rPr>
                <w:b/>
                <w:sz w:val="22"/>
              </w:rPr>
            </w:pPr>
            <w:r>
              <w:rPr>
                <w:b/>
                <w:sz w:val="22"/>
              </w:rPr>
              <w:t>Australian</w:t>
            </w:r>
            <w:r>
              <w:rPr>
                <w:b/>
                <w:spacing w:val="-12"/>
                <w:sz w:val="22"/>
              </w:rPr>
              <w:t> </w:t>
            </w:r>
            <w:r>
              <w:rPr>
                <w:b/>
                <w:sz w:val="22"/>
              </w:rPr>
              <w:t>Competition</w:t>
            </w:r>
            <w:r>
              <w:rPr>
                <w:b/>
                <w:spacing w:val="-15"/>
                <w:sz w:val="22"/>
              </w:rPr>
              <w:t> </w:t>
            </w:r>
            <w:r>
              <w:rPr>
                <w:b/>
                <w:sz w:val="22"/>
              </w:rPr>
              <w:t>and</w:t>
            </w:r>
            <w:r>
              <w:rPr>
                <w:b/>
                <w:spacing w:val="-12"/>
                <w:sz w:val="22"/>
              </w:rPr>
              <w:t> </w:t>
            </w:r>
            <w:r>
              <w:rPr>
                <w:b/>
                <w:sz w:val="22"/>
              </w:rPr>
              <w:t>Consumer </w:t>
            </w:r>
            <w:r>
              <w:rPr>
                <w:b/>
                <w:spacing w:val="-2"/>
                <w:sz w:val="22"/>
              </w:rPr>
              <w:t>Commission</w:t>
            </w:r>
          </w:p>
        </w:tc>
        <w:tc>
          <w:tcPr>
            <w:tcW w:w="2247" w:type="dxa"/>
          </w:tcPr>
          <w:p>
            <w:pPr>
              <w:pStyle w:val="TableParagraph"/>
              <w:spacing w:before="60"/>
              <w:ind w:right="437"/>
              <w:jc w:val="right"/>
              <w:rPr>
                <w:sz w:val="22"/>
              </w:rPr>
            </w:pPr>
            <w:r>
              <w:rPr>
                <w:spacing w:val="-2"/>
                <w:sz w:val="22"/>
              </w:rPr>
              <w:t>Multi-member</w:t>
            </w:r>
          </w:p>
        </w:tc>
        <w:tc>
          <w:tcPr>
            <w:tcW w:w="2068" w:type="dxa"/>
            <w:tcBorders>
              <w:right w:val="single" w:sz="4" w:space="0" w:color="A6A6A6"/>
            </w:tcBorders>
          </w:tcPr>
          <w:p>
            <w:pPr>
              <w:pStyle w:val="TableParagraph"/>
              <w:spacing w:before="60"/>
              <w:ind w:left="339"/>
              <w:rPr>
                <w:sz w:val="22"/>
              </w:rPr>
            </w:pPr>
            <w:r>
              <w:rPr>
                <w:spacing w:val="-2"/>
                <w:sz w:val="22"/>
              </w:rPr>
              <w:t>Commission</w:t>
            </w:r>
          </w:p>
        </w:tc>
      </w:tr>
      <w:tr>
        <w:trPr>
          <w:trHeight w:val="508" w:hRule="atLeast"/>
        </w:trPr>
        <w:tc>
          <w:tcPr>
            <w:tcW w:w="4895" w:type="dxa"/>
            <w:tcBorders>
              <w:left w:val="single" w:sz="4" w:space="0" w:color="A6A6A6"/>
              <w:bottom w:val="single" w:sz="4" w:space="0" w:color="A6A6A6"/>
            </w:tcBorders>
            <w:shd w:val="clear" w:color="auto" w:fill="CEEBEB"/>
          </w:tcPr>
          <w:p>
            <w:pPr>
              <w:pStyle w:val="TableParagraph"/>
              <w:spacing w:before="60"/>
              <w:ind w:left="107"/>
              <w:rPr>
                <w:b/>
                <w:sz w:val="22"/>
              </w:rPr>
            </w:pPr>
            <w:r>
              <w:rPr>
                <w:b/>
                <w:sz w:val="22"/>
              </w:rPr>
              <w:t>Essential</w:t>
            </w:r>
            <w:r>
              <w:rPr>
                <w:b/>
                <w:spacing w:val="-9"/>
                <w:sz w:val="22"/>
              </w:rPr>
              <w:t> </w:t>
            </w:r>
            <w:r>
              <w:rPr>
                <w:b/>
                <w:sz w:val="22"/>
              </w:rPr>
              <w:t>Services</w:t>
            </w:r>
            <w:r>
              <w:rPr>
                <w:b/>
                <w:spacing w:val="-7"/>
                <w:sz w:val="22"/>
              </w:rPr>
              <w:t> </w:t>
            </w:r>
            <w:r>
              <w:rPr>
                <w:b/>
                <w:sz w:val="22"/>
              </w:rPr>
              <w:t>Commission</w:t>
            </w:r>
            <w:r>
              <w:rPr>
                <w:b/>
                <w:spacing w:val="-9"/>
                <w:sz w:val="22"/>
              </w:rPr>
              <w:t> </w:t>
            </w:r>
            <w:r>
              <w:rPr>
                <w:b/>
                <w:spacing w:val="-2"/>
                <w:sz w:val="22"/>
              </w:rPr>
              <w:t>(Victoria)</w:t>
            </w:r>
          </w:p>
        </w:tc>
        <w:tc>
          <w:tcPr>
            <w:tcW w:w="2247" w:type="dxa"/>
            <w:tcBorders>
              <w:bottom w:val="single" w:sz="4" w:space="0" w:color="A6A6A6"/>
            </w:tcBorders>
            <w:shd w:val="clear" w:color="auto" w:fill="CEEBEB"/>
          </w:tcPr>
          <w:p>
            <w:pPr>
              <w:pStyle w:val="TableParagraph"/>
              <w:spacing w:before="60"/>
              <w:ind w:right="437"/>
              <w:jc w:val="right"/>
              <w:rPr>
                <w:sz w:val="22"/>
              </w:rPr>
            </w:pPr>
            <w:r>
              <w:rPr>
                <w:spacing w:val="-2"/>
                <w:sz w:val="22"/>
              </w:rPr>
              <w:t>Multi-member</w:t>
            </w:r>
          </w:p>
        </w:tc>
        <w:tc>
          <w:tcPr>
            <w:tcW w:w="2068" w:type="dxa"/>
            <w:tcBorders>
              <w:bottom w:val="single" w:sz="4" w:space="0" w:color="A6A6A6"/>
              <w:right w:val="single" w:sz="4" w:space="0" w:color="A6A6A6"/>
            </w:tcBorders>
            <w:shd w:val="clear" w:color="auto" w:fill="CEEBEB"/>
          </w:tcPr>
          <w:p>
            <w:pPr>
              <w:pStyle w:val="TableParagraph"/>
              <w:spacing w:before="60"/>
              <w:ind w:left="339"/>
              <w:rPr>
                <w:sz w:val="22"/>
              </w:rPr>
            </w:pPr>
            <w:r>
              <w:rPr>
                <w:spacing w:val="-2"/>
                <w:sz w:val="22"/>
              </w:rPr>
              <w:t>Commission</w:t>
            </w:r>
          </w:p>
        </w:tc>
      </w:tr>
    </w:tbl>
    <w:p>
      <w:pPr>
        <w:pStyle w:val="BodyText"/>
        <w:spacing w:before="8"/>
        <w:rPr>
          <w:b/>
          <w:sz w:val="26"/>
        </w:rPr>
      </w:pPr>
    </w:p>
    <w:p>
      <w:pPr>
        <w:pStyle w:val="BodyText"/>
        <w:spacing w:line="288" w:lineRule="auto"/>
        <w:ind w:left="600" w:right="586"/>
      </w:pPr>
      <w:r>
        <w:rPr/>
        <w:t>The</w:t>
      </w:r>
      <w:r>
        <w:rPr>
          <w:spacing w:val="-4"/>
        </w:rPr>
        <w:t> </w:t>
      </w:r>
      <w:r>
        <w:rPr/>
        <w:t>Review</w:t>
      </w:r>
      <w:r>
        <w:rPr>
          <w:spacing w:val="-5"/>
        </w:rPr>
        <w:t> </w:t>
      </w:r>
      <w:r>
        <w:rPr/>
        <w:t>considers</w:t>
      </w:r>
      <w:r>
        <w:rPr>
          <w:spacing w:val="-1"/>
        </w:rPr>
        <w:t> </w:t>
      </w:r>
      <w:r>
        <w:rPr/>
        <w:t>that</w:t>
      </w:r>
      <w:r>
        <w:rPr>
          <w:spacing w:val="-1"/>
        </w:rPr>
        <w:t> </w:t>
      </w:r>
      <w:r>
        <w:rPr/>
        <w:t>ESV</w:t>
      </w:r>
      <w:r>
        <w:rPr>
          <w:spacing w:val="-2"/>
        </w:rPr>
        <w:t> </w:t>
      </w:r>
      <w:r>
        <w:rPr/>
        <w:t>should</w:t>
      </w:r>
      <w:r>
        <w:rPr>
          <w:spacing w:val="-4"/>
        </w:rPr>
        <w:t> </w:t>
      </w:r>
      <w:r>
        <w:rPr/>
        <w:t>be</w:t>
      </w:r>
      <w:r>
        <w:rPr>
          <w:spacing w:val="-2"/>
        </w:rPr>
        <w:t> </w:t>
      </w:r>
      <w:r>
        <w:rPr/>
        <w:t>structured</w:t>
      </w:r>
      <w:r>
        <w:rPr>
          <w:spacing w:val="-2"/>
        </w:rPr>
        <w:t> </w:t>
      </w:r>
      <w:r>
        <w:rPr/>
        <w:t>as</w:t>
      </w:r>
      <w:r>
        <w:rPr>
          <w:spacing w:val="-4"/>
        </w:rPr>
        <w:t> </w:t>
      </w:r>
      <w:r>
        <w:rPr/>
        <w:t>a</w:t>
      </w:r>
      <w:r>
        <w:rPr>
          <w:spacing w:val="-2"/>
        </w:rPr>
        <w:t> </w:t>
      </w:r>
      <w:r>
        <w:rPr/>
        <w:t>small</w:t>
      </w:r>
      <w:r>
        <w:rPr>
          <w:spacing w:val="-2"/>
        </w:rPr>
        <w:t> </w:t>
      </w:r>
      <w:r>
        <w:rPr/>
        <w:t>commission</w:t>
      </w:r>
      <w:r>
        <w:rPr>
          <w:spacing w:val="-2"/>
        </w:rPr>
        <w:t> </w:t>
      </w:r>
      <w:r>
        <w:rPr/>
        <w:t>with</w:t>
      </w:r>
      <w:r>
        <w:rPr>
          <w:spacing w:val="-2"/>
        </w:rPr>
        <w:t> </w:t>
      </w:r>
      <w:r>
        <w:rPr/>
        <w:t>a</w:t>
      </w:r>
      <w:r>
        <w:rPr>
          <w:spacing w:val="-3"/>
        </w:rPr>
        <w:t> </w:t>
      </w:r>
      <w:r>
        <w:rPr/>
        <w:t>full-time chair and two part-time members. The chair should have significant regulatory experience, while the part-time members should have previous experience in technical or safety regulation. At least one of the commissioners should have extensive legal experience and one commissioner should have extensive economic experience.</w:t>
      </w:r>
    </w:p>
    <w:p>
      <w:pPr>
        <w:pStyle w:val="BodyText"/>
        <w:spacing w:before="9"/>
        <w:rPr>
          <w:sz w:val="20"/>
        </w:rPr>
      </w:pPr>
    </w:p>
    <w:p>
      <w:pPr>
        <w:pStyle w:val="BodyText"/>
        <w:spacing w:line="288" w:lineRule="auto" w:before="1"/>
        <w:ind w:left="600" w:right="713"/>
      </w:pPr>
      <w:r>
        <w:rPr/>
        <w:t>Although</w:t>
      </w:r>
      <w:r>
        <w:rPr>
          <w:spacing w:val="-4"/>
        </w:rPr>
        <w:t> </w:t>
      </w:r>
      <w:r>
        <w:rPr/>
        <w:t>ESV</w:t>
      </w:r>
      <w:r>
        <w:rPr>
          <w:spacing w:val="-2"/>
        </w:rPr>
        <w:t> </w:t>
      </w:r>
      <w:r>
        <w:rPr/>
        <w:t>is</w:t>
      </w:r>
      <w:r>
        <w:rPr>
          <w:spacing w:val="-1"/>
        </w:rPr>
        <w:t> </w:t>
      </w:r>
      <w:r>
        <w:rPr/>
        <w:t>classified</w:t>
      </w:r>
      <w:r>
        <w:rPr>
          <w:spacing w:val="-2"/>
        </w:rPr>
        <w:t> </w:t>
      </w:r>
      <w:r>
        <w:rPr/>
        <w:t>as</w:t>
      </w:r>
      <w:r>
        <w:rPr>
          <w:spacing w:val="-1"/>
        </w:rPr>
        <w:t> </w:t>
      </w:r>
      <w:r>
        <w:rPr/>
        <w:t>a</w:t>
      </w:r>
      <w:r>
        <w:rPr>
          <w:spacing w:val="-4"/>
        </w:rPr>
        <w:t> </w:t>
      </w:r>
      <w:r>
        <w:rPr/>
        <w:t>major</w:t>
      </w:r>
      <w:r>
        <w:rPr>
          <w:spacing w:val="-1"/>
        </w:rPr>
        <w:t> </w:t>
      </w:r>
      <w:r>
        <w:rPr/>
        <w:t>Victorian</w:t>
      </w:r>
      <w:r>
        <w:rPr>
          <w:spacing w:val="-4"/>
        </w:rPr>
        <w:t> </w:t>
      </w:r>
      <w:r>
        <w:rPr/>
        <w:t>government</w:t>
      </w:r>
      <w:r>
        <w:rPr>
          <w:spacing w:val="-3"/>
        </w:rPr>
        <w:t> </w:t>
      </w:r>
      <w:r>
        <w:rPr/>
        <w:t>regulator,</w:t>
      </w:r>
      <w:r>
        <w:rPr>
          <w:spacing w:val="-3"/>
        </w:rPr>
        <w:t> </w:t>
      </w:r>
      <w:r>
        <w:rPr/>
        <w:t>it is</w:t>
      </w:r>
      <w:r>
        <w:rPr>
          <w:spacing w:val="-6"/>
        </w:rPr>
        <w:t> </w:t>
      </w:r>
      <w:r>
        <w:rPr/>
        <w:t>a</w:t>
      </w:r>
      <w:r>
        <w:rPr>
          <w:spacing w:val="-2"/>
        </w:rPr>
        <w:t> </w:t>
      </w:r>
      <w:r>
        <w:rPr/>
        <w:t>medium-sized organisation when measured in terms of number of staff (145 according to the </w:t>
      </w:r>
      <w:r>
        <w:rPr>
          <w:i/>
        </w:rPr>
        <w:t>Annual Report 2016–17</w:t>
      </w:r>
      <w:r>
        <w:rPr/>
        <w:t>), and its regulatory functions are technical and tightly focused on the electricity</w:t>
      </w:r>
      <w:r>
        <w:rPr>
          <w:spacing w:val="-4"/>
        </w:rPr>
        <w:t> </w:t>
      </w:r>
      <w:r>
        <w:rPr/>
        <w:t>and</w:t>
      </w:r>
      <w:r>
        <w:rPr>
          <w:spacing w:val="-4"/>
        </w:rPr>
        <w:t> </w:t>
      </w:r>
      <w:r>
        <w:rPr/>
        <w:t>gas</w:t>
      </w:r>
      <w:r>
        <w:rPr>
          <w:spacing w:val="-4"/>
        </w:rPr>
        <w:t> </w:t>
      </w:r>
      <w:r>
        <w:rPr/>
        <w:t>sectors (ESV,</w:t>
      </w:r>
      <w:r>
        <w:rPr>
          <w:spacing w:val="-4"/>
        </w:rPr>
        <w:t> </w:t>
      </w:r>
      <w:r>
        <w:rPr/>
        <w:t>2016).</w:t>
      </w:r>
      <w:r>
        <w:rPr>
          <w:spacing w:val="-4"/>
        </w:rPr>
        <w:t> </w:t>
      </w:r>
      <w:r>
        <w:rPr/>
        <w:t>These</w:t>
      </w:r>
      <w:r>
        <w:rPr>
          <w:spacing w:val="-3"/>
        </w:rPr>
        <w:t> </w:t>
      </w:r>
      <w:r>
        <w:rPr/>
        <w:t>considerations</w:t>
      </w:r>
      <w:r>
        <w:rPr>
          <w:spacing w:val="-3"/>
        </w:rPr>
        <w:t> </w:t>
      </w:r>
      <w:r>
        <w:rPr/>
        <w:t>would</w:t>
      </w:r>
      <w:r>
        <w:rPr>
          <w:spacing w:val="-3"/>
        </w:rPr>
        <w:t> </w:t>
      </w:r>
      <w:r>
        <w:rPr/>
        <w:t>tend</w:t>
      </w:r>
      <w:r>
        <w:rPr>
          <w:spacing w:val="-4"/>
        </w:rPr>
        <w:t> </w:t>
      </w:r>
      <w:r>
        <w:rPr/>
        <w:t>to</w:t>
      </w:r>
      <w:r>
        <w:rPr>
          <w:spacing w:val="-3"/>
        </w:rPr>
        <w:t> </w:t>
      </w:r>
      <w:r>
        <w:rPr/>
        <w:t>weigh</w:t>
      </w:r>
      <w:r>
        <w:rPr>
          <w:spacing w:val="-3"/>
        </w:rPr>
        <w:t> </w:t>
      </w:r>
      <w:r>
        <w:rPr/>
        <w:t>against appointing all members on a full-time basis.</w:t>
      </w:r>
    </w:p>
    <w:p>
      <w:pPr>
        <w:pStyle w:val="BodyText"/>
        <w:spacing w:before="8"/>
        <w:rPr>
          <w:sz w:val="20"/>
        </w:rPr>
      </w:pPr>
    </w:p>
    <w:p>
      <w:pPr>
        <w:pStyle w:val="BodyText"/>
        <w:spacing w:line="288" w:lineRule="auto"/>
        <w:ind w:left="600" w:right="586"/>
      </w:pPr>
      <w:r>
        <w:rPr/>
        <w:t>Similarly, while it is not uncommon for large regulators constituted as commissions to have separate chief executives, the case for adopting this structure for an organisation of ESV’s scale</w:t>
      </w:r>
      <w:r>
        <w:rPr>
          <w:spacing w:val="-3"/>
        </w:rPr>
        <w:t> </w:t>
      </w:r>
      <w:r>
        <w:rPr/>
        <w:t>and</w:t>
      </w:r>
      <w:r>
        <w:rPr>
          <w:spacing w:val="-3"/>
        </w:rPr>
        <w:t> </w:t>
      </w:r>
      <w:r>
        <w:rPr/>
        <w:t>scope</w:t>
      </w:r>
      <w:r>
        <w:rPr>
          <w:spacing w:val="-5"/>
        </w:rPr>
        <w:t> </w:t>
      </w:r>
      <w:r>
        <w:rPr/>
        <w:t>does</w:t>
      </w:r>
      <w:r>
        <w:rPr>
          <w:spacing w:val="-5"/>
        </w:rPr>
        <w:t> </w:t>
      </w:r>
      <w:r>
        <w:rPr/>
        <w:t>not</w:t>
      </w:r>
      <w:r>
        <w:rPr>
          <w:spacing w:val="-1"/>
        </w:rPr>
        <w:t> </w:t>
      </w:r>
      <w:r>
        <w:rPr/>
        <w:t>seem</w:t>
      </w:r>
      <w:r>
        <w:rPr>
          <w:spacing w:val="-4"/>
        </w:rPr>
        <w:t> </w:t>
      </w:r>
      <w:r>
        <w:rPr/>
        <w:t>compelling.</w:t>
      </w:r>
      <w:r>
        <w:rPr>
          <w:spacing w:val="-1"/>
        </w:rPr>
        <w:t> </w:t>
      </w:r>
      <w:r>
        <w:rPr/>
        <w:t>Accordingly,</w:t>
      </w:r>
      <w:r>
        <w:rPr>
          <w:spacing w:val="-4"/>
        </w:rPr>
        <w:t> </w:t>
      </w:r>
      <w:r>
        <w:rPr/>
        <w:t>the</w:t>
      </w:r>
      <w:r>
        <w:rPr>
          <w:spacing w:val="-3"/>
        </w:rPr>
        <w:t> </w:t>
      </w:r>
      <w:r>
        <w:rPr/>
        <w:t>Review</w:t>
      </w:r>
      <w:r>
        <w:rPr>
          <w:spacing w:val="-6"/>
        </w:rPr>
        <w:t> </w:t>
      </w:r>
      <w:r>
        <w:rPr/>
        <w:t>proposes</w:t>
      </w:r>
      <w:r>
        <w:rPr>
          <w:spacing w:val="-2"/>
        </w:rPr>
        <w:t> </w:t>
      </w:r>
      <w:r>
        <w:rPr/>
        <w:t>that</w:t>
      </w:r>
      <w:r>
        <w:rPr>
          <w:spacing w:val="-4"/>
        </w:rPr>
        <w:t> </w:t>
      </w:r>
      <w:r>
        <w:rPr/>
        <w:t>the</w:t>
      </w:r>
      <w:r>
        <w:rPr>
          <w:spacing w:val="-5"/>
        </w:rPr>
        <w:t> </w:t>
      </w:r>
      <w:r>
        <w:rPr/>
        <w:t>chair of the commission should also serve as the Chief Executive of Energy Safe Victoria.</w:t>
      </w:r>
    </w:p>
    <w:p>
      <w:pPr>
        <w:pStyle w:val="BodyText"/>
        <w:spacing w:before="11"/>
        <w:rPr>
          <w:sz w:val="20"/>
        </w:rPr>
      </w:pPr>
    </w:p>
    <w:p>
      <w:pPr>
        <w:pStyle w:val="BodyText"/>
        <w:spacing w:line="288" w:lineRule="auto"/>
        <w:ind w:left="600" w:right="311"/>
      </w:pPr>
      <w:r>
        <w:rPr/>
        <w:t>As</w:t>
      </w:r>
      <w:r>
        <w:rPr>
          <w:spacing w:val="-1"/>
        </w:rPr>
        <w:t> </w:t>
      </w:r>
      <w:r>
        <w:rPr/>
        <w:t>noted</w:t>
      </w:r>
      <w:r>
        <w:rPr>
          <w:spacing w:val="-4"/>
        </w:rPr>
        <w:t> </w:t>
      </w:r>
      <w:r>
        <w:rPr/>
        <w:t>later</w:t>
      </w:r>
      <w:r>
        <w:rPr>
          <w:spacing w:val="-3"/>
        </w:rPr>
        <w:t> </w:t>
      </w:r>
      <w:r>
        <w:rPr/>
        <w:t>in</w:t>
      </w:r>
      <w:r>
        <w:rPr>
          <w:spacing w:val="-4"/>
        </w:rPr>
        <w:t> </w:t>
      </w:r>
      <w:r>
        <w:rPr/>
        <w:t>this</w:t>
      </w:r>
      <w:r>
        <w:rPr>
          <w:spacing w:val="-1"/>
        </w:rPr>
        <w:t> </w:t>
      </w:r>
      <w:r>
        <w:rPr/>
        <w:t>chapter,</w:t>
      </w:r>
      <w:r>
        <w:rPr>
          <w:spacing w:val="-3"/>
        </w:rPr>
        <w:t> </w:t>
      </w:r>
      <w:r>
        <w:rPr/>
        <w:t>the</w:t>
      </w:r>
      <w:r>
        <w:rPr>
          <w:spacing w:val="-2"/>
        </w:rPr>
        <w:t> </w:t>
      </w:r>
      <w:r>
        <w:rPr/>
        <w:t>Director</w:t>
      </w:r>
      <w:r>
        <w:rPr>
          <w:spacing w:val="-3"/>
        </w:rPr>
        <w:t> </w:t>
      </w:r>
      <w:r>
        <w:rPr/>
        <w:t>of Energy</w:t>
      </w:r>
      <w:r>
        <w:rPr>
          <w:spacing w:val="-4"/>
        </w:rPr>
        <w:t> </w:t>
      </w:r>
      <w:r>
        <w:rPr/>
        <w:t>Safety</w:t>
      </w:r>
      <w:r>
        <w:rPr>
          <w:spacing w:val="-4"/>
        </w:rPr>
        <w:t> </w:t>
      </w:r>
      <w:r>
        <w:rPr/>
        <w:t>has</w:t>
      </w:r>
      <w:r>
        <w:rPr>
          <w:spacing w:val="-4"/>
        </w:rPr>
        <w:t> </w:t>
      </w:r>
      <w:r>
        <w:rPr/>
        <w:t>recently</w:t>
      </w:r>
      <w:r>
        <w:rPr>
          <w:spacing w:val="-4"/>
        </w:rPr>
        <w:t> </w:t>
      </w:r>
      <w:r>
        <w:rPr/>
        <w:t>established</w:t>
      </w:r>
      <w:r>
        <w:rPr>
          <w:spacing w:val="-2"/>
        </w:rPr>
        <w:t> </w:t>
      </w:r>
      <w:r>
        <w:rPr/>
        <w:t>a</w:t>
      </w:r>
      <w:r>
        <w:rPr>
          <w:spacing w:val="-3"/>
        </w:rPr>
        <w:t> </w:t>
      </w:r>
      <w:r>
        <w:rPr/>
        <w:t>formal Executive Management Board to bring greater structure and collective leadership to ESV’s corporate management. This Board should continue under the recommended commission </w:t>
      </w:r>
      <w:r>
        <w:rPr>
          <w:spacing w:val="-2"/>
        </w:rPr>
        <w:t>model.</w:t>
      </w:r>
    </w:p>
    <w:p>
      <w:pPr>
        <w:spacing w:after="0" w:line="288" w:lineRule="auto"/>
        <w:sectPr>
          <w:pgSz w:w="11910" w:h="16840"/>
          <w:pgMar w:header="887" w:footer="1228" w:top="1080" w:bottom="1500" w:left="840" w:right="820"/>
        </w:sectPr>
      </w:pPr>
    </w:p>
    <w:p>
      <w:pPr>
        <w:pStyle w:val="BodyText"/>
        <w:rPr>
          <w:sz w:val="20"/>
        </w:rPr>
      </w:pPr>
    </w:p>
    <w:p>
      <w:pPr>
        <w:pStyle w:val="BodyText"/>
        <w:rPr>
          <w:sz w:val="20"/>
        </w:rPr>
      </w:pPr>
    </w:p>
    <w:p>
      <w:pPr>
        <w:pStyle w:val="BodyText"/>
        <w:spacing w:before="5"/>
      </w:pPr>
    </w:p>
    <w:p>
      <w:pPr>
        <w:pStyle w:val="BodyText"/>
        <w:spacing w:line="288" w:lineRule="auto"/>
        <w:ind w:left="600" w:right="769"/>
      </w:pPr>
      <w:r>
        <w:rPr/>
        <w:t>It will be important that the governance model clearly distinguishes between the corporate governance of ESV – for which the commission chair would be responsible as the Chief Executive of ESV advised by the executive management board – and the governance of statutory regulatory decisions, which should solely be the responsibility of the three commission members. Decision making by the commission should be by consensus, or majority</w:t>
      </w:r>
      <w:r>
        <w:rPr>
          <w:spacing w:val="-5"/>
        </w:rPr>
        <w:t> </w:t>
      </w:r>
      <w:r>
        <w:rPr/>
        <w:t>vote</w:t>
      </w:r>
      <w:r>
        <w:rPr>
          <w:spacing w:val="-2"/>
        </w:rPr>
        <w:t> </w:t>
      </w:r>
      <w:r>
        <w:rPr/>
        <w:t>if</w:t>
      </w:r>
      <w:r>
        <w:rPr>
          <w:spacing w:val="-1"/>
        </w:rPr>
        <w:t> </w:t>
      </w:r>
      <w:r>
        <w:rPr/>
        <w:t>a</w:t>
      </w:r>
      <w:r>
        <w:rPr>
          <w:spacing w:val="-3"/>
        </w:rPr>
        <w:t> </w:t>
      </w:r>
      <w:r>
        <w:rPr/>
        <w:t>consensus</w:t>
      </w:r>
      <w:r>
        <w:rPr>
          <w:spacing w:val="-3"/>
        </w:rPr>
        <w:t> </w:t>
      </w:r>
      <w:r>
        <w:rPr/>
        <w:t>cannot</w:t>
      </w:r>
      <w:r>
        <w:rPr>
          <w:spacing w:val="-1"/>
        </w:rPr>
        <w:t> </w:t>
      </w:r>
      <w:r>
        <w:rPr/>
        <w:t>be</w:t>
      </w:r>
      <w:r>
        <w:rPr>
          <w:spacing w:val="-5"/>
        </w:rPr>
        <w:t> </w:t>
      </w:r>
      <w:r>
        <w:rPr/>
        <w:t>reached.</w:t>
      </w:r>
      <w:r>
        <w:rPr>
          <w:spacing w:val="-1"/>
        </w:rPr>
        <w:t> </w:t>
      </w:r>
      <w:r>
        <w:rPr/>
        <w:t>The</w:t>
      </w:r>
      <w:r>
        <w:rPr>
          <w:spacing w:val="-5"/>
        </w:rPr>
        <w:t> </w:t>
      </w:r>
      <w:r>
        <w:rPr/>
        <w:t>commission</w:t>
      </w:r>
      <w:r>
        <w:rPr>
          <w:spacing w:val="-3"/>
        </w:rPr>
        <w:t> </w:t>
      </w:r>
      <w:r>
        <w:rPr/>
        <w:t>should</w:t>
      </w:r>
      <w:r>
        <w:rPr>
          <w:spacing w:val="-7"/>
        </w:rPr>
        <w:t> </w:t>
      </w:r>
      <w:r>
        <w:rPr/>
        <w:t>have</w:t>
      </w:r>
      <w:r>
        <w:rPr>
          <w:spacing w:val="-3"/>
        </w:rPr>
        <w:t> </w:t>
      </w:r>
      <w:r>
        <w:rPr/>
        <w:t>the</w:t>
      </w:r>
      <w:r>
        <w:rPr>
          <w:spacing w:val="-3"/>
        </w:rPr>
        <w:t> </w:t>
      </w:r>
      <w:r>
        <w:rPr/>
        <w:t>capacity to delegate routine decision making to the relevant regulatory staff within ESV.</w:t>
      </w:r>
    </w:p>
    <w:p>
      <w:pPr>
        <w:pStyle w:val="BodyText"/>
        <w:rPr>
          <w:sz w:val="21"/>
        </w:rPr>
      </w:pPr>
    </w:p>
    <w:p>
      <w:pPr>
        <w:pStyle w:val="BodyText"/>
        <w:spacing w:line="288" w:lineRule="auto"/>
        <w:ind w:left="600" w:right="641"/>
      </w:pPr>
      <w:r>
        <w:rPr/>
        <w:t>The governance structure should provide for effective and rapid decision making in emergencies.</w:t>
      </w:r>
      <w:r>
        <w:rPr>
          <w:spacing w:val="-3"/>
        </w:rPr>
        <w:t> </w:t>
      </w:r>
      <w:r>
        <w:rPr/>
        <w:t>The</w:t>
      </w:r>
      <w:r>
        <w:rPr>
          <w:spacing w:val="-4"/>
        </w:rPr>
        <w:t> </w:t>
      </w:r>
      <w:r>
        <w:rPr>
          <w:i/>
        </w:rPr>
        <w:t>Energy</w:t>
      </w:r>
      <w:r>
        <w:rPr>
          <w:i/>
          <w:spacing w:val="-1"/>
        </w:rPr>
        <w:t> </w:t>
      </w:r>
      <w:r>
        <w:rPr>
          <w:i/>
        </w:rPr>
        <w:t>Safe</w:t>
      </w:r>
      <w:r>
        <w:rPr>
          <w:i/>
          <w:spacing w:val="-4"/>
        </w:rPr>
        <w:t> </w:t>
      </w:r>
      <w:r>
        <w:rPr>
          <w:i/>
        </w:rPr>
        <w:t>Victoria</w:t>
      </w:r>
      <w:r>
        <w:rPr>
          <w:i/>
          <w:spacing w:val="-2"/>
        </w:rPr>
        <w:t> </w:t>
      </w:r>
      <w:r>
        <w:rPr>
          <w:i/>
        </w:rPr>
        <w:t>Act</w:t>
      </w:r>
      <w:r>
        <w:rPr>
          <w:i/>
          <w:spacing w:val="-3"/>
        </w:rPr>
        <w:t> </w:t>
      </w:r>
      <w:r>
        <w:rPr>
          <w:i/>
        </w:rPr>
        <w:t>2005</w:t>
      </w:r>
      <w:r>
        <w:rPr>
          <w:i/>
          <w:spacing w:val="-3"/>
        </w:rPr>
        <w:t> </w:t>
      </w:r>
      <w:r>
        <w:rPr/>
        <w:t>contains</w:t>
      </w:r>
      <w:r>
        <w:rPr>
          <w:spacing w:val="-2"/>
        </w:rPr>
        <w:t> </w:t>
      </w:r>
      <w:r>
        <w:rPr/>
        <w:t>specific</w:t>
      </w:r>
      <w:r>
        <w:rPr>
          <w:spacing w:val="-4"/>
        </w:rPr>
        <w:t> </w:t>
      </w:r>
      <w:r>
        <w:rPr/>
        <w:t>provisions</w:t>
      </w:r>
      <w:r>
        <w:rPr>
          <w:spacing w:val="-4"/>
        </w:rPr>
        <w:t> </w:t>
      </w:r>
      <w:r>
        <w:rPr/>
        <w:t>for</w:t>
      </w:r>
      <w:r>
        <w:rPr>
          <w:spacing w:val="-3"/>
        </w:rPr>
        <w:t> </w:t>
      </w:r>
      <w:r>
        <w:rPr/>
        <w:t>the</w:t>
      </w:r>
      <w:r>
        <w:rPr>
          <w:spacing w:val="-2"/>
        </w:rPr>
        <w:t> </w:t>
      </w:r>
      <w:r>
        <w:rPr/>
        <w:t>Director of Energy</w:t>
      </w:r>
      <w:r>
        <w:rPr>
          <w:spacing w:val="-2"/>
        </w:rPr>
        <w:t> </w:t>
      </w:r>
      <w:r>
        <w:rPr/>
        <w:t>Safety</w:t>
      </w:r>
      <w:r>
        <w:rPr>
          <w:spacing w:val="-1"/>
        </w:rPr>
        <w:t> </w:t>
      </w:r>
      <w:r>
        <w:rPr/>
        <w:t>to</w:t>
      </w:r>
      <w:r>
        <w:rPr>
          <w:spacing w:val="-2"/>
        </w:rPr>
        <w:t> </w:t>
      </w:r>
      <w:r>
        <w:rPr/>
        <w:t>have emergency</w:t>
      </w:r>
      <w:r>
        <w:rPr>
          <w:spacing w:val="-2"/>
        </w:rPr>
        <w:t> </w:t>
      </w:r>
      <w:r>
        <w:rPr/>
        <w:t>powers. Under</w:t>
      </w:r>
      <w:r>
        <w:rPr>
          <w:spacing w:val="-1"/>
        </w:rPr>
        <w:t> </w:t>
      </w:r>
      <w:r>
        <w:rPr/>
        <w:t>the proposed</w:t>
      </w:r>
      <w:r>
        <w:rPr>
          <w:spacing w:val="-2"/>
        </w:rPr>
        <w:t> </w:t>
      </w:r>
      <w:r>
        <w:rPr/>
        <w:t>commission structure,</w:t>
      </w:r>
      <w:r>
        <w:rPr>
          <w:spacing w:val="-1"/>
        </w:rPr>
        <w:t> </w:t>
      </w:r>
      <w:r>
        <w:rPr/>
        <w:t>the full-time chairperson should retain these powers.</w:t>
      </w:r>
    </w:p>
    <w:p>
      <w:pPr>
        <w:pStyle w:val="BodyText"/>
        <w:spacing w:before="10"/>
        <w:rPr>
          <w:sz w:val="20"/>
        </w:rPr>
      </w:pPr>
    </w:p>
    <w:p>
      <w:pPr>
        <w:pStyle w:val="BodyText"/>
        <w:spacing w:line="288" w:lineRule="auto"/>
        <w:ind w:left="600" w:right="910"/>
      </w:pPr>
      <w:r>
        <w:rPr/>
        <w:t>Statutory advisory committees currently constituted under Section 8 of the </w:t>
      </w:r>
      <w:r>
        <w:rPr>
          <w:i/>
        </w:rPr>
        <w:t>Energy Safe Victoria Act 2005 </w:t>
      </w:r>
      <w:r>
        <w:rPr/>
        <w:t>and under certain sections of the </w:t>
      </w:r>
      <w:r>
        <w:rPr>
          <w:i/>
        </w:rPr>
        <w:t>Electricity Safety Act 1998</w:t>
      </w:r>
      <w:r>
        <w:rPr/>
        <w:t>, should continue under the revised structure as advisory bodies to the commission. The existing advisory</w:t>
      </w:r>
      <w:r>
        <w:rPr>
          <w:spacing w:val="-4"/>
        </w:rPr>
        <w:t> </w:t>
      </w:r>
      <w:r>
        <w:rPr/>
        <w:t>committees</w:t>
      </w:r>
      <w:r>
        <w:rPr>
          <w:spacing w:val="-4"/>
        </w:rPr>
        <w:t> </w:t>
      </w:r>
      <w:r>
        <w:rPr/>
        <w:t>that</w:t>
      </w:r>
      <w:r>
        <w:rPr>
          <w:spacing w:val="-4"/>
        </w:rPr>
        <w:t> </w:t>
      </w:r>
      <w:r>
        <w:rPr/>
        <w:t>have</w:t>
      </w:r>
      <w:r>
        <w:rPr>
          <w:spacing w:val="-3"/>
        </w:rPr>
        <w:t> </w:t>
      </w:r>
      <w:r>
        <w:rPr/>
        <w:t>been</w:t>
      </w:r>
      <w:r>
        <w:rPr>
          <w:spacing w:val="-3"/>
        </w:rPr>
        <w:t> </w:t>
      </w:r>
      <w:r>
        <w:rPr/>
        <w:t>established</w:t>
      </w:r>
      <w:r>
        <w:rPr>
          <w:spacing w:val="-3"/>
        </w:rPr>
        <w:t> </w:t>
      </w:r>
      <w:r>
        <w:rPr/>
        <w:t>by</w:t>
      </w:r>
      <w:r>
        <w:rPr>
          <w:spacing w:val="-4"/>
        </w:rPr>
        <w:t> </w:t>
      </w:r>
      <w:r>
        <w:rPr/>
        <w:t>ESV</w:t>
      </w:r>
      <w:r>
        <w:rPr>
          <w:spacing w:val="-3"/>
        </w:rPr>
        <w:t> </w:t>
      </w:r>
      <w:r>
        <w:rPr/>
        <w:t>on</w:t>
      </w:r>
      <w:r>
        <w:rPr>
          <w:spacing w:val="-3"/>
        </w:rPr>
        <w:t> </w:t>
      </w:r>
      <w:r>
        <w:rPr/>
        <w:t>a</w:t>
      </w:r>
      <w:r>
        <w:rPr>
          <w:spacing w:val="-3"/>
        </w:rPr>
        <w:t> </w:t>
      </w:r>
      <w:r>
        <w:rPr/>
        <w:t>non-statutory</w:t>
      </w:r>
      <w:r>
        <w:rPr>
          <w:spacing w:val="-4"/>
        </w:rPr>
        <w:t> </w:t>
      </w:r>
      <w:r>
        <w:rPr/>
        <w:t>basis</w:t>
      </w:r>
      <w:r>
        <w:rPr>
          <w:spacing w:val="-2"/>
        </w:rPr>
        <w:t> </w:t>
      </w:r>
      <w:r>
        <w:rPr/>
        <w:t>should also be maintained.</w:t>
      </w:r>
    </w:p>
    <w:p>
      <w:pPr>
        <w:spacing w:after="0" w:line="288" w:lineRule="auto"/>
        <w:sectPr>
          <w:pgSz w:w="11910" w:h="16840"/>
          <w:pgMar w:header="887" w:footer="1228" w:top="1080" w:bottom="1500" w:left="840" w:right="820"/>
        </w:sectPr>
      </w:pPr>
    </w:p>
    <w:p>
      <w:pPr>
        <w:pStyle w:val="BodyText"/>
        <w:rPr>
          <w:sz w:val="20"/>
        </w:rPr>
      </w:pPr>
    </w:p>
    <w:p>
      <w:pPr>
        <w:pStyle w:val="BodyText"/>
        <w:rPr>
          <w:sz w:val="20"/>
        </w:rPr>
      </w:pPr>
    </w:p>
    <w:p>
      <w:pPr>
        <w:pStyle w:val="BodyText"/>
        <w:spacing w:before="5"/>
      </w:pPr>
    </w:p>
    <w:p>
      <w:pPr>
        <w:spacing w:before="0"/>
        <w:ind w:left="600" w:right="0" w:firstLine="0"/>
        <w:jc w:val="left"/>
        <w:rPr>
          <w:b/>
          <w:sz w:val="22"/>
        </w:rPr>
      </w:pPr>
      <w:r>
        <w:rPr>
          <w:b/>
          <w:sz w:val="22"/>
        </w:rPr>
        <w:t>Figure</w:t>
      </w:r>
      <w:r>
        <w:rPr>
          <w:b/>
          <w:spacing w:val="-6"/>
          <w:sz w:val="22"/>
        </w:rPr>
        <w:t> </w:t>
      </w:r>
      <w:r>
        <w:rPr>
          <w:b/>
          <w:sz w:val="22"/>
        </w:rPr>
        <w:t>11:</w:t>
      </w:r>
      <w:r>
        <w:rPr>
          <w:b/>
          <w:spacing w:val="-4"/>
          <w:sz w:val="22"/>
        </w:rPr>
        <w:t> </w:t>
      </w:r>
      <w:r>
        <w:rPr>
          <w:b/>
          <w:sz w:val="22"/>
        </w:rPr>
        <w:t>Proposed</w:t>
      </w:r>
      <w:r>
        <w:rPr>
          <w:b/>
          <w:spacing w:val="-5"/>
          <w:sz w:val="22"/>
        </w:rPr>
        <w:t> </w:t>
      </w:r>
      <w:r>
        <w:rPr>
          <w:b/>
          <w:sz w:val="22"/>
        </w:rPr>
        <w:t>governance</w:t>
      </w:r>
      <w:r>
        <w:rPr>
          <w:b/>
          <w:spacing w:val="-2"/>
          <w:sz w:val="22"/>
        </w:rPr>
        <w:t> </w:t>
      </w:r>
      <w:r>
        <w:rPr>
          <w:b/>
          <w:sz w:val="22"/>
        </w:rPr>
        <w:t>structure</w:t>
      </w:r>
      <w:r>
        <w:rPr>
          <w:b/>
          <w:spacing w:val="-9"/>
          <w:sz w:val="22"/>
        </w:rPr>
        <w:t> </w:t>
      </w:r>
      <w:r>
        <w:rPr>
          <w:b/>
          <w:sz w:val="22"/>
        </w:rPr>
        <w:t>with</w:t>
      </w:r>
      <w:r>
        <w:rPr>
          <w:b/>
          <w:spacing w:val="-4"/>
          <w:sz w:val="22"/>
        </w:rPr>
        <w:t> </w:t>
      </w:r>
      <w:r>
        <w:rPr>
          <w:b/>
          <w:sz w:val="22"/>
        </w:rPr>
        <w:t>a</w:t>
      </w:r>
      <w:r>
        <w:rPr>
          <w:b/>
          <w:spacing w:val="-7"/>
          <w:sz w:val="22"/>
        </w:rPr>
        <w:t> </w:t>
      </w:r>
      <w:r>
        <w:rPr>
          <w:b/>
          <w:sz w:val="22"/>
        </w:rPr>
        <w:t>new</w:t>
      </w:r>
      <w:r>
        <w:rPr>
          <w:b/>
          <w:spacing w:val="-3"/>
          <w:sz w:val="22"/>
        </w:rPr>
        <w:t> </w:t>
      </w:r>
      <w:r>
        <w:rPr>
          <w:b/>
          <w:sz w:val="22"/>
        </w:rPr>
        <w:t>Energy</w:t>
      </w:r>
      <w:r>
        <w:rPr>
          <w:b/>
          <w:spacing w:val="-8"/>
          <w:sz w:val="22"/>
        </w:rPr>
        <w:t> </w:t>
      </w:r>
      <w:r>
        <w:rPr>
          <w:b/>
          <w:sz w:val="22"/>
        </w:rPr>
        <w:t>Safety</w:t>
      </w:r>
      <w:r>
        <w:rPr>
          <w:b/>
          <w:spacing w:val="-6"/>
          <w:sz w:val="22"/>
        </w:rPr>
        <w:t> </w:t>
      </w:r>
      <w:r>
        <w:rPr>
          <w:b/>
          <w:spacing w:val="-2"/>
          <w:sz w:val="22"/>
        </w:rPr>
        <w:t>Commission</w:t>
      </w:r>
    </w:p>
    <w:p>
      <w:pPr>
        <w:pStyle w:val="BodyText"/>
        <w:rPr>
          <w:b/>
          <w:sz w:val="20"/>
        </w:rPr>
      </w:pPr>
    </w:p>
    <w:p>
      <w:pPr>
        <w:pStyle w:val="BodyText"/>
        <w:spacing w:before="2"/>
        <w:rPr>
          <w:b/>
          <w:sz w:val="19"/>
        </w:rPr>
      </w:pPr>
      <w:r>
        <w:rPr/>
        <w:drawing>
          <wp:anchor distT="0" distB="0" distL="0" distR="0" allowOverlap="1" layoutInCell="1" locked="0" behindDoc="1" simplePos="0" relativeHeight="487611904">
            <wp:simplePos x="0" y="0"/>
            <wp:positionH relativeFrom="page">
              <wp:posOffset>914400</wp:posOffset>
            </wp:positionH>
            <wp:positionV relativeFrom="paragraph">
              <wp:posOffset>155639</wp:posOffset>
            </wp:positionV>
            <wp:extent cx="5880972" cy="4158519"/>
            <wp:effectExtent l="0" t="0" r="0" b="0"/>
            <wp:wrapTopAndBottom/>
            <wp:docPr id="102" name="Image 102"/>
            <wp:cNvGraphicFramePr>
              <a:graphicFrameLocks/>
            </wp:cNvGraphicFramePr>
            <a:graphic>
              <a:graphicData uri="http://schemas.openxmlformats.org/drawingml/2006/picture">
                <pic:pic>
                  <pic:nvPicPr>
                    <pic:cNvPr id="102" name="Image 102"/>
                    <pic:cNvPicPr/>
                  </pic:nvPicPr>
                  <pic:blipFill>
                    <a:blip r:embed="rId69" cstate="print"/>
                    <a:stretch>
                      <a:fillRect/>
                    </a:stretch>
                  </pic:blipFill>
                  <pic:spPr>
                    <a:xfrm>
                      <a:off x="0" y="0"/>
                      <a:ext cx="5880972" cy="4158519"/>
                    </a:xfrm>
                    <a:prstGeom prst="rect">
                      <a:avLst/>
                    </a:prstGeom>
                  </pic:spPr>
                </pic:pic>
              </a:graphicData>
            </a:graphic>
          </wp:anchor>
        </w:drawing>
      </w:r>
      <w:r>
        <w:rPr/>
        <mc:AlternateContent>
          <mc:Choice Requires="wps">
            <w:drawing>
              <wp:anchor distT="0" distB="0" distL="0" distR="0" allowOverlap="1" layoutInCell="1" locked="0" behindDoc="1" simplePos="0" relativeHeight="487612416">
                <wp:simplePos x="0" y="0"/>
                <wp:positionH relativeFrom="page">
                  <wp:posOffset>914704</wp:posOffset>
                </wp:positionH>
                <wp:positionV relativeFrom="paragraph">
                  <wp:posOffset>4540314</wp:posOffset>
                </wp:positionV>
                <wp:extent cx="5732780" cy="2054860"/>
                <wp:effectExtent l="0" t="0" r="0" b="0"/>
                <wp:wrapTopAndBottom/>
                <wp:docPr id="103" name="Textbox 103"/>
                <wp:cNvGraphicFramePr>
                  <a:graphicFrameLocks/>
                </wp:cNvGraphicFramePr>
                <a:graphic>
                  <a:graphicData uri="http://schemas.microsoft.com/office/word/2010/wordprocessingShape">
                    <wps:wsp>
                      <wps:cNvPr id="103" name="Textbox 103"/>
                      <wps:cNvSpPr txBox="1"/>
                      <wps:spPr>
                        <a:xfrm>
                          <a:off x="0" y="0"/>
                          <a:ext cx="5732780" cy="2054860"/>
                        </a:xfrm>
                        <a:prstGeom prst="rect">
                          <a:avLst/>
                        </a:prstGeom>
                        <a:solidFill>
                          <a:srgbClr val="D9D9D9"/>
                        </a:solidFill>
                      </wps:spPr>
                      <wps:txbx>
                        <w:txbxContent>
                          <w:p>
                            <w:pPr>
                              <w:pStyle w:val="BodyText"/>
                              <w:spacing w:before="6"/>
                              <w:rPr>
                                <w:b/>
                                <w:color w:val="000000"/>
                                <w:sz w:val="36"/>
                              </w:rPr>
                            </w:pPr>
                          </w:p>
                          <w:p>
                            <w:pPr>
                              <w:spacing w:before="0"/>
                              <w:ind w:left="141" w:right="0" w:firstLine="0"/>
                              <w:jc w:val="left"/>
                              <w:rPr>
                                <w:b/>
                                <w:color w:val="000000"/>
                                <w:sz w:val="24"/>
                              </w:rPr>
                            </w:pPr>
                            <w:r>
                              <w:rPr>
                                <w:b/>
                                <w:color w:val="000000"/>
                                <w:spacing w:val="-2"/>
                                <w:sz w:val="24"/>
                              </w:rPr>
                              <w:t>Recommendation</w:t>
                            </w:r>
                            <w:r>
                              <w:rPr>
                                <w:b/>
                                <w:color w:val="000000"/>
                                <w:sz w:val="24"/>
                              </w:rPr>
                              <w:t> </w:t>
                            </w:r>
                            <w:r>
                              <w:rPr>
                                <w:b/>
                                <w:color w:val="000000"/>
                                <w:spacing w:val="-10"/>
                                <w:sz w:val="24"/>
                              </w:rPr>
                              <w:t>1</w:t>
                            </w:r>
                          </w:p>
                          <w:p>
                            <w:pPr>
                              <w:pStyle w:val="BodyText"/>
                              <w:spacing w:line="288" w:lineRule="auto" w:before="175"/>
                              <w:ind w:left="112" w:right="205"/>
                              <w:rPr>
                                <w:color w:val="000000"/>
                              </w:rPr>
                            </w:pPr>
                            <w:r>
                              <w:rPr>
                                <w:color w:val="000000"/>
                              </w:rPr>
                              <w:t>Energy</w:t>
                            </w:r>
                            <w:r>
                              <w:rPr>
                                <w:color w:val="000000"/>
                                <w:spacing w:val="-4"/>
                              </w:rPr>
                              <w:t> </w:t>
                            </w:r>
                            <w:r>
                              <w:rPr>
                                <w:color w:val="000000"/>
                              </w:rPr>
                              <w:t>Safe</w:t>
                            </w:r>
                            <w:r>
                              <w:rPr>
                                <w:color w:val="000000"/>
                                <w:spacing w:val="-4"/>
                              </w:rPr>
                              <w:t> </w:t>
                            </w:r>
                            <w:r>
                              <w:rPr>
                                <w:color w:val="000000"/>
                              </w:rPr>
                              <w:t>Victoria</w:t>
                            </w:r>
                            <w:r>
                              <w:rPr>
                                <w:color w:val="000000"/>
                                <w:spacing w:val="-2"/>
                              </w:rPr>
                              <w:t> </w:t>
                            </w:r>
                            <w:r>
                              <w:rPr>
                                <w:color w:val="000000"/>
                              </w:rPr>
                              <w:t>should</w:t>
                            </w:r>
                            <w:r>
                              <w:rPr>
                                <w:color w:val="000000"/>
                                <w:spacing w:val="-2"/>
                              </w:rPr>
                              <w:t> </w:t>
                            </w:r>
                            <w:r>
                              <w:rPr>
                                <w:color w:val="000000"/>
                              </w:rPr>
                              <w:t>be</w:t>
                            </w:r>
                            <w:r>
                              <w:rPr>
                                <w:color w:val="000000"/>
                                <w:spacing w:val="-2"/>
                              </w:rPr>
                              <w:t> </w:t>
                            </w:r>
                            <w:r>
                              <w:rPr>
                                <w:color w:val="000000"/>
                              </w:rPr>
                              <w:t>established</w:t>
                            </w:r>
                            <w:r>
                              <w:rPr>
                                <w:color w:val="000000"/>
                                <w:spacing w:val="-4"/>
                              </w:rPr>
                              <w:t> </w:t>
                            </w:r>
                            <w:r>
                              <w:rPr>
                                <w:color w:val="000000"/>
                              </w:rPr>
                              <w:t>as</w:t>
                            </w:r>
                            <w:r>
                              <w:rPr>
                                <w:color w:val="000000"/>
                                <w:spacing w:val="-2"/>
                              </w:rPr>
                              <w:t> </w:t>
                            </w:r>
                            <w:r>
                              <w:rPr>
                                <w:color w:val="000000"/>
                              </w:rPr>
                              <w:t>a</w:t>
                            </w:r>
                            <w:r>
                              <w:rPr>
                                <w:color w:val="000000"/>
                                <w:spacing w:val="-4"/>
                              </w:rPr>
                              <w:t> </w:t>
                            </w:r>
                            <w:r>
                              <w:rPr>
                                <w:color w:val="000000"/>
                              </w:rPr>
                              <w:t>commission</w:t>
                            </w:r>
                            <w:r>
                              <w:rPr>
                                <w:color w:val="000000"/>
                                <w:spacing w:val="-2"/>
                              </w:rPr>
                              <w:t> </w:t>
                            </w:r>
                            <w:r>
                              <w:rPr>
                                <w:color w:val="000000"/>
                              </w:rPr>
                              <w:t>with</w:t>
                            </w:r>
                            <w:r>
                              <w:rPr>
                                <w:color w:val="000000"/>
                                <w:spacing w:val="-2"/>
                              </w:rPr>
                              <w:t> </w:t>
                            </w:r>
                            <w:r>
                              <w:rPr>
                                <w:color w:val="000000"/>
                              </w:rPr>
                              <w:t>three</w:t>
                            </w:r>
                            <w:r>
                              <w:rPr>
                                <w:color w:val="000000"/>
                                <w:spacing w:val="-4"/>
                              </w:rPr>
                              <w:t> </w:t>
                            </w:r>
                            <w:r>
                              <w:rPr>
                                <w:color w:val="000000"/>
                              </w:rPr>
                              <w:t>commissioners. One</w:t>
                            </w:r>
                            <w:r>
                              <w:rPr>
                                <w:color w:val="000000"/>
                                <w:spacing w:val="-3"/>
                              </w:rPr>
                              <w:t> </w:t>
                            </w:r>
                            <w:r>
                              <w:rPr>
                                <w:color w:val="000000"/>
                              </w:rPr>
                              <w:t>commissioner</w:t>
                            </w:r>
                            <w:r>
                              <w:rPr>
                                <w:color w:val="000000"/>
                                <w:spacing w:val="-4"/>
                              </w:rPr>
                              <w:t> </w:t>
                            </w:r>
                            <w:r>
                              <w:rPr>
                                <w:color w:val="000000"/>
                              </w:rPr>
                              <w:t>should</w:t>
                            </w:r>
                            <w:r>
                              <w:rPr>
                                <w:color w:val="000000"/>
                                <w:spacing w:val="-3"/>
                              </w:rPr>
                              <w:t> </w:t>
                            </w:r>
                            <w:r>
                              <w:rPr>
                                <w:color w:val="000000"/>
                              </w:rPr>
                              <w:t>serve</w:t>
                            </w:r>
                            <w:r>
                              <w:rPr>
                                <w:color w:val="000000"/>
                                <w:spacing w:val="-3"/>
                              </w:rPr>
                              <w:t> </w:t>
                            </w:r>
                            <w:r>
                              <w:rPr>
                                <w:color w:val="000000"/>
                              </w:rPr>
                              <w:t>as</w:t>
                            </w:r>
                            <w:r>
                              <w:rPr>
                                <w:color w:val="000000"/>
                                <w:spacing w:val="-5"/>
                              </w:rPr>
                              <w:t> </w:t>
                            </w:r>
                            <w:r>
                              <w:rPr>
                                <w:color w:val="000000"/>
                              </w:rPr>
                              <w:t>a</w:t>
                            </w:r>
                            <w:r>
                              <w:rPr>
                                <w:color w:val="000000"/>
                                <w:spacing w:val="-5"/>
                              </w:rPr>
                              <w:t> </w:t>
                            </w:r>
                            <w:r>
                              <w:rPr>
                                <w:color w:val="000000"/>
                              </w:rPr>
                              <w:t>full-time</w:t>
                            </w:r>
                            <w:r>
                              <w:rPr>
                                <w:color w:val="000000"/>
                                <w:spacing w:val="-5"/>
                              </w:rPr>
                              <w:t> </w:t>
                            </w:r>
                            <w:r>
                              <w:rPr>
                                <w:color w:val="000000"/>
                              </w:rPr>
                              <w:t>chair,</w:t>
                            </w:r>
                            <w:r>
                              <w:rPr>
                                <w:color w:val="000000"/>
                                <w:spacing w:val="-1"/>
                              </w:rPr>
                              <w:t> </w:t>
                            </w:r>
                            <w:r>
                              <w:rPr>
                                <w:color w:val="000000"/>
                              </w:rPr>
                              <w:t>with</w:t>
                            </w:r>
                            <w:r>
                              <w:rPr>
                                <w:color w:val="000000"/>
                                <w:spacing w:val="-3"/>
                              </w:rPr>
                              <w:t> </w:t>
                            </w:r>
                            <w:r>
                              <w:rPr>
                                <w:color w:val="000000"/>
                              </w:rPr>
                              <w:t>reserve</w:t>
                            </w:r>
                            <w:r>
                              <w:rPr>
                                <w:color w:val="000000"/>
                                <w:spacing w:val="-3"/>
                              </w:rPr>
                              <w:t> </w:t>
                            </w:r>
                            <w:r>
                              <w:rPr>
                                <w:color w:val="000000"/>
                              </w:rPr>
                              <w:t>powers</w:t>
                            </w:r>
                            <w:r>
                              <w:rPr>
                                <w:color w:val="000000"/>
                                <w:spacing w:val="-2"/>
                              </w:rPr>
                              <w:t> </w:t>
                            </w:r>
                            <w:r>
                              <w:rPr>
                                <w:color w:val="000000"/>
                              </w:rPr>
                              <w:t>in</w:t>
                            </w:r>
                            <w:r>
                              <w:rPr>
                                <w:color w:val="000000"/>
                                <w:spacing w:val="-3"/>
                              </w:rPr>
                              <w:t> </w:t>
                            </w:r>
                            <w:r>
                              <w:rPr>
                                <w:color w:val="000000"/>
                              </w:rPr>
                              <w:t>the</w:t>
                            </w:r>
                            <w:r>
                              <w:rPr>
                                <w:color w:val="000000"/>
                                <w:spacing w:val="-5"/>
                              </w:rPr>
                              <w:t> </w:t>
                            </w:r>
                            <w:r>
                              <w:rPr>
                                <w:color w:val="000000"/>
                              </w:rPr>
                              <w:t>event</w:t>
                            </w:r>
                            <w:r>
                              <w:rPr>
                                <w:color w:val="000000"/>
                                <w:spacing w:val="-1"/>
                              </w:rPr>
                              <w:t> </w:t>
                            </w:r>
                            <w:r>
                              <w:rPr>
                                <w:color w:val="000000"/>
                              </w:rPr>
                              <w:t>of emergencies. The remaining two commissioners should be appointed on a part-time basis. The commissioners should each have equal voting rights, with decisions being made by consensus, or by a simple majority if a consensus cannot be achieved.</w:t>
                            </w:r>
                          </w:p>
                          <w:p>
                            <w:pPr>
                              <w:pStyle w:val="BodyText"/>
                              <w:spacing w:line="288" w:lineRule="auto"/>
                              <w:ind w:left="112" w:right="205"/>
                              <w:rPr>
                                <w:color w:val="000000"/>
                              </w:rPr>
                            </w:pPr>
                            <w:r>
                              <w:rPr>
                                <w:color w:val="000000"/>
                              </w:rPr>
                              <w:t>Commissioners</w:t>
                            </w:r>
                            <w:r>
                              <w:rPr>
                                <w:color w:val="000000"/>
                                <w:spacing w:val="-3"/>
                              </w:rPr>
                              <w:t> </w:t>
                            </w:r>
                            <w:r>
                              <w:rPr>
                                <w:color w:val="000000"/>
                              </w:rPr>
                              <w:t>should</w:t>
                            </w:r>
                            <w:r>
                              <w:rPr>
                                <w:color w:val="000000"/>
                                <w:spacing w:val="-2"/>
                              </w:rPr>
                              <w:t> </w:t>
                            </w:r>
                            <w:r>
                              <w:rPr>
                                <w:color w:val="000000"/>
                              </w:rPr>
                              <w:t>be</w:t>
                            </w:r>
                            <w:r>
                              <w:rPr>
                                <w:color w:val="000000"/>
                                <w:spacing w:val="-2"/>
                              </w:rPr>
                              <w:t> </w:t>
                            </w:r>
                            <w:r>
                              <w:rPr>
                                <w:color w:val="000000"/>
                              </w:rPr>
                              <w:t>appointed</w:t>
                            </w:r>
                            <w:r>
                              <w:rPr>
                                <w:color w:val="000000"/>
                                <w:spacing w:val="-4"/>
                              </w:rPr>
                              <w:t> </w:t>
                            </w:r>
                            <w:r>
                              <w:rPr>
                                <w:color w:val="000000"/>
                              </w:rPr>
                              <w:t>for</w:t>
                            </w:r>
                            <w:r>
                              <w:rPr>
                                <w:color w:val="000000"/>
                                <w:spacing w:val="-6"/>
                              </w:rPr>
                              <w:t> </w:t>
                            </w:r>
                            <w:r>
                              <w:rPr>
                                <w:color w:val="000000"/>
                              </w:rPr>
                              <w:t>five</w:t>
                            </w:r>
                            <w:r>
                              <w:rPr>
                                <w:color w:val="000000"/>
                                <w:spacing w:val="-2"/>
                              </w:rPr>
                              <w:t> </w:t>
                            </w:r>
                            <w:r>
                              <w:rPr>
                                <w:color w:val="000000"/>
                              </w:rPr>
                              <w:t>year</w:t>
                            </w:r>
                            <w:r>
                              <w:rPr>
                                <w:color w:val="000000"/>
                                <w:spacing w:val="-3"/>
                              </w:rPr>
                              <w:t> </w:t>
                            </w:r>
                            <w:r>
                              <w:rPr>
                                <w:color w:val="000000"/>
                              </w:rPr>
                              <w:t>terms,</w:t>
                            </w:r>
                            <w:r>
                              <w:rPr>
                                <w:color w:val="000000"/>
                                <w:spacing w:val="-3"/>
                              </w:rPr>
                              <w:t> </w:t>
                            </w:r>
                            <w:r>
                              <w:rPr>
                                <w:color w:val="000000"/>
                              </w:rPr>
                              <w:t>with</w:t>
                            </w:r>
                            <w:r>
                              <w:rPr>
                                <w:color w:val="000000"/>
                                <w:spacing w:val="-2"/>
                              </w:rPr>
                              <w:t> </w:t>
                            </w:r>
                            <w:r>
                              <w:rPr>
                                <w:color w:val="000000"/>
                              </w:rPr>
                              <w:t>the</w:t>
                            </w:r>
                            <w:r>
                              <w:rPr>
                                <w:color w:val="000000"/>
                                <w:spacing w:val="-2"/>
                              </w:rPr>
                              <w:t> </w:t>
                            </w:r>
                            <w:r>
                              <w:rPr>
                                <w:color w:val="000000"/>
                              </w:rPr>
                              <w:t>ability</w:t>
                            </w:r>
                            <w:r>
                              <w:rPr>
                                <w:color w:val="000000"/>
                                <w:spacing w:val="-4"/>
                              </w:rPr>
                              <w:t> </w:t>
                            </w:r>
                            <w:r>
                              <w:rPr>
                                <w:color w:val="000000"/>
                              </w:rPr>
                              <w:t>for</w:t>
                            </w:r>
                            <w:r>
                              <w:rPr>
                                <w:color w:val="000000"/>
                                <w:spacing w:val="-3"/>
                              </w:rPr>
                              <w:t> </w:t>
                            </w:r>
                            <w:r>
                              <w:rPr>
                                <w:color w:val="000000"/>
                              </w:rPr>
                              <w:t>these</w:t>
                            </w:r>
                            <w:r>
                              <w:rPr>
                                <w:color w:val="000000"/>
                                <w:spacing w:val="-4"/>
                              </w:rPr>
                              <w:t> </w:t>
                            </w:r>
                            <w:r>
                              <w:rPr>
                                <w:color w:val="000000"/>
                              </w:rPr>
                              <w:t>terms</w:t>
                            </w:r>
                            <w:r>
                              <w:rPr>
                                <w:color w:val="000000"/>
                                <w:spacing w:val="-4"/>
                              </w:rPr>
                              <w:t> </w:t>
                            </w:r>
                            <w:r>
                              <w:rPr>
                                <w:color w:val="000000"/>
                              </w:rPr>
                              <w:t>to be renewed once only.</w:t>
                            </w:r>
                          </w:p>
                        </w:txbxContent>
                      </wps:txbx>
                      <wps:bodyPr wrap="square" lIns="0" tIns="0" rIns="0" bIns="0" rtlCol="0">
                        <a:noAutofit/>
                      </wps:bodyPr>
                    </wps:wsp>
                  </a:graphicData>
                </a:graphic>
              </wp:anchor>
            </w:drawing>
          </mc:Choice>
          <mc:Fallback>
            <w:pict>
              <v:shape style="position:absolute;margin-left:72.024002pt;margin-top:357.505066pt;width:451.4pt;height:161.8pt;mso-position-horizontal-relative:page;mso-position-vertical-relative:paragraph;z-index:-15704064;mso-wrap-distance-left:0;mso-wrap-distance-right:0" type="#_x0000_t202" id="docshape88" filled="true" fillcolor="#d9d9d9" stroked="false">
                <v:textbox inset="0,0,0,0">
                  <w:txbxContent>
                    <w:p>
                      <w:pPr>
                        <w:pStyle w:val="BodyText"/>
                        <w:spacing w:before="6"/>
                        <w:rPr>
                          <w:b/>
                          <w:color w:val="000000"/>
                          <w:sz w:val="36"/>
                        </w:rPr>
                      </w:pPr>
                    </w:p>
                    <w:p>
                      <w:pPr>
                        <w:spacing w:before="0"/>
                        <w:ind w:left="141" w:right="0" w:firstLine="0"/>
                        <w:jc w:val="left"/>
                        <w:rPr>
                          <w:b/>
                          <w:color w:val="000000"/>
                          <w:sz w:val="24"/>
                        </w:rPr>
                      </w:pPr>
                      <w:r>
                        <w:rPr>
                          <w:b/>
                          <w:color w:val="000000"/>
                          <w:spacing w:val="-2"/>
                          <w:sz w:val="24"/>
                        </w:rPr>
                        <w:t>Recommendation</w:t>
                      </w:r>
                      <w:r>
                        <w:rPr>
                          <w:b/>
                          <w:color w:val="000000"/>
                          <w:sz w:val="24"/>
                        </w:rPr>
                        <w:t> </w:t>
                      </w:r>
                      <w:r>
                        <w:rPr>
                          <w:b/>
                          <w:color w:val="000000"/>
                          <w:spacing w:val="-10"/>
                          <w:sz w:val="24"/>
                        </w:rPr>
                        <w:t>1</w:t>
                      </w:r>
                    </w:p>
                    <w:p>
                      <w:pPr>
                        <w:pStyle w:val="BodyText"/>
                        <w:spacing w:line="288" w:lineRule="auto" w:before="175"/>
                        <w:ind w:left="112" w:right="205"/>
                        <w:rPr>
                          <w:color w:val="000000"/>
                        </w:rPr>
                      </w:pPr>
                      <w:r>
                        <w:rPr>
                          <w:color w:val="000000"/>
                        </w:rPr>
                        <w:t>Energy</w:t>
                      </w:r>
                      <w:r>
                        <w:rPr>
                          <w:color w:val="000000"/>
                          <w:spacing w:val="-4"/>
                        </w:rPr>
                        <w:t> </w:t>
                      </w:r>
                      <w:r>
                        <w:rPr>
                          <w:color w:val="000000"/>
                        </w:rPr>
                        <w:t>Safe</w:t>
                      </w:r>
                      <w:r>
                        <w:rPr>
                          <w:color w:val="000000"/>
                          <w:spacing w:val="-4"/>
                        </w:rPr>
                        <w:t> </w:t>
                      </w:r>
                      <w:r>
                        <w:rPr>
                          <w:color w:val="000000"/>
                        </w:rPr>
                        <w:t>Victoria</w:t>
                      </w:r>
                      <w:r>
                        <w:rPr>
                          <w:color w:val="000000"/>
                          <w:spacing w:val="-2"/>
                        </w:rPr>
                        <w:t> </w:t>
                      </w:r>
                      <w:r>
                        <w:rPr>
                          <w:color w:val="000000"/>
                        </w:rPr>
                        <w:t>should</w:t>
                      </w:r>
                      <w:r>
                        <w:rPr>
                          <w:color w:val="000000"/>
                          <w:spacing w:val="-2"/>
                        </w:rPr>
                        <w:t> </w:t>
                      </w:r>
                      <w:r>
                        <w:rPr>
                          <w:color w:val="000000"/>
                        </w:rPr>
                        <w:t>be</w:t>
                      </w:r>
                      <w:r>
                        <w:rPr>
                          <w:color w:val="000000"/>
                          <w:spacing w:val="-2"/>
                        </w:rPr>
                        <w:t> </w:t>
                      </w:r>
                      <w:r>
                        <w:rPr>
                          <w:color w:val="000000"/>
                        </w:rPr>
                        <w:t>established</w:t>
                      </w:r>
                      <w:r>
                        <w:rPr>
                          <w:color w:val="000000"/>
                          <w:spacing w:val="-4"/>
                        </w:rPr>
                        <w:t> </w:t>
                      </w:r>
                      <w:r>
                        <w:rPr>
                          <w:color w:val="000000"/>
                        </w:rPr>
                        <w:t>as</w:t>
                      </w:r>
                      <w:r>
                        <w:rPr>
                          <w:color w:val="000000"/>
                          <w:spacing w:val="-2"/>
                        </w:rPr>
                        <w:t> </w:t>
                      </w:r>
                      <w:r>
                        <w:rPr>
                          <w:color w:val="000000"/>
                        </w:rPr>
                        <w:t>a</w:t>
                      </w:r>
                      <w:r>
                        <w:rPr>
                          <w:color w:val="000000"/>
                          <w:spacing w:val="-4"/>
                        </w:rPr>
                        <w:t> </w:t>
                      </w:r>
                      <w:r>
                        <w:rPr>
                          <w:color w:val="000000"/>
                        </w:rPr>
                        <w:t>commission</w:t>
                      </w:r>
                      <w:r>
                        <w:rPr>
                          <w:color w:val="000000"/>
                          <w:spacing w:val="-2"/>
                        </w:rPr>
                        <w:t> </w:t>
                      </w:r>
                      <w:r>
                        <w:rPr>
                          <w:color w:val="000000"/>
                        </w:rPr>
                        <w:t>with</w:t>
                      </w:r>
                      <w:r>
                        <w:rPr>
                          <w:color w:val="000000"/>
                          <w:spacing w:val="-2"/>
                        </w:rPr>
                        <w:t> </w:t>
                      </w:r>
                      <w:r>
                        <w:rPr>
                          <w:color w:val="000000"/>
                        </w:rPr>
                        <w:t>three</w:t>
                      </w:r>
                      <w:r>
                        <w:rPr>
                          <w:color w:val="000000"/>
                          <w:spacing w:val="-4"/>
                        </w:rPr>
                        <w:t> </w:t>
                      </w:r>
                      <w:r>
                        <w:rPr>
                          <w:color w:val="000000"/>
                        </w:rPr>
                        <w:t>commissioners. One</w:t>
                      </w:r>
                      <w:r>
                        <w:rPr>
                          <w:color w:val="000000"/>
                          <w:spacing w:val="-3"/>
                        </w:rPr>
                        <w:t> </w:t>
                      </w:r>
                      <w:r>
                        <w:rPr>
                          <w:color w:val="000000"/>
                        </w:rPr>
                        <w:t>commissioner</w:t>
                      </w:r>
                      <w:r>
                        <w:rPr>
                          <w:color w:val="000000"/>
                          <w:spacing w:val="-4"/>
                        </w:rPr>
                        <w:t> </w:t>
                      </w:r>
                      <w:r>
                        <w:rPr>
                          <w:color w:val="000000"/>
                        </w:rPr>
                        <w:t>should</w:t>
                      </w:r>
                      <w:r>
                        <w:rPr>
                          <w:color w:val="000000"/>
                          <w:spacing w:val="-3"/>
                        </w:rPr>
                        <w:t> </w:t>
                      </w:r>
                      <w:r>
                        <w:rPr>
                          <w:color w:val="000000"/>
                        </w:rPr>
                        <w:t>serve</w:t>
                      </w:r>
                      <w:r>
                        <w:rPr>
                          <w:color w:val="000000"/>
                          <w:spacing w:val="-3"/>
                        </w:rPr>
                        <w:t> </w:t>
                      </w:r>
                      <w:r>
                        <w:rPr>
                          <w:color w:val="000000"/>
                        </w:rPr>
                        <w:t>as</w:t>
                      </w:r>
                      <w:r>
                        <w:rPr>
                          <w:color w:val="000000"/>
                          <w:spacing w:val="-5"/>
                        </w:rPr>
                        <w:t> </w:t>
                      </w:r>
                      <w:r>
                        <w:rPr>
                          <w:color w:val="000000"/>
                        </w:rPr>
                        <w:t>a</w:t>
                      </w:r>
                      <w:r>
                        <w:rPr>
                          <w:color w:val="000000"/>
                          <w:spacing w:val="-5"/>
                        </w:rPr>
                        <w:t> </w:t>
                      </w:r>
                      <w:r>
                        <w:rPr>
                          <w:color w:val="000000"/>
                        </w:rPr>
                        <w:t>full-time</w:t>
                      </w:r>
                      <w:r>
                        <w:rPr>
                          <w:color w:val="000000"/>
                          <w:spacing w:val="-5"/>
                        </w:rPr>
                        <w:t> </w:t>
                      </w:r>
                      <w:r>
                        <w:rPr>
                          <w:color w:val="000000"/>
                        </w:rPr>
                        <w:t>chair,</w:t>
                      </w:r>
                      <w:r>
                        <w:rPr>
                          <w:color w:val="000000"/>
                          <w:spacing w:val="-1"/>
                        </w:rPr>
                        <w:t> </w:t>
                      </w:r>
                      <w:r>
                        <w:rPr>
                          <w:color w:val="000000"/>
                        </w:rPr>
                        <w:t>with</w:t>
                      </w:r>
                      <w:r>
                        <w:rPr>
                          <w:color w:val="000000"/>
                          <w:spacing w:val="-3"/>
                        </w:rPr>
                        <w:t> </w:t>
                      </w:r>
                      <w:r>
                        <w:rPr>
                          <w:color w:val="000000"/>
                        </w:rPr>
                        <w:t>reserve</w:t>
                      </w:r>
                      <w:r>
                        <w:rPr>
                          <w:color w:val="000000"/>
                          <w:spacing w:val="-3"/>
                        </w:rPr>
                        <w:t> </w:t>
                      </w:r>
                      <w:r>
                        <w:rPr>
                          <w:color w:val="000000"/>
                        </w:rPr>
                        <w:t>powers</w:t>
                      </w:r>
                      <w:r>
                        <w:rPr>
                          <w:color w:val="000000"/>
                          <w:spacing w:val="-2"/>
                        </w:rPr>
                        <w:t> </w:t>
                      </w:r>
                      <w:r>
                        <w:rPr>
                          <w:color w:val="000000"/>
                        </w:rPr>
                        <w:t>in</w:t>
                      </w:r>
                      <w:r>
                        <w:rPr>
                          <w:color w:val="000000"/>
                          <w:spacing w:val="-3"/>
                        </w:rPr>
                        <w:t> </w:t>
                      </w:r>
                      <w:r>
                        <w:rPr>
                          <w:color w:val="000000"/>
                        </w:rPr>
                        <w:t>the</w:t>
                      </w:r>
                      <w:r>
                        <w:rPr>
                          <w:color w:val="000000"/>
                          <w:spacing w:val="-5"/>
                        </w:rPr>
                        <w:t> </w:t>
                      </w:r>
                      <w:r>
                        <w:rPr>
                          <w:color w:val="000000"/>
                        </w:rPr>
                        <w:t>event</w:t>
                      </w:r>
                      <w:r>
                        <w:rPr>
                          <w:color w:val="000000"/>
                          <w:spacing w:val="-1"/>
                        </w:rPr>
                        <w:t> </w:t>
                      </w:r>
                      <w:r>
                        <w:rPr>
                          <w:color w:val="000000"/>
                        </w:rPr>
                        <w:t>of emergencies. The remaining two commissioners should be appointed on a part-time basis. The commissioners should each have equal voting rights, with decisions being made by consensus, or by a simple majority if a consensus cannot be achieved.</w:t>
                      </w:r>
                    </w:p>
                    <w:p>
                      <w:pPr>
                        <w:pStyle w:val="BodyText"/>
                        <w:spacing w:line="288" w:lineRule="auto"/>
                        <w:ind w:left="112" w:right="205"/>
                        <w:rPr>
                          <w:color w:val="000000"/>
                        </w:rPr>
                      </w:pPr>
                      <w:r>
                        <w:rPr>
                          <w:color w:val="000000"/>
                        </w:rPr>
                        <w:t>Commissioners</w:t>
                      </w:r>
                      <w:r>
                        <w:rPr>
                          <w:color w:val="000000"/>
                          <w:spacing w:val="-3"/>
                        </w:rPr>
                        <w:t> </w:t>
                      </w:r>
                      <w:r>
                        <w:rPr>
                          <w:color w:val="000000"/>
                        </w:rPr>
                        <w:t>should</w:t>
                      </w:r>
                      <w:r>
                        <w:rPr>
                          <w:color w:val="000000"/>
                          <w:spacing w:val="-2"/>
                        </w:rPr>
                        <w:t> </w:t>
                      </w:r>
                      <w:r>
                        <w:rPr>
                          <w:color w:val="000000"/>
                        </w:rPr>
                        <w:t>be</w:t>
                      </w:r>
                      <w:r>
                        <w:rPr>
                          <w:color w:val="000000"/>
                          <w:spacing w:val="-2"/>
                        </w:rPr>
                        <w:t> </w:t>
                      </w:r>
                      <w:r>
                        <w:rPr>
                          <w:color w:val="000000"/>
                        </w:rPr>
                        <w:t>appointed</w:t>
                      </w:r>
                      <w:r>
                        <w:rPr>
                          <w:color w:val="000000"/>
                          <w:spacing w:val="-4"/>
                        </w:rPr>
                        <w:t> </w:t>
                      </w:r>
                      <w:r>
                        <w:rPr>
                          <w:color w:val="000000"/>
                        </w:rPr>
                        <w:t>for</w:t>
                      </w:r>
                      <w:r>
                        <w:rPr>
                          <w:color w:val="000000"/>
                          <w:spacing w:val="-6"/>
                        </w:rPr>
                        <w:t> </w:t>
                      </w:r>
                      <w:r>
                        <w:rPr>
                          <w:color w:val="000000"/>
                        </w:rPr>
                        <w:t>five</w:t>
                      </w:r>
                      <w:r>
                        <w:rPr>
                          <w:color w:val="000000"/>
                          <w:spacing w:val="-2"/>
                        </w:rPr>
                        <w:t> </w:t>
                      </w:r>
                      <w:r>
                        <w:rPr>
                          <w:color w:val="000000"/>
                        </w:rPr>
                        <w:t>year</w:t>
                      </w:r>
                      <w:r>
                        <w:rPr>
                          <w:color w:val="000000"/>
                          <w:spacing w:val="-3"/>
                        </w:rPr>
                        <w:t> </w:t>
                      </w:r>
                      <w:r>
                        <w:rPr>
                          <w:color w:val="000000"/>
                        </w:rPr>
                        <w:t>terms,</w:t>
                      </w:r>
                      <w:r>
                        <w:rPr>
                          <w:color w:val="000000"/>
                          <w:spacing w:val="-3"/>
                        </w:rPr>
                        <w:t> </w:t>
                      </w:r>
                      <w:r>
                        <w:rPr>
                          <w:color w:val="000000"/>
                        </w:rPr>
                        <w:t>with</w:t>
                      </w:r>
                      <w:r>
                        <w:rPr>
                          <w:color w:val="000000"/>
                          <w:spacing w:val="-2"/>
                        </w:rPr>
                        <w:t> </w:t>
                      </w:r>
                      <w:r>
                        <w:rPr>
                          <w:color w:val="000000"/>
                        </w:rPr>
                        <w:t>the</w:t>
                      </w:r>
                      <w:r>
                        <w:rPr>
                          <w:color w:val="000000"/>
                          <w:spacing w:val="-2"/>
                        </w:rPr>
                        <w:t> </w:t>
                      </w:r>
                      <w:r>
                        <w:rPr>
                          <w:color w:val="000000"/>
                        </w:rPr>
                        <w:t>ability</w:t>
                      </w:r>
                      <w:r>
                        <w:rPr>
                          <w:color w:val="000000"/>
                          <w:spacing w:val="-4"/>
                        </w:rPr>
                        <w:t> </w:t>
                      </w:r>
                      <w:r>
                        <w:rPr>
                          <w:color w:val="000000"/>
                        </w:rPr>
                        <w:t>for</w:t>
                      </w:r>
                      <w:r>
                        <w:rPr>
                          <w:color w:val="000000"/>
                          <w:spacing w:val="-3"/>
                        </w:rPr>
                        <w:t> </w:t>
                      </w:r>
                      <w:r>
                        <w:rPr>
                          <w:color w:val="000000"/>
                        </w:rPr>
                        <w:t>these</w:t>
                      </w:r>
                      <w:r>
                        <w:rPr>
                          <w:color w:val="000000"/>
                          <w:spacing w:val="-4"/>
                        </w:rPr>
                        <w:t> </w:t>
                      </w:r>
                      <w:r>
                        <w:rPr>
                          <w:color w:val="000000"/>
                        </w:rPr>
                        <w:t>terms</w:t>
                      </w:r>
                      <w:r>
                        <w:rPr>
                          <w:color w:val="000000"/>
                          <w:spacing w:val="-4"/>
                        </w:rPr>
                        <w:t> </w:t>
                      </w:r>
                      <w:r>
                        <w:rPr>
                          <w:color w:val="000000"/>
                        </w:rPr>
                        <w:t>to be renewed once only.</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12928">
                <wp:simplePos x="0" y="0"/>
                <wp:positionH relativeFrom="page">
                  <wp:posOffset>914704</wp:posOffset>
                </wp:positionH>
                <wp:positionV relativeFrom="paragraph">
                  <wp:posOffset>6812136</wp:posOffset>
                </wp:positionV>
                <wp:extent cx="5732780" cy="1259205"/>
                <wp:effectExtent l="0" t="0" r="0" b="0"/>
                <wp:wrapTopAndBottom/>
                <wp:docPr id="104" name="Textbox 104"/>
                <wp:cNvGraphicFramePr>
                  <a:graphicFrameLocks/>
                </wp:cNvGraphicFramePr>
                <a:graphic>
                  <a:graphicData uri="http://schemas.microsoft.com/office/word/2010/wordprocessingShape">
                    <wps:wsp>
                      <wps:cNvPr id="104" name="Textbox 104"/>
                      <wps:cNvSpPr txBox="1"/>
                      <wps:spPr>
                        <a:xfrm>
                          <a:off x="0" y="0"/>
                          <a:ext cx="5732780" cy="1259205"/>
                        </a:xfrm>
                        <a:prstGeom prst="rect">
                          <a:avLst/>
                        </a:prstGeom>
                        <a:solidFill>
                          <a:srgbClr val="D9D9D9"/>
                        </a:solidFill>
                      </wps:spPr>
                      <wps:txbx>
                        <w:txbxContent>
                          <w:p>
                            <w:pPr>
                              <w:pStyle w:val="BodyText"/>
                              <w:spacing w:before="7"/>
                              <w:rPr>
                                <w:b/>
                                <w:color w:val="000000"/>
                                <w:sz w:val="36"/>
                              </w:rPr>
                            </w:pPr>
                          </w:p>
                          <w:p>
                            <w:pPr>
                              <w:spacing w:before="0"/>
                              <w:ind w:left="141" w:right="0" w:firstLine="0"/>
                              <w:jc w:val="left"/>
                              <w:rPr>
                                <w:b/>
                                <w:color w:val="000000"/>
                                <w:sz w:val="24"/>
                              </w:rPr>
                            </w:pPr>
                            <w:r>
                              <w:rPr>
                                <w:b/>
                                <w:color w:val="000000"/>
                                <w:spacing w:val="-2"/>
                                <w:sz w:val="24"/>
                              </w:rPr>
                              <w:t>Recommendation</w:t>
                            </w:r>
                            <w:r>
                              <w:rPr>
                                <w:b/>
                                <w:color w:val="000000"/>
                                <w:sz w:val="24"/>
                              </w:rPr>
                              <w:t> </w:t>
                            </w:r>
                            <w:r>
                              <w:rPr>
                                <w:b/>
                                <w:color w:val="000000"/>
                                <w:spacing w:val="-10"/>
                                <w:sz w:val="24"/>
                              </w:rPr>
                              <w:t>2</w:t>
                            </w:r>
                          </w:p>
                          <w:p>
                            <w:pPr>
                              <w:pStyle w:val="BodyText"/>
                              <w:spacing w:line="288" w:lineRule="auto" w:before="175"/>
                              <w:ind w:left="112" w:right="205"/>
                              <w:rPr>
                                <w:color w:val="000000"/>
                              </w:rPr>
                            </w:pPr>
                            <w:r>
                              <w:rPr>
                                <w:color w:val="000000"/>
                              </w:rPr>
                              <w:t>The Chair of the Energy Safe Victoria Commission should also serve as Chief Executive of ESV</w:t>
                            </w:r>
                            <w:r>
                              <w:rPr>
                                <w:color w:val="000000"/>
                                <w:spacing w:val="-3"/>
                              </w:rPr>
                              <w:t> </w:t>
                            </w:r>
                            <w:r>
                              <w:rPr>
                                <w:color w:val="000000"/>
                              </w:rPr>
                              <w:t>and</w:t>
                            </w:r>
                            <w:r>
                              <w:rPr>
                                <w:color w:val="000000"/>
                                <w:spacing w:val="-5"/>
                              </w:rPr>
                              <w:t> </w:t>
                            </w:r>
                            <w:r>
                              <w:rPr>
                                <w:color w:val="000000"/>
                              </w:rPr>
                              <w:t>should</w:t>
                            </w:r>
                            <w:r>
                              <w:rPr>
                                <w:color w:val="000000"/>
                                <w:spacing w:val="-3"/>
                              </w:rPr>
                              <w:t> </w:t>
                            </w:r>
                            <w:r>
                              <w:rPr>
                                <w:color w:val="000000"/>
                              </w:rPr>
                              <w:t>have</w:t>
                            </w:r>
                            <w:r>
                              <w:rPr>
                                <w:color w:val="000000"/>
                                <w:spacing w:val="-5"/>
                              </w:rPr>
                              <w:t> </w:t>
                            </w:r>
                            <w:r>
                              <w:rPr>
                                <w:color w:val="000000"/>
                              </w:rPr>
                              <w:t>responsibility</w:t>
                            </w:r>
                            <w:r>
                              <w:rPr>
                                <w:color w:val="000000"/>
                                <w:spacing w:val="-5"/>
                              </w:rPr>
                              <w:t> </w:t>
                            </w:r>
                            <w:r>
                              <w:rPr>
                                <w:color w:val="000000"/>
                              </w:rPr>
                              <w:t>for</w:t>
                            </w:r>
                            <w:r>
                              <w:rPr>
                                <w:color w:val="000000"/>
                                <w:spacing w:val="-4"/>
                              </w:rPr>
                              <w:t> </w:t>
                            </w:r>
                            <w:r>
                              <w:rPr>
                                <w:color w:val="000000"/>
                              </w:rPr>
                              <w:t>the</w:t>
                            </w:r>
                            <w:r>
                              <w:rPr>
                                <w:color w:val="000000"/>
                                <w:spacing w:val="-3"/>
                              </w:rPr>
                              <w:t> </w:t>
                            </w:r>
                            <w:r>
                              <w:rPr>
                                <w:color w:val="000000"/>
                              </w:rPr>
                              <w:t>corporate</w:t>
                            </w:r>
                            <w:r>
                              <w:rPr>
                                <w:color w:val="000000"/>
                                <w:spacing w:val="-5"/>
                              </w:rPr>
                              <w:t> </w:t>
                            </w:r>
                            <w:r>
                              <w:rPr>
                                <w:color w:val="000000"/>
                              </w:rPr>
                              <w:t>leadership</w:t>
                            </w:r>
                            <w:r>
                              <w:rPr>
                                <w:color w:val="000000"/>
                                <w:spacing w:val="-3"/>
                              </w:rPr>
                              <w:t> </w:t>
                            </w:r>
                            <w:r>
                              <w:rPr>
                                <w:color w:val="000000"/>
                              </w:rPr>
                              <w:t>of ESV,</w:t>
                            </w:r>
                            <w:r>
                              <w:rPr>
                                <w:color w:val="000000"/>
                                <w:spacing w:val="-6"/>
                              </w:rPr>
                              <w:t> </w:t>
                            </w:r>
                            <w:r>
                              <w:rPr>
                                <w:color w:val="000000"/>
                              </w:rPr>
                              <w:t>advised</w:t>
                            </w:r>
                            <w:r>
                              <w:rPr>
                                <w:color w:val="000000"/>
                                <w:spacing w:val="-3"/>
                              </w:rPr>
                              <w:t> </w:t>
                            </w:r>
                            <w:r>
                              <w:rPr>
                                <w:color w:val="000000"/>
                              </w:rPr>
                              <w:t>by</w:t>
                            </w:r>
                            <w:r>
                              <w:rPr>
                                <w:color w:val="000000"/>
                                <w:spacing w:val="-5"/>
                              </w:rPr>
                              <w:t> </w:t>
                            </w:r>
                            <w:r>
                              <w:rPr>
                                <w:color w:val="000000"/>
                              </w:rPr>
                              <w:t>an Executive Management Board.</w:t>
                            </w:r>
                          </w:p>
                        </w:txbxContent>
                      </wps:txbx>
                      <wps:bodyPr wrap="square" lIns="0" tIns="0" rIns="0" bIns="0" rtlCol="0">
                        <a:noAutofit/>
                      </wps:bodyPr>
                    </wps:wsp>
                  </a:graphicData>
                </a:graphic>
              </wp:anchor>
            </w:drawing>
          </mc:Choice>
          <mc:Fallback>
            <w:pict>
              <v:shape style="position:absolute;margin-left:72.024002pt;margin-top:536.388733pt;width:451.4pt;height:99.15pt;mso-position-horizontal-relative:page;mso-position-vertical-relative:paragraph;z-index:-15703552;mso-wrap-distance-left:0;mso-wrap-distance-right:0" type="#_x0000_t202" id="docshape89" filled="true" fillcolor="#d9d9d9" stroked="false">
                <v:textbox inset="0,0,0,0">
                  <w:txbxContent>
                    <w:p>
                      <w:pPr>
                        <w:pStyle w:val="BodyText"/>
                        <w:spacing w:before="7"/>
                        <w:rPr>
                          <w:b/>
                          <w:color w:val="000000"/>
                          <w:sz w:val="36"/>
                        </w:rPr>
                      </w:pPr>
                    </w:p>
                    <w:p>
                      <w:pPr>
                        <w:spacing w:before="0"/>
                        <w:ind w:left="141" w:right="0" w:firstLine="0"/>
                        <w:jc w:val="left"/>
                        <w:rPr>
                          <w:b/>
                          <w:color w:val="000000"/>
                          <w:sz w:val="24"/>
                        </w:rPr>
                      </w:pPr>
                      <w:r>
                        <w:rPr>
                          <w:b/>
                          <w:color w:val="000000"/>
                          <w:spacing w:val="-2"/>
                          <w:sz w:val="24"/>
                        </w:rPr>
                        <w:t>Recommendation</w:t>
                      </w:r>
                      <w:r>
                        <w:rPr>
                          <w:b/>
                          <w:color w:val="000000"/>
                          <w:sz w:val="24"/>
                        </w:rPr>
                        <w:t> </w:t>
                      </w:r>
                      <w:r>
                        <w:rPr>
                          <w:b/>
                          <w:color w:val="000000"/>
                          <w:spacing w:val="-10"/>
                          <w:sz w:val="24"/>
                        </w:rPr>
                        <w:t>2</w:t>
                      </w:r>
                    </w:p>
                    <w:p>
                      <w:pPr>
                        <w:pStyle w:val="BodyText"/>
                        <w:spacing w:line="288" w:lineRule="auto" w:before="175"/>
                        <w:ind w:left="112" w:right="205"/>
                        <w:rPr>
                          <w:color w:val="000000"/>
                        </w:rPr>
                      </w:pPr>
                      <w:r>
                        <w:rPr>
                          <w:color w:val="000000"/>
                        </w:rPr>
                        <w:t>The Chair of the Energy Safe Victoria Commission should also serve as Chief Executive of ESV</w:t>
                      </w:r>
                      <w:r>
                        <w:rPr>
                          <w:color w:val="000000"/>
                          <w:spacing w:val="-3"/>
                        </w:rPr>
                        <w:t> </w:t>
                      </w:r>
                      <w:r>
                        <w:rPr>
                          <w:color w:val="000000"/>
                        </w:rPr>
                        <w:t>and</w:t>
                      </w:r>
                      <w:r>
                        <w:rPr>
                          <w:color w:val="000000"/>
                          <w:spacing w:val="-5"/>
                        </w:rPr>
                        <w:t> </w:t>
                      </w:r>
                      <w:r>
                        <w:rPr>
                          <w:color w:val="000000"/>
                        </w:rPr>
                        <w:t>should</w:t>
                      </w:r>
                      <w:r>
                        <w:rPr>
                          <w:color w:val="000000"/>
                          <w:spacing w:val="-3"/>
                        </w:rPr>
                        <w:t> </w:t>
                      </w:r>
                      <w:r>
                        <w:rPr>
                          <w:color w:val="000000"/>
                        </w:rPr>
                        <w:t>have</w:t>
                      </w:r>
                      <w:r>
                        <w:rPr>
                          <w:color w:val="000000"/>
                          <w:spacing w:val="-5"/>
                        </w:rPr>
                        <w:t> </w:t>
                      </w:r>
                      <w:r>
                        <w:rPr>
                          <w:color w:val="000000"/>
                        </w:rPr>
                        <w:t>responsibility</w:t>
                      </w:r>
                      <w:r>
                        <w:rPr>
                          <w:color w:val="000000"/>
                          <w:spacing w:val="-5"/>
                        </w:rPr>
                        <w:t> </w:t>
                      </w:r>
                      <w:r>
                        <w:rPr>
                          <w:color w:val="000000"/>
                        </w:rPr>
                        <w:t>for</w:t>
                      </w:r>
                      <w:r>
                        <w:rPr>
                          <w:color w:val="000000"/>
                          <w:spacing w:val="-4"/>
                        </w:rPr>
                        <w:t> </w:t>
                      </w:r>
                      <w:r>
                        <w:rPr>
                          <w:color w:val="000000"/>
                        </w:rPr>
                        <w:t>the</w:t>
                      </w:r>
                      <w:r>
                        <w:rPr>
                          <w:color w:val="000000"/>
                          <w:spacing w:val="-3"/>
                        </w:rPr>
                        <w:t> </w:t>
                      </w:r>
                      <w:r>
                        <w:rPr>
                          <w:color w:val="000000"/>
                        </w:rPr>
                        <w:t>corporate</w:t>
                      </w:r>
                      <w:r>
                        <w:rPr>
                          <w:color w:val="000000"/>
                          <w:spacing w:val="-5"/>
                        </w:rPr>
                        <w:t> </w:t>
                      </w:r>
                      <w:r>
                        <w:rPr>
                          <w:color w:val="000000"/>
                        </w:rPr>
                        <w:t>leadership</w:t>
                      </w:r>
                      <w:r>
                        <w:rPr>
                          <w:color w:val="000000"/>
                          <w:spacing w:val="-3"/>
                        </w:rPr>
                        <w:t> </w:t>
                      </w:r>
                      <w:r>
                        <w:rPr>
                          <w:color w:val="000000"/>
                        </w:rPr>
                        <w:t>of ESV,</w:t>
                      </w:r>
                      <w:r>
                        <w:rPr>
                          <w:color w:val="000000"/>
                          <w:spacing w:val="-6"/>
                        </w:rPr>
                        <w:t> </w:t>
                      </w:r>
                      <w:r>
                        <w:rPr>
                          <w:color w:val="000000"/>
                        </w:rPr>
                        <w:t>advised</w:t>
                      </w:r>
                      <w:r>
                        <w:rPr>
                          <w:color w:val="000000"/>
                          <w:spacing w:val="-3"/>
                        </w:rPr>
                        <w:t> </w:t>
                      </w:r>
                      <w:r>
                        <w:rPr>
                          <w:color w:val="000000"/>
                        </w:rPr>
                        <w:t>by</w:t>
                      </w:r>
                      <w:r>
                        <w:rPr>
                          <w:color w:val="000000"/>
                          <w:spacing w:val="-5"/>
                        </w:rPr>
                        <w:t> </w:t>
                      </w:r>
                      <w:r>
                        <w:rPr>
                          <w:color w:val="000000"/>
                        </w:rPr>
                        <w:t>an Executive Management Board.</w:t>
                      </w:r>
                    </w:p>
                  </w:txbxContent>
                </v:textbox>
                <v:fill type="solid"/>
                <w10:wrap type="topAndBottom"/>
              </v:shape>
            </w:pict>
          </mc:Fallback>
        </mc:AlternateContent>
      </w:r>
    </w:p>
    <w:p>
      <w:pPr>
        <w:pStyle w:val="BodyText"/>
        <w:spacing w:before="10"/>
        <w:rPr>
          <w:b/>
          <w:sz w:val="28"/>
        </w:rPr>
      </w:pPr>
    </w:p>
    <w:p>
      <w:pPr>
        <w:pStyle w:val="BodyText"/>
        <w:spacing w:before="8"/>
        <w:rPr>
          <w:b/>
          <w:sz w:val="27"/>
        </w:rPr>
      </w:pPr>
    </w:p>
    <w:p>
      <w:pPr>
        <w:spacing w:after="0"/>
        <w:rPr>
          <w:sz w:val="27"/>
        </w:rPr>
        <w:sectPr>
          <w:pgSz w:w="11910" w:h="16840"/>
          <w:pgMar w:header="887" w:footer="1228" w:top="1080" w:bottom="1500" w:left="840" w:right="820"/>
        </w:sectPr>
      </w:pPr>
    </w:p>
    <w:p>
      <w:pPr>
        <w:pStyle w:val="BodyText"/>
        <w:rPr>
          <w:b/>
          <w:sz w:val="20"/>
        </w:rPr>
      </w:pPr>
    </w:p>
    <w:p>
      <w:pPr>
        <w:pStyle w:val="BodyText"/>
        <w:rPr>
          <w:b/>
          <w:sz w:val="20"/>
        </w:rPr>
      </w:pPr>
    </w:p>
    <w:p>
      <w:pPr>
        <w:pStyle w:val="Heading4"/>
        <w:spacing w:line="288" w:lineRule="auto" w:before="258"/>
        <w:ind w:left="600"/>
      </w:pPr>
      <w:r>
        <w:rPr>
          <w:color w:val="585858"/>
        </w:rPr>
        <w:t>Strengthening</w:t>
      </w:r>
      <w:r>
        <w:rPr>
          <w:color w:val="585858"/>
          <w:spacing w:val="-9"/>
        </w:rPr>
        <w:t> </w:t>
      </w:r>
      <w:r>
        <w:rPr>
          <w:color w:val="585858"/>
        </w:rPr>
        <w:t>ESV’s</w:t>
      </w:r>
      <w:r>
        <w:rPr>
          <w:color w:val="585858"/>
          <w:spacing w:val="-11"/>
        </w:rPr>
        <w:t> </w:t>
      </w:r>
      <w:r>
        <w:rPr>
          <w:color w:val="585858"/>
        </w:rPr>
        <w:t>Internal</w:t>
      </w:r>
      <w:r>
        <w:rPr>
          <w:color w:val="585858"/>
          <w:spacing w:val="-9"/>
        </w:rPr>
        <w:t> </w:t>
      </w:r>
      <w:r>
        <w:rPr>
          <w:color w:val="585858"/>
        </w:rPr>
        <w:t>Governance</w:t>
      </w:r>
      <w:r>
        <w:rPr>
          <w:color w:val="585858"/>
          <w:spacing w:val="-11"/>
        </w:rPr>
        <w:t> </w:t>
      </w:r>
      <w:r>
        <w:rPr>
          <w:color w:val="585858"/>
        </w:rPr>
        <w:t>to</w:t>
      </w:r>
      <w:r>
        <w:rPr>
          <w:color w:val="585858"/>
          <w:spacing w:val="-9"/>
        </w:rPr>
        <w:t> </w:t>
      </w:r>
      <w:r>
        <w:rPr>
          <w:color w:val="585858"/>
        </w:rPr>
        <w:t>Support </w:t>
      </w:r>
      <w:r>
        <w:rPr>
          <w:color w:val="585858"/>
          <w:spacing w:val="-2"/>
        </w:rPr>
        <w:t>Independence</w:t>
      </w:r>
    </w:p>
    <w:p>
      <w:pPr>
        <w:pStyle w:val="BodyText"/>
        <w:spacing w:line="288" w:lineRule="auto" w:before="240"/>
        <w:ind w:left="600" w:right="910"/>
      </w:pPr>
      <w:r>
        <w:rPr/>
        <w:t>As a technical safety regulator, regulating complex electricity and gas networks, ESV requires highly skilled staff with the necessary knowledge and experience. Given the relatively</w:t>
      </w:r>
      <w:r>
        <w:rPr>
          <w:spacing w:val="-5"/>
        </w:rPr>
        <w:t> </w:t>
      </w:r>
      <w:r>
        <w:rPr/>
        <w:t>small</w:t>
      </w:r>
      <w:r>
        <w:rPr>
          <w:spacing w:val="-3"/>
        </w:rPr>
        <w:t> </w:t>
      </w:r>
      <w:r>
        <w:rPr/>
        <w:t>pool</w:t>
      </w:r>
      <w:r>
        <w:rPr>
          <w:spacing w:val="-4"/>
        </w:rPr>
        <w:t> </w:t>
      </w:r>
      <w:r>
        <w:rPr/>
        <w:t>of</w:t>
      </w:r>
      <w:r>
        <w:rPr>
          <w:spacing w:val="-1"/>
        </w:rPr>
        <w:t> </w:t>
      </w:r>
      <w:r>
        <w:rPr/>
        <w:t>professionals</w:t>
      </w:r>
      <w:r>
        <w:rPr>
          <w:spacing w:val="-2"/>
        </w:rPr>
        <w:t> </w:t>
      </w:r>
      <w:r>
        <w:rPr/>
        <w:t>with</w:t>
      </w:r>
      <w:r>
        <w:rPr>
          <w:spacing w:val="-3"/>
        </w:rPr>
        <w:t> </w:t>
      </w:r>
      <w:r>
        <w:rPr/>
        <w:t>this</w:t>
      </w:r>
      <w:r>
        <w:rPr>
          <w:spacing w:val="-2"/>
        </w:rPr>
        <w:t> </w:t>
      </w:r>
      <w:r>
        <w:rPr/>
        <w:t>experience</w:t>
      </w:r>
      <w:r>
        <w:rPr>
          <w:spacing w:val="-3"/>
        </w:rPr>
        <w:t> </w:t>
      </w:r>
      <w:r>
        <w:rPr/>
        <w:t>in</w:t>
      </w:r>
      <w:r>
        <w:rPr>
          <w:spacing w:val="-3"/>
        </w:rPr>
        <w:t> </w:t>
      </w:r>
      <w:r>
        <w:rPr/>
        <w:t>Victoria,</w:t>
      </w:r>
      <w:r>
        <w:rPr>
          <w:spacing w:val="-2"/>
        </w:rPr>
        <w:t> </w:t>
      </w:r>
      <w:r>
        <w:rPr/>
        <w:t>it</w:t>
      </w:r>
      <w:r>
        <w:rPr>
          <w:spacing w:val="-1"/>
        </w:rPr>
        <w:t> </w:t>
      </w:r>
      <w:r>
        <w:rPr/>
        <w:t>is</w:t>
      </w:r>
      <w:r>
        <w:rPr>
          <w:spacing w:val="-2"/>
        </w:rPr>
        <w:t> </w:t>
      </w:r>
      <w:r>
        <w:rPr/>
        <w:t>unavoidable</w:t>
      </w:r>
      <w:r>
        <w:rPr>
          <w:spacing w:val="-3"/>
        </w:rPr>
        <w:t> </w:t>
      </w:r>
      <w:r>
        <w:rPr/>
        <w:t>that ESV must employ some staff who have previously worked in the regulated network businesses</w:t>
      </w:r>
      <w:r>
        <w:rPr>
          <w:spacing w:val="-2"/>
        </w:rPr>
        <w:t> </w:t>
      </w:r>
      <w:r>
        <w:rPr/>
        <w:t>or</w:t>
      </w:r>
      <w:r>
        <w:rPr>
          <w:spacing w:val="-3"/>
        </w:rPr>
        <w:t> </w:t>
      </w:r>
      <w:r>
        <w:rPr/>
        <w:t>have</w:t>
      </w:r>
      <w:r>
        <w:rPr>
          <w:spacing w:val="-2"/>
        </w:rPr>
        <w:t> </w:t>
      </w:r>
      <w:r>
        <w:rPr/>
        <w:t>consulted</w:t>
      </w:r>
      <w:r>
        <w:rPr>
          <w:spacing w:val="-2"/>
        </w:rPr>
        <w:t> </w:t>
      </w:r>
      <w:r>
        <w:rPr/>
        <w:t>these</w:t>
      </w:r>
      <w:r>
        <w:rPr>
          <w:spacing w:val="-4"/>
        </w:rPr>
        <w:t> </w:t>
      </w:r>
      <w:r>
        <w:rPr/>
        <w:t>businesses,</w:t>
      </w:r>
      <w:r>
        <w:rPr>
          <w:spacing w:val="-3"/>
        </w:rPr>
        <w:t> </w:t>
      </w:r>
      <w:r>
        <w:rPr/>
        <w:t>or</w:t>
      </w:r>
      <w:r>
        <w:rPr>
          <w:spacing w:val="-1"/>
        </w:rPr>
        <w:t> </w:t>
      </w:r>
      <w:r>
        <w:rPr/>
        <w:t>who</w:t>
      </w:r>
      <w:r>
        <w:rPr>
          <w:spacing w:val="-2"/>
        </w:rPr>
        <w:t> </w:t>
      </w:r>
      <w:r>
        <w:rPr/>
        <w:t>may</w:t>
      </w:r>
      <w:r>
        <w:rPr>
          <w:spacing w:val="-4"/>
        </w:rPr>
        <w:t> </w:t>
      </w:r>
      <w:r>
        <w:rPr/>
        <w:t>work</w:t>
      </w:r>
      <w:r>
        <w:rPr>
          <w:spacing w:val="-1"/>
        </w:rPr>
        <w:t> </w:t>
      </w:r>
      <w:r>
        <w:rPr/>
        <w:t>in</w:t>
      </w:r>
      <w:r>
        <w:rPr>
          <w:spacing w:val="-2"/>
        </w:rPr>
        <w:t> </w:t>
      </w:r>
      <w:r>
        <w:rPr/>
        <w:t>these</w:t>
      </w:r>
      <w:r>
        <w:rPr>
          <w:spacing w:val="-2"/>
        </w:rPr>
        <w:t> </w:t>
      </w:r>
      <w:r>
        <w:rPr/>
        <w:t>businesses</w:t>
      </w:r>
      <w:r>
        <w:rPr>
          <w:spacing w:val="-2"/>
        </w:rPr>
        <w:t> </w:t>
      </w:r>
      <w:r>
        <w:rPr/>
        <w:t>in the future.</w:t>
      </w:r>
    </w:p>
    <w:p>
      <w:pPr>
        <w:pStyle w:val="BodyText"/>
        <w:spacing w:before="10"/>
        <w:rPr>
          <w:sz w:val="20"/>
        </w:rPr>
      </w:pPr>
    </w:p>
    <w:p>
      <w:pPr>
        <w:pStyle w:val="BodyText"/>
        <w:spacing w:line="288" w:lineRule="auto"/>
        <w:ind w:left="600" w:right="910"/>
      </w:pPr>
      <w:r>
        <w:rPr/>
        <w:t>This</w:t>
      </w:r>
      <w:r>
        <w:rPr>
          <w:spacing w:val="-5"/>
        </w:rPr>
        <w:t> </w:t>
      </w:r>
      <w:r>
        <w:rPr/>
        <w:t>movement</w:t>
      </w:r>
      <w:r>
        <w:rPr>
          <w:spacing w:val="-4"/>
        </w:rPr>
        <w:t> </w:t>
      </w:r>
      <w:r>
        <w:rPr/>
        <w:t>of</w:t>
      </w:r>
      <w:r>
        <w:rPr>
          <w:spacing w:val="-1"/>
        </w:rPr>
        <w:t> </w:t>
      </w:r>
      <w:r>
        <w:rPr/>
        <w:t>staff</w:t>
      </w:r>
      <w:r>
        <w:rPr>
          <w:spacing w:val="-1"/>
        </w:rPr>
        <w:t> </w:t>
      </w:r>
      <w:r>
        <w:rPr/>
        <w:t>between</w:t>
      </w:r>
      <w:r>
        <w:rPr>
          <w:spacing w:val="-3"/>
        </w:rPr>
        <w:t> </w:t>
      </w:r>
      <w:r>
        <w:rPr/>
        <w:t>regulated</w:t>
      </w:r>
      <w:r>
        <w:rPr>
          <w:spacing w:val="-3"/>
        </w:rPr>
        <w:t> </w:t>
      </w:r>
      <w:r>
        <w:rPr/>
        <w:t>businesses,</w:t>
      </w:r>
      <w:r>
        <w:rPr>
          <w:spacing w:val="-4"/>
        </w:rPr>
        <w:t> </w:t>
      </w:r>
      <w:r>
        <w:rPr/>
        <w:t>consultancies</w:t>
      </w:r>
      <w:r>
        <w:rPr>
          <w:spacing w:val="-5"/>
        </w:rPr>
        <w:t> </w:t>
      </w:r>
      <w:r>
        <w:rPr/>
        <w:t>and</w:t>
      </w:r>
      <w:r>
        <w:rPr>
          <w:spacing w:val="-5"/>
        </w:rPr>
        <w:t> </w:t>
      </w:r>
      <w:r>
        <w:rPr/>
        <w:t>the</w:t>
      </w:r>
      <w:r>
        <w:rPr>
          <w:spacing w:val="-5"/>
        </w:rPr>
        <w:t> </w:t>
      </w:r>
      <w:r>
        <w:rPr/>
        <w:t>regulator creates risks of perceived or actual conflicts of interest.</w:t>
      </w:r>
    </w:p>
    <w:p>
      <w:pPr>
        <w:pStyle w:val="BodyText"/>
        <w:spacing w:before="11"/>
        <w:rPr>
          <w:sz w:val="20"/>
        </w:rPr>
      </w:pPr>
    </w:p>
    <w:p>
      <w:pPr>
        <w:pStyle w:val="BodyText"/>
        <w:spacing w:line="288" w:lineRule="auto"/>
        <w:ind w:left="600" w:right="647"/>
      </w:pPr>
      <w:r>
        <w:rPr/>
        <w:t>Technical regulators in other settings and in other jurisdictions often confront this same risk. If independence and integrity in regulatory decision making are to be preserved, it is essential</w:t>
      </w:r>
      <w:r>
        <w:rPr>
          <w:spacing w:val="-2"/>
        </w:rPr>
        <w:t> </w:t>
      </w:r>
      <w:r>
        <w:rPr/>
        <w:t>that</w:t>
      </w:r>
      <w:r>
        <w:rPr>
          <w:spacing w:val="-3"/>
        </w:rPr>
        <w:t> </w:t>
      </w:r>
      <w:r>
        <w:rPr/>
        <w:t>there</w:t>
      </w:r>
      <w:r>
        <w:rPr>
          <w:spacing w:val="-4"/>
        </w:rPr>
        <w:t> </w:t>
      </w:r>
      <w:r>
        <w:rPr/>
        <w:t>are</w:t>
      </w:r>
      <w:r>
        <w:rPr>
          <w:spacing w:val="-4"/>
        </w:rPr>
        <w:t> </w:t>
      </w:r>
      <w:r>
        <w:rPr/>
        <w:t>strong</w:t>
      </w:r>
      <w:r>
        <w:rPr>
          <w:spacing w:val="-2"/>
        </w:rPr>
        <w:t> </w:t>
      </w:r>
      <w:r>
        <w:rPr/>
        <w:t>internal</w:t>
      </w:r>
      <w:r>
        <w:rPr>
          <w:spacing w:val="-5"/>
        </w:rPr>
        <w:t> </w:t>
      </w:r>
      <w:r>
        <w:rPr/>
        <w:t>mechanisms</w:t>
      </w:r>
      <w:r>
        <w:rPr>
          <w:spacing w:val="-4"/>
        </w:rPr>
        <w:t> </w:t>
      </w:r>
      <w:r>
        <w:rPr/>
        <w:t>for</w:t>
      </w:r>
      <w:r>
        <w:rPr>
          <w:spacing w:val="-3"/>
        </w:rPr>
        <w:t> </w:t>
      </w:r>
      <w:r>
        <w:rPr/>
        <w:t>ensuring</w:t>
      </w:r>
      <w:r>
        <w:rPr>
          <w:spacing w:val="-2"/>
        </w:rPr>
        <w:t> </w:t>
      </w:r>
      <w:r>
        <w:rPr/>
        <w:t>that any</w:t>
      </w:r>
      <w:r>
        <w:rPr>
          <w:spacing w:val="-6"/>
        </w:rPr>
        <w:t> </w:t>
      </w:r>
      <w:r>
        <w:rPr/>
        <w:t>actual</w:t>
      </w:r>
      <w:r>
        <w:rPr>
          <w:spacing w:val="-2"/>
        </w:rPr>
        <w:t> </w:t>
      </w:r>
      <w:r>
        <w:rPr/>
        <w:t>or</w:t>
      </w:r>
      <w:r>
        <w:rPr>
          <w:spacing w:val="-3"/>
        </w:rPr>
        <w:t> </w:t>
      </w:r>
      <w:r>
        <w:rPr/>
        <w:t>perceived conflicts of interest are handled effectively.</w:t>
      </w:r>
    </w:p>
    <w:p>
      <w:pPr>
        <w:pStyle w:val="BodyText"/>
        <w:spacing w:before="10"/>
        <w:rPr>
          <w:sz w:val="20"/>
        </w:rPr>
      </w:pPr>
    </w:p>
    <w:p>
      <w:pPr>
        <w:pStyle w:val="BodyText"/>
        <w:spacing w:line="288" w:lineRule="auto"/>
        <w:ind w:left="600" w:right="586"/>
      </w:pPr>
      <w:r>
        <w:rPr/>
        <w:t>The OECD best practice principles for regulatory governance recommend that senior staff involved</w:t>
      </w:r>
      <w:r>
        <w:rPr>
          <w:spacing w:val="-4"/>
        </w:rPr>
        <w:t> </w:t>
      </w:r>
      <w:r>
        <w:rPr/>
        <w:t>in</w:t>
      </w:r>
      <w:r>
        <w:rPr>
          <w:spacing w:val="-4"/>
        </w:rPr>
        <w:t> </w:t>
      </w:r>
      <w:r>
        <w:rPr/>
        <w:t>decision</w:t>
      </w:r>
      <w:r>
        <w:rPr>
          <w:spacing w:val="-4"/>
        </w:rPr>
        <w:t> </w:t>
      </w:r>
      <w:r>
        <w:rPr/>
        <w:t>making</w:t>
      </w:r>
      <w:r>
        <w:rPr>
          <w:spacing w:val="-4"/>
        </w:rPr>
        <w:t> </w:t>
      </w:r>
      <w:r>
        <w:rPr/>
        <w:t>that</w:t>
      </w:r>
      <w:r>
        <w:rPr>
          <w:spacing w:val="-2"/>
        </w:rPr>
        <w:t> </w:t>
      </w:r>
      <w:r>
        <w:rPr/>
        <w:t>involves</w:t>
      </w:r>
      <w:r>
        <w:rPr>
          <w:spacing w:val="-4"/>
        </w:rPr>
        <w:t> </w:t>
      </w:r>
      <w:r>
        <w:rPr/>
        <w:t>their</w:t>
      </w:r>
      <w:r>
        <w:rPr>
          <w:spacing w:val="-5"/>
        </w:rPr>
        <w:t> </w:t>
      </w:r>
      <w:r>
        <w:rPr/>
        <w:t>former</w:t>
      </w:r>
      <w:r>
        <w:rPr>
          <w:spacing w:val="-5"/>
        </w:rPr>
        <w:t> </w:t>
      </w:r>
      <w:r>
        <w:rPr/>
        <w:t>employers</w:t>
      </w:r>
      <w:r>
        <w:rPr>
          <w:spacing w:val="-3"/>
        </w:rPr>
        <w:t> </w:t>
      </w:r>
      <w:r>
        <w:rPr/>
        <w:t>should</w:t>
      </w:r>
      <w:r>
        <w:rPr>
          <w:spacing w:val="-4"/>
        </w:rPr>
        <w:t> </w:t>
      </w:r>
      <w:r>
        <w:rPr/>
        <w:t>excuse</w:t>
      </w:r>
      <w:r>
        <w:rPr>
          <w:spacing w:val="-4"/>
        </w:rPr>
        <w:t> </w:t>
      </w:r>
      <w:r>
        <w:rPr/>
        <w:t>themselves from the decision making process:</w:t>
      </w:r>
    </w:p>
    <w:p>
      <w:pPr>
        <w:pStyle w:val="BodyText"/>
        <w:spacing w:before="11"/>
        <w:rPr>
          <w:sz w:val="20"/>
        </w:rPr>
      </w:pPr>
    </w:p>
    <w:p>
      <w:pPr>
        <w:spacing w:line="288" w:lineRule="auto" w:before="0"/>
        <w:ind w:left="1166" w:right="910" w:firstLine="0"/>
        <w:jc w:val="left"/>
        <w:rPr>
          <w:sz w:val="22"/>
        </w:rPr>
      </w:pPr>
      <w:r>
        <w:rPr>
          <w:i/>
          <w:sz w:val="22"/>
        </w:rPr>
        <w:t>“Board members, senior staff and staff on secondment should not be involved (recused)</w:t>
      </w:r>
      <w:r>
        <w:rPr>
          <w:i/>
          <w:spacing w:val="-2"/>
          <w:sz w:val="22"/>
        </w:rPr>
        <w:t> </w:t>
      </w:r>
      <w:r>
        <w:rPr>
          <w:i/>
          <w:sz w:val="22"/>
        </w:rPr>
        <w:t>in</w:t>
      </w:r>
      <w:r>
        <w:rPr>
          <w:i/>
          <w:spacing w:val="-5"/>
          <w:sz w:val="22"/>
        </w:rPr>
        <w:t> </w:t>
      </w:r>
      <w:r>
        <w:rPr>
          <w:i/>
          <w:sz w:val="22"/>
        </w:rPr>
        <w:t>any</w:t>
      </w:r>
      <w:r>
        <w:rPr>
          <w:i/>
          <w:spacing w:val="-2"/>
          <w:sz w:val="22"/>
        </w:rPr>
        <w:t> </w:t>
      </w:r>
      <w:r>
        <w:rPr>
          <w:i/>
          <w:sz w:val="22"/>
        </w:rPr>
        <w:t>decisions</w:t>
      </w:r>
      <w:r>
        <w:rPr>
          <w:i/>
          <w:spacing w:val="-2"/>
          <w:sz w:val="22"/>
        </w:rPr>
        <w:t> </w:t>
      </w:r>
      <w:r>
        <w:rPr>
          <w:i/>
          <w:sz w:val="22"/>
        </w:rPr>
        <w:t>that</w:t>
      </w:r>
      <w:r>
        <w:rPr>
          <w:i/>
          <w:spacing w:val="-1"/>
          <w:sz w:val="22"/>
        </w:rPr>
        <w:t> </w:t>
      </w:r>
      <w:r>
        <w:rPr>
          <w:i/>
          <w:sz w:val="22"/>
        </w:rPr>
        <w:t>affect</w:t>
      </w:r>
      <w:r>
        <w:rPr>
          <w:i/>
          <w:spacing w:val="-4"/>
          <w:sz w:val="22"/>
        </w:rPr>
        <w:t> </w:t>
      </w:r>
      <w:r>
        <w:rPr>
          <w:i/>
          <w:sz w:val="22"/>
        </w:rPr>
        <w:t>previous</w:t>
      </w:r>
      <w:r>
        <w:rPr>
          <w:i/>
          <w:spacing w:val="-5"/>
          <w:sz w:val="22"/>
        </w:rPr>
        <w:t> </w:t>
      </w:r>
      <w:r>
        <w:rPr>
          <w:i/>
          <w:sz w:val="22"/>
        </w:rPr>
        <w:t>employers.”</w:t>
      </w:r>
      <w:r>
        <w:rPr>
          <w:i/>
          <w:spacing w:val="-5"/>
          <w:sz w:val="22"/>
        </w:rPr>
        <w:t> </w:t>
      </w:r>
      <w:r>
        <w:rPr>
          <w:sz w:val="22"/>
        </w:rPr>
        <w:t>(OECD,</w:t>
      </w:r>
      <w:r>
        <w:rPr>
          <w:spacing w:val="-4"/>
          <w:sz w:val="22"/>
        </w:rPr>
        <w:t> </w:t>
      </w:r>
      <w:r>
        <w:rPr>
          <w:sz w:val="22"/>
        </w:rPr>
        <w:t>2014,</w:t>
      </w:r>
      <w:r>
        <w:rPr>
          <w:spacing w:val="-6"/>
          <w:sz w:val="22"/>
        </w:rPr>
        <w:t> </w:t>
      </w:r>
      <w:r>
        <w:rPr>
          <w:sz w:val="22"/>
        </w:rPr>
        <w:t>p.</w:t>
      </w:r>
      <w:r>
        <w:rPr>
          <w:spacing w:val="-2"/>
          <w:sz w:val="22"/>
        </w:rPr>
        <w:t> </w:t>
      </w:r>
      <w:r>
        <w:rPr>
          <w:sz w:val="22"/>
        </w:rPr>
        <w:t>46)</w:t>
      </w:r>
    </w:p>
    <w:p>
      <w:pPr>
        <w:pStyle w:val="BodyText"/>
        <w:spacing w:before="10"/>
        <w:rPr>
          <w:sz w:val="20"/>
        </w:rPr>
      </w:pPr>
    </w:p>
    <w:p>
      <w:pPr>
        <w:spacing w:line="288" w:lineRule="auto" w:before="1"/>
        <w:ind w:left="600" w:right="311" w:firstLine="0"/>
        <w:jc w:val="left"/>
        <w:rPr>
          <w:sz w:val="22"/>
        </w:rPr>
      </w:pPr>
      <w:r>
        <w:rPr>
          <w:sz w:val="22"/>
        </w:rPr>
        <w:t>The Department of Premier and Cabinet’s (DPC) </w:t>
      </w:r>
      <w:r>
        <w:rPr>
          <w:i/>
          <w:sz w:val="22"/>
        </w:rPr>
        <w:t>Improving Governance of Regulators: Principles</w:t>
      </w:r>
      <w:r>
        <w:rPr>
          <w:i/>
          <w:spacing w:val="-2"/>
          <w:sz w:val="22"/>
        </w:rPr>
        <w:t> </w:t>
      </w:r>
      <w:r>
        <w:rPr>
          <w:i/>
          <w:sz w:val="22"/>
        </w:rPr>
        <w:t>and</w:t>
      </w:r>
      <w:r>
        <w:rPr>
          <w:i/>
          <w:spacing w:val="-2"/>
          <w:sz w:val="22"/>
        </w:rPr>
        <w:t> </w:t>
      </w:r>
      <w:r>
        <w:rPr>
          <w:i/>
          <w:sz w:val="22"/>
        </w:rPr>
        <w:t>Guidelines</w:t>
      </w:r>
      <w:r>
        <w:rPr>
          <w:sz w:val="22"/>
        </w:rPr>
        <w:t>,</w:t>
      </w:r>
      <w:r>
        <w:rPr>
          <w:spacing w:val="-1"/>
          <w:sz w:val="22"/>
        </w:rPr>
        <w:t> </w:t>
      </w:r>
      <w:r>
        <w:rPr>
          <w:sz w:val="22"/>
        </w:rPr>
        <w:t>is</w:t>
      </w:r>
      <w:r>
        <w:rPr>
          <w:spacing w:val="-4"/>
          <w:sz w:val="22"/>
        </w:rPr>
        <w:t> </w:t>
      </w:r>
      <w:r>
        <w:rPr>
          <w:sz w:val="22"/>
        </w:rPr>
        <w:t>less</w:t>
      </w:r>
      <w:r>
        <w:rPr>
          <w:spacing w:val="-2"/>
          <w:sz w:val="22"/>
        </w:rPr>
        <w:t> </w:t>
      </w:r>
      <w:r>
        <w:rPr>
          <w:sz w:val="22"/>
        </w:rPr>
        <w:t>specific,</w:t>
      </w:r>
      <w:r>
        <w:rPr>
          <w:spacing w:val="-1"/>
          <w:sz w:val="22"/>
        </w:rPr>
        <w:t> </w:t>
      </w:r>
      <w:r>
        <w:rPr>
          <w:sz w:val="22"/>
        </w:rPr>
        <w:t>but</w:t>
      </w:r>
      <w:r>
        <w:rPr>
          <w:spacing w:val="-3"/>
          <w:sz w:val="22"/>
        </w:rPr>
        <w:t> </w:t>
      </w:r>
      <w:r>
        <w:rPr>
          <w:sz w:val="22"/>
        </w:rPr>
        <w:t>highlights</w:t>
      </w:r>
      <w:r>
        <w:rPr>
          <w:spacing w:val="-3"/>
          <w:sz w:val="22"/>
        </w:rPr>
        <w:t> </w:t>
      </w:r>
      <w:r>
        <w:rPr>
          <w:sz w:val="22"/>
        </w:rPr>
        <w:t>the</w:t>
      </w:r>
      <w:r>
        <w:rPr>
          <w:spacing w:val="-4"/>
          <w:sz w:val="22"/>
        </w:rPr>
        <w:t> </w:t>
      </w:r>
      <w:r>
        <w:rPr>
          <w:sz w:val="22"/>
        </w:rPr>
        <w:t>need</w:t>
      </w:r>
      <w:r>
        <w:rPr>
          <w:spacing w:val="-4"/>
          <w:sz w:val="22"/>
        </w:rPr>
        <w:t> </w:t>
      </w:r>
      <w:r>
        <w:rPr>
          <w:sz w:val="22"/>
        </w:rPr>
        <w:t>for</w:t>
      </w:r>
      <w:r>
        <w:rPr>
          <w:spacing w:val="-3"/>
          <w:sz w:val="22"/>
        </w:rPr>
        <w:t> </w:t>
      </w:r>
      <w:r>
        <w:rPr>
          <w:sz w:val="22"/>
        </w:rPr>
        <w:t>robust</w:t>
      </w:r>
      <w:r>
        <w:rPr>
          <w:spacing w:val="-1"/>
          <w:sz w:val="22"/>
        </w:rPr>
        <w:t> </w:t>
      </w:r>
      <w:r>
        <w:rPr>
          <w:sz w:val="22"/>
        </w:rPr>
        <w:t>arrangements</w:t>
      </w:r>
      <w:r>
        <w:rPr>
          <w:spacing w:val="-4"/>
          <w:sz w:val="22"/>
        </w:rPr>
        <w:t> </w:t>
      </w:r>
      <w:r>
        <w:rPr>
          <w:sz w:val="22"/>
        </w:rPr>
        <w:t>to manage the conflicts:</w:t>
      </w:r>
    </w:p>
    <w:p>
      <w:pPr>
        <w:pStyle w:val="BodyText"/>
        <w:spacing w:before="8"/>
        <w:rPr>
          <w:sz w:val="20"/>
        </w:rPr>
      </w:pPr>
    </w:p>
    <w:p>
      <w:pPr>
        <w:spacing w:line="288" w:lineRule="auto" w:before="0"/>
        <w:ind w:left="1166" w:right="910" w:firstLine="0"/>
        <w:jc w:val="left"/>
        <w:rPr>
          <w:sz w:val="22"/>
        </w:rPr>
      </w:pPr>
      <w:r>
        <w:rPr>
          <w:i/>
          <w:sz w:val="22"/>
        </w:rPr>
        <w:t>“Effective management of actual and potential conflicts of interest is particularly important</w:t>
      </w:r>
      <w:r>
        <w:rPr>
          <w:i/>
          <w:spacing w:val="-3"/>
          <w:sz w:val="22"/>
        </w:rPr>
        <w:t> </w:t>
      </w:r>
      <w:r>
        <w:rPr>
          <w:i/>
          <w:sz w:val="22"/>
        </w:rPr>
        <w:t>for</w:t>
      </w:r>
      <w:r>
        <w:rPr>
          <w:i/>
          <w:spacing w:val="-3"/>
          <w:sz w:val="22"/>
        </w:rPr>
        <w:t> </w:t>
      </w:r>
      <w:r>
        <w:rPr>
          <w:i/>
          <w:sz w:val="22"/>
        </w:rPr>
        <w:t>regulators.</w:t>
      </w:r>
      <w:r>
        <w:rPr>
          <w:i/>
          <w:spacing w:val="-3"/>
          <w:sz w:val="22"/>
        </w:rPr>
        <w:t> </w:t>
      </w:r>
      <w:r>
        <w:rPr>
          <w:i/>
          <w:sz w:val="22"/>
        </w:rPr>
        <w:t>The</w:t>
      </w:r>
      <w:r>
        <w:rPr>
          <w:i/>
          <w:spacing w:val="-2"/>
          <w:sz w:val="22"/>
        </w:rPr>
        <w:t> </w:t>
      </w:r>
      <w:r>
        <w:rPr>
          <w:i/>
          <w:sz w:val="22"/>
        </w:rPr>
        <w:t>governing</w:t>
      </w:r>
      <w:r>
        <w:rPr>
          <w:i/>
          <w:spacing w:val="-2"/>
          <w:sz w:val="22"/>
        </w:rPr>
        <w:t> </w:t>
      </w:r>
      <w:r>
        <w:rPr>
          <w:i/>
          <w:sz w:val="22"/>
        </w:rPr>
        <w:t>body</w:t>
      </w:r>
      <w:r>
        <w:rPr>
          <w:i/>
          <w:spacing w:val="-1"/>
          <w:sz w:val="22"/>
        </w:rPr>
        <w:t> </w:t>
      </w:r>
      <w:r>
        <w:rPr>
          <w:i/>
          <w:sz w:val="22"/>
        </w:rPr>
        <w:t>needs</w:t>
      </w:r>
      <w:r>
        <w:rPr>
          <w:i/>
          <w:spacing w:val="-2"/>
          <w:sz w:val="22"/>
        </w:rPr>
        <w:t> </w:t>
      </w:r>
      <w:r>
        <w:rPr>
          <w:i/>
          <w:sz w:val="22"/>
        </w:rPr>
        <w:t>to</w:t>
      </w:r>
      <w:r>
        <w:rPr>
          <w:i/>
          <w:spacing w:val="-4"/>
          <w:sz w:val="22"/>
        </w:rPr>
        <w:t> </w:t>
      </w:r>
      <w:r>
        <w:rPr>
          <w:i/>
          <w:sz w:val="22"/>
        </w:rPr>
        <w:t>be</w:t>
      </w:r>
      <w:r>
        <w:rPr>
          <w:i/>
          <w:spacing w:val="-4"/>
          <w:sz w:val="22"/>
        </w:rPr>
        <w:t> </w:t>
      </w:r>
      <w:r>
        <w:rPr>
          <w:i/>
          <w:sz w:val="22"/>
        </w:rPr>
        <w:t>mindful</w:t>
      </w:r>
      <w:r>
        <w:rPr>
          <w:i/>
          <w:spacing w:val="-3"/>
          <w:sz w:val="22"/>
        </w:rPr>
        <w:t> </w:t>
      </w:r>
      <w:r>
        <w:rPr>
          <w:i/>
          <w:sz w:val="22"/>
        </w:rPr>
        <w:t>of</w:t>
      </w:r>
      <w:r>
        <w:rPr>
          <w:i/>
          <w:spacing w:val="-3"/>
          <w:sz w:val="22"/>
        </w:rPr>
        <w:t> </w:t>
      </w:r>
      <w:r>
        <w:rPr>
          <w:i/>
          <w:sz w:val="22"/>
        </w:rPr>
        <w:t>the</w:t>
      </w:r>
      <w:r>
        <w:rPr>
          <w:i/>
          <w:spacing w:val="-4"/>
          <w:sz w:val="22"/>
        </w:rPr>
        <w:t> </w:t>
      </w:r>
      <w:r>
        <w:rPr>
          <w:i/>
          <w:sz w:val="22"/>
        </w:rPr>
        <w:t>range</w:t>
      </w:r>
      <w:r>
        <w:rPr>
          <w:i/>
          <w:spacing w:val="-2"/>
          <w:sz w:val="22"/>
        </w:rPr>
        <w:t> </w:t>
      </w:r>
      <w:r>
        <w:rPr>
          <w:i/>
          <w:sz w:val="22"/>
        </w:rPr>
        <w:t>of risks that might arise and tailor processes and oversight to minimise them.” </w:t>
      </w:r>
      <w:r>
        <w:rPr>
          <w:sz w:val="22"/>
        </w:rPr>
        <w:t>(Government of Victoria, 2010, p. 12)</w:t>
      </w:r>
    </w:p>
    <w:p>
      <w:pPr>
        <w:pStyle w:val="BodyText"/>
        <w:spacing w:before="10"/>
        <w:rPr>
          <w:sz w:val="20"/>
        </w:rPr>
      </w:pPr>
    </w:p>
    <w:p>
      <w:pPr>
        <w:pStyle w:val="BodyText"/>
        <w:spacing w:line="288" w:lineRule="auto" w:before="1"/>
        <w:ind w:left="600" w:right="586"/>
      </w:pPr>
      <w:r>
        <w:rPr/>
        <w:t>At</w:t>
      </w:r>
      <w:r>
        <w:rPr>
          <w:spacing w:val="-1"/>
        </w:rPr>
        <w:t> </w:t>
      </w:r>
      <w:r>
        <w:rPr/>
        <w:t>the</w:t>
      </w:r>
      <w:r>
        <w:rPr>
          <w:spacing w:val="-4"/>
        </w:rPr>
        <w:t> </w:t>
      </w:r>
      <w:r>
        <w:rPr/>
        <w:t>same</w:t>
      </w:r>
      <w:r>
        <w:rPr>
          <w:spacing w:val="-4"/>
        </w:rPr>
        <w:t> </w:t>
      </w:r>
      <w:r>
        <w:rPr/>
        <w:t>time,</w:t>
      </w:r>
      <w:r>
        <w:rPr>
          <w:spacing w:val="-1"/>
        </w:rPr>
        <w:t> </w:t>
      </w:r>
      <w:r>
        <w:rPr/>
        <w:t>DPC’s</w:t>
      </w:r>
      <w:r>
        <w:rPr>
          <w:spacing w:val="-4"/>
        </w:rPr>
        <w:t> </w:t>
      </w:r>
      <w:r>
        <w:rPr/>
        <w:t>guidelines</w:t>
      </w:r>
      <w:r>
        <w:rPr>
          <w:spacing w:val="-2"/>
        </w:rPr>
        <w:t> </w:t>
      </w:r>
      <w:r>
        <w:rPr/>
        <w:t>and</w:t>
      </w:r>
      <w:r>
        <w:rPr>
          <w:spacing w:val="-2"/>
        </w:rPr>
        <w:t> </w:t>
      </w:r>
      <w:r>
        <w:rPr/>
        <w:t>principles</w:t>
      </w:r>
      <w:r>
        <w:rPr>
          <w:spacing w:val="-2"/>
        </w:rPr>
        <w:t> </w:t>
      </w:r>
      <w:r>
        <w:rPr/>
        <w:t>recognise</w:t>
      </w:r>
      <w:r>
        <w:rPr>
          <w:spacing w:val="-4"/>
        </w:rPr>
        <w:t> </w:t>
      </w:r>
      <w:r>
        <w:rPr/>
        <w:t>some</w:t>
      </w:r>
      <w:r>
        <w:rPr>
          <w:spacing w:val="-2"/>
        </w:rPr>
        <w:t> </w:t>
      </w:r>
      <w:r>
        <w:rPr/>
        <w:t>of</w:t>
      </w:r>
      <w:r>
        <w:rPr>
          <w:spacing w:val="-3"/>
        </w:rPr>
        <w:t> </w:t>
      </w:r>
      <w:r>
        <w:rPr/>
        <w:t>the</w:t>
      </w:r>
      <w:r>
        <w:rPr>
          <w:spacing w:val="-4"/>
        </w:rPr>
        <w:t> </w:t>
      </w:r>
      <w:r>
        <w:rPr/>
        <w:t>benefits</w:t>
      </w:r>
      <w:r>
        <w:rPr>
          <w:spacing w:val="-2"/>
        </w:rPr>
        <w:t> </w:t>
      </w:r>
      <w:r>
        <w:rPr/>
        <w:t>of</w:t>
      </w:r>
      <w:r>
        <w:rPr>
          <w:spacing w:val="-3"/>
        </w:rPr>
        <w:t> </w:t>
      </w:r>
      <w:r>
        <w:rPr/>
        <w:t>mobility of staff between the regulator and regulated entities:</w:t>
      </w:r>
    </w:p>
    <w:p>
      <w:pPr>
        <w:pStyle w:val="BodyText"/>
        <w:spacing w:before="9"/>
        <w:rPr>
          <w:sz w:val="20"/>
        </w:rPr>
      </w:pPr>
    </w:p>
    <w:p>
      <w:pPr>
        <w:spacing w:line="288" w:lineRule="auto" w:before="1"/>
        <w:ind w:left="1166" w:right="1200" w:firstLine="0"/>
        <w:jc w:val="left"/>
        <w:rPr>
          <w:i/>
          <w:sz w:val="22"/>
        </w:rPr>
      </w:pPr>
      <w:r>
        <w:rPr>
          <w:i/>
          <w:sz w:val="22"/>
        </w:rPr>
        <w:t>“Many of the staff and members of regulators’ governing boards will have backgrounds</w:t>
      </w:r>
      <w:r>
        <w:rPr>
          <w:i/>
          <w:spacing w:val="-4"/>
          <w:sz w:val="22"/>
        </w:rPr>
        <w:t> </w:t>
      </w:r>
      <w:r>
        <w:rPr>
          <w:i/>
          <w:sz w:val="22"/>
        </w:rPr>
        <w:t>in</w:t>
      </w:r>
      <w:r>
        <w:rPr>
          <w:i/>
          <w:spacing w:val="-2"/>
          <w:sz w:val="22"/>
        </w:rPr>
        <w:t> </w:t>
      </w:r>
      <w:r>
        <w:rPr>
          <w:i/>
          <w:sz w:val="22"/>
        </w:rPr>
        <w:t>the</w:t>
      </w:r>
      <w:r>
        <w:rPr>
          <w:i/>
          <w:spacing w:val="-4"/>
          <w:sz w:val="22"/>
        </w:rPr>
        <w:t> </w:t>
      </w:r>
      <w:r>
        <w:rPr>
          <w:i/>
          <w:sz w:val="22"/>
        </w:rPr>
        <w:t>industry</w:t>
      </w:r>
      <w:r>
        <w:rPr>
          <w:i/>
          <w:spacing w:val="-4"/>
          <w:sz w:val="22"/>
        </w:rPr>
        <w:t> </w:t>
      </w:r>
      <w:r>
        <w:rPr>
          <w:i/>
          <w:sz w:val="22"/>
        </w:rPr>
        <w:t>they</w:t>
      </w:r>
      <w:r>
        <w:rPr>
          <w:i/>
          <w:spacing w:val="-4"/>
          <w:sz w:val="22"/>
        </w:rPr>
        <w:t> </w:t>
      </w:r>
      <w:r>
        <w:rPr>
          <w:i/>
          <w:sz w:val="22"/>
        </w:rPr>
        <w:t>are</w:t>
      </w:r>
      <w:r>
        <w:rPr>
          <w:i/>
          <w:spacing w:val="-4"/>
          <w:sz w:val="22"/>
        </w:rPr>
        <w:t> </w:t>
      </w:r>
      <w:r>
        <w:rPr>
          <w:i/>
          <w:sz w:val="22"/>
        </w:rPr>
        <w:t>regulating, and</w:t>
      </w:r>
      <w:r>
        <w:rPr>
          <w:i/>
          <w:spacing w:val="-2"/>
          <w:sz w:val="22"/>
        </w:rPr>
        <w:t> </w:t>
      </w:r>
      <w:r>
        <w:rPr>
          <w:i/>
          <w:sz w:val="22"/>
        </w:rPr>
        <w:t>in</w:t>
      </w:r>
      <w:r>
        <w:rPr>
          <w:i/>
          <w:spacing w:val="-2"/>
          <w:sz w:val="22"/>
        </w:rPr>
        <w:t> </w:t>
      </w:r>
      <w:r>
        <w:rPr>
          <w:i/>
          <w:sz w:val="22"/>
        </w:rPr>
        <w:t>many</w:t>
      </w:r>
      <w:r>
        <w:rPr>
          <w:i/>
          <w:spacing w:val="-1"/>
          <w:sz w:val="22"/>
        </w:rPr>
        <w:t> </w:t>
      </w:r>
      <w:r>
        <w:rPr>
          <w:i/>
          <w:sz w:val="22"/>
        </w:rPr>
        <w:t>cases,</w:t>
      </w:r>
      <w:r>
        <w:rPr>
          <w:i/>
          <w:spacing w:val="-3"/>
          <w:sz w:val="22"/>
        </w:rPr>
        <w:t> </w:t>
      </w:r>
      <w:r>
        <w:rPr>
          <w:i/>
          <w:sz w:val="22"/>
        </w:rPr>
        <w:t>will</w:t>
      </w:r>
      <w:r>
        <w:rPr>
          <w:i/>
          <w:spacing w:val="-2"/>
          <w:sz w:val="22"/>
        </w:rPr>
        <w:t> </w:t>
      </w:r>
      <w:r>
        <w:rPr>
          <w:i/>
          <w:sz w:val="22"/>
        </w:rPr>
        <w:t>return</w:t>
      </w:r>
      <w:r>
        <w:rPr>
          <w:i/>
          <w:spacing w:val="-4"/>
          <w:sz w:val="22"/>
        </w:rPr>
        <w:t> </w:t>
      </w:r>
      <w:r>
        <w:rPr>
          <w:i/>
          <w:sz w:val="22"/>
        </w:rPr>
        <w:t>to roles in that industry. These staff movements transfer skills and experience between regulators and industry, and can have benefits in:</w:t>
      </w:r>
    </w:p>
    <w:p>
      <w:pPr>
        <w:pStyle w:val="BodyText"/>
        <w:spacing w:before="10"/>
        <w:rPr>
          <w:i/>
          <w:sz w:val="20"/>
        </w:rPr>
      </w:pPr>
    </w:p>
    <w:p>
      <w:pPr>
        <w:pStyle w:val="ListParagraph"/>
        <w:numPr>
          <w:ilvl w:val="0"/>
          <w:numId w:val="32"/>
        </w:numPr>
        <w:tabs>
          <w:tab w:pos="1523" w:val="left" w:leader="none"/>
        </w:tabs>
        <w:spacing w:line="240" w:lineRule="auto" w:before="0" w:after="0"/>
        <w:ind w:left="1523" w:right="0" w:hanging="357"/>
        <w:jc w:val="left"/>
        <w:rPr>
          <w:i/>
          <w:sz w:val="22"/>
        </w:rPr>
      </w:pPr>
      <w:r>
        <w:rPr>
          <w:i/>
          <w:sz w:val="22"/>
        </w:rPr>
        <w:t>building</w:t>
      </w:r>
      <w:r>
        <w:rPr>
          <w:i/>
          <w:spacing w:val="-8"/>
          <w:sz w:val="22"/>
        </w:rPr>
        <w:t> </w:t>
      </w:r>
      <w:r>
        <w:rPr>
          <w:i/>
          <w:sz w:val="22"/>
        </w:rPr>
        <w:t>shared</w:t>
      </w:r>
      <w:r>
        <w:rPr>
          <w:i/>
          <w:spacing w:val="-5"/>
          <w:sz w:val="22"/>
        </w:rPr>
        <w:t> </w:t>
      </w:r>
      <w:r>
        <w:rPr>
          <w:i/>
          <w:sz w:val="22"/>
        </w:rPr>
        <w:t>understandings</w:t>
      </w:r>
      <w:r>
        <w:rPr>
          <w:i/>
          <w:spacing w:val="-4"/>
          <w:sz w:val="22"/>
        </w:rPr>
        <w:t> </w:t>
      </w:r>
      <w:r>
        <w:rPr>
          <w:i/>
          <w:sz w:val="22"/>
        </w:rPr>
        <w:t>of</w:t>
      </w:r>
      <w:r>
        <w:rPr>
          <w:i/>
          <w:spacing w:val="-6"/>
          <w:sz w:val="22"/>
        </w:rPr>
        <w:t> </w:t>
      </w:r>
      <w:r>
        <w:rPr>
          <w:i/>
          <w:sz w:val="22"/>
        </w:rPr>
        <w:t>the</w:t>
      </w:r>
      <w:r>
        <w:rPr>
          <w:i/>
          <w:spacing w:val="-7"/>
          <w:sz w:val="22"/>
        </w:rPr>
        <w:t> </w:t>
      </w:r>
      <w:r>
        <w:rPr>
          <w:i/>
          <w:sz w:val="22"/>
        </w:rPr>
        <w:t>context</w:t>
      </w:r>
      <w:r>
        <w:rPr>
          <w:i/>
          <w:spacing w:val="-6"/>
          <w:sz w:val="22"/>
        </w:rPr>
        <w:t> </w:t>
      </w:r>
      <w:r>
        <w:rPr>
          <w:i/>
          <w:sz w:val="22"/>
        </w:rPr>
        <w:t>within</w:t>
      </w:r>
      <w:r>
        <w:rPr>
          <w:i/>
          <w:spacing w:val="-5"/>
          <w:sz w:val="22"/>
        </w:rPr>
        <w:t> </w:t>
      </w:r>
      <w:r>
        <w:rPr>
          <w:i/>
          <w:sz w:val="22"/>
        </w:rPr>
        <w:t>which</w:t>
      </w:r>
      <w:r>
        <w:rPr>
          <w:i/>
          <w:spacing w:val="-5"/>
          <w:sz w:val="22"/>
        </w:rPr>
        <w:t> </w:t>
      </w:r>
      <w:r>
        <w:rPr>
          <w:i/>
          <w:sz w:val="22"/>
        </w:rPr>
        <w:t>each</w:t>
      </w:r>
      <w:r>
        <w:rPr>
          <w:i/>
          <w:spacing w:val="-5"/>
          <w:sz w:val="22"/>
        </w:rPr>
        <w:t> </w:t>
      </w:r>
      <w:r>
        <w:rPr>
          <w:i/>
          <w:sz w:val="22"/>
        </w:rPr>
        <w:t>is</w:t>
      </w:r>
      <w:r>
        <w:rPr>
          <w:i/>
          <w:spacing w:val="-5"/>
          <w:sz w:val="22"/>
        </w:rPr>
        <w:t> </w:t>
      </w:r>
      <w:r>
        <w:rPr>
          <w:i/>
          <w:spacing w:val="-2"/>
          <w:sz w:val="22"/>
        </w:rPr>
        <w:t>operating;</w:t>
      </w:r>
    </w:p>
    <w:p>
      <w:pPr>
        <w:pStyle w:val="ListParagraph"/>
        <w:numPr>
          <w:ilvl w:val="0"/>
          <w:numId w:val="32"/>
        </w:numPr>
        <w:tabs>
          <w:tab w:pos="1524" w:val="left" w:leader="none"/>
        </w:tabs>
        <w:spacing w:line="266" w:lineRule="auto" w:before="33" w:after="0"/>
        <w:ind w:left="1524" w:right="1443" w:hanging="358"/>
        <w:jc w:val="left"/>
        <w:rPr>
          <w:i/>
          <w:sz w:val="22"/>
        </w:rPr>
      </w:pPr>
      <w:r>
        <w:rPr>
          <w:i/>
          <w:sz w:val="22"/>
        </w:rPr>
        <w:t>helping</w:t>
      </w:r>
      <w:r>
        <w:rPr>
          <w:i/>
          <w:spacing w:val="-3"/>
          <w:sz w:val="22"/>
        </w:rPr>
        <w:t> </w:t>
      </w:r>
      <w:r>
        <w:rPr>
          <w:i/>
          <w:sz w:val="22"/>
        </w:rPr>
        <w:t>regulators</w:t>
      </w:r>
      <w:r>
        <w:rPr>
          <w:i/>
          <w:spacing w:val="-5"/>
          <w:sz w:val="22"/>
        </w:rPr>
        <w:t> </w:t>
      </w:r>
      <w:r>
        <w:rPr>
          <w:i/>
          <w:sz w:val="22"/>
        </w:rPr>
        <w:t>stay</w:t>
      </w:r>
      <w:r>
        <w:rPr>
          <w:i/>
          <w:spacing w:val="-2"/>
          <w:sz w:val="22"/>
        </w:rPr>
        <w:t> </w:t>
      </w:r>
      <w:r>
        <w:rPr>
          <w:i/>
          <w:sz w:val="22"/>
        </w:rPr>
        <w:t>in</w:t>
      </w:r>
      <w:r>
        <w:rPr>
          <w:i/>
          <w:spacing w:val="-5"/>
          <w:sz w:val="22"/>
        </w:rPr>
        <w:t> </w:t>
      </w:r>
      <w:r>
        <w:rPr>
          <w:i/>
          <w:sz w:val="22"/>
        </w:rPr>
        <w:t>touch</w:t>
      </w:r>
      <w:r>
        <w:rPr>
          <w:i/>
          <w:spacing w:val="-7"/>
          <w:sz w:val="22"/>
        </w:rPr>
        <w:t> </w:t>
      </w:r>
      <w:r>
        <w:rPr>
          <w:i/>
          <w:sz w:val="22"/>
        </w:rPr>
        <w:t>with</w:t>
      </w:r>
      <w:r>
        <w:rPr>
          <w:i/>
          <w:spacing w:val="-3"/>
          <w:sz w:val="22"/>
        </w:rPr>
        <w:t> </w:t>
      </w:r>
      <w:r>
        <w:rPr>
          <w:i/>
          <w:sz w:val="22"/>
        </w:rPr>
        <w:t>current</w:t>
      </w:r>
      <w:r>
        <w:rPr>
          <w:i/>
          <w:spacing w:val="-4"/>
          <w:sz w:val="22"/>
        </w:rPr>
        <w:t> </w:t>
      </w:r>
      <w:r>
        <w:rPr>
          <w:i/>
          <w:sz w:val="22"/>
        </w:rPr>
        <w:t>operating</w:t>
      </w:r>
      <w:r>
        <w:rPr>
          <w:i/>
          <w:spacing w:val="-3"/>
          <w:sz w:val="22"/>
        </w:rPr>
        <w:t> </w:t>
      </w:r>
      <w:r>
        <w:rPr>
          <w:i/>
          <w:sz w:val="22"/>
        </w:rPr>
        <w:t>processes</w:t>
      </w:r>
      <w:r>
        <w:rPr>
          <w:i/>
          <w:spacing w:val="-5"/>
          <w:sz w:val="22"/>
        </w:rPr>
        <w:t> </w:t>
      </w:r>
      <w:r>
        <w:rPr>
          <w:i/>
          <w:sz w:val="22"/>
        </w:rPr>
        <w:t>within</w:t>
      </w:r>
      <w:r>
        <w:rPr>
          <w:i/>
          <w:spacing w:val="-5"/>
          <w:sz w:val="22"/>
        </w:rPr>
        <w:t> </w:t>
      </w:r>
      <w:r>
        <w:rPr>
          <w:i/>
          <w:sz w:val="22"/>
        </w:rPr>
        <w:t>the </w:t>
      </w:r>
      <w:r>
        <w:rPr>
          <w:i/>
          <w:spacing w:val="-2"/>
          <w:sz w:val="22"/>
        </w:rPr>
        <w:t>industry;</w:t>
      </w:r>
    </w:p>
    <w:p>
      <w:pPr>
        <w:spacing w:after="0" w:line="266" w:lineRule="auto"/>
        <w:jc w:val="left"/>
        <w:rPr>
          <w:sz w:val="22"/>
        </w:rPr>
        <w:sectPr>
          <w:pgSz w:w="11910" w:h="16840"/>
          <w:pgMar w:header="887" w:footer="1228" w:top="1080" w:bottom="1500" w:left="840" w:right="820"/>
        </w:sectPr>
      </w:pPr>
    </w:p>
    <w:p>
      <w:pPr>
        <w:pStyle w:val="BodyText"/>
        <w:rPr>
          <w:i/>
          <w:sz w:val="20"/>
        </w:rPr>
      </w:pPr>
    </w:p>
    <w:p>
      <w:pPr>
        <w:pStyle w:val="BodyText"/>
        <w:rPr>
          <w:i/>
          <w:sz w:val="20"/>
        </w:rPr>
      </w:pPr>
    </w:p>
    <w:p>
      <w:pPr>
        <w:pStyle w:val="BodyText"/>
        <w:spacing w:before="5"/>
        <w:rPr>
          <w:i/>
        </w:rPr>
      </w:pPr>
    </w:p>
    <w:p>
      <w:pPr>
        <w:pStyle w:val="ListParagraph"/>
        <w:numPr>
          <w:ilvl w:val="0"/>
          <w:numId w:val="32"/>
        </w:numPr>
        <w:tabs>
          <w:tab w:pos="1524" w:val="left" w:leader="none"/>
        </w:tabs>
        <w:spacing w:line="268" w:lineRule="auto" w:before="0" w:after="0"/>
        <w:ind w:left="1524" w:right="1807" w:hanging="358"/>
        <w:jc w:val="left"/>
        <w:rPr>
          <w:i/>
          <w:sz w:val="22"/>
        </w:rPr>
      </w:pPr>
      <w:r>
        <w:rPr>
          <w:i/>
          <w:sz w:val="22"/>
        </w:rPr>
        <w:t>improving</w:t>
      </w:r>
      <w:r>
        <w:rPr>
          <w:i/>
          <w:spacing w:val="-6"/>
          <w:sz w:val="22"/>
        </w:rPr>
        <w:t> </w:t>
      </w:r>
      <w:r>
        <w:rPr>
          <w:i/>
          <w:sz w:val="22"/>
        </w:rPr>
        <w:t>the</w:t>
      </w:r>
      <w:r>
        <w:rPr>
          <w:i/>
          <w:spacing w:val="-4"/>
          <w:sz w:val="22"/>
        </w:rPr>
        <w:t> </w:t>
      </w:r>
      <w:r>
        <w:rPr>
          <w:i/>
          <w:sz w:val="22"/>
        </w:rPr>
        <w:t>industry’s</w:t>
      </w:r>
      <w:r>
        <w:rPr>
          <w:i/>
          <w:spacing w:val="-3"/>
          <w:sz w:val="22"/>
        </w:rPr>
        <w:t> </w:t>
      </w:r>
      <w:r>
        <w:rPr>
          <w:i/>
          <w:sz w:val="22"/>
        </w:rPr>
        <w:t>understanding</w:t>
      </w:r>
      <w:r>
        <w:rPr>
          <w:i/>
          <w:spacing w:val="-4"/>
          <w:sz w:val="22"/>
        </w:rPr>
        <w:t> </w:t>
      </w:r>
      <w:r>
        <w:rPr>
          <w:i/>
          <w:sz w:val="22"/>
        </w:rPr>
        <w:t>and</w:t>
      </w:r>
      <w:r>
        <w:rPr>
          <w:i/>
          <w:spacing w:val="-4"/>
          <w:sz w:val="22"/>
        </w:rPr>
        <w:t> </w:t>
      </w:r>
      <w:r>
        <w:rPr>
          <w:i/>
          <w:sz w:val="22"/>
        </w:rPr>
        <w:t>navigation</w:t>
      </w:r>
      <w:r>
        <w:rPr>
          <w:i/>
          <w:spacing w:val="-4"/>
          <w:sz w:val="22"/>
        </w:rPr>
        <w:t> </w:t>
      </w:r>
      <w:r>
        <w:rPr>
          <w:i/>
          <w:sz w:val="22"/>
        </w:rPr>
        <w:t>of</w:t>
      </w:r>
      <w:r>
        <w:rPr>
          <w:i/>
          <w:spacing w:val="-4"/>
          <w:sz w:val="22"/>
        </w:rPr>
        <w:t> </w:t>
      </w:r>
      <w:r>
        <w:rPr>
          <w:i/>
          <w:sz w:val="22"/>
        </w:rPr>
        <w:t>the</w:t>
      </w:r>
      <w:r>
        <w:rPr>
          <w:i/>
          <w:spacing w:val="-6"/>
          <w:sz w:val="22"/>
        </w:rPr>
        <w:t> </w:t>
      </w:r>
      <w:r>
        <w:rPr>
          <w:i/>
          <w:sz w:val="22"/>
        </w:rPr>
        <w:t>regulatory system; and</w:t>
      </w:r>
    </w:p>
    <w:p>
      <w:pPr>
        <w:pStyle w:val="ListParagraph"/>
        <w:numPr>
          <w:ilvl w:val="0"/>
          <w:numId w:val="32"/>
        </w:numPr>
        <w:tabs>
          <w:tab w:pos="1525" w:val="left" w:leader="none"/>
        </w:tabs>
        <w:spacing w:line="240" w:lineRule="auto" w:before="21" w:after="0"/>
        <w:ind w:left="1525" w:right="0" w:hanging="359"/>
        <w:jc w:val="left"/>
        <w:rPr>
          <w:sz w:val="22"/>
        </w:rPr>
      </w:pPr>
      <w:r>
        <w:rPr>
          <w:i/>
          <w:sz w:val="22"/>
        </w:rPr>
        <w:t>improving</w:t>
      </w:r>
      <w:r>
        <w:rPr>
          <w:i/>
          <w:spacing w:val="-6"/>
          <w:sz w:val="22"/>
        </w:rPr>
        <w:t> </w:t>
      </w:r>
      <w:r>
        <w:rPr>
          <w:i/>
          <w:sz w:val="22"/>
        </w:rPr>
        <w:t>industry</w:t>
      </w:r>
      <w:r>
        <w:rPr>
          <w:i/>
          <w:spacing w:val="-7"/>
          <w:sz w:val="22"/>
        </w:rPr>
        <w:t> </w:t>
      </w:r>
      <w:r>
        <w:rPr>
          <w:i/>
          <w:sz w:val="22"/>
        </w:rPr>
        <w:t>compliance.”</w:t>
      </w:r>
      <w:r>
        <w:rPr>
          <w:i/>
          <w:spacing w:val="-11"/>
          <w:sz w:val="22"/>
        </w:rPr>
        <w:t> </w:t>
      </w:r>
      <w:r>
        <w:rPr>
          <w:sz w:val="22"/>
        </w:rPr>
        <w:t>(Government</w:t>
      </w:r>
      <w:r>
        <w:rPr>
          <w:spacing w:val="-7"/>
          <w:sz w:val="22"/>
        </w:rPr>
        <w:t> </w:t>
      </w:r>
      <w:r>
        <w:rPr>
          <w:sz w:val="22"/>
        </w:rPr>
        <w:t>of</w:t>
      </w:r>
      <w:r>
        <w:rPr>
          <w:spacing w:val="-6"/>
          <w:sz w:val="22"/>
        </w:rPr>
        <w:t> </w:t>
      </w:r>
      <w:r>
        <w:rPr>
          <w:sz w:val="22"/>
        </w:rPr>
        <w:t>Victoria,</w:t>
      </w:r>
      <w:r>
        <w:rPr>
          <w:spacing w:val="-4"/>
          <w:sz w:val="22"/>
        </w:rPr>
        <w:t> </w:t>
      </w:r>
      <w:r>
        <w:rPr>
          <w:sz w:val="22"/>
        </w:rPr>
        <w:t>2010,</w:t>
      </w:r>
      <w:r>
        <w:rPr>
          <w:spacing w:val="-6"/>
          <w:sz w:val="22"/>
        </w:rPr>
        <w:t> </w:t>
      </w:r>
      <w:r>
        <w:rPr>
          <w:sz w:val="22"/>
        </w:rPr>
        <w:t>p.</w:t>
      </w:r>
      <w:r>
        <w:rPr>
          <w:spacing w:val="-6"/>
          <w:sz w:val="22"/>
        </w:rPr>
        <w:t> </w:t>
      </w:r>
      <w:r>
        <w:rPr>
          <w:spacing w:val="-5"/>
          <w:sz w:val="22"/>
        </w:rPr>
        <w:t>12)</w:t>
      </w:r>
    </w:p>
    <w:p>
      <w:pPr>
        <w:pStyle w:val="BodyText"/>
        <w:spacing w:before="8"/>
        <w:rPr>
          <w:sz w:val="23"/>
        </w:rPr>
      </w:pPr>
    </w:p>
    <w:p>
      <w:pPr>
        <w:pStyle w:val="BodyText"/>
        <w:spacing w:line="288" w:lineRule="auto"/>
        <w:ind w:left="600"/>
      </w:pPr>
      <w:r>
        <w:rPr/>
        <w:t>The</w:t>
      </w:r>
      <w:r>
        <w:rPr>
          <w:spacing w:val="-5"/>
        </w:rPr>
        <w:t> </w:t>
      </w:r>
      <w:r>
        <w:rPr/>
        <w:t>majority</w:t>
      </w:r>
      <w:r>
        <w:rPr>
          <w:spacing w:val="-4"/>
        </w:rPr>
        <w:t> </w:t>
      </w:r>
      <w:r>
        <w:rPr/>
        <w:t>of</w:t>
      </w:r>
      <w:r>
        <w:rPr>
          <w:spacing w:val="-1"/>
        </w:rPr>
        <w:t> </w:t>
      </w:r>
      <w:r>
        <w:rPr/>
        <w:t>ESV’s</w:t>
      </w:r>
      <w:r>
        <w:rPr>
          <w:spacing w:val="-2"/>
        </w:rPr>
        <w:t> </w:t>
      </w:r>
      <w:r>
        <w:rPr/>
        <w:t>current</w:t>
      </w:r>
      <w:r>
        <w:rPr>
          <w:spacing w:val="-1"/>
        </w:rPr>
        <w:t> </w:t>
      </w:r>
      <w:r>
        <w:rPr/>
        <w:t>Executive</w:t>
      </w:r>
      <w:r>
        <w:rPr>
          <w:spacing w:val="-3"/>
        </w:rPr>
        <w:t> </w:t>
      </w:r>
      <w:r>
        <w:rPr/>
        <w:t>Management</w:t>
      </w:r>
      <w:r>
        <w:rPr>
          <w:spacing w:val="-4"/>
        </w:rPr>
        <w:t> </w:t>
      </w:r>
      <w:r>
        <w:rPr/>
        <w:t>Board</w:t>
      </w:r>
      <w:r>
        <w:rPr>
          <w:spacing w:val="-5"/>
        </w:rPr>
        <w:t> </w:t>
      </w:r>
      <w:r>
        <w:rPr/>
        <w:t>and</w:t>
      </w:r>
      <w:r>
        <w:rPr>
          <w:spacing w:val="-3"/>
        </w:rPr>
        <w:t> </w:t>
      </w:r>
      <w:r>
        <w:rPr/>
        <w:t>a</w:t>
      </w:r>
      <w:r>
        <w:rPr>
          <w:spacing w:val="-5"/>
        </w:rPr>
        <w:t> </w:t>
      </w:r>
      <w:r>
        <w:rPr/>
        <w:t>majority</w:t>
      </w:r>
      <w:r>
        <w:rPr>
          <w:spacing w:val="-5"/>
        </w:rPr>
        <w:t> </w:t>
      </w:r>
      <w:r>
        <w:rPr/>
        <w:t>of ESV’s</w:t>
      </w:r>
      <w:r>
        <w:rPr>
          <w:spacing w:val="-2"/>
        </w:rPr>
        <w:t> </w:t>
      </w:r>
      <w:r>
        <w:rPr/>
        <w:t>current infrastructure regulatory staff have not previously been employed by network businesses.</w:t>
      </w:r>
    </w:p>
    <w:p>
      <w:pPr>
        <w:pStyle w:val="BodyText"/>
        <w:spacing w:line="288" w:lineRule="auto"/>
        <w:ind w:left="600" w:right="910"/>
      </w:pPr>
      <w:r>
        <w:rPr/>
        <w:t>However,</w:t>
      </w:r>
      <w:r>
        <w:rPr>
          <w:spacing w:val="-1"/>
        </w:rPr>
        <w:t> </w:t>
      </w:r>
      <w:r>
        <w:rPr/>
        <w:t>as</w:t>
      </w:r>
      <w:r>
        <w:rPr>
          <w:spacing w:val="-3"/>
        </w:rPr>
        <w:t> </w:t>
      </w:r>
      <w:r>
        <w:rPr/>
        <w:t>noted</w:t>
      </w:r>
      <w:r>
        <w:rPr>
          <w:spacing w:val="-3"/>
        </w:rPr>
        <w:t> </w:t>
      </w:r>
      <w:r>
        <w:rPr/>
        <w:t>above,</w:t>
      </w:r>
      <w:r>
        <w:rPr>
          <w:spacing w:val="-2"/>
        </w:rPr>
        <w:t> </w:t>
      </w:r>
      <w:r>
        <w:rPr/>
        <w:t>some</w:t>
      </w:r>
      <w:r>
        <w:rPr>
          <w:spacing w:val="-5"/>
        </w:rPr>
        <w:t> </w:t>
      </w:r>
      <w:r>
        <w:rPr/>
        <w:t>movement</w:t>
      </w:r>
      <w:r>
        <w:rPr>
          <w:spacing w:val="-4"/>
        </w:rPr>
        <w:t> </w:t>
      </w:r>
      <w:r>
        <w:rPr/>
        <w:t>of</w:t>
      </w:r>
      <w:r>
        <w:rPr>
          <w:spacing w:val="-1"/>
        </w:rPr>
        <w:t> </w:t>
      </w:r>
      <w:r>
        <w:rPr/>
        <w:t>staff</w:t>
      </w:r>
      <w:r>
        <w:rPr>
          <w:spacing w:val="-1"/>
        </w:rPr>
        <w:t> </w:t>
      </w:r>
      <w:r>
        <w:rPr/>
        <w:t>is</w:t>
      </w:r>
      <w:r>
        <w:rPr>
          <w:spacing w:val="-2"/>
        </w:rPr>
        <w:t> </w:t>
      </w:r>
      <w:r>
        <w:rPr/>
        <w:t>inevitable,</w:t>
      </w:r>
      <w:r>
        <w:rPr>
          <w:spacing w:val="-2"/>
        </w:rPr>
        <w:t> </w:t>
      </w:r>
      <w:r>
        <w:rPr/>
        <w:t>and</w:t>
      </w:r>
      <w:r>
        <w:rPr>
          <w:spacing w:val="-3"/>
        </w:rPr>
        <w:t> </w:t>
      </w:r>
      <w:r>
        <w:rPr/>
        <w:t>will</w:t>
      </w:r>
      <w:r>
        <w:rPr>
          <w:spacing w:val="-1"/>
        </w:rPr>
        <w:t> </w:t>
      </w:r>
      <w:r>
        <w:rPr/>
        <w:t>continue</w:t>
      </w:r>
      <w:r>
        <w:rPr>
          <w:spacing w:val="-3"/>
        </w:rPr>
        <w:t> </w:t>
      </w:r>
      <w:r>
        <w:rPr/>
        <w:t>in</w:t>
      </w:r>
      <w:r>
        <w:rPr>
          <w:spacing w:val="-5"/>
        </w:rPr>
        <w:t> </w:t>
      </w:r>
      <w:r>
        <w:rPr/>
        <w:t>the </w:t>
      </w:r>
      <w:r>
        <w:rPr>
          <w:spacing w:val="-2"/>
        </w:rPr>
        <w:t>future.</w:t>
      </w:r>
    </w:p>
    <w:p>
      <w:pPr>
        <w:pStyle w:val="BodyText"/>
        <w:spacing w:before="10"/>
        <w:rPr>
          <w:sz w:val="20"/>
        </w:rPr>
      </w:pPr>
    </w:p>
    <w:p>
      <w:pPr>
        <w:spacing w:line="288" w:lineRule="auto" w:before="0"/>
        <w:ind w:left="600" w:right="713" w:firstLine="0"/>
        <w:jc w:val="left"/>
        <w:rPr>
          <w:sz w:val="22"/>
        </w:rPr>
      </w:pPr>
      <w:r>
        <w:rPr>
          <w:sz w:val="22"/>
        </w:rPr>
        <w:t>ESV</w:t>
      </w:r>
      <w:r>
        <w:rPr>
          <w:spacing w:val="-2"/>
          <w:sz w:val="22"/>
        </w:rPr>
        <w:t> </w:t>
      </w:r>
      <w:r>
        <w:rPr>
          <w:sz w:val="22"/>
        </w:rPr>
        <w:t>has</w:t>
      </w:r>
      <w:r>
        <w:rPr>
          <w:spacing w:val="-1"/>
          <w:sz w:val="22"/>
        </w:rPr>
        <w:t> </w:t>
      </w:r>
      <w:r>
        <w:rPr>
          <w:sz w:val="22"/>
        </w:rPr>
        <w:t>had</w:t>
      </w:r>
      <w:r>
        <w:rPr>
          <w:spacing w:val="-2"/>
          <w:sz w:val="22"/>
        </w:rPr>
        <w:t> </w:t>
      </w:r>
      <w:r>
        <w:rPr>
          <w:sz w:val="22"/>
        </w:rPr>
        <w:t>a</w:t>
      </w:r>
      <w:r>
        <w:rPr>
          <w:spacing w:val="-3"/>
          <w:sz w:val="22"/>
        </w:rPr>
        <w:t> </w:t>
      </w:r>
      <w:r>
        <w:rPr>
          <w:i/>
          <w:sz w:val="22"/>
        </w:rPr>
        <w:t>Conflict</w:t>
      </w:r>
      <w:r>
        <w:rPr>
          <w:i/>
          <w:spacing w:val="-3"/>
          <w:sz w:val="22"/>
        </w:rPr>
        <w:t> </w:t>
      </w:r>
      <w:r>
        <w:rPr>
          <w:i/>
          <w:sz w:val="22"/>
        </w:rPr>
        <w:t>of</w:t>
      </w:r>
      <w:r>
        <w:rPr>
          <w:i/>
          <w:spacing w:val="-3"/>
          <w:sz w:val="22"/>
        </w:rPr>
        <w:t> </w:t>
      </w:r>
      <w:r>
        <w:rPr>
          <w:i/>
          <w:sz w:val="22"/>
        </w:rPr>
        <w:t>Interest</w:t>
      </w:r>
      <w:r>
        <w:rPr>
          <w:i/>
          <w:spacing w:val="-3"/>
          <w:sz w:val="22"/>
        </w:rPr>
        <w:t> </w:t>
      </w:r>
      <w:r>
        <w:rPr>
          <w:i/>
          <w:sz w:val="22"/>
        </w:rPr>
        <w:t>Policy </w:t>
      </w:r>
      <w:r>
        <w:rPr>
          <w:sz w:val="22"/>
        </w:rPr>
        <w:t>since</w:t>
      </w:r>
      <w:r>
        <w:rPr>
          <w:spacing w:val="-2"/>
          <w:sz w:val="22"/>
        </w:rPr>
        <w:t> </w:t>
      </w:r>
      <w:r>
        <w:rPr>
          <w:sz w:val="22"/>
        </w:rPr>
        <w:t>2009</w:t>
      </w:r>
      <w:r>
        <w:rPr>
          <w:spacing w:val="-2"/>
          <w:sz w:val="22"/>
        </w:rPr>
        <w:t> </w:t>
      </w:r>
      <w:r>
        <w:rPr>
          <w:sz w:val="22"/>
        </w:rPr>
        <w:t>that sets</w:t>
      </w:r>
      <w:r>
        <w:rPr>
          <w:spacing w:val="-4"/>
          <w:sz w:val="22"/>
        </w:rPr>
        <w:t> </w:t>
      </w:r>
      <w:r>
        <w:rPr>
          <w:sz w:val="22"/>
        </w:rPr>
        <w:t>out</w:t>
      </w:r>
      <w:r>
        <w:rPr>
          <w:spacing w:val="-3"/>
          <w:sz w:val="22"/>
        </w:rPr>
        <w:t> </w:t>
      </w:r>
      <w:r>
        <w:rPr>
          <w:sz w:val="22"/>
        </w:rPr>
        <w:t>the</w:t>
      </w:r>
      <w:r>
        <w:rPr>
          <w:spacing w:val="-4"/>
          <w:sz w:val="22"/>
        </w:rPr>
        <w:t> </w:t>
      </w:r>
      <w:r>
        <w:rPr>
          <w:sz w:val="22"/>
        </w:rPr>
        <w:t>requirements</w:t>
      </w:r>
      <w:r>
        <w:rPr>
          <w:spacing w:val="-4"/>
          <w:sz w:val="22"/>
        </w:rPr>
        <w:t> </w:t>
      </w:r>
      <w:r>
        <w:rPr>
          <w:sz w:val="22"/>
        </w:rPr>
        <w:t>for</w:t>
      </w:r>
      <w:r>
        <w:rPr>
          <w:spacing w:val="-3"/>
          <w:sz w:val="22"/>
        </w:rPr>
        <w:t> </w:t>
      </w:r>
      <w:r>
        <w:rPr>
          <w:sz w:val="22"/>
        </w:rPr>
        <w:t>staff to disclose and properly manage actual, potential and perceived conflicts. This policy was most recently updated in July 2017. As part of this updated policy, ESV has introduced a </w:t>
      </w:r>
      <w:r>
        <w:rPr>
          <w:i/>
          <w:sz w:val="22"/>
        </w:rPr>
        <w:t>Declaration and Management of Private Interests Form </w:t>
      </w:r>
      <w:r>
        <w:rPr>
          <w:sz w:val="22"/>
        </w:rPr>
        <w:t>of which the following people are required to complete upon appointment:</w:t>
      </w:r>
    </w:p>
    <w:p>
      <w:pPr>
        <w:pStyle w:val="BodyText"/>
        <w:spacing w:before="3"/>
      </w:pPr>
    </w:p>
    <w:p>
      <w:pPr>
        <w:pStyle w:val="ListParagraph"/>
        <w:numPr>
          <w:ilvl w:val="0"/>
          <w:numId w:val="33"/>
        </w:numPr>
        <w:tabs>
          <w:tab w:pos="1166" w:val="left" w:leader="none"/>
        </w:tabs>
        <w:spacing w:line="240" w:lineRule="auto" w:before="0" w:after="0"/>
        <w:ind w:left="1166" w:right="0" w:hanging="424"/>
        <w:jc w:val="left"/>
        <w:rPr>
          <w:sz w:val="22"/>
        </w:rPr>
      </w:pPr>
      <w:r>
        <w:rPr>
          <w:sz w:val="22"/>
        </w:rPr>
        <w:t>all</w:t>
      </w:r>
      <w:r>
        <w:rPr>
          <w:spacing w:val="-7"/>
          <w:sz w:val="22"/>
        </w:rPr>
        <w:t> </w:t>
      </w:r>
      <w:r>
        <w:rPr>
          <w:sz w:val="22"/>
        </w:rPr>
        <w:t>executive</w:t>
      </w:r>
      <w:r>
        <w:rPr>
          <w:spacing w:val="-7"/>
          <w:sz w:val="22"/>
        </w:rPr>
        <w:t> </w:t>
      </w:r>
      <w:r>
        <w:rPr>
          <w:sz w:val="22"/>
        </w:rPr>
        <w:t>officers</w:t>
      </w:r>
      <w:r>
        <w:rPr>
          <w:spacing w:val="-8"/>
          <w:sz w:val="22"/>
        </w:rPr>
        <w:t> </w:t>
      </w:r>
      <w:r>
        <w:rPr>
          <w:sz w:val="22"/>
        </w:rPr>
        <w:t>(including</w:t>
      </w:r>
      <w:r>
        <w:rPr>
          <w:spacing w:val="-5"/>
          <w:sz w:val="22"/>
        </w:rPr>
        <w:t> </w:t>
      </w:r>
      <w:r>
        <w:rPr>
          <w:sz w:val="22"/>
        </w:rPr>
        <w:t>senior</w:t>
      </w:r>
      <w:r>
        <w:rPr>
          <w:spacing w:val="-5"/>
          <w:sz w:val="22"/>
        </w:rPr>
        <w:t> </w:t>
      </w:r>
      <w:r>
        <w:rPr>
          <w:spacing w:val="-2"/>
          <w:sz w:val="22"/>
        </w:rPr>
        <w:t>executives);</w:t>
      </w:r>
    </w:p>
    <w:p>
      <w:pPr>
        <w:pStyle w:val="ListParagraph"/>
        <w:numPr>
          <w:ilvl w:val="0"/>
          <w:numId w:val="33"/>
        </w:numPr>
        <w:tabs>
          <w:tab w:pos="1166" w:val="left" w:leader="none"/>
        </w:tabs>
        <w:spacing w:line="240" w:lineRule="auto" w:before="66" w:after="0"/>
        <w:ind w:left="1166" w:right="0" w:hanging="424"/>
        <w:jc w:val="left"/>
        <w:rPr>
          <w:sz w:val="22"/>
        </w:rPr>
      </w:pPr>
      <w:r>
        <w:rPr>
          <w:sz w:val="22"/>
        </w:rPr>
        <w:t>Audit</w:t>
      </w:r>
      <w:r>
        <w:rPr>
          <w:spacing w:val="-5"/>
          <w:sz w:val="22"/>
        </w:rPr>
        <w:t> </w:t>
      </w:r>
      <w:r>
        <w:rPr>
          <w:sz w:val="22"/>
        </w:rPr>
        <w:t>and</w:t>
      </w:r>
      <w:r>
        <w:rPr>
          <w:spacing w:val="-6"/>
          <w:sz w:val="22"/>
        </w:rPr>
        <w:t> </w:t>
      </w:r>
      <w:r>
        <w:rPr>
          <w:sz w:val="22"/>
        </w:rPr>
        <w:t>Risk</w:t>
      </w:r>
      <w:r>
        <w:rPr>
          <w:spacing w:val="-3"/>
          <w:sz w:val="22"/>
        </w:rPr>
        <w:t> </w:t>
      </w:r>
      <w:r>
        <w:rPr>
          <w:sz w:val="22"/>
        </w:rPr>
        <w:t>Committee</w:t>
      </w:r>
      <w:r>
        <w:rPr>
          <w:spacing w:val="-6"/>
          <w:sz w:val="22"/>
        </w:rPr>
        <w:t> </w:t>
      </w:r>
      <w:r>
        <w:rPr>
          <w:spacing w:val="-2"/>
          <w:sz w:val="22"/>
        </w:rPr>
        <w:t>members;</w:t>
      </w:r>
    </w:p>
    <w:p>
      <w:pPr>
        <w:pStyle w:val="ListParagraph"/>
        <w:numPr>
          <w:ilvl w:val="0"/>
          <w:numId w:val="33"/>
        </w:numPr>
        <w:tabs>
          <w:tab w:pos="1166" w:val="left" w:leader="none"/>
        </w:tabs>
        <w:spacing w:line="240" w:lineRule="auto" w:before="67" w:after="0"/>
        <w:ind w:left="1166" w:right="0" w:hanging="424"/>
        <w:jc w:val="left"/>
        <w:rPr>
          <w:sz w:val="22"/>
        </w:rPr>
      </w:pPr>
      <w:r>
        <w:rPr>
          <w:sz w:val="22"/>
        </w:rPr>
        <w:t>persons</w:t>
      </w:r>
      <w:r>
        <w:rPr>
          <w:spacing w:val="-5"/>
          <w:sz w:val="22"/>
        </w:rPr>
        <w:t> </w:t>
      </w:r>
      <w:r>
        <w:rPr>
          <w:sz w:val="22"/>
        </w:rPr>
        <w:t>employed</w:t>
      </w:r>
      <w:r>
        <w:rPr>
          <w:spacing w:val="-4"/>
          <w:sz w:val="22"/>
        </w:rPr>
        <w:t> </w:t>
      </w:r>
      <w:r>
        <w:rPr>
          <w:sz w:val="22"/>
        </w:rPr>
        <w:t>by</w:t>
      </w:r>
      <w:r>
        <w:rPr>
          <w:spacing w:val="-5"/>
          <w:sz w:val="22"/>
        </w:rPr>
        <w:t> </w:t>
      </w:r>
      <w:r>
        <w:rPr>
          <w:sz w:val="22"/>
        </w:rPr>
        <w:t>ESV</w:t>
      </w:r>
      <w:r>
        <w:rPr>
          <w:spacing w:val="-5"/>
          <w:sz w:val="22"/>
        </w:rPr>
        <w:t> </w:t>
      </w:r>
      <w:r>
        <w:rPr>
          <w:sz w:val="22"/>
        </w:rPr>
        <w:t>holding</w:t>
      </w:r>
      <w:r>
        <w:rPr>
          <w:spacing w:val="-2"/>
          <w:sz w:val="22"/>
        </w:rPr>
        <w:t> </w:t>
      </w:r>
      <w:r>
        <w:rPr>
          <w:sz w:val="22"/>
        </w:rPr>
        <w:t>a</w:t>
      </w:r>
      <w:r>
        <w:rPr>
          <w:spacing w:val="-7"/>
          <w:sz w:val="22"/>
        </w:rPr>
        <w:t> </w:t>
      </w:r>
      <w:r>
        <w:rPr>
          <w:sz w:val="22"/>
        </w:rPr>
        <w:t>financial</w:t>
      </w:r>
      <w:r>
        <w:rPr>
          <w:spacing w:val="-5"/>
          <w:sz w:val="22"/>
        </w:rPr>
        <w:t> </w:t>
      </w:r>
      <w:r>
        <w:rPr>
          <w:sz w:val="22"/>
        </w:rPr>
        <w:t>delegation</w:t>
      </w:r>
      <w:r>
        <w:rPr>
          <w:spacing w:val="-5"/>
          <w:sz w:val="22"/>
        </w:rPr>
        <w:t> </w:t>
      </w:r>
      <w:r>
        <w:rPr>
          <w:sz w:val="22"/>
        </w:rPr>
        <w:t>of</w:t>
      </w:r>
      <w:r>
        <w:rPr>
          <w:spacing w:val="-2"/>
          <w:sz w:val="22"/>
        </w:rPr>
        <w:t> </w:t>
      </w:r>
      <w:r>
        <w:rPr>
          <w:sz w:val="22"/>
        </w:rPr>
        <w:t>$25,000</w:t>
      </w:r>
      <w:r>
        <w:rPr>
          <w:spacing w:val="-6"/>
          <w:sz w:val="22"/>
        </w:rPr>
        <w:t> </w:t>
      </w:r>
      <w:r>
        <w:rPr>
          <w:sz w:val="22"/>
        </w:rPr>
        <w:t>or</w:t>
      </w:r>
      <w:r>
        <w:rPr>
          <w:spacing w:val="-7"/>
          <w:sz w:val="22"/>
        </w:rPr>
        <w:t> </w:t>
      </w:r>
      <w:r>
        <w:rPr>
          <w:sz w:val="22"/>
        </w:rPr>
        <w:t>more;</w:t>
      </w:r>
      <w:r>
        <w:rPr>
          <w:spacing w:val="-3"/>
          <w:sz w:val="22"/>
        </w:rPr>
        <w:t> </w:t>
      </w:r>
      <w:r>
        <w:rPr>
          <w:spacing w:val="-5"/>
          <w:sz w:val="22"/>
        </w:rPr>
        <w:t>and</w:t>
      </w:r>
    </w:p>
    <w:p>
      <w:pPr>
        <w:pStyle w:val="ListParagraph"/>
        <w:numPr>
          <w:ilvl w:val="0"/>
          <w:numId w:val="33"/>
        </w:numPr>
        <w:tabs>
          <w:tab w:pos="1166" w:val="left" w:leader="none"/>
        </w:tabs>
        <w:spacing w:line="288" w:lineRule="auto" w:before="64" w:after="0"/>
        <w:ind w:left="1166" w:right="788" w:hanging="425"/>
        <w:jc w:val="left"/>
        <w:rPr>
          <w:sz w:val="22"/>
        </w:rPr>
      </w:pPr>
      <w:r>
        <w:rPr>
          <w:sz w:val="22"/>
        </w:rPr>
        <w:t>persons employed by ESV assessed by the Director of Energy Safety as requiring declaration</w:t>
      </w:r>
      <w:r>
        <w:rPr>
          <w:spacing w:val="-3"/>
          <w:sz w:val="22"/>
        </w:rPr>
        <w:t> </w:t>
      </w:r>
      <w:r>
        <w:rPr>
          <w:sz w:val="22"/>
        </w:rPr>
        <w:t>of</w:t>
      </w:r>
      <w:r>
        <w:rPr>
          <w:spacing w:val="-1"/>
          <w:sz w:val="22"/>
        </w:rPr>
        <w:t> </w:t>
      </w:r>
      <w:r>
        <w:rPr>
          <w:sz w:val="22"/>
        </w:rPr>
        <w:t>private</w:t>
      </w:r>
      <w:r>
        <w:rPr>
          <w:spacing w:val="-2"/>
          <w:sz w:val="22"/>
        </w:rPr>
        <w:t> </w:t>
      </w:r>
      <w:r>
        <w:rPr>
          <w:sz w:val="22"/>
        </w:rPr>
        <w:t>interests</w:t>
      </w:r>
      <w:r>
        <w:rPr>
          <w:spacing w:val="-5"/>
          <w:sz w:val="22"/>
        </w:rPr>
        <w:t> </w:t>
      </w:r>
      <w:r>
        <w:rPr>
          <w:sz w:val="22"/>
        </w:rPr>
        <w:t>on</w:t>
      </w:r>
      <w:r>
        <w:rPr>
          <w:spacing w:val="-5"/>
          <w:sz w:val="22"/>
        </w:rPr>
        <w:t> </w:t>
      </w:r>
      <w:r>
        <w:rPr>
          <w:sz w:val="22"/>
        </w:rPr>
        <w:t>the</w:t>
      </w:r>
      <w:r>
        <w:rPr>
          <w:spacing w:val="-5"/>
          <w:sz w:val="22"/>
        </w:rPr>
        <w:t> </w:t>
      </w:r>
      <w:r>
        <w:rPr>
          <w:sz w:val="22"/>
        </w:rPr>
        <w:t>basis</w:t>
      </w:r>
      <w:r>
        <w:rPr>
          <w:spacing w:val="-2"/>
          <w:sz w:val="22"/>
        </w:rPr>
        <w:t> </w:t>
      </w:r>
      <w:r>
        <w:rPr>
          <w:sz w:val="22"/>
        </w:rPr>
        <w:t>of</w:t>
      </w:r>
      <w:r>
        <w:rPr>
          <w:spacing w:val="-1"/>
          <w:sz w:val="22"/>
        </w:rPr>
        <w:t> </w:t>
      </w:r>
      <w:r>
        <w:rPr>
          <w:sz w:val="22"/>
        </w:rPr>
        <w:t>potential,</w:t>
      </w:r>
      <w:r>
        <w:rPr>
          <w:spacing w:val="-1"/>
          <w:sz w:val="22"/>
        </w:rPr>
        <w:t> </w:t>
      </w:r>
      <w:r>
        <w:rPr>
          <w:sz w:val="22"/>
        </w:rPr>
        <w:t>perceived</w:t>
      </w:r>
      <w:r>
        <w:rPr>
          <w:spacing w:val="-3"/>
          <w:sz w:val="22"/>
        </w:rPr>
        <w:t> </w:t>
      </w:r>
      <w:r>
        <w:rPr>
          <w:sz w:val="22"/>
        </w:rPr>
        <w:t>or</w:t>
      </w:r>
      <w:r>
        <w:rPr>
          <w:spacing w:val="-4"/>
          <w:sz w:val="22"/>
        </w:rPr>
        <w:t> </w:t>
      </w:r>
      <w:r>
        <w:rPr>
          <w:sz w:val="22"/>
        </w:rPr>
        <w:t>actual</w:t>
      </w:r>
      <w:r>
        <w:rPr>
          <w:spacing w:val="-4"/>
          <w:sz w:val="22"/>
        </w:rPr>
        <w:t> </w:t>
      </w:r>
      <w:r>
        <w:rPr>
          <w:sz w:val="22"/>
        </w:rPr>
        <w:t>conflict</w:t>
      </w:r>
      <w:r>
        <w:rPr>
          <w:spacing w:val="-1"/>
          <w:sz w:val="22"/>
        </w:rPr>
        <w:t> </w:t>
      </w:r>
      <w:r>
        <w:rPr>
          <w:sz w:val="22"/>
        </w:rPr>
        <w:t>of </w:t>
      </w:r>
      <w:r>
        <w:rPr>
          <w:spacing w:val="-2"/>
          <w:sz w:val="22"/>
        </w:rPr>
        <w:t>interest.</w:t>
      </w:r>
    </w:p>
    <w:p>
      <w:pPr>
        <w:pStyle w:val="BodyText"/>
        <w:spacing w:before="8"/>
        <w:rPr>
          <w:sz w:val="20"/>
        </w:rPr>
      </w:pPr>
    </w:p>
    <w:p>
      <w:pPr>
        <w:pStyle w:val="BodyText"/>
        <w:spacing w:line="288" w:lineRule="auto"/>
        <w:ind w:left="600" w:right="713"/>
      </w:pPr>
      <w:r>
        <w:rPr/>
        <w:t>The </w:t>
      </w:r>
      <w:r>
        <w:rPr>
          <w:i/>
        </w:rPr>
        <w:t>Conflict of Interest Policy </w:t>
      </w:r>
      <w:r>
        <w:rPr/>
        <w:t>includes the requirement for staff to declare any conflicts of interest</w:t>
      </w:r>
      <w:r>
        <w:rPr>
          <w:spacing w:val="-3"/>
        </w:rPr>
        <w:t> </w:t>
      </w:r>
      <w:r>
        <w:rPr/>
        <w:t>and</w:t>
      </w:r>
      <w:r>
        <w:rPr>
          <w:spacing w:val="-4"/>
        </w:rPr>
        <w:t> </w:t>
      </w:r>
      <w:r>
        <w:rPr/>
        <w:t>to</w:t>
      </w:r>
      <w:r>
        <w:rPr>
          <w:spacing w:val="-4"/>
        </w:rPr>
        <w:t> </w:t>
      </w:r>
      <w:r>
        <w:rPr/>
        <w:t>abstain</w:t>
      </w:r>
      <w:r>
        <w:rPr>
          <w:spacing w:val="-4"/>
        </w:rPr>
        <w:t> </w:t>
      </w:r>
      <w:r>
        <w:rPr/>
        <w:t>from</w:t>
      </w:r>
      <w:r>
        <w:rPr>
          <w:spacing w:val="-1"/>
        </w:rPr>
        <w:t> </w:t>
      </w:r>
      <w:r>
        <w:rPr/>
        <w:t>involvement</w:t>
      </w:r>
      <w:r>
        <w:rPr>
          <w:spacing w:val="-1"/>
        </w:rPr>
        <w:t> </w:t>
      </w:r>
      <w:r>
        <w:rPr/>
        <w:t>in</w:t>
      </w:r>
      <w:r>
        <w:rPr>
          <w:spacing w:val="-2"/>
        </w:rPr>
        <w:t> </w:t>
      </w:r>
      <w:r>
        <w:rPr/>
        <w:t>official</w:t>
      </w:r>
      <w:r>
        <w:rPr>
          <w:spacing w:val="-3"/>
        </w:rPr>
        <w:t> </w:t>
      </w:r>
      <w:r>
        <w:rPr/>
        <w:t>decisions</w:t>
      </w:r>
      <w:r>
        <w:rPr>
          <w:spacing w:val="-1"/>
        </w:rPr>
        <w:t> </w:t>
      </w:r>
      <w:r>
        <w:rPr/>
        <w:t>that could</w:t>
      </w:r>
      <w:r>
        <w:rPr>
          <w:spacing w:val="-4"/>
        </w:rPr>
        <w:t> </w:t>
      </w:r>
      <w:r>
        <w:rPr/>
        <w:t>be</w:t>
      </w:r>
      <w:r>
        <w:rPr>
          <w:spacing w:val="-4"/>
        </w:rPr>
        <w:t> </w:t>
      </w:r>
      <w:r>
        <w:rPr/>
        <w:t>reasonably</w:t>
      </w:r>
      <w:r>
        <w:rPr>
          <w:spacing w:val="-4"/>
        </w:rPr>
        <w:t> </w:t>
      </w:r>
      <w:r>
        <w:rPr/>
        <w:t>seen as being compromised by a conflict of interest.</w:t>
      </w:r>
    </w:p>
    <w:p>
      <w:pPr>
        <w:pStyle w:val="BodyText"/>
        <w:spacing w:before="10"/>
        <w:rPr>
          <w:sz w:val="20"/>
        </w:rPr>
      </w:pPr>
    </w:p>
    <w:p>
      <w:pPr>
        <w:pStyle w:val="BodyText"/>
        <w:spacing w:line="288" w:lineRule="auto"/>
        <w:ind w:left="600" w:right="586"/>
      </w:pPr>
      <w:r>
        <w:rPr/>
        <w:t>Recognising the broad scope of ESV’s current </w:t>
      </w:r>
      <w:r>
        <w:rPr>
          <w:i/>
        </w:rPr>
        <w:t>Conflict of Interest Policy</w:t>
      </w:r>
      <w:r>
        <w:rPr/>
        <w:t>, the Review considers that further steps could be taken to strengthen the current arrangements. In particular,</w:t>
      </w:r>
      <w:r>
        <w:rPr>
          <w:spacing w:val="-3"/>
        </w:rPr>
        <w:t> </w:t>
      </w:r>
      <w:r>
        <w:rPr/>
        <w:t>specific</w:t>
      </w:r>
      <w:r>
        <w:rPr>
          <w:spacing w:val="-7"/>
        </w:rPr>
        <w:t> </w:t>
      </w:r>
      <w:r>
        <w:rPr/>
        <w:t>guidance</w:t>
      </w:r>
      <w:r>
        <w:rPr>
          <w:spacing w:val="-3"/>
        </w:rPr>
        <w:t> </w:t>
      </w:r>
      <w:r>
        <w:rPr/>
        <w:t>should</w:t>
      </w:r>
      <w:r>
        <w:rPr>
          <w:spacing w:val="-3"/>
        </w:rPr>
        <w:t> </w:t>
      </w:r>
      <w:r>
        <w:rPr/>
        <w:t>be</w:t>
      </w:r>
      <w:r>
        <w:rPr>
          <w:spacing w:val="-7"/>
        </w:rPr>
        <w:t> </w:t>
      </w:r>
      <w:r>
        <w:rPr/>
        <w:t>given</w:t>
      </w:r>
      <w:r>
        <w:rPr>
          <w:spacing w:val="-3"/>
        </w:rPr>
        <w:t> </w:t>
      </w:r>
      <w:r>
        <w:rPr/>
        <w:t>to</w:t>
      </w:r>
      <w:r>
        <w:rPr>
          <w:spacing w:val="-3"/>
        </w:rPr>
        <w:t> </w:t>
      </w:r>
      <w:r>
        <w:rPr/>
        <w:t>staff</w:t>
      </w:r>
      <w:r>
        <w:rPr>
          <w:spacing w:val="-1"/>
        </w:rPr>
        <w:t> </w:t>
      </w:r>
      <w:r>
        <w:rPr/>
        <w:t>who</w:t>
      </w:r>
      <w:r>
        <w:rPr>
          <w:spacing w:val="-3"/>
        </w:rPr>
        <w:t> </w:t>
      </w:r>
      <w:r>
        <w:rPr/>
        <w:t>have</w:t>
      </w:r>
      <w:r>
        <w:rPr>
          <w:spacing w:val="-3"/>
        </w:rPr>
        <w:t> </w:t>
      </w:r>
      <w:r>
        <w:rPr/>
        <w:t>previously</w:t>
      </w:r>
      <w:r>
        <w:rPr>
          <w:spacing w:val="-5"/>
        </w:rPr>
        <w:t> </w:t>
      </w:r>
      <w:r>
        <w:rPr/>
        <w:t>been</w:t>
      </w:r>
      <w:r>
        <w:rPr>
          <w:spacing w:val="-3"/>
        </w:rPr>
        <w:t> </w:t>
      </w:r>
      <w:r>
        <w:rPr/>
        <w:t>employed</w:t>
      </w:r>
      <w:r>
        <w:rPr>
          <w:spacing w:val="-3"/>
        </w:rPr>
        <w:t> </w:t>
      </w:r>
      <w:r>
        <w:rPr/>
        <w:t>by network businesses or by consulting firms providing services to network businesses.</w:t>
      </w:r>
    </w:p>
    <w:p>
      <w:pPr>
        <w:pStyle w:val="BodyText"/>
        <w:rPr>
          <w:sz w:val="20"/>
        </w:rPr>
      </w:pPr>
    </w:p>
    <w:p>
      <w:pPr>
        <w:pStyle w:val="BodyText"/>
        <w:spacing w:before="11"/>
        <w:rPr>
          <w:sz w:val="16"/>
        </w:rPr>
      </w:pPr>
      <w:r>
        <w:rPr/>
        <mc:AlternateContent>
          <mc:Choice Requires="wps">
            <w:drawing>
              <wp:anchor distT="0" distB="0" distL="0" distR="0" allowOverlap="1" layoutInCell="1" locked="0" behindDoc="1" simplePos="0" relativeHeight="487613440">
                <wp:simplePos x="0" y="0"/>
                <wp:positionH relativeFrom="page">
                  <wp:posOffset>914704</wp:posOffset>
                </wp:positionH>
                <wp:positionV relativeFrom="paragraph">
                  <wp:posOffset>139128</wp:posOffset>
                </wp:positionV>
                <wp:extent cx="5732780" cy="1669414"/>
                <wp:effectExtent l="0" t="0" r="0" b="0"/>
                <wp:wrapTopAndBottom/>
                <wp:docPr id="105" name="Textbox 105"/>
                <wp:cNvGraphicFramePr>
                  <a:graphicFrameLocks/>
                </wp:cNvGraphicFramePr>
                <a:graphic>
                  <a:graphicData uri="http://schemas.microsoft.com/office/word/2010/wordprocessingShape">
                    <wps:wsp>
                      <wps:cNvPr id="105" name="Textbox 105"/>
                      <wps:cNvSpPr txBox="1"/>
                      <wps:spPr>
                        <a:xfrm>
                          <a:off x="0" y="0"/>
                          <a:ext cx="5732780" cy="1669414"/>
                        </a:xfrm>
                        <a:prstGeom prst="rect">
                          <a:avLst/>
                        </a:prstGeom>
                        <a:solidFill>
                          <a:srgbClr val="D9D9D9"/>
                        </a:solidFill>
                      </wps:spPr>
                      <wps:txbx>
                        <w:txbxContent>
                          <w:p>
                            <w:pPr>
                              <w:pStyle w:val="BodyText"/>
                              <w:spacing w:before="6"/>
                              <w:rPr>
                                <w:color w:val="000000"/>
                                <w:sz w:val="36"/>
                              </w:rPr>
                            </w:pPr>
                          </w:p>
                          <w:p>
                            <w:pPr>
                              <w:spacing w:before="0"/>
                              <w:ind w:left="141" w:right="0" w:firstLine="0"/>
                              <w:jc w:val="left"/>
                              <w:rPr>
                                <w:b/>
                                <w:color w:val="000000"/>
                                <w:sz w:val="24"/>
                              </w:rPr>
                            </w:pPr>
                            <w:r>
                              <w:rPr>
                                <w:b/>
                                <w:color w:val="000000"/>
                                <w:spacing w:val="-2"/>
                                <w:sz w:val="24"/>
                              </w:rPr>
                              <w:t>Recommendation</w:t>
                            </w:r>
                            <w:r>
                              <w:rPr>
                                <w:b/>
                                <w:color w:val="000000"/>
                                <w:sz w:val="24"/>
                              </w:rPr>
                              <w:t> </w:t>
                            </w:r>
                            <w:r>
                              <w:rPr>
                                <w:b/>
                                <w:color w:val="000000"/>
                                <w:spacing w:val="-10"/>
                                <w:sz w:val="24"/>
                              </w:rPr>
                              <w:t>3</w:t>
                            </w:r>
                          </w:p>
                          <w:p>
                            <w:pPr>
                              <w:pStyle w:val="BodyText"/>
                              <w:spacing w:line="288" w:lineRule="auto" w:before="175"/>
                              <w:ind w:left="112" w:right="205"/>
                              <w:rPr>
                                <w:color w:val="000000"/>
                              </w:rPr>
                            </w:pPr>
                            <w:r>
                              <w:rPr>
                                <w:color w:val="000000"/>
                              </w:rPr>
                              <w:t>Building on its existing </w:t>
                            </w:r>
                            <w:r>
                              <w:rPr>
                                <w:i/>
                                <w:color w:val="000000"/>
                              </w:rPr>
                              <w:t>Conflict of Interest Policy</w:t>
                            </w:r>
                            <w:r>
                              <w:rPr>
                                <w:color w:val="000000"/>
                              </w:rPr>
                              <w:t>, ESV should develop documented protocols and additional guidance to ensure that perceived and potential conflicts of interest are addressed in its regulatory decision making, particularly in cases where regulatory</w:t>
                            </w:r>
                            <w:r>
                              <w:rPr>
                                <w:color w:val="000000"/>
                                <w:spacing w:val="-6"/>
                              </w:rPr>
                              <w:t> </w:t>
                            </w:r>
                            <w:r>
                              <w:rPr>
                                <w:color w:val="000000"/>
                              </w:rPr>
                              <w:t>staff</w:t>
                            </w:r>
                            <w:r>
                              <w:rPr>
                                <w:color w:val="000000"/>
                                <w:spacing w:val="-2"/>
                              </w:rPr>
                              <w:t> </w:t>
                            </w:r>
                            <w:r>
                              <w:rPr>
                                <w:color w:val="000000"/>
                              </w:rPr>
                              <w:t>have</w:t>
                            </w:r>
                            <w:r>
                              <w:rPr>
                                <w:color w:val="000000"/>
                                <w:spacing w:val="-4"/>
                              </w:rPr>
                              <w:t> </w:t>
                            </w:r>
                            <w:r>
                              <w:rPr>
                                <w:color w:val="000000"/>
                              </w:rPr>
                              <w:t>previously</w:t>
                            </w:r>
                            <w:r>
                              <w:rPr>
                                <w:color w:val="000000"/>
                                <w:spacing w:val="-6"/>
                              </w:rPr>
                              <w:t> </w:t>
                            </w:r>
                            <w:r>
                              <w:rPr>
                                <w:color w:val="000000"/>
                              </w:rPr>
                              <w:t>been</w:t>
                            </w:r>
                            <w:r>
                              <w:rPr>
                                <w:color w:val="000000"/>
                                <w:spacing w:val="-4"/>
                              </w:rPr>
                              <w:t> </w:t>
                            </w:r>
                            <w:r>
                              <w:rPr>
                                <w:color w:val="000000"/>
                              </w:rPr>
                              <w:t>employed</w:t>
                            </w:r>
                            <w:r>
                              <w:rPr>
                                <w:color w:val="000000"/>
                                <w:spacing w:val="-4"/>
                              </w:rPr>
                              <w:t> </w:t>
                            </w:r>
                            <w:r>
                              <w:rPr>
                                <w:color w:val="000000"/>
                              </w:rPr>
                              <w:t>by</w:t>
                            </w:r>
                            <w:r>
                              <w:rPr>
                                <w:color w:val="000000"/>
                                <w:spacing w:val="-6"/>
                              </w:rPr>
                              <w:t> </w:t>
                            </w:r>
                            <w:r>
                              <w:rPr>
                                <w:color w:val="000000"/>
                              </w:rPr>
                              <w:t>network</w:t>
                            </w:r>
                            <w:r>
                              <w:rPr>
                                <w:color w:val="000000"/>
                                <w:spacing w:val="-1"/>
                              </w:rPr>
                              <w:t> </w:t>
                            </w:r>
                            <w:r>
                              <w:rPr>
                                <w:color w:val="000000"/>
                              </w:rPr>
                              <w:t>businesses</w:t>
                            </w:r>
                            <w:r>
                              <w:rPr>
                                <w:color w:val="000000"/>
                                <w:spacing w:val="-3"/>
                              </w:rPr>
                              <w:t> </w:t>
                            </w:r>
                            <w:r>
                              <w:rPr>
                                <w:color w:val="000000"/>
                              </w:rPr>
                              <w:t>or</w:t>
                            </w:r>
                            <w:r>
                              <w:rPr>
                                <w:color w:val="000000"/>
                                <w:spacing w:val="-5"/>
                              </w:rPr>
                              <w:t> </w:t>
                            </w:r>
                            <w:r>
                              <w:rPr>
                                <w:color w:val="000000"/>
                              </w:rPr>
                              <w:t>undertaken previous consulting engagements with network businesses.</w:t>
                            </w:r>
                          </w:p>
                        </w:txbxContent>
                      </wps:txbx>
                      <wps:bodyPr wrap="square" lIns="0" tIns="0" rIns="0" bIns="0" rtlCol="0">
                        <a:noAutofit/>
                      </wps:bodyPr>
                    </wps:wsp>
                  </a:graphicData>
                </a:graphic>
              </wp:anchor>
            </w:drawing>
          </mc:Choice>
          <mc:Fallback>
            <w:pict>
              <v:shape style="position:absolute;margin-left:72.024002pt;margin-top:10.95499pt;width:451.4pt;height:131.450pt;mso-position-horizontal-relative:page;mso-position-vertical-relative:paragraph;z-index:-15703040;mso-wrap-distance-left:0;mso-wrap-distance-right:0" type="#_x0000_t202" id="docshape90" filled="true" fillcolor="#d9d9d9" stroked="false">
                <v:textbox inset="0,0,0,0">
                  <w:txbxContent>
                    <w:p>
                      <w:pPr>
                        <w:pStyle w:val="BodyText"/>
                        <w:spacing w:before="6"/>
                        <w:rPr>
                          <w:color w:val="000000"/>
                          <w:sz w:val="36"/>
                        </w:rPr>
                      </w:pPr>
                    </w:p>
                    <w:p>
                      <w:pPr>
                        <w:spacing w:before="0"/>
                        <w:ind w:left="141" w:right="0" w:firstLine="0"/>
                        <w:jc w:val="left"/>
                        <w:rPr>
                          <w:b/>
                          <w:color w:val="000000"/>
                          <w:sz w:val="24"/>
                        </w:rPr>
                      </w:pPr>
                      <w:r>
                        <w:rPr>
                          <w:b/>
                          <w:color w:val="000000"/>
                          <w:spacing w:val="-2"/>
                          <w:sz w:val="24"/>
                        </w:rPr>
                        <w:t>Recommendation</w:t>
                      </w:r>
                      <w:r>
                        <w:rPr>
                          <w:b/>
                          <w:color w:val="000000"/>
                          <w:sz w:val="24"/>
                        </w:rPr>
                        <w:t> </w:t>
                      </w:r>
                      <w:r>
                        <w:rPr>
                          <w:b/>
                          <w:color w:val="000000"/>
                          <w:spacing w:val="-10"/>
                          <w:sz w:val="24"/>
                        </w:rPr>
                        <w:t>3</w:t>
                      </w:r>
                    </w:p>
                    <w:p>
                      <w:pPr>
                        <w:pStyle w:val="BodyText"/>
                        <w:spacing w:line="288" w:lineRule="auto" w:before="175"/>
                        <w:ind w:left="112" w:right="205"/>
                        <w:rPr>
                          <w:color w:val="000000"/>
                        </w:rPr>
                      </w:pPr>
                      <w:r>
                        <w:rPr>
                          <w:color w:val="000000"/>
                        </w:rPr>
                        <w:t>Building on its existing </w:t>
                      </w:r>
                      <w:r>
                        <w:rPr>
                          <w:i/>
                          <w:color w:val="000000"/>
                        </w:rPr>
                        <w:t>Conflict of Interest Policy</w:t>
                      </w:r>
                      <w:r>
                        <w:rPr>
                          <w:color w:val="000000"/>
                        </w:rPr>
                        <w:t>, ESV should develop documented protocols and additional guidance to ensure that perceived and potential conflicts of interest are addressed in its regulatory decision making, particularly in cases where regulatory</w:t>
                      </w:r>
                      <w:r>
                        <w:rPr>
                          <w:color w:val="000000"/>
                          <w:spacing w:val="-6"/>
                        </w:rPr>
                        <w:t> </w:t>
                      </w:r>
                      <w:r>
                        <w:rPr>
                          <w:color w:val="000000"/>
                        </w:rPr>
                        <w:t>staff</w:t>
                      </w:r>
                      <w:r>
                        <w:rPr>
                          <w:color w:val="000000"/>
                          <w:spacing w:val="-2"/>
                        </w:rPr>
                        <w:t> </w:t>
                      </w:r>
                      <w:r>
                        <w:rPr>
                          <w:color w:val="000000"/>
                        </w:rPr>
                        <w:t>have</w:t>
                      </w:r>
                      <w:r>
                        <w:rPr>
                          <w:color w:val="000000"/>
                          <w:spacing w:val="-4"/>
                        </w:rPr>
                        <w:t> </w:t>
                      </w:r>
                      <w:r>
                        <w:rPr>
                          <w:color w:val="000000"/>
                        </w:rPr>
                        <w:t>previously</w:t>
                      </w:r>
                      <w:r>
                        <w:rPr>
                          <w:color w:val="000000"/>
                          <w:spacing w:val="-6"/>
                        </w:rPr>
                        <w:t> </w:t>
                      </w:r>
                      <w:r>
                        <w:rPr>
                          <w:color w:val="000000"/>
                        </w:rPr>
                        <w:t>been</w:t>
                      </w:r>
                      <w:r>
                        <w:rPr>
                          <w:color w:val="000000"/>
                          <w:spacing w:val="-4"/>
                        </w:rPr>
                        <w:t> </w:t>
                      </w:r>
                      <w:r>
                        <w:rPr>
                          <w:color w:val="000000"/>
                        </w:rPr>
                        <w:t>employed</w:t>
                      </w:r>
                      <w:r>
                        <w:rPr>
                          <w:color w:val="000000"/>
                          <w:spacing w:val="-4"/>
                        </w:rPr>
                        <w:t> </w:t>
                      </w:r>
                      <w:r>
                        <w:rPr>
                          <w:color w:val="000000"/>
                        </w:rPr>
                        <w:t>by</w:t>
                      </w:r>
                      <w:r>
                        <w:rPr>
                          <w:color w:val="000000"/>
                          <w:spacing w:val="-6"/>
                        </w:rPr>
                        <w:t> </w:t>
                      </w:r>
                      <w:r>
                        <w:rPr>
                          <w:color w:val="000000"/>
                        </w:rPr>
                        <w:t>network</w:t>
                      </w:r>
                      <w:r>
                        <w:rPr>
                          <w:color w:val="000000"/>
                          <w:spacing w:val="-1"/>
                        </w:rPr>
                        <w:t> </w:t>
                      </w:r>
                      <w:r>
                        <w:rPr>
                          <w:color w:val="000000"/>
                        </w:rPr>
                        <w:t>businesses</w:t>
                      </w:r>
                      <w:r>
                        <w:rPr>
                          <w:color w:val="000000"/>
                          <w:spacing w:val="-3"/>
                        </w:rPr>
                        <w:t> </w:t>
                      </w:r>
                      <w:r>
                        <w:rPr>
                          <w:color w:val="000000"/>
                        </w:rPr>
                        <w:t>or</w:t>
                      </w:r>
                      <w:r>
                        <w:rPr>
                          <w:color w:val="000000"/>
                          <w:spacing w:val="-5"/>
                        </w:rPr>
                        <w:t> </w:t>
                      </w:r>
                      <w:r>
                        <w:rPr>
                          <w:color w:val="000000"/>
                        </w:rPr>
                        <w:t>undertaken previous consulting engagements with network businesses.</w:t>
                      </w:r>
                    </w:p>
                  </w:txbxContent>
                </v:textbox>
                <v:fill type="solid"/>
                <w10:wrap type="topAndBottom"/>
              </v:shape>
            </w:pict>
          </mc:Fallback>
        </mc:AlternateContent>
      </w:r>
    </w:p>
    <w:p>
      <w:pPr>
        <w:spacing w:after="0"/>
        <w:rPr>
          <w:sz w:val="16"/>
        </w:rPr>
        <w:sectPr>
          <w:pgSz w:w="11910" w:h="16840"/>
          <w:pgMar w:header="887" w:footer="1228" w:top="1080" w:bottom="1500" w:left="840" w:right="820"/>
        </w:sectPr>
      </w:pPr>
    </w:p>
    <w:p>
      <w:pPr>
        <w:pStyle w:val="BodyText"/>
        <w:rPr>
          <w:sz w:val="20"/>
        </w:rPr>
      </w:pPr>
    </w:p>
    <w:p>
      <w:pPr>
        <w:pStyle w:val="BodyText"/>
        <w:rPr>
          <w:sz w:val="20"/>
        </w:rPr>
      </w:pPr>
    </w:p>
    <w:p>
      <w:pPr>
        <w:pStyle w:val="Heading4"/>
        <w:spacing w:line="288" w:lineRule="auto" w:before="258"/>
        <w:ind w:left="600" w:right="910"/>
      </w:pPr>
      <w:r>
        <w:rPr>
          <w:color w:val="585858"/>
        </w:rPr>
        <w:t>Strengthening</w:t>
      </w:r>
      <w:r>
        <w:rPr>
          <w:color w:val="585858"/>
          <w:spacing w:val="-11"/>
        </w:rPr>
        <w:t> </w:t>
      </w:r>
      <w:r>
        <w:rPr>
          <w:color w:val="585858"/>
        </w:rPr>
        <w:t>ESV’s</w:t>
      </w:r>
      <w:r>
        <w:rPr>
          <w:color w:val="585858"/>
          <w:spacing w:val="-12"/>
        </w:rPr>
        <w:t> </w:t>
      </w:r>
      <w:r>
        <w:rPr>
          <w:color w:val="585858"/>
        </w:rPr>
        <w:t>corporate</w:t>
      </w:r>
      <w:r>
        <w:rPr>
          <w:color w:val="585858"/>
          <w:spacing w:val="-12"/>
        </w:rPr>
        <w:t> </w:t>
      </w:r>
      <w:r>
        <w:rPr>
          <w:color w:val="585858"/>
        </w:rPr>
        <w:t>governance</w:t>
      </w:r>
      <w:r>
        <w:rPr>
          <w:color w:val="585858"/>
          <w:spacing w:val="-12"/>
        </w:rPr>
        <w:t> </w:t>
      </w:r>
      <w:r>
        <w:rPr>
          <w:color w:val="585858"/>
        </w:rPr>
        <w:t>and management systems more generally</w:t>
      </w:r>
    </w:p>
    <w:p>
      <w:pPr>
        <w:pStyle w:val="BodyText"/>
        <w:spacing w:line="288" w:lineRule="auto" w:before="240"/>
        <w:ind w:left="600" w:right="713"/>
      </w:pPr>
      <w:r>
        <w:rPr/>
        <w:t>As</w:t>
      </w:r>
      <w:r>
        <w:rPr>
          <w:spacing w:val="-1"/>
        </w:rPr>
        <w:t> </w:t>
      </w:r>
      <w:r>
        <w:rPr/>
        <w:t>noted</w:t>
      </w:r>
      <w:r>
        <w:rPr>
          <w:spacing w:val="-4"/>
        </w:rPr>
        <w:t> </w:t>
      </w:r>
      <w:r>
        <w:rPr/>
        <w:t>earlier</w:t>
      </w:r>
      <w:r>
        <w:rPr>
          <w:spacing w:val="-1"/>
        </w:rPr>
        <w:t> </w:t>
      </w:r>
      <w:r>
        <w:rPr/>
        <w:t>in</w:t>
      </w:r>
      <w:r>
        <w:rPr>
          <w:spacing w:val="-4"/>
        </w:rPr>
        <w:t> </w:t>
      </w:r>
      <w:r>
        <w:rPr/>
        <w:t>this</w:t>
      </w:r>
      <w:r>
        <w:rPr>
          <w:spacing w:val="-4"/>
        </w:rPr>
        <w:t> </w:t>
      </w:r>
      <w:r>
        <w:rPr/>
        <w:t>chapter,</w:t>
      </w:r>
      <w:r>
        <w:rPr>
          <w:spacing w:val="-3"/>
        </w:rPr>
        <w:t> </w:t>
      </w:r>
      <w:r>
        <w:rPr/>
        <w:t>the</w:t>
      </w:r>
      <w:r>
        <w:rPr>
          <w:spacing w:val="-2"/>
        </w:rPr>
        <w:t> </w:t>
      </w:r>
      <w:r>
        <w:rPr/>
        <w:t>effectiveness</w:t>
      </w:r>
      <w:r>
        <w:rPr>
          <w:spacing w:val="-2"/>
        </w:rPr>
        <w:t> </w:t>
      </w:r>
      <w:r>
        <w:rPr/>
        <w:t>of a</w:t>
      </w:r>
      <w:r>
        <w:rPr>
          <w:spacing w:val="-4"/>
        </w:rPr>
        <w:t> </w:t>
      </w:r>
      <w:r>
        <w:rPr/>
        <w:t>regulator</w:t>
      </w:r>
      <w:r>
        <w:rPr>
          <w:spacing w:val="-3"/>
        </w:rPr>
        <w:t> </w:t>
      </w:r>
      <w:r>
        <w:rPr/>
        <w:t>relies</w:t>
      </w:r>
      <w:r>
        <w:rPr>
          <w:spacing w:val="-2"/>
        </w:rPr>
        <w:t> </w:t>
      </w:r>
      <w:r>
        <w:rPr/>
        <w:t>not</w:t>
      </w:r>
      <w:r>
        <w:rPr>
          <w:spacing w:val="-3"/>
        </w:rPr>
        <w:t> </w:t>
      </w:r>
      <w:r>
        <w:rPr/>
        <w:t>only</w:t>
      </w:r>
      <w:r>
        <w:rPr>
          <w:spacing w:val="-4"/>
        </w:rPr>
        <w:t> </w:t>
      </w:r>
      <w:r>
        <w:rPr/>
        <w:t>on</w:t>
      </w:r>
      <w:r>
        <w:rPr>
          <w:spacing w:val="-2"/>
        </w:rPr>
        <w:t> </w:t>
      </w:r>
      <w:r>
        <w:rPr/>
        <w:t>the</w:t>
      </w:r>
      <w:r>
        <w:rPr>
          <w:spacing w:val="-4"/>
        </w:rPr>
        <w:t> </w:t>
      </w:r>
      <w:r>
        <w:rPr/>
        <w:t>quality of its regulatory governance, the formal structures, processes and systems that support its regulatory actions and decision making, but also on the quality of its broader corporate governance, management and leadership.</w:t>
      </w:r>
    </w:p>
    <w:p>
      <w:pPr>
        <w:pStyle w:val="BodyText"/>
        <w:spacing w:before="10"/>
        <w:rPr>
          <w:sz w:val="20"/>
        </w:rPr>
      </w:pPr>
    </w:p>
    <w:p>
      <w:pPr>
        <w:pStyle w:val="BodyText"/>
        <w:spacing w:line="288" w:lineRule="auto"/>
        <w:ind w:left="600" w:right="311"/>
      </w:pPr>
      <w:r>
        <w:rPr/>
        <w:t>The</w:t>
      </w:r>
      <w:r>
        <w:rPr>
          <w:spacing w:val="-4"/>
        </w:rPr>
        <w:t> </w:t>
      </w:r>
      <w:r>
        <w:rPr/>
        <w:t>Director</w:t>
      </w:r>
      <w:r>
        <w:rPr>
          <w:spacing w:val="-1"/>
        </w:rPr>
        <w:t> </w:t>
      </w:r>
      <w:r>
        <w:rPr/>
        <w:t>of Energy</w:t>
      </w:r>
      <w:r>
        <w:rPr>
          <w:spacing w:val="-4"/>
        </w:rPr>
        <w:t> </w:t>
      </w:r>
      <w:r>
        <w:rPr/>
        <w:t>Safety</w:t>
      </w:r>
      <w:r>
        <w:rPr>
          <w:spacing w:val="-3"/>
        </w:rPr>
        <w:t> </w:t>
      </w:r>
      <w:r>
        <w:rPr/>
        <w:t>and</w:t>
      </w:r>
      <w:r>
        <w:rPr>
          <w:spacing w:val="-4"/>
        </w:rPr>
        <w:t> </w:t>
      </w:r>
      <w:r>
        <w:rPr/>
        <w:t>the</w:t>
      </w:r>
      <w:r>
        <w:rPr>
          <w:spacing w:val="-4"/>
        </w:rPr>
        <w:t> </w:t>
      </w:r>
      <w:r>
        <w:rPr/>
        <w:t>senior</w:t>
      </w:r>
      <w:r>
        <w:rPr>
          <w:spacing w:val="-1"/>
        </w:rPr>
        <w:t> </w:t>
      </w:r>
      <w:r>
        <w:rPr/>
        <w:t>leadership</w:t>
      </w:r>
      <w:r>
        <w:rPr>
          <w:spacing w:val="-2"/>
        </w:rPr>
        <w:t> </w:t>
      </w:r>
      <w:r>
        <w:rPr/>
        <w:t>team</w:t>
      </w:r>
      <w:r>
        <w:rPr>
          <w:spacing w:val="-3"/>
        </w:rPr>
        <w:t> </w:t>
      </w:r>
      <w:r>
        <w:rPr/>
        <w:t>have</w:t>
      </w:r>
      <w:r>
        <w:rPr>
          <w:spacing w:val="-2"/>
        </w:rPr>
        <w:t> </w:t>
      </w:r>
      <w:r>
        <w:rPr/>
        <w:t>recognised</w:t>
      </w:r>
      <w:r>
        <w:rPr>
          <w:spacing w:val="-2"/>
        </w:rPr>
        <w:t> </w:t>
      </w:r>
      <w:r>
        <w:rPr/>
        <w:t>the</w:t>
      </w:r>
      <w:r>
        <w:rPr>
          <w:spacing w:val="-2"/>
        </w:rPr>
        <w:t> </w:t>
      </w:r>
      <w:r>
        <w:rPr/>
        <w:t>need</w:t>
      </w:r>
      <w:r>
        <w:rPr>
          <w:spacing w:val="-4"/>
        </w:rPr>
        <w:t> </w:t>
      </w:r>
      <w:r>
        <w:rPr/>
        <w:t>for ESV’s corporate governance, management systems and capabilities to be substantially strengthened. This process has commenced, but more remains to be done.</w:t>
      </w:r>
    </w:p>
    <w:p>
      <w:pPr>
        <w:pStyle w:val="BodyText"/>
        <w:rPr>
          <w:sz w:val="21"/>
        </w:rPr>
      </w:pPr>
    </w:p>
    <w:p>
      <w:pPr>
        <w:pStyle w:val="BodyText"/>
        <w:spacing w:line="288" w:lineRule="auto"/>
        <w:ind w:left="600" w:right="910"/>
      </w:pPr>
      <w:r>
        <w:rPr/>
        <w:t>In late 2015, the Director of Energy Safety commissioned an independent </w:t>
      </w:r>
      <w:r>
        <w:rPr>
          <w:i/>
        </w:rPr>
        <w:t>Executive Structure</w:t>
      </w:r>
      <w:r>
        <w:rPr>
          <w:i/>
          <w:spacing w:val="-4"/>
        </w:rPr>
        <w:t> </w:t>
      </w:r>
      <w:r>
        <w:rPr>
          <w:i/>
        </w:rPr>
        <w:t>Review</w:t>
      </w:r>
      <w:r>
        <w:rPr>
          <w:i/>
          <w:spacing w:val="-2"/>
        </w:rPr>
        <w:t> </w:t>
      </w:r>
      <w:r>
        <w:rPr/>
        <w:t>conducted</w:t>
      </w:r>
      <w:r>
        <w:rPr>
          <w:spacing w:val="-2"/>
        </w:rPr>
        <w:t> </w:t>
      </w:r>
      <w:r>
        <w:rPr/>
        <w:t>by</w:t>
      </w:r>
      <w:r>
        <w:rPr>
          <w:spacing w:val="-4"/>
        </w:rPr>
        <w:t> </w:t>
      </w:r>
      <w:r>
        <w:rPr/>
        <w:t>Marchment</w:t>
      </w:r>
      <w:r>
        <w:rPr>
          <w:spacing w:val="-3"/>
        </w:rPr>
        <w:t> </w:t>
      </w:r>
      <w:r>
        <w:rPr/>
        <w:t>Hill</w:t>
      </w:r>
      <w:r>
        <w:rPr>
          <w:spacing w:val="-2"/>
        </w:rPr>
        <w:t> </w:t>
      </w:r>
      <w:r>
        <w:rPr/>
        <w:t>Consulting.</w:t>
      </w:r>
      <w:r>
        <w:rPr>
          <w:spacing w:val="-3"/>
        </w:rPr>
        <w:t> </w:t>
      </w:r>
      <w:r>
        <w:rPr/>
        <w:t>The</w:t>
      </w:r>
      <w:r>
        <w:rPr>
          <w:spacing w:val="-7"/>
        </w:rPr>
        <w:t> </w:t>
      </w:r>
      <w:r>
        <w:rPr/>
        <w:t>final</w:t>
      </w:r>
      <w:r>
        <w:rPr>
          <w:spacing w:val="-3"/>
        </w:rPr>
        <w:t> </w:t>
      </w:r>
      <w:r>
        <w:rPr/>
        <w:t>report of</w:t>
      </w:r>
      <w:r>
        <w:rPr>
          <w:spacing w:val="-3"/>
        </w:rPr>
        <w:t> </w:t>
      </w:r>
      <w:r>
        <w:rPr/>
        <w:t>this</w:t>
      </w:r>
      <w:r>
        <w:rPr>
          <w:spacing w:val="-1"/>
        </w:rPr>
        <w:t> </w:t>
      </w:r>
      <w:r>
        <w:rPr/>
        <w:t>review was delivered in February 2016.</w:t>
      </w:r>
    </w:p>
    <w:p>
      <w:pPr>
        <w:pStyle w:val="BodyText"/>
        <w:spacing w:before="9"/>
        <w:rPr>
          <w:sz w:val="20"/>
        </w:rPr>
      </w:pPr>
    </w:p>
    <w:p>
      <w:pPr>
        <w:pStyle w:val="BodyText"/>
        <w:spacing w:line="288" w:lineRule="auto"/>
        <w:ind w:left="600" w:right="910"/>
      </w:pPr>
      <w:r>
        <w:rPr/>
        <w:t>Marchment Hill’s report noted that its “health check” review was conducted against a backdrop</w:t>
      </w:r>
      <w:r>
        <w:rPr>
          <w:spacing w:val="-3"/>
        </w:rPr>
        <w:t> </w:t>
      </w:r>
      <w:r>
        <w:rPr/>
        <w:t>of</w:t>
      </w:r>
      <w:r>
        <w:rPr>
          <w:spacing w:val="-1"/>
        </w:rPr>
        <w:t> </w:t>
      </w:r>
      <w:r>
        <w:rPr/>
        <w:t>ESV</w:t>
      </w:r>
      <w:r>
        <w:rPr>
          <w:spacing w:val="-6"/>
        </w:rPr>
        <w:t> </w:t>
      </w:r>
      <w:r>
        <w:rPr/>
        <w:t>having</w:t>
      </w:r>
      <w:r>
        <w:rPr>
          <w:spacing w:val="-3"/>
        </w:rPr>
        <w:t> </w:t>
      </w:r>
      <w:r>
        <w:rPr/>
        <w:t>grown</w:t>
      </w:r>
      <w:r>
        <w:rPr>
          <w:spacing w:val="-3"/>
        </w:rPr>
        <w:t> </w:t>
      </w:r>
      <w:r>
        <w:rPr/>
        <w:t>in</w:t>
      </w:r>
      <w:r>
        <w:rPr>
          <w:spacing w:val="-3"/>
        </w:rPr>
        <w:t> </w:t>
      </w:r>
      <w:r>
        <w:rPr/>
        <w:t>scale,</w:t>
      </w:r>
      <w:r>
        <w:rPr>
          <w:spacing w:val="-2"/>
        </w:rPr>
        <w:t> </w:t>
      </w:r>
      <w:r>
        <w:rPr/>
        <w:t>complexity</w:t>
      </w:r>
      <w:r>
        <w:rPr>
          <w:spacing w:val="-5"/>
        </w:rPr>
        <w:t> </w:t>
      </w:r>
      <w:r>
        <w:rPr/>
        <w:t>and</w:t>
      </w:r>
      <w:r>
        <w:rPr>
          <w:spacing w:val="-3"/>
        </w:rPr>
        <w:t> </w:t>
      </w:r>
      <w:r>
        <w:rPr/>
        <w:t>maturity.</w:t>
      </w:r>
      <w:r>
        <w:rPr>
          <w:spacing w:val="-1"/>
        </w:rPr>
        <w:t> </w:t>
      </w:r>
      <w:r>
        <w:rPr/>
        <w:t>It</w:t>
      </w:r>
      <w:r>
        <w:rPr>
          <w:spacing w:val="-1"/>
        </w:rPr>
        <w:t> </w:t>
      </w:r>
      <w:r>
        <w:rPr/>
        <w:t>identified</w:t>
      </w:r>
      <w:r>
        <w:rPr>
          <w:spacing w:val="-3"/>
        </w:rPr>
        <w:t> </w:t>
      </w:r>
      <w:r>
        <w:rPr/>
        <w:t>a</w:t>
      </w:r>
      <w:r>
        <w:rPr>
          <w:spacing w:val="-3"/>
        </w:rPr>
        <w:t> </w:t>
      </w:r>
      <w:r>
        <w:rPr/>
        <w:t>number</w:t>
      </w:r>
      <w:r>
        <w:rPr>
          <w:spacing w:val="-4"/>
        </w:rPr>
        <w:t> </w:t>
      </w:r>
      <w:r>
        <w:rPr/>
        <w:t>of key issues, including:</w:t>
      </w:r>
    </w:p>
    <w:p>
      <w:pPr>
        <w:pStyle w:val="BodyText"/>
        <w:spacing w:before="5"/>
      </w:pPr>
    </w:p>
    <w:p>
      <w:pPr>
        <w:pStyle w:val="ListParagraph"/>
        <w:numPr>
          <w:ilvl w:val="0"/>
          <w:numId w:val="33"/>
        </w:numPr>
        <w:tabs>
          <w:tab w:pos="1101" w:val="left" w:leader="none"/>
        </w:tabs>
        <w:spacing w:line="240" w:lineRule="auto" w:before="0" w:after="0"/>
        <w:ind w:left="1101" w:right="0" w:hanging="359"/>
        <w:jc w:val="left"/>
        <w:rPr>
          <w:sz w:val="22"/>
        </w:rPr>
      </w:pPr>
      <w:r>
        <w:rPr>
          <w:sz w:val="22"/>
        </w:rPr>
        <w:t>Organisational</w:t>
      </w:r>
      <w:r>
        <w:rPr>
          <w:spacing w:val="-9"/>
          <w:sz w:val="22"/>
        </w:rPr>
        <w:t> </w:t>
      </w:r>
      <w:r>
        <w:rPr>
          <w:sz w:val="22"/>
        </w:rPr>
        <w:t>drift,</w:t>
      </w:r>
      <w:r>
        <w:rPr>
          <w:spacing w:val="-8"/>
          <w:sz w:val="22"/>
        </w:rPr>
        <w:t> </w:t>
      </w:r>
      <w:r>
        <w:rPr>
          <w:sz w:val="22"/>
        </w:rPr>
        <w:t>with</w:t>
      </w:r>
      <w:r>
        <w:rPr>
          <w:spacing w:val="-7"/>
          <w:sz w:val="22"/>
        </w:rPr>
        <w:t> </w:t>
      </w:r>
      <w:r>
        <w:rPr>
          <w:sz w:val="22"/>
        </w:rPr>
        <w:t>no</w:t>
      </w:r>
      <w:r>
        <w:rPr>
          <w:spacing w:val="-7"/>
          <w:sz w:val="22"/>
        </w:rPr>
        <w:t> </w:t>
      </w:r>
      <w:r>
        <w:rPr>
          <w:sz w:val="22"/>
        </w:rPr>
        <w:t>well-defined</w:t>
      </w:r>
      <w:r>
        <w:rPr>
          <w:spacing w:val="-7"/>
          <w:sz w:val="22"/>
        </w:rPr>
        <w:t> </w:t>
      </w:r>
      <w:r>
        <w:rPr>
          <w:sz w:val="22"/>
        </w:rPr>
        <w:t>“organisational</w:t>
      </w:r>
      <w:r>
        <w:rPr>
          <w:spacing w:val="-7"/>
          <w:sz w:val="22"/>
        </w:rPr>
        <w:t> </w:t>
      </w:r>
      <w:r>
        <w:rPr>
          <w:sz w:val="22"/>
        </w:rPr>
        <w:t>model”</w:t>
      </w:r>
      <w:r>
        <w:rPr>
          <w:spacing w:val="-10"/>
          <w:sz w:val="22"/>
        </w:rPr>
        <w:t> </w:t>
      </w:r>
      <w:r>
        <w:rPr>
          <w:sz w:val="22"/>
        </w:rPr>
        <w:t>for</w:t>
      </w:r>
      <w:r>
        <w:rPr>
          <w:spacing w:val="-6"/>
          <w:sz w:val="22"/>
        </w:rPr>
        <w:t> </w:t>
      </w:r>
      <w:r>
        <w:rPr>
          <w:spacing w:val="-4"/>
          <w:sz w:val="22"/>
        </w:rPr>
        <w:t>ESV.</w:t>
      </w:r>
    </w:p>
    <w:p>
      <w:pPr>
        <w:pStyle w:val="BodyText"/>
        <w:spacing w:before="5"/>
        <w:rPr>
          <w:sz w:val="26"/>
        </w:rPr>
      </w:pPr>
    </w:p>
    <w:p>
      <w:pPr>
        <w:pStyle w:val="ListParagraph"/>
        <w:numPr>
          <w:ilvl w:val="0"/>
          <w:numId w:val="33"/>
        </w:numPr>
        <w:tabs>
          <w:tab w:pos="1102" w:val="left" w:leader="none"/>
        </w:tabs>
        <w:spacing w:line="288" w:lineRule="auto" w:before="0" w:after="0"/>
        <w:ind w:left="1102" w:right="1076" w:hanging="360"/>
        <w:jc w:val="left"/>
        <w:rPr>
          <w:sz w:val="22"/>
        </w:rPr>
      </w:pPr>
      <w:r>
        <w:rPr>
          <w:sz w:val="22"/>
        </w:rPr>
        <w:t>Unbalanced</w:t>
      </w:r>
      <w:r>
        <w:rPr>
          <w:spacing w:val="-3"/>
          <w:sz w:val="22"/>
        </w:rPr>
        <w:t> </w:t>
      </w:r>
      <w:r>
        <w:rPr>
          <w:sz w:val="22"/>
        </w:rPr>
        <w:t>spans</w:t>
      </w:r>
      <w:r>
        <w:rPr>
          <w:spacing w:val="-3"/>
          <w:sz w:val="22"/>
        </w:rPr>
        <w:t> </w:t>
      </w:r>
      <w:r>
        <w:rPr>
          <w:sz w:val="22"/>
        </w:rPr>
        <w:t>of</w:t>
      </w:r>
      <w:r>
        <w:rPr>
          <w:spacing w:val="-1"/>
          <w:sz w:val="22"/>
        </w:rPr>
        <w:t> </w:t>
      </w:r>
      <w:r>
        <w:rPr>
          <w:sz w:val="22"/>
        </w:rPr>
        <w:t>control,</w:t>
      </w:r>
      <w:r>
        <w:rPr>
          <w:spacing w:val="-4"/>
          <w:sz w:val="22"/>
        </w:rPr>
        <w:t> </w:t>
      </w:r>
      <w:r>
        <w:rPr>
          <w:sz w:val="22"/>
        </w:rPr>
        <w:t>with</w:t>
      </w:r>
      <w:r>
        <w:rPr>
          <w:spacing w:val="-3"/>
          <w:sz w:val="22"/>
        </w:rPr>
        <w:t> </w:t>
      </w:r>
      <w:r>
        <w:rPr>
          <w:sz w:val="22"/>
        </w:rPr>
        <w:t>the</w:t>
      </w:r>
      <w:r>
        <w:rPr>
          <w:spacing w:val="-3"/>
          <w:sz w:val="22"/>
        </w:rPr>
        <w:t> </w:t>
      </w:r>
      <w:r>
        <w:rPr>
          <w:sz w:val="22"/>
        </w:rPr>
        <w:t>Director</w:t>
      </w:r>
      <w:r>
        <w:rPr>
          <w:spacing w:val="-4"/>
          <w:sz w:val="22"/>
        </w:rPr>
        <w:t> </w:t>
      </w:r>
      <w:r>
        <w:rPr>
          <w:sz w:val="22"/>
        </w:rPr>
        <w:t>of</w:t>
      </w:r>
      <w:r>
        <w:rPr>
          <w:spacing w:val="-4"/>
          <w:sz w:val="22"/>
        </w:rPr>
        <w:t> </w:t>
      </w:r>
      <w:r>
        <w:rPr>
          <w:sz w:val="22"/>
        </w:rPr>
        <w:t>Energy</w:t>
      </w:r>
      <w:r>
        <w:rPr>
          <w:spacing w:val="-5"/>
          <w:sz w:val="22"/>
        </w:rPr>
        <w:t> </w:t>
      </w:r>
      <w:r>
        <w:rPr>
          <w:sz w:val="22"/>
        </w:rPr>
        <w:t>Safety</w:t>
      </w:r>
      <w:r>
        <w:rPr>
          <w:spacing w:val="-5"/>
          <w:sz w:val="22"/>
        </w:rPr>
        <w:t> </w:t>
      </w:r>
      <w:r>
        <w:rPr>
          <w:sz w:val="22"/>
        </w:rPr>
        <w:t>having</w:t>
      </w:r>
      <w:r>
        <w:rPr>
          <w:spacing w:val="-1"/>
          <w:sz w:val="22"/>
        </w:rPr>
        <w:t> </w:t>
      </w:r>
      <w:r>
        <w:rPr>
          <w:sz w:val="22"/>
        </w:rPr>
        <w:t>a</w:t>
      </w:r>
      <w:r>
        <w:rPr>
          <w:spacing w:val="-5"/>
          <w:sz w:val="22"/>
        </w:rPr>
        <w:t> </w:t>
      </w:r>
      <w:r>
        <w:rPr>
          <w:sz w:val="22"/>
        </w:rPr>
        <w:t>very</w:t>
      </w:r>
      <w:r>
        <w:rPr>
          <w:spacing w:val="-4"/>
          <w:sz w:val="22"/>
        </w:rPr>
        <w:t> </w:t>
      </w:r>
      <w:r>
        <w:rPr>
          <w:sz w:val="22"/>
        </w:rPr>
        <w:t>wide span of control while executive managers had very narrow spans of control.</w:t>
      </w:r>
    </w:p>
    <w:p>
      <w:pPr>
        <w:pStyle w:val="BodyText"/>
        <w:spacing w:before="4"/>
      </w:pPr>
    </w:p>
    <w:p>
      <w:pPr>
        <w:pStyle w:val="ListParagraph"/>
        <w:numPr>
          <w:ilvl w:val="0"/>
          <w:numId w:val="33"/>
        </w:numPr>
        <w:tabs>
          <w:tab w:pos="1102" w:val="left" w:leader="none"/>
        </w:tabs>
        <w:spacing w:line="285" w:lineRule="auto" w:before="0" w:after="0"/>
        <w:ind w:left="1102" w:right="1055" w:hanging="360"/>
        <w:jc w:val="left"/>
        <w:rPr>
          <w:sz w:val="22"/>
        </w:rPr>
      </w:pPr>
      <w:r>
        <w:rPr>
          <w:sz w:val="22"/>
        </w:rPr>
        <w:t>Elements</w:t>
      </w:r>
      <w:r>
        <w:rPr>
          <w:spacing w:val="-2"/>
          <w:sz w:val="22"/>
        </w:rPr>
        <w:t> </w:t>
      </w:r>
      <w:r>
        <w:rPr>
          <w:sz w:val="22"/>
        </w:rPr>
        <w:t>of</w:t>
      </w:r>
      <w:r>
        <w:rPr>
          <w:spacing w:val="-1"/>
          <w:sz w:val="22"/>
        </w:rPr>
        <w:t> </w:t>
      </w:r>
      <w:r>
        <w:rPr>
          <w:sz w:val="22"/>
        </w:rPr>
        <w:t>business</w:t>
      </w:r>
      <w:r>
        <w:rPr>
          <w:spacing w:val="-2"/>
          <w:sz w:val="22"/>
        </w:rPr>
        <w:t> </w:t>
      </w:r>
      <w:r>
        <w:rPr>
          <w:sz w:val="22"/>
        </w:rPr>
        <w:t>culture</w:t>
      </w:r>
      <w:r>
        <w:rPr>
          <w:spacing w:val="-5"/>
          <w:sz w:val="22"/>
        </w:rPr>
        <w:t> </w:t>
      </w:r>
      <w:r>
        <w:rPr>
          <w:sz w:val="22"/>
        </w:rPr>
        <w:t>appearing</w:t>
      </w:r>
      <w:r>
        <w:rPr>
          <w:spacing w:val="-3"/>
          <w:sz w:val="22"/>
        </w:rPr>
        <w:t> </w:t>
      </w:r>
      <w:r>
        <w:rPr>
          <w:sz w:val="22"/>
        </w:rPr>
        <w:t>“</w:t>
      </w:r>
      <w:r>
        <w:rPr>
          <w:i/>
          <w:sz w:val="22"/>
        </w:rPr>
        <w:t>to</w:t>
      </w:r>
      <w:r>
        <w:rPr>
          <w:i/>
          <w:spacing w:val="-5"/>
          <w:sz w:val="22"/>
        </w:rPr>
        <w:t> </w:t>
      </w:r>
      <w:r>
        <w:rPr>
          <w:i/>
          <w:sz w:val="22"/>
        </w:rPr>
        <w:t>contribute</w:t>
      </w:r>
      <w:r>
        <w:rPr>
          <w:i/>
          <w:spacing w:val="-5"/>
          <w:sz w:val="22"/>
        </w:rPr>
        <w:t> </w:t>
      </w:r>
      <w:r>
        <w:rPr>
          <w:i/>
          <w:sz w:val="22"/>
        </w:rPr>
        <w:t>to</w:t>
      </w:r>
      <w:r>
        <w:rPr>
          <w:i/>
          <w:spacing w:val="-3"/>
          <w:sz w:val="22"/>
        </w:rPr>
        <w:t> </w:t>
      </w:r>
      <w:r>
        <w:rPr>
          <w:i/>
          <w:sz w:val="22"/>
        </w:rPr>
        <w:t>sub-optimal</w:t>
      </w:r>
      <w:r>
        <w:rPr>
          <w:i/>
          <w:spacing w:val="-4"/>
          <w:sz w:val="22"/>
        </w:rPr>
        <w:t> </w:t>
      </w:r>
      <w:r>
        <w:rPr>
          <w:i/>
          <w:sz w:val="22"/>
        </w:rPr>
        <w:t>outcomes</w:t>
      </w:r>
      <w:r>
        <w:rPr>
          <w:i/>
          <w:spacing w:val="-2"/>
          <w:sz w:val="22"/>
        </w:rPr>
        <w:t> </w:t>
      </w:r>
      <w:r>
        <w:rPr>
          <w:i/>
          <w:sz w:val="22"/>
        </w:rPr>
        <w:t>and collaboration between divisions and teams</w:t>
      </w:r>
      <w:r>
        <w:rPr>
          <w:sz w:val="22"/>
        </w:rPr>
        <w:t>”.</w:t>
      </w:r>
    </w:p>
    <w:p>
      <w:pPr>
        <w:pStyle w:val="BodyText"/>
        <w:spacing w:before="7"/>
      </w:pPr>
    </w:p>
    <w:p>
      <w:pPr>
        <w:pStyle w:val="ListParagraph"/>
        <w:numPr>
          <w:ilvl w:val="0"/>
          <w:numId w:val="33"/>
        </w:numPr>
        <w:tabs>
          <w:tab w:pos="1101" w:val="left" w:leader="none"/>
        </w:tabs>
        <w:spacing w:line="240" w:lineRule="auto" w:before="0" w:after="0"/>
        <w:ind w:left="1101" w:right="0" w:hanging="359"/>
        <w:jc w:val="left"/>
        <w:rPr>
          <w:sz w:val="22"/>
        </w:rPr>
      </w:pPr>
      <w:r>
        <w:rPr>
          <w:sz w:val="22"/>
        </w:rPr>
        <w:t>Technical</w:t>
      </w:r>
      <w:r>
        <w:rPr>
          <w:spacing w:val="-7"/>
          <w:sz w:val="22"/>
        </w:rPr>
        <w:t> </w:t>
      </w:r>
      <w:r>
        <w:rPr>
          <w:sz w:val="22"/>
        </w:rPr>
        <w:t>areas</w:t>
      </w:r>
      <w:r>
        <w:rPr>
          <w:spacing w:val="-4"/>
          <w:sz w:val="22"/>
        </w:rPr>
        <w:t> </w:t>
      </w:r>
      <w:r>
        <w:rPr>
          <w:sz w:val="22"/>
        </w:rPr>
        <w:t>openly</w:t>
      </w:r>
      <w:r>
        <w:rPr>
          <w:spacing w:val="-8"/>
          <w:sz w:val="22"/>
        </w:rPr>
        <w:t> </w:t>
      </w:r>
      <w:r>
        <w:rPr>
          <w:sz w:val="22"/>
        </w:rPr>
        <w:t>speaking</w:t>
      </w:r>
      <w:r>
        <w:rPr>
          <w:spacing w:val="-3"/>
          <w:sz w:val="22"/>
        </w:rPr>
        <w:t> </w:t>
      </w:r>
      <w:r>
        <w:rPr>
          <w:sz w:val="22"/>
        </w:rPr>
        <w:t>of</w:t>
      </w:r>
      <w:r>
        <w:rPr>
          <w:spacing w:val="-4"/>
          <w:sz w:val="22"/>
        </w:rPr>
        <w:t> </w:t>
      </w:r>
      <w:r>
        <w:rPr>
          <w:sz w:val="22"/>
        </w:rPr>
        <w:t>working</w:t>
      </w:r>
      <w:r>
        <w:rPr>
          <w:spacing w:val="-3"/>
          <w:sz w:val="22"/>
        </w:rPr>
        <w:t> </w:t>
      </w:r>
      <w:r>
        <w:rPr>
          <w:sz w:val="22"/>
        </w:rPr>
        <w:t>in</w:t>
      </w:r>
      <w:r>
        <w:rPr>
          <w:spacing w:val="-8"/>
          <w:sz w:val="22"/>
        </w:rPr>
        <w:t> </w:t>
      </w:r>
      <w:r>
        <w:rPr>
          <w:sz w:val="22"/>
        </w:rPr>
        <w:t>“silos”</w:t>
      </w:r>
      <w:r>
        <w:rPr>
          <w:spacing w:val="-4"/>
          <w:sz w:val="22"/>
        </w:rPr>
        <w:t> </w:t>
      </w:r>
      <w:r>
        <w:rPr>
          <w:sz w:val="22"/>
        </w:rPr>
        <w:t>or</w:t>
      </w:r>
      <w:r>
        <w:rPr>
          <w:spacing w:val="-6"/>
          <w:sz w:val="22"/>
        </w:rPr>
        <w:t> </w:t>
      </w:r>
      <w:r>
        <w:rPr>
          <w:spacing w:val="-2"/>
          <w:sz w:val="22"/>
        </w:rPr>
        <w:t>“stovepipes”.</w:t>
      </w:r>
    </w:p>
    <w:p>
      <w:pPr>
        <w:pStyle w:val="BodyText"/>
        <w:spacing w:before="5"/>
        <w:rPr>
          <w:sz w:val="26"/>
        </w:rPr>
      </w:pPr>
    </w:p>
    <w:p>
      <w:pPr>
        <w:pStyle w:val="ListParagraph"/>
        <w:numPr>
          <w:ilvl w:val="0"/>
          <w:numId w:val="33"/>
        </w:numPr>
        <w:tabs>
          <w:tab w:pos="1102" w:val="left" w:leader="none"/>
        </w:tabs>
        <w:spacing w:line="288" w:lineRule="auto" w:before="0" w:after="0"/>
        <w:ind w:left="1102" w:right="747" w:hanging="360"/>
        <w:jc w:val="left"/>
        <w:rPr>
          <w:sz w:val="22"/>
        </w:rPr>
      </w:pPr>
      <w:r>
        <w:rPr>
          <w:sz w:val="22"/>
        </w:rPr>
        <w:t>Weakness</w:t>
      </w:r>
      <w:r>
        <w:rPr>
          <w:spacing w:val="-5"/>
          <w:sz w:val="22"/>
        </w:rPr>
        <w:t> </w:t>
      </w:r>
      <w:r>
        <w:rPr>
          <w:sz w:val="22"/>
        </w:rPr>
        <w:t>in</w:t>
      </w:r>
      <w:r>
        <w:rPr>
          <w:spacing w:val="-3"/>
          <w:sz w:val="22"/>
        </w:rPr>
        <w:t> </w:t>
      </w:r>
      <w:r>
        <w:rPr>
          <w:sz w:val="22"/>
        </w:rPr>
        <w:t>ESV’s</w:t>
      </w:r>
      <w:r>
        <w:rPr>
          <w:spacing w:val="-2"/>
          <w:sz w:val="22"/>
        </w:rPr>
        <w:t> </w:t>
      </w:r>
      <w:r>
        <w:rPr>
          <w:sz w:val="22"/>
        </w:rPr>
        <w:t>strategic</w:t>
      </w:r>
      <w:r>
        <w:rPr>
          <w:spacing w:val="-5"/>
          <w:sz w:val="22"/>
        </w:rPr>
        <w:t> </w:t>
      </w:r>
      <w:r>
        <w:rPr>
          <w:sz w:val="22"/>
        </w:rPr>
        <w:t>foundations,</w:t>
      </w:r>
      <w:r>
        <w:rPr>
          <w:spacing w:val="-1"/>
          <w:sz w:val="22"/>
        </w:rPr>
        <w:t> </w:t>
      </w:r>
      <w:r>
        <w:rPr>
          <w:sz w:val="22"/>
        </w:rPr>
        <w:t>and</w:t>
      </w:r>
      <w:r>
        <w:rPr>
          <w:spacing w:val="-5"/>
          <w:sz w:val="22"/>
        </w:rPr>
        <w:t> </w:t>
      </w:r>
      <w:r>
        <w:rPr>
          <w:sz w:val="22"/>
        </w:rPr>
        <w:t>that</w:t>
      </w:r>
      <w:r>
        <w:rPr>
          <w:spacing w:val="-2"/>
          <w:sz w:val="22"/>
        </w:rPr>
        <w:t> </w:t>
      </w:r>
      <w:r>
        <w:rPr>
          <w:sz w:val="22"/>
        </w:rPr>
        <w:t>aspects</w:t>
      </w:r>
      <w:r>
        <w:rPr>
          <w:spacing w:val="-5"/>
          <w:sz w:val="22"/>
        </w:rPr>
        <w:t> </w:t>
      </w:r>
      <w:r>
        <w:rPr>
          <w:sz w:val="22"/>
        </w:rPr>
        <w:t>of</w:t>
      </w:r>
      <w:r>
        <w:rPr>
          <w:spacing w:val="-1"/>
          <w:sz w:val="22"/>
        </w:rPr>
        <w:t> </w:t>
      </w:r>
      <w:r>
        <w:rPr>
          <w:sz w:val="22"/>
        </w:rPr>
        <w:t>ESV’s</w:t>
      </w:r>
      <w:r>
        <w:rPr>
          <w:spacing w:val="-2"/>
          <w:sz w:val="22"/>
        </w:rPr>
        <w:t> </w:t>
      </w:r>
      <w:r>
        <w:rPr>
          <w:sz w:val="22"/>
        </w:rPr>
        <w:t>strategy</w:t>
      </w:r>
      <w:r>
        <w:rPr>
          <w:spacing w:val="-5"/>
          <w:sz w:val="22"/>
        </w:rPr>
        <w:t> </w:t>
      </w:r>
      <w:r>
        <w:rPr>
          <w:sz w:val="22"/>
        </w:rPr>
        <w:t>could be “</w:t>
      </w:r>
      <w:r>
        <w:rPr>
          <w:i/>
          <w:sz w:val="22"/>
        </w:rPr>
        <w:t>further developed, better supported and better understood</w:t>
      </w:r>
      <w:r>
        <w:rPr>
          <w:sz w:val="22"/>
        </w:rPr>
        <w:t>” (Marchment Hill Consulting, 2016).</w:t>
      </w:r>
    </w:p>
    <w:p>
      <w:pPr>
        <w:pStyle w:val="BodyText"/>
        <w:spacing w:before="9"/>
        <w:rPr>
          <w:sz w:val="20"/>
        </w:rPr>
      </w:pPr>
    </w:p>
    <w:p>
      <w:pPr>
        <w:pStyle w:val="BodyText"/>
        <w:spacing w:line="288" w:lineRule="auto"/>
        <w:ind w:left="600" w:right="910"/>
      </w:pPr>
      <w:r>
        <w:rPr/>
        <w:t>Further</w:t>
      </w:r>
      <w:r>
        <w:rPr>
          <w:spacing w:val="-1"/>
        </w:rPr>
        <w:t> </w:t>
      </w:r>
      <w:r>
        <w:rPr/>
        <w:t>information</w:t>
      </w:r>
      <w:r>
        <w:rPr>
          <w:spacing w:val="-2"/>
        </w:rPr>
        <w:t> </w:t>
      </w:r>
      <w:r>
        <w:rPr/>
        <w:t>on</w:t>
      </w:r>
      <w:r>
        <w:rPr>
          <w:spacing w:val="-4"/>
        </w:rPr>
        <w:t> </w:t>
      </w:r>
      <w:r>
        <w:rPr/>
        <w:t>the</w:t>
      </w:r>
      <w:r>
        <w:rPr>
          <w:spacing w:val="-4"/>
        </w:rPr>
        <w:t> </w:t>
      </w:r>
      <w:r>
        <w:rPr/>
        <w:t>key</w:t>
      </w:r>
      <w:r>
        <w:rPr>
          <w:spacing w:val="-6"/>
        </w:rPr>
        <w:t> </w:t>
      </w:r>
      <w:r>
        <w:rPr/>
        <w:t>findings</w:t>
      </w:r>
      <w:r>
        <w:rPr>
          <w:spacing w:val="-4"/>
        </w:rPr>
        <w:t> </w:t>
      </w:r>
      <w:r>
        <w:rPr/>
        <w:t>of</w:t>
      </w:r>
      <w:r>
        <w:rPr>
          <w:spacing w:val="-3"/>
        </w:rPr>
        <w:t> </w:t>
      </w:r>
      <w:r>
        <w:rPr/>
        <w:t>the</w:t>
      </w:r>
      <w:r>
        <w:rPr>
          <w:spacing w:val="-2"/>
        </w:rPr>
        <w:t> </w:t>
      </w:r>
      <w:r>
        <w:rPr/>
        <w:t>Marchment</w:t>
      </w:r>
      <w:r>
        <w:rPr>
          <w:spacing w:val="-3"/>
        </w:rPr>
        <w:t> </w:t>
      </w:r>
      <w:r>
        <w:rPr/>
        <w:t>Hill</w:t>
      </w:r>
      <w:r>
        <w:rPr>
          <w:spacing w:val="-2"/>
        </w:rPr>
        <w:t> </w:t>
      </w:r>
      <w:r>
        <w:rPr/>
        <w:t>report is</w:t>
      </w:r>
      <w:r>
        <w:rPr>
          <w:spacing w:val="-4"/>
        </w:rPr>
        <w:t> </w:t>
      </w:r>
      <w:r>
        <w:rPr/>
        <w:t>detailed</w:t>
      </w:r>
      <w:r>
        <w:rPr>
          <w:spacing w:val="-2"/>
        </w:rPr>
        <w:t> </w:t>
      </w:r>
      <w:r>
        <w:rPr/>
        <w:t>in</w:t>
      </w:r>
      <w:r>
        <w:rPr>
          <w:spacing w:val="-2"/>
        </w:rPr>
        <w:t> </w:t>
      </w:r>
      <w:r>
        <w:rPr/>
        <w:t>a</w:t>
      </w:r>
      <w:r>
        <w:rPr>
          <w:spacing w:val="-1"/>
        </w:rPr>
        <w:t> </w:t>
      </w:r>
      <w:r>
        <w:rPr/>
        <w:t>box </w:t>
      </w:r>
      <w:r>
        <w:rPr>
          <w:spacing w:val="-2"/>
        </w:rPr>
        <w:t>below.</w:t>
      </w:r>
    </w:p>
    <w:p>
      <w:pPr>
        <w:pStyle w:val="BodyText"/>
        <w:spacing w:before="10"/>
        <w:rPr>
          <w:sz w:val="20"/>
        </w:rPr>
      </w:pPr>
    </w:p>
    <w:p>
      <w:pPr>
        <w:pStyle w:val="BodyText"/>
        <w:spacing w:line="288" w:lineRule="auto"/>
        <w:ind w:left="600" w:right="374"/>
      </w:pPr>
      <w:r>
        <w:rPr/>
        <w:t>To assist with further consideration of the changes to be made to ESV’s organisational structure,</w:t>
      </w:r>
      <w:r>
        <w:rPr>
          <w:spacing w:val="-4"/>
        </w:rPr>
        <w:t> </w:t>
      </w:r>
      <w:r>
        <w:rPr/>
        <w:t>the</w:t>
      </w:r>
      <w:r>
        <w:rPr>
          <w:spacing w:val="-5"/>
        </w:rPr>
        <w:t> </w:t>
      </w:r>
      <w:r>
        <w:rPr/>
        <w:t>Director</w:t>
      </w:r>
      <w:r>
        <w:rPr>
          <w:spacing w:val="-2"/>
        </w:rPr>
        <w:t> </w:t>
      </w:r>
      <w:r>
        <w:rPr/>
        <w:t>of</w:t>
      </w:r>
      <w:r>
        <w:rPr>
          <w:spacing w:val="-4"/>
        </w:rPr>
        <w:t> </w:t>
      </w:r>
      <w:r>
        <w:rPr/>
        <w:t>Energy</w:t>
      </w:r>
      <w:r>
        <w:rPr>
          <w:spacing w:val="-5"/>
        </w:rPr>
        <w:t> </w:t>
      </w:r>
      <w:r>
        <w:rPr/>
        <w:t>Safety</w:t>
      </w:r>
      <w:r>
        <w:rPr>
          <w:spacing w:val="-5"/>
        </w:rPr>
        <w:t> </w:t>
      </w:r>
      <w:r>
        <w:rPr/>
        <w:t>commissioned</w:t>
      </w:r>
      <w:r>
        <w:rPr>
          <w:spacing w:val="-3"/>
        </w:rPr>
        <w:t> </w:t>
      </w:r>
      <w:r>
        <w:rPr/>
        <w:t>a</w:t>
      </w:r>
      <w:r>
        <w:rPr>
          <w:spacing w:val="-3"/>
        </w:rPr>
        <w:t> </w:t>
      </w:r>
      <w:r>
        <w:rPr/>
        <w:t>subsequent </w:t>
      </w:r>
      <w:r>
        <w:rPr>
          <w:i/>
        </w:rPr>
        <w:t>Functional</w:t>
      </w:r>
      <w:r>
        <w:rPr>
          <w:i/>
          <w:spacing w:val="-4"/>
        </w:rPr>
        <w:t> </w:t>
      </w:r>
      <w:r>
        <w:rPr>
          <w:i/>
        </w:rPr>
        <w:t>Review </w:t>
      </w:r>
      <w:r>
        <w:rPr/>
        <w:t>by Huegin Consulting, which reported in June 2016.</w:t>
      </w:r>
    </w:p>
    <w:p>
      <w:pPr>
        <w:pStyle w:val="BodyText"/>
        <w:rPr>
          <w:sz w:val="21"/>
        </w:rPr>
      </w:pPr>
    </w:p>
    <w:p>
      <w:pPr>
        <w:spacing w:line="288" w:lineRule="auto" w:before="0"/>
        <w:ind w:left="600" w:right="910" w:firstLine="0"/>
        <w:jc w:val="left"/>
        <w:rPr>
          <w:sz w:val="22"/>
        </w:rPr>
      </w:pPr>
      <w:r>
        <w:rPr>
          <w:sz w:val="22"/>
        </w:rPr>
        <w:t>Huegin noted that its review had “</w:t>
      </w:r>
      <w:r>
        <w:rPr>
          <w:i/>
          <w:sz w:val="22"/>
        </w:rPr>
        <w:t>highlighted some areas where the way in which ESV delivers</w:t>
      </w:r>
      <w:r>
        <w:rPr>
          <w:i/>
          <w:spacing w:val="-1"/>
          <w:sz w:val="22"/>
        </w:rPr>
        <w:t> </w:t>
      </w:r>
      <w:r>
        <w:rPr>
          <w:i/>
          <w:sz w:val="22"/>
        </w:rPr>
        <w:t>value</w:t>
      </w:r>
      <w:r>
        <w:rPr>
          <w:i/>
          <w:spacing w:val="-2"/>
          <w:sz w:val="22"/>
        </w:rPr>
        <w:t> </w:t>
      </w:r>
      <w:r>
        <w:rPr>
          <w:i/>
          <w:sz w:val="22"/>
        </w:rPr>
        <w:t>could</w:t>
      </w:r>
      <w:r>
        <w:rPr>
          <w:i/>
          <w:spacing w:val="-2"/>
          <w:sz w:val="22"/>
        </w:rPr>
        <w:t> </w:t>
      </w:r>
      <w:r>
        <w:rPr>
          <w:i/>
          <w:sz w:val="22"/>
        </w:rPr>
        <w:t>be</w:t>
      </w:r>
      <w:r>
        <w:rPr>
          <w:i/>
          <w:spacing w:val="-6"/>
          <w:sz w:val="22"/>
        </w:rPr>
        <w:t> </w:t>
      </w:r>
      <w:r>
        <w:rPr>
          <w:i/>
          <w:sz w:val="22"/>
        </w:rPr>
        <w:t>made</w:t>
      </w:r>
      <w:r>
        <w:rPr>
          <w:i/>
          <w:spacing w:val="-4"/>
          <w:sz w:val="22"/>
        </w:rPr>
        <w:t> </w:t>
      </w:r>
      <w:r>
        <w:rPr>
          <w:i/>
          <w:sz w:val="22"/>
        </w:rPr>
        <w:t>more</w:t>
      </w:r>
      <w:r>
        <w:rPr>
          <w:i/>
          <w:spacing w:val="-4"/>
          <w:sz w:val="22"/>
        </w:rPr>
        <w:t> </w:t>
      </w:r>
      <w:r>
        <w:rPr>
          <w:i/>
          <w:sz w:val="22"/>
        </w:rPr>
        <w:t>robust</w:t>
      </w:r>
      <w:r>
        <w:rPr>
          <w:sz w:val="22"/>
        </w:rPr>
        <w:t>”,</w:t>
      </w:r>
      <w:r>
        <w:rPr>
          <w:spacing w:val="-3"/>
          <w:sz w:val="22"/>
        </w:rPr>
        <w:t> </w:t>
      </w:r>
      <w:r>
        <w:rPr>
          <w:sz w:val="22"/>
        </w:rPr>
        <w:t>and</w:t>
      </w:r>
      <w:r>
        <w:rPr>
          <w:spacing w:val="-4"/>
          <w:sz w:val="22"/>
        </w:rPr>
        <w:t> </w:t>
      </w:r>
      <w:r>
        <w:rPr>
          <w:sz w:val="22"/>
        </w:rPr>
        <w:t>specifically</w:t>
      </w:r>
      <w:r>
        <w:rPr>
          <w:spacing w:val="-4"/>
          <w:sz w:val="22"/>
        </w:rPr>
        <w:t> </w:t>
      </w:r>
      <w:r>
        <w:rPr>
          <w:sz w:val="22"/>
        </w:rPr>
        <w:t>that these</w:t>
      </w:r>
      <w:r>
        <w:rPr>
          <w:spacing w:val="-4"/>
          <w:sz w:val="22"/>
        </w:rPr>
        <w:t> </w:t>
      </w:r>
      <w:r>
        <w:rPr>
          <w:sz w:val="22"/>
        </w:rPr>
        <w:t>related</w:t>
      </w:r>
      <w:r>
        <w:rPr>
          <w:spacing w:val="-4"/>
          <w:sz w:val="22"/>
        </w:rPr>
        <w:t> </w:t>
      </w:r>
      <w:r>
        <w:rPr>
          <w:sz w:val="22"/>
        </w:rPr>
        <w:t>to</w:t>
      </w:r>
      <w:r>
        <w:rPr>
          <w:spacing w:val="-2"/>
          <w:sz w:val="22"/>
        </w:rPr>
        <w:t> </w:t>
      </w:r>
      <w:r>
        <w:rPr>
          <w:sz w:val="22"/>
        </w:rPr>
        <w:t>ways</w:t>
      </w:r>
      <w:r>
        <w:rPr>
          <w:spacing w:val="-1"/>
          <w:sz w:val="22"/>
        </w:rPr>
        <w:t> </w:t>
      </w:r>
      <w:r>
        <w:rPr>
          <w:sz w:val="22"/>
        </w:rPr>
        <w:t>in which ESV:</w:t>
      </w:r>
    </w:p>
    <w:p>
      <w:pPr>
        <w:pStyle w:val="BodyText"/>
        <w:spacing w:before="3"/>
      </w:pPr>
    </w:p>
    <w:p>
      <w:pPr>
        <w:pStyle w:val="ListParagraph"/>
        <w:numPr>
          <w:ilvl w:val="0"/>
          <w:numId w:val="33"/>
        </w:numPr>
        <w:tabs>
          <w:tab w:pos="1101" w:val="left" w:leader="none"/>
        </w:tabs>
        <w:spacing w:line="240" w:lineRule="auto" w:before="0" w:after="0"/>
        <w:ind w:left="1101" w:right="0" w:hanging="359"/>
        <w:jc w:val="left"/>
        <w:rPr>
          <w:sz w:val="22"/>
        </w:rPr>
      </w:pPr>
      <w:r>
        <w:rPr>
          <w:i/>
          <w:sz w:val="22"/>
        </w:rPr>
        <w:t>“manages</w:t>
      </w:r>
      <w:r>
        <w:rPr>
          <w:i/>
          <w:spacing w:val="-9"/>
          <w:sz w:val="22"/>
        </w:rPr>
        <w:t> </w:t>
      </w:r>
      <w:r>
        <w:rPr>
          <w:i/>
          <w:sz w:val="22"/>
        </w:rPr>
        <w:t>risk</w:t>
      </w:r>
      <w:r>
        <w:rPr>
          <w:i/>
          <w:spacing w:val="-8"/>
          <w:sz w:val="22"/>
        </w:rPr>
        <w:t> </w:t>
      </w:r>
      <w:r>
        <w:rPr>
          <w:i/>
          <w:sz w:val="22"/>
        </w:rPr>
        <w:t>and</w:t>
      </w:r>
      <w:r>
        <w:rPr>
          <w:i/>
          <w:spacing w:val="-8"/>
          <w:sz w:val="22"/>
        </w:rPr>
        <w:t> </w:t>
      </w:r>
      <w:r>
        <w:rPr>
          <w:i/>
          <w:sz w:val="22"/>
        </w:rPr>
        <w:t>makes</w:t>
      </w:r>
      <w:r>
        <w:rPr>
          <w:i/>
          <w:spacing w:val="-5"/>
          <w:sz w:val="22"/>
        </w:rPr>
        <w:t> </w:t>
      </w:r>
      <w:r>
        <w:rPr>
          <w:i/>
          <w:sz w:val="22"/>
        </w:rPr>
        <w:t>accountable</w:t>
      </w:r>
      <w:r>
        <w:rPr>
          <w:i/>
          <w:spacing w:val="-6"/>
          <w:sz w:val="22"/>
        </w:rPr>
        <w:t> </w:t>
      </w:r>
      <w:r>
        <w:rPr>
          <w:i/>
          <w:sz w:val="22"/>
        </w:rPr>
        <w:t>decisions</w:t>
      </w:r>
      <w:r>
        <w:rPr>
          <w:sz w:val="22"/>
        </w:rPr>
        <w:t>”;</w:t>
      </w:r>
      <w:r>
        <w:rPr>
          <w:spacing w:val="-4"/>
          <w:sz w:val="22"/>
        </w:rPr>
        <w:t> </w:t>
      </w:r>
      <w:r>
        <w:rPr>
          <w:spacing w:val="-5"/>
          <w:sz w:val="22"/>
        </w:rPr>
        <w:t>and</w:t>
      </w:r>
    </w:p>
    <w:p>
      <w:pPr>
        <w:spacing w:after="0" w:line="240" w:lineRule="auto"/>
        <w:jc w:val="left"/>
        <w:rPr>
          <w:sz w:val="22"/>
        </w:rPr>
        <w:sectPr>
          <w:pgSz w:w="11910" w:h="16840"/>
          <w:pgMar w:header="887" w:footer="1228" w:top="1080" w:bottom="1480" w:left="840" w:right="820"/>
        </w:sectPr>
      </w:pPr>
    </w:p>
    <w:p>
      <w:pPr>
        <w:pStyle w:val="BodyText"/>
        <w:rPr>
          <w:sz w:val="20"/>
        </w:rPr>
      </w:pPr>
    </w:p>
    <w:p>
      <w:pPr>
        <w:pStyle w:val="BodyText"/>
        <w:rPr>
          <w:sz w:val="20"/>
        </w:rPr>
      </w:pPr>
    </w:p>
    <w:p>
      <w:pPr>
        <w:pStyle w:val="BodyText"/>
        <w:spacing w:before="10"/>
        <w:rPr>
          <w:sz w:val="23"/>
        </w:rPr>
      </w:pPr>
    </w:p>
    <w:p>
      <w:pPr>
        <w:pStyle w:val="ListParagraph"/>
        <w:numPr>
          <w:ilvl w:val="0"/>
          <w:numId w:val="33"/>
        </w:numPr>
        <w:tabs>
          <w:tab w:pos="1102" w:val="left" w:leader="none"/>
        </w:tabs>
        <w:spacing w:line="288" w:lineRule="auto" w:before="0" w:after="0"/>
        <w:ind w:left="1102" w:right="1118" w:hanging="360"/>
        <w:jc w:val="left"/>
        <w:rPr>
          <w:sz w:val="22"/>
        </w:rPr>
      </w:pPr>
      <w:r>
        <w:rPr>
          <w:i/>
          <w:sz w:val="22"/>
        </w:rPr>
        <w:t>“the</w:t>
      </w:r>
      <w:r>
        <w:rPr>
          <w:i/>
          <w:spacing w:val="-5"/>
          <w:sz w:val="22"/>
        </w:rPr>
        <w:t> </w:t>
      </w:r>
      <w:r>
        <w:rPr>
          <w:i/>
          <w:sz w:val="22"/>
        </w:rPr>
        <w:t>degree</w:t>
      </w:r>
      <w:r>
        <w:rPr>
          <w:i/>
          <w:spacing w:val="-5"/>
          <w:sz w:val="22"/>
        </w:rPr>
        <w:t> </w:t>
      </w:r>
      <w:r>
        <w:rPr>
          <w:i/>
          <w:sz w:val="22"/>
        </w:rPr>
        <w:t>to</w:t>
      </w:r>
      <w:r>
        <w:rPr>
          <w:i/>
          <w:spacing w:val="-7"/>
          <w:sz w:val="22"/>
        </w:rPr>
        <w:t> </w:t>
      </w:r>
      <w:r>
        <w:rPr>
          <w:i/>
          <w:sz w:val="22"/>
        </w:rPr>
        <w:t>which</w:t>
      </w:r>
      <w:r>
        <w:rPr>
          <w:i/>
          <w:spacing w:val="-3"/>
          <w:sz w:val="22"/>
        </w:rPr>
        <w:t> </w:t>
      </w:r>
      <w:r>
        <w:rPr>
          <w:i/>
          <w:sz w:val="22"/>
        </w:rPr>
        <w:t>processes</w:t>
      </w:r>
      <w:r>
        <w:rPr>
          <w:i/>
          <w:spacing w:val="-2"/>
          <w:sz w:val="22"/>
        </w:rPr>
        <w:t> </w:t>
      </w:r>
      <w:r>
        <w:rPr>
          <w:i/>
          <w:sz w:val="22"/>
        </w:rPr>
        <w:t>are</w:t>
      </w:r>
      <w:r>
        <w:rPr>
          <w:i/>
          <w:spacing w:val="-5"/>
          <w:sz w:val="22"/>
        </w:rPr>
        <w:t> </w:t>
      </w:r>
      <w:r>
        <w:rPr>
          <w:i/>
          <w:sz w:val="22"/>
        </w:rPr>
        <w:t>traceable</w:t>
      </w:r>
      <w:r>
        <w:rPr>
          <w:i/>
          <w:spacing w:val="-5"/>
          <w:sz w:val="22"/>
        </w:rPr>
        <w:t> </w:t>
      </w:r>
      <w:r>
        <w:rPr>
          <w:i/>
          <w:sz w:val="22"/>
        </w:rPr>
        <w:t>and</w:t>
      </w:r>
      <w:r>
        <w:rPr>
          <w:i/>
          <w:spacing w:val="-3"/>
          <w:sz w:val="22"/>
        </w:rPr>
        <w:t> </w:t>
      </w:r>
      <w:r>
        <w:rPr>
          <w:i/>
          <w:sz w:val="22"/>
        </w:rPr>
        <w:t>outputs</w:t>
      </w:r>
      <w:r>
        <w:rPr>
          <w:i/>
          <w:spacing w:val="-2"/>
          <w:sz w:val="22"/>
        </w:rPr>
        <w:t> </w:t>
      </w:r>
      <w:r>
        <w:rPr>
          <w:i/>
          <w:sz w:val="22"/>
        </w:rPr>
        <w:t>are</w:t>
      </w:r>
      <w:r>
        <w:rPr>
          <w:i/>
          <w:spacing w:val="-3"/>
          <w:sz w:val="22"/>
        </w:rPr>
        <w:t> </w:t>
      </w:r>
      <w:r>
        <w:rPr>
          <w:i/>
          <w:sz w:val="22"/>
        </w:rPr>
        <w:t>defensible.”</w:t>
      </w:r>
      <w:r>
        <w:rPr>
          <w:i/>
          <w:spacing w:val="-2"/>
          <w:sz w:val="22"/>
        </w:rPr>
        <w:t> </w:t>
      </w:r>
      <w:r>
        <w:rPr>
          <w:sz w:val="22"/>
        </w:rPr>
        <w:t>(Huegin Consulting, 2016, p. 10)</w:t>
      </w:r>
    </w:p>
    <w:p>
      <w:pPr>
        <w:pStyle w:val="BodyText"/>
        <w:spacing w:before="10"/>
        <w:rPr>
          <w:sz w:val="20"/>
        </w:rPr>
      </w:pPr>
    </w:p>
    <w:p>
      <w:pPr>
        <w:pStyle w:val="BodyText"/>
        <w:spacing w:line="288" w:lineRule="auto"/>
        <w:ind w:left="600" w:right="311"/>
      </w:pPr>
      <w:r>
        <w:rPr/>
        <w:t>Huegin</w:t>
      </w:r>
      <w:r>
        <w:rPr>
          <w:spacing w:val="-3"/>
        </w:rPr>
        <w:t> </w:t>
      </w:r>
      <w:r>
        <w:rPr/>
        <w:t>(2016)</w:t>
      </w:r>
      <w:r>
        <w:rPr>
          <w:spacing w:val="-4"/>
        </w:rPr>
        <w:t> </w:t>
      </w:r>
      <w:r>
        <w:rPr/>
        <w:t>identified</w:t>
      </w:r>
      <w:r>
        <w:rPr>
          <w:spacing w:val="-5"/>
        </w:rPr>
        <w:t> </w:t>
      </w:r>
      <w:r>
        <w:rPr/>
        <w:t>areas</w:t>
      </w:r>
      <w:r>
        <w:rPr>
          <w:spacing w:val="-3"/>
        </w:rPr>
        <w:t> </w:t>
      </w:r>
      <w:r>
        <w:rPr/>
        <w:t>of</w:t>
      </w:r>
      <w:r>
        <w:rPr>
          <w:spacing w:val="-1"/>
        </w:rPr>
        <w:t> </w:t>
      </w:r>
      <w:r>
        <w:rPr/>
        <w:t>weakness</w:t>
      </w:r>
      <w:r>
        <w:rPr>
          <w:spacing w:val="-2"/>
        </w:rPr>
        <w:t> </w:t>
      </w:r>
      <w:r>
        <w:rPr/>
        <w:t>in</w:t>
      </w:r>
      <w:r>
        <w:rPr>
          <w:spacing w:val="-3"/>
        </w:rPr>
        <w:t> </w:t>
      </w:r>
      <w:r>
        <w:rPr/>
        <w:t>ESV’s</w:t>
      </w:r>
      <w:r>
        <w:rPr>
          <w:spacing w:val="-5"/>
        </w:rPr>
        <w:t> </w:t>
      </w:r>
      <w:r>
        <w:rPr/>
        <w:t>formal</w:t>
      </w:r>
      <w:r>
        <w:rPr>
          <w:spacing w:val="-4"/>
        </w:rPr>
        <w:t> </w:t>
      </w:r>
      <w:r>
        <w:rPr/>
        <w:t>approach</w:t>
      </w:r>
      <w:r>
        <w:rPr>
          <w:spacing w:val="-5"/>
        </w:rPr>
        <w:t> </w:t>
      </w:r>
      <w:r>
        <w:rPr/>
        <w:t>to</w:t>
      </w:r>
      <w:r>
        <w:rPr>
          <w:spacing w:val="-5"/>
        </w:rPr>
        <w:t> </w:t>
      </w:r>
      <w:r>
        <w:rPr/>
        <w:t>risk</w:t>
      </w:r>
      <w:r>
        <w:rPr>
          <w:spacing w:val="-2"/>
        </w:rPr>
        <w:t> </w:t>
      </w:r>
      <w:r>
        <w:rPr/>
        <w:t>management </w:t>
      </w:r>
      <w:r>
        <w:rPr>
          <w:spacing w:val="-2"/>
        </w:rPr>
        <w:t>including:</w:t>
      </w:r>
    </w:p>
    <w:p>
      <w:pPr>
        <w:pStyle w:val="BodyText"/>
        <w:spacing w:before="4"/>
      </w:pPr>
    </w:p>
    <w:p>
      <w:pPr>
        <w:pStyle w:val="ListParagraph"/>
        <w:numPr>
          <w:ilvl w:val="0"/>
          <w:numId w:val="33"/>
        </w:numPr>
        <w:tabs>
          <w:tab w:pos="1026" w:val="left" w:leader="none"/>
        </w:tabs>
        <w:spacing w:line="240" w:lineRule="auto" w:before="0" w:after="0"/>
        <w:ind w:left="1026" w:right="0" w:hanging="284"/>
        <w:jc w:val="left"/>
        <w:rPr>
          <w:sz w:val="22"/>
        </w:rPr>
      </w:pPr>
      <w:r>
        <w:rPr>
          <w:sz w:val="22"/>
        </w:rPr>
        <w:t>the</w:t>
      </w:r>
      <w:r>
        <w:rPr>
          <w:spacing w:val="-8"/>
          <w:sz w:val="22"/>
        </w:rPr>
        <w:t> </w:t>
      </w:r>
      <w:r>
        <w:rPr>
          <w:sz w:val="22"/>
        </w:rPr>
        <w:t>lack</w:t>
      </w:r>
      <w:r>
        <w:rPr>
          <w:spacing w:val="-5"/>
          <w:sz w:val="22"/>
        </w:rPr>
        <w:t> </w:t>
      </w:r>
      <w:r>
        <w:rPr>
          <w:sz w:val="22"/>
        </w:rPr>
        <w:t>of</w:t>
      </w:r>
      <w:r>
        <w:rPr>
          <w:spacing w:val="-4"/>
          <w:sz w:val="22"/>
        </w:rPr>
        <w:t> </w:t>
      </w:r>
      <w:r>
        <w:rPr>
          <w:sz w:val="22"/>
        </w:rPr>
        <w:t>a</w:t>
      </w:r>
      <w:r>
        <w:rPr>
          <w:spacing w:val="-6"/>
          <w:sz w:val="22"/>
        </w:rPr>
        <w:t> </w:t>
      </w:r>
      <w:r>
        <w:rPr>
          <w:sz w:val="22"/>
        </w:rPr>
        <w:t>consistent</w:t>
      </w:r>
      <w:r>
        <w:rPr>
          <w:spacing w:val="-7"/>
          <w:sz w:val="22"/>
        </w:rPr>
        <w:t> </w:t>
      </w:r>
      <w:r>
        <w:rPr>
          <w:sz w:val="22"/>
        </w:rPr>
        <w:t>basis</w:t>
      </w:r>
      <w:r>
        <w:rPr>
          <w:spacing w:val="-8"/>
          <w:sz w:val="22"/>
        </w:rPr>
        <w:t> </w:t>
      </w:r>
      <w:r>
        <w:rPr>
          <w:sz w:val="22"/>
        </w:rPr>
        <w:t>for</w:t>
      </w:r>
      <w:r>
        <w:rPr>
          <w:spacing w:val="-5"/>
          <w:sz w:val="22"/>
        </w:rPr>
        <w:t> </w:t>
      </w:r>
      <w:r>
        <w:rPr>
          <w:sz w:val="22"/>
        </w:rPr>
        <w:t>understanding</w:t>
      </w:r>
      <w:r>
        <w:rPr>
          <w:spacing w:val="-6"/>
          <w:sz w:val="22"/>
        </w:rPr>
        <w:t> </w:t>
      </w:r>
      <w:r>
        <w:rPr>
          <w:sz w:val="22"/>
        </w:rPr>
        <w:t>and</w:t>
      </w:r>
      <w:r>
        <w:rPr>
          <w:spacing w:val="-6"/>
          <w:sz w:val="22"/>
        </w:rPr>
        <w:t> </w:t>
      </w:r>
      <w:r>
        <w:rPr>
          <w:sz w:val="22"/>
        </w:rPr>
        <w:t>communicating</w:t>
      </w:r>
      <w:r>
        <w:rPr>
          <w:spacing w:val="-5"/>
          <w:sz w:val="22"/>
        </w:rPr>
        <w:t> </w:t>
      </w:r>
      <w:r>
        <w:rPr>
          <w:spacing w:val="-2"/>
          <w:sz w:val="22"/>
        </w:rPr>
        <w:t>risk;</w:t>
      </w:r>
    </w:p>
    <w:p>
      <w:pPr>
        <w:pStyle w:val="ListParagraph"/>
        <w:numPr>
          <w:ilvl w:val="0"/>
          <w:numId w:val="33"/>
        </w:numPr>
        <w:tabs>
          <w:tab w:pos="1026" w:val="left" w:leader="none"/>
        </w:tabs>
        <w:spacing w:line="240" w:lineRule="auto" w:before="64" w:after="0"/>
        <w:ind w:left="1026" w:right="0" w:hanging="284"/>
        <w:jc w:val="left"/>
        <w:rPr>
          <w:sz w:val="22"/>
        </w:rPr>
      </w:pPr>
      <w:r>
        <w:rPr>
          <w:sz w:val="22"/>
        </w:rPr>
        <w:t>risk</w:t>
      </w:r>
      <w:r>
        <w:rPr>
          <w:spacing w:val="-7"/>
          <w:sz w:val="22"/>
        </w:rPr>
        <w:t> </w:t>
      </w:r>
      <w:r>
        <w:rPr>
          <w:sz w:val="22"/>
        </w:rPr>
        <w:t>assessment</w:t>
      </w:r>
      <w:r>
        <w:rPr>
          <w:spacing w:val="-5"/>
          <w:sz w:val="22"/>
        </w:rPr>
        <w:t> </w:t>
      </w:r>
      <w:r>
        <w:rPr>
          <w:sz w:val="22"/>
        </w:rPr>
        <w:t>being</w:t>
      </w:r>
      <w:r>
        <w:rPr>
          <w:spacing w:val="-7"/>
          <w:sz w:val="22"/>
        </w:rPr>
        <w:t> </w:t>
      </w:r>
      <w:r>
        <w:rPr>
          <w:sz w:val="22"/>
        </w:rPr>
        <w:t>largely</w:t>
      </w:r>
      <w:r>
        <w:rPr>
          <w:spacing w:val="-8"/>
          <w:sz w:val="22"/>
        </w:rPr>
        <w:t> </w:t>
      </w:r>
      <w:r>
        <w:rPr>
          <w:sz w:val="22"/>
        </w:rPr>
        <w:t>qualitative;</w:t>
      </w:r>
      <w:r>
        <w:rPr>
          <w:spacing w:val="-6"/>
          <w:sz w:val="22"/>
        </w:rPr>
        <w:t> </w:t>
      </w:r>
      <w:r>
        <w:rPr>
          <w:spacing w:val="-5"/>
          <w:sz w:val="22"/>
        </w:rPr>
        <w:t>and</w:t>
      </w:r>
    </w:p>
    <w:p>
      <w:pPr>
        <w:pStyle w:val="ListParagraph"/>
        <w:numPr>
          <w:ilvl w:val="0"/>
          <w:numId w:val="33"/>
        </w:numPr>
        <w:tabs>
          <w:tab w:pos="1026" w:val="left" w:leader="none"/>
        </w:tabs>
        <w:spacing w:line="240" w:lineRule="auto" w:before="66" w:after="0"/>
        <w:ind w:left="1026" w:right="0" w:hanging="284"/>
        <w:jc w:val="left"/>
        <w:rPr>
          <w:sz w:val="22"/>
        </w:rPr>
      </w:pPr>
      <w:r>
        <w:rPr>
          <w:sz w:val="22"/>
        </w:rPr>
        <w:t>insufficient</w:t>
      </w:r>
      <w:r>
        <w:rPr>
          <w:spacing w:val="-5"/>
          <w:sz w:val="22"/>
        </w:rPr>
        <w:t> </w:t>
      </w:r>
      <w:r>
        <w:rPr>
          <w:sz w:val="22"/>
        </w:rPr>
        <w:t>analytical</w:t>
      </w:r>
      <w:r>
        <w:rPr>
          <w:spacing w:val="-8"/>
          <w:sz w:val="22"/>
        </w:rPr>
        <w:t> </w:t>
      </w:r>
      <w:r>
        <w:rPr>
          <w:sz w:val="22"/>
        </w:rPr>
        <w:t>support</w:t>
      </w:r>
      <w:r>
        <w:rPr>
          <w:spacing w:val="-7"/>
          <w:sz w:val="22"/>
        </w:rPr>
        <w:t> </w:t>
      </w:r>
      <w:r>
        <w:rPr>
          <w:sz w:val="22"/>
        </w:rPr>
        <w:t>to</w:t>
      </w:r>
      <w:r>
        <w:rPr>
          <w:spacing w:val="-7"/>
          <w:sz w:val="22"/>
        </w:rPr>
        <w:t> </w:t>
      </w:r>
      <w:r>
        <w:rPr>
          <w:sz w:val="22"/>
        </w:rPr>
        <w:t>allow</w:t>
      </w:r>
      <w:r>
        <w:rPr>
          <w:spacing w:val="-9"/>
          <w:sz w:val="22"/>
        </w:rPr>
        <w:t> </w:t>
      </w:r>
      <w:r>
        <w:rPr>
          <w:sz w:val="22"/>
        </w:rPr>
        <w:t>a</w:t>
      </w:r>
      <w:r>
        <w:rPr>
          <w:spacing w:val="-7"/>
          <w:sz w:val="22"/>
        </w:rPr>
        <w:t> </w:t>
      </w:r>
      <w:r>
        <w:rPr>
          <w:sz w:val="22"/>
        </w:rPr>
        <w:t>quantitative</w:t>
      </w:r>
      <w:r>
        <w:rPr>
          <w:spacing w:val="-6"/>
          <w:sz w:val="22"/>
        </w:rPr>
        <w:t> </w:t>
      </w:r>
      <w:r>
        <w:rPr>
          <w:spacing w:val="-2"/>
          <w:sz w:val="22"/>
        </w:rPr>
        <w:t>approach.</w:t>
      </w:r>
    </w:p>
    <w:p>
      <w:pPr>
        <w:pStyle w:val="BodyText"/>
        <w:spacing w:before="2"/>
        <w:rPr>
          <w:sz w:val="25"/>
        </w:rPr>
      </w:pPr>
    </w:p>
    <w:p>
      <w:pPr>
        <w:pStyle w:val="BodyText"/>
        <w:spacing w:line="288" w:lineRule="auto"/>
        <w:ind w:left="600" w:right="374"/>
      </w:pPr>
      <w:r>
        <w:rPr/>
        <w:t>Huegin</w:t>
      </w:r>
      <w:r>
        <w:rPr>
          <w:spacing w:val="-2"/>
        </w:rPr>
        <w:t> </w:t>
      </w:r>
      <w:r>
        <w:rPr/>
        <w:t>also</w:t>
      </w:r>
      <w:r>
        <w:rPr>
          <w:spacing w:val="-4"/>
        </w:rPr>
        <w:t> </w:t>
      </w:r>
      <w:r>
        <w:rPr/>
        <w:t>made</w:t>
      </w:r>
      <w:r>
        <w:rPr>
          <w:spacing w:val="-4"/>
        </w:rPr>
        <w:t> </w:t>
      </w:r>
      <w:r>
        <w:rPr/>
        <w:t>recommendations</w:t>
      </w:r>
      <w:r>
        <w:rPr>
          <w:spacing w:val="-4"/>
        </w:rPr>
        <w:t> </w:t>
      </w:r>
      <w:r>
        <w:rPr/>
        <w:t>to</w:t>
      </w:r>
      <w:r>
        <w:rPr>
          <w:spacing w:val="-4"/>
        </w:rPr>
        <w:t> </w:t>
      </w:r>
      <w:r>
        <w:rPr/>
        <w:t>provide</w:t>
      </w:r>
      <w:r>
        <w:rPr>
          <w:spacing w:val="-4"/>
        </w:rPr>
        <w:t> </w:t>
      </w:r>
      <w:r>
        <w:rPr/>
        <w:t>for</w:t>
      </w:r>
      <w:r>
        <w:rPr>
          <w:spacing w:val="-3"/>
        </w:rPr>
        <w:t> </w:t>
      </w:r>
      <w:r>
        <w:rPr/>
        <w:t>more</w:t>
      </w:r>
      <w:r>
        <w:rPr>
          <w:spacing w:val="-4"/>
        </w:rPr>
        <w:t> </w:t>
      </w:r>
      <w:r>
        <w:rPr/>
        <w:t>robust and</w:t>
      </w:r>
      <w:r>
        <w:rPr>
          <w:spacing w:val="-6"/>
        </w:rPr>
        <w:t> </w:t>
      </w:r>
      <w:r>
        <w:rPr/>
        <w:t>transparent</w:t>
      </w:r>
      <w:r>
        <w:rPr>
          <w:spacing w:val="-3"/>
        </w:rPr>
        <w:t> </w:t>
      </w:r>
      <w:r>
        <w:rPr/>
        <w:t>decision making processes.</w:t>
      </w:r>
    </w:p>
    <w:p>
      <w:pPr>
        <w:pStyle w:val="BodyText"/>
        <w:spacing w:before="11"/>
        <w:rPr>
          <w:sz w:val="20"/>
        </w:rPr>
      </w:pPr>
    </w:p>
    <w:p>
      <w:pPr>
        <w:pStyle w:val="BodyText"/>
        <w:spacing w:line="288" w:lineRule="auto"/>
        <w:ind w:left="600"/>
      </w:pPr>
      <w:r>
        <w:rPr/>
        <w:t>As</w:t>
      </w:r>
      <w:r>
        <w:rPr>
          <w:spacing w:val="-1"/>
        </w:rPr>
        <w:t> </w:t>
      </w:r>
      <w:r>
        <w:rPr/>
        <w:t>a</w:t>
      </w:r>
      <w:r>
        <w:rPr>
          <w:spacing w:val="-4"/>
        </w:rPr>
        <w:t> </w:t>
      </w:r>
      <w:r>
        <w:rPr/>
        <w:t>“working paper</w:t>
      </w:r>
      <w:r>
        <w:rPr>
          <w:spacing w:val="-1"/>
        </w:rPr>
        <w:t> </w:t>
      </w:r>
      <w:r>
        <w:rPr/>
        <w:t>only”,</w:t>
      </w:r>
      <w:r>
        <w:rPr>
          <w:spacing w:val="-3"/>
        </w:rPr>
        <w:t> </w:t>
      </w:r>
      <w:r>
        <w:rPr/>
        <w:t>Huegin</w:t>
      </w:r>
      <w:r>
        <w:rPr>
          <w:spacing w:val="-4"/>
        </w:rPr>
        <w:t> </w:t>
      </w:r>
      <w:r>
        <w:rPr/>
        <w:t>attached</w:t>
      </w:r>
      <w:r>
        <w:rPr>
          <w:spacing w:val="-2"/>
        </w:rPr>
        <w:t> </w:t>
      </w:r>
      <w:r>
        <w:rPr/>
        <w:t>a</w:t>
      </w:r>
      <w:r>
        <w:rPr>
          <w:spacing w:val="-4"/>
        </w:rPr>
        <w:t> </w:t>
      </w:r>
      <w:r>
        <w:rPr/>
        <w:t>set</w:t>
      </w:r>
      <w:r>
        <w:rPr>
          <w:spacing w:val="-3"/>
        </w:rPr>
        <w:t> </w:t>
      </w:r>
      <w:r>
        <w:rPr/>
        <w:t>of key</w:t>
      </w:r>
      <w:r>
        <w:rPr>
          <w:spacing w:val="-4"/>
        </w:rPr>
        <w:t> </w:t>
      </w:r>
      <w:r>
        <w:rPr/>
        <w:t>themes</w:t>
      </w:r>
      <w:r>
        <w:rPr>
          <w:spacing w:val="-6"/>
        </w:rPr>
        <w:t> </w:t>
      </w:r>
      <w:r>
        <w:rPr/>
        <w:t>from</w:t>
      </w:r>
      <w:r>
        <w:rPr>
          <w:spacing w:val="-1"/>
        </w:rPr>
        <w:t> </w:t>
      </w:r>
      <w:r>
        <w:rPr/>
        <w:t>its</w:t>
      </w:r>
      <w:r>
        <w:rPr>
          <w:spacing w:val="-4"/>
        </w:rPr>
        <w:t> </w:t>
      </w:r>
      <w:r>
        <w:rPr/>
        <w:t>interviews</w:t>
      </w:r>
      <w:r>
        <w:rPr>
          <w:spacing w:val="-1"/>
        </w:rPr>
        <w:t> </w:t>
      </w:r>
      <w:r>
        <w:rPr/>
        <w:t>with</w:t>
      </w:r>
      <w:r>
        <w:rPr>
          <w:spacing w:val="-2"/>
        </w:rPr>
        <w:t> </w:t>
      </w:r>
      <w:r>
        <w:rPr/>
        <w:t>ESV management and staff. Among other things, the interviews revealed a number of perceived weaknesses around risk management, intervention, systems support and performance </w:t>
      </w:r>
      <w:r>
        <w:rPr>
          <w:spacing w:val="-2"/>
        </w:rPr>
        <w:t>measurement.</w:t>
      </w:r>
    </w:p>
    <w:p>
      <w:pPr>
        <w:pStyle w:val="BodyText"/>
        <w:spacing w:before="10"/>
        <w:rPr>
          <w:sz w:val="20"/>
        </w:rPr>
      </w:pPr>
    </w:p>
    <w:p>
      <w:pPr>
        <w:pStyle w:val="BodyText"/>
        <w:ind w:left="600"/>
      </w:pPr>
      <w:r>
        <w:rPr/>
        <w:t>Further</w:t>
      </w:r>
      <w:r>
        <w:rPr>
          <w:spacing w:val="-5"/>
        </w:rPr>
        <w:t> </w:t>
      </w:r>
      <w:r>
        <w:rPr/>
        <w:t>information</w:t>
      </w:r>
      <w:r>
        <w:rPr>
          <w:spacing w:val="-3"/>
        </w:rPr>
        <w:t> </w:t>
      </w:r>
      <w:r>
        <w:rPr/>
        <w:t>on</w:t>
      </w:r>
      <w:r>
        <w:rPr>
          <w:spacing w:val="-5"/>
        </w:rPr>
        <w:t> </w:t>
      </w:r>
      <w:r>
        <w:rPr/>
        <w:t>the</w:t>
      </w:r>
      <w:r>
        <w:rPr>
          <w:spacing w:val="-6"/>
        </w:rPr>
        <w:t> </w:t>
      </w:r>
      <w:r>
        <w:rPr/>
        <w:t>key</w:t>
      </w:r>
      <w:r>
        <w:rPr>
          <w:spacing w:val="-7"/>
        </w:rPr>
        <w:t> </w:t>
      </w:r>
      <w:r>
        <w:rPr/>
        <w:t>findings</w:t>
      </w:r>
      <w:r>
        <w:rPr>
          <w:spacing w:val="-5"/>
        </w:rPr>
        <w:t> </w:t>
      </w:r>
      <w:r>
        <w:rPr/>
        <w:t>of</w:t>
      </w:r>
      <w:r>
        <w:rPr>
          <w:spacing w:val="-4"/>
        </w:rPr>
        <w:t> </w:t>
      </w:r>
      <w:r>
        <w:rPr/>
        <w:t>the</w:t>
      </w:r>
      <w:r>
        <w:rPr>
          <w:spacing w:val="-4"/>
        </w:rPr>
        <w:t> </w:t>
      </w:r>
      <w:r>
        <w:rPr/>
        <w:t>Huegin</w:t>
      </w:r>
      <w:r>
        <w:rPr>
          <w:spacing w:val="-5"/>
        </w:rPr>
        <w:t> </w:t>
      </w:r>
      <w:r>
        <w:rPr/>
        <w:t>report</w:t>
      </w:r>
      <w:r>
        <w:rPr>
          <w:spacing w:val="-1"/>
        </w:rPr>
        <w:t> </w:t>
      </w:r>
      <w:r>
        <w:rPr/>
        <w:t>is</w:t>
      </w:r>
      <w:r>
        <w:rPr>
          <w:spacing w:val="-5"/>
        </w:rPr>
        <w:t> </w:t>
      </w:r>
      <w:r>
        <w:rPr/>
        <w:t>provided</w:t>
      </w:r>
      <w:r>
        <w:rPr>
          <w:spacing w:val="-4"/>
        </w:rPr>
        <w:t> </w:t>
      </w:r>
      <w:r>
        <w:rPr/>
        <w:t>in</w:t>
      </w:r>
      <w:r>
        <w:rPr>
          <w:spacing w:val="-5"/>
        </w:rPr>
        <w:t> </w:t>
      </w:r>
      <w:r>
        <w:rPr/>
        <w:t>a</w:t>
      </w:r>
      <w:r>
        <w:rPr>
          <w:spacing w:val="-3"/>
        </w:rPr>
        <w:t> </w:t>
      </w:r>
      <w:r>
        <w:rPr/>
        <w:t>box</w:t>
      </w:r>
      <w:r>
        <w:rPr>
          <w:spacing w:val="-5"/>
        </w:rPr>
        <w:t> </w:t>
      </w:r>
      <w:r>
        <w:rPr>
          <w:spacing w:val="-2"/>
        </w:rPr>
        <w:t>below.</w:t>
      </w:r>
    </w:p>
    <w:p>
      <w:pPr>
        <w:pStyle w:val="BodyText"/>
        <w:spacing w:before="2"/>
        <w:rPr>
          <w:sz w:val="25"/>
        </w:rPr>
      </w:pPr>
    </w:p>
    <w:p>
      <w:pPr>
        <w:pStyle w:val="BodyText"/>
        <w:spacing w:line="288" w:lineRule="auto"/>
        <w:ind w:left="600" w:right="713"/>
      </w:pPr>
      <w:r>
        <w:rPr/>
        <w:t>Both</w:t>
      </w:r>
      <w:r>
        <w:rPr>
          <w:spacing w:val="-2"/>
        </w:rPr>
        <w:t> </w:t>
      </w:r>
      <w:r>
        <w:rPr/>
        <w:t>the</w:t>
      </w:r>
      <w:r>
        <w:rPr>
          <w:spacing w:val="-3"/>
        </w:rPr>
        <w:t> </w:t>
      </w:r>
      <w:r>
        <w:rPr/>
        <w:t>Marchment</w:t>
      </w:r>
      <w:r>
        <w:rPr>
          <w:spacing w:val="-1"/>
        </w:rPr>
        <w:t> </w:t>
      </w:r>
      <w:r>
        <w:rPr/>
        <w:t>Hill</w:t>
      </w:r>
      <w:r>
        <w:rPr>
          <w:spacing w:val="-3"/>
        </w:rPr>
        <w:t> </w:t>
      </w:r>
      <w:r>
        <w:rPr/>
        <w:t>and</w:t>
      </w:r>
      <w:r>
        <w:rPr>
          <w:spacing w:val="-3"/>
        </w:rPr>
        <w:t> </w:t>
      </w:r>
      <w:r>
        <w:rPr/>
        <w:t>Huegin</w:t>
      </w:r>
      <w:r>
        <w:rPr>
          <w:spacing w:val="-5"/>
        </w:rPr>
        <w:t> </w:t>
      </w:r>
      <w:r>
        <w:rPr/>
        <w:t>reviews were</w:t>
      </w:r>
      <w:r>
        <w:rPr>
          <w:spacing w:val="-2"/>
        </w:rPr>
        <w:t> </w:t>
      </w:r>
      <w:r>
        <w:rPr/>
        <w:t>commissioned</w:t>
      </w:r>
      <w:r>
        <w:rPr>
          <w:spacing w:val="-3"/>
        </w:rPr>
        <w:t> </w:t>
      </w:r>
      <w:r>
        <w:rPr/>
        <w:t>by</w:t>
      </w:r>
      <w:r>
        <w:rPr>
          <w:spacing w:val="-5"/>
        </w:rPr>
        <w:t> </w:t>
      </w:r>
      <w:r>
        <w:rPr/>
        <w:t>the</w:t>
      </w:r>
      <w:r>
        <w:rPr>
          <w:spacing w:val="-8"/>
        </w:rPr>
        <w:t> </w:t>
      </w:r>
      <w:r>
        <w:rPr/>
        <w:t>Director</w:t>
      </w:r>
      <w:r>
        <w:rPr>
          <w:spacing w:val="-6"/>
        </w:rPr>
        <w:t> </w:t>
      </w:r>
      <w:r>
        <w:rPr/>
        <w:t>for</w:t>
      </w:r>
      <w:r>
        <w:rPr>
          <w:spacing w:val="-2"/>
        </w:rPr>
        <w:t> </w:t>
      </w:r>
      <w:r>
        <w:rPr/>
        <w:t>Energy Safety as part of an overarching organisational reform process. The Director of Energy Safety and ESV’s senior management team have responded across a range of fronts:</w:t>
      </w:r>
    </w:p>
    <w:p>
      <w:pPr>
        <w:pStyle w:val="BodyText"/>
        <w:spacing w:before="5"/>
      </w:pPr>
    </w:p>
    <w:p>
      <w:pPr>
        <w:pStyle w:val="ListParagraph"/>
        <w:numPr>
          <w:ilvl w:val="0"/>
          <w:numId w:val="33"/>
        </w:numPr>
        <w:tabs>
          <w:tab w:pos="1101" w:val="left" w:leader="none"/>
        </w:tabs>
        <w:spacing w:line="240" w:lineRule="auto" w:before="0" w:after="0"/>
        <w:ind w:left="1101" w:right="0" w:hanging="359"/>
        <w:jc w:val="left"/>
        <w:rPr>
          <w:sz w:val="22"/>
        </w:rPr>
      </w:pPr>
      <w:r>
        <w:rPr>
          <w:sz w:val="22"/>
        </w:rPr>
        <w:t>a</w:t>
      </w:r>
      <w:r>
        <w:rPr>
          <w:spacing w:val="-6"/>
          <w:sz w:val="22"/>
        </w:rPr>
        <w:t> </w:t>
      </w:r>
      <w:r>
        <w:rPr>
          <w:sz w:val="22"/>
        </w:rPr>
        <w:t>formal</w:t>
      </w:r>
      <w:r>
        <w:rPr>
          <w:spacing w:val="-5"/>
          <w:sz w:val="22"/>
        </w:rPr>
        <w:t> </w:t>
      </w:r>
      <w:r>
        <w:rPr>
          <w:sz w:val="22"/>
        </w:rPr>
        <w:t>Executive</w:t>
      </w:r>
      <w:r>
        <w:rPr>
          <w:spacing w:val="-3"/>
          <w:sz w:val="22"/>
        </w:rPr>
        <w:t> </w:t>
      </w:r>
      <w:r>
        <w:rPr>
          <w:sz w:val="22"/>
        </w:rPr>
        <w:t>Management</w:t>
      </w:r>
      <w:r>
        <w:rPr>
          <w:spacing w:val="-5"/>
          <w:sz w:val="22"/>
        </w:rPr>
        <w:t> </w:t>
      </w:r>
      <w:r>
        <w:rPr>
          <w:sz w:val="22"/>
        </w:rPr>
        <w:t>Board</w:t>
      </w:r>
      <w:r>
        <w:rPr>
          <w:spacing w:val="-5"/>
          <w:sz w:val="22"/>
        </w:rPr>
        <w:t> </w:t>
      </w:r>
      <w:r>
        <w:rPr>
          <w:sz w:val="22"/>
        </w:rPr>
        <w:t>has</w:t>
      </w:r>
      <w:r>
        <w:rPr>
          <w:spacing w:val="-3"/>
          <w:sz w:val="22"/>
        </w:rPr>
        <w:t> </w:t>
      </w:r>
      <w:r>
        <w:rPr>
          <w:sz w:val="22"/>
        </w:rPr>
        <w:t>been</w:t>
      </w:r>
      <w:r>
        <w:rPr>
          <w:spacing w:val="-8"/>
          <w:sz w:val="22"/>
        </w:rPr>
        <w:t> </w:t>
      </w:r>
      <w:r>
        <w:rPr>
          <w:spacing w:val="-2"/>
          <w:sz w:val="22"/>
        </w:rPr>
        <w:t>established;</w:t>
      </w:r>
    </w:p>
    <w:p>
      <w:pPr>
        <w:pStyle w:val="BodyText"/>
        <w:spacing w:before="5"/>
        <w:rPr>
          <w:sz w:val="26"/>
        </w:rPr>
      </w:pPr>
    </w:p>
    <w:p>
      <w:pPr>
        <w:pStyle w:val="ListParagraph"/>
        <w:numPr>
          <w:ilvl w:val="0"/>
          <w:numId w:val="33"/>
        </w:numPr>
        <w:tabs>
          <w:tab w:pos="1102" w:val="left" w:leader="none"/>
        </w:tabs>
        <w:spacing w:line="288" w:lineRule="auto" w:before="0" w:after="0"/>
        <w:ind w:left="1102" w:right="646" w:hanging="360"/>
        <w:jc w:val="left"/>
        <w:rPr>
          <w:sz w:val="22"/>
        </w:rPr>
      </w:pPr>
      <w:r>
        <w:rPr>
          <w:sz w:val="22"/>
        </w:rPr>
        <w:t>spans</w:t>
      </w:r>
      <w:r>
        <w:rPr>
          <w:spacing w:val="-3"/>
          <w:sz w:val="22"/>
        </w:rPr>
        <w:t> </w:t>
      </w:r>
      <w:r>
        <w:rPr>
          <w:sz w:val="22"/>
        </w:rPr>
        <w:t>of</w:t>
      </w:r>
      <w:r>
        <w:rPr>
          <w:spacing w:val="-1"/>
          <w:sz w:val="22"/>
        </w:rPr>
        <w:t> </w:t>
      </w:r>
      <w:r>
        <w:rPr>
          <w:sz w:val="22"/>
        </w:rPr>
        <w:t>control</w:t>
      </w:r>
      <w:r>
        <w:rPr>
          <w:spacing w:val="-3"/>
          <w:sz w:val="22"/>
        </w:rPr>
        <w:t> </w:t>
      </w:r>
      <w:r>
        <w:rPr>
          <w:sz w:val="22"/>
        </w:rPr>
        <w:t>have</w:t>
      </w:r>
      <w:r>
        <w:rPr>
          <w:spacing w:val="-3"/>
          <w:sz w:val="22"/>
        </w:rPr>
        <w:t> </w:t>
      </w:r>
      <w:r>
        <w:rPr>
          <w:sz w:val="22"/>
        </w:rPr>
        <w:t>been</w:t>
      </w:r>
      <w:r>
        <w:rPr>
          <w:spacing w:val="-3"/>
          <w:sz w:val="22"/>
        </w:rPr>
        <w:t> </w:t>
      </w:r>
      <w:r>
        <w:rPr>
          <w:sz w:val="22"/>
        </w:rPr>
        <w:t>adjusted,</w:t>
      </w:r>
      <w:r>
        <w:rPr>
          <w:spacing w:val="-3"/>
          <w:sz w:val="22"/>
        </w:rPr>
        <w:t> </w:t>
      </w:r>
      <w:r>
        <w:rPr>
          <w:sz w:val="22"/>
        </w:rPr>
        <w:t>with</w:t>
      </w:r>
      <w:r>
        <w:rPr>
          <w:spacing w:val="-3"/>
          <w:sz w:val="22"/>
        </w:rPr>
        <w:t> </w:t>
      </w:r>
      <w:r>
        <w:rPr>
          <w:sz w:val="22"/>
        </w:rPr>
        <w:t>the</w:t>
      </w:r>
      <w:r>
        <w:rPr>
          <w:spacing w:val="-4"/>
          <w:sz w:val="22"/>
        </w:rPr>
        <w:t> </w:t>
      </w:r>
      <w:r>
        <w:rPr>
          <w:sz w:val="22"/>
        </w:rPr>
        <w:t>number</w:t>
      </w:r>
      <w:r>
        <w:rPr>
          <w:spacing w:val="-3"/>
          <w:sz w:val="22"/>
        </w:rPr>
        <w:t> </w:t>
      </w:r>
      <w:r>
        <w:rPr>
          <w:sz w:val="22"/>
        </w:rPr>
        <w:t>of</w:t>
      </w:r>
      <w:r>
        <w:rPr>
          <w:spacing w:val="-1"/>
          <w:sz w:val="22"/>
        </w:rPr>
        <w:t> </w:t>
      </w:r>
      <w:r>
        <w:rPr>
          <w:sz w:val="22"/>
        </w:rPr>
        <w:t>direct</w:t>
      </w:r>
      <w:r>
        <w:rPr>
          <w:spacing w:val="-3"/>
          <w:sz w:val="22"/>
        </w:rPr>
        <w:t> </w:t>
      </w:r>
      <w:r>
        <w:rPr>
          <w:sz w:val="22"/>
        </w:rPr>
        <w:t>reports</w:t>
      </w:r>
      <w:r>
        <w:rPr>
          <w:spacing w:val="-4"/>
          <w:sz w:val="22"/>
        </w:rPr>
        <w:t> </w:t>
      </w:r>
      <w:r>
        <w:rPr>
          <w:sz w:val="22"/>
        </w:rPr>
        <w:t>to</w:t>
      </w:r>
      <w:r>
        <w:rPr>
          <w:spacing w:val="-4"/>
          <w:sz w:val="22"/>
        </w:rPr>
        <w:t> </w:t>
      </w:r>
      <w:r>
        <w:rPr>
          <w:sz w:val="22"/>
        </w:rPr>
        <w:t>the</w:t>
      </w:r>
      <w:r>
        <w:rPr>
          <w:spacing w:val="-3"/>
          <w:sz w:val="22"/>
        </w:rPr>
        <w:t> </w:t>
      </w:r>
      <w:r>
        <w:rPr>
          <w:sz w:val="22"/>
        </w:rPr>
        <w:t>Director</w:t>
      </w:r>
      <w:r>
        <w:rPr>
          <w:spacing w:val="-3"/>
          <w:sz w:val="22"/>
        </w:rPr>
        <w:t> </w:t>
      </w:r>
      <w:r>
        <w:rPr>
          <w:sz w:val="22"/>
        </w:rPr>
        <w:t>of Energy Safety being reduced, and spans of control for executive managers increased;</w:t>
      </w:r>
    </w:p>
    <w:p>
      <w:pPr>
        <w:pStyle w:val="BodyText"/>
        <w:spacing w:before="1"/>
      </w:pPr>
    </w:p>
    <w:p>
      <w:pPr>
        <w:pStyle w:val="ListParagraph"/>
        <w:numPr>
          <w:ilvl w:val="0"/>
          <w:numId w:val="33"/>
        </w:numPr>
        <w:tabs>
          <w:tab w:pos="1102" w:val="left" w:leader="none"/>
        </w:tabs>
        <w:spacing w:line="288" w:lineRule="auto" w:before="1" w:after="0"/>
        <w:ind w:left="1102" w:right="640" w:hanging="360"/>
        <w:jc w:val="left"/>
        <w:rPr>
          <w:sz w:val="22"/>
        </w:rPr>
      </w:pPr>
      <w:r>
        <w:rPr>
          <w:sz w:val="22"/>
        </w:rPr>
        <w:t>a</w:t>
      </w:r>
      <w:r>
        <w:rPr>
          <w:spacing w:val="-2"/>
          <w:sz w:val="22"/>
        </w:rPr>
        <w:t> </w:t>
      </w:r>
      <w:r>
        <w:rPr>
          <w:sz w:val="22"/>
        </w:rPr>
        <w:t>“fuel-centric,</w:t>
      </w:r>
      <w:r>
        <w:rPr>
          <w:spacing w:val="-5"/>
          <w:sz w:val="22"/>
        </w:rPr>
        <w:t> </w:t>
      </w:r>
      <w:r>
        <w:rPr>
          <w:sz w:val="22"/>
        </w:rPr>
        <w:t>full</w:t>
      </w:r>
      <w:r>
        <w:rPr>
          <w:spacing w:val="-2"/>
          <w:sz w:val="22"/>
        </w:rPr>
        <w:t> </w:t>
      </w:r>
      <w:r>
        <w:rPr>
          <w:sz w:val="22"/>
        </w:rPr>
        <w:t>value</w:t>
      </w:r>
      <w:r>
        <w:rPr>
          <w:spacing w:val="-2"/>
          <w:sz w:val="22"/>
        </w:rPr>
        <w:t> </w:t>
      </w:r>
      <w:r>
        <w:rPr>
          <w:sz w:val="22"/>
        </w:rPr>
        <w:t>chain”</w:t>
      </w:r>
      <w:r>
        <w:rPr>
          <w:spacing w:val="-1"/>
          <w:sz w:val="22"/>
        </w:rPr>
        <w:t> </w:t>
      </w:r>
      <w:r>
        <w:rPr>
          <w:sz w:val="22"/>
        </w:rPr>
        <w:t>that is,</w:t>
      </w:r>
      <w:r>
        <w:rPr>
          <w:spacing w:val="-3"/>
          <w:sz w:val="22"/>
        </w:rPr>
        <w:t> </w:t>
      </w:r>
      <w:r>
        <w:rPr>
          <w:sz w:val="22"/>
        </w:rPr>
        <w:t>gas</w:t>
      </w:r>
      <w:r>
        <w:rPr>
          <w:spacing w:val="-1"/>
          <w:sz w:val="22"/>
        </w:rPr>
        <w:t> </w:t>
      </w:r>
      <w:r>
        <w:rPr>
          <w:sz w:val="22"/>
        </w:rPr>
        <w:t>and</w:t>
      </w:r>
      <w:r>
        <w:rPr>
          <w:spacing w:val="-4"/>
          <w:sz w:val="22"/>
        </w:rPr>
        <w:t> </w:t>
      </w:r>
      <w:r>
        <w:rPr>
          <w:sz w:val="22"/>
        </w:rPr>
        <w:t>electricity</w:t>
      </w:r>
      <w:r>
        <w:rPr>
          <w:spacing w:val="-4"/>
          <w:sz w:val="22"/>
        </w:rPr>
        <w:t> </w:t>
      </w:r>
      <w:r>
        <w:rPr>
          <w:sz w:val="22"/>
        </w:rPr>
        <w:t>organisational</w:t>
      </w:r>
      <w:r>
        <w:rPr>
          <w:spacing w:val="-5"/>
          <w:sz w:val="22"/>
        </w:rPr>
        <w:t> </w:t>
      </w:r>
      <w:r>
        <w:rPr>
          <w:sz w:val="22"/>
        </w:rPr>
        <w:t>focus</w:t>
      </w:r>
      <w:r>
        <w:rPr>
          <w:spacing w:val="-2"/>
          <w:sz w:val="22"/>
        </w:rPr>
        <w:t> </w:t>
      </w:r>
      <w:r>
        <w:rPr>
          <w:sz w:val="22"/>
        </w:rPr>
        <w:t>has</w:t>
      </w:r>
      <w:r>
        <w:rPr>
          <w:spacing w:val="-4"/>
          <w:sz w:val="22"/>
        </w:rPr>
        <w:t> </w:t>
      </w:r>
      <w:r>
        <w:rPr>
          <w:sz w:val="22"/>
        </w:rPr>
        <w:t>been implemented, overlaid by functional and regulatory practice capabilities; and</w:t>
      </w:r>
    </w:p>
    <w:p>
      <w:pPr>
        <w:pStyle w:val="BodyText"/>
        <w:spacing w:before="1"/>
      </w:pPr>
    </w:p>
    <w:p>
      <w:pPr>
        <w:pStyle w:val="ListParagraph"/>
        <w:numPr>
          <w:ilvl w:val="0"/>
          <w:numId w:val="33"/>
        </w:numPr>
        <w:tabs>
          <w:tab w:pos="1102" w:val="left" w:leader="none"/>
        </w:tabs>
        <w:spacing w:line="288" w:lineRule="auto" w:before="0" w:after="0"/>
        <w:ind w:left="1102" w:right="652" w:hanging="360"/>
        <w:jc w:val="left"/>
        <w:rPr>
          <w:sz w:val="22"/>
        </w:rPr>
      </w:pPr>
      <w:r>
        <w:rPr>
          <w:sz w:val="22"/>
        </w:rPr>
        <w:t>a Chief Operating Officer role has been created to coordinate corporate functions, and a</w:t>
      </w:r>
      <w:r>
        <w:rPr>
          <w:spacing w:val="-3"/>
          <w:sz w:val="22"/>
        </w:rPr>
        <w:t> </w:t>
      </w:r>
      <w:r>
        <w:rPr>
          <w:sz w:val="22"/>
        </w:rPr>
        <w:t>separate</w:t>
      </w:r>
      <w:r>
        <w:rPr>
          <w:spacing w:val="-5"/>
          <w:sz w:val="22"/>
        </w:rPr>
        <w:t> </w:t>
      </w:r>
      <w:r>
        <w:rPr>
          <w:sz w:val="22"/>
        </w:rPr>
        <w:t>General</w:t>
      </w:r>
      <w:r>
        <w:rPr>
          <w:spacing w:val="-4"/>
          <w:sz w:val="22"/>
        </w:rPr>
        <w:t> </w:t>
      </w:r>
      <w:r>
        <w:rPr>
          <w:sz w:val="22"/>
        </w:rPr>
        <w:t>Manager</w:t>
      </w:r>
      <w:r>
        <w:rPr>
          <w:spacing w:val="-4"/>
          <w:sz w:val="22"/>
        </w:rPr>
        <w:t> </w:t>
      </w:r>
      <w:r>
        <w:rPr>
          <w:sz w:val="22"/>
        </w:rPr>
        <w:t>role</w:t>
      </w:r>
      <w:r>
        <w:rPr>
          <w:spacing w:val="-3"/>
          <w:sz w:val="22"/>
        </w:rPr>
        <w:t> </w:t>
      </w:r>
      <w:r>
        <w:rPr>
          <w:sz w:val="22"/>
        </w:rPr>
        <w:t>dedicated</w:t>
      </w:r>
      <w:r>
        <w:rPr>
          <w:spacing w:val="-5"/>
          <w:sz w:val="22"/>
        </w:rPr>
        <w:t> </w:t>
      </w:r>
      <w:r>
        <w:rPr>
          <w:sz w:val="22"/>
        </w:rPr>
        <w:t>to</w:t>
      </w:r>
      <w:r>
        <w:rPr>
          <w:spacing w:val="-5"/>
          <w:sz w:val="22"/>
        </w:rPr>
        <w:t> </w:t>
      </w:r>
      <w:r>
        <w:rPr>
          <w:sz w:val="22"/>
        </w:rPr>
        <w:t>improving</w:t>
      </w:r>
      <w:r>
        <w:rPr>
          <w:spacing w:val="-1"/>
          <w:sz w:val="22"/>
        </w:rPr>
        <w:t> </w:t>
      </w:r>
      <w:r>
        <w:rPr>
          <w:sz w:val="22"/>
        </w:rPr>
        <w:t>the</w:t>
      </w:r>
      <w:r>
        <w:rPr>
          <w:spacing w:val="-5"/>
          <w:sz w:val="22"/>
        </w:rPr>
        <w:t> </w:t>
      </w:r>
      <w:r>
        <w:rPr>
          <w:sz w:val="22"/>
        </w:rPr>
        <w:t>effectiveness</w:t>
      </w:r>
      <w:r>
        <w:rPr>
          <w:spacing w:val="-3"/>
          <w:sz w:val="22"/>
        </w:rPr>
        <w:t> </w:t>
      </w:r>
      <w:r>
        <w:rPr>
          <w:sz w:val="22"/>
        </w:rPr>
        <w:t>and</w:t>
      </w:r>
      <w:r>
        <w:rPr>
          <w:spacing w:val="-3"/>
          <w:sz w:val="22"/>
        </w:rPr>
        <w:t> </w:t>
      </w:r>
      <w:r>
        <w:rPr>
          <w:sz w:val="22"/>
        </w:rPr>
        <w:t>controls around regulatory risk, enforcement and compliance policies and practices of ESV.</w:t>
      </w:r>
    </w:p>
    <w:p>
      <w:pPr>
        <w:pStyle w:val="BodyText"/>
        <w:spacing w:before="9"/>
        <w:rPr>
          <w:sz w:val="20"/>
        </w:rPr>
      </w:pPr>
    </w:p>
    <w:p>
      <w:pPr>
        <w:pStyle w:val="BodyText"/>
        <w:spacing w:line="288" w:lineRule="auto"/>
        <w:ind w:left="600" w:right="647"/>
      </w:pPr>
      <w:r>
        <w:rPr/>
        <w:t>While much initial progress has been made, the senior leadership of ESV has indicated to the</w:t>
      </w:r>
      <w:r>
        <w:rPr>
          <w:spacing w:val="-3"/>
        </w:rPr>
        <w:t> </w:t>
      </w:r>
      <w:r>
        <w:rPr/>
        <w:t>Review</w:t>
      </w:r>
      <w:r>
        <w:rPr>
          <w:spacing w:val="-6"/>
        </w:rPr>
        <w:t> </w:t>
      </w:r>
      <w:r>
        <w:rPr/>
        <w:t>that</w:t>
      </w:r>
      <w:r>
        <w:rPr>
          <w:spacing w:val="-1"/>
        </w:rPr>
        <w:t> </w:t>
      </w:r>
      <w:r>
        <w:rPr/>
        <w:t>it</w:t>
      </w:r>
      <w:r>
        <w:rPr>
          <w:spacing w:val="-4"/>
        </w:rPr>
        <w:t> </w:t>
      </w:r>
      <w:r>
        <w:rPr/>
        <w:t>considers</w:t>
      </w:r>
      <w:r>
        <w:rPr>
          <w:spacing w:val="-5"/>
        </w:rPr>
        <w:t> </w:t>
      </w:r>
      <w:r>
        <w:rPr/>
        <w:t>the</w:t>
      </w:r>
      <w:r>
        <w:rPr>
          <w:spacing w:val="-1"/>
        </w:rPr>
        <w:t> </w:t>
      </w:r>
      <w:r>
        <w:rPr/>
        <w:t>process</w:t>
      </w:r>
      <w:r>
        <w:rPr>
          <w:spacing w:val="-5"/>
        </w:rPr>
        <w:t> </w:t>
      </w:r>
      <w:r>
        <w:rPr/>
        <w:t>of</w:t>
      </w:r>
      <w:r>
        <w:rPr>
          <w:spacing w:val="-1"/>
        </w:rPr>
        <w:t> </w:t>
      </w:r>
      <w:r>
        <w:rPr/>
        <w:t>organisational</w:t>
      </w:r>
      <w:r>
        <w:rPr>
          <w:spacing w:val="-3"/>
        </w:rPr>
        <w:t> </w:t>
      </w:r>
      <w:r>
        <w:rPr/>
        <w:t>reform</w:t>
      </w:r>
      <w:r>
        <w:rPr>
          <w:spacing w:val="-2"/>
        </w:rPr>
        <w:t> </w:t>
      </w:r>
      <w:r>
        <w:rPr/>
        <w:t>an</w:t>
      </w:r>
      <w:r>
        <w:rPr>
          <w:spacing w:val="-5"/>
        </w:rPr>
        <w:t> </w:t>
      </w:r>
      <w:r>
        <w:rPr/>
        <w:t>“evolving</w:t>
      </w:r>
      <w:r>
        <w:rPr>
          <w:spacing w:val="-1"/>
        </w:rPr>
        <w:t> </w:t>
      </w:r>
      <w:r>
        <w:rPr/>
        <w:t>and</w:t>
      </w:r>
      <w:r>
        <w:rPr>
          <w:spacing w:val="-5"/>
        </w:rPr>
        <w:t> </w:t>
      </w:r>
      <w:r>
        <w:rPr/>
        <w:t>continuing work stream”.</w:t>
      </w:r>
    </w:p>
    <w:p>
      <w:pPr>
        <w:pStyle w:val="BodyText"/>
        <w:rPr>
          <w:sz w:val="21"/>
        </w:rPr>
      </w:pPr>
    </w:p>
    <w:p>
      <w:pPr>
        <w:pStyle w:val="BodyText"/>
        <w:spacing w:line="288" w:lineRule="auto"/>
        <w:ind w:left="600" w:right="647"/>
      </w:pPr>
      <w:r>
        <w:rPr/>
        <w:t>In</w:t>
      </w:r>
      <w:r>
        <w:rPr>
          <w:spacing w:val="-2"/>
        </w:rPr>
        <w:t> </w:t>
      </w:r>
      <w:r>
        <w:rPr/>
        <w:t>a</w:t>
      </w:r>
      <w:r>
        <w:rPr>
          <w:spacing w:val="-4"/>
        </w:rPr>
        <w:t> </w:t>
      </w:r>
      <w:r>
        <w:rPr/>
        <w:t>very</w:t>
      </w:r>
      <w:r>
        <w:rPr>
          <w:spacing w:val="-3"/>
        </w:rPr>
        <w:t> </w:t>
      </w:r>
      <w:r>
        <w:rPr/>
        <w:t>real</w:t>
      </w:r>
      <w:r>
        <w:rPr>
          <w:spacing w:val="-2"/>
        </w:rPr>
        <w:t> </w:t>
      </w:r>
      <w:r>
        <w:rPr/>
        <w:t>sense, ESV</w:t>
      </w:r>
      <w:r>
        <w:rPr>
          <w:spacing w:val="-2"/>
        </w:rPr>
        <w:t> </w:t>
      </w:r>
      <w:r>
        <w:rPr/>
        <w:t>has</w:t>
      </w:r>
      <w:r>
        <w:rPr>
          <w:spacing w:val="-1"/>
        </w:rPr>
        <w:t> </w:t>
      </w:r>
      <w:r>
        <w:rPr/>
        <w:t>been</w:t>
      </w:r>
      <w:r>
        <w:rPr>
          <w:spacing w:val="-4"/>
        </w:rPr>
        <w:t> </w:t>
      </w:r>
      <w:r>
        <w:rPr/>
        <w:t>on</w:t>
      </w:r>
      <w:r>
        <w:rPr>
          <w:spacing w:val="-2"/>
        </w:rPr>
        <w:t> </w:t>
      </w:r>
      <w:r>
        <w:rPr/>
        <w:t>what its</w:t>
      </w:r>
      <w:r>
        <w:rPr>
          <w:spacing w:val="-4"/>
        </w:rPr>
        <w:t> </w:t>
      </w:r>
      <w:r>
        <w:rPr/>
        <w:t>senior</w:t>
      </w:r>
      <w:r>
        <w:rPr>
          <w:spacing w:val="-1"/>
        </w:rPr>
        <w:t> </w:t>
      </w:r>
      <w:r>
        <w:rPr/>
        <w:t>leadership</w:t>
      </w:r>
      <w:r>
        <w:rPr>
          <w:spacing w:val="-2"/>
        </w:rPr>
        <w:t> </w:t>
      </w:r>
      <w:r>
        <w:rPr/>
        <w:t>described</w:t>
      </w:r>
      <w:r>
        <w:rPr>
          <w:spacing w:val="-2"/>
        </w:rPr>
        <w:t> </w:t>
      </w:r>
      <w:r>
        <w:rPr/>
        <w:t>to</w:t>
      </w:r>
      <w:r>
        <w:rPr>
          <w:spacing w:val="-4"/>
        </w:rPr>
        <w:t> </w:t>
      </w:r>
      <w:r>
        <w:rPr/>
        <w:t>the</w:t>
      </w:r>
      <w:r>
        <w:rPr>
          <w:spacing w:val="-4"/>
        </w:rPr>
        <w:t> </w:t>
      </w:r>
      <w:r>
        <w:rPr/>
        <w:t>Review</w:t>
      </w:r>
      <w:r>
        <w:rPr>
          <w:spacing w:val="-5"/>
        </w:rPr>
        <w:t> </w:t>
      </w:r>
      <w:r>
        <w:rPr/>
        <w:t>as an “organisational journey”. The</w:t>
      </w:r>
      <w:r>
        <w:rPr>
          <w:spacing w:val="-1"/>
        </w:rPr>
        <w:t> </w:t>
      </w:r>
      <w:r>
        <w:rPr/>
        <w:t>relative lack of maturity</w:t>
      </w:r>
      <w:r>
        <w:rPr>
          <w:spacing w:val="-1"/>
        </w:rPr>
        <w:t> </w:t>
      </w:r>
      <w:r>
        <w:rPr/>
        <w:t>in</w:t>
      </w:r>
      <w:r>
        <w:rPr>
          <w:spacing w:val="-1"/>
        </w:rPr>
        <w:t> </w:t>
      </w:r>
      <w:r>
        <w:rPr/>
        <w:t>formal corporate</w:t>
      </w:r>
      <w:r>
        <w:rPr>
          <w:spacing w:val="-1"/>
        </w:rPr>
        <w:t> </w:t>
      </w:r>
      <w:r>
        <w:rPr/>
        <w:t>governance and management structures that seems evident in the conclusions of the Marchment Hill and Huegin reports may, in part, reflect the fact that ESV was originally established from technical offices that had been located within much larger organisations.</w:t>
      </w:r>
    </w:p>
    <w:p>
      <w:pPr>
        <w:spacing w:after="0" w:line="288" w:lineRule="auto"/>
        <w:sectPr>
          <w:pgSz w:w="11910" w:h="16840"/>
          <w:pgMar w:header="887" w:footer="1228" w:top="1080" w:bottom="1500" w:left="840" w:right="820"/>
        </w:sectPr>
      </w:pPr>
    </w:p>
    <w:p>
      <w:pPr>
        <w:pStyle w:val="BodyText"/>
        <w:rPr>
          <w:sz w:val="20"/>
        </w:rPr>
      </w:pPr>
    </w:p>
    <w:p>
      <w:pPr>
        <w:pStyle w:val="BodyText"/>
        <w:rPr>
          <w:sz w:val="20"/>
        </w:rPr>
      </w:pPr>
    </w:p>
    <w:p>
      <w:pPr>
        <w:pStyle w:val="BodyText"/>
        <w:spacing w:before="5"/>
      </w:pPr>
    </w:p>
    <w:p>
      <w:pPr>
        <w:pStyle w:val="BodyText"/>
        <w:spacing w:line="288" w:lineRule="auto"/>
        <w:ind w:left="600" w:right="713"/>
      </w:pPr>
      <w:r>
        <w:rPr/>
        <w:t>Irrespective of the reasons, the need to substantially improve in formal corporate governance</w:t>
      </w:r>
      <w:r>
        <w:rPr>
          <w:spacing w:val="-3"/>
        </w:rPr>
        <w:t> </w:t>
      </w:r>
      <w:r>
        <w:rPr/>
        <w:t>and</w:t>
      </w:r>
      <w:r>
        <w:rPr>
          <w:spacing w:val="-5"/>
        </w:rPr>
        <w:t> </w:t>
      </w:r>
      <w:r>
        <w:rPr/>
        <w:t>processes</w:t>
      </w:r>
      <w:r>
        <w:rPr>
          <w:spacing w:val="-3"/>
        </w:rPr>
        <w:t> </w:t>
      </w:r>
      <w:r>
        <w:rPr/>
        <w:t>has</w:t>
      </w:r>
      <w:r>
        <w:rPr>
          <w:spacing w:val="-3"/>
        </w:rPr>
        <w:t> </w:t>
      </w:r>
      <w:r>
        <w:rPr/>
        <w:t>been</w:t>
      </w:r>
      <w:r>
        <w:rPr>
          <w:spacing w:val="-5"/>
        </w:rPr>
        <w:t> </w:t>
      </w:r>
      <w:r>
        <w:rPr/>
        <w:t>recognised</w:t>
      </w:r>
      <w:r>
        <w:rPr>
          <w:spacing w:val="-5"/>
        </w:rPr>
        <w:t> </w:t>
      </w:r>
      <w:r>
        <w:rPr/>
        <w:t>by</w:t>
      </w:r>
      <w:r>
        <w:rPr>
          <w:spacing w:val="-5"/>
        </w:rPr>
        <w:t> </w:t>
      </w:r>
      <w:r>
        <w:rPr/>
        <w:t>ESV</w:t>
      </w:r>
      <w:r>
        <w:rPr>
          <w:spacing w:val="-3"/>
        </w:rPr>
        <w:t> </w:t>
      </w:r>
      <w:r>
        <w:rPr/>
        <w:t>through</w:t>
      </w:r>
      <w:r>
        <w:rPr>
          <w:spacing w:val="-3"/>
        </w:rPr>
        <w:t> </w:t>
      </w:r>
      <w:r>
        <w:rPr/>
        <w:t>work undertaken</w:t>
      </w:r>
      <w:r>
        <w:rPr>
          <w:spacing w:val="-5"/>
        </w:rPr>
        <w:t> </w:t>
      </w:r>
      <w:r>
        <w:rPr/>
        <w:t>over</w:t>
      </w:r>
      <w:r>
        <w:rPr>
          <w:spacing w:val="-2"/>
        </w:rPr>
        <w:t> </w:t>
      </w:r>
      <w:r>
        <w:rPr/>
        <w:t>the past two years. It is essential that the internal reform process that has commenced is completed and is deeply entrenched within all aspects of ESV’s operations.</w:t>
      </w:r>
    </w:p>
    <w:p>
      <w:pPr>
        <w:pStyle w:val="BodyText"/>
        <w:spacing w:before="10"/>
        <w:rPr>
          <w:sz w:val="20"/>
        </w:rPr>
      </w:pPr>
    </w:p>
    <w:p>
      <w:pPr>
        <w:pStyle w:val="BodyText"/>
        <w:spacing w:line="288" w:lineRule="auto"/>
        <w:ind w:left="600" w:right="636"/>
      </w:pPr>
      <w:r>
        <w:rPr/>
        <w:t>In</w:t>
      </w:r>
      <w:r>
        <w:rPr>
          <w:spacing w:val="-2"/>
        </w:rPr>
        <w:t> </w:t>
      </w:r>
      <w:r>
        <w:rPr/>
        <w:t>a</w:t>
      </w:r>
      <w:r>
        <w:rPr>
          <w:spacing w:val="-4"/>
        </w:rPr>
        <w:t> </w:t>
      </w:r>
      <w:r>
        <w:rPr/>
        <w:t>series</w:t>
      </w:r>
      <w:r>
        <w:rPr>
          <w:spacing w:val="-4"/>
        </w:rPr>
        <w:t> </w:t>
      </w:r>
      <w:r>
        <w:rPr/>
        <w:t>of roundtable</w:t>
      </w:r>
      <w:r>
        <w:rPr>
          <w:spacing w:val="-4"/>
        </w:rPr>
        <w:t> </w:t>
      </w:r>
      <w:r>
        <w:rPr/>
        <w:t>discussions</w:t>
      </w:r>
      <w:r>
        <w:rPr>
          <w:spacing w:val="-1"/>
        </w:rPr>
        <w:t> </w:t>
      </w:r>
      <w:r>
        <w:rPr/>
        <w:t>held</w:t>
      </w:r>
      <w:r>
        <w:rPr>
          <w:spacing w:val="-2"/>
        </w:rPr>
        <w:t> </w:t>
      </w:r>
      <w:r>
        <w:rPr/>
        <w:t>with</w:t>
      </w:r>
      <w:r>
        <w:rPr>
          <w:spacing w:val="-2"/>
        </w:rPr>
        <w:t> </w:t>
      </w:r>
      <w:r>
        <w:rPr/>
        <w:t>the</w:t>
      </w:r>
      <w:r>
        <w:rPr>
          <w:spacing w:val="-4"/>
        </w:rPr>
        <w:t> </w:t>
      </w:r>
      <w:r>
        <w:rPr/>
        <w:t>Review, the</w:t>
      </w:r>
      <w:r>
        <w:rPr>
          <w:spacing w:val="-2"/>
        </w:rPr>
        <w:t> </w:t>
      </w:r>
      <w:r>
        <w:rPr/>
        <w:t>Director</w:t>
      </w:r>
      <w:r>
        <w:rPr>
          <w:spacing w:val="-3"/>
        </w:rPr>
        <w:t> </w:t>
      </w:r>
      <w:r>
        <w:rPr/>
        <w:t>of</w:t>
      </w:r>
      <w:r>
        <w:rPr>
          <w:spacing w:val="-3"/>
        </w:rPr>
        <w:t> </w:t>
      </w:r>
      <w:r>
        <w:rPr/>
        <w:t>Energy</w:t>
      </w:r>
      <w:r>
        <w:rPr>
          <w:spacing w:val="-4"/>
        </w:rPr>
        <w:t> </w:t>
      </w:r>
      <w:r>
        <w:rPr/>
        <w:t>Safety</w:t>
      </w:r>
      <w:r>
        <w:rPr>
          <w:spacing w:val="-4"/>
        </w:rPr>
        <w:t> </w:t>
      </w:r>
      <w:r>
        <w:rPr/>
        <w:t>and ESV’s</w:t>
      </w:r>
      <w:r>
        <w:rPr>
          <w:spacing w:val="-1"/>
        </w:rPr>
        <w:t> </w:t>
      </w:r>
      <w:r>
        <w:rPr/>
        <w:t>senior</w:t>
      </w:r>
      <w:r>
        <w:rPr>
          <w:spacing w:val="-1"/>
        </w:rPr>
        <w:t> </w:t>
      </w:r>
      <w:r>
        <w:rPr/>
        <w:t>leadership</w:t>
      </w:r>
      <w:r>
        <w:rPr>
          <w:spacing w:val="-4"/>
        </w:rPr>
        <w:t> </w:t>
      </w:r>
      <w:r>
        <w:rPr/>
        <w:t>team</w:t>
      </w:r>
      <w:r>
        <w:rPr>
          <w:spacing w:val="-3"/>
        </w:rPr>
        <w:t> </w:t>
      </w:r>
      <w:r>
        <w:rPr/>
        <w:t>engaged</w:t>
      </w:r>
      <w:r>
        <w:rPr>
          <w:spacing w:val="-2"/>
        </w:rPr>
        <w:t> </w:t>
      </w:r>
      <w:r>
        <w:rPr/>
        <w:t>openly</w:t>
      </w:r>
      <w:r>
        <w:rPr>
          <w:spacing w:val="-4"/>
        </w:rPr>
        <w:t> </w:t>
      </w:r>
      <w:r>
        <w:rPr/>
        <w:t>and</w:t>
      </w:r>
      <w:r>
        <w:rPr>
          <w:spacing w:val="-2"/>
        </w:rPr>
        <w:t> </w:t>
      </w:r>
      <w:r>
        <w:rPr/>
        <w:t>constructively</w:t>
      </w:r>
      <w:r>
        <w:rPr>
          <w:spacing w:val="-4"/>
        </w:rPr>
        <w:t> </w:t>
      </w:r>
      <w:r>
        <w:rPr/>
        <w:t>in</w:t>
      </w:r>
      <w:r>
        <w:rPr>
          <w:spacing w:val="-2"/>
        </w:rPr>
        <w:t> </w:t>
      </w:r>
      <w:r>
        <w:rPr/>
        <w:t>identifying the</w:t>
      </w:r>
      <w:r>
        <w:rPr>
          <w:spacing w:val="-4"/>
        </w:rPr>
        <w:t> </w:t>
      </w:r>
      <w:r>
        <w:rPr/>
        <w:t>key</w:t>
      </w:r>
      <w:r>
        <w:rPr>
          <w:spacing w:val="-4"/>
        </w:rPr>
        <w:t> </w:t>
      </w:r>
      <w:r>
        <w:rPr/>
        <w:t>areas where further work was required to strengthen ESV’s processes and capabilities. A continued open</w:t>
      </w:r>
      <w:r>
        <w:rPr>
          <w:spacing w:val="-2"/>
        </w:rPr>
        <w:t> </w:t>
      </w:r>
      <w:r>
        <w:rPr/>
        <w:t>and</w:t>
      </w:r>
      <w:r>
        <w:rPr>
          <w:spacing w:val="-2"/>
        </w:rPr>
        <w:t> </w:t>
      </w:r>
      <w:r>
        <w:rPr/>
        <w:t>transparent</w:t>
      </w:r>
      <w:r>
        <w:rPr>
          <w:spacing w:val="-1"/>
        </w:rPr>
        <w:t> </w:t>
      </w:r>
      <w:r>
        <w:rPr/>
        <w:t>approach</w:t>
      </w:r>
      <w:r>
        <w:rPr>
          <w:spacing w:val="-2"/>
        </w:rPr>
        <w:t> </w:t>
      </w:r>
      <w:r>
        <w:rPr/>
        <w:t>will greatly</w:t>
      </w:r>
      <w:r>
        <w:rPr>
          <w:spacing w:val="-2"/>
        </w:rPr>
        <w:t> </w:t>
      </w:r>
      <w:r>
        <w:rPr/>
        <w:t>assist in boosting internal</w:t>
      </w:r>
      <w:r>
        <w:rPr>
          <w:spacing w:val="-1"/>
        </w:rPr>
        <w:t> </w:t>
      </w:r>
      <w:r>
        <w:rPr/>
        <w:t>and</w:t>
      </w:r>
      <w:r>
        <w:rPr>
          <w:spacing w:val="-2"/>
        </w:rPr>
        <w:t> </w:t>
      </w:r>
      <w:r>
        <w:rPr/>
        <w:t>external confidence in the steps being taken to improve the quality and maturity of ESV’s corporate governance and management arrangements.</w:t>
      </w:r>
    </w:p>
    <w:p>
      <w:pPr>
        <w:pStyle w:val="BodyText"/>
        <w:spacing w:before="10"/>
        <w:rPr>
          <w:sz w:val="20"/>
        </w:rPr>
      </w:pPr>
    </w:p>
    <w:p>
      <w:pPr>
        <w:pStyle w:val="BodyText"/>
        <w:spacing w:line="290" w:lineRule="auto"/>
        <w:ind w:left="600"/>
      </w:pPr>
      <w:r>
        <w:rPr/>
        <w:t>Greater</w:t>
      </w:r>
      <w:r>
        <w:rPr>
          <w:spacing w:val="-4"/>
        </w:rPr>
        <w:t> </w:t>
      </w:r>
      <w:r>
        <w:rPr/>
        <w:t>transparency</w:t>
      </w:r>
      <w:r>
        <w:rPr>
          <w:spacing w:val="-5"/>
        </w:rPr>
        <w:t> </w:t>
      </w:r>
      <w:r>
        <w:rPr/>
        <w:t>around</w:t>
      </w:r>
      <w:r>
        <w:rPr>
          <w:spacing w:val="-3"/>
        </w:rPr>
        <w:t> </w:t>
      </w:r>
      <w:r>
        <w:rPr/>
        <w:t>ESV’s</w:t>
      </w:r>
      <w:r>
        <w:rPr>
          <w:spacing w:val="-2"/>
        </w:rPr>
        <w:t> </w:t>
      </w:r>
      <w:r>
        <w:rPr/>
        <w:t>management</w:t>
      </w:r>
      <w:r>
        <w:rPr>
          <w:spacing w:val="-1"/>
        </w:rPr>
        <w:t> </w:t>
      </w:r>
      <w:r>
        <w:rPr/>
        <w:t>and</w:t>
      </w:r>
      <w:r>
        <w:rPr>
          <w:spacing w:val="-5"/>
        </w:rPr>
        <w:t> </w:t>
      </w:r>
      <w:r>
        <w:rPr/>
        <w:t>internal</w:t>
      </w:r>
      <w:r>
        <w:rPr>
          <w:spacing w:val="-6"/>
        </w:rPr>
        <w:t> </w:t>
      </w:r>
      <w:r>
        <w:rPr/>
        <w:t>governance</w:t>
      </w:r>
      <w:r>
        <w:rPr>
          <w:spacing w:val="-3"/>
        </w:rPr>
        <w:t> </w:t>
      </w:r>
      <w:r>
        <w:rPr/>
        <w:t>reforms</w:t>
      </w:r>
      <w:r>
        <w:rPr>
          <w:spacing w:val="-2"/>
        </w:rPr>
        <w:t> </w:t>
      </w:r>
      <w:r>
        <w:rPr/>
        <w:t>in</w:t>
      </w:r>
      <w:r>
        <w:rPr>
          <w:spacing w:val="-7"/>
        </w:rPr>
        <w:t> </w:t>
      </w:r>
      <w:r>
        <w:rPr/>
        <w:t>formal external reporting would also assist.</w:t>
      </w:r>
    </w:p>
    <w:p>
      <w:pPr>
        <w:pStyle w:val="BodyText"/>
        <w:spacing w:before="6"/>
        <w:rPr>
          <w:sz w:val="20"/>
        </w:rPr>
      </w:pPr>
    </w:p>
    <w:p>
      <w:pPr>
        <w:spacing w:line="288" w:lineRule="auto" w:before="0"/>
        <w:ind w:left="600" w:right="0" w:firstLine="0"/>
        <w:jc w:val="left"/>
        <w:rPr>
          <w:sz w:val="22"/>
        </w:rPr>
      </w:pPr>
      <w:r>
        <w:rPr>
          <w:sz w:val="22"/>
        </w:rPr>
        <w:t>At the outset of its </w:t>
      </w:r>
      <w:r>
        <w:rPr>
          <w:i/>
          <w:sz w:val="22"/>
        </w:rPr>
        <w:t>Corporate Plan 2017–2020</w:t>
      </w:r>
      <w:r>
        <w:rPr>
          <w:sz w:val="22"/>
        </w:rPr>
        <w:t>, ESV has highlighted “</w:t>
      </w:r>
      <w:r>
        <w:rPr>
          <w:i/>
          <w:sz w:val="22"/>
        </w:rPr>
        <w:t>strengthening of our governance</w:t>
      </w:r>
      <w:r>
        <w:rPr>
          <w:i/>
          <w:spacing w:val="-4"/>
          <w:sz w:val="22"/>
        </w:rPr>
        <w:t> </w:t>
      </w:r>
      <w:r>
        <w:rPr>
          <w:i/>
          <w:sz w:val="22"/>
        </w:rPr>
        <w:t>processes</w:t>
      </w:r>
      <w:r>
        <w:rPr>
          <w:i/>
          <w:spacing w:val="-6"/>
          <w:sz w:val="22"/>
        </w:rPr>
        <w:t> </w:t>
      </w:r>
      <w:r>
        <w:rPr>
          <w:i/>
          <w:sz w:val="22"/>
        </w:rPr>
        <w:t>to</w:t>
      </w:r>
      <w:r>
        <w:rPr>
          <w:i/>
          <w:spacing w:val="-4"/>
          <w:sz w:val="22"/>
        </w:rPr>
        <w:t> </w:t>
      </w:r>
      <w:r>
        <w:rPr>
          <w:i/>
          <w:sz w:val="22"/>
        </w:rPr>
        <w:t>support</w:t>
      </w:r>
      <w:r>
        <w:rPr>
          <w:i/>
          <w:spacing w:val="-2"/>
          <w:sz w:val="22"/>
        </w:rPr>
        <w:t> </w:t>
      </w:r>
      <w:r>
        <w:rPr>
          <w:i/>
          <w:sz w:val="22"/>
        </w:rPr>
        <w:t>informed,</w:t>
      </w:r>
      <w:r>
        <w:rPr>
          <w:i/>
          <w:spacing w:val="-5"/>
          <w:sz w:val="22"/>
        </w:rPr>
        <w:t> </w:t>
      </w:r>
      <w:r>
        <w:rPr>
          <w:i/>
          <w:sz w:val="22"/>
        </w:rPr>
        <w:t>predictable</w:t>
      </w:r>
      <w:r>
        <w:rPr>
          <w:i/>
          <w:spacing w:val="-4"/>
          <w:sz w:val="22"/>
        </w:rPr>
        <w:t> </w:t>
      </w:r>
      <w:r>
        <w:rPr>
          <w:i/>
          <w:sz w:val="22"/>
        </w:rPr>
        <w:t>and</w:t>
      </w:r>
      <w:r>
        <w:rPr>
          <w:i/>
          <w:spacing w:val="-6"/>
          <w:sz w:val="22"/>
        </w:rPr>
        <w:t> </w:t>
      </w:r>
      <w:r>
        <w:rPr>
          <w:i/>
          <w:sz w:val="22"/>
        </w:rPr>
        <w:t>transparent</w:t>
      </w:r>
      <w:r>
        <w:rPr>
          <w:i/>
          <w:spacing w:val="-5"/>
          <w:sz w:val="22"/>
        </w:rPr>
        <w:t> </w:t>
      </w:r>
      <w:r>
        <w:rPr>
          <w:i/>
          <w:sz w:val="22"/>
        </w:rPr>
        <w:t>regulatory</w:t>
      </w:r>
      <w:r>
        <w:rPr>
          <w:i/>
          <w:spacing w:val="-3"/>
          <w:sz w:val="22"/>
        </w:rPr>
        <w:t> </w:t>
      </w:r>
      <w:r>
        <w:rPr>
          <w:i/>
          <w:sz w:val="22"/>
        </w:rPr>
        <w:t>decision- making</w:t>
      </w:r>
      <w:r>
        <w:rPr>
          <w:sz w:val="22"/>
        </w:rPr>
        <w:t>” as one of four critical success factors that underpin its plan (ESV, 2017b, p. 6).</w:t>
      </w:r>
    </w:p>
    <w:p>
      <w:pPr>
        <w:pStyle w:val="BodyText"/>
        <w:spacing w:before="11"/>
        <w:rPr>
          <w:sz w:val="20"/>
        </w:rPr>
      </w:pPr>
    </w:p>
    <w:p>
      <w:pPr>
        <w:pStyle w:val="BodyText"/>
        <w:spacing w:line="288" w:lineRule="auto"/>
        <w:ind w:left="600" w:right="910"/>
      </w:pPr>
      <w:r>
        <w:rPr/>
        <w:t>This</w:t>
      </w:r>
      <w:r>
        <w:rPr>
          <w:spacing w:val="-3"/>
        </w:rPr>
        <w:t> </w:t>
      </w:r>
      <w:r>
        <w:rPr/>
        <w:t>should</w:t>
      </w:r>
      <w:r>
        <w:rPr>
          <w:spacing w:val="-1"/>
        </w:rPr>
        <w:t> </w:t>
      </w:r>
      <w:r>
        <w:rPr/>
        <w:t>now</w:t>
      </w:r>
      <w:r>
        <w:rPr>
          <w:spacing w:val="-4"/>
        </w:rPr>
        <w:t> </w:t>
      </w:r>
      <w:r>
        <w:rPr/>
        <w:t>be</w:t>
      </w:r>
      <w:r>
        <w:rPr>
          <w:spacing w:val="-3"/>
        </w:rPr>
        <w:t> </w:t>
      </w:r>
      <w:r>
        <w:rPr/>
        <w:t>followed</w:t>
      </w:r>
      <w:r>
        <w:rPr>
          <w:spacing w:val="-1"/>
        </w:rPr>
        <w:t> </w:t>
      </w:r>
      <w:r>
        <w:rPr/>
        <w:t>up</w:t>
      </w:r>
      <w:r>
        <w:rPr>
          <w:spacing w:val="-1"/>
        </w:rPr>
        <w:t> </w:t>
      </w:r>
      <w:r>
        <w:rPr/>
        <w:t>with</w:t>
      </w:r>
      <w:r>
        <w:rPr>
          <w:spacing w:val="-1"/>
        </w:rPr>
        <w:t> </w:t>
      </w:r>
      <w:r>
        <w:rPr/>
        <w:t>clear public</w:t>
      </w:r>
      <w:r>
        <w:rPr>
          <w:spacing w:val="-3"/>
        </w:rPr>
        <w:t> </w:t>
      </w:r>
      <w:r>
        <w:rPr/>
        <w:t>reporting</w:t>
      </w:r>
      <w:r>
        <w:rPr>
          <w:spacing w:val="-1"/>
        </w:rPr>
        <w:t> </w:t>
      </w:r>
      <w:r>
        <w:rPr/>
        <w:t>around</w:t>
      </w:r>
      <w:r>
        <w:rPr>
          <w:spacing w:val="-3"/>
        </w:rPr>
        <w:t> </w:t>
      </w:r>
      <w:r>
        <w:rPr/>
        <w:t>the</w:t>
      </w:r>
      <w:r>
        <w:rPr>
          <w:spacing w:val="-3"/>
        </w:rPr>
        <w:t> </w:t>
      </w:r>
      <w:r>
        <w:rPr/>
        <w:t>specific</w:t>
      </w:r>
      <w:r>
        <w:rPr>
          <w:spacing w:val="-3"/>
        </w:rPr>
        <w:t> </w:t>
      </w:r>
      <w:r>
        <w:rPr/>
        <w:t>steps</w:t>
      </w:r>
      <w:r>
        <w:rPr>
          <w:spacing w:val="-3"/>
        </w:rPr>
        <w:t> </w:t>
      </w:r>
      <w:r>
        <w:rPr/>
        <w:t>that ESV has already taken, or is proposing to take as part of a process of continuous </w:t>
      </w:r>
      <w:r>
        <w:rPr>
          <w:spacing w:val="-2"/>
        </w:rPr>
        <w:t>improvement.</w:t>
      </w:r>
    </w:p>
    <w:p>
      <w:pPr>
        <w:pStyle w:val="BodyText"/>
        <w:spacing w:before="8"/>
        <w:rPr>
          <w:sz w:val="18"/>
        </w:rPr>
      </w:pPr>
      <w:r>
        <w:rPr/>
        <mc:AlternateContent>
          <mc:Choice Requires="wps">
            <w:drawing>
              <wp:anchor distT="0" distB="0" distL="0" distR="0" allowOverlap="1" layoutInCell="1" locked="0" behindDoc="1" simplePos="0" relativeHeight="487613952">
                <wp:simplePos x="0" y="0"/>
                <wp:positionH relativeFrom="page">
                  <wp:posOffset>914704</wp:posOffset>
                </wp:positionH>
                <wp:positionV relativeFrom="paragraph">
                  <wp:posOffset>151855</wp:posOffset>
                </wp:positionV>
                <wp:extent cx="5732780" cy="2594610"/>
                <wp:effectExtent l="0" t="0" r="0" b="0"/>
                <wp:wrapTopAndBottom/>
                <wp:docPr id="106" name="Textbox 106"/>
                <wp:cNvGraphicFramePr>
                  <a:graphicFrameLocks/>
                </wp:cNvGraphicFramePr>
                <a:graphic>
                  <a:graphicData uri="http://schemas.microsoft.com/office/word/2010/wordprocessingShape">
                    <wps:wsp>
                      <wps:cNvPr id="106" name="Textbox 106"/>
                      <wps:cNvSpPr txBox="1"/>
                      <wps:spPr>
                        <a:xfrm>
                          <a:off x="0" y="0"/>
                          <a:ext cx="5732780" cy="2594610"/>
                        </a:xfrm>
                        <a:prstGeom prst="rect">
                          <a:avLst/>
                        </a:prstGeom>
                        <a:solidFill>
                          <a:srgbClr val="D9D9D9"/>
                        </a:solidFill>
                      </wps:spPr>
                      <wps:txbx>
                        <w:txbxContent>
                          <w:p>
                            <w:pPr>
                              <w:pStyle w:val="BodyText"/>
                              <w:spacing w:before="6"/>
                              <w:rPr>
                                <w:color w:val="000000"/>
                                <w:sz w:val="36"/>
                              </w:rPr>
                            </w:pPr>
                          </w:p>
                          <w:p>
                            <w:pPr>
                              <w:spacing w:before="0"/>
                              <w:ind w:left="141" w:right="0" w:firstLine="0"/>
                              <w:jc w:val="left"/>
                              <w:rPr>
                                <w:b/>
                                <w:color w:val="000000"/>
                                <w:sz w:val="24"/>
                              </w:rPr>
                            </w:pPr>
                            <w:r>
                              <w:rPr>
                                <w:b/>
                                <w:color w:val="000000"/>
                                <w:spacing w:val="-2"/>
                                <w:sz w:val="24"/>
                              </w:rPr>
                              <w:t>Recommendation</w:t>
                            </w:r>
                            <w:r>
                              <w:rPr>
                                <w:b/>
                                <w:color w:val="000000"/>
                                <w:sz w:val="24"/>
                              </w:rPr>
                              <w:t> </w:t>
                            </w:r>
                            <w:r>
                              <w:rPr>
                                <w:b/>
                                <w:color w:val="000000"/>
                                <w:spacing w:val="-10"/>
                                <w:sz w:val="24"/>
                              </w:rPr>
                              <w:t>4</w:t>
                            </w:r>
                          </w:p>
                          <w:p>
                            <w:pPr>
                              <w:pStyle w:val="BodyText"/>
                              <w:spacing w:line="288" w:lineRule="auto" w:before="175"/>
                              <w:ind w:left="112"/>
                              <w:rPr>
                                <w:color w:val="000000"/>
                              </w:rPr>
                            </w:pPr>
                            <w:r>
                              <w:rPr>
                                <w:color w:val="000000"/>
                              </w:rPr>
                              <w:t>The Executive Management Board of ESV should develop an overarching organisational reform</w:t>
                            </w:r>
                            <w:r>
                              <w:rPr>
                                <w:color w:val="000000"/>
                                <w:spacing w:val="-3"/>
                              </w:rPr>
                              <w:t> </w:t>
                            </w:r>
                            <w:r>
                              <w:rPr>
                                <w:color w:val="000000"/>
                              </w:rPr>
                              <w:t>roadmap</w:t>
                            </w:r>
                            <w:r>
                              <w:rPr>
                                <w:color w:val="000000"/>
                                <w:spacing w:val="-4"/>
                              </w:rPr>
                              <w:t> </w:t>
                            </w:r>
                            <w:r>
                              <w:rPr>
                                <w:color w:val="000000"/>
                              </w:rPr>
                              <w:t>that</w:t>
                            </w:r>
                            <w:r>
                              <w:rPr>
                                <w:color w:val="000000"/>
                                <w:spacing w:val="-3"/>
                              </w:rPr>
                              <w:t> </w:t>
                            </w:r>
                            <w:r>
                              <w:rPr>
                                <w:color w:val="000000"/>
                              </w:rPr>
                              <w:t>details</w:t>
                            </w:r>
                            <w:r>
                              <w:rPr>
                                <w:color w:val="000000"/>
                                <w:spacing w:val="-2"/>
                              </w:rPr>
                              <w:t> </w:t>
                            </w:r>
                            <w:r>
                              <w:rPr>
                                <w:color w:val="000000"/>
                              </w:rPr>
                              <w:t>key</w:t>
                            </w:r>
                            <w:r>
                              <w:rPr>
                                <w:color w:val="000000"/>
                                <w:spacing w:val="-4"/>
                              </w:rPr>
                              <w:t> </w:t>
                            </w:r>
                            <w:r>
                              <w:rPr>
                                <w:color w:val="000000"/>
                              </w:rPr>
                              <w:t>actions</w:t>
                            </w:r>
                            <w:r>
                              <w:rPr>
                                <w:color w:val="000000"/>
                                <w:spacing w:val="-2"/>
                              </w:rPr>
                              <w:t> </w:t>
                            </w:r>
                            <w:r>
                              <w:rPr>
                                <w:color w:val="000000"/>
                              </w:rPr>
                              <w:t>that</w:t>
                            </w:r>
                            <w:r>
                              <w:rPr>
                                <w:color w:val="000000"/>
                                <w:spacing w:val="-3"/>
                              </w:rPr>
                              <w:t> </w:t>
                            </w:r>
                            <w:r>
                              <w:rPr>
                                <w:color w:val="000000"/>
                              </w:rPr>
                              <w:t>have</w:t>
                            </w:r>
                            <w:r>
                              <w:rPr>
                                <w:color w:val="000000"/>
                                <w:spacing w:val="-2"/>
                              </w:rPr>
                              <w:t> </w:t>
                            </w:r>
                            <w:r>
                              <w:rPr>
                                <w:color w:val="000000"/>
                              </w:rPr>
                              <w:t>already</w:t>
                            </w:r>
                            <w:r>
                              <w:rPr>
                                <w:color w:val="000000"/>
                                <w:spacing w:val="-4"/>
                              </w:rPr>
                              <w:t> </w:t>
                            </w:r>
                            <w:r>
                              <w:rPr>
                                <w:color w:val="000000"/>
                              </w:rPr>
                              <w:t>been</w:t>
                            </w:r>
                            <w:r>
                              <w:rPr>
                                <w:color w:val="000000"/>
                                <w:spacing w:val="-4"/>
                              </w:rPr>
                              <w:t> </w:t>
                            </w:r>
                            <w:r>
                              <w:rPr>
                                <w:color w:val="000000"/>
                              </w:rPr>
                              <w:t>taken</w:t>
                            </w:r>
                            <w:r>
                              <w:rPr>
                                <w:color w:val="000000"/>
                                <w:spacing w:val="-4"/>
                              </w:rPr>
                              <w:t> </w:t>
                            </w:r>
                            <w:r>
                              <w:rPr>
                                <w:color w:val="000000"/>
                              </w:rPr>
                              <w:t>to</w:t>
                            </w:r>
                            <w:r>
                              <w:rPr>
                                <w:color w:val="000000"/>
                                <w:spacing w:val="-4"/>
                              </w:rPr>
                              <w:t> </w:t>
                            </w:r>
                            <w:r>
                              <w:rPr>
                                <w:color w:val="000000"/>
                              </w:rPr>
                              <w:t>strengthen</w:t>
                            </w:r>
                            <w:r>
                              <w:rPr>
                                <w:color w:val="000000"/>
                                <w:spacing w:val="-2"/>
                              </w:rPr>
                              <w:t> </w:t>
                            </w:r>
                            <w:r>
                              <w:rPr>
                                <w:color w:val="000000"/>
                              </w:rPr>
                              <w:t>ESV’s corporate governance and management structures and processes, and the actions that have yet to be completed.</w:t>
                            </w:r>
                          </w:p>
                          <w:p>
                            <w:pPr>
                              <w:pStyle w:val="BodyText"/>
                              <w:spacing w:before="10"/>
                              <w:rPr>
                                <w:color w:val="000000"/>
                                <w:sz w:val="20"/>
                              </w:rPr>
                            </w:pPr>
                          </w:p>
                          <w:p>
                            <w:pPr>
                              <w:pStyle w:val="BodyText"/>
                              <w:spacing w:line="288" w:lineRule="auto" w:before="1"/>
                              <w:ind w:left="112"/>
                              <w:rPr>
                                <w:color w:val="000000"/>
                              </w:rPr>
                            </w:pPr>
                            <w:r>
                              <w:rPr>
                                <w:color w:val="000000"/>
                              </w:rPr>
                              <w:t>This roadmap should take account of actions in response to the recommendations of this Review</w:t>
                            </w:r>
                            <w:r>
                              <w:rPr>
                                <w:color w:val="000000"/>
                                <w:spacing w:val="-4"/>
                              </w:rPr>
                              <w:t> </w:t>
                            </w:r>
                            <w:r>
                              <w:rPr>
                                <w:color w:val="000000"/>
                              </w:rPr>
                              <w:t>of Victoria’s Electricity</w:t>
                            </w:r>
                            <w:r>
                              <w:rPr>
                                <w:color w:val="000000"/>
                                <w:spacing w:val="-3"/>
                              </w:rPr>
                              <w:t> </w:t>
                            </w:r>
                            <w:r>
                              <w:rPr>
                                <w:color w:val="000000"/>
                              </w:rPr>
                              <w:t>and</w:t>
                            </w:r>
                            <w:r>
                              <w:rPr>
                                <w:color w:val="000000"/>
                                <w:spacing w:val="-3"/>
                              </w:rPr>
                              <w:t> </w:t>
                            </w:r>
                            <w:r>
                              <w:rPr>
                                <w:color w:val="000000"/>
                              </w:rPr>
                              <w:t>Gas</w:t>
                            </w:r>
                            <w:r>
                              <w:rPr>
                                <w:color w:val="000000"/>
                                <w:spacing w:val="-3"/>
                              </w:rPr>
                              <w:t> </w:t>
                            </w:r>
                            <w:r>
                              <w:rPr>
                                <w:color w:val="000000"/>
                              </w:rPr>
                              <w:t>Network</w:t>
                            </w:r>
                            <w:r>
                              <w:rPr>
                                <w:color w:val="000000"/>
                                <w:spacing w:val="-2"/>
                              </w:rPr>
                              <w:t> </w:t>
                            </w:r>
                            <w:r>
                              <w:rPr>
                                <w:color w:val="000000"/>
                              </w:rPr>
                              <w:t>Safety</w:t>
                            </w:r>
                            <w:r>
                              <w:rPr>
                                <w:color w:val="000000"/>
                                <w:spacing w:val="-3"/>
                              </w:rPr>
                              <w:t> </w:t>
                            </w:r>
                            <w:r>
                              <w:rPr>
                                <w:color w:val="000000"/>
                              </w:rPr>
                              <w:t>Framework and</w:t>
                            </w:r>
                            <w:r>
                              <w:rPr>
                                <w:color w:val="000000"/>
                                <w:spacing w:val="-1"/>
                              </w:rPr>
                              <w:t> </w:t>
                            </w:r>
                            <w:r>
                              <w:rPr>
                                <w:color w:val="000000"/>
                              </w:rPr>
                              <w:t>in</w:t>
                            </w:r>
                            <w:r>
                              <w:rPr>
                                <w:color w:val="000000"/>
                                <w:spacing w:val="-3"/>
                              </w:rPr>
                              <w:t> </w:t>
                            </w:r>
                            <w:r>
                              <w:rPr>
                                <w:color w:val="000000"/>
                              </w:rPr>
                              <w:t>response</w:t>
                            </w:r>
                            <w:r>
                              <w:rPr>
                                <w:color w:val="000000"/>
                                <w:spacing w:val="-3"/>
                              </w:rPr>
                              <w:t> </w:t>
                            </w:r>
                            <w:r>
                              <w:rPr>
                                <w:color w:val="000000"/>
                              </w:rPr>
                              <w:t>to</w:t>
                            </w:r>
                            <w:r>
                              <w:rPr>
                                <w:color w:val="000000"/>
                                <w:spacing w:val="-5"/>
                              </w:rPr>
                              <w:t> </w:t>
                            </w:r>
                            <w:r>
                              <w:rPr>
                                <w:color w:val="000000"/>
                              </w:rPr>
                              <w:t>the findings</w:t>
                            </w:r>
                            <w:r>
                              <w:rPr>
                                <w:color w:val="000000"/>
                                <w:spacing w:val="-5"/>
                              </w:rPr>
                              <w:t> </w:t>
                            </w:r>
                            <w:r>
                              <w:rPr>
                                <w:color w:val="000000"/>
                              </w:rPr>
                              <w:t>of</w:t>
                            </w:r>
                            <w:r>
                              <w:rPr>
                                <w:color w:val="000000"/>
                                <w:spacing w:val="-1"/>
                              </w:rPr>
                              <w:t> </w:t>
                            </w:r>
                            <w:r>
                              <w:rPr>
                                <w:color w:val="000000"/>
                              </w:rPr>
                              <w:t>previous</w:t>
                            </w:r>
                            <w:r>
                              <w:rPr>
                                <w:color w:val="000000"/>
                                <w:spacing w:val="-2"/>
                              </w:rPr>
                              <w:t> </w:t>
                            </w:r>
                            <w:r>
                              <w:rPr>
                                <w:color w:val="000000"/>
                              </w:rPr>
                              <w:t>reviews</w:t>
                            </w:r>
                            <w:r>
                              <w:rPr>
                                <w:color w:val="000000"/>
                                <w:spacing w:val="-2"/>
                              </w:rPr>
                              <w:t> </w:t>
                            </w:r>
                            <w:r>
                              <w:rPr>
                                <w:color w:val="000000"/>
                              </w:rPr>
                              <w:t>commissioned</w:t>
                            </w:r>
                            <w:r>
                              <w:rPr>
                                <w:color w:val="000000"/>
                                <w:spacing w:val="-3"/>
                              </w:rPr>
                              <w:t> </w:t>
                            </w:r>
                            <w:r>
                              <w:rPr>
                                <w:color w:val="000000"/>
                              </w:rPr>
                              <w:t>by</w:t>
                            </w:r>
                            <w:r>
                              <w:rPr>
                                <w:color w:val="000000"/>
                                <w:spacing w:val="-5"/>
                              </w:rPr>
                              <w:t> </w:t>
                            </w:r>
                            <w:r>
                              <w:rPr>
                                <w:color w:val="000000"/>
                              </w:rPr>
                              <w:t>the</w:t>
                            </w:r>
                            <w:r>
                              <w:rPr>
                                <w:color w:val="000000"/>
                                <w:spacing w:val="-5"/>
                              </w:rPr>
                              <w:t> </w:t>
                            </w:r>
                            <w:r>
                              <w:rPr>
                                <w:color w:val="000000"/>
                              </w:rPr>
                              <w:t>Director</w:t>
                            </w:r>
                            <w:r>
                              <w:rPr>
                                <w:color w:val="000000"/>
                                <w:spacing w:val="-2"/>
                              </w:rPr>
                              <w:t> </w:t>
                            </w:r>
                            <w:r>
                              <w:rPr>
                                <w:color w:val="000000"/>
                              </w:rPr>
                              <w:t>of</w:t>
                            </w:r>
                            <w:r>
                              <w:rPr>
                                <w:color w:val="000000"/>
                                <w:spacing w:val="-1"/>
                              </w:rPr>
                              <w:t> </w:t>
                            </w:r>
                            <w:r>
                              <w:rPr>
                                <w:color w:val="000000"/>
                              </w:rPr>
                              <w:t>Energy</w:t>
                            </w:r>
                            <w:r>
                              <w:rPr>
                                <w:color w:val="000000"/>
                                <w:spacing w:val="-5"/>
                              </w:rPr>
                              <w:t> </w:t>
                            </w:r>
                            <w:r>
                              <w:rPr>
                                <w:color w:val="000000"/>
                              </w:rPr>
                              <w:t>Safety.</w:t>
                            </w:r>
                            <w:r>
                              <w:rPr>
                                <w:color w:val="000000"/>
                                <w:spacing w:val="-1"/>
                              </w:rPr>
                              <w:t> </w:t>
                            </w:r>
                            <w:r>
                              <w:rPr>
                                <w:color w:val="000000"/>
                              </w:rPr>
                              <w:t>The</w:t>
                            </w:r>
                            <w:r>
                              <w:rPr>
                                <w:color w:val="000000"/>
                                <w:spacing w:val="-5"/>
                              </w:rPr>
                              <w:t> </w:t>
                            </w:r>
                            <w:r>
                              <w:rPr>
                                <w:color w:val="000000"/>
                              </w:rPr>
                              <w:t>roadmap should be reported publicly on ESV’s website and updated quarterly until all key actions have been completed.</w:t>
                            </w:r>
                          </w:p>
                        </w:txbxContent>
                      </wps:txbx>
                      <wps:bodyPr wrap="square" lIns="0" tIns="0" rIns="0" bIns="0" rtlCol="0">
                        <a:noAutofit/>
                      </wps:bodyPr>
                    </wps:wsp>
                  </a:graphicData>
                </a:graphic>
              </wp:anchor>
            </w:drawing>
          </mc:Choice>
          <mc:Fallback>
            <w:pict>
              <v:shape style="position:absolute;margin-left:72.024002pt;margin-top:11.957158pt;width:451.4pt;height:204.3pt;mso-position-horizontal-relative:page;mso-position-vertical-relative:paragraph;z-index:-15702528;mso-wrap-distance-left:0;mso-wrap-distance-right:0" type="#_x0000_t202" id="docshape91" filled="true" fillcolor="#d9d9d9" stroked="false">
                <v:textbox inset="0,0,0,0">
                  <w:txbxContent>
                    <w:p>
                      <w:pPr>
                        <w:pStyle w:val="BodyText"/>
                        <w:spacing w:before="6"/>
                        <w:rPr>
                          <w:color w:val="000000"/>
                          <w:sz w:val="36"/>
                        </w:rPr>
                      </w:pPr>
                    </w:p>
                    <w:p>
                      <w:pPr>
                        <w:spacing w:before="0"/>
                        <w:ind w:left="141" w:right="0" w:firstLine="0"/>
                        <w:jc w:val="left"/>
                        <w:rPr>
                          <w:b/>
                          <w:color w:val="000000"/>
                          <w:sz w:val="24"/>
                        </w:rPr>
                      </w:pPr>
                      <w:r>
                        <w:rPr>
                          <w:b/>
                          <w:color w:val="000000"/>
                          <w:spacing w:val="-2"/>
                          <w:sz w:val="24"/>
                        </w:rPr>
                        <w:t>Recommendation</w:t>
                      </w:r>
                      <w:r>
                        <w:rPr>
                          <w:b/>
                          <w:color w:val="000000"/>
                          <w:sz w:val="24"/>
                        </w:rPr>
                        <w:t> </w:t>
                      </w:r>
                      <w:r>
                        <w:rPr>
                          <w:b/>
                          <w:color w:val="000000"/>
                          <w:spacing w:val="-10"/>
                          <w:sz w:val="24"/>
                        </w:rPr>
                        <w:t>4</w:t>
                      </w:r>
                    </w:p>
                    <w:p>
                      <w:pPr>
                        <w:pStyle w:val="BodyText"/>
                        <w:spacing w:line="288" w:lineRule="auto" w:before="175"/>
                        <w:ind w:left="112"/>
                        <w:rPr>
                          <w:color w:val="000000"/>
                        </w:rPr>
                      </w:pPr>
                      <w:r>
                        <w:rPr>
                          <w:color w:val="000000"/>
                        </w:rPr>
                        <w:t>The Executive Management Board of ESV should develop an overarching organisational reform</w:t>
                      </w:r>
                      <w:r>
                        <w:rPr>
                          <w:color w:val="000000"/>
                          <w:spacing w:val="-3"/>
                        </w:rPr>
                        <w:t> </w:t>
                      </w:r>
                      <w:r>
                        <w:rPr>
                          <w:color w:val="000000"/>
                        </w:rPr>
                        <w:t>roadmap</w:t>
                      </w:r>
                      <w:r>
                        <w:rPr>
                          <w:color w:val="000000"/>
                          <w:spacing w:val="-4"/>
                        </w:rPr>
                        <w:t> </w:t>
                      </w:r>
                      <w:r>
                        <w:rPr>
                          <w:color w:val="000000"/>
                        </w:rPr>
                        <w:t>that</w:t>
                      </w:r>
                      <w:r>
                        <w:rPr>
                          <w:color w:val="000000"/>
                          <w:spacing w:val="-3"/>
                        </w:rPr>
                        <w:t> </w:t>
                      </w:r>
                      <w:r>
                        <w:rPr>
                          <w:color w:val="000000"/>
                        </w:rPr>
                        <w:t>details</w:t>
                      </w:r>
                      <w:r>
                        <w:rPr>
                          <w:color w:val="000000"/>
                          <w:spacing w:val="-2"/>
                        </w:rPr>
                        <w:t> </w:t>
                      </w:r>
                      <w:r>
                        <w:rPr>
                          <w:color w:val="000000"/>
                        </w:rPr>
                        <w:t>key</w:t>
                      </w:r>
                      <w:r>
                        <w:rPr>
                          <w:color w:val="000000"/>
                          <w:spacing w:val="-4"/>
                        </w:rPr>
                        <w:t> </w:t>
                      </w:r>
                      <w:r>
                        <w:rPr>
                          <w:color w:val="000000"/>
                        </w:rPr>
                        <w:t>actions</w:t>
                      </w:r>
                      <w:r>
                        <w:rPr>
                          <w:color w:val="000000"/>
                          <w:spacing w:val="-2"/>
                        </w:rPr>
                        <w:t> </w:t>
                      </w:r>
                      <w:r>
                        <w:rPr>
                          <w:color w:val="000000"/>
                        </w:rPr>
                        <w:t>that</w:t>
                      </w:r>
                      <w:r>
                        <w:rPr>
                          <w:color w:val="000000"/>
                          <w:spacing w:val="-3"/>
                        </w:rPr>
                        <w:t> </w:t>
                      </w:r>
                      <w:r>
                        <w:rPr>
                          <w:color w:val="000000"/>
                        </w:rPr>
                        <w:t>have</w:t>
                      </w:r>
                      <w:r>
                        <w:rPr>
                          <w:color w:val="000000"/>
                          <w:spacing w:val="-2"/>
                        </w:rPr>
                        <w:t> </w:t>
                      </w:r>
                      <w:r>
                        <w:rPr>
                          <w:color w:val="000000"/>
                        </w:rPr>
                        <w:t>already</w:t>
                      </w:r>
                      <w:r>
                        <w:rPr>
                          <w:color w:val="000000"/>
                          <w:spacing w:val="-4"/>
                        </w:rPr>
                        <w:t> </w:t>
                      </w:r>
                      <w:r>
                        <w:rPr>
                          <w:color w:val="000000"/>
                        </w:rPr>
                        <w:t>been</w:t>
                      </w:r>
                      <w:r>
                        <w:rPr>
                          <w:color w:val="000000"/>
                          <w:spacing w:val="-4"/>
                        </w:rPr>
                        <w:t> </w:t>
                      </w:r>
                      <w:r>
                        <w:rPr>
                          <w:color w:val="000000"/>
                        </w:rPr>
                        <w:t>taken</w:t>
                      </w:r>
                      <w:r>
                        <w:rPr>
                          <w:color w:val="000000"/>
                          <w:spacing w:val="-4"/>
                        </w:rPr>
                        <w:t> </w:t>
                      </w:r>
                      <w:r>
                        <w:rPr>
                          <w:color w:val="000000"/>
                        </w:rPr>
                        <w:t>to</w:t>
                      </w:r>
                      <w:r>
                        <w:rPr>
                          <w:color w:val="000000"/>
                          <w:spacing w:val="-4"/>
                        </w:rPr>
                        <w:t> </w:t>
                      </w:r>
                      <w:r>
                        <w:rPr>
                          <w:color w:val="000000"/>
                        </w:rPr>
                        <w:t>strengthen</w:t>
                      </w:r>
                      <w:r>
                        <w:rPr>
                          <w:color w:val="000000"/>
                          <w:spacing w:val="-2"/>
                        </w:rPr>
                        <w:t> </w:t>
                      </w:r>
                      <w:r>
                        <w:rPr>
                          <w:color w:val="000000"/>
                        </w:rPr>
                        <w:t>ESV’s corporate governance and management structures and processes, and the actions that have yet to be completed.</w:t>
                      </w:r>
                    </w:p>
                    <w:p>
                      <w:pPr>
                        <w:pStyle w:val="BodyText"/>
                        <w:spacing w:before="10"/>
                        <w:rPr>
                          <w:color w:val="000000"/>
                          <w:sz w:val="20"/>
                        </w:rPr>
                      </w:pPr>
                    </w:p>
                    <w:p>
                      <w:pPr>
                        <w:pStyle w:val="BodyText"/>
                        <w:spacing w:line="288" w:lineRule="auto" w:before="1"/>
                        <w:ind w:left="112"/>
                        <w:rPr>
                          <w:color w:val="000000"/>
                        </w:rPr>
                      </w:pPr>
                      <w:r>
                        <w:rPr>
                          <w:color w:val="000000"/>
                        </w:rPr>
                        <w:t>This roadmap should take account of actions in response to the recommendations of this Review</w:t>
                      </w:r>
                      <w:r>
                        <w:rPr>
                          <w:color w:val="000000"/>
                          <w:spacing w:val="-4"/>
                        </w:rPr>
                        <w:t> </w:t>
                      </w:r>
                      <w:r>
                        <w:rPr>
                          <w:color w:val="000000"/>
                        </w:rPr>
                        <w:t>of Victoria’s Electricity</w:t>
                      </w:r>
                      <w:r>
                        <w:rPr>
                          <w:color w:val="000000"/>
                          <w:spacing w:val="-3"/>
                        </w:rPr>
                        <w:t> </w:t>
                      </w:r>
                      <w:r>
                        <w:rPr>
                          <w:color w:val="000000"/>
                        </w:rPr>
                        <w:t>and</w:t>
                      </w:r>
                      <w:r>
                        <w:rPr>
                          <w:color w:val="000000"/>
                          <w:spacing w:val="-3"/>
                        </w:rPr>
                        <w:t> </w:t>
                      </w:r>
                      <w:r>
                        <w:rPr>
                          <w:color w:val="000000"/>
                        </w:rPr>
                        <w:t>Gas</w:t>
                      </w:r>
                      <w:r>
                        <w:rPr>
                          <w:color w:val="000000"/>
                          <w:spacing w:val="-3"/>
                        </w:rPr>
                        <w:t> </w:t>
                      </w:r>
                      <w:r>
                        <w:rPr>
                          <w:color w:val="000000"/>
                        </w:rPr>
                        <w:t>Network</w:t>
                      </w:r>
                      <w:r>
                        <w:rPr>
                          <w:color w:val="000000"/>
                          <w:spacing w:val="-2"/>
                        </w:rPr>
                        <w:t> </w:t>
                      </w:r>
                      <w:r>
                        <w:rPr>
                          <w:color w:val="000000"/>
                        </w:rPr>
                        <w:t>Safety</w:t>
                      </w:r>
                      <w:r>
                        <w:rPr>
                          <w:color w:val="000000"/>
                          <w:spacing w:val="-3"/>
                        </w:rPr>
                        <w:t> </w:t>
                      </w:r>
                      <w:r>
                        <w:rPr>
                          <w:color w:val="000000"/>
                        </w:rPr>
                        <w:t>Framework and</w:t>
                      </w:r>
                      <w:r>
                        <w:rPr>
                          <w:color w:val="000000"/>
                          <w:spacing w:val="-1"/>
                        </w:rPr>
                        <w:t> </w:t>
                      </w:r>
                      <w:r>
                        <w:rPr>
                          <w:color w:val="000000"/>
                        </w:rPr>
                        <w:t>in</w:t>
                      </w:r>
                      <w:r>
                        <w:rPr>
                          <w:color w:val="000000"/>
                          <w:spacing w:val="-3"/>
                        </w:rPr>
                        <w:t> </w:t>
                      </w:r>
                      <w:r>
                        <w:rPr>
                          <w:color w:val="000000"/>
                        </w:rPr>
                        <w:t>response</w:t>
                      </w:r>
                      <w:r>
                        <w:rPr>
                          <w:color w:val="000000"/>
                          <w:spacing w:val="-3"/>
                        </w:rPr>
                        <w:t> </w:t>
                      </w:r>
                      <w:r>
                        <w:rPr>
                          <w:color w:val="000000"/>
                        </w:rPr>
                        <w:t>to</w:t>
                      </w:r>
                      <w:r>
                        <w:rPr>
                          <w:color w:val="000000"/>
                          <w:spacing w:val="-5"/>
                        </w:rPr>
                        <w:t> </w:t>
                      </w:r>
                      <w:r>
                        <w:rPr>
                          <w:color w:val="000000"/>
                        </w:rPr>
                        <w:t>the findings</w:t>
                      </w:r>
                      <w:r>
                        <w:rPr>
                          <w:color w:val="000000"/>
                          <w:spacing w:val="-5"/>
                        </w:rPr>
                        <w:t> </w:t>
                      </w:r>
                      <w:r>
                        <w:rPr>
                          <w:color w:val="000000"/>
                        </w:rPr>
                        <w:t>of</w:t>
                      </w:r>
                      <w:r>
                        <w:rPr>
                          <w:color w:val="000000"/>
                          <w:spacing w:val="-1"/>
                        </w:rPr>
                        <w:t> </w:t>
                      </w:r>
                      <w:r>
                        <w:rPr>
                          <w:color w:val="000000"/>
                        </w:rPr>
                        <w:t>previous</w:t>
                      </w:r>
                      <w:r>
                        <w:rPr>
                          <w:color w:val="000000"/>
                          <w:spacing w:val="-2"/>
                        </w:rPr>
                        <w:t> </w:t>
                      </w:r>
                      <w:r>
                        <w:rPr>
                          <w:color w:val="000000"/>
                        </w:rPr>
                        <w:t>reviews</w:t>
                      </w:r>
                      <w:r>
                        <w:rPr>
                          <w:color w:val="000000"/>
                          <w:spacing w:val="-2"/>
                        </w:rPr>
                        <w:t> </w:t>
                      </w:r>
                      <w:r>
                        <w:rPr>
                          <w:color w:val="000000"/>
                        </w:rPr>
                        <w:t>commissioned</w:t>
                      </w:r>
                      <w:r>
                        <w:rPr>
                          <w:color w:val="000000"/>
                          <w:spacing w:val="-3"/>
                        </w:rPr>
                        <w:t> </w:t>
                      </w:r>
                      <w:r>
                        <w:rPr>
                          <w:color w:val="000000"/>
                        </w:rPr>
                        <w:t>by</w:t>
                      </w:r>
                      <w:r>
                        <w:rPr>
                          <w:color w:val="000000"/>
                          <w:spacing w:val="-5"/>
                        </w:rPr>
                        <w:t> </w:t>
                      </w:r>
                      <w:r>
                        <w:rPr>
                          <w:color w:val="000000"/>
                        </w:rPr>
                        <w:t>the</w:t>
                      </w:r>
                      <w:r>
                        <w:rPr>
                          <w:color w:val="000000"/>
                          <w:spacing w:val="-5"/>
                        </w:rPr>
                        <w:t> </w:t>
                      </w:r>
                      <w:r>
                        <w:rPr>
                          <w:color w:val="000000"/>
                        </w:rPr>
                        <w:t>Director</w:t>
                      </w:r>
                      <w:r>
                        <w:rPr>
                          <w:color w:val="000000"/>
                          <w:spacing w:val="-2"/>
                        </w:rPr>
                        <w:t> </w:t>
                      </w:r>
                      <w:r>
                        <w:rPr>
                          <w:color w:val="000000"/>
                        </w:rPr>
                        <w:t>of</w:t>
                      </w:r>
                      <w:r>
                        <w:rPr>
                          <w:color w:val="000000"/>
                          <w:spacing w:val="-1"/>
                        </w:rPr>
                        <w:t> </w:t>
                      </w:r>
                      <w:r>
                        <w:rPr>
                          <w:color w:val="000000"/>
                        </w:rPr>
                        <w:t>Energy</w:t>
                      </w:r>
                      <w:r>
                        <w:rPr>
                          <w:color w:val="000000"/>
                          <w:spacing w:val="-5"/>
                        </w:rPr>
                        <w:t> </w:t>
                      </w:r>
                      <w:r>
                        <w:rPr>
                          <w:color w:val="000000"/>
                        </w:rPr>
                        <w:t>Safety.</w:t>
                      </w:r>
                      <w:r>
                        <w:rPr>
                          <w:color w:val="000000"/>
                          <w:spacing w:val="-1"/>
                        </w:rPr>
                        <w:t> </w:t>
                      </w:r>
                      <w:r>
                        <w:rPr>
                          <w:color w:val="000000"/>
                        </w:rPr>
                        <w:t>The</w:t>
                      </w:r>
                      <w:r>
                        <w:rPr>
                          <w:color w:val="000000"/>
                          <w:spacing w:val="-5"/>
                        </w:rPr>
                        <w:t> </w:t>
                      </w:r>
                      <w:r>
                        <w:rPr>
                          <w:color w:val="000000"/>
                        </w:rPr>
                        <w:t>roadmap should be reported publicly on ESV’s website and updated quarterly until all key actions have been completed.</w:t>
                      </w:r>
                    </w:p>
                  </w:txbxContent>
                </v:textbox>
                <v:fill type="solid"/>
                <w10:wrap type="topAndBottom"/>
              </v:shape>
            </w:pict>
          </mc:Fallback>
        </mc:AlternateContent>
      </w:r>
    </w:p>
    <w:p>
      <w:pPr>
        <w:spacing w:after="0"/>
        <w:rPr>
          <w:sz w:val="18"/>
        </w:rPr>
        <w:sectPr>
          <w:pgSz w:w="11910" w:h="16840"/>
          <w:pgMar w:header="887" w:footer="1228" w:top="1080" w:bottom="1500" w:left="840" w:right="820"/>
        </w:sectPr>
      </w:pPr>
    </w:p>
    <w:p>
      <w:pPr>
        <w:pStyle w:val="BodyText"/>
        <w:rPr>
          <w:sz w:val="20"/>
        </w:rPr>
      </w:pPr>
      <w:r>
        <w:rPr/>
        <mc:AlternateContent>
          <mc:Choice Requires="wps">
            <w:drawing>
              <wp:anchor distT="0" distB="0" distL="0" distR="0" allowOverlap="1" layoutInCell="1" locked="0" behindDoc="1" simplePos="0" relativeHeight="482705408">
                <wp:simplePos x="0" y="0"/>
                <wp:positionH relativeFrom="page">
                  <wp:posOffset>914704</wp:posOffset>
                </wp:positionH>
                <wp:positionV relativeFrom="page">
                  <wp:posOffset>891488</wp:posOffset>
                </wp:positionV>
                <wp:extent cx="5851525" cy="8766175"/>
                <wp:effectExtent l="0" t="0" r="0" b="0"/>
                <wp:wrapNone/>
                <wp:docPr id="107" name="Graphic 107"/>
                <wp:cNvGraphicFramePr>
                  <a:graphicFrameLocks/>
                </wp:cNvGraphicFramePr>
                <a:graphic>
                  <a:graphicData uri="http://schemas.microsoft.com/office/word/2010/wordprocessingShape">
                    <wps:wsp>
                      <wps:cNvPr id="107" name="Graphic 107"/>
                      <wps:cNvSpPr/>
                      <wps:spPr>
                        <a:xfrm>
                          <a:off x="0" y="0"/>
                          <a:ext cx="5851525" cy="8766175"/>
                        </a:xfrm>
                        <a:custGeom>
                          <a:avLst/>
                          <a:gdLst/>
                          <a:ahLst/>
                          <a:cxnLst/>
                          <a:rect l="l" t="t" r="r" b="b"/>
                          <a:pathLst>
                            <a:path w="5851525" h="8766175">
                              <a:moveTo>
                                <a:pt x="5851525" y="0"/>
                              </a:moveTo>
                              <a:lnTo>
                                <a:pt x="0" y="0"/>
                              </a:lnTo>
                              <a:lnTo>
                                <a:pt x="0" y="8765794"/>
                              </a:lnTo>
                              <a:lnTo>
                                <a:pt x="5851525" y="8765794"/>
                              </a:lnTo>
                              <a:lnTo>
                                <a:pt x="5851525" y="0"/>
                              </a:lnTo>
                              <a:close/>
                            </a:path>
                          </a:pathLst>
                        </a:custGeom>
                        <a:solidFill>
                          <a:srgbClr val="CEEBEB"/>
                        </a:solidFill>
                      </wps:spPr>
                      <wps:bodyPr wrap="square" lIns="0" tIns="0" rIns="0" bIns="0" rtlCol="0">
                        <a:prstTxWarp prst="textNoShape">
                          <a:avLst/>
                        </a:prstTxWarp>
                        <a:noAutofit/>
                      </wps:bodyPr>
                    </wps:wsp>
                  </a:graphicData>
                </a:graphic>
              </wp:anchor>
            </w:drawing>
          </mc:Choice>
          <mc:Fallback>
            <w:pict>
              <v:rect style="position:absolute;margin-left:72.024002pt;margin-top:70.195984pt;width:460.75pt;height:690.22pt;mso-position-horizontal-relative:page;mso-position-vertical-relative:page;z-index:-20611072" id="docshape92" filled="true" fillcolor="#ceebeb" stroked="false">
                <v:fill type="solid"/>
                <w10:wrap type="none"/>
              </v:rect>
            </w:pict>
          </mc:Fallback>
        </mc:AlternateContent>
      </w:r>
    </w:p>
    <w:p>
      <w:pPr>
        <w:pStyle w:val="BodyText"/>
        <w:spacing w:before="3"/>
        <w:rPr>
          <w:sz w:val="20"/>
        </w:rPr>
      </w:pPr>
    </w:p>
    <w:p>
      <w:pPr>
        <w:pStyle w:val="Heading7"/>
        <w:spacing w:before="94"/>
        <w:ind w:left="662"/>
      </w:pPr>
      <w:r>
        <w:rPr/>
        <w:t>Box</w:t>
      </w:r>
      <w:r>
        <w:rPr>
          <w:spacing w:val="-4"/>
        </w:rPr>
        <w:t> </w:t>
      </w:r>
      <w:r>
        <w:rPr/>
        <w:t>7:</w:t>
      </w:r>
      <w:r>
        <w:rPr>
          <w:spacing w:val="-4"/>
        </w:rPr>
        <w:t> </w:t>
      </w:r>
      <w:r>
        <w:rPr/>
        <w:t>The</w:t>
      </w:r>
      <w:r>
        <w:rPr>
          <w:spacing w:val="-3"/>
        </w:rPr>
        <w:t> </w:t>
      </w:r>
      <w:r>
        <w:rPr/>
        <w:t>Marchment</w:t>
      </w:r>
      <w:r>
        <w:rPr>
          <w:spacing w:val="-4"/>
        </w:rPr>
        <w:t> </w:t>
      </w:r>
      <w:r>
        <w:rPr/>
        <w:t>Hill</w:t>
      </w:r>
      <w:r>
        <w:rPr>
          <w:spacing w:val="-1"/>
        </w:rPr>
        <w:t> </w:t>
      </w:r>
      <w:r>
        <w:rPr>
          <w:spacing w:val="-2"/>
        </w:rPr>
        <w:t>Review</w:t>
      </w:r>
    </w:p>
    <w:p>
      <w:pPr>
        <w:pStyle w:val="BodyText"/>
        <w:spacing w:before="2"/>
        <w:rPr>
          <w:b/>
          <w:sz w:val="25"/>
        </w:rPr>
      </w:pPr>
    </w:p>
    <w:p>
      <w:pPr>
        <w:pStyle w:val="BodyText"/>
        <w:spacing w:line="288" w:lineRule="auto"/>
        <w:ind w:left="713" w:right="586"/>
      </w:pPr>
      <w:r>
        <w:rPr/>
        <w:t>The</w:t>
      </w:r>
      <w:r>
        <w:rPr>
          <w:spacing w:val="-5"/>
        </w:rPr>
        <w:t> </w:t>
      </w:r>
      <w:r>
        <w:rPr/>
        <w:t>Director</w:t>
      </w:r>
      <w:r>
        <w:rPr>
          <w:spacing w:val="-2"/>
        </w:rPr>
        <w:t> </w:t>
      </w:r>
      <w:r>
        <w:rPr/>
        <w:t>of</w:t>
      </w:r>
      <w:r>
        <w:rPr>
          <w:spacing w:val="-2"/>
        </w:rPr>
        <w:t> </w:t>
      </w:r>
      <w:r>
        <w:rPr/>
        <w:t>Energy</w:t>
      </w:r>
      <w:r>
        <w:rPr>
          <w:spacing w:val="-5"/>
        </w:rPr>
        <w:t> </w:t>
      </w:r>
      <w:r>
        <w:rPr/>
        <w:t>Safety</w:t>
      </w:r>
      <w:r>
        <w:rPr>
          <w:spacing w:val="-4"/>
        </w:rPr>
        <w:t> </w:t>
      </w:r>
      <w:r>
        <w:rPr/>
        <w:t>commissioned</w:t>
      </w:r>
      <w:r>
        <w:rPr>
          <w:spacing w:val="-3"/>
        </w:rPr>
        <w:t> </w:t>
      </w:r>
      <w:r>
        <w:rPr/>
        <w:t>an</w:t>
      </w:r>
      <w:r>
        <w:rPr>
          <w:spacing w:val="-5"/>
        </w:rPr>
        <w:t> </w:t>
      </w:r>
      <w:r>
        <w:rPr/>
        <w:t>external</w:t>
      </w:r>
      <w:r>
        <w:rPr>
          <w:spacing w:val="-4"/>
        </w:rPr>
        <w:t> </w:t>
      </w:r>
      <w:r>
        <w:rPr/>
        <w:t>Executive</w:t>
      </w:r>
      <w:r>
        <w:rPr>
          <w:spacing w:val="-3"/>
        </w:rPr>
        <w:t> </w:t>
      </w:r>
      <w:r>
        <w:rPr/>
        <w:t>Structure Health</w:t>
      </w:r>
      <w:r>
        <w:rPr>
          <w:spacing w:val="-5"/>
        </w:rPr>
        <w:t> </w:t>
      </w:r>
      <w:r>
        <w:rPr/>
        <w:t>Check by Marchment Hill Consulting in</w:t>
      </w:r>
      <w:r>
        <w:rPr>
          <w:spacing w:val="-1"/>
        </w:rPr>
        <w:t> </w:t>
      </w:r>
      <w:r>
        <w:rPr/>
        <w:t>December 2015.</w:t>
      </w:r>
      <w:r>
        <w:rPr>
          <w:spacing w:val="-2"/>
        </w:rPr>
        <w:t> </w:t>
      </w:r>
      <w:r>
        <w:rPr/>
        <w:t>The purpose of the</w:t>
      </w:r>
      <w:r>
        <w:rPr>
          <w:spacing w:val="-1"/>
        </w:rPr>
        <w:t> </w:t>
      </w:r>
      <w:r>
        <w:rPr/>
        <w:t>review was to ensure that the executive structure and functional groupings of ESV were “</w:t>
      </w:r>
      <w:r>
        <w:rPr>
          <w:i/>
        </w:rPr>
        <w:t>best aligned to achieve ESV’s strategic objectives</w:t>
      </w:r>
      <w:r>
        <w:rPr/>
        <w:t>” (Marchment Hill Consulting, 2016, p. 5).</w:t>
      </w:r>
    </w:p>
    <w:p>
      <w:pPr>
        <w:pStyle w:val="BodyText"/>
        <w:spacing w:before="10"/>
        <w:rPr>
          <w:sz w:val="20"/>
        </w:rPr>
      </w:pPr>
    </w:p>
    <w:p>
      <w:pPr>
        <w:pStyle w:val="BodyText"/>
        <w:spacing w:line="288" w:lineRule="auto"/>
        <w:ind w:left="713"/>
      </w:pPr>
      <w:r>
        <w:rPr/>
        <w:t>The</w:t>
      </w:r>
      <w:r>
        <w:rPr>
          <w:spacing w:val="-5"/>
        </w:rPr>
        <w:t> </w:t>
      </w:r>
      <w:r>
        <w:rPr/>
        <w:t>Marchment</w:t>
      </w:r>
      <w:r>
        <w:rPr>
          <w:spacing w:val="-4"/>
        </w:rPr>
        <w:t> </w:t>
      </w:r>
      <w:r>
        <w:rPr/>
        <w:t>Hill</w:t>
      </w:r>
      <w:r>
        <w:rPr>
          <w:spacing w:val="-3"/>
        </w:rPr>
        <w:t> </w:t>
      </w:r>
      <w:r>
        <w:rPr/>
        <w:t>report</w:t>
      </w:r>
      <w:r>
        <w:rPr>
          <w:spacing w:val="-3"/>
        </w:rPr>
        <w:t> </w:t>
      </w:r>
      <w:r>
        <w:rPr/>
        <w:t>identified</w:t>
      </w:r>
      <w:r>
        <w:rPr>
          <w:spacing w:val="-3"/>
        </w:rPr>
        <w:t> </w:t>
      </w:r>
      <w:r>
        <w:rPr/>
        <w:t>a</w:t>
      </w:r>
      <w:r>
        <w:rPr>
          <w:spacing w:val="-5"/>
        </w:rPr>
        <w:t> </w:t>
      </w:r>
      <w:r>
        <w:rPr/>
        <w:t>number</w:t>
      </w:r>
      <w:r>
        <w:rPr>
          <w:spacing w:val="-2"/>
        </w:rPr>
        <w:t> </w:t>
      </w:r>
      <w:r>
        <w:rPr/>
        <w:t>of</w:t>
      </w:r>
      <w:r>
        <w:rPr>
          <w:spacing w:val="-4"/>
        </w:rPr>
        <w:t> </w:t>
      </w:r>
      <w:r>
        <w:rPr/>
        <w:t>weaknesses</w:t>
      </w:r>
      <w:r>
        <w:rPr>
          <w:spacing w:val="-3"/>
        </w:rPr>
        <w:t> </w:t>
      </w:r>
      <w:r>
        <w:rPr/>
        <w:t>in</w:t>
      </w:r>
      <w:r>
        <w:rPr>
          <w:spacing w:val="-3"/>
        </w:rPr>
        <w:t> </w:t>
      </w:r>
      <w:r>
        <w:rPr/>
        <w:t>ESV’s</w:t>
      </w:r>
      <w:r>
        <w:rPr>
          <w:spacing w:val="-2"/>
        </w:rPr>
        <w:t> </w:t>
      </w:r>
      <w:r>
        <w:rPr/>
        <w:t>structure</w:t>
      </w:r>
      <w:r>
        <w:rPr>
          <w:spacing w:val="-5"/>
        </w:rPr>
        <w:t> </w:t>
      </w:r>
      <w:r>
        <w:rPr/>
        <w:t>and organisational culture at the time:</w:t>
      </w:r>
    </w:p>
    <w:p>
      <w:pPr>
        <w:pStyle w:val="BodyText"/>
        <w:spacing w:before="4"/>
      </w:pPr>
    </w:p>
    <w:p>
      <w:pPr>
        <w:pStyle w:val="ListParagraph"/>
        <w:numPr>
          <w:ilvl w:val="0"/>
          <w:numId w:val="33"/>
        </w:numPr>
        <w:tabs>
          <w:tab w:pos="1073" w:val="left" w:leader="none"/>
        </w:tabs>
        <w:spacing w:line="288" w:lineRule="auto" w:before="0" w:after="0"/>
        <w:ind w:left="1073" w:right="582" w:hanging="360"/>
        <w:jc w:val="left"/>
        <w:rPr>
          <w:sz w:val="22"/>
        </w:rPr>
      </w:pPr>
      <w:r>
        <w:rPr>
          <w:b/>
          <w:sz w:val="22"/>
        </w:rPr>
        <w:t>organisational drift </w:t>
      </w:r>
      <w:r>
        <w:rPr>
          <w:sz w:val="22"/>
        </w:rPr>
        <w:t>– Marchment Hill (2016, p. 13) noted “</w:t>
      </w:r>
      <w:r>
        <w:rPr>
          <w:i/>
          <w:sz w:val="22"/>
        </w:rPr>
        <w:t>no well-defined ‘organisational</w:t>
      </w:r>
      <w:r>
        <w:rPr>
          <w:i/>
          <w:spacing w:val="-3"/>
          <w:sz w:val="22"/>
        </w:rPr>
        <w:t> </w:t>
      </w:r>
      <w:r>
        <w:rPr>
          <w:i/>
          <w:sz w:val="22"/>
        </w:rPr>
        <w:t>model’,</w:t>
      </w:r>
      <w:r>
        <w:rPr>
          <w:i/>
          <w:spacing w:val="-2"/>
          <w:sz w:val="22"/>
        </w:rPr>
        <w:t> </w:t>
      </w:r>
      <w:r>
        <w:rPr>
          <w:i/>
          <w:sz w:val="22"/>
        </w:rPr>
        <w:t>concerns</w:t>
      </w:r>
      <w:r>
        <w:rPr>
          <w:i/>
          <w:spacing w:val="-5"/>
          <w:sz w:val="22"/>
        </w:rPr>
        <w:t> </w:t>
      </w:r>
      <w:r>
        <w:rPr>
          <w:i/>
          <w:sz w:val="22"/>
        </w:rPr>
        <w:t>with</w:t>
      </w:r>
      <w:r>
        <w:rPr>
          <w:i/>
          <w:spacing w:val="-5"/>
          <w:sz w:val="22"/>
        </w:rPr>
        <w:t> </w:t>
      </w:r>
      <w:r>
        <w:rPr>
          <w:i/>
          <w:sz w:val="22"/>
        </w:rPr>
        <w:t>performance</w:t>
      </w:r>
      <w:r>
        <w:rPr>
          <w:i/>
          <w:spacing w:val="-3"/>
          <w:sz w:val="22"/>
        </w:rPr>
        <w:t> </w:t>
      </w:r>
      <w:r>
        <w:rPr>
          <w:i/>
          <w:sz w:val="22"/>
        </w:rPr>
        <w:t>that</w:t>
      </w:r>
      <w:r>
        <w:rPr>
          <w:i/>
          <w:spacing w:val="-2"/>
          <w:sz w:val="22"/>
        </w:rPr>
        <w:t> </w:t>
      </w:r>
      <w:r>
        <w:rPr>
          <w:i/>
          <w:sz w:val="22"/>
        </w:rPr>
        <w:t>have</w:t>
      </w:r>
      <w:r>
        <w:rPr>
          <w:i/>
          <w:spacing w:val="-5"/>
          <w:sz w:val="22"/>
        </w:rPr>
        <w:t> </w:t>
      </w:r>
      <w:r>
        <w:rPr>
          <w:i/>
          <w:sz w:val="22"/>
        </w:rPr>
        <w:t>been</w:t>
      </w:r>
      <w:r>
        <w:rPr>
          <w:i/>
          <w:spacing w:val="-5"/>
          <w:sz w:val="22"/>
        </w:rPr>
        <w:t> </w:t>
      </w:r>
      <w:r>
        <w:rPr>
          <w:i/>
          <w:sz w:val="22"/>
        </w:rPr>
        <w:t>historically</w:t>
      </w:r>
      <w:r>
        <w:rPr>
          <w:i/>
          <w:spacing w:val="-3"/>
          <w:sz w:val="22"/>
        </w:rPr>
        <w:t> </w:t>
      </w:r>
      <w:r>
        <w:rPr>
          <w:i/>
          <w:sz w:val="22"/>
        </w:rPr>
        <w:t>addressed by changing reporting arrangements.</w:t>
      </w:r>
      <w:r>
        <w:rPr>
          <w:sz w:val="22"/>
        </w:rPr>
        <w:t>”</w:t>
      </w:r>
    </w:p>
    <w:p>
      <w:pPr>
        <w:pStyle w:val="BodyText"/>
        <w:spacing w:before="3"/>
      </w:pPr>
    </w:p>
    <w:p>
      <w:pPr>
        <w:pStyle w:val="ListParagraph"/>
        <w:numPr>
          <w:ilvl w:val="0"/>
          <w:numId w:val="33"/>
        </w:numPr>
        <w:tabs>
          <w:tab w:pos="1073" w:val="left" w:leader="none"/>
        </w:tabs>
        <w:spacing w:line="288" w:lineRule="auto" w:before="0" w:after="0"/>
        <w:ind w:left="1073" w:right="609" w:hanging="360"/>
        <w:jc w:val="left"/>
        <w:rPr>
          <w:sz w:val="22"/>
        </w:rPr>
      </w:pPr>
      <w:r>
        <w:rPr>
          <w:b/>
          <w:sz w:val="22"/>
        </w:rPr>
        <w:t>span</w:t>
      </w:r>
      <w:r>
        <w:rPr>
          <w:b/>
          <w:spacing w:val="-2"/>
          <w:sz w:val="22"/>
        </w:rPr>
        <w:t> </w:t>
      </w:r>
      <w:r>
        <w:rPr>
          <w:b/>
          <w:sz w:val="22"/>
        </w:rPr>
        <w:t>of</w:t>
      </w:r>
      <w:r>
        <w:rPr>
          <w:b/>
          <w:spacing w:val="-3"/>
          <w:sz w:val="22"/>
        </w:rPr>
        <w:t> </w:t>
      </w:r>
      <w:r>
        <w:rPr>
          <w:b/>
          <w:sz w:val="22"/>
        </w:rPr>
        <w:t>control </w:t>
      </w:r>
      <w:r>
        <w:rPr>
          <w:sz w:val="22"/>
        </w:rPr>
        <w:t>–</w:t>
      </w:r>
      <w:r>
        <w:rPr>
          <w:spacing w:val="-4"/>
          <w:sz w:val="22"/>
        </w:rPr>
        <w:t> </w:t>
      </w:r>
      <w:r>
        <w:rPr>
          <w:sz w:val="22"/>
        </w:rPr>
        <w:t>Marchment</w:t>
      </w:r>
      <w:r>
        <w:rPr>
          <w:spacing w:val="-3"/>
          <w:sz w:val="22"/>
        </w:rPr>
        <w:t> </w:t>
      </w:r>
      <w:r>
        <w:rPr>
          <w:sz w:val="22"/>
        </w:rPr>
        <w:t>Hill</w:t>
      </w:r>
      <w:r>
        <w:rPr>
          <w:spacing w:val="-2"/>
          <w:sz w:val="22"/>
        </w:rPr>
        <w:t> </w:t>
      </w:r>
      <w:r>
        <w:rPr>
          <w:sz w:val="22"/>
        </w:rPr>
        <w:t>(2016,</w:t>
      </w:r>
      <w:r>
        <w:rPr>
          <w:spacing w:val="-3"/>
          <w:sz w:val="22"/>
        </w:rPr>
        <w:t> </w:t>
      </w:r>
      <w:r>
        <w:rPr>
          <w:sz w:val="22"/>
        </w:rPr>
        <w:t>p.</w:t>
      </w:r>
      <w:r>
        <w:rPr>
          <w:spacing w:val="-3"/>
          <w:sz w:val="22"/>
        </w:rPr>
        <w:t> </w:t>
      </w:r>
      <w:r>
        <w:rPr>
          <w:sz w:val="22"/>
        </w:rPr>
        <w:t>14)</w:t>
      </w:r>
      <w:r>
        <w:rPr>
          <w:spacing w:val="-3"/>
          <w:sz w:val="22"/>
        </w:rPr>
        <w:t> </w:t>
      </w:r>
      <w:r>
        <w:rPr>
          <w:sz w:val="22"/>
        </w:rPr>
        <w:t>noted</w:t>
      </w:r>
      <w:r>
        <w:rPr>
          <w:spacing w:val="-4"/>
          <w:sz w:val="22"/>
        </w:rPr>
        <w:t> </w:t>
      </w:r>
      <w:r>
        <w:rPr>
          <w:sz w:val="22"/>
        </w:rPr>
        <w:t>“</w:t>
      </w:r>
      <w:r>
        <w:rPr>
          <w:i/>
          <w:sz w:val="22"/>
        </w:rPr>
        <w:t>two</w:t>
      </w:r>
      <w:r>
        <w:rPr>
          <w:i/>
          <w:spacing w:val="-2"/>
          <w:sz w:val="22"/>
        </w:rPr>
        <w:t> </w:t>
      </w:r>
      <w:r>
        <w:rPr>
          <w:i/>
          <w:sz w:val="22"/>
        </w:rPr>
        <w:t>extremes</w:t>
      </w:r>
      <w:r>
        <w:rPr>
          <w:i/>
          <w:spacing w:val="-4"/>
          <w:sz w:val="22"/>
        </w:rPr>
        <w:t> </w:t>
      </w:r>
      <w:r>
        <w:rPr>
          <w:i/>
          <w:sz w:val="22"/>
        </w:rPr>
        <w:t>between</w:t>
      </w:r>
      <w:r>
        <w:rPr>
          <w:i/>
          <w:spacing w:val="-2"/>
          <w:sz w:val="22"/>
        </w:rPr>
        <w:t> </w:t>
      </w:r>
      <w:r>
        <w:rPr>
          <w:i/>
          <w:sz w:val="22"/>
        </w:rPr>
        <w:t>the</w:t>
      </w:r>
      <w:r>
        <w:rPr>
          <w:i/>
          <w:spacing w:val="-4"/>
          <w:sz w:val="22"/>
        </w:rPr>
        <w:t> </w:t>
      </w:r>
      <w:r>
        <w:rPr>
          <w:i/>
          <w:sz w:val="22"/>
        </w:rPr>
        <w:t>DoES [Director of Energy Safety] and Executive Managers</w:t>
      </w:r>
      <w:r>
        <w:rPr>
          <w:sz w:val="22"/>
        </w:rPr>
        <w:t>” with a number of implications </w:t>
      </w:r>
      <w:r>
        <w:rPr>
          <w:spacing w:val="-2"/>
          <w:sz w:val="22"/>
        </w:rPr>
        <w:t>including:</w:t>
      </w:r>
    </w:p>
    <w:p>
      <w:pPr>
        <w:pStyle w:val="BodyText"/>
        <w:spacing w:before="7"/>
        <w:rPr>
          <w:sz w:val="20"/>
        </w:rPr>
      </w:pPr>
    </w:p>
    <w:p>
      <w:pPr>
        <w:pStyle w:val="ListParagraph"/>
        <w:numPr>
          <w:ilvl w:val="1"/>
          <w:numId w:val="33"/>
        </w:numPr>
        <w:tabs>
          <w:tab w:pos="1452" w:val="left" w:leader="none"/>
        </w:tabs>
        <w:spacing w:line="268" w:lineRule="auto" w:before="0" w:after="0"/>
        <w:ind w:left="1452" w:right="601" w:hanging="286"/>
        <w:jc w:val="left"/>
        <w:rPr>
          <w:sz w:val="22"/>
        </w:rPr>
      </w:pPr>
      <w:r>
        <w:rPr>
          <w:sz w:val="22"/>
        </w:rPr>
        <w:t>a</w:t>
      </w:r>
      <w:r>
        <w:rPr>
          <w:spacing w:val="-5"/>
          <w:sz w:val="22"/>
        </w:rPr>
        <w:t> </w:t>
      </w:r>
      <w:r>
        <w:rPr>
          <w:sz w:val="22"/>
        </w:rPr>
        <w:t>flat</w:t>
      </w:r>
      <w:r>
        <w:rPr>
          <w:spacing w:val="-4"/>
          <w:sz w:val="22"/>
        </w:rPr>
        <w:t> </w:t>
      </w:r>
      <w:r>
        <w:rPr>
          <w:sz w:val="22"/>
        </w:rPr>
        <w:t>management</w:t>
      </w:r>
      <w:r>
        <w:rPr>
          <w:spacing w:val="-1"/>
          <w:sz w:val="22"/>
        </w:rPr>
        <w:t> </w:t>
      </w:r>
      <w:r>
        <w:rPr>
          <w:sz w:val="22"/>
        </w:rPr>
        <w:t>structure,</w:t>
      </w:r>
      <w:r>
        <w:rPr>
          <w:spacing w:val="-4"/>
          <w:sz w:val="22"/>
        </w:rPr>
        <w:t> </w:t>
      </w:r>
      <w:r>
        <w:rPr>
          <w:sz w:val="22"/>
        </w:rPr>
        <w:t>with</w:t>
      </w:r>
      <w:r>
        <w:rPr>
          <w:spacing w:val="-3"/>
          <w:sz w:val="22"/>
        </w:rPr>
        <w:t> </w:t>
      </w:r>
      <w:r>
        <w:rPr>
          <w:sz w:val="22"/>
        </w:rPr>
        <w:t>eight</w:t>
      </w:r>
      <w:r>
        <w:rPr>
          <w:spacing w:val="-4"/>
          <w:sz w:val="22"/>
        </w:rPr>
        <w:t> </w:t>
      </w:r>
      <w:r>
        <w:rPr>
          <w:sz w:val="22"/>
        </w:rPr>
        <w:t>executive</w:t>
      </w:r>
      <w:r>
        <w:rPr>
          <w:spacing w:val="-3"/>
          <w:sz w:val="22"/>
        </w:rPr>
        <w:t> </w:t>
      </w:r>
      <w:r>
        <w:rPr>
          <w:sz w:val="22"/>
        </w:rPr>
        <w:t>managers</w:t>
      </w:r>
      <w:r>
        <w:rPr>
          <w:spacing w:val="-4"/>
          <w:sz w:val="22"/>
        </w:rPr>
        <w:t> </w:t>
      </w:r>
      <w:r>
        <w:rPr>
          <w:sz w:val="22"/>
        </w:rPr>
        <w:t>reporting</w:t>
      </w:r>
      <w:r>
        <w:rPr>
          <w:spacing w:val="-3"/>
          <w:sz w:val="22"/>
        </w:rPr>
        <w:t> </w:t>
      </w:r>
      <w:r>
        <w:rPr>
          <w:sz w:val="22"/>
        </w:rPr>
        <w:t>to</w:t>
      </w:r>
      <w:r>
        <w:rPr>
          <w:spacing w:val="-5"/>
          <w:sz w:val="22"/>
        </w:rPr>
        <w:t> </w:t>
      </w:r>
      <w:r>
        <w:rPr>
          <w:sz w:val="22"/>
        </w:rPr>
        <w:t>the</w:t>
      </w:r>
      <w:r>
        <w:rPr>
          <w:spacing w:val="-3"/>
          <w:sz w:val="22"/>
        </w:rPr>
        <w:t> </w:t>
      </w:r>
      <w:r>
        <w:rPr>
          <w:sz w:val="22"/>
        </w:rPr>
        <w:t>Director of Energy Safety, creating “</w:t>
      </w:r>
      <w:r>
        <w:rPr>
          <w:i/>
          <w:sz w:val="22"/>
        </w:rPr>
        <w:t>an entrenched DoES dependency and succession risk</w:t>
      </w:r>
      <w:r>
        <w:rPr>
          <w:sz w:val="22"/>
        </w:rPr>
        <w:t>”</w:t>
      </w:r>
    </w:p>
    <w:p>
      <w:pPr>
        <w:pStyle w:val="BodyText"/>
        <w:spacing w:before="8"/>
      </w:pPr>
    </w:p>
    <w:p>
      <w:pPr>
        <w:pStyle w:val="ListParagraph"/>
        <w:numPr>
          <w:ilvl w:val="1"/>
          <w:numId w:val="33"/>
        </w:numPr>
        <w:tabs>
          <w:tab w:pos="1452" w:val="left" w:leader="none"/>
        </w:tabs>
        <w:spacing w:line="283" w:lineRule="auto" w:before="0" w:after="0"/>
        <w:ind w:left="1452" w:right="586" w:hanging="286"/>
        <w:jc w:val="left"/>
        <w:rPr>
          <w:sz w:val="22"/>
        </w:rPr>
      </w:pPr>
      <w:r>
        <w:rPr>
          <w:sz w:val="22"/>
        </w:rPr>
        <w:t>Executive Managers</w:t>
      </w:r>
      <w:r>
        <w:rPr>
          <w:spacing w:val="-2"/>
          <w:sz w:val="22"/>
        </w:rPr>
        <w:t> </w:t>
      </w:r>
      <w:r>
        <w:rPr>
          <w:sz w:val="22"/>
        </w:rPr>
        <w:t>having</w:t>
      </w:r>
      <w:r>
        <w:rPr>
          <w:spacing w:val="-1"/>
          <w:sz w:val="22"/>
        </w:rPr>
        <w:t> </w:t>
      </w:r>
      <w:r>
        <w:rPr>
          <w:sz w:val="22"/>
        </w:rPr>
        <w:t>an</w:t>
      </w:r>
      <w:r>
        <w:rPr>
          <w:spacing w:val="-5"/>
          <w:sz w:val="22"/>
        </w:rPr>
        <w:t> </w:t>
      </w:r>
      <w:r>
        <w:rPr>
          <w:sz w:val="22"/>
        </w:rPr>
        <w:t>average</w:t>
      </w:r>
      <w:r>
        <w:rPr>
          <w:spacing w:val="-5"/>
          <w:sz w:val="22"/>
        </w:rPr>
        <w:t> </w:t>
      </w:r>
      <w:r>
        <w:rPr>
          <w:sz w:val="22"/>
        </w:rPr>
        <w:t>of</w:t>
      </w:r>
      <w:r>
        <w:rPr>
          <w:spacing w:val="-1"/>
          <w:sz w:val="22"/>
        </w:rPr>
        <w:t> </w:t>
      </w:r>
      <w:r>
        <w:rPr>
          <w:sz w:val="22"/>
        </w:rPr>
        <w:t>only</w:t>
      </w:r>
      <w:r>
        <w:rPr>
          <w:spacing w:val="-5"/>
          <w:sz w:val="22"/>
        </w:rPr>
        <w:t> </w:t>
      </w:r>
      <w:r>
        <w:rPr>
          <w:sz w:val="22"/>
        </w:rPr>
        <w:t>two</w:t>
      </w:r>
      <w:r>
        <w:rPr>
          <w:spacing w:val="-3"/>
          <w:sz w:val="22"/>
        </w:rPr>
        <w:t> </w:t>
      </w:r>
      <w:r>
        <w:rPr>
          <w:sz w:val="22"/>
        </w:rPr>
        <w:t>direct</w:t>
      </w:r>
      <w:r>
        <w:rPr>
          <w:spacing w:val="-4"/>
          <w:sz w:val="22"/>
        </w:rPr>
        <w:t> </w:t>
      </w:r>
      <w:r>
        <w:rPr>
          <w:sz w:val="22"/>
        </w:rPr>
        <w:t>reports</w:t>
      </w:r>
      <w:r>
        <w:rPr>
          <w:spacing w:val="-2"/>
          <w:sz w:val="22"/>
        </w:rPr>
        <w:t> </w:t>
      </w:r>
      <w:r>
        <w:rPr>
          <w:sz w:val="22"/>
        </w:rPr>
        <w:t>each,</w:t>
      </w:r>
      <w:r>
        <w:rPr>
          <w:spacing w:val="-1"/>
          <w:sz w:val="22"/>
        </w:rPr>
        <w:t> </w:t>
      </w:r>
      <w:r>
        <w:rPr>
          <w:sz w:val="22"/>
        </w:rPr>
        <w:t>and</w:t>
      </w:r>
      <w:r>
        <w:rPr>
          <w:spacing w:val="-3"/>
          <w:sz w:val="22"/>
        </w:rPr>
        <w:t> </w:t>
      </w:r>
      <w:r>
        <w:rPr>
          <w:sz w:val="22"/>
        </w:rPr>
        <w:t>that</w:t>
      </w:r>
      <w:r>
        <w:rPr>
          <w:spacing w:val="-4"/>
          <w:sz w:val="22"/>
        </w:rPr>
        <w:t> </w:t>
      </w:r>
      <w:r>
        <w:rPr>
          <w:sz w:val="22"/>
        </w:rPr>
        <w:t>that this “</w:t>
      </w:r>
      <w:r>
        <w:rPr>
          <w:i/>
          <w:sz w:val="22"/>
        </w:rPr>
        <w:t>narrow span of control limits leadership development opportunities and has a tendency to pull Executive Mangers into operational matters</w:t>
      </w:r>
      <w:r>
        <w:rPr>
          <w:sz w:val="22"/>
        </w:rPr>
        <w:t>” and that “</w:t>
      </w:r>
      <w:r>
        <w:rPr>
          <w:i/>
          <w:sz w:val="22"/>
        </w:rPr>
        <w:t>some Executive Managers believe that the structure, which has a tendency to emphasise the DoES’s and EM’s engagement in regulation and operational matters, limits the focus on strategic considerations</w:t>
      </w:r>
      <w:r>
        <w:rPr>
          <w:sz w:val="22"/>
        </w:rPr>
        <w:t>”.</w:t>
      </w:r>
    </w:p>
    <w:p>
      <w:pPr>
        <w:pStyle w:val="BodyText"/>
        <w:spacing w:before="3"/>
        <w:rPr>
          <w:sz w:val="23"/>
        </w:rPr>
      </w:pPr>
    </w:p>
    <w:p>
      <w:pPr>
        <w:pStyle w:val="ListParagraph"/>
        <w:numPr>
          <w:ilvl w:val="0"/>
          <w:numId w:val="33"/>
        </w:numPr>
        <w:tabs>
          <w:tab w:pos="1025" w:val="left" w:leader="none"/>
          <w:tab w:pos="1027" w:val="left" w:leader="none"/>
        </w:tabs>
        <w:spacing w:line="288" w:lineRule="auto" w:before="1" w:after="0"/>
        <w:ind w:left="1027" w:right="593" w:hanging="286"/>
        <w:jc w:val="left"/>
        <w:rPr>
          <w:sz w:val="22"/>
        </w:rPr>
      </w:pPr>
      <w:r>
        <w:rPr>
          <w:b/>
          <w:sz w:val="22"/>
        </w:rPr>
        <w:t>business</w:t>
      </w:r>
      <w:r>
        <w:rPr>
          <w:b/>
          <w:spacing w:val="-3"/>
          <w:sz w:val="22"/>
        </w:rPr>
        <w:t> </w:t>
      </w:r>
      <w:r>
        <w:rPr>
          <w:b/>
          <w:sz w:val="22"/>
        </w:rPr>
        <w:t>culture</w:t>
      </w:r>
      <w:r>
        <w:rPr>
          <w:b/>
          <w:spacing w:val="-4"/>
          <w:sz w:val="22"/>
        </w:rPr>
        <w:t> </w:t>
      </w:r>
      <w:r>
        <w:rPr>
          <w:sz w:val="22"/>
        </w:rPr>
        <w:t>–</w:t>
      </w:r>
      <w:r>
        <w:rPr>
          <w:spacing w:val="-5"/>
          <w:sz w:val="22"/>
        </w:rPr>
        <w:t> </w:t>
      </w:r>
      <w:r>
        <w:rPr>
          <w:sz w:val="22"/>
        </w:rPr>
        <w:t>Marchment</w:t>
      </w:r>
      <w:r>
        <w:rPr>
          <w:spacing w:val="-4"/>
          <w:sz w:val="22"/>
        </w:rPr>
        <w:t> </w:t>
      </w:r>
      <w:r>
        <w:rPr>
          <w:sz w:val="22"/>
        </w:rPr>
        <w:t>Hill</w:t>
      </w:r>
      <w:r>
        <w:rPr>
          <w:spacing w:val="-3"/>
          <w:sz w:val="22"/>
        </w:rPr>
        <w:t> </w:t>
      </w:r>
      <w:r>
        <w:rPr>
          <w:sz w:val="22"/>
        </w:rPr>
        <w:t>concluded</w:t>
      </w:r>
      <w:r>
        <w:rPr>
          <w:spacing w:val="-3"/>
          <w:sz w:val="22"/>
        </w:rPr>
        <w:t> </w:t>
      </w:r>
      <w:r>
        <w:rPr>
          <w:sz w:val="22"/>
        </w:rPr>
        <w:t>that</w:t>
      </w:r>
      <w:r>
        <w:rPr>
          <w:spacing w:val="-4"/>
          <w:sz w:val="22"/>
        </w:rPr>
        <w:t> </w:t>
      </w:r>
      <w:r>
        <w:rPr>
          <w:sz w:val="22"/>
        </w:rPr>
        <w:t>“</w:t>
      </w:r>
      <w:r>
        <w:rPr>
          <w:i/>
          <w:sz w:val="22"/>
        </w:rPr>
        <w:t>elements</w:t>
      </w:r>
      <w:r>
        <w:rPr>
          <w:i/>
          <w:spacing w:val="-2"/>
          <w:sz w:val="22"/>
        </w:rPr>
        <w:t> </w:t>
      </w:r>
      <w:r>
        <w:rPr>
          <w:i/>
          <w:sz w:val="22"/>
        </w:rPr>
        <w:t>of</w:t>
      </w:r>
      <w:r>
        <w:rPr>
          <w:i/>
          <w:spacing w:val="-1"/>
          <w:sz w:val="22"/>
        </w:rPr>
        <w:t> </w:t>
      </w:r>
      <w:r>
        <w:rPr>
          <w:i/>
          <w:sz w:val="22"/>
        </w:rPr>
        <w:t>business</w:t>
      </w:r>
      <w:r>
        <w:rPr>
          <w:i/>
          <w:spacing w:val="-7"/>
          <w:sz w:val="22"/>
        </w:rPr>
        <w:t> </w:t>
      </w:r>
      <w:r>
        <w:rPr>
          <w:i/>
          <w:sz w:val="22"/>
        </w:rPr>
        <w:t>culture</w:t>
      </w:r>
      <w:r>
        <w:rPr>
          <w:i/>
          <w:spacing w:val="-2"/>
          <w:sz w:val="22"/>
        </w:rPr>
        <w:t> </w:t>
      </w:r>
      <w:r>
        <w:rPr>
          <w:i/>
          <w:sz w:val="22"/>
        </w:rPr>
        <w:t>appear to contribute to sub-optimal outcomes and collaboration between divisions and teams</w:t>
      </w:r>
      <w:r>
        <w:rPr>
          <w:sz w:val="22"/>
        </w:rPr>
        <w:t>”, and, among other things it noted:</w:t>
      </w:r>
    </w:p>
    <w:p>
      <w:pPr>
        <w:pStyle w:val="BodyText"/>
        <w:spacing w:before="8"/>
        <w:rPr>
          <w:sz w:val="20"/>
        </w:rPr>
      </w:pPr>
    </w:p>
    <w:p>
      <w:pPr>
        <w:pStyle w:val="ListParagraph"/>
        <w:numPr>
          <w:ilvl w:val="1"/>
          <w:numId w:val="33"/>
        </w:numPr>
        <w:tabs>
          <w:tab w:pos="1452" w:val="left" w:leader="none"/>
        </w:tabs>
        <w:spacing w:line="278" w:lineRule="auto" w:before="1" w:after="0"/>
        <w:ind w:left="1452" w:right="795" w:hanging="286"/>
        <w:jc w:val="both"/>
        <w:rPr>
          <w:sz w:val="22"/>
        </w:rPr>
      </w:pPr>
      <w:r>
        <w:rPr>
          <w:sz w:val="22"/>
        </w:rPr>
        <w:t>“</w:t>
      </w:r>
      <w:r>
        <w:rPr>
          <w:i/>
          <w:sz w:val="22"/>
        </w:rPr>
        <w:t>The</w:t>
      </w:r>
      <w:r>
        <w:rPr>
          <w:i/>
          <w:spacing w:val="-5"/>
          <w:sz w:val="22"/>
        </w:rPr>
        <w:t> </w:t>
      </w:r>
      <w:r>
        <w:rPr>
          <w:i/>
          <w:sz w:val="22"/>
        </w:rPr>
        <w:t>technical</w:t>
      </w:r>
      <w:r>
        <w:rPr>
          <w:i/>
          <w:spacing w:val="-4"/>
          <w:sz w:val="22"/>
        </w:rPr>
        <w:t> </w:t>
      </w:r>
      <w:r>
        <w:rPr>
          <w:i/>
          <w:sz w:val="22"/>
        </w:rPr>
        <w:t>areas</w:t>
      </w:r>
      <w:r>
        <w:rPr>
          <w:i/>
          <w:spacing w:val="-5"/>
          <w:sz w:val="22"/>
        </w:rPr>
        <w:t> </w:t>
      </w:r>
      <w:r>
        <w:rPr>
          <w:i/>
          <w:sz w:val="22"/>
        </w:rPr>
        <w:t>openly</w:t>
      </w:r>
      <w:r>
        <w:rPr>
          <w:i/>
          <w:spacing w:val="-2"/>
          <w:sz w:val="22"/>
        </w:rPr>
        <w:t> </w:t>
      </w:r>
      <w:r>
        <w:rPr>
          <w:i/>
          <w:sz w:val="22"/>
        </w:rPr>
        <w:t>spoke</w:t>
      </w:r>
      <w:r>
        <w:rPr>
          <w:i/>
          <w:spacing w:val="-3"/>
          <w:sz w:val="22"/>
        </w:rPr>
        <w:t> </w:t>
      </w:r>
      <w:r>
        <w:rPr>
          <w:i/>
          <w:sz w:val="22"/>
        </w:rPr>
        <w:t>about</w:t>
      </w:r>
      <w:r>
        <w:rPr>
          <w:i/>
          <w:spacing w:val="-4"/>
          <w:sz w:val="22"/>
        </w:rPr>
        <w:t> </w:t>
      </w:r>
      <w:r>
        <w:rPr>
          <w:i/>
          <w:sz w:val="22"/>
        </w:rPr>
        <w:t>working</w:t>
      </w:r>
      <w:r>
        <w:rPr>
          <w:i/>
          <w:spacing w:val="-5"/>
          <w:sz w:val="22"/>
        </w:rPr>
        <w:t> </w:t>
      </w:r>
      <w:r>
        <w:rPr>
          <w:i/>
          <w:sz w:val="22"/>
        </w:rPr>
        <w:t>in</w:t>
      </w:r>
      <w:r>
        <w:rPr>
          <w:i/>
          <w:spacing w:val="-3"/>
          <w:sz w:val="22"/>
        </w:rPr>
        <w:t> </w:t>
      </w:r>
      <w:r>
        <w:rPr>
          <w:i/>
          <w:sz w:val="22"/>
        </w:rPr>
        <w:t>‘silos’</w:t>
      </w:r>
      <w:r>
        <w:rPr>
          <w:i/>
          <w:spacing w:val="-8"/>
          <w:sz w:val="22"/>
        </w:rPr>
        <w:t> </w:t>
      </w:r>
      <w:r>
        <w:rPr>
          <w:i/>
          <w:sz w:val="22"/>
        </w:rPr>
        <w:t>or</w:t>
      </w:r>
      <w:r>
        <w:rPr>
          <w:i/>
          <w:spacing w:val="-2"/>
          <w:sz w:val="22"/>
        </w:rPr>
        <w:t> </w:t>
      </w:r>
      <w:r>
        <w:rPr>
          <w:i/>
          <w:sz w:val="22"/>
        </w:rPr>
        <w:t>in ‘stovepipes’,</w:t>
      </w:r>
      <w:r>
        <w:rPr>
          <w:i/>
          <w:spacing w:val="-1"/>
          <w:sz w:val="22"/>
        </w:rPr>
        <w:t> </w:t>
      </w:r>
      <w:r>
        <w:rPr>
          <w:i/>
          <w:sz w:val="22"/>
        </w:rPr>
        <w:t>which appeared</w:t>
      </w:r>
      <w:r>
        <w:rPr>
          <w:i/>
          <w:spacing w:val="-1"/>
          <w:sz w:val="22"/>
        </w:rPr>
        <w:t> </w:t>
      </w:r>
      <w:r>
        <w:rPr>
          <w:i/>
          <w:sz w:val="22"/>
        </w:rPr>
        <w:t>to</w:t>
      </w:r>
      <w:r>
        <w:rPr>
          <w:i/>
          <w:spacing w:val="-1"/>
          <w:sz w:val="22"/>
        </w:rPr>
        <w:t> </w:t>
      </w:r>
      <w:r>
        <w:rPr>
          <w:i/>
          <w:sz w:val="22"/>
        </w:rPr>
        <w:t>result in limited ‘sharing’</w:t>
      </w:r>
      <w:r>
        <w:rPr>
          <w:i/>
          <w:spacing w:val="-4"/>
          <w:sz w:val="22"/>
        </w:rPr>
        <w:t> </w:t>
      </w:r>
      <w:r>
        <w:rPr>
          <w:i/>
          <w:sz w:val="22"/>
        </w:rPr>
        <w:t>or ‘learning from others’</w:t>
      </w:r>
      <w:r>
        <w:rPr>
          <w:i/>
          <w:spacing w:val="-4"/>
          <w:sz w:val="22"/>
        </w:rPr>
        <w:t> </w:t>
      </w:r>
      <w:r>
        <w:rPr>
          <w:i/>
          <w:sz w:val="22"/>
        </w:rPr>
        <w:t>across</w:t>
      </w:r>
      <w:r>
        <w:rPr>
          <w:i/>
          <w:spacing w:val="-1"/>
          <w:sz w:val="22"/>
        </w:rPr>
        <w:t> </w:t>
      </w:r>
      <w:r>
        <w:rPr>
          <w:i/>
          <w:sz w:val="22"/>
        </w:rPr>
        <w:t>the</w:t>
      </w:r>
      <w:r>
        <w:rPr>
          <w:i/>
          <w:spacing w:val="-1"/>
          <w:sz w:val="22"/>
        </w:rPr>
        <w:t> </w:t>
      </w:r>
      <w:r>
        <w:rPr>
          <w:i/>
          <w:sz w:val="22"/>
        </w:rPr>
        <w:t>technical areas – noting regulatory requirements do differ between technical areas</w:t>
      </w:r>
      <w:r>
        <w:rPr>
          <w:sz w:val="22"/>
        </w:rPr>
        <w:t>.”</w:t>
      </w:r>
    </w:p>
    <w:p>
      <w:pPr>
        <w:pStyle w:val="BodyText"/>
        <w:spacing w:before="8"/>
        <w:rPr>
          <w:sz w:val="21"/>
        </w:rPr>
      </w:pPr>
    </w:p>
    <w:p>
      <w:pPr>
        <w:pStyle w:val="ListParagraph"/>
        <w:numPr>
          <w:ilvl w:val="1"/>
          <w:numId w:val="33"/>
        </w:numPr>
        <w:tabs>
          <w:tab w:pos="1452" w:val="left" w:leader="none"/>
        </w:tabs>
        <w:spacing w:line="268" w:lineRule="auto" w:before="0" w:after="0"/>
        <w:ind w:left="1452" w:right="698" w:hanging="286"/>
        <w:jc w:val="both"/>
        <w:rPr>
          <w:sz w:val="22"/>
        </w:rPr>
      </w:pPr>
      <w:r>
        <w:rPr>
          <w:sz w:val="22"/>
        </w:rPr>
        <w:t>“</w:t>
      </w:r>
      <w:r>
        <w:rPr>
          <w:i/>
          <w:sz w:val="22"/>
        </w:rPr>
        <w:t>Employees</w:t>
      </w:r>
      <w:r>
        <w:rPr>
          <w:i/>
          <w:spacing w:val="-5"/>
          <w:sz w:val="22"/>
        </w:rPr>
        <w:t> </w:t>
      </w:r>
      <w:r>
        <w:rPr>
          <w:i/>
          <w:sz w:val="22"/>
        </w:rPr>
        <w:t>(particularly</w:t>
      </w:r>
      <w:r>
        <w:rPr>
          <w:i/>
          <w:spacing w:val="-5"/>
          <w:sz w:val="22"/>
        </w:rPr>
        <w:t> </w:t>
      </w:r>
      <w:r>
        <w:rPr>
          <w:i/>
          <w:sz w:val="22"/>
        </w:rPr>
        <w:t>in</w:t>
      </w:r>
      <w:r>
        <w:rPr>
          <w:i/>
          <w:spacing w:val="-3"/>
          <w:sz w:val="22"/>
        </w:rPr>
        <w:t> </w:t>
      </w:r>
      <w:r>
        <w:rPr>
          <w:i/>
          <w:sz w:val="22"/>
        </w:rPr>
        <w:t>technical</w:t>
      </w:r>
      <w:r>
        <w:rPr>
          <w:i/>
          <w:spacing w:val="-4"/>
          <w:sz w:val="22"/>
        </w:rPr>
        <w:t> </w:t>
      </w:r>
      <w:r>
        <w:rPr>
          <w:i/>
          <w:sz w:val="22"/>
        </w:rPr>
        <w:t>areas)</w:t>
      </w:r>
      <w:r>
        <w:rPr>
          <w:i/>
          <w:spacing w:val="-4"/>
          <w:sz w:val="22"/>
        </w:rPr>
        <w:t> </w:t>
      </w:r>
      <w:r>
        <w:rPr>
          <w:i/>
          <w:sz w:val="22"/>
        </w:rPr>
        <w:t>either</w:t>
      </w:r>
      <w:r>
        <w:rPr>
          <w:i/>
          <w:spacing w:val="-4"/>
          <w:sz w:val="22"/>
        </w:rPr>
        <w:t> </w:t>
      </w:r>
      <w:r>
        <w:rPr>
          <w:i/>
          <w:sz w:val="22"/>
        </w:rPr>
        <w:t>had</w:t>
      </w:r>
      <w:r>
        <w:rPr>
          <w:i/>
          <w:spacing w:val="-3"/>
          <w:sz w:val="22"/>
        </w:rPr>
        <w:t> </w:t>
      </w:r>
      <w:r>
        <w:rPr>
          <w:i/>
          <w:sz w:val="22"/>
        </w:rPr>
        <w:t>little</w:t>
      </w:r>
      <w:r>
        <w:rPr>
          <w:i/>
          <w:spacing w:val="-5"/>
          <w:sz w:val="22"/>
        </w:rPr>
        <w:t> </w:t>
      </w:r>
      <w:r>
        <w:rPr>
          <w:i/>
          <w:sz w:val="22"/>
        </w:rPr>
        <w:t>opportunity</w:t>
      </w:r>
      <w:r>
        <w:rPr>
          <w:i/>
          <w:spacing w:val="-5"/>
          <w:sz w:val="22"/>
        </w:rPr>
        <w:t> </w:t>
      </w:r>
      <w:r>
        <w:rPr>
          <w:i/>
          <w:sz w:val="22"/>
        </w:rPr>
        <w:t>or</w:t>
      </w:r>
      <w:r>
        <w:rPr>
          <w:i/>
          <w:spacing w:val="-6"/>
          <w:sz w:val="22"/>
        </w:rPr>
        <w:t> </w:t>
      </w:r>
      <w:r>
        <w:rPr>
          <w:i/>
          <w:sz w:val="22"/>
        </w:rPr>
        <w:t>displayed little desire or need to understand the workings of other Divisions and teams</w:t>
      </w:r>
      <w:r>
        <w:rPr>
          <w:sz w:val="22"/>
        </w:rPr>
        <w:t>.”</w:t>
      </w:r>
    </w:p>
    <w:p>
      <w:pPr>
        <w:pStyle w:val="BodyText"/>
        <w:spacing w:before="8"/>
      </w:pPr>
    </w:p>
    <w:p>
      <w:pPr>
        <w:pStyle w:val="ListParagraph"/>
        <w:numPr>
          <w:ilvl w:val="1"/>
          <w:numId w:val="33"/>
        </w:numPr>
        <w:tabs>
          <w:tab w:pos="1452" w:val="left" w:leader="none"/>
        </w:tabs>
        <w:spacing w:line="278" w:lineRule="auto" w:before="0" w:after="0"/>
        <w:ind w:left="1452" w:right="592" w:hanging="286"/>
        <w:jc w:val="left"/>
        <w:rPr>
          <w:sz w:val="22"/>
        </w:rPr>
      </w:pPr>
      <w:r>
        <w:rPr>
          <w:sz w:val="22"/>
        </w:rPr>
        <w:t>“</w:t>
      </w:r>
      <w:r>
        <w:rPr>
          <w:i/>
          <w:sz w:val="22"/>
        </w:rPr>
        <w:t>ESV</w:t>
      </w:r>
      <w:r>
        <w:rPr>
          <w:i/>
          <w:spacing w:val="-2"/>
          <w:sz w:val="22"/>
        </w:rPr>
        <w:t> </w:t>
      </w:r>
      <w:r>
        <w:rPr>
          <w:i/>
          <w:sz w:val="22"/>
        </w:rPr>
        <w:t>appears</w:t>
      </w:r>
      <w:r>
        <w:rPr>
          <w:i/>
          <w:spacing w:val="-3"/>
          <w:sz w:val="22"/>
        </w:rPr>
        <w:t> </w:t>
      </w:r>
      <w:r>
        <w:rPr>
          <w:i/>
          <w:sz w:val="22"/>
        </w:rPr>
        <w:t>to</w:t>
      </w:r>
      <w:r>
        <w:rPr>
          <w:i/>
          <w:spacing w:val="-4"/>
          <w:sz w:val="22"/>
        </w:rPr>
        <w:t> </w:t>
      </w:r>
      <w:r>
        <w:rPr>
          <w:i/>
          <w:sz w:val="22"/>
        </w:rPr>
        <w:t>be</w:t>
      </w:r>
      <w:r>
        <w:rPr>
          <w:i/>
          <w:spacing w:val="-2"/>
          <w:sz w:val="22"/>
        </w:rPr>
        <w:t> </w:t>
      </w:r>
      <w:r>
        <w:rPr>
          <w:i/>
          <w:sz w:val="22"/>
        </w:rPr>
        <w:t>primarily</w:t>
      </w:r>
      <w:r>
        <w:rPr>
          <w:i/>
          <w:spacing w:val="-1"/>
          <w:sz w:val="22"/>
        </w:rPr>
        <w:t> </w:t>
      </w:r>
      <w:r>
        <w:rPr>
          <w:i/>
          <w:sz w:val="22"/>
        </w:rPr>
        <w:t>run</w:t>
      </w:r>
      <w:r>
        <w:rPr>
          <w:i/>
          <w:spacing w:val="-2"/>
          <w:sz w:val="22"/>
        </w:rPr>
        <w:t> </w:t>
      </w:r>
      <w:r>
        <w:rPr>
          <w:i/>
          <w:sz w:val="22"/>
        </w:rPr>
        <w:t>as</w:t>
      </w:r>
      <w:r>
        <w:rPr>
          <w:i/>
          <w:spacing w:val="-1"/>
          <w:sz w:val="22"/>
        </w:rPr>
        <w:t> </w:t>
      </w:r>
      <w:r>
        <w:rPr>
          <w:i/>
          <w:sz w:val="22"/>
        </w:rPr>
        <w:t>a</w:t>
      </w:r>
      <w:r>
        <w:rPr>
          <w:i/>
          <w:spacing w:val="-4"/>
          <w:sz w:val="22"/>
        </w:rPr>
        <w:t> </w:t>
      </w:r>
      <w:r>
        <w:rPr>
          <w:i/>
          <w:sz w:val="22"/>
        </w:rPr>
        <w:t>series</w:t>
      </w:r>
      <w:r>
        <w:rPr>
          <w:i/>
          <w:spacing w:val="-4"/>
          <w:sz w:val="22"/>
        </w:rPr>
        <w:t> </w:t>
      </w:r>
      <w:r>
        <w:rPr>
          <w:i/>
          <w:sz w:val="22"/>
        </w:rPr>
        <w:t>of</w:t>
      </w:r>
      <w:r>
        <w:rPr>
          <w:i/>
          <w:spacing w:val="-3"/>
          <w:sz w:val="22"/>
        </w:rPr>
        <w:t> </w:t>
      </w:r>
      <w:r>
        <w:rPr>
          <w:i/>
          <w:sz w:val="22"/>
        </w:rPr>
        <w:t>multi-bilateral</w:t>
      </w:r>
      <w:r>
        <w:rPr>
          <w:i/>
          <w:spacing w:val="-3"/>
          <w:sz w:val="22"/>
        </w:rPr>
        <w:t> </w:t>
      </w:r>
      <w:r>
        <w:rPr>
          <w:i/>
          <w:sz w:val="22"/>
        </w:rPr>
        <w:t>dialogues</w:t>
      </w:r>
      <w:r>
        <w:rPr>
          <w:i/>
          <w:spacing w:val="-1"/>
          <w:sz w:val="22"/>
        </w:rPr>
        <w:t> </w:t>
      </w:r>
      <w:r>
        <w:rPr>
          <w:i/>
          <w:sz w:val="22"/>
        </w:rPr>
        <w:t>between</w:t>
      </w:r>
      <w:r>
        <w:rPr>
          <w:i/>
          <w:spacing w:val="-4"/>
          <w:sz w:val="22"/>
        </w:rPr>
        <w:t> </w:t>
      </w:r>
      <w:r>
        <w:rPr>
          <w:i/>
          <w:sz w:val="22"/>
        </w:rPr>
        <w:t>the DoES and his direct reports, despite regular meetings of the technical Divisions and full executive.</w:t>
      </w:r>
      <w:r>
        <w:rPr>
          <w:sz w:val="22"/>
        </w:rPr>
        <w:t>” (Marchment Hill Consulting, 2016, p. 15)</w:t>
      </w:r>
    </w:p>
    <w:p>
      <w:pPr>
        <w:pStyle w:val="BodyText"/>
        <w:spacing w:before="5"/>
        <w:rPr>
          <w:sz w:val="23"/>
        </w:rPr>
      </w:pPr>
    </w:p>
    <w:p>
      <w:pPr>
        <w:pStyle w:val="ListParagraph"/>
        <w:numPr>
          <w:ilvl w:val="0"/>
          <w:numId w:val="33"/>
        </w:numPr>
        <w:tabs>
          <w:tab w:pos="1025" w:val="left" w:leader="none"/>
          <w:tab w:pos="1027" w:val="left" w:leader="none"/>
        </w:tabs>
        <w:spacing w:line="288" w:lineRule="auto" w:before="0" w:after="0"/>
        <w:ind w:left="1027" w:right="886" w:hanging="286"/>
        <w:jc w:val="left"/>
        <w:rPr>
          <w:sz w:val="22"/>
        </w:rPr>
      </w:pPr>
      <w:r>
        <w:rPr>
          <w:b/>
          <w:sz w:val="22"/>
        </w:rPr>
        <w:t>strategic foundations </w:t>
      </w:r>
      <w:r>
        <w:rPr>
          <w:sz w:val="22"/>
        </w:rPr>
        <w:t>— Marchment Hill concluded that “</w:t>
      </w:r>
      <w:r>
        <w:rPr>
          <w:i/>
          <w:sz w:val="22"/>
        </w:rPr>
        <w:t>aspects of ESV’s strategy, which</w:t>
      </w:r>
      <w:r>
        <w:rPr>
          <w:i/>
          <w:spacing w:val="-6"/>
          <w:sz w:val="22"/>
        </w:rPr>
        <w:t> </w:t>
      </w:r>
      <w:r>
        <w:rPr>
          <w:i/>
          <w:sz w:val="22"/>
        </w:rPr>
        <w:t>would</w:t>
      </w:r>
      <w:r>
        <w:rPr>
          <w:i/>
          <w:spacing w:val="-4"/>
          <w:sz w:val="22"/>
        </w:rPr>
        <w:t> </w:t>
      </w:r>
      <w:r>
        <w:rPr>
          <w:i/>
          <w:sz w:val="22"/>
        </w:rPr>
        <w:t>guide</w:t>
      </w:r>
      <w:r>
        <w:rPr>
          <w:i/>
          <w:spacing w:val="-4"/>
          <w:sz w:val="22"/>
        </w:rPr>
        <w:t> </w:t>
      </w:r>
      <w:r>
        <w:rPr>
          <w:i/>
          <w:sz w:val="22"/>
        </w:rPr>
        <w:t>organisational</w:t>
      </w:r>
      <w:r>
        <w:rPr>
          <w:i/>
          <w:spacing w:val="-4"/>
          <w:sz w:val="22"/>
        </w:rPr>
        <w:t> </w:t>
      </w:r>
      <w:r>
        <w:rPr>
          <w:i/>
          <w:sz w:val="22"/>
        </w:rPr>
        <w:t>design</w:t>
      </w:r>
      <w:r>
        <w:rPr>
          <w:i/>
          <w:spacing w:val="-4"/>
          <w:sz w:val="22"/>
        </w:rPr>
        <w:t> </w:t>
      </w:r>
      <w:r>
        <w:rPr>
          <w:i/>
          <w:sz w:val="22"/>
        </w:rPr>
        <w:t>could</w:t>
      </w:r>
      <w:r>
        <w:rPr>
          <w:i/>
          <w:spacing w:val="-4"/>
          <w:sz w:val="22"/>
        </w:rPr>
        <w:t> </w:t>
      </w:r>
      <w:r>
        <w:rPr>
          <w:i/>
          <w:sz w:val="22"/>
        </w:rPr>
        <w:t>be</w:t>
      </w:r>
      <w:r>
        <w:rPr>
          <w:i/>
          <w:spacing w:val="-6"/>
          <w:sz w:val="22"/>
        </w:rPr>
        <w:t> </w:t>
      </w:r>
      <w:r>
        <w:rPr>
          <w:i/>
          <w:sz w:val="22"/>
        </w:rPr>
        <w:t>further</w:t>
      </w:r>
      <w:r>
        <w:rPr>
          <w:i/>
          <w:spacing w:val="-3"/>
          <w:sz w:val="22"/>
        </w:rPr>
        <w:t> </w:t>
      </w:r>
      <w:r>
        <w:rPr>
          <w:i/>
          <w:sz w:val="22"/>
        </w:rPr>
        <w:t>developed,</w:t>
      </w:r>
      <w:r>
        <w:rPr>
          <w:i/>
          <w:spacing w:val="-2"/>
          <w:sz w:val="22"/>
        </w:rPr>
        <w:t> </w:t>
      </w:r>
      <w:r>
        <w:rPr>
          <w:i/>
          <w:sz w:val="22"/>
        </w:rPr>
        <w:t>better</w:t>
      </w:r>
      <w:r>
        <w:rPr>
          <w:i/>
          <w:spacing w:val="-3"/>
          <w:sz w:val="22"/>
        </w:rPr>
        <w:t> </w:t>
      </w:r>
      <w:r>
        <w:rPr>
          <w:i/>
          <w:sz w:val="22"/>
        </w:rPr>
        <w:t>supported and better understood</w:t>
      </w:r>
      <w:r>
        <w:rPr>
          <w:sz w:val="22"/>
        </w:rPr>
        <w:t>”.</w:t>
      </w:r>
    </w:p>
    <w:p>
      <w:pPr>
        <w:spacing w:after="0" w:line="288" w:lineRule="auto"/>
        <w:jc w:val="left"/>
        <w:rPr>
          <w:sz w:val="22"/>
        </w:rPr>
        <w:sectPr>
          <w:pgSz w:w="11910" w:h="16840"/>
          <w:pgMar w:header="887" w:footer="1228" w:top="1080" w:bottom="1500" w:left="840" w:right="820"/>
        </w:sectPr>
      </w:pPr>
    </w:p>
    <w:p>
      <w:pPr>
        <w:pStyle w:val="BodyText"/>
        <w:rPr>
          <w:sz w:val="20"/>
        </w:rPr>
      </w:pPr>
      <w:r>
        <w:rPr/>
        <mc:AlternateContent>
          <mc:Choice Requires="wps">
            <w:drawing>
              <wp:anchor distT="0" distB="0" distL="0" distR="0" allowOverlap="1" layoutInCell="1" locked="0" behindDoc="1" simplePos="0" relativeHeight="482705920">
                <wp:simplePos x="0" y="0"/>
                <wp:positionH relativeFrom="page">
                  <wp:posOffset>914704</wp:posOffset>
                </wp:positionH>
                <wp:positionV relativeFrom="page">
                  <wp:posOffset>1145996</wp:posOffset>
                </wp:positionV>
                <wp:extent cx="5851525" cy="8555990"/>
                <wp:effectExtent l="0" t="0" r="0" b="0"/>
                <wp:wrapNone/>
                <wp:docPr id="108" name="Graphic 108"/>
                <wp:cNvGraphicFramePr>
                  <a:graphicFrameLocks/>
                </wp:cNvGraphicFramePr>
                <a:graphic>
                  <a:graphicData uri="http://schemas.microsoft.com/office/word/2010/wordprocessingShape">
                    <wps:wsp>
                      <wps:cNvPr id="108" name="Graphic 108"/>
                      <wps:cNvSpPr/>
                      <wps:spPr>
                        <a:xfrm>
                          <a:off x="0" y="0"/>
                          <a:ext cx="5851525" cy="8555990"/>
                        </a:xfrm>
                        <a:custGeom>
                          <a:avLst/>
                          <a:gdLst/>
                          <a:ahLst/>
                          <a:cxnLst/>
                          <a:rect l="l" t="t" r="r" b="b"/>
                          <a:pathLst>
                            <a:path w="5851525" h="8555990">
                              <a:moveTo>
                                <a:pt x="5851525" y="0"/>
                              </a:moveTo>
                              <a:lnTo>
                                <a:pt x="0" y="0"/>
                              </a:lnTo>
                              <a:lnTo>
                                <a:pt x="0" y="6096"/>
                              </a:lnTo>
                              <a:lnTo>
                                <a:pt x="0" y="498652"/>
                              </a:lnTo>
                              <a:lnTo>
                                <a:pt x="0" y="8555482"/>
                              </a:lnTo>
                              <a:lnTo>
                                <a:pt x="5732653" y="8555482"/>
                              </a:lnTo>
                              <a:lnTo>
                                <a:pt x="5732653" y="498652"/>
                              </a:lnTo>
                              <a:lnTo>
                                <a:pt x="5851525" y="498652"/>
                              </a:lnTo>
                              <a:lnTo>
                                <a:pt x="5851525" y="0"/>
                              </a:lnTo>
                              <a:close/>
                            </a:path>
                          </a:pathLst>
                        </a:custGeom>
                        <a:solidFill>
                          <a:srgbClr val="CEEBEB"/>
                        </a:solidFill>
                      </wps:spPr>
                      <wps:bodyPr wrap="square" lIns="0" tIns="0" rIns="0" bIns="0" rtlCol="0">
                        <a:prstTxWarp prst="textNoShape">
                          <a:avLst/>
                        </a:prstTxWarp>
                        <a:noAutofit/>
                      </wps:bodyPr>
                    </wps:wsp>
                  </a:graphicData>
                </a:graphic>
              </wp:anchor>
            </w:drawing>
          </mc:Choice>
          <mc:Fallback>
            <w:pict>
              <v:shape style="position:absolute;margin-left:72.024002pt;margin-top:90.235947pt;width:460.75pt;height:673.7pt;mso-position-horizontal-relative:page;mso-position-vertical-relative:page;z-index:-20610560" id="docshape93" coordorigin="1440,1805" coordsize="9215,13474" path="m10655,1805l1440,1805,1440,1814,1440,2590,1440,15278,10468,15278,10468,2590,10655,2590,10655,1805xe" filled="true" fillcolor="#ceebeb" stroked="false">
                <v:path arrowok="t"/>
                <v:fill type="solid"/>
                <w10:wrap type="none"/>
              </v:shape>
            </w:pict>
          </mc:Fallback>
        </mc:AlternateContent>
      </w:r>
    </w:p>
    <w:p>
      <w:pPr>
        <w:pStyle w:val="BodyText"/>
        <w:rPr>
          <w:sz w:val="20"/>
        </w:rPr>
      </w:pPr>
    </w:p>
    <w:p>
      <w:pPr>
        <w:pStyle w:val="BodyText"/>
        <w:rPr>
          <w:sz w:val="20"/>
        </w:rPr>
      </w:pPr>
    </w:p>
    <w:p>
      <w:pPr>
        <w:pStyle w:val="BodyText"/>
        <w:rPr>
          <w:sz w:val="16"/>
        </w:rPr>
      </w:pPr>
    </w:p>
    <w:p>
      <w:pPr>
        <w:pStyle w:val="Heading7"/>
        <w:spacing w:before="93"/>
        <w:ind w:left="662"/>
      </w:pPr>
      <w:r>
        <w:rPr/>
        <w:t>Box</w:t>
      </w:r>
      <w:r>
        <w:rPr>
          <w:spacing w:val="-3"/>
        </w:rPr>
        <w:t> </w:t>
      </w:r>
      <w:r>
        <w:rPr/>
        <w:t>8:</w:t>
      </w:r>
      <w:r>
        <w:rPr>
          <w:spacing w:val="-4"/>
        </w:rPr>
        <w:t> </w:t>
      </w:r>
      <w:r>
        <w:rPr/>
        <w:t>The</w:t>
      </w:r>
      <w:r>
        <w:rPr>
          <w:spacing w:val="-3"/>
        </w:rPr>
        <w:t> </w:t>
      </w:r>
      <w:r>
        <w:rPr/>
        <w:t>Huegin</w:t>
      </w:r>
      <w:r>
        <w:rPr>
          <w:spacing w:val="-2"/>
        </w:rPr>
        <w:t> Review</w:t>
      </w:r>
    </w:p>
    <w:p>
      <w:pPr>
        <w:pStyle w:val="BodyText"/>
        <w:spacing w:before="5"/>
        <w:rPr>
          <w:b/>
          <w:sz w:val="25"/>
        </w:rPr>
      </w:pPr>
    </w:p>
    <w:p>
      <w:pPr>
        <w:pStyle w:val="BodyText"/>
        <w:spacing w:line="288" w:lineRule="auto"/>
        <w:ind w:left="713" w:right="713"/>
      </w:pPr>
      <w:r>
        <w:rPr/>
        <w:t>Following the Marchment Hill report in February 2016 (above), the Director of Energy Safety commissioned a further Functional Review by Huegin Consulting. Huegin reported its</w:t>
      </w:r>
      <w:r>
        <w:rPr>
          <w:spacing w:val="-5"/>
        </w:rPr>
        <w:t> </w:t>
      </w:r>
      <w:r>
        <w:rPr/>
        <w:t>findings</w:t>
      </w:r>
      <w:r>
        <w:rPr>
          <w:spacing w:val="-2"/>
        </w:rPr>
        <w:t> </w:t>
      </w:r>
      <w:r>
        <w:rPr/>
        <w:t>in</w:t>
      </w:r>
      <w:r>
        <w:rPr>
          <w:spacing w:val="-5"/>
        </w:rPr>
        <w:t> </w:t>
      </w:r>
      <w:r>
        <w:rPr/>
        <w:t>June</w:t>
      </w:r>
      <w:r>
        <w:rPr>
          <w:spacing w:val="-3"/>
        </w:rPr>
        <w:t> </w:t>
      </w:r>
      <w:r>
        <w:rPr/>
        <w:t>2016,</w:t>
      </w:r>
      <w:r>
        <w:rPr>
          <w:spacing w:val="-4"/>
        </w:rPr>
        <w:t> </w:t>
      </w:r>
      <w:r>
        <w:rPr/>
        <w:t>drawing</w:t>
      </w:r>
      <w:r>
        <w:rPr>
          <w:spacing w:val="-1"/>
        </w:rPr>
        <w:t> </w:t>
      </w:r>
      <w:r>
        <w:rPr/>
        <w:t>on</w:t>
      </w:r>
      <w:r>
        <w:rPr>
          <w:spacing w:val="-5"/>
        </w:rPr>
        <w:t> </w:t>
      </w:r>
      <w:r>
        <w:rPr/>
        <w:t>insights</w:t>
      </w:r>
      <w:r>
        <w:rPr>
          <w:spacing w:val="-5"/>
        </w:rPr>
        <w:t> </w:t>
      </w:r>
      <w:r>
        <w:rPr/>
        <w:t>from</w:t>
      </w:r>
      <w:r>
        <w:rPr>
          <w:spacing w:val="-4"/>
        </w:rPr>
        <w:t> </w:t>
      </w:r>
      <w:r>
        <w:rPr/>
        <w:t>interviews with</w:t>
      </w:r>
      <w:r>
        <w:rPr>
          <w:spacing w:val="-3"/>
        </w:rPr>
        <w:t> </w:t>
      </w:r>
      <w:r>
        <w:rPr/>
        <w:t>ESV’s</w:t>
      </w:r>
      <w:r>
        <w:rPr>
          <w:spacing w:val="-2"/>
        </w:rPr>
        <w:t> </w:t>
      </w:r>
      <w:r>
        <w:rPr/>
        <w:t>management</w:t>
      </w:r>
      <w:r>
        <w:rPr>
          <w:spacing w:val="-4"/>
        </w:rPr>
        <w:t> </w:t>
      </w:r>
      <w:r>
        <w:rPr/>
        <w:t>and </w:t>
      </w:r>
      <w:r>
        <w:rPr>
          <w:spacing w:val="-2"/>
        </w:rPr>
        <w:t>staff.</w:t>
      </w:r>
    </w:p>
    <w:p>
      <w:pPr>
        <w:pStyle w:val="BodyText"/>
        <w:spacing w:before="10"/>
        <w:rPr>
          <w:sz w:val="20"/>
        </w:rPr>
      </w:pPr>
    </w:p>
    <w:p>
      <w:pPr>
        <w:pStyle w:val="BodyText"/>
        <w:spacing w:line="288" w:lineRule="auto"/>
        <w:ind w:left="713" w:right="311"/>
      </w:pPr>
      <w:r>
        <w:rPr/>
        <w:t>Huegin</w:t>
      </w:r>
      <w:r>
        <w:rPr>
          <w:spacing w:val="-3"/>
        </w:rPr>
        <w:t> </w:t>
      </w:r>
      <w:r>
        <w:rPr/>
        <w:t>considered</w:t>
      </w:r>
      <w:r>
        <w:rPr>
          <w:spacing w:val="-3"/>
        </w:rPr>
        <w:t> </w:t>
      </w:r>
      <w:r>
        <w:rPr/>
        <w:t>ESV’s</w:t>
      </w:r>
      <w:r>
        <w:rPr>
          <w:spacing w:val="-2"/>
        </w:rPr>
        <w:t> </w:t>
      </w:r>
      <w:r>
        <w:rPr/>
        <w:t>“value</w:t>
      </w:r>
      <w:r>
        <w:rPr>
          <w:spacing w:val="-3"/>
        </w:rPr>
        <w:t> </w:t>
      </w:r>
      <w:r>
        <w:rPr/>
        <w:t>proposition”</w:t>
      </w:r>
      <w:r>
        <w:rPr>
          <w:spacing w:val="-2"/>
        </w:rPr>
        <w:t> </w:t>
      </w:r>
      <w:r>
        <w:rPr/>
        <w:t>in</w:t>
      </w:r>
      <w:r>
        <w:rPr>
          <w:spacing w:val="-5"/>
        </w:rPr>
        <w:t> </w:t>
      </w:r>
      <w:r>
        <w:rPr/>
        <w:t>managing</w:t>
      </w:r>
      <w:r>
        <w:rPr>
          <w:spacing w:val="-3"/>
        </w:rPr>
        <w:t> </w:t>
      </w:r>
      <w:r>
        <w:rPr/>
        <w:t>safety</w:t>
      </w:r>
      <w:r>
        <w:rPr>
          <w:spacing w:val="-4"/>
        </w:rPr>
        <w:t> </w:t>
      </w:r>
      <w:r>
        <w:rPr/>
        <w:t>risk</w:t>
      </w:r>
      <w:r>
        <w:rPr>
          <w:spacing w:val="-2"/>
        </w:rPr>
        <w:t> </w:t>
      </w:r>
      <w:r>
        <w:rPr/>
        <w:t>on</w:t>
      </w:r>
      <w:r>
        <w:rPr>
          <w:spacing w:val="-5"/>
        </w:rPr>
        <w:t> </w:t>
      </w:r>
      <w:r>
        <w:rPr/>
        <w:t>behalf</w:t>
      </w:r>
      <w:r>
        <w:rPr>
          <w:spacing w:val="-1"/>
        </w:rPr>
        <w:t> </w:t>
      </w:r>
      <w:r>
        <w:rPr/>
        <w:t>of</w:t>
      </w:r>
      <w:r>
        <w:rPr>
          <w:spacing w:val="-1"/>
        </w:rPr>
        <w:t> </w:t>
      </w:r>
      <w:r>
        <w:rPr/>
        <w:t>the community and undertook an “Integrated Definition Mapping” exercise.</w:t>
      </w:r>
    </w:p>
    <w:p>
      <w:pPr>
        <w:pStyle w:val="BodyText"/>
        <w:spacing w:before="10"/>
        <w:rPr>
          <w:sz w:val="20"/>
        </w:rPr>
      </w:pPr>
    </w:p>
    <w:p>
      <w:pPr>
        <w:pStyle w:val="BodyText"/>
        <w:spacing w:line="288" w:lineRule="auto"/>
        <w:ind w:left="713" w:right="910"/>
      </w:pPr>
      <w:r>
        <w:rPr/>
        <w:t>As</w:t>
      </w:r>
      <w:r>
        <w:rPr>
          <w:spacing w:val="-3"/>
        </w:rPr>
        <w:t> </w:t>
      </w:r>
      <w:r>
        <w:rPr/>
        <w:t>“areas</w:t>
      </w:r>
      <w:r>
        <w:rPr>
          <w:spacing w:val="-3"/>
        </w:rPr>
        <w:t> </w:t>
      </w:r>
      <w:r>
        <w:rPr/>
        <w:t>of</w:t>
      </w:r>
      <w:r>
        <w:rPr>
          <w:spacing w:val="-2"/>
        </w:rPr>
        <w:t> </w:t>
      </w:r>
      <w:r>
        <w:rPr/>
        <w:t>opportunity”,</w:t>
      </w:r>
      <w:r>
        <w:rPr>
          <w:spacing w:val="-2"/>
        </w:rPr>
        <w:t> </w:t>
      </w:r>
      <w:r>
        <w:rPr/>
        <w:t>Huegin</w:t>
      </w:r>
      <w:r>
        <w:rPr>
          <w:spacing w:val="-4"/>
        </w:rPr>
        <w:t> </w:t>
      </w:r>
      <w:r>
        <w:rPr/>
        <w:t>identified</w:t>
      </w:r>
      <w:r>
        <w:rPr>
          <w:spacing w:val="-6"/>
        </w:rPr>
        <w:t> </w:t>
      </w:r>
      <w:r>
        <w:rPr/>
        <w:t>that</w:t>
      </w:r>
      <w:r>
        <w:rPr>
          <w:spacing w:val="-5"/>
        </w:rPr>
        <w:t> </w:t>
      </w:r>
      <w:r>
        <w:rPr/>
        <w:t>risk</w:t>
      </w:r>
      <w:r>
        <w:rPr>
          <w:spacing w:val="-3"/>
        </w:rPr>
        <w:t> </w:t>
      </w:r>
      <w:r>
        <w:rPr/>
        <w:t>management</w:t>
      </w:r>
      <w:r>
        <w:rPr>
          <w:spacing w:val="-2"/>
        </w:rPr>
        <w:t> </w:t>
      </w:r>
      <w:r>
        <w:rPr/>
        <w:t>and</w:t>
      </w:r>
      <w:r>
        <w:rPr>
          <w:spacing w:val="-6"/>
        </w:rPr>
        <w:t> </w:t>
      </w:r>
      <w:r>
        <w:rPr/>
        <w:t>accountable decision making were functions that could be made more robust.</w:t>
      </w:r>
    </w:p>
    <w:p>
      <w:pPr>
        <w:pStyle w:val="BodyText"/>
        <w:spacing w:before="10"/>
        <w:rPr>
          <w:sz w:val="20"/>
        </w:rPr>
      </w:pPr>
    </w:p>
    <w:p>
      <w:pPr>
        <w:pStyle w:val="Heading8"/>
        <w:spacing w:before="1"/>
        <w:ind w:left="713"/>
      </w:pPr>
      <w:r>
        <w:rPr/>
        <w:t>Risk</w:t>
      </w:r>
      <w:r>
        <w:rPr>
          <w:spacing w:val="-3"/>
        </w:rPr>
        <w:t> </w:t>
      </w:r>
      <w:r>
        <w:rPr>
          <w:spacing w:val="-2"/>
        </w:rPr>
        <w:t>management</w:t>
      </w:r>
    </w:p>
    <w:p>
      <w:pPr>
        <w:pStyle w:val="BodyText"/>
        <w:spacing w:line="288" w:lineRule="auto" w:before="169"/>
        <w:ind w:left="713" w:right="910"/>
      </w:pPr>
      <w:r>
        <w:rPr/>
        <w:t>Huegin</w:t>
      </w:r>
      <w:r>
        <w:rPr>
          <w:spacing w:val="-2"/>
        </w:rPr>
        <w:t> </w:t>
      </w:r>
      <w:r>
        <w:rPr/>
        <w:t>identified</w:t>
      </w:r>
      <w:r>
        <w:rPr>
          <w:spacing w:val="-4"/>
        </w:rPr>
        <w:t> </w:t>
      </w:r>
      <w:r>
        <w:rPr/>
        <w:t>effective</w:t>
      </w:r>
      <w:r>
        <w:rPr>
          <w:spacing w:val="-2"/>
        </w:rPr>
        <w:t> </w:t>
      </w:r>
      <w:r>
        <w:rPr/>
        <w:t>risk</w:t>
      </w:r>
      <w:r>
        <w:rPr>
          <w:spacing w:val="-1"/>
        </w:rPr>
        <w:t> </w:t>
      </w:r>
      <w:r>
        <w:rPr/>
        <w:t>management</w:t>
      </w:r>
      <w:r>
        <w:rPr>
          <w:spacing w:val="-3"/>
        </w:rPr>
        <w:t> </w:t>
      </w:r>
      <w:r>
        <w:rPr/>
        <w:t>as</w:t>
      </w:r>
      <w:r>
        <w:rPr>
          <w:spacing w:val="-4"/>
        </w:rPr>
        <w:t> </w:t>
      </w:r>
      <w:r>
        <w:rPr/>
        <w:t>an</w:t>
      </w:r>
      <w:r>
        <w:rPr>
          <w:spacing w:val="-2"/>
        </w:rPr>
        <w:t> </w:t>
      </w:r>
      <w:r>
        <w:rPr/>
        <w:t>essential</w:t>
      </w:r>
      <w:r>
        <w:rPr>
          <w:spacing w:val="-5"/>
        </w:rPr>
        <w:t> </w:t>
      </w:r>
      <w:r>
        <w:rPr/>
        <w:t>requirement</w:t>
      </w:r>
      <w:r>
        <w:rPr>
          <w:spacing w:val="-5"/>
        </w:rPr>
        <w:t> </w:t>
      </w:r>
      <w:r>
        <w:rPr/>
        <w:t>for</w:t>
      </w:r>
      <w:r>
        <w:rPr>
          <w:spacing w:val="-1"/>
        </w:rPr>
        <w:t> </w:t>
      </w:r>
      <w:r>
        <w:rPr/>
        <w:t>ESV.</w:t>
      </w:r>
      <w:r>
        <w:rPr>
          <w:spacing w:val="-5"/>
        </w:rPr>
        <w:t> </w:t>
      </w:r>
      <w:r>
        <w:rPr/>
        <w:t>There are a number of elements that are required for the effective management of technical safety risk. These elements are:</w:t>
      </w:r>
    </w:p>
    <w:p>
      <w:pPr>
        <w:pStyle w:val="BodyText"/>
        <w:spacing w:before="5"/>
      </w:pPr>
    </w:p>
    <w:p>
      <w:pPr>
        <w:pStyle w:val="ListParagraph"/>
        <w:numPr>
          <w:ilvl w:val="0"/>
          <w:numId w:val="33"/>
        </w:numPr>
        <w:tabs>
          <w:tab w:pos="1070" w:val="left" w:leader="none"/>
        </w:tabs>
        <w:spacing w:line="240" w:lineRule="auto" w:before="0" w:after="0"/>
        <w:ind w:left="1070" w:right="0" w:hanging="357"/>
        <w:jc w:val="left"/>
        <w:rPr>
          <w:i/>
          <w:sz w:val="22"/>
        </w:rPr>
      </w:pPr>
      <w:r>
        <w:rPr>
          <w:i/>
          <w:sz w:val="22"/>
        </w:rPr>
        <w:t>“A</w:t>
      </w:r>
      <w:r>
        <w:rPr>
          <w:i/>
          <w:spacing w:val="-3"/>
          <w:sz w:val="22"/>
        </w:rPr>
        <w:t> </w:t>
      </w:r>
      <w:r>
        <w:rPr>
          <w:i/>
          <w:sz w:val="22"/>
        </w:rPr>
        <w:t>list of</w:t>
      </w:r>
      <w:r>
        <w:rPr>
          <w:i/>
          <w:spacing w:val="-3"/>
          <w:sz w:val="22"/>
        </w:rPr>
        <w:t> </w:t>
      </w:r>
      <w:r>
        <w:rPr>
          <w:i/>
          <w:sz w:val="22"/>
        </w:rPr>
        <w:t>risks</w:t>
      </w:r>
      <w:r>
        <w:rPr>
          <w:i/>
          <w:spacing w:val="-5"/>
          <w:sz w:val="22"/>
        </w:rPr>
        <w:t> </w:t>
      </w:r>
      <w:r>
        <w:rPr>
          <w:i/>
          <w:sz w:val="22"/>
        </w:rPr>
        <w:t>that are</w:t>
      </w:r>
      <w:r>
        <w:rPr>
          <w:i/>
          <w:spacing w:val="-4"/>
          <w:sz w:val="22"/>
        </w:rPr>
        <w:t> </w:t>
      </w:r>
      <w:r>
        <w:rPr>
          <w:i/>
          <w:sz w:val="22"/>
        </w:rPr>
        <w:t>to</w:t>
      </w:r>
      <w:r>
        <w:rPr>
          <w:i/>
          <w:spacing w:val="-4"/>
          <w:sz w:val="22"/>
        </w:rPr>
        <w:t> </w:t>
      </w:r>
      <w:r>
        <w:rPr>
          <w:i/>
          <w:sz w:val="22"/>
        </w:rPr>
        <w:t>be</w:t>
      </w:r>
      <w:r>
        <w:rPr>
          <w:i/>
          <w:spacing w:val="-2"/>
          <w:sz w:val="22"/>
        </w:rPr>
        <w:t> managed.</w:t>
      </w:r>
    </w:p>
    <w:p>
      <w:pPr>
        <w:pStyle w:val="ListParagraph"/>
        <w:numPr>
          <w:ilvl w:val="0"/>
          <w:numId w:val="33"/>
        </w:numPr>
        <w:tabs>
          <w:tab w:pos="1070" w:val="left" w:leader="none"/>
        </w:tabs>
        <w:spacing w:line="288" w:lineRule="auto" w:before="64" w:after="0"/>
        <w:ind w:left="1070" w:right="1445" w:hanging="358"/>
        <w:jc w:val="left"/>
        <w:rPr>
          <w:i/>
          <w:sz w:val="22"/>
        </w:rPr>
      </w:pPr>
      <w:r>
        <w:rPr>
          <w:i/>
          <w:sz w:val="22"/>
        </w:rPr>
        <w:t>A</w:t>
      </w:r>
      <w:r>
        <w:rPr>
          <w:i/>
          <w:spacing w:val="-2"/>
          <w:sz w:val="22"/>
        </w:rPr>
        <w:t> </w:t>
      </w:r>
      <w:r>
        <w:rPr>
          <w:i/>
          <w:sz w:val="22"/>
        </w:rPr>
        <w:t>framework</w:t>
      </w:r>
      <w:r>
        <w:rPr>
          <w:i/>
          <w:spacing w:val="-3"/>
          <w:sz w:val="22"/>
        </w:rPr>
        <w:t> </w:t>
      </w:r>
      <w:r>
        <w:rPr>
          <w:i/>
          <w:sz w:val="22"/>
        </w:rPr>
        <w:t>or</w:t>
      </w:r>
      <w:r>
        <w:rPr>
          <w:i/>
          <w:spacing w:val="-3"/>
          <w:sz w:val="22"/>
        </w:rPr>
        <w:t> </w:t>
      </w:r>
      <w:r>
        <w:rPr>
          <w:i/>
          <w:sz w:val="22"/>
        </w:rPr>
        <w:t>'mental</w:t>
      </w:r>
      <w:r>
        <w:rPr>
          <w:i/>
          <w:spacing w:val="-5"/>
          <w:sz w:val="22"/>
        </w:rPr>
        <w:t> </w:t>
      </w:r>
      <w:r>
        <w:rPr>
          <w:i/>
          <w:sz w:val="22"/>
        </w:rPr>
        <w:t>model'</w:t>
      </w:r>
      <w:r>
        <w:rPr>
          <w:i/>
          <w:spacing w:val="-3"/>
          <w:sz w:val="22"/>
        </w:rPr>
        <w:t> </w:t>
      </w:r>
      <w:r>
        <w:rPr>
          <w:i/>
          <w:sz w:val="22"/>
        </w:rPr>
        <w:t>through</w:t>
      </w:r>
      <w:r>
        <w:rPr>
          <w:i/>
          <w:spacing w:val="-7"/>
          <w:sz w:val="22"/>
        </w:rPr>
        <w:t> </w:t>
      </w:r>
      <w:r>
        <w:rPr>
          <w:i/>
          <w:sz w:val="22"/>
        </w:rPr>
        <w:t>which</w:t>
      </w:r>
      <w:r>
        <w:rPr>
          <w:i/>
          <w:spacing w:val="-2"/>
          <w:sz w:val="22"/>
        </w:rPr>
        <w:t> </w:t>
      </w:r>
      <w:r>
        <w:rPr>
          <w:i/>
          <w:sz w:val="22"/>
        </w:rPr>
        <w:t>an</w:t>
      </w:r>
      <w:r>
        <w:rPr>
          <w:i/>
          <w:spacing w:val="-6"/>
          <w:sz w:val="22"/>
        </w:rPr>
        <w:t> </w:t>
      </w:r>
      <w:r>
        <w:rPr>
          <w:i/>
          <w:sz w:val="22"/>
        </w:rPr>
        <w:t>initial understanding</w:t>
      </w:r>
      <w:r>
        <w:rPr>
          <w:i/>
          <w:spacing w:val="-2"/>
          <w:sz w:val="22"/>
        </w:rPr>
        <w:t> </w:t>
      </w:r>
      <w:r>
        <w:rPr>
          <w:i/>
          <w:sz w:val="22"/>
        </w:rPr>
        <w:t>of</w:t>
      </w:r>
      <w:r>
        <w:rPr>
          <w:i/>
          <w:spacing w:val="-3"/>
          <w:sz w:val="22"/>
        </w:rPr>
        <w:t> </w:t>
      </w:r>
      <w:r>
        <w:rPr>
          <w:i/>
          <w:sz w:val="22"/>
        </w:rPr>
        <w:t>the</w:t>
      </w:r>
      <w:r>
        <w:rPr>
          <w:i/>
          <w:spacing w:val="-2"/>
          <w:sz w:val="22"/>
        </w:rPr>
        <w:t> </w:t>
      </w:r>
      <w:r>
        <w:rPr>
          <w:i/>
          <w:sz w:val="22"/>
        </w:rPr>
        <w:t>risk topology can be derived.</w:t>
      </w:r>
    </w:p>
    <w:p>
      <w:pPr>
        <w:pStyle w:val="ListParagraph"/>
        <w:numPr>
          <w:ilvl w:val="0"/>
          <w:numId w:val="33"/>
        </w:numPr>
        <w:tabs>
          <w:tab w:pos="1070" w:val="left" w:leader="none"/>
        </w:tabs>
        <w:spacing w:line="288" w:lineRule="auto" w:before="14" w:after="0"/>
        <w:ind w:left="1070" w:right="1236" w:hanging="358"/>
        <w:jc w:val="left"/>
        <w:rPr>
          <w:i/>
          <w:sz w:val="22"/>
        </w:rPr>
      </w:pPr>
      <w:r>
        <w:rPr>
          <w:i/>
          <w:sz w:val="22"/>
        </w:rPr>
        <w:t>A</w:t>
      </w:r>
      <w:r>
        <w:rPr>
          <w:i/>
          <w:spacing w:val="-3"/>
          <w:sz w:val="22"/>
        </w:rPr>
        <w:t> </w:t>
      </w:r>
      <w:r>
        <w:rPr>
          <w:i/>
          <w:sz w:val="22"/>
        </w:rPr>
        <w:t>suitable</w:t>
      </w:r>
      <w:r>
        <w:rPr>
          <w:i/>
          <w:spacing w:val="-5"/>
          <w:sz w:val="22"/>
        </w:rPr>
        <w:t> </w:t>
      </w:r>
      <w:r>
        <w:rPr>
          <w:i/>
          <w:sz w:val="22"/>
        </w:rPr>
        <w:t>methodology</w:t>
      </w:r>
      <w:r>
        <w:rPr>
          <w:i/>
          <w:spacing w:val="-5"/>
          <w:sz w:val="22"/>
        </w:rPr>
        <w:t> </w:t>
      </w:r>
      <w:r>
        <w:rPr>
          <w:i/>
          <w:sz w:val="22"/>
        </w:rPr>
        <w:t>for</w:t>
      </w:r>
      <w:r>
        <w:rPr>
          <w:i/>
          <w:spacing w:val="-2"/>
          <w:sz w:val="22"/>
        </w:rPr>
        <w:t> </w:t>
      </w:r>
      <w:r>
        <w:rPr>
          <w:i/>
          <w:sz w:val="22"/>
        </w:rPr>
        <w:t>providing</w:t>
      </w:r>
      <w:r>
        <w:rPr>
          <w:i/>
          <w:spacing w:val="-3"/>
          <w:sz w:val="22"/>
        </w:rPr>
        <w:t> </w:t>
      </w:r>
      <w:r>
        <w:rPr>
          <w:i/>
          <w:sz w:val="22"/>
        </w:rPr>
        <w:t>a</w:t>
      </w:r>
      <w:r>
        <w:rPr>
          <w:i/>
          <w:spacing w:val="-3"/>
          <w:sz w:val="22"/>
        </w:rPr>
        <w:t> </w:t>
      </w:r>
      <w:r>
        <w:rPr>
          <w:i/>
          <w:sz w:val="22"/>
        </w:rPr>
        <w:t>quantitative</w:t>
      </w:r>
      <w:r>
        <w:rPr>
          <w:i/>
          <w:spacing w:val="-3"/>
          <w:sz w:val="22"/>
        </w:rPr>
        <w:t> </w:t>
      </w:r>
      <w:r>
        <w:rPr>
          <w:i/>
          <w:sz w:val="22"/>
        </w:rPr>
        <w:t>assessment</w:t>
      </w:r>
      <w:r>
        <w:rPr>
          <w:i/>
          <w:spacing w:val="-4"/>
          <w:sz w:val="22"/>
        </w:rPr>
        <w:t> </w:t>
      </w:r>
      <w:r>
        <w:rPr>
          <w:i/>
          <w:sz w:val="22"/>
        </w:rPr>
        <w:t>of</w:t>
      </w:r>
      <w:r>
        <w:rPr>
          <w:i/>
          <w:spacing w:val="-5"/>
          <w:sz w:val="22"/>
        </w:rPr>
        <w:t> </w:t>
      </w:r>
      <w:r>
        <w:rPr>
          <w:i/>
          <w:sz w:val="22"/>
        </w:rPr>
        <w:t>the</w:t>
      </w:r>
      <w:r>
        <w:rPr>
          <w:i/>
          <w:spacing w:val="-3"/>
          <w:sz w:val="22"/>
        </w:rPr>
        <w:t> </w:t>
      </w:r>
      <w:r>
        <w:rPr>
          <w:i/>
          <w:sz w:val="22"/>
        </w:rPr>
        <w:t>level</w:t>
      </w:r>
      <w:r>
        <w:rPr>
          <w:i/>
          <w:spacing w:val="-3"/>
          <w:sz w:val="22"/>
        </w:rPr>
        <w:t> </w:t>
      </w:r>
      <w:r>
        <w:rPr>
          <w:i/>
          <w:sz w:val="22"/>
        </w:rPr>
        <w:t>of</w:t>
      </w:r>
      <w:r>
        <w:rPr>
          <w:i/>
          <w:spacing w:val="-4"/>
          <w:sz w:val="22"/>
        </w:rPr>
        <w:t> </w:t>
      </w:r>
      <w:r>
        <w:rPr>
          <w:i/>
          <w:sz w:val="22"/>
        </w:rPr>
        <w:t>risk being borne, both now and in the future.</w:t>
      </w:r>
    </w:p>
    <w:p>
      <w:pPr>
        <w:pStyle w:val="ListParagraph"/>
        <w:numPr>
          <w:ilvl w:val="0"/>
          <w:numId w:val="33"/>
        </w:numPr>
        <w:tabs>
          <w:tab w:pos="1070" w:val="left" w:leader="none"/>
        </w:tabs>
        <w:spacing w:line="240" w:lineRule="auto" w:before="17" w:after="0"/>
        <w:ind w:left="1070" w:right="0" w:hanging="357"/>
        <w:jc w:val="left"/>
        <w:rPr>
          <w:i/>
          <w:sz w:val="22"/>
        </w:rPr>
      </w:pPr>
      <w:r>
        <w:rPr>
          <w:i/>
          <w:sz w:val="22"/>
        </w:rPr>
        <w:t>An</w:t>
      </w:r>
      <w:r>
        <w:rPr>
          <w:i/>
          <w:spacing w:val="-4"/>
          <w:sz w:val="22"/>
        </w:rPr>
        <w:t> </w:t>
      </w:r>
      <w:r>
        <w:rPr>
          <w:i/>
          <w:sz w:val="22"/>
        </w:rPr>
        <w:t>understanding</w:t>
      </w:r>
      <w:r>
        <w:rPr>
          <w:i/>
          <w:spacing w:val="-4"/>
          <w:sz w:val="22"/>
        </w:rPr>
        <w:t> </w:t>
      </w:r>
      <w:r>
        <w:rPr>
          <w:i/>
          <w:sz w:val="22"/>
        </w:rPr>
        <w:t>of</w:t>
      </w:r>
      <w:r>
        <w:rPr>
          <w:i/>
          <w:spacing w:val="-5"/>
          <w:sz w:val="22"/>
        </w:rPr>
        <w:t> </w:t>
      </w:r>
      <w:r>
        <w:rPr>
          <w:i/>
          <w:sz w:val="22"/>
        </w:rPr>
        <w:t>the</w:t>
      </w:r>
      <w:r>
        <w:rPr>
          <w:i/>
          <w:spacing w:val="-6"/>
          <w:sz w:val="22"/>
        </w:rPr>
        <w:t> </w:t>
      </w:r>
      <w:r>
        <w:rPr>
          <w:i/>
          <w:sz w:val="22"/>
        </w:rPr>
        <w:t>risk</w:t>
      </w:r>
      <w:r>
        <w:rPr>
          <w:i/>
          <w:spacing w:val="-2"/>
          <w:sz w:val="22"/>
        </w:rPr>
        <w:t> appetite.</w:t>
      </w:r>
    </w:p>
    <w:p>
      <w:pPr>
        <w:pStyle w:val="ListParagraph"/>
        <w:numPr>
          <w:ilvl w:val="0"/>
          <w:numId w:val="33"/>
        </w:numPr>
        <w:tabs>
          <w:tab w:pos="1073" w:val="left" w:leader="none"/>
        </w:tabs>
        <w:spacing w:line="288" w:lineRule="auto" w:before="64" w:after="0"/>
        <w:ind w:left="1073" w:right="889" w:hanging="360"/>
        <w:jc w:val="left"/>
        <w:rPr>
          <w:sz w:val="22"/>
        </w:rPr>
      </w:pPr>
      <w:r>
        <w:rPr>
          <w:i/>
          <w:sz w:val="22"/>
        </w:rPr>
        <w:t>A</w:t>
      </w:r>
      <w:r>
        <w:rPr>
          <w:i/>
          <w:spacing w:val="-2"/>
          <w:sz w:val="22"/>
        </w:rPr>
        <w:t> </w:t>
      </w:r>
      <w:r>
        <w:rPr>
          <w:i/>
          <w:sz w:val="22"/>
        </w:rPr>
        <w:t>methodology</w:t>
      </w:r>
      <w:r>
        <w:rPr>
          <w:i/>
          <w:spacing w:val="-4"/>
          <w:sz w:val="22"/>
        </w:rPr>
        <w:t> </w:t>
      </w:r>
      <w:r>
        <w:rPr>
          <w:i/>
          <w:sz w:val="22"/>
        </w:rPr>
        <w:t>for</w:t>
      </w:r>
      <w:r>
        <w:rPr>
          <w:i/>
          <w:spacing w:val="-3"/>
          <w:sz w:val="22"/>
        </w:rPr>
        <w:t> </w:t>
      </w:r>
      <w:r>
        <w:rPr>
          <w:i/>
          <w:sz w:val="22"/>
        </w:rPr>
        <w:t>understanding</w:t>
      </w:r>
      <w:r>
        <w:rPr>
          <w:i/>
          <w:spacing w:val="-2"/>
          <w:sz w:val="22"/>
        </w:rPr>
        <w:t> </w:t>
      </w:r>
      <w:r>
        <w:rPr>
          <w:i/>
          <w:sz w:val="22"/>
        </w:rPr>
        <w:t>the</w:t>
      </w:r>
      <w:r>
        <w:rPr>
          <w:i/>
          <w:spacing w:val="-4"/>
          <w:sz w:val="22"/>
        </w:rPr>
        <w:t> </w:t>
      </w:r>
      <w:r>
        <w:rPr>
          <w:i/>
          <w:sz w:val="22"/>
        </w:rPr>
        <w:t>effect</w:t>
      </w:r>
      <w:r>
        <w:rPr>
          <w:i/>
          <w:spacing w:val="-3"/>
          <w:sz w:val="22"/>
        </w:rPr>
        <w:t> </w:t>
      </w:r>
      <w:r>
        <w:rPr>
          <w:i/>
          <w:sz w:val="22"/>
        </w:rPr>
        <w:t>that</w:t>
      </w:r>
      <w:r>
        <w:rPr>
          <w:i/>
          <w:spacing w:val="-3"/>
          <w:sz w:val="22"/>
        </w:rPr>
        <w:t> </w:t>
      </w:r>
      <w:r>
        <w:rPr>
          <w:i/>
          <w:sz w:val="22"/>
        </w:rPr>
        <w:t>potential</w:t>
      </w:r>
      <w:r>
        <w:rPr>
          <w:i/>
          <w:spacing w:val="-3"/>
          <w:sz w:val="22"/>
        </w:rPr>
        <w:t> </w:t>
      </w:r>
      <w:r>
        <w:rPr>
          <w:i/>
          <w:sz w:val="22"/>
        </w:rPr>
        <w:t>interventions</w:t>
      </w:r>
      <w:r>
        <w:rPr>
          <w:i/>
          <w:spacing w:val="-4"/>
          <w:sz w:val="22"/>
        </w:rPr>
        <w:t> </w:t>
      </w:r>
      <w:r>
        <w:rPr>
          <w:i/>
          <w:sz w:val="22"/>
        </w:rPr>
        <w:t>might</w:t>
      </w:r>
      <w:r>
        <w:rPr>
          <w:i/>
          <w:spacing w:val="-1"/>
          <w:sz w:val="22"/>
        </w:rPr>
        <w:t> </w:t>
      </w:r>
      <w:r>
        <w:rPr>
          <w:i/>
          <w:sz w:val="22"/>
        </w:rPr>
        <w:t>have</w:t>
      </w:r>
      <w:r>
        <w:rPr>
          <w:i/>
          <w:spacing w:val="-4"/>
          <w:sz w:val="22"/>
        </w:rPr>
        <w:t> </w:t>
      </w:r>
      <w:r>
        <w:rPr>
          <w:i/>
          <w:sz w:val="22"/>
        </w:rPr>
        <w:t>on the level of risk being borne.” </w:t>
      </w:r>
      <w:r>
        <w:rPr>
          <w:sz w:val="22"/>
        </w:rPr>
        <w:t>(Huegin Consulting, 2016, p. 11)</w:t>
      </w:r>
    </w:p>
    <w:p>
      <w:pPr>
        <w:pStyle w:val="BodyText"/>
        <w:spacing w:before="8"/>
        <w:rPr>
          <w:sz w:val="20"/>
        </w:rPr>
      </w:pPr>
    </w:p>
    <w:p>
      <w:pPr>
        <w:pStyle w:val="BodyText"/>
        <w:spacing w:line="288" w:lineRule="auto"/>
        <w:ind w:left="713" w:right="910"/>
      </w:pPr>
      <w:r>
        <w:rPr/>
        <w:t>While</w:t>
      </w:r>
      <w:r>
        <w:rPr>
          <w:spacing w:val="-4"/>
        </w:rPr>
        <w:t> </w:t>
      </w:r>
      <w:r>
        <w:rPr/>
        <w:t>noting</w:t>
      </w:r>
      <w:r>
        <w:rPr>
          <w:spacing w:val="-4"/>
        </w:rPr>
        <w:t> </w:t>
      </w:r>
      <w:r>
        <w:rPr/>
        <w:t>that</w:t>
      </w:r>
      <w:r>
        <w:rPr>
          <w:spacing w:val="-5"/>
        </w:rPr>
        <w:t> </w:t>
      </w:r>
      <w:r>
        <w:rPr/>
        <w:t>“all</w:t>
      </w:r>
      <w:r>
        <w:rPr>
          <w:spacing w:val="-4"/>
        </w:rPr>
        <w:t> </w:t>
      </w:r>
      <w:r>
        <w:rPr/>
        <w:t>interviewees</w:t>
      </w:r>
      <w:r>
        <w:rPr>
          <w:spacing w:val="-3"/>
        </w:rPr>
        <w:t> </w:t>
      </w:r>
      <w:r>
        <w:rPr/>
        <w:t>recognised</w:t>
      </w:r>
      <w:r>
        <w:rPr>
          <w:spacing w:val="-6"/>
        </w:rPr>
        <w:t> </w:t>
      </w:r>
      <w:r>
        <w:rPr/>
        <w:t>that</w:t>
      </w:r>
      <w:r>
        <w:rPr>
          <w:spacing w:val="-5"/>
        </w:rPr>
        <w:t> </w:t>
      </w:r>
      <w:r>
        <w:rPr/>
        <w:t>effective</w:t>
      </w:r>
      <w:r>
        <w:rPr>
          <w:spacing w:val="-4"/>
        </w:rPr>
        <w:t> </w:t>
      </w:r>
      <w:r>
        <w:rPr/>
        <w:t>risk</w:t>
      </w:r>
      <w:r>
        <w:rPr>
          <w:spacing w:val="-3"/>
        </w:rPr>
        <w:t> </w:t>
      </w:r>
      <w:r>
        <w:rPr/>
        <w:t>management</w:t>
      </w:r>
      <w:r>
        <w:rPr>
          <w:spacing w:val="-3"/>
        </w:rPr>
        <w:t> </w:t>
      </w:r>
      <w:r>
        <w:rPr/>
        <w:t>is</w:t>
      </w:r>
      <w:r>
        <w:rPr>
          <w:spacing w:val="-3"/>
        </w:rPr>
        <w:t> </w:t>
      </w:r>
      <w:r>
        <w:rPr/>
        <w:t>essential for ESV”, Huegin made a number of observations about ESV’s risk management: “As a result of undertaking desktop analysis and conducting interviews with ESV personnel there are a number of observations that can be made regarding the way in which ESV manages risk”.</w:t>
      </w:r>
    </w:p>
    <w:p>
      <w:pPr>
        <w:pStyle w:val="BodyText"/>
        <w:spacing w:before="5"/>
      </w:pPr>
    </w:p>
    <w:p>
      <w:pPr>
        <w:pStyle w:val="ListParagraph"/>
        <w:numPr>
          <w:ilvl w:val="0"/>
          <w:numId w:val="33"/>
        </w:numPr>
        <w:tabs>
          <w:tab w:pos="1070" w:val="left" w:leader="none"/>
        </w:tabs>
        <w:spacing w:line="240" w:lineRule="auto" w:before="0" w:after="0"/>
        <w:ind w:left="1070" w:right="0" w:hanging="357"/>
        <w:jc w:val="left"/>
        <w:rPr>
          <w:i/>
          <w:sz w:val="22"/>
        </w:rPr>
      </w:pPr>
      <w:r>
        <w:rPr>
          <w:i/>
          <w:sz w:val="22"/>
        </w:rPr>
        <w:t>“There</w:t>
      </w:r>
      <w:r>
        <w:rPr>
          <w:i/>
          <w:spacing w:val="-7"/>
          <w:sz w:val="22"/>
        </w:rPr>
        <w:t> </w:t>
      </w:r>
      <w:r>
        <w:rPr>
          <w:i/>
          <w:sz w:val="22"/>
        </w:rPr>
        <w:t>are</w:t>
      </w:r>
      <w:r>
        <w:rPr>
          <w:i/>
          <w:spacing w:val="-7"/>
          <w:sz w:val="22"/>
        </w:rPr>
        <w:t> </w:t>
      </w:r>
      <w:r>
        <w:rPr>
          <w:i/>
          <w:sz w:val="22"/>
        </w:rPr>
        <w:t>different</w:t>
      </w:r>
      <w:r>
        <w:rPr>
          <w:i/>
          <w:spacing w:val="-6"/>
          <w:sz w:val="22"/>
        </w:rPr>
        <w:t> </w:t>
      </w:r>
      <w:r>
        <w:rPr>
          <w:i/>
          <w:sz w:val="22"/>
        </w:rPr>
        <w:t>definitions</w:t>
      </w:r>
      <w:r>
        <w:rPr>
          <w:i/>
          <w:spacing w:val="-4"/>
          <w:sz w:val="22"/>
        </w:rPr>
        <w:t> </w:t>
      </w:r>
      <w:r>
        <w:rPr>
          <w:i/>
          <w:sz w:val="22"/>
        </w:rPr>
        <w:t>of</w:t>
      </w:r>
      <w:r>
        <w:rPr>
          <w:i/>
          <w:spacing w:val="-6"/>
          <w:sz w:val="22"/>
        </w:rPr>
        <w:t> </w:t>
      </w:r>
      <w:r>
        <w:rPr>
          <w:i/>
          <w:sz w:val="22"/>
        </w:rPr>
        <w:t>the</w:t>
      </w:r>
      <w:r>
        <w:rPr>
          <w:i/>
          <w:spacing w:val="-5"/>
          <w:sz w:val="22"/>
        </w:rPr>
        <w:t> </w:t>
      </w:r>
      <w:r>
        <w:rPr>
          <w:i/>
          <w:sz w:val="22"/>
        </w:rPr>
        <w:t>elements</w:t>
      </w:r>
      <w:r>
        <w:rPr>
          <w:i/>
          <w:spacing w:val="-5"/>
          <w:sz w:val="22"/>
        </w:rPr>
        <w:t> </w:t>
      </w:r>
      <w:r>
        <w:rPr>
          <w:i/>
          <w:sz w:val="22"/>
        </w:rPr>
        <w:t>of</w:t>
      </w:r>
      <w:r>
        <w:rPr>
          <w:i/>
          <w:spacing w:val="-5"/>
          <w:sz w:val="22"/>
        </w:rPr>
        <w:t> </w:t>
      </w:r>
      <w:r>
        <w:rPr>
          <w:i/>
          <w:spacing w:val="-2"/>
          <w:sz w:val="22"/>
        </w:rPr>
        <w:t>risk.</w:t>
      </w:r>
    </w:p>
    <w:p>
      <w:pPr>
        <w:pStyle w:val="ListParagraph"/>
        <w:numPr>
          <w:ilvl w:val="0"/>
          <w:numId w:val="33"/>
        </w:numPr>
        <w:tabs>
          <w:tab w:pos="1070" w:val="left" w:leader="none"/>
        </w:tabs>
        <w:spacing w:line="240" w:lineRule="auto" w:before="67" w:after="0"/>
        <w:ind w:left="1070" w:right="0" w:hanging="357"/>
        <w:jc w:val="left"/>
        <w:rPr>
          <w:i/>
          <w:sz w:val="22"/>
        </w:rPr>
      </w:pPr>
      <w:r>
        <w:rPr>
          <w:i/>
          <w:sz w:val="22"/>
        </w:rPr>
        <w:t>There</w:t>
      </w:r>
      <w:r>
        <w:rPr>
          <w:i/>
          <w:spacing w:val="-8"/>
          <w:sz w:val="22"/>
        </w:rPr>
        <w:t> </w:t>
      </w:r>
      <w:r>
        <w:rPr>
          <w:i/>
          <w:sz w:val="22"/>
        </w:rPr>
        <w:t>is</w:t>
      </w:r>
      <w:r>
        <w:rPr>
          <w:i/>
          <w:spacing w:val="-5"/>
          <w:sz w:val="22"/>
        </w:rPr>
        <w:t> </w:t>
      </w:r>
      <w:r>
        <w:rPr>
          <w:i/>
          <w:sz w:val="22"/>
        </w:rPr>
        <w:t>not</w:t>
      </w:r>
      <w:r>
        <w:rPr>
          <w:i/>
          <w:spacing w:val="-4"/>
          <w:sz w:val="22"/>
        </w:rPr>
        <w:t> </w:t>
      </w:r>
      <w:r>
        <w:rPr>
          <w:i/>
          <w:sz w:val="22"/>
        </w:rPr>
        <w:t>a</w:t>
      </w:r>
      <w:r>
        <w:rPr>
          <w:i/>
          <w:spacing w:val="-7"/>
          <w:sz w:val="22"/>
        </w:rPr>
        <w:t> </w:t>
      </w:r>
      <w:r>
        <w:rPr>
          <w:i/>
          <w:sz w:val="22"/>
        </w:rPr>
        <w:t>consistent</w:t>
      </w:r>
      <w:r>
        <w:rPr>
          <w:i/>
          <w:spacing w:val="-7"/>
          <w:sz w:val="22"/>
        </w:rPr>
        <w:t> </w:t>
      </w:r>
      <w:r>
        <w:rPr>
          <w:i/>
          <w:sz w:val="22"/>
        </w:rPr>
        <w:t>mental</w:t>
      </w:r>
      <w:r>
        <w:rPr>
          <w:i/>
          <w:spacing w:val="-9"/>
          <w:sz w:val="22"/>
        </w:rPr>
        <w:t> </w:t>
      </w:r>
      <w:r>
        <w:rPr>
          <w:i/>
          <w:sz w:val="22"/>
        </w:rPr>
        <w:t>model</w:t>
      </w:r>
      <w:r>
        <w:rPr>
          <w:i/>
          <w:spacing w:val="-7"/>
          <w:sz w:val="22"/>
        </w:rPr>
        <w:t> </w:t>
      </w:r>
      <w:r>
        <w:rPr>
          <w:i/>
          <w:sz w:val="22"/>
        </w:rPr>
        <w:t>for</w:t>
      </w:r>
      <w:r>
        <w:rPr>
          <w:i/>
          <w:spacing w:val="-5"/>
          <w:sz w:val="22"/>
        </w:rPr>
        <w:t> </w:t>
      </w:r>
      <w:r>
        <w:rPr>
          <w:i/>
          <w:sz w:val="22"/>
        </w:rPr>
        <w:t>understanding</w:t>
      </w:r>
      <w:r>
        <w:rPr>
          <w:i/>
          <w:spacing w:val="-6"/>
          <w:sz w:val="22"/>
        </w:rPr>
        <w:t> </w:t>
      </w:r>
      <w:r>
        <w:rPr>
          <w:i/>
          <w:sz w:val="22"/>
        </w:rPr>
        <w:t>and</w:t>
      </w:r>
      <w:r>
        <w:rPr>
          <w:i/>
          <w:spacing w:val="-8"/>
          <w:sz w:val="22"/>
        </w:rPr>
        <w:t> </w:t>
      </w:r>
      <w:r>
        <w:rPr>
          <w:i/>
          <w:sz w:val="22"/>
        </w:rPr>
        <w:t>communicating</w:t>
      </w:r>
      <w:r>
        <w:rPr>
          <w:i/>
          <w:spacing w:val="-5"/>
          <w:sz w:val="22"/>
        </w:rPr>
        <w:t> </w:t>
      </w:r>
      <w:r>
        <w:rPr>
          <w:i/>
          <w:spacing w:val="-4"/>
          <w:sz w:val="22"/>
        </w:rPr>
        <w:t>risk</w:t>
      </w:r>
    </w:p>
    <w:p>
      <w:pPr>
        <w:pStyle w:val="ListParagraph"/>
        <w:numPr>
          <w:ilvl w:val="0"/>
          <w:numId w:val="33"/>
        </w:numPr>
        <w:tabs>
          <w:tab w:pos="1070" w:val="left" w:leader="none"/>
        </w:tabs>
        <w:spacing w:line="240" w:lineRule="auto" w:before="63" w:after="0"/>
        <w:ind w:left="1070" w:right="0" w:hanging="357"/>
        <w:jc w:val="left"/>
        <w:rPr>
          <w:i/>
          <w:sz w:val="22"/>
        </w:rPr>
      </w:pPr>
      <w:r>
        <w:rPr>
          <w:i/>
          <w:sz w:val="22"/>
        </w:rPr>
        <w:t>Risk</w:t>
      </w:r>
      <w:r>
        <w:rPr>
          <w:i/>
          <w:spacing w:val="-6"/>
          <w:sz w:val="22"/>
        </w:rPr>
        <w:t> </w:t>
      </w:r>
      <w:r>
        <w:rPr>
          <w:i/>
          <w:sz w:val="22"/>
        </w:rPr>
        <w:t>assessment</w:t>
      </w:r>
      <w:r>
        <w:rPr>
          <w:i/>
          <w:spacing w:val="-7"/>
          <w:sz w:val="22"/>
        </w:rPr>
        <w:t> </w:t>
      </w:r>
      <w:r>
        <w:rPr>
          <w:i/>
          <w:sz w:val="22"/>
        </w:rPr>
        <w:t>is</w:t>
      </w:r>
      <w:r>
        <w:rPr>
          <w:i/>
          <w:spacing w:val="-5"/>
          <w:sz w:val="22"/>
        </w:rPr>
        <w:t> </w:t>
      </w:r>
      <w:r>
        <w:rPr>
          <w:i/>
          <w:sz w:val="22"/>
        </w:rPr>
        <w:t>largely</w:t>
      </w:r>
      <w:r>
        <w:rPr>
          <w:i/>
          <w:spacing w:val="-5"/>
          <w:sz w:val="22"/>
        </w:rPr>
        <w:t> </w:t>
      </w:r>
      <w:r>
        <w:rPr>
          <w:i/>
          <w:spacing w:val="-2"/>
          <w:sz w:val="22"/>
        </w:rPr>
        <w:t>qualitative.</w:t>
      </w:r>
    </w:p>
    <w:p>
      <w:pPr>
        <w:pStyle w:val="ListParagraph"/>
        <w:numPr>
          <w:ilvl w:val="0"/>
          <w:numId w:val="33"/>
        </w:numPr>
        <w:tabs>
          <w:tab w:pos="1073" w:val="left" w:leader="none"/>
        </w:tabs>
        <w:spacing w:line="240" w:lineRule="auto" w:before="67" w:after="0"/>
        <w:ind w:left="1073" w:right="0" w:hanging="360"/>
        <w:jc w:val="left"/>
        <w:rPr>
          <w:i/>
          <w:sz w:val="22"/>
        </w:rPr>
      </w:pPr>
      <w:r>
        <w:rPr>
          <w:i/>
          <w:sz w:val="22"/>
        </w:rPr>
        <w:t>There</w:t>
      </w:r>
      <w:r>
        <w:rPr>
          <w:i/>
          <w:spacing w:val="-8"/>
          <w:sz w:val="22"/>
        </w:rPr>
        <w:t> </w:t>
      </w:r>
      <w:r>
        <w:rPr>
          <w:i/>
          <w:sz w:val="22"/>
        </w:rPr>
        <w:t>is</w:t>
      </w:r>
      <w:r>
        <w:rPr>
          <w:i/>
          <w:spacing w:val="-6"/>
          <w:sz w:val="22"/>
        </w:rPr>
        <w:t> </w:t>
      </w:r>
      <w:r>
        <w:rPr>
          <w:i/>
          <w:sz w:val="22"/>
        </w:rPr>
        <w:t>presently</w:t>
      </w:r>
      <w:r>
        <w:rPr>
          <w:i/>
          <w:spacing w:val="-6"/>
          <w:sz w:val="22"/>
        </w:rPr>
        <w:t> </w:t>
      </w:r>
      <w:r>
        <w:rPr>
          <w:i/>
          <w:sz w:val="22"/>
        </w:rPr>
        <w:t>insufficient</w:t>
      </w:r>
      <w:r>
        <w:rPr>
          <w:i/>
          <w:spacing w:val="-5"/>
          <w:sz w:val="22"/>
        </w:rPr>
        <w:t> </w:t>
      </w:r>
      <w:r>
        <w:rPr>
          <w:i/>
          <w:sz w:val="22"/>
        </w:rPr>
        <w:t>analytical</w:t>
      </w:r>
      <w:r>
        <w:rPr>
          <w:i/>
          <w:spacing w:val="-7"/>
          <w:sz w:val="22"/>
        </w:rPr>
        <w:t> </w:t>
      </w:r>
      <w:r>
        <w:rPr>
          <w:i/>
          <w:sz w:val="22"/>
        </w:rPr>
        <w:t>support</w:t>
      </w:r>
      <w:r>
        <w:rPr>
          <w:i/>
          <w:spacing w:val="-10"/>
          <w:sz w:val="22"/>
        </w:rPr>
        <w:t> </w:t>
      </w:r>
      <w:r>
        <w:rPr>
          <w:i/>
          <w:sz w:val="22"/>
        </w:rPr>
        <w:t>to</w:t>
      </w:r>
      <w:r>
        <w:rPr>
          <w:i/>
          <w:spacing w:val="-6"/>
          <w:sz w:val="22"/>
        </w:rPr>
        <w:t> </w:t>
      </w:r>
      <w:r>
        <w:rPr>
          <w:i/>
          <w:sz w:val="22"/>
        </w:rPr>
        <w:t>allow</w:t>
      </w:r>
      <w:r>
        <w:rPr>
          <w:i/>
          <w:spacing w:val="-6"/>
          <w:sz w:val="22"/>
        </w:rPr>
        <w:t> </w:t>
      </w:r>
      <w:r>
        <w:rPr>
          <w:i/>
          <w:sz w:val="22"/>
        </w:rPr>
        <w:t>a</w:t>
      </w:r>
      <w:r>
        <w:rPr>
          <w:i/>
          <w:spacing w:val="-9"/>
          <w:sz w:val="22"/>
        </w:rPr>
        <w:t> </w:t>
      </w:r>
      <w:r>
        <w:rPr>
          <w:i/>
          <w:sz w:val="22"/>
        </w:rPr>
        <w:t>quantitative</w:t>
      </w:r>
      <w:r>
        <w:rPr>
          <w:i/>
          <w:spacing w:val="-6"/>
          <w:sz w:val="22"/>
        </w:rPr>
        <w:t> </w:t>
      </w:r>
      <w:r>
        <w:rPr>
          <w:i/>
          <w:spacing w:val="-2"/>
          <w:sz w:val="22"/>
        </w:rPr>
        <w:t>approach.”</w:t>
      </w:r>
    </w:p>
    <w:p>
      <w:pPr>
        <w:pStyle w:val="BodyText"/>
        <w:spacing w:before="50"/>
        <w:ind w:left="1073"/>
      </w:pPr>
      <w:r>
        <w:rPr/>
        <w:t>(Huegin</w:t>
      </w:r>
      <w:r>
        <w:rPr>
          <w:spacing w:val="-7"/>
        </w:rPr>
        <w:t> </w:t>
      </w:r>
      <w:r>
        <w:rPr/>
        <w:t>Consulting,</w:t>
      </w:r>
      <w:r>
        <w:rPr>
          <w:spacing w:val="-4"/>
        </w:rPr>
        <w:t> </w:t>
      </w:r>
      <w:r>
        <w:rPr/>
        <w:t>2016,</w:t>
      </w:r>
      <w:r>
        <w:rPr>
          <w:spacing w:val="-5"/>
        </w:rPr>
        <w:t> </w:t>
      </w:r>
      <w:r>
        <w:rPr/>
        <w:t>p.</w:t>
      </w:r>
      <w:r>
        <w:rPr>
          <w:spacing w:val="-4"/>
        </w:rPr>
        <w:t> </w:t>
      </w:r>
      <w:r>
        <w:rPr>
          <w:spacing w:val="-5"/>
        </w:rPr>
        <w:t>11)</w:t>
      </w:r>
    </w:p>
    <w:p>
      <w:pPr>
        <w:pStyle w:val="BodyText"/>
        <w:spacing w:before="1"/>
        <w:rPr>
          <w:sz w:val="25"/>
        </w:rPr>
      </w:pPr>
    </w:p>
    <w:p>
      <w:pPr>
        <w:pStyle w:val="Heading8"/>
        <w:spacing w:before="1"/>
        <w:ind w:left="713"/>
      </w:pPr>
      <w:r>
        <w:rPr/>
        <w:t>Decision</w:t>
      </w:r>
      <w:r>
        <w:rPr>
          <w:spacing w:val="-7"/>
        </w:rPr>
        <w:t> </w:t>
      </w:r>
      <w:r>
        <w:rPr/>
        <w:t>making</w:t>
      </w:r>
      <w:r>
        <w:rPr>
          <w:spacing w:val="-4"/>
        </w:rPr>
        <w:t> </w:t>
      </w:r>
      <w:r>
        <w:rPr>
          <w:spacing w:val="-2"/>
        </w:rPr>
        <w:t>processes</w:t>
      </w:r>
    </w:p>
    <w:p>
      <w:pPr>
        <w:pStyle w:val="BodyText"/>
        <w:spacing w:line="288" w:lineRule="auto" w:before="169"/>
        <w:ind w:left="713" w:right="713"/>
      </w:pPr>
      <w:r>
        <w:rPr/>
        <w:t>Huegin</w:t>
      </w:r>
      <w:r>
        <w:rPr>
          <w:spacing w:val="-2"/>
        </w:rPr>
        <w:t> </w:t>
      </w:r>
      <w:r>
        <w:rPr/>
        <w:t>identified</w:t>
      </w:r>
      <w:r>
        <w:rPr>
          <w:spacing w:val="-4"/>
        </w:rPr>
        <w:t> </w:t>
      </w:r>
      <w:r>
        <w:rPr/>
        <w:t>“accountable</w:t>
      </w:r>
      <w:r>
        <w:rPr>
          <w:spacing w:val="-2"/>
        </w:rPr>
        <w:t> </w:t>
      </w:r>
      <w:r>
        <w:rPr/>
        <w:t>decisions</w:t>
      </w:r>
      <w:r>
        <w:rPr>
          <w:spacing w:val="-1"/>
        </w:rPr>
        <w:t> </w:t>
      </w:r>
      <w:r>
        <w:rPr/>
        <w:t>and</w:t>
      </w:r>
      <w:r>
        <w:rPr>
          <w:spacing w:val="-4"/>
        </w:rPr>
        <w:t> </w:t>
      </w:r>
      <w:r>
        <w:rPr/>
        <w:t>product”</w:t>
      </w:r>
      <w:r>
        <w:rPr>
          <w:spacing w:val="-3"/>
        </w:rPr>
        <w:t> </w:t>
      </w:r>
      <w:r>
        <w:rPr/>
        <w:t>as</w:t>
      </w:r>
      <w:r>
        <w:rPr>
          <w:spacing w:val="-2"/>
        </w:rPr>
        <w:t> </w:t>
      </w:r>
      <w:r>
        <w:rPr/>
        <w:t>a</w:t>
      </w:r>
      <w:r>
        <w:rPr>
          <w:spacing w:val="-6"/>
        </w:rPr>
        <w:t> </w:t>
      </w:r>
      <w:r>
        <w:rPr/>
        <w:t>further</w:t>
      </w:r>
      <w:r>
        <w:rPr>
          <w:spacing w:val="-5"/>
        </w:rPr>
        <w:t> </w:t>
      </w:r>
      <w:r>
        <w:rPr/>
        <w:t>key</w:t>
      </w:r>
      <w:r>
        <w:rPr>
          <w:spacing w:val="-4"/>
        </w:rPr>
        <w:t> </w:t>
      </w:r>
      <w:r>
        <w:rPr/>
        <w:t>theme</w:t>
      </w:r>
      <w:r>
        <w:rPr>
          <w:spacing w:val="-2"/>
        </w:rPr>
        <w:t> </w:t>
      </w:r>
      <w:r>
        <w:rPr/>
        <w:t>arising</w:t>
      </w:r>
      <w:r>
        <w:rPr>
          <w:spacing w:val="-4"/>
        </w:rPr>
        <w:t> </w:t>
      </w:r>
      <w:r>
        <w:rPr/>
        <w:t>from its interviews and analysis. Huegin did not seek to examine the appropriateness of decisions made by ESV and noted its view that “all interviewees seemed eminently knowledgeable in their field and there is no reason to question the output of decisions</w:t>
      </w:r>
    </w:p>
    <w:p>
      <w:pPr>
        <w:spacing w:after="0" w:line="288" w:lineRule="auto"/>
        <w:sectPr>
          <w:pgSz w:w="11910" w:h="16840"/>
          <w:pgMar w:header="887" w:footer="1228" w:top="1080" w:bottom="1480" w:left="840" w:right="820"/>
        </w:sectPr>
      </w:pPr>
    </w:p>
    <w:p>
      <w:pPr>
        <w:pStyle w:val="BodyText"/>
        <w:rPr>
          <w:sz w:val="20"/>
        </w:rPr>
      </w:pPr>
    </w:p>
    <w:p>
      <w:pPr>
        <w:pStyle w:val="BodyText"/>
        <w:rPr>
          <w:sz w:val="20"/>
        </w:rPr>
      </w:pPr>
    </w:p>
    <w:p>
      <w:pPr>
        <w:pStyle w:val="BodyText"/>
        <w:spacing w:before="5"/>
      </w:pPr>
    </w:p>
    <w:p>
      <w:pPr>
        <w:pStyle w:val="BodyText"/>
        <w:spacing w:line="288" w:lineRule="auto"/>
        <w:ind w:left="713" w:right="910"/>
      </w:pPr>
      <w:r>
        <w:rPr/>
        <mc:AlternateContent>
          <mc:Choice Requires="wps">
            <w:drawing>
              <wp:anchor distT="0" distB="0" distL="0" distR="0" allowOverlap="1" layoutInCell="1" locked="0" behindDoc="1" simplePos="0" relativeHeight="482706432">
                <wp:simplePos x="0" y="0"/>
                <wp:positionH relativeFrom="page">
                  <wp:posOffset>914704</wp:posOffset>
                </wp:positionH>
                <wp:positionV relativeFrom="paragraph">
                  <wp:posOffset>-280</wp:posOffset>
                </wp:positionV>
                <wp:extent cx="5732780" cy="6269355"/>
                <wp:effectExtent l="0" t="0" r="0" b="0"/>
                <wp:wrapNone/>
                <wp:docPr id="109" name="Graphic 109"/>
                <wp:cNvGraphicFramePr>
                  <a:graphicFrameLocks/>
                </wp:cNvGraphicFramePr>
                <a:graphic>
                  <a:graphicData uri="http://schemas.microsoft.com/office/word/2010/wordprocessingShape">
                    <wps:wsp>
                      <wps:cNvPr id="109" name="Graphic 109"/>
                      <wps:cNvSpPr/>
                      <wps:spPr>
                        <a:xfrm>
                          <a:off x="0" y="0"/>
                          <a:ext cx="5732780" cy="6269355"/>
                        </a:xfrm>
                        <a:custGeom>
                          <a:avLst/>
                          <a:gdLst/>
                          <a:ahLst/>
                          <a:cxnLst/>
                          <a:rect l="l" t="t" r="r" b="b"/>
                          <a:pathLst>
                            <a:path w="5732780" h="6269355">
                              <a:moveTo>
                                <a:pt x="5732653" y="0"/>
                              </a:moveTo>
                              <a:lnTo>
                                <a:pt x="0" y="0"/>
                              </a:lnTo>
                              <a:lnTo>
                                <a:pt x="0" y="6269101"/>
                              </a:lnTo>
                              <a:lnTo>
                                <a:pt x="5732653" y="6269101"/>
                              </a:lnTo>
                              <a:lnTo>
                                <a:pt x="5732653" y="0"/>
                              </a:lnTo>
                              <a:close/>
                            </a:path>
                          </a:pathLst>
                        </a:custGeom>
                        <a:solidFill>
                          <a:srgbClr val="CEEBEB"/>
                        </a:solidFill>
                      </wps:spPr>
                      <wps:bodyPr wrap="square" lIns="0" tIns="0" rIns="0" bIns="0" rtlCol="0">
                        <a:prstTxWarp prst="textNoShape">
                          <a:avLst/>
                        </a:prstTxWarp>
                        <a:noAutofit/>
                      </wps:bodyPr>
                    </wps:wsp>
                  </a:graphicData>
                </a:graphic>
              </wp:anchor>
            </w:drawing>
          </mc:Choice>
          <mc:Fallback>
            <w:pict>
              <v:rect style="position:absolute;margin-left:72.024002pt;margin-top:-.022102pt;width:451.39pt;height:493.63pt;mso-position-horizontal-relative:page;mso-position-vertical-relative:paragraph;z-index:-20610048" id="docshape94" filled="true" fillcolor="#ceebeb" stroked="false">
                <v:fill type="solid"/>
                <w10:wrap type="none"/>
              </v:rect>
            </w:pict>
          </mc:Fallback>
        </mc:AlternateContent>
      </w:r>
      <w:r>
        <w:rPr/>
        <w:t>made”.</w:t>
      </w:r>
      <w:r>
        <w:rPr>
          <w:spacing w:val="-1"/>
        </w:rPr>
        <w:t> </w:t>
      </w:r>
      <w:r>
        <w:rPr/>
        <w:t>Nevertheless,</w:t>
      </w:r>
      <w:r>
        <w:rPr>
          <w:spacing w:val="-4"/>
        </w:rPr>
        <w:t> </w:t>
      </w:r>
      <w:r>
        <w:rPr/>
        <w:t>the</w:t>
      </w:r>
      <w:r>
        <w:rPr>
          <w:spacing w:val="-3"/>
        </w:rPr>
        <w:t> </w:t>
      </w:r>
      <w:r>
        <w:rPr/>
        <w:t>observations</w:t>
      </w:r>
      <w:r>
        <w:rPr>
          <w:spacing w:val="-3"/>
        </w:rPr>
        <w:t> </w:t>
      </w:r>
      <w:r>
        <w:rPr/>
        <w:t>in</w:t>
      </w:r>
      <w:r>
        <w:rPr>
          <w:spacing w:val="-5"/>
        </w:rPr>
        <w:t> </w:t>
      </w:r>
      <w:r>
        <w:rPr/>
        <w:t>the</w:t>
      </w:r>
      <w:r>
        <w:rPr>
          <w:spacing w:val="-5"/>
        </w:rPr>
        <w:t> </w:t>
      </w:r>
      <w:r>
        <w:rPr/>
        <w:t>report</w:t>
      </w:r>
      <w:r>
        <w:rPr>
          <w:spacing w:val="-3"/>
        </w:rPr>
        <w:t> </w:t>
      </w:r>
      <w:r>
        <w:rPr/>
        <w:t>point</w:t>
      </w:r>
      <w:r>
        <w:rPr>
          <w:spacing w:val="-4"/>
        </w:rPr>
        <w:t> </w:t>
      </w:r>
      <w:r>
        <w:rPr/>
        <w:t>to</w:t>
      </w:r>
      <w:r>
        <w:rPr>
          <w:spacing w:val="-3"/>
        </w:rPr>
        <w:t> </w:t>
      </w:r>
      <w:r>
        <w:rPr/>
        <w:t>areas</w:t>
      </w:r>
      <w:r>
        <w:rPr>
          <w:spacing w:val="-5"/>
        </w:rPr>
        <w:t> </w:t>
      </w:r>
      <w:r>
        <w:rPr/>
        <w:t>of</w:t>
      </w:r>
      <w:r>
        <w:rPr>
          <w:spacing w:val="-1"/>
        </w:rPr>
        <w:t> </w:t>
      </w:r>
      <w:r>
        <w:rPr/>
        <w:t>systemic</w:t>
      </w:r>
      <w:r>
        <w:rPr>
          <w:spacing w:val="-3"/>
        </w:rPr>
        <w:t> </w:t>
      </w:r>
      <w:r>
        <w:rPr/>
        <w:t>weakness that emerge from the interviews undertaken.</w:t>
      </w:r>
    </w:p>
    <w:p>
      <w:pPr>
        <w:pStyle w:val="BodyText"/>
        <w:spacing w:before="10"/>
        <w:rPr>
          <w:sz w:val="20"/>
        </w:rPr>
      </w:pPr>
    </w:p>
    <w:p>
      <w:pPr>
        <w:spacing w:line="288" w:lineRule="auto" w:before="0"/>
        <w:ind w:left="713" w:right="910" w:firstLine="0"/>
        <w:jc w:val="left"/>
        <w:rPr>
          <w:sz w:val="22"/>
        </w:rPr>
      </w:pPr>
      <w:r>
        <w:rPr>
          <w:sz w:val="22"/>
        </w:rPr>
        <w:t>In</w:t>
      </w:r>
      <w:r>
        <w:rPr>
          <w:spacing w:val="-5"/>
          <w:sz w:val="22"/>
        </w:rPr>
        <w:t> </w:t>
      </w:r>
      <w:r>
        <w:rPr>
          <w:sz w:val="22"/>
        </w:rPr>
        <w:t>making</w:t>
      </w:r>
      <w:r>
        <w:rPr>
          <w:spacing w:val="-2"/>
          <w:sz w:val="22"/>
        </w:rPr>
        <w:t> </w:t>
      </w:r>
      <w:r>
        <w:rPr>
          <w:sz w:val="22"/>
        </w:rPr>
        <w:t>recommendations</w:t>
      </w:r>
      <w:r>
        <w:rPr>
          <w:spacing w:val="-2"/>
          <w:sz w:val="22"/>
        </w:rPr>
        <w:t> </w:t>
      </w:r>
      <w:r>
        <w:rPr>
          <w:sz w:val="22"/>
        </w:rPr>
        <w:t>that</w:t>
      </w:r>
      <w:r>
        <w:rPr>
          <w:spacing w:val="-4"/>
          <w:sz w:val="22"/>
        </w:rPr>
        <w:t> </w:t>
      </w:r>
      <w:r>
        <w:rPr>
          <w:sz w:val="22"/>
        </w:rPr>
        <w:t>“</w:t>
      </w:r>
      <w:r>
        <w:rPr>
          <w:i/>
          <w:sz w:val="22"/>
        </w:rPr>
        <w:t>focus</w:t>
      </w:r>
      <w:r>
        <w:rPr>
          <w:i/>
          <w:spacing w:val="-3"/>
          <w:sz w:val="22"/>
        </w:rPr>
        <w:t> </w:t>
      </w:r>
      <w:r>
        <w:rPr>
          <w:i/>
          <w:sz w:val="22"/>
        </w:rPr>
        <w:t>on</w:t>
      </w:r>
      <w:r>
        <w:rPr>
          <w:i/>
          <w:spacing w:val="-5"/>
          <w:sz w:val="22"/>
        </w:rPr>
        <w:t> </w:t>
      </w:r>
      <w:r>
        <w:rPr>
          <w:i/>
          <w:sz w:val="22"/>
        </w:rPr>
        <w:t>a</w:t>
      </w:r>
      <w:r>
        <w:rPr>
          <w:i/>
          <w:spacing w:val="-5"/>
          <w:sz w:val="22"/>
        </w:rPr>
        <w:t> </w:t>
      </w:r>
      <w:r>
        <w:rPr>
          <w:i/>
          <w:sz w:val="22"/>
        </w:rPr>
        <w:t>more</w:t>
      </w:r>
      <w:r>
        <w:rPr>
          <w:i/>
          <w:spacing w:val="-3"/>
          <w:sz w:val="22"/>
        </w:rPr>
        <w:t> </w:t>
      </w:r>
      <w:r>
        <w:rPr>
          <w:i/>
          <w:sz w:val="22"/>
        </w:rPr>
        <w:t>robust</w:t>
      </w:r>
      <w:r>
        <w:rPr>
          <w:i/>
          <w:spacing w:val="-1"/>
          <w:sz w:val="22"/>
        </w:rPr>
        <w:t> </w:t>
      </w:r>
      <w:r>
        <w:rPr>
          <w:i/>
          <w:sz w:val="22"/>
        </w:rPr>
        <w:t>and</w:t>
      </w:r>
      <w:r>
        <w:rPr>
          <w:i/>
          <w:spacing w:val="-5"/>
          <w:sz w:val="22"/>
        </w:rPr>
        <w:t> </w:t>
      </w:r>
      <w:r>
        <w:rPr>
          <w:i/>
          <w:sz w:val="22"/>
        </w:rPr>
        <w:t>transparent</w:t>
      </w:r>
      <w:r>
        <w:rPr>
          <w:i/>
          <w:spacing w:val="-4"/>
          <w:sz w:val="22"/>
        </w:rPr>
        <w:t> </w:t>
      </w:r>
      <w:r>
        <w:rPr>
          <w:i/>
          <w:sz w:val="22"/>
        </w:rPr>
        <w:t>process</w:t>
      </w:r>
      <w:r>
        <w:rPr>
          <w:i/>
          <w:spacing w:val="-2"/>
          <w:sz w:val="22"/>
        </w:rPr>
        <w:t> </w:t>
      </w:r>
      <w:r>
        <w:rPr>
          <w:i/>
          <w:sz w:val="22"/>
        </w:rPr>
        <w:t>of decision making and an identification of accountable product, decisions and advice</w:t>
      </w:r>
      <w:r>
        <w:rPr>
          <w:sz w:val="22"/>
        </w:rPr>
        <w:t>”, Huegin noted:</w:t>
      </w:r>
    </w:p>
    <w:p>
      <w:pPr>
        <w:pStyle w:val="BodyText"/>
        <w:spacing w:before="11"/>
        <w:rPr>
          <w:sz w:val="20"/>
        </w:rPr>
      </w:pPr>
    </w:p>
    <w:p>
      <w:pPr>
        <w:spacing w:line="288" w:lineRule="auto" w:before="0"/>
        <w:ind w:left="1166" w:right="910" w:firstLine="0"/>
        <w:jc w:val="left"/>
        <w:rPr>
          <w:i/>
          <w:sz w:val="22"/>
        </w:rPr>
      </w:pPr>
      <w:r>
        <w:rPr>
          <w:i/>
          <w:sz w:val="22"/>
        </w:rPr>
        <w:t>…</w:t>
      </w:r>
      <w:r>
        <w:rPr>
          <w:i/>
          <w:spacing w:val="-2"/>
          <w:sz w:val="22"/>
        </w:rPr>
        <w:t> </w:t>
      </w:r>
      <w:r>
        <w:rPr>
          <w:i/>
          <w:sz w:val="22"/>
        </w:rPr>
        <w:t>“it</w:t>
      </w:r>
      <w:r>
        <w:rPr>
          <w:i/>
          <w:spacing w:val="-4"/>
          <w:sz w:val="22"/>
        </w:rPr>
        <w:t> </w:t>
      </w:r>
      <w:r>
        <w:rPr>
          <w:i/>
          <w:sz w:val="22"/>
        </w:rPr>
        <w:t>is</w:t>
      </w:r>
      <w:r>
        <w:rPr>
          <w:i/>
          <w:spacing w:val="-5"/>
          <w:sz w:val="22"/>
        </w:rPr>
        <w:t> </w:t>
      </w:r>
      <w:r>
        <w:rPr>
          <w:i/>
          <w:sz w:val="22"/>
        </w:rPr>
        <w:t>reasonable</w:t>
      </w:r>
      <w:r>
        <w:rPr>
          <w:i/>
          <w:spacing w:val="-5"/>
          <w:sz w:val="22"/>
        </w:rPr>
        <w:t> </w:t>
      </w:r>
      <w:r>
        <w:rPr>
          <w:i/>
          <w:sz w:val="22"/>
        </w:rPr>
        <w:t>to</w:t>
      </w:r>
      <w:r>
        <w:rPr>
          <w:i/>
          <w:spacing w:val="-3"/>
          <w:sz w:val="22"/>
        </w:rPr>
        <w:t> </w:t>
      </w:r>
      <w:r>
        <w:rPr>
          <w:i/>
          <w:sz w:val="22"/>
        </w:rPr>
        <w:t>assume</w:t>
      </w:r>
      <w:r>
        <w:rPr>
          <w:i/>
          <w:spacing w:val="-5"/>
          <w:sz w:val="22"/>
        </w:rPr>
        <w:t> </w:t>
      </w:r>
      <w:r>
        <w:rPr>
          <w:i/>
          <w:sz w:val="22"/>
        </w:rPr>
        <w:t>that</w:t>
      </w:r>
      <w:r>
        <w:rPr>
          <w:i/>
          <w:spacing w:val="-4"/>
          <w:sz w:val="22"/>
        </w:rPr>
        <w:t> </w:t>
      </w:r>
      <w:r>
        <w:rPr>
          <w:i/>
          <w:sz w:val="22"/>
        </w:rPr>
        <w:t>ESV</w:t>
      </w:r>
      <w:r>
        <w:rPr>
          <w:i/>
          <w:spacing w:val="-3"/>
          <w:sz w:val="22"/>
        </w:rPr>
        <w:t> </w:t>
      </w:r>
      <w:r>
        <w:rPr>
          <w:i/>
          <w:sz w:val="22"/>
        </w:rPr>
        <w:t>should</w:t>
      </w:r>
      <w:r>
        <w:rPr>
          <w:i/>
          <w:spacing w:val="-3"/>
          <w:sz w:val="22"/>
        </w:rPr>
        <w:t> </w:t>
      </w:r>
      <w:r>
        <w:rPr>
          <w:i/>
          <w:sz w:val="22"/>
        </w:rPr>
        <w:t>ideally</w:t>
      </w:r>
      <w:r>
        <w:rPr>
          <w:i/>
          <w:spacing w:val="-2"/>
          <w:sz w:val="22"/>
        </w:rPr>
        <w:t> </w:t>
      </w:r>
      <w:r>
        <w:rPr>
          <w:i/>
          <w:sz w:val="22"/>
        </w:rPr>
        <w:t>have</w:t>
      </w:r>
      <w:r>
        <w:rPr>
          <w:i/>
          <w:spacing w:val="-3"/>
          <w:sz w:val="22"/>
        </w:rPr>
        <w:t> </w:t>
      </w:r>
      <w:r>
        <w:rPr>
          <w:i/>
          <w:sz w:val="22"/>
        </w:rPr>
        <w:t>four</w:t>
      </w:r>
      <w:r>
        <w:rPr>
          <w:i/>
          <w:spacing w:val="-2"/>
          <w:sz w:val="22"/>
        </w:rPr>
        <w:t> </w:t>
      </w:r>
      <w:r>
        <w:rPr>
          <w:i/>
          <w:sz w:val="22"/>
        </w:rPr>
        <w:t>components</w:t>
      </w:r>
      <w:r>
        <w:rPr>
          <w:i/>
          <w:spacing w:val="-2"/>
          <w:sz w:val="22"/>
        </w:rPr>
        <w:t> </w:t>
      </w:r>
      <w:r>
        <w:rPr>
          <w:i/>
          <w:sz w:val="22"/>
        </w:rPr>
        <w:t>in </w:t>
      </w:r>
      <w:r>
        <w:rPr>
          <w:i/>
          <w:spacing w:val="-2"/>
          <w:sz w:val="22"/>
        </w:rPr>
        <w:t>place:</w:t>
      </w:r>
    </w:p>
    <w:p>
      <w:pPr>
        <w:pStyle w:val="BodyText"/>
        <w:spacing w:before="10"/>
        <w:rPr>
          <w:i/>
          <w:sz w:val="20"/>
        </w:rPr>
      </w:pPr>
    </w:p>
    <w:p>
      <w:pPr>
        <w:pStyle w:val="ListParagraph"/>
        <w:numPr>
          <w:ilvl w:val="0"/>
          <w:numId w:val="34"/>
        </w:numPr>
        <w:tabs>
          <w:tab w:pos="1525" w:val="left" w:leader="none"/>
        </w:tabs>
        <w:spacing w:line="240" w:lineRule="auto" w:before="0" w:after="0"/>
        <w:ind w:left="1525" w:right="0" w:hanging="359"/>
        <w:jc w:val="left"/>
        <w:rPr>
          <w:i/>
          <w:sz w:val="22"/>
        </w:rPr>
      </w:pPr>
      <w:r>
        <w:rPr>
          <w:i/>
          <w:sz w:val="22"/>
        </w:rPr>
        <w:t>Defined</w:t>
      </w:r>
      <w:r>
        <w:rPr>
          <w:i/>
          <w:spacing w:val="-9"/>
          <w:sz w:val="22"/>
        </w:rPr>
        <w:t> </w:t>
      </w:r>
      <w:r>
        <w:rPr>
          <w:i/>
          <w:sz w:val="22"/>
        </w:rPr>
        <w:t>accountable</w:t>
      </w:r>
      <w:r>
        <w:rPr>
          <w:i/>
          <w:spacing w:val="-10"/>
          <w:sz w:val="22"/>
        </w:rPr>
        <w:t> </w:t>
      </w:r>
      <w:r>
        <w:rPr>
          <w:i/>
          <w:sz w:val="22"/>
        </w:rPr>
        <w:t>and</w:t>
      </w:r>
      <w:r>
        <w:rPr>
          <w:i/>
          <w:spacing w:val="-11"/>
          <w:sz w:val="22"/>
        </w:rPr>
        <w:t> </w:t>
      </w:r>
      <w:r>
        <w:rPr>
          <w:i/>
          <w:sz w:val="22"/>
        </w:rPr>
        <w:t>non-accountable</w:t>
      </w:r>
      <w:r>
        <w:rPr>
          <w:i/>
          <w:spacing w:val="-8"/>
          <w:sz w:val="22"/>
        </w:rPr>
        <w:t> </w:t>
      </w:r>
      <w:r>
        <w:rPr>
          <w:i/>
          <w:spacing w:val="-2"/>
          <w:sz w:val="22"/>
        </w:rPr>
        <w:t>outputs.</w:t>
      </w:r>
    </w:p>
    <w:p>
      <w:pPr>
        <w:pStyle w:val="ListParagraph"/>
        <w:numPr>
          <w:ilvl w:val="0"/>
          <w:numId w:val="34"/>
        </w:numPr>
        <w:tabs>
          <w:tab w:pos="1525" w:val="left" w:leader="none"/>
        </w:tabs>
        <w:spacing w:line="240" w:lineRule="auto" w:before="30" w:after="0"/>
        <w:ind w:left="1525" w:right="0" w:hanging="359"/>
        <w:jc w:val="left"/>
        <w:rPr>
          <w:i/>
          <w:sz w:val="22"/>
        </w:rPr>
      </w:pPr>
      <w:r>
        <w:rPr>
          <w:i/>
          <w:sz w:val="22"/>
        </w:rPr>
        <w:t>A</w:t>
      </w:r>
      <w:r>
        <w:rPr>
          <w:i/>
          <w:spacing w:val="-5"/>
          <w:sz w:val="22"/>
        </w:rPr>
        <w:t> </w:t>
      </w:r>
      <w:r>
        <w:rPr>
          <w:i/>
          <w:sz w:val="22"/>
        </w:rPr>
        <w:t>process</w:t>
      </w:r>
      <w:r>
        <w:rPr>
          <w:i/>
          <w:spacing w:val="-7"/>
          <w:sz w:val="22"/>
        </w:rPr>
        <w:t> </w:t>
      </w:r>
      <w:r>
        <w:rPr>
          <w:i/>
          <w:sz w:val="22"/>
        </w:rPr>
        <w:t>for</w:t>
      </w:r>
      <w:r>
        <w:rPr>
          <w:i/>
          <w:spacing w:val="-3"/>
          <w:sz w:val="22"/>
        </w:rPr>
        <w:t> </w:t>
      </w:r>
      <w:r>
        <w:rPr>
          <w:i/>
          <w:sz w:val="22"/>
        </w:rPr>
        <w:t>producing</w:t>
      </w:r>
      <w:r>
        <w:rPr>
          <w:i/>
          <w:spacing w:val="-7"/>
          <w:sz w:val="22"/>
        </w:rPr>
        <w:t> </w:t>
      </w:r>
      <w:r>
        <w:rPr>
          <w:i/>
          <w:sz w:val="22"/>
        </w:rPr>
        <w:t>accountable</w:t>
      </w:r>
      <w:r>
        <w:rPr>
          <w:i/>
          <w:spacing w:val="-4"/>
          <w:sz w:val="22"/>
        </w:rPr>
        <w:t> </w:t>
      </w:r>
      <w:r>
        <w:rPr>
          <w:i/>
          <w:spacing w:val="-2"/>
          <w:sz w:val="22"/>
        </w:rPr>
        <w:t>outputs.</w:t>
      </w:r>
    </w:p>
    <w:p>
      <w:pPr>
        <w:pStyle w:val="ListParagraph"/>
        <w:numPr>
          <w:ilvl w:val="0"/>
          <w:numId w:val="34"/>
        </w:numPr>
        <w:tabs>
          <w:tab w:pos="1525" w:val="left" w:leader="none"/>
        </w:tabs>
        <w:spacing w:line="240" w:lineRule="auto" w:before="33" w:after="0"/>
        <w:ind w:left="1525" w:right="0" w:hanging="359"/>
        <w:jc w:val="left"/>
        <w:rPr>
          <w:i/>
          <w:sz w:val="22"/>
        </w:rPr>
      </w:pPr>
      <w:r>
        <w:rPr>
          <w:i/>
          <w:sz w:val="22"/>
        </w:rPr>
        <w:t>Designated</w:t>
      </w:r>
      <w:r>
        <w:rPr>
          <w:i/>
          <w:spacing w:val="-9"/>
          <w:sz w:val="22"/>
        </w:rPr>
        <w:t> </w:t>
      </w:r>
      <w:r>
        <w:rPr>
          <w:i/>
          <w:sz w:val="22"/>
        </w:rPr>
        <w:t>levels</w:t>
      </w:r>
      <w:r>
        <w:rPr>
          <w:i/>
          <w:spacing w:val="-5"/>
          <w:sz w:val="22"/>
        </w:rPr>
        <w:t> </w:t>
      </w:r>
      <w:r>
        <w:rPr>
          <w:i/>
          <w:sz w:val="22"/>
        </w:rPr>
        <w:t>of</w:t>
      </w:r>
      <w:r>
        <w:rPr>
          <w:i/>
          <w:spacing w:val="-7"/>
          <w:sz w:val="22"/>
        </w:rPr>
        <w:t> </w:t>
      </w:r>
      <w:r>
        <w:rPr>
          <w:i/>
          <w:sz w:val="22"/>
        </w:rPr>
        <w:t>authority</w:t>
      </w:r>
      <w:r>
        <w:rPr>
          <w:i/>
          <w:spacing w:val="-5"/>
          <w:sz w:val="22"/>
        </w:rPr>
        <w:t> </w:t>
      </w:r>
      <w:r>
        <w:rPr>
          <w:i/>
          <w:sz w:val="22"/>
        </w:rPr>
        <w:t>in</w:t>
      </w:r>
      <w:r>
        <w:rPr>
          <w:i/>
          <w:spacing w:val="-8"/>
          <w:sz w:val="22"/>
        </w:rPr>
        <w:t> </w:t>
      </w:r>
      <w:r>
        <w:rPr>
          <w:i/>
          <w:sz w:val="22"/>
        </w:rPr>
        <w:t>the</w:t>
      </w:r>
      <w:r>
        <w:rPr>
          <w:i/>
          <w:spacing w:val="-8"/>
          <w:sz w:val="22"/>
        </w:rPr>
        <w:t> </w:t>
      </w:r>
      <w:r>
        <w:rPr>
          <w:i/>
          <w:sz w:val="22"/>
        </w:rPr>
        <w:t>production</w:t>
      </w:r>
      <w:r>
        <w:rPr>
          <w:i/>
          <w:spacing w:val="-6"/>
          <w:sz w:val="22"/>
        </w:rPr>
        <w:t> </w:t>
      </w:r>
      <w:r>
        <w:rPr>
          <w:i/>
          <w:sz w:val="22"/>
        </w:rPr>
        <w:t>of</w:t>
      </w:r>
      <w:r>
        <w:rPr>
          <w:i/>
          <w:spacing w:val="-4"/>
          <w:sz w:val="22"/>
        </w:rPr>
        <w:t> </w:t>
      </w:r>
      <w:r>
        <w:rPr>
          <w:i/>
          <w:sz w:val="22"/>
        </w:rPr>
        <w:t>accountable</w:t>
      </w:r>
      <w:r>
        <w:rPr>
          <w:i/>
          <w:spacing w:val="-6"/>
          <w:sz w:val="22"/>
        </w:rPr>
        <w:t> </w:t>
      </w:r>
      <w:r>
        <w:rPr>
          <w:i/>
          <w:spacing w:val="-2"/>
          <w:sz w:val="22"/>
        </w:rPr>
        <w:t>outputs.</w:t>
      </w:r>
    </w:p>
    <w:p>
      <w:pPr>
        <w:pStyle w:val="ListParagraph"/>
        <w:numPr>
          <w:ilvl w:val="0"/>
          <w:numId w:val="34"/>
        </w:numPr>
        <w:tabs>
          <w:tab w:pos="1525" w:val="left" w:leader="none"/>
        </w:tabs>
        <w:spacing w:line="240" w:lineRule="auto" w:before="30" w:after="0"/>
        <w:ind w:left="1525" w:right="0" w:hanging="359"/>
        <w:jc w:val="left"/>
        <w:rPr>
          <w:i/>
          <w:sz w:val="22"/>
        </w:rPr>
      </w:pPr>
      <w:r>
        <w:rPr>
          <w:i/>
          <w:sz w:val="22"/>
        </w:rPr>
        <w:t>An</w:t>
      </w:r>
      <w:r>
        <w:rPr>
          <w:i/>
          <w:spacing w:val="-7"/>
          <w:sz w:val="22"/>
        </w:rPr>
        <w:t> </w:t>
      </w:r>
      <w:r>
        <w:rPr>
          <w:i/>
          <w:sz w:val="22"/>
        </w:rPr>
        <w:t>ability</w:t>
      </w:r>
      <w:r>
        <w:rPr>
          <w:i/>
          <w:spacing w:val="-4"/>
          <w:sz w:val="22"/>
        </w:rPr>
        <w:t> </w:t>
      </w:r>
      <w:r>
        <w:rPr>
          <w:i/>
          <w:sz w:val="22"/>
        </w:rPr>
        <w:t>to</w:t>
      </w:r>
      <w:r>
        <w:rPr>
          <w:i/>
          <w:spacing w:val="-7"/>
          <w:sz w:val="22"/>
        </w:rPr>
        <w:t> </w:t>
      </w:r>
      <w:r>
        <w:rPr>
          <w:i/>
          <w:sz w:val="22"/>
        </w:rPr>
        <w:t>trace</w:t>
      </w:r>
      <w:r>
        <w:rPr>
          <w:i/>
          <w:spacing w:val="-7"/>
          <w:sz w:val="22"/>
        </w:rPr>
        <w:t> </w:t>
      </w:r>
      <w:r>
        <w:rPr>
          <w:i/>
          <w:sz w:val="22"/>
        </w:rPr>
        <w:t>the</w:t>
      </w:r>
      <w:r>
        <w:rPr>
          <w:i/>
          <w:spacing w:val="-7"/>
          <w:sz w:val="22"/>
        </w:rPr>
        <w:t> </w:t>
      </w:r>
      <w:r>
        <w:rPr>
          <w:i/>
          <w:sz w:val="22"/>
        </w:rPr>
        <w:t>steps</w:t>
      </w:r>
      <w:r>
        <w:rPr>
          <w:i/>
          <w:spacing w:val="-5"/>
          <w:sz w:val="22"/>
        </w:rPr>
        <w:t> </w:t>
      </w:r>
      <w:r>
        <w:rPr>
          <w:i/>
          <w:sz w:val="22"/>
        </w:rPr>
        <w:t>undertaken</w:t>
      </w:r>
      <w:r>
        <w:rPr>
          <w:i/>
          <w:spacing w:val="-7"/>
          <w:sz w:val="22"/>
        </w:rPr>
        <w:t> </w:t>
      </w:r>
      <w:r>
        <w:rPr>
          <w:i/>
          <w:sz w:val="22"/>
        </w:rPr>
        <w:t>in</w:t>
      </w:r>
      <w:r>
        <w:rPr>
          <w:i/>
          <w:spacing w:val="-5"/>
          <w:sz w:val="22"/>
        </w:rPr>
        <w:t> </w:t>
      </w:r>
      <w:r>
        <w:rPr>
          <w:i/>
          <w:sz w:val="22"/>
        </w:rPr>
        <w:t>producing</w:t>
      </w:r>
      <w:r>
        <w:rPr>
          <w:i/>
          <w:spacing w:val="-5"/>
          <w:sz w:val="22"/>
        </w:rPr>
        <w:t> </w:t>
      </w:r>
      <w:r>
        <w:rPr>
          <w:i/>
          <w:sz w:val="22"/>
        </w:rPr>
        <w:t>accountable</w:t>
      </w:r>
      <w:r>
        <w:rPr>
          <w:i/>
          <w:spacing w:val="-4"/>
          <w:sz w:val="22"/>
        </w:rPr>
        <w:t> </w:t>
      </w:r>
      <w:r>
        <w:rPr>
          <w:i/>
          <w:spacing w:val="-2"/>
          <w:sz w:val="22"/>
        </w:rPr>
        <w:t>outputs.”</w:t>
      </w:r>
    </w:p>
    <w:p>
      <w:pPr>
        <w:pStyle w:val="BodyText"/>
        <w:spacing w:before="33"/>
        <w:ind w:left="1526"/>
      </w:pPr>
      <w:r>
        <w:rPr/>
        <w:t>(Huegin</w:t>
      </w:r>
      <w:r>
        <w:rPr>
          <w:spacing w:val="-7"/>
        </w:rPr>
        <w:t> </w:t>
      </w:r>
      <w:r>
        <w:rPr/>
        <w:t>Consulting,</w:t>
      </w:r>
      <w:r>
        <w:rPr>
          <w:spacing w:val="-4"/>
        </w:rPr>
        <w:t> </w:t>
      </w:r>
      <w:r>
        <w:rPr/>
        <w:t>2016,</w:t>
      </w:r>
      <w:r>
        <w:rPr>
          <w:spacing w:val="-5"/>
        </w:rPr>
        <w:t> </w:t>
      </w:r>
      <w:r>
        <w:rPr/>
        <w:t>p.</w:t>
      </w:r>
      <w:r>
        <w:rPr>
          <w:spacing w:val="-4"/>
        </w:rPr>
        <w:t> </w:t>
      </w:r>
      <w:r>
        <w:rPr>
          <w:spacing w:val="-5"/>
        </w:rPr>
        <w:t>12)</w:t>
      </w:r>
    </w:p>
    <w:p>
      <w:pPr>
        <w:pStyle w:val="BodyText"/>
        <w:spacing w:before="1"/>
        <w:rPr>
          <w:sz w:val="25"/>
        </w:rPr>
      </w:pPr>
    </w:p>
    <w:p>
      <w:pPr>
        <w:pStyle w:val="Heading8"/>
        <w:spacing w:before="1"/>
        <w:ind w:left="713"/>
      </w:pPr>
      <w:r>
        <w:rPr/>
        <w:t>Analytical</w:t>
      </w:r>
      <w:r>
        <w:rPr>
          <w:spacing w:val="-7"/>
        </w:rPr>
        <w:t> </w:t>
      </w:r>
      <w:r>
        <w:rPr/>
        <w:t>decision</w:t>
      </w:r>
      <w:r>
        <w:rPr>
          <w:spacing w:val="-7"/>
        </w:rPr>
        <w:t> </w:t>
      </w:r>
      <w:r>
        <w:rPr>
          <w:spacing w:val="-2"/>
        </w:rPr>
        <w:t>support</w:t>
      </w:r>
    </w:p>
    <w:p>
      <w:pPr>
        <w:spacing w:line="288" w:lineRule="auto" w:before="171"/>
        <w:ind w:left="713" w:right="813" w:firstLine="0"/>
        <w:jc w:val="left"/>
        <w:rPr>
          <w:sz w:val="22"/>
        </w:rPr>
      </w:pPr>
      <w:r>
        <w:rPr>
          <w:sz w:val="22"/>
        </w:rPr>
        <w:t>Huegin</w:t>
      </w:r>
      <w:r>
        <w:rPr>
          <w:spacing w:val="-3"/>
          <w:sz w:val="22"/>
        </w:rPr>
        <w:t> </w:t>
      </w:r>
      <w:r>
        <w:rPr>
          <w:sz w:val="22"/>
        </w:rPr>
        <w:t>recommended</w:t>
      </w:r>
      <w:r>
        <w:rPr>
          <w:spacing w:val="-5"/>
          <w:sz w:val="22"/>
        </w:rPr>
        <w:t> </w:t>
      </w:r>
      <w:r>
        <w:rPr>
          <w:sz w:val="22"/>
        </w:rPr>
        <w:t>that</w:t>
      </w:r>
      <w:r>
        <w:rPr>
          <w:spacing w:val="-2"/>
          <w:sz w:val="22"/>
        </w:rPr>
        <w:t> </w:t>
      </w:r>
      <w:r>
        <w:rPr>
          <w:sz w:val="22"/>
        </w:rPr>
        <w:t>ESV</w:t>
      </w:r>
      <w:r>
        <w:rPr>
          <w:spacing w:val="-3"/>
          <w:sz w:val="22"/>
        </w:rPr>
        <w:t> </w:t>
      </w:r>
      <w:r>
        <w:rPr>
          <w:sz w:val="22"/>
        </w:rPr>
        <w:t>should</w:t>
      </w:r>
      <w:r>
        <w:rPr>
          <w:spacing w:val="-5"/>
          <w:sz w:val="22"/>
        </w:rPr>
        <w:t> </w:t>
      </w:r>
      <w:r>
        <w:rPr>
          <w:sz w:val="22"/>
        </w:rPr>
        <w:t>“</w:t>
      </w:r>
      <w:r>
        <w:rPr>
          <w:i/>
          <w:sz w:val="22"/>
        </w:rPr>
        <w:t>formally</w:t>
      </w:r>
      <w:r>
        <w:rPr>
          <w:i/>
          <w:spacing w:val="-5"/>
          <w:sz w:val="22"/>
        </w:rPr>
        <w:t> </w:t>
      </w:r>
      <w:r>
        <w:rPr>
          <w:i/>
          <w:sz w:val="22"/>
        </w:rPr>
        <w:t>establish</w:t>
      </w:r>
      <w:r>
        <w:rPr>
          <w:i/>
          <w:spacing w:val="-3"/>
          <w:sz w:val="22"/>
        </w:rPr>
        <w:t> </w:t>
      </w:r>
      <w:r>
        <w:rPr>
          <w:i/>
          <w:sz w:val="22"/>
        </w:rPr>
        <w:t>an</w:t>
      </w:r>
      <w:r>
        <w:rPr>
          <w:i/>
          <w:spacing w:val="-3"/>
          <w:sz w:val="22"/>
        </w:rPr>
        <w:t> </w:t>
      </w:r>
      <w:r>
        <w:rPr>
          <w:i/>
          <w:sz w:val="22"/>
        </w:rPr>
        <w:t>ESV-wide</w:t>
      </w:r>
      <w:r>
        <w:rPr>
          <w:i/>
          <w:spacing w:val="-3"/>
          <w:sz w:val="22"/>
        </w:rPr>
        <w:t> </w:t>
      </w:r>
      <w:r>
        <w:rPr>
          <w:i/>
          <w:sz w:val="22"/>
        </w:rPr>
        <w:t>capability</w:t>
      </w:r>
      <w:r>
        <w:rPr>
          <w:i/>
          <w:spacing w:val="-2"/>
          <w:sz w:val="22"/>
        </w:rPr>
        <w:t> </w:t>
      </w:r>
      <w:r>
        <w:rPr>
          <w:i/>
          <w:sz w:val="22"/>
        </w:rPr>
        <w:t>for analytical decision support</w:t>
      </w:r>
      <w:r>
        <w:rPr>
          <w:sz w:val="22"/>
        </w:rPr>
        <w:t>”, noting in its report:</w:t>
      </w:r>
    </w:p>
    <w:p>
      <w:pPr>
        <w:pStyle w:val="BodyText"/>
        <w:spacing w:before="10"/>
        <w:rPr>
          <w:sz w:val="20"/>
        </w:rPr>
      </w:pPr>
    </w:p>
    <w:p>
      <w:pPr>
        <w:spacing w:line="288" w:lineRule="auto" w:before="0"/>
        <w:ind w:left="1166" w:right="1369" w:firstLine="0"/>
        <w:jc w:val="left"/>
        <w:rPr>
          <w:sz w:val="22"/>
        </w:rPr>
      </w:pPr>
      <w:r>
        <w:rPr>
          <w:i/>
          <w:sz w:val="22"/>
        </w:rPr>
        <w:t>… “in providing an assurance of safety to the Community it is reasonable to expect</w:t>
      </w:r>
      <w:r>
        <w:rPr>
          <w:i/>
          <w:spacing w:val="-4"/>
          <w:sz w:val="22"/>
        </w:rPr>
        <w:t> </w:t>
      </w:r>
      <w:r>
        <w:rPr>
          <w:i/>
          <w:sz w:val="22"/>
        </w:rPr>
        <w:t>that</w:t>
      </w:r>
      <w:r>
        <w:rPr>
          <w:i/>
          <w:spacing w:val="-1"/>
          <w:sz w:val="22"/>
        </w:rPr>
        <w:t> </w:t>
      </w:r>
      <w:r>
        <w:rPr>
          <w:i/>
          <w:sz w:val="22"/>
        </w:rPr>
        <w:t>ESV</w:t>
      </w:r>
      <w:r>
        <w:rPr>
          <w:i/>
          <w:spacing w:val="-5"/>
          <w:sz w:val="22"/>
        </w:rPr>
        <w:t> </w:t>
      </w:r>
      <w:r>
        <w:rPr>
          <w:i/>
          <w:sz w:val="22"/>
        </w:rPr>
        <w:t>would</w:t>
      </w:r>
      <w:r>
        <w:rPr>
          <w:i/>
          <w:spacing w:val="-3"/>
          <w:sz w:val="22"/>
        </w:rPr>
        <w:t> </w:t>
      </w:r>
      <w:r>
        <w:rPr>
          <w:i/>
          <w:sz w:val="22"/>
        </w:rPr>
        <w:t>have</w:t>
      </w:r>
      <w:r>
        <w:rPr>
          <w:i/>
          <w:spacing w:val="-3"/>
          <w:sz w:val="22"/>
        </w:rPr>
        <w:t> </w:t>
      </w:r>
      <w:r>
        <w:rPr>
          <w:i/>
          <w:sz w:val="22"/>
        </w:rPr>
        <w:t>some</w:t>
      </w:r>
      <w:r>
        <w:rPr>
          <w:i/>
          <w:spacing w:val="-3"/>
          <w:sz w:val="22"/>
        </w:rPr>
        <w:t> </w:t>
      </w:r>
      <w:r>
        <w:rPr>
          <w:i/>
          <w:sz w:val="22"/>
        </w:rPr>
        <w:t>ability</w:t>
      </w:r>
      <w:r>
        <w:rPr>
          <w:i/>
          <w:spacing w:val="-5"/>
          <w:sz w:val="22"/>
        </w:rPr>
        <w:t> </w:t>
      </w:r>
      <w:r>
        <w:rPr>
          <w:i/>
          <w:sz w:val="22"/>
        </w:rPr>
        <w:t>to</w:t>
      </w:r>
      <w:r>
        <w:rPr>
          <w:i/>
          <w:spacing w:val="-3"/>
          <w:sz w:val="22"/>
        </w:rPr>
        <w:t> </w:t>
      </w:r>
      <w:r>
        <w:rPr>
          <w:i/>
          <w:sz w:val="22"/>
        </w:rPr>
        <w:t>quantitatively</w:t>
      </w:r>
      <w:r>
        <w:rPr>
          <w:i/>
          <w:spacing w:val="-2"/>
          <w:sz w:val="22"/>
        </w:rPr>
        <w:t> </w:t>
      </w:r>
      <w:r>
        <w:rPr>
          <w:i/>
          <w:sz w:val="22"/>
        </w:rPr>
        <w:t>forecast</w:t>
      </w:r>
      <w:r>
        <w:rPr>
          <w:i/>
          <w:spacing w:val="-4"/>
          <w:sz w:val="22"/>
        </w:rPr>
        <w:t> </w:t>
      </w:r>
      <w:r>
        <w:rPr>
          <w:i/>
          <w:sz w:val="22"/>
        </w:rPr>
        <w:t>the</w:t>
      </w:r>
      <w:r>
        <w:rPr>
          <w:i/>
          <w:spacing w:val="-3"/>
          <w:sz w:val="22"/>
        </w:rPr>
        <w:t> </w:t>
      </w:r>
      <w:r>
        <w:rPr>
          <w:i/>
          <w:sz w:val="22"/>
        </w:rPr>
        <w:t>level</w:t>
      </w:r>
      <w:r>
        <w:rPr>
          <w:i/>
          <w:spacing w:val="-3"/>
          <w:sz w:val="22"/>
        </w:rPr>
        <w:t> </w:t>
      </w:r>
      <w:r>
        <w:rPr>
          <w:i/>
          <w:sz w:val="22"/>
        </w:rPr>
        <w:t>of risk likely to be borne. To this end, it is important the ESV is able to leverage analytical</w:t>
      </w:r>
      <w:r>
        <w:rPr>
          <w:i/>
          <w:spacing w:val="-1"/>
          <w:sz w:val="22"/>
        </w:rPr>
        <w:t> </w:t>
      </w:r>
      <w:r>
        <w:rPr>
          <w:i/>
          <w:sz w:val="22"/>
        </w:rPr>
        <w:t>decision support</w:t>
      </w:r>
      <w:r>
        <w:rPr>
          <w:i/>
          <w:spacing w:val="-1"/>
          <w:sz w:val="22"/>
        </w:rPr>
        <w:t> </w:t>
      </w:r>
      <w:r>
        <w:rPr>
          <w:i/>
          <w:sz w:val="22"/>
        </w:rPr>
        <w:t>in the</w:t>
      </w:r>
      <w:r>
        <w:rPr>
          <w:i/>
          <w:spacing w:val="-2"/>
          <w:sz w:val="22"/>
        </w:rPr>
        <w:t> </w:t>
      </w:r>
      <w:r>
        <w:rPr>
          <w:i/>
          <w:sz w:val="22"/>
        </w:rPr>
        <w:t>execution of</w:t>
      </w:r>
      <w:r>
        <w:rPr>
          <w:i/>
          <w:spacing w:val="-1"/>
          <w:sz w:val="22"/>
        </w:rPr>
        <w:t> </w:t>
      </w:r>
      <w:r>
        <w:rPr>
          <w:i/>
          <w:sz w:val="22"/>
        </w:rPr>
        <w:t>key</w:t>
      </w:r>
      <w:r>
        <w:rPr>
          <w:i/>
          <w:spacing w:val="-4"/>
          <w:sz w:val="22"/>
        </w:rPr>
        <w:t> </w:t>
      </w:r>
      <w:r>
        <w:rPr>
          <w:i/>
          <w:sz w:val="22"/>
        </w:rPr>
        <w:t>functions.”</w:t>
      </w:r>
      <w:r>
        <w:rPr>
          <w:i/>
          <w:spacing w:val="-3"/>
          <w:sz w:val="22"/>
        </w:rPr>
        <w:t> </w:t>
      </w:r>
      <w:r>
        <w:rPr>
          <w:sz w:val="22"/>
        </w:rPr>
        <w:t>(Marchment</w:t>
      </w:r>
      <w:r>
        <w:rPr>
          <w:spacing w:val="-1"/>
          <w:sz w:val="22"/>
        </w:rPr>
        <w:t> </w:t>
      </w:r>
      <w:r>
        <w:rPr>
          <w:sz w:val="22"/>
        </w:rPr>
        <w:t>Hill Consulting, 2016, p.13)</w:t>
      </w:r>
    </w:p>
    <w:p>
      <w:pPr>
        <w:pStyle w:val="BodyText"/>
        <w:spacing w:before="10"/>
        <w:rPr>
          <w:sz w:val="20"/>
        </w:rPr>
      </w:pPr>
    </w:p>
    <w:p>
      <w:pPr>
        <w:pStyle w:val="BodyText"/>
        <w:ind w:left="713"/>
      </w:pPr>
      <w:r>
        <w:rPr/>
        <w:t>Huegin</w:t>
      </w:r>
      <w:r>
        <w:rPr>
          <w:spacing w:val="-3"/>
        </w:rPr>
        <w:t> </w:t>
      </w:r>
      <w:r>
        <w:rPr/>
        <w:t>(2016,</w:t>
      </w:r>
      <w:r>
        <w:rPr>
          <w:spacing w:val="-4"/>
        </w:rPr>
        <w:t> </w:t>
      </w:r>
      <w:r>
        <w:rPr/>
        <w:t>p.</w:t>
      </w:r>
      <w:r>
        <w:rPr>
          <w:spacing w:val="-3"/>
        </w:rPr>
        <w:t> </w:t>
      </w:r>
      <w:r>
        <w:rPr/>
        <w:t>13)</w:t>
      </w:r>
      <w:r>
        <w:rPr>
          <w:spacing w:val="-6"/>
        </w:rPr>
        <w:t> </w:t>
      </w:r>
      <w:r>
        <w:rPr/>
        <w:t>further</w:t>
      </w:r>
      <w:r>
        <w:rPr>
          <w:spacing w:val="-1"/>
        </w:rPr>
        <w:t> </w:t>
      </w:r>
      <w:r>
        <w:rPr>
          <w:spacing w:val="-2"/>
        </w:rPr>
        <w:t>noted:</w:t>
      </w:r>
    </w:p>
    <w:p>
      <w:pPr>
        <w:pStyle w:val="BodyText"/>
        <w:spacing w:before="4"/>
        <w:rPr>
          <w:sz w:val="25"/>
        </w:rPr>
      </w:pPr>
    </w:p>
    <w:p>
      <w:pPr>
        <w:spacing w:line="288" w:lineRule="auto" w:before="0"/>
        <w:ind w:left="1166" w:right="1253" w:firstLine="0"/>
        <w:jc w:val="left"/>
        <w:rPr>
          <w:i/>
          <w:sz w:val="22"/>
        </w:rPr>
      </w:pPr>
      <w:r>
        <w:rPr>
          <w:i/>
          <w:sz w:val="22"/>
        </w:rPr>
        <w:t>“The</w:t>
      </w:r>
      <w:r>
        <w:rPr>
          <w:i/>
          <w:spacing w:val="-3"/>
          <w:sz w:val="22"/>
        </w:rPr>
        <w:t> </w:t>
      </w:r>
      <w:r>
        <w:rPr>
          <w:i/>
          <w:sz w:val="22"/>
        </w:rPr>
        <w:t>value</w:t>
      </w:r>
      <w:r>
        <w:rPr>
          <w:i/>
          <w:spacing w:val="-3"/>
          <w:sz w:val="22"/>
        </w:rPr>
        <w:t> </w:t>
      </w:r>
      <w:r>
        <w:rPr>
          <w:i/>
          <w:sz w:val="22"/>
        </w:rPr>
        <w:t>of</w:t>
      </w:r>
      <w:r>
        <w:rPr>
          <w:i/>
          <w:spacing w:val="-2"/>
          <w:sz w:val="22"/>
        </w:rPr>
        <w:t> </w:t>
      </w:r>
      <w:r>
        <w:rPr>
          <w:i/>
          <w:sz w:val="22"/>
        </w:rPr>
        <w:t>an</w:t>
      </w:r>
      <w:r>
        <w:rPr>
          <w:i/>
          <w:spacing w:val="-3"/>
          <w:sz w:val="22"/>
        </w:rPr>
        <w:t> </w:t>
      </w:r>
      <w:r>
        <w:rPr>
          <w:i/>
          <w:sz w:val="22"/>
        </w:rPr>
        <w:t>effective</w:t>
      </w:r>
      <w:r>
        <w:rPr>
          <w:i/>
          <w:spacing w:val="-3"/>
          <w:sz w:val="22"/>
        </w:rPr>
        <w:t> </w:t>
      </w:r>
      <w:r>
        <w:rPr>
          <w:i/>
          <w:sz w:val="22"/>
        </w:rPr>
        <w:t>analytical</w:t>
      </w:r>
      <w:r>
        <w:rPr>
          <w:i/>
          <w:spacing w:val="-4"/>
          <w:sz w:val="22"/>
        </w:rPr>
        <w:t> </w:t>
      </w:r>
      <w:r>
        <w:rPr>
          <w:i/>
          <w:sz w:val="22"/>
        </w:rPr>
        <w:t>decision</w:t>
      </w:r>
      <w:r>
        <w:rPr>
          <w:i/>
          <w:spacing w:val="-3"/>
          <w:sz w:val="22"/>
        </w:rPr>
        <w:t> </w:t>
      </w:r>
      <w:r>
        <w:rPr>
          <w:i/>
          <w:sz w:val="22"/>
        </w:rPr>
        <w:t>support</w:t>
      </w:r>
      <w:r>
        <w:rPr>
          <w:i/>
          <w:spacing w:val="-4"/>
          <w:sz w:val="22"/>
        </w:rPr>
        <w:t> </w:t>
      </w:r>
      <w:r>
        <w:rPr>
          <w:i/>
          <w:sz w:val="22"/>
        </w:rPr>
        <w:t>capability</w:t>
      </w:r>
      <w:r>
        <w:rPr>
          <w:i/>
          <w:spacing w:val="-3"/>
          <w:sz w:val="22"/>
        </w:rPr>
        <w:t> </w:t>
      </w:r>
      <w:r>
        <w:rPr>
          <w:i/>
          <w:sz w:val="22"/>
        </w:rPr>
        <w:t>is</w:t>
      </w:r>
      <w:r>
        <w:rPr>
          <w:i/>
          <w:spacing w:val="-3"/>
          <w:sz w:val="22"/>
        </w:rPr>
        <w:t> </w:t>
      </w:r>
      <w:r>
        <w:rPr>
          <w:i/>
          <w:sz w:val="22"/>
        </w:rPr>
        <w:t>in</w:t>
      </w:r>
      <w:r>
        <w:rPr>
          <w:i/>
          <w:spacing w:val="-5"/>
          <w:sz w:val="22"/>
        </w:rPr>
        <w:t> </w:t>
      </w:r>
      <w:r>
        <w:rPr>
          <w:i/>
          <w:sz w:val="22"/>
        </w:rPr>
        <w:t>the</w:t>
      </w:r>
      <w:r>
        <w:rPr>
          <w:i/>
          <w:spacing w:val="-5"/>
          <w:sz w:val="22"/>
        </w:rPr>
        <w:t> </w:t>
      </w:r>
      <w:r>
        <w:rPr>
          <w:i/>
          <w:sz w:val="22"/>
        </w:rPr>
        <w:t>delivery of insights to both ESV decision makers and other stakeholders”.</w:t>
      </w:r>
    </w:p>
    <w:p>
      <w:pPr>
        <w:pStyle w:val="BodyText"/>
        <w:spacing w:before="10"/>
        <w:rPr>
          <w:i/>
          <w:sz w:val="20"/>
        </w:rPr>
      </w:pPr>
    </w:p>
    <w:p>
      <w:pPr>
        <w:pStyle w:val="BodyText"/>
        <w:spacing w:line="288" w:lineRule="auto"/>
        <w:ind w:left="713" w:right="910"/>
      </w:pPr>
      <w:r>
        <w:rPr/>
        <w:t>It</w:t>
      </w:r>
      <w:r>
        <w:rPr>
          <w:spacing w:val="-3"/>
        </w:rPr>
        <w:t> </w:t>
      </w:r>
      <w:r>
        <w:rPr/>
        <w:t>concluded</w:t>
      </w:r>
      <w:r>
        <w:rPr>
          <w:spacing w:val="-4"/>
        </w:rPr>
        <w:t> </w:t>
      </w:r>
      <w:r>
        <w:rPr/>
        <w:t>that</w:t>
      </w:r>
      <w:r>
        <w:rPr>
          <w:spacing w:val="-3"/>
        </w:rPr>
        <w:t> </w:t>
      </w:r>
      <w:r>
        <w:rPr/>
        <w:t>effective</w:t>
      </w:r>
      <w:r>
        <w:rPr>
          <w:spacing w:val="-2"/>
        </w:rPr>
        <w:t> </w:t>
      </w:r>
      <w:r>
        <w:rPr/>
        <w:t>analytical</w:t>
      </w:r>
      <w:r>
        <w:rPr>
          <w:spacing w:val="-3"/>
        </w:rPr>
        <w:t> </w:t>
      </w:r>
      <w:r>
        <w:rPr/>
        <w:t>decision</w:t>
      </w:r>
      <w:r>
        <w:rPr>
          <w:spacing w:val="-2"/>
        </w:rPr>
        <w:t> </w:t>
      </w:r>
      <w:r>
        <w:rPr/>
        <w:t>support</w:t>
      </w:r>
      <w:r>
        <w:rPr>
          <w:spacing w:val="-3"/>
        </w:rPr>
        <w:t> </w:t>
      </w:r>
      <w:r>
        <w:rPr/>
        <w:t>requires</w:t>
      </w:r>
      <w:r>
        <w:rPr>
          <w:spacing w:val="-4"/>
        </w:rPr>
        <w:t> </w:t>
      </w:r>
      <w:r>
        <w:rPr/>
        <w:t>access</w:t>
      </w:r>
      <w:r>
        <w:rPr>
          <w:spacing w:val="-4"/>
        </w:rPr>
        <w:t> </w:t>
      </w:r>
      <w:r>
        <w:rPr/>
        <w:t>to</w:t>
      </w:r>
      <w:r>
        <w:rPr>
          <w:spacing w:val="-2"/>
        </w:rPr>
        <w:t> </w:t>
      </w:r>
      <w:r>
        <w:rPr/>
        <w:t>both</w:t>
      </w:r>
      <w:r>
        <w:rPr>
          <w:spacing w:val="-1"/>
        </w:rPr>
        <w:t> </w:t>
      </w:r>
      <w:r>
        <w:rPr/>
        <w:t>sufficient data and sophisticated analytical tools.</w:t>
      </w:r>
    </w:p>
    <w:p>
      <w:pPr>
        <w:pStyle w:val="BodyText"/>
        <w:rPr>
          <w:sz w:val="20"/>
        </w:rPr>
      </w:pPr>
    </w:p>
    <w:p>
      <w:pPr>
        <w:pStyle w:val="BodyText"/>
        <w:rPr>
          <w:sz w:val="20"/>
        </w:rPr>
      </w:pPr>
    </w:p>
    <w:p>
      <w:pPr>
        <w:pStyle w:val="BodyText"/>
        <w:rPr>
          <w:sz w:val="20"/>
        </w:rPr>
      </w:pPr>
    </w:p>
    <w:p>
      <w:pPr>
        <w:pStyle w:val="Heading4"/>
        <w:spacing w:before="212"/>
        <w:ind w:left="600"/>
      </w:pPr>
      <w:r>
        <w:rPr>
          <w:color w:val="585858"/>
        </w:rPr>
        <w:t>Strengthening</w:t>
      </w:r>
      <w:r>
        <w:rPr>
          <w:color w:val="585858"/>
          <w:spacing w:val="-16"/>
        </w:rPr>
        <w:t> </w:t>
      </w:r>
      <w:r>
        <w:rPr>
          <w:color w:val="585858"/>
        </w:rPr>
        <w:t>ESV’s</w:t>
      </w:r>
      <w:r>
        <w:rPr>
          <w:color w:val="585858"/>
          <w:spacing w:val="-17"/>
        </w:rPr>
        <w:t> </w:t>
      </w:r>
      <w:r>
        <w:rPr>
          <w:color w:val="585858"/>
        </w:rPr>
        <w:t>capabilities</w:t>
      </w:r>
      <w:r>
        <w:rPr>
          <w:color w:val="585858"/>
          <w:spacing w:val="-17"/>
        </w:rPr>
        <w:t> </w:t>
      </w:r>
      <w:r>
        <w:rPr>
          <w:color w:val="585858"/>
        </w:rPr>
        <w:t>for</w:t>
      </w:r>
      <w:r>
        <w:rPr>
          <w:color w:val="585858"/>
          <w:spacing w:val="-16"/>
        </w:rPr>
        <w:t> </w:t>
      </w:r>
      <w:r>
        <w:rPr>
          <w:color w:val="585858"/>
        </w:rPr>
        <w:t>effective</w:t>
      </w:r>
      <w:r>
        <w:rPr>
          <w:color w:val="585858"/>
          <w:spacing w:val="-15"/>
        </w:rPr>
        <w:t> </w:t>
      </w:r>
      <w:r>
        <w:rPr>
          <w:color w:val="585858"/>
          <w:spacing w:val="-2"/>
        </w:rPr>
        <w:t>regulation</w:t>
      </w:r>
    </w:p>
    <w:p>
      <w:pPr>
        <w:spacing w:line="288" w:lineRule="auto" w:before="315"/>
        <w:ind w:left="600" w:right="586" w:firstLine="0"/>
        <w:jc w:val="left"/>
        <w:rPr>
          <w:sz w:val="22"/>
        </w:rPr>
      </w:pPr>
      <w:r>
        <w:rPr>
          <w:sz w:val="22"/>
        </w:rPr>
        <w:t>In addition to recognising the need to strengthen its processes to support “</w:t>
      </w:r>
      <w:r>
        <w:rPr>
          <w:i/>
          <w:sz w:val="22"/>
        </w:rPr>
        <w:t>informed, predictable</w:t>
      </w:r>
      <w:r>
        <w:rPr>
          <w:i/>
          <w:spacing w:val="-4"/>
          <w:sz w:val="22"/>
        </w:rPr>
        <w:t> </w:t>
      </w:r>
      <w:r>
        <w:rPr>
          <w:i/>
          <w:sz w:val="22"/>
        </w:rPr>
        <w:t>and</w:t>
      </w:r>
      <w:r>
        <w:rPr>
          <w:i/>
          <w:spacing w:val="-6"/>
          <w:sz w:val="22"/>
        </w:rPr>
        <w:t> </w:t>
      </w:r>
      <w:r>
        <w:rPr>
          <w:i/>
          <w:sz w:val="22"/>
        </w:rPr>
        <w:t>transparent</w:t>
      </w:r>
      <w:r>
        <w:rPr>
          <w:i/>
          <w:spacing w:val="-5"/>
          <w:sz w:val="22"/>
        </w:rPr>
        <w:t> </w:t>
      </w:r>
      <w:r>
        <w:rPr>
          <w:i/>
          <w:sz w:val="22"/>
        </w:rPr>
        <w:t>regulatory</w:t>
      </w:r>
      <w:r>
        <w:rPr>
          <w:i/>
          <w:spacing w:val="-5"/>
          <w:sz w:val="22"/>
        </w:rPr>
        <w:t> </w:t>
      </w:r>
      <w:r>
        <w:rPr>
          <w:i/>
          <w:sz w:val="22"/>
        </w:rPr>
        <w:t>decision-making</w:t>
      </w:r>
      <w:r>
        <w:rPr>
          <w:sz w:val="22"/>
        </w:rPr>
        <w:t>”,</w:t>
      </w:r>
      <w:r>
        <w:rPr>
          <w:spacing w:val="-5"/>
          <w:sz w:val="22"/>
        </w:rPr>
        <w:t> </w:t>
      </w:r>
      <w:r>
        <w:rPr>
          <w:sz w:val="22"/>
        </w:rPr>
        <w:t>ESV’s</w:t>
      </w:r>
      <w:r>
        <w:rPr>
          <w:spacing w:val="-3"/>
          <w:sz w:val="22"/>
        </w:rPr>
        <w:t> </w:t>
      </w:r>
      <w:r>
        <w:rPr>
          <w:i/>
          <w:sz w:val="22"/>
        </w:rPr>
        <w:t>Corporate</w:t>
      </w:r>
      <w:r>
        <w:rPr>
          <w:i/>
          <w:spacing w:val="-4"/>
          <w:sz w:val="22"/>
        </w:rPr>
        <w:t> </w:t>
      </w:r>
      <w:r>
        <w:rPr>
          <w:i/>
          <w:sz w:val="22"/>
        </w:rPr>
        <w:t>Plan</w:t>
      </w:r>
      <w:r>
        <w:rPr>
          <w:i/>
          <w:spacing w:val="-4"/>
          <w:sz w:val="22"/>
        </w:rPr>
        <w:t> </w:t>
      </w:r>
      <w:r>
        <w:rPr>
          <w:i/>
          <w:sz w:val="22"/>
        </w:rPr>
        <w:t>2017–2020 </w:t>
      </w:r>
      <w:r>
        <w:rPr>
          <w:sz w:val="22"/>
        </w:rPr>
        <w:t>recognises the need to build a range of capabilities, including:</w:t>
      </w:r>
    </w:p>
    <w:p>
      <w:pPr>
        <w:pStyle w:val="BodyText"/>
        <w:spacing w:before="5"/>
      </w:pPr>
    </w:p>
    <w:p>
      <w:pPr>
        <w:pStyle w:val="ListParagraph"/>
        <w:numPr>
          <w:ilvl w:val="0"/>
          <w:numId w:val="33"/>
        </w:numPr>
        <w:tabs>
          <w:tab w:pos="1102" w:val="left" w:leader="none"/>
        </w:tabs>
        <w:spacing w:line="285" w:lineRule="auto" w:before="0" w:after="0"/>
        <w:ind w:left="1102" w:right="1916" w:hanging="360"/>
        <w:jc w:val="left"/>
        <w:rPr>
          <w:i/>
          <w:sz w:val="22"/>
        </w:rPr>
      </w:pPr>
      <w:r>
        <w:rPr>
          <w:i/>
          <w:sz w:val="22"/>
        </w:rPr>
        <w:t>“building</w:t>
      </w:r>
      <w:r>
        <w:rPr>
          <w:i/>
          <w:spacing w:val="-3"/>
          <w:sz w:val="22"/>
        </w:rPr>
        <w:t> </w:t>
      </w:r>
      <w:r>
        <w:rPr>
          <w:i/>
          <w:sz w:val="22"/>
        </w:rPr>
        <w:t>ESV’s</w:t>
      </w:r>
      <w:r>
        <w:rPr>
          <w:i/>
          <w:spacing w:val="-2"/>
          <w:sz w:val="22"/>
        </w:rPr>
        <w:t> </w:t>
      </w:r>
      <w:r>
        <w:rPr>
          <w:i/>
          <w:sz w:val="22"/>
        </w:rPr>
        <w:t>internal</w:t>
      </w:r>
      <w:r>
        <w:rPr>
          <w:i/>
          <w:spacing w:val="-3"/>
          <w:sz w:val="22"/>
        </w:rPr>
        <w:t> </w:t>
      </w:r>
      <w:r>
        <w:rPr>
          <w:i/>
          <w:sz w:val="22"/>
        </w:rPr>
        <w:t>capability</w:t>
      </w:r>
      <w:r>
        <w:rPr>
          <w:i/>
          <w:spacing w:val="-2"/>
          <w:sz w:val="22"/>
        </w:rPr>
        <w:t> </w:t>
      </w:r>
      <w:r>
        <w:rPr>
          <w:i/>
          <w:sz w:val="22"/>
        </w:rPr>
        <w:t>and</w:t>
      </w:r>
      <w:r>
        <w:rPr>
          <w:i/>
          <w:spacing w:val="-3"/>
          <w:sz w:val="22"/>
        </w:rPr>
        <w:t> </w:t>
      </w:r>
      <w:r>
        <w:rPr>
          <w:i/>
          <w:sz w:val="22"/>
        </w:rPr>
        <w:t>expertise</w:t>
      </w:r>
      <w:r>
        <w:rPr>
          <w:i/>
          <w:spacing w:val="-5"/>
          <w:sz w:val="22"/>
        </w:rPr>
        <w:t> </w:t>
      </w:r>
      <w:r>
        <w:rPr>
          <w:i/>
          <w:sz w:val="22"/>
        </w:rPr>
        <w:t>to</w:t>
      </w:r>
      <w:r>
        <w:rPr>
          <w:i/>
          <w:spacing w:val="-5"/>
          <w:sz w:val="22"/>
        </w:rPr>
        <w:t> </w:t>
      </w:r>
      <w:r>
        <w:rPr>
          <w:i/>
          <w:sz w:val="22"/>
        </w:rPr>
        <w:t>respond</w:t>
      </w:r>
      <w:r>
        <w:rPr>
          <w:i/>
          <w:spacing w:val="-5"/>
          <w:sz w:val="22"/>
        </w:rPr>
        <w:t> </w:t>
      </w:r>
      <w:r>
        <w:rPr>
          <w:i/>
          <w:sz w:val="22"/>
        </w:rPr>
        <w:t>to</w:t>
      </w:r>
      <w:r>
        <w:rPr>
          <w:i/>
          <w:spacing w:val="-5"/>
          <w:sz w:val="22"/>
        </w:rPr>
        <w:t> </w:t>
      </w:r>
      <w:r>
        <w:rPr>
          <w:i/>
          <w:sz w:val="22"/>
        </w:rPr>
        <w:t>the</w:t>
      </w:r>
      <w:r>
        <w:rPr>
          <w:i/>
          <w:spacing w:val="-5"/>
          <w:sz w:val="22"/>
        </w:rPr>
        <w:t> </w:t>
      </w:r>
      <w:r>
        <w:rPr>
          <w:i/>
          <w:sz w:val="22"/>
        </w:rPr>
        <w:t>dynamic technological and engineering changes in industry</w:t>
      </w:r>
    </w:p>
    <w:p>
      <w:pPr>
        <w:spacing w:after="0" w:line="285" w:lineRule="auto"/>
        <w:jc w:val="left"/>
        <w:rPr>
          <w:sz w:val="22"/>
        </w:rPr>
        <w:sectPr>
          <w:pgSz w:w="11910" w:h="16840"/>
          <w:pgMar w:header="887" w:footer="1228" w:top="1080" w:bottom="1500" w:left="840" w:right="820"/>
        </w:sectPr>
      </w:pPr>
    </w:p>
    <w:p>
      <w:pPr>
        <w:pStyle w:val="BodyText"/>
        <w:rPr>
          <w:i/>
          <w:sz w:val="20"/>
        </w:rPr>
      </w:pPr>
    </w:p>
    <w:p>
      <w:pPr>
        <w:pStyle w:val="BodyText"/>
        <w:rPr>
          <w:i/>
          <w:sz w:val="20"/>
        </w:rPr>
      </w:pPr>
    </w:p>
    <w:p>
      <w:pPr>
        <w:pStyle w:val="BodyText"/>
        <w:spacing w:before="10"/>
        <w:rPr>
          <w:i/>
          <w:sz w:val="23"/>
        </w:rPr>
      </w:pPr>
    </w:p>
    <w:p>
      <w:pPr>
        <w:pStyle w:val="ListParagraph"/>
        <w:numPr>
          <w:ilvl w:val="0"/>
          <w:numId w:val="33"/>
        </w:numPr>
        <w:tabs>
          <w:tab w:pos="1102" w:val="left" w:leader="none"/>
        </w:tabs>
        <w:spacing w:line="288" w:lineRule="auto" w:before="0" w:after="0"/>
        <w:ind w:left="1102" w:right="666" w:hanging="360"/>
        <w:jc w:val="left"/>
        <w:rPr>
          <w:i/>
          <w:sz w:val="22"/>
        </w:rPr>
      </w:pPr>
      <w:r>
        <w:rPr>
          <w:i/>
          <w:sz w:val="22"/>
        </w:rPr>
        <w:t>collecting,</w:t>
      </w:r>
      <w:r>
        <w:rPr>
          <w:i/>
          <w:spacing w:val="-3"/>
          <w:sz w:val="22"/>
        </w:rPr>
        <w:t> </w:t>
      </w:r>
      <w:r>
        <w:rPr>
          <w:i/>
          <w:sz w:val="22"/>
        </w:rPr>
        <w:t>analysing</w:t>
      </w:r>
      <w:r>
        <w:rPr>
          <w:i/>
          <w:spacing w:val="-3"/>
          <w:sz w:val="22"/>
        </w:rPr>
        <w:t> </w:t>
      </w:r>
      <w:r>
        <w:rPr>
          <w:i/>
          <w:sz w:val="22"/>
        </w:rPr>
        <w:t>and</w:t>
      </w:r>
      <w:r>
        <w:rPr>
          <w:i/>
          <w:spacing w:val="-5"/>
          <w:sz w:val="22"/>
        </w:rPr>
        <w:t> </w:t>
      </w:r>
      <w:r>
        <w:rPr>
          <w:i/>
          <w:sz w:val="22"/>
        </w:rPr>
        <w:t>reporting</w:t>
      </w:r>
      <w:r>
        <w:rPr>
          <w:i/>
          <w:spacing w:val="-3"/>
          <w:sz w:val="22"/>
        </w:rPr>
        <w:t> </w:t>
      </w:r>
      <w:r>
        <w:rPr>
          <w:i/>
          <w:sz w:val="22"/>
        </w:rPr>
        <w:t>performance</w:t>
      </w:r>
      <w:r>
        <w:rPr>
          <w:i/>
          <w:spacing w:val="-3"/>
          <w:sz w:val="22"/>
        </w:rPr>
        <w:t> </w:t>
      </w:r>
      <w:r>
        <w:rPr>
          <w:i/>
          <w:sz w:val="22"/>
        </w:rPr>
        <w:t>data</w:t>
      </w:r>
      <w:r>
        <w:rPr>
          <w:i/>
          <w:spacing w:val="-4"/>
          <w:sz w:val="22"/>
        </w:rPr>
        <w:t> </w:t>
      </w:r>
      <w:r>
        <w:rPr>
          <w:i/>
          <w:sz w:val="22"/>
        </w:rPr>
        <w:t>to</w:t>
      </w:r>
      <w:r>
        <w:rPr>
          <w:i/>
          <w:spacing w:val="-3"/>
          <w:sz w:val="22"/>
        </w:rPr>
        <w:t> </w:t>
      </w:r>
      <w:r>
        <w:rPr>
          <w:i/>
          <w:sz w:val="22"/>
        </w:rPr>
        <w:t>inform</w:t>
      </w:r>
      <w:r>
        <w:rPr>
          <w:i/>
          <w:spacing w:val="-4"/>
          <w:sz w:val="22"/>
        </w:rPr>
        <w:t> </w:t>
      </w:r>
      <w:r>
        <w:rPr>
          <w:i/>
          <w:sz w:val="22"/>
        </w:rPr>
        <w:t>community,</w:t>
      </w:r>
      <w:r>
        <w:rPr>
          <w:i/>
          <w:spacing w:val="-4"/>
          <w:sz w:val="22"/>
        </w:rPr>
        <w:t> </w:t>
      </w:r>
      <w:r>
        <w:rPr>
          <w:i/>
          <w:sz w:val="22"/>
        </w:rPr>
        <w:t>industry</w:t>
      </w:r>
      <w:r>
        <w:rPr>
          <w:i/>
          <w:spacing w:val="-3"/>
          <w:sz w:val="22"/>
        </w:rPr>
        <w:t> </w:t>
      </w:r>
      <w:r>
        <w:rPr>
          <w:i/>
          <w:sz w:val="22"/>
        </w:rPr>
        <w:t>and government of emerging risks</w:t>
      </w:r>
    </w:p>
    <w:p>
      <w:pPr>
        <w:pStyle w:val="BodyText"/>
        <w:spacing w:before="4"/>
        <w:rPr>
          <w:i/>
        </w:rPr>
      </w:pPr>
    </w:p>
    <w:p>
      <w:pPr>
        <w:pStyle w:val="ListParagraph"/>
        <w:numPr>
          <w:ilvl w:val="0"/>
          <w:numId w:val="33"/>
        </w:numPr>
        <w:tabs>
          <w:tab w:pos="1102" w:val="left" w:leader="none"/>
        </w:tabs>
        <w:spacing w:line="288" w:lineRule="auto" w:before="0" w:after="0"/>
        <w:ind w:left="1102" w:right="749" w:hanging="360"/>
        <w:jc w:val="left"/>
        <w:rPr>
          <w:sz w:val="22"/>
        </w:rPr>
      </w:pPr>
      <w:r>
        <w:rPr>
          <w:i/>
          <w:sz w:val="22"/>
        </w:rPr>
        <w:t>developing sophisticated IT systems to enable work flow, database management and digital</w:t>
      </w:r>
      <w:r>
        <w:rPr>
          <w:i/>
          <w:spacing w:val="-3"/>
          <w:sz w:val="22"/>
        </w:rPr>
        <w:t> </w:t>
      </w:r>
      <w:r>
        <w:rPr>
          <w:i/>
          <w:sz w:val="22"/>
        </w:rPr>
        <w:t>platforms</w:t>
      </w:r>
      <w:r>
        <w:rPr>
          <w:i/>
          <w:spacing w:val="-4"/>
          <w:sz w:val="22"/>
        </w:rPr>
        <w:t> </w:t>
      </w:r>
      <w:r>
        <w:rPr>
          <w:i/>
          <w:sz w:val="22"/>
        </w:rPr>
        <w:t>and</w:t>
      </w:r>
      <w:r>
        <w:rPr>
          <w:i/>
          <w:spacing w:val="-2"/>
          <w:sz w:val="22"/>
        </w:rPr>
        <w:t> </w:t>
      </w:r>
      <w:r>
        <w:rPr>
          <w:i/>
          <w:sz w:val="22"/>
        </w:rPr>
        <w:t>portals</w:t>
      </w:r>
      <w:r>
        <w:rPr>
          <w:i/>
          <w:spacing w:val="-1"/>
          <w:sz w:val="22"/>
        </w:rPr>
        <w:t> </w:t>
      </w:r>
      <w:r>
        <w:rPr>
          <w:i/>
          <w:sz w:val="22"/>
        </w:rPr>
        <w:t>for</w:t>
      </w:r>
      <w:r>
        <w:rPr>
          <w:i/>
          <w:spacing w:val="-3"/>
          <w:sz w:val="22"/>
        </w:rPr>
        <w:t> </w:t>
      </w:r>
      <w:r>
        <w:rPr>
          <w:i/>
          <w:sz w:val="22"/>
        </w:rPr>
        <w:t>improved</w:t>
      </w:r>
      <w:r>
        <w:rPr>
          <w:i/>
          <w:spacing w:val="-2"/>
          <w:sz w:val="22"/>
        </w:rPr>
        <w:t> </w:t>
      </w:r>
      <w:r>
        <w:rPr>
          <w:i/>
          <w:sz w:val="22"/>
        </w:rPr>
        <w:t>access</w:t>
      </w:r>
      <w:r>
        <w:rPr>
          <w:i/>
          <w:spacing w:val="-6"/>
          <w:sz w:val="22"/>
        </w:rPr>
        <w:t> </w:t>
      </w:r>
      <w:r>
        <w:rPr>
          <w:i/>
          <w:sz w:val="22"/>
        </w:rPr>
        <w:t>and</w:t>
      </w:r>
      <w:r>
        <w:rPr>
          <w:i/>
          <w:spacing w:val="-2"/>
          <w:sz w:val="22"/>
        </w:rPr>
        <w:t> </w:t>
      </w:r>
      <w:r>
        <w:rPr>
          <w:i/>
          <w:sz w:val="22"/>
        </w:rPr>
        <w:t>interaction</w:t>
      </w:r>
      <w:r>
        <w:rPr>
          <w:i/>
          <w:spacing w:val="-4"/>
          <w:sz w:val="22"/>
        </w:rPr>
        <w:t> </w:t>
      </w:r>
      <w:r>
        <w:rPr>
          <w:i/>
          <w:sz w:val="22"/>
        </w:rPr>
        <w:t>with</w:t>
      </w:r>
      <w:r>
        <w:rPr>
          <w:i/>
          <w:spacing w:val="-4"/>
          <w:sz w:val="22"/>
        </w:rPr>
        <w:t> </w:t>
      </w:r>
      <w:r>
        <w:rPr>
          <w:i/>
          <w:sz w:val="22"/>
        </w:rPr>
        <w:t>industry,</w:t>
      </w:r>
      <w:r>
        <w:rPr>
          <w:i/>
          <w:spacing w:val="-3"/>
          <w:sz w:val="22"/>
        </w:rPr>
        <w:t> </w:t>
      </w:r>
      <w:r>
        <w:rPr>
          <w:i/>
          <w:sz w:val="22"/>
        </w:rPr>
        <w:t>such</w:t>
      </w:r>
      <w:r>
        <w:rPr>
          <w:i/>
          <w:spacing w:val="-2"/>
          <w:sz w:val="22"/>
        </w:rPr>
        <w:t> </w:t>
      </w:r>
      <w:r>
        <w:rPr>
          <w:i/>
          <w:sz w:val="22"/>
        </w:rPr>
        <w:t>as ESVConnect and GasTrac.” </w:t>
      </w:r>
      <w:r>
        <w:rPr>
          <w:sz w:val="22"/>
        </w:rPr>
        <w:t>(ESV, 2017b, p. 1)</w:t>
      </w:r>
    </w:p>
    <w:p>
      <w:pPr>
        <w:pStyle w:val="BodyText"/>
        <w:spacing w:before="6"/>
        <w:rPr>
          <w:sz w:val="20"/>
        </w:rPr>
      </w:pPr>
    </w:p>
    <w:p>
      <w:pPr>
        <w:pStyle w:val="BodyText"/>
        <w:spacing w:line="288" w:lineRule="auto"/>
        <w:ind w:left="600" w:right="586"/>
      </w:pPr>
      <w:r>
        <w:rPr/>
        <w:t>Strong</w:t>
      </w:r>
      <w:r>
        <w:rPr>
          <w:spacing w:val="-3"/>
        </w:rPr>
        <w:t> </w:t>
      </w:r>
      <w:r>
        <w:rPr/>
        <w:t>corporate</w:t>
      </w:r>
      <w:r>
        <w:rPr>
          <w:spacing w:val="-7"/>
        </w:rPr>
        <w:t> </w:t>
      </w:r>
      <w:r>
        <w:rPr/>
        <w:t>governance</w:t>
      </w:r>
      <w:r>
        <w:rPr>
          <w:spacing w:val="-3"/>
        </w:rPr>
        <w:t> </w:t>
      </w:r>
      <w:r>
        <w:rPr/>
        <w:t>and</w:t>
      </w:r>
      <w:r>
        <w:rPr>
          <w:spacing w:val="-3"/>
        </w:rPr>
        <w:t> </w:t>
      </w:r>
      <w:r>
        <w:rPr/>
        <w:t>leadership</w:t>
      </w:r>
      <w:r>
        <w:rPr>
          <w:spacing w:val="-3"/>
        </w:rPr>
        <w:t> </w:t>
      </w:r>
      <w:r>
        <w:rPr/>
        <w:t>will</w:t>
      </w:r>
      <w:r>
        <w:rPr>
          <w:spacing w:val="-1"/>
        </w:rPr>
        <w:t> </w:t>
      </w:r>
      <w:r>
        <w:rPr/>
        <w:t>be</w:t>
      </w:r>
      <w:r>
        <w:rPr>
          <w:spacing w:val="-3"/>
        </w:rPr>
        <w:t> </w:t>
      </w:r>
      <w:r>
        <w:rPr/>
        <w:t>necessary</w:t>
      </w:r>
      <w:r>
        <w:rPr>
          <w:spacing w:val="-5"/>
        </w:rPr>
        <w:t> </w:t>
      </w:r>
      <w:r>
        <w:rPr/>
        <w:t>to</w:t>
      </w:r>
      <w:r>
        <w:rPr>
          <w:spacing w:val="-3"/>
        </w:rPr>
        <w:t> </w:t>
      </w:r>
      <w:r>
        <w:rPr/>
        <w:t>ensure</w:t>
      </w:r>
      <w:r>
        <w:rPr>
          <w:spacing w:val="-5"/>
        </w:rPr>
        <w:t> </w:t>
      </w:r>
      <w:r>
        <w:rPr/>
        <w:t>that</w:t>
      </w:r>
      <w:r>
        <w:rPr>
          <w:spacing w:val="-4"/>
        </w:rPr>
        <w:t> </w:t>
      </w:r>
      <w:r>
        <w:rPr/>
        <w:t>the</w:t>
      </w:r>
      <w:r>
        <w:rPr>
          <w:spacing w:val="-3"/>
        </w:rPr>
        <w:t> </w:t>
      </w:r>
      <w:r>
        <w:rPr/>
        <w:t>objectives set out in the Corporate Plan are delivered.</w:t>
      </w:r>
    </w:p>
    <w:p>
      <w:pPr>
        <w:pStyle w:val="BodyText"/>
        <w:spacing w:before="4"/>
        <w:rPr>
          <w:sz w:val="31"/>
        </w:rPr>
      </w:pPr>
    </w:p>
    <w:p>
      <w:pPr>
        <w:pStyle w:val="Heading4"/>
        <w:spacing w:before="0"/>
        <w:ind w:left="600"/>
      </w:pPr>
      <w:r>
        <w:rPr>
          <w:color w:val="585858"/>
        </w:rPr>
        <w:t>Building</w:t>
      </w:r>
      <w:r>
        <w:rPr>
          <w:color w:val="585858"/>
          <w:spacing w:val="-18"/>
        </w:rPr>
        <w:t> </w:t>
      </w:r>
      <w:r>
        <w:rPr>
          <w:color w:val="585858"/>
        </w:rPr>
        <w:t>ESV’s</w:t>
      </w:r>
      <w:r>
        <w:rPr>
          <w:color w:val="585858"/>
          <w:spacing w:val="-14"/>
        </w:rPr>
        <w:t> </w:t>
      </w:r>
      <w:r>
        <w:rPr>
          <w:color w:val="585858"/>
        </w:rPr>
        <w:t>workforce</w:t>
      </w:r>
      <w:r>
        <w:rPr>
          <w:color w:val="585858"/>
          <w:spacing w:val="-17"/>
        </w:rPr>
        <w:t> </w:t>
      </w:r>
      <w:r>
        <w:rPr>
          <w:color w:val="585858"/>
        </w:rPr>
        <w:t>capabilities</w:t>
      </w:r>
      <w:r>
        <w:rPr>
          <w:color w:val="585858"/>
          <w:spacing w:val="-14"/>
        </w:rPr>
        <w:t> </w:t>
      </w:r>
      <w:r>
        <w:rPr>
          <w:color w:val="585858"/>
        </w:rPr>
        <w:t>and</w:t>
      </w:r>
      <w:r>
        <w:rPr>
          <w:color w:val="585858"/>
          <w:spacing w:val="-13"/>
        </w:rPr>
        <w:t> </w:t>
      </w:r>
      <w:r>
        <w:rPr>
          <w:color w:val="585858"/>
          <w:spacing w:val="-2"/>
        </w:rPr>
        <w:t>diversity</w:t>
      </w:r>
    </w:p>
    <w:p>
      <w:pPr>
        <w:pStyle w:val="BodyText"/>
        <w:spacing w:line="288" w:lineRule="auto" w:before="314"/>
        <w:ind w:left="600" w:right="629"/>
      </w:pPr>
      <w:r>
        <w:rPr/>
        <w:t>As reflected in</w:t>
      </w:r>
      <w:r>
        <w:rPr>
          <w:spacing w:val="-2"/>
        </w:rPr>
        <w:t> </w:t>
      </w:r>
      <w:r>
        <w:rPr/>
        <w:t>its </w:t>
      </w:r>
      <w:r>
        <w:rPr>
          <w:i/>
        </w:rPr>
        <w:t>Corporate Plan 2017–2020</w:t>
      </w:r>
      <w:r>
        <w:rPr/>
        <w:t>, ESV</w:t>
      </w:r>
      <w:r>
        <w:rPr>
          <w:spacing w:val="-2"/>
        </w:rPr>
        <w:t> </w:t>
      </w:r>
      <w:r>
        <w:rPr/>
        <w:t>faces</w:t>
      </w:r>
      <w:r>
        <w:rPr>
          <w:spacing w:val="-2"/>
        </w:rPr>
        <w:t> </w:t>
      </w:r>
      <w:r>
        <w:rPr/>
        <w:t>a</w:t>
      </w:r>
      <w:r>
        <w:rPr>
          <w:spacing w:val="-2"/>
        </w:rPr>
        <w:t> </w:t>
      </w:r>
      <w:r>
        <w:rPr/>
        <w:t>changing environment, with new technologies, imported equipment, and distributed energy and storage raising new challenges and opportunities. At the same time, ESV needs to adopt new</w:t>
      </w:r>
      <w:r>
        <w:rPr>
          <w:spacing w:val="-3"/>
        </w:rPr>
        <w:t> </w:t>
      </w:r>
      <w:r>
        <w:rPr/>
        <w:t>and sophisticated approaches</w:t>
      </w:r>
      <w:r>
        <w:rPr>
          <w:spacing w:val="-5"/>
        </w:rPr>
        <w:t> </w:t>
      </w:r>
      <w:r>
        <w:rPr/>
        <w:t>to</w:t>
      </w:r>
      <w:r>
        <w:rPr>
          <w:spacing w:val="-5"/>
        </w:rPr>
        <w:t> </w:t>
      </w:r>
      <w:r>
        <w:rPr/>
        <w:t>support</w:t>
      </w:r>
      <w:r>
        <w:rPr>
          <w:spacing w:val="-1"/>
        </w:rPr>
        <w:t> </w:t>
      </w:r>
      <w:r>
        <w:rPr/>
        <w:t>its</w:t>
      </w:r>
      <w:r>
        <w:rPr>
          <w:spacing w:val="-2"/>
        </w:rPr>
        <w:t> </w:t>
      </w:r>
      <w:r>
        <w:rPr/>
        <w:t>work,</w:t>
      </w:r>
      <w:r>
        <w:rPr>
          <w:spacing w:val="-1"/>
        </w:rPr>
        <w:t> </w:t>
      </w:r>
      <w:r>
        <w:rPr/>
        <w:t>including</w:t>
      </w:r>
      <w:r>
        <w:rPr>
          <w:spacing w:val="-3"/>
        </w:rPr>
        <w:t> </w:t>
      </w:r>
      <w:r>
        <w:rPr/>
        <w:t>analytical</w:t>
      </w:r>
      <w:r>
        <w:rPr>
          <w:spacing w:val="-4"/>
        </w:rPr>
        <w:t> </w:t>
      </w:r>
      <w:r>
        <w:rPr/>
        <w:t>and</w:t>
      </w:r>
      <w:r>
        <w:rPr>
          <w:spacing w:val="-3"/>
        </w:rPr>
        <w:t> </w:t>
      </w:r>
      <w:r>
        <w:rPr/>
        <w:t>auditing</w:t>
      </w:r>
      <w:r>
        <w:rPr>
          <w:spacing w:val="-1"/>
        </w:rPr>
        <w:t> </w:t>
      </w:r>
      <w:r>
        <w:rPr/>
        <w:t>approaches.</w:t>
      </w:r>
      <w:r>
        <w:rPr>
          <w:spacing w:val="-4"/>
        </w:rPr>
        <w:t> </w:t>
      </w:r>
      <w:r>
        <w:rPr/>
        <w:t>These</w:t>
      </w:r>
      <w:r>
        <w:rPr>
          <w:spacing w:val="-7"/>
        </w:rPr>
        <w:t> </w:t>
      </w:r>
      <w:r>
        <w:rPr/>
        <w:t>themes are explored in further detail in the following chapters of this Final Report.</w:t>
      </w:r>
    </w:p>
    <w:p>
      <w:pPr>
        <w:pStyle w:val="BodyText"/>
        <w:rPr>
          <w:sz w:val="21"/>
        </w:rPr>
      </w:pPr>
    </w:p>
    <w:p>
      <w:pPr>
        <w:pStyle w:val="BodyText"/>
        <w:spacing w:line="288" w:lineRule="auto"/>
        <w:ind w:left="600" w:right="713"/>
      </w:pPr>
      <w:r>
        <w:rPr/>
        <w:t>Ultimately</w:t>
      </w:r>
      <w:r>
        <w:rPr>
          <w:spacing w:val="-4"/>
        </w:rPr>
        <w:t> </w:t>
      </w:r>
      <w:r>
        <w:rPr/>
        <w:t>ESV’s</w:t>
      </w:r>
      <w:r>
        <w:rPr>
          <w:spacing w:val="-2"/>
        </w:rPr>
        <w:t> </w:t>
      </w:r>
      <w:r>
        <w:rPr/>
        <w:t>capacity</w:t>
      </w:r>
      <w:r>
        <w:rPr>
          <w:spacing w:val="-4"/>
        </w:rPr>
        <w:t> </w:t>
      </w:r>
      <w:r>
        <w:rPr/>
        <w:t>to</w:t>
      </w:r>
      <w:r>
        <w:rPr>
          <w:spacing w:val="-3"/>
        </w:rPr>
        <w:t> </w:t>
      </w:r>
      <w:r>
        <w:rPr/>
        <w:t>effectively</w:t>
      </w:r>
      <w:r>
        <w:rPr>
          <w:spacing w:val="-4"/>
        </w:rPr>
        <w:t> </w:t>
      </w:r>
      <w:r>
        <w:rPr/>
        <w:t>meet</w:t>
      </w:r>
      <w:r>
        <w:rPr>
          <w:spacing w:val="-3"/>
        </w:rPr>
        <w:t> </w:t>
      </w:r>
      <w:r>
        <w:rPr/>
        <w:t>the</w:t>
      </w:r>
      <w:r>
        <w:rPr>
          <w:spacing w:val="-7"/>
        </w:rPr>
        <w:t> </w:t>
      </w:r>
      <w:r>
        <w:rPr/>
        <w:t>current</w:t>
      </w:r>
      <w:r>
        <w:rPr>
          <w:spacing w:val="-1"/>
        </w:rPr>
        <w:t> </w:t>
      </w:r>
      <w:r>
        <w:rPr/>
        <w:t>and</w:t>
      </w:r>
      <w:r>
        <w:rPr>
          <w:spacing w:val="-4"/>
        </w:rPr>
        <w:t> </w:t>
      </w:r>
      <w:r>
        <w:rPr/>
        <w:t>emerging</w:t>
      </w:r>
      <w:r>
        <w:rPr>
          <w:spacing w:val="-1"/>
        </w:rPr>
        <w:t> </w:t>
      </w:r>
      <w:r>
        <w:rPr/>
        <w:t>challenges</w:t>
      </w:r>
      <w:r>
        <w:rPr>
          <w:spacing w:val="-3"/>
        </w:rPr>
        <w:t> </w:t>
      </w:r>
      <w:r>
        <w:rPr/>
        <w:t>depends on the quality and skills of its people. Much will depend on ESV’s workforce strategy and leadership, and the extent to which it can position itself as a highly attractive place to work. Younger professionals in particular will wish to see how working in ESV may contribute to their broader career development.</w:t>
      </w:r>
    </w:p>
    <w:p>
      <w:pPr>
        <w:pStyle w:val="BodyText"/>
        <w:spacing w:before="9"/>
        <w:rPr>
          <w:sz w:val="20"/>
        </w:rPr>
      </w:pPr>
    </w:p>
    <w:p>
      <w:pPr>
        <w:pStyle w:val="BodyText"/>
        <w:spacing w:line="288" w:lineRule="auto"/>
        <w:ind w:left="600" w:right="765"/>
        <w:jc w:val="both"/>
      </w:pPr>
      <w:r>
        <w:rPr/>
        <w:t>The Review</w:t>
      </w:r>
      <w:r>
        <w:rPr>
          <w:spacing w:val="-1"/>
        </w:rPr>
        <w:t> </w:t>
      </w:r>
      <w:r>
        <w:rPr/>
        <w:t>considers that ESV should, as a key element of its workforce strategy, seek to broaden</w:t>
      </w:r>
      <w:r>
        <w:rPr>
          <w:spacing w:val="-2"/>
        </w:rPr>
        <w:t> </w:t>
      </w:r>
      <w:r>
        <w:rPr/>
        <w:t>the diversity</w:t>
      </w:r>
      <w:r>
        <w:rPr>
          <w:spacing w:val="-1"/>
        </w:rPr>
        <w:t> </w:t>
      </w:r>
      <w:r>
        <w:rPr/>
        <w:t>of its workforce.</w:t>
      </w:r>
      <w:r>
        <w:rPr>
          <w:spacing w:val="-3"/>
        </w:rPr>
        <w:t> </w:t>
      </w:r>
      <w:r>
        <w:rPr/>
        <w:t>There</w:t>
      </w:r>
      <w:r>
        <w:rPr>
          <w:spacing w:val="-2"/>
        </w:rPr>
        <w:t> </w:t>
      </w:r>
      <w:r>
        <w:rPr/>
        <w:t>is significant and</w:t>
      </w:r>
      <w:r>
        <w:rPr>
          <w:spacing w:val="-4"/>
        </w:rPr>
        <w:t> </w:t>
      </w:r>
      <w:r>
        <w:rPr/>
        <w:t>growing literature</w:t>
      </w:r>
      <w:r>
        <w:rPr>
          <w:spacing w:val="-2"/>
        </w:rPr>
        <w:t> </w:t>
      </w:r>
      <w:r>
        <w:rPr/>
        <w:t>suggesting that</w:t>
      </w:r>
      <w:r>
        <w:rPr>
          <w:spacing w:val="-6"/>
        </w:rPr>
        <w:t> </w:t>
      </w:r>
      <w:r>
        <w:rPr/>
        <w:t>greater</w:t>
      </w:r>
      <w:r>
        <w:rPr>
          <w:spacing w:val="-4"/>
        </w:rPr>
        <w:t> </w:t>
      </w:r>
      <w:r>
        <w:rPr/>
        <w:t>workforce</w:t>
      </w:r>
      <w:r>
        <w:rPr>
          <w:spacing w:val="-5"/>
        </w:rPr>
        <w:t> </w:t>
      </w:r>
      <w:r>
        <w:rPr/>
        <w:t>diversity</w:t>
      </w:r>
      <w:r>
        <w:rPr>
          <w:spacing w:val="-4"/>
        </w:rPr>
        <w:t> </w:t>
      </w:r>
      <w:r>
        <w:rPr/>
        <w:t>can</w:t>
      </w:r>
      <w:r>
        <w:rPr>
          <w:spacing w:val="-3"/>
        </w:rPr>
        <w:t> </w:t>
      </w:r>
      <w:r>
        <w:rPr/>
        <w:t>improve</w:t>
      </w:r>
      <w:r>
        <w:rPr>
          <w:spacing w:val="-5"/>
        </w:rPr>
        <w:t> </w:t>
      </w:r>
      <w:r>
        <w:rPr/>
        <w:t>general</w:t>
      </w:r>
      <w:r>
        <w:rPr>
          <w:spacing w:val="-4"/>
        </w:rPr>
        <w:t> </w:t>
      </w:r>
      <w:r>
        <w:rPr/>
        <w:t>organisational</w:t>
      </w:r>
      <w:r>
        <w:rPr>
          <w:spacing w:val="-4"/>
        </w:rPr>
        <w:t> </w:t>
      </w:r>
      <w:r>
        <w:rPr/>
        <w:t>performance</w:t>
      </w:r>
      <w:r>
        <w:rPr>
          <w:spacing w:val="-1"/>
        </w:rPr>
        <w:t> </w:t>
      </w:r>
      <w:r>
        <w:rPr/>
        <w:t>(McKinsey &amp; Company, 2015).</w:t>
      </w:r>
    </w:p>
    <w:p>
      <w:pPr>
        <w:pStyle w:val="BodyText"/>
        <w:spacing w:before="10"/>
        <w:rPr>
          <w:sz w:val="20"/>
        </w:rPr>
      </w:pPr>
    </w:p>
    <w:p>
      <w:pPr>
        <w:pStyle w:val="BodyText"/>
        <w:spacing w:line="288" w:lineRule="auto" w:before="1"/>
        <w:ind w:left="600" w:right="586"/>
      </w:pPr>
      <w:r>
        <w:rPr/>
        <w:t>While</w:t>
      </w:r>
      <w:r>
        <w:rPr>
          <w:spacing w:val="-4"/>
        </w:rPr>
        <w:t> </w:t>
      </w:r>
      <w:r>
        <w:rPr/>
        <w:t>the</w:t>
      </w:r>
      <w:r>
        <w:rPr>
          <w:spacing w:val="-2"/>
        </w:rPr>
        <w:t> </w:t>
      </w:r>
      <w:r>
        <w:rPr/>
        <w:t>Review</w:t>
      </w:r>
      <w:r>
        <w:rPr>
          <w:spacing w:val="-5"/>
        </w:rPr>
        <w:t> </w:t>
      </w:r>
      <w:r>
        <w:rPr/>
        <w:t>is</w:t>
      </w:r>
      <w:r>
        <w:rPr>
          <w:spacing w:val="-1"/>
        </w:rPr>
        <w:t> </w:t>
      </w:r>
      <w:r>
        <w:rPr/>
        <w:t>not</w:t>
      </w:r>
      <w:r>
        <w:rPr>
          <w:spacing w:val="-3"/>
        </w:rPr>
        <w:t> </w:t>
      </w:r>
      <w:r>
        <w:rPr/>
        <w:t>aware</w:t>
      </w:r>
      <w:r>
        <w:rPr>
          <w:spacing w:val="-1"/>
        </w:rPr>
        <w:t> </w:t>
      </w:r>
      <w:r>
        <w:rPr/>
        <w:t>of</w:t>
      </w:r>
      <w:r>
        <w:rPr>
          <w:spacing w:val="-3"/>
        </w:rPr>
        <w:t> </w:t>
      </w:r>
      <w:r>
        <w:rPr/>
        <w:t>formal</w:t>
      </w:r>
      <w:r>
        <w:rPr>
          <w:spacing w:val="-3"/>
        </w:rPr>
        <w:t> </w:t>
      </w:r>
      <w:r>
        <w:rPr/>
        <w:t>research</w:t>
      </w:r>
      <w:r>
        <w:rPr>
          <w:spacing w:val="-4"/>
        </w:rPr>
        <w:t> </w:t>
      </w:r>
      <w:r>
        <w:rPr/>
        <w:t>around</w:t>
      </w:r>
      <w:r>
        <w:rPr>
          <w:spacing w:val="-5"/>
        </w:rPr>
        <w:t> </w:t>
      </w:r>
      <w:r>
        <w:rPr/>
        <w:t>the</w:t>
      </w:r>
      <w:r>
        <w:rPr>
          <w:spacing w:val="-4"/>
        </w:rPr>
        <w:t> </w:t>
      </w:r>
      <w:r>
        <w:rPr/>
        <w:t>impact of diversity</w:t>
      </w:r>
      <w:r>
        <w:rPr>
          <w:spacing w:val="-3"/>
        </w:rPr>
        <w:t> </w:t>
      </w:r>
      <w:r>
        <w:rPr/>
        <w:t>in</w:t>
      </w:r>
      <w:r>
        <w:rPr>
          <w:spacing w:val="-2"/>
        </w:rPr>
        <w:t> </w:t>
      </w:r>
      <w:r>
        <w:rPr/>
        <w:t>regulatory decision making specifically, it seems reasonable to hypothesise that a more diverse workforce may also help provide independent perspectives in regulatory decision making, even if only at the margin.</w:t>
      </w:r>
    </w:p>
    <w:p>
      <w:pPr>
        <w:pStyle w:val="BodyText"/>
        <w:spacing w:before="9"/>
        <w:rPr>
          <w:sz w:val="18"/>
        </w:rPr>
      </w:pPr>
      <w:r>
        <w:rPr/>
        <mc:AlternateContent>
          <mc:Choice Requires="wps">
            <w:drawing>
              <wp:anchor distT="0" distB="0" distL="0" distR="0" allowOverlap="1" layoutInCell="1" locked="0" behindDoc="1" simplePos="0" relativeHeight="487616000">
                <wp:simplePos x="0" y="0"/>
                <wp:positionH relativeFrom="page">
                  <wp:posOffset>914704</wp:posOffset>
                </wp:positionH>
                <wp:positionV relativeFrom="paragraph">
                  <wp:posOffset>152506</wp:posOffset>
                </wp:positionV>
                <wp:extent cx="5732780" cy="1285240"/>
                <wp:effectExtent l="0" t="0" r="0" b="0"/>
                <wp:wrapTopAndBottom/>
                <wp:docPr id="110" name="Textbox 110"/>
                <wp:cNvGraphicFramePr>
                  <a:graphicFrameLocks/>
                </wp:cNvGraphicFramePr>
                <a:graphic>
                  <a:graphicData uri="http://schemas.microsoft.com/office/word/2010/wordprocessingShape">
                    <wps:wsp>
                      <wps:cNvPr id="110" name="Textbox 110"/>
                      <wps:cNvSpPr txBox="1"/>
                      <wps:spPr>
                        <a:xfrm>
                          <a:off x="0" y="0"/>
                          <a:ext cx="5732780" cy="1285240"/>
                        </a:xfrm>
                        <a:prstGeom prst="rect">
                          <a:avLst/>
                        </a:prstGeom>
                        <a:solidFill>
                          <a:srgbClr val="D9D9D9"/>
                        </a:solidFill>
                      </wps:spPr>
                      <wps:txbx>
                        <w:txbxContent>
                          <w:p>
                            <w:pPr>
                              <w:pStyle w:val="BodyText"/>
                              <w:spacing w:before="6"/>
                              <w:rPr>
                                <w:color w:val="000000"/>
                                <w:sz w:val="36"/>
                              </w:rPr>
                            </w:pPr>
                          </w:p>
                          <w:p>
                            <w:pPr>
                              <w:spacing w:before="0"/>
                              <w:ind w:left="141" w:right="0" w:firstLine="0"/>
                              <w:jc w:val="left"/>
                              <w:rPr>
                                <w:b/>
                                <w:color w:val="000000"/>
                                <w:sz w:val="24"/>
                              </w:rPr>
                            </w:pPr>
                            <w:r>
                              <w:rPr>
                                <w:b/>
                                <w:color w:val="000000"/>
                                <w:spacing w:val="-2"/>
                                <w:sz w:val="24"/>
                              </w:rPr>
                              <w:t>Recommendation</w:t>
                            </w:r>
                            <w:r>
                              <w:rPr>
                                <w:b/>
                                <w:color w:val="000000"/>
                                <w:sz w:val="24"/>
                              </w:rPr>
                              <w:t> </w:t>
                            </w:r>
                            <w:r>
                              <w:rPr>
                                <w:b/>
                                <w:color w:val="000000"/>
                                <w:spacing w:val="-10"/>
                                <w:sz w:val="24"/>
                              </w:rPr>
                              <w:t>5</w:t>
                            </w:r>
                          </w:p>
                          <w:p>
                            <w:pPr>
                              <w:pStyle w:val="BodyText"/>
                              <w:spacing w:line="288" w:lineRule="auto" w:before="175"/>
                              <w:ind w:left="112" w:right="205"/>
                              <w:rPr>
                                <w:color w:val="000000"/>
                              </w:rPr>
                            </w:pPr>
                            <w:r>
                              <w:rPr>
                                <w:color w:val="000000"/>
                              </w:rPr>
                              <w:t>ESV</w:t>
                            </w:r>
                            <w:r>
                              <w:rPr>
                                <w:color w:val="000000"/>
                                <w:spacing w:val="-3"/>
                              </w:rPr>
                              <w:t> </w:t>
                            </w:r>
                            <w:r>
                              <w:rPr>
                                <w:color w:val="000000"/>
                              </w:rPr>
                              <w:t>should</w:t>
                            </w:r>
                            <w:r>
                              <w:rPr>
                                <w:color w:val="000000"/>
                                <w:spacing w:val="-3"/>
                              </w:rPr>
                              <w:t> </w:t>
                            </w:r>
                            <w:r>
                              <w:rPr>
                                <w:color w:val="000000"/>
                              </w:rPr>
                              <w:t>develop</w:t>
                            </w:r>
                            <w:r>
                              <w:rPr>
                                <w:color w:val="000000"/>
                                <w:spacing w:val="-3"/>
                              </w:rPr>
                              <w:t> </w:t>
                            </w:r>
                            <w:r>
                              <w:rPr>
                                <w:color w:val="000000"/>
                              </w:rPr>
                              <w:t>and</w:t>
                            </w:r>
                            <w:r>
                              <w:rPr>
                                <w:color w:val="000000"/>
                                <w:spacing w:val="-3"/>
                              </w:rPr>
                              <w:t> </w:t>
                            </w:r>
                            <w:r>
                              <w:rPr>
                                <w:color w:val="000000"/>
                              </w:rPr>
                              <w:t>implement</w:t>
                            </w:r>
                            <w:r>
                              <w:rPr>
                                <w:color w:val="000000"/>
                                <w:spacing w:val="-1"/>
                              </w:rPr>
                              <w:t> </w:t>
                            </w:r>
                            <w:r>
                              <w:rPr>
                                <w:color w:val="000000"/>
                              </w:rPr>
                              <w:t>a</w:t>
                            </w:r>
                            <w:r>
                              <w:rPr>
                                <w:color w:val="000000"/>
                                <w:spacing w:val="-6"/>
                              </w:rPr>
                              <w:t> </w:t>
                            </w:r>
                            <w:r>
                              <w:rPr>
                                <w:color w:val="000000"/>
                              </w:rPr>
                              <w:t>formal</w:t>
                            </w:r>
                            <w:r>
                              <w:rPr>
                                <w:color w:val="000000"/>
                                <w:spacing w:val="-5"/>
                              </w:rPr>
                              <w:t> </w:t>
                            </w:r>
                            <w:r>
                              <w:rPr>
                                <w:color w:val="000000"/>
                              </w:rPr>
                              <w:t>workforce</w:t>
                            </w:r>
                            <w:r>
                              <w:rPr>
                                <w:color w:val="000000"/>
                                <w:spacing w:val="-4"/>
                              </w:rPr>
                              <w:t> </w:t>
                            </w:r>
                            <w:r>
                              <w:rPr>
                                <w:color w:val="000000"/>
                              </w:rPr>
                              <w:t>strategy</w:t>
                            </w:r>
                            <w:r>
                              <w:rPr>
                                <w:color w:val="000000"/>
                                <w:spacing w:val="-4"/>
                              </w:rPr>
                              <w:t> </w:t>
                            </w:r>
                            <w:r>
                              <w:rPr>
                                <w:color w:val="000000"/>
                              </w:rPr>
                              <w:t>to</w:t>
                            </w:r>
                            <w:r>
                              <w:rPr>
                                <w:color w:val="000000"/>
                                <w:spacing w:val="-5"/>
                              </w:rPr>
                              <w:t> </w:t>
                            </w:r>
                            <w:r>
                              <w:rPr>
                                <w:color w:val="000000"/>
                              </w:rPr>
                              <w:t>support</w:t>
                            </w:r>
                            <w:r>
                              <w:rPr>
                                <w:color w:val="000000"/>
                                <w:spacing w:val="-4"/>
                              </w:rPr>
                              <w:t> </w:t>
                            </w:r>
                            <w:r>
                              <w:rPr>
                                <w:color w:val="000000"/>
                              </w:rPr>
                              <w:t>the</w:t>
                            </w:r>
                            <w:r>
                              <w:rPr>
                                <w:color w:val="000000"/>
                                <w:spacing w:val="-3"/>
                              </w:rPr>
                              <w:t> </w:t>
                            </w:r>
                            <w:r>
                              <w:rPr>
                                <w:color w:val="000000"/>
                              </w:rPr>
                              <w:t>attraction and retention of high performing staff. This strategy should include a specific focus on broadening the diversity of ESV’s workforce over time, including gender diversity.</w:t>
                            </w:r>
                          </w:p>
                        </w:txbxContent>
                      </wps:txbx>
                      <wps:bodyPr wrap="square" lIns="0" tIns="0" rIns="0" bIns="0" rtlCol="0">
                        <a:noAutofit/>
                      </wps:bodyPr>
                    </wps:wsp>
                  </a:graphicData>
                </a:graphic>
              </wp:anchor>
            </w:drawing>
          </mc:Choice>
          <mc:Fallback>
            <w:pict>
              <v:shape style="position:absolute;margin-left:72.024002pt;margin-top:12.008409pt;width:451.4pt;height:101.2pt;mso-position-horizontal-relative:page;mso-position-vertical-relative:paragraph;z-index:-15700480;mso-wrap-distance-left:0;mso-wrap-distance-right:0" type="#_x0000_t202" id="docshape95" filled="true" fillcolor="#d9d9d9" stroked="false">
                <v:textbox inset="0,0,0,0">
                  <w:txbxContent>
                    <w:p>
                      <w:pPr>
                        <w:pStyle w:val="BodyText"/>
                        <w:spacing w:before="6"/>
                        <w:rPr>
                          <w:color w:val="000000"/>
                          <w:sz w:val="36"/>
                        </w:rPr>
                      </w:pPr>
                    </w:p>
                    <w:p>
                      <w:pPr>
                        <w:spacing w:before="0"/>
                        <w:ind w:left="141" w:right="0" w:firstLine="0"/>
                        <w:jc w:val="left"/>
                        <w:rPr>
                          <w:b/>
                          <w:color w:val="000000"/>
                          <w:sz w:val="24"/>
                        </w:rPr>
                      </w:pPr>
                      <w:r>
                        <w:rPr>
                          <w:b/>
                          <w:color w:val="000000"/>
                          <w:spacing w:val="-2"/>
                          <w:sz w:val="24"/>
                        </w:rPr>
                        <w:t>Recommendation</w:t>
                      </w:r>
                      <w:r>
                        <w:rPr>
                          <w:b/>
                          <w:color w:val="000000"/>
                          <w:sz w:val="24"/>
                        </w:rPr>
                        <w:t> </w:t>
                      </w:r>
                      <w:r>
                        <w:rPr>
                          <w:b/>
                          <w:color w:val="000000"/>
                          <w:spacing w:val="-10"/>
                          <w:sz w:val="24"/>
                        </w:rPr>
                        <w:t>5</w:t>
                      </w:r>
                    </w:p>
                    <w:p>
                      <w:pPr>
                        <w:pStyle w:val="BodyText"/>
                        <w:spacing w:line="288" w:lineRule="auto" w:before="175"/>
                        <w:ind w:left="112" w:right="205"/>
                        <w:rPr>
                          <w:color w:val="000000"/>
                        </w:rPr>
                      </w:pPr>
                      <w:r>
                        <w:rPr>
                          <w:color w:val="000000"/>
                        </w:rPr>
                        <w:t>ESV</w:t>
                      </w:r>
                      <w:r>
                        <w:rPr>
                          <w:color w:val="000000"/>
                          <w:spacing w:val="-3"/>
                        </w:rPr>
                        <w:t> </w:t>
                      </w:r>
                      <w:r>
                        <w:rPr>
                          <w:color w:val="000000"/>
                        </w:rPr>
                        <w:t>should</w:t>
                      </w:r>
                      <w:r>
                        <w:rPr>
                          <w:color w:val="000000"/>
                          <w:spacing w:val="-3"/>
                        </w:rPr>
                        <w:t> </w:t>
                      </w:r>
                      <w:r>
                        <w:rPr>
                          <w:color w:val="000000"/>
                        </w:rPr>
                        <w:t>develop</w:t>
                      </w:r>
                      <w:r>
                        <w:rPr>
                          <w:color w:val="000000"/>
                          <w:spacing w:val="-3"/>
                        </w:rPr>
                        <w:t> </w:t>
                      </w:r>
                      <w:r>
                        <w:rPr>
                          <w:color w:val="000000"/>
                        </w:rPr>
                        <w:t>and</w:t>
                      </w:r>
                      <w:r>
                        <w:rPr>
                          <w:color w:val="000000"/>
                          <w:spacing w:val="-3"/>
                        </w:rPr>
                        <w:t> </w:t>
                      </w:r>
                      <w:r>
                        <w:rPr>
                          <w:color w:val="000000"/>
                        </w:rPr>
                        <w:t>implement</w:t>
                      </w:r>
                      <w:r>
                        <w:rPr>
                          <w:color w:val="000000"/>
                          <w:spacing w:val="-1"/>
                        </w:rPr>
                        <w:t> </w:t>
                      </w:r>
                      <w:r>
                        <w:rPr>
                          <w:color w:val="000000"/>
                        </w:rPr>
                        <w:t>a</w:t>
                      </w:r>
                      <w:r>
                        <w:rPr>
                          <w:color w:val="000000"/>
                          <w:spacing w:val="-6"/>
                        </w:rPr>
                        <w:t> </w:t>
                      </w:r>
                      <w:r>
                        <w:rPr>
                          <w:color w:val="000000"/>
                        </w:rPr>
                        <w:t>formal</w:t>
                      </w:r>
                      <w:r>
                        <w:rPr>
                          <w:color w:val="000000"/>
                          <w:spacing w:val="-5"/>
                        </w:rPr>
                        <w:t> </w:t>
                      </w:r>
                      <w:r>
                        <w:rPr>
                          <w:color w:val="000000"/>
                        </w:rPr>
                        <w:t>workforce</w:t>
                      </w:r>
                      <w:r>
                        <w:rPr>
                          <w:color w:val="000000"/>
                          <w:spacing w:val="-4"/>
                        </w:rPr>
                        <w:t> </w:t>
                      </w:r>
                      <w:r>
                        <w:rPr>
                          <w:color w:val="000000"/>
                        </w:rPr>
                        <w:t>strategy</w:t>
                      </w:r>
                      <w:r>
                        <w:rPr>
                          <w:color w:val="000000"/>
                          <w:spacing w:val="-4"/>
                        </w:rPr>
                        <w:t> </w:t>
                      </w:r>
                      <w:r>
                        <w:rPr>
                          <w:color w:val="000000"/>
                        </w:rPr>
                        <w:t>to</w:t>
                      </w:r>
                      <w:r>
                        <w:rPr>
                          <w:color w:val="000000"/>
                          <w:spacing w:val="-5"/>
                        </w:rPr>
                        <w:t> </w:t>
                      </w:r>
                      <w:r>
                        <w:rPr>
                          <w:color w:val="000000"/>
                        </w:rPr>
                        <w:t>support</w:t>
                      </w:r>
                      <w:r>
                        <w:rPr>
                          <w:color w:val="000000"/>
                          <w:spacing w:val="-4"/>
                        </w:rPr>
                        <w:t> </w:t>
                      </w:r>
                      <w:r>
                        <w:rPr>
                          <w:color w:val="000000"/>
                        </w:rPr>
                        <w:t>the</w:t>
                      </w:r>
                      <w:r>
                        <w:rPr>
                          <w:color w:val="000000"/>
                          <w:spacing w:val="-3"/>
                        </w:rPr>
                        <w:t> </w:t>
                      </w:r>
                      <w:r>
                        <w:rPr>
                          <w:color w:val="000000"/>
                        </w:rPr>
                        <w:t>attraction and retention of high performing staff. This strategy should include a specific focus on broadening the diversity of ESV’s workforce over time, including gender diversity.</w:t>
                      </w:r>
                    </w:p>
                  </w:txbxContent>
                </v:textbox>
                <v:fill type="solid"/>
                <w10:wrap type="topAndBottom"/>
              </v:shape>
            </w:pict>
          </mc:Fallback>
        </mc:AlternateContent>
      </w:r>
    </w:p>
    <w:p>
      <w:pPr>
        <w:spacing w:after="0"/>
        <w:rPr>
          <w:sz w:val="18"/>
        </w:rPr>
        <w:sectPr>
          <w:pgSz w:w="11910" w:h="16840"/>
          <w:pgMar w:header="887" w:footer="1228" w:top="1080" w:bottom="1500" w:left="840" w:right="820"/>
        </w:sectPr>
      </w:pPr>
    </w:p>
    <w:p>
      <w:pPr>
        <w:pStyle w:val="BodyText"/>
        <w:rPr>
          <w:sz w:val="20"/>
        </w:rPr>
      </w:pPr>
    </w:p>
    <w:p>
      <w:pPr>
        <w:pStyle w:val="BodyText"/>
        <w:rPr>
          <w:sz w:val="20"/>
        </w:rPr>
      </w:pPr>
    </w:p>
    <w:p>
      <w:pPr>
        <w:pStyle w:val="Heading4"/>
        <w:spacing w:before="260"/>
        <w:ind w:left="600"/>
      </w:pPr>
      <w:r>
        <w:rPr>
          <w:color w:val="585858"/>
          <w:spacing w:val="-2"/>
        </w:rPr>
        <w:t>References</w:t>
      </w:r>
    </w:p>
    <w:p>
      <w:pPr>
        <w:spacing w:before="311"/>
        <w:ind w:left="600" w:right="0" w:firstLine="0"/>
        <w:jc w:val="left"/>
        <w:rPr>
          <w:sz w:val="18"/>
        </w:rPr>
      </w:pPr>
      <w:r>
        <w:rPr>
          <w:sz w:val="18"/>
        </w:rPr>
        <w:t>ESV,</w:t>
      </w:r>
      <w:r>
        <w:rPr>
          <w:spacing w:val="-4"/>
          <w:sz w:val="18"/>
        </w:rPr>
        <w:t> </w:t>
      </w:r>
      <w:r>
        <w:rPr>
          <w:sz w:val="18"/>
        </w:rPr>
        <w:t>2016.</w:t>
      </w:r>
      <w:r>
        <w:rPr>
          <w:spacing w:val="-4"/>
          <w:sz w:val="18"/>
        </w:rPr>
        <w:t> </w:t>
      </w:r>
      <w:r>
        <w:rPr>
          <w:i/>
          <w:sz w:val="18"/>
        </w:rPr>
        <w:t>Energy</w:t>
      </w:r>
      <w:r>
        <w:rPr>
          <w:i/>
          <w:spacing w:val="-3"/>
          <w:sz w:val="18"/>
        </w:rPr>
        <w:t> </w:t>
      </w:r>
      <w:r>
        <w:rPr>
          <w:i/>
          <w:sz w:val="18"/>
        </w:rPr>
        <w:t>Safe</w:t>
      </w:r>
      <w:r>
        <w:rPr>
          <w:i/>
          <w:spacing w:val="-4"/>
          <w:sz w:val="18"/>
        </w:rPr>
        <w:t> </w:t>
      </w:r>
      <w:r>
        <w:rPr>
          <w:i/>
          <w:sz w:val="18"/>
        </w:rPr>
        <w:t>Victoria</w:t>
      </w:r>
      <w:r>
        <w:rPr>
          <w:i/>
          <w:spacing w:val="-4"/>
          <w:sz w:val="18"/>
        </w:rPr>
        <w:t> </w:t>
      </w:r>
      <w:r>
        <w:rPr>
          <w:i/>
          <w:sz w:val="18"/>
        </w:rPr>
        <w:t>Annual</w:t>
      </w:r>
      <w:r>
        <w:rPr>
          <w:i/>
          <w:spacing w:val="-4"/>
          <w:sz w:val="18"/>
        </w:rPr>
        <w:t> </w:t>
      </w:r>
      <w:r>
        <w:rPr>
          <w:i/>
          <w:sz w:val="18"/>
        </w:rPr>
        <w:t>Report</w:t>
      </w:r>
      <w:r>
        <w:rPr>
          <w:i/>
          <w:spacing w:val="-6"/>
          <w:sz w:val="18"/>
        </w:rPr>
        <w:t> </w:t>
      </w:r>
      <w:r>
        <w:rPr>
          <w:i/>
          <w:sz w:val="18"/>
        </w:rPr>
        <w:t>2016-17,</w:t>
      </w:r>
      <w:r>
        <w:rPr>
          <w:i/>
          <w:spacing w:val="-5"/>
          <w:sz w:val="18"/>
        </w:rPr>
        <w:t> </w:t>
      </w:r>
      <w:r>
        <w:rPr>
          <w:spacing w:val="-2"/>
          <w:sz w:val="18"/>
        </w:rPr>
        <w:t>Melbourne.</w:t>
      </w:r>
    </w:p>
    <w:p>
      <w:pPr>
        <w:spacing w:line="290" w:lineRule="auto" w:before="121"/>
        <w:ind w:left="600" w:right="586" w:firstLine="0"/>
        <w:jc w:val="left"/>
        <w:rPr>
          <w:sz w:val="18"/>
        </w:rPr>
      </w:pPr>
      <w:r>
        <w:rPr>
          <w:sz w:val="18"/>
        </w:rPr>
        <w:t>ESV,</w:t>
      </w:r>
      <w:r>
        <w:rPr>
          <w:spacing w:val="-5"/>
          <w:sz w:val="18"/>
        </w:rPr>
        <w:t> </w:t>
      </w:r>
      <w:r>
        <w:rPr>
          <w:sz w:val="18"/>
        </w:rPr>
        <w:t>2017a.</w:t>
      </w:r>
      <w:r>
        <w:rPr>
          <w:spacing w:val="-4"/>
          <w:sz w:val="18"/>
        </w:rPr>
        <w:t> </w:t>
      </w:r>
      <w:r>
        <w:rPr>
          <w:i/>
          <w:sz w:val="18"/>
        </w:rPr>
        <w:t>About</w:t>
      </w:r>
      <w:r>
        <w:rPr>
          <w:i/>
          <w:spacing w:val="-5"/>
          <w:sz w:val="18"/>
        </w:rPr>
        <w:t> </w:t>
      </w:r>
      <w:r>
        <w:rPr>
          <w:i/>
          <w:sz w:val="18"/>
        </w:rPr>
        <w:t>ESV.</w:t>
      </w:r>
      <w:r>
        <w:rPr>
          <w:i/>
          <w:spacing w:val="-6"/>
          <w:sz w:val="18"/>
        </w:rPr>
        <w:t> </w:t>
      </w:r>
      <w:r>
        <w:rPr>
          <w:sz w:val="18"/>
        </w:rPr>
        <w:t>[Online]</w:t>
      </w:r>
      <w:r>
        <w:rPr>
          <w:spacing w:val="-5"/>
          <w:sz w:val="18"/>
        </w:rPr>
        <w:t> </w:t>
      </w:r>
      <w:r>
        <w:rPr>
          <w:sz w:val="18"/>
        </w:rPr>
        <w:t>Available</w:t>
      </w:r>
      <w:r>
        <w:rPr>
          <w:spacing w:val="-5"/>
          <w:sz w:val="18"/>
        </w:rPr>
        <w:t> </w:t>
      </w:r>
      <w:r>
        <w:rPr>
          <w:sz w:val="18"/>
        </w:rPr>
        <w:t>at:</w:t>
      </w:r>
      <w:r>
        <w:rPr>
          <w:spacing w:val="-4"/>
          <w:sz w:val="18"/>
        </w:rPr>
        <w:t> </w:t>
      </w:r>
      <w:hyperlink r:id="rId70">
        <w:r>
          <w:rPr>
            <w:sz w:val="18"/>
            <w:u w:val="single"/>
          </w:rPr>
          <w:t>http://www.esv.vic.gov.au/about-esv/corporate-information/about-</w:t>
        </w:r>
      </w:hyperlink>
      <w:r>
        <w:rPr>
          <w:sz w:val="18"/>
        </w:rPr>
        <w:t> </w:t>
      </w:r>
      <w:r>
        <w:rPr>
          <w:sz w:val="18"/>
          <w:u w:val="single"/>
        </w:rPr>
        <w:t>esv/</w:t>
      </w:r>
      <w:r>
        <w:rPr>
          <w:sz w:val="18"/>
        </w:rPr>
        <w:t> [Accessed 05 October 2017].</w:t>
      </w:r>
    </w:p>
    <w:p>
      <w:pPr>
        <w:spacing w:line="379" w:lineRule="auto" w:before="78"/>
        <w:ind w:left="600" w:right="3222" w:firstLine="0"/>
        <w:jc w:val="left"/>
        <w:rPr>
          <w:sz w:val="18"/>
        </w:rPr>
      </w:pPr>
      <w:r>
        <w:rPr>
          <w:sz w:val="18"/>
        </w:rPr>
        <w:t>ESV,</w:t>
      </w:r>
      <w:r>
        <w:rPr>
          <w:spacing w:val="-5"/>
          <w:sz w:val="18"/>
        </w:rPr>
        <w:t> </w:t>
      </w:r>
      <w:r>
        <w:rPr>
          <w:sz w:val="18"/>
        </w:rPr>
        <w:t>2017b.</w:t>
      </w:r>
      <w:r>
        <w:rPr>
          <w:spacing w:val="-4"/>
          <w:sz w:val="18"/>
        </w:rPr>
        <w:t> </w:t>
      </w:r>
      <w:r>
        <w:rPr>
          <w:i/>
          <w:sz w:val="18"/>
        </w:rPr>
        <w:t>Energy</w:t>
      </w:r>
      <w:r>
        <w:rPr>
          <w:i/>
          <w:spacing w:val="-4"/>
          <w:sz w:val="18"/>
        </w:rPr>
        <w:t> </w:t>
      </w:r>
      <w:r>
        <w:rPr>
          <w:i/>
          <w:sz w:val="18"/>
        </w:rPr>
        <w:t>Safe</w:t>
      </w:r>
      <w:r>
        <w:rPr>
          <w:i/>
          <w:spacing w:val="-5"/>
          <w:sz w:val="18"/>
        </w:rPr>
        <w:t> </w:t>
      </w:r>
      <w:r>
        <w:rPr>
          <w:i/>
          <w:sz w:val="18"/>
        </w:rPr>
        <w:t>Victoria</w:t>
      </w:r>
      <w:r>
        <w:rPr>
          <w:i/>
          <w:spacing w:val="-5"/>
          <w:sz w:val="18"/>
        </w:rPr>
        <w:t> </w:t>
      </w:r>
      <w:r>
        <w:rPr>
          <w:i/>
          <w:sz w:val="18"/>
        </w:rPr>
        <w:t>Corporate</w:t>
      </w:r>
      <w:r>
        <w:rPr>
          <w:i/>
          <w:spacing w:val="-5"/>
          <w:sz w:val="18"/>
        </w:rPr>
        <w:t> </w:t>
      </w:r>
      <w:r>
        <w:rPr>
          <w:i/>
          <w:sz w:val="18"/>
        </w:rPr>
        <w:t>Plan</w:t>
      </w:r>
      <w:r>
        <w:rPr>
          <w:i/>
          <w:spacing w:val="-5"/>
          <w:sz w:val="18"/>
        </w:rPr>
        <w:t> </w:t>
      </w:r>
      <w:r>
        <w:rPr>
          <w:i/>
          <w:sz w:val="18"/>
        </w:rPr>
        <w:t>2017–2020,</w:t>
      </w:r>
      <w:r>
        <w:rPr>
          <w:i/>
          <w:spacing w:val="-4"/>
          <w:sz w:val="18"/>
        </w:rPr>
        <w:t> </w:t>
      </w:r>
      <w:r>
        <w:rPr>
          <w:sz w:val="18"/>
        </w:rPr>
        <w:t>Melbourne. Huegin Consulting, 2016. </w:t>
      </w:r>
      <w:r>
        <w:rPr>
          <w:i/>
          <w:sz w:val="18"/>
        </w:rPr>
        <w:t>Functional Review: Energy Safe Victoria</w:t>
      </w:r>
      <w:r>
        <w:rPr>
          <w:sz w:val="18"/>
        </w:rPr>
        <w:t>.</w:t>
      </w:r>
    </w:p>
    <w:p>
      <w:pPr>
        <w:spacing w:before="1"/>
        <w:ind w:left="600" w:right="0" w:firstLine="0"/>
        <w:jc w:val="left"/>
        <w:rPr>
          <w:sz w:val="18"/>
        </w:rPr>
      </w:pPr>
      <w:r>
        <w:rPr>
          <w:sz w:val="18"/>
        </w:rPr>
        <w:t>Marchment</w:t>
      </w:r>
      <w:r>
        <w:rPr>
          <w:spacing w:val="-7"/>
          <w:sz w:val="18"/>
        </w:rPr>
        <w:t> </w:t>
      </w:r>
      <w:r>
        <w:rPr>
          <w:sz w:val="18"/>
        </w:rPr>
        <w:t>Hill</w:t>
      </w:r>
      <w:r>
        <w:rPr>
          <w:spacing w:val="-5"/>
          <w:sz w:val="18"/>
        </w:rPr>
        <w:t> </w:t>
      </w:r>
      <w:r>
        <w:rPr>
          <w:sz w:val="18"/>
        </w:rPr>
        <w:t>Consulting,</w:t>
      </w:r>
      <w:r>
        <w:rPr>
          <w:spacing w:val="-6"/>
          <w:sz w:val="18"/>
        </w:rPr>
        <w:t> </w:t>
      </w:r>
      <w:r>
        <w:rPr>
          <w:sz w:val="18"/>
        </w:rPr>
        <w:t>2016.</w:t>
      </w:r>
      <w:r>
        <w:rPr>
          <w:spacing w:val="-3"/>
          <w:sz w:val="18"/>
        </w:rPr>
        <w:t> </w:t>
      </w:r>
      <w:r>
        <w:rPr>
          <w:i/>
          <w:sz w:val="18"/>
        </w:rPr>
        <w:t>ESV</w:t>
      </w:r>
      <w:r>
        <w:rPr>
          <w:i/>
          <w:spacing w:val="-5"/>
          <w:sz w:val="18"/>
        </w:rPr>
        <w:t> </w:t>
      </w:r>
      <w:r>
        <w:rPr>
          <w:i/>
          <w:sz w:val="18"/>
        </w:rPr>
        <w:t>Executive</w:t>
      </w:r>
      <w:r>
        <w:rPr>
          <w:i/>
          <w:spacing w:val="-6"/>
          <w:sz w:val="18"/>
        </w:rPr>
        <w:t> </w:t>
      </w:r>
      <w:r>
        <w:rPr>
          <w:i/>
          <w:sz w:val="18"/>
        </w:rPr>
        <w:t>Structure</w:t>
      </w:r>
      <w:r>
        <w:rPr>
          <w:i/>
          <w:spacing w:val="-5"/>
          <w:sz w:val="18"/>
        </w:rPr>
        <w:t> </w:t>
      </w:r>
      <w:r>
        <w:rPr>
          <w:i/>
          <w:sz w:val="18"/>
        </w:rPr>
        <w:t>Review:</w:t>
      </w:r>
      <w:r>
        <w:rPr>
          <w:i/>
          <w:spacing w:val="-9"/>
          <w:sz w:val="18"/>
        </w:rPr>
        <w:t> </w:t>
      </w:r>
      <w:r>
        <w:rPr>
          <w:i/>
          <w:sz w:val="18"/>
        </w:rPr>
        <w:t>Final</w:t>
      </w:r>
      <w:r>
        <w:rPr>
          <w:i/>
          <w:spacing w:val="-5"/>
          <w:sz w:val="18"/>
        </w:rPr>
        <w:t> </w:t>
      </w:r>
      <w:r>
        <w:rPr>
          <w:i/>
          <w:spacing w:val="-2"/>
          <w:sz w:val="18"/>
        </w:rPr>
        <w:t>Report</w:t>
      </w:r>
      <w:r>
        <w:rPr>
          <w:spacing w:val="-2"/>
          <w:sz w:val="18"/>
        </w:rPr>
        <w:t>.</w:t>
      </w:r>
    </w:p>
    <w:p>
      <w:pPr>
        <w:spacing w:line="290" w:lineRule="auto" w:before="122"/>
        <w:ind w:left="600" w:right="757" w:firstLine="0"/>
        <w:jc w:val="left"/>
        <w:rPr>
          <w:sz w:val="18"/>
        </w:rPr>
      </w:pPr>
      <w:r>
        <w:rPr>
          <w:sz w:val="18"/>
        </w:rPr>
        <w:t>McKinsey</w:t>
      </w:r>
      <w:r>
        <w:rPr>
          <w:spacing w:val="-6"/>
          <w:sz w:val="18"/>
        </w:rPr>
        <w:t> </w:t>
      </w:r>
      <w:r>
        <w:rPr>
          <w:sz w:val="18"/>
        </w:rPr>
        <w:t>&amp;</w:t>
      </w:r>
      <w:r>
        <w:rPr>
          <w:spacing w:val="-4"/>
          <w:sz w:val="18"/>
        </w:rPr>
        <w:t> </w:t>
      </w:r>
      <w:r>
        <w:rPr>
          <w:sz w:val="18"/>
        </w:rPr>
        <w:t>Company,</w:t>
      </w:r>
      <w:r>
        <w:rPr>
          <w:spacing w:val="-3"/>
          <w:sz w:val="18"/>
        </w:rPr>
        <w:t> </w:t>
      </w:r>
      <w:r>
        <w:rPr>
          <w:sz w:val="18"/>
        </w:rPr>
        <w:t>2015.</w:t>
      </w:r>
      <w:r>
        <w:rPr>
          <w:spacing w:val="-3"/>
          <w:sz w:val="18"/>
        </w:rPr>
        <w:t> </w:t>
      </w:r>
      <w:r>
        <w:rPr>
          <w:i/>
          <w:sz w:val="18"/>
        </w:rPr>
        <w:t>Why</w:t>
      </w:r>
      <w:r>
        <w:rPr>
          <w:i/>
          <w:spacing w:val="-2"/>
          <w:sz w:val="18"/>
        </w:rPr>
        <w:t> </w:t>
      </w:r>
      <w:r>
        <w:rPr>
          <w:i/>
          <w:sz w:val="18"/>
        </w:rPr>
        <w:t>diversity</w:t>
      </w:r>
      <w:r>
        <w:rPr>
          <w:i/>
          <w:spacing w:val="-2"/>
          <w:sz w:val="18"/>
        </w:rPr>
        <w:t> </w:t>
      </w:r>
      <w:r>
        <w:rPr>
          <w:i/>
          <w:sz w:val="18"/>
        </w:rPr>
        <w:t>matters.</w:t>
      </w:r>
      <w:r>
        <w:rPr>
          <w:i/>
          <w:spacing w:val="-3"/>
          <w:sz w:val="18"/>
        </w:rPr>
        <w:t> </w:t>
      </w:r>
      <w:r>
        <w:rPr>
          <w:sz w:val="18"/>
        </w:rPr>
        <w:t>[Online]</w:t>
      </w:r>
      <w:r>
        <w:rPr>
          <w:spacing w:val="40"/>
          <w:sz w:val="18"/>
        </w:rPr>
        <w:t> </w:t>
      </w:r>
      <w:r>
        <w:rPr>
          <w:sz w:val="18"/>
        </w:rPr>
        <w:t>Available</w:t>
      </w:r>
      <w:r>
        <w:rPr>
          <w:spacing w:val="-3"/>
          <w:sz w:val="18"/>
        </w:rPr>
        <w:t> </w:t>
      </w:r>
      <w:r>
        <w:rPr>
          <w:sz w:val="18"/>
        </w:rPr>
        <w:t>at: </w:t>
      </w:r>
      <w:r>
        <w:rPr>
          <w:sz w:val="18"/>
          <w:u w:val="single"/>
        </w:rPr>
        <w:t>https://</w:t>
      </w:r>
      <w:hyperlink r:id="rId71">
        <w:r>
          <w:rPr>
            <w:sz w:val="18"/>
            <w:u w:val="single"/>
          </w:rPr>
          <w:t>www.mckinsey.com/business-</w:t>
        </w:r>
      </w:hyperlink>
      <w:r>
        <w:rPr>
          <w:sz w:val="18"/>
        </w:rPr>
        <w:t> </w:t>
      </w:r>
      <w:r>
        <w:rPr>
          <w:sz w:val="18"/>
          <w:u w:val="single"/>
        </w:rPr>
        <w:t>functions/organization/our-insights/why-diversity-matters</w:t>
      </w:r>
      <w:r>
        <w:rPr>
          <w:sz w:val="18"/>
        </w:rPr>
        <w:t> [Accessed 05 October 2017].</w:t>
      </w:r>
    </w:p>
    <w:p>
      <w:pPr>
        <w:spacing w:line="290" w:lineRule="auto" w:before="75"/>
        <w:ind w:left="600" w:right="374" w:firstLine="0"/>
        <w:jc w:val="left"/>
        <w:rPr>
          <w:sz w:val="18"/>
        </w:rPr>
      </w:pPr>
      <w:r>
        <w:rPr>
          <w:sz w:val="18"/>
        </w:rPr>
        <w:t>OECD,</w:t>
      </w:r>
      <w:r>
        <w:rPr>
          <w:spacing w:val="-3"/>
          <w:sz w:val="18"/>
        </w:rPr>
        <w:t> </w:t>
      </w:r>
      <w:r>
        <w:rPr>
          <w:sz w:val="18"/>
        </w:rPr>
        <w:t>2014.</w:t>
      </w:r>
      <w:r>
        <w:rPr>
          <w:spacing w:val="-2"/>
          <w:sz w:val="18"/>
        </w:rPr>
        <w:t> </w:t>
      </w:r>
      <w:r>
        <w:rPr>
          <w:i/>
          <w:sz w:val="18"/>
        </w:rPr>
        <w:t>The</w:t>
      </w:r>
      <w:r>
        <w:rPr>
          <w:i/>
          <w:spacing w:val="-3"/>
          <w:sz w:val="18"/>
        </w:rPr>
        <w:t> </w:t>
      </w:r>
      <w:r>
        <w:rPr>
          <w:i/>
          <w:sz w:val="18"/>
        </w:rPr>
        <w:t>Governance</w:t>
      </w:r>
      <w:r>
        <w:rPr>
          <w:i/>
          <w:spacing w:val="-3"/>
          <w:sz w:val="18"/>
        </w:rPr>
        <w:t> </w:t>
      </w:r>
      <w:r>
        <w:rPr>
          <w:i/>
          <w:sz w:val="18"/>
        </w:rPr>
        <w:t>of</w:t>
      </w:r>
      <w:r>
        <w:rPr>
          <w:i/>
          <w:spacing w:val="-3"/>
          <w:sz w:val="18"/>
        </w:rPr>
        <w:t> </w:t>
      </w:r>
      <w:r>
        <w:rPr>
          <w:i/>
          <w:sz w:val="18"/>
        </w:rPr>
        <w:t>Regulators:</w:t>
      </w:r>
      <w:r>
        <w:rPr>
          <w:i/>
          <w:spacing w:val="-5"/>
          <w:sz w:val="18"/>
        </w:rPr>
        <w:t> </w:t>
      </w:r>
      <w:r>
        <w:rPr>
          <w:i/>
          <w:sz w:val="18"/>
        </w:rPr>
        <w:t>OECD</w:t>
      </w:r>
      <w:r>
        <w:rPr>
          <w:i/>
          <w:spacing w:val="-4"/>
          <w:sz w:val="18"/>
        </w:rPr>
        <w:t> </w:t>
      </w:r>
      <w:r>
        <w:rPr>
          <w:i/>
          <w:sz w:val="18"/>
        </w:rPr>
        <w:t>Best</w:t>
      </w:r>
      <w:r>
        <w:rPr>
          <w:i/>
          <w:spacing w:val="-3"/>
          <w:sz w:val="18"/>
        </w:rPr>
        <w:t> </w:t>
      </w:r>
      <w:r>
        <w:rPr>
          <w:i/>
          <w:sz w:val="18"/>
        </w:rPr>
        <w:t>Practice</w:t>
      </w:r>
      <w:r>
        <w:rPr>
          <w:i/>
          <w:spacing w:val="-3"/>
          <w:sz w:val="18"/>
        </w:rPr>
        <w:t> </w:t>
      </w:r>
      <w:r>
        <w:rPr>
          <w:i/>
          <w:sz w:val="18"/>
        </w:rPr>
        <w:t>Principles</w:t>
      </w:r>
      <w:r>
        <w:rPr>
          <w:i/>
          <w:spacing w:val="-2"/>
          <w:sz w:val="18"/>
        </w:rPr>
        <w:t> </w:t>
      </w:r>
      <w:r>
        <w:rPr>
          <w:i/>
          <w:sz w:val="18"/>
        </w:rPr>
        <w:t>for</w:t>
      </w:r>
      <w:r>
        <w:rPr>
          <w:i/>
          <w:spacing w:val="-3"/>
          <w:sz w:val="18"/>
        </w:rPr>
        <w:t> </w:t>
      </w:r>
      <w:r>
        <w:rPr>
          <w:i/>
          <w:sz w:val="18"/>
        </w:rPr>
        <w:t>Regulatory</w:t>
      </w:r>
      <w:r>
        <w:rPr>
          <w:i/>
          <w:spacing w:val="-2"/>
          <w:sz w:val="18"/>
        </w:rPr>
        <w:t> </w:t>
      </w:r>
      <w:r>
        <w:rPr>
          <w:i/>
          <w:sz w:val="18"/>
        </w:rPr>
        <w:t>Policy, </w:t>
      </w:r>
      <w:r>
        <w:rPr>
          <w:sz w:val="18"/>
        </w:rPr>
        <w:t>OECD </w:t>
      </w:r>
      <w:r>
        <w:rPr>
          <w:spacing w:val="-2"/>
          <w:sz w:val="18"/>
        </w:rPr>
        <w:t>Publishing.</w:t>
      </w:r>
    </w:p>
    <w:p>
      <w:pPr>
        <w:spacing w:line="285" w:lineRule="auto" w:before="78"/>
        <w:ind w:left="600" w:right="910" w:firstLine="0"/>
        <w:jc w:val="left"/>
        <w:rPr>
          <w:sz w:val="18"/>
        </w:rPr>
      </w:pPr>
      <w:r>
        <w:rPr>
          <w:sz w:val="18"/>
        </w:rPr>
        <w:t>Government</w:t>
      </w:r>
      <w:r>
        <w:rPr>
          <w:spacing w:val="-5"/>
          <w:sz w:val="18"/>
        </w:rPr>
        <w:t> </w:t>
      </w:r>
      <w:r>
        <w:rPr>
          <w:sz w:val="18"/>
        </w:rPr>
        <w:t>of</w:t>
      </w:r>
      <w:r>
        <w:rPr>
          <w:spacing w:val="-3"/>
          <w:sz w:val="18"/>
        </w:rPr>
        <w:t> </w:t>
      </w:r>
      <w:r>
        <w:rPr>
          <w:sz w:val="18"/>
        </w:rPr>
        <w:t>Victoria,</w:t>
      </w:r>
      <w:r>
        <w:rPr>
          <w:spacing w:val="-5"/>
          <w:sz w:val="18"/>
        </w:rPr>
        <w:t> </w:t>
      </w:r>
      <w:r>
        <w:rPr>
          <w:sz w:val="18"/>
        </w:rPr>
        <w:t>2010.</w:t>
      </w:r>
      <w:r>
        <w:rPr>
          <w:spacing w:val="-3"/>
          <w:sz w:val="18"/>
        </w:rPr>
        <w:t> </w:t>
      </w:r>
      <w:r>
        <w:rPr>
          <w:i/>
          <w:sz w:val="18"/>
        </w:rPr>
        <w:t>Improving</w:t>
      </w:r>
      <w:r>
        <w:rPr>
          <w:i/>
          <w:spacing w:val="-3"/>
          <w:sz w:val="18"/>
        </w:rPr>
        <w:t> </w:t>
      </w:r>
      <w:r>
        <w:rPr>
          <w:i/>
          <w:sz w:val="18"/>
        </w:rPr>
        <w:t>governance</w:t>
      </w:r>
      <w:r>
        <w:rPr>
          <w:i/>
          <w:spacing w:val="-3"/>
          <w:sz w:val="18"/>
        </w:rPr>
        <w:t> </w:t>
      </w:r>
      <w:r>
        <w:rPr>
          <w:i/>
          <w:sz w:val="18"/>
        </w:rPr>
        <w:t>of</w:t>
      </w:r>
      <w:r>
        <w:rPr>
          <w:i/>
          <w:spacing w:val="-5"/>
          <w:sz w:val="18"/>
        </w:rPr>
        <w:t> </w:t>
      </w:r>
      <w:r>
        <w:rPr>
          <w:i/>
          <w:sz w:val="18"/>
        </w:rPr>
        <w:t>regulators:</w:t>
      </w:r>
      <w:r>
        <w:rPr>
          <w:i/>
          <w:spacing w:val="-5"/>
          <w:sz w:val="18"/>
        </w:rPr>
        <w:t> </w:t>
      </w:r>
      <w:r>
        <w:rPr>
          <w:i/>
          <w:sz w:val="18"/>
        </w:rPr>
        <w:t>principles</w:t>
      </w:r>
      <w:r>
        <w:rPr>
          <w:i/>
          <w:spacing w:val="-3"/>
          <w:sz w:val="18"/>
        </w:rPr>
        <w:t> </w:t>
      </w:r>
      <w:r>
        <w:rPr>
          <w:i/>
          <w:sz w:val="18"/>
        </w:rPr>
        <w:t>and</w:t>
      </w:r>
      <w:r>
        <w:rPr>
          <w:i/>
          <w:spacing w:val="-3"/>
          <w:sz w:val="18"/>
        </w:rPr>
        <w:t> </w:t>
      </w:r>
      <w:r>
        <w:rPr>
          <w:i/>
          <w:sz w:val="18"/>
        </w:rPr>
        <w:t>guidelines. </w:t>
      </w:r>
      <w:r>
        <w:rPr>
          <w:sz w:val="18"/>
        </w:rPr>
        <w:t>Melbourne: Department of Premier and Cabinet.</w:t>
      </w:r>
    </w:p>
    <w:p>
      <w:pPr>
        <w:spacing w:after="0" w:line="285" w:lineRule="auto"/>
        <w:jc w:val="left"/>
        <w:rPr>
          <w:sz w:val="18"/>
        </w:rPr>
        <w:sectPr>
          <w:pgSz w:w="11910" w:h="16840"/>
          <w:pgMar w:header="887" w:footer="1228" w:top="1080" w:bottom="1500" w:left="840" w:right="820"/>
        </w:sectPr>
      </w:pPr>
    </w:p>
    <w:p>
      <w:pPr>
        <w:pStyle w:val="BodyText"/>
        <w:rPr>
          <w:sz w:val="20"/>
        </w:rPr>
      </w:pPr>
    </w:p>
    <w:p>
      <w:pPr>
        <w:pStyle w:val="BodyText"/>
        <w:rPr>
          <w:sz w:val="20"/>
        </w:rPr>
      </w:pPr>
    </w:p>
    <w:p>
      <w:pPr>
        <w:pStyle w:val="Heading3"/>
        <w:spacing w:line="285" w:lineRule="auto" w:before="262"/>
        <w:ind w:left="600"/>
      </w:pPr>
      <w:bookmarkStart w:name="_bookmark8" w:id="9"/>
      <w:bookmarkEnd w:id="9"/>
      <w:r>
        <w:rPr>
          <w:b w:val="0"/>
        </w:rPr>
      </w:r>
      <w:r>
        <w:rPr>
          <w:color w:val="00B1A9"/>
        </w:rPr>
        <w:t>Chapter</w:t>
      </w:r>
      <w:r>
        <w:rPr>
          <w:color w:val="00B1A9"/>
          <w:spacing w:val="-8"/>
        </w:rPr>
        <w:t> </w:t>
      </w:r>
      <w:r>
        <w:rPr>
          <w:color w:val="00B1A9"/>
        </w:rPr>
        <w:t>2:</w:t>
      </w:r>
      <w:r>
        <w:rPr>
          <w:color w:val="00B1A9"/>
          <w:spacing w:val="-8"/>
        </w:rPr>
        <w:t> </w:t>
      </w:r>
      <w:r>
        <w:rPr>
          <w:color w:val="00B1A9"/>
        </w:rPr>
        <w:t>ESV’s</w:t>
      </w:r>
      <w:r>
        <w:rPr>
          <w:color w:val="00B1A9"/>
          <w:spacing w:val="-8"/>
        </w:rPr>
        <w:t> </w:t>
      </w:r>
      <w:r>
        <w:rPr>
          <w:color w:val="00B1A9"/>
        </w:rPr>
        <w:t>Regulatory</w:t>
      </w:r>
      <w:r>
        <w:rPr>
          <w:color w:val="00B1A9"/>
          <w:spacing w:val="-27"/>
        </w:rPr>
        <w:t> </w:t>
      </w:r>
      <w:r>
        <w:rPr>
          <w:color w:val="00B1A9"/>
        </w:rPr>
        <w:t>Approach</w:t>
      </w:r>
      <w:r>
        <w:rPr>
          <w:color w:val="00B1A9"/>
          <w:spacing w:val="-10"/>
        </w:rPr>
        <w:t> </w:t>
      </w:r>
      <w:r>
        <w:rPr>
          <w:color w:val="00B1A9"/>
        </w:rPr>
        <w:t>and </w:t>
      </w:r>
      <w:r>
        <w:rPr>
          <w:color w:val="00B1A9"/>
          <w:spacing w:val="-2"/>
        </w:rPr>
        <w:t>Capabilities</w:t>
      </w:r>
    </w:p>
    <w:p>
      <w:pPr>
        <w:pStyle w:val="BodyText"/>
        <w:rPr>
          <w:b/>
          <w:sz w:val="20"/>
        </w:rPr>
      </w:pPr>
    </w:p>
    <w:p>
      <w:pPr>
        <w:pStyle w:val="Heading4"/>
        <w:spacing w:before="255"/>
        <w:ind w:left="742"/>
      </w:pPr>
      <w:r>
        <w:rPr/>
        <mc:AlternateContent>
          <mc:Choice Requires="wps">
            <w:drawing>
              <wp:anchor distT="0" distB="0" distL="0" distR="0" allowOverlap="1" layoutInCell="1" locked="0" behindDoc="1" simplePos="0" relativeHeight="482707456">
                <wp:simplePos x="0" y="0"/>
                <wp:positionH relativeFrom="page">
                  <wp:posOffset>914704</wp:posOffset>
                </wp:positionH>
                <wp:positionV relativeFrom="paragraph">
                  <wp:posOffset>9751</wp:posOffset>
                </wp:positionV>
                <wp:extent cx="5732780" cy="7355840"/>
                <wp:effectExtent l="0" t="0" r="0" b="0"/>
                <wp:wrapNone/>
                <wp:docPr id="111" name="Graphic 111"/>
                <wp:cNvGraphicFramePr>
                  <a:graphicFrameLocks/>
                </wp:cNvGraphicFramePr>
                <a:graphic>
                  <a:graphicData uri="http://schemas.microsoft.com/office/word/2010/wordprocessingShape">
                    <wps:wsp>
                      <wps:cNvPr id="111" name="Graphic 111"/>
                      <wps:cNvSpPr/>
                      <wps:spPr>
                        <a:xfrm>
                          <a:off x="0" y="0"/>
                          <a:ext cx="5732780" cy="7355840"/>
                        </a:xfrm>
                        <a:custGeom>
                          <a:avLst/>
                          <a:gdLst/>
                          <a:ahLst/>
                          <a:cxnLst/>
                          <a:rect l="l" t="t" r="r" b="b"/>
                          <a:pathLst>
                            <a:path w="5732780" h="7355840">
                              <a:moveTo>
                                <a:pt x="5732653" y="0"/>
                              </a:moveTo>
                              <a:lnTo>
                                <a:pt x="0" y="0"/>
                              </a:lnTo>
                              <a:lnTo>
                                <a:pt x="0" y="7355713"/>
                              </a:lnTo>
                              <a:lnTo>
                                <a:pt x="5732653" y="7355713"/>
                              </a:lnTo>
                              <a:lnTo>
                                <a:pt x="5732653"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72.024002pt;margin-top:.767834pt;width:451.39pt;height:579.190pt;mso-position-horizontal-relative:page;mso-position-vertical-relative:paragraph;z-index:-20609024" id="docshape96" filled="true" fillcolor="#d9d9d9" stroked="false">
                <v:fill type="solid"/>
                <w10:wrap type="none"/>
              </v:rect>
            </w:pict>
          </mc:Fallback>
        </mc:AlternateContent>
      </w:r>
      <w:r>
        <w:rPr>
          <w:color w:val="585858"/>
          <w:spacing w:val="-2"/>
        </w:rPr>
        <w:t>Summary</w:t>
      </w:r>
    </w:p>
    <w:p>
      <w:pPr>
        <w:pStyle w:val="BodyText"/>
        <w:spacing w:line="288" w:lineRule="auto" w:before="314"/>
        <w:ind w:left="713" w:right="910"/>
      </w:pPr>
      <w:r>
        <w:rPr/>
        <w:t>This chapter considers Energy Safe Victoria’s (ESV) regulatory approach and its regulatory</w:t>
      </w:r>
      <w:r>
        <w:rPr>
          <w:spacing w:val="-5"/>
        </w:rPr>
        <w:t> </w:t>
      </w:r>
      <w:r>
        <w:rPr/>
        <w:t>capabilities,</w:t>
      </w:r>
      <w:r>
        <w:rPr>
          <w:spacing w:val="-2"/>
        </w:rPr>
        <w:t> </w:t>
      </w:r>
      <w:r>
        <w:rPr/>
        <w:t>with</w:t>
      </w:r>
      <w:r>
        <w:rPr>
          <w:spacing w:val="-1"/>
        </w:rPr>
        <w:t> </w:t>
      </w:r>
      <w:r>
        <w:rPr/>
        <w:t>a</w:t>
      </w:r>
      <w:r>
        <w:rPr>
          <w:spacing w:val="-3"/>
        </w:rPr>
        <w:t> </w:t>
      </w:r>
      <w:r>
        <w:rPr/>
        <w:t>particular</w:t>
      </w:r>
      <w:r>
        <w:rPr>
          <w:spacing w:val="-7"/>
        </w:rPr>
        <w:t> </w:t>
      </w:r>
      <w:r>
        <w:rPr/>
        <w:t>focus</w:t>
      </w:r>
      <w:r>
        <w:rPr>
          <w:spacing w:val="-2"/>
        </w:rPr>
        <w:t> </w:t>
      </w:r>
      <w:r>
        <w:rPr/>
        <w:t>on</w:t>
      </w:r>
      <w:r>
        <w:rPr>
          <w:spacing w:val="-5"/>
        </w:rPr>
        <w:t> </w:t>
      </w:r>
      <w:r>
        <w:rPr/>
        <w:t>compliance</w:t>
      </w:r>
      <w:r>
        <w:rPr>
          <w:spacing w:val="-3"/>
        </w:rPr>
        <w:t> </w:t>
      </w:r>
      <w:r>
        <w:rPr/>
        <w:t>and</w:t>
      </w:r>
      <w:r>
        <w:rPr>
          <w:spacing w:val="-1"/>
        </w:rPr>
        <w:t> </w:t>
      </w:r>
      <w:r>
        <w:rPr/>
        <w:t>enforcement,</w:t>
      </w:r>
      <w:r>
        <w:rPr>
          <w:spacing w:val="-4"/>
        </w:rPr>
        <w:t> </w:t>
      </w:r>
      <w:r>
        <w:rPr/>
        <w:t>and</w:t>
      </w:r>
      <w:r>
        <w:rPr>
          <w:spacing w:val="-5"/>
        </w:rPr>
        <w:t> </w:t>
      </w:r>
      <w:r>
        <w:rPr/>
        <w:t>the broader analytical capabilities necessary to support effective risk-based regulation.</w:t>
      </w:r>
    </w:p>
    <w:p>
      <w:pPr>
        <w:pStyle w:val="BodyText"/>
        <w:spacing w:before="11"/>
        <w:rPr>
          <w:sz w:val="20"/>
        </w:rPr>
      </w:pPr>
    </w:p>
    <w:p>
      <w:pPr>
        <w:pStyle w:val="BodyText"/>
        <w:spacing w:line="288" w:lineRule="auto"/>
        <w:ind w:left="713" w:right="757"/>
      </w:pPr>
      <w:r>
        <w:rPr/>
        <w:t>International practice over the past two decades has seen increasing use of the safety case approach adopted by ESV in its network safety regulation. Experience has demonstrated</w:t>
      </w:r>
      <w:r>
        <w:rPr>
          <w:spacing w:val="-5"/>
        </w:rPr>
        <w:t> </w:t>
      </w:r>
      <w:r>
        <w:rPr/>
        <w:t>that</w:t>
      </w:r>
      <w:r>
        <w:rPr>
          <w:spacing w:val="-4"/>
        </w:rPr>
        <w:t> </w:t>
      </w:r>
      <w:r>
        <w:rPr/>
        <w:t>a</w:t>
      </w:r>
      <w:r>
        <w:rPr>
          <w:spacing w:val="-5"/>
        </w:rPr>
        <w:t> </w:t>
      </w:r>
      <w:r>
        <w:rPr/>
        <w:t>robust</w:t>
      </w:r>
      <w:r>
        <w:rPr>
          <w:spacing w:val="-2"/>
        </w:rPr>
        <w:t> </w:t>
      </w:r>
      <w:r>
        <w:rPr/>
        <w:t>safety</w:t>
      </w:r>
      <w:r>
        <w:rPr>
          <w:spacing w:val="-4"/>
        </w:rPr>
        <w:t> </w:t>
      </w:r>
      <w:r>
        <w:rPr/>
        <w:t>case</w:t>
      </w:r>
      <w:r>
        <w:rPr>
          <w:spacing w:val="-3"/>
        </w:rPr>
        <w:t> </w:t>
      </w:r>
      <w:r>
        <w:rPr/>
        <w:t>system</w:t>
      </w:r>
      <w:r>
        <w:rPr>
          <w:spacing w:val="-4"/>
        </w:rPr>
        <w:t> </w:t>
      </w:r>
      <w:r>
        <w:rPr/>
        <w:t>requires</w:t>
      </w:r>
      <w:r>
        <w:rPr>
          <w:spacing w:val="-5"/>
        </w:rPr>
        <w:t> </w:t>
      </w:r>
      <w:r>
        <w:rPr/>
        <w:t>strong “hands</w:t>
      </w:r>
      <w:r>
        <w:rPr>
          <w:spacing w:val="-5"/>
        </w:rPr>
        <w:t> </w:t>
      </w:r>
      <w:r>
        <w:rPr/>
        <w:t>on”</w:t>
      </w:r>
      <w:r>
        <w:rPr>
          <w:spacing w:val="-1"/>
        </w:rPr>
        <w:t> </w:t>
      </w:r>
      <w:r>
        <w:rPr/>
        <w:t>engagement</w:t>
      </w:r>
      <w:r>
        <w:rPr>
          <w:spacing w:val="-4"/>
        </w:rPr>
        <w:t> </w:t>
      </w:r>
      <w:r>
        <w:rPr/>
        <w:t>by the regulator.</w:t>
      </w:r>
    </w:p>
    <w:p>
      <w:pPr>
        <w:pStyle w:val="BodyText"/>
        <w:spacing w:before="11"/>
        <w:rPr>
          <w:sz w:val="20"/>
        </w:rPr>
      </w:pPr>
    </w:p>
    <w:p>
      <w:pPr>
        <w:pStyle w:val="BodyText"/>
        <w:spacing w:line="288" w:lineRule="auto"/>
        <w:ind w:left="713" w:right="374"/>
      </w:pPr>
      <w:r>
        <w:rPr/>
        <w:t>As</w:t>
      </w:r>
      <w:r>
        <w:rPr>
          <w:spacing w:val="-4"/>
        </w:rPr>
        <w:t> </w:t>
      </w:r>
      <w:r>
        <w:rPr/>
        <w:t>foreshadowed</w:t>
      </w:r>
      <w:r>
        <w:rPr>
          <w:spacing w:val="-2"/>
        </w:rPr>
        <w:t> </w:t>
      </w:r>
      <w:r>
        <w:rPr/>
        <w:t>in</w:t>
      </w:r>
      <w:r>
        <w:rPr>
          <w:spacing w:val="-2"/>
        </w:rPr>
        <w:t> </w:t>
      </w:r>
      <w:r>
        <w:rPr/>
        <w:t>ESV’s </w:t>
      </w:r>
      <w:r>
        <w:rPr>
          <w:i/>
        </w:rPr>
        <w:t>Corporate</w:t>
      </w:r>
      <w:r>
        <w:rPr>
          <w:i/>
          <w:spacing w:val="-2"/>
        </w:rPr>
        <w:t> </w:t>
      </w:r>
      <w:r>
        <w:rPr>
          <w:i/>
        </w:rPr>
        <w:t>Plan</w:t>
      </w:r>
      <w:r>
        <w:rPr>
          <w:i/>
          <w:spacing w:val="-2"/>
        </w:rPr>
        <w:t> </w:t>
      </w:r>
      <w:r>
        <w:rPr>
          <w:i/>
        </w:rPr>
        <w:t>2017–2020</w:t>
      </w:r>
      <w:r>
        <w:rPr/>
        <w:t>,</w:t>
      </w:r>
      <w:r>
        <w:rPr>
          <w:spacing w:val="-3"/>
        </w:rPr>
        <w:t> </w:t>
      </w:r>
      <w:r>
        <w:rPr/>
        <w:t>there</w:t>
      </w:r>
      <w:r>
        <w:rPr>
          <w:spacing w:val="-4"/>
        </w:rPr>
        <w:t> </w:t>
      </w:r>
      <w:r>
        <w:rPr/>
        <w:t>needs</w:t>
      </w:r>
      <w:r>
        <w:rPr>
          <w:spacing w:val="-4"/>
        </w:rPr>
        <w:t> </w:t>
      </w:r>
      <w:r>
        <w:rPr/>
        <w:t>to</w:t>
      </w:r>
      <w:r>
        <w:rPr>
          <w:spacing w:val="-4"/>
        </w:rPr>
        <w:t> </w:t>
      </w:r>
      <w:r>
        <w:rPr/>
        <w:t>be</w:t>
      </w:r>
      <w:r>
        <w:rPr>
          <w:spacing w:val="-4"/>
        </w:rPr>
        <w:t> </w:t>
      </w:r>
      <w:r>
        <w:rPr/>
        <w:t>a</w:t>
      </w:r>
      <w:r>
        <w:rPr>
          <w:spacing w:val="-2"/>
        </w:rPr>
        <w:t> </w:t>
      </w:r>
      <w:r>
        <w:rPr/>
        <w:t>substantial increase in ESV's inspection and audit activity.</w:t>
      </w:r>
    </w:p>
    <w:p>
      <w:pPr>
        <w:pStyle w:val="BodyText"/>
        <w:spacing w:before="10"/>
        <w:rPr>
          <w:sz w:val="20"/>
        </w:rPr>
      </w:pPr>
    </w:p>
    <w:p>
      <w:pPr>
        <w:pStyle w:val="BodyText"/>
        <w:spacing w:line="288" w:lineRule="auto"/>
        <w:ind w:left="713" w:right="910"/>
      </w:pPr>
      <w:r>
        <w:rPr/>
        <w:t>More inspectors need to be out in the field and they need to be administering an expanded</w:t>
      </w:r>
      <w:r>
        <w:rPr>
          <w:spacing w:val="-2"/>
        </w:rPr>
        <w:t> </w:t>
      </w:r>
      <w:r>
        <w:rPr/>
        <w:t>audit program</w:t>
      </w:r>
      <w:r>
        <w:rPr>
          <w:spacing w:val="-5"/>
        </w:rPr>
        <w:t> </w:t>
      </w:r>
      <w:r>
        <w:rPr/>
        <w:t>that</w:t>
      </w:r>
      <w:r>
        <w:rPr>
          <w:spacing w:val="-3"/>
        </w:rPr>
        <w:t> </w:t>
      </w:r>
      <w:r>
        <w:rPr/>
        <w:t>strongly</w:t>
      </w:r>
      <w:r>
        <w:rPr>
          <w:spacing w:val="-4"/>
        </w:rPr>
        <w:t> </w:t>
      </w:r>
      <w:r>
        <w:rPr/>
        <w:t>implements</w:t>
      </w:r>
      <w:r>
        <w:rPr>
          <w:spacing w:val="-6"/>
        </w:rPr>
        <w:t> </w:t>
      </w:r>
      <w:r>
        <w:rPr/>
        <w:t>the</w:t>
      </w:r>
      <w:r>
        <w:rPr>
          <w:spacing w:val="-2"/>
        </w:rPr>
        <w:t> </w:t>
      </w:r>
      <w:r>
        <w:rPr/>
        <w:t>ESV</w:t>
      </w:r>
      <w:r>
        <w:rPr>
          <w:spacing w:val="-4"/>
        </w:rPr>
        <w:t> </w:t>
      </w:r>
      <w:r>
        <w:rPr/>
        <w:t>goal</w:t>
      </w:r>
      <w:r>
        <w:rPr>
          <w:spacing w:val="-5"/>
        </w:rPr>
        <w:t> </w:t>
      </w:r>
      <w:r>
        <w:rPr/>
        <w:t>to</w:t>
      </w:r>
      <w:r>
        <w:rPr>
          <w:spacing w:val="-2"/>
        </w:rPr>
        <w:t> </w:t>
      </w:r>
      <w:r>
        <w:rPr/>
        <w:t>“test, challenge</w:t>
      </w:r>
      <w:r>
        <w:rPr>
          <w:spacing w:val="-2"/>
        </w:rPr>
        <w:t> </w:t>
      </w:r>
      <w:r>
        <w:rPr/>
        <w:t>and expose” (</w:t>
      </w:r>
      <w:r>
        <w:rPr>
          <w:b/>
        </w:rPr>
        <w:t>Recommendation 6</w:t>
      </w:r>
      <w:r>
        <w:rPr/>
        <w:t>).</w:t>
      </w:r>
    </w:p>
    <w:p>
      <w:pPr>
        <w:pStyle w:val="BodyText"/>
        <w:spacing w:before="9"/>
        <w:rPr>
          <w:sz w:val="20"/>
        </w:rPr>
      </w:pPr>
    </w:p>
    <w:p>
      <w:pPr>
        <w:pStyle w:val="BodyText"/>
        <w:spacing w:line="288" w:lineRule="auto"/>
        <w:ind w:left="713" w:right="813"/>
      </w:pPr>
      <w:r>
        <w:rPr/>
        <w:t>Behind</w:t>
      </w:r>
      <w:r>
        <w:rPr>
          <w:spacing w:val="-3"/>
        </w:rPr>
        <w:t> </w:t>
      </w:r>
      <w:r>
        <w:rPr/>
        <w:t>the</w:t>
      </w:r>
      <w:r>
        <w:rPr>
          <w:spacing w:val="-3"/>
        </w:rPr>
        <w:t> </w:t>
      </w:r>
      <w:r>
        <w:rPr/>
        <w:t>scenes</w:t>
      </w:r>
      <w:r>
        <w:rPr>
          <w:spacing w:val="-3"/>
        </w:rPr>
        <w:t> </w:t>
      </w:r>
      <w:r>
        <w:rPr/>
        <w:t>ESV</w:t>
      </w:r>
      <w:r>
        <w:rPr>
          <w:spacing w:val="-5"/>
        </w:rPr>
        <w:t> </w:t>
      </w:r>
      <w:r>
        <w:rPr/>
        <w:t>needs</w:t>
      </w:r>
      <w:r>
        <w:rPr>
          <w:spacing w:val="-2"/>
        </w:rPr>
        <w:t> </w:t>
      </w:r>
      <w:r>
        <w:rPr/>
        <w:t>to</w:t>
      </w:r>
      <w:r>
        <w:rPr>
          <w:spacing w:val="-5"/>
        </w:rPr>
        <w:t> </w:t>
      </w:r>
      <w:r>
        <w:rPr/>
        <w:t>develop</w:t>
      </w:r>
      <w:r>
        <w:rPr>
          <w:spacing w:val="-3"/>
        </w:rPr>
        <w:t> </w:t>
      </w:r>
      <w:r>
        <w:rPr/>
        <w:t>significantly</w:t>
      </w:r>
      <w:r>
        <w:rPr>
          <w:spacing w:val="-5"/>
        </w:rPr>
        <w:t> </w:t>
      </w:r>
      <w:r>
        <w:rPr/>
        <w:t>stronger</w:t>
      </w:r>
      <w:r>
        <w:rPr>
          <w:spacing w:val="-2"/>
        </w:rPr>
        <w:t> </w:t>
      </w:r>
      <w:r>
        <w:rPr/>
        <w:t>analytical</w:t>
      </w:r>
      <w:r>
        <w:rPr>
          <w:spacing w:val="-4"/>
        </w:rPr>
        <w:t> </w:t>
      </w:r>
      <w:r>
        <w:rPr/>
        <w:t>capabilities</w:t>
      </w:r>
      <w:r>
        <w:rPr>
          <w:spacing w:val="-3"/>
        </w:rPr>
        <w:t> </w:t>
      </w:r>
      <w:r>
        <w:rPr/>
        <w:t>and an integrated approach to surveillance (</w:t>
      </w:r>
      <w:r>
        <w:rPr>
          <w:b/>
        </w:rPr>
        <w:t>Recommendation 8</w:t>
      </w:r>
      <w:r>
        <w:rPr/>
        <w:t>).</w:t>
      </w:r>
    </w:p>
    <w:p>
      <w:pPr>
        <w:pStyle w:val="BodyText"/>
        <w:spacing w:before="10"/>
        <w:rPr>
          <w:sz w:val="20"/>
        </w:rPr>
      </w:pPr>
    </w:p>
    <w:p>
      <w:pPr>
        <w:pStyle w:val="BodyText"/>
        <w:spacing w:line="288" w:lineRule="auto"/>
        <w:ind w:left="713" w:right="910"/>
      </w:pPr>
      <w:r>
        <w:rPr/>
        <w:t>As part of this, ESV’s data analytics capability including the data collection and management</w:t>
      </w:r>
      <w:r>
        <w:rPr>
          <w:spacing w:val="-4"/>
        </w:rPr>
        <w:t> </w:t>
      </w:r>
      <w:r>
        <w:rPr/>
        <w:t>systems</w:t>
      </w:r>
      <w:r>
        <w:rPr>
          <w:spacing w:val="-4"/>
        </w:rPr>
        <w:t> </w:t>
      </w:r>
      <w:r>
        <w:rPr/>
        <w:t>to</w:t>
      </w:r>
      <w:r>
        <w:rPr>
          <w:spacing w:val="-5"/>
        </w:rPr>
        <w:t> </w:t>
      </w:r>
      <w:r>
        <w:rPr/>
        <w:t>support</w:t>
      </w:r>
      <w:r>
        <w:rPr>
          <w:spacing w:val="-4"/>
        </w:rPr>
        <w:t> </w:t>
      </w:r>
      <w:r>
        <w:rPr/>
        <w:t>robust</w:t>
      </w:r>
      <w:r>
        <w:rPr>
          <w:spacing w:val="-4"/>
        </w:rPr>
        <w:t> </w:t>
      </w:r>
      <w:r>
        <w:rPr/>
        <w:t>statistical</w:t>
      </w:r>
      <w:r>
        <w:rPr>
          <w:spacing w:val="-4"/>
        </w:rPr>
        <w:t> </w:t>
      </w:r>
      <w:r>
        <w:rPr/>
        <w:t>analysis,</w:t>
      </w:r>
      <w:r>
        <w:rPr>
          <w:spacing w:val="-1"/>
        </w:rPr>
        <w:t> </w:t>
      </w:r>
      <w:r>
        <w:rPr/>
        <w:t>should</w:t>
      </w:r>
      <w:r>
        <w:rPr>
          <w:spacing w:val="-5"/>
        </w:rPr>
        <w:t> </w:t>
      </w:r>
      <w:r>
        <w:rPr/>
        <w:t>form</w:t>
      </w:r>
      <w:r>
        <w:rPr>
          <w:spacing w:val="-4"/>
        </w:rPr>
        <w:t> </w:t>
      </w:r>
      <w:r>
        <w:rPr/>
        <w:t>a</w:t>
      </w:r>
      <w:r>
        <w:rPr>
          <w:spacing w:val="-7"/>
        </w:rPr>
        <w:t> </w:t>
      </w:r>
      <w:r>
        <w:rPr/>
        <w:t>central component (</w:t>
      </w:r>
      <w:r>
        <w:rPr>
          <w:b/>
        </w:rPr>
        <w:t>Recommendation 14</w:t>
      </w:r>
      <w:r>
        <w:rPr/>
        <w:t>).</w:t>
      </w:r>
    </w:p>
    <w:p>
      <w:pPr>
        <w:pStyle w:val="BodyText"/>
        <w:rPr>
          <w:sz w:val="21"/>
        </w:rPr>
      </w:pPr>
    </w:p>
    <w:p>
      <w:pPr>
        <w:pStyle w:val="BodyText"/>
        <w:spacing w:line="288" w:lineRule="auto"/>
        <w:ind w:left="713" w:right="586"/>
      </w:pPr>
      <w:r>
        <w:rPr/>
        <w:t>ESV has also publicly signalled an intention to refine its “responsive regulation approach” and adopt a more robust approach to “serious noncompliances”. This should be a high priority</w:t>
      </w:r>
      <w:r>
        <w:rPr>
          <w:spacing w:val="-3"/>
        </w:rPr>
        <w:t> </w:t>
      </w:r>
      <w:r>
        <w:rPr/>
        <w:t>–</w:t>
      </w:r>
      <w:r>
        <w:rPr>
          <w:spacing w:val="-2"/>
        </w:rPr>
        <w:t> </w:t>
      </w:r>
      <w:r>
        <w:rPr/>
        <w:t>ESV</w:t>
      </w:r>
      <w:r>
        <w:rPr>
          <w:spacing w:val="-2"/>
        </w:rPr>
        <w:t> </w:t>
      </w:r>
      <w:r>
        <w:rPr/>
        <w:t>needs</w:t>
      </w:r>
      <w:r>
        <w:rPr>
          <w:spacing w:val="-4"/>
        </w:rPr>
        <w:t> </w:t>
      </w:r>
      <w:r>
        <w:rPr/>
        <w:t>to</w:t>
      </w:r>
      <w:r>
        <w:rPr>
          <w:spacing w:val="-4"/>
        </w:rPr>
        <w:t> </w:t>
      </w:r>
      <w:r>
        <w:rPr/>
        <w:t>have</w:t>
      </w:r>
      <w:r>
        <w:rPr>
          <w:spacing w:val="-2"/>
        </w:rPr>
        <w:t> </w:t>
      </w:r>
      <w:r>
        <w:rPr/>
        <w:t>the</w:t>
      </w:r>
      <w:r>
        <w:rPr>
          <w:spacing w:val="-2"/>
        </w:rPr>
        <w:t> </w:t>
      </w:r>
      <w:r>
        <w:rPr/>
        <w:t>approach</w:t>
      </w:r>
      <w:r>
        <w:rPr>
          <w:spacing w:val="-2"/>
        </w:rPr>
        <w:t> </w:t>
      </w:r>
      <w:r>
        <w:rPr/>
        <w:t>of a</w:t>
      </w:r>
      <w:r>
        <w:rPr>
          <w:spacing w:val="-4"/>
        </w:rPr>
        <w:t> </w:t>
      </w:r>
      <w:r>
        <w:rPr/>
        <w:t>confident</w:t>
      </w:r>
      <w:r>
        <w:rPr>
          <w:spacing w:val="-1"/>
        </w:rPr>
        <w:t> </w:t>
      </w:r>
      <w:r>
        <w:rPr/>
        <w:t>and</w:t>
      </w:r>
      <w:r>
        <w:rPr>
          <w:spacing w:val="-4"/>
        </w:rPr>
        <w:t> </w:t>
      </w:r>
      <w:r>
        <w:rPr/>
        <w:t>independent</w:t>
      </w:r>
      <w:r>
        <w:rPr>
          <w:spacing w:val="-5"/>
        </w:rPr>
        <w:t> </w:t>
      </w:r>
      <w:r>
        <w:rPr/>
        <w:t>regulator</w:t>
      </w:r>
      <w:r>
        <w:rPr>
          <w:spacing w:val="-3"/>
        </w:rPr>
        <w:t> </w:t>
      </w:r>
      <w:r>
        <w:rPr/>
        <w:t>that is prepared, and equipped, to take strong action when required (</w:t>
      </w:r>
      <w:r>
        <w:rPr>
          <w:b/>
        </w:rPr>
        <w:t>Recommendations 9 and </w:t>
      </w:r>
      <w:r>
        <w:rPr>
          <w:b/>
          <w:spacing w:val="-4"/>
        </w:rPr>
        <w:t>10</w:t>
      </w:r>
      <w:r>
        <w:rPr>
          <w:spacing w:val="-4"/>
        </w:rPr>
        <w:t>).</w:t>
      </w:r>
    </w:p>
    <w:p>
      <w:pPr>
        <w:pStyle w:val="BodyText"/>
        <w:spacing w:before="9"/>
        <w:rPr>
          <w:sz w:val="20"/>
        </w:rPr>
      </w:pPr>
    </w:p>
    <w:p>
      <w:pPr>
        <w:pStyle w:val="BodyText"/>
        <w:spacing w:line="288" w:lineRule="auto"/>
        <w:ind w:left="713" w:right="374"/>
      </w:pPr>
      <w:r>
        <w:rPr/>
        <w:t>ESV currently has most of the tools necessary to facilitate a graduated approach to compliance</w:t>
      </w:r>
      <w:r>
        <w:rPr>
          <w:spacing w:val="-3"/>
        </w:rPr>
        <w:t> </w:t>
      </w:r>
      <w:r>
        <w:rPr/>
        <w:t>and</w:t>
      </w:r>
      <w:r>
        <w:rPr>
          <w:spacing w:val="-3"/>
        </w:rPr>
        <w:t> </w:t>
      </w:r>
      <w:r>
        <w:rPr/>
        <w:t>enforcement,</w:t>
      </w:r>
      <w:r>
        <w:rPr>
          <w:spacing w:val="-1"/>
        </w:rPr>
        <w:t> </w:t>
      </w:r>
      <w:r>
        <w:rPr/>
        <w:t>allowing</w:t>
      </w:r>
      <w:r>
        <w:rPr>
          <w:spacing w:val="-1"/>
        </w:rPr>
        <w:t> </w:t>
      </w:r>
      <w:r>
        <w:rPr/>
        <w:t>ESV</w:t>
      </w:r>
      <w:r>
        <w:rPr>
          <w:spacing w:val="-3"/>
        </w:rPr>
        <w:t> </w:t>
      </w:r>
      <w:r>
        <w:rPr/>
        <w:t>to</w:t>
      </w:r>
      <w:r>
        <w:rPr>
          <w:spacing w:val="-5"/>
        </w:rPr>
        <w:t> </w:t>
      </w:r>
      <w:r>
        <w:rPr/>
        <w:t>adopt</w:t>
      </w:r>
      <w:r>
        <w:rPr>
          <w:spacing w:val="-3"/>
        </w:rPr>
        <w:t> </w:t>
      </w:r>
      <w:r>
        <w:rPr/>
        <w:t>“lighter</w:t>
      </w:r>
      <w:r>
        <w:rPr>
          <w:spacing w:val="-4"/>
        </w:rPr>
        <w:t> </w:t>
      </w:r>
      <w:r>
        <w:rPr/>
        <w:t>touch”</w:t>
      </w:r>
      <w:r>
        <w:rPr>
          <w:spacing w:val="-4"/>
        </w:rPr>
        <w:t> </w:t>
      </w:r>
      <w:r>
        <w:rPr/>
        <w:t>measures</w:t>
      </w:r>
      <w:r>
        <w:rPr>
          <w:spacing w:val="-2"/>
        </w:rPr>
        <w:t> </w:t>
      </w:r>
      <w:r>
        <w:rPr/>
        <w:t>when</w:t>
      </w:r>
      <w:r>
        <w:rPr>
          <w:spacing w:val="-3"/>
        </w:rPr>
        <w:t> </w:t>
      </w:r>
      <w:r>
        <w:rPr/>
        <w:t>this</w:t>
      </w:r>
      <w:r>
        <w:rPr>
          <w:spacing w:val="-2"/>
        </w:rPr>
        <w:t> </w:t>
      </w:r>
      <w:r>
        <w:rPr/>
        <w:t>is appropriate, but to use stronger interventions in the case of more serious noncompliance.</w:t>
      </w:r>
    </w:p>
    <w:p>
      <w:pPr>
        <w:pStyle w:val="BodyText"/>
        <w:rPr>
          <w:sz w:val="21"/>
        </w:rPr>
      </w:pPr>
    </w:p>
    <w:p>
      <w:pPr>
        <w:pStyle w:val="BodyText"/>
        <w:spacing w:line="288" w:lineRule="auto"/>
        <w:ind w:left="713" w:right="910"/>
      </w:pPr>
      <w:r>
        <w:rPr/>
        <w:t>However, ESV does not have some tools that are available to some other similar regulators.</w:t>
      </w:r>
      <w:r>
        <w:rPr>
          <w:spacing w:val="-3"/>
        </w:rPr>
        <w:t> </w:t>
      </w:r>
      <w:r>
        <w:rPr/>
        <w:t>There</w:t>
      </w:r>
      <w:r>
        <w:rPr>
          <w:spacing w:val="-2"/>
        </w:rPr>
        <w:t> </w:t>
      </w:r>
      <w:r>
        <w:rPr/>
        <w:t>is</w:t>
      </w:r>
      <w:r>
        <w:rPr>
          <w:spacing w:val="-4"/>
        </w:rPr>
        <w:t> </w:t>
      </w:r>
      <w:r>
        <w:rPr/>
        <w:t>also</w:t>
      </w:r>
      <w:r>
        <w:rPr>
          <w:spacing w:val="-3"/>
        </w:rPr>
        <w:t> </w:t>
      </w:r>
      <w:r>
        <w:rPr/>
        <w:t>scope</w:t>
      </w:r>
      <w:r>
        <w:rPr>
          <w:spacing w:val="-2"/>
        </w:rPr>
        <w:t> </w:t>
      </w:r>
      <w:r>
        <w:rPr/>
        <w:t>to</w:t>
      </w:r>
      <w:r>
        <w:rPr>
          <w:spacing w:val="-4"/>
        </w:rPr>
        <w:t> </w:t>
      </w:r>
      <w:r>
        <w:rPr/>
        <w:t>refine</w:t>
      </w:r>
      <w:r>
        <w:rPr>
          <w:spacing w:val="-2"/>
        </w:rPr>
        <w:t> </w:t>
      </w:r>
      <w:r>
        <w:rPr/>
        <w:t>and</w:t>
      </w:r>
      <w:r>
        <w:rPr>
          <w:spacing w:val="-4"/>
        </w:rPr>
        <w:t> </w:t>
      </w:r>
      <w:r>
        <w:rPr/>
        <w:t>improve</w:t>
      </w:r>
      <w:r>
        <w:rPr>
          <w:spacing w:val="-2"/>
        </w:rPr>
        <w:t> </w:t>
      </w:r>
      <w:r>
        <w:rPr/>
        <w:t>the</w:t>
      </w:r>
      <w:r>
        <w:rPr>
          <w:spacing w:val="-2"/>
        </w:rPr>
        <w:t> </w:t>
      </w:r>
      <w:r>
        <w:rPr/>
        <w:t>regulatory</w:t>
      </w:r>
      <w:r>
        <w:rPr>
          <w:spacing w:val="-3"/>
        </w:rPr>
        <w:t> </w:t>
      </w:r>
      <w:r>
        <w:rPr/>
        <w:t>tools</w:t>
      </w:r>
      <w:r>
        <w:rPr>
          <w:spacing w:val="-4"/>
        </w:rPr>
        <w:t> </w:t>
      </w:r>
      <w:r>
        <w:rPr/>
        <w:t>currently available to ESV to support risk-based regulation (</w:t>
      </w:r>
      <w:r>
        <w:rPr>
          <w:b/>
        </w:rPr>
        <w:t>Recommendation 12</w:t>
      </w:r>
      <w:r>
        <w:rPr/>
        <w:t>).</w:t>
      </w:r>
    </w:p>
    <w:p>
      <w:pPr>
        <w:spacing w:after="0" w:line="288" w:lineRule="auto"/>
        <w:sectPr>
          <w:pgSz w:w="11910" w:h="16840"/>
          <w:pgMar w:header="887" w:footer="1228" w:top="1080" w:bottom="1500" w:left="840" w:right="820"/>
        </w:sectPr>
      </w:pPr>
    </w:p>
    <w:p>
      <w:pPr>
        <w:pStyle w:val="BodyText"/>
        <w:rPr>
          <w:sz w:val="20"/>
        </w:rPr>
      </w:pPr>
    </w:p>
    <w:p>
      <w:pPr>
        <w:pStyle w:val="BodyText"/>
        <w:rPr>
          <w:sz w:val="20"/>
        </w:rPr>
      </w:pPr>
    </w:p>
    <w:p>
      <w:pPr>
        <w:pStyle w:val="Heading4"/>
        <w:spacing w:before="258"/>
        <w:ind w:left="600"/>
      </w:pPr>
      <w:r>
        <w:rPr>
          <w:color w:val="585858"/>
        </w:rPr>
        <w:t>Key</w:t>
      </w:r>
      <w:r>
        <w:rPr>
          <w:color w:val="585858"/>
          <w:spacing w:val="-15"/>
        </w:rPr>
        <w:t> </w:t>
      </w:r>
      <w:r>
        <w:rPr>
          <w:color w:val="585858"/>
        </w:rPr>
        <w:t>features</w:t>
      </w:r>
      <w:r>
        <w:rPr>
          <w:color w:val="585858"/>
          <w:spacing w:val="-9"/>
        </w:rPr>
        <w:t> </w:t>
      </w:r>
      <w:r>
        <w:rPr>
          <w:color w:val="585858"/>
        </w:rPr>
        <w:t>of</w:t>
      </w:r>
      <w:r>
        <w:rPr>
          <w:color w:val="585858"/>
          <w:spacing w:val="-9"/>
        </w:rPr>
        <w:t> </w:t>
      </w:r>
      <w:r>
        <w:rPr>
          <w:color w:val="585858"/>
        </w:rPr>
        <w:t>effective</w:t>
      </w:r>
      <w:r>
        <w:rPr>
          <w:color w:val="585858"/>
          <w:spacing w:val="-11"/>
        </w:rPr>
        <w:t> </w:t>
      </w:r>
      <w:r>
        <w:rPr>
          <w:color w:val="585858"/>
        </w:rPr>
        <w:t>compliance</w:t>
      </w:r>
      <w:r>
        <w:rPr>
          <w:color w:val="585858"/>
          <w:spacing w:val="-11"/>
        </w:rPr>
        <w:t> </w:t>
      </w:r>
      <w:r>
        <w:rPr>
          <w:color w:val="585858"/>
        </w:rPr>
        <w:t>and</w:t>
      </w:r>
      <w:r>
        <w:rPr>
          <w:color w:val="585858"/>
          <w:spacing w:val="-10"/>
        </w:rPr>
        <w:t> </w:t>
      </w:r>
      <w:r>
        <w:rPr>
          <w:color w:val="585858"/>
          <w:spacing w:val="-2"/>
        </w:rPr>
        <w:t>enforcement</w:t>
      </w:r>
    </w:p>
    <w:p>
      <w:pPr>
        <w:spacing w:line="288" w:lineRule="auto" w:before="313"/>
        <w:ind w:left="600" w:right="910" w:firstLine="0"/>
        <w:jc w:val="left"/>
        <w:rPr>
          <w:sz w:val="22"/>
        </w:rPr>
      </w:pPr>
      <w:r>
        <w:rPr>
          <w:sz w:val="22"/>
        </w:rPr>
        <w:t>The </w:t>
      </w:r>
      <w:r>
        <w:rPr>
          <w:i/>
          <w:sz w:val="22"/>
        </w:rPr>
        <w:t>Victorian Guide to Regulation </w:t>
      </w:r>
      <w:r>
        <w:rPr>
          <w:sz w:val="22"/>
        </w:rPr>
        <w:t>prepared by the Department of Treasury and Finance (DTF)</w:t>
      </w:r>
      <w:r>
        <w:rPr>
          <w:spacing w:val="-2"/>
          <w:sz w:val="22"/>
        </w:rPr>
        <w:t> </w:t>
      </w:r>
      <w:r>
        <w:rPr>
          <w:sz w:val="22"/>
        </w:rPr>
        <w:t>identifies</w:t>
      </w:r>
      <w:r>
        <w:rPr>
          <w:spacing w:val="-7"/>
          <w:sz w:val="22"/>
        </w:rPr>
        <w:t> </w:t>
      </w:r>
      <w:r>
        <w:rPr>
          <w:sz w:val="22"/>
        </w:rPr>
        <w:t>the</w:t>
      </w:r>
      <w:r>
        <w:rPr>
          <w:spacing w:val="-3"/>
          <w:sz w:val="22"/>
        </w:rPr>
        <w:t> </w:t>
      </w:r>
      <w:r>
        <w:rPr>
          <w:sz w:val="22"/>
        </w:rPr>
        <w:t>central</w:t>
      </w:r>
      <w:r>
        <w:rPr>
          <w:spacing w:val="-4"/>
          <w:sz w:val="22"/>
        </w:rPr>
        <w:t> </w:t>
      </w:r>
      <w:r>
        <w:rPr>
          <w:sz w:val="22"/>
        </w:rPr>
        <w:t>importance</w:t>
      </w:r>
      <w:r>
        <w:rPr>
          <w:spacing w:val="-3"/>
          <w:sz w:val="22"/>
        </w:rPr>
        <w:t> </w:t>
      </w:r>
      <w:r>
        <w:rPr>
          <w:sz w:val="22"/>
        </w:rPr>
        <w:t>of</w:t>
      </w:r>
      <w:r>
        <w:rPr>
          <w:spacing w:val="-1"/>
          <w:sz w:val="22"/>
        </w:rPr>
        <w:t> </w:t>
      </w:r>
      <w:r>
        <w:rPr>
          <w:sz w:val="22"/>
        </w:rPr>
        <w:t>achieving</w:t>
      </w:r>
      <w:r>
        <w:rPr>
          <w:spacing w:val="-3"/>
          <w:sz w:val="22"/>
        </w:rPr>
        <w:t> </w:t>
      </w:r>
      <w:r>
        <w:rPr>
          <w:sz w:val="22"/>
        </w:rPr>
        <w:t>compliance</w:t>
      </w:r>
      <w:r>
        <w:rPr>
          <w:spacing w:val="-3"/>
          <w:sz w:val="22"/>
        </w:rPr>
        <w:t> </w:t>
      </w:r>
      <w:r>
        <w:rPr>
          <w:sz w:val="22"/>
        </w:rPr>
        <w:t>in</w:t>
      </w:r>
      <w:r>
        <w:rPr>
          <w:spacing w:val="-5"/>
          <w:sz w:val="22"/>
        </w:rPr>
        <w:t> </w:t>
      </w:r>
      <w:r>
        <w:rPr>
          <w:sz w:val="22"/>
        </w:rPr>
        <w:t>any</w:t>
      </w:r>
      <w:r>
        <w:rPr>
          <w:spacing w:val="-5"/>
          <w:sz w:val="22"/>
        </w:rPr>
        <w:t> </w:t>
      </w:r>
      <w:r>
        <w:rPr>
          <w:sz w:val="22"/>
        </w:rPr>
        <w:t>regulatory</w:t>
      </w:r>
      <w:r>
        <w:rPr>
          <w:spacing w:val="-5"/>
          <w:sz w:val="22"/>
        </w:rPr>
        <w:t> </w:t>
      </w:r>
      <w:r>
        <w:rPr>
          <w:sz w:val="22"/>
        </w:rPr>
        <w:t>system, noting that: “</w:t>
      </w:r>
      <w:r>
        <w:rPr>
          <w:i/>
          <w:sz w:val="22"/>
        </w:rPr>
        <w:t>Without adequate enforcement, the credibility of [a] regulation may be compromised and the desired objectives are unlikely to be achieved</w:t>
      </w:r>
      <w:r>
        <w:rPr>
          <w:sz w:val="22"/>
        </w:rPr>
        <w:t>” (Department of Treasury and Finance, 2014, p. 44).</w:t>
      </w:r>
    </w:p>
    <w:p>
      <w:pPr>
        <w:pStyle w:val="BodyText"/>
        <w:rPr>
          <w:sz w:val="21"/>
        </w:rPr>
      </w:pPr>
    </w:p>
    <w:p>
      <w:pPr>
        <w:pStyle w:val="BodyText"/>
        <w:ind w:left="600"/>
      </w:pPr>
      <w:r>
        <w:rPr/>
        <w:t>DTF</w:t>
      </w:r>
      <w:r>
        <w:rPr>
          <w:spacing w:val="-6"/>
        </w:rPr>
        <w:t> </w:t>
      </w:r>
      <w:r>
        <w:rPr/>
        <w:t>has</w:t>
      </w:r>
      <w:r>
        <w:rPr>
          <w:spacing w:val="-3"/>
        </w:rPr>
        <w:t> </w:t>
      </w:r>
      <w:r>
        <w:rPr/>
        <w:t>set</w:t>
      </w:r>
      <w:r>
        <w:rPr>
          <w:spacing w:val="-2"/>
        </w:rPr>
        <w:t> </w:t>
      </w:r>
      <w:r>
        <w:rPr/>
        <w:t>out</w:t>
      </w:r>
      <w:r>
        <w:rPr>
          <w:spacing w:val="-5"/>
        </w:rPr>
        <w:t> </w:t>
      </w:r>
      <w:r>
        <w:rPr/>
        <w:t>the</w:t>
      </w:r>
      <w:r>
        <w:rPr>
          <w:spacing w:val="-6"/>
        </w:rPr>
        <w:t> </w:t>
      </w:r>
      <w:r>
        <w:rPr/>
        <w:t>key</w:t>
      </w:r>
      <w:r>
        <w:rPr>
          <w:spacing w:val="-6"/>
        </w:rPr>
        <w:t> </w:t>
      </w:r>
      <w:r>
        <w:rPr/>
        <w:t>features</w:t>
      </w:r>
      <w:r>
        <w:rPr>
          <w:spacing w:val="-4"/>
        </w:rPr>
        <w:t> </w:t>
      </w:r>
      <w:r>
        <w:rPr/>
        <w:t>of</w:t>
      </w:r>
      <w:r>
        <w:rPr>
          <w:spacing w:val="-2"/>
        </w:rPr>
        <w:t> </w:t>
      </w:r>
      <w:r>
        <w:rPr/>
        <w:t>an</w:t>
      </w:r>
      <w:r>
        <w:rPr>
          <w:spacing w:val="-6"/>
        </w:rPr>
        <w:t> </w:t>
      </w:r>
      <w:r>
        <w:rPr/>
        <w:t>effective</w:t>
      </w:r>
      <w:r>
        <w:rPr>
          <w:spacing w:val="-4"/>
        </w:rPr>
        <w:t> </w:t>
      </w:r>
      <w:r>
        <w:rPr/>
        <w:t>compliance</w:t>
      </w:r>
      <w:r>
        <w:rPr>
          <w:spacing w:val="-3"/>
        </w:rPr>
        <w:t> </w:t>
      </w:r>
      <w:r>
        <w:rPr>
          <w:spacing w:val="-2"/>
        </w:rPr>
        <w:t>regime:</w:t>
      </w:r>
    </w:p>
    <w:p>
      <w:pPr>
        <w:pStyle w:val="BodyText"/>
        <w:spacing w:before="7"/>
        <w:rPr>
          <w:sz w:val="26"/>
        </w:rPr>
      </w:pPr>
    </w:p>
    <w:p>
      <w:pPr>
        <w:pStyle w:val="ListParagraph"/>
        <w:numPr>
          <w:ilvl w:val="0"/>
          <w:numId w:val="35"/>
        </w:numPr>
        <w:tabs>
          <w:tab w:pos="957" w:val="left" w:leader="none"/>
        </w:tabs>
        <w:spacing w:line="240" w:lineRule="auto" w:before="1" w:after="0"/>
        <w:ind w:left="957" w:right="0" w:hanging="357"/>
        <w:jc w:val="left"/>
        <w:rPr>
          <w:sz w:val="22"/>
        </w:rPr>
      </w:pPr>
      <w:r>
        <w:rPr>
          <w:sz w:val="22"/>
        </w:rPr>
        <w:t>it</w:t>
      </w:r>
      <w:r>
        <w:rPr>
          <w:spacing w:val="-6"/>
          <w:sz w:val="22"/>
        </w:rPr>
        <w:t> </w:t>
      </w:r>
      <w:r>
        <w:rPr>
          <w:sz w:val="22"/>
        </w:rPr>
        <w:t>provides</w:t>
      </w:r>
      <w:r>
        <w:rPr>
          <w:spacing w:val="-4"/>
          <w:sz w:val="22"/>
        </w:rPr>
        <w:t> </w:t>
      </w:r>
      <w:r>
        <w:rPr>
          <w:sz w:val="22"/>
        </w:rPr>
        <w:t>motivation</w:t>
      </w:r>
      <w:r>
        <w:rPr>
          <w:spacing w:val="-7"/>
          <w:sz w:val="22"/>
        </w:rPr>
        <w:t> </w:t>
      </w:r>
      <w:r>
        <w:rPr>
          <w:sz w:val="22"/>
        </w:rPr>
        <w:t>for</w:t>
      </w:r>
      <w:r>
        <w:rPr>
          <w:spacing w:val="-9"/>
          <w:sz w:val="22"/>
        </w:rPr>
        <w:t> </w:t>
      </w:r>
      <w:r>
        <w:rPr>
          <w:sz w:val="22"/>
        </w:rPr>
        <w:t>regulated</w:t>
      </w:r>
      <w:r>
        <w:rPr>
          <w:spacing w:val="-5"/>
          <w:sz w:val="22"/>
        </w:rPr>
        <w:t> </w:t>
      </w:r>
      <w:r>
        <w:rPr>
          <w:sz w:val="22"/>
        </w:rPr>
        <w:t>entities</w:t>
      </w:r>
      <w:r>
        <w:rPr>
          <w:spacing w:val="-7"/>
          <w:sz w:val="22"/>
        </w:rPr>
        <w:t> </w:t>
      </w:r>
      <w:r>
        <w:rPr>
          <w:sz w:val="22"/>
        </w:rPr>
        <w:t>to</w:t>
      </w:r>
      <w:r>
        <w:rPr>
          <w:spacing w:val="-7"/>
          <w:sz w:val="22"/>
        </w:rPr>
        <w:t> </w:t>
      </w:r>
      <w:r>
        <w:rPr>
          <w:sz w:val="22"/>
        </w:rPr>
        <w:t>comply</w:t>
      </w:r>
      <w:r>
        <w:rPr>
          <w:spacing w:val="-6"/>
          <w:sz w:val="22"/>
        </w:rPr>
        <w:t> </w:t>
      </w:r>
      <w:r>
        <w:rPr>
          <w:spacing w:val="-2"/>
          <w:sz w:val="22"/>
        </w:rPr>
        <w:t>voluntarily;</w:t>
      </w:r>
    </w:p>
    <w:p>
      <w:pPr>
        <w:pStyle w:val="ListParagraph"/>
        <w:numPr>
          <w:ilvl w:val="0"/>
          <w:numId w:val="35"/>
        </w:numPr>
        <w:tabs>
          <w:tab w:pos="958" w:val="left" w:leader="none"/>
        </w:tabs>
        <w:spacing w:line="288" w:lineRule="auto" w:before="66" w:after="0"/>
        <w:ind w:left="958" w:right="983" w:hanging="358"/>
        <w:jc w:val="left"/>
        <w:rPr>
          <w:sz w:val="22"/>
        </w:rPr>
      </w:pPr>
      <w:r>
        <w:rPr>
          <w:sz w:val="22"/>
        </w:rPr>
        <w:t>the</w:t>
      </w:r>
      <w:r>
        <w:rPr>
          <w:spacing w:val="-3"/>
          <w:sz w:val="22"/>
        </w:rPr>
        <w:t> </w:t>
      </w:r>
      <w:r>
        <w:rPr>
          <w:sz w:val="22"/>
        </w:rPr>
        <w:t>compliance</w:t>
      </w:r>
      <w:r>
        <w:rPr>
          <w:spacing w:val="-3"/>
          <w:sz w:val="22"/>
        </w:rPr>
        <w:t> </w:t>
      </w:r>
      <w:r>
        <w:rPr>
          <w:sz w:val="22"/>
        </w:rPr>
        <w:t>strategy</w:t>
      </w:r>
      <w:r>
        <w:rPr>
          <w:spacing w:val="-5"/>
          <w:sz w:val="22"/>
        </w:rPr>
        <w:t> </w:t>
      </w:r>
      <w:r>
        <w:rPr>
          <w:sz w:val="22"/>
        </w:rPr>
        <w:t>uses</w:t>
      </w:r>
      <w:r>
        <w:rPr>
          <w:spacing w:val="-2"/>
          <w:sz w:val="22"/>
        </w:rPr>
        <w:t> </w:t>
      </w:r>
      <w:r>
        <w:rPr>
          <w:sz w:val="22"/>
        </w:rPr>
        <w:t>graduated</w:t>
      </w:r>
      <w:r>
        <w:rPr>
          <w:spacing w:val="-5"/>
          <w:sz w:val="22"/>
        </w:rPr>
        <w:t> </w:t>
      </w:r>
      <w:r>
        <w:rPr>
          <w:sz w:val="22"/>
        </w:rPr>
        <w:t>deterrence</w:t>
      </w:r>
      <w:r>
        <w:rPr>
          <w:spacing w:val="-3"/>
          <w:sz w:val="22"/>
        </w:rPr>
        <w:t> </w:t>
      </w:r>
      <w:r>
        <w:rPr>
          <w:sz w:val="22"/>
        </w:rPr>
        <w:t>with</w:t>
      </w:r>
      <w:r>
        <w:rPr>
          <w:spacing w:val="-3"/>
          <w:sz w:val="22"/>
        </w:rPr>
        <w:t> </w:t>
      </w:r>
      <w:r>
        <w:rPr>
          <w:sz w:val="22"/>
        </w:rPr>
        <w:t>penalties</w:t>
      </w:r>
      <w:r>
        <w:rPr>
          <w:spacing w:val="-3"/>
          <w:sz w:val="22"/>
        </w:rPr>
        <w:t> </w:t>
      </w:r>
      <w:r>
        <w:rPr>
          <w:sz w:val="22"/>
        </w:rPr>
        <w:t>applied</w:t>
      </w:r>
      <w:r>
        <w:rPr>
          <w:spacing w:val="-3"/>
          <w:sz w:val="22"/>
        </w:rPr>
        <w:t> </w:t>
      </w:r>
      <w:r>
        <w:rPr>
          <w:sz w:val="22"/>
        </w:rPr>
        <w:t>at</w:t>
      </w:r>
      <w:r>
        <w:rPr>
          <w:spacing w:val="-4"/>
          <w:sz w:val="22"/>
        </w:rPr>
        <w:t> </w:t>
      </w:r>
      <w:r>
        <w:rPr>
          <w:sz w:val="22"/>
        </w:rPr>
        <w:t>the</w:t>
      </w:r>
      <w:r>
        <w:rPr>
          <w:spacing w:val="-5"/>
          <w:sz w:val="22"/>
        </w:rPr>
        <w:t> </w:t>
      </w:r>
      <w:r>
        <w:rPr>
          <w:sz w:val="22"/>
        </w:rPr>
        <w:t>level necessary for compliance and proportionate to the risks of noncompliance; and</w:t>
      </w:r>
    </w:p>
    <w:p>
      <w:pPr>
        <w:pStyle w:val="ListParagraph"/>
        <w:numPr>
          <w:ilvl w:val="0"/>
          <w:numId w:val="35"/>
        </w:numPr>
        <w:tabs>
          <w:tab w:pos="958" w:val="left" w:leader="none"/>
        </w:tabs>
        <w:spacing w:line="288" w:lineRule="auto" w:before="15" w:after="0"/>
        <w:ind w:left="958" w:right="1440" w:hanging="358"/>
        <w:jc w:val="left"/>
        <w:rPr>
          <w:sz w:val="22"/>
        </w:rPr>
      </w:pPr>
      <w:r>
        <w:rPr>
          <w:sz w:val="22"/>
        </w:rPr>
        <w:t>enforcement</w:t>
      </w:r>
      <w:r>
        <w:rPr>
          <w:spacing w:val="-5"/>
          <w:sz w:val="22"/>
        </w:rPr>
        <w:t> </w:t>
      </w:r>
      <w:r>
        <w:rPr>
          <w:sz w:val="22"/>
        </w:rPr>
        <w:t>measures</w:t>
      </w:r>
      <w:r>
        <w:rPr>
          <w:spacing w:val="-4"/>
          <w:sz w:val="22"/>
        </w:rPr>
        <w:t> </w:t>
      </w:r>
      <w:r>
        <w:rPr>
          <w:sz w:val="22"/>
        </w:rPr>
        <w:t>are</w:t>
      </w:r>
      <w:r>
        <w:rPr>
          <w:spacing w:val="-2"/>
          <w:sz w:val="22"/>
        </w:rPr>
        <w:t> </w:t>
      </w:r>
      <w:r>
        <w:rPr>
          <w:sz w:val="22"/>
        </w:rPr>
        <w:t>consciously</w:t>
      </w:r>
      <w:r>
        <w:rPr>
          <w:spacing w:val="-4"/>
          <w:sz w:val="22"/>
        </w:rPr>
        <w:t> </w:t>
      </w:r>
      <w:r>
        <w:rPr>
          <w:sz w:val="22"/>
        </w:rPr>
        <w:t>selected</w:t>
      </w:r>
      <w:r>
        <w:rPr>
          <w:spacing w:val="-4"/>
          <w:sz w:val="22"/>
        </w:rPr>
        <w:t> </w:t>
      </w:r>
      <w:r>
        <w:rPr>
          <w:sz w:val="22"/>
        </w:rPr>
        <w:t>by</w:t>
      </w:r>
      <w:r>
        <w:rPr>
          <w:spacing w:val="-4"/>
          <w:sz w:val="22"/>
        </w:rPr>
        <w:t> </w:t>
      </w:r>
      <w:r>
        <w:rPr>
          <w:sz w:val="22"/>
        </w:rPr>
        <w:t>the</w:t>
      </w:r>
      <w:r>
        <w:rPr>
          <w:spacing w:val="-2"/>
          <w:sz w:val="22"/>
        </w:rPr>
        <w:t> </w:t>
      </w:r>
      <w:r>
        <w:rPr>
          <w:sz w:val="22"/>
        </w:rPr>
        <w:t>regulator</w:t>
      </w:r>
      <w:r>
        <w:rPr>
          <w:spacing w:val="-6"/>
          <w:sz w:val="22"/>
        </w:rPr>
        <w:t> </w:t>
      </w:r>
      <w:r>
        <w:rPr>
          <w:sz w:val="22"/>
        </w:rPr>
        <w:t>from</w:t>
      </w:r>
      <w:r>
        <w:rPr>
          <w:spacing w:val="-3"/>
          <w:sz w:val="22"/>
        </w:rPr>
        <w:t> </w:t>
      </w:r>
      <w:r>
        <w:rPr>
          <w:sz w:val="22"/>
        </w:rPr>
        <w:t>a</w:t>
      </w:r>
      <w:r>
        <w:rPr>
          <w:spacing w:val="-4"/>
          <w:sz w:val="22"/>
        </w:rPr>
        <w:t> </w:t>
      </w:r>
      <w:r>
        <w:rPr>
          <w:sz w:val="22"/>
        </w:rPr>
        <w:t>range</w:t>
      </w:r>
      <w:r>
        <w:rPr>
          <w:spacing w:val="-4"/>
          <w:sz w:val="22"/>
        </w:rPr>
        <w:t> </w:t>
      </w:r>
      <w:r>
        <w:rPr>
          <w:sz w:val="22"/>
        </w:rPr>
        <w:t>of graduated options.</w:t>
      </w:r>
    </w:p>
    <w:p>
      <w:pPr>
        <w:pStyle w:val="BodyText"/>
        <w:spacing w:before="7"/>
        <w:rPr>
          <w:sz w:val="20"/>
        </w:rPr>
      </w:pPr>
    </w:p>
    <w:p>
      <w:pPr>
        <w:spacing w:line="288" w:lineRule="auto" w:before="0"/>
        <w:ind w:left="600" w:right="629" w:firstLine="0"/>
        <w:jc w:val="left"/>
        <w:rPr>
          <w:sz w:val="22"/>
        </w:rPr>
      </w:pPr>
      <w:r>
        <w:rPr>
          <w:sz w:val="22"/>
        </w:rPr>
        <w:t>In its report </w:t>
      </w:r>
      <w:r>
        <w:rPr>
          <w:i/>
          <w:sz w:val="22"/>
        </w:rPr>
        <w:t>OECD Best Practice Principles for Regulatory Policy Regulatory Enforcement and</w:t>
      </w:r>
      <w:r>
        <w:rPr>
          <w:i/>
          <w:spacing w:val="-3"/>
          <w:sz w:val="22"/>
        </w:rPr>
        <w:t> </w:t>
      </w:r>
      <w:r>
        <w:rPr>
          <w:i/>
          <w:sz w:val="22"/>
        </w:rPr>
        <w:t>Inspections</w:t>
      </w:r>
      <w:r>
        <w:rPr>
          <w:sz w:val="22"/>
        </w:rPr>
        <w:t>,</w:t>
      </w:r>
      <w:r>
        <w:rPr>
          <w:spacing w:val="-4"/>
          <w:sz w:val="22"/>
        </w:rPr>
        <w:t> </w:t>
      </w:r>
      <w:r>
        <w:rPr>
          <w:sz w:val="22"/>
        </w:rPr>
        <w:t>the</w:t>
      </w:r>
      <w:r>
        <w:rPr>
          <w:spacing w:val="-8"/>
          <w:sz w:val="22"/>
        </w:rPr>
        <w:t> </w:t>
      </w:r>
      <w:r>
        <w:rPr>
          <w:sz w:val="22"/>
        </w:rPr>
        <w:t>Organisation</w:t>
      </w:r>
      <w:r>
        <w:rPr>
          <w:spacing w:val="-5"/>
          <w:sz w:val="22"/>
        </w:rPr>
        <w:t> </w:t>
      </w:r>
      <w:r>
        <w:rPr>
          <w:sz w:val="22"/>
        </w:rPr>
        <w:t>for</w:t>
      </w:r>
      <w:r>
        <w:rPr>
          <w:spacing w:val="-2"/>
          <w:sz w:val="22"/>
        </w:rPr>
        <w:t> </w:t>
      </w:r>
      <w:r>
        <w:rPr>
          <w:sz w:val="22"/>
        </w:rPr>
        <w:t>Economic</w:t>
      </w:r>
      <w:r>
        <w:rPr>
          <w:spacing w:val="-2"/>
          <w:sz w:val="22"/>
        </w:rPr>
        <w:t> </w:t>
      </w:r>
      <w:r>
        <w:rPr>
          <w:sz w:val="22"/>
        </w:rPr>
        <w:t>Co-operation</w:t>
      </w:r>
      <w:r>
        <w:rPr>
          <w:spacing w:val="-3"/>
          <w:sz w:val="22"/>
        </w:rPr>
        <w:t> </w:t>
      </w:r>
      <w:r>
        <w:rPr>
          <w:sz w:val="22"/>
        </w:rPr>
        <w:t>and</w:t>
      </w:r>
      <w:r>
        <w:rPr>
          <w:spacing w:val="-3"/>
          <w:sz w:val="22"/>
        </w:rPr>
        <w:t> </w:t>
      </w:r>
      <w:r>
        <w:rPr>
          <w:sz w:val="22"/>
        </w:rPr>
        <w:t>Development</w:t>
      </w:r>
      <w:r>
        <w:rPr>
          <w:spacing w:val="-3"/>
          <w:sz w:val="22"/>
        </w:rPr>
        <w:t> </w:t>
      </w:r>
      <w:r>
        <w:rPr>
          <w:sz w:val="22"/>
        </w:rPr>
        <w:t>(OECD)</w:t>
      </w:r>
      <w:r>
        <w:rPr>
          <w:spacing w:val="-1"/>
          <w:sz w:val="22"/>
        </w:rPr>
        <w:t> </w:t>
      </w:r>
      <w:r>
        <w:rPr>
          <w:sz w:val="22"/>
        </w:rPr>
        <w:t>has set out the principles for an effective approach to regulatory compliance and enforcement.</w:t>
      </w:r>
    </w:p>
    <w:p>
      <w:pPr>
        <w:pStyle w:val="BodyText"/>
        <w:spacing w:line="288" w:lineRule="auto" w:before="2"/>
        <w:ind w:left="600" w:right="713"/>
      </w:pPr>
      <w:r>
        <w:rPr/>
        <w:t>These</w:t>
      </w:r>
      <w:r>
        <w:rPr>
          <w:spacing w:val="-5"/>
        </w:rPr>
        <w:t> </w:t>
      </w:r>
      <w:r>
        <w:rPr/>
        <w:t>principles</w:t>
      </w:r>
      <w:r>
        <w:rPr>
          <w:spacing w:val="-4"/>
        </w:rPr>
        <w:t> </w:t>
      </w:r>
      <w:r>
        <w:rPr/>
        <w:t>include</w:t>
      </w:r>
      <w:r>
        <w:rPr>
          <w:spacing w:val="-5"/>
        </w:rPr>
        <w:t> </w:t>
      </w:r>
      <w:r>
        <w:rPr/>
        <w:t>that</w:t>
      </w:r>
      <w:r>
        <w:rPr>
          <w:spacing w:val="-5"/>
        </w:rPr>
        <w:t> </w:t>
      </w:r>
      <w:r>
        <w:rPr/>
        <w:t>compliance</w:t>
      </w:r>
      <w:r>
        <w:rPr>
          <w:spacing w:val="-4"/>
        </w:rPr>
        <w:t> </w:t>
      </w:r>
      <w:r>
        <w:rPr/>
        <w:t>activities</w:t>
      </w:r>
      <w:r>
        <w:rPr>
          <w:spacing w:val="-4"/>
        </w:rPr>
        <w:t> </w:t>
      </w:r>
      <w:r>
        <w:rPr/>
        <w:t>should</w:t>
      </w:r>
      <w:r>
        <w:rPr>
          <w:spacing w:val="-4"/>
        </w:rPr>
        <w:t> </w:t>
      </w:r>
      <w:r>
        <w:rPr/>
        <w:t>be</w:t>
      </w:r>
      <w:r>
        <w:rPr>
          <w:spacing w:val="-4"/>
        </w:rPr>
        <w:t> </w:t>
      </w:r>
      <w:r>
        <w:rPr/>
        <w:t>evidence-based,</w:t>
      </w:r>
      <w:r>
        <w:rPr>
          <w:spacing w:val="-2"/>
        </w:rPr>
        <w:t> </w:t>
      </w:r>
      <w:r>
        <w:rPr/>
        <w:t>proportionate and risk-focused. The approach should be supported by transparent governance, information integration and a long-term vision (OECD, 2014).</w:t>
      </w:r>
    </w:p>
    <w:p>
      <w:pPr>
        <w:pStyle w:val="BodyText"/>
        <w:rPr>
          <w:sz w:val="20"/>
        </w:rPr>
      </w:pPr>
    </w:p>
    <w:p>
      <w:pPr>
        <w:pStyle w:val="BodyText"/>
        <w:spacing w:before="7"/>
        <w:rPr>
          <w:sz w:val="21"/>
        </w:rPr>
      </w:pPr>
    </w:p>
    <w:p>
      <w:pPr>
        <w:pStyle w:val="Heading7"/>
        <w:spacing w:line="288" w:lineRule="auto"/>
        <w:ind w:left="713" w:right="374"/>
      </w:pPr>
      <w:r>
        <w:rPr/>
        <mc:AlternateContent>
          <mc:Choice Requires="wps">
            <w:drawing>
              <wp:anchor distT="0" distB="0" distL="0" distR="0" allowOverlap="1" layoutInCell="1" locked="0" behindDoc="1" simplePos="0" relativeHeight="482707968">
                <wp:simplePos x="0" y="0"/>
                <wp:positionH relativeFrom="page">
                  <wp:posOffset>914704</wp:posOffset>
                </wp:positionH>
                <wp:positionV relativeFrom="paragraph">
                  <wp:posOffset>-152477</wp:posOffset>
                </wp:positionV>
                <wp:extent cx="5732780" cy="4240530"/>
                <wp:effectExtent l="0" t="0" r="0" b="0"/>
                <wp:wrapNone/>
                <wp:docPr id="112" name="Graphic 112"/>
                <wp:cNvGraphicFramePr>
                  <a:graphicFrameLocks/>
                </wp:cNvGraphicFramePr>
                <a:graphic>
                  <a:graphicData uri="http://schemas.microsoft.com/office/word/2010/wordprocessingShape">
                    <wps:wsp>
                      <wps:cNvPr id="112" name="Graphic 112"/>
                      <wps:cNvSpPr/>
                      <wps:spPr>
                        <a:xfrm>
                          <a:off x="0" y="0"/>
                          <a:ext cx="5732780" cy="4240530"/>
                        </a:xfrm>
                        <a:custGeom>
                          <a:avLst/>
                          <a:gdLst/>
                          <a:ahLst/>
                          <a:cxnLst/>
                          <a:rect l="l" t="t" r="r" b="b"/>
                          <a:pathLst>
                            <a:path w="5732780" h="4240530">
                              <a:moveTo>
                                <a:pt x="5732653" y="0"/>
                              </a:moveTo>
                              <a:lnTo>
                                <a:pt x="0" y="0"/>
                              </a:lnTo>
                              <a:lnTo>
                                <a:pt x="0" y="4240403"/>
                              </a:lnTo>
                              <a:lnTo>
                                <a:pt x="5732653" y="4240403"/>
                              </a:lnTo>
                              <a:lnTo>
                                <a:pt x="5732653" y="0"/>
                              </a:lnTo>
                              <a:close/>
                            </a:path>
                          </a:pathLst>
                        </a:custGeom>
                        <a:solidFill>
                          <a:srgbClr val="CDEBEB"/>
                        </a:solidFill>
                      </wps:spPr>
                      <wps:bodyPr wrap="square" lIns="0" tIns="0" rIns="0" bIns="0" rtlCol="0">
                        <a:prstTxWarp prst="textNoShape">
                          <a:avLst/>
                        </a:prstTxWarp>
                        <a:noAutofit/>
                      </wps:bodyPr>
                    </wps:wsp>
                  </a:graphicData>
                </a:graphic>
              </wp:anchor>
            </w:drawing>
          </mc:Choice>
          <mc:Fallback>
            <w:pict>
              <v:rect style="position:absolute;margin-left:72.024002pt;margin-top:-12.006117pt;width:451.39pt;height:333.89pt;mso-position-horizontal-relative:page;mso-position-vertical-relative:paragraph;z-index:-20608512" id="docshape97" filled="true" fillcolor="#cdebeb" stroked="false">
                <v:fill type="solid"/>
                <w10:wrap type="none"/>
              </v:rect>
            </w:pict>
          </mc:Fallback>
        </mc:AlternateContent>
      </w:r>
      <w:r>
        <w:rPr/>
        <w:t>Box</w:t>
      </w:r>
      <w:r>
        <w:rPr>
          <w:spacing w:val="-3"/>
        </w:rPr>
        <w:t> </w:t>
      </w:r>
      <w:r>
        <w:rPr/>
        <w:t>9:</w:t>
      </w:r>
      <w:r>
        <w:rPr>
          <w:spacing w:val="-4"/>
        </w:rPr>
        <w:t> </w:t>
      </w:r>
      <w:r>
        <w:rPr/>
        <w:t>OECD</w:t>
      </w:r>
      <w:r>
        <w:rPr>
          <w:spacing w:val="-3"/>
        </w:rPr>
        <w:t> </w:t>
      </w:r>
      <w:r>
        <w:rPr/>
        <w:t>best</w:t>
      </w:r>
      <w:r>
        <w:rPr>
          <w:spacing w:val="-2"/>
        </w:rPr>
        <w:t> </w:t>
      </w:r>
      <w:r>
        <w:rPr/>
        <w:t>practice</w:t>
      </w:r>
      <w:r>
        <w:rPr>
          <w:spacing w:val="-5"/>
        </w:rPr>
        <w:t> </w:t>
      </w:r>
      <w:r>
        <w:rPr/>
        <w:t>principles:</w:t>
      </w:r>
      <w:r>
        <w:rPr>
          <w:spacing w:val="-4"/>
        </w:rPr>
        <w:t> </w:t>
      </w:r>
      <w:r>
        <w:rPr/>
        <w:t>Improving</w:t>
      </w:r>
      <w:r>
        <w:rPr>
          <w:spacing w:val="-3"/>
        </w:rPr>
        <w:t> </w:t>
      </w:r>
      <w:r>
        <w:rPr/>
        <w:t>regulatory</w:t>
      </w:r>
      <w:r>
        <w:rPr>
          <w:spacing w:val="-7"/>
        </w:rPr>
        <w:t> </w:t>
      </w:r>
      <w:r>
        <w:rPr/>
        <w:t>enforcement</w:t>
      </w:r>
      <w:r>
        <w:rPr>
          <w:spacing w:val="-4"/>
        </w:rPr>
        <w:t> </w:t>
      </w:r>
      <w:r>
        <w:rPr/>
        <w:t>and </w:t>
      </w:r>
      <w:r>
        <w:rPr>
          <w:spacing w:val="-2"/>
        </w:rPr>
        <w:t>inspections</w:t>
      </w:r>
    </w:p>
    <w:p>
      <w:pPr>
        <w:pStyle w:val="BodyText"/>
        <w:spacing w:before="4"/>
        <w:rPr>
          <w:b/>
        </w:rPr>
      </w:pPr>
    </w:p>
    <w:p>
      <w:pPr>
        <w:pStyle w:val="ListParagraph"/>
        <w:numPr>
          <w:ilvl w:val="1"/>
          <w:numId w:val="35"/>
        </w:numPr>
        <w:tabs>
          <w:tab w:pos="958" w:val="left" w:leader="none"/>
          <w:tab w:pos="960" w:val="left" w:leader="none"/>
        </w:tabs>
        <w:spacing w:line="288" w:lineRule="auto" w:before="0" w:after="0"/>
        <w:ind w:left="960" w:right="843" w:hanging="219"/>
        <w:jc w:val="left"/>
        <w:rPr>
          <w:sz w:val="22"/>
        </w:rPr>
      </w:pPr>
      <w:r>
        <w:rPr>
          <w:b/>
          <w:sz w:val="22"/>
        </w:rPr>
        <w:t>Evidence-based enforcement. </w:t>
      </w:r>
      <w:r>
        <w:rPr>
          <w:sz w:val="22"/>
        </w:rPr>
        <w:t>Regulatory enforcement and inspections should be evidence-based</w:t>
      </w:r>
      <w:r>
        <w:rPr>
          <w:spacing w:val="-3"/>
          <w:sz w:val="22"/>
        </w:rPr>
        <w:t> </w:t>
      </w:r>
      <w:r>
        <w:rPr>
          <w:sz w:val="22"/>
        </w:rPr>
        <w:t>and</w:t>
      </w:r>
      <w:r>
        <w:rPr>
          <w:spacing w:val="-3"/>
          <w:sz w:val="22"/>
        </w:rPr>
        <w:t> </w:t>
      </w:r>
      <w:r>
        <w:rPr>
          <w:sz w:val="22"/>
        </w:rPr>
        <w:t>measurement-based:</w:t>
      </w:r>
      <w:r>
        <w:rPr>
          <w:spacing w:val="-4"/>
          <w:sz w:val="22"/>
        </w:rPr>
        <w:t> </w:t>
      </w:r>
      <w:r>
        <w:rPr>
          <w:sz w:val="22"/>
        </w:rPr>
        <w:t>deciding</w:t>
      </w:r>
      <w:r>
        <w:rPr>
          <w:spacing w:val="-3"/>
          <w:sz w:val="22"/>
        </w:rPr>
        <w:t> </w:t>
      </w:r>
      <w:r>
        <w:rPr>
          <w:sz w:val="22"/>
        </w:rPr>
        <w:t>what</w:t>
      </w:r>
      <w:r>
        <w:rPr>
          <w:spacing w:val="-1"/>
          <w:sz w:val="22"/>
        </w:rPr>
        <w:t> </w:t>
      </w:r>
      <w:r>
        <w:rPr>
          <w:sz w:val="22"/>
        </w:rPr>
        <w:t>to</w:t>
      </w:r>
      <w:r>
        <w:rPr>
          <w:spacing w:val="-5"/>
          <w:sz w:val="22"/>
        </w:rPr>
        <w:t> </w:t>
      </w:r>
      <w:r>
        <w:rPr>
          <w:sz w:val="22"/>
        </w:rPr>
        <w:t>inspect</w:t>
      </w:r>
      <w:r>
        <w:rPr>
          <w:spacing w:val="-4"/>
          <w:sz w:val="22"/>
        </w:rPr>
        <w:t> </w:t>
      </w:r>
      <w:r>
        <w:rPr>
          <w:sz w:val="22"/>
        </w:rPr>
        <w:t>and</w:t>
      </w:r>
      <w:r>
        <w:rPr>
          <w:spacing w:val="-3"/>
          <w:sz w:val="22"/>
        </w:rPr>
        <w:t> </w:t>
      </w:r>
      <w:r>
        <w:rPr>
          <w:sz w:val="22"/>
        </w:rPr>
        <w:t>how</w:t>
      </w:r>
      <w:r>
        <w:rPr>
          <w:spacing w:val="-6"/>
          <w:sz w:val="22"/>
        </w:rPr>
        <w:t> </w:t>
      </w:r>
      <w:r>
        <w:rPr>
          <w:sz w:val="22"/>
        </w:rPr>
        <w:t>should</w:t>
      </w:r>
      <w:r>
        <w:rPr>
          <w:spacing w:val="-3"/>
          <w:sz w:val="22"/>
        </w:rPr>
        <w:t> </w:t>
      </w:r>
      <w:r>
        <w:rPr>
          <w:sz w:val="22"/>
        </w:rPr>
        <w:t>be grounded on data and evidence, and results should be evaluated regularly.</w:t>
      </w:r>
    </w:p>
    <w:p>
      <w:pPr>
        <w:pStyle w:val="BodyText"/>
        <w:spacing w:before="3"/>
      </w:pPr>
    </w:p>
    <w:p>
      <w:pPr>
        <w:pStyle w:val="ListParagraph"/>
        <w:numPr>
          <w:ilvl w:val="1"/>
          <w:numId w:val="35"/>
        </w:numPr>
        <w:tabs>
          <w:tab w:pos="958" w:val="left" w:leader="none"/>
          <w:tab w:pos="960" w:val="left" w:leader="none"/>
        </w:tabs>
        <w:spacing w:line="288" w:lineRule="auto" w:before="0" w:after="0"/>
        <w:ind w:left="960" w:right="837" w:hanging="219"/>
        <w:jc w:val="left"/>
        <w:rPr>
          <w:sz w:val="22"/>
        </w:rPr>
      </w:pPr>
      <w:r>
        <w:rPr>
          <w:b/>
          <w:sz w:val="22"/>
        </w:rPr>
        <w:t>Selectivity. </w:t>
      </w:r>
      <w:r>
        <w:rPr>
          <w:sz w:val="22"/>
        </w:rPr>
        <w:t>Promoting compliance and enforcing rules should be left to market</w:t>
      </w:r>
      <w:r>
        <w:rPr>
          <w:spacing w:val="-1"/>
          <w:sz w:val="22"/>
        </w:rPr>
        <w:t> </w:t>
      </w:r>
      <w:r>
        <w:rPr>
          <w:sz w:val="22"/>
        </w:rPr>
        <w:t>forces, private</w:t>
      </w:r>
      <w:r>
        <w:rPr>
          <w:spacing w:val="-3"/>
          <w:sz w:val="22"/>
        </w:rPr>
        <w:t> </w:t>
      </w:r>
      <w:r>
        <w:rPr>
          <w:sz w:val="22"/>
        </w:rPr>
        <w:t>sector</w:t>
      </w:r>
      <w:r>
        <w:rPr>
          <w:spacing w:val="-3"/>
          <w:sz w:val="22"/>
        </w:rPr>
        <w:t> </w:t>
      </w:r>
      <w:r>
        <w:rPr>
          <w:sz w:val="22"/>
        </w:rPr>
        <w:t>and</w:t>
      </w:r>
      <w:r>
        <w:rPr>
          <w:spacing w:val="-6"/>
          <w:sz w:val="22"/>
        </w:rPr>
        <w:t> </w:t>
      </w:r>
      <w:r>
        <w:rPr>
          <w:sz w:val="22"/>
        </w:rPr>
        <w:t>civil</w:t>
      </w:r>
      <w:r>
        <w:rPr>
          <w:spacing w:val="-4"/>
          <w:sz w:val="22"/>
        </w:rPr>
        <w:t> </w:t>
      </w:r>
      <w:r>
        <w:rPr>
          <w:sz w:val="22"/>
        </w:rPr>
        <w:t>society</w:t>
      </w:r>
      <w:r>
        <w:rPr>
          <w:spacing w:val="-5"/>
          <w:sz w:val="22"/>
        </w:rPr>
        <w:t> </w:t>
      </w:r>
      <w:r>
        <w:rPr>
          <w:sz w:val="22"/>
        </w:rPr>
        <w:t>actions</w:t>
      </w:r>
      <w:r>
        <w:rPr>
          <w:spacing w:val="-4"/>
          <w:sz w:val="22"/>
        </w:rPr>
        <w:t> </w:t>
      </w:r>
      <w:r>
        <w:rPr>
          <w:sz w:val="22"/>
        </w:rPr>
        <w:t>wherever</w:t>
      </w:r>
      <w:r>
        <w:rPr>
          <w:spacing w:val="-5"/>
          <w:sz w:val="22"/>
        </w:rPr>
        <w:t> </w:t>
      </w:r>
      <w:r>
        <w:rPr>
          <w:sz w:val="22"/>
        </w:rPr>
        <w:t>possible:</w:t>
      </w:r>
      <w:r>
        <w:rPr>
          <w:spacing w:val="-3"/>
          <w:sz w:val="22"/>
        </w:rPr>
        <w:t> </w:t>
      </w:r>
      <w:r>
        <w:rPr>
          <w:sz w:val="22"/>
        </w:rPr>
        <w:t>inspections</w:t>
      </w:r>
      <w:r>
        <w:rPr>
          <w:spacing w:val="-6"/>
          <w:sz w:val="22"/>
        </w:rPr>
        <w:t> </w:t>
      </w:r>
      <w:r>
        <w:rPr>
          <w:sz w:val="22"/>
        </w:rPr>
        <w:t>and</w:t>
      </w:r>
      <w:r>
        <w:rPr>
          <w:spacing w:val="-4"/>
          <w:sz w:val="22"/>
        </w:rPr>
        <w:t> </w:t>
      </w:r>
      <w:r>
        <w:rPr>
          <w:sz w:val="22"/>
        </w:rPr>
        <w:t>enforcement cannot be everywhere and address everything, and there are many other ways to achieve regulatory objectives.</w:t>
      </w:r>
    </w:p>
    <w:p>
      <w:pPr>
        <w:pStyle w:val="BodyText"/>
        <w:spacing w:before="1"/>
      </w:pPr>
    </w:p>
    <w:p>
      <w:pPr>
        <w:pStyle w:val="ListParagraph"/>
        <w:numPr>
          <w:ilvl w:val="1"/>
          <w:numId w:val="35"/>
        </w:numPr>
        <w:tabs>
          <w:tab w:pos="958" w:val="left" w:leader="none"/>
          <w:tab w:pos="960" w:val="left" w:leader="none"/>
        </w:tabs>
        <w:spacing w:line="288" w:lineRule="auto" w:before="1" w:after="0"/>
        <w:ind w:left="960" w:right="1009" w:hanging="219"/>
        <w:jc w:val="left"/>
        <w:rPr>
          <w:sz w:val="22"/>
        </w:rPr>
      </w:pPr>
      <w:r>
        <w:rPr>
          <w:b/>
          <w:sz w:val="22"/>
        </w:rPr>
        <w:t>Risk focus and proportionality. </w:t>
      </w:r>
      <w:r>
        <w:rPr>
          <w:sz w:val="22"/>
        </w:rPr>
        <w:t>Enforcement needs to be risk-based and proportionate: the frequency of inspections and the resources employed should be proportional</w:t>
      </w:r>
      <w:r>
        <w:rPr>
          <w:spacing w:val="-4"/>
          <w:sz w:val="22"/>
        </w:rPr>
        <w:t> </w:t>
      </w:r>
      <w:r>
        <w:rPr>
          <w:sz w:val="22"/>
        </w:rPr>
        <w:t>to</w:t>
      </w:r>
      <w:r>
        <w:rPr>
          <w:spacing w:val="-5"/>
          <w:sz w:val="22"/>
        </w:rPr>
        <w:t> </w:t>
      </w:r>
      <w:r>
        <w:rPr>
          <w:sz w:val="22"/>
        </w:rPr>
        <w:t>the</w:t>
      </w:r>
      <w:r>
        <w:rPr>
          <w:spacing w:val="-5"/>
          <w:sz w:val="22"/>
        </w:rPr>
        <w:t> </w:t>
      </w:r>
      <w:r>
        <w:rPr>
          <w:sz w:val="22"/>
        </w:rPr>
        <w:t>level</w:t>
      </w:r>
      <w:r>
        <w:rPr>
          <w:spacing w:val="-4"/>
          <w:sz w:val="22"/>
        </w:rPr>
        <w:t> </w:t>
      </w:r>
      <w:r>
        <w:rPr>
          <w:sz w:val="22"/>
        </w:rPr>
        <w:t>of</w:t>
      </w:r>
      <w:r>
        <w:rPr>
          <w:spacing w:val="-1"/>
          <w:sz w:val="22"/>
        </w:rPr>
        <w:t> </w:t>
      </w:r>
      <w:r>
        <w:rPr>
          <w:sz w:val="22"/>
        </w:rPr>
        <w:t>risk and</w:t>
      </w:r>
      <w:r>
        <w:rPr>
          <w:spacing w:val="-5"/>
          <w:sz w:val="22"/>
        </w:rPr>
        <w:t> </w:t>
      </w:r>
      <w:r>
        <w:rPr>
          <w:sz w:val="22"/>
        </w:rPr>
        <w:t>enforcement</w:t>
      </w:r>
      <w:r>
        <w:rPr>
          <w:spacing w:val="-6"/>
          <w:sz w:val="22"/>
        </w:rPr>
        <w:t> </w:t>
      </w:r>
      <w:r>
        <w:rPr>
          <w:sz w:val="22"/>
        </w:rPr>
        <w:t>actions</w:t>
      </w:r>
      <w:r>
        <w:rPr>
          <w:spacing w:val="-3"/>
          <w:sz w:val="22"/>
        </w:rPr>
        <w:t> </w:t>
      </w:r>
      <w:r>
        <w:rPr>
          <w:sz w:val="22"/>
        </w:rPr>
        <w:t>should</w:t>
      </w:r>
      <w:r>
        <w:rPr>
          <w:spacing w:val="-3"/>
          <w:sz w:val="22"/>
        </w:rPr>
        <w:t> </w:t>
      </w:r>
      <w:r>
        <w:rPr>
          <w:sz w:val="22"/>
        </w:rPr>
        <w:t>be</w:t>
      </w:r>
      <w:r>
        <w:rPr>
          <w:spacing w:val="-5"/>
          <w:sz w:val="22"/>
        </w:rPr>
        <w:t> </w:t>
      </w:r>
      <w:r>
        <w:rPr>
          <w:sz w:val="22"/>
        </w:rPr>
        <w:t>aiming</w:t>
      </w:r>
      <w:r>
        <w:rPr>
          <w:spacing w:val="-3"/>
          <w:sz w:val="22"/>
        </w:rPr>
        <w:t> </w:t>
      </w:r>
      <w:r>
        <w:rPr>
          <w:sz w:val="22"/>
        </w:rPr>
        <w:t>at</w:t>
      </w:r>
      <w:r>
        <w:rPr>
          <w:spacing w:val="-3"/>
          <w:sz w:val="22"/>
        </w:rPr>
        <w:t> </w:t>
      </w:r>
      <w:r>
        <w:rPr>
          <w:sz w:val="22"/>
        </w:rPr>
        <w:t>reducing the actual risk posed by infractions.</w:t>
      </w:r>
    </w:p>
    <w:p>
      <w:pPr>
        <w:pStyle w:val="BodyText"/>
        <w:spacing w:before="2"/>
      </w:pPr>
    </w:p>
    <w:p>
      <w:pPr>
        <w:pStyle w:val="ListParagraph"/>
        <w:numPr>
          <w:ilvl w:val="1"/>
          <w:numId w:val="35"/>
        </w:numPr>
        <w:tabs>
          <w:tab w:pos="958" w:val="left" w:leader="none"/>
          <w:tab w:pos="960" w:val="left" w:leader="none"/>
        </w:tabs>
        <w:spacing w:line="288" w:lineRule="auto" w:before="0" w:after="0"/>
        <w:ind w:left="960" w:right="1269" w:hanging="219"/>
        <w:jc w:val="left"/>
        <w:rPr>
          <w:sz w:val="22"/>
        </w:rPr>
      </w:pPr>
      <w:r>
        <w:rPr>
          <w:b/>
          <w:sz w:val="22"/>
        </w:rPr>
        <w:t>Responsive</w:t>
      </w:r>
      <w:r>
        <w:rPr>
          <w:b/>
          <w:spacing w:val="-3"/>
          <w:sz w:val="22"/>
        </w:rPr>
        <w:t> </w:t>
      </w:r>
      <w:r>
        <w:rPr>
          <w:b/>
          <w:sz w:val="22"/>
        </w:rPr>
        <w:t>regulation.</w:t>
      </w:r>
      <w:r>
        <w:rPr>
          <w:b/>
          <w:spacing w:val="-4"/>
          <w:sz w:val="22"/>
        </w:rPr>
        <w:t> </w:t>
      </w:r>
      <w:r>
        <w:rPr>
          <w:sz w:val="22"/>
        </w:rPr>
        <w:t>Enforcement</w:t>
      </w:r>
      <w:r>
        <w:rPr>
          <w:spacing w:val="-2"/>
          <w:sz w:val="22"/>
        </w:rPr>
        <w:t> </w:t>
      </w:r>
      <w:r>
        <w:rPr>
          <w:sz w:val="22"/>
        </w:rPr>
        <w:t>should</w:t>
      </w:r>
      <w:r>
        <w:rPr>
          <w:spacing w:val="-4"/>
          <w:sz w:val="22"/>
        </w:rPr>
        <w:t> </w:t>
      </w:r>
      <w:r>
        <w:rPr>
          <w:sz w:val="22"/>
        </w:rPr>
        <w:t>be</w:t>
      </w:r>
      <w:r>
        <w:rPr>
          <w:spacing w:val="-6"/>
          <w:sz w:val="22"/>
        </w:rPr>
        <w:t> </w:t>
      </w:r>
      <w:r>
        <w:rPr>
          <w:sz w:val="22"/>
        </w:rPr>
        <w:t>based</w:t>
      </w:r>
      <w:r>
        <w:rPr>
          <w:spacing w:val="-4"/>
          <w:sz w:val="22"/>
        </w:rPr>
        <w:t> </w:t>
      </w:r>
      <w:r>
        <w:rPr>
          <w:sz w:val="22"/>
        </w:rPr>
        <w:t>on</w:t>
      </w:r>
      <w:r>
        <w:rPr>
          <w:spacing w:val="-6"/>
          <w:sz w:val="22"/>
        </w:rPr>
        <w:t> </w:t>
      </w:r>
      <w:r>
        <w:rPr>
          <w:sz w:val="22"/>
        </w:rPr>
        <w:t>“responsive</w:t>
      </w:r>
      <w:r>
        <w:rPr>
          <w:spacing w:val="-4"/>
          <w:sz w:val="22"/>
        </w:rPr>
        <w:t> </w:t>
      </w:r>
      <w:r>
        <w:rPr>
          <w:sz w:val="22"/>
        </w:rPr>
        <w:t>regulation” principles: inspection enforcement actions should be modulated depending on the profile and behaviour of specific businesses.</w:t>
      </w:r>
    </w:p>
    <w:p>
      <w:pPr>
        <w:pStyle w:val="BodyText"/>
        <w:spacing w:before="2"/>
      </w:pPr>
    </w:p>
    <w:p>
      <w:pPr>
        <w:pStyle w:val="ListParagraph"/>
        <w:numPr>
          <w:ilvl w:val="1"/>
          <w:numId w:val="35"/>
        </w:numPr>
        <w:tabs>
          <w:tab w:pos="959" w:val="left" w:leader="none"/>
        </w:tabs>
        <w:spacing w:line="240" w:lineRule="auto" w:before="0" w:after="0"/>
        <w:ind w:left="959" w:right="0" w:hanging="217"/>
        <w:jc w:val="left"/>
        <w:rPr>
          <w:sz w:val="22"/>
        </w:rPr>
      </w:pPr>
      <w:r>
        <w:rPr>
          <w:b/>
          <w:sz w:val="22"/>
        </w:rPr>
        <w:t>Long-term</w:t>
      </w:r>
      <w:r>
        <w:rPr>
          <w:b/>
          <w:spacing w:val="-7"/>
          <w:sz w:val="22"/>
        </w:rPr>
        <w:t> </w:t>
      </w:r>
      <w:r>
        <w:rPr>
          <w:b/>
          <w:sz w:val="22"/>
        </w:rPr>
        <w:t>vision.</w:t>
      </w:r>
      <w:r>
        <w:rPr>
          <w:b/>
          <w:spacing w:val="-7"/>
          <w:sz w:val="22"/>
        </w:rPr>
        <w:t> </w:t>
      </w:r>
      <w:r>
        <w:rPr>
          <w:sz w:val="22"/>
        </w:rPr>
        <w:t>Governments</w:t>
      </w:r>
      <w:r>
        <w:rPr>
          <w:spacing w:val="-9"/>
          <w:sz w:val="22"/>
        </w:rPr>
        <w:t> </w:t>
      </w:r>
      <w:r>
        <w:rPr>
          <w:sz w:val="22"/>
        </w:rPr>
        <w:t>should</w:t>
      </w:r>
      <w:r>
        <w:rPr>
          <w:spacing w:val="-7"/>
          <w:sz w:val="22"/>
        </w:rPr>
        <w:t> </w:t>
      </w:r>
      <w:r>
        <w:rPr>
          <w:sz w:val="22"/>
        </w:rPr>
        <w:t>adopt</w:t>
      </w:r>
      <w:r>
        <w:rPr>
          <w:spacing w:val="-8"/>
          <w:sz w:val="22"/>
        </w:rPr>
        <w:t> </w:t>
      </w:r>
      <w:r>
        <w:rPr>
          <w:sz w:val="22"/>
        </w:rPr>
        <w:t>policies</w:t>
      </w:r>
      <w:r>
        <w:rPr>
          <w:spacing w:val="-7"/>
          <w:sz w:val="22"/>
        </w:rPr>
        <w:t> </w:t>
      </w:r>
      <w:r>
        <w:rPr>
          <w:sz w:val="22"/>
        </w:rPr>
        <w:t>and</w:t>
      </w:r>
      <w:r>
        <w:rPr>
          <w:spacing w:val="-7"/>
          <w:sz w:val="22"/>
        </w:rPr>
        <w:t> </w:t>
      </w:r>
      <w:r>
        <w:rPr>
          <w:sz w:val="22"/>
        </w:rPr>
        <w:t>institutional</w:t>
      </w:r>
      <w:r>
        <w:rPr>
          <w:spacing w:val="-9"/>
          <w:sz w:val="22"/>
        </w:rPr>
        <w:t> </w:t>
      </w:r>
      <w:r>
        <w:rPr>
          <w:sz w:val="22"/>
        </w:rPr>
        <w:t>mechanisms</w:t>
      </w:r>
      <w:r>
        <w:rPr>
          <w:spacing w:val="-6"/>
          <w:sz w:val="22"/>
        </w:rPr>
        <w:t> </w:t>
      </w:r>
      <w:r>
        <w:rPr>
          <w:spacing w:val="-5"/>
          <w:sz w:val="22"/>
        </w:rPr>
        <w:t>on</w:t>
      </w:r>
    </w:p>
    <w:p>
      <w:pPr>
        <w:spacing w:after="0" w:line="240" w:lineRule="auto"/>
        <w:jc w:val="left"/>
        <w:rPr>
          <w:sz w:val="22"/>
        </w:rPr>
        <w:sectPr>
          <w:pgSz w:w="11910" w:h="16840"/>
          <w:pgMar w:header="887" w:footer="1228" w:top="1080" w:bottom="1420" w:left="840" w:right="820"/>
        </w:sectPr>
      </w:pPr>
    </w:p>
    <w:p>
      <w:pPr>
        <w:pStyle w:val="BodyText"/>
        <w:rPr>
          <w:sz w:val="20"/>
        </w:rPr>
      </w:pPr>
    </w:p>
    <w:p>
      <w:pPr>
        <w:pStyle w:val="BodyText"/>
        <w:rPr>
          <w:sz w:val="20"/>
        </w:rPr>
      </w:pPr>
    </w:p>
    <w:p>
      <w:pPr>
        <w:pStyle w:val="BodyText"/>
        <w:spacing w:before="5"/>
      </w:pPr>
    </w:p>
    <w:p>
      <w:pPr>
        <w:pStyle w:val="BodyText"/>
        <w:ind w:left="960"/>
      </w:pPr>
      <w:r>
        <w:rPr/>
        <mc:AlternateContent>
          <mc:Choice Requires="wps">
            <w:drawing>
              <wp:anchor distT="0" distB="0" distL="0" distR="0" allowOverlap="1" layoutInCell="1" locked="0" behindDoc="1" simplePos="0" relativeHeight="482708480">
                <wp:simplePos x="0" y="0"/>
                <wp:positionH relativeFrom="page">
                  <wp:posOffset>914704</wp:posOffset>
                </wp:positionH>
                <wp:positionV relativeFrom="paragraph">
                  <wp:posOffset>-280</wp:posOffset>
                </wp:positionV>
                <wp:extent cx="5732780" cy="5173345"/>
                <wp:effectExtent l="0" t="0" r="0" b="0"/>
                <wp:wrapNone/>
                <wp:docPr id="113" name="Graphic 113"/>
                <wp:cNvGraphicFramePr>
                  <a:graphicFrameLocks/>
                </wp:cNvGraphicFramePr>
                <a:graphic>
                  <a:graphicData uri="http://schemas.microsoft.com/office/word/2010/wordprocessingShape">
                    <wps:wsp>
                      <wps:cNvPr id="113" name="Graphic 113"/>
                      <wps:cNvSpPr/>
                      <wps:spPr>
                        <a:xfrm>
                          <a:off x="0" y="0"/>
                          <a:ext cx="5732780" cy="5173345"/>
                        </a:xfrm>
                        <a:custGeom>
                          <a:avLst/>
                          <a:gdLst/>
                          <a:ahLst/>
                          <a:cxnLst/>
                          <a:rect l="l" t="t" r="r" b="b"/>
                          <a:pathLst>
                            <a:path w="5732780" h="5173345">
                              <a:moveTo>
                                <a:pt x="5732653" y="0"/>
                              </a:moveTo>
                              <a:lnTo>
                                <a:pt x="0" y="0"/>
                              </a:lnTo>
                              <a:lnTo>
                                <a:pt x="0" y="5173345"/>
                              </a:lnTo>
                              <a:lnTo>
                                <a:pt x="5732653" y="5173345"/>
                              </a:lnTo>
                              <a:lnTo>
                                <a:pt x="5732653" y="0"/>
                              </a:lnTo>
                              <a:close/>
                            </a:path>
                          </a:pathLst>
                        </a:custGeom>
                        <a:solidFill>
                          <a:srgbClr val="CDEBEB"/>
                        </a:solidFill>
                      </wps:spPr>
                      <wps:bodyPr wrap="square" lIns="0" tIns="0" rIns="0" bIns="0" rtlCol="0">
                        <a:prstTxWarp prst="textNoShape">
                          <a:avLst/>
                        </a:prstTxWarp>
                        <a:noAutofit/>
                      </wps:bodyPr>
                    </wps:wsp>
                  </a:graphicData>
                </a:graphic>
              </wp:anchor>
            </w:drawing>
          </mc:Choice>
          <mc:Fallback>
            <w:pict>
              <v:rect style="position:absolute;margin-left:72.024002pt;margin-top:-.022102pt;width:451.39pt;height:407.35pt;mso-position-horizontal-relative:page;mso-position-vertical-relative:paragraph;z-index:-20608000" id="docshape98" filled="true" fillcolor="#cdebeb" stroked="false">
                <v:fill type="solid"/>
                <w10:wrap type="none"/>
              </v:rect>
            </w:pict>
          </mc:Fallback>
        </mc:AlternateContent>
      </w:r>
      <w:r>
        <w:rPr/>
        <w:t>regulatory</w:t>
      </w:r>
      <w:r>
        <w:rPr>
          <w:spacing w:val="-8"/>
        </w:rPr>
        <w:t> </w:t>
      </w:r>
      <w:r>
        <w:rPr/>
        <w:t>enforcement</w:t>
      </w:r>
      <w:r>
        <w:rPr>
          <w:spacing w:val="-7"/>
        </w:rPr>
        <w:t> </w:t>
      </w:r>
      <w:r>
        <w:rPr/>
        <w:t>and</w:t>
      </w:r>
      <w:r>
        <w:rPr>
          <w:spacing w:val="-6"/>
        </w:rPr>
        <w:t> </w:t>
      </w:r>
      <w:r>
        <w:rPr/>
        <w:t>inspections</w:t>
      </w:r>
      <w:r>
        <w:rPr>
          <w:spacing w:val="-5"/>
        </w:rPr>
        <w:t> </w:t>
      </w:r>
      <w:r>
        <w:rPr/>
        <w:t>with</w:t>
      </w:r>
      <w:r>
        <w:rPr>
          <w:spacing w:val="-6"/>
        </w:rPr>
        <w:t> </w:t>
      </w:r>
      <w:r>
        <w:rPr/>
        <w:t>clear</w:t>
      </w:r>
      <w:r>
        <w:rPr>
          <w:spacing w:val="-7"/>
        </w:rPr>
        <w:t> </w:t>
      </w:r>
      <w:r>
        <w:rPr/>
        <w:t>objectives</w:t>
      </w:r>
      <w:r>
        <w:rPr>
          <w:spacing w:val="-5"/>
        </w:rPr>
        <w:t> </w:t>
      </w:r>
      <w:r>
        <w:rPr/>
        <w:t>and</w:t>
      </w:r>
      <w:r>
        <w:rPr>
          <w:spacing w:val="-6"/>
        </w:rPr>
        <w:t> </w:t>
      </w:r>
      <w:r>
        <w:rPr/>
        <w:t>a</w:t>
      </w:r>
      <w:r>
        <w:rPr>
          <w:spacing w:val="-8"/>
        </w:rPr>
        <w:t> </w:t>
      </w:r>
      <w:r>
        <w:rPr/>
        <w:t>long-term</w:t>
      </w:r>
      <w:r>
        <w:rPr>
          <w:spacing w:val="-6"/>
        </w:rPr>
        <w:t> </w:t>
      </w:r>
      <w:r>
        <w:rPr/>
        <w:t>road-</w:t>
      </w:r>
      <w:r>
        <w:rPr>
          <w:spacing w:val="-4"/>
        </w:rPr>
        <w:t>map.</w:t>
      </w:r>
    </w:p>
    <w:p>
      <w:pPr>
        <w:pStyle w:val="BodyText"/>
        <w:spacing w:before="9"/>
        <w:rPr>
          <w:sz w:val="26"/>
        </w:rPr>
      </w:pPr>
    </w:p>
    <w:p>
      <w:pPr>
        <w:pStyle w:val="ListParagraph"/>
        <w:numPr>
          <w:ilvl w:val="1"/>
          <w:numId w:val="35"/>
        </w:numPr>
        <w:tabs>
          <w:tab w:pos="958" w:val="left" w:leader="none"/>
          <w:tab w:pos="960" w:val="left" w:leader="none"/>
        </w:tabs>
        <w:spacing w:line="288" w:lineRule="auto" w:before="0" w:after="0"/>
        <w:ind w:left="960" w:right="908" w:hanging="219"/>
        <w:jc w:val="left"/>
        <w:rPr>
          <w:sz w:val="22"/>
        </w:rPr>
      </w:pPr>
      <w:r>
        <w:rPr>
          <w:b/>
          <w:sz w:val="22"/>
        </w:rPr>
        <w:t>Co-ordination and consolidation. </w:t>
      </w:r>
      <w:r>
        <w:rPr>
          <w:sz w:val="22"/>
        </w:rPr>
        <w:t>Inspection functions should be co-ordinated and, where needed, consolidated: less duplication and overlaps will ensure better use of public</w:t>
      </w:r>
      <w:r>
        <w:rPr>
          <w:spacing w:val="-2"/>
          <w:sz w:val="22"/>
        </w:rPr>
        <w:t> </w:t>
      </w:r>
      <w:r>
        <w:rPr>
          <w:sz w:val="22"/>
        </w:rPr>
        <w:t>resources,</w:t>
      </w:r>
      <w:r>
        <w:rPr>
          <w:spacing w:val="-4"/>
          <w:sz w:val="22"/>
        </w:rPr>
        <w:t> </w:t>
      </w:r>
      <w:r>
        <w:rPr>
          <w:sz w:val="22"/>
        </w:rPr>
        <w:t>minimise</w:t>
      </w:r>
      <w:r>
        <w:rPr>
          <w:spacing w:val="-3"/>
          <w:sz w:val="22"/>
        </w:rPr>
        <w:t> </w:t>
      </w:r>
      <w:r>
        <w:rPr>
          <w:sz w:val="22"/>
        </w:rPr>
        <w:t>burden</w:t>
      </w:r>
      <w:r>
        <w:rPr>
          <w:spacing w:val="-5"/>
          <w:sz w:val="22"/>
        </w:rPr>
        <w:t> </w:t>
      </w:r>
      <w:r>
        <w:rPr>
          <w:sz w:val="22"/>
        </w:rPr>
        <w:t>on</w:t>
      </w:r>
      <w:r>
        <w:rPr>
          <w:spacing w:val="-5"/>
          <w:sz w:val="22"/>
        </w:rPr>
        <w:t> </w:t>
      </w:r>
      <w:r>
        <w:rPr>
          <w:sz w:val="22"/>
        </w:rPr>
        <w:t>regulated</w:t>
      </w:r>
      <w:r>
        <w:rPr>
          <w:spacing w:val="-5"/>
          <w:sz w:val="22"/>
        </w:rPr>
        <w:t> </w:t>
      </w:r>
      <w:r>
        <w:rPr>
          <w:sz w:val="22"/>
        </w:rPr>
        <w:t>subjects,</w:t>
      </w:r>
      <w:r>
        <w:rPr>
          <w:spacing w:val="-4"/>
          <w:sz w:val="22"/>
        </w:rPr>
        <w:t> </w:t>
      </w:r>
      <w:r>
        <w:rPr>
          <w:sz w:val="22"/>
        </w:rPr>
        <w:t>and</w:t>
      </w:r>
      <w:r>
        <w:rPr>
          <w:spacing w:val="-5"/>
          <w:sz w:val="22"/>
        </w:rPr>
        <w:t> </w:t>
      </w:r>
      <w:r>
        <w:rPr>
          <w:sz w:val="22"/>
        </w:rPr>
        <w:t>maximise</w:t>
      </w:r>
      <w:r>
        <w:rPr>
          <w:spacing w:val="-3"/>
          <w:sz w:val="22"/>
        </w:rPr>
        <w:t> </w:t>
      </w:r>
      <w:r>
        <w:rPr>
          <w:sz w:val="22"/>
        </w:rPr>
        <w:t>effectiveness.</w:t>
      </w:r>
    </w:p>
    <w:p>
      <w:pPr>
        <w:pStyle w:val="BodyText"/>
        <w:spacing w:before="3"/>
      </w:pPr>
    </w:p>
    <w:p>
      <w:pPr>
        <w:pStyle w:val="ListParagraph"/>
        <w:numPr>
          <w:ilvl w:val="1"/>
          <w:numId w:val="35"/>
        </w:numPr>
        <w:tabs>
          <w:tab w:pos="958" w:val="left" w:leader="none"/>
          <w:tab w:pos="960" w:val="left" w:leader="none"/>
        </w:tabs>
        <w:spacing w:line="288" w:lineRule="auto" w:before="0" w:after="0"/>
        <w:ind w:left="960" w:right="1069" w:hanging="219"/>
        <w:jc w:val="left"/>
        <w:rPr>
          <w:sz w:val="22"/>
        </w:rPr>
      </w:pPr>
      <w:r>
        <w:rPr>
          <w:b/>
          <w:sz w:val="22"/>
        </w:rPr>
        <w:t>Transparent</w:t>
      </w:r>
      <w:r>
        <w:rPr>
          <w:b/>
          <w:spacing w:val="-3"/>
          <w:sz w:val="22"/>
        </w:rPr>
        <w:t> </w:t>
      </w:r>
      <w:r>
        <w:rPr>
          <w:b/>
          <w:sz w:val="22"/>
        </w:rPr>
        <w:t>governance.</w:t>
      </w:r>
      <w:r>
        <w:rPr>
          <w:b/>
          <w:spacing w:val="-4"/>
          <w:sz w:val="22"/>
        </w:rPr>
        <w:t> </w:t>
      </w:r>
      <w:r>
        <w:rPr>
          <w:sz w:val="22"/>
        </w:rPr>
        <w:t>Governance</w:t>
      </w:r>
      <w:r>
        <w:rPr>
          <w:spacing w:val="-4"/>
          <w:sz w:val="22"/>
        </w:rPr>
        <w:t> </w:t>
      </w:r>
      <w:r>
        <w:rPr>
          <w:sz w:val="22"/>
        </w:rPr>
        <w:t>structures</w:t>
      </w:r>
      <w:r>
        <w:rPr>
          <w:spacing w:val="-3"/>
          <w:sz w:val="22"/>
        </w:rPr>
        <w:t> </w:t>
      </w:r>
      <w:r>
        <w:rPr>
          <w:sz w:val="22"/>
        </w:rPr>
        <w:t>and</w:t>
      </w:r>
      <w:r>
        <w:rPr>
          <w:spacing w:val="-4"/>
          <w:sz w:val="22"/>
        </w:rPr>
        <w:t> </w:t>
      </w:r>
      <w:r>
        <w:rPr>
          <w:sz w:val="22"/>
        </w:rPr>
        <w:t>human</w:t>
      </w:r>
      <w:r>
        <w:rPr>
          <w:spacing w:val="-6"/>
          <w:sz w:val="22"/>
        </w:rPr>
        <w:t> </w:t>
      </w:r>
      <w:r>
        <w:rPr>
          <w:sz w:val="22"/>
        </w:rPr>
        <w:t>resources</w:t>
      </w:r>
      <w:r>
        <w:rPr>
          <w:spacing w:val="-8"/>
          <w:sz w:val="22"/>
        </w:rPr>
        <w:t> </w:t>
      </w:r>
      <w:r>
        <w:rPr>
          <w:sz w:val="22"/>
        </w:rPr>
        <w:t>policies</w:t>
      </w:r>
      <w:r>
        <w:rPr>
          <w:spacing w:val="-4"/>
          <w:sz w:val="22"/>
        </w:rPr>
        <w:t> </w:t>
      </w:r>
      <w:r>
        <w:rPr>
          <w:sz w:val="22"/>
        </w:rPr>
        <w:t>for regulatory enforcement should support transparency, professionalism, and results oriented management. Execution of regulatory enforcement should be independent from political influence, and compliance promotion efforts should be rewarded.</w:t>
      </w:r>
    </w:p>
    <w:p>
      <w:pPr>
        <w:pStyle w:val="BodyText"/>
        <w:spacing w:before="1"/>
      </w:pPr>
    </w:p>
    <w:p>
      <w:pPr>
        <w:pStyle w:val="ListParagraph"/>
        <w:numPr>
          <w:ilvl w:val="1"/>
          <w:numId w:val="35"/>
        </w:numPr>
        <w:tabs>
          <w:tab w:pos="958" w:val="left" w:leader="none"/>
          <w:tab w:pos="960" w:val="left" w:leader="none"/>
        </w:tabs>
        <w:spacing w:line="288" w:lineRule="auto" w:before="1" w:after="0"/>
        <w:ind w:left="960" w:right="833" w:hanging="219"/>
        <w:jc w:val="left"/>
        <w:rPr>
          <w:sz w:val="22"/>
        </w:rPr>
      </w:pPr>
      <w:r>
        <w:rPr>
          <w:b/>
          <w:sz w:val="22"/>
        </w:rPr>
        <w:t>Information</w:t>
      </w:r>
      <w:r>
        <w:rPr>
          <w:b/>
          <w:spacing w:val="-7"/>
          <w:sz w:val="22"/>
        </w:rPr>
        <w:t> </w:t>
      </w:r>
      <w:r>
        <w:rPr>
          <w:b/>
          <w:sz w:val="22"/>
        </w:rPr>
        <w:t>integration.</w:t>
      </w:r>
      <w:r>
        <w:rPr>
          <w:b/>
          <w:spacing w:val="-4"/>
          <w:sz w:val="22"/>
        </w:rPr>
        <w:t> </w:t>
      </w:r>
      <w:r>
        <w:rPr>
          <w:sz w:val="22"/>
        </w:rPr>
        <w:t>Information</w:t>
      </w:r>
      <w:r>
        <w:rPr>
          <w:spacing w:val="-4"/>
          <w:sz w:val="22"/>
        </w:rPr>
        <w:t> </w:t>
      </w:r>
      <w:r>
        <w:rPr>
          <w:sz w:val="22"/>
        </w:rPr>
        <w:t>and</w:t>
      </w:r>
      <w:r>
        <w:rPr>
          <w:spacing w:val="-6"/>
          <w:sz w:val="22"/>
        </w:rPr>
        <w:t> </w:t>
      </w:r>
      <w:r>
        <w:rPr>
          <w:sz w:val="22"/>
        </w:rPr>
        <w:t>communication</w:t>
      </w:r>
      <w:r>
        <w:rPr>
          <w:spacing w:val="-4"/>
          <w:sz w:val="22"/>
        </w:rPr>
        <w:t> </w:t>
      </w:r>
      <w:r>
        <w:rPr>
          <w:sz w:val="22"/>
        </w:rPr>
        <w:t>technologies</w:t>
      </w:r>
      <w:r>
        <w:rPr>
          <w:spacing w:val="-4"/>
          <w:sz w:val="22"/>
        </w:rPr>
        <w:t> </w:t>
      </w:r>
      <w:r>
        <w:rPr>
          <w:sz w:val="22"/>
        </w:rPr>
        <w:t>should</w:t>
      </w:r>
      <w:r>
        <w:rPr>
          <w:spacing w:val="-4"/>
          <w:sz w:val="22"/>
        </w:rPr>
        <w:t> </w:t>
      </w:r>
      <w:r>
        <w:rPr>
          <w:sz w:val="22"/>
        </w:rPr>
        <w:t>be</w:t>
      </w:r>
      <w:r>
        <w:rPr>
          <w:spacing w:val="-4"/>
          <w:sz w:val="22"/>
        </w:rPr>
        <w:t> </w:t>
      </w:r>
      <w:r>
        <w:rPr>
          <w:sz w:val="22"/>
        </w:rPr>
        <w:t>used to maximise risk-focus, co-ordination and information-sharing – as well as optimal use of resources.</w:t>
      </w:r>
    </w:p>
    <w:p>
      <w:pPr>
        <w:pStyle w:val="BodyText"/>
      </w:pPr>
    </w:p>
    <w:p>
      <w:pPr>
        <w:pStyle w:val="ListParagraph"/>
        <w:numPr>
          <w:ilvl w:val="1"/>
          <w:numId w:val="35"/>
        </w:numPr>
        <w:tabs>
          <w:tab w:pos="958" w:val="left" w:leader="none"/>
          <w:tab w:pos="960" w:val="left" w:leader="none"/>
        </w:tabs>
        <w:spacing w:line="288" w:lineRule="auto" w:before="1" w:after="0"/>
        <w:ind w:left="960" w:right="1089" w:hanging="219"/>
        <w:jc w:val="left"/>
        <w:rPr>
          <w:sz w:val="22"/>
        </w:rPr>
      </w:pPr>
      <w:r>
        <w:rPr>
          <w:b/>
          <w:sz w:val="22"/>
        </w:rPr>
        <w:t>Clear</w:t>
      </w:r>
      <w:r>
        <w:rPr>
          <w:b/>
          <w:spacing w:val="-1"/>
          <w:sz w:val="22"/>
        </w:rPr>
        <w:t> </w:t>
      </w:r>
      <w:r>
        <w:rPr>
          <w:b/>
          <w:sz w:val="22"/>
        </w:rPr>
        <w:t>and</w:t>
      </w:r>
      <w:r>
        <w:rPr>
          <w:b/>
          <w:spacing w:val="-4"/>
          <w:sz w:val="22"/>
        </w:rPr>
        <w:t> </w:t>
      </w:r>
      <w:r>
        <w:rPr>
          <w:b/>
          <w:sz w:val="22"/>
        </w:rPr>
        <w:t>fair</w:t>
      </w:r>
      <w:r>
        <w:rPr>
          <w:b/>
          <w:spacing w:val="-3"/>
          <w:sz w:val="22"/>
        </w:rPr>
        <w:t> </w:t>
      </w:r>
      <w:r>
        <w:rPr>
          <w:b/>
          <w:sz w:val="22"/>
        </w:rPr>
        <w:t>process.</w:t>
      </w:r>
      <w:r>
        <w:rPr>
          <w:b/>
          <w:spacing w:val="-1"/>
          <w:sz w:val="22"/>
        </w:rPr>
        <w:t> </w:t>
      </w:r>
      <w:r>
        <w:rPr>
          <w:sz w:val="22"/>
        </w:rPr>
        <w:t>Governments</w:t>
      </w:r>
      <w:r>
        <w:rPr>
          <w:spacing w:val="-1"/>
          <w:sz w:val="22"/>
        </w:rPr>
        <w:t> </w:t>
      </w:r>
      <w:r>
        <w:rPr>
          <w:sz w:val="22"/>
        </w:rPr>
        <w:t>should</w:t>
      </w:r>
      <w:r>
        <w:rPr>
          <w:spacing w:val="-4"/>
          <w:sz w:val="22"/>
        </w:rPr>
        <w:t> </w:t>
      </w:r>
      <w:r>
        <w:rPr>
          <w:sz w:val="22"/>
        </w:rPr>
        <w:t>ensure</w:t>
      </w:r>
      <w:r>
        <w:rPr>
          <w:spacing w:val="-1"/>
          <w:sz w:val="22"/>
        </w:rPr>
        <w:t> </w:t>
      </w:r>
      <w:r>
        <w:rPr>
          <w:sz w:val="22"/>
        </w:rPr>
        <w:t>clarity</w:t>
      </w:r>
      <w:r>
        <w:rPr>
          <w:spacing w:val="-3"/>
          <w:sz w:val="22"/>
        </w:rPr>
        <w:t> </w:t>
      </w:r>
      <w:r>
        <w:rPr>
          <w:sz w:val="22"/>
        </w:rPr>
        <w:t>of</w:t>
      </w:r>
      <w:r>
        <w:rPr>
          <w:spacing w:val="-3"/>
          <w:sz w:val="22"/>
        </w:rPr>
        <w:t> </w:t>
      </w:r>
      <w:r>
        <w:rPr>
          <w:sz w:val="22"/>
        </w:rPr>
        <w:t>rules</w:t>
      </w:r>
      <w:r>
        <w:rPr>
          <w:spacing w:val="-2"/>
          <w:sz w:val="22"/>
        </w:rPr>
        <w:t> </w:t>
      </w:r>
      <w:r>
        <w:rPr>
          <w:sz w:val="22"/>
        </w:rPr>
        <w:t>and</w:t>
      </w:r>
      <w:r>
        <w:rPr>
          <w:spacing w:val="-4"/>
          <w:sz w:val="22"/>
        </w:rPr>
        <w:t> </w:t>
      </w:r>
      <w:r>
        <w:rPr>
          <w:sz w:val="22"/>
        </w:rPr>
        <w:t>process</w:t>
      </w:r>
      <w:r>
        <w:rPr>
          <w:spacing w:val="-4"/>
          <w:sz w:val="22"/>
        </w:rPr>
        <w:t> </w:t>
      </w:r>
      <w:r>
        <w:rPr>
          <w:sz w:val="22"/>
        </w:rPr>
        <w:t>for enforcement and inspections: coherent legislation to organise inspections and enforcement needs to be adopted and published, and clearly articulate rights and obligations of officials and of businesses.</w:t>
      </w:r>
    </w:p>
    <w:p>
      <w:pPr>
        <w:pStyle w:val="BodyText"/>
        <w:spacing w:before="3"/>
      </w:pPr>
    </w:p>
    <w:p>
      <w:pPr>
        <w:pStyle w:val="ListParagraph"/>
        <w:numPr>
          <w:ilvl w:val="1"/>
          <w:numId w:val="35"/>
        </w:numPr>
        <w:tabs>
          <w:tab w:pos="958" w:val="left" w:leader="none"/>
          <w:tab w:pos="960" w:val="left" w:leader="none"/>
        </w:tabs>
        <w:spacing w:line="285" w:lineRule="auto" w:before="0" w:after="0"/>
        <w:ind w:left="960" w:right="1004" w:hanging="219"/>
        <w:jc w:val="left"/>
        <w:rPr>
          <w:sz w:val="22"/>
        </w:rPr>
      </w:pPr>
      <w:r>
        <w:rPr>
          <w:b/>
          <w:sz w:val="22"/>
        </w:rPr>
        <w:t>Compliance</w:t>
      </w:r>
      <w:r>
        <w:rPr>
          <w:b/>
          <w:spacing w:val="-5"/>
          <w:sz w:val="22"/>
        </w:rPr>
        <w:t> </w:t>
      </w:r>
      <w:r>
        <w:rPr>
          <w:b/>
          <w:sz w:val="22"/>
        </w:rPr>
        <w:t>promotion.</w:t>
      </w:r>
      <w:r>
        <w:rPr>
          <w:b/>
          <w:spacing w:val="-3"/>
          <w:sz w:val="22"/>
        </w:rPr>
        <w:t> </w:t>
      </w:r>
      <w:r>
        <w:rPr>
          <w:sz w:val="22"/>
        </w:rPr>
        <w:t>Transparency</w:t>
      </w:r>
      <w:r>
        <w:rPr>
          <w:spacing w:val="-5"/>
          <w:sz w:val="22"/>
        </w:rPr>
        <w:t> </w:t>
      </w:r>
      <w:r>
        <w:rPr>
          <w:sz w:val="22"/>
        </w:rPr>
        <w:t>and</w:t>
      </w:r>
      <w:r>
        <w:rPr>
          <w:spacing w:val="-5"/>
          <w:sz w:val="22"/>
        </w:rPr>
        <w:t> </w:t>
      </w:r>
      <w:r>
        <w:rPr>
          <w:sz w:val="22"/>
        </w:rPr>
        <w:t>compliance</w:t>
      </w:r>
      <w:r>
        <w:rPr>
          <w:spacing w:val="-3"/>
          <w:sz w:val="22"/>
        </w:rPr>
        <w:t> </w:t>
      </w:r>
      <w:r>
        <w:rPr>
          <w:sz w:val="22"/>
        </w:rPr>
        <w:t>should</w:t>
      </w:r>
      <w:r>
        <w:rPr>
          <w:spacing w:val="-3"/>
          <w:sz w:val="22"/>
        </w:rPr>
        <w:t> </w:t>
      </w:r>
      <w:r>
        <w:rPr>
          <w:sz w:val="22"/>
        </w:rPr>
        <w:t>be</w:t>
      </w:r>
      <w:r>
        <w:rPr>
          <w:spacing w:val="-3"/>
          <w:sz w:val="22"/>
        </w:rPr>
        <w:t> </w:t>
      </w:r>
      <w:r>
        <w:rPr>
          <w:sz w:val="22"/>
        </w:rPr>
        <w:t>promoted</w:t>
      </w:r>
      <w:r>
        <w:rPr>
          <w:spacing w:val="-5"/>
          <w:sz w:val="22"/>
        </w:rPr>
        <w:t> </w:t>
      </w:r>
      <w:r>
        <w:rPr>
          <w:sz w:val="22"/>
        </w:rPr>
        <w:t>through the use of appropriate instruments such as guidance, toolkits and checklists.</w:t>
      </w:r>
    </w:p>
    <w:p>
      <w:pPr>
        <w:pStyle w:val="BodyText"/>
        <w:spacing w:before="7"/>
      </w:pPr>
    </w:p>
    <w:p>
      <w:pPr>
        <w:pStyle w:val="ListParagraph"/>
        <w:numPr>
          <w:ilvl w:val="1"/>
          <w:numId w:val="35"/>
        </w:numPr>
        <w:tabs>
          <w:tab w:pos="958" w:val="left" w:leader="none"/>
          <w:tab w:pos="960" w:val="left" w:leader="none"/>
        </w:tabs>
        <w:spacing w:line="288" w:lineRule="auto" w:before="0" w:after="0"/>
        <w:ind w:left="960" w:right="928" w:hanging="219"/>
        <w:jc w:val="left"/>
        <w:rPr>
          <w:sz w:val="22"/>
        </w:rPr>
      </w:pPr>
      <w:r>
        <w:rPr>
          <w:b/>
          <w:sz w:val="22"/>
        </w:rPr>
        <w:t>Professionalism. </w:t>
      </w:r>
      <w:r>
        <w:rPr>
          <w:sz w:val="22"/>
        </w:rPr>
        <w:t>Inspectors should be trained and managed to ensure professionalism, integrity, consistency and transparency: this requires substantial training</w:t>
      </w:r>
      <w:r>
        <w:rPr>
          <w:spacing w:val="-4"/>
          <w:sz w:val="22"/>
        </w:rPr>
        <w:t> </w:t>
      </w:r>
      <w:r>
        <w:rPr>
          <w:sz w:val="22"/>
        </w:rPr>
        <w:t>focusing</w:t>
      </w:r>
      <w:r>
        <w:rPr>
          <w:spacing w:val="-2"/>
          <w:sz w:val="22"/>
        </w:rPr>
        <w:t> </w:t>
      </w:r>
      <w:r>
        <w:rPr>
          <w:sz w:val="22"/>
        </w:rPr>
        <w:t>not only</w:t>
      </w:r>
      <w:r>
        <w:rPr>
          <w:spacing w:val="-4"/>
          <w:sz w:val="22"/>
        </w:rPr>
        <w:t> </w:t>
      </w:r>
      <w:r>
        <w:rPr>
          <w:sz w:val="22"/>
        </w:rPr>
        <w:t>on</w:t>
      </w:r>
      <w:r>
        <w:rPr>
          <w:spacing w:val="-4"/>
          <w:sz w:val="22"/>
        </w:rPr>
        <w:t> </w:t>
      </w:r>
      <w:r>
        <w:rPr>
          <w:sz w:val="22"/>
        </w:rPr>
        <w:t>technical</w:t>
      </w:r>
      <w:r>
        <w:rPr>
          <w:spacing w:val="-3"/>
          <w:sz w:val="22"/>
        </w:rPr>
        <w:t> </w:t>
      </w:r>
      <w:r>
        <w:rPr>
          <w:sz w:val="22"/>
        </w:rPr>
        <w:t>but</w:t>
      </w:r>
      <w:r>
        <w:rPr>
          <w:spacing w:val="-3"/>
          <w:sz w:val="22"/>
        </w:rPr>
        <w:t> </w:t>
      </w:r>
      <w:r>
        <w:rPr>
          <w:sz w:val="22"/>
        </w:rPr>
        <w:t>also</w:t>
      </w:r>
      <w:r>
        <w:rPr>
          <w:spacing w:val="-2"/>
          <w:sz w:val="22"/>
        </w:rPr>
        <w:t> </w:t>
      </w:r>
      <w:r>
        <w:rPr>
          <w:sz w:val="22"/>
        </w:rPr>
        <w:t>on</w:t>
      </w:r>
      <w:r>
        <w:rPr>
          <w:spacing w:val="-6"/>
          <w:sz w:val="22"/>
        </w:rPr>
        <w:t> </w:t>
      </w:r>
      <w:r>
        <w:rPr>
          <w:sz w:val="22"/>
        </w:rPr>
        <w:t>generic</w:t>
      </w:r>
      <w:r>
        <w:rPr>
          <w:spacing w:val="-1"/>
          <w:sz w:val="22"/>
        </w:rPr>
        <w:t> </w:t>
      </w:r>
      <w:r>
        <w:rPr>
          <w:sz w:val="22"/>
        </w:rPr>
        <w:t>inspection</w:t>
      </w:r>
      <w:r>
        <w:rPr>
          <w:spacing w:val="-4"/>
          <w:sz w:val="22"/>
        </w:rPr>
        <w:t> </w:t>
      </w:r>
      <w:r>
        <w:rPr>
          <w:sz w:val="22"/>
        </w:rPr>
        <w:t>skills,</w:t>
      </w:r>
      <w:r>
        <w:rPr>
          <w:spacing w:val="-3"/>
          <w:sz w:val="22"/>
        </w:rPr>
        <w:t> </w:t>
      </w:r>
      <w:r>
        <w:rPr>
          <w:sz w:val="22"/>
        </w:rPr>
        <w:t>and</w:t>
      </w:r>
      <w:r>
        <w:rPr>
          <w:spacing w:val="-2"/>
          <w:sz w:val="22"/>
        </w:rPr>
        <w:t> </w:t>
      </w:r>
      <w:r>
        <w:rPr>
          <w:sz w:val="22"/>
        </w:rPr>
        <w:t>official guidelines for inspectors to help ensure consistency and fairness (OECD, 2014).</w:t>
      </w:r>
    </w:p>
    <w:p>
      <w:pPr>
        <w:pStyle w:val="BodyText"/>
        <w:rPr>
          <w:sz w:val="24"/>
        </w:rPr>
      </w:pPr>
    </w:p>
    <w:p>
      <w:pPr>
        <w:pStyle w:val="BodyText"/>
        <w:rPr>
          <w:sz w:val="28"/>
        </w:rPr>
      </w:pPr>
    </w:p>
    <w:p>
      <w:pPr>
        <w:pStyle w:val="Heading4"/>
        <w:spacing w:before="0"/>
        <w:ind w:left="600"/>
      </w:pPr>
      <w:r>
        <w:rPr>
          <w:color w:val="585858"/>
        </w:rPr>
        <w:t>ESV’s</w:t>
      </w:r>
      <w:r>
        <w:rPr>
          <w:color w:val="585858"/>
          <w:spacing w:val="-14"/>
        </w:rPr>
        <w:t> </w:t>
      </w:r>
      <w:r>
        <w:rPr>
          <w:color w:val="585858"/>
        </w:rPr>
        <w:t>regulatory</w:t>
      </w:r>
      <w:r>
        <w:rPr>
          <w:color w:val="585858"/>
          <w:spacing w:val="-15"/>
        </w:rPr>
        <w:t> </w:t>
      </w:r>
      <w:r>
        <w:rPr>
          <w:color w:val="585858"/>
        </w:rPr>
        <w:t>approach</w:t>
      </w:r>
      <w:r>
        <w:rPr>
          <w:color w:val="585858"/>
          <w:spacing w:val="-13"/>
        </w:rPr>
        <w:t> </w:t>
      </w:r>
      <w:r>
        <w:rPr>
          <w:color w:val="585858"/>
        </w:rPr>
        <w:t>and</w:t>
      </w:r>
      <w:r>
        <w:rPr>
          <w:color w:val="585858"/>
          <w:spacing w:val="-11"/>
        </w:rPr>
        <w:t> </w:t>
      </w:r>
      <w:r>
        <w:rPr>
          <w:color w:val="585858"/>
          <w:spacing w:val="-2"/>
        </w:rPr>
        <w:t>arrangements</w:t>
      </w:r>
    </w:p>
    <w:p>
      <w:pPr>
        <w:spacing w:line="288" w:lineRule="auto" w:before="314"/>
        <w:ind w:left="600" w:right="910" w:firstLine="0"/>
        <w:jc w:val="left"/>
        <w:rPr>
          <w:sz w:val="22"/>
        </w:rPr>
      </w:pPr>
      <w:r>
        <w:rPr>
          <w:sz w:val="22"/>
        </w:rPr>
        <w:t>Consistent</w:t>
      </w:r>
      <w:r>
        <w:rPr>
          <w:spacing w:val="-1"/>
          <w:sz w:val="22"/>
        </w:rPr>
        <w:t> </w:t>
      </w:r>
      <w:r>
        <w:rPr>
          <w:sz w:val="22"/>
        </w:rPr>
        <w:t>with</w:t>
      </w:r>
      <w:r>
        <w:rPr>
          <w:spacing w:val="-2"/>
          <w:sz w:val="22"/>
        </w:rPr>
        <w:t> </w:t>
      </w:r>
      <w:r>
        <w:rPr>
          <w:sz w:val="22"/>
        </w:rPr>
        <w:t>the</w:t>
      </w:r>
      <w:r>
        <w:rPr>
          <w:spacing w:val="-4"/>
          <w:sz w:val="22"/>
        </w:rPr>
        <w:t> </w:t>
      </w:r>
      <w:r>
        <w:rPr>
          <w:sz w:val="22"/>
        </w:rPr>
        <w:t>requirements</w:t>
      </w:r>
      <w:r>
        <w:rPr>
          <w:spacing w:val="-2"/>
          <w:sz w:val="22"/>
        </w:rPr>
        <w:t> </w:t>
      </w:r>
      <w:r>
        <w:rPr>
          <w:sz w:val="22"/>
        </w:rPr>
        <w:t>of</w:t>
      </w:r>
      <w:r>
        <w:rPr>
          <w:spacing w:val="-3"/>
          <w:sz w:val="22"/>
        </w:rPr>
        <w:t> </w:t>
      </w:r>
      <w:r>
        <w:rPr>
          <w:sz w:val="22"/>
        </w:rPr>
        <w:t>the</w:t>
      </w:r>
      <w:r>
        <w:rPr>
          <w:spacing w:val="-2"/>
          <w:sz w:val="22"/>
        </w:rPr>
        <w:t> </w:t>
      </w:r>
      <w:r>
        <w:rPr>
          <w:i/>
          <w:sz w:val="22"/>
        </w:rPr>
        <w:t>Energy</w:t>
      </w:r>
      <w:r>
        <w:rPr>
          <w:i/>
          <w:spacing w:val="-4"/>
          <w:sz w:val="22"/>
        </w:rPr>
        <w:t> </w:t>
      </w:r>
      <w:r>
        <w:rPr>
          <w:i/>
          <w:sz w:val="22"/>
        </w:rPr>
        <w:t>Safe</w:t>
      </w:r>
      <w:r>
        <w:rPr>
          <w:i/>
          <w:spacing w:val="-2"/>
          <w:sz w:val="22"/>
        </w:rPr>
        <w:t> </w:t>
      </w:r>
      <w:r>
        <w:rPr>
          <w:i/>
          <w:sz w:val="22"/>
        </w:rPr>
        <w:t>Victoria</w:t>
      </w:r>
      <w:r>
        <w:rPr>
          <w:i/>
          <w:spacing w:val="-2"/>
          <w:sz w:val="22"/>
        </w:rPr>
        <w:t> </w:t>
      </w:r>
      <w:r>
        <w:rPr>
          <w:i/>
          <w:sz w:val="22"/>
        </w:rPr>
        <w:t>Act</w:t>
      </w:r>
      <w:r>
        <w:rPr>
          <w:i/>
          <w:spacing w:val="-3"/>
          <w:sz w:val="22"/>
        </w:rPr>
        <w:t> </w:t>
      </w:r>
      <w:r>
        <w:rPr>
          <w:i/>
          <w:sz w:val="22"/>
        </w:rPr>
        <w:t>2005</w:t>
      </w:r>
      <w:r>
        <w:rPr>
          <w:sz w:val="22"/>
        </w:rPr>
        <w:t>,</w:t>
      </w:r>
      <w:r>
        <w:rPr>
          <w:spacing w:val="-1"/>
          <w:sz w:val="22"/>
        </w:rPr>
        <w:t> </w:t>
      </w:r>
      <w:r>
        <w:rPr>
          <w:sz w:val="22"/>
        </w:rPr>
        <w:t>ESV</w:t>
      </w:r>
      <w:r>
        <w:rPr>
          <w:spacing w:val="-2"/>
          <w:sz w:val="22"/>
        </w:rPr>
        <w:t> </w:t>
      </w:r>
      <w:r>
        <w:rPr>
          <w:sz w:val="22"/>
        </w:rPr>
        <w:t>is</w:t>
      </w:r>
      <w:r>
        <w:rPr>
          <w:spacing w:val="-2"/>
          <w:sz w:val="22"/>
        </w:rPr>
        <w:t> </w:t>
      </w:r>
      <w:r>
        <w:rPr>
          <w:sz w:val="22"/>
        </w:rPr>
        <w:t>required</w:t>
      </w:r>
      <w:r>
        <w:rPr>
          <w:spacing w:val="-4"/>
          <w:sz w:val="22"/>
        </w:rPr>
        <w:t> </w:t>
      </w:r>
      <w:r>
        <w:rPr>
          <w:sz w:val="22"/>
        </w:rPr>
        <w:t>to publish</w:t>
      </w:r>
      <w:r>
        <w:rPr>
          <w:spacing w:val="-2"/>
          <w:sz w:val="22"/>
        </w:rPr>
        <w:t> </w:t>
      </w:r>
      <w:r>
        <w:rPr>
          <w:sz w:val="22"/>
        </w:rPr>
        <w:t>a</w:t>
      </w:r>
      <w:r>
        <w:rPr>
          <w:spacing w:val="-1"/>
          <w:sz w:val="22"/>
        </w:rPr>
        <w:t> </w:t>
      </w:r>
      <w:r>
        <w:rPr>
          <w:i/>
          <w:sz w:val="22"/>
        </w:rPr>
        <w:t>Charter</w:t>
      </w:r>
      <w:r>
        <w:rPr>
          <w:i/>
          <w:spacing w:val="-1"/>
          <w:sz w:val="22"/>
        </w:rPr>
        <w:t> </w:t>
      </w:r>
      <w:r>
        <w:rPr>
          <w:i/>
          <w:sz w:val="22"/>
        </w:rPr>
        <w:t>of Consultation</w:t>
      </w:r>
      <w:r>
        <w:rPr>
          <w:i/>
          <w:spacing w:val="-2"/>
          <w:sz w:val="22"/>
        </w:rPr>
        <w:t> </w:t>
      </w:r>
      <w:r>
        <w:rPr>
          <w:i/>
          <w:sz w:val="22"/>
        </w:rPr>
        <w:t>and</w:t>
      </w:r>
      <w:r>
        <w:rPr>
          <w:i/>
          <w:spacing w:val="-4"/>
          <w:sz w:val="22"/>
        </w:rPr>
        <w:t> </w:t>
      </w:r>
      <w:r>
        <w:rPr>
          <w:i/>
          <w:sz w:val="22"/>
        </w:rPr>
        <w:t>Regulatory</w:t>
      </w:r>
      <w:r>
        <w:rPr>
          <w:i/>
          <w:spacing w:val="-6"/>
          <w:sz w:val="22"/>
        </w:rPr>
        <w:t> </w:t>
      </w:r>
      <w:r>
        <w:rPr>
          <w:i/>
          <w:sz w:val="22"/>
        </w:rPr>
        <w:t>Practice</w:t>
      </w:r>
      <w:r>
        <w:rPr>
          <w:sz w:val="22"/>
        </w:rPr>
        <w:t>.</w:t>
      </w:r>
      <w:r>
        <w:rPr>
          <w:spacing w:val="-5"/>
          <w:sz w:val="22"/>
        </w:rPr>
        <w:t> </w:t>
      </w:r>
      <w:r>
        <w:rPr>
          <w:sz w:val="22"/>
        </w:rPr>
        <w:t>The</w:t>
      </w:r>
      <w:r>
        <w:rPr>
          <w:spacing w:val="-2"/>
          <w:sz w:val="22"/>
        </w:rPr>
        <w:t> </w:t>
      </w:r>
      <w:r>
        <w:rPr>
          <w:sz w:val="22"/>
        </w:rPr>
        <w:t>Charter</w:t>
      </w:r>
      <w:r>
        <w:rPr>
          <w:spacing w:val="-1"/>
          <w:sz w:val="22"/>
        </w:rPr>
        <w:t> </w:t>
      </w:r>
      <w:r>
        <w:rPr>
          <w:sz w:val="22"/>
        </w:rPr>
        <w:t>sets</w:t>
      </w:r>
      <w:r>
        <w:rPr>
          <w:spacing w:val="-1"/>
          <w:sz w:val="22"/>
        </w:rPr>
        <w:t> </w:t>
      </w:r>
      <w:r>
        <w:rPr>
          <w:sz w:val="22"/>
        </w:rPr>
        <w:t>out</w:t>
      </w:r>
      <w:r>
        <w:rPr>
          <w:spacing w:val="-3"/>
          <w:sz w:val="22"/>
        </w:rPr>
        <w:t> </w:t>
      </w:r>
      <w:r>
        <w:rPr>
          <w:sz w:val="22"/>
        </w:rPr>
        <w:t>how</w:t>
      </w:r>
      <w:r>
        <w:rPr>
          <w:spacing w:val="-5"/>
          <w:sz w:val="22"/>
        </w:rPr>
        <w:t> </w:t>
      </w:r>
      <w:r>
        <w:rPr>
          <w:sz w:val="22"/>
        </w:rPr>
        <w:t>ESV will consult with its stakeholders and undertake its regulatory responsibilities. The most recent Charter available on ESV’s website was published in April 2015 (ESV, 2015).</w:t>
      </w:r>
    </w:p>
    <w:p>
      <w:pPr>
        <w:pStyle w:val="BodyText"/>
        <w:spacing w:before="10"/>
        <w:rPr>
          <w:sz w:val="20"/>
        </w:rPr>
      </w:pPr>
    </w:p>
    <w:p>
      <w:pPr>
        <w:pStyle w:val="BodyText"/>
        <w:spacing w:line="288" w:lineRule="auto"/>
        <w:ind w:left="600" w:right="586"/>
      </w:pPr>
      <w:r>
        <w:rPr/>
        <w:t>The Charter provides general information on ESV’s approach to regulation. It has not yet been</w:t>
      </w:r>
      <w:r>
        <w:rPr>
          <w:spacing w:val="-2"/>
        </w:rPr>
        <w:t> </w:t>
      </w:r>
      <w:r>
        <w:rPr/>
        <w:t>updated</w:t>
      </w:r>
      <w:r>
        <w:rPr>
          <w:spacing w:val="-4"/>
        </w:rPr>
        <w:t> </w:t>
      </w:r>
      <w:r>
        <w:rPr/>
        <w:t>to</w:t>
      </w:r>
      <w:r>
        <w:rPr>
          <w:spacing w:val="-4"/>
        </w:rPr>
        <w:t> </w:t>
      </w:r>
      <w:r>
        <w:rPr/>
        <w:t>take</w:t>
      </w:r>
      <w:r>
        <w:rPr>
          <w:spacing w:val="-2"/>
        </w:rPr>
        <w:t> </w:t>
      </w:r>
      <w:r>
        <w:rPr/>
        <w:t>account</w:t>
      </w:r>
      <w:r>
        <w:rPr>
          <w:spacing w:val="-1"/>
        </w:rPr>
        <w:t> </w:t>
      </w:r>
      <w:r>
        <w:rPr/>
        <w:t>of</w:t>
      </w:r>
      <w:r>
        <w:rPr>
          <w:spacing w:val="-3"/>
        </w:rPr>
        <w:t> </w:t>
      </w:r>
      <w:r>
        <w:rPr/>
        <w:t>the</w:t>
      </w:r>
      <w:r>
        <w:rPr>
          <w:spacing w:val="-4"/>
        </w:rPr>
        <w:t> </w:t>
      </w:r>
      <w:r>
        <w:rPr/>
        <w:t>recent changes</w:t>
      </w:r>
      <w:r>
        <w:rPr>
          <w:spacing w:val="-4"/>
        </w:rPr>
        <w:t> </w:t>
      </w:r>
      <w:r>
        <w:rPr/>
        <w:t>that ESV</w:t>
      </w:r>
      <w:r>
        <w:rPr>
          <w:spacing w:val="-2"/>
        </w:rPr>
        <w:t> </w:t>
      </w:r>
      <w:r>
        <w:rPr/>
        <w:t>has</w:t>
      </w:r>
      <w:r>
        <w:rPr>
          <w:spacing w:val="-1"/>
        </w:rPr>
        <w:t> </w:t>
      </w:r>
      <w:r>
        <w:rPr/>
        <w:t>already</w:t>
      </w:r>
      <w:r>
        <w:rPr>
          <w:spacing w:val="-4"/>
        </w:rPr>
        <w:t> </w:t>
      </w:r>
      <w:r>
        <w:rPr/>
        <w:t>made,</w:t>
      </w:r>
      <w:r>
        <w:rPr>
          <w:spacing w:val="-1"/>
        </w:rPr>
        <w:t> </w:t>
      </w:r>
      <w:r>
        <w:rPr/>
        <w:t>or</w:t>
      </w:r>
      <w:r>
        <w:rPr>
          <w:spacing w:val="-1"/>
        </w:rPr>
        <w:t> </w:t>
      </w:r>
      <w:r>
        <w:rPr/>
        <w:t>is</w:t>
      </w:r>
      <w:r>
        <w:rPr>
          <w:spacing w:val="-4"/>
        </w:rPr>
        <w:t> </w:t>
      </w:r>
      <w:r>
        <w:rPr/>
        <w:t>in</w:t>
      </w:r>
      <w:r>
        <w:rPr>
          <w:spacing w:val="-2"/>
        </w:rPr>
        <w:t> </w:t>
      </w:r>
      <w:r>
        <w:rPr/>
        <w:t>the process of making, to its regulatory structures, systems and processes.</w:t>
      </w:r>
    </w:p>
    <w:p>
      <w:pPr>
        <w:pStyle w:val="BodyText"/>
        <w:spacing w:before="9"/>
        <w:rPr>
          <w:sz w:val="20"/>
        </w:rPr>
      </w:pPr>
    </w:p>
    <w:p>
      <w:pPr>
        <w:pStyle w:val="BodyText"/>
        <w:spacing w:line="288" w:lineRule="auto"/>
        <w:ind w:left="600" w:right="713"/>
      </w:pPr>
      <w:r>
        <w:rPr/>
        <w:t>ESV also maintains a published </w:t>
      </w:r>
      <w:r>
        <w:rPr>
          <w:i/>
        </w:rPr>
        <w:t>Compliance and Enforcement Policy</w:t>
      </w:r>
      <w:r>
        <w:rPr/>
        <w:t>, which was last updated</w:t>
      </w:r>
      <w:r>
        <w:rPr>
          <w:spacing w:val="-2"/>
        </w:rPr>
        <w:t> </w:t>
      </w:r>
      <w:r>
        <w:rPr/>
        <w:t>in</w:t>
      </w:r>
      <w:r>
        <w:rPr>
          <w:spacing w:val="-2"/>
        </w:rPr>
        <w:t> </w:t>
      </w:r>
      <w:r>
        <w:rPr/>
        <w:t>December</w:t>
      </w:r>
      <w:r>
        <w:rPr>
          <w:spacing w:val="-3"/>
        </w:rPr>
        <w:t> </w:t>
      </w:r>
      <w:r>
        <w:rPr/>
        <w:t>2014.</w:t>
      </w:r>
      <w:r>
        <w:rPr>
          <w:spacing w:val="-3"/>
        </w:rPr>
        <w:t> </w:t>
      </w:r>
      <w:r>
        <w:rPr/>
        <w:t>This</w:t>
      </w:r>
      <w:r>
        <w:rPr>
          <w:spacing w:val="-1"/>
        </w:rPr>
        <w:t> </w:t>
      </w:r>
      <w:r>
        <w:rPr/>
        <w:t>is</w:t>
      </w:r>
      <w:r>
        <w:rPr>
          <w:spacing w:val="-4"/>
        </w:rPr>
        <w:t> </w:t>
      </w:r>
      <w:r>
        <w:rPr/>
        <w:t>a</w:t>
      </w:r>
      <w:r>
        <w:rPr>
          <w:spacing w:val="-2"/>
        </w:rPr>
        <w:t> </w:t>
      </w:r>
      <w:r>
        <w:rPr/>
        <w:t>high-level</w:t>
      </w:r>
      <w:r>
        <w:rPr>
          <w:spacing w:val="-3"/>
        </w:rPr>
        <w:t> </w:t>
      </w:r>
      <w:r>
        <w:rPr/>
        <w:t>document</w:t>
      </w:r>
      <w:r>
        <w:rPr>
          <w:spacing w:val="-3"/>
        </w:rPr>
        <w:t> </w:t>
      </w:r>
      <w:r>
        <w:rPr/>
        <w:t>that</w:t>
      </w:r>
      <w:r>
        <w:rPr>
          <w:spacing w:val="-3"/>
        </w:rPr>
        <w:t> </w:t>
      </w:r>
      <w:r>
        <w:rPr/>
        <w:t>sets</w:t>
      </w:r>
      <w:r>
        <w:rPr>
          <w:spacing w:val="-3"/>
        </w:rPr>
        <w:t> </w:t>
      </w:r>
      <w:r>
        <w:rPr/>
        <w:t>out</w:t>
      </w:r>
      <w:r>
        <w:rPr>
          <w:spacing w:val="-3"/>
        </w:rPr>
        <w:t> </w:t>
      </w:r>
      <w:r>
        <w:rPr/>
        <w:t>the</w:t>
      </w:r>
      <w:r>
        <w:rPr>
          <w:spacing w:val="-2"/>
        </w:rPr>
        <w:t> </w:t>
      </w:r>
      <w:r>
        <w:rPr/>
        <w:t>broad</w:t>
      </w:r>
      <w:r>
        <w:rPr>
          <w:spacing w:val="-4"/>
        </w:rPr>
        <w:t> </w:t>
      </w:r>
      <w:r>
        <w:rPr/>
        <w:t>principles that underpin ESV’s decisions about compliance actions (ESV, 2014a).</w:t>
      </w:r>
    </w:p>
    <w:p>
      <w:pPr>
        <w:pStyle w:val="BodyText"/>
        <w:rPr>
          <w:sz w:val="21"/>
        </w:rPr>
      </w:pPr>
    </w:p>
    <w:p>
      <w:pPr>
        <w:pStyle w:val="BodyText"/>
        <w:spacing w:line="288" w:lineRule="auto"/>
        <w:ind w:left="600" w:right="910"/>
      </w:pPr>
      <w:r>
        <w:rPr/>
        <w:t>Further information on ESV’s intended regulatory approach is contained in its Corporate Plan,</w:t>
      </w:r>
      <w:r>
        <w:rPr>
          <w:spacing w:val="-1"/>
        </w:rPr>
        <w:t> </w:t>
      </w:r>
      <w:r>
        <w:rPr/>
        <w:t>prepared</w:t>
      </w:r>
      <w:r>
        <w:rPr>
          <w:spacing w:val="-3"/>
        </w:rPr>
        <w:t> </w:t>
      </w:r>
      <w:r>
        <w:rPr/>
        <w:t>in</w:t>
      </w:r>
      <w:r>
        <w:rPr>
          <w:spacing w:val="-3"/>
        </w:rPr>
        <w:t> </w:t>
      </w:r>
      <w:r>
        <w:rPr/>
        <w:t>accordance</w:t>
      </w:r>
      <w:r>
        <w:rPr>
          <w:spacing w:val="-3"/>
        </w:rPr>
        <w:t> </w:t>
      </w:r>
      <w:r>
        <w:rPr/>
        <w:t>with</w:t>
      </w:r>
      <w:r>
        <w:rPr>
          <w:spacing w:val="-3"/>
        </w:rPr>
        <w:t> </w:t>
      </w:r>
      <w:r>
        <w:rPr/>
        <w:t>the</w:t>
      </w:r>
      <w:r>
        <w:rPr>
          <w:spacing w:val="-5"/>
        </w:rPr>
        <w:t> </w:t>
      </w:r>
      <w:r>
        <w:rPr/>
        <w:t>requirements</w:t>
      </w:r>
      <w:r>
        <w:rPr>
          <w:spacing w:val="-2"/>
        </w:rPr>
        <w:t> </w:t>
      </w:r>
      <w:r>
        <w:rPr/>
        <w:t>of</w:t>
      </w:r>
      <w:r>
        <w:rPr>
          <w:spacing w:val="-4"/>
        </w:rPr>
        <w:t> </w:t>
      </w:r>
      <w:r>
        <w:rPr/>
        <w:t>the </w:t>
      </w:r>
      <w:r>
        <w:rPr>
          <w:i/>
        </w:rPr>
        <w:t>Energy</w:t>
      </w:r>
      <w:r>
        <w:rPr>
          <w:i/>
          <w:spacing w:val="-3"/>
        </w:rPr>
        <w:t> </w:t>
      </w:r>
      <w:r>
        <w:rPr>
          <w:i/>
        </w:rPr>
        <w:t>Safe</w:t>
      </w:r>
      <w:r>
        <w:rPr>
          <w:i/>
          <w:spacing w:val="-3"/>
        </w:rPr>
        <w:t> </w:t>
      </w:r>
      <w:r>
        <w:rPr>
          <w:i/>
        </w:rPr>
        <w:t>Victoria</w:t>
      </w:r>
      <w:r>
        <w:rPr>
          <w:i/>
          <w:spacing w:val="-3"/>
        </w:rPr>
        <w:t> </w:t>
      </w:r>
      <w:r>
        <w:rPr>
          <w:i/>
        </w:rPr>
        <w:t>Act 2005</w:t>
      </w:r>
      <w:r>
        <w:rPr/>
        <w:t>.</w:t>
      </w:r>
    </w:p>
    <w:p>
      <w:pPr>
        <w:spacing w:after="0" w:line="288" w:lineRule="auto"/>
        <w:sectPr>
          <w:pgSz w:w="11910" w:h="16840"/>
          <w:pgMar w:header="887" w:footer="1228" w:top="1080" w:bottom="1440" w:left="840" w:right="820"/>
        </w:sectPr>
      </w:pPr>
    </w:p>
    <w:p>
      <w:pPr>
        <w:pStyle w:val="BodyText"/>
        <w:rPr>
          <w:sz w:val="20"/>
        </w:rPr>
      </w:pPr>
    </w:p>
    <w:p>
      <w:pPr>
        <w:pStyle w:val="BodyText"/>
        <w:rPr>
          <w:sz w:val="20"/>
        </w:rPr>
      </w:pPr>
    </w:p>
    <w:p>
      <w:pPr>
        <w:pStyle w:val="BodyText"/>
        <w:spacing w:before="5"/>
      </w:pPr>
    </w:p>
    <w:p>
      <w:pPr>
        <w:spacing w:line="288" w:lineRule="auto" w:before="0"/>
        <w:ind w:left="600" w:right="586" w:firstLine="0"/>
        <w:jc w:val="left"/>
        <w:rPr>
          <w:sz w:val="22"/>
        </w:rPr>
      </w:pPr>
      <w:r>
        <w:rPr>
          <w:sz w:val="22"/>
        </w:rPr>
        <w:t>In</w:t>
      </w:r>
      <w:r>
        <w:rPr>
          <w:spacing w:val="-1"/>
          <w:sz w:val="22"/>
        </w:rPr>
        <w:t> </w:t>
      </w:r>
      <w:r>
        <w:rPr>
          <w:sz w:val="22"/>
        </w:rPr>
        <w:t>March 2017,</w:t>
      </w:r>
      <w:r>
        <w:rPr>
          <w:spacing w:val="-2"/>
          <w:sz w:val="22"/>
        </w:rPr>
        <w:t> </w:t>
      </w:r>
      <w:r>
        <w:rPr>
          <w:sz w:val="22"/>
        </w:rPr>
        <w:t>ESV</w:t>
      </w:r>
      <w:r>
        <w:rPr>
          <w:spacing w:val="-1"/>
          <w:sz w:val="22"/>
        </w:rPr>
        <w:t> </w:t>
      </w:r>
      <w:r>
        <w:rPr>
          <w:sz w:val="22"/>
        </w:rPr>
        <w:t>published</w:t>
      </w:r>
      <w:r>
        <w:rPr>
          <w:spacing w:val="-1"/>
          <w:sz w:val="22"/>
        </w:rPr>
        <w:t> </w:t>
      </w:r>
      <w:r>
        <w:rPr>
          <w:sz w:val="22"/>
        </w:rPr>
        <w:t>a statement</w:t>
      </w:r>
      <w:r>
        <w:rPr>
          <w:spacing w:val="-2"/>
          <w:sz w:val="22"/>
        </w:rPr>
        <w:t> </w:t>
      </w:r>
      <w:r>
        <w:rPr>
          <w:sz w:val="22"/>
        </w:rPr>
        <w:t>on </w:t>
      </w:r>
      <w:r>
        <w:rPr>
          <w:i/>
          <w:sz w:val="22"/>
        </w:rPr>
        <w:t>Regulation</w:t>
      </w:r>
      <w:r>
        <w:rPr>
          <w:i/>
          <w:spacing w:val="-1"/>
          <w:sz w:val="22"/>
        </w:rPr>
        <w:t> </w:t>
      </w:r>
      <w:r>
        <w:rPr>
          <w:i/>
          <w:sz w:val="22"/>
        </w:rPr>
        <w:t>and</w:t>
      </w:r>
      <w:r>
        <w:rPr>
          <w:i/>
          <w:spacing w:val="-3"/>
          <w:sz w:val="22"/>
        </w:rPr>
        <w:t> </w:t>
      </w:r>
      <w:r>
        <w:rPr>
          <w:i/>
          <w:sz w:val="22"/>
        </w:rPr>
        <w:t>the</w:t>
      </w:r>
      <w:r>
        <w:rPr>
          <w:i/>
          <w:spacing w:val="-1"/>
          <w:sz w:val="22"/>
        </w:rPr>
        <w:t> </w:t>
      </w:r>
      <w:r>
        <w:rPr>
          <w:i/>
          <w:sz w:val="22"/>
        </w:rPr>
        <w:t>Performance</w:t>
      </w:r>
      <w:r>
        <w:rPr>
          <w:i/>
          <w:spacing w:val="-1"/>
          <w:sz w:val="22"/>
        </w:rPr>
        <w:t> </w:t>
      </w:r>
      <w:r>
        <w:rPr>
          <w:i/>
          <w:sz w:val="22"/>
        </w:rPr>
        <w:t>of</w:t>
      </w:r>
      <w:r>
        <w:rPr>
          <w:i/>
          <w:spacing w:val="-1"/>
          <w:sz w:val="22"/>
        </w:rPr>
        <w:t> </w:t>
      </w:r>
      <w:r>
        <w:rPr>
          <w:i/>
          <w:sz w:val="22"/>
        </w:rPr>
        <w:t>Electricity Network Assets </w:t>
      </w:r>
      <w:r>
        <w:rPr>
          <w:sz w:val="22"/>
        </w:rPr>
        <w:t>on its website. This statement, which had previously been published as an attachment</w:t>
      </w:r>
      <w:r>
        <w:rPr>
          <w:spacing w:val="-6"/>
          <w:sz w:val="22"/>
        </w:rPr>
        <w:t> </w:t>
      </w:r>
      <w:r>
        <w:rPr>
          <w:sz w:val="22"/>
        </w:rPr>
        <w:t>to</w:t>
      </w:r>
      <w:r>
        <w:rPr>
          <w:spacing w:val="-5"/>
          <w:sz w:val="22"/>
        </w:rPr>
        <w:t> </w:t>
      </w:r>
      <w:r>
        <w:rPr>
          <w:sz w:val="22"/>
        </w:rPr>
        <w:t>the</w:t>
      </w:r>
      <w:r>
        <w:rPr>
          <w:spacing w:val="-3"/>
          <w:sz w:val="22"/>
        </w:rPr>
        <w:t> </w:t>
      </w:r>
      <w:r>
        <w:rPr>
          <w:i/>
          <w:sz w:val="22"/>
        </w:rPr>
        <w:t>2015–16</w:t>
      </w:r>
      <w:r>
        <w:rPr>
          <w:i/>
          <w:spacing w:val="-3"/>
          <w:sz w:val="22"/>
        </w:rPr>
        <w:t> </w:t>
      </w:r>
      <w:r>
        <w:rPr>
          <w:i/>
          <w:sz w:val="22"/>
        </w:rPr>
        <w:t>Performance</w:t>
      </w:r>
      <w:r>
        <w:rPr>
          <w:i/>
          <w:spacing w:val="-3"/>
          <w:sz w:val="22"/>
        </w:rPr>
        <w:t> </w:t>
      </w:r>
      <w:r>
        <w:rPr>
          <w:i/>
          <w:sz w:val="22"/>
        </w:rPr>
        <w:t>Report</w:t>
      </w:r>
      <w:r>
        <w:rPr>
          <w:i/>
          <w:spacing w:val="-6"/>
          <w:sz w:val="22"/>
        </w:rPr>
        <w:t> </w:t>
      </w:r>
      <w:r>
        <w:rPr>
          <w:i/>
          <w:sz w:val="22"/>
        </w:rPr>
        <w:t>on</w:t>
      </w:r>
      <w:r>
        <w:rPr>
          <w:i/>
          <w:spacing w:val="-3"/>
          <w:sz w:val="22"/>
        </w:rPr>
        <w:t> </w:t>
      </w:r>
      <w:r>
        <w:rPr>
          <w:i/>
          <w:sz w:val="22"/>
        </w:rPr>
        <w:t>Victorian</w:t>
      </w:r>
      <w:r>
        <w:rPr>
          <w:i/>
          <w:spacing w:val="-3"/>
          <w:sz w:val="22"/>
        </w:rPr>
        <w:t> </w:t>
      </w:r>
      <w:r>
        <w:rPr>
          <w:i/>
          <w:sz w:val="22"/>
        </w:rPr>
        <w:t>Electricity</w:t>
      </w:r>
      <w:r>
        <w:rPr>
          <w:i/>
          <w:spacing w:val="-5"/>
          <w:sz w:val="22"/>
        </w:rPr>
        <w:t> </w:t>
      </w:r>
      <w:r>
        <w:rPr>
          <w:i/>
          <w:sz w:val="22"/>
        </w:rPr>
        <w:t>Networks</w:t>
      </w:r>
      <w:r>
        <w:rPr>
          <w:sz w:val="22"/>
        </w:rPr>
        <w:t>,</w:t>
      </w:r>
      <w:r>
        <w:rPr>
          <w:spacing w:val="-1"/>
          <w:sz w:val="22"/>
        </w:rPr>
        <w:t> </w:t>
      </w:r>
      <w:r>
        <w:rPr>
          <w:sz w:val="22"/>
        </w:rPr>
        <w:t>articulates the role of safety cases in regulation and how they are incorporated into ESV’s regulatory </w:t>
      </w:r>
      <w:r>
        <w:rPr>
          <w:spacing w:val="-2"/>
          <w:sz w:val="22"/>
        </w:rPr>
        <w:t>activities.</w:t>
      </w:r>
    </w:p>
    <w:p>
      <w:pPr>
        <w:pStyle w:val="BodyText"/>
        <w:rPr>
          <w:sz w:val="24"/>
        </w:rPr>
      </w:pPr>
    </w:p>
    <w:p>
      <w:pPr>
        <w:pStyle w:val="Heading6"/>
        <w:spacing w:before="146"/>
        <w:ind w:left="600"/>
      </w:pPr>
      <w:r>
        <w:rPr/>
        <w:t>The</w:t>
      </w:r>
      <w:r>
        <w:rPr>
          <w:spacing w:val="-3"/>
        </w:rPr>
        <w:t> </w:t>
      </w:r>
      <w:r>
        <w:rPr/>
        <w:t>compliance</w:t>
      </w:r>
      <w:r>
        <w:rPr>
          <w:spacing w:val="-4"/>
        </w:rPr>
        <w:t> </w:t>
      </w:r>
      <w:r>
        <w:rPr/>
        <w:t>and</w:t>
      </w:r>
      <w:r>
        <w:rPr>
          <w:spacing w:val="-5"/>
        </w:rPr>
        <w:t> </w:t>
      </w:r>
      <w:r>
        <w:rPr/>
        <w:t>enforcement </w:t>
      </w:r>
      <w:r>
        <w:rPr>
          <w:spacing w:val="-2"/>
        </w:rPr>
        <w:t>approach</w:t>
      </w:r>
    </w:p>
    <w:p>
      <w:pPr>
        <w:pStyle w:val="BodyText"/>
        <w:spacing w:before="174"/>
        <w:ind w:left="600"/>
      </w:pPr>
      <w:r>
        <w:rPr/>
        <w:t>ESV</w:t>
      </w:r>
      <w:r>
        <w:rPr>
          <w:spacing w:val="-7"/>
        </w:rPr>
        <w:t> </w:t>
      </w:r>
      <w:r>
        <w:rPr/>
        <w:t>has</w:t>
      </w:r>
      <w:r>
        <w:rPr>
          <w:spacing w:val="-3"/>
        </w:rPr>
        <w:t> </w:t>
      </w:r>
      <w:r>
        <w:rPr/>
        <w:t>a</w:t>
      </w:r>
      <w:r>
        <w:rPr>
          <w:spacing w:val="-6"/>
        </w:rPr>
        <w:t> </w:t>
      </w:r>
      <w:r>
        <w:rPr/>
        <w:t>range</w:t>
      </w:r>
      <w:r>
        <w:rPr>
          <w:spacing w:val="-4"/>
        </w:rPr>
        <w:t> </w:t>
      </w:r>
      <w:r>
        <w:rPr/>
        <w:t>of</w:t>
      </w:r>
      <w:r>
        <w:rPr>
          <w:spacing w:val="-6"/>
        </w:rPr>
        <w:t> </w:t>
      </w:r>
      <w:r>
        <w:rPr/>
        <w:t>compliance</w:t>
      </w:r>
      <w:r>
        <w:rPr>
          <w:spacing w:val="-4"/>
        </w:rPr>
        <w:t> </w:t>
      </w:r>
      <w:r>
        <w:rPr/>
        <w:t>and</w:t>
      </w:r>
      <w:r>
        <w:rPr>
          <w:spacing w:val="-4"/>
        </w:rPr>
        <w:t> </w:t>
      </w:r>
      <w:r>
        <w:rPr/>
        <w:t>enforcement</w:t>
      </w:r>
      <w:r>
        <w:rPr>
          <w:spacing w:val="-5"/>
        </w:rPr>
        <w:t> </w:t>
      </w:r>
      <w:r>
        <w:rPr/>
        <w:t>tools,</w:t>
      </w:r>
      <w:r>
        <w:rPr>
          <w:spacing w:val="-5"/>
        </w:rPr>
        <w:t> </w:t>
      </w:r>
      <w:r>
        <w:rPr>
          <w:spacing w:val="-2"/>
        </w:rPr>
        <w:t>including:</w:t>
      </w:r>
    </w:p>
    <w:p>
      <w:pPr>
        <w:pStyle w:val="BodyText"/>
        <w:spacing w:before="7"/>
        <w:rPr>
          <w:sz w:val="26"/>
        </w:rPr>
      </w:pPr>
    </w:p>
    <w:p>
      <w:pPr>
        <w:pStyle w:val="ListParagraph"/>
        <w:numPr>
          <w:ilvl w:val="0"/>
          <w:numId w:val="35"/>
        </w:numPr>
        <w:tabs>
          <w:tab w:pos="957" w:val="left" w:leader="none"/>
        </w:tabs>
        <w:spacing w:line="240" w:lineRule="auto" w:before="1" w:after="0"/>
        <w:ind w:left="957" w:right="0" w:hanging="357"/>
        <w:jc w:val="left"/>
        <w:rPr>
          <w:sz w:val="22"/>
        </w:rPr>
      </w:pPr>
      <w:r>
        <w:rPr>
          <w:sz w:val="22"/>
        </w:rPr>
        <w:t>providing</w:t>
      </w:r>
      <w:r>
        <w:rPr>
          <w:spacing w:val="-6"/>
          <w:sz w:val="22"/>
        </w:rPr>
        <w:t> </w:t>
      </w:r>
      <w:r>
        <w:rPr>
          <w:sz w:val="22"/>
        </w:rPr>
        <w:t>advice</w:t>
      </w:r>
      <w:r>
        <w:rPr>
          <w:spacing w:val="-6"/>
          <w:sz w:val="22"/>
        </w:rPr>
        <w:t> </w:t>
      </w:r>
      <w:r>
        <w:rPr>
          <w:sz w:val="22"/>
        </w:rPr>
        <w:t>and</w:t>
      </w:r>
      <w:r>
        <w:rPr>
          <w:spacing w:val="-5"/>
          <w:sz w:val="22"/>
        </w:rPr>
        <w:t> </w:t>
      </w:r>
      <w:r>
        <w:rPr>
          <w:sz w:val="22"/>
        </w:rPr>
        <w:t>information</w:t>
      </w:r>
      <w:r>
        <w:rPr>
          <w:spacing w:val="-4"/>
          <w:sz w:val="22"/>
        </w:rPr>
        <w:t> </w:t>
      </w:r>
      <w:r>
        <w:rPr>
          <w:sz w:val="22"/>
        </w:rPr>
        <w:t>to</w:t>
      </w:r>
      <w:r>
        <w:rPr>
          <w:spacing w:val="-7"/>
          <w:sz w:val="22"/>
        </w:rPr>
        <w:t> </w:t>
      </w:r>
      <w:r>
        <w:rPr>
          <w:sz w:val="22"/>
        </w:rPr>
        <w:t>electricity</w:t>
      </w:r>
      <w:r>
        <w:rPr>
          <w:spacing w:val="-7"/>
          <w:sz w:val="22"/>
        </w:rPr>
        <w:t> </w:t>
      </w:r>
      <w:r>
        <w:rPr>
          <w:sz w:val="22"/>
        </w:rPr>
        <w:t>and</w:t>
      </w:r>
      <w:r>
        <w:rPr>
          <w:spacing w:val="-7"/>
          <w:sz w:val="22"/>
        </w:rPr>
        <w:t> </w:t>
      </w:r>
      <w:r>
        <w:rPr>
          <w:sz w:val="22"/>
        </w:rPr>
        <w:t>gas</w:t>
      </w:r>
      <w:r>
        <w:rPr>
          <w:spacing w:val="-8"/>
          <w:sz w:val="22"/>
        </w:rPr>
        <w:t> </w:t>
      </w:r>
      <w:r>
        <w:rPr>
          <w:sz w:val="22"/>
        </w:rPr>
        <w:t>network</w:t>
      </w:r>
      <w:r>
        <w:rPr>
          <w:spacing w:val="-2"/>
          <w:sz w:val="22"/>
        </w:rPr>
        <w:t> businesses;</w:t>
      </w:r>
    </w:p>
    <w:p>
      <w:pPr>
        <w:pStyle w:val="ListParagraph"/>
        <w:numPr>
          <w:ilvl w:val="0"/>
          <w:numId w:val="35"/>
        </w:numPr>
        <w:tabs>
          <w:tab w:pos="957" w:val="left" w:leader="none"/>
        </w:tabs>
        <w:spacing w:line="240" w:lineRule="auto" w:before="66" w:after="0"/>
        <w:ind w:left="957" w:right="0" w:hanging="357"/>
        <w:jc w:val="left"/>
        <w:rPr>
          <w:sz w:val="22"/>
        </w:rPr>
      </w:pPr>
      <w:r>
        <w:rPr>
          <w:sz w:val="22"/>
        </w:rPr>
        <w:t>issuing</w:t>
      </w:r>
      <w:r>
        <w:rPr>
          <w:spacing w:val="-5"/>
          <w:sz w:val="22"/>
        </w:rPr>
        <w:t> </w:t>
      </w:r>
      <w:r>
        <w:rPr>
          <w:sz w:val="22"/>
        </w:rPr>
        <w:t>notices</w:t>
      </w:r>
      <w:r>
        <w:rPr>
          <w:spacing w:val="-7"/>
          <w:sz w:val="22"/>
        </w:rPr>
        <w:t> </w:t>
      </w:r>
      <w:r>
        <w:rPr>
          <w:sz w:val="22"/>
        </w:rPr>
        <w:t>to</w:t>
      </w:r>
      <w:r>
        <w:rPr>
          <w:spacing w:val="-5"/>
          <w:sz w:val="22"/>
        </w:rPr>
        <w:t> </w:t>
      </w:r>
      <w:r>
        <w:rPr>
          <w:sz w:val="22"/>
        </w:rPr>
        <w:t>prevent</w:t>
      </w:r>
      <w:r>
        <w:rPr>
          <w:spacing w:val="-3"/>
          <w:sz w:val="22"/>
        </w:rPr>
        <w:t> </w:t>
      </w:r>
      <w:r>
        <w:rPr>
          <w:sz w:val="22"/>
        </w:rPr>
        <w:t>or</w:t>
      </w:r>
      <w:r>
        <w:rPr>
          <w:spacing w:val="-5"/>
          <w:sz w:val="22"/>
        </w:rPr>
        <w:t> </w:t>
      </w:r>
      <w:r>
        <w:rPr>
          <w:sz w:val="22"/>
        </w:rPr>
        <w:t>remedy</w:t>
      </w:r>
      <w:r>
        <w:rPr>
          <w:spacing w:val="-7"/>
          <w:sz w:val="22"/>
        </w:rPr>
        <w:t> </w:t>
      </w:r>
      <w:r>
        <w:rPr>
          <w:sz w:val="22"/>
        </w:rPr>
        <w:t>problems</w:t>
      </w:r>
      <w:r>
        <w:rPr>
          <w:spacing w:val="-7"/>
          <w:sz w:val="22"/>
        </w:rPr>
        <w:t> </w:t>
      </w:r>
      <w:r>
        <w:rPr>
          <w:sz w:val="22"/>
        </w:rPr>
        <w:t>that</w:t>
      </w:r>
      <w:r>
        <w:rPr>
          <w:spacing w:val="-5"/>
          <w:sz w:val="22"/>
        </w:rPr>
        <w:t> </w:t>
      </w:r>
      <w:r>
        <w:rPr>
          <w:sz w:val="22"/>
        </w:rPr>
        <w:t>may</w:t>
      </w:r>
      <w:r>
        <w:rPr>
          <w:spacing w:val="-7"/>
          <w:sz w:val="22"/>
        </w:rPr>
        <w:t> </w:t>
      </w:r>
      <w:r>
        <w:rPr>
          <w:sz w:val="22"/>
        </w:rPr>
        <w:t>detected;</w:t>
      </w:r>
      <w:r>
        <w:rPr>
          <w:spacing w:val="-5"/>
          <w:sz w:val="22"/>
        </w:rPr>
        <w:t> and</w:t>
      </w:r>
    </w:p>
    <w:p>
      <w:pPr>
        <w:pStyle w:val="ListParagraph"/>
        <w:numPr>
          <w:ilvl w:val="0"/>
          <w:numId w:val="35"/>
        </w:numPr>
        <w:tabs>
          <w:tab w:pos="957" w:val="left" w:leader="none"/>
        </w:tabs>
        <w:spacing w:line="240" w:lineRule="auto" w:before="66" w:after="0"/>
        <w:ind w:left="957" w:right="0" w:hanging="357"/>
        <w:jc w:val="left"/>
        <w:rPr>
          <w:sz w:val="22"/>
        </w:rPr>
      </w:pPr>
      <w:r>
        <w:rPr>
          <w:sz w:val="22"/>
        </w:rPr>
        <w:t>prosecuting</w:t>
      </w:r>
      <w:r>
        <w:rPr>
          <w:spacing w:val="-6"/>
          <w:sz w:val="22"/>
        </w:rPr>
        <w:t> </w:t>
      </w:r>
      <w:r>
        <w:rPr>
          <w:sz w:val="22"/>
        </w:rPr>
        <w:t>breaches</w:t>
      </w:r>
      <w:r>
        <w:rPr>
          <w:spacing w:val="-7"/>
          <w:sz w:val="22"/>
        </w:rPr>
        <w:t> </w:t>
      </w:r>
      <w:r>
        <w:rPr>
          <w:sz w:val="22"/>
        </w:rPr>
        <w:t>of</w:t>
      </w:r>
      <w:r>
        <w:rPr>
          <w:spacing w:val="-7"/>
          <w:sz w:val="22"/>
        </w:rPr>
        <w:t> </w:t>
      </w:r>
      <w:r>
        <w:rPr>
          <w:sz w:val="22"/>
        </w:rPr>
        <w:t>the</w:t>
      </w:r>
      <w:r>
        <w:rPr>
          <w:spacing w:val="-5"/>
          <w:sz w:val="22"/>
        </w:rPr>
        <w:t> </w:t>
      </w:r>
      <w:r>
        <w:rPr>
          <w:spacing w:val="-4"/>
          <w:sz w:val="22"/>
        </w:rPr>
        <w:t>law.</w:t>
      </w:r>
    </w:p>
    <w:p>
      <w:pPr>
        <w:pStyle w:val="BodyText"/>
        <w:rPr>
          <w:sz w:val="25"/>
        </w:rPr>
      </w:pPr>
    </w:p>
    <w:p>
      <w:pPr>
        <w:pStyle w:val="BodyText"/>
        <w:spacing w:line="288" w:lineRule="auto"/>
        <w:ind w:left="600" w:right="647"/>
      </w:pPr>
      <w:r>
        <w:rPr/>
        <w:t>The extent to which network businesses are complying with their safety obligations is monitored by ESV through inspections and audits undertaken by “enforcement officers” under</w:t>
      </w:r>
      <w:r>
        <w:rPr>
          <w:spacing w:val="-4"/>
        </w:rPr>
        <w:t> </w:t>
      </w:r>
      <w:r>
        <w:rPr/>
        <w:t>the</w:t>
      </w:r>
      <w:r>
        <w:rPr>
          <w:spacing w:val="-3"/>
        </w:rPr>
        <w:t> </w:t>
      </w:r>
      <w:r>
        <w:rPr>
          <w:i/>
        </w:rPr>
        <w:t>Electricity</w:t>
      </w:r>
      <w:r>
        <w:rPr>
          <w:i/>
          <w:spacing w:val="-2"/>
        </w:rPr>
        <w:t> </w:t>
      </w:r>
      <w:r>
        <w:rPr>
          <w:i/>
        </w:rPr>
        <w:t>Safety</w:t>
      </w:r>
      <w:r>
        <w:rPr>
          <w:i/>
          <w:spacing w:val="-2"/>
        </w:rPr>
        <w:t> </w:t>
      </w:r>
      <w:r>
        <w:rPr>
          <w:i/>
        </w:rPr>
        <w:t>Act</w:t>
      </w:r>
      <w:r>
        <w:rPr>
          <w:i/>
          <w:spacing w:val="-1"/>
        </w:rPr>
        <w:t> </w:t>
      </w:r>
      <w:r>
        <w:rPr>
          <w:i/>
        </w:rPr>
        <w:t>1998</w:t>
      </w:r>
      <w:r>
        <w:rPr>
          <w:i/>
          <w:spacing w:val="-3"/>
        </w:rPr>
        <w:t> </w:t>
      </w:r>
      <w:r>
        <w:rPr/>
        <w:t>and</w:t>
      </w:r>
      <w:r>
        <w:rPr>
          <w:spacing w:val="-5"/>
        </w:rPr>
        <w:t> </w:t>
      </w:r>
      <w:r>
        <w:rPr/>
        <w:t>“inspectors”</w:t>
      </w:r>
      <w:r>
        <w:rPr>
          <w:spacing w:val="-3"/>
        </w:rPr>
        <w:t> </w:t>
      </w:r>
      <w:r>
        <w:rPr/>
        <w:t>under</w:t>
      </w:r>
      <w:r>
        <w:rPr>
          <w:spacing w:val="-4"/>
        </w:rPr>
        <w:t> </w:t>
      </w:r>
      <w:r>
        <w:rPr/>
        <w:t>the</w:t>
      </w:r>
      <w:r>
        <w:rPr>
          <w:spacing w:val="-5"/>
        </w:rPr>
        <w:t> </w:t>
      </w:r>
      <w:r>
        <w:rPr>
          <w:i/>
        </w:rPr>
        <w:t>Gas</w:t>
      </w:r>
      <w:r>
        <w:rPr>
          <w:i/>
          <w:spacing w:val="-3"/>
        </w:rPr>
        <w:t> </w:t>
      </w:r>
      <w:r>
        <w:rPr>
          <w:i/>
        </w:rPr>
        <w:t>Safety</w:t>
      </w:r>
      <w:r>
        <w:rPr>
          <w:i/>
          <w:spacing w:val="-2"/>
        </w:rPr>
        <w:t> </w:t>
      </w:r>
      <w:r>
        <w:rPr>
          <w:i/>
        </w:rPr>
        <w:t>Act</w:t>
      </w:r>
      <w:r>
        <w:rPr>
          <w:i/>
          <w:spacing w:val="-4"/>
        </w:rPr>
        <w:t> </w:t>
      </w:r>
      <w:r>
        <w:rPr>
          <w:i/>
        </w:rPr>
        <w:t>1997</w:t>
      </w:r>
      <w:r>
        <w:rPr>
          <w:i/>
          <w:spacing w:val="-2"/>
        </w:rPr>
        <w:t> </w:t>
      </w:r>
      <w:r>
        <w:rPr/>
        <w:t>as</w:t>
      </w:r>
      <w:r>
        <w:rPr>
          <w:spacing w:val="-2"/>
        </w:rPr>
        <w:t> </w:t>
      </w:r>
      <w:r>
        <w:rPr/>
        <w:t>well as other audit staff. ESV</w:t>
      </w:r>
      <w:r>
        <w:rPr>
          <w:spacing w:val="-1"/>
        </w:rPr>
        <w:t> </w:t>
      </w:r>
      <w:r>
        <w:rPr/>
        <w:t>also receives information</w:t>
      </w:r>
      <w:r>
        <w:rPr>
          <w:spacing w:val="-1"/>
        </w:rPr>
        <w:t> </w:t>
      </w:r>
      <w:r>
        <w:rPr/>
        <w:t>on</w:t>
      </w:r>
      <w:r>
        <w:rPr>
          <w:spacing w:val="-1"/>
        </w:rPr>
        <w:t> </w:t>
      </w:r>
      <w:r>
        <w:rPr/>
        <w:t>the extent of compliance</w:t>
      </w:r>
      <w:r>
        <w:rPr>
          <w:spacing w:val="-1"/>
        </w:rPr>
        <w:t> </w:t>
      </w:r>
      <w:r>
        <w:rPr/>
        <w:t>from incident reports and regular reporting by network businesses.</w:t>
      </w:r>
    </w:p>
    <w:p>
      <w:pPr>
        <w:pStyle w:val="BodyText"/>
        <w:rPr>
          <w:sz w:val="21"/>
        </w:rPr>
      </w:pPr>
    </w:p>
    <w:p>
      <w:pPr>
        <w:pStyle w:val="BodyText"/>
        <w:spacing w:line="288" w:lineRule="auto"/>
        <w:ind w:left="600" w:right="586"/>
      </w:pPr>
      <w:r>
        <w:rPr/>
        <w:t>Enforcement</w:t>
      </w:r>
      <w:r>
        <w:rPr>
          <w:spacing w:val="-4"/>
        </w:rPr>
        <w:t> </w:t>
      </w:r>
      <w:r>
        <w:rPr/>
        <w:t>officers</w:t>
      </w:r>
      <w:r>
        <w:rPr>
          <w:spacing w:val="-4"/>
        </w:rPr>
        <w:t> </w:t>
      </w:r>
      <w:r>
        <w:rPr/>
        <w:t>and</w:t>
      </w:r>
      <w:r>
        <w:rPr>
          <w:spacing w:val="-5"/>
        </w:rPr>
        <w:t> </w:t>
      </w:r>
      <w:r>
        <w:rPr/>
        <w:t>inspectors</w:t>
      </w:r>
      <w:r>
        <w:rPr>
          <w:spacing w:val="-2"/>
        </w:rPr>
        <w:t> </w:t>
      </w:r>
      <w:r>
        <w:rPr/>
        <w:t>have</w:t>
      </w:r>
      <w:r>
        <w:rPr>
          <w:spacing w:val="-3"/>
        </w:rPr>
        <w:t> </w:t>
      </w:r>
      <w:r>
        <w:rPr/>
        <w:t>certain</w:t>
      </w:r>
      <w:r>
        <w:rPr>
          <w:spacing w:val="-5"/>
        </w:rPr>
        <w:t> </w:t>
      </w:r>
      <w:r>
        <w:rPr/>
        <w:t>powers</w:t>
      </w:r>
      <w:r>
        <w:rPr>
          <w:spacing w:val="-2"/>
        </w:rPr>
        <w:t> </w:t>
      </w:r>
      <w:r>
        <w:rPr/>
        <w:t>to</w:t>
      </w:r>
      <w:r>
        <w:rPr>
          <w:spacing w:val="-5"/>
        </w:rPr>
        <w:t> </w:t>
      </w:r>
      <w:r>
        <w:rPr/>
        <w:t>respond</w:t>
      </w:r>
      <w:r>
        <w:rPr>
          <w:spacing w:val="-1"/>
        </w:rPr>
        <w:t> </w:t>
      </w:r>
      <w:r>
        <w:rPr/>
        <w:t>to</w:t>
      </w:r>
      <w:r>
        <w:rPr>
          <w:spacing w:val="-3"/>
        </w:rPr>
        <w:t> </w:t>
      </w:r>
      <w:r>
        <w:rPr/>
        <w:t>noncompliance,</w:t>
      </w:r>
      <w:r>
        <w:rPr>
          <w:spacing w:val="-4"/>
        </w:rPr>
        <w:t> </w:t>
      </w:r>
      <w:r>
        <w:rPr/>
        <w:t>such as serving infringement notices. Some compliance decisions may be made at an organisational level rather than by an individual ESV staff member, such as commencing a prosecution, which requires Director approval, and activities that involve multiple ESV staff (ESV, 2014c).</w:t>
      </w:r>
    </w:p>
    <w:p>
      <w:pPr>
        <w:pStyle w:val="BodyText"/>
        <w:spacing w:before="9"/>
        <w:rPr>
          <w:sz w:val="20"/>
        </w:rPr>
      </w:pPr>
    </w:p>
    <w:p>
      <w:pPr>
        <w:pStyle w:val="BodyText"/>
        <w:spacing w:line="288" w:lineRule="auto"/>
        <w:ind w:left="600" w:right="713"/>
      </w:pPr>
      <w:r>
        <w:rPr/>
        <w:t>As outlined in its internal </w:t>
      </w:r>
      <w:r>
        <w:rPr>
          <w:i/>
        </w:rPr>
        <w:t>Compliance Strategy</w:t>
      </w:r>
      <w:r>
        <w:rPr/>
        <w:t>,</w:t>
      </w:r>
      <w:r>
        <w:rPr>
          <w:spacing w:val="-15"/>
        </w:rPr>
        <w:t> </w:t>
      </w:r>
      <w:r>
        <w:rPr/>
        <w:t>ESV uses a progressive “educate, encourage, enforce” compliance pyramid model where the majority of regulatory resources are allocated to lower level compliance and enforcement activities (ESV, 2014b).</w:t>
      </w:r>
      <w:r>
        <w:rPr>
          <w:spacing w:val="-26"/>
        </w:rPr>
        <w:t> </w:t>
      </w:r>
      <w:r>
        <w:rPr/>
        <w:t>When this proves</w:t>
      </w:r>
      <w:r>
        <w:rPr>
          <w:spacing w:val="-3"/>
        </w:rPr>
        <w:t> </w:t>
      </w:r>
      <w:r>
        <w:rPr/>
        <w:t>insufficient</w:t>
      </w:r>
      <w:r>
        <w:rPr>
          <w:spacing w:val="-4"/>
        </w:rPr>
        <w:t> </w:t>
      </w:r>
      <w:r>
        <w:rPr/>
        <w:t>to</w:t>
      </w:r>
      <w:r>
        <w:rPr>
          <w:spacing w:val="-5"/>
        </w:rPr>
        <w:t> </w:t>
      </w:r>
      <w:r>
        <w:rPr/>
        <w:t>obtain</w:t>
      </w:r>
      <w:r>
        <w:rPr>
          <w:spacing w:val="-3"/>
        </w:rPr>
        <w:t> </w:t>
      </w:r>
      <w:r>
        <w:rPr/>
        <w:t>compliance,</w:t>
      </w:r>
      <w:r>
        <w:rPr>
          <w:spacing w:val="-4"/>
        </w:rPr>
        <w:t> </w:t>
      </w:r>
      <w:r>
        <w:rPr/>
        <w:t>ESV</w:t>
      </w:r>
      <w:r>
        <w:rPr>
          <w:spacing w:val="-3"/>
        </w:rPr>
        <w:t> </w:t>
      </w:r>
      <w:r>
        <w:rPr/>
        <w:t>progressively</w:t>
      </w:r>
      <w:r>
        <w:rPr>
          <w:spacing w:val="-5"/>
        </w:rPr>
        <w:t> </w:t>
      </w:r>
      <w:r>
        <w:rPr/>
        <w:t>escalates</w:t>
      </w:r>
      <w:r>
        <w:rPr>
          <w:spacing w:val="-2"/>
        </w:rPr>
        <w:t> </w:t>
      </w:r>
      <w:r>
        <w:rPr/>
        <w:t>its</w:t>
      </w:r>
      <w:r>
        <w:rPr>
          <w:spacing w:val="-5"/>
        </w:rPr>
        <w:t> </w:t>
      </w:r>
      <w:r>
        <w:rPr/>
        <w:t>response</w:t>
      </w:r>
      <w:r>
        <w:rPr>
          <w:spacing w:val="-3"/>
        </w:rPr>
        <w:t> </w:t>
      </w:r>
      <w:r>
        <w:rPr/>
        <w:t>to</w:t>
      </w:r>
      <w:r>
        <w:rPr>
          <w:spacing w:val="-5"/>
        </w:rPr>
        <w:t> </w:t>
      </w:r>
      <w:r>
        <w:rPr/>
        <w:t>higher levels of enforcement.</w:t>
      </w:r>
    </w:p>
    <w:p>
      <w:pPr>
        <w:spacing w:after="0" w:line="288" w:lineRule="auto"/>
        <w:sectPr>
          <w:pgSz w:w="11910" w:h="16840"/>
          <w:pgMar w:header="887" w:footer="1228" w:top="1080" w:bottom="1500" w:left="840" w:right="820"/>
        </w:sectPr>
      </w:pPr>
    </w:p>
    <w:p>
      <w:pPr>
        <w:pStyle w:val="BodyText"/>
        <w:rPr>
          <w:sz w:val="20"/>
        </w:rPr>
      </w:pPr>
    </w:p>
    <w:p>
      <w:pPr>
        <w:pStyle w:val="BodyText"/>
        <w:rPr>
          <w:sz w:val="20"/>
        </w:rPr>
      </w:pPr>
    </w:p>
    <w:p>
      <w:pPr>
        <w:pStyle w:val="BodyText"/>
        <w:spacing w:before="5"/>
      </w:pPr>
    </w:p>
    <w:p>
      <w:pPr>
        <w:pStyle w:val="Heading7"/>
        <w:ind w:left="600"/>
      </w:pPr>
      <w:r>
        <w:rPr/>
        <w:t>Figure</w:t>
      </w:r>
      <w:r>
        <w:rPr>
          <w:spacing w:val="-6"/>
        </w:rPr>
        <w:t> </w:t>
      </w:r>
      <w:r>
        <w:rPr/>
        <w:t>12:</w:t>
      </w:r>
      <w:r>
        <w:rPr>
          <w:spacing w:val="-3"/>
        </w:rPr>
        <w:t> </w:t>
      </w:r>
      <w:r>
        <w:rPr/>
        <w:t>ESV</w:t>
      </w:r>
      <w:r>
        <w:rPr>
          <w:spacing w:val="-8"/>
        </w:rPr>
        <w:t> </w:t>
      </w:r>
      <w:r>
        <w:rPr/>
        <w:t>compliance</w:t>
      </w:r>
      <w:r>
        <w:rPr>
          <w:spacing w:val="-5"/>
        </w:rPr>
        <w:t> </w:t>
      </w:r>
      <w:r>
        <w:rPr/>
        <w:t>and</w:t>
      </w:r>
      <w:r>
        <w:rPr>
          <w:spacing w:val="-5"/>
        </w:rPr>
        <w:t> </w:t>
      </w:r>
      <w:r>
        <w:rPr/>
        <w:t>enforcement</w:t>
      </w:r>
      <w:r>
        <w:rPr>
          <w:spacing w:val="-4"/>
        </w:rPr>
        <w:t> </w:t>
      </w:r>
      <w:r>
        <w:rPr>
          <w:spacing w:val="-2"/>
        </w:rPr>
        <w:t>pyramid</w:t>
      </w:r>
    </w:p>
    <w:p>
      <w:pPr>
        <w:pStyle w:val="BodyText"/>
        <w:rPr>
          <w:b/>
          <w:sz w:val="20"/>
        </w:rPr>
      </w:pPr>
    </w:p>
    <w:p>
      <w:pPr>
        <w:pStyle w:val="BodyText"/>
        <w:rPr>
          <w:b/>
          <w:sz w:val="11"/>
        </w:rPr>
      </w:pPr>
      <w:r>
        <w:rPr/>
        <w:drawing>
          <wp:anchor distT="0" distB="0" distL="0" distR="0" allowOverlap="1" layoutInCell="1" locked="0" behindDoc="1" simplePos="0" relativeHeight="487618048">
            <wp:simplePos x="0" y="0"/>
            <wp:positionH relativeFrom="page">
              <wp:posOffset>2063895</wp:posOffset>
            </wp:positionH>
            <wp:positionV relativeFrom="paragraph">
              <wp:posOffset>95892</wp:posOffset>
            </wp:positionV>
            <wp:extent cx="4289787" cy="3822191"/>
            <wp:effectExtent l="0" t="0" r="0" b="0"/>
            <wp:wrapTopAndBottom/>
            <wp:docPr id="114" name="Image 114" descr="C:\Users\rb2f\AppData\Local\Microsoft\Windows\Temporary Internet Files\Content.Word\Fig12.ESVComplainceEnforcementPyramid.jpg"/>
            <wp:cNvGraphicFramePr>
              <a:graphicFrameLocks/>
            </wp:cNvGraphicFramePr>
            <a:graphic>
              <a:graphicData uri="http://schemas.openxmlformats.org/drawingml/2006/picture">
                <pic:pic>
                  <pic:nvPicPr>
                    <pic:cNvPr id="114" name="Image 114" descr="C:\Users\rb2f\AppData\Local\Microsoft\Windows\Temporary Internet Files\Content.Word\Fig12.ESVComplainceEnforcementPyramid.jpg"/>
                    <pic:cNvPicPr/>
                  </pic:nvPicPr>
                  <pic:blipFill>
                    <a:blip r:embed="rId72" cstate="print"/>
                    <a:stretch>
                      <a:fillRect/>
                    </a:stretch>
                  </pic:blipFill>
                  <pic:spPr>
                    <a:xfrm>
                      <a:off x="0" y="0"/>
                      <a:ext cx="4289787" cy="3822191"/>
                    </a:xfrm>
                    <a:prstGeom prst="rect">
                      <a:avLst/>
                    </a:prstGeom>
                  </pic:spPr>
                </pic:pic>
              </a:graphicData>
            </a:graphic>
          </wp:anchor>
        </w:drawing>
      </w:r>
    </w:p>
    <w:p>
      <w:pPr>
        <w:pStyle w:val="BodyText"/>
        <w:spacing w:before="9"/>
        <w:rPr>
          <w:b/>
          <w:sz w:val="25"/>
        </w:rPr>
      </w:pPr>
    </w:p>
    <w:p>
      <w:pPr>
        <w:spacing w:before="0"/>
        <w:ind w:left="600" w:right="0" w:firstLine="0"/>
        <w:jc w:val="left"/>
        <w:rPr>
          <w:sz w:val="18"/>
        </w:rPr>
      </w:pPr>
      <w:r>
        <w:rPr>
          <w:sz w:val="18"/>
        </w:rPr>
        <w:t>Source:</w:t>
      </w:r>
      <w:r>
        <w:rPr>
          <w:spacing w:val="-2"/>
          <w:sz w:val="18"/>
        </w:rPr>
        <w:t> </w:t>
      </w:r>
      <w:r>
        <w:rPr>
          <w:sz w:val="18"/>
        </w:rPr>
        <w:t>Adapted</w:t>
      </w:r>
      <w:r>
        <w:rPr>
          <w:spacing w:val="-4"/>
          <w:sz w:val="18"/>
        </w:rPr>
        <w:t> </w:t>
      </w:r>
      <w:r>
        <w:rPr>
          <w:sz w:val="18"/>
        </w:rPr>
        <w:t>from</w:t>
      </w:r>
      <w:r>
        <w:rPr>
          <w:spacing w:val="-3"/>
          <w:sz w:val="18"/>
        </w:rPr>
        <w:t> </w:t>
      </w:r>
      <w:r>
        <w:rPr>
          <w:sz w:val="18"/>
        </w:rPr>
        <w:t>ESV</w:t>
      </w:r>
      <w:r>
        <w:rPr>
          <w:spacing w:val="-2"/>
          <w:sz w:val="18"/>
        </w:rPr>
        <w:t> (2014).</w:t>
      </w:r>
    </w:p>
    <w:p>
      <w:pPr>
        <w:pStyle w:val="BodyText"/>
        <w:rPr>
          <w:sz w:val="20"/>
        </w:rPr>
      </w:pPr>
    </w:p>
    <w:p>
      <w:pPr>
        <w:pStyle w:val="BodyText"/>
        <w:spacing w:line="288" w:lineRule="auto" w:before="172"/>
        <w:ind w:left="600" w:right="614"/>
      </w:pPr>
      <w:r>
        <w:rPr/>
        <w:t>As part of the enforcement regime, electricity and gas network businesses can face</w:t>
      </w:r>
      <w:r>
        <w:rPr>
          <w:spacing w:val="40"/>
        </w:rPr>
        <w:t> </w:t>
      </w:r>
      <w:r>
        <w:rPr/>
        <w:t>penalties for breaches of the law. The legislation for network safety specifies a range of criminal penalties. Offences with higher maximum penalty amounts include the offences for noncompliance with directions, general safety duties and incident reporting obligations. In addition,</w:t>
      </w:r>
      <w:r>
        <w:rPr>
          <w:spacing w:val="-1"/>
        </w:rPr>
        <w:t> </w:t>
      </w:r>
      <w:r>
        <w:rPr/>
        <w:t>civil</w:t>
      </w:r>
      <w:r>
        <w:rPr>
          <w:spacing w:val="-3"/>
        </w:rPr>
        <w:t> </w:t>
      </w:r>
      <w:r>
        <w:rPr/>
        <w:t>penalties</w:t>
      </w:r>
      <w:r>
        <w:rPr>
          <w:spacing w:val="-3"/>
        </w:rPr>
        <w:t> </w:t>
      </w:r>
      <w:r>
        <w:rPr/>
        <w:t>were</w:t>
      </w:r>
      <w:r>
        <w:rPr>
          <w:spacing w:val="-3"/>
        </w:rPr>
        <w:t> </w:t>
      </w:r>
      <w:r>
        <w:rPr/>
        <w:t>introduced</w:t>
      </w:r>
      <w:r>
        <w:rPr>
          <w:spacing w:val="-3"/>
        </w:rPr>
        <w:t> </w:t>
      </w:r>
      <w:r>
        <w:rPr/>
        <w:t>into</w:t>
      </w:r>
      <w:r>
        <w:rPr>
          <w:spacing w:val="-4"/>
        </w:rPr>
        <w:t> </w:t>
      </w:r>
      <w:r>
        <w:rPr/>
        <w:t>the</w:t>
      </w:r>
      <w:r>
        <w:rPr>
          <w:spacing w:val="-1"/>
        </w:rPr>
        <w:t> </w:t>
      </w:r>
      <w:r>
        <w:rPr>
          <w:i/>
        </w:rPr>
        <w:t>Electricity</w:t>
      </w:r>
      <w:r>
        <w:rPr>
          <w:i/>
          <w:spacing w:val="-4"/>
        </w:rPr>
        <w:t> </w:t>
      </w:r>
      <w:r>
        <w:rPr>
          <w:i/>
        </w:rPr>
        <w:t>Safety</w:t>
      </w:r>
      <w:r>
        <w:rPr>
          <w:i/>
          <w:spacing w:val="-2"/>
        </w:rPr>
        <w:t> </w:t>
      </w:r>
      <w:r>
        <w:rPr>
          <w:i/>
        </w:rPr>
        <w:t>Act</w:t>
      </w:r>
      <w:r>
        <w:rPr>
          <w:i/>
          <w:spacing w:val="-3"/>
        </w:rPr>
        <w:t> </w:t>
      </w:r>
      <w:r>
        <w:rPr>
          <w:i/>
        </w:rPr>
        <w:t>1998</w:t>
      </w:r>
      <w:r>
        <w:rPr>
          <w:i/>
          <w:spacing w:val="-3"/>
        </w:rPr>
        <w:t> </w:t>
      </w:r>
      <w:r>
        <w:rPr/>
        <w:t>this</w:t>
      </w:r>
      <w:r>
        <w:rPr>
          <w:spacing w:val="-2"/>
        </w:rPr>
        <w:t> </w:t>
      </w:r>
      <w:r>
        <w:rPr/>
        <w:t>year</w:t>
      </w:r>
      <w:r>
        <w:rPr>
          <w:spacing w:val="-2"/>
        </w:rPr>
        <w:t> </w:t>
      </w:r>
      <w:r>
        <w:rPr/>
        <w:t>and</w:t>
      </w:r>
      <w:r>
        <w:rPr>
          <w:spacing w:val="-4"/>
        </w:rPr>
        <w:t> </w:t>
      </w:r>
      <w:r>
        <w:rPr/>
        <w:t>they apply to specific obligations on electricity distribution businesses relating to bushfire </w:t>
      </w:r>
      <w:r>
        <w:rPr>
          <w:spacing w:val="-2"/>
        </w:rPr>
        <w:t>mitigation.</w:t>
      </w:r>
    </w:p>
    <w:p>
      <w:pPr>
        <w:pStyle w:val="BodyText"/>
        <w:spacing w:before="9"/>
        <w:rPr>
          <w:sz w:val="20"/>
        </w:rPr>
      </w:pPr>
    </w:p>
    <w:p>
      <w:pPr>
        <w:pStyle w:val="BodyText"/>
        <w:spacing w:line="288" w:lineRule="auto"/>
        <w:ind w:left="600"/>
      </w:pPr>
      <w:r>
        <w:rPr/>
        <w:t>The</w:t>
      </w:r>
      <w:r>
        <w:rPr>
          <w:spacing w:val="-4"/>
        </w:rPr>
        <w:t> </w:t>
      </w:r>
      <w:r>
        <w:rPr/>
        <w:t>sources</w:t>
      </w:r>
      <w:r>
        <w:rPr>
          <w:spacing w:val="-1"/>
        </w:rPr>
        <w:t> </w:t>
      </w:r>
      <w:r>
        <w:rPr/>
        <w:t>of information</w:t>
      </w:r>
      <w:r>
        <w:rPr>
          <w:spacing w:val="-2"/>
        </w:rPr>
        <w:t> </w:t>
      </w:r>
      <w:r>
        <w:rPr/>
        <w:t>that ESV</w:t>
      </w:r>
      <w:r>
        <w:rPr>
          <w:spacing w:val="-2"/>
        </w:rPr>
        <w:t> </w:t>
      </w:r>
      <w:r>
        <w:rPr/>
        <w:t>utilises</w:t>
      </w:r>
      <w:r>
        <w:rPr>
          <w:spacing w:val="-2"/>
        </w:rPr>
        <w:t> </w:t>
      </w:r>
      <w:r>
        <w:rPr/>
        <w:t>to</w:t>
      </w:r>
      <w:r>
        <w:rPr>
          <w:spacing w:val="-4"/>
        </w:rPr>
        <w:t> </w:t>
      </w:r>
      <w:r>
        <w:rPr/>
        <w:t>identify</w:t>
      </w:r>
      <w:r>
        <w:rPr>
          <w:spacing w:val="-4"/>
        </w:rPr>
        <w:t> </w:t>
      </w:r>
      <w:r>
        <w:rPr/>
        <w:t>compliance</w:t>
      </w:r>
      <w:r>
        <w:rPr>
          <w:spacing w:val="-4"/>
        </w:rPr>
        <w:t> </w:t>
      </w:r>
      <w:r>
        <w:rPr/>
        <w:t>risks,</w:t>
      </w:r>
      <w:r>
        <w:rPr>
          <w:spacing w:val="-5"/>
        </w:rPr>
        <w:t> </w:t>
      </w:r>
      <w:r>
        <w:rPr/>
        <w:t>and</w:t>
      </w:r>
      <w:r>
        <w:rPr>
          <w:spacing w:val="-2"/>
        </w:rPr>
        <w:t> </w:t>
      </w:r>
      <w:r>
        <w:rPr/>
        <w:t>areas</w:t>
      </w:r>
      <w:r>
        <w:rPr>
          <w:spacing w:val="-4"/>
        </w:rPr>
        <w:t> </w:t>
      </w:r>
      <w:r>
        <w:rPr/>
        <w:t>where enforcement action may be required, include:</w:t>
      </w:r>
    </w:p>
    <w:p>
      <w:pPr>
        <w:pStyle w:val="BodyText"/>
        <w:spacing w:before="3"/>
      </w:pPr>
    </w:p>
    <w:p>
      <w:pPr>
        <w:pStyle w:val="ListParagraph"/>
        <w:numPr>
          <w:ilvl w:val="0"/>
          <w:numId w:val="35"/>
        </w:numPr>
        <w:tabs>
          <w:tab w:pos="957" w:val="left" w:leader="none"/>
        </w:tabs>
        <w:spacing w:line="240" w:lineRule="auto" w:before="1" w:after="0"/>
        <w:ind w:left="957" w:right="0" w:hanging="357"/>
        <w:jc w:val="left"/>
        <w:rPr>
          <w:sz w:val="22"/>
        </w:rPr>
      </w:pPr>
      <w:r>
        <w:rPr>
          <w:sz w:val="22"/>
        </w:rPr>
        <w:t>incident</w:t>
      </w:r>
      <w:r>
        <w:rPr>
          <w:spacing w:val="-7"/>
          <w:sz w:val="22"/>
        </w:rPr>
        <w:t> </w:t>
      </w:r>
      <w:r>
        <w:rPr>
          <w:sz w:val="22"/>
        </w:rPr>
        <w:t>reports</w:t>
      </w:r>
      <w:r>
        <w:rPr>
          <w:spacing w:val="-8"/>
          <w:sz w:val="22"/>
        </w:rPr>
        <w:t> </w:t>
      </w:r>
      <w:r>
        <w:rPr>
          <w:sz w:val="22"/>
        </w:rPr>
        <w:t>from</w:t>
      </w:r>
      <w:r>
        <w:rPr>
          <w:spacing w:val="-6"/>
          <w:sz w:val="22"/>
        </w:rPr>
        <w:t> </w:t>
      </w:r>
      <w:r>
        <w:rPr>
          <w:sz w:val="22"/>
        </w:rPr>
        <w:t>energy</w:t>
      </w:r>
      <w:r>
        <w:rPr>
          <w:spacing w:val="-7"/>
          <w:sz w:val="22"/>
        </w:rPr>
        <w:t> </w:t>
      </w:r>
      <w:r>
        <w:rPr>
          <w:sz w:val="22"/>
        </w:rPr>
        <w:t>businesses,</w:t>
      </w:r>
      <w:r>
        <w:rPr>
          <w:spacing w:val="-6"/>
          <w:sz w:val="22"/>
        </w:rPr>
        <w:t> </w:t>
      </w:r>
      <w:r>
        <w:rPr>
          <w:sz w:val="22"/>
        </w:rPr>
        <w:t>emergency</w:t>
      </w:r>
      <w:r>
        <w:rPr>
          <w:spacing w:val="-6"/>
          <w:sz w:val="22"/>
        </w:rPr>
        <w:t> </w:t>
      </w:r>
      <w:r>
        <w:rPr>
          <w:sz w:val="22"/>
        </w:rPr>
        <w:t>services</w:t>
      </w:r>
      <w:r>
        <w:rPr>
          <w:spacing w:val="-5"/>
          <w:sz w:val="22"/>
        </w:rPr>
        <w:t> </w:t>
      </w:r>
      <w:r>
        <w:rPr>
          <w:sz w:val="22"/>
        </w:rPr>
        <w:t>and</w:t>
      </w:r>
      <w:r>
        <w:rPr>
          <w:spacing w:val="-5"/>
          <w:sz w:val="22"/>
        </w:rPr>
        <w:t> </w:t>
      </w:r>
      <w:r>
        <w:rPr>
          <w:sz w:val="22"/>
        </w:rPr>
        <w:t>the</w:t>
      </w:r>
      <w:r>
        <w:rPr>
          <w:spacing w:val="-3"/>
          <w:sz w:val="22"/>
        </w:rPr>
        <w:t> </w:t>
      </w:r>
      <w:r>
        <w:rPr>
          <w:spacing w:val="-2"/>
          <w:sz w:val="22"/>
        </w:rPr>
        <w:t>community;</w:t>
      </w:r>
    </w:p>
    <w:p>
      <w:pPr>
        <w:pStyle w:val="ListParagraph"/>
        <w:numPr>
          <w:ilvl w:val="0"/>
          <w:numId w:val="35"/>
        </w:numPr>
        <w:tabs>
          <w:tab w:pos="958" w:val="left" w:leader="none"/>
        </w:tabs>
        <w:spacing w:line="288" w:lineRule="auto" w:before="66" w:after="0"/>
        <w:ind w:left="958" w:right="1533" w:hanging="358"/>
        <w:jc w:val="left"/>
        <w:rPr>
          <w:sz w:val="22"/>
        </w:rPr>
      </w:pPr>
      <w:r>
        <w:rPr>
          <w:sz w:val="22"/>
        </w:rPr>
        <w:t>regular</w:t>
      </w:r>
      <w:r>
        <w:rPr>
          <w:spacing w:val="-3"/>
          <w:sz w:val="22"/>
        </w:rPr>
        <w:t> </w:t>
      </w:r>
      <w:r>
        <w:rPr>
          <w:sz w:val="22"/>
        </w:rPr>
        <w:t>periodic</w:t>
      </w:r>
      <w:r>
        <w:rPr>
          <w:spacing w:val="-3"/>
          <w:sz w:val="22"/>
        </w:rPr>
        <w:t> </w:t>
      </w:r>
      <w:r>
        <w:rPr>
          <w:sz w:val="22"/>
        </w:rPr>
        <w:t>compliance</w:t>
      </w:r>
      <w:r>
        <w:rPr>
          <w:spacing w:val="-4"/>
          <w:sz w:val="22"/>
        </w:rPr>
        <w:t> </w:t>
      </w:r>
      <w:r>
        <w:rPr>
          <w:sz w:val="22"/>
        </w:rPr>
        <w:t>reporting</w:t>
      </w:r>
      <w:r>
        <w:rPr>
          <w:spacing w:val="-4"/>
          <w:sz w:val="22"/>
        </w:rPr>
        <w:t> </w:t>
      </w:r>
      <w:r>
        <w:rPr>
          <w:sz w:val="22"/>
        </w:rPr>
        <w:t>from</w:t>
      </w:r>
      <w:r>
        <w:rPr>
          <w:spacing w:val="-5"/>
          <w:sz w:val="22"/>
        </w:rPr>
        <w:t> </w:t>
      </w:r>
      <w:r>
        <w:rPr>
          <w:sz w:val="22"/>
        </w:rPr>
        <w:t>operators</w:t>
      </w:r>
      <w:r>
        <w:rPr>
          <w:spacing w:val="-5"/>
          <w:sz w:val="22"/>
        </w:rPr>
        <w:t> </w:t>
      </w:r>
      <w:r>
        <w:rPr>
          <w:sz w:val="22"/>
        </w:rPr>
        <w:t>of</w:t>
      </w:r>
      <w:r>
        <w:rPr>
          <w:spacing w:val="-2"/>
          <w:sz w:val="22"/>
        </w:rPr>
        <w:t> </w:t>
      </w:r>
      <w:r>
        <w:rPr>
          <w:sz w:val="22"/>
        </w:rPr>
        <w:t>electricity</w:t>
      </w:r>
      <w:r>
        <w:rPr>
          <w:spacing w:val="-6"/>
          <w:sz w:val="22"/>
        </w:rPr>
        <w:t> </w:t>
      </w:r>
      <w:r>
        <w:rPr>
          <w:sz w:val="22"/>
        </w:rPr>
        <w:t>networks,</w:t>
      </w:r>
      <w:r>
        <w:rPr>
          <w:spacing w:val="-4"/>
          <w:sz w:val="22"/>
        </w:rPr>
        <w:t> </w:t>
      </w:r>
      <w:r>
        <w:rPr>
          <w:sz w:val="22"/>
        </w:rPr>
        <w:t>gas networks and pipelines;</w:t>
      </w:r>
    </w:p>
    <w:p>
      <w:pPr>
        <w:pStyle w:val="ListParagraph"/>
        <w:numPr>
          <w:ilvl w:val="0"/>
          <w:numId w:val="35"/>
        </w:numPr>
        <w:tabs>
          <w:tab w:pos="957" w:val="left" w:leader="none"/>
        </w:tabs>
        <w:spacing w:line="240" w:lineRule="auto" w:before="15" w:after="0"/>
        <w:ind w:left="957" w:right="0" w:hanging="357"/>
        <w:jc w:val="left"/>
        <w:rPr>
          <w:sz w:val="22"/>
        </w:rPr>
      </w:pPr>
      <w:r>
        <w:rPr>
          <w:sz w:val="22"/>
        </w:rPr>
        <w:t>inspections</w:t>
      </w:r>
      <w:r>
        <w:rPr>
          <w:spacing w:val="-7"/>
          <w:sz w:val="22"/>
        </w:rPr>
        <w:t> </w:t>
      </w:r>
      <w:r>
        <w:rPr>
          <w:sz w:val="22"/>
        </w:rPr>
        <w:t>and</w:t>
      </w:r>
      <w:r>
        <w:rPr>
          <w:spacing w:val="-6"/>
          <w:sz w:val="22"/>
        </w:rPr>
        <w:t> </w:t>
      </w:r>
      <w:r>
        <w:rPr>
          <w:sz w:val="22"/>
        </w:rPr>
        <w:t>audits;</w:t>
      </w:r>
      <w:r>
        <w:rPr>
          <w:spacing w:val="-7"/>
          <w:sz w:val="22"/>
        </w:rPr>
        <w:t> </w:t>
      </w:r>
      <w:r>
        <w:rPr>
          <w:spacing w:val="-5"/>
          <w:sz w:val="22"/>
        </w:rPr>
        <w:t>and</w:t>
      </w:r>
    </w:p>
    <w:p>
      <w:pPr>
        <w:pStyle w:val="ListParagraph"/>
        <w:numPr>
          <w:ilvl w:val="0"/>
          <w:numId w:val="35"/>
        </w:numPr>
        <w:tabs>
          <w:tab w:pos="958" w:val="left" w:leader="none"/>
        </w:tabs>
        <w:spacing w:line="288" w:lineRule="auto" w:before="66" w:after="0"/>
        <w:ind w:left="958" w:right="725" w:hanging="358"/>
        <w:jc w:val="left"/>
        <w:rPr>
          <w:sz w:val="22"/>
        </w:rPr>
      </w:pPr>
      <w:r>
        <w:rPr>
          <w:sz w:val="22"/>
        </w:rPr>
        <w:t>investigations</w:t>
      </w:r>
      <w:r>
        <w:rPr>
          <w:spacing w:val="-3"/>
          <w:sz w:val="22"/>
        </w:rPr>
        <w:t> </w:t>
      </w:r>
      <w:r>
        <w:rPr>
          <w:sz w:val="22"/>
        </w:rPr>
        <w:t>of</w:t>
      </w:r>
      <w:r>
        <w:rPr>
          <w:spacing w:val="-1"/>
          <w:sz w:val="22"/>
        </w:rPr>
        <w:t> </w:t>
      </w:r>
      <w:r>
        <w:rPr>
          <w:sz w:val="22"/>
        </w:rPr>
        <w:t>serious</w:t>
      </w:r>
      <w:r>
        <w:rPr>
          <w:spacing w:val="-5"/>
          <w:sz w:val="22"/>
        </w:rPr>
        <w:t> </w:t>
      </w:r>
      <w:r>
        <w:rPr>
          <w:sz w:val="22"/>
        </w:rPr>
        <w:t>incidents</w:t>
      </w:r>
      <w:r>
        <w:rPr>
          <w:spacing w:val="-2"/>
          <w:sz w:val="22"/>
        </w:rPr>
        <w:t> </w:t>
      </w:r>
      <w:r>
        <w:rPr>
          <w:sz w:val="22"/>
        </w:rPr>
        <w:t>and</w:t>
      </w:r>
      <w:r>
        <w:rPr>
          <w:spacing w:val="-3"/>
          <w:sz w:val="22"/>
        </w:rPr>
        <w:t> </w:t>
      </w:r>
      <w:r>
        <w:rPr>
          <w:sz w:val="22"/>
        </w:rPr>
        <w:t>complaints</w:t>
      </w:r>
      <w:r>
        <w:rPr>
          <w:spacing w:val="-2"/>
          <w:sz w:val="22"/>
        </w:rPr>
        <w:t> </w:t>
      </w:r>
      <w:r>
        <w:rPr>
          <w:sz w:val="22"/>
        </w:rPr>
        <w:t>–</w:t>
      </w:r>
      <w:r>
        <w:rPr>
          <w:spacing w:val="-2"/>
          <w:sz w:val="22"/>
        </w:rPr>
        <w:t> </w:t>
      </w:r>
      <w:r>
        <w:rPr>
          <w:sz w:val="22"/>
        </w:rPr>
        <w:t>which</w:t>
      </w:r>
      <w:r>
        <w:rPr>
          <w:spacing w:val="-3"/>
          <w:sz w:val="22"/>
        </w:rPr>
        <w:t> </w:t>
      </w:r>
      <w:r>
        <w:rPr>
          <w:sz w:val="22"/>
        </w:rPr>
        <w:t>might</w:t>
      </w:r>
      <w:r>
        <w:rPr>
          <w:spacing w:val="-4"/>
          <w:sz w:val="22"/>
        </w:rPr>
        <w:t> </w:t>
      </w:r>
      <w:r>
        <w:rPr>
          <w:sz w:val="22"/>
        </w:rPr>
        <w:t>also</w:t>
      </w:r>
      <w:r>
        <w:rPr>
          <w:spacing w:val="-3"/>
          <w:sz w:val="22"/>
        </w:rPr>
        <w:t> </w:t>
      </w:r>
      <w:r>
        <w:rPr>
          <w:sz w:val="22"/>
        </w:rPr>
        <w:t>lead</w:t>
      </w:r>
      <w:r>
        <w:rPr>
          <w:spacing w:val="-5"/>
          <w:sz w:val="22"/>
        </w:rPr>
        <w:t> </w:t>
      </w:r>
      <w:r>
        <w:rPr>
          <w:sz w:val="22"/>
        </w:rPr>
        <w:t>to</w:t>
      </w:r>
      <w:r>
        <w:rPr>
          <w:spacing w:val="-3"/>
          <w:sz w:val="22"/>
        </w:rPr>
        <w:t> </w:t>
      </w:r>
      <w:r>
        <w:rPr>
          <w:sz w:val="22"/>
        </w:rPr>
        <w:t>ESV</w:t>
      </w:r>
      <w:r>
        <w:rPr>
          <w:spacing w:val="-5"/>
          <w:sz w:val="22"/>
        </w:rPr>
        <w:t> </w:t>
      </w:r>
      <w:r>
        <w:rPr>
          <w:sz w:val="22"/>
        </w:rPr>
        <w:t>taking enforcement actions (ESV, 2014b).</w:t>
      </w:r>
    </w:p>
    <w:p>
      <w:pPr>
        <w:spacing w:after="0" w:line="288" w:lineRule="auto"/>
        <w:jc w:val="left"/>
        <w:rPr>
          <w:sz w:val="22"/>
        </w:rPr>
        <w:sectPr>
          <w:pgSz w:w="11910" w:h="16840"/>
          <w:pgMar w:header="887" w:footer="1228" w:top="1080" w:bottom="1500" w:left="840" w:right="820"/>
        </w:sectPr>
      </w:pPr>
    </w:p>
    <w:p>
      <w:pPr>
        <w:pStyle w:val="BodyText"/>
        <w:rPr>
          <w:sz w:val="20"/>
        </w:rPr>
      </w:pPr>
    </w:p>
    <w:p>
      <w:pPr>
        <w:pStyle w:val="BodyText"/>
        <w:rPr>
          <w:sz w:val="20"/>
        </w:rPr>
      </w:pPr>
    </w:p>
    <w:p>
      <w:pPr>
        <w:pStyle w:val="BodyText"/>
        <w:spacing w:before="5"/>
      </w:pPr>
    </w:p>
    <w:p>
      <w:pPr>
        <w:pStyle w:val="BodyText"/>
        <w:spacing w:line="288" w:lineRule="auto"/>
        <w:ind w:left="600" w:right="910"/>
      </w:pPr>
      <w:r>
        <w:rPr/>
        <w:t>In</w:t>
      </w:r>
      <w:r>
        <w:rPr>
          <w:spacing w:val="-3"/>
        </w:rPr>
        <w:t> </w:t>
      </w:r>
      <w:r>
        <w:rPr/>
        <w:t>its</w:t>
      </w:r>
      <w:r>
        <w:rPr>
          <w:spacing w:val="-4"/>
        </w:rPr>
        <w:t> </w:t>
      </w:r>
      <w:r>
        <w:rPr>
          <w:i/>
        </w:rPr>
        <w:t>Compliance</w:t>
      </w:r>
      <w:r>
        <w:rPr>
          <w:i/>
          <w:spacing w:val="-3"/>
        </w:rPr>
        <w:t> </w:t>
      </w:r>
      <w:r>
        <w:rPr>
          <w:i/>
        </w:rPr>
        <w:t>Strategy</w:t>
      </w:r>
      <w:r>
        <w:rPr/>
        <w:t>,</w:t>
      </w:r>
      <w:r>
        <w:rPr>
          <w:spacing w:val="-2"/>
        </w:rPr>
        <w:t> </w:t>
      </w:r>
      <w:r>
        <w:rPr/>
        <w:t>ESV</w:t>
      </w:r>
      <w:r>
        <w:rPr>
          <w:spacing w:val="-3"/>
        </w:rPr>
        <w:t> </w:t>
      </w:r>
      <w:r>
        <w:rPr/>
        <w:t>states</w:t>
      </w:r>
      <w:r>
        <w:rPr>
          <w:spacing w:val="-5"/>
        </w:rPr>
        <w:t> </w:t>
      </w:r>
      <w:r>
        <w:rPr/>
        <w:t>that</w:t>
      </w:r>
      <w:r>
        <w:rPr>
          <w:spacing w:val="-4"/>
        </w:rPr>
        <w:t> </w:t>
      </w:r>
      <w:r>
        <w:rPr/>
        <w:t>the</w:t>
      </w:r>
      <w:r>
        <w:rPr>
          <w:spacing w:val="-5"/>
        </w:rPr>
        <w:t> </w:t>
      </w:r>
      <w:r>
        <w:rPr/>
        <w:t>risk</w:t>
      </w:r>
      <w:r>
        <w:rPr>
          <w:spacing w:val="-2"/>
        </w:rPr>
        <w:t> </w:t>
      </w:r>
      <w:r>
        <w:rPr/>
        <w:t>management</w:t>
      </w:r>
      <w:r>
        <w:rPr>
          <w:spacing w:val="-2"/>
        </w:rPr>
        <w:t> </w:t>
      </w:r>
      <w:r>
        <w:rPr/>
        <w:t>process</w:t>
      </w:r>
      <w:r>
        <w:rPr>
          <w:spacing w:val="-5"/>
        </w:rPr>
        <w:t> </w:t>
      </w:r>
      <w:r>
        <w:rPr/>
        <w:t>it</w:t>
      </w:r>
      <w:r>
        <w:rPr>
          <w:spacing w:val="-2"/>
        </w:rPr>
        <w:t> </w:t>
      </w:r>
      <w:r>
        <w:rPr/>
        <w:t>employs requires ESV to:</w:t>
      </w:r>
    </w:p>
    <w:p>
      <w:pPr>
        <w:pStyle w:val="BodyText"/>
        <w:spacing w:before="3"/>
      </w:pPr>
    </w:p>
    <w:p>
      <w:pPr>
        <w:pStyle w:val="ListParagraph"/>
        <w:numPr>
          <w:ilvl w:val="0"/>
          <w:numId w:val="35"/>
        </w:numPr>
        <w:tabs>
          <w:tab w:pos="957" w:val="left" w:leader="none"/>
        </w:tabs>
        <w:spacing w:line="240" w:lineRule="auto" w:before="1" w:after="0"/>
        <w:ind w:left="957" w:right="0" w:hanging="357"/>
        <w:jc w:val="left"/>
        <w:rPr>
          <w:sz w:val="22"/>
        </w:rPr>
      </w:pPr>
      <w:r>
        <w:rPr>
          <w:sz w:val="22"/>
        </w:rPr>
        <w:t>establish</w:t>
      </w:r>
      <w:r>
        <w:rPr>
          <w:spacing w:val="-5"/>
          <w:sz w:val="22"/>
        </w:rPr>
        <w:t> </w:t>
      </w:r>
      <w:r>
        <w:rPr>
          <w:sz w:val="22"/>
        </w:rPr>
        <w:t>the</w:t>
      </w:r>
      <w:r>
        <w:rPr>
          <w:spacing w:val="-7"/>
          <w:sz w:val="22"/>
        </w:rPr>
        <w:t> </w:t>
      </w:r>
      <w:r>
        <w:rPr>
          <w:sz w:val="22"/>
        </w:rPr>
        <w:t>context</w:t>
      </w:r>
      <w:r>
        <w:rPr>
          <w:spacing w:val="-3"/>
          <w:sz w:val="22"/>
        </w:rPr>
        <w:t> </w:t>
      </w:r>
      <w:r>
        <w:rPr>
          <w:sz w:val="22"/>
        </w:rPr>
        <w:t>of</w:t>
      </w:r>
      <w:r>
        <w:rPr>
          <w:spacing w:val="-4"/>
          <w:sz w:val="22"/>
        </w:rPr>
        <w:t> </w:t>
      </w:r>
      <w:r>
        <w:rPr>
          <w:sz w:val="22"/>
        </w:rPr>
        <w:t>the</w:t>
      </w:r>
      <w:r>
        <w:rPr>
          <w:spacing w:val="-4"/>
          <w:sz w:val="22"/>
        </w:rPr>
        <w:t> risk;</w:t>
      </w:r>
    </w:p>
    <w:p>
      <w:pPr>
        <w:pStyle w:val="ListParagraph"/>
        <w:numPr>
          <w:ilvl w:val="0"/>
          <w:numId w:val="35"/>
        </w:numPr>
        <w:tabs>
          <w:tab w:pos="957" w:val="left" w:leader="none"/>
        </w:tabs>
        <w:spacing w:line="240" w:lineRule="auto" w:before="66" w:after="0"/>
        <w:ind w:left="957" w:right="0" w:hanging="357"/>
        <w:jc w:val="left"/>
        <w:rPr>
          <w:sz w:val="22"/>
        </w:rPr>
      </w:pPr>
      <w:r>
        <w:rPr>
          <w:sz w:val="22"/>
        </w:rPr>
        <w:t>identify</w:t>
      </w:r>
      <w:r>
        <w:rPr>
          <w:spacing w:val="-5"/>
          <w:sz w:val="22"/>
        </w:rPr>
        <w:t> </w:t>
      </w:r>
      <w:r>
        <w:rPr>
          <w:sz w:val="22"/>
        </w:rPr>
        <w:t>and</w:t>
      </w:r>
      <w:r>
        <w:rPr>
          <w:spacing w:val="-4"/>
          <w:sz w:val="22"/>
        </w:rPr>
        <w:t> </w:t>
      </w:r>
      <w:r>
        <w:rPr>
          <w:sz w:val="22"/>
        </w:rPr>
        <w:t>assess</w:t>
      </w:r>
      <w:r>
        <w:rPr>
          <w:spacing w:val="-4"/>
          <w:sz w:val="22"/>
        </w:rPr>
        <w:t> </w:t>
      </w:r>
      <w:r>
        <w:rPr>
          <w:sz w:val="22"/>
        </w:rPr>
        <w:t>the</w:t>
      </w:r>
      <w:r>
        <w:rPr>
          <w:spacing w:val="-4"/>
          <w:sz w:val="22"/>
        </w:rPr>
        <w:t> </w:t>
      </w:r>
      <w:r>
        <w:rPr>
          <w:spacing w:val="-2"/>
          <w:sz w:val="22"/>
        </w:rPr>
        <w:t>risk;</w:t>
      </w:r>
    </w:p>
    <w:p>
      <w:pPr>
        <w:pStyle w:val="ListParagraph"/>
        <w:numPr>
          <w:ilvl w:val="0"/>
          <w:numId w:val="35"/>
        </w:numPr>
        <w:tabs>
          <w:tab w:pos="957" w:val="left" w:leader="none"/>
        </w:tabs>
        <w:spacing w:line="240" w:lineRule="auto" w:before="66" w:after="0"/>
        <w:ind w:left="957" w:right="0" w:hanging="357"/>
        <w:jc w:val="left"/>
        <w:rPr>
          <w:sz w:val="22"/>
        </w:rPr>
      </w:pPr>
      <w:r>
        <w:rPr>
          <w:sz w:val="22"/>
        </w:rPr>
        <w:t>analyse</w:t>
      </w:r>
      <w:r>
        <w:rPr>
          <w:spacing w:val="-8"/>
          <w:sz w:val="22"/>
        </w:rPr>
        <w:t> </w:t>
      </w:r>
      <w:r>
        <w:rPr>
          <w:sz w:val="22"/>
        </w:rPr>
        <w:t>effectiveness</w:t>
      </w:r>
      <w:r>
        <w:rPr>
          <w:spacing w:val="-6"/>
          <w:sz w:val="22"/>
        </w:rPr>
        <w:t> </w:t>
      </w:r>
      <w:r>
        <w:rPr>
          <w:sz w:val="22"/>
        </w:rPr>
        <w:t>of</w:t>
      </w:r>
      <w:r>
        <w:rPr>
          <w:spacing w:val="-7"/>
          <w:sz w:val="22"/>
        </w:rPr>
        <w:t> </w:t>
      </w:r>
      <w:r>
        <w:rPr>
          <w:sz w:val="22"/>
        </w:rPr>
        <w:t>existing</w:t>
      </w:r>
      <w:r>
        <w:rPr>
          <w:spacing w:val="-3"/>
          <w:sz w:val="22"/>
        </w:rPr>
        <w:t> </w:t>
      </w:r>
      <w:r>
        <w:rPr>
          <w:sz w:val="22"/>
        </w:rPr>
        <w:t>controls</w:t>
      </w:r>
      <w:r>
        <w:rPr>
          <w:spacing w:val="-8"/>
          <w:sz w:val="22"/>
        </w:rPr>
        <w:t> </w:t>
      </w:r>
      <w:r>
        <w:rPr>
          <w:sz w:val="22"/>
        </w:rPr>
        <w:t>(the</w:t>
      </w:r>
      <w:r>
        <w:rPr>
          <w:spacing w:val="-10"/>
          <w:sz w:val="22"/>
        </w:rPr>
        <w:t> </w:t>
      </w:r>
      <w:r>
        <w:rPr>
          <w:sz w:val="22"/>
        </w:rPr>
        <w:t>framework</w:t>
      </w:r>
      <w:r>
        <w:rPr>
          <w:spacing w:val="-5"/>
          <w:sz w:val="22"/>
        </w:rPr>
        <w:t> </w:t>
      </w:r>
      <w:r>
        <w:rPr>
          <w:sz w:val="22"/>
        </w:rPr>
        <w:t>and</w:t>
      </w:r>
      <w:r>
        <w:rPr>
          <w:spacing w:val="-6"/>
          <w:sz w:val="22"/>
        </w:rPr>
        <w:t> </w:t>
      </w:r>
      <w:r>
        <w:rPr>
          <w:sz w:val="22"/>
        </w:rPr>
        <w:t>ESV’s</w:t>
      </w:r>
      <w:r>
        <w:rPr>
          <w:spacing w:val="-5"/>
          <w:sz w:val="22"/>
        </w:rPr>
        <w:t> </w:t>
      </w:r>
      <w:r>
        <w:rPr>
          <w:sz w:val="22"/>
        </w:rPr>
        <w:t>approach);</w:t>
      </w:r>
      <w:r>
        <w:rPr>
          <w:spacing w:val="-2"/>
          <w:sz w:val="22"/>
        </w:rPr>
        <w:t> </w:t>
      </w:r>
      <w:r>
        <w:rPr>
          <w:spacing w:val="-5"/>
          <w:sz w:val="22"/>
        </w:rPr>
        <w:t>and</w:t>
      </w:r>
    </w:p>
    <w:p>
      <w:pPr>
        <w:pStyle w:val="ListParagraph"/>
        <w:numPr>
          <w:ilvl w:val="0"/>
          <w:numId w:val="35"/>
        </w:numPr>
        <w:tabs>
          <w:tab w:pos="957" w:val="left" w:leader="none"/>
        </w:tabs>
        <w:spacing w:line="240" w:lineRule="auto" w:before="64" w:after="0"/>
        <w:ind w:left="957" w:right="0" w:hanging="357"/>
        <w:jc w:val="left"/>
        <w:rPr>
          <w:sz w:val="22"/>
        </w:rPr>
      </w:pPr>
      <w:r>
        <w:rPr>
          <w:sz w:val="22"/>
        </w:rPr>
        <w:t>treat</w:t>
      </w:r>
      <w:r>
        <w:rPr>
          <w:spacing w:val="-8"/>
          <w:sz w:val="22"/>
        </w:rPr>
        <w:t> </w:t>
      </w:r>
      <w:r>
        <w:rPr>
          <w:sz w:val="22"/>
        </w:rPr>
        <w:t>unacceptable</w:t>
      </w:r>
      <w:r>
        <w:rPr>
          <w:spacing w:val="-10"/>
          <w:sz w:val="22"/>
        </w:rPr>
        <w:t> </w:t>
      </w:r>
      <w:r>
        <w:rPr>
          <w:spacing w:val="-2"/>
          <w:sz w:val="22"/>
        </w:rPr>
        <w:t>risks.</w:t>
      </w:r>
    </w:p>
    <w:p>
      <w:pPr>
        <w:pStyle w:val="BodyText"/>
        <w:spacing w:before="2"/>
        <w:rPr>
          <w:sz w:val="25"/>
        </w:rPr>
      </w:pPr>
    </w:p>
    <w:p>
      <w:pPr>
        <w:pStyle w:val="BodyText"/>
        <w:spacing w:line="288" w:lineRule="auto"/>
        <w:ind w:left="600" w:right="713"/>
      </w:pPr>
      <w:r>
        <w:rPr/>
        <w:t>ESV undertakes a</w:t>
      </w:r>
      <w:r>
        <w:rPr>
          <w:spacing w:val="-2"/>
        </w:rPr>
        <w:t> </w:t>
      </w:r>
      <w:r>
        <w:rPr/>
        <w:t>formal, externally</w:t>
      </w:r>
      <w:r>
        <w:rPr>
          <w:spacing w:val="-2"/>
        </w:rPr>
        <w:t> </w:t>
      </w:r>
      <w:r>
        <w:rPr/>
        <w:t>facilitated risk assessment biennially to analyse sector risks,</w:t>
      </w:r>
      <w:r>
        <w:rPr>
          <w:spacing w:val="-3"/>
        </w:rPr>
        <w:t> </w:t>
      </w:r>
      <w:r>
        <w:rPr/>
        <w:t>and</w:t>
      </w:r>
      <w:r>
        <w:rPr>
          <w:spacing w:val="-3"/>
        </w:rPr>
        <w:t> </w:t>
      </w:r>
      <w:r>
        <w:rPr/>
        <w:t>updates</w:t>
      </w:r>
      <w:r>
        <w:rPr>
          <w:spacing w:val="-4"/>
        </w:rPr>
        <w:t> </w:t>
      </w:r>
      <w:r>
        <w:rPr/>
        <w:t>this</w:t>
      </w:r>
      <w:r>
        <w:rPr>
          <w:spacing w:val="-4"/>
        </w:rPr>
        <w:t> </w:t>
      </w:r>
      <w:r>
        <w:rPr/>
        <w:t>register</w:t>
      </w:r>
      <w:r>
        <w:rPr>
          <w:spacing w:val="-2"/>
        </w:rPr>
        <w:t> </w:t>
      </w:r>
      <w:r>
        <w:rPr/>
        <w:t>with</w:t>
      </w:r>
      <w:r>
        <w:rPr>
          <w:spacing w:val="-3"/>
        </w:rPr>
        <w:t> </w:t>
      </w:r>
      <w:r>
        <w:rPr/>
        <w:t>new</w:t>
      </w:r>
      <w:r>
        <w:rPr>
          <w:spacing w:val="-5"/>
        </w:rPr>
        <w:t> </w:t>
      </w:r>
      <w:r>
        <w:rPr/>
        <w:t>and</w:t>
      </w:r>
      <w:r>
        <w:rPr>
          <w:spacing w:val="-3"/>
        </w:rPr>
        <w:t> </w:t>
      </w:r>
      <w:r>
        <w:rPr/>
        <w:t>emerging</w:t>
      </w:r>
      <w:r>
        <w:rPr>
          <w:spacing w:val="-3"/>
        </w:rPr>
        <w:t> </w:t>
      </w:r>
      <w:r>
        <w:rPr/>
        <w:t>risks.</w:t>
      </w:r>
      <w:r>
        <w:rPr>
          <w:spacing w:val="-5"/>
        </w:rPr>
        <w:t> </w:t>
      </w:r>
      <w:r>
        <w:rPr/>
        <w:t>The</w:t>
      </w:r>
      <w:r>
        <w:rPr>
          <w:spacing w:val="-4"/>
        </w:rPr>
        <w:t> </w:t>
      </w:r>
      <w:r>
        <w:rPr/>
        <w:t>risk</w:t>
      </w:r>
      <w:r>
        <w:rPr>
          <w:spacing w:val="-2"/>
        </w:rPr>
        <w:t> </w:t>
      </w:r>
      <w:r>
        <w:rPr/>
        <w:t>management</w:t>
      </w:r>
      <w:r>
        <w:rPr>
          <w:spacing w:val="-3"/>
        </w:rPr>
        <w:t> </w:t>
      </w:r>
      <w:r>
        <w:rPr/>
        <w:t>process is used by ESV to determine where compliance resources and efforts are directed, the volume of compliance resources, and the effort allocated to managing each risk and how severe ESV’s response to noncompliance needs to be (ESV, 2014b).</w:t>
      </w:r>
    </w:p>
    <w:p>
      <w:pPr>
        <w:pStyle w:val="BodyText"/>
        <w:rPr>
          <w:sz w:val="21"/>
        </w:rPr>
      </w:pPr>
    </w:p>
    <w:p>
      <w:pPr>
        <w:pStyle w:val="BodyText"/>
        <w:spacing w:line="288" w:lineRule="auto"/>
        <w:ind w:left="600" w:right="713"/>
      </w:pPr>
      <w:r>
        <w:rPr/>
        <w:t>ESV’s</w:t>
      </w:r>
      <w:r>
        <w:rPr>
          <w:spacing w:val="-2"/>
        </w:rPr>
        <w:t> </w:t>
      </w:r>
      <w:r>
        <w:rPr/>
        <w:t>compliance</w:t>
      </w:r>
      <w:r>
        <w:rPr>
          <w:spacing w:val="-3"/>
        </w:rPr>
        <w:t> </w:t>
      </w:r>
      <w:r>
        <w:rPr/>
        <w:t>and</w:t>
      </w:r>
      <w:r>
        <w:rPr>
          <w:spacing w:val="-3"/>
        </w:rPr>
        <w:t> </w:t>
      </w:r>
      <w:r>
        <w:rPr/>
        <w:t>enforcement</w:t>
      </w:r>
      <w:r>
        <w:rPr>
          <w:spacing w:val="-4"/>
        </w:rPr>
        <w:t> </w:t>
      </w:r>
      <w:r>
        <w:rPr/>
        <w:t>activities</w:t>
      </w:r>
      <w:r>
        <w:rPr>
          <w:spacing w:val="-3"/>
        </w:rPr>
        <w:t> </w:t>
      </w:r>
      <w:r>
        <w:rPr/>
        <w:t>are</w:t>
      </w:r>
      <w:r>
        <w:rPr>
          <w:spacing w:val="-5"/>
        </w:rPr>
        <w:t> </w:t>
      </w:r>
      <w:r>
        <w:rPr/>
        <w:t>published in</w:t>
      </w:r>
      <w:r>
        <w:rPr>
          <w:spacing w:val="-3"/>
        </w:rPr>
        <w:t> </w:t>
      </w:r>
      <w:r>
        <w:rPr/>
        <w:t>its</w:t>
      </w:r>
      <w:r>
        <w:rPr>
          <w:spacing w:val="-2"/>
        </w:rPr>
        <w:t> </w:t>
      </w:r>
      <w:r>
        <w:rPr/>
        <w:t>annual</w:t>
      </w:r>
      <w:r>
        <w:rPr>
          <w:spacing w:val="-5"/>
        </w:rPr>
        <w:t> </w:t>
      </w:r>
      <w:r>
        <w:rPr/>
        <w:t>reports</w:t>
      </w:r>
      <w:r>
        <w:rPr>
          <w:spacing w:val="-5"/>
        </w:rPr>
        <w:t> </w:t>
      </w:r>
      <w:r>
        <w:rPr/>
        <w:t>and</w:t>
      </w:r>
      <w:r>
        <w:rPr>
          <w:spacing w:val="-3"/>
        </w:rPr>
        <w:t> </w:t>
      </w:r>
      <w:r>
        <w:rPr/>
        <w:t>annual network safety performance reports for the electricity sector. The network safety performance reports for the gas sector have not been published in the past, but following industry consultation over the last three years, ESV intends to publish future reports including the 2016–17 report.</w:t>
      </w:r>
    </w:p>
    <w:p>
      <w:pPr>
        <w:pStyle w:val="BodyText"/>
        <w:spacing w:before="9"/>
        <w:rPr>
          <w:sz w:val="20"/>
        </w:rPr>
      </w:pPr>
    </w:p>
    <w:p>
      <w:pPr>
        <w:pStyle w:val="BodyText"/>
        <w:spacing w:line="288" w:lineRule="auto"/>
        <w:ind w:left="600" w:right="910"/>
      </w:pPr>
      <w:r>
        <w:rPr/>
        <w:t>In</w:t>
      </w:r>
      <w:r>
        <w:rPr>
          <w:spacing w:val="-3"/>
        </w:rPr>
        <w:t> </w:t>
      </w:r>
      <w:r>
        <w:rPr/>
        <w:t>addition,</w:t>
      </w:r>
      <w:r>
        <w:rPr>
          <w:spacing w:val="-6"/>
        </w:rPr>
        <w:t> </w:t>
      </w:r>
      <w:r>
        <w:rPr/>
        <w:t>following</w:t>
      </w:r>
      <w:r>
        <w:rPr>
          <w:spacing w:val="-1"/>
        </w:rPr>
        <w:t> </w:t>
      </w:r>
      <w:r>
        <w:rPr/>
        <w:t>the</w:t>
      </w:r>
      <w:r>
        <w:rPr>
          <w:spacing w:val="-8"/>
        </w:rPr>
        <w:t> </w:t>
      </w:r>
      <w:r>
        <w:rPr/>
        <w:t>Minister’s</w:t>
      </w:r>
      <w:r>
        <w:rPr>
          <w:spacing w:val="-3"/>
        </w:rPr>
        <w:t> </w:t>
      </w:r>
      <w:r>
        <w:rPr/>
        <w:t>statement</w:t>
      </w:r>
      <w:r>
        <w:rPr>
          <w:spacing w:val="-1"/>
        </w:rPr>
        <w:t> </w:t>
      </w:r>
      <w:r>
        <w:rPr/>
        <w:t>of</w:t>
      </w:r>
      <w:r>
        <w:rPr>
          <w:spacing w:val="-1"/>
        </w:rPr>
        <w:t> </w:t>
      </w:r>
      <w:r>
        <w:rPr/>
        <w:t>expectations,</w:t>
      </w:r>
      <w:r>
        <w:rPr>
          <w:spacing w:val="-1"/>
        </w:rPr>
        <w:t> </w:t>
      </w:r>
      <w:r>
        <w:rPr/>
        <w:t>ESV</w:t>
      </w:r>
      <w:r>
        <w:rPr>
          <w:spacing w:val="-3"/>
        </w:rPr>
        <w:t> </w:t>
      </w:r>
      <w:r>
        <w:rPr/>
        <w:t>has</w:t>
      </w:r>
      <w:r>
        <w:rPr>
          <w:spacing w:val="-2"/>
        </w:rPr>
        <w:t> </w:t>
      </w:r>
      <w:r>
        <w:rPr/>
        <w:t>published</w:t>
      </w:r>
      <w:r>
        <w:rPr>
          <w:spacing w:val="-2"/>
        </w:rPr>
        <w:t> </w:t>
      </w:r>
      <w:r>
        <w:rPr/>
        <w:t>(since 2016) quarterly reports on its compliance and enforcement activities.</w:t>
      </w:r>
    </w:p>
    <w:p>
      <w:pPr>
        <w:pStyle w:val="BodyText"/>
        <w:spacing w:before="9"/>
        <w:rPr>
          <w:sz w:val="18"/>
        </w:rPr>
      </w:pPr>
      <w:r>
        <w:rPr/>
        <mc:AlternateContent>
          <mc:Choice Requires="wps">
            <w:drawing>
              <wp:anchor distT="0" distB="0" distL="0" distR="0" allowOverlap="1" layoutInCell="1" locked="0" behindDoc="1" simplePos="0" relativeHeight="487618560">
                <wp:simplePos x="0" y="0"/>
                <wp:positionH relativeFrom="page">
                  <wp:posOffset>914704</wp:posOffset>
                </wp:positionH>
                <wp:positionV relativeFrom="paragraph">
                  <wp:posOffset>152388</wp:posOffset>
                </wp:positionV>
                <wp:extent cx="5732780" cy="4132579"/>
                <wp:effectExtent l="0" t="0" r="0" b="0"/>
                <wp:wrapTopAndBottom/>
                <wp:docPr id="115" name="Textbox 115"/>
                <wp:cNvGraphicFramePr>
                  <a:graphicFrameLocks/>
                </wp:cNvGraphicFramePr>
                <a:graphic>
                  <a:graphicData uri="http://schemas.microsoft.com/office/word/2010/wordprocessingShape">
                    <wps:wsp>
                      <wps:cNvPr id="115" name="Textbox 115"/>
                      <wps:cNvSpPr txBox="1"/>
                      <wps:spPr>
                        <a:xfrm>
                          <a:off x="0" y="0"/>
                          <a:ext cx="5732780" cy="4132579"/>
                        </a:xfrm>
                        <a:prstGeom prst="rect">
                          <a:avLst/>
                        </a:prstGeom>
                        <a:solidFill>
                          <a:srgbClr val="CDEBEB"/>
                        </a:solidFill>
                      </wps:spPr>
                      <wps:txbx>
                        <w:txbxContent>
                          <w:p>
                            <w:pPr>
                              <w:pStyle w:val="BodyText"/>
                              <w:spacing w:before="10"/>
                              <w:rPr>
                                <w:color w:val="000000"/>
                                <w:sz w:val="20"/>
                              </w:rPr>
                            </w:pPr>
                          </w:p>
                          <w:p>
                            <w:pPr>
                              <w:spacing w:line="288" w:lineRule="auto" w:before="0"/>
                              <w:ind w:left="112" w:right="205" w:firstLine="0"/>
                              <w:jc w:val="left"/>
                              <w:rPr>
                                <w:b/>
                                <w:color w:val="000000"/>
                                <w:sz w:val="22"/>
                              </w:rPr>
                            </w:pPr>
                            <w:r>
                              <w:rPr>
                                <w:b/>
                                <w:color w:val="000000"/>
                                <w:sz w:val="22"/>
                              </w:rPr>
                              <w:t>Box</w:t>
                            </w:r>
                            <w:r>
                              <w:rPr>
                                <w:b/>
                                <w:color w:val="000000"/>
                                <w:spacing w:val="-3"/>
                                <w:sz w:val="22"/>
                              </w:rPr>
                              <w:t> </w:t>
                            </w:r>
                            <w:r>
                              <w:rPr>
                                <w:b/>
                                <w:color w:val="000000"/>
                                <w:sz w:val="22"/>
                              </w:rPr>
                              <w:t>10:</w:t>
                            </w:r>
                            <w:r>
                              <w:rPr>
                                <w:b/>
                                <w:color w:val="000000"/>
                                <w:spacing w:val="-1"/>
                                <w:sz w:val="22"/>
                              </w:rPr>
                              <w:t> </w:t>
                            </w:r>
                            <w:r>
                              <w:rPr>
                                <w:b/>
                                <w:color w:val="000000"/>
                                <w:sz w:val="22"/>
                              </w:rPr>
                              <w:t>Reporting</w:t>
                            </w:r>
                            <w:r>
                              <w:rPr>
                                <w:b/>
                                <w:color w:val="000000"/>
                                <w:spacing w:val="-3"/>
                                <w:sz w:val="22"/>
                              </w:rPr>
                              <w:t> </w:t>
                            </w:r>
                            <w:r>
                              <w:rPr>
                                <w:b/>
                                <w:color w:val="000000"/>
                                <w:sz w:val="22"/>
                              </w:rPr>
                              <w:t>of</w:t>
                            </w:r>
                            <w:r>
                              <w:rPr>
                                <w:b/>
                                <w:color w:val="000000"/>
                                <w:spacing w:val="-1"/>
                                <w:sz w:val="22"/>
                              </w:rPr>
                              <w:t> </w:t>
                            </w:r>
                            <w:r>
                              <w:rPr>
                                <w:b/>
                                <w:color w:val="000000"/>
                                <w:sz w:val="22"/>
                              </w:rPr>
                              <w:t>compliance</w:t>
                            </w:r>
                            <w:r>
                              <w:rPr>
                                <w:b/>
                                <w:color w:val="000000"/>
                                <w:spacing w:val="-3"/>
                                <w:sz w:val="22"/>
                              </w:rPr>
                              <w:t> </w:t>
                            </w:r>
                            <w:r>
                              <w:rPr>
                                <w:b/>
                                <w:color w:val="000000"/>
                                <w:sz w:val="22"/>
                              </w:rPr>
                              <w:t>and</w:t>
                            </w:r>
                            <w:r>
                              <w:rPr>
                                <w:b/>
                                <w:color w:val="000000"/>
                                <w:spacing w:val="-5"/>
                                <w:sz w:val="22"/>
                              </w:rPr>
                              <w:t> </w:t>
                            </w:r>
                            <w:r>
                              <w:rPr>
                                <w:b/>
                                <w:color w:val="000000"/>
                                <w:sz w:val="22"/>
                              </w:rPr>
                              <w:t>enforcement</w:t>
                            </w:r>
                            <w:r>
                              <w:rPr>
                                <w:b/>
                                <w:color w:val="000000"/>
                                <w:spacing w:val="-4"/>
                                <w:sz w:val="22"/>
                              </w:rPr>
                              <w:t> </w:t>
                            </w:r>
                            <w:r>
                              <w:rPr>
                                <w:b/>
                                <w:color w:val="000000"/>
                                <w:sz w:val="22"/>
                              </w:rPr>
                              <w:t>activity</w:t>
                            </w:r>
                            <w:r>
                              <w:rPr>
                                <w:b/>
                                <w:color w:val="000000"/>
                                <w:spacing w:val="-7"/>
                                <w:sz w:val="22"/>
                              </w:rPr>
                              <w:t> </w:t>
                            </w:r>
                            <w:r>
                              <w:rPr>
                                <w:b/>
                                <w:color w:val="000000"/>
                                <w:sz w:val="22"/>
                              </w:rPr>
                              <w:t>by</w:t>
                            </w:r>
                            <w:r>
                              <w:rPr>
                                <w:b/>
                                <w:color w:val="000000"/>
                                <w:spacing w:val="-7"/>
                                <w:sz w:val="22"/>
                              </w:rPr>
                              <w:t> </w:t>
                            </w:r>
                            <w:r>
                              <w:rPr>
                                <w:b/>
                                <w:color w:val="000000"/>
                                <w:sz w:val="22"/>
                              </w:rPr>
                              <w:t>ESV</w:t>
                            </w:r>
                            <w:r>
                              <w:rPr>
                                <w:b/>
                                <w:color w:val="000000"/>
                                <w:spacing w:val="-3"/>
                                <w:sz w:val="22"/>
                              </w:rPr>
                              <w:t> </w:t>
                            </w:r>
                            <w:r>
                              <w:rPr>
                                <w:b/>
                                <w:color w:val="000000"/>
                                <w:sz w:val="22"/>
                              </w:rPr>
                              <w:t>in</w:t>
                            </w:r>
                            <w:r>
                              <w:rPr>
                                <w:b/>
                                <w:color w:val="000000"/>
                                <w:spacing w:val="-3"/>
                                <w:sz w:val="22"/>
                              </w:rPr>
                              <w:t> </w:t>
                            </w:r>
                            <w:r>
                              <w:rPr>
                                <w:b/>
                                <w:color w:val="000000"/>
                                <w:sz w:val="22"/>
                              </w:rPr>
                              <w:t>its</w:t>
                            </w:r>
                            <w:r>
                              <w:rPr>
                                <w:b/>
                                <w:color w:val="000000"/>
                                <w:spacing w:val="-1"/>
                                <w:sz w:val="22"/>
                              </w:rPr>
                              <w:t> </w:t>
                            </w:r>
                            <w:r>
                              <w:rPr>
                                <w:b/>
                                <w:color w:val="000000"/>
                                <w:sz w:val="22"/>
                              </w:rPr>
                              <w:t>annual </w:t>
                            </w:r>
                            <w:r>
                              <w:rPr>
                                <w:b/>
                                <w:color w:val="000000"/>
                                <w:spacing w:val="-2"/>
                                <w:sz w:val="22"/>
                              </w:rPr>
                              <w:t>report</w:t>
                            </w:r>
                          </w:p>
                          <w:p>
                            <w:pPr>
                              <w:pStyle w:val="BodyText"/>
                              <w:spacing w:before="10"/>
                              <w:rPr>
                                <w:b/>
                                <w:color w:val="000000"/>
                                <w:sz w:val="20"/>
                              </w:rPr>
                            </w:pPr>
                          </w:p>
                          <w:p>
                            <w:pPr>
                              <w:pStyle w:val="BodyText"/>
                              <w:spacing w:line="288" w:lineRule="auto"/>
                              <w:ind w:left="112" w:right="205"/>
                              <w:rPr>
                                <w:color w:val="000000"/>
                              </w:rPr>
                            </w:pPr>
                            <w:r>
                              <w:rPr>
                                <w:color w:val="000000"/>
                              </w:rPr>
                              <w:t>ESV’s</w:t>
                            </w:r>
                            <w:r>
                              <w:rPr>
                                <w:color w:val="000000"/>
                                <w:spacing w:val="-3"/>
                              </w:rPr>
                              <w:t> </w:t>
                            </w:r>
                            <w:r>
                              <w:rPr>
                                <w:i/>
                                <w:color w:val="000000"/>
                              </w:rPr>
                              <w:t>Annual</w:t>
                            </w:r>
                            <w:r>
                              <w:rPr>
                                <w:i/>
                                <w:color w:val="000000"/>
                                <w:spacing w:val="-4"/>
                              </w:rPr>
                              <w:t> </w:t>
                            </w:r>
                            <w:r>
                              <w:rPr>
                                <w:i/>
                                <w:color w:val="000000"/>
                              </w:rPr>
                              <w:t>Report</w:t>
                            </w:r>
                            <w:r>
                              <w:rPr>
                                <w:i/>
                                <w:color w:val="000000"/>
                                <w:spacing w:val="-2"/>
                              </w:rPr>
                              <w:t> </w:t>
                            </w:r>
                            <w:r>
                              <w:rPr>
                                <w:i/>
                                <w:color w:val="000000"/>
                              </w:rPr>
                              <w:t>2016–17</w:t>
                            </w:r>
                            <w:r>
                              <w:rPr>
                                <w:i/>
                                <w:color w:val="000000"/>
                                <w:spacing w:val="-4"/>
                              </w:rPr>
                              <w:t> </w:t>
                            </w:r>
                            <w:r>
                              <w:rPr>
                                <w:color w:val="000000"/>
                              </w:rPr>
                              <w:t>provides</w:t>
                            </w:r>
                            <w:r>
                              <w:rPr>
                                <w:color w:val="000000"/>
                                <w:spacing w:val="-3"/>
                              </w:rPr>
                              <w:t> </w:t>
                            </w:r>
                            <w:r>
                              <w:rPr>
                                <w:color w:val="000000"/>
                              </w:rPr>
                              <w:t>tables</w:t>
                            </w:r>
                            <w:r>
                              <w:rPr>
                                <w:color w:val="000000"/>
                                <w:spacing w:val="-6"/>
                              </w:rPr>
                              <w:t> </w:t>
                            </w:r>
                            <w:r>
                              <w:rPr>
                                <w:color w:val="000000"/>
                              </w:rPr>
                              <w:t>with</w:t>
                            </w:r>
                            <w:r>
                              <w:rPr>
                                <w:color w:val="000000"/>
                                <w:spacing w:val="-4"/>
                              </w:rPr>
                              <w:t> </w:t>
                            </w:r>
                            <w:r>
                              <w:rPr>
                                <w:color w:val="000000"/>
                              </w:rPr>
                              <w:t>compliance</w:t>
                            </w:r>
                            <w:r>
                              <w:rPr>
                                <w:color w:val="000000"/>
                                <w:spacing w:val="-4"/>
                              </w:rPr>
                              <w:t> </w:t>
                            </w:r>
                            <w:r>
                              <w:rPr>
                                <w:color w:val="000000"/>
                              </w:rPr>
                              <w:t>and</w:t>
                            </w:r>
                            <w:r>
                              <w:rPr>
                                <w:color w:val="000000"/>
                                <w:spacing w:val="-6"/>
                              </w:rPr>
                              <w:t> </w:t>
                            </w:r>
                            <w:r>
                              <w:rPr>
                                <w:color w:val="000000"/>
                              </w:rPr>
                              <w:t>enforcement</w:t>
                            </w:r>
                            <w:r>
                              <w:rPr>
                                <w:color w:val="000000"/>
                                <w:spacing w:val="-5"/>
                              </w:rPr>
                              <w:t> </w:t>
                            </w:r>
                            <w:r>
                              <w:rPr>
                                <w:color w:val="000000"/>
                              </w:rPr>
                              <w:t>data over four consecutive financial years. These include:</w:t>
                            </w:r>
                          </w:p>
                          <w:p>
                            <w:pPr>
                              <w:pStyle w:val="BodyText"/>
                              <w:spacing w:before="10"/>
                              <w:rPr>
                                <w:color w:val="000000"/>
                                <w:sz w:val="20"/>
                              </w:rPr>
                            </w:pPr>
                          </w:p>
                          <w:p>
                            <w:pPr>
                              <w:spacing w:before="0"/>
                              <w:ind w:left="112" w:right="0" w:firstLine="0"/>
                              <w:jc w:val="left"/>
                              <w:rPr>
                                <w:i/>
                                <w:color w:val="000000"/>
                                <w:sz w:val="22"/>
                              </w:rPr>
                            </w:pPr>
                            <w:r>
                              <w:rPr>
                                <w:i/>
                                <w:color w:val="000000"/>
                                <w:sz w:val="22"/>
                              </w:rPr>
                              <w:t>Electricity</w:t>
                            </w:r>
                            <w:r>
                              <w:rPr>
                                <w:i/>
                                <w:color w:val="000000"/>
                                <w:spacing w:val="-5"/>
                                <w:sz w:val="22"/>
                              </w:rPr>
                              <w:t> </w:t>
                            </w:r>
                            <w:r>
                              <w:rPr>
                                <w:i/>
                                <w:color w:val="000000"/>
                                <w:sz w:val="22"/>
                              </w:rPr>
                              <w:t>network</w:t>
                            </w:r>
                            <w:r>
                              <w:rPr>
                                <w:i/>
                                <w:color w:val="000000"/>
                                <w:spacing w:val="-6"/>
                                <w:sz w:val="22"/>
                              </w:rPr>
                              <w:t> </w:t>
                            </w:r>
                            <w:r>
                              <w:rPr>
                                <w:i/>
                                <w:color w:val="000000"/>
                                <w:sz w:val="22"/>
                              </w:rPr>
                              <w:t>plans</w:t>
                            </w:r>
                            <w:r>
                              <w:rPr>
                                <w:i/>
                                <w:color w:val="000000"/>
                                <w:spacing w:val="-6"/>
                                <w:sz w:val="22"/>
                              </w:rPr>
                              <w:t> </w:t>
                            </w:r>
                            <w:r>
                              <w:rPr>
                                <w:i/>
                                <w:color w:val="000000"/>
                                <w:sz w:val="22"/>
                              </w:rPr>
                              <w:t>and</w:t>
                            </w:r>
                            <w:r>
                              <w:rPr>
                                <w:i/>
                                <w:color w:val="000000"/>
                                <w:spacing w:val="-5"/>
                                <w:sz w:val="22"/>
                              </w:rPr>
                              <w:t> </w:t>
                            </w:r>
                            <w:r>
                              <w:rPr>
                                <w:i/>
                                <w:color w:val="000000"/>
                                <w:spacing w:val="-2"/>
                                <w:sz w:val="22"/>
                              </w:rPr>
                              <w:t>audits</w:t>
                            </w:r>
                          </w:p>
                          <w:p>
                            <w:pPr>
                              <w:pStyle w:val="BodyText"/>
                              <w:numPr>
                                <w:ilvl w:val="0"/>
                                <w:numId w:val="36"/>
                              </w:numPr>
                              <w:tabs>
                                <w:tab w:pos="356" w:val="left" w:leader="none"/>
                              </w:tabs>
                              <w:spacing w:line="240" w:lineRule="auto" w:before="127" w:after="0"/>
                              <w:ind w:left="356" w:right="0" w:hanging="215"/>
                              <w:jc w:val="left"/>
                              <w:rPr>
                                <w:color w:val="000000"/>
                              </w:rPr>
                            </w:pPr>
                            <w:r>
                              <w:rPr>
                                <w:color w:val="000000"/>
                              </w:rPr>
                              <w:t>Number</w:t>
                            </w:r>
                            <w:r>
                              <w:rPr>
                                <w:color w:val="000000"/>
                                <w:spacing w:val="-3"/>
                              </w:rPr>
                              <w:t> </w:t>
                            </w:r>
                            <w:r>
                              <w:rPr>
                                <w:color w:val="000000"/>
                              </w:rPr>
                              <w:t>and</w:t>
                            </w:r>
                            <w:r>
                              <w:rPr>
                                <w:color w:val="000000"/>
                                <w:spacing w:val="-6"/>
                              </w:rPr>
                              <w:t> </w:t>
                            </w:r>
                            <w:r>
                              <w:rPr>
                                <w:color w:val="000000"/>
                              </w:rPr>
                              <w:t>types</w:t>
                            </w:r>
                            <w:r>
                              <w:rPr>
                                <w:color w:val="000000"/>
                                <w:spacing w:val="-3"/>
                              </w:rPr>
                              <w:t> </w:t>
                            </w:r>
                            <w:r>
                              <w:rPr>
                                <w:color w:val="000000"/>
                              </w:rPr>
                              <w:t>of</w:t>
                            </w:r>
                            <w:r>
                              <w:rPr>
                                <w:color w:val="000000"/>
                                <w:spacing w:val="-2"/>
                              </w:rPr>
                              <w:t> </w:t>
                            </w:r>
                            <w:r>
                              <w:rPr>
                                <w:color w:val="000000"/>
                              </w:rPr>
                              <w:t>plans</w:t>
                            </w:r>
                            <w:r>
                              <w:rPr>
                                <w:color w:val="000000"/>
                                <w:spacing w:val="-1"/>
                              </w:rPr>
                              <w:t> </w:t>
                            </w:r>
                            <w:r>
                              <w:rPr>
                                <w:color w:val="000000"/>
                                <w:spacing w:val="-2"/>
                              </w:rPr>
                              <w:t>accepted/approved</w:t>
                            </w:r>
                          </w:p>
                          <w:p>
                            <w:pPr>
                              <w:pStyle w:val="BodyText"/>
                              <w:numPr>
                                <w:ilvl w:val="0"/>
                                <w:numId w:val="36"/>
                              </w:numPr>
                              <w:tabs>
                                <w:tab w:pos="356" w:val="left" w:leader="none"/>
                              </w:tabs>
                              <w:spacing w:line="240" w:lineRule="auto" w:before="66" w:after="0"/>
                              <w:ind w:left="356" w:right="0" w:hanging="215"/>
                              <w:jc w:val="left"/>
                              <w:rPr>
                                <w:color w:val="000000"/>
                              </w:rPr>
                            </w:pPr>
                            <w:r>
                              <w:rPr>
                                <w:color w:val="000000"/>
                              </w:rPr>
                              <w:t>Number</w:t>
                            </w:r>
                            <w:r>
                              <w:rPr>
                                <w:color w:val="000000"/>
                                <w:spacing w:val="-3"/>
                              </w:rPr>
                              <w:t> </w:t>
                            </w:r>
                            <w:r>
                              <w:rPr>
                                <w:color w:val="000000"/>
                              </w:rPr>
                              <w:t>and</w:t>
                            </w:r>
                            <w:r>
                              <w:rPr>
                                <w:color w:val="000000"/>
                                <w:spacing w:val="-5"/>
                              </w:rPr>
                              <w:t> </w:t>
                            </w:r>
                            <w:r>
                              <w:rPr>
                                <w:color w:val="000000"/>
                              </w:rPr>
                              <w:t>types</w:t>
                            </w:r>
                            <w:r>
                              <w:rPr>
                                <w:color w:val="000000"/>
                                <w:spacing w:val="-3"/>
                              </w:rPr>
                              <w:t> </w:t>
                            </w:r>
                            <w:r>
                              <w:rPr>
                                <w:color w:val="000000"/>
                              </w:rPr>
                              <w:t>of</w:t>
                            </w:r>
                            <w:r>
                              <w:rPr>
                                <w:color w:val="000000"/>
                                <w:spacing w:val="-1"/>
                              </w:rPr>
                              <w:t> </w:t>
                            </w:r>
                            <w:r>
                              <w:rPr>
                                <w:color w:val="000000"/>
                                <w:spacing w:val="-2"/>
                              </w:rPr>
                              <w:t>audits</w:t>
                            </w:r>
                          </w:p>
                          <w:p>
                            <w:pPr>
                              <w:pStyle w:val="BodyText"/>
                              <w:numPr>
                                <w:ilvl w:val="0"/>
                                <w:numId w:val="36"/>
                              </w:numPr>
                              <w:tabs>
                                <w:tab w:pos="356" w:val="left" w:leader="none"/>
                              </w:tabs>
                              <w:spacing w:line="240" w:lineRule="auto" w:before="66" w:after="0"/>
                              <w:ind w:left="356" w:right="0" w:hanging="215"/>
                              <w:jc w:val="left"/>
                              <w:rPr>
                                <w:color w:val="000000"/>
                              </w:rPr>
                            </w:pPr>
                            <w:r>
                              <w:rPr>
                                <w:color w:val="000000"/>
                              </w:rPr>
                              <w:t>Number</w:t>
                            </w:r>
                            <w:r>
                              <w:rPr>
                                <w:color w:val="000000"/>
                                <w:spacing w:val="-5"/>
                              </w:rPr>
                              <w:t> </w:t>
                            </w:r>
                            <w:r>
                              <w:rPr>
                                <w:color w:val="000000"/>
                              </w:rPr>
                              <w:t>of</w:t>
                            </w:r>
                            <w:r>
                              <w:rPr>
                                <w:color w:val="000000"/>
                                <w:spacing w:val="-6"/>
                              </w:rPr>
                              <w:t> </w:t>
                            </w:r>
                            <w:r>
                              <w:rPr>
                                <w:color w:val="000000"/>
                              </w:rPr>
                              <w:t>compliance</w:t>
                            </w:r>
                            <w:r>
                              <w:rPr>
                                <w:color w:val="000000"/>
                                <w:spacing w:val="-5"/>
                              </w:rPr>
                              <w:t> </w:t>
                            </w:r>
                            <w:r>
                              <w:rPr>
                                <w:color w:val="000000"/>
                              </w:rPr>
                              <w:t>actions</w:t>
                            </w:r>
                            <w:r>
                              <w:rPr>
                                <w:color w:val="000000"/>
                                <w:spacing w:val="-6"/>
                              </w:rPr>
                              <w:t> </w:t>
                            </w:r>
                            <w:r>
                              <w:rPr>
                                <w:color w:val="000000"/>
                              </w:rPr>
                              <w:t>from</w:t>
                            </w:r>
                            <w:r>
                              <w:rPr>
                                <w:color w:val="000000"/>
                                <w:spacing w:val="-4"/>
                              </w:rPr>
                              <w:t> </w:t>
                            </w:r>
                            <w:r>
                              <w:rPr>
                                <w:color w:val="000000"/>
                                <w:spacing w:val="-2"/>
                              </w:rPr>
                              <w:t>audits</w:t>
                            </w:r>
                          </w:p>
                          <w:p>
                            <w:pPr>
                              <w:pStyle w:val="BodyText"/>
                              <w:spacing w:before="11"/>
                              <w:rPr>
                                <w:color w:val="000000"/>
                                <w:sz w:val="24"/>
                              </w:rPr>
                            </w:pPr>
                          </w:p>
                          <w:p>
                            <w:pPr>
                              <w:pStyle w:val="BodyText"/>
                              <w:spacing w:line="288" w:lineRule="auto"/>
                              <w:ind w:left="141" w:right="205"/>
                              <w:rPr>
                                <w:color w:val="000000"/>
                              </w:rPr>
                            </w:pPr>
                            <w:r>
                              <w:rPr>
                                <w:color w:val="000000"/>
                              </w:rPr>
                              <w:t>The explanatory notes include the reporting on the status of Electricity Safety Management Schemes and Safety Cases of the network businesses; overall 2015–16 safety</w:t>
                            </w:r>
                            <w:r>
                              <w:rPr>
                                <w:color w:val="000000"/>
                                <w:spacing w:val="-4"/>
                              </w:rPr>
                              <w:t> </w:t>
                            </w:r>
                            <w:r>
                              <w:rPr>
                                <w:color w:val="000000"/>
                              </w:rPr>
                              <w:t>report</w:t>
                            </w:r>
                            <w:r>
                              <w:rPr>
                                <w:color w:val="000000"/>
                                <w:spacing w:val="-6"/>
                              </w:rPr>
                              <w:t> </w:t>
                            </w:r>
                            <w:r>
                              <w:rPr>
                                <w:color w:val="000000"/>
                              </w:rPr>
                              <w:t>findings;</w:t>
                            </w:r>
                            <w:r>
                              <w:rPr>
                                <w:color w:val="000000"/>
                                <w:spacing w:val="-4"/>
                              </w:rPr>
                              <w:t> </w:t>
                            </w:r>
                            <w:r>
                              <w:rPr>
                                <w:color w:val="000000"/>
                              </w:rPr>
                              <w:t>the</w:t>
                            </w:r>
                            <w:r>
                              <w:rPr>
                                <w:color w:val="000000"/>
                                <w:spacing w:val="-3"/>
                              </w:rPr>
                              <w:t> </w:t>
                            </w:r>
                            <w:r>
                              <w:rPr>
                                <w:color w:val="000000"/>
                              </w:rPr>
                              <w:t>results</w:t>
                            </w:r>
                            <w:r>
                              <w:rPr>
                                <w:color w:val="000000"/>
                                <w:spacing w:val="-2"/>
                              </w:rPr>
                              <w:t> </w:t>
                            </w:r>
                            <w:r>
                              <w:rPr>
                                <w:color w:val="000000"/>
                              </w:rPr>
                              <w:t>of</w:t>
                            </w:r>
                            <w:r>
                              <w:rPr>
                                <w:color w:val="000000"/>
                                <w:spacing w:val="-1"/>
                              </w:rPr>
                              <w:t> </w:t>
                            </w:r>
                            <w:r>
                              <w:rPr>
                                <w:color w:val="000000"/>
                              </w:rPr>
                              <w:t>Electric</w:t>
                            </w:r>
                            <w:r>
                              <w:rPr>
                                <w:color w:val="000000"/>
                                <w:spacing w:val="-2"/>
                              </w:rPr>
                              <w:t> </w:t>
                            </w:r>
                            <w:r>
                              <w:rPr>
                                <w:color w:val="000000"/>
                              </w:rPr>
                              <w:t>Line</w:t>
                            </w:r>
                            <w:r>
                              <w:rPr>
                                <w:color w:val="000000"/>
                                <w:spacing w:val="-5"/>
                              </w:rPr>
                              <w:t> </w:t>
                            </w:r>
                            <w:r>
                              <w:rPr>
                                <w:color w:val="000000"/>
                              </w:rPr>
                              <w:t>Clearance</w:t>
                            </w:r>
                            <w:r>
                              <w:rPr>
                                <w:color w:val="000000"/>
                                <w:spacing w:val="-3"/>
                              </w:rPr>
                              <w:t> </w:t>
                            </w:r>
                            <w:r>
                              <w:rPr>
                                <w:color w:val="000000"/>
                              </w:rPr>
                              <w:t>Plan</w:t>
                            </w:r>
                            <w:r>
                              <w:rPr>
                                <w:color w:val="000000"/>
                                <w:spacing w:val="-3"/>
                              </w:rPr>
                              <w:t> </w:t>
                            </w:r>
                            <w:r>
                              <w:rPr>
                                <w:color w:val="000000"/>
                              </w:rPr>
                              <w:t>audits;</w:t>
                            </w:r>
                            <w:r>
                              <w:rPr>
                                <w:color w:val="000000"/>
                                <w:spacing w:val="-1"/>
                              </w:rPr>
                              <w:t> </w:t>
                            </w:r>
                            <w:r>
                              <w:rPr>
                                <w:color w:val="000000"/>
                              </w:rPr>
                              <w:t>and</w:t>
                            </w:r>
                            <w:r>
                              <w:rPr>
                                <w:color w:val="000000"/>
                                <w:spacing w:val="-3"/>
                              </w:rPr>
                              <w:t> </w:t>
                            </w:r>
                            <w:r>
                              <w:rPr>
                                <w:color w:val="000000"/>
                              </w:rPr>
                              <w:t>the</w:t>
                            </w:r>
                            <w:r>
                              <w:rPr>
                                <w:color w:val="000000"/>
                                <w:spacing w:val="-5"/>
                              </w:rPr>
                              <w:t> </w:t>
                            </w:r>
                            <w:r>
                              <w:rPr>
                                <w:color w:val="000000"/>
                              </w:rPr>
                              <w:t>number of Electric Line Clearance Plans approved and findings.</w:t>
                            </w:r>
                          </w:p>
                          <w:p>
                            <w:pPr>
                              <w:pStyle w:val="BodyText"/>
                              <w:spacing w:before="11"/>
                              <w:rPr>
                                <w:color w:val="000000"/>
                                <w:sz w:val="20"/>
                              </w:rPr>
                            </w:pPr>
                          </w:p>
                          <w:p>
                            <w:pPr>
                              <w:spacing w:before="0"/>
                              <w:ind w:left="112" w:right="0" w:firstLine="0"/>
                              <w:jc w:val="left"/>
                              <w:rPr>
                                <w:i/>
                                <w:color w:val="000000"/>
                                <w:sz w:val="22"/>
                              </w:rPr>
                            </w:pPr>
                            <w:r>
                              <w:rPr>
                                <w:i/>
                                <w:color w:val="000000"/>
                                <w:sz w:val="22"/>
                              </w:rPr>
                              <w:t>Gas</w:t>
                            </w:r>
                            <w:r>
                              <w:rPr>
                                <w:i/>
                                <w:color w:val="000000"/>
                                <w:spacing w:val="-4"/>
                                <w:sz w:val="22"/>
                              </w:rPr>
                              <w:t> </w:t>
                            </w:r>
                            <w:r>
                              <w:rPr>
                                <w:i/>
                                <w:color w:val="000000"/>
                                <w:sz w:val="22"/>
                              </w:rPr>
                              <w:t>network</w:t>
                            </w:r>
                            <w:r>
                              <w:rPr>
                                <w:i/>
                                <w:color w:val="000000"/>
                                <w:spacing w:val="-3"/>
                                <w:sz w:val="22"/>
                              </w:rPr>
                              <w:t> </w:t>
                            </w:r>
                            <w:r>
                              <w:rPr>
                                <w:i/>
                                <w:color w:val="000000"/>
                                <w:sz w:val="22"/>
                              </w:rPr>
                              <w:t>plans</w:t>
                            </w:r>
                            <w:r>
                              <w:rPr>
                                <w:i/>
                                <w:color w:val="000000"/>
                                <w:spacing w:val="-3"/>
                                <w:sz w:val="22"/>
                              </w:rPr>
                              <w:t> </w:t>
                            </w:r>
                            <w:r>
                              <w:rPr>
                                <w:i/>
                                <w:color w:val="000000"/>
                                <w:sz w:val="22"/>
                              </w:rPr>
                              <w:t>and</w:t>
                            </w:r>
                            <w:r>
                              <w:rPr>
                                <w:i/>
                                <w:color w:val="000000"/>
                                <w:spacing w:val="-4"/>
                                <w:sz w:val="22"/>
                              </w:rPr>
                              <w:t> </w:t>
                            </w:r>
                            <w:r>
                              <w:rPr>
                                <w:i/>
                                <w:color w:val="000000"/>
                                <w:spacing w:val="-2"/>
                                <w:sz w:val="22"/>
                              </w:rPr>
                              <w:t>audits</w:t>
                            </w:r>
                          </w:p>
                          <w:p>
                            <w:pPr>
                              <w:pStyle w:val="BodyText"/>
                              <w:numPr>
                                <w:ilvl w:val="0"/>
                                <w:numId w:val="36"/>
                              </w:numPr>
                              <w:tabs>
                                <w:tab w:pos="356" w:val="left" w:leader="none"/>
                              </w:tabs>
                              <w:spacing w:line="240" w:lineRule="auto" w:before="128" w:after="0"/>
                              <w:ind w:left="356" w:right="0" w:hanging="215"/>
                              <w:jc w:val="left"/>
                              <w:rPr>
                                <w:color w:val="000000"/>
                              </w:rPr>
                            </w:pPr>
                            <w:r>
                              <w:rPr>
                                <w:color w:val="000000"/>
                              </w:rPr>
                              <w:t>Number</w:t>
                            </w:r>
                            <w:r>
                              <w:rPr>
                                <w:color w:val="000000"/>
                                <w:spacing w:val="-3"/>
                              </w:rPr>
                              <w:t> </w:t>
                            </w:r>
                            <w:r>
                              <w:rPr>
                                <w:color w:val="000000"/>
                              </w:rPr>
                              <w:t>of</w:t>
                            </w:r>
                            <w:r>
                              <w:rPr>
                                <w:color w:val="000000"/>
                                <w:spacing w:val="-4"/>
                              </w:rPr>
                              <w:t> </w:t>
                            </w:r>
                            <w:r>
                              <w:rPr>
                                <w:color w:val="000000"/>
                              </w:rPr>
                              <w:t>consents</w:t>
                            </w:r>
                            <w:r>
                              <w:rPr>
                                <w:color w:val="000000"/>
                                <w:spacing w:val="-5"/>
                              </w:rPr>
                              <w:t> </w:t>
                            </w:r>
                            <w:r>
                              <w:rPr>
                                <w:color w:val="000000"/>
                              </w:rPr>
                              <w:t>to</w:t>
                            </w:r>
                            <w:r>
                              <w:rPr>
                                <w:color w:val="000000"/>
                                <w:spacing w:val="-3"/>
                              </w:rPr>
                              <w:t> </w:t>
                            </w:r>
                            <w:r>
                              <w:rPr>
                                <w:color w:val="000000"/>
                                <w:spacing w:val="-2"/>
                              </w:rPr>
                              <w:t>operate</w:t>
                            </w:r>
                          </w:p>
                          <w:p>
                            <w:pPr>
                              <w:pStyle w:val="BodyText"/>
                              <w:numPr>
                                <w:ilvl w:val="0"/>
                                <w:numId w:val="36"/>
                              </w:numPr>
                              <w:tabs>
                                <w:tab w:pos="356" w:val="left" w:leader="none"/>
                              </w:tabs>
                              <w:spacing w:line="240" w:lineRule="auto" w:before="67" w:after="0"/>
                              <w:ind w:left="356" w:right="0" w:hanging="215"/>
                              <w:jc w:val="left"/>
                              <w:rPr>
                                <w:color w:val="000000"/>
                              </w:rPr>
                            </w:pPr>
                            <w:r>
                              <w:rPr>
                                <w:color w:val="000000"/>
                              </w:rPr>
                              <w:t>Number</w:t>
                            </w:r>
                            <w:r>
                              <w:rPr>
                                <w:color w:val="000000"/>
                                <w:spacing w:val="-3"/>
                              </w:rPr>
                              <w:t> </w:t>
                            </w:r>
                            <w:r>
                              <w:rPr>
                                <w:color w:val="000000"/>
                              </w:rPr>
                              <w:t>and</w:t>
                            </w:r>
                            <w:r>
                              <w:rPr>
                                <w:color w:val="000000"/>
                                <w:spacing w:val="-6"/>
                              </w:rPr>
                              <w:t> </w:t>
                            </w:r>
                            <w:r>
                              <w:rPr>
                                <w:color w:val="000000"/>
                              </w:rPr>
                              <w:t>type</w:t>
                            </w:r>
                            <w:r>
                              <w:rPr>
                                <w:color w:val="000000"/>
                                <w:spacing w:val="-3"/>
                              </w:rPr>
                              <w:t> </w:t>
                            </w:r>
                            <w:r>
                              <w:rPr>
                                <w:color w:val="000000"/>
                              </w:rPr>
                              <w:t>of</w:t>
                            </w:r>
                            <w:r>
                              <w:rPr>
                                <w:color w:val="000000"/>
                                <w:spacing w:val="-2"/>
                              </w:rPr>
                              <w:t> </w:t>
                            </w:r>
                            <w:r>
                              <w:rPr>
                                <w:color w:val="000000"/>
                              </w:rPr>
                              <w:t>safety</w:t>
                            </w:r>
                            <w:r>
                              <w:rPr>
                                <w:color w:val="000000"/>
                                <w:spacing w:val="-6"/>
                              </w:rPr>
                              <w:t> </w:t>
                            </w:r>
                            <w:r>
                              <w:rPr>
                                <w:color w:val="000000"/>
                              </w:rPr>
                              <w:t>plans</w:t>
                            </w:r>
                            <w:r>
                              <w:rPr>
                                <w:color w:val="000000"/>
                                <w:spacing w:val="-2"/>
                              </w:rPr>
                              <w:t> accepted</w:t>
                            </w:r>
                          </w:p>
                          <w:p>
                            <w:pPr>
                              <w:pStyle w:val="BodyText"/>
                              <w:numPr>
                                <w:ilvl w:val="0"/>
                                <w:numId w:val="36"/>
                              </w:numPr>
                              <w:tabs>
                                <w:tab w:pos="356" w:val="left" w:leader="none"/>
                              </w:tabs>
                              <w:spacing w:line="240" w:lineRule="auto" w:before="63" w:after="0"/>
                              <w:ind w:left="356" w:right="0" w:hanging="215"/>
                              <w:jc w:val="left"/>
                              <w:rPr>
                                <w:color w:val="000000"/>
                              </w:rPr>
                            </w:pPr>
                            <w:r>
                              <w:rPr>
                                <w:color w:val="000000"/>
                              </w:rPr>
                              <w:t>Number</w:t>
                            </w:r>
                            <w:r>
                              <w:rPr>
                                <w:color w:val="000000"/>
                                <w:spacing w:val="-2"/>
                              </w:rPr>
                              <w:t> </w:t>
                            </w:r>
                            <w:r>
                              <w:rPr>
                                <w:color w:val="000000"/>
                              </w:rPr>
                              <w:t>of</w:t>
                            </w:r>
                            <w:r>
                              <w:rPr>
                                <w:color w:val="000000"/>
                                <w:spacing w:val="-3"/>
                              </w:rPr>
                              <w:t> </w:t>
                            </w:r>
                            <w:r>
                              <w:rPr>
                                <w:color w:val="000000"/>
                                <w:spacing w:val="-2"/>
                              </w:rPr>
                              <w:t>audits</w:t>
                            </w:r>
                          </w:p>
                        </w:txbxContent>
                      </wps:txbx>
                      <wps:bodyPr wrap="square" lIns="0" tIns="0" rIns="0" bIns="0" rtlCol="0">
                        <a:noAutofit/>
                      </wps:bodyPr>
                    </wps:wsp>
                  </a:graphicData>
                </a:graphic>
              </wp:anchor>
            </w:drawing>
          </mc:Choice>
          <mc:Fallback>
            <w:pict>
              <v:shape style="position:absolute;margin-left:72.024002pt;margin-top:11.999121pt;width:451.4pt;height:325.4pt;mso-position-horizontal-relative:page;mso-position-vertical-relative:paragraph;z-index:-15697920;mso-wrap-distance-left:0;mso-wrap-distance-right:0" type="#_x0000_t202" id="docshape99" filled="true" fillcolor="#cdebeb" stroked="false">
                <v:textbox inset="0,0,0,0">
                  <w:txbxContent>
                    <w:p>
                      <w:pPr>
                        <w:pStyle w:val="BodyText"/>
                        <w:spacing w:before="10"/>
                        <w:rPr>
                          <w:color w:val="000000"/>
                          <w:sz w:val="20"/>
                        </w:rPr>
                      </w:pPr>
                    </w:p>
                    <w:p>
                      <w:pPr>
                        <w:spacing w:line="288" w:lineRule="auto" w:before="0"/>
                        <w:ind w:left="112" w:right="205" w:firstLine="0"/>
                        <w:jc w:val="left"/>
                        <w:rPr>
                          <w:b/>
                          <w:color w:val="000000"/>
                          <w:sz w:val="22"/>
                        </w:rPr>
                      </w:pPr>
                      <w:r>
                        <w:rPr>
                          <w:b/>
                          <w:color w:val="000000"/>
                          <w:sz w:val="22"/>
                        </w:rPr>
                        <w:t>Box</w:t>
                      </w:r>
                      <w:r>
                        <w:rPr>
                          <w:b/>
                          <w:color w:val="000000"/>
                          <w:spacing w:val="-3"/>
                          <w:sz w:val="22"/>
                        </w:rPr>
                        <w:t> </w:t>
                      </w:r>
                      <w:r>
                        <w:rPr>
                          <w:b/>
                          <w:color w:val="000000"/>
                          <w:sz w:val="22"/>
                        </w:rPr>
                        <w:t>10:</w:t>
                      </w:r>
                      <w:r>
                        <w:rPr>
                          <w:b/>
                          <w:color w:val="000000"/>
                          <w:spacing w:val="-1"/>
                          <w:sz w:val="22"/>
                        </w:rPr>
                        <w:t> </w:t>
                      </w:r>
                      <w:r>
                        <w:rPr>
                          <w:b/>
                          <w:color w:val="000000"/>
                          <w:sz w:val="22"/>
                        </w:rPr>
                        <w:t>Reporting</w:t>
                      </w:r>
                      <w:r>
                        <w:rPr>
                          <w:b/>
                          <w:color w:val="000000"/>
                          <w:spacing w:val="-3"/>
                          <w:sz w:val="22"/>
                        </w:rPr>
                        <w:t> </w:t>
                      </w:r>
                      <w:r>
                        <w:rPr>
                          <w:b/>
                          <w:color w:val="000000"/>
                          <w:sz w:val="22"/>
                        </w:rPr>
                        <w:t>of</w:t>
                      </w:r>
                      <w:r>
                        <w:rPr>
                          <w:b/>
                          <w:color w:val="000000"/>
                          <w:spacing w:val="-1"/>
                          <w:sz w:val="22"/>
                        </w:rPr>
                        <w:t> </w:t>
                      </w:r>
                      <w:r>
                        <w:rPr>
                          <w:b/>
                          <w:color w:val="000000"/>
                          <w:sz w:val="22"/>
                        </w:rPr>
                        <w:t>compliance</w:t>
                      </w:r>
                      <w:r>
                        <w:rPr>
                          <w:b/>
                          <w:color w:val="000000"/>
                          <w:spacing w:val="-3"/>
                          <w:sz w:val="22"/>
                        </w:rPr>
                        <w:t> </w:t>
                      </w:r>
                      <w:r>
                        <w:rPr>
                          <w:b/>
                          <w:color w:val="000000"/>
                          <w:sz w:val="22"/>
                        </w:rPr>
                        <w:t>and</w:t>
                      </w:r>
                      <w:r>
                        <w:rPr>
                          <w:b/>
                          <w:color w:val="000000"/>
                          <w:spacing w:val="-5"/>
                          <w:sz w:val="22"/>
                        </w:rPr>
                        <w:t> </w:t>
                      </w:r>
                      <w:r>
                        <w:rPr>
                          <w:b/>
                          <w:color w:val="000000"/>
                          <w:sz w:val="22"/>
                        </w:rPr>
                        <w:t>enforcement</w:t>
                      </w:r>
                      <w:r>
                        <w:rPr>
                          <w:b/>
                          <w:color w:val="000000"/>
                          <w:spacing w:val="-4"/>
                          <w:sz w:val="22"/>
                        </w:rPr>
                        <w:t> </w:t>
                      </w:r>
                      <w:r>
                        <w:rPr>
                          <w:b/>
                          <w:color w:val="000000"/>
                          <w:sz w:val="22"/>
                        </w:rPr>
                        <w:t>activity</w:t>
                      </w:r>
                      <w:r>
                        <w:rPr>
                          <w:b/>
                          <w:color w:val="000000"/>
                          <w:spacing w:val="-7"/>
                          <w:sz w:val="22"/>
                        </w:rPr>
                        <w:t> </w:t>
                      </w:r>
                      <w:r>
                        <w:rPr>
                          <w:b/>
                          <w:color w:val="000000"/>
                          <w:sz w:val="22"/>
                        </w:rPr>
                        <w:t>by</w:t>
                      </w:r>
                      <w:r>
                        <w:rPr>
                          <w:b/>
                          <w:color w:val="000000"/>
                          <w:spacing w:val="-7"/>
                          <w:sz w:val="22"/>
                        </w:rPr>
                        <w:t> </w:t>
                      </w:r>
                      <w:r>
                        <w:rPr>
                          <w:b/>
                          <w:color w:val="000000"/>
                          <w:sz w:val="22"/>
                        </w:rPr>
                        <w:t>ESV</w:t>
                      </w:r>
                      <w:r>
                        <w:rPr>
                          <w:b/>
                          <w:color w:val="000000"/>
                          <w:spacing w:val="-3"/>
                          <w:sz w:val="22"/>
                        </w:rPr>
                        <w:t> </w:t>
                      </w:r>
                      <w:r>
                        <w:rPr>
                          <w:b/>
                          <w:color w:val="000000"/>
                          <w:sz w:val="22"/>
                        </w:rPr>
                        <w:t>in</w:t>
                      </w:r>
                      <w:r>
                        <w:rPr>
                          <w:b/>
                          <w:color w:val="000000"/>
                          <w:spacing w:val="-3"/>
                          <w:sz w:val="22"/>
                        </w:rPr>
                        <w:t> </w:t>
                      </w:r>
                      <w:r>
                        <w:rPr>
                          <w:b/>
                          <w:color w:val="000000"/>
                          <w:sz w:val="22"/>
                        </w:rPr>
                        <w:t>its</w:t>
                      </w:r>
                      <w:r>
                        <w:rPr>
                          <w:b/>
                          <w:color w:val="000000"/>
                          <w:spacing w:val="-1"/>
                          <w:sz w:val="22"/>
                        </w:rPr>
                        <w:t> </w:t>
                      </w:r>
                      <w:r>
                        <w:rPr>
                          <w:b/>
                          <w:color w:val="000000"/>
                          <w:sz w:val="22"/>
                        </w:rPr>
                        <w:t>annual </w:t>
                      </w:r>
                      <w:r>
                        <w:rPr>
                          <w:b/>
                          <w:color w:val="000000"/>
                          <w:spacing w:val="-2"/>
                          <w:sz w:val="22"/>
                        </w:rPr>
                        <w:t>report</w:t>
                      </w:r>
                    </w:p>
                    <w:p>
                      <w:pPr>
                        <w:pStyle w:val="BodyText"/>
                        <w:spacing w:before="10"/>
                        <w:rPr>
                          <w:b/>
                          <w:color w:val="000000"/>
                          <w:sz w:val="20"/>
                        </w:rPr>
                      </w:pPr>
                    </w:p>
                    <w:p>
                      <w:pPr>
                        <w:pStyle w:val="BodyText"/>
                        <w:spacing w:line="288" w:lineRule="auto"/>
                        <w:ind w:left="112" w:right="205"/>
                        <w:rPr>
                          <w:color w:val="000000"/>
                        </w:rPr>
                      </w:pPr>
                      <w:r>
                        <w:rPr>
                          <w:color w:val="000000"/>
                        </w:rPr>
                        <w:t>ESV’s</w:t>
                      </w:r>
                      <w:r>
                        <w:rPr>
                          <w:color w:val="000000"/>
                          <w:spacing w:val="-3"/>
                        </w:rPr>
                        <w:t> </w:t>
                      </w:r>
                      <w:r>
                        <w:rPr>
                          <w:i/>
                          <w:color w:val="000000"/>
                        </w:rPr>
                        <w:t>Annual</w:t>
                      </w:r>
                      <w:r>
                        <w:rPr>
                          <w:i/>
                          <w:color w:val="000000"/>
                          <w:spacing w:val="-4"/>
                        </w:rPr>
                        <w:t> </w:t>
                      </w:r>
                      <w:r>
                        <w:rPr>
                          <w:i/>
                          <w:color w:val="000000"/>
                        </w:rPr>
                        <w:t>Report</w:t>
                      </w:r>
                      <w:r>
                        <w:rPr>
                          <w:i/>
                          <w:color w:val="000000"/>
                          <w:spacing w:val="-2"/>
                        </w:rPr>
                        <w:t> </w:t>
                      </w:r>
                      <w:r>
                        <w:rPr>
                          <w:i/>
                          <w:color w:val="000000"/>
                        </w:rPr>
                        <w:t>2016–17</w:t>
                      </w:r>
                      <w:r>
                        <w:rPr>
                          <w:i/>
                          <w:color w:val="000000"/>
                          <w:spacing w:val="-4"/>
                        </w:rPr>
                        <w:t> </w:t>
                      </w:r>
                      <w:r>
                        <w:rPr>
                          <w:color w:val="000000"/>
                        </w:rPr>
                        <w:t>provides</w:t>
                      </w:r>
                      <w:r>
                        <w:rPr>
                          <w:color w:val="000000"/>
                          <w:spacing w:val="-3"/>
                        </w:rPr>
                        <w:t> </w:t>
                      </w:r>
                      <w:r>
                        <w:rPr>
                          <w:color w:val="000000"/>
                        </w:rPr>
                        <w:t>tables</w:t>
                      </w:r>
                      <w:r>
                        <w:rPr>
                          <w:color w:val="000000"/>
                          <w:spacing w:val="-6"/>
                        </w:rPr>
                        <w:t> </w:t>
                      </w:r>
                      <w:r>
                        <w:rPr>
                          <w:color w:val="000000"/>
                        </w:rPr>
                        <w:t>with</w:t>
                      </w:r>
                      <w:r>
                        <w:rPr>
                          <w:color w:val="000000"/>
                          <w:spacing w:val="-4"/>
                        </w:rPr>
                        <w:t> </w:t>
                      </w:r>
                      <w:r>
                        <w:rPr>
                          <w:color w:val="000000"/>
                        </w:rPr>
                        <w:t>compliance</w:t>
                      </w:r>
                      <w:r>
                        <w:rPr>
                          <w:color w:val="000000"/>
                          <w:spacing w:val="-4"/>
                        </w:rPr>
                        <w:t> </w:t>
                      </w:r>
                      <w:r>
                        <w:rPr>
                          <w:color w:val="000000"/>
                        </w:rPr>
                        <w:t>and</w:t>
                      </w:r>
                      <w:r>
                        <w:rPr>
                          <w:color w:val="000000"/>
                          <w:spacing w:val="-6"/>
                        </w:rPr>
                        <w:t> </w:t>
                      </w:r>
                      <w:r>
                        <w:rPr>
                          <w:color w:val="000000"/>
                        </w:rPr>
                        <w:t>enforcement</w:t>
                      </w:r>
                      <w:r>
                        <w:rPr>
                          <w:color w:val="000000"/>
                          <w:spacing w:val="-5"/>
                        </w:rPr>
                        <w:t> </w:t>
                      </w:r>
                      <w:r>
                        <w:rPr>
                          <w:color w:val="000000"/>
                        </w:rPr>
                        <w:t>data over four consecutive financial years. These include:</w:t>
                      </w:r>
                    </w:p>
                    <w:p>
                      <w:pPr>
                        <w:pStyle w:val="BodyText"/>
                        <w:spacing w:before="10"/>
                        <w:rPr>
                          <w:color w:val="000000"/>
                          <w:sz w:val="20"/>
                        </w:rPr>
                      </w:pPr>
                    </w:p>
                    <w:p>
                      <w:pPr>
                        <w:spacing w:before="0"/>
                        <w:ind w:left="112" w:right="0" w:firstLine="0"/>
                        <w:jc w:val="left"/>
                        <w:rPr>
                          <w:i/>
                          <w:color w:val="000000"/>
                          <w:sz w:val="22"/>
                        </w:rPr>
                      </w:pPr>
                      <w:r>
                        <w:rPr>
                          <w:i/>
                          <w:color w:val="000000"/>
                          <w:sz w:val="22"/>
                        </w:rPr>
                        <w:t>Electricity</w:t>
                      </w:r>
                      <w:r>
                        <w:rPr>
                          <w:i/>
                          <w:color w:val="000000"/>
                          <w:spacing w:val="-5"/>
                          <w:sz w:val="22"/>
                        </w:rPr>
                        <w:t> </w:t>
                      </w:r>
                      <w:r>
                        <w:rPr>
                          <w:i/>
                          <w:color w:val="000000"/>
                          <w:sz w:val="22"/>
                        </w:rPr>
                        <w:t>network</w:t>
                      </w:r>
                      <w:r>
                        <w:rPr>
                          <w:i/>
                          <w:color w:val="000000"/>
                          <w:spacing w:val="-6"/>
                          <w:sz w:val="22"/>
                        </w:rPr>
                        <w:t> </w:t>
                      </w:r>
                      <w:r>
                        <w:rPr>
                          <w:i/>
                          <w:color w:val="000000"/>
                          <w:sz w:val="22"/>
                        </w:rPr>
                        <w:t>plans</w:t>
                      </w:r>
                      <w:r>
                        <w:rPr>
                          <w:i/>
                          <w:color w:val="000000"/>
                          <w:spacing w:val="-6"/>
                          <w:sz w:val="22"/>
                        </w:rPr>
                        <w:t> </w:t>
                      </w:r>
                      <w:r>
                        <w:rPr>
                          <w:i/>
                          <w:color w:val="000000"/>
                          <w:sz w:val="22"/>
                        </w:rPr>
                        <w:t>and</w:t>
                      </w:r>
                      <w:r>
                        <w:rPr>
                          <w:i/>
                          <w:color w:val="000000"/>
                          <w:spacing w:val="-5"/>
                          <w:sz w:val="22"/>
                        </w:rPr>
                        <w:t> </w:t>
                      </w:r>
                      <w:r>
                        <w:rPr>
                          <w:i/>
                          <w:color w:val="000000"/>
                          <w:spacing w:val="-2"/>
                          <w:sz w:val="22"/>
                        </w:rPr>
                        <w:t>audits</w:t>
                      </w:r>
                    </w:p>
                    <w:p>
                      <w:pPr>
                        <w:pStyle w:val="BodyText"/>
                        <w:numPr>
                          <w:ilvl w:val="0"/>
                          <w:numId w:val="36"/>
                        </w:numPr>
                        <w:tabs>
                          <w:tab w:pos="356" w:val="left" w:leader="none"/>
                        </w:tabs>
                        <w:spacing w:line="240" w:lineRule="auto" w:before="127" w:after="0"/>
                        <w:ind w:left="356" w:right="0" w:hanging="215"/>
                        <w:jc w:val="left"/>
                        <w:rPr>
                          <w:color w:val="000000"/>
                        </w:rPr>
                      </w:pPr>
                      <w:r>
                        <w:rPr>
                          <w:color w:val="000000"/>
                        </w:rPr>
                        <w:t>Number</w:t>
                      </w:r>
                      <w:r>
                        <w:rPr>
                          <w:color w:val="000000"/>
                          <w:spacing w:val="-3"/>
                        </w:rPr>
                        <w:t> </w:t>
                      </w:r>
                      <w:r>
                        <w:rPr>
                          <w:color w:val="000000"/>
                        </w:rPr>
                        <w:t>and</w:t>
                      </w:r>
                      <w:r>
                        <w:rPr>
                          <w:color w:val="000000"/>
                          <w:spacing w:val="-6"/>
                        </w:rPr>
                        <w:t> </w:t>
                      </w:r>
                      <w:r>
                        <w:rPr>
                          <w:color w:val="000000"/>
                        </w:rPr>
                        <w:t>types</w:t>
                      </w:r>
                      <w:r>
                        <w:rPr>
                          <w:color w:val="000000"/>
                          <w:spacing w:val="-3"/>
                        </w:rPr>
                        <w:t> </w:t>
                      </w:r>
                      <w:r>
                        <w:rPr>
                          <w:color w:val="000000"/>
                        </w:rPr>
                        <w:t>of</w:t>
                      </w:r>
                      <w:r>
                        <w:rPr>
                          <w:color w:val="000000"/>
                          <w:spacing w:val="-2"/>
                        </w:rPr>
                        <w:t> </w:t>
                      </w:r>
                      <w:r>
                        <w:rPr>
                          <w:color w:val="000000"/>
                        </w:rPr>
                        <w:t>plans</w:t>
                      </w:r>
                      <w:r>
                        <w:rPr>
                          <w:color w:val="000000"/>
                          <w:spacing w:val="-1"/>
                        </w:rPr>
                        <w:t> </w:t>
                      </w:r>
                      <w:r>
                        <w:rPr>
                          <w:color w:val="000000"/>
                          <w:spacing w:val="-2"/>
                        </w:rPr>
                        <w:t>accepted/approved</w:t>
                      </w:r>
                    </w:p>
                    <w:p>
                      <w:pPr>
                        <w:pStyle w:val="BodyText"/>
                        <w:numPr>
                          <w:ilvl w:val="0"/>
                          <w:numId w:val="36"/>
                        </w:numPr>
                        <w:tabs>
                          <w:tab w:pos="356" w:val="left" w:leader="none"/>
                        </w:tabs>
                        <w:spacing w:line="240" w:lineRule="auto" w:before="66" w:after="0"/>
                        <w:ind w:left="356" w:right="0" w:hanging="215"/>
                        <w:jc w:val="left"/>
                        <w:rPr>
                          <w:color w:val="000000"/>
                        </w:rPr>
                      </w:pPr>
                      <w:r>
                        <w:rPr>
                          <w:color w:val="000000"/>
                        </w:rPr>
                        <w:t>Number</w:t>
                      </w:r>
                      <w:r>
                        <w:rPr>
                          <w:color w:val="000000"/>
                          <w:spacing w:val="-3"/>
                        </w:rPr>
                        <w:t> </w:t>
                      </w:r>
                      <w:r>
                        <w:rPr>
                          <w:color w:val="000000"/>
                        </w:rPr>
                        <w:t>and</w:t>
                      </w:r>
                      <w:r>
                        <w:rPr>
                          <w:color w:val="000000"/>
                          <w:spacing w:val="-5"/>
                        </w:rPr>
                        <w:t> </w:t>
                      </w:r>
                      <w:r>
                        <w:rPr>
                          <w:color w:val="000000"/>
                        </w:rPr>
                        <w:t>types</w:t>
                      </w:r>
                      <w:r>
                        <w:rPr>
                          <w:color w:val="000000"/>
                          <w:spacing w:val="-3"/>
                        </w:rPr>
                        <w:t> </w:t>
                      </w:r>
                      <w:r>
                        <w:rPr>
                          <w:color w:val="000000"/>
                        </w:rPr>
                        <w:t>of</w:t>
                      </w:r>
                      <w:r>
                        <w:rPr>
                          <w:color w:val="000000"/>
                          <w:spacing w:val="-1"/>
                        </w:rPr>
                        <w:t> </w:t>
                      </w:r>
                      <w:r>
                        <w:rPr>
                          <w:color w:val="000000"/>
                          <w:spacing w:val="-2"/>
                        </w:rPr>
                        <w:t>audits</w:t>
                      </w:r>
                    </w:p>
                    <w:p>
                      <w:pPr>
                        <w:pStyle w:val="BodyText"/>
                        <w:numPr>
                          <w:ilvl w:val="0"/>
                          <w:numId w:val="36"/>
                        </w:numPr>
                        <w:tabs>
                          <w:tab w:pos="356" w:val="left" w:leader="none"/>
                        </w:tabs>
                        <w:spacing w:line="240" w:lineRule="auto" w:before="66" w:after="0"/>
                        <w:ind w:left="356" w:right="0" w:hanging="215"/>
                        <w:jc w:val="left"/>
                        <w:rPr>
                          <w:color w:val="000000"/>
                        </w:rPr>
                      </w:pPr>
                      <w:r>
                        <w:rPr>
                          <w:color w:val="000000"/>
                        </w:rPr>
                        <w:t>Number</w:t>
                      </w:r>
                      <w:r>
                        <w:rPr>
                          <w:color w:val="000000"/>
                          <w:spacing w:val="-5"/>
                        </w:rPr>
                        <w:t> </w:t>
                      </w:r>
                      <w:r>
                        <w:rPr>
                          <w:color w:val="000000"/>
                        </w:rPr>
                        <w:t>of</w:t>
                      </w:r>
                      <w:r>
                        <w:rPr>
                          <w:color w:val="000000"/>
                          <w:spacing w:val="-6"/>
                        </w:rPr>
                        <w:t> </w:t>
                      </w:r>
                      <w:r>
                        <w:rPr>
                          <w:color w:val="000000"/>
                        </w:rPr>
                        <w:t>compliance</w:t>
                      </w:r>
                      <w:r>
                        <w:rPr>
                          <w:color w:val="000000"/>
                          <w:spacing w:val="-5"/>
                        </w:rPr>
                        <w:t> </w:t>
                      </w:r>
                      <w:r>
                        <w:rPr>
                          <w:color w:val="000000"/>
                        </w:rPr>
                        <w:t>actions</w:t>
                      </w:r>
                      <w:r>
                        <w:rPr>
                          <w:color w:val="000000"/>
                          <w:spacing w:val="-6"/>
                        </w:rPr>
                        <w:t> </w:t>
                      </w:r>
                      <w:r>
                        <w:rPr>
                          <w:color w:val="000000"/>
                        </w:rPr>
                        <w:t>from</w:t>
                      </w:r>
                      <w:r>
                        <w:rPr>
                          <w:color w:val="000000"/>
                          <w:spacing w:val="-4"/>
                        </w:rPr>
                        <w:t> </w:t>
                      </w:r>
                      <w:r>
                        <w:rPr>
                          <w:color w:val="000000"/>
                          <w:spacing w:val="-2"/>
                        </w:rPr>
                        <w:t>audits</w:t>
                      </w:r>
                    </w:p>
                    <w:p>
                      <w:pPr>
                        <w:pStyle w:val="BodyText"/>
                        <w:spacing w:before="11"/>
                        <w:rPr>
                          <w:color w:val="000000"/>
                          <w:sz w:val="24"/>
                        </w:rPr>
                      </w:pPr>
                    </w:p>
                    <w:p>
                      <w:pPr>
                        <w:pStyle w:val="BodyText"/>
                        <w:spacing w:line="288" w:lineRule="auto"/>
                        <w:ind w:left="141" w:right="205"/>
                        <w:rPr>
                          <w:color w:val="000000"/>
                        </w:rPr>
                      </w:pPr>
                      <w:r>
                        <w:rPr>
                          <w:color w:val="000000"/>
                        </w:rPr>
                        <w:t>The explanatory notes include the reporting on the status of Electricity Safety Management Schemes and Safety Cases of the network businesses; overall 2015–16 safety</w:t>
                      </w:r>
                      <w:r>
                        <w:rPr>
                          <w:color w:val="000000"/>
                          <w:spacing w:val="-4"/>
                        </w:rPr>
                        <w:t> </w:t>
                      </w:r>
                      <w:r>
                        <w:rPr>
                          <w:color w:val="000000"/>
                        </w:rPr>
                        <w:t>report</w:t>
                      </w:r>
                      <w:r>
                        <w:rPr>
                          <w:color w:val="000000"/>
                          <w:spacing w:val="-6"/>
                        </w:rPr>
                        <w:t> </w:t>
                      </w:r>
                      <w:r>
                        <w:rPr>
                          <w:color w:val="000000"/>
                        </w:rPr>
                        <w:t>findings;</w:t>
                      </w:r>
                      <w:r>
                        <w:rPr>
                          <w:color w:val="000000"/>
                          <w:spacing w:val="-4"/>
                        </w:rPr>
                        <w:t> </w:t>
                      </w:r>
                      <w:r>
                        <w:rPr>
                          <w:color w:val="000000"/>
                        </w:rPr>
                        <w:t>the</w:t>
                      </w:r>
                      <w:r>
                        <w:rPr>
                          <w:color w:val="000000"/>
                          <w:spacing w:val="-3"/>
                        </w:rPr>
                        <w:t> </w:t>
                      </w:r>
                      <w:r>
                        <w:rPr>
                          <w:color w:val="000000"/>
                        </w:rPr>
                        <w:t>results</w:t>
                      </w:r>
                      <w:r>
                        <w:rPr>
                          <w:color w:val="000000"/>
                          <w:spacing w:val="-2"/>
                        </w:rPr>
                        <w:t> </w:t>
                      </w:r>
                      <w:r>
                        <w:rPr>
                          <w:color w:val="000000"/>
                        </w:rPr>
                        <w:t>of</w:t>
                      </w:r>
                      <w:r>
                        <w:rPr>
                          <w:color w:val="000000"/>
                          <w:spacing w:val="-1"/>
                        </w:rPr>
                        <w:t> </w:t>
                      </w:r>
                      <w:r>
                        <w:rPr>
                          <w:color w:val="000000"/>
                        </w:rPr>
                        <w:t>Electric</w:t>
                      </w:r>
                      <w:r>
                        <w:rPr>
                          <w:color w:val="000000"/>
                          <w:spacing w:val="-2"/>
                        </w:rPr>
                        <w:t> </w:t>
                      </w:r>
                      <w:r>
                        <w:rPr>
                          <w:color w:val="000000"/>
                        </w:rPr>
                        <w:t>Line</w:t>
                      </w:r>
                      <w:r>
                        <w:rPr>
                          <w:color w:val="000000"/>
                          <w:spacing w:val="-5"/>
                        </w:rPr>
                        <w:t> </w:t>
                      </w:r>
                      <w:r>
                        <w:rPr>
                          <w:color w:val="000000"/>
                        </w:rPr>
                        <w:t>Clearance</w:t>
                      </w:r>
                      <w:r>
                        <w:rPr>
                          <w:color w:val="000000"/>
                          <w:spacing w:val="-3"/>
                        </w:rPr>
                        <w:t> </w:t>
                      </w:r>
                      <w:r>
                        <w:rPr>
                          <w:color w:val="000000"/>
                        </w:rPr>
                        <w:t>Plan</w:t>
                      </w:r>
                      <w:r>
                        <w:rPr>
                          <w:color w:val="000000"/>
                          <w:spacing w:val="-3"/>
                        </w:rPr>
                        <w:t> </w:t>
                      </w:r>
                      <w:r>
                        <w:rPr>
                          <w:color w:val="000000"/>
                        </w:rPr>
                        <w:t>audits;</w:t>
                      </w:r>
                      <w:r>
                        <w:rPr>
                          <w:color w:val="000000"/>
                          <w:spacing w:val="-1"/>
                        </w:rPr>
                        <w:t> </w:t>
                      </w:r>
                      <w:r>
                        <w:rPr>
                          <w:color w:val="000000"/>
                        </w:rPr>
                        <w:t>and</w:t>
                      </w:r>
                      <w:r>
                        <w:rPr>
                          <w:color w:val="000000"/>
                          <w:spacing w:val="-3"/>
                        </w:rPr>
                        <w:t> </w:t>
                      </w:r>
                      <w:r>
                        <w:rPr>
                          <w:color w:val="000000"/>
                        </w:rPr>
                        <w:t>the</w:t>
                      </w:r>
                      <w:r>
                        <w:rPr>
                          <w:color w:val="000000"/>
                          <w:spacing w:val="-5"/>
                        </w:rPr>
                        <w:t> </w:t>
                      </w:r>
                      <w:r>
                        <w:rPr>
                          <w:color w:val="000000"/>
                        </w:rPr>
                        <w:t>number of Electric Line Clearance Plans approved and findings.</w:t>
                      </w:r>
                    </w:p>
                    <w:p>
                      <w:pPr>
                        <w:pStyle w:val="BodyText"/>
                        <w:spacing w:before="11"/>
                        <w:rPr>
                          <w:color w:val="000000"/>
                          <w:sz w:val="20"/>
                        </w:rPr>
                      </w:pPr>
                    </w:p>
                    <w:p>
                      <w:pPr>
                        <w:spacing w:before="0"/>
                        <w:ind w:left="112" w:right="0" w:firstLine="0"/>
                        <w:jc w:val="left"/>
                        <w:rPr>
                          <w:i/>
                          <w:color w:val="000000"/>
                          <w:sz w:val="22"/>
                        </w:rPr>
                      </w:pPr>
                      <w:r>
                        <w:rPr>
                          <w:i/>
                          <w:color w:val="000000"/>
                          <w:sz w:val="22"/>
                        </w:rPr>
                        <w:t>Gas</w:t>
                      </w:r>
                      <w:r>
                        <w:rPr>
                          <w:i/>
                          <w:color w:val="000000"/>
                          <w:spacing w:val="-4"/>
                          <w:sz w:val="22"/>
                        </w:rPr>
                        <w:t> </w:t>
                      </w:r>
                      <w:r>
                        <w:rPr>
                          <w:i/>
                          <w:color w:val="000000"/>
                          <w:sz w:val="22"/>
                        </w:rPr>
                        <w:t>network</w:t>
                      </w:r>
                      <w:r>
                        <w:rPr>
                          <w:i/>
                          <w:color w:val="000000"/>
                          <w:spacing w:val="-3"/>
                          <w:sz w:val="22"/>
                        </w:rPr>
                        <w:t> </w:t>
                      </w:r>
                      <w:r>
                        <w:rPr>
                          <w:i/>
                          <w:color w:val="000000"/>
                          <w:sz w:val="22"/>
                        </w:rPr>
                        <w:t>plans</w:t>
                      </w:r>
                      <w:r>
                        <w:rPr>
                          <w:i/>
                          <w:color w:val="000000"/>
                          <w:spacing w:val="-3"/>
                          <w:sz w:val="22"/>
                        </w:rPr>
                        <w:t> </w:t>
                      </w:r>
                      <w:r>
                        <w:rPr>
                          <w:i/>
                          <w:color w:val="000000"/>
                          <w:sz w:val="22"/>
                        </w:rPr>
                        <w:t>and</w:t>
                      </w:r>
                      <w:r>
                        <w:rPr>
                          <w:i/>
                          <w:color w:val="000000"/>
                          <w:spacing w:val="-4"/>
                          <w:sz w:val="22"/>
                        </w:rPr>
                        <w:t> </w:t>
                      </w:r>
                      <w:r>
                        <w:rPr>
                          <w:i/>
                          <w:color w:val="000000"/>
                          <w:spacing w:val="-2"/>
                          <w:sz w:val="22"/>
                        </w:rPr>
                        <w:t>audits</w:t>
                      </w:r>
                    </w:p>
                    <w:p>
                      <w:pPr>
                        <w:pStyle w:val="BodyText"/>
                        <w:numPr>
                          <w:ilvl w:val="0"/>
                          <w:numId w:val="36"/>
                        </w:numPr>
                        <w:tabs>
                          <w:tab w:pos="356" w:val="left" w:leader="none"/>
                        </w:tabs>
                        <w:spacing w:line="240" w:lineRule="auto" w:before="128" w:after="0"/>
                        <w:ind w:left="356" w:right="0" w:hanging="215"/>
                        <w:jc w:val="left"/>
                        <w:rPr>
                          <w:color w:val="000000"/>
                        </w:rPr>
                      </w:pPr>
                      <w:r>
                        <w:rPr>
                          <w:color w:val="000000"/>
                        </w:rPr>
                        <w:t>Number</w:t>
                      </w:r>
                      <w:r>
                        <w:rPr>
                          <w:color w:val="000000"/>
                          <w:spacing w:val="-3"/>
                        </w:rPr>
                        <w:t> </w:t>
                      </w:r>
                      <w:r>
                        <w:rPr>
                          <w:color w:val="000000"/>
                        </w:rPr>
                        <w:t>of</w:t>
                      </w:r>
                      <w:r>
                        <w:rPr>
                          <w:color w:val="000000"/>
                          <w:spacing w:val="-4"/>
                        </w:rPr>
                        <w:t> </w:t>
                      </w:r>
                      <w:r>
                        <w:rPr>
                          <w:color w:val="000000"/>
                        </w:rPr>
                        <w:t>consents</w:t>
                      </w:r>
                      <w:r>
                        <w:rPr>
                          <w:color w:val="000000"/>
                          <w:spacing w:val="-5"/>
                        </w:rPr>
                        <w:t> </w:t>
                      </w:r>
                      <w:r>
                        <w:rPr>
                          <w:color w:val="000000"/>
                        </w:rPr>
                        <w:t>to</w:t>
                      </w:r>
                      <w:r>
                        <w:rPr>
                          <w:color w:val="000000"/>
                          <w:spacing w:val="-3"/>
                        </w:rPr>
                        <w:t> </w:t>
                      </w:r>
                      <w:r>
                        <w:rPr>
                          <w:color w:val="000000"/>
                          <w:spacing w:val="-2"/>
                        </w:rPr>
                        <w:t>operate</w:t>
                      </w:r>
                    </w:p>
                    <w:p>
                      <w:pPr>
                        <w:pStyle w:val="BodyText"/>
                        <w:numPr>
                          <w:ilvl w:val="0"/>
                          <w:numId w:val="36"/>
                        </w:numPr>
                        <w:tabs>
                          <w:tab w:pos="356" w:val="left" w:leader="none"/>
                        </w:tabs>
                        <w:spacing w:line="240" w:lineRule="auto" w:before="67" w:after="0"/>
                        <w:ind w:left="356" w:right="0" w:hanging="215"/>
                        <w:jc w:val="left"/>
                        <w:rPr>
                          <w:color w:val="000000"/>
                        </w:rPr>
                      </w:pPr>
                      <w:r>
                        <w:rPr>
                          <w:color w:val="000000"/>
                        </w:rPr>
                        <w:t>Number</w:t>
                      </w:r>
                      <w:r>
                        <w:rPr>
                          <w:color w:val="000000"/>
                          <w:spacing w:val="-3"/>
                        </w:rPr>
                        <w:t> </w:t>
                      </w:r>
                      <w:r>
                        <w:rPr>
                          <w:color w:val="000000"/>
                        </w:rPr>
                        <w:t>and</w:t>
                      </w:r>
                      <w:r>
                        <w:rPr>
                          <w:color w:val="000000"/>
                          <w:spacing w:val="-6"/>
                        </w:rPr>
                        <w:t> </w:t>
                      </w:r>
                      <w:r>
                        <w:rPr>
                          <w:color w:val="000000"/>
                        </w:rPr>
                        <w:t>type</w:t>
                      </w:r>
                      <w:r>
                        <w:rPr>
                          <w:color w:val="000000"/>
                          <w:spacing w:val="-3"/>
                        </w:rPr>
                        <w:t> </w:t>
                      </w:r>
                      <w:r>
                        <w:rPr>
                          <w:color w:val="000000"/>
                        </w:rPr>
                        <w:t>of</w:t>
                      </w:r>
                      <w:r>
                        <w:rPr>
                          <w:color w:val="000000"/>
                          <w:spacing w:val="-2"/>
                        </w:rPr>
                        <w:t> </w:t>
                      </w:r>
                      <w:r>
                        <w:rPr>
                          <w:color w:val="000000"/>
                        </w:rPr>
                        <w:t>safety</w:t>
                      </w:r>
                      <w:r>
                        <w:rPr>
                          <w:color w:val="000000"/>
                          <w:spacing w:val="-6"/>
                        </w:rPr>
                        <w:t> </w:t>
                      </w:r>
                      <w:r>
                        <w:rPr>
                          <w:color w:val="000000"/>
                        </w:rPr>
                        <w:t>plans</w:t>
                      </w:r>
                      <w:r>
                        <w:rPr>
                          <w:color w:val="000000"/>
                          <w:spacing w:val="-2"/>
                        </w:rPr>
                        <w:t> accepted</w:t>
                      </w:r>
                    </w:p>
                    <w:p>
                      <w:pPr>
                        <w:pStyle w:val="BodyText"/>
                        <w:numPr>
                          <w:ilvl w:val="0"/>
                          <w:numId w:val="36"/>
                        </w:numPr>
                        <w:tabs>
                          <w:tab w:pos="356" w:val="left" w:leader="none"/>
                        </w:tabs>
                        <w:spacing w:line="240" w:lineRule="auto" w:before="63" w:after="0"/>
                        <w:ind w:left="356" w:right="0" w:hanging="215"/>
                        <w:jc w:val="left"/>
                        <w:rPr>
                          <w:color w:val="000000"/>
                        </w:rPr>
                      </w:pPr>
                      <w:r>
                        <w:rPr>
                          <w:color w:val="000000"/>
                        </w:rPr>
                        <w:t>Number</w:t>
                      </w:r>
                      <w:r>
                        <w:rPr>
                          <w:color w:val="000000"/>
                          <w:spacing w:val="-2"/>
                        </w:rPr>
                        <w:t> </w:t>
                      </w:r>
                      <w:r>
                        <w:rPr>
                          <w:color w:val="000000"/>
                        </w:rPr>
                        <w:t>of</w:t>
                      </w:r>
                      <w:r>
                        <w:rPr>
                          <w:color w:val="000000"/>
                          <w:spacing w:val="-3"/>
                        </w:rPr>
                        <w:t> </w:t>
                      </w:r>
                      <w:r>
                        <w:rPr>
                          <w:color w:val="000000"/>
                          <w:spacing w:val="-2"/>
                        </w:rPr>
                        <w:t>audits</w:t>
                      </w:r>
                    </w:p>
                  </w:txbxContent>
                </v:textbox>
                <v:fill type="solid"/>
                <w10:wrap type="topAndBottom"/>
              </v:shape>
            </w:pict>
          </mc:Fallback>
        </mc:AlternateContent>
      </w:r>
    </w:p>
    <w:p>
      <w:pPr>
        <w:spacing w:after="0"/>
        <w:rPr>
          <w:sz w:val="18"/>
        </w:rPr>
        <w:sectPr>
          <w:pgSz w:w="11910" w:h="16840"/>
          <w:pgMar w:header="887" w:footer="1228" w:top="1080" w:bottom="1500" w:left="840" w:right="820"/>
        </w:sectPr>
      </w:pPr>
    </w:p>
    <w:p>
      <w:pPr>
        <w:pStyle w:val="BodyText"/>
        <w:rPr>
          <w:sz w:val="20"/>
        </w:rPr>
      </w:pPr>
    </w:p>
    <w:p>
      <w:pPr>
        <w:pStyle w:val="BodyText"/>
        <w:rPr>
          <w:sz w:val="20"/>
        </w:rPr>
      </w:pPr>
    </w:p>
    <w:p>
      <w:pPr>
        <w:pStyle w:val="BodyText"/>
        <w:spacing w:before="4"/>
      </w:pPr>
    </w:p>
    <w:p>
      <w:pPr>
        <w:pStyle w:val="BodyText"/>
        <w:ind w:left="600"/>
        <w:rPr>
          <w:sz w:val="20"/>
        </w:rPr>
      </w:pPr>
      <w:r>
        <w:rPr>
          <w:sz w:val="20"/>
        </w:rPr>
        <mc:AlternateContent>
          <mc:Choice Requires="wps">
            <w:drawing>
              <wp:inline distT="0" distB="0" distL="0" distR="0">
                <wp:extent cx="5732780" cy="2655570"/>
                <wp:effectExtent l="0" t="0" r="0" b="0"/>
                <wp:docPr id="116" name="Textbox 116"/>
                <wp:cNvGraphicFramePr>
                  <a:graphicFrameLocks/>
                </wp:cNvGraphicFramePr>
                <a:graphic>
                  <a:graphicData uri="http://schemas.microsoft.com/office/word/2010/wordprocessingShape">
                    <wps:wsp>
                      <wps:cNvPr id="116" name="Textbox 116"/>
                      <wps:cNvSpPr txBox="1"/>
                      <wps:spPr>
                        <a:xfrm>
                          <a:off x="0" y="0"/>
                          <a:ext cx="5732780" cy="2655570"/>
                        </a:xfrm>
                        <a:prstGeom prst="rect">
                          <a:avLst/>
                        </a:prstGeom>
                        <a:solidFill>
                          <a:srgbClr val="CDEBEB"/>
                        </a:solidFill>
                      </wps:spPr>
                      <wps:txbx>
                        <w:txbxContent>
                          <w:p>
                            <w:pPr>
                              <w:pStyle w:val="BodyText"/>
                              <w:spacing w:line="288" w:lineRule="auto"/>
                              <w:ind w:left="141" w:right="205"/>
                              <w:rPr>
                                <w:color w:val="000000"/>
                              </w:rPr>
                            </w:pPr>
                            <w:r>
                              <w:rPr>
                                <w:color w:val="000000"/>
                              </w:rPr>
                              <w:t>The explanatory notes contain further information about various audits, consents to operate,</w:t>
                            </w:r>
                            <w:r>
                              <w:rPr>
                                <w:color w:val="000000"/>
                                <w:spacing w:val="-1"/>
                              </w:rPr>
                              <w:t> </w:t>
                            </w:r>
                            <w:r>
                              <w:rPr>
                                <w:color w:val="000000"/>
                              </w:rPr>
                              <w:t>consents</w:t>
                            </w:r>
                            <w:r>
                              <w:rPr>
                                <w:color w:val="000000"/>
                                <w:spacing w:val="-5"/>
                              </w:rPr>
                              <w:t> </w:t>
                            </w:r>
                            <w:r>
                              <w:rPr>
                                <w:color w:val="000000"/>
                              </w:rPr>
                              <w:t>to</w:t>
                            </w:r>
                            <w:r>
                              <w:rPr>
                                <w:color w:val="000000"/>
                                <w:spacing w:val="-5"/>
                              </w:rPr>
                              <w:t> </w:t>
                            </w:r>
                            <w:r>
                              <w:rPr>
                                <w:color w:val="000000"/>
                              </w:rPr>
                              <w:t>construct,</w:t>
                            </w:r>
                            <w:r>
                              <w:rPr>
                                <w:color w:val="000000"/>
                                <w:spacing w:val="-4"/>
                              </w:rPr>
                              <w:t> </w:t>
                            </w:r>
                            <w:r>
                              <w:rPr>
                                <w:color w:val="000000"/>
                              </w:rPr>
                              <w:t>and</w:t>
                            </w:r>
                            <w:r>
                              <w:rPr>
                                <w:color w:val="000000"/>
                                <w:spacing w:val="-5"/>
                              </w:rPr>
                              <w:t> </w:t>
                            </w:r>
                            <w:r>
                              <w:rPr>
                                <w:color w:val="000000"/>
                              </w:rPr>
                              <w:t>number</w:t>
                            </w:r>
                            <w:r>
                              <w:rPr>
                                <w:color w:val="000000"/>
                                <w:spacing w:val="-2"/>
                              </w:rPr>
                              <w:t> </w:t>
                            </w:r>
                            <w:r>
                              <w:rPr>
                                <w:color w:val="000000"/>
                              </w:rPr>
                              <w:t>of</w:t>
                            </w:r>
                            <w:r>
                              <w:rPr>
                                <w:color w:val="000000"/>
                                <w:spacing w:val="-1"/>
                              </w:rPr>
                              <w:t> </w:t>
                            </w:r>
                            <w:r>
                              <w:rPr>
                                <w:color w:val="000000"/>
                              </w:rPr>
                              <w:t>hits</w:t>
                            </w:r>
                            <w:r>
                              <w:rPr>
                                <w:color w:val="000000"/>
                                <w:spacing w:val="-2"/>
                              </w:rPr>
                              <w:t> </w:t>
                            </w:r>
                            <w:r>
                              <w:rPr>
                                <w:color w:val="000000"/>
                              </w:rPr>
                              <w:t>on</w:t>
                            </w:r>
                            <w:r>
                              <w:rPr>
                                <w:color w:val="000000"/>
                                <w:spacing w:val="-3"/>
                              </w:rPr>
                              <w:t> </w:t>
                            </w:r>
                            <w:r>
                              <w:rPr>
                                <w:color w:val="000000"/>
                              </w:rPr>
                              <w:t>services.</w:t>
                            </w:r>
                            <w:r>
                              <w:rPr>
                                <w:color w:val="000000"/>
                                <w:spacing w:val="-4"/>
                              </w:rPr>
                              <w:t> </w:t>
                            </w:r>
                            <w:r>
                              <w:rPr>
                                <w:color w:val="000000"/>
                              </w:rPr>
                              <w:t>The</w:t>
                            </w:r>
                            <w:r>
                              <w:rPr>
                                <w:color w:val="000000"/>
                                <w:spacing w:val="-5"/>
                              </w:rPr>
                              <w:t> </w:t>
                            </w:r>
                            <w:r>
                              <w:rPr>
                                <w:color w:val="000000"/>
                              </w:rPr>
                              <w:t>Report</w:t>
                            </w:r>
                            <w:r>
                              <w:rPr>
                                <w:color w:val="000000"/>
                                <w:spacing w:val="-1"/>
                              </w:rPr>
                              <w:t> </w:t>
                            </w:r>
                            <w:r>
                              <w:rPr>
                                <w:color w:val="000000"/>
                              </w:rPr>
                              <w:t>also</w:t>
                            </w:r>
                            <w:r>
                              <w:rPr>
                                <w:color w:val="000000"/>
                                <w:spacing w:val="-5"/>
                              </w:rPr>
                              <w:t> </w:t>
                            </w:r>
                            <w:r>
                              <w:rPr>
                                <w:color w:val="000000"/>
                              </w:rPr>
                              <w:t>contains information and tables on electrolysis mitigation and cathodic protection systems.</w:t>
                            </w:r>
                          </w:p>
                          <w:p>
                            <w:pPr>
                              <w:pStyle w:val="BodyText"/>
                              <w:rPr>
                                <w:color w:val="000000"/>
                                <w:sz w:val="21"/>
                              </w:rPr>
                            </w:pPr>
                          </w:p>
                          <w:p>
                            <w:pPr>
                              <w:spacing w:before="0"/>
                              <w:ind w:left="112" w:right="0" w:firstLine="0"/>
                              <w:jc w:val="left"/>
                              <w:rPr>
                                <w:i/>
                                <w:color w:val="000000"/>
                                <w:sz w:val="22"/>
                              </w:rPr>
                            </w:pPr>
                            <w:r>
                              <w:rPr>
                                <w:i/>
                                <w:color w:val="000000"/>
                                <w:sz w:val="22"/>
                              </w:rPr>
                              <w:t>Enforcement</w:t>
                            </w:r>
                            <w:r>
                              <w:rPr>
                                <w:i/>
                                <w:color w:val="000000"/>
                                <w:spacing w:val="-8"/>
                                <w:sz w:val="22"/>
                              </w:rPr>
                              <w:t> </w:t>
                            </w:r>
                            <w:r>
                              <w:rPr>
                                <w:i/>
                                <w:color w:val="000000"/>
                                <w:spacing w:val="-2"/>
                                <w:sz w:val="22"/>
                              </w:rPr>
                              <w:t>activities</w:t>
                            </w:r>
                          </w:p>
                          <w:p>
                            <w:pPr>
                              <w:pStyle w:val="BodyText"/>
                              <w:numPr>
                                <w:ilvl w:val="0"/>
                                <w:numId w:val="37"/>
                              </w:numPr>
                              <w:tabs>
                                <w:tab w:pos="357" w:val="left" w:leader="none"/>
                              </w:tabs>
                              <w:spacing w:line="288" w:lineRule="auto" w:before="126" w:after="0"/>
                              <w:ind w:left="357" w:right="508" w:hanging="216"/>
                              <w:jc w:val="left"/>
                              <w:rPr>
                                <w:color w:val="000000"/>
                              </w:rPr>
                            </w:pPr>
                            <w:r>
                              <w:rPr>
                                <w:color w:val="000000"/>
                              </w:rPr>
                              <w:t>Number</w:t>
                            </w:r>
                            <w:r>
                              <w:rPr>
                                <w:color w:val="000000"/>
                                <w:spacing w:val="-3"/>
                              </w:rPr>
                              <w:t> </w:t>
                            </w:r>
                            <w:r>
                              <w:rPr>
                                <w:color w:val="000000"/>
                              </w:rPr>
                              <w:t>of</w:t>
                            </w:r>
                            <w:r>
                              <w:rPr>
                                <w:color w:val="000000"/>
                                <w:spacing w:val="-2"/>
                              </w:rPr>
                              <w:t> </w:t>
                            </w:r>
                            <w:r>
                              <w:rPr>
                                <w:color w:val="000000"/>
                              </w:rPr>
                              <w:t>warning</w:t>
                            </w:r>
                            <w:r>
                              <w:rPr>
                                <w:color w:val="000000"/>
                                <w:spacing w:val="-2"/>
                              </w:rPr>
                              <w:t> </w:t>
                            </w:r>
                            <w:r>
                              <w:rPr>
                                <w:color w:val="000000"/>
                              </w:rPr>
                              <w:t>letters</w:t>
                            </w:r>
                            <w:r>
                              <w:rPr>
                                <w:color w:val="000000"/>
                                <w:spacing w:val="-3"/>
                              </w:rPr>
                              <w:t> </w:t>
                            </w:r>
                            <w:r>
                              <w:rPr>
                                <w:color w:val="000000"/>
                              </w:rPr>
                              <w:t>issued</w:t>
                            </w:r>
                            <w:r>
                              <w:rPr>
                                <w:color w:val="000000"/>
                                <w:spacing w:val="-6"/>
                              </w:rPr>
                              <w:t> </w:t>
                            </w:r>
                            <w:r>
                              <w:rPr>
                                <w:color w:val="000000"/>
                              </w:rPr>
                              <w:t>(numbers</w:t>
                            </w:r>
                            <w:r>
                              <w:rPr>
                                <w:color w:val="000000"/>
                                <w:spacing w:val="-6"/>
                              </w:rPr>
                              <w:t> </w:t>
                            </w:r>
                            <w:r>
                              <w:rPr>
                                <w:color w:val="000000"/>
                              </w:rPr>
                              <w:t>are</w:t>
                            </w:r>
                            <w:r>
                              <w:rPr>
                                <w:color w:val="000000"/>
                                <w:spacing w:val="-6"/>
                              </w:rPr>
                              <w:t> </w:t>
                            </w:r>
                            <w:r>
                              <w:rPr>
                                <w:color w:val="000000"/>
                              </w:rPr>
                              <w:t>specified</w:t>
                            </w:r>
                            <w:r>
                              <w:rPr>
                                <w:color w:val="000000"/>
                                <w:spacing w:val="-8"/>
                              </w:rPr>
                              <w:t> </w:t>
                            </w:r>
                            <w:r>
                              <w:rPr>
                                <w:color w:val="000000"/>
                              </w:rPr>
                              <w:t>for</w:t>
                            </w:r>
                            <w:r>
                              <w:rPr>
                                <w:color w:val="000000"/>
                                <w:spacing w:val="-3"/>
                              </w:rPr>
                              <w:t> </w:t>
                            </w:r>
                            <w:r>
                              <w:rPr>
                                <w:color w:val="000000"/>
                              </w:rPr>
                              <w:t>electricity</w:t>
                            </w:r>
                            <w:r>
                              <w:rPr>
                                <w:color w:val="000000"/>
                                <w:spacing w:val="-1"/>
                              </w:rPr>
                              <w:t> </w:t>
                            </w:r>
                            <w:r>
                              <w:rPr>
                                <w:color w:val="000000"/>
                              </w:rPr>
                              <w:t>infrastructure and for gas infrastructure)</w:t>
                            </w:r>
                          </w:p>
                          <w:p>
                            <w:pPr>
                              <w:pStyle w:val="BodyText"/>
                              <w:numPr>
                                <w:ilvl w:val="0"/>
                                <w:numId w:val="37"/>
                              </w:numPr>
                              <w:tabs>
                                <w:tab w:pos="356" w:val="left" w:leader="none"/>
                              </w:tabs>
                              <w:spacing w:line="240" w:lineRule="auto" w:before="17" w:after="0"/>
                              <w:ind w:left="356" w:right="0" w:hanging="215"/>
                              <w:jc w:val="left"/>
                              <w:rPr>
                                <w:color w:val="000000"/>
                              </w:rPr>
                            </w:pPr>
                            <w:r>
                              <w:rPr>
                                <w:color w:val="000000"/>
                              </w:rPr>
                              <w:t>Number</w:t>
                            </w:r>
                            <w:r>
                              <w:rPr>
                                <w:color w:val="000000"/>
                                <w:spacing w:val="-6"/>
                              </w:rPr>
                              <w:t> </w:t>
                            </w:r>
                            <w:r>
                              <w:rPr>
                                <w:color w:val="000000"/>
                              </w:rPr>
                              <w:t>of</w:t>
                            </w:r>
                            <w:r>
                              <w:rPr>
                                <w:color w:val="000000"/>
                                <w:spacing w:val="-3"/>
                              </w:rPr>
                              <w:t> </w:t>
                            </w:r>
                            <w:r>
                              <w:rPr>
                                <w:color w:val="000000"/>
                              </w:rPr>
                              <w:t>improvement</w:t>
                            </w:r>
                            <w:r>
                              <w:rPr>
                                <w:color w:val="000000"/>
                                <w:spacing w:val="-5"/>
                              </w:rPr>
                              <w:t> </w:t>
                            </w:r>
                            <w:r>
                              <w:rPr>
                                <w:color w:val="000000"/>
                              </w:rPr>
                              <w:t>notices</w:t>
                            </w:r>
                            <w:r>
                              <w:rPr>
                                <w:color w:val="000000"/>
                                <w:spacing w:val="-6"/>
                              </w:rPr>
                              <w:t> </w:t>
                            </w:r>
                            <w:r>
                              <w:rPr>
                                <w:color w:val="000000"/>
                              </w:rPr>
                              <w:t>(numbers</w:t>
                            </w:r>
                            <w:r>
                              <w:rPr>
                                <w:color w:val="000000"/>
                                <w:spacing w:val="-4"/>
                              </w:rPr>
                              <w:t> </w:t>
                            </w:r>
                            <w:r>
                              <w:rPr>
                                <w:color w:val="000000"/>
                              </w:rPr>
                              <w:t>are</w:t>
                            </w:r>
                            <w:r>
                              <w:rPr>
                                <w:color w:val="000000"/>
                                <w:spacing w:val="-6"/>
                              </w:rPr>
                              <w:t> </w:t>
                            </w:r>
                            <w:r>
                              <w:rPr>
                                <w:color w:val="000000"/>
                              </w:rPr>
                              <w:t>specified</w:t>
                            </w:r>
                            <w:r>
                              <w:rPr>
                                <w:color w:val="000000"/>
                                <w:spacing w:val="-9"/>
                              </w:rPr>
                              <w:t> </w:t>
                            </w:r>
                            <w:r>
                              <w:rPr>
                                <w:color w:val="000000"/>
                              </w:rPr>
                              <w:t>for</w:t>
                            </w:r>
                            <w:r>
                              <w:rPr>
                                <w:color w:val="000000"/>
                                <w:spacing w:val="-5"/>
                              </w:rPr>
                              <w:t> </w:t>
                            </w:r>
                            <w:r>
                              <w:rPr>
                                <w:color w:val="000000"/>
                              </w:rPr>
                              <w:t>gas</w:t>
                            </w:r>
                            <w:r>
                              <w:rPr>
                                <w:color w:val="000000"/>
                                <w:spacing w:val="-6"/>
                              </w:rPr>
                              <w:t> </w:t>
                            </w:r>
                            <w:r>
                              <w:rPr>
                                <w:color w:val="000000"/>
                                <w:spacing w:val="-2"/>
                              </w:rPr>
                              <w:t>infrastructure)</w:t>
                            </w:r>
                          </w:p>
                          <w:p>
                            <w:pPr>
                              <w:pStyle w:val="BodyText"/>
                              <w:numPr>
                                <w:ilvl w:val="0"/>
                                <w:numId w:val="37"/>
                              </w:numPr>
                              <w:tabs>
                                <w:tab w:pos="356" w:val="left" w:leader="none"/>
                              </w:tabs>
                              <w:spacing w:line="240" w:lineRule="auto" w:before="64" w:after="0"/>
                              <w:ind w:left="356" w:right="0" w:hanging="215"/>
                              <w:jc w:val="left"/>
                              <w:rPr>
                                <w:color w:val="000000"/>
                              </w:rPr>
                            </w:pPr>
                            <w:r>
                              <w:rPr>
                                <w:color w:val="000000"/>
                              </w:rPr>
                              <w:t>Number</w:t>
                            </w:r>
                            <w:r>
                              <w:rPr>
                                <w:color w:val="000000"/>
                                <w:spacing w:val="-5"/>
                              </w:rPr>
                              <w:t> </w:t>
                            </w:r>
                            <w:r>
                              <w:rPr>
                                <w:color w:val="000000"/>
                              </w:rPr>
                              <w:t>of</w:t>
                            </w:r>
                            <w:r>
                              <w:rPr>
                                <w:color w:val="000000"/>
                                <w:spacing w:val="-4"/>
                              </w:rPr>
                              <w:t> </w:t>
                            </w:r>
                            <w:r>
                              <w:rPr>
                                <w:color w:val="000000"/>
                              </w:rPr>
                              <w:t>infringement</w:t>
                            </w:r>
                            <w:r>
                              <w:rPr>
                                <w:color w:val="000000"/>
                                <w:spacing w:val="-9"/>
                              </w:rPr>
                              <w:t> </w:t>
                            </w:r>
                            <w:r>
                              <w:rPr>
                                <w:color w:val="000000"/>
                              </w:rPr>
                              <w:t>notices</w:t>
                            </w:r>
                            <w:r>
                              <w:rPr>
                                <w:color w:val="000000"/>
                                <w:spacing w:val="-7"/>
                              </w:rPr>
                              <w:t> </w:t>
                            </w:r>
                            <w:r>
                              <w:rPr>
                                <w:color w:val="000000"/>
                                <w:spacing w:val="-2"/>
                              </w:rPr>
                              <w:t>(total)</w:t>
                            </w:r>
                          </w:p>
                          <w:p>
                            <w:pPr>
                              <w:pStyle w:val="BodyText"/>
                              <w:numPr>
                                <w:ilvl w:val="0"/>
                                <w:numId w:val="37"/>
                              </w:numPr>
                              <w:tabs>
                                <w:tab w:pos="356" w:val="left" w:leader="none"/>
                              </w:tabs>
                              <w:spacing w:line="240" w:lineRule="auto" w:before="66" w:after="0"/>
                              <w:ind w:left="356" w:right="0" w:hanging="215"/>
                              <w:jc w:val="left"/>
                              <w:rPr>
                                <w:color w:val="000000"/>
                              </w:rPr>
                            </w:pPr>
                            <w:r>
                              <w:rPr>
                                <w:color w:val="000000"/>
                              </w:rPr>
                              <w:t>Number</w:t>
                            </w:r>
                            <w:r>
                              <w:rPr>
                                <w:color w:val="000000"/>
                                <w:spacing w:val="-7"/>
                              </w:rPr>
                              <w:t> </w:t>
                            </w:r>
                            <w:r>
                              <w:rPr>
                                <w:color w:val="000000"/>
                              </w:rPr>
                              <w:t>of</w:t>
                            </w:r>
                            <w:r>
                              <w:rPr>
                                <w:color w:val="000000"/>
                                <w:spacing w:val="-8"/>
                              </w:rPr>
                              <w:t> </w:t>
                            </w:r>
                            <w:r>
                              <w:rPr>
                                <w:color w:val="000000"/>
                              </w:rPr>
                              <w:t>prosecutions</w:t>
                            </w:r>
                            <w:r>
                              <w:rPr>
                                <w:color w:val="000000"/>
                                <w:spacing w:val="-8"/>
                              </w:rPr>
                              <w:t> </w:t>
                            </w:r>
                            <w:r>
                              <w:rPr>
                                <w:color w:val="000000"/>
                                <w:spacing w:val="-2"/>
                              </w:rPr>
                              <w:t>(total)</w:t>
                            </w:r>
                          </w:p>
                          <w:p>
                            <w:pPr>
                              <w:pStyle w:val="BodyText"/>
                              <w:spacing w:before="2"/>
                              <w:rPr>
                                <w:color w:val="000000"/>
                                <w:sz w:val="25"/>
                              </w:rPr>
                            </w:pPr>
                          </w:p>
                          <w:p>
                            <w:pPr>
                              <w:pStyle w:val="BodyText"/>
                              <w:spacing w:line="288" w:lineRule="auto"/>
                              <w:ind w:left="141"/>
                              <w:rPr>
                                <w:color w:val="000000"/>
                              </w:rPr>
                            </w:pPr>
                            <w:r>
                              <w:rPr>
                                <w:color w:val="000000"/>
                              </w:rPr>
                              <w:t>The</w:t>
                            </w:r>
                            <w:r>
                              <w:rPr>
                                <w:color w:val="000000"/>
                                <w:spacing w:val="-6"/>
                              </w:rPr>
                              <w:t> </w:t>
                            </w:r>
                            <w:r>
                              <w:rPr>
                                <w:color w:val="000000"/>
                              </w:rPr>
                              <w:t>explanatory</w:t>
                            </w:r>
                            <w:r>
                              <w:rPr>
                                <w:color w:val="000000"/>
                                <w:spacing w:val="-6"/>
                              </w:rPr>
                              <w:t> </w:t>
                            </w:r>
                            <w:r>
                              <w:rPr>
                                <w:color w:val="000000"/>
                              </w:rPr>
                              <w:t>notes</w:t>
                            </w:r>
                            <w:r>
                              <w:rPr>
                                <w:color w:val="000000"/>
                                <w:spacing w:val="-4"/>
                              </w:rPr>
                              <w:t> </w:t>
                            </w:r>
                            <w:r>
                              <w:rPr>
                                <w:color w:val="000000"/>
                              </w:rPr>
                              <w:t>provide</w:t>
                            </w:r>
                            <w:r>
                              <w:rPr>
                                <w:color w:val="000000"/>
                                <w:spacing w:val="-4"/>
                              </w:rPr>
                              <w:t> </w:t>
                            </w:r>
                            <w:r>
                              <w:rPr>
                                <w:color w:val="000000"/>
                              </w:rPr>
                              <w:t>information</w:t>
                            </w:r>
                            <w:r>
                              <w:rPr>
                                <w:color w:val="000000"/>
                                <w:spacing w:val="-4"/>
                              </w:rPr>
                              <w:t> </w:t>
                            </w:r>
                            <w:r>
                              <w:rPr>
                                <w:color w:val="000000"/>
                              </w:rPr>
                              <w:t>on</w:t>
                            </w:r>
                            <w:r>
                              <w:rPr>
                                <w:color w:val="000000"/>
                                <w:spacing w:val="-6"/>
                              </w:rPr>
                              <w:t> </w:t>
                            </w:r>
                            <w:r>
                              <w:rPr>
                                <w:color w:val="000000"/>
                              </w:rPr>
                              <w:t>some</w:t>
                            </w:r>
                            <w:r>
                              <w:rPr>
                                <w:color w:val="000000"/>
                                <w:spacing w:val="-4"/>
                              </w:rPr>
                              <w:t> </w:t>
                            </w:r>
                            <w:r>
                              <w:rPr>
                                <w:color w:val="000000"/>
                              </w:rPr>
                              <w:t>common</w:t>
                            </w:r>
                            <w:r>
                              <w:rPr>
                                <w:color w:val="000000"/>
                                <w:spacing w:val="-4"/>
                              </w:rPr>
                              <w:t> </w:t>
                            </w:r>
                            <w:r>
                              <w:rPr>
                                <w:color w:val="000000"/>
                              </w:rPr>
                              <w:t>subjects</w:t>
                            </w:r>
                            <w:r>
                              <w:rPr>
                                <w:color w:val="000000"/>
                                <w:spacing w:val="-3"/>
                              </w:rPr>
                              <w:t> </w:t>
                            </w:r>
                            <w:r>
                              <w:rPr>
                                <w:color w:val="000000"/>
                              </w:rPr>
                              <w:t>of</w:t>
                            </w:r>
                            <w:r>
                              <w:rPr>
                                <w:color w:val="000000"/>
                                <w:spacing w:val="-2"/>
                              </w:rPr>
                              <w:t> </w:t>
                            </w:r>
                            <w:r>
                              <w:rPr>
                                <w:color w:val="000000"/>
                              </w:rPr>
                              <w:t>investigations, notices and prosecutions (ESV, 2017a).</w:t>
                            </w:r>
                          </w:p>
                        </w:txbxContent>
                      </wps:txbx>
                      <wps:bodyPr wrap="square" lIns="0" tIns="0" rIns="0" bIns="0" rtlCol="0">
                        <a:noAutofit/>
                      </wps:bodyPr>
                    </wps:wsp>
                  </a:graphicData>
                </a:graphic>
              </wp:inline>
            </w:drawing>
          </mc:Choice>
          <mc:Fallback>
            <w:pict>
              <v:shape style="width:451.4pt;height:209.1pt;mso-position-horizontal-relative:char;mso-position-vertical-relative:line" type="#_x0000_t202" id="docshape100" filled="true" fillcolor="#cdebeb" stroked="false">
                <w10:anchorlock/>
                <v:textbox inset="0,0,0,0">
                  <w:txbxContent>
                    <w:p>
                      <w:pPr>
                        <w:pStyle w:val="BodyText"/>
                        <w:spacing w:line="288" w:lineRule="auto"/>
                        <w:ind w:left="141" w:right="205"/>
                        <w:rPr>
                          <w:color w:val="000000"/>
                        </w:rPr>
                      </w:pPr>
                      <w:r>
                        <w:rPr>
                          <w:color w:val="000000"/>
                        </w:rPr>
                        <w:t>The explanatory notes contain further information about various audits, consents to operate,</w:t>
                      </w:r>
                      <w:r>
                        <w:rPr>
                          <w:color w:val="000000"/>
                          <w:spacing w:val="-1"/>
                        </w:rPr>
                        <w:t> </w:t>
                      </w:r>
                      <w:r>
                        <w:rPr>
                          <w:color w:val="000000"/>
                        </w:rPr>
                        <w:t>consents</w:t>
                      </w:r>
                      <w:r>
                        <w:rPr>
                          <w:color w:val="000000"/>
                          <w:spacing w:val="-5"/>
                        </w:rPr>
                        <w:t> </w:t>
                      </w:r>
                      <w:r>
                        <w:rPr>
                          <w:color w:val="000000"/>
                        </w:rPr>
                        <w:t>to</w:t>
                      </w:r>
                      <w:r>
                        <w:rPr>
                          <w:color w:val="000000"/>
                          <w:spacing w:val="-5"/>
                        </w:rPr>
                        <w:t> </w:t>
                      </w:r>
                      <w:r>
                        <w:rPr>
                          <w:color w:val="000000"/>
                        </w:rPr>
                        <w:t>construct,</w:t>
                      </w:r>
                      <w:r>
                        <w:rPr>
                          <w:color w:val="000000"/>
                          <w:spacing w:val="-4"/>
                        </w:rPr>
                        <w:t> </w:t>
                      </w:r>
                      <w:r>
                        <w:rPr>
                          <w:color w:val="000000"/>
                        </w:rPr>
                        <w:t>and</w:t>
                      </w:r>
                      <w:r>
                        <w:rPr>
                          <w:color w:val="000000"/>
                          <w:spacing w:val="-5"/>
                        </w:rPr>
                        <w:t> </w:t>
                      </w:r>
                      <w:r>
                        <w:rPr>
                          <w:color w:val="000000"/>
                        </w:rPr>
                        <w:t>number</w:t>
                      </w:r>
                      <w:r>
                        <w:rPr>
                          <w:color w:val="000000"/>
                          <w:spacing w:val="-2"/>
                        </w:rPr>
                        <w:t> </w:t>
                      </w:r>
                      <w:r>
                        <w:rPr>
                          <w:color w:val="000000"/>
                        </w:rPr>
                        <w:t>of</w:t>
                      </w:r>
                      <w:r>
                        <w:rPr>
                          <w:color w:val="000000"/>
                          <w:spacing w:val="-1"/>
                        </w:rPr>
                        <w:t> </w:t>
                      </w:r>
                      <w:r>
                        <w:rPr>
                          <w:color w:val="000000"/>
                        </w:rPr>
                        <w:t>hits</w:t>
                      </w:r>
                      <w:r>
                        <w:rPr>
                          <w:color w:val="000000"/>
                          <w:spacing w:val="-2"/>
                        </w:rPr>
                        <w:t> </w:t>
                      </w:r>
                      <w:r>
                        <w:rPr>
                          <w:color w:val="000000"/>
                        </w:rPr>
                        <w:t>on</w:t>
                      </w:r>
                      <w:r>
                        <w:rPr>
                          <w:color w:val="000000"/>
                          <w:spacing w:val="-3"/>
                        </w:rPr>
                        <w:t> </w:t>
                      </w:r>
                      <w:r>
                        <w:rPr>
                          <w:color w:val="000000"/>
                        </w:rPr>
                        <w:t>services.</w:t>
                      </w:r>
                      <w:r>
                        <w:rPr>
                          <w:color w:val="000000"/>
                          <w:spacing w:val="-4"/>
                        </w:rPr>
                        <w:t> </w:t>
                      </w:r>
                      <w:r>
                        <w:rPr>
                          <w:color w:val="000000"/>
                        </w:rPr>
                        <w:t>The</w:t>
                      </w:r>
                      <w:r>
                        <w:rPr>
                          <w:color w:val="000000"/>
                          <w:spacing w:val="-5"/>
                        </w:rPr>
                        <w:t> </w:t>
                      </w:r>
                      <w:r>
                        <w:rPr>
                          <w:color w:val="000000"/>
                        </w:rPr>
                        <w:t>Report</w:t>
                      </w:r>
                      <w:r>
                        <w:rPr>
                          <w:color w:val="000000"/>
                          <w:spacing w:val="-1"/>
                        </w:rPr>
                        <w:t> </w:t>
                      </w:r>
                      <w:r>
                        <w:rPr>
                          <w:color w:val="000000"/>
                        </w:rPr>
                        <w:t>also</w:t>
                      </w:r>
                      <w:r>
                        <w:rPr>
                          <w:color w:val="000000"/>
                          <w:spacing w:val="-5"/>
                        </w:rPr>
                        <w:t> </w:t>
                      </w:r>
                      <w:r>
                        <w:rPr>
                          <w:color w:val="000000"/>
                        </w:rPr>
                        <w:t>contains information and tables on electrolysis mitigation and cathodic protection systems.</w:t>
                      </w:r>
                    </w:p>
                    <w:p>
                      <w:pPr>
                        <w:pStyle w:val="BodyText"/>
                        <w:rPr>
                          <w:color w:val="000000"/>
                          <w:sz w:val="21"/>
                        </w:rPr>
                      </w:pPr>
                    </w:p>
                    <w:p>
                      <w:pPr>
                        <w:spacing w:before="0"/>
                        <w:ind w:left="112" w:right="0" w:firstLine="0"/>
                        <w:jc w:val="left"/>
                        <w:rPr>
                          <w:i/>
                          <w:color w:val="000000"/>
                          <w:sz w:val="22"/>
                        </w:rPr>
                      </w:pPr>
                      <w:r>
                        <w:rPr>
                          <w:i/>
                          <w:color w:val="000000"/>
                          <w:sz w:val="22"/>
                        </w:rPr>
                        <w:t>Enforcement</w:t>
                      </w:r>
                      <w:r>
                        <w:rPr>
                          <w:i/>
                          <w:color w:val="000000"/>
                          <w:spacing w:val="-8"/>
                          <w:sz w:val="22"/>
                        </w:rPr>
                        <w:t> </w:t>
                      </w:r>
                      <w:r>
                        <w:rPr>
                          <w:i/>
                          <w:color w:val="000000"/>
                          <w:spacing w:val="-2"/>
                          <w:sz w:val="22"/>
                        </w:rPr>
                        <w:t>activities</w:t>
                      </w:r>
                    </w:p>
                    <w:p>
                      <w:pPr>
                        <w:pStyle w:val="BodyText"/>
                        <w:numPr>
                          <w:ilvl w:val="0"/>
                          <w:numId w:val="37"/>
                        </w:numPr>
                        <w:tabs>
                          <w:tab w:pos="357" w:val="left" w:leader="none"/>
                        </w:tabs>
                        <w:spacing w:line="288" w:lineRule="auto" w:before="126" w:after="0"/>
                        <w:ind w:left="357" w:right="508" w:hanging="216"/>
                        <w:jc w:val="left"/>
                        <w:rPr>
                          <w:color w:val="000000"/>
                        </w:rPr>
                      </w:pPr>
                      <w:r>
                        <w:rPr>
                          <w:color w:val="000000"/>
                        </w:rPr>
                        <w:t>Number</w:t>
                      </w:r>
                      <w:r>
                        <w:rPr>
                          <w:color w:val="000000"/>
                          <w:spacing w:val="-3"/>
                        </w:rPr>
                        <w:t> </w:t>
                      </w:r>
                      <w:r>
                        <w:rPr>
                          <w:color w:val="000000"/>
                        </w:rPr>
                        <w:t>of</w:t>
                      </w:r>
                      <w:r>
                        <w:rPr>
                          <w:color w:val="000000"/>
                          <w:spacing w:val="-2"/>
                        </w:rPr>
                        <w:t> </w:t>
                      </w:r>
                      <w:r>
                        <w:rPr>
                          <w:color w:val="000000"/>
                        </w:rPr>
                        <w:t>warning</w:t>
                      </w:r>
                      <w:r>
                        <w:rPr>
                          <w:color w:val="000000"/>
                          <w:spacing w:val="-2"/>
                        </w:rPr>
                        <w:t> </w:t>
                      </w:r>
                      <w:r>
                        <w:rPr>
                          <w:color w:val="000000"/>
                        </w:rPr>
                        <w:t>letters</w:t>
                      </w:r>
                      <w:r>
                        <w:rPr>
                          <w:color w:val="000000"/>
                          <w:spacing w:val="-3"/>
                        </w:rPr>
                        <w:t> </w:t>
                      </w:r>
                      <w:r>
                        <w:rPr>
                          <w:color w:val="000000"/>
                        </w:rPr>
                        <w:t>issued</w:t>
                      </w:r>
                      <w:r>
                        <w:rPr>
                          <w:color w:val="000000"/>
                          <w:spacing w:val="-6"/>
                        </w:rPr>
                        <w:t> </w:t>
                      </w:r>
                      <w:r>
                        <w:rPr>
                          <w:color w:val="000000"/>
                        </w:rPr>
                        <w:t>(numbers</w:t>
                      </w:r>
                      <w:r>
                        <w:rPr>
                          <w:color w:val="000000"/>
                          <w:spacing w:val="-6"/>
                        </w:rPr>
                        <w:t> </w:t>
                      </w:r>
                      <w:r>
                        <w:rPr>
                          <w:color w:val="000000"/>
                        </w:rPr>
                        <w:t>are</w:t>
                      </w:r>
                      <w:r>
                        <w:rPr>
                          <w:color w:val="000000"/>
                          <w:spacing w:val="-6"/>
                        </w:rPr>
                        <w:t> </w:t>
                      </w:r>
                      <w:r>
                        <w:rPr>
                          <w:color w:val="000000"/>
                        </w:rPr>
                        <w:t>specified</w:t>
                      </w:r>
                      <w:r>
                        <w:rPr>
                          <w:color w:val="000000"/>
                          <w:spacing w:val="-8"/>
                        </w:rPr>
                        <w:t> </w:t>
                      </w:r>
                      <w:r>
                        <w:rPr>
                          <w:color w:val="000000"/>
                        </w:rPr>
                        <w:t>for</w:t>
                      </w:r>
                      <w:r>
                        <w:rPr>
                          <w:color w:val="000000"/>
                          <w:spacing w:val="-3"/>
                        </w:rPr>
                        <w:t> </w:t>
                      </w:r>
                      <w:r>
                        <w:rPr>
                          <w:color w:val="000000"/>
                        </w:rPr>
                        <w:t>electricity</w:t>
                      </w:r>
                      <w:r>
                        <w:rPr>
                          <w:color w:val="000000"/>
                          <w:spacing w:val="-1"/>
                        </w:rPr>
                        <w:t> </w:t>
                      </w:r>
                      <w:r>
                        <w:rPr>
                          <w:color w:val="000000"/>
                        </w:rPr>
                        <w:t>infrastructure and for gas infrastructure)</w:t>
                      </w:r>
                    </w:p>
                    <w:p>
                      <w:pPr>
                        <w:pStyle w:val="BodyText"/>
                        <w:numPr>
                          <w:ilvl w:val="0"/>
                          <w:numId w:val="37"/>
                        </w:numPr>
                        <w:tabs>
                          <w:tab w:pos="356" w:val="left" w:leader="none"/>
                        </w:tabs>
                        <w:spacing w:line="240" w:lineRule="auto" w:before="17" w:after="0"/>
                        <w:ind w:left="356" w:right="0" w:hanging="215"/>
                        <w:jc w:val="left"/>
                        <w:rPr>
                          <w:color w:val="000000"/>
                        </w:rPr>
                      </w:pPr>
                      <w:r>
                        <w:rPr>
                          <w:color w:val="000000"/>
                        </w:rPr>
                        <w:t>Number</w:t>
                      </w:r>
                      <w:r>
                        <w:rPr>
                          <w:color w:val="000000"/>
                          <w:spacing w:val="-6"/>
                        </w:rPr>
                        <w:t> </w:t>
                      </w:r>
                      <w:r>
                        <w:rPr>
                          <w:color w:val="000000"/>
                        </w:rPr>
                        <w:t>of</w:t>
                      </w:r>
                      <w:r>
                        <w:rPr>
                          <w:color w:val="000000"/>
                          <w:spacing w:val="-3"/>
                        </w:rPr>
                        <w:t> </w:t>
                      </w:r>
                      <w:r>
                        <w:rPr>
                          <w:color w:val="000000"/>
                        </w:rPr>
                        <w:t>improvement</w:t>
                      </w:r>
                      <w:r>
                        <w:rPr>
                          <w:color w:val="000000"/>
                          <w:spacing w:val="-5"/>
                        </w:rPr>
                        <w:t> </w:t>
                      </w:r>
                      <w:r>
                        <w:rPr>
                          <w:color w:val="000000"/>
                        </w:rPr>
                        <w:t>notices</w:t>
                      </w:r>
                      <w:r>
                        <w:rPr>
                          <w:color w:val="000000"/>
                          <w:spacing w:val="-6"/>
                        </w:rPr>
                        <w:t> </w:t>
                      </w:r>
                      <w:r>
                        <w:rPr>
                          <w:color w:val="000000"/>
                        </w:rPr>
                        <w:t>(numbers</w:t>
                      </w:r>
                      <w:r>
                        <w:rPr>
                          <w:color w:val="000000"/>
                          <w:spacing w:val="-4"/>
                        </w:rPr>
                        <w:t> </w:t>
                      </w:r>
                      <w:r>
                        <w:rPr>
                          <w:color w:val="000000"/>
                        </w:rPr>
                        <w:t>are</w:t>
                      </w:r>
                      <w:r>
                        <w:rPr>
                          <w:color w:val="000000"/>
                          <w:spacing w:val="-6"/>
                        </w:rPr>
                        <w:t> </w:t>
                      </w:r>
                      <w:r>
                        <w:rPr>
                          <w:color w:val="000000"/>
                        </w:rPr>
                        <w:t>specified</w:t>
                      </w:r>
                      <w:r>
                        <w:rPr>
                          <w:color w:val="000000"/>
                          <w:spacing w:val="-9"/>
                        </w:rPr>
                        <w:t> </w:t>
                      </w:r>
                      <w:r>
                        <w:rPr>
                          <w:color w:val="000000"/>
                        </w:rPr>
                        <w:t>for</w:t>
                      </w:r>
                      <w:r>
                        <w:rPr>
                          <w:color w:val="000000"/>
                          <w:spacing w:val="-5"/>
                        </w:rPr>
                        <w:t> </w:t>
                      </w:r>
                      <w:r>
                        <w:rPr>
                          <w:color w:val="000000"/>
                        </w:rPr>
                        <w:t>gas</w:t>
                      </w:r>
                      <w:r>
                        <w:rPr>
                          <w:color w:val="000000"/>
                          <w:spacing w:val="-6"/>
                        </w:rPr>
                        <w:t> </w:t>
                      </w:r>
                      <w:r>
                        <w:rPr>
                          <w:color w:val="000000"/>
                          <w:spacing w:val="-2"/>
                        </w:rPr>
                        <w:t>infrastructure)</w:t>
                      </w:r>
                    </w:p>
                    <w:p>
                      <w:pPr>
                        <w:pStyle w:val="BodyText"/>
                        <w:numPr>
                          <w:ilvl w:val="0"/>
                          <w:numId w:val="37"/>
                        </w:numPr>
                        <w:tabs>
                          <w:tab w:pos="356" w:val="left" w:leader="none"/>
                        </w:tabs>
                        <w:spacing w:line="240" w:lineRule="auto" w:before="64" w:after="0"/>
                        <w:ind w:left="356" w:right="0" w:hanging="215"/>
                        <w:jc w:val="left"/>
                        <w:rPr>
                          <w:color w:val="000000"/>
                        </w:rPr>
                      </w:pPr>
                      <w:r>
                        <w:rPr>
                          <w:color w:val="000000"/>
                        </w:rPr>
                        <w:t>Number</w:t>
                      </w:r>
                      <w:r>
                        <w:rPr>
                          <w:color w:val="000000"/>
                          <w:spacing w:val="-5"/>
                        </w:rPr>
                        <w:t> </w:t>
                      </w:r>
                      <w:r>
                        <w:rPr>
                          <w:color w:val="000000"/>
                        </w:rPr>
                        <w:t>of</w:t>
                      </w:r>
                      <w:r>
                        <w:rPr>
                          <w:color w:val="000000"/>
                          <w:spacing w:val="-4"/>
                        </w:rPr>
                        <w:t> </w:t>
                      </w:r>
                      <w:r>
                        <w:rPr>
                          <w:color w:val="000000"/>
                        </w:rPr>
                        <w:t>infringement</w:t>
                      </w:r>
                      <w:r>
                        <w:rPr>
                          <w:color w:val="000000"/>
                          <w:spacing w:val="-9"/>
                        </w:rPr>
                        <w:t> </w:t>
                      </w:r>
                      <w:r>
                        <w:rPr>
                          <w:color w:val="000000"/>
                        </w:rPr>
                        <w:t>notices</w:t>
                      </w:r>
                      <w:r>
                        <w:rPr>
                          <w:color w:val="000000"/>
                          <w:spacing w:val="-7"/>
                        </w:rPr>
                        <w:t> </w:t>
                      </w:r>
                      <w:r>
                        <w:rPr>
                          <w:color w:val="000000"/>
                          <w:spacing w:val="-2"/>
                        </w:rPr>
                        <w:t>(total)</w:t>
                      </w:r>
                    </w:p>
                    <w:p>
                      <w:pPr>
                        <w:pStyle w:val="BodyText"/>
                        <w:numPr>
                          <w:ilvl w:val="0"/>
                          <w:numId w:val="37"/>
                        </w:numPr>
                        <w:tabs>
                          <w:tab w:pos="356" w:val="left" w:leader="none"/>
                        </w:tabs>
                        <w:spacing w:line="240" w:lineRule="auto" w:before="66" w:after="0"/>
                        <w:ind w:left="356" w:right="0" w:hanging="215"/>
                        <w:jc w:val="left"/>
                        <w:rPr>
                          <w:color w:val="000000"/>
                        </w:rPr>
                      </w:pPr>
                      <w:r>
                        <w:rPr>
                          <w:color w:val="000000"/>
                        </w:rPr>
                        <w:t>Number</w:t>
                      </w:r>
                      <w:r>
                        <w:rPr>
                          <w:color w:val="000000"/>
                          <w:spacing w:val="-7"/>
                        </w:rPr>
                        <w:t> </w:t>
                      </w:r>
                      <w:r>
                        <w:rPr>
                          <w:color w:val="000000"/>
                        </w:rPr>
                        <w:t>of</w:t>
                      </w:r>
                      <w:r>
                        <w:rPr>
                          <w:color w:val="000000"/>
                          <w:spacing w:val="-8"/>
                        </w:rPr>
                        <w:t> </w:t>
                      </w:r>
                      <w:r>
                        <w:rPr>
                          <w:color w:val="000000"/>
                        </w:rPr>
                        <w:t>prosecutions</w:t>
                      </w:r>
                      <w:r>
                        <w:rPr>
                          <w:color w:val="000000"/>
                          <w:spacing w:val="-8"/>
                        </w:rPr>
                        <w:t> </w:t>
                      </w:r>
                      <w:r>
                        <w:rPr>
                          <w:color w:val="000000"/>
                          <w:spacing w:val="-2"/>
                        </w:rPr>
                        <w:t>(total)</w:t>
                      </w:r>
                    </w:p>
                    <w:p>
                      <w:pPr>
                        <w:pStyle w:val="BodyText"/>
                        <w:spacing w:before="2"/>
                        <w:rPr>
                          <w:color w:val="000000"/>
                          <w:sz w:val="25"/>
                        </w:rPr>
                      </w:pPr>
                    </w:p>
                    <w:p>
                      <w:pPr>
                        <w:pStyle w:val="BodyText"/>
                        <w:spacing w:line="288" w:lineRule="auto"/>
                        <w:ind w:left="141"/>
                        <w:rPr>
                          <w:color w:val="000000"/>
                        </w:rPr>
                      </w:pPr>
                      <w:r>
                        <w:rPr>
                          <w:color w:val="000000"/>
                        </w:rPr>
                        <w:t>The</w:t>
                      </w:r>
                      <w:r>
                        <w:rPr>
                          <w:color w:val="000000"/>
                          <w:spacing w:val="-6"/>
                        </w:rPr>
                        <w:t> </w:t>
                      </w:r>
                      <w:r>
                        <w:rPr>
                          <w:color w:val="000000"/>
                        </w:rPr>
                        <w:t>explanatory</w:t>
                      </w:r>
                      <w:r>
                        <w:rPr>
                          <w:color w:val="000000"/>
                          <w:spacing w:val="-6"/>
                        </w:rPr>
                        <w:t> </w:t>
                      </w:r>
                      <w:r>
                        <w:rPr>
                          <w:color w:val="000000"/>
                        </w:rPr>
                        <w:t>notes</w:t>
                      </w:r>
                      <w:r>
                        <w:rPr>
                          <w:color w:val="000000"/>
                          <w:spacing w:val="-4"/>
                        </w:rPr>
                        <w:t> </w:t>
                      </w:r>
                      <w:r>
                        <w:rPr>
                          <w:color w:val="000000"/>
                        </w:rPr>
                        <w:t>provide</w:t>
                      </w:r>
                      <w:r>
                        <w:rPr>
                          <w:color w:val="000000"/>
                          <w:spacing w:val="-4"/>
                        </w:rPr>
                        <w:t> </w:t>
                      </w:r>
                      <w:r>
                        <w:rPr>
                          <w:color w:val="000000"/>
                        </w:rPr>
                        <w:t>information</w:t>
                      </w:r>
                      <w:r>
                        <w:rPr>
                          <w:color w:val="000000"/>
                          <w:spacing w:val="-4"/>
                        </w:rPr>
                        <w:t> </w:t>
                      </w:r>
                      <w:r>
                        <w:rPr>
                          <w:color w:val="000000"/>
                        </w:rPr>
                        <w:t>on</w:t>
                      </w:r>
                      <w:r>
                        <w:rPr>
                          <w:color w:val="000000"/>
                          <w:spacing w:val="-6"/>
                        </w:rPr>
                        <w:t> </w:t>
                      </w:r>
                      <w:r>
                        <w:rPr>
                          <w:color w:val="000000"/>
                        </w:rPr>
                        <w:t>some</w:t>
                      </w:r>
                      <w:r>
                        <w:rPr>
                          <w:color w:val="000000"/>
                          <w:spacing w:val="-4"/>
                        </w:rPr>
                        <w:t> </w:t>
                      </w:r>
                      <w:r>
                        <w:rPr>
                          <w:color w:val="000000"/>
                        </w:rPr>
                        <w:t>common</w:t>
                      </w:r>
                      <w:r>
                        <w:rPr>
                          <w:color w:val="000000"/>
                          <w:spacing w:val="-4"/>
                        </w:rPr>
                        <w:t> </w:t>
                      </w:r>
                      <w:r>
                        <w:rPr>
                          <w:color w:val="000000"/>
                        </w:rPr>
                        <w:t>subjects</w:t>
                      </w:r>
                      <w:r>
                        <w:rPr>
                          <w:color w:val="000000"/>
                          <w:spacing w:val="-3"/>
                        </w:rPr>
                        <w:t> </w:t>
                      </w:r>
                      <w:r>
                        <w:rPr>
                          <w:color w:val="000000"/>
                        </w:rPr>
                        <w:t>of</w:t>
                      </w:r>
                      <w:r>
                        <w:rPr>
                          <w:color w:val="000000"/>
                          <w:spacing w:val="-2"/>
                        </w:rPr>
                        <w:t> </w:t>
                      </w:r>
                      <w:r>
                        <w:rPr>
                          <w:color w:val="000000"/>
                        </w:rPr>
                        <w:t>investigations, notices and prosecutions (ESV, 2017a).</w:t>
                      </w:r>
                    </w:p>
                  </w:txbxContent>
                </v:textbox>
                <v:fill type="solid"/>
              </v:shape>
            </w:pict>
          </mc:Fallback>
        </mc:AlternateContent>
      </w:r>
      <w:r>
        <w:rPr>
          <w:sz w:val="20"/>
        </w:rPr>
      </w:r>
    </w:p>
    <w:p>
      <w:pPr>
        <w:pStyle w:val="BodyText"/>
        <w:spacing w:before="11"/>
        <w:rPr>
          <w:sz w:val="21"/>
        </w:rPr>
      </w:pPr>
    </w:p>
    <w:p>
      <w:pPr>
        <w:pStyle w:val="Heading4"/>
        <w:spacing w:line="288" w:lineRule="auto"/>
        <w:ind w:left="600"/>
      </w:pPr>
      <w:r>
        <w:rPr>
          <w:color w:val="585858"/>
        </w:rPr>
        <w:t>ESV’s</w:t>
      </w:r>
      <w:r>
        <w:rPr>
          <w:color w:val="585858"/>
          <w:spacing w:val="-10"/>
        </w:rPr>
        <w:t> </w:t>
      </w:r>
      <w:r>
        <w:rPr>
          <w:color w:val="585858"/>
        </w:rPr>
        <w:t>network</w:t>
      </w:r>
      <w:r>
        <w:rPr>
          <w:color w:val="585858"/>
          <w:spacing w:val="-10"/>
        </w:rPr>
        <w:t> </w:t>
      </w:r>
      <w:r>
        <w:rPr>
          <w:color w:val="585858"/>
        </w:rPr>
        <w:t>regulation</w:t>
      </w:r>
      <w:r>
        <w:rPr>
          <w:color w:val="585858"/>
          <w:spacing w:val="-10"/>
        </w:rPr>
        <w:t> </w:t>
      </w:r>
      <w:r>
        <w:rPr>
          <w:color w:val="585858"/>
        </w:rPr>
        <w:t>organisational</w:t>
      </w:r>
      <w:r>
        <w:rPr>
          <w:color w:val="585858"/>
          <w:spacing w:val="-10"/>
        </w:rPr>
        <w:t> </w:t>
      </w:r>
      <w:r>
        <w:rPr>
          <w:color w:val="585858"/>
        </w:rPr>
        <w:t>arrangements</w:t>
      </w:r>
      <w:r>
        <w:rPr>
          <w:color w:val="585858"/>
          <w:spacing w:val="-10"/>
        </w:rPr>
        <w:t> </w:t>
      </w:r>
      <w:r>
        <w:rPr>
          <w:color w:val="585858"/>
        </w:rPr>
        <w:t>and </w:t>
      </w:r>
      <w:r>
        <w:rPr>
          <w:color w:val="585858"/>
          <w:spacing w:val="-2"/>
        </w:rPr>
        <w:t>capabilities</w:t>
      </w:r>
    </w:p>
    <w:p>
      <w:pPr>
        <w:pStyle w:val="BodyText"/>
        <w:spacing w:line="288" w:lineRule="auto" w:before="240"/>
        <w:ind w:left="600" w:right="374"/>
      </w:pPr>
      <w:r>
        <w:rPr/>
        <w:t>ESV</w:t>
      </w:r>
      <w:r>
        <w:rPr>
          <w:spacing w:val="-3"/>
        </w:rPr>
        <w:t> </w:t>
      </w:r>
      <w:r>
        <w:rPr/>
        <w:t>has</w:t>
      </w:r>
      <w:r>
        <w:rPr>
          <w:spacing w:val="-2"/>
        </w:rPr>
        <w:t> </w:t>
      </w:r>
      <w:r>
        <w:rPr/>
        <w:t>three</w:t>
      </w:r>
      <w:r>
        <w:rPr>
          <w:spacing w:val="-3"/>
        </w:rPr>
        <w:t> </w:t>
      </w:r>
      <w:r>
        <w:rPr/>
        <w:t>divisions</w:t>
      </w:r>
      <w:r>
        <w:rPr>
          <w:spacing w:val="-2"/>
        </w:rPr>
        <w:t> </w:t>
      </w:r>
      <w:r>
        <w:rPr/>
        <w:t>that</w:t>
      </w:r>
      <w:r>
        <w:rPr>
          <w:spacing w:val="-1"/>
        </w:rPr>
        <w:t> </w:t>
      </w:r>
      <w:r>
        <w:rPr/>
        <w:t>are</w:t>
      </w:r>
      <w:r>
        <w:rPr>
          <w:spacing w:val="-1"/>
        </w:rPr>
        <w:t> </w:t>
      </w:r>
      <w:r>
        <w:rPr/>
        <w:t>directly</w:t>
      </w:r>
      <w:r>
        <w:rPr>
          <w:spacing w:val="-5"/>
        </w:rPr>
        <w:t> </w:t>
      </w:r>
      <w:r>
        <w:rPr/>
        <w:t>involved</w:t>
      </w:r>
      <w:r>
        <w:rPr>
          <w:spacing w:val="-3"/>
        </w:rPr>
        <w:t> </w:t>
      </w:r>
      <w:r>
        <w:rPr/>
        <w:t>in</w:t>
      </w:r>
      <w:r>
        <w:rPr>
          <w:spacing w:val="-3"/>
        </w:rPr>
        <w:t> </w:t>
      </w:r>
      <w:r>
        <w:rPr/>
        <w:t>the</w:t>
      </w:r>
      <w:r>
        <w:rPr>
          <w:spacing w:val="-5"/>
        </w:rPr>
        <w:t> </w:t>
      </w:r>
      <w:r>
        <w:rPr/>
        <w:t>regulation</w:t>
      </w:r>
      <w:r>
        <w:rPr>
          <w:spacing w:val="-5"/>
        </w:rPr>
        <w:t> </w:t>
      </w:r>
      <w:r>
        <w:rPr/>
        <w:t>of</w:t>
      </w:r>
      <w:r>
        <w:rPr>
          <w:spacing w:val="-1"/>
        </w:rPr>
        <w:t> </w:t>
      </w:r>
      <w:r>
        <w:rPr/>
        <w:t>electricity</w:t>
      </w:r>
      <w:r>
        <w:rPr>
          <w:spacing w:val="-5"/>
        </w:rPr>
        <w:t> </w:t>
      </w:r>
      <w:r>
        <w:rPr/>
        <w:t>and</w:t>
      </w:r>
      <w:r>
        <w:rPr>
          <w:spacing w:val="-5"/>
        </w:rPr>
        <w:t> </w:t>
      </w:r>
      <w:r>
        <w:rPr/>
        <w:t>gas networks, or closely support that regulation:</w:t>
      </w:r>
    </w:p>
    <w:p>
      <w:pPr>
        <w:pStyle w:val="BodyText"/>
        <w:spacing w:before="4"/>
      </w:pPr>
    </w:p>
    <w:p>
      <w:pPr>
        <w:pStyle w:val="ListParagraph"/>
        <w:numPr>
          <w:ilvl w:val="0"/>
          <w:numId w:val="35"/>
        </w:numPr>
        <w:tabs>
          <w:tab w:pos="957" w:val="left" w:leader="none"/>
        </w:tabs>
        <w:spacing w:line="240" w:lineRule="auto" w:before="0" w:after="0"/>
        <w:ind w:left="957" w:right="0" w:hanging="357"/>
        <w:jc w:val="left"/>
        <w:rPr>
          <w:sz w:val="22"/>
        </w:rPr>
      </w:pPr>
      <w:r>
        <w:rPr>
          <w:sz w:val="22"/>
        </w:rPr>
        <w:t>Electrical</w:t>
      </w:r>
      <w:r>
        <w:rPr>
          <w:spacing w:val="-7"/>
          <w:sz w:val="22"/>
        </w:rPr>
        <w:t> </w:t>
      </w:r>
      <w:r>
        <w:rPr>
          <w:sz w:val="22"/>
        </w:rPr>
        <w:t>Safety</w:t>
      </w:r>
      <w:r>
        <w:rPr>
          <w:spacing w:val="-6"/>
          <w:sz w:val="22"/>
        </w:rPr>
        <w:t> </w:t>
      </w:r>
      <w:r>
        <w:rPr>
          <w:sz w:val="22"/>
        </w:rPr>
        <w:t>and</w:t>
      </w:r>
      <w:r>
        <w:rPr>
          <w:spacing w:val="-7"/>
          <w:sz w:val="22"/>
        </w:rPr>
        <w:t> </w:t>
      </w:r>
      <w:r>
        <w:rPr>
          <w:sz w:val="22"/>
        </w:rPr>
        <w:t>Technical</w:t>
      </w:r>
      <w:r>
        <w:rPr>
          <w:spacing w:val="-6"/>
          <w:sz w:val="22"/>
        </w:rPr>
        <w:t> </w:t>
      </w:r>
      <w:r>
        <w:rPr>
          <w:spacing w:val="-2"/>
          <w:sz w:val="22"/>
        </w:rPr>
        <w:t>Regulation;</w:t>
      </w:r>
    </w:p>
    <w:p>
      <w:pPr>
        <w:pStyle w:val="ListParagraph"/>
        <w:numPr>
          <w:ilvl w:val="0"/>
          <w:numId w:val="35"/>
        </w:numPr>
        <w:tabs>
          <w:tab w:pos="957" w:val="left" w:leader="none"/>
        </w:tabs>
        <w:spacing w:line="240" w:lineRule="auto" w:before="64" w:after="0"/>
        <w:ind w:left="957" w:right="0" w:hanging="357"/>
        <w:jc w:val="left"/>
        <w:rPr>
          <w:sz w:val="22"/>
        </w:rPr>
      </w:pPr>
      <w:r>
        <w:rPr>
          <w:sz w:val="22"/>
        </w:rPr>
        <w:t>Gas</w:t>
      </w:r>
      <w:r>
        <w:rPr>
          <w:spacing w:val="-5"/>
          <w:sz w:val="22"/>
        </w:rPr>
        <w:t> </w:t>
      </w:r>
      <w:r>
        <w:rPr>
          <w:sz w:val="22"/>
        </w:rPr>
        <w:t>and</w:t>
      </w:r>
      <w:r>
        <w:rPr>
          <w:spacing w:val="-7"/>
          <w:sz w:val="22"/>
        </w:rPr>
        <w:t> </w:t>
      </w:r>
      <w:r>
        <w:rPr>
          <w:sz w:val="22"/>
        </w:rPr>
        <w:t>Pipeline</w:t>
      </w:r>
      <w:r>
        <w:rPr>
          <w:spacing w:val="-4"/>
          <w:sz w:val="22"/>
        </w:rPr>
        <w:t> </w:t>
      </w:r>
      <w:r>
        <w:rPr>
          <w:sz w:val="22"/>
        </w:rPr>
        <w:t>Safety</w:t>
      </w:r>
      <w:r>
        <w:rPr>
          <w:spacing w:val="-8"/>
          <w:sz w:val="22"/>
        </w:rPr>
        <w:t> </w:t>
      </w:r>
      <w:r>
        <w:rPr>
          <w:sz w:val="22"/>
        </w:rPr>
        <w:t>and</w:t>
      </w:r>
      <w:r>
        <w:rPr>
          <w:spacing w:val="-6"/>
          <w:sz w:val="22"/>
        </w:rPr>
        <w:t> </w:t>
      </w:r>
      <w:r>
        <w:rPr>
          <w:sz w:val="22"/>
        </w:rPr>
        <w:t>Technical</w:t>
      </w:r>
      <w:r>
        <w:rPr>
          <w:spacing w:val="-6"/>
          <w:sz w:val="22"/>
        </w:rPr>
        <w:t> </w:t>
      </w:r>
      <w:r>
        <w:rPr>
          <w:sz w:val="22"/>
        </w:rPr>
        <w:t>Regulation;</w:t>
      </w:r>
      <w:r>
        <w:rPr>
          <w:spacing w:val="-2"/>
          <w:sz w:val="22"/>
        </w:rPr>
        <w:t> </w:t>
      </w:r>
      <w:r>
        <w:rPr>
          <w:spacing w:val="-5"/>
          <w:sz w:val="22"/>
        </w:rPr>
        <w:t>and</w:t>
      </w:r>
    </w:p>
    <w:p>
      <w:pPr>
        <w:pStyle w:val="ListParagraph"/>
        <w:numPr>
          <w:ilvl w:val="0"/>
          <w:numId w:val="35"/>
        </w:numPr>
        <w:tabs>
          <w:tab w:pos="957" w:val="left" w:leader="none"/>
        </w:tabs>
        <w:spacing w:line="240" w:lineRule="auto" w:before="66" w:after="0"/>
        <w:ind w:left="957" w:right="0" w:hanging="359"/>
        <w:jc w:val="left"/>
        <w:rPr>
          <w:sz w:val="22"/>
        </w:rPr>
      </w:pPr>
      <w:r>
        <w:rPr>
          <w:sz w:val="22"/>
        </w:rPr>
        <w:t>Risk,</w:t>
      </w:r>
      <w:r>
        <w:rPr>
          <w:spacing w:val="-6"/>
          <w:sz w:val="22"/>
        </w:rPr>
        <w:t> </w:t>
      </w:r>
      <w:r>
        <w:rPr>
          <w:sz w:val="22"/>
        </w:rPr>
        <w:t>Regulatory</w:t>
      </w:r>
      <w:r>
        <w:rPr>
          <w:spacing w:val="-7"/>
          <w:sz w:val="22"/>
        </w:rPr>
        <w:t> </w:t>
      </w:r>
      <w:r>
        <w:rPr>
          <w:sz w:val="22"/>
        </w:rPr>
        <w:t>Planning</w:t>
      </w:r>
      <w:r>
        <w:rPr>
          <w:spacing w:val="-5"/>
          <w:sz w:val="22"/>
        </w:rPr>
        <w:t> </w:t>
      </w:r>
      <w:r>
        <w:rPr>
          <w:sz w:val="22"/>
        </w:rPr>
        <w:t>and</w:t>
      </w:r>
      <w:r>
        <w:rPr>
          <w:spacing w:val="-5"/>
          <w:sz w:val="22"/>
        </w:rPr>
        <w:t> </w:t>
      </w:r>
      <w:r>
        <w:rPr>
          <w:spacing w:val="-2"/>
          <w:sz w:val="22"/>
        </w:rPr>
        <w:t>Policy.</w:t>
      </w:r>
    </w:p>
    <w:p>
      <w:pPr>
        <w:pStyle w:val="BodyText"/>
        <w:spacing w:before="2"/>
        <w:rPr>
          <w:sz w:val="25"/>
        </w:rPr>
      </w:pPr>
    </w:p>
    <w:p>
      <w:pPr>
        <w:pStyle w:val="BodyText"/>
        <w:ind w:left="600"/>
      </w:pPr>
      <w:r>
        <w:rPr/>
        <w:t>Of</w:t>
      </w:r>
      <w:r>
        <w:rPr>
          <w:spacing w:val="-5"/>
        </w:rPr>
        <w:t> </w:t>
      </w:r>
      <w:r>
        <w:rPr/>
        <w:t>ESV’s</w:t>
      </w:r>
      <w:r>
        <w:rPr>
          <w:spacing w:val="-3"/>
        </w:rPr>
        <w:t> </w:t>
      </w:r>
      <w:r>
        <w:rPr/>
        <w:t>140</w:t>
      </w:r>
      <w:r>
        <w:rPr>
          <w:spacing w:val="-6"/>
        </w:rPr>
        <w:t> </w:t>
      </w:r>
      <w:r>
        <w:rPr/>
        <w:t>full-time</w:t>
      </w:r>
      <w:r>
        <w:rPr>
          <w:spacing w:val="-6"/>
        </w:rPr>
        <w:t> </w:t>
      </w:r>
      <w:r>
        <w:rPr/>
        <w:t>equivalent</w:t>
      </w:r>
      <w:r>
        <w:rPr>
          <w:spacing w:val="-2"/>
        </w:rPr>
        <w:t> </w:t>
      </w:r>
      <w:r>
        <w:rPr/>
        <w:t>staff,</w:t>
      </w:r>
      <w:r>
        <w:rPr>
          <w:spacing w:val="-4"/>
        </w:rPr>
        <w:t> </w:t>
      </w:r>
      <w:r>
        <w:rPr/>
        <w:t>92</w:t>
      </w:r>
      <w:r>
        <w:rPr>
          <w:spacing w:val="-9"/>
        </w:rPr>
        <w:t> </w:t>
      </w:r>
      <w:r>
        <w:rPr/>
        <w:t>fall</w:t>
      </w:r>
      <w:r>
        <w:rPr>
          <w:spacing w:val="-4"/>
        </w:rPr>
        <w:t> </w:t>
      </w:r>
      <w:r>
        <w:rPr/>
        <w:t>within</w:t>
      </w:r>
      <w:r>
        <w:rPr>
          <w:spacing w:val="-4"/>
        </w:rPr>
        <w:t> </w:t>
      </w:r>
      <w:r>
        <w:rPr/>
        <w:t>these</w:t>
      </w:r>
      <w:r>
        <w:rPr>
          <w:spacing w:val="-4"/>
        </w:rPr>
        <w:t> </w:t>
      </w:r>
      <w:r>
        <w:rPr>
          <w:spacing w:val="-2"/>
        </w:rPr>
        <w:t>divisions.</w:t>
      </w:r>
    </w:p>
    <w:p>
      <w:pPr>
        <w:pStyle w:val="BodyText"/>
        <w:spacing w:before="2"/>
        <w:rPr>
          <w:sz w:val="25"/>
        </w:rPr>
      </w:pPr>
    </w:p>
    <w:p>
      <w:pPr>
        <w:pStyle w:val="BodyText"/>
        <w:spacing w:line="288" w:lineRule="auto"/>
        <w:ind w:left="600" w:right="311"/>
      </w:pPr>
      <w:r>
        <w:rPr/>
        <w:t>ESV</w:t>
      </w:r>
      <w:r>
        <w:rPr>
          <w:spacing w:val="-3"/>
        </w:rPr>
        <w:t> </w:t>
      </w:r>
      <w:r>
        <w:rPr/>
        <w:t>is</w:t>
      </w:r>
      <w:r>
        <w:rPr>
          <w:spacing w:val="-2"/>
        </w:rPr>
        <w:t> </w:t>
      </w:r>
      <w:r>
        <w:rPr/>
        <w:t>currently</w:t>
      </w:r>
      <w:r>
        <w:rPr>
          <w:spacing w:val="-5"/>
        </w:rPr>
        <w:t> </w:t>
      </w:r>
      <w:r>
        <w:rPr/>
        <w:t>progressing</w:t>
      </w:r>
      <w:r>
        <w:rPr>
          <w:spacing w:val="-1"/>
        </w:rPr>
        <w:t> </w:t>
      </w:r>
      <w:r>
        <w:rPr/>
        <w:t>a</w:t>
      </w:r>
      <w:r>
        <w:rPr>
          <w:spacing w:val="-5"/>
        </w:rPr>
        <w:t> </w:t>
      </w:r>
      <w:r>
        <w:rPr/>
        <w:t>broad</w:t>
      </w:r>
      <w:r>
        <w:rPr>
          <w:spacing w:val="-5"/>
        </w:rPr>
        <w:t> </w:t>
      </w:r>
      <w:r>
        <w:rPr/>
        <w:t>set</w:t>
      </w:r>
      <w:r>
        <w:rPr>
          <w:spacing w:val="-1"/>
        </w:rPr>
        <w:t> </w:t>
      </w:r>
      <w:r>
        <w:rPr/>
        <w:t>of</w:t>
      </w:r>
      <w:r>
        <w:rPr>
          <w:spacing w:val="-1"/>
        </w:rPr>
        <w:t> </w:t>
      </w:r>
      <w:r>
        <w:rPr/>
        <w:t>initiatives</w:t>
      </w:r>
      <w:r>
        <w:rPr>
          <w:spacing w:val="-3"/>
        </w:rPr>
        <w:t> </w:t>
      </w:r>
      <w:r>
        <w:rPr/>
        <w:t>to</w:t>
      </w:r>
      <w:r>
        <w:rPr>
          <w:spacing w:val="-3"/>
        </w:rPr>
        <w:t> </w:t>
      </w:r>
      <w:r>
        <w:rPr/>
        <w:t>boost</w:t>
      </w:r>
      <w:r>
        <w:rPr>
          <w:spacing w:val="-1"/>
        </w:rPr>
        <w:t> </w:t>
      </w:r>
      <w:r>
        <w:rPr/>
        <w:t>its</w:t>
      </w:r>
      <w:r>
        <w:rPr>
          <w:spacing w:val="-2"/>
        </w:rPr>
        <w:t> </w:t>
      </w:r>
      <w:r>
        <w:rPr/>
        <w:t>systems,</w:t>
      </w:r>
      <w:r>
        <w:rPr>
          <w:spacing w:val="-4"/>
        </w:rPr>
        <w:t> </w:t>
      </w:r>
      <w:r>
        <w:rPr/>
        <w:t>processes</w:t>
      </w:r>
      <w:r>
        <w:rPr>
          <w:spacing w:val="-3"/>
        </w:rPr>
        <w:t> </w:t>
      </w:r>
      <w:r>
        <w:rPr/>
        <w:t>and capabilities. In its </w:t>
      </w:r>
      <w:r>
        <w:rPr>
          <w:i/>
        </w:rPr>
        <w:t>Corporate Plan 2017–2020</w:t>
      </w:r>
      <w:r>
        <w:rPr/>
        <w:t>, ESV states it will establish and manage a regulatory practice program as a foundation to its monitoring and enforcement activities. Proposed activities under this program include:</w:t>
      </w:r>
    </w:p>
    <w:p>
      <w:pPr>
        <w:pStyle w:val="BodyText"/>
        <w:spacing w:before="4"/>
      </w:pPr>
    </w:p>
    <w:p>
      <w:pPr>
        <w:pStyle w:val="ListParagraph"/>
        <w:numPr>
          <w:ilvl w:val="0"/>
          <w:numId w:val="35"/>
        </w:numPr>
        <w:tabs>
          <w:tab w:pos="957" w:val="left" w:leader="none"/>
        </w:tabs>
        <w:spacing w:line="240" w:lineRule="auto" w:before="0" w:after="0"/>
        <w:ind w:left="957" w:right="0" w:hanging="357"/>
        <w:jc w:val="left"/>
        <w:rPr>
          <w:sz w:val="22"/>
        </w:rPr>
      </w:pPr>
      <w:r>
        <w:rPr>
          <w:sz w:val="22"/>
        </w:rPr>
        <w:t>developing</w:t>
      </w:r>
      <w:r>
        <w:rPr>
          <w:spacing w:val="-6"/>
          <w:sz w:val="22"/>
        </w:rPr>
        <w:t> </w:t>
      </w:r>
      <w:r>
        <w:rPr>
          <w:sz w:val="22"/>
        </w:rPr>
        <w:t>policy</w:t>
      </w:r>
      <w:r>
        <w:rPr>
          <w:spacing w:val="-9"/>
          <w:sz w:val="22"/>
        </w:rPr>
        <w:t> </w:t>
      </w:r>
      <w:r>
        <w:rPr>
          <w:sz w:val="22"/>
        </w:rPr>
        <w:t>and</w:t>
      </w:r>
      <w:r>
        <w:rPr>
          <w:spacing w:val="-7"/>
          <w:sz w:val="22"/>
        </w:rPr>
        <w:t> </w:t>
      </w:r>
      <w:r>
        <w:rPr>
          <w:sz w:val="22"/>
        </w:rPr>
        <w:t>assuring</w:t>
      </w:r>
      <w:r>
        <w:rPr>
          <w:spacing w:val="-7"/>
          <w:sz w:val="22"/>
        </w:rPr>
        <w:t> </w:t>
      </w:r>
      <w:r>
        <w:rPr>
          <w:sz w:val="22"/>
        </w:rPr>
        <w:t>consistent</w:t>
      </w:r>
      <w:r>
        <w:rPr>
          <w:spacing w:val="-7"/>
          <w:sz w:val="22"/>
        </w:rPr>
        <w:t> </w:t>
      </w:r>
      <w:r>
        <w:rPr>
          <w:spacing w:val="-2"/>
          <w:sz w:val="22"/>
        </w:rPr>
        <w:t>application;</w:t>
      </w:r>
    </w:p>
    <w:p>
      <w:pPr>
        <w:pStyle w:val="ListParagraph"/>
        <w:numPr>
          <w:ilvl w:val="0"/>
          <w:numId w:val="35"/>
        </w:numPr>
        <w:tabs>
          <w:tab w:pos="957" w:val="left" w:leader="none"/>
        </w:tabs>
        <w:spacing w:line="240" w:lineRule="auto" w:before="66" w:after="0"/>
        <w:ind w:left="957" w:right="0" w:hanging="357"/>
        <w:jc w:val="left"/>
        <w:rPr>
          <w:sz w:val="22"/>
        </w:rPr>
      </w:pPr>
      <w:r>
        <w:rPr>
          <w:sz w:val="22"/>
        </w:rPr>
        <w:t>collecting</w:t>
      </w:r>
      <w:r>
        <w:rPr>
          <w:spacing w:val="-8"/>
          <w:sz w:val="22"/>
        </w:rPr>
        <w:t> </w:t>
      </w:r>
      <w:r>
        <w:rPr>
          <w:sz w:val="22"/>
        </w:rPr>
        <w:t>evidence</w:t>
      </w:r>
      <w:r>
        <w:rPr>
          <w:spacing w:val="-6"/>
          <w:sz w:val="22"/>
        </w:rPr>
        <w:t> </w:t>
      </w:r>
      <w:r>
        <w:rPr>
          <w:sz w:val="22"/>
        </w:rPr>
        <w:t>to</w:t>
      </w:r>
      <w:r>
        <w:rPr>
          <w:spacing w:val="-9"/>
          <w:sz w:val="22"/>
        </w:rPr>
        <w:t> </w:t>
      </w:r>
      <w:r>
        <w:rPr>
          <w:sz w:val="22"/>
        </w:rPr>
        <w:t>determine</w:t>
      </w:r>
      <w:r>
        <w:rPr>
          <w:spacing w:val="-7"/>
          <w:sz w:val="22"/>
        </w:rPr>
        <w:t> </w:t>
      </w:r>
      <w:r>
        <w:rPr>
          <w:sz w:val="22"/>
        </w:rPr>
        <w:t>effectiveness</w:t>
      </w:r>
      <w:r>
        <w:rPr>
          <w:spacing w:val="-6"/>
          <w:sz w:val="22"/>
        </w:rPr>
        <w:t> </w:t>
      </w:r>
      <w:r>
        <w:rPr>
          <w:sz w:val="22"/>
        </w:rPr>
        <w:t>of</w:t>
      </w:r>
      <w:r>
        <w:rPr>
          <w:spacing w:val="-5"/>
          <w:sz w:val="22"/>
        </w:rPr>
        <w:t> </w:t>
      </w:r>
      <w:r>
        <w:rPr>
          <w:sz w:val="22"/>
        </w:rPr>
        <w:t>regulations</w:t>
      </w:r>
      <w:r>
        <w:rPr>
          <w:spacing w:val="-7"/>
          <w:sz w:val="22"/>
        </w:rPr>
        <w:t> </w:t>
      </w:r>
      <w:r>
        <w:rPr>
          <w:sz w:val="22"/>
        </w:rPr>
        <w:t>and</w:t>
      </w:r>
      <w:r>
        <w:rPr>
          <w:spacing w:val="-9"/>
          <w:sz w:val="22"/>
        </w:rPr>
        <w:t> </w:t>
      </w:r>
      <w:r>
        <w:rPr>
          <w:sz w:val="22"/>
        </w:rPr>
        <w:t>their</w:t>
      </w:r>
      <w:r>
        <w:rPr>
          <w:spacing w:val="-7"/>
          <w:sz w:val="22"/>
        </w:rPr>
        <w:t> </w:t>
      </w:r>
      <w:r>
        <w:rPr>
          <w:spacing w:val="-2"/>
          <w:sz w:val="22"/>
        </w:rPr>
        <w:t>administration;</w:t>
      </w:r>
    </w:p>
    <w:p>
      <w:pPr>
        <w:pStyle w:val="ListParagraph"/>
        <w:numPr>
          <w:ilvl w:val="0"/>
          <w:numId w:val="35"/>
        </w:numPr>
        <w:tabs>
          <w:tab w:pos="957" w:val="left" w:leader="none"/>
        </w:tabs>
        <w:spacing w:line="240" w:lineRule="auto" w:before="64" w:after="0"/>
        <w:ind w:left="957" w:right="0" w:hanging="357"/>
        <w:jc w:val="left"/>
        <w:rPr>
          <w:sz w:val="22"/>
        </w:rPr>
      </w:pPr>
      <w:r>
        <w:rPr>
          <w:sz w:val="22"/>
        </w:rPr>
        <w:t>developing</w:t>
      </w:r>
      <w:r>
        <w:rPr>
          <w:spacing w:val="-8"/>
          <w:sz w:val="22"/>
        </w:rPr>
        <w:t> </w:t>
      </w:r>
      <w:r>
        <w:rPr>
          <w:sz w:val="22"/>
        </w:rPr>
        <w:t>guidance</w:t>
      </w:r>
      <w:r>
        <w:rPr>
          <w:spacing w:val="-9"/>
          <w:sz w:val="22"/>
        </w:rPr>
        <w:t> </w:t>
      </w:r>
      <w:r>
        <w:rPr>
          <w:sz w:val="22"/>
        </w:rPr>
        <w:t>to</w:t>
      </w:r>
      <w:r>
        <w:rPr>
          <w:spacing w:val="-9"/>
          <w:sz w:val="22"/>
        </w:rPr>
        <w:t> </w:t>
      </w:r>
      <w:r>
        <w:rPr>
          <w:sz w:val="22"/>
        </w:rPr>
        <w:t>articulate</w:t>
      </w:r>
      <w:r>
        <w:rPr>
          <w:spacing w:val="-9"/>
          <w:sz w:val="22"/>
        </w:rPr>
        <w:t> </w:t>
      </w:r>
      <w:r>
        <w:rPr>
          <w:sz w:val="22"/>
        </w:rPr>
        <w:t>ESV’s</w:t>
      </w:r>
      <w:r>
        <w:rPr>
          <w:spacing w:val="-6"/>
          <w:sz w:val="22"/>
        </w:rPr>
        <w:t> </w:t>
      </w:r>
      <w:r>
        <w:rPr>
          <w:sz w:val="22"/>
        </w:rPr>
        <w:t>expectations</w:t>
      </w:r>
      <w:r>
        <w:rPr>
          <w:spacing w:val="-7"/>
          <w:sz w:val="22"/>
        </w:rPr>
        <w:t> </w:t>
      </w:r>
      <w:r>
        <w:rPr>
          <w:sz w:val="22"/>
        </w:rPr>
        <w:t>of</w:t>
      </w:r>
      <w:r>
        <w:rPr>
          <w:spacing w:val="-5"/>
          <w:sz w:val="22"/>
        </w:rPr>
        <w:t> </w:t>
      </w:r>
      <w:r>
        <w:rPr>
          <w:sz w:val="22"/>
        </w:rPr>
        <w:t>regulated</w:t>
      </w:r>
      <w:r>
        <w:rPr>
          <w:spacing w:val="-7"/>
          <w:sz w:val="22"/>
        </w:rPr>
        <w:t> </w:t>
      </w:r>
      <w:r>
        <w:rPr>
          <w:spacing w:val="-2"/>
          <w:sz w:val="22"/>
        </w:rPr>
        <w:t>entities;</w:t>
      </w:r>
    </w:p>
    <w:p>
      <w:pPr>
        <w:pStyle w:val="ListParagraph"/>
        <w:numPr>
          <w:ilvl w:val="0"/>
          <w:numId w:val="35"/>
        </w:numPr>
        <w:tabs>
          <w:tab w:pos="958" w:val="left" w:leader="none"/>
        </w:tabs>
        <w:spacing w:line="288" w:lineRule="auto" w:before="67" w:after="0"/>
        <w:ind w:left="958" w:right="1253" w:hanging="358"/>
        <w:jc w:val="left"/>
        <w:rPr>
          <w:sz w:val="22"/>
        </w:rPr>
      </w:pPr>
      <w:r>
        <w:rPr>
          <w:sz w:val="22"/>
        </w:rPr>
        <w:t>strategy</w:t>
      </w:r>
      <w:r>
        <w:rPr>
          <w:spacing w:val="-5"/>
          <w:sz w:val="22"/>
        </w:rPr>
        <w:t> </w:t>
      </w:r>
      <w:r>
        <w:rPr>
          <w:sz w:val="22"/>
        </w:rPr>
        <w:t>and</w:t>
      </w:r>
      <w:r>
        <w:rPr>
          <w:spacing w:val="-3"/>
          <w:sz w:val="22"/>
        </w:rPr>
        <w:t> </w:t>
      </w:r>
      <w:r>
        <w:rPr>
          <w:sz w:val="22"/>
        </w:rPr>
        <w:t>planning</w:t>
      </w:r>
      <w:r>
        <w:rPr>
          <w:spacing w:val="-3"/>
          <w:sz w:val="22"/>
        </w:rPr>
        <w:t> </w:t>
      </w:r>
      <w:r>
        <w:rPr>
          <w:sz w:val="22"/>
        </w:rPr>
        <w:t>to</w:t>
      </w:r>
      <w:r>
        <w:rPr>
          <w:spacing w:val="-7"/>
          <w:sz w:val="22"/>
        </w:rPr>
        <w:t> </w:t>
      </w:r>
      <w:r>
        <w:rPr>
          <w:sz w:val="22"/>
        </w:rPr>
        <w:t>establish</w:t>
      </w:r>
      <w:r>
        <w:rPr>
          <w:spacing w:val="-3"/>
          <w:sz w:val="22"/>
        </w:rPr>
        <w:t> </w:t>
      </w:r>
      <w:r>
        <w:rPr>
          <w:sz w:val="22"/>
        </w:rPr>
        <w:t>priorities</w:t>
      </w:r>
      <w:r>
        <w:rPr>
          <w:spacing w:val="-7"/>
          <w:sz w:val="22"/>
        </w:rPr>
        <w:t> </w:t>
      </w:r>
      <w:r>
        <w:rPr>
          <w:sz w:val="22"/>
        </w:rPr>
        <w:t>for</w:t>
      </w:r>
      <w:r>
        <w:rPr>
          <w:spacing w:val="-2"/>
          <w:sz w:val="22"/>
        </w:rPr>
        <w:t> </w:t>
      </w:r>
      <w:r>
        <w:rPr>
          <w:sz w:val="22"/>
        </w:rPr>
        <w:t>ESV’s</w:t>
      </w:r>
      <w:r>
        <w:rPr>
          <w:spacing w:val="-2"/>
          <w:sz w:val="22"/>
        </w:rPr>
        <w:t> </w:t>
      </w:r>
      <w:r>
        <w:rPr>
          <w:sz w:val="22"/>
        </w:rPr>
        <w:t>compliance</w:t>
      </w:r>
      <w:r>
        <w:rPr>
          <w:spacing w:val="-3"/>
          <w:sz w:val="22"/>
        </w:rPr>
        <w:t> </w:t>
      </w:r>
      <w:r>
        <w:rPr>
          <w:sz w:val="22"/>
        </w:rPr>
        <w:t>and</w:t>
      </w:r>
      <w:r>
        <w:rPr>
          <w:spacing w:val="-5"/>
          <w:sz w:val="22"/>
        </w:rPr>
        <w:t> </w:t>
      </w:r>
      <w:r>
        <w:rPr>
          <w:sz w:val="22"/>
        </w:rPr>
        <w:t>enforcement </w:t>
      </w:r>
      <w:r>
        <w:rPr>
          <w:spacing w:val="-2"/>
          <w:sz w:val="22"/>
        </w:rPr>
        <w:t>activities;</w:t>
      </w:r>
    </w:p>
    <w:p>
      <w:pPr>
        <w:pStyle w:val="ListParagraph"/>
        <w:numPr>
          <w:ilvl w:val="0"/>
          <w:numId w:val="35"/>
        </w:numPr>
        <w:tabs>
          <w:tab w:pos="957" w:val="left" w:leader="none"/>
        </w:tabs>
        <w:spacing w:line="240" w:lineRule="auto" w:before="15" w:after="0"/>
        <w:ind w:left="957" w:right="0" w:hanging="357"/>
        <w:jc w:val="left"/>
        <w:rPr>
          <w:sz w:val="22"/>
        </w:rPr>
      </w:pPr>
      <w:r>
        <w:rPr>
          <w:sz w:val="22"/>
        </w:rPr>
        <w:t>developing</w:t>
      </w:r>
      <w:r>
        <w:rPr>
          <w:spacing w:val="-7"/>
          <w:sz w:val="22"/>
        </w:rPr>
        <w:t> </w:t>
      </w:r>
      <w:r>
        <w:rPr>
          <w:sz w:val="22"/>
        </w:rPr>
        <w:t>centralised</w:t>
      </w:r>
      <w:r>
        <w:rPr>
          <w:spacing w:val="-7"/>
          <w:sz w:val="22"/>
        </w:rPr>
        <w:t> </w:t>
      </w:r>
      <w:r>
        <w:rPr>
          <w:sz w:val="22"/>
        </w:rPr>
        <w:t>oversight</w:t>
      </w:r>
      <w:r>
        <w:rPr>
          <w:spacing w:val="-8"/>
          <w:sz w:val="22"/>
        </w:rPr>
        <w:t> </w:t>
      </w:r>
      <w:r>
        <w:rPr>
          <w:sz w:val="22"/>
        </w:rPr>
        <w:t>systems</w:t>
      </w:r>
      <w:r>
        <w:rPr>
          <w:spacing w:val="-10"/>
          <w:sz w:val="22"/>
        </w:rPr>
        <w:t> </w:t>
      </w:r>
      <w:r>
        <w:rPr>
          <w:sz w:val="22"/>
        </w:rPr>
        <w:t>for</w:t>
      </w:r>
      <w:r>
        <w:rPr>
          <w:spacing w:val="-8"/>
          <w:sz w:val="22"/>
        </w:rPr>
        <w:t> </w:t>
      </w:r>
      <w:r>
        <w:rPr>
          <w:sz w:val="22"/>
        </w:rPr>
        <w:t>compliance</w:t>
      </w:r>
      <w:r>
        <w:rPr>
          <w:spacing w:val="-7"/>
          <w:sz w:val="22"/>
        </w:rPr>
        <w:t> </w:t>
      </w:r>
      <w:r>
        <w:rPr>
          <w:sz w:val="22"/>
        </w:rPr>
        <w:t>and</w:t>
      </w:r>
      <w:r>
        <w:rPr>
          <w:spacing w:val="-6"/>
          <w:sz w:val="22"/>
        </w:rPr>
        <w:t> </w:t>
      </w:r>
      <w:r>
        <w:rPr>
          <w:spacing w:val="-2"/>
          <w:sz w:val="22"/>
        </w:rPr>
        <w:t>enforcement;</w:t>
      </w:r>
    </w:p>
    <w:p>
      <w:pPr>
        <w:pStyle w:val="ListParagraph"/>
        <w:numPr>
          <w:ilvl w:val="0"/>
          <w:numId w:val="35"/>
        </w:numPr>
        <w:tabs>
          <w:tab w:pos="958" w:val="left" w:leader="none"/>
        </w:tabs>
        <w:spacing w:line="285" w:lineRule="auto" w:before="66" w:after="0"/>
        <w:ind w:left="958" w:right="629" w:hanging="358"/>
        <w:jc w:val="both"/>
        <w:rPr>
          <w:sz w:val="22"/>
        </w:rPr>
      </w:pPr>
      <w:r>
        <w:rPr>
          <w:sz w:val="22"/>
        </w:rPr>
        <w:t>establishing</w:t>
      </w:r>
      <w:r>
        <w:rPr>
          <w:spacing w:val="-2"/>
          <w:sz w:val="22"/>
        </w:rPr>
        <w:t> </w:t>
      </w:r>
      <w:r>
        <w:rPr>
          <w:sz w:val="22"/>
        </w:rPr>
        <w:t>an</w:t>
      </w:r>
      <w:r>
        <w:rPr>
          <w:spacing w:val="-6"/>
          <w:sz w:val="22"/>
        </w:rPr>
        <w:t> </w:t>
      </w:r>
      <w:r>
        <w:rPr>
          <w:sz w:val="22"/>
        </w:rPr>
        <w:t>effective</w:t>
      </w:r>
      <w:r>
        <w:rPr>
          <w:spacing w:val="-4"/>
          <w:sz w:val="22"/>
        </w:rPr>
        <w:t> </w:t>
      </w:r>
      <w:r>
        <w:rPr>
          <w:sz w:val="22"/>
        </w:rPr>
        <w:t>Compliance</w:t>
      </w:r>
      <w:r>
        <w:rPr>
          <w:spacing w:val="-4"/>
          <w:sz w:val="22"/>
        </w:rPr>
        <w:t> </w:t>
      </w:r>
      <w:r>
        <w:rPr>
          <w:sz w:val="22"/>
        </w:rPr>
        <w:t>and</w:t>
      </w:r>
      <w:r>
        <w:rPr>
          <w:spacing w:val="-4"/>
          <w:sz w:val="22"/>
        </w:rPr>
        <w:t> </w:t>
      </w:r>
      <w:r>
        <w:rPr>
          <w:sz w:val="22"/>
        </w:rPr>
        <w:t>Enforcement</w:t>
      </w:r>
      <w:r>
        <w:rPr>
          <w:spacing w:val="-5"/>
          <w:sz w:val="22"/>
        </w:rPr>
        <w:t> </w:t>
      </w:r>
      <w:r>
        <w:rPr>
          <w:sz w:val="22"/>
        </w:rPr>
        <w:t>Panel</w:t>
      </w:r>
      <w:r>
        <w:rPr>
          <w:spacing w:val="-7"/>
          <w:sz w:val="22"/>
        </w:rPr>
        <w:t> </w:t>
      </w:r>
      <w:r>
        <w:rPr>
          <w:sz w:val="22"/>
        </w:rPr>
        <w:t>for</w:t>
      </w:r>
      <w:r>
        <w:rPr>
          <w:spacing w:val="-3"/>
          <w:sz w:val="22"/>
        </w:rPr>
        <w:t> </w:t>
      </w:r>
      <w:r>
        <w:rPr>
          <w:sz w:val="22"/>
        </w:rPr>
        <w:t>accountability,</w:t>
      </w:r>
      <w:r>
        <w:rPr>
          <w:spacing w:val="-2"/>
          <w:sz w:val="22"/>
        </w:rPr>
        <w:t> </w:t>
      </w:r>
      <w:r>
        <w:rPr>
          <w:sz w:val="22"/>
        </w:rPr>
        <w:t>oversight and improved outcomes;</w:t>
      </w:r>
    </w:p>
    <w:p>
      <w:pPr>
        <w:pStyle w:val="ListParagraph"/>
        <w:numPr>
          <w:ilvl w:val="0"/>
          <w:numId w:val="35"/>
        </w:numPr>
        <w:tabs>
          <w:tab w:pos="957" w:val="left" w:leader="none"/>
        </w:tabs>
        <w:spacing w:line="240" w:lineRule="auto" w:before="19" w:after="0"/>
        <w:ind w:left="957" w:right="0" w:hanging="357"/>
        <w:jc w:val="both"/>
        <w:rPr>
          <w:sz w:val="22"/>
        </w:rPr>
      </w:pPr>
      <w:r>
        <w:rPr>
          <w:sz w:val="22"/>
        </w:rPr>
        <w:t>reviewing</w:t>
      </w:r>
      <w:r>
        <w:rPr>
          <w:spacing w:val="-5"/>
          <w:sz w:val="22"/>
        </w:rPr>
        <w:t> </w:t>
      </w:r>
      <w:r>
        <w:rPr>
          <w:sz w:val="22"/>
        </w:rPr>
        <w:t>event</w:t>
      </w:r>
      <w:r>
        <w:rPr>
          <w:spacing w:val="-5"/>
          <w:sz w:val="22"/>
        </w:rPr>
        <w:t> </w:t>
      </w:r>
      <w:r>
        <w:rPr>
          <w:sz w:val="22"/>
        </w:rPr>
        <w:t>priority</w:t>
      </w:r>
      <w:r>
        <w:rPr>
          <w:spacing w:val="-8"/>
          <w:sz w:val="22"/>
        </w:rPr>
        <w:t> </w:t>
      </w:r>
      <w:r>
        <w:rPr>
          <w:sz w:val="22"/>
        </w:rPr>
        <w:t>and</w:t>
      </w:r>
      <w:r>
        <w:rPr>
          <w:spacing w:val="-7"/>
          <w:sz w:val="22"/>
        </w:rPr>
        <w:t> </w:t>
      </w:r>
      <w:r>
        <w:rPr>
          <w:sz w:val="22"/>
        </w:rPr>
        <w:t>investigation</w:t>
      </w:r>
      <w:r>
        <w:rPr>
          <w:spacing w:val="-6"/>
          <w:sz w:val="22"/>
        </w:rPr>
        <w:t> </w:t>
      </w:r>
      <w:r>
        <w:rPr>
          <w:sz w:val="22"/>
        </w:rPr>
        <w:t>purpose</w:t>
      </w:r>
      <w:r>
        <w:rPr>
          <w:spacing w:val="-11"/>
          <w:sz w:val="22"/>
        </w:rPr>
        <w:t> </w:t>
      </w:r>
      <w:r>
        <w:rPr>
          <w:sz w:val="22"/>
        </w:rPr>
        <w:t>and</w:t>
      </w:r>
      <w:r>
        <w:rPr>
          <w:spacing w:val="-6"/>
          <w:sz w:val="22"/>
        </w:rPr>
        <w:t> </w:t>
      </w:r>
      <w:r>
        <w:rPr>
          <w:sz w:val="22"/>
        </w:rPr>
        <w:t>practices;</w:t>
      </w:r>
      <w:r>
        <w:rPr>
          <w:spacing w:val="-7"/>
          <w:sz w:val="22"/>
        </w:rPr>
        <w:t> </w:t>
      </w:r>
      <w:r>
        <w:rPr>
          <w:spacing w:val="-5"/>
          <w:sz w:val="22"/>
        </w:rPr>
        <w:t>and</w:t>
      </w:r>
    </w:p>
    <w:p>
      <w:pPr>
        <w:pStyle w:val="ListParagraph"/>
        <w:numPr>
          <w:ilvl w:val="0"/>
          <w:numId w:val="35"/>
        </w:numPr>
        <w:tabs>
          <w:tab w:pos="958" w:val="left" w:leader="none"/>
        </w:tabs>
        <w:spacing w:line="288" w:lineRule="auto" w:before="67" w:after="0"/>
        <w:ind w:left="958" w:right="651" w:hanging="358"/>
        <w:jc w:val="both"/>
        <w:rPr>
          <w:sz w:val="22"/>
        </w:rPr>
      </w:pPr>
      <w:r>
        <w:rPr>
          <w:sz w:val="22"/>
        </w:rPr>
        <w:t>embedding</w:t>
      </w:r>
      <w:r>
        <w:rPr>
          <w:spacing w:val="-3"/>
          <w:sz w:val="22"/>
        </w:rPr>
        <w:t> </w:t>
      </w:r>
      <w:r>
        <w:rPr>
          <w:sz w:val="22"/>
        </w:rPr>
        <w:t>the</w:t>
      </w:r>
      <w:r>
        <w:rPr>
          <w:spacing w:val="-5"/>
          <w:sz w:val="22"/>
        </w:rPr>
        <w:t> </w:t>
      </w:r>
      <w:r>
        <w:rPr>
          <w:sz w:val="22"/>
        </w:rPr>
        <w:t>risk</w:t>
      </w:r>
      <w:r>
        <w:rPr>
          <w:spacing w:val="-5"/>
          <w:sz w:val="22"/>
        </w:rPr>
        <w:t> </w:t>
      </w:r>
      <w:r>
        <w:rPr>
          <w:sz w:val="22"/>
        </w:rPr>
        <w:t>framework as</w:t>
      </w:r>
      <w:r>
        <w:rPr>
          <w:spacing w:val="-5"/>
          <w:sz w:val="22"/>
        </w:rPr>
        <w:t> </w:t>
      </w:r>
      <w:r>
        <w:rPr>
          <w:sz w:val="22"/>
        </w:rPr>
        <w:t>an</w:t>
      </w:r>
      <w:r>
        <w:rPr>
          <w:spacing w:val="-3"/>
          <w:sz w:val="22"/>
        </w:rPr>
        <w:t> </w:t>
      </w:r>
      <w:r>
        <w:rPr>
          <w:sz w:val="22"/>
        </w:rPr>
        <w:t>input</w:t>
      </w:r>
      <w:r>
        <w:rPr>
          <w:spacing w:val="-6"/>
          <w:sz w:val="22"/>
        </w:rPr>
        <w:t> </w:t>
      </w:r>
      <w:r>
        <w:rPr>
          <w:sz w:val="22"/>
        </w:rPr>
        <w:t>to</w:t>
      </w:r>
      <w:r>
        <w:rPr>
          <w:spacing w:val="-3"/>
          <w:sz w:val="22"/>
        </w:rPr>
        <w:t> </w:t>
      </w:r>
      <w:r>
        <w:rPr>
          <w:sz w:val="22"/>
        </w:rPr>
        <w:t>developing</w:t>
      </w:r>
      <w:r>
        <w:rPr>
          <w:spacing w:val="-1"/>
          <w:sz w:val="22"/>
        </w:rPr>
        <w:t> </w:t>
      </w:r>
      <w:r>
        <w:rPr>
          <w:sz w:val="22"/>
        </w:rPr>
        <w:t>lead</w:t>
      </w:r>
      <w:r>
        <w:rPr>
          <w:spacing w:val="-3"/>
          <w:sz w:val="22"/>
        </w:rPr>
        <w:t> </w:t>
      </w:r>
      <w:r>
        <w:rPr>
          <w:sz w:val="22"/>
        </w:rPr>
        <w:t>indicators,</w:t>
      </w:r>
      <w:r>
        <w:rPr>
          <w:spacing w:val="-6"/>
          <w:sz w:val="22"/>
        </w:rPr>
        <w:t> </w:t>
      </w:r>
      <w:r>
        <w:rPr>
          <w:sz w:val="22"/>
        </w:rPr>
        <w:t>guiding</w:t>
      </w:r>
      <w:r>
        <w:rPr>
          <w:spacing w:val="-1"/>
          <w:sz w:val="22"/>
        </w:rPr>
        <w:t> </w:t>
      </w:r>
      <w:r>
        <w:rPr>
          <w:sz w:val="22"/>
        </w:rPr>
        <w:t>targeted regulatory</w:t>
      </w:r>
      <w:r>
        <w:rPr>
          <w:spacing w:val="-3"/>
          <w:sz w:val="22"/>
        </w:rPr>
        <w:t> </w:t>
      </w:r>
      <w:r>
        <w:rPr>
          <w:sz w:val="22"/>
        </w:rPr>
        <w:t>surveillance</w:t>
      </w:r>
      <w:r>
        <w:rPr>
          <w:spacing w:val="-1"/>
          <w:sz w:val="22"/>
        </w:rPr>
        <w:t> </w:t>
      </w:r>
      <w:r>
        <w:rPr>
          <w:sz w:val="22"/>
        </w:rPr>
        <w:t>activities</w:t>
      </w:r>
      <w:r>
        <w:rPr>
          <w:spacing w:val="-1"/>
          <w:sz w:val="22"/>
        </w:rPr>
        <w:t> </w:t>
      </w:r>
      <w:r>
        <w:rPr>
          <w:sz w:val="22"/>
        </w:rPr>
        <w:t>and</w:t>
      </w:r>
      <w:r>
        <w:rPr>
          <w:spacing w:val="-1"/>
          <w:sz w:val="22"/>
        </w:rPr>
        <w:t> </w:t>
      </w:r>
      <w:r>
        <w:rPr>
          <w:sz w:val="22"/>
        </w:rPr>
        <w:t>processing</w:t>
      </w:r>
      <w:r>
        <w:rPr>
          <w:spacing w:val="-3"/>
          <w:sz w:val="22"/>
        </w:rPr>
        <w:t> </w:t>
      </w:r>
      <w:r>
        <w:rPr>
          <w:sz w:val="22"/>
        </w:rPr>
        <w:t>findings of</w:t>
      </w:r>
      <w:r>
        <w:rPr>
          <w:spacing w:val="-2"/>
          <w:sz w:val="22"/>
        </w:rPr>
        <w:t> </w:t>
      </w:r>
      <w:r>
        <w:rPr>
          <w:sz w:val="22"/>
        </w:rPr>
        <w:t>compliance</w:t>
      </w:r>
      <w:r>
        <w:rPr>
          <w:spacing w:val="-1"/>
          <w:sz w:val="22"/>
        </w:rPr>
        <w:t> </w:t>
      </w:r>
      <w:r>
        <w:rPr>
          <w:sz w:val="22"/>
        </w:rPr>
        <w:t>and</w:t>
      </w:r>
      <w:r>
        <w:rPr>
          <w:spacing w:val="-1"/>
          <w:sz w:val="22"/>
        </w:rPr>
        <w:t> </w:t>
      </w:r>
      <w:r>
        <w:rPr>
          <w:sz w:val="22"/>
        </w:rPr>
        <w:t>enforcement activities (ESV, 2017b).</w:t>
      </w:r>
    </w:p>
    <w:p>
      <w:pPr>
        <w:spacing w:after="0" w:line="288" w:lineRule="auto"/>
        <w:jc w:val="both"/>
        <w:rPr>
          <w:sz w:val="22"/>
        </w:rPr>
        <w:sectPr>
          <w:pgSz w:w="11910" w:h="16840"/>
          <w:pgMar w:header="887" w:footer="1228" w:top="1080" w:bottom="1500" w:left="840" w:right="820"/>
        </w:sectPr>
      </w:pPr>
    </w:p>
    <w:p>
      <w:pPr>
        <w:pStyle w:val="BodyText"/>
        <w:rPr>
          <w:sz w:val="20"/>
        </w:rPr>
      </w:pPr>
    </w:p>
    <w:p>
      <w:pPr>
        <w:pStyle w:val="BodyText"/>
        <w:rPr>
          <w:sz w:val="20"/>
        </w:rPr>
      </w:pPr>
    </w:p>
    <w:p>
      <w:pPr>
        <w:pStyle w:val="BodyText"/>
        <w:spacing w:before="5"/>
      </w:pPr>
    </w:p>
    <w:p>
      <w:pPr>
        <w:pStyle w:val="BodyText"/>
        <w:spacing w:line="288" w:lineRule="auto"/>
        <w:ind w:left="600" w:right="666"/>
        <w:jc w:val="both"/>
      </w:pPr>
      <w:r>
        <w:rPr/>
        <w:t>In</w:t>
      </w:r>
      <w:r>
        <w:rPr>
          <w:spacing w:val="-5"/>
        </w:rPr>
        <w:t> </w:t>
      </w:r>
      <w:r>
        <w:rPr/>
        <w:t>terms</w:t>
      </w:r>
      <w:r>
        <w:rPr>
          <w:spacing w:val="-2"/>
        </w:rPr>
        <w:t> </w:t>
      </w:r>
      <w:r>
        <w:rPr/>
        <w:t>of</w:t>
      </w:r>
      <w:r>
        <w:rPr>
          <w:spacing w:val="-4"/>
        </w:rPr>
        <w:t> </w:t>
      </w:r>
      <w:r>
        <w:rPr/>
        <w:t>networks</w:t>
      </w:r>
      <w:r>
        <w:rPr>
          <w:spacing w:val="-2"/>
        </w:rPr>
        <w:t> </w:t>
      </w:r>
      <w:r>
        <w:rPr/>
        <w:t>specifically,</w:t>
      </w:r>
      <w:r>
        <w:rPr>
          <w:spacing w:val="-1"/>
        </w:rPr>
        <w:t> </w:t>
      </w:r>
      <w:r>
        <w:rPr/>
        <w:t>in</w:t>
      </w:r>
      <w:r>
        <w:rPr>
          <w:spacing w:val="-3"/>
        </w:rPr>
        <w:t> </w:t>
      </w:r>
      <w:r>
        <w:rPr/>
        <w:t>its</w:t>
      </w:r>
      <w:r>
        <w:rPr>
          <w:spacing w:val="-1"/>
        </w:rPr>
        <w:t> </w:t>
      </w:r>
      <w:r>
        <w:rPr>
          <w:i/>
        </w:rPr>
        <w:t>Annual</w:t>
      </w:r>
      <w:r>
        <w:rPr>
          <w:i/>
          <w:spacing w:val="-3"/>
        </w:rPr>
        <w:t> </w:t>
      </w:r>
      <w:r>
        <w:rPr>
          <w:i/>
        </w:rPr>
        <w:t>Report</w:t>
      </w:r>
      <w:r>
        <w:rPr>
          <w:i/>
          <w:spacing w:val="-4"/>
        </w:rPr>
        <w:t> </w:t>
      </w:r>
      <w:r>
        <w:rPr>
          <w:i/>
        </w:rPr>
        <w:t>2016–17</w:t>
      </w:r>
      <w:r>
        <w:rPr/>
        <w:t>,</w:t>
      </w:r>
      <w:r>
        <w:rPr>
          <w:spacing w:val="-4"/>
        </w:rPr>
        <w:t> </w:t>
      </w:r>
      <w:r>
        <w:rPr/>
        <w:t>ESV</w:t>
      </w:r>
      <w:r>
        <w:rPr>
          <w:spacing w:val="-3"/>
        </w:rPr>
        <w:t> </w:t>
      </w:r>
      <w:r>
        <w:rPr/>
        <w:t>states</w:t>
      </w:r>
      <w:r>
        <w:rPr>
          <w:spacing w:val="-2"/>
        </w:rPr>
        <w:t> </w:t>
      </w:r>
      <w:r>
        <w:rPr/>
        <w:t>it</w:t>
      </w:r>
      <w:r>
        <w:rPr>
          <w:spacing w:val="-1"/>
        </w:rPr>
        <w:t> </w:t>
      </w:r>
      <w:r>
        <w:rPr/>
        <w:t>has</w:t>
      </w:r>
      <w:r>
        <w:rPr>
          <w:spacing w:val="-5"/>
        </w:rPr>
        <w:t> </w:t>
      </w:r>
      <w:r>
        <w:rPr/>
        <w:t>focused</w:t>
      </w:r>
      <w:r>
        <w:rPr>
          <w:spacing w:val="-5"/>
        </w:rPr>
        <w:t> </w:t>
      </w:r>
      <w:r>
        <w:rPr/>
        <w:t>its efforts on, and continues to prioritise:</w:t>
      </w:r>
    </w:p>
    <w:p>
      <w:pPr>
        <w:pStyle w:val="BodyText"/>
        <w:spacing w:before="3"/>
      </w:pPr>
    </w:p>
    <w:p>
      <w:pPr>
        <w:pStyle w:val="ListParagraph"/>
        <w:numPr>
          <w:ilvl w:val="1"/>
          <w:numId w:val="35"/>
        </w:numPr>
        <w:tabs>
          <w:tab w:pos="1102" w:val="left" w:leader="none"/>
        </w:tabs>
        <w:spacing w:line="288" w:lineRule="auto" w:before="1" w:after="0"/>
        <w:ind w:left="1102" w:right="876" w:hanging="360"/>
        <w:jc w:val="left"/>
        <w:rPr>
          <w:sz w:val="22"/>
        </w:rPr>
      </w:pPr>
      <w:r>
        <w:rPr>
          <w:sz w:val="22"/>
        </w:rPr>
        <w:t>ensuring</w:t>
      </w:r>
      <w:r>
        <w:rPr>
          <w:spacing w:val="-2"/>
          <w:sz w:val="22"/>
        </w:rPr>
        <w:t> </w:t>
      </w:r>
      <w:r>
        <w:rPr>
          <w:sz w:val="22"/>
        </w:rPr>
        <w:t>safety</w:t>
      </w:r>
      <w:r>
        <w:rPr>
          <w:spacing w:val="-3"/>
          <w:sz w:val="22"/>
        </w:rPr>
        <w:t> </w:t>
      </w:r>
      <w:r>
        <w:rPr>
          <w:sz w:val="22"/>
        </w:rPr>
        <w:t>cases</w:t>
      </w:r>
      <w:r>
        <w:rPr>
          <w:spacing w:val="-4"/>
          <w:sz w:val="22"/>
        </w:rPr>
        <w:t> </w:t>
      </w:r>
      <w:r>
        <w:rPr>
          <w:sz w:val="22"/>
        </w:rPr>
        <w:t>are</w:t>
      </w:r>
      <w:r>
        <w:rPr>
          <w:spacing w:val="-2"/>
          <w:sz w:val="22"/>
        </w:rPr>
        <w:t> </w:t>
      </w:r>
      <w:r>
        <w:rPr>
          <w:sz w:val="22"/>
        </w:rPr>
        <w:t>of a</w:t>
      </w:r>
      <w:r>
        <w:rPr>
          <w:spacing w:val="-2"/>
          <w:sz w:val="22"/>
        </w:rPr>
        <w:t> </w:t>
      </w:r>
      <w:r>
        <w:rPr>
          <w:sz w:val="22"/>
        </w:rPr>
        <w:t>sufficient</w:t>
      </w:r>
      <w:r>
        <w:rPr>
          <w:spacing w:val="-5"/>
          <w:sz w:val="22"/>
        </w:rPr>
        <w:t> </w:t>
      </w:r>
      <w:r>
        <w:rPr>
          <w:sz w:val="22"/>
        </w:rPr>
        <w:t>quality</w:t>
      </w:r>
      <w:r>
        <w:rPr>
          <w:spacing w:val="-4"/>
          <w:sz w:val="22"/>
        </w:rPr>
        <w:t> </w:t>
      </w:r>
      <w:r>
        <w:rPr>
          <w:sz w:val="22"/>
        </w:rPr>
        <w:t>to</w:t>
      </w:r>
      <w:r>
        <w:rPr>
          <w:spacing w:val="-4"/>
          <w:sz w:val="22"/>
        </w:rPr>
        <w:t> </w:t>
      </w:r>
      <w:r>
        <w:rPr>
          <w:sz w:val="22"/>
        </w:rPr>
        <w:t>demonstrate</w:t>
      </w:r>
      <w:r>
        <w:rPr>
          <w:spacing w:val="-4"/>
          <w:sz w:val="22"/>
        </w:rPr>
        <w:t> </w:t>
      </w:r>
      <w:r>
        <w:rPr>
          <w:sz w:val="22"/>
        </w:rPr>
        <w:t>safety</w:t>
      </w:r>
      <w:r>
        <w:rPr>
          <w:spacing w:val="-4"/>
          <w:sz w:val="22"/>
        </w:rPr>
        <w:t> </w:t>
      </w:r>
      <w:r>
        <w:rPr>
          <w:sz w:val="22"/>
        </w:rPr>
        <w:t>arguments</w:t>
      </w:r>
      <w:r>
        <w:rPr>
          <w:spacing w:val="-4"/>
          <w:sz w:val="22"/>
        </w:rPr>
        <w:t> </w:t>
      </w:r>
      <w:r>
        <w:rPr>
          <w:sz w:val="22"/>
        </w:rPr>
        <w:t>and critical controls are in place and managed;</w:t>
      </w:r>
    </w:p>
    <w:p>
      <w:pPr>
        <w:pStyle w:val="BodyText"/>
        <w:spacing w:before="3"/>
      </w:pPr>
    </w:p>
    <w:p>
      <w:pPr>
        <w:pStyle w:val="ListParagraph"/>
        <w:numPr>
          <w:ilvl w:val="1"/>
          <w:numId w:val="35"/>
        </w:numPr>
        <w:tabs>
          <w:tab w:pos="1102" w:val="left" w:leader="none"/>
        </w:tabs>
        <w:spacing w:line="285" w:lineRule="auto" w:before="1" w:after="0"/>
        <w:ind w:left="1102" w:right="1338" w:hanging="360"/>
        <w:jc w:val="left"/>
        <w:rPr>
          <w:sz w:val="22"/>
        </w:rPr>
      </w:pPr>
      <w:r>
        <w:rPr>
          <w:sz w:val="22"/>
        </w:rPr>
        <w:t>building</w:t>
      </w:r>
      <w:r>
        <w:rPr>
          <w:spacing w:val="-2"/>
          <w:sz w:val="22"/>
        </w:rPr>
        <w:t> </w:t>
      </w:r>
      <w:r>
        <w:rPr>
          <w:sz w:val="22"/>
        </w:rPr>
        <w:t>capacity</w:t>
      </w:r>
      <w:r>
        <w:rPr>
          <w:spacing w:val="-7"/>
          <w:sz w:val="22"/>
        </w:rPr>
        <w:t> </w:t>
      </w:r>
      <w:r>
        <w:rPr>
          <w:sz w:val="22"/>
        </w:rPr>
        <w:t>for</w:t>
      </w:r>
      <w:r>
        <w:rPr>
          <w:spacing w:val="-4"/>
          <w:sz w:val="22"/>
        </w:rPr>
        <w:t> </w:t>
      </w:r>
      <w:r>
        <w:rPr>
          <w:sz w:val="22"/>
        </w:rPr>
        <w:t>testing</w:t>
      </w:r>
      <w:r>
        <w:rPr>
          <w:spacing w:val="-3"/>
          <w:sz w:val="22"/>
        </w:rPr>
        <w:t> </w:t>
      </w:r>
      <w:r>
        <w:rPr>
          <w:sz w:val="22"/>
        </w:rPr>
        <w:t>network</w:t>
      </w:r>
      <w:r>
        <w:rPr>
          <w:spacing w:val="-1"/>
          <w:sz w:val="22"/>
        </w:rPr>
        <w:t> </w:t>
      </w:r>
      <w:r>
        <w:rPr>
          <w:sz w:val="22"/>
        </w:rPr>
        <w:t>business</w:t>
      </w:r>
      <w:r>
        <w:rPr>
          <w:spacing w:val="-5"/>
          <w:sz w:val="22"/>
        </w:rPr>
        <w:t> </w:t>
      </w:r>
      <w:r>
        <w:rPr>
          <w:sz w:val="22"/>
        </w:rPr>
        <w:t>performance</w:t>
      </w:r>
      <w:r>
        <w:rPr>
          <w:spacing w:val="-5"/>
          <w:sz w:val="22"/>
        </w:rPr>
        <w:t> </w:t>
      </w:r>
      <w:r>
        <w:rPr>
          <w:sz w:val="22"/>
        </w:rPr>
        <w:t>in</w:t>
      </w:r>
      <w:r>
        <w:rPr>
          <w:spacing w:val="-5"/>
          <w:sz w:val="22"/>
        </w:rPr>
        <w:t> </w:t>
      </w:r>
      <w:r>
        <w:rPr>
          <w:sz w:val="22"/>
        </w:rPr>
        <w:t>managing</w:t>
      </w:r>
      <w:r>
        <w:rPr>
          <w:spacing w:val="-3"/>
          <w:sz w:val="22"/>
        </w:rPr>
        <w:t> </w:t>
      </w:r>
      <w:r>
        <w:rPr>
          <w:sz w:val="22"/>
        </w:rPr>
        <w:t>controls underpinning safety cases;</w:t>
      </w:r>
    </w:p>
    <w:p>
      <w:pPr>
        <w:pStyle w:val="BodyText"/>
        <w:spacing w:before="6"/>
      </w:pPr>
    </w:p>
    <w:p>
      <w:pPr>
        <w:pStyle w:val="ListParagraph"/>
        <w:numPr>
          <w:ilvl w:val="1"/>
          <w:numId w:val="35"/>
        </w:numPr>
        <w:tabs>
          <w:tab w:pos="1102" w:val="left" w:leader="none"/>
        </w:tabs>
        <w:spacing w:line="285" w:lineRule="auto" w:before="0" w:after="0"/>
        <w:ind w:left="1102" w:right="1241" w:hanging="360"/>
        <w:jc w:val="left"/>
        <w:rPr>
          <w:sz w:val="22"/>
        </w:rPr>
      </w:pPr>
      <w:r>
        <w:rPr>
          <w:sz w:val="22"/>
        </w:rPr>
        <w:t>collecting</w:t>
      </w:r>
      <w:r>
        <w:rPr>
          <w:spacing w:val="-1"/>
          <w:sz w:val="22"/>
        </w:rPr>
        <w:t> </w:t>
      </w:r>
      <w:r>
        <w:rPr>
          <w:sz w:val="22"/>
        </w:rPr>
        <w:t>a</w:t>
      </w:r>
      <w:r>
        <w:rPr>
          <w:spacing w:val="-4"/>
          <w:sz w:val="22"/>
        </w:rPr>
        <w:t> </w:t>
      </w:r>
      <w:r>
        <w:rPr>
          <w:sz w:val="22"/>
        </w:rPr>
        <w:t>wide</w:t>
      </w:r>
      <w:r>
        <w:rPr>
          <w:spacing w:val="-3"/>
          <w:sz w:val="22"/>
        </w:rPr>
        <w:t> </w:t>
      </w:r>
      <w:r>
        <w:rPr>
          <w:sz w:val="22"/>
        </w:rPr>
        <w:t>range</w:t>
      </w:r>
      <w:r>
        <w:rPr>
          <w:spacing w:val="-4"/>
          <w:sz w:val="22"/>
        </w:rPr>
        <w:t> </w:t>
      </w:r>
      <w:r>
        <w:rPr>
          <w:sz w:val="22"/>
        </w:rPr>
        <w:t>of</w:t>
      </w:r>
      <w:r>
        <w:rPr>
          <w:spacing w:val="-1"/>
          <w:sz w:val="22"/>
        </w:rPr>
        <w:t> </w:t>
      </w:r>
      <w:r>
        <w:rPr>
          <w:sz w:val="22"/>
        </w:rPr>
        <w:t>data</w:t>
      </w:r>
      <w:r>
        <w:rPr>
          <w:spacing w:val="-3"/>
          <w:sz w:val="22"/>
        </w:rPr>
        <w:t> </w:t>
      </w:r>
      <w:r>
        <w:rPr>
          <w:sz w:val="22"/>
        </w:rPr>
        <w:t>on</w:t>
      </w:r>
      <w:r>
        <w:rPr>
          <w:spacing w:val="-4"/>
          <w:sz w:val="22"/>
        </w:rPr>
        <w:t> </w:t>
      </w:r>
      <w:r>
        <w:rPr>
          <w:sz w:val="22"/>
        </w:rPr>
        <w:t>incidents,</w:t>
      </w:r>
      <w:r>
        <w:rPr>
          <w:spacing w:val="-5"/>
          <w:sz w:val="22"/>
        </w:rPr>
        <w:t> </w:t>
      </w:r>
      <w:r>
        <w:rPr>
          <w:sz w:val="22"/>
        </w:rPr>
        <w:t>trends</w:t>
      </w:r>
      <w:r>
        <w:rPr>
          <w:spacing w:val="-2"/>
          <w:sz w:val="22"/>
        </w:rPr>
        <w:t> </w:t>
      </w:r>
      <w:r>
        <w:rPr>
          <w:sz w:val="22"/>
        </w:rPr>
        <w:t>and</w:t>
      </w:r>
      <w:r>
        <w:rPr>
          <w:spacing w:val="-4"/>
          <w:sz w:val="22"/>
        </w:rPr>
        <w:t> </w:t>
      </w:r>
      <w:r>
        <w:rPr>
          <w:sz w:val="22"/>
        </w:rPr>
        <w:t>feedback</w:t>
      </w:r>
      <w:r>
        <w:rPr>
          <w:spacing w:val="-5"/>
          <w:sz w:val="22"/>
        </w:rPr>
        <w:t> </w:t>
      </w:r>
      <w:r>
        <w:rPr>
          <w:sz w:val="22"/>
        </w:rPr>
        <w:t>from</w:t>
      </w:r>
      <w:r>
        <w:rPr>
          <w:spacing w:val="-4"/>
          <w:sz w:val="22"/>
        </w:rPr>
        <w:t> </w:t>
      </w:r>
      <w:r>
        <w:rPr>
          <w:sz w:val="22"/>
        </w:rPr>
        <w:t>audits</w:t>
      </w:r>
      <w:r>
        <w:rPr>
          <w:spacing w:val="-2"/>
          <w:sz w:val="22"/>
        </w:rPr>
        <w:t> </w:t>
      </w:r>
      <w:r>
        <w:rPr>
          <w:sz w:val="22"/>
        </w:rPr>
        <w:t>and inspections; and</w:t>
      </w:r>
    </w:p>
    <w:p>
      <w:pPr>
        <w:pStyle w:val="BodyText"/>
        <w:spacing w:before="6"/>
      </w:pPr>
    </w:p>
    <w:p>
      <w:pPr>
        <w:pStyle w:val="ListParagraph"/>
        <w:numPr>
          <w:ilvl w:val="1"/>
          <w:numId w:val="35"/>
        </w:numPr>
        <w:tabs>
          <w:tab w:pos="1102" w:val="left" w:leader="none"/>
        </w:tabs>
        <w:spacing w:line="288" w:lineRule="auto" w:before="1" w:after="0"/>
        <w:ind w:left="1102" w:right="727" w:hanging="360"/>
        <w:jc w:val="left"/>
        <w:rPr>
          <w:sz w:val="22"/>
        </w:rPr>
      </w:pPr>
      <w:r>
        <w:rPr>
          <w:sz w:val="22"/>
        </w:rPr>
        <w:t>having</w:t>
      </w:r>
      <w:r>
        <w:rPr>
          <w:spacing w:val="-1"/>
          <w:sz w:val="22"/>
        </w:rPr>
        <w:t> </w:t>
      </w:r>
      <w:r>
        <w:rPr>
          <w:sz w:val="22"/>
        </w:rPr>
        <w:t>the</w:t>
      </w:r>
      <w:r>
        <w:rPr>
          <w:spacing w:val="-3"/>
          <w:sz w:val="22"/>
        </w:rPr>
        <w:t> </w:t>
      </w:r>
      <w:r>
        <w:rPr>
          <w:sz w:val="22"/>
        </w:rPr>
        <w:t>expert</w:t>
      </w:r>
      <w:r>
        <w:rPr>
          <w:spacing w:val="-4"/>
          <w:sz w:val="22"/>
        </w:rPr>
        <w:t> </w:t>
      </w:r>
      <w:r>
        <w:rPr>
          <w:sz w:val="22"/>
        </w:rPr>
        <w:t>technical</w:t>
      </w:r>
      <w:r>
        <w:rPr>
          <w:spacing w:val="-4"/>
          <w:sz w:val="22"/>
        </w:rPr>
        <w:t> </w:t>
      </w:r>
      <w:r>
        <w:rPr>
          <w:sz w:val="22"/>
        </w:rPr>
        <w:t>skills</w:t>
      </w:r>
      <w:r>
        <w:rPr>
          <w:spacing w:val="-2"/>
          <w:sz w:val="22"/>
        </w:rPr>
        <w:t> </w:t>
      </w:r>
      <w:r>
        <w:rPr>
          <w:sz w:val="22"/>
        </w:rPr>
        <w:t>and</w:t>
      </w:r>
      <w:r>
        <w:rPr>
          <w:spacing w:val="-3"/>
          <w:sz w:val="22"/>
        </w:rPr>
        <w:t> </w:t>
      </w:r>
      <w:r>
        <w:rPr>
          <w:sz w:val="22"/>
        </w:rPr>
        <w:t>experience</w:t>
      </w:r>
      <w:r>
        <w:rPr>
          <w:spacing w:val="-3"/>
          <w:sz w:val="22"/>
        </w:rPr>
        <w:t> </w:t>
      </w:r>
      <w:r>
        <w:rPr>
          <w:sz w:val="22"/>
        </w:rPr>
        <w:t>to</w:t>
      </w:r>
      <w:r>
        <w:rPr>
          <w:spacing w:val="-3"/>
          <w:sz w:val="22"/>
        </w:rPr>
        <w:t> </w:t>
      </w:r>
      <w:r>
        <w:rPr>
          <w:sz w:val="22"/>
        </w:rPr>
        <w:t>establish</w:t>
      </w:r>
      <w:r>
        <w:rPr>
          <w:spacing w:val="-3"/>
          <w:sz w:val="22"/>
        </w:rPr>
        <w:t> </w:t>
      </w:r>
      <w:r>
        <w:rPr>
          <w:sz w:val="22"/>
        </w:rPr>
        <w:t>and</w:t>
      </w:r>
      <w:r>
        <w:rPr>
          <w:spacing w:val="-5"/>
          <w:sz w:val="22"/>
        </w:rPr>
        <w:t> </w:t>
      </w:r>
      <w:r>
        <w:rPr>
          <w:sz w:val="22"/>
        </w:rPr>
        <w:t>test</w:t>
      </w:r>
      <w:r>
        <w:rPr>
          <w:spacing w:val="-4"/>
          <w:sz w:val="22"/>
        </w:rPr>
        <w:t> </w:t>
      </w:r>
      <w:r>
        <w:rPr>
          <w:sz w:val="22"/>
        </w:rPr>
        <w:t>hypotheses,</w:t>
      </w:r>
      <w:r>
        <w:rPr>
          <w:spacing w:val="-4"/>
          <w:sz w:val="22"/>
        </w:rPr>
        <w:t> </w:t>
      </w:r>
      <w:r>
        <w:rPr>
          <w:sz w:val="22"/>
        </w:rPr>
        <w:t>and identify early indicators of risk exposure (ESV, 2017b).</w:t>
      </w:r>
    </w:p>
    <w:p>
      <w:pPr>
        <w:pStyle w:val="BodyText"/>
        <w:spacing w:before="8"/>
        <w:rPr>
          <w:sz w:val="20"/>
        </w:rPr>
      </w:pPr>
    </w:p>
    <w:p>
      <w:pPr>
        <w:pStyle w:val="BodyText"/>
        <w:spacing w:line="288" w:lineRule="auto"/>
        <w:ind w:left="600" w:right="641"/>
        <w:jc w:val="both"/>
      </w:pPr>
      <w:r>
        <w:rPr/>
        <w:t>To</w:t>
      </w:r>
      <w:r>
        <w:rPr>
          <w:spacing w:val="-3"/>
        </w:rPr>
        <w:t> </w:t>
      </w:r>
      <w:r>
        <w:rPr/>
        <w:t>support its</w:t>
      </w:r>
      <w:r>
        <w:rPr>
          <w:spacing w:val="-3"/>
        </w:rPr>
        <w:t> </w:t>
      </w:r>
      <w:r>
        <w:rPr/>
        <w:t>regulatory</w:t>
      </w:r>
      <w:r>
        <w:rPr>
          <w:spacing w:val="-5"/>
        </w:rPr>
        <w:t> </w:t>
      </w:r>
      <w:r>
        <w:rPr/>
        <w:t>approach</w:t>
      </w:r>
      <w:r>
        <w:rPr>
          <w:spacing w:val="-1"/>
        </w:rPr>
        <w:t> </w:t>
      </w:r>
      <w:r>
        <w:rPr/>
        <w:t>across</w:t>
      </w:r>
      <w:r>
        <w:rPr>
          <w:spacing w:val="-3"/>
        </w:rPr>
        <w:t> </w:t>
      </w:r>
      <w:r>
        <w:rPr/>
        <w:t>its</w:t>
      </w:r>
      <w:r>
        <w:rPr>
          <w:spacing w:val="-3"/>
        </w:rPr>
        <w:t> </w:t>
      </w:r>
      <w:r>
        <w:rPr/>
        <w:t>areas of responsibility, ESV</w:t>
      </w:r>
      <w:r>
        <w:rPr>
          <w:spacing w:val="-1"/>
        </w:rPr>
        <w:t> </w:t>
      </w:r>
      <w:r>
        <w:rPr/>
        <w:t>is progressing with recruitment</w:t>
      </w:r>
      <w:r>
        <w:rPr>
          <w:spacing w:val="-6"/>
        </w:rPr>
        <w:t> </w:t>
      </w:r>
      <w:r>
        <w:rPr/>
        <w:t>for</w:t>
      </w:r>
      <w:r>
        <w:rPr>
          <w:spacing w:val="-4"/>
        </w:rPr>
        <w:t> </w:t>
      </w:r>
      <w:r>
        <w:rPr/>
        <w:t>29</w:t>
      </w:r>
      <w:r>
        <w:rPr>
          <w:spacing w:val="-3"/>
        </w:rPr>
        <w:t> </w:t>
      </w:r>
      <w:r>
        <w:rPr/>
        <w:t>additional</w:t>
      </w:r>
      <w:r>
        <w:rPr>
          <w:spacing w:val="-6"/>
        </w:rPr>
        <w:t> </w:t>
      </w:r>
      <w:r>
        <w:rPr/>
        <w:t>frontline</w:t>
      </w:r>
      <w:r>
        <w:rPr>
          <w:spacing w:val="-3"/>
        </w:rPr>
        <w:t> </w:t>
      </w:r>
      <w:r>
        <w:rPr/>
        <w:t>staff</w:t>
      </w:r>
      <w:r>
        <w:rPr>
          <w:spacing w:val="-4"/>
        </w:rPr>
        <w:t> </w:t>
      </w:r>
      <w:r>
        <w:rPr/>
        <w:t>for</w:t>
      </w:r>
      <w:r>
        <w:rPr>
          <w:spacing w:val="-2"/>
        </w:rPr>
        <w:t> </w:t>
      </w:r>
      <w:r>
        <w:rPr/>
        <w:t>enhanced</w:t>
      </w:r>
      <w:r>
        <w:rPr>
          <w:spacing w:val="-3"/>
        </w:rPr>
        <w:t> </w:t>
      </w:r>
      <w:r>
        <w:rPr/>
        <w:t>audits</w:t>
      </w:r>
      <w:r>
        <w:rPr>
          <w:spacing w:val="-5"/>
        </w:rPr>
        <w:t> </w:t>
      </w:r>
      <w:r>
        <w:rPr/>
        <w:t>and</w:t>
      </w:r>
      <w:r>
        <w:rPr>
          <w:spacing w:val="-3"/>
        </w:rPr>
        <w:t> </w:t>
      </w:r>
      <w:r>
        <w:rPr/>
        <w:t>inspections,</w:t>
      </w:r>
      <w:r>
        <w:rPr>
          <w:spacing w:val="-1"/>
        </w:rPr>
        <w:t> </w:t>
      </w:r>
      <w:r>
        <w:rPr/>
        <w:t>best</w:t>
      </w:r>
      <w:r>
        <w:rPr>
          <w:spacing w:val="-1"/>
        </w:rPr>
        <w:t> </w:t>
      </w:r>
      <w:r>
        <w:rPr/>
        <w:t>practice asset management and an expanded regulatory role (ESV, 2017c).</w:t>
      </w:r>
    </w:p>
    <w:p>
      <w:pPr>
        <w:pStyle w:val="BodyText"/>
        <w:spacing w:before="11"/>
        <w:rPr>
          <w:sz w:val="20"/>
        </w:rPr>
      </w:pPr>
    </w:p>
    <w:p>
      <w:pPr>
        <w:pStyle w:val="BodyText"/>
        <w:spacing w:line="288" w:lineRule="auto"/>
        <w:ind w:left="600" w:right="586"/>
      </w:pPr>
      <w:r>
        <w:rPr/>
        <w:t>Monitoring</w:t>
      </w:r>
      <w:r>
        <w:rPr>
          <w:spacing w:val="-2"/>
        </w:rPr>
        <w:t> </w:t>
      </w:r>
      <w:r>
        <w:rPr/>
        <w:t>and</w:t>
      </w:r>
      <w:r>
        <w:rPr>
          <w:spacing w:val="-2"/>
        </w:rPr>
        <w:t> </w:t>
      </w:r>
      <w:r>
        <w:rPr/>
        <w:t>auditing</w:t>
      </w:r>
      <w:r>
        <w:rPr>
          <w:spacing w:val="-1"/>
        </w:rPr>
        <w:t> </w:t>
      </w:r>
      <w:r>
        <w:rPr/>
        <w:t>is</w:t>
      </w:r>
      <w:r>
        <w:rPr>
          <w:spacing w:val="-1"/>
        </w:rPr>
        <w:t> </w:t>
      </w:r>
      <w:r>
        <w:rPr/>
        <w:t>a</w:t>
      </w:r>
      <w:r>
        <w:rPr>
          <w:spacing w:val="-2"/>
        </w:rPr>
        <w:t> </w:t>
      </w:r>
      <w:r>
        <w:rPr/>
        <w:t>core</w:t>
      </w:r>
      <w:r>
        <w:rPr>
          <w:spacing w:val="-4"/>
        </w:rPr>
        <w:t> </w:t>
      </w:r>
      <w:r>
        <w:rPr/>
        <w:t>regulatory</w:t>
      </w:r>
      <w:r>
        <w:rPr>
          <w:spacing w:val="-6"/>
        </w:rPr>
        <w:t> </w:t>
      </w:r>
      <w:r>
        <w:rPr/>
        <w:t>function</w:t>
      </w:r>
      <w:r>
        <w:rPr>
          <w:spacing w:val="-2"/>
        </w:rPr>
        <w:t> </w:t>
      </w:r>
      <w:r>
        <w:rPr/>
        <w:t>of</w:t>
      </w:r>
      <w:r>
        <w:rPr>
          <w:spacing w:val="-1"/>
        </w:rPr>
        <w:t> </w:t>
      </w:r>
      <w:r>
        <w:rPr/>
        <w:t>ESV,</w:t>
      </w:r>
      <w:r>
        <w:rPr>
          <w:spacing w:val="-1"/>
        </w:rPr>
        <w:t> </w:t>
      </w:r>
      <w:r>
        <w:rPr/>
        <w:t>and</w:t>
      </w:r>
      <w:r>
        <w:rPr>
          <w:spacing w:val="-6"/>
        </w:rPr>
        <w:t> </w:t>
      </w:r>
      <w:r>
        <w:rPr/>
        <w:t>for</w:t>
      </w:r>
      <w:r>
        <w:rPr>
          <w:spacing w:val="-1"/>
        </w:rPr>
        <w:t> </w:t>
      </w:r>
      <w:r>
        <w:rPr/>
        <w:t>network safety,</w:t>
      </w:r>
      <w:r>
        <w:rPr>
          <w:spacing w:val="-3"/>
        </w:rPr>
        <w:t> </w:t>
      </w:r>
      <w:r>
        <w:rPr/>
        <w:t>this</w:t>
      </w:r>
      <w:r>
        <w:rPr>
          <w:spacing w:val="-3"/>
        </w:rPr>
        <w:t> </w:t>
      </w:r>
      <w:r>
        <w:rPr/>
        <w:t>is primarily undertaken by ESV staff. ESV can and does engage additional resources for auditing when</w:t>
      </w:r>
      <w:r>
        <w:rPr>
          <w:spacing w:val="-1"/>
        </w:rPr>
        <w:t> </w:t>
      </w:r>
      <w:r>
        <w:rPr/>
        <w:t>necessary.</w:t>
      </w:r>
      <w:r>
        <w:rPr>
          <w:vertAlign w:val="superscript"/>
        </w:rPr>
        <w:t>3</w:t>
      </w:r>
      <w:r>
        <w:rPr>
          <w:vertAlign w:val="baseline"/>
        </w:rPr>
        <w:t> In</w:t>
      </w:r>
      <w:r>
        <w:rPr>
          <w:spacing w:val="-1"/>
          <w:vertAlign w:val="baseline"/>
        </w:rPr>
        <w:t> </w:t>
      </w:r>
      <w:r>
        <w:rPr>
          <w:vertAlign w:val="baseline"/>
        </w:rPr>
        <w:t>addition</w:t>
      </w:r>
      <w:r>
        <w:rPr>
          <w:spacing w:val="-3"/>
          <w:vertAlign w:val="baseline"/>
        </w:rPr>
        <w:t> </w:t>
      </w:r>
      <w:r>
        <w:rPr>
          <w:vertAlign w:val="baseline"/>
        </w:rPr>
        <w:t>to</w:t>
      </w:r>
      <w:r>
        <w:rPr>
          <w:spacing w:val="-3"/>
          <w:vertAlign w:val="baseline"/>
        </w:rPr>
        <w:t> </w:t>
      </w:r>
      <w:r>
        <w:rPr>
          <w:vertAlign w:val="baseline"/>
        </w:rPr>
        <w:t>ESV</w:t>
      </w:r>
      <w:r>
        <w:rPr>
          <w:spacing w:val="-1"/>
          <w:vertAlign w:val="baseline"/>
        </w:rPr>
        <w:t> </w:t>
      </w:r>
      <w:r>
        <w:rPr>
          <w:vertAlign w:val="baseline"/>
        </w:rPr>
        <w:t>audits, network businesses</w:t>
      </w:r>
      <w:r>
        <w:rPr>
          <w:spacing w:val="-3"/>
          <w:vertAlign w:val="baseline"/>
        </w:rPr>
        <w:t> </w:t>
      </w:r>
      <w:r>
        <w:rPr>
          <w:vertAlign w:val="baseline"/>
        </w:rPr>
        <w:t>will</w:t>
      </w:r>
      <w:r>
        <w:rPr>
          <w:spacing w:val="-1"/>
          <w:vertAlign w:val="baseline"/>
        </w:rPr>
        <w:t> </w:t>
      </w:r>
      <w:r>
        <w:rPr>
          <w:vertAlign w:val="baseline"/>
        </w:rPr>
        <w:t>also</w:t>
      </w:r>
      <w:r>
        <w:rPr>
          <w:spacing w:val="-1"/>
          <w:vertAlign w:val="baseline"/>
        </w:rPr>
        <w:t> </w:t>
      </w:r>
      <w:r>
        <w:rPr>
          <w:vertAlign w:val="baseline"/>
        </w:rPr>
        <w:t>conduct their own internal and external assurance activities in accordance with the safety management approaches they have proposed in their documented safety cases.</w:t>
      </w:r>
    </w:p>
    <w:p>
      <w:pPr>
        <w:pStyle w:val="BodyText"/>
        <w:spacing w:before="9"/>
        <w:rPr>
          <w:sz w:val="20"/>
        </w:rPr>
      </w:pPr>
    </w:p>
    <w:p>
      <w:pPr>
        <w:pStyle w:val="BodyText"/>
        <w:spacing w:line="288" w:lineRule="auto"/>
        <w:ind w:left="600" w:right="641"/>
      </w:pPr>
      <w:r>
        <w:rPr/>
        <w:t>In general, safety plans are reviewed by ESV prior to being accepted by ESV and are also audited once they are in force. ESV has typically conducted two audits of each Electricity Safety Management Scheme per year, which each address particular system components such as emergency management, programs and technical standards, based on risk as assessed</w:t>
      </w:r>
      <w:r>
        <w:rPr>
          <w:spacing w:val="-3"/>
        </w:rPr>
        <w:t> </w:t>
      </w:r>
      <w:r>
        <w:rPr/>
        <w:t>by</w:t>
      </w:r>
      <w:r>
        <w:rPr>
          <w:spacing w:val="-5"/>
        </w:rPr>
        <w:t> </w:t>
      </w:r>
      <w:r>
        <w:rPr/>
        <w:t>ESV.</w:t>
      </w:r>
      <w:r>
        <w:rPr>
          <w:spacing w:val="-4"/>
        </w:rPr>
        <w:t> </w:t>
      </w:r>
      <w:r>
        <w:rPr/>
        <w:t>In</w:t>
      </w:r>
      <w:r>
        <w:rPr>
          <w:spacing w:val="-5"/>
        </w:rPr>
        <w:t> </w:t>
      </w:r>
      <w:r>
        <w:rPr/>
        <w:t>addition,</w:t>
      </w:r>
      <w:r>
        <w:rPr>
          <w:spacing w:val="-4"/>
        </w:rPr>
        <w:t> </w:t>
      </w:r>
      <w:r>
        <w:rPr/>
        <w:t>for electricity</w:t>
      </w:r>
      <w:r>
        <w:rPr>
          <w:spacing w:val="-4"/>
        </w:rPr>
        <w:t> </w:t>
      </w:r>
      <w:r>
        <w:rPr/>
        <w:t>network businesses</w:t>
      </w:r>
      <w:r>
        <w:rPr>
          <w:spacing w:val="-2"/>
        </w:rPr>
        <w:t> </w:t>
      </w:r>
      <w:r>
        <w:rPr/>
        <w:t>ESV</w:t>
      </w:r>
      <w:r>
        <w:rPr>
          <w:spacing w:val="-3"/>
        </w:rPr>
        <w:t> </w:t>
      </w:r>
      <w:r>
        <w:rPr/>
        <w:t>conducts</w:t>
      </w:r>
      <w:r>
        <w:rPr>
          <w:spacing w:val="-2"/>
        </w:rPr>
        <w:t> </w:t>
      </w:r>
      <w:r>
        <w:rPr/>
        <w:t>annual</w:t>
      </w:r>
      <w:r>
        <w:rPr>
          <w:spacing w:val="-6"/>
        </w:rPr>
        <w:t> </w:t>
      </w:r>
      <w:r>
        <w:rPr/>
        <w:t>audits of Bushfire Mitigation Plans as well as work practices, and annually reviews Electric Line Clearance Plans with subsequent compliance inspections. Elements of gas Safety Cases</w:t>
      </w:r>
      <w:r>
        <w:rPr>
          <w:spacing w:val="40"/>
        </w:rPr>
        <w:t> </w:t>
      </w:r>
      <w:r>
        <w:rPr/>
        <w:t>are audited annually and, similarly to Electricity Safety Management Schemes, address system components based on risk.</w:t>
      </w:r>
    </w:p>
    <w:p>
      <w:pPr>
        <w:pStyle w:val="BodyText"/>
        <w:spacing w:before="9"/>
        <w:rPr>
          <w:sz w:val="20"/>
        </w:rPr>
      </w:pPr>
    </w:p>
    <w:p>
      <w:pPr>
        <w:pStyle w:val="BodyText"/>
        <w:spacing w:line="288" w:lineRule="auto" w:before="1"/>
        <w:ind w:left="600" w:right="586"/>
      </w:pPr>
      <w:r>
        <w:rPr/>
        <w:t>The duration of each audit varies depending on topic, with the majority involving a combination</w:t>
      </w:r>
      <w:r>
        <w:rPr>
          <w:spacing w:val="-3"/>
        </w:rPr>
        <w:t> </w:t>
      </w:r>
      <w:r>
        <w:rPr/>
        <w:t>of</w:t>
      </w:r>
      <w:r>
        <w:rPr>
          <w:spacing w:val="-1"/>
        </w:rPr>
        <w:t> </w:t>
      </w:r>
      <w:r>
        <w:rPr/>
        <w:t>desktop</w:t>
      </w:r>
      <w:r>
        <w:rPr>
          <w:spacing w:val="-5"/>
        </w:rPr>
        <w:t> </w:t>
      </w:r>
      <w:r>
        <w:rPr/>
        <w:t>analysis</w:t>
      </w:r>
      <w:r>
        <w:rPr>
          <w:spacing w:val="-2"/>
        </w:rPr>
        <w:t> </w:t>
      </w:r>
      <w:r>
        <w:rPr/>
        <w:t>and</w:t>
      </w:r>
      <w:r>
        <w:rPr>
          <w:spacing w:val="-3"/>
        </w:rPr>
        <w:t> </w:t>
      </w:r>
      <w:r>
        <w:rPr/>
        <w:t>field</w:t>
      </w:r>
      <w:r>
        <w:rPr>
          <w:spacing w:val="-3"/>
        </w:rPr>
        <w:t> </w:t>
      </w:r>
      <w:r>
        <w:rPr/>
        <w:t>work,</w:t>
      </w:r>
      <w:r>
        <w:rPr>
          <w:spacing w:val="-4"/>
        </w:rPr>
        <w:t> </w:t>
      </w:r>
      <w:r>
        <w:rPr/>
        <w:t>with</w:t>
      </w:r>
      <w:r>
        <w:rPr>
          <w:spacing w:val="-5"/>
        </w:rPr>
        <w:t> </w:t>
      </w:r>
      <w:r>
        <w:rPr/>
        <w:t>the</w:t>
      </w:r>
      <w:r>
        <w:rPr>
          <w:spacing w:val="-3"/>
        </w:rPr>
        <w:t> </w:t>
      </w:r>
      <w:r>
        <w:rPr/>
        <w:t>on-site</w:t>
      </w:r>
      <w:r>
        <w:rPr>
          <w:spacing w:val="-5"/>
        </w:rPr>
        <w:t> </w:t>
      </w:r>
      <w:r>
        <w:rPr/>
        <w:t>audit</w:t>
      </w:r>
      <w:r>
        <w:rPr>
          <w:spacing w:val="-1"/>
        </w:rPr>
        <w:t> </w:t>
      </w:r>
      <w:r>
        <w:rPr/>
        <w:t>component</w:t>
      </w:r>
      <w:r>
        <w:rPr>
          <w:spacing w:val="-4"/>
        </w:rPr>
        <w:t> </w:t>
      </w:r>
      <w:r>
        <w:rPr/>
        <w:t>generally ranging between two to five days.</w:t>
      </w:r>
    </w:p>
    <w:p>
      <w:pPr>
        <w:pStyle w:val="BodyText"/>
        <w:rPr>
          <w:sz w:val="20"/>
        </w:rPr>
      </w:pPr>
    </w:p>
    <w:p>
      <w:pPr>
        <w:pStyle w:val="BodyText"/>
        <w:spacing w:before="9"/>
        <w:rPr>
          <w:sz w:val="25"/>
        </w:rPr>
      </w:pPr>
      <w:r>
        <w:rPr/>
        <mc:AlternateContent>
          <mc:Choice Requires="wps">
            <w:drawing>
              <wp:anchor distT="0" distB="0" distL="0" distR="0" allowOverlap="1" layoutInCell="1" locked="0" behindDoc="1" simplePos="0" relativeHeight="487619584">
                <wp:simplePos x="0" y="0"/>
                <wp:positionH relativeFrom="page">
                  <wp:posOffset>896416</wp:posOffset>
                </wp:positionH>
                <wp:positionV relativeFrom="paragraph">
                  <wp:posOffset>204048</wp:posOffset>
                </wp:positionV>
                <wp:extent cx="5769610" cy="1270"/>
                <wp:effectExtent l="0" t="0" r="0" b="0"/>
                <wp:wrapTopAndBottom/>
                <wp:docPr id="117" name="Graphic 117"/>
                <wp:cNvGraphicFramePr>
                  <a:graphicFrameLocks/>
                </wp:cNvGraphicFramePr>
                <a:graphic>
                  <a:graphicData uri="http://schemas.microsoft.com/office/word/2010/wordprocessingShape">
                    <wps:wsp>
                      <wps:cNvPr id="117" name="Graphic 117"/>
                      <wps:cNvSpPr/>
                      <wps:spPr>
                        <a:xfrm>
                          <a:off x="0" y="0"/>
                          <a:ext cx="5769610" cy="1270"/>
                        </a:xfrm>
                        <a:custGeom>
                          <a:avLst/>
                          <a:gdLst/>
                          <a:ahLst/>
                          <a:cxnLst/>
                          <a:rect l="l" t="t" r="r" b="b"/>
                          <a:pathLst>
                            <a:path w="5769610" h="0">
                              <a:moveTo>
                                <a:pt x="0" y="0"/>
                              </a:moveTo>
                              <a:lnTo>
                                <a:pt x="5769305" y="0"/>
                              </a:lnTo>
                            </a:path>
                          </a:pathLst>
                        </a:custGeom>
                        <a:ln w="12192">
                          <a:solidFill>
                            <a:srgbClr val="000000"/>
                          </a:solidFill>
                          <a:prstDash val="sysDot"/>
                        </a:ln>
                      </wps:spPr>
                      <wps:bodyPr wrap="square" lIns="0" tIns="0" rIns="0" bIns="0" rtlCol="0">
                        <a:prstTxWarp prst="textNoShape">
                          <a:avLst/>
                        </a:prstTxWarp>
                        <a:noAutofit/>
                      </wps:bodyPr>
                    </wps:wsp>
                  </a:graphicData>
                </a:graphic>
              </wp:anchor>
            </w:drawing>
          </mc:Choice>
          <mc:Fallback>
            <w:pict>
              <v:shape style="position:absolute;margin-left:70.584pt;margin-top:16.066835pt;width:454.3pt;height:.1pt;mso-position-horizontal-relative:page;mso-position-vertical-relative:paragraph;z-index:-15696896;mso-wrap-distance-left:0;mso-wrap-distance-right:0" id="docshape101" coordorigin="1412,321" coordsize="9086,0" path="m1412,321l10497,321e" filled="false" stroked="true" strokeweight=".96pt" strokecolor="#000000">
                <v:path arrowok="t"/>
                <v:stroke dashstyle="shortdot"/>
                <w10:wrap type="topAndBottom"/>
              </v:shape>
            </w:pict>
          </mc:Fallback>
        </mc:AlternateContent>
      </w:r>
    </w:p>
    <w:p>
      <w:pPr>
        <w:pStyle w:val="BodyText"/>
        <w:spacing w:before="1"/>
        <w:rPr>
          <w:sz w:val="23"/>
        </w:rPr>
      </w:pPr>
    </w:p>
    <w:p>
      <w:pPr>
        <w:spacing w:before="95"/>
        <w:ind w:left="883" w:right="311" w:hanging="284"/>
        <w:jc w:val="left"/>
        <w:rPr>
          <w:sz w:val="16"/>
        </w:rPr>
      </w:pPr>
      <w:r>
        <w:rPr>
          <w:position w:val="5"/>
          <w:sz w:val="9"/>
        </w:rPr>
        <w:t>3</w:t>
      </w:r>
      <w:r>
        <w:rPr>
          <w:spacing w:val="11"/>
          <w:position w:val="5"/>
          <w:sz w:val="9"/>
        </w:rPr>
        <w:t> </w:t>
      </w:r>
      <w:r>
        <w:rPr>
          <w:sz w:val="16"/>
        </w:rPr>
        <w:t>In</w:t>
      </w:r>
      <w:r>
        <w:rPr>
          <w:spacing w:val="-2"/>
          <w:sz w:val="16"/>
        </w:rPr>
        <w:t> </w:t>
      </w:r>
      <w:r>
        <w:rPr>
          <w:sz w:val="16"/>
        </w:rPr>
        <w:t>addition,</w:t>
      </w:r>
      <w:r>
        <w:rPr>
          <w:spacing w:val="-1"/>
          <w:sz w:val="16"/>
        </w:rPr>
        <w:t> </w:t>
      </w:r>
      <w:r>
        <w:rPr>
          <w:sz w:val="16"/>
        </w:rPr>
        <w:t>under</w:t>
      </w:r>
      <w:r>
        <w:rPr>
          <w:spacing w:val="-4"/>
          <w:sz w:val="16"/>
        </w:rPr>
        <w:t> </w:t>
      </w:r>
      <w:r>
        <w:rPr>
          <w:sz w:val="16"/>
        </w:rPr>
        <w:t>section</w:t>
      </w:r>
      <w:r>
        <w:rPr>
          <w:spacing w:val="-2"/>
          <w:sz w:val="16"/>
        </w:rPr>
        <w:t> </w:t>
      </w:r>
      <w:r>
        <w:rPr>
          <w:sz w:val="16"/>
        </w:rPr>
        <w:t>120H</w:t>
      </w:r>
      <w:r>
        <w:rPr>
          <w:spacing w:val="-2"/>
          <w:sz w:val="16"/>
        </w:rPr>
        <w:t> </w:t>
      </w:r>
      <w:r>
        <w:rPr>
          <w:sz w:val="16"/>
        </w:rPr>
        <w:t>of</w:t>
      </w:r>
      <w:r>
        <w:rPr>
          <w:spacing w:val="-3"/>
          <w:sz w:val="16"/>
        </w:rPr>
        <w:t> </w:t>
      </w:r>
      <w:r>
        <w:rPr>
          <w:sz w:val="16"/>
        </w:rPr>
        <w:t>the</w:t>
      </w:r>
      <w:r>
        <w:rPr>
          <w:spacing w:val="-2"/>
          <w:sz w:val="16"/>
        </w:rPr>
        <w:t> </w:t>
      </w:r>
      <w:r>
        <w:rPr>
          <w:i/>
          <w:sz w:val="16"/>
        </w:rPr>
        <w:t>Electricity</w:t>
      </w:r>
      <w:r>
        <w:rPr>
          <w:i/>
          <w:spacing w:val="-3"/>
          <w:sz w:val="16"/>
        </w:rPr>
        <w:t> </w:t>
      </w:r>
      <w:r>
        <w:rPr>
          <w:i/>
          <w:sz w:val="16"/>
        </w:rPr>
        <w:t>Safety</w:t>
      </w:r>
      <w:r>
        <w:rPr>
          <w:i/>
          <w:spacing w:val="-10"/>
          <w:sz w:val="16"/>
        </w:rPr>
        <w:t> </w:t>
      </w:r>
      <w:r>
        <w:rPr>
          <w:i/>
          <w:sz w:val="16"/>
        </w:rPr>
        <w:t>Act</w:t>
      </w:r>
      <w:r>
        <w:rPr>
          <w:i/>
          <w:spacing w:val="-3"/>
          <w:sz w:val="16"/>
        </w:rPr>
        <w:t> </w:t>
      </w:r>
      <w:r>
        <w:rPr>
          <w:i/>
          <w:sz w:val="16"/>
        </w:rPr>
        <w:t>1998</w:t>
      </w:r>
      <w:r>
        <w:rPr>
          <w:i/>
          <w:spacing w:val="-1"/>
          <w:sz w:val="16"/>
        </w:rPr>
        <w:t> </w:t>
      </w:r>
      <w:r>
        <w:rPr>
          <w:sz w:val="16"/>
        </w:rPr>
        <w:t>ESV</w:t>
      </w:r>
      <w:r>
        <w:rPr>
          <w:spacing w:val="-1"/>
          <w:sz w:val="16"/>
        </w:rPr>
        <w:t> </w:t>
      </w:r>
      <w:r>
        <w:rPr>
          <w:sz w:val="16"/>
        </w:rPr>
        <w:t>has powers to</w:t>
      </w:r>
      <w:r>
        <w:rPr>
          <w:spacing w:val="-2"/>
          <w:sz w:val="16"/>
        </w:rPr>
        <w:t> </w:t>
      </w:r>
      <w:r>
        <w:rPr>
          <w:sz w:val="16"/>
        </w:rPr>
        <w:t>request</w:t>
      </w:r>
      <w:r>
        <w:rPr>
          <w:spacing w:val="-3"/>
          <w:sz w:val="16"/>
        </w:rPr>
        <w:t> </w:t>
      </w:r>
      <w:r>
        <w:rPr>
          <w:sz w:val="16"/>
        </w:rPr>
        <w:t>an</w:t>
      </w:r>
      <w:r>
        <w:rPr>
          <w:spacing w:val="-2"/>
          <w:sz w:val="16"/>
        </w:rPr>
        <w:t> </w:t>
      </w:r>
      <w:r>
        <w:rPr>
          <w:sz w:val="16"/>
        </w:rPr>
        <w:t>electricity</w:t>
      </w:r>
      <w:r>
        <w:rPr>
          <w:spacing w:val="-3"/>
          <w:sz w:val="16"/>
        </w:rPr>
        <w:t> </w:t>
      </w:r>
      <w:r>
        <w:rPr>
          <w:sz w:val="16"/>
        </w:rPr>
        <w:t>network business</w:t>
      </w:r>
      <w:r>
        <w:rPr>
          <w:spacing w:val="-3"/>
          <w:sz w:val="16"/>
        </w:rPr>
        <w:t> </w:t>
      </w:r>
      <w:r>
        <w:rPr>
          <w:sz w:val="16"/>
        </w:rPr>
        <w:t>to obtain an independent audit, but uses this sparingly.</w:t>
      </w:r>
    </w:p>
    <w:p>
      <w:pPr>
        <w:spacing w:after="0"/>
        <w:jc w:val="left"/>
        <w:rPr>
          <w:sz w:val="16"/>
        </w:rPr>
        <w:sectPr>
          <w:pgSz w:w="11910" w:h="16840"/>
          <w:pgMar w:header="887" w:footer="1228" w:top="1080" w:bottom="1500" w:left="840" w:right="820"/>
        </w:sectPr>
      </w:pPr>
    </w:p>
    <w:p>
      <w:pPr>
        <w:pStyle w:val="BodyText"/>
        <w:rPr>
          <w:sz w:val="20"/>
        </w:rPr>
      </w:pPr>
    </w:p>
    <w:p>
      <w:pPr>
        <w:pStyle w:val="BodyText"/>
        <w:rPr>
          <w:sz w:val="20"/>
        </w:rPr>
      </w:pPr>
    </w:p>
    <w:p>
      <w:pPr>
        <w:pStyle w:val="BodyText"/>
        <w:spacing w:before="5"/>
      </w:pPr>
    </w:p>
    <w:p>
      <w:pPr>
        <w:pStyle w:val="BodyText"/>
        <w:spacing w:line="288" w:lineRule="auto"/>
        <w:ind w:left="600" w:right="311"/>
      </w:pPr>
      <w:r>
        <w:rPr/>
        <w:t>In</w:t>
      </w:r>
      <w:r>
        <w:rPr>
          <w:spacing w:val="-3"/>
        </w:rPr>
        <w:t> </w:t>
      </w:r>
      <w:r>
        <w:rPr/>
        <w:t>addition</w:t>
      </w:r>
      <w:r>
        <w:rPr>
          <w:spacing w:val="-5"/>
        </w:rPr>
        <w:t> </w:t>
      </w:r>
      <w:r>
        <w:rPr/>
        <w:t>to</w:t>
      </w:r>
      <w:r>
        <w:rPr>
          <w:spacing w:val="-5"/>
        </w:rPr>
        <w:t> </w:t>
      </w:r>
      <w:r>
        <w:rPr/>
        <w:t>audit</w:t>
      </w:r>
      <w:r>
        <w:rPr>
          <w:spacing w:val="-1"/>
        </w:rPr>
        <w:t> </w:t>
      </w:r>
      <w:r>
        <w:rPr/>
        <w:t>and</w:t>
      </w:r>
      <w:r>
        <w:rPr>
          <w:spacing w:val="-5"/>
        </w:rPr>
        <w:t> </w:t>
      </w:r>
      <w:r>
        <w:rPr/>
        <w:t>inspection,</w:t>
      </w:r>
      <w:r>
        <w:rPr>
          <w:spacing w:val="-4"/>
        </w:rPr>
        <w:t> </w:t>
      </w:r>
      <w:r>
        <w:rPr/>
        <w:t>and</w:t>
      </w:r>
      <w:r>
        <w:rPr>
          <w:spacing w:val="-3"/>
        </w:rPr>
        <w:t> </w:t>
      </w:r>
      <w:r>
        <w:rPr/>
        <w:t>periodic</w:t>
      </w:r>
      <w:r>
        <w:rPr>
          <w:spacing w:val="-2"/>
        </w:rPr>
        <w:t> </w:t>
      </w:r>
      <w:r>
        <w:rPr/>
        <w:t>compliance</w:t>
      </w:r>
      <w:r>
        <w:rPr>
          <w:spacing w:val="-3"/>
        </w:rPr>
        <w:t> </w:t>
      </w:r>
      <w:r>
        <w:rPr/>
        <w:t>reporting,</w:t>
      </w:r>
      <w:r>
        <w:rPr>
          <w:spacing w:val="-4"/>
        </w:rPr>
        <w:t> </w:t>
      </w:r>
      <w:r>
        <w:rPr/>
        <w:t>ESV</w:t>
      </w:r>
      <w:r>
        <w:rPr>
          <w:spacing w:val="-3"/>
        </w:rPr>
        <w:t> </w:t>
      </w:r>
      <w:r>
        <w:rPr/>
        <w:t>collects</w:t>
      </w:r>
      <w:r>
        <w:rPr>
          <w:spacing w:val="-2"/>
        </w:rPr>
        <w:t> </w:t>
      </w:r>
      <w:r>
        <w:rPr/>
        <w:t>data</w:t>
      </w:r>
      <w:r>
        <w:rPr>
          <w:spacing w:val="-3"/>
        </w:rPr>
        <w:t> </w:t>
      </w:r>
      <w:r>
        <w:rPr/>
        <w:t>on network safety incidents.</w:t>
      </w:r>
    </w:p>
    <w:p>
      <w:pPr>
        <w:pStyle w:val="BodyText"/>
        <w:spacing w:before="10"/>
        <w:rPr>
          <w:sz w:val="20"/>
        </w:rPr>
      </w:pPr>
    </w:p>
    <w:p>
      <w:pPr>
        <w:pStyle w:val="BodyText"/>
        <w:spacing w:line="288" w:lineRule="auto"/>
        <w:ind w:left="600" w:right="586"/>
      </w:pPr>
      <w:r>
        <w:rPr/>
        <w:t>The </w:t>
      </w:r>
      <w:r>
        <w:rPr>
          <w:i/>
        </w:rPr>
        <w:t>Electricity Safety Act 1998</w:t>
      </w:r>
      <w:r>
        <w:rPr/>
        <w:t>, </w:t>
      </w:r>
      <w:r>
        <w:rPr>
          <w:i/>
        </w:rPr>
        <w:t>Gas Safety Act 1997 </w:t>
      </w:r>
      <w:r>
        <w:rPr/>
        <w:t>and </w:t>
      </w:r>
      <w:r>
        <w:rPr>
          <w:i/>
        </w:rPr>
        <w:t>Pipelines Act 2005 </w:t>
      </w:r>
      <w:r>
        <w:rPr/>
        <w:t>place obligations on network businesses to submit data to ESV on incidents occurring on their networks. Reporting obligations</w:t>
      </w:r>
      <w:r>
        <w:rPr>
          <w:spacing w:val="-1"/>
        </w:rPr>
        <w:t> </w:t>
      </w:r>
      <w:r>
        <w:rPr/>
        <w:t>also</w:t>
      </w:r>
      <w:r>
        <w:rPr>
          <w:spacing w:val="-2"/>
        </w:rPr>
        <w:t> </w:t>
      </w:r>
      <w:r>
        <w:rPr/>
        <w:t>extend</w:t>
      </w:r>
      <w:r>
        <w:rPr>
          <w:spacing w:val="-4"/>
        </w:rPr>
        <w:t> </w:t>
      </w:r>
      <w:r>
        <w:rPr/>
        <w:t>to</w:t>
      </w:r>
      <w:r>
        <w:rPr>
          <w:spacing w:val="-6"/>
        </w:rPr>
        <w:t> </w:t>
      </w:r>
      <w:r>
        <w:rPr/>
        <w:t>fire</w:t>
      </w:r>
      <w:r>
        <w:rPr>
          <w:spacing w:val="-2"/>
        </w:rPr>
        <w:t> </w:t>
      </w:r>
      <w:r>
        <w:rPr/>
        <w:t>control</w:t>
      </w:r>
      <w:r>
        <w:rPr>
          <w:spacing w:val="-3"/>
        </w:rPr>
        <w:t> </w:t>
      </w:r>
      <w:r>
        <w:rPr/>
        <w:t>agencies</w:t>
      </w:r>
      <w:r>
        <w:rPr>
          <w:spacing w:val="-4"/>
        </w:rPr>
        <w:t> </w:t>
      </w:r>
      <w:r>
        <w:rPr/>
        <w:t>such</w:t>
      </w:r>
      <w:r>
        <w:rPr>
          <w:spacing w:val="-4"/>
        </w:rPr>
        <w:t> </w:t>
      </w:r>
      <w:r>
        <w:rPr/>
        <w:t>as</w:t>
      </w:r>
      <w:r>
        <w:rPr>
          <w:spacing w:val="-2"/>
        </w:rPr>
        <w:t> </w:t>
      </w:r>
      <w:r>
        <w:rPr/>
        <w:t>the</w:t>
      </w:r>
      <w:r>
        <w:rPr>
          <w:spacing w:val="-4"/>
        </w:rPr>
        <w:t> </w:t>
      </w:r>
      <w:r>
        <w:rPr/>
        <w:t>Country</w:t>
      </w:r>
      <w:r>
        <w:rPr>
          <w:spacing w:val="-4"/>
        </w:rPr>
        <w:t> </w:t>
      </w:r>
      <w:r>
        <w:rPr/>
        <w:t>Fire Authority and Metropolitan Fire Brigade which must report any electricity or gas-related fires or explosions to ESV.</w:t>
      </w:r>
    </w:p>
    <w:p>
      <w:pPr>
        <w:pStyle w:val="BodyText"/>
        <w:rPr>
          <w:sz w:val="21"/>
        </w:rPr>
      </w:pPr>
    </w:p>
    <w:p>
      <w:pPr>
        <w:pStyle w:val="BodyText"/>
        <w:spacing w:line="288" w:lineRule="auto"/>
        <w:ind w:left="600" w:right="713"/>
      </w:pPr>
      <w:r>
        <w:rPr/>
        <w:t>For</w:t>
      </w:r>
      <w:r>
        <w:rPr>
          <w:spacing w:val="-3"/>
        </w:rPr>
        <w:t> </w:t>
      </w:r>
      <w:r>
        <w:rPr/>
        <w:t>the</w:t>
      </w:r>
      <w:r>
        <w:rPr>
          <w:spacing w:val="-2"/>
        </w:rPr>
        <w:t> </w:t>
      </w:r>
      <w:r>
        <w:rPr/>
        <w:t>electricity</w:t>
      </w:r>
      <w:r>
        <w:rPr>
          <w:spacing w:val="-4"/>
        </w:rPr>
        <w:t> </w:t>
      </w:r>
      <w:r>
        <w:rPr/>
        <w:t>sector,</w:t>
      </w:r>
      <w:r>
        <w:rPr>
          <w:spacing w:val="-3"/>
        </w:rPr>
        <w:t> </w:t>
      </w:r>
      <w:r>
        <w:rPr/>
        <w:t>ESV</w:t>
      </w:r>
      <w:r>
        <w:rPr>
          <w:spacing w:val="-2"/>
        </w:rPr>
        <w:t> </w:t>
      </w:r>
      <w:r>
        <w:rPr/>
        <w:t>has</w:t>
      </w:r>
      <w:r>
        <w:rPr>
          <w:spacing w:val="-1"/>
        </w:rPr>
        <w:t> </w:t>
      </w:r>
      <w:r>
        <w:rPr/>
        <w:t>published</w:t>
      </w:r>
      <w:r>
        <w:rPr>
          <w:spacing w:val="-4"/>
        </w:rPr>
        <w:t> </w:t>
      </w:r>
      <w:r>
        <w:rPr/>
        <w:t>the</w:t>
      </w:r>
      <w:r>
        <w:rPr>
          <w:spacing w:val="-2"/>
        </w:rPr>
        <w:t> </w:t>
      </w:r>
      <w:r>
        <w:rPr>
          <w:i/>
        </w:rPr>
        <w:t>Electrical</w:t>
      </w:r>
      <w:r>
        <w:rPr>
          <w:i/>
          <w:spacing w:val="-3"/>
        </w:rPr>
        <w:t> </w:t>
      </w:r>
      <w:r>
        <w:rPr>
          <w:i/>
        </w:rPr>
        <w:t>Incident and</w:t>
      </w:r>
      <w:r>
        <w:rPr>
          <w:i/>
          <w:spacing w:val="-4"/>
        </w:rPr>
        <w:t> </w:t>
      </w:r>
      <w:r>
        <w:rPr>
          <w:i/>
        </w:rPr>
        <w:t>Safety</w:t>
      </w:r>
      <w:r>
        <w:rPr>
          <w:i/>
          <w:spacing w:val="-4"/>
        </w:rPr>
        <w:t> </w:t>
      </w:r>
      <w:r>
        <w:rPr>
          <w:i/>
        </w:rPr>
        <w:t>Performance Reporting Guidelines </w:t>
      </w:r>
      <w:r>
        <w:rPr/>
        <w:t>to provide guidance on what information ESV expects to be provided (ESV 2016). ESV has also developed an online web portal for network businesses, known as the Online Safety Incident Reporting and Intelligence System (OSIRIS), which has simplified the reporting process for incidents involving those businesses by having a set template and options.</w:t>
      </w:r>
    </w:p>
    <w:p>
      <w:pPr>
        <w:pStyle w:val="BodyText"/>
        <w:spacing w:before="10"/>
        <w:rPr>
          <w:sz w:val="20"/>
        </w:rPr>
      </w:pPr>
    </w:p>
    <w:p>
      <w:pPr>
        <w:pStyle w:val="BodyText"/>
        <w:spacing w:line="288" w:lineRule="auto"/>
        <w:ind w:left="600" w:right="713"/>
      </w:pPr>
      <w:r>
        <w:rPr/>
        <w:t>OSIRIS</w:t>
      </w:r>
      <w:r>
        <w:rPr>
          <w:spacing w:val="-7"/>
        </w:rPr>
        <w:t> </w:t>
      </w:r>
      <w:r>
        <w:rPr/>
        <w:t>feeds</w:t>
      </w:r>
      <w:r>
        <w:rPr>
          <w:spacing w:val="-2"/>
        </w:rPr>
        <w:t> </w:t>
      </w:r>
      <w:r>
        <w:rPr/>
        <w:t>directly</w:t>
      </w:r>
      <w:r>
        <w:rPr>
          <w:spacing w:val="-5"/>
        </w:rPr>
        <w:t> </w:t>
      </w:r>
      <w:r>
        <w:rPr/>
        <w:t>into</w:t>
      </w:r>
      <w:r>
        <w:rPr>
          <w:spacing w:val="-2"/>
        </w:rPr>
        <w:t> </w:t>
      </w:r>
      <w:r>
        <w:rPr/>
        <w:t>the</w:t>
      </w:r>
      <w:r>
        <w:rPr>
          <w:spacing w:val="-5"/>
        </w:rPr>
        <w:t> </w:t>
      </w:r>
      <w:r>
        <w:rPr/>
        <w:t>data</w:t>
      </w:r>
      <w:r>
        <w:rPr>
          <w:spacing w:val="-5"/>
        </w:rPr>
        <w:t> </w:t>
      </w:r>
      <w:r>
        <w:rPr/>
        <w:t>analysis</w:t>
      </w:r>
      <w:r>
        <w:rPr>
          <w:spacing w:val="-2"/>
        </w:rPr>
        <w:t> </w:t>
      </w:r>
      <w:r>
        <w:rPr/>
        <w:t>engine “Conduit”,</w:t>
      </w:r>
      <w:r>
        <w:rPr>
          <w:spacing w:val="-4"/>
        </w:rPr>
        <w:t> </w:t>
      </w:r>
      <w:r>
        <w:rPr/>
        <w:t>which</w:t>
      </w:r>
      <w:r>
        <w:rPr>
          <w:spacing w:val="-3"/>
        </w:rPr>
        <w:t> </w:t>
      </w:r>
      <w:r>
        <w:rPr/>
        <w:t>provides</w:t>
      </w:r>
      <w:r>
        <w:rPr>
          <w:spacing w:val="-3"/>
        </w:rPr>
        <w:t> </w:t>
      </w:r>
      <w:r>
        <w:rPr/>
        <w:t>a</w:t>
      </w:r>
      <w:r>
        <w:rPr>
          <w:spacing w:val="-2"/>
        </w:rPr>
        <w:t> </w:t>
      </w:r>
      <w:r>
        <w:rPr/>
        <w:t>dashboard environment where standard analyses can be performed on near real-time data to allow risks to be targeted and addressed.</w:t>
      </w:r>
    </w:p>
    <w:p>
      <w:pPr>
        <w:pStyle w:val="BodyText"/>
        <w:spacing w:before="9"/>
        <w:rPr>
          <w:sz w:val="20"/>
        </w:rPr>
      </w:pPr>
    </w:p>
    <w:p>
      <w:pPr>
        <w:pStyle w:val="BodyText"/>
        <w:spacing w:line="288" w:lineRule="auto"/>
        <w:ind w:left="600" w:right="910"/>
      </w:pPr>
      <w:r>
        <w:rPr/>
        <w:t>For</w:t>
      </w:r>
      <w:r>
        <w:rPr>
          <w:spacing w:val="-4"/>
        </w:rPr>
        <w:t> </w:t>
      </w:r>
      <w:r>
        <w:rPr/>
        <w:t>the</w:t>
      </w:r>
      <w:r>
        <w:rPr>
          <w:spacing w:val="-5"/>
        </w:rPr>
        <w:t> </w:t>
      </w:r>
      <w:r>
        <w:rPr/>
        <w:t>gas</w:t>
      </w:r>
      <w:r>
        <w:rPr>
          <w:spacing w:val="-5"/>
        </w:rPr>
        <w:t> </w:t>
      </w:r>
      <w:r>
        <w:rPr/>
        <w:t>sector,</w:t>
      </w:r>
      <w:r>
        <w:rPr>
          <w:spacing w:val="-4"/>
        </w:rPr>
        <w:t> </w:t>
      </w:r>
      <w:r>
        <w:rPr/>
        <w:t>reporting</w:t>
      </w:r>
      <w:r>
        <w:rPr>
          <w:spacing w:val="-3"/>
        </w:rPr>
        <w:t> </w:t>
      </w:r>
      <w:r>
        <w:rPr/>
        <w:t>requirements</w:t>
      </w:r>
      <w:r>
        <w:rPr>
          <w:spacing w:val="-2"/>
        </w:rPr>
        <w:t> </w:t>
      </w:r>
      <w:r>
        <w:rPr/>
        <w:t>are</w:t>
      </w:r>
      <w:r>
        <w:rPr>
          <w:spacing w:val="-3"/>
        </w:rPr>
        <w:t> </w:t>
      </w:r>
      <w:r>
        <w:rPr/>
        <w:t>less</w:t>
      </w:r>
      <w:r>
        <w:rPr>
          <w:spacing w:val="-2"/>
        </w:rPr>
        <w:t> </w:t>
      </w:r>
      <w:r>
        <w:rPr/>
        <w:t>developed.</w:t>
      </w:r>
      <w:r>
        <w:rPr>
          <w:spacing w:val="-2"/>
        </w:rPr>
        <w:t> </w:t>
      </w:r>
      <w:r>
        <w:rPr/>
        <w:t>Unlike</w:t>
      </w:r>
      <w:r>
        <w:rPr>
          <w:spacing w:val="-3"/>
        </w:rPr>
        <w:t> </w:t>
      </w:r>
      <w:r>
        <w:rPr/>
        <w:t>electricity,</w:t>
      </w:r>
      <w:r>
        <w:rPr>
          <w:spacing w:val="-2"/>
        </w:rPr>
        <w:t> </w:t>
      </w:r>
      <w:r>
        <w:rPr/>
        <w:t>there</w:t>
      </w:r>
      <w:r>
        <w:rPr>
          <w:spacing w:val="-3"/>
        </w:rPr>
        <w:t> </w:t>
      </w:r>
      <w:r>
        <w:rPr/>
        <w:t>are no reporting guidelines and the system for reporting gas incidents is manually based.</w:t>
      </w:r>
    </w:p>
    <w:p>
      <w:pPr>
        <w:pStyle w:val="BodyText"/>
        <w:spacing w:line="288" w:lineRule="auto"/>
        <w:ind w:left="600"/>
      </w:pPr>
      <w:r>
        <w:rPr/>
        <w:t>Incident</w:t>
      </w:r>
      <w:r>
        <w:rPr>
          <w:spacing w:val="-3"/>
        </w:rPr>
        <w:t> </w:t>
      </w:r>
      <w:r>
        <w:rPr/>
        <w:t>data</w:t>
      </w:r>
      <w:r>
        <w:rPr>
          <w:spacing w:val="-6"/>
        </w:rPr>
        <w:t> </w:t>
      </w:r>
      <w:r>
        <w:rPr/>
        <w:t>is</w:t>
      </w:r>
      <w:r>
        <w:rPr>
          <w:spacing w:val="-3"/>
        </w:rPr>
        <w:t> </w:t>
      </w:r>
      <w:r>
        <w:rPr/>
        <w:t>transcribed</w:t>
      </w:r>
      <w:r>
        <w:rPr>
          <w:spacing w:val="-4"/>
        </w:rPr>
        <w:t> </w:t>
      </w:r>
      <w:r>
        <w:rPr/>
        <w:t>into</w:t>
      </w:r>
      <w:r>
        <w:rPr>
          <w:spacing w:val="-4"/>
        </w:rPr>
        <w:t> </w:t>
      </w:r>
      <w:r>
        <w:rPr/>
        <w:t>ESV’s</w:t>
      </w:r>
      <w:r>
        <w:rPr>
          <w:spacing w:val="-3"/>
        </w:rPr>
        <w:t> </w:t>
      </w:r>
      <w:r>
        <w:rPr/>
        <w:t>Complaints</w:t>
      </w:r>
      <w:r>
        <w:rPr>
          <w:spacing w:val="-3"/>
        </w:rPr>
        <w:t> </w:t>
      </w:r>
      <w:r>
        <w:rPr/>
        <w:t>and</w:t>
      </w:r>
      <w:r>
        <w:rPr>
          <w:spacing w:val="-6"/>
        </w:rPr>
        <w:t> </w:t>
      </w:r>
      <w:r>
        <w:rPr/>
        <w:t>Incident</w:t>
      </w:r>
      <w:r>
        <w:rPr>
          <w:spacing w:val="-5"/>
        </w:rPr>
        <w:t> </w:t>
      </w:r>
      <w:r>
        <w:rPr/>
        <w:t>Management</w:t>
      </w:r>
      <w:r>
        <w:rPr>
          <w:spacing w:val="-2"/>
        </w:rPr>
        <w:t> </w:t>
      </w:r>
      <w:r>
        <w:rPr/>
        <w:t>System</w:t>
      </w:r>
      <w:r>
        <w:rPr>
          <w:spacing w:val="-5"/>
        </w:rPr>
        <w:t> </w:t>
      </w:r>
      <w:r>
        <w:rPr/>
        <w:t>(CIMS) cataloguing system manually by ESV staff.</w:t>
      </w:r>
    </w:p>
    <w:p>
      <w:pPr>
        <w:pStyle w:val="BodyText"/>
        <w:spacing w:before="10"/>
        <w:rPr>
          <w:sz w:val="20"/>
        </w:rPr>
      </w:pPr>
    </w:p>
    <w:p>
      <w:pPr>
        <w:pStyle w:val="BodyText"/>
        <w:spacing w:line="290" w:lineRule="auto" w:before="1"/>
        <w:ind w:left="600" w:right="910"/>
      </w:pPr>
      <w:r>
        <w:rPr/>
        <w:t>While</w:t>
      </w:r>
      <w:r>
        <w:rPr>
          <w:spacing w:val="-3"/>
        </w:rPr>
        <w:t> </w:t>
      </w:r>
      <w:r>
        <w:rPr/>
        <w:t>ESV</w:t>
      </w:r>
      <w:r>
        <w:rPr>
          <w:spacing w:val="-3"/>
        </w:rPr>
        <w:t> </w:t>
      </w:r>
      <w:r>
        <w:rPr/>
        <w:t>does</w:t>
      </w:r>
      <w:r>
        <w:rPr>
          <w:spacing w:val="-2"/>
        </w:rPr>
        <w:t> </w:t>
      </w:r>
      <w:r>
        <w:rPr/>
        <w:t>construct</w:t>
      </w:r>
      <w:r>
        <w:rPr>
          <w:spacing w:val="-1"/>
        </w:rPr>
        <w:t> </w:t>
      </w:r>
      <w:r>
        <w:rPr/>
        <w:t>a</w:t>
      </w:r>
      <w:r>
        <w:rPr>
          <w:spacing w:val="-5"/>
        </w:rPr>
        <w:t> </w:t>
      </w:r>
      <w:r>
        <w:rPr/>
        <w:t>monthly</w:t>
      </w:r>
      <w:r>
        <w:rPr>
          <w:spacing w:val="-5"/>
        </w:rPr>
        <w:t> </w:t>
      </w:r>
      <w:r>
        <w:rPr/>
        <w:t>report</w:t>
      </w:r>
      <w:r>
        <w:rPr>
          <w:spacing w:val="-1"/>
        </w:rPr>
        <w:t> </w:t>
      </w:r>
      <w:r>
        <w:rPr/>
        <w:t>on</w:t>
      </w:r>
      <w:r>
        <w:rPr>
          <w:spacing w:val="-8"/>
        </w:rPr>
        <w:t> </w:t>
      </w:r>
      <w:r>
        <w:rPr/>
        <w:t>gas</w:t>
      </w:r>
      <w:r>
        <w:rPr>
          <w:spacing w:val="-2"/>
        </w:rPr>
        <w:t> </w:t>
      </w:r>
      <w:r>
        <w:rPr/>
        <w:t>incident</w:t>
      </w:r>
      <w:r>
        <w:rPr>
          <w:spacing w:val="-2"/>
        </w:rPr>
        <w:t> </w:t>
      </w:r>
      <w:r>
        <w:rPr/>
        <w:t>statistics,</w:t>
      </w:r>
      <w:r>
        <w:rPr>
          <w:spacing w:val="-4"/>
        </w:rPr>
        <w:t> </w:t>
      </w:r>
      <w:r>
        <w:rPr/>
        <w:t>this</w:t>
      </w:r>
      <w:r>
        <w:rPr>
          <w:spacing w:val="-5"/>
        </w:rPr>
        <w:t> </w:t>
      </w:r>
      <w:r>
        <w:rPr/>
        <w:t>report</w:t>
      </w:r>
      <w:r>
        <w:rPr>
          <w:spacing w:val="-3"/>
        </w:rPr>
        <w:t> </w:t>
      </w:r>
      <w:r>
        <w:rPr/>
        <w:t>requires manual extraction from the CIMS.</w:t>
      </w:r>
    </w:p>
    <w:p>
      <w:pPr>
        <w:pStyle w:val="BodyText"/>
        <w:spacing w:before="10"/>
        <w:rPr>
          <w:sz w:val="30"/>
        </w:rPr>
      </w:pPr>
    </w:p>
    <w:p>
      <w:pPr>
        <w:pStyle w:val="Heading4"/>
        <w:spacing w:line="288" w:lineRule="auto" w:before="0"/>
        <w:ind w:left="600" w:right="311"/>
      </w:pPr>
      <w:r>
        <w:rPr>
          <w:color w:val="585858"/>
        </w:rPr>
        <w:t>The</w:t>
      </w:r>
      <w:r>
        <w:rPr>
          <w:color w:val="585858"/>
          <w:spacing w:val="-4"/>
        </w:rPr>
        <w:t> </w:t>
      </w:r>
      <w:r>
        <w:rPr>
          <w:color w:val="585858"/>
        </w:rPr>
        <w:t>role</w:t>
      </w:r>
      <w:r>
        <w:rPr>
          <w:color w:val="585858"/>
          <w:spacing w:val="-4"/>
        </w:rPr>
        <w:t> </w:t>
      </w:r>
      <w:r>
        <w:rPr>
          <w:color w:val="585858"/>
        </w:rPr>
        <w:t>of</w:t>
      </w:r>
      <w:r>
        <w:rPr>
          <w:color w:val="585858"/>
          <w:spacing w:val="-4"/>
        </w:rPr>
        <w:t> </w:t>
      </w:r>
      <w:r>
        <w:rPr>
          <w:color w:val="585858"/>
        </w:rPr>
        <w:t>strong</w:t>
      </w:r>
      <w:r>
        <w:rPr>
          <w:color w:val="585858"/>
          <w:spacing w:val="-4"/>
        </w:rPr>
        <w:t> </w:t>
      </w:r>
      <w:r>
        <w:rPr>
          <w:color w:val="585858"/>
        </w:rPr>
        <w:t>compliance</w:t>
      </w:r>
      <w:r>
        <w:rPr>
          <w:color w:val="585858"/>
          <w:spacing w:val="-2"/>
        </w:rPr>
        <w:t> </w:t>
      </w:r>
      <w:r>
        <w:rPr>
          <w:color w:val="585858"/>
        </w:rPr>
        <w:t>and</w:t>
      </w:r>
      <w:r>
        <w:rPr>
          <w:color w:val="585858"/>
          <w:spacing w:val="-5"/>
        </w:rPr>
        <w:t> </w:t>
      </w:r>
      <w:r>
        <w:rPr>
          <w:color w:val="585858"/>
        </w:rPr>
        <w:t>enforcement</w:t>
      </w:r>
      <w:r>
        <w:rPr>
          <w:color w:val="585858"/>
          <w:spacing w:val="-4"/>
        </w:rPr>
        <w:t> </w:t>
      </w:r>
      <w:r>
        <w:rPr>
          <w:color w:val="585858"/>
        </w:rPr>
        <w:t>within</w:t>
      </w:r>
      <w:r>
        <w:rPr>
          <w:color w:val="585858"/>
          <w:spacing w:val="-4"/>
        </w:rPr>
        <w:t> </w:t>
      </w:r>
      <w:r>
        <w:rPr>
          <w:color w:val="585858"/>
        </w:rPr>
        <w:t>a safety case based framework</w:t>
      </w:r>
    </w:p>
    <w:p>
      <w:pPr>
        <w:pStyle w:val="BodyText"/>
        <w:spacing w:line="288" w:lineRule="auto" w:before="240"/>
        <w:ind w:left="600" w:right="713"/>
      </w:pPr>
      <w:r>
        <w:rPr/>
        <w:t>Over</w:t>
      </w:r>
      <w:r>
        <w:rPr>
          <w:spacing w:val="-1"/>
        </w:rPr>
        <w:t> </w:t>
      </w:r>
      <w:r>
        <w:rPr/>
        <w:t>the</w:t>
      </w:r>
      <w:r>
        <w:rPr>
          <w:spacing w:val="-4"/>
        </w:rPr>
        <w:t> </w:t>
      </w:r>
      <w:r>
        <w:rPr/>
        <w:t>past</w:t>
      </w:r>
      <w:r>
        <w:rPr>
          <w:spacing w:val="-3"/>
        </w:rPr>
        <w:t> </w:t>
      </w:r>
      <w:r>
        <w:rPr/>
        <w:t>two</w:t>
      </w:r>
      <w:r>
        <w:rPr>
          <w:spacing w:val="-2"/>
        </w:rPr>
        <w:t> </w:t>
      </w:r>
      <w:r>
        <w:rPr/>
        <w:t>years,</w:t>
      </w:r>
      <w:r>
        <w:rPr>
          <w:spacing w:val="-3"/>
        </w:rPr>
        <w:t> </w:t>
      </w:r>
      <w:r>
        <w:rPr/>
        <w:t>ESV</w:t>
      </w:r>
      <w:r>
        <w:rPr>
          <w:spacing w:val="-2"/>
        </w:rPr>
        <w:t> </w:t>
      </w:r>
      <w:r>
        <w:rPr/>
        <w:t>has</w:t>
      </w:r>
      <w:r>
        <w:rPr>
          <w:spacing w:val="-1"/>
        </w:rPr>
        <w:t> </w:t>
      </w:r>
      <w:r>
        <w:rPr/>
        <w:t>introduced</w:t>
      </w:r>
      <w:r>
        <w:rPr>
          <w:spacing w:val="-4"/>
        </w:rPr>
        <w:t> </w:t>
      </w:r>
      <w:r>
        <w:rPr/>
        <w:t>the</w:t>
      </w:r>
      <w:r>
        <w:rPr>
          <w:spacing w:val="-4"/>
        </w:rPr>
        <w:t> </w:t>
      </w:r>
      <w:r>
        <w:rPr/>
        <w:t>safety</w:t>
      </w:r>
      <w:r>
        <w:rPr>
          <w:spacing w:val="-3"/>
        </w:rPr>
        <w:t> </w:t>
      </w:r>
      <w:r>
        <w:rPr/>
        <w:t>case</w:t>
      </w:r>
      <w:r>
        <w:rPr>
          <w:spacing w:val="-4"/>
        </w:rPr>
        <w:t> </w:t>
      </w:r>
      <w:r>
        <w:rPr/>
        <w:t>approach</w:t>
      </w:r>
      <w:r>
        <w:rPr>
          <w:spacing w:val="-2"/>
        </w:rPr>
        <w:t> </w:t>
      </w:r>
      <w:r>
        <w:rPr/>
        <w:t>as</w:t>
      </w:r>
      <w:r>
        <w:rPr>
          <w:spacing w:val="-6"/>
        </w:rPr>
        <w:t> </w:t>
      </w:r>
      <w:r>
        <w:rPr/>
        <w:t>the</w:t>
      </w:r>
      <w:r>
        <w:rPr>
          <w:spacing w:val="-4"/>
        </w:rPr>
        <w:t> </w:t>
      </w:r>
      <w:r>
        <w:rPr/>
        <w:t>foundation</w:t>
      </w:r>
      <w:r>
        <w:rPr>
          <w:spacing w:val="-2"/>
        </w:rPr>
        <w:t> </w:t>
      </w:r>
      <w:r>
        <w:rPr/>
        <w:t>of its regulation of electricity network safety, building on the Electricity Safety Management Scheme requirements that became mandatory for electricity network businesses in 2009.</w:t>
      </w:r>
    </w:p>
    <w:p>
      <w:pPr>
        <w:pStyle w:val="BodyText"/>
        <w:rPr>
          <w:sz w:val="21"/>
        </w:rPr>
      </w:pPr>
    </w:p>
    <w:p>
      <w:pPr>
        <w:pStyle w:val="BodyText"/>
        <w:spacing w:line="288" w:lineRule="auto"/>
        <w:ind w:left="600" w:right="374"/>
      </w:pPr>
      <w:r>
        <w:rPr/>
        <w:t>ESV has greater experience in the application of safety cases for the regulation of gas networks, as</w:t>
      </w:r>
      <w:r>
        <w:rPr>
          <w:spacing w:val="-4"/>
        </w:rPr>
        <w:t> </w:t>
      </w:r>
      <w:r>
        <w:rPr/>
        <w:t>they</w:t>
      </w:r>
      <w:r>
        <w:rPr>
          <w:spacing w:val="-4"/>
        </w:rPr>
        <w:t> </w:t>
      </w:r>
      <w:r>
        <w:rPr/>
        <w:t>have</w:t>
      </w:r>
      <w:r>
        <w:rPr>
          <w:spacing w:val="-2"/>
        </w:rPr>
        <w:t> </w:t>
      </w:r>
      <w:r>
        <w:rPr/>
        <w:t>been</w:t>
      </w:r>
      <w:r>
        <w:rPr>
          <w:spacing w:val="-2"/>
        </w:rPr>
        <w:t> </w:t>
      </w:r>
      <w:r>
        <w:rPr/>
        <w:t>a</w:t>
      </w:r>
      <w:r>
        <w:rPr>
          <w:spacing w:val="-1"/>
        </w:rPr>
        <w:t> </w:t>
      </w:r>
      <w:r>
        <w:rPr/>
        <w:t>statutory</w:t>
      </w:r>
      <w:r>
        <w:rPr>
          <w:spacing w:val="-6"/>
        </w:rPr>
        <w:t> </w:t>
      </w:r>
      <w:r>
        <w:rPr/>
        <w:t>requirement</w:t>
      </w:r>
      <w:r>
        <w:rPr>
          <w:spacing w:val="-3"/>
        </w:rPr>
        <w:t> </w:t>
      </w:r>
      <w:r>
        <w:rPr/>
        <w:t>for</w:t>
      </w:r>
      <w:r>
        <w:rPr>
          <w:spacing w:val="-3"/>
        </w:rPr>
        <w:t> </w:t>
      </w:r>
      <w:r>
        <w:rPr/>
        <w:t>network businesses</w:t>
      </w:r>
      <w:r>
        <w:rPr>
          <w:spacing w:val="-2"/>
        </w:rPr>
        <w:t> </w:t>
      </w:r>
      <w:r>
        <w:rPr/>
        <w:t>under</w:t>
      </w:r>
      <w:r>
        <w:rPr>
          <w:spacing w:val="-3"/>
        </w:rPr>
        <w:t> </w:t>
      </w:r>
      <w:r>
        <w:rPr/>
        <w:t>the</w:t>
      </w:r>
      <w:r>
        <w:rPr>
          <w:spacing w:val="-5"/>
        </w:rPr>
        <w:t> </w:t>
      </w:r>
      <w:r>
        <w:rPr>
          <w:i/>
        </w:rPr>
        <w:t>Gas Safety Act 1997 </w:t>
      </w:r>
      <w:r>
        <w:rPr/>
        <w:t>since its commencement in 1997.</w:t>
      </w:r>
    </w:p>
    <w:p>
      <w:pPr>
        <w:pStyle w:val="BodyText"/>
        <w:spacing w:before="9"/>
        <w:rPr>
          <w:sz w:val="20"/>
        </w:rPr>
      </w:pPr>
    </w:p>
    <w:p>
      <w:pPr>
        <w:pStyle w:val="BodyText"/>
        <w:spacing w:line="288" w:lineRule="auto"/>
        <w:ind w:left="600" w:right="586"/>
      </w:pPr>
      <w:r>
        <w:rPr/>
        <w:t>As discussed in </w:t>
      </w:r>
      <w:r>
        <w:rPr>
          <w:i/>
        </w:rPr>
        <w:t>Part C: Leading Practice and Network Safety Regulation</w:t>
      </w:r>
      <w:r>
        <w:rPr/>
        <w:t>, safety regulation built</w:t>
      </w:r>
      <w:r>
        <w:rPr>
          <w:spacing w:val="-1"/>
        </w:rPr>
        <w:t> </w:t>
      </w:r>
      <w:r>
        <w:rPr/>
        <w:t>around</w:t>
      </w:r>
      <w:r>
        <w:rPr>
          <w:spacing w:val="-3"/>
        </w:rPr>
        <w:t> </w:t>
      </w:r>
      <w:r>
        <w:rPr/>
        <w:t>a</w:t>
      </w:r>
      <w:r>
        <w:rPr>
          <w:spacing w:val="-4"/>
        </w:rPr>
        <w:t> </w:t>
      </w:r>
      <w:r>
        <w:rPr/>
        <w:t>requirement</w:t>
      </w:r>
      <w:r>
        <w:rPr>
          <w:spacing w:val="-4"/>
        </w:rPr>
        <w:t> </w:t>
      </w:r>
      <w:r>
        <w:rPr/>
        <w:t>that</w:t>
      </w:r>
      <w:r>
        <w:rPr>
          <w:spacing w:val="-4"/>
        </w:rPr>
        <w:t> </w:t>
      </w:r>
      <w:r>
        <w:rPr/>
        <w:t>each</w:t>
      </w:r>
      <w:r>
        <w:rPr>
          <w:spacing w:val="-4"/>
        </w:rPr>
        <w:t> </w:t>
      </w:r>
      <w:r>
        <w:rPr/>
        <w:t>regulated</w:t>
      </w:r>
      <w:r>
        <w:rPr>
          <w:spacing w:val="-4"/>
        </w:rPr>
        <w:t> </w:t>
      </w:r>
      <w:r>
        <w:rPr/>
        <w:t>entity</w:t>
      </w:r>
      <w:r>
        <w:rPr>
          <w:spacing w:val="-2"/>
        </w:rPr>
        <w:t> </w:t>
      </w:r>
      <w:r>
        <w:rPr/>
        <w:t>must</w:t>
      </w:r>
      <w:r>
        <w:rPr>
          <w:spacing w:val="-1"/>
        </w:rPr>
        <w:t> </w:t>
      </w:r>
      <w:r>
        <w:rPr/>
        <w:t>have</w:t>
      </w:r>
      <w:r>
        <w:rPr>
          <w:spacing w:val="-3"/>
        </w:rPr>
        <w:t> </w:t>
      </w:r>
      <w:r>
        <w:rPr/>
        <w:t>a</w:t>
      </w:r>
      <w:r>
        <w:rPr>
          <w:spacing w:val="-4"/>
        </w:rPr>
        <w:t> </w:t>
      </w:r>
      <w:r>
        <w:rPr/>
        <w:t>comprehensive</w:t>
      </w:r>
      <w:r>
        <w:rPr>
          <w:spacing w:val="-3"/>
        </w:rPr>
        <w:t> </w:t>
      </w:r>
      <w:r>
        <w:rPr/>
        <w:t>enterprise- wide approach to safety – that is, a full safety case – has been adopted by major regulators both in Australia and internationally, and is widely considered to represent leading practice.</w:t>
      </w:r>
    </w:p>
    <w:p>
      <w:pPr>
        <w:spacing w:after="0" w:line="288" w:lineRule="auto"/>
        <w:sectPr>
          <w:pgSz w:w="11910" w:h="16840"/>
          <w:pgMar w:header="887" w:footer="1228" w:top="1080" w:bottom="1500" w:left="840" w:right="820"/>
        </w:sectPr>
      </w:pPr>
    </w:p>
    <w:p>
      <w:pPr>
        <w:pStyle w:val="BodyText"/>
        <w:rPr>
          <w:sz w:val="20"/>
        </w:rPr>
      </w:pPr>
    </w:p>
    <w:p>
      <w:pPr>
        <w:pStyle w:val="BodyText"/>
        <w:rPr>
          <w:sz w:val="20"/>
        </w:rPr>
      </w:pPr>
    </w:p>
    <w:p>
      <w:pPr>
        <w:pStyle w:val="BodyText"/>
        <w:spacing w:before="5"/>
      </w:pPr>
    </w:p>
    <w:p>
      <w:pPr>
        <w:pStyle w:val="BodyText"/>
        <w:spacing w:line="288" w:lineRule="auto"/>
        <w:ind w:left="600" w:right="803"/>
      </w:pPr>
      <w:r>
        <w:rPr/>
        <w:t>For all the advantages that a safety case approach may bring – and it is an approach supported</w:t>
      </w:r>
      <w:r>
        <w:rPr>
          <w:spacing w:val="-4"/>
        </w:rPr>
        <w:t> </w:t>
      </w:r>
      <w:r>
        <w:rPr/>
        <w:t>by</w:t>
      </w:r>
      <w:r>
        <w:rPr>
          <w:spacing w:val="-4"/>
        </w:rPr>
        <w:t> </w:t>
      </w:r>
      <w:r>
        <w:rPr/>
        <w:t>this</w:t>
      </w:r>
      <w:r>
        <w:rPr>
          <w:spacing w:val="-1"/>
        </w:rPr>
        <w:t> </w:t>
      </w:r>
      <w:r>
        <w:rPr/>
        <w:t>Review</w:t>
      </w:r>
      <w:r>
        <w:rPr>
          <w:spacing w:val="-4"/>
        </w:rPr>
        <w:t> </w:t>
      </w:r>
      <w:r>
        <w:rPr/>
        <w:t>–</w:t>
      </w:r>
      <w:r>
        <w:rPr>
          <w:spacing w:val="-1"/>
        </w:rPr>
        <w:t> </w:t>
      </w:r>
      <w:r>
        <w:rPr/>
        <w:t>it depends</w:t>
      </w:r>
      <w:r>
        <w:rPr>
          <w:spacing w:val="-4"/>
        </w:rPr>
        <w:t> </w:t>
      </w:r>
      <w:r>
        <w:rPr/>
        <w:t>critically</w:t>
      </w:r>
      <w:r>
        <w:rPr>
          <w:spacing w:val="-4"/>
        </w:rPr>
        <w:t> </w:t>
      </w:r>
      <w:r>
        <w:rPr/>
        <w:t>on</w:t>
      </w:r>
      <w:r>
        <w:rPr>
          <w:spacing w:val="-2"/>
        </w:rPr>
        <w:t> </w:t>
      </w:r>
      <w:r>
        <w:rPr/>
        <w:t>there</w:t>
      </w:r>
      <w:r>
        <w:rPr>
          <w:spacing w:val="-2"/>
        </w:rPr>
        <w:t> </w:t>
      </w:r>
      <w:r>
        <w:rPr/>
        <w:t>being a</w:t>
      </w:r>
      <w:r>
        <w:rPr>
          <w:spacing w:val="-4"/>
        </w:rPr>
        <w:t> </w:t>
      </w:r>
      <w:r>
        <w:rPr/>
        <w:t>strong</w:t>
      </w:r>
      <w:r>
        <w:rPr>
          <w:spacing w:val="-2"/>
        </w:rPr>
        <w:t> </w:t>
      </w:r>
      <w:r>
        <w:rPr/>
        <w:t>safety</w:t>
      </w:r>
      <w:r>
        <w:rPr>
          <w:spacing w:val="-3"/>
        </w:rPr>
        <w:t> </w:t>
      </w:r>
      <w:r>
        <w:rPr/>
        <w:t>regulator.</w:t>
      </w:r>
      <w:r>
        <w:rPr>
          <w:spacing w:val="-3"/>
        </w:rPr>
        <w:t> </w:t>
      </w:r>
      <w:r>
        <w:rPr/>
        <w:t>As Professor Andrew Hopkins has noted, it must be one that is “competent, independent and </w:t>
      </w:r>
      <w:r>
        <w:rPr>
          <w:spacing w:val="-2"/>
        </w:rPr>
        <w:t>well-resourced”:</w:t>
      </w:r>
    </w:p>
    <w:p>
      <w:pPr>
        <w:pStyle w:val="BodyText"/>
        <w:spacing w:before="10"/>
        <w:rPr>
          <w:sz w:val="20"/>
        </w:rPr>
      </w:pPr>
    </w:p>
    <w:p>
      <w:pPr>
        <w:spacing w:line="288" w:lineRule="auto" w:before="0"/>
        <w:ind w:left="1166" w:right="1200" w:firstLine="0"/>
        <w:jc w:val="left"/>
        <w:rPr>
          <w:i/>
          <w:sz w:val="22"/>
        </w:rPr>
      </w:pPr>
      <w:r>
        <w:rPr>
          <w:i/>
          <w:sz w:val="22"/>
        </w:rPr>
        <w:t>“Many jurisdictions around the world have fallen into the trap of thinking that all they need to do to institute a safety case regime is enact the necessary legislation.</w:t>
      </w:r>
      <w:r>
        <w:rPr>
          <w:i/>
          <w:spacing w:val="-2"/>
          <w:sz w:val="22"/>
        </w:rPr>
        <w:t> </w:t>
      </w:r>
      <w:r>
        <w:rPr>
          <w:i/>
          <w:sz w:val="22"/>
        </w:rPr>
        <w:t>This</w:t>
      </w:r>
      <w:r>
        <w:rPr>
          <w:i/>
          <w:spacing w:val="-2"/>
          <w:sz w:val="22"/>
        </w:rPr>
        <w:t> </w:t>
      </w:r>
      <w:r>
        <w:rPr>
          <w:i/>
          <w:sz w:val="22"/>
        </w:rPr>
        <w:t>is</w:t>
      </w:r>
      <w:r>
        <w:rPr>
          <w:i/>
          <w:spacing w:val="-2"/>
          <w:sz w:val="22"/>
        </w:rPr>
        <w:t> </w:t>
      </w:r>
      <w:r>
        <w:rPr>
          <w:i/>
          <w:sz w:val="22"/>
        </w:rPr>
        <w:t>a</w:t>
      </w:r>
      <w:r>
        <w:rPr>
          <w:i/>
          <w:spacing w:val="-5"/>
          <w:sz w:val="22"/>
        </w:rPr>
        <w:t> </w:t>
      </w:r>
      <w:r>
        <w:rPr>
          <w:i/>
          <w:sz w:val="22"/>
        </w:rPr>
        <w:t>serious</w:t>
      </w:r>
      <w:r>
        <w:rPr>
          <w:i/>
          <w:spacing w:val="-2"/>
          <w:sz w:val="22"/>
        </w:rPr>
        <w:t> </w:t>
      </w:r>
      <w:r>
        <w:rPr>
          <w:i/>
          <w:sz w:val="22"/>
        </w:rPr>
        <w:t>error.</w:t>
      </w:r>
      <w:r>
        <w:rPr>
          <w:i/>
          <w:spacing w:val="-1"/>
          <w:sz w:val="22"/>
        </w:rPr>
        <w:t> </w:t>
      </w:r>
      <w:r>
        <w:rPr>
          <w:i/>
          <w:sz w:val="22"/>
        </w:rPr>
        <w:t>Safety</w:t>
      </w:r>
      <w:r>
        <w:rPr>
          <w:i/>
          <w:spacing w:val="-4"/>
          <w:sz w:val="22"/>
        </w:rPr>
        <w:t> </w:t>
      </w:r>
      <w:r>
        <w:rPr>
          <w:i/>
          <w:sz w:val="22"/>
        </w:rPr>
        <w:t>case</w:t>
      </w:r>
      <w:r>
        <w:rPr>
          <w:i/>
          <w:spacing w:val="-5"/>
          <w:sz w:val="22"/>
        </w:rPr>
        <w:t> </w:t>
      </w:r>
      <w:r>
        <w:rPr>
          <w:i/>
          <w:sz w:val="22"/>
        </w:rPr>
        <w:t>regimes</w:t>
      </w:r>
      <w:r>
        <w:rPr>
          <w:i/>
          <w:spacing w:val="-3"/>
          <w:sz w:val="22"/>
        </w:rPr>
        <w:t> </w:t>
      </w:r>
      <w:r>
        <w:rPr>
          <w:i/>
          <w:sz w:val="22"/>
        </w:rPr>
        <w:t>have</w:t>
      </w:r>
      <w:r>
        <w:rPr>
          <w:i/>
          <w:spacing w:val="-5"/>
          <w:sz w:val="22"/>
        </w:rPr>
        <w:t> </w:t>
      </w:r>
      <w:r>
        <w:rPr>
          <w:i/>
          <w:sz w:val="22"/>
        </w:rPr>
        <w:t>only</w:t>
      </w:r>
      <w:r>
        <w:rPr>
          <w:i/>
          <w:spacing w:val="-5"/>
          <w:sz w:val="22"/>
        </w:rPr>
        <w:t> </w:t>
      </w:r>
      <w:r>
        <w:rPr>
          <w:i/>
          <w:sz w:val="22"/>
        </w:rPr>
        <w:t>functioned</w:t>
      </w:r>
      <w:r>
        <w:rPr>
          <w:i/>
          <w:spacing w:val="-3"/>
          <w:sz w:val="22"/>
        </w:rPr>
        <w:t> </w:t>
      </w:r>
      <w:r>
        <w:rPr>
          <w:i/>
          <w:sz w:val="22"/>
        </w:rPr>
        <w:t>well when there is a competent, independent and well-resourced regulator.</w:t>
      </w:r>
    </w:p>
    <w:p>
      <w:pPr>
        <w:spacing w:line="288" w:lineRule="auto" w:before="0"/>
        <w:ind w:left="1166" w:right="1200" w:firstLine="0"/>
        <w:jc w:val="left"/>
        <w:rPr>
          <w:sz w:val="22"/>
        </w:rPr>
      </w:pPr>
      <w:r>
        <w:rPr>
          <w:i/>
          <w:sz w:val="22"/>
        </w:rPr>
        <w:t>Importantly,</w:t>
      </w:r>
      <w:r>
        <w:rPr>
          <w:i/>
          <w:spacing w:val="-4"/>
          <w:sz w:val="22"/>
        </w:rPr>
        <w:t> </w:t>
      </w:r>
      <w:r>
        <w:rPr>
          <w:i/>
          <w:sz w:val="22"/>
        </w:rPr>
        <w:t>the</w:t>
      </w:r>
      <w:r>
        <w:rPr>
          <w:i/>
          <w:spacing w:val="-5"/>
          <w:sz w:val="22"/>
        </w:rPr>
        <w:t> </w:t>
      </w:r>
      <w:r>
        <w:rPr>
          <w:i/>
          <w:sz w:val="22"/>
        </w:rPr>
        <w:t>initial</w:t>
      </w:r>
      <w:r>
        <w:rPr>
          <w:i/>
          <w:spacing w:val="-4"/>
          <w:sz w:val="22"/>
        </w:rPr>
        <w:t> </w:t>
      </w:r>
      <w:r>
        <w:rPr>
          <w:i/>
          <w:sz w:val="22"/>
        </w:rPr>
        <w:t>process</w:t>
      </w:r>
      <w:r>
        <w:rPr>
          <w:i/>
          <w:spacing w:val="-2"/>
          <w:sz w:val="22"/>
        </w:rPr>
        <w:t> </w:t>
      </w:r>
      <w:r>
        <w:rPr>
          <w:i/>
          <w:sz w:val="22"/>
        </w:rPr>
        <w:t>of</w:t>
      </w:r>
      <w:r>
        <w:rPr>
          <w:i/>
          <w:spacing w:val="-1"/>
          <w:sz w:val="22"/>
        </w:rPr>
        <w:t> </w:t>
      </w:r>
      <w:r>
        <w:rPr>
          <w:i/>
          <w:sz w:val="22"/>
        </w:rPr>
        <w:t>evaluating</w:t>
      </w:r>
      <w:r>
        <w:rPr>
          <w:i/>
          <w:spacing w:val="-3"/>
          <w:sz w:val="22"/>
        </w:rPr>
        <w:t> </w:t>
      </w:r>
      <w:r>
        <w:rPr>
          <w:i/>
          <w:sz w:val="22"/>
        </w:rPr>
        <w:t>and</w:t>
      </w:r>
      <w:r>
        <w:rPr>
          <w:i/>
          <w:spacing w:val="-5"/>
          <w:sz w:val="22"/>
        </w:rPr>
        <w:t> </w:t>
      </w:r>
      <w:r>
        <w:rPr>
          <w:i/>
          <w:sz w:val="22"/>
        </w:rPr>
        <w:t>accepting</w:t>
      </w:r>
      <w:r>
        <w:rPr>
          <w:i/>
          <w:spacing w:val="-5"/>
          <w:sz w:val="22"/>
        </w:rPr>
        <w:t> </w:t>
      </w:r>
      <w:r>
        <w:rPr>
          <w:i/>
          <w:sz w:val="22"/>
        </w:rPr>
        <w:t>(or</w:t>
      </w:r>
      <w:r>
        <w:rPr>
          <w:i/>
          <w:spacing w:val="-4"/>
          <w:sz w:val="22"/>
        </w:rPr>
        <w:t> </w:t>
      </w:r>
      <w:r>
        <w:rPr>
          <w:i/>
          <w:sz w:val="22"/>
        </w:rPr>
        <w:t>rejecting)</w:t>
      </w:r>
      <w:r>
        <w:rPr>
          <w:i/>
          <w:spacing w:val="-2"/>
          <w:sz w:val="22"/>
        </w:rPr>
        <w:t> </w:t>
      </w:r>
      <w:r>
        <w:rPr>
          <w:i/>
          <w:sz w:val="22"/>
        </w:rPr>
        <w:t>a</w:t>
      </w:r>
      <w:r>
        <w:rPr>
          <w:i/>
          <w:spacing w:val="-5"/>
          <w:sz w:val="22"/>
        </w:rPr>
        <w:t> </w:t>
      </w:r>
      <w:r>
        <w:rPr>
          <w:i/>
          <w:sz w:val="22"/>
        </w:rPr>
        <w:t>safety case requires a high level of expertise, if it is not to degenerate into a rubber stamp exercise.” </w:t>
      </w:r>
      <w:r>
        <w:rPr>
          <w:sz w:val="22"/>
        </w:rPr>
        <w:t>(Hopkins, 2012, p. 5)</w:t>
      </w:r>
    </w:p>
    <w:p>
      <w:pPr>
        <w:pStyle w:val="BodyText"/>
        <w:rPr>
          <w:sz w:val="21"/>
        </w:rPr>
      </w:pPr>
    </w:p>
    <w:p>
      <w:pPr>
        <w:pStyle w:val="BodyText"/>
        <w:spacing w:line="288" w:lineRule="auto"/>
        <w:ind w:left="600" w:right="311"/>
      </w:pPr>
      <w:r>
        <w:rPr/>
        <w:t>Over the course of the past two-and-a-half years, ESV has commissioned several external reports</w:t>
      </w:r>
      <w:r>
        <w:rPr>
          <w:spacing w:val="-4"/>
        </w:rPr>
        <w:t> </w:t>
      </w:r>
      <w:r>
        <w:rPr/>
        <w:t>to</w:t>
      </w:r>
      <w:r>
        <w:rPr>
          <w:spacing w:val="-3"/>
        </w:rPr>
        <w:t> </w:t>
      </w:r>
      <w:r>
        <w:rPr/>
        <w:t>assist</w:t>
      </w:r>
      <w:r>
        <w:rPr>
          <w:spacing w:val="-1"/>
        </w:rPr>
        <w:t> </w:t>
      </w:r>
      <w:r>
        <w:rPr/>
        <w:t>it</w:t>
      </w:r>
      <w:r>
        <w:rPr>
          <w:spacing w:val="-4"/>
        </w:rPr>
        <w:t> </w:t>
      </w:r>
      <w:r>
        <w:rPr/>
        <w:t>to</w:t>
      </w:r>
      <w:r>
        <w:rPr>
          <w:spacing w:val="-3"/>
        </w:rPr>
        <w:t> </w:t>
      </w:r>
      <w:r>
        <w:rPr/>
        <w:t>identify</w:t>
      </w:r>
      <w:r>
        <w:rPr>
          <w:spacing w:val="-4"/>
        </w:rPr>
        <w:t> </w:t>
      </w:r>
      <w:r>
        <w:rPr/>
        <w:t>areas</w:t>
      </w:r>
      <w:r>
        <w:rPr>
          <w:spacing w:val="-4"/>
        </w:rPr>
        <w:t> </w:t>
      </w:r>
      <w:r>
        <w:rPr/>
        <w:t>where</w:t>
      </w:r>
      <w:r>
        <w:rPr>
          <w:spacing w:val="-3"/>
        </w:rPr>
        <w:t> </w:t>
      </w:r>
      <w:r>
        <w:rPr/>
        <w:t>it</w:t>
      </w:r>
      <w:r>
        <w:rPr>
          <w:spacing w:val="-4"/>
        </w:rPr>
        <w:t> </w:t>
      </w:r>
      <w:r>
        <w:rPr/>
        <w:t>might</w:t>
      </w:r>
      <w:r>
        <w:rPr>
          <w:spacing w:val="-1"/>
        </w:rPr>
        <w:t> </w:t>
      </w:r>
      <w:r>
        <w:rPr/>
        <w:t>improve</w:t>
      </w:r>
      <w:r>
        <w:rPr>
          <w:spacing w:val="-3"/>
        </w:rPr>
        <w:t> </w:t>
      </w:r>
      <w:r>
        <w:rPr/>
        <w:t>and</w:t>
      </w:r>
      <w:r>
        <w:rPr>
          <w:spacing w:val="-4"/>
        </w:rPr>
        <w:t> </w:t>
      </w:r>
      <w:r>
        <w:rPr/>
        <w:t>strengthen</w:t>
      </w:r>
      <w:r>
        <w:rPr>
          <w:spacing w:val="-4"/>
        </w:rPr>
        <w:t> </w:t>
      </w:r>
      <w:r>
        <w:rPr/>
        <w:t>its</w:t>
      </w:r>
      <w:r>
        <w:rPr>
          <w:spacing w:val="-2"/>
        </w:rPr>
        <w:t> </w:t>
      </w:r>
      <w:r>
        <w:rPr/>
        <w:t>organisational structures, processes and capabilities.</w:t>
      </w:r>
    </w:p>
    <w:p>
      <w:pPr>
        <w:pStyle w:val="BodyText"/>
        <w:spacing w:before="9"/>
        <w:rPr>
          <w:sz w:val="20"/>
        </w:rPr>
      </w:pPr>
    </w:p>
    <w:p>
      <w:pPr>
        <w:pStyle w:val="BodyText"/>
        <w:spacing w:line="288" w:lineRule="auto"/>
        <w:ind w:left="600" w:right="713"/>
      </w:pPr>
      <w:r>
        <w:rPr/>
        <w:t>The</w:t>
      </w:r>
      <w:r>
        <w:rPr>
          <w:spacing w:val="-4"/>
        </w:rPr>
        <w:t> </w:t>
      </w:r>
      <w:r>
        <w:rPr/>
        <w:t>external</w:t>
      </w:r>
      <w:r>
        <w:rPr>
          <w:spacing w:val="-4"/>
        </w:rPr>
        <w:t> </w:t>
      </w:r>
      <w:r>
        <w:rPr/>
        <w:t>reports</w:t>
      </w:r>
      <w:r>
        <w:rPr>
          <w:spacing w:val="-2"/>
        </w:rPr>
        <w:t> </w:t>
      </w:r>
      <w:r>
        <w:rPr/>
        <w:t>on</w:t>
      </w:r>
      <w:r>
        <w:rPr>
          <w:spacing w:val="-7"/>
        </w:rPr>
        <w:t> </w:t>
      </w:r>
      <w:r>
        <w:rPr/>
        <w:t>ESV’s</w:t>
      </w:r>
      <w:r>
        <w:rPr>
          <w:spacing w:val="-2"/>
        </w:rPr>
        <w:t> </w:t>
      </w:r>
      <w:r>
        <w:rPr/>
        <w:t>organisational</w:t>
      </w:r>
      <w:r>
        <w:rPr>
          <w:spacing w:val="-4"/>
        </w:rPr>
        <w:t> </w:t>
      </w:r>
      <w:r>
        <w:rPr/>
        <w:t>structures</w:t>
      </w:r>
      <w:r>
        <w:rPr>
          <w:spacing w:val="-4"/>
        </w:rPr>
        <w:t> </w:t>
      </w:r>
      <w:r>
        <w:rPr/>
        <w:t>by</w:t>
      </w:r>
      <w:r>
        <w:rPr>
          <w:spacing w:val="-4"/>
        </w:rPr>
        <w:t> </w:t>
      </w:r>
      <w:r>
        <w:rPr/>
        <w:t>the</w:t>
      </w:r>
      <w:r>
        <w:rPr>
          <w:spacing w:val="-2"/>
        </w:rPr>
        <w:t> </w:t>
      </w:r>
      <w:r>
        <w:rPr/>
        <w:t>consulting</w:t>
      </w:r>
      <w:r>
        <w:rPr>
          <w:spacing w:val="-4"/>
        </w:rPr>
        <w:t> </w:t>
      </w:r>
      <w:r>
        <w:rPr/>
        <w:t>firms</w:t>
      </w:r>
      <w:r>
        <w:rPr>
          <w:spacing w:val="-2"/>
        </w:rPr>
        <w:t> </w:t>
      </w:r>
      <w:r>
        <w:rPr/>
        <w:t>Marchment Hill and Huegin, discussed in </w:t>
      </w:r>
      <w:r>
        <w:rPr>
          <w:i/>
        </w:rPr>
        <w:t>Chapter 1: ESV’s Regulatory and Corporate Governance</w:t>
      </w:r>
      <w:r>
        <w:rPr/>
        <w:t>, provided recommendations and findings that have assisted ESV in reconfiguring its regulatory structures and developing a work program for further improvements.</w:t>
      </w:r>
    </w:p>
    <w:p>
      <w:pPr>
        <w:pStyle w:val="BodyText"/>
        <w:spacing w:before="10"/>
        <w:rPr>
          <w:sz w:val="20"/>
        </w:rPr>
      </w:pPr>
    </w:p>
    <w:p>
      <w:pPr>
        <w:pStyle w:val="BodyText"/>
        <w:spacing w:line="288" w:lineRule="auto"/>
        <w:ind w:left="600" w:right="311"/>
      </w:pPr>
      <w:r>
        <w:rPr/>
        <w:t>ESV</w:t>
      </w:r>
      <w:r>
        <w:rPr>
          <w:spacing w:val="-3"/>
        </w:rPr>
        <w:t> </w:t>
      </w:r>
      <w:r>
        <w:rPr/>
        <w:t>also</w:t>
      </w:r>
      <w:r>
        <w:rPr>
          <w:spacing w:val="-3"/>
        </w:rPr>
        <w:t> </w:t>
      </w:r>
      <w:r>
        <w:rPr/>
        <w:t>commissioned</w:t>
      </w:r>
      <w:r>
        <w:rPr>
          <w:spacing w:val="-4"/>
        </w:rPr>
        <w:t> </w:t>
      </w:r>
      <w:r>
        <w:rPr/>
        <w:t>an</w:t>
      </w:r>
      <w:r>
        <w:rPr>
          <w:spacing w:val="-3"/>
        </w:rPr>
        <w:t> </w:t>
      </w:r>
      <w:r>
        <w:rPr/>
        <w:t>earlier</w:t>
      </w:r>
      <w:r>
        <w:rPr>
          <w:spacing w:val="-4"/>
        </w:rPr>
        <w:t> </w:t>
      </w:r>
      <w:r>
        <w:rPr/>
        <w:t>review</w:t>
      </w:r>
      <w:r>
        <w:rPr>
          <w:spacing w:val="-5"/>
        </w:rPr>
        <w:t> </w:t>
      </w:r>
      <w:r>
        <w:rPr/>
        <w:t>by</w:t>
      </w:r>
      <w:r>
        <w:rPr>
          <w:spacing w:val="-4"/>
        </w:rPr>
        <w:t> </w:t>
      </w:r>
      <w:r>
        <w:rPr/>
        <w:t>the</w:t>
      </w:r>
      <w:r>
        <w:rPr>
          <w:spacing w:val="-3"/>
        </w:rPr>
        <w:t> </w:t>
      </w:r>
      <w:r>
        <w:rPr/>
        <w:t>consulting</w:t>
      </w:r>
      <w:r>
        <w:rPr>
          <w:spacing w:val="-4"/>
        </w:rPr>
        <w:t> </w:t>
      </w:r>
      <w:r>
        <w:rPr/>
        <w:t>firm</w:t>
      </w:r>
      <w:r>
        <w:rPr>
          <w:spacing w:val="-2"/>
        </w:rPr>
        <w:t> </w:t>
      </w:r>
      <w:r>
        <w:rPr/>
        <w:t>Advisian,</w:t>
      </w:r>
      <w:r>
        <w:rPr>
          <w:spacing w:val="-1"/>
        </w:rPr>
        <w:t> </w:t>
      </w:r>
      <w:r>
        <w:rPr/>
        <w:t>to</w:t>
      </w:r>
      <w:r>
        <w:rPr>
          <w:spacing w:val="-3"/>
        </w:rPr>
        <w:t> </w:t>
      </w:r>
      <w:r>
        <w:rPr/>
        <w:t>examine</w:t>
      </w:r>
      <w:r>
        <w:rPr>
          <w:spacing w:val="-3"/>
        </w:rPr>
        <w:t> </w:t>
      </w:r>
      <w:r>
        <w:rPr/>
        <w:t>its electricity network regulation with a specific focus on:</w:t>
      </w:r>
    </w:p>
    <w:p>
      <w:pPr>
        <w:pStyle w:val="BodyText"/>
        <w:spacing w:before="4"/>
      </w:pPr>
    </w:p>
    <w:p>
      <w:pPr>
        <w:pStyle w:val="ListParagraph"/>
        <w:numPr>
          <w:ilvl w:val="1"/>
          <w:numId w:val="35"/>
        </w:numPr>
        <w:tabs>
          <w:tab w:pos="1102" w:val="left" w:leader="none"/>
        </w:tabs>
        <w:spacing w:line="288" w:lineRule="auto" w:before="0" w:after="0"/>
        <w:ind w:left="1102" w:right="679" w:hanging="360"/>
        <w:jc w:val="left"/>
        <w:rPr>
          <w:sz w:val="22"/>
        </w:rPr>
      </w:pPr>
      <w:r>
        <w:rPr>
          <w:sz w:val="22"/>
        </w:rPr>
        <w:t>the</w:t>
      </w:r>
      <w:r>
        <w:rPr>
          <w:spacing w:val="-6"/>
          <w:sz w:val="22"/>
        </w:rPr>
        <w:t> </w:t>
      </w:r>
      <w:r>
        <w:rPr>
          <w:sz w:val="22"/>
        </w:rPr>
        <w:t>regulatory</w:t>
      </w:r>
      <w:r>
        <w:rPr>
          <w:spacing w:val="-6"/>
          <w:sz w:val="22"/>
        </w:rPr>
        <w:t> </w:t>
      </w:r>
      <w:r>
        <w:rPr>
          <w:sz w:val="22"/>
        </w:rPr>
        <w:t>compliance</w:t>
      </w:r>
      <w:r>
        <w:rPr>
          <w:spacing w:val="-4"/>
          <w:sz w:val="22"/>
        </w:rPr>
        <w:t> </w:t>
      </w:r>
      <w:r>
        <w:rPr>
          <w:sz w:val="22"/>
        </w:rPr>
        <w:t>and</w:t>
      </w:r>
      <w:r>
        <w:rPr>
          <w:spacing w:val="-4"/>
          <w:sz w:val="22"/>
        </w:rPr>
        <w:t> </w:t>
      </w:r>
      <w:r>
        <w:rPr>
          <w:sz w:val="22"/>
        </w:rPr>
        <w:t>enforcement</w:t>
      </w:r>
      <w:r>
        <w:rPr>
          <w:spacing w:val="-2"/>
          <w:sz w:val="22"/>
        </w:rPr>
        <w:t> </w:t>
      </w:r>
      <w:r>
        <w:rPr>
          <w:sz w:val="22"/>
        </w:rPr>
        <w:t>approaches</w:t>
      </w:r>
      <w:r>
        <w:rPr>
          <w:spacing w:val="-3"/>
          <w:sz w:val="22"/>
        </w:rPr>
        <w:t> </w:t>
      </w:r>
      <w:r>
        <w:rPr>
          <w:sz w:val="22"/>
        </w:rPr>
        <w:t>by</w:t>
      </w:r>
      <w:r>
        <w:rPr>
          <w:spacing w:val="-6"/>
          <w:sz w:val="22"/>
        </w:rPr>
        <w:t> </w:t>
      </w:r>
      <w:r>
        <w:rPr>
          <w:sz w:val="22"/>
        </w:rPr>
        <w:t>significant</w:t>
      </w:r>
      <w:r>
        <w:rPr>
          <w:spacing w:val="-5"/>
          <w:sz w:val="22"/>
        </w:rPr>
        <w:t> </w:t>
      </w:r>
      <w:r>
        <w:rPr>
          <w:sz w:val="22"/>
        </w:rPr>
        <w:t>Australian</w:t>
      </w:r>
      <w:r>
        <w:rPr>
          <w:spacing w:val="-4"/>
          <w:sz w:val="22"/>
        </w:rPr>
        <w:t> </w:t>
      </w:r>
      <w:r>
        <w:rPr>
          <w:sz w:val="22"/>
        </w:rPr>
        <w:t>safety regulators and effective good practices that could be adopted by ESV in its electricity network regulation; and</w:t>
      </w:r>
    </w:p>
    <w:p>
      <w:pPr>
        <w:pStyle w:val="BodyText"/>
        <w:spacing w:before="3"/>
      </w:pPr>
    </w:p>
    <w:p>
      <w:pPr>
        <w:pStyle w:val="ListParagraph"/>
        <w:numPr>
          <w:ilvl w:val="1"/>
          <w:numId w:val="35"/>
        </w:numPr>
        <w:tabs>
          <w:tab w:pos="1102" w:val="left" w:leader="none"/>
        </w:tabs>
        <w:spacing w:line="288" w:lineRule="auto" w:before="0" w:after="0"/>
        <w:ind w:left="1102" w:right="1031" w:hanging="360"/>
        <w:jc w:val="left"/>
        <w:rPr>
          <w:sz w:val="22"/>
        </w:rPr>
      </w:pPr>
      <w:r>
        <w:rPr>
          <w:sz w:val="22"/>
        </w:rPr>
        <w:t>the</w:t>
      </w:r>
      <w:r>
        <w:rPr>
          <w:spacing w:val="-5"/>
          <w:sz w:val="22"/>
        </w:rPr>
        <w:t> </w:t>
      </w:r>
      <w:r>
        <w:rPr>
          <w:sz w:val="22"/>
        </w:rPr>
        <w:t>“</w:t>
      </w:r>
      <w:r>
        <w:rPr>
          <w:i/>
          <w:sz w:val="22"/>
        </w:rPr>
        <w:t>endorsement</w:t>
      </w:r>
      <w:r>
        <w:rPr>
          <w:i/>
          <w:spacing w:val="-4"/>
          <w:sz w:val="22"/>
        </w:rPr>
        <w:t> </w:t>
      </w:r>
      <w:r>
        <w:rPr>
          <w:i/>
          <w:sz w:val="22"/>
        </w:rPr>
        <w:t>gateways</w:t>
      </w:r>
      <w:r>
        <w:rPr>
          <w:i/>
          <w:spacing w:val="-3"/>
          <w:sz w:val="22"/>
        </w:rPr>
        <w:t> </w:t>
      </w:r>
      <w:r>
        <w:rPr>
          <w:i/>
          <w:sz w:val="22"/>
        </w:rPr>
        <w:t>for</w:t>
      </w:r>
      <w:r>
        <w:rPr>
          <w:i/>
          <w:spacing w:val="-2"/>
          <w:sz w:val="22"/>
        </w:rPr>
        <w:t> </w:t>
      </w:r>
      <w:r>
        <w:rPr>
          <w:i/>
          <w:sz w:val="22"/>
        </w:rPr>
        <w:t>entry</w:t>
      </w:r>
      <w:r>
        <w:rPr>
          <w:i/>
          <w:spacing w:val="-2"/>
          <w:sz w:val="22"/>
        </w:rPr>
        <w:t> </w:t>
      </w:r>
      <w:r>
        <w:rPr>
          <w:i/>
          <w:sz w:val="22"/>
        </w:rPr>
        <w:t>and</w:t>
      </w:r>
      <w:r>
        <w:rPr>
          <w:i/>
          <w:spacing w:val="-5"/>
          <w:sz w:val="22"/>
        </w:rPr>
        <w:t> </w:t>
      </w:r>
      <w:r>
        <w:rPr>
          <w:i/>
          <w:sz w:val="22"/>
        </w:rPr>
        <w:t>re-licensing</w:t>
      </w:r>
      <w:r>
        <w:rPr>
          <w:i/>
          <w:spacing w:val="-3"/>
          <w:sz w:val="22"/>
        </w:rPr>
        <w:t> </w:t>
      </w:r>
      <w:r>
        <w:rPr>
          <w:i/>
          <w:sz w:val="22"/>
        </w:rPr>
        <w:t>used</w:t>
      </w:r>
      <w:r>
        <w:rPr>
          <w:i/>
          <w:spacing w:val="-3"/>
          <w:sz w:val="22"/>
        </w:rPr>
        <w:t> </w:t>
      </w:r>
      <w:r>
        <w:rPr>
          <w:i/>
          <w:sz w:val="22"/>
        </w:rPr>
        <w:t>by</w:t>
      </w:r>
      <w:r>
        <w:rPr>
          <w:i/>
          <w:spacing w:val="-5"/>
          <w:sz w:val="22"/>
        </w:rPr>
        <w:t> </w:t>
      </w:r>
      <w:r>
        <w:rPr>
          <w:i/>
          <w:sz w:val="22"/>
        </w:rPr>
        <w:t>significant</w:t>
      </w:r>
      <w:r>
        <w:rPr>
          <w:i/>
          <w:spacing w:val="-6"/>
          <w:sz w:val="22"/>
        </w:rPr>
        <w:t> </w:t>
      </w:r>
      <w:r>
        <w:rPr>
          <w:i/>
          <w:sz w:val="22"/>
        </w:rPr>
        <w:t>Australian safety regulators</w:t>
      </w:r>
      <w:r>
        <w:rPr>
          <w:sz w:val="22"/>
        </w:rPr>
        <w:t>”, including safety case regimes.</w:t>
      </w:r>
    </w:p>
    <w:p>
      <w:pPr>
        <w:pStyle w:val="BodyText"/>
        <w:spacing w:before="8"/>
        <w:rPr>
          <w:sz w:val="20"/>
        </w:rPr>
      </w:pPr>
    </w:p>
    <w:p>
      <w:pPr>
        <w:spacing w:line="288" w:lineRule="auto" w:before="0"/>
        <w:ind w:left="600" w:right="586" w:firstLine="0"/>
        <w:jc w:val="left"/>
        <w:rPr>
          <w:sz w:val="22"/>
        </w:rPr>
      </w:pPr>
      <w:r>
        <w:rPr>
          <w:sz w:val="22"/>
        </w:rPr>
        <w:t>Advisian’s</w:t>
      </w:r>
      <w:r>
        <w:rPr>
          <w:spacing w:val="-3"/>
          <w:sz w:val="22"/>
        </w:rPr>
        <w:t> </w:t>
      </w:r>
      <w:r>
        <w:rPr>
          <w:sz w:val="22"/>
        </w:rPr>
        <w:t>report,</w:t>
      </w:r>
      <w:r>
        <w:rPr>
          <w:spacing w:val="-2"/>
          <w:sz w:val="22"/>
        </w:rPr>
        <w:t> </w:t>
      </w:r>
      <w:r>
        <w:rPr>
          <w:i/>
          <w:sz w:val="22"/>
        </w:rPr>
        <w:t>Electrical</w:t>
      </w:r>
      <w:r>
        <w:rPr>
          <w:i/>
          <w:spacing w:val="-5"/>
          <w:sz w:val="22"/>
        </w:rPr>
        <w:t> </w:t>
      </w:r>
      <w:r>
        <w:rPr>
          <w:i/>
          <w:sz w:val="22"/>
        </w:rPr>
        <w:t>Infrastructure</w:t>
      </w:r>
      <w:r>
        <w:rPr>
          <w:i/>
          <w:spacing w:val="-6"/>
          <w:sz w:val="22"/>
        </w:rPr>
        <w:t> </w:t>
      </w:r>
      <w:r>
        <w:rPr>
          <w:i/>
          <w:sz w:val="22"/>
        </w:rPr>
        <w:t>Compliance</w:t>
      </w:r>
      <w:r>
        <w:rPr>
          <w:i/>
          <w:spacing w:val="-4"/>
          <w:sz w:val="22"/>
        </w:rPr>
        <w:t> </w:t>
      </w:r>
      <w:r>
        <w:rPr>
          <w:i/>
          <w:sz w:val="22"/>
        </w:rPr>
        <w:t>and</w:t>
      </w:r>
      <w:r>
        <w:rPr>
          <w:i/>
          <w:spacing w:val="-4"/>
          <w:sz w:val="22"/>
        </w:rPr>
        <w:t> </w:t>
      </w:r>
      <w:r>
        <w:rPr>
          <w:i/>
          <w:sz w:val="22"/>
        </w:rPr>
        <w:t>Enforcement:</w:t>
      </w:r>
      <w:r>
        <w:rPr>
          <w:i/>
          <w:spacing w:val="-7"/>
          <w:sz w:val="22"/>
        </w:rPr>
        <w:t> </w:t>
      </w:r>
      <w:r>
        <w:rPr>
          <w:i/>
          <w:sz w:val="22"/>
        </w:rPr>
        <w:t>Good</w:t>
      </w:r>
      <w:r>
        <w:rPr>
          <w:i/>
          <w:spacing w:val="-4"/>
          <w:sz w:val="22"/>
        </w:rPr>
        <w:t> </w:t>
      </w:r>
      <w:r>
        <w:rPr>
          <w:i/>
          <w:sz w:val="22"/>
        </w:rPr>
        <w:t>Practices</w:t>
      </w:r>
      <w:r>
        <w:rPr>
          <w:i/>
          <w:spacing w:val="-6"/>
          <w:sz w:val="22"/>
        </w:rPr>
        <w:t> </w:t>
      </w:r>
      <w:r>
        <w:rPr>
          <w:i/>
          <w:sz w:val="22"/>
        </w:rPr>
        <w:t>and Opportunities for Enhanced Regulatory Performance</w:t>
      </w:r>
      <w:r>
        <w:rPr>
          <w:sz w:val="22"/>
        </w:rPr>
        <w:t>, was completed in March 2015. It identified significant areas for improvement in the approach of the former Electrical Infrastructure Safety Division (EISD):</w:t>
      </w:r>
    </w:p>
    <w:p>
      <w:pPr>
        <w:pStyle w:val="BodyText"/>
        <w:spacing w:before="10"/>
        <w:rPr>
          <w:sz w:val="20"/>
        </w:rPr>
      </w:pPr>
    </w:p>
    <w:p>
      <w:pPr>
        <w:spacing w:line="288" w:lineRule="auto" w:before="0"/>
        <w:ind w:left="1166" w:right="1200" w:firstLine="0"/>
        <w:jc w:val="left"/>
        <w:rPr>
          <w:sz w:val="22"/>
        </w:rPr>
      </w:pPr>
      <w:r>
        <w:rPr>
          <w:i/>
          <w:sz w:val="22"/>
        </w:rPr>
        <w:t>“Our</w:t>
      </w:r>
      <w:r>
        <w:rPr>
          <w:i/>
          <w:spacing w:val="-3"/>
          <w:sz w:val="22"/>
        </w:rPr>
        <w:t> </w:t>
      </w:r>
      <w:r>
        <w:rPr>
          <w:i/>
          <w:sz w:val="22"/>
        </w:rPr>
        <w:t>review</w:t>
      </w:r>
      <w:r>
        <w:rPr>
          <w:i/>
          <w:spacing w:val="-3"/>
          <w:sz w:val="22"/>
        </w:rPr>
        <w:t> </w:t>
      </w:r>
      <w:r>
        <w:rPr>
          <w:i/>
          <w:sz w:val="22"/>
        </w:rPr>
        <w:t>identified</w:t>
      </w:r>
      <w:r>
        <w:rPr>
          <w:i/>
          <w:spacing w:val="-2"/>
          <w:sz w:val="22"/>
        </w:rPr>
        <w:t> </w:t>
      </w:r>
      <w:r>
        <w:rPr>
          <w:i/>
          <w:sz w:val="22"/>
        </w:rPr>
        <w:t>a</w:t>
      </w:r>
      <w:r>
        <w:rPr>
          <w:i/>
          <w:spacing w:val="-4"/>
          <w:sz w:val="22"/>
        </w:rPr>
        <w:t> </w:t>
      </w:r>
      <w:r>
        <w:rPr>
          <w:i/>
          <w:sz w:val="22"/>
        </w:rPr>
        <w:t>number</w:t>
      </w:r>
      <w:r>
        <w:rPr>
          <w:i/>
          <w:spacing w:val="-3"/>
          <w:sz w:val="22"/>
        </w:rPr>
        <w:t> </w:t>
      </w:r>
      <w:r>
        <w:rPr>
          <w:i/>
          <w:sz w:val="22"/>
        </w:rPr>
        <w:t>of</w:t>
      </w:r>
      <w:r>
        <w:rPr>
          <w:i/>
          <w:spacing w:val="-3"/>
          <w:sz w:val="22"/>
        </w:rPr>
        <w:t> </w:t>
      </w:r>
      <w:r>
        <w:rPr>
          <w:i/>
          <w:sz w:val="22"/>
        </w:rPr>
        <w:t>opportunities</w:t>
      </w:r>
      <w:r>
        <w:rPr>
          <w:i/>
          <w:spacing w:val="-4"/>
          <w:sz w:val="22"/>
        </w:rPr>
        <w:t> </w:t>
      </w:r>
      <w:r>
        <w:rPr>
          <w:i/>
          <w:sz w:val="22"/>
        </w:rPr>
        <w:t>to</w:t>
      </w:r>
      <w:r>
        <w:rPr>
          <w:i/>
          <w:spacing w:val="-4"/>
          <w:sz w:val="22"/>
        </w:rPr>
        <w:t> </w:t>
      </w:r>
      <w:r>
        <w:rPr>
          <w:i/>
          <w:sz w:val="22"/>
        </w:rPr>
        <w:t>enable</w:t>
      </w:r>
      <w:r>
        <w:rPr>
          <w:i/>
          <w:spacing w:val="-2"/>
          <w:sz w:val="22"/>
        </w:rPr>
        <w:t> </w:t>
      </w:r>
      <w:r>
        <w:rPr>
          <w:i/>
          <w:sz w:val="22"/>
        </w:rPr>
        <w:t>EISD</w:t>
      </w:r>
      <w:r>
        <w:rPr>
          <w:i/>
          <w:spacing w:val="-5"/>
          <w:sz w:val="22"/>
        </w:rPr>
        <w:t> </w:t>
      </w:r>
      <w:r>
        <w:rPr>
          <w:i/>
          <w:sz w:val="22"/>
        </w:rPr>
        <w:t>to</w:t>
      </w:r>
      <w:r>
        <w:rPr>
          <w:i/>
          <w:spacing w:val="-2"/>
          <w:sz w:val="22"/>
        </w:rPr>
        <w:t> </w:t>
      </w:r>
      <w:r>
        <w:rPr>
          <w:i/>
          <w:sz w:val="22"/>
        </w:rPr>
        <w:t>improve</w:t>
      </w:r>
      <w:r>
        <w:rPr>
          <w:i/>
          <w:spacing w:val="-6"/>
          <w:sz w:val="22"/>
        </w:rPr>
        <w:t> </w:t>
      </w:r>
      <w:r>
        <w:rPr>
          <w:i/>
          <w:sz w:val="22"/>
        </w:rPr>
        <w:t>their regulatory effectiveness, raise EISD’s profile in the Electrical Infrastructure Division industry, and commence the step change required to influence and improve safety performance across industry.” </w:t>
      </w:r>
      <w:r>
        <w:rPr>
          <w:sz w:val="22"/>
        </w:rPr>
        <w:t>(Advisian, 2015, p. 1)</w:t>
      </w:r>
    </w:p>
    <w:p>
      <w:pPr>
        <w:pStyle w:val="BodyText"/>
        <w:spacing w:before="11"/>
        <w:rPr>
          <w:sz w:val="20"/>
        </w:rPr>
      </w:pPr>
    </w:p>
    <w:p>
      <w:pPr>
        <w:pStyle w:val="BodyText"/>
        <w:spacing w:line="288" w:lineRule="auto"/>
        <w:ind w:left="600" w:right="311"/>
      </w:pPr>
      <w:r>
        <w:rPr/>
        <w:t>The</w:t>
      </w:r>
      <w:r>
        <w:rPr>
          <w:spacing w:val="-4"/>
        </w:rPr>
        <w:t> </w:t>
      </w:r>
      <w:r>
        <w:rPr/>
        <w:t>Advisian</w:t>
      </w:r>
      <w:r>
        <w:rPr>
          <w:spacing w:val="-3"/>
        </w:rPr>
        <w:t> </w:t>
      </w:r>
      <w:r>
        <w:rPr/>
        <w:t>report</w:t>
      </w:r>
      <w:r>
        <w:rPr>
          <w:spacing w:val="-3"/>
        </w:rPr>
        <w:t> </w:t>
      </w:r>
      <w:r>
        <w:rPr/>
        <w:t>made</w:t>
      </w:r>
      <w:r>
        <w:rPr>
          <w:spacing w:val="-3"/>
        </w:rPr>
        <w:t> </w:t>
      </w:r>
      <w:r>
        <w:rPr/>
        <w:t>eight</w:t>
      </w:r>
      <w:r>
        <w:rPr>
          <w:spacing w:val="-4"/>
        </w:rPr>
        <w:t> </w:t>
      </w:r>
      <w:r>
        <w:rPr/>
        <w:t>recommendations,</w:t>
      </w:r>
      <w:r>
        <w:rPr>
          <w:spacing w:val="-1"/>
        </w:rPr>
        <w:t> </w:t>
      </w:r>
      <w:r>
        <w:rPr/>
        <w:t>all</w:t>
      </w:r>
      <w:r>
        <w:rPr>
          <w:spacing w:val="-3"/>
        </w:rPr>
        <w:t> </w:t>
      </w:r>
      <w:r>
        <w:rPr/>
        <w:t>of</w:t>
      </w:r>
      <w:r>
        <w:rPr>
          <w:spacing w:val="-1"/>
        </w:rPr>
        <w:t> </w:t>
      </w:r>
      <w:r>
        <w:rPr/>
        <w:t>which</w:t>
      </w:r>
      <w:r>
        <w:rPr>
          <w:spacing w:val="-3"/>
        </w:rPr>
        <w:t> </w:t>
      </w:r>
      <w:r>
        <w:rPr/>
        <w:t>were</w:t>
      </w:r>
      <w:r>
        <w:rPr>
          <w:spacing w:val="-2"/>
        </w:rPr>
        <w:t> </w:t>
      </w:r>
      <w:r>
        <w:rPr/>
        <w:t>accepted</w:t>
      </w:r>
      <w:r>
        <w:rPr>
          <w:spacing w:val="-3"/>
        </w:rPr>
        <w:t> </w:t>
      </w:r>
      <w:r>
        <w:rPr/>
        <w:t>by</w:t>
      </w:r>
      <w:r>
        <w:rPr>
          <w:spacing w:val="-4"/>
        </w:rPr>
        <w:t> </w:t>
      </w:r>
      <w:r>
        <w:rPr/>
        <w:t>ESV</w:t>
      </w:r>
      <w:r>
        <w:rPr>
          <w:spacing w:val="-3"/>
        </w:rPr>
        <w:t> </w:t>
      </w:r>
      <w:r>
        <w:rPr/>
        <w:t>in principle. Briefly, these recommendations included that ESV should:</w:t>
      </w:r>
    </w:p>
    <w:p>
      <w:pPr>
        <w:spacing w:after="0" w:line="288" w:lineRule="auto"/>
        <w:sectPr>
          <w:pgSz w:w="11910" w:h="16840"/>
          <w:pgMar w:header="887" w:footer="1228" w:top="1080" w:bottom="1500" w:left="840" w:right="820"/>
        </w:sectPr>
      </w:pPr>
    </w:p>
    <w:p>
      <w:pPr>
        <w:pStyle w:val="BodyText"/>
        <w:rPr>
          <w:sz w:val="20"/>
        </w:rPr>
      </w:pPr>
    </w:p>
    <w:p>
      <w:pPr>
        <w:pStyle w:val="BodyText"/>
        <w:rPr>
          <w:sz w:val="20"/>
        </w:rPr>
      </w:pPr>
    </w:p>
    <w:p>
      <w:pPr>
        <w:pStyle w:val="BodyText"/>
        <w:spacing w:before="10"/>
        <w:rPr>
          <w:sz w:val="23"/>
        </w:rPr>
      </w:pPr>
    </w:p>
    <w:p>
      <w:pPr>
        <w:pStyle w:val="ListParagraph"/>
        <w:numPr>
          <w:ilvl w:val="1"/>
          <w:numId w:val="35"/>
        </w:numPr>
        <w:tabs>
          <w:tab w:pos="1102" w:val="left" w:leader="none"/>
        </w:tabs>
        <w:spacing w:line="288" w:lineRule="auto" w:before="0" w:after="0"/>
        <w:ind w:left="1102" w:right="631" w:hanging="360"/>
        <w:jc w:val="left"/>
        <w:rPr>
          <w:sz w:val="22"/>
        </w:rPr>
      </w:pPr>
      <w:r>
        <w:rPr>
          <w:sz w:val="22"/>
        </w:rPr>
        <w:t>translate</w:t>
      </w:r>
      <w:r>
        <w:rPr>
          <w:spacing w:val="-5"/>
          <w:sz w:val="22"/>
        </w:rPr>
        <w:t> </w:t>
      </w:r>
      <w:r>
        <w:rPr>
          <w:sz w:val="22"/>
        </w:rPr>
        <w:t>strategic</w:t>
      </w:r>
      <w:r>
        <w:rPr>
          <w:spacing w:val="-2"/>
          <w:sz w:val="22"/>
        </w:rPr>
        <w:t> </w:t>
      </w:r>
      <w:r>
        <w:rPr>
          <w:sz w:val="22"/>
        </w:rPr>
        <w:t>regulatory</w:t>
      </w:r>
      <w:r>
        <w:rPr>
          <w:spacing w:val="-5"/>
          <w:sz w:val="22"/>
        </w:rPr>
        <w:t> </w:t>
      </w:r>
      <w:r>
        <w:rPr>
          <w:sz w:val="22"/>
        </w:rPr>
        <w:t>principles</w:t>
      </w:r>
      <w:r>
        <w:rPr>
          <w:spacing w:val="-3"/>
          <w:sz w:val="22"/>
        </w:rPr>
        <w:t> </w:t>
      </w:r>
      <w:r>
        <w:rPr>
          <w:sz w:val="22"/>
        </w:rPr>
        <w:t>and</w:t>
      </w:r>
      <w:r>
        <w:rPr>
          <w:spacing w:val="-5"/>
          <w:sz w:val="22"/>
        </w:rPr>
        <w:t> </w:t>
      </w:r>
      <w:r>
        <w:rPr>
          <w:sz w:val="22"/>
        </w:rPr>
        <w:t>develop</w:t>
      </w:r>
      <w:r>
        <w:rPr>
          <w:spacing w:val="-3"/>
          <w:sz w:val="22"/>
        </w:rPr>
        <w:t> </w:t>
      </w:r>
      <w:r>
        <w:rPr>
          <w:sz w:val="22"/>
        </w:rPr>
        <w:t>a</w:t>
      </w:r>
      <w:r>
        <w:rPr>
          <w:spacing w:val="-3"/>
          <w:sz w:val="22"/>
        </w:rPr>
        <w:t> </w:t>
      </w:r>
      <w:r>
        <w:rPr>
          <w:sz w:val="22"/>
        </w:rPr>
        <w:t>communication</w:t>
      </w:r>
      <w:r>
        <w:rPr>
          <w:spacing w:val="-3"/>
          <w:sz w:val="22"/>
        </w:rPr>
        <w:t> </w:t>
      </w:r>
      <w:r>
        <w:rPr>
          <w:sz w:val="22"/>
        </w:rPr>
        <w:t>strategy</w:t>
      </w:r>
      <w:r>
        <w:rPr>
          <w:spacing w:val="-5"/>
          <w:sz w:val="22"/>
        </w:rPr>
        <w:t> </w:t>
      </w:r>
      <w:r>
        <w:rPr>
          <w:sz w:val="22"/>
        </w:rPr>
        <w:t>to</w:t>
      </w:r>
      <w:r>
        <w:rPr>
          <w:spacing w:val="-3"/>
          <w:sz w:val="22"/>
        </w:rPr>
        <w:t> </w:t>
      </w:r>
      <w:r>
        <w:rPr>
          <w:sz w:val="22"/>
        </w:rPr>
        <w:t>create awareness of the principles internally and externally;</w:t>
      </w:r>
    </w:p>
    <w:p>
      <w:pPr>
        <w:pStyle w:val="BodyText"/>
        <w:spacing w:before="4"/>
      </w:pPr>
    </w:p>
    <w:p>
      <w:pPr>
        <w:pStyle w:val="ListParagraph"/>
        <w:numPr>
          <w:ilvl w:val="1"/>
          <w:numId w:val="35"/>
        </w:numPr>
        <w:tabs>
          <w:tab w:pos="1102" w:val="left" w:leader="none"/>
        </w:tabs>
        <w:spacing w:line="285" w:lineRule="auto" w:before="0" w:after="0"/>
        <w:ind w:left="1102" w:right="1046" w:hanging="360"/>
        <w:jc w:val="left"/>
        <w:rPr>
          <w:sz w:val="22"/>
        </w:rPr>
      </w:pPr>
      <w:r>
        <w:rPr>
          <w:sz w:val="22"/>
        </w:rPr>
        <w:t>develop</w:t>
      </w:r>
      <w:r>
        <w:rPr>
          <w:spacing w:val="-3"/>
          <w:sz w:val="22"/>
        </w:rPr>
        <w:t> </w:t>
      </w:r>
      <w:r>
        <w:rPr>
          <w:sz w:val="22"/>
        </w:rPr>
        <w:t>an</w:t>
      </w:r>
      <w:r>
        <w:rPr>
          <w:spacing w:val="-3"/>
          <w:sz w:val="22"/>
        </w:rPr>
        <w:t> </w:t>
      </w:r>
      <w:r>
        <w:rPr>
          <w:sz w:val="22"/>
        </w:rPr>
        <w:t>integrated</w:t>
      </w:r>
      <w:r>
        <w:rPr>
          <w:spacing w:val="-5"/>
          <w:sz w:val="22"/>
        </w:rPr>
        <w:t> </w:t>
      </w:r>
      <w:r>
        <w:rPr>
          <w:sz w:val="22"/>
        </w:rPr>
        <w:t>surveillance</w:t>
      </w:r>
      <w:r>
        <w:rPr>
          <w:spacing w:val="-3"/>
          <w:sz w:val="22"/>
        </w:rPr>
        <w:t> </w:t>
      </w:r>
      <w:r>
        <w:rPr>
          <w:sz w:val="22"/>
        </w:rPr>
        <w:t>approach</w:t>
      </w:r>
      <w:r>
        <w:rPr>
          <w:spacing w:val="-3"/>
          <w:sz w:val="22"/>
        </w:rPr>
        <w:t> </w:t>
      </w:r>
      <w:r>
        <w:rPr>
          <w:sz w:val="22"/>
        </w:rPr>
        <w:t>to</w:t>
      </w:r>
      <w:r>
        <w:rPr>
          <w:spacing w:val="-5"/>
          <w:sz w:val="22"/>
        </w:rPr>
        <w:t> </w:t>
      </w:r>
      <w:r>
        <w:rPr>
          <w:sz w:val="22"/>
        </w:rPr>
        <w:t>inform</w:t>
      </w:r>
      <w:r>
        <w:rPr>
          <w:spacing w:val="-3"/>
          <w:sz w:val="22"/>
        </w:rPr>
        <w:t> </w:t>
      </w:r>
      <w:r>
        <w:rPr>
          <w:sz w:val="22"/>
        </w:rPr>
        <w:t>strategic</w:t>
      </w:r>
      <w:r>
        <w:rPr>
          <w:spacing w:val="-5"/>
          <w:sz w:val="22"/>
        </w:rPr>
        <w:t> </w:t>
      </w:r>
      <w:r>
        <w:rPr>
          <w:sz w:val="22"/>
        </w:rPr>
        <w:t>safety</w:t>
      </w:r>
      <w:r>
        <w:rPr>
          <w:spacing w:val="-5"/>
          <w:sz w:val="22"/>
        </w:rPr>
        <w:t> </w:t>
      </w:r>
      <w:r>
        <w:rPr>
          <w:sz w:val="22"/>
        </w:rPr>
        <w:t>priorities</w:t>
      </w:r>
      <w:r>
        <w:rPr>
          <w:spacing w:val="-3"/>
          <w:sz w:val="22"/>
        </w:rPr>
        <w:t> </w:t>
      </w:r>
      <w:r>
        <w:rPr>
          <w:sz w:val="22"/>
        </w:rPr>
        <w:t>and document and improve data gathering systems;</w:t>
      </w:r>
    </w:p>
    <w:p>
      <w:pPr>
        <w:pStyle w:val="BodyText"/>
        <w:spacing w:before="6"/>
      </w:pPr>
    </w:p>
    <w:p>
      <w:pPr>
        <w:pStyle w:val="ListParagraph"/>
        <w:numPr>
          <w:ilvl w:val="1"/>
          <w:numId w:val="35"/>
        </w:numPr>
        <w:tabs>
          <w:tab w:pos="1102" w:val="left" w:leader="none"/>
        </w:tabs>
        <w:spacing w:line="285" w:lineRule="auto" w:before="1" w:after="0"/>
        <w:ind w:left="1102" w:right="1857" w:hanging="360"/>
        <w:jc w:val="left"/>
        <w:rPr>
          <w:sz w:val="22"/>
        </w:rPr>
      </w:pPr>
      <w:r>
        <w:rPr>
          <w:sz w:val="22"/>
        </w:rPr>
        <w:t>develop</w:t>
      </w:r>
      <w:r>
        <w:rPr>
          <w:spacing w:val="-4"/>
          <w:sz w:val="22"/>
        </w:rPr>
        <w:t> </w:t>
      </w:r>
      <w:r>
        <w:rPr>
          <w:sz w:val="22"/>
        </w:rPr>
        <w:t>a</w:t>
      </w:r>
      <w:r>
        <w:rPr>
          <w:spacing w:val="-4"/>
          <w:sz w:val="22"/>
        </w:rPr>
        <w:t> </w:t>
      </w:r>
      <w:r>
        <w:rPr>
          <w:sz w:val="22"/>
        </w:rPr>
        <w:t>strategic</w:t>
      </w:r>
      <w:r>
        <w:rPr>
          <w:spacing w:val="-3"/>
          <w:sz w:val="22"/>
        </w:rPr>
        <w:t> </w:t>
      </w:r>
      <w:r>
        <w:rPr>
          <w:sz w:val="22"/>
        </w:rPr>
        <w:t>approach</w:t>
      </w:r>
      <w:r>
        <w:rPr>
          <w:spacing w:val="-4"/>
          <w:sz w:val="22"/>
        </w:rPr>
        <w:t> </w:t>
      </w:r>
      <w:r>
        <w:rPr>
          <w:sz w:val="22"/>
        </w:rPr>
        <w:t>and</w:t>
      </w:r>
      <w:r>
        <w:rPr>
          <w:spacing w:val="-6"/>
          <w:sz w:val="22"/>
        </w:rPr>
        <w:t> </w:t>
      </w:r>
      <w:r>
        <w:rPr>
          <w:sz w:val="22"/>
        </w:rPr>
        <w:t>guidance</w:t>
      </w:r>
      <w:r>
        <w:rPr>
          <w:spacing w:val="-6"/>
          <w:sz w:val="22"/>
        </w:rPr>
        <w:t> </w:t>
      </w:r>
      <w:r>
        <w:rPr>
          <w:sz w:val="22"/>
        </w:rPr>
        <w:t>to</w:t>
      </w:r>
      <w:r>
        <w:rPr>
          <w:spacing w:val="-6"/>
          <w:sz w:val="22"/>
        </w:rPr>
        <w:t> </w:t>
      </w:r>
      <w:r>
        <w:rPr>
          <w:sz w:val="22"/>
        </w:rPr>
        <w:t>using</w:t>
      </w:r>
      <w:r>
        <w:rPr>
          <w:spacing w:val="-4"/>
          <w:sz w:val="22"/>
        </w:rPr>
        <w:t> </w:t>
      </w:r>
      <w:r>
        <w:rPr>
          <w:sz w:val="22"/>
        </w:rPr>
        <w:t>enforcement</w:t>
      </w:r>
      <w:r>
        <w:rPr>
          <w:spacing w:val="-5"/>
          <w:sz w:val="22"/>
        </w:rPr>
        <w:t> </w:t>
      </w:r>
      <w:r>
        <w:rPr>
          <w:sz w:val="22"/>
        </w:rPr>
        <w:t>levers</w:t>
      </w:r>
      <w:r>
        <w:rPr>
          <w:spacing w:val="-5"/>
          <w:sz w:val="22"/>
        </w:rPr>
        <w:t> </w:t>
      </w:r>
      <w:r>
        <w:rPr>
          <w:sz w:val="22"/>
        </w:rPr>
        <w:t>for documenting performance deficiencies;</w:t>
      </w:r>
    </w:p>
    <w:p>
      <w:pPr>
        <w:pStyle w:val="BodyText"/>
        <w:spacing w:before="6"/>
      </w:pPr>
    </w:p>
    <w:p>
      <w:pPr>
        <w:pStyle w:val="ListParagraph"/>
        <w:numPr>
          <w:ilvl w:val="1"/>
          <w:numId w:val="35"/>
        </w:numPr>
        <w:tabs>
          <w:tab w:pos="1102" w:val="left" w:leader="none"/>
        </w:tabs>
        <w:spacing w:line="288" w:lineRule="auto" w:before="0" w:after="0"/>
        <w:ind w:left="1102" w:right="859" w:hanging="360"/>
        <w:jc w:val="left"/>
        <w:rPr>
          <w:sz w:val="22"/>
        </w:rPr>
      </w:pPr>
      <w:r>
        <w:rPr>
          <w:sz w:val="22"/>
        </w:rPr>
        <w:t>develop</w:t>
      </w:r>
      <w:r>
        <w:rPr>
          <w:spacing w:val="-4"/>
          <w:sz w:val="22"/>
        </w:rPr>
        <w:t> </w:t>
      </w:r>
      <w:r>
        <w:rPr>
          <w:sz w:val="22"/>
        </w:rPr>
        <w:t>an</w:t>
      </w:r>
      <w:r>
        <w:rPr>
          <w:spacing w:val="-4"/>
          <w:sz w:val="22"/>
        </w:rPr>
        <w:t> </w:t>
      </w:r>
      <w:r>
        <w:rPr>
          <w:sz w:val="22"/>
        </w:rPr>
        <w:t>encouragement</w:t>
      </w:r>
      <w:r>
        <w:rPr>
          <w:spacing w:val="-2"/>
          <w:sz w:val="22"/>
        </w:rPr>
        <w:t> </w:t>
      </w:r>
      <w:r>
        <w:rPr>
          <w:sz w:val="22"/>
        </w:rPr>
        <w:t>and</w:t>
      </w:r>
      <w:r>
        <w:rPr>
          <w:spacing w:val="-6"/>
          <w:sz w:val="22"/>
        </w:rPr>
        <w:t> </w:t>
      </w:r>
      <w:r>
        <w:rPr>
          <w:sz w:val="22"/>
        </w:rPr>
        <w:t>engagement</w:t>
      </w:r>
      <w:r>
        <w:rPr>
          <w:spacing w:val="-5"/>
          <w:sz w:val="22"/>
        </w:rPr>
        <w:t> </w:t>
      </w:r>
      <w:r>
        <w:rPr>
          <w:sz w:val="22"/>
        </w:rPr>
        <w:t>strategy/framework</w:t>
      </w:r>
      <w:r>
        <w:rPr>
          <w:spacing w:val="-3"/>
          <w:sz w:val="22"/>
        </w:rPr>
        <w:t> </w:t>
      </w:r>
      <w:r>
        <w:rPr>
          <w:sz w:val="22"/>
        </w:rPr>
        <w:t>and</w:t>
      </w:r>
      <w:r>
        <w:rPr>
          <w:spacing w:val="-6"/>
          <w:sz w:val="22"/>
        </w:rPr>
        <w:t> </w:t>
      </w:r>
      <w:r>
        <w:rPr>
          <w:sz w:val="22"/>
        </w:rPr>
        <w:t>restructure</w:t>
      </w:r>
      <w:r>
        <w:rPr>
          <w:spacing w:val="-6"/>
          <w:sz w:val="22"/>
        </w:rPr>
        <w:t> </w:t>
      </w:r>
      <w:r>
        <w:rPr>
          <w:sz w:val="22"/>
        </w:rPr>
        <w:t>and refocus its engagement channels;</w:t>
      </w:r>
    </w:p>
    <w:p>
      <w:pPr>
        <w:pStyle w:val="BodyText"/>
        <w:spacing w:before="1"/>
      </w:pPr>
    </w:p>
    <w:p>
      <w:pPr>
        <w:pStyle w:val="ListParagraph"/>
        <w:numPr>
          <w:ilvl w:val="1"/>
          <w:numId w:val="35"/>
        </w:numPr>
        <w:tabs>
          <w:tab w:pos="1102" w:val="left" w:leader="none"/>
        </w:tabs>
        <w:spacing w:line="288" w:lineRule="auto" w:before="1" w:after="0"/>
        <w:ind w:left="1102" w:right="914" w:hanging="360"/>
        <w:jc w:val="left"/>
        <w:rPr>
          <w:sz w:val="22"/>
        </w:rPr>
      </w:pPr>
      <w:r>
        <w:rPr>
          <w:sz w:val="22"/>
        </w:rPr>
        <w:t>establish</w:t>
      </w:r>
      <w:r>
        <w:rPr>
          <w:spacing w:val="-3"/>
          <w:sz w:val="22"/>
        </w:rPr>
        <w:t> </w:t>
      </w:r>
      <w:r>
        <w:rPr>
          <w:sz w:val="22"/>
        </w:rPr>
        <w:t>a</w:t>
      </w:r>
      <w:r>
        <w:rPr>
          <w:spacing w:val="-2"/>
          <w:sz w:val="22"/>
        </w:rPr>
        <w:t> </w:t>
      </w:r>
      <w:r>
        <w:rPr>
          <w:sz w:val="22"/>
        </w:rPr>
        <w:t>sufficiently</w:t>
      </w:r>
      <w:r>
        <w:rPr>
          <w:spacing w:val="-5"/>
          <w:sz w:val="22"/>
        </w:rPr>
        <w:t> </w:t>
      </w:r>
      <w:r>
        <w:rPr>
          <w:sz w:val="22"/>
        </w:rPr>
        <w:t>detailed</w:t>
      </w:r>
      <w:r>
        <w:rPr>
          <w:spacing w:val="-3"/>
          <w:sz w:val="22"/>
        </w:rPr>
        <w:t> </w:t>
      </w:r>
      <w:r>
        <w:rPr>
          <w:sz w:val="22"/>
        </w:rPr>
        <w:t>requirement</w:t>
      </w:r>
      <w:r>
        <w:rPr>
          <w:spacing w:val="-4"/>
          <w:sz w:val="22"/>
        </w:rPr>
        <w:t> </w:t>
      </w:r>
      <w:r>
        <w:rPr>
          <w:sz w:val="22"/>
        </w:rPr>
        <w:t>to</w:t>
      </w:r>
      <w:r>
        <w:rPr>
          <w:spacing w:val="-7"/>
          <w:sz w:val="22"/>
        </w:rPr>
        <w:t> </w:t>
      </w:r>
      <w:r>
        <w:rPr>
          <w:sz w:val="22"/>
        </w:rPr>
        <w:t>guide</w:t>
      </w:r>
      <w:r>
        <w:rPr>
          <w:spacing w:val="-3"/>
          <w:sz w:val="22"/>
        </w:rPr>
        <w:t> </w:t>
      </w:r>
      <w:r>
        <w:rPr>
          <w:sz w:val="22"/>
        </w:rPr>
        <w:t>network</w:t>
      </w:r>
      <w:r>
        <w:rPr>
          <w:spacing w:val="-1"/>
          <w:sz w:val="22"/>
        </w:rPr>
        <w:t> </w:t>
      </w:r>
      <w:r>
        <w:rPr>
          <w:sz w:val="22"/>
        </w:rPr>
        <w:t>businesses</w:t>
      </w:r>
      <w:r>
        <w:rPr>
          <w:spacing w:val="-5"/>
          <w:sz w:val="22"/>
        </w:rPr>
        <w:t> </w:t>
      </w:r>
      <w:r>
        <w:rPr>
          <w:sz w:val="22"/>
        </w:rPr>
        <w:t>in</w:t>
      </w:r>
      <w:r>
        <w:rPr>
          <w:spacing w:val="-3"/>
          <w:sz w:val="22"/>
        </w:rPr>
        <w:t> </w:t>
      </w:r>
      <w:r>
        <w:rPr>
          <w:sz w:val="22"/>
        </w:rPr>
        <w:t>making</w:t>
      </w:r>
      <w:r>
        <w:rPr>
          <w:spacing w:val="-3"/>
          <w:sz w:val="22"/>
        </w:rPr>
        <w:t> </w:t>
      </w:r>
      <w:r>
        <w:rPr>
          <w:sz w:val="22"/>
        </w:rPr>
        <w:t>a convincing safety case when requesting Electricity Safety Management Scheme re- approval; and</w:t>
      </w:r>
    </w:p>
    <w:p>
      <w:pPr>
        <w:pStyle w:val="BodyText"/>
        <w:spacing w:before="3"/>
      </w:pPr>
    </w:p>
    <w:p>
      <w:pPr>
        <w:pStyle w:val="ListParagraph"/>
        <w:numPr>
          <w:ilvl w:val="1"/>
          <w:numId w:val="35"/>
        </w:numPr>
        <w:tabs>
          <w:tab w:pos="1102" w:val="left" w:leader="none"/>
        </w:tabs>
        <w:spacing w:line="285" w:lineRule="auto" w:before="0" w:after="0"/>
        <w:ind w:left="1102" w:right="1500" w:hanging="360"/>
        <w:jc w:val="left"/>
        <w:rPr>
          <w:sz w:val="22"/>
        </w:rPr>
      </w:pPr>
      <w:r>
        <w:rPr>
          <w:sz w:val="22"/>
        </w:rPr>
        <w:t>develop/update</w:t>
      </w:r>
      <w:r>
        <w:rPr>
          <w:spacing w:val="-6"/>
          <w:sz w:val="22"/>
        </w:rPr>
        <w:t> </w:t>
      </w:r>
      <w:r>
        <w:rPr>
          <w:sz w:val="22"/>
        </w:rPr>
        <w:t>quality</w:t>
      </w:r>
      <w:r>
        <w:rPr>
          <w:spacing w:val="-6"/>
          <w:sz w:val="22"/>
        </w:rPr>
        <w:t> </w:t>
      </w:r>
      <w:r>
        <w:rPr>
          <w:sz w:val="22"/>
        </w:rPr>
        <w:t>management</w:t>
      </w:r>
      <w:r>
        <w:rPr>
          <w:spacing w:val="-5"/>
          <w:sz w:val="22"/>
        </w:rPr>
        <w:t> </w:t>
      </w:r>
      <w:r>
        <w:rPr>
          <w:sz w:val="22"/>
        </w:rPr>
        <w:t>systems</w:t>
      </w:r>
      <w:r>
        <w:rPr>
          <w:spacing w:val="-6"/>
          <w:sz w:val="22"/>
        </w:rPr>
        <w:t> </w:t>
      </w:r>
      <w:r>
        <w:rPr>
          <w:sz w:val="22"/>
        </w:rPr>
        <w:t>to</w:t>
      </w:r>
      <w:r>
        <w:rPr>
          <w:spacing w:val="-4"/>
          <w:sz w:val="22"/>
        </w:rPr>
        <w:t> </w:t>
      </w:r>
      <w:r>
        <w:rPr>
          <w:sz w:val="22"/>
        </w:rPr>
        <w:t>support</w:t>
      </w:r>
      <w:r>
        <w:rPr>
          <w:spacing w:val="-5"/>
          <w:sz w:val="22"/>
        </w:rPr>
        <w:t> </w:t>
      </w:r>
      <w:r>
        <w:rPr>
          <w:sz w:val="22"/>
        </w:rPr>
        <w:t>team</w:t>
      </w:r>
      <w:r>
        <w:rPr>
          <w:spacing w:val="-3"/>
          <w:sz w:val="22"/>
        </w:rPr>
        <w:t> </w:t>
      </w:r>
      <w:r>
        <w:rPr>
          <w:sz w:val="22"/>
        </w:rPr>
        <w:t>decision</w:t>
      </w:r>
      <w:r>
        <w:rPr>
          <w:spacing w:val="-4"/>
          <w:sz w:val="22"/>
        </w:rPr>
        <w:t> </w:t>
      </w:r>
      <w:r>
        <w:rPr>
          <w:sz w:val="22"/>
        </w:rPr>
        <w:t>making (Advisian, 2015).</w:t>
      </w:r>
    </w:p>
    <w:p>
      <w:pPr>
        <w:pStyle w:val="BodyText"/>
        <w:spacing w:before="1"/>
        <w:rPr>
          <w:sz w:val="21"/>
        </w:rPr>
      </w:pPr>
    </w:p>
    <w:p>
      <w:pPr>
        <w:pStyle w:val="BodyText"/>
        <w:spacing w:line="288" w:lineRule="auto"/>
        <w:ind w:left="600" w:right="657"/>
      </w:pPr>
      <w:r>
        <w:rPr/>
        <w:t>Following this report, ESV has implemented a number of initiatives to strengthen its approach and associated systems and processes. These initiatives included providing greater</w:t>
      </w:r>
      <w:r>
        <w:rPr>
          <w:spacing w:val="-4"/>
        </w:rPr>
        <w:t> </w:t>
      </w:r>
      <w:r>
        <w:rPr/>
        <w:t>guidance</w:t>
      </w:r>
      <w:r>
        <w:rPr>
          <w:spacing w:val="-3"/>
        </w:rPr>
        <w:t> </w:t>
      </w:r>
      <w:r>
        <w:rPr/>
        <w:t>on</w:t>
      </w:r>
      <w:r>
        <w:rPr>
          <w:spacing w:val="-3"/>
        </w:rPr>
        <w:t> </w:t>
      </w:r>
      <w:r>
        <w:rPr/>
        <w:t>Safety</w:t>
      </w:r>
      <w:r>
        <w:rPr>
          <w:spacing w:val="-4"/>
        </w:rPr>
        <w:t> </w:t>
      </w:r>
      <w:r>
        <w:rPr/>
        <w:t>Case</w:t>
      </w:r>
      <w:r>
        <w:rPr>
          <w:spacing w:val="-3"/>
        </w:rPr>
        <w:t> </w:t>
      </w:r>
      <w:r>
        <w:rPr/>
        <w:t>and</w:t>
      </w:r>
      <w:r>
        <w:rPr>
          <w:spacing w:val="-3"/>
        </w:rPr>
        <w:t> </w:t>
      </w:r>
      <w:r>
        <w:rPr/>
        <w:t>Electricity</w:t>
      </w:r>
      <w:r>
        <w:rPr>
          <w:spacing w:val="-7"/>
        </w:rPr>
        <w:t> </w:t>
      </w:r>
      <w:r>
        <w:rPr/>
        <w:t>Safety</w:t>
      </w:r>
      <w:r>
        <w:rPr>
          <w:spacing w:val="-5"/>
        </w:rPr>
        <w:t> </w:t>
      </w:r>
      <w:r>
        <w:rPr/>
        <w:t>Management</w:t>
      </w:r>
      <w:r>
        <w:rPr>
          <w:spacing w:val="-1"/>
        </w:rPr>
        <w:t> </w:t>
      </w:r>
      <w:r>
        <w:rPr/>
        <w:t>Scheme</w:t>
      </w:r>
      <w:r>
        <w:rPr>
          <w:spacing w:val="-5"/>
        </w:rPr>
        <w:t> </w:t>
      </w:r>
      <w:r>
        <w:rPr/>
        <w:t>requirements, improvements to data systems, requiring electricity network businesses to provide a clear and structured safety argument through a safety case, establishing a regulatory practice program, and establishing panels for team decision making.</w:t>
      </w:r>
    </w:p>
    <w:p>
      <w:pPr>
        <w:pStyle w:val="BodyText"/>
        <w:spacing w:before="10"/>
        <w:rPr>
          <w:sz w:val="20"/>
        </w:rPr>
      </w:pPr>
    </w:p>
    <w:p>
      <w:pPr>
        <w:pStyle w:val="BodyText"/>
        <w:spacing w:line="288" w:lineRule="auto" w:before="1"/>
        <w:ind w:left="600" w:right="910"/>
      </w:pPr>
      <w:r>
        <w:rPr/>
        <w:t>As outlined further in this chapter and in subsequent chapters, the work that ESV is undertaking</w:t>
      </w:r>
      <w:r>
        <w:rPr>
          <w:spacing w:val="-3"/>
        </w:rPr>
        <w:t> </w:t>
      </w:r>
      <w:r>
        <w:rPr/>
        <w:t>to</w:t>
      </w:r>
      <w:r>
        <w:rPr>
          <w:spacing w:val="-5"/>
        </w:rPr>
        <w:t> </w:t>
      </w:r>
      <w:r>
        <w:rPr/>
        <w:t>strengthen</w:t>
      </w:r>
      <w:r>
        <w:rPr>
          <w:spacing w:val="-3"/>
        </w:rPr>
        <w:t> </w:t>
      </w:r>
      <w:r>
        <w:rPr/>
        <w:t>its</w:t>
      </w:r>
      <w:r>
        <w:rPr>
          <w:spacing w:val="-4"/>
        </w:rPr>
        <w:t> </w:t>
      </w:r>
      <w:r>
        <w:rPr/>
        <w:t>capabilities</w:t>
      </w:r>
      <w:r>
        <w:rPr>
          <w:spacing w:val="-3"/>
        </w:rPr>
        <w:t> </w:t>
      </w:r>
      <w:r>
        <w:rPr/>
        <w:t>remains “work</w:t>
      </w:r>
      <w:r>
        <w:rPr>
          <w:spacing w:val="-2"/>
        </w:rPr>
        <w:t> </w:t>
      </w:r>
      <w:r>
        <w:rPr/>
        <w:t>in</w:t>
      </w:r>
      <w:r>
        <w:rPr>
          <w:spacing w:val="-3"/>
        </w:rPr>
        <w:t> </w:t>
      </w:r>
      <w:r>
        <w:rPr/>
        <w:t>progress”.</w:t>
      </w:r>
      <w:r>
        <w:rPr>
          <w:spacing w:val="-4"/>
        </w:rPr>
        <w:t> </w:t>
      </w:r>
      <w:r>
        <w:rPr/>
        <w:t>Much</w:t>
      </w:r>
      <w:r>
        <w:rPr>
          <w:spacing w:val="-3"/>
        </w:rPr>
        <w:t> </w:t>
      </w:r>
      <w:r>
        <w:rPr/>
        <w:t>has</w:t>
      </w:r>
      <w:r>
        <w:rPr>
          <w:spacing w:val="-2"/>
        </w:rPr>
        <w:t> </w:t>
      </w:r>
      <w:r>
        <w:rPr/>
        <w:t>still</w:t>
      </w:r>
      <w:r>
        <w:rPr>
          <w:spacing w:val="-3"/>
        </w:rPr>
        <w:t> </w:t>
      </w:r>
      <w:r>
        <w:rPr/>
        <w:t>to</w:t>
      </w:r>
      <w:r>
        <w:rPr>
          <w:spacing w:val="-3"/>
        </w:rPr>
        <w:t> </w:t>
      </w:r>
      <w:r>
        <w:rPr/>
        <w:t>be done to ensure that it has the deep capabilities required for a robust safety case based regulatory system.</w:t>
      </w:r>
    </w:p>
    <w:p>
      <w:pPr>
        <w:pStyle w:val="BodyText"/>
        <w:spacing w:before="3"/>
        <w:rPr>
          <w:sz w:val="31"/>
        </w:rPr>
      </w:pPr>
    </w:p>
    <w:p>
      <w:pPr>
        <w:pStyle w:val="Heading4"/>
        <w:spacing w:before="0"/>
        <w:ind w:left="600"/>
      </w:pPr>
      <w:r>
        <w:rPr>
          <w:color w:val="585858"/>
        </w:rPr>
        <w:t>Strengthening</w:t>
      </w:r>
      <w:r>
        <w:rPr>
          <w:color w:val="585858"/>
          <w:spacing w:val="-14"/>
        </w:rPr>
        <w:t> </w:t>
      </w:r>
      <w:r>
        <w:rPr>
          <w:color w:val="585858"/>
        </w:rPr>
        <w:t>audit</w:t>
      </w:r>
      <w:r>
        <w:rPr>
          <w:color w:val="585858"/>
          <w:spacing w:val="-11"/>
        </w:rPr>
        <w:t> </w:t>
      </w:r>
      <w:r>
        <w:rPr>
          <w:color w:val="585858"/>
        </w:rPr>
        <w:t>and</w:t>
      </w:r>
      <w:r>
        <w:rPr>
          <w:color w:val="585858"/>
          <w:spacing w:val="-10"/>
        </w:rPr>
        <w:t> </w:t>
      </w:r>
      <w:r>
        <w:rPr>
          <w:color w:val="585858"/>
        </w:rPr>
        <w:t>inspection</w:t>
      </w:r>
      <w:r>
        <w:rPr>
          <w:color w:val="585858"/>
          <w:spacing w:val="-14"/>
        </w:rPr>
        <w:t> </w:t>
      </w:r>
      <w:r>
        <w:rPr>
          <w:color w:val="585858"/>
          <w:spacing w:val="-2"/>
        </w:rPr>
        <w:t>activity</w:t>
      </w:r>
    </w:p>
    <w:p>
      <w:pPr>
        <w:pStyle w:val="BodyText"/>
        <w:spacing w:line="288" w:lineRule="auto" w:before="314"/>
        <w:ind w:left="600" w:right="374"/>
      </w:pPr>
      <w:r>
        <w:rPr/>
        <w:t>Strong</w:t>
      </w:r>
      <w:r>
        <w:rPr>
          <w:spacing w:val="-1"/>
        </w:rPr>
        <w:t> </w:t>
      </w:r>
      <w:r>
        <w:rPr/>
        <w:t>audit</w:t>
      </w:r>
      <w:r>
        <w:rPr>
          <w:spacing w:val="-1"/>
        </w:rPr>
        <w:t> </w:t>
      </w:r>
      <w:r>
        <w:rPr/>
        <w:t>and</w:t>
      </w:r>
      <w:r>
        <w:rPr>
          <w:spacing w:val="-5"/>
        </w:rPr>
        <w:t> </w:t>
      </w:r>
      <w:r>
        <w:rPr/>
        <w:t>inspection</w:t>
      </w:r>
      <w:r>
        <w:rPr>
          <w:spacing w:val="-3"/>
        </w:rPr>
        <w:t> </w:t>
      </w:r>
      <w:r>
        <w:rPr/>
        <w:t>processes</w:t>
      </w:r>
      <w:r>
        <w:rPr>
          <w:spacing w:val="-3"/>
        </w:rPr>
        <w:t> </w:t>
      </w:r>
      <w:r>
        <w:rPr/>
        <w:t>are</w:t>
      </w:r>
      <w:r>
        <w:rPr>
          <w:spacing w:val="-3"/>
        </w:rPr>
        <w:t> </w:t>
      </w:r>
      <w:r>
        <w:rPr/>
        <w:t>critical</w:t>
      </w:r>
      <w:r>
        <w:rPr>
          <w:spacing w:val="-6"/>
        </w:rPr>
        <w:t> </w:t>
      </w:r>
      <w:r>
        <w:rPr/>
        <w:t>to</w:t>
      </w:r>
      <w:r>
        <w:rPr>
          <w:spacing w:val="-3"/>
        </w:rPr>
        <w:t> </w:t>
      </w:r>
      <w:r>
        <w:rPr/>
        <w:t>effective</w:t>
      </w:r>
      <w:r>
        <w:rPr>
          <w:spacing w:val="-3"/>
        </w:rPr>
        <w:t> </w:t>
      </w:r>
      <w:r>
        <w:rPr/>
        <w:t>safety</w:t>
      </w:r>
      <w:r>
        <w:rPr>
          <w:spacing w:val="-6"/>
        </w:rPr>
        <w:t> </w:t>
      </w:r>
      <w:r>
        <w:rPr/>
        <w:t>regulation.</w:t>
      </w:r>
      <w:r>
        <w:rPr>
          <w:spacing w:val="-2"/>
        </w:rPr>
        <w:t> </w:t>
      </w:r>
      <w:r>
        <w:rPr/>
        <w:t>There</w:t>
      </w:r>
      <w:r>
        <w:rPr>
          <w:spacing w:val="-5"/>
        </w:rPr>
        <w:t> </w:t>
      </w:r>
      <w:r>
        <w:rPr/>
        <w:t>are varying views on the effectiveness of ESV’s recent level of audit and inspection activity.</w:t>
      </w:r>
    </w:p>
    <w:p>
      <w:pPr>
        <w:pStyle w:val="BodyText"/>
        <w:spacing w:before="10"/>
        <w:rPr>
          <w:sz w:val="20"/>
        </w:rPr>
      </w:pPr>
    </w:p>
    <w:p>
      <w:pPr>
        <w:pStyle w:val="BodyText"/>
        <w:spacing w:line="288" w:lineRule="auto"/>
        <w:ind w:left="600" w:right="374"/>
      </w:pPr>
      <w:r>
        <w:rPr/>
        <w:t>For</w:t>
      </w:r>
      <w:r>
        <w:rPr>
          <w:spacing w:val="-2"/>
        </w:rPr>
        <w:t> </w:t>
      </w:r>
      <w:r>
        <w:rPr/>
        <w:t>example,</w:t>
      </w:r>
      <w:r>
        <w:rPr>
          <w:spacing w:val="-4"/>
        </w:rPr>
        <w:t> </w:t>
      </w:r>
      <w:r>
        <w:rPr/>
        <w:t>in</w:t>
      </w:r>
      <w:r>
        <w:rPr>
          <w:spacing w:val="-3"/>
        </w:rPr>
        <w:t> </w:t>
      </w:r>
      <w:r>
        <w:rPr/>
        <w:t>its</w:t>
      </w:r>
      <w:r>
        <w:rPr>
          <w:spacing w:val="-4"/>
        </w:rPr>
        <w:t> </w:t>
      </w:r>
      <w:r>
        <w:rPr/>
        <w:t>submission</w:t>
      </w:r>
      <w:r>
        <w:rPr>
          <w:spacing w:val="-3"/>
        </w:rPr>
        <w:t> </w:t>
      </w:r>
      <w:r>
        <w:rPr/>
        <w:t>to</w:t>
      </w:r>
      <w:r>
        <w:rPr>
          <w:spacing w:val="-5"/>
        </w:rPr>
        <w:t> </w:t>
      </w:r>
      <w:r>
        <w:rPr/>
        <w:t>the</w:t>
      </w:r>
      <w:r>
        <w:rPr>
          <w:spacing w:val="-5"/>
        </w:rPr>
        <w:t> </w:t>
      </w:r>
      <w:r>
        <w:rPr/>
        <w:t>Review,</w:t>
      </w:r>
      <w:r>
        <w:rPr>
          <w:spacing w:val="-1"/>
        </w:rPr>
        <w:t> </w:t>
      </w:r>
      <w:r>
        <w:rPr/>
        <w:t>United</w:t>
      </w:r>
      <w:r>
        <w:rPr>
          <w:spacing w:val="-3"/>
        </w:rPr>
        <w:t> </w:t>
      </w:r>
      <w:r>
        <w:rPr/>
        <w:t>Energy</w:t>
      </w:r>
      <w:r>
        <w:rPr>
          <w:spacing w:val="-5"/>
        </w:rPr>
        <w:t> </w:t>
      </w:r>
      <w:r>
        <w:rPr/>
        <w:t>has</w:t>
      </w:r>
      <w:r>
        <w:rPr>
          <w:spacing w:val="-5"/>
        </w:rPr>
        <w:t> </w:t>
      </w:r>
      <w:r>
        <w:rPr/>
        <w:t>commented</w:t>
      </w:r>
      <w:r>
        <w:rPr>
          <w:spacing w:val="-3"/>
        </w:rPr>
        <w:t> </w:t>
      </w:r>
      <w:r>
        <w:rPr/>
        <w:t>positively</w:t>
      </w:r>
      <w:r>
        <w:rPr>
          <w:spacing w:val="-5"/>
        </w:rPr>
        <w:t> </w:t>
      </w:r>
      <w:r>
        <w:rPr/>
        <w:t>on ESV’s general performance, including in relation to auditing and incident investigations:</w:t>
      </w:r>
    </w:p>
    <w:p>
      <w:pPr>
        <w:pStyle w:val="BodyText"/>
        <w:spacing w:before="10"/>
        <w:rPr>
          <w:sz w:val="20"/>
        </w:rPr>
      </w:pPr>
    </w:p>
    <w:p>
      <w:pPr>
        <w:spacing w:line="288" w:lineRule="auto" w:before="1"/>
        <w:ind w:left="1166" w:right="1369" w:firstLine="0"/>
        <w:jc w:val="left"/>
        <w:rPr>
          <w:sz w:val="22"/>
        </w:rPr>
      </w:pPr>
      <w:r>
        <w:rPr>
          <w:i/>
          <w:sz w:val="22"/>
        </w:rPr>
        <w:t>“ESV effectiveness is generally good … To remain effective ESV needs to continue developing its</w:t>
      </w:r>
      <w:r>
        <w:rPr>
          <w:i/>
          <w:spacing w:val="-2"/>
          <w:sz w:val="22"/>
        </w:rPr>
        <w:t> </w:t>
      </w:r>
      <w:r>
        <w:rPr>
          <w:i/>
          <w:sz w:val="22"/>
        </w:rPr>
        <w:t>expertise</w:t>
      </w:r>
      <w:r>
        <w:rPr>
          <w:i/>
          <w:spacing w:val="-2"/>
          <w:sz w:val="22"/>
        </w:rPr>
        <w:t> </w:t>
      </w:r>
      <w:r>
        <w:rPr>
          <w:i/>
          <w:sz w:val="22"/>
        </w:rPr>
        <w:t>to</w:t>
      </w:r>
      <w:r>
        <w:rPr>
          <w:i/>
          <w:spacing w:val="-2"/>
          <w:sz w:val="22"/>
        </w:rPr>
        <w:t> </w:t>
      </w:r>
      <w:r>
        <w:rPr>
          <w:i/>
          <w:sz w:val="22"/>
        </w:rPr>
        <w:t>support</w:t>
      </w:r>
      <w:r>
        <w:rPr>
          <w:i/>
          <w:spacing w:val="-1"/>
          <w:sz w:val="22"/>
        </w:rPr>
        <w:t> </w:t>
      </w:r>
      <w:r>
        <w:rPr>
          <w:i/>
          <w:sz w:val="22"/>
        </w:rPr>
        <w:t>the</w:t>
      </w:r>
      <w:r>
        <w:rPr>
          <w:i/>
          <w:spacing w:val="-2"/>
          <w:sz w:val="22"/>
        </w:rPr>
        <w:t> </w:t>
      </w:r>
      <w:r>
        <w:rPr>
          <w:i/>
          <w:sz w:val="22"/>
        </w:rPr>
        <w:t>risk based</w:t>
      </w:r>
      <w:r>
        <w:rPr>
          <w:i/>
          <w:spacing w:val="-2"/>
          <w:sz w:val="22"/>
        </w:rPr>
        <w:t> </w:t>
      </w:r>
      <w:r>
        <w:rPr>
          <w:i/>
          <w:sz w:val="22"/>
        </w:rPr>
        <w:t>regime</w:t>
      </w:r>
      <w:r>
        <w:rPr>
          <w:i/>
          <w:spacing w:val="-2"/>
          <w:sz w:val="22"/>
        </w:rPr>
        <w:t> </w:t>
      </w:r>
      <w:r>
        <w:rPr>
          <w:i/>
          <w:sz w:val="22"/>
        </w:rPr>
        <w:t>and</w:t>
      </w:r>
      <w:r>
        <w:rPr>
          <w:i/>
          <w:spacing w:val="-2"/>
          <w:sz w:val="22"/>
        </w:rPr>
        <w:t> </w:t>
      </w:r>
      <w:r>
        <w:rPr>
          <w:i/>
          <w:sz w:val="22"/>
        </w:rPr>
        <w:t>improve network</w:t>
      </w:r>
      <w:r>
        <w:rPr>
          <w:i/>
          <w:spacing w:val="-5"/>
          <w:sz w:val="22"/>
        </w:rPr>
        <w:t> </w:t>
      </w:r>
      <w:r>
        <w:rPr>
          <w:i/>
          <w:sz w:val="22"/>
        </w:rPr>
        <w:t>safety.</w:t>
      </w:r>
      <w:r>
        <w:rPr>
          <w:i/>
          <w:spacing w:val="-4"/>
          <w:sz w:val="22"/>
        </w:rPr>
        <w:t> </w:t>
      </w:r>
      <w:r>
        <w:rPr>
          <w:i/>
          <w:sz w:val="22"/>
        </w:rPr>
        <w:t>ESV</w:t>
      </w:r>
      <w:r>
        <w:rPr>
          <w:i/>
          <w:spacing w:val="-3"/>
          <w:sz w:val="22"/>
        </w:rPr>
        <w:t> </w:t>
      </w:r>
      <w:r>
        <w:rPr>
          <w:i/>
          <w:sz w:val="22"/>
        </w:rPr>
        <w:t>audits</w:t>
      </w:r>
      <w:r>
        <w:rPr>
          <w:i/>
          <w:spacing w:val="-2"/>
          <w:sz w:val="22"/>
        </w:rPr>
        <w:t> </w:t>
      </w:r>
      <w:r>
        <w:rPr>
          <w:i/>
          <w:sz w:val="22"/>
        </w:rPr>
        <w:t>and</w:t>
      </w:r>
      <w:r>
        <w:rPr>
          <w:i/>
          <w:spacing w:val="-3"/>
          <w:sz w:val="22"/>
        </w:rPr>
        <w:t> </w:t>
      </w:r>
      <w:r>
        <w:rPr>
          <w:i/>
          <w:sz w:val="22"/>
        </w:rPr>
        <w:t>incident</w:t>
      </w:r>
      <w:r>
        <w:rPr>
          <w:i/>
          <w:spacing w:val="-4"/>
          <w:sz w:val="22"/>
        </w:rPr>
        <w:t> </w:t>
      </w:r>
      <w:r>
        <w:rPr>
          <w:i/>
          <w:sz w:val="22"/>
        </w:rPr>
        <w:t>investigations</w:t>
      </w:r>
      <w:r>
        <w:rPr>
          <w:i/>
          <w:spacing w:val="-2"/>
          <w:sz w:val="22"/>
        </w:rPr>
        <w:t> </w:t>
      </w:r>
      <w:r>
        <w:rPr>
          <w:i/>
          <w:sz w:val="22"/>
        </w:rPr>
        <w:t>are</w:t>
      </w:r>
      <w:r>
        <w:rPr>
          <w:i/>
          <w:spacing w:val="-5"/>
          <w:sz w:val="22"/>
        </w:rPr>
        <w:t> </w:t>
      </w:r>
      <w:r>
        <w:rPr>
          <w:i/>
          <w:sz w:val="22"/>
        </w:rPr>
        <w:t>generally</w:t>
      </w:r>
      <w:r>
        <w:rPr>
          <w:i/>
          <w:spacing w:val="-5"/>
          <w:sz w:val="22"/>
        </w:rPr>
        <w:t> </w:t>
      </w:r>
      <w:r>
        <w:rPr>
          <w:i/>
          <w:sz w:val="22"/>
        </w:rPr>
        <w:t>sound</w:t>
      </w:r>
      <w:r>
        <w:rPr>
          <w:i/>
          <w:spacing w:val="-3"/>
          <w:sz w:val="22"/>
        </w:rPr>
        <w:t> </w:t>
      </w:r>
      <w:r>
        <w:rPr>
          <w:i/>
          <w:sz w:val="22"/>
        </w:rPr>
        <w:t>and completed in a professional manner.” </w:t>
      </w:r>
      <w:r>
        <w:rPr>
          <w:sz w:val="22"/>
        </w:rPr>
        <w:t>(United Energy, 2017, p. 10)</w:t>
      </w:r>
    </w:p>
    <w:p>
      <w:pPr>
        <w:pStyle w:val="BodyText"/>
        <w:spacing w:before="9"/>
        <w:rPr>
          <w:sz w:val="20"/>
        </w:rPr>
      </w:pPr>
    </w:p>
    <w:p>
      <w:pPr>
        <w:pStyle w:val="BodyText"/>
        <w:spacing w:line="288" w:lineRule="auto" w:before="1"/>
        <w:ind w:left="600" w:right="910"/>
      </w:pPr>
      <w:r>
        <w:rPr/>
        <w:t>In</w:t>
      </w:r>
      <w:r>
        <w:rPr>
          <w:spacing w:val="-2"/>
        </w:rPr>
        <w:t> </w:t>
      </w:r>
      <w:r>
        <w:rPr/>
        <w:t>contrast,</w:t>
      </w:r>
      <w:r>
        <w:rPr>
          <w:spacing w:val="-3"/>
        </w:rPr>
        <w:t> </w:t>
      </w:r>
      <w:r>
        <w:rPr/>
        <w:t>the</w:t>
      </w:r>
      <w:r>
        <w:rPr>
          <w:spacing w:val="-2"/>
        </w:rPr>
        <w:t> </w:t>
      </w:r>
      <w:r>
        <w:rPr/>
        <w:t>Electrical</w:t>
      </w:r>
      <w:r>
        <w:rPr>
          <w:spacing w:val="-5"/>
        </w:rPr>
        <w:t> </w:t>
      </w:r>
      <w:r>
        <w:rPr/>
        <w:t>Trades</w:t>
      </w:r>
      <w:r>
        <w:rPr>
          <w:spacing w:val="-4"/>
        </w:rPr>
        <w:t> </w:t>
      </w:r>
      <w:r>
        <w:rPr/>
        <w:t>Union</w:t>
      </w:r>
      <w:r>
        <w:rPr>
          <w:spacing w:val="-2"/>
        </w:rPr>
        <w:t> </w:t>
      </w:r>
      <w:r>
        <w:rPr/>
        <w:t>has</w:t>
      </w:r>
      <w:r>
        <w:rPr>
          <w:spacing w:val="-1"/>
        </w:rPr>
        <w:t> </w:t>
      </w:r>
      <w:r>
        <w:rPr/>
        <w:t>noted</w:t>
      </w:r>
      <w:r>
        <w:rPr>
          <w:spacing w:val="-4"/>
        </w:rPr>
        <w:t> </w:t>
      </w:r>
      <w:r>
        <w:rPr/>
        <w:t>its</w:t>
      </w:r>
      <w:r>
        <w:rPr>
          <w:spacing w:val="-1"/>
        </w:rPr>
        <w:t> </w:t>
      </w:r>
      <w:r>
        <w:rPr/>
        <w:t>view</w:t>
      </w:r>
      <w:r>
        <w:rPr>
          <w:spacing w:val="-5"/>
        </w:rPr>
        <w:t> </w:t>
      </w:r>
      <w:r>
        <w:rPr/>
        <w:t>that ESV</w:t>
      </w:r>
      <w:r>
        <w:rPr>
          <w:spacing w:val="-2"/>
        </w:rPr>
        <w:t> </w:t>
      </w:r>
      <w:r>
        <w:rPr/>
        <w:t>does</w:t>
      </w:r>
      <w:r>
        <w:rPr>
          <w:spacing w:val="-4"/>
        </w:rPr>
        <w:t> </w:t>
      </w:r>
      <w:r>
        <w:rPr/>
        <w:t>not</w:t>
      </w:r>
      <w:r>
        <w:rPr>
          <w:spacing w:val="-1"/>
        </w:rPr>
        <w:t> </w:t>
      </w:r>
      <w:r>
        <w:rPr/>
        <w:t>conduct sufficient audits and inspections:</w:t>
      </w:r>
    </w:p>
    <w:p>
      <w:pPr>
        <w:spacing w:after="0" w:line="288" w:lineRule="auto"/>
        <w:sectPr>
          <w:pgSz w:w="11910" w:h="16840"/>
          <w:pgMar w:header="887" w:footer="1228" w:top="1080" w:bottom="1440" w:left="840" w:right="820"/>
        </w:sectPr>
      </w:pPr>
    </w:p>
    <w:p>
      <w:pPr>
        <w:pStyle w:val="BodyText"/>
        <w:rPr>
          <w:sz w:val="20"/>
        </w:rPr>
      </w:pPr>
    </w:p>
    <w:p>
      <w:pPr>
        <w:pStyle w:val="BodyText"/>
        <w:rPr>
          <w:sz w:val="20"/>
        </w:rPr>
      </w:pPr>
    </w:p>
    <w:p>
      <w:pPr>
        <w:pStyle w:val="BodyText"/>
        <w:spacing w:before="5"/>
      </w:pPr>
    </w:p>
    <w:p>
      <w:pPr>
        <w:spacing w:line="288" w:lineRule="auto" w:before="0"/>
        <w:ind w:left="1166" w:right="1369" w:firstLine="0"/>
        <w:jc w:val="left"/>
        <w:rPr>
          <w:i/>
          <w:sz w:val="22"/>
        </w:rPr>
      </w:pPr>
      <w:r>
        <w:rPr>
          <w:i/>
          <w:sz w:val="22"/>
        </w:rPr>
        <w:t>“ESV</w:t>
      </w:r>
      <w:r>
        <w:rPr>
          <w:i/>
          <w:spacing w:val="-3"/>
          <w:sz w:val="22"/>
        </w:rPr>
        <w:t> </w:t>
      </w:r>
      <w:r>
        <w:rPr>
          <w:i/>
          <w:sz w:val="22"/>
        </w:rPr>
        <w:t>only</w:t>
      </w:r>
      <w:r>
        <w:rPr>
          <w:i/>
          <w:spacing w:val="-2"/>
          <w:sz w:val="22"/>
        </w:rPr>
        <w:t> </w:t>
      </w:r>
      <w:r>
        <w:rPr>
          <w:i/>
          <w:sz w:val="22"/>
        </w:rPr>
        <w:t>conduct</w:t>
      </w:r>
      <w:r>
        <w:rPr>
          <w:i/>
          <w:spacing w:val="-1"/>
          <w:sz w:val="22"/>
        </w:rPr>
        <w:t> </w:t>
      </w:r>
      <w:r>
        <w:rPr>
          <w:i/>
          <w:sz w:val="22"/>
        </w:rPr>
        <w:t>2</w:t>
      </w:r>
      <w:r>
        <w:rPr>
          <w:i/>
          <w:spacing w:val="-5"/>
          <w:sz w:val="22"/>
        </w:rPr>
        <w:t> </w:t>
      </w:r>
      <w:r>
        <w:rPr>
          <w:i/>
          <w:sz w:val="22"/>
        </w:rPr>
        <w:t>audits</w:t>
      </w:r>
      <w:r>
        <w:rPr>
          <w:i/>
          <w:spacing w:val="-2"/>
          <w:sz w:val="22"/>
        </w:rPr>
        <w:t> </w:t>
      </w:r>
      <w:r>
        <w:rPr>
          <w:i/>
          <w:sz w:val="22"/>
        </w:rPr>
        <w:t>of</w:t>
      </w:r>
      <w:r>
        <w:rPr>
          <w:i/>
          <w:spacing w:val="-4"/>
          <w:sz w:val="22"/>
        </w:rPr>
        <w:t> </w:t>
      </w:r>
      <w:r>
        <w:rPr>
          <w:i/>
          <w:sz w:val="22"/>
        </w:rPr>
        <w:t>safe</w:t>
      </w:r>
      <w:r>
        <w:rPr>
          <w:i/>
          <w:spacing w:val="-5"/>
          <w:sz w:val="22"/>
        </w:rPr>
        <w:t> </w:t>
      </w:r>
      <w:r>
        <w:rPr>
          <w:i/>
          <w:sz w:val="22"/>
        </w:rPr>
        <w:t>work</w:t>
      </w:r>
      <w:r>
        <w:rPr>
          <w:i/>
          <w:spacing w:val="-2"/>
          <w:sz w:val="22"/>
        </w:rPr>
        <w:t> </w:t>
      </w:r>
      <w:r>
        <w:rPr>
          <w:i/>
          <w:sz w:val="22"/>
        </w:rPr>
        <w:t>practices</w:t>
      </w:r>
      <w:r>
        <w:rPr>
          <w:i/>
          <w:spacing w:val="-5"/>
          <w:sz w:val="22"/>
        </w:rPr>
        <w:t> </w:t>
      </w:r>
      <w:r>
        <w:rPr>
          <w:i/>
          <w:sz w:val="22"/>
        </w:rPr>
        <w:t>per</w:t>
      </w:r>
      <w:r>
        <w:rPr>
          <w:i/>
          <w:spacing w:val="-4"/>
          <w:sz w:val="22"/>
        </w:rPr>
        <w:t> </w:t>
      </w:r>
      <w:r>
        <w:rPr>
          <w:i/>
          <w:sz w:val="22"/>
        </w:rPr>
        <w:t>distributor</w:t>
      </w:r>
      <w:r>
        <w:rPr>
          <w:i/>
          <w:spacing w:val="-4"/>
          <w:sz w:val="22"/>
        </w:rPr>
        <w:t> </w:t>
      </w:r>
      <w:r>
        <w:rPr>
          <w:i/>
          <w:sz w:val="22"/>
        </w:rPr>
        <w:t>per</w:t>
      </w:r>
      <w:r>
        <w:rPr>
          <w:i/>
          <w:spacing w:val="-4"/>
          <w:sz w:val="22"/>
        </w:rPr>
        <w:t> </w:t>
      </w:r>
      <w:r>
        <w:rPr>
          <w:i/>
          <w:sz w:val="22"/>
        </w:rPr>
        <w:t>year.</w:t>
      </w:r>
      <w:r>
        <w:rPr>
          <w:i/>
          <w:spacing w:val="-4"/>
          <w:sz w:val="22"/>
        </w:rPr>
        <w:t> </w:t>
      </w:r>
      <w:r>
        <w:rPr>
          <w:i/>
          <w:sz w:val="22"/>
        </w:rPr>
        <w:t>ESV does not disclose how many sites or workers it monitors for each Audit.</w:t>
      </w:r>
    </w:p>
    <w:p>
      <w:pPr>
        <w:pStyle w:val="BodyText"/>
        <w:spacing w:before="10"/>
        <w:rPr>
          <w:i/>
          <w:sz w:val="20"/>
        </w:rPr>
      </w:pPr>
    </w:p>
    <w:p>
      <w:pPr>
        <w:spacing w:line="288" w:lineRule="auto" w:before="0"/>
        <w:ind w:left="1166" w:right="1200" w:firstLine="0"/>
        <w:jc w:val="left"/>
        <w:rPr>
          <w:i/>
          <w:sz w:val="22"/>
        </w:rPr>
      </w:pPr>
      <w:r>
        <w:rPr>
          <w:i/>
          <w:sz w:val="22"/>
        </w:rPr>
        <w:t>Given</w:t>
      </w:r>
      <w:r>
        <w:rPr>
          <w:i/>
          <w:spacing w:val="-4"/>
          <w:sz w:val="22"/>
        </w:rPr>
        <w:t> </w:t>
      </w:r>
      <w:r>
        <w:rPr>
          <w:i/>
          <w:sz w:val="22"/>
        </w:rPr>
        <w:t>the</w:t>
      </w:r>
      <w:r>
        <w:rPr>
          <w:i/>
          <w:spacing w:val="-4"/>
          <w:sz w:val="22"/>
        </w:rPr>
        <w:t> </w:t>
      </w:r>
      <w:r>
        <w:rPr>
          <w:i/>
          <w:sz w:val="22"/>
        </w:rPr>
        <w:t>wide</w:t>
      </w:r>
      <w:r>
        <w:rPr>
          <w:i/>
          <w:spacing w:val="-4"/>
          <w:sz w:val="22"/>
        </w:rPr>
        <w:t> </w:t>
      </w:r>
      <w:r>
        <w:rPr>
          <w:i/>
          <w:sz w:val="22"/>
        </w:rPr>
        <w:t>range</w:t>
      </w:r>
      <w:r>
        <w:rPr>
          <w:i/>
          <w:spacing w:val="-2"/>
          <w:sz w:val="22"/>
        </w:rPr>
        <w:t> </w:t>
      </w:r>
      <w:r>
        <w:rPr>
          <w:i/>
          <w:sz w:val="22"/>
        </w:rPr>
        <w:t>of</w:t>
      </w:r>
      <w:r>
        <w:rPr>
          <w:i/>
          <w:spacing w:val="-3"/>
          <w:sz w:val="22"/>
        </w:rPr>
        <w:t> </w:t>
      </w:r>
      <w:r>
        <w:rPr>
          <w:i/>
          <w:sz w:val="22"/>
        </w:rPr>
        <w:t>practices</w:t>
      </w:r>
      <w:r>
        <w:rPr>
          <w:i/>
          <w:spacing w:val="-4"/>
          <w:sz w:val="22"/>
        </w:rPr>
        <w:t> </w:t>
      </w:r>
      <w:r>
        <w:rPr>
          <w:i/>
          <w:sz w:val="22"/>
        </w:rPr>
        <w:t>in</w:t>
      </w:r>
      <w:r>
        <w:rPr>
          <w:i/>
          <w:spacing w:val="-2"/>
          <w:sz w:val="22"/>
        </w:rPr>
        <w:t> </w:t>
      </w:r>
      <w:r>
        <w:rPr>
          <w:i/>
          <w:sz w:val="22"/>
        </w:rPr>
        <w:t>the</w:t>
      </w:r>
      <w:r>
        <w:rPr>
          <w:i/>
          <w:spacing w:val="-4"/>
          <w:sz w:val="22"/>
        </w:rPr>
        <w:t> </w:t>
      </w:r>
      <w:r>
        <w:rPr>
          <w:i/>
          <w:sz w:val="22"/>
        </w:rPr>
        <w:t>sector, and</w:t>
      </w:r>
      <w:r>
        <w:rPr>
          <w:i/>
          <w:spacing w:val="-2"/>
          <w:sz w:val="22"/>
        </w:rPr>
        <w:t> </w:t>
      </w:r>
      <w:r>
        <w:rPr>
          <w:i/>
          <w:sz w:val="22"/>
        </w:rPr>
        <w:t>the</w:t>
      </w:r>
      <w:r>
        <w:rPr>
          <w:i/>
          <w:spacing w:val="-4"/>
          <w:sz w:val="22"/>
        </w:rPr>
        <w:t> </w:t>
      </w:r>
      <w:r>
        <w:rPr>
          <w:i/>
          <w:sz w:val="22"/>
        </w:rPr>
        <w:t>wide</w:t>
      </w:r>
      <w:r>
        <w:rPr>
          <w:i/>
          <w:spacing w:val="-4"/>
          <w:sz w:val="22"/>
        </w:rPr>
        <w:t> </w:t>
      </w:r>
      <w:r>
        <w:rPr>
          <w:i/>
          <w:sz w:val="22"/>
        </w:rPr>
        <w:t>use</w:t>
      </w:r>
      <w:r>
        <w:rPr>
          <w:i/>
          <w:spacing w:val="-2"/>
          <w:sz w:val="22"/>
        </w:rPr>
        <w:t> </w:t>
      </w:r>
      <w:r>
        <w:rPr>
          <w:i/>
          <w:sz w:val="22"/>
        </w:rPr>
        <w:t>of</w:t>
      </w:r>
      <w:r>
        <w:rPr>
          <w:i/>
          <w:spacing w:val="-3"/>
          <w:sz w:val="22"/>
        </w:rPr>
        <w:t> </w:t>
      </w:r>
      <w:r>
        <w:rPr>
          <w:i/>
          <w:sz w:val="22"/>
        </w:rPr>
        <w:t>contractors</w:t>
      </w:r>
      <w:r>
        <w:rPr>
          <w:i/>
          <w:spacing w:val="-4"/>
          <w:sz w:val="22"/>
        </w:rPr>
        <w:t> </w:t>
      </w:r>
      <w:r>
        <w:rPr>
          <w:i/>
          <w:sz w:val="22"/>
        </w:rPr>
        <w:t>2 Audits per year are unable provide a real measure of systemic practices – or identify the wide range of different practices which occur across different distributors and contractors at different times …</w:t>
      </w:r>
    </w:p>
    <w:p>
      <w:pPr>
        <w:pStyle w:val="BodyText"/>
        <w:spacing w:before="10"/>
        <w:rPr>
          <w:i/>
          <w:sz w:val="20"/>
        </w:rPr>
      </w:pPr>
    </w:p>
    <w:p>
      <w:pPr>
        <w:spacing w:line="288" w:lineRule="auto" w:before="0"/>
        <w:ind w:left="1166" w:right="1200" w:firstLine="0"/>
        <w:jc w:val="left"/>
        <w:rPr>
          <w:sz w:val="22"/>
        </w:rPr>
      </w:pPr>
      <w:r>
        <w:rPr>
          <w:i/>
          <w:sz w:val="22"/>
        </w:rPr>
        <w:t>The majority of Lineworkers in the field have never seen an ESV Inspector and never</w:t>
      </w:r>
      <w:r>
        <w:rPr>
          <w:i/>
          <w:spacing w:val="-1"/>
          <w:sz w:val="22"/>
        </w:rPr>
        <w:t> </w:t>
      </w:r>
      <w:r>
        <w:rPr>
          <w:i/>
          <w:sz w:val="22"/>
        </w:rPr>
        <w:t>expect</w:t>
      </w:r>
      <w:r>
        <w:rPr>
          <w:i/>
          <w:spacing w:val="-3"/>
          <w:sz w:val="22"/>
        </w:rPr>
        <w:t> </w:t>
      </w:r>
      <w:r>
        <w:rPr>
          <w:i/>
          <w:sz w:val="22"/>
        </w:rPr>
        <w:t>to</w:t>
      </w:r>
      <w:r>
        <w:rPr>
          <w:i/>
          <w:spacing w:val="-4"/>
          <w:sz w:val="22"/>
        </w:rPr>
        <w:t> </w:t>
      </w:r>
      <w:r>
        <w:rPr>
          <w:i/>
          <w:sz w:val="22"/>
        </w:rPr>
        <w:t>see</w:t>
      </w:r>
      <w:r>
        <w:rPr>
          <w:i/>
          <w:spacing w:val="-2"/>
          <w:sz w:val="22"/>
        </w:rPr>
        <w:t> </w:t>
      </w:r>
      <w:r>
        <w:rPr>
          <w:i/>
          <w:sz w:val="22"/>
        </w:rPr>
        <w:t>one.</w:t>
      </w:r>
      <w:r>
        <w:rPr>
          <w:i/>
          <w:spacing w:val="-3"/>
          <w:sz w:val="22"/>
        </w:rPr>
        <w:t> </w:t>
      </w:r>
      <w:r>
        <w:rPr>
          <w:i/>
          <w:sz w:val="22"/>
        </w:rPr>
        <w:t>They</w:t>
      </w:r>
      <w:r>
        <w:rPr>
          <w:i/>
          <w:spacing w:val="-2"/>
          <w:sz w:val="22"/>
        </w:rPr>
        <w:t> </w:t>
      </w:r>
      <w:r>
        <w:rPr>
          <w:i/>
          <w:sz w:val="22"/>
        </w:rPr>
        <w:t>have</w:t>
      </w:r>
      <w:r>
        <w:rPr>
          <w:i/>
          <w:spacing w:val="-4"/>
          <w:sz w:val="22"/>
        </w:rPr>
        <w:t> </w:t>
      </w:r>
      <w:r>
        <w:rPr>
          <w:i/>
          <w:sz w:val="22"/>
        </w:rPr>
        <w:t>no</w:t>
      </w:r>
      <w:r>
        <w:rPr>
          <w:i/>
          <w:spacing w:val="-3"/>
          <w:sz w:val="22"/>
        </w:rPr>
        <w:t> </w:t>
      </w:r>
      <w:r>
        <w:rPr>
          <w:i/>
          <w:sz w:val="22"/>
        </w:rPr>
        <w:t>confidence</w:t>
      </w:r>
      <w:r>
        <w:rPr>
          <w:i/>
          <w:spacing w:val="-2"/>
          <w:sz w:val="22"/>
        </w:rPr>
        <w:t> </w:t>
      </w:r>
      <w:r>
        <w:rPr>
          <w:i/>
          <w:sz w:val="22"/>
        </w:rPr>
        <w:t>in</w:t>
      </w:r>
      <w:r>
        <w:rPr>
          <w:i/>
          <w:spacing w:val="-2"/>
          <w:sz w:val="22"/>
        </w:rPr>
        <w:t> </w:t>
      </w:r>
      <w:r>
        <w:rPr>
          <w:i/>
          <w:sz w:val="22"/>
        </w:rPr>
        <w:t>the</w:t>
      </w:r>
      <w:r>
        <w:rPr>
          <w:i/>
          <w:spacing w:val="-4"/>
          <w:sz w:val="22"/>
        </w:rPr>
        <w:t> </w:t>
      </w:r>
      <w:r>
        <w:rPr>
          <w:i/>
          <w:sz w:val="22"/>
        </w:rPr>
        <w:t>regulator’s</w:t>
      </w:r>
      <w:r>
        <w:rPr>
          <w:i/>
          <w:spacing w:val="-1"/>
          <w:sz w:val="22"/>
        </w:rPr>
        <w:t> </w:t>
      </w:r>
      <w:r>
        <w:rPr>
          <w:i/>
          <w:sz w:val="22"/>
        </w:rPr>
        <w:t>ability</w:t>
      </w:r>
      <w:r>
        <w:rPr>
          <w:i/>
          <w:spacing w:val="-1"/>
          <w:sz w:val="22"/>
        </w:rPr>
        <w:t> </w:t>
      </w:r>
      <w:r>
        <w:rPr>
          <w:i/>
          <w:sz w:val="22"/>
        </w:rPr>
        <w:t>to</w:t>
      </w:r>
      <w:r>
        <w:rPr>
          <w:i/>
          <w:spacing w:val="-4"/>
          <w:sz w:val="22"/>
        </w:rPr>
        <w:t> </w:t>
      </w:r>
      <w:r>
        <w:rPr>
          <w:i/>
          <w:sz w:val="22"/>
        </w:rPr>
        <w:t>or willingness to encourage or support safe work practices.” </w:t>
      </w:r>
      <w:r>
        <w:rPr>
          <w:sz w:val="22"/>
        </w:rPr>
        <w:t>(Electrical Trades Union, 2017, p. 38)</w:t>
      </w:r>
    </w:p>
    <w:p>
      <w:pPr>
        <w:pStyle w:val="BodyText"/>
        <w:spacing w:before="11"/>
        <w:rPr>
          <w:sz w:val="20"/>
        </w:rPr>
      </w:pPr>
    </w:p>
    <w:p>
      <w:pPr>
        <w:pStyle w:val="BodyText"/>
        <w:spacing w:line="288" w:lineRule="auto"/>
        <w:ind w:left="600" w:right="586"/>
      </w:pPr>
      <w:r>
        <w:rPr/>
        <w:t>As</w:t>
      </w:r>
      <w:r>
        <w:rPr>
          <w:spacing w:val="-1"/>
        </w:rPr>
        <w:t> </w:t>
      </w:r>
      <w:r>
        <w:rPr/>
        <w:t>at</w:t>
      </w:r>
      <w:r>
        <w:rPr>
          <w:spacing w:val="-3"/>
        </w:rPr>
        <w:t> </w:t>
      </w:r>
      <w:r>
        <w:rPr/>
        <w:t>31</w:t>
      </w:r>
      <w:r>
        <w:rPr>
          <w:spacing w:val="-2"/>
        </w:rPr>
        <w:t> </w:t>
      </w:r>
      <w:r>
        <w:rPr/>
        <w:t>August 2017, ESV</w:t>
      </w:r>
      <w:r>
        <w:rPr>
          <w:spacing w:val="-2"/>
        </w:rPr>
        <w:t> </w:t>
      </w:r>
      <w:r>
        <w:rPr/>
        <w:t>had</w:t>
      </w:r>
      <w:r>
        <w:rPr>
          <w:spacing w:val="-2"/>
        </w:rPr>
        <w:t> </w:t>
      </w:r>
      <w:r>
        <w:rPr/>
        <w:t>a</w:t>
      </w:r>
      <w:r>
        <w:rPr>
          <w:spacing w:val="-3"/>
        </w:rPr>
        <w:t> </w:t>
      </w:r>
      <w:r>
        <w:rPr/>
        <w:t>total</w:t>
      </w:r>
      <w:r>
        <w:rPr>
          <w:spacing w:val="-4"/>
        </w:rPr>
        <w:t> </w:t>
      </w:r>
      <w:r>
        <w:rPr/>
        <w:t>of 26</w:t>
      </w:r>
      <w:r>
        <w:rPr>
          <w:spacing w:val="-2"/>
        </w:rPr>
        <w:t> </w:t>
      </w:r>
      <w:r>
        <w:rPr/>
        <w:t>staff</w:t>
      </w:r>
      <w:r>
        <w:rPr>
          <w:spacing w:val="-3"/>
        </w:rPr>
        <w:t> </w:t>
      </w:r>
      <w:r>
        <w:rPr/>
        <w:t>conducting</w:t>
      </w:r>
      <w:r>
        <w:rPr>
          <w:spacing w:val="-2"/>
        </w:rPr>
        <w:t> </w:t>
      </w:r>
      <w:r>
        <w:rPr/>
        <w:t>audits</w:t>
      </w:r>
      <w:r>
        <w:rPr>
          <w:spacing w:val="-4"/>
        </w:rPr>
        <w:t> </w:t>
      </w:r>
      <w:r>
        <w:rPr/>
        <w:t>and</w:t>
      </w:r>
      <w:r>
        <w:rPr>
          <w:spacing w:val="-2"/>
        </w:rPr>
        <w:t> </w:t>
      </w:r>
      <w:r>
        <w:rPr/>
        <w:t>inspections</w:t>
      </w:r>
      <w:r>
        <w:rPr>
          <w:spacing w:val="-4"/>
        </w:rPr>
        <w:t> </w:t>
      </w:r>
      <w:r>
        <w:rPr/>
        <w:t>for</w:t>
      </w:r>
      <w:r>
        <w:rPr>
          <w:spacing w:val="-6"/>
        </w:rPr>
        <w:t> </w:t>
      </w:r>
      <w:r>
        <w:rPr/>
        <w:t>gas and electricity network infrastructure. In addition to ESV resources conducting Electric Line Clearance Management Plan and Bushfire Mitigation Plan audits, ESV also engaged an external provider for field audits of these plans.</w:t>
      </w:r>
    </w:p>
    <w:p>
      <w:pPr>
        <w:pStyle w:val="BodyText"/>
        <w:spacing w:before="5"/>
        <w:rPr>
          <w:sz w:val="20"/>
        </w:rPr>
      </w:pPr>
    </w:p>
    <w:tbl>
      <w:tblPr>
        <w:tblW w:w="0" w:type="auto"/>
        <w:jc w:val="left"/>
        <w:tblInd w:w="60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top w:w="0" w:type="dxa"/>
          <w:left w:w="0" w:type="dxa"/>
          <w:bottom w:w="0" w:type="dxa"/>
          <w:right w:w="0" w:type="dxa"/>
        </w:tblCellMar>
        <w:tblLook w:val="01E0"/>
      </w:tblPr>
      <w:tblGrid>
        <w:gridCol w:w="283"/>
        <w:gridCol w:w="2549"/>
        <w:gridCol w:w="1020"/>
        <w:gridCol w:w="1020"/>
        <w:gridCol w:w="1023"/>
        <w:gridCol w:w="1020"/>
        <w:gridCol w:w="1023"/>
        <w:gridCol w:w="1020"/>
        <w:gridCol w:w="285"/>
      </w:tblGrid>
      <w:tr>
        <w:trPr>
          <w:trHeight w:val="1327" w:hRule="atLeast"/>
        </w:trPr>
        <w:tc>
          <w:tcPr>
            <w:tcW w:w="9243" w:type="dxa"/>
            <w:gridSpan w:val="9"/>
            <w:tcBorders>
              <w:top w:val="nil"/>
              <w:left w:val="nil"/>
              <w:bottom w:val="nil"/>
              <w:right w:val="nil"/>
            </w:tcBorders>
            <w:shd w:val="clear" w:color="auto" w:fill="CDEBEB"/>
          </w:tcPr>
          <w:p>
            <w:pPr>
              <w:pStyle w:val="TableParagraph"/>
              <w:spacing w:before="10"/>
              <w:rPr>
                <w:sz w:val="20"/>
              </w:rPr>
            </w:pPr>
          </w:p>
          <w:p>
            <w:pPr>
              <w:pStyle w:val="TableParagraph"/>
              <w:ind w:left="112"/>
              <w:rPr>
                <w:rFonts w:ascii="Arial-BoldItalicMT"/>
                <w:b/>
                <w:i/>
                <w:sz w:val="22"/>
              </w:rPr>
            </w:pPr>
            <w:r>
              <w:rPr>
                <w:b/>
                <w:sz w:val="22"/>
              </w:rPr>
              <w:t>Box</w:t>
            </w:r>
            <w:r>
              <w:rPr>
                <w:b/>
                <w:spacing w:val="-7"/>
                <w:sz w:val="22"/>
              </w:rPr>
              <w:t> </w:t>
            </w:r>
            <w:r>
              <w:rPr>
                <w:b/>
                <w:sz w:val="22"/>
              </w:rPr>
              <w:t>11: Activity</w:t>
            </w:r>
            <w:r>
              <w:rPr>
                <w:b/>
                <w:spacing w:val="-8"/>
                <w:sz w:val="22"/>
              </w:rPr>
              <w:t> </w:t>
            </w:r>
            <w:r>
              <w:rPr>
                <w:b/>
                <w:sz w:val="22"/>
              </w:rPr>
              <w:t>and</w:t>
            </w:r>
            <w:r>
              <w:rPr>
                <w:b/>
                <w:spacing w:val="-4"/>
                <w:sz w:val="22"/>
              </w:rPr>
              <w:t> </w:t>
            </w:r>
            <w:r>
              <w:rPr>
                <w:b/>
                <w:sz w:val="22"/>
              </w:rPr>
              <w:t>performance</w:t>
            </w:r>
            <w:r>
              <w:rPr>
                <w:b/>
                <w:spacing w:val="-6"/>
                <w:sz w:val="22"/>
              </w:rPr>
              <w:t> </w:t>
            </w:r>
            <w:r>
              <w:rPr>
                <w:b/>
                <w:sz w:val="22"/>
              </w:rPr>
              <w:t>reporting</w:t>
            </w:r>
            <w:r>
              <w:rPr>
                <w:b/>
                <w:spacing w:val="-3"/>
                <w:sz w:val="22"/>
              </w:rPr>
              <w:t> </w:t>
            </w:r>
            <w:r>
              <w:rPr>
                <w:b/>
                <w:sz w:val="22"/>
              </w:rPr>
              <w:t>by</w:t>
            </w:r>
            <w:r>
              <w:rPr>
                <w:b/>
                <w:spacing w:val="-6"/>
                <w:sz w:val="22"/>
              </w:rPr>
              <w:t> </w:t>
            </w:r>
            <w:r>
              <w:rPr>
                <w:b/>
                <w:sz w:val="22"/>
              </w:rPr>
              <w:t>ESV</w:t>
            </w:r>
            <w:r>
              <w:rPr>
                <w:b/>
                <w:spacing w:val="-5"/>
                <w:sz w:val="22"/>
              </w:rPr>
              <w:t> </w:t>
            </w:r>
            <w:r>
              <w:rPr>
                <w:b/>
                <w:sz w:val="22"/>
              </w:rPr>
              <w:t>in</w:t>
            </w:r>
            <w:r>
              <w:rPr>
                <w:b/>
                <w:spacing w:val="-6"/>
                <w:sz w:val="22"/>
              </w:rPr>
              <w:t> </w:t>
            </w:r>
            <w:r>
              <w:rPr>
                <w:b/>
                <w:sz w:val="22"/>
              </w:rPr>
              <w:t>its</w:t>
            </w:r>
            <w:r>
              <w:rPr>
                <w:b/>
                <w:spacing w:val="-3"/>
                <w:sz w:val="22"/>
              </w:rPr>
              <w:t> </w:t>
            </w:r>
            <w:r>
              <w:rPr>
                <w:rFonts w:ascii="Arial-BoldItalicMT"/>
                <w:b/>
                <w:i/>
                <w:sz w:val="22"/>
              </w:rPr>
              <w:t>Annual</w:t>
            </w:r>
            <w:r>
              <w:rPr>
                <w:rFonts w:ascii="Arial-BoldItalicMT"/>
                <w:b/>
                <w:i/>
                <w:spacing w:val="-2"/>
                <w:sz w:val="22"/>
              </w:rPr>
              <w:t> </w:t>
            </w:r>
            <w:r>
              <w:rPr>
                <w:rFonts w:ascii="Arial-BoldItalicMT"/>
                <w:b/>
                <w:i/>
                <w:sz w:val="22"/>
              </w:rPr>
              <w:t>Report</w:t>
            </w:r>
            <w:r>
              <w:rPr>
                <w:rFonts w:ascii="Arial-BoldItalicMT"/>
                <w:b/>
                <w:i/>
                <w:spacing w:val="-3"/>
                <w:sz w:val="22"/>
              </w:rPr>
              <w:t> </w:t>
            </w:r>
            <w:r>
              <w:rPr>
                <w:rFonts w:ascii="Arial-BoldItalicMT"/>
                <w:b/>
                <w:i/>
                <w:sz w:val="22"/>
              </w:rPr>
              <w:t>2016-</w:t>
            </w:r>
            <w:r>
              <w:rPr>
                <w:rFonts w:ascii="Arial-BoldItalicMT"/>
                <w:b/>
                <w:i/>
                <w:spacing w:val="-5"/>
                <w:sz w:val="22"/>
              </w:rPr>
              <w:t>17</w:t>
            </w:r>
          </w:p>
          <w:p>
            <w:pPr>
              <w:pStyle w:val="TableParagraph"/>
              <w:spacing w:before="4"/>
              <w:rPr>
                <w:sz w:val="25"/>
              </w:rPr>
            </w:pPr>
          </w:p>
          <w:p>
            <w:pPr>
              <w:pStyle w:val="TableParagraph"/>
              <w:ind w:left="112"/>
              <w:rPr>
                <w:sz w:val="22"/>
              </w:rPr>
            </w:pPr>
            <w:r>
              <w:rPr>
                <w:sz w:val="22"/>
              </w:rPr>
              <w:t>ELECTRICITY</w:t>
            </w:r>
            <w:r>
              <w:rPr>
                <w:spacing w:val="-15"/>
                <w:sz w:val="22"/>
              </w:rPr>
              <w:t> </w:t>
            </w:r>
            <w:r>
              <w:rPr>
                <w:sz w:val="22"/>
              </w:rPr>
              <w:t>INFRASTRUCTURE</w:t>
            </w:r>
            <w:r>
              <w:rPr>
                <w:spacing w:val="-12"/>
                <w:sz w:val="22"/>
              </w:rPr>
              <w:t> </w:t>
            </w:r>
            <w:r>
              <w:rPr>
                <w:spacing w:val="-2"/>
                <w:sz w:val="22"/>
              </w:rPr>
              <w:t>COMPLIANCE</w:t>
            </w:r>
          </w:p>
        </w:tc>
      </w:tr>
      <w:tr>
        <w:trPr>
          <w:trHeight w:val="671" w:hRule="atLeast"/>
        </w:trPr>
        <w:tc>
          <w:tcPr>
            <w:tcW w:w="283" w:type="dxa"/>
            <w:vMerge w:val="restart"/>
            <w:tcBorders>
              <w:top w:val="nil"/>
              <w:left w:val="nil"/>
              <w:bottom w:val="nil"/>
            </w:tcBorders>
            <w:shd w:val="clear" w:color="auto" w:fill="CDEBEB"/>
          </w:tcPr>
          <w:p>
            <w:pPr>
              <w:pStyle w:val="TableParagraph"/>
              <w:rPr>
                <w:rFonts w:ascii="Times New Roman"/>
                <w:sz w:val="20"/>
              </w:rPr>
            </w:pPr>
          </w:p>
        </w:tc>
        <w:tc>
          <w:tcPr>
            <w:tcW w:w="2549" w:type="dxa"/>
            <w:tcBorders>
              <w:top w:val="single" w:sz="4" w:space="0" w:color="D9D9D9"/>
              <w:left w:val="single" w:sz="4" w:space="0" w:color="D9D9D9"/>
              <w:bottom w:val="single" w:sz="4" w:space="0" w:color="D9D9D9"/>
              <w:right w:val="single" w:sz="4" w:space="0" w:color="D9D9D9"/>
            </w:tcBorders>
            <w:shd w:val="clear" w:color="auto" w:fill="A6A6A6"/>
          </w:tcPr>
          <w:p>
            <w:pPr>
              <w:pStyle w:val="TableParagraph"/>
              <w:spacing w:before="3"/>
              <w:rPr>
                <w:sz w:val="17"/>
              </w:rPr>
            </w:pPr>
          </w:p>
          <w:p>
            <w:pPr>
              <w:pStyle w:val="TableParagraph"/>
              <w:ind w:left="107"/>
              <w:rPr>
                <w:b/>
                <w:sz w:val="20"/>
              </w:rPr>
            </w:pPr>
            <w:r>
              <w:rPr>
                <w:b/>
                <w:color w:val="FFFFFF"/>
                <w:sz w:val="20"/>
              </w:rPr>
              <w:t>Measure-</w:t>
            </w:r>
            <w:r>
              <w:rPr>
                <w:b/>
                <w:color w:val="FFFFFF"/>
                <w:spacing w:val="-11"/>
                <w:sz w:val="20"/>
              </w:rPr>
              <w:t> </w:t>
            </w:r>
            <w:r>
              <w:rPr>
                <w:b/>
                <w:color w:val="FFFFFF"/>
                <w:spacing w:val="-2"/>
                <w:sz w:val="20"/>
              </w:rPr>
              <w:t>numbers</w:t>
            </w:r>
          </w:p>
        </w:tc>
        <w:tc>
          <w:tcPr>
            <w:tcW w:w="1020" w:type="dxa"/>
            <w:tcBorders>
              <w:top w:val="single" w:sz="4" w:space="0" w:color="D9D9D9"/>
              <w:left w:val="single" w:sz="4" w:space="0" w:color="D9D9D9"/>
              <w:bottom w:val="single" w:sz="4" w:space="0" w:color="D9D9D9"/>
              <w:right w:val="single" w:sz="4" w:space="0" w:color="D9D9D9"/>
            </w:tcBorders>
            <w:shd w:val="clear" w:color="auto" w:fill="A6A6A6"/>
          </w:tcPr>
          <w:p>
            <w:pPr>
              <w:pStyle w:val="TableParagraph"/>
              <w:spacing w:line="288" w:lineRule="auto" w:before="59"/>
              <w:ind w:left="113" w:right="112"/>
              <w:rPr>
                <w:b/>
                <w:sz w:val="20"/>
              </w:rPr>
            </w:pPr>
            <w:r>
              <w:rPr>
                <w:b/>
                <w:color w:val="FFFFFF"/>
                <w:spacing w:val="-2"/>
                <w:sz w:val="20"/>
              </w:rPr>
              <w:t>Target 2016–17</w:t>
            </w:r>
          </w:p>
        </w:tc>
        <w:tc>
          <w:tcPr>
            <w:tcW w:w="1020" w:type="dxa"/>
            <w:tcBorders>
              <w:top w:val="single" w:sz="4" w:space="0" w:color="D9D9D9"/>
              <w:left w:val="single" w:sz="4" w:space="0" w:color="D9D9D9"/>
              <w:bottom w:val="single" w:sz="4" w:space="0" w:color="D9D9D9"/>
              <w:right w:val="single" w:sz="4" w:space="0" w:color="D9D9D9"/>
            </w:tcBorders>
            <w:shd w:val="clear" w:color="auto" w:fill="A6A6A6"/>
          </w:tcPr>
          <w:p>
            <w:pPr>
              <w:pStyle w:val="TableParagraph"/>
              <w:spacing w:before="59"/>
              <w:ind w:left="113"/>
              <w:rPr>
                <w:b/>
                <w:sz w:val="20"/>
              </w:rPr>
            </w:pPr>
            <w:r>
              <w:rPr>
                <w:b/>
                <w:color w:val="FFFFFF"/>
                <w:spacing w:val="-2"/>
                <w:sz w:val="20"/>
              </w:rPr>
              <w:t>2013–14</w:t>
            </w:r>
          </w:p>
          <w:p>
            <w:pPr>
              <w:pStyle w:val="TableParagraph"/>
              <w:spacing w:before="46"/>
              <w:ind w:left="113"/>
              <w:rPr>
                <w:b/>
                <w:sz w:val="20"/>
              </w:rPr>
            </w:pPr>
            <w:r>
              <w:rPr>
                <w:b/>
                <w:color w:val="FFFFFF"/>
                <w:spacing w:val="-2"/>
                <w:sz w:val="20"/>
              </w:rPr>
              <w:t>Result</w:t>
            </w:r>
          </w:p>
        </w:tc>
        <w:tc>
          <w:tcPr>
            <w:tcW w:w="1023" w:type="dxa"/>
            <w:tcBorders>
              <w:top w:val="single" w:sz="4" w:space="0" w:color="D9D9D9"/>
              <w:left w:val="single" w:sz="4" w:space="0" w:color="D9D9D9"/>
              <w:bottom w:val="single" w:sz="4" w:space="0" w:color="D9D9D9"/>
              <w:right w:val="single" w:sz="4" w:space="0" w:color="D9D9D9"/>
            </w:tcBorders>
            <w:shd w:val="clear" w:color="auto" w:fill="A6A6A6"/>
          </w:tcPr>
          <w:p>
            <w:pPr>
              <w:pStyle w:val="TableParagraph"/>
              <w:spacing w:before="59"/>
              <w:ind w:left="113"/>
              <w:rPr>
                <w:b/>
                <w:sz w:val="20"/>
              </w:rPr>
            </w:pPr>
            <w:r>
              <w:rPr>
                <w:b/>
                <w:color w:val="FFFFFF"/>
                <w:spacing w:val="-2"/>
                <w:sz w:val="20"/>
              </w:rPr>
              <w:t>2014–15</w:t>
            </w:r>
          </w:p>
          <w:p>
            <w:pPr>
              <w:pStyle w:val="TableParagraph"/>
              <w:spacing w:before="46"/>
              <w:ind w:left="113"/>
              <w:rPr>
                <w:b/>
                <w:sz w:val="20"/>
              </w:rPr>
            </w:pPr>
            <w:r>
              <w:rPr>
                <w:b/>
                <w:color w:val="FFFFFF"/>
                <w:spacing w:val="-2"/>
                <w:sz w:val="20"/>
              </w:rPr>
              <w:t>Result</w:t>
            </w:r>
          </w:p>
        </w:tc>
        <w:tc>
          <w:tcPr>
            <w:tcW w:w="1020" w:type="dxa"/>
            <w:tcBorders>
              <w:top w:val="single" w:sz="4" w:space="0" w:color="D9D9D9"/>
              <w:left w:val="single" w:sz="4" w:space="0" w:color="D9D9D9"/>
              <w:bottom w:val="single" w:sz="4" w:space="0" w:color="D9D9D9"/>
              <w:right w:val="single" w:sz="4" w:space="0" w:color="D9D9D9"/>
            </w:tcBorders>
            <w:shd w:val="clear" w:color="auto" w:fill="A6A6A6"/>
          </w:tcPr>
          <w:p>
            <w:pPr>
              <w:pStyle w:val="TableParagraph"/>
              <w:spacing w:before="59"/>
              <w:ind w:left="112"/>
              <w:rPr>
                <w:b/>
                <w:sz w:val="20"/>
              </w:rPr>
            </w:pPr>
            <w:r>
              <w:rPr>
                <w:b/>
                <w:color w:val="FFFFFF"/>
                <w:spacing w:val="-2"/>
                <w:sz w:val="20"/>
              </w:rPr>
              <w:t>2015–16</w:t>
            </w:r>
          </w:p>
          <w:p>
            <w:pPr>
              <w:pStyle w:val="TableParagraph"/>
              <w:spacing w:before="46"/>
              <w:ind w:left="112"/>
              <w:rPr>
                <w:b/>
                <w:sz w:val="20"/>
              </w:rPr>
            </w:pPr>
            <w:r>
              <w:rPr>
                <w:b/>
                <w:color w:val="FFFFFF"/>
                <w:spacing w:val="-2"/>
                <w:sz w:val="20"/>
              </w:rPr>
              <w:t>Result</w:t>
            </w:r>
          </w:p>
        </w:tc>
        <w:tc>
          <w:tcPr>
            <w:tcW w:w="1023" w:type="dxa"/>
            <w:tcBorders>
              <w:top w:val="single" w:sz="4" w:space="0" w:color="D9D9D9"/>
              <w:left w:val="single" w:sz="4" w:space="0" w:color="D9D9D9"/>
              <w:bottom w:val="single" w:sz="4" w:space="0" w:color="D9D9D9"/>
              <w:right w:val="single" w:sz="4" w:space="0" w:color="D9D9D9"/>
            </w:tcBorders>
            <w:shd w:val="clear" w:color="auto" w:fill="A6A6A6"/>
          </w:tcPr>
          <w:p>
            <w:pPr>
              <w:pStyle w:val="TableParagraph"/>
              <w:spacing w:before="59"/>
              <w:ind w:left="112"/>
              <w:rPr>
                <w:b/>
                <w:sz w:val="20"/>
              </w:rPr>
            </w:pPr>
            <w:r>
              <w:rPr>
                <w:b/>
                <w:color w:val="FFFFFF"/>
                <w:spacing w:val="-2"/>
                <w:sz w:val="20"/>
              </w:rPr>
              <w:t>2016–17</w:t>
            </w:r>
          </w:p>
          <w:p>
            <w:pPr>
              <w:pStyle w:val="TableParagraph"/>
              <w:spacing w:before="46"/>
              <w:ind w:left="112"/>
              <w:rPr>
                <w:b/>
                <w:sz w:val="20"/>
              </w:rPr>
            </w:pPr>
            <w:r>
              <w:rPr>
                <w:b/>
                <w:color w:val="FFFFFF"/>
                <w:spacing w:val="-2"/>
                <w:sz w:val="20"/>
              </w:rPr>
              <w:t>Result</w:t>
            </w:r>
          </w:p>
        </w:tc>
        <w:tc>
          <w:tcPr>
            <w:tcW w:w="1020" w:type="dxa"/>
            <w:tcBorders>
              <w:top w:val="single" w:sz="4" w:space="0" w:color="D9D9D9"/>
              <w:left w:val="single" w:sz="4" w:space="0" w:color="D9D9D9"/>
              <w:bottom w:val="single" w:sz="4" w:space="0" w:color="D9D9D9"/>
              <w:right w:val="single" w:sz="4" w:space="0" w:color="D9D9D9"/>
            </w:tcBorders>
            <w:shd w:val="clear" w:color="auto" w:fill="A6A6A6"/>
          </w:tcPr>
          <w:p>
            <w:pPr>
              <w:pStyle w:val="TableParagraph"/>
              <w:spacing w:before="3"/>
              <w:rPr>
                <w:sz w:val="17"/>
              </w:rPr>
            </w:pPr>
          </w:p>
          <w:p>
            <w:pPr>
              <w:pStyle w:val="TableParagraph"/>
              <w:ind w:left="98" w:right="96"/>
              <w:jc w:val="center"/>
              <w:rPr>
                <w:b/>
                <w:sz w:val="20"/>
              </w:rPr>
            </w:pPr>
            <w:r>
              <w:rPr>
                <w:b/>
                <w:color w:val="FFFFFF"/>
                <w:spacing w:val="-2"/>
                <w:sz w:val="20"/>
              </w:rPr>
              <w:t>Average</w:t>
            </w:r>
          </w:p>
        </w:tc>
        <w:tc>
          <w:tcPr>
            <w:tcW w:w="285" w:type="dxa"/>
            <w:vMerge w:val="restart"/>
            <w:tcBorders>
              <w:top w:val="nil"/>
              <w:bottom w:val="nil"/>
              <w:right w:val="nil"/>
            </w:tcBorders>
            <w:shd w:val="clear" w:color="auto" w:fill="CDEBEB"/>
          </w:tcPr>
          <w:p>
            <w:pPr>
              <w:pStyle w:val="TableParagraph"/>
              <w:rPr>
                <w:rFonts w:ascii="Times New Roman"/>
                <w:sz w:val="20"/>
              </w:rPr>
            </w:pPr>
          </w:p>
        </w:tc>
      </w:tr>
      <w:tr>
        <w:trPr>
          <w:trHeight w:val="703" w:hRule="atLeast"/>
        </w:trPr>
        <w:tc>
          <w:tcPr>
            <w:tcW w:w="283" w:type="dxa"/>
            <w:vMerge/>
            <w:tcBorders>
              <w:top w:val="nil"/>
              <w:left w:val="nil"/>
              <w:bottom w:val="nil"/>
            </w:tcBorders>
            <w:shd w:val="clear" w:color="auto" w:fill="CDEBEB"/>
          </w:tcPr>
          <w:p>
            <w:pPr>
              <w:rPr>
                <w:sz w:val="2"/>
                <w:szCs w:val="2"/>
              </w:rPr>
            </w:pPr>
          </w:p>
        </w:tc>
        <w:tc>
          <w:tcPr>
            <w:tcW w:w="2549" w:type="dxa"/>
            <w:tcBorders>
              <w:top w:val="single" w:sz="4" w:space="0" w:color="D9D9D9"/>
            </w:tcBorders>
            <w:shd w:val="clear" w:color="auto" w:fill="FFFFFF"/>
          </w:tcPr>
          <w:p>
            <w:pPr>
              <w:pStyle w:val="TableParagraph"/>
              <w:spacing w:line="288" w:lineRule="auto" w:before="62"/>
              <w:ind w:left="107"/>
              <w:rPr>
                <w:sz w:val="20"/>
              </w:rPr>
            </w:pPr>
            <w:r>
              <w:rPr>
                <w:sz w:val="20"/>
              </w:rPr>
              <w:t>Electric</w:t>
            </w:r>
            <w:r>
              <w:rPr>
                <w:spacing w:val="-14"/>
                <w:sz w:val="20"/>
              </w:rPr>
              <w:t> </w:t>
            </w:r>
            <w:r>
              <w:rPr>
                <w:sz w:val="20"/>
              </w:rPr>
              <w:t>Line</w:t>
            </w:r>
            <w:r>
              <w:rPr>
                <w:spacing w:val="-14"/>
                <w:sz w:val="20"/>
              </w:rPr>
              <w:t> </w:t>
            </w:r>
            <w:r>
              <w:rPr>
                <w:sz w:val="20"/>
              </w:rPr>
              <w:t>Clearance plans approved</w:t>
            </w:r>
          </w:p>
        </w:tc>
        <w:tc>
          <w:tcPr>
            <w:tcW w:w="1020" w:type="dxa"/>
            <w:tcBorders>
              <w:top w:val="single" w:sz="4" w:space="0" w:color="D9D9D9"/>
            </w:tcBorders>
            <w:shd w:val="clear" w:color="auto" w:fill="FFFFFF"/>
          </w:tcPr>
          <w:p>
            <w:pPr>
              <w:pStyle w:val="TableParagraph"/>
              <w:spacing w:before="62"/>
              <w:ind w:left="1"/>
              <w:jc w:val="center"/>
              <w:rPr>
                <w:sz w:val="22"/>
              </w:rPr>
            </w:pPr>
            <w:r>
              <w:rPr>
                <w:w w:val="100"/>
                <w:sz w:val="22"/>
              </w:rPr>
              <w:t>–</w:t>
            </w:r>
          </w:p>
        </w:tc>
        <w:tc>
          <w:tcPr>
            <w:tcW w:w="1020" w:type="dxa"/>
            <w:tcBorders>
              <w:top w:val="single" w:sz="4" w:space="0" w:color="D9D9D9"/>
            </w:tcBorders>
            <w:shd w:val="clear" w:color="auto" w:fill="FFFFFF"/>
          </w:tcPr>
          <w:p>
            <w:pPr>
              <w:pStyle w:val="TableParagraph"/>
              <w:spacing w:before="62"/>
              <w:ind w:left="95" w:right="96"/>
              <w:jc w:val="center"/>
              <w:rPr>
                <w:sz w:val="20"/>
              </w:rPr>
            </w:pPr>
            <w:r>
              <w:rPr>
                <w:spacing w:val="-5"/>
                <w:sz w:val="20"/>
              </w:rPr>
              <w:t>29</w:t>
            </w:r>
          </w:p>
        </w:tc>
        <w:tc>
          <w:tcPr>
            <w:tcW w:w="1023" w:type="dxa"/>
            <w:tcBorders>
              <w:top w:val="single" w:sz="4" w:space="0" w:color="D9D9D9"/>
            </w:tcBorders>
            <w:shd w:val="clear" w:color="auto" w:fill="FFFFFF"/>
          </w:tcPr>
          <w:p>
            <w:pPr>
              <w:pStyle w:val="TableParagraph"/>
              <w:spacing w:before="62"/>
              <w:ind w:left="271" w:right="272"/>
              <w:jc w:val="center"/>
              <w:rPr>
                <w:sz w:val="20"/>
              </w:rPr>
            </w:pPr>
            <w:r>
              <w:rPr>
                <w:spacing w:val="-5"/>
                <w:sz w:val="20"/>
              </w:rPr>
              <w:t>28</w:t>
            </w:r>
          </w:p>
        </w:tc>
        <w:tc>
          <w:tcPr>
            <w:tcW w:w="1020" w:type="dxa"/>
            <w:tcBorders>
              <w:top w:val="single" w:sz="4" w:space="0" w:color="D9D9D9"/>
            </w:tcBorders>
            <w:shd w:val="clear" w:color="auto" w:fill="FFFFFF"/>
          </w:tcPr>
          <w:p>
            <w:pPr>
              <w:pStyle w:val="TableParagraph"/>
              <w:spacing w:before="62"/>
              <w:ind w:left="95" w:right="96"/>
              <w:jc w:val="center"/>
              <w:rPr>
                <w:sz w:val="20"/>
              </w:rPr>
            </w:pPr>
            <w:r>
              <w:rPr>
                <w:spacing w:val="-5"/>
                <w:sz w:val="20"/>
              </w:rPr>
              <w:t>45</w:t>
            </w:r>
          </w:p>
        </w:tc>
        <w:tc>
          <w:tcPr>
            <w:tcW w:w="1023" w:type="dxa"/>
            <w:tcBorders>
              <w:top w:val="single" w:sz="4" w:space="0" w:color="D9D9D9"/>
            </w:tcBorders>
            <w:shd w:val="clear" w:color="auto" w:fill="FFFFFF"/>
          </w:tcPr>
          <w:p>
            <w:pPr>
              <w:pStyle w:val="TableParagraph"/>
              <w:spacing w:before="62"/>
              <w:ind w:left="271" w:right="273"/>
              <w:jc w:val="center"/>
              <w:rPr>
                <w:sz w:val="20"/>
              </w:rPr>
            </w:pPr>
            <w:r>
              <w:rPr>
                <w:spacing w:val="-5"/>
                <w:sz w:val="20"/>
              </w:rPr>
              <w:t>38</w:t>
            </w:r>
          </w:p>
        </w:tc>
        <w:tc>
          <w:tcPr>
            <w:tcW w:w="1020" w:type="dxa"/>
            <w:tcBorders>
              <w:top w:val="single" w:sz="4" w:space="0" w:color="D9D9D9"/>
            </w:tcBorders>
            <w:shd w:val="clear" w:color="auto" w:fill="D9D9D9"/>
          </w:tcPr>
          <w:p>
            <w:pPr>
              <w:pStyle w:val="TableParagraph"/>
              <w:spacing w:before="62"/>
              <w:ind w:left="98" w:right="95"/>
              <w:jc w:val="center"/>
              <w:rPr>
                <w:sz w:val="20"/>
              </w:rPr>
            </w:pPr>
            <w:r>
              <w:rPr>
                <w:spacing w:val="-5"/>
                <w:sz w:val="20"/>
              </w:rPr>
              <w:t>35</w:t>
            </w:r>
          </w:p>
        </w:tc>
        <w:tc>
          <w:tcPr>
            <w:tcW w:w="285" w:type="dxa"/>
            <w:vMerge/>
            <w:tcBorders>
              <w:top w:val="nil"/>
              <w:bottom w:val="nil"/>
              <w:right w:val="nil"/>
            </w:tcBorders>
            <w:shd w:val="clear" w:color="auto" w:fill="CDEBEB"/>
          </w:tcPr>
          <w:p>
            <w:pPr>
              <w:rPr>
                <w:sz w:val="2"/>
                <w:szCs w:val="2"/>
              </w:rPr>
            </w:pPr>
          </w:p>
        </w:tc>
      </w:tr>
      <w:tr>
        <w:trPr>
          <w:trHeight w:val="671" w:hRule="atLeast"/>
        </w:trPr>
        <w:tc>
          <w:tcPr>
            <w:tcW w:w="283" w:type="dxa"/>
            <w:vMerge/>
            <w:tcBorders>
              <w:top w:val="nil"/>
              <w:left w:val="nil"/>
              <w:bottom w:val="nil"/>
            </w:tcBorders>
            <w:shd w:val="clear" w:color="auto" w:fill="CDEBEB"/>
          </w:tcPr>
          <w:p>
            <w:pPr>
              <w:rPr>
                <w:sz w:val="2"/>
                <w:szCs w:val="2"/>
              </w:rPr>
            </w:pPr>
          </w:p>
        </w:tc>
        <w:tc>
          <w:tcPr>
            <w:tcW w:w="2549" w:type="dxa"/>
            <w:shd w:val="clear" w:color="auto" w:fill="FFFFFF"/>
          </w:tcPr>
          <w:p>
            <w:pPr>
              <w:pStyle w:val="TableParagraph"/>
              <w:spacing w:line="288" w:lineRule="auto" w:before="59"/>
              <w:ind w:left="107"/>
              <w:rPr>
                <w:sz w:val="20"/>
              </w:rPr>
            </w:pPr>
            <w:r>
              <w:rPr>
                <w:sz w:val="20"/>
              </w:rPr>
              <w:t>Bushfire</w:t>
            </w:r>
            <w:r>
              <w:rPr>
                <w:spacing w:val="-14"/>
                <w:sz w:val="20"/>
              </w:rPr>
              <w:t> </w:t>
            </w:r>
            <w:r>
              <w:rPr>
                <w:sz w:val="20"/>
              </w:rPr>
              <w:t>Mitigation</w:t>
            </w:r>
            <w:r>
              <w:rPr>
                <w:spacing w:val="-14"/>
                <w:sz w:val="20"/>
              </w:rPr>
              <w:t> </w:t>
            </w:r>
            <w:r>
              <w:rPr>
                <w:sz w:val="20"/>
              </w:rPr>
              <w:t>plans </w:t>
            </w:r>
            <w:r>
              <w:rPr>
                <w:spacing w:val="-2"/>
                <w:sz w:val="20"/>
              </w:rPr>
              <w:t>accepted</w:t>
            </w:r>
          </w:p>
        </w:tc>
        <w:tc>
          <w:tcPr>
            <w:tcW w:w="1020" w:type="dxa"/>
            <w:shd w:val="clear" w:color="auto" w:fill="FFFFFF"/>
          </w:tcPr>
          <w:p>
            <w:pPr>
              <w:pStyle w:val="TableParagraph"/>
              <w:spacing w:before="60"/>
              <w:ind w:left="1"/>
              <w:jc w:val="center"/>
              <w:rPr>
                <w:sz w:val="22"/>
              </w:rPr>
            </w:pPr>
            <w:r>
              <w:rPr>
                <w:w w:val="100"/>
                <w:sz w:val="22"/>
              </w:rPr>
              <w:t>–</w:t>
            </w:r>
          </w:p>
        </w:tc>
        <w:tc>
          <w:tcPr>
            <w:tcW w:w="1020" w:type="dxa"/>
            <w:shd w:val="clear" w:color="auto" w:fill="FFFFFF"/>
          </w:tcPr>
          <w:p>
            <w:pPr>
              <w:pStyle w:val="TableParagraph"/>
              <w:spacing w:before="59"/>
              <w:ind w:left="95" w:right="96"/>
              <w:jc w:val="center"/>
              <w:rPr>
                <w:sz w:val="20"/>
              </w:rPr>
            </w:pPr>
            <w:r>
              <w:rPr>
                <w:spacing w:val="-5"/>
                <w:sz w:val="20"/>
              </w:rPr>
              <w:t>15</w:t>
            </w:r>
          </w:p>
        </w:tc>
        <w:tc>
          <w:tcPr>
            <w:tcW w:w="1023" w:type="dxa"/>
            <w:shd w:val="clear" w:color="auto" w:fill="FFFFFF"/>
          </w:tcPr>
          <w:p>
            <w:pPr>
              <w:pStyle w:val="TableParagraph"/>
              <w:spacing w:before="59"/>
              <w:ind w:left="271" w:right="272"/>
              <w:jc w:val="center"/>
              <w:rPr>
                <w:sz w:val="20"/>
              </w:rPr>
            </w:pPr>
            <w:r>
              <w:rPr>
                <w:spacing w:val="-5"/>
                <w:sz w:val="20"/>
              </w:rPr>
              <w:t>15</w:t>
            </w:r>
          </w:p>
        </w:tc>
        <w:tc>
          <w:tcPr>
            <w:tcW w:w="1020" w:type="dxa"/>
            <w:shd w:val="clear" w:color="auto" w:fill="FFFFFF"/>
          </w:tcPr>
          <w:p>
            <w:pPr>
              <w:pStyle w:val="TableParagraph"/>
              <w:spacing w:before="59"/>
              <w:ind w:right="1"/>
              <w:jc w:val="center"/>
              <w:rPr>
                <w:sz w:val="20"/>
              </w:rPr>
            </w:pPr>
            <w:r>
              <w:rPr>
                <w:w w:val="99"/>
                <w:sz w:val="20"/>
              </w:rPr>
              <w:t>6</w:t>
            </w:r>
          </w:p>
        </w:tc>
        <w:tc>
          <w:tcPr>
            <w:tcW w:w="1023" w:type="dxa"/>
            <w:shd w:val="clear" w:color="auto" w:fill="FFFFFF"/>
          </w:tcPr>
          <w:p>
            <w:pPr>
              <w:pStyle w:val="TableParagraph"/>
              <w:spacing w:before="59"/>
              <w:ind w:left="271" w:right="273"/>
              <w:jc w:val="center"/>
              <w:rPr>
                <w:sz w:val="20"/>
              </w:rPr>
            </w:pPr>
            <w:r>
              <w:rPr>
                <w:spacing w:val="-5"/>
                <w:sz w:val="20"/>
              </w:rPr>
              <w:t>22</w:t>
            </w:r>
          </w:p>
        </w:tc>
        <w:tc>
          <w:tcPr>
            <w:tcW w:w="1020" w:type="dxa"/>
            <w:shd w:val="clear" w:color="auto" w:fill="D9D9D9"/>
          </w:tcPr>
          <w:p>
            <w:pPr>
              <w:pStyle w:val="TableParagraph"/>
              <w:spacing w:before="59"/>
              <w:ind w:left="98" w:right="95"/>
              <w:jc w:val="center"/>
              <w:rPr>
                <w:sz w:val="20"/>
              </w:rPr>
            </w:pPr>
            <w:r>
              <w:rPr>
                <w:spacing w:val="-5"/>
                <w:sz w:val="20"/>
              </w:rPr>
              <w:t>15</w:t>
            </w:r>
          </w:p>
        </w:tc>
        <w:tc>
          <w:tcPr>
            <w:tcW w:w="285" w:type="dxa"/>
            <w:vMerge/>
            <w:tcBorders>
              <w:top w:val="nil"/>
              <w:bottom w:val="nil"/>
              <w:right w:val="nil"/>
            </w:tcBorders>
            <w:shd w:val="clear" w:color="auto" w:fill="CDEBEB"/>
          </w:tcPr>
          <w:p>
            <w:pPr>
              <w:rPr>
                <w:sz w:val="2"/>
                <w:szCs w:val="2"/>
              </w:rPr>
            </w:pPr>
          </w:p>
        </w:tc>
      </w:tr>
      <w:tr>
        <w:trPr>
          <w:trHeight w:val="947" w:hRule="atLeast"/>
        </w:trPr>
        <w:tc>
          <w:tcPr>
            <w:tcW w:w="283" w:type="dxa"/>
            <w:vMerge/>
            <w:tcBorders>
              <w:top w:val="nil"/>
              <w:left w:val="nil"/>
              <w:bottom w:val="nil"/>
            </w:tcBorders>
            <w:shd w:val="clear" w:color="auto" w:fill="CDEBEB"/>
          </w:tcPr>
          <w:p>
            <w:pPr>
              <w:rPr>
                <w:sz w:val="2"/>
                <w:szCs w:val="2"/>
              </w:rPr>
            </w:pPr>
          </w:p>
        </w:tc>
        <w:tc>
          <w:tcPr>
            <w:tcW w:w="2549" w:type="dxa"/>
            <w:shd w:val="clear" w:color="auto" w:fill="FFFFFF"/>
          </w:tcPr>
          <w:p>
            <w:pPr>
              <w:pStyle w:val="TableParagraph"/>
              <w:spacing w:line="288" w:lineRule="auto" w:before="59"/>
              <w:ind w:left="107"/>
              <w:rPr>
                <w:sz w:val="20"/>
              </w:rPr>
            </w:pPr>
            <w:r>
              <w:rPr>
                <w:sz w:val="20"/>
              </w:rPr>
              <w:t>Electricity Safety Management</w:t>
            </w:r>
            <w:r>
              <w:rPr>
                <w:spacing w:val="-14"/>
                <w:sz w:val="20"/>
              </w:rPr>
              <w:t> </w:t>
            </w:r>
            <w:r>
              <w:rPr>
                <w:sz w:val="20"/>
              </w:rPr>
              <w:t>Schemes</w:t>
            </w:r>
            <w:r>
              <w:rPr>
                <w:spacing w:val="-14"/>
                <w:sz w:val="20"/>
              </w:rPr>
              <w:t> </w:t>
            </w:r>
            <w:r>
              <w:rPr>
                <w:sz w:val="20"/>
              </w:rPr>
              <w:t>&amp; Safety Cases accepted</w:t>
            </w:r>
          </w:p>
        </w:tc>
        <w:tc>
          <w:tcPr>
            <w:tcW w:w="1020" w:type="dxa"/>
            <w:shd w:val="clear" w:color="auto" w:fill="FFFFFF"/>
          </w:tcPr>
          <w:p>
            <w:pPr>
              <w:pStyle w:val="TableParagraph"/>
              <w:spacing w:before="60"/>
              <w:ind w:left="1"/>
              <w:jc w:val="center"/>
              <w:rPr>
                <w:sz w:val="22"/>
              </w:rPr>
            </w:pPr>
            <w:r>
              <w:rPr>
                <w:w w:val="100"/>
                <w:sz w:val="22"/>
              </w:rPr>
              <w:t>–</w:t>
            </w:r>
          </w:p>
        </w:tc>
        <w:tc>
          <w:tcPr>
            <w:tcW w:w="1020" w:type="dxa"/>
            <w:shd w:val="clear" w:color="auto" w:fill="FFFFFF"/>
          </w:tcPr>
          <w:p>
            <w:pPr>
              <w:pStyle w:val="TableParagraph"/>
              <w:spacing w:before="59"/>
              <w:ind w:right="1"/>
              <w:jc w:val="center"/>
              <w:rPr>
                <w:sz w:val="20"/>
              </w:rPr>
            </w:pPr>
            <w:r>
              <w:rPr>
                <w:w w:val="99"/>
                <w:sz w:val="20"/>
              </w:rPr>
              <w:t>1</w:t>
            </w:r>
          </w:p>
        </w:tc>
        <w:tc>
          <w:tcPr>
            <w:tcW w:w="1023" w:type="dxa"/>
            <w:shd w:val="clear" w:color="auto" w:fill="FFFFFF"/>
          </w:tcPr>
          <w:p>
            <w:pPr>
              <w:pStyle w:val="TableParagraph"/>
              <w:spacing w:before="59"/>
              <w:ind w:right="1"/>
              <w:jc w:val="center"/>
              <w:rPr>
                <w:sz w:val="20"/>
              </w:rPr>
            </w:pPr>
            <w:r>
              <w:rPr>
                <w:w w:val="99"/>
                <w:sz w:val="20"/>
              </w:rPr>
              <w:t>1</w:t>
            </w:r>
          </w:p>
        </w:tc>
        <w:tc>
          <w:tcPr>
            <w:tcW w:w="1020" w:type="dxa"/>
            <w:shd w:val="clear" w:color="auto" w:fill="FFFFFF"/>
          </w:tcPr>
          <w:p>
            <w:pPr>
              <w:pStyle w:val="TableParagraph"/>
              <w:spacing w:before="59"/>
              <w:ind w:right="1"/>
              <w:jc w:val="center"/>
              <w:rPr>
                <w:sz w:val="20"/>
              </w:rPr>
            </w:pPr>
            <w:r>
              <w:rPr>
                <w:w w:val="99"/>
                <w:sz w:val="20"/>
              </w:rPr>
              <w:t>1</w:t>
            </w:r>
          </w:p>
        </w:tc>
        <w:tc>
          <w:tcPr>
            <w:tcW w:w="1023" w:type="dxa"/>
            <w:shd w:val="clear" w:color="auto" w:fill="FFFFFF"/>
          </w:tcPr>
          <w:p>
            <w:pPr>
              <w:pStyle w:val="TableParagraph"/>
              <w:spacing w:before="59"/>
              <w:ind w:right="2"/>
              <w:jc w:val="center"/>
              <w:rPr>
                <w:sz w:val="20"/>
              </w:rPr>
            </w:pPr>
            <w:r>
              <w:rPr>
                <w:w w:val="99"/>
                <w:sz w:val="20"/>
              </w:rPr>
              <w:t>2</w:t>
            </w:r>
          </w:p>
        </w:tc>
        <w:tc>
          <w:tcPr>
            <w:tcW w:w="1020" w:type="dxa"/>
            <w:shd w:val="clear" w:color="auto" w:fill="D9D9D9"/>
          </w:tcPr>
          <w:p>
            <w:pPr>
              <w:pStyle w:val="TableParagraph"/>
              <w:spacing w:before="59"/>
              <w:ind w:left="3"/>
              <w:jc w:val="center"/>
              <w:rPr>
                <w:sz w:val="20"/>
              </w:rPr>
            </w:pPr>
            <w:r>
              <w:rPr>
                <w:w w:val="99"/>
                <w:sz w:val="20"/>
              </w:rPr>
              <w:t>1</w:t>
            </w:r>
          </w:p>
        </w:tc>
        <w:tc>
          <w:tcPr>
            <w:tcW w:w="285" w:type="dxa"/>
            <w:vMerge/>
            <w:tcBorders>
              <w:top w:val="nil"/>
              <w:bottom w:val="nil"/>
              <w:right w:val="nil"/>
            </w:tcBorders>
            <w:shd w:val="clear" w:color="auto" w:fill="CDEBEB"/>
          </w:tcPr>
          <w:p>
            <w:pPr>
              <w:rPr>
                <w:sz w:val="2"/>
                <w:szCs w:val="2"/>
              </w:rPr>
            </w:pPr>
          </w:p>
        </w:tc>
      </w:tr>
      <w:tr>
        <w:trPr>
          <w:trHeight w:val="673" w:hRule="atLeast"/>
        </w:trPr>
        <w:tc>
          <w:tcPr>
            <w:tcW w:w="283" w:type="dxa"/>
            <w:vMerge/>
            <w:tcBorders>
              <w:top w:val="nil"/>
              <w:left w:val="nil"/>
              <w:bottom w:val="nil"/>
            </w:tcBorders>
            <w:shd w:val="clear" w:color="auto" w:fill="CDEBEB"/>
          </w:tcPr>
          <w:p>
            <w:pPr>
              <w:rPr>
                <w:sz w:val="2"/>
                <w:szCs w:val="2"/>
              </w:rPr>
            </w:pPr>
          </w:p>
        </w:tc>
        <w:tc>
          <w:tcPr>
            <w:tcW w:w="2549" w:type="dxa"/>
            <w:shd w:val="clear" w:color="auto" w:fill="FFFFFF"/>
          </w:tcPr>
          <w:p>
            <w:pPr>
              <w:pStyle w:val="TableParagraph"/>
              <w:spacing w:line="288" w:lineRule="auto" w:before="62"/>
              <w:ind w:left="107" w:right="513"/>
              <w:rPr>
                <w:sz w:val="20"/>
              </w:rPr>
            </w:pPr>
            <w:r>
              <w:rPr>
                <w:sz w:val="20"/>
              </w:rPr>
              <w:t>Bushfire Mitigation exemptions</w:t>
            </w:r>
            <w:r>
              <w:rPr>
                <w:spacing w:val="-14"/>
                <w:sz w:val="20"/>
              </w:rPr>
              <w:t> </w:t>
            </w:r>
            <w:r>
              <w:rPr>
                <w:sz w:val="20"/>
              </w:rPr>
              <w:t>approved</w:t>
            </w:r>
          </w:p>
        </w:tc>
        <w:tc>
          <w:tcPr>
            <w:tcW w:w="1020" w:type="dxa"/>
            <w:shd w:val="clear" w:color="auto" w:fill="FFFFFF"/>
          </w:tcPr>
          <w:p>
            <w:pPr>
              <w:pStyle w:val="TableParagraph"/>
              <w:spacing w:before="62"/>
              <w:ind w:left="1"/>
              <w:jc w:val="center"/>
              <w:rPr>
                <w:sz w:val="22"/>
              </w:rPr>
            </w:pPr>
            <w:r>
              <w:rPr>
                <w:w w:val="100"/>
                <w:sz w:val="22"/>
              </w:rPr>
              <w:t>–</w:t>
            </w:r>
          </w:p>
        </w:tc>
        <w:tc>
          <w:tcPr>
            <w:tcW w:w="1020" w:type="dxa"/>
            <w:shd w:val="clear" w:color="auto" w:fill="FFFFFF"/>
          </w:tcPr>
          <w:p>
            <w:pPr>
              <w:pStyle w:val="TableParagraph"/>
              <w:spacing w:before="62"/>
              <w:ind w:right="1"/>
              <w:jc w:val="center"/>
              <w:rPr>
                <w:sz w:val="20"/>
              </w:rPr>
            </w:pPr>
            <w:r>
              <w:rPr>
                <w:w w:val="99"/>
                <w:sz w:val="20"/>
              </w:rPr>
              <w:t>0</w:t>
            </w:r>
          </w:p>
        </w:tc>
        <w:tc>
          <w:tcPr>
            <w:tcW w:w="1023" w:type="dxa"/>
            <w:shd w:val="clear" w:color="auto" w:fill="FFFFFF"/>
          </w:tcPr>
          <w:p>
            <w:pPr>
              <w:pStyle w:val="TableParagraph"/>
              <w:spacing w:before="62"/>
              <w:ind w:right="1"/>
              <w:jc w:val="center"/>
              <w:rPr>
                <w:sz w:val="20"/>
              </w:rPr>
            </w:pPr>
            <w:r>
              <w:rPr>
                <w:w w:val="99"/>
                <w:sz w:val="20"/>
              </w:rPr>
              <w:t>0</w:t>
            </w:r>
          </w:p>
        </w:tc>
        <w:tc>
          <w:tcPr>
            <w:tcW w:w="1020" w:type="dxa"/>
            <w:shd w:val="clear" w:color="auto" w:fill="FFFFFF"/>
          </w:tcPr>
          <w:p>
            <w:pPr>
              <w:pStyle w:val="TableParagraph"/>
              <w:spacing w:before="62"/>
              <w:ind w:right="1"/>
              <w:jc w:val="center"/>
              <w:rPr>
                <w:sz w:val="20"/>
              </w:rPr>
            </w:pPr>
            <w:r>
              <w:rPr>
                <w:w w:val="99"/>
                <w:sz w:val="20"/>
              </w:rPr>
              <w:t>0</w:t>
            </w:r>
          </w:p>
        </w:tc>
        <w:tc>
          <w:tcPr>
            <w:tcW w:w="1023" w:type="dxa"/>
            <w:shd w:val="clear" w:color="auto" w:fill="FFFFFF"/>
          </w:tcPr>
          <w:p>
            <w:pPr>
              <w:pStyle w:val="TableParagraph"/>
              <w:spacing w:before="62"/>
              <w:ind w:right="2"/>
              <w:jc w:val="center"/>
              <w:rPr>
                <w:sz w:val="20"/>
              </w:rPr>
            </w:pPr>
            <w:r>
              <w:rPr>
                <w:w w:val="99"/>
                <w:sz w:val="20"/>
              </w:rPr>
              <w:t>0</w:t>
            </w:r>
          </w:p>
        </w:tc>
        <w:tc>
          <w:tcPr>
            <w:tcW w:w="1020" w:type="dxa"/>
            <w:shd w:val="clear" w:color="auto" w:fill="D9D9D9"/>
          </w:tcPr>
          <w:p>
            <w:pPr>
              <w:pStyle w:val="TableParagraph"/>
              <w:spacing w:before="62"/>
              <w:ind w:left="3"/>
              <w:jc w:val="center"/>
              <w:rPr>
                <w:sz w:val="20"/>
              </w:rPr>
            </w:pPr>
            <w:r>
              <w:rPr>
                <w:w w:val="99"/>
                <w:sz w:val="20"/>
              </w:rPr>
              <w:t>0</w:t>
            </w:r>
          </w:p>
        </w:tc>
        <w:tc>
          <w:tcPr>
            <w:tcW w:w="285" w:type="dxa"/>
            <w:vMerge/>
            <w:tcBorders>
              <w:top w:val="nil"/>
              <w:bottom w:val="nil"/>
              <w:right w:val="nil"/>
            </w:tcBorders>
            <w:shd w:val="clear" w:color="auto" w:fill="CDEBEB"/>
          </w:tcPr>
          <w:p>
            <w:pPr>
              <w:rPr>
                <w:sz w:val="2"/>
                <w:szCs w:val="2"/>
              </w:rPr>
            </w:pPr>
          </w:p>
        </w:tc>
      </w:tr>
      <w:tr>
        <w:trPr>
          <w:trHeight w:val="947" w:hRule="atLeast"/>
        </w:trPr>
        <w:tc>
          <w:tcPr>
            <w:tcW w:w="283" w:type="dxa"/>
            <w:vMerge/>
            <w:tcBorders>
              <w:top w:val="nil"/>
              <w:left w:val="nil"/>
              <w:bottom w:val="nil"/>
            </w:tcBorders>
            <w:shd w:val="clear" w:color="auto" w:fill="CDEBEB"/>
          </w:tcPr>
          <w:p>
            <w:pPr>
              <w:rPr>
                <w:sz w:val="2"/>
                <w:szCs w:val="2"/>
              </w:rPr>
            </w:pPr>
          </w:p>
        </w:tc>
        <w:tc>
          <w:tcPr>
            <w:tcW w:w="2549" w:type="dxa"/>
            <w:shd w:val="clear" w:color="auto" w:fill="FFFFFF"/>
          </w:tcPr>
          <w:p>
            <w:pPr>
              <w:pStyle w:val="TableParagraph"/>
              <w:spacing w:line="288" w:lineRule="auto" w:before="59"/>
              <w:ind w:left="107" w:right="166"/>
              <w:rPr>
                <w:sz w:val="20"/>
              </w:rPr>
            </w:pPr>
            <w:r>
              <w:rPr>
                <w:sz w:val="20"/>
              </w:rPr>
              <w:t>Electric</w:t>
            </w:r>
            <w:r>
              <w:rPr>
                <w:spacing w:val="-14"/>
                <w:sz w:val="20"/>
              </w:rPr>
              <w:t> </w:t>
            </w:r>
            <w:r>
              <w:rPr>
                <w:sz w:val="20"/>
              </w:rPr>
              <w:t>lines</w:t>
            </w:r>
            <w:r>
              <w:rPr>
                <w:spacing w:val="-14"/>
                <w:sz w:val="20"/>
              </w:rPr>
              <w:t> </w:t>
            </w:r>
            <w:r>
              <w:rPr>
                <w:sz w:val="20"/>
              </w:rPr>
              <w:t>on</w:t>
            </w:r>
            <w:r>
              <w:rPr>
                <w:spacing w:val="-14"/>
                <w:sz w:val="20"/>
              </w:rPr>
              <w:t> </w:t>
            </w:r>
            <w:r>
              <w:rPr>
                <w:sz w:val="20"/>
              </w:rPr>
              <w:t>public land exemptions </w:t>
            </w:r>
            <w:r>
              <w:rPr>
                <w:spacing w:val="-2"/>
                <w:sz w:val="20"/>
              </w:rPr>
              <w:t>assessed</w:t>
            </w:r>
          </w:p>
        </w:tc>
        <w:tc>
          <w:tcPr>
            <w:tcW w:w="1020" w:type="dxa"/>
            <w:shd w:val="clear" w:color="auto" w:fill="FFFFFF"/>
          </w:tcPr>
          <w:p>
            <w:pPr>
              <w:pStyle w:val="TableParagraph"/>
              <w:spacing w:before="60"/>
              <w:ind w:left="1"/>
              <w:jc w:val="center"/>
              <w:rPr>
                <w:sz w:val="22"/>
              </w:rPr>
            </w:pPr>
            <w:r>
              <w:rPr>
                <w:w w:val="100"/>
                <w:sz w:val="22"/>
              </w:rPr>
              <w:t>–</w:t>
            </w:r>
          </w:p>
        </w:tc>
        <w:tc>
          <w:tcPr>
            <w:tcW w:w="1020" w:type="dxa"/>
            <w:shd w:val="clear" w:color="auto" w:fill="FFFFFF"/>
          </w:tcPr>
          <w:p>
            <w:pPr>
              <w:pStyle w:val="TableParagraph"/>
              <w:spacing w:before="59"/>
              <w:ind w:left="95" w:right="96"/>
              <w:jc w:val="center"/>
              <w:rPr>
                <w:sz w:val="20"/>
              </w:rPr>
            </w:pPr>
            <w:r>
              <w:rPr>
                <w:spacing w:val="-5"/>
                <w:sz w:val="20"/>
              </w:rPr>
              <w:t>155</w:t>
            </w:r>
          </w:p>
        </w:tc>
        <w:tc>
          <w:tcPr>
            <w:tcW w:w="1023" w:type="dxa"/>
            <w:shd w:val="clear" w:color="auto" w:fill="FFFFFF"/>
          </w:tcPr>
          <w:p>
            <w:pPr>
              <w:pStyle w:val="TableParagraph"/>
              <w:spacing w:before="59"/>
              <w:ind w:left="271" w:right="273"/>
              <w:jc w:val="center"/>
              <w:rPr>
                <w:sz w:val="20"/>
              </w:rPr>
            </w:pPr>
            <w:r>
              <w:rPr>
                <w:spacing w:val="-5"/>
                <w:sz w:val="20"/>
              </w:rPr>
              <w:t>166</w:t>
            </w:r>
          </w:p>
        </w:tc>
        <w:tc>
          <w:tcPr>
            <w:tcW w:w="1020" w:type="dxa"/>
            <w:shd w:val="clear" w:color="auto" w:fill="FFFFFF"/>
          </w:tcPr>
          <w:p>
            <w:pPr>
              <w:pStyle w:val="TableParagraph"/>
              <w:spacing w:before="59"/>
              <w:ind w:left="95" w:right="96"/>
              <w:jc w:val="center"/>
              <w:rPr>
                <w:sz w:val="20"/>
              </w:rPr>
            </w:pPr>
            <w:r>
              <w:rPr>
                <w:spacing w:val="-4"/>
                <w:sz w:val="20"/>
              </w:rPr>
              <w:t>2358</w:t>
            </w:r>
          </w:p>
        </w:tc>
        <w:tc>
          <w:tcPr>
            <w:tcW w:w="1023" w:type="dxa"/>
            <w:shd w:val="clear" w:color="auto" w:fill="FFFFFF"/>
          </w:tcPr>
          <w:p>
            <w:pPr>
              <w:pStyle w:val="TableParagraph"/>
              <w:spacing w:before="59"/>
              <w:ind w:left="271" w:right="273"/>
              <w:jc w:val="center"/>
              <w:rPr>
                <w:sz w:val="20"/>
              </w:rPr>
            </w:pPr>
            <w:r>
              <w:rPr>
                <w:spacing w:val="-4"/>
                <w:sz w:val="20"/>
              </w:rPr>
              <w:t>2490</w:t>
            </w:r>
          </w:p>
        </w:tc>
        <w:tc>
          <w:tcPr>
            <w:tcW w:w="1020" w:type="dxa"/>
            <w:shd w:val="clear" w:color="auto" w:fill="D9D9D9"/>
          </w:tcPr>
          <w:p>
            <w:pPr>
              <w:pStyle w:val="TableParagraph"/>
              <w:spacing w:before="59"/>
              <w:ind w:left="98" w:right="95"/>
              <w:jc w:val="center"/>
              <w:rPr>
                <w:sz w:val="20"/>
              </w:rPr>
            </w:pPr>
            <w:r>
              <w:rPr>
                <w:spacing w:val="-4"/>
                <w:sz w:val="20"/>
              </w:rPr>
              <w:t>1292</w:t>
            </w:r>
          </w:p>
        </w:tc>
        <w:tc>
          <w:tcPr>
            <w:tcW w:w="285" w:type="dxa"/>
            <w:vMerge/>
            <w:tcBorders>
              <w:top w:val="nil"/>
              <w:bottom w:val="nil"/>
              <w:right w:val="nil"/>
            </w:tcBorders>
            <w:shd w:val="clear" w:color="auto" w:fill="CDEBEB"/>
          </w:tcPr>
          <w:p>
            <w:pPr>
              <w:rPr>
                <w:sz w:val="2"/>
                <w:szCs w:val="2"/>
              </w:rPr>
            </w:pPr>
          </w:p>
        </w:tc>
      </w:tr>
      <w:tr>
        <w:trPr>
          <w:trHeight w:val="948" w:hRule="atLeast"/>
        </w:trPr>
        <w:tc>
          <w:tcPr>
            <w:tcW w:w="283" w:type="dxa"/>
            <w:vMerge/>
            <w:tcBorders>
              <w:top w:val="nil"/>
              <w:left w:val="nil"/>
              <w:bottom w:val="nil"/>
            </w:tcBorders>
            <w:shd w:val="clear" w:color="auto" w:fill="CDEBEB"/>
          </w:tcPr>
          <w:p>
            <w:pPr>
              <w:rPr>
                <w:sz w:val="2"/>
                <w:szCs w:val="2"/>
              </w:rPr>
            </w:pPr>
          </w:p>
        </w:tc>
        <w:tc>
          <w:tcPr>
            <w:tcW w:w="2549" w:type="dxa"/>
            <w:shd w:val="clear" w:color="auto" w:fill="FFFFFF"/>
          </w:tcPr>
          <w:p>
            <w:pPr>
              <w:pStyle w:val="TableParagraph"/>
              <w:spacing w:line="288" w:lineRule="auto" w:before="60"/>
              <w:ind w:left="107" w:right="469"/>
              <w:rPr>
                <w:sz w:val="20"/>
              </w:rPr>
            </w:pPr>
            <w:r>
              <w:rPr>
                <w:sz w:val="20"/>
              </w:rPr>
              <w:t>Electricity Safety Management</w:t>
            </w:r>
            <w:r>
              <w:rPr>
                <w:spacing w:val="-14"/>
                <w:sz w:val="20"/>
              </w:rPr>
              <w:t> </w:t>
            </w:r>
            <w:r>
              <w:rPr>
                <w:sz w:val="20"/>
              </w:rPr>
              <w:t>Scheme </w:t>
            </w:r>
            <w:r>
              <w:rPr>
                <w:spacing w:val="-2"/>
                <w:sz w:val="20"/>
              </w:rPr>
              <w:t>audits</w:t>
            </w:r>
          </w:p>
        </w:tc>
        <w:tc>
          <w:tcPr>
            <w:tcW w:w="1020" w:type="dxa"/>
            <w:shd w:val="clear" w:color="auto" w:fill="FFFFFF"/>
          </w:tcPr>
          <w:p>
            <w:pPr>
              <w:pStyle w:val="TableParagraph"/>
              <w:spacing w:before="60"/>
              <w:ind w:right="1"/>
              <w:jc w:val="center"/>
              <w:rPr>
                <w:sz w:val="20"/>
              </w:rPr>
            </w:pPr>
            <w:r>
              <w:rPr>
                <w:w w:val="99"/>
                <w:sz w:val="20"/>
              </w:rPr>
              <w:t>5</w:t>
            </w:r>
          </w:p>
        </w:tc>
        <w:tc>
          <w:tcPr>
            <w:tcW w:w="1020" w:type="dxa"/>
            <w:shd w:val="clear" w:color="auto" w:fill="FFFFFF"/>
          </w:tcPr>
          <w:p>
            <w:pPr>
              <w:pStyle w:val="TableParagraph"/>
              <w:spacing w:before="60"/>
              <w:ind w:left="95" w:right="96"/>
              <w:jc w:val="center"/>
              <w:rPr>
                <w:sz w:val="20"/>
              </w:rPr>
            </w:pPr>
            <w:r>
              <w:rPr>
                <w:spacing w:val="-5"/>
                <w:sz w:val="20"/>
              </w:rPr>
              <w:t>56</w:t>
            </w:r>
          </w:p>
        </w:tc>
        <w:tc>
          <w:tcPr>
            <w:tcW w:w="1023" w:type="dxa"/>
            <w:shd w:val="clear" w:color="auto" w:fill="FFFFFF"/>
          </w:tcPr>
          <w:p>
            <w:pPr>
              <w:pStyle w:val="TableParagraph"/>
              <w:spacing w:before="60"/>
              <w:ind w:left="271" w:right="272"/>
              <w:jc w:val="center"/>
              <w:rPr>
                <w:sz w:val="20"/>
              </w:rPr>
            </w:pPr>
            <w:r>
              <w:rPr>
                <w:spacing w:val="-5"/>
                <w:sz w:val="20"/>
              </w:rPr>
              <w:t>14</w:t>
            </w:r>
          </w:p>
        </w:tc>
        <w:tc>
          <w:tcPr>
            <w:tcW w:w="1020" w:type="dxa"/>
            <w:shd w:val="clear" w:color="auto" w:fill="FFFFFF"/>
          </w:tcPr>
          <w:p>
            <w:pPr>
              <w:pStyle w:val="TableParagraph"/>
              <w:spacing w:before="60"/>
              <w:ind w:left="95" w:right="96"/>
              <w:jc w:val="center"/>
              <w:rPr>
                <w:sz w:val="20"/>
              </w:rPr>
            </w:pPr>
            <w:r>
              <w:rPr>
                <w:spacing w:val="-5"/>
                <w:sz w:val="20"/>
              </w:rPr>
              <w:t>24</w:t>
            </w:r>
          </w:p>
        </w:tc>
        <w:tc>
          <w:tcPr>
            <w:tcW w:w="1023" w:type="dxa"/>
            <w:shd w:val="clear" w:color="auto" w:fill="FFFFFF"/>
          </w:tcPr>
          <w:p>
            <w:pPr>
              <w:pStyle w:val="TableParagraph"/>
              <w:spacing w:before="60"/>
              <w:ind w:right="2"/>
              <w:jc w:val="center"/>
              <w:rPr>
                <w:sz w:val="20"/>
              </w:rPr>
            </w:pPr>
            <w:r>
              <w:rPr>
                <w:w w:val="99"/>
                <w:sz w:val="20"/>
              </w:rPr>
              <w:t>0</w:t>
            </w:r>
          </w:p>
        </w:tc>
        <w:tc>
          <w:tcPr>
            <w:tcW w:w="1020" w:type="dxa"/>
            <w:shd w:val="clear" w:color="auto" w:fill="D9D9D9"/>
          </w:tcPr>
          <w:p>
            <w:pPr>
              <w:pStyle w:val="TableParagraph"/>
              <w:spacing w:before="60"/>
              <w:ind w:left="98" w:right="95"/>
              <w:jc w:val="center"/>
              <w:rPr>
                <w:sz w:val="20"/>
              </w:rPr>
            </w:pPr>
            <w:r>
              <w:rPr>
                <w:spacing w:val="-5"/>
                <w:sz w:val="20"/>
              </w:rPr>
              <w:t>24</w:t>
            </w:r>
          </w:p>
        </w:tc>
        <w:tc>
          <w:tcPr>
            <w:tcW w:w="285" w:type="dxa"/>
            <w:vMerge/>
            <w:tcBorders>
              <w:top w:val="nil"/>
              <w:bottom w:val="nil"/>
              <w:right w:val="nil"/>
            </w:tcBorders>
            <w:shd w:val="clear" w:color="auto" w:fill="CDEBEB"/>
          </w:tcPr>
          <w:p>
            <w:pPr>
              <w:rPr>
                <w:sz w:val="2"/>
                <w:szCs w:val="2"/>
              </w:rPr>
            </w:pPr>
          </w:p>
        </w:tc>
      </w:tr>
      <w:tr>
        <w:trPr>
          <w:trHeight w:val="671" w:hRule="atLeast"/>
        </w:trPr>
        <w:tc>
          <w:tcPr>
            <w:tcW w:w="283" w:type="dxa"/>
            <w:vMerge/>
            <w:tcBorders>
              <w:top w:val="nil"/>
              <w:left w:val="nil"/>
              <w:bottom w:val="nil"/>
            </w:tcBorders>
            <w:shd w:val="clear" w:color="auto" w:fill="CDEBEB"/>
          </w:tcPr>
          <w:p>
            <w:pPr>
              <w:rPr>
                <w:sz w:val="2"/>
                <w:szCs w:val="2"/>
              </w:rPr>
            </w:pPr>
          </w:p>
        </w:tc>
        <w:tc>
          <w:tcPr>
            <w:tcW w:w="2549" w:type="dxa"/>
            <w:shd w:val="clear" w:color="auto" w:fill="FFFFFF"/>
          </w:tcPr>
          <w:p>
            <w:pPr>
              <w:pStyle w:val="TableParagraph"/>
              <w:spacing w:line="288" w:lineRule="auto" w:before="59"/>
              <w:ind w:left="107" w:right="166"/>
              <w:rPr>
                <w:sz w:val="20"/>
              </w:rPr>
            </w:pPr>
            <w:r>
              <w:rPr>
                <w:sz w:val="20"/>
              </w:rPr>
              <w:t>Electric</w:t>
            </w:r>
            <w:r>
              <w:rPr>
                <w:spacing w:val="-14"/>
                <w:sz w:val="20"/>
              </w:rPr>
              <w:t> </w:t>
            </w:r>
            <w:r>
              <w:rPr>
                <w:sz w:val="20"/>
              </w:rPr>
              <w:t>line</w:t>
            </w:r>
            <w:r>
              <w:rPr>
                <w:spacing w:val="-14"/>
                <w:sz w:val="20"/>
              </w:rPr>
              <w:t> </w:t>
            </w:r>
            <w:r>
              <w:rPr>
                <w:sz w:val="20"/>
              </w:rPr>
              <w:t>clearance </w:t>
            </w:r>
            <w:r>
              <w:rPr>
                <w:spacing w:val="-2"/>
                <w:sz w:val="20"/>
              </w:rPr>
              <w:t>audits</w:t>
            </w:r>
          </w:p>
        </w:tc>
        <w:tc>
          <w:tcPr>
            <w:tcW w:w="1020" w:type="dxa"/>
            <w:shd w:val="clear" w:color="auto" w:fill="FFFFFF"/>
          </w:tcPr>
          <w:p>
            <w:pPr>
              <w:pStyle w:val="TableParagraph"/>
              <w:spacing w:before="59"/>
              <w:ind w:left="95" w:right="96"/>
              <w:jc w:val="center"/>
              <w:rPr>
                <w:sz w:val="20"/>
              </w:rPr>
            </w:pPr>
            <w:r>
              <w:rPr>
                <w:spacing w:val="-5"/>
                <w:sz w:val="20"/>
              </w:rPr>
              <w:t>20</w:t>
            </w:r>
          </w:p>
        </w:tc>
        <w:tc>
          <w:tcPr>
            <w:tcW w:w="1020" w:type="dxa"/>
            <w:shd w:val="clear" w:color="auto" w:fill="FFFFFF"/>
          </w:tcPr>
          <w:p>
            <w:pPr>
              <w:pStyle w:val="TableParagraph"/>
              <w:spacing w:before="59"/>
              <w:ind w:left="95" w:right="96"/>
              <w:jc w:val="center"/>
              <w:rPr>
                <w:sz w:val="20"/>
              </w:rPr>
            </w:pPr>
            <w:r>
              <w:rPr>
                <w:spacing w:val="-5"/>
                <w:sz w:val="20"/>
              </w:rPr>
              <w:t>39</w:t>
            </w:r>
          </w:p>
        </w:tc>
        <w:tc>
          <w:tcPr>
            <w:tcW w:w="1023" w:type="dxa"/>
            <w:shd w:val="clear" w:color="auto" w:fill="FFFFFF"/>
          </w:tcPr>
          <w:p>
            <w:pPr>
              <w:pStyle w:val="TableParagraph"/>
              <w:spacing w:before="59"/>
              <w:ind w:left="271" w:right="272"/>
              <w:jc w:val="center"/>
              <w:rPr>
                <w:sz w:val="20"/>
              </w:rPr>
            </w:pPr>
            <w:r>
              <w:rPr>
                <w:spacing w:val="-5"/>
                <w:sz w:val="20"/>
              </w:rPr>
              <w:t>53</w:t>
            </w:r>
          </w:p>
        </w:tc>
        <w:tc>
          <w:tcPr>
            <w:tcW w:w="1020" w:type="dxa"/>
            <w:shd w:val="clear" w:color="auto" w:fill="FFFFFF"/>
          </w:tcPr>
          <w:p>
            <w:pPr>
              <w:pStyle w:val="TableParagraph"/>
              <w:spacing w:before="59"/>
              <w:ind w:left="95" w:right="96"/>
              <w:jc w:val="center"/>
              <w:rPr>
                <w:sz w:val="20"/>
              </w:rPr>
            </w:pPr>
            <w:r>
              <w:rPr>
                <w:spacing w:val="-5"/>
                <w:sz w:val="20"/>
              </w:rPr>
              <w:t>17</w:t>
            </w:r>
          </w:p>
        </w:tc>
        <w:tc>
          <w:tcPr>
            <w:tcW w:w="1023" w:type="dxa"/>
            <w:shd w:val="clear" w:color="auto" w:fill="FFFFFF"/>
          </w:tcPr>
          <w:p>
            <w:pPr>
              <w:pStyle w:val="TableParagraph"/>
              <w:spacing w:before="59"/>
              <w:ind w:left="271" w:right="273"/>
              <w:jc w:val="center"/>
              <w:rPr>
                <w:sz w:val="20"/>
              </w:rPr>
            </w:pPr>
            <w:r>
              <w:rPr>
                <w:spacing w:val="-5"/>
                <w:sz w:val="20"/>
              </w:rPr>
              <w:t>27</w:t>
            </w:r>
          </w:p>
        </w:tc>
        <w:tc>
          <w:tcPr>
            <w:tcW w:w="1020" w:type="dxa"/>
            <w:shd w:val="clear" w:color="auto" w:fill="D9D9D9"/>
          </w:tcPr>
          <w:p>
            <w:pPr>
              <w:pStyle w:val="TableParagraph"/>
              <w:spacing w:before="59"/>
              <w:ind w:left="98" w:right="95"/>
              <w:jc w:val="center"/>
              <w:rPr>
                <w:sz w:val="20"/>
              </w:rPr>
            </w:pPr>
            <w:r>
              <w:rPr>
                <w:spacing w:val="-5"/>
                <w:sz w:val="20"/>
              </w:rPr>
              <w:t>34</w:t>
            </w:r>
          </w:p>
        </w:tc>
        <w:tc>
          <w:tcPr>
            <w:tcW w:w="285" w:type="dxa"/>
            <w:vMerge/>
            <w:tcBorders>
              <w:top w:val="nil"/>
              <w:bottom w:val="nil"/>
              <w:right w:val="nil"/>
            </w:tcBorders>
            <w:shd w:val="clear" w:color="auto" w:fill="CDEBEB"/>
          </w:tcPr>
          <w:p>
            <w:pPr>
              <w:rPr>
                <w:sz w:val="2"/>
                <w:szCs w:val="2"/>
              </w:rPr>
            </w:pPr>
          </w:p>
        </w:tc>
      </w:tr>
      <w:tr>
        <w:trPr>
          <w:trHeight w:val="414" w:hRule="atLeast"/>
        </w:trPr>
        <w:tc>
          <w:tcPr>
            <w:tcW w:w="283" w:type="dxa"/>
            <w:vMerge/>
            <w:tcBorders>
              <w:top w:val="nil"/>
              <w:left w:val="nil"/>
              <w:bottom w:val="nil"/>
            </w:tcBorders>
            <w:shd w:val="clear" w:color="auto" w:fill="CDEBEB"/>
          </w:tcPr>
          <w:p>
            <w:pPr>
              <w:rPr>
                <w:sz w:val="2"/>
                <w:szCs w:val="2"/>
              </w:rPr>
            </w:pPr>
          </w:p>
        </w:tc>
        <w:tc>
          <w:tcPr>
            <w:tcW w:w="2549" w:type="dxa"/>
            <w:shd w:val="clear" w:color="auto" w:fill="FFFFFF"/>
          </w:tcPr>
          <w:p>
            <w:pPr>
              <w:pStyle w:val="TableParagraph"/>
              <w:spacing w:before="59"/>
              <w:ind w:left="107"/>
              <w:rPr>
                <w:i/>
                <w:sz w:val="20"/>
              </w:rPr>
            </w:pPr>
            <w:r>
              <w:rPr>
                <w:i/>
                <w:sz w:val="20"/>
              </w:rPr>
              <w:t>Compliance</w:t>
            </w:r>
            <w:r>
              <w:rPr>
                <w:i/>
                <w:spacing w:val="-11"/>
                <w:sz w:val="20"/>
              </w:rPr>
              <w:t> </w:t>
            </w:r>
            <w:r>
              <w:rPr>
                <w:i/>
                <w:sz w:val="20"/>
              </w:rPr>
              <w:t>actions</w:t>
            </w:r>
            <w:r>
              <w:rPr>
                <w:i/>
                <w:spacing w:val="-11"/>
                <w:sz w:val="20"/>
              </w:rPr>
              <w:t> </w:t>
            </w:r>
            <w:r>
              <w:rPr>
                <w:i/>
                <w:spacing w:val="-4"/>
                <w:sz w:val="20"/>
              </w:rPr>
              <w:t>from</w:t>
            </w:r>
          </w:p>
        </w:tc>
        <w:tc>
          <w:tcPr>
            <w:tcW w:w="1020" w:type="dxa"/>
            <w:shd w:val="clear" w:color="auto" w:fill="FFFFFF"/>
          </w:tcPr>
          <w:p>
            <w:pPr>
              <w:pStyle w:val="TableParagraph"/>
              <w:spacing w:before="59"/>
              <w:ind w:left="1"/>
              <w:jc w:val="center"/>
              <w:rPr>
                <w:sz w:val="22"/>
              </w:rPr>
            </w:pPr>
            <w:r>
              <w:rPr>
                <w:w w:val="100"/>
                <w:sz w:val="22"/>
              </w:rPr>
              <w:t>–</w:t>
            </w:r>
          </w:p>
        </w:tc>
        <w:tc>
          <w:tcPr>
            <w:tcW w:w="1020" w:type="dxa"/>
            <w:shd w:val="clear" w:color="auto" w:fill="FFFFFF"/>
          </w:tcPr>
          <w:p>
            <w:pPr>
              <w:pStyle w:val="TableParagraph"/>
              <w:spacing w:before="59"/>
              <w:ind w:left="1"/>
              <w:jc w:val="center"/>
              <w:rPr>
                <w:sz w:val="22"/>
              </w:rPr>
            </w:pPr>
            <w:r>
              <w:rPr>
                <w:w w:val="100"/>
                <w:sz w:val="22"/>
              </w:rPr>
              <w:t>–</w:t>
            </w:r>
          </w:p>
        </w:tc>
        <w:tc>
          <w:tcPr>
            <w:tcW w:w="1023" w:type="dxa"/>
            <w:shd w:val="clear" w:color="auto" w:fill="FFFFFF"/>
          </w:tcPr>
          <w:p>
            <w:pPr>
              <w:pStyle w:val="TableParagraph"/>
              <w:spacing w:before="59"/>
              <w:jc w:val="center"/>
              <w:rPr>
                <w:sz w:val="22"/>
              </w:rPr>
            </w:pPr>
            <w:r>
              <w:rPr>
                <w:w w:val="100"/>
                <w:sz w:val="22"/>
              </w:rPr>
              <w:t>–</w:t>
            </w:r>
          </w:p>
        </w:tc>
        <w:tc>
          <w:tcPr>
            <w:tcW w:w="1020" w:type="dxa"/>
            <w:shd w:val="clear" w:color="auto" w:fill="FFFFFF"/>
          </w:tcPr>
          <w:p>
            <w:pPr>
              <w:pStyle w:val="TableParagraph"/>
              <w:spacing w:before="59"/>
              <w:ind w:left="1"/>
              <w:jc w:val="center"/>
              <w:rPr>
                <w:sz w:val="22"/>
              </w:rPr>
            </w:pPr>
            <w:r>
              <w:rPr>
                <w:w w:val="100"/>
                <w:sz w:val="22"/>
              </w:rPr>
              <w:t>–</w:t>
            </w:r>
          </w:p>
        </w:tc>
        <w:tc>
          <w:tcPr>
            <w:tcW w:w="1023" w:type="dxa"/>
            <w:shd w:val="clear" w:color="auto" w:fill="FFFFFF"/>
          </w:tcPr>
          <w:p>
            <w:pPr>
              <w:pStyle w:val="TableParagraph"/>
              <w:spacing w:before="59"/>
              <w:ind w:left="271" w:right="273"/>
              <w:jc w:val="center"/>
              <w:rPr>
                <w:sz w:val="20"/>
              </w:rPr>
            </w:pPr>
            <w:r>
              <w:rPr>
                <w:spacing w:val="-5"/>
                <w:sz w:val="20"/>
              </w:rPr>
              <w:t>607</w:t>
            </w:r>
          </w:p>
        </w:tc>
        <w:tc>
          <w:tcPr>
            <w:tcW w:w="1020" w:type="dxa"/>
            <w:shd w:val="clear" w:color="auto" w:fill="D9D9D9"/>
          </w:tcPr>
          <w:p>
            <w:pPr>
              <w:pStyle w:val="TableParagraph"/>
              <w:spacing w:before="59"/>
              <w:ind w:left="98" w:right="95"/>
              <w:jc w:val="center"/>
              <w:rPr>
                <w:sz w:val="20"/>
              </w:rPr>
            </w:pPr>
            <w:r>
              <w:rPr>
                <w:spacing w:val="-5"/>
                <w:sz w:val="20"/>
              </w:rPr>
              <w:t>607</w:t>
            </w:r>
          </w:p>
        </w:tc>
        <w:tc>
          <w:tcPr>
            <w:tcW w:w="285" w:type="dxa"/>
            <w:vMerge/>
            <w:tcBorders>
              <w:top w:val="nil"/>
              <w:bottom w:val="nil"/>
              <w:right w:val="nil"/>
            </w:tcBorders>
            <w:shd w:val="clear" w:color="auto" w:fill="CDEBEB"/>
          </w:tcPr>
          <w:p>
            <w:pPr>
              <w:rPr>
                <w:sz w:val="2"/>
                <w:szCs w:val="2"/>
              </w:rPr>
            </w:pPr>
          </w:p>
        </w:tc>
      </w:tr>
    </w:tbl>
    <w:p>
      <w:pPr>
        <w:spacing w:after="0"/>
        <w:rPr>
          <w:sz w:val="2"/>
          <w:szCs w:val="2"/>
        </w:rPr>
        <w:sectPr>
          <w:pgSz w:w="11910" w:h="16840"/>
          <w:pgMar w:header="887" w:footer="1228" w:top="1080" w:bottom="1500" w:left="840" w:right="820"/>
        </w:sectPr>
      </w:pPr>
    </w:p>
    <w:p>
      <w:pPr>
        <w:pStyle w:val="BodyText"/>
        <w:rPr>
          <w:sz w:val="20"/>
        </w:rPr>
      </w:pPr>
    </w:p>
    <w:p>
      <w:pPr>
        <w:pStyle w:val="BodyText"/>
        <w:rPr>
          <w:sz w:val="20"/>
        </w:rPr>
      </w:pPr>
    </w:p>
    <w:p>
      <w:pPr>
        <w:pStyle w:val="BodyText"/>
        <w:spacing w:before="4"/>
      </w:pPr>
    </w:p>
    <w:tbl>
      <w:tblPr>
        <w:tblW w:w="0" w:type="auto"/>
        <w:jc w:val="left"/>
        <w:tblInd w:w="60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top w:w="0" w:type="dxa"/>
          <w:left w:w="0" w:type="dxa"/>
          <w:bottom w:w="0" w:type="dxa"/>
          <w:right w:w="0" w:type="dxa"/>
        </w:tblCellMar>
        <w:tblLook w:val="01E0"/>
      </w:tblPr>
      <w:tblGrid>
        <w:gridCol w:w="278"/>
        <w:gridCol w:w="2554"/>
        <w:gridCol w:w="1020"/>
        <w:gridCol w:w="1020"/>
        <w:gridCol w:w="1023"/>
        <w:gridCol w:w="1020"/>
        <w:gridCol w:w="1023"/>
        <w:gridCol w:w="1025"/>
        <w:gridCol w:w="281"/>
      </w:tblGrid>
      <w:tr>
        <w:trPr>
          <w:trHeight w:val="338" w:hRule="atLeast"/>
        </w:trPr>
        <w:tc>
          <w:tcPr>
            <w:tcW w:w="278" w:type="dxa"/>
            <w:vMerge w:val="restart"/>
            <w:tcBorders>
              <w:top w:val="nil"/>
              <w:left w:val="nil"/>
              <w:bottom w:val="nil"/>
            </w:tcBorders>
            <w:shd w:val="clear" w:color="auto" w:fill="CDEBEB"/>
          </w:tcPr>
          <w:p>
            <w:pPr>
              <w:pStyle w:val="TableParagraph"/>
              <w:rPr>
                <w:rFonts w:ascii="Times New Roman"/>
                <w:sz w:val="20"/>
              </w:rPr>
            </w:pPr>
          </w:p>
        </w:tc>
        <w:tc>
          <w:tcPr>
            <w:tcW w:w="2554" w:type="dxa"/>
            <w:shd w:val="clear" w:color="auto" w:fill="FFFFFF"/>
          </w:tcPr>
          <w:p>
            <w:pPr>
              <w:pStyle w:val="TableParagraph"/>
              <w:spacing w:before="2"/>
              <w:ind w:left="112"/>
              <w:rPr>
                <w:i/>
                <w:sz w:val="20"/>
              </w:rPr>
            </w:pPr>
            <w:r>
              <w:rPr>
                <w:i/>
                <w:spacing w:val="-2"/>
                <w:sz w:val="20"/>
              </w:rPr>
              <w:t>audits</w:t>
            </w:r>
          </w:p>
        </w:tc>
        <w:tc>
          <w:tcPr>
            <w:tcW w:w="1020" w:type="dxa"/>
            <w:shd w:val="clear" w:color="auto" w:fill="FFFFFF"/>
          </w:tcPr>
          <w:p>
            <w:pPr>
              <w:pStyle w:val="TableParagraph"/>
              <w:rPr>
                <w:rFonts w:ascii="Times New Roman"/>
                <w:sz w:val="20"/>
              </w:rPr>
            </w:pPr>
          </w:p>
        </w:tc>
        <w:tc>
          <w:tcPr>
            <w:tcW w:w="1020" w:type="dxa"/>
            <w:shd w:val="clear" w:color="auto" w:fill="FFFFFF"/>
          </w:tcPr>
          <w:p>
            <w:pPr>
              <w:pStyle w:val="TableParagraph"/>
              <w:rPr>
                <w:rFonts w:ascii="Times New Roman"/>
                <w:sz w:val="20"/>
              </w:rPr>
            </w:pPr>
          </w:p>
        </w:tc>
        <w:tc>
          <w:tcPr>
            <w:tcW w:w="1023" w:type="dxa"/>
            <w:shd w:val="clear" w:color="auto" w:fill="FFFFFF"/>
          </w:tcPr>
          <w:p>
            <w:pPr>
              <w:pStyle w:val="TableParagraph"/>
              <w:rPr>
                <w:rFonts w:ascii="Times New Roman"/>
                <w:sz w:val="20"/>
              </w:rPr>
            </w:pPr>
          </w:p>
        </w:tc>
        <w:tc>
          <w:tcPr>
            <w:tcW w:w="1020" w:type="dxa"/>
            <w:shd w:val="clear" w:color="auto" w:fill="FFFFFF"/>
          </w:tcPr>
          <w:p>
            <w:pPr>
              <w:pStyle w:val="TableParagraph"/>
              <w:rPr>
                <w:rFonts w:ascii="Times New Roman"/>
                <w:sz w:val="20"/>
              </w:rPr>
            </w:pPr>
          </w:p>
        </w:tc>
        <w:tc>
          <w:tcPr>
            <w:tcW w:w="1023" w:type="dxa"/>
            <w:shd w:val="clear" w:color="auto" w:fill="FFFFFF"/>
          </w:tcPr>
          <w:p>
            <w:pPr>
              <w:pStyle w:val="TableParagraph"/>
              <w:rPr>
                <w:rFonts w:ascii="Times New Roman"/>
                <w:sz w:val="20"/>
              </w:rPr>
            </w:pPr>
          </w:p>
        </w:tc>
        <w:tc>
          <w:tcPr>
            <w:tcW w:w="1025" w:type="dxa"/>
            <w:shd w:val="clear" w:color="auto" w:fill="D9D9D9"/>
          </w:tcPr>
          <w:p>
            <w:pPr>
              <w:pStyle w:val="TableParagraph"/>
              <w:rPr>
                <w:rFonts w:ascii="Times New Roman"/>
                <w:sz w:val="20"/>
              </w:rPr>
            </w:pPr>
          </w:p>
        </w:tc>
        <w:tc>
          <w:tcPr>
            <w:tcW w:w="281" w:type="dxa"/>
            <w:vMerge w:val="restart"/>
            <w:tcBorders>
              <w:top w:val="nil"/>
              <w:bottom w:val="nil"/>
              <w:right w:val="nil"/>
            </w:tcBorders>
            <w:shd w:val="clear" w:color="auto" w:fill="CDEBEB"/>
          </w:tcPr>
          <w:p>
            <w:pPr>
              <w:pStyle w:val="TableParagraph"/>
              <w:rPr>
                <w:rFonts w:ascii="Times New Roman"/>
                <w:sz w:val="20"/>
              </w:rPr>
            </w:pPr>
          </w:p>
        </w:tc>
      </w:tr>
      <w:tr>
        <w:trPr>
          <w:trHeight w:val="395" w:hRule="atLeast"/>
        </w:trPr>
        <w:tc>
          <w:tcPr>
            <w:tcW w:w="278" w:type="dxa"/>
            <w:vMerge/>
            <w:tcBorders>
              <w:top w:val="nil"/>
              <w:left w:val="nil"/>
              <w:bottom w:val="nil"/>
            </w:tcBorders>
            <w:shd w:val="clear" w:color="auto" w:fill="CDEBEB"/>
          </w:tcPr>
          <w:p>
            <w:pPr>
              <w:rPr>
                <w:sz w:val="2"/>
                <w:szCs w:val="2"/>
              </w:rPr>
            </w:pPr>
          </w:p>
        </w:tc>
        <w:tc>
          <w:tcPr>
            <w:tcW w:w="2554" w:type="dxa"/>
            <w:shd w:val="clear" w:color="auto" w:fill="FFFFFF"/>
          </w:tcPr>
          <w:p>
            <w:pPr>
              <w:pStyle w:val="TableParagraph"/>
              <w:spacing w:before="59"/>
              <w:ind w:left="112"/>
              <w:rPr>
                <w:sz w:val="20"/>
              </w:rPr>
            </w:pPr>
            <w:r>
              <w:rPr>
                <w:sz w:val="20"/>
              </w:rPr>
              <w:t>Bushfire</w:t>
            </w:r>
            <w:r>
              <w:rPr>
                <w:spacing w:val="-12"/>
                <w:sz w:val="20"/>
              </w:rPr>
              <w:t> </w:t>
            </w:r>
            <w:r>
              <w:rPr>
                <w:sz w:val="20"/>
              </w:rPr>
              <w:t>mitigation</w:t>
            </w:r>
            <w:r>
              <w:rPr>
                <w:spacing w:val="-11"/>
                <w:sz w:val="20"/>
              </w:rPr>
              <w:t> </w:t>
            </w:r>
            <w:r>
              <w:rPr>
                <w:spacing w:val="-2"/>
                <w:sz w:val="20"/>
              </w:rPr>
              <w:t>audits</w:t>
            </w:r>
          </w:p>
        </w:tc>
        <w:tc>
          <w:tcPr>
            <w:tcW w:w="1020" w:type="dxa"/>
            <w:shd w:val="clear" w:color="auto" w:fill="FFFFFF"/>
          </w:tcPr>
          <w:p>
            <w:pPr>
              <w:pStyle w:val="TableParagraph"/>
              <w:spacing w:before="59"/>
              <w:ind w:left="95" w:right="96"/>
              <w:jc w:val="center"/>
              <w:rPr>
                <w:sz w:val="20"/>
              </w:rPr>
            </w:pPr>
            <w:r>
              <w:rPr>
                <w:spacing w:val="-5"/>
                <w:sz w:val="20"/>
              </w:rPr>
              <w:t>10</w:t>
            </w:r>
          </w:p>
        </w:tc>
        <w:tc>
          <w:tcPr>
            <w:tcW w:w="1020" w:type="dxa"/>
            <w:shd w:val="clear" w:color="auto" w:fill="FFFFFF"/>
          </w:tcPr>
          <w:p>
            <w:pPr>
              <w:pStyle w:val="TableParagraph"/>
              <w:rPr>
                <w:rFonts w:ascii="Times New Roman"/>
                <w:sz w:val="20"/>
              </w:rPr>
            </w:pPr>
          </w:p>
        </w:tc>
        <w:tc>
          <w:tcPr>
            <w:tcW w:w="1023" w:type="dxa"/>
            <w:shd w:val="clear" w:color="auto" w:fill="FFFFFF"/>
          </w:tcPr>
          <w:p>
            <w:pPr>
              <w:pStyle w:val="TableParagraph"/>
              <w:spacing w:before="59"/>
              <w:ind w:left="271" w:right="272"/>
              <w:jc w:val="center"/>
              <w:rPr>
                <w:sz w:val="20"/>
              </w:rPr>
            </w:pPr>
            <w:r>
              <w:rPr>
                <w:spacing w:val="-5"/>
                <w:sz w:val="20"/>
              </w:rPr>
              <w:t>20</w:t>
            </w:r>
          </w:p>
        </w:tc>
        <w:tc>
          <w:tcPr>
            <w:tcW w:w="1020" w:type="dxa"/>
            <w:shd w:val="clear" w:color="auto" w:fill="FFFFFF"/>
          </w:tcPr>
          <w:p>
            <w:pPr>
              <w:pStyle w:val="TableParagraph"/>
              <w:spacing w:before="59"/>
              <w:ind w:right="1"/>
              <w:jc w:val="center"/>
              <w:rPr>
                <w:sz w:val="20"/>
              </w:rPr>
            </w:pPr>
            <w:r>
              <w:rPr>
                <w:w w:val="99"/>
                <w:sz w:val="20"/>
              </w:rPr>
              <w:t>5</w:t>
            </w:r>
          </w:p>
        </w:tc>
        <w:tc>
          <w:tcPr>
            <w:tcW w:w="1023" w:type="dxa"/>
            <w:shd w:val="clear" w:color="auto" w:fill="FFFFFF"/>
          </w:tcPr>
          <w:p>
            <w:pPr>
              <w:pStyle w:val="TableParagraph"/>
              <w:spacing w:before="59"/>
              <w:ind w:left="271" w:right="273"/>
              <w:jc w:val="center"/>
              <w:rPr>
                <w:sz w:val="20"/>
              </w:rPr>
            </w:pPr>
            <w:r>
              <w:rPr>
                <w:spacing w:val="-5"/>
                <w:sz w:val="20"/>
              </w:rPr>
              <w:t>10</w:t>
            </w:r>
          </w:p>
        </w:tc>
        <w:tc>
          <w:tcPr>
            <w:tcW w:w="1025" w:type="dxa"/>
            <w:shd w:val="clear" w:color="auto" w:fill="D9D9D9"/>
          </w:tcPr>
          <w:p>
            <w:pPr>
              <w:pStyle w:val="TableParagraph"/>
              <w:spacing w:before="59"/>
              <w:ind w:left="95" w:right="96"/>
              <w:jc w:val="center"/>
              <w:rPr>
                <w:sz w:val="20"/>
              </w:rPr>
            </w:pPr>
            <w:r>
              <w:rPr>
                <w:spacing w:val="-5"/>
                <w:sz w:val="20"/>
              </w:rPr>
              <w:t>10</w:t>
            </w:r>
          </w:p>
        </w:tc>
        <w:tc>
          <w:tcPr>
            <w:tcW w:w="281" w:type="dxa"/>
            <w:vMerge/>
            <w:tcBorders>
              <w:top w:val="nil"/>
              <w:bottom w:val="nil"/>
              <w:right w:val="nil"/>
            </w:tcBorders>
            <w:shd w:val="clear" w:color="auto" w:fill="CDEBEB"/>
          </w:tcPr>
          <w:p>
            <w:pPr>
              <w:rPr>
                <w:sz w:val="2"/>
                <w:szCs w:val="2"/>
              </w:rPr>
            </w:pPr>
          </w:p>
        </w:tc>
      </w:tr>
      <w:tr>
        <w:trPr>
          <w:trHeight w:val="671" w:hRule="atLeast"/>
        </w:trPr>
        <w:tc>
          <w:tcPr>
            <w:tcW w:w="278" w:type="dxa"/>
            <w:vMerge/>
            <w:tcBorders>
              <w:top w:val="nil"/>
              <w:left w:val="nil"/>
              <w:bottom w:val="nil"/>
            </w:tcBorders>
            <w:shd w:val="clear" w:color="auto" w:fill="CDEBEB"/>
          </w:tcPr>
          <w:p>
            <w:pPr>
              <w:rPr>
                <w:sz w:val="2"/>
                <w:szCs w:val="2"/>
              </w:rPr>
            </w:pPr>
          </w:p>
        </w:tc>
        <w:tc>
          <w:tcPr>
            <w:tcW w:w="2554" w:type="dxa"/>
            <w:shd w:val="clear" w:color="auto" w:fill="FFFFFF"/>
          </w:tcPr>
          <w:p>
            <w:pPr>
              <w:pStyle w:val="TableParagraph"/>
              <w:spacing w:line="288" w:lineRule="auto" w:before="59"/>
              <w:ind w:left="112"/>
              <w:rPr>
                <w:i/>
                <w:sz w:val="20"/>
              </w:rPr>
            </w:pPr>
            <w:r>
              <w:rPr>
                <w:i/>
                <w:sz w:val="20"/>
              </w:rPr>
              <w:t>Compliance</w:t>
            </w:r>
            <w:r>
              <w:rPr>
                <w:i/>
                <w:spacing w:val="-14"/>
                <w:sz w:val="20"/>
              </w:rPr>
              <w:t> </w:t>
            </w:r>
            <w:r>
              <w:rPr>
                <w:i/>
                <w:sz w:val="20"/>
              </w:rPr>
              <w:t>actions</w:t>
            </w:r>
            <w:r>
              <w:rPr>
                <w:i/>
                <w:spacing w:val="-14"/>
                <w:sz w:val="20"/>
              </w:rPr>
              <w:t> </w:t>
            </w:r>
            <w:r>
              <w:rPr>
                <w:i/>
                <w:sz w:val="20"/>
              </w:rPr>
              <w:t>from </w:t>
            </w:r>
            <w:r>
              <w:rPr>
                <w:i/>
                <w:spacing w:val="-2"/>
                <w:sz w:val="20"/>
              </w:rPr>
              <w:t>audits</w:t>
            </w:r>
          </w:p>
        </w:tc>
        <w:tc>
          <w:tcPr>
            <w:tcW w:w="1020" w:type="dxa"/>
            <w:shd w:val="clear" w:color="auto" w:fill="FFFFFF"/>
          </w:tcPr>
          <w:p>
            <w:pPr>
              <w:pStyle w:val="TableParagraph"/>
              <w:spacing w:before="59"/>
              <w:jc w:val="center"/>
              <w:rPr>
                <w:sz w:val="20"/>
              </w:rPr>
            </w:pPr>
            <w:r>
              <w:rPr>
                <w:w w:val="99"/>
                <w:sz w:val="20"/>
              </w:rPr>
              <w:t>-</w:t>
            </w:r>
          </w:p>
        </w:tc>
        <w:tc>
          <w:tcPr>
            <w:tcW w:w="1020" w:type="dxa"/>
            <w:shd w:val="clear" w:color="auto" w:fill="FFFFFF"/>
          </w:tcPr>
          <w:p>
            <w:pPr>
              <w:pStyle w:val="TableParagraph"/>
              <w:spacing w:before="59"/>
              <w:ind w:left="95" w:right="96"/>
              <w:jc w:val="center"/>
              <w:rPr>
                <w:sz w:val="20"/>
              </w:rPr>
            </w:pPr>
            <w:r>
              <w:rPr>
                <w:spacing w:val="-5"/>
                <w:sz w:val="20"/>
              </w:rPr>
              <w:t>23</w:t>
            </w:r>
          </w:p>
        </w:tc>
        <w:tc>
          <w:tcPr>
            <w:tcW w:w="1023" w:type="dxa"/>
            <w:shd w:val="clear" w:color="auto" w:fill="FFFFFF"/>
          </w:tcPr>
          <w:p>
            <w:pPr>
              <w:pStyle w:val="TableParagraph"/>
              <w:spacing w:before="59"/>
              <w:ind w:left="271" w:right="272"/>
              <w:jc w:val="center"/>
              <w:rPr>
                <w:sz w:val="20"/>
              </w:rPr>
            </w:pPr>
            <w:r>
              <w:rPr>
                <w:spacing w:val="-5"/>
                <w:sz w:val="20"/>
              </w:rPr>
              <w:t>15</w:t>
            </w:r>
          </w:p>
        </w:tc>
        <w:tc>
          <w:tcPr>
            <w:tcW w:w="1020" w:type="dxa"/>
            <w:shd w:val="clear" w:color="auto" w:fill="FFFFFF"/>
          </w:tcPr>
          <w:p>
            <w:pPr>
              <w:pStyle w:val="TableParagraph"/>
              <w:spacing w:before="59"/>
              <w:ind w:left="95" w:right="96"/>
              <w:jc w:val="center"/>
              <w:rPr>
                <w:sz w:val="20"/>
              </w:rPr>
            </w:pPr>
            <w:r>
              <w:rPr>
                <w:spacing w:val="-5"/>
                <w:sz w:val="20"/>
              </w:rPr>
              <w:t>31</w:t>
            </w:r>
          </w:p>
        </w:tc>
        <w:tc>
          <w:tcPr>
            <w:tcW w:w="1023" w:type="dxa"/>
            <w:shd w:val="clear" w:color="auto" w:fill="FFFFFF"/>
          </w:tcPr>
          <w:p>
            <w:pPr>
              <w:pStyle w:val="TableParagraph"/>
              <w:spacing w:before="59"/>
              <w:ind w:left="271" w:right="273"/>
              <w:jc w:val="center"/>
              <w:rPr>
                <w:sz w:val="20"/>
              </w:rPr>
            </w:pPr>
            <w:r>
              <w:rPr>
                <w:spacing w:val="-5"/>
                <w:sz w:val="20"/>
              </w:rPr>
              <w:t>39</w:t>
            </w:r>
          </w:p>
        </w:tc>
        <w:tc>
          <w:tcPr>
            <w:tcW w:w="1025" w:type="dxa"/>
            <w:shd w:val="clear" w:color="auto" w:fill="D9D9D9"/>
          </w:tcPr>
          <w:p>
            <w:pPr>
              <w:pStyle w:val="TableParagraph"/>
              <w:spacing w:before="59"/>
              <w:ind w:left="95" w:right="96"/>
              <w:jc w:val="center"/>
              <w:rPr>
                <w:sz w:val="20"/>
              </w:rPr>
            </w:pPr>
            <w:r>
              <w:rPr>
                <w:spacing w:val="-5"/>
                <w:sz w:val="20"/>
              </w:rPr>
              <w:t>27</w:t>
            </w:r>
          </w:p>
        </w:tc>
        <w:tc>
          <w:tcPr>
            <w:tcW w:w="281" w:type="dxa"/>
            <w:vMerge/>
            <w:tcBorders>
              <w:top w:val="nil"/>
              <w:bottom w:val="nil"/>
              <w:right w:val="nil"/>
            </w:tcBorders>
            <w:shd w:val="clear" w:color="auto" w:fill="CDEBEB"/>
          </w:tcPr>
          <w:p>
            <w:pPr>
              <w:rPr>
                <w:sz w:val="2"/>
                <w:szCs w:val="2"/>
              </w:rPr>
            </w:pPr>
          </w:p>
        </w:tc>
      </w:tr>
      <w:tr>
        <w:trPr>
          <w:trHeight w:val="395" w:hRule="atLeast"/>
        </w:trPr>
        <w:tc>
          <w:tcPr>
            <w:tcW w:w="278" w:type="dxa"/>
            <w:vMerge/>
            <w:tcBorders>
              <w:top w:val="nil"/>
              <w:left w:val="nil"/>
              <w:bottom w:val="nil"/>
            </w:tcBorders>
            <w:shd w:val="clear" w:color="auto" w:fill="CDEBEB"/>
          </w:tcPr>
          <w:p>
            <w:pPr>
              <w:rPr>
                <w:sz w:val="2"/>
                <w:szCs w:val="2"/>
              </w:rPr>
            </w:pPr>
          </w:p>
        </w:tc>
        <w:tc>
          <w:tcPr>
            <w:tcW w:w="2554" w:type="dxa"/>
            <w:shd w:val="clear" w:color="auto" w:fill="FFFFFF"/>
          </w:tcPr>
          <w:p>
            <w:pPr>
              <w:pStyle w:val="TableParagraph"/>
              <w:spacing w:before="59"/>
              <w:ind w:left="112"/>
              <w:rPr>
                <w:sz w:val="20"/>
              </w:rPr>
            </w:pPr>
            <w:r>
              <w:rPr>
                <w:sz w:val="20"/>
              </w:rPr>
              <w:t>Work</w:t>
            </w:r>
            <w:r>
              <w:rPr>
                <w:spacing w:val="-4"/>
                <w:sz w:val="20"/>
              </w:rPr>
              <w:t> </w:t>
            </w:r>
            <w:r>
              <w:rPr>
                <w:sz w:val="20"/>
              </w:rPr>
              <w:t>practice</w:t>
            </w:r>
            <w:r>
              <w:rPr>
                <w:spacing w:val="-6"/>
                <w:sz w:val="20"/>
              </w:rPr>
              <w:t> </w:t>
            </w:r>
            <w:r>
              <w:rPr>
                <w:spacing w:val="-2"/>
                <w:sz w:val="20"/>
              </w:rPr>
              <w:t>audits</w:t>
            </w:r>
          </w:p>
        </w:tc>
        <w:tc>
          <w:tcPr>
            <w:tcW w:w="1020" w:type="dxa"/>
            <w:shd w:val="clear" w:color="auto" w:fill="FFFFFF"/>
          </w:tcPr>
          <w:p>
            <w:pPr>
              <w:pStyle w:val="TableParagraph"/>
              <w:spacing w:before="59"/>
              <w:ind w:left="95" w:right="96"/>
              <w:jc w:val="center"/>
              <w:rPr>
                <w:sz w:val="20"/>
              </w:rPr>
            </w:pPr>
            <w:r>
              <w:rPr>
                <w:spacing w:val="-5"/>
                <w:sz w:val="20"/>
              </w:rPr>
              <w:t>14</w:t>
            </w:r>
          </w:p>
        </w:tc>
        <w:tc>
          <w:tcPr>
            <w:tcW w:w="1020" w:type="dxa"/>
            <w:shd w:val="clear" w:color="auto" w:fill="FFFFFF"/>
          </w:tcPr>
          <w:p>
            <w:pPr>
              <w:pStyle w:val="TableParagraph"/>
              <w:spacing w:before="59"/>
              <w:ind w:left="95" w:right="96"/>
              <w:jc w:val="center"/>
              <w:rPr>
                <w:sz w:val="20"/>
              </w:rPr>
            </w:pPr>
            <w:r>
              <w:rPr>
                <w:spacing w:val="-5"/>
                <w:sz w:val="20"/>
              </w:rPr>
              <w:t>30</w:t>
            </w:r>
          </w:p>
        </w:tc>
        <w:tc>
          <w:tcPr>
            <w:tcW w:w="1023" w:type="dxa"/>
            <w:shd w:val="clear" w:color="auto" w:fill="FFFFFF"/>
          </w:tcPr>
          <w:p>
            <w:pPr>
              <w:pStyle w:val="TableParagraph"/>
              <w:spacing w:before="59"/>
              <w:ind w:left="271" w:right="272"/>
              <w:jc w:val="center"/>
              <w:rPr>
                <w:sz w:val="20"/>
              </w:rPr>
            </w:pPr>
            <w:r>
              <w:rPr>
                <w:spacing w:val="-5"/>
                <w:sz w:val="20"/>
              </w:rPr>
              <w:t>30</w:t>
            </w:r>
          </w:p>
        </w:tc>
        <w:tc>
          <w:tcPr>
            <w:tcW w:w="1020" w:type="dxa"/>
            <w:shd w:val="clear" w:color="auto" w:fill="FFFFFF"/>
          </w:tcPr>
          <w:p>
            <w:pPr>
              <w:pStyle w:val="TableParagraph"/>
              <w:spacing w:before="59"/>
              <w:ind w:left="95" w:right="96"/>
              <w:jc w:val="center"/>
              <w:rPr>
                <w:sz w:val="20"/>
              </w:rPr>
            </w:pPr>
            <w:r>
              <w:rPr>
                <w:spacing w:val="-5"/>
                <w:sz w:val="20"/>
              </w:rPr>
              <w:t>22</w:t>
            </w:r>
          </w:p>
        </w:tc>
        <w:tc>
          <w:tcPr>
            <w:tcW w:w="1023" w:type="dxa"/>
            <w:shd w:val="clear" w:color="auto" w:fill="FFFFFF"/>
          </w:tcPr>
          <w:p>
            <w:pPr>
              <w:pStyle w:val="TableParagraph"/>
              <w:spacing w:before="59"/>
              <w:ind w:left="271" w:right="273"/>
              <w:jc w:val="center"/>
              <w:rPr>
                <w:sz w:val="20"/>
              </w:rPr>
            </w:pPr>
            <w:r>
              <w:rPr>
                <w:spacing w:val="-5"/>
                <w:sz w:val="20"/>
              </w:rPr>
              <w:t>28</w:t>
            </w:r>
          </w:p>
        </w:tc>
        <w:tc>
          <w:tcPr>
            <w:tcW w:w="1025" w:type="dxa"/>
            <w:shd w:val="clear" w:color="auto" w:fill="D9D9D9"/>
          </w:tcPr>
          <w:p>
            <w:pPr>
              <w:pStyle w:val="TableParagraph"/>
              <w:spacing w:before="59"/>
              <w:ind w:left="95" w:right="96"/>
              <w:jc w:val="center"/>
              <w:rPr>
                <w:sz w:val="20"/>
              </w:rPr>
            </w:pPr>
            <w:r>
              <w:rPr>
                <w:spacing w:val="-5"/>
                <w:sz w:val="20"/>
              </w:rPr>
              <w:t>28</w:t>
            </w:r>
          </w:p>
        </w:tc>
        <w:tc>
          <w:tcPr>
            <w:tcW w:w="281" w:type="dxa"/>
            <w:vMerge/>
            <w:tcBorders>
              <w:top w:val="nil"/>
              <w:bottom w:val="nil"/>
              <w:right w:val="nil"/>
            </w:tcBorders>
            <w:shd w:val="clear" w:color="auto" w:fill="CDEBEB"/>
          </w:tcPr>
          <w:p>
            <w:pPr>
              <w:rPr>
                <w:sz w:val="2"/>
                <w:szCs w:val="2"/>
              </w:rPr>
            </w:pPr>
          </w:p>
        </w:tc>
      </w:tr>
      <w:tr>
        <w:trPr>
          <w:trHeight w:val="671" w:hRule="atLeast"/>
        </w:trPr>
        <w:tc>
          <w:tcPr>
            <w:tcW w:w="278" w:type="dxa"/>
            <w:vMerge/>
            <w:tcBorders>
              <w:top w:val="nil"/>
              <w:left w:val="nil"/>
              <w:bottom w:val="nil"/>
            </w:tcBorders>
            <w:shd w:val="clear" w:color="auto" w:fill="CDEBEB"/>
          </w:tcPr>
          <w:p>
            <w:pPr>
              <w:rPr>
                <w:sz w:val="2"/>
                <w:szCs w:val="2"/>
              </w:rPr>
            </w:pPr>
          </w:p>
        </w:tc>
        <w:tc>
          <w:tcPr>
            <w:tcW w:w="2554" w:type="dxa"/>
            <w:shd w:val="clear" w:color="auto" w:fill="FFFFFF"/>
          </w:tcPr>
          <w:p>
            <w:pPr>
              <w:pStyle w:val="TableParagraph"/>
              <w:spacing w:line="288" w:lineRule="auto" w:before="59"/>
              <w:ind w:left="112"/>
              <w:rPr>
                <w:i/>
                <w:sz w:val="20"/>
              </w:rPr>
            </w:pPr>
            <w:r>
              <w:rPr>
                <w:i/>
                <w:sz w:val="20"/>
              </w:rPr>
              <w:t>Compliance</w:t>
            </w:r>
            <w:r>
              <w:rPr>
                <w:i/>
                <w:spacing w:val="-14"/>
                <w:sz w:val="20"/>
              </w:rPr>
              <w:t> </w:t>
            </w:r>
            <w:r>
              <w:rPr>
                <w:i/>
                <w:sz w:val="20"/>
              </w:rPr>
              <w:t>actions</w:t>
            </w:r>
            <w:r>
              <w:rPr>
                <w:i/>
                <w:spacing w:val="-14"/>
                <w:sz w:val="20"/>
              </w:rPr>
              <w:t> </w:t>
            </w:r>
            <w:r>
              <w:rPr>
                <w:i/>
                <w:sz w:val="20"/>
              </w:rPr>
              <w:t>from </w:t>
            </w:r>
            <w:r>
              <w:rPr>
                <w:i/>
                <w:spacing w:val="-2"/>
                <w:sz w:val="20"/>
              </w:rPr>
              <w:t>audits</w:t>
            </w:r>
          </w:p>
        </w:tc>
        <w:tc>
          <w:tcPr>
            <w:tcW w:w="1020" w:type="dxa"/>
            <w:shd w:val="clear" w:color="auto" w:fill="FFFFFF"/>
          </w:tcPr>
          <w:p>
            <w:pPr>
              <w:pStyle w:val="TableParagraph"/>
              <w:spacing w:before="60"/>
              <w:ind w:left="1"/>
              <w:jc w:val="center"/>
              <w:rPr>
                <w:sz w:val="22"/>
              </w:rPr>
            </w:pPr>
            <w:r>
              <w:rPr>
                <w:w w:val="100"/>
                <w:sz w:val="22"/>
              </w:rPr>
              <w:t>–</w:t>
            </w:r>
          </w:p>
        </w:tc>
        <w:tc>
          <w:tcPr>
            <w:tcW w:w="1020" w:type="dxa"/>
            <w:shd w:val="clear" w:color="auto" w:fill="FFFFFF"/>
          </w:tcPr>
          <w:p>
            <w:pPr>
              <w:pStyle w:val="TableParagraph"/>
              <w:spacing w:before="59"/>
              <w:ind w:left="95" w:right="96"/>
              <w:jc w:val="center"/>
              <w:rPr>
                <w:sz w:val="20"/>
              </w:rPr>
            </w:pPr>
            <w:r>
              <w:rPr>
                <w:spacing w:val="-5"/>
                <w:sz w:val="20"/>
              </w:rPr>
              <w:t>118</w:t>
            </w:r>
          </w:p>
        </w:tc>
        <w:tc>
          <w:tcPr>
            <w:tcW w:w="1023" w:type="dxa"/>
            <w:shd w:val="clear" w:color="auto" w:fill="FFFFFF"/>
          </w:tcPr>
          <w:p>
            <w:pPr>
              <w:pStyle w:val="TableParagraph"/>
              <w:spacing w:before="59"/>
              <w:ind w:left="271" w:right="272"/>
              <w:jc w:val="center"/>
              <w:rPr>
                <w:sz w:val="20"/>
              </w:rPr>
            </w:pPr>
            <w:r>
              <w:rPr>
                <w:spacing w:val="-5"/>
                <w:sz w:val="20"/>
              </w:rPr>
              <w:t>30</w:t>
            </w:r>
          </w:p>
        </w:tc>
        <w:tc>
          <w:tcPr>
            <w:tcW w:w="1020" w:type="dxa"/>
            <w:shd w:val="clear" w:color="auto" w:fill="FFFFFF"/>
          </w:tcPr>
          <w:p>
            <w:pPr>
              <w:pStyle w:val="TableParagraph"/>
              <w:spacing w:before="59"/>
              <w:ind w:left="95" w:right="96"/>
              <w:jc w:val="center"/>
              <w:rPr>
                <w:sz w:val="20"/>
              </w:rPr>
            </w:pPr>
            <w:r>
              <w:rPr>
                <w:spacing w:val="-5"/>
                <w:sz w:val="20"/>
              </w:rPr>
              <w:t>71</w:t>
            </w:r>
          </w:p>
        </w:tc>
        <w:tc>
          <w:tcPr>
            <w:tcW w:w="1023" w:type="dxa"/>
            <w:shd w:val="clear" w:color="auto" w:fill="FFFFFF"/>
          </w:tcPr>
          <w:p>
            <w:pPr>
              <w:pStyle w:val="TableParagraph"/>
              <w:spacing w:before="59"/>
              <w:ind w:left="271" w:right="273"/>
              <w:jc w:val="center"/>
              <w:rPr>
                <w:sz w:val="20"/>
              </w:rPr>
            </w:pPr>
            <w:r>
              <w:rPr>
                <w:spacing w:val="-5"/>
                <w:sz w:val="20"/>
              </w:rPr>
              <w:t>88</w:t>
            </w:r>
          </w:p>
        </w:tc>
        <w:tc>
          <w:tcPr>
            <w:tcW w:w="1025" w:type="dxa"/>
            <w:shd w:val="clear" w:color="auto" w:fill="D9D9D9"/>
          </w:tcPr>
          <w:p>
            <w:pPr>
              <w:pStyle w:val="TableParagraph"/>
              <w:spacing w:before="59"/>
              <w:ind w:left="95" w:right="96"/>
              <w:jc w:val="center"/>
              <w:rPr>
                <w:sz w:val="20"/>
              </w:rPr>
            </w:pPr>
            <w:r>
              <w:rPr>
                <w:spacing w:val="-5"/>
                <w:sz w:val="20"/>
              </w:rPr>
              <w:t>77</w:t>
            </w:r>
          </w:p>
        </w:tc>
        <w:tc>
          <w:tcPr>
            <w:tcW w:w="281" w:type="dxa"/>
            <w:vMerge/>
            <w:tcBorders>
              <w:top w:val="nil"/>
              <w:bottom w:val="nil"/>
              <w:right w:val="nil"/>
            </w:tcBorders>
            <w:shd w:val="clear" w:color="auto" w:fill="CDEBEB"/>
          </w:tcPr>
          <w:p>
            <w:pPr>
              <w:rPr>
                <w:sz w:val="2"/>
                <w:szCs w:val="2"/>
              </w:rPr>
            </w:pPr>
          </w:p>
        </w:tc>
      </w:tr>
      <w:tr>
        <w:trPr>
          <w:trHeight w:val="8499" w:hRule="atLeast"/>
        </w:trPr>
        <w:tc>
          <w:tcPr>
            <w:tcW w:w="9244" w:type="dxa"/>
            <w:gridSpan w:val="9"/>
            <w:tcBorders>
              <w:top w:val="nil"/>
              <w:left w:val="nil"/>
              <w:bottom w:val="nil"/>
              <w:right w:val="nil"/>
            </w:tcBorders>
            <w:shd w:val="clear" w:color="auto" w:fill="CDEBEB"/>
          </w:tcPr>
          <w:p>
            <w:pPr>
              <w:pStyle w:val="TableParagraph"/>
              <w:spacing w:before="9"/>
              <w:rPr>
                <w:sz w:val="33"/>
              </w:rPr>
            </w:pPr>
          </w:p>
          <w:p>
            <w:pPr>
              <w:pStyle w:val="TableParagraph"/>
              <w:ind w:left="112"/>
              <w:rPr>
                <w:sz w:val="22"/>
              </w:rPr>
            </w:pPr>
            <w:r>
              <w:rPr>
                <w:sz w:val="22"/>
              </w:rPr>
              <w:t>GAS</w:t>
            </w:r>
            <w:r>
              <w:rPr>
                <w:spacing w:val="-9"/>
                <w:sz w:val="22"/>
              </w:rPr>
              <w:t> </w:t>
            </w:r>
            <w:r>
              <w:rPr>
                <w:sz w:val="22"/>
              </w:rPr>
              <w:t>AND</w:t>
            </w:r>
            <w:r>
              <w:rPr>
                <w:spacing w:val="-6"/>
                <w:sz w:val="22"/>
              </w:rPr>
              <w:t> </w:t>
            </w:r>
            <w:r>
              <w:rPr>
                <w:sz w:val="22"/>
              </w:rPr>
              <w:t>PIPELINE</w:t>
            </w:r>
            <w:r>
              <w:rPr>
                <w:spacing w:val="-6"/>
                <w:sz w:val="22"/>
              </w:rPr>
              <w:t> </w:t>
            </w:r>
            <w:r>
              <w:rPr>
                <w:sz w:val="22"/>
              </w:rPr>
              <w:t>INFRASTRUCTURE</w:t>
            </w:r>
            <w:r>
              <w:rPr>
                <w:spacing w:val="-6"/>
                <w:sz w:val="22"/>
              </w:rPr>
              <w:t> </w:t>
            </w:r>
            <w:r>
              <w:rPr>
                <w:sz w:val="22"/>
              </w:rPr>
              <w:t>SAFETY</w:t>
            </w:r>
            <w:r>
              <w:rPr>
                <w:spacing w:val="-6"/>
                <w:sz w:val="22"/>
              </w:rPr>
              <w:t> </w:t>
            </w:r>
            <w:r>
              <w:rPr>
                <w:spacing w:val="-2"/>
                <w:sz w:val="22"/>
              </w:rPr>
              <w:t>COMPLIANCE</w:t>
            </w:r>
          </w:p>
        </w:tc>
      </w:tr>
    </w:tbl>
    <w:p>
      <w:pPr>
        <w:pStyle w:val="BodyText"/>
        <w:spacing w:before="5"/>
        <w:rPr>
          <w:sz w:val="18"/>
        </w:rPr>
      </w:pPr>
    </w:p>
    <w:p>
      <w:pPr>
        <w:pStyle w:val="BodyText"/>
        <w:spacing w:line="288" w:lineRule="auto" w:before="94"/>
        <w:ind w:left="600" w:right="311"/>
      </w:pPr>
      <w:r>
        <w:rPr/>
        <mc:AlternateContent>
          <mc:Choice Requires="wps">
            <w:drawing>
              <wp:anchor distT="0" distB="0" distL="0" distR="0" allowOverlap="1" layoutInCell="1" locked="0" behindDoc="0" simplePos="0" relativeHeight="15760896">
                <wp:simplePos x="0" y="0"/>
                <wp:positionH relativeFrom="page">
                  <wp:posOffset>1050340</wp:posOffset>
                </wp:positionH>
                <wp:positionV relativeFrom="paragraph">
                  <wp:posOffset>-4938548</wp:posOffset>
                </wp:positionV>
                <wp:extent cx="5597525" cy="4419600"/>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5597525" cy="4419600"/>
                        </a:xfrm>
                        <a:prstGeom prst="rect">
                          <a:avLst/>
                        </a:prstGeom>
                      </wps:spPr>
                      <wps:txbx>
                        <w:txbxContent>
                          <w:tbl>
                            <w:tblPr>
                              <w:tblW w:w="0" w:type="auto"/>
                              <w:jc w:val="left"/>
                              <w:tblInd w:w="6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2554"/>
                              <w:gridCol w:w="1020"/>
                              <w:gridCol w:w="1020"/>
                              <w:gridCol w:w="1023"/>
                              <w:gridCol w:w="1020"/>
                              <w:gridCol w:w="1023"/>
                              <w:gridCol w:w="1025"/>
                            </w:tblGrid>
                            <w:tr>
                              <w:trPr>
                                <w:trHeight w:val="734" w:hRule="atLeast"/>
                              </w:trPr>
                              <w:tc>
                                <w:tcPr>
                                  <w:tcW w:w="2554" w:type="dxa"/>
                                  <w:shd w:val="clear" w:color="auto" w:fill="A6A6A6"/>
                                </w:tcPr>
                                <w:p>
                                  <w:pPr>
                                    <w:pStyle w:val="TableParagraph"/>
                                    <w:rPr>
                                      <w:i/>
                                      <w:sz w:val="20"/>
                                    </w:rPr>
                                  </w:pPr>
                                </w:p>
                                <w:p>
                                  <w:pPr>
                                    <w:pStyle w:val="TableParagraph"/>
                                    <w:ind w:left="117"/>
                                    <w:rPr>
                                      <w:b/>
                                      <w:sz w:val="20"/>
                                    </w:rPr>
                                  </w:pPr>
                                  <w:r>
                                    <w:rPr>
                                      <w:b/>
                                      <w:color w:val="FFFFFF"/>
                                      <w:sz w:val="20"/>
                                    </w:rPr>
                                    <w:t>Measure-</w:t>
                                  </w:r>
                                  <w:r>
                                    <w:rPr>
                                      <w:b/>
                                      <w:color w:val="FFFFFF"/>
                                      <w:spacing w:val="-11"/>
                                      <w:sz w:val="20"/>
                                    </w:rPr>
                                    <w:t> </w:t>
                                  </w:r>
                                  <w:r>
                                    <w:rPr>
                                      <w:b/>
                                      <w:color w:val="FFFFFF"/>
                                      <w:spacing w:val="-2"/>
                                      <w:sz w:val="20"/>
                                    </w:rPr>
                                    <w:t>numbers</w:t>
                                  </w:r>
                                </w:p>
                              </w:tc>
                              <w:tc>
                                <w:tcPr>
                                  <w:tcW w:w="1020" w:type="dxa"/>
                                  <w:shd w:val="clear" w:color="auto" w:fill="A6A6A6"/>
                                </w:tcPr>
                                <w:p>
                                  <w:pPr>
                                    <w:pStyle w:val="TableParagraph"/>
                                    <w:spacing w:line="288" w:lineRule="auto" w:before="90"/>
                                    <w:ind w:left="117" w:right="108"/>
                                    <w:rPr>
                                      <w:b/>
                                      <w:sz w:val="20"/>
                                    </w:rPr>
                                  </w:pPr>
                                  <w:r>
                                    <w:rPr>
                                      <w:b/>
                                      <w:color w:val="FFFFFF"/>
                                      <w:spacing w:val="-2"/>
                                      <w:sz w:val="20"/>
                                    </w:rPr>
                                    <w:t>Target 2016–17</w:t>
                                  </w:r>
                                </w:p>
                              </w:tc>
                              <w:tc>
                                <w:tcPr>
                                  <w:tcW w:w="1020" w:type="dxa"/>
                                  <w:shd w:val="clear" w:color="auto" w:fill="A6A6A6"/>
                                </w:tcPr>
                                <w:p>
                                  <w:pPr>
                                    <w:pStyle w:val="TableParagraph"/>
                                    <w:spacing w:before="62"/>
                                    <w:ind w:left="117"/>
                                    <w:rPr>
                                      <w:b/>
                                      <w:sz w:val="20"/>
                                    </w:rPr>
                                  </w:pPr>
                                  <w:r>
                                    <w:rPr>
                                      <w:b/>
                                      <w:color w:val="FFFFFF"/>
                                      <w:spacing w:val="-2"/>
                                      <w:sz w:val="20"/>
                                    </w:rPr>
                                    <w:t>2013–14</w:t>
                                  </w:r>
                                </w:p>
                                <w:p>
                                  <w:pPr>
                                    <w:pStyle w:val="TableParagraph"/>
                                    <w:spacing w:before="106"/>
                                    <w:ind w:left="117"/>
                                    <w:rPr>
                                      <w:b/>
                                      <w:sz w:val="20"/>
                                    </w:rPr>
                                  </w:pPr>
                                  <w:r>
                                    <w:rPr>
                                      <w:b/>
                                      <w:color w:val="FFFFFF"/>
                                      <w:spacing w:val="-2"/>
                                      <w:sz w:val="20"/>
                                    </w:rPr>
                                    <w:t>Result</w:t>
                                  </w:r>
                                </w:p>
                              </w:tc>
                              <w:tc>
                                <w:tcPr>
                                  <w:tcW w:w="1023" w:type="dxa"/>
                                  <w:shd w:val="clear" w:color="auto" w:fill="A6A6A6"/>
                                </w:tcPr>
                                <w:p>
                                  <w:pPr>
                                    <w:pStyle w:val="TableParagraph"/>
                                    <w:spacing w:before="90"/>
                                    <w:ind w:left="117"/>
                                    <w:rPr>
                                      <w:b/>
                                      <w:sz w:val="20"/>
                                    </w:rPr>
                                  </w:pPr>
                                  <w:r>
                                    <w:rPr>
                                      <w:b/>
                                      <w:color w:val="FFFFFF"/>
                                      <w:spacing w:val="-2"/>
                                      <w:sz w:val="20"/>
                                    </w:rPr>
                                    <w:t>2014–15</w:t>
                                  </w:r>
                                </w:p>
                                <w:p>
                                  <w:pPr>
                                    <w:pStyle w:val="TableParagraph"/>
                                    <w:spacing w:before="47"/>
                                    <w:ind w:left="117"/>
                                    <w:rPr>
                                      <w:b/>
                                      <w:sz w:val="20"/>
                                    </w:rPr>
                                  </w:pPr>
                                  <w:r>
                                    <w:rPr>
                                      <w:b/>
                                      <w:color w:val="FFFFFF"/>
                                      <w:spacing w:val="-2"/>
                                      <w:sz w:val="20"/>
                                    </w:rPr>
                                    <w:t>Result</w:t>
                                  </w:r>
                                </w:p>
                              </w:tc>
                              <w:tc>
                                <w:tcPr>
                                  <w:tcW w:w="1020" w:type="dxa"/>
                                  <w:shd w:val="clear" w:color="auto" w:fill="A6A6A6"/>
                                </w:tcPr>
                                <w:p>
                                  <w:pPr>
                                    <w:pStyle w:val="TableParagraph"/>
                                    <w:spacing w:before="90"/>
                                    <w:ind w:left="117"/>
                                    <w:rPr>
                                      <w:b/>
                                      <w:sz w:val="20"/>
                                    </w:rPr>
                                  </w:pPr>
                                  <w:r>
                                    <w:rPr>
                                      <w:b/>
                                      <w:color w:val="FFFFFF"/>
                                      <w:spacing w:val="-2"/>
                                      <w:sz w:val="20"/>
                                    </w:rPr>
                                    <w:t>2015–16</w:t>
                                  </w:r>
                                </w:p>
                                <w:p>
                                  <w:pPr>
                                    <w:pStyle w:val="TableParagraph"/>
                                    <w:spacing w:before="47"/>
                                    <w:ind w:left="117"/>
                                    <w:rPr>
                                      <w:b/>
                                      <w:sz w:val="20"/>
                                    </w:rPr>
                                  </w:pPr>
                                  <w:r>
                                    <w:rPr>
                                      <w:b/>
                                      <w:color w:val="FFFFFF"/>
                                      <w:spacing w:val="-2"/>
                                      <w:sz w:val="20"/>
                                    </w:rPr>
                                    <w:t>Result</w:t>
                                  </w:r>
                                </w:p>
                              </w:tc>
                              <w:tc>
                                <w:tcPr>
                                  <w:tcW w:w="1023" w:type="dxa"/>
                                  <w:shd w:val="clear" w:color="auto" w:fill="A6A6A6"/>
                                </w:tcPr>
                                <w:p>
                                  <w:pPr>
                                    <w:pStyle w:val="TableParagraph"/>
                                    <w:spacing w:before="90"/>
                                    <w:ind w:left="117"/>
                                    <w:rPr>
                                      <w:b/>
                                      <w:sz w:val="20"/>
                                    </w:rPr>
                                  </w:pPr>
                                  <w:r>
                                    <w:rPr>
                                      <w:b/>
                                      <w:color w:val="FFFFFF"/>
                                      <w:spacing w:val="-2"/>
                                      <w:sz w:val="20"/>
                                    </w:rPr>
                                    <w:t>2016–17</w:t>
                                  </w:r>
                                </w:p>
                                <w:p>
                                  <w:pPr>
                                    <w:pStyle w:val="TableParagraph"/>
                                    <w:spacing w:before="47"/>
                                    <w:ind w:left="117"/>
                                    <w:rPr>
                                      <w:b/>
                                      <w:sz w:val="20"/>
                                    </w:rPr>
                                  </w:pPr>
                                  <w:r>
                                    <w:rPr>
                                      <w:b/>
                                      <w:color w:val="FFFFFF"/>
                                      <w:spacing w:val="-2"/>
                                      <w:sz w:val="20"/>
                                    </w:rPr>
                                    <w:t>Result</w:t>
                                  </w:r>
                                </w:p>
                              </w:tc>
                              <w:tc>
                                <w:tcPr>
                                  <w:tcW w:w="1025" w:type="dxa"/>
                                  <w:shd w:val="clear" w:color="auto" w:fill="A6A6A6"/>
                                </w:tcPr>
                                <w:p>
                                  <w:pPr>
                                    <w:pStyle w:val="TableParagraph"/>
                                    <w:rPr>
                                      <w:i/>
                                      <w:sz w:val="20"/>
                                    </w:rPr>
                                  </w:pPr>
                                </w:p>
                                <w:p>
                                  <w:pPr>
                                    <w:pStyle w:val="TableParagraph"/>
                                    <w:ind w:left="102" w:right="96"/>
                                    <w:jc w:val="center"/>
                                    <w:rPr>
                                      <w:b/>
                                      <w:sz w:val="20"/>
                                    </w:rPr>
                                  </w:pPr>
                                  <w:r>
                                    <w:rPr>
                                      <w:b/>
                                      <w:color w:val="FFFFFF"/>
                                      <w:spacing w:val="-2"/>
                                      <w:sz w:val="20"/>
                                    </w:rPr>
                                    <w:t>Average</w:t>
                                  </w:r>
                                </w:p>
                              </w:tc>
                            </w:tr>
                            <w:tr>
                              <w:trPr>
                                <w:trHeight w:val="1223" w:hRule="atLeast"/>
                              </w:trPr>
                              <w:tc>
                                <w:tcPr>
                                  <w:tcW w:w="2554" w:type="dxa"/>
                                  <w:tcBorders>
                                    <w:left w:val="single" w:sz="4" w:space="0" w:color="A6A6A6"/>
                                    <w:bottom w:val="single" w:sz="4" w:space="0" w:color="A6A6A6"/>
                                    <w:right w:val="single" w:sz="4" w:space="0" w:color="A6A6A6"/>
                                  </w:tcBorders>
                                  <w:shd w:val="clear" w:color="auto" w:fill="FFFFFF"/>
                                </w:tcPr>
                                <w:p>
                                  <w:pPr>
                                    <w:pStyle w:val="TableParagraph"/>
                                    <w:spacing w:line="288" w:lineRule="auto" w:before="59"/>
                                    <w:ind w:left="117"/>
                                    <w:rPr>
                                      <w:sz w:val="20"/>
                                    </w:rPr>
                                  </w:pPr>
                                  <w:r>
                                    <w:rPr>
                                      <w:sz w:val="20"/>
                                    </w:rPr>
                                    <w:t>Construction Safety Management</w:t>
                                  </w:r>
                                  <w:r>
                                    <w:rPr>
                                      <w:spacing w:val="-14"/>
                                      <w:sz w:val="20"/>
                                    </w:rPr>
                                    <w:t> </w:t>
                                  </w:r>
                                  <w:r>
                                    <w:rPr>
                                      <w:sz w:val="20"/>
                                    </w:rPr>
                                    <w:t>Plan</w:t>
                                  </w:r>
                                  <w:r>
                                    <w:rPr>
                                      <w:spacing w:val="-14"/>
                                      <w:sz w:val="20"/>
                                    </w:rPr>
                                    <w:t> </w:t>
                                  </w:r>
                                  <w:r>
                                    <w:rPr>
                                      <w:sz w:val="20"/>
                                    </w:rPr>
                                    <w:t>(SMP) construction and repair plans accepted</w:t>
                                  </w:r>
                                </w:p>
                              </w:tc>
                              <w:tc>
                                <w:tcPr>
                                  <w:tcW w:w="1020" w:type="dxa"/>
                                  <w:tcBorders>
                                    <w:left w:val="single" w:sz="4" w:space="0" w:color="A6A6A6"/>
                                    <w:bottom w:val="single" w:sz="4" w:space="0" w:color="A6A6A6"/>
                                    <w:right w:val="single" w:sz="4" w:space="0" w:color="A6A6A6"/>
                                  </w:tcBorders>
                                  <w:shd w:val="clear" w:color="auto" w:fill="FFFFFF"/>
                                </w:tcPr>
                                <w:p>
                                  <w:pPr>
                                    <w:pStyle w:val="TableParagraph"/>
                                    <w:spacing w:before="60"/>
                                    <w:ind w:right="436"/>
                                    <w:jc w:val="right"/>
                                    <w:rPr>
                                      <w:sz w:val="22"/>
                                    </w:rPr>
                                  </w:pPr>
                                  <w:r>
                                    <w:rPr>
                                      <w:w w:val="100"/>
                                      <w:sz w:val="22"/>
                                    </w:rPr>
                                    <w:t>–</w:t>
                                  </w:r>
                                </w:p>
                              </w:tc>
                              <w:tc>
                                <w:tcPr>
                                  <w:tcW w:w="1020" w:type="dxa"/>
                                  <w:tcBorders>
                                    <w:left w:val="single" w:sz="4" w:space="0" w:color="A6A6A6"/>
                                    <w:bottom w:val="single" w:sz="4" w:space="0" w:color="A6A6A6"/>
                                    <w:right w:val="single" w:sz="4" w:space="0" w:color="A6A6A6"/>
                                  </w:tcBorders>
                                  <w:shd w:val="clear" w:color="auto" w:fill="FFFFFF"/>
                                </w:tcPr>
                                <w:p>
                                  <w:pPr>
                                    <w:pStyle w:val="TableParagraph"/>
                                    <w:spacing w:before="59"/>
                                    <w:ind w:left="98" w:right="91"/>
                                    <w:jc w:val="center"/>
                                    <w:rPr>
                                      <w:sz w:val="20"/>
                                    </w:rPr>
                                  </w:pPr>
                                  <w:r>
                                    <w:rPr>
                                      <w:spacing w:val="-5"/>
                                      <w:sz w:val="20"/>
                                    </w:rPr>
                                    <w:t>34</w:t>
                                  </w:r>
                                </w:p>
                              </w:tc>
                              <w:tc>
                                <w:tcPr>
                                  <w:tcW w:w="1023" w:type="dxa"/>
                                  <w:tcBorders>
                                    <w:left w:val="single" w:sz="4" w:space="0" w:color="A6A6A6"/>
                                    <w:bottom w:val="single" w:sz="4" w:space="0" w:color="A6A6A6"/>
                                    <w:right w:val="single" w:sz="4" w:space="0" w:color="A6A6A6"/>
                                  </w:tcBorders>
                                  <w:shd w:val="clear" w:color="auto" w:fill="FFFFFF"/>
                                </w:tcPr>
                                <w:p>
                                  <w:pPr>
                                    <w:pStyle w:val="TableParagraph"/>
                                    <w:spacing w:before="59"/>
                                    <w:ind w:left="271" w:right="266"/>
                                    <w:jc w:val="center"/>
                                    <w:rPr>
                                      <w:sz w:val="20"/>
                                    </w:rPr>
                                  </w:pPr>
                                  <w:r>
                                    <w:rPr>
                                      <w:spacing w:val="-5"/>
                                      <w:sz w:val="20"/>
                                    </w:rPr>
                                    <w:t>24</w:t>
                                  </w:r>
                                </w:p>
                              </w:tc>
                              <w:tc>
                                <w:tcPr>
                                  <w:tcW w:w="1020" w:type="dxa"/>
                                  <w:tcBorders>
                                    <w:left w:val="single" w:sz="4" w:space="0" w:color="A6A6A6"/>
                                    <w:bottom w:val="single" w:sz="4" w:space="0" w:color="A6A6A6"/>
                                    <w:right w:val="single" w:sz="4" w:space="0" w:color="A6A6A6"/>
                                  </w:tcBorders>
                                  <w:shd w:val="clear" w:color="auto" w:fill="FFFFFF"/>
                                </w:tcPr>
                                <w:p>
                                  <w:pPr>
                                    <w:pStyle w:val="TableParagraph"/>
                                    <w:spacing w:before="59"/>
                                    <w:ind w:left="7"/>
                                    <w:jc w:val="center"/>
                                    <w:rPr>
                                      <w:sz w:val="20"/>
                                    </w:rPr>
                                  </w:pPr>
                                  <w:r>
                                    <w:rPr>
                                      <w:w w:val="99"/>
                                      <w:sz w:val="20"/>
                                    </w:rPr>
                                    <w:t>1</w:t>
                                  </w:r>
                                </w:p>
                              </w:tc>
                              <w:tc>
                                <w:tcPr>
                                  <w:tcW w:w="1023" w:type="dxa"/>
                                  <w:tcBorders>
                                    <w:left w:val="single" w:sz="4" w:space="0" w:color="A6A6A6"/>
                                    <w:bottom w:val="single" w:sz="4" w:space="0" w:color="A6A6A6"/>
                                    <w:right w:val="single" w:sz="4" w:space="0" w:color="A6A6A6"/>
                                  </w:tcBorders>
                                  <w:shd w:val="clear" w:color="auto" w:fill="FFFFFF"/>
                                </w:tcPr>
                                <w:p>
                                  <w:pPr>
                                    <w:pStyle w:val="TableParagraph"/>
                                    <w:spacing w:before="59"/>
                                    <w:ind w:left="271" w:right="267"/>
                                    <w:jc w:val="center"/>
                                    <w:rPr>
                                      <w:sz w:val="20"/>
                                    </w:rPr>
                                  </w:pPr>
                                  <w:r>
                                    <w:rPr>
                                      <w:spacing w:val="-5"/>
                                      <w:sz w:val="20"/>
                                    </w:rPr>
                                    <w:t>34</w:t>
                                  </w:r>
                                </w:p>
                              </w:tc>
                              <w:tc>
                                <w:tcPr>
                                  <w:tcW w:w="1025" w:type="dxa"/>
                                  <w:tcBorders>
                                    <w:left w:val="single" w:sz="4" w:space="0" w:color="A6A6A6"/>
                                    <w:bottom w:val="single" w:sz="4" w:space="0" w:color="A6A6A6"/>
                                    <w:right w:val="single" w:sz="4" w:space="0" w:color="A6A6A6"/>
                                  </w:tcBorders>
                                  <w:shd w:val="clear" w:color="auto" w:fill="D9D9D9"/>
                                </w:tcPr>
                                <w:p>
                                  <w:pPr>
                                    <w:pStyle w:val="TableParagraph"/>
                                    <w:spacing w:before="59"/>
                                    <w:ind w:left="102" w:right="96"/>
                                    <w:jc w:val="center"/>
                                    <w:rPr>
                                      <w:sz w:val="20"/>
                                    </w:rPr>
                                  </w:pPr>
                                  <w:r>
                                    <w:rPr>
                                      <w:spacing w:val="-5"/>
                                      <w:sz w:val="20"/>
                                    </w:rPr>
                                    <w:t>27</w:t>
                                  </w:r>
                                </w:p>
                              </w:tc>
                            </w:tr>
                            <w:tr>
                              <w:trPr>
                                <w:trHeight w:val="947" w:hRule="atLeast"/>
                              </w:trPr>
                              <w:tc>
                                <w:tcPr>
                                  <w:tcW w:w="2554"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line="288" w:lineRule="auto" w:before="59"/>
                                    <w:ind w:left="117" w:right="253"/>
                                    <w:rPr>
                                      <w:b/>
                                      <w:sz w:val="20"/>
                                    </w:rPr>
                                  </w:pPr>
                                  <w:r>
                                    <w:rPr>
                                      <w:b/>
                                      <w:sz w:val="20"/>
                                    </w:rPr>
                                    <w:t>SMP construction and repairs audits/field inspections</w:t>
                                  </w:r>
                                  <w:r>
                                    <w:rPr>
                                      <w:b/>
                                      <w:spacing w:val="-14"/>
                                      <w:sz w:val="20"/>
                                    </w:rPr>
                                    <w:t> </w:t>
                                  </w:r>
                                  <w:r>
                                    <w:rPr>
                                      <w:b/>
                                      <w:sz w:val="20"/>
                                    </w:rPr>
                                    <w:t>completed</w:t>
                                  </w:r>
                                </w:p>
                              </w:tc>
                              <w:tc>
                                <w:tcPr>
                                  <w:tcW w:w="1020"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before="60"/>
                                    <w:ind w:right="436"/>
                                    <w:jc w:val="right"/>
                                    <w:rPr>
                                      <w:sz w:val="22"/>
                                    </w:rPr>
                                  </w:pPr>
                                  <w:r>
                                    <w:rPr>
                                      <w:w w:val="100"/>
                                      <w:sz w:val="22"/>
                                    </w:rPr>
                                    <w:t>–</w:t>
                                  </w:r>
                                </w:p>
                              </w:tc>
                              <w:tc>
                                <w:tcPr>
                                  <w:tcW w:w="1020"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before="59"/>
                                    <w:ind w:left="98" w:right="91"/>
                                    <w:jc w:val="center"/>
                                    <w:rPr>
                                      <w:sz w:val="20"/>
                                    </w:rPr>
                                  </w:pPr>
                                  <w:r>
                                    <w:rPr>
                                      <w:spacing w:val="-5"/>
                                      <w:sz w:val="20"/>
                                    </w:rPr>
                                    <w:t>584</w:t>
                                  </w:r>
                                </w:p>
                              </w:tc>
                              <w:tc>
                                <w:tcPr>
                                  <w:tcW w:w="1023"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before="59"/>
                                    <w:ind w:left="271" w:right="267"/>
                                    <w:jc w:val="center"/>
                                    <w:rPr>
                                      <w:sz w:val="20"/>
                                    </w:rPr>
                                  </w:pPr>
                                  <w:r>
                                    <w:rPr>
                                      <w:spacing w:val="-5"/>
                                      <w:sz w:val="20"/>
                                    </w:rPr>
                                    <w:t>495</w:t>
                                  </w:r>
                                </w:p>
                              </w:tc>
                              <w:tc>
                                <w:tcPr>
                                  <w:tcW w:w="1020"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before="59"/>
                                    <w:ind w:left="98" w:right="91"/>
                                    <w:jc w:val="center"/>
                                    <w:rPr>
                                      <w:sz w:val="20"/>
                                    </w:rPr>
                                  </w:pPr>
                                  <w:r>
                                    <w:rPr>
                                      <w:spacing w:val="-5"/>
                                      <w:sz w:val="20"/>
                                    </w:rPr>
                                    <w:t>451</w:t>
                                  </w:r>
                                </w:p>
                              </w:tc>
                              <w:tc>
                                <w:tcPr>
                                  <w:tcW w:w="1023"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before="59"/>
                                    <w:ind w:left="271" w:right="267"/>
                                    <w:jc w:val="center"/>
                                    <w:rPr>
                                      <w:sz w:val="20"/>
                                    </w:rPr>
                                  </w:pPr>
                                  <w:r>
                                    <w:rPr>
                                      <w:spacing w:val="-5"/>
                                      <w:sz w:val="20"/>
                                    </w:rPr>
                                    <w:t>238</w:t>
                                  </w:r>
                                </w:p>
                              </w:tc>
                              <w:tc>
                                <w:tcPr>
                                  <w:tcW w:w="1025" w:type="dxa"/>
                                  <w:tcBorders>
                                    <w:top w:val="single" w:sz="4" w:space="0" w:color="A6A6A6"/>
                                    <w:left w:val="single" w:sz="4" w:space="0" w:color="A6A6A6"/>
                                    <w:bottom w:val="single" w:sz="4" w:space="0" w:color="A6A6A6"/>
                                    <w:right w:val="single" w:sz="4" w:space="0" w:color="A6A6A6"/>
                                  </w:tcBorders>
                                  <w:shd w:val="clear" w:color="auto" w:fill="D9D9D9"/>
                                </w:tcPr>
                                <w:p>
                                  <w:pPr>
                                    <w:pStyle w:val="TableParagraph"/>
                                    <w:spacing w:before="59"/>
                                    <w:ind w:left="102" w:right="96"/>
                                    <w:jc w:val="center"/>
                                    <w:rPr>
                                      <w:sz w:val="20"/>
                                    </w:rPr>
                                  </w:pPr>
                                  <w:r>
                                    <w:rPr>
                                      <w:spacing w:val="-5"/>
                                      <w:sz w:val="20"/>
                                    </w:rPr>
                                    <w:t>442</w:t>
                                  </w:r>
                                </w:p>
                              </w:tc>
                            </w:tr>
                            <w:tr>
                              <w:trPr>
                                <w:trHeight w:val="453" w:hRule="atLeast"/>
                              </w:trPr>
                              <w:tc>
                                <w:tcPr>
                                  <w:tcW w:w="2554"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before="59"/>
                                    <w:ind w:left="117"/>
                                    <w:rPr>
                                      <w:sz w:val="20"/>
                                    </w:rPr>
                                  </w:pPr>
                                  <w:r>
                                    <w:rPr>
                                      <w:sz w:val="20"/>
                                    </w:rPr>
                                    <w:t>Consent</w:t>
                                  </w:r>
                                  <w:r>
                                    <w:rPr>
                                      <w:spacing w:val="-6"/>
                                      <w:sz w:val="20"/>
                                    </w:rPr>
                                    <w:t> </w:t>
                                  </w:r>
                                  <w:r>
                                    <w:rPr>
                                      <w:sz w:val="20"/>
                                    </w:rPr>
                                    <w:t>to</w:t>
                                  </w:r>
                                  <w:r>
                                    <w:rPr>
                                      <w:spacing w:val="-6"/>
                                      <w:sz w:val="20"/>
                                    </w:rPr>
                                    <w:t> </w:t>
                                  </w:r>
                                  <w:r>
                                    <w:rPr>
                                      <w:spacing w:val="-2"/>
                                      <w:sz w:val="20"/>
                                    </w:rPr>
                                    <w:t>operate</w:t>
                                  </w:r>
                                </w:p>
                              </w:tc>
                              <w:tc>
                                <w:tcPr>
                                  <w:tcW w:w="1020"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before="60"/>
                                    <w:ind w:right="436"/>
                                    <w:jc w:val="right"/>
                                    <w:rPr>
                                      <w:sz w:val="22"/>
                                    </w:rPr>
                                  </w:pPr>
                                  <w:r>
                                    <w:rPr>
                                      <w:w w:val="100"/>
                                      <w:sz w:val="22"/>
                                    </w:rPr>
                                    <w:t>–</w:t>
                                  </w:r>
                                </w:p>
                              </w:tc>
                              <w:tc>
                                <w:tcPr>
                                  <w:tcW w:w="1020"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before="59"/>
                                    <w:ind w:left="98" w:right="91"/>
                                    <w:jc w:val="center"/>
                                    <w:rPr>
                                      <w:sz w:val="20"/>
                                    </w:rPr>
                                  </w:pPr>
                                  <w:r>
                                    <w:rPr>
                                      <w:spacing w:val="-5"/>
                                      <w:sz w:val="20"/>
                                    </w:rPr>
                                    <w:t>12</w:t>
                                  </w:r>
                                </w:p>
                              </w:tc>
                              <w:tc>
                                <w:tcPr>
                                  <w:tcW w:w="1023"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before="59"/>
                                    <w:ind w:left="271" w:right="266"/>
                                    <w:jc w:val="center"/>
                                    <w:rPr>
                                      <w:sz w:val="20"/>
                                    </w:rPr>
                                  </w:pPr>
                                  <w:r>
                                    <w:rPr>
                                      <w:spacing w:val="-5"/>
                                      <w:sz w:val="20"/>
                                    </w:rPr>
                                    <w:t>18</w:t>
                                  </w:r>
                                </w:p>
                              </w:tc>
                              <w:tc>
                                <w:tcPr>
                                  <w:tcW w:w="1020"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before="59"/>
                                    <w:ind w:left="98" w:right="91"/>
                                    <w:jc w:val="center"/>
                                    <w:rPr>
                                      <w:sz w:val="20"/>
                                    </w:rPr>
                                  </w:pPr>
                                  <w:r>
                                    <w:rPr>
                                      <w:spacing w:val="-5"/>
                                      <w:sz w:val="20"/>
                                    </w:rPr>
                                    <w:t>19</w:t>
                                  </w:r>
                                </w:p>
                              </w:tc>
                              <w:tc>
                                <w:tcPr>
                                  <w:tcW w:w="1023"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before="59"/>
                                    <w:ind w:left="271" w:right="267"/>
                                    <w:jc w:val="center"/>
                                    <w:rPr>
                                      <w:sz w:val="20"/>
                                    </w:rPr>
                                  </w:pPr>
                                  <w:r>
                                    <w:rPr>
                                      <w:spacing w:val="-5"/>
                                      <w:sz w:val="20"/>
                                    </w:rPr>
                                    <w:t>44</w:t>
                                  </w:r>
                                </w:p>
                              </w:tc>
                              <w:tc>
                                <w:tcPr>
                                  <w:tcW w:w="1025" w:type="dxa"/>
                                  <w:tcBorders>
                                    <w:top w:val="single" w:sz="4" w:space="0" w:color="A6A6A6"/>
                                    <w:left w:val="single" w:sz="4" w:space="0" w:color="A6A6A6"/>
                                    <w:bottom w:val="single" w:sz="4" w:space="0" w:color="A6A6A6"/>
                                    <w:right w:val="single" w:sz="4" w:space="0" w:color="A6A6A6"/>
                                  </w:tcBorders>
                                  <w:shd w:val="clear" w:color="auto" w:fill="D9D9D9"/>
                                </w:tcPr>
                                <w:p>
                                  <w:pPr>
                                    <w:pStyle w:val="TableParagraph"/>
                                    <w:spacing w:before="59"/>
                                    <w:ind w:left="102" w:right="96"/>
                                    <w:jc w:val="center"/>
                                    <w:rPr>
                                      <w:sz w:val="20"/>
                                    </w:rPr>
                                  </w:pPr>
                                  <w:r>
                                    <w:rPr>
                                      <w:spacing w:val="-5"/>
                                      <w:sz w:val="20"/>
                                    </w:rPr>
                                    <w:t>23</w:t>
                                  </w:r>
                                </w:p>
                              </w:tc>
                            </w:tr>
                            <w:tr>
                              <w:trPr>
                                <w:trHeight w:val="1500" w:hRule="atLeast"/>
                              </w:trPr>
                              <w:tc>
                                <w:tcPr>
                                  <w:tcW w:w="2554"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line="288" w:lineRule="auto" w:before="59"/>
                                    <w:ind w:left="117" w:right="78"/>
                                    <w:rPr>
                                      <w:b/>
                                      <w:sz w:val="20"/>
                                    </w:rPr>
                                  </w:pPr>
                                  <w:r>
                                    <w:rPr>
                                      <w:b/>
                                      <w:sz w:val="20"/>
                                    </w:rPr>
                                    <w:t>Operational Gas safety cases</w:t>
                                  </w:r>
                                  <w:r>
                                    <w:rPr>
                                      <w:b/>
                                      <w:spacing w:val="-14"/>
                                      <w:sz w:val="20"/>
                                    </w:rPr>
                                    <w:t> </w:t>
                                  </w:r>
                                  <w:r>
                                    <w:rPr>
                                      <w:b/>
                                      <w:sz w:val="20"/>
                                    </w:rPr>
                                    <w:t>(SC)</w:t>
                                  </w:r>
                                  <w:r>
                                    <w:rPr>
                                      <w:b/>
                                      <w:spacing w:val="-12"/>
                                      <w:sz w:val="20"/>
                                    </w:rPr>
                                    <w:t> </w:t>
                                  </w:r>
                                  <w:r>
                                    <w:rPr>
                                      <w:b/>
                                      <w:sz w:val="20"/>
                                    </w:rPr>
                                    <w:t>and</w:t>
                                  </w:r>
                                  <w:r>
                                    <w:rPr>
                                      <w:b/>
                                      <w:spacing w:val="-14"/>
                                      <w:sz w:val="20"/>
                                    </w:rPr>
                                    <w:t> </w:t>
                                  </w:r>
                                  <w:r>
                                    <w:rPr>
                                      <w:b/>
                                      <w:sz w:val="20"/>
                                    </w:rPr>
                                    <w:t>pipeline SMP and Environment Management Plans </w:t>
                                  </w:r>
                                  <w:r>
                                    <w:rPr>
                                      <w:b/>
                                      <w:spacing w:val="-2"/>
                                      <w:sz w:val="20"/>
                                    </w:rPr>
                                    <w:t>(EMP)</w:t>
                                  </w:r>
                                </w:p>
                              </w:tc>
                              <w:tc>
                                <w:tcPr>
                                  <w:tcW w:w="1020"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rPr>
                                      <w:rFonts w:ascii="Times New Roman"/>
                                      <w:sz w:val="20"/>
                                    </w:rPr>
                                  </w:pPr>
                                </w:p>
                              </w:tc>
                              <w:tc>
                                <w:tcPr>
                                  <w:tcW w:w="1020"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rPr>
                                      <w:rFonts w:ascii="Times New Roman"/>
                                      <w:sz w:val="20"/>
                                    </w:rPr>
                                  </w:pPr>
                                </w:p>
                              </w:tc>
                              <w:tc>
                                <w:tcPr>
                                  <w:tcW w:w="1023"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rPr>
                                      <w:rFonts w:ascii="Times New Roman"/>
                                      <w:sz w:val="20"/>
                                    </w:rPr>
                                  </w:pPr>
                                </w:p>
                              </w:tc>
                              <w:tc>
                                <w:tcPr>
                                  <w:tcW w:w="1020"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rPr>
                                      <w:rFonts w:ascii="Times New Roman"/>
                                      <w:sz w:val="20"/>
                                    </w:rPr>
                                  </w:pPr>
                                </w:p>
                              </w:tc>
                              <w:tc>
                                <w:tcPr>
                                  <w:tcW w:w="1023"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rPr>
                                      <w:rFonts w:ascii="Times New Roman"/>
                                      <w:sz w:val="20"/>
                                    </w:rPr>
                                  </w:pPr>
                                </w:p>
                              </w:tc>
                              <w:tc>
                                <w:tcPr>
                                  <w:tcW w:w="1025" w:type="dxa"/>
                                  <w:tcBorders>
                                    <w:top w:val="single" w:sz="4" w:space="0" w:color="A6A6A6"/>
                                    <w:left w:val="single" w:sz="4" w:space="0" w:color="A6A6A6"/>
                                    <w:bottom w:val="single" w:sz="4" w:space="0" w:color="A6A6A6"/>
                                    <w:right w:val="single" w:sz="4" w:space="0" w:color="A6A6A6"/>
                                  </w:tcBorders>
                                  <w:shd w:val="clear" w:color="auto" w:fill="D9D9D9"/>
                                </w:tcPr>
                                <w:p>
                                  <w:pPr>
                                    <w:pStyle w:val="TableParagraph"/>
                                    <w:rPr>
                                      <w:rFonts w:ascii="Times New Roman"/>
                                      <w:sz w:val="20"/>
                                    </w:rPr>
                                  </w:pPr>
                                </w:p>
                              </w:tc>
                            </w:tr>
                            <w:tr>
                              <w:trPr>
                                <w:trHeight w:val="671" w:hRule="atLeast"/>
                              </w:trPr>
                              <w:tc>
                                <w:tcPr>
                                  <w:tcW w:w="2554"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line="288" w:lineRule="auto" w:before="59"/>
                                    <w:ind w:left="117"/>
                                    <w:rPr>
                                      <w:sz w:val="20"/>
                                    </w:rPr>
                                  </w:pPr>
                                  <w:r>
                                    <w:rPr>
                                      <w:sz w:val="20"/>
                                    </w:rPr>
                                    <w:t>Field</w:t>
                                  </w:r>
                                  <w:r>
                                    <w:rPr>
                                      <w:spacing w:val="-14"/>
                                      <w:sz w:val="20"/>
                                    </w:rPr>
                                    <w:t> </w:t>
                                  </w:r>
                                  <w:r>
                                    <w:rPr>
                                      <w:sz w:val="20"/>
                                    </w:rPr>
                                    <w:t>compliance</w:t>
                                  </w:r>
                                  <w:r>
                                    <w:rPr>
                                      <w:spacing w:val="-14"/>
                                      <w:sz w:val="20"/>
                                    </w:rPr>
                                    <w:t> </w:t>
                                  </w:r>
                                  <w:r>
                                    <w:rPr>
                                      <w:sz w:val="20"/>
                                    </w:rPr>
                                    <w:t>audits </w:t>
                                  </w:r>
                                  <w:r>
                                    <w:rPr>
                                      <w:spacing w:val="-2"/>
                                      <w:sz w:val="20"/>
                                    </w:rPr>
                                    <w:t>completed</w:t>
                                  </w:r>
                                </w:p>
                              </w:tc>
                              <w:tc>
                                <w:tcPr>
                                  <w:tcW w:w="1020"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before="60"/>
                                    <w:ind w:right="436"/>
                                    <w:jc w:val="right"/>
                                    <w:rPr>
                                      <w:sz w:val="22"/>
                                    </w:rPr>
                                  </w:pPr>
                                  <w:r>
                                    <w:rPr>
                                      <w:w w:val="100"/>
                                      <w:sz w:val="22"/>
                                    </w:rPr>
                                    <w:t>–</w:t>
                                  </w:r>
                                </w:p>
                              </w:tc>
                              <w:tc>
                                <w:tcPr>
                                  <w:tcW w:w="1020"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before="59"/>
                                    <w:ind w:left="98" w:right="91"/>
                                    <w:jc w:val="center"/>
                                    <w:rPr>
                                      <w:sz w:val="20"/>
                                    </w:rPr>
                                  </w:pPr>
                                  <w:r>
                                    <w:rPr>
                                      <w:spacing w:val="-5"/>
                                      <w:sz w:val="20"/>
                                    </w:rPr>
                                    <w:t>30</w:t>
                                  </w:r>
                                </w:p>
                              </w:tc>
                              <w:tc>
                                <w:tcPr>
                                  <w:tcW w:w="1023"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before="59"/>
                                    <w:ind w:left="271" w:right="266"/>
                                    <w:jc w:val="center"/>
                                    <w:rPr>
                                      <w:sz w:val="20"/>
                                    </w:rPr>
                                  </w:pPr>
                                  <w:r>
                                    <w:rPr>
                                      <w:spacing w:val="-5"/>
                                      <w:sz w:val="20"/>
                                    </w:rPr>
                                    <w:t>36</w:t>
                                  </w:r>
                                </w:p>
                              </w:tc>
                              <w:tc>
                                <w:tcPr>
                                  <w:tcW w:w="1020"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before="59"/>
                                    <w:ind w:left="98" w:right="91"/>
                                    <w:jc w:val="center"/>
                                    <w:rPr>
                                      <w:sz w:val="20"/>
                                    </w:rPr>
                                  </w:pPr>
                                  <w:r>
                                    <w:rPr>
                                      <w:spacing w:val="-5"/>
                                      <w:sz w:val="20"/>
                                    </w:rPr>
                                    <w:t>77</w:t>
                                  </w:r>
                                </w:p>
                              </w:tc>
                              <w:tc>
                                <w:tcPr>
                                  <w:tcW w:w="1023"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before="59"/>
                                    <w:ind w:left="271" w:right="267"/>
                                    <w:jc w:val="center"/>
                                    <w:rPr>
                                      <w:sz w:val="20"/>
                                    </w:rPr>
                                  </w:pPr>
                                  <w:r>
                                    <w:rPr>
                                      <w:spacing w:val="-5"/>
                                      <w:sz w:val="20"/>
                                    </w:rPr>
                                    <w:t>67</w:t>
                                  </w:r>
                                </w:p>
                              </w:tc>
                              <w:tc>
                                <w:tcPr>
                                  <w:tcW w:w="1025" w:type="dxa"/>
                                  <w:tcBorders>
                                    <w:top w:val="single" w:sz="4" w:space="0" w:color="A6A6A6"/>
                                    <w:left w:val="single" w:sz="4" w:space="0" w:color="A6A6A6"/>
                                    <w:bottom w:val="single" w:sz="4" w:space="0" w:color="A6A6A6"/>
                                    <w:right w:val="single" w:sz="4" w:space="0" w:color="A6A6A6"/>
                                  </w:tcBorders>
                                  <w:shd w:val="clear" w:color="auto" w:fill="D9D9D9"/>
                                </w:tcPr>
                                <w:p>
                                  <w:pPr>
                                    <w:pStyle w:val="TableParagraph"/>
                                    <w:spacing w:before="59"/>
                                    <w:ind w:left="102" w:right="96"/>
                                    <w:jc w:val="center"/>
                                    <w:rPr>
                                      <w:sz w:val="20"/>
                                    </w:rPr>
                                  </w:pPr>
                                  <w:r>
                                    <w:rPr>
                                      <w:spacing w:val="-5"/>
                                      <w:sz w:val="20"/>
                                    </w:rPr>
                                    <w:t>53</w:t>
                                  </w:r>
                                </w:p>
                              </w:tc>
                            </w:tr>
                            <w:tr>
                              <w:trPr>
                                <w:trHeight w:val="671" w:hRule="atLeast"/>
                              </w:trPr>
                              <w:tc>
                                <w:tcPr>
                                  <w:tcW w:w="2554"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line="288" w:lineRule="auto" w:before="59"/>
                                    <w:ind w:left="117"/>
                                    <w:rPr>
                                      <w:sz w:val="20"/>
                                    </w:rPr>
                                  </w:pPr>
                                  <w:r>
                                    <w:rPr>
                                      <w:spacing w:val="-2"/>
                                      <w:sz w:val="20"/>
                                    </w:rPr>
                                    <w:t>Compliance/effectiveness </w:t>
                                  </w:r>
                                  <w:r>
                                    <w:rPr>
                                      <w:sz w:val="20"/>
                                    </w:rPr>
                                    <w:t>audits completed</w:t>
                                  </w:r>
                                </w:p>
                              </w:tc>
                              <w:tc>
                                <w:tcPr>
                                  <w:tcW w:w="1020"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before="60"/>
                                    <w:ind w:right="436"/>
                                    <w:jc w:val="right"/>
                                    <w:rPr>
                                      <w:sz w:val="22"/>
                                    </w:rPr>
                                  </w:pPr>
                                  <w:r>
                                    <w:rPr>
                                      <w:w w:val="100"/>
                                      <w:sz w:val="22"/>
                                    </w:rPr>
                                    <w:t>–</w:t>
                                  </w:r>
                                </w:p>
                              </w:tc>
                              <w:tc>
                                <w:tcPr>
                                  <w:tcW w:w="1020"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before="59"/>
                                    <w:ind w:left="98" w:right="91"/>
                                    <w:jc w:val="center"/>
                                    <w:rPr>
                                      <w:sz w:val="20"/>
                                    </w:rPr>
                                  </w:pPr>
                                  <w:r>
                                    <w:rPr>
                                      <w:spacing w:val="-5"/>
                                      <w:sz w:val="20"/>
                                    </w:rPr>
                                    <w:t>48</w:t>
                                  </w:r>
                                </w:p>
                              </w:tc>
                              <w:tc>
                                <w:tcPr>
                                  <w:tcW w:w="1023"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before="59"/>
                                    <w:ind w:left="5"/>
                                    <w:jc w:val="center"/>
                                    <w:rPr>
                                      <w:sz w:val="20"/>
                                    </w:rPr>
                                  </w:pPr>
                                  <w:r>
                                    <w:rPr>
                                      <w:w w:val="99"/>
                                      <w:sz w:val="20"/>
                                    </w:rPr>
                                    <w:t>7</w:t>
                                  </w:r>
                                </w:p>
                              </w:tc>
                              <w:tc>
                                <w:tcPr>
                                  <w:tcW w:w="1020"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before="59"/>
                                    <w:ind w:left="7"/>
                                    <w:jc w:val="center"/>
                                    <w:rPr>
                                      <w:sz w:val="20"/>
                                    </w:rPr>
                                  </w:pPr>
                                  <w:r>
                                    <w:rPr>
                                      <w:w w:val="99"/>
                                      <w:sz w:val="20"/>
                                    </w:rPr>
                                    <w:t>1</w:t>
                                  </w:r>
                                </w:p>
                              </w:tc>
                              <w:tc>
                                <w:tcPr>
                                  <w:tcW w:w="1023"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before="59"/>
                                    <w:ind w:left="271" w:right="267"/>
                                    <w:jc w:val="center"/>
                                    <w:rPr>
                                      <w:sz w:val="20"/>
                                    </w:rPr>
                                  </w:pPr>
                                  <w:r>
                                    <w:rPr>
                                      <w:spacing w:val="-5"/>
                                      <w:sz w:val="20"/>
                                    </w:rPr>
                                    <w:t>79</w:t>
                                  </w:r>
                                </w:p>
                              </w:tc>
                              <w:tc>
                                <w:tcPr>
                                  <w:tcW w:w="1025" w:type="dxa"/>
                                  <w:tcBorders>
                                    <w:top w:val="single" w:sz="4" w:space="0" w:color="A6A6A6"/>
                                    <w:left w:val="single" w:sz="4" w:space="0" w:color="A6A6A6"/>
                                    <w:bottom w:val="single" w:sz="4" w:space="0" w:color="A6A6A6"/>
                                    <w:right w:val="single" w:sz="4" w:space="0" w:color="A6A6A6"/>
                                  </w:tcBorders>
                                  <w:shd w:val="clear" w:color="auto" w:fill="D9D9D9"/>
                                </w:tcPr>
                                <w:p>
                                  <w:pPr>
                                    <w:pStyle w:val="TableParagraph"/>
                                    <w:spacing w:before="59"/>
                                    <w:ind w:left="102" w:right="96"/>
                                    <w:jc w:val="center"/>
                                    <w:rPr>
                                      <w:sz w:val="20"/>
                                    </w:rPr>
                                  </w:pPr>
                                  <w:r>
                                    <w:rPr>
                                      <w:spacing w:val="-5"/>
                                      <w:sz w:val="20"/>
                                    </w:rPr>
                                    <w:t>34</w:t>
                                  </w:r>
                                </w:p>
                              </w:tc>
                            </w:tr>
                            <w:tr>
                              <w:trPr>
                                <w:trHeight w:val="671" w:hRule="atLeast"/>
                              </w:trPr>
                              <w:tc>
                                <w:tcPr>
                                  <w:tcW w:w="2554"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line="288" w:lineRule="auto" w:before="59"/>
                                    <w:ind w:left="117" w:right="297"/>
                                    <w:rPr>
                                      <w:sz w:val="20"/>
                                    </w:rPr>
                                  </w:pPr>
                                  <w:r>
                                    <w:rPr>
                                      <w:sz w:val="20"/>
                                    </w:rPr>
                                    <w:t>New and revised SC/SMP/EMP</w:t>
                                  </w:r>
                                  <w:r>
                                    <w:rPr>
                                      <w:spacing w:val="-14"/>
                                      <w:sz w:val="20"/>
                                    </w:rPr>
                                    <w:t> </w:t>
                                  </w:r>
                                  <w:r>
                                    <w:rPr>
                                      <w:sz w:val="20"/>
                                    </w:rPr>
                                    <w:t>accepted</w:t>
                                  </w:r>
                                </w:p>
                              </w:tc>
                              <w:tc>
                                <w:tcPr>
                                  <w:tcW w:w="1020"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before="60"/>
                                    <w:ind w:right="436"/>
                                    <w:jc w:val="right"/>
                                    <w:rPr>
                                      <w:sz w:val="22"/>
                                    </w:rPr>
                                  </w:pPr>
                                  <w:r>
                                    <w:rPr>
                                      <w:w w:val="100"/>
                                      <w:sz w:val="22"/>
                                    </w:rPr>
                                    <w:t>–</w:t>
                                  </w:r>
                                </w:p>
                              </w:tc>
                              <w:tc>
                                <w:tcPr>
                                  <w:tcW w:w="1020"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before="59"/>
                                    <w:ind w:left="98" w:right="91"/>
                                    <w:jc w:val="center"/>
                                    <w:rPr>
                                      <w:sz w:val="20"/>
                                    </w:rPr>
                                  </w:pPr>
                                  <w:r>
                                    <w:rPr>
                                      <w:spacing w:val="-5"/>
                                      <w:sz w:val="20"/>
                                    </w:rPr>
                                    <w:t>21</w:t>
                                  </w:r>
                                </w:p>
                              </w:tc>
                              <w:tc>
                                <w:tcPr>
                                  <w:tcW w:w="1023"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before="59"/>
                                    <w:ind w:left="5"/>
                                    <w:jc w:val="center"/>
                                    <w:rPr>
                                      <w:sz w:val="20"/>
                                    </w:rPr>
                                  </w:pPr>
                                  <w:r>
                                    <w:rPr>
                                      <w:w w:val="99"/>
                                      <w:sz w:val="20"/>
                                    </w:rPr>
                                    <w:t>7</w:t>
                                  </w:r>
                                </w:p>
                              </w:tc>
                              <w:tc>
                                <w:tcPr>
                                  <w:tcW w:w="1020"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before="59"/>
                                    <w:ind w:left="98" w:right="91"/>
                                    <w:jc w:val="center"/>
                                    <w:rPr>
                                      <w:sz w:val="20"/>
                                    </w:rPr>
                                  </w:pPr>
                                  <w:r>
                                    <w:rPr>
                                      <w:spacing w:val="-5"/>
                                      <w:sz w:val="20"/>
                                    </w:rPr>
                                    <w:t>11</w:t>
                                  </w:r>
                                </w:p>
                              </w:tc>
                              <w:tc>
                                <w:tcPr>
                                  <w:tcW w:w="1023"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before="59"/>
                                    <w:ind w:left="4"/>
                                    <w:jc w:val="center"/>
                                    <w:rPr>
                                      <w:sz w:val="20"/>
                                    </w:rPr>
                                  </w:pPr>
                                  <w:r>
                                    <w:rPr>
                                      <w:w w:val="99"/>
                                      <w:sz w:val="20"/>
                                    </w:rPr>
                                    <w:t>7</w:t>
                                  </w:r>
                                </w:p>
                              </w:tc>
                              <w:tc>
                                <w:tcPr>
                                  <w:tcW w:w="1025" w:type="dxa"/>
                                  <w:tcBorders>
                                    <w:top w:val="single" w:sz="4" w:space="0" w:color="A6A6A6"/>
                                    <w:left w:val="single" w:sz="4" w:space="0" w:color="A6A6A6"/>
                                    <w:bottom w:val="single" w:sz="4" w:space="0" w:color="A6A6A6"/>
                                    <w:right w:val="single" w:sz="4" w:space="0" w:color="A6A6A6"/>
                                  </w:tcBorders>
                                  <w:shd w:val="clear" w:color="auto" w:fill="D9D9D9"/>
                                </w:tcPr>
                                <w:p>
                                  <w:pPr>
                                    <w:pStyle w:val="TableParagraph"/>
                                    <w:spacing w:before="59"/>
                                    <w:ind w:left="102" w:right="96"/>
                                    <w:jc w:val="center"/>
                                    <w:rPr>
                                      <w:sz w:val="20"/>
                                    </w:rPr>
                                  </w:pPr>
                                  <w:r>
                                    <w:rPr>
                                      <w:spacing w:val="-5"/>
                                      <w:sz w:val="20"/>
                                    </w:rPr>
                                    <w:t>12</w:t>
                                  </w:r>
                                </w:p>
                              </w:tc>
                            </w:tr>
                          </w:tbl>
                          <w:p>
                            <w:pPr>
                              <w:pStyle w:val="BodyText"/>
                            </w:pPr>
                          </w:p>
                        </w:txbxContent>
                      </wps:txbx>
                      <wps:bodyPr wrap="square" lIns="0" tIns="0" rIns="0" bIns="0" rtlCol="0">
                        <a:noAutofit/>
                      </wps:bodyPr>
                    </wps:wsp>
                  </a:graphicData>
                </a:graphic>
              </wp:anchor>
            </w:drawing>
          </mc:Choice>
          <mc:Fallback>
            <w:pict>
              <v:shape style="position:absolute;margin-left:82.703979pt;margin-top:-388.862122pt;width:440.75pt;height:348pt;mso-position-horizontal-relative:page;mso-position-vertical-relative:paragraph;z-index:15760896" type="#_x0000_t202" id="docshape102" filled="false" stroked="false">
                <v:textbox inset="0,0,0,0">
                  <w:txbxContent>
                    <w:tbl>
                      <w:tblPr>
                        <w:tblW w:w="0" w:type="auto"/>
                        <w:jc w:val="left"/>
                        <w:tblInd w:w="6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2554"/>
                        <w:gridCol w:w="1020"/>
                        <w:gridCol w:w="1020"/>
                        <w:gridCol w:w="1023"/>
                        <w:gridCol w:w="1020"/>
                        <w:gridCol w:w="1023"/>
                        <w:gridCol w:w="1025"/>
                      </w:tblGrid>
                      <w:tr>
                        <w:trPr>
                          <w:trHeight w:val="734" w:hRule="atLeast"/>
                        </w:trPr>
                        <w:tc>
                          <w:tcPr>
                            <w:tcW w:w="2554" w:type="dxa"/>
                            <w:shd w:val="clear" w:color="auto" w:fill="A6A6A6"/>
                          </w:tcPr>
                          <w:p>
                            <w:pPr>
                              <w:pStyle w:val="TableParagraph"/>
                              <w:rPr>
                                <w:i/>
                                <w:sz w:val="20"/>
                              </w:rPr>
                            </w:pPr>
                          </w:p>
                          <w:p>
                            <w:pPr>
                              <w:pStyle w:val="TableParagraph"/>
                              <w:ind w:left="117"/>
                              <w:rPr>
                                <w:b/>
                                <w:sz w:val="20"/>
                              </w:rPr>
                            </w:pPr>
                            <w:r>
                              <w:rPr>
                                <w:b/>
                                <w:color w:val="FFFFFF"/>
                                <w:sz w:val="20"/>
                              </w:rPr>
                              <w:t>Measure-</w:t>
                            </w:r>
                            <w:r>
                              <w:rPr>
                                <w:b/>
                                <w:color w:val="FFFFFF"/>
                                <w:spacing w:val="-11"/>
                                <w:sz w:val="20"/>
                              </w:rPr>
                              <w:t> </w:t>
                            </w:r>
                            <w:r>
                              <w:rPr>
                                <w:b/>
                                <w:color w:val="FFFFFF"/>
                                <w:spacing w:val="-2"/>
                                <w:sz w:val="20"/>
                              </w:rPr>
                              <w:t>numbers</w:t>
                            </w:r>
                          </w:p>
                        </w:tc>
                        <w:tc>
                          <w:tcPr>
                            <w:tcW w:w="1020" w:type="dxa"/>
                            <w:shd w:val="clear" w:color="auto" w:fill="A6A6A6"/>
                          </w:tcPr>
                          <w:p>
                            <w:pPr>
                              <w:pStyle w:val="TableParagraph"/>
                              <w:spacing w:line="288" w:lineRule="auto" w:before="90"/>
                              <w:ind w:left="117" w:right="108"/>
                              <w:rPr>
                                <w:b/>
                                <w:sz w:val="20"/>
                              </w:rPr>
                            </w:pPr>
                            <w:r>
                              <w:rPr>
                                <w:b/>
                                <w:color w:val="FFFFFF"/>
                                <w:spacing w:val="-2"/>
                                <w:sz w:val="20"/>
                              </w:rPr>
                              <w:t>Target 2016–17</w:t>
                            </w:r>
                          </w:p>
                        </w:tc>
                        <w:tc>
                          <w:tcPr>
                            <w:tcW w:w="1020" w:type="dxa"/>
                            <w:shd w:val="clear" w:color="auto" w:fill="A6A6A6"/>
                          </w:tcPr>
                          <w:p>
                            <w:pPr>
                              <w:pStyle w:val="TableParagraph"/>
                              <w:spacing w:before="62"/>
                              <w:ind w:left="117"/>
                              <w:rPr>
                                <w:b/>
                                <w:sz w:val="20"/>
                              </w:rPr>
                            </w:pPr>
                            <w:r>
                              <w:rPr>
                                <w:b/>
                                <w:color w:val="FFFFFF"/>
                                <w:spacing w:val="-2"/>
                                <w:sz w:val="20"/>
                              </w:rPr>
                              <w:t>2013–14</w:t>
                            </w:r>
                          </w:p>
                          <w:p>
                            <w:pPr>
                              <w:pStyle w:val="TableParagraph"/>
                              <w:spacing w:before="106"/>
                              <w:ind w:left="117"/>
                              <w:rPr>
                                <w:b/>
                                <w:sz w:val="20"/>
                              </w:rPr>
                            </w:pPr>
                            <w:r>
                              <w:rPr>
                                <w:b/>
                                <w:color w:val="FFFFFF"/>
                                <w:spacing w:val="-2"/>
                                <w:sz w:val="20"/>
                              </w:rPr>
                              <w:t>Result</w:t>
                            </w:r>
                          </w:p>
                        </w:tc>
                        <w:tc>
                          <w:tcPr>
                            <w:tcW w:w="1023" w:type="dxa"/>
                            <w:shd w:val="clear" w:color="auto" w:fill="A6A6A6"/>
                          </w:tcPr>
                          <w:p>
                            <w:pPr>
                              <w:pStyle w:val="TableParagraph"/>
                              <w:spacing w:before="90"/>
                              <w:ind w:left="117"/>
                              <w:rPr>
                                <w:b/>
                                <w:sz w:val="20"/>
                              </w:rPr>
                            </w:pPr>
                            <w:r>
                              <w:rPr>
                                <w:b/>
                                <w:color w:val="FFFFFF"/>
                                <w:spacing w:val="-2"/>
                                <w:sz w:val="20"/>
                              </w:rPr>
                              <w:t>2014–15</w:t>
                            </w:r>
                          </w:p>
                          <w:p>
                            <w:pPr>
                              <w:pStyle w:val="TableParagraph"/>
                              <w:spacing w:before="47"/>
                              <w:ind w:left="117"/>
                              <w:rPr>
                                <w:b/>
                                <w:sz w:val="20"/>
                              </w:rPr>
                            </w:pPr>
                            <w:r>
                              <w:rPr>
                                <w:b/>
                                <w:color w:val="FFFFFF"/>
                                <w:spacing w:val="-2"/>
                                <w:sz w:val="20"/>
                              </w:rPr>
                              <w:t>Result</w:t>
                            </w:r>
                          </w:p>
                        </w:tc>
                        <w:tc>
                          <w:tcPr>
                            <w:tcW w:w="1020" w:type="dxa"/>
                            <w:shd w:val="clear" w:color="auto" w:fill="A6A6A6"/>
                          </w:tcPr>
                          <w:p>
                            <w:pPr>
                              <w:pStyle w:val="TableParagraph"/>
                              <w:spacing w:before="90"/>
                              <w:ind w:left="117"/>
                              <w:rPr>
                                <w:b/>
                                <w:sz w:val="20"/>
                              </w:rPr>
                            </w:pPr>
                            <w:r>
                              <w:rPr>
                                <w:b/>
                                <w:color w:val="FFFFFF"/>
                                <w:spacing w:val="-2"/>
                                <w:sz w:val="20"/>
                              </w:rPr>
                              <w:t>2015–16</w:t>
                            </w:r>
                          </w:p>
                          <w:p>
                            <w:pPr>
                              <w:pStyle w:val="TableParagraph"/>
                              <w:spacing w:before="47"/>
                              <w:ind w:left="117"/>
                              <w:rPr>
                                <w:b/>
                                <w:sz w:val="20"/>
                              </w:rPr>
                            </w:pPr>
                            <w:r>
                              <w:rPr>
                                <w:b/>
                                <w:color w:val="FFFFFF"/>
                                <w:spacing w:val="-2"/>
                                <w:sz w:val="20"/>
                              </w:rPr>
                              <w:t>Result</w:t>
                            </w:r>
                          </w:p>
                        </w:tc>
                        <w:tc>
                          <w:tcPr>
                            <w:tcW w:w="1023" w:type="dxa"/>
                            <w:shd w:val="clear" w:color="auto" w:fill="A6A6A6"/>
                          </w:tcPr>
                          <w:p>
                            <w:pPr>
                              <w:pStyle w:val="TableParagraph"/>
                              <w:spacing w:before="90"/>
                              <w:ind w:left="117"/>
                              <w:rPr>
                                <w:b/>
                                <w:sz w:val="20"/>
                              </w:rPr>
                            </w:pPr>
                            <w:r>
                              <w:rPr>
                                <w:b/>
                                <w:color w:val="FFFFFF"/>
                                <w:spacing w:val="-2"/>
                                <w:sz w:val="20"/>
                              </w:rPr>
                              <w:t>2016–17</w:t>
                            </w:r>
                          </w:p>
                          <w:p>
                            <w:pPr>
                              <w:pStyle w:val="TableParagraph"/>
                              <w:spacing w:before="47"/>
                              <w:ind w:left="117"/>
                              <w:rPr>
                                <w:b/>
                                <w:sz w:val="20"/>
                              </w:rPr>
                            </w:pPr>
                            <w:r>
                              <w:rPr>
                                <w:b/>
                                <w:color w:val="FFFFFF"/>
                                <w:spacing w:val="-2"/>
                                <w:sz w:val="20"/>
                              </w:rPr>
                              <w:t>Result</w:t>
                            </w:r>
                          </w:p>
                        </w:tc>
                        <w:tc>
                          <w:tcPr>
                            <w:tcW w:w="1025" w:type="dxa"/>
                            <w:shd w:val="clear" w:color="auto" w:fill="A6A6A6"/>
                          </w:tcPr>
                          <w:p>
                            <w:pPr>
                              <w:pStyle w:val="TableParagraph"/>
                              <w:rPr>
                                <w:i/>
                                <w:sz w:val="20"/>
                              </w:rPr>
                            </w:pPr>
                          </w:p>
                          <w:p>
                            <w:pPr>
                              <w:pStyle w:val="TableParagraph"/>
                              <w:ind w:left="102" w:right="96"/>
                              <w:jc w:val="center"/>
                              <w:rPr>
                                <w:b/>
                                <w:sz w:val="20"/>
                              </w:rPr>
                            </w:pPr>
                            <w:r>
                              <w:rPr>
                                <w:b/>
                                <w:color w:val="FFFFFF"/>
                                <w:spacing w:val="-2"/>
                                <w:sz w:val="20"/>
                              </w:rPr>
                              <w:t>Average</w:t>
                            </w:r>
                          </w:p>
                        </w:tc>
                      </w:tr>
                      <w:tr>
                        <w:trPr>
                          <w:trHeight w:val="1223" w:hRule="atLeast"/>
                        </w:trPr>
                        <w:tc>
                          <w:tcPr>
                            <w:tcW w:w="2554" w:type="dxa"/>
                            <w:tcBorders>
                              <w:left w:val="single" w:sz="4" w:space="0" w:color="A6A6A6"/>
                              <w:bottom w:val="single" w:sz="4" w:space="0" w:color="A6A6A6"/>
                              <w:right w:val="single" w:sz="4" w:space="0" w:color="A6A6A6"/>
                            </w:tcBorders>
                            <w:shd w:val="clear" w:color="auto" w:fill="FFFFFF"/>
                          </w:tcPr>
                          <w:p>
                            <w:pPr>
                              <w:pStyle w:val="TableParagraph"/>
                              <w:spacing w:line="288" w:lineRule="auto" w:before="59"/>
                              <w:ind w:left="117"/>
                              <w:rPr>
                                <w:sz w:val="20"/>
                              </w:rPr>
                            </w:pPr>
                            <w:r>
                              <w:rPr>
                                <w:sz w:val="20"/>
                              </w:rPr>
                              <w:t>Construction Safety Management</w:t>
                            </w:r>
                            <w:r>
                              <w:rPr>
                                <w:spacing w:val="-14"/>
                                <w:sz w:val="20"/>
                              </w:rPr>
                              <w:t> </w:t>
                            </w:r>
                            <w:r>
                              <w:rPr>
                                <w:sz w:val="20"/>
                              </w:rPr>
                              <w:t>Plan</w:t>
                            </w:r>
                            <w:r>
                              <w:rPr>
                                <w:spacing w:val="-14"/>
                                <w:sz w:val="20"/>
                              </w:rPr>
                              <w:t> </w:t>
                            </w:r>
                            <w:r>
                              <w:rPr>
                                <w:sz w:val="20"/>
                              </w:rPr>
                              <w:t>(SMP) construction and repair plans accepted</w:t>
                            </w:r>
                          </w:p>
                        </w:tc>
                        <w:tc>
                          <w:tcPr>
                            <w:tcW w:w="1020" w:type="dxa"/>
                            <w:tcBorders>
                              <w:left w:val="single" w:sz="4" w:space="0" w:color="A6A6A6"/>
                              <w:bottom w:val="single" w:sz="4" w:space="0" w:color="A6A6A6"/>
                              <w:right w:val="single" w:sz="4" w:space="0" w:color="A6A6A6"/>
                            </w:tcBorders>
                            <w:shd w:val="clear" w:color="auto" w:fill="FFFFFF"/>
                          </w:tcPr>
                          <w:p>
                            <w:pPr>
                              <w:pStyle w:val="TableParagraph"/>
                              <w:spacing w:before="60"/>
                              <w:ind w:right="436"/>
                              <w:jc w:val="right"/>
                              <w:rPr>
                                <w:sz w:val="22"/>
                              </w:rPr>
                            </w:pPr>
                            <w:r>
                              <w:rPr>
                                <w:w w:val="100"/>
                                <w:sz w:val="22"/>
                              </w:rPr>
                              <w:t>–</w:t>
                            </w:r>
                          </w:p>
                        </w:tc>
                        <w:tc>
                          <w:tcPr>
                            <w:tcW w:w="1020" w:type="dxa"/>
                            <w:tcBorders>
                              <w:left w:val="single" w:sz="4" w:space="0" w:color="A6A6A6"/>
                              <w:bottom w:val="single" w:sz="4" w:space="0" w:color="A6A6A6"/>
                              <w:right w:val="single" w:sz="4" w:space="0" w:color="A6A6A6"/>
                            </w:tcBorders>
                            <w:shd w:val="clear" w:color="auto" w:fill="FFFFFF"/>
                          </w:tcPr>
                          <w:p>
                            <w:pPr>
                              <w:pStyle w:val="TableParagraph"/>
                              <w:spacing w:before="59"/>
                              <w:ind w:left="98" w:right="91"/>
                              <w:jc w:val="center"/>
                              <w:rPr>
                                <w:sz w:val="20"/>
                              </w:rPr>
                            </w:pPr>
                            <w:r>
                              <w:rPr>
                                <w:spacing w:val="-5"/>
                                <w:sz w:val="20"/>
                              </w:rPr>
                              <w:t>34</w:t>
                            </w:r>
                          </w:p>
                        </w:tc>
                        <w:tc>
                          <w:tcPr>
                            <w:tcW w:w="1023" w:type="dxa"/>
                            <w:tcBorders>
                              <w:left w:val="single" w:sz="4" w:space="0" w:color="A6A6A6"/>
                              <w:bottom w:val="single" w:sz="4" w:space="0" w:color="A6A6A6"/>
                              <w:right w:val="single" w:sz="4" w:space="0" w:color="A6A6A6"/>
                            </w:tcBorders>
                            <w:shd w:val="clear" w:color="auto" w:fill="FFFFFF"/>
                          </w:tcPr>
                          <w:p>
                            <w:pPr>
                              <w:pStyle w:val="TableParagraph"/>
                              <w:spacing w:before="59"/>
                              <w:ind w:left="271" w:right="266"/>
                              <w:jc w:val="center"/>
                              <w:rPr>
                                <w:sz w:val="20"/>
                              </w:rPr>
                            </w:pPr>
                            <w:r>
                              <w:rPr>
                                <w:spacing w:val="-5"/>
                                <w:sz w:val="20"/>
                              </w:rPr>
                              <w:t>24</w:t>
                            </w:r>
                          </w:p>
                        </w:tc>
                        <w:tc>
                          <w:tcPr>
                            <w:tcW w:w="1020" w:type="dxa"/>
                            <w:tcBorders>
                              <w:left w:val="single" w:sz="4" w:space="0" w:color="A6A6A6"/>
                              <w:bottom w:val="single" w:sz="4" w:space="0" w:color="A6A6A6"/>
                              <w:right w:val="single" w:sz="4" w:space="0" w:color="A6A6A6"/>
                            </w:tcBorders>
                            <w:shd w:val="clear" w:color="auto" w:fill="FFFFFF"/>
                          </w:tcPr>
                          <w:p>
                            <w:pPr>
                              <w:pStyle w:val="TableParagraph"/>
                              <w:spacing w:before="59"/>
                              <w:ind w:left="7"/>
                              <w:jc w:val="center"/>
                              <w:rPr>
                                <w:sz w:val="20"/>
                              </w:rPr>
                            </w:pPr>
                            <w:r>
                              <w:rPr>
                                <w:w w:val="99"/>
                                <w:sz w:val="20"/>
                              </w:rPr>
                              <w:t>1</w:t>
                            </w:r>
                          </w:p>
                        </w:tc>
                        <w:tc>
                          <w:tcPr>
                            <w:tcW w:w="1023" w:type="dxa"/>
                            <w:tcBorders>
                              <w:left w:val="single" w:sz="4" w:space="0" w:color="A6A6A6"/>
                              <w:bottom w:val="single" w:sz="4" w:space="0" w:color="A6A6A6"/>
                              <w:right w:val="single" w:sz="4" w:space="0" w:color="A6A6A6"/>
                            </w:tcBorders>
                            <w:shd w:val="clear" w:color="auto" w:fill="FFFFFF"/>
                          </w:tcPr>
                          <w:p>
                            <w:pPr>
                              <w:pStyle w:val="TableParagraph"/>
                              <w:spacing w:before="59"/>
                              <w:ind w:left="271" w:right="267"/>
                              <w:jc w:val="center"/>
                              <w:rPr>
                                <w:sz w:val="20"/>
                              </w:rPr>
                            </w:pPr>
                            <w:r>
                              <w:rPr>
                                <w:spacing w:val="-5"/>
                                <w:sz w:val="20"/>
                              </w:rPr>
                              <w:t>34</w:t>
                            </w:r>
                          </w:p>
                        </w:tc>
                        <w:tc>
                          <w:tcPr>
                            <w:tcW w:w="1025" w:type="dxa"/>
                            <w:tcBorders>
                              <w:left w:val="single" w:sz="4" w:space="0" w:color="A6A6A6"/>
                              <w:bottom w:val="single" w:sz="4" w:space="0" w:color="A6A6A6"/>
                              <w:right w:val="single" w:sz="4" w:space="0" w:color="A6A6A6"/>
                            </w:tcBorders>
                            <w:shd w:val="clear" w:color="auto" w:fill="D9D9D9"/>
                          </w:tcPr>
                          <w:p>
                            <w:pPr>
                              <w:pStyle w:val="TableParagraph"/>
                              <w:spacing w:before="59"/>
                              <w:ind w:left="102" w:right="96"/>
                              <w:jc w:val="center"/>
                              <w:rPr>
                                <w:sz w:val="20"/>
                              </w:rPr>
                            </w:pPr>
                            <w:r>
                              <w:rPr>
                                <w:spacing w:val="-5"/>
                                <w:sz w:val="20"/>
                              </w:rPr>
                              <w:t>27</w:t>
                            </w:r>
                          </w:p>
                        </w:tc>
                      </w:tr>
                      <w:tr>
                        <w:trPr>
                          <w:trHeight w:val="947" w:hRule="atLeast"/>
                        </w:trPr>
                        <w:tc>
                          <w:tcPr>
                            <w:tcW w:w="2554"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line="288" w:lineRule="auto" w:before="59"/>
                              <w:ind w:left="117" w:right="253"/>
                              <w:rPr>
                                <w:b/>
                                <w:sz w:val="20"/>
                              </w:rPr>
                            </w:pPr>
                            <w:r>
                              <w:rPr>
                                <w:b/>
                                <w:sz w:val="20"/>
                              </w:rPr>
                              <w:t>SMP construction and repairs audits/field inspections</w:t>
                            </w:r>
                            <w:r>
                              <w:rPr>
                                <w:b/>
                                <w:spacing w:val="-14"/>
                                <w:sz w:val="20"/>
                              </w:rPr>
                              <w:t> </w:t>
                            </w:r>
                            <w:r>
                              <w:rPr>
                                <w:b/>
                                <w:sz w:val="20"/>
                              </w:rPr>
                              <w:t>completed</w:t>
                            </w:r>
                          </w:p>
                        </w:tc>
                        <w:tc>
                          <w:tcPr>
                            <w:tcW w:w="1020"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before="60"/>
                              <w:ind w:right="436"/>
                              <w:jc w:val="right"/>
                              <w:rPr>
                                <w:sz w:val="22"/>
                              </w:rPr>
                            </w:pPr>
                            <w:r>
                              <w:rPr>
                                <w:w w:val="100"/>
                                <w:sz w:val="22"/>
                              </w:rPr>
                              <w:t>–</w:t>
                            </w:r>
                          </w:p>
                        </w:tc>
                        <w:tc>
                          <w:tcPr>
                            <w:tcW w:w="1020"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before="59"/>
                              <w:ind w:left="98" w:right="91"/>
                              <w:jc w:val="center"/>
                              <w:rPr>
                                <w:sz w:val="20"/>
                              </w:rPr>
                            </w:pPr>
                            <w:r>
                              <w:rPr>
                                <w:spacing w:val="-5"/>
                                <w:sz w:val="20"/>
                              </w:rPr>
                              <w:t>584</w:t>
                            </w:r>
                          </w:p>
                        </w:tc>
                        <w:tc>
                          <w:tcPr>
                            <w:tcW w:w="1023"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before="59"/>
                              <w:ind w:left="271" w:right="267"/>
                              <w:jc w:val="center"/>
                              <w:rPr>
                                <w:sz w:val="20"/>
                              </w:rPr>
                            </w:pPr>
                            <w:r>
                              <w:rPr>
                                <w:spacing w:val="-5"/>
                                <w:sz w:val="20"/>
                              </w:rPr>
                              <w:t>495</w:t>
                            </w:r>
                          </w:p>
                        </w:tc>
                        <w:tc>
                          <w:tcPr>
                            <w:tcW w:w="1020"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before="59"/>
                              <w:ind w:left="98" w:right="91"/>
                              <w:jc w:val="center"/>
                              <w:rPr>
                                <w:sz w:val="20"/>
                              </w:rPr>
                            </w:pPr>
                            <w:r>
                              <w:rPr>
                                <w:spacing w:val="-5"/>
                                <w:sz w:val="20"/>
                              </w:rPr>
                              <w:t>451</w:t>
                            </w:r>
                          </w:p>
                        </w:tc>
                        <w:tc>
                          <w:tcPr>
                            <w:tcW w:w="1023"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before="59"/>
                              <w:ind w:left="271" w:right="267"/>
                              <w:jc w:val="center"/>
                              <w:rPr>
                                <w:sz w:val="20"/>
                              </w:rPr>
                            </w:pPr>
                            <w:r>
                              <w:rPr>
                                <w:spacing w:val="-5"/>
                                <w:sz w:val="20"/>
                              </w:rPr>
                              <w:t>238</w:t>
                            </w:r>
                          </w:p>
                        </w:tc>
                        <w:tc>
                          <w:tcPr>
                            <w:tcW w:w="1025" w:type="dxa"/>
                            <w:tcBorders>
                              <w:top w:val="single" w:sz="4" w:space="0" w:color="A6A6A6"/>
                              <w:left w:val="single" w:sz="4" w:space="0" w:color="A6A6A6"/>
                              <w:bottom w:val="single" w:sz="4" w:space="0" w:color="A6A6A6"/>
                              <w:right w:val="single" w:sz="4" w:space="0" w:color="A6A6A6"/>
                            </w:tcBorders>
                            <w:shd w:val="clear" w:color="auto" w:fill="D9D9D9"/>
                          </w:tcPr>
                          <w:p>
                            <w:pPr>
                              <w:pStyle w:val="TableParagraph"/>
                              <w:spacing w:before="59"/>
                              <w:ind w:left="102" w:right="96"/>
                              <w:jc w:val="center"/>
                              <w:rPr>
                                <w:sz w:val="20"/>
                              </w:rPr>
                            </w:pPr>
                            <w:r>
                              <w:rPr>
                                <w:spacing w:val="-5"/>
                                <w:sz w:val="20"/>
                              </w:rPr>
                              <w:t>442</w:t>
                            </w:r>
                          </w:p>
                        </w:tc>
                      </w:tr>
                      <w:tr>
                        <w:trPr>
                          <w:trHeight w:val="453" w:hRule="atLeast"/>
                        </w:trPr>
                        <w:tc>
                          <w:tcPr>
                            <w:tcW w:w="2554"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before="59"/>
                              <w:ind w:left="117"/>
                              <w:rPr>
                                <w:sz w:val="20"/>
                              </w:rPr>
                            </w:pPr>
                            <w:r>
                              <w:rPr>
                                <w:sz w:val="20"/>
                              </w:rPr>
                              <w:t>Consent</w:t>
                            </w:r>
                            <w:r>
                              <w:rPr>
                                <w:spacing w:val="-6"/>
                                <w:sz w:val="20"/>
                              </w:rPr>
                              <w:t> </w:t>
                            </w:r>
                            <w:r>
                              <w:rPr>
                                <w:sz w:val="20"/>
                              </w:rPr>
                              <w:t>to</w:t>
                            </w:r>
                            <w:r>
                              <w:rPr>
                                <w:spacing w:val="-6"/>
                                <w:sz w:val="20"/>
                              </w:rPr>
                              <w:t> </w:t>
                            </w:r>
                            <w:r>
                              <w:rPr>
                                <w:spacing w:val="-2"/>
                                <w:sz w:val="20"/>
                              </w:rPr>
                              <w:t>operate</w:t>
                            </w:r>
                          </w:p>
                        </w:tc>
                        <w:tc>
                          <w:tcPr>
                            <w:tcW w:w="1020"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before="60"/>
                              <w:ind w:right="436"/>
                              <w:jc w:val="right"/>
                              <w:rPr>
                                <w:sz w:val="22"/>
                              </w:rPr>
                            </w:pPr>
                            <w:r>
                              <w:rPr>
                                <w:w w:val="100"/>
                                <w:sz w:val="22"/>
                              </w:rPr>
                              <w:t>–</w:t>
                            </w:r>
                          </w:p>
                        </w:tc>
                        <w:tc>
                          <w:tcPr>
                            <w:tcW w:w="1020"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before="59"/>
                              <w:ind w:left="98" w:right="91"/>
                              <w:jc w:val="center"/>
                              <w:rPr>
                                <w:sz w:val="20"/>
                              </w:rPr>
                            </w:pPr>
                            <w:r>
                              <w:rPr>
                                <w:spacing w:val="-5"/>
                                <w:sz w:val="20"/>
                              </w:rPr>
                              <w:t>12</w:t>
                            </w:r>
                          </w:p>
                        </w:tc>
                        <w:tc>
                          <w:tcPr>
                            <w:tcW w:w="1023"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before="59"/>
                              <w:ind w:left="271" w:right="266"/>
                              <w:jc w:val="center"/>
                              <w:rPr>
                                <w:sz w:val="20"/>
                              </w:rPr>
                            </w:pPr>
                            <w:r>
                              <w:rPr>
                                <w:spacing w:val="-5"/>
                                <w:sz w:val="20"/>
                              </w:rPr>
                              <w:t>18</w:t>
                            </w:r>
                          </w:p>
                        </w:tc>
                        <w:tc>
                          <w:tcPr>
                            <w:tcW w:w="1020"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before="59"/>
                              <w:ind w:left="98" w:right="91"/>
                              <w:jc w:val="center"/>
                              <w:rPr>
                                <w:sz w:val="20"/>
                              </w:rPr>
                            </w:pPr>
                            <w:r>
                              <w:rPr>
                                <w:spacing w:val="-5"/>
                                <w:sz w:val="20"/>
                              </w:rPr>
                              <w:t>19</w:t>
                            </w:r>
                          </w:p>
                        </w:tc>
                        <w:tc>
                          <w:tcPr>
                            <w:tcW w:w="1023"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before="59"/>
                              <w:ind w:left="271" w:right="267"/>
                              <w:jc w:val="center"/>
                              <w:rPr>
                                <w:sz w:val="20"/>
                              </w:rPr>
                            </w:pPr>
                            <w:r>
                              <w:rPr>
                                <w:spacing w:val="-5"/>
                                <w:sz w:val="20"/>
                              </w:rPr>
                              <w:t>44</w:t>
                            </w:r>
                          </w:p>
                        </w:tc>
                        <w:tc>
                          <w:tcPr>
                            <w:tcW w:w="1025" w:type="dxa"/>
                            <w:tcBorders>
                              <w:top w:val="single" w:sz="4" w:space="0" w:color="A6A6A6"/>
                              <w:left w:val="single" w:sz="4" w:space="0" w:color="A6A6A6"/>
                              <w:bottom w:val="single" w:sz="4" w:space="0" w:color="A6A6A6"/>
                              <w:right w:val="single" w:sz="4" w:space="0" w:color="A6A6A6"/>
                            </w:tcBorders>
                            <w:shd w:val="clear" w:color="auto" w:fill="D9D9D9"/>
                          </w:tcPr>
                          <w:p>
                            <w:pPr>
                              <w:pStyle w:val="TableParagraph"/>
                              <w:spacing w:before="59"/>
                              <w:ind w:left="102" w:right="96"/>
                              <w:jc w:val="center"/>
                              <w:rPr>
                                <w:sz w:val="20"/>
                              </w:rPr>
                            </w:pPr>
                            <w:r>
                              <w:rPr>
                                <w:spacing w:val="-5"/>
                                <w:sz w:val="20"/>
                              </w:rPr>
                              <w:t>23</w:t>
                            </w:r>
                          </w:p>
                        </w:tc>
                      </w:tr>
                      <w:tr>
                        <w:trPr>
                          <w:trHeight w:val="1500" w:hRule="atLeast"/>
                        </w:trPr>
                        <w:tc>
                          <w:tcPr>
                            <w:tcW w:w="2554"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line="288" w:lineRule="auto" w:before="59"/>
                              <w:ind w:left="117" w:right="78"/>
                              <w:rPr>
                                <w:b/>
                                <w:sz w:val="20"/>
                              </w:rPr>
                            </w:pPr>
                            <w:r>
                              <w:rPr>
                                <w:b/>
                                <w:sz w:val="20"/>
                              </w:rPr>
                              <w:t>Operational Gas safety cases</w:t>
                            </w:r>
                            <w:r>
                              <w:rPr>
                                <w:b/>
                                <w:spacing w:val="-14"/>
                                <w:sz w:val="20"/>
                              </w:rPr>
                              <w:t> </w:t>
                            </w:r>
                            <w:r>
                              <w:rPr>
                                <w:b/>
                                <w:sz w:val="20"/>
                              </w:rPr>
                              <w:t>(SC)</w:t>
                            </w:r>
                            <w:r>
                              <w:rPr>
                                <w:b/>
                                <w:spacing w:val="-12"/>
                                <w:sz w:val="20"/>
                              </w:rPr>
                              <w:t> </w:t>
                            </w:r>
                            <w:r>
                              <w:rPr>
                                <w:b/>
                                <w:sz w:val="20"/>
                              </w:rPr>
                              <w:t>and</w:t>
                            </w:r>
                            <w:r>
                              <w:rPr>
                                <w:b/>
                                <w:spacing w:val="-14"/>
                                <w:sz w:val="20"/>
                              </w:rPr>
                              <w:t> </w:t>
                            </w:r>
                            <w:r>
                              <w:rPr>
                                <w:b/>
                                <w:sz w:val="20"/>
                              </w:rPr>
                              <w:t>pipeline SMP and Environment Management Plans </w:t>
                            </w:r>
                            <w:r>
                              <w:rPr>
                                <w:b/>
                                <w:spacing w:val="-2"/>
                                <w:sz w:val="20"/>
                              </w:rPr>
                              <w:t>(EMP)</w:t>
                            </w:r>
                          </w:p>
                        </w:tc>
                        <w:tc>
                          <w:tcPr>
                            <w:tcW w:w="1020"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rPr>
                                <w:rFonts w:ascii="Times New Roman"/>
                                <w:sz w:val="20"/>
                              </w:rPr>
                            </w:pPr>
                          </w:p>
                        </w:tc>
                        <w:tc>
                          <w:tcPr>
                            <w:tcW w:w="1020"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rPr>
                                <w:rFonts w:ascii="Times New Roman"/>
                                <w:sz w:val="20"/>
                              </w:rPr>
                            </w:pPr>
                          </w:p>
                        </w:tc>
                        <w:tc>
                          <w:tcPr>
                            <w:tcW w:w="1023"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rPr>
                                <w:rFonts w:ascii="Times New Roman"/>
                                <w:sz w:val="20"/>
                              </w:rPr>
                            </w:pPr>
                          </w:p>
                        </w:tc>
                        <w:tc>
                          <w:tcPr>
                            <w:tcW w:w="1020"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rPr>
                                <w:rFonts w:ascii="Times New Roman"/>
                                <w:sz w:val="20"/>
                              </w:rPr>
                            </w:pPr>
                          </w:p>
                        </w:tc>
                        <w:tc>
                          <w:tcPr>
                            <w:tcW w:w="1023"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rPr>
                                <w:rFonts w:ascii="Times New Roman"/>
                                <w:sz w:val="20"/>
                              </w:rPr>
                            </w:pPr>
                          </w:p>
                        </w:tc>
                        <w:tc>
                          <w:tcPr>
                            <w:tcW w:w="1025" w:type="dxa"/>
                            <w:tcBorders>
                              <w:top w:val="single" w:sz="4" w:space="0" w:color="A6A6A6"/>
                              <w:left w:val="single" w:sz="4" w:space="0" w:color="A6A6A6"/>
                              <w:bottom w:val="single" w:sz="4" w:space="0" w:color="A6A6A6"/>
                              <w:right w:val="single" w:sz="4" w:space="0" w:color="A6A6A6"/>
                            </w:tcBorders>
                            <w:shd w:val="clear" w:color="auto" w:fill="D9D9D9"/>
                          </w:tcPr>
                          <w:p>
                            <w:pPr>
                              <w:pStyle w:val="TableParagraph"/>
                              <w:rPr>
                                <w:rFonts w:ascii="Times New Roman"/>
                                <w:sz w:val="20"/>
                              </w:rPr>
                            </w:pPr>
                          </w:p>
                        </w:tc>
                      </w:tr>
                      <w:tr>
                        <w:trPr>
                          <w:trHeight w:val="671" w:hRule="atLeast"/>
                        </w:trPr>
                        <w:tc>
                          <w:tcPr>
                            <w:tcW w:w="2554"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line="288" w:lineRule="auto" w:before="59"/>
                              <w:ind w:left="117"/>
                              <w:rPr>
                                <w:sz w:val="20"/>
                              </w:rPr>
                            </w:pPr>
                            <w:r>
                              <w:rPr>
                                <w:sz w:val="20"/>
                              </w:rPr>
                              <w:t>Field</w:t>
                            </w:r>
                            <w:r>
                              <w:rPr>
                                <w:spacing w:val="-14"/>
                                <w:sz w:val="20"/>
                              </w:rPr>
                              <w:t> </w:t>
                            </w:r>
                            <w:r>
                              <w:rPr>
                                <w:sz w:val="20"/>
                              </w:rPr>
                              <w:t>compliance</w:t>
                            </w:r>
                            <w:r>
                              <w:rPr>
                                <w:spacing w:val="-14"/>
                                <w:sz w:val="20"/>
                              </w:rPr>
                              <w:t> </w:t>
                            </w:r>
                            <w:r>
                              <w:rPr>
                                <w:sz w:val="20"/>
                              </w:rPr>
                              <w:t>audits </w:t>
                            </w:r>
                            <w:r>
                              <w:rPr>
                                <w:spacing w:val="-2"/>
                                <w:sz w:val="20"/>
                              </w:rPr>
                              <w:t>completed</w:t>
                            </w:r>
                          </w:p>
                        </w:tc>
                        <w:tc>
                          <w:tcPr>
                            <w:tcW w:w="1020"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before="60"/>
                              <w:ind w:right="436"/>
                              <w:jc w:val="right"/>
                              <w:rPr>
                                <w:sz w:val="22"/>
                              </w:rPr>
                            </w:pPr>
                            <w:r>
                              <w:rPr>
                                <w:w w:val="100"/>
                                <w:sz w:val="22"/>
                              </w:rPr>
                              <w:t>–</w:t>
                            </w:r>
                          </w:p>
                        </w:tc>
                        <w:tc>
                          <w:tcPr>
                            <w:tcW w:w="1020"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before="59"/>
                              <w:ind w:left="98" w:right="91"/>
                              <w:jc w:val="center"/>
                              <w:rPr>
                                <w:sz w:val="20"/>
                              </w:rPr>
                            </w:pPr>
                            <w:r>
                              <w:rPr>
                                <w:spacing w:val="-5"/>
                                <w:sz w:val="20"/>
                              </w:rPr>
                              <w:t>30</w:t>
                            </w:r>
                          </w:p>
                        </w:tc>
                        <w:tc>
                          <w:tcPr>
                            <w:tcW w:w="1023"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before="59"/>
                              <w:ind w:left="271" w:right="266"/>
                              <w:jc w:val="center"/>
                              <w:rPr>
                                <w:sz w:val="20"/>
                              </w:rPr>
                            </w:pPr>
                            <w:r>
                              <w:rPr>
                                <w:spacing w:val="-5"/>
                                <w:sz w:val="20"/>
                              </w:rPr>
                              <w:t>36</w:t>
                            </w:r>
                          </w:p>
                        </w:tc>
                        <w:tc>
                          <w:tcPr>
                            <w:tcW w:w="1020"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before="59"/>
                              <w:ind w:left="98" w:right="91"/>
                              <w:jc w:val="center"/>
                              <w:rPr>
                                <w:sz w:val="20"/>
                              </w:rPr>
                            </w:pPr>
                            <w:r>
                              <w:rPr>
                                <w:spacing w:val="-5"/>
                                <w:sz w:val="20"/>
                              </w:rPr>
                              <w:t>77</w:t>
                            </w:r>
                          </w:p>
                        </w:tc>
                        <w:tc>
                          <w:tcPr>
                            <w:tcW w:w="1023"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before="59"/>
                              <w:ind w:left="271" w:right="267"/>
                              <w:jc w:val="center"/>
                              <w:rPr>
                                <w:sz w:val="20"/>
                              </w:rPr>
                            </w:pPr>
                            <w:r>
                              <w:rPr>
                                <w:spacing w:val="-5"/>
                                <w:sz w:val="20"/>
                              </w:rPr>
                              <w:t>67</w:t>
                            </w:r>
                          </w:p>
                        </w:tc>
                        <w:tc>
                          <w:tcPr>
                            <w:tcW w:w="1025" w:type="dxa"/>
                            <w:tcBorders>
                              <w:top w:val="single" w:sz="4" w:space="0" w:color="A6A6A6"/>
                              <w:left w:val="single" w:sz="4" w:space="0" w:color="A6A6A6"/>
                              <w:bottom w:val="single" w:sz="4" w:space="0" w:color="A6A6A6"/>
                              <w:right w:val="single" w:sz="4" w:space="0" w:color="A6A6A6"/>
                            </w:tcBorders>
                            <w:shd w:val="clear" w:color="auto" w:fill="D9D9D9"/>
                          </w:tcPr>
                          <w:p>
                            <w:pPr>
                              <w:pStyle w:val="TableParagraph"/>
                              <w:spacing w:before="59"/>
                              <w:ind w:left="102" w:right="96"/>
                              <w:jc w:val="center"/>
                              <w:rPr>
                                <w:sz w:val="20"/>
                              </w:rPr>
                            </w:pPr>
                            <w:r>
                              <w:rPr>
                                <w:spacing w:val="-5"/>
                                <w:sz w:val="20"/>
                              </w:rPr>
                              <w:t>53</w:t>
                            </w:r>
                          </w:p>
                        </w:tc>
                      </w:tr>
                      <w:tr>
                        <w:trPr>
                          <w:trHeight w:val="671" w:hRule="atLeast"/>
                        </w:trPr>
                        <w:tc>
                          <w:tcPr>
                            <w:tcW w:w="2554"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line="288" w:lineRule="auto" w:before="59"/>
                              <w:ind w:left="117"/>
                              <w:rPr>
                                <w:sz w:val="20"/>
                              </w:rPr>
                            </w:pPr>
                            <w:r>
                              <w:rPr>
                                <w:spacing w:val="-2"/>
                                <w:sz w:val="20"/>
                              </w:rPr>
                              <w:t>Compliance/effectiveness </w:t>
                            </w:r>
                            <w:r>
                              <w:rPr>
                                <w:sz w:val="20"/>
                              </w:rPr>
                              <w:t>audits completed</w:t>
                            </w:r>
                          </w:p>
                        </w:tc>
                        <w:tc>
                          <w:tcPr>
                            <w:tcW w:w="1020"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before="60"/>
                              <w:ind w:right="436"/>
                              <w:jc w:val="right"/>
                              <w:rPr>
                                <w:sz w:val="22"/>
                              </w:rPr>
                            </w:pPr>
                            <w:r>
                              <w:rPr>
                                <w:w w:val="100"/>
                                <w:sz w:val="22"/>
                              </w:rPr>
                              <w:t>–</w:t>
                            </w:r>
                          </w:p>
                        </w:tc>
                        <w:tc>
                          <w:tcPr>
                            <w:tcW w:w="1020"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before="59"/>
                              <w:ind w:left="98" w:right="91"/>
                              <w:jc w:val="center"/>
                              <w:rPr>
                                <w:sz w:val="20"/>
                              </w:rPr>
                            </w:pPr>
                            <w:r>
                              <w:rPr>
                                <w:spacing w:val="-5"/>
                                <w:sz w:val="20"/>
                              </w:rPr>
                              <w:t>48</w:t>
                            </w:r>
                          </w:p>
                        </w:tc>
                        <w:tc>
                          <w:tcPr>
                            <w:tcW w:w="1023"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before="59"/>
                              <w:ind w:left="5"/>
                              <w:jc w:val="center"/>
                              <w:rPr>
                                <w:sz w:val="20"/>
                              </w:rPr>
                            </w:pPr>
                            <w:r>
                              <w:rPr>
                                <w:w w:val="99"/>
                                <w:sz w:val="20"/>
                              </w:rPr>
                              <w:t>7</w:t>
                            </w:r>
                          </w:p>
                        </w:tc>
                        <w:tc>
                          <w:tcPr>
                            <w:tcW w:w="1020"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before="59"/>
                              <w:ind w:left="7"/>
                              <w:jc w:val="center"/>
                              <w:rPr>
                                <w:sz w:val="20"/>
                              </w:rPr>
                            </w:pPr>
                            <w:r>
                              <w:rPr>
                                <w:w w:val="99"/>
                                <w:sz w:val="20"/>
                              </w:rPr>
                              <w:t>1</w:t>
                            </w:r>
                          </w:p>
                        </w:tc>
                        <w:tc>
                          <w:tcPr>
                            <w:tcW w:w="1023"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before="59"/>
                              <w:ind w:left="271" w:right="267"/>
                              <w:jc w:val="center"/>
                              <w:rPr>
                                <w:sz w:val="20"/>
                              </w:rPr>
                            </w:pPr>
                            <w:r>
                              <w:rPr>
                                <w:spacing w:val="-5"/>
                                <w:sz w:val="20"/>
                              </w:rPr>
                              <w:t>79</w:t>
                            </w:r>
                          </w:p>
                        </w:tc>
                        <w:tc>
                          <w:tcPr>
                            <w:tcW w:w="1025" w:type="dxa"/>
                            <w:tcBorders>
                              <w:top w:val="single" w:sz="4" w:space="0" w:color="A6A6A6"/>
                              <w:left w:val="single" w:sz="4" w:space="0" w:color="A6A6A6"/>
                              <w:bottom w:val="single" w:sz="4" w:space="0" w:color="A6A6A6"/>
                              <w:right w:val="single" w:sz="4" w:space="0" w:color="A6A6A6"/>
                            </w:tcBorders>
                            <w:shd w:val="clear" w:color="auto" w:fill="D9D9D9"/>
                          </w:tcPr>
                          <w:p>
                            <w:pPr>
                              <w:pStyle w:val="TableParagraph"/>
                              <w:spacing w:before="59"/>
                              <w:ind w:left="102" w:right="96"/>
                              <w:jc w:val="center"/>
                              <w:rPr>
                                <w:sz w:val="20"/>
                              </w:rPr>
                            </w:pPr>
                            <w:r>
                              <w:rPr>
                                <w:spacing w:val="-5"/>
                                <w:sz w:val="20"/>
                              </w:rPr>
                              <w:t>34</w:t>
                            </w:r>
                          </w:p>
                        </w:tc>
                      </w:tr>
                      <w:tr>
                        <w:trPr>
                          <w:trHeight w:val="671" w:hRule="atLeast"/>
                        </w:trPr>
                        <w:tc>
                          <w:tcPr>
                            <w:tcW w:w="2554"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line="288" w:lineRule="auto" w:before="59"/>
                              <w:ind w:left="117" w:right="297"/>
                              <w:rPr>
                                <w:sz w:val="20"/>
                              </w:rPr>
                            </w:pPr>
                            <w:r>
                              <w:rPr>
                                <w:sz w:val="20"/>
                              </w:rPr>
                              <w:t>New and revised SC/SMP/EMP</w:t>
                            </w:r>
                            <w:r>
                              <w:rPr>
                                <w:spacing w:val="-14"/>
                                <w:sz w:val="20"/>
                              </w:rPr>
                              <w:t> </w:t>
                            </w:r>
                            <w:r>
                              <w:rPr>
                                <w:sz w:val="20"/>
                              </w:rPr>
                              <w:t>accepted</w:t>
                            </w:r>
                          </w:p>
                        </w:tc>
                        <w:tc>
                          <w:tcPr>
                            <w:tcW w:w="1020"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before="60"/>
                              <w:ind w:right="436"/>
                              <w:jc w:val="right"/>
                              <w:rPr>
                                <w:sz w:val="22"/>
                              </w:rPr>
                            </w:pPr>
                            <w:r>
                              <w:rPr>
                                <w:w w:val="100"/>
                                <w:sz w:val="22"/>
                              </w:rPr>
                              <w:t>–</w:t>
                            </w:r>
                          </w:p>
                        </w:tc>
                        <w:tc>
                          <w:tcPr>
                            <w:tcW w:w="1020"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before="59"/>
                              <w:ind w:left="98" w:right="91"/>
                              <w:jc w:val="center"/>
                              <w:rPr>
                                <w:sz w:val="20"/>
                              </w:rPr>
                            </w:pPr>
                            <w:r>
                              <w:rPr>
                                <w:spacing w:val="-5"/>
                                <w:sz w:val="20"/>
                              </w:rPr>
                              <w:t>21</w:t>
                            </w:r>
                          </w:p>
                        </w:tc>
                        <w:tc>
                          <w:tcPr>
                            <w:tcW w:w="1023"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before="59"/>
                              <w:ind w:left="5"/>
                              <w:jc w:val="center"/>
                              <w:rPr>
                                <w:sz w:val="20"/>
                              </w:rPr>
                            </w:pPr>
                            <w:r>
                              <w:rPr>
                                <w:w w:val="99"/>
                                <w:sz w:val="20"/>
                              </w:rPr>
                              <w:t>7</w:t>
                            </w:r>
                          </w:p>
                        </w:tc>
                        <w:tc>
                          <w:tcPr>
                            <w:tcW w:w="1020"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before="59"/>
                              <w:ind w:left="98" w:right="91"/>
                              <w:jc w:val="center"/>
                              <w:rPr>
                                <w:sz w:val="20"/>
                              </w:rPr>
                            </w:pPr>
                            <w:r>
                              <w:rPr>
                                <w:spacing w:val="-5"/>
                                <w:sz w:val="20"/>
                              </w:rPr>
                              <w:t>11</w:t>
                            </w:r>
                          </w:p>
                        </w:tc>
                        <w:tc>
                          <w:tcPr>
                            <w:tcW w:w="1023" w:type="dxa"/>
                            <w:tcBorders>
                              <w:top w:val="single" w:sz="4" w:space="0" w:color="A6A6A6"/>
                              <w:left w:val="single" w:sz="4" w:space="0" w:color="A6A6A6"/>
                              <w:bottom w:val="single" w:sz="4" w:space="0" w:color="A6A6A6"/>
                              <w:right w:val="single" w:sz="4" w:space="0" w:color="A6A6A6"/>
                            </w:tcBorders>
                            <w:shd w:val="clear" w:color="auto" w:fill="FFFFFF"/>
                          </w:tcPr>
                          <w:p>
                            <w:pPr>
                              <w:pStyle w:val="TableParagraph"/>
                              <w:spacing w:before="59"/>
                              <w:ind w:left="4"/>
                              <w:jc w:val="center"/>
                              <w:rPr>
                                <w:sz w:val="20"/>
                              </w:rPr>
                            </w:pPr>
                            <w:r>
                              <w:rPr>
                                <w:w w:val="99"/>
                                <w:sz w:val="20"/>
                              </w:rPr>
                              <w:t>7</w:t>
                            </w:r>
                          </w:p>
                        </w:tc>
                        <w:tc>
                          <w:tcPr>
                            <w:tcW w:w="1025" w:type="dxa"/>
                            <w:tcBorders>
                              <w:top w:val="single" w:sz="4" w:space="0" w:color="A6A6A6"/>
                              <w:left w:val="single" w:sz="4" w:space="0" w:color="A6A6A6"/>
                              <w:bottom w:val="single" w:sz="4" w:space="0" w:color="A6A6A6"/>
                              <w:right w:val="single" w:sz="4" w:space="0" w:color="A6A6A6"/>
                            </w:tcBorders>
                            <w:shd w:val="clear" w:color="auto" w:fill="D9D9D9"/>
                          </w:tcPr>
                          <w:p>
                            <w:pPr>
                              <w:pStyle w:val="TableParagraph"/>
                              <w:spacing w:before="59"/>
                              <w:ind w:left="102" w:right="96"/>
                              <w:jc w:val="center"/>
                              <w:rPr>
                                <w:sz w:val="20"/>
                              </w:rPr>
                            </w:pPr>
                            <w:r>
                              <w:rPr>
                                <w:spacing w:val="-5"/>
                                <w:sz w:val="20"/>
                              </w:rPr>
                              <w:t>12</w:t>
                            </w:r>
                          </w:p>
                        </w:tc>
                      </w:tr>
                    </w:tbl>
                    <w:p>
                      <w:pPr>
                        <w:pStyle w:val="BodyText"/>
                      </w:pPr>
                    </w:p>
                  </w:txbxContent>
                </v:textbox>
                <w10:wrap type="none"/>
              </v:shape>
            </w:pict>
          </mc:Fallback>
        </mc:AlternateContent>
      </w:r>
      <w:r>
        <w:rPr/>
        <mc:AlternateContent>
          <mc:Choice Requires="wps">
            <w:drawing>
              <wp:anchor distT="0" distB="0" distL="0" distR="0" allowOverlap="1" layoutInCell="1" locked="0" behindDoc="0" simplePos="0" relativeHeight="15761408">
                <wp:simplePos x="0" y="0"/>
                <wp:positionH relativeFrom="page">
                  <wp:posOffset>1053388</wp:posOffset>
                </wp:positionH>
                <wp:positionV relativeFrom="paragraph">
                  <wp:posOffset>-4935501</wp:posOffset>
                </wp:positionV>
                <wp:extent cx="5591175" cy="4413250"/>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5591175" cy="441325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54"/>
                              <w:gridCol w:w="1020"/>
                              <w:gridCol w:w="1020"/>
                              <w:gridCol w:w="1023"/>
                              <w:gridCol w:w="1020"/>
                              <w:gridCol w:w="1023"/>
                              <w:gridCol w:w="1025"/>
                            </w:tblGrid>
                            <w:tr>
                              <w:trPr>
                                <w:trHeight w:val="744" w:hRule="atLeast"/>
                              </w:trPr>
                              <w:tc>
                                <w:tcPr>
                                  <w:tcW w:w="2554" w:type="dxa"/>
                                  <w:shd w:val="clear" w:color="auto" w:fill="CDEBEB"/>
                                </w:tcPr>
                                <w:p>
                                  <w:pPr>
                                    <w:pStyle w:val="TableParagraph"/>
                                    <w:rPr>
                                      <w:rFonts w:ascii="Times New Roman"/>
                                      <w:sz w:val="20"/>
                                    </w:rPr>
                                  </w:pPr>
                                </w:p>
                              </w:tc>
                              <w:tc>
                                <w:tcPr>
                                  <w:tcW w:w="1020" w:type="dxa"/>
                                  <w:shd w:val="clear" w:color="auto" w:fill="CDEBEB"/>
                                </w:tcPr>
                                <w:p>
                                  <w:pPr>
                                    <w:pStyle w:val="TableParagraph"/>
                                    <w:rPr>
                                      <w:rFonts w:ascii="Times New Roman"/>
                                      <w:sz w:val="20"/>
                                    </w:rPr>
                                  </w:pPr>
                                </w:p>
                              </w:tc>
                              <w:tc>
                                <w:tcPr>
                                  <w:tcW w:w="1020" w:type="dxa"/>
                                  <w:shd w:val="clear" w:color="auto" w:fill="CDEBEB"/>
                                </w:tcPr>
                                <w:p>
                                  <w:pPr>
                                    <w:pStyle w:val="TableParagraph"/>
                                    <w:rPr>
                                      <w:rFonts w:ascii="Times New Roman"/>
                                      <w:sz w:val="20"/>
                                    </w:rPr>
                                  </w:pPr>
                                </w:p>
                              </w:tc>
                              <w:tc>
                                <w:tcPr>
                                  <w:tcW w:w="1023" w:type="dxa"/>
                                  <w:shd w:val="clear" w:color="auto" w:fill="CDEBEB"/>
                                </w:tcPr>
                                <w:p>
                                  <w:pPr>
                                    <w:pStyle w:val="TableParagraph"/>
                                    <w:rPr>
                                      <w:rFonts w:ascii="Times New Roman"/>
                                      <w:sz w:val="20"/>
                                    </w:rPr>
                                  </w:pPr>
                                </w:p>
                              </w:tc>
                              <w:tc>
                                <w:tcPr>
                                  <w:tcW w:w="1020" w:type="dxa"/>
                                  <w:shd w:val="clear" w:color="auto" w:fill="CDEBEB"/>
                                </w:tcPr>
                                <w:p>
                                  <w:pPr>
                                    <w:pStyle w:val="TableParagraph"/>
                                    <w:rPr>
                                      <w:rFonts w:ascii="Times New Roman"/>
                                      <w:sz w:val="20"/>
                                    </w:rPr>
                                  </w:pPr>
                                </w:p>
                              </w:tc>
                              <w:tc>
                                <w:tcPr>
                                  <w:tcW w:w="1023" w:type="dxa"/>
                                  <w:shd w:val="clear" w:color="auto" w:fill="CDEBEB"/>
                                </w:tcPr>
                                <w:p>
                                  <w:pPr>
                                    <w:pStyle w:val="TableParagraph"/>
                                    <w:rPr>
                                      <w:rFonts w:ascii="Times New Roman"/>
                                      <w:sz w:val="20"/>
                                    </w:rPr>
                                  </w:pPr>
                                </w:p>
                              </w:tc>
                              <w:tc>
                                <w:tcPr>
                                  <w:tcW w:w="1025" w:type="dxa"/>
                                  <w:shd w:val="clear" w:color="auto" w:fill="CDEBEB"/>
                                </w:tcPr>
                                <w:p>
                                  <w:pPr>
                                    <w:pStyle w:val="TableParagraph"/>
                                    <w:rPr>
                                      <w:rFonts w:ascii="Times New Roman"/>
                                      <w:sz w:val="20"/>
                                    </w:rPr>
                                  </w:pPr>
                                </w:p>
                              </w:tc>
                            </w:tr>
                            <w:tr>
                              <w:trPr>
                                <w:trHeight w:val="1233" w:hRule="atLeast"/>
                              </w:trPr>
                              <w:tc>
                                <w:tcPr>
                                  <w:tcW w:w="2554" w:type="dxa"/>
                                  <w:shd w:val="clear" w:color="auto" w:fill="CDEBEB"/>
                                </w:tcPr>
                                <w:p>
                                  <w:pPr>
                                    <w:pStyle w:val="TableParagraph"/>
                                    <w:rPr>
                                      <w:rFonts w:ascii="Times New Roman"/>
                                      <w:sz w:val="20"/>
                                    </w:rPr>
                                  </w:pPr>
                                </w:p>
                              </w:tc>
                              <w:tc>
                                <w:tcPr>
                                  <w:tcW w:w="1020" w:type="dxa"/>
                                  <w:shd w:val="clear" w:color="auto" w:fill="CDEBEB"/>
                                </w:tcPr>
                                <w:p>
                                  <w:pPr>
                                    <w:pStyle w:val="TableParagraph"/>
                                    <w:rPr>
                                      <w:rFonts w:ascii="Times New Roman"/>
                                      <w:sz w:val="20"/>
                                    </w:rPr>
                                  </w:pPr>
                                </w:p>
                              </w:tc>
                              <w:tc>
                                <w:tcPr>
                                  <w:tcW w:w="1020" w:type="dxa"/>
                                  <w:shd w:val="clear" w:color="auto" w:fill="CDEBEB"/>
                                </w:tcPr>
                                <w:p>
                                  <w:pPr>
                                    <w:pStyle w:val="TableParagraph"/>
                                    <w:rPr>
                                      <w:rFonts w:ascii="Times New Roman"/>
                                      <w:sz w:val="20"/>
                                    </w:rPr>
                                  </w:pPr>
                                </w:p>
                              </w:tc>
                              <w:tc>
                                <w:tcPr>
                                  <w:tcW w:w="1023" w:type="dxa"/>
                                  <w:shd w:val="clear" w:color="auto" w:fill="CDEBEB"/>
                                </w:tcPr>
                                <w:p>
                                  <w:pPr>
                                    <w:pStyle w:val="TableParagraph"/>
                                    <w:rPr>
                                      <w:rFonts w:ascii="Times New Roman"/>
                                      <w:sz w:val="20"/>
                                    </w:rPr>
                                  </w:pPr>
                                </w:p>
                              </w:tc>
                              <w:tc>
                                <w:tcPr>
                                  <w:tcW w:w="1020" w:type="dxa"/>
                                  <w:shd w:val="clear" w:color="auto" w:fill="CDEBEB"/>
                                </w:tcPr>
                                <w:p>
                                  <w:pPr>
                                    <w:pStyle w:val="TableParagraph"/>
                                    <w:rPr>
                                      <w:rFonts w:ascii="Times New Roman"/>
                                      <w:sz w:val="20"/>
                                    </w:rPr>
                                  </w:pPr>
                                </w:p>
                              </w:tc>
                              <w:tc>
                                <w:tcPr>
                                  <w:tcW w:w="1023" w:type="dxa"/>
                                  <w:shd w:val="clear" w:color="auto" w:fill="CDEBEB"/>
                                </w:tcPr>
                                <w:p>
                                  <w:pPr>
                                    <w:pStyle w:val="TableParagraph"/>
                                    <w:rPr>
                                      <w:rFonts w:ascii="Times New Roman"/>
                                      <w:sz w:val="20"/>
                                    </w:rPr>
                                  </w:pPr>
                                </w:p>
                              </w:tc>
                              <w:tc>
                                <w:tcPr>
                                  <w:tcW w:w="1025" w:type="dxa"/>
                                  <w:shd w:val="clear" w:color="auto" w:fill="CDEBEB"/>
                                </w:tcPr>
                                <w:p>
                                  <w:pPr>
                                    <w:pStyle w:val="TableParagraph"/>
                                    <w:rPr>
                                      <w:rFonts w:ascii="Times New Roman"/>
                                      <w:sz w:val="20"/>
                                    </w:rPr>
                                  </w:pPr>
                                </w:p>
                              </w:tc>
                            </w:tr>
                            <w:tr>
                              <w:trPr>
                                <w:trHeight w:val="957" w:hRule="atLeast"/>
                              </w:trPr>
                              <w:tc>
                                <w:tcPr>
                                  <w:tcW w:w="2554" w:type="dxa"/>
                                  <w:shd w:val="clear" w:color="auto" w:fill="CDEBEB"/>
                                </w:tcPr>
                                <w:p>
                                  <w:pPr>
                                    <w:pStyle w:val="TableParagraph"/>
                                    <w:rPr>
                                      <w:rFonts w:ascii="Times New Roman"/>
                                      <w:sz w:val="20"/>
                                    </w:rPr>
                                  </w:pPr>
                                </w:p>
                              </w:tc>
                              <w:tc>
                                <w:tcPr>
                                  <w:tcW w:w="1020" w:type="dxa"/>
                                  <w:shd w:val="clear" w:color="auto" w:fill="CDEBEB"/>
                                </w:tcPr>
                                <w:p>
                                  <w:pPr>
                                    <w:pStyle w:val="TableParagraph"/>
                                    <w:rPr>
                                      <w:rFonts w:ascii="Times New Roman"/>
                                      <w:sz w:val="20"/>
                                    </w:rPr>
                                  </w:pPr>
                                </w:p>
                              </w:tc>
                              <w:tc>
                                <w:tcPr>
                                  <w:tcW w:w="1020" w:type="dxa"/>
                                  <w:shd w:val="clear" w:color="auto" w:fill="CDEBEB"/>
                                </w:tcPr>
                                <w:p>
                                  <w:pPr>
                                    <w:pStyle w:val="TableParagraph"/>
                                    <w:rPr>
                                      <w:rFonts w:ascii="Times New Roman"/>
                                      <w:sz w:val="20"/>
                                    </w:rPr>
                                  </w:pPr>
                                </w:p>
                              </w:tc>
                              <w:tc>
                                <w:tcPr>
                                  <w:tcW w:w="1023" w:type="dxa"/>
                                  <w:shd w:val="clear" w:color="auto" w:fill="CDEBEB"/>
                                </w:tcPr>
                                <w:p>
                                  <w:pPr>
                                    <w:pStyle w:val="TableParagraph"/>
                                    <w:rPr>
                                      <w:rFonts w:ascii="Times New Roman"/>
                                      <w:sz w:val="20"/>
                                    </w:rPr>
                                  </w:pPr>
                                </w:p>
                              </w:tc>
                              <w:tc>
                                <w:tcPr>
                                  <w:tcW w:w="1020" w:type="dxa"/>
                                  <w:shd w:val="clear" w:color="auto" w:fill="CDEBEB"/>
                                </w:tcPr>
                                <w:p>
                                  <w:pPr>
                                    <w:pStyle w:val="TableParagraph"/>
                                    <w:rPr>
                                      <w:rFonts w:ascii="Times New Roman"/>
                                      <w:sz w:val="20"/>
                                    </w:rPr>
                                  </w:pPr>
                                </w:p>
                              </w:tc>
                              <w:tc>
                                <w:tcPr>
                                  <w:tcW w:w="1023" w:type="dxa"/>
                                  <w:shd w:val="clear" w:color="auto" w:fill="CDEBEB"/>
                                </w:tcPr>
                                <w:p>
                                  <w:pPr>
                                    <w:pStyle w:val="TableParagraph"/>
                                    <w:rPr>
                                      <w:rFonts w:ascii="Times New Roman"/>
                                      <w:sz w:val="20"/>
                                    </w:rPr>
                                  </w:pPr>
                                </w:p>
                              </w:tc>
                              <w:tc>
                                <w:tcPr>
                                  <w:tcW w:w="1025" w:type="dxa"/>
                                  <w:shd w:val="clear" w:color="auto" w:fill="CDEBEB"/>
                                </w:tcPr>
                                <w:p>
                                  <w:pPr>
                                    <w:pStyle w:val="TableParagraph"/>
                                    <w:rPr>
                                      <w:rFonts w:ascii="Times New Roman"/>
                                      <w:sz w:val="20"/>
                                    </w:rPr>
                                  </w:pPr>
                                </w:p>
                              </w:tc>
                            </w:tr>
                            <w:tr>
                              <w:trPr>
                                <w:trHeight w:val="463" w:hRule="atLeast"/>
                              </w:trPr>
                              <w:tc>
                                <w:tcPr>
                                  <w:tcW w:w="2554" w:type="dxa"/>
                                  <w:shd w:val="clear" w:color="auto" w:fill="CDEBEB"/>
                                </w:tcPr>
                                <w:p>
                                  <w:pPr>
                                    <w:pStyle w:val="TableParagraph"/>
                                    <w:rPr>
                                      <w:rFonts w:ascii="Times New Roman"/>
                                      <w:sz w:val="20"/>
                                    </w:rPr>
                                  </w:pPr>
                                </w:p>
                              </w:tc>
                              <w:tc>
                                <w:tcPr>
                                  <w:tcW w:w="1020" w:type="dxa"/>
                                  <w:shd w:val="clear" w:color="auto" w:fill="CDEBEB"/>
                                </w:tcPr>
                                <w:p>
                                  <w:pPr>
                                    <w:pStyle w:val="TableParagraph"/>
                                    <w:rPr>
                                      <w:rFonts w:ascii="Times New Roman"/>
                                      <w:sz w:val="20"/>
                                    </w:rPr>
                                  </w:pPr>
                                </w:p>
                              </w:tc>
                              <w:tc>
                                <w:tcPr>
                                  <w:tcW w:w="1020" w:type="dxa"/>
                                  <w:shd w:val="clear" w:color="auto" w:fill="CDEBEB"/>
                                </w:tcPr>
                                <w:p>
                                  <w:pPr>
                                    <w:pStyle w:val="TableParagraph"/>
                                    <w:rPr>
                                      <w:rFonts w:ascii="Times New Roman"/>
                                      <w:sz w:val="20"/>
                                    </w:rPr>
                                  </w:pPr>
                                </w:p>
                              </w:tc>
                              <w:tc>
                                <w:tcPr>
                                  <w:tcW w:w="1023" w:type="dxa"/>
                                  <w:shd w:val="clear" w:color="auto" w:fill="CDEBEB"/>
                                </w:tcPr>
                                <w:p>
                                  <w:pPr>
                                    <w:pStyle w:val="TableParagraph"/>
                                    <w:rPr>
                                      <w:rFonts w:ascii="Times New Roman"/>
                                      <w:sz w:val="20"/>
                                    </w:rPr>
                                  </w:pPr>
                                </w:p>
                              </w:tc>
                              <w:tc>
                                <w:tcPr>
                                  <w:tcW w:w="1020" w:type="dxa"/>
                                  <w:shd w:val="clear" w:color="auto" w:fill="CDEBEB"/>
                                </w:tcPr>
                                <w:p>
                                  <w:pPr>
                                    <w:pStyle w:val="TableParagraph"/>
                                    <w:rPr>
                                      <w:rFonts w:ascii="Times New Roman"/>
                                      <w:sz w:val="20"/>
                                    </w:rPr>
                                  </w:pPr>
                                </w:p>
                              </w:tc>
                              <w:tc>
                                <w:tcPr>
                                  <w:tcW w:w="1023" w:type="dxa"/>
                                  <w:shd w:val="clear" w:color="auto" w:fill="CDEBEB"/>
                                </w:tcPr>
                                <w:p>
                                  <w:pPr>
                                    <w:pStyle w:val="TableParagraph"/>
                                    <w:rPr>
                                      <w:rFonts w:ascii="Times New Roman"/>
                                      <w:sz w:val="20"/>
                                    </w:rPr>
                                  </w:pPr>
                                </w:p>
                              </w:tc>
                              <w:tc>
                                <w:tcPr>
                                  <w:tcW w:w="1025" w:type="dxa"/>
                                  <w:shd w:val="clear" w:color="auto" w:fill="CDEBEB"/>
                                </w:tcPr>
                                <w:p>
                                  <w:pPr>
                                    <w:pStyle w:val="TableParagraph"/>
                                    <w:rPr>
                                      <w:rFonts w:ascii="Times New Roman"/>
                                      <w:sz w:val="20"/>
                                    </w:rPr>
                                  </w:pPr>
                                </w:p>
                              </w:tc>
                            </w:tr>
                            <w:tr>
                              <w:trPr>
                                <w:trHeight w:val="1510" w:hRule="atLeast"/>
                              </w:trPr>
                              <w:tc>
                                <w:tcPr>
                                  <w:tcW w:w="2554" w:type="dxa"/>
                                  <w:shd w:val="clear" w:color="auto" w:fill="CDEBEB"/>
                                </w:tcPr>
                                <w:p>
                                  <w:pPr>
                                    <w:pStyle w:val="TableParagraph"/>
                                    <w:rPr>
                                      <w:rFonts w:ascii="Times New Roman"/>
                                      <w:sz w:val="20"/>
                                    </w:rPr>
                                  </w:pPr>
                                </w:p>
                              </w:tc>
                              <w:tc>
                                <w:tcPr>
                                  <w:tcW w:w="1020" w:type="dxa"/>
                                  <w:shd w:val="clear" w:color="auto" w:fill="CDEBEB"/>
                                </w:tcPr>
                                <w:p>
                                  <w:pPr>
                                    <w:pStyle w:val="TableParagraph"/>
                                    <w:rPr>
                                      <w:rFonts w:ascii="Times New Roman"/>
                                      <w:sz w:val="20"/>
                                    </w:rPr>
                                  </w:pPr>
                                </w:p>
                              </w:tc>
                              <w:tc>
                                <w:tcPr>
                                  <w:tcW w:w="1020" w:type="dxa"/>
                                  <w:shd w:val="clear" w:color="auto" w:fill="CDEBEB"/>
                                </w:tcPr>
                                <w:p>
                                  <w:pPr>
                                    <w:pStyle w:val="TableParagraph"/>
                                    <w:rPr>
                                      <w:rFonts w:ascii="Times New Roman"/>
                                      <w:sz w:val="20"/>
                                    </w:rPr>
                                  </w:pPr>
                                </w:p>
                              </w:tc>
                              <w:tc>
                                <w:tcPr>
                                  <w:tcW w:w="1023" w:type="dxa"/>
                                  <w:shd w:val="clear" w:color="auto" w:fill="CDEBEB"/>
                                </w:tcPr>
                                <w:p>
                                  <w:pPr>
                                    <w:pStyle w:val="TableParagraph"/>
                                    <w:rPr>
                                      <w:rFonts w:ascii="Times New Roman"/>
                                      <w:sz w:val="20"/>
                                    </w:rPr>
                                  </w:pPr>
                                </w:p>
                              </w:tc>
                              <w:tc>
                                <w:tcPr>
                                  <w:tcW w:w="1020" w:type="dxa"/>
                                  <w:shd w:val="clear" w:color="auto" w:fill="CDEBEB"/>
                                </w:tcPr>
                                <w:p>
                                  <w:pPr>
                                    <w:pStyle w:val="TableParagraph"/>
                                    <w:rPr>
                                      <w:rFonts w:ascii="Times New Roman"/>
                                      <w:sz w:val="20"/>
                                    </w:rPr>
                                  </w:pPr>
                                </w:p>
                              </w:tc>
                              <w:tc>
                                <w:tcPr>
                                  <w:tcW w:w="1023" w:type="dxa"/>
                                  <w:shd w:val="clear" w:color="auto" w:fill="CDEBEB"/>
                                </w:tcPr>
                                <w:p>
                                  <w:pPr>
                                    <w:pStyle w:val="TableParagraph"/>
                                    <w:rPr>
                                      <w:rFonts w:ascii="Times New Roman"/>
                                      <w:sz w:val="20"/>
                                    </w:rPr>
                                  </w:pPr>
                                </w:p>
                              </w:tc>
                              <w:tc>
                                <w:tcPr>
                                  <w:tcW w:w="1025" w:type="dxa"/>
                                  <w:shd w:val="clear" w:color="auto" w:fill="CDEBEB"/>
                                </w:tcPr>
                                <w:p>
                                  <w:pPr>
                                    <w:pStyle w:val="TableParagraph"/>
                                    <w:rPr>
                                      <w:rFonts w:ascii="Times New Roman"/>
                                      <w:sz w:val="20"/>
                                    </w:rPr>
                                  </w:pPr>
                                </w:p>
                              </w:tc>
                            </w:tr>
                            <w:tr>
                              <w:trPr>
                                <w:trHeight w:val="681" w:hRule="atLeast"/>
                              </w:trPr>
                              <w:tc>
                                <w:tcPr>
                                  <w:tcW w:w="2554" w:type="dxa"/>
                                  <w:shd w:val="clear" w:color="auto" w:fill="CDEBEB"/>
                                </w:tcPr>
                                <w:p>
                                  <w:pPr>
                                    <w:pStyle w:val="TableParagraph"/>
                                    <w:rPr>
                                      <w:rFonts w:ascii="Times New Roman"/>
                                      <w:sz w:val="20"/>
                                    </w:rPr>
                                  </w:pPr>
                                </w:p>
                              </w:tc>
                              <w:tc>
                                <w:tcPr>
                                  <w:tcW w:w="1020" w:type="dxa"/>
                                  <w:shd w:val="clear" w:color="auto" w:fill="CDEBEB"/>
                                </w:tcPr>
                                <w:p>
                                  <w:pPr>
                                    <w:pStyle w:val="TableParagraph"/>
                                    <w:rPr>
                                      <w:rFonts w:ascii="Times New Roman"/>
                                      <w:sz w:val="20"/>
                                    </w:rPr>
                                  </w:pPr>
                                </w:p>
                              </w:tc>
                              <w:tc>
                                <w:tcPr>
                                  <w:tcW w:w="1020" w:type="dxa"/>
                                  <w:shd w:val="clear" w:color="auto" w:fill="CDEBEB"/>
                                </w:tcPr>
                                <w:p>
                                  <w:pPr>
                                    <w:pStyle w:val="TableParagraph"/>
                                    <w:rPr>
                                      <w:rFonts w:ascii="Times New Roman"/>
                                      <w:sz w:val="20"/>
                                    </w:rPr>
                                  </w:pPr>
                                </w:p>
                              </w:tc>
                              <w:tc>
                                <w:tcPr>
                                  <w:tcW w:w="1023" w:type="dxa"/>
                                  <w:shd w:val="clear" w:color="auto" w:fill="CDEBEB"/>
                                </w:tcPr>
                                <w:p>
                                  <w:pPr>
                                    <w:pStyle w:val="TableParagraph"/>
                                    <w:rPr>
                                      <w:rFonts w:ascii="Times New Roman"/>
                                      <w:sz w:val="20"/>
                                    </w:rPr>
                                  </w:pPr>
                                </w:p>
                              </w:tc>
                              <w:tc>
                                <w:tcPr>
                                  <w:tcW w:w="1020" w:type="dxa"/>
                                  <w:shd w:val="clear" w:color="auto" w:fill="CDEBEB"/>
                                </w:tcPr>
                                <w:p>
                                  <w:pPr>
                                    <w:pStyle w:val="TableParagraph"/>
                                    <w:rPr>
                                      <w:rFonts w:ascii="Times New Roman"/>
                                      <w:sz w:val="20"/>
                                    </w:rPr>
                                  </w:pPr>
                                </w:p>
                              </w:tc>
                              <w:tc>
                                <w:tcPr>
                                  <w:tcW w:w="1023" w:type="dxa"/>
                                  <w:shd w:val="clear" w:color="auto" w:fill="CDEBEB"/>
                                </w:tcPr>
                                <w:p>
                                  <w:pPr>
                                    <w:pStyle w:val="TableParagraph"/>
                                    <w:rPr>
                                      <w:rFonts w:ascii="Times New Roman"/>
                                      <w:sz w:val="20"/>
                                    </w:rPr>
                                  </w:pPr>
                                </w:p>
                              </w:tc>
                              <w:tc>
                                <w:tcPr>
                                  <w:tcW w:w="1025" w:type="dxa"/>
                                  <w:shd w:val="clear" w:color="auto" w:fill="CDEBEB"/>
                                </w:tcPr>
                                <w:p>
                                  <w:pPr>
                                    <w:pStyle w:val="TableParagraph"/>
                                    <w:rPr>
                                      <w:rFonts w:ascii="Times New Roman"/>
                                      <w:sz w:val="20"/>
                                    </w:rPr>
                                  </w:pPr>
                                </w:p>
                              </w:tc>
                            </w:tr>
                            <w:tr>
                              <w:trPr>
                                <w:trHeight w:val="681" w:hRule="atLeast"/>
                              </w:trPr>
                              <w:tc>
                                <w:tcPr>
                                  <w:tcW w:w="2554" w:type="dxa"/>
                                  <w:shd w:val="clear" w:color="auto" w:fill="CDEBEB"/>
                                </w:tcPr>
                                <w:p>
                                  <w:pPr>
                                    <w:pStyle w:val="TableParagraph"/>
                                    <w:rPr>
                                      <w:rFonts w:ascii="Times New Roman"/>
                                      <w:sz w:val="20"/>
                                    </w:rPr>
                                  </w:pPr>
                                </w:p>
                              </w:tc>
                              <w:tc>
                                <w:tcPr>
                                  <w:tcW w:w="1020" w:type="dxa"/>
                                  <w:shd w:val="clear" w:color="auto" w:fill="CDEBEB"/>
                                </w:tcPr>
                                <w:p>
                                  <w:pPr>
                                    <w:pStyle w:val="TableParagraph"/>
                                    <w:rPr>
                                      <w:rFonts w:ascii="Times New Roman"/>
                                      <w:sz w:val="20"/>
                                    </w:rPr>
                                  </w:pPr>
                                </w:p>
                              </w:tc>
                              <w:tc>
                                <w:tcPr>
                                  <w:tcW w:w="1020" w:type="dxa"/>
                                  <w:shd w:val="clear" w:color="auto" w:fill="CDEBEB"/>
                                </w:tcPr>
                                <w:p>
                                  <w:pPr>
                                    <w:pStyle w:val="TableParagraph"/>
                                    <w:rPr>
                                      <w:rFonts w:ascii="Times New Roman"/>
                                      <w:sz w:val="20"/>
                                    </w:rPr>
                                  </w:pPr>
                                </w:p>
                              </w:tc>
                              <w:tc>
                                <w:tcPr>
                                  <w:tcW w:w="1023" w:type="dxa"/>
                                  <w:shd w:val="clear" w:color="auto" w:fill="CDEBEB"/>
                                </w:tcPr>
                                <w:p>
                                  <w:pPr>
                                    <w:pStyle w:val="TableParagraph"/>
                                    <w:rPr>
                                      <w:rFonts w:ascii="Times New Roman"/>
                                      <w:sz w:val="20"/>
                                    </w:rPr>
                                  </w:pPr>
                                </w:p>
                              </w:tc>
                              <w:tc>
                                <w:tcPr>
                                  <w:tcW w:w="1020" w:type="dxa"/>
                                  <w:shd w:val="clear" w:color="auto" w:fill="CDEBEB"/>
                                </w:tcPr>
                                <w:p>
                                  <w:pPr>
                                    <w:pStyle w:val="TableParagraph"/>
                                    <w:rPr>
                                      <w:rFonts w:ascii="Times New Roman"/>
                                      <w:sz w:val="20"/>
                                    </w:rPr>
                                  </w:pPr>
                                </w:p>
                              </w:tc>
                              <w:tc>
                                <w:tcPr>
                                  <w:tcW w:w="1023" w:type="dxa"/>
                                  <w:shd w:val="clear" w:color="auto" w:fill="CDEBEB"/>
                                </w:tcPr>
                                <w:p>
                                  <w:pPr>
                                    <w:pStyle w:val="TableParagraph"/>
                                    <w:rPr>
                                      <w:rFonts w:ascii="Times New Roman"/>
                                      <w:sz w:val="20"/>
                                    </w:rPr>
                                  </w:pPr>
                                </w:p>
                              </w:tc>
                              <w:tc>
                                <w:tcPr>
                                  <w:tcW w:w="1025" w:type="dxa"/>
                                  <w:shd w:val="clear" w:color="auto" w:fill="CDEBEB"/>
                                </w:tcPr>
                                <w:p>
                                  <w:pPr>
                                    <w:pStyle w:val="TableParagraph"/>
                                    <w:rPr>
                                      <w:rFonts w:ascii="Times New Roman"/>
                                      <w:sz w:val="20"/>
                                    </w:rPr>
                                  </w:pPr>
                                </w:p>
                              </w:tc>
                            </w:tr>
                            <w:tr>
                              <w:trPr>
                                <w:trHeight w:val="681" w:hRule="atLeast"/>
                              </w:trPr>
                              <w:tc>
                                <w:tcPr>
                                  <w:tcW w:w="2554" w:type="dxa"/>
                                  <w:shd w:val="clear" w:color="auto" w:fill="CDEBEB"/>
                                </w:tcPr>
                                <w:p>
                                  <w:pPr>
                                    <w:pStyle w:val="TableParagraph"/>
                                    <w:rPr>
                                      <w:rFonts w:ascii="Times New Roman"/>
                                      <w:sz w:val="20"/>
                                    </w:rPr>
                                  </w:pPr>
                                </w:p>
                              </w:tc>
                              <w:tc>
                                <w:tcPr>
                                  <w:tcW w:w="1020" w:type="dxa"/>
                                  <w:shd w:val="clear" w:color="auto" w:fill="CDEBEB"/>
                                </w:tcPr>
                                <w:p>
                                  <w:pPr>
                                    <w:pStyle w:val="TableParagraph"/>
                                    <w:rPr>
                                      <w:rFonts w:ascii="Times New Roman"/>
                                      <w:sz w:val="20"/>
                                    </w:rPr>
                                  </w:pPr>
                                </w:p>
                              </w:tc>
                              <w:tc>
                                <w:tcPr>
                                  <w:tcW w:w="1020" w:type="dxa"/>
                                  <w:shd w:val="clear" w:color="auto" w:fill="CDEBEB"/>
                                </w:tcPr>
                                <w:p>
                                  <w:pPr>
                                    <w:pStyle w:val="TableParagraph"/>
                                    <w:rPr>
                                      <w:rFonts w:ascii="Times New Roman"/>
                                      <w:sz w:val="20"/>
                                    </w:rPr>
                                  </w:pPr>
                                </w:p>
                              </w:tc>
                              <w:tc>
                                <w:tcPr>
                                  <w:tcW w:w="1023" w:type="dxa"/>
                                  <w:shd w:val="clear" w:color="auto" w:fill="CDEBEB"/>
                                </w:tcPr>
                                <w:p>
                                  <w:pPr>
                                    <w:pStyle w:val="TableParagraph"/>
                                    <w:rPr>
                                      <w:rFonts w:ascii="Times New Roman"/>
                                      <w:sz w:val="20"/>
                                    </w:rPr>
                                  </w:pPr>
                                </w:p>
                              </w:tc>
                              <w:tc>
                                <w:tcPr>
                                  <w:tcW w:w="1020" w:type="dxa"/>
                                  <w:shd w:val="clear" w:color="auto" w:fill="CDEBEB"/>
                                </w:tcPr>
                                <w:p>
                                  <w:pPr>
                                    <w:pStyle w:val="TableParagraph"/>
                                    <w:rPr>
                                      <w:rFonts w:ascii="Times New Roman"/>
                                      <w:sz w:val="20"/>
                                    </w:rPr>
                                  </w:pPr>
                                </w:p>
                              </w:tc>
                              <w:tc>
                                <w:tcPr>
                                  <w:tcW w:w="1023" w:type="dxa"/>
                                  <w:shd w:val="clear" w:color="auto" w:fill="CDEBEB"/>
                                </w:tcPr>
                                <w:p>
                                  <w:pPr>
                                    <w:pStyle w:val="TableParagraph"/>
                                    <w:rPr>
                                      <w:rFonts w:ascii="Times New Roman"/>
                                      <w:sz w:val="20"/>
                                    </w:rPr>
                                  </w:pPr>
                                </w:p>
                              </w:tc>
                              <w:tc>
                                <w:tcPr>
                                  <w:tcW w:w="1025" w:type="dxa"/>
                                  <w:shd w:val="clear" w:color="auto" w:fill="CDEBEB"/>
                                </w:tcPr>
                                <w:p>
                                  <w:pPr>
                                    <w:pStyle w:val="TableParagraph"/>
                                    <w:rPr>
                                      <w:rFonts w:ascii="Times New Roman"/>
                                      <w:sz w:val="20"/>
                                    </w:rPr>
                                  </w:pPr>
                                </w:p>
                              </w:tc>
                            </w:tr>
                          </w:tbl>
                          <w:p>
                            <w:pPr>
                              <w:pStyle w:val="BodyText"/>
                            </w:pPr>
                          </w:p>
                        </w:txbxContent>
                      </wps:txbx>
                      <wps:bodyPr wrap="square" lIns="0" tIns="0" rIns="0" bIns="0" rtlCol="0">
                        <a:noAutofit/>
                      </wps:bodyPr>
                    </wps:wsp>
                  </a:graphicData>
                </a:graphic>
              </wp:anchor>
            </w:drawing>
          </mc:Choice>
          <mc:Fallback>
            <w:pict>
              <v:shape style="position:absolute;margin-left:82.944pt;margin-top:-388.622131pt;width:440.25pt;height:347.5pt;mso-position-horizontal-relative:page;mso-position-vertical-relative:paragraph;z-index:15761408" type="#_x0000_t202" id="docshape103"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54"/>
                        <w:gridCol w:w="1020"/>
                        <w:gridCol w:w="1020"/>
                        <w:gridCol w:w="1023"/>
                        <w:gridCol w:w="1020"/>
                        <w:gridCol w:w="1023"/>
                        <w:gridCol w:w="1025"/>
                      </w:tblGrid>
                      <w:tr>
                        <w:trPr>
                          <w:trHeight w:val="744" w:hRule="atLeast"/>
                        </w:trPr>
                        <w:tc>
                          <w:tcPr>
                            <w:tcW w:w="2554" w:type="dxa"/>
                            <w:shd w:val="clear" w:color="auto" w:fill="CDEBEB"/>
                          </w:tcPr>
                          <w:p>
                            <w:pPr>
                              <w:pStyle w:val="TableParagraph"/>
                              <w:rPr>
                                <w:rFonts w:ascii="Times New Roman"/>
                                <w:sz w:val="20"/>
                              </w:rPr>
                            </w:pPr>
                          </w:p>
                        </w:tc>
                        <w:tc>
                          <w:tcPr>
                            <w:tcW w:w="1020" w:type="dxa"/>
                            <w:shd w:val="clear" w:color="auto" w:fill="CDEBEB"/>
                          </w:tcPr>
                          <w:p>
                            <w:pPr>
                              <w:pStyle w:val="TableParagraph"/>
                              <w:rPr>
                                <w:rFonts w:ascii="Times New Roman"/>
                                <w:sz w:val="20"/>
                              </w:rPr>
                            </w:pPr>
                          </w:p>
                        </w:tc>
                        <w:tc>
                          <w:tcPr>
                            <w:tcW w:w="1020" w:type="dxa"/>
                            <w:shd w:val="clear" w:color="auto" w:fill="CDEBEB"/>
                          </w:tcPr>
                          <w:p>
                            <w:pPr>
                              <w:pStyle w:val="TableParagraph"/>
                              <w:rPr>
                                <w:rFonts w:ascii="Times New Roman"/>
                                <w:sz w:val="20"/>
                              </w:rPr>
                            </w:pPr>
                          </w:p>
                        </w:tc>
                        <w:tc>
                          <w:tcPr>
                            <w:tcW w:w="1023" w:type="dxa"/>
                            <w:shd w:val="clear" w:color="auto" w:fill="CDEBEB"/>
                          </w:tcPr>
                          <w:p>
                            <w:pPr>
                              <w:pStyle w:val="TableParagraph"/>
                              <w:rPr>
                                <w:rFonts w:ascii="Times New Roman"/>
                                <w:sz w:val="20"/>
                              </w:rPr>
                            </w:pPr>
                          </w:p>
                        </w:tc>
                        <w:tc>
                          <w:tcPr>
                            <w:tcW w:w="1020" w:type="dxa"/>
                            <w:shd w:val="clear" w:color="auto" w:fill="CDEBEB"/>
                          </w:tcPr>
                          <w:p>
                            <w:pPr>
                              <w:pStyle w:val="TableParagraph"/>
                              <w:rPr>
                                <w:rFonts w:ascii="Times New Roman"/>
                                <w:sz w:val="20"/>
                              </w:rPr>
                            </w:pPr>
                          </w:p>
                        </w:tc>
                        <w:tc>
                          <w:tcPr>
                            <w:tcW w:w="1023" w:type="dxa"/>
                            <w:shd w:val="clear" w:color="auto" w:fill="CDEBEB"/>
                          </w:tcPr>
                          <w:p>
                            <w:pPr>
                              <w:pStyle w:val="TableParagraph"/>
                              <w:rPr>
                                <w:rFonts w:ascii="Times New Roman"/>
                                <w:sz w:val="20"/>
                              </w:rPr>
                            </w:pPr>
                          </w:p>
                        </w:tc>
                        <w:tc>
                          <w:tcPr>
                            <w:tcW w:w="1025" w:type="dxa"/>
                            <w:shd w:val="clear" w:color="auto" w:fill="CDEBEB"/>
                          </w:tcPr>
                          <w:p>
                            <w:pPr>
                              <w:pStyle w:val="TableParagraph"/>
                              <w:rPr>
                                <w:rFonts w:ascii="Times New Roman"/>
                                <w:sz w:val="20"/>
                              </w:rPr>
                            </w:pPr>
                          </w:p>
                        </w:tc>
                      </w:tr>
                      <w:tr>
                        <w:trPr>
                          <w:trHeight w:val="1233" w:hRule="atLeast"/>
                        </w:trPr>
                        <w:tc>
                          <w:tcPr>
                            <w:tcW w:w="2554" w:type="dxa"/>
                            <w:shd w:val="clear" w:color="auto" w:fill="CDEBEB"/>
                          </w:tcPr>
                          <w:p>
                            <w:pPr>
                              <w:pStyle w:val="TableParagraph"/>
                              <w:rPr>
                                <w:rFonts w:ascii="Times New Roman"/>
                                <w:sz w:val="20"/>
                              </w:rPr>
                            </w:pPr>
                          </w:p>
                        </w:tc>
                        <w:tc>
                          <w:tcPr>
                            <w:tcW w:w="1020" w:type="dxa"/>
                            <w:shd w:val="clear" w:color="auto" w:fill="CDEBEB"/>
                          </w:tcPr>
                          <w:p>
                            <w:pPr>
                              <w:pStyle w:val="TableParagraph"/>
                              <w:rPr>
                                <w:rFonts w:ascii="Times New Roman"/>
                                <w:sz w:val="20"/>
                              </w:rPr>
                            </w:pPr>
                          </w:p>
                        </w:tc>
                        <w:tc>
                          <w:tcPr>
                            <w:tcW w:w="1020" w:type="dxa"/>
                            <w:shd w:val="clear" w:color="auto" w:fill="CDEBEB"/>
                          </w:tcPr>
                          <w:p>
                            <w:pPr>
                              <w:pStyle w:val="TableParagraph"/>
                              <w:rPr>
                                <w:rFonts w:ascii="Times New Roman"/>
                                <w:sz w:val="20"/>
                              </w:rPr>
                            </w:pPr>
                          </w:p>
                        </w:tc>
                        <w:tc>
                          <w:tcPr>
                            <w:tcW w:w="1023" w:type="dxa"/>
                            <w:shd w:val="clear" w:color="auto" w:fill="CDEBEB"/>
                          </w:tcPr>
                          <w:p>
                            <w:pPr>
                              <w:pStyle w:val="TableParagraph"/>
                              <w:rPr>
                                <w:rFonts w:ascii="Times New Roman"/>
                                <w:sz w:val="20"/>
                              </w:rPr>
                            </w:pPr>
                          </w:p>
                        </w:tc>
                        <w:tc>
                          <w:tcPr>
                            <w:tcW w:w="1020" w:type="dxa"/>
                            <w:shd w:val="clear" w:color="auto" w:fill="CDEBEB"/>
                          </w:tcPr>
                          <w:p>
                            <w:pPr>
                              <w:pStyle w:val="TableParagraph"/>
                              <w:rPr>
                                <w:rFonts w:ascii="Times New Roman"/>
                                <w:sz w:val="20"/>
                              </w:rPr>
                            </w:pPr>
                          </w:p>
                        </w:tc>
                        <w:tc>
                          <w:tcPr>
                            <w:tcW w:w="1023" w:type="dxa"/>
                            <w:shd w:val="clear" w:color="auto" w:fill="CDEBEB"/>
                          </w:tcPr>
                          <w:p>
                            <w:pPr>
                              <w:pStyle w:val="TableParagraph"/>
                              <w:rPr>
                                <w:rFonts w:ascii="Times New Roman"/>
                                <w:sz w:val="20"/>
                              </w:rPr>
                            </w:pPr>
                          </w:p>
                        </w:tc>
                        <w:tc>
                          <w:tcPr>
                            <w:tcW w:w="1025" w:type="dxa"/>
                            <w:shd w:val="clear" w:color="auto" w:fill="CDEBEB"/>
                          </w:tcPr>
                          <w:p>
                            <w:pPr>
                              <w:pStyle w:val="TableParagraph"/>
                              <w:rPr>
                                <w:rFonts w:ascii="Times New Roman"/>
                                <w:sz w:val="20"/>
                              </w:rPr>
                            </w:pPr>
                          </w:p>
                        </w:tc>
                      </w:tr>
                      <w:tr>
                        <w:trPr>
                          <w:trHeight w:val="957" w:hRule="atLeast"/>
                        </w:trPr>
                        <w:tc>
                          <w:tcPr>
                            <w:tcW w:w="2554" w:type="dxa"/>
                            <w:shd w:val="clear" w:color="auto" w:fill="CDEBEB"/>
                          </w:tcPr>
                          <w:p>
                            <w:pPr>
                              <w:pStyle w:val="TableParagraph"/>
                              <w:rPr>
                                <w:rFonts w:ascii="Times New Roman"/>
                                <w:sz w:val="20"/>
                              </w:rPr>
                            </w:pPr>
                          </w:p>
                        </w:tc>
                        <w:tc>
                          <w:tcPr>
                            <w:tcW w:w="1020" w:type="dxa"/>
                            <w:shd w:val="clear" w:color="auto" w:fill="CDEBEB"/>
                          </w:tcPr>
                          <w:p>
                            <w:pPr>
                              <w:pStyle w:val="TableParagraph"/>
                              <w:rPr>
                                <w:rFonts w:ascii="Times New Roman"/>
                                <w:sz w:val="20"/>
                              </w:rPr>
                            </w:pPr>
                          </w:p>
                        </w:tc>
                        <w:tc>
                          <w:tcPr>
                            <w:tcW w:w="1020" w:type="dxa"/>
                            <w:shd w:val="clear" w:color="auto" w:fill="CDEBEB"/>
                          </w:tcPr>
                          <w:p>
                            <w:pPr>
                              <w:pStyle w:val="TableParagraph"/>
                              <w:rPr>
                                <w:rFonts w:ascii="Times New Roman"/>
                                <w:sz w:val="20"/>
                              </w:rPr>
                            </w:pPr>
                          </w:p>
                        </w:tc>
                        <w:tc>
                          <w:tcPr>
                            <w:tcW w:w="1023" w:type="dxa"/>
                            <w:shd w:val="clear" w:color="auto" w:fill="CDEBEB"/>
                          </w:tcPr>
                          <w:p>
                            <w:pPr>
                              <w:pStyle w:val="TableParagraph"/>
                              <w:rPr>
                                <w:rFonts w:ascii="Times New Roman"/>
                                <w:sz w:val="20"/>
                              </w:rPr>
                            </w:pPr>
                          </w:p>
                        </w:tc>
                        <w:tc>
                          <w:tcPr>
                            <w:tcW w:w="1020" w:type="dxa"/>
                            <w:shd w:val="clear" w:color="auto" w:fill="CDEBEB"/>
                          </w:tcPr>
                          <w:p>
                            <w:pPr>
                              <w:pStyle w:val="TableParagraph"/>
                              <w:rPr>
                                <w:rFonts w:ascii="Times New Roman"/>
                                <w:sz w:val="20"/>
                              </w:rPr>
                            </w:pPr>
                          </w:p>
                        </w:tc>
                        <w:tc>
                          <w:tcPr>
                            <w:tcW w:w="1023" w:type="dxa"/>
                            <w:shd w:val="clear" w:color="auto" w:fill="CDEBEB"/>
                          </w:tcPr>
                          <w:p>
                            <w:pPr>
                              <w:pStyle w:val="TableParagraph"/>
                              <w:rPr>
                                <w:rFonts w:ascii="Times New Roman"/>
                                <w:sz w:val="20"/>
                              </w:rPr>
                            </w:pPr>
                          </w:p>
                        </w:tc>
                        <w:tc>
                          <w:tcPr>
                            <w:tcW w:w="1025" w:type="dxa"/>
                            <w:shd w:val="clear" w:color="auto" w:fill="CDEBEB"/>
                          </w:tcPr>
                          <w:p>
                            <w:pPr>
                              <w:pStyle w:val="TableParagraph"/>
                              <w:rPr>
                                <w:rFonts w:ascii="Times New Roman"/>
                                <w:sz w:val="20"/>
                              </w:rPr>
                            </w:pPr>
                          </w:p>
                        </w:tc>
                      </w:tr>
                      <w:tr>
                        <w:trPr>
                          <w:trHeight w:val="463" w:hRule="atLeast"/>
                        </w:trPr>
                        <w:tc>
                          <w:tcPr>
                            <w:tcW w:w="2554" w:type="dxa"/>
                            <w:shd w:val="clear" w:color="auto" w:fill="CDEBEB"/>
                          </w:tcPr>
                          <w:p>
                            <w:pPr>
                              <w:pStyle w:val="TableParagraph"/>
                              <w:rPr>
                                <w:rFonts w:ascii="Times New Roman"/>
                                <w:sz w:val="20"/>
                              </w:rPr>
                            </w:pPr>
                          </w:p>
                        </w:tc>
                        <w:tc>
                          <w:tcPr>
                            <w:tcW w:w="1020" w:type="dxa"/>
                            <w:shd w:val="clear" w:color="auto" w:fill="CDEBEB"/>
                          </w:tcPr>
                          <w:p>
                            <w:pPr>
                              <w:pStyle w:val="TableParagraph"/>
                              <w:rPr>
                                <w:rFonts w:ascii="Times New Roman"/>
                                <w:sz w:val="20"/>
                              </w:rPr>
                            </w:pPr>
                          </w:p>
                        </w:tc>
                        <w:tc>
                          <w:tcPr>
                            <w:tcW w:w="1020" w:type="dxa"/>
                            <w:shd w:val="clear" w:color="auto" w:fill="CDEBEB"/>
                          </w:tcPr>
                          <w:p>
                            <w:pPr>
                              <w:pStyle w:val="TableParagraph"/>
                              <w:rPr>
                                <w:rFonts w:ascii="Times New Roman"/>
                                <w:sz w:val="20"/>
                              </w:rPr>
                            </w:pPr>
                          </w:p>
                        </w:tc>
                        <w:tc>
                          <w:tcPr>
                            <w:tcW w:w="1023" w:type="dxa"/>
                            <w:shd w:val="clear" w:color="auto" w:fill="CDEBEB"/>
                          </w:tcPr>
                          <w:p>
                            <w:pPr>
                              <w:pStyle w:val="TableParagraph"/>
                              <w:rPr>
                                <w:rFonts w:ascii="Times New Roman"/>
                                <w:sz w:val="20"/>
                              </w:rPr>
                            </w:pPr>
                          </w:p>
                        </w:tc>
                        <w:tc>
                          <w:tcPr>
                            <w:tcW w:w="1020" w:type="dxa"/>
                            <w:shd w:val="clear" w:color="auto" w:fill="CDEBEB"/>
                          </w:tcPr>
                          <w:p>
                            <w:pPr>
                              <w:pStyle w:val="TableParagraph"/>
                              <w:rPr>
                                <w:rFonts w:ascii="Times New Roman"/>
                                <w:sz w:val="20"/>
                              </w:rPr>
                            </w:pPr>
                          </w:p>
                        </w:tc>
                        <w:tc>
                          <w:tcPr>
                            <w:tcW w:w="1023" w:type="dxa"/>
                            <w:shd w:val="clear" w:color="auto" w:fill="CDEBEB"/>
                          </w:tcPr>
                          <w:p>
                            <w:pPr>
                              <w:pStyle w:val="TableParagraph"/>
                              <w:rPr>
                                <w:rFonts w:ascii="Times New Roman"/>
                                <w:sz w:val="20"/>
                              </w:rPr>
                            </w:pPr>
                          </w:p>
                        </w:tc>
                        <w:tc>
                          <w:tcPr>
                            <w:tcW w:w="1025" w:type="dxa"/>
                            <w:shd w:val="clear" w:color="auto" w:fill="CDEBEB"/>
                          </w:tcPr>
                          <w:p>
                            <w:pPr>
                              <w:pStyle w:val="TableParagraph"/>
                              <w:rPr>
                                <w:rFonts w:ascii="Times New Roman"/>
                                <w:sz w:val="20"/>
                              </w:rPr>
                            </w:pPr>
                          </w:p>
                        </w:tc>
                      </w:tr>
                      <w:tr>
                        <w:trPr>
                          <w:trHeight w:val="1510" w:hRule="atLeast"/>
                        </w:trPr>
                        <w:tc>
                          <w:tcPr>
                            <w:tcW w:w="2554" w:type="dxa"/>
                            <w:shd w:val="clear" w:color="auto" w:fill="CDEBEB"/>
                          </w:tcPr>
                          <w:p>
                            <w:pPr>
                              <w:pStyle w:val="TableParagraph"/>
                              <w:rPr>
                                <w:rFonts w:ascii="Times New Roman"/>
                                <w:sz w:val="20"/>
                              </w:rPr>
                            </w:pPr>
                          </w:p>
                        </w:tc>
                        <w:tc>
                          <w:tcPr>
                            <w:tcW w:w="1020" w:type="dxa"/>
                            <w:shd w:val="clear" w:color="auto" w:fill="CDEBEB"/>
                          </w:tcPr>
                          <w:p>
                            <w:pPr>
                              <w:pStyle w:val="TableParagraph"/>
                              <w:rPr>
                                <w:rFonts w:ascii="Times New Roman"/>
                                <w:sz w:val="20"/>
                              </w:rPr>
                            </w:pPr>
                          </w:p>
                        </w:tc>
                        <w:tc>
                          <w:tcPr>
                            <w:tcW w:w="1020" w:type="dxa"/>
                            <w:shd w:val="clear" w:color="auto" w:fill="CDEBEB"/>
                          </w:tcPr>
                          <w:p>
                            <w:pPr>
                              <w:pStyle w:val="TableParagraph"/>
                              <w:rPr>
                                <w:rFonts w:ascii="Times New Roman"/>
                                <w:sz w:val="20"/>
                              </w:rPr>
                            </w:pPr>
                          </w:p>
                        </w:tc>
                        <w:tc>
                          <w:tcPr>
                            <w:tcW w:w="1023" w:type="dxa"/>
                            <w:shd w:val="clear" w:color="auto" w:fill="CDEBEB"/>
                          </w:tcPr>
                          <w:p>
                            <w:pPr>
                              <w:pStyle w:val="TableParagraph"/>
                              <w:rPr>
                                <w:rFonts w:ascii="Times New Roman"/>
                                <w:sz w:val="20"/>
                              </w:rPr>
                            </w:pPr>
                          </w:p>
                        </w:tc>
                        <w:tc>
                          <w:tcPr>
                            <w:tcW w:w="1020" w:type="dxa"/>
                            <w:shd w:val="clear" w:color="auto" w:fill="CDEBEB"/>
                          </w:tcPr>
                          <w:p>
                            <w:pPr>
                              <w:pStyle w:val="TableParagraph"/>
                              <w:rPr>
                                <w:rFonts w:ascii="Times New Roman"/>
                                <w:sz w:val="20"/>
                              </w:rPr>
                            </w:pPr>
                          </w:p>
                        </w:tc>
                        <w:tc>
                          <w:tcPr>
                            <w:tcW w:w="1023" w:type="dxa"/>
                            <w:shd w:val="clear" w:color="auto" w:fill="CDEBEB"/>
                          </w:tcPr>
                          <w:p>
                            <w:pPr>
                              <w:pStyle w:val="TableParagraph"/>
                              <w:rPr>
                                <w:rFonts w:ascii="Times New Roman"/>
                                <w:sz w:val="20"/>
                              </w:rPr>
                            </w:pPr>
                          </w:p>
                        </w:tc>
                        <w:tc>
                          <w:tcPr>
                            <w:tcW w:w="1025" w:type="dxa"/>
                            <w:shd w:val="clear" w:color="auto" w:fill="CDEBEB"/>
                          </w:tcPr>
                          <w:p>
                            <w:pPr>
                              <w:pStyle w:val="TableParagraph"/>
                              <w:rPr>
                                <w:rFonts w:ascii="Times New Roman"/>
                                <w:sz w:val="20"/>
                              </w:rPr>
                            </w:pPr>
                          </w:p>
                        </w:tc>
                      </w:tr>
                      <w:tr>
                        <w:trPr>
                          <w:trHeight w:val="681" w:hRule="atLeast"/>
                        </w:trPr>
                        <w:tc>
                          <w:tcPr>
                            <w:tcW w:w="2554" w:type="dxa"/>
                            <w:shd w:val="clear" w:color="auto" w:fill="CDEBEB"/>
                          </w:tcPr>
                          <w:p>
                            <w:pPr>
                              <w:pStyle w:val="TableParagraph"/>
                              <w:rPr>
                                <w:rFonts w:ascii="Times New Roman"/>
                                <w:sz w:val="20"/>
                              </w:rPr>
                            </w:pPr>
                          </w:p>
                        </w:tc>
                        <w:tc>
                          <w:tcPr>
                            <w:tcW w:w="1020" w:type="dxa"/>
                            <w:shd w:val="clear" w:color="auto" w:fill="CDEBEB"/>
                          </w:tcPr>
                          <w:p>
                            <w:pPr>
                              <w:pStyle w:val="TableParagraph"/>
                              <w:rPr>
                                <w:rFonts w:ascii="Times New Roman"/>
                                <w:sz w:val="20"/>
                              </w:rPr>
                            </w:pPr>
                          </w:p>
                        </w:tc>
                        <w:tc>
                          <w:tcPr>
                            <w:tcW w:w="1020" w:type="dxa"/>
                            <w:shd w:val="clear" w:color="auto" w:fill="CDEBEB"/>
                          </w:tcPr>
                          <w:p>
                            <w:pPr>
                              <w:pStyle w:val="TableParagraph"/>
                              <w:rPr>
                                <w:rFonts w:ascii="Times New Roman"/>
                                <w:sz w:val="20"/>
                              </w:rPr>
                            </w:pPr>
                          </w:p>
                        </w:tc>
                        <w:tc>
                          <w:tcPr>
                            <w:tcW w:w="1023" w:type="dxa"/>
                            <w:shd w:val="clear" w:color="auto" w:fill="CDEBEB"/>
                          </w:tcPr>
                          <w:p>
                            <w:pPr>
                              <w:pStyle w:val="TableParagraph"/>
                              <w:rPr>
                                <w:rFonts w:ascii="Times New Roman"/>
                                <w:sz w:val="20"/>
                              </w:rPr>
                            </w:pPr>
                          </w:p>
                        </w:tc>
                        <w:tc>
                          <w:tcPr>
                            <w:tcW w:w="1020" w:type="dxa"/>
                            <w:shd w:val="clear" w:color="auto" w:fill="CDEBEB"/>
                          </w:tcPr>
                          <w:p>
                            <w:pPr>
                              <w:pStyle w:val="TableParagraph"/>
                              <w:rPr>
                                <w:rFonts w:ascii="Times New Roman"/>
                                <w:sz w:val="20"/>
                              </w:rPr>
                            </w:pPr>
                          </w:p>
                        </w:tc>
                        <w:tc>
                          <w:tcPr>
                            <w:tcW w:w="1023" w:type="dxa"/>
                            <w:shd w:val="clear" w:color="auto" w:fill="CDEBEB"/>
                          </w:tcPr>
                          <w:p>
                            <w:pPr>
                              <w:pStyle w:val="TableParagraph"/>
                              <w:rPr>
                                <w:rFonts w:ascii="Times New Roman"/>
                                <w:sz w:val="20"/>
                              </w:rPr>
                            </w:pPr>
                          </w:p>
                        </w:tc>
                        <w:tc>
                          <w:tcPr>
                            <w:tcW w:w="1025" w:type="dxa"/>
                            <w:shd w:val="clear" w:color="auto" w:fill="CDEBEB"/>
                          </w:tcPr>
                          <w:p>
                            <w:pPr>
                              <w:pStyle w:val="TableParagraph"/>
                              <w:rPr>
                                <w:rFonts w:ascii="Times New Roman"/>
                                <w:sz w:val="20"/>
                              </w:rPr>
                            </w:pPr>
                          </w:p>
                        </w:tc>
                      </w:tr>
                      <w:tr>
                        <w:trPr>
                          <w:trHeight w:val="681" w:hRule="atLeast"/>
                        </w:trPr>
                        <w:tc>
                          <w:tcPr>
                            <w:tcW w:w="2554" w:type="dxa"/>
                            <w:shd w:val="clear" w:color="auto" w:fill="CDEBEB"/>
                          </w:tcPr>
                          <w:p>
                            <w:pPr>
                              <w:pStyle w:val="TableParagraph"/>
                              <w:rPr>
                                <w:rFonts w:ascii="Times New Roman"/>
                                <w:sz w:val="20"/>
                              </w:rPr>
                            </w:pPr>
                          </w:p>
                        </w:tc>
                        <w:tc>
                          <w:tcPr>
                            <w:tcW w:w="1020" w:type="dxa"/>
                            <w:shd w:val="clear" w:color="auto" w:fill="CDEBEB"/>
                          </w:tcPr>
                          <w:p>
                            <w:pPr>
                              <w:pStyle w:val="TableParagraph"/>
                              <w:rPr>
                                <w:rFonts w:ascii="Times New Roman"/>
                                <w:sz w:val="20"/>
                              </w:rPr>
                            </w:pPr>
                          </w:p>
                        </w:tc>
                        <w:tc>
                          <w:tcPr>
                            <w:tcW w:w="1020" w:type="dxa"/>
                            <w:shd w:val="clear" w:color="auto" w:fill="CDEBEB"/>
                          </w:tcPr>
                          <w:p>
                            <w:pPr>
                              <w:pStyle w:val="TableParagraph"/>
                              <w:rPr>
                                <w:rFonts w:ascii="Times New Roman"/>
                                <w:sz w:val="20"/>
                              </w:rPr>
                            </w:pPr>
                          </w:p>
                        </w:tc>
                        <w:tc>
                          <w:tcPr>
                            <w:tcW w:w="1023" w:type="dxa"/>
                            <w:shd w:val="clear" w:color="auto" w:fill="CDEBEB"/>
                          </w:tcPr>
                          <w:p>
                            <w:pPr>
                              <w:pStyle w:val="TableParagraph"/>
                              <w:rPr>
                                <w:rFonts w:ascii="Times New Roman"/>
                                <w:sz w:val="20"/>
                              </w:rPr>
                            </w:pPr>
                          </w:p>
                        </w:tc>
                        <w:tc>
                          <w:tcPr>
                            <w:tcW w:w="1020" w:type="dxa"/>
                            <w:shd w:val="clear" w:color="auto" w:fill="CDEBEB"/>
                          </w:tcPr>
                          <w:p>
                            <w:pPr>
                              <w:pStyle w:val="TableParagraph"/>
                              <w:rPr>
                                <w:rFonts w:ascii="Times New Roman"/>
                                <w:sz w:val="20"/>
                              </w:rPr>
                            </w:pPr>
                          </w:p>
                        </w:tc>
                        <w:tc>
                          <w:tcPr>
                            <w:tcW w:w="1023" w:type="dxa"/>
                            <w:shd w:val="clear" w:color="auto" w:fill="CDEBEB"/>
                          </w:tcPr>
                          <w:p>
                            <w:pPr>
                              <w:pStyle w:val="TableParagraph"/>
                              <w:rPr>
                                <w:rFonts w:ascii="Times New Roman"/>
                                <w:sz w:val="20"/>
                              </w:rPr>
                            </w:pPr>
                          </w:p>
                        </w:tc>
                        <w:tc>
                          <w:tcPr>
                            <w:tcW w:w="1025" w:type="dxa"/>
                            <w:shd w:val="clear" w:color="auto" w:fill="CDEBEB"/>
                          </w:tcPr>
                          <w:p>
                            <w:pPr>
                              <w:pStyle w:val="TableParagraph"/>
                              <w:rPr>
                                <w:rFonts w:ascii="Times New Roman"/>
                                <w:sz w:val="20"/>
                              </w:rPr>
                            </w:pPr>
                          </w:p>
                        </w:tc>
                      </w:tr>
                      <w:tr>
                        <w:trPr>
                          <w:trHeight w:val="681" w:hRule="atLeast"/>
                        </w:trPr>
                        <w:tc>
                          <w:tcPr>
                            <w:tcW w:w="2554" w:type="dxa"/>
                            <w:shd w:val="clear" w:color="auto" w:fill="CDEBEB"/>
                          </w:tcPr>
                          <w:p>
                            <w:pPr>
                              <w:pStyle w:val="TableParagraph"/>
                              <w:rPr>
                                <w:rFonts w:ascii="Times New Roman"/>
                                <w:sz w:val="20"/>
                              </w:rPr>
                            </w:pPr>
                          </w:p>
                        </w:tc>
                        <w:tc>
                          <w:tcPr>
                            <w:tcW w:w="1020" w:type="dxa"/>
                            <w:shd w:val="clear" w:color="auto" w:fill="CDEBEB"/>
                          </w:tcPr>
                          <w:p>
                            <w:pPr>
                              <w:pStyle w:val="TableParagraph"/>
                              <w:rPr>
                                <w:rFonts w:ascii="Times New Roman"/>
                                <w:sz w:val="20"/>
                              </w:rPr>
                            </w:pPr>
                          </w:p>
                        </w:tc>
                        <w:tc>
                          <w:tcPr>
                            <w:tcW w:w="1020" w:type="dxa"/>
                            <w:shd w:val="clear" w:color="auto" w:fill="CDEBEB"/>
                          </w:tcPr>
                          <w:p>
                            <w:pPr>
                              <w:pStyle w:val="TableParagraph"/>
                              <w:rPr>
                                <w:rFonts w:ascii="Times New Roman"/>
                                <w:sz w:val="20"/>
                              </w:rPr>
                            </w:pPr>
                          </w:p>
                        </w:tc>
                        <w:tc>
                          <w:tcPr>
                            <w:tcW w:w="1023" w:type="dxa"/>
                            <w:shd w:val="clear" w:color="auto" w:fill="CDEBEB"/>
                          </w:tcPr>
                          <w:p>
                            <w:pPr>
                              <w:pStyle w:val="TableParagraph"/>
                              <w:rPr>
                                <w:rFonts w:ascii="Times New Roman"/>
                                <w:sz w:val="20"/>
                              </w:rPr>
                            </w:pPr>
                          </w:p>
                        </w:tc>
                        <w:tc>
                          <w:tcPr>
                            <w:tcW w:w="1020" w:type="dxa"/>
                            <w:shd w:val="clear" w:color="auto" w:fill="CDEBEB"/>
                          </w:tcPr>
                          <w:p>
                            <w:pPr>
                              <w:pStyle w:val="TableParagraph"/>
                              <w:rPr>
                                <w:rFonts w:ascii="Times New Roman"/>
                                <w:sz w:val="20"/>
                              </w:rPr>
                            </w:pPr>
                          </w:p>
                        </w:tc>
                        <w:tc>
                          <w:tcPr>
                            <w:tcW w:w="1023" w:type="dxa"/>
                            <w:shd w:val="clear" w:color="auto" w:fill="CDEBEB"/>
                          </w:tcPr>
                          <w:p>
                            <w:pPr>
                              <w:pStyle w:val="TableParagraph"/>
                              <w:rPr>
                                <w:rFonts w:ascii="Times New Roman"/>
                                <w:sz w:val="20"/>
                              </w:rPr>
                            </w:pPr>
                          </w:p>
                        </w:tc>
                        <w:tc>
                          <w:tcPr>
                            <w:tcW w:w="1025" w:type="dxa"/>
                            <w:shd w:val="clear" w:color="auto" w:fill="CDEBEB"/>
                          </w:tcPr>
                          <w:p>
                            <w:pPr>
                              <w:pStyle w:val="TableParagraph"/>
                              <w:rPr>
                                <w:rFonts w:ascii="Times New Roman"/>
                                <w:sz w:val="20"/>
                              </w:rPr>
                            </w:pPr>
                          </w:p>
                        </w:tc>
                      </w:tr>
                    </w:tbl>
                    <w:p>
                      <w:pPr>
                        <w:pStyle w:val="BodyText"/>
                      </w:pPr>
                    </w:p>
                  </w:txbxContent>
                </v:textbox>
                <w10:wrap type="none"/>
              </v:shape>
            </w:pict>
          </mc:Fallback>
        </mc:AlternateContent>
      </w:r>
      <w:r>
        <w:rPr/>
        <w:t>In</w:t>
      </w:r>
      <w:r>
        <w:rPr>
          <w:spacing w:val="-2"/>
        </w:rPr>
        <w:t> </w:t>
      </w:r>
      <w:r>
        <w:rPr/>
        <w:t>its</w:t>
      </w:r>
      <w:r>
        <w:rPr>
          <w:spacing w:val="-3"/>
        </w:rPr>
        <w:t> </w:t>
      </w:r>
      <w:r>
        <w:rPr/>
        <w:t>submission, APA</w:t>
      </w:r>
      <w:r>
        <w:rPr>
          <w:spacing w:val="-4"/>
        </w:rPr>
        <w:t> </w:t>
      </w:r>
      <w:r>
        <w:rPr/>
        <w:t>VTS</w:t>
      </w:r>
      <w:r>
        <w:rPr>
          <w:spacing w:val="-1"/>
        </w:rPr>
        <w:t> </w:t>
      </w:r>
      <w:r>
        <w:rPr/>
        <w:t>has</w:t>
      </w:r>
      <w:r>
        <w:rPr>
          <w:spacing w:val="-1"/>
        </w:rPr>
        <w:t> </w:t>
      </w:r>
      <w:r>
        <w:rPr/>
        <w:t>suggested</w:t>
      </w:r>
      <w:r>
        <w:rPr>
          <w:spacing w:val="-4"/>
        </w:rPr>
        <w:t> </w:t>
      </w:r>
      <w:r>
        <w:rPr/>
        <w:t>that</w:t>
      </w:r>
      <w:r>
        <w:rPr>
          <w:spacing w:val="-3"/>
        </w:rPr>
        <w:t> </w:t>
      </w:r>
      <w:r>
        <w:rPr/>
        <w:t>the</w:t>
      </w:r>
      <w:r>
        <w:rPr>
          <w:spacing w:val="-1"/>
        </w:rPr>
        <w:t> </w:t>
      </w:r>
      <w:r>
        <w:rPr/>
        <w:t>audit approach</w:t>
      </w:r>
      <w:r>
        <w:rPr>
          <w:spacing w:val="-4"/>
        </w:rPr>
        <w:t> </w:t>
      </w:r>
      <w:r>
        <w:rPr/>
        <w:t>adopted</w:t>
      </w:r>
      <w:r>
        <w:rPr>
          <w:spacing w:val="-2"/>
        </w:rPr>
        <w:t> </w:t>
      </w:r>
      <w:r>
        <w:rPr/>
        <w:t>by</w:t>
      </w:r>
      <w:r>
        <w:rPr>
          <w:spacing w:val="-8"/>
        </w:rPr>
        <w:t> </w:t>
      </w:r>
      <w:r>
        <w:rPr/>
        <w:t>WorkSafe Victoria provides an effective audit model:</w:t>
      </w:r>
    </w:p>
    <w:p>
      <w:pPr>
        <w:pStyle w:val="BodyText"/>
        <w:spacing w:before="9"/>
        <w:rPr>
          <w:sz w:val="20"/>
        </w:rPr>
      </w:pPr>
    </w:p>
    <w:p>
      <w:pPr>
        <w:spacing w:line="288" w:lineRule="auto" w:before="1"/>
        <w:ind w:left="1166" w:right="1369" w:firstLine="0"/>
        <w:jc w:val="left"/>
        <w:rPr>
          <w:i/>
          <w:sz w:val="22"/>
        </w:rPr>
      </w:pPr>
      <w:r>
        <w:rPr>
          <w:i/>
          <w:sz w:val="22"/>
        </w:rPr>
        <w:t>“Worksafe Victoria undertake site visits to conduct a 5 yearly Safety Case verification</w:t>
      </w:r>
      <w:r>
        <w:rPr>
          <w:i/>
          <w:spacing w:val="-3"/>
          <w:sz w:val="22"/>
        </w:rPr>
        <w:t> </w:t>
      </w:r>
      <w:r>
        <w:rPr>
          <w:i/>
          <w:sz w:val="22"/>
        </w:rPr>
        <w:t>audit,</w:t>
      </w:r>
      <w:r>
        <w:rPr>
          <w:i/>
          <w:spacing w:val="-4"/>
          <w:sz w:val="22"/>
        </w:rPr>
        <w:t> </w:t>
      </w:r>
      <w:r>
        <w:rPr>
          <w:i/>
          <w:sz w:val="22"/>
        </w:rPr>
        <w:t>where</w:t>
      </w:r>
      <w:r>
        <w:rPr>
          <w:i/>
          <w:spacing w:val="-5"/>
          <w:sz w:val="22"/>
        </w:rPr>
        <w:t> </w:t>
      </w:r>
      <w:r>
        <w:rPr>
          <w:i/>
          <w:sz w:val="22"/>
        </w:rPr>
        <w:t>the</w:t>
      </w:r>
      <w:r>
        <w:rPr>
          <w:i/>
          <w:spacing w:val="-3"/>
          <w:sz w:val="22"/>
        </w:rPr>
        <w:t> </w:t>
      </w:r>
      <w:r>
        <w:rPr>
          <w:i/>
          <w:sz w:val="22"/>
        </w:rPr>
        <w:t>licensee</w:t>
      </w:r>
      <w:r>
        <w:rPr>
          <w:i/>
          <w:spacing w:val="-3"/>
          <w:sz w:val="22"/>
        </w:rPr>
        <w:t> </w:t>
      </w:r>
      <w:r>
        <w:rPr>
          <w:i/>
          <w:sz w:val="22"/>
        </w:rPr>
        <w:t>demonstrates</w:t>
      </w:r>
      <w:r>
        <w:rPr>
          <w:i/>
          <w:spacing w:val="-2"/>
          <w:sz w:val="22"/>
        </w:rPr>
        <w:t> </w:t>
      </w:r>
      <w:r>
        <w:rPr>
          <w:i/>
          <w:sz w:val="22"/>
        </w:rPr>
        <w:t>the</w:t>
      </w:r>
      <w:r>
        <w:rPr>
          <w:i/>
          <w:spacing w:val="-5"/>
          <w:sz w:val="22"/>
        </w:rPr>
        <w:t> </w:t>
      </w:r>
      <w:r>
        <w:rPr>
          <w:i/>
          <w:sz w:val="22"/>
        </w:rPr>
        <w:t>safety</w:t>
      </w:r>
      <w:r>
        <w:rPr>
          <w:i/>
          <w:spacing w:val="-4"/>
          <w:sz w:val="22"/>
        </w:rPr>
        <w:t> </w:t>
      </w:r>
      <w:r>
        <w:rPr>
          <w:i/>
          <w:sz w:val="22"/>
        </w:rPr>
        <w:t>processes</w:t>
      </w:r>
      <w:r>
        <w:rPr>
          <w:i/>
          <w:spacing w:val="-3"/>
          <w:sz w:val="22"/>
        </w:rPr>
        <w:t> </w:t>
      </w:r>
      <w:r>
        <w:rPr>
          <w:i/>
          <w:sz w:val="22"/>
        </w:rPr>
        <w:t>in practice and is then supported by an annual oversight inspection audit</w:t>
      </w:r>
    </w:p>
    <w:p>
      <w:pPr>
        <w:spacing w:after="0" w:line="288" w:lineRule="auto"/>
        <w:jc w:val="left"/>
        <w:rPr>
          <w:sz w:val="22"/>
        </w:rPr>
        <w:sectPr>
          <w:pgSz w:w="11910" w:h="16840"/>
          <w:pgMar w:header="887" w:footer="1228" w:top="1080" w:bottom="1500" w:left="840" w:right="820"/>
        </w:sectPr>
      </w:pPr>
    </w:p>
    <w:p>
      <w:pPr>
        <w:pStyle w:val="BodyText"/>
        <w:rPr>
          <w:i/>
          <w:sz w:val="20"/>
        </w:rPr>
      </w:pPr>
    </w:p>
    <w:p>
      <w:pPr>
        <w:pStyle w:val="BodyText"/>
        <w:rPr>
          <w:i/>
          <w:sz w:val="20"/>
        </w:rPr>
      </w:pPr>
    </w:p>
    <w:p>
      <w:pPr>
        <w:pStyle w:val="BodyText"/>
        <w:spacing w:before="5"/>
        <w:rPr>
          <w:i/>
        </w:rPr>
      </w:pPr>
    </w:p>
    <w:p>
      <w:pPr>
        <w:spacing w:line="288" w:lineRule="auto" w:before="0"/>
        <w:ind w:left="1166" w:right="1369" w:firstLine="0"/>
        <w:jc w:val="left"/>
        <w:rPr>
          <w:i/>
          <w:sz w:val="22"/>
        </w:rPr>
      </w:pPr>
      <w:r>
        <w:rPr>
          <w:i/>
          <w:sz w:val="22"/>
        </w:rPr>
        <w:t>scrutinising</w:t>
      </w:r>
      <w:r>
        <w:rPr>
          <w:i/>
          <w:spacing w:val="-3"/>
          <w:sz w:val="22"/>
        </w:rPr>
        <w:t> </w:t>
      </w:r>
      <w:r>
        <w:rPr>
          <w:i/>
          <w:sz w:val="22"/>
        </w:rPr>
        <w:t>elements</w:t>
      </w:r>
      <w:r>
        <w:rPr>
          <w:i/>
          <w:spacing w:val="-5"/>
          <w:sz w:val="22"/>
        </w:rPr>
        <w:t> </w:t>
      </w:r>
      <w:r>
        <w:rPr>
          <w:i/>
          <w:sz w:val="22"/>
        </w:rPr>
        <w:t>of</w:t>
      </w:r>
      <w:r>
        <w:rPr>
          <w:i/>
          <w:spacing w:val="-4"/>
          <w:sz w:val="22"/>
        </w:rPr>
        <w:t> </w:t>
      </w:r>
      <w:r>
        <w:rPr>
          <w:i/>
          <w:sz w:val="22"/>
        </w:rPr>
        <w:t>the</w:t>
      </w:r>
      <w:r>
        <w:rPr>
          <w:i/>
          <w:spacing w:val="-3"/>
          <w:sz w:val="22"/>
        </w:rPr>
        <w:t> </w:t>
      </w:r>
      <w:r>
        <w:rPr>
          <w:i/>
          <w:sz w:val="22"/>
        </w:rPr>
        <w:t>safety</w:t>
      </w:r>
      <w:r>
        <w:rPr>
          <w:i/>
          <w:spacing w:val="-5"/>
          <w:sz w:val="22"/>
        </w:rPr>
        <w:t> </w:t>
      </w:r>
      <w:r>
        <w:rPr>
          <w:i/>
          <w:sz w:val="22"/>
        </w:rPr>
        <w:t>management</w:t>
      </w:r>
      <w:r>
        <w:rPr>
          <w:i/>
          <w:spacing w:val="-4"/>
          <w:sz w:val="22"/>
        </w:rPr>
        <w:t> </w:t>
      </w:r>
      <w:r>
        <w:rPr>
          <w:i/>
          <w:sz w:val="22"/>
        </w:rPr>
        <w:t>and</w:t>
      </w:r>
      <w:r>
        <w:rPr>
          <w:i/>
          <w:spacing w:val="-3"/>
          <w:sz w:val="22"/>
        </w:rPr>
        <w:t> </w:t>
      </w:r>
      <w:r>
        <w:rPr>
          <w:i/>
          <w:sz w:val="22"/>
        </w:rPr>
        <w:t>verifying</w:t>
      </w:r>
      <w:r>
        <w:rPr>
          <w:i/>
          <w:spacing w:val="-3"/>
          <w:sz w:val="22"/>
        </w:rPr>
        <w:t> </w:t>
      </w:r>
      <w:r>
        <w:rPr>
          <w:i/>
          <w:sz w:val="22"/>
        </w:rPr>
        <w:t>risk</w:t>
      </w:r>
      <w:r>
        <w:rPr>
          <w:i/>
          <w:spacing w:val="-5"/>
          <w:sz w:val="22"/>
        </w:rPr>
        <w:t> </w:t>
      </w:r>
      <w:r>
        <w:rPr>
          <w:i/>
          <w:sz w:val="22"/>
        </w:rPr>
        <w:t>control measures …</w:t>
      </w:r>
    </w:p>
    <w:p>
      <w:pPr>
        <w:pStyle w:val="BodyText"/>
        <w:spacing w:before="10"/>
        <w:rPr>
          <w:i/>
          <w:sz w:val="20"/>
        </w:rPr>
      </w:pPr>
    </w:p>
    <w:p>
      <w:pPr>
        <w:spacing w:line="288" w:lineRule="auto" w:before="0"/>
        <w:ind w:left="1166" w:right="1590" w:firstLine="0"/>
        <w:jc w:val="both"/>
        <w:rPr>
          <w:sz w:val="22"/>
        </w:rPr>
      </w:pPr>
      <w:r>
        <w:rPr>
          <w:i/>
          <w:sz w:val="22"/>
        </w:rPr>
        <w:t>We</w:t>
      </w:r>
      <w:r>
        <w:rPr>
          <w:i/>
          <w:spacing w:val="-4"/>
          <w:sz w:val="22"/>
        </w:rPr>
        <w:t> </w:t>
      </w:r>
      <w:r>
        <w:rPr>
          <w:i/>
          <w:sz w:val="22"/>
        </w:rPr>
        <w:t>consider</w:t>
      </w:r>
      <w:r>
        <w:rPr>
          <w:i/>
          <w:spacing w:val="-3"/>
          <w:sz w:val="22"/>
        </w:rPr>
        <w:t> </w:t>
      </w:r>
      <w:r>
        <w:rPr>
          <w:i/>
          <w:sz w:val="22"/>
        </w:rPr>
        <w:t>the</w:t>
      </w:r>
      <w:r>
        <w:rPr>
          <w:i/>
          <w:spacing w:val="-4"/>
          <w:sz w:val="22"/>
        </w:rPr>
        <w:t> </w:t>
      </w:r>
      <w:r>
        <w:rPr>
          <w:i/>
          <w:sz w:val="22"/>
        </w:rPr>
        <w:t>Worksafe</w:t>
      </w:r>
      <w:r>
        <w:rPr>
          <w:i/>
          <w:spacing w:val="-4"/>
          <w:sz w:val="22"/>
        </w:rPr>
        <w:t> </w:t>
      </w:r>
      <w:r>
        <w:rPr>
          <w:i/>
          <w:sz w:val="22"/>
        </w:rPr>
        <w:t>method</w:t>
      </w:r>
      <w:r>
        <w:rPr>
          <w:i/>
          <w:spacing w:val="-4"/>
          <w:sz w:val="22"/>
        </w:rPr>
        <w:t> </w:t>
      </w:r>
      <w:r>
        <w:rPr>
          <w:i/>
          <w:sz w:val="22"/>
        </w:rPr>
        <w:t>to</w:t>
      </w:r>
      <w:r>
        <w:rPr>
          <w:i/>
          <w:spacing w:val="-4"/>
          <w:sz w:val="22"/>
        </w:rPr>
        <w:t> </w:t>
      </w:r>
      <w:r>
        <w:rPr>
          <w:i/>
          <w:sz w:val="22"/>
        </w:rPr>
        <w:t>regulation</w:t>
      </w:r>
      <w:r>
        <w:rPr>
          <w:i/>
          <w:spacing w:val="-2"/>
          <w:sz w:val="22"/>
        </w:rPr>
        <w:t> </w:t>
      </w:r>
      <w:r>
        <w:rPr>
          <w:i/>
          <w:sz w:val="22"/>
        </w:rPr>
        <w:t>as</w:t>
      </w:r>
      <w:r>
        <w:rPr>
          <w:i/>
          <w:spacing w:val="-1"/>
          <w:sz w:val="22"/>
        </w:rPr>
        <w:t> </w:t>
      </w:r>
      <w:r>
        <w:rPr>
          <w:i/>
          <w:sz w:val="22"/>
        </w:rPr>
        <w:t>being</w:t>
      </w:r>
      <w:r>
        <w:rPr>
          <w:i/>
          <w:spacing w:val="-2"/>
          <w:sz w:val="22"/>
        </w:rPr>
        <w:t> </w:t>
      </w:r>
      <w:r>
        <w:rPr>
          <w:i/>
          <w:sz w:val="22"/>
        </w:rPr>
        <w:t>highly</w:t>
      </w:r>
      <w:r>
        <w:rPr>
          <w:i/>
          <w:spacing w:val="-1"/>
          <w:sz w:val="22"/>
        </w:rPr>
        <w:t> </w:t>
      </w:r>
      <w:r>
        <w:rPr>
          <w:i/>
          <w:sz w:val="22"/>
        </w:rPr>
        <w:t>effective</w:t>
      </w:r>
      <w:r>
        <w:rPr>
          <w:i/>
          <w:spacing w:val="-2"/>
          <w:sz w:val="22"/>
        </w:rPr>
        <w:t> </w:t>
      </w:r>
      <w:r>
        <w:rPr>
          <w:i/>
          <w:sz w:val="22"/>
        </w:rPr>
        <w:t>and contributing to strengthening the effectiveness of safety management.”</w:t>
      </w:r>
      <w:r>
        <w:rPr>
          <w:i/>
          <w:spacing w:val="-2"/>
          <w:sz w:val="22"/>
        </w:rPr>
        <w:t> </w:t>
      </w:r>
      <w:r>
        <w:rPr>
          <w:sz w:val="22"/>
        </w:rPr>
        <w:t>(APA VTS, 2017, p. 3)</w:t>
      </w:r>
    </w:p>
    <w:p>
      <w:pPr>
        <w:pStyle w:val="BodyText"/>
        <w:spacing w:before="11"/>
        <w:rPr>
          <w:sz w:val="20"/>
        </w:rPr>
      </w:pPr>
    </w:p>
    <w:p>
      <w:pPr>
        <w:spacing w:line="300" w:lineRule="auto" w:before="0"/>
        <w:ind w:left="600" w:right="311" w:firstLine="0"/>
        <w:jc w:val="left"/>
        <w:rPr>
          <w:sz w:val="22"/>
        </w:rPr>
      </w:pPr>
      <w:r>
        <w:rPr>
          <w:sz w:val="22"/>
        </w:rPr>
        <w:t>As</w:t>
      </w:r>
      <w:r>
        <w:rPr>
          <w:spacing w:val="-2"/>
          <w:sz w:val="22"/>
        </w:rPr>
        <w:t> </w:t>
      </w:r>
      <w:r>
        <w:rPr>
          <w:sz w:val="22"/>
        </w:rPr>
        <w:t>part</w:t>
      </w:r>
      <w:r>
        <w:rPr>
          <w:spacing w:val="-1"/>
          <w:sz w:val="22"/>
        </w:rPr>
        <w:t> </w:t>
      </w:r>
      <w:r>
        <w:rPr>
          <w:sz w:val="22"/>
        </w:rPr>
        <w:t>of</w:t>
      </w:r>
      <w:r>
        <w:rPr>
          <w:spacing w:val="-1"/>
          <w:sz w:val="22"/>
        </w:rPr>
        <w:t> </w:t>
      </w:r>
      <w:r>
        <w:rPr>
          <w:sz w:val="22"/>
        </w:rPr>
        <w:t>its</w:t>
      </w:r>
      <w:r>
        <w:rPr>
          <w:spacing w:val="-2"/>
          <w:sz w:val="22"/>
        </w:rPr>
        <w:t> </w:t>
      </w:r>
      <w:r>
        <w:rPr>
          <w:i/>
          <w:sz w:val="22"/>
        </w:rPr>
        <w:t>Corporate</w:t>
      </w:r>
      <w:r>
        <w:rPr>
          <w:i/>
          <w:spacing w:val="-7"/>
          <w:sz w:val="22"/>
        </w:rPr>
        <w:t> </w:t>
      </w:r>
      <w:r>
        <w:rPr>
          <w:i/>
          <w:sz w:val="22"/>
        </w:rPr>
        <w:t>Plan</w:t>
      </w:r>
      <w:r>
        <w:rPr>
          <w:i/>
          <w:spacing w:val="-2"/>
          <w:sz w:val="22"/>
        </w:rPr>
        <w:t> </w:t>
      </w:r>
      <w:r>
        <w:rPr>
          <w:i/>
          <w:sz w:val="22"/>
        </w:rPr>
        <w:t>2017–2020</w:t>
      </w:r>
      <w:r>
        <w:rPr>
          <w:sz w:val="22"/>
        </w:rPr>
        <w:t>,</w:t>
      </w:r>
      <w:r>
        <w:rPr>
          <w:spacing w:val="-1"/>
          <w:sz w:val="22"/>
        </w:rPr>
        <w:t> </w:t>
      </w:r>
      <w:r>
        <w:rPr>
          <w:sz w:val="22"/>
        </w:rPr>
        <w:t>ESV</w:t>
      </w:r>
      <w:r>
        <w:rPr>
          <w:spacing w:val="-3"/>
          <w:sz w:val="22"/>
        </w:rPr>
        <w:t> </w:t>
      </w:r>
      <w:r>
        <w:rPr>
          <w:sz w:val="22"/>
        </w:rPr>
        <w:t>has</w:t>
      </w:r>
      <w:r>
        <w:rPr>
          <w:spacing w:val="-3"/>
          <w:sz w:val="22"/>
        </w:rPr>
        <w:t> </w:t>
      </w:r>
      <w:r>
        <w:rPr>
          <w:sz w:val="22"/>
        </w:rPr>
        <w:t>committed</w:t>
      </w:r>
      <w:r>
        <w:rPr>
          <w:spacing w:val="-5"/>
          <w:sz w:val="22"/>
        </w:rPr>
        <w:t> </w:t>
      </w:r>
      <w:r>
        <w:rPr>
          <w:sz w:val="22"/>
        </w:rPr>
        <w:t>that</w:t>
      </w:r>
      <w:r>
        <w:rPr>
          <w:spacing w:val="-1"/>
          <w:sz w:val="22"/>
        </w:rPr>
        <w:t> </w:t>
      </w:r>
      <w:r>
        <w:rPr>
          <w:sz w:val="22"/>
        </w:rPr>
        <w:t>it</w:t>
      </w:r>
      <w:r>
        <w:rPr>
          <w:spacing w:val="-4"/>
          <w:sz w:val="22"/>
        </w:rPr>
        <w:t> </w:t>
      </w:r>
      <w:r>
        <w:rPr>
          <w:sz w:val="22"/>
        </w:rPr>
        <w:t>will</w:t>
      </w:r>
      <w:r>
        <w:rPr>
          <w:spacing w:val="-3"/>
          <w:sz w:val="22"/>
        </w:rPr>
        <w:t> </w:t>
      </w:r>
      <w:r>
        <w:rPr>
          <w:sz w:val="22"/>
        </w:rPr>
        <w:t>“</w:t>
      </w:r>
      <w:r>
        <w:rPr>
          <w:i/>
          <w:sz w:val="22"/>
        </w:rPr>
        <w:t>test,</w:t>
      </w:r>
      <w:r>
        <w:rPr>
          <w:i/>
          <w:spacing w:val="-1"/>
          <w:sz w:val="22"/>
        </w:rPr>
        <w:t> </w:t>
      </w:r>
      <w:r>
        <w:rPr>
          <w:i/>
          <w:sz w:val="22"/>
        </w:rPr>
        <w:t>challenge</w:t>
      </w:r>
      <w:r>
        <w:rPr>
          <w:i/>
          <w:spacing w:val="-3"/>
          <w:sz w:val="22"/>
        </w:rPr>
        <w:t> </w:t>
      </w:r>
      <w:r>
        <w:rPr>
          <w:i/>
          <w:sz w:val="22"/>
        </w:rPr>
        <w:t>and expose the sustainability and performance</w:t>
      </w:r>
      <w:r>
        <w:rPr>
          <w:sz w:val="22"/>
        </w:rPr>
        <w:t>” of gas and electricity asset management and integrity systems, safety practices and risk controls (ESV, 2017b).</w:t>
      </w:r>
    </w:p>
    <w:p>
      <w:pPr>
        <w:pStyle w:val="BodyText"/>
        <w:spacing w:before="6"/>
        <w:rPr>
          <w:sz w:val="19"/>
        </w:rPr>
      </w:pPr>
    </w:p>
    <w:p>
      <w:pPr>
        <w:spacing w:line="288" w:lineRule="auto" w:before="1"/>
        <w:ind w:left="600" w:right="374" w:firstLine="0"/>
        <w:jc w:val="left"/>
        <w:rPr>
          <w:sz w:val="22"/>
        </w:rPr>
      </w:pPr>
      <w:r>
        <w:rPr>
          <w:sz w:val="22"/>
        </w:rPr>
        <w:t>Consistent with a strengthening of its compliance approach, ESV has identified “</w:t>
      </w:r>
      <w:r>
        <w:rPr>
          <w:i/>
          <w:sz w:val="22"/>
        </w:rPr>
        <w:t>enhanced audits</w:t>
      </w:r>
      <w:r>
        <w:rPr>
          <w:i/>
          <w:spacing w:val="-1"/>
          <w:sz w:val="22"/>
        </w:rPr>
        <w:t> </w:t>
      </w:r>
      <w:r>
        <w:rPr>
          <w:i/>
          <w:sz w:val="22"/>
        </w:rPr>
        <w:t>and</w:t>
      </w:r>
      <w:r>
        <w:rPr>
          <w:i/>
          <w:spacing w:val="-2"/>
          <w:sz w:val="22"/>
        </w:rPr>
        <w:t> </w:t>
      </w:r>
      <w:r>
        <w:rPr>
          <w:i/>
          <w:sz w:val="22"/>
        </w:rPr>
        <w:t>inspections</w:t>
      </w:r>
      <w:r>
        <w:rPr>
          <w:sz w:val="22"/>
        </w:rPr>
        <w:t>”</w:t>
      </w:r>
      <w:r>
        <w:rPr>
          <w:spacing w:val="-3"/>
          <w:sz w:val="22"/>
        </w:rPr>
        <w:t> </w:t>
      </w:r>
      <w:r>
        <w:rPr>
          <w:sz w:val="22"/>
        </w:rPr>
        <w:t>as</w:t>
      </w:r>
      <w:r>
        <w:rPr>
          <w:spacing w:val="-1"/>
          <w:sz w:val="22"/>
        </w:rPr>
        <w:t> </w:t>
      </w:r>
      <w:r>
        <w:rPr>
          <w:sz w:val="22"/>
        </w:rPr>
        <w:t>a</w:t>
      </w:r>
      <w:r>
        <w:rPr>
          <w:spacing w:val="-4"/>
          <w:sz w:val="22"/>
        </w:rPr>
        <w:t> </w:t>
      </w:r>
      <w:r>
        <w:rPr>
          <w:sz w:val="22"/>
        </w:rPr>
        <w:t>key</w:t>
      </w:r>
      <w:r>
        <w:rPr>
          <w:spacing w:val="-6"/>
          <w:sz w:val="22"/>
        </w:rPr>
        <w:t> </w:t>
      </w:r>
      <w:r>
        <w:rPr>
          <w:sz w:val="22"/>
        </w:rPr>
        <w:t>future</w:t>
      </w:r>
      <w:r>
        <w:rPr>
          <w:spacing w:val="-2"/>
          <w:sz w:val="22"/>
        </w:rPr>
        <w:t> </w:t>
      </w:r>
      <w:r>
        <w:rPr>
          <w:sz w:val="22"/>
        </w:rPr>
        <w:t>priority</w:t>
      </w:r>
      <w:r>
        <w:rPr>
          <w:spacing w:val="-1"/>
          <w:sz w:val="22"/>
        </w:rPr>
        <w:t> </w:t>
      </w:r>
      <w:r>
        <w:rPr>
          <w:sz w:val="22"/>
        </w:rPr>
        <w:t>in</w:t>
      </w:r>
      <w:r>
        <w:rPr>
          <w:spacing w:val="-2"/>
          <w:sz w:val="22"/>
        </w:rPr>
        <w:t> </w:t>
      </w:r>
      <w:r>
        <w:rPr>
          <w:sz w:val="22"/>
        </w:rPr>
        <w:t>its</w:t>
      </w:r>
      <w:r>
        <w:rPr>
          <w:spacing w:val="-1"/>
          <w:sz w:val="22"/>
        </w:rPr>
        <w:t> </w:t>
      </w:r>
      <w:r>
        <w:rPr>
          <w:i/>
          <w:sz w:val="22"/>
        </w:rPr>
        <w:t>Corporate</w:t>
      </w:r>
      <w:r>
        <w:rPr>
          <w:i/>
          <w:spacing w:val="-4"/>
          <w:sz w:val="22"/>
        </w:rPr>
        <w:t> </w:t>
      </w:r>
      <w:r>
        <w:rPr>
          <w:i/>
          <w:sz w:val="22"/>
        </w:rPr>
        <w:t>Plan</w:t>
      </w:r>
      <w:r>
        <w:rPr>
          <w:i/>
          <w:spacing w:val="-2"/>
          <w:sz w:val="22"/>
        </w:rPr>
        <w:t> </w:t>
      </w:r>
      <w:r>
        <w:rPr>
          <w:i/>
          <w:sz w:val="22"/>
        </w:rPr>
        <w:t>2017–2020</w:t>
      </w:r>
      <w:r>
        <w:rPr>
          <w:i/>
          <w:spacing w:val="-4"/>
          <w:sz w:val="22"/>
        </w:rPr>
        <w:t> </w:t>
      </w:r>
      <w:r>
        <w:rPr>
          <w:sz w:val="22"/>
        </w:rPr>
        <w:t>for</w:t>
      </w:r>
      <w:r>
        <w:rPr>
          <w:spacing w:val="-1"/>
          <w:sz w:val="22"/>
        </w:rPr>
        <w:t> </w:t>
      </w:r>
      <w:r>
        <w:rPr>
          <w:sz w:val="22"/>
        </w:rPr>
        <w:t>increased </w:t>
      </w:r>
      <w:r>
        <w:rPr>
          <w:spacing w:val="-2"/>
          <w:sz w:val="22"/>
        </w:rPr>
        <w:t>resourcing:</w:t>
      </w:r>
    </w:p>
    <w:p>
      <w:pPr>
        <w:pStyle w:val="BodyText"/>
        <w:rPr>
          <w:sz w:val="21"/>
        </w:rPr>
      </w:pPr>
    </w:p>
    <w:p>
      <w:pPr>
        <w:spacing w:line="288" w:lineRule="auto" w:before="0"/>
        <w:ind w:left="1166" w:right="1369" w:firstLine="0"/>
        <w:jc w:val="left"/>
        <w:rPr>
          <w:i/>
          <w:sz w:val="22"/>
        </w:rPr>
      </w:pPr>
      <w:r>
        <w:rPr>
          <w:i/>
          <w:sz w:val="22"/>
        </w:rPr>
        <w:t>“A</w:t>
      </w:r>
      <w:r>
        <w:rPr>
          <w:i/>
          <w:spacing w:val="-3"/>
          <w:sz w:val="22"/>
        </w:rPr>
        <w:t> </w:t>
      </w:r>
      <w:r>
        <w:rPr>
          <w:i/>
          <w:sz w:val="22"/>
        </w:rPr>
        <w:t>longstanding</w:t>
      </w:r>
      <w:r>
        <w:rPr>
          <w:i/>
          <w:spacing w:val="-4"/>
          <w:sz w:val="22"/>
        </w:rPr>
        <w:t> </w:t>
      </w:r>
      <w:r>
        <w:rPr>
          <w:i/>
          <w:sz w:val="22"/>
        </w:rPr>
        <w:t>function</w:t>
      </w:r>
      <w:r>
        <w:rPr>
          <w:i/>
          <w:spacing w:val="-5"/>
          <w:sz w:val="22"/>
        </w:rPr>
        <w:t> </w:t>
      </w:r>
      <w:r>
        <w:rPr>
          <w:i/>
          <w:sz w:val="22"/>
        </w:rPr>
        <w:t>of</w:t>
      </w:r>
      <w:r>
        <w:rPr>
          <w:i/>
          <w:spacing w:val="-2"/>
          <w:sz w:val="22"/>
        </w:rPr>
        <w:t> </w:t>
      </w:r>
      <w:r>
        <w:rPr>
          <w:i/>
          <w:sz w:val="22"/>
        </w:rPr>
        <w:t>ESV</w:t>
      </w:r>
      <w:r>
        <w:rPr>
          <w:i/>
          <w:spacing w:val="-3"/>
          <w:sz w:val="22"/>
        </w:rPr>
        <w:t> </w:t>
      </w:r>
      <w:r>
        <w:rPr>
          <w:i/>
          <w:sz w:val="22"/>
        </w:rPr>
        <w:t>has</w:t>
      </w:r>
      <w:r>
        <w:rPr>
          <w:i/>
          <w:spacing w:val="-4"/>
          <w:sz w:val="22"/>
        </w:rPr>
        <w:t> </w:t>
      </w:r>
      <w:r>
        <w:rPr>
          <w:i/>
          <w:sz w:val="22"/>
        </w:rPr>
        <w:t>been</w:t>
      </w:r>
      <w:r>
        <w:rPr>
          <w:i/>
          <w:spacing w:val="-5"/>
          <w:sz w:val="22"/>
        </w:rPr>
        <w:t> </w:t>
      </w:r>
      <w:r>
        <w:rPr>
          <w:i/>
          <w:sz w:val="22"/>
        </w:rPr>
        <w:t>the</w:t>
      </w:r>
      <w:r>
        <w:rPr>
          <w:i/>
          <w:spacing w:val="-4"/>
          <w:sz w:val="22"/>
        </w:rPr>
        <w:t> </w:t>
      </w:r>
      <w:r>
        <w:rPr>
          <w:i/>
          <w:sz w:val="22"/>
        </w:rPr>
        <w:t>administration</w:t>
      </w:r>
      <w:r>
        <w:rPr>
          <w:i/>
          <w:spacing w:val="-3"/>
          <w:sz w:val="22"/>
        </w:rPr>
        <w:t> </w:t>
      </w:r>
      <w:r>
        <w:rPr>
          <w:i/>
          <w:sz w:val="22"/>
        </w:rPr>
        <w:t>of</w:t>
      </w:r>
      <w:r>
        <w:rPr>
          <w:i/>
          <w:spacing w:val="-4"/>
          <w:sz w:val="22"/>
        </w:rPr>
        <w:t> </w:t>
      </w:r>
      <w:r>
        <w:rPr>
          <w:i/>
          <w:sz w:val="22"/>
        </w:rPr>
        <w:t>the</w:t>
      </w:r>
      <w:r>
        <w:rPr>
          <w:i/>
          <w:spacing w:val="-2"/>
          <w:sz w:val="22"/>
        </w:rPr>
        <w:t> </w:t>
      </w:r>
      <w:r>
        <w:rPr>
          <w:sz w:val="22"/>
        </w:rPr>
        <w:t>Electricity Safety (Electric Line Clearance) Regulations</w:t>
      </w:r>
      <w:r>
        <w:rPr>
          <w:i/>
          <w:sz w:val="22"/>
        </w:rPr>
        <w:t>, the significance of which was reinforced by the 2009 Victorian Bushfires Royal Commission.</w:t>
      </w:r>
    </w:p>
    <w:p>
      <w:pPr>
        <w:pStyle w:val="BodyText"/>
        <w:spacing w:before="9"/>
        <w:rPr>
          <w:i/>
          <w:sz w:val="20"/>
        </w:rPr>
      </w:pPr>
    </w:p>
    <w:p>
      <w:pPr>
        <w:spacing w:line="288" w:lineRule="auto" w:before="0"/>
        <w:ind w:left="1166" w:right="1200" w:firstLine="0"/>
        <w:jc w:val="left"/>
        <w:rPr>
          <w:i/>
          <w:sz w:val="22"/>
        </w:rPr>
      </w:pPr>
      <w:r>
        <w:rPr>
          <w:i/>
          <w:sz w:val="22"/>
        </w:rPr>
        <w:t>ESV needs to increase its capacity to test and challenge the safety performance of</w:t>
      </w:r>
      <w:r>
        <w:rPr>
          <w:i/>
          <w:spacing w:val="-4"/>
          <w:sz w:val="22"/>
        </w:rPr>
        <w:t> </w:t>
      </w:r>
      <w:r>
        <w:rPr>
          <w:i/>
          <w:sz w:val="22"/>
        </w:rPr>
        <w:t>regulated</w:t>
      </w:r>
      <w:r>
        <w:rPr>
          <w:i/>
          <w:spacing w:val="-3"/>
          <w:sz w:val="22"/>
        </w:rPr>
        <w:t> </w:t>
      </w:r>
      <w:r>
        <w:rPr>
          <w:i/>
          <w:sz w:val="22"/>
        </w:rPr>
        <w:t>entities</w:t>
      </w:r>
      <w:r>
        <w:rPr>
          <w:i/>
          <w:spacing w:val="-3"/>
          <w:sz w:val="22"/>
        </w:rPr>
        <w:t> </w:t>
      </w:r>
      <w:r>
        <w:rPr>
          <w:i/>
          <w:sz w:val="22"/>
        </w:rPr>
        <w:t>and</w:t>
      </w:r>
      <w:r>
        <w:rPr>
          <w:i/>
          <w:spacing w:val="-7"/>
          <w:sz w:val="22"/>
        </w:rPr>
        <w:t> </w:t>
      </w:r>
      <w:r>
        <w:rPr>
          <w:i/>
          <w:sz w:val="22"/>
        </w:rPr>
        <w:t>requires</w:t>
      </w:r>
      <w:r>
        <w:rPr>
          <w:i/>
          <w:spacing w:val="-3"/>
          <w:sz w:val="22"/>
        </w:rPr>
        <w:t> </w:t>
      </w:r>
      <w:r>
        <w:rPr>
          <w:i/>
          <w:sz w:val="22"/>
        </w:rPr>
        <w:t>sufficient</w:t>
      </w:r>
      <w:r>
        <w:rPr>
          <w:i/>
          <w:spacing w:val="-4"/>
          <w:sz w:val="22"/>
        </w:rPr>
        <w:t> </w:t>
      </w:r>
      <w:r>
        <w:rPr>
          <w:i/>
          <w:sz w:val="22"/>
        </w:rPr>
        <w:t>resources to</w:t>
      </w:r>
      <w:r>
        <w:rPr>
          <w:i/>
          <w:spacing w:val="-5"/>
          <w:sz w:val="22"/>
        </w:rPr>
        <w:t> </w:t>
      </w:r>
      <w:r>
        <w:rPr>
          <w:i/>
          <w:sz w:val="22"/>
        </w:rPr>
        <w:t>collect</w:t>
      </w:r>
      <w:r>
        <w:rPr>
          <w:i/>
          <w:spacing w:val="-4"/>
          <w:sz w:val="22"/>
        </w:rPr>
        <w:t> </w:t>
      </w:r>
      <w:r>
        <w:rPr>
          <w:i/>
          <w:sz w:val="22"/>
        </w:rPr>
        <w:t>evidence</w:t>
      </w:r>
      <w:r>
        <w:rPr>
          <w:i/>
          <w:spacing w:val="-5"/>
          <w:sz w:val="22"/>
        </w:rPr>
        <w:t> </w:t>
      </w:r>
      <w:r>
        <w:rPr>
          <w:i/>
          <w:sz w:val="22"/>
        </w:rPr>
        <w:t>that</w:t>
      </w:r>
      <w:r>
        <w:rPr>
          <w:i/>
          <w:spacing w:val="-1"/>
          <w:sz w:val="22"/>
        </w:rPr>
        <w:t> </w:t>
      </w:r>
      <w:r>
        <w:rPr>
          <w:i/>
          <w:sz w:val="22"/>
        </w:rPr>
        <w:t>line clearance programs and practices are ‘acceptably safe’.</w:t>
      </w:r>
    </w:p>
    <w:p>
      <w:pPr>
        <w:pStyle w:val="BodyText"/>
        <w:rPr>
          <w:i/>
          <w:sz w:val="21"/>
        </w:rPr>
      </w:pPr>
    </w:p>
    <w:p>
      <w:pPr>
        <w:spacing w:line="288" w:lineRule="auto" w:before="0"/>
        <w:ind w:left="1166" w:right="1200" w:firstLine="0"/>
        <w:jc w:val="left"/>
        <w:rPr>
          <w:sz w:val="22"/>
        </w:rPr>
      </w:pPr>
      <w:r>
        <w:rPr>
          <w:i/>
          <w:sz w:val="22"/>
        </w:rPr>
        <w:t>In the gas and pipelines space, field inspection activity will be coordinated with system audits of safety cases. This is to provide evidence for regulatory action based on safety cases that will enable systemic change. This will complement ESV’s continued ‘raising of the bar’ for safety case acceptance as a mechanism to drive improvement in safety management. Increased resources will support a 30</w:t>
      </w:r>
      <w:r>
        <w:rPr>
          <w:i/>
          <w:spacing w:val="-2"/>
          <w:sz w:val="22"/>
        </w:rPr>
        <w:t> </w:t>
      </w:r>
      <w:r>
        <w:rPr>
          <w:i/>
          <w:sz w:val="22"/>
        </w:rPr>
        <w:t>per</w:t>
      </w:r>
      <w:r>
        <w:rPr>
          <w:i/>
          <w:spacing w:val="-3"/>
          <w:sz w:val="22"/>
        </w:rPr>
        <w:t> </w:t>
      </w:r>
      <w:r>
        <w:rPr>
          <w:i/>
          <w:sz w:val="22"/>
        </w:rPr>
        <w:t>cent</w:t>
      </w:r>
      <w:r>
        <w:rPr>
          <w:i/>
          <w:spacing w:val="-3"/>
          <w:sz w:val="22"/>
        </w:rPr>
        <w:t> </w:t>
      </w:r>
      <w:r>
        <w:rPr>
          <w:i/>
          <w:sz w:val="22"/>
        </w:rPr>
        <w:t>rise</w:t>
      </w:r>
      <w:r>
        <w:rPr>
          <w:i/>
          <w:spacing w:val="-4"/>
          <w:sz w:val="22"/>
        </w:rPr>
        <w:t> </w:t>
      </w:r>
      <w:r>
        <w:rPr>
          <w:i/>
          <w:sz w:val="22"/>
        </w:rPr>
        <w:t>in</w:t>
      </w:r>
      <w:r>
        <w:rPr>
          <w:i/>
          <w:spacing w:val="-2"/>
          <w:sz w:val="22"/>
        </w:rPr>
        <w:t> </w:t>
      </w:r>
      <w:r>
        <w:rPr>
          <w:i/>
          <w:sz w:val="22"/>
        </w:rPr>
        <w:t>safety</w:t>
      </w:r>
      <w:r>
        <w:rPr>
          <w:i/>
          <w:spacing w:val="-1"/>
          <w:sz w:val="22"/>
        </w:rPr>
        <w:t> </w:t>
      </w:r>
      <w:r>
        <w:rPr>
          <w:i/>
          <w:sz w:val="22"/>
        </w:rPr>
        <w:t>case</w:t>
      </w:r>
      <w:r>
        <w:rPr>
          <w:i/>
          <w:spacing w:val="-4"/>
          <w:sz w:val="22"/>
        </w:rPr>
        <w:t> </w:t>
      </w:r>
      <w:r>
        <w:rPr>
          <w:i/>
          <w:sz w:val="22"/>
        </w:rPr>
        <w:t>field</w:t>
      </w:r>
      <w:r>
        <w:rPr>
          <w:i/>
          <w:spacing w:val="-2"/>
          <w:sz w:val="22"/>
        </w:rPr>
        <w:t> </w:t>
      </w:r>
      <w:r>
        <w:rPr>
          <w:i/>
          <w:sz w:val="22"/>
        </w:rPr>
        <w:t>inspections</w:t>
      </w:r>
      <w:r>
        <w:rPr>
          <w:i/>
          <w:spacing w:val="-4"/>
          <w:sz w:val="22"/>
        </w:rPr>
        <w:t> </w:t>
      </w:r>
      <w:r>
        <w:rPr>
          <w:i/>
          <w:sz w:val="22"/>
        </w:rPr>
        <w:t>and</w:t>
      </w:r>
      <w:r>
        <w:rPr>
          <w:i/>
          <w:spacing w:val="-2"/>
          <w:sz w:val="22"/>
        </w:rPr>
        <w:t> </w:t>
      </w:r>
      <w:r>
        <w:rPr>
          <w:i/>
          <w:sz w:val="22"/>
        </w:rPr>
        <w:t>increased</w:t>
      </w:r>
      <w:r>
        <w:rPr>
          <w:i/>
          <w:spacing w:val="-5"/>
          <w:sz w:val="22"/>
        </w:rPr>
        <w:t> </w:t>
      </w:r>
      <w:r>
        <w:rPr>
          <w:i/>
          <w:sz w:val="22"/>
        </w:rPr>
        <w:t>capacity</w:t>
      </w:r>
      <w:r>
        <w:rPr>
          <w:i/>
          <w:spacing w:val="-4"/>
          <w:sz w:val="22"/>
        </w:rPr>
        <w:t> </w:t>
      </w:r>
      <w:r>
        <w:rPr>
          <w:i/>
          <w:sz w:val="22"/>
        </w:rPr>
        <w:t>to</w:t>
      </w:r>
      <w:r>
        <w:rPr>
          <w:i/>
          <w:spacing w:val="-6"/>
          <w:sz w:val="22"/>
        </w:rPr>
        <w:t> </w:t>
      </w:r>
      <w:r>
        <w:rPr>
          <w:i/>
          <w:sz w:val="22"/>
        </w:rPr>
        <w:t>inspect complex and Type B installations while also transitioning to a more enforcement based approach.” </w:t>
      </w:r>
      <w:r>
        <w:rPr>
          <w:sz w:val="22"/>
        </w:rPr>
        <w:t>(ESV, 2017b, p. 7)</w:t>
      </w:r>
    </w:p>
    <w:p>
      <w:pPr>
        <w:pStyle w:val="BodyText"/>
        <w:spacing w:before="10"/>
        <w:rPr>
          <w:sz w:val="20"/>
        </w:rPr>
      </w:pPr>
    </w:p>
    <w:p>
      <w:pPr>
        <w:pStyle w:val="BodyText"/>
        <w:spacing w:line="288" w:lineRule="auto"/>
        <w:ind w:left="600" w:right="586"/>
      </w:pPr>
      <w:r>
        <w:rPr/>
        <w:t>In presenting the case for increased audit activity, ESV has noted that there has been an average</w:t>
      </w:r>
      <w:r>
        <w:rPr>
          <w:spacing w:val="-3"/>
        </w:rPr>
        <w:t> </w:t>
      </w:r>
      <w:r>
        <w:rPr/>
        <w:t>of</w:t>
      </w:r>
      <w:r>
        <w:rPr>
          <w:spacing w:val="-4"/>
        </w:rPr>
        <w:t> </w:t>
      </w:r>
      <w:r>
        <w:rPr/>
        <w:t>fewer</w:t>
      </w:r>
      <w:r>
        <w:rPr>
          <w:spacing w:val="-2"/>
        </w:rPr>
        <w:t> </w:t>
      </w:r>
      <w:r>
        <w:rPr/>
        <w:t>than</w:t>
      </w:r>
      <w:r>
        <w:rPr>
          <w:spacing w:val="-4"/>
        </w:rPr>
        <w:t> </w:t>
      </w:r>
      <w:r>
        <w:rPr/>
        <w:t>ten</w:t>
      </w:r>
      <w:r>
        <w:rPr>
          <w:spacing w:val="-5"/>
        </w:rPr>
        <w:t> </w:t>
      </w:r>
      <w:r>
        <w:rPr/>
        <w:t>gas</w:t>
      </w:r>
      <w:r>
        <w:rPr>
          <w:spacing w:val="-3"/>
        </w:rPr>
        <w:t> </w:t>
      </w:r>
      <w:r>
        <w:rPr/>
        <w:t>infrastructure</w:t>
      </w:r>
      <w:r>
        <w:rPr>
          <w:spacing w:val="-5"/>
        </w:rPr>
        <w:t> </w:t>
      </w:r>
      <w:r>
        <w:rPr/>
        <w:t>effectiveness</w:t>
      </w:r>
      <w:r>
        <w:rPr>
          <w:spacing w:val="-3"/>
        </w:rPr>
        <w:t> </w:t>
      </w:r>
      <w:r>
        <w:rPr/>
        <w:t>and</w:t>
      </w:r>
      <w:r>
        <w:rPr>
          <w:spacing w:val="-3"/>
        </w:rPr>
        <w:t> </w:t>
      </w:r>
      <w:r>
        <w:rPr/>
        <w:t>compliance</w:t>
      </w:r>
      <w:r>
        <w:rPr>
          <w:spacing w:val="-3"/>
        </w:rPr>
        <w:t> </w:t>
      </w:r>
      <w:r>
        <w:rPr/>
        <w:t>audits</w:t>
      </w:r>
      <w:r>
        <w:rPr>
          <w:spacing w:val="-2"/>
        </w:rPr>
        <w:t> </w:t>
      </w:r>
      <w:r>
        <w:rPr/>
        <w:t>per</w:t>
      </w:r>
      <w:r>
        <w:rPr>
          <w:spacing w:val="-2"/>
        </w:rPr>
        <w:t> </w:t>
      </w:r>
      <w:r>
        <w:rPr/>
        <w:t>annum in its recent program.</w:t>
      </w:r>
    </w:p>
    <w:p>
      <w:pPr>
        <w:pStyle w:val="BodyText"/>
        <w:spacing w:before="9"/>
        <w:rPr>
          <w:sz w:val="20"/>
        </w:rPr>
      </w:pPr>
    </w:p>
    <w:p>
      <w:pPr>
        <w:pStyle w:val="BodyText"/>
        <w:spacing w:line="288" w:lineRule="auto"/>
        <w:ind w:left="600" w:right="703"/>
      </w:pPr>
      <w:r>
        <w:rPr/>
        <w:t>It is also noted that for the electricity sector, ESV determined that it would not conduct Electricity</w:t>
      </w:r>
      <w:r>
        <w:rPr>
          <w:spacing w:val="-4"/>
        </w:rPr>
        <w:t> </w:t>
      </w:r>
      <w:r>
        <w:rPr/>
        <w:t>Safety</w:t>
      </w:r>
      <w:r>
        <w:rPr>
          <w:spacing w:val="-3"/>
        </w:rPr>
        <w:t> </w:t>
      </w:r>
      <w:r>
        <w:rPr/>
        <w:t>Management</w:t>
      </w:r>
      <w:r>
        <w:rPr>
          <w:spacing w:val="-3"/>
        </w:rPr>
        <w:t> </w:t>
      </w:r>
      <w:r>
        <w:rPr/>
        <w:t>Scheme</w:t>
      </w:r>
      <w:r>
        <w:rPr>
          <w:spacing w:val="-2"/>
        </w:rPr>
        <w:t> </w:t>
      </w:r>
      <w:r>
        <w:rPr/>
        <w:t>audits</w:t>
      </w:r>
      <w:r>
        <w:rPr>
          <w:spacing w:val="-4"/>
        </w:rPr>
        <w:t> </w:t>
      </w:r>
      <w:r>
        <w:rPr/>
        <w:t>in</w:t>
      </w:r>
      <w:r>
        <w:rPr>
          <w:spacing w:val="-4"/>
        </w:rPr>
        <w:t> </w:t>
      </w:r>
      <w:r>
        <w:rPr/>
        <w:t>2016-17</w:t>
      </w:r>
      <w:r>
        <w:rPr>
          <w:spacing w:val="-4"/>
        </w:rPr>
        <w:t> </w:t>
      </w:r>
      <w:r>
        <w:rPr/>
        <w:t>to</w:t>
      </w:r>
      <w:r>
        <w:rPr>
          <w:spacing w:val="-4"/>
        </w:rPr>
        <w:t> </w:t>
      </w:r>
      <w:r>
        <w:rPr/>
        <w:t>focus</w:t>
      </w:r>
      <w:r>
        <w:rPr>
          <w:spacing w:val="-4"/>
        </w:rPr>
        <w:t> </w:t>
      </w:r>
      <w:r>
        <w:rPr/>
        <w:t>its</w:t>
      </w:r>
      <w:r>
        <w:rPr>
          <w:spacing w:val="-4"/>
        </w:rPr>
        <w:t> </w:t>
      </w:r>
      <w:r>
        <w:rPr/>
        <w:t>resources</w:t>
      </w:r>
      <w:r>
        <w:rPr>
          <w:spacing w:val="-1"/>
        </w:rPr>
        <w:t> </w:t>
      </w:r>
      <w:r>
        <w:rPr/>
        <w:t>on</w:t>
      </w:r>
      <w:r>
        <w:rPr>
          <w:spacing w:val="-4"/>
        </w:rPr>
        <w:t> </w:t>
      </w:r>
      <w:r>
        <w:rPr/>
        <w:t>ensuring that network businesses produced a higher quality of Electricity Safety Management Scheme as an essential foundation for more rigorous systems and field audits into the </w:t>
      </w:r>
      <w:r>
        <w:rPr>
          <w:spacing w:val="-2"/>
        </w:rPr>
        <w:t>future.</w:t>
      </w:r>
    </w:p>
    <w:p>
      <w:pPr>
        <w:pStyle w:val="BodyText"/>
        <w:rPr>
          <w:sz w:val="21"/>
        </w:rPr>
      </w:pPr>
    </w:p>
    <w:p>
      <w:pPr>
        <w:pStyle w:val="BodyText"/>
        <w:spacing w:line="288" w:lineRule="auto" w:before="1"/>
        <w:ind w:left="600" w:right="311"/>
      </w:pPr>
      <w:r>
        <w:rPr/>
        <w:t>Since</w:t>
      </w:r>
      <w:r>
        <w:rPr>
          <w:spacing w:val="-2"/>
        </w:rPr>
        <w:t> </w:t>
      </w:r>
      <w:r>
        <w:rPr/>
        <w:t>the</w:t>
      </w:r>
      <w:r>
        <w:rPr>
          <w:spacing w:val="-2"/>
        </w:rPr>
        <w:t> </w:t>
      </w:r>
      <w:r>
        <w:rPr/>
        <w:t>start</w:t>
      </w:r>
      <w:r>
        <w:rPr>
          <w:spacing w:val="-3"/>
        </w:rPr>
        <w:t> </w:t>
      </w:r>
      <w:r>
        <w:rPr/>
        <w:t>of this</w:t>
      </w:r>
      <w:r>
        <w:rPr>
          <w:spacing w:val="-1"/>
        </w:rPr>
        <w:t> </w:t>
      </w:r>
      <w:r>
        <w:rPr/>
        <w:t>year,</w:t>
      </w:r>
      <w:r>
        <w:rPr>
          <w:spacing w:val="-2"/>
        </w:rPr>
        <w:t> </w:t>
      </w:r>
      <w:r>
        <w:rPr/>
        <w:t>ESV</w:t>
      </w:r>
      <w:r>
        <w:rPr>
          <w:spacing w:val="-2"/>
        </w:rPr>
        <w:t> </w:t>
      </w:r>
      <w:r>
        <w:rPr/>
        <w:t>has</w:t>
      </w:r>
      <w:r>
        <w:rPr>
          <w:spacing w:val="-4"/>
        </w:rPr>
        <w:t> </w:t>
      </w:r>
      <w:r>
        <w:rPr/>
        <w:t>sought</w:t>
      </w:r>
      <w:r>
        <w:rPr>
          <w:spacing w:val="-3"/>
        </w:rPr>
        <w:t> </w:t>
      </w:r>
      <w:r>
        <w:rPr/>
        <w:t>to</w:t>
      </w:r>
      <w:r>
        <w:rPr>
          <w:spacing w:val="-4"/>
        </w:rPr>
        <w:t> </w:t>
      </w:r>
      <w:r>
        <w:rPr/>
        <w:t>boost</w:t>
      </w:r>
      <w:r>
        <w:rPr>
          <w:spacing w:val="-1"/>
        </w:rPr>
        <w:t> </w:t>
      </w:r>
      <w:r>
        <w:rPr/>
        <w:t>its</w:t>
      </w:r>
      <w:r>
        <w:rPr>
          <w:spacing w:val="-4"/>
        </w:rPr>
        <w:t> </w:t>
      </w:r>
      <w:r>
        <w:rPr/>
        <w:t>resources</w:t>
      </w:r>
      <w:r>
        <w:rPr>
          <w:spacing w:val="-4"/>
        </w:rPr>
        <w:t> </w:t>
      </w:r>
      <w:r>
        <w:rPr/>
        <w:t>for</w:t>
      </w:r>
      <w:r>
        <w:rPr>
          <w:spacing w:val="-3"/>
        </w:rPr>
        <w:t> </w:t>
      </w:r>
      <w:r>
        <w:rPr/>
        <w:t>audits</w:t>
      </w:r>
      <w:r>
        <w:rPr>
          <w:spacing w:val="-1"/>
        </w:rPr>
        <w:t> </w:t>
      </w:r>
      <w:r>
        <w:rPr/>
        <w:t>and</w:t>
      </w:r>
      <w:r>
        <w:rPr>
          <w:spacing w:val="-4"/>
        </w:rPr>
        <w:t> </w:t>
      </w:r>
      <w:r>
        <w:rPr/>
        <w:t>inspections. Staff numbers in early 2017 compared with proposed staff numbers once recruitment is complete are outlined in Table 4.</w:t>
      </w:r>
    </w:p>
    <w:p>
      <w:pPr>
        <w:spacing w:after="0" w:line="288" w:lineRule="auto"/>
        <w:sectPr>
          <w:pgSz w:w="11910" w:h="16840"/>
          <w:pgMar w:header="887" w:footer="1228" w:top="1080" w:bottom="1500" w:left="840" w:right="820"/>
        </w:sectPr>
      </w:pPr>
    </w:p>
    <w:p>
      <w:pPr>
        <w:pStyle w:val="BodyText"/>
        <w:rPr>
          <w:sz w:val="20"/>
        </w:rPr>
      </w:pPr>
    </w:p>
    <w:p>
      <w:pPr>
        <w:pStyle w:val="BodyText"/>
        <w:rPr>
          <w:sz w:val="20"/>
        </w:rPr>
      </w:pPr>
    </w:p>
    <w:p>
      <w:pPr>
        <w:pStyle w:val="BodyText"/>
        <w:spacing w:before="5"/>
      </w:pPr>
    </w:p>
    <w:p>
      <w:pPr>
        <w:pStyle w:val="Heading7"/>
        <w:ind w:left="600"/>
      </w:pPr>
      <w:r>
        <w:rPr/>
        <w:t>Table</w:t>
      </w:r>
      <w:r>
        <w:rPr>
          <w:spacing w:val="-3"/>
        </w:rPr>
        <w:t> </w:t>
      </w:r>
      <w:r>
        <w:rPr/>
        <w:t>4:</w:t>
      </w:r>
      <w:r>
        <w:rPr>
          <w:spacing w:val="-1"/>
        </w:rPr>
        <w:t> </w:t>
      </w:r>
      <w:r>
        <w:rPr/>
        <w:t>ESV</w:t>
      </w:r>
      <w:r>
        <w:rPr>
          <w:spacing w:val="-3"/>
        </w:rPr>
        <w:t> </w:t>
      </w:r>
      <w:r>
        <w:rPr/>
        <w:t>audit</w:t>
      </w:r>
      <w:r>
        <w:rPr>
          <w:spacing w:val="-3"/>
        </w:rPr>
        <w:t> </w:t>
      </w:r>
      <w:r>
        <w:rPr/>
        <w:t>and</w:t>
      </w:r>
      <w:r>
        <w:rPr>
          <w:spacing w:val="-5"/>
        </w:rPr>
        <w:t> </w:t>
      </w:r>
      <w:r>
        <w:rPr/>
        <w:t>inspection</w:t>
      </w:r>
      <w:r>
        <w:rPr>
          <w:spacing w:val="-2"/>
        </w:rPr>
        <w:t> </w:t>
      </w:r>
      <w:r>
        <w:rPr>
          <w:spacing w:val="-4"/>
        </w:rPr>
        <w:t>staff</w:t>
      </w:r>
    </w:p>
    <w:p>
      <w:pPr>
        <w:pStyle w:val="BodyText"/>
        <w:spacing w:before="10" w:after="1"/>
        <w:rPr>
          <w:b/>
          <w:sz w:val="14"/>
        </w:rPr>
      </w:pPr>
    </w:p>
    <w:tbl>
      <w:tblPr>
        <w:tblW w:w="0" w:type="auto"/>
        <w:jc w:val="left"/>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55"/>
        <w:gridCol w:w="3371"/>
        <w:gridCol w:w="2703"/>
      </w:tblGrid>
      <w:tr>
        <w:trPr>
          <w:trHeight w:val="767" w:hRule="atLeast"/>
        </w:trPr>
        <w:tc>
          <w:tcPr>
            <w:tcW w:w="2855" w:type="dxa"/>
            <w:tcBorders>
              <w:top w:val="single" w:sz="4" w:space="0" w:color="A6A6A6"/>
              <w:left w:val="single" w:sz="4" w:space="0" w:color="A6A6A6"/>
            </w:tcBorders>
            <w:shd w:val="clear" w:color="auto" w:fill="D9D9D9"/>
          </w:tcPr>
          <w:p>
            <w:pPr>
              <w:pStyle w:val="TableParagraph"/>
              <w:spacing w:before="2"/>
              <w:rPr>
                <w:b/>
                <w:sz w:val="20"/>
              </w:rPr>
            </w:pPr>
          </w:p>
          <w:p>
            <w:pPr>
              <w:pStyle w:val="TableParagraph"/>
              <w:ind w:left="117"/>
              <w:rPr>
                <w:b/>
                <w:sz w:val="22"/>
              </w:rPr>
            </w:pPr>
            <w:r>
              <w:rPr>
                <w:b/>
                <w:spacing w:val="-4"/>
                <w:sz w:val="22"/>
              </w:rPr>
              <w:t>Area</w:t>
            </w:r>
          </w:p>
        </w:tc>
        <w:tc>
          <w:tcPr>
            <w:tcW w:w="3371" w:type="dxa"/>
            <w:tcBorders>
              <w:top w:val="single" w:sz="4" w:space="0" w:color="A6A6A6"/>
            </w:tcBorders>
            <w:shd w:val="clear" w:color="auto" w:fill="D9D9D9"/>
          </w:tcPr>
          <w:p>
            <w:pPr>
              <w:pStyle w:val="TableParagraph"/>
              <w:spacing w:before="2"/>
              <w:rPr>
                <w:b/>
                <w:sz w:val="20"/>
              </w:rPr>
            </w:pPr>
          </w:p>
          <w:p>
            <w:pPr>
              <w:pStyle w:val="TableParagraph"/>
              <w:ind w:left="455"/>
              <w:rPr>
                <w:b/>
                <w:sz w:val="22"/>
              </w:rPr>
            </w:pPr>
            <w:r>
              <w:rPr>
                <w:b/>
                <w:sz w:val="22"/>
              </w:rPr>
              <w:t>Staff</w:t>
            </w:r>
            <w:r>
              <w:rPr>
                <w:b/>
                <w:spacing w:val="-5"/>
                <w:sz w:val="22"/>
              </w:rPr>
              <w:t> </w:t>
            </w:r>
            <w:r>
              <w:rPr>
                <w:b/>
                <w:sz w:val="22"/>
              </w:rPr>
              <w:t>numbers</w:t>
            </w:r>
            <w:r>
              <w:rPr>
                <w:b/>
                <w:spacing w:val="-3"/>
                <w:sz w:val="22"/>
              </w:rPr>
              <w:t> </w:t>
            </w:r>
            <w:r>
              <w:rPr>
                <w:b/>
                <w:sz w:val="22"/>
              </w:rPr>
              <w:t>early</w:t>
            </w:r>
            <w:r>
              <w:rPr>
                <w:b/>
                <w:spacing w:val="-8"/>
                <w:sz w:val="22"/>
              </w:rPr>
              <w:t> </w:t>
            </w:r>
            <w:r>
              <w:rPr>
                <w:b/>
                <w:spacing w:val="-4"/>
                <w:sz w:val="22"/>
              </w:rPr>
              <w:t>2017</w:t>
            </w:r>
          </w:p>
        </w:tc>
        <w:tc>
          <w:tcPr>
            <w:tcW w:w="2703" w:type="dxa"/>
            <w:tcBorders>
              <w:top w:val="single" w:sz="4" w:space="0" w:color="A6A6A6"/>
              <w:right w:val="single" w:sz="4" w:space="0" w:color="A6A6A6"/>
            </w:tcBorders>
            <w:shd w:val="clear" w:color="auto" w:fill="D9D9D9"/>
          </w:tcPr>
          <w:p>
            <w:pPr>
              <w:pStyle w:val="TableParagraph"/>
              <w:spacing w:line="288" w:lineRule="auto" w:before="81"/>
              <w:ind w:left="125" w:right="153"/>
              <w:rPr>
                <w:b/>
                <w:sz w:val="22"/>
              </w:rPr>
            </w:pPr>
            <w:r>
              <w:rPr>
                <w:b/>
                <w:sz w:val="22"/>
              </w:rPr>
              <w:t>Proposed</w:t>
            </w:r>
            <w:r>
              <w:rPr>
                <w:b/>
                <w:spacing w:val="-16"/>
                <w:sz w:val="22"/>
              </w:rPr>
              <w:t> </w:t>
            </w:r>
            <w:r>
              <w:rPr>
                <w:b/>
                <w:sz w:val="22"/>
              </w:rPr>
              <w:t>staff </w:t>
            </w:r>
            <w:r>
              <w:rPr>
                <w:b/>
                <w:spacing w:val="-2"/>
                <w:sz w:val="22"/>
              </w:rPr>
              <w:t>numbers</w:t>
            </w:r>
          </w:p>
        </w:tc>
      </w:tr>
      <w:tr>
        <w:trPr>
          <w:trHeight w:val="765" w:hRule="atLeast"/>
        </w:trPr>
        <w:tc>
          <w:tcPr>
            <w:tcW w:w="2855" w:type="dxa"/>
            <w:tcBorders>
              <w:left w:val="single" w:sz="4" w:space="0" w:color="A6A6A6"/>
            </w:tcBorders>
          </w:tcPr>
          <w:p>
            <w:pPr>
              <w:pStyle w:val="TableParagraph"/>
              <w:spacing w:line="288" w:lineRule="auto" w:before="81"/>
              <w:ind w:left="117"/>
              <w:rPr>
                <w:sz w:val="22"/>
              </w:rPr>
            </w:pPr>
            <w:r>
              <w:rPr>
                <w:sz w:val="22"/>
              </w:rPr>
              <w:t>Gas</w:t>
            </w:r>
            <w:r>
              <w:rPr>
                <w:spacing w:val="-16"/>
                <w:sz w:val="22"/>
              </w:rPr>
              <w:t> </w:t>
            </w:r>
            <w:r>
              <w:rPr>
                <w:sz w:val="22"/>
              </w:rPr>
              <w:t>and</w:t>
            </w:r>
            <w:r>
              <w:rPr>
                <w:spacing w:val="-15"/>
                <w:sz w:val="22"/>
              </w:rPr>
              <w:t> </w:t>
            </w:r>
            <w:r>
              <w:rPr>
                <w:sz w:val="22"/>
              </w:rPr>
              <w:t>pipeline </w:t>
            </w:r>
            <w:r>
              <w:rPr>
                <w:spacing w:val="-2"/>
                <w:sz w:val="22"/>
              </w:rPr>
              <w:t>infrastructure</w:t>
            </w:r>
          </w:p>
        </w:tc>
        <w:tc>
          <w:tcPr>
            <w:tcW w:w="3371" w:type="dxa"/>
          </w:tcPr>
          <w:p>
            <w:pPr>
              <w:pStyle w:val="TableParagraph"/>
              <w:spacing w:before="81"/>
              <w:ind w:left="455"/>
              <w:rPr>
                <w:sz w:val="22"/>
              </w:rPr>
            </w:pPr>
            <w:r>
              <w:rPr>
                <w:w w:val="100"/>
                <w:sz w:val="22"/>
              </w:rPr>
              <w:t>7</w:t>
            </w:r>
          </w:p>
        </w:tc>
        <w:tc>
          <w:tcPr>
            <w:tcW w:w="2703" w:type="dxa"/>
            <w:tcBorders>
              <w:right w:val="single" w:sz="4" w:space="0" w:color="A6A6A6"/>
            </w:tcBorders>
          </w:tcPr>
          <w:p>
            <w:pPr>
              <w:pStyle w:val="TableParagraph"/>
              <w:spacing w:before="81"/>
              <w:ind w:left="187"/>
              <w:rPr>
                <w:sz w:val="22"/>
              </w:rPr>
            </w:pPr>
            <w:r>
              <w:rPr>
                <w:spacing w:val="-5"/>
                <w:sz w:val="22"/>
              </w:rPr>
              <w:t>13</w:t>
            </w:r>
          </w:p>
        </w:tc>
      </w:tr>
      <w:tr>
        <w:trPr>
          <w:trHeight w:val="465" w:hRule="atLeast"/>
        </w:trPr>
        <w:tc>
          <w:tcPr>
            <w:tcW w:w="2855" w:type="dxa"/>
            <w:tcBorders>
              <w:left w:val="single" w:sz="4" w:space="0" w:color="A6A6A6"/>
            </w:tcBorders>
            <w:shd w:val="clear" w:color="auto" w:fill="CDEBEB"/>
          </w:tcPr>
          <w:p>
            <w:pPr>
              <w:pStyle w:val="TableParagraph"/>
              <w:spacing w:before="81"/>
              <w:ind w:left="117"/>
              <w:rPr>
                <w:sz w:val="22"/>
              </w:rPr>
            </w:pPr>
            <w:r>
              <w:rPr>
                <w:sz w:val="22"/>
              </w:rPr>
              <w:t>Electrolysis</w:t>
            </w:r>
            <w:r>
              <w:rPr>
                <w:spacing w:val="-10"/>
                <w:sz w:val="22"/>
              </w:rPr>
              <w:t> </w:t>
            </w:r>
            <w:r>
              <w:rPr>
                <w:spacing w:val="-2"/>
                <w:sz w:val="22"/>
              </w:rPr>
              <w:t>mitigation</w:t>
            </w:r>
          </w:p>
        </w:tc>
        <w:tc>
          <w:tcPr>
            <w:tcW w:w="3371" w:type="dxa"/>
            <w:shd w:val="clear" w:color="auto" w:fill="CDEBEB"/>
          </w:tcPr>
          <w:p>
            <w:pPr>
              <w:pStyle w:val="TableParagraph"/>
              <w:spacing w:before="81"/>
              <w:ind w:left="455"/>
              <w:rPr>
                <w:sz w:val="22"/>
              </w:rPr>
            </w:pPr>
            <w:r>
              <w:rPr>
                <w:w w:val="100"/>
                <w:sz w:val="22"/>
              </w:rPr>
              <w:t>6</w:t>
            </w:r>
          </w:p>
        </w:tc>
        <w:tc>
          <w:tcPr>
            <w:tcW w:w="2703" w:type="dxa"/>
            <w:tcBorders>
              <w:right w:val="single" w:sz="4" w:space="0" w:color="A6A6A6"/>
            </w:tcBorders>
            <w:shd w:val="clear" w:color="auto" w:fill="CDEBEB"/>
          </w:tcPr>
          <w:p>
            <w:pPr>
              <w:pStyle w:val="TableParagraph"/>
              <w:spacing w:before="81"/>
              <w:ind w:left="187"/>
              <w:rPr>
                <w:sz w:val="22"/>
              </w:rPr>
            </w:pPr>
            <w:r>
              <w:rPr>
                <w:w w:val="100"/>
                <w:sz w:val="22"/>
              </w:rPr>
              <w:t>7</w:t>
            </w:r>
          </w:p>
        </w:tc>
      </w:tr>
      <w:tr>
        <w:trPr>
          <w:trHeight w:val="463" w:hRule="atLeast"/>
        </w:trPr>
        <w:tc>
          <w:tcPr>
            <w:tcW w:w="2855" w:type="dxa"/>
            <w:tcBorders>
              <w:left w:val="single" w:sz="4" w:space="0" w:color="A6A6A6"/>
            </w:tcBorders>
          </w:tcPr>
          <w:p>
            <w:pPr>
              <w:pStyle w:val="TableParagraph"/>
              <w:spacing w:before="81"/>
              <w:ind w:left="117"/>
              <w:rPr>
                <w:sz w:val="22"/>
              </w:rPr>
            </w:pPr>
            <w:r>
              <w:rPr>
                <w:sz w:val="22"/>
              </w:rPr>
              <w:t>Electricity</w:t>
            </w:r>
            <w:r>
              <w:rPr>
                <w:spacing w:val="-9"/>
                <w:sz w:val="22"/>
              </w:rPr>
              <w:t> </w:t>
            </w:r>
            <w:r>
              <w:rPr>
                <w:spacing w:val="-2"/>
                <w:sz w:val="22"/>
              </w:rPr>
              <w:t>infrastructure</w:t>
            </w:r>
          </w:p>
        </w:tc>
        <w:tc>
          <w:tcPr>
            <w:tcW w:w="3371" w:type="dxa"/>
          </w:tcPr>
          <w:p>
            <w:pPr>
              <w:pStyle w:val="TableParagraph"/>
              <w:spacing w:before="81"/>
              <w:ind w:left="455"/>
              <w:rPr>
                <w:sz w:val="22"/>
              </w:rPr>
            </w:pPr>
            <w:r>
              <w:rPr>
                <w:w w:val="100"/>
                <w:sz w:val="22"/>
              </w:rPr>
              <w:t>8</w:t>
            </w:r>
          </w:p>
        </w:tc>
        <w:tc>
          <w:tcPr>
            <w:tcW w:w="2703" w:type="dxa"/>
            <w:tcBorders>
              <w:right w:val="single" w:sz="4" w:space="0" w:color="A6A6A6"/>
            </w:tcBorders>
          </w:tcPr>
          <w:p>
            <w:pPr>
              <w:pStyle w:val="TableParagraph"/>
              <w:spacing w:before="81"/>
              <w:ind w:left="187"/>
              <w:rPr>
                <w:sz w:val="22"/>
              </w:rPr>
            </w:pPr>
            <w:r>
              <w:rPr>
                <w:spacing w:val="-5"/>
                <w:sz w:val="22"/>
              </w:rPr>
              <w:t>12</w:t>
            </w:r>
          </w:p>
        </w:tc>
      </w:tr>
      <w:tr>
        <w:trPr>
          <w:trHeight w:val="463" w:hRule="atLeast"/>
        </w:trPr>
        <w:tc>
          <w:tcPr>
            <w:tcW w:w="2855" w:type="dxa"/>
            <w:tcBorders>
              <w:left w:val="single" w:sz="4" w:space="0" w:color="A6A6A6"/>
              <w:bottom w:val="single" w:sz="4" w:space="0" w:color="A6A6A6"/>
            </w:tcBorders>
            <w:shd w:val="clear" w:color="auto" w:fill="CDEBEB"/>
          </w:tcPr>
          <w:p>
            <w:pPr>
              <w:pStyle w:val="TableParagraph"/>
              <w:spacing w:before="81"/>
              <w:ind w:left="117"/>
              <w:rPr>
                <w:sz w:val="22"/>
              </w:rPr>
            </w:pPr>
            <w:r>
              <w:rPr>
                <w:sz w:val="22"/>
              </w:rPr>
              <w:t>Electric</w:t>
            </w:r>
            <w:r>
              <w:rPr>
                <w:spacing w:val="-4"/>
                <w:sz w:val="22"/>
              </w:rPr>
              <w:t> </w:t>
            </w:r>
            <w:r>
              <w:rPr>
                <w:sz w:val="22"/>
              </w:rPr>
              <w:t>line</w:t>
            </w:r>
            <w:r>
              <w:rPr>
                <w:spacing w:val="-4"/>
                <w:sz w:val="22"/>
              </w:rPr>
              <w:t> </w:t>
            </w:r>
            <w:r>
              <w:rPr>
                <w:spacing w:val="-2"/>
                <w:sz w:val="22"/>
              </w:rPr>
              <w:t>clearance</w:t>
            </w:r>
          </w:p>
        </w:tc>
        <w:tc>
          <w:tcPr>
            <w:tcW w:w="3371" w:type="dxa"/>
            <w:tcBorders>
              <w:bottom w:val="single" w:sz="4" w:space="0" w:color="A6A6A6"/>
            </w:tcBorders>
            <w:shd w:val="clear" w:color="auto" w:fill="CDEBEB"/>
          </w:tcPr>
          <w:p>
            <w:pPr>
              <w:pStyle w:val="TableParagraph"/>
              <w:spacing w:before="81"/>
              <w:ind w:left="455"/>
              <w:rPr>
                <w:sz w:val="22"/>
              </w:rPr>
            </w:pPr>
            <w:r>
              <w:rPr>
                <w:sz w:val="22"/>
              </w:rPr>
              <w:t>5</w:t>
            </w:r>
            <w:r>
              <w:rPr>
                <w:spacing w:val="-2"/>
                <w:sz w:val="22"/>
              </w:rPr>
              <w:t> </w:t>
            </w:r>
            <w:r>
              <w:rPr>
                <w:sz w:val="22"/>
              </w:rPr>
              <w:t>(plus</w:t>
            </w:r>
            <w:r>
              <w:rPr>
                <w:spacing w:val="-2"/>
                <w:sz w:val="22"/>
              </w:rPr>
              <w:t> </w:t>
            </w:r>
            <w:r>
              <w:rPr>
                <w:sz w:val="22"/>
              </w:rPr>
              <w:t>1</w:t>
            </w:r>
            <w:r>
              <w:rPr>
                <w:spacing w:val="-5"/>
                <w:sz w:val="22"/>
              </w:rPr>
              <w:t> </w:t>
            </w:r>
            <w:r>
              <w:rPr>
                <w:sz w:val="22"/>
              </w:rPr>
              <w:t>manager</w:t>
            </w:r>
            <w:r>
              <w:rPr>
                <w:spacing w:val="-2"/>
                <w:sz w:val="22"/>
              </w:rPr>
              <w:t> oversight)</w:t>
            </w:r>
          </w:p>
        </w:tc>
        <w:tc>
          <w:tcPr>
            <w:tcW w:w="2703" w:type="dxa"/>
            <w:tcBorders>
              <w:bottom w:val="single" w:sz="4" w:space="0" w:color="A6A6A6"/>
              <w:right w:val="single" w:sz="4" w:space="0" w:color="A6A6A6"/>
            </w:tcBorders>
            <w:shd w:val="clear" w:color="auto" w:fill="CDEBEB"/>
          </w:tcPr>
          <w:p>
            <w:pPr>
              <w:pStyle w:val="TableParagraph"/>
              <w:spacing w:before="81"/>
              <w:ind w:left="187"/>
              <w:rPr>
                <w:sz w:val="22"/>
              </w:rPr>
            </w:pPr>
            <w:r>
              <w:rPr>
                <w:w w:val="100"/>
                <w:sz w:val="22"/>
              </w:rPr>
              <w:t>6</w:t>
            </w:r>
          </w:p>
        </w:tc>
      </w:tr>
    </w:tbl>
    <w:p>
      <w:pPr>
        <w:pStyle w:val="BodyText"/>
        <w:spacing w:before="10"/>
        <w:rPr>
          <w:b/>
          <w:sz w:val="30"/>
        </w:rPr>
      </w:pPr>
    </w:p>
    <w:p>
      <w:pPr>
        <w:pStyle w:val="BodyText"/>
        <w:spacing w:line="292" w:lineRule="auto"/>
        <w:ind w:left="600" w:right="586"/>
      </w:pPr>
      <w:r>
        <w:rPr/>
        <w:t>The Review supports the assessment that there should be a significant increase in ESV’s audit</w:t>
      </w:r>
      <w:r>
        <w:rPr>
          <w:spacing w:val="-1"/>
        </w:rPr>
        <w:t> </w:t>
      </w:r>
      <w:r>
        <w:rPr/>
        <w:t>and</w:t>
      </w:r>
      <w:r>
        <w:rPr>
          <w:spacing w:val="-3"/>
        </w:rPr>
        <w:t> </w:t>
      </w:r>
      <w:r>
        <w:rPr/>
        <w:t>inspection</w:t>
      </w:r>
      <w:r>
        <w:rPr>
          <w:spacing w:val="-3"/>
        </w:rPr>
        <w:t> </w:t>
      </w:r>
      <w:r>
        <w:rPr/>
        <w:t>activity.</w:t>
      </w:r>
      <w:r>
        <w:rPr>
          <w:spacing w:val="-4"/>
        </w:rPr>
        <w:t> </w:t>
      </w:r>
      <w:r>
        <w:rPr/>
        <w:t>There</w:t>
      </w:r>
      <w:r>
        <w:rPr>
          <w:spacing w:val="-5"/>
        </w:rPr>
        <w:t> </w:t>
      </w:r>
      <w:r>
        <w:rPr/>
        <w:t>should</w:t>
      </w:r>
      <w:r>
        <w:rPr>
          <w:spacing w:val="-3"/>
        </w:rPr>
        <w:t> </w:t>
      </w:r>
      <w:r>
        <w:rPr/>
        <w:t>be</w:t>
      </w:r>
      <w:r>
        <w:rPr>
          <w:spacing w:val="-5"/>
        </w:rPr>
        <w:t> </w:t>
      </w:r>
      <w:r>
        <w:rPr/>
        <w:t>strong</w:t>
      </w:r>
      <w:r>
        <w:rPr>
          <w:spacing w:val="-3"/>
        </w:rPr>
        <w:t> </w:t>
      </w:r>
      <w:r>
        <w:rPr/>
        <w:t>internal</w:t>
      </w:r>
      <w:r>
        <w:rPr>
          <w:spacing w:val="-4"/>
        </w:rPr>
        <w:t> </w:t>
      </w:r>
      <w:r>
        <w:rPr/>
        <w:t>oversight</w:t>
      </w:r>
      <w:r>
        <w:rPr>
          <w:spacing w:val="-4"/>
        </w:rPr>
        <w:t> </w:t>
      </w:r>
      <w:r>
        <w:rPr/>
        <w:t>of</w:t>
      </w:r>
      <w:r>
        <w:rPr>
          <w:spacing w:val="-4"/>
        </w:rPr>
        <w:t> </w:t>
      </w:r>
      <w:r>
        <w:rPr/>
        <w:t>this</w:t>
      </w:r>
      <w:r>
        <w:rPr>
          <w:spacing w:val="-2"/>
        </w:rPr>
        <w:t> </w:t>
      </w:r>
      <w:r>
        <w:rPr/>
        <w:t>expansion</w:t>
      </w:r>
      <w:r>
        <w:rPr>
          <w:spacing w:val="-3"/>
        </w:rPr>
        <w:t> </w:t>
      </w:r>
      <w:r>
        <w:rPr/>
        <w:t>by ESV’s executive management group, and clear public reporting. The expanded audit and inspections program should be reviewed by ESV in 2020 to determine whether any</w:t>
      </w:r>
      <w:r>
        <w:rPr>
          <w:spacing w:val="-2"/>
        </w:rPr>
        <w:t> </w:t>
      </w:r>
      <w:r>
        <w:rPr/>
        <w:t>further expansion is required.</w:t>
      </w:r>
    </w:p>
    <w:p>
      <w:pPr>
        <w:pStyle w:val="BodyText"/>
        <w:spacing w:before="6"/>
        <w:rPr>
          <w:sz w:val="18"/>
        </w:rPr>
      </w:pPr>
      <w:r>
        <w:rPr/>
        <mc:AlternateContent>
          <mc:Choice Requires="wps">
            <w:drawing>
              <wp:anchor distT="0" distB="0" distL="0" distR="0" allowOverlap="1" layoutInCell="1" locked="0" behindDoc="1" simplePos="0" relativeHeight="487621120">
                <wp:simplePos x="0" y="0"/>
                <wp:positionH relativeFrom="page">
                  <wp:posOffset>914704</wp:posOffset>
                </wp:positionH>
                <wp:positionV relativeFrom="paragraph">
                  <wp:posOffset>151041</wp:posOffset>
                </wp:positionV>
                <wp:extent cx="5732780" cy="2385695"/>
                <wp:effectExtent l="0" t="0" r="0" b="0"/>
                <wp:wrapTopAndBottom/>
                <wp:docPr id="120" name="Textbox 120"/>
                <wp:cNvGraphicFramePr>
                  <a:graphicFrameLocks/>
                </wp:cNvGraphicFramePr>
                <a:graphic>
                  <a:graphicData uri="http://schemas.microsoft.com/office/word/2010/wordprocessingShape">
                    <wps:wsp>
                      <wps:cNvPr id="120" name="Textbox 120"/>
                      <wps:cNvSpPr txBox="1"/>
                      <wps:spPr>
                        <a:xfrm>
                          <a:off x="0" y="0"/>
                          <a:ext cx="5732780" cy="2385695"/>
                        </a:xfrm>
                        <a:prstGeom prst="rect">
                          <a:avLst/>
                        </a:prstGeom>
                        <a:solidFill>
                          <a:srgbClr val="D9D9D9"/>
                        </a:solidFill>
                      </wps:spPr>
                      <wps:txbx>
                        <w:txbxContent>
                          <w:p>
                            <w:pPr>
                              <w:pStyle w:val="BodyText"/>
                              <w:spacing w:before="10"/>
                              <w:rPr>
                                <w:color w:val="000000"/>
                                <w:sz w:val="20"/>
                              </w:rPr>
                            </w:pPr>
                          </w:p>
                          <w:p>
                            <w:pPr>
                              <w:spacing w:before="0"/>
                              <w:ind w:left="112" w:right="0" w:firstLine="0"/>
                              <w:jc w:val="left"/>
                              <w:rPr>
                                <w:b/>
                                <w:color w:val="000000"/>
                                <w:sz w:val="22"/>
                              </w:rPr>
                            </w:pPr>
                            <w:r>
                              <w:rPr>
                                <w:b/>
                                <w:color w:val="000000"/>
                                <w:sz w:val="22"/>
                              </w:rPr>
                              <w:t>Recommendation</w:t>
                            </w:r>
                            <w:r>
                              <w:rPr>
                                <w:b/>
                                <w:color w:val="000000"/>
                                <w:spacing w:val="-7"/>
                                <w:sz w:val="22"/>
                              </w:rPr>
                              <w:t> </w:t>
                            </w:r>
                            <w:r>
                              <w:rPr>
                                <w:b/>
                                <w:color w:val="000000"/>
                                <w:spacing w:val="-10"/>
                                <w:sz w:val="22"/>
                              </w:rPr>
                              <w:t>6</w:t>
                            </w:r>
                          </w:p>
                          <w:p>
                            <w:pPr>
                              <w:pStyle w:val="BodyText"/>
                              <w:spacing w:before="2"/>
                              <w:rPr>
                                <w:b/>
                                <w:color w:val="000000"/>
                                <w:sz w:val="25"/>
                              </w:rPr>
                            </w:pPr>
                          </w:p>
                          <w:p>
                            <w:pPr>
                              <w:pStyle w:val="BodyText"/>
                              <w:spacing w:line="288" w:lineRule="auto"/>
                              <w:ind w:left="112" w:right="140"/>
                              <w:rPr>
                                <w:color w:val="000000"/>
                              </w:rPr>
                            </w:pPr>
                            <w:r>
                              <w:rPr>
                                <w:color w:val="000000"/>
                              </w:rPr>
                              <w:t>ESV should substantially increase its audit and inspection resources and activity</w:t>
                            </w:r>
                            <w:r>
                              <w:rPr>
                                <w:color w:val="000000"/>
                              </w:rPr>
                              <w:t> compared to recent years, in accordance with the directions set out in its </w:t>
                            </w:r>
                            <w:r>
                              <w:rPr>
                                <w:i/>
                                <w:color w:val="000000"/>
                              </w:rPr>
                              <w:t>Corporate Plan 2017–2020</w:t>
                            </w:r>
                            <w:r>
                              <w:rPr>
                                <w:color w:val="000000"/>
                              </w:rPr>
                              <w:t>.</w:t>
                            </w:r>
                            <w:r>
                              <w:rPr>
                                <w:color w:val="000000"/>
                                <w:spacing w:val="-2"/>
                              </w:rPr>
                              <w:t> </w:t>
                            </w:r>
                            <w:r>
                              <w:rPr>
                                <w:color w:val="000000"/>
                              </w:rPr>
                              <w:t>Performance</w:t>
                            </w:r>
                            <w:r>
                              <w:rPr>
                                <w:color w:val="000000"/>
                                <w:spacing w:val="-4"/>
                              </w:rPr>
                              <w:t> </w:t>
                            </w:r>
                            <w:r>
                              <w:rPr>
                                <w:color w:val="000000"/>
                              </w:rPr>
                              <w:t>against</w:t>
                            </w:r>
                            <w:r>
                              <w:rPr>
                                <w:color w:val="000000"/>
                                <w:spacing w:val="-5"/>
                              </w:rPr>
                              <w:t> </w:t>
                            </w:r>
                            <w:r>
                              <w:rPr>
                                <w:color w:val="000000"/>
                              </w:rPr>
                              <w:t>this</w:t>
                            </w:r>
                            <w:r>
                              <w:rPr>
                                <w:color w:val="000000"/>
                                <w:spacing w:val="-3"/>
                              </w:rPr>
                              <w:t> </w:t>
                            </w:r>
                            <w:r>
                              <w:rPr>
                                <w:color w:val="000000"/>
                              </w:rPr>
                              <w:t>plan</w:t>
                            </w:r>
                            <w:r>
                              <w:rPr>
                                <w:color w:val="000000"/>
                                <w:spacing w:val="-6"/>
                              </w:rPr>
                              <w:t> </w:t>
                            </w:r>
                            <w:r>
                              <w:rPr>
                                <w:color w:val="000000"/>
                              </w:rPr>
                              <w:t>should</w:t>
                            </w:r>
                            <w:r>
                              <w:rPr>
                                <w:color w:val="000000"/>
                                <w:spacing w:val="-4"/>
                              </w:rPr>
                              <w:t> </w:t>
                            </w:r>
                            <w:r>
                              <w:rPr>
                                <w:color w:val="000000"/>
                              </w:rPr>
                              <w:t>be</w:t>
                            </w:r>
                            <w:r>
                              <w:rPr>
                                <w:color w:val="000000"/>
                                <w:spacing w:val="-6"/>
                              </w:rPr>
                              <w:t> </w:t>
                            </w:r>
                            <w:r>
                              <w:rPr>
                                <w:color w:val="000000"/>
                              </w:rPr>
                              <w:t>reported</w:t>
                            </w:r>
                            <w:r>
                              <w:rPr>
                                <w:color w:val="000000"/>
                                <w:spacing w:val="-4"/>
                              </w:rPr>
                              <w:t> </w:t>
                            </w:r>
                            <w:r>
                              <w:rPr>
                                <w:color w:val="000000"/>
                              </w:rPr>
                              <w:t>publicly,</w:t>
                            </w:r>
                            <w:r>
                              <w:rPr>
                                <w:color w:val="000000"/>
                                <w:spacing w:val="-2"/>
                              </w:rPr>
                              <w:t> </w:t>
                            </w:r>
                            <w:r>
                              <w:rPr>
                                <w:color w:val="000000"/>
                              </w:rPr>
                              <w:t>including</w:t>
                            </w:r>
                            <w:r>
                              <w:rPr>
                                <w:color w:val="000000"/>
                                <w:spacing w:val="-2"/>
                              </w:rPr>
                              <w:t> </w:t>
                            </w:r>
                            <w:r>
                              <w:rPr>
                                <w:color w:val="000000"/>
                              </w:rPr>
                              <w:t>summary information that clearly explains, at a “plain English” level, what ESV has achieved and what more remains to be done to fully deliver its more intensive audit program. This</w:t>
                            </w:r>
                            <w:r>
                              <w:rPr>
                                <w:color w:val="000000"/>
                                <w:spacing w:val="40"/>
                              </w:rPr>
                              <w:t> </w:t>
                            </w:r>
                            <w:r>
                              <w:rPr>
                                <w:color w:val="000000"/>
                              </w:rPr>
                              <w:t>should be supported</w:t>
                            </w:r>
                            <w:r>
                              <w:rPr>
                                <w:color w:val="000000"/>
                                <w:spacing w:val="-2"/>
                              </w:rPr>
                              <w:t> </w:t>
                            </w:r>
                            <w:r>
                              <w:rPr>
                                <w:color w:val="000000"/>
                              </w:rPr>
                              <w:t>by</w:t>
                            </w:r>
                            <w:r>
                              <w:rPr>
                                <w:color w:val="000000"/>
                                <w:spacing w:val="-2"/>
                              </w:rPr>
                              <w:t> </w:t>
                            </w:r>
                            <w:r>
                              <w:rPr>
                                <w:color w:val="000000"/>
                              </w:rPr>
                              <w:t>detailed information on</w:t>
                            </w:r>
                            <w:r>
                              <w:rPr>
                                <w:color w:val="000000"/>
                                <w:spacing w:val="-4"/>
                              </w:rPr>
                              <w:t> </w:t>
                            </w:r>
                            <w:r>
                              <w:rPr>
                                <w:color w:val="000000"/>
                              </w:rPr>
                              <w:t>the audits</w:t>
                            </w:r>
                            <w:r>
                              <w:rPr>
                                <w:color w:val="000000"/>
                                <w:spacing w:val="-2"/>
                              </w:rPr>
                              <w:t> </w:t>
                            </w:r>
                            <w:r>
                              <w:rPr>
                                <w:color w:val="000000"/>
                              </w:rPr>
                              <w:t>conducted</w:t>
                            </w:r>
                            <w:r>
                              <w:rPr>
                                <w:color w:val="000000"/>
                                <w:spacing w:val="-2"/>
                              </w:rPr>
                              <w:t> </w:t>
                            </w:r>
                            <w:r>
                              <w:rPr>
                                <w:color w:val="000000"/>
                              </w:rPr>
                              <w:t>each year, including: the</w:t>
                            </w:r>
                            <w:r>
                              <w:rPr>
                                <w:color w:val="000000"/>
                                <w:spacing w:val="-2"/>
                              </w:rPr>
                              <w:t> </w:t>
                            </w:r>
                            <w:r>
                              <w:rPr>
                                <w:color w:val="000000"/>
                              </w:rPr>
                              <w:t>number</w:t>
                            </w:r>
                            <w:r>
                              <w:rPr>
                                <w:color w:val="000000"/>
                                <w:spacing w:val="-3"/>
                              </w:rPr>
                              <w:t> </w:t>
                            </w:r>
                            <w:r>
                              <w:rPr>
                                <w:color w:val="000000"/>
                              </w:rPr>
                              <w:t>of audits,</w:t>
                            </w:r>
                            <w:r>
                              <w:rPr>
                                <w:color w:val="000000"/>
                                <w:spacing w:val="-3"/>
                              </w:rPr>
                              <w:t> </w:t>
                            </w:r>
                            <w:r>
                              <w:rPr>
                                <w:color w:val="000000"/>
                              </w:rPr>
                              <w:t>the</w:t>
                            </w:r>
                            <w:r>
                              <w:rPr>
                                <w:color w:val="000000"/>
                                <w:spacing w:val="-4"/>
                              </w:rPr>
                              <w:t> </w:t>
                            </w:r>
                            <w:r>
                              <w:rPr>
                                <w:color w:val="000000"/>
                              </w:rPr>
                              <w:t>sites</w:t>
                            </w:r>
                            <w:r>
                              <w:rPr>
                                <w:color w:val="000000"/>
                                <w:spacing w:val="-4"/>
                              </w:rPr>
                              <w:t> </w:t>
                            </w:r>
                            <w:r>
                              <w:rPr>
                                <w:color w:val="000000"/>
                              </w:rPr>
                              <w:t>and</w:t>
                            </w:r>
                            <w:r>
                              <w:rPr>
                                <w:color w:val="000000"/>
                                <w:spacing w:val="-2"/>
                              </w:rPr>
                              <w:t> </w:t>
                            </w:r>
                            <w:r>
                              <w:rPr>
                                <w:color w:val="000000"/>
                              </w:rPr>
                              <w:t>distribution</w:t>
                            </w:r>
                            <w:r>
                              <w:rPr>
                                <w:color w:val="000000"/>
                                <w:spacing w:val="-2"/>
                              </w:rPr>
                              <w:t> </w:t>
                            </w:r>
                            <w:r>
                              <w:rPr>
                                <w:color w:val="000000"/>
                              </w:rPr>
                              <w:t>businesses</w:t>
                            </w:r>
                            <w:r>
                              <w:rPr>
                                <w:color w:val="000000"/>
                                <w:spacing w:val="-2"/>
                              </w:rPr>
                              <w:t> </w:t>
                            </w:r>
                            <w:r>
                              <w:rPr>
                                <w:color w:val="000000"/>
                              </w:rPr>
                              <w:t>covered,</w:t>
                            </w:r>
                            <w:r>
                              <w:rPr>
                                <w:color w:val="000000"/>
                                <w:spacing w:val="-3"/>
                              </w:rPr>
                              <w:t> </w:t>
                            </w:r>
                            <w:r>
                              <w:rPr>
                                <w:color w:val="000000"/>
                              </w:rPr>
                              <w:t>the</w:t>
                            </w:r>
                            <w:r>
                              <w:rPr>
                                <w:color w:val="000000"/>
                                <w:spacing w:val="-7"/>
                              </w:rPr>
                              <w:t> </w:t>
                            </w:r>
                            <w:r>
                              <w:rPr>
                                <w:color w:val="000000"/>
                              </w:rPr>
                              <w:t>focus</w:t>
                            </w:r>
                            <w:r>
                              <w:rPr>
                                <w:color w:val="000000"/>
                                <w:spacing w:val="-2"/>
                              </w:rPr>
                              <w:t> </w:t>
                            </w:r>
                            <w:r>
                              <w:rPr>
                                <w:color w:val="000000"/>
                              </w:rPr>
                              <w:t>of the</w:t>
                            </w:r>
                            <w:r>
                              <w:rPr>
                                <w:color w:val="000000"/>
                                <w:spacing w:val="-2"/>
                              </w:rPr>
                              <w:t> </w:t>
                            </w:r>
                            <w:r>
                              <w:rPr>
                                <w:color w:val="000000"/>
                              </w:rPr>
                              <w:t>audits and the results of those audits. This should build on and extend existing safety performance reporting by ESV.</w:t>
                            </w:r>
                          </w:p>
                        </w:txbxContent>
                      </wps:txbx>
                      <wps:bodyPr wrap="square" lIns="0" tIns="0" rIns="0" bIns="0" rtlCol="0">
                        <a:noAutofit/>
                      </wps:bodyPr>
                    </wps:wsp>
                  </a:graphicData>
                </a:graphic>
              </wp:anchor>
            </w:drawing>
          </mc:Choice>
          <mc:Fallback>
            <w:pict>
              <v:shape style="position:absolute;margin-left:72.024002pt;margin-top:11.893018pt;width:451.4pt;height:187.85pt;mso-position-horizontal-relative:page;mso-position-vertical-relative:paragraph;z-index:-15695360;mso-wrap-distance-left:0;mso-wrap-distance-right:0" type="#_x0000_t202" id="docshape104" filled="true" fillcolor="#d9d9d9" stroked="false">
                <v:textbox inset="0,0,0,0">
                  <w:txbxContent>
                    <w:p>
                      <w:pPr>
                        <w:pStyle w:val="BodyText"/>
                        <w:spacing w:before="10"/>
                        <w:rPr>
                          <w:color w:val="000000"/>
                          <w:sz w:val="20"/>
                        </w:rPr>
                      </w:pPr>
                    </w:p>
                    <w:p>
                      <w:pPr>
                        <w:spacing w:before="0"/>
                        <w:ind w:left="112" w:right="0" w:firstLine="0"/>
                        <w:jc w:val="left"/>
                        <w:rPr>
                          <w:b/>
                          <w:color w:val="000000"/>
                          <w:sz w:val="22"/>
                        </w:rPr>
                      </w:pPr>
                      <w:r>
                        <w:rPr>
                          <w:b/>
                          <w:color w:val="000000"/>
                          <w:sz w:val="22"/>
                        </w:rPr>
                        <w:t>Recommendation</w:t>
                      </w:r>
                      <w:r>
                        <w:rPr>
                          <w:b/>
                          <w:color w:val="000000"/>
                          <w:spacing w:val="-7"/>
                          <w:sz w:val="22"/>
                        </w:rPr>
                        <w:t> </w:t>
                      </w:r>
                      <w:r>
                        <w:rPr>
                          <w:b/>
                          <w:color w:val="000000"/>
                          <w:spacing w:val="-10"/>
                          <w:sz w:val="22"/>
                        </w:rPr>
                        <w:t>6</w:t>
                      </w:r>
                    </w:p>
                    <w:p>
                      <w:pPr>
                        <w:pStyle w:val="BodyText"/>
                        <w:spacing w:before="2"/>
                        <w:rPr>
                          <w:b/>
                          <w:color w:val="000000"/>
                          <w:sz w:val="25"/>
                        </w:rPr>
                      </w:pPr>
                    </w:p>
                    <w:p>
                      <w:pPr>
                        <w:pStyle w:val="BodyText"/>
                        <w:spacing w:line="288" w:lineRule="auto"/>
                        <w:ind w:left="112" w:right="140"/>
                        <w:rPr>
                          <w:color w:val="000000"/>
                        </w:rPr>
                      </w:pPr>
                      <w:r>
                        <w:rPr>
                          <w:color w:val="000000"/>
                        </w:rPr>
                        <w:t>ESV should substantially increase its audit and inspection resources and activity</w:t>
                      </w:r>
                      <w:r>
                        <w:rPr>
                          <w:color w:val="000000"/>
                        </w:rPr>
                        <w:t> compared to recent years, in accordance with the directions set out in its </w:t>
                      </w:r>
                      <w:r>
                        <w:rPr>
                          <w:i/>
                          <w:color w:val="000000"/>
                        </w:rPr>
                        <w:t>Corporate Plan 2017–2020</w:t>
                      </w:r>
                      <w:r>
                        <w:rPr>
                          <w:color w:val="000000"/>
                        </w:rPr>
                        <w:t>.</w:t>
                      </w:r>
                      <w:r>
                        <w:rPr>
                          <w:color w:val="000000"/>
                          <w:spacing w:val="-2"/>
                        </w:rPr>
                        <w:t> </w:t>
                      </w:r>
                      <w:r>
                        <w:rPr>
                          <w:color w:val="000000"/>
                        </w:rPr>
                        <w:t>Performance</w:t>
                      </w:r>
                      <w:r>
                        <w:rPr>
                          <w:color w:val="000000"/>
                          <w:spacing w:val="-4"/>
                        </w:rPr>
                        <w:t> </w:t>
                      </w:r>
                      <w:r>
                        <w:rPr>
                          <w:color w:val="000000"/>
                        </w:rPr>
                        <w:t>against</w:t>
                      </w:r>
                      <w:r>
                        <w:rPr>
                          <w:color w:val="000000"/>
                          <w:spacing w:val="-5"/>
                        </w:rPr>
                        <w:t> </w:t>
                      </w:r>
                      <w:r>
                        <w:rPr>
                          <w:color w:val="000000"/>
                        </w:rPr>
                        <w:t>this</w:t>
                      </w:r>
                      <w:r>
                        <w:rPr>
                          <w:color w:val="000000"/>
                          <w:spacing w:val="-3"/>
                        </w:rPr>
                        <w:t> </w:t>
                      </w:r>
                      <w:r>
                        <w:rPr>
                          <w:color w:val="000000"/>
                        </w:rPr>
                        <w:t>plan</w:t>
                      </w:r>
                      <w:r>
                        <w:rPr>
                          <w:color w:val="000000"/>
                          <w:spacing w:val="-6"/>
                        </w:rPr>
                        <w:t> </w:t>
                      </w:r>
                      <w:r>
                        <w:rPr>
                          <w:color w:val="000000"/>
                        </w:rPr>
                        <w:t>should</w:t>
                      </w:r>
                      <w:r>
                        <w:rPr>
                          <w:color w:val="000000"/>
                          <w:spacing w:val="-4"/>
                        </w:rPr>
                        <w:t> </w:t>
                      </w:r>
                      <w:r>
                        <w:rPr>
                          <w:color w:val="000000"/>
                        </w:rPr>
                        <w:t>be</w:t>
                      </w:r>
                      <w:r>
                        <w:rPr>
                          <w:color w:val="000000"/>
                          <w:spacing w:val="-6"/>
                        </w:rPr>
                        <w:t> </w:t>
                      </w:r>
                      <w:r>
                        <w:rPr>
                          <w:color w:val="000000"/>
                        </w:rPr>
                        <w:t>reported</w:t>
                      </w:r>
                      <w:r>
                        <w:rPr>
                          <w:color w:val="000000"/>
                          <w:spacing w:val="-4"/>
                        </w:rPr>
                        <w:t> </w:t>
                      </w:r>
                      <w:r>
                        <w:rPr>
                          <w:color w:val="000000"/>
                        </w:rPr>
                        <w:t>publicly,</w:t>
                      </w:r>
                      <w:r>
                        <w:rPr>
                          <w:color w:val="000000"/>
                          <w:spacing w:val="-2"/>
                        </w:rPr>
                        <w:t> </w:t>
                      </w:r>
                      <w:r>
                        <w:rPr>
                          <w:color w:val="000000"/>
                        </w:rPr>
                        <w:t>including</w:t>
                      </w:r>
                      <w:r>
                        <w:rPr>
                          <w:color w:val="000000"/>
                          <w:spacing w:val="-2"/>
                        </w:rPr>
                        <w:t> </w:t>
                      </w:r>
                      <w:r>
                        <w:rPr>
                          <w:color w:val="000000"/>
                        </w:rPr>
                        <w:t>summary information that clearly explains, at a “plain English” level, what ESV has achieved and what more remains to be done to fully deliver its more intensive audit program. This</w:t>
                      </w:r>
                      <w:r>
                        <w:rPr>
                          <w:color w:val="000000"/>
                          <w:spacing w:val="40"/>
                        </w:rPr>
                        <w:t> </w:t>
                      </w:r>
                      <w:r>
                        <w:rPr>
                          <w:color w:val="000000"/>
                        </w:rPr>
                        <w:t>should be supported</w:t>
                      </w:r>
                      <w:r>
                        <w:rPr>
                          <w:color w:val="000000"/>
                          <w:spacing w:val="-2"/>
                        </w:rPr>
                        <w:t> </w:t>
                      </w:r>
                      <w:r>
                        <w:rPr>
                          <w:color w:val="000000"/>
                        </w:rPr>
                        <w:t>by</w:t>
                      </w:r>
                      <w:r>
                        <w:rPr>
                          <w:color w:val="000000"/>
                          <w:spacing w:val="-2"/>
                        </w:rPr>
                        <w:t> </w:t>
                      </w:r>
                      <w:r>
                        <w:rPr>
                          <w:color w:val="000000"/>
                        </w:rPr>
                        <w:t>detailed information on</w:t>
                      </w:r>
                      <w:r>
                        <w:rPr>
                          <w:color w:val="000000"/>
                          <w:spacing w:val="-4"/>
                        </w:rPr>
                        <w:t> </w:t>
                      </w:r>
                      <w:r>
                        <w:rPr>
                          <w:color w:val="000000"/>
                        </w:rPr>
                        <w:t>the audits</w:t>
                      </w:r>
                      <w:r>
                        <w:rPr>
                          <w:color w:val="000000"/>
                          <w:spacing w:val="-2"/>
                        </w:rPr>
                        <w:t> </w:t>
                      </w:r>
                      <w:r>
                        <w:rPr>
                          <w:color w:val="000000"/>
                        </w:rPr>
                        <w:t>conducted</w:t>
                      </w:r>
                      <w:r>
                        <w:rPr>
                          <w:color w:val="000000"/>
                          <w:spacing w:val="-2"/>
                        </w:rPr>
                        <w:t> </w:t>
                      </w:r>
                      <w:r>
                        <w:rPr>
                          <w:color w:val="000000"/>
                        </w:rPr>
                        <w:t>each year, including: the</w:t>
                      </w:r>
                      <w:r>
                        <w:rPr>
                          <w:color w:val="000000"/>
                          <w:spacing w:val="-2"/>
                        </w:rPr>
                        <w:t> </w:t>
                      </w:r>
                      <w:r>
                        <w:rPr>
                          <w:color w:val="000000"/>
                        </w:rPr>
                        <w:t>number</w:t>
                      </w:r>
                      <w:r>
                        <w:rPr>
                          <w:color w:val="000000"/>
                          <w:spacing w:val="-3"/>
                        </w:rPr>
                        <w:t> </w:t>
                      </w:r>
                      <w:r>
                        <w:rPr>
                          <w:color w:val="000000"/>
                        </w:rPr>
                        <w:t>of audits,</w:t>
                      </w:r>
                      <w:r>
                        <w:rPr>
                          <w:color w:val="000000"/>
                          <w:spacing w:val="-3"/>
                        </w:rPr>
                        <w:t> </w:t>
                      </w:r>
                      <w:r>
                        <w:rPr>
                          <w:color w:val="000000"/>
                        </w:rPr>
                        <w:t>the</w:t>
                      </w:r>
                      <w:r>
                        <w:rPr>
                          <w:color w:val="000000"/>
                          <w:spacing w:val="-4"/>
                        </w:rPr>
                        <w:t> </w:t>
                      </w:r>
                      <w:r>
                        <w:rPr>
                          <w:color w:val="000000"/>
                        </w:rPr>
                        <w:t>sites</w:t>
                      </w:r>
                      <w:r>
                        <w:rPr>
                          <w:color w:val="000000"/>
                          <w:spacing w:val="-4"/>
                        </w:rPr>
                        <w:t> </w:t>
                      </w:r>
                      <w:r>
                        <w:rPr>
                          <w:color w:val="000000"/>
                        </w:rPr>
                        <w:t>and</w:t>
                      </w:r>
                      <w:r>
                        <w:rPr>
                          <w:color w:val="000000"/>
                          <w:spacing w:val="-2"/>
                        </w:rPr>
                        <w:t> </w:t>
                      </w:r>
                      <w:r>
                        <w:rPr>
                          <w:color w:val="000000"/>
                        </w:rPr>
                        <w:t>distribution</w:t>
                      </w:r>
                      <w:r>
                        <w:rPr>
                          <w:color w:val="000000"/>
                          <w:spacing w:val="-2"/>
                        </w:rPr>
                        <w:t> </w:t>
                      </w:r>
                      <w:r>
                        <w:rPr>
                          <w:color w:val="000000"/>
                        </w:rPr>
                        <w:t>businesses</w:t>
                      </w:r>
                      <w:r>
                        <w:rPr>
                          <w:color w:val="000000"/>
                          <w:spacing w:val="-2"/>
                        </w:rPr>
                        <w:t> </w:t>
                      </w:r>
                      <w:r>
                        <w:rPr>
                          <w:color w:val="000000"/>
                        </w:rPr>
                        <w:t>covered,</w:t>
                      </w:r>
                      <w:r>
                        <w:rPr>
                          <w:color w:val="000000"/>
                          <w:spacing w:val="-3"/>
                        </w:rPr>
                        <w:t> </w:t>
                      </w:r>
                      <w:r>
                        <w:rPr>
                          <w:color w:val="000000"/>
                        </w:rPr>
                        <w:t>the</w:t>
                      </w:r>
                      <w:r>
                        <w:rPr>
                          <w:color w:val="000000"/>
                          <w:spacing w:val="-7"/>
                        </w:rPr>
                        <w:t> </w:t>
                      </w:r>
                      <w:r>
                        <w:rPr>
                          <w:color w:val="000000"/>
                        </w:rPr>
                        <w:t>focus</w:t>
                      </w:r>
                      <w:r>
                        <w:rPr>
                          <w:color w:val="000000"/>
                          <w:spacing w:val="-2"/>
                        </w:rPr>
                        <w:t> </w:t>
                      </w:r>
                      <w:r>
                        <w:rPr>
                          <w:color w:val="000000"/>
                        </w:rPr>
                        <w:t>of the</w:t>
                      </w:r>
                      <w:r>
                        <w:rPr>
                          <w:color w:val="000000"/>
                          <w:spacing w:val="-2"/>
                        </w:rPr>
                        <w:t> </w:t>
                      </w:r>
                      <w:r>
                        <w:rPr>
                          <w:color w:val="000000"/>
                        </w:rPr>
                        <w:t>audits and the results of those audits. This should build on and extend existing safety performance reporting by ESV.</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21632">
                <wp:simplePos x="0" y="0"/>
                <wp:positionH relativeFrom="page">
                  <wp:posOffset>914704</wp:posOffset>
                </wp:positionH>
                <wp:positionV relativeFrom="paragraph">
                  <wp:posOffset>2751315</wp:posOffset>
                </wp:positionV>
                <wp:extent cx="5732780" cy="1228725"/>
                <wp:effectExtent l="0" t="0" r="0" b="0"/>
                <wp:wrapTopAndBottom/>
                <wp:docPr id="121" name="Textbox 121"/>
                <wp:cNvGraphicFramePr>
                  <a:graphicFrameLocks/>
                </wp:cNvGraphicFramePr>
                <a:graphic>
                  <a:graphicData uri="http://schemas.microsoft.com/office/word/2010/wordprocessingShape">
                    <wps:wsp>
                      <wps:cNvPr id="121" name="Textbox 121"/>
                      <wps:cNvSpPr txBox="1"/>
                      <wps:spPr>
                        <a:xfrm>
                          <a:off x="0" y="0"/>
                          <a:ext cx="5732780" cy="1228725"/>
                        </a:xfrm>
                        <a:prstGeom prst="rect">
                          <a:avLst/>
                        </a:prstGeom>
                        <a:solidFill>
                          <a:srgbClr val="D9D9D9"/>
                        </a:solidFill>
                      </wps:spPr>
                      <wps:txbx>
                        <w:txbxContent>
                          <w:p>
                            <w:pPr>
                              <w:pStyle w:val="BodyText"/>
                              <w:spacing w:before="9"/>
                              <w:rPr>
                                <w:color w:val="000000"/>
                                <w:sz w:val="20"/>
                              </w:rPr>
                            </w:pPr>
                          </w:p>
                          <w:p>
                            <w:pPr>
                              <w:spacing w:before="1"/>
                              <w:ind w:left="112" w:right="0" w:firstLine="0"/>
                              <w:jc w:val="left"/>
                              <w:rPr>
                                <w:b/>
                                <w:color w:val="000000"/>
                                <w:sz w:val="22"/>
                              </w:rPr>
                            </w:pPr>
                            <w:r>
                              <w:rPr>
                                <w:b/>
                                <w:color w:val="000000"/>
                                <w:sz w:val="22"/>
                              </w:rPr>
                              <w:t>Recommendation</w:t>
                            </w:r>
                            <w:r>
                              <w:rPr>
                                <w:b/>
                                <w:color w:val="000000"/>
                                <w:spacing w:val="-7"/>
                                <w:sz w:val="22"/>
                              </w:rPr>
                              <w:t> </w:t>
                            </w:r>
                            <w:r>
                              <w:rPr>
                                <w:b/>
                                <w:color w:val="000000"/>
                                <w:spacing w:val="-10"/>
                                <w:sz w:val="22"/>
                              </w:rPr>
                              <w:t>7</w:t>
                            </w:r>
                          </w:p>
                          <w:p>
                            <w:pPr>
                              <w:pStyle w:val="BodyText"/>
                              <w:spacing w:before="4"/>
                              <w:rPr>
                                <w:b/>
                                <w:color w:val="000000"/>
                                <w:sz w:val="25"/>
                              </w:rPr>
                            </w:pPr>
                          </w:p>
                          <w:p>
                            <w:pPr>
                              <w:pStyle w:val="BodyText"/>
                              <w:spacing w:line="288" w:lineRule="auto"/>
                              <w:ind w:left="112" w:right="205"/>
                              <w:rPr>
                                <w:color w:val="000000"/>
                              </w:rPr>
                            </w:pPr>
                            <w:r>
                              <w:rPr>
                                <w:color w:val="000000"/>
                              </w:rPr>
                              <w:t>ESV</w:t>
                            </w:r>
                            <w:r>
                              <w:rPr>
                                <w:color w:val="000000"/>
                                <w:spacing w:val="-3"/>
                              </w:rPr>
                              <w:t> </w:t>
                            </w:r>
                            <w:r>
                              <w:rPr>
                                <w:color w:val="000000"/>
                              </w:rPr>
                              <w:t>should</w:t>
                            </w:r>
                            <w:r>
                              <w:rPr>
                                <w:color w:val="000000"/>
                                <w:spacing w:val="-3"/>
                              </w:rPr>
                              <w:t> </w:t>
                            </w:r>
                            <w:r>
                              <w:rPr>
                                <w:color w:val="000000"/>
                              </w:rPr>
                              <w:t>conduct</w:t>
                            </w:r>
                            <w:r>
                              <w:rPr>
                                <w:color w:val="000000"/>
                                <w:spacing w:val="-4"/>
                              </w:rPr>
                              <w:t> </w:t>
                            </w:r>
                            <w:r>
                              <w:rPr>
                                <w:color w:val="000000"/>
                              </w:rPr>
                              <w:t>an</w:t>
                            </w:r>
                            <w:r>
                              <w:rPr>
                                <w:color w:val="000000"/>
                                <w:spacing w:val="-3"/>
                              </w:rPr>
                              <w:t> </w:t>
                            </w:r>
                            <w:r>
                              <w:rPr>
                                <w:color w:val="000000"/>
                              </w:rPr>
                              <w:t>internal</w:t>
                            </w:r>
                            <w:r>
                              <w:rPr>
                                <w:color w:val="000000"/>
                                <w:spacing w:val="-5"/>
                              </w:rPr>
                              <w:t> </w:t>
                            </w:r>
                            <w:r>
                              <w:rPr>
                                <w:color w:val="000000"/>
                              </w:rPr>
                              <w:t>review</w:t>
                            </w:r>
                            <w:r>
                              <w:rPr>
                                <w:color w:val="000000"/>
                                <w:spacing w:val="-5"/>
                              </w:rPr>
                              <w:t> </w:t>
                            </w:r>
                            <w:r>
                              <w:rPr>
                                <w:color w:val="000000"/>
                              </w:rPr>
                              <w:t>of</w:t>
                            </w:r>
                            <w:r>
                              <w:rPr>
                                <w:color w:val="000000"/>
                                <w:spacing w:val="-2"/>
                              </w:rPr>
                              <w:t> </w:t>
                            </w:r>
                            <w:r>
                              <w:rPr>
                                <w:color w:val="000000"/>
                              </w:rPr>
                              <w:t>its</w:t>
                            </w:r>
                            <w:r>
                              <w:rPr>
                                <w:color w:val="000000"/>
                                <w:spacing w:val="-5"/>
                              </w:rPr>
                              <w:t> </w:t>
                            </w:r>
                            <w:r>
                              <w:rPr>
                                <w:color w:val="000000"/>
                              </w:rPr>
                              <w:t>expanded</w:t>
                            </w:r>
                            <w:r>
                              <w:rPr>
                                <w:color w:val="000000"/>
                                <w:spacing w:val="-3"/>
                              </w:rPr>
                              <w:t> </w:t>
                            </w:r>
                            <w:r>
                              <w:rPr>
                                <w:color w:val="000000"/>
                              </w:rPr>
                              <w:t>audit</w:t>
                            </w:r>
                            <w:r>
                              <w:rPr>
                                <w:color w:val="000000"/>
                                <w:spacing w:val="-1"/>
                              </w:rPr>
                              <w:t> </w:t>
                            </w:r>
                            <w:r>
                              <w:rPr>
                                <w:color w:val="000000"/>
                              </w:rPr>
                              <w:t>and</w:t>
                            </w:r>
                            <w:r>
                              <w:rPr>
                                <w:color w:val="000000"/>
                                <w:spacing w:val="-5"/>
                              </w:rPr>
                              <w:t> </w:t>
                            </w:r>
                            <w:r>
                              <w:rPr>
                                <w:color w:val="000000"/>
                              </w:rPr>
                              <w:t>inspections</w:t>
                            </w:r>
                            <w:r>
                              <w:rPr>
                                <w:color w:val="000000"/>
                                <w:spacing w:val="-3"/>
                              </w:rPr>
                              <w:t> </w:t>
                            </w:r>
                            <w:r>
                              <w:rPr>
                                <w:color w:val="000000"/>
                              </w:rPr>
                              <w:t>program</w:t>
                            </w:r>
                            <w:r>
                              <w:rPr>
                                <w:color w:val="000000"/>
                                <w:spacing w:val="-4"/>
                              </w:rPr>
                              <w:t> </w:t>
                            </w:r>
                            <w:r>
                              <w:rPr>
                                <w:color w:val="000000"/>
                              </w:rPr>
                              <w:t>in 2020 to determine whether a further change in the resourcing of these functions is </w:t>
                            </w:r>
                            <w:r>
                              <w:rPr>
                                <w:color w:val="000000"/>
                                <w:spacing w:val="-2"/>
                              </w:rPr>
                              <w:t>required.</w:t>
                            </w:r>
                          </w:p>
                        </w:txbxContent>
                      </wps:txbx>
                      <wps:bodyPr wrap="square" lIns="0" tIns="0" rIns="0" bIns="0" rtlCol="0">
                        <a:noAutofit/>
                      </wps:bodyPr>
                    </wps:wsp>
                  </a:graphicData>
                </a:graphic>
              </wp:anchor>
            </w:drawing>
          </mc:Choice>
          <mc:Fallback>
            <w:pict>
              <v:shape style="position:absolute;margin-left:72.024002pt;margin-top:216.639023pt;width:451.4pt;height:96.75pt;mso-position-horizontal-relative:page;mso-position-vertical-relative:paragraph;z-index:-15694848;mso-wrap-distance-left:0;mso-wrap-distance-right:0" type="#_x0000_t202" id="docshape105" filled="true" fillcolor="#d9d9d9" stroked="false">
                <v:textbox inset="0,0,0,0">
                  <w:txbxContent>
                    <w:p>
                      <w:pPr>
                        <w:pStyle w:val="BodyText"/>
                        <w:spacing w:before="9"/>
                        <w:rPr>
                          <w:color w:val="000000"/>
                          <w:sz w:val="20"/>
                        </w:rPr>
                      </w:pPr>
                    </w:p>
                    <w:p>
                      <w:pPr>
                        <w:spacing w:before="1"/>
                        <w:ind w:left="112" w:right="0" w:firstLine="0"/>
                        <w:jc w:val="left"/>
                        <w:rPr>
                          <w:b/>
                          <w:color w:val="000000"/>
                          <w:sz w:val="22"/>
                        </w:rPr>
                      </w:pPr>
                      <w:r>
                        <w:rPr>
                          <w:b/>
                          <w:color w:val="000000"/>
                          <w:sz w:val="22"/>
                        </w:rPr>
                        <w:t>Recommendation</w:t>
                      </w:r>
                      <w:r>
                        <w:rPr>
                          <w:b/>
                          <w:color w:val="000000"/>
                          <w:spacing w:val="-7"/>
                          <w:sz w:val="22"/>
                        </w:rPr>
                        <w:t> </w:t>
                      </w:r>
                      <w:r>
                        <w:rPr>
                          <w:b/>
                          <w:color w:val="000000"/>
                          <w:spacing w:val="-10"/>
                          <w:sz w:val="22"/>
                        </w:rPr>
                        <w:t>7</w:t>
                      </w:r>
                    </w:p>
                    <w:p>
                      <w:pPr>
                        <w:pStyle w:val="BodyText"/>
                        <w:spacing w:before="4"/>
                        <w:rPr>
                          <w:b/>
                          <w:color w:val="000000"/>
                          <w:sz w:val="25"/>
                        </w:rPr>
                      </w:pPr>
                    </w:p>
                    <w:p>
                      <w:pPr>
                        <w:pStyle w:val="BodyText"/>
                        <w:spacing w:line="288" w:lineRule="auto"/>
                        <w:ind w:left="112" w:right="205"/>
                        <w:rPr>
                          <w:color w:val="000000"/>
                        </w:rPr>
                      </w:pPr>
                      <w:r>
                        <w:rPr>
                          <w:color w:val="000000"/>
                        </w:rPr>
                        <w:t>ESV</w:t>
                      </w:r>
                      <w:r>
                        <w:rPr>
                          <w:color w:val="000000"/>
                          <w:spacing w:val="-3"/>
                        </w:rPr>
                        <w:t> </w:t>
                      </w:r>
                      <w:r>
                        <w:rPr>
                          <w:color w:val="000000"/>
                        </w:rPr>
                        <w:t>should</w:t>
                      </w:r>
                      <w:r>
                        <w:rPr>
                          <w:color w:val="000000"/>
                          <w:spacing w:val="-3"/>
                        </w:rPr>
                        <w:t> </w:t>
                      </w:r>
                      <w:r>
                        <w:rPr>
                          <w:color w:val="000000"/>
                        </w:rPr>
                        <w:t>conduct</w:t>
                      </w:r>
                      <w:r>
                        <w:rPr>
                          <w:color w:val="000000"/>
                          <w:spacing w:val="-4"/>
                        </w:rPr>
                        <w:t> </w:t>
                      </w:r>
                      <w:r>
                        <w:rPr>
                          <w:color w:val="000000"/>
                        </w:rPr>
                        <w:t>an</w:t>
                      </w:r>
                      <w:r>
                        <w:rPr>
                          <w:color w:val="000000"/>
                          <w:spacing w:val="-3"/>
                        </w:rPr>
                        <w:t> </w:t>
                      </w:r>
                      <w:r>
                        <w:rPr>
                          <w:color w:val="000000"/>
                        </w:rPr>
                        <w:t>internal</w:t>
                      </w:r>
                      <w:r>
                        <w:rPr>
                          <w:color w:val="000000"/>
                          <w:spacing w:val="-5"/>
                        </w:rPr>
                        <w:t> </w:t>
                      </w:r>
                      <w:r>
                        <w:rPr>
                          <w:color w:val="000000"/>
                        </w:rPr>
                        <w:t>review</w:t>
                      </w:r>
                      <w:r>
                        <w:rPr>
                          <w:color w:val="000000"/>
                          <w:spacing w:val="-5"/>
                        </w:rPr>
                        <w:t> </w:t>
                      </w:r>
                      <w:r>
                        <w:rPr>
                          <w:color w:val="000000"/>
                        </w:rPr>
                        <w:t>of</w:t>
                      </w:r>
                      <w:r>
                        <w:rPr>
                          <w:color w:val="000000"/>
                          <w:spacing w:val="-2"/>
                        </w:rPr>
                        <w:t> </w:t>
                      </w:r>
                      <w:r>
                        <w:rPr>
                          <w:color w:val="000000"/>
                        </w:rPr>
                        <w:t>its</w:t>
                      </w:r>
                      <w:r>
                        <w:rPr>
                          <w:color w:val="000000"/>
                          <w:spacing w:val="-5"/>
                        </w:rPr>
                        <w:t> </w:t>
                      </w:r>
                      <w:r>
                        <w:rPr>
                          <w:color w:val="000000"/>
                        </w:rPr>
                        <w:t>expanded</w:t>
                      </w:r>
                      <w:r>
                        <w:rPr>
                          <w:color w:val="000000"/>
                          <w:spacing w:val="-3"/>
                        </w:rPr>
                        <w:t> </w:t>
                      </w:r>
                      <w:r>
                        <w:rPr>
                          <w:color w:val="000000"/>
                        </w:rPr>
                        <w:t>audit</w:t>
                      </w:r>
                      <w:r>
                        <w:rPr>
                          <w:color w:val="000000"/>
                          <w:spacing w:val="-1"/>
                        </w:rPr>
                        <w:t> </w:t>
                      </w:r>
                      <w:r>
                        <w:rPr>
                          <w:color w:val="000000"/>
                        </w:rPr>
                        <w:t>and</w:t>
                      </w:r>
                      <w:r>
                        <w:rPr>
                          <w:color w:val="000000"/>
                          <w:spacing w:val="-5"/>
                        </w:rPr>
                        <w:t> </w:t>
                      </w:r>
                      <w:r>
                        <w:rPr>
                          <w:color w:val="000000"/>
                        </w:rPr>
                        <w:t>inspections</w:t>
                      </w:r>
                      <w:r>
                        <w:rPr>
                          <w:color w:val="000000"/>
                          <w:spacing w:val="-3"/>
                        </w:rPr>
                        <w:t> </w:t>
                      </w:r>
                      <w:r>
                        <w:rPr>
                          <w:color w:val="000000"/>
                        </w:rPr>
                        <w:t>program</w:t>
                      </w:r>
                      <w:r>
                        <w:rPr>
                          <w:color w:val="000000"/>
                          <w:spacing w:val="-4"/>
                        </w:rPr>
                        <w:t> </w:t>
                      </w:r>
                      <w:r>
                        <w:rPr>
                          <w:color w:val="000000"/>
                        </w:rPr>
                        <w:t>in 2020 to determine whether a further change in the resourcing of these functions is </w:t>
                      </w:r>
                      <w:r>
                        <w:rPr>
                          <w:color w:val="000000"/>
                          <w:spacing w:val="-2"/>
                        </w:rPr>
                        <w:t>required.</w:t>
                      </w:r>
                    </w:p>
                  </w:txbxContent>
                </v:textbox>
                <v:fill type="solid"/>
                <w10:wrap type="topAndBottom"/>
              </v:shape>
            </w:pict>
          </mc:Fallback>
        </mc:AlternateContent>
      </w:r>
    </w:p>
    <w:p>
      <w:pPr>
        <w:pStyle w:val="BodyText"/>
        <w:spacing w:before="4"/>
        <w:rPr>
          <w:sz w:val="27"/>
        </w:rPr>
      </w:pPr>
    </w:p>
    <w:p>
      <w:pPr>
        <w:pStyle w:val="BodyText"/>
        <w:spacing w:before="4"/>
        <w:rPr>
          <w:sz w:val="18"/>
        </w:rPr>
      </w:pPr>
    </w:p>
    <w:p>
      <w:pPr>
        <w:pStyle w:val="BodyText"/>
        <w:spacing w:line="288" w:lineRule="auto" w:before="94"/>
        <w:ind w:left="600" w:right="647"/>
      </w:pPr>
      <w:r>
        <w:rPr/>
        <w:t>As</w:t>
      </w:r>
      <w:r>
        <w:rPr>
          <w:spacing w:val="-1"/>
        </w:rPr>
        <w:t> </w:t>
      </w:r>
      <w:r>
        <w:rPr/>
        <w:t>noted</w:t>
      </w:r>
      <w:r>
        <w:rPr>
          <w:spacing w:val="-4"/>
        </w:rPr>
        <w:t> </w:t>
      </w:r>
      <w:r>
        <w:rPr/>
        <w:t>earlier,</w:t>
      </w:r>
      <w:r>
        <w:rPr>
          <w:spacing w:val="-2"/>
        </w:rPr>
        <w:t> </w:t>
      </w:r>
      <w:r>
        <w:rPr/>
        <w:t>auditing</w:t>
      </w:r>
      <w:r>
        <w:rPr>
          <w:spacing w:val="-2"/>
        </w:rPr>
        <w:t> </w:t>
      </w:r>
      <w:r>
        <w:rPr/>
        <w:t>electricity</w:t>
      </w:r>
      <w:r>
        <w:rPr>
          <w:spacing w:val="-4"/>
        </w:rPr>
        <w:t> </w:t>
      </w:r>
      <w:r>
        <w:rPr/>
        <w:t>and</w:t>
      </w:r>
      <w:r>
        <w:rPr>
          <w:spacing w:val="-6"/>
        </w:rPr>
        <w:t> </w:t>
      </w:r>
      <w:r>
        <w:rPr/>
        <w:t>gas</w:t>
      </w:r>
      <w:r>
        <w:rPr>
          <w:spacing w:val="-2"/>
        </w:rPr>
        <w:t> </w:t>
      </w:r>
      <w:r>
        <w:rPr/>
        <w:t>networks</w:t>
      </w:r>
      <w:r>
        <w:rPr>
          <w:spacing w:val="-4"/>
        </w:rPr>
        <w:t> </w:t>
      </w:r>
      <w:r>
        <w:rPr/>
        <w:t>for</w:t>
      </w:r>
      <w:r>
        <w:rPr>
          <w:spacing w:val="-3"/>
        </w:rPr>
        <w:t> </w:t>
      </w:r>
      <w:r>
        <w:rPr/>
        <w:t>compliance</w:t>
      </w:r>
      <w:r>
        <w:rPr>
          <w:spacing w:val="-2"/>
        </w:rPr>
        <w:t> </w:t>
      </w:r>
      <w:r>
        <w:rPr/>
        <w:t>is</w:t>
      </w:r>
      <w:r>
        <w:rPr>
          <w:spacing w:val="-2"/>
        </w:rPr>
        <w:t> </w:t>
      </w:r>
      <w:r>
        <w:rPr/>
        <w:t>primarily</w:t>
      </w:r>
      <w:r>
        <w:rPr>
          <w:spacing w:val="-4"/>
        </w:rPr>
        <w:t> </w:t>
      </w:r>
      <w:r>
        <w:rPr/>
        <w:t>undertaken by ESV staff. However, ESV draws on external auditors to augment its inhouse resources. As a general principle, the Review considers that ESV should favour the use of inhouse resources and minimise its reliance on external auditors as far as possible.</w:t>
      </w:r>
    </w:p>
    <w:p>
      <w:pPr>
        <w:spacing w:after="0" w:line="288" w:lineRule="auto"/>
        <w:sectPr>
          <w:pgSz w:w="11910" w:h="16840"/>
          <w:pgMar w:header="887" w:footer="1228" w:top="1080" w:bottom="1500" w:left="840" w:right="820"/>
        </w:sectPr>
      </w:pPr>
    </w:p>
    <w:p>
      <w:pPr>
        <w:pStyle w:val="BodyText"/>
        <w:rPr>
          <w:sz w:val="20"/>
        </w:rPr>
      </w:pPr>
    </w:p>
    <w:p>
      <w:pPr>
        <w:pStyle w:val="BodyText"/>
        <w:rPr>
          <w:sz w:val="20"/>
        </w:rPr>
      </w:pPr>
    </w:p>
    <w:p>
      <w:pPr>
        <w:pStyle w:val="BodyText"/>
        <w:spacing w:before="5"/>
      </w:pPr>
    </w:p>
    <w:p>
      <w:pPr>
        <w:pStyle w:val="BodyText"/>
        <w:spacing w:line="288" w:lineRule="auto"/>
        <w:ind w:left="600" w:right="629"/>
      </w:pPr>
      <w:r>
        <w:rPr/>
        <w:t>A</w:t>
      </w:r>
      <w:r>
        <w:rPr>
          <w:spacing w:val="-3"/>
        </w:rPr>
        <w:t> </w:t>
      </w:r>
      <w:r>
        <w:rPr/>
        <w:t>larger</w:t>
      </w:r>
      <w:r>
        <w:rPr>
          <w:spacing w:val="-4"/>
        </w:rPr>
        <w:t> </w:t>
      </w:r>
      <w:r>
        <w:rPr/>
        <w:t>pool</w:t>
      </w:r>
      <w:r>
        <w:rPr>
          <w:spacing w:val="-4"/>
        </w:rPr>
        <w:t> </w:t>
      </w:r>
      <w:r>
        <w:rPr/>
        <w:t>of inhouse</w:t>
      </w:r>
      <w:r>
        <w:rPr>
          <w:spacing w:val="-5"/>
        </w:rPr>
        <w:t> </w:t>
      </w:r>
      <w:r>
        <w:rPr/>
        <w:t>auditors</w:t>
      </w:r>
      <w:r>
        <w:rPr>
          <w:spacing w:val="-2"/>
        </w:rPr>
        <w:t> </w:t>
      </w:r>
      <w:r>
        <w:rPr/>
        <w:t>would</w:t>
      </w:r>
      <w:r>
        <w:rPr>
          <w:spacing w:val="-3"/>
        </w:rPr>
        <w:t> </w:t>
      </w:r>
      <w:r>
        <w:rPr/>
        <w:t>contribute</w:t>
      </w:r>
      <w:r>
        <w:rPr>
          <w:spacing w:val="-5"/>
        </w:rPr>
        <w:t> </w:t>
      </w:r>
      <w:r>
        <w:rPr/>
        <w:t>to</w:t>
      </w:r>
      <w:r>
        <w:rPr>
          <w:spacing w:val="-5"/>
        </w:rPr>
        <w:t> </w:t>
      </w:r>
      <w:r>
        <w:rPr/>
        <w:t>building</w:t>
      </w:r>
      <w:r>
        <w:rPr>
          <w:spacing w:val="-3"/>
        </w:rPr>
        <w:t> </w:t>
      </w:r>
      <w:r>
        <w:rPr/>
        <w:t>the</w:t>
      </w:r>
      <w:r>
        <w:rPr>
          <w:spacing w:val="-3"/>
        </w:rPr>
        <w:t> </w:t>
      </w:r>
      <w:r>
        <w:rPr/>
        <w:t>depth</w:t>
      </w:r>
      <w:r>
        <w:rPr>
          <w:spacing w:val="-3"/>
        </w:rPr>
        <w:t> </w:t>
      </w:r>
      <w:r>
        <w:rPr/>
        <w:t>of</w:t>
      </w:r>
      <w:r>
        <w:rPr>
          <w:spacing w:val="-4"/>
        </w:rPr>
        <w:t> </w:t>
      </w:r>
      <w:r>
        <w:rPr/>
        <w:t>ESV’s capabilities. It would facilitate better intelligence and feedback into safety and regulatory performance, and contribute to higher overall standards. It would also reduce the potential for conflicts of interest arising from energy network businesses engaging the same third party auditors as </w:t>
      </w:r>
      <w:r>
        <w:rPr>
          <w:spacing w:val="-4"/>
        </w:rPr>
        <w:t>ESV.</w:t>
      </w:r>
    </w:p>
    <w:p>
      <w:pPr>
        <w:pStyle w:val="BodyText"/>
        <w:spacing w:before="11"/>
        <w:rPr>
          <w:sz w:val="20"/>
        </w:rPr>
      </w:pPr>
    </w:p>
    <w:p>
      <w:pPr>
        <w:pStyle w:val="BodyText"/>
        <w:spacing w:line="288" w:lineRule="auto"/>
        <w:ind w:left="600" w:right="713"/>
      </w:pPr>
      <w:r>
        <w:rPr/>
        <w:t>Several submissions responding to the Review’s Interim Report questioned the proposed increase in ESV’s resourcing for auditing and inspections, and advocated that ESV should focus instead on increasing its effectiveness, including adopting a greater risk-based approach. The Review considers that ESV should strive to be as efficient as possible and that</w:t>
      </w:r>
      <w:r>
        <w:rPr>
          <w:spacing w:val="-3"/>
        </w:rPr>
        <w:t> </w:t>
      </w:r>
      <w:r>
        <w:rPr/>
        <w:t>it should</w:t>
      </w:r>
      <w:r>
        <w:rPr>
          <w:spacing w:val="-2"/>
        </w:rPr>
        <w:t> </w:t>
      </w:r>
      <w:r>
        <w:rPr/>
        <w:t>adopt</w:t>
      </w:r>
      <w:r>
        <w:rPr>
          <w:spacing w:val="-3"/>
        </w:rPr>
        <w:t> </w:t>
      </w:r>
      <w:r>
        <w:rPr/>
        <w:t>a</w:t>
      </w:r>
      <w:r>
        <w:rPr>
          <w:spacing w:val="-4"/>
        </w:rPr>
        <w:t> </w:t>
      </w:r>
      <w:r>
        <w:rPr/>
        <w:t>risk-based</w:t>
      </w:r>
      <w:r>
        <w:rPr>
          <w:spacing w:val="-2"/>
        </w:rPr>
        <w:t> </w:t>
      </w:r>
      <w:r>
        <w:rPr/>
        <w:t>approach.</w:t>
      </w:r>
      <w:r>
        <w:rPr>
          <w:spacing w:val="-3"/>
        </w:rPr>
        <w:t> </w:t>
      </w:r>
      <w:r>
        <w:rPr/>
        <w:t>However,</w:t>
      </w:r>
      <w:r>
        <w:rPr>
          <w:spacing w:val="-3"/>
        </w:rPr>
        <w:t> </w:t>
      </w:r>
      <w:r>
        <w:rPr/>
        <w:t>the</w:t>
      </w:r>
      <w:r>
        <w:rPr>
          <w:spacing w:val="-4"/>
        </w:rPr>
        <w:t> </w:t>
      </w:r>
      <w:r>
        <w:rPr/>
        <w:t>Review</w:t>
      </w:r>
      <w:r>
        <w:rPr>
          <w:spacing w:val="-5"/>
        </w:rPr>
        <w:t> </w:t>
      </w:r>
      <w:r>
        <w:rPr/>
        <w:t>has</w:t>
      </w:r>
      <w:r>
        <w:rPr>
          <w:spacing w:val="-1"/>
        </w:rPr>
        <w:t> </w:t>
      </w:r>
      <w:r>
        <w:rPr/>
        <w:t>not accepted</w:t>
      </w:r>
      <w:r>
        <w:rPr>
          <w:spacing w:val="-4"/>
        </w:rPr>
        <w:t> </w:t>
      </w:r>
      <w:r>
        <w:rPr/>
        <w:t>the</w:t>
      </w:r>
      <w:r>
        <w:rPr>
          <w:spacing w:val="-4"/>
        </w:rPr>
        <w:t> </w:t>
      </w:r>
      <w:r>
        <w:rPr/>
        <w:t>view that auditing resources should not be increased at this time.</w:t>
      </w:r>
    </w:p>
    <w:p>
      <w:pPr>
        <w:pStyle w:val="BodyText"/>
        <w:spacing w:before="4"/>
        <w:rPr>
          <w:sz w:val="31"/>
        </w:rPr>
      </w:pPr>
    </w:p>
    <w:p>
      <w:pPr>
        <w:pStyle w:val="Heading4"/>
        <w:spacing w:line="288" w:lineRule="auto" w:before="0"/>
        <w:ind w:left="600"/>
      </w:pPr>
      <w:r>
        <w:rPr>
          <w:color w:val="585858"/>
        </w:rPr>
        <w:t>Building</w:t>
      </w:r>
      <w:r>
        <w:rPr>
          <w:color w:val="585858"/>
          <w:spacing w:val="-9"/>
        </w:rPr>
        <w:t> </w:t>
      </w:r>
      <w:r>
        <w:rPr>
          <w:color w:val="585858"/>
        </w:rPr>
        <w:t>stronger</w:t>
      </w:r>
      <w:r>
        <w:rPr>
          <w:color w:val="585858"/>
          <w:spacing w:val="-8"/>
        </w:rPr>
        <w:t> </w:t>
      </w:r>
      <w:r>
        <w:rPr>
          <w:color w:val="585858"/>
        </w:rPr>
        <w:t>analytical</w:t>
      </w:r>
      <w:r>
        <w:rPr>
          <w:color w:val="585858"/>
          <w:spacing w:val="-8"/>
        </w:rPr>
        <w:t> </w:t>
      </w:r>
      <w:r>
        <w:rPr>
          <w:color w:val="585858"/>
        </w:rPr>
        <w:t>and</w:t>
      </w:r>
      <w:r>
        <w:rPr>
          <w:color w:val="585858"/>
          <w:spacing w:val="-8"/>
        </w:rPr>
        <w:t> </w:t>
      </w:r>
      <w:r>
        <w:rPr>
          <w:color w:val="585858"/>
        </w:rPr>
        <w:t>strategic</w:t>
      </w:r>
      <w:r>
        <w:rPr>
          <w:color w:val="585858"/>
          <w:spacing w:val="-5"/>
        </w:rPr>
        <w:t> </w:t>
      </w:r>
      <w:r>
        <w:rPr>
          <w:color w:val="585858"/>
        </w:rPr>
        <w:t>foundations</w:t>
      </w:r>
      <w:r>
        <w:rPr>
          <w:color w:val="585858"/>
          <w:spacing w:val="-5"/>
        </w:rPr>
        <w:t> </w:t>
      </w:r>
      <w:r>
        <w:rPr>
          <w:color w:val="585858"/>
        </w:rPr>
        <w:t>for compliance and enforcement</w:t>
      </w:r>
    </w:p>
    <w:p>
      <w:pPr>
        <w:pStyle w:val="BodyText"/>
        <w:spacing w:line="288" w:lineRule="auto" w:before="241"/>
        <w:ind w:left="600" w:right="586"/>
      </w:pPr>
      <w:r>
        <w:rPr/>
        <w:t>An</w:t>
      </w:r>
      <w:r>
        <w:rPr>
          <w:spacing w:val="-3"/>
        </w:rPr>
        <w:t> </w:t>
      </w:r>
      <w:r>
        <w:rPr/>
        <w:t>increase</w:t>
      </w:r>
      <w:r>
        <w:rPr>
          <w:spacing w:val="-3"/>
        </w:rPr>
        <w:t> </w:t>
      </w:r>
      <w:r>
        <w:rPr/>
        <w:t>in</w:t>
      </w:r>
      <w:r>
        <w:rPr>
          <w:spacing w:val="-5"/>
        </w:rPr>
        <w:t> </w:t>
      </w:r>
      <w:r>
        <w:rPr/>
        <w:t>ESV’s</w:t>
      </w:r>
      <w:r>
        <w:rPr>
          <w:spacing w:val="-2"/>
        </w:rPr>
        <w:t> </w:t>
      </w:r>
      <w:r>
        <w:rPr/>
        <w:t>auditing</w:t>
      </w:r>
      <w:r>
        <w:rPr>
          <w:spacing w:val="-1"/>
        </w:rPr>
        <w:t> </w:t>
      </w:r>
      <w:r>
        <w:rPr/>
        <w:t>and</w:t>
      </w:r>
      <w:r>
        <w:rPr>
          <w:spacing w:val="-5"/>
        </w:rPr>
        <w:t> </w:t>
      </w:r>
      <w:r>
        <w:rPr/>
        <w:t>inspections</w:t>
      </w:r>
      <w:r>
        <w:rPr>
          <w:spacing w:val="-5"/>
        </w:rPr>
        <w:t> </w:t>
      </w:r>
      <w:r>
        <w:rPr/>
        <w:t>activity</w:t>
      </w:r>
      <w:r>
        <w:rPr>
          <w:spacing w:val="-5"/>
        </w:rPr>
        <w:t> </w:t>
      </w:r>
      <w:r>
        <w:rPr/>
        <w:t>may</w:t>
      </w:r>
      <w:r>
        <w:rPr>
          <w:spacing w:val="-5"/>
        </w:rPr>
        <w:t> </w:t>
      </w:r>
      <w:r>
        <w:rPr/>
        <w:t>be</w:t>
      </w:r>
      <w:r>
        <w:rPr>
          <w:spacing w:val="-3"/>
        </w:rPr>
        <w:t> </w:t>
      </w:r>
      <w:r>
        <w:rPr/>
        <w:t>judged</w:t>
      </w:r>
      <w:r>
        <w:rPr>
          <w:spacing w:val="-3"/>
        </w:rPr>
        <w:t> </w:t>
      </w:r>
      <w:r>
        <w:rPr/>
        <w:t>necessary</w:t>
      </w:r>
      <w:r>
        <w:rPr>
          <w:spacing w:val="-5"/>
        </w:rPr>
        <w:t> </w:t>
      </w:r>
      <w:r>
        <w:rPr/>
        <w:t>to</w:t>
      </w:r>
      <w:r>
        <w:rPr>
          <w:spacing w:val="-5"/>
        </w:rPr>
        <w:t> </w:t>
      </w:r>
      <w:r>
        <w:rPr/>
        <w:t>achieve more effective safety regulation. However, an increase in auditing and inspections is not sufficient by itself.</w:t>
      </w:r>
    </w:p>
    <w:p>
      <w:pPr>
        <w:pStyle w:val="BodyText"/>
        <w:spacing w:before="8"/>
        <w:rPr>
          <w:sz w:val="20"/>
        </w:rPr>
      </w:pPr>
    </w:p>
    <w:p>
      <w:pPr>
        <w:pStyle w:val="BodyText"/>
        <w:spacing w:line="288" w:lineRule="auto"/>
        <w:ind w:left="600" w:right="586"/>
      </w:pPr>
      <w:r>
        <w:rPr/>
        <w:t>Just</w:t>
      </w:r>
      <w:r>
        <w:rPr>
          <w:spacing w:val="-2"/>
        </w:rPr>
        <w:t> </w:t>
      </w:r>
      <w:r>
        <w:rPr/>
        <w:t>as</w:t>
      </w:r>
      <w:r>
        <w:rPr>
          <w:spacing w:val="-2"/>
        </w:rPr>
        <w:t> </w:t>
      </w:r>
      <w:r>
        <w:rPr/>
        <w:t>important</w:t>
      </w:r>
      <w:r>
        <w:rPr>
          <w:spacing w:val="-3"/>
        </w:rPr>
        <w:t> </w:t>
      </w:r>
      <w:r>
        <w:rPr/>
        <w:t>is</w:t>
      </w:r>
      <w:r>
        <w:rPr>
          <w:spacing w:val="-2"/>
        </w:rPr>
        <w:t> </w:t>
      </w:r>
      <w:r>
        <w:rPr/>
        <w:t>boosting</w:t>
      </w:r>
      <w:r>
        <w:rPr>
          <w:spacing w:val="-2"/>
        </w:rPr>
        <w:t> </w:t>
      </w:r>
      <w:r>
        <w:rPr/>
        <w:t>the</w:t>
      </w:r>
      <w:r>
        <w:rPr>
          <w:spacing w:val="-5"/>
        </w:rPr>
        <w:t> </w:t>
      </w:r>
      <w:r>
        <w:rPr/>
        <w:t>analytical</w:t>
      </w:r>
      <w:r>
        <w:rPr>
          <w:spacing w:val="-4"/>
        </w:rPr>
        <w:t> </w:t>
      </w:r>
      <w:r>
        <w:rPr/>
        <w:t>capabilities</w:t>
      </w:r>
      <w:r>
        <w:rPr>
          <w:spacing w:val="-3"/>
        </w:rPr>
        <w:t> </w:t>
      </w:r>
      <w:r>
        <w:rPr/>
        <w:t>that</w:t>
      </w:r>
      <w:r>
        <w:rPr>
          <w:spacing w:val="-4"/>
        </w:rPr>
        <w:t> </w:t>
      </w:r>
      <w:r>
        <w:rPr/>
        <w:t>support</w:t>
      </w:r>
      <w:r>
        <w:rPr>
          <w:spacing w:val="-4"/>
        </w:rPr>
        <w:t> </w:t>
      </w:r>
      <w:r>
        <w:rPr/>
        <w:t>ESV’s</w:t>
      </w:r>
      <w:r>
        <w:rPr>
          <w:spacing w:val="-2"/>
        </w:rPr>
        <w:t> </w:t>
      </w:r>
      <w:r>
        <w:rPr/>
        <w:t>compliance</w:t>
      </w:r>
      <w:r>
        <w:rPr>
          <w:spacing w:val="-3"/>
        </w:rPr>
        <w:t> </w:t>
      </w:r>
      <w:r>
        <w:rPr/>
        <w:t>and enforcement programs. Indeed, these capabilities are central to achieving effective risk- based regulation, including addressing concerns</w:t>
      </w:r>
      <w:r>
        <w:rPr>
          <w:spacing w:val="-2"/>
        </w:rPr>
        <w:t> </w:t>
      </w:r>
      <w:r>
        <w:rPr/>
        <w:t>that</w:t>
      </w:r>
      <w:r>
        <w:rPr>
          <w:spacing w:val="-1"/>
        </w:rPr>
        <w:t> </w:t>
      </w:r>
      <w:r>
        <w:rPr/>
        <w:t>auditing and</w:t>
      </w:r>
      <w:r>
        <w:rPr>
          <w:spacing w:val="-2"/>
        </w:rPr>
        <w:t> </w:t>
      </w:r>
      <w:r>
        <w:rPr/>
        <w:t>inspection activities are efficient and well-targeted.</w:t>
      </w:r>
    </w:p>
    <w:p>
      <w:pPr>
        <w:pStyle w:val="BodyText"/>
        <w:spacing w:before="11"/>
        <w:rPr>
          <w:sz w:val="20"/>
        </w:rPr>
      </w:pPr>
    </w:p>
    <w:p>
      <w:pPr>
        <w:pStyle w:val="BodyText"/>
        <w:spacing w:line="288" w:lineRule="auto"/>
        <w:ind w:left="600" w:right="586"/>
      </w:pPr>
      <w:r>
        <w:rPr/>
        <w:t>In</w:t>
      </w:r>
      <w:r>
        <w:rPr>
          <w:spacing w:val="-3"/>
        </w:rPr>
        <w:t> </w:t>
      </w:r>
      <w:r>
        <w:rPr/>
        <w:t>particular,</w:t>
      </w:r>
      <w:r>
        <w:rPr>
          <w:spacing w:val="-1"/>
        </w:rPr>
        <w:t> </w:t>
      </w:r>
      <w:r>
        <w:rPr/>
        <w:t>strong</w:t>
      </w:r>
      <w:r>
        <w:rPr>
          <w:spacing w:val="-3"/>
        </w:rPr>
        <w:t> </w:t>
      </w:r>
      <w:r>
        <w:rPr/>
        <w:t>analytical</w:t>
      </w:r>
      <w:r>
        <w:rPr>
          <w:spacing w:val="-4"/>
        </w:rPr>
        <w:t> </w:t>
      </w:r>
      <w:r>
        <w:rPr/>
        <w:t>capabilities</w:t>
      </w:r>
      <w:r>
        <w:rPr>
          <w:spacing w:val="-1"/>
        </w:rPr>
        <w:t> </w:t>
      </w:r>
      <w:r>
        <w:rPr/>
        <w:t>–</w:t>
      </w:r>
      <w:r>
        <w:rPr>
          <w:spacing w:val="-3"/>
        </w:rPr>
        <w:t> </w:t>
      </w:r>
      <w:r>
        <w:rPr/>
        <w:t>systems,</w:t>
      </w:r>
      <w:r>
        <w:rPr>
          <w:spacing w:val="-3"/>
        </w:rPr>
        <w:t> </w:t>
      </w:r>
      <w:r>
        <w:rPr/>
        <w:t>processes</w:t>
      </w:r>
      <w:r>
        <w:rPr>
          <w:spacing w:val="-5"/>
        </w:rPr>
        <w:t> </w:t>
      </w:r>
      <w:r>
        <w:rPr/>
        <w:t>and</w:t>
      </w:r>
      <w:r>
        <w:rPr>
          <w:spacing w:val="-3"/>
        </w:rPr>
        <w:t> </w:t>
      </w:r>
      <w:r>
        <w:rPr/>
        <w:t>people</w:t>
      </w:r>
      <w:r>
        <w:rPr>
          <w:spacing w:val="-3"/>
        </w:rPr>
        <w:t> </w:t>
      </w:r>
      <w:r>
        <w:rPr/>
        <w:t>–</w:t>
      </w:r>
      <w:r>
        <w:rPr>
          <w:spacing w:val="-3"/>
        </w:rPr>
        <w:t> </w:t>
      </w:r>
      <w:r>
        <w:rPr/>
        <w:t>are</w:t>
      </w:r>
      <w:r>
        <w:rPr>
          <w:spacing w:val="-3"/>
        </w:rPr>
        <w:t> </w:t>
      </w:r>
      <w:r>
        <w:rPr/>
        <w:t>necessary to ensure:</w:t>
      </w:r>
    </w:p>
    <w:p>
      <w:pPr>
        <w:pStyle w:val="BodyText"/>
        <w:spacing w:before="4"/>
      </w:pPr>
    </w:p>
    <w:p>
      <w:pPr>
        <w:pStyle w:val="ListParagraph"/>
        <w:numPr>
          <w:ilvl w:val="0"/>
          <w:numId w:val="38"/>
        </w:numPr>
        <w:tabs>
          <w:tab w:pos="957" w:val="left" w:leader="none"/>
        </w:tabs>
        <w:spacing w:line="240" w:lineRule="auto" w:before="0" w:after="0"/>
        <w:ind w:left="957" w:right="0" w:hanging="357"/>
        <w:jc w:val="left"/>
        <w:rPr>
          <w:sz w:val="22"/>
        </w:rPr>
      </w:pPr>
      <w:r>
        <w:rPr>
          <w:sz w:val="22"/>
        </w:rPr>
        <w:t>audits</w:t>
      </w:r>
      <w:r>
        <w:rPr>
          <w:spacing w:val="-6"/>
          <w:sz w:val="22"/>
        </w:rPr>
        <w:t> </w:t>
      </w:r>
      <w:r>
        <w:rPr>
          <w:sz w:val="22"/>
        </w:rPr>
        <w:t>and</w:t>
      </w:r>
      <w:r>
        <w:rPr>
          <w:spacing w:val="-5"/>
          <w:sz w:val="22"/>
        </w:rPr>
        <w:t> </w:t>
      </w:r>
      <w:r>
        <w:rPr>
          <w:sz w:val="22"/>
        </w:rPr>
        <w:t>inspections</w:t>
      </w:r>
      <w:r>
        <w:rPr>
          <w:spacing w:val="-3"/>
          <w:sz w:val="22"/>
        </w:rPr>
        <w:t> </w:t>
      </w:r>
      <w:r>
        <w:rPr>
          <w:sz w:val="22"/>
        </w:rPr>
        <w:t>are</w:t>
      </w:r>
      <w:r>
        <w:rPr>
          <w:spacing w:val="-5"/>
          <w:sz w:val="22"/>
        </w:rPr>
        <w:t> </w:t>
      </w:r>
      <w:r>
        <w:rPr>
          <w:sz w:val="22"/>
        </w:rPr>
        <w:t>targeted</w:t>
      </w:r>
      <w:r>
        <w:rPr>
          <w:spacing w:val="-7"/>
          <w:sz w:val="22"/>
        </w:rPr>
        <w:t> </w:t>
      </w:r>
      <w:r>
        <w:rPr>
          <w:sz w:val="22"/>
        </w:rPr>
        <w:t>to</w:t>
      </w:r>
      <w:r>
        <w:rPr>
          <w:spacing w:val="-6"/>
          <w:sz w:val="22"/>
        </w:rPr>
        <w:t> </w:t>
      </w:r>
      <w:r>
        <w:rPr>
          <w:sz w:val="22"/>
        </w:rPr>
        <w:t>the</w:t>
      </w:r>
      <w:r>
        <w:rPr>
          <w:spacing w:val="-6"/>
          <w:sz w:val="22"/>
        </w:rPr>
        <w:t> </w:t>
      </w:r>
      <w:r>
        <w:rPr>
          <w:sz w:val="22"/>
        </w:rPr>
        <w:t>areas</w:t>
      </w:r>
      <w:r>
        <w:rPr>
          <w:spacing w:val="-4"/>
          <w:sz w:val="22"/>
        </w:rPr>
        <w:t> </w:t>
      </w:r>
      <w:r>
        <w:rPr>
          <w:sz w:val="22"/>
        </w:rPr>
        <w:t>of</w:t>
      </w:r>
      <w:r>
        <w:rPr>
          <w:spacing w:val="-3"/>
          <w:sz w:val="22"/>
        </w:rPr>
        <w:t> </w:t>
      </w:r>
      <w:r>
        <w:rPr>
          <w:sz w:val="22"/>
        </w:rPr>
        <w:t>highest</w:t>
      </w:r>
      <w:r>
        <w:rPr>
          <w:spacing w:val="-5"/>
          <w:sz w:val="22"/>
        </w:rPr>
        <w:t> </w:t>
      </w:r>
      <w:r>
        <w:rPr>
          <w:spacing w:val="-2"/>
          <w:sz w:val="22"/>
        </w:rPr>
        <w:t>risk;</w:t>
      </w:r>
    </w:p>
    <w:p>
      <w:pPr>
        <w:pStyle w:val="ListParagraph"/>
        <w:numPr>
          <w:ilvl w:val="0"/>
          <w:numId w:val="38"/>
        </w:numPr>
        <w:tabs>
          <w:tab w:pos="957" w:val="left" w:leader="none"/>
        </w:tabs>
        <w:spacing w:line="240" w:lineRule="auto" w:before="66" w:after="0"/>
        <w:ind w:left="957" w:right="0" w:hanging="357"/>
        <w:jc w:val="left"/>
        <w:rPr>
          <w:sz w:val="22"/>
        </w:rPr>
      </w:pPr>
      <w:r>
        <w:rPr>
          <w:sz w:val="22"/>
        </w:rPr>
        <w:t>there</w:t>
      </w:r>
      <w:r>
        <w:rPr>
          <w:spacing w:val="-9"/>
          <w:sz w:val="22"/>
        </w:rPr>
        <w:t> </w:t>
      </w:r>
      <w:r>
        <w:rPr>
          <w:sz w:val="22"/>
        </w:rPr>
        <w:t>is</w:t>
      </w:r>
      <w:r>
        <w:rPr>
          <w:spacing w:val="-5"/>
          <w:sz w:val="22"/>
        </w:rPr>
        <w:t> </w:t>
      </w:r>
      <w:r>
        <w:rPr>
          <w:sz w:val="22"/>
        </w:rPr>
        <w:t>strong</w:t>
      </w:r>
      <w:r>
        <w:rPr>
          <w:spacing w:val="-5"/>
          <w:sz w:val="22"/>
        </w:rPr>
        <w:t> </w:t>
      </w:r>
      <w:r>
        <w:rPr>
          <w:sz w:val="22"/>
        </w:rPr>
        <w:t>internal</w:t>
      </w:r>
      <w:r>
        <w:rPr>
          <w:spacing w:val="-9"/>
          <w:sz w:val="22"/>
        </w:rPr>
        <w:t> </w:t>
      </w:r>
      <w:r>
        <w:rPr>
          <w:sz w:val="22"/>
        </w:rPr>
        <w:t>quality</w:t>
      </w:r>
      <w:r>
        <w:rPr>
          <w:spacing w:val="-7"/>
          <w:sz w:val="22"/>
        </w:rPr>
        <w:t> </w:t>
      </w:r>
      <w:r>
        <w:rPr>
          <w:sz w:val="22"/>
        </w:rPr>
        <w:t>assurance</w:t>
      </w:r>
      <w:r>
        <w:rPr>
          <w:spacing w:val="-6"/>
          <w:sz w:val="22"/>
        </w:rPr>
        <w:t> </w:t>
      </w:r>
      <w:r>
        <w:rPr>
          <w:sz w:val="22"/>
        </w:rPr>
        <w:t>of</w:t>
      </w:r>
      <w:r>
        <w:rPr>
          <w:spacing w:val="-6"/>
          <w:sz w:val="22"/>
        </w:rPr>
        <w:t> </w:t>
      </w:r>
      <w:r>
        <w:rPr>
          <w:sz w:val="22"/>
        </w:rPr>
        <w:t>the</w:t>
      </w:r>
      <w:r>
        <w:rPr>
          <w:spacing w:val="-5"/>
          <w:sz w:val="22"/>
        </w:rPr>
        <w:t> </w:t>
      </w:r>
      <w:r>
        <w:rPr>
          <w:sz w:val="22"/>
        </w:rPr>
        <w:t>audit</w:t>
      </w:r>
      <w:r>
        <w:rPr>
          <w:spacing w:val="-3"/>
          <w:sz w:val="22"/>
        </w:rPr>
        <w:t> </w:t>
      </w:r>
      <w:r>
        <w:rPr>
          <w:sz w:val="22"/>
        </w:rPr>
        <w:t>and</w:t>
      </w:r>
      <w:r>
        <w:rPr>
          <w:spacing w:val="-5"/>
          <w:sz w:val="22"/>
        </w:rPr>
        <w:t> </w:t>
      </w:r>
      <w:r>
        <w:rPr>
          <w:sz w:val="22"/>
        </w:rPr>
        <w:t>inspection</w:t>
      </w:r>
      <w:r>
        <w:rPr>
          <w:spacing w:val="-2"/>
          <w:sz w:val="22"/>
        </w:rPr>
        <w:t> programs;</w:t>
      </w:r>
    </w:p>
    <w:p>
      <w:pPr>
        <w:pStyle w:val="ListParagraph"/>
        <w:numPr>
          <w:ilvl w:val="0"/>
          <w:numId w:val="38"/>
        </w:numPr>
        <w:tabs>
          <w:tab w:pos="958" w:val="left" w:leader="none"/>
        </w:tabs>
        <w:spacing w:line="285" w:lineRule="auto" w:before="66" w:after="0"/>
        <w:ind w:left="958" w:right="1155" w:hanging="358"/>
        <w:jc w:val="left"/>
        <w:rPr>
          <w:sz w:val="22"/>
        </w:rPr>
      </w:pPr>
      <w:r>
        <w:rPr>
          <w:sz w:val="22"/>
        </w:rPr>
        <w:t>audit</w:t>
      </w:r>
      <w:r>
        <w:rPr>
          <w:spacing w:val="-2"/>
          <w:sz w:val="22"/>
        </w:rPr>
        <w:t> </w:t>
      </w:r>
      <w:r>
        <w:rPr>
          <w:sz w:val="22"/>
        </w:rPr>
        <w:t>and</w:t>
      </w:r>
      <w:r>
        <w:rPr>
          <w:spacing w:val="-4"/>
          <w:sz w:val="22"/>
        </w:rPr>
        <w:t> </w:t>
      </w:r>
      <w:r>
        <w:rPr>
          <w:sz w:val="22"/>
        </w:rPr>
        <w:t>inspections</w:t>
      </w:r>
      <w:r>
        <w:rPr>
          <w:spacing w:val="-3"/>
          <w:sz w:val="22"/>
        </w:rPr>
        <w:t> </w:t>
      </w:r>
      <w:r>
        <w:rPr>
          <w:sz w:val="22"/>
        </w:rPr>
        <w:t>are</w:t>
      </w:r>
      <w:r>
        <w:rPr>
          <w:spacing w:val="-6"/>
          <w:sz w:val="22"/>
        </w:rPr>
        <w:t> </w:t>
      </w:r>
      <w:r>
        <w:rPr>
          <w:sz w:val="22"/>
        </w:rPr>
        <w:t>underpinned</w:t>
      </w:r>
      <w:r>
        <w:rPr>
          <w:spacing w:val="-4"/>
          <w:sz w:val="22"/>
        </w:rPr>
        <w:t> </w:t>
      </w:r>
      <w:r>
        <w:rPr>
          <w:sz w:val="22"/>
        </w:rPr>
        <w:t>by</w:t>
      </w:r>
      <w:r>
        <w:rPr>
          <w:spacing w:val="-6"/>
          <w:sz w:val="22"/>
        </w:rPr>
        <w:t> </w:t>
      </w:r>
      <w:r>
        <w:rPr>
          <w:sz w:val="22"/>
        </w:rPr>
        <w:t>a</w:t>
      </w:r>
      <w:r>
        <w:rPr>
          <w:spacing w:val="-6"/>
          <w:sz w:val="22"/>
        </w:rPr>
        <w:t> </w:t>
      </w:r>
      <w:r>
        <w:rPr>
          <w:sz w:val="22"/>
        </w:rPr>
        <w:t>sophisticated</w:t>
      </w:r>
      <w:r>
        <w:rPr>
          <w:spacing w:val="-6"/>
          <w:sz w:val="22"/>
        </w:rPr>
        <w:t> </w:t>
      </w:r>
      <w:r>
        <w:rPr>
          <w:sz w:val="22"/>
        </w:rPr>
        <w:t>understanding</w:t>
      </w:r>
      <w:r>
        <w:rPr>
          <w:spacing w:val="-2"/>
          <w:sz w:val="22"/>
        </w:rPr>
        <w:t> </w:t>
      </w:r>
      <w:r>
        <w:rPr>
          <w:sz w:val="22"/>
        </w:rPr>
        <w:t>of</w:t>
      </w:r>
      <w:r>
        <w:rPr>
          <w:spacing w:val="-2"/>
          <w:sz w:val="22"/>
        </w:rPr>
        <w:t> </w:t>
      </w:r>
      <w:r>
        <w:rPr>
          <w:sz w:val="22"/>
        </w:rPr>
        <w:t>effective safety cases and safety management systems;</w:t>
      </w:r>
    </w:p>
    <w:p>
      <w:pPr>
        <w:pStyle w:val="ListParagraph"/>
        <w:numPr>
          <w:ilvl w:val="0"/>
          <w:numId w:val="38"/>
        </w:numPr>
        <w:tabs>
          <w:tab w:pos="958" w:val="left" w:leader="none"/>
        </w:tabs>
        <w:spacing w:line="288" w:lineRule="auto" w:before="20" w:after="0"/>
        <w:ind w:left="958" w:right="991" w:hanging="358"/>
        <w:jc w:val="left"/>
        <w:rPr>
          <w:sz w:val="22"/>
        </w:rPr>
      </w:pPr>
      <w:r>
        <w:rPr>
          <w:sz w:val="22"/>
        </w:rPr>
        <w:t>there</w:t>
      </w:r>
      <w:r>
        <w:rPr>
          <w:spacing w:val="-5"/>
          <w:sz w:val="22"/>
        </w:rPr>
        <w:t> </w:t>
      </w:r>
      <w:r>
        <w:rPr>
          <w:sz w:val="22"/>
        </w:rPr>
        <w:t>is</w:t>
      </w:r>
      <w:r>
        <w:rPr>
          <w:spacing w:val="-2"/>
          <w:sz w:val="22"/>
        </w:rPr>
        <w:t> </w:t>
      </w:r>
      <w:r>
        <w:rPr>
          <w:sz w:val="22"/>
        </w:rPr>
        <w:t>not</w:t>
      </w:r>
      <w:r>
        <w:rPr>
          <w:spacing w:val="-4"/>
          <w:sz w:val="22"/>
        </w:rPr>
        <w:t> </w:t>
      </w:r>
      <w:r>
        <w:rPr>
          <w:sz w:val="22"/>
        </w:rPr>
        <w:t>an</w:t>
      </w:r>
      <w:r>
        <w:rPr>
          <w:spacing w:val="-5"/>
          <w:sz w:val="22"/>
        </w:rPr>
        <w:t> </w:t>
      </w:r>
      <w:r>
        <w:rPr>
          <w:sz w:val="22"/>
        </w:rPr>
        <w:t>under-investment</w:t>
      </w:r>
      <w:r>
        <w:rPr>
          <w:spacing w:val="-1"/>
          <w:sz w:val="22"/>
        </w:rPr>
        <w:t> </w:t>
      </w:r>
      <w:r>
        <w:rPr>
          <w:sz w:val="22"/>
        </w:rPr>
        <w:t>in</w:t>
      </w:r>
      <w:r>
        <w:rPr>
          <w:spacing w:val="-5"/>
          <w:sz w:val="22"/>
        </w:rPr>
        <w:t> </w:t>
      </w:r>
      <w:r>
        <w:rPr>
          <w:sz w:val="22"/>
        </w:rPr>
        <w:t>audit</w:t>
      </w:r>
      <w:r>
        <w:rPr>
          <w:spacing w:val="-1"/>
          <w:sz w:val="22"/>
        </w:rPr>
        <w:t> </w:t>
      </w:r>
      <w:r>
        <w:rPr>
          <w:sz w:val="22"/>
        </w:rPr>
        <w:t>and</w:t>
      </w:r>
      <w:r>
        <w:rPr>
          <w:spacing w:val="-5"/>
          <w:sz w:val="22"/>
        </w:rPr>
        <w:t> </w:t>
      </w:r>
      <w:r>
        <w:rPr>
          <w:sz w:val="22"/>
        </w:rPr>
        <w:t>inspection</w:t>
      </w:r>
      <w:r>
        <w:rPr>
          <w:spacing w:val="-3"/>
          <w:sz w:val="22"/>
        </w:rPr>
        <w:t> </w:t>
      </w:r>
      <w:r>
        <w:rPr>
          <w:sz w:val="22"/>
        </w:rPr>
        <w:t>activity,</w:t>
      </w:r>
      <w:r>
        <w:rPr>
          <w:spacing w:val="-1"/>
          <w:sz w:val="22"/>
        </w:rPr>
        <w:t> </w:t>
      </w:r>
      <w:r>
        <w:rPr>
          <w:sz w:val="22"/>
        </w:rPr>
        <w:t>but</w:t>
      </w:r>
      <w:r>
        <w:rPr>
          <w:spacing w:val="-1"/>
          <w:sz w:val="22"/>
        </w:rPr>
        <w:t> </w:t>
      </w:r>
      <w:r>
        <w:rPr>
          <w:sz w:val="22"/>
        </w:rPr>
        <w:t>nor</w:t>
      </w:r>
      <w:r>
        <w:rPr>
          <w:spacing w:val="-4"/>
          <w:sz w:val="22"/>
        </w:rPr>
        <w:t> </w:t>
      </w:r>
      <w:r>
        <w:rPr>
          <w:sz w:val="22"/>
        </w:rPr>
        <w:t>is</w:t>
      </w:r>
      <w:r>
        <w:rPr>
          <w:spacing w:val="-5"/>
          <w:sz w:val="22"/>
        </w:rPr>
        <w:t> </w:t>
      </w:r>
      <w:r>
        <w:rPr>
          <w:sz w:val="22"/>
        </w:rPr>
        <w:t>there</w:t>
      </w:r>
      <w:r>
        <w:rPr>
          <w:spacing w:val="-1"/>
          <w:sz w:val="22"/>
        </w:rPr>
        <w:t> </w:t>
      </w:r>
      <w:r>
        <w:rPr>
          <w:i/>
          <w:sz w:val="22"/>
        </w:rPr>
        <w:t>over- investment </w:t>
      </w:r>
      <w:r>
        <w:rPr>
          <w:sz w:val="22"/>
        </w:rPr>
        <w:t>in this activity – provided rigorous analysis shows that effective safety compliance can be maintained;</w:t>
      </w:r>
    </w:p>
    <w:p>
      <w:pPr>
        <w:pStyle w:val="ListParagraph"/>
        <w:numPr>
          <w:ilvl w:val="0"/>
          <w:numId w:val="38"/>
        </w:numPr>
        <w:tabs>
          <w:tab w:pos="958" w:val="left" w:leader="none"/>
        </w:tabs>
        <w:spacing w:line="288" w:lineRule="auto" w:before="13" w:after="0"/>
        <w:ind w:left="958" w:right="1177" w:hanging="358"/>
        <w:jc w:val="left"/>
        <w:rPr>
          <w:sz w:val="22"/>
        </w:rPr>
      </w:pPr>
      <w:r>
        <w:rPr>
          <w:sz w:val="22"/>
        </w:rPr>
        <w:t>compliance</w:t>
      </w:r>
      <w:r>
        <w:rPr>
          <w:spacing w:val="-4"/>
          <w:sz w:val="22"/>
        </w:rPr>
        <w:t> </w:t>
      </w:r>
      <w:r>
        <w:rPr>
          <w:sz w:val="22"/>
        </w:rPr>
        <w:t>and</w:t>
      </w:r>
      <w:r>
        <w:rPr>
          <w:spacing w:val="-4"/>
          <w:sz w:val="22"/>
        </w:rPr>
        <w:t> </w:t>
      </w:r>
      <w:r>
        <w:rPr>
          <w:sz w:val="22"/>
        </w:rPr>
        <w:t>enforcement</w:t>
      </w:r>
      <w:r>
        <w:rPr>
          <w:spacing w:val="-5"/>
          <w:sz w:val="22"/>
        </w:rPr>
        <w:t> </w:t>
      </w:r>
      <w:r>
        <w:rPr>
          <w:sz w:val="22"/>
        </w:rPr>
        <w:t>activities</w:t>
      </w:r>
      <w:r>
        <w:rPr>
          <w:spacing w:val="-4"/>
          <w:sz w:val="22"/>
        </w:rPr>
        <w:t> </w:t>
      </w:r>
      <w:r>
        <w:rPr>
          <w:sz w:val="22"/>
        </w:rPr>
        <w:t>are</w:t>
      </w:r>
      <w:r>
        <w:rPr>
          <w:spacing w:val="-6"/>
          <w:sz w:val="22"/>
        </w:rPr>
        <w:t> </w:t>
      </w:r>
      <w:r>
        <w:rPr>
          <w:sz w:val="22"/>
        </w:rPr>
        <w:t>efficient</w:t>
      </w:r>
      <w:r>
        <w:rPr>
          <w:spacing w:val="-2"/>
          <w:sz w:val="22"/>
        </w:rPr>
        <w:t> </w:t>
      </w:r>
      <w:r>
        <w:rPr>
          <w:sz w:val="22"/>
        </w:rPr>
        <w:t>and</w:t>
      </w:r>
      <w:r>
        <w:rPr>
          <w:spacing w:val="-6"/>
          <w:sz w:val="22"/>
        </w:rPr>
        <w:t> </w:t>
      </w:r>
      <w:r>
        <w:rPr>
          <w:sz w:val="22"/>
        </w:rPr>
        <w:t>do</w:t>
      </w:r>
      <w:r>
        <w:rPr>
          <w:spacing w:val="-4"/>
          <w:sz w:val="22"/>
        </w:rPr>
        <w:t> </w:t>
      </w:r>
      <w:r>
        <w:rPr>
          <w:sz w:val="22"/>
        </w:rPr>
        <w:t>not</w:t>
      </w:r>
      <w:r>
        <w:rPr>
          <w:spacing w:val="-2"/>
          <w:sz w:val="22"/>
        </w:rPr>
        <w:t> </w:t>
      </w:r>
      <w:r>
        <w:rPr>
          <w:sz w:val="22"/>
        </w:rPr>
        <w:t>impose</w:t>
      </w:r>
      <w:r>
        <w:rPr>
          <w:spacing w:val="-4"/>
          <w:sz w:val="22"/>
        </w:rPr>
        <w:t> </w:t>
      </w:r>
      <w:r>
        <w:rPr>
          <w:sz w:val="22"/>
        </w:rPr>
        <w:t>unnecessary burdens; and</w:t>
      </w:r>
    </w:p>
    <w:p>
      <w:pPr>
        <w:pStyle w:val="ListParagraph"/>
        <w:numPr>
          <w:ilvl w:val="0"/>
          <w:numId w:val="38"/>
        </w:numPr>
        <w:tabs>
          <w:tab w:pos="958" w:val="left" w:leader="none"/>
        </w:tabs>
        <w:spacing w:line="285" w:lineRule="auto" w:before="17" w:after="0"/>
        <w:ind w:left="958" w:right="1861" w:hanging="358"/>
        <w:jc w:val="left"/>
        <w:rPr>
          <w:sz w:val="22"/>
        </w:rPr>
      </w:pPr>
      <w:r>
        <w:rPr>
          <w:sz w:val="22"/>
        </w:rPr>
        <w:t>the</w:t>
      </w:r>
      <w:r>
        <w:rPr>
          <w:spacing w:val="-5"/>
          <w:sz w:val="22"/>
        </w:rPr>
        <w:t> </w:t>
      </w:r>
      <w:r>
        <w:rPr>
          <w:sz w:val="22"/>
        </w:rPr>
        <w:t>results</w:t>
      </w:r>
      <w:r>
        <w:rPr>
          <w:spacing w:val="-5"/>
          <w:sz w:val="22"/>
        </w:rPr>
        <w:t> </w:t>
      </w:r>
      <w:r>
        <w:rPr>
          <w:sz w:val="22"/>
        </w:rPr>
        <w:t>of</w:t>
      </w:r>
      <w:r>
        <w:rPr>
          <w:spacing w:val="-1"/>
          <w:sz w:val="22"/>
        </w:rPr>
        <w:t> </w:t>
      </w:r>
      <w:r>
        <w:rPr>
          <w:sz w:val="22"/>
        </w:rPr>
        <w:t>audits</w:t>
      </w:r>
      <w:r>
        <w:rPr>
          <w:spacing w:val="-5"/>
          <w:sz w:val="22"/>
        </w:rPr>
        <w:t> </w:t>
      </w:r>
      <w:r>
        <w:rPr>
          <w:sz w:val="22"/>
        </w:rPr>
        <w:t>and</w:t>
      </w:r>
      <w:r>
        <w:rPr>
          <w:spacing w:val="-3"/>
          <w:sz w:val="22"/>
        </w:rPr>
        <w:t> </w:t>
      </w:r>
      <w:r>
        <w:rPr>
          <w:sz w:val="22"/>
        </w:rPr>
        <w:t>inspections</w:t>
      </w:r>
      <w:r>
        <w:rPr>
          <w:spacing w:val="-3"/>
          <w:sz w:val="22"/>
        </w:rPr>
        <w:t> </w:t>
      </w:r>
      <w:r>
        <w:rPr>
          <w:sz w:val="22"/>
        </w:rPr>
        <w:t>are</w:t>
      </w:r>
      <w:r>
        <w:rPr>
          <w:spacing w:val="-5"/>
          <w:sz w:val="22"/>
        </w:rPr>
        <w:t> </w:t>
      </w:r>
      <w:r>
        <w:rPr>
          <w:sz w:val="22"/>
        </w:rPr>
        <w:t>rigorously</w:t>
      </w:r>
      <w:r>
        <w:rPr>
          <w:spacing w:val="-5"/>
          <w:sz w:val="22"/>
        </w:rPr>
        <w:t> </w:t>
      </w:r>
      <w:r>
        <w:rPr>
          <w:sz w:val="22"/>
        </w:rPr>
        <w:t>analysed</w:t>
      </w:r>
      <w:r>
        <w:rPr>
          <w:spacing w:val="-3"/>
          <w:sz w:val="22"/>
        </w:rPr>
        <w:t> </w:t>
      </w:r>
      <w:r>
        <w:rPr>
          <w:sz w:val="22"/>
        </w:rPr>
        <w:t>and</w:t>
      </w:r>
      <w:r>
        <w:rPr>
          <w:spacing w:val="-3"/>
          <w:sz w:val="22"/>
        </w:rPr>
        <w:t> </w:t>
      </w:r>
      <w:r>
        <w:rPr>
          <w:sz w:val="22"/>
        </w:rPr>
        <w:t>support</w:t>
      </w:r>
      <w:r>
        <w:rPr>
          <w:spacing w:val="-4"/>
          <w:sz w:val="22"/>
        </w:rPr>
        <w:t> </w:t>
      </w:r>
      <w:r>
        <w:rPr>
          <w:sz w:val="22"/>
        </w:rPr>
        <w:t>the consideration of further compliance and enforcement activities.</w:t>
      </w:r>
    </w:p>
    <w:p>
      <w:pPr>
        <w:pStyle w:val="BodyText"/>
        <w:spacing w:before="2"/>
        <w:rPr>
          <w:sz w:val="21"/>
        </w:rPr>
      </w:pPr>
    </w:p>
    <w:p>
      <w:pPr>
        <w:pStyle w:val="BodyText"/>
        <w:spacing w:line="288" w:lineRule="auto"/>
        <w:ind w:left="600" w:right="311"/>
      </w:pPr>
      <w:r>
        <w:rPr/>
        <w:t>The</w:t>
      </w:r>
      <w:r>
        <w:rPr>
          <w:spacing w:val="-4"/>
        </w:rPr>
        <w:t> </w:t>
      </w:r>
      <w:r>
        <w:rPr/>
        <w:t>need</w:t>
      </w:r>
      <w:r>
        <w:rPr>
          <w:spacing w:val="-4"/>
        </w:rPr>
        <w:t> </w:t>
      </w:r>
      <w:r>
        <w:rPr/>
        <w:t>for</w:t>
      </w:r>
      <w:r>
        <w:rPr>
          <w:spacing w:val="-3"/>
        </w:rPr>
        <w:t> </w:t>
      </w:r>
      <w:r>
        <w:rPr/>
        <w:t>ESV</w:t>
      </w:r>
      <w:r>
        <w:rPr>
          <w:spacing w:val="-2"/>
        </w:rPr>
        <w:t> </w:t>
      </w:r>
      <w:r>
        <w:rPr/>
        <w:t>to</w:t>
      </w:r>
      <w:r>
        <w:rPr>
          <w:spacing w:val="-4"/>
        </w:rPr>
        <w:t> </w:t>
      </w:r>
      <w:r>
        <w:rPr/>
        <w:t>build</w:t>
      </w:r>
      <w:r>
        <w:rPr>
          <w:spacing w:val="-2"/>
        </w:rPr>
        <w:t> </w:t>
      </w:r>
      <w:r>
        <w:rPr/>
        <w:t>stronger</w:t>
      </w:r>
      <w:r>
        <w:rPr>
          <w:spacing w:val="-3"/>
        </w:rPr>
        <w:t> </w:t>
      </w:r>
      <w:r>
        <w:rPr/>
        <w:t>analytical</w:t>
      </w:r>
      <w:r>
        <w:rPr>
          <w:spacing w:val="-3"/>
        </w:rPr>
        <w:t> </w:t>
      </w:r>
      <w:r>
        <w:rPr/>
        <w:t>capabilities</w:t>
      </w:r>
      <w:r>
        <w:rPr>
          <w:spacing w:val="-2"/>
        </w:rPr>
        <w:t> </w:t>
      </w:r>
      <w:r>
        <w:rPr/>
        <w:t>to</w:t>
      </w:r>
      <w:r>
        <w:rPr>
          <w:spacing w:val="-2"/>
        </w:rPr>
        <w:t> </w:t>
      </w:r>
      <w:r>
        <w:rPr/>
        <w:t>support</w:t>
      </w:r>
      <w:r>
        <w:rPr>
          <w:spacing w:val="-3"/>
        </w:rPr>
        <w:t> </w:t>
      </w:r>
      <w:r>
        <w:rPr/>
        <w:t>its</w:t>
      </w:r>
      <w:r>
        <w:rPr>
          <w:spacing w:val="-4"/>
        </w:rPr>
        <w:t> </w:t>
      </w:r>
      <w:r>
        <w:rPr/>
        <w:t>network regulation functions is a common theme across several recent reports commissioned by ESV.</w:t>
      </w:r>
    </w:p>
    <w:p>
      <w:pPr>
        <w:spacing w:after="0" w:line="288" w:lineRule="auto"/>
        <w:sectPr>
          <w:pgSz w:w="11910" w:h="16840"/>
          <w:pgMar w:header="887" w:footer="1228" w:top="1080" w:bottom="1500" w:left="840" w:right="820"/>
        </w:sectPr>
      </w:pPr>
    </w:p>
    <w:p>
      <w:pPr>
        <w:pStyle w:val="BodyText"/>
        <w:rPr>
          <w:sz w:val="20"/>
        </w:rPr>
      </w:pPr>
    </w:p>
    <w:p>
      <w:pPr>
        <w:pStyle w:val="BodyText"/>
        <w:rPr>
          <w:sz w:val="20"/>
        </w:rPr>
      </w:pPr>
    </w:p>
    <w:p>
      <w:pPr>
        <w:pStyle w:val="BodyText"/>
        <w:spacing w:before="5"/>
      </w:pPr>
    </w:p>
    <w:p>
      <w:pPr>
        <w:spacing w:line="288" w:lineRule="auto" w:before="0"/>
        <w:ind w:left="600" w:right="791" w:firstLine="0"/>
        <w:jc w:val="both"/>
        <w:rPr>
          <w:sz w:val="22"/>
        </w:rPr>
      </w:pPr>
      <w:r>
        <w:rPr>
          <w:sz w:val="22"/>
        </w:rPr>
        <w:t>The</w:t>
      </w:r>
      <w:r>
        <w:rPr>
          <w:spacing w:val="-7"/>
          <w:sz w:val="22"/>
        </w:rPr>
        <w:t> </w:t>
      </w:r>
      <w:r>
        <w:rPr>
          <w:sz w:val="22"/>
        </w:rPr>
        <w:t>functional</w:t>
      </w:r>
      <w:r>
        <w:rPr>
          <w:spacing w:val="-4"/>
          <w:sz w:val="22"/>
        </w:rPr>
        <w:t> </w:t>
      </w:r>
      <w:r>
        <w:rPr>
          <w:sz w:val="22"/>
        </w:rPr>
        <w:t>review</w:t>
      </w:r>
      <w:r>
        <w:rPr>
          <w:spacing w:val="-5"/>
          <w:sz w:val="22"/>
        </w:rPr>
        <w:t> </w:t>
      </w:r>
      <w:r>
        <w:rPr>
          <w:sz w:val="22"/>
        </w:rPr>
        <w:t>by</w:t>
      </w:r>
      <w:r>
        <w:rPr>
          <w:spacing w:val="-5"/>
          <w:sz w:val="22"/>
        </w:rPr>
        <w:t> </w:t>
      </w:r>
      <w:r>
        <w:rPr>
          <w:sz w:val="22"/>
        </w:rPr>
        <w:t>Huegin</w:t>
      </w:r>
      <w:r>
        <w:rPr>
          <w:spacing w:val="-3"/>
          <w:sz w:val="22"/>
        </w:rPr>
        <w:t> </w:t>
      </w:r>
      <w:r>
        <w:rPr>
          <w:sz w:val="22"/>
        </w:rPr>
        <w:t>Consulting</w:t>
      </w:r>
      <w:r>
        <w:rPr>
          <w:spacing w:val="-1"/>
          <w:sz w:val="22"/>
        </w:rPr>
        <w:t> </w:t>
      </w:r>
      <w:r>
        <w:rPr>
          <w:sz w:val="22"/>
        </w:rPr>
        <w:t>in</w:t>
      </w:r>
      <w:r>
        <w:rPr>
          <w:spacing w:val="-5"/>
          <w:sz w:val="22"/>
        </w:rPr>
        <w:t> </w:t>
      </w:r>
      <w:r>
        <w:rPr>
          <w:sz w:val="22"/>
        </w:rPr>
        <w:t>June</w:t>
      </w:r>
      <w:r>
        <w:rPr>
          <w:spacing w:val="-3"/>
          <w:sz w:val="22"/>
        </w:rPr>
        <w:t> </w:t>
      </w:r>
      <w:r>
        <w:rPr>
          <w:sz w:val="22"/>
        </w:rPr>
        <w:t>2016,</w:t>
      </w:r>
      <w:r>
        <w:rPr>
          <w:spacing w:val="-4"/>
          <w:sz w:val="22"/>
        </w:rPr>
        <w:t> </w:t>
      </w:r>
      <w:r>
        <w:rPr>
          <w:sz w:val="22"/>
        </w:rPr>
        <w:t>summarised</w:t>
      </w:r>
      <w:r>
        <w:rPr>
          <w:spacing w:val="-3"/>
          <w:sz w:val="22"/>
        </w:rPr>
        <w:t> </w:t>
      </w:r>
      <w:r>
        <w:rPr>
          <w:sz w:val="22"/>
        </w:rPr>
        <w:t>in </w:t>
      </w:r>
      <w:r>
        <w:rPr>
          <w:i/>
          <w:sz w:val="22"/>
        </w:rPr>
        <w:t>Chapter</w:t>
      </w:r>
      <w:r>
        <w:rPr>
          <w:i/>
          <w:spacing w:val="-4"/>
          <w:sz w:val="22"/>
        </w:rPr>
        <w:t> </w:t>
      </w:r>
      <w:r>
        <w:rPr>
          <w:i/>
          <w:sz w:val="22"/>
        </w:rPr>
        <w:t>1:</w:t>
      </w:r>
      <w:r>
        <w:rPr>
          <w:i/>
          <w:spacing w:val="-3"/>
          <w:sz w:val="22"/>
        </w:rPr>
        <w:t> </w:t>
      </w:r>
      <w:r>
        <w:rPr>
          <w:i/>
          <w:sz w:val="22"/>
        </w:rPr>
        <w:t>ESV’s Regulatory</w:t>
      </w:r>
      <w:r>
        <w:rPr>
          <w:i/>
          <w:spacing w:val="-1"/>
          <w:sz w:val="22"/>
        </w:rPr>
        <w:t> </w:t>
      </w:r>
      <w:r>
        <w:rPr>
          <w:i/>
          <w:sz w:val="22"/>
        </w:rPr>
        <w:t>and</w:t>
      </w:r>
      <w:r>
        <w:rPr>
          <w:i/>
          <w:spacing w:val="-4"/>
          <w:sz w:val="22"/>
        </w:rPr>
        <w:t> </w:t>
      </w:r>
      <w:r>
        <w:rPr>
          <w:i/>
          <w:sz w:val="22"/>
        </w:rPr>
        <w:t>Corporate</w:t>
      </w:r>
      <w:r>
        <w:rPr>
          <w:i/>
          <w:spacing w:val="-2"/>
          <w:sz w:val="22"/>
        </w:rPr>
        <w:t> </w:t>
      </w:r>
      <w:r>
        <w:rPr>
          <w:i/>
          <w:sz w:val="22"/>
        </w:rPr>
        <w:t>Governance</w:t>
      </w:r>
      <w:r>
        <w:rPr>
          <w:sz w:val="22"/>
        </w:rPr>
        <w:t>,</w:t>
      </w:r>
      <w:r>
        <w:rPr>
          <w:spacing w:val="-3"/>
          <w:sz w:val="22"/>
        </w:rPr>
        <w:t> </w:t>
      </w:r>
      <w:r>
        <w:rPr>
          <w:sz w:val="22"/>
        </w:rPr>
        <w:t>made</w:t>
      </w:r>
      <w:r>
        <w:rPr>
          <w:spacing w:val="-2"/>
          <w:sz w:val="22"/>
        </w:rPr>
        <w:t> </w:t>
      </w:r>
      <w:r>
        <w:rPr>
          <w:sz w:val="22"/>
        </w:rPr>
        <w:t>a</w:t>
      </w:r>
      <w:r>
        <w:rPr>
          <w:spacing w:val="-4"/>
          <w:sz w:val="22"/>
        </w:rPr>
        <w:t> </w:t>
      </w:r>
      <w:r>
        <w:rPr>
          <w:sz w:val="22"/>
        </w:rPr>
        <w:t>number</w:t>
      </w:r>
      <w:r>
        <w:rPr>
          <w:spacing w:val="-3"/>
          <w:sz w:val="22"/>
        </w:rPr>
        <w:t> </w:t>
      </w:r>
      <w:r>
        <w:rPr>
          <w:sz w:val="22"/>
        </w:rPr>
        <w:t>of observations</w:t>
      </w:r>
      <w:r>
        <w:rPr>
          <w:spacing w:val="-4"/>
          <w:sz w:val="22"/>
        </w:rPr>
        <w:t> </w:t>
      </w:r>
      <w:r>
        <w:rPr>
          <w:sz w:val="22"/>
        </w:rPr>
        <w:t>indicative</w:t>
      </w:r>
      <w:r>
        <w:rPr>
          <w:spacing w:val="-2"/>
          <w:sz w:val="22"/>
        </w:rPr>
        <w:t> </w:t>
      </w:r>
      <w:r>
        <w:rPr>
          <w:sz w:val="22"/>
        </w:rPr>
        <w:t>of areas of weakness in ESV’s capabilities, including:</w:t>
      </w:r>
    </w:p>
    <w:p>
      <w:pPr>
        <w:pStyle w:val="BodyText"/>
        <w:spacing w:before="5"/>
      </w:pPr>
    </w:p>
    <w:p>
      <w:pPr>
        <w:pStyle w:val="ListParagraph"/>
        <w:numPr>
          <w:ilvl w:val="0"/>
          <w:numId w:val="38"/>
        </w:numPr>
        <w:tabs>
          <w:tab w:pos="957" w:val="left" w:leader="none"/>
        </w:tabs>
        <w:spacing w:line="240" w:lineRule="auto" w:before="0" w:after="0"/>
        <w:ind w:left="957" w:right="0" w:hanging="357"/>
        <w:jc w:val="left"/>
        <w:rPr>
          <w:sz w:val="22"/>
        </w:rPr>
      </w:pPr>
      <w:r>
        <w:rPr>
          <w:sz w:val="22"/>
        </w:rPr>
        <w:t>different</w:t>
      </w:r>
      <w:r>
        <w:rPr>
          <w:spacing w:val="-6"/>
          <w:sz w:val="22"/>
        </w:rPr>
        <w:t> </w:t>
      </w:r>
      <w:r>
        <w:rPr>
          <w:sz w:val="22"/>
        </w:rPr>
        <w:t>definitions</w:t>
      </w:r>
      <w:r>
        <w:rPr>
          <w:spacing w:val="-3"/>
          <w:sz w:val="22"/>
        </w:rPr>
        <w:t> </w:t>
      </w:r>
      <w:r>
        <w:rPr>
          <w:sz w:val="22"/>
        </w:rPr>
        <w:t>among</w:t>
      </w:r>
      <w:r>
        <w:rPr>
          <w:spacing w:val="-5"/>
          <w:sz w:val="22"/>
        </w:rPr>
        <w:t> </w:t>
      </w:r>
      <w:r>
        <w:rPr>
          <w:sz w:val="22"/>
        </w:rPr>
        <w:t>ESV</w:t>
      </w:r>
      <w:r>
        <w:rPr>
          <w:spacing w:val="-5"/>
          <w:sz w:val="22"/>
        </w:rPr>
        <w:t> </w:t>
      </w:r>
      <w:r>
        <w:rPr>
          <w:sz w:val="22"/>
        </w:rPr>
        <w:t>officers</w:t>
      </w:r>
      <w:r>
        <w:rPr>
          <w:spacing w:val="-6"/>
          <w:sz w:val="22"/>
        </w:rPr>
        <w:t> </w:t>
      </w:r>
      <w:r>
        <w:rPr>
          <w:sz w:val="22"/>
        </w:rPr>
        <w:t>of</w:t>
      </w:r>
      <w:r>
        <w:rPr>
          <w:spacing w:val="-3"/>
          <w:sz w:val="22"/>
        </w:rPr>
        <w:t> </w:t>
      </w:r>
      <w:r>
        <w:rPr>
          <w:sz w:val="22"/>
        </w:rPr>
        <w:t>the</w:t>
      </w:r>
      <w:r>
        <w:rPr>
          <w:spacing w:val="-7"/>
          <w:sz w:val="22"/>
        </w:rPr>
        <w:t> </w:t>
      </w:r>
      <w:r>
        <w:rPr>
          <w:sz w:val="22"/>
        </w:rPr>
        <w:t>elements</w:t>
      </w:r>
      <w:r>
        <w:rPr>
          <w:spacing w:val="-6"/>
          <w:sz w:val="22"/>
        </w:rPr>
        <w:t> </w:t>
      </w:r>
      <w:r>
        <w:rPr>
          <w:sz w:val="22"/>
        </w:rPr>
        <w:t>of</w:t>
      </w:r>
      <w:r>
        <w:rPr>
          <w:spacing w:val="-3"/>
          <w:sz w:val="22"/>
        </w:rPr>
        <w:t> </w:t>
      </w:r>
      <w:r>
        <w:rPr>
          <w:spacing w:val="-2"/>
          <w:sz w:val="22"/>
        </w:rPr>
        <w:t>risk;</w:t>
      </w:r>
    </w:p>
    <w:p>
      <w:pPr>
        <w:pStyle w:val="ListParagraph"/>
        <w:numPr>
          <w:ilvl w:val="0"/>
          <w:numId w:val="38"/>
        </w:numPr>
        <w:tabs>
          <w:tab w:pos="957" w:val="left" w:leader="none"/>
        </w:tabs>
        <w:spacing w:line="240" w:lineRule="auto" w:before="66" w:after="0"/>
        <w:ind w:left="957" w:right="0" w:hanging="357"/>
        <w:jc w:val="left"/>
        <w:rPr>
          <w:sz w:val="22"/>
        </w:rPr>
      </w:pPr>
      <w:r>
        <w:rPr>
          <w:sz w:val="22"/>
        </w:rPr>
        <w:t>the</w:t>
      </w:r>
      <w:r>
        <w:rPr>
          <w:spacing w:val="-8"/>
          <w:sz w:val="22"/>
        </w:rPr>
        <w:t> </w:t>
      </w:r>
      <w:r>
        <w:rPr>
          <w:sz w:val="22"/>
        </w:rPr>
        <w:t>lack</w:t>
      </w:r>
      <w:r>
        <w:rPr>
          <w:spacing w:val="-4"/>
          <w:sz w:val="22"/>
        </w:rPr>
        <w:t> </w:t>
      </w:r>
      <w:r>
        <w:rPr>
          <w:sz w:val="22"/>
        </w:rPr>
        <w:t>of</w:t>
      </w:r>
      <w:r>
        <w:rPr>
          <w:spacing w:val="-3"/>
          <w:sz w:val="22"/>
        </w:rPr>
        <w:t> </w:t>
      </w:r>
      <w:r>
        <w:rPr>
          <w:sz w:val="22"/>
        </w:rPr>
        <w:t>“</w:t>
      </w:r>
      <w:r>
        <w:rPr>
          <w:i/>
          <w:sz w:val="22"/>
        </w:rPr>
        <w:t>a</w:t>
      </w:r>
      <w:r>
        <w:rPr>
          <w:i/>
          <w:spacing w:val="-8"/>
          <w:sz w:val="22"/>
        </w:rPr>
        <w:t> </w:t>
      </w:r>
      <w:r>
        <w:rPr>
          <w:i/>
          <w:sz w:val="22"/>
        </w:rPr>
        <w:t>consistent</w:t>
      </w:r>
      <w:r>
        <w:rPr>
          <w:i/>
          <w:spacing w:val="-6"/>
          <w:sz w:val="22"/>
        </w:rPr>
        <w:t> </w:t>
      </w:r>
      <w:r>
        <w:rPr>
          <w:i/>
          <w:sz w:val="22"/>
        </w:rPr>
        <w:t>mental</w:t>
      </w:r>
      <w:r>
        <w:rPr>
          <w:i/>
          <w:spacing w:val="-8"/>
          <w:sz w:val="22"/>
        </w:rPr>
        <w:t> </w:t>
      </w:r>
      <w:r>
        <w:rPr>
          <w:i/>
          <w:sz w:val="22"/>
        </w:rPr>
        <w:t>model</w:t>
      </w:r>
      <w:r>
        <w:rPr>
          <w:i/>
          <w:spacing w:val="-8"/>
          <w:sz w:val="22"/>
        </w:rPr>
        <w:t> </w:t>
      </w:r>
      <w:r>
        <w:rPr>
          <w:i/>
          <w:sz w:val="22"/>
        </w:rPr>
        <w:t>for</w:t>
      </w:r>
      <w:r>
        <w:rPr>
          <w:i/>
          <w:spacing w:val="-6"/>
          <w:sz w:val="22"/>
        </w:rPr>
        <w:t> </w:t>
      </w:r>
      <w:r>
        <w:rPr>
          <w:i/>
          <w:sz w:val="22"/>
        </w:rPr>
        <w:t>understanding</w:t>
      </w:r>
      <w:r>
        <w:rPr>
          <w:i/>
          <w:spacing w:val="-5"/>
          <w:sz w:val="22"/>
        </w:rPr>
        <w:t> </w:t>
      </w:r>
      <w:r>
        <w:rPr>
          <w:i/>
          <w:sz w:val="22"/>
        </w:rPr>
        <w:t>and</w:t>
      </w:r>
      <w:r>
        <w:rPr>
          <w:i/>
          <w:spacing w:val="-5"/>
          <w:sz w:val="22"/>
        </w:rPr>
        <w:t> </w:t>
      </w:r>
      <w:r>
        <w:rPr>
          <w:i/>
          <w:sz w:val="22"/>
        </w:rPr>
        <w:t>communicating</w:t>
      </w:r>
      <w:r>
        <w:rPr>
          <w:i/>
          <w:spacing w:val="-5"/>
          <w:sz w:val="22"/>
        </w:rPr>
        <w:t> </w:t>
      </w:r>
      <w:r>
        <w:rPr>
          <w:i/>
          <w:spacing w:val="-2"/>
          <w:sz w:val="22"/>
        </w:rPr>
        <w:t>risk</w:t>
      </w:r>
      <w:r>
        <w:rPr>
          <w:spacing w:val="-2"/>
          <w:sz w:val="22"/>
        </w:rPr>
        <w:t>”</w:t>
      </w:r>
    </w:p>
    <w:p>
      <w:pPr>
        <w:pStyle w:val="ListParagraph"/>
        <w:numPr>
          <w:ilvl w:val="0"/>
          <w:numId w:val="38"/>
        </w:numPr>
        <w:tabs>
          <w:tab w:pos="957" w:val="left" w:leader="none"/>
        </w:tabs>
        <w:spacing w:line="240" w:lineRule="auto" w:before="64" w:after="0"/>
        <w:ind w:left="957" w:right="0" w:hanging="357"/>
        <w:jc w:val="left"/>
        <w:rPr>
          <w:sz w:val="22"/>
        </w:rPr>
      </w:pPr>
      <w:r>
        <w:rPr>
          <w:sz w:val="22"/>
        </w:rPr>
        <w:t>“</w:t>
      </w:r>
      <w:r>
        <w:rPr>
          <w:i/>
          <w:sz w:val="22"/>
        </w:rPr>
        <w:t>risk</w:t>
      </w:r>
      <w:r>
        <w:rPr>
          <w:i/>
          <w:spacing w:val="-6"/>
          <w:sz w:val="22"/>
        </w:rPr>
        <w:t> </w:t>
      </w:r>
      <w:r>
        <w:rPr>
          <w:i/>
          <w:sz w:val="22"/>
        </w:rPr>
        <w:t>assessment</w:t>
      </w:r>
      <w:r>
        <w:rPr>
          <w:i/>
          <w:spacing w:val="-8"/>
          <w:sz w:val="22"/>
        </w:rPr>
        <w:t> </w:t>
      </w:r>
      <w:r>
        <w:rPr>
          <w:i/>
          <w:sz w:val="22"/>
        </w:rPr>
        <w:t>is</w:t>
      </w:r>
      <w:r>
        <w:rPr>
          <w:i/>
          <w:spacing w:val="-6"/>
          <w:sz w:val="22"/>
        </w:rPr>
        <w:t> </w:t>
      </w:r>
      <w:r>
        <w:rPr>
          <w:i/>
          <w:sz w:val="22"/>
        </w:rPr>
        <w:t>largely</w:t>
      </w:r>
      <w:r>
        <w:rPr>
          <w:i/>
          <w:spacing w:val="-6"/>
          <w:sz w:val="22"/>
        </w:rPr>
        <w:t> </w:t>
      </w:r>
      <w:r>
        <w:rPr>
          <w:i/>
          <w:sz w:val="22"/>
        </w:rPr>
        <w:t>qualitative</w:t>
      </w:r>
      <w:r>
        <w:rPr>
          <w:sz w:val="22"/>
        </w:rPr>
        <w:t>”;</w:t>
      </w:r>
      <w:r>
        <w:rPr>
          <w:spacing w:val="-4"/>
          <w:sz w:val="22"/>
        </w:rPr>
        <w:t> </w:t>
      </w:r>
      <w:r>
        <w:rPr>
          <w:spacing w:val="-5"/>
          <w:sz w:val="22"/>
        </w:rPr>
        <w:t>and</w:t>
      </w:r>
    </w:p>
    <w:p>
      <w:pPr>
        <w:pStyle w:val="ListParagraph"/>
        <w:numPr>
          <w:ilvl w:val="0"/>
          <w:numId w:val="38"/>
        </w:numPr>
        <w:tabs>
          <w:tab w:pos="958" w:val="left" w:leader="none"/>
        </w:tabs>
        <w:spacing w:line="288" w:lineRule="auto" w:before="66" w:after="0"/>
        <w:ind w:left="958" w:right="1430" w:hanging="358"/>
        <w:jc w:val="left"/>
        <w:rPr>
          <w:sz w:val="22"/>
        </w:rPr>
      </w:pPr>
      <w:r>
        <w:rPr>
          <w:sz w:val="22"/>
        </w:rPr>
        <w:t>“</w:t>
      </w:r>
      <w:r>
        <w:rPr>
          <w:i/>
          <w:sz w:val="22"/>
        </w:rPr>
        <w:t>there</w:t>
      </w:r>
      <w:r>
        <w:rPr>
          <w:i/>
          <w:spacing w:val="-3"/>
          <w:sz w:val="22"/>
        </w:rPr>
        <w:t> </w:t>
      </w:r>
      <w:r>
        <w:rPr>
          <w:i/>
          <w:sz w:val="22"/>
        </w:rPr>
        <w:t>is</w:t>
      </w:r>
      <w:r>
        <w:rPr>
          <w:i/>
          <w:spacing w:val="-3"/>
          <w:sz w:val="22"/>
        </w:rPr>
        <w:t> </w:t>
      </w:r>
      <w:r>
        <w:rPr>
          <w:i/>
          <w:sz w:val="22"/>
        </w:rPr>
        <w:t>presently</w:t>
      </w:r>
      <w:r>
        <w:rPr>
          <w:i/>
          <w:spacing w:val="-2"/>
          <w:sz w:val="22"/>
        </w:rPr>
        <w:t> </w:t>
      </w:r>
      <w:r>
        <w:rPr>
          <w:i/>
          <w:sz w:val="22"/>
        </w:rPr>
        <w:t>insufficient</w:t>
      </w:r>
      <w:r>
        <w:rPr>
          <w:i/>
          <w:spacing w:val="-1"/>
          <w:sz w:val="22"/>
        </w:rPr>
        <w:t> </w:t>
      </w:r>
      <w:r>
        <w:rPr>
          <w:i/>
          <w:sz w:val="22"/>
        </w:rPr>
        <w:t>analytical</w:t>
      </w:r>
      <w:r>
        <w:rPr>
          <w:i/>
          <w:spacing w:val="-4"/>
          <w:sz w:val="22"/>
        </w:rPr>
        <w:t> </w:t>
      </w:r>
      <w:r>
        <w:rPr>
          <w:i/>
          <w:sz w:val="22"/>
        </w:rPr>
        <w:t>support</w:t>
      </w:r>
      <w:r>
        <w:rPr>
          <w:i/>
          <w:spacing w:val="-6"/>
          <w:sz w:val="22"/>
        </w:rPr>
        <w:t> </w:t>
      </w:r>
      <w:r>
        <w:rPr>
          <w:i/>
          <w:sz w:val="22"/>
        </w:rPr>
        <w:t>to</w:t>
      </w:r>
      <w:r>
        <w:rPr>
          <w:i/>
          <w:spacing w:val="-3"/>
          <w:sz w:val="22"/>
        </w:rPr>
        <w:t> </w:t>
      </w:r>
      <w:r>
        <w:rPr>
          <w:i/>
          <w:sz w:val="22"/>
        </w:rPr>
        <w:t>allow</w:t>
      </w:r>
      <w:r>
        <w:rPr>
          <w:i/>
          <w:spacing w:val="-2"/>
          <w:sz w:val="22"/>
        </w:rPr>
        <w:t> </w:t>
      </w:r>
      <w:r>
        <w:rPr>
          <w:i/>
          <w:sz w:val="22"/>
        </w:rPr>
        <w:t>a</w:t>
      </w:r>
      <w:r>
        <w:rPr>
          <w:i/>
          <w:spacing w:val="-5"/>
          <w:sz w:val="22"/>
        </w:rPr>
        <w:t> </w:t>
      </w:r>
      <w:r>
        <w:rPr>
          <w:i/>
          <w:sz w:val="22"/>
        </w:rPr>
        <w:t>quantitative</w:t>
      </w:r>
      <w:r>
        <w:rPr>
          <w:i/>
          <w:spacing w:val="-3"/>
          <w:sz w:val="22"/>
        </w:rPr>
        <w:t> </w:t>
      </w:r>
      <w:r>
        <w:rPr>
          <w:i/>
          <w:sz w:val="22"/>
        </w:rPr>
        <w:t>approach</w:t>
      </w:r>
      <w:r>
        <w:rPr>
          <w:sz w:val="22"/>
        </w:rPr>
        <w:t>” (Huegin Consulting, 2016, p. 11).</w:t>
      </w:r>
    </w:p>
    <w:p>
      <w:pPr>
        <w:pStyle w:val="BodyText"/>
        <w:spacing w:before="8"/>
        <w:rPr>
          <w:sz w:val="20"/>
        </w:rPr>
      </w:pPr>
    </w:p>
    <w:p>
      <w:pPr>
        <w:spacing w:line="288" w:lineRule="auto" w:before="0"/>
        <w:ind w:left="600" w:right="910" w:firstLine="0"/>
        <w:jc w:val="left"/>
        <w:rPr>
          <w:sz w:val="22"/>
        </w:rPr>
      </w:pPr>
      <w:r>
        <w:rPr>
          <w:sz w:val="22"/>
        </w:rPr>
        <w:t>Huegin</w:t>
      </w:r>
      <w:r>
        <w:rPr>
          <w:spacing w:val="-3"/>
          <w:sz w:val="22"/>
        </w:rPr>
        <w:t> </w:t>
      </w:r>
      <w:r>
        <w:rPr>
          <w:sz w:val="22"/>
        </w:rPr>
        <w:t>recommended</w:t>
      </w:r>
      <w:r>
        <w:rPr>
          <w:spacing w:val="-5"/>
          <w:sz w:val="22"/>
        </w:rPr>
        <w:t> </w:t>
      </w:r>
      <w:r>
        <w:rPr>
          <w:sz w:val="22"/>
        </w:rPr>
        <w:t>that</w:t>
      </w:r>
      <w:r>
        <w:rPr>
          <w:spacing w:val="-2"/>
          <w:sz w:val="22"/>
        </w:rPr>
        <w:t> </w:t>
      </w:r>
      <w:r>
        <w:rPr>
          <w:sz w:val="22"/>
        </w:rPr>
        <w:t>ESV</w:t>
      </w:r>
      <w:r>
        <w:rPr>
          <w:spacing w:val="-3"/>
          <w:sz w:val="22"/>
        </w:rPr>
        <w:t> </w:t>
      </w:r>
      <w:r>
        <w:rPr>
          <w:sz w:val="22"/>
        </w:rPr>
        <w:t>should</w:t>
      </w:r>
      <w:r>
        <w:rPr>
          <w:spacing w:val="-5"/>
          <w:sz w:val="22"/>
        </w:rPr>
        <w:t> </w:t>
      </w:r>
      <w:r>
        <w:rPr>
          <w:sz w:val="22"/>
        </w:rPr>
        <w:t>“</w:t>
      </w:r>
      <w:r>
        <w:rPr>
          <w:i/>
          <w:sz w:val="22"/>
        </w:rPr>
        <w:t>formally</w:t>
      </w:r>
      <w:r>
        <w:rPr>
          <w:i/>
          <w:spacing w:val="-5"/>
          <w:sz w:val="22"/>
        </w:rPr>
        <w:t> </w:t>
      </w:r>
      <w:r>
        <w:rPr>
          <w:i/>
          <w:sz w:val="22"/>
        </w:rPr>
        <w:t>establish</w:t>
      </w:r>
      <w:r>
        <w:rPr>
          <w:i/>
          <w:spacing w:val="-3"/>
          <w:sz w:val="22"/>
        </w:rPr>
        <w:t> </w:t>
      </w:r>
      <w:r>
        <w:rPr>
          <w:i/>
          <w:sz w:val="22"/>
        </w:rPr>
        <w:t>an</w:t>
      </w:r>
      <w:r>
        <w:rPr>
          <w:i/>
          <w:spacing w:val="-3"/>
          <w:sz w:val="22"/>
        </w:rPr>
        <w:t> </w:t>
      </w:r>
      <w:r>
        <w:rPr>
          <w:i/>
          <w:sz w:val="22"/>
        </w:rPr>
        <w:t>ESV-wide</w:t>
      </w:r>
      <w:r>
        <w:rPr>
          <w:i/>
          <w:spacing w:val="-3"/>
          <w:sz w:val="22"/>
        </w:rPr>
        <w:t> </w:t>
      </w:r>
      <w:r>
        <w:rPr>
          <w:i/>
          <w:sz w:val="22"/>
        </w:rPr>
        <w:t>capability</w:t>
      </w:r>
      <w:r>
        <w:rPr>
          <w:i/>
          <w:spacing w:val="-2"/>
          <w:sz w:val="22"/>
        </w:rPr>
        <w:t> </w:t>
      </w:r>
      <w:r>
        <w:rPr>
          <w:i/>
          <w:sz w:val="22"/>
        </w:rPr>
        <w:t>for analytical decision support</w:t>
      </w:r>
      <w:r>
        <w:rPr>
          <w:sz w:val="22"/>
        </w:rPr>
        <w:t>”, noting among other things:</w:t>
      </w:r>
    </w:p>
    <w:p>
      <w:pPr>
        <w:pStyle w:val="BodyText"/>
        <w:spacing w:before="10"/>
        <w:rPr>
          <w:sz w:val="20"/>
        </w:rPr>
      </w:pPr>
    </w:p>
    <w:p>
      <w:pPr>
        <w:spacing w:line="288" w:lineRule="auto" w:before="1"/>
        <w:ind w:left="1166" w:right="1369" w:firstLine="0"/>
        <w:jc w:val="left"/>
        <w:rPr>
          <w:i/>
          <w:sz w:val="22"/>
        </w:rPr>
      </w:pPr>
      <w:r>
        <w:rPr>
          <w:i/>
          <w:sz w:val="22"/>
        </w:rPr>
        <w:t>“…</w:t>
      </w:r>
      <w:r>
        <w:rPr>
          <w:i/>
          <w:spacing w:val="-2"/>
          <w:sz w:val="22"/>
        </w:rPr>
        <w:t> </w:t>
      </w:r>
      <w:r>
        <w:rPr>
          <w:i/>
          <w:sz w:val="22"/>
        </w:rPr>
        <w:t>The</w:t>
      </w:r>
      <w:r>
        <w:rPr>
          <w:i/>
          <w:spacing w:val="-5"/>
          <w:sz w:val="22"/>
        </w:rPr>
        <w:t> </w:t>
      </w:r>
      <w:r>
        <w:rPr>
          <w:i/>
          <w:sz w:val="22"/>
        </w:rPr>
        <w:t>value</w:t>
      </w:r>
      <w:r>
        <w:rPr>
          <w:i/>
          <w:spacing w:val="-3"/>
          <w:sz w:val="22"/>
        </w:rPr>
        <w:t> </w:t>
      </w:r>
      <w:r>
        <w:rPr>
          <w:i/>
          <w:sz w:val="22"/>
        </w:rPr>
        <w:t>of</w:t>
      </w:r>
      <w:r>
        <w:rPr>
          <w:i/>
          <w:spacing w:val="-1"/>
          <w:sz w:val="22"/>
        </w:rPr>
        <w:t> </w:t>
      </w:r>
      <w:r>
        <w:rPr>
          <w:i/>
          <w:sz w:val="22"/>
        </w:rPr>
        <w:t>an</w:t>
      </w:r>
      <w:r>
        <w:rPr>
          <w:i/>
          <w:spacing w:val="-5"/>
          <w:sz w:val="22"/>
        </w:rPr>
        <w:t> </w:t>
      </w:r>
      <w:r>
        <w:rPr>
          <w:i/>
          <w:sz w:val="22"/>
        </w:rPr>
        <w:t>effective</w:t>
      </w:r>
      <w:r>
        <w:rPr>
          <w:i/>
          <w:spacing w:val="-3"/>
          <w:sz w:val="22"/>
        </w:rPr>
        <w:t> </w:t>
      </w:r>
      <w:r>
        <w:rPr>
          <w:i/>
          <w:sz w:val="22"/>
        </w:rPr>
        <w:t>analytical</w:t>
      </w:r>
      <w:r>
        <w:rPr>
          <w:i/>
          <w:spacing w:val="-4"/>
          <w:sz w:val="22"/>
        </w:rPr>
        <w:t> </w:t>
      </w:r>
      <w:r>
        <w:rPr>
          <w:i/>
          <w:sz w:val="22"/>
        </w:rPr>
        <w:t>decision</w:t>
      </w:r>
      <w:r>
        <w:rPr>
          <w:i/>
          <w:spacing w:val="-5"/>
          <w:sz w:val="22"/>
        </w:rPr>
        <w:t> </w:t>
      </w:r>
      <w:r>
        <w:rPr>
          <w:i/>
          <w:sz w:val="22"/>
        </w:rPr>
        <w:t>support</w:t>
      </w:r>
      <w:r>
        <w:rPr>
          <w:i/>
          <w:spacing w:val="-4"/>
          <w:sz w:val="22"/>
        </w:rPr>
        <w:t> </w:t>
      </w:r>
      <w:r>
        <w:rPr>
          <w:i/>
          <w:sz w:val="22"/>
        </w:rPr>
        <w:t>capability</w:t>
      </w:r>
      <w:r>
        <w:rPr>
          <w:i/>
          <w:spacing w:val="-2"/>
          <w:sz w:val="22"/>
        </w:rPr>
        <w:t> </w:t>
      </w:r>
      <w:r>
        <w:rPr>
          <w:i/>
          <w:sz w:val="22"/>
        </w:rPr>
        <w:t>is</w:t>
      </w:r>
      <w:r>
        <w:rPr>
          <w:i/>
          <w:spacing w:val="-2"/>
          <w:sz w:val="22"/>
        </w:rPr>
        <w:t> </w:t>
      </w:r>
      <w:r>
        <w:rPr>
          <w:i/>
          <w:sz w:val="22"/>
        </w:rPr>
        <w:t>in</w:t>
      </w:r>
      <w:r>
        <w:rPr>
          <w:i/>
          <w:spacing w:val="-5"/>
          <w:sz w:val="22"/>
        </w:rPr>
        <w:t> </w:t>
      </w:r>
      <w:r>
        <w:rPr>
          <w:i/>
          <w:sz w:val="22"/>
        </w:rPr>
        <w:t>the delivery of insights to both ESV decision makers and other stakeholders.</w:t>
      </w:r>
    </w:p>
    <w:p>
      <w:pPr>
        <w:pStyle w:val="BodyText"/>
        <w:spacing w:before="9"/>
        <w:rPr>
          <w:i/>
          <w:sz w:val="20"/>
        </w:rPr>
      </w:pPr>
    </w:p>
    <w:p>
      <w:pPr>
        <w:spacing w:line="288" w:lineRule="auto" w:before="1"/>
        <w:ind w:left="1166" w:right="1253" w:firstLine="0"/>
        <w:jc w:val="left"/>
        <w:rPr>
          <w:sz w:val="22"/>
        </w:rPr>
      </w:pPr>
      <w:r>
        <w:rPr>
          <w:i/>
          <w:sz w:val="22"/>
        </w:rPr>
        <w:t>To</w:t>
      </w:r>
      <w:r>
        <w:rPr>
          <w:i/>
          <w:spacing w:val="-4"/>
          <w:sz w:val="22"/>
        </w:rPr>
        <w:t> </w:t>
      </w:r>
      <w:r>
        <w:rPr>
          <w:i/>
          <w:sz w:val="22"/>
        </w:rPr>
        <w:t>enable</w:t>
      </w:r>
      <w:r>
        <w:rPr>
          <w:i/>
          <w:spacing w:val="-4"/>
          <w:sz w:val="22"/>
        </w:rPr>
        <w:t> </w:t>
      </w:r>
      <w:r>
        <w:rPr>
          <w:i/>
          <w:sz w:val="22"/>
        </w:rPr>
        <w:t>effective</w:t>
      </w:r>
      <w:r>
        <w:rPr>
          <w:i/>
          <w:spacing w:val="-4"/>
          <w:sz w:val="22"/>
        </w:rPr>
        <w:t> </w:t>
      </w:r>
      <w:r>
        <w:rPr>
          <w:i/>
          <w:sz w:val="22"/>
        </w:rPr>
        <w:t>analytical</w:t>
      </w:r>
      <w:r>
        <w:rPr>
          <w:i/>
          <w:spacing w:val="-5"/>
          <w:sz w:val="22"/>
        </w:rPr>
        <w:t> </w:t>
      </w:r>
      <w:r>
        <w:rPr>
          <w:i/>
          <w:sz w:val="22"/>
        </w:rPr>
        <w:t>decision</w:t>
      </w:r>
      <w:r>
        <w:rPr>
          <w:i/>
          <w:spacing w:val="-4"/>
          <w:sz w:val="22"/>
        </w:rPr>
        <w:t> </w:t>
      </w:r>
      <w:r>
        <w:rPr>
          <w:i/>
          <w:sz w:val="22"/>
        </w:rPr>
        <w:t>support</w:t>
      </w:r>
      <w:r>
        <w:rPr>
          <w:i/>
          <w:spacing w:val="-5"/>
          <w:sz w:val="22"/>
        </w:rPr>
        <w:t> </w:t>
      </w:r>
      <w:r>
        <w:rPr>
          <w:i/>
          <w:sz w:val="22"/>
        </w:rPr>
        <w:t>requires</w:t>
      </w:r>
      <w:r>
        <w:rPr>
          <w:i/>
          <w:spacing w:val="-4"/>
          <w:sz w:val="22"/>
        </w:rPr>
        <w:t> </w:t>
      </w:r>
      <w:r>
        <w:rPr>
          <w:i/>
          <w:sz w:val="22"/>
        </w:rPr>
        <w:t>access</w:t>
      </w:r>
      <w:r>
        <w:rPr>
          <w:i/>
          <w:spacing w:val="-6"/>
          <w:sz w:val="22"/>
        </w:rPr>
        <w:t> </w:t>
      </w:r>
      <w:r>
        <w:rPr>
          <w:i/>
          <w:sz w:val="22"/>
        </w:rPr>
        <w:t>to</w:t>
      </w:r>
      <w:r>
        <w:rPr>
          <w:i/>
          <w:spacing w:val="-4"/>
          <w:sz w:val="22"/>
        </w:rPr>
        <w:t> </w:t>
      </w:r>
      <w:r>
        <w:rPr>
          <w:i/>
          <w:sz w:val="22"/>
        </w:rPr>
        <w:t>both</w:t>
      </w:r>
      <w:r>
        <w:rPr>
          <w:i/>
          <w:spacing w:val="-4"/>
          <w:sz w:val="22"/>
        </w:rPr>
        <w:t> </w:t>
      </w:r>
      <w:r>
        <w:rPr>
          <w:i/>
          <w:sz w:val="22"/>
        </w:rPr>
        <w:t>sufficient data and sophisticated analytical tools. Further, the practitioners in this area need not be industry specialists, rather have significant functional expertise.” </w:t>
      </w:r>
      <w:r>
        <w:rPr>
          <w:sz w:val="22"/>
        </w:rPr>
        <w:t>(Huegin Consulting, 2016, p. 13)</w:t>
      </w:r>
    </w:p>
    <w:p>
      <w:pPr>
        <w:pStyle w:val="BodyText"/>
        <w:spacing w:before="10"/>
        <w:rPr>
          <w:sz w:val="20"/>
        </w:rPr>
      </w:pPr>
    </w:p>
    <w:p>
      <w:pPr>
        <w:pStyle w:val="BodyText"/>
        <w:spacing w:line="290" w:lineRule="auto"/>
        <w:ind w:left="600" w:right="713"/>
      </w:pPr>
      <w:r>
        <w:rPr/>
        <w:t>In addition to supporting regulatory practice at the “sharp end” – auditing and inspections, other compliance and enforcement activities, and the scrutiny and acceptance of safety cases</w:t>
      </w:r>
      <w:r>
        <w:rPr>
          <w:spacing w:val="-2"/>
        </w:rPr>
        <w:t> </w:t>
      </w:r>
      <w:r>
        <w:rPr/>
        <w:t>–</w:t>
      </w:r>
      <w:r>
        <w:rPr>
          <w:spacing w:val="-5"/>
        </w:rPr>
        <w:t> </w:t>
      </w:r>
      <w:r>
        <w:rPr/>
        <w:t>effective</w:t>
      </w:r>
      <w:r>
        <w:rPr>
          <w:spacing w:val="-3"/>
        </w:rPr>
        <w:t> </w:t>
      </w:r>
      <w:r>
        <w:rPr/>
        <w:t>analytical</w:t>
      </w:r>
      <w:r>
        <w:rPr>
          <w:spacing w:val="-4"/>
        </w:rPr>
        <w:t> </w:t>
      </w:r>
      <w:r>
        <w:rPr/>
        <w:t>capabilities</w:t>
      </w:r>
      <w:r>
        <w:rPr>
          <w:spacing w:val="-3"/>
        </w:rPr>
        <w:t> </w:t>
      </w:r>
      <w:r>
        <w:rPr/>
        <w:t>are</w:t>
      </w:r>
      <w:r>
        <w:rPr>
          <w:spacing w:val="-3"/>
        </w:rPr>
        <w:t> </w:t>
      </w:r>
      <w:r>
        <w:rPr/>
        <w:t>essential</w:t>
      </w:r>
      <w:r>
        <w:rPr>
          <w:spacing w:val="-4"/>
        </w:rPr>
        <w:t> </w:t>
      </w:r>
      <w:r>
        <w:rPr/>
        <w:t>to establishing</w:t>
      </w:r>
      <w:r>
        <w:rPr>
          <w:spacing w:val="-1"/>
        </w:rPr>
        <w:t> </w:t>
      </w:r>
      <w:r>
        <w:rPr/>
        <w:t>and</w:t>
      </w:r>
      <w:r>
        <w:rPr>
          <w:spacing w:val="-5"/>
        </w:rPr>
        <w:t> </w:t>
      </w:r>
      <w:r>
        <w:rPr/>
        <w:t>maintaining</w:t>
      </w:r>
      <w:r>
        <w:rPr>
          <w:spacing w:val="-1"/>
        </w:rPr>
        <w:t> </w:t>
      </w:r>
      <w:r>
        <w:rPr/>
        <w:t>a</w:t>
      </w:r>
      <w:r>
        <w:rPr>
          <w:spacing w:val="-5"/>
        </w:rPr>
        <w:t> </w:t>
      </w:r>
      <w:r>
        <w:rPr/>
        <w:t>clear and shared strategic regulatory direction.</w:t>
      </w:r>
    </w:p>
    <w:p>
      <w:pPr>
        <w:pStyle w:val="BodyText"/>
        <w:rPr>
          <w:sz w:val="21"/>
        </w:rPr>
      </w:pPr>
    </w:p>
    <w:p>
      <w:pPr>
        <w:pStyle w:val="BodyText"/>
        <w:spacing w:line="288" w:lineRule="auto" w:before="1"/>
        <w:ind w:left="600" w:right="621"/>
      </w:pPr>
      <w:r>
        <w:rPr/>
        <w:t>Marchment Hill Consulting (2016) identified “strategic foundations” as one of four key</w:t>
      </w:r>
      <w:r>
        <w:rPr>
          <w:spacing w:val="40"/>
        </w:rPr>
        <w:t> </w:t>
      </w:r>
      <w:r>
        <w:rPr/>
        <w:t>themes</w:t>
      </w:r>
      <w:r>
        <w:rPr>
          <w:spacing w:val="-4"/>
        </w:rPr>
        <w:t> </w:t>
      </w:r>
      <w:r>
        <w:rPr/>
        <w:t>arising</w:t>
      </w:r>
      <w:r>
        <w:rPr>
          <w:spacing w:val="-2"/>
        </w:rPr>
        <w:t> </w:t>
      </w:r>
      <w:r>
        <w:rPr/>
        <w:t>from</w:t>
      </w:r>
      <w:r>
        <w:rPr>
          <w:spacing w:val="-3"/>
        </w:rPr>
        <w:t> </w:t>
      </w:r>
      <w:r>
        <w:rPr/>
        <w:t>its</w:t>
      </w:r>
      <w:r>
        <w:rPr>
          <w:spacing w:val="-4"/>
        </w:rPr>
        <w:t> </w:t>
      </w:r>
      <w:r>
        <w:rPr/>
        <w:t>review</w:t>
      </w:r>
      <w:r>
        <w:rPr>
          <w:spacing w:val="-5"/>
        </w:rPr>
        <w:t> </w:t>
      </w:r>
      <w:r>
        <w:rPr/>
        <w:t>of ESV</w:t>
      </w:r>
      <w:r>
        <w:rPr>
          <w:spacing w:val="-2"/>
        </w:rPr>
        <w:t> </w:t>
      </w:r>
      <w:r>
        <w:rPr/>
        <w:t>executive</w:t>
      </w:r>
      <w:r>
        <w:rPr>
          <w:spacing w:val="-4"/>
        </w:rPr>
        <w:t> </w:t>
      </w:r>
      <w:r>
        <w:rPr/>
        <w:t>structures</w:t>
      </w:r>
      <w:r>
        <w:rPr>
          <w:spacing w:val="-1"/>
        </w:rPr>
        <w:t> </w:t>
      </w:r>
      <w:r>
        <w:rPr/>
        <w:t>in</w:t>
      </w:r>
      <w:r>
        <w:rPr>
          <w:spacing w:val="-2"/>
        </w:rPr>
        <w:t> </w:t>
      </w:r>
      <w:r>
        <w:rPr/>
        <w:t>February</w:t>
      </w:r>
      <w:r>
        <w:rPr>
          <w:spacing w:val="-4"/>
        </w:rPr>
        <w:t> </w:t>
      </w:r>
      <w:r>
        <w:rPr/>
        <w:t>2016.</w:t>
      </w:r>
      <w:r>
        <w:rPr>
          <w:spacing w:val="-8"/>
        </w:rPr>
        <w:t> </w:t>
      </w:r>
      <w:r>
        <w:rPr/>
        <w:t>While</w:t>
      </w:r>
      <w:r>
        <w:rPr>
          <w:spacing w:val="-4"/>
        </w:rPr>
        <w:t> </w:t>
      </w:r>
      <w:r>
        <w:rPr/>
        <w:t>the</w:t>
      </w:r>
      <w:r>
        <w:rPr>
          <w:spacing w:val="-4"/>
        </w:rPr>
        <w:t> </w:t>
      </w:r>
      <w:r>
        <w:rPr/>
        <w:t>focus of its report was broader than regulatory practice alone, some of the observations made by Marchment Hill are indicative of the challenges that ESV has been grappling with.</w:t>
      </w:r>
    </w:p>
    <w:p>
      <w:pPr>
        <w:pStyle w:val="BodyText"/>
        <w:spacing w:before="10"/>
        <w:rPr>
          <w:sz w:val="20"/>
        </w:rPr>
      </w:pPr>
    </w:p>
    <w:p>
      <w:pPr>
        <w:pStyle w:val="BodyText"/>
        <w:ind w:left="600"/>
      </w:pPr>
      <w:r>
        <w:rPr/>
        <w:t>For</w:t>
      </w:r>
      <w:r>
        <w:rPr>
          <w:spacing w:val="-4"/>
        </w:rPr>
        <w:t> </w:t>
      </w:r>
      <w:r>
        <w:rPr/>
        <w:t>example,</w:t>
      </w:r>
      <w:r>
        <w:rPr>
          <w:spacing w:val="-6"/>
        </w:rPr>
        <w:t> </w:t>
      </w:r>
      <w:r>
        <w:rPr/>
        <w:t>in</w:t>
      </w:r>
      <w:r>
        <w:rPr>
          <w:spacing w:val="-4"/>
        </w:rPr>
        <w:t> </w:t>
      </w:r>
      <w:r>
        <w:rPr/>
        <w:t>the</w:t>
      </w:r>
      <w:r>
        <w:rPr>
          <w:spacing w:val="-7"/>
        </w:rPr>
        <w:t> </w:t>
      </w:r>
      <w:r>
        <w:rPr/>
        <w:t>area</w:t>
      </w:r>
      <w:r>
        <w:rPr>
          <w:spacing w:val="-8"/>
        </w:rPr>
        <w:t> </w:t>
      </w:r>
      <w:r>
        <w:rPr/>
        <w:t>of</w:t>
      </w:r>
      <w:r>
        <w:rPr>
          <w:spacing w:val="-3"/>
        </w:rPr>
        <w:t> </w:t>
      </w:r>
      <w:r>
        <w:rPr/>
        <w:t>“strategic</w:t>
      </w:r>
      <w:r>
        <w:rPr>
          <w:spacing w:val="-8"/>
        </w:rPr>
        <w:t> </w:t>
      </w:r>
      <w:r>
        <w:rPr/>
        <w:t>guidance”,</w:t>
      </w:r>
      <w:r>
        <w:rPr>
          <w:spacing w:val="-6"/>
        </w:rPr>
        <w:t> </w:t>
      </w:r>
      <w:r>
        <w:rPr/>
        <w:t>Marchment</w:t>
      </w:r>
      <w:r>
        <w:rPr>
          <w:spacing w:val="-3"/>
        </w:rPr>
        <w:t> </w:t>
      </w:r>
      <w:r>
        <w:rPr/>
        <w:t>Hill</w:t>
      </w:r>
      <w:r>
        <w:rPr>
          <w:spacing w:val="-4"/>
        </w:rPr>
        <w:t> </w:t>
      </w:r>
      <w:r>
        <w:rPr>
          <w:spacing w:val="-2"/>
        </w:rPr>
        <w:t>noted:</w:t>
      </w:r>
    </w:p>
    <w:p>
      <w:pPr>
        <w:pStyle w:val="BodyText"/>
        <w:spacing w:before="1"/>
        <w:rPr>
          <w:sz w:val="25"/>
        </w:rPr>
      </w:pPr>
    </w:p>
    <w:p>
      <w:pPr>
        <w:pStyle w:val="ListParagraph"/>
        <w:numPr>
          <w:ilvl w:val="0"/>
          <w:numId w:val="39"/>
        </w:numPr>
        <w:tabs>
          <w:tab w:pos="1452" w:val="left" w:leader="none"/>
        </w:tabs>
        <w:spacing w:line="278" w:lineRule="auto" w:before="1" w:after="0"/>
        <w:ind w:left="1452" w:right="1303" w:hanging="286"/>
        <w:jc w:val="left"/>
        <w:rPr>
          <w:i/>
          <w:sz w:val="22"/>
        </w:rPr>
      </w:pPr>
      <w:r>
        <w:rPr>
          <w:i/>
          <w:sz w:val="22"/>
        </w:rPr>
        <w:t>“Some</w:t>
      </w:r>
      <w:r>
        <w:rPr>
          <w:i/>
          <w:spacing w:val="-4"/>
          <w:sz w:val="22"/>
        </w:rPr>
        <w:t> </w:t>
      </w:r>
      <w:r>
        <w:rPr>
          <w:i/>
          <w:sz w:val="22"/>
        </w:rPr>
        <w:t>Executive</w:t>
      </w:r>
      <w:r>
        <w:rPr>
          <w:i/>
          <w:spacing w:val="-4"/>
          <w:sz w:val="22"/>
        </w:rPr>
        <w:t> </w:t>
      </w:r>
      <w:r>
        <w:rPr>
          <w:i/>
          <w:sz w:val="22"/>
        </w:rPr>
        <w:t>Managers</w:t>
      </w:r>
      <w:r>
        <w:rPr>
          <w:i/>
          <w:spacing w:val="-1"/>
          <w:sz w:val="22"/>
        </w:rPr>
        <w:t> </w:t>
      </w:r>
      <w:r>
        <w:rPr>
          <w:i/>
          <w:sz w:val="22"/>
        </w:rPr>
        <w:t>say</w:t>
      </w:r>
      <w:r>
        <w:rPr>
          <w:i/>
          <w:spacing w:val="-4"/>
          <w:sz w:val="22"/>
        </w:rPr>
        <w:t> </w:t>
      </w:r>
      <w:r>
        <w:rPr>
          <w:i/>
          <w:sz w:val="22"/>
        </w:rPr>
        <w:t>there</w:t>
      </w:r>
      <w:r>
        <w:rPr>
          <w:i/>
          <w:spacing w:val="-4"/>
          <w:sz w:val="22"/>
        </w:rPr>
        <w:t> </w:t>
      </w:r>
      <w:r>
        <w:rPr>
          <w:i/>
          <w:sz w:val="22"/>
        </w:rPr>
        <w:t>is</w:t>
      </w:r>
      <w:r>
        <w:rPr>
          <w:i/>
          <w:spacing w:val="-1"/>
          <w:sz w:val="22"/>
        </w:rPr>
        <w:t> </w:t>
      </w:r>
      <w:r>
        <w:rPr>
          <w:i/>
          <w:sz w:val="22"/>
        </w:rPr>
        <w:t>no</w:t>
      </w:r>
      <w:r>
        <w:rPr>
          <w:i/>
          <w:spacing w:val="-4"/>
          <w:sz w:val="22"/>
        </w:rPr>
        <w:t> </w:t>
      </w:r>
      <w:r>
        <w:rPr>
          <w:i/>
          <w:sz w:val="22"/>
        </w:rPr>
        <w:t>clear</w:t>
      </w:r>
      <w:r>
        <w:rPr>
          <w:i/>
          <w:spacing w:val="-3"/>
          <w:sz w:val="22"/>
        </w:rPr>
        <w:t> </w:t>
      </w:r>
      <w:r>
        <w:rPr>
          <w:i/>
          <w:sz w:val="22"/>
        </w:rPr>
        <w:t>strategy,</w:t>
      </w:r>
      <w:r>
        <w:rPr>
          <w:i/>
          <w:spacing w:val="-3"/>
          <w:sz w:val="22"/>
        </w:rPr>
        <w:t> </w:t>
      </w:r>
      <w:r>
        <w:rPr>
          <w:i/>
          <w:sz w:val="22"/>
        </w:rPr>
        <w:t>business model</w:t>
      </w:r>
      <w:r>
        <w:rPr>
          <w:i/>
          <w:spacing w:val="-5"/>
          <w:sz w:val="22"/>
        </w:rPr>
        <w:t> </w:t>
      </w:r>
      <w:r>
        <w:rPr>
          <w:i/>
          <w:sz w:val="22"/>
        </w:rPr>
        <w:t>or business architecture (noting that various terms are used for this broad </w:t>
      </w:r>
      <w:r>
        <w:rPr>
          <w:i/>
          <w:spacing w:val="-2"/>
          <w:sz w:val="22"/>
        </w:rPr>
        <w:t>sentiment)</w:t>
      </w:r>
    </w:p>
    <w:p>
      <w:pPr>
        <w:pStyle w:val="ListParagraph"/>
        <w:numPr>
          <w:ilvl w:val="0"/>
          <w:numId w:val="39"/>
        </w:numPr>
        <w:tabs>
          <w:tab w:pos="1452" w:val="left" w:leader="none"/>
        </w:tabs>
        <w:spacing w:line="266" w:lineRule="auto" w:before="12" w:after="0"/>
        <w:ind w:left="1452" w:right="1232" w:hanging="286"/>
        <w:jc w:val="left"/>
        <w:rPr>
          <w:i/>
          <w:sz w:val="22"/>
        </w:rPr>
      </w:pPr>
      <w:r>
        <w:rPr>
          <w:i/>
          <w:sz w:val="22"/>
        </w:rPr>
        <w:t>Some</w:t>
      </w:r>
      <w:r>
        <w:rPr>
          <w:i/>
          <w:spacing w:val="-2"/>
          <w:sz w:val="22"/>
        </w:rPr>
        <w:t> </w:t>
      </w:r>
      <w:r>
        <w:rPr>
          <w:i/>
          <w:sz w:val="22"/>
        </w:rPr>
        <w:t>Executive</w:t>
      </w:r>
      <w:r>
        <w:rPr>
          <w:i/>
          <w:spacing w:val="-3"/>
          <w:sz w:val="22"/>
        </w:rPr>
        <w:t> </w:t>
      </w:r>
      <w:r>
        <w:rPr>
          <w:i/>
          <w:sz w:val="22"/>
        </w:rPr>
        <w:t>Managers</w:t>
      </w:r>
      <w:r>
        <w:rPr>
          <w:i/>
          <w:spacing w:val="-5"/>
          <w:sz w:val="22"/>
        </w:rPr>
        <w:t> </w:t>
      </w:r>
      <w:r>
        <w:rPr>
          <w:i/>
          <w:sz w:val="22"/>
        </w:rPr>
        <w:t>were</w:t>
      </w:r>
      <w:r>
        <w:rPr>
          <w:i/>
          <w:spacing w:val="-5"/>
          <w:sz w:val="22"/>
        </w:rPr>
        <w:t> </w:t>
      </w:r>
      <w:r>
        <w:rPr>
          <w:i/>
          <w:sz w:val="22"/>
        </w:rPr>
        <w:t>not</w:t>
      </w:r>
      <w:r>
        <w:rPr>
          <w:i/>
          <w:spacing w:val="-4"/>
          <w:sz w:val="22"/>
        </w:rPr>
        <w:t> </w:t>
      </w:r>
      <w:r>
        <w:rPr>
          <w:i/>
          <w:sz w:val="22"/>
        </w:rPr>
        <w:t>fluent</w:t>
      </w:r>
      <w:r>
        <w:rPr>
          <w:i/>
          <w:spacing w:val="-2"/>
          <w:sz w:val="22"/>
        </w:rPr>
        <w:t> </w:t>
      </w:r>
      <w:r>
        <w:rPr>
          <w:i/>
          <w:sz w:val="22"/>
        </w:rPr>
        <w:t>in</w:t>
      </w:r>
      <w:r>
        <w:rPr>
          <w:i/>
          <w:spacing w:val="-5"/>
          <w:sz w:val="22"/>
        </w:rPr>
        <w:t> </w:t>
      </w:r>
      <w:r>
        <w:rPr>
          <w:i/>
          <w:sz w:val="22"/>
        </w:rPr>
        <w:t>their</w:t>
      </w:r>
      <w:r>
        <w:rPr>
          <w:i/>
          <w:spacing w:val="-4"/>
          <w:sz w:val="22"/>
        </w:rPr>
        <w:t> </w:t>
      </w:r>
      <w:r>
        <w:rPr>
          <w:i/>
          <w:sz w:val="22"/>
        </w:rPr>
        <w:t>own</w:t>
      </w:r>
      <w:r>
        <w:rPr>
          <w:i/>
          <w:spacing w:val="-5"/>
          <w:sz w:val="22"/>
        </w:rPr>
        <w:t> </w:t>
      </w:r>
      <w:r>
        <w:rPr>
          <w:i/>
          <w:sz w:val="22"/>
        </w:rPr>
        <w:t>description of</w:t>
      </w:r>
      <w:r>
        <w:rPr>
          <w:i/>
          <w:spacing w:val="-4"/>
          <w:sz w:val="22"/>
        </w:rPr>
        <w:t> </w:t>
      </w:r>
      <w:r>
        <w:rPr>
          <w:i/>
          <w:sz w:val="22"/>
        </w:rPr>
        <w:t>the</w:t>
      </w:r>
      <w:r>
        <w:rPr>
          <w:i/>
          <w:spacing w:val="-3"/>
          <w:sz w:val="22"/>
        </w:rPr>
        <w:t> </w:t>
      </w:r>
      <w:r>
        <w:rPr>
          <w:i/>
          <w:sz w:val="22"/>
        </w:rPr>
        <w:t>ESV </w:t>
      </w:r>
      <w:r>
        <w:rPr>
          <w:i/>
          <w:spacing w:val="-2"/>
          <w:sz w:val="22"/>
        </w:rPr>
        <w:t>strategy</w:t>
      </w:r>
    </w:p>
    <w:p>
      <w:pPr>
        <w:pStyle w:val="ListParagraph"/>
        <w:numPr>
          <w:ilvl w:val="0"/>
          <w:numId w:val="39"/>
        </w:numPr>
        <w:tabs>
          <w:tab w:pos="1452" w:val="left" w:leader="none"/>
        </w:tabs>
        <w:spacing w:line="266" w:lineRule="auto" w:before="26" w:after="0"/>
        <w:ind w:left="1452" w:right="1855" w:hanging="286"/>
        <w:jc w:val="left"/>
        <w:rPr>
          <w:sz w:val="22"/>
        </w:rPr>
      </w:pPr>
      <w:r>
        <w:rPr>
          <w:i/>
          <w:sz w:val="22"/>
        </w:rPr>
        <w:t>Some</w:t>
      </w:r>
      <w:r>
        <w:rPr>
          <w:i/>
          <w:spacing w:val="-3"/>
          <w:sz w:val="22"/>
        </w:rPr>
        <w:t> </w:t>
      </w:r>
      <w:r>
        <w:rPr>
          <w:i/>
          <w:sz w:val="22"/>
        </w:rPr>
        <w:t>Executive</w:t>
      </w:r>
      <w:r>
        <w:rPr>
          <w:i/>
          <w:spacing w:val="-4"/>
          <w:sz w:val="22"/>
        </w:rPr>
        <w:t> </w:t>
      </w:r>
      <w:r>
        <w:rPr>
          <w:i/>
          <w:sz w:val="22"/>
        </w:rPr>
        <w:t>Managers</w:t>
      </w:r>
      <w:r>
        <w:rPr>
          <w:i/>
          <w:spacing w:val="-3"/>
          <w:sz w:val="22"/>
        </w:rPr>
        <w:t> </w:t>
      </w:r>
      <w:r>
        <w:rPr>
          <w:i/>
          <w:sz w:val="22"/>
        </w:rPr>
        <w:t>showed</w:t>
      </w:r>
      <w:r>
        <w:rPr>
          <w:i/>
          <w:spacing w:val="-6"/>
          <w:sz w:val="22"/>
        </w:rPr>
        <w:t> </w:t>
      </w:r>
      <w:r>
        <w:rPr>
          <w:i/>
          <w:sz w:val="22"/>
        </w:rPr>
        <w:t>a</w:t>
      </w:r>
      <w:r>
        <w:rPr>
          <w:i/>
          <w:spacing w:val="-4"/>
          <w:sz w:val="22"/>
        </w:rPr>
        <w:t> </w:t>
      </w:r>
      <w:r>
        <w:rPr>
          <w:i/>
          <w:sz w:val="22"/>
        </w:rPr>
        <w:t>desire</w:t>
      </w:r>
      <w:r>
        <w:rPr>
          <w:i/>
          <w:spacing w:val="-6"/>
          <w:sz w:val="22"/>
        </w:rPr>
        <w:t> </w:t>
      </w:r>
      <w:r>
        <w:rPr>
          <w:i/>
          <w:sz w:val="22"/>
        </w:rPr>
        <w:t>to</w:t>
      </w:r>
      <w:r>
        <w:rPr>
          <w:i/>
          <w:spacing w:val="-4"/>
          <w:sz w:val="22"/>
        </w:rPr>
        <w:t> </w:t>
      </w:r>
      <w:r>
        <w:rPr>
          <w:i/>
          <w:sz w:val="22"/>
        </w:rPr>
        <w:t>improve</w:t>
      </w:r>
      <w:r>
        <w:rPr>
          <w:i/>
          <w:spacing w:val="-4"/>
          <w:sz w:val="22"/>
        </w:rPr>
        <w:t> </w:t>
      </w:r>
      <w:r>
        <w:rPr>
          <w:i/>
          <w:sz w:val="22"/>
        </w:rPr>
        <w:t>ESV’s strategic planning process.” </w:t>
      </w:r>
      <w:r>
        <w:rPr>
          <w:sz w:val="22"/>
        </w:rPr>
        <w:t>(Marchment Hill Consulting, 2016, p. 16)</w:t>
      </w:r>
    </w:p>
    <w:p>
      <w:pPr>
        <w:pStyle w:val="BodyText"/>
        <w:spacing w:before="2"/>
        <w:rPr>
          <w:sz w:val="23"/>
        </w:rPr>
      </w:pPr>
    </w:p>
    <w:p>
      <w:pPr>
        <w:pStyle w:val="BodyText"/>
        <w:ind w:left="600"/>
      </w:pPr>
      <w:r>
        <w:rPr/>
        <w:t>Similarly,</w:t>
      </w:r>
      <w:r>
        <w:rPr>
          <w:spacing w:val="-4"/>
        </w:rPr>
        <w:t> </w:t>
      </w:r>
      <w:r>
        <w:rPr/>
        <w:t>in</w:t>
      </w:r>
      <w:r>
        <w:rPr>
          <w:spacing w:val="-5"/>
        </w:rPr>
        <w:t> </w:t>
      </w:r>
      <w:r>
        <w:rPr/>
        <w:t>the</w:t>
      </w:r>
      <w:r>
        <w:rPr>
          <w:spacing w:val="-5"/>
        </w:rPr>
        <w:t> </w:t>
      </w:r>
      <w:r>
        <w:rPr/>
        <w:t>area</w:t>
      </w:r>
      <w:r>
        <w:rPr>
          <w:spacing w:val="-5"/>
        </w:rPr>
        <w:t> </w:t>
      </w:r>
      <w:r>
        <w:rPr/>
        <w:t>of</w:t>
      </w:r>
      <w:r>
        <w:rPr>
          <w:spacing w:val="-6"/>
        </w:rPr>
        <w:t> </w:t>
      </w:r>
      <w:r>
        <w:rPr/>
        <w:t>“leadership”,</w:t>
      </w:r>
      <w:r>
        <w:rPr>
          <w:spacing w:val="-5"/>
        </w:rPr>
        <w:t> </w:t>
      </w:r>
      <w:r>
        <w:rPr/>
        <w:t>Marchment</w:t>
      </w:r>
      <w:r>
        <w:rPr>
          <w:spacing w:val="-7"/>
        </w:rPr>
        <w:t> </w:t>
      </w:r>
      <w:r>
        <w:rPr/>
        <w:t>Hill</w:t>
      </w:r>
      <w:r>
        <w:rPr>
          <w:spacing w:val="-5"/>
        </w:rPr>
        <w:t> </w:t>
      </w:r>
      <w:r>
        <w:rPr>
          <w:spacing w:val="-2"/>
        </w:rPr>
        <w:t>noted:</w:t>
      </w:r>
    </w:p>
    <w:p>
      <w:pPr>
        <w:pStyle w:val="BodyText"/>
        <w:spacing w:before="2"/>
        <w:rPr>
          <w:sz w:val="25"/>
        </w:rPr>
      </w:pPr>
    </w:p>
    <w:p>
      <w:pPr>
        <w:pStyle w:val="ListParagraph"/>
        <w:numPr>
          <w:ilvl w:val="0"/>
          <w:numId w:val="39"/>
        </w:numPr>
        <w:tabs>
          <w:tab w:pos="1452" w:val="left" w:leader="none"/>
        </w:tabs>
        <w:spacing w:line="268" w:lineRule="auto" w:before="0" w:after="0"/>
        <w:ind w:left="1452" w:right="1478" w:hanging="286"/>
        <w:jc w:val="left"/>
        <w:rPr>
          <w:i/>
          <w:sz w:val="22"/>
        </w:rPr>
      </w:pPr>
      <w:r>
        <w:rPr>
          <w:i/>
          <w:sz w:val="22"/>
        </w:rPr>
        <w:t>“Executive</w:t>
      </w:r>
      <w:r>
        <w:rPr>
          <w:i/>
          <w:spacing w:val="-5"/>
          <w:sz w:val="22"/>
        </w:rPr>
        <w:t> </w:t>
      </w:r>
      <w:r>
        <w:rPr>
          <w:i/>
          <w:sz w:val="22"/>
        </w:rPr>
        <w:t>management</w:t>
      </w:r>
      <w:r>
        <w:rPr>
          <w:i/>
          <w:spacing w:val="-6"/>
          <w:sz w:val="22"/>
        </w:rPr>
        <w:t> </w:t>
      </w:r>
      <w:r>
        <w:rPr>
          <w:i/>
          <w:sz w:val="22"/>
        </w:rPr>
        <w:t>can</w:t>
      </w:r>
      <w:r>
        <w:rPr>
          <w:i/>
          <w:spacing w:val="-3"/>
          <w:sz w:val="22"/>
        </w:rPr>
        <w:t> </w:t>
      </w:r>
      <w:r>
        <w:rPr>
          <w:i/>
          <w:sz w:val="22"/>
        </w:rPr>
        <w:t>become</w:t>
      </w:r>
      <w:r>
        <w:rPr>
          <w:i/>
          <w:spacing w:val="-3"/>
          <w:sz w:val="22"/>
        </w:rPr>
        <w:t> </w:t>
      </w:r>
      <w:r>
        <w:rPr>
          <w:i/>
          <w:sz w:val="22"/>
        </w:rPr>
        <w:t>heavily</w:t>
      </w:r>
      <w:r>
        <w:rPr>
          <w:i/>
          <w:spacing w:val="-5"/>
          <w:sz w:val="22"/>
        </w:rPr>
        <w:t> </w:t>
      </w:r>
      <w:r>
        <w:rPr>
          <w:i/>
          <w:sz w:val="22"/>
        </w:rPr>
        <w:t>focused</w:t>
      </w:r>
      <w:r>
        <w:rPr>
          <w:i/>
          <w:spacing w:val="-3"/>
          <w:sz w:val="22"/>
        </w:rPr>
        <w:t> </w:t>
      </w:r>
      <w:r>
        <w:rPr>
          <w:i/>
          <w:sz w:val="22"/>
        </w:rPr>
        <w:t>on</w:t>
      </w:r>
      <w:r>
        <w:rPr>
          <w:i/>
          <w:spacing w:val="-3"/>
          <w:sz w:val="22"/>
        </w:rPr>
        <w:t> </w:t>
      </w:r>
      <w:r>
        <w:rPr>
          <w:i/>
          <w:sz w:val="22"/>
        </w:rPr>
        <w:t>BAU</w:t>
      </w:r>
      <w:r>
        <w:rPr>
          <w:i/>
          <w:spacing w:val="-3"/>
          <w:sz w:val="22"/>
        </w:rPr>
        <w:t> </w:t>
      </w:r>
      <w:r>
        <w:rPr>
          <w:i/>
          <w:sz w:val="22"/>
        </w:rPr>
        <w:t>[business</w:t>
      </w:r>
      <w:r>
        <w:rPr>
          <w:i/>
          <w:spacing w:val="-5"/>
          <w:sz w:val="22"/>
        </w:rPr>
        <w:t> </w:t>
      </w:r>
      <w:r>
        <w:rPr>
          <w:i/>
          <w:sz w:val="22"/>
        </w:rPr>
        <w:t>as usual] Leadership;</w:t>
      </w:r>
    </w:p>
    <w:p>
      <w:pPr>
        <w:spacing w:after="0" w:line="268" w:lineRule="auto"/>
        <w:jc w:val="left"/>
        <w:rPr>
          <w:sz w:val="22"/>
        </w:rPr>
        <w:sectPr>
          <w:pgSz w:w="11910" w:h="16840"/>
          <w:pgMar w:header="887" w:footer="1228" w:top="1080" w:bottom="1500" w:left="840" w:right="820"/>
        </w:sectPr>
      </w:pPr>
    </w:p>
    <w:p>
      <w:pPr>
        <w:pStyle w:val="BodyText"/>
        <w:rPr>
          <w:i/>
          <w:sz w:val="20"/>
        </w:rPr>
      </w:pPr>
    </w:p>
    <w:p>
      <w:pPr>
        <w:pStyle w:val="BodyText"/>
        <w:rPr>
          <w:i/>
          <w:sz w:val="20"/>
        </w:rPr>
      </w:pPr>
    </w:p>
    <w:p>
      <w:pPr>
        <w:pStyle w:val="BodyText"/>
        <w:spacing w:before="5"/>
        <w:rPr>
          <w:i/>
        </w:rPr>
      </w:pPr>
    </w:p>
    <w:p>
      <w:pPr>
        <w:pStyle w:val="ListParagraph"/>
        <w:numPr>
          <w:ilvl w:val="0"/>
          <w:numId w:val="39"/>
        </w:numPr>
        <w:tabs>
          <w:tab w:pos="1452" w:val="left" w:leader="none"/>
        </w:tabs>
        <w:spacing w:line="268" w:lineRule="auto" w:before="0" w:after="0"/>
        <w:ind w:left="1452" w:right="1478" w:hanging="286"/>
        <w:jc w:val="left"/>
        <w:rPr>
          <w:i/>
          <w:sz w:val="22"/>
        </w:rPr>
      </w:pPr>
      <w:r>
        <w:rPr>
          <w:i/>
          <w:sz w:val="22"/>
        </w:rPr>
        <w:t>Delivery</w:t>
      </w:r>
      <w:r>
        <w:rPr>
          <w:i/>
          <w:spacing w:val="-3"/>
          <w:sz w:val="22"/>
        </w:rPr>
        <w:t> </w:t>
      </w:r>
      <w:r>
        <w:rPr>
          <w:i/>
          <w:sz w:val="22"/>
        </w:rPr>
        <w:t>teams</w:t>
      </w:r>
      <w:r>
        <w:rPr>
          <w:i/>
          <w:spacing w:val="-3"/>
          <w:sz w:val="22"/>
        </w:rPr>
        <w:t> </w:t>
      </w:r>
      <w:r>
        <w:rPr>
          <w:i/>
          <w:sz w:val="22"/>
        </w:rPr>
        <w:t>potentially</w:t>
      </w:r>
      <w:r>
        <w:rPr>
          <w:i/>
          <w:spacing w:val="-3"/>
          <w:sz w:val="22"/>
        </w:rPr>
        <w:t> </w:t>
      </w:r>
      <w:r>
        <w:rPr>
          <w:i/>
          <w:sz w:val="22"/>
        </w:rPr>
        <w:t>lack</w:t>
      </w:r>
      <w:r>
        <w:rPr>
          <w:i/>
          <w:spacing w:val="-4"/>
          <w:sz w:val="22"/>
        </w:rPr>
        <w:t> </w:t>
      </w:r>
      <w:r>
        <w:rPr>
          <w:i/>
          <w:sz w:val="22"/>
        </w:rPr>
        <w:t>a</w:t>
      </w:r>
      <w:r>
        <w:rPr>
          <w:i/>
          <w:spacing w:val="-6"/>
          <w:sz w:val="22"/>
        </w:rPr>
        <w:t> </w:t>
      </w:r>
      <w:r>
        <w:rPr>
          <w:i/>
          <w:sz w:val="22"/>
        </w:rPr>
        <w:t>clear</w:t>
      </w:r>
      <w:r>
        <w:rPr>
          <w:i/>
          <w:spacing w:val="-5"/>
          <w:sz w:val="22"/>
        </w:rPr>
        <w:t> </w:t>
      </w:r>
      <w:r>
        <w:rPr>
          <w:i/>
          <w:sz w:val="22"/>
        </w:rPr>
        <w:t>understanding</w:t>
      </w:r>
      <w:r>
        <w:rPr>
          <w:i/>
          <w:spacing w:val="-4"/>
          <w:sz w:val="22"/>
        </w:rPr>
        <w:t> </w:t>
      </w:r>
      <w:r>
        <w:rPr>
          <w:i/>
          <w:sz w:val="22"/>
        </w:rPr>
        <w:t>of</w:t>
      </w:r>
      <w:r>
        <w:rPr>
          <w:i/>
          <w:spacing w:val="-3"/>
          <w:sz w:val="22"/>
        </w:rPr>
        <w:t> </w:t>
      </w:r>
      <w:r>
        <w:rPr>
          <w:i/>
          <w:sz w:val="22"/>
        </w:rPr>
        <w:t>ESV’s strategy</w:t>
      </w:r>
      <w:r>
        <w:rPr>
          <w:i/>
          <w:spacing w:val="-6"/>
          <w:sz w:val="22"/>
        </w:rPr>
        <w:t> </w:t>
      </w:r>
      <w:r>
        <w:rPr>
          <w:i/>
          <w:sz w:val="22"/>
        </w:rPr>
        <w:t>and </w:t>
      </w:r>
      <w:r>
        <w:rPr>
          <w:i/>
          <w:spacing w:val="-2"/>
          <w:sz w:val="22"/>
        </w:rPr>
        <w:t>focus;</w:t>
      </w:r>
    </w:p>
    <w:p>
      <w:pPr>
        <w:pStyle w:val="ListParagraph"/>
        <w:numPr>
          <w:ilvl w:val="0"/>
          <w:numId w:val="39"/>
        </w:numPr>
        <w:tabs>
          <w:tab w:pos="1452" w:val="left" w:leader="none"/>
        </w:tabs>
        <w:spacing w:line="278" w:lineRule="auto" w:before="21" w:after="0"/>
        <w:ind w:left="1452" w:right="1223" w:hanging="286"/>
        <w:jc w:val="left"/>
        <w:rPr>
          <w:sz w:val="22"/>
        </w:rPr>
      </w:pPr>
      <w:r>
        <w:rPr>
          <w:i/>
          <w:sz w:val="22"/>
        </w:rPr>
        <w:t>Little focus and time is allocated to productive sharing and collaboration among</w:t>
      </w:r>
      <w:r>
        <w:rPr>
          <w:i/>
          <w:spacing w:val="-5"/>
          <w:sz w:val="22"/>
        </w:rPr>
        <w:t> </w:t>
      </w:r>
      <w:r>
        <w:rPr>
          <w:i/>
          <w:sz w:val="22"/>
        </w:rPr>
        <w:t>the</w:t>
      </w:r>
      <w:r>
        <w:rPr>
          <w:i/>
          <w:spacing w:val="-3"/>
          <w:sz w:val="22"/>
        </w:rPr>
        <w:t> </w:t>
      </w:r>
      <w:r>
        <w:rPr>
          <w:i/>
          <w:sz w:val="22"/>
        </w:rPr>
        <w:t>Executive</w:t>
      </w:r>
      <w:r>
        <w:rPr>
          <w:i/>
          <w:spacing w:val="-3"/>
          <w:sz w:val="22"/>
        </w:rPr>
        <w:t> </w:t>
      </w:r>
      <w:r>
        <w:rPr>
          <w:i/>
          <w:sz w:val="22"/>
        </w:rPr>
        <w:t>Managers</w:t>
      </w:r>
      <w:r>
        <w:rPr>
          <w:i/>
          <w:spacing w:val="-2"/>
          <w:sz w:val="22"/>
        </w:rPr>
        <w:t> </w:t>
      </w:r>
      <w:r>
        <w:rPr>
          <w:i/>
          <w:sz w:val="22"/>
        </w:rPr>
        <w:t>and</w:t>
      </w:r>
      <w:r>
        <w:rPr>
          <w:i/>
          <w:spacing w:val="-5"/>
          <w:sz w:val="22"/>
        </w:rPr>
        <w:t> </w:t>
      </w:r>
      <w:r>
        <w:rPr>
          <w:i/>
          <w:sz w:val="22"/>
        </w:rPr>
        <w:t>their</w:t>
      </w:r>
      <w:r>
        <w:rPr>
          <w:i/>
          <w:spacing w:val="-6"/>
          <w:sz w:val="22"/>
        </w:rPr>
        <w:t> </w:t>
      </w:r>
      <w:r>
        <w:rPr>
          <w:i/>
          <w:sz w:val="22"/>
        </w:rPr>
        <w:t>teams.”</w:t>
      </w:r>
      <w:r>
        <w:rPr>
          <w:i/>
          <w:spacing w:val="-9"/>
          <w:sz w:val="22"/>
        </w:rPr>
        <w:t> </w:t>
      </w:r>
      <w:r>
        <w:rPr>
          <w:sz w:val="22"/>
        </w:rPr>
        <w:t>(Marchment</w:t>
      </w:r>
      <w:r>
        <w:rPr>
          <w:spacing w:val="-1"/>
          <w:sz w:val="22"/>
        </w:rPr>
        <w:t> </w:t>
      </w:r>
      <w:r>
        <w:rPr>
          <w:sz w:val="22"/>
        </w:rPr>
        <w:t>Hill</w:t>
      </w:r>
      <w:r>
        <w:rPr>
          <w:spacing w:val="-3"/>
          <w:sz w:val="22"/>
        </w:rPr>
        <w:t> </w:t>
      </w:r>
      <w:r>
        <w:rPr>
          <w:sz w:val="22"/>
        </w:rPr>
        <w:t>Consulting, 2016, p. 16)</w:t>
      </w:r>
    </w:p>
    <w:p>
      <w:pPr>
        <w:pStyle w:val="BodyText"/>
        <w:spacing w:before="10"/>
        <w:rPr>
          <w:sz w:val="21"/>
        </w:rPr>
      </w:pPr>
    </w:p>
    <w:p>
      <w:pPr>
        <w:pStyle w:val="BodyText"/>
        <w:spacing w:before="1"/>
        <w:ind w:left="1166" w:hanging="567"/>
      </w:pPr>
      <w:r>
        <w:rPr/>
        <w:t>Earlier,</w:t>
      </w:r>
      <w:r>
        <w:rPr>
          <w:spacing w:val="-5"/>
        </w:rPr>
        <w:t> </w:t>
      </w:r>
      <w:r>
        <w:rPr/>
        <w:t>in</w:t>
      </w:r>
      <w:r>
        <w:rPr>
          <w:spacing w:val="-7"/>
        </w:rPr>
        <w:t> </w:t>
      </w:r>
      <w:r>
        <w:rPr/>
        <w:t>its</w:t>
      </w:r>
      <w:r>
        <w:rPr>
          <w:spacing w:val="-8"/>
        </w:rPr>
        <w:t> </w:t>
      </w:r>
      <w:r>
        <w:rPr/>
        <w:t>review</w:t>
      </w:r>
      <w:r>
        <w:rPr>
          <w:spacing w:val="-10"/>
        </w:rPr>
        <w:t> </w:t>
      </w:r>
      <w:r>
        <w:rPr/>
        <w:t>of</w:t>
      </w:r>
      <w:r>
        <w:rPr>
          <w:spacing w:val="-5"/>
        </w:rPr>
        <w:t> </w:t>
      </w:r>
      <w:r>
        <w:rPr/>
        <w:t>electrical</w:t>
      </w:r>
      <w:r>
        <w:rPr>
          <w:spacing w:val="-8"/>
        </w:rPr>
        <w:t> </w:t>
      </w:r>
      <w:r>
        <w:rPr/>
        <w:t>infrastructure</w:t>
      </w:r>
      <w:r>
        <w:rPr>
          <w:spacing w:val="-8"/>
        </w:rPr>
        <w:t> </w:t>
      </w:r>
      <w:r>
        <w:rPr/>
        <w:t>compliance</w:t>
      </w:r>
      <w:r>
        <w:rPr>
          <w:spacing w:val="-7"/>
        </w:rPr>
        <w:t> </w:t>
      </w:r>
      <w:r>
        <w:rPr/>
        <w:t>and</w:t>
      </w:r>
      <w:r>
        <w:rPr>
          <w:spacing w:val="-6"/>
        </w:rPr>
        <w:t> </w:t>
      </w:r>
      <w:r>
        <w:rPr/>
        <w:t>enforcement,</w:t>
      </w:r>
      <w:r>
        <w:rPr>
          <w:spacing w:val="-7"/>
        </w:rPr>
        <w:t> </w:t>
      </w:r>
      <w:r>
        <w:rPr/>
        <w:t>Advisian</w:t>
      </w:r>
      <w:r>
        <w:rPr>
          <w:spacing w:val="-6"/>
        </w:rPr>
        <w:t> </w:t>
      </w:r>
      <w:r>
        <w:rPr>
          <w:spacing w:val="-2"/>
        </w:rPr>
        <w:t>noted:</w:t>
      </w:r>
    </w:p>
    <w:p>
      <w:pPr>
        <w:pStyle w:val="BodyText"/>
        <w:spacing w:before="1"/>
        <w:rPr>
          <w:sz w:val="25"/>
        </w:rPr>
      </w:pPr>
    </w:p>
    <w:p>
      <w:pPr>
        <w:spacing w:line="288" w:lineRule="auto" w:before="1"/>
        <w:ind w:left="1166" w:right="1200" w:firstLine="0"/>
        <w:jc w:val="left"/>
        <w:rPr>
          <w:sz w:val="22"/>
        </w:rPr>
      </w:pPr>
      <w:r>
        <w:rPr>
          <w:i/>
          <w:sz w:val="22"/>
        </w:rPr>
        <w:t>“All</w:t>
      </w:r>
      <w:r>
        <w:rPr>
          <w:i/>
          <w:spacing w:val="-2"/>
          <w:sz w:val="22"/>
        </w:rPr>
        <w:t> </w:t>
      </w:r>
      <w:r>
        <w:rPr>
          <w:i/>
          <w:sz w:val="22"/>
        </w:rPr>
        <w:t>regulators</w:t>
      </w:r>
      <w:r>
        <w:rPr>
          <w:i/>
          <w:spacing w:val="-4"/>
          <w:sz w:val="22"/>
        </w:rPr>
        <w:t> </w:t>
      </w:r>
      <w:r>
        <w:rPr>
          <w:i/>
          <w:sz w:val="22"/>
        </w:rPr>
        <w:t>have</w:t>
      </w:r>
      <w:r>
        <w:rPr>
          <w:i/>
          <w:spacing w:val="-4"/>
          <w:sz w:val="22"/>
        </w:rPr>
        <w:t> </w:t>
      </w:r>
      <w:r>
        <w:rPr>
          <w:i/>
          <w:sz w:val="22"/>
        </w:rPr>
        <w:t>an</w:t>
      </w:r>
      <w:r>
        <w:rPr>
          <w:i/>
          <w:spacing w:val="-2"/>
          <w:sz w:val="22"/>
        </w:rPr>
        <w:t> </w:t>
      </w:r>
      <w:r>
        <w:rPr>
          <w:i/>
          <w:sz w:val="22"/>
        </w:rPr>
        <w:t>overarching</w:t>
      </w:r>
      <w:r>
        <w:rPr>
          <w:i/>
          <w:spacing w:val="-4"/>
          <w:sz w:val="22"/>
        </w:rPr>
        <w:t> </w:t>
      </w:r>
      <w:r>
        <w:rPr>
          <w:i/>
          <w:sz w:val="22"/>
        </w:rPr>
        <w:t>set</w:t>
      </w:r>
      <w:r>
        <w:rPr>
          <w:i/>
          <w:spacing w:val="-3"/>
          <w:sz w:val="22"/>
        </w:rPr>
        <w:t> </w:t>
      </w:r>
      <w:r>
        <w:rPr>
          <w:i/>
          <w:sz w:val="22"/>
        </w:rPr>
        <w:t>of</w:t>
      </w:r>
      <w:r>
        <w:rPr>
          <w:i/>
          <w:spacing w:val="-3"/>
          <w:sz w:val="22"/>
        </w:rPr>
        <w:t> </w:t>
      </w:r>
      <w:r>
        <w:rPr>
          <w:i/>
          <w:sz w:val="22"/>
        </w:rPr>
        <w:t>principles</w:t>
      </w:r>
      <w:r>
        <w:rPr>
          <w:i/>
          <w:spacing w:val="-2"/>
          <w:sz w:val="22"/>
        </w:rPr>
        <w:t> </w:t>
      </w:r>
      <w:r>
        <w:rPr>
          <w:i/>
          <w:sz w:val="22"/>
        </w:rPr>
        <w:t>governing</w:t>
      </w:r>
      <w:r>
        <w:rPr>
          <w:i/>
          <w:spacing w:val="-4"/>
          <w:sz w:val="22"/>
        </w:rPr>
        <w:t> </w:t>
      </w:r>
      <w:r>
        <w:rPr>
          <w:i/>
          <w:sz w:val="22"/>
        </w:rPr>
        <w:t>their</w:t>
      </w:r>
      <w:r>
        <w:rPr>
          <w:i/>
          <w:spacing w:val="-3"/>
          <w:sz w:val="22"/>
        </w:rPr>
        <w:t> </w:t>
      </w:r>
      <w:r>
        <w:rPr>
          <w:i/>
          <w:sz w:val="22"/>
        </w:rPr>
        <w:t>approach</w:t>
      </w:r>
      <w:r>
        <w:rPr>
          <w:i/>
          <w:spacing w:val="-2"/>
          <w:sz w:val="22"/>
        </w:rPr>
        <w:t> </w:t>
      </w:r>
      <w:r>
        <w:rPr>
          <w:i/>
          <w:sz w:val="22"/>
        </w:rPr>
        <w:t>to compliance and enforcement activities. The extent to which an organisation interprets, incorporates, and implements these principles into their day to day regulatory activities has a direct impact on</w:t>
      </w:r>
      <w:r>
        <w:rPr>
          <w:i/>
          <w:spacing w:val="-1"/>
          <w:sz w:val="22"/>
        </w:rPr>
        <w:t> </w:t>
      </w:r>
      <w:r>
        <w:rPr>
          <w:i/>
          <w:sz w:val="22"/>
        </w:rPr>
        <w:t>the type of relationship the regulator has with industry and overall regulatory effectiveness, as well as helping to ensure consistency of interpretation by inspectors, and constraining advice and compliance activity.” </w:t>
      </w:r>
      <w:r>
        <w:rPr>
          <w:sz w:val="22"/>
        </w:rPr>
        <w:t>(Advisian, 2015, p. 2)</w:t>
      </w:r>
    </w:p>
    <w:p>
      <w:pPr>
        <w:pStyle w:val="BodyText"/>
        <w:rPr>
          <w:sz w:val="21"/>
        </w:rPr>
      </w:pPr>
    </w:p>
    <w:p>
      <w:pPr>
        <w:pStyle w:val="BodyText"/>
        <w:ind w:left="600"/>
      </w:pPr>
      <w:r>
        <w:rPr/>
        <w:t>Against</w:t>
      </w:r>
      <w:r>
        <w:rPr>
          <w:spacing w:val="-8"/>
        </w:rPr>
        <w:t> </w:t>
      </w:r>
      <w:r>
        <w:rPr/>
        <w:t>this</w:t>
      </w:r>
      <w:r>
        <w:rPr>
          <w:spacing w:val="-8"/>
        </w:rPr>
        <w:t> </w:t>
      </w:r>
      <w:r>
        <w:rPr/>
        <w:t>context,</w:t>
      </w:r>
      <w:r>
        <w:rPr>
          <w:spacing w:val="-4"/>
        </w:rPr>
        <w:t> </w:t>
      </w:r>
      <w:r>
        <w:rPr/>
        <w:t>Advisian</w:t>
      </w:r>
      <w:r>
        <w:rPr>
          <w:spacing w:val="-8"/>
        </w:rPr>
        <w:t> </w:t>
      </w:r>
      <w:r>
        <w:rPr>
          <w:spacing w:val="-2"/>
        </w:rPr>
        <w:t>found:</w:t>
      </w:r>
    </w:p>
    <w:p>
      <w:pPr>
        <w:pStyle w:val="BodyText"/>
        <w:spacing w:before="2"/>
        <w:rPr>
          <w:sz w:val="25"/>
        </w:rPr>
      </w:pPr>
    </w:p>
    <w:p>
      <w:pPr>
        <w:spacing w:line="288" w:lineRule="auto" w:before="0"/>
        <w:ind w:left="1166" w:right="1200" w:firstLine="0"/>
        <w:jc w:val="left"/>
        <w:rPr>
          <w:sz w:val="22"/>
        </w:rPr>
      </w:pPr>
      <w:r>
        <w:rPr>
          <w:i/>
          <w:sz w:val="22"/>
        </w:rPr>
        <w:t>“Whilst it was noted that ESV has a set of principles, during our review it was evidenced that they were not well understood or applied within EISD to transactional</w:t>
      </w:r>
      <w:r>
        <w:rPr>
          <w:i/>
          <w:spacing w:val="-4"/>
          <w:sz w:val="22"/>
        </w:rPr>
        <w:t> </w:t>
      </w:r>
      <w:r>
        <w:rPr>
          <w:i/>
          <w:sz w:val="22"/>
        </w:rPr>
        <w:t>level</w:t>
      </w:r>
      <w:r>
        <w:rPr>
          <w:i/>
          <w:spacing w:val="-3"/>
          <w:sz w:val="22"/>
        </w:rPr>
        <w:t> </w:t>
      </w:r>
      <w:r>
        <w:rPr>
          <w:i/>
          <w:sz w:val="22"/>
        </w:rPr>
        <w:t>interactions</w:t>
      </w:r>
      <w:r>
        <w:rPr>
          <w:i/>
          <w:spacing w:val="-5"/>
          <w:sz w:val="22"/>
        </w:rPr>
        <w:t> </w:t>
      </w:r>
      <w:r>
        <w:rPr>
          <w:i/>
          <w:sz w:val="22"/>
        </w:rPr>
        <w:t>with</w:t>
      </w:r>
      <w:r>
        <w:rPr>
          <w:i/>
          <w:spacing w:val="-5"/>
          <w:sz w:val="22"/>
        </w:rPr>
        <w:t> </w:t>
      </w:r>
      <w:r>
        <w:rPr>
          <w:i/>
          <w:sz w:val="22"/>
        </w:rPr>
        <w:t>MECs</w:t>
      </w:r>
      <w:r>
        <w:rPr>
          <w:i/>
          <w:spacing w:val="-2"/>
          <w:sz w:val="22"/>
        </w:rPr>
        <w:t> </w:t>
      </w:r>
      <w:r>
        <w:rPr>
          <w:i/>
          <w:sz w:val="22"/>
        </w:rPr>
        <w:t>[major</w:t>
      </w:r>
      <w:r>
        <w:rPr>
          <w:i/>
          <w:spacing w:val="-4"/>
          <w:sz w:val="22"/>
        </w:rPr>
        <w:t> </w:t>
      </w:r>
      <w:r>
        <w:rPr>
          <w:i/>
          <w:sz w:val="22"/>
        </w:rPr>
        <w:t>electricity</w:t>
      </w:r>
      <w:r>
        <w:rPr>
          <w:i/>
          <w:spacing w:val="-4"/>
          <w:sz w:val="22"/>
        </w:rPr>
        <w:t> </w:t>
      </w:r>
      <w:r>
        <w:rPr>
          <w:i/>
          <w:sz w:val="22"/>
        </w:rPr>
        <w:t>companies].</w:t>
      </w:r>
      <w:r>
        <w:rPr>
          <w:i/>
          <w:spacing w:val="-4"/>
          <w:sz w:val="22"/>
        </w:rPr>
        <w:t> </w:t>
      </w:r>
      <w:r>
        <w:rPr>
          <w:i/>
          <w:sz w:val="22"/>
        </w:rPr>
        <w:t>Effective regulators ‘live &amp; breathe’ a set of principles (not values) that guides all levels of interaction and transaction with the industry/Operators.” </w:t>
      </w:r>
      <w:r>
        <w:rPr>
          <w:sz w:val="22"/>
        </w:rPr>
        <w:t>(Advisian, 2015, p. 2)</w:t>
      </w:r>
    </w:p>
    <w:p>
      <w:pPr>
        <w:pStyle w:val="BodyText"/>
        <w:rPr>
          <w:sz w:val="21"/>
        </w:rPr>
      </w:pPr>
    </w:p>
    <w:p>
      <w:pPr>
        <w:pStyle w:val="BodyText"/>
        <w:spacing w:line="290" w:lineRule="auto"/>
        <w:ind w:left="600" w:right="586"/>
      </w:pPr>
      <w:r>
        <w:rPr/>
        <w:t>In</w:t>
      </w:r>
      <w:r>
        <w:rPr>
          <w:spacing w:val="-5"/>
        </w:rPr>
        <w:t> </w:t>
      </w:r>
      <w:r>
        <w:rPr/>
        <w:t>relation</w:t>
      </w:r>
      <w:r>
        <w:rPr>
          <w:spacing w:val="-3"/>
        </w:rPr>
        <w:t> </w:t>
      </w:r>
      <w:r>
        <w:rPr/>
        <w:t>to</w:t>
      </w:r>
      <w:r>
        <w:rPr>
          <w:spacing w:val="-5"/>
        </w:rPr>
        <w:t> </w:t>
      </w:r>
      <w:r>
        <w:rPr/>
        <w:t>regulatory</w:t>
      </w:r>
      <w:r>
        <w:rPr>
          <w:spacing w:val="-5"/>
        </w:rPr>
        <w:t> </w:t>
      </w:r>
      <w:r>
        <w:rPr/>
        <w:t>surveillance</w:t>
      </w:r>
      <w:r>
        <w:rPr>
          <w:spacing w:val="-3"/>
        </w:rPr>
        <w:t> </w:t>
      </w:r>
      <w:r>
        <w:rPr/>
        <w:t>and</w:t>
      </w:r>
      <w:r>
        <w:rPr>
          <w:spacing w:val="-3"/>
        </w:rPr>
        <w:t> </w:t>
      </w:r>
      <w:r>
        <w:rPr/>
        <w:t>monitoring</w:t>
      </w:r>
      <w:r>
        <w:rPr>
          <w:spacing w:val="-3"/>
        </w:rPr>
        <w:t> </w:t>
      </w:r>
      <w:r>
        <w:rPr/>
        <w:t>specifically,</w:t>
      </w:r>
      <w:r>
        <w:rPr>
          <w:spacing w:val="-1"/>
        </w:rPr>
        <w:t> </w:t>
      </w:r>
      <w:r>
        <w:rPr/>
        <w:t>Advisian</w:t>
      </w:r>
      <w:r>
        <w:rPr>
          <w:spacing w:val="-3"/>
        </w:rPr>
        <w:t> </w:t>
      </w:r>
      <w:r>
        <w:rPr/>
        <w:t>noted</w:t>
      </w:r>
      <w:r>
        <w:rPr>
          <w:spacing w:val="-5"/>
        </w:rPr>
        <w:t> </w:t>
      </w:r>
      <w:r>
        <w:rPr/>
        <w:t>that</w:t>
      </w:r>
      <w:r>
        <w:rPr>
          <w:spacing w:val="-4"/>
        </w:rPr>
        <w:t> </w:t>
      </w:r>
      <w:r>
        <w:rPr/>
        <w:t>mature regulators</w:t>
      </w:r>
      <w:r>
        <w:rPr>
          <w:spacing w:val="-4"/>
        </w:rPr>
        <w:t> </w:t>
      </w:r>
      <w:r>
        <w:rPr/>
        <w:t>had</w:t>
      </w:r>
      <w:r>
        <w:rPr>
          <w:spacing w:val="-2"/>
        </w:rPr>
        <w:t> </w:t>
      </w:r>
      <w:r>
        <w:rPr/>
        <w:t>processes</w:t>
      </w:r>
      <w:r>
        <w:rPr>
          <w:spacing w:val="-1"/>
        </w:rPr>
        <w:t> </w:t>
      </w:r>
      <w:r>
        <w:rPr/>
        <w:t>in</w:t>
      </w:r>
      <w:r>
        <w:rPr>
          <w:spacing w:val="-2"/>
        </w:rPr>
        <w:t> </w:t>
      </w:r>
      <w:r>
        <w:rPr/>
        <w:t>place</w:t>
      </w:r>
      <w:r>
        <w:rPr>
          <w:spacing w:val="-4"/>
        </w:rPr>
        <w:t> </w:t>
      </w:r>
      <w:r>
        <w:rPr/>
        <w:t>to</w:t>
      </w:r>
      <w:r>
        <w:rPr>
          <w:spacing w:val="-2"/>
        </w:rPr>
        <w:t> </w:t>
      </w:r>
      <w:r>
        <w:rPr/>
        <w:t>harness</w:t>
      </w:r>
      <w:r>
        <w:rPr>
          <w:spacing w:val="-6"/>
        </w:rPr>
        <w:t> </w:t>
      </w:r>
      <w:r>
        <w:rPr/>
        <w:t>knowledge</w:t>
      </w:r>
      <w:r>
        <w:rPr>
          <w:spacing w:val="-2"/>
        </w:rPr>
        <w:t> </w:t>
      </w:r>
      <w:r>
        <w:rPr/>
        <w:t>captured</w:t>
      </w:r>
      <w:r>
        <w:rPr>
          <w:spacing w:val="-4"/>
        </w:rPr>
        <w:t> </w:t>
      </w:r>
      <w:r>
        <w:rPr/>
        <w:t>and</w:t>
      </w:r>
      <w:r>
        <w:rPr>
          <w:spacing w:val="-4"/>
        </w:rPr>
        <w:t> </w:t>
      </w:r>
      <w:r>
        <w:rPr/>
        <w:t>continuously</w:t>
      </w:r>
      <w:r>
        <w:rPr>
          <w:spacing w:val="-4"/>
        </w:rPr>
        <w:t> </w:t>
      </w:r>
      <w:r>
        <w:rPr/>
        <w:t>refined their compliance and enforcement approach allowing better targeting of resources. In providing summary context, Advisian also noted:</w:t>
      </w:r>
    </w:p>
    <w:p>
      <w:pPr>
        <w:pStyle w:val="BodyText"/>
        <w:spacing w:before="10"/>
        <w:rPr>
          <w:sz w:val="20"/>
        </w:rPr>
      </w:pPr>
    </w:p>
    <w:p>
      <w:pPr>
        <w:spacing w:line="288" w:lineRule="auto" w:before="0"/>
        <w:ind w:left="1166" w:right="1204" w:firstLine="0"/>
        <w:jc w:val="left"/>
        <w:rPr>
          <w:sz w:val="22"/>
        </w:rPr>
      </w:pPr>
      <w:r>
        <w:rPr>
          <w:i/>
          <w:sz w:val="22"/>
        </w:rPr>
        <w:t>“The regulatory monitoring approach typically includes Surveillance activities such as audit, inspections and investigations, Endorsement activities such as assessment</w:t>
      </w:r>
      <w:r>
        <w:rPr>
          <w:i/>
          <w:spacing w:val="-2"/>
          <w:sz w:val="22"/>
        </w:rPr>
        <w:t> </w:t>
      </w:r>
      <w:r>
        <w:rPr>
          <w:i/>
          <w:sz w:val="22"/>
        </w:rPr>
        <w:t>and</w:t>
      </w:r>
      <w:r>
        <w:rPr>
          <w:i/>
          <w:spacing w:val="-6"/>
          <w:sz w:val="22"/>
        </w:rPr>
        <w:t> </w:t>
      </w:r>
      <w:r>
        <w:rPr>
          <w:i/>
          <w:sz w:val="22"/>
        </w:rPr>
        <w:t>evidence</w:t>
      </w:r>
      <w:r>
        <w:rPr>
          <w:i/>
          <w:spacing w:val="-4"/>
          <w:sz w:val="22"/>
        </w:rPr>
        <w:t> </w:t>
      </w:r>
      <w:r>
        <w:rPr>
          <w:i/>
          <w:sz w:val="22"/>
        </w:rPr>
        <w:t>testing</w:t>
      </w:r>
      <w:r>
        <w:rPr>
          <w:i/>
          <w:spacing w:val="-4"/>
          <w:sz w:val="22"/>
        </w:rPr>
        <w:t> </w:t>
      </w:r>
      <w:r>
        <w:rPr>
          <w:i/>
          <w:sz w:val="22"/>
        </w:rPr>
        <w:t>of</w:t>
      </w:r>
      <w:r>
        <w:rPr>
          <w:i/>
          <w:spacing w:val="-2"/>
          <w:sz w:val="22"/>
        </w:rPr>
        <w:t> </w:t>
      </w:r>
      <w:r>
        <w:rPr>
          <w:i/>
          <w:sz w:val="22"/>
        </w:rPr>
        <w:t>an</w:t>
      </w:r>
      <w:r>
        <w:rPr>
          <w:i/>
          <w:spacing w:val="-6"/>
          <w:sz w:val="22"/>
        </w:rPr>
        <w:t> </w:t>
      </w:r>
      <w:r>
        <w:rPr>
          <w:i/>
          <w:sz w:val="22"/>
        </w:rPr>
        <w:t>Operator’s</w:t>
      </w:r>
      <w:r>
        <w:rPr>
          <w:i/>
          <w:spacing w:val="-3"/>
          <w:sz w:val="22"/>
        </w:rPr>
        <w:t> </w:t>
      </w:r>
      <w:r>
        <w:rPr>
          <w:i/>
          <w:sz w:val="22"/>
        </w:rPr>
        <w:t>Safety</w:t>
      </w:r>
      <w:r>
        <w:rPr>
          <w:i/>
          <w:spacing w:val="-3"/>
          <w:sz w:val="22"/>
        </w:rPr>
        <w:t> </w:t>
      </w:r>
      <w:r>
        <w:rPr>
          <w:i/>
          <w:sz w:val="22"/>
        </w:rPr>
        <w:t>Case,</w:t>
      </w:r>
      <w:r>
        <w:rPr>
          <w:i/>
          <w:spacing w:val="-2"/>
          <w:sz w:val="22"/>
        </w:rPr>
        <w:t> </w:t>
      </w:r>
      <w:r>
        <w:rPr>
          <w:i/>
          <w:sz w:val="22"/>
        </w:rPr>
        <w:t>and</w:t>
      </w:r>
      <w:r>
        <w:rPr>
          <w:i/>
          <w:spacing w:val="-5"/>
          <w:sz w:val="22"/>
        </w:rPr>
        <w:t> </w:t>
      </w:r>
      <w:r>
        <w:rPr>
          <w:i/>
          <w:sz w:val="22"/>
        </w:rPr>
        <w:t>Compliance activities which are ongoing activities such as audits, inspections and investigations. Regulators with an effective monitoring approach had developed and integrated their monitoring activities with information from one activity captured and used to inform other monitoring activities, as well as building comprehensive views at both the industry and Operator levels.”</w:t>
      </w:r>
      <w:r>
        <w:rPr>
          <w:i/>
          <w:spacing w:val="-2"/>
          <w:sz w:val="22"/>
        </w:rPr>
        <w:t> </w:t>
      </w:r>
      <w:r>
        <w:rPr>
          <w:sz w:val="22"/>
        </w:rPr>
        <w:t>(Advisian, 2015, p. 2)</w:t>
      </w:r>
    </w:p>
    <w:p>
      <w:pPr>
        <w:pStyle w:val="BodyText"/>
        <w:rPr>
          <w:sz w:val="21"/>
        </w:rPr>
      </w:pPr>
    </w:p>
    <w:p>
      <w:pPr>
        <w:pStyle w:val="BodyText"/>
        <w:ind w:left="600"/>
      </w:pPr>
      <w:r>
        <w:rPr/>
        <w:t>Against</w:t>
      </w:r>
      <w:r>
        <w:rPr>
          <w:spacing w:val="-7"/>
        </w:rPr>
        <w:t> </w:t>
      </w:r>
      <w:r>
        <w:rPr/>
        <w:t>this</w:t>
      </w:r>
      <w:r>
        <w:rPr>
          <w:spacing w:val="-8"/>
        </w:rPr>
        <w:t> </w:t>
      </w:r>
      <w:r>
        <w:rPr/>
        <w:t>context,</w:t>
      </w:r>
      <w:r>
        <w:rPr>
          <w:spacing w:val="-5"/>
        </w:rPr>
        <w:t> </w:t>
      </w:r>
      <w:r>
        <w:rPr/>
        <w:t>Advisian</w:t>
      </w:r>
      <w:r>
        <w:rPr>
          <w:spacing w:val="-7"/>
        </w:rPr>
        <w:t> </w:t>
      </w:r>
      <w:r>
        <w:rPr>
          <w:spacing w:val="-2"/>
        </w:rPr>
        <w:t>found:</w:t>
      </w:r>
    </w:p>
    <w:p>
      <w:pPr>
        <w:pStyle w:val="BodyText"/>
        <w:spacing w:before="2"/>
        <w:rPr>
          <w:sz w:val="25"/>
        </w:rPr>
      </w:pPr>
    </w:p>
    <w:p>
      <w:pPr>
        <w:spacing w:line="288" w:lineRule="auto" w:before="0"/>
        <w:ind w:left="1166" w:right="1253" w:firstLine="0"/>
        <w:jc w:val="left"/>
        <w:rPr>
          <w:i/>
          <w:sz w:val="22"/>
        </w:rPr>
      </w:pPr>
      <w:r>
        <w:rPr>
          <w:i/>
          <w:sz w:val="22"/>
        </w:rPr>
        <w:t>“EISD's monitoring approach includes audit, inspection, performance reviews and investigations. During our review it was noted that despite conducting a number</w:t>
      </w:r>
      <w:r>
        <w:rPr>
          <w:i/>
          <w:spacing w:val="-4"/>
          <w:sz w:val="22"/>
        </w:rPr>
        <w:t> </w:t>
      </w:r>
      <w:r>
        <w:rPr>
          <w:i/>
          <w:sz w:val="22"/>
        </w:rPr>
        <w:t>of</w:t>
      </w:r>
      <w:r>
        <w:rPr>
          <w:i/>
          <w:spacing w:val="-4"/>
          <w:sz w:val="22"/>
        </w:rPr>
        <w:t> </w:t>
      </w:r>
      <w:r>
        <w:rPr>
          <w:i/>
          <w:sz w:val="22"/>
        </w:rPr>
        <w:t>monitoring</w:t>
      </w:r>
      <w:r>
        <w:rPr>
          <w:i/>
          <w:spacing w:val="-3"/>
          <w:sz w:val="22"/>
        </w:rPr>
        <w:t> </w:t>
      </w:r>
      <w:r>
        <w:rPr>
          <w:i/>
          <w:sz w:val="22"/>
        </w:rPr>
        <w:t>activities</w:t>
      </w:r>
      <w:r>
        <w:rPr>
          <w:i/>
          <w:spacing w:val="-1"/>
          <w:sz w:val="22"/>
        </w:rPr>
        <w:t> </w:t>
      </w:r>
      <w:r>
        <w:rPr>
          <w:i/>
          <w:sz w:val="22"/>
        </w:rPr>
        <w:t>EISD’s</w:t>
      </w:r>
      <w:r>
        <w:rPr>
          <w:i/>
          <w:spacing w:val="-2"/>
          <w:sz w:val="22"/>
        </w:rPr>
        <w:t> </w:t>
      </w:r>
      <w:r>
        <w:rPr>
          <w:i/>
          <w:sz w:val="22"/>
        </w:rPr>
        <w:t>integration</w:t>
      </w:r>
      <w:r>
        <w:rPr>
          <w:i/>
          <w:spacing w:val="-5"/>
          <w:sz w:val="22"/>
        </w:rPr>
        <w:t> </w:t>
      </w:r>
      <w:r>
        <w:rPr>
          <w:i/>
          <w:sz w:val="22"/>
        </w:rPr>
        <w:t>of</w:t>
      </w:r>
      <w:r>
        <w:rPr>
          <w:i/>
          <w:spacing w:val="-4"/>
          <w:sz w:val="22"/>
        </w:rPr>
        <w:t> </w:t>
      </w:r>
      <w:r>
        <w:rPr>
          <w:i/>
          <w:sz w:val="22"/>
        </w:rPr>
        <w:t>these</w:t>
      </w:r>
      <w:r>
        <w:rPr>
          <w:i/>
          <w:spacing w:val="-3"/>
          <w:sz w:val="22"/>
        </w:rPr>
        <w:t> </w:t>
      </w:r>
      <w:r>
        <w:rPr>
          <w:i/>
          <w:sz w:val="22"/>
        </w:rPr>
        <w:t>activities</w:t>
      </w:r>
      <w:r>
        <w:rPr>
          <w:i/>
          <w:spacing w:val="-3"/>
          <w:sz w:val="22"/>
        </w:rPr>
        <w:t> </w:t>
      </w:r>
      <w:r>
        <w:rPr>
          <w:i/>
          <w:sz w:val="22"/>
        </w:rPr>
        <w:t>is</w:t>
      </w:r>
      <w:r>
        <w:rPr>
          <w:i/>
          <w:spacing w:val="-5"/>
          <w:sz w:val="22"/>
        </w:rPr>
        <w:t> </w:t>
      </w:r>
      <w:r>
        <w:rPr>
          <w:i/>
          <w:sz w:val="22"/>
        </w:rPr>
        <w:t>in</w:t>
      </w:r>
      <w:r>
        <w:rPr>
          <w:i/>
          <w:spacing w:val="-3"/>
          <w:sz w:val="22"/>
        </w:rPr>
        <w:t> </w:t>
      </w:r>
      <w:r>
        <w:rPr>
          <w:i/>
          <w:sz w:val="22"/>
        </w:rPr>
        <w:t>its</w:t>
      </w:r>
      <w:r>
        <w:rPr>
          <w:i/>
          <w:spacing w:val="-2"/>
          <w:sz w:val="22"/>
        </w:rPr>
        <w:t> </w:t>
      </w:r>
      <w:r>
        <w:rPr>
          <w:i/>
          <w:sz w:val="22"/>
        </w:rPr>
        <w:t>early stages and a more integrated approach would be beneficial for building a</w:t>
      </w:r>
    </w:p>
    <w:p>
      <w:pPr>
        <w:spacing w:after="0" w:line="288" w:lineRule="auto"/>
        <w:jc w:val="left"/>
        <w:rPr>
          <w:sz w:val="22"/>
        </w:rPr>
        <w:sectPr>
          <w:pgSz w:w="11910" w:h="16840"/>
          <w:pgMar w:header="887" w:footer="1228" w:top="1080" w:bottom="1500" w:left="840" w:right="820"/>
        </w:sectPr>
      </w:pPr>
    </w:p>
    <w:p>
      <w:pPr>
        <w:pStyle w:val="BodyText"/>
        <w:rPr>
          <w:i/>
          <w:sz w:val="20"/>
        </w:rPr>
      </w:pPr>
    </w:p>
    <w:p>
      <w:pPr>
        <w:pStyle w:val="BodyText"/>
        <w:rPr>
          <w:i/>
          <w:sz w:val="20"/>
        </w:rPr>
      </w:pPr>
    </w:p>
    <w:p>
      <w:pPr>
        <w:pStyle w:val="BodyText"/>
        <w:spacing w:before="5"/>
        <w:rPr>
          <w:i/>
        </w:rPr>
      </w:pPr>
    </w:p>
    <w:p>
      <w:pPr>
        <w:spacing w:line="288" w:lineRule="auto" w:before="0"/>
        <w:ind w:left="1166" w:right="1369" w:firstLine="0"/>
        <w:jc w:val="left"/>
        <w:rPr>
          <w:sz w:val="22"/>
        </w:rPr>
      </w:pPr>
      <w:r>
        <w:rPr>
          <w:i/>
          <w:sz w:val="22"/>
        </w:rPr>
        <w:t>detailed</w:t>
      </w:r>
      <w:r>
        <w:rPr>
          <w:i/>
          <w:spacing w:val="-3"/>
          <w:sz w:val="22"/>
        </w:rPr>
        <w:t> </w:t>
      </w:r>
      <w:r>
        <w:rPr>
          <w:i/>
          <w:sz w:val="22"/>
        </w:rPr>
        <w:t>picture</w:t>
      </w:r>
      <w:r>
        <w:rPr>
          <w:i/>
          <w:spacing w:val="-5"/>
          <w:sz w:val="22"/>
        </w:rPr>
        <w:t> </w:t>
      </w:r>
      <w:r>
        <w:rPr>
          <w:i/>
          <w:sz w:val="22"/>
        </w:rPr>
        <w:t>of</w:t>
      </w:r>
      <w:r>
        <w:rPr>
          <w:i/>
          <w:spacing w:val="-4"/>
          <w:sz w:val="22"/>
        </w:rPr>
        <w:t> </w:t>
      </w:r>
      <w:r>
        <w:rPr>
          <w:i/>
          <w:sz w:val="22"/>
        </w:rPr>
        <w:t>both</w:t>
      </w:r>
      <w:r>
        <w:rPr>
          <w:i/>
          <w:spacing w:val="-5"/>
          <w:sz w:val="22"/>
        </w:rPr>
        <w:t> </w:t>
      </w:r>
      <w:r>
        <w:rPr>
          <w:i/>
          <w:sz w:val="22"/>
        </w:rPr>
        <w:t>industry</w:t>
      </w:r>
      <w:r>
        <w:rPr>
          <w:i/>
          <w:spacing w:val="-5"/>
          <w:sz w:val="22"/>
        </w:rPr>
        <w:t> </w:t>
      </w:r>
      <w:r>
        <w:rPr>
          <w:i/>
          <w:sz w:val="22"/>
        </w:rPr>
        <w:t>and</w:t>
      </w:r>
      <w:r>
        <w:rPr>
          <w:i/>
          <w:spacing w:val="-5"/>
          <w:sz w:val="22"/>
        </w:rPr>
        <w:t> </w:t>
      </w:r>
      <w:r>
        <w:rPr>
          <w:i/>
          <w:sz w:val="22"/>
        </w:rPr>
        <w:t>Operator</w:t>
      </w:r>
      <w:r>
        <w:rPr>
          <w:i/>
          <w:spacing w:val="-4"/>
          <w:sz w:val="22"/>
        </w:rPr>
        <w:t> </w:t>
      </w:r>
      <w:r>
        <w:rPr>
          <w:i/>
          <w:sz w:val="22"/>
        </w:rPr>
        <w:t>(MEC)</w:t>
      </w:r>
      <w:r>
        <w:rPr>
          <w:i/>
          <w:spacing w:val="-2"/>
          <w:sz w:val="22"/>
        </w:rPr>
        <w:t> </w:t>
      </w:r>
      <w:r>
        <w:rPr>
          <w:i/>
          <w:sz w:val="22"/>
        </w:rPr>
        <w:t>performance.”</w:t>
      </w:r>
      <w:r>
        <w:rPr>
          <w:i/>
          <w:spacing w:val="-8"/>
          <w:sz w:val="22"/>
        </w:rPr>
        <w:t> </w:t>
      </w:r>
      <w:r>
        <w:rPr>
          <w:sz w:val="22"/>
        </w:rPr>
        <w:t>(Advisian, 2015, p. 2)</w:t>
      </w:r>
    </w:p>
    <w:p>
      <w:pPr>
        <w:pStyle w:val="BodyText"/>
        <w:spacing w:before="10"/>
        <w:rPr>
          <w:sz w:val="20"/>
        </w:rPr>
      </w:pPr>
    </w:p>
    <w:p>
      <w:pPr>
        <w:pStyle w:val="BodyText"/>
        <w:spacing w:line="288" w:lineRule="auto"/>
        <w:ind w:left="600" w:right="311"/>
      </w:pPr>
      <w:r>
        <w:rPr/>
        <w:t>For</w:t>
      </w:r>
      <w:r>
        <w:rPr>
          <w:spacing w:val="-2"/>
        </w:rPr>
        <w:t> </w:t>
      </w:r>
      <w:r>
        <w:rPr/>
        <w:t>ESV,</w:t>
      </w:r>
      <w:r>
        <w:rPr>
          <w:spacing w:val="-4"/>
        </w:rPr>
        <w:t> </w:t>
      </w:r>
      <w:r>
        <w:rPr/>
        <w:t>Advisian</w:t>
      </w:r>
      <w:r>
        <w:rPr>
          <w:spacing w:val="-3"/>
        </w:rPr>
        <w:t> </w:t>
      </w:r>
      <w:r>
        <w:rPr/>
        <w:t>recommended</w:t>
      </w:r>
      <w:r>
        <w:rPr>
          <w:spacing w:val="-5"/>
        </w:rPr>
        <w:t> </w:t>
      </w:r>
      <w:r>
        <w:rPr/>
        <w:t>better</w:t>
      </w:r>
      <w:r>
        <w:rPr>
          <w:spacing w:val="-4"/>
        </w:rPr>
        <w:t> </w:t>
      </w:r>
      <w:r>
        <w:rPr/>
        <w:t>integration</w:t>
      </w:r>
      <w:r>
        <w:rPr>
          <w:spacing w:val="-3"/>
        </w:rPr>
        <w:t> </w:t>
      </w:r>
      <w:r>
        <w:rPr/>
        <w:t>of</w:t>
      </w:r>
      <w:r>
        <w:rPr>
          <w:spacing w:val="-1"/>
        </w:rPr>
        <w:t> </w:t>
      </w:r>
      <w:r>
        <w:rPr/>
        <w:t>monitoring</w:t>
      </w:r>
      <w:r>
        <w:rPr>
          <w:spacing w:val="-1"/>
        </w:rPr>
        <w:t> </w:t>
      </w:r>
      <w:r>
        <w:rPr/>
        <w:t>activities</w:t>
      </w:r>
      <w:r>
        <w:rPr>
          <w:spacing w:val="-2"/>
        </w:rPr>
        <w:t> </w:t>
      </w:r>
      <w:r>
        <w:rPr/>
        <w:t>to</w:t>
      </w:r>
      <w:r>
        <w:rPr>
          <w:spacing w:val="-5"/>
        </w:rPr>
        <w:t> </w:t>
      </w:r>
      <w:r>
        <w:rPr/>
        <w:t>undertake “root cause” analysis of systemic issues and to identify trends, issues and opportunities to inform strategic priorities:</w:t>
      </w:r>
    </w:p>
    <w:p>
      <w:pPr>
        <w:pStyle w:val="BodyText"/>
        <w:spacing w:before="11"/>
        <w:rPr>
          <w:sz w:val="20"/>
        </w:rPr>
      </w:pPr>
    </w:p>
    <w:p>
      <w:pPr>
        <w:spacing w:line="288" w:lineRule="auto" w:before="0"/>
        <w:ind w:left="1166" w:right="1200" w:firstLine="0"/>
        <w:jc w:val="left"/>
        <w:rPr>
          <w:sz w:val="22"/>
        </w:rPr>
      </w:pPr>
      <w:r>
        <w:rPr>
          <w:i/>
          <w:sz w:val="22"/>
        </w:rPr>
        <w:t>“EISD</w:t>
      </w:r>
      <w:r>
        <w:rPr>
          <w:i/>
          <w:spacing w:val="-4"/>
          <w:sz w:val="22"/>
        </w:rPr>
        <w:t> </w:t>
      </w:r>
      <w:r>
        <w:rPr>
          <w:i/>
          <w:sz w:val="22"/>
        </w:rPr>
        <w:t>should</w:t>
      </w:r>
      <w:r>
        <w:rPr>
          <w:i/>
          <w:spacing w:val="-4"/>
          <w:sz w:val="22"/>
        </w:rPr>
        <w:t> </w:t>
      </w:r>
      <w:r>
        <w:rPr>
          <w:i/>
          <w:sz w:val="22"/>
        </w:rPr>
        <w:t>investigate</w:t>
      </w:r>
      <w:r>
        <w:rPr>
          <w:i/>
          <w:spacing w:val="-6"/>
          <w:sz w:val="22"/>
        </w:rPr>
        <w:t> </w:t>
      </w:r>
      <w:r>
        <w:rPr>
          <w:i/>
          <w:sz w:val="22"/>
        </w:rPr>
        <w:t>developing</w:t>
      </w:r>
      <w:r>
        <w:rPr>
          <w:i/>
          <w:spacing w:val="-4"/>
          <w:sz w:val="22"/>
        </w:rPr>
        <w:t> </w:t>
      </w:r>
      <w:r>
        <w:rPr>
          <w:i/>
          <w:sz w:val="22"/>
        </w:rPr>
        <w:t>an</w:t>
      </w:r>
      <w:r>
        <w:rPr>
          <w:i/>
          <w:spacing w:val="-4"/>
          <w:sz w:val="22"/>
        </w:rPr>
        <w:t> </w:t>
      </w:r>
      <w:r>
        <w:rPr>
          <w:i/>
          <w:sz w:val="22"/>
        </w:rPr>
        <w:t>integrated</w:t>
      </w:r>
      <w:r>
        <w:rPr>
          <w:i/>
          <w:spacing w:val="-4"/>
          <w:sz w:val="22"/>
        </w:rPr>
        <w:t> </w:t>
      </w:r>
      <w:r>
        <w:rPr>
          <w:i/>
          <w:sz w:val="22"/>
        </w:rPr>
        <w:t>surveillance</w:t>
      </w:r>
      <w:r>
        <w:rPr>
          <w:i/>
          <w:spacing w:val="-4"/>
          <w:sz w:val="22"/>
        </w:rPr>
        <w:t> </w:t>
      </w:r>
      <w:r>
        <w:rPr>
          <w:i/>
          <w:sz w:val="22"/>
        </w:rPr>
        <w:t>approach;</w:t>
      </w:r>
      <w:r>
        <w:rPr>
          <w:i/>
          <w:spacing w:val="-7"/>
          <w:sz w:val="22"/>
        </w:rPr>
        <w:t> </w:t>
      </w:r>
      <w:r>
        <w:rPr>
          <w:i/>
          <w:sz w:val="22"/>
        </w:rPr>
        <w:t>utilise existing data channels to undertake root cause analysis of systemic issues; identify trends, issues and opportunities to inform strategic safety priorities for discussion with industry to influence change. Develop and document existing processes and systems</w:t>
      </w:r>
      <w:r>
        <w:rPr>
          <w:i/>
          <w:spacing w:val="-1"/>
          <w:sz w:val="22"/>
        </w:rPr>
        <w:t> </w:t>
      </w:r>
      <w:r>
        <w:rPr>
          <w:i/>
          <w:sz w:val="22"/>
        </w:rPr>
        <w:t>used to gather data and identify areas for improvement prior to implementation.” </w:t>
      </w:r>
      <w:r>
        <w:rPr>
          <w:sz w:val="22"/>
        </w:rPr>
        <w:t>(Advisian, 2015, p. 2)</w:t>
      </w:r>
    </w:p>
    <w:p>
      <w:pPr>
        <w:pStyle w:val="BodyText"/>
        <w:spacing w:before="11"/>
        <w:rPr>
          <w:sz w:val="20"/>
        </w:rPr>
      </w:pPr>
    </w:p>
    <w:p>
      <w:pPr>
        <w:pStyle w:val="BodyText"/>
        <w:spacing w:line="288" w:lineRule="auto"/>
        <w:ind w:left="600" w:right="311"/>
      </w:pPr>
      <w:r>
        <w:rPr/>
        <w:t>Advisian’s subsequent review of ESV’s gas Safety Case and Safety Management Plan evaluation</w:t>
      </w:r>
      <w:r>
        <w:rPr>
          <w:spacing w:val="-3"/>
        </w:rPr>
        <w:t> </w:t>
      </w:r>
      <w:r>
        <w:rPr/>
        <w:t>approach</w:t>
      </w:r>
      <w:r>
        <w:rPr>
          <w:spacing w:val="-3"/>
        </w:rPr>
        <w:t> </w:t>
      </w:r>
      <w:r>
        <w:rPr/>
        <w:t>identified</w:t>
      </w:r>
      <w:r>
        <w:rPr>
          <w:spacing w:val="-3"/>
        </w:rPr>
        <w:t> </w:t>
      </w:r>
      <w:r>
        <w:rPr/>
        <w:t>similar</w:t>
      </w:r>
      <w:r>
        <w:rPr>
          <w:spacing w:val="-4"/>
        </w:rPr>
        <w:t> </w:t>
      </w:r>
      <w:r>
        <w:rPr/>
        <w:t>themes</w:t>
      </w:r>
      <w:r>
        <w:rPr>
          <w:spacing w:val="-5"/>
        </w:rPr>
        <w:t> </w:t>
      </w:r>
      <w:r>
        <w:rPr/>
        <w:t>to</w:t>
      </w:r>
      <w:r>
        <w:rPr>
          <w:spacing w:val="-5"/>
        </w:rPr>
        <w:t> </w:t>
      </w:r>
      <w:r>
        <w:rPr/>
        <w:t>those</w:t>
      </w:r>
      <w:r>
        <w:rPr>
          <w:spacing w:val="-3"/>
        </w:rPr>
        <w:t> </w:t>
      </w:r>
      <w:r>
        <w:rPr/>
        <w:t>in</w:t>
      </w:r>
      <w:r>
        <w:rPr>
          <w:spacing w:val="-3"/>
        </w:rPr>
        <w:t> </w:t>
      </w:r>
      <w:r>
        <w:rPr/>
        <w:t>its</w:t>
      </w:r>
      <w:r>
        <w:rPr>
          <w:spacing w:val="-5"/>
        </w:rPr>
        <w:t> </w:t>
      </w:r>
      <w:r>
        <w:rPr/>
        <w:t>earlier</w:t>
      </w:r>
      <w:r>
        <w:rPr>
          <w:spacing w:val="-4"/>
        </w:rPr>
        <w:t> </w:t>
      </w:r>
      <w:r>
        <w:rPr/>
        <w:t>review</w:t>
      </w:r>
      <w:r>
        <w:rPr>
          <w:spacing w:val="-4"/>
        </w:rPr>
        <w:t> </w:t>
      </w:r>
      <w:r>
        <w:rPr/>
        <w:t>of ESV’s</w:t>
      </w:r>
      <w:r>
        <w:rPr>
          <w:spacing w:val="-1"/>
        </w:rPr>
        <w:t> </w:t>
      </w:r>
      <w:r>
        <w:rPr/>
        <w:t>electricity infrastructure compliance and enforcement. For example, in relation to ESV’s then Gas Infrastructure Safety Division (GISD), Advisian noted:</w:t>
      </w:r>
    </w:p>
    <w:p>
      <w:pPr>
        <w:pStyle w:val="BodyText"/>
        <w:spacing w:before="10"/>
        <w:rPr>
          <w:sz w:val="20"/>
        </w:rPr>
      </w:pPr>
    </w:p>
    <w:p>
      <w:pPr>
        <w:spacing w:line="288" w:lineRule="auto" w:before="0"/>
        <w:ind w:left="1166" w:right="1253" w:firstLine="62"/>
        <w:jc w:val="left"/>
        <w:rPr>
          <w:sz w:val="22"/>
        </w:rPr>
      </w:pPr>
      <w:r>
        <w:rPr>
          <w:i/>
          <w:sz w:val="22"/>
        </w:rPr>
        <w:t>“However there is currently no formal requirement within GISD to ensure that SC/SMP</w:t>
      </w:r>
      <w:r>
        <w:rPr>
          <w:i/>
          <w:spacing w:val="-4"/>
          <w:sz w:val="22"/>
        </w:rPr>
        <w:t> </w:t>
      </w:r>
      <w:r>
        <w:rPr>
          <w:i/>
          <w:sz w:val="22"/>
        </w:rPr>
        <w:t>[Safety</w:t>
      </w:r>
      <w:r>
        <w:rPr>
          <w:i/>
          <w:spacing w:val="-3"/>
          <w:sz w:val="22"/>
        </w:rPr>
        <w:t> </w:t>
      </w:r>
      <w:r>
        <w:rPr>
          <w:i/>
          <w:sz w:val="22"/>
        </w:rPr>
        <w:t>Case</w:t>
      </w:r>
      <w:r>
        <w:rPr>
          <w:i/>
          <w:spacing w:val="-6"/>
          <w:sz w:val="22"/>
        </w:rPr>
        <w:t> </w:t>
      </w:r>
      <w:r>
        <w:rPr>
          <w:i/>
          <w:sz w:val="22"/>
        </w:rPr>
        <w:t>/</w:t>
      </w:r>
      <w:r>
        <w:rPr>
          <w:i/>
          <w:spacing w:val="-7"/>
          <w:sz w:val="22"/>
        </w:rPr>
        <w:t> </w:t>
      </w:r>
      <w:r>
        <w:rPr>
          <w:i/>
          <w:sz w:val="22"/>
        </w:rPr>
        <w:t>Safety</w:t>
      </w:r>
      <w:r>
        <w:rPr>
          <w:i/>
          <w:spacing w:val="-6"/>
          <w:sz w:val="22"/>
        </w:rPr>
        <w:t> </w:t>
      </w:r>
      <w:r>
        <w:rPr>
          <w:i/>
          <w:sz w:val="22"/>
        </w:rPr>
        <w:t>Management</w:t>
      </w:r>
      <w:r>
        <w:rPr>
          <w:i/>
          <w:spacing w:val="-2"/>
          <w:sz w:val="22"/>
        </w:rPr>
        <w:t> </w:t>
      </w:r>
      <w:r>
        <w:rPr>
          <w:i/>
          <w:sz w:val="22"/>
        </w:rPr>
        <w:t>Plan]</w:t>
      </w:r>
      <w:r>
        <w:rPr>
          <w:i/>
          <w:spacing w:val="-1"/>
          <w:sz w:val="22"/>
        </w:rPr>
        <w:t> </w:t>
      </w:r>
      <w:r>
        <w:rPr>
          <w:i/>
          <w:sz w:val="22"/>
        </w:rPr>
        <w:t>evaluation</w:t>
      </w:r>
      <w:r>
        <w:rPr>
          <w:i/>
          <w:spacing w:val="-6"/>
          <w:sz w:val="22"/>
        </w:rPr>
        <w:t> </w:t>
      </w:r>
      <w:r>
        <w:rPr>
          <w:i/>
          <w:sz w:val="22"/>
        </w:rPr>
        <w:t>process</w:t>
      </w:r>
      <w:r>
        <w:rPr>
          <w:i/>
          <w:spacing w:val="-3"/>
          <w:sz w:val="22"/>
        </w:rPr>
        <w:t> </w:t>
      </w:r>
      <w:r>
        <w:rPr>
          <w:i/>
          <w:sz w:val="22"/>
        </w:rPr>
        <w:t>outcomes are used to inform its own strategic and annual audit plans, and thereby ensure that evidence is collected in an ongoing manner to continue to verify the accuracy of the Gas Company/ Licensee’s SC/SMP safety proposition.” </w:t>
      </w:r>
      <w:r>
        <w:rPr>
          <w:sz w:val="22"/>
        </w:rPr>
        <w:t>(Advisian, 2015, p. 31)</w:t>
      </w:r>
    </w:p>
    <w:p>
      <w:pPr>
        <w:pStyle w:val="BodyText"/>
        <w:spacing w:before="10"/>
        <w:rPr>
          <w:sz w:val="20"/>
        </w:rPr>
      </w:pPr>
    </w:p>
    <w:p>
      <w:pPr>
        <w:pStyle w:val="BodyText"/>
        <w:spacing w:line="288" w:lineRule="auto" w:before="1"/>
        <w:ind w:left="600" w:right="586"/>
      </w:pPr>
      <w:r>
        <w:rPr/>
        <w:t>Advisian</w:t>
      </w:r>
      <w:r>
        <w:rPr>
          <w:spacing w:val="-4"/>
        </w:rPr>
        <w:t> </w:t>
      </w:r>
      <w:r>
        <w:rPr/>
        <w:t>recommended</w:t>
      </w:r>
      <w:r>
        <w:rPr>
          <w:spacing w:val="-8"/>
        </w:rPr>
        <w:t> </w:t>
      </w:r>
      <w:r>
        <w:rPr/>
        <w:t>establishing</w:t>
      </w:r>
      <w:r>
        <w:rPr>
          <w:spacing w:val="-2"/>
        </w:rPr>
        <w:t> </w:t>
      </w:r>
      <w:r>
        <w:rPr/>
        <w:t>procedures</w:t>
      </w:r>
      <w:r>
        <w:rPr>
          <w:spacing w:val="-6"/>
        </w:rPr>
        <w:t> </w:t>
      </w:r>
      <w:r>
        <w:rPr/>
        <w:t>that</w:t>
      </w:r>
      <w:r>
        <w:rPr>
          <w:spacing w:val="-2"/>
        </w:rPr>
        <w:t> </w:t>
      </w:r>
      <w:r>
        <w:rPr/>
        <w:t>ensure</w:t>
      </w:r>
      <w:r>
        <w:rPr>
          <w:spacing w:val="-4"/>
        </w:rPr>
        <w:t> </w:t>
      </w:r>
      <w:r>
        <w:rPr/>
        <w:t>evaluation</w:t>
      </w:r>
      <w:r>
        <w:rPr>
          <w:spacing w:val="-4"/>
        </w:rPr>
        <w:t> </w:t>
      </w:r>
      <w:r>
        <w:rPr/>
        <w:t>outputs</w:t>
      </w:r>
      <w:r>
        <w:rPr>
          <w:spacing w:val="-6"/>
        </w:rPr>
        <w:t> </w:t>
      </w:r>
      <w:r>
        <w:rPr/>
        <w:t>(for</w:t>
      </w:r>
      <w:r>
        <w:rPr>
          <w:spacing w:val="-5"/>
        </w:rPr>
        <w:t> </w:t>
      </w:r>
      <w:r>
        <w:rPr/>
        <w:t>example risk assessments and safety priorities) directly inform ongoing surveillance activities after a safety case has been accepted.</w:t>
      </w:r>
    </w:p>
    <w:p>
      <w:pPr>
        <w:pStyle w:val="BodyText"/>
        <w:spacing w:before="8"/>
        <w:rPr>
          <w:sz w:val="20"/>
        </w:rPr>
      </w:pPr>
    </w:p>
    <w:p>
      <w:pPr>
        <w:pStyle w:val="BodyText"/>
        <w:spacing w:line="288" w:lineRule="auto" w:before="1"/>
        <w:ind w:left="600" w:right="910"/>
      </w:pPr>
      <w:r>
        <w:rPr/>
        <w:t>The</w:t>
      </w:r>
      <w:r>
        <w:rPr>
          <w:spacing w:val="-4"/>
        </w:rPr>
        <w:t> </w:t>
      </w:r>
      <w:r>
        <w:rPr/>
        <w:t>need</w:t>
      </w:r>
      <w:r>
        <w:rPr>
          <w:spacing w:val="-4"/>
        </w:rPr>
        <w:t> </w:t>
      </w:r>
      <w:r>
        <w:rPr/>
        <w:t>for</w:t>
      </w:r>
      <w:r>
        <w:rPr>
          <w:spacing w:val="-3"/>
        </w:rPr>
        <w:t> </w:t>
      </w:r>
      <w:r>
        <w:rPr/>
        <w:t>a</w:t>
      </w:r>
      <w:r>
        <w:rPr>
          <w:spacing w:val="-2"/>
        </w:rPr>
        <w:t> </w:t>
      </w:r>
      <w:r>
        <w:rPr/>
        <w:t>strong</w:t>
      </w:r>
      <w:r>
        <w:rPr>
          <w:spacing w:val="-2"/>
        </w:rPr>
        <w:t> </w:t>
      </w:r>
      <w:r>
        <w:rPr/>
        <w:t>analytical</w:t>
      </w:r>
      <w:r>
        <w:rPr>
          <w:spacing w:val="-3"/>
        </w:rPr>
        <w:t> </w:t>
      </w:r>
      <w:r>
        <w:rPr/>
        <w:t>base</w:t>
      </w:r>
      <w:r>
        <w:rPr>
          <w:spacing w:val="-2"/>
        </w:rPr>
        <w:t> </w:t>
      </w:r>
      <w:r>
        <w:rPr/>
        <w:t>was</w:t>
      </w:r>
      <w:r>
        <w:rPr>
          <w:spacing w:val="-2"/>
        </w:rPr>
        <w:t> </w:t>
      </w:r>
      <w:r>
        <w:rPr/>
        <w:t>an</w:t>
      </w:r>
      <w:r>
        <w:rPr>
          <w:spacing w:val="-2"/>
        </w:rPr>
        <w:t> </w:t>
      </w:r>
      <w:r>
        <w:rPr/>
        <w:t>important observation</w:t>
      </w:r>
      <w:r>
        <w:rPr>
          <w:spacing w:val="-2"/>
        </w:rPr>
        <w:t> </w:t>
      </w:r>
      <w:r>
        <w:rPr/>
        <w:t>arising</w:t>
      </w:r>
      <w:r>
        <w:rPr>
          <w:spacing w:val="-4"/>
        </w:rPr>
        <w:t> </w:t>
      </w:r>
      <w:r>
        <w:rPr/>
        <w:t>from</w:t>
      </w:r>
      <w:r>
        <w:rPr>
          <w:spacing w:val="-3"/>
        </w:rPr>
        <w:t> </w:t>
      </w:r>
      <w:r>
        <w:rPr/>
        <w:t>the 2009 Victorian Bushfires Royal Commission. It is essential that there are strong accountability arrangements to ensure that the apparent remaining gaps are now closed as quickly as possible. The roundtable discussions that the Review held with senior ESV managers indicated that the leadership team is focused on the need to further strengthen ESV’s analytical systems and processes and is committed to further improvement.</w:t>
      </w:r>
    </w:p>
    <w:p>
      <w:pPr>
        <w:pStyle w:val="BodyText"/>
        <w:spacing w:before="10"/>
        <w:rPr>
          <w:sz w:val="20"/>
        </w:rPr>
      </w:pPr>
    </w:p>
    <w:p>
      <w:pPr>
        <w:spacing w:line="288" w:lineRule="auto" w:before="0"/>
        <w:ind w:left="600" w:right="713" w:firstLine="0"/>
        <w:jc w:val="left"/>
        <w:rPr>
          <w:sz w:val="22"/>
        </w:rPr>
      </w:pPr>
      <w:r>
        <w:rPr>
          <w:sz w:val="22"/>
        </w:rPr>
        <w:t>In</w:t>
      </w:r>
      <w:r>
        <w:rPr>
          <w:spacing w:val="-2"/>
          <w:sz w:val="22"/>
        </w:rPr>
        <w:t> </w:t>
      </w:r>
      <w:r>
        <w:rPr>
          <w:sz w:val="22"/>
        </w:rPr>
        <w:t>its</w:t>
      </w:r>
      <w:r>
        <w:rPr>
          <w:spacing w:val="-3"/>
          <w:sz w:val="22"/>
        </w:rPr>
        <w:t> </w:t>
      </w:r>
      <w:r>
        <w:rPr>
          <w:i/>
          <w:sz w:val="22"/>
        </w:rPr>
        <w:t>Corporate</w:t>
      </w:r>
      <w:r>
        <w:rPr>
          <w:i/>
          <w:spacing w:val="-4"/>
          <w:sz w:val="22"/>
        </w:rPr>
        <w:t> </w:t>
      </w:r>
      <w:r>
        <w:rPr>
          <w:i/>
          <w:sz w:val="22"/>
        </w:rPr>
        <w:t>Plan</w:t>
      </w:r>
      <w:r>
        <w:rPr>
          <w:i/>
          <w:spacing w:val="-2"/>
          <w:sz w:val="22"/>
        </w:rPr>
        <w:t> </w:t>
      </w:r>
      <w:r>
        <w:rPr>
          <w:i/>
          <w:sz w:val="22"/>
        </w:rPr>
        <w:t>2017–2020</w:t>
      </w:r>
      <w:r>
        <w:rPr>
          <w:sz w:val="22"/>
        </w:rPr>
        <w:t>, ESV</w:t>
      </w:r>
      <w:r>
        <w:rPr>
          <w:spacing w:val="-2"/>
          <w:sz w:val="22"/>
        </w:rPr>
        <w:t> </w:t>
      </w:r>
      <w:r>
        <w:rPr>
          <w:sz w:val="22"/>
        </w:rPr>
        <w:t>has</w:t>
      </w:r>
      <w:r>
        <w:rPr>
          <w:spacing w:val="-4"/>
          <w:sz w:val="22"/>
        </w:rPr>
        <w:t> </w:t>
      </w:r>
      <w:r>
        <w:rPr>
          <w:sz w:val="22"/>
        </w:rPr>
        <w:t>identified</w:t>
      </w:r>
      <w:r>
        <w:rPr>
          <w:spacing w:val="-2"/>
          <w:sz w:val="22"/>
        </w:rPr>
        <w:t> </w:t>
      </w:r>
      <w:r>
        <w:rPr>
          <w:sz w:val="22"/>
        </w:rPr>
        <w:t>a</w:t>
      </w:r>
      <w:r>
        <w:rPr>
          <w:spacing w:val="-2"/>
          <w:sz w:val="22"/>
        </w:rPr>
        <w:t> </w:t>
      </w:r>
      <w:r>
        <w:rPr>
          <w:sz w:val="22"/>
        </w:rPr>
        <w:t>need</w:t>
      </w:r>
      <w:r>
        <w:rPr>
          <w:spacing w:val="-7"/>
          <w:sz w:val="22"/>
        </w:rPr>
        <w:t> </w:t>
      </w:r>
      <w:r>
        <w:rPr>
          <w:sz w:val="22"/>
        </w:rPr>
        <w:t>for</w:t>
      </w:r>
      <w:r>
        <w:rPr>
          <w:spacing w:val="-1"/>
          <w:sz w:val="22"/>
        </w:rPr>
        <w:t> </w:t>
      </w:r>
      <w:r>
        <w:rPr>
          <w:sz w:val="22"/>
        </w:rPr>
        <w:t>its</w:t>
      </w:r>
      <w:r>
        <w:rPr>
          <w:spacing w:val="-4"/>
          <w:sz w:val="22"/>
        </w:rPr>
        <w:t> </w:t>
      </w:r>
      <w:r>
        <w:rPr>
          <w:sz w:val="22"/>
        </w:rPr>
        <w:t>monitoring</w:t>
      </w:r>
      <w:r>
        <w:rPr>
          <w:spacing w:val="-2"/>
          <w:sz w:val="22"/>
        </w:rPr>
        <w:t> </w:t>
      </w:r>
      <w:r>
        <w:rPr>
          <w:sz w:val="22"/>
        </w:rPr>
        <w:t>capabilities</w:t>
      </w:r>
      <w:r>
        <w:rPr>
          <w:spacing w:val="-2"/>
          <w:sz w:val="22"/>
        </w:rPr>
        <w:t> </w:t>
      </w:r>
      <w:r>
        <w:rPr>
          <w:sz w:val="22"/>
        </w:rPr>
        <w:t>to grow and has noted: “</w:t>
      </w:r>
      <w:r>
        <w:rPr>
          <w:i/>
          <w:sz w:val="22"/>
        </w:rPr>
        <w:t>ESV will also continue towards a risk and evidence-based regulatory practice, utilising a business intelligence approach to the sizeable amounts of data it collects</w:t>
      </w:r>
      <w:r>
        <w:rPr>
          <w:sz w:val="22"/>
        </w:rPr>
        <w:t>” (ESV, 2017b, p. 8).</w:t>
      </w:r>
    </w:p>
    <w:p>
      <w:pPr>
        <w:spacing w:after="0" w:line="288" w:lineRule="auto"/>
        <w:jc w:val="left"/>
        <w:rPr>
          <w:sz w:val="22"/>
        </w:rPr>
        <w:sectPr>
          <w:pgSz w:w="11910" w:h="16840"/>
          <w:pgMar w:header="887" w:footer="1228" w:top="1080" w:bottom="1500" w:left="840" w:right="820"/>
        </w:sectPr>
      </w:pPr>
    </w:p>
    <w:p>
      <w:pPr>
        <w:pStyle w:val="BodyText"/>
        <w:rPr>
          <w:sz w:val="20"/>
        </w:rPr>
      </w:pPr>
    </w:p>
    <w:p>
      <w:pPr>
        <w:pStyle w:val="BodyText"/>
        <w:rPr>
          <w:sz w:val="20"/>
        </w:rPr>
      </w:pPr>
    </w:p>
    <w:p>
      <w:pPr>
        <w:pStyle w:val="BodyText"/>
        <w:spacing w:before="4"/>
      </w:pPr>
    </w:p>
    <w:p>
      <w:pPr>
        <w:pStyle w:val="BodyText"/>
        <w:ind w:left="600"/>
        <w:rPr>
          <w:sz w:val="20"/>
        </w:rPr>
      </w:pPr>
      <w:r>
        <w:rPr>
          <w:sz w:val="20"/>
        </w:rPr>
        <mc:AlternateContent>
          <mc:Choice Requires="wps">
            <w:drawing>
              <wp:inline distT="0" distB="0" distL="0" distR="0">
                <wp:extent cx="5732780" cy="1614170"/>
                <wp:effectExtent l="0" t="0" r="0" b="0"/>
                <wp:docPr id="122" name="Textbox 122"/>
                <wp:cNvGraphicFramePr>
                  <a:graphicFrameLocks/>
                </wp:cNvGraphicFramePr>
                <a:graphic>
                  <a:graphicData uri="http://schemas.microsoft.com/office/word/2010/wordprocessingShape">
                    <wps:wsp>
                      <wps:cNvPr id="122" name="Textbox 122"/>
                      <wps:cNvSpPr txBox="1"/>
                      <wps:spPr>
                        <a:xfrm>
                          <a:off x="0" y="0"/>
                          <a:ext cx="5732780" cy="1614170"/>
                        </a:xfrm>
                        <a:prstGeom prst="rect">
                          <a:avLst/>
                        </a:prstGeom>
                        <a:solidFill>
                          <a:srgbClr val="D9D9D9"/>
                        </a:solidFill>
                      </wps:spPr>
                      <wps:txbx>
                        <w:txbxContent>
                          <w:p>
                            <w:pPr>
                              <w:pStyle w:val="BodyText"/>
                              <w:spacing w:before="10"/>
                              <w:rPr>
                                <w:color w:val="000000"/>
                                <w:sz w:val="20"/>
                              </w:rPr>
                            </w:pPr>
                          </w:p>
                          <w:p>
                            <w:pPr>
                              <w:spacing w:before="0"/>
                              <w:ind w:left="112" w:right="0" w:firstLine="0"/>
                              <w:jc w:val="left"/>
                              <w:rPr>
                                <w:b/>
                                <w:color w:val="000000"/>
                                <w:sz w:val="22"/>
                              </w:rPr>
                            </w:pPr>
                            <w:r>
                              <w:rPr>
                                <w:b/>
                                <w:color w:val="000000"/>
                                <w:sz w:val="22"/>
                              </w:rPr>
                              <w:t>Recommendation</w:t>
                            </w:r>
                            <w:r>
                              <w:rPr>
                                <w:b/>
                                <w:color w:val="000000"/>
                                <w:spacing w:val="-7"/>
                                <w:sz w:val="22"/>
                              </w:rPr>
                              <w:t> </w:t>
                            </w:r>
                            <w:r>
                              <w:rPr>
                                <w:b/>
                                <w:color w:val="000000"/>
                                <w:spacing w:val="-10"/>
                                <w:sz w:val="22"/>
                              </w:rPr>
                              <w:t>8</w:t>
                            </w:r>
                          </w:p>
                          <w:p>
                            <w:pPr>
                              <w:pStyle w:val="BodyText"/>
                              <w:spacing w:before="4"/>
                              <w:rPr>
                                <w:b/>
                                <w:color w:val="000000"/>
                                <w:sz w:val="25"/>
                              </w:rPr>
                            </w:pPr>
                          </w:p>
                          <w:p>
                            <w:pPr>
                              <w:pStyle w:val="BodyText"/>
                              <w:spacing w:line="288" w:lineRule="auto" w:before="1"/>
                              <w:ind w:left="112" w:right="205"/>
                              <w:rPr>
                                <w:color w:val="000000"/>
                              </w:rPr>
                            </w:pPr>
                            <w:r>
                              <w:rPr>
                                <w:color w:val="000000"/>
                              </w:rPr>
                              <w:t>ESV should develop an integrated plan of action to strengthen its analytical capabilities and</w:t>
                            </w:r>
                            <w:r>
                              <w:rPr>
                                <w:color w:val="000000"/>
                                <w:spacing w:val="-3"/>
                              </w:rPr>
                              <w:t> </w:t>
                            </w:r>
                            <w:r>
                              <w:rPr>
                                <w:color w:val="000000"/>
                              </w:rPr>
                              <w:t>processes</w:t>
                            </w:r>
                            <w:r>
                              <w:rPr>
                                <w:color w:val="000000"/>
                                <w:spacing w:val="-5"/>
                              </w:rPr>
                              <w:t> </w:t>
                            </w:r>
                            <w:r>
                              <w:rPr>
                                <w:color w:val="000000"/>
                              </w:rPr>
                              <w:t>to</w:t>
                            </w:r>
                            <w:r>
                              <w:rPr>
                                <w:color w:val="000000"/>
                                <w:spacing w:val="-5"/>
                              </w:rPr>
                              <w:t> </w:t>
                            </w:r>
                            <w:r>
                              <w:rPr>
                                <w:color w:val="000000"/>
                              </w:rPr>
                              <w:t>support</w:t>
                            </w:r>
                            <w:r>
                              <w:rPr>
                                <w:color w:val="000000"/>
                                <w:spacing w:val="-1"/>
                              </w:rPr>
                              <w:t> </w:t>
                            </w:r>
                            <w:r>
                              <w:rPr>
                                <w:color w:val="000000"/>
                              </w:rPr>
                              <w:t>effective</w:t>
                            </w:r>
                            <w:r>
                              <w:rPr>
                                <w:color w:val="000000"/>
                                <w:spacing w:val="-3"/>
                              </w:rPr>
                              <w:t> </w:t>
                            </w:r>
                            <w:r>
                              <w:rPr>
                                <w:color w:val="000000"/>
                              </w:rPr>
                              <w:t>risk-based</w:t>
                            </w:r>
                            <w:r>
                              <w:rPr>
                                <w:color w:val="000000"/>
                                <w:spacing w:val="-5"/>
                              </w:rPr>
                              <w:t> </w:t>
                            </w:r>
                            <w:r>
                              <w:rPr>
                                <w:color w:val="000000"/>
                              </w:rPr>
                              <w:t>regulation.</w:t>
                            </w:r>
                            <w:r>
                              <w:rPr>
                                <w:color w:val="000000"/>
                                <w:spacing w:val="-4"/>
                              </w:rPr>
                              <w:t> </w:t>
                            </w:r>
                            <w:r>
                              <w:rPr>
                                <w:color w:val="000000"/>
                              </w:rPr>
                              <w:t>This</w:t>
                            </w:r>
                            <w:r>
                              <w:rPr>
                                <w:color w:val="000000"/>
                                <w:spacing w:val="-2"/>
                              </w:rPr>
                              <w:t> </w:t>
                            </w:r>
                            <w:r>
                              <w:rPr>
                                <w:color w:val="000000"/>
                              </w:rPr>
                              <w:t>action</w:t>
                            </w:r>
                            <w:r>
                              <w:rPr>
                                <w:color w:val="000000"/>
                                <w:spacing w:val="-3"/>
                              </w:rPr>
                              <w:t> </w:t>
                            </w:r>
                            <w:r>
                              <w:rPr>
                                <w:color w:val="000000"/>
                              </w:rPr>
                              <w:t>plan</w:t>
                            </w:r>
                            <w:r>
                              <w:rPr>
                                <w:color w:val="000000"/>
                                <w:spacing w:val="-5"/>
                              </w:rPr>
                              <w:t> </w:t>
                            </w:r>
                            <w:r>
                              <w:rPr>
                                <w:color w:val="000000"/>
                              </w:rPr>
                              <w:t>should</w:t>
                            </w:r>
                            <w:r>
                              <w:rPr>
                                <w:color w:val="000000"/>
                                <w:spacing w:val="-3"/>
                              </w:rPr>
                              <w:t> </w:t>
                            </w:r>
                            <w:r>
                              <w:rPr>
                                <w:color w:val="000000"/>
                              </w:rPr>
                              <w:t>build</w:t>
                            </w:r>
                            <w:r>
                              <w:rPr>
                                <w:color w:val="000000"/>
                                <w:spacing w:val="-3"/>
                              </w:rPr>
                              <w:t> </w:t>
                            </w:r>
                            <w:r>
                              <w:rPr>
                                <w:color w:val="000000"/>
                              </w:rPr>
                              <w:t>on the initiatives outlined in ESV’s </w:t>
                            </w:r>
                            <w:r>
                              <w:rPr>
                                <w:i/>
                                <w:color w:val="000000"/>
                              </w:rPr>
                              <w:t>Corporate Plan 2017-2020</w:t>
                            </w:r>
                            <w:r>
                              <w:rPr>
                                <w:color w:val="000000"/>
                              </w:rPr>
                              <w:t>. To promote accountability, it should include clear actionable milestones. Progress against the action plan should be reported annually until all planned milestones have been completed.</w:t>
                            </w:r>
                          </w:p>
                        </w:txbxContent>
                      </wps:txbx>
                      <wps:bodyPr wrap="square" lIns="0" tIns="0" rIns="0" bIns="0" rtlCol="0">
                        <a:noAutofit/>
                      </wps:bodyPr>
                    </wps:wsp>
                  </a:graphicData>
                </a:graphic>
              </wp:inline>
            </w:drawing>
          </mc:Choice>
          <mc:Fallback>
            <w:pict>
              <v:shape style="width:451.4pt;height:127.1pt;mso-position-horizontal-relative:char;mso-position-vertical-relative:line" type="#_x0000_t202" id="docshape106" filled="true" fillcolor="#d9d9d9" stroked="false">
                <w10:anchorlock/>
                <v:textbox inset="0,0,0,0">
                  <w:txbxContent>
                    <w:p>
                      <w:pPr>
                        <w:pStyle w:val="BodyText"/>
                        <w:spacing w:before="10"/>
                        <w:rPr>
                          <w:color w:val="000000"/>
                          <w:sz w:val="20"/>
                        </w:rPr>
                      </w:pPr>
                    </w:p>
                    <w:p>
                      <w:pPr>
                        <w:spacing w:before="0"/>
                        <w:ind w:left="112" w:right="0" w:firstLine="0"/>
                        <w:jc w:val="left"/>
                        <w:rPr>
                          <w:b/>
                          <w:color w:val="000000"/>
                          <w:sz w:val="22"/>
                        </w:rPr>
                      </w:pPr>
                      <w:r>
                        <w:rPr>
                          <w:b/>
                          <w:color w:val="000000"/>
                          <w:sz w:val="22"/>
                        </w:rPr>
                        <w:t>Recommendation</w:t>
                      </w:r>
                      <w:r>
                        <w:rPr>
                          <w:b/>
                          <w:color w:val="000000"/>
                          <w:spacing w:val="-7"/>
                          <w:sz w:val="22"/>
                        </w:rPr>
                        <w:t> </w:t>
                      </w:r>
                      <w:r>
                        <w:rPr>
                          <w:b/>
                          <w:color w:val="000000"/>
                          <w:spacing w:val="-10"/>
                          <w:sz w:val="22"/>
                        </w:rPr>
                        <w:t>8</w:t>
                      </w:r>
                    </w:p>
                    <w:p>
                      <w:pPr>
                        <w:pStyle w:val="BodyText"/>
                        <w:spacing w:before="4"/>
                        <w:rPr>
                          <w:b/>
                          <w:color w:val="000000"/>
                          <w:sz w:val="25"/>
                        </w:rPr>
                      </w:pPr>
                    </w:p>
                    <w:p>
                      <w:pPr>
                        <w:pStyle w:val="BodyText"/>
                        <w:spacing w:line="288" w:lineRule="auto" w:before="1"/>
                        <w:ind w:left="112" w:right="205"/>
                        <w:rPr>
                          <w:color w:val="000000"/>
                        </w:rPr>
                      </w:pPr>
                      <w:r>
                        <w:rPr>
                          <w:color w:val="000000"/>
                        </w:rPr>
                        <w:t>ESV should develop an integrated plan of action to strengthen its analytical capabilities and</w:t>
                      </w:r>
                      <w:r>
                        <w:rPr>
                          <w:color w:val="000000"/>
                          <w:spacing w:val="-3"/>
                        </w:rPr>
                        <w:t> </w:t>
                      </w:r>
                      <w:r>
                        <w:rPr>
                          <w:color w:val="000000"/>
                        </w:rPr>
                        <w:t>processes</w:t>
                      </w:r>
                      <w:r>
                        <w:rPr>
                          <w:color w:val="000000"/>
                          <w:spacing w:val="-5"/>
                        </w:rPr>
                        <w:t> </w:t>
                      </w:r>
                      <w:r>
                        <w:rPr>
                          <w:color w:val="000000"/>
                        </w:rPr>
                        <w:t>to</w:t>
                      </w:r>
                      <w:r>
                        <w:rPr>
                          <w:color w:val="000000"/>
                          <w:spacing w:val="-5"/>
                        </w:rPr>
                        <w:t> </w:t>
                      </w:r>
                      <w:r>
                        <w:rPr>
                          <w:color w:val="000000"/>
                        </w:rPr>
                        <w:t>support</w:t>
                      </w:r>
                      <w:r>
                        <w:rPr>
                          <w:color w:val="000000"/>
                          <w:spacing w:val="-1"/>
                        </w:rPr>
                        <w:t> </w:t>
                      </w:r>
                      <w:r>
                        <w:rPr>
                          <w:color w:val="000000"/>
                        </w:rPr>
                        <w:t>effective</w:t>
                      </w:r>
                      <w:r>
                        <w:rPr>
                          <w:color w:val="000000"/>
                          <w:spacing w:val="-3"/>
                        </w:rPr>
                        <w:t> </w:t>
                      </w:r>
                      <w:r>
                        <w:rPr>
                          <w:color w:val="000000"/>
                        </w:rPr>
                        <w:t>risk-based</w:t>
                      </w:r>
                      <w:r>
                        <w:rPr>
                          <w:color w:val="000000"/>
                          <w:spacing w:val="-5"/>
                        </w:rPr>
                        <w:t> </w:t>
                      </w:r>
                      <w:r>
                        <w:rPr>
                          <w:color w:val="000000"/>
                        </w:rPr>
                        <w:t>regulation.</w:t>
                      </w:r>
                      <w:r>
                        <w:rPr>
                          <w:color w:val="000000"/>
                          <w:spacing w:val="-4"/>
                        </w:rPr>
                        <w:t> </w:t>
                      </w:r>
                      <w:r>
                        <w:rPr>
                          <w:color w:val="000000"/>
                        </w:rPr>
                        <w:t>This</w:t>
                      </w:r>
                      <w:r>
                        <w:rPr>
                          <w:color w:val="000000"/>
                          <w:spacing w:val="-2"/>
                        </w:rPr>
                        <w:t> </w:t>
                      </w:r>
                      <w:r>
                        <w:rPr>
                          <w:color w:val="000000"/>
                        </w:rPr>
                        <w:t>action</w:t>
                      </w:r>
                      <w:r>
                        <w:rPr>
                          <w:color w:val="000000"/>
                          <w:spacing w:val="-3"/>
                        </w:rPr>
                        <w:t> </w:t>
                      </w:r>
                      <w:r>
                        <w:rPr>
                          <w:color w:val="000000"/>
                        </w:rPr>
                        <w:t>plan</w:t>
                      </w:r>
                      <w:r>
                        <w:rPr>
                          <w:color w:val="000000"/>
                          <w:spacing w:val="-5"/>
                        </w:rPr>
                        <w:t> </w:t>
                      </w:r>
                      <w:r>
                        <w:rPr>
                          <w:color w:val="000000"/>
                        </w:rPr>
                        <w:t>should</w:t>
                      </w:r>
                      <w:r>
                        <w:rPr>
                          <w:color w:val="000000"/>
                          <w:spacing w:val="-3"/>
                        </w:rPr>
                        <w:t> </w:t>
                      </w:r>
                      <w:r>
                        <w:rPr>
                          <w:color w:val="000000"/>
                        </w:rPr>
                        <w:t>build</w:t>
                      </w:r>
                      <w:r>
                        <w:rPr>
                          <w:color w:val="000000"/>
                          <w:spacing w:val="-3"/>
                        </w:rPr>
                        <w:t> </w:t>
                      </w:r>
                      <w:r>
                        <w:rPr>
                          <w:color w:val="000000"/>
                        </w:rPr>
                        <w:t>on the initiatives outlined in ESV’s </w:t>
                      </w:r>
                      <w:r>
                        <w:rPr>
                          <w:i/>
                          <w:color w:val="000000"/>
                        </w:rPr>
                        <w:t>Corporate Plan 2017-2020</w:t>
                      </w:r>
                      <w:r>
                        <w:rPr>
                          <w:color w:val="000000"/>
                        </w:rPr>
                        <w:t>. To promote accountability, it should include clear actionable milestones. Progress against the action plan should be reported annually until all planned milestones have been completed.</w:t>
                      </w:r>
                    </w:p>
                  </w:txbxContent>
                </v:textbox>
                <v:fill type="solid"/>
              </v:shape>
            </w:pict>
          </mc:Fallback>
        </mc:AlternateContent>
      </w:r>
      <w:r>
        <w:rPr>
          <w:sz w:val="20"/>
        </w:rPr>
      </w:r>
    </w:p>
    <w:p>
      <w:pPr>
        <w:pStyle w:val="BodyText"/>
        <w:spacing w:before="4"/>
        <w:rPr>
          <w:sz w:val="16"/>
        </w:rPr>
      </w:pPr>
    </w:p>
    <w:p>
      <w:pPr>
        <w:spacing w:line="288" w:lineRule="auto" w:before="94"/>
        <w:ind w:left="600" w:right="910" w:firstLine="0"/>
        <w:jc w:val="left"/>
        <w:rPr>
          <w:sz w:val="22"/>
        </w:rPr>
      </w:pPr>
      <w:r>
        <w:rPr>
          <w:sz w:val="22"/>
        </w:rPr>
        <w:t>Strengthening</w:t>
      </w:r>
      <w:r>
        <w:rPr>
          <w:spacing w:val="-4"/>
          <w:sz w:val="22"/>
        </w:rPr>
        <w:t> </w:t>
      </w:r>
      <w:r>
        <w:rPr>
          <w:sz w:val="22"/>
        </w:rPr>
        <w:t>ESV’s</w:t>
      </w:r>
      <w:r>
        <w:rPr>
          <w:spacing w:val="-3"/>
          <w:sz w:val="22"/>
        </w:rPr>
        <w:t> </w:t>
      </w:r>
      <w:r>
        <w:rPr>
          <w:sz w:val="22"/>
        </w:rPr>
        <w:t>analytical</w:t>
      </w:r>
      <w:r>
        <w:rPr>
          <w:spacing w:val="-5"/>
          <w:sz w:val="22"/>
        </w:rPr>
        <w:t> </w:t>
      </w:r>
      <w:r>
        <w:rPr>
          <w:sz w:val="22"/>
        </w:rPr>
        <w:t>and</w:t>
      </w:r>
      <w:r>
        <w:rPr>
          <w:spacing w:val="-4"/>
          <w:sz w:val="22"/>
        </w:rPr>
        <w:t> </w:t>
      </w:r>
      <w:r>
        <w:rPr>
          <w:sz w:val="22"/>
        </w:rPr>
        <w:t>strategic</w:t>
      </w:r>
      <w:r>
        <w:rPr>
          <w:spacing w:val="-3"/>
          <w:sz w:val="22"/>
        </w:rPr>
        <w:t> </w:t>
      </w:r>
      <w:r>
        <w:rPr>
          <w:sz w:val="22"/>
        </w:rPr>
        <w:t>capabilities</w:t>
      </w:r>
      <w:r>
        <w:rPr>
          <w:spacing w:val="-4"/>
          <w:sz w:val="22"/>
        </w:rPr>
        <w:t> </w:t>
      </w:r>
      <w:r>
        <w:rPr>
          <w:sz w:val="22"/>
        </w:rPr>
        <w:t>may</w:t>
      </w:r>
      <w:r>
        <w:rPr>
          <w:spacing w:val="-6"/>
          <w:sz w:val="22"/>
        </w:rPr>
        <w:t> </w:t>
      </w:r>
      <w:r>
        <w:rPr>
          <w:sz w:val="22"/>
        </w:rPr>
        <w:t>have</w:t>
      </w:r>
      <w:r>
        <w:rPr>
          <w:spacing w:val="-4"/>
          <w:sz w:val="22"/>
        </w:rPr>
        <w:t> </w:t>
      </w:r>
      <w:r>
        <w:rPr>
          <w:sz w:val="22"/>
        </w:rPr>
        <w:t>broader,</w:t>
      </w:r>
      <w:r>
        <w:rPr>
          <w:spacing w:val="-5"/>
          <w:sz w:val="22"/>
        </w:rPr>
        <w:t> </w:t>
      </w:r>
      <w:r>
        <w:rPr>
          <w:sz w:val="22"/>
        </w:rPr>
        <w:t>longer-term benefits in</w:t>
      </w:r>
      <w:r>
        <w:rPr>
          <w:spacing w:val="-3"/>
          <w:sz w:val="22"/>
        </w:rPr>
        <w:t> </w:t>
      </w:r>
      <w:r>
        <w:rPr>
          <w:sz w:val="22"/>
        </w:rPr>
        <w:t>better</w:t>
      </w:r>
      <w:r>
        <w:rPr>
          <w:spacing w:val="-2"/>
          <w:sz w:val="22"/>
        </w:rPr>
        <w:t> </w:t>
      </w:r>
      <w:r>
        <w:rPr>
          <w:sz w:val="22"/>
        </w:rPr>
        <w:t>informing</w:t>
      </w:r>
      <w:r>
        <w:rPr>
          <w:spacing w:val="-1"/>
          <w:sz w:val="22"/>
        </w:rPr>
        <w:t> </w:t>
      </w:r>
      <w:r>
        <w:rPr>
          <w:sz w:val="22"/>
        </w:rPr>
        <w:t>effective</w:t>
      </w:r>
      <w:r>
        <w:rPr>
          <w:spacing w:val="-1"/>
          <w:sz w:val="22"/>
        </w:rPr>
        <w:t> </w:t>
      </w:r>
      <w:r>
        <w:rPr>
          <w:sz w:val="22"/>
        </w:rPr>
        <w:t>risk-based</w:t>
      </w:r>
      <w:r>
        <w:rPr>
          <w:spacing w:val="-1"/>
          <w:sz w:val="22"/>
        </w:rPr>
        <w:t> </w:t>
      </w:r>
      <w:r>
        <w:rPr>
          <w:sz w:val="22"/>
        </w:rPr>
        <w:t>approaches,</w:t>
      </w:r>
      <w:r>
        <w:rPr>
          <w:spacing w:val="-1"/>
          <w:sz w:val="22"/>
        </w:rPr>
        <w:t> </w:t>
      </w:r>
      <w:r>
        <w:rPr>
          <w:sz w:val="22"/>
        </w:rPr>
        <w:t>and</w:t>
      </w:r>
      <w:r>
        <w:rPr>
          <w:spacing w:val="-3"/>
          <w:sz w:val="22"/>
        </w:rPr>
        <w:t> </w:t>
      </w:r>
      <w:r>
        <w:rPr>
          <w:sz w:val="22"/>
        </w:rPr>
        <w:t>in</w:t>
      </w:r>
      <w:r>
        <w:rPr>
          <w:spacing w:val="-1"/>
          <w:sz w:val="22"/>
        </w:rPr>
        <w:t> </w:t>
      </w:r>
      <w:r>
        <w:rPr>
          <w:sz w:val="22"/>
        </w:rPr>
        <w:t>strengthening ESV’s input into economic regulatory decision making (as discussed further in </w:t>
      </w:r>
      <w:r>
        <w:rPr>
          <w:i/>
          <w:sz w:val="22"/>
        </w:rPr>
        <w:t>Chapter 4: Integrating Safety Regulation with Economic Regulation</w:t>
      </w:r>
      <w:r>
        <w:rPr>
          <w:sz w:val="22"/>
        </w:rPr>
        <w:t>).</w:t>
      </w:r>
    </w:p>
    <w:p>
      <w:pPr>
        <w:pStyle w:val="BodyText"/>
        <w:spacing w:before="10"/>
        <w:rPr>
          <w:sz w:val="20"/>
        </w:rPr>
      </w:pPr>
    </w:p>
    <w:p>
      <w:pPr>
        <w:pStyle w:val="BodyText"/>
        <w:ind w:left="600"/>
      </w:pPr>
      <w:r>
        <w:rPr/>
        <w:t>AusNet</w:t>
      </w:r>
      <w:r>
        <w:rPr>
          <w:spacing w:val="-6"/>
        </w:rPr>
        <w:t> </w:t>
      </w:r>
      <w:r>
        <w:rPr/>
        <w:t>Services</w:t>
      </w:r>
      <w:r>
        <w:rPr>
          <w:spacing w:val="-4"/>
        </w:rPr>
        <w:t> </w:t>
      </w:r>
      <w:r>
        <w:rPr/>
        <w:t>has</w:t>
      </w:r>
      <w:r>
        <w:rPr>
          <w:spacing w:val="-7"/>
        </w:rPr>
        <w:t> </w:t>
      </w:r>
      <w:r>
        <w:rPr/>
        <w:t>identified</w:t>
      </w:r>
      <w:r>
        <w:rPr>
          <w:spacing w:val="-4"/>
        </w:rPr>
        <w:t> </w:t>
      </w:r>
      <w:r>
        <w:rPr/>
        <w:t>these</w:t>
      </w:r>
      <w:r>
        <w:rPr>
          <w:spacing w:val="-4"/>
        </w:rPr>
        <w:t> </w:t>
      </w:r>
      <w:r>
        <w:rPr/>
        <w:t>benefits</w:t>
      </w:r>
      <w:r>
        <w:rPr>
          <w:spacing w:val="-7"/>
        </w:rPr>
        <w:t> </w:t>
      </w:r>
      <w:r>
        <w:rPr/>
        <w:t>in</w:t>
      </w:r>
      <w:r>
        <w:rPr>
          <w:spacing w:val="-4"/>
        </w:rPr>
        <w:t> </w:t>
      </w:r>
      <w:r>
        <w:rPr/>
        <w:t>its</w:t>
      </w:r>
      <w:r>
        <w:rPr>
          <w:spacing w:val="-3"/>
        </w:rPr>
        <w:t> </w:t>
      </w:r>
      <w:r>
        <w:rPr>
          <w:spacing w:val="-2"/>
        </w:rPr>
        <w:t>submission:</w:t>
      </w:r>
    </w:p>
    <w:p>
      <w:pPr>
        <w:pStyle w:val="BodyText"/>
        <w:spacing w:before="2"/>
        <w:rPr>
          <w:sz w:val="25"/>
        </w:rPr>
      </w:pPr>
    </w:p>
    <w:p>
      <w:pPr>
        <w:spacing w:line="288" w:lineRule="auto" w:before="0"/>
        <w:ind w:left="1166" w:right="1200" w:firstLine="0"/>
        <w:jc w:val="left"/>
        <w:rPr>
          <w:sz w:val="22"/>
        </w:rPr>
      </w:pPr>
      <w:r>
        <w:rPr>
          <w:i/>
          <w:sz w:val="22"/>
        </w:rPr>
        <w:t>“Given the success of the current risk based regime it is important that ESV continue to develop its depth of experience and capability to assess and encourage risk based asset management frameworks and processes. At the moment ESV resources are heavily weighted to deep technical expertise at the asset and work practice level which can skew assessments to focus on inputs rather than outputs. Likewise, due to the crucial interaction of improving safety performance and funding, it is important an understanding of the economic regulation</w:t>
      </w:r>
      <w:r>
        <w:rPr>
          <w:i/>
          <w:spacing w:val="-3"/>
          <w:sz w:val="22"/>
        </w:rPr>
        <w:t> </w:t>
      </w:r>
      <w:r>
        <w:rPr>
          <w:i/>
          <w:sz w:val="22"/>
        </w:rPr>
        <w:t>framework</w:t>
      </w:r>
      <w:r>
        <w:rPr>
          <w:i/>
          <w:spacing w:val="-5"/>
          <w:sz w:val="22"/>
        </w:rPr>
        <w:t> </w:t>
      </w:r>
      <w:r>
        <w:rPr>
          <w:i/>
          <w:sz w:val="22"/>
        </w:rPr>
        <w:t>is</w:t>
      </w:r>
      <w:r>
        <w:rPr>
          <w:i/>
          <w:spacing w:val="-5"/>
          <w:sz w:val="22"/>
        </w:rPr>
        <w:t> </w:t>
      </w:r>
      <w:r>
        <w:rPr>
          <w:i/>
          <w:sz w:val="22"/>
        </w:rPr>
        <w:t>maintained</w:t>
      </w:r>
      <w:r>
        <w:rPr>
          <w:i/>
          <w:spacing w:val="-3"/>
          <w:sz w:val="22"/>
        </w:rPr>
        <w:t> </w:t>
      </w:r>
      <w:r>
        <w:rPr>
          <w:i/>
          <w:sz w:val="22"/>
        </w:rPr>
        <w:t>at</w:t>
      </w:r>
      <w:r>
        <w:rPr>
          <w:i/>
          <w:spacing w:val="-1"/>
          <w:sz w:val="22"/>
        </w:rPr>
        <w:t> </w:t>
      </w:r>
      <w:r>
        <w:rPr>
          <w:i/>
          <w:sz w:val="22"/>
        </w:rPr>
        <w:t>senior</w:t>
      </w:r>
      <w:r>
        <w:rPr>
          <w:i/>
          <w:spacing w:val="-4"/>
          <w:sz w:val="22"/>
        </w:rPr>
        <w:t> </w:t>
      </w:r>
      <w:r>
        <w:rPr>
          <w:i/>
          <w:sz w:val="22"/>
        </w:rPr>
        <w:t>levels</w:t>
      </w:r>
      <w:r>
        <w:rPr>
          <w:i/>
          <w:spacing w:val="-2"/>
          <w:sz w:val="22"/>
        </w:rPr>
        <w:t> </w:t>
      </w:r>
      <w:r>
        <w:rPr>
          <w:i/>
          <w:sz w:val="22"/>
        </w:rPr>
        <w:t>of</w:t>
      </w:r>
      <w:r>
        <w:rPr>
          <w:i/>
          <w:spacing w:val="-4"/>
          <w:sz w:val="22"/>
        </w:rPr>
        <w:t> </w:t>
      </w:r>
      <w:r>
        <w:rPr>
          <w:i/>
          <w:sz w:val="22"/>
        </w:rPr>
        <w:t>the</w:t>
      </w:r>
      <w:r>
        <w:rPr>
          <w:i/>
          <w:spacing w:val="-5"/>
          <w:sz w:val="22"/>
        </w:rPr>
        <w:t> </w:t>
      </w:r>
      <w:r>
        <w:rPr>
          <w:i/>
          <w:sz w:val="22"/>
        </w:rPr>
        <w:t>organisation.”</w:t>
      </w:r>
      <w:r>
        <w:rPr>
          <w:i/>
          <w:spacing w:val="-8"/>
          <w:sz w:val="22"/>
        </w:rPr>
        <w:t> </w:t>
      </w:r>
      <w:r>
        <w:rPr>
          <w:sz w:val="22"/>
        </w:rPr>
        <w:t>(AusNet Services, 2017, p. 12)</w:t>
      </w:r>
    </w:p>
    <w:p>
      <w:pPr>
        <w:pStyle w:val="BodyText"/>
        <w:spacing w:before="5"/>
        <w:rPr>
          <w:sz w:val="31"/>
        </w:rPr>
      </w:pPr>
    </w:p>
    <w:p>
      <w:pPr>
        <w:pStyle w:val="Heading4"/>
        <w:spacing w:before="0"/>
        <w:ind w:left="600"/>
      </w:pPr>
      <w:r>
        <w:rPr>
          <w:color w:val="585858"/>
        </w:rPr>
        <w:t>Capabilities</w:t>
      </w:r>
      <w:r>
        <w:rPr>
          <w:color w:val="585858"/>
          <w:spacing w:val="-14"/>
        </w:rPr>
        <w:t> </w:t>
      </w:r>
      <w:r>
        <w:rPr>
          <w:color w:val="585858"/>
        </w:rPr>
        <w:t>for</w:t>
      </w:r>
      <w:r>
        <w:rPr>
          <w:color w:val="585858"/>
          <w:spacing w:val="-14"/>
        </w:rPr>
        <w:t> </w:t>
      </w:r>
      <w:r>
        <w:rPr>
          <w:color w:val="585858"/>
        </w:rPr>
        <w:t>effective</w:t>
      </w:r>
      <w:r>
        <w:rPr>
          <w:color w:val="585858"/>
          <w:spacing w:val="-16"/>
        </w:rPr>
        <w:t> </w:t>
      </w:r>
      <w:r>
        <w:rPr>
          <w:color w:val="585858"/>
          <w:spacing w:val="-2"/>
        </w:rPr>
        <w:t>enforcement</w:t>
      </w:r>
    </w:p>
    <w:p>
      <w:pPr>
        <w:pStyle w:val="BodyText"/>
        <w:spacing w:line="297" w:lineRule="auto" w:before="314"/>
        <w:ind w:left="600" w:right="910"/>
      </w:pPr>
      <w:r>
        <w:rPr/>
        <w:t>Consistent with other leading regulators, ESV has adopted a graduated “compliance pyramid”</w:t>
      </w:r>
      <w:r>
        <w:rPr>
          <w:spacing w:val="-5"/>
        </w:rPr>
        <w:t> </w:t>
      </w:r>
      <w:r>
        <w:rPr/>
        <w:t>model</w:t>
      </w:r>
      <w:r>
        <w:rPr>
          <w:spacing w:val="-7"/>
        </w:rPr>
        <w:t> </w:t>
      </w:r>
      <w:r>
        <w:rPr/>
        <w:t>for</w:t>
      </w:r>
      <w:r>
        <w:rPr>
          <w:spacing w:val="-3"/>
        </w:rPr>
        <w:t> </w:t>
      </w:r>
      <w:r>
        <w:rPr/>
        <w:t>its</w:t>
      </w:r>
      <w:r>
        <w:rPr>
          <w:spacing w:val="-6"/>
        </w:rPr>
        <w:t> </w:t>
      </w:r>
      <w:r>
        <w:rPr/>
        <w:t>regulatory</w:t>
      </w:r>
      <w:r>
        <w:rPr>
          <w:spacing w:val="-6"/>
        </w:rPr>
        <w:t> </w:t>
      </w:r>
      <w:r>
        <w:rPr/>
        <w:t>compliance</w:t>
      </w:r>
      <w:r>
        <w:rPr>
          <w:spacing w:val="-4"/>
        </w:rPr>
        <w:t> </w:t>
      </w:r>
      <w:r>
        <w:rPr/>
        <w:t>activity,</w:t>
      </w:r>
      <w:r>
        <w:rPr>
          <w:spacing w:val="-2"/>
        </w:rPr>
        <w:t> </w:t>
      </w:r>
      <w:r>
        <w:rPr/>
        <w:t>commencing</w:t>
      </w:r>
      <w:r>
        <w:rPr>
          <w:spacing w:val="-2"/>
        </w:rPr>
        <w:t> </w:t>
      </w:r>
      <w:r>
        <w:rPr/>
        <w:t>with</w:t>
      </w:r>
      <w:r>
        <w:rPr>
          <w:spacing w:val="-4"/>
        </w:rPr>
        <w:t> </w:t>
      </w:r>
      <w:r>
        <w:rPr/>
        <w:t>“encouragement” measures at the base and moving through to more punitive measures, including prosecution, if required and justified on public interest grounds.</w:t>
      </w:r>
    </w:p>
    <w:p>
      <w:pPr>
        <w:pStyle w:val="BodyText"/>
        <w:spacing w:before="3"/>
        <w:rPr>
          <w:sz w:val="20"/>
        </w:rPr>
      </w:pPr>
    </w:p>
    <w:p>
      <w:pPr>
        <w:pStyle w:val="BodyText"/>
        <w:spacing w:line="288" w:lineRule="auto"/>
        <w:ind w:left="600" w:right="586"/>
      </w:pPr>
      <w:r>
        <w:rPr/>
        <w:t>This broad approach is supported by the Review. Indeed, the first priority of any regulator should</w:t>
      </w:r>
      <w:r>
        <w:rPr>
          <w:spacing w:val="-2"/>
        </w:rPr>
        <w:t> </w:t>
      </w:r>
      <w:r>
        <w:rPr/>
        <w:t>be</w:t>
      </w:r>
      <w:r>
        <w:rPr>
          <w:spacing w:val="-2"/>
        </w:rPr>
        <w:t> </w:t>
      </w:r>
      <w:r>
        <w:rPr/>
        <w:t>to</w:t>
      </w:r>
      <w:r>
        <w:rPr>
          <w:spacing w:val="-4"/>
        </w:rPr>
        <w:t> </w:t>
      </w:r>
      <w:r>
        <w:rPr/>
        <w:t>ensure</w:t>
      </w:r>
      <w:r>
        <w:rPr>
          <w:spacing w:val="-4"/>
        </w:rPr>
        <w:t> </w:t>
      </w:r>
      <w:r>
        <w:rPr/>
        <w:t>that</w:t>
      </w:r>
      <w:r>
        <w:rPr>
          <w:spacing w:val="-5"/>
        </w:rPr>
        <w:t> </w:t>
      </w:r>
      <w:r>
        <w:rPr/>
        <w:t>entities</w:t>
      </w:r>
      <w:r>
        <w:rPr>
          <w:spacing w:val="-2"/>
        </w:rPr>
        <w:t> </w:t>
      </w:r>
      <w:r>
        <w:rPr/>
        <w:t>it</w:t>
      </w:r>
      <w:r>
        <w:rPr>
          <w:spacing w:val="-3"/>
        </w:rPr>
        <w:t> </w:t>
      </w:r>
      <w:r>
        <w:rPr/>
        <w:t>is</w:t>
      </w:r>
      <w:r>
        <w:rPr>
          <w:spacing w:val="-4"/>
        </w:rPr>
        <w:t> </w:t>
      </w:r>
      <w:r>
        <w:rPr/>
        <w:t>regulating</w:t>
      </w:r>
      <w:r>
        <w:rPr>
          <w:spacing w:val="-2"/>
        </w:rPr>
        <w:t> </w:t>
      </w:r>
      <w:r>
        <w:rPr/>
        <w:t>achieve</w:t>
      </w:r>
      <w:r>
        <w:rPr>
          <w:spacing w:val="-2"/>
        </w:rPr>
        <w:t> </w:t>
      </w:r>
      <w:r>
        <w:rPr/>
        <w:t>compliance</w:t>
      </w:r>
      <w:r>
        <w:rPr>
          <w:spacing w:val="-2"/>
        </w:rPr>
        <w:t> </w:t>
      </w:r>
      <w:r>
        <w:rPr/>
        <w:t>with</w:t>
      </w:r>
      <w:r>
        <w:rPr>
          <w:spacing w:val="-2"/>
        </w:rPr>
        <w:t> </w:t>
      </w:r>
      <w:r>
        <w:rPr/>
        <w:t>the</w:t>
      </w:r>
      <w:r>
        <w:rPr>
          <w:spacing w:val="-2"/>
        </w:rPr>
        <w:t> </w:t>
      </w:r>
      <w:r>
        <w:rPr/>
        <w:t>law</w:t>
      </w:r>
      <w:r>
        <w:rPr>
          <w:spacing w:val="-5"/>
        </w:rPr>
        <w:t> </w:t>
      </w:r>
      <w:r>
        <w:rPr/>
        <w:t>as efficiently as possible, underpinned by constructive and mutually respectful relationships.</w:t>
      </w:r>
    </w:p>
    <w:p>
      <w:pPr>
        <w:pStyle w:val="BodyText"/>
        <w:spacing w:before="10"/>
        <w:rPr>
          <w:sz w:val="20"/>
        </w:rPr>
      </w:pPr>
    </w:p>
    <w:p>
      <w:pPr>
        <w:pStyle w:val="BodyText"/>
        <w:spacing w:line="288" w:lineRule="auto"/>
        <w:ind w:left="600" w:right="311"/>
      </w:pPr>
      <w:r>
        <w:rPr/>
        <w:t>The</w:t>
      </w:r>
      <w:r>
        <w:rPr>
          <w:spacing w:val="-7"/>
        </w:rPr>
        <w:t> </w:t>
      </w:r>
      <w:r>
        <w:rPr/>
        <w:t>key</w:t>
      </w:r>
      <w:r>
        <w:rPr>
          <w:spacing w:val="-4"/>
        </w:rPr>
        <w:t> </w:t>
      </w:r>
      <w:r>
        <w:rPr/>
        <w:t>indicator of</w:t>
      </w:r>
      <w:r>
        <w:rPr>
          <w:spacing w:val="-3"/>
        </w:rPr>
        <w:t> </w:t>
      </w:r>
      <w:r>
        <w:rPr/>
        <w:t>success</w:t>
      </w:r>
      <w:r>
        <w:rPr>
          <w:spacing w:val="-2"/>
        </w:rPr>
        <w:t> </w:t>
      </w:r>
      <w:r>
        <w:rPr/>
        <w:t>is</w:t>
      </w:r>
      <w:r>
        <w:rPr>
          <w:spacing w:val="-2"/>
        </w:rPr>
        <w:t> </w:t>
      </w:r>
      <w:r>
        <w:rPr/>
        <w:t>compliance</w:t>
      </w:r>
      <w:r>
        <w:rPr>
          <w:spacing w:val="-2"/>
        </w:rPr>
        <w:t> </w:t>
      </w:r>
      <w:r>
        <w:rPr/>
        <w:t>with</w:t>
      </w:r>
      <w:r>
        <w:rPr>
          <w:spacing w:val="-2"/>
        </w:rPr>
        <w:t> </w:t>
      </w:r>
      <w:r>
        <w:rPr/>
        <w:t>the</w:t>
      </w:r>
      <w:r>
        <w:rPr>
          <w:spacing w:val="-2"/>
        </w:rPr>
        <w:t> </w:t>
      </w:r>
      <w:r>
        <w:rPr/>
        <w:t>law, not</w:t>
      </w:r>
      <w:r>
        <w:rPr>
          <w:spacing w:val="-3"/>
        </w:rPr>
        <w:t> </w:t>
      </w:r>
      <w:r>
        <w:rPr/>
        <w:t>the</w:t>
      </w:r>
      <w:r>
        <w:rPr>
          <w:spacing w:val="-2"/>
        </w:rPr>
        <w:t> </w:t>
      </w:r>
      <w:r>
        <w:rPr/>
        <w:t>number</w:t>
      </w:r>
      <w:r>
        <w:rPr>
          <w:spacing w:val="-3"/>
        </w:rPr>
        <w:t> </w:t>
      </w:r>
      <w:r>
        <w:rPr/>
        <w:t>or</w:t>
      </w:r>
      <w:r>
        <w:rPr>
          <w:spacing w:val="-6"/>
        </w:rPr>
        <w:t> </w:t>
      </w:r>
      <w:r>
        <w:rPr/>
        <w:t>extent of</w:t>
      </w:r>
      <w:r>
        <w:rPr>
          <w:spacing w:val="-3"/>
        </w:rPr>
        <w:t> </w:t>
      </w:r>
      <w:r>
        <w:rPr/>
        <w:t>more punitive actions taken by the regulator.</w:t>
      </w:r>
    </w:p>
    <w:p>
      <w:pPr>
        <w:pStyle w:val="BodyText"/>
        <w:spacing w:before="10"/>
        <w:rPr>
          <w:sz w:val="20"/>
        </w:rPr>
      </w:pPr>
    </w:p>
    <w:p>
      <w:pPr>
        <w:pStyle w:val="BodyText"/>
        <w:spacing w:line="288" w:lineRule="auto"/>
        <w:ind w:left="600" w:right="910"/>
      </w:pPr>
      <w:r>
        <w:rPr/>
        <w:t>Nevertheless,</w:t>
      </w:r>
      <w:r>
        <w:rPr>
          <w:spacing w:val="-2"/>
        </w:rPr>
        <w:t> </w:t>
      </w:r>
      <w:r>
        <w:rPr/>
        <w:t>if</w:t>
      </w:r>
      <w:r>
        <w:rPr>
          <w:spacing w:val="-1"/>
        </w:rPr>
        <w:t> </w:t>
      </w:r>
      <w:r>
        <w:rPr/>
        <w:t>there</w:t>
      </w:r>
      <w:r>
        <w:rPr>
          <w:spacing w:val="-3"/>
        </w:rPr>
        <w:t> </w:t>
      </w:r>
      <w:r>
        <w:rPr/>
        <w:t>is</w:t>
      </w:r>
      <w:r>
        <w:rPr>
          <w:spacing w:val="-7"/>
        </w:rPr>
        <w:t> </w:t>
      </w:r>
      <w:r>
        <w:rPr/>
        <w:t>not</w:t>
      </w:r>
      <w:r>
        <w:rPr>
          <w:spacing w:val="-1"/>
        </w:rPr>
        <w:t> </w:t>
      </w:r>
      <w:r>
        <w:rPr/>
        <w:t>effective</w:t>
      </w:r>
      <w:r>
        <w:rPr>
          <w:spacing w:val="-3"/>
        </w:rPr>
        <w:t> </w:t>
      </w:r>
      <w:r>
        <w:rPr/>
        <w:t>compliance</w:t>
      </w:r>
      <w:r>
        <w:rPr>
          <w:spacing w:val="-5"/>
        </w:rPr>
        <w:t> </w:t>
      </w:r>
      <w:r>
        <w:rPr/>
        <w:t>with the</w:t>
      </w:r>
      <w:r>
        <w:rPr>
          <w:spacing w:val="-5"/>
        </w:rPr>
        <w:t> </w:t>
      </w:r>
      <w:r>
        <w:rPr/>
        <w:t>law,</w:t>
      </w:r>
      <w:r>
        <w:rPr>
          <w:spacing w:val="-1"/>
        </w:rPr>
        <w:t> </w:t>
      </w:r>
      <w:r>
        <w:rPr/>
        <w:t>the</w:t>
      </w:r>
      <w:r>
        <w:rPr>
          <w:spacing w:val="-5"/>
        </w:rPr>
        <w:t> </w:t>
      </w:r>
      <w:r>
        <w:rPr/>
        <w:t>regulator</w:t>
      </w:r>
      <w:r>
        <w:rPr>
          <w:spacing w:val="-4"/>
        </w:rPr>
        <w:t> </w:t>
      </w:r>
      <w:r>
        <w:rPr/>
        <w:t>must</w:t>
      </w:r>
      <w:r>
        <w:rPr>
          <w:spacing w:val="-4"/>
        </w:rPr>
        <w:t> </w:t>
      </w:r>
      <w:r>
        <w:rPr/>
        <w:t>be prepared – and equipped – to intervene strongly and take the action required.</w:t>
      </w:r>
    </w:p>
    <w:p>
      <w:pPr>
        <w:pStyle w:val="BodyText"/>
        <w:spacing w:before="10"/>
        <w:rPr>
          <w:sz w:val="20"/>
        </w:rPr>
      </w:pPr>
    </w:p>
    <w:p>
      <w:pPr>
        <w:pStyle w:val="BodyText"/>
        <w:spacing w:line="288" w:lineRule="auto"/>
        <w:ind w:left="600" w:right="713"/>
      </w:pPr>
      <w:r>
        <w:rPr/>
        <w:t>ESV has sometimes been perceived as having a reluctance to adopt more strict enforcement</w:t>
      </w:r>
      <w:r>
        <w:rPr>
          <w:spacing w:val="-5"/>
        </w:rPr>
        <w:t> </w:t>
      </w:r>
      <w:r>
        <w:rPr/>
        <w:t>methods</w:t>
      </w:r>
      <w:r>
        <w:rPr>
          <w:spacing w:val="-6"/>
        </w:rPr>
        <w:t> </w:t>
      </w:r>
      <w:r>
        <w:rPr/>
        <w:t>for</w:t>
      </w:r>
      <w:r>
        <w:rPr>
          <w:spacing w:val="-3"/>
        </w:rPr>
        <w:t> </w:t>
      </w:r>
      <w:r>
        <w:rPr/>
        <w:t>energy</w:t>
      </w:r>
      <w:r>
        <w:rPr>
          <w:spacing w:val="-4"/>
        </w:rPr>
        <w:t> </w:t>
      </w:r>
      <w:r>
        <w:rPr/>
        <w:t>network businesses.</w:t>
      </w:r>
      <w:r>
        <w:rPr>
          <w:spacing w:val="-1"/>
        </w:rPr>
        <w:t> </w:t>
      </w:r>
      <w:r>
        <w:rPr/>
        <w:t>Earlier,</w:t>
      </w:r>
      <w:r>
        <w:rPr>
          <w:spacing w:val="-2"/>
        </w:rPr>
        <w:t> </w:t>
      </w:r>
      <w:r>
        <w:rPr/>
        <w:t>the</w:t>
      </w:r>
      <w:r>
        <w:rPr>
          <w:spacing w:val="-4"/>
        </w:rPr>
        <w:t> </w:t>
      </w:r>
      <w:r>
        <w:rPr/>
        <w:t>Victorian</w:t>
      </w:r>
      <w:r>
        <w:rPr>
          <w:spacing w:val="-4"/>
        </w:rPr>
        <w:t> </w:t>
      </w:r>
      <w:r>
        <w:rPr/>
        <w:t>Bushfires</w:t>
      </w:r>
      <w:r>
        <w:rPr>
          <w:spacing w:val="-4"/>
        </w:rPr>
        <w:t> </w:t>
      </w:r>
      <w:r>
        <w:rPr/>
        <w:t>Royal</w:t>
      </w:r>
    </w:p>
    <w:p>
      <w:pPr>
        <w:spacing w:after="0" w:line="288" w:lineRule="auto"/>
        <w:sectPr>
          <w:pgSz w:w="11910" w:h="16840"/>
          <w:pgMar w:header="887" w:footer="1228" w:top="1080" w:bottom="1440" w:left="840" w:right="820"/>
        </w:sectPr>
      </w:pPr>
    </w:p>
    <w:p>
      <w:pPr>
        <w:pStyle w:val="BodyText"/>
        <w:rPr>
          <w:sz w:val="20"/>
        </w:rPr>
      </w:pPr>
    </w:p>
    <w:p>
      <w:pPr>
        <w:pStyle w:val="BodyText"/>
        <w:rPr>
          <w:sz w:val="20"/>
        </w:rPr>
      </w:pPr>
    </w:p>
    <w:p>
      <w:pPr>
        <w:pStyle w:val="BodyText"/>
        <w:spacing w:before="5"/>
      </w:pPr>
    </w:p>
    <w:p>
      <w:pPr>
        <w:spacing w:line="288" w:lineRule="auto" w:before="0"/>
        <w:ind w:left="600" w:right="311" w:firstLine="0"/>
        <w:jc w:val="left"/>
        <w:rPr>
          <w:sz w:val="22"/>
        </w:rPr>
      </w:pPr>
      <w:r>
        <w:rPr>
          <w:sz w:val="22"/>
        </w:rPr>
        <w:t>Commission</w:t>
      </w:r>
      <w:r>
        <w:rPr>
          <w:spacing w:val="-2"/>
          <w:sz w:val="22"/>
        </w:rPr>
        <w:t> </w:t>
      </w:r>
      <w:r>
        <w:rPr>
          <w:sz w:val="22"/>
        </w:rPr>
        <w:t>was</w:t>
      </w:r>
      <w:r>
        <w:rPr>
          <w:spacing w:val="-2"/>
          <w:sz w:val="22"/>
        </w:rPr>
        <w:t> </w:t>
      </w:r>
      <w:r>
        <w:rPr>
          <w:sz w:val="22"/>
        </w:rPr>
        <w:t>critical</w:t>
      </w:r>
      <w:r>
        <w:rPr>
          <w:spacing w:val="-5"/>
          <w:sz w:val="22"/>
        </w:rPr>
        <w:t> </w:t>
      </w:r>
      <w:r>
        <w:rPr>
          <w:sz w:val="22"/>
        </w:rPr>
        <w:t>of ESV’s</w:t>
      </w:r>
      <w:r>
        <w:rPr>
          <w:spacing w:val="-2"/>
          <w:sz w:val="22"/>
        </w:rPr>
        <w:t> </w:t>
      </w:r>
      <w:r>
        <w:rPr>
          <w:sz w:val="22"/>
        </w:rPr>
        <w:t>broad</w:t>
      </w:r>
      <w:r>
        <w:rPr>
          <w:spacing w:val="-4"/>
          <w:sz w:val="22"/>
        </w:rPr>
        <w:t> </w:t>
      </w:r>
      <w:r>
        <w:rPr>
          <w:sz w:val="22"/>
        </w:rPr>
        <w:t>approach</w:t>
      </w:r>
      <w:r>
        <w:rPr>
          <w:spacing w:val="-4"/>
          <w:sz w:val="22"/>
        </w:rPr>
        <w:t> </w:t>
      </w:r>
      <w:r>
        <w:rPr>
          <w:sz w:val="22"/>
        </w:rPr>
        <w:t>to</w:t>
      </w:r>
      <w:r>
        <w:rPr>
          <w:spacing w:val="-4"/>
          <w:sz w:val="22"/>
        </w:rPr>
        <w:t> </w:t>
      </w:r>
      <w:r>
        <w:rPr>
          <w:sz w:val="22"/>
        </w:rPr>
        <w:t>regulation,</w:t>
      </w:r>
      <w:r>
        <w:rPr>
          <w:spacing w:val="-3"/>
          <w:sz w:val="22"/>
        </w:rPr>
        <w:t> </w:t>
      </w:r>
      <w:r>
        <w:rPr>
          <w:sz w:val="22"/>
        </w:rPr>
        <w:t>expressing</w:t>
      </w:r>
      <w:r>
        <w:rPr>
          <w:spacing w:val="-2"/>
          <w:sz w:val="22"/>
        </w:rPr>
        <w:t> </w:t>
      </w:r>
      <w:r>
        <w:rPr>
          <w:sz w:val="22"/>
        </w:rPr>
        <w:t>concerns</w:t>
      </w:r>
      <w:r>
        <w:rPr>
          <w:spacing w:val="-4"/>
          <w:sz w:val="22"/>
        </w:rPr>
        <w:t> </w:t>
      </w:r>
      <w:r>
        <w:rPr>
          <w:sz w:val="22"/>
        </w:rPr>
        <w:t>that</w:t>
      </w:r>
      <w:r>
        <w:rPr>
          <w:spacing w:val="-3"/>
          <w:sz w:val="22"/>
        </w:rPr>
        <w:t> </w:t>
      </w:r>
      <w:r>
        <w:rPr>
          <w:sz w:val="22"/>
        </w:rPr>
        <w:t>its “</w:t>
      </w:r>
      <w:r>
        <w:rPr>
          <w:i/>
          <w:sz w:val="22"/>
        </w:rPr>
        <w:t>focus is on ticking boxes rather than substantive matters</w:t>
      </w:r>
      <w:r>
        <w:rPr>
          <w:sz w:val="22"/>
        </w:rPr>
        <w:t>” (2009 Victorian Bushfires Royal Commission, 2010, p. 177).</w:t>
      </w:r>
    </w:p>
    <w:p>
      <w:pPr>
        <w:pStyle w:val="BodyText"/>
        <w:spacing w:before="11"/>
        <w:rPr>
          <w:sz w:val="20"/>
        </w:rPr>
      </w:pPr>
    </w:p>
    <w:p>
      <w:pPr>
        <w:pStyle w:val="BodyText"/>
        <w:spacing w:line="288" w:lineRule="auto"/>
        <w:ind w:left="600" w:right="910"/>
      </w:pPr>
      <w:r>
        <w:rPr/>
        <w:t>In</w:t>
      </w:r>
      <w:r>
        <w:rPr>
          <w:spacing w:val="-4"/>
        </w:rPr>
        <w:t> </w:t>
      </w:r>
      <w:r>
        <w:rPr/>
        <w:t>its</w:t>
      </w:r>
      <w:r>
        <w:rPr>
          <w:spacing w:val="-5"/>
        </w:rPr>
        <w:t> </w:t>
      </w:r>
      <w:r>
        <w:rPr/>
        <w:t>2015</w:t>
      </w:r>
      <w:r>
        <w:rPr>
          <w:spacing w:val="-6"/>
        </w:rPr>
        <w:t> </w:t>
      </w:r>
      <w:r>
        <w:rPr/>
        <w:t>review</w:t>
      </w:r>
      <w:r>
        <w:rPr>
          <w:spacing w:val="-7"/>
        </w:rPr>
        <w:t> </w:t>
      </w:r>
      <w:r>
        <w:rPr/>
        <w:t>of ESV’s</w:t>
      </w:r>
      <w:r>
        <w:rPr>
          <w:spacing w:val="-3"/>
        </w:rPr>
        <w:t> </w:t>
      </w:r>
      <w:r>
        <w:rPr/>
        <w:t>electrical</w:t>
      </w:r>
      <w:r>
        <w:rPr>
          <w:spacing w:val="-5"/>
        </w:rPr>
        <w:t> </w:t>
      </w:r>
      <w:r>
        <w:rPr/>
        <w:t>infrastructure</w:t>
      </w:r>
      <w:r>
        <w:rPr>
          <w:spacing w:val="-4"/>
        </w:rPr>
        <w:t> </w:t>
      </w:r>
      <w:r>
        <w:rPr/>
        <w:t>compliance</w:t>
      </w:r>
      <w:r>
        <w:rPr>
          <w:spacing w:val="-4"/>
        </w:rPr>
        <w:t> </w:t>
      </w:r>
      <w:r>
        <w:rPr/>
        <w:t>and</w:t>
      </w:r>
      <w:r>
        <w:rPr>
          <w:spacing w:val="-4"/>
        </w:rPr>
        <w:t> </w:t>
      </w:r>
      <w:r>
        <w:rPr/>
        <w:t>enforcement,</w:t>
      </w:r>
      <w:r>
        <w:rPr>
          <w:spacing w:val="-2"/>
        </w:rPr>
        <w:t> </w:t>
      </w:r>
      <w:r>
        <w:rPr/>
        <w:t>Advisian </w:t>
      </w:r>
      <w:r>
        <w:rPr>
          <w:spacing w:val="-2"/>
        </w:rPr>
        <w:t>noted:</w:t>
      </w:r>
    </w:p>
    <w:p>
      <w:pPr>
        <w:pStyle w:val="BodyText"/>
        <w:spacing w:before="10"/>
        <w:rPr>
          <w:sz w:val="20"/>
        </w:rPr>
      </w:pPr>
    </w:p>
    <w:p>
      <w:pPr>
        <w:spacing w:line="288" w:lineRule="auto" w:before="0"/>
        <w:ind w:left="1166" w:right="1200" w:firstLine="0"/>
        <w:jc w:val="left"/>
        <w:rPr>
          <w:sz w:val="22"/>
        </w:rPr>
      </w:pPr>
      <w:r>
        <w:rPr>
          <w:i/>
          <w:sz w:val="22"/>
        </w:rPr>
        <w:t>“It is understood that EISD operates primarily in the compliance and encouragement</w:t>
      </w:r>
      <w:r>
        <w:rPr>
          <w:i/>
          <w:spacing w:val="-4"/>
          <w:sz w:val="22"/>
        </w:rPr>
        <w:t> </w:t>
      </w:r>
      <w:r>
        <w:rPr>
          <w:i/>
          <w:sz w:val="22"/>
        </w:rPr>
        <w:t>space,</w:t>
      </w:r>
      <w:r>
        <w:rPr>
          <w:i/>
          <w:spacing w:val="-4"/>
          <w:sz w:val="22"/>
        </w:rPr>
        <w:t> </w:t>
      </w:r>
      <w:r>
        <w:rPr>
          <w:i/>
          <w:sz w:val="22"/>
        </w:rPr>
        <w:t>and</w:t>
      </w:r>
      <w:r>
        <w:rPr>
          <w:i/>
          <w:spacing w:val="-3"/>
          <w:sz w:val="22"/>
        </w:rPr>
        <w:t> </w:t>
      </w:r>
      <w:r>
        <w:rPr>
          <w:i/>
          <w:sz w:val="22"/>
        </w:rPr>
        <w:t>have</w:t>
      </w:r>
      <w:r>
        <w:rPr>
          <w:i/>
          <w:spacing w:val="-3"/>
          <w:sz w:val="22"/>
        </w:rPr>
        <w:t> </w:t>
      </w:r>
      <w:r>
        <w:rPr>
          <w:i/>
          <w:sz w:val="22"/>
        </w:rPr>
        <w:t>been</w:t>
      </w:r>
      <w:r>
        <w:rPr>
          <w:i/>
          <w:spacing w:val="-6"/>
          <w:sz w:val="22"/>
        </w:rPr>
        <w:t> </w:t>
      </w:r>
      <w:r>
        <w:rPr>
          <w:i/>
          <w:sz w:val="22"/>
        </w:rPr>
        <w:t>reluctant</w:t>
      </w:r>
      <w:r>
        <w:rPr>
          <w:i/>
          <w:spacing w:val="-4"/>
          <w:sz w:val="22"/>
        </w:rPr>
        <w:t> </w:t>
      </w:r>
      <w:r>
        <w:rPr>
          <w:i/>
          <w:sz w:val="22"/>
        </w:rPr>
        <w:t>to</w:t>
      </w:r>
      <w:r>
        <w:rPr>
          <w:i/>
          <w:spacing w:val="-3"/>
          <w:sz w:val="22"/>
        </w:rPr>
        <w:t> </w:t>
      </w:r>
      <w:r>
        <w:rPr>
          <w:i/>
          <w:sz w:val="22"/>
        </w:rPr>
        <w:t>use</w:t>
      </w:r>
      <w:r>
        <w:rPr>
          <w:i/>
          <w:spacing w:val="-3"/>
          <w:sz w:val="22"/>
        </w:rPr>
        <w:t> </w:t>
      </w:r>
      <w:r>
        <w:rPr>
          <w:i/>
          <w:sz w:val="22"/>
        </w:rPr>
        <w:t>enforcement</w:t>
      </w:r>
      <w:r>
        <w:rPr>
          <w:i/>
          <w:spacing w:val="-4"/>
          <w:sz w:val="22"/>
        </w:rPr>
        <w:t> </w:t>
      </w:r>
      <w:r>
        <w:rPr>
          <w:i/>
          <w:sz w:val="22"/>
        </w:rPr>
        <w:t>methods</w:t>
      </w:r>
      <w:r>
        <w:rPr>
          <w:i/>
          <w:spacing w:val="-2"/>
          <w:sz w:val="22"/>
        </w:rPr>
        <w:t> </w:t>
      </w:r>
      <w:r>
        <w:rPr>
          <w:i/>
          <w:sz w:val="22"/>
        </w:rPr>
        <w:t>to address MEC safety performance deficiencies.” </w:t>
      </w:r>
      <w:r>
        <w:rPr>
          <w:sz w:val="22"/>
        </w:rPr>
        <w:t>(Advisian, 2015, p. 3)</w:t>
      </w:r>
    </w:p>
    <w:p>
      <w:pPr>
        <w:pStyle w:val="BodyText"/>
        <w:spacing w:before="9"/>
        <w:rPr>
          <w:sz w:val="20"/>
        </w:rPr>
      </w:pPr>
    </w:p>
    <w:p>
      <w:pPr>
        <w:pStyle w:val="BodyText"/>
        <w:spacing w:line="288" w:lineRule="auto"/>
        <w:ind w:left="600" w:right="769"/>
      </w:pPr>
      <w:r>
        <w:rPr/>
        <w:t>In roundtable discussions conducted by the Review, it was apparent that there may have been a concern among some ESV officers that strong regulatory action might be counterproductive and not consistent with a “co-regulation” approach. However, ESV has signalled</w:t>
      </w:r>
      <w:r>
        <w:rPr>
          <w:spacing w:val="-2"/>
        </w:rPr>
        <w:t> </w:t>
      </w:r>
      <w:r>
        <w:rPr/>
        <w:t>in</w:t>
      </w:r>
      <w:r>
        <w:rPr>
          <w:spacing w:val="-2"/>
        </w:rPr>
        <w:t> </w:t>
      </w:r>
      <w:r>
        <w:rPr/>
        <w:t>its</w:t>
      </w:r>
      <w:r>
        <w:rPr>
          <w:spacing w:val="-2"/>
        </w:rPr>
        <w:t> </w:t>
      </w:r>
      <w:r>
        <w:rPr>
          <w:i/>
        </w:rPr>
        <w:t>Corporate</w:t>
      </w:r>
      <w:r>
        <w:rPr>
          <w:i/>
          <w:spacing w:val="-4"/>
        </w:rPr>
        <w:t> </w:t>
      </w:r>
      <w:r>
        <w:rPr>
          <w:i/>
        </w:rPr>
        <w:t>Plan</w:t>
      </w:r>
      <w:r>
        <w:rPr>
          <w:i/>
          <w:spacing w:val="-2"/>
        </w:rPr>
        <w:t> </w:t>
      </w:r>
      <w:r>
        <w:rPr>
          <w:i/>
        </w:rPr>
        <w:t>2017–2020</w:t>
      </w:r>
      <w:r>
        <w:rPr>
          <w:i/>
          <w:spacing w:val="-2"/>
        </w:rPr>
        <w:t> </w:t>
      </w:r>
      <w:r>
        <w:rPr/>
        <w:t>an</w:t>
      </w:r>
      <w:r>
        <w:rPr>
          <w:spacing w:val="-4"/>
        </w:rPr>
        <w:t> </w:t>
      </w:r>
      <w:r>
        <w:rPr/>
        <w:t>intention</w:t>
      </w:r>
      <w:r>
        <w:rPr>
          <w:spacing w:val="-2"/>
        </w:rPr>
        <w:t> </w:t>
      </w:r>
      <w:r>
        <w:rPr/>
        <w:t>to</w:t>
      </w:r>
      <w:r>
        <w:rPr>
          <w:spacing w:val="-4"/>
        </w:rPr>
        <w:t> </w:t>
      </w:r>
      <w:r>
        <w:rPr/>
        <w:t>refine</w:t>
      </w:r>
      <w:r>
        <w:rPr>
          <w:spacing w:val="-7"/>
        </w:rPr>
        <w:t> </w:t>
      </w:r>
      <w:r>
        <w:rPr/>
        <w:t>the</w:t>
      </w:r>
      <w:r>
        <w:rPr>
          <w:spacing w:val="-2"/>
        </w:rPr>
        <w:t> </w:t>
      </w:r>
      <w:r>
        <w:rPr/>
        <w:t>previous</w:t>
      </w:r>
      <w:r>
        <w:rPr>
          <w:spacing w:val="-2"/>
        </w:rPr>
        <w:t> </w:t>
      </w:r>
      <w:r>
        <w:rPr/>
        <w:t>expression</w:t>
      </w:r>
      <w:r>
        <w:rPr>
          <w:spacing w:val="-2"/>
        </w:rPr>
        <w:t> </w:t>
      </w:r>
      <w:r>
        <w:rPr/>
        <w:t>of its “responsive regulatory” approach:</w:t>
      </w:r>
    </w:p>
    <w:p>
      <w:pPr>
        <w:pStyle w:val="BodyText"/>
        <w:rPr>
          <w:sz w:val="21"/>
        </w:rPr>
      </w:pPr>
    </w:p>
    <w:p>
      <w:pPr>
        <w:spacing w:line="288" w:lineRule="auto" w:before="1"/>
        <w:ind w:left="1166" w:right="1253" w:firstLine="0"/>
        <w:jc w:val="left"/>
        <w:rPr>
          <w:sz w:val="22"/>
        </w:rPr>
      </w:pPr>
      <w:r>
        <w:rPr>
          <w:i/>
          <w:sz w:val="22"/>
        </w:rPr>
        <w:t>“ESV has refined its responsive regulation approach to directly enforce compliance for the non-negotiables, which are issues of strict compliance with the potential for serious consequences. ESV will seek to ensure that effective risk management forms the basis for ‘acceptably safe’, and that serious noncompliances (including the absence of required risk mitigations) attract a proportionate</w:t>
      </w:r>
      <w:r>
        <w:rPr>
          <w:i/>
          <w:spacing w:val="-3"/>
          <w:sz w:val="22"/>
        </w:rPr>
        <w:t> </w:t>
      </w:r>
      <w:r>
        <w:rPr>
          <w:i/>
          <w:sz w:val="22"/>
        </w:rPr>
        <w:t>and</w:t>
      </w:r>
      <w:r>
        <w:rPr>
          <w:i/>
          <w:spacing w:val="-6"/>
          <w:sz w:val="22"/>
        </w:rPr>
        <w:t> </w:t>
      </w:r>
      <w:r>
        <w:rPr>
          <w:i/>
          <w:sz w:val="22"/>
        </w:rPr>
        <w:t>evidence-based</w:t>
      </w:r>
      <w:r>
        <w:rPr>
          <w:i/>
          <w:spacing w:val="-4"/>
          <w:sz w:val="22"/>
        </w:rPr>
        <w:t> </w:t>
      </w:r>
      <w:r>
        <w:rPr>
          <w:i/>
          <w:sz w:val="22"/>
        </w:rPr>
        <w:t>enforcement</w:t>
      </w:r>
      <w:r>
        <w:rPr>
          <w:i/>
          <w:spacing w:val="-5"/>
          <w:sz w:val="22"/>
        </w:rPr>
        <w:t> </w:t>
      </w:r>
      <w:r>
        <w:rPr>
          <w:i/>
          <w:sz w:val="22"/>
        </w:rPr>
        <w:t>response.”</w:t>
      </w:r>
      <w:r>
        <w:rPr>
          <w:i/>
          <w:spacing w:val="-10"/>
          <w:sz w:val="22"/>
        </w:rPr>
        <w:t> </w:t>
      </w:r>
      <w:r>
        <w:rPr>
          <w:sz w:val="22"/>
        </w:rPr>
        <w:t>(ESV,</w:t>
      </w:r>
      <w:r>
        <w:rPr>
          <w:spacing w:val="-3"/>
          <w:sz w:val="22"/>
        </w:rPr>
        <w:t> </w:t>
      </w:r>
      <w:r>
        <w:rPr>
          <w:sz w:val="22"/>
        </w:rPr>
        <w:t>2017b,</w:t>
      </w:r>
      <w:r>
        <w:rPr>
          <w:spacing w:val="-3"/>
          <w:sz w:val="22"/>
        </w:rPr>
        <w:t> </w:t>
      </w:r>
      <w:r>
        <w:rPr>
          <w:sz w:val="22"/>
        </w:rPr>
        <w:t>p.</w:t>
      </w:r>
      <w:r>
        <w:rPr>
          <w:spacing w:val="-3"/>
          <w:sz w:val="22"/>
        </w:rPr>
        <w:t> </w:t>
      </w:r>
      <w:r>
        <w:rPr>
          <w:sz w:val="22"/>
        </w:rPr>
        <w:t>20)</w:t>
      </w:r>
    </w:p>
    <w:p>
      <w:pPr>
        <w:pStyle w:val="BodyText"/>
        <w:spacing w:before="10"/>
        <w:rPr>
          <w:sz w:val="20"/>
        </w:rPr>
      </w:pPr>
    </w:p>
    <w:p>
      <w:pPr>
        <w:pStyle w:val="BodyText"/>
        <w:spacing w:line="288" w:lineRule="auto"/>
        <w:ind w:left="600" w:right="586"/>
      </w:pPr>
      <w:r>
        <w:rPr/>
        <w:t>The</w:t>
      </w:r>
      <w:r>
        <w:rPr>
          <w:spacing w:val="-4"/>
        </w:rPr>
        <w:t> </w:t>
      </w:r>
      <w:r>
        <w:rPr/>
        <w:t>Review</w:t>
      </w:r>
      <w:r>
        <w:rPr>
          <w:spacing w:val="-5"/>
        </w:rPr>
        <w:t> </w:t>
      </w:r>
      <w:r>
        <w:rPr/>
        <w:t>supports</w:t>
      </w:r>
      <w:r>
        <w:rPr>
          <w:spacing w:val="-4"/>
        </w:rPr>
        <w:t> </w:t>
      </w:r>
      <w:r>
        <w:rPr/>
        <w:t>this change</w:t>
      </w:r>
      <w:r>
        <w:rPr>
          <w:spacing w:val="-2"/>
        </w:rPr>
        <w:t> </w:t>
      </w:r>
      <w:r>
        <w:rPr/>
        <w:t>in</w:t>
      </w:r>
      <w:r>
        <w:rPr>
          <w:spacing w:val="-3"/>
        </w:rPr>
        <w:t> </w:t>
      </w:r>
      <w:r>
        <w:rPr/>
        <w:t>approach</w:t>
      </w:r>
      <w:r>
        <w:rPr>
          <w:spacing w:val="-4"/>
        </w:rPr>
        <w:t> </w:t>
      </w:r>
      <w:r>
        <w:rPr/>
        <w:t>and</w:t>
      </w:r>
      <w:r>
        <w:rPr>
          <w:spacing w:val="-2"/>
        </w:rPr>
        <w:t> </w:t>
      </w:r>
      <w:r>
        <w:rPr/>
        <w:t>considers</w:t>
      </w:r>
      <w:r>
        <w:rPr>
          <w:spacing w:val="-4"/>
        </w:rPr>
        <w:t> </w:t>
      </w:r>
      <w:r>
        <w:rPr/>
        <w:t>that</w:t>
      </w:r>
      <w:r>
        <w:rPr>
          <w:spacing w:val="-3"/>
        </w:rPr>
        <w:t> </w:t>
      </w:r>
      <w:r>
        <w:rPr/>
        <w:t>the</w:t>
      </w:r>
      <w:r>
        <w:rPr>
          <w:spacing w:val="-2"/>
        </w:rPr>
        <w:t> </w:t>
      </w:r>
      <w:r>
        <w:rPr/>
        <w:t>previous</w:t>
      </w:r>
      <w:r>
        <w:rPr>
          <w:spacing w:val="-1"/>
        </w:rPr>
        <w:t> </w:t>
      </w:r>
      <w:r>
        <w:rPr/>
        <w:t>description</w:t>
      </w:r>
      <w:r>
        <w:rPr>
          <w:spacing w:val="-4"/>
        </w:rPr>
        <w:t> </w:t>
      </w:r>
      <w:r>
        <w:rPr/>
        <w:t>of ESV adopting a practice of “co-regulation”, while an established term in regulatory practice, may have contributed to a blurring of accountabilities and understanding of ESV’s role.</w:t>
      </w:r>
    </w:p>
    <w:p>
      <w:pPr>
        <w:pStyle w:val="BodyText"/>
        <w:spacing w:before="9"/>
        <w:rPr>
          <w:sz w:val="20"/>
        </w:rPr>
      </w:pPr>
    </w:p>
    <w:p>
      <w:pPr>
        <w:pStyle w:val="BodyText"/>
        <w:spacing w:line="288" w:lineRule="auto"/>
        <w:ind w:left="600" w:right="680"/>
      </w:pPr>
      <w:r>
        <w:rPr/>
        <w:t>The Review considers that ESV should always seek to work positively and constructively with the network businesses it is regulating, but it should always be understood that it is the regulator,</w:t>
      </w:r>
      <w:r>
        <w:rPr>
          <w:spacing w:val="-1"/>
        </w:rPr>
        <w:t> </w:t>
      </w:r>
      <w:r>
        <w:rPr/>
        <w:t>and</w:t>
      </w:r>
      <w:r>
        <w:rPr>
          <w:spacing w:val="-5"/>
        </w:rPr>
        <w:t> </w:t>
      </w:r>
      <w:r>
        <w:rPr/>
        <w:t>the</w:t>
      </w:r>
      <w:r>
        <w:rPr>
          <w:spacing w:val="-5"/>
        </w:rPr>
        <w:t> </w:t>
      </w:r>
      <w:r>
        <w:rPr/>
        <w:t>network</w:t>
      </w:r>
      <w:r>
        <w:rPr>
          <w:spacing w:val="-2"/>
        </w:rPr>
        <w:t> </w:t>
      </w:r>
      <w:r>
        <w:rPr/>
        <w:t>businesses</w:t>
      </w:r>
      <w:r>
        <w:rPr>
          <w:spacing w:val="-5"/>
        </w:rPr>
        <w:t> </w:t>
      </w:r>
      <w:r>
        <w:rPr/>
        <w:t>are</w:t>
      </w:r>
      <w:r>
        <w:rPr>
          <w:spacing w:val="-5"/>
        </w:rPr>
        <w:t> </w:t>
      </w:r>
      <w:r>
        <w:rPr/>
        <w:t>the</w:t>
      </w:r>
      <w:r>
        <w:rPr>
          <w:spacing w:val="-5"/>
        </w:rPr>
        <w:t> </w:t>
      </w:r>
      <w:r>
        <w:rPr/>
        <w:t>entities being</w:t>
      </w:r>
      <w:r>
        <w:rPr>
          <w:spacing w:val="-3"/>
        </w:rPr>
        <w:t> </w:t>
      </w:r>
      <w:r>
        <w:rPr/>
        <w:t>regulated.</w:t>
      </w:r>
      <w:r>
        <w:rPr>
          <w:spacing w:val="-3"/>
        </w:rPr>
        <w:t> </w:t>
      </w:r>
      <w:r>
        <w:rPr/>
        <w:t>A</w:t>
      </w:r>
      <w:r>
        <w:rPr>
          <w:spacing w:val="-3"/>
        </w:rPr>
        <w:t> </w:t>
      </w:r>
      <w:r>
        <w:rPr/>
        <w:t>decisive</w:t>
      </w:r>
      <w:r>
        <w:rPr>
          <w:spacing w:val="-3"/>
        </w:rPr>
        <w:t> </w:t>
      </w:r>
      <w:r>
        <w:rPr/>
        <w:t>shift</w:t>
      </w:r>
      <w:r>
        <w:rPr>
          <w:spacing w:val="-4"/>
        </w:rPr>
        <w:t> </w:t>
      </w:r>
      <w:r>
        <w:rPr/>
        <w:t>away from describing the regulatory approach as being one of “co-regulation” may help clarify roles and responsibilities.</w:t>
      </w:r>
    </w:p>
    <w:p>
      <w:pPr>
        <w:pStyle w:val="BodyText"/>
        <w:spacing w:before="10"/>
        <w:rPr>
          <w:sz w:val="18"/>
        </w:rPr>
      </w:pPr>
      <w:r>
        <w:rPr/>
        <mc:AlternateContent>
          <mc:Choice Requires="wps">
            <w:drawing>
              <wp:anchor distT="0" distB="0" distL="0" distR="0" allowOverlap="1" layoutInCell="1" locked="0" behindDoc="1" simplePos="0" relativeHeight="487622656">
                <wp:simplePos x="0" y="0"/>
                <wp:positionH relativeFrom="page">
                  <wp:posOffset>914704</wp:posOffset>
                </wp:positionH>
                <wp:positionV relativeFrom="paragraph">
                  <wp:posOffset>153527</wp:posOffset>
                </wp:positionV>
                <wp:extent cx="5732780" cy="1421130"/>
                <wp:effectExtent l="0" t="0" r="0" b="0"/>
                <wp:wrapTopAndBottom/>
                <wp:docPr id="123" name="Textbox 123"/>
                <wp:cNvGraphicFramePr>
                  <a:graphicFrameLocks/>
                </wp:cNvGraphicFramePr>
                <a:graphic>
                  <a:graphicData uri="http://schemas.microsoft.com/office/word/2010/wordprocessingShape">
                    <wps:wsp>
                      <wps:cNvPr id="123" name="Textbox 123"/>
                      <wps:cNvSpPr txBox="1"/>
                      <wps:spPr>
                        <a:xfrm>
                          <a:off x="0" y="0"/>
                          <a:ext cx="5732780" cy="1421130"/>
                        </a:xfrm>
                        <a:prstGeom prst="rect">
                          <a:avLst/>
                        </a:prstGeom>
                        <a:solidFill>
                          <a:srgbClr val="D9D9D9"/>
                        </a:solidFill>
                      </wps:spPr>
                      <wps:txbx>
                        <w:txbxContent>
                          <w:p>
                            <w:pPr>
                              <w:pStyle w:val="BodyText"/>
                              <w:spacing w:before="9"/>
                              <w:rPr>
                                <w:color w:val="000000"/>
                                <w:sz w:val="20"/>
                              </w:rPr>
                            </w:pPr>
                          </w:p>
                          <w:p>
                            <w:pPr>
                              <w:spacing w:before="1"/>
                              <w:ind w:left="112" w:right="0" w:firstLine="0"/>
                              <w:jc w:val="left"/>
                              <w:rPr>
                                <w:b/>
                                <w:color w:val="000000"/>
                                <w:sz w:val="22"/>
                              </w:rPr>
                            </w:pPr>
                            <w:r>
                              <w:rPr>
                                <w:b/>
                                <w:color w:val="000000"/>
                                <w:sz w:val="22"/>
                              </w:rPr>
                              <w:t>Recommendation</w:t>
                            </w:r>
                            <w:r>
                              <w:rPr>
                                <w:b/>
                                <w:color w:val="000000"/>
                                <w:spacing w:val="-7"/>
                                <w:sz w:val="22"/>
                              </w:rPr>
                              <w:t> </w:t>
                            </w:r>
                            <w:r>
                              <w:rPr>
                                <w:b/>
                                <w:color w:val="000000"/>
                                <w:spacing w:val="-10"/>
                                <w:sz w:val="22"/>
                              </w:rPr>
                              <w:t>9</w:t>
                            </w:r>
                          </w:p>
                          <w:p>
                            <w:pPr>
                              <w:pStyle w:val="BodyText"/>
                              <w:spacing w:before="1"/>
                              <w:rPr>
                                <w:b/>
                                <w:color w:val="000000"/>
                                <w:sz w:val="25"/>
                              </w:rPr>
                            </w:pPr>
                          </w:p>
                          <w:p>
                            <w:pPr>
                              <w:spacing w:line="288" w:lineRule="auto" w:before="1"/>
                              <w:ind w:left="112" w:right="106" w:firstLine="0"/>
                              <w:jc w:val="left"/>
                              <w:rPr>
                                <w:color w:val="000000"/>
                                <w:sz w:val="22"/>
                              </w:rPr>
                            </w:pPr>
                            <w:r>
                              <w:rPr>
                                <w:color w:val="000000"/>
                                <w:sz w:val="22"/>
                              </w:rPr>
                              <w:t>ESV should implement the more robust approach to regulatory compliance and enforcement</w:t>
                            </w:r>
                            <w:r>
                              <w:rPr>
                                <w:color w:val="000000"/>
                                <w:spacing w:val="-4"/>
                                <w:sz w:val="22"/>
                              </w:rPr>
                              <w:t> </w:t>
                            </w:r>
                            <w:r>
                              <w:rPr>
                                <w:color w:val="000000"/>
                                <w:sz w:val="22"/>
                              </w:rPr>
                              <w:t>outlined</w:t>
                            </w:r>
                            <w:r>
                              <w:rPr>
                                <w:color w:val="000000"/>
                                <w:spacing w:val="-3"/>
                                <w:sz w:val="22"/>
                              </w:rPr>
                              <w:t> </w:t>
                            </w:r>
                            <w:r>
                              <w:rPr>
                                <w:color w:val="000000"/>
                                <w:sz w:val="22"/>
                              </w:rPr>
                              <w:t>in</w:t>
                            </w:r>
                            <w:r>
                              <w:rPr>
                                <w:color w:val="000000"/>
                                <w:spacing w:val="-3"/>
                                <w:sz w:val="22"/>
                              </w:rPr>
                              <w:t> </w:t>
                            </w:r>
                            <w:r>
                              <w:rPr>
                                <w:color w:val="000000"/>
                                <w:sz w:val="22"/>
                              </w:rPr>
                              <w:t>its</w:t>
                            </w:r>
                            <w:r>
                              <w:rPr>
                                <w:color w:val="000000"/>
                                <w:spacing w:val="-1"/>
                                <w:sz w:val="22"/>
                              </w:rPr>
                              <w:t> </w:t>
                            </w:r>
                            <w:r>
                              <w:rPr>
                                <w:i/>
                                <w:color w:val="000000"/>
                                <w:sz w:val="22"/>
                              </w:rPr>
                              <w:t>Corporate</w:t>
                            </w:r>
                            <w:r>
                              <w:rPr>
                                <w:i/>
                                <w:color w:val="000000"/>
                                <w:spacing w:val="-3"/>
                                <w:sz w:val="22"/>
                              </w:rPr>
                              <w:t> </w:t>
                            </w:r>
                            <w:r>
                              <w:rPr>
                                <w:i/>
                                <w:color w:val="000000"/>
                                <w:sz w:val="22"/>
                              </w:rPr>
                              <w:t>Plan</w:t>
                            </w:r>
                            <w:r>
                              <w:rPr>
                                <w:i/>
                                <w:color w:val="000000"/>
                                <w:spacing w:val="-3"/>
                                <w:sz w:val="22"/>
                              </w:rPr>
                              <w:t> </w:t>
                            </w:r>
                            <w:r>
                              <w:rPr>
                                <w:i/>
                                <w:color w:val="000000"/>
                                <w:sz w:val="22"/>
                              </w:rPr>
                              <w:t>2017-2020</w:t>
                            </w:r>
                            <w:r>
                              <w:rPr>
                                <w:color w:val="000000"/>
                                <w:sz w:val="22"/>
                              </w:rPr>
                              <w:t>,</w:t>
                            </w:r>
                            <w:r>
                              <w:rPr>
                                <w:color w:val="000000"/>
                                <w:spacing w:val="-1"/>
                                <w:sz w:val="22"/>
                              </w:rPr>
                              <w:t> </w:t>
                            </w:r>
                            <w:r>
                              <w:rPr>
                                <w:color w:val="000000"/>
                                <w:sz w:val="22"/>
                              </w:rPr>
                              <w:t>and</w:t>
                            </w:r>
                            <w:r>
                              <w:rPr>
                                <w:color w:val="000000"/>
                                <w:spacing w:val="-5"/>
                                <w:sz w:val="22"/>
                              </w:rPr>
                              <w:t> </w:t>
                            </w:r>
                            <w:r>
                              <w:rPr>
                                <w:color w:val="000000"/>
                                <w:sz w:val="22"/>
                              </w:rPr>
                              <w:t>prepare</w:t>
                            </w:r>
                            <w:r>
                              <w:rPr>
                                <w:color w:val="000000"/>
                                <w:spacing w:val="-3"/>
                                <w:sz w:val="22"/>
                              </w:rPr>
                              <w:t> </w:t>
                            </w:r>
                            <w:r>
                              <w:rPr>
                                <w:color w:val="000000"/>
                                <w:sz w:val="22"/>
                              </w:rPr>
                              <w:t>an</w:t>
                            </w:r>
                            <w:r>
                              <w:rPr>
                                <w:color w:val="000000"/>
                                <w:spacing w:val="-5"/>
                                <w:sz w:val="22"/>
                              </w:rPr>
                              <w:t> </w:t>
                            </w:r>
                            <w:r>
                              <w:rPr>
                                <w:color w:val="000000"/>
                                <w:sz w:val="22"/>
                              </w:rPr>
                              <w:t>updated</w:t>
                            </w:r>
                            <w:r>
                              <w:rPr>
                                <w:color w:val="000000"/>
                                <w:spacing w:val="-3"/>
                                <w:sz w:val="22"/>
                              </w:rPr>
                              <w:t> </w:t>
                            </w:r>
                            <w:r>
                              <w:rPr>
                                <w:i/>
                                <w:color w:val="000000"/>
                                <w:sz w:val="22"/>
                              </w:rPr>
                              <w:t>Charter</w:t>
                            </w:r>
                            <w:r>
                              <w:rPr>
                                <w:i/>
                                <w:color w:val="000000"/>
                                <w:spacing w:val="-4"/>
                                <w:sz w:val="22"/>
                              </w:rPr>
                              <w:t> </w:t>
                            </w:r>
                            <w:r>
                              <w:rPr>
                                <w:i/>
                                <w:color w:val="000000"/>
                                <w:sz w:val="22"/>
                              </w:rPr>
                              <w:t>of Consultation and Regulatory Practice </w:t>
                            </w:r>
                            <w:r>
                              <w:rPr>
                                <w:color w:val="000000"/>
                                <w:sz w:val="22"/>
                              </w:rPr>
                              <w:t>and an updated </w:t>
                            </w:r>
                            <w:r>
                              <w:rPr>
                                <w:i/>
                                <w:color w:val="000000"/>
                                <w:sz w:val="22"/>
                              </w:rPr>
                              <w:t>Compliance and Enforcement Policy</w:t>
                            </w:r>
                            <w:r>
                              <w:rPr>
                                <w:color w:val="000000"/>
                                <w:sz w:val="22"/>
                              </w:rPr>
                              <w:t>, to reflect this amended approach.</w:t>
                            </w:r>
                          </w:p>
                        </w:txbxContent>
                      </wps:txbx>
                      <wps:bodyPr wrap="square" lIns="0" tIns="0" rIns="0" bIns="0" rtlCol="0">
                        <a:noAutofit/>
                      </wps:bodyPr>
                    </wps:wsp>
                  </a:graphicData>
                </a:graphic>
              </wp:anchor>
            </w:drawing>
          </mc:Choice>
          <mc:Fallback>
            <w:pict>
              <v:shape style="position:absolute;margin-left:72.024002pt;margin-top:12.08874pt;width:451.4pt;height:111.9pt;mso-position-horizontal-relative:page;mso-position-vertical-relative:paragraph;z-index:-15693824;mso-wrap-distance-left:0;mso-wrap-distance-right:0" type="#_x0000_t202" id="docshape107" filled="true" fillcolor="#d9d9d9" stroked="false">
                <v:textbox inset="0,0,0,0">
                  <w:txbxContent>
                    <w:p>
                      <w:pPr>
                        <w:pStyle w:val="BodyText"/>
                        <w:spacing w:before="9"/>
                        <w:rPr>
                          <w:color w:val="000000"/>
                          <w:sz w:val="20"/>
                        </w:rPr>
                      </w:pPr>
                    </w:p>
                    <w:p>
                      <w:pPr>
                        <w:spacing w:before="1"/>
                        <w:ind w:left="112" w:right="0" w:firstLine="0"/>
                        <w:jc w:val="left"/>
                        <w:rPr>
                          <w:b/>
                          <w:color w:val="000000"/>
                          <w:sz w:val="22"/>
                        </w:rPr>
                      </w:pPr>
                      <w:r>
                        <w:rPr>
                          <w:b/>
                          <w:color w:val="000000"/>
                          <w:sz w:val="22"/>
                        </w:rPr>
                        <w:t>Recommendation</w:t>
                      </w:r>
                      <w:r>
                        <w:rPr>
                          <w:b/>
                          <w:color w:val="000000"/>
                          <w:spacing w:val="-7"/>
                          <w:sz w:val="22"/>
                        </w:rPr>
                        <w:t> </w:t>
                      </w:r>
                      <w:r>
                        <w:rPr>
                          <w:b/>
                          <w:color w:val="000000"/>
                          <w:spacing w:val="-10"/>
                          <w:sz w:val="22"/>
                        </w:rPr>
                        <w:t>9</w:t>
                      </w:r>
                    </w:p>
                    <w:p>
                      <w:pPr>
                        <w:pStyle w:val="BodyText"/>
                        <w:spacing w:before="1"/>
                        <w:rPr>
                          <w:b/>
                          <w:color w:val="000000"/>
                          <w:sz w:val="25"/>
                        </w:rPr>
                      </w:pPr>
                    </w:p>
                    <w:p>
                      <w:pPr>
                        <w:spacing w:line="288" w:lineRule="auto" w:before="1"/>
                        <w:ind w:left="112" w:right="106" w:firstLine="0"/>
                        <w:jc w:val="left"/>
                        <w:rPr>
                          <w:color w:val="000000"/>
                          <w:sz w:val="22"/>
                        </w:rPr>
                      </w:pPr>
                      <w:r>
                        <w:rPr>
                          <w:color w:val="000000"/>
                          <w:sz w:val="22"/>
                        </w:rPr>
                        <w:t>ESV should implement the more robust approach to regulatory compliance and enforcement</w:t>
                      </w:r>
                      <w:r>
                        <w:rPr>
                          <w:color w:val="000000"/>
                          <w:spacing w:val="-4"/>
                          <w:sz w:val="22"/>
                        </w:rPr>
                        <w:t> </w:t>
                      </w:r>
                      <w:r>
                        <w:rPr>
                          <w:color w:val="000000"/>
                          <w:sz w:val="22"/>
                        </w:rPr>
                        <w:t>outlined</w:t>
                      </w:r>
                      <w:r>
                        <w:rPr>
                          <w:color w:val="000000"/>
                          <w:spacing w:val="-3"/>
                          <w:sz w:val="22"/>
                        </w:rPr>
                        <w:t> </w:t>
                      </w:r>
                      <w:r>
                        <w:rPr>
                          <w:color w:val="000000"/>
                          <w:sz w:val="22"/>
                        </w:rPr>
                        <w:t>in</w:t>
                      </w:r>
                      <w:r>
                        <w:rPr>
                          <w:color w:val="000000"/>
                          <w:spacing w:val="-3"/>
                          <w:sz w:val="22"/>
                        </w:rPr>
                        <w:t> </w:t>
                      </w:r>
                      <w:r>
                        <w:rPr>
                          <w:color w:val="000000"/>
                          <w:sz w:val="22"/>
                        </w:rPr>
                        <w:t>its</w:t>
                      </w:r>
                      <w:r>
                        <w:rPr>
                          <w:color w:val="000000"/>
                          <w:spacing w:val="-1"/>
                          <w:sz w:val="22"/>
                        </w:rPr>
                        <w:t> </w:t>
                      </w:r>
                      <w:r>
                        <w:rPr>
                          <w:i/>
                          <w:color w:val="000000"/>
                          <w:sz w:val="22"/>
                        </w:rPr>
                        <w:t>Corporate</w:t>
                      </w:r>
                      <w:r>
                        <w:rPr>
                          <w:i/>
                          <w:color w:val="000000"/>
                          <w:spacing w:val="-3"/>
                          <w:sz w:val="22"/>
                        </w:rPr>
                        <w:t> </w:t>
                      </w:r>
                      <w:r>
                        <w:rPr>
                          <w:i/>
                          <w:color w:val="000000"/>
                          <w:sz w:val="22"/>
                        </w:rPr>
                        <w:t>Plan</w:t>
                      </w:r>
                      <w:r>
                        <w:rPr>
                          <w:i/>
                          <w:color w:val="000000"/>
                          <w:spacing w:val="-3"/>
                          <w:sz w:val="22"/>
                        </w:rPr>
                        <w:t> </w:t>
                      </w:r>
                      <w:r>
                        <w:rPr>
                          <w:i/>
                          <w:color w:val="000000"/>
                          <w:sz w:val="22"/>
                        </w:rPr>
                        <w:t>2017-2020</w:t>
                      </w:r>
                      <w:r>
                        <w:rPr>
                          <w:color w:val="000000"/>
                          <w:sz w:val="22"/>
                        </w:rPr>
                        <w:t>,</w:t>
                      </w:r>
                      <w:r>
                        <w:rPr>
                          <w:color w:val="000000"/>
                          <w:spacing w:val="-1"/>
                          <w:sz w:val="22"/>
                        </w:rPr>
                        <w:t> </w:t>
                      </w:r>
                      <w:r>
                        <w:rPr>
                          <w:color w:val="000000"/>
                          <w:sz w:val="22"/>
                        </w:rPr>
                        <w:t>and</w:t>
                      </w:r>
                      <w:r>
                        <w:rPr>
                          <w:color w:val="000000"/>
                          <w:spacing w:val="-5"/>
                          <w:sz w:val="22"/>
                        </w:rPr>
                        <w:t> </w:t>
                      </w:r>
                      <w:r>
                        <w:rPr>
                          <w:color w:val="000000"/>
                          <w:sz w:val="22"/>
                        </w:rPr>
                        <w:t>prepare</w:t>
                      </w:r>
                      <w:r>
                        <w:rPr>
                          <w:color w:val="000000"/>
                          <w:spacing w:val="-3"/>
                          <w:sz w:val="22"/>
                        </w:rPr>
                        <w:t> </w:t>
                      </w:r>
                      <w:r>
                        <w:rPr>
                          <w:color w:val="000000"/>
                          <w:sz w:val="22"/>
                        </w:rPr>
                        <w:t>an</w:t>
                      </w:r>
                      <w:r>
                        <w:rPr>
                          <w:color w:val="000000"/>
                          <w:spacing w:val="-5"/>
                          <w:sz w:val="22"/>
                        </w:rPr>
                        <w:t> </w:t>
                      </w:r>
                      <w:r>
                        <w:rPr>
                          <w:color w:val="000000"/>
                          <w:sz w:val="22"/>
                        </w:rPr>
                        <w:t>updated</w:t>
                      </w:r>
                      <w:r>
                        <w:rPr>
                          <w:color w:val="000000"/>
                          <w:spacing w:val="-3"/>
                          <w:sz w:val="22"/>
                        </w:rPr>
                        <w:t> </w:t>
                      </w:r>
                      <w:r>
                        <w:rPr>
                          <w:i/>
                          <w:color w:val="000000"/>
                          <w:sz w:val="22"/>
                        </w:rPr>
                        <w:t>Charter</w:t>
                      </w:r>
                      <w:r>
                        <w:rPr>
                          <w:i/>
                          <w:color w:val="000000"/>
                          <w:spacing w:val="-4"/>
                          <w:sz w:val="22"/>
                        </w:rPr>
                        <w:t> </w:t>
                      </w:r>
                      <w:r>
                        <w:rPr>
                          <w:i/>
                          <w:color w:val="000000"/>
                          <w:sz w:val="22"/>
                        </w:rPr>
                        <w:t>of Consultation and Regulatory Practice </w:t>
                      </w:r>
                      <w:r>
                        <w:rPr>
                          <w:color w:val="000000"/>
                          <w:sz w:val="22"/>
                        </w:rPr>
                        <w:t>and an updated </w:t>
                      </w:r>
                      <w:r>
                        <w:rPr>
                          <w:i/>
                          <w:color w:val="000000"/>
                          <w:sz w:val="22"/>
                        </w:rPr>
                        <w:t>Compliance and Enforcement Policy</w:t>
                      </w:r>
                      <w:r>
                        <w:rPr>
                          <w:color w:val="000000"/>
                          <w:sz w:val="22"/>
                        </w:rPr>
                        <w:t>, to reflect this amended approach.</w:t>
                      </w:r>
                    </w:p>
                  </w:txbxContent>
                </v:textbox>
                <v:fill type="solid"/>
                <w10:wrap type="topAndBottom"/>
              </v:shape>
            </w:pict>
          </mc:Fallback>
        </mc:AlternateContent>
      </w:r>
    </w:p>
    <w:p>
      <w:pPr>
        <w:pStyle w:val="BodyText"/>
        <w:spacing w:before="4"/>
        <w:rPr>
          <w:sz w:val="18"/>
        </w:rPr>
      </w:pPr>
    </w:p>
    <w:p>
      <w:pPr>
        <w:pStyle w:val="BodyText"/>
        <w:spacing w:line="288" w:lineRule="auto" w:before="94"/>
        <w:ind w:left="600" w:right="374"/>
      </w:pPr>
      <w:r>
        <w:rPr/>
        <w:t>As</w:t>
      </w:r>
      <w:r>
        <w:rPr>
          <w:spacing w:val="-1"/>
        </w:rPr>
        <w:t> </w:t>
      </w:r>
      <w:r>
        <w:rPr/>
        <w:t>noted</w:t>
      </w:r>
      <w:r>
        <w:rPr>
          <w:spacing w:val="-4"/>
        </w:rPr>
        <w:t> </w:t>
      </w:r>
      <w:r>
        <w:rPr/>
        <w:t>earlier,</w:t>
      </w:r>
      <w:r>
        <w:rPr>
          <w:spacing w:val="-4"/>
        </w:rPr>
        <w:t> </w:t>
      </w:r>
      <w:r>
        <w:rPr/>
        <w:t>the</w:t>
      </w:r>
      <w:r>
        <w:rPr>
          <w:spacing w:val="-2"/>
        </w:rPr>
        <w:t> </w:t>
      </w:r>
      <w:r>
        <w:rPr/>
        <w:t>Review</w:t>
      </w:r>
      <w:r>
        <w:rPr>
          <w:spacing w:val="-7"/>
        </w:rPr>
        <w:t> </w:t>
      </w:r>
      <w:r>
        <w:rPr/>
        <w:t>favours</w:t>
      </w:r>
      <w:r>
        <w:rPr>
          <w:spacing w:val="-4"/>
        </w:rPr>
        <w:t> </w:t>
      </w:r>
      <w:r>
        <w:rPr/>
        <w:t>graduated</w:t>
      </w:r>
      <w:r>
        <w:rPr>
          <w:spacing w:val="-2"/>
        </w:rPr>
        <w:t> </w:t>
      </w:r>
      <w:r>
        <w:rPr/>
        <w:t>approaches</w:t>
      </w:r>
      <w:r>
        <w:rPr>
          <w:spacing w:val="-4"/>
        </w:rPr>
        <w:t> </w:t>
      </w:r>
      <w:r>
        <w:rPr/>
        <w:t>to</w:t>
      </w:r>
      <w:r>
        <w:rPr>
          <w:spacing w:val="-4"/>
        </w:rPr>
        <w:t> </w:t>
      </w:r>
      <w:r>
        <w:rPr/>
        <w:t>compliance</w:t>
      </w:r>
      <w:r>
        <w:rPr>
          <w:spacing w:val="-4"/>
        </w:rPr>
        <w:t> </w:t>
      </w:r>
      <w:r>
        <w:rPr/>
        <w:t>and</w:t>
      </w:r>
      <w:r>
        <w:rPr>
          <w:spacing w:val="-1"/>
        </w:rPr>
        <w:t> </w:t>
      </w:r>
      <w:r>
        <w:rPr/>
        <w:t>enforcement, with a public interest approach determining the point at which ESV might legally prosecute. Constructive engagement between ESV and the businesses it is regulating is desirable.</w:t>
      </w:r>
    </w:p>
    <w:p>
      <w:pPr>
        <w:spacing w:after="0" w:line="288" w:lineRule="auto"/>
        <w:sectPr>
          <w:pgSz w:w="11910" w:h="16840"/>
          <w:pgMar w:header="887" w:footer="1228" w:top="1080" w:bottom="1500" w:left="840" w:right="820"/>
        </w:sectPr>
      </w:pPr>
    </w:p>
    <w:p>
      <w:pPr>
        <w:pStyle w:val="BodyText"/>
        <w:rPr>
          <w:sz w:val="20"/>
        </w:rPr>
      </w:pPr>
    </w:p>
    <w:p>
      <w:pPr>
        <w:pStyle w:val="BodyText"/>
        <w:rPr>
          <w:sz w:val="20"/>
        </w:rPr>
      </w:pPr>
    </w:p>
    <w:p>
      <w:pPr>
        <w:pStyle w:val="BodyText"/>
        <w:spacing w:before="5"/>
      </w:pPr>
    </w:p>
    <w:p>
      <w:pPr>
        <w:pStyle w:val="BodyText"/>
        <w:spacing w:line="288" w:lineRule="auto"/>
        <w:ind w:left="600" w:right="311"/>
      </w:pPr>
      <w:r>
        <w:rPr/>
        <w:t>However, there is a critical condition – the relationship must always be built on a deep recognition</w:t>
      </w:r>
      <w:r>
        <w:rPr>
          <w:spacing w:val="-4"/>
        </w:rPr>
        <w:t> </w:t>
      </w:r>
      <w:r>
        <w:rPr/>
        <w:t>that, no</w:t>
      </w:r>
      <w:r>
        <w:rPr>
          <w:spacing w:val="-4"/>
        </w:rPr>
        <w:t> </w:t>
      </w:r>
      <w:r>
        <w:rPr/>
        <w:t>matter</w:t>
      </w:r>
      <w:r>
        <w:rPr>
          <w:spacing w:val="-1"/>
        </w:rPr>
        <w:t> </w:t>
      </w:r>
      <w:r>
        <w:rPr/>
        <w:t>how</w:t>
      </w:r>
      <w:r>
        <w:rPr>
          <w:spacing w:val="-5"/>
        </w:rPr>
        <w:t> </w:t>
      </w:r>
      <w:r>
        <w:rPr/>
        <w:t>constructive</w:t>
      </w:r>
      <w:r>
        <w:rPr>
          <w:spacing w:val="-2"/>
        </w:rPr>
        <w:t> </w:t>
      </w:r>
      <w:r>
        <w:rPr/>
        <w:t>the</w:t>
      </w:r>
      <w:r>
        <w:rPr>
          <w:spacing w:val="-4"/>
        </w:rPr>
        <w:t> </w:t>
      </w:r>
      <w:r>
        <w:rPr/>
        <w:t>relationship</w:t>
      </w:r>
      <w:r>
        <w:rPr>
          <w:spacing w:val="-2"/>
        </w:rPr>
        <w:t> </w:t>
      </w:r>
      <w:r>
        <w:rPr/>
        <w:t>might</w:t>
      </w:r>
      <w:r>
        <w:rPr>
          <w:spacing w:val="-3"/>
        </w:rPr>
        <w:t> </w:t>
      </w:r>
      <w:r>
        <w:rPr/>
        <w:t>be, ESV</w:t>
      </w:r>
      <w:r>
        <w:rPr>
          <w:spacing w:val="-2"/>
        </w:rPr>
        <w:t> </w:t>
      </w:r>
      <w:r>
        <w:rPr/>
        <w:t>has</w:t>
      </w:r>
      <w:r>
        <w:rPr>
          <w:spacing w:val="-1"/>
        </w:rPr>
        <w:t> </w:t>
      </w:r>
      <w:r>
        <w:rPr/>
        <w:t>a</w:t>
      </w:r>
      <w:r>
        <w:rPr>
          <w:spacing w:val="-4"/>
        </w:rPr>
        <w:t> </w:t>
      </w:r>
      <w:r>
        <w:rPr/>
        <w:t>duty</w:t>
      </w:r>
      <w:r>
        <w:rPr>
          <w:spacing w:val="-4"/>
        </w:rPr>
        <w:t> </w:t>
      </w:r>
      <w:r>
        <w:rPr/>
        <w:t>to</w:t>
      </w:r>
      <w:r>
        <w:rPr>
          <w:spacing w:val="-4"/>
        </w:rPr>
        <w:t> </w:t>
      </w:r>
      <w:r>
        <w:rPr/>
        <w:t>act strongly when required, without fear or favour.</w:t>
      </w:r>
    </w:p>
    <w:p>
      <w:pPr>
        <w:pStyle w:val="BodyText"/>
        <w:spacing w:before="11"/>
        <w:rPr>
          <w:sz w:val="20"/>
        </w:rPr>
      </w:pPr>
    </w:p>
    <w:p>
      <w:pPr>
        <w:pStyle w:val="BodyText"/>
        <w:spacing w:line="288" w:lineRule="auto"/>
        <w:ind w:left="600" w:right="910"/>
      </w:pPr>
      <w:r>
        <w:rPr/>
        <w:t>It</w:t>
      </w:r>
      <w:r>
        <w:rPr>
          <w:spacing w:val="-3"/>
        </w:rPr>
        <w:t> </w:t>
      </w:r>
      <w:r>
        <w:rPr/>
        <w:t>must also</w:t>
      </w:r>
      <w:r>
        <w:rPr>
          <w:spacing w:val="-4"/>
        </w:rPr>
        <w:t> </w:t>
      </w:r>
      <w:r>
        <w:rPr/>
        <w:t>be</w:t>
      </w:r>
      <w:r>
        <w:rPr>
          <w:spacing w:val="-2"/>
        </w:rPr>
        <w:t> </w:t>
      </w:r>
      <w:r>
        <w:rPr/>
        <w:t>understood</w:t>
      </w:r>
      <w:r>
        <w:rPr>
          <w:spacing w:val="-2"/>
        </w:rPr>
        <w:t> </w:t>
      </w:r>
      <w:r>
        <w:rPr/>
        <w:t>that</w:t>
      </w:r>
      <w:r>
        <w:rPr>
          <w:spacing w:val="-3"/>
        </w:rPr>
        <w:t> </w:t>
      </w:r>
      <w:r>
        <w:rPr/>
        <w:t>the</w:t>
      </w:r>
      <w:r>
        <w:rPr>
          <w:spacing w:val="-4"/>
        </w:rPr>
        <w:t> </w:t>
      </w:r>
      <w:r>
        <w:rPr/>
        <w:t>regulator</w:t>
      </w:r>
      <w:r>
        <w:rPr>
          <w:spacing w:val="-3"/>
        </w:rPr>
        <w:t> </w:t>
      </w:r>
      <w:r>
        <w:rPr/>
        <w:t>has</w:t>
      </w:r>
      <w:r>
        <w:rPr>
          <w:spacing w:val="-6"/>
        </w:rPr>
        <w:t> </w:t>
      </w:r>
      <w:r>
        <w:rPr/>
        <w:t>the</w:t>
      </w:r>
      <w:r>
        <w:rPr>
          <w:spacing w:val="-2"/>
        </w:rPr>
        <w:t> </w:t>
      </w:r>
      <w:r>
        <w:rPr/>
        <w:t>capabilities</w:t>
      </w:r>
      <w:r>
        <w:rPr>
          <w:spacing w:val="-2"/>
        </w:rPr>
        <w:t> </w:t>
      </w:r>
      <w:r>
        <w:rPr/>
        <w:t>necessary</w:t>
      </w:r>
      <w:r>
        <w:rPr>
          <w:spacing w:val="-4"/>
        </w:rPr>
        <w:t> </w:t>
      </w:r>
      <w:r>
        <w:rPr/>
        <w:t>to</w:t>
      </w:r>
      <w:r>
        <w:rPr>
          <w:spacing w:val="-2"/>
        </w:rPr>
        <w:t> </w:t>
      </w:r>
      <w:r>
        <w:rPr/>
        <w:t>be</w:t>
      </w:r>
      <w:r>
        <w:rPr>
          <w:spacing w:val="-2"/>
        </w:rPr>
        <w:t> </w:t>
      </w:r>
      <w:r>
        <w:rPr/>
        <w:t>able</w:t>
      </w:r>
      <w:r>
        <w:rPr>
          <w:spacing w:val="-4"/>
        </w:rPr>
        <w:t> </w:t>
      </w:r>
      <w:r>
        <w:rPr/>
        <w:t>to initiate significant legal action successfully if that is ever required.</w:t>
      </w:r>
    </w:p>
    <w:p>
      <w:pPr>
        <w:pStyle w:val="BodyText"/>
        <w:spacing w:before="10"/>
        <w:rPr>
          <w:sz w:val="20"/>
        </w:rPr>
      </w:pPr>
    </w:p>
    <w:p>
      <w:pPr>
        <w:pStyle w:val="BodyText"/>
        <w:spacing w:line="288" w:lineRule="auto"/>
        <w:ind w:left="600" w:right="586"/>
      </w:pPr>
      <w:r>
        <w:rPr/>
        <w:t>Small and medium-size regulators, such as ESV, need to ensure they have the capacity to effectively</w:t>
      </w:r>
      <w:r>
        <w:rPr>
          <w:spacing w:val="-5"/>
        </w:rPr>
        <w:t> </w:t>
      </w:r>
      <w:r>
        <w:rPr/>
        <w:t>augment</w:t>
      </w:r>
      <w:r>
        <w:rPr>
          <w:spacing w:val="-4"/>
        </w:rPr>
        <w:t> </w:t>
      </w:r>
      <w:r>
        <w:rPr/>
        <w:t>their</w:t>
      </w:r>
      <w:r>
        <w:rPr>
          <w:spacing w:val="-5"/>
        </w:rPr>
        <w:t> </w:t>
      </w:r>
      <w:r>
        <w:rPr/>
        <w:t>inhouse</w:t>
      </w:r>
      <w:r>
        <w:rPr>
          <w:spacing w:val="-2"/>
        </w:rPr>
        <w:t> </w:t>
      </w:r>
      <w:r>
        <w:rPr/>
        <w:t>resources</w:t>
      </w:r>
      <w:r>
        <w:rPr>
          <w:spacing w:val="-3"/>
        </w:rPr>
        <w:t> </w:t>
      </w:r>
      <w:r>
        <w:rPr/>
        <w:t>as</w:t>
      </w:r>
      <w:r>
        <w:rPr>
          <w:spacing w:val="-2"/>
        </w:rPr>
        <w:t> </w:t>
      </w:r>
      <w:r>
        <w:rPr/>
        <w:t>needed,</w:t>
      </w:r>
      <w:r>
        <w:rPr>
          <w:spacing w:val="-1"/>
        </w:rPr>
        <w:t> </w:t>
      </w:r>
      <w:r>
        <w:rPr/>
        <w:t>particularly</w:t>
      </w:r>
      <w:r>
        <w:rPr>
          <w:spacing w:val="-5"/>
        </w:rPr>
        <w:t> </w:t>
      </w:r>
      <w:r>
        <w:rPr/>
        <w:t>if</w:t>
      </w:r>
      <w:r>
        <w:rPr>
          <w:spacing w:val="-1"/>
        </w:rPr>
        <w:t> </w:t>
      </w:r>
      <w:r>
        <w:rPr/>
        <w:t>they</w:t>
      </w:r>
      <w:r>
        <w:rPr>
          <w:spacing w:val="-5"/>
        </w:rPr>
        <w:t> </w:t>
      </w:r>
      <w:r>
        <w:rPr/>
        <w:t>typically</w:t>
      </w:r>
      <w:r>
        <w:rPr>
          <w:spacing w:val="-5"/>
        </w:rPr>
        <w:t> </w:t>
      </w:r>
      <w:r>
        <w:rPr/>
        <w:t>take</w:t>
      </w:r>
      <w:r>
        <w:rPr>
          <w:spacing w:val="-3"/>
        </w:rPr>
        <w:t> </w:t>
      </w:r>
      <w:r>
        <w:rPr/>
        <w:t>very few or no legal actions against large commercial entities from one year to the next.</w:t>
      </w:r>
    </w:p>
    <w:p>
      <w:pPr>
        <w:pStyle w:val="BodyText"/>
        <w:spacing w:before="9"/>
        <w:rPr>
          <w:sz w:val="20"/>
        </w:rPr>
      </w:pPr>
    </w:p>
    <w:p>
      <w:pPr>
        <w:pStyle w:val="BodyText"/>
        <w:spacing w:line="288" w:lineRule="auto"/>
        <w:ind w:left="600" w:right="586"/>
      </w:pPr>
      <w:r>
        <w:rPr/>
        <w:t>In ESV’s case, its inhouse legal team has extensive experience initiating actions against smaller operators outside its network regulatory functions, for example</w:t>
      </w:r>
      <w:r>
        <w:rPr>
          <w:spacing w:val="38"/>
        </w:rPr>
        <w:t> </w:t>
      </w:r>
      <w:r>
        <w:rPr/>
        <w:t>against persons carrying out electrical or plumbing work without a licence (ESV, 2017a).</w:t>
      </w:r>
      <w:r>
        <w:rPr>
          <w:spacing w:val="40"/>
        </w:rPr>
        <w:t> </w:t>
      </w:r>
      <w:r>
        <w:rPr/>
        <w:t>However, it has considerably less experience in supporting legal actions against major network operators. Over</w:t>
      </w:r>
      <w:r>
        <w:rPr>
          <w:spacing w:val="-1"/>
        </w:rPr>
        <w:t> </w:t>
      </w:r>
      <w:r>
        <w:rPr/>
        <w:t>the</w:t>
      </w:r>
      <w:r>
        <w:rPr>
          <w:spacing w:val="-4"/>
        </w:rPr>
        <w:t> </w:t>
      </w:r>
      <w:r>
        <w:rPr/>
        <w:t>past 20</w:t>
      </w:r>
      <w:r>
        <w:rPr>
          <w:spacing w:val="-4"/>
        </w:rPr>
        <w:t> </w:t>
      </w:r>
      <w:r>
        <w:rPr/>
        <w:t>years,</w:t>
      </w:r>
      <w:r>
        <w:rPr>
          <w:spacing w:val="-5"/>
        </w:rPr>
        <w:t> </w:t>
      </w:r>
      <w:r>
        <w:rPr/>
        <w:t>ESV</w:t>
      </w:r>
      <w:r>
        <w:rPr>
          <w:spacing w:val="-2"/>
        </w:rPr>
        <w:t> </w:t>
      </w:r>
      <w:r>
        <w:rPr/>
        <w:t>and</w:t>
      </w:r>
      <w:r>
        <w:rPr>
          <w:spacing w:val="-2"/>
        </w:rPr>
        <w:t> </w:t>
      </w:r>
      <w:r>
        <w:rPr/>
        <w:t>its</w:t>
      </w:r>
      <w:r>
        <w:rPr>
          <w:spacing w:val="-3"/>
        </w:rPr>
        <w:t> </w:t>
      </w:r>
      <w:r>
        <w:rPr/>
        <w:t>predecessor</w:t>
      </w:r>
      <w:r>
        <w:rPr>
          <w:spacing w:val="-3"/>
        </w:rPr>
        <w:t> </w:t>
      </w:r>
      <w:r>
        <w:rPr/>
        <w:t>the</w:t>
      </w:r>
      <w:r>
        <w:rPr>
          <w:spacing w:val="-4"/>
        </w:rPr>
        <w:t> </w:t>
      </w:r>
      <w:r>
        <w:rPr/>
        <w:t>Office</w:t>
      </w:r>
      <w:r>
        <w:rPr>
          <w:spacing w:val="-4"/>
        </w:rPr>
        <w:t> </w:t>
      </w:r>
      <w:r>
        <w:rPr/>
        <w:t>of the</w:t>
      </w:r>
      <w:r>
        <w:rPr>
          <w:spacing w:val="-4"/>
        </w:rPr>
        <w:t> </w:t>
      </w:r>
      <w:r>
        <w:rPr/>
        <w:t>Chief Electrical</w:t>
      </w:r>
      <w:r>
        <w:rPr>
          <w:spacing w:val="-5"/>
        </w:rPr>
        <w:t> </w:t>
      </w:r>
      <w:r>
        <w:rPr/>
        <w:t>Inspector, have pursued just three prosecutions against network businesses, the last in 2006.</w:t>
      </w:r>
      <w:r>
        <w:rPr>
          <w:vertAlign w:val="superscript"/>
        </w:rPr>
        <w:t>4</w:t>
      </w:r>
    </w:p>
    <w:p>
      <w:pPr>
        <w:pStyle w:val="BodyText"/>
        <w:spacing w:before="11"/>
        <w:rPr>
          <w:sz w:val="20"/>
        </w:rPr>
      </w:pPr>
    </w:p>
    <w:p>
      <w:pPr>
        <w:pStyle w:val="BodyText"/>
        <w:spacing w:line="288" w:lineRule="auto"/>
        <w:ind w:left="600" w:right="713"/>
      </w:pPr>
      <w:r>
        <w:rPr/>
        <w:t>Looking</w:t>
      </w:r>
      <w:r>
        <w:rPr>
          <w:spacing w:val="-3"/>
        </w:rPr>
        <w:t> </w:t>
      </w:r>
      <w:r>
        <w:rPr/>
        <w:t>to</w:t>
      </w:r>
      <w:r>
        <w:rPr>
          <w:spacing w:val="-5"/>
        </w:rPr>
        <w:t> </w:t>
      </w:r>
      <w:r>
        <w:rPr/>
        <w:t>the</w:t>
      </w:r>
      <w:r>
        <w:rPr>
          <w:spacing w:val="-8"/>
        </w:rPr>
        <w:t> </w:t>
      </w:r>
      <w:r>
        <w:rPr/>
        <w:t>future,</w:t>
      </w:r>
      <w:r>
        <w:rPr>
          <w:spacing w:val="-1"/>
        </w:rPr>
        <w:t> </w:t>
      </w:r>
      <w:r>
        <w:rPr/>
        <w:t>if</w:t>
      </w:r>
      <w:r>
        <w:rPr>
          <w:spacing w:val="-1"/>
        </w:rPr>
        <w:t> </w:t>
      </w:r>
      <w:r>
        <w:rPr/>
        <w:t>compliance by</w:t>
      </w:r>
      <w:r>
        <w:rPr>
          <w:spacing w:val="-5"/>
        </w:rPr>
        <w:t> </w:t>
      </w:r>
      <w:r>
        <w:rPr/>
        <w:t>major</w:t>
      </w:r>
      <w:r>
        <w:rPr>
          <w:spacing w:val="-4"/>
        </w:rPr>
        <w:t> </w:t>
      </w:r>
      <w:r>
        <w:rPr/>
        <w:t>regulated</w:t>
      </w:r>
      <w:r>
        <w:rPr>
          <w:spacing w:val="-3"/>
        </w:rPr>
        <w:t> </w:t>
      </w:r>
      <w:r>
        <w:rPr/>
        <w:t>network businesses</w:t>
      </w:r>
      <w:r>
        <w:rPr>
          <w:spacing w:val="-2"/>
        </w:rPr>
        <w:t> </w:t>
      </w:r>
      <w:r>
        <w:rPr/>
        <w:t>is</w:t>
      </w:r>
      <w:r>
        <w:rPr>
          <w:spacing w:val="-2"/>
        </w:rPr>
        <w:t> </w:t>
      </w:r>
      <w:r>
        <w:rPr/>
        <w:t>very</w:t>
      </w:r>
      <w:r>
        <w:rPr>
          <w:spacing w:val="-4"/>
        </w:rPr>
        <w:t> </w:t>
      </w:r>
      <w:r>
        <w:rPr/>
        <w:t>high,</w:t>
      </w:r>
      <w:r>
        <w:rPr>
          <w:spacing w:val="-4"/>
        </w:rPr>
        <w:t> </w:t>
      </w:r>
      <w:r>
        <w:rPr/>
        <w:t>the fact that there may be few or no prosecutions initiated by ESV against network businesses should be seen as a success. However, ESV must always maintain the capabilities to be able to launch effective actions whenever required and justified on public interest grounds.</w:t>
      </w:r>
    </w:p>
    <w:p>
      <w:pPr>
        <w:pStyle w:val="BodyText"/>
        <w:spacing w:before="9"/>
        <w:rPr>
          <w:sz w:val="18"/>
        </w:rPr>
      </w:pPr>
      <w:r>
        <w:rPr/>
        <mc:AlternateContent>
          <mc:Choice Requires="wps">
            <w:drawing>
              <wp:anchor distT="0" distB="0" distL="0" distR="0" allowOverlap="1" layoutInCell="1" locked="0" behindDoc="1" simplePos="0" relativeHeight="487623168">
                <wp:simplePos x="0" y="0"/>
                <wp:positionH relativeFrom="page">
                  <wp:posOffset>914704</wp:posOffset>
                </wp:positionH>
                <wp:positionV relativeFrom="paragraph">
                  <wp:posOffset>152528</wp:posOffset>
                </wp:positionV>
                <wp:extent cx="5732780" cy="1614170"/>
                <wp:effectExtent l="0" t="0" r="0" b="0"/>
                <wp:wrapTopAndBottom/>
                <wp:docPr id="124" name="Textbox 124"/>
                <wp:cNvGraphicFramePr>
                  <a:graphicFrameLocks/>
                </wp:cNvGraphicFramePr>
                <a:graphic>
                  <a:graphicData uri="http://schemas.microsoft.com/office/word/2010/wordprocessingShape">
                    <wps:wsp>
                      <wps:cNvPr id="124" name="Textbox 124"/>
                      <wps:cNvSpPr txBox="1"/>
                      <wps:spPr>
                        <a:xfrm>
                          <a:off x="0" y="0"/>
                          <a:ext cx="5732780" cy="1614170"/>
                        </a:xfrm>
                        <a:prstGeom prst="rect">
                          <a:avLst/>
                        </a:prstGeom>
                        <a:solidFill>
                          <a:srgbClr val="D9D9D9"/>
                        </a:solidFill>
                      </wps:spPr>
                      <wps:txbx>
                        <w:txbxContent>
                          <w:p>
                            <w:pPr>
                              <w:pStyle w:val="BodyText"/>
                              <w:spacing w:before="10"/>
                              <w:rPr>
                                <w:color w:val="000000"/>
                                <w:sz w:val="20"/>
                              </w:rPr>
                            </w:pPr>
                          </w:p>
                          <w:p>
                            <w:pPr>
                              <w:spacing w:before="0"/>
                              <w:ind w:left="112" w:right="0" w:firstLine="0"/>
                              <w:jc w:val="left"/>
                              <w:rPr>
                                <w:b/>
                                <w:color w:val="000000"/>
                                <w:sz w:val="22"/>
                              </w:rPr>
                            </w:pPr>
                            <w:r>
                              <w:rPr>
                                <w:b/>
                                <w:color w:val="000000"/>
                                <w:sz w:val="22"/>
                              </w:rPr>
                              <w:t>Recommendation</w:t>
                            </w:r>
                            <w:r>
                              <w:rPr>
                                <w:b/>
                                <w:color w:val="000000"/>
                                <w:spacing w:val="-9"/>
                                <w:sz w:val="22"/>
                              </w:rPr>
                              <w:t> </w:t>
                            </w:r>
                            <w:r>
                              <w:rPr>
                                <w:b/>
                                <w:color w:val="000000"/>
                                <w:spacing w:val="-5"/>
                                <w:sz w:val="22"/>
                              </w:rPr>
                              <w:t>10</w:t>
                            </w:r>
                          </w:p>
                          <w:p>
                            <w:pPr>
                              <w:pStyle w:val="BodyText"/>
                              <w:spacing w:before="4"/>
                              <w:rPr>
                                <w:b/>
                                <w:color w:val="000000"/>
                                <w:sz w:val="25"/>
                              </w:rPr>
                            </w:pPr>
                          </w:p>
                          <w:p>
                            <w:pPr>
                              <w:pStyle w:val="BodyText"/>
                              <w:spacing w:line="288" w:lineRule="auto" w:before="1"/>
                              <w:ind w:left="112" w:right="135"/>
                              <w:rPr>
                                <w:color w:val="000000"/>
                              </w:rPr>
                            </w:pPr>
                            <w:r>
                              <w:rPr>
                                <w:color w:val="000000"/>
                              </w:rPr>
                              <w:t>ESV</w:t>
                            </w:r>
                            <w:r>
                              <w:rPr>
                                <w:color w:val="000000"/>
                                <w:spacing w:val="-3"/>
                              </w:rPr>
                              <w:t> </w:t>
                            </w:r>
                            <w:r>
                              <w:rPr>
                                <w:color w:val="000000"/>
                              </w:rPr>
                              <w:t>should</w:t>
                            </w:r>
                            <w:r>
                              <w:rPr>
                                <w:color w:val="000000"/>
                                <w:spacing w:val="-3"/>
                              </w:rPr>
                              <w:t> </w:t>
                            </w:r>
                            <w:r>
                              <w:rPr>
                                <w:color w:val="000000"/>
                              </w:rPr>
                              <w:t>maintain</w:t>
                            </w:r>
                            <w:r>
                              <w:rPr>
                                <w:color w:val="000000"/>
                                <w:spacing w:val="-5"/>
                              </w:rPr>
                              <w:t> </w:t>
                            </w:r>
                            <w:r>
                              <w:rPr>
                                <w:color w:val="000000"/>
                              </w:rPr>
                              <w:t>a</w:t>
                            </w:r>
                            <w:r>
                              <w:rPr>
                                <w:color w:val="000000"/>
                                <w:spacing w:val="-3"/>
                              </w:rPr>
                              <w:t> </w:t>
                            </w:r>
                            <w:r>
                              <w:rPr>
                                <w:color w:val="000000"/>
                              </w:rPr>
                              <w:t>sufficient</w:t>
                            </w:r>
                            <w:r>
                              <w:rPr>
                                <w:color w:val="000000"/>
                                <w:spacing w:val="-4"/>
                              </w:rPr>
                              <w:t> </w:t>
                            </w:r>
                            <w:r>
                              <w:rPr>
                                <w:color w:val="000000"/>
                              </w:rPr>
                              <w:t>capability</w:t>
                            </w:r>
                            <w:r>
                              <w:rPr>
                                <w:color w:val="000000"/>
                                <w:spacing w:val="-5"/>
                              </w:rPr>
                              <w:t> </w:t>
                            </w:r>
                            <w:r>
                              <w:rPr>
                                <w:color w:val="000000"/>
                              </w:rPr>
                              <w:t>to</w:t>
                            </w:r>
                            <w:r>
                              <w:rPr>
                                <w:color w:val="000000"/>
                                <w:spacing w:val="-3"/>
                              </w:rPr>
                              <w:t> </w:t>
                            </w:r>
                            <w:r>
                              <w:rPr>
                                <w:color w:val="000000"/>
                              </w:rPr>
                              <w:t>initiate</w:t>
                            </w:r>
                            <w:r>
                              <w:rPr>
                                <w:color w:val="000000"/>
                                <w:spacing w:val="-3"/>
                              </w:rPr>
                              <w:t> </w:t>
                            </w:r>
                            <w:r>
                              <w:rPr>
                                <w:color w:val="000000"/>
                              </w:rPr>
                              <w:t>strong</w:t>
                            </w:r>
                            <w:r>
                              <w:rPr>
                                <w:color w:val="000000"/>
                                <w:spacing w:val="-3"/>
                              </w:rPr>
                              <w:t> </w:t>
                            </w:r>
                            <w:r>
                              <w:rPr>
                                <w:color w:val="000000"/>
                              </w:rPr>
                              <w:t>enforcement</w:t>
                            </w:r>
                            <w:r>
                              <w:rPr>
                                <w:color w:val="000000"/>
                                <w:spacing w:val="-4"/>
                              </w:rPr>
                              <w:t> </w:t>
                            </w:r>
                            <w:r>
                              <w:rPr>
                                <w:color w:val="000000"/>
                              </w:rPr>
                              <w:t>actions,</w:t>
                            </w:r>
                            <w:r>
                              <w:rPr>
                                <w:color w:val="000000"/>
                                <w:spacing w:val="-4"/>
                              </w:rPr>
                              <w:t> </w:t>
                            </w:r>
                            <w:r>
                              <w:rPr>
                                <w:color w:val="000000"/>
                              </w:rPr>
                              <w:t>including legal prosecution, when justified on public interest grounds. This should include standing arrangements to ensure it can effectively draw on specialist external resources if and</w:t>
                            </w:r>
                            <w:r>
                              <w:rPr>
                                <w:color w:val="000000"/>
                              </w:rPr>
                              <w:t> when required. ESV’s capabilities to support strong enforcement actions should be reviewed by ESV’s Executive Management Board annually.</w:t>
                            </w:r>
                          </w:p>
                        </w:txbxContent>
                      </wps:txbx>
                      <wps:bodyPr wrap="square" lIns="0" tIns="0" rIns="0" bIns="0" rtlCol="0">
                        <a:noAutofit/>
                      </wps:bodyPr>
                    </wps:wsp>
                  </a:graphicData>
                </a:graphic>
              </wp:anchor>
            </w:drawing>
          </mc:Choice>
          <mc:Fallback>
            <w:pict>
              <v:shape style="position:absolute;margin-left:72.024002pt;margin-top:12.010137pt;width:451.4pt;height:127.1pt;mso-position-horizontal-relative:page;mso-position-vertical-relative:paragraph;z-index:-15693312;mso-wrap-distance-left:0;mso-wrap-distance-right:0" type="#_x0000_t202" id="docshape108" filled="true" fillcolor="#d9d9d9" stroked="false">
                <v:textbox inset="0,0,0,0">
                  <w:txbxContent>
                    <w:p>
                      <w:pPr>
                        <w:pStyle w:val="BodyText"/>
                        <w:spacing w:before="10"/>
                        <w:rPr>
                          <w:color w:val="000000"/>
                          <w:sz w:val="20"/>
                        </w:rPr>
                      </w:pPr>
                    </w:p>
                    <w:p>
                      <w:pPr>
                        <w:spacing w:before="0"/>
                        <w:ind w:left="112" w:right="0" w:firstLine="0"/>
                        <w:jc w:val="left"/>
                        <w:rPr>
                          <w:b/>
                          <w:color w:val="000000"/>
                          <w:sz w:val="22"/>
                        </w:rPr>
                      </w:pPr>
                      <w:r>
                        <w:rPr>
                          <w:b/>
                          <w:color w:val="000000"/>
                          <w:sz w:val="22"/>
                        </w:rPr>
                        <w:t>Recommendation</w:t>
                      </w:r>
                      <w:r>
                        <w:rPr>
                          <w:b/>
                          <w:color w:val="000000"/>
                          <w:spacing w:val="-9"/>
                          <w:sz w:val="22"/>
                        </w:rPr>
                        <w:t> </w:t>
                      </w:r>
                      <w:r>
                        <w:rPr>
                          <w:b/>
                          <w:color w:val="000000"/>
                          <w:spacing w:val="-5"/>
                          <w:sz w:val="22"/>
                        </w:rPr>
                        <w:t>10</w:t>
                      </w:r>
                    </w:p>
                    <w:p>
                      <w:pPr>
                        <w:pStyle w:val="BodyText"/>
                        <w:spacing w:before="4"/>
                        <w:rPr>
                          <w:b/>
                          <w:color w:val="000000"/>
                          <w:sz w:val="25"/>
                        </w:rPr>
                      </w:pPr>
                    </w:p>
                    <w:p>
                      <w:pPr>
                        <w:pStyle w:val="BodyText"/>
                        <w:spacing w:line="288" w:lineRule="auto" w:before="1"/>
                        <w:ind w:left="112" w:right="135"/>
                        <w:rPr>
                          <w:color w:val="000000"/>
                        </w:rPr>
                      </w:pPr>
                      <w:r>
                        <w:rPr>
                          <w:color w:val="000000"/>
                        </w:rPr>
                        <w:t>ESV</w:t>
                      </w:r>
                      <w:r>
                        <w:rPr>
                          <w:color w:val="000000"/>
                          <w:spacing w:val="-3"/>
                        </w:rPr>
                        <w:t> </w:t>
                      </w:r>
                      <w:r>
                        <w:rPr>
                          <w:color w:val="000000"/>
                        </w:rPr>
                        <w:t>should</w:t>
                      </w:r>
                      <w:r>
                        <w:rPr>
                          <w:color w:val="000000"/>
                          <w:spacing w:val="-3"/>
                        </w:rPr>
                        <w:t> </w:t>
                      </w:r>
                      <w:r>
                        <w:rPr>
                          <w:color w:val="000000"/>
                        </w:rPr>
                        <w:t>maintain</w:t>
                      </w:r>
                      <w:r>
                        <w:rPr>
                          <w:color w:val="000000"/>
                          <w:spacing w:val="-5"/>
                        </w:rPr>
                        <w:t> </w:t>
                      </w:r>
                      <w:r>
                        <w:rPr>
                          <w:color w:val="000000"/>
                        </w:rPr>
                        <w:t>a</w:t>
                      </w:r>
                      <w:r>
                        <w:rPr>
                          <w:color w:val="000000"/>
                          <w:spacing w:val="-3"/>
                        </w:rPr>
                        <w:t> </w:t>
                      </w:r>
                      <w:r>
                        <w:rPr>
                          <w:color w:val="000000"/>
                        </w:rPr>
                        <w:t>sufficient</w:t>
                      </w:r>
                      <w:r>
                        <w:rPr>
                          <w:color w:val="000000"/>
                          <w:spacing w:val="-4"/>
                        </w:rPr>
                        <w:t> </w:t>
                      </w:r>
                      <w:r>
                        <w:rPr>
                          <w:color w:val="000000"/>
                        </w:rPr>
                        <w:t>capability</w:t>
                      </w:r>
                      <w:r>
                        <w:rPr>
                          <w:color w:val="000000"/>
                          <w:spacing w:val="-5"/>
                        </w:rPr>
                        <w:t> </w:t>
                      </w:r>
                      <w:r>
                        <w:rPr>
                          <w:color w:val="000000"/>
                        </w:rPr>
                        <w:t>to</w:t>
                      </w:r>
                      <w:r>
                        <w:rPr>
                          <w:color w:val="000000"/>
                          <w:spacing w:val="-3"/>
                        </w:rPr>
                        <w:t> </w:t>
                      </w:r>
                      <w:r>
                        <w:rPr>
                          <w:color w:val="000000"/>
                        </w:rPr>
                        <w:t>initiate</w:t>
                      </w:r>
                      <w:r>
                        <w:rPr>
                          <w:color w:val="000000"/>
                          <w:spacing w:val="-3"/>
                        </w:rPr>
                        <w:t> </w:t>
                      </w:r>
                      <w:r>
                        <w:rPr>
                          <w:color w:val="000000"/>
                        </w:rPr>
                        <w:t>strong</w:t>
                      </w:r>
                      <w:r>
                        <w:rPr>
                          <w:color w:val="000000"/>
                          <w:spacing w:val="-3"/>
                        </w:rPr>
                        <w:t> </w:t>
                      </w:r>
                      <w:r>
                        <w:rPr>
                          <w:color w:val="000000"/>
                        </w:rPr>
                        <w:t>enforcement</w:t>
                      </w:r>
                      <w:r>
                        <w:rPr>
                          <w:color w:val="000000"/>
                          <w:spacing w:val="-4"/>
                        </w:rPr>
                        <w:t> </w:t>
                      </w:r>
                      <w:r>
                        <w:rPr>
                          <w:color w:val="000000"/>
                        </w:rPr>
                        <w:t>actions,</w:t>
                      </w:r>
                      <w:r>
                        <w:rPr>
                          <w:color w:val="000000"/>
                          <w:spacing w:val="-4"/>
                        </w:rPr>
                        <w:t> </w:t>
                      </w:r>
                      <w:r>
                        <w:rPr>
                          <w:color w:val="000000"/>
                        </w:rPr>
                        <w:t>including legal prosecution, when justified on public interest grounds. This should include standing arrangements to ensure it can effectively draw on specialist external resources if and</w:t>
                      </w:r>
                      <w:r>
                        <w:rPr>
                          <w:color w:val="000000"/>
                        </w:rPr>
                        <w:t> when required. ESV’s capabilities to support strong enforcement actions should be reviewed by ESV’s Executive Management Board annually.</w:t>
                      </w:r>
                    </w:p>
                  </w:txbxContent>
                </v:textbox>
                <v:fill type="solid"/>
                <w10:wrap type="topAndBottom"/>
              </v:shape>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9"/>
        </w:rPr>
      </w:pPr>
      <w:r>
        <w:rPr/>
        <mc:AlternateContent>
          <mc:Choice Requires="wps">
            <w:drawing>
              <wp:anchor distT="0" distB="0" distL="0" distR="0" allowOverlap="1" layoutInCell="1" locked="0" behindDoc="1" simplePos="0" relativeHeight="487623680">
                <wp:simplePos x="0" y="0"/>
                <wp:positionH relativeFrom="page">
                  <wp:posOffset>896416</wp:posOffset>
                </wp:positionH>
                <wp:positionV relativeFrom="paragraph">
                  <wp:posOffset>229854</wp:posOffset>
                </wp:positionV>
                <wp:extent cx="5769610" cy="1270"/>
                <wp:effectExtent l="0" t="0" r="0" b="0"/>
                <wp:wrapTopAndBottom/>
                <wp:docPr id="125" name="Graphic 125"/>
                <wp:cNvGraphicFramePr>
                  <a:graphicFrameLocks/>
                </wp:cNvGraphicFramePr>
                <a:graphic>
                  <a:graphicData uri="http://schemas.microsoft.com/office/word/2010/wordprocessingShape">
                    <wps:wsp>
                      <wps:cNvPr id="125" name="Graphic 125"/>
                      <wps:cNvSpPr/>
                      <wps:spPr>
                        <a:xfrm>
                          <a:off x="0" y="0"/>
                          <a:ext cx="5769610" cy="1270"/>
                        </a:xfrm>
                        <a:custGeom>
                          <a:avLst/>
                          <a:gdLst/>
                          <a:ahLst/>
                          <a:cxnLst/>
                          <a:rect l="l" t="t" r="r" b="b"/>
                          <a:pathLst>
                            <a:path w="5769610" h="0">
                              <a:moveTo>
                                <a:pt x="0" y="0"/>
                              </a:moveTo>
                              <a:lnTo>
                                <a:pt x="5769305" y="0"/>
                              </a:lnTo>
                            </a:path>
                          </a:pathLst>
                        </a:custGeom>
                        <a:ln w="12192">
                          <a:solidFill>
                            <a:srgbClr val="000000"/>
                          </a:solidFill>
                          <a:prstDash val="sysDot"/>
                        </a:ln>
                      </wps:spPr>
                      <wps:bodyPr wrap="square" lIns="0" tIns="0" rIns="0" bIns="0" rtlCol="0">
                        <a:prstTxWarp prst="textNoShape">
                          <a:avLst/>
                        </a:prstTxWarp>
                        <a:noAutofit/>
                      </wps:bodyPr>
                    </wps:wsp>
                  </a:graphicData>
                </a:graphic>
              </wp:anchor>
            </w:drawing>
          </mc:Choice>
          <mc:Fallback>
            <w:pict>
              <v:shape style="position:absolute;margin-left:70.584pt;margin-top:18.098789pt;width:454.3pt;height:.1pt;mso-position-horizontal-relative:page;mso-position-vertical-relative:paragraph;z-index:-15692800;mso-wrap-distance-left:0;mso-wrap-distance-right:0" id="docshape109" coordorigin="1412,362" coordsize="9086,0" path="m1412,362l10497,362e" filled="false" stroked="true" strokeweight=".96pt" strokecolor="#000000">
                <v:path arrowok="t"/>
                <v:stroke dashstyle="shortdot"/>
                <w10:wrap type="topAndBottom"/>
              </v:shape>
            </w:pict>
          </mc:Fallback>
        </mc:AlternateContent>
      </w:r>
    </w:p>
    <w:p>
      <w:pPr>
        <w:pStyle w:val="BodyText"/>
        <w:spacing w:before="1"/>
        <w:rPr>
          <w:sz w:val="23"/>
        </w:rPr>
      </w:pPr>
    </w:p>
    <w:p>
      <w:pPr>
        <w:spacing w:before="95"/>
        <w:ind w:left="883" w:right="586" w:hanging="284"/>
        <w:jc w:val="left"/>
        <w:rPr>
          <w:sz w:val="16"/>
        </w:rPr>
      </w:pPr>
      <w:r>
        <w:rPr>
          <w:position w:val="5"/>
          <w:sz w:val="9"/>
        </w:rPr>
        <w:t>4</w:t>
      </w:r>
      <w:r>
        <w:rPr>
          <w:spacing w:val="10"/>
          <w:position w:val="5"/>
          <w:sz w:val="9"/>
        </w:rPr>
        <w:t> </w:t>
      </w:r>
      <w:r>
        <w:rPr>
          <w:sz w:val="16"/>
        </w:rPr>
        <w:t>For</w:t>
      </w:r>
      <w:r>
        <w:rPr>
          <w:spacing w:val="-3"/>
          <w:sz w:val="16"/>
        </w:rPr>
        <w:t> </w:t>
      </w:r>
      <w:r>
        <w:rPr>
          <w:sz w:val="16"/>
        </w:rPr>
        <w:t>two</w:t>
      </w:r>
      <w:r>
        <w:rPr>
          <w:spacing w:val="-2"/>
          <w:sz w:val="16"/>
        </w:rPr>
        <w:t> </w:t>
      </w:r>
      <w:r>
        <w:rPr>
          <w:sz w:val="16"/>
        </w:rPr>
        <w:t>of</w:t>
      </w:r>
      <w:r>
        <w:rPr>
          <w:spacing w:val="-1"/>
          <w:sz w:val="16"/>
        </w:rPr>
        <w:t> </w:t>
      </w:r>
      <w:r>
        <w:rPr>
          <w:sz w:val="16"/>
        </w:rPr>
        <w:t>these,</w:t>
      </w:r>
      <w:r>
        <w:rPr>
          <w:spacing w:val="-3"/>
          <w:sz w:val="16"/>
        </w:rPr>
        <w:t> </w:t>
      </w:r>
      <w:r>
        <w:rPr>
          <w:sz w:val="16"/>
        </w:rPr>
        <w:t>the</w:t>
      </w:r>
      <w:r>
        <w:rPr>
          <w:spacing w:val="-5"/>
          <w:sz w:val="16"/>
        </w:rPr>
        <w:t> </w:t>
      </w:r>
      <w:r>
        <w:rPr>
          <w:sz w:val="16"/>
        </w:rPr>
        <w:t>network businesses pleaded</w:t>
      </w:r>
      <w:r>
        <w:rPr>
          <w:spacing w:val="-2"/>
          <w:sz w:val="16"/>
        </w:rPr>
        <w:t> </w:t>
      </w:r>
      <w:r>
        <w:rPr>
          <w:sz w:val="16"/>
        </w:rPr>
        <w:t>guilty.</w:t>
      </w:r>
      <w:r>
        <w:rPr>
          <w:spacing w:val="-5"/>
          <w:sz w:val="16"/>
        </w:rPr>
        <w:t> </w:t>
      </w:r>
      <w:r>
        <w:rPr>
          <w:sz w:val="16"/>
        </w:rPr>
        <w:t>The</w:t>
      </w:r>
      <w:r>
        <w:rPr>
          <w:spacing w:val="-5"/>
          <w:sz w:val="16"/>
        </w:rPr>
        <w:t> </w:t>
      </w:r>
      <w:r>
        <w:rPr>
          <w:sz w:val="16"/>
        </w:rPr>
        <w:t>third</w:t>
      </w:r>
      <w:r>
        <w:rPr>
          <w:spacing w:val="-5"/>
          <w:sz w:val="16"/>
        </w:rPr>
        <w:t> </w:t>
      </w:r>
      <w:r>
        <w:rPr>
          <w:sz w:val="16"/>
        </w:rPr>
        <w:t>case</w:t>
      </w:r>
      <w:r>
        <w:rPr>
          <w:spacing w:val="-2"/>
          <w:sz w:val="16"/>
        </w:rPr>
        <w:t> </w:t>
      </w:r>
      <w:r>
        <w:rPr>
          <w:sz w:val="16"/>
        </w:rPr>
        <w:t>was </w:t>
      </w:r>
      <w:r>
        <w:rPr>
          <w:i/>
          <w:sz w:val="16"/>
        </w:rPr>
        <w:t>CitiPower</w:t>
      </w:r>
      <w:r>
        <w:rPr>
          <w:i/>
          <w:spacing w:val="-4"/>
          <w:sz w:val="16"/>
        </w:rPr>
        <w:t> </w:t>
      </w:r>
      <w:r>
        <w:rPr>
          <w:i/>
          <w:sz w:val="16"/>
        </w:rPr>
        <w:t>Pty</w:t>
      </w:r>
      <w:r>
        <w:rPr>
          <w:i/>
          <w:spacing w:val="-3"/>
          <w:sz w:val="16"/>
        </w:rPr>
        <w:t> </w:t>
      </w:r>
      <w:r>
        <w:rPr>
          <w:i/>
          <w:sz w:val="16"/>
        </w:rPr>
        <w:t>v Leahy</w:t>
      </w:r>
      <w:r>
        <w:rPr>
          <w:i/>
          <w:spacing w:val="-2"/>
          <w:sz w:val="16"/>
        </w:rPr>
        <w:t> </w:t>
      </w:r>
      <w:r>
        <w:rPr>
          <w:sz w:val="16"/>
        </w:rPr>
        <w:t>[2007]</w:t>
      </w:r>
      <w:r>
        <w:rPr>
          <w:spacing w:val="-1"/>
          <w:sz w:val="16"/>
        </w:rPr>
        <w:t> </w:t>
      </w:r>
      <w:r>
        <w:rPr>
          <w:sz w:val="16"/>
        </w:rPr>
        <w:t>VSC</w:t>
      </w:r>
      <w:r>
        <w:rPr>
          <w:spacing w:val="-2"/>
          <w:sz w:val="16"/>
        </w:rPr>
        <w:t> </w:t>
      </w:r>
      <w:r>
        <w:rPr>
          <w:sz w:val="16"/>
        </w:rPr>
        <w:t>95</w:t>
      </w:r>
      <w:r>
        <w:rPr>
          <w:spacing w:val="-2"/>
          <w:sz w:val="16"/>
        </w:rPr>
        <w:t> </w:t>
      </w:r>
      <w:r>
        <w:rPr>
          <w:sz w:val="16"/>
        </w:rPr>
        <w:t>(12</w:t>
      </w:r>
      <w:r>
        <w:rPr>
          <w:spacing w:val="-12"/>
          <w:sz w:val="16"/>
        </w:rPr>
        <w:t> </w:t>
      </w:r>
      <w:r>
        <w:rPr>
          <w:sz w:val="16"/>
        </w:rPr>
        <w:t>April 2007) which was ultimately unsuccessful.</w:t>
      </w:r>
    </w:p>
    <w:p>
      <w:pPr>
        <w:spacing w:after="0"/>
        <w:jc w:val="left"/>
        <w:rPr>
          <w:sz w:val="16"/>
        </w:rPr>
        <w:sectPr>
          <w:pgSz w:w="11910" w:h="16840"/>
          <w:pgMar w:header="887" w:footer="1228" w:top="1080" w:bottom="1500" w:left="840" w:right="820"/>
        </w:sectPr>
      </w:pPr>
    </w:p>
    <w:p>
      <w:pPr>
        <w:pStyle w:val="BodyText"/>
        <w:rPr>
          <w:sz w:val="20"/>
        </w:rPr>
      </w:pPr>
    </w:p>
    <w:p>
      <w:pPr>
        <w:pStyle w:val="BodyText"/>
        <w:rPr>
          <w:sz w:val="20"/>
        </w:rPr>
      </w:pPr>
    </w:p>
    <w:p>
      <w:pPr>
        <w:pStyle w:val="BodyText"/>
        <w:rPr>
          <w:sz w:val="20"/>
        </w:rPr>
      </w:pPr>
    </w:p>
    <w:p>
      <w:pPr>
        <w:pStyle w:val="BodyText"/>
        <w:spacing w:before="3"/>
        <w:rPr>
          <w:sz w:val="23"/>
        </w:rPr>
      </w:pPr>
    </w:p>
    <w:p>
      <w:pPr>
        <w:pStyle w:val="Heading7"/>
        <w:ind w:left="713"/>
      </w:pPr>
      <w:r>
        <w:rPr/>
        <mc:AlternateContent>
          <mc:Choice Requires="wps">
            <w:drawing>
              <wp:anchor distT="0" distB="0" distL="0" distR="0" allowOverlap="1" layoutInCell="1" locked="0" behindDoc="1" simplePos="0" relativeHeight="482715136">
                <wp:simplePos x="0" y="0"/>
                <wp:positionH relativeFrom="page">
                  <wp:posOffset>914704</wp:posOffset>
                </wp:positionH>
                <wp:positionV relativeFrom="paragraph">
                  <wp:posOffset>-152680</wp:posOffset>
                </wp:positionV>
                <wp:extent cx="5732780" cy="7449184"/>
                <wp:effectExtent l="0" t="0" r="0" b="0"/>
                <wp:wrapNone/>
                <wp:docPr id="126" name="Graphic 126"/>
                <wp:cNvGraphicFramePr>
                  <a:graphicFrameLocks/>
                </wp:cNvGraphicFramePr>
                <a:graphic>
                  <a:graphicData uri="http://schemas.microsoft.com/office/word/2010/wordprocessingShape">
                    <wps:wsp>
                      <wps:cNvPr id="126" name="Graphic 126"/>
                      <wps:cNvSpPr/>
                      <wps:spPr>
                        <a:xfrm>
                          <a:off x="0" y="0"/>
                          <a:ext cx="5732780" cy="7449184"/>
                        </a:xfrm>
                        <a:custGeom>
                          <a:avLst/>
                          <a:gdLst/>
                          <a:ahLst/>
                          <a:cxnLst/>
                          <a:rect l="l" t="t" r="r" b="b"/>
                          <a:pathLst>
                            <a:path w="5732780" h="7449184">
                              <a:moveTo>
                                <a:pt x="5732653" y="0"/>
                              </a:moveTo>
                              <a:lnTo>
                                <a:pt x="0" y="0"/>
                              </a:lnTo>
                              <a:lnTo>
                                <a:pt x="0" y="7449058"/>
                              </a:lnTo>
                              <a:lnTo>
                                <a:pt x="5732653" y="7449058"/>
                              </a:lnTo>
                              <a:lnTo>
                                <a:pt x="5732653" y="0"/>
                              </a:lnTo>
                              <a:close/>
                            </a:path>
                          </a:pathLst>
                        </a:custGeom>
                        <a:solidFill>
                          <a:srgbClr val="CDEBEB"/>
                        </a:solidFill>
                      </wps:spPr>
                      <wps:bodyPr wrap="square" lIns="0" tIns="0" rIns="0" bIns="0" rtlCol="0">
                        <a:prstTxWarp prst="textNoShape">
                          <a:avLst/>
                        </a:prstTxWarp>
                        <a:noAutofit/>
                      </wps:bodyPr>
                    </wps:wsp>
                  </a:graphicData>
                </a:graphic>
              </wp:anchor>
            </w:drawing>
          </mc:Choice>
          <mc:Fallback>
            <w:pict>
              <v:rect style="position:absolute;margin-left:72.024002pt;margin-top:-12.022102pt;width:451.39pt;height:586.54pt;mso-position-horizontal-relative:page;mso-position-vertical-relative:paragraph;z-index:-20601344" id="docshape110" filled="true" fillcolor="#cdebeb" stroked="false">
                <v:fill type="solid"/>
                <w10:wrap type="none"/>
              </v:rect>
            </w:pict>
          </mc:Fallback>
        </mc:AlternateContent>
      </w:r>
      <w:r>
        <w:rPr/>
        <w:t>Box</w:t>
      </w:r>
      <w:r>
        <w:rPr>
          <w:spacing w:val="-4"/>
        </w:rPr>
        <w:t> </w:t>
      </w:r>
      <w:r>
        <w:rPr/>
        <w:t>12:</w:t>
      </w:r>
      <w:r>
        <w:rPr>
          <w:spacing w:val="-2"/>
        </w:rPr>
        <w:t> </w:t>
      </w:r>
      <w:r>
        <w:rPr/>
        <w:t>Enforcement</w:t>
      </w:r>
      <w:r>
        <w:rPr>
          <w:spacing w:val="-5"/>
        </w:rPr>
        <w:t> </w:t>
      </w:r>
      <w:r>
        <w:rPr/>
        <w:t>activities</w:t>
      </w:r>
      <w:r>
        <w:rPr>
          <w:spacing w:val="-6"/>
        </w:rPr>
        <w:t> </w:t>
      </w:r>
      <w:r>
        <w:rPr/>
        <w:t>in</w:t>
      </w:r>
      <w:r>
        <w:rPr>
          <w:spacing w:val="-6"/>
        </w:rPr>
        <w:t> </w:t>
      </w:r>
      <w:r>
        <w:rPr/>
        <w:t>the</w:t>
      </w:r>
      <w:r>
        <w:rPr>
          <w:spacing w:val="-4"/>
        </w:rPr>
        <w:t> </w:t>
      </w:r>
      <w:r>
        <w:rPr/>
        <w:t>gas</w:t>
      </w:r>
      <w:r>
        <w:rPr>
          <w:spacing w:val="-5"/>
        </w:rPr>
        <w:t> </w:t>
      </w:r>
      <w:r>
        <w:rPr>
          <w:spacing w:val="-2"/>
        </w:rPr>
        <w:t>sector</w:t>
      </w:r>
    </w:p>
    <w:p>
      <w:pPr>
        <w:pStyle w:val="BodyText"/>
        <w:spacing w:before="4"/>
        <w:rPr>
          <w:b/>
          <w:sz w:val="25"/>
        </w:rPr>
      </w:pPr>
    </w:p>
    <w:p>
      <w:pPr>
        <w:pStyle w:val="BodyText"/>
        <w:spacing w:before="1"/>
        <w:ind w:left="713"/>
      </w:pPr>
      <w:r>
        <w:rPr/>
        <w:t>In</w:t>
      </w:r>
      <w:r>
        <w:rPr>
          <w:spacing w:val="-7"/>
        </w:rPr>
        <w:t> </w:t>
      </w:r>
      <w:r>
        <w:rPr/>
        <w:t>2015–16,</w:t>
      </w:r>
      <w:r>
        <w:rPr>
          <w:spacing w:val="-2"/>
        </w:rPr>
        <w:t> </w:t>
      </w:r>
      <w:r>
        <w:rPr/>
        <w:t>ESV’s</w:t>
      </w:r>
      <w:r>
        <w:rPr>
          <w:spacing w:val="-4"/>
        </w:rPr>
        <w:t> </w:t>
      </w:r>
      <w:r>
        <w:rPr/>
        <w:t>enforcement</w:t>
      </w:r>
      <w:r>
        <w:rPr>
          <w:spacing w:val="-5"/>
        </w:rPr>
        <w:t> </w:t>
      </w:r>
      <w:r>
        <w:rPr/>
        <w:t>activities</w:t>
      </w:r>
      <w:r>
        <w:rPr>
          <w:spacing w:val="-3"/>
        </w:rPr>
        <w:t> </w:t>
      </w:r>
      <w:r>
        <w:rPr/>
        <w:t>relating</w:t>
      </w:r>
      <w:r>
        <w:rPr>
          <w:spacing w:val="-4"/>
        </w:rPr>
        <w:t> </w:t>
      </w:r>
      <w:r>
        <w:rPr/>
        <w:t>to</w:t>
      </w:r>
      <w:r>
        <w:rPr>
          <w:spacing w:val="-7"/>
        </w:rPr>
        <w:t> </w:t>
      </w:r>
      <w:r>
        <w:rPr/>
        <w:t>the</w:t>
      </w:r>
      <w:r>
        <w:rPr>
          <w:spacing w:val="-9"/>
        </w:rPr>
        <w:t> </w:t>
      </w:r>
      <w:r>
        <w:rPr/>
        <w:t>gas</w:t>
      </w:r>
      <w:r>
        <w:rPr>
          <w:spacing w:val="-6"/>
        </w:rPr>
        <w:t> </w:t>
      </w:r>
      <w:r>
        <w:rPr/>
        <w:t>sector</w:t>
      </w:r>
      <w:r>
        <w:rPr>
          <w:spacing w:val="-3"/>
        </w:rPr>
        <w:t> </w:t>
      </w:r>
      <w:r>
        <w:rPr>
          <w:spacing w:val="-2"/>
        </w:rPr>
        <w:t>included:</w:t>
      </w:r>
    </w:p>
    <w:p>
      <w:pPr>
        <w:pStyle w:val="BodyText"/>
        <w:spacing w:before="7"/>
        <w:rPr>
          <w:sz w:val="26"/>
        </w:rPr>
      </w:pPr>
    </w:p>
    <w:p>
      <w:pPr>
        <w:pStyle w:val="ListParagraph"/>
        <w:numPr>
          <w:ilvl w:val="0"/>
          <w:numId w:val="40"/>
        </w:numPr>
        <w:tabs>
          <w:tab w:pos="1100" w:val="left" w:leader="none"/>
          <w:tab w:pos="1102" w:val="left" w:leader="none"/>
        </w:tabs>
        <w:spacing w:line="288" w:lineRule="auto" w:before="0" w:after="0"/>
        <w:ind w:left="1102" w:right="1118" w:hanging="219"/>
        <w:jc w:val="left"/>
        <w:rPr>
          <w:sz w:val="22"/>
        </w:rPr>
      </w:pPr>
      <w:r>
        <w:rPr>
          <w:sz w:val="22"/>
        </w:rPr>
        <w:t>Investigation</w:t>
      </w:r>
      <w:r>
        <w:rPr>
          <w:spacing w:val="-3"/>
          <w:sz w:val="22"/>
        </w:rPr>
        <w:t> </w:t>
      </w:r>
      <w:r>
        <w:rPr>
          <w:sz w:val="22"/>
        </w:rPr>
        <w:t>of</w:t>
      </w:r>
      <w:r>
        <w:rPr>
          <w:spacing w:val="-1"/>
          <w:sz w:val="22"/>
        </w:rPr>
        <w:t> </w:t>
      </w:r>
      <w:r>
        <w:rPr>
          <w:sz w:val="22"/>
        </w:rPr>
        <w:t>19</w:t>
      </w:r>
      <w:r>
        <w:rPr>
          <w:spacing w:val="-3"/>
          <w:sz w:val="22"/>
        </w:rPr>
        <w:t> </w:t>
      </w:r>
      <w:r>
        <w:rPr>
          <w:sz w:val="22"/>
        </w:rPr>
        <w:t>incidents</w:t>
      </w:r>
      <w:r>
        <w:rPr>
          <w:spacing w:val="-2"/>
          <w:sz w:val="22"/>
        </w:rPr>
        <w:t> </w:t>
      </w:r>
      <w:r>
        <w:rPr>
          <w:sz w:val="22"/>
        </w:rPr>
        <w:t>involving</w:t>
      </w:r>
      <w:r>
        <w:rPr>
          <w:spacing w:val="-3"/>
          <w:sz w:val="22"/>
        </w:rPr>
        <w:t> </w:t>
      </w:r>
      <w:r>
        <w:rPr>
          <w:sz w:val="22"/>
        </w:rPr>
        <w:t>third party</w:t>
      </w:r>
      <w:r>
        <w:rPr>
          <w:spacing w:val="-5"/>
          <w:sz w:val="22"/>
        </w:rPr>
        <w:t> </w:t>
      </w:r>
      <w:r>
        <w:rPr>
          <w:sz w:val="22"/>
        </w:rPr>
        <w:t>damage</w:t>
      </w:r>
      <w:r>
        <w:rPr>
          <w:spacing w:val="-5"/>
          <w:sz w:val="22"/>
        </w:rPr>
        <w:t> </w:t>
      </w:r>
      <w:r>
        <w:rPr>
          <w:sz w:val="22"/>
        </w:rPr>
        <w:t>to</w:t>
      </w:r>
      <w:r>
        <w:rPr>
          <w:spacing w:val="-5"/>
          <w:sz w:val="22"/>
        </w:rPr>
        <w:t> </w:t>
      </w:r>
      <w:r>
        <w:rPr>
          <w:sz w:val="22"/>
        </w:rPr>
        <w:t>gas</w:t>
      </w:r>
      <w:r>
        <w:rPr>
          <w:spacing w:val="-7"/>
          <w:sz w:val="22"/>
        </w:rPr>
        <w:t> </w:t>
      </w:r>
      <w:r>
        <w:rPr>
          <w:sz w:val="22"/>
        </w:rPr>
        <w:t>mains,</w:t>
      </w:r>
      <w:r>
        <w:rPr>
          <w:spacing w:val="-4"/>
          <w:sz w:val="22"/>
        </w:rPr>
        <w:t> </w:t>
      </w:r>
      <w:r>
        <w:rPr>
          <w:sz w:val="22"/>
        </w:rPr>
        <w:t>resulting</w:t>
      </w:r>
      <w:r>
        <w:rPr>
          <w:spacing w:val="-1"/>
          <w:sz w:val="22"/>
        </w:rPr>
        <w:t> </w:t>
      </w:r>
      <w:r>
        <w:rPr>
          <w:sz w:val="22"/>
        </w:rPr>
        <w:t>in issuing three infringement notices and five warning letters.</w:t>
      </w:r>
    </w:p>
    <w:p>
      <w:pPr>
        <w:pStyle w:val="BodyText"/>
        <w:spacing w:before="4"/>
      </w:pPr>
    </w:p>
    <w:p>
      <w:pPr>
        <w:pStyle w:val="ListParagraph"/>
        <w:numPr>
          <w:ilvl w:val="0"/>
          <w:numId w:val="40"/>
        </w:numPr>
        <w:tabs>
          <w:tab w:pos="1100" w:val="left" w:leader="none"/>
          <w:tab w:pos="1102" w:val="left" w:leader="none"/>
        </w:tabs>
        <w:spacing w:line="285" w:lineRule="auto" w:before="0" w:after="0"/>
        <w:ind w:left="1102" w:right="1376" w:hanging="219"/>
        <w:jc w:val="left"/>
        <w:rPr>
          <w:sz w:val="22"/>
        </w:rPr>
      </w:pPr>
      <w:r>
        <w:rPr>
          <w:sz w:val="22"/>
        </w:rPr>
        <w:t>Investigation</w:t>
      </w:r>
      <w:r>
        <w:rPr>
          <w:spacing w:val="-4"/>
          <w:sz w:val="22"/>
        </w:rPr>
        <w:t> </w:t>
      </w:r>
      <w:r>
        <w:rPr>
          <w:sz w:val="22"/>
        </w:rPr>
        <w:t>of</w:t>
      </w:r>
      <w:r>
        <w:rPr>
          <w:spacing w:val="-2"/>
          <w:sz w:val="22"/>
        </w:rPr>
        <w:t> </w:t>
      </w:r>
      <w:r>
        <w:rPr>
          <w:sz w:val="22"/>
        </w:rPr>
        <w:t>12</w:t>
      </w:r>
      <w:r>
        <w:rPr>
          <w:spacing w:val="-4"/>
          <w:sz w:val="22"/>
        </w:rPr>
        <w:t> </w:t>
      </w:r>
      <w:r>
        <w:rPr>
          <w:sz w:val="22"/>
        </w:rPr>
        <w:t>incidents</w:t>
      </w:r>
      <w:r>
        <w:rPr>
          <w:spacing w:val="-3"/>
          <w:sz w:val="22"/>
        </w:rPr>
        <w:t> </w:t>
      </w:r>
      <w:r>
        <w:rPr>
          <w:sz w:val="22"/>
        </w:rPr>
        <w:t>involving</w:t>
      </w:r>
      <w:r>
        <w:rPr>
          <w:spacing w:val="-2"/>
          <w:sz w:val="22"/>
        </w:rPr>
        <w:t> </w:t>
      </w:r>
      <w:r>
        <w:rPr>
          <w:sz w:val="22"/>
        </w:rPr>
        <w:t>unauthorised</w:t>
      </w:r>
      <w:r>
        <w:rPr>
          <w:spacing w:val="-4"/>
          <w:sz w:val="22"/>
        </w:rPr>
        <w:t> </w:t>
      </w:r>
      <w:r>
        <w:rPr>
          <w:sz w:val="22"/>
        </w:rPr>
        <w:t>works</w:t>
      </w:r>
      <w:r>
        <w:rPr>
          <w:spacing w:val="-6"/>
          <w:sz w:val="22"/>
        </w:rPr>
        <w:t> </w:t>
      </w:r>
      <w:r>
        <w:rPr>
          <w:sz w:val="22"/>
        </w:rPr>
        <w:t>within</w:t>
      </w:r>
      <w:r>
        <w:rPr>
          <w:spacing w:val="-4"/>
          <w:sz w:val="22"/>
        </w:rPr>
        <w:t> </w:t>
      </w:r>
      <w:r>
        <w:rPr>
          <w:sz w:val="22"/>
        </w:rPr>
        <w:t>three</w:t>
      </w:r>
      <w:r>
        <w:rPr>
          <w:spacing w:val="-2"/>
          <w:sz w:val="22"/>
        </w:rPr>
        <w:t> </w:t>
      </w:r>
      <w:r>
        <w:rPr>
          <w:sz w:val="22"/>
        </w:rPr>
        <w:t>metres</w:t>
      </w:r>
      <w:r>
        <w:rPr>
          <w:spacing w:val="-4"/>
          <w:sz w:val="22"/>
        </w:rPr>
        <w:t> </w:t>
      </w:r>
      <w:r>
        <w:rPr>
          <w:sz w:val="22"/>
        </w:rPr>
        <w:t>of licensed pipelines. This resulted in six warning letters being issued.</w:t>
      </w:r>
    </w:p>
    <w:p>
      <w:pPr>
        <w:pStyle w:val="BodyText"/>
        <w:spacing w:before="6"/>
      </w:pPr>
    </w:p>
    <w:p>
      <w:pPr>
        <w:pStyle w:val="ListParagraph"/>
        <w:numPr>
          <w:ilvl w:val="0"/>
          <w:numId w:val="40"/>
        </w:numPr>
        <w:tabs>
          <w:tab w:pos="1100" w:val="left" w:leader="none"/>
          <w:tab w:pos="1102" w:val="left" w:leader="none"/>
        </w:tabs>
        <w:spacing w:line="285" w:lineRule="auto" w:before="0" w:after="0"/>
        <w:ind w:left="1102" w:right="1367" w:hanging="219"/>
        <w:jc w:val="left"/>
        <w:rPr>
          <w:sz w:val="22"/>
        </w:rPr>
      </w:pPr>
      <w:r>
        <w:rPr>
          <w:sz w:val="22"/>
        </w:rPr>
        <w:t>An</w:t>
      </w:r>
      <w:r>
        <w:rPr>
          <w:spacing w:val="-4"/>
          <w:sz w:val="22"/>
        </w:rPr>
        <w:t> </w:t>
      </w:r>
      <w:r>
        <w:rPr>
          <w:sz w:val="22"/>
        </w:rPr>
        <w:t>improvement</w:t>
      </w:r>
      <w:r>
        <w:rPr>
          <w:spacing w:val="-2"/>
          <w:sz w:val="22"/>
        </w:rPr>
        <w:t> </w:t>
      </w:r>
      <w:r>
        <w:rPr>
          <w:sz w:val="22"/>
        </w:rPr>
        <w:t>notice</w:t>
      </w:r>
      <w:r>
        <w:rPr>
          <w:spacing w:val="-4"/>
          <w:sz w:val="22"/>
        </w:rPr>
        <w:t> </w:t>
      </w:r>
      <w:r>
        <w:rPr>
          <w:sz w:val="22"/>
        </w:rPr>
        <w:t>being</w:t>
      </w:r>
      <w:r>
        <w:rPr>
          <w:spacing w:val="-2"/>
          <w:sz w:val="22"/>
        </w:rPr>
        <w:t> </w:t>
      </w:r>
      <w:r>
        <w:rPr>
          <w:sz w:val="22"/>
        </w:rPr>
        <w:t>issued</w:t>
      </w:r>
      <w:r>
        <w:rPr>
          <w:spacing w:val="-5"/>
          <w:sz w:val="22"/>
        </w:rPr>
        <w:t> </w:t>
      </w:r>
      <w:r>
        <w:rPr>
          <w:sz w:val="22"/>
        </w:rPr>
        <w:t>to</w:t>
      </w:r>
      <w:r>
        <w:rPr>
          <w:spacing w:val="-5"/>
          <w:sz w:val="22"/>
        </w:rPr>
        <w:t> </w:t>
      </w:r>
      <w:r>
        <w:rPr>
          <w:sz w:val="22"/>
        </w:rPr>
        <w:t>a</w:t>
      </w:r>
      <w:r>
        <w:rPr>
          <w:spacing w:val="-4"/>
          <w:sz w:val="22"/>
        </w:rPr>
        <w:t> </w:t>
      </w:r>
      <w:r>
        <w:rPr>
          <w:sz w:val="22"/>
        </w:rPr>
        <w:t>network</w:t>
      </w:r>
      <w:r>
        <w:rPr>
          <w:spacing w:val="-5"/>
          <w:sz w:val="22"/>
        </w:rPr>
        <w:t> </w:t>
      </w:r>
      <w:r>
        <w:rPr>
          <w:sz w:val="22"/>
        </w:rPr>
        <w:t>business</w:t>
      </w:r>
      <w:r>
        <w:rPr>
          <w:spacing w:val="-5"/>
          <w:sz w:val="22"/>
        </w:rPr>
        <w:t> </w:t>
      </w:r>
      <w:r>
        <w:rPr>
          <w:sz w:val="22"/>
        </w:rPr>
        <w:t>following</w:t>
      </w:r>
      <w:r>
        <w:rPr>
          <w:spacing w:val="-2"/>
          <w:sz w:val="22"/>
        </w:rPr>
        <w:t> </w:t>
      </w:r>
      <w:r>
        <w:rPr>
          <w:sz w:val="22"/>
        </w:rPr>
        <w:t>an</w:t>
      </w:r>
      <w:r>
        <w:rPr>
          <w:spacing w:val="-4"/>
          <w:sz w:val="22"/>
        </w:rPr>
        <w:t> </w:t>
      </w:r>
      <w:r>
        <w:rPr>
          <w:sz w:val="22"/>
        </w:rPr>
        <w:t>incident investigation involving an unodourised gas injection. (ESV, 2016)</w:t>
      </w:r>
    </w:p>
    <w:p>
      <w:pPr>
        <w:pStyle w:val="BodyText"/>
        <w:spacing w:before="2"/>
        <w:rPr>
          <w:sz w:val="21"/>
        </w:rPr>
      </w:pPr>
    </w:p>
    <w:p>
      <w:pPr>
        <w:pStyle w:val="BodyText"/>
        <w:spacing w:line="288" w:lineRule="auto"/>
        <w:ind w:left="713" w:right="910"/>
      </w:pPr>
      <w:r>
        <w:rPr/>
        <w:t>In</w:t>
      </w:r>
      <w:r>
        <w:rPr>
          <w:spacing w:val="-3"/>
        </w:rPr>
        <w:t> </w:t>
      </w:r>
      <w:r>
        <w:rPr/>
        <w:t>submissions</w:t>
      </w:r>
      <w:r>
        <w:rPr>
          <w:spacing w:val="-5"/>
        </w:rPr>
        <w:t> </w:t>
      </w:r>
      <w:r>
        <w:rPr/>
        <w:t>to</w:t>
      </w:r>
      <w:r>
        <w:rPr>
          <w:spacing w:val="-5"/>
        </w:rPr>
        <w:t> </w:t>
      </w:r>
      <w:r>
        <w:rPr/>
        <w:t>the</w:t>
      </w:r>
      <w:r>
        <w:rPr>
          <w:spacing w:val="-3"/>
        </w:rPr>
        <w:t> </w:t>
      </w:r>
      <w:r>
        <w:rPr/>
        <w:t>Review,</w:t>
      </w:r>
      <w:r>
        <w:rPr>
          <w:spacing w:val="-1"/>
        </w:rPr>
        <w:t> </w:t>
      </w:r>
      <w:r>
        <w:rPr/>
        <w:t>some</w:t>
      </w:r>
      <w:r>
        <w:rPr>
          <w:spacing w:val="-5"/>
        </w:rPr>
        <w:t> </w:t>
      </w:r>
      <w:r>
        <w:rPr/>
        <w:t>gas</w:t>
      </w:r>
      <w:r>
        <w:rPr>
          <w:spacing w:val="-5"/>
        </w:rPr>
        <w:t> </w:t>
      </w:r>
      <w:r>
        <w:rPr/>
        <w:t>network</w:t>
      </w:r>
      <w:r>
        <w:rPr>
          <w:spacing w:val="-2"/>
        </w:rPr>
        <w:t> </w:t>
      </w:r>
      <w:r>
        <w:rPr/>
        <w:t>businesses</w:t>
      </w:r>
      <w:r>
        <w:rPr>
          <w:spacing w:val="-3"/>
        </w:rPr>
        <w:t> </w:t>
      </w:r>
      <w:r>
        <w:rPr/>
        <w:t>indicated</w:t>
      </w:r>
      <w:r>
        <w:rPr>
          <w:spacing w:val="-5"/>
        </w:rPr>
        <w:t> </w:t>
      </w:r>
      <w:r>
        <w:rPr/>
        <w:t>concerns</w:t>
      </w:r>
      <w:r>
        <w:rPr>
          <w:spacing w:val="-3"/>
        </w:rPr>
        <w:t> </w:t>
      </w:r>
      <w:r>
        <w:rPr/>
        <w:t>with ESV’s level of enforcement in relation to third party damage.</w:t>
      </w:r>
    </w:p>
    <w:p>
      <w:pPr>
        <w:pStyle w:val="BodyText"/>
        <w:spacing w:before="10"/>
        <w:rPr>
          <w:sz w:val="20"/>
        </w:rPr>
      </w:pPr>
    </w:p>
    <w:p>
      <w:pPr>
        <w:pStyle w:val="BodyText"/>
        <w:ind w:left="713"/>
      </w:pPr>
      <w:r>
        <w:rPr/>
        <w:t>For</w:t>
      </w:r>
      <w:r>
        <w:rPr>
          <w:spacing w:val="-3"/>
        </w:rPr>
        <w:t> </w:t>
      </w:r>
      <w:r>
        <w:rPr/>
        <w:t>example,</w:t>
      </w:r>
      <w:r>
        <w:rPr>
          <w:spacing w:val="-5"/>
        </w:rPr>
        <w:t> </w:t>
      </w:r>
      <w:r>
        <w:rPr/>
        <w:t>APA</w:t>
      </w:r>
      <w:r>
        <w:rPr>
          <w:spacing w:val="-3"/>
        </w:rPr>
        <w:t> </w:t>
      </w:r>
      <w:r>
        <w:rPr/>
        <w:t>VTS</w:t>
      </w:r>
      <w:r>
        <w:rPr>
          <w:spacing w:val="-5"/>
        </w:rPr>
        <w:t> </w:t>
      </w:r>
      <w:r>
        <w:rPr>
          <w:spacing w:val="-2"/>
        </w:rPr>
        <w:t>noted:</w:t>
      </w:r>
    </w:p>
    <w:p>
      <w:pPr>
        <w:pStyle w:val="BodyText"/>
        <w:spacing w:before="2"/>
        <w:rPr>
          <w:sz w:val="25"/>
        </w:rPr>
      </w:pPr>
    </w:p>
    <w:p>
      <w:pPr>
        <w:spacing w:line="288" w:lineRule="auto" w:before="0"/>
        <w:ind w:left="1166" w:right="1264" w:firstLine="0"/>
        <w:jc w:val="left"/>
        <w:rPr>
          <w:sz w:val="22"/>
        </w:rPr>
      </w:pPr>
      <w:r>
        <w:rPr>
          <w:i/>
          <w:sz w:val="22"/>
        </w:rPr>
        <w:t>“On</w:t>
      </w:r>
      <w:r>
        <w:rPr>
          <w:i/>
          <w:spacing w:val="-4"/>
          <w:sz w:val="22"/>
        </w:rPr>
        <w:t> </w:t>
      </w:r>
      <w:r>
        <w:rPr>
          <w:i/>
          <w:sz w:val="22"/>
        </w:rPr>
        <w:t>the</w:t>
      </w:r>
      <w:r>
        <w:rPr>
          <w:i/>
          <w:spacing w:val="-4"/>
          <w:sz w:val="22"/>
        </w:rPr>
        <w:t> </w:t>
      </w:r>
      <w:r>
        <w:rPr>
          <w:i/>
          <w:sz w:val="22"/>
        </w:rPr>
        <w:t>issue</w:t>
      </w:r>
      <w:r>
        <w:rPr>
          <w:i/>
          <w:spacing w:val="-2"/>
          <w:sz w:val="22"/>
        </w:rPr>
        <w:t> </w:t>
      </w:r>
      <w:r>
        <w:rPr>
          <w:i/>
          <w:sz w:val="22"/>
        </w:rPr>
        <w:t>of</w:t>
      </w:r>
      <w:r>
        <w:rPr>
          <w:i/>
          <w:spacing w:val="-3"/>
          <w:sz w:val="22"/>
        </w:rPr>
        <w:t> </w:t>
      </w:r>
      <w:r>
        <w:rPr>
          <w:i/>
          <w:sz w:val="22"/>
        </w:rPr>
        <w:t>third</w:t>
      </w:r>
      <w:r>
        <w:rPr>
          <w:i/>
          <w:spacing w:val="-4"/>
          <w:sz w:val="22"/>
        </w:rPr>
        <w:t> </w:t>
      </w:r>
      <w:r>
        <w:rPr>
          <w:i/>
          <w:sz w:val="22"/>
        </w:rPr>
        <w:t>party</w:t>
      </w:r>
      <w:r>
        <w:rPr>
          <w:i/>
          <w:spacing w:val="-1"/>
          <w:sz w:val="22"/>
        </w:rPr>
        <w:t> </w:t>
      </w:r>
      <w:r>
        <w:rPr>
          <w:i/>
          <w:sz w:val="22"/>
        </w:rPr>
        <w:t>encroachment</w:t>
      </w:r>
      <w:r>
        <w:rPr>
          <w:i/>
          <w:spacing w:val="-5"/>
          <w:sz w:val="22"/>
        </w:rPr>
        <w:t> </w:t>
      </w:r>
      <w:r>
        <w:rPr>
          <w:i/>
          <w:sz w:val="22"/>
        </w:rPr>
        <w:t>where</w:t>
      </w:r>
      <w:r>
        <w:rPr>
          <w:i/>
          <w:spacing w:val="-6"/>
          <w:sz w:val="22"/>
        </w:rPr>
        <w:t> </w:t>
      </w:r>
      <w:r>
        <w:rPr>
          <w:i/>
          <w:sz w:val="22"/>
        </w:rPr>
        <w:t>an</w:t>
      </w:r>
      <w:r>
        <w:rPr>
          <w:i/>
          <w:spacing w:val="-2"/>
          <w:sz w:val="22"/>
        </w:rPr>
        <w:t> </w:t>
      </w:r>
      <w:r>
        <w:rPr>
          <w:i/>
          <w:sz w:val="22"/>
        </w:rPr>
        <w:t>APA</w:t>
      </w:r>
      <w:r>
        <w:rPr>
          <w:i/>
          <w:spacing w:val="-2"/>
          <w:sz w:val="22"/>
        </w:rPr>
        <w:t> </w:t>
      </w:r>
      <w:r>
        <w:rPr>
          <w:i/>
          <w:sz w:val="22"/>
        </w:rPr>
        <w:t>pipeline</w:t>
      </w:r>
      <w:r>
        <w:rPr>
          <w:i/>
          <w:spacing w:val="-2"/>
          <w:sz w:val="22"/>
        </w:rPr>
        <w:t> </w:t>
      </w:r>
      <w:r>
        <w:rPr>
          <w:i/>
          <w:sz w:val="22"/>
        </w:rPr>
        <w:t>was</w:t>
      </w:r>
      <w:r>
        <w:rPr>
          <w:i/>
          <w:spacing w:val="-4"/>
          <w:sz w:val="22"/>
        </w:rPr>
        <w:t> </w:t>
      </w:r>
      <w:r>
        <w:rPr>
          <w:i/>
          <w:sz w:val="22"/>
        </w:rPr>
        <w:t>contacted by a horizontal direction drill from a third party, ESV applied a resource to investigate the issue and went through their own processes prior to deciding whether to prosecute the offender. APA was able to recoup the cost of repairing the pipeline from the perpetrator without intervention from the regulator. The regulator declined to take action against the third party for breaching the Pipelines Act, despite the prima facie evidence available. This practise of neglecting to enforce sections of the Act on individuals and organisations that are not Licensees is common.” </w:t>
      </w:r>
      <w:r>
        <w:rPr>
          <w:sz w:val="22"/>
        </w:rPr>
        <w:t>(APA VTS, 2017, p. 8)</w:t>
      </w:r>
    </w:p>
    <w:p>
      <w:pPr>
        <w:pStyle w:val="BodyText"/>
        <w:rPr>
          <w:sz w:val="21"/>
        </w:rPr>
      </w:pPr>
    </w:p>
    <w:p>
      <w:pPr>
        <w:pStyle w:val="BodyText"/>
        <w:spacing w:before="1"/>
        <w:ind w:left="713"/>
      </w:pPr>
      <w:r>
        <w:rPr/>
        <w:t>Similarly,</w:t>
      </w:r>
      <w:r>
        <w:rPr>
          <w:spacing w:val="-3"/>
        </w:rPr>
        <w:t> </w:t>
      </w:r>
      <w:r>
        <w:rPr/>
        <w:t>Australian</w:t>
      </w:r>
      <w:r>
        <w:rPr>
          <w:spacing w:val="-4"/>
        </w:rPr>
        <w:t> </w:t>
      </w:r>
      <w:r>
        <w:rPr/>
        <w:t>Gas</w:t>
      </w:r>
      <w:r>
        <w:rPr>
          <w:spacing w:val="-6"/>
        </w:rPr>
        <w:t> </w:t>
      </w:r>
      <w:r>
        <w:rPr/>
        <w:t>Networks</w:t>
      </w:r>
      <w:r>
        <w:rPr>
          <w:spacing w:val="-6"/>
        </w:rPr>
        <w:t> </w:t>
      </w:r>
      <w:r>
        <w:rPr/>
        <w:t>stated</w:t>
      </w:r>
      <w:r>
        <w:rPr>
          <w:spacing w:val="-6"/>
        </w:rPr>
        <w:t> </w:t>
      </w:r>
      <w:r>
        <w:rPr/>
        <w:t>in</w:t>
      </w:r>
      <w:r>
        <w:rPr>
          <w:spacing w:val="-4"/>
        </w:rPr>
        <w:t> </w:t>
      </w:r>
      <w:r>
        <w:rPr/>
        <w:t>its</w:t>
      </w:r>
      <w:r>
        <w:rPr>
          <w:spacing w:val="-5"/>
        </w:rPr>
        <w:t> </w:t>
      </w:r>
      <w:r>
        <w:rPr>
          <w:spacing w:val="-2"/>
        </w:rPr>
        <w:t>submission:</w:t>
      </w:r>
    </w:p>
    <w:p>
      <w:pPr>
        <w:pStyle w:val="BodyText"/>
        <w:spacing w:before="1"/>
        <w:rPr>
          <w:sz w:val="25"/>
        </w:rPr>
      </w:pPr>
    </w:p>
    <w:p>
      <w:pPr>
        <w:spacing w:line="288" w:lineRule="auto" w:before="0"/>
        <w:ind w:left="1166" w:right="1200" w:firstLine="0"/>
        <w:jc w:val="left"/>
        <w:rPr>
          <w:sz w:val="22"/>
        </w:rPr>
      </w:pPr>
      <w:r>
        <w:rPr>
          <w:i/>
          <w:sz w:val="22"/>
        </w:rPr>
        <w:t>“Many</w:t>
      </w:r>
      <w:r>
        <w:rPr>
          <w:i/>
          <w:spacing w:val="-2"/>
          <w:sz w:val="22"/>
        </w:rPr>
        <w:t> </w:t>
      </w:r>
      <w:r>
        <w:rPr>
          <w:i/>
          <w:sz w:val="22"/>
        </w:rPr>
        <w:t>instances</w:t>
      </w:r>
      <w:r>
        <w:rPr>
          <w:i/>
          <w:spacing w:val="-2"/>
          <w:sz w:val="22"/>
        </w:rPr>
        <w:t> </w:t>
      </w:r>
      <w:r>
        <w:rPr>
          <w:i/>
          <w:sz w:val="22"/>
        </w:rPr>
        <w:t>of</w:t>
      </w:r>
      <w:r>
        <w:rPr>
          <w:i/>
          <w:spacing w:val="-4"/>
          <w:sz w:val="22"/>
        </w:rPr>
        <w:t> </w:t>
      </w:r>
      <w:r>
        <w:rPr>
          <w:i/>
          <w:sz w:val="22"/>
        </w:rPr>
        <w:t>third</w:t>
      </w:r>
      <w:r>
        <w:rPr>
          <w:i/>
          <w:spacing w:val="-5"/>
          <w:sz w:val="22"/>
        </w:rPr>
        <w:t> </w:t>
      </w:r>
      <w:r>
        <w:rPr>
          <w:i/>
          <w:sz w:val="22"/>
        </w:rPr>
        <w:t>party</w:t>
      </w:r>
      <w:r>
        <w:rPr>
          <w:i/>
          <w:spacing w:val="-5"/>
          <w:sz w:val="22"/>
        </w:rPr>
        <w:t> </w:t>
      </w:r>
      <w:r>
        <w:rPr>
          <w:i/>
          <w:sz w:val="22"/>
        </w:rPr>
        <w:t>damage</w:t>
      </w:r>
      <w:r>
        <w:rPr>
          <w:i/>
          <w:spacing w:val="-5"/>
          <w:sz w:val="22"/>
        </w:rPr>
        <w:t> </w:t>
      </w:r>
      <w:r>
        <w:rPr>
          <w:i/>
          <w:sz w:val="22"/>
        </w:rPr>
        <w:t>and</w:t>
      </w:r>
      <w:r>
        <w:rPr>
          <w:i/>
          <w:spacing w:val="-5"/>
          <w:sz w:val="22"/>
        </w:rPr>
        <w:t> </w:t>
      </w:r>
      <w:r>
        <w:rPr>
          <w:i/>
          <w:sz w:val="22"/>
        </w:rPr>
        <w:t>interference</w:t>
      </w:r>
      <w:r>
        <w:rPr>
          <w:i/>
          <w:spacing w:val="-5"/>
          <w:sz w:val="22"/>
        </w:rPr>
        <w:t> </w:t>
      </w:r>
      <w:r>
        <w:rPr>
          <w:i/>
          <w:sz w:val="22"/>
        </w:rPr>
        <w:t>with</w:t>
      </w:r>
      <w:r>
        <w:rPr>
          <w:i/>
          <w:spacing w:val="-5"/>
          <w:sz w:val="22"/>
        </w:rPr>
        <w:t> </w:t>
      </w:r>
      <w:r>
        <w:rPr>
          <w:i/>
          <w:sz w:val="22"/>
        </w:rPr>
        <w:t>gas</w:t>
      </w:r>
      <w:r>
        <w:rPr>
          <w:i/>
          <w:spacing w:val="-2"/>
          <w:sz w:val="22"/>
        </w:rPr>
        <w:t> </w:t>
      </w:r>
      <w:r>
        <w:rPr>
          <w:i/>
          <w:sz w:val="22"/>
        </w:rPr>
        <w:t>network</w:t>
      </w:r>
      <w:r>
        <w:rPr>
          <w:i/>
          <w:spacing w:val="-4"/>
          <w:sz w:val="22"/>
        </w:rPr>
        <w:t> </w:t>
      </w:r>
      <w:r>
        <w:rPr>
          <w:i/>
          <w:sz w:val="22"/>
        </w:rPr>
        <w:t>assets are routinely reported to ESV. We understand that ESV’s resources in this area had been significantly increased. Due to the significant safety risk arising from third party</w:t>
      </w:r>
      <w:r>
        <w:rPr>
          <w:i/>
          <w:spacing w:val="-1"/>
          <w:sz w:val="22"/>
        </w:rPr>
        <w:t> </w:t>
      </w:r>
      <w:r>
        <w:rPr>
          <w:i/>
          <w:sz w:val="22"/>
        </w:rPr>
        <w:t>strikes</w:t>
      </w:r>
      <w:r>
        <w:rPr>
          <w:i/>
          <w:spacing w:val="-1"/>
          <w:sz w:val="22"/>
        </w:rPr>
        <w:t> </w:t>
      </w:r>
      <w:r>
        <w:rPr>
          <w:i/>
          <w:sz w:val="22"/>
        </w:rPr>
        <w:t>on assets, the</w:t>
      </w:r>
      <w:r>
        <w:rPr>
          <w:i/>
          <w:spacing w:val="-1"/>
          <w:sz w:val="22"/>
        </w:rPr>
        <w:t> </w:t>
      </w:r>
      <w:r>
        <w:rPr>
          <w:i/>
          <w:sz w:val="22"/>
        </w:rPr>
        <w:t>industry</w:t>
      </w:r>
      <w:r>
        <w:rPr>
          <w:i/>
          <w:spacing w:val="-1"/>
          <w:sz w:val="22"/>
        </w:rPr>
        <w:t> </w:t>
      </w:r>
      <w:r>
        <w:rPr>
          <w:i/>
          <w:sz w:val="22"/>
        </w:rPr>
        <w:t>supports strong action by</w:t>
      </w:r>
      <w:r>
        <w:rPr>
          <w:i/>
          <w:spacing w:val="-1"/>
          <w:sz w:val="22"/>
        </w:rPr>
        <w:t> </w:t>
      </w:r>
      <w:r>
        <w:rPr>
          <w:i/>
          <w:sz w:val="22"/>
        </w:rPr>
        <w:t>the</w:t>
      </w:r>
      <w:r>
        <w:rPr>
          <w:i/>
          <w:spacing w:val="-1"/>
          <w:sz w:val="22"/>
        </w:rPr>
        <w:t> </w:t>
      </w:r>
      <w:r>
        <w:rPr>
          <w:i/>
          <w:sz w:val="22"/>
        </w:rPr>
        <w:t>regulator in this area, and increasing the regulator’s powers under the framework if required in this area.” </w:t>
      </w:r>
      <w:r>
        <w:rPr>
          <w:sz w:val="22"/>
        </w:rPr>
        <w:t>(Australian Gas Networks, 2017, p. 4)</w:t>
      </w:r>
    </w:p>
    <w:p>
      <w:pPr>
        <w:pStyle w:val="BodyText"/>
        <w:spacing w:before="10"/>
        <w:rPr>
          <w:sz w:val="20"/>
        </w:rPr>
      </w:pPr>
    </w:p>
    <w:p>
      <w:pPr>
        <w:spacing w:line="288" w:lineRule="auto" w:before="1"/>
        <w:ind w:left="713" w:right="910" w:firstLine="0"/>
        <w:jc w:val="left"/>
        <w:rPr>
          <w:sz w:val="22"/>
        </w:rPr>
      </w:pPr>
      <w:r>
        <w:rPr>
          <w:sz w:val="22"/>
        </w:rPr>
        <w:t>The</w:t>
      </w:r>
      <w:r>
        <w:rPr>
          <w:spacing w:val="-5"/>
          <w:sz w:val="22"/>
        </w:rPr>
        <w:t> </w:t>
      </w:r>
      <w:r>
        <w:rPr>
          <w:sz w:val="22"/>
        </w:rPr>
        <w:t>problem</w:t>
      </w:r>
      <w:r>
        <w:rPr>
          <w:spacing w:val="-4"/>
          <w:sz w:val="22"/>
        </w:rPr>
        <w:t> </w:t>
      </w:r>
      <w:r>
        <w:rPr>
          <w:sz w:val="22"/>
        </w:rPr>
        <w:t>of</w:t>
      </w:r>
      <w:r>
        <w:rPr>
          <w:spacing w:val="-1"/>
          <w:sz w:val="22"/>
        </w:rPr>
        <w:t> </w:t>
      </w:r>
      <w:r>
        <w:rPr>
          <w:sz w:val="22"/>
        </w:rPr>
        <w:t>third</w:t>
      </w:r>
      <w:r>
        <w:rPr>
          <w:spacing w:val="-3"/>
          <w:sz w:val="22"/>
        </w:rPr>
        <w:t> </w:t>
      </w:r>
      <w:r>
        <w:rPr>
          <w:sz w:val="22"/>
        </w:rPr>
        <w:t>party</w:t>
      </w:r>
      <w:r>
        <w:rPr>
          <w:spacing w:val="-5"/>
          <w:sz w:val="22"/>
        </w:rPr>
        <w:t> </w:t>
      </w:r>
      <w:r>
        <w:rPr>
          <w:sz w:val="22"/>
        </w:rPr>
        <w:t>interference</w:t>
      </w:r>
      <w:r>
        <w:rPr>
          <w:spacing w:val="-3"/>
          <w:sz w:val="22"/>
        </w:rPr>
        <w:t> </w:t>
      </w:r>
      <w:r>
        <w:rPr>
          <w:sz w:val="22"/>
        </w:rPr>
        <w:t>with</w:t>
      </w:r>
      <w:r>
        <w:rPr>
          <w:spacing w:val="-5"/>
          <w:sz w:val="22"/>
        </w:rPr>
        <w:t> </w:t>
      </w:r>
      <w:r>
        <w:rPr>
          <w:sz w:val="22"/>
        </w:rPr>
        <w:t>gas</w:t>
      </w:r>
      <w:r>
        <w:rPr>
          <w:spacing w:val="-3"/>
          <w:sz w:val="22"/>
        </w:rPr>
        <w:t> </w:t>
      </w:r>
      <w:r>
        <w:rPr>
          <w:sz w:val="22"/>
        </w:rPr>
        <w:t>pipelines</w:t>
      </w:r>
      <w:r>
        <w:rPr>
          <w:spacing w:val="-2"/>
          <w:sz w:val="22"/>
        </w:rPr>
        <w:t> </w:t>
      </w:r>
      <w:r>
        <w:rPr>
          <w:sz w:val="22"/>
        </w:rPr>
        <w:t>is</w:t>
      </w:r>
      <w:r>
        <w:rPr>
          <w:spacing w:val="-2"/>
          <w:sz w:val="22"/>
        </w:rPr>
        <w:t> </w:t>
      </w:r>
      <w:r>
        <w:rPr>
          <w:sz w:val="22"/>
        </w:rPr>
        <w:t>discussed</w:t>
      </w:r>
      <w:r>
        <w:rPr>
          <w:spacing w:val="-5"/>
          <w:sz w:val="22"/>
        </w:rPr>
        <w:t> </w:t>
      </w:r>
      <w:r>
        <w:rPr>
          <w:sz w:val="22"/>
        </w:rPr>
        <w:t>further</w:t>
      </w:r>
      <w:r>
        <w:rPr>
          <w:spacing w:val="-2"/>
          <w:sz w:val="22"/>
        </w:rPr>
        <w:t> </w:t>
      </w:r>
      <w:r>
        <w:rPr>
          <w:sz w:val="22"/>
        </w:rPr>
        <w:t>in </w:t>
      </w:r>
      <w:r>
        <w:rPr>
          <w:i/>
          <w:sz w:val="22"/>
        </w:rPr>
        <w:t>Chapter 7: Regulating Underground Energy Assets</w:t>
      </w:r>
      <w:r>
        <w:rPr>
          <w:sz w:val="22"/>
        </w:rPr>
        <w:t>.</w:t>
      </w:r>
    </w:p>
    <w:p>
      <w:pPr>
        <w:spacing w:after="0" w:line="288" w:lineRule="auto"/>
        <w:jc w:val="left"/>
        <w:rPr>
          <w:sz w:val="22"/>
        </w:rPr>
        <w:sectPr>
          <w:pgSz w:w="11910" w:h="16840"/>
          <w:pgMar w:header="887" w:footer="1228" w:top="1080" w:bottom="1500" w:left="840" w:right="820"/>
        </w:sectPr>
      </w:pPr>
    </w:p>
    <w:p>
      <w:pPr>
        <w:pStyle w:val="BodyText"/>
        <w:rPr>
          <w:sz w:val="20"/>
        </w:rPr>
      </w:pPr>
    </w:p>
    <w:p>
      <w:pPr>
        <w:pStyle w:val="BodyText"/>
        <w:rPr>
          <w:sz w:val="20"/>
        </w:rPr>
      </w:pPr>
    </w:p>
    <w:p>
      <w:pPr>
        <w:pStyle w:val="BodyText"/>
        <w:rPr>
          <w:sz w:val="20"/>
        </w:rPr>
      </w:pPr>
    </w:p>
    <w:p>
      <w:pPr>
        <w:pStyle w:val="BodyText"/>
        <w:spacing w:before="3"/>
        <w:rPr>
          <w:sz w:val="23"/>
        </w:rPr>
      </w:pPr>
    </w:p>
    <w:p>
      <w:pPr>
        <w:pStyle w:val="Heading7"/>
        <w:ind w:left="713"/>
      </w:pPr>
      <w:r>
        <w:rPr/>
        <mc:AlternateContent>
          <mc:Choice Requires="wps">
            <w:drawing>
              <wp:anchor distT="0" distB="0" distL="0" distR="0" allowOverlap="1" layoutInCell="1" locked="0" behindDoc="1" simplePos="0" relativeHeight="482716160">
                <wp:simplePos x="0" y="0"/>
                <wp:positionH relativeFrom="page">
                  <wp:posOffset>914704</wp:posOffset>
                </wp:positionH>
                <wp:positionV relativeFrom="paragraph">
                  <wp:posOffset>-152680</wp:posOffset>
                </wp:positionV>
                <wp:extent cx="5732780" cy="6426200"/>
                <wp:effectExtent l="0" t="0" r="0" b="0"/>
                <wp:wrapNone/>
                <wp:docPr id="127" name="Graphic 127"/>
                <wp:cNvGraphicFramePr>
                  <a:graphicFrameLocks/>
                </wp:cNvGraphicFramePr>
                <a:graphic>
                  <a:graphicData uri="http://schemas.microsoft.com/office/word/2010/wordprocessingShape">
                    <wps:wsp>
                      <wps:cNvPr id="127" name="Graphic 127"/>
                      <wps:cNvSpPr/>
                      <wps:spPr>
                        <a:xfrm>
                          <a:off x="0" y="0"/>
                          <a:ext cx="5732780" cy="6426200"/>
                        </a:xfrm>
                        <a:custGeom>
                          <a:avLst/>
                          <a:gdLst/>
                          <a:ahLst/>
                          <a:cxnLst/>
                          <a:rect l="l" t="t" r="r" b="b"/>
                          <a:pathLst>
                            <a:path w="5732780" h="6426200">
                              <a:moveTo>
                                <a:pt x="5732653" y="0"/>
                              </a:moveTo>
                              <a:lnTo>
                                <a:pt x="0" y="0"/>
                              </a:lnTo>
                              <a:lnTo>
                                <a:pt x="0" y="6426073"/>
                              </a:lnTo>
                              <a:lnTo>
                                <a:pt x="5732653" y="6426073"/>
                              </a:lnTo>
                              <a:lnTo>
                                <a:pt x="5732653" y="0"/>
                              </a:lnTo>
                              <a:close/>
                            </a:path>
                          </a:pathLst>
                        </a:custGeom>
                        <a:solidFill>
                          <a:srgbClr val="CDEBEB"/>
                        </a:solidFill>
                      </wps:spPr>
                      <wps:bodyPr wrap="square" lIns="0" tIns="0" rIns="0" bIns="0" rtlCol="0">
                        <a:prstTxWarp prst="textNoShape">
                          <a:avLst/>
                        </a:prstTxWarp>
                        <a:noAutofit/>
                      </wps:bodyPr>
                    </wps:wsp>
                  </a:graphicData>
                </a:graphic>
              </wp:anchor>
            </w:drawing>
          </mc:Choice>
          <mc:Fallback>
            <w:pict>
              <v:rect style="position:absolute;margin-left:72.024002pt;margin-top:-12.022102pt;width:451.39pt;height:505.99pt;mso-position-horizontal-relative:page;mso-position-vertical-relative:paragraph;z-index:-20600320" id="docshape111" filled="true" fillcolor="#cdebeb" stroked="false">
                <v:fill type="solid"/>
                <w10:wrap type="none"/>
              </v:rect>
            </w:pict>
          </mc:Fallback>
        </mc:AlternateContent>
      </w:r>
      <w:r>
        <w:rPr/>
        <w:t>Box</w:t>
      </w:r>
      <w:r>
        <w:rPr>
          <w:spacing w:val="-5"/>
        </w:rPr>
        <w:t> </w:t>
      </w:r>
      <w:r>
        <w:rPr/>
        <w:t>13:</w:t>
      </w:r>
      <w:r>
        <w:rPr>
          <w:spacing w:val="-2"/>
        </w:rPr>
        <w:t> </w:t>
      </w:r>
      <w:r>
        <w:rPr/>
        <w:t>ESV’s</w:t>
      </w:r>
      <w:r>
        <w:rPr>
          <w:spacing w:val="-6"/>
        </w:rPr>
        <w:t> </w:t>
      </w:r>
      <w:r>
        <w:rPr/>
        <w:t>engagement</w:t>
      </w:r>
      <w:r>
        <w:rPr>
          <w:spacing w:val="-5"/>
        </w:rPr>
        <w:t> </w:t>
      </w:r>
      <w:r>
        <w:rPr/>
        <w:t>activities</w:t>
      </w:r>
      <w:r>
        <w:rPr>
          <w:spacing w:val="-6"/>
        </w:rPr>
        <w:t> </w:t>
      </w:r>
      <w:r>
        <w:rPr/>
        <w:t>to</w:t>
      </w:r>
      <w:r>
        <w:rPr>
          <w:spacing w:val="-6"/>
        </w:rPr>
        <w:t> </w:t>
      </w:r>
      <w:r>
        <w:rPr/>
        <w:t>support</w:t>
      </w:r>
      <w:r>
        <w:rPr>
          <w:spacing w:val="-3"/>
        </w:rPr>
        <w:t> </w:t>
      </w:r>
      <w:r>
        <w:rPr>
          <w:spacing w:val="-2"/>
        </w:rPr>
        <w:t>compliance</w:t>
      </w:r>
    </w:p>
    <w:p>
      <w:pPr>
        <w:pStyle w:val="BodyText"/>
        <w:spacing w:before="4"/>
        <w:rPr>
          <w:b/>
          <w:sz w:val="25"/>
        </w:rPr>
      </w:pPr>
    </w:p>
    <w:p>
      <w:pPr>
        <w:pStyle w:val="BodyText"/>
        <w:spacing w:line="288" w:lineRule="auto" w:before="1"/>
        <w:ind w:left="713" w:right="747"/>
      </w:pPr>
      <w:r>
        <w:rPr/>
        <w:t>Engagement</w:t>
      </w:r>
      <w:r>
        <w:rPr>
          <w:spacing w:val="-6"/>
        </w:rPr>
        <w:t> </w:t>
      </w:r>
      <w:r>
        <w:rPr/>
        <w:t>forms</w:t>
      </w:r>
      <w:r>
        <w:rPr>
          <w:spacing w:val="-5"/>
        </w:rPr>
        <w:t> </w:t>
      </w:r>
      <w:r>
        <w:rPr/>
        <w:t>an</w:t>
      </w:r>
      <w:r>
        <w:rPr>
          <w:spacing w:val="-5"/>
        </w:rPr>
        <w:t> </w:t>
      </w:r>
      <w:r>
        <w:rPr/>
        <w:t>important</w:t>
      </w:r>
      <w:r>
        <w:rPr>
          <w:spacing w:val="-4"/>
        </w:rPr>
        <w:t> </w:t>
      </w:r>
      <w:r>
        <w:rPr/>
        <w:t>part</w:t>
      </w:r>
      <w:r>
        <w:rPr>
          <w:spacing w:val="-1"/>
        </w:rPr>
        <w:t> </w:t>
      </w:r>
      <w:r>
        <w:rPr/>
        <w:t>of</w:t>
      </w:r>
      <w:r>
        <w:rPr>
          <w:spacing w:val="-1"/>
        </w:rPr>
        <w:t> </w:t>
      </w:r>
      <w:r>
        <w:rPr/>
        <w:t>ESV’s</w:t>
      </w:r>
      <w:r>
        <w:rPr>
          <w:spacing w:val="-2"/>
        </w:rPr>
        <w:t> </w:t>
      </w:r>
      <w:r>
        <w:rPr/>
        <w:t>legislated</w:t>
      </w:r>
      <w:r>
        <w:rPr>
          <w:spacing w:val="-5"/>
        </w:rPr>
        <w:t> </w:t>
      </w:r>
      <w:r>
        <w:rPr/>
        <w:t>mandate.</w:t>
      </w:r>
      <w:r>
        <w:rPr>
          <w:spacing w:val="-4"/>
        </w:rPr>
        <w:t> </w:t>
      </w:r>
      <w:r>
        <w:rPr/>
        <w:t>For</w:t>
      </w:r>
      <w:r>
        <w:rPr>
          <w:spacing w:val="-4"/>
        </w:rPr>
        <w:t> </w:t>
      </w:r>
      <w:r>
        <w:rPr/>
        <w:t>example,</w:t>
      </w:r>
      <w:r>
        <w:rPr>
          <w:spacing w:val="-2"/>
        </w:rPr>
        <w:t> </w:t>
      </w:r>
      <w:r>
        <w:rPr/>
        <w:t>under</w:t>
      </w:r>
      <w:r>
        <w:rPr>
          <w:spacing w:val="-4"/>
        </w:rPr>
        <w:t> </w:t>
      </w:r>
      <w:r>
        <w:rPr/>
        <w:t>the </w:t>
      </w:r>
      <w:r>
        <w:rPr>
          <w:i/>
        </w:rPr>
        <w:t>Gas Safety Act 1997 </w:t>
      </w:r>
      <w:r>
        <w:rPr/>
        <w:t>its functions include to issue guidelines, to provide advisory and consultative services in relation to gas safety, and to consult with and advise industry and the community in relation to gas safety.</w:t>
      </w:r>
      <w:r>
        <w:rPr>
          <w:vertAlign w:val="superscript"/>
        </w:rPr>
        <w:t>5</w:t>
      </w:r>
      <w:r>
        <w:rPr>
          <w:vertAlign w:val="baseline"/>
        </w:rPr>
        <w:t> ESV also states in its </w:t>
      </w:r>
      <w:r>
        <w:rPr>
          <w:i/>
          <w:vertAlign w:val="baseline"/>
        </w:rPr>
        <w:t>Annual Report 2016–17</w:t>
      </w:r>
      <w:r>
        <w:rPr>
          <w:i/>
          <w:spacing w:val="40"/>
          <w:vertAlign w:val="baseline"/>
        </w:rPr>
        <w:t> </w:t>
      </w:r>
      <w:r>
        <w:rPr>
          <w:vertAlign w:val="baseline"/>
        </w:rPr>
        <w:t>that one of its four core functions is education and engagement, and in its </w:t>
      </w:r>
      <w:r>
        <w:rPr>
          <w:i/>
          <w:vertAlign w:val="baseline"/>
        </w:rPr>
        <w:t>Charter of Consultation and Regulatory Practice </w:t>
      </w:r>
      <w:r>
        <w:rPr>
          <w:vertAlign w:val="baseline"/>
        </w:rPr>
        <w:t>ESV explains how it consults with stakeholders. Its education pathways include publications, safety plan assessment feedback, industry and committee meetings,</w:t>
      </w:r>
      <w:r>
        <w:rPr>
          <w:vertAlign w:val="superscript"/>
        </w:rPr>
        <w:t>6</w:t>
      </w:r>
      <w:r>
        <w:rPr>
          <w:vertAlign w:val="baseline"/>
        </w:rPr>
        <w:t> and inspection and audit activities.</w:t>
      </w:r>
    </w:p>
    <w:p>
      <w:pPr>
        <w:pStyle w:val="BodyText"/>
        <w:spacing w:before="10"/>
        <w:rPr>
          <w:sz w:val="20"/>
        </w:rPr>
      </w:pPr>
    </w:p>
    <w:p>
      <w:pPr>
        <w:pStyle w:val="BodyText"/>
        <w:spacing w:line="288" w:lineRule="auto"/>
        <w:ind w:left="713" w:right="311"/>
      </w:pPr>
      <w:r>
        <w:rPr/>
        <w:t>In its</w:t>
      </w:r>
      <w:r>
        <w:rPr>
          <w:spacing w:val="-1"/>
        </w:rPr>
        <w:t> </w:t>
      </w:r>
      <w:r>
        <w:rPr/>
        <w:t>2015</w:t>
      </w:r>
      <w:r>
        <w:rPr>
          <w:spacing w:val="-2"/>
        </w:rPr>
        <w:t> </w:t>
      </w:r>
      <w:r>
        <w:rPr/>
        <w:t>review</w:t>
      </w:r>
      <w:r>
        <w:rPr>
          <w:spacing w:val="-3"/>
        </w:rPr>
        <w:t> </w:t>
      </w:r>
      <w:r>
        <w:rPr/>
        <w:t>of ESV’s electrical</w:t>
      </w:r>
      <w:r>
        <w:rPr>
          <w:spacing w:val="-1"/>
        </w:rPr>
        <w:t> </w:t>
      </w:r>
      <w:r>
        <w:rPr/>
        <w:t>infrastructure compliance and enforcement, Advisian made</w:t>
      </w:r>
      <w:r>
        <w:rPr>
          <w:spacing w:val="-10"/>
        </w:rPr>
        <w:t> </w:t>
      </w:r>
      <w:r>
        <w:rPr/>
        <w:t>findings</w:t>
      </w:r>
      <w:r>
        <w:rPr>
          <w:spacing w:val="-8"/>
        </w:rPr>
        <w:t> </w:t>
      </w:r>
      <w:r>
        <w:rPr/>
        <w:t>around</w:t>
      </w:r>
      <w:r>
        <w:rPr>
          <w:spacing w:val="-8"/>
        </w:rPr>
        <w:t> </w:t>
      </w:r>
      <w:r>
        <w:rPr/>
        <w:t>ESV’s</w:t>
      </w:r>
      <w:r>
        <w:rPr>
          <w:spacing w:val="-5"/>
        </w:rPr>
        <w:t> </w:t>
      </w:r>
      <w:r>
        <w:rPr/>
        <w:t>approach</w:t>
      </w:r>
      <w:r>
        <w:rPr>
          <w:spacing w:val="-8"/>
        </w:rPr>
        <w:t> </w:t>
      </w:r>
      <w:r>
        <w:rPr/>
        <w:t>to</w:t>
      </w:r>
      <w:r>
        <w:rPr>
          <w:spacing w:val="-6"/>
        </w:rPr>
        <w:t> </w:t>
      </w:r>
      <w:r>
        <w:rPr/>
        <w:t>engagement</w:t>
      </w:r>
      <w:r>
        <w:rPr>
          <w:spacing w:val="-7"/>
        </w:rPr>
        <w:t> </w:t>
      </w:r>
      <w:r>
        <w:rPr/>
        <w:t>with</w:t>
      </w:r>
      <w:r>
        <w:rPr>
          <w:spacing w:val="-3"/>
        </w:rPr>
        <w:t> </w:t>
      </w:r>
      <w:r>
        <w:rPr/>
        <w:t>electricity</w:t>
      </w:r>
      <w:r>
        <w:rPr>
          <w:spacing w:val="-7"/>
        </w:rPr>
        <w:t> </w:t>
      </w:r>
      <w:r>
        <w:rPr/>
        <w:t>network</w:t>
      </w:r>
      <w:r>
        <w:rPr>
          <w:spacing w:val="-3"/>
        </w:rPr>
        <w:t> </w:t>
      </w:r>
      <w:r>
        <w:rPr>
          <w:spacing w:val="-2"/>
        </w:rPr>
        <w:t>businesses:</w:t>
      </w:r>
    </w:p>
    <w:p>
      <w:pPr>
        <w:pStyle w:val="BodyText"/>
        <w:spacing w:before="10"/>
        <w:rPr>
          <w:sz w:val="20"/>
        </w:rPr>
      </w:pPr>
    </w:p>
    <w:p>
      <w:pPr>
        <w:spacing w:line="288" w:lineRule="auto" w:before="1"/>
        <w:ind w:left="1166" w:right="1369" w:firstLine="0"/>
        <w:jc w:val="left"/>
        <w:rPr>
          <w:sz w:val="22"/>
        </w:rPr>
      </w:pPr>
      <w:r>
        <w:rPr>
          <w:i/>
          <w:sz w:val="22"/>
        </w:rPr>
        <w:t>“… EISD’s approach to encouragement levers includes engagement with industry on an unstructured basis, and education and provision of advice is generally on a one on one basis with each MEC. It was identified that whilst there is significant work at an organisational and strategic level there was an opportunity</w:t>
      </w:r>
      <w:r>
        <w:rPr>
          <w:i/>
          <w:spacing w:val="-5"/>
          <w:sz w:val="22"/>
        </w:rPr>
        <w:t> </w:t>
      </w:r>
      <w:r>
        <w:rPr>
          <w:i/>
          <w:sz w:val="22"/>
        </w:rPr>
        <w:t>to</w:t>
      </w:r>
      <w:r>
        <w:rPr>
          <w:i/>
          <w:spacing w:val="-5"/>
          <w:sz w:val="22"/>
        </w:rPr>
        <w:t> </w:t>
      </w:r>
      <w:r>
        <w:rPr>
          <w:i/>
          <w:sz w:val="22"/>
        </w:rPr>
        <w:t>undertake</w:t>
      </w:r>
      <w:r>
        <w:rPr>
          <w:i/>
          <w:spacing w:val="-8"/>
          <w:sz w:val="22"/>
        </w:rPr>
        <w:t> </w:t>
      </w:r>
      <w:r>
        <w:rPr>
          <w:i/>
          <w:sz w:val="22"/>
        </w:rPr>
        <w:t>more</w:t>
      </w:r>
      <w:r>
        <w:rPr>
          <w:i/>
          <w:spacing w:val="-5"/>
          <w:sz w:val="22"/>
        </w:rPr>
        <w:t> </w:t>
      </w:r>
      <w:r>
        <w:rPr>
          <w:i/>
          <w:sz w:val="22"/>
        </w:rPr>
        <w:t>at</w:t>
      </w:r>
      <w:r>
        <w:rPr>
          <w:i/>
          <w:spacing w:val="-4"/>
          <w:sz w:val="22"/>
        </w:rPr>
        <w:t> </w:t>
      </w:r>
      <w:r>
        <w:rPr>
          <w:i/>
          <w:sz w:val="22"/>
        </w:rPr>
        <w:t>EISD’s</w:t>
      </w:r>
      <w:r>
        <w:rPr>
          <w:i/>
          <w:spacing w:val="-2"/>
          <w:sz w:val="22"/>
        </w:rPr>
        <w:t> </w:t>
      </w:r>
      <w:r>
        <w:rPr>
          <w:i/>
          <w:sz w:val="22"/>
        </w:rPr>
        <w:t>direct</w:t>
      </w:r>
      <w:r>
        <w:rPr>
          <w:i/>
          <w:spacing w:val="-2"/>
          <w:sz w:val="22"/>
        </w:rPr>
        <w:t> </w:t>
      </w:r>
      <w:r>
        <w:rPr>
          <w:i/>
          <w:sz w:val="22"/>
        </w:rPr>
        <w:t>level,</w:t>
      </w:r>
      <w:r>
        <w:rPr>
          <w:i/>
          <w:spacing w:val="-1"/>
          <w:sz w:val="22"/>
        </w:rPr>
        <w:t> </w:t>
      </w:r>
      <w:r>
        <w:rPr>
          <w:i/>
          <w:sz w:val="22"/>
        </w:rPr>
        <w:t>including</w:t>
      </w:r>
      <w:r>
        <w:rPr>
          <w:i/>
          <w:spacing w:val="-3"/>
          <w:sz w:val="22"/>
        </w:rPr>
        <w:t> </w:t>
      </w:r>
      <w:r>
        <w:rPr>
          <w:i/>
          <w:sz w:val="22"/>
        </w:rPr>
        <w:t>the</w:t>
      </w:r>
      <w:r>
        <w:rPr>
          <w:i/>
          <w:spacing w:val="-3"/>
          <w:sz w:val="22"/>
        </w:rPr>
        <w:t> </w:t>
      </w:r>
      <w:r>
        <w:rPr>
          <w:i/>
          <w:sz w:val="22"/>
        </w:rPr>
        <w:t>development of</w:t>
      </w:r>
      <w:r>
        <w:rPr>
          <w:i/>
          <w:spacing w:val="-7"/>
          <w:sz w:val="22"/>
        </w:rPr>
        <w:t> </w:t>
      </w:r>
      <w:r>
        <w:rPr>
          <w:i/>
          <w:sz w:val="22"/>
        </w:rPr>
        <w:t>a</w:t>
      </w:r>
      <w:r>
        <w:rPr>
          <w:i/>
          <w:spacing w:val="-7"/>
          <w:sz w:val="22"/>
        </w:rPr>
        <w:t> </w:t>
      </w:r>
      <w:r>
        <w:rPr>
          <w:i/>
          <w:sz w:val="22"/>
        </w:rPr>
        <w:t>strategic</w:t>
      </w:r>
      <w:r>
        <w:rPr>
          <w:i/>
          <w:spacing w:val="-7"/>
          <w:sz w:val="22"/>
        </w:rPr>
        <w:t> </w:t>
      </w:r>
      <w:r>
        <w:rPr>
          <w:i/>
          <w:sz w:val="22"/>
        </w:rPr>
        <w:t>encouragement</w:t>
      </w:r>
      <w:r>
        <w:rPr>
          <w:i/>
          <w:spacing w:val="-6"/>
          <w:sz w:val="22"/>
        </w:rPr>
        <w:t> </w:t>
      </w:r>
      <w:r>
        <w:rPr>
          <w:i/>
          <w:sz w:val="22"/>
        </w:rPr>
        <w:t>and</w:t>
      </w:r>
      <w:r>
        <w:rPr>
          <w:i/>
          <w:spacing w:val="-5"/>
          <w:sz w:val="22"/>
        </w:rPr>
        <w:t> </w:t>
      </w:r>
      <w:r>
        <w:rPr>
          <w:i/>
          <w:sz w:val="22"/>
        </w:rPr>
        <w:t>engagement</w:t>
      </w:r>
      <w:r>
        <w:rPr>
          <w:i/>
          <w:spacing w:val="-3"/>
          <w:sz w:val="22"/>
        </w:rPr>
        <w:t> </w:t>
      </w:r>
      <w:r>
        <w:rPr>
          <w:i/>
          <w:sz w:val="22"/>
        </w:rPr>
        <w:t>strategy.”</w:t>
      </w:r>
      <w:r>
        <w:rPr>
          <w:i/>
          <w:spacing w:val="-11"/>
          <w:sz w:val="22"/>
        </w:rPr>
        <w:t> </w:t>
      </w:r>
      <w:r>
        <w:rPr>
          <w:sz w:val="22"/>
        </w:rPr>
        <w:t>(Advisian,</w:t>
      </w:r>
      <w:r>
        <w:rPr>
          <w:spacing w:val="-3"/>
          <w:sz w:val="22"/>
        </w:rPr>
        <w:t> </w:t>
      </w:r>
      <w:r>
        <w:rPr>
          <w:sz w:val="22"/>
        </w:rPr>
        <w:t>2015,</w:t>
      </w:r>
      <w:r>
        <w:rPr>
          <w:spacing w:val="-6"/>
          <w:sz w:val="22"/>
        </w:rPr>
        <w:t> </w:t>
      </w:r>
      <w:r>
        <w:rPr>
          <w:sz w:val="22"/>
        </w:rPr>
        <w:t>p.</w:t>
      </w:r>
      <w:r>
        <w:rPr>
          <w:spacing w:val="-4"/>
          <w:sz w:val="22"/>
        </w:rPr>
        <w:t> </w:t>
      </w:r>
      <w:r>
        <w:rPr>
          <w:spacing w:val="-5"/>
          <w:sz w:val="22"/>
        </w:rPr>
        <w:t>3)</w:t>
      </w:r>
    </w:p>
    <w:p>
      <w:pPr>
        <w:pStyle w:val="BodyText"/>
        <w:spacing w:before="10"/>
        <w:rPr>
          <w:sz w:val="20"/>
        </w:rPr>
      </w:pPr>
    </w:p>
    <w:p>
      <w:pPr>
        <w:spacing w:line="288" w:lineRule="auto" w:before="0"/>
        <w:ind w:left="713" w:right="757" w:firstLine="0"/>
        <w:jc w:val="left"/>
        <w:rPr>
          <w:sz w:val="22"/>
        </w:rPr>
      </w:pPr>
      <w:r>
        <w:rPr>
          <w:sz w:val="22"/>
        </w:rPr>
        <w:t>In addition to further developing its guidance (discussed further in </w:t>
      </w:r>
      <w:r>
        <w:rPr>
          <w:i/>
          <w:sz w:val="22"/>
        </w:rPr>
        <w:t>Chapter 9: Strengthening</w:t>
      </w:r>
      <w:r>
        <w:rPr>
          <w:i/>
          <w:spacing w:val="-5"/>
          <w:sz w:val="22"/>
        </w:rPr>
        <w:t> </w:t>
      </w:r>
      <w:r>
        <w:rPr>
          <w:i/>
          <w:sz w:val="22"/>
        </w:rPr>
        <w:t>Foundations</w:t>
      </w:r>
      <w:r>
        <w:rPr>
          <w:i/>
          <w:spacing w:val="-3"/>
          <w:sz w:val="22"/>
        </w:rPr>
        <w:t> </w:t>
      </w:r>
      <w:r>
        <w:rPr>
          <w:i/>
          <w:sz w:val="22"/>
        </w:rPr>
        <w:t>for</w:t>
      </w:r>
      <w:r>
        <w:rPr>
          <w:i/>
          <w:spacing w:val="-2"/>
          <w:sz w:val="22"/>
        </w:rPr>
        <w:t> </w:t>
      </w:r>
      <w:r>
        <w:rPr>
          <w:i/>
          <w:sz w:val="22"/>
        </w:rPr>
        <w:t>Future</w:t>
      </w:r>
      <w:r>
        <w:rPr>
          <w:i/>
          <w:spacing w:val="-5"/>
          <w:sz w:val="22"/>
        </w:rPr>
        <w:t> </w:t>
      </w:r>
      <w:r>
        <w:rPr>
          <w:i/>
          <w:sz w:val="22"/>
        </w:rPr>
        <w:t>Network</w:t>
      </w:r>
      <w:r>
        <w:rPr>
          <w:i/>
          <w:spacing w:val="-2"/>
          <w:sz w:val="22"/>
        </w:rPr>
        <w:t> </w:t>
      </w:r>
      <w:r>
        <w:rPr>
          <w:i/>
          <w:sz w:val="22"/>
        </w:rPr>
        <w:t>Safety</w:t>
      </w:r>
      <w:r>
        <w:rPr>
          <w:i/>
          <w:spacing w:val="-4"/>
          <w:sz w:val="22"/>
        </w:rPr>
        <w:t> </w:t>
      </w:r>
      <w:r>
        <w:rPr>
          <w:i/>
          <w:sz w:val="22"/>
        </w:rPr>
        <w:t>Regulation</w:t>
      </w:r>
      <w:r>
        <w:rPr>
          <w:sz w:val="22"/>
        </w:rPr>
        <w:t>),</w:t>
      </w:r>
      <w:r>
        <w:rPr>
          <w:spacing w:val="-4"/>
          <w:sz w:val="22"/>
        </w:rPr>
        <w:t> </w:t>
      </w:r>
      <w:r>
        <w:rPr>
          <w:sz w:val="22"/>
        </w:rPr>
        <w:t>ESV</w:t>
      </w:r>
      <w:r>
        <w:rPr>
          <w:spacing w:val="-3"/>
          <w:sz w:val="22"/>
        </w:rPr>
        <w:t> </w:t>
      </w:r>
      <w:r>
        <w:rPr>
          <w:sz w:val="22"/>
        </w:rPr>
        <w:t>could</w:t>
      </w:r>
      <w:r>
        <w:rPr>
          <w:spacing w:val="-3"/>
          <w:sz w:val="22"/>
        </w:rPr>
        <w:t> </w:t>
      </w:r>
      <w:r>
        <w:rPr>
          <w:sz w:val="22"/>
        </w:rPr>
        <w:t>benefit</w:t>
      </w:r>
      <w:r>
        <w:rPr>
          <w:spacing w:val="-4"/>
          <w:sz w:val="22"/>
        </w:rPr>
        <w:t> </w:t>
      </w:r>
      <w:r>
        <w:rPr>
          <w:sz w:val="22"/>
        </w:rPr>
        <w:t>from a more structured approach to encouragement and engagement for network businesses.</w:t>
      </w:r>
    </w:p>
    <w:p>
      <w:pPr>
        <w:pStyle w:val="BodyText"/>
        <w:spacing w:before="9"/>
        <w:rPr>
          <w:sz w:val="20"/>
        </w:rPr>
      </w:pPr>
    </w:p>
    <w:p>
      <w:pPr>
        <w:pStyle w:val="BodyText"/>
        <w:spacing w:line="288" w:lineRule="auto"/>
        <w:ind w:left="713" w:right="910"/>
      </w:pPr>
      <w:r>
        <w:rPr/>
        <w:t>In</w:t>
      </w:r>
      <w:r>
        <w:rPr>
          <w:spacing w:val="-5"/>
        </w:rPr>
        <w:t> </w:t>
      </w:r>
      <w:r>
        <w:rPr/>
        <w:t>their</w:t>
      </w:r>
      <w:r>
        <w:rPr>
          <w:spacing w:val="-2"/>
        </w:rPr>
        <w:t> </w:t>
      </w:r>
      <w:r>
        <w:rPr/>
        <w:t>submission</w:t>
      </w:r>
      <w:r>
        <w:rPr>
          <w:spacing w:val="-5"/>
        </w:rPr>
        <w:t> </w:t>
      </w:r>
      <w:r>
        <w:rPr/>
        <w:t>to</w:t>
      </w:r>
      <w:r>
        <w:rPr>
          <w:spacing w:val="-5"/>
        </w:rPr>
        <w:t> </w:t>
      </w:r>
      <w:r>
        <w:rPr/>
        <w:t>the</w:t>
      </w:r>
      <w:r>
        <w:rPr>
          <w:spacing w:val="-5"/>
        </w:rPr>
        <w:t> </w:t>
      </w:r>
      <w:r>
        <w:rPr/>
        <w:t>Interim</w:t>
      </w:r>
      <w:r>
        <w:rPr>
          <w:spacing w:val="-4"/>
        </w:rPr>
        <w:t> </w:t>
      </w:r>
      <w:r>
        <w:rPr/>
        <w:t>Report,</w:t>
      </w:r>
      <w:r>
        <w:rPr>
          <w:spacing w:val="-4"/>
        </w:rPr>
        <w:t> </w:t>
      </w:r>
      <w:r>
        <w:rPr/>
        <w:t>CitiPower</w:t>
      </w:r>
      <w:r>
        <w:rPr>
          <w:spacing w:val="-2"/>
        </w:rPr>
        <w:t> </w:t>
      </w:r>
      <w:r>
        <w:rPr/>
        <w:t>and</w:t>
      </w:r>
      <w:r>
        <w:rPr>
          <w:spacing w:val="-5"/>
        </w:rPr>
        <w:t> </w:t>
      </w:r>
      <w:r>
        <w:rPr/>
        <w:t>Powercor</w:t>
      </w:r>
      <w:r>
        <w:rPr>
          <w:spacing w:val="-1"/>
        </w:rPr>
        <w:t> </w:t>
      </w:r>
      <w:r>
        <w:rPr/>
        <w:t>Australia</w:t>
      </w:r>
      <w:r>
        <w:rPr>
          <w:spacing w:val="-3"/>
        </w:rPr>
        <w:t> </w:t>
      </w:r>
      <w:r>
        <w:rPr/>
        <w:t>and</w:t>
      </w:r>
      <w:r>
        <w:rPr>
          <w:spacing w:val="-3"/>
        </w:rPr>
        <w:t> </w:t>
      </w:r>
      <w:r>
        <w:rPr/>
        <w:t>United Energy noted the value of a structured engagement framework:</w:t>
      </w:r>
    </w:p>
    <w:p>
      <w:pPr>
        <w:pStyle w:val="BodyText"/>
        <w:spacing w:before="10"/>
        <w:rPr>
          <w:sz w:val="20"/>
        </w:rPr>
      </w:pPr>
    </w:p>
    <w:p>
      <w:pPr>
        <w:spacing w:line="288" w:lineRule="auto" w:before="0"/>
        <w:ind w:left="1166" w:right="910" w:firstLine="0"/>
        <w:jc w:val="left"/>
        <w:rPr>
          <w:sz w:val="22"/>
        </w:rPr>
      </w:pPr>
      <w:r>
        <w:rPr>
          <w:i/>
          <w:sz w:val="22"/>
        </w:rPr>
        <w:t>“Transparent and meaningful engagement with stakeholders is a key component of regulatory</w:t>
      </w:r>
      <w:r>
        <w:rPr>
          <w:i/>
          <w:spacing w:val="-5"/>
          <w:sz w:val="22"/>
        </w:rPr>
        <w:t> </w:t>
      </w:r>
      <w:r>
        <w:rPr>
          <w:i/>
          <w:sz w:val="22"/>
        </w:rPr>
        <w:t>success.</w:t>
      </w:r>
      <w:r>
        <w:rPr>
          <w:i/>
          <w:spacing w:val="-6"/>
          <w:sz w:val="22"/>
        </w:rPr>
        <w:t> </w:t>
      </w:r>
      <w:r>
        <w:rPr>
          <w:i/>
          <w:sz w:val="22"/>
        </w:rPr>
        <w:t>We</w:t>
      </w:r>
      <w:r>
        <w:rPr>
          <w:i/>
          <w:spacing w:val="-7"/>
          <w:sz w:val="22"/>
        </w:rPr>
        <w:t> </w:t>
      </w:r>
      <w:r>
        <w:rPr>
          <w:i/>
          <w:sz w:val="22"/>
        </w:rPr>
        <w:t>believe</w:t>
      </w:r>
      <w:r>
        <w:rPr>
          <w:i/>
          <w:spacing w:val="-3"/>
          <w:sz w:val="22"/>
        </w:rPr>
        <w:t> </w:t>
      </w:r>
      <w:r>
        <w:rPr>
          <w:i/>
          <w:sz w:val="22"/>
        </w:rPr>
        <w:t>ESV</w:t>
      </w:r>
      <w:r>
        <w:rPr>
          <w:i/>
          <w:spacing w:val="-3"/>
          <w:sz w:val="22"/>
        </w:rPr>
        <w:t> </w:t>
      </w:r>
      <w:r>
        <w:rPr>
          <w:i/>
          <w:sz w:val="22"/>
        </w:rPr>
        <w:t>should</w:t>
      </w:r>
      <w:r>
        <w:rPr>
          <w:i/>
          <w:spacing w:val="-3"/>
          <w:sz w:val="22"/>
        </w:rPr>
        <w:t> </w:t>
      </w:r>
      <w:r>
        <w:rPr>
          <w:i/>
          <w:sz w:val="22"/>
        </w:rPr>
        <w:t>develop</w:t>
      </w:r>
      <w:r>
        <w:rPr>
          <w:i/>
          <w:spacing w:val="-3"/>
          <w:sz w:val="22"/>
        </w:rPr>
        <w:t> </w:t>
      </w:r>
      <w:r>
        <w:rPr>
          <w:i/>
          <w:sz w:val="22"/>
        </w:rPr>
        <w:t>a</w:t>
      </w:r>
      <w:r>
        <w:rPr>
          <w:i/>
          <w:spacing w:val="-3"/>
          <w:sz w:val="22"/>
        </w:rPr>
        <w:t> </w:t>
      </w:r>
      <w:r>
        <w:rPr>
          <w:i/>
          <w:sz w:val="22"/>
        </w:rPr>
        <w:t>principles-based</w:t>
      </w:r>
      <w:r>
        <w:rPr>
          <w:i/>
          <w:spacing w:val="-5"/>
          <w:sz w:val="22"/>
        </w:rPr>
        <w:t> </w:t>
      </w:r>
      <w:r>
        <w:rPr>
          <w:i/>
          <w:sz w:val="22"/>
        </w:rPr>
        <w:t>stakeholder engagement framework, with similar principles to the AER’s [Australian Energy Regulator’s] recently developed framework.” </w:t>
      </w:r>
      <w:r>
        <w:rPr>
          <w:sz w:val="22"/>
        </w:rPr>
        <w:t>(CitiPower &amp; Powercor Australia &amp; United Energy, 2017, p. 6)</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2"/>
        </w:rPr>
      </w:pPr>
      <w:r>
        <w:rPr/>
        <mc:AlternateContent>
          <mc:Choice Requires="wps">
            <w:drawing>
              <wp:anchor distT="0" distB="0" distL="0" distR="0" allowOverlap="1" layoutInCell="1" locked="0" behindDoc="1" simplePos="0" relativeHeight="487624704">
                <wp:simplePos x="0" y="0"/>
                <wp:positionH relativeFrom="page">
                  <wp:posOffset>896416</wp:posOffset>
                </wp:positionH>
                <wp:positionV relativeFrom="paragraph">
                  <wp:posOffset>104249</wp:posOffset>
                </wp:positionV>
                <wp:extent cx="5769610" cy="1270"/>
                <wp:effectExtent l="0" t="0" r="0" b="0"/>
                <wp:wrapTopAndBottom/>
                <wp:docPr id="128" name="Graphic 128"/>
                <wp:cNvGraphicFramePr>
                  <a:graphicFrameLocks/>
                </wp:cNvGraphicFramePr>
                <a:graphic>
                  <a:graphicData uri="http://schemas.microsoft.com/office/word/2010/wordprocessingShape">
                    <wps:wsp>
                      <wps:cNvPr id="128" name="Graphic 128"/>
                      <wps:cNvSpPr/>
                      <wps:spPr>
                        <a:xfrm>
                          <a:off x="0" y="0"/>
                          <a:ext cx="5769610" cy="1270"/>
                        </a:xfrm>
                        <a:custGeom>
                          <a:avLst/>
                          <a:gdLst/>
                          <a:ahLst/>
                          <a:cxnLst/>
                          <a:rect l="l" t="t" r="r" b="b"/>
                          <a:pathLst>
                            <a:path w="5769610" h="0">
                              <a:moveTo>
                                <a:pt x="0" y="0"/>
                              </a:moveTo>
                              <a:lnTo>
                                <a:pt x="5769305" y="0"/>
                              </a:lnTo>
                            </a:path>
                          </a:pathLst>
                        </a:custGeom>
                        <a:ln w="12192">
                          <a:solidFill>
                            <a:srgbClr val="000000"/>
                          </a:solidFill>
                          <a:prstDash val="sysDot"/>
                        </a:ln>
                      </wps:spPr>
                      <wps:bodyPr wrap="square" lIns="0" tIns="0" rIns="0" bIns="0" rtlCol="0">
                        <a:prstTxWarp prst="textNoShape">
                          <a:avLst/>
                        </a:prstTxWarp>
                        <a:noAutofit/>
                      </wps:bodyPr>
                    </wps:wsp>
                  </a:graphicData>
                </a:graphic>
              </wp:anchor>
            </w:drawing>
          </mc:Choice>
          <mc:Fallback>
            <w:pict>
              <v:shape style="position:absolute;margin-left:70.584pt;margin-top:8.208652pt;width:454.3pt;height:.1pt;mso-position-horizontal-relative:page;mso-position-vertical-relative:paragraph;z-index:-15691776;mso-wrap-distance-left:0;mso-wrap-distance-right:0" id="docshape112" coordorigin="1412,164" coordsize="9086,0" path="m1412,164l10497,164e" filled="false" stroked="true" strokeweight=".96pt" strokecolor="#000000">
                <v:path arrowok="t"/>
                <v:stroke dashstyle="shortdot"/>
                <w10:wrap type="topAndBottom"/>
              </v:shape>
            </w:pict>
          </mc:Fallback>
        </mc:AlternateContent>
      </w:r>
    </w:p>
    <w:p>
      <w:pPr>
        <w:pStyle w:val="BodyText"/>
        <w:spacing w:before="1"/>
        <w:rPr>
          <w:sz w:val="23"/>
        </w:rPr>
      </w:pPr>
    </w:p>
    <w:p>
      <w:pPr>
        <w:spacing w:before="96"/>
        <w:ind w:left="883" w:right="813" w:hanging="284"/>
        <w:jc w:val="left"/>
        <w:rPr>
          <w:sz w:val="16"/>
        </w:rPr>
      </w:pPr>
      <w:r>
        <w:rPr>
          <w:position w:val="5"/>
          <w:sz w:val="9"/>
        </w:rPr>
        <w:t>5</w:t>
      </w:r>
      <w:r>
        <w:rPr>
          <w:spacing w:val="17"/>
          <w:position w:val="5"/>
          <w:sz w:val="9"/>
        </w:rPr>
        <w:t> </w:t>
      </w:r>
      <w:r>
        <w:rPr>
          <w:sz w:val="16"/>
        </w:rPr>
        <w:t>Similarly, under section 7 of the </w:t>
      </w:r>
      <w:r>
        <w:rPr>
          <w:i/>
          <w:sz w:val="16"/>
        </w:rPr>
        <w:t>Electricity Safety</w:t>
      </w:r>
      <w:r>
        <w:rPr>
          <w:i/>
          <w:spacing w:val="-2"/>
          <w:sz w:val="16"/>
        </w:rPr>
        <w:t> </w:t>
      </w:r>
      <w:r>
        <w:rPr>
          <w:i/>
          <w:sz w:val="16"/>
        </w:rPr>
        <w:t>Act 1998</w:t>
      </w:r>
      <w:r>
        <w:rPr>
          <w:sz w:val="16"/>
        </w:rPr>
        <w:t>, functions include to advise the electricity industry and the community</w:t>
      </w:r>
      <w:r>
        <w:rPr>
          <w:spacing w:val="-3"/>
          <w:sz w:val="16"/>
        </w:rPr>
        <w:t> </w:t>
      </w:r>
      <w:r>
        <w:rPr>
          <w:sz w:val="16"/>
        </w:rPr>
        <w:t>in</w:t>
      </w:r>
      <w:r>
        <w:rPr>
          <w:spacing w:val="-4"/>
          <w:sz w:val="16"/>
        </w:rPr>
        <w:t> </w:t>
      </w:r>
      <w:r>
        <w:rPr>
          <w:sz w:val="16"/>
        </w:rPr>
        <w:t>relation</w:t>
      </w:r>
      <w:r>
        <w:rPr>
          <w:spacing w:val="-5"/>
          <w:sz w:val="16"/>
        </w:rPr>
        <w:t> </w:t>
      </w:r>
      <w:r>
        <w:rPr>
          <w:sz w:val="16"/>
        </w:rPr>
        <w:t>to</w:t>
      </w:r>
      <w:r>
        <w:rPr>
          <w:spacing w:val="-2"/>
          <w:sz w:val="16"/>
        </w:rPr>
        <w:t> </w:t>
      </w:r>
      <w:r>
        <w:rPr>
          <w:sz w:val="16"/>
        </w:rPr>
        <w:t>electricity</w:t>
      </w:r>
      <w:r>
        <w:rPr>
          <w:spacing w:val="-5"/>
          <w:sz w:val="16"/>
        </w:rPr>
        <w:t> </w:t>
      </w:r>
      <w:r>
        <w:rPr>
          <w:sz w:val="16"/>
        </w:rPr>
        <w:t>safety,</w:t>
      </w:r>
      <w:r>
        <w:rPr>
          <w:spacing w:val="-1"/>
          <w:sz w:val="16"/>
        </w:rPr>
        <w:t> </w:t>
      </w:r>
      <w:r>
        <w:rPr>
          <w:sz w:val="16"/>
        </w:rPr>
        <w:t>and</w:t>
      </w:r>
      <w:r>
        <w:rPr>
          <w:spacing w:val="-4"/>
          <w:sz w:val="16"/>
        </w:rPr>
        <w:t> </w:t>
      </w:r>
      <w:r>
        <w:rPr>
          <w:sz w:val="16"/>
        </w:rPr>
        <w:t>to</w:t>
      </w:r>
      <w:r>
        <w:rPr>
          <w:spacing w:val="-2"/>
          <w:sz w:val="16"/>
        </w:rPr>
        <w:t> </w:t>
      </w:r>
      <w:r>
        <w:rPr>
          <w:sz w:val="16"/>
        </w:rPr>
        <w:t>provide</w:t>
      </w:r>
      <w:r>
        <w:rPr>
          <w:spacing w:val="-2"/>
          <w:sz w:val="16"/>
        </w:rPr>
        <w:t> </w:t>
      </w:r>
      <w:r>
        <w:rPr>
          <w:sz w:val="16"/>
        </w:rPr>
        <w:t>advisory</w:t>
      </w:r>
      <w:r>
        <w:rPr>
          <w:spacing w:val="-3"/>
          <w:sz w:val="16"/>
        </w:rPr>
        <w:t> </w:t>
      </w:r>
      <w:r>
        <w:rPr>
          <w:sz w:val="16"/>
        </w:rPr>
        <w:t>and</w:t>
      </w:r>
      <w:r>
        <w:rPr>
          <w:spacing w:val="-2"/>
          <w:sz w:val="16"/>
        </w:rPr>
        <w:t> </w:t>
      </w:r>
      <w:r>
        <w:rPr>
          <w:sz w:val="16"/>
        </w:rPr>
        <w:t>consultative</w:t>
      </w:r>
      <w:r>
        <w:rPr>
          <w:spacing w:val="-2"/>
          <w:sz w:val="16"/>
        </w:rPr>
        <w:t> </w:t>
      </w:r>
      <w:r>
        <w:rPr>
          <w:sz w:val="16"/>
        </w:rPr>
        <w:t>services</w:t>
      </w:r>
      <w:r>
        <w:rPr>
          <w:spacing w:val="-3"/>
          <w:sz w:val="16"/>
        </w:rPr>
        <w:t> </w:t>
      </w:r>
      <w:r>
        <w:rPr>
          <w:sz w:val="16"/>
        </w:rPr>
        <w:t>in</w:t>
      </w:r>
      <w:r>
        <w:rPr>
          <w:spacing w:val="-2"/>
          <w:sz w:val="16"/>
        </w:rPr>
        <w:t> </w:t>
      </w:r>
      <w:r>
        <w:rPr>
          <w:sz w:val="16"/>
        </w:rPr>
        <w:t>relation</w:t>
      </w:r>
      <w:r>
        <w:rPr>
          <w:spacing w:val="-4"/>
          <w:sz w:val="16"/>
        </w:rPr>
        <w:t> </w:t>
      </w:r>
      <w:r>
        <w:rPr>
          <w:sz w:val="16"/>
        </w:rPr>
        <w:t>to</w:t>
      </w:r>
      <w:r>
        <w:rPr>
          <w:spacing w:val="-2"/>
          <w:sz w:val="16"/>
        </w:rPr>
        <w:t> </w:t>
      </w:r>
      <w:r>
        <w:rPr>
          <w:sz w:val="16"/>
        </w:rPr>
        <w:t>electricity</w:t>
      </w:r>
      <w:r>
        <w:rPr>
          <w:spacing w:val="-5"/>
          <w:sz w:val="16"/>
        </w:rPr>
        <w:t> </w:t>
      </w:r>
      <w:r>
        <w:rPr>
          <w:sz w:val="16"/>
        </w:rPr>
        <w:t>safety and electrical equipment, electrical installations and electrical work.</w:t>
      </w:r>
    </w:p>
    <w:p>
      <w:pPr>
        <w:spacing w:before="0"/>
        <w:ind w:left="883" w:right="910" w:hanging="284"/>
        <w:jc w:val="left"/>
        <w:rPr>
          <w:sz w:val="16"/>
        </w:rPr>
      </w:pPr>
      <w:r>
        <w:rPr>
          <w:sz w:val="16"/>
          <w:vertAlign w:val="superscript"/>
        </w:rPr>
        <w:t>6</w:t>
      </w:r>
      <w:r>
        <w:rPr>
          <w:spacing w:val="-3"/>
          <w:sz w:val="16"/>
          <w:vertAlign w:val="baseline"/>
        </w:rPr>
        <w:t> </w:t>
      </w:r>
      <w:r>
        <w:rPr>
          <w:sz w:val="16"/>
          <w:vertAlign w:val="baseline"/>
        </w:rPr>
        <w:t>For</w:t>
      </w:r>
      <w:r>
        <w:rPr>
          <w:spacing w:val="-4"/>
          <w:sz w:val="16"/>
          <w:vertAlign w:val="baseline"/>
        </w:rPr>
        <w:t> </w:t>
      </w:r>
      <w:r>
        <w:rPr>
          <w:sz w:val="16"/>
          <w:vertAlign w:val="baseline"/>
        </w:rPr>
        <w:t>example,</w:t>
      </w:r>
      <w:r>
        <w:rPr>
          <w:spacing w:val="-4"/>
          <w:sz w:val="16"/>
          <w:vertAlign w:val="baseline"/>
        </w:rPr>
        <w:t> </w:t>
      </w:r>
      <w:r>
        <w:rPr>
          <w:sz w:val="16"/>
          <w:vertAlign w:val="baseline"/>
        </w:rPr>
        <w:t>the</w:t>
      </w:r>
      <w:r>
        <w:rPr>
          <w:spacing w:val="-5"/>
          <w:sz w:val="16"/>
          <w:vertAlign w:val="baseline"/>
        </w:rPr>
        <w:t> </w:t>
      </w:r>
      <w:r>
        <w:rPr>
          <w:sz w:val="16"/>
          <w:vertAlign w:val="baseline"/>
        </w:rPr>
        <w:t>Electric</w:t>
      </w:r>
      <w:r>
        <w:rPr>
          <w:spacing w:val="-4"/>
          <w:sz w:val="16"/>
          <w:vertAlign w:val="baseline"/>
        </w:rPr>
        <w:t> </w:t>
      </w:r>
      <w:r>
        <w:rPr>
          <w:sz w:val="16"/>
          <w:vertAlign w:val="baseline"/>
        </w:rPr>
        <w:t>Line</w:t>
      </w:r>
      <w:r>
        <w:rPr>
          <w:spacing w:val="-3"/>
          <w:sz w:val="16"/>
          <w:vertAlign w:val="baseline"/>
        </w:rPr>
        <w:t> </w:t>
      </w:r>
      <w:r>
        <w:rPr>
          <w:sz w:val="16"/>
          <w:vertAlign w:val="baseline"/>
        </w:rPr>
        <w:t>Clearance</w:t>
      </w:r>
      <w:r>
        <w:rPr>
          <w:spacing w:val="-3"/>
          <w:sz w:val="16"/>
          <w:vertAlign w:val="baseline"/>
        </w:rPr>
        <w:t> </w:t>
      </w:r>
      <w:r>
        <w:rPr>
          <w:sz w:val="16"/>
          <w:vertAlign w:val="baseline"/>
        </w:rPr>
        <w:t>Consultative</w:t>
      </w:r>
      <w:r>
        <w:rPr>
          <w:spacing w:val="-3"/>
          <w:sz w:val="16"/>
          <w:vertAlign w:val="baseline"/>
        </w:rPr>
        <w:t> </w:t>
      </w:r>
      <w:r>
        <w:rPr>
          <w:sz w:val="16"/>
          <w:vertAlign w:val="baseline"/>
        </w:rPr>
        <w:t>Committee,</w:t>
      </w:r>
      <w:r>
        <w:rPr>
          <w:spacing w:val="-4"/>
          <w:sz w:val="16"/>
          <w:vertAlign w:val="baseline"/>
        </w:rPr>
        <w:t> </w:t>
      </w:r>
      <w:r>
        <w:rPr>
          <w:sz w:val="16"/>
          <w:vertAlign w:val="baseline"/>
        </w:rPr>
        <w:t>Distribution</w:t>
      </w:r>
      <w:r>
        <w:rPr>
          <w:spacing w:val="-5"/>
          <w:sz w:val="16"/>
          <w:vertAlign w:val="baseline"/>
        </w:rPr>
        <w:t> </w:t>
      </w:r>
      <w:r>
        <w:rPr>
          <w:sz w:val="16"/>
          <w:vertAlign w:val="baseline"/>
        </w:rPr>
        <w:t>Businesses</w:t>
      </w:r>
      <w:r>
        <w:rPr>
          <w:spacing w:val="-4"/>
          <w:sz w:val="16"/>
          <w:vertAlign w:val="baseline"/>
        </w:rPr>
        <w:t> </w:t>
      </w:r>
      <w:r>
        <w:rPr>
          <w:sz w:val="16"/>
          <w:vertAlign w:val="baseline"/>
        </w:rPr>
        <w:t>General</w:t>
      </w:r>
      <w:r>
        <w:rPr>
          <w:spacing w:val="-2"/>
          <w:sz w:val="16"/>
          <w:vertAlign w:val="baseline"/>
        </w:rPr>
        <w:t> </w:t>
      </w:r>
      <w:r>
        <w:rPr>
          <w:sz w:val="16"/>
          <w:vertAlign w:val="baseline"/>
        </w:rPr>
        <w:t>Manager</w:t>
      </w:r>
      <w:r>
        <w:rPr>
          <w:spacing w:val="-3"/>
          <w:sz w:val="16"/>
          <w:vertAlign w:val="baseline"/>
        </w:rPr>
        <w:t> </w:t>
      </w:r>
      <w:r>
        <w:rPr>
          <w:sz w:val="16"/>
          <w:vertAlign w:val="baseline"/>
        </w:rPr>
        <w:t>Forum,</w:t>
      </w:r>
      <w:r>
        <w:rPr>
          <w:spacing w:val="-1"/>
          <w:sz w:val="16"/>
          <w:vertAlign w:val="baseline"/>
        </w:rPr>
        <w:t> </w:t>
      </w:r>
      <w:r>
        <w:rPr>
          <w:sz w:val="16"/>
          <w:vertAlign w:val="baseline"/>
        </w:rPr>
        <w:t>Gas Emergency Management Consultative Forum, gas transmission consultative committee and the gas distribution consultative committee.</w:t>
      </w:r>
    </w:p>
    <w:p>
      <w:pPr>
        <w:spacing w:after="0"/>
        <w:jc w:val="left"/>
        <w:rPr>
          <w:sz w:val="16"/>
        </w:rPr>
        <w:sectPr>
          <w:pgSz w:w="11910" w:h="16840"/>
          <w:pgMar w:header="887" w:footer="1228" w:top="1080" w:bottom="1500" w:left="840" w:right="820"/>
        </w:sectPr>
      </w:pPr>
    </w:p>
    <w:p>
      <w:pPr>
        <w:pStyle w:val="BodyText"/>
        <w:rPr>
          <w:sz w:val="20"/>
        </w:rPr>
      </w:pPr>
    </w:p>
    <w:p>
      <w:pPr>
        <w:pStyle w:val="BodyText"/>
        <w:rPr>
          <w:sz w:val="20"/>
        </w:rPr>
      </w:pPr>
    </w:p>
    <w:p>
      <w:pPr>
        <w:pStyle w:val="Heading4"/>
        <w:spacing w:line="288" w:lineRule="auto" w:before="258"/>
        <w:ind w:left="600"/>
      </w:pPr>
      <w:r>
        <w:rPr>
          <w:color w:val="585858"/>
        </w:rPr>
        <w:t>Strengthening</w:t>
      </w:r>
      <w:r>
        <w:rPr>
          <w:color w:val="585858"/>
          <w:spacing w:val="-8"/>
        </w:rPr>
        <w:t> </w:t>
      </w:r>
      <w:r>
        <w:rPr>
          <w:color w:val="585858"/>
        </w:rPr>
        <w:t>ESV’s</w:t>
      </w:r>
      <w:r>
        <w:rPr>
          <w:color w:val="585858"/>
          <w:spacing w:val="-10"/>
        </w:rPr>
        <w:t> </w:t>
      </w:r>
      <w:r>
        <w:rPr>
          <w:color w:val="585858"/>
        </w:rPr>
        <w:t>internal</w:t>
      </w:r>
      <w:r>
        <w:rPr>
          <w:color w:val="585858"/>
          <w:spacing w:val="-10"/>
        </w:rPr>
        <w:t> </w:t>
      </w:r>
      <w:r>
        <w:rPr>
          <w:color w:val="585858"/>
        </w:rPr>
        <w:t>guidance</w:t>
      </w:r>
      <w:r>
        <w:rPr>
          <w:color w:val="585858"/>
          <w:spacing w:val="-10"/>
        </w:rPr>
        <w:t> </w:t>
      </w:r>
      <w:r>
        <w:rPr>
          <w:color w:val="585858"/>
        </w:rPr>
        <w:t>and</w:t>
      </w:r>
      <w:r>
        <w:rPr>
          <w:color w:val="585858"/>
          <w:spacing w:val="-11"/>
        </w:rPr>
        <w:t> </w:t>
      </w:r>
      <w:r>
        <w:rPr>
          <w:color w:val="585858"/>
        </w:rPr>
        <w:t>processes</w:t>
      </w:r>
      <w:r>
        <w:rPr>
          <w:color w:val="585858"/>
          <w:spacing w:val="-7"/>
        </w:rPr>
        <w:t> </w:t>
      </w:r>
      <w:r>
        <w:rPr>
          <w:color w:val="585858"/>
        </w:rPr>
        <w:t>for regulatory decision making</w:t>
      </w:r>
    </w:p>
    <w:p>
      <w:pPr>
        <w:pStyle w:val="BodyText"/>
        <w:spacing w:line="288" w:lineRule="auto" w:before="240"/>
        <w:ind w:left="600" w:right="374"/>
      </w:pPr>
      <w:r>
        <w:rPr/>
        <w:t>Effective</w:t>
      </w:r>
      <w:r>
        <w:rPr>
          <w:spacing w:val="-3"/>
        </w:rPr>
        <w:t> </w:t>
      </w:r>
      <w:r>
        <w:rPr/>
        <w:t>regulatory</w:t>
      </w:r>
      <w:r>
        <w:rPr>
          <w:spacing w:val="-4"/>
        </w:rPr>
        <w:t> </w:t>
      </w:r>
      <w:r>
        <w:rPr/>
        <w:t>decision</w:t>
      </w:r>
      <w:r>
        <w:rPr>
          <w:spacing w:val="-3"/>
        </w:rPr>
        <w:t> </w:t>
      </w:r>
      <w:r>
        <w:rPr/>
        <w:t>making</w:t>
      </w:r>
      <w:r>
        <w:rPr>
          <w:spacing w:val="-3"/>
        </w:rPr>
        <w:t> </w:t>
      </w:r>
      <w:r>
        <w:rPr/>
        <w:t>requires</w:t>
      </w:r>
      <w:r>
        <w:rPr>
          <w:spacing w:val="-5"/>
        </w:rPr>
        <w:t> </w:t>
      </w:r>
      <w:r>
        <w:rPr/>
        <w:t>the</w:t>
      </w:r>
      <w:r>
        <w:rPr>
          <w:spacing w:val="-5"/>
        </w:rPr>
        <w:t> </w:t>
      </w:r>
      <w:r>
        <w:rPr/>
        <w:t>regulator</w:t>
      </w:r>
      <w:r>
        <w:rPr>
          <w:spacing w:val="-4"/>
        </w:rPr>
        <w:t> </w:t>
      </w:r>
      <w:r>
        <w:rPr/>
        <w:t>to</w:t>
      </w:r>
      <w:r>
        <w:rPr>
          <w:spacing w:val="-3"/>
        </w:rPr>
        <w:t> </w:t>
      </w:r>
      <w:r>
        <w:rPr/>
        <w:t>have</w:t>
      </w:r>
      <w:r>
        <w:rPr>
          <w:spacing w:val="-3"/>
        </w:rPr>
        <w:t> </w:t>
      </w:r>
      <w:r>
        <w:rPr/>
        <w:t>strong</w:t>
      </w:r>
      <w:r>
        <w:rPr>
          <w:spacing w:val="-5"/>
        </w:rPr>
        <w:t> </w:t>
      </w:r>
      <w:r>
        <w:rPr/>
        <w:t>internal</w:t>
      </w:r>
      <w:r>
        <w:rPr>
          <w:spacing w:val="-3"/>
        </w:rPr>
        <w:t> </w:t>
      </w:r>
      <w:r>
        <w:rPr/>
        <w:t>processes and internal guidance. There should be robust internal governance, including the use of collective processes to inform more significant compliance and enforcement decisions.</w:t>
      </w:r>
    </w:p>
    <w:p>
      <w:pPr>
        <w:pStyle w:val="BodyText"/>
        <w:spacing w:before="11"/>
        <w:rPr>
          <w:sz w:val="20"/>
        </w:rPr>
      </w:pPr>
    </w:p>
    <w:p>
      <w:pPr>
        <w:pStyle w:val="BodyText"/>
        <w:spacing w:line="288" w:lineRule="auto"/>
        <w:ind w:left="600" w:right="629"/>
      </w:pPr>
      <w:r>
        <w:rPr/>
        <w:t>ESV has recently set up initiatives to promote more formal collective governance and oversight of policy and processes, independent of line management reporting arrangements and less divided with regards to energy stream. This should assist in developing clear and consistent practices regarding ESV’s investigation, compliance and enforcement functions. One action has been the reestablishment of ESV’s Compliance and Enforcement Panel for compliance</w:t>
      </w:r>
      <w:r>
        <w:rPr>
          <w:spacing w:val="-2"/>
        </w:rPr>
        <w:t> </w:t>
      </w:r>
      <w:r>
        <w:rPr/>
        <w:t>and</w:t>
      </w:r>
      <w:r>
        <w:rPr>
          <w:spacing w:val="-1"/>
        </w:rPr>
        <w:t> </w:t>
      </w:r>
      <w:r>
        <w:rPr/>
        <w:t>enforcement</w:t>
      </w:r>
      <w:r>
        <w:rPr>
          <w:spacing w:val="-2"/>
        </w:rPr>
        <w:t> </w:t>
      </w:r>
      <w:r>
        <w:rPr/>
        <w:t>accountability</w:t>
      </w:r>
      <w:r>
        <w:rPr>
          <w:spacing w:val="-3"/>
        </w:rPr>
        <w:t> </w:t>
      </w:r>
      <w:r>
        <w:rPr/>
        <w:t>and</w:t>
      </w:r>
      <w:r>
        <w:rPr>
          <w:spacing w:val="-1"/>
        </w:rPr>
        <w:t> </w:t>
      </w:r>
      <w:r>
        <w:rPr/>
        <w:t>oversight.</w:t>
      </w:r>
      <w:r>
        <w:rPr>
          <w:spacing w:val="-20"/>
        </w:rPr>
        <w:t> </w:t>
      </w:r>
      <w:r>
        <w:rPr/>
        <w:t>This</w:t>
      </w:r>
      <w:r>
        <w:rPr>
          <w:spacing w:val="-3"/>
        </w:rPr>
        <w:t> </w:t>
      </w:r>
      <w:r>
        <w:rPr/>
        <w:t>Panel</w:t>
      </w:r>
      <w:r>
        <w:rPr>
          <w:spacing w:val="-2"/>
        </w:rPr>
        <w:t> </w:t>
      </w:r>
      <w:r>
        <w:rPr/>
        <w:t>had</w:t>
      </w:r>
      <w:r>
        <w:rPr>
          <w:spacing w:val="-1"/>
        </w:rPr>
        <w:t> </w:t>
      </w:r>
      <w:r>
        <w:rPr/>
        <w:t>been</w:t>
      </w:r>
      <w:r>
        <w:rPr>
          <w:spacing w:val="-1"/>
        </w:rPr>
        <w:t> </w:t>
      </w:r>
      <w:r>
        <w:rPr/>
        <w:t>in</w:t>
      </w:r>
      <w:r>
        <w:rPr>
          <w:spacing w:val="-1"/>
        </w:rPr>
        <w:t> </w:t>
      </w:r>
      <w:r>
        <w:rPr/>
        <w:t>abeyance for</w:t>
      </w:r>
      <w:r>
        <w:rPr>
          <w:spacing w:val="-3"/>
        </w:rPr>
        <w:t> </w:t>
      </w:r>
      <w:r>
        <w:rPr/>
        <w:t>more</w:t>
      </w:r>
      <w:r>
        <w:rPr>
          <w:spacing w:val="-4"/>
        </w:rPr>
        <w:t> </w:t>
      </w:r>
      <w:r>
        <w:rPr/>
        <w:t>than</w:t>
      </w:r>
      <w:r>
        <w:rPr>
          <w:spacing w:val="-2"/>
        </w:rPr>
        <w:t> </w:t>
      </w:r>
      <w:r>
        <w:rPr/>
        <w:t>12</w:t>
      </w:r>
      <w:r>
        <w:rPr>
          <w:spacing w:val="-6"/>
        </w:rPr>
        <w:t> </w:t>
      </w:r>
      <w:r>
        <w:rPr/>
        <w:t>months</w:t>
      </w:r>
      <w:r>
        <w:rPr>
          <w:spacing w:val="-4"/>
        </w:rPr>
        <w:t> </w:t>
      </w:r>
      <w:r>
        <w:rPr/>
        <w:t>and</w:t>
      </w:r>
      <w:r>
        <w:rPr>
          <w:spacing w:val="-2"/>
        </w:rPr>
        <w:t> </w:t>
      </w:r>
      <w:r>
        <w:rPr/>
        <w:t>was</w:t>
      </w:r>
      <w:r>
        <w:rPr>
          <w:spacing w:val="-2"/>
        </w:rPr>
        <w:t> </w:t>
      </w:r>
      <w:r>
        <w:rPr/>
        <w:t>re-established</w:t>
      </w:r>
      <w:r>
        <w:rPr>
          <w:spacing w:val="-2"/>
        </w:rPr>
        <w:t> </w:t>
      </w:r>
      <w:r>
        <w:rPr/>
        <w:t>in</w:t>
      </w:r>
      <w:r>
        <w:rPr>
          <w:spacing w:val="-2"/>
        </w:rPr>
        <w:t> </w:t>
      </w:r>
      <w:r>
        <w:rPr/>
        <w:t>May</w:t>
      </w:r>
      <w:r>
        <w:rPr>
          <w:spacing w:val="-4"/>
        </w:rPr>
        <w:t> </w:t>
      </w:r>
      <w:r>
        <w:rPr/>
        <w:t>2017.</w:t>
      </w:r>
      <w:r>
        <w:rPr>
          <w:spacing w:val="-3"/>
        </w:rPr>
        <w:t> </w:t>
      </w:r>
      <w:r>
        <w:rPr/>
        <w:t>It</w:t>
      </w:r>
      <w:r>
        <w:rPr>
          <w:spacing w:val="-3"/>
        </w:rPr>
        <w:t> </w:t>
      </w:r>
      <w:r>
        <w:rPr/>
        <w:t>is</w:t>
      </w:r>
      <w:r>
        <w:rPr>
          <w:spacing w:val="-1"/>
        </w:rPr>
        <w:t> </w:t>
      </w:r>
      <w:r>
        <w:rPr/>
        <w:t>comprised</w:t>
      </w:r>
      <w:r>
        <w:rPr>
          <w:spacing w:val="-2"/>
        </w:rPr>
        <w:t> </w:t>
      </w:r>
      <w:r>
        <w:rPr/>
        <w:t>of members</w:t>
      </w:r>
      <w:r>
        <w:rPr>
          <w:spacing w:val="-1"/>
        </w:rPr>
        <w:t> </w:t>
      </w:r>
      <w:r>
        <w:rPr/>
        <w:t>of the Executive Management Board and provides its advice to ESV executive management and the Director of Energy Safety. It has an assurance role relevant to programs, strategies and significant enforcement decisions. Its mandate includes consideration of consistency of decision making with regulatory policy, practice and frameworks; risk (regulatory risks and regulator operating risks); and legal issues.</w:t>
      </w:r>
    </w:p>
    <w:p>
      <w:pPr>
        <w:pStyle w:val="BodyText"/>
        <w:spacing w:before="11"/>
        <w:rPr>
          <w:sz w:val="20"/>
        </w:rPr>
      </w:pPr>
    </w:p>
    <w:p>
      <w:pPr>
        <w:pStyle w:val="BodyText"/>
        <w:spacing w:line="288" w:lineRule="auto"/>
        <w:ind w:left="600" w:right="586"/>
      </w:pPr>
      <w:r>
        <w:rPr/>
        <w:t>The move to greater collective approaches, including to inform advice to the Director of Energy</w:t>
      </w:r>
      <w:r>
        <w:rPr>
          <w:spacing w:val="-5"/>
        </w:rPr>
        <w:t> </w:t>
      </w:r>
      <w:r>
        <w:rPr/>
        <w:t>Safety,</w:t>
      </w:r>
      <w:r>
        <w:rPr>
          <w:spacing w:val="-1"/>
        </w:rPr>
        <w:t> </w:t>
      </w:r>
      <w:r>
        <w:rPr/>
        <w:t>is</w:t>
      </w:r>
      <w:r>
        <w:rPr>
          <w:spacing w:val="-5"/>
        </w:rPr>
        <w:t> </w:t>
      </w:r>
      <w:r>
        <w:rPr/>
        <w:t>consistent</w:t>
      </w:r>
      <w:r>
        <w:rPr>
          <w:spacing w:val="-2"/>
        </w:rPr>
        <w:t> </w:t>
      </w:r>
      <w:r>
        <w:rPr/>
        <w:t>with</w:t>
      </w:r>
      <w:r>
        <w:rPr>
          <w:spacing w:val="-3"/>
        </w:rPr>
        <w:t> </w:t>
      </w:r>
      <w:r>
        <w:rPr/>
        <w:t>the</w:t>
      </w:r>
      <w:r>
        <w:rPr>
          <w:spacing w:val="-5"/>
        </w:rPr>
        <w:t> </w:t>
      </w:r>
      <w:r>
        <w:rPr/>
        <w:t>broad</w:t>
      </w:r>
      <w:r>
        <w:rPr>
          <w:spacing w:val="-5"/>
        </w:rPr>
        <w:t> </w:t>
      </w:r>
      <w:r>
        <w:rPr/>
        <w:t>approach</w:t>
      </w:r>
      <w:r>
        <w:rPr>
          <w:spacing w:val="-3"/>
        </w:rPr>
        <w:t> </w:t>
      </w:r>
      <w:r>
        <w:rPr/>
        <w:t>recommended</w:t>
      </w:r>
      <w:r>
        <w:rPr>
          <w:spacing w:val="-3"/>
        </w:rPr>
        <w:t> </w:t>
      </w:r>
      <w:r>
        <w:rPr/>
        <w:t>by</w:t>
      </w:r>
      <w:r>
        <w:rPr>
          <w:spacing w:val="-5"/>
        </w:rPr>
        <w:t> </w:t>
      </w:r>
      <w:r>
        <w:rPr/>
        <w:t>Advisian</w:t>
      </w:r>
      <w:r>
        <w:rPr>
          <w:spacing w:val="-3"/>
        </w:rPr>
        <w:t> </w:t>
      </w:r>
      <w:r>
        <w:rPr/>
        <w:t>in</w:t>
      </w:r>
      <w:r>
        <w:rPr>
          <w:spacing w:val="-3"/>
        </w:rPr>
        <w:t> </w:t>
      </w:r>
      <w:r>
        <w:rPr/>
        <w:t>its</w:t>
      </w:r>
      <w:r>
        <w:rPr>
          <w:spacing w:val="-2"/>
        </w:rPr>
        <w:t> </w:t>
      </w:r>
      <w:r>
        <w:rPr/>
        <w:t>2015 Review of ESV’s electrical infrastructure regulation arrangements. In its report, Advisian observed that:</w:t>
      </w:r>
    </w:p>
    <w:p>
      <w:pPr>
        <w:pStyle w:val="BodyText"/>
        <w:spacing w:before="10"/>
        <w:rPr>
          <w:sz w:val="20"/>
        </w:rPr>
      </w:pPr>
    </w:p>
    <w:p>
      <w:pPr>
        <w:spacing w:line="288" w:lineRule="auto" w:before="1"/>
        <w:ind w:left="1166" w:right="1057" w:firstLine="0"/>
        <w:jc w:val="left"/>
        <w:rPr>
          <w:sz w:val="22"/>
        </w:rPr>
      </w:pPr>
      <w:r>
        <w:rPr>
          <w:i/>
          <w:sz w:val="22"/>
        </w:rPr>
        <w:t>“Team decision making is used by a number of regulators to minimise the risk of inconsistent individual opinion and to ensure consistency across the regulator’s interactions. This practice permeates throughout the organisation from infringement notifications through to accreditation approvals. Team decision making</w:t>
      </w:r>
      <w:r>
        <w:rPr>
          <w:i/>
          <w:spacing w:val="-2"/>
          <w:sz w:val="22"/>
        </w:rPr>
        <w:t> </w:t>
      </w:r>
      <w:r>
        <w:rPr>
          <w:i/>
          <w:sz w:val="22"/>
        </w:rPr>
        <w:t>is</w:t>
      </w:r>
      <w:r>
        <w:rPr>
          <w:i/>
          <w:spacing w:val="-1"/>
          <w:sz w:val="22"/>
        </w:rPr>
        <w:t> </w:t>
      </w:r>
      <w:r>
        <w:rPr>
          <w:i/>
          <w:sz w:val="22"/>
        </w:rPr>
        <w:t>seen</w:t>
      </w:r>
      <w:r>
        <w:rPr>
          <w:i/>
          <w:spacing w:val="-2"/>
          <w:sz w:val="22"/>
        </w:rPr>
        <w:t> </w:t>
      </w:r>
      <w:r>
        <w:rPr>
          <w:i/>
          <w:sz w:val="22"/>
        </w:rPr>
        <w:t>by</w:t>
      </w:r>
      <w:r>
        <w:rPr>
          <w:i/>
          <w:spacing w:val="-4"/>
          <w:sz w:val="22"/>
        </w:rPr>
        <w:t> </w:t>
      </w:r>
      <w:r>
        <w:rPr>
          <w:i/>
          <w:sz w:val="22"/>
        </w:rPr>
        <w:t>regulators</w:t>
      </w:r>
      <w:r>
        <w:rPr>
          <w:i/>
          <w:spacing w:val="-3"/>
          <w:sz w:val="22"/>
        </w:rPr>
        <w:t> </w:t>
      </w:r>
      <w:r>
        <w:rPr>
          <w:i/>
          <w:sz w:val="22"/>
        </w:rPr>
        <w:t>as</w:t>
      </w:r>
      <w:r>
        <w:rPr>
          <w:i/>
          <w:spacing w:val="-2"/>
          <w:sz w:val="22"/>
        </w:rPr>
        <w:t> </w:t>
      </w:r>
      <w:r>
        <w:rPr>
          <w:i/>
          <w:sz w:val="22"/>
        </w:rPr>
        <w:t>an</w:t>
      </w:r>
      <w:r>
        <w:rPr>
          <w:i/>
          <w:spacing w:val="-2"/>
          <w:sz w:val="22"/>
        </w:rPr>
        <w:t> </w:t>
      </w:r>
      <w:r>
        <w:rPr>
          <w:i/>
          <w:sz w:val="22"/>
        </w:rPr>
        <w:t>opportunity</w:t>
      </w:r>
      <w:r>
        <w:rPr>
          <w:i/>
          <w:spacing w:val="-4"/>
          <w:sz w:val="22"/>
        </w:rPr>
        <w:t> </w:t>
      </w:r>
      <w:r>
        <w:rPr>
          <w:i/>
          <w:sz w:val="22"/>
        </w:rPr>
        <w:t>to</w:t>
      </w:r>
      <w:r>
        <w:rPr>
          <w:i/>
          <w:spacing w:val="-6"/>
          <w:sz w:val="22"/>
        </w:rPr>
        <w:t> </w:t>
      </w:r>
      <w:r>
        <w:rPr>
          <w:i/>
          <w:sz w:val="22"/>
        </w:rPr>
        <w:t>provide</w:t>
      </w:r>
      <w:r>
        <w:rPr>
          <w:i/>
          <w:spacing w:val="-2"/>
          <w:sz w:val="22"/>
        </w:rPr>
        <w:t> </w:t>
      </w:r>
      <w:r>
        <w:rPr>
          <w:i/>
          <w:sz w:val="22"/>
        </w:rPr>
        <w:t>consistency</w:t>
      </w:r>
      <w:r>
        <w:rPr>
          <w:i/>
          <w:spacing w:val="-1"/>
          <w:sz w:val="22"/>
        </w:rPr>
        <w:t> </w:t>
      </w:r>
      <w:r>
        <w:rPr>
          <w:i/>
          <w:sz w:val="22"/>
        </w:rPr>
        <w:t>and</w:t>
      </w:r>
      <w:r>
        <w:rPr>
          <w:i/>
          <w:spacing w:val="-6"/>
          <w:sz w:val="22"/>
        </w:rPr>
        <w:t> </w:t>
      </w:r>
      <w:r>
        <w:rPr>
          <w:i/>
          <w:sz w:val="22"/>
        </w:rPr>
        <w:t>strong internal quality control measures with no one individual responsible for critical decisions.” </w:t>
      </w:r>
      <w:r>
        <w:rPr>
          <w:sz w:val="22"/>
        </w:rPr>
        <w:t>(Advisian, 2015, p. 22)</w:t>
      </w:r>
    </w:p>
    <w:p>
      <w:pPr>
        <w:pStyle w:val="BodyText"/>
        <w:spacing w:before="8"/>
        <w:rPr>
          <w:sz w:val="18"/>
        </w:rPr>
      </w:pPr>
      <w:r>
        <w:rPr/>
        <mc:AlternateContent>
          <mc:Choice Requires="wps">
            <w:drawing>
              <wp:anchor distT="0" distB="0" distL="0" distR="0" allowOverlap="1" layoutInCell="1" locked="0" behindDoc="1" simplePos="0" relativeHeight="487625728">
                <wp:simplePos x="0" y="0"/>
                <wp:positionH relativeFrom="page">
                  <wp:posOffset>914704</wp:posOffset>
                </wp:positionH>
                <wp:positionV relativeFrom="paragraph">
                  <wp:posOffset>151792</wp:posOffset>
                </wp:positionV>
                <wp:extent cx="5732780" cy="1614170"/>
                <wp:effectExtent l="0" t="0" r="0" b="0"/>
                <wp:wrapTopAndBottom/>
                <wp:docPr id="129" name="Textbox 129"/>
                <wp:cNvGraphicFramePr>
                  <a:graphicFrameLocks/>
                </wp:cNvGraphicFramePr>
                <a:graphic>
                  <a:graphicData uri="http://schemas.microsoft.com/office/word/2010/wordprocessingShape">
                    <wps:wsp>
                      <wps:cNvPr id="129" name="Textbox 129"/>
                      <wps:cNvSpPr txBox="1"/>
                      <wps:spPr>
                        <a:xfrm>
                          <a:off x="0" y="0"/>
                          <a:ext cx="5732780" cy="1614170"/>
                        </a:xfrm>
                        <a:prstGeom prst="rect">
                          <a:avLst/>
                        </a:prstGeom>
                        <a:solidFill>
                          <a:srgbClr val="D9D9D9"/>
                        </a:solidFill>
                      </wps:spPr>
                      <wps:txbx>
                        <w:txbxContent>
                          <w:p>
                            <w:pPr>
                              <w:pStyle w:val="BodyText"/>
                              <w:spacing w:before="9"/>
                              <w:rPr>
                                <w:color w:val="000000"/>
                                <w:sz w:val="20"/>
                              </w:rPr>
                            </w:pPr>
                          </w:p>
                          <w:p>
                            <w:pPr>
                              <w:spacing w:before="1"/>
                              <w:ind w:left="112" w:right="0" w:firstLine="0"/>
                              <w:jc w:val="left"/>
                              <w:rPr>
                                <w:b/>
                                <w:color w:val="000000"/>
                                <w:sz w:val="22"/>
                              </w:rPr>
                            </w:pPr>
                            <w:r>
                              <w:rPr>
                                <w:b/>
                                <w:color w:val="000000"/>
                                <w:sz w:val="22"/>
                              </w:rPr>
                              <w:t>Recommendation</w:t>
                            </w:r>
                            <w:r>
                              <w:rPr>
                                <w:b/>
                                <w:color w:val="000000"/>
                                <w:spacing w:val="-7"/>
                                <w:sz w:val="22"/>
                              </w:rPr>
                              <w:t> </w:t>
                            </w:r>
                            <w:r>
                              <w:rPr>
                                <w:b/>
                                <w:color w:val="000000"/>
                                <w:spacing w:val="-5"/>
                                <w:sz w:val="22"/>
                              </w:rPr>
                              <w:t>11</w:t>
                            </w:r>
                          </w:p>
                          <w:p>
                            <w:pPr>
                              <w:pStyle w:val="BodyText"/>
                              <w:spacing w:before="4"/>
                              <w:rPr>
                                <w:b/>
                                <w:color w:val="000000"/>
                                <w:sz w:val="25"/>
                              </w:rPr>
                            </w:pPr>
                          </w:p>
                          <w:p>
                            <w:pPr>
                              <w:pStyle w:val="BodyText"/>
                              <w:spacing w:line="288" w:lineRule="auto"/>
                              <w:ind w:left="112" w:right="205"/>
                              <w:rPr>
                                <w:color w:val="000000"/>
                              </w:rPr>
                            </w:pPr>
                            <w:r>
                              <w:rPr>
                                <w:color w:val="000000"/>
                              </w:rPr>
                              <w:t>ESV</w:t>
                            </w:r>
                            <w:r>
                              <w:rPr>
                                <w:color w:val="000000"/>
                                <w:spacing w:val="-3"/>
                              </w:rPr>
                              <w:t> </w:t>
                            </w:r>
                            <w:r>
                              <w:rPr>
                                <w:color w:val="000000"/>
                              </w:rPr>
                              <w:t>should</w:t>
                            </w:r>
                            <w:r>
                              <w:rPr>
                                <w:color w:val="000000"/>
                                <w:spacing w:val="-3"/>
                              </w:rPr>
                              <w:t> </w:t>
                            </w:r>
                            <w:r>
                              <w:rPr>
                                <w:color w:val="000000"/>
                              </w:rPr>
                              <w:t>continue</w:t>
                            </w:r>
                            <w:r>
                              <w:rPr>
                                <w:color w:val="000000"/>
                                <w:spacing w:val="-5"/>
                              </w:rPr>
                              <w:t> </w:t>
                            </w:r>
                            <w:r>
                              <w:rPr>
                                <w:color w:val="000000"/>
                              </w:rPr>
                              <w:t>to</w:t>
                            </w:r>
                            <w:r>
                              <w:rPr>
                                <w:color w:val="000000"/>
                                <w:spacing w:val="-5"/>
                              </w:rPr>
                              <w:t> </w:t>
                            </w:r>
                            <w:r>
                              <w:rPr>
                                <w:color w:val="000000"/>
                              </w:rPr>
                              <w:t>strengthen</w:t>
                            </w:r>
                            <w:r>
                              <w:rPr>
                                <w:color w:val="000000"/>
                                <w:spacing w:val="-3"/>
                              </w:rPr>
                              <w:t> </w:t>
                            </w:r>
                            <w:r>
                              <w:rPr>
                                <w:color w:val="000000"/>
                              </w:rPr>
                              <w:t>its</w:t>
                            </w:r>
                            <w:r>
                              <w:rPr>
                                <w:color w:val="000000"/>
                                <w:spacing w:val="-2"/>
                              </w:rPr>
                              <w:t> </w:t>
                            </w:r>
                            <w:r>
                              <w:rPr>
                                <w:color w:val="000000"/>
                              </w:rPr>
                              <w:t>internal</w:t>
                            </w:r>
                            <w:r>
                              <w:rPr>
                                <w:color w:val="000000"/>
                                <w:spacing w:val="-3"/>
                              </w:rPr>
                              <w:t> </w:t>
                            </w:r>
                            <w:r>
                              <w:rPr>
                                <w:color w:val="000000"/>
                              </w:rPr>
                              <w:t>systems</w:t>
                            </w:r>
                            <w:r>
                              <w:rPr>
                                <w:color w:val="000000"/>
                                <w:spacing w:val="-2"/>
                              </w:rPr>
                              <w:t> </w:t>
                            </w:r>
                            <w:r>
                              <w:rPr>
                                <w:color w:val="000000"/>
                              </w:rPr>
                              <w:t>and</w:t>
                            </w:r>
                            <w:r>
                              <w:rPr>
                                <w:color w:val="000000"/>
                                <w:spacing w:val="-5"/>
                              </w:rPr>
                              <w:t> </w:t>
                            </w:r>
                            <w:r>
                              <w:rPr>
                                <w:color w:val="000000"/>
                              </w:rPr>
                              <w:t>processes</w:t>
                            </w:r>
                            <w:r>
                              <w:rPr>
                                <w:color w:val="000000"/>
                                <w:spacing w:val="-5"/>
                              </w:rPr>
                              <w:t> </w:t>
                            </w:r>
                            <w:r>
                              <w:rPr>
                                <w:color w:val="000000"/>
                              </w:rPr>
                              <w:t>to</w:t>
                            </w:r>
                            <w:r>
                              <w:rPr>
                                <w:color w:val="000000"/>
                                <w:spacing w:val="-5"/>
                              </w:rPr>
                              <w:t> </w:t>
                            </w:r>
                            <w:r>
                              <w:rPr>
                                <w:color w:val="000000"/>
                              </w:rPr>
                              <w:t>facilitate</w:t>
                            </w:r>
                            <w:r>
                              <w:rPr>
                                <w:color w:val="000000"/>
                                <w:spacing w:val="-2"/>
                              </w:rPr>
                              <w:t> </w:t>
                            </w:r>
                            <w:r>
                              <w:rPr>
                                <w:color w:val="000000"/>
                              </w:rPr>
                              <w:t>robust and consistent compliance and enforcement decision making. This should include the continued operation of the recently re-established Compliance and Enforcement Panel, and any necessary improvements in the internal</w:t>
                            </w:r>
                            <w:r>
                              <w:rPr>
                                <w:color w:val="000000"/>
                                <w:spacing w:val="-1"/>
                              </w:rPr>
                              <w:t> </w:t>
                            </w:r>
                            <w:r>
                              <w:rPr>
                                <w:color w:val="000000"/>
                              </w:rPr>
                              <w:t>guidance to ESV</w:t>
                            </w:r>
                            <w:r>
                              <w:rPr>
                                <w:color w:val="000000"/>
                                <w:spacing w:val="-1"/>
                              </w:rPr>
                              <w:t> </w:t>
                            </w:r>
                            <w:r>
                              <w:rPr>
                                <w:color w:val="000000"/>
                              </w:rPr>
                              <w:t>officers in compliance and enforcement related roles to ensure timely and consistent decision making.</w:t>
                            </w:r>
                          </w:p>
                        </w:txbxContent>
                      </wps:txbx>
                      <wps:bodyPr wrap="square" lIns="0" tIns="0" rIns="0" bIns="0" rtlCol="0">
                        <a:noAutofit/>
                      </wps:bodyPr>
                    </wps:wsp>
                  </a:graphicData>
                </a:graphic>
              </wp:anchor>
            </w:drawing>
          </mc:Choice>
          <mc:Fallback>
            <w:pict>
              <v:shape style="position:absolute;margin-left:72.024002pt;margin-top:11.952148pt;width:451.4pt;height:127.1pt;mso-position-horizontal-relative:page;mso-position-vertical-relative:paragraph;z-index:-15690752;mso-wrap-distance-left:0;mso-wrap-distance-right:0" type="#_x0000_t202" id="docshape113" filled="true" fillcolor="#d9d9d9" stroked="false">
                <v:textbox inset="0,0,0,0">
                  <w:txbxContent>
                    <w:p>
                      <w:pPr>
                        <w:pStyle w:val="BodyText"/>
                        <w:spacing w:before="9"/>
                        <w:rPr>
                          <w:color w:val="000000"/>
                          <w:sz w:val="20"/>
                        </w:rPr>
                      </w:pPr>
                    </w:p>
                    <w:p>
                      <w:pPr>
                        <w:spacing w:before="1"/>
                        <w:ind w:left="112" w:right="0" w:firstLine="0"/>
                        <w:jc w:val="left"/>
                        <w:rPr>
                          <w:b/>
                          <w:color w:val="000000"/>
                          <w:sz w:val="22"/>
                        </w:rPr>
                      </w:pPr>
                      <w:r>
                        <w:rPr>
                          <w:b/>
                          <w:color w:val="000000"/>
                          <w:sz w:val="22"/>
                        </w:rPr>
                        <w:t>Recommendation</w:t>
                      </w:r>
                      <w:r>
                        <w:rPr>
                          <w:b/>
                          <w:color w:val="000000"/>
                          <w:spacing w:val="-7"/>
                          <w:sz w:val="22"/>
                        </w:rPr>
                        <w:t> </w:t>
                      </w:r>
                      <w:r>
                        <w:rPr>
                          <w:b/>
                          <w:color w:val="000000"/>
                          <w:spacing w:val="-5"/>
                          <w:sz w:val="22"/>
                        </w:rPr>
                        <w:t>11</w:t>
                      </w:r>
                    </w:p>
                    <w:p>
                      <w:pPr>
                        <w:pStyle w:val="BodyText"/>
                        <w:spacing w:before="4"/>
                        <w:rPr>
                          <w:b/>
                          <w:color w:val="000000"/>
                          <w:sz w:val="25"/>
                        </w:rPr>
                      </w:pPr>
                    </w:p>
                    <w:p>
                      <w:pPr>
                        <w:pStyle w:val="BodyText"/>
                        <w:spacing w:line="288" w:lineRule="auto"/>
                        <w:ind w:left="112" w:right="205"/>
                        <w:rPr>
                          <w:color w:val="000000"/>
                        </w:rPr>
                      </w:pPr>
                      <w:r>
                        <w:rPr>
                          <w:color w:val="000000"/>
                        </w:rPr>
                        <w:t>ESV</w:t>
                      </w:r>
                      <w:r>
                        <w:rPr>
                          <w:color w:val="000000"/>
                          <w:spacing w:val="-3"/>
                        </w:rPr>
                        <w:t> </w:t>
                      </w:r>
                      <w:r>
                        <w:rPr>
                          <w:color w:val="000000"/>
                        </w:rPr>
                        <w:t>should</w:t>
                      </w:r>
                      <w:r>
                        <w:rPr>
                          <w:color w:val="000000"/>
                          <w:spacing w:val="-3"/>
                        </w:rPr>
                        <w:t> </w:t>
                      </w:r>
                      <w:r>
                        <w:rPr>
                          <w:color w:val="000000"/>
                        </w:rPr>
                        <w:t>continue</w:t>
                      </w:r>
                      <w:r>
                        <w:rPr>
                          <w:color w:val="000000"/>
                          <w:spacing w:val="-5"/>
                        </w:rPr>
                        <w:t> </w:t>
                      </w:r>
                      <w:r>
                        <w:rPr>
                          <w:color w:val="000000"/>
                        </w:rPr>
                        <w:t>to</w:t>
                      </w:r>
                      <w:r>
                        <w:rPr>
                          <w:color w:val="000000"/>
                          <w:spacing w:val="-5"/>
                        </w:rPr>
                        <w:t> </w:t>
                      </w:r>
                      <w:r>
                        <w:rPr>
                          <w:color w:val="000000"/>
                        </w:rPr>
                        <w:t>strengthen</w:t>
                      </w:r>
                      <w:r>
                        <w:rPr>
                          <w:color w:val="000000"/>
                          <w:spacing w:val="-3"/>
                        </w:rPr>
                        <w:t> </w:t>
                      </w:r>
                      <w:r>
                        <w:rPr>
                          <w:color w:val="000000"/>
                        </w:rPr>
                        <w:t>its</w:t>
                      </w:r>
                      <w:r>
                        <w:rPr>
                          <w:color w:val="000000"/>
                          <w:spacing w:val="-2"/>
                        </w:rPr>
                        <w:t> </w:t>
                      </w:r>
                      <w:r>
                        <w:rPr>
                          <w:color w:val="000000"/>
                        </w:rPr>
                        <w:t>internal</w:t>
                      </w:r>
                      <w:r>
                        <w:rPr>
                          <w:color w:val="000000"/>
                          <w:spacing w:val="-3"/>
                        </w:rPr>
                        <w:t> </w:t>
                      </w:r>
                      <w:r>
                        <w:rPr>
                          <w:color w:val="000000"/>
                        </w:rPr>
                        <w:t>systems</w:t>
                      </w:r>
                      <w:r>
                        <w:rPr>
                          <w:color w:val="000000"/>
                          <w:spacing w:val="-2"/>
                        </w:rPr>
                        <w:t> </w:t>
                      </w:r>
                      <w:r>
                        <w:rPr>
                          <w:color w:val="000000"/>
                        </w:rPr>
                        <w:t>and</w:t>
                      </w:r>
                      <w:r>
                        <w:rPr>
                          <w:color w:val="000000"/>
                          <w:spacing w:val="-5"/>
                        </w:rPr>
                        <w:t> </w:t>
                      </w:r>
                      <w:r>
                        <w:rPr>
                          <w:color w:val="000000"/>
                        </w:rPr>
                        <w:t>processes</w:t>
                      </w:r>
                      <w:r>
                        <w:rPr>
                          <w:color w:val="000000"/>
                          <w:spacing w:val="-5"/>
                        </w:rPr>
                        <w:t> </w:t>
                      </w:r>
                      <w:r>
                        <w:rPr>
                          <w:color w:val="000000"/>
                        </w:rPr>
                        <w:t>to</w:t>
                      </w:r>
                      <w:r>
                        <w:rPr>
                          <w:color w:val="000000"/>
                          <w:spacing w:val="-5"/>
                        </w:rPr>
                        <w:t> </w:t>
                      </w:r>
                      <w:r>
                        <w:rPr>
                          <w:color w:val="000000"/>
                        </w:rPr>
                        <w:t>facilitate</w:t>
                      </w:r>
                      <w:r>
                        <w:rPr>
                          <w:color w:val="000000"/>
                          <w:spacing w:val="-2"/>
                        </w:rPr>
                        <w:t> </w:t>
                      </w:r>
                      <w:r>
                        <w:rPr>
                          <w:color w:val="000000"/>
                        </w:rPr>
                        <w:t>robust and consistent compliance and enforcement decision making. This should include the continued operation of the recently re-established Compliance and Enforcement Panel, and any necessary improvements in the internal</w:t>
                      </w:r>
                      <w:r>
                        <w:rPr>
                          <w:color w:val="000000"/>
                          <w:spacing w:val="-1"/>
                        </w:rPr>
                        <w:t> </w:t>
                      </w:r>
                      <w:r>
                        <w:rPr>
                          <w:color w:val="000000"/>
                        </w:rPr>
                        <w:t>guidance to ESV</w:t>
                      </w:r>
                      <w:r>
                        <w:rPr>
                          <w:color w:val="000000"/>
                          <w:spacing w:val="-1"/>
                        </w:rPr>
                        <w:t> </w:t>
                      </w:r>
                      <w:r>
                        <w:rPr>
                          <w:color w:val="000000"/>
                        </w:rPr>
                        <w:t>officers in compliance and enforcement related roles to ensure timely and consistent decision making.</w:t>
                      </w:r>
                    </w:p>
                  </w:txbxContent>
                </v:textbox>
                <v:fill type="solid"/>
                <w10:wrap type="topAndBottom"/>
              </v:shape>
            </w:pict>
          </mc:Fallback>
        </mc:AlternateContent>
      </w:r>
    </w:p>
    <w:p>
      <w:pPr>
        <w:spacing w:after="0"/>
        <w:rPr>
          <w:sz w:val="18"/>
        </w:rPr>
        <w:sectPr>
          <w:pgSz w:w="11910" w:h="16840"/>
          <w:pgMar w:header="887" w:footer="1228" w:top="1080" w:bottom="1500" w:left="840" w:right="820"/>
        </w:sectPr>
      </w:pPr>
    </w:p>
    <w:p>
      <w:pPr>
        <w:pStyle w:val="BodyText"/>
        <w:rPr>
          <w:sz w:val="20"/>
        </w:rPr>
      </w:pPr>
    </w:p>
    <w:p>
      <w:pPr>
        <w:pStyle w:val="BodyText"/>
        <w:rPr>
          <w:sz w:val="20"/>
        </w:rPr>
      </w:pPr>
    </w:p>
    <w:p>
      <w:pPr>
        <w:pStyle w:val="Heading4"/>
        <w:spacing w:before="258"/>
        <w:ind w:left="600"/>
      </w:pPr>
      <w:r>
        <w:rPr>
          <w:color w:val="585858"/>
        </w:rPr>
        <w:t>Broadening</w:t>
      </w:r>
      <w:r>
        <w:rPr>
          <w:color w:val="585858"/>
          <w:spacing w:val="-18"/>
        </w:rPr>
        <w:t> </w:t>
      </w:r>
      <w:r>
        <w:rPr>
          <w:color w:val="585858"/>
        </w:rPr>
        <w:t>ESV’s</w:t>
      </w:r>
      <w:r>
        <w:rPr>
          <w:color w:val="585858"/>
          <w:spacing w:val="-18"/>
        </w:rPr>
        <w:t> </w:t>
      </w:r>
      <w:r>
        <w:rPr>
          <w:color w:val="585858"/>
        </w:rPr>
        <w:t>compliance</w:t>
      </w:r>
      <w:r>
        <w:rPr>
          <w:color w:val="585858"/>
          <w:spacing w:val="-17"/>
        </w:rPr>
        <w:t> </w:t>
      </w:r>
      <w:r>
        <w:rPr>
          <w:color w:val="585858"/>
        </w:rPr>
        <w:t>and</w:t>
      </w:r>
      <w:r>
        <w:rPr>
          <w:color w:val="585858"/>
          <w:spacing w:val="-17"/>
        </w:rPr>
        <w:t> </w:t>
      </w:r>
      <w:r>
        <w:rPr>
          <w:color w:val="585858"/>
        </w:rPr>
        <w:t>enforcement</w:t>
      </w:r>
      <w:r>
        <w:rPr>
          <w:color w:val="585858"/>
          <w:spacing w:val="-18"/>
        </w:rPr>
        <w:t> </w:t>
      </w:r>
      <w:r>
        <w:rPr>
          <w:color w:val="585858"/>
          <w:spacing w:val="-2"/>
        </w:rPr>
        <w:t>toolkit</w:t>
      </w:r>
    </w:p>
    <w:p>
      <w:pPr>
        <w:pStyle w:val="BodyText"/>
        <w:spacing w:line="288" w:lineRule="auto" w:before="313"/>
        <w:ind w:left="600" w:right="586"/>
      </w:pPr>
      <w:r>
        <w:rPr/>
        <w:t>It</w:t>
      </w:r>
      <w:r>
        <w:rPr>
          <w:spacing w:val="-2"/>
        </w:rPr>
        <w:t> </w:t>
      </w:r>
      <w:r>
        <w:rPr/>
        <w:t>is</w:t>
      </w:r>
      <w:r>
        <w:rPr>
          <w:spacing w:val="-1"/>
        </w:rPr>
        <w:t> </w:t>
      </w:r>
      <w:r>
        <w:rPr/>
        <w:t>widely</w:t>
      </w:r>
      <w:r>
        <w:rPr>
          <w:spacing w:val="-3"/>
        </w:rPr>
        <w:t> </w:t>
      </w:r>
      <w:r>
        <w:rPr/>
        <w:t>considered</w:t>
      </w:r>
      <w:r>
        <w:rPr>
          <w:spacing w:val="-2"/>
        </w:rPr>
        <w:t> </w:t>
      </w:r>
      <w:r>
        <w:rPr/>
        <w:t>to</w:t>
      </w:r>
      <w:r>
        <w:rPr>
          <w:spacing w:val="-3"/>
        </w:rPr>
        <w:t> </w:t>
      </w:r>
      <w:r>
        <w:rPr/>
        <w:t>be</w:t>
      </w:r>
      <w:r>
        <w:rPr>
          <w:spacing w:val="-3"/>
        </w:rPr>
        <w:t> </w:t>
      </w:r>
      <w:r>
        <w:rPr/>
        <w:t>good</w:t>
      </w:r>
      <w:r>
        <w:rPr>
          <w:spacing w:val="-3"/>
        </w:rPr>
        <w:t> </w:t>
      </w:r>
      <w:r>
        <w:rPr/>
        <w:t>practice</w:t>
      </w:r>
      <w:r>
        <w:rPr>
          <w:spacing w:val="-3"/>
        </w:rPr>
        <w:t> </w:t>
      </w:r>
      <w:r>
        <w:rPr/>
        <w:t>for</w:t>
      </w:r>
      <w:r>
        <w:rPr>
          <w:spacing w:val="-2"/>
        </w:rPr>
        <w:t> </w:t>
      </w:r>
      <w:r>
        <w:rPr/>
        <w:t>a</w:t>
      </w:r>
      <w:r>
        <w:rPr>
          <w:spacing w:val="-3"/>
        </w:rPr>
        <w:t> </w:t>
      </w:r>
      <w:r>
        <w:rPr/>
        <w:t>regulator</w:t>
      </w:r>
      <w:r>
        <w:rPr>
          <w:spacing w:val="-2"/>
        </w:rPr>
        <w:t> </w:t>
      </w:r>
      <w:r>
        <w:rPr/>
        <w:t>to</w:t>
      </w:r>
      <w:r>
        <w:rPr>
          <w:spacing w:val="-2"/>
        </w:rPr>
        <w:t> </w:t>
      </w:r>
      <w:r>
        <w:rPr/>
        <w:t>have</w:t>
      </w:r>
      <w:r>
        <w:rPr>
          <w:spacing w:val="-2"/>
        </w:rPr>
        <w:t> </w:t>
      </w:r>
      <w:r>
        <w:rPr/>
        <w:t>a</w:t>
      </w:r>
      <w:r>
        <w:rPr>
          <w:spacing w:val="-3"/>
        </w:rPr>
        <w:t> </w:t>
      </w:r>
      <w:r>
        <w:rPr/>
        <w:t>suitable</w:t>
      </w:r>
      <w:r>
        <w:rPr>
          <w:spacing w:val="-2"/>
        </w:rPr>
        <w:t> </w:t>
      </w:r>
      <w:r>
        <w:rPr/>
        <w:t>range</w:t>
      </w:r>
      <w:r>
        <w:rPr>
          <w:spacing w:val="-3"/>
        </w:rPr>
        <w:t> </w:t>
      </w:r>
      <w:r>
        <w:rPr/>
        <w:t>of tools</w:t>
      </w:r>
      <w:r>
        <w:rPr>
          <w:spacing w:val="-3"/>
        </w:rPr>
        <w:t> </w:t>
      </w:r>
      <w:r>
        <w:rPr/>
        <w:t>at its disposal to allow a proportionate and risk-based approach. ESV has a relatively broad toolkit, but it lacks some important enforcement tools that are available to some other </w:t>
      </w:r>
      <w:r>
        <w:rPr>
          <w:spacing w:val="-2"/>
        </w:rPr>
        <w:t>regulators.</w:t>
      </w:r>
    </w:p>
    <w:p>
      <w:pPr>
        <w:pStyle w:val="BodyText"/>
        <w:spacing w:before="10"/>
        <w:rPr>
          <w:sz w:val="20"/>
        </w:rPr>
      </w:pPr>
    </w:p>
    <w:p>
      <w:pPr>
        <w:pStyle w:val="BodyText"/>
        <w:spacing w:line="288" w:lineRule="auto" w:before="1"/>
        <w:ind w:left="600" w:right="586"/>
      </w:pPr>
      <w:r>
        <w:rPr/>
        <w:t>Table</w:t>
      </w:r>
      <w:r>
        <w:rPr>
          <w:spacing w:val="-1"/>
        </w:rPr>
        <w:t> </w:t>
      </w:r>
      <w:r>
        <w:rPr/>
        <w:t>5</w:t>
      </w:r>
      <w:r>
        <w:rPr>
          <w:spacing w:val="-3"/>
        </w:rPr>
        <w:t> </w:t>
      </w:r>
      <w:r>
        <w:rPr/>
        <w:t>below</w:t>
      </w:r>
      <w:r>
        <w:rPr>
          <w:spacing w:val="-4"/>
        </w:rPr>
        <w:t> </w:t>
      </w:r>
      <w:r>
        <w:rPr/>
        <w:t>compares</w:t>
      </w:r>
      <w:r>
        <w:rPr>
          <w:spacing w:val="-3"/>
        </w:rPr>
        <w:t> </w:t>
      </w:r>
      <w:r>
        <w:rPr/>
        <w:t>the</w:t>
      </w:r>
      <w:r>
        <w:rPr>
          <w:spacing w:val="-3"/>
        </w:rPr>
        <w:t> </w:t>
      </w:r>
      <w:r>
        <w:rPr/>
        <w:t>regulatory</w:t>
      </w:r>
      <w:r>
        <w:rPr>
          <w:spacing w:val="-3"/>
        </w:rPr>
        <w:t> </w:t>
      </w:r>
      <w:r>
        <w:rPr/>
        <w:t>tools</w:t>
      </w:r>
      <w:r>
        <w:rPr>
          <w:spacing w:val="-3"/>
        </w:rPr>
        <w:t> </w:t>
      </w:r>
      <w:r>
        <w:rPr/>
        <w:t>that</w:t>
      </w:r>
      <w:r>
        <w:rPr>
          <w:spacing w:val="-4"/>
        </w:rPr>
        <w:t> </w:t>
      </w:r>
      <w:r>
        <w:rPr/>
        <w:t>ESV</w:t>
      </w:r>
      <w:r>
        <w:rPr>
          <w:spacing w:val="-1"/>
        </w:rPr>
        <w:t> </w:t>
      </w:r>
      <w:r>
        <w:rPr/>
        <w:t>has at</w:t>
      </w:r>
      <w:r>
        <w:rPr>
          <w:spacing w:val="-2"/>
        </w:rPr>
        <w:t> </w:t>
      </w:r>
      <w:r>
        <w:rPr/>
        <w:t>its</w:t>
      </w:r>
      <w:r>
        <w:rPr>
          <w:spacing w:val="-3"/>
        </w:rPr>
        <w:t> </w:t>
      </w:r>
      <w:r>
        <w:rPr/>
        <w:t>disposal</w:t>
      </w:r>
      <w:r>
        <w:rPr>
          <w:spacing w:val="-4"/>
        </w:rPr>
        <w:t> </w:t>
      </w:r>
      <w:r>
        <w:rPr/>
        <w:t>for network safety with some of the tools available to other regulators.</w:t>
      </w:r>
    </w:p>
    <w:p>
      <w:pPr>
        <w:spacing w:after="0" w:line="288" w:lineRule="auto"/>
        <w:sectPr>
          <w:pgSz w:w="11910" w:h="16840"/>
          <w:pgMar w:header="887" w:footer="1228" w:top="1080" w:bottom="1500" w:left="840" w:right="820"/>
        </w:sectPr>
      </w:pPr>
    </w:p>
    <w:p>
      <w:pPr>
        <w:pStyle w:val="BodyText"/>
        <w:rPr>
          <w:sz w:val="20"/>
        </w:rPr>
      </w:pPr>
    </w:p>
    <w:p>
      <w:pPr>
        <w:pStyle w:val="BodyText"/>
        <w:rPr>
          <w:sz w:val="20"/>
        </w:rPr>
      </w:pPr>
    </w:p>
    <w:p>
      <w:pPr>
        <w:pStyle w:val="BodyText"/>
        <w:spacing w:before="5"/>
      </w:pPr>
    </w:p>
    <w:p>
      <w:pPr>
        <w:pStyle w:val="Heading7"/>
        <w:ind w:left="600"/>
      </w:pPr>
      <w:r>
        <w:rPr/>
        <mc:AlternateContent>
          <mc:Choice Requires="wps">
            <w:drawing>
              <wp:anchor distT="0" distB="0" distL="0" distR="0" allowOverlap="1" layoutInCell="1" locked="0" behindDoc="1" simplePos="0" relativeHeight="482717696">
                <wp:simplePos x="0" y="0"/>
                <wp:positionH relativeFrom="page">
                  <wp:posOffset>832485</wp:posOffset>
                </wp:positionH>
                <wp:positionV relativeFrom="paragraph">
                  <wp:posOffset>415136</wp:posOffset>
                </wp:positionV>
                <wp:extent cx="5995035" cy="6656705"/>
                <wp:effectExtent l="0" t="0" r="0" b="0"/>
                <wp:wrapNone/>
                <wp:docPr id="130" name="Group 130"/>
                <wp:cNvGraphicFramePr>
                  <a:graphicFrameLocks/>
                </wp:cNvGraphicFramePr>
                <a:graphic>
                  <a:graphicData uri="http://schemas.microsoft.com/office/word/2010/wordprocessingGroup">
                    <wpg:wgp>
                      <wpg:cNvPr id="130" name="Group 130"/>
                      <wpg:cNvGrpSpPr/>
                      <wpg:grpSpPr>
                        <a:xfrm>
                          <a:off x="0" y="0"/>
                          <a:ext cx="5995035" cy="6656705"/>
                          <a:chExt cx="5995035" cy="6656705"/>
                        </a:xfrm>
                      </wpg:grpSpPr>
                      <pic:pic>
                        <pic:nvPicPr>
                          <pic:cNvPr id="131" name="Image 131"/>
                          <pic:cNvPicPr/>
                        </pic:nvPicPr>
                        <pic:blipFill>
                          <a:blip r:embed="rId73" cstate="print"/>
                          <a:stretch>
                            <a:fillRect/>
                          </a:stretch>
                        </pic:blipFill>
                        <pic:spPr>
                          <a:xfrm>
                            <a:off x="0" y="148717"/>
                            <a:ext cx="5644515" cy="6507480"/>
                          </a:xfrm>
                          <a:prstGeom prst="rect">
                            <a:avLst/>
                          </a:prstGeom>
                        </pic:spPr>
                      </pic:pic>
                      <pic:pic>
                        <pic:nvPicPr>
                          <pic:cNvPr id="132" name="Image 132"/>
                          <pic:cNvPicPr/>
                        </pic:nvPicPr>
                        <pic:blipFill>
                          <a:blip r:embed="rId74" cstate="print"/>
                          <a:stretch>
                            <a:fillRect/>
                          </a:stretch>
                        </pic:blipFill>
                        <pic:spPr>
                          <a:xfrm>
                            <a:off x="5662929" y="0"/>
                            <a:ext cx="332105" cy="6410325"/>
                          </a:xfrm>
                          <a:prstGeom prst="rect">
                            <a:avLst/>
                          </a:prstGeom>
                        </pic:spPr>
                      </pic:pic>
                    </wpg:wgp>
                  </a:graphicData>
                </a:graphic>
              </wp:anchor>
            </w:drawing>
          </mc:Choice>
          <mc:Fallback>
            <w:pict>
              <v:group style="position:absolute;margin-left:65.550003pt;margin-top:32.687897pt;width:472.05pt;height:524.15pt;mso-position-horizontal-relative:page;mso-position-vertical-relative:paragraph;z-index:-20598784" id="docshapegroup114" coordorigin="1311,654" coordsize="9441,10483">
                <v:shape style="position:absolute;left:1311;top:887;width:8889;height:10248" type="#_x0000_t75" id="docshape115" stroked="false">
                  <v:imagedata r:id="rId73" o:title=""/>
                </v:shape>
                <v:shape style="position:absolute;left:10229;top:653;width:523;height:10095" type="#_x0000_t75" id="docshape116" stroked="false">
                  <v:imagedata r:id="rId74" o:title=""/>
                </v:shape>
                <w10:wrap type="none"/>
              </v:group>
            </w:pict>
          </mc:Fallback>
        </mc:AlternateContent>
      </w:r>
      <w:r>
        <w:rPr/>
        <mc:AlternateContent>
          <mc:Choice Requires="wps">
            <w:drawing>
              <wp:anchor distT="0" distB="0" distL="0" distR="0" allowOverlap="1" layoutInCell="1" locked="0" behindDoc="0" simplePos="0" relativeHeight="15768064">
                <wp:simplePos x="0" y="0"/>
                <wp:positionH relativeFrom="page">
                  <wp:posOffset>6572294</wp:posOffset>
                </wp:positionH>
                <wp:positionV relativeFrom="paragraph">
                  <wp:posOffset>2839549</wp:posOffset>
                </wp:positionV>
                <wp:extent cx="167005" cy="654050"/>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167005" cy="654050"/>
                        </a:xfrm>
                        <a:prstGeom prst="rect">
                          <a:avLst/>
                        </a:prstGeom>
                      </wps:spPr>
                      <wps:txbx>
                        <w:txbxContent>
                          <w:p>
                            <w:pPr>
                              <w:spacing w:before="12"/>
                              <w:ind w:left="20" w:right="0" w:firstLine="0"/>
                              <w:jc w:val="left"/>
                              <w:rPr>
                                <w:b/>
                                <w:sz w:val="20"/>
                              </w:rPr>
                            </w:pPr>
                            <w:r>
                              <w:rPr>
                                <w:b/>
                                <w:spacing w:val="-2"/>
                                <w:sz w:val="20"/>
                              </w:rPr>
                              <w:t>SEVERITY</w:t>
                            </w:r>
                          </w:p>
                        </w:txbxContent>
                      </wps:txbx>
                      <wps:bodyPr wrap="square" lIns="0" tIns="0" rIns="0" bIns="0" rtlCol="0" vert="vert270">
                        <a:noAutofit/>
                      </wps:bodyPr>
                    </wps:wsp>
                  </a:graphicData>
                </a:graphic>
              </wp:anchor>
            </w:drawing>
          </mc:Choice>
          <mc:Fallback>
            <w:pict>
              <v:shape style="position:absolute;margin-left:517.503479pt;margin-top:223.586578pt;width:13.15pt;height:51.5pt;mso-position-horizontal-relative:page;mso-position-vertical-relative:paragraph;z-index:15768064" type="#_x0000_t202" id="docshape117" filled="false" stroked="false">
                <v:textbox inset="0,0,0,0" style="layout-flow:vertical;mso-layout-flow-alt:bottom-to-top">
                  <w:txbxContent>
                    <w:p>
                      <w:pPr>
                        <w:spacing w:before="12"/>
                        <w:ind w:left="20" w:right="0" w:firstLine="0"/>
                        <w:jc w:val="left"/>
                        <w:rPr>
                          <w:b/>
                          <w:sz w:val="20"/>
                        </w:rPr>
                      </w:pPr>
                      <w:r>
                        <w:rPr>
                          <w:b/>
                          <w:spacing w:val="-2"/>
                          <w:sz w:val="20"/>
                        </w:rPr>
                        <w:t>SEVERITY</w:t>
                      </w:r>
                    </w:p>
                  </w:txbxContent>
                </v:textbox>
                <w10:wrap type="none"/>
              </v:shape>
            </w:pict>
          </mc:Fallback>
        </mc:AlternateContent>
      </w:r>
      <w:r>
        <w:rPr/>
        <w:t>Table</w:t>
      </w:r>
      <w:r>
        <w:rPr>
          <w:spacing w:val="-5"/>
        </w:rPr>
        <w:t> </w:t>
      </w:r>
      <w:r>
        <w:rPr/>
        <w:t>5:</w:t>
      </w:r>
      <w:r>
        <w:rPr>
          <w:spacing w:val="-3"/>
        </w:rPr>
        <w:t> </w:t>
      </w:r>
      <w:r>
        <w:rPr/>
        <w:t>Regulatory</w:t>
      </w:r>
      <w:r>
        <w:rPr>
          <w:spacing w:val="-8"/>
        </w:rPr>
        <w:t> </w:t>
      </w:r>
      <w:r>
        <w:rPr>
          <w:spacing w:val="-2"/>
        </w:rPr>
        <w:t>tools</w:t>
      </w:r>
    </w:p>
    <w:p>
      <w:pPr>
        <w:pStyle w:val="BodyText"/>
        <w:spacing w:before="10" w:after="1"/>
        <w:rPr>
          <w:b/>
          <w:sz w:val="14"/>
        </w:rPr>
      </w:pPr>
    </w:p>
    <w:tbl>
      <w:tblPr>
        <w:tblW w:w="0" w:type="auto"/>
        <w:jc w:val="left"/>
        <w:tblInd w:w="49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top w:w="0" w:type="dxa"/>
          <w:left w:w="0" w:type="dxa"/>
          <w:bottom w:w="0" w:type="dxa"/>
          <w:right w:w="0" w:type="dxa"/>
        </w:tblCellMar>
        <w:tblLook w:val="01E0"/>
      </w:tblPr>
      <w:tblGrid>
        <w:gridCol w:w="4362"/>
        <w:gridCol w:w="4537"/>
      </w:tblGrid>
      <w:tr>
        <w:trPr>
          <w:trHeight w:val="463" w:hRule="atLeast"/>
        </w:trPr>
        <w:tc>
          <w:tcPr>
            <w:tcW w:w="4362" w:type="dxa"/>
            <w:tcBorders>
              <w:bottom w:val="nil"/>
              <w:right w:val="single" w:sz="4" w:space="0" w:color="D9D9D9"/>
            </w:tcBorders>
            <w:shd w:val="clear" w:color="auto" w:fill="BEBEBE"/>
          </w:tcPr>
          <w:p>
            <w:pPr>
              <w:pStyle w:val="TableParagraph"/>
              <w:spacing w:before="81"/>
              <w:ind w:left="108"/>
              <w:rPr>
                <w:b/>
                <w:sz w:val="22"/>
              </w:rPr>
            </w:pPr>
            <w:r>
              <w:rPr>
                <w:b/>
                <w:sz w:val="22"/>
              </w:rPr>
              <w:t>Regulatory</w:t>
            </w:r>
            <w:r>
              <w:rPr>
                <w:b/>
                <w:spacing w:val="-8"/>
                <w:sz w:val="22"/>
              </w:rPr>
              <w:t> </w:t>
            </w:r>
            <w:r>
              <w:rPr>
                <w:b/>
                <w:sz w:val="22"/>
              </w:rPr>
              <w:t>tools</w:t>
            </w:r>
            <w:r>
              <w:rPr>
                <w:b/>
                <w:spacing w:val="-4"/>
                <w:sz w:val="22"/>
              </w:rPr>
              <w:t> </w:t>
            </w:r>
            <w:r>
              <w:rPr>
                <w:b/>
                <w:sz w:val="22"/>
              </w:rPr>
              <w:t>available</w:t>
            </w:r>
            <w:r>
              <w:rPr>
                <w:b/>
                <w:spacing w:val="-6"/>
                <w:sz w:val="22"/>
              </w:rPr>
              <w:t> </w:t>
            </w:r>
            <w:r>
              <w:rPr>
                <w:b/>
                <w:sz w:val="22"/>
              </w:rPr>
              <w:t>to</w:t>
            </w:r>
            <w:r>
              <w:rPr>
                <w:b/>
                <w:spacing w:val="-3"/>
                <w:sz w:val="22"/>
              </w:rPr>
              <w:t> </w:t>
            </w:r>
            <w:r>
              <w:rPr>
                <w:b/>
                <w:spacing w:val="-5"/>
                <w:sz w:val="22"/>
              </w:rPr>
              <w:t>ESV</w:t>
            </w:r>
          </w:p>
        </w:tc>
        <w:tc>
          <w:tcPr>
            <w:tcW w:w="4537" w:type="dxa"/>
            <w:tcBorders>
              <w:left w:val="single" w:sz="4" w:space="0" w:color="D9D9D9"/>
              <w:bottom w:val="nil"/>
            </w:tcBorders>
            <w:shd w:val="clear" w:color="auto" w:fill="BEBEBE"/>
          </w:tcPr>
          <w:p>
            <w:pPr>
              <w:pStyle w:val="TableParagraph"/>
              <w:spacing w:before="81"/>
              <w:ind w:left="107"/>
              <w:rPr>
                <w:b/>
                <w:sz w:val="22"/>
              </w:rPr>
            </w:pPr>
            <w:r>
              <w:rPr>
                <w:b/>
                <w:sz w:val="22"/>
              </w:rPr>
              <w:t>Regulatory</w:t>
            </w:r>
            <w:r>
              <w:rPr>
                <w:b/>
                <w:spacing w:val="-7"/>
                <w:sz w:val="22"/>
              </w:rPr>
              <w:t> </w:t>
            </w:r>
            <w:r>
              <w:rPr>
                <w:b/>
                <w:sz w:val="22"/>
              </w:rPr>
              <w:t>tools</w:t>
            </w:r>
            <w:r>
              <w:rPr>
                <w:b/>
                <w:spacing w:val="-3"/>
                <w:sz w:val="22"/>
              </w:rPr>
              <w:t> </w:t>
            </w:r>
            <w:r>
              <w:rPr>
                <w:b/>
                <w:sz w:val="22"/>
              </w:rPr>
              <w:t>NOT</w:t>
            </w:r>
            <w:r>
              <w:rPr>
                <w:b/>
                <w:spacing w:val="-5"/>
                <w:sz w:val="22"/>
              </w:rPr>
              <w:t> </w:t>
            </w:r>
            <w:r>
              <w:rPr>
                <w:b/>
                <w:sz w:val="22"/>
              </w:rPr>
              <w:t>available</w:t>
            </w:r>
            <w:r>
              <w:rPr>
                <w:b/>
                <w:spacing w:val="-5"/>
                <w:sz w:val="22"/>
              </w:rPr>
              <w:t> </w:t>
            </w:r>
            <w:r>
              <w:rPr>
                <w:b/>
                <w:sz w:val="22"/>
              </w:rPr>
              <w:t>to</w:t>
            </w:r>
            <w:r>
              <w:rPr>
                <w:b/>
                <w:spacing w:val="-3"/>
                <w:sz w:val="22"/>
              </w:rPr>
              <w:t> </w:t>
            </w:r>
            <w:r>
              <w:rPr>
                <w:b/>
                <w:spacing w:val="-5"/>
                <w:sz w:val="22"/>
              </w:rPr>
              <w:t>ESV</w:t>
            </w:r>
          </w:p>
        </w:tc>
      </w:tr>
      <w:tr>
        <w:trPr>
          <w:trHeight w:val="10253" w:hRule="atLeast"/>
        </w:trPr>
        <w:tc>
          <w:tcPr>
            <w:tcW w:w="4362" w:type="dxa"/>
            <w:tcBorders>
              <w:top w:val="nil"/>
              <w:right w:val="nil"/>
            </w:tcBorders>
          </w:tcPr>
          <w:p>
            <w:pPr>
              <w:pStyle w:val="TableParagraph"/>
              <w:numPr>
                <w:ilvl w:val="0"/>
                <w:numId w:val="41"/>
              </w:numPr>
              <w:tabs>
                <w:tab w:pos="609" w:val="left" w:leader="none"/>
              </w:tabs>
              <w:spacing w:line="261" w:lineRule="auto" w:before="54" w:after="0"/>
              <w:ind w:left="609" w:right="725" w:hanging="360"/>
              <w:jc w:val="left"/>
              <w:rPr>
                <w:sz w:val="19"/>
              </w:rPr>
            </w:pPr>
            <w:r>
              <w:rPr>
                <w:sz w:val="19"/>
              </w:rPr>
              <w:t>Educate</w:t>
            </w:r>
            <w:r>
              <w:rPr>
                <w:spacing w:val="-10"/>
                <w:sz w:val="19"/>
              </w:rPr>
              <w:t> </w:t>
            </w:r>
            <w:r>
              <w:rPr>
                <w:sz w:val="19"/>
              </w:rPr>
              <w:t>and</w:t>
            </w:r>
            <w:r>
              <w:rPr>
                <w:spacing w:val="-10"/>
                <w:sz w:val="19"/>
              </w:rPr>
              <w:t> </w:t>
            </w:r>
            <w:r>
              <w:rPr>
                <w:sz w:val="19"/>
              </w:rPr>
              <w:t>maintain</w:t>
            </w:r>
            <w:r>
              <w:rPr>
                <w:spacing w:val="-10"/>
                <w:sz w:val="19"/>
              </w:rPr>
              <w:t> </w:t>
            </w:r>
            <w:r>
              <w:rPr>
                <w:sz w:val="19"/>
              </w:rPr>
              <w:t>awareness</w:t>
            </w:r>
            <w:r>
              <w:rPr>
                <w:spacing w:val="-9"/>
                <w:sz w:val="19"/>
              </w:rPr>
              <w:t> </w:t>
            </w:r>
            <w:r>
              <w:rPr>
                <w:sz w:val="19"/>
              </w:rPr>
              <w:t>of </w:t>
            </w:r>
            <w:r>
              <w:rPr>
                <w:spacing w:val="-2"/>
                <w:sz w:val="19"/>
              </w:rPr>
              <w:t>requirements</w:t>
            </w:r>
          </w:p>
          <w:p>
            <w:pPr>
              <w:pStyle w:val="TableParagraph"/>
              <w:numPr>
                <w:ilvl w:val="0"/>
                <w:numId w:val="41"/>
              </w:numPr>
              <w:tabs>
                <w:tab w:pos="609" w:val="left" w:leader="none"/>
              </w:tabs>
              <w:spacing w:line="240" w:lineRule="auto" w:before="57" w:after="0"/>
              <w:ind w:left="609" w:right="0" w:hanging="360"/>
              <w:jc w:val="left"/>
              <w:rPr>
                <w:sz w:val="19"/>
              </w:rPr>
            </w:pPr>
            <w:r>
              <w:rPr>
                <w:sz w:val="19"/>
              </w:rPr>
              <w:t>Encourage</w:t>
            </w:r>
            <w:r>
              <w:rPr>
                <w:spacing w:val="-11"/>
                <w:sz w:val="19"/>
              </w:rPr>
              <w:t> </w:t>
            </w:r>
            <w:r>
              <w:rPr>
                <w:sz w:val="19"/>
              </w:rPr>
              <w:t>and</w:t>
            </w:r>
            <w:r>
              <w:rPr>
                <w:spacing w:val="-10"/>
                <w:sz w:val="19"/>
              </w:rPr>
              <w:t> </w:t>
            </w:r>
            <w:r>
              <w:rPr>
                <w:sz w:val="19"/>
              </w:rPr>
              <w:t>facilitate</w:t>
            </w:r>
            <w:r>
              <w:rPr>
                <w:spacing w:val="-8"/>
                <w:sz w:val="19"/>
              </w:rPr>
              <w:t> </w:t>
            </w:r>
            <w:r>
              <w:rPr>
                <w:spacing w:val="-2"/>
                <w:sz w:val="19"/>
              </w:rPr>
              <w:t>compliance</w:t>
            </w:r>
          </w:p>
          <w:p>
            <w:pPr>
              <w:pStyle w:val="TableParagraph"/>
              <w:numPr>
                <w:ilvl w:val="0"/>
                <w:numId w:val="41"/>
              </w:numPr>
              <w:tabs>
                <w:tab w:pos="609" w:val="left" w:leader="none"/>
              </w:tabs>
              <w:spacing w:line="264" w:lineRule="auto" w:before="74" w:after="0"/>
              <w:ind w:left="609" w:right="1051" w:hanging="360"/>
              <w:jc w:val="left"/>
              <w:rPr>
                <w:sz w:val="19"/>
              </w:rPr>
            </w:pPr>
            <w:r>
              <w:rPr>
                <w:sz w:val="19"/>
              </w:rPr>
              <w:t>Information</w:t>
            </w:r>
            <w:r>
              <w:rPr>
                <w:spacing w:val="-10"/>
                <w:sz w:val="19"/>
              </w:rPr>
              <w:t> </w:t>
            </w:r>
            <w:r>
              <w:rPr>
                <w:sz w:val="19"/>
              </w:rPr>
              <w:t>notice</w:t>
            </w:r>
            <w:r>
              <w:rPr>
                <w:spacing w:val="-10"/>
                <w:sz w:val="19"/>
              </w:rPr>
              <w:t> </w:t>
            </w:r>
            <w:r>
              <w:rPr>
                <w:sz w:val="19"/>
              </w:rPr>
              <w:t>or</w:t>
            </w:r>
            <w:r>
              <w:rPr>
                <w:spacing w:val="-10"/>
                <w:sz w:val="19"/>
              </w:rPr>
              <w:t> </w:t>
            </w:r>
            <w:r>
              <w:rPr>
                <w:sz w:val="19"/>
              </w:rPr>
              <w:t>request</w:t>
            </w:r>
            <w:r>
              <w:rPr>
                <w:spacing w:val="-10"/>
                <w:sz w:val="19"/>
              </w:rPr>
              <w:t> </w:t>
            </w:r>
            <w:r>
              <w:rPr>
                <w:sz w:val="19"/>
              </w:rPr>
              <w:t>for </w:t>
            </w:r>
            <w:r>
              <w:rPr>
                <w:spacing w:val="-2"/>
                <w:sz w:val="19"/>
              </w:rPr>
              <w:t>information</w:t>
            </w:r>
          </w:p>
          <w:p>
            <w:pPr>
              <w:pStyle w:val="TableParagraph"/>
              <w:spacing w:line="264" w:lineRule="auto"/>
              <w:ind w:left="609" w:right="364"/>
              <w:rPr>
                <w:sz w:val="19"/>
              </w:rPr>
            </w:pPr>
            <w:r>
              <w:rPr>
                <w:sz w:val="19"/>
              </w:rPr>
              <w:t>*information</w:t>
            </w:r>
            <w:r>
              <w:rPr>
                <w:spacing w:val="-13"/>
                <w:sz w:val="19"/>
              </w:rPr>
              <w:t> </w:t>
            </w:r>
            <w:r>
              <w:rPr>
                <w:sz w:val="19"/>
              </w:rPr>
              <w:t>notice</w:t>
            </w:r>
            <w:r>
              <w:rPr>
                <w:spacing w:val="-12"/>
                <w:sz w:val="19"/>
              </w:rPr>
              <w:t> </w:t>
            </w:r>
            <w:r>
              <w:rPr>
                <w:sz w:val="19"/>
              </w:rPr>
              <w:t>available</w:t>
            </w:r>
            <w:r>
              <w:rPr>
                <w:spacing w:val="-14"/>
                <w:sz w:val="19"/>
              </w:rPr>
              <w:t> </w:t>
            </w:r>
            <w:r>
              <w:rPr>
                <w:sz w:val="19"/>
              </w:rPr>
              <w:t>for electricity sector (not gas)</w:t>
            </w:r>
          </w:p>
          <w:p>
            <w:pPr>
              <w:pStyle w:val="TableParagraph"/>
              <w:numPr>
                <w:ilvl w:val="0"/>
                <w:numId w:val="41"/>
              </w:numPr>
              <w:tabs>
                <w:tab w:pos="609" w:val="left" w:leader="none"/>
              </w:tabs>
              <w:spacing w:line="240" w:lineRule="auto" w:before="54" w:after="0"/>
              <w:ind w:left="609" w:right="0" w:hanging="360"/>
              <w:jc w:val="left"/>
              <w:rPr>
                <w:sz w:val="19"/>
              </w:rPr>
            </w:pPr>
            <w:r>
              <w:rPr>
                <w:sz w:val="19"/>
              </w:rPr>
              <w:t>Unofficial</w:t>
            </w:r>
            <w:r>
              <w:rPr>
                <w:spacing w:val="-8"/>
                <w:sz w:val="19"/>
              </w:rPr>
              <w:t> </w:t>
            </w:r>
            <w:r>
              <w:rPr>
                <w:spacing w:val="-2"/>
                <w:sz w:val="19"/>
              </w:rPr>
              <w:t>warning</w:t>
            </w:r>
          </w:p>
          <w:p>
            <w:pPr>
              <w:pStyle w:val="TableParagraph"/>
              <w:numPr>
                <w:ilvl w:val="0"/>
                <w:numId w:val="41"/>
              </w:numPr>
              <w:tabs>
                <w:tab w:pos="609" w:val="left" w:leader="none"/>
              </w:tabs>
              <w:spacing w:line="240" w:lineRule="auto" w:before="74" w:after="0"/>
              <w:ind w:left="609" w:right="0" w:hanging="360"/>
              <w:jc w:val="left"/>
              <w:rPr>
                <w:sz w:val="19"/>
              </w:rPr>
            </w:pPr>
            <w:r>
              <w:rPr>
                <w:spacing w:val="-2"/>
                <w:sz w:val="19"/>
              </w:rPr>
              <w:t>Non-compliance</w:t>
            </w:r>
            <w:r>
              <w:rPr>
                <w:spacing w:val="6"/>
                <w:sz w:val="19"/>
              </w:rPr>
              <w:t> </w:t>
            </w:r>
            <w:r>
              <w:rPr>
                <w:spacing w:val="-2"/>
                <w:sz w:val="19"/>
              </w:rPr>
              <w:t>notice</w:t>
            </w:r>
            <w:r>
              <w:rPr>
                <w:spacing w:val="7"/>
                <w:sz w:val="19"/>
              </w:rPr>
              <w:t> </w:t>
            </w:r>
            <w:r>
              <w:rPr>
                <w:spacing w:val="-2"/>
                <w:sz w:val="19"/>
              </w:rPr>
              <w:t>(informal)</w:t>
            </w:r>
          </w:p>
          <w:p>
            <w:pPr>
              <w:pStyle w:val="TableParagraph"/>
              <w:numPr>
                <w:ilvl w:val="0"/>
                <w:numId w:val="41"/>
              </w:numPr>
              <w:tabs>
                <w:tab w:pos="609" w:val="left" w:leader="none"/>
              </w:tabs>
              <w:spacing w:line="264" w:lineRule="auto" w:before="75" w:after="0"/>
              <w:ind w:left="609" w:right="452" w:hanging="360"/>
              <w:jc w:val="left"/>
              <w:rPr>
                <w:sz w:val="19"/>
              </w:rPr>
            </w:pPr>
            <w:r>
              <w:rPr>
                <w:sz w:val="19"/>
              </w:rPr>
              <w:t>Official</w:t>
            </w:r>
            <w:r>
              <w:rPr>
                <w:spacing w:val="-9"/>
                <w:sz w:val="19"/>
              </w:rPr>
              <w:t> </w:t>
            </w:r>
            <w:r>
              <w:rPr>
                <w:sz w:val="19"/>
              </w:rPr>
              <w:t>warning</w:t>
            </w:r>
            <w:r>
              <w:rPr>
                <w:spacing w:val="-11"/>
                <w:sz w:val="19"/>
              </w:rPr>
              <w:t> </w:t>
            </w:r>
            <w:r>
              <w:rPr>
                <w:sz w:val="19"/>
              </w:rPr>
              <w:t>(for</w:t>
            </w:r>
            <w:r>
              <w:rPr>
                <w:spacing w:val="-11"/>
                <w:sz w:val="19"/>
              </w:rPr>
              <w:t> </w:t>
            </w:r>
            <w:r>
              <w:rPr>
                <w:sz w:val="19"/>
              </w:rPr>
              <w:t>infringement</w:t>
            </w:r>
            <w:r>
              <w:rPr>
                <w:spacing w:val="-11"/>
                <w:sz w:val="19"/>
              </w:rPr>
              <w:t> </w:t>
            </w:r>
            <w:r>
              <w:rPr>
                <w:sz w:val="19"/>
              </w:rPr>
              <w:t>notice </w:t>
            </w:r>
            <w:r>
              <w:rPr>
                <w:spacing w:val="-2"/>
                <w:sz w:val="19"/>
              </w:rPr>
              <w:t>offences)</w:t>
            </w:r>
          </w:p>
          <w:p>
            <w:pPr>
              <w:pStyle w:val="TableParagraph"/>
              <w:numPr>
                <w:ilvl w:val="0"/>
                <w:numId w:val="41"/>
              </w:numPr>
              <w:tabs>
                <w:tab w:pos="609" w:val="left" w:leader="none"/>
              </w:tabs>
              <w:spacing w:line="240" w:lineRule="auto" w:before="55" w:after="0"/>
              <w:ind w:left="609" w:right="0" w:hanging="360"/>
              <w:jc w:val="left"/>
              <w:rPr>
                <w:sz w:val="19"/>
              </w:rPr>
            </w:pPr>
            <w:r>
              <w:rPr>
                <w:sz w:val="19"/>
              </w:rPr>
              <w:t>Infringement</w:t>
            </w:r>
            <w:r>
              <w:rPr>
                <w:spacing w:val="-13"/>
                <w:sz w:val="19"/>
              </w:rPr>
              <w:t> </w:t>
            </w:r>
            <w:r>
              <w:rPr>
                <w:spacing w:val="-2"/>
                <w:sz w:val="19"/>
              </w:rPr>
              <w:t>notice</w:t>
            </w:r>
          </w:p>
          <w:p>
            <w:pPr>
              <w:pStyle w:val="TableParagraph"/>
              <w:numPr>
                <w:ilvl w:val="0"/>
                <w:numId w:val="41"/>
              </w:numPr>
              <w:tabs>
                <w:tab w:pos="609" w:val="left" w:leader="none"/>
              </w:tabs>
              <w:spacing w:line="240" w:lineRule="auto" w:before="74" w:after="0"/>
              <w:ind w:left="609" w:right="0" w:hanging="360"/>
              <w:jc w:val="left"/>
              <w:rPr>
                <w:sz w:val="19"/>
              </w:rPr>
            </w:pPr>
            <w:r>
              <w:rPr>
                <w:spacing w:val="-2"/>
                <w:sz w:val="19"/>
              </w:rPr>
              <w:t>Improvement</w:t>
            </w:r>
            <w:r>
              <w:rPr>
                <w:spacing w:val="5"/>
                <w:sz w:val="19"/>
              </w:rPr>
              <w:t> </w:t>
            </w:r>
            <w:r>
              <w:rPr>
                <w:spacing w:val="-2"/>
                <w:sz w:val="19"/>
              </w:rPr>
              <w:t>notice</w:t>
            </w:r>
          </w:p>
          <w:p>
            <w:pPr>
              <w:pStyle w:val="TableParagraph"/>
              <w:numPr>
                <w:ilvl w:val="0"/>
                <w:numId w:val="41"/>
              </w:numPr>
              <w:tabs>
                <w:tab w:pos="609" w:val="left" w:leader="none"/>
              </w:tabs>
              <w:spacing w:line="240" w:lineRule="auto" w:before="74" w:after="0"/>
              <w:ind w:left="609" w:right="0" w:hanging="360"/>
              <w:jc w:val="left"/>
              <w:rPr>
                <w:sz w:val="19"/>
              </w:rPr>
            </w:pPr>
            <w:r>
              <w:rPr>
                <w:sz w:val="19"/>
              </w:rPr>
              <w:t>Prohibition</w:t>
            </w:r>
            <w:r>
              <w:rPr>
                <w:spacing w:val="-14"/>
                <w:sz w:val="19"/>
              </w:rPr>
              <w:t> </w:t>
            </w:r>
            <w:r>
              <w:rPr>
                <w:sz w:val="19"/>
              </w:rPr>
              <w:t>notice</w:t>
            </w:r>
            <w:r>
              <w:rPr>
                <w:spacing w:val="-13"/>
                <w:sz w:val="19"/>
              </w:rPr>
              <w:t> </w:t>
            </w:r>
            <w:r>
              <w:rPr>
                <w:sz w:val="19"/>
              </w:rPr>
              <w:t>(immediate</w:t>
            </w:r>
            <w:r>
              <w:rPr>
                <w:spacing w:val="-12"/>
                <w:sz w:val="19"/>
              </w:rPr>
              <w:t> </w:t>
            </w:r>
            <w:r>
              <w:rPr>
                <w:spacing w:val="-2"/>
                <w:sz w:val="19"/>
              </w:rPr>
              <w:t>risk)</w:t>
            </w:r>
          </w:p>
          <w:p>
            <w:pPr>
              <w:pStyle w:val="TableParagraph"/>
              <w:spacing w:before="20"/>
              <w:ind w:left="609"/>
              <w:rPr>
                <w:sz w:val="19"/>
              </w:rPr>
            </w:pPr>
            <w:r>
              <w:rPr>
                <w:sz w:val="19"/>
              </w:rPr>
              <w:t>*available</w:t>
            </w:r>
            <w:r>
              <w:rPr>
                <w:spacing w:val="-8"/>
                <w:sz w:val="19"/>
              </w:rPr>
              <w:t> </w:t>
            </w:r>
            <w:r>
              <w:rPr>
                <w:sz w:val="19"/>
              </w:rPr>
              <w:t>for</w:t>
            </w:r>
            <w:r>
              <w:rPr>
                <w:spacing w:val="-5"/>
                <w:sz w:val="19"/>
              </w:rPr>
              <w:t> </w:t>
            </w:r>
            <w:r>
              <w:rPr>
                <w:sz w:val="19"/>
              </w:rPr>
              <w:t>gas</w:t>
            </w:r>
            <w:r>
              <w:rPr>
                <w:spacing w:val="-5"/>
                <w:sz w:val="19"/>
              </w:rPr>
              <w:t> </w:t>
            </w:r>
            <w:r>
              <w:rPr>
                <w:sz w:val="19"/>
              </w:rPr>
              <w:t>sector</w:t>
            </w:r>
            <w:r>
              <w:rPr>
                <w:spacing w:val="-5"/>
                <w:sz w:val="19"/>
              </w:rPr>
              <w:t> </w:t>
            </w:r>
            <w:r>
              <w:rPr>
                <w:sz w:val="19"/>
              </w:rPr>
              <w:t>(not</w:t>
            </w:r>
            <w:r>
              <w:rPr>
                <w:spacing w:val="-6"/>
                <w:sz w:val="19"/>
              </w:rPr>
              <w:t> </w:t>
            </w:r>
            <w:r>
              <w:rPr>
                <w:spacing w:val="-2"/>
                <w:sz w:val="19"/>
              </w:rPr>
              <w:t>electricity)</w:t>
            </w:r>
          </w:p>
          <w:p>
            <w:pPr>
              <w:pStyle w:val="TableParagraph"/>
              <w:numPr>
                <w:ilvl w:val="0"/>
                <w:numId w:val="41"/>
              </w:numPr>
              <w:tabs>
                <w:tab w:pos="609" w:val="left" w:leader="none"/>
              </w:tabs>
              <w:spacing w:line="264" w:lineRule="auto" w:before="76" w:after="0"/>
              <w:ind w:left="609" w:right="820" w:hanging="360"/>
              <w:jc w:val="both"/>
              <w:rPr>
                <w:sz w:val="19"/>
              </w:rPr>
            </w:pPr>
            <w:r>
              <w:rPr>
                <w:sz w:val="19"/>
              </w:rPr>
              <w:t>Section</w:t>
            </w:r>
            <w:r>
              <w:rPr>
                <w:spacing w:val="-7"/>
                <w:sz w:val="19"/>
              </w:rPr>
              <w:t> </w:t>
            </w:r>
            <w:r>
              <w:rPr>
                <w:sz w:val="19"/>
              </w:rPr>
              <w:t>86</w:t>
            </w:r>
            <w:r>
              <w:rPr>
                <w:spacing w:val="-7"/>
                <w:sz w:val="19"/>
              </w:rPr>
              <w:t> </w:t>
            </w:r>
            <w:r>
              <w:rPr>
                <w:sz w:val="19"/>
              </w:rPr>
              <w:t>and</w:t>
            </w:r>
            <w:r>
              <w:rPr>
                <w:spacing w:val="-7"/>
                <w:sz w:val="19"/>
              </w:rPr>
              <w:t> </w:t>
            </w:r>
            <w:r>
              <w:rPr>
                <w:sz w:val="19"/>
              </w:rPr>
              <w:t>95</w:t>
            </w:r>
            <w:r>
              <w:rPr>
                <w:spacing w:val="-6"/>
                <w:sz w:val="19"/>
              </w:rPr>
              <w:t> </w:t>
            </w:r>
            <w:r>
              <w:rPr>
                <w:sz w:val="19"/>
              </w:rPr>
              <w:t>notices</w:t>
            </w:r>
            <w:r>
              <w:rPr>
                <w:spacing w:val="-6"/>
                <w:sz w:val="19"/>
              </w:rPr>
              <w:t> </w:t>
            </w:r>
            <w:r>
              <w:rPr>
                <w:sz w:val="19"/>
              </w:rPr>
              <w:t>(to</w:t>
            </w:r>
            <w:r>
              <w:rPr>
                <w:spacing w:val="-7"/>
                <w:sz w:val="19"/>
              </w:rPr>
              <w:t> </w:t>
            </w:r>
            <w:r>
              <w:rPr>
                <w:sz w:val="19"/>
              </w:rPr>
              <w:t>keep electric</w:t>
            </w:r>
            <w:r>
              <w:rPr>
                <w:spacing w:val="-7"/>
                <w:sz w:val="19"/>
              </w:rPr>
              <w:t> </w:t>
            </w:r>
            <w:r>
              <w:rPr>
                <w:sz w:val="19"/>
              </w:rPr>
              <w:t>lines</w:t>
            </w:r>
            <w:r>
              <w:rPr>
                <w:spacing w:val="-7"/>
                <w:sz w:val="19"/>
              </w:rPr>
              <w:t> </w:t>
            </w:r>
            <w:r>
              <w:rPr>
                <w:sz w:val="19"/>
              </w:rPr>
              <w:t>clear</w:t>
            </w:r>
            <w:r>
              <w:rPr>
                <w:spacing w:val="-6"/>
                <w:sz w:val="19"/>
              </w:rPr>
              <w:t> </w:t>
            </w:r>
            <w:r>
              <w:rPr>
                <w:sz w:val="19"/>
              </w:rPr>
              <w:t>or</w:t>
            </w:r>
            <w:r>
              <w:rPr>
                <w:spacing w:val="-6"/>
                <w:sz w:val="19"/>
              </w:rPr>
              <w:t> </w:t>
            </w:r>
            <w:r>
              <w:rPr>
                <w:sz w:val="19"/>
              </w:rPr>
              <w:t>mitigate</w:t>
            </w:r>
            <w:r>
              <w:rPr>
                <w:spacing w:val="-5"/>
                <w:sz w:val="19"/>
              </w:rPr>
              <w:t> </w:t>
            </w:r>
            <w:r>
              <w:rPr>
                <w:sz w:val="19"/>
              </w:rPr>
              <w:t>stray current erosion)</w:t>
            </w:r>
          </w:p>
          <w:p>
            <w:pPr>
              <w:pStyle w:val="TableParagraph"/>
              <w:numPr>
                <w:ilvl w:val="0"/>
                <w:numId w:val="41"/>
              </w:numPr>
              <w:tabs>
                <w:tab w:pos="609" w:val="left" w:leader="none"/>
              </w:tabs>
              <w:spacing w:line="240" w:lineRule="auto" w:before="52" w:after="0"/>
              <w:ind w:left="609" w:right="0" w:hanging="360"/>
              <w:jc w:val="left"/>
              <w:rPr>
                <w:sz w:val="19"/>
              </w:rPr>
            </w:pPr>
            <w:r>
              <w:rPr>
                <w:spacing w:val="-2"/>
                <w:sz w:val="19"/>
              </w:rPr>
              <w:t>Audit/audit</w:t>
            </w:r>
            <w:r>
              <w:rPr>
                <w:spacing w:val="7"/>
                <w:sz w:val="19"/>
              </w:rPr>
              <w:t> </w:t>
            </w:r>
            <w:r>
              <w:rPr>
                <w:spacing w:val="-2"/>
                <w:sz w:val="19"/>
              </w:rPr>
              <w:t>request</w:t>
            </w:r>
          </w:p>
          <w:p>
            <w:pPr>
              <w:pStyle w:val="TableParagraph"/>
              <w:numPr>
                <w:ilvl w:val="0"/>
                <w:numId w:val="41"/>
              </w:numPr>
              <w:tabs>
                <w:tab w:pos="609" w:val="left" w:leader="none"/>
              </w:tabs>
              <w:spacing w:line="240" w:lineRule="auto" w:before="77" w:after="0"/>
              <w:ind w:left="609" w:right="0" w:hanging="360"/>
              <w:jc w:val="left"/>
              <w:rPr>
                <w:sz w:val="19"/>
              </w:rPr>
            </w:pPr>
            <w:r>
              <w:rPr>
                <w:spacing w:val="-2"/>
                <w:sz w:val="19"/>
              </w:rPr>
              <w:t>Directions</w:t>
            </w:r>
          </w:p>
          <w:p>
            <w:pPr>
              <w:pStyle w:val="TableParagraph"/>
              <w:numPr>
                <w:ilvl w:val="0"/>
                <w:numId w:val="41"/>
              </w:numPr>
              <w:tabs>
                <w:tab w:pos="609" w:val="left" w:leader="none"/>
              </w:tabs>
              <w:spacing w:line="240" w:lineRule="auto" w:before="74" w:after="0"/>
              <w:ind w:left="609" w:right="0" w:hanging="360"/>
              <w:jc w:val="left"/>
              <w:rPr>
                <w:sz w:val="19"/>
              </w:rPr>
            </w:pPr>
            <w:r>
              <w:rPr>
                <w:sz w:val="19"/>
              </w:rPr>
              <w:t>Requirement</w:t>
            </w:r>
            <w:r>
              <w:rPr>
                <w:spacing w:val="-10"/>
                <w:sz w:val="19"/>
              </w:rPr>
              <w:t> </w:t>
            </w:r>
            <w:r>
              <w:rPr>
                <w:sz w:val="19"/>
              </w:rPr>
              <w:t>to</w:t>
            </w:r>
            <w:r>
              <w:rPr>
                <w:spacing w:val="-7"/>
                <w:sz w:val="19"/>
              </w:rPr>
              <w:t> </w:t>
            </w:r>
            <w:r>
              <w:rPr>
                <w:sz w:val="19"/>
              </w:rPr>
              <w:t>revise</w:t>
            </w:r>
            <w:r>
              <w:rPr>
                <w:spacing w:val="-9"/>
                <w:sz w:val="19"/>
              </w:rPr>
              <w:t> </w:t>
            </w:r>
            <w:r>
              <w:rPr>
                <w:spacing w:val="-4"/>
                <w:sz w:val="19"/>
              </w:rPr>
              <w:t>plan</w:t>
            </w:r>
          </w:p>
          <w:p>
            <w:pPr>
              <w:pStyle w:val="TableParagraph"/>
              <w:numPr>
                <w:ilvl w:val="0"/>
                <w:numId w:val="41"/>
              </w:numPr>
              <w:tabs>
                <w:tab w:pos="609" w:val="left" w:leader="none"/>
              </w:tabs>
              <w:spacing w:line="240" w:lineRule="auto" w:before="74" w:after="0"/>
              <w:ind w:left="609" w:right="0" w:hanging="360"/>
              <w:jc w:val="left"/>
              <w:rPr>
                <w:sz w:val="19"/>
              </w:rPr>
            </w:pPr>
            <w:r>
              <w:rPr>
                <w:sz w:val="19"/>
              </w:rPr>
              <w:t>Determined</w:t>
            </w:r>
            <w:r>
              <w:rPr>
                <w:spacing w:val="-13"/>
                <w:sz w:val="19"/>
              </w:rPr>
              <w:t> </w:t>
            </w:r>
            <w:r>
              <w:rPr>
                <w:spacing w:val="-4"/>
                <w:sz w:val="19"/>
              </w:rPr>
              <w:t>plan</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9"/>
              <w:rPr>
                <w:b/>
                <w:sz w:val="20"/>
              </w:rPr>
            </w:pPr>
          </w:p>
          <w:p>
            <w:pPr>
              <w:pStyle w:val="TableParagraph"/>
              <w:numPr>
                <w:ilvl w:val="0"/>
                <w:numId w:val="41"/>
              </w:numPr>
              <w:tabs>
                <w:tab w:pos="609" w:val="left" w:leader="none"/>
              </w:tabs>
              <w:spacing w:line="261" w:lineRule="auto" w:before="1" w:after="0"/>
              <w:ind w:left="609" w:right="776" w:hanging="360"/>
              <w:jc w:val="left"/>
              <w:rPr>
                <w:sz w:val="19"/>
              </w:rPr>
            </w:pPr>
            <w:r>
              <w:rPr>
                <w:sz w:val="19"/>
              </w:rPr>
              <w:t>Civil</w:t>
            </w:r>
            <w:r>
              <w:rPr>
                <w:spacing w:val="-6"/>
                <w:sz w:val="19"/>
              </w:rPr>
              <w:t> </w:t>
            </w:r>
            <w:r>
              <w:rPr>
                <w:sz w:val="19"/>
              </w:rPr>
              <w:t>proceeding</w:t>
            </w:r>
            <w:r>
              <w:rPr>
                <w:spacing w:val="-7"/>
                <w:sz w:val="19"/>
              </w:rPr>
              <w:t> </w:t>
            </w:r>
            <w:r>
              <w:rPr>
                <w:sz w:val="19"/>
              </w:rPr>
              <w:t>in</w:t>
            </w:r>
            <w:r>
              <w:rPr>
                <w:spacing w:val="-7"/>
                <w:sz w:val="19"/>
              </w:rPr>
              <w:t> </w:t>
            </w:r>
            <w:r>
              <w:rPr>
                <w:sz w:val="19"/>
              </w:rPr>
              <w:t>respect</w:t>
            </w:r>
            <w:r>
              <w:rPr>
                <w:spacing w:val="-7"/>
                <w:sz w:val="19"/>
              </w:rPr>
              <w:t> </w:t>
            </w:r>
            <w:r>
              <w:rPr>
                <w:sz w:val="19"/>
              </w:rPr>
              <w:t>of</w:t>
            </w:r>
            <w:r>
              <w:rPr>
                <w:spacing w:val="-7"/>
                <w:sz w:val="19"/>
              </w:rPr>
              <w:t> </w:t>
            </w:r>
            <w:r>
              <w:rPr>
                <w:sz w:val="19"/>
              </w:rPr>
              <w:t>a</w:t>
            </w:r>
            <w:r>
              <w:rPr>
                <w:spacing w:val="-7"/>
                <w:sz w:val="19"/>
              </w:rPr>
              <w:t> </w:t>
            </w:r>
            <w:r>
              <w:rPr>
                <w:sz w:val="19"/>
              </w:rPr>
              <w:t>civil penalty provision</w:t>
            </w:r>
          </w:p>
          <w:p>
            <w:pPr>
              <w:pStyle w:val="TableParagraph"/>
              <w:spacing w:line="264" w:lineRule="auto" w:before="3"/>
              <w:ind w:left="609" w:right="293"/>
              <w:rPr>
                <w:sz w:val="19"/>
              </w:rPr>
            </w:pPr>
            <w:r>
              <w:rPr>
                <w:sz w:val="19"/>
              </w:rPr>
              <w:t>*available for particular bushfire mitigation provisions only; some court orders</w:t>
            </w:r>
            <w:r>
              <w:rPr>
                <w:spacing w:val="-10"/>
                <w:sz w:val="19"/>
              </w:rPr>
              <w:t> </w:t>
            </w:r>
            <w:r>
              <w:rPr>
                <w:sz w:val="19"/>
              </w:rPr>
              <w:t>available</w:t>
            </w:r>
            <w:r>
              <w:rPr>
                <w:spacing w:val="-11"/>
                <w:sz w:val="19"/>
              </w:rPr>
              <w:t> </w:t>
            </w:r>
            <w:r>
              <w:rPr>
                <w:sz w:val="19"/>
              </w:rPr>
              <w:t>following</w:t>
            </w:r>
            <w:r>
              <w:rPr>
                <w:spacing w:val="-11"/>
                <w:sz w:val="19"/>
              </w:rPr>
              <w:t> </w:t>
            </w:r>
            <w:r>
              <w:rPr>
                <w:sz w:val="19"/>
              </w:rPr>
              <w:t>declaration</w:t>
            </w:r>
            <w:r>
              <w:rPr>
                <w:spacing w:val="-11"/>
                <w:sz w:val="19"/>
              </w:rPr>
              <w:t> </w:t>
            </w:r>
            <w:r>
              <w:rPr>
                <w:sz w:val="19"/>
              </w:rPr>
              <w:t>of </w:t>
            </w:r>
            <w:r>
              <w:rPr>
                <w:spacing w:val="-2"/>
                <w:sz w:val="19"/>
              </w:rPr>
              <w:t>contravention</w:t>
            </w:r>
          </w:p>
          <w:p>
            <w:pPr>
              <w:pStyle w:val="TableParagraph"/>
              <w:numPr>
                <w:ilvl w:val="0"/>
                <w:numId w:val="41"/>
              </w:numPr>
              <w:tabs>
                <w:tab w:pos="609" w:val="left" w:leader="none"/>
              </w:tabs>
              <w:spacing w:line="240" w:lineRule="auto" w:before="54" w:after="0"/>
              <w:ind w:left="609" w:right="0" w:hanging="360"/>
              <w:jc w:val="left"/>
              <w:rPr>
                <w:sz w:val="19"/>
              </w:rPr>
            </w:pPr>
            <w:r>
              <w:rPr>
                <w:sz w:val="19"/>
              </w:rPr>
              <w:t>Criminal</w:t>
            </w:r>
            <w:r>
              <w:rPr>
                <w:spacing w:val="-11"/>
                <w:sz w:val="19"/>
              </w:rPr>
              <w:t> </w:t>
            </w:r>
            <w:r>
              <w:rPr>
                <w:spacing w:val="-2"/>
                <w:sz w:val="19"/>
              </w:rPr>
              <w:t>prosecution</w:t>
            </w:r>
          </w:p>
        </w:tc>
        <w:tc>
          <w:tcPr>
            <w:tcW w:w="4537" w:type="dxa"/>
            <w:tcBorders>
              <w:top w:val="nil"/>
              <w:left w:val="nil"/>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2"/>
              <w:rPr>
                <w:b/>
                <w:sz w:val="20"/>
              </w:rPr>
            </w:pPr>
          </w:p>
          <w:p>
            <w:pPr>
              <w:pStyle w:val="TableParagraph"/>
              <w:numPr>
                <w:ilvl w:val="0"/>
                <w:numId w:val="42"/>
              </w:numPr>
              <w:tabs>
                <w:tab w:pos="472" w:val="left" w:leader="none"/>
              </w:tabs>
              <w:spacing w:line="264" w:lineRule="auto" w:before="0" w:after="0"/>
              <w:ind w:left="472" w:right="264" w:hanging="360"/>
              <w:jc w:val="left"/>
              <w:rPr>
                <w:sz w:val="19"/>
              </w:rPr>
            </w:pPr>
            <w:r>
              <w:rPr>
                <w:sz w:val="19"/>
              </w:rPr>
              <w:t>Injunctions (for example, are available under </w:t>
            </w:r>
            <w:r>
              <w:rPr>
                <w:i/>
                <w:sz w:val="19"/>
              </w:rPr>
              <w:t>Electricity</w:t>
            </w:r>
            <w:r>
              <w:rPr>
                <w:i/>
                <w:spacing w:val="-5"/>
                <w:sz w:val="19"/>
              </w:rPr>
              <w:t> </w:t>
            </w:r>
            <w:r>
              <w:rPr>
                <w:i/>
                <w:sz w:val="19"/>
              </w:rPr>
              <w:t>Act</w:t>
            </w:r>
            <w:r>
              <w:rPr>
                <w:i/>
                <w:spacing w:val="-7"/>
                <w:sz w:val="19"/>
              </w:rPr>
              <w:t> </w:t>
            </w:r>
            <w:r>
              <w:rPr>
                <w:i/>
                <w:sz w:val="19"/>
              </w:rPr>
              <w:t>1996</w:t>
            </w:r>
            <w:r>
              <w:rPr>
                <w:i/>
                <w:spacing w:val="-5"/>
                <w:sz w:val="19"/>
              </w:rPr>
              <w:t> </w:t>
            </w:r>
            <w:r>
              <w:rPr>
                <w:sz w:val="19"/>
              </w:rPr>
              <w:t>(SA);</w:t>
            </w:r>
            <w:r>
              <w:rPr>
                <w:spacing w:val="-6"/>
                <w:sz w:val="19"/>
              </w:rPr>
              <w:t> </w:t>
            </w:r>
            <w:r>
              <w:rPr>
                <w:i/>
                <w:sz w:val="19"/>
              </w:rPr>
              <w:t>Gas</w:t>
            </w:r>
            <w:r>
              <w:rPr>
                <w:i/>
                <w:spacing w:val="-5"/>
                <w:sz w:val="19"/>
              </w:rPr>
              <w:t> </w:t>
            </w:r>
            <w:r>
              <w:rPr>
                <w:i/>
                <w:sz w:val="19"/>
              </w:rPr>
              <w:t>Act</w:t>
            </w:r>
            <w:r>
              <w:rPr>
                <w:i/>
                <w:spacing w:val="-7"/>
                <w:sz w:val="19"/>
              </w:rPr>
              <w:t> </w:t>
            </w:r>
            <w:r>
              <w:rPr>
                <w:i/>
                <w:sz w:val="19"/>
              </w:rPr>
              <w:t>1997</w:t>
            </w:r>
            <w:r>
              <w:rPr>
                <w:i/>
                <w:spacing w:val="-5"/>
                <w:sz w:val="19"/>
              </w:rPr>
              <w:t> </w:t>
            </w:r>
            <w:r>
              <w:rPr>
                <w:sz w:val="19"/>
              </w:rPr>
              <w:t>(SA); </w:t>
            </w:r>
            <w:r>
              <w:rPr>
                <w:i/>
                <w:sz w:val="19"/>
              </w:rPr>
              <w:t>Electrical Safety Act 2002 </w:t>
            </w:r>
            <w:r>
              <w:rPr>
                <w:sz w:val="19"/>
              </w:rPr>
              <w:t>(Qld); </w:t>
            </w:r>
            <w:r>
              <w:rPr>
                <w:i/>
                <w:sz w:val="19"/>
              </w:rPr>
              <w:t>Petroleum and Gas (Production and Safety) Act 2004 </w:t>
            </w:r>
            <w:r>
              <w:rPr>
                <w:sz w:val="19"/>
              </w:rPr>
              <w:t>(Qld); </w:t>
            </w:r>
            <w:r>
              <w:rPr>
                <w:i/>
                <w:sz w:val="19"/>
              </w:rPr>
              <w:t>Offshore Petroleum and Greenhouse Gas Storage Act 2006 </w:t>
            </w:r>
            <w:r>
              <w:rPr>
                <w:sz w:val="19"/>
              </w:rPr>
              <w:t>(Cth))</w:t>
            </w:r>
          </w:p>
          <w:p>
            <w:pPr>
              <w:pStyle w:val="TableParagraph"/>
              <w:numPr>
                <w:ilvl w:val="0"/>
                <w:numId w:val="42"/>
              </w:numPr>
              <w:tabs>
                <w:tab w:pos="472" w:val="left" w:leader="none"/>
              </w:tabs>
              <w:spacing w:line="264" w:lineRule="auto" w:before="53" w:after="0"/>
              <w:ind w:left="472" w:right="362" w:hanging="360"/>
              <w:jc w:val="left"/>
              <w:rPr>
                <w:sz w:val="19"/>
              </w:rPr>
            </w:pPr>
            <w:r>
              <w:rPr>
                <w:sz w:val="19"/>
              </w:rPr>
              <w:t>Enforceable undertakings (for example, are available under </w:t>
            </w:r>
            <w:r>
              <w:rPr>
                <w:i/>
                <w:sz w:val="19"/>
              </w:rPr>
              <w:t>Electrical Safety Act 2002 </w:t>
            </w:r>
            <w:r>
              <w:rPr>
                <w:sz w:val="19"/>
              </w:rPr>
              <w:t>(Qld);</w:t>
            </w:r>
            <w:r>
              <w:rPr>
                <w:spacing w:val="-6"/>
                <w:sz w:val="19"/>
              </w:rPr>
              <w:t> </w:t>
            </w:r>
            <w:r>
              <w:rPr>
                <w:i/>
                <w:sz w:val="19"/>
              </w:rPr>
              <w:t>Civil</w:t>
            </w:r>
            <w:r>
              <w:rPr>
                <w:i/>
                <w:spacing w:val="-6"/>
                <w:sz w:val="19"/>
              </w:rPr>
              <w:t> </w:t>
            </w:r>
            <w:r>
              <w:rPr>
                <w:i/>
                <w:sz w:val="19"/>
              </w:rPr>
              <w:t>Aviation</w:t>
            </w:r>
            <w:r>
              <w:rPr>
                <w:i/>
                <w:spacing w:val="-7"/>
                <w:sz w:val="19"/>
              </w:rPr>
              <w:t> </w:t>
            </w:r>
            <w:r>
              <w:rPr>
                <w:i/>
                <w:sz w:val="19"/>
              </w:rPr>
              <w:t>Act</w:t>
            </w:r>
            <w:r>
              <w:rPr>
                <w:i/>
                <w:spacing w:val="-7"/>
                <w:sz w:val="19"/>
              </w:rPr>
              <w:t> </w:t>
            </w:r>
            <w:r>
              <w:rPr>
                <w:i/>
                <w:sz w:val="19"/>
              </w:rPr>
              <w:t>1988</w:t>
            </w:r>
            <w:r>
              <w:rPr>
                <w:i/>
                <w:spacing w:val="-7"/>
                <w:sz w:val="19"/>
              </w:rPr>
              <w:t> </w:t>
            </w:r>
            <w:r>
              <w:rPr>
                <w:sz w:val="19"/>
              </w:rPr>
              <w:t>(Cth);</w:t>
            </w:r>
            <w:r>
              <w:rPr>
                <w:spacing w:val="-7"/>
                <w:sz w:val="19"/>
              </w:rPr>
              <w:t> </w:t>
            </w:r>
            <w:r>
              <w:rPr>
                <w:i/>
                <w:sz w:val="19"/>
              </w:rPr>
              <w:t>National Rail Safety Law</w:t>
            </w:r>
            <w:r>
              <w:rPr>
                <w:sz w:val="19"/>
              </w:rPr>
              <w:t>; </w:t>
            </w:r>
            <w:r>
              <w:rPr>
                <w:i/>
                <w:sz w:val="19"/>
              </w:rPr>
              <w:t>Occupational Health and Safety Act 2004 </w:t>
            </w:r>
            <w:r>
              <w:rPr>
                <w:sz w:val="19"/>
              </w:rPr>
              <w:t>(Vic))</w:t>
            </w:r>
            <w:r>
              <w:rPr>
                <w:sz w:val="19"/>
                <w:vertAlign w:val="superscript"/>
              </w:rPr>
              <w:t>7</w:t>
            </w:r>
          </w:p>
          <w:p>
            <w:pPr>
              <w:pStyle w:val="TableParagraph"/>
              <w:rPr>
                <w:b/>
                <w:sz w:val="22"/>
              </w:rPr>
            </w:pPr>
          </w:p>
          <w:p>
            <w:pPr>
              <w:pStyle w:val="TableParagraph"/>
              <w:spacing w:before="5"/>
              <w:rPr>
                <w:b/>
                <w:sz w:val="24"/>
              </w:rPr>
            </w:pPr>
          </w:p>
          <w:p>
            <w:pPr>
              <w:pStyle w:val="TableParagraph"/>
              <w:numPr>
                <w:ilvl w:val="0"/>
                <w:numId w:val="42"/>
              </w:numPr>
              <w:tabs>
                <w:tab w:pos="472" w:val="left" w:leader="none"/>
              </w:tabs>
              <w:spacing w:line="264" w:lineRule="auto" w:before="0" w:after="0"/>
              <w:ind w:left="472" w:right="122" w:hanging="360"/>
              <w:jc w:val="left"/>
              <w:rPr>
                <w:sz w:val="19"/>
              </w:rPr>
            </w:pPr>
            <w:r>
              <w:rPr>
                <w:sz w:val="19"/>
              </w:rPr>
              <w:t>Orders</w:t>
            </w:r>
            <w:r>
              <w:rPr>
                <w:spacing w:val="-10"/>
                <w:sz w:val="19"/>
              </w:rPr>
              <w:t> </w:t>
            </w:r>
            <w:r>
              <w:rPr>
                <w:sz w:val="19"/>
              </w:rPr>
              <w:t>following</w:t>
            </w:r>
            <w:r>
              <w:rPr>
                <w:spacing w:val="-11"/>
                <w:sz w:val="19"/>
              </w:rPr>
              <w:t> </w:t>
            </w:r>
            <w:r>
              <w:rPr>
                <w:sz w:val="19"/>
              </w:rPr>
              <w:t>prosecution</w:t>
            </w:r>
            <w:r>
              <w:rPr>
                <w:spacing w:val="-12"/>
                <w:sz w:val="19"/>
              </w:rPr>
              <w:t> </w:t>
            </w:r>
            <w:r>
              <w:rPr>
                <w:sz w:val="19"/>
              </w:rPr>
              <w:t>including</w:t>
            </w:r>
            <w:r>
              <w:rPr>
                <w:spacing w:val="-11"/>
                <w:sz w:val="19"/>
              </w:rPr>
              <w:t> </w:t>
            </w:r>
            <w:r>
              <w:rPr>
                <w:sz w:val="19"/>
              </w:rPr>
              <w:t>adverse publicity orders, restoration orders, training orders, project orders, and health and safety undertakings</w:t>
            </w:r>
            <w:r>
              <w:rPr>
                <w:spacing w:val="-3"/>
                <w:sz w:val="19"/>
              </w:rPr>
              <w:t> </w:t>
            </w:r>
            <w:r>
              <w:rPr>
                <w:sz w:val="19"/>
              </w:rPr>
              <w:t>(for</w:t>
            </w:r>
            <w:r>
              <w:rPr>
                <w:spacing w:val="-5"/>
                <w:sz w:val="19"/>
              </w:rPr>
              <w:t> </w:t>
            </w:r>
            <w:r>
              <w:rPr>
                <w:sz w:val="19"/>
              </w:rPr>
              <w:t>example,</w:t>
            </w:r>
            <w:r>
              <w:rPr>
                <w:spacing w:val="-5"/>
                <w:sz w:val="19"/>
              </w:rPr>
              <w:t> </w:t>
            </w:r>
            <w:r>
              <w:rPr>
                <w:sz w:val="19"/>
              </w:rPr>
              <w:t>are</w:t>
            </w:r>
            <w:r>
              <w:rPr>
                <w:spacing w:val="-5"/>
                <w:sz w:val="19"/>
              </w:rPr>
              <w:t> </w:t>
            </w:r>
            <w:r>
              <w:rPr>
                <w:sz w:val="19"/>
              </w:rPr>
              <w:t>available</w:t>
            </w:r>
            <w:r>
              <w:rPr>
                <w:spacing w:val="-5"/>
                <w:sz w:val="19"/>
              </w:rPr>
              <w:t> </w:t>
            </w:r>
            <w:r>
              <w:rPr>
                <w:sz w:val="19"/>
              </w:rPr>
              <w:t>under </w:t>
            </w:r>
            <w:r>
              <w:rPr>
                <w:i/>
                <w:sz w:val="19"/>
              </w:rPr>
              <w:t>Electrical Safety Act 2002 </w:t>
            </w:r>
            <w:r>
              <w:rPr>
                <w:sz w:val="19"/>
              </w:rPr>
              <w:t>(Qld); </w:t>
            </w:r>
            <w:r>
              <w:rPr>
                <w:i/>
                <w:sz w:val="19"/>
              </w:rPr>
              <w:t>Offshore Petroleum and Greenhouse Gas Storage Act 2006 </w:t>
            </w:r>
            <w:r>
              <w:rPr>
                <w:sz w:val="19"/>
              </w:rPr>
              <w:t>(Cth); </w:t>
            </w:r>
            <w:r>
              <w:rPr>
                <w:i/>
                <w:sz w:val="19"/>
              </w:rPr>
              <w:t>Occupational Health and Safety Act 2004 </w:t>
            </w:r>
            <w:r>
              <w:rPr>
                <w:sz w:val="19"/>
              </w:rPr>
              <w:t>(Vic))</w:t>
            </w:r>
            <w:r>
              <w:rPr>
                <w:spacing w:val="-1"/>
                <w:sz w:val="19"/>
              </w:rPr>
              <w:t> </w:t>
            </w:r>
            <w:r>
              <w:rPr>
                <w:sz w:val="19"/>
                <w:vertAlign w:val="superscript"/>
              </w:rPr>
              <w:t>8</w:t>
            </w:r>
          </w:p>
        </w:tc>
      </w:tr>
    </w:tbl>
    <w:p>
      <w:pPr>
        <w:pStyle w:val="BodyText"/>
        <w:spacing w:before="7"/>
        <w:rPr>
          <w:b/>
          <w:sz w:val="14"/>
        </w:rPr>
      </w:pPr>
      <w:r>
        <w:rPr/>
        <mc:AlternateContent>
          <mc:Choice Requires="wps">
            <w:drawing>
              <wp:anchor distT="0" distB="0" distL="0" distR="0" allowOverlap="1" layoutInCell="1" locked="0" behindDoc="1" simplePos="0" relativeHeight="487626240">
                <wp:simplePos x="0" y="0"/>
                <wp:positionH relativeFrom="page">
                  <wp:posOffset>896416</wp:posOffset>
                </wp:positionH>
                <wp:positionV relativeFrom="paragraph">
                  <wp:posOffset>122046</wp:posOffset>
                </wp:positionV>
                <wp:extent cx="5769610" cy="1270"/>
                <wp:effectExtent l="0" t="0" r="0" b="0"/>
                <wp:wrapTopAndBottom/>
                <wp:docPr id="134" name="Graphic 134"/>
                <wp:cNvGraphicFramePr>
                  <a:graphicFrameLocks/>
                </wp:cNvGraphicFramePr>
                <a:graphic>
                  <a:graphicData uri="http://schemas.microsoft.com/office/word/2010/wordprocessingShape">
                    <wps:wsp>
                      <wps:cNvPr id="134" name="Graphic 134"/>
                      <wps:cNvSpPr/>
                      <wps:spPr>
                        <a:xfrm>
                          <a:off x="0" y="0"/>
                          <a:ext cx="5769610" cy="1270"/>
                        </a:xfrm>
                        <a:custGeom>
                          <a:avLst/>
                          <a:gdLst/>
                          <a:ahLst/>
                          <a:cxnLst/>
                          <a:rect l="l" t="t" r="r" b="b"/>
                          <a:pathLst>
                            <a:path w="5769610" h="0">
                              <a:moveTo>
                                <a:pt x="0" y="0"/>
                              </a:moveTo>
                              <a:lnTo>
                                <a:pt x="5769305" y="0"/>
                              </a:lnTo>
                            </a:path>
                          </a:pathLst>
                        </a:custGeom>
                        <a:ln w="12192">
                          <a:solidFill>
                            <a:srgbClr val="000000"/>
                          </a:solidFill>
                          <a:prstDash val="sysDot"/>
                        </a:ln>
                      </wps:spPr>
                      <wps:bodyPr wrap="square" lIns="0" tIns="0" rIns="0" bIns="0" rtlCol="0">
                        <a:prstTxWarp prst="textNoShape">
                          <a:avLst/>
                        </a:prstTxWarp>
                        <a:noAutofit/>
                      </wps:bodyPr>
                    </wps:wsp>
                  </a:graphicData>
                </a:graphic>
              </wp:anchor>
            </w:drawing>
          </mc:Choice>
          <mc:Fallback>
            <w:pict>
              <v:shape style="position:absolute;margin-left:70.584pt;margin-top:9.61pt;width:454.3pt;height:.1pt;mso-position-horizontal-relative:page;mso-position-vertical-relative:paragraph;z-index:-15690240;mso-wrap-distance-left:0;mso-wrap-distance-right:0" id="docshape118" coordorigin="1412,192" coordsize="9086,0" path="m1412,192l10497,192e" filled="false" stroked="true" strokeweight=".96pt" strokecolor="#000000">
                <v:path arrowok="t"/>
                <v:stroke dashstyle="shortdot"/>
                <w10:wrap type="topAndBottom"/>
              </v:shape>
            </w:pict>
          </mc:Fallback>
        </mc:AlternateContent>
      </w:r>
    </w:p>
    <w:p>
      <w:pPr>
        <w:pStyle w:val="BodyText"/>
        <w:spacing w:before="3"/>
        <w:rPr>
          <w:b/>
          <w:sz w:val="32"/>
        </w:rPr>
      </w:pPr>
    </w:p>
    <w:p>
      <w:pPr>
        <w:spacing w:before="0"/>
        <w:ind w:left="600" w:right="0" w:firstLine="0"/>
        <w:jc w:val="left"/>
        <w:rPr>
          <w:sz w:val="15"/>
        </w:rPr>
      </w:pPr>
      <w:r>
        <w:rPr>
          <w:sz w:val="15"/>
          <w:vertAlign w:val="superscript"/>
        </w:rPr>
        <w:t>7</w:t>
      </w:r>
      <w:r>
        <w:rPr>
          <w:spacing w:val="-3"/>
          <w:sz w:val="15"/>
          <w:vertAlign w:val="baseline"/>
        </w:rPr>
        <w:t> </w:t>
      </w:r>
      <w:r>
        <w:rPr>
          <w:sz w:val="15"/>
          <w:vertAlign w:val="baseline"/>
        </w:rPr>
        <w:t>South</w:t>
      </w:r>
      <w:r>
        <w:rPr>
          <w:spacing w:val="-6"/>
          <w:sz w:val="15"/>
          <w:vertAlign w:val="baseline"/>
        </w:rPr>
        <w:t> </w:t>
      </w:r>
      <w:r>
        <w:rPr>
          <w:sz w:val="15"/>
          <w:vertAlign w:val="baseline"/>
        </w:rPr>
        <w:t>Australian</w:t>
      </w:r>
      <w:r>
        <w:rPr>
          <w:spacing w:val="-7"/>
          <w:sz w:val="15"/>
          <w:vertAlign w:val="baseline"/>
        </w:rPr>
        <w:t> </w:t>
      </w:r>
      <w:r>
        <w:rPr>
          <w:sz w:val="15"/>
          <w:vertAlign w:val="baseline"/>
        </w:rPr>
        <w:t>gas</w:t>
      </w:r>
      <w:r>
        <w:rPr>
          <w:spacing w:val="-4"/>
          <w:sz w:val="15"/>
          <w:vertAlign w:val="baseline"/>
        </w:rPr>
        <w:t> </w:t>
      </w:r>
      <w:r>
        <w:rPr>
          <w:sz w:val="15"/>
          <w:vertAlign w:val="baseline"/>
        </w:rPr>
        <w:t>and</w:t>
      </w:r>
      <w:r>
        <w:rPr>
          <w:spacing w:val="-7"/>
          <w:sz w:val="15"/>
          <w:vertAlign w:val="baseline"/>
        </w:rPr>
        <w:t> </w:t>
      </w:r>
      <w:r>
        <w:rPr>
          <w:sz w:val="15"/>
          <w:vertAlign w:val="baseline"/>
        </w:rPr>
        <w:t>electricity</w:t>
      </w:r>
      <w:r>
        <w:rPr>
          <w:spacing w:val="-9"/>
          <w:sz w:val="15"/>
          <w:vertAlign w:val="baseline"/>
        </w:rPr>
        <w:t> </w:t>
      </w:r>
      <w:r>
        <w:rPr>
          <w:sz w:val="15"/>
          <w:vertAlign w:val="baseline"/>
        </w:rPr>
        <w:t>safety</w:t>
      </w:r>
      <w:r>
        <w:rPr>
          <w:spacing w:val="-7"/>
          <w:sz w:val="15"/>
          <w:vertAlign w:val="baseline"/>
        </w:rPr>
        <w:t> </w:t>
      </w:r>
      <w:r>
        <w:rPr>
          <w:sz w:val="15"/>
          <w:vertAlign w:val="baseline"/>
        </w:rPr>
        <w:t>laws</w:t>
      </w:r>
      <w:r>
        <w:rPr>
          <w:spacing w:val="-3"/>
          <w:sz w:val="15"/>
          <w:vertAlign w:val="baseline"/>
        </w:rPr>
        <w:t> </w:t>
      </w:r>
      <w:r>
        <w:rPr>
          <w:sz w:val="15"/>
          <w:vertAlign w:val="baseline"/>
        </w:rPr>
        <w:t>also</w:t>
      </w:r>
      <w:r>
        <w:rPr>
          <w:spacing w:val="-7"/>
          <w:sz w:val="15"/>
          <w:vertAlign w:val="baseline"/>
        </w:rPr>
        <w:t> </w:t>
      </w:r>
      <w:r>
        <w:rPr>
          <w:sz w:val="15"/>
          <w:vertAlign w:val="baseline"/>
        </w:rPr>
        <w:t>have</w:t>
      </w:r>
      <w:r>
        <w:rPr>
          <w:spacing w:val="-6"/>
          <w:sz w:val="15"/>
          <w:vertAlign w:val="baseline"/>
        </w:rPr>
        <w:t> </w:t>
      </w:r>
      <w:r>
        <w:rPr>
          <w:sz w:val="15"/>
          <w:vertAlign w:val="baseline"/>
        </w:rPr>
        <w:t>‘assurance’</w:t>
      </w:r>
      <w:r>
        <w:rPr>
          <w:spacing w:val="-7"/>
          <w:sz w:val="15"/>
          <w:vertAlign w:val="baseline"/>
        </w:rPr>
        <w:t> </w:t>
      </w:r>
      <w:r>
        <w:rPr>
          <w:sz w:val="15"/>
          <w:vertAlign w:val="baseline"/>
        </w:rPr>
        <w:t>provisions</w:t>
      </w:r>
      <w:r>
        <w:rPr>
          <w:spacing w:val="-4"/>
          <w:sz w:val="15"/>
          <w:vertAlign w:val="baseline"/>
        </w:rPr>
        <w:t> </w:t>
      </w:r>
      <w:r>
        <w:rPr>
          <w:sz w:val="15"/>
          <w:vertAlign w:val="baseline"/>
        </w:rPr>
        <w:t>(</w:t>
      </w:r>
      <w:r>
        <w:rPr>
          <w:i/>
          <w:sz w:val="15"/>
          <w:vertAlign w:val="baseline"/>
        </w:rPr>
        <w:t>Electricity</w:t>
      </w:r>
      <w:r>
        <w:rPr>
          <w:i/>
          <w:spacing w:val="-5"/>
          <w:sz w:val="15"/>
          <w:vertAlign w:val="baseline"/>
        </w:rPr>
        <w:t> </w:t>
      </w:r>
      <w:r>
        <w:rPr>
          <w:i/>
          <w:sz w:val="15"/>
          <w:vertAlign w:val="baseline"/>
        </w:rPr>
        <w:t>Act</w:t>
      </w:r>
      <w:r>
        <w:rPr>
          <w:i/>
          <w:spacing w:val="-5"/>
          <w:sz w:val="15"/>
          <w:vertAlign w:val="baseline"/>
        </w:rPr>
        <w:t> </w:t>
      </w:r>
      <w:r>
        <w:rPr>
          <w:i/>
          <w:sz w:val="15"/>
          <w:vertAlign w:val="baseline"/>
        </w:rPr>
        <w:t>1996</w:t>
      </w:r>
      <w:r>
        <w:rPr>
          <w:i/>
          <w:spacing w:val="-5"/>
          <w:sz w:val="15"/>
          <w:vertAlign w:val="baseline"/>
        </w:rPr>
        <w:t> </w:t>
      </w:r>
      <w:r>
        <w:rPr>
          <w:sz w:val="15"/>
          <w:vertAlign w:val="baseline"/>
        </w:rPr>
        <w:t>(SA)</w:t>
      </w:r>
      <w:r>
        <w:rPr>
          <w:spacing w:val="-6"/>
          <w:sz w:val="15"/>
          <w:vertAlign w:val="baseline"/>
        </w:rPr>
        <w:t> </w:t>
      </w:r>
      <w:r>
        <w:rPr>
          <w:sz w:val="15"/>
          <w:vertAlign w:val="baseline"/>
        </w:rPr>
        <w:t>and</w:t>
      </w:r>
      <w:r>
        <w:rPr>
          <w:spacing w:val="-4"/>
          <w:sz w:val="15"/>
          <w:vertAlign w:val="baseline"/>
        </w:rPr>
        <w:t> </w:t>
      </w:r>
      <w:r>
        <w:rPr>
          <w:i/>
          <w:sz w:val="15"/>
          <w:vertAlign w:val="baseline"/>
        </w:rPr>
        <w:t>Gas</w:t>
      </w:r>
      <w:r>
        <w:rPr>
          <w:i/>
          <w:spacing w:val="-5"/>
          <w:sz w:val="15"/>
          <w:vertAlign w:val="baseline"/>
        </w:rPr>
        <w:t> </w:t>
      </w:r>
      <w:r>
        <w:rPr>
          <w:i/>
          <w:sz w:val="15"/>
          <w:vertAlign w:val="baseline"/>
        </w:rPr>
        <w:t>Act</w:t>
      </w:r>
      <w:r>
        <w:rPr>
          <w:i/>
          <w:spacing w:val="-4"/>
          <w:sz w:val="15"/>
          <w:vertAlign w:val="baseline"/>
        </w:rPr>
        <w:t> </w:t>
      </w:r>
      <w:r>
        <w:rPr>
          <w:i/>
          <w:sz w:val="15"/>
          <w:vertAlign w:val="baseline"/>
        </w:rPr>
        <w:t>1997</w:t>
      </w:r>
      <w:r>
        <w:rPr>
          <w:i/>
          <w:spacing w:val="-6"/>
          <w:sz w:val="15"/>
          <w:vertAlign w:val="baseline"/>
        </w:rPr>
        <w:t> </w:t>
      </w:r>
      <w:r>
        <w:rPr>
          <w:spacing w:val="-2"/>
          <w:sz w:val="15"/>
          <w:vertAlign w:val="baseline"/>
        </w:rPr>
        <w:t>(SA)).</w:t>
      </w:r>
    </w:p>
    <w:p>
      <w:pPr>
        <w:spacing w:line="242" w:lineRule="auto" w:before="12"/>
        <w:ind w:left="883" w:right="567" w:hanging="284"/>
        <w:jc w:val="left"/>
        <w:rPr>
          <w:sz w:val="15"/>
        </w:rPr>
      </w:pPr>
      <w:r>
        <w:rPr>
          <w:sz w:val="15"/>
          <w:vertAlign w:val="superscript"/>
        </w:rPr>
        <w:t>8</w:t>
      </w:r>
      <w:r>
        <w:rPr>
          <w:sz w:val="15"/>
          <w:vertAlign w:val="baseline"/>
        </w:rPr>
        <w:t> Adverse</w:t>
      </w:r>
      <w:r>
        <w:rPr>
          <w:spacing w:val="-3"/>
          <w:sz w:val="15"/>
          <w:vertAlign w:val="baseline"/>
        </w:rPr>
        <w:t> </w:t>
      </w:r>
      <w:r>
        <w:rPr>
          <w:sz w:val="15"/>
          <w:vertAlign w:val="baseline"/>
        </w:rPr>
        <w:t>publicity</w:t>
      </w:r>
      <w:r>
        <w:rPr>
          <w:spacing w:val="-4"/>
          <w:sz w:val="15"/>
          <w:vertAlign w:val="baseline"/>
        </w:rPr>
        <w:t> </w:t>
      </w:r>
      <w:r>
        <w:rPr>
          <w:sz w:val="15"/>
          <w:vertAlign w:val="baseline"/>
        </w:rPr>
        <w:t>orders:</w:t>
      </w:r>
      <w:r>
        <w:rPr>
          <w:spacing w:val="-1"/>
          <w:sz w:val="15"/>
          <w:vertAlign w:val="baseline"/>
        </w:rPr>
        <w:t> </w:t>
      </w:r>
      <w:r>
        <w:rPr>
          <w:i/>
          <w:sz w:val="15"/>
          <w:vertAlign w:val="baseline"/>
        </w:rPr>
        <w:t>Offshore</w:t>
      </w:r>
      <w:r>
        <w:rPr>
          <w:i/>
          <w:spacing w:val="-3"/>
          <w:sz w:val="15"/>
          <w:vertAlign w:val="baseline"/>
        </w:rPr>
        <w:t> </w:t>
      </w:r>
      <w:r>
        <w:rPr>
          <w:i/>
          <w:sz w:val="15"/>
          <w:vertAlign w:val="baseline"/>
        </w:rPr>
        <w:t>Petroleum</w:t>
      </w:r>
      <w:r>
        <w:rPr>
          <w:i/>
          <w:spacing w:val="-4"/>
          <w:sz w:val="15"/>
          <w:vertAlign w:val="baseline"/>
        </w:rPr>
        <w:t> </w:t>
      </w:r>
      <w:r>
        <w:rPr>
          <w:i/>
          <w:sz w:val="15"/>
          <w:vertAlign w:val="baseline"/>
        </w:rPr>
        <w:t>and</w:t>
      </w:r>
      <w:r>
        <w:rPr>
          <w:i/>
          <w:spacing w:val="-3"/>
          <w:sz w:val="15"/>
          <w:vertAlign w:val="baseline"/>
        </w:rPr>
        <w:t> </w:t>
      </w:r>
      <w:r>
        <w:rPr>
          <w:i/>
          <w:sz w:val="15"/>
          <w:vertAlign w:val="baseline"/>
        </w:rPr>
        <w:t>Greenhouse</w:t>
      </w:r>
      <w:r>
        <w:rPr>
          <w:i/>
          <w:spacing w:val="-3"/>
          <w:sz w:val="15"/>
          <w:vertAlign w:val="baseline"/>
        </w:rPr>
        <w:t> </w:t>
      </w:r>
      <w:r>
        <w:rPr>
          <w:i/>
          <w:sz w:val="15"/>
          <w:vertAlign w:val="baseline"/>
        </w:rPr>
        <w:t>Gas</w:t>
      </w:r>
      <w:r>
        <w:rPr>
          <w:i/>
          <w:spacing w:val="-1"/>
          <w:sz w:val="15"/>
          <w:vertAlign w:val="baseline"/>
        </w:rPr>
        <w:t> </w:t>
      </w:r>
      <w:r>
        <w:rPr>
          <w:i/>
          <w:sz w:val="15"/>
          <w:vertAlign w:val="baseline"/>
        </w:rPr>
        <w:t>Storage</w:t>
      </w:r>
      <w:r>
        <w:rPr>
          <w:i/>
          <w:spacing w:val="-3"/>
          <w:sz w:val="15"/>
          <w:vertAlign w:val="baseline"/>
        </w:rPr>
        <w:t> </w:t>
      </w:r>
      <w:r>
        <w:rPr>
          <w:i/>
          <w:sz w:val="15"/>
          <w:vertAlign w:val="baseline"/>
        </w:rPr>
        <w:t>Act</w:t>
      </w:r>
      <w:r>
        <w:rPr>
          <w:i/>
          <w:spacing w:val="-1"/>
          <w:sz w:val="15"/>
          <w:vertAlign w:val="baseline"/>
        </w:rPr>
        <w:t> </w:t>
      </w:r>
      <w:r>
        <w:rPr>
          <w:i/>
          <w:sz w:val="15"/>
          <w:vertAlign w:val="baseline"/>
        </w:rPr>
        <w:t>2006 </w:t>
      </w:r>
      <w:r>
        <w:rPr>
          <w:sz w:val="15"/>
          <w:vertAlign w:val="baseline"/>
        </w:rPr>
        <w:t>(Cth);</w:t>
      </w:r>
      <w:r>
        <w:rPr>
          <w:spacing w:val="-1"/>
          <w:sz w:val="15"/>
          <w:vertAlign w:val="baseline"/>
        </w:rPr>
        <w:t> </w:t>
      </w:r>
      <w:r>
        <w:rPr>
          <w:i/>
          <w:sz w:val="15"/>
          <w:vertAlign w:val="baseline"/>
        </w:rPr>
        <w:t>Occupational Health</w:t>
      </w:r>
      <w:r>
        <w:rPr>
          <w:i/>
          <w:spacing w:val="-3"/>
          <w:sz w:val="15"/>
          <w:vertAlign w:val="baseline"/>
        </w:rPr>
        <w:t> </w:t>
      </w:r>
      <w:r>
        <w:rPr>
          <w:i/>
          <w:sz w:val="15"/>
          <w:vertAlign w:val="baseline"/>
        </w:rPr>
        <w:t>and</w:t>
      </w:r>
      <w:r>
        <w:rPr>
          <w:i/>
          <w:spacing w:val="-3"/>
          <w:sz w:val="15"/>
          <w:vertAlign w:val="baseline"/>
        </w:rPr>
        <w:t> </w:t>
      </w:r>
      <w:r>
        <w:rPr>
          <w:i/>
          <w:sz w:val="15"/>
          <w:vertAlign w:val="baseline"/>
        </w:rPr>
        <w:t>Safety</w:t>
      </w:r>
      <w:r>
        <w:rPr>
          <w:i/>
          <w:spacing w:val="-1"/>
          <w:sz w:val="15"/>
          <w:vertAlign w:val="baseline"/>
        </w:rPr>
        <w:t> </w:t>
      </w:r>
      <w:r>
        <w:rPr>
          <w:i/>
          <w:sz w:val="15"/>
          <w:vertAlign w:val="baseline"/>
        </w:rPr>
        <w:t>Act</w:t>
      </w:r>
      <w:r>
        <w:rPr>
          <w:i/>
          <w:spacing w:val="-1"/>
          <w:sz w:val="15"/>
          <w:vertAlign w:val="baseline"/>
        </w:rPr>
        <w:t> </w:t>
      </w:r>
      <w:r>
        <w:rPr>
          <w:i/>
          <w:sz w:val="15"/>
          <w:vertAlign w:val="baseline"/>
        </w:rPr>
        <w:t>2004 </w:t>
      </w:r>
      <w:r>
        <w:rPr>
          <w:sz w:val="15"/>
          <w:vertAlign w:val="baseline"/>
        </w:rPr>
        <w:t>(Vic); section 187B of the </w:t>
      </w:r>
      <w:r>
        <w:rPr>
          <w:i/>
          <w:sz w:val="15"/>
          <w:vertAlign w:val="baseline"/>
        </w:rPr>
        <w:t>Electrical Safety Act 2002 </w:t>
      </w:r>
      <w:r>
        <w:rPr>
          <w:sz w:val="15"/>
          <w:vertAlign w:val="baseline"/>
        </w:rPr>
        <w:t>(QLD). Other orders: see Division 3 </w:t>
      </w:r>
      <w:r>
        <w:rPr>
          <w:i/>
          <w:sz w:val="15"/>
          <w:vertAlign w:val="baseline"/>
        </w:rPr>
        <w:t>Electrical Safety Act 2002 </w:t>
      </w:r>
      <w:r>
        <w:rPr>
          <w:sz w:val="15"/>
          <w:vertAlign w:val="baseline"/>
        </w:rPr>
        <w:t>(QLD) and sections 136 and 137 of the </w:t>
      </w:r>
      <w:r>
        <w:rPr>
          <w:i/>
          <w:sz w:val="15"/>
          <w:vertAlign w:val="baseline"/>
        </w:rPr>
        <w:t>Occupational Health and Safety Act 2004 </w:t>
      </w:r>
      <w:r>
        <w:rPr>
          <w:sz w:val="15"/>
          <w:vertAlign w:val="baseline"/>
        </w:rPr>
        <w:t>(Vic).</w:t>
      </w:r>
    </w:p>
    <w:p>
      <w:pPr>
        <w:spacing w:after="0" w:line="242" w:lineRule="auto"/>
        <w:jc w:val="left"/>
        <w:rPr>
          <w:sz w:val="15"/>
        </w:rPr>
        <w:sectPr>
          <w:pgSz w:w="11910" w:h="16840"/>
          <w:pgMar w:header="887" w:footer="1228" w:top="1080" w:bottom="1500" w:left="840" w:right="820"/>
        </w:sectPr>
      </w:pPr>
    </w:p>
    <w:p>
      <w:pPr>
        <w:pStyle w:val="BodyText"/>
        <w:rPr>
          <w:sz w:val="20"/>
        </w:rPr>
      </w:pPr>
    </w:p>
    <w:p>
      <w:pPr>
        <w:pStyle w:val="BodyText"/>
        <w:rPr>
          <w:sz w:val="20"/>
        </w:rPr>
      </w:pPr>
    </w:p>
    <w:p>
      <w:pPr>
        <w:pStyle w:val="BodyText"/>
        <w:spacing w:before="5"/>
      </w:pPr>
    </w:p>
    <w:p>
      <w:pPr>
        <w:pStyle w:val="BodyText"/>
        <w:spacing w:line="288" w:lineRule="auto"/>
        <w:ind w:left="600" w:right="713"/>
      </w:pPr>
      <w:r>
        <w:rPr/>
        <w:t>One</w:t>
      </w:r>
      <w:r>
        <w:rPr>
          <w:spacing w:val="-3"/>
        </w:rPr>
        <w:t> </w:t>
      </w:r>
      <w:r>
        <w:rPr/>
        <w:t>of</w:t>
      </w:r>
      <w:r>
        <w:rPr>
          <w:spacing w:val="-4"/>
        </w:rPr>
        <w:t> </w:t>
      </w:r>
      <w:r>
        <w:rPr/>
        <w:t>the</w:t>
      </w:r>
      <w:r>
        <w:rPr>
          <w:spacing w:val="-5"/>
        </w:rPr>
        <w:t> </w:t>
      </w:r>
      <w:r>
        <w:rPr/>
        <w:t>tools</w:t>
      </w:r>
      <w:r>
        <w:rPr>
          <w:spacing w:val="-2"/>
        </w:rPr>
        <w:t> </w:t>
      </w:r>
      <w:r>
        <w:rPr/>
        <w:t>currently</w:t>
      </w:r>
      <w:r>
        <w:rPr>
          <w:spacing w:val="-5"/>
        </w:rPr>
        <w:t> </w:t>
      </w:r>
      <w:r>
        <w:rPr/>
        <w:t>not</w:t>
      </w:r>
      <w:r>
        <w:rPr>
          <w:spacing w:val="-1"/>
        </w:rPr>
        <w:t> </w:t>
      </w:r>
      <w:r>
        <w:rPr/>
        <w:t>available</w:t>
      </w:r>
      <w:r>
        <w:rPr>
          <w:spacing w:val="-3"/>
        </w:rPr>
        <w:t> </w:t>
      </w:r>
      <w:r>
        <w:rPr/>
        <w:t>under</w:t>
      </w:r>
      <w:r>
        <w:rPr>
          <w:spacing w:val="-2"/>
        </w:rPr>
        <w:t> </w:t>
      </w:r>
      <w:r>
        <w:rPr/>
        <w:t>the</w:t>
      </w:r>
      <w:r>
        <w:rPr>
          <w:spacing w:val="-8"/>
        </w:rPr>
        <w:t> </w:t>
      </w:r>
      <w:r>
        <w:rPr/>
        <w:t>framework is</w:t>
      </w:r>
      <w:r>
        <w:rPr>
          <w:spacing w:val="-5"/>
        </w:rPr>
        <w:t> </w:t>
      </w:r>
      <w:r>
        <w:rPr/>
        <w:t>the</w:t>
      </w:r>
      <w:r>
        <w:rPr>
          <w:spacing w:val="-5"/>
        </w:rPr>
        <w:t> </w:t>
      </w:r>
      <w:r>
        <w:rPr/>
        <w:t>enforceable</w:t>
      </w:r>
      <w:r>
        <w:rPr>
          <w:spacing w:val="-3"/>
        </w:rPr>
        <w:t> </w:t>
      </w:r>
      <w:r>
        <w:rPr/>
        <w:t>undertaking. This tool involves an agreement between the regulator and the entity whereby the entity agrees to one or more actions to ensure compliance. Actions can include significant commitments to address the noncompliance and improve performance. They are available to some other regulators in Victoria and Australia, including Queensland’s Electrical Safety Office. They can be less costly than court proceedings, be tailored and responsive to the circumstances of a case, and provide constructive outcomes. If not complied with, the regulator can apply to the court for an enforcement order (Johnstone &amp; Parker, 2010).</w:t>
      </w:r>
    </w:p>
    <w:p>
      <w:pPr>
        <w:pStyle w:val="BodyText"/>
        <w:spacing w:before="10"/>
        <w:rPr>
          <w:sz w:val="20"/>
        </w:rPr>
      </w:pPr>
    </w:p>
    <w:p>
      <w:pPr>
        <w:pStyle w:val="BodyText"/>
        <w:spacing w:line="288" w:lineRule="auto"/>
        <w:ind w:left="600" w:right="654"/>
      </w:pPr>
      <w:r>
        <w:rPr/>
        <w:t>Another tool currently not available under Victoria’s energy network safety legislation is the adverse publicity order, which the Australian Law Reform Commission considers “</w:t>
      </w:r>
      <w:r>
        <w:rPr>
          <w:i/>
        </w:rPr>
        <w:t>can have</w:t>
      </w:r>
      <w:r>
        <w:rPr>
          <w:i/>
          <w:spacing w:val="40"/>
        </w:rPr>
        <w:t> </w:t>
      </w:r>
      <w:r>
        <w:rPr>
          <w:i/>
        </w:rPr>
        <w:t>a significant impact and deterrent effect on a corporation</w:t>
      </w:r>
      <w:r>
        <w:rPr/>
        <w:t>” (Australian Law Reform Commission, 1994). These are court orders following a finding that an offence has been committed,</w:t>
      </w:r>
      <w:r>
        <w:rPr>
          <w:spacing w:val="-2"/>
        </w:rPr>
        <w:t> </w:t>
      </w:r>
      <w:r>
        <w:rPr/>
        <w:t>that</w:t>
      </w:r>
      <w:r>
        <w:rPr>
          <w:spacing w:val="-2"/>
        </w:rPr>
        <w:t> </w:t>
      </w:r>
      <w:r>
        <w:rPr/>
        <w:t>can</w:t>
      </w:r>
      <w:r>
        <w:rPr>
          <w:spacing w:val="-3"/>
        </w:rPr>
        <w:t> </w:t>
      </w:r>
      <w:r>
        <w:rPr/>
        <w:t>require</w:t>
      </w:r>
      <w:r>
        <w:rPr>
          <w:spacing w:val="-1"/>
        </w:rPr>
        <w:t> </w:t>
      </w:r>
      <w:r>
        <w:rPr/>
        <w:t>an</w:t>
      </w:r>
      <w:r>
        <w:rPr>
          <w:spacing w:val="-1"/>
        </w:rPr>
        <w:t> </w:t>
      </w:r>
      <w:r>
        <w:rPr/>
        <w:t>entity</w:t>
      </w:r>
      <w:r>
        <w:rPr>
          <w:spacing w:val="-3"/>
        </w:rPr>
        <w:t> </w:t>
      </w:r>
      <w:r>
        <w:rPr/>
        <w:t>to</w:t>
      </w:r>
      <w:r>
        <w:rPr>
          <w:spacing w:val="-3"/>
        </w:rPr>
        <w:t> </w:t>
      </w:r>
      <w:r>
        <w:rPr/>
        <w:t>publish</w:t>
      </w:r>
      <w:r>
        <w:rPr>
          <w:spacing w:val="-1"/>
        </w:rPr>
        <w:t> </w:t>
      </w:r>
      <w:r>
        <w:rPr/>
        <w:t>or</w:t>
      </w:r>
      <w:r>
        <w:rPr>
          <w:spacing w:val="-2"/>
        </w:rPr>
        <w:t> </w:t>
      </w:r>
      <w:r>
        <w:rPr/>
        <w:t>notify</w:t>
      </w:r>
      <w:r>
        <w:rPr>
          <w:spacing w:val="-3"/>
        </w:rPr>
        <w:t> </w:t>
      </w:r>
      <w:r>
        <w:rPr/>
        <w:t>information</w:t>
      </w:r>
      <w:r>
        <w:rPr>
          <w:spacing w:val="-1"/>
        </w:rPr>
        <w:t> </w:t>
      </w:r>
      <w:r>
        <w:rPr/>
        <w:t>surrounding</w:t>
      </w:r>
      <w:r>
        <w:rPr>
          <w:spacing w:val="-1"/>
        </w:rPr>
        <w:t> </w:t>
      </w:r>
      <w:r>
        <w:rPr/>
        <w:t>the</w:t>
      </w:r>
      <w:r>
        <w:rPr>
          <w:spacing w:val="-1"/>
        </w:rPr>
        <w:t> </w:t>
      </w:r>
      <w:r>
        <w:rPr/>
        <w:t>offence. Adverse publicity orders are available under the National Offshore Petroleum Safety and Environmental</w:t>
      </w:r>
      <w:r>
        <w:rPr>
          <w:spacing w:val="-6"/>
        </w:rPr>
        <w:t> </w:t>
      </w:r>
      <w:r>
        <w:rPr/>
        <w:t>Management</w:t>
      </w:r>
      <w:r>
        <w:rPr>
          <w:spacing w:val="-3"/>
        </w:rPr>
        <w:t> </w:t>
      </w:r>
      <w:r>
        <w:rPr/>
        <w:t>Authority’s</w:t>
      </w:r>
      <w:r>
        <w:rPr>
          <w:spacing w:val="-4"/>
        </w:rPr>
        <w:t> </w:t>
      </w:r>
      <w:r>
        <w:rPr/>
        <w:t>(NOPSEMA)</w:t>
      </w:r>
      <w:r>
        <w:rPr>
          <w:spacing w:val="-3"/>
        </w:rPr>
        <w:t> </w:t>
      </w:r>
      <w:r>
        <w:rPr/>
        <w:t>legislation</w:t>
      </w:r>
      <w:r>
        <w:rPr>
          <w:spacing w:val="-5"/>
        </w:rPr>
        <w:t> </w:t>
      </w:r>
      <w:r>
        <w:rPr/>
        <w:t>and</w:t>
      </w:r>
      <w:r>
        <w:rPr>
          <w:spacing w:val="-9"/>
        </w:rPr>
        <w:t> </w:t>
      </w:r>
      <w:r>
        <w:rPr/>
        <w:t>Queensland’s</w:t>
      </w:r>
      <w:r>
        <w:rPr>
          <w:spacing w:val="-4"/>
        </w:rPr>
        <w:t> </w:t>
      </w:r>
      <w:r>
        <w:rPr/>
        <w:t>electricity safety legislation.</w:t>
      </w:r>
    </w:p>
    <w:p>
      <w:pPr>
        <w:pStyle w:val="BodyText"/>
        <w:spacing w:before="11"/>
        <w:rPr>
          <w:sz w:val="20"/>
        </w:rPr>
      </w:pPr>
    </w:p>
    <w:p>
      <w:pPr>
        <w:pStyle w:val="BodyText"/>
        <w:spacing w:line="288" w:lineRule="auto"/>
        <w:ind w:left="600" w:right="813"/>
        <w:jc w:val="both"/>
      </w:pPr>
      <w:r>
        <w:rPr/>
        <w:t>A</w:t>
      </w:r>
      <w:r>
        <w:rPr>
          <w:spacing w:val="-2"/>
        </w:rPr>
        <w:t> </w:t>
      </w:r>
      <w:r>
        <w:rPr/>
        <w:t>recent</w:t>
      </w:r>
      <w:r>
        <w:rPr>
          <w:spacing w:val="-3"/>
        </w:rPr>
        <w:t> </w:t>
      </w:r>
      <w:r>
        <w:rPr/>
        <w:t>review</w:t>
      </w:r>
      <w:r>
        <w:rPr>
          <w:spacing w:val="-5"/>
        </w:rPr>
        <w:t> </w:t>
      </w:r>
      <w:r>
        <w:rPr/>
        <w:t>of</w:t>
      </w:r>
      <w:r>
        <w:rPr>
          <w:spacing w:val="-1"/>
        </w:rPr>
        <w:t> </w:t>
      </w:r>
      <w:r>
        <w:rPr/>
        <w:t>NOPSEMA</w:t>
      </w:r>
      <w:r>
        <w:rPr>
          <w:spacing w:val="-2"/>
        </w:rPr>
        <w:t> </w:t>
      </w:r>
      <w:r>
        <w:rPr/>
        <w:t>concluded</w:t>
      </w:r>
      <w:r>
        <w:rPr>
          <w:spacing w:val="-2"/>
        </w:rPr>
        <w:t> </w:t>
      </w:r>
      <w:r>
        <w:rPr/>
        <w:t>that</w:t>
      </w:r>
      <w:r>
        <w:rPr>
          <w:spacing w:val="-3"/>
        </w:rPr>
        <w:t> </w:t>
      </w:r>
      <w:r>
        <w:rPr/>
        <w:t>the</w:t>
      </w:r>
      <w:r>
        <w:rPr>
          <w:spacing w:val="-4"/>
        </w:rPr>
        <w:t> </w:t>
      </w:r>
      <w:r>
        <w:rPr/>
        <w:t>regulator</w:t>
      </w:r>
      <w:r>
        <w:rPr>
          <w:spacing w:val="-3"/>
        </w:rPr>
        <w:t> </w:t>
      </w:r>
      <w:r>
        <w:rPr/>
        <w:t>had</w:t>
      </w:r>
      <w:r>
        <w:rPr>
          <w:spacing w:val="-2"/>
        </w:rPr>
        <w:t> </w:t>
      </w:r>
      <w:r>
        <w:rPr/>
        <w:t>an</w:t>
      </w:r>
      <w:r>
        <w:rPr>
          <w:spacing w:val="-4"/>
        </w:rPr>
        <w:t> </w:t>
      </w:r>
      <w:r>
        <w:rPr/>
        <w:t>adequate</w:t>
      </w:r>
      <w:r>
        <w:rPr>
          <w:spacing w:val="-4"/>
        </w:rPr>
        <w:t> </w:t>
      </w:r>
      <w:r>
        <w:rPr/>
        <w:t>graduated</w:t>
      </w:r>
      <w:r>
        <w:rPr>
          <w:spacing w:val="-4"/>
        </w:rPr>
        <w:t> </w:t>
      </w:r>
      <w:r>
        <w:rPr/>
        <w:t>set of enforcement</w:t>
      </w:r>
      <w:r>
        <w:rPr>
          <w:spacing w:val="-4"/>
        </w:rPr>
        <w:t> </w:t>
      </w:r>
      <w:r>
        <w:rPr/>
        <w:t>tools (Noetic</w:t>
      </w:r>
      <w:r>
        <w:rPr>
          <w:spacing w:val="-1"/>
        </w:rPr>
        <w:t> </w:t>
      </w:r>
      <w:r>
        <w:rPr/>
        <w:t>Solutions,</w:t>
      </w:r>
      <w:r>
        <w:rPr>
          <w:spacing w:val="-2"/>
        </w:rPr>
        <w:t> </w:t>
      </w:r>
      <w:r>
        <w:rPr/>
        <w:t>2015).</w:t>
      </w:r>
      <w:r>
        <w:rPr>
          <w:spacing w:val="-2"/>
        </w:rPr>
        <w:t> </w:t>
      </w:r>
      <w:r>
        <w:rPr/>
        <w:t>These</w:t>
      </w:r>
      <w:r>
        <w:rPr>
          <w:spacing w:val="-1"/>
        </w:rPr>
        <w:t> </w:t>
      </w:r>
      <w:r>
        <w:rPr/>
        <w:t>tools</w:t>
      </w:r>
      <w:r>
        <w:rPr>
          <w:spacing w:val="-3"/>
        </w:rPr>
        <w:t> </w:t>
      </w:r>
      <w:r>
        <w:rPr/>
        <w:t>include</w:t>
      </w:r>
      <w:r>
        <w:rPr>
          <w:spacing w:val="-1"/>
        </w:rPr>
        <w:t> </w:t>
      </w:r>
      <w:r>
        <w:rPr/>
        <w:t>adverse publicity</w:t>
      </w:r>
      <w:r>
        <w:rPr>
          <w:spacing w:val="-3"/>
        </w:rPr>
        <w:t> </w:t>
      </w:r>
      <w:r>
        <w:rPr/>
        <w:t>orders and injunctions.</w:t>
      </w:r>
    </w:p>
    <w:p>
      <w:pPr>
        <w:pStyle w:val="BodyText"/>
        <w:spacing w:before="11"/>
        <w:rPr>
          <w:sz w:val="20"/>
        </w:rPr>
      </w:pPr>
    </w:p>
    <w:p>
      <w:pPr>
        <w:pStyle w:val="BodyText"/>
        <w:spacing w:line="288" w:lineRule="auto"/>
        <w:ind w:left="600" w:right="910"/>
      </w:pPr>
      <w:r>
        <w:rPr/>
        <w:t>In</w:t>
      </w:r>
      <w:r>
        <w:rPr>
          <w:spacing w:val="-4"/>
        </w:rPr>
        <w:t> </w:t>
      </w:r>
      <w:r>
        <w:rPr/>
        <w:t>terms</w:t>
      </w:r>
      <w:r>
        <w:rPr>
          <w:spacing w:val="-1"/>
        </w:rPr>
        <w:t> </w:t>
      </w:r>
      <w:r>
        <w:rPr/>
        <w:t>of injunctions,</w:t>
      </w:r>
      <w:r>
        <w:rPr>
          <w:spacing w:val="-1"/>
        </w:rPr>
        <w:t> </w:t>
      </w:r>
      <w:r>
        <w:rPr/>
        <w:t>a</w:t>
      </w:r>
      <w:r>
        <w:rPr>
          <w:spacing w:val="-6"/>
        </w:rPr>
        <w:t> </w:t>
      </w:r>
      <w:r>
        <w:rPr/>
        <w:t>report on</w:t>
      </w:r>
      <w:r>
        <w:rPr>
          <w:spacing w:val="-4"/>
        </w:rPr>
        <w:t> </w:t>
      </w:r>
      <w:r>
        <w:rPr/>
        <w:t>the</w:t>
      </w:r>
      <w:r>
        <w:rPr>
          <w:spacing w:val="-4"/>
        </w:rPr>
        <w:t> </w:t>
      </w:r>
      <w:r>
        <w:rPr/>
        <w:t>national</w:t>
      </w:r>
      <w:r>
        <w:rPr>
          <w:spacing w:val="-5"/>
        </w:rPr>
        <w:t> </w:t>
      </w:r>
      <w:r>
        <w:rPr/>
        <w:t>model</w:t>
      </w:r>
      <w:r>
        <w:rPr>
          <w:spacing w:val="-2"/>
        </w:rPr>
        <w:t> </w:t>
      </w:r>
      <w:r>
        <w:rPr/>
        <w:t>occupational</w:t>
      </w:r>
      <w:r>
        <w:rPr>
          <w:spacing w:val="-3"/>
        </w:rPr>
        <w:t> </w:t>
      </w:r>
      <w:r>
        <w:rPr/>
        <w:t>health</w:t>
      </w:r>
      <w:r>
        <w:rPr>
          <w:spacing w:val="-4"/>
        </w:rPr>
        <w:t> </w:t>
      </w:r>
      <w:r>
        <w:rPr/>
        <w:t>and</w:t>
      </w:r>
      <w:r>
        <w:rPr>
          <w:spacing w:val="-2"/>
        </w:rPr>
        <w:t> </w:t>
      </w:r>
      <w:r>
        <w:rPr/>
        <w:t>safety</w:t>
      </w:r>
      <w:r>
        <w:rPr>
          <w:spacing w:val="-4"/>
        </w:rPr>
        <w:t> </w:t>
      </w:r>
      <w:r>
        <w:rPr/>
        <w:t>law noted their value:</w:t>
      </w:r>
    </w:p>
    <w:p>
      <w:pPr>
        <w:pStyle w:val="BodyText"/>
        <w:spacing w:before="10"/>
        <w:rPr>
          <w:sz w:val="20"/>
        </w:rPr>
      </w:pPr>
    </w:p>
    <w:p>
      <w:pPr>
        <w:spacing w:line="288" w:lineRule="auto" w:before="0"/>
        <w:ind w:left="1166" w:right="1204" w:firstLine="62"/>
        <w:jc w:val="left"/>
        <w:rPr>
          <w:sz w:val="22"/>
        </w:rPr>
      </w:pPr>
      <w:r>
        <w:rPr>
          <w:i/>
          <w:sz w:val="22"/>
        </w:rPr>
        <w:t>“We consider that the model Act should include provision for injunctions (including interim injunctions) to be obtained to restrain a breach of a prohibition notice, or to compel compliance with an improvement notice after the expiry of the</w:t>
      </w:r>
      <w:r>
        <w:rPr>
          <w:i/>
          <w:spacing w:val="-4"/>
          <w:sz w:val="22"/>
        </w:rPr>
        <w:t> </w:t>
      </w:r>
      <w:r>
        <w:rPr>
          <w:i/>
          <w:sz w:val="22"/>
        </w:rPr>
        <w:t>time</w:t>
      </w:r>
      <w:r>
        <w:rPr>
          <w:i/>
          <w:spacing w:val="-4"/>
          <w:sz w:val="22"/>
        </w:rPr>
        <w:t> </w:t>
      </w:r>
      <w:r>
        <w:rPr>
          <w:i/>
          <w:sz w:val="22"/>
        </w:rPr>
        <w:t>for</w:t>
      </w:r>
      <w:r>
        <w:rPr>
          <w:i/>
          <w:spacing w:val="-3"/>
          <w:sz w:val="22"/>
        </w:rPr>
        <w:t> </w:t>
      </w:r>
      <w:r>
        <w:rPr>
          <w:i/>
          <w:sz w:val="22"/>
        </w:rPr>
        <w:t>compliance.</w:t>
      </w:r>
      <w:r>
        <w:rPr>
          <w:i/>
          <w:spacing w:val="-3"/>
          <w:sz w:val="22"/>
        </w:rPr>
        <w:t> </w:t>
      </w:r>
      <w:r>
        <w:rPr>
          <w:i/>
          <w:sz w:val="22"/>
        </w:rPr>
        <w:t>This</w:t>
      </w:r>
      <w:r>
        <w:rPr>
          <w:i/>
          <w:spacing w:val="-1"/>
          <w:sz w:val="22"/>
        </w:rPr>
        <w:t> </w:t>
      </w:r>
      <w:r>
        <w:rPr>
          <w:i/>
          <w:sz w:val="22"/>
        </w:rPr>
        <w:t>provides</w:t>
      </w:r>
      <w:r>
        <w:rPr>
          <w:i/>
          <w:spacing w:val="-1"/>
          <w:sz w:val="22"/>
        </w:rPr>
        <w:t> </w:t>
      </w:r>
      <w:r>
        <w:rPr>
          <w:i/>
          <w:sz w:val="22"/>
        </w:rPr>
        <w:t>a</w:t>
      </w:r>
      <w:r>
        <w:rPr>
          <w:i/>
          <w:spacing w:val="-4"/>
          <w:sz w:val="22"/>
        </w:rPr>
        <w:t> </w:t>
      </w:r>
      <w:r>
        <w:rPr>
          <w:i/>
          <w:sz w:val="22"/>
        </w:rPr>
        <w:t>timely</w:t>
      </w:r>
      <w:r>
        <w:rPr>
          <w:i/>
          <w:spacing w:val="-4"/>
          <w:sz w:val="22"/>
        </w:rPr>
        <w:t> </w:t>
      </w:r>
      <w:r>
        <w:rPr>
          <w:i/>
          <w:sz w:val="22"/>
        </w:rPr>
        <w:t>means</w:t>
      </w:r>
      <w:r>
        <w:rPr>
          <w:i/>
          <w:spacing w:val="-2"/>
          <w:sz w:val="22"/>
        </w:rPr>
        <w:t> </w:t>
      </w:r>
      <w:r>
        <w:rPr>
          <w:i/>
          <w:sz w:val="22"/>
        </w:rPr>
        <w:t>for</w:t>
      </w:r>
      <w:r>
        <w:rPr>
          <w:i/>
          <w:spacing w:val="-3"/>
          <w:sz w:val="22"/>
        </w:rPr>
        <w:t> </w:t>
      </w:r>
      <w:r>
        <w:rPr>
          <w:i/>
          <w:sz w:val="22"/>
        </w:rPr>
        <w:t>the</w:t>
      </w:r>
      <w:r>
        <w:rPr>
          <w:i/>
          <w:spacing w:val="-4"/>
          <w:sz w:val="22"/>
        </w:rPr>
        <w:t> </w:t>
      </w:r>
      <w:r>
        <w:rPr>
          <w:i/>
          <w:sz w:val="22"/>
        </w:rPr>
        <w:t>regulator</w:t>
      </w:r>
      <w:r>
        <w:rPr>
          <w:i/>
          <w:spacing w:val="-3"/>
          <w:sz w:val="22"/>
        </w:rPr>
        <w:t> </w:t>
      </w:r>
      <w:r>
        <w:rPr>
          <w:i/>
          <w:sz w:val="22"/>
        </w:rPr>
        <w:t>to ensure that breaches and health and safety risks are addressed, rather than having to wait for the lengthy process of prosecution.” </w:t>
      </w:r>
      <w:r>
        <w:rPr>
          <w:sz w:val="22"/>
        </w:rPr>
        <w:t>(Department of Education, Employment and Workplace Relations, 2009, p. 337)</w:t>
      </w:r>
    </w:p>
    <w:p>
      <w:pPr>
        <w:pStyle w:val="BodyText"/>
        <w:spacing w:before="9"/>
        <w:rPr>
          <w:sz w:val="20"/>
        </w:rPr>
      </w:pPr>
    </w:p>
    <w:p>
      <w:pPr>
        <w:pStyle w:val="BodyText"/>
        <w:spacing w:line="288" w:lineRule="auto" w:before="1"/>
        <w:ind w:left="600" w:right="311"/>
      </w:pPr>
      <w:r>
        <w:rPr/>
        <w:t>These</w:t>
      </w:r>
      <w:r>
        <w:rPr>
          <w:spacing w:val="-4"/>
        </w:rPr>
        <w:t> </w:t>
      </w:r>
      <w:r>
        <w:rPr/>
        <w:t>tools</w:t>
      </w:r>
      <w:r>
        <w:rPr>
          <w:spacing w:val="-4"/>
        </w:rPr>
        <w:t> </w:t>
      </w:r>
      <w:r>
        <w:rPr/>
        <w:t>should</w:t>
      </w:r>
      <w:r>
        <w:rPr>
          <w:spacing w:val="-4"/>
        </w:rPr>
        <w:t> </w:t>
      </w:r>
      <w:r>
        <w:rPr/>
        <w:t>form</w:t>
      </w:r>
      <w:r>
        <w:rPr>
          <w:spacing w:val="-3"/>
        </w:rPr>
        <w:t> </w:t>
      </w:r>
      <w:r>
        <w:rPr/>
        <w:t>part</w:t>
      </w:r>
      <w:r>
        <w:rPr>
          <w:spacing w:val="-3"/>
        </w:rPr>
        <w:t> </w:t>
      </w:r>
      <w:r>
        <w:rPr/>
        <w:t>of an</w:t>
      </w:r>
      <w:r>
        <w:rPr>
          <w:spacing w:val="-2"/>
        </w:rPr>
        <w:t> </w:t>
      </w:r>
      <w:r>
        <w:rPr/>
        <w:t>expanded</w:t>
      </w:r>
      <w:r>
        <w:rPr>
          <w:spacing w:val="-2"/>
        </w:rPr>
        <w:t> </w:t>
      </w:r>
      <w:r>
        <w:rPr/>
        <w:t>range</w:t>
      </w:r>
      <w:r>
        <w:rPr>
          <w:spacing w:val="-4"/>
        </w:rPr>
        <w:t> </w:t>
      </w:r>
      <w:r>
        <w:rPr/>
        <w:t>in</w:t>
      </w:r>
      <w:r>
        <w:rPr>
          <w:spacing w:val="-2"/>
        </w:rPr>
        <w:t> </w:t>
      </w:r>
      <w:r>
        <w:rPr/>
        <w:t>relation</w:t>
      </w:r>
      <w:r>
        <w:rPr>
          <w:spacing w:val="-4"/>
        </w:rPr>
        <w:t> </w:t>
      </w:r>
      <w:r>
        <w:rPr/>
        <w:t>to</w:t>
      </w:r>
      <w:r>
        <w:rPr>
          <w:spacing w:val="-4"/>
        </w:rPr>
        <w:t> </w:t>
      </w:r>
      <w:r>
        <w:rPr/>
        <w:t>network</w:t>
      </w:r>
      <w:r>
        <w:rPr>
          <w:spacing w:val="-1"/>
        </w:rPr>
        <w:t> </w:t>
      </w:r>
      <w:r>
        <w:rPr/>
        <w:t>safety.</w:t>
      </w:r>
      <w:r>
        <w:rPr>
          <w:spacing w:val="-3"/>
        </w:rPr>
        <w:t> </w:t>
      </w:r>
      <w:r>
        <w:rPr/>
        <w:t>This</w:t>
      </w:r>
      <w:r>
        <w:rPr>
          <w:spacing w:val="-4"/>
        </w:rPr>
        <w:t> </w:t>
      </w:r>
      <w:r>
        <w:rPr/>
        <w:t>would better enable ESV to proportionately and effectively address noncompliance (i.e. remedy a problem), punish the offender and deter noncompliance.</w:t>
      </w:r>
    </w:p>
    <w:p>
      <w:pPr>
        <w:pStyle w:val="BodyText"/>
        <w:spacing w:before="11"/>
        <w:rPr>
          <w:sz w:val="20"/>
        </w:rPr>
      </w:pPr>
    </w:p>
    <w:p>
      <w:pPr>
        <w:pStyle w:val="BodyText"/>
        <w:spacing w:line="288" w:lineRule="auto"/>
        <w:ind w:left="600" w:right="311"/>
      </w:pPr>
      <w:r>
        <w:rPr/>
        <w:t>It is recommended that consideration is also given to a statutory requirement that particular enforcement</w:t>
      </w:r>
      <w:r>
        <w:rPr>
          <w:spacing w:val="-3"/>
        </w:rPr>
        <w:t> </w:t>
      </w:r>
      <w:r>
        <w:rPr/>
        <w:t>activity</w:t>
      </w:r>
      <w:r>
        <w:rPr>
          <w:spacing w:val="-4"/>
        </w:rPr>
        <w:t> </w:t>
      </w:r>
      <w:r>
        <w:rPr/>
        <w:t>information</w:t>
      </w:r>
      <w:r>
        <w:rPr>
          <w:spacing w:val="-2"/>
        </w:rPr>
        <w:t> </w:t>
      </w:r>
      <w:r>
        <w:rPr/>
        <w:t>be</w:t>
      </w:r>
      <w:r>
        <w:rPr>
          <w:spacing w:val="-4"/>
        </w:rPr>
        <w:t> </w:t>
      </w:r>
      <w:r>
        <w:rPr/>
        <w:t>published</w:t>
      </w:r>
      <w:r>
        <w:rPr>
          <w:spacing w:val="-2"/>
        </w:rPr>
        <w:t> </w:t>
      </w:r>
      <w:r>
        <w:rPr/>
        <w:t>on</w:t>
      </w:r>
      <w:r>
        <w:rPr>
          <w:spacing w:val="-6"/>
        </w:rPr>
        <w:t> </w:t>
      </w:r>
      <w:r>
        <w:rPr/>
        <w:t>ESV’s</w:t>
      </w:r>
      <w:r>
        <w:rPr>
          <w:spacing w:val="-1"/>
        </w:rPr>
        <w:t> </w:t>
      </w:r>
      <w:r>
        <w:rPr/>
        <w:t>website.</w:t>
      </w:r>
      <w:r>
        <w:rPr>
          <w:spacing w:val="-1"/>
        </w:rPr>
        <w:t> </w:t>
      </w:r>
      <w:r>
        <w:rPr/>
        <w:t>This</w:t>
      </w:r>
      <w:r>
        <w:rPr>
          <w:spacing w:val="-1"/>
        </w:rPr>
        <w:t> </w:t>
      </w:r>
      <w:r>
        <w:rPr/>
        <w:t>would</w:t>
      </w:r>
      <w:r>
        <w:rPr>
          <w:spacing w:val="-2"/>
        </w:rPr>
        <w:t> </w:t>
      </w:r>
      <w:r>
        <w:rPr/>
        <w:t>be</w:t>
      </w:r>
      <w:r>
        <w:rPr>
          <w:spacing w:val="-2"/>
        </w:rPr>
        <w:t> </w:t>
      </w:r>
      <w:r>
        <w:rPr/>
        <w:t>in</w:t>
      </w:r>
      <w:r>
        <w:rPr>
          <w:spacing w:val="-2"/>
        </w:rPr>
        <w:t> </w:t>
      </w:r>
      <w:r>
        <w:rPr/>
        <w:t>addition</w:t>
      </w:r>
      <w:r>
        <w:rPr>
          <w:spacing w:val="-4"/>
        </w:rPr>
        <w:t> </w:t>
      </w:r>
      <w:r>
        <w:rPr/>
        <w:t>to other avenues that may be available to ESV to publish enforcement information such as</w:t>
      </w:r>
    </w:p>
    <w:p>
      <w:pPr>
        <w:spacing w:after="0" w:line="288" w:lineRule="auto"/>
        <w:sectPr>
          <w:pgSz w:w="11910" w:h="16840"/>
          <w:pgMar w:header="887" w:footer="1228" w:top="1080" w:bottom="1500" w:left="840" w:right="820"/>
        </w:sectPr>
      </w:pPr>
    </w:p>
    <w:p>
      <w:pPr>
        <w:pStyle w:val="BodyText"/>
        <w:rPr>
          <w:sz w:val="20"/>
        </w:rPr>
      </w:pPr>
    </w:p>
    <w:p>
      <w:pPr>
        <w:pStyle w:val="BodyText"/>
        <w:rPr>
          <w:sz w:val="20"/>
        </w:rPr>
      </w:pPr>
    </w:p>
    <w:p>
      <w:pPr>
        <w:pStyle w:val="BodyText"/>
        <w:spacing w:before="5"/>
      </w:pPr>
    </w:p>
    <w:p>
      <w:pPr>
        <w:pStyle w:val="BodyText"/>
        <w:spacing w:line="288" w:lineRule="auto"/>
        <w:ind w:left="600" w:right="910"/>
      </w:pPr>
      <w:r>
        <w:rPr/>
        <w:t>ESV’s</w:t>
      </w:r>
      <w:r>
        <w:rPr>
          <w:spacing w:val="-3"/>
        </w:rPr>
        <w:t> </w:t>
      </w:r>
      <w:r>
        <w:rPr/>
        <w:t>public</w:t>
      </w:r>
      <w:r>
        <w:rPr>
          <w:spacing w:val="-3"/>
        </w:rPr>
        <w:t> </w:t>
      </w:r>
      <w:r>
        <w:rPr/>
        <w:t>reporting.</w:t>
      </w:r>
      <w:r>
        <w:rPr>
          <w:spacing w:val="-3"/>
        </w:rPr>
        <w:t> </w:t>
      </w:r>
      <w:r>
        <w:rPr/>
        <w:t>Appropriate</w:t>
      </w:r>
      <w:r>
        <w:rPr>
          <w:spacing w:val="-6"/>
        </w:rPr>
        <w:t> </w:t>
      </w:r>
      <w:r>
        <w:rPr/>
        <w:t>safeguards</w:t>
      </w:r>
      <w:r>
        <w:rPr>
          <w:spacing w:val="-6"/>
        </w:rPr>
        <w:t> </w:t>
      </w:r>
      <w:r>
        <w:rPr/>
        <w:t>would</w:t>
      </w:r>
      <w:r>
        <w:rPr>
          <w:spacing w:val="-4"/>
        </w:rPr>
        <w:t> </w:t>
      </w:r>
      <w:r>
        <w:rPr/>
        <w:t>be</w:t>
      </w:r>
      <w:r>
        <w:rPr>
          <w:spacing w:val="-4"/>
        </w:rPr>
        <w:t> </w:t>
      </w:r>
      <w:r>
        <w:rPr/>
        <w:t>needed</w:t>
      </w:r>
      <w:r>
        <w:rPr>
          <w:spacing w:val="-6"/>
        </w:rPr>
        <w:t> </w:t>
      </w:r>
      <w:r>
        <w:rPr/>
        <w:t>to</w:t>
      </w:r>
      <w:r>
        <w:rPr>
          <w:spacing w:val="-4"/>
        </w:rPr>
        <w:t> </w:t>
      </w:r>
      <w:r>
        <w:rPr/>
        <w:t>protect</w:t>
      </w:r>
      <w:r>
        <w:rPr>
          <w:spacing w:val="-2"/>
        </w:rPr>
        <w:t> </w:t>
      </w:r>
      <w:r>
        <w:rPr/>
        <w:t>privacy</w:t>
      </w:r>
      <w:r>
        <w:rPr>
          <w:spacing w:val="-6"/>
        </w:rPr>
        <w:t> </w:t>
      </w:r>
      <w:r>
        <w:rPr/>
        <w:t>and avoid the premature disclosure of information where a case has not concluded.</w:t>
      </w:r>
    </w:p>
    <w:p>
      <w:pPr>
        <w:pStyle w:val="BodyText"/>
        <w:spacing w:before="10"/>
        <w:rPr>
          <w:sz w:val="20"/>
        </w:rPr>
      </w:pPr>
    </w:p>
    <w:p>
      <w:pPr>
        <w:pStyle w:val="BodyText"/>
        <w:spacing w:line="288" w:lineRule="auto"/>
        <w:ind w:left="600" w:right="629"/>
      </w:pPr>
      <w:r>
        <w:rPr/>
        <w:t>In</w:t>
      </w:r>
      <w:r>
        <w:rPr>
          <w:spacing w:val="-3"/>
        </w:rPr>
        <w:t> </w:t>
      </w:r>
      <w:r>
        <w:rPr/>
        <w:t>proposing</w:t>
      </w:r>
      <w:r>
        <w:rPr>
          <w:spacing w:val="-3"/>
        </w:rPr>
        <w:t> </w:t>
      </w:r>
      <w:r>
        <w:rPr/>
        <w:t>this</w:t>
      </w:r>
      <w:r>
        <w:rPr>
          <w:spacing w:val="-2"/>
        </w:rPr>
        <w:t> </w:t>
      </w:r>
      <w:r>
        <w:rPr/>
        <w:t>approach,</w:t>
      </w:r>
      <w:r>
        <w:rPr>
          <w:spacing w:val="-2"/>
        </w:rPr>
        <w:t> </w:t>
      </w:r>
      <w:r>
        <w:rPr/>
        <w:t>it</w:t>
      </w:r>
      <w:r>
        <w:rPr>
          <w:spacing w:val="-4"/>
        </w:rPr>
        <w:t> </w:t>
      </w:r>
      <w:r>
        <w:rPr/>
        <w:t>is</w:t>
      </w:r>
      <w:r>
        <w:rPr>
          <w:spacing w:val="-5"/>
        </w:rPr>
        <w:t> </w:t>
      </w:r>
      <w:r>
        <w:rPr/>
        <w:t>relevant</w:t>
      </w:r>
      <w:r>
        <w:rPr>
          <w:spacing w:val="-1"/>
        </w:rPr>
        <w:t> </w:t>
      </w:r>
      <w:r>
        <w:rPr/>
        <w:t>to</w:t>
      </w:r>
      <w:r>
        <w:rPr>
          <w:spacing w:val="-5"/>
        </w:rPr>
        <w:t> </w:t>
      </w:r>
      <w:r>
        <w:rPr/>
        <w:t>note</w:t>
      </w:r>
      <w:r>
        <w:rPr>
          <w:spacing w:val="-5"/>
        </w:rPr>
        <w:t> </w:t>
      </w:r>
      <w:r>
        <w:rPr/>
        <w:t>that</w:t>
      </w:r>
      <w:r>
        <w:rPr>
          <w:spacing w:val="-1"/>
        </w:rPr>
        <w:t> </w:t>
      </w:r>
      <w:r>
        <w:rPr/>
        <w:t>NOPSEMA</w:t>
      </w:r>
      <w:r>
        <w:rPr>
          <w:spacing w:val="-3"/>
        </w:rPr>
        <w:t> </w:t>
      </w:r>
      <w:r>
        <w:rPr/>
        <w:t>publishes improvement</w:t>
      </w:r>
      <w:r>
        <w:rPr>
          <w:spacing w:val="-1"/>
        </w:rPr>
        <w:t> </w:t>
      </w:r>
      <w:r>
        <w:rPr/>
        <w:t>and prohibition notices on its website, which is required under its legislation.</w:t>
      </w:r>
      <w:r>
        <w:rPr>
          <w:vertAlign w:val="superscript"/>
        </w:rPr>
        <w:t>9</w:t>
      </w:r>
      <w:r>
        <w:rPr>
          <w:vertAlign w:val="baseline"/>
        </w:rPr>
        <w:t> Similarly, in Queensland’s electricity</w:t>
      </w:r>
      <w:r>
        <w:rPr>
          <w:spacing w:val="-3"/>
          <w:vertAlign w:val="baseline"/>
        </w:rPr>
        <w:t> </w:t>
      </w:r>
      <w:r>
        <w:rPr>
          <w:vertAlign w:val="baseline"/>
        </w:rPr>
        <w:t>safety</w:t>
      </w:r>
      <w:r>
        <w:rPr>
          <w:spacing w:val="-2"/>
          <w:vertAlign w:val="baseline"/>
        </w:rPr>
        <w:t> </w:t>
      </w:r>
      <w:r>
        <w:rPr>
          <w:vertAlign w:val="baseline"/>
        </w:rPr>
        <w:t>legislation,</w:t>
      </w:r>
      <w:r>
        <w:rPr>
          <w:spacing w:val="-2"/>
          <w:vertAlign w:val="baseline"/>
        </w:rPr>
        <w:t> </w:t>
      </w:r>
      <w:r>
        <w:rPr>
          <w:vertAlign w:val="baseline"/>
        </w:rPr>
        <w:t>the</w:t>
      </w:r>
      <w:r>
        <w:rPr>
          <w:spacing w:val="-3"/>
          <w:vertAlign w:val="baseline"/>
        </w:rPr>
        <w:t> </w:t>
      </w:r>
      <w:r>
        <w:rPr>
          <w:vertAlign w:val="baseline"/>
        </w:rPr>
        <w:t>regulator</w:t>
      </w:r>
      <w:r>
        <w:rPr>
          <w:spacing w:val="-2"/>
          <w:vertAlign w:val="baseline"/>
        </w:rPr>
        <w:t> </w:t>
      </w:r>
      <w:r>
        <w:rPr>
          <w:vertAlign w:val="baseline"/>
        </w:rPr>
        <w:t>must publish</w:t>
      </w:r>
      <w:r>
        <w:rPr>
          <w:spacing w:val="-1"/>
          <w:vertAlign w:val="baseline"/>
        </w:rPr>
        <w:t> </w:t>
      </w:r>
      <w:r>
        <w:rPr>
          <w:vertAlign w:val="baseline"/>
        </w:rPr>
        <w:t>on</w:t>
      </w:r>
      <w:r>
        <w:rPr>
          <w:spacing w:val="-3"/>
          <w:vertAlign w:val="baseline"/>
        </w:rPr>
        <w:t> </w:t>
      </w:r>
      <w:r>
        <w:rPr>
          <w:vertAlign w:val="baseline"/>
        </w:rPr>
        <w:t>its</w:t>
      </w:r>
      <w:r>
        <w:rPr>
          <w:spacing w:val="-3"/>
          <w:vertAlign w:val="baseline"/>
        </w:rPr>
        <w:t> </w:t>
      </w:r>
      <w:r>
        <w:rPr>
          <w:vertAlign w:val="baseline"/>
        </w:rPr>
        <w:t>website</w:t>
      </w:r>
      <w:r>
        <w:rPr>
          <w:spacing w:val="-1"/>
          <w:vertAlign w:val="baseline"/>
        </w:rPr>
        <w:t> </w:t>
      </w:r>
      <w:r>
        <w:rPr>
          <w:vertAlign w:val="baseline"/>
        </w:rPr>
        <w:t>notice</w:t>
      </w:r>
      <w:r>
        <w:rPr>
          <w:spacing w:val="-1"/>
          <w:vertAlign w:val="baseline"/>
        </w:rPr>
        <w:t> </w:t>
      </w:r>
      <w:r>
        <w:rPr>
          <w:vertAlign w:val="baseline"/>
        </w:rPr>
        <w:t>of a decision to accept an electrical safety undertaking and the reasons for that decision.</w:t>
      </w:r>
    </w:p>
    <w:p>
      <w:pPr>
        <w:pStyle w:val="BodyText"/>
        <w:spacing w:line="288" w:lineRule="auto"/>
        <w:ind w:left="600"/>
      </w:pPr>
      <w:r>
        <w:rPr/>
        <w:t>Moreover,</w:t>
      </w:r>
      <w:r>
        <w:rPr>
          <w:spacing w:val="-1"/>
        </w:rPr>
        <w:t> </w:t>
      </w:r>
      <w:r>
        <w:rPr/>
        <w:t>in</w:t>
      </w:r>
      <w:r>
        <w:rPr>
          <w:spacing w:val="-3"/>
        </w:rPr>
        <w:t> </w:t>
      </w:r>
      <w:r>
        <w:rPr/>
        <w:t>South</w:t>
      </w:r>
      <w:r>
        <w:rPr>
          <w:spacing w:val="-5"/>
        </w:rPr>
        <w:t> </w:t>
      </w:r>
      <w:r>
        <w:rPr/>
        <w:t>Australia’s</w:t>
      </w:r>
      <w:r>
        <w:rPr>
          <w:spacing w:val="-2"/>
        </w:rPr>
        <w:t> </w:t>
      </w:r>
      <w:r>
        <w:rPr/>
        <w:t>electricity</w:t>
      </w:r>
      <w:r>
        <w:rPr>
          <w:spacing w:val="-5"/>
        </w:rPr>
        <w:t> </w:t>
      </w:r>
      <w:r>
        <w:rPr/>
        <w:t>safety</w:t>
      </w:r>
      <w:r>
        <w:rPr>
          <w:spacing w:val="-4"/>
        </w:rPr>
        <w:t> </w:t>
      </w:r>
      <w:r>
        <w:rPr/>
        <w:t>legislation,</w:t>
      </w:r>
      <w:r>
        <w:rPr>
          <w:spacing w:val="-1"/>
        </w:rPr>
        <w:t> </w:t>
      </w:r>
      <w:r>
        <w:rPr/>
        <w:t>a</w:t>
      </w:r>
      <w:r>
        <w:rPr>
          <w:spacing w:val="-5"/>
        </w:rPr>
        <w:t> </w:t>
      </w:r>
      <w:r>
        <w:rPr/>
        <w:t>“warning</w:t>
      </w:r>
      <w:r>
        <w:rPr>
          <w:spacing w:val="-1"/>
        </w:rPr>
        <w:t> </w:t>
      </w:r>
      <w:r>
        <w:rPr/>
        <w:t>notice”</w:t>
      </w:r>
      <w:r>
        <w:rPr>
          <w:spacing w:val="-2"/>
        </w:rPr>
        <w:t> </w:t>
      </w:r>
      <w:r>
        <w:rPr/>
        <w:t>can</w:t>
      </w:r>
      <w:r>
        <w:rPr>
          <w:spacing w:val="-5"/>
        </w:rPr>
        <w:t> </w:t>
      </w:r>
      <w:r>
        <w:rPr/>
        <w:t>require</w:t>
      </w:r>
      <w:r>
        <w:rPr>
          <w:spacing w:val="-5"/>
        </w:rPr>
        <w:t> </w:t>
      </w:r>
      <w:r>
        <w:rPr/>
        <w:t>the publication of advertisements relating to a contravention or action to rectify it.</w:t>
      </w:r>
    </w:p>
    <w:p>
      <w:pPr>
        <w:pStyle w:val="BodyText"/>
        <w:spacing w:before="10"/>
        <w:rPr>
          <w:sz w:val="20"/>
        </w:rPr>
      </w:pPr>
    </w:p>
    <w:p>
      <w:pPr>
        <w:pStyle w:val="BodyText"/>
        <w:spacing w:line="288" w:lineRule="auto"/>
        <w:ind w:left="600" w:right="714"/>
        <w:jc w:val="both"/>
      </w:pPr>
      <w:r>
        <w:rPr/>
        <w:t>In addition</w:t>
      </w:r>
      <w:r>
        <w:rPr>
          <w:spacing w:val="-2"/>
        </w:rPr>
        <w:t> </w:t>
      </w:r>
      <w:r>
        <w:rPr/>
        <w:t>to</w:t>
      </w:r>
      <w:r>
        <w:rPr>
          <w:spacing w:val="-2"/>
        </w:rPr>
        <w:t> </w:t>
      </w:r>
      <w:r>
        <w:rPr/>
        <w:t>expanding the</w:t>
      </w:r>
      <w:r>
        <w:rPr>
          <w:spacing w:val="-2"/>
        </w:rPr>
        <w:t> </w:t>
      </w:r>
      <w:r>
        <w:rPr/>
        <w:t>range of</w:t>
      </w:r>
      <w:r>
        <w:rPr>
          <w:spacing w:val="-1"/>
        </w:rPr>
        <w:t> </w:t>
      </w:r>
      <w:r>
        <w:rPr/>
        <w:t>regulatory</w:t>
      </w:r>
      <w:r>
        <w:rPr>
          <w:spacing w:val="-4"/>
        </w:rPr>
        <w:t> </w:t>
      </w:r>
      <w:r>
        <w:rPr/>
        <w:t>tools, there is</w:t>
      </w:r>
      <w:r>
        <w:rPr>
          <w:spacing w:val="-1"/>
        </w:rPr>
        <w:t> </w:t>
      </w:r>
      <w:r>
        <w:rPr/>
        <w:t>also</w:t>
      </w:r>
      <w:r>
        <w:rPr>
          <w:spacing w:val="-2"/>
        </w:rPr>
        <w:t> </w:t>
      </w:r>
      <w:r>
        <w:rPr/>
        <w:t>room</w:t>
      </w:r>
      <w:r>
        <w:rPr>
          <w:spacing w:val="-3"/>
        </w:rPr>
        <w:t> </w:t>
      </w:r>
      <w:r>
        <w:rPr/>
        <w:t>for improvement</w:t>
      </w:r>
      <w:r>
        <w:rPr>
          <w:spacing w:val="-1"/>
        </w:rPr>
        <w:t> </w:t>
      </w:r>
      <w:r>
        <w:rPr/>
        <w:t>to provisions</w:t>
      </w:r>
      <w:r>
        <w:rPr>
          <w:spacing w:val="-3"/>
        </w:rPr>
        <w:t> </w:t>
      </w:r>
      <w:r>
        <w:rPr/>
        <w:t>around</w:t>
      </w:r>
      <w:r>
        <w:rPr>
          <w:spacing w:val="-4"/>
        </w:rPr>
        <w:t> </w:t>
      </w:r>
      <w:r>
        <w:rPr/>
        <w:t>ESV’s</w:t>
      </w:r>
      <w:r>
        <w:rPr>
          <w:spacing w:val="-3"/>
        </w:rPr>
        <w:t> </w:t>
      </w:r>
      <w:r>
        <w:rPr/>
        <w:t>existing</w:t>
      </w:r>
      <w:r>
        <w:rPr>
          <w:spacing w:val="-4"/>
        </w:rPr>
        <w:t> </w:t>
      </w:r>
      <w:r>
        <w:rPr/>
        <w:t>tools.</w:t>
      </w:r>
      <w:r>
        <w:rPr>
          <w:spacing w:val="-7"/>
        </w:rPr>
        <w:t> </w:t>
      </w:r>
      <w:r>
        <w:rPr/>
        <w:t>This</w:t>
      </w:r>
      <w:r>
        <w:rPr>
          <w:spacing w:val="-3"/>
        </w:rPr>
        <w:t> </w:t>
      </w:r>
      <w:r>
        <w:rPr/>
        <w:t>includes</w:t>
      </w:r>
      <w:r>
        <w:rPr>
          <w:spacing w:val="-4"/>
        </w:rPr>
        <w:t> </w:t>
      </w:r>
      <w:r>
        <w:rPr/>
        <w:t>infringement, information</w:t>
      </w:r>
      <w:r>
        <w:rPr>
          <w:spacing w:val="-4"/>
        </w:rPr>
        <w:t> </w:t>
      </w:r>
      <w:r>
        <w:rPr/>
        <w:t>notice,</w:t>
      </w:r>
      <w:r>
        <w:rPr>
          <w:spacing w:val="-2"/>
        </w:rPr>
        <w:t> </w:t>
      </w:r>
      <w:r>
        <w:rPr/>
        <w:t>audit, improvement notice, and prohibition notice provisions in the Acts and regulations.</w:t>
      </w:r>
    </w:p>
    <w:p>
      <w:pPr>
        <w:pStyle w:val="BodyText"/>
        <w:rPr>
          <w:sz w:val="21"/>
        </w:rPr>
      </w:pPr>
    </w:p>
    <w:p>
      <w:pPr>
        <w:pStyle w:val="BodyText"/>
        <w:spacing w:line="288" w:lineRule="auto"/>
        <w:ind w:left="600" w:right="657"/>
      </w:pPr>
      <w:r>
        <w:rPr/>
        <w:t>As</w:t>
      </w:r>
      <w:r>
        <w:rPr>
          <w:spacing w:val="-2"/>
        </w:rPr>
        <w:t> </w:t>
      </w:r>
      <w:r>
        <w:rPr/>
        <w:t>discussed</w:t>
      </w:r>
      <w:r>
        <w:rPr>
          <w:spacing w:val="-5"/>
        </w:rPr>
        <w:t> </w:t>
      </w:r>
      <w:r>
        <w:rPr/>
        <w:t>further</w:t>
      </w:r>
      <w:r>
        <w:rPr>
          <w:spacing w:val="-4"/>
        </w:rPr>
        <w:t> </w:t>
      </w:r>
      <w:r>
        <w:rPr/>
        <w:t>in</w:t>
      </w:r>
      <w:r>
        <w:rPr>
          <w:spacing w:val="-2"/>
        </w:rPr>
        <w:t> </w:t>
      </w:r>
      <w:r>
        <w:rPr>
          <w:i/>
        </w:rPr>
        <w:t>Chapter</w:t>
      </w:r>
      <w:r>
        <w:rPr>
          <w:i/>
          <w:spacing w:val="-3"/>
        </w:rPr>
        <w:t> </w:t>
      </w:r>
      <w:r>
        <w:rPr>
          <w:i/>
        </w:rPr>
        <w:t>9:</w:t>
      </w:r>
      <w:r>
        <w:rPr>
          <w:i/>
          <w:spacing w:val="-4"/>
        </w:rPr>
        <w:t> </w:t>
      </w:r>
      <w:r>
        <w:rPr>
          <w:i/>
        </w:rPr>
        <w:t>Strengthening</w:t>
      </w:r>
      <w:r>
        <w:rPr>
          <w:i/>
          <w:spacing w:val="-5"/>
        </w:rPr>
        <w:t> </w:t>
      </w:r>
      <w:r>
        <w:rPr>
          <w:i/>
        </w:rPr>
        <w:t>the</w:t>
      </w:r>
      <w:r>
        <w:rPr>
          <w:i/>
          <w:spacing w:val="-3"/>
        </w:rPr>
        <w:t> </w:t>
      </w:r>
      <w:r>
        <w:rPr>
          <w:i/>
        </w:rPr>
        <w:t>Foundations</w:t>
      </w:r>
      <w:r>
        <w:rPr>
          <w:i/>
          <w:spacing w:val="-5"/>
        </w:rPr>
        <w:t> </w:t>
      </w:r>
      <w:r>
        <w:rPr>
          <w:i/>
        </w:rPr>
        <w:t>for</w:t>
      </w:r>
      <w:r>
        <w:rPr>
          <w:i/>
          <w:spacing w:val="-2"/>
        </w:rPr>
        <w:t> </w:t>
      </w:r>
      <w:r>
        <w:rPr>
          <w:i/>
        </w:rPr>
        <w:t>Future</w:t>
      </w:r>
      <w:r>
        <w:rPr>
          <w:i/>
          <w:spacing w:val="-3"/>
        </w:rPr>
        <w:t> </w:t>
      </w:r>
      <w:r>
        <w:rPr>
          <w:i/>
        </w:rPr>
        <w:t>Network</w:t>
      </w:r>
      <w:r>
        <w:rPr>
          <w:i/>
          <w:spacing w:val="-4"/>
        </w:rPr>
        <w:t> </w:t>
      </w:r>
      <w:r>
        <w:rPr>
          <w:i/>
        </w:rPr>
        <w:t>Safety Regulation</w:t>
      </w:r>
      <w:r>
        <w:rPr/>
        <w:t>, the Review proposes that current electricity and gas safety legislation administered by ESV should be consolidated in a single new energy safety Act. As part of the preparation of consolidated electricity and gas safety legislation, the regulatory tools available to ESV should be reviewed to:</w:t>
      </w:r>
    </w:p>
    <w:p>
      <w:pPr>
        <w:pStyle w:val="BodyText"/>
        <w:spacing w:before="3"/>
      </w:pPr>
    </w:p>
    <w:p>
      <w:pPr>
        <w:pStyle w:val="ListParagraph"/>
        <w:numPr>
          <w:ilvl w:val="0"/>
          <w:numId w:val="43"/>
        </w:numPr>
        <w:tabs>
          <w:tab w:pos="1102" w:val="left" w:leader="none"/>
        </w:tabs>
        <w:spacing w:line="288" w:lineRule="auto" w:before="0" w:after="0"/>
        <w:ind w:left="1102" w:right="741" w:hanging="360"/>
        <w:jc w:val="left"/>
        <w:rPr>
          <w:sz w:val="22"/>
        </w:rPr>
      </w:pPr>
      <w:r>
        <w:rPr>
          <w:sz w:val="22"/>
        </w:rPr>
        <w:t>remove unnecessary limitations on what the tools can be used for, for example improvement</w:t>
      </w:r>
      <w:r>
        <w:rPr>
          <w:spacing w:val="-4"/>
          <w:sz w:val="22"/>
        </w:rPr>
        <w:t> </w:t>
      </w:r>
      <w:r>
        <w:rPr>
          <w:sz w:val="22"/>
        </w:rPr>
        <w:t>and</w:t>
      </w:r>
      <w:r>
        <w:rPr>
          <w:spacing w:val="-3"/>
          <w:sz w:val="22"/>
        </w:rPr>
        <w:t> </w:t>
      </w:r>
      <w:r>
        <w:rPr>
          <w:sz w:val="22"/>
        </w:rPr>
        <w:t>infringement</w:t>
      </w:r>
      <w:r>
        <w:rPr>
          <w:spacing w:val="-2"/>
          <w:sz w:val="22"/>
        </w:rPr>
        <w:t> </w:t>
      </w:r>
      <w:r>
        <w:rPr>
          <w:sz w:val="22"/>
        </w:rPr>
        <w:t>notices</w:t>
      </w:r>
      <w:r>
        <w:rPr>
          <w:spacing w:val="-5"/>
          <w:sz w:val="22"/>
        </w:rPr>
        <w:t> </w:t>
      </w:r>
      <w:r>
        <w:rPr>
          <w:sz w:val="22"/>
        </w:rPr>
        <w:t>should</w:t>
      </w:r>
      <w:r>
        <w:rPr>
          <w:spacing w:val="-3"/>
          <w:sz w:val="22"/>
        </w:rPr>
        <w:t> </w:t>
      </w:r>
      <w:r>
        <w:rPr>
          <w:sz w:val="22"/>
        </w:rPr>
        <w:t>be</w:t>
      </w:r>
      <w:r>
        <w:rPr>
          <w:spacing w:val="-7"/>
          <w:sz w:val="22"/>
        </w:rPr>
        <w:t> </w:t>
      </w:r>
      <w:r>
        <w:rPr>
          <w:sz w:val="22"/>
        </w:rPr>
        <w:t>available</w:t>
      </w:r>
      <w:r>
        <w:rPr>
          <w:spacing w:val="-2"/>
          <w:sz w:val="22"/>
        </w:rPr>
        <w:t> </w:t>
      </w:r>
      <w:r>
        <w:rPr>
          <w:sz w:val="22"/>
        </w:rPr>
        <w:t>to</w:t>
      </w:r>
      <w:r>
        <w:rPr>
          <w:spacing w:val="-3"/>
          <w:sz w:val="22"/>
        </w:rPr>
        <w:t> </w:t>
      </w:r>
      <w:r>
        <w:rPr>
          <w:sz w:val="22"/>
        </w:rPr>
        <w:t>address</w:t>
      </w:r>
      <w:r>
        <w:rPr>
          <w:spacing w:val="-2"/>
          <w:sz w:val="22"/>
        </w:rPr>
        <w:t> </w:t>
      </w:r>
      <w:r>
        <w:rPr>
          <w:sz w:val="22"/>
        </w:rPr>
        <w:t>a</w:t>
      </w:r>
      <w:r>
        <w:rPr>
          <w:spacing w:val="-5"/>
          <w:sz w:val="22"/>
        </w:rPr>
        <w:t> </w:t>
      </w:r>
      <w:r>
        <w:rPr>
          <w:sz w:val="22"/>
        </w:rPr>
        <w:t>wider</w:t>
      </w:r>
      <w:r>
        <w:rPr>
          <w:spacing w:val="-4"/>
          <w:sz w:val="22"/>
        </w:rPr>
        <w:t> </w:t>
      </w:r>
      <w:r>
        <w:rPr>
          <w:sz w:val="22"/>
        </w:rPr>
        <w:t>range</w:t>
      </w:r>
      <w:r>
        <w:rPr>
          <w:spacing w:val="-3"/>
          <w:sz w:val="22"/>
        </w:rPr>
        <w:t> </w:t>
      </w:r>
      <w:r>
        <w:rPr>
          <w:sz w:val="22"/>
        </w:rPr>
        <w:t>of </w:t>
      </w:r>
      <w:r>
        <w:rPr>
          <w:spacing w:val="-2"/>
          <w:sz w:val="22"/>
        </w:rPr>
        <w:t>contraventions;</w:t>
      </w:r>
    </w:p>
    <w:p>
      <w:pPr>
        <w:pStyle w:val="BodyText"/>
        <w:spacing w:before="3"/>
      </w:pPr>
    </w:p>
    <w:p>
      <w:pPr>
        <w:pStyle w:val="ListParagraph"/>
        <w:numPr>
          <w:ilvl w:val="0"/>
          <w:numId w:val="43"/>
        </w:numPr>
        <w:tabs>
          <w:tab w:pos="1101" w:val="left" w:leader="none"/>
        </w:tabs>
        <w:spacing w:line="240" w:lineRule="auto" w:before="0" w:after="0"/>
        <w:ind w:left="1101" w:right="0" w:hanging="359"/>
        <w:jc w:val="left"/>
        <w:rPr>
          <w:sz w:val="22"/>
        </w:rPr>
      </w:pPr>
      <w:r>
        <w:rPr>
          <w:sz w:val="22"/>
        </w:rPr>
        <w:t>better</w:t>
      </w:r>
      <w:r>
        <w:rPr>
          <w:spacing w:val="-3"/>
          <w:sz w:val="22"/>
        </w:rPr>
        <w:t> </w:t>
      </w:r>
      <w:r>
        <w:rPr>
          <w:sz w:val="22"/>
        </w:rPr>
        <w:t>align</w:t>
      </w:r>
      <w:r>
        <w:rPr>
          <w:spacing w:val="-6"/>
          <w:sz w:val="22"/>
        </w:rPr>
        <w:t> </w:t>
      </w:r>
      <w:r>
        <w:rPr>
          <w:sz w:val="22"/>
        </w:rPr>
        <w:t>them</w:t>
      </w:r>
      <w:r>
        <w:rPr>
          <w:spacing w:val="-5"/>
          <w:sz w:val="22"/>
        </w:rPr>
        <w:t> </w:t>
      </w:r>
      <w:r>
        <w:rPr>
          <w:sz w:val="22"/>
        </w:rPr>
        <w:t>between</w:t>
      </w:r>
      <w:r>
        <w:rPr>
          <w:spacing w:val="-4"/>
          <w:sz w:val="22"/>
        </w:rPr>
        <w:t> </w:t>
      </w:r>
      <w:r>
        <w:rPr>
          <w:sz w:val="22"/>
        </w:rPr>
        <w:t>electricity</w:t>
      </w:r>
      <w:r>
        <w:rPr>
          <w:spacing w:val="-6"/>
          <w:sz w:val="22"/>
        </w:rPr>
        <w:t> </w:t>
      </w:r>
      <w:r>
        <w:rPr>
          <w:sz w:val="22"/>
        </w:rPr>
        <w:t>and</w:t>
      </w:r>
      <w:r>
        <w:rPr>
          <w:spacing w:val="-8"/>
          <w:sz w:val="22"/>
        </w:rPr>
        <w:t> </w:t>
      </w:r>
      <w:r>
        <w:rPr>
          <w:sz w:val="22"/>
        </w:rPr>
        <w:t>gas</w:t>
      </w:r>
      <w:r>
        <w:rPr>
          <w:spacing w:val="-4"/>
          <w:sz w:val="22"/>
        </w:rPr>
        <w:t> </w:t>
      </w:r>
      <w:r>
        <w:rPr>
          <w:sz w:val="22"/>
        </w:rPr>
        <w:t>sectors;</w:t>
      </w:r>
      <w:r>
        <w:rPr>
          <w:spacing w:val="-3"/>
          <w:sz w:val="22"/>
        </w:rPr>
        <w:t> </w:t>
      </w:r>
      <w:r>
        <w:rPr>
          <w:spacing w:val="-5"/>
          <w:sz w:val="22"/>
        </w:rPr>
        <w:t>and</w:t>
      </w:r>
    </w:p>
    <w:p>
      <w:pPr>
        <w:pStyle w:val="BodyText"/>
        <w:spacing w:before="7"/>
        <w:rPr>
          <w:sz w:val="26"/>
        </w:rPr>
      </w:pPr>
    </w:p>
    <w:p>
      <w:pPr>
        <w:pStyle w:val="ListParagraph"/>
        <w:numPr>
          <w:ilvl w:val="0"/>
          <w:numId w:val="43"/>
        </w:numPr>
        <w:tabs>
          <w:tab w:pos="1102" w:val="left" w:leader="none"/>
        </w:tabs>
        <w:spacing w:line="288" w:lineRule="auto" w:before="1" w:after="0"/>
        <w:ind w:left="1102" w:right="943" w:hanging="360"/>
        <w:jc w:val="both"/>
        <w:rPr>
          <w:sz w:val="22"/>
        </w:rPr>
      </w:pPr>
      <w:r>
        <w:rPr>
          <w:sz w:val="22"/>
        </w:rPr>
        <w:t>identify any further improvements that may be required (further improvements could include,</w:t>
      </w:r>
      <w:r>
        <w:rPr>
          <w:spacing w:val="-4"/>
          <w:sz w:val="22"/>
        </w:rPr>
        <w:t> </w:t>
      </w:r>
      <w:r>
        <w:rPr>
          <w:sz w:val="22"/>
        </w:rPr>
        <w:t>for</w:t>
      </w:r>
      <w:r>
        <w:rPr>
          <w:spacing w:val="-2"/>
          <w:sz w:val="22"/>
        </w:rPr>
        <w:t> </w:t>
      </w:r>
      <w:r>
        <w:rPr>
          <w:sz w:val="22"/>
        </w:rPr>
        <w:t>example,</w:t>
      </w:r>
      <w:r>
        <w:rPr>
          <w:spacing w:val="-4"/>
          <w:sz w:val="22"/>
        </w:rPr>
        <w:t> </w:t>
      </w:r>
      <w:r>
        <w:rPr>
          <w:sz w:val="22"/>
        </w:rPr>
        <w:t>the</w:t>
      </w:r>
      <w:r>
        <w:rPr>
          <w:spacing w:val="-5"/>
          <w:sz w:val="22"/>
        </w:rPr>
        <w:t> </w:t>
      </w:r>
      <w:r>
        <w:rPr>
          <w:sz w:val="22"/>
        </w:rPr>
        <w:t>ability</w:t>
      </w:r>
      <w:r>
        <w:rPr>
          <w:spacing w:val="-5"/>
          <w:sz w:val="22"/>
        </w:rPr>
        <w:t> </w:t>
      </w:r>
      <w:r>
        <w:rPr>
          <w:sz w:val="22"/>
        </w:rPr>
        <w:t>for</w:t>
      </w:r>
      <w:r>
        <w:rPr>
          <w:spacing w:val="-2"/>
          <w:sz w:val="22"/>
        </w:rPr>
        <w:t> </w:t>
      </w:r>
      <w:r>
        <w:rPr>
          <w:sz w:val="22"/>
        </w:rPr>
        <w:t>infringement</w:t>
      </w:r>
      <w:r>
        <w:rPr>
          <w:spacing w:val="-1"/>
          <w:sz w:val="22"/>
        </w:rPr>
        <w:t> </w:t>
      </w:r>
      <w:r>
        <w:rPr>
          <w:sz w:val="22"/>
        </w:rPr>
        <w:t>notices</w:t>
      </w:r>
      <w:r>
        <w:rPr>
          <w:spacing w:val="-5"/>
          <w:sz w:val="22"/>
        </w:rPr>
        <w:t> </w:t>
      </w:r>
      <w:r>
        <w:rPr>
          <w:sz w:val="22"/>
        </w:rPr>
        <w:t>to</w:t>
      </w:r>
      <w:r>
        <w:rPr>
          <w:spacing w:val="-5"/>
          <w:sz w:val="22"/>
        </w:rPr>
        <w:t> </w:t>
      </w:r>
      <w:r>
        <w:rPr>
          <w:sz w:val="22"/>
        </w:rPr>
        <w:t>require additional</w:t>
      </w:r>
      <w:r>
        <w:rPr>
          <w:spacing w:val="-4"/>
          <w:sz w:val="22"/>
        </w:rPr>
        <w:t> </w:t>
      </w:r>
      <w:r>
        <w:rPr>
          <w:sz w:val="22"/>
        </w:rPr>
        <w:t>steps</w:t>
      </w:r>
      <w:r>
        <w:rPr>
          <w:spacing w:val="-5"/>
          <w:sz w:val="22"/>
        </w:rPr>
        <w:t> </w:t>
      </w:r>
      <w:r>
        <w:rPr>
          <w:sz w:val="22"/>
        </w:rPr>
        <w:t>to expiate the offence, similar to provisions under the </w:t>
      </w:r>
      <w:r>
        <w:rPr>
          <w:i/>
          <w:sz w:val="22"/>
        </w:rPr>
        <w:t>Building Act 1993 </w:t>
      </w:r>
      <w:r>
        <w:rPr>
          <w:sz w:val="22"/>
        </w:rPr>
        <w:t>(Vic)).</w:t>
      </w:r>
    </w:p>
    <w:p>
      <w:pPr>
        <w:pStyle w:val="BodyText"/>
        <w:spacing w:before="5"/>
        <w:rPr>
          <w:sz w:val="18"/>
        </w:rPr>
      </w:pPr>
      <w:r>
        <w:rPr/>
        <mc:AlternateContent>
          <mc:Choice Requires="wps">
            <w:drawing>
              <wp:anchor distT="0" distB="0" distL="0" distR="0" allowOverlap="1" layoutInCell="1" locked="0" behindDoc="1" simplePos="0" relativeHeight="487627776">
                <wp:simplePos x="0" y="0"/>
                <wp:positionH relativeFrom="page">
                  <wp:posOffset>914704</wp:posOffset>
                </wp:positionH>
                <wp:positionV relativeFrom="paragraph">
                  <wp:posOffset>150035</wp:posOffset>
                </wp:positionV>
                <wp:extent cx="5732780" cy="1076325"/>
                <wp:effectExtent l="0" t="0" r="0" b="0"/>
                <wp:wrapTopAndBottom/>
                <wp:docPr id="135" name="Textbox 135"/>
                <wp:cNvGraphicFramePr>
                  <a:graphicFrameLocks/>
                </wp:cNvGraphicFramePr>
                <a:graphic>
                  <a:graphicData uri="http://schemas.microsoft.com/office/word/2010/wordprocessingShape">
                    <wps:wsp>
                      <wps:cNvPr id="135" name="Textbox 135"/>
                      <wps:cNvSpPr txBox="1"/>
                      <wps:spPr>
                        <a:xfrm>
                          <a:off x="0" y="0"/>
                          <a:ext cx="5732780" cy="1076325"/>
                        </a:xfrm>
                        <a:prstGeom prst="rect">
                          <a:avLst/>
                        </a:prstGeom>
                        <a:solidFill>
                          <a:srgbClr val="D9D9D9"/>
                        </a:solidFill>
                      </wps:spPr>
                      <wps:txbx>
                        <w:txbxContent>
                          <w:p>
                            <w:pPr>
                              <w:pStyle w:val="BodyText"/>
                              <w:spacing w:before="10"/>
                              <w:rPr>
                                <w:color w:val="000000"/>
                                <w:sz w:val="20"/>
                              </w:rPr>
                            </w:pPr>
                          </w:p>
                          <w:p>
                            <w:pPr>
                              <w:spacing w:before="0"/>
                              <w:ind w:left="112" w:right="0" w:firstLine="0"/>
                              <w:jc w:val="left"/>
                              <w:rPr>
                                <w:b/>
                                <w:color w:val="000000"/>
                                <w:sz w:val="22"/>
                              </w:rPr>
                            </w:pPr>
                            <w:r>
                              <w:rPr>
                                <w:b/>
                                <w:color w:val="000000"/>
                                <w:sz w:val="22"/>
                              </w:rPr>
                              <w:t>Recommendation</w:t>
                            </w:r>
                            <w:r>
                              <w:rPr>
                                <w:b/>
                                <w:color w:val="000000"/>
                                <w:spacing w:val="-7"/>
                                <w:sz w:val="22"/>
                              </w:rPr>
                              <w:t> </w:t>
                            </w:r>
                            <w:r>
                              <w:rPr>
                                <w:b/>
                                <w:color w:val="000000"/>
                                <w:spacing w:val="-5"/>
                                <w:sz w:val="22"/>
                              </w:rPr>
                              <w:t>12</w:t>
                            </w:r>
                          </w:p>
                          <w:p>
                            <w:pPr>
                              <w:pStyle w:val="BodyText"/>
                              <w:spacing w:before="3"/>
                              <w:rPr>
                                <w:b/>
                                <w:color w:val="000000"/>
                                <w:sz w:val="25"/>
                              </w:rPr>
                            </w:pPr>
                          </w:p>
                          <w:p>
                            <w:pPr>
                              <w:pStyle w:val="BodyText"/>
                              <w:spacing w:line="288" w:lineRule="auto"/>
                              <w:ind w:left="112" w:right="106"/>
                              <w:rPr>
                                <w:color w:val="000000"/>
                              </w:rPr>
                            </w:pPr>
                            <w:r>
                              <w:rPr>
                                <w:color w:val="000000"/>
                              </w:rPr>
                              <w:t>The range of compliance and enforcement tools provided in legislation should be expanded,</w:t>
                            </w:r>
                            <w:r>
                              <w:rPr>
                                <w:color w:val="000000"/>
                                <w:spacing w:val="-2"/>
                              </w:rPr>
                              <w:t> </w:t>
                            </w:r>
                            <w:r>
                              <w:rPr>
                                <w:color w:val="000000"/>
                              </w:rPr>
                              <w:t>including</w:t>
                            </w:r>
                            <w:r>
                              <w:rPr>
                                <w:color w:val="000000"/>
                                <w:spacing w:val="-2"/>
                              </w:rPr>
                              <w:t> </w:t>
                            </w:r>
                            <w:r>
                              <w:rPr>
                                <w:color w:val="000000"/>
                              </w:rPr>
                              <w:t>provision</w:t>
                            </w:r>
                            <w:r>
                              <w:rPr>
                                <w:color w:val="000000"/>
                                <w:spacing w:val="-6"/>
                              </w:rPr>
                              <w:t> </w:t>
                            </w:r>
                            <w:r>
                              <w:rPr>
                                <w:color w:val="000000"/>
                              </w:rPr>
                              <w:t>for</w:t>
                            </w:r>
                            <w:r>
                              <w:rPr>
                                <w:color w:val="000000"/>
                                <w:spacing w:val="-5"/>
                              </w:rPr>
                              <w:t> </w:t>
                            </w:r>
                            <w:r>
                              <w:rPr>
                                <w:color w:val="000000"/>
                              </w:rPr>
                              <w:t>injunctions</w:t>
                            </w:r>
                            <w:r>
                              <w:rPr>
                                <w:color w:val="000000"/>
                                <w:spacing w:val="-3"/>
                              </w:rPr>
                              <w:t> </w:t>
                            </w:r>
                            <w:r>
                              <w:rPr>
                                <w:color w:val="000000"/>
                              </w:rPr>
                              <w:t>and</w:t>
                            </w:r>
                            <w:r>
                              <w:rPr>
                                <w:color w:val="000000"/>
                                <w:spacing w:val="-6"/>
                              </w:rPr>
                              <w:t> </w:t>
                            </w:r>
                            <w:r>
                              <w:rPr>
                                <w:color w:val="000000"/>
                              </w:rPr>
                              <w:t>adverse publicity</w:t>
                            </w:r>
                            <w:r>
                              <w:rPr>
                                <w:color w:val="000000"/>
                                <w:spacing w:val="-6"/>
                              </w:rPr>
                              <w:t> </w:t>
                            </w:r>
                            <w:r>
                              <w:rPr>
                                <w:color w:val="000000"/>
                              </w:rPr>
                              <w:t>orders,</w:t>
                            </w:r>
                            <w:r>
                              <w:rPr>
                                <w:color w:val="000000"/>
                                <w:spacing w:val="-6"/>
                              </w:rPr>
                              <w:t> </w:t>
                            </w:r>
                            <w:r>
                              <w:rPr>
                                <w:color w:val="000000"/>
                              </w:rPr>
                              <w:t>and</w:t>
                            </w:r>
                            <w:r>
                              <w:rPr>
                                <w:color w:val="000000"/>
                                <w:spacing w:val="-6"/>
                              </w:rPr>
                              <w:t> </w:t>
                            </w:r>
                            <w:r>
                              <w:rPr>
                                <w:color w:val="000000"/>
                              </w:rPr>
                              <w:t>giving</w:t>
                            </w:r>
                            <w:r>
                              <w:rPr>
                                <w:color w:val="000000"/>
                                <w:spacing w:val="-2"/>
                              </w:rPr>
                              <w:t> </w:t>
                            </w:r>
                            <w:r>
                              <w:rPr>
                                <w:color w:val="000000"/>
                              </w:rPr>
                              <w:t>ESV the capacity to enter into enforceable undertakings. In addition, existing regulatory tools</w:t>
                            </w:r>
                          </w:p>
                        </w:txbxContent>
                      </wps:txbx>
                      <wps:bodyPr wrap="square" lIns="0" tIns="0" rIns="0" bIns="0" rtlCol="0">
                        <a:noAutofit/>
                      </wps:bodyPr>
                    </wps:wsp>
                  </a:graphicData>
                </a:graphic>
              </wp:anchor>
            </w:drawing>
          </mc:Choice>
          <mc:Fallback>
            <w:pict>
              <v:shape style="position:absolute;margin-left:72.024002pt;margin-top:11.813857pt;width:451.4pt;height:84.75pt;mso-position-horizontal-relative:page;mso-position-vertical-relative:paragraph;z-index:-15688704;mso-wrap-distance-left:0;mso-wrap-distance-right:0" type="#_x0000_t202" id="docshape119" filled="true" fillcolor="#d9d9d9" stroked="false">
                <v:textbox inset="0,0,0,0">
                  <w:txbxContent>
                    <w:p>
                      <w:pPr>
                        <w:pStyle w:val="BodyText"/>
                        <w:spacing w:before="10"/>
                        <w:rPr>
                          <w:color w:val="000000"/>
                          <w:sz w:val="20"/>
                        </w:rPr>
                      </w:pPr>
                    </w:p>
                    <w:p>
                      <w:pPr>
                        <w:spacing w:before="0"/>
                        <w:ind w:left="112" w:right="0" w:firstLine="0"/>
                        <w:jc w:val="left"/>
                        <w:rPr>
                          <w:b/>
                          <w:color w:val="000000"/>
                          <w:sz w:val="22"/>
                        </w:rPr>
                      </w:pPr>
                      <w:r>
                        <w:rPr>
                          <w:b/>
                          <w:color w:val="000000"/>
                          <w:sz w:val="22"/>
                        </w:rPr>
                        <w:t>Recommendation</w:t>
                      </w:r>
                      <w:r>
                        <w:rPr>
                          <w:b/>
                          <w:color w:val="000000"/>
                          <w:spacing w:val="-7"/>
                          <w:sz w:val="22"/>
                        </w:rPr>
                        <w:t> </w:t>
                      </w:r>
                      <w:r>
                        <w:rPr>
                          <w:b/>
                          <w:color w:val="000000"/>
                          <w:spacing w:val="-5"/>
                          <w:sz w:val="22"/>
                        </w:rPr>
                        <w:t>12</w:t>
                      </w:r>
                    </w:p>
                    <w:p>
                      <w:pPr>
                        <w:pStyle w:val="BodyText"/>
                        <w:spacing w:before="3"/>
                        <w:rPr>
                          <w:b/>
                          <w:color w:val="000000"/>
                          <w:sz w:val="25"/>
                        </w:rPr>
                      </w:pPr>
                    </w:p>
                    <w:p>
                      <w:pPr>
                        <w:pStyle w:val="BodyText"/>
                        <w:spacing w:line="288" w:lineRule="auto"/>
                        <w:ind w:left="112" w:right="106"/>
                        <w:rPr>
                          <w:color w:val="000000"/>
                        </w:rPr>
                      </w:pPr>
                      <w:r>
                        <w:rPr>
                          <w:color w:val="000000"/>
                        </w:rPr>
                        <w:t>The range of compliance and enforcement tools provided in legislation should be expanded,</w:t>
                      </w:r>
                      <w:r>
                        <w:rPr>
                          <w:color w:val="000000"/>
                          <w:spacing w:val="-2"/>
                        </w:rPr>
                        <w:t> </w:t>
                      </w:r>
                      <w:r>
                        <w:rPr>
                          <w:color w:val="000000"/>
                        </w:rPr>
                        <w:t>including</w:t>
                      </w:r>
                      <w:r>
                        <w:rPr>
                          <w:color w:val="000000"/>
                          <w:spacing w:val="-2"/>
                        </w:rPr>
                        <w:t> </w:t>
                      </w:r>
                      <w:r>
                        <w:rPr>
                          <w:color w:val="000000"/>
                        </w:rPr>
                        <w:t>provision</w:t>
                      </w:r>
                      <w:r>
                        <w:rPr>
                          <w:color w:val="000000"/>
                          <w:spacing w:val="-6"/>
                        </w:rPr>
                        <w:t> </w:t>
                      </w:r>
                      <w:r>
                        <w:rPr>
                          <w:color w:val="000000"/>
                        </w:rPr>
                        <w:t>for</w:t>
                      </w:r>
                      <w:r>
                        <w:rPr>
                          <w:color w:val="000000"/>
                          <w:spacing w:val="-5"/>
                        </w:rPr>
                        <w:t> </w:t>
                      </w:r>
                      <w:r>
                        <w:rPr>
                          <w:color w:val="000000"/>
                        </w:rPr>
                        <w:t>injunctions</w:t>
                      </w:r>
                      <w:r>
                        <w:rPr>
                          <w:color w:val="000000"/>
                          <w:spacing w:val="-3"/>
                        </w:rPr>
                        <w:t> </w:t>
                      </w:r>
                      <w:r>
                        <w:rPr>
                          <w:color w:val="000000"/>
                        </w:rPr>
                        <w:t>and</w:t>
                      </w:r>
                      <w:r>
                        <w:rPr>
                          <w:color w:val="000000"/>
                          <w:spacing w:val="-6"/>
                        </w:rPr>
                        <w:t> </w:t>
                      </w:r>
                      <w:r>
                        <w:rPr>
                          <w:color w:val="000000"/>
                        </w:rPr>
                        <w:t>adverse publicity</w:t>
                      </w:r>
                      <w:r>
                        <w:rPr>
                          <w:color w:val="000000"/>
                          <w:spacing w:val="-6"/>
                        </w:rPr>
                        <w:t> </w:t>
                      </w:r>
                      <w:r>
                        <w:rPr>
                          <w:color w:val="000000"/>
                        </w:rPr>
                        <w:t>orders,</w:t>
                      </w:r>
                      <w:r>
                        <w:rPr>
                          <w:color w:val="000000"/>
                          <w:spacing w:val="-6"/>
                        </w:rPr>
                        <w:t> </w:t>
                      </w:r>
                      <w:r>
                        <w:rPr>
                          <w:color w:val="000000"/>
                        </w:rPr>
                        <w:t>and</w:t>
                      </w:r>
                      <w:r>
                        <w:rPr>
                          <w:color w:val="000000"/>
                          <w:spacing w:val="-6"/>
                        </w:rPr>
                        <w:t> </w:t>
                      </w:r>
                      <w:r>
                        <w:rPr>
                          <w:color w:val="000000"/>
                        </w:rPr>
                        <w:t>giving</w:t>
                      </w:r>
                      <w:r>
                        <w:rPr>
                          <w:color w:val="000000"/>
                          <w:spacing w:val="-2"/>
                        </w:rPr>
                        <w:t> </w:t>
                      </w:r>
                      <w:r>
                        <w:rPr>
                          <w:color w:val="000000"/>
                        </w:rPr>
                        <w:t>ESV the capacity to enter into enforceable undertakings. In addition, existing regulatory tools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28288">
                <wp:simplePos x="0" y="0"/>
                <wp:positionH relativeFrom="page">
                  <wp:posOffset>896416</wp:posOffset>
                </wp:positionH>
                <wp:positionV relativeFrom="paragraph">
                  <wp:posOffset>1437816</wp:posOffset>
                </wp:positionV>
                <wp:extent cx="5769610" cy="1270"/>
                <wp:effectExtent l="0" t="0" r="0" b="0"/>
                <wp:wrapTopAndBottom/>
                <wp:docPr id="136" name="Graphic 136"/>
                <wp:cNvGraphicFramePr>
                  <a:graphicFrameLocks/>
                </wp:cNvGraphicFramePr>
                <a:graphic>
                  <a:graphicData uri="http://schemas.microsoft.com/office/word/2010/wordprocessingShape">
                    <wps:wsp>
                      <wps:cNvPr id="136" name="Graphic 136"/>
                      <wps:cNvSpPr/>
                      <wps:spPr>
                        <a:xfrm>
                          <a:off x="0" y="0"/>
                          <a:ext cx="5769610" cy="1270"/>
                        </a:xfrm>
                        <a:custGeom>
                          <a:avLst/>
                          <a:gdLst/>
                          <a:ahLst/>
                          <a:cxnLst/>
                          <a:rect l="l" t="t" r="r" b="b"/>
                          <a:pathLst>
                            <a:path w="5769610" h="0">
                              <a:moveTo>
                                <a:pt x="0" y="0"/>
                              </a:moveTo>
                              <a:lnTo>
                                <a:pt x="5769305" y="0"/>
                              </a:lnTo>
                            </a:path>
                          </a:pathLst>
                        </a:custGeom>
                        <a:ln w="12192">
                          <a:solidFill>
                            <a:srgbClr val="000000"/>
                          </a:solidFill>
                          <a:prstDash val="sysDot"/>
                        </a:ln>
                      </wps:spPr>
                      <wps:bodyPr wrap="square" lIns="0" tIns="0" rIns="0" bIns="0" rtlCol="0">
                        <a:prstTxWarp prst="textNoShape">
                          <a:avLst/>
                        </a:prstTxWarp>
                        <a:noAutofit/>
                      </wps:bodyPr>
                    </wps:wsp>
                  </a:graphicData>
                </a:graphic>
              </wp:anchor>
            </w:drawing>
          </mc:Choice>
          <mc:Fallback>
            <w:pict>
              <v:shape style="position:absolute;margin-left:70.584pt;margin-top:113.21386pt;width:454.3pt;height:.1pt;mso-position-horizontal-relative:page;mso-position-vertical-relative:paragraph;z-index:-15688192;mso-wrap-distance-left:0;mso-wrap-distance-right:0" id="docshape120" coordorigin="1412,2264" coordsize="9086,0" path="m1412,2264l10497,2264e" filled="false" stroked="true" strokeweight=".96pt" strokecolor="#000000">
                <v:path arrowok="t"/>
                <v:stroke dashstyle="shortdot"/>
                <w10:wrap type="topAndBottom"/>
              </v:shape>
            </w:pict>
          </mc:Fallback>
        </mc:AlternateContent>
      </w:r>
    </w:p>
    <w:p>
      <w:pPr>
        <w:pStyle w:val="BodyText"/>
        <w:spacing w:before="10"/>
        <w:rPr>
          <w:sz w:val="26"/>
        </w:rPr>
      </w:pPr>
    </w:p>
    <w:p>
      <w:pPr>
        <w:pStyle w:val="BodyText"/>
        <w:spacing w:before="9"/>
      </w:pPr>
    </w:p>
    <w:p>
      <w:pPr>
        <w:spacing w:line="276" w:lineRule="auto" w:before="101"/>
        <w:ind w:left="883" w:right="567" w:hanging="284"/>
        <w:jc w:val="left"/>
        <w:rPr>
          <w:sz w:val="16"/>
        </w:rPr>
      </w:pPr>
      <w:r>
        <w:rPr>
          <w:sz w:val="16"/>
          <w:vertAlign w:val="superscript"/>
        </w:rPr>
        <w:t>9</w:t>
      </w:r>
      <w:r>
        <w:rPr>
          <w:sz w:val="16"/>
          <w:vertAlign w:val="baseline"/>
        </w:rPr>
        <w:t> Clause 80AA(1) of Schedule 3 and Clause 12A</w:t>
      </w:r>
      <w:r>
        <w:rPr>
          <w:spacing w:val="-7"/>
          <w:sz w:val="16"/>
          <w:vertAlign w:val="baseline"/>
        </w:rPr>
        <w:t> </w:t>
      </w:r>
      <w:r>
        <w:rPr>
          <w:sz w:val="16"/>
          <w:vertAlign w:val="baseline"/>
        </w:rPr>
        <w:t>of Schedule 2A</w:t>
      </w:r>
      <w:r>
        <w:rPr>
          <w:spacing w:val="-7"/>
          <w:sz w:val="16"/>
          <w:vertAlign w:val="baseline"/>
        </w:rPr>
        <w:t> </w:t>
      </w:r>
      <w:r>
        <w:rPr>
          <w:sz w:val="16"/>
          <w:vertAlign w:val="baseline"/>
        </w:rPr>
        <w:t>of the the </w:t>
      </w:r>
      <w:r>
        <w:rPr>
          <w:i/>
          <w:sz w:val="16"/>
          <w:vertAlign w:val="baseline"/>
        </w:rPr>
        <w:t>Offshore Petroleum and Greenhouse Gas Storage Act 2006</w:t>
      </w:r>
      <w:r>
        <w:rPr>
          <w:i/>
          <w:spacing w:val="40"/>
          <w:sz w:val="16"/>
          <w:vertAlign w:val="baseline"/>
        </w:rPr>
        <w:t> </w:t>
      </w:r>
      <w:r>
        <w:rPr>
          <w:sz w:val="16"/>
          <w:vertAlign w:val="baseline"/>
        </w:rPr>
        <w:t>requires that NOPSEMA</w:t>
      </w:r>
      <w:r>
        <w:rPr>
          <w:spacing w:val="-7"/>
          <w:sz w:val="16"/>
          <w:vertAlign w:val="baseline"/>
        </w:rPr>
        <w:t> </w:t>
      </w:r>
      <w:r>
        <w:rPr>
          <w:sz w:val="16"/>
          <w:vertAlign w:val="baseline"/>
        </w:rPr>
        <w:t>publish on its website prohibition notices and improvement notices within 21 days after the notice is issued. For instance, NOPSEMA</w:t>
      </w:r>
      <w:r>
        <w:rPr>
          <w:spacing w:val="-4"/>
          <w:sz w:val="16"/>
          <w:vertAlign w:val="baseline"/>
        </w:rPr>
        <w:t> </w:t>
      </w:r>
      <w:r>
        <w:rPr>
          <w:sz w:val="16"/>
          <w:vertAlign w:val="baseline"/>
        </w:rPr>
        <w:t>issued and published on its website an OHS improvement notice earlier this year. The notice was issued to an offshore platform operator for a lack of detailed internal inspection of hazardous area electrical</w:t>
      </w:r>
      <w:r>
        <w:rPr>
          <w:spacing w:val="-1"/>
          <w:sz w:val="16"/>
          <w:vertAlign w:val="baseline"/>
        </w:rPr>
        <w:t> </w:t>
      </w:r>
      <w:r>
        <w:rPr>
          <w:sz w:val="16"/>
          <w:vertAlign w:val="baseline"/>
        </w:rPr>
        <w:t>equipment.</w:t>
      </w:r>
      <w:r>
        <w:rPr>
          <w:spacing w:val="-1"/>
          <w:sz w:val="16"/>
          <w:vertAlign w:val="baseline"/>
        </w:rPr>
        <w:t> </w:t>
      </w:r>
      <w:r>
        <w:rPr>
          <w:sz w:val="16"/>
          <w:vertAlign w:val="baseline"/>
        </w:rPr>
        <w:t>It</w:t>
      </w:r>
      <w:r>
        <w:rPr>
          <w:spacing w:val="-1"/>
          <w:sz w:val="16"/>
          <w:vertAlign w:val="baseline"/>
        </w:rPr>
        <w:t> </w:t>
      </w:r>
      <w:r>
        <w:rPr>
          <w:sz w:val="16"/>
          <w:vertAlign w:val="baseline"/>
        </w:rPr>
        <w:t>required</w:t>
      </w:r>
      <w:r>
        <w:rPr>
          <w:spacing w:val="-4"/>
          <w:sz w:val="16"/>
          <w:vertAlign w:val="baseline"/>
        </w:rPr>
        <w:t> </w:t>
      </w:r>
      <w:r>
        <w:rPr>
          <w:sz w:val="16"/>
          <w:vertAlign w:val="baseline"/>
        </w:rPr>
        <w:t>the</w:t>
      </w:r>
      <w:r>
        <w:rPr>
          <w:spacing w:val="-2"/>
          <w:sz w:val="16"/>
          <w:vertAlign w:val="baseline"/>
        </w:rPr>
        <w:t> </w:t>
      </w:r>
      <w:r>
        <w:rPr>
          <w:sz w:val="16"/>
          <w:vertAlign w:val="baseline"/>
        </w:rPr>
        <w:t>company</w:t>
      </w:r>
      <w:r>
        <w:rPr>
          <w:spacing w:val="-5"/>
          <w:sz w:val="16"/>
          <w:vertAlign w:val="baseline"/>
        </w:rPr>
        <w:t> </w:t>
      </w:r>
      <w:r>
        <w:rPr>
          <w:sz w:val="16"/>
          <w:vertAlign w:val="baseline"/>
        </w:rPr>
        <w:t>to</w:t>
      </w:r>
      <w:r>
        <w:rPr>
          <w:spacing w:val="-2"/>
          <w:sz w:val="16"/>
          <w:vertAlign w:val="baseline"/>
        </w:rPr>
        <w:t> </w:t>
      </w:r>
      <w:r>
        <w:rPr>
          <w:sz w:val="16"/>
          <w:vertAlign w:val="baseline"/>
        </w:rPr>
        <w:t>implement</w:t>
      </w:r>
      <w:r>
        <w:rPr>
          <w:spacing w:val="-1"/>
          <w:sz w:val="16"/>
          <w:vertAlign w:val="baseline"/>
        </w:rPr>
        <w:t> </w:t>
      </w:r>
      <w:r>
        <w:rPr>
          <w:sz w:val="16"/>
          <w:vertAlign w:val="baseline"/>
        </w:rPr>
        <w:t>an</w:t>
      </w:r>
      <w:r>
        <w:rPr>
          <w:spacing w:val="-4"/>
          <w:sz w:val="16"/>
          <w:vertAlign w:val="baseline"/>
        </w:rPr>
        <w:t> </w:t>
      </w:r>
      <w:r>
        <w:rPr>
          <w:sz w:val="16"/>
          <w:vertAlign w:val="baseline"/>
        </w:rPr>
        <w:t>inspection</w:t>
      </w:r>
      <w:r>
        <w:rPr>
          <w:spacing w:val="-5"/>
          <w:sz w:val="16"/>
          <w:vertAlign w:val="baseline"/>
        </w:rPr>
        <w:t> </w:t>
      </w:r>
      <w:r>
        <w:rPr>
          <w:sz w:val="16"/>
          <w:vertAlign w:val="baseline"/>
        </w:rPr>
        <w:t>program</w:t>
      </w:r>
      <w:r>
        <w:rPr>
          <w:spacing w:val="-1"/>
          <w:sz w:val="16"/>
          <w:vertAlign w:val="baseline"/>
        </w:rPr>
        <w:t> </w:t>
      </w:r>
      <w:r>
        <w:rPr>
          <w:sz w:val="16"/>
          <w:vertAlign w:val="baseline"/>
        </w:rPr>
        <w:t>and</w:t>
      </w:r>
      <w:r>
        <w:rPr>
          <w:spacing w:val="-4"/>
          <w:sz w:val="16"/>
          <w:vertAlign w:val="baseline"/>
        </w:rPr>
        <w:t> </w:t>
      </w:r>
      <w:r>
        <w:rPr>
          <w:sz w:val="16"/>
          <w:vertAlign w:val="baseline"/>
        </w:rPr>
        <w:t>to</w:t>
      </w:r>
      <w:r>
        <w:rPr>
          <w:spacing w:val="-2"/>
          <w:sz w:val="16"/>
          <w:vertAlign w:val="baseline"/>
        </w:rPr>
        <w:t> </w:t>
      </w:r>
      <w:r>
        <w:rPr>
          <w:sz w:val="16"/>
          <w:vertAlign w:val="baseline"/>
        </w:rPr>
        <w:t>gather</w:t>
      </w:r>
      <w:r>
        <w:rPr>
          <w:spacing w:val="-4"/>
          <w:sz w:val="16"/>
          <w:vertAlign w:val="baseline"/>
        </w:rPr>
        <w:t> </w:t>
      </w:r>
      <w:r>
        <w:rPr>
          <w:sz w:val="16"/>
          <w:vertAlign w:val="baseline"/>
        </w:rPr>
        <w:t>condition</w:t>
      </w:r>
      <w:r>
        <w:rPr>
          <w:spacing w:val="-2"/>
          <w:sz w:val="16"/>
          <w:vertAlign w:val="baseline"/>
        </w:rPr>
        <w:t> </w:t>
      </w:r>
      <w:r>
        <w:rPr>
          <w:sz w:val="16"/>
          <w:vertAlign w:val="baseline"/>
        </w:rPr>
        <w:t>history</w:t>
      </w:r>
      <w:r>
        <w:rPr>
          <w:spacing w:val="-3"/>
          <w:sz w:val="16"/>
          <w:vertAlign w:val="baseline"/>
        </w:rPr>
        <w:t> </w:t>
      </w:r>
      <w:r>
        <w:rPr>
          <w:sz w:val="16"/>
          <w:vertAlign w:val="baseline"/>
        </w:rPr>
        <w:t>data,</w:t>
      </w:r>
      <w:r>
        <w:rPr>
          <w:spacing w:val="-3"/>
          <w:sz w:val="16"/>
          <w:vertAlign w:val="baseline"/>
        </w:rPr>
        <w:t> </w:t>
      </w:r>
      <w:r>
        <w:rPr>
          <w:sz w:val="16"/>
          <w:vertAlign w:val="baseline"/>
        </w:rPr>
        <w:t>or</w:t>
      </w:r>
      <w:r>
        <w:rPr>
          <w:spacing w:val="-2"/>
          <w:sz w:val="16"/>
          <w:vertAlign w:val="baseline"/>
        </w:rPr>
        <w:t> </w:t>
      </w:r>
      <w:r>
        <w:rPr>
          <w:sz w:val="16"/>
          <w:vertAlign w:val="baseline"/>
        </w:rPr>
        <w:t>to implement such other controls to reduce risk.</w:t>
      </w:r>
    </w:p>
    <w:p>
      <w:pPr>
        <w:spacing w:after="0" w:line="276" w:lineRule="auto"/>
        <w:jc w:val="left"/>
        <w:rPr>
          <w:sz w:val="16"/>
        </w:rPr>
        <w:sectPr>
          <w:pgSz w:w="11910" w:h="16840"/>
          <w:pgMar w:header="887" w:footer="1228" w:top="1080" w:bottom="1500" w:left="840" w:right="820"/>
        </w:sectPr>
      </w:pPr>
    </w:p>
    <w:p>
      <w:pPr>
        <w:pStyle w:val="BodyText"/>
        <w:rPr>
          <w:sz w:val="20"/>
        </w:rPr>
      </w:pPr>
    </w:p>
    <w:p>
      <w:pPr>
        <w:pStyle w:val="BodyText"/>
        <w:rPr>
          <w:sz w:val="20"/>
        </w:rPr>
      </w:pPr>
    </w:p>
    <w:p>
      <w:pPr>
        <w:pStyle w:val="BodyText"/>
        <w:spacing w:before="4"/>
      </w:pPr>
    </w:p>
    <w:p>
      <w:pPr>
        <w:pStyle w:val="BodyText"/>
        <w:ind w:left="600"/>
        <w:rPr>
          <w:sz w:val="20"/>
        </w:rPr>
      </w:pPr>
      <w:r>
        <w:rPr>
          <w:sz w:val="20"/>
        </w:rPr>
        <mc:AlternateContent>
          <mc:Choice Requires="wps">
            <w:drawing>
              <wp:inline distT="0" distB="0" distL="0" distR="0">
                <wp:extent cx="5732780" cy="1297305"/>
                <wp:effectExtent l="0" t="0" r="0" b="0"/>
                <wp:docPr id="137" name="Textbox 137"/>
                <wp:cNvGraphicFramePr>
                  <a:graphicFrameLocks/>
                </wp:cNvGraphicFramePr>
                <a:graphic>
                  <a:graphicData uri="http://schemas.microsoft.com/office/word/2010/wordprocessingShape">
                    <wps:wsp>
                      <wps:cNvPr id="137" name="Textbox 137"/>
                      <wps:cNvSpPr txBox="1"/>
                      <wps:spPr>
                        <a:xfrm>
                          <a:off x="0" y="0"/>
                          <a:ext cx="5732780" cy="1297305"/>
                        </a:xfrm>
                        <a:prstGeom prst="rect">
                          <a:avLst/>
                        </a:prstGeom>
                        <a:solidFill>
                          <a:srgbClr val="D9D9D9"/>
                        </a:solidFill>
                      </wps:spPr>
                      <wps:txbx>
                        <w:txbxContent>
                          <w:p>
                            <w:pPr>
                              <w:pStyle w:val="BodyText"/>
                              <w:ind w:left="112"/>
                              <w:rPr>
                                <w:color w:val="000000"/>
                              </w:rPr>
                            </w:pPr>
                            <w:r>
                              <w:rPr>
                                <w:color w:val="000000"/>
                              </w:rPr>
                              <w:t>available</w:t>
                            </w:r>
                            <w:r>
                              <w:rPr>
                                <w:color w:val="000000"/>
                                <w:spacing w:val="-7"/>
                              </w:rPr>
                              <w:t> </w:t>
                            </w:r>
                            <w:r>
                              <w:rPr>
                                <w:color w:val="000000"/>
                              </w:rPr>
                              <w:t>to</w:t>
                            </w:r>
                            <w:r>
                              <w:rPr>
                                <w:color w:val="000000"/>
                                <w:spacing w:val="-5"/>
                              </w:rPr>
                              <w:t> </w:t>
                            </w:r>
                            <w:r>
                              <w:rPr>
                                <w:color w:val="000000"/>
                              </w:rPr>
                              <w:t>ESV</w:t>
                            </w:r>
                            <w:r>
                              <w:rPr>
                                <w:color w:val="000000"/>
                                <w:spacing w:val="-5"/>
                              </w:rPr>
                              <w:t> </w:t>
                            </w:r>
                            <w:r>
                              <w:rPr>
                                <w:color w:val="000000"/>
                              </w:rPr>
                              <w:t>should</w:t>
                            </w:r>
                            <w:r>
                              <w:rPr>
                                <w:color w:val="000000"/>
                                <w:spacing w:val="-7"/>
                              </w:rPr>
                              <w:t> </w:t>
                            </w:r>
                            <w:r>
                              <w:rPr>
                                <w:color w:val="000000"/>
                              </w:rPr>
                              <w:t>be</w:t>
                            </w:r>
                            <w:r>
                              <w:rPr>
                                <w:color w:val="000000"/>
                                <w:spacing w:val="-5"/>
                              </w:rPr>
                              <w:t> </w:t>
                            </w:r>
                            <w:r>
                              <w:rPr>
                                <w:color w:val="000000"/>
                              </w:rPr>
                              <w:t>reviewed</w:t>
                            </w:r>
                            <w:r>
                              <w:rPr>
                                <w:color w:val="000000"/>
                                <w:spacing w:val="-4"/>
                              </w:rPr>
                              <w:t> </w:t>
                            </w:r>
                            <w:r>
                              <w:rPr>
                                <w:color w:val="000000"/>
                                <w:spacing w:val="-5"/>
                              </w:rPr>
                              <w:t>to:</w:t>
                            </w:r>
                          </w:p>
                          <w:p>
                            <w:pPr>
                              <w:pStyle w:val="BodyText"/>
                              <w:spacing w:before="10"/>
                              <w:rPr>
                                <w:color w:val="000000"/>
                                <w:sz w:val="26"/>
                              </w:rPr>
                            </w:pPr>
                          </w:p>
                          <w:p>
                            <w:pPr>
                              <w:pStyle w:val="BodyText"/>
                              <w:numPr>
                                <w:ilvl w:val="0"/>
                                <w:numId w:val="44"/>
                              </w:numPr>
                              <w:tabs>
                                <w:tab w:pos="427" w:val="left" w:leader="none"/>
                              </w:tabs>
                              <w:spacing w:line="288" w:lineRule="auto" w:before="0" w:after="0"/>
                              <w:ind w:left="427" w:right="149" w:hanging="216"/>
                              <w:jc w:val="left"/>
                              <w:rPr>
                                <w:color w:val="000000"/>
                              </w:rPr>
                            </w:pPr>
                            <w:r>
                              <w:rPr>
                                <w:color w:val="000000"/>
                              </w:rPr>
                              <w:t>remove</w:t>
                            </w:r>
                            <w:r>
                              <w:rPr>
                                <w:color w:val="000000"/>
                                <w:spacing w:val="-3"/>
                              </w:rPr>
                              <w:t> </w:t>
                            </w:r>
                            <w:r>
                              <w:rPr>
                                <w:color w:val="000000"/>
                              </w:rPr>
                              <w:t>unnecessary</w:t>
                            </w:r>
                            <w:r>
                              <w:rPr>
                                <w:color w:val="000000"/>
                                <w:spacing w:val="-5"/>
                              </w:rPr>
                              <w:t> </w:t>
                            </w:r>
                            <w:r>
                              <w:rPr>
                                <w:color w:val="000000"/>
                              </w:rPr>
                              <w:t>limitations</w:t>
                            </w:r>
                            <w:r>
                              <w:rPr>
                                <w:color w:val="000000"/>
                                <w:spacing w:val="-3"/>
                              </w:rPr>
                              <w:t> </w:t>
                            </w:r>
                            <w:r>
                              <w:rPr>
                                <w:color w:val="000000"/>
                              </w:rPr>
                              <w:t>on</w:t>
                            </w:r>
                            <w:r>
                              <w:rPr>
                                <w:color w:val="000000"/>
                                <w:spacing w:val="-5"/>
                              </w:rPr>
                              <w:t> </w:t>
                            </w:r>
                            <w:r>
                              <w:rPr>
                                <w:color w:val="000000"/>
                              </w:rPr>
                              <w:t>what</w:t>
                            </w:r>
                            <w:r>
                              <w:rPr>
                                <w:color w:val="000000"/>
                                <w:spacing w:val="-1"/>
                              </w:rPr>
                              <w:t> </w:t>
                            </w:r>
                            <w:r>
                              <w:rPr>
                                <w:color w:val="000000"/>
                              </w:rPr>
                              <w:t>the</w:t>
                            </w:r>
                            <w:r>
                              <w:rPr>
                                <w:color w:val="000000"/>
                                <w:spacing w:val="-8"/>
                              </w:rPr>
                              <w:t> </w:t>
                            </w:r>
                            <w:r>
                              <w:rPr>
                                <w:color w:val="000000"/>
                              </w:rPr>
                              <w:t>tools</w:t>
                            </w:r>
                            <w:r>
                              <w:rPr>
                                <w:color w:val="000000"/>
                                <w:spacing w:val="-5"/>
                              </w:rPr>
                              <w:t> </w:t>
                            </w:r>
                            <w:r>
                              <w:rPr>
                                <w:color w:val="000000"/>
                              </w:rPr>
                              <w:t>can</w:t>
                            </w:r>
                            <w:r>
                              <w:rPr>
                                <w:color w:val="000000"/>
                                <w:spacing w:val="-3"/>
                              </w:rPr>
                              <w:t> </w:t>
                            </w:r>
                            <w:r>
                              <w:rPr>
                                <w:color w:val="000000"/>
                              </w:rPr>
                              <w:t>be</w:t>
                            </w:r>
                            <w:r>
                              <w:rPr>
                                <w:color w:val="000000"/>
                                <w:spacing w:val="-3"/>
                              </w:rPr>
                              <w:t> </w:t>
                            </w:r>
                            <w:r>
                              <w:rPr>
                                <w:color w:val="000000"/>
                              </w:rPr>
                              <w:t>used</w:t>
                            </w:r>
                            <w:r>
                              <w:rPr>
                                <w:color w:val="000000"/>
                                <w:spacing w:val="-7"/>
                              </w:rPr>
                              <w:t> </w:t>
                            </w:r>
                            <w:r>
                              <w:rPr>
                                <w:color w:val="000000"/>
                              </w:rPr>
                              <w:t>for,</w:t>
                            </w:r>
                            <w:r>
                              <w:rPr>
                                <w:color w:val="000000"/>
                                <w:spacing w:val="-1"/>
                              </w:rPr>
                              <w:t> </w:t>
                            </w:r>
                            <w:r>
                              <w:rPr>
                                <w:color w:val="000000"/>
                              </w:rPr>
                              <w:t>including</w:t>
                            </w:r>
                            <w:r>
                              <w:rPr>
                                <w:color w:val="000000"/>
                                <w:spacing w:val="-3"/>
                              </w:rPr>
                              <w:t> </w:t>
                            </w:r>
                            <w:r>
                              <w:rPr>
                                <w:color w:val="000000"/>
                              </w:rPr>
                              <w:t>expanding the scope for infringement and improvement notices to be used;</w:t>
                            </w:r>
                          </w:p>
                          <w:p>
                            <w:pPr>
                              <w:pStyle w:val="BodyText"/>
                              <w:numPr>
                                <w:ilvl w:val="0"/>
                                <w:numId w:val="44"/>
                              </w:numPr>
                              <w:tabs>
                                <w:tab w:pos="426" w:val="left" w:leader="none"/>
                              </w:tabs>
                              <w:spacing w:line="240" w:lineRule="auto" w:before="14" w:after="0"/>
                              <w:ind w:left="426" w:right="0" w:hanging="215"/>
                              <w:jc w:val="left"/>
                              <w:rPr>
                                <w:color w:val="000000"/>
                              </w:rPr>
                            </w:pPr>
                            <w:r>
                              <w:rPr>
                                <w:color w:val="000000"/>
                              </w:rPr>
                              <w:t>better</w:t>
                            </w:r>
                            <w:r>
                              <w:rPr>
                                <w:color w:val="000000"/>
                                <w:spacing w:val="-3"/>
                              </w:rPr>
                              <w:t> </w:t>
                            </w:r>
                            <w:r>
                              <w:rPr>
                                <w:color w:val="000000"/>
                              </w:rPr>
                              <w:t>align</w:t>
                            </w:r>
                            <w:r>
                              <w:rPr>
                                <w:color w:val="000000"/>
                                <w:spacing w:val="-6"/>
                              </w:rPr>
                              <w:t> </w:t>
                            </w:r>
                            <w:r>
                              <w:rPr>
                                <w:color w:val="000000"/>
                              </w:rPr>
                              <w:t>them</w:t>
                            </w:r>
                            <w:r>
                              <w:rPr>
                                <w:color w:val="000000"/>
                                <w:spacing w:val="-5"/>
                              </w:rPr>
                              <w:t> </w:t>
                            </w:r>
                            <w:r>
                              <w:rPr>
                                <w:color w:val="000000"/>
                              </w:rPr>
                              <w:t>between</w:t>
                            </w:r>
                            <w:r>
                              <w:rPr>
                                <w:color w:val="000000"/>
                                <w:spacing w:val="-4"/>
                              </w:rPr>
                              <w:t> </w:t>
                            </w:r>
                            <w:r>
                              <w:rPr>
                                <w:color w:val="000000"/>
                              </w:rPr>
                              <w:t>electricity</w:t>
                            </w:r>
                            <w:r>
                              <w:rPr>
                                <w:color w:val="000000"/>
                                <w:spacing w:val="-6"/>
                              </w:rPr>
                              <w:t> </w:t>
                            </w:r>
                            <w:r>
                              <w:rPr>
                                <w:color w:val="000000"/>
                              </w:rPr>
                              <w:t>and</w:t>
                            </w:r>
                            <w:r>
                              <w:rPr>
                                <w:color w:val="000000"/>
                                <w:spacing w:val="-8"/>
                              </w:rPr>
                              <w:t> </w:t>
                            </w:r>
                            <w:r>
                              <w:rPr>
                                <w:color w:val="000000"/>
                              </w:rPr>
                              <w:t>gas</w:t>
                            </w:r>
                            <w:r>
                              <w:rPr>
                                <w:color w:val="000000"/>
                                <w:spacing w:val="-4"/>
                              </w:rPr>
                              <w:t> </w:t>
                            </w:r>
                            <w:r>
                              <w:rPr>
                                <w:color w:val="000000"/>
                              </w:rPr>
                              <w:t>sectors;</w:t>
                            </w:r>
                            <w:r>
                              <w:rPr>
                                <w:color w:val="000000"/>
                                <w:spacing w:val="-3"/>
                              </w:rPr>
                              <w:t> </w:t>
                            </w:r>
                            <w:r>
                              <w:rPr>
                                <w:color w:val="000000"/>
                                <w:spacing w:val="-5"/>
                              </w:rPr>
                              <w:t>and</w:t>
                            </w:r>
                          </w:p>
                          <w:p>
                            <w:pPr>
                              <w:pStyle w:val="BodyText"/>
                              <w:numPr>
                                <w:ilvl w:val="0"/>
                                <w:numId w:val="44"/>
                              </w:numPr>
                              <w:tabs>
                                <w:tab w:pos="426" w:val="left" w:leader="none"/>
                              </w:tabs>
                              <w:spacing w:line="240" w:lineRule="auto" w:before="66" w:after="0"/>
                              <w:ind w:left="426" w:right="0" w:hanging="215"/>
                              <w:jc w:val="left"/>
                              <w:rPr>
                                <w:color w:val="000000"/>
                              </w:rPr>
                            </w:pPr>
                            <w:r>
                              <w:rPr>
                                <w:color w:val="000000"/>
                              </w:rPr>
                              <w:t>identify</w:t>
                            </w:r>
                            <w:r>
                              <w:rPr>
                                <w:color w:val="000000"/>
                                <w:spacing w:val="-6"/>
                              </w:rPr>
                              <w:t> </w:t>
                            </w:r>
                            <w:r>
                              <w:rPr>
                                <w:color w:val="000000"/>
                              </w:rPr>
                              <w:t>any</w:t>
                            </w:r>
                            <w:r>
                              <w:rPr>
                                <w:color w:val="000000"/>
                                <w:spacing w:val="-7"/>
                              </w:rPr>
                              <w:t> </w:t>
                            </w:r>
                            <w:r>
                              <w:rPr>
                                <w:color w:val="000000"/>
                              </w:rPr>
                              <w:t>further</w:t>
                            </w:r>
                            <w:r>
                              <w:rPr>
                                <w:color w:val="000000"/>
                                <w:spacing w:val="-3"/>
                              </w:rPr>
                              <w:t> </w:t>
                            </w:r>
                            <w:r>
                              <w:rPr>
                                <w:color w:val="000000"/>
                              </w:rPr>
                              <w:t>improvements</w:t>
                            </w:r>
                            <w:r>
                              <w:rPr>
                                <w:color w:val="000000"/>
                                <w:spacing w:val="-5"/>
                              </w:rPr>
                              <w:t> </w:t>
                            </w:r>
                            <w:r>
                              <w:rPr>
                                <w:color w:val="000000"/>
                              </w:rPr>
                              <w:t>that</w:t>
                            </w:r>
                            <w:r>
                              <w:rPr>
                                <w:color w:val="000000"/>
                                <w:spacing w:val="-5"/>
                              </w:rPr>
                              <w:t> </w:t>
                            </w:r>
                            <w:r>
                              <w:rPr>
                                <w:color w:val="000000"/>
                              </w:rPr>
                              <w:t>may</w:t>
                            </w:r>
                            <w:r>
                              <w:rPr>
                                <w:color w:val="000000"/>
                                <w:spacing w:val="-5"/>
                              </w:rPr>
                              <w:t> </w:t>
                            </w:r>
                            <w:r>
                              <w:rPr>
                                <w:color w:val="000000"/>
                              </w:rPr>
                              <w:t>be</w:t>
                            </w:r>
                            <w:r>
                              <w:rPr>
                                <w:color w:val="000000"/>
                                <w:spacing w:val="-5"/>
                              </w:rPr>
                              <w:t> </w:t>
                            </w:r>
                            <w:r>
                              <w:rPr>
                                <w:color w:val="000000"/>
                                <w:spacing w:val="-2"/>
                              </w:rPr>
                              <w:t>required.</w:t>
                            </w:r>
                          </w:p>
                        </w:txbxContent>
                      </wps:txbx>
                      <wps:bodyPr wrap="square" lIns="0" tIns="0" rIns="0" bIns="0" rtlCol="0">
                        <a:noAutofit/>
                      </wps:bodyPr>
                    </wps:wsp>
                  </a:graphicData>
                </a:graphic>
              </wp:inline>
            </w:drawing>
          </mc:Choice>
          <mc:Fallback>
            <w:pict>
              <v:shape style="width:451.4pt;height:102.15pt;mso-position-horizontal-relative:char;mso-position-vertical-relative:line" type="#_x0000_t202" id="docshape121" filled="true" fillcolor="#d9d9d9" stroked="false">
                <w10:anchorlock/>
                <v:textbox inset="0,0,0,0">
                  <w:txbxContent>
                    <w:p>
                      <w:pPr>
                        <w:pStyle w:val="BodyText"/>
                        <w:ind w:left="112"/>
                        <w:rPr>
                          <w:color w:val="000000"/>
                        </w:rPr>
                      </w:pPr>
                      <w:r>
                        <w:rPr>
                          <w:color w:val="000000"/>
                        </w:rPr>
                        <w:t>available</w:t>
                      </w:r>
                      <w:r>
                        <w:rPr>
                          <w:color w:val="000000"/>
                          <w:spacing w:val="-7"/>
                        </w:rPr>
                        <w:t> </w:t>
                      </w:r>
                      <w:r>
                        <w:rPr>
                          <w:color w:val="000000"/>
                        </w:rPr>
                        <w:t>to</w:t>
                      </w:r>
                      <w:r>
                        <w:rPr>
                          <w:color w:val="000000"/>
                          <w:spacing w:val="-5"/>
                        </w:rPr>
                        <w:t> </w:t>
                      </w:r>
                      <w:r>
                        <w:rPr>
                          <w:color w:val="000000"/>
                        </w:rPr>
                        <w:t>ESV</w:t>
                      </w:r>
                      <w:r>
                        <w:rPr>
                          <w:color w:val="000000"/>
                          <w:spacing w:val="-5"/>
                        </w:rPr>
                        <w:t> </w:t>
                      </w:r>
                      <w:r>
                        <w:rPr>
                          <w:color w:val="000000"/>
                        </w:rPr>
                        <w:t>should</w:t>
                      </w:r>
                      <w:r>
                        <w:rPr>
                          <w:color w:val="000000"/>
                          <w:spacing w:val="-7"/>
                        </w:rPr>
                        <w:t> </w:t>
                      </w:r>
                      <w:r>
                        <w:rPr>
                          <w:color w:val="000000"/>
                        </w:rPr>
                        <w:t>be</w:t>
                      </w:r>
                      <w:r>
                        <w:rPr>
                          <w:color w:val="000000"/>
                          <w:spacing w:val="-5"/>
                        </w:rPr>
                        <w:t> </w:t>
                      </w:r>
                      <w:r>
                        <w:rPr>
                          <w:color w:val="000000"/>
                        </w:rPr>
                        <w:t>reviewed</w:t>
                      </w:r>
                      <w:r>
                        <w:rPr>
                          <w:color w:val="000000"/>
                          <w:spacing w:val="-4"/>
                        </w:rPr>
                        <w:t> </w:t>
                      </w:r>
                      <w:r>
                        <w:rPr>
                          <w:color w:val="000000"/>
                          <w:spacing w:val="-5"/>
                        </w:rPr>
                        <w:t>to:</w:t>
                      </w:r>
                    </w:p>
                    <w:p>
                      <w:pPr>
                        <w:pStyle w:val="BodyText"/>
                        <w:spacing w:before="10"/>
                        <w:rPr>
                          <w:color w:val="000000"/>
                          <w:sz w:val="26"/>
                        </w:rPr>
                      </w:pPr>
                    </w:p>
                    <w:p>
                      <w:pPr>
                        <w:pStyle w:val="BodyText"/>
                        <w:numPr>
                          <w:ilvl w:val="0"/>
                          <w:numId w:val="44"/>
                        </w:numPr>
                        <w:tabs>
                          <w:tab w:pos="427" w:val="left" w:leader="none"/>
                        </w:tabs>
                        <w:spacing w:line="288" w:lineRule="auto" w:before="0" w:after="0"/>
                        <w:ind w:left="427" w:right="149" w:hanging="216"/>
                        <w:jc w:val="left"/>
                        <w:rPr>
                          <w:color w:val="000000"/>
                        </w:rPr>
                      </w:pPr>
                      <w:r>
                        <w:rPr>
                          <w:color w:val="000000"/>
                        </w:rPr>
                        <w:t>remove</w:t>
                      </w:r>
                      <w:r>
                        <w:rPr>
                          <w:color w:val="000000"/>
                          <w:spacing w:val="-3"/>
                        </w:rPr>
                        <w:t> </w:t>
                      </w:r>
                      <w:r>
                        <w:rPr>
                          <w:color w:val="000000"/>
                        </w:rPr>
                        <w:t>unnecessary</w:t>
                      </w:r>
                      <w:r>
                        <w:rPr>
                          <w:color w:val="000000"/>
                          <w:spacing w:val="-5"/>
                        </w:rPr>
                        <w:t> </w:t>
                      </w:r>
                      <w:r>
                        <w:rPr>
                          <w:color w:val="000000"/>
                        </w:rPr>
                        <w:t>limitations</w:t>
                      </w:r>
                      <w:r>
                        <w:rPr>
                          <w:color w:val="000000"/>
                          <w:spacing w:val="-3"/>
                        </w:rPr>
                        <w:t> </w:t>
                      </w:r>
                      <w:r>
                        <w:rPr>
                          <w:color w:val="000000"/>
                        </w:rPr>
                        <w:t>on</w:t>
                      </w:r>
                      <w:r>
                        <w:rPr>
                          <w:color w:val="000000"/>
                          <w:spacing w:val="-5"/>
                        </w:rPr>
                        <w:t> </w:t>
                      </w:r>
                      <w:r>
                        <w:rPr>
                          <w:color w:val="000000"/>
                        </w:rPr>
                        <w:t>what</w:t>
                      </w:r>
                      <w:r>
                        <w:rPr>
                          <w:color w:val="000000"/>
                          <w:spacing w:val="-1"/>
                        </w:rPr>
                        <w:t> </w:t>
                      </w:r>
                      <w:r>
                        <w:rPr>
                          <w:color w:val="000000"/>
                        </w:rPr>
                        <w:t>the</w:t>
                      </w:r>
                      <w:r>
                        <w:rPr>
                          <w:color w:val="000000"/>
                          <w:spacing w:val="-8"/>
                        </w:rPr>
                        <w:t> </w:t>
                      </w:r>
                      <w:r>
                        <w:rPr>
                          <w:color w:val="000000"/>
                        </w:rPr>
                        <w:t>tools</w:t>
                      </w:r>
                      <w:r>
                        <w:rPr>
                          <w:color w:val="000000"/>
                          <w:spacing w:val="-5"/>
                        </w:rPr>
                        <w:t> </w:t>
                      </w:r>
                      <w:r>
                        <w:rPr>
                          <w:color w:val="000000"/>
                        </w:rPr>
                        <w:t>can</w:t>
                      </w:r>
                      <w:r>
                        <w:rPr>
                          <w:color w:val="000000"/>
                          <w:spacing w:val="-3"/>
                        </w:rPr>
                        <w:t> </w:t>
                      </w:r>
                      <w:r>
                        <w:rPr>
                          <w:color w:val="000000"/>
                        </w:rPr>
                        <w:t>be</w:t>
                      </w:r>
                      <w:r>
                        <w:rPr>
                          <w:color w:val="000000"/>
                          <w:spacing w:val="-3"/>
                        </w:rPr>
                        <w:t> </w:t>
                      </w:r>
                      <w:r>
                        <w:rPr>
                          <w:color w:val="000000"/>
                        </w:rPr>
                        <w:t>used</w:t>
                      </w:r>
                      <w:r>
                        <w:rPr>
                          <w:color w:val="000000"/>
                          <w:spacing w:val="-7"/>
                        </w:rPr>
                        <w:t> </w:t>
                      </w:r>
                      <w:r>
                        <w:rPr>
                          <w:color w:val="000000"/>
                        </w:rPr>
                        <w:t>for,</w:t>
                      </w:r>
                      <w:r>
                        <w:rPr>
                          <w:color w:val="000000"/>
                          <w:spacing w:val="-1"/>
                        </w:rPr>
                        <w:t> </w:t>
                      </w:r>
                      <w:r>
                        <w:rPr>
                          <w:color w:val="000000"/>
                        </w:rPr>
                        <w:t>including</w:t>
                      </w:r>
                      <w:r>
                        <w:rPr>
                          <w:color w:val="000000"/>
                          <w:spacing w:val="-3"/>
                        </w:rPr>
                        <w:t> </w:t>
                      </w:r>
                      <w:r>
                        <w:rPr>
                          <w:color w:val="000000"/>
                        </w:rPr>
                        <w:t>expanding the scope for infringement and improvement notices to be used;</w:t>
                      </w:r>
                    </w:p>
                    <w:p>
                      <w:pPr>
                        <w:pStyle w:val="BodyText"/>
                        <w:numPr>
                          <w:ilvl w:val="0"/>
                          <w:numId w:val="44"/>
                        </w:numPr>
                        <w:tabs>
                          <w:tab w:pos="426" w:val="left" w:leader="none"/>
                        </w:tabs>
                        <w:spacing w:line="240" w:lineRule="auto" w:before="14" w:after="0"/>
                        <w:ind w:left="426" w:right="0" w:hanging="215"/>
                        <w:jc w:val="left"/>
                        <w:rPr>
                          <w:color w:val="000000"/>
                        </w:rPr>
                      </w:pPr>
                      <w:r>
                        <w:rPr>
                          <w:color w:val="000000"/>
                        </w:rPr>
                        <w:t>better</w:t>
                      </w:r>
                      <w:r>
                        <w:rPr>
                          <w:color w:val="000000"/>
                          <w:spacing w:val="-3"/>
                        </w:rPr>
                        <w:t> </w:t>
                      </w:r>
                      <w:r>
                        <w:rPr>
                          <w:color w:val="000000"/>
                        </w:rPr>
                        <w:t>align</w:t>
                      </w:r>
                      <w:r>
                        <w:rPr>
                          <w:color w:val="000000"/>
                          <w:spacing w:val="-6"/>
                        </w:rPr>
                        <w:t> </w:t>
                      </w:r>
                      <w:r>
                        <w:rPr>
                          <w:color w:val="000000"/>
                        </w:rPr>
                        <w:t>them</w:t>
                      </w:r>
                      <w:r>
                        <w:rPr>
                          <w:color w:val="000000"/>
                          <w:spacing w:val="-5"/>
                        </w:rPr>
                        <w:t> </w:t>
                      </w:r>
                      <w:r>
                        <w:rPr>
                          <w:color w:val="000000"/>
                        </w:rPr>
                        <w:t>between</w:t>
                      </w:r>
                      <w:r>
                        <w:rPr>
                          <w:color w:val="000000"/>
                          <w:spacing w:val="-4"/>
                        </w:rPr>
                        <w:t> </w:t>
                      </w:r>
                      <w:r>
                        <w:rPr>
                          <w:color w:val="000000"/>
                        </w:rPr>
                        <w:t>electricity</w:t>
                      </w:r>
                      <w:r>
                        <w:rPr>
                          <w:color w:val="000000"/>
                          <w:spacing w:val="-6"/>
                        </w:rPr>
                        <w:t> </w:t>
                      </w:r>
                      <w:r>
                        <w:rPr>
                          <w:color w:val="000000"/>
                        </w:rPr>
                        <w:t>and</w:t>
                      </w:r>
                      <w:r>
                        <w:rPr>
                          <w:color w:val="000000"/>
                          <w:spacing w:val="-8"/>
                        </w:rPr>
                        <w:t> </w:t>
                      </w:r>
                      <w:r>
                        <w:rPr>
                          <w:color w:val="000000"/>
                        </w:rPr>
                        <w:t>gas</w:t>
                      </w:r>
                      <w:r>
                        <w:rPr>
                          <w:color w:val="000000"/>
                          <w:spacing w:val="-4"/>
                        </w:rPr>
                        <w:t> </w:t>
                      </w:r>
                      <w:r>
                        <w:rPr>
                          <w:color w:val="000000"/>
                        </w:rPr>
                        <w:t>sectors;</w:t>
                      </w:r>
                      <w:r>
                        <w:rPr>
                          <w:color w:val="000000"/>
                          <w:spacing w:val="-3"/>
                        </w:rPr>
                        <w:t> </w:t>
                      </w:r>
                      <w:r>
                        <w:rPr>
                          <w:color w:val="000000"/>
                          <w:spacing w:val="-5"/>
                        </w:rPr>
                        <w:t>and</w:t>
                      </w:r>
                    </w:p>
                    <w:p>
                      <w:pPr>
                        <w:pStyle w:val="BodyText"/>
                        <w:numPr>
                          <w:ilvl w:val="0"/>
                          <w:numId w:val="44"/>
                        </w:numPr>
                        <w:tabs>
                          <w:tab w:pos="426" w:val="left" w:leader="none"/>
                        </w:tabs>
                        <w:spacing w:line="240" w:lineRule="auto" w:before="66" w:after="0"/>
                        <w:ind w:left="426" w:right="0" w:hanging="215"/>
                        <w:jc w:val="left"/>
                        <w:rPr>
                          <w:color w:val="000000"/>
                        </w:rPr>
                      </w:pPr>
                      <w:r>
                        <w:rPr>
                          <w:color w:val="000000"/>
                        </w:rPr>
                        <w:t>identify</w:t>
                      </w:r>
                      <w:r>
                        <w:rPr>
                          <w:color w:val="000000"/>
                          <w:spacing w:val="-6"/>
                        </w:rPr>
                        <w:t> </w:t>
                      </w:r>
                      <w:r>
                        <w:rPr>
                          <w:color w:val="000000"/>
                        </w:rPr>
                        <w:t>any</w:t>
                      </w:r>
                      <w:r>
                        <w:rPr>
                          <w:color w:val="000000"/>
                          <w:spacing w:val="-7"/>
                        </w:rPr>
                        <w:t> </w:t>
                      </w:r>
                      <w:r>
                        <w:rPr>
                          <w:color w:val="000000"/>
                        </w:rPr>
                        <w:t>further</w:t>
                      </w:r>
                      <w:r>
                        <w:rPr>
                          <w:color w:val="000000"/>
                          <w:spacing w:val="-3"/>
                        </w:rPr>
                        <w:t> </w:t>
                      </w:r>
                      <w:r>
                        <w:rPr>
                          <w:color w:val="000000"/>
                        </w:rPr>
                        <w:t>improvements</w:t>
                      </w:r>
                      <w:r>
                        <w:rPr>
                          <w:color w:val="000000"/>
                          <w:spacing w:val="-5"/>
                        </w:rPr>
                        <w:t> </w:t>
                      </w:r>
                      <w:r>
                        <w:rPr>
                          <w:color w:val="000000"/>
                        </w:rPr>
                        <w:t>that</w:t>
                      </w:r>
                      <w:r>
                        <w:rPr>
                          <w:color w:val="000000"/>
                          <w:spacing w:val="-5"/>
                        </w:rPr>
                        <w:t> </w:t>
                      </w:r>
                      <w:r>
                        <w:rPr>
                          <w:color w:val="000000"/>
                        </w:rPr>
                        <w:t>may</w:t>
                      </w:r>
                      <w:r>
                        <w:rPr>
                          <w:color w:val="000000"/>
                          <w:spacing w:val="-5"/>
                        </w:rPr>
                        <w:t> </w:t>
                      </w:r>
                      <w:r>
                        <w:rPr>
                          <w:color w:val="000000"/>
                        </w:rPr>
                        <w:t>be</w:t>
                      </w:r>
                      <w:r>
                        <w:rPr>
                          <w:color w:val="000000"/>
                          <w:spacing w:val="-5"/>
                        </w:rPr>
                        <w:t> </w:t>
                      </w:r>
                      <w:r>
                        <w:rPr>
                          <w:color w:val="000000"/>
                          <w:spacing w:val="-2"/>
                        </w:rPr>
                        <w:t>required.</w:t>
                      </w:r>
                    </w:p>
                  </w:txbxContent>
                </v:textbox>
                <v:fill type="solid"/>
              </v:shape>
            </w:pict>
          </mc:Fallback>
        </mc:AlternateContent>
      </w:r>
      <w:r>
        <w:rPr>
          <w:sz w:val="20"/>
        </w:rPr>
      </w:r>
    </w:p>
    <w:p>
      <w:pPr>
        <w:pStyle w:val="BodyText"/>
        <w:spacing w:before="2"/>
        <w:rPr>
          <w:sz w:val="21"/>
        </w:rPr>
      </w:pPr>
    </w:p>
    <w:p>
      <w:pPr>
        <w:pStyle w:val="Heading4"/>
        <w:ind w:left="600"/>
        <w:jc w:val="both"/>
      </w:pPr>
      <w:r>
        <w:rPr>
          <w:color w:val="585858"/>
        </w:rPr>
        <w:t>Updating</w:t>
      </w:r>
      <w:r>
        <w:rPr>
          <w:color w:val="585858"/>
          <w:spacing w:val="-13"/>
        </w:rPr>
        <w:t> </w:t>
      </w:r>
      <w:r>
        <w:rPr>
          <w:color w:val="585858"/>
        </w:rPr>
        <w:t>penalties</w:t>
      </w:r>
      <w:r>
        <w:rPr>
          <w:color w:val="585858"/>
          <w:spacing w:val="-12"/>
        </w:rPr>
        <w:t> </w:t>
      </w:r>
      <w:r>
        <w:rPr>
          <w:color w:val="585858"/>
        </w:rPr>
        <w:t>to</w:t>
      </w:r>
      <w:r>
        <w:rPr>
          <w:color w:val="585858"/>
          <w:spacing w:val="-12"/>
        </w:rPr>
        <w:t> </w:t>
      </w:r>
      <w:r>
        <w:rPr>
          <w:color w:val="585858"/>
        </w:rPr>
        <w:t>support</w:t>
      </w:r>
      <w:r>
        <w:rPr>
          <w:color w:val="585858"/>
          <w:spacing w:val="-13"/>
        </w:rPr>
        <w:t> </w:t>
      </w:r>
      <w:r>
        <w:rPr>
          <w:color w:val="585858"/>
        </w:rPr>
        <w:t>effective</w:t>
      </w:r>
      <w:r>
        <w:rPr>
          <w:color w:val="585858"/>
          <w:spacing w:val="-12"/>
        </w:rPr>
        <w:t> </w:t>
      </w:r>
      <w:r>
        <w:rPr>
          <w:color w:val="585858"/>
          <w:spacing w:val="-2"/>
        </w:rPr>
        <w:t>compliance</w:t>
      </w:r>
    </w:p>
    <w:p>
      <w:pPr>
        <w:pStyle w:val="BodyText"/>
        <w:spacing w:line="288" w:lineRule="auto" w:before="314"/>
        <w:ind w:left="600" w:right="796"/>
        <w:jc w:val="both"/>
      </w:pPr>
      <w:r>
        <w:rPr/>
        <w:t>As</w:t>
      </w:r>
      <w:r>
        <w:rPr>
          <w:spacing w:val="-2"/>
        </w:rPr>
        <w:t> </w:t>
      </w:r>
      <w:r>
        <w:rPr/>
        <w:t>mentioned</w:t>
      </w:r>
      <w:r>
        <w:rPr>
          <w:spacing w:val="-3"/>
        </w:rPr>
        <w:t> </w:t>
      </w:r>
      <w:r>
        <w:rPr/>
        <w:t>earlier</w:t>
      </w:r>
      <w:r>
        <w:rPr>
          <w:spacing w:val="-4"/>
        </w:rPr>
        <w:t> </w:t>
      </w:r>
      <w:r>
        <w:rPr/>
        <w:t>in</w:t>
      </w:r>
      <w:r>
        <w:rPr>
          <w:spacing w:val="-3"/>
        </w:rPr>
        <w:t> </w:t>
      </w:r>
      <w:r>
        <w:rPr/>
        <w:t>this</w:t>
      </w:r>
      <w:r>
        <w:rPr>
          <w:spacing w:val="-1"/>
        </w:rPr>
        <w:t> </w:t>
      </w:r>
      <w:r>
        <w:rPr/>
        <w:t>chapter,</w:t>
      </w:r>
      <w:r>
        <w:rPr>
          <w:spacing w:val="-4"/>
        </w:rPr>
        <w:t> </w:t>
      </w:r>
      <w:r>
        <w:rPr/>
        <w:t>offence</w:t>
      </w:r>
      <w:r>
        <w:rPr>
          <w:spacing w:val="-3"/>
        </w:rPr>
        <w:t> </w:t>
      </w:r>
      <w:r>
        <w:rPr/>
        <w:t>provisions</w:t>
      </w:r>
      <w:r>
        <w:rPr>
          <w:spacing w:val="-2"/>
        </w:rPr>
        <w:t> </w:t>
      </w:r>
      <w:r>
        <w:rPr/>
        <w:t>with</w:t>
      </w:r>
      <w:r>
        <w:rPr>
          <w:spacing w:val="-3"/>
        </w:rPr>
        <w:t> </w:t>
      </w:r>
      <w:r>
        <w:rPr/>
        <w:t>associated</w:t>
      </w:r>
      <w:r>
        <w:rPr>
          <w:spacing w:val="-3"/>
        </w:rPr>
        <w:t> </w:t>
      </w:r>
      <w:r>
        <w:rPr/>
        <w:t>penalties</w:t>
      </w:r>
      <w:r>
        <w:rPr>
          <w:spacing w:val="-3"/>
        </w:rPr>
        <w:t> </w:t>
      </w:r>
      <w:r>
        <w:rPr/>
        <w:t>are</w:t>
      </w:r>
      <w:r>
        <w:rPr>
          <w:spacing w:val="-7"/>
        </w:rPr>
        <w:t> </w:t>
      </w:r>
      <w:r>
        <w:rPr/>
        <w:t>found throughout the energy safety legislation. Penalties are expressed as the</w:t>
      </w:r>
      <w:r>
        <w:rPr>
          <w:spacing w:val="-3"/>
        </w:rPr>
        <w:t> </w:t>
      </w:r>
      <w:r>
        <w:rPr/>
        <w:t>maximum amount that can be imposed.</w:t>
      </w:r>
    </w:p>
    <w:p>
      <w:pPr>
        <w:pStyle w:val="BodyText"/>
        <w:rPr>
          <w:sz w:val="21"/>
        </w:rPr>
      </w:pPr>
    </w:p>
    <w:p>
      <w:pPr>
        <w:pStyle w:val="BodyText"/>
        <w:spacing w:line="288" w:lineRule="auto"/>
        <w:ind w:left="600" w:right="311"/>
      </w:pPr>
      <w:r>
        <w:rPr/>
        <w:t>According</w:t>
      </w:r>
      <w:r>
        <w:rPr>
          <w:spacing w:val="-4"/>
        </w:rPr>
        <w:t> </w:t>
      </w:r>
      <w:r>
        <w:rPr/>
        <w:t>to</w:t>
      </w:r>
      <w:r>
        <w:rPr>
          <w:spacing w:val="-6"/>
        </w:rPr>
        <w:t> </w:t>
      </w:r>
      <w:r>
        <w:rPr/>
        <w:t>the</w:t>
      </w:r>
      <w:r>
        <w:rPr>
          <w:spacing w:val="-4"/>
        </w:rPr>
        <w:t> </w:t>
      </w:r>
      <w:r>
        <w:rPr/>
        <w:t>Commonwealth</w:t>
      </w:r>
      <w:r>
        <w:rPr>
          <w:spacing w:val="-4"/>
        </w:rPr>
        <w:t> </w:t>
      </w:r>
      <w:r>
        <w:rPr/>
        <w:t>Attorney-General’s</w:t>
      </w:r>
      <w:r>
        <w:rPr>
          <w:spacing w:val="-3"/>
        </w:rPr>
        <w:t> </w:t>
      </w:r>
      <w:r>
        <w:rPr/>
        <w:t>Department,</w:t>
      </w:r>
      <w:r>
        <w:rPr>
          <w:spacing w:val="-5"/>
        </w:rPr>
        <w:t> </w:t>
      </w:r>
      <w:r>
        <w:rPr/>
        <w:t>two</w:t>
      </w:r>
      <w:r>
        <w:rPr>
          <w:spacing w:val="-4"/>
        </w:rPr>
        <w:t> </w:t>
      </w:r>
      <w:r>
        <w:rPr/>
        <w:t>aims</w:t>
      </w:r>
      <w:r>
        <w:rPr>
          <w:spacing w:val="-3"/>
        </w:rPr>
        <w:t> </w:t>
      </w:r>
      <w:r>
        <w:rPr/>
        <w:t>of</w:t>
      </w:r>
      <w:r>
        <w:rPr>
          <w:spacing w:val="-2"/>
        </w:rPr>
        <w:t> </w:t>
      </w:r>
      <w:r>
        <w:rPr/>
        <w:t>a</w:t>
      </w:r>
      <w:r>
        <w:rPr>
          <w:spacing w:val="-6"/>
        </w:rPr>
        <w:t> </w:t>
      </w:r>
      <w:r>
        <w:rPr/>
        <w:t>maximum penalty are that it should:</w:t>
      </w:r>
    </w:p>
    <w:p>
      <w:pPr>
        <w:pStyle w:val="BodyText"/>
        <w:spacing w:before="10"/>
        <w:rPr>
          <w:sz w:val="20"/>
        </w:rPr>
      </w:pPr>
    </w:p>
    <w:p>
      <w:pPr>
        <w:spacing w:line="288" w:lineRule="auto" w:before="0"/>
        <w:ind w:left="1166" w:right="1235" w:firstLine="0"/>
        <w:jc w:val="left"/>
        <w:rPr>
          <w:sz w:val="22"/>
        </w:rPr>
      </w:pPr>
      <w:r>
        <w:rPr>
          <w:i/>
          <w:sz w:val="22"/>
        </w:rPr>
        <w:t>“… provide an effective deterrent to the commission of the offence, and should reflect the seriousness of the offence within the relevant legislative scheme. A higher maximum penalty will be justified where there are strong incentives to commit the offence, or where the consequences of the commission of the offence</w:t>
      </w:r>
      <w:r>
        <w:rPr>
          <w:i/>
          <w:spacing w:val="-4"/>
          <w:sz w:val="22"/>
        </w:rPr>
        <w:t> </w:t>
      </w:r>
      <w:r>
        <w:rPr>
          <w:i/>
          <w:sz w:val="22"/>
        </w:rPr>
        <w:t>are</w:t>
      </w:r>
      <w:r>
        <w:rPr>
          <w:i/>
          <w:spacing w:val="-4"/>
          <w:sz w:val="22"/>
        </w:rPr>
        <w:t> </w:t>
      </w:r>
      <w:r>
        <w:rPr>
          <w:i/>
          <w:sz w:val="22"/>
        </w:rPr>
        <w:t>particularly</w:t>
      </w:r>
      <w:r>
        <w:rPr>
          <w:i/>
          <w:spacing w:val="-3"/>
          <w:sz w:val="22"/>
        </w:rPr>
        <w:t> </w:t>
      </w:r>
      <w:r>
        <w:rPr>
          <w:i/>
          <w:sz w:val="22"/>
        </w:rPr>
        <w:t>dangerous</w:t>
      </w:r>
      <w:r>
        <w:rPr>
          <w:i/>
          <w:spacing w:val="-2"/>
          <w:sz w:val="22"/>
        </w:rPr>
        <w:t> </w:t>
      </w:r>
      <w:r>
        <w:rPr>
          <w:i/>
          <w:sz w:val="22"/>
        </w:rPr>
        <w:t>or</w:t>
      </w:r>
      <w:r>
        <w:rPr>
          <w:i/>
          <w:spacing w:val="-2"/>
          <w:sz w:val="22"/>
        </w:rPr>
        <w:t> </w:t>
      </w:r>
      <w:r>
        <w:rPr>
          <w:i/>
          <w:sz w:val="22"/>
        </w:rPr>
        <w:t>damaging.”</w:t>
      </w:r>
      <w:r>
        <w:rPr>
          <w:i/>
          <w:spacing w:val="-5"/>
          <w:sz w:val="22"/>
        </w:rPr>
        <w:t> </w:t>
      </w:r>
      <w:r>
        <w:rPr>
          <w:sz w:val="22"/>
        </w:rPr>
        <w:t>(Attorney</w:t>
      </w:r>
      <w:r>
        <w:rPr>
          <w:spacing w:val="-4"/>
          <w:sz w:val="22"/>
        </w:rPr>
        <w:t> </w:t>
      </w:r>
      <w:r>
        <w:rPr>
          <w:sz w:val="22"/>
        </w:rPr>
        <w:t>General,</w:t>
      </w:r>
      <w:r>
        <w:rPr>
          <w:spacing w:val="-3"/>
          <w:sz w:val="22"/>
        </w:rPr>
        <w:t> </w:t>
      </w:r>
      <w:r>
        <w:rPr>
          <w:sz w:val="22"/>
        </w:rPr>
        <w:t>2011,</w:t>
      </w:r>
      <w:r>
        <w:rPr>
          <w:spacing w:val="-4"/>
          <w:sz w:val="22"/>
        </w:rPr>
        <w:t> </w:t>
      </w:r>
      <w:r>
        <w:rPr>
          <w:sz w:val="22"/>
        </w:rPr>
        <w:t>p.</w:t>
      </w:r>
      <w:r>
        <w:rPr>
          <w:spacing w:val="-3"/>
          <w:sz w:val="22"/>
        </w:rPr>
        <w:t> </w:t>
      </w:r>
      <w:r>
        <w:rPr>
          <w:sz w:val="22"/>
        </w:rPr>
        <w:t>38)</w:t>
      </w:r>
    </w:p>
    <w:p>
      <w:pPr>
        <w:pStyle w:val="BodyText"/>
        <w:spacing w:before="9"/>
        <w:rPr>
          <w:sz w:val="20"/>
        </w:rPr>
      </w:pPr>
    </w:p>
    <w:p>
      <w:pPr>
        <w:pStyle w:val="BodyText"/>
        <w:spacing w:line="288" w:lineRule="auto"/>
        <w:ind w:left="600" w:right="586"/>
      </w:pPr>
      <w:r>
        <w:rPr/>
        <w:t>For offences applicable to energy network businesses, the highest maximum penalty is 10,000</w:t>
      </w:r>
      <w:r>
        <w:rPr>
          <w:spacing w:val="-3"/>
        </w:rPr>
        <w:t> </w:t>
      </w:r>
      <w:r>
        <w:rPr/>
        <w:t>penalty</w:t>
      </w:r>
      <w:r>
        <w:rPr>
          <w:spacing w:val="-5"/>
        </w:rPr>
        <w:t> </w:t>
      </w:r>
      <w:r>
        <w:rPr/>
        <w:t>units</w:t>
      </w:r>
      <w:r>
        <w:rPr>
          <w:spacing w:val="-5"/>
        </w:rPr>
        <w:t> </w:t>
      </w:r>
      <w:r>
        <w:rPr/>
        <w:t>(currently</w:t>
      </w:r>
      <w:r>
        <w:rPr>
          <w:spacing w:val="-5"/>
        </w:rPr>
        <w:t> </w:t>
      </w:r>
      <w:r>
        <w:rPr/>
        <w:t>approximately</w:t>
      </w:r>
      <w:r>
        <w:rPr>
          <w:spacing w:val="-5"/>
        </w:rPr>
        <w:t> </w:t>
      </w:r>
      <w:r>
        <w:rPr/>
        <w:t>$1.5</w:t>
      </w:r>
      <w:r>
        <w:rPr>
          <w:spacing w:val="-3"/>
        </w:rPr>
        <w:t> </w:t>
      </w:r>
      <w:r>
        <w:rPr/>
        <w:t>million)</w:t>
      </w:r>
      <w:r>
        <w:rPr>
          <w:spacing w:val="-4"/>
        </w:rPr>
        <w:t> </w:t>
      </w:r>
      <w:r>
        <w:rPr/>
        <w:t>for</w:t>
      </w:r>
      <w:r>
        <w:rPr>
          <w:spacing w:val="-2"/>
        </w:rPr>
        <w:t> </w:t>
      </w:r>
      <w:r>
        <w:rPr/>
        <w:t>noncompliance</w:t>
      </w:r>
      <w:r>
        <w:rPr>
          <w:spacing w:val="-3"/>
        </w:rPr>
        <w:t> </w:t>
      </w:r>
      <w:r>
        <w:rPr/>
        <w:t>with</w:t>
      </w:r>
      <w:r>
        <w:rPr>
          <w:spacing w:val="-3"/>
        </w:rPr>
        <w:t> </w:t>
      </w:r>
      <w:r>
        <w:rPr/>
        <w:t>a</w:t>
      </w:r>
      <w:r>
        <w:rPr>
          <w:spacing w:val="-2"/>
        </w:rPr>
        <w:t> </w:t>
      </w:r>
      <w:r>
        <w:rPr/>
        <w:t>direction to make an emergency situation safe, and additionally in a gas emergency, a direction relating to available supply, reliability or security.</w:t>
      </w:r>
    </w:p>
    <w:p>
      <w:pPr>
        <w:pStyle w:val="BodyText"/>
        <w:spacing w:before="10"/>
        <w:rPr>
          <w:sz w:val="20"/>
        </w:rPr>
      </w:pPr>
    </w:p>
    <w:p>
      <w:pPr>
        <w:pStyle w:val="BodyText"/>
        <w:spacing w:line="288" w:lineRule="auto" w:before="1"/>
        <w:ind w:left="600" w:right="713"/>
      </w:pPr>
      <w:r>
        <w:rPr/>
        <w:t>For noncompliance with the general safety duties, safety plan submission requirements, safety plans, directions, and incident reporting obligations, the maximum penalty is 1,500 penalty units (currently $237,000). Other higher penalties in legislation are for noncompliance</w:t>
      </w:r>
      <w:r>
        <w:rPr>
          <w:spacing w:val="-3"/>
        </w:rPr>
        <w:t> </w:t>
      </w:r>
      <w:r>
        <w:rPr/>
        <w:t>with</w:t>
      </w:r>
      <w:r>
        <w:rPr>
          <w:spacing w:val="-3"/>
        </w:rPr>
        <w:t> </w:t>
      </w:r>
      <w:r>
        <w:rPr/>
        <w:t>prohibition</w:t>
      </w:r>
      <w:r>
        <w:rPr>
          <w:spacing w:val="-3"/>
        </w:rPr>
        <w:t> </w:t>
      </w:r>
      <w:r>
        <w:rPr/>
        <w:t>notices</w:t>
      </w:r>
      <w:r>
        <w:rPr>
          <w:spacing w:val="-5"/>
        </w:rPr>
        <w:t> </w:t>
      </w:r>
      <w:r>
        <w:rPr/>
        <w:t>(gas</w:t>
      </w:r>
      <w:r>
        <w:rPr>
          <w:spacing w:val="-3"/>
        </w:rPr>
        <w:t> </w:t>
      </w:r>
      <w:r>
        <w:rPr/>
        <w:t>and</w:t>
      </w:r>
      <w:r>
        <w:rPr>
          <w:spacing w:val="-5"/>
        </w:rPr>
        <w:t> </w:t>
      </w:r>
      <w:r>
        <w:rPr/>
        <w:t>pipelines)</w:t>
      </w:r>
      <w:r>
        <w:rPr>
          <w:spacing w:val="-2"/>
        </w:rPr>
        <w:t> </w:t>
      </w:r>
      <w:r>
        <w:rPr/>
        <w:t>which</w:t>
      </w:r>
      <w:r>
        <w:rPr>
          <w:spacing w:val="-3"/>
        </w:rPr>
        <w:t> </w:t>
      </w:r>
      <w:r>
        <w:rPr/>
        <w:t>are</w:t>
      </w:r>
      <w:r>
        <w:rPr>
          <w:spacing w:val="-3"/>
        </w:rPr>
        <w:t> </w:t>
      </w:r>
      <w:r>
        <w:rPr/>
        <w:t>2,500–3,000</w:t>
      </w:r>
      <w:r>
        <w:rPr>
          <w:spacing w:val="-3"/>
        </w:rPr>
        <w:t> </w:t>
      </w:r>
      <w:r>
        <w:rPr/>
        <w:t>penalty </w:t>
      </w:r>
      <w:r>
        <w:rPr>
          <w:spacing w:val="-2"/>
        </w:rPr>
        <w:t>units.</w:t>
      </w:r>
    </w:p>
    <w:p>
      <w:pPr>
        <w:pStyle w:val="BodyText"/>
        <w:spacing w:before="11"/>
        <w:rPr>
          <w:sz w:val="20"/>
        </w:rPr>
      </w:pPr>
    </w:p>
    <w:p>
      <w:pPr>
        <w:pStyle w:val="BodyText"/>
        <w:spacing w:line="288" w:lineRule="auto"/>
        <w:ind w:left="600" w:right="910"/>
      </w:pPr>
      <w:r>
        <w:rPr/>
        <w:t>Whilst a direct comparison with other legislation cannot be made given differences in offences,</w:t>
      </w:r>
      <w:r>
        <w:rPr>
          <w:spacing w:val="-6"/>
        </w:rPr>
        <w:t> </w:t>
      </w:r>
      <w:r>
        <w:rPr/>
        <w:t>frameworks</w:t>
      </w:r>
      <w:r>
        <w:rPr>
          <w:spacing w:val="-2"/>
        </w:rPr>
        <w:t> </w:t>
      </w:r>
      <w:r>
        <w:rPr/>
        <w:t>and</w:t>
      </w:r>
      <w:r>
        <w:rPr>
          <w:spacing w:val="-3"/>
        </w:rPr>
        <w:t> </w:t>
      </w:r>
      <w:r>
        <w:rPr/>
        <w:t>operating</w:t>
      </w:r>
      <w:r>
        <w:rPr>
          <w:spacing w:val="-3"/>
        </w:rPr>
        <w:t> </w:t>
      </w:r>
      <w:r>
        <w:rPr/>
        <w:t>environments, some</w:t>
      </w:r>
      <w:r>
        <w:rPr>
          <w:spacing w:val="-5"/>
        </w:rPr>
        <w:t> </w:t>
      </w:r>
      <w:r>
        <w:rPr/>
        <w:t>higher</w:t>
      </w:r>
      <w:r>
        <w:rPr>
          <w:spacing w:val="-2"/>
        </w:rPr>
        <w:t> </w:t>
      </w:r>
      <w:r>
        <w:rPr/>
        <w:t>penalties</w:t>
      </w:r>
      <w:r>
        <w:rPr>
          <w:spacing w:val="-5"/>
        </w:rPr>
        <w:t> </w:t>
      </w:r>
      <w:r>
        <w:rPr/>
        <w:t>can</w:t>
      </w:r>
      <w:r>
        <w:rPr>
          <w:spacing w:val="-3"/>
        </w:rPr>
        <w:t> </w:t>
      </w:r>
      <w:r>
        <w:rPr/>
        <w:t>be</w:t>
      </w:r>
      <w:r>
        <w:rPr>
          <w:spacing w:val="-5"/>
        </w:rPr>
        <w:t> </w:t>
      </w:r>
      <w:r>
        <w:rPr/>
        <w:t>found</w:t>
      </w:r>
      <w:r>
        <w:rPr>
          <w:spacing w:val="-3"/>
        </w:rPr>
        <w:t> </w:t>
      </w:r>
      <w:r>
        <w:rPr/>
        <w:t>in other relevant legislation.</w:t>
      </w:r>
    </w:p>
    <w:p>
      <w:pPr>
        <w:pStyle w:val="BodyText"/>
        <w:spacing w:before="9"/>
        <w:rPr>
          <w:sz w:val="20"/>
        </w:rPr>
      </w:pPr>
    </w:p>
    <w:p>
      <w:pPr>
        <w:spacing w:line="288" w:lineRule="auto" w:before="0"/>
        <w:ind w:left="600" w:right="629" w:firstLine="0"/>
        <w:jc w:val="left"/>
        <w:rPr>
          <w:sz w:val="22"/>
        </w:rPr>
      </w:pPr>
      <w:r>
        <w:rPr>
          <w:sz w:val="22"/>
        </w:rPr>
        <w:t>For example, under the </w:t>
      </w:r>
      <w:r>
        <w:rPr>
          <w:i/>
          <w:sz w:val="22"/>
        </w:rPr>
        <w:t>Rail Safety (Local Operations) Act 2006</w:t>
      </w:r>
      <w:r>
        <w:rPr>
          <w:sz w:val="22"/>
        </w:rPr>
        <w:t>, the penalty for a rail operator</w:t>
      </w:r>
      <w:r>
        <w:rPr>
          <w:spacing w:val="-3"/>
          <w:sz w:val="22"/>
        </w:rPr>
        <w:t> </w:t>
      </w:r>
      <w:r>
        <w:rPr>
          <w:sz w:val="22"/>
        </w:rPr>
        <w:t>failing</w:t>
      </w:r>
      <w:r>
        <w:rPr>
          <w:spacing w:val="-2"/>
          <w:sz w:val="22"/>
        </w:rPr>
        <w:t> </w:t>
      </w:r>
      <w:r>
        <w:rPr>
          <w:sz w:val="22"/>
        </w:rPr>
        <w:t>to</w:t>
      </w:r>
      <w:r>
        <w:rPr>
          <w:spacing w:val="-4"/>
          <w:sz w:val="22"/>
        </w:rPr>
        <w:t> </w:t>
      </w:r>
      <w:r>
        <w:rPr>
          <w:sz w:val="22"/>
        </w:rPr>
        <w:t>meet</w:t>
      </w:r>
      <w:r>
        <w:rPr>
          <w:spacing w:val="-3"/>
          <w:sz w:val="22"/>
        </w:rPr>
        <w:t> </w:t>
      </w:r>
      <w:r>
        <w:rPr>
          <w:sz w:val="22"/>
        </w:rPr>
        <w:t>its</w:t>
      </w:r>
      <w:r>
        <w:rPr>
          <w:spacing w:val="-1"/>
          <w:sz w:val="22"/>
        </w:rPr>
        <w:t> </w:t>
      </w:r>
      <w:r>
        <w:rPr>
          <w:sz w:val="22"/>
        </w:rPr>
        <w:t>safety</w:t>
      </w:r>
      <w:r>
        <w:rPr>
          <w:spacing w:val="-4"/>
          <w:sz w:val="22"/>
        </w:rPr>
        <w:t> </w:t>
      </w:r>
      <w:r>
        <w:rPr>
          <w:sz w:val="22"/>
        </w:rPr>
        <w:t>duties</w:t>
      </w:r>
      <w:r>
        <w:rPr>
          <w:spacing w:val="-4"/>
          <w:sz w:val="22"/>
        </w:rPr>
        <w:t> </w:t>
      </w:r>
      <w:r>
        <w:rPr>
          <w:sz w:val="22"/>
        </w:rPr>
        <w:t>is</w:t>
      </w:r>
      <w:r>
        <w:rPr>
          <w:spacing w:val="-1"/>
          <w:sz w:val="22"/>
        </w:rPr>
        <w:t> </w:t>
      </w:r>
      <w:r>
        <w:rPr>
          <w:sz w:val="22"/>
        </w:rPr>
        <w:t>$3</w:t>
      </w:r>
      <w:r>
        <w:rPr>
          <w:spacing w:val="-4"/>
          <w:sz w:val="22"/>
        </w:rPr>
        <w:t> </w:t>
      </w:r>
      <w:r>
        <w:rPr>
          <w:sz w:val="22"/>
        </w:rPr>
        <w:t>million. For duties</w:t>
      </w:r>
      <w:r>
        <w:rPr>
          <w:spacing w:val="-1"/>
          <w:sz w:val="22"/>
        </w:rPr>
        <w:t> </w:t>
      </w:r>
      <w:r>
        <w:rPr>
          <w:sz w:val="22"/>
        </w:rPr>
        <w:t>in</w:t>
      </w:r>
      <w:r>
        <w:rPr>
          <w:spacing w:val="-4"/>
          <w:sz w:val="22"/>
        </w:rPr>
        <w:t> </w:t>
      </w:r>
      <w:r>
        <w:rPr>
          <w:sz w:val="22"/>
        </w:rPr>
        <w:t>the</w:t>
      </w:r>
      <w:r>
        <w:rPr>
          <w:spacing w:val="-4"/>
          <w:sz w:val="22"/>
        </w:rPr>
        <w:t> </w:t>
      </w:r>
      <w:r>
        <w:rPr>
          <w:i/>
          <w:sz w:val="22"/>
        </w:rPr>
        <w:t>Gas</w:t>
      </w:r>
      <w:r>
        <w:rPr>
          <w:i/>
          <w:spacing w:val="-4"/>
          <w:sz w:val="22"/>
        </w:rPr>
        <w:t> </w:t>
      </w:r>
      <w:r>
        <w:rPr>
          <w:i/>
          <w:sz w:val="22"/>
        </w:rPr>
        <w:t>Industry</w:t>
      </w:r>
      <w:r>
        <w:rPr>
          <w:i/>
          <w:spacing w:val="-4"/>
          <w:sz w:val="22"/>
        </w:rPr>
        <w:t> </w:t>
      </w:r>
      <w:r>
        <w:rPr>
          <w:i/>
          <w:sz w:val="22"/>
        </w:rPr>
        <w:t>Act 2001 </w:t>
      </w:r>
      <w:r>
        <w:rPr>
          <w:sz w:val="22"/>
        </w:rPr>
        <w:t>and </w:t>
      </w:r>
      <w:r>
        <w:rPr>
          <w:i/>
          <w:sz w:val="22"/>
        </w:rPr>
        <w:t>Electricity Industry Act 2000 </w:t>
      </w:r>
      <w:r>
        <w:rPr>
          <w:sz w:val="22"/>
        </w:rPr>
        <w:t>the penalty level for a company failing to safely exercise a power, so far as is reasonably practicable, is 9,000 penalty units (currently approximately</w:t>
      </w:r>
    </w:p>
    <w:p>
      <w:pPr>
        <w:pStyle w:val="BodyText"/>
        <w:spacing w:before="1"/>
        <w:ind w:left="600"/>
      </w:pPr>
      <w:r>
        <w:rPr/>
        <w:t>$1.4</w:t>
      </w:r>
      <w:r>
        <w:rPr>
          <w:spacing w:val="-5"/>
        </w:rPr>
        <w:t> </w:t>
      </w:r>
      <w:r>
        <w:rPr>
          <w:spacing w:val="-2"/>
        </w:rPr>
        <w:t>million).</w:t>
      </w:r>
    </w:p>
    <w:p>
      <w:pPr>
        <w:pStyle w:val="BodyText"/>
        <w:spacing w:before="4"/>
        <w:rPr>
          <w:sz w:val="25"/>
        </w:rPr>
      </w:pPr>
    </w:p>
    <w:p>
      <w:pPr>
        <w:spacing w:line="288" w:lineRule="auto" w:before="0"/>
        <w:ind w:left="600" w:right="586" w:firstLine="0"/>
        <w:jc w:val="left"/>
        <w:rPr>
          <w:sz w:val="22"/>
        </w:rPr>
      </w:pPr>
      <w:r>
        <w:rPr>
          <w:sz w:val="22"/>
        </w:rPr>
        <w:t>Under the</w:t>
      </w:r>
      <w:r>
        <w:rPr>
          <w:spacing w:val="-6"/>
          <w:sz w:val="22"/>
        </w:rPr>
        <w:t> </w:t>
      </w:r>
      <w:r>
        <w:rPr>
          <w:i/>
          <w:sz w:val="22"/>
        </w:rPr>
        <w:t>Occupational</w:t>
      </w:r>
      <w:r>
        <w:rPr>
          <w:i/>
          <w:spacing w:val="-2"/>
          <w:sz w:val="22"/>
        </w:rPr>
        <w:t> </w:t>
      </w:r>
      <w:r>
        <w:rPr>
          <w:i/>
          <w:sz w:val="22"/>
        </w:rPr>
        <w:t>Health</w:t>
      </w:r>
      <w:r>
        <w:rPr>
          <w:i/>
          <w:spacing w:val="-1"/>
          <w:sz w:val="22"/>
        </w:rPr>
        <w:t> </w:t>
      </w:r>
      <w:r>
        <w:rPr>
          <w:i/>
          <w:sz w:val="22"/>
        </w:rPr>
        <w:t>and</w:t>
      </w:r>
      <w:r>
        <w:rPr>
          <w:i/>
          <w:spacing w:val="-1"/>
          <w:sz w:val="22"/>
        </w:rPr>
        <w:t> </w:t>
      </w:r>
      <w:r>
        <w:rPr>
          <w:i/>
          <w:sz w:val="22"/>
        </w:rPr>
        <w:t>Safety</w:t>
      </w:r>
      <w:r>
        <w:rPr>
          <w:i/>
          <w:spacing w:val="-2"/>
          <w:sz w:val="22"/>
        </w:rPr>
        <w:t> </w:t>
      </w:r>
      <w:r>
        <w:rPr>
          <w:i/>
          <w:sz w:val="22"/>
        </w:rPr>
        <w:t>Act</w:t>
      </w:r>
      <w:r>
        <w:rPr>
          <w:i/>
          <w:spacing w:val="-2"/>
          <w:sz w:val="22"/>
        </w:rPr>
        <w:t> </w:t>
      </w:r>
      <w:r>
        <w:rPr>
          <w:i/>
          <w:sz w:val="22"/>
        </w:rPr>
        <w:t>2004</w:t>
      </w:r>
      <w:r>
        <w:rPr>
          <w:sz w:val="22"/>
        </w:rPr>
        <w:t>,</w:t>
      </w:r>
      <w:r>
        <w:rPr>
          <w:spacing w:val="-2"/>
          <w:sz w:val="22"/>
        </w:rPr>
        <w:t> </w:t>
      </w:r>
      <w:r>
        <w:rPr>
          <w:sz w:val="22"/>
        </w:rPr>
        <w:t>the</w:t>
      </w:r>
      <w:r>
        <w:rPr>
          <w:spacing w:val="-1"/>
          <w:sz w:val="22"/>
        </w:rPr>
        <w:t> </w:t>
      </w:r>
      <w:r>
        <w:rPr>
          <w:sz w:val="22"/>
        </w:rPr>
        <w:t>penalty</w:t>
      </w:r>
      <w:r>
        <w:rPr>
          <w:spacing w:val="-5"/>
          <w:sz w:val="22"/>
        </w:rPr>
        <w:t> </w:t>
      </w:r>
      <w:r>
        <w:rPr>
          <w:sz w:val="22"/>
        </w:rPr>
        <w:t>for</w:t>
      </w:r>
      <w:r>
        <w:rPr>
          <w:spacing w:val="-2"/>
          <w:sz w:val="22"/>
        </w:rPr>
        <w:t> </w:t>
      </w:r>
      <w:r>
        <w:rPr>
          <w:sz w:val="22"/>
        </w:rPr>
        <w:t>the</w:t>
      </w:r>
      <w:r>
        <w:rPr>
          <w:spacing w:val="-6"/>
          <w:sz w:val="22"/>
        </w:rPr>
        <w:t> </w:t>
      </w:r>
      <w:r>
        <w:rPr>
          <w:sz w:val="22"/>
        </w:rPr>
        <w:t>general</w:t>
      </w:r>
      <w:r>
        <w:rPr>
          <w:spacing w:val="-2"/>
          <w:sz w:val="22"/>
        </w:rPr>
        <w:t> </w:t>
      </w:r>
      <w:r>
        <w:rPr>
          <w:sz w:val="22"/>
        </w:rPr>
        <w:t>duty offence is</w:t>
      </w:r>
      <w:r>
        <w:rPr>
          <w:spacing w:val="-5"/>
          <w:sz w:val="22"/>
        </w:rPr>
        <w:t> </w:t>
      </w:r>
      <w:r>
        <w:rPr>
          <w:sz w:val="22"/>
        </w:rPr>
        <w:t>9,000</w:t>
      </w:r>
      <w:r>
        <w:rPr>
          <w:spacing w:val="-3"/>
          <w:sz w:val="22"/>
        </w:rPr>
        <w:t> </w:t>
      </w:r>
      <w:r>
        <w:rPr>
          <w:sz w:val="22"/>
        </w:rPr>
        <w:t>penalty</w:t>
      </w:r>
      <w:r>
        <w:rPr>
          <w:spacing w:val="-5"/>
          <w:sz w:val="22"/>
        </w:rPr>
        <w:t> </w:t>
      </w:r>
      <w:r>
        <w:rPr>
          <w:sz w:val="22"/>
        </w:rPr>
        <w:t>units.</w:t>
      </w:r>
      <w:r>
        <w:rPr>
          <w:spacing w:val="-7"/>
          <w:sz w:val="22"/>
        </w:rPr>
        <w:t> </w:t>
      </w:r>
      <w:r>
        <w:rPr>
          <w:sz w:val="22"/>
        </w:rPr>
        <w:t>This</w:t>
      </w:r>
      <w:r>
        <w:rPr>
          <w:spacing w:val="-2"/>
          <w:sz w:val="22"/>
        </w:rPr>
        <w:t> </w:t>
      </w:r>
      <w:r>
        <w:rPr>
          <w:sz w:val="22"/>
        </w:rPr>
        <w:t>Act</w:t>
      </w:r>
      <w:r>
        <w:rPr>
          <w:spacing w:val="-1"/>
          <w:sz w:val="22"/>
        </w:rPr>
        <w:t> </w:t>
      </w:r>
      <w:r>
        <w:rPr>
          <w:sz w:val="22"/>
        </w:rPr>
        <w:t>also</w:t>
      </w:r>
      <w:r>
        <w:rPr>
          <w:spacing w:val="-6"/>
          <w:sz w:val="22"/>
        </w:rPr>
        <w:t> </w:t>
      </w:r>
      <w:r>
        <w:rPr>
          <w:sz w:val="22"/>
        </w:rPr>
        <w:t>imposes</w:t>
      </w:r>
      <w:r>
        <w:rPr>
          <w:spacing w:val="-5"/>
          <w:sz w:val="22"/>
        </w:rPr>
        <w:t> </w:t>
      </w:r>
      <w:r>
        <w:rPr>
          <w:sz w:val="22"/>
        </w:rPr>
        <w:t>a duty</w:t>
      </w:r>
      <w:r>
        <w:rPr>
          <w:spacing w:val="-6"/>
          <w:sz w:val="22"/>
        </w:rPr>
        <w:t> </w:t>
      </w:r>
      <w:r>
        <w:rPr>
          <w:sz w:val="22"/>
        </w:rPr>
        <w:t>not</w:t>
      </w:r>
      <w:r>
        <w:rPr>
          <w:spacing w:val="-1"/>
          <w:sz w:val="22"/>
        </w:rPr>
        <w:t> </w:t>
      </w:r>
      <w:r>
        <w:rPr>
          <w:sz w:val="22"/>
        </w:rPr>
        <w:t>to</w:t>
      </w:r>
      <w:r>
        <w:rPr>
          <w:spacing w:val="-5"/>
          <w:sz w:val="22"/>
        </w:rPr>
        <w:t> </w:t>
      </w:r>
      <w:r>
        <w:rPr>
          <w:sz w:val="22"/>
        </w:rPr>
        <w:t>recklessly</w:t>
      </w:r>
      <w:r>
        <w:rPr>
          <w:spacing w:val="-5"/>
          <w:sz w:val="22"/>
        </w:rPr>
        <w:t> </w:t>
      </w:r>
      <w:r>
        <w:rPr>
          <w:sz w:val="22"/>
        </w:rPr>
        <w:t>endanger</w:t>
      </w:r>
      <w:r>
        <w:rPr>
          <w:spacing w:val="-3"/>
          <w:sz w:val="22"/>
        </w:rPr>
        <w:t> </w:t>
      </w:r>
      <w:r>
        <w:rPr>
          <w:sz w:val="22"/>
        </w:rPr>
        <w:t>a</w:t>
      </w:r>
      <w:r>
        <w:rPr>
          <w:spacing w:val="-5"/>
          <w:sz w:val="22"/>
        </w:rPr>
        <w:t> </w:t>
      </w:r>
      <w:r>
        <w:rPr>
          <w:sz w:val="22"/>
        </w:rPr>
        <w:t>person</w:t>
      </w:r>
      <w:r>
        <w:rPr>
          <w:spacing w:val="-5"/>
          <w:sz w:val="22"/>
        </w:rPr>
        <w:t> </w:t>
      </w:r>
      <w:r>
        <w:rPr>
          <w:sz w:val="22"/>
        </w:rPr>
        <w:t>at</w:t>
      </w:r>
      <w:r>
        <w:rPr>
          <w:spacing w:val="-4"/>
          <w:sz w:val="22"/>
        </w:rPr>
        <w:t> </w:t>
      </w:r>
      <w:r>
        <w:rPr>
          <w:spacing w:val="-10"/>
          <w:sz w:val="22"/>
        </w:rPr>
        <w:t>a</w:t>
      </w:r>
    </w:p>
    <w:p>
      <w:pPr>
        <w:spacing w:after="0" w:line="288" w:lineRule="auto"/>
        <w:jc w:val="left"/>
        <w:rPr>
          <w:sz w:val="22"/>
        </w:rPr>
        <w:sectPr>
          <w:pgSz w:w="11910" w:h="16840"/>
          <w:pgMar w:header="887" w:footer="1228" w:top="1080" w:bottom="1420" w:left="840" w:right="820"/>
        </w:sectPr>
      </w:pPr>
    </w:p>
    <w:p>
      <w:pPr>
        <w:pStyle w:val="BodyText"/>
        <w:rPr>
          <w:sz w:val="20"/>
        </w:rPr>
      </w:pPr>
    </w:p>
    <w:p>
      <w:pPr>
        <w:pStyle w:val="BodyText"/>
        <w:rPr>
          <w:sz w:val="20"/>
        </w:rPr>
      </w:pPr>
    </w:p>
    <w:p>
      <w:pPr>
        <w:pStyle w:val="BodyText"/>
        <w:spacing w:before="5"/>
      </w:pPr>
    </w:p>
    <w:p>
      <w:pPr>
        <w:pStyle w:val="BodyText"/>
        <w:spacing w:line="288" w:lineRule="auto"/>
        <w:ind w:left="600" w:right="629"/>
      </w:pPr>
      <w:r>
        <w:rPr/>
        <w:t>workplace, for which the offence is 20,000 penalty units (currently approximately $3.2 million).</w:t>
      </w:r>
      <w:r>
        <w:rPr>
          <w:spacing w:val="-1"/>
        </w:rPr>
        <w:t> </w:t>
      </w:r>
      <w:r>
        <w:rPr/>
        <w:t>Similarly,</w:t>
      </w:r>
      <w:r>
        <w:rPr>
          <w:spacing w:val="-1"/>
        </w:rPr>
        <w:t> </w:t>
      </w:r>
      <w:r>
        <w:rPr/>
        <w:t>in</w:t>
      </w:r>
      <w:r>
        <w:rPr>
          <w:spacing w:val="-3"/>
        </w:rPr>
        <w:t> </w:t>
      </w:r>
      <w:r>
        <w:rPr/>
        <w:t>the</w:t>
      </w:r>
      <w:r>
        <w:rPr>
          <w:spacing w:val="-7"/>
        </w:rPr>
        <w:t> </w:t>
      </w:r>
      <w:r>
        <w:rPr>
          <w:i/>
        </w:rPr>
        <w:t>Electrical</w:t>
      </w:r>
      <w:r>
        <w:rPr>
          <w:i/>
          <w:spacing w:val="-4"/>
        </w:rPr>
        <w:t> </w:t>
      </w:r>
      <w:r>
        <w:rPr>
          <w:i/>
        </w:rPr>
        <w:t>Safety</w:t>
      </w:r>
      <w:r>
        <w:rPr>
          <w:i/>
          <w:spacing w:val="-2"/>
        </w:rPr>
        <w:t> </w:t>
      </w:r>
      <w:r>
        <w:rPr>
          <w:i/>
        </w:rPr>
        <w:t>Act</w:t>
      </w:r>
      <w:r>
        <w:rPr>
          <w:i/>
          <w:spacing w:val="-1"/>
        </w:rPr>
        <w:t> </w:t>
      </w:r>
      <w:r>
        <w:rPr>
          <w:i/>
        </w:rPr>
        <w:t>2002</w:t>
      </w:r>
      <w:r>
        <w:rPr>
          <w:i/>
          <w:spacing w:val="-1"/>
        </w:rPr>
        <w:t> </w:t>
      </w:r>
      <w:r>
        <w:rPr/>
        <w:t>(Qld)</w:t>
      </w:r>
      <w:r>
        <w:rPr>
          <w:spacing w:val="-3"/>
        </w:rPr>
        <w:t> </w:t>
      </w:r>
      <w:r>
        <w:rPr/>
        <w:t>reckless</w:t>
      </w:r>
      <w:r>
        <w:rPr>
          <w:spacing w:val="-5"/>
        </w:rPr>
        <w:t> </w:t>
      </w:r>
      <w:r>
        <w:rPr/>
        <w:t>breach</w:t>
      </w:r>
      <w:r>
        <w:rPr>
          <w:spacing w:val="-8"/>
        </w:rPr>
        <w:t> </w:t>
      </w:r>
      <w:r>
        <w:rPr/>
        <w:t>of duty</w:t>
      </w:r>
      <w:r>
        <w:rPr>
          <w:spacing w:val="-5"/>
        </w:rPr>
        <w:t> </w:t>
      </w:r>
      <w:r>
        <w:rPr/>
        <w:t>with</w:t>
      </w:r>
      <w:r>
        <w:rPr>
          <w:spacing w:val="-3"/>
        </w:rPr>
        <w:t> </w:t>
      </w:r>
      <w:r>
        <w:rPr/>
        <w:t>serious risk carries a penalty of 30,000 penalty units (currently approximately $3.6 million).</w:t>
      </w:r>
    </w:p>
    <w:p>
      <w:pPr>
        <w:pStyle w:val="BodyText"/>
        <w:spacing w:before="11"/>
        <w:rPr>
          <w:sz w:val="20"/>
        </w:rPr>
      </w:pPr>
    </w:p>
    <w:p>
      <w:pPr>
        <w:pStyle w:val="BodyText"/>
        <w:spacing w:line="288" w:lineRule="auto"/>
        <w:ind w:left="600" w:right="713"/>
      </w:pPr>
      <w:r>
        <w:rPr/>
        <w:t>Considering the potential harms that can result from noncompliance, a comparison of penalty levels in other similar laws, and the potential economic incentives for noncompliance,</w:t>
      </w:r>
      <w:r>
        <w:rPr>
          <w:spacing w:val="-1"/>
        </w:rPr>
        <w:t> </w:t>
      </w:r>
      <w:r>
        <w:rPr/>
        <w:t>it</w:t>
      </w:r>
      <w:r>
        <w:rPr>
          <w:spacing w:val="-1"/>
        </w:rPr>
        <w:t> </w:t>
      </w:r>
      <w:r>
        <w:rPr/>
        <w:t>is</w:t>
      </w:r>
      <w:r>
        <w:rPr>
          <w:spacing w:val="-4"/>
        </w:rPr>
        <w:t> </w:t>
      </w:r>
      <w:r>
        <w:rPr/>
        <w:t>recommended</w:t>
      </w:r>
      <w:r>
        <w:rPr>
          <w:spacing w:val="-4"/>
        </w:rPr>
        <w:t> </w:t>
      </w:r>
      <w:r>
        <w:rPr/>
        <w:t>that</w:t>
      </w:r>
      <w:r>
        <w:rPr>
          <w:spacing w:val="-3"/>
        </w:rPr>
        <w:t> </w:t>
      </w:r>
      <w:r>
        <w:rPr/>
        <w:t>penalty</w:t>
      </w:r>
      <w:r>
        <w:rPr>
          <w:spacing w:val="-4"/>
        </w:rPr>
        <w:t> </w:t>
      </w:r>
      <w:r>
        <w:rPr/>
        <w:t>levels</w:t>
      </w:r>
      <w:r>
        <w:rPr>
          <w:spacing w:val="-1"/>
        </w:rPr>
        <w:t> </w:t>
      </w:r>
      <w:r>
        <w:rPr/>
        <w:t>for</w:t>
      </w:r>
      <w:r>
        <w:rPr>
          <w:spacing w:val="-1"/>
        </w:rPr>
        <w:t> </w:t>
      </w:r>
      <w:r>
        <w:rPr/>
        <w:t>offences</w:t>
      </w:r>
      <w:r>
        <w:rPr>
          <w:spacing w:val="-6"/>
        </w:rPr>
        <w:t> </w:t>
      </w:r>
      <w:r>
        <w:rPr/>
        <w:t>related</w:t>
      </w:r>
      <w:r>
        <w:rPr>
          <w:spacing w:val="-4"/>
        </w:rPr>
        <w:t> </w:t>
      </w:r>
      <w:r>
        <w:rPr/>
        <w:t>to</w:t>
      </w:r>
      <w:r>
        <w:rPr>
          <w:spacing w:val="-2"/>
        </w:rPr>
        <w:t> </w:t>
      </w:r>
      <w:r>
        <w:rPr/>
        <w:t>network</w:t>
      </w:r>
      <w:r>
        <w:rPr>
          <w:spacing w:val="-1"/>
        </w:rPr>
        <w:t> </w:t>
      </w:r>
      <w:r>
        <w:rPr/>
        <w:t>safety be increased, and that penalty levels for similar offences across the sectors be aligned.</w:t>
      </w:r>
    </w:p>
    <w:p>
      <w:pPr>
        <w:pStyle w:val="BodyText"/>
        <w:spacing w:before="10"/>
        <w:rPr>
          <w:sz w:val="20"/>
        </w:rPr>
      </w:pPr>
    </w:p>
    <w:p>
      <w:pPr>
        <w:pStyle w:val="BodyText"/>
        <w:spacing w:line="288" w:lineRule="auto"/>
        <w:ind w:left="600" w:right="910"/>
      </w:pPr>
      <w:r>
        <w:rPr/>
        <w:t>The above examples of penalties of other regulatory regimes are limited to the more substantial</w:t>
      </w:r>
      <w:r>
        <w:rPr>
          <w:spacing w:val="-4"/>
        </w:rPr>
        <w:t> </w:t>
      </w:r>
      <w:r>
        <w:rPr/>
        <w:t>safety</w:t>
      </w:r>
      <w:r>
        <w:rPr>
          <w:spacing w:val="-5"/>
        </w:rPr>
        <w:t> </w:t>
      </w:r>
      <w:r>
        <w:rPr/>
        <w:t>obligations,</w:t>
      </w:r>
      <w:r>
        <w:rPr>
          <w:spacing w:val="-1"/>
        </w:rPr>
        <w:t> </w:t>
      </w:r>
      <w:r>
        <w:rPr/>
        <w:t>but</w:t>
      </w:r>
      <w:r>
        <w:rPr>
          <w:spacing w:val="-4"/>
        </w:rPr>
        <w:t> </w:t>
      </w:r>
      <w:r>
        <w:rPr/>
        <w:t>support</w:t>
      </w:r>
      <w:r>
        <w:rPr>
          <w:spacing w:val="-4"/>
        </w:rPr>
        <w:t> </w:t>
      </w:r>
      <w:r>
        <w:rPr/>
        <w:t>reviewing</w:t>
      </w:r>
      <w:r>
        <w:rPr>
          <w:spacing w:val="-3"/>
        </w:rPr>
        <w:t> </w:t>
      </w:r>
      <w:r>
        <w:rPr/>
        <w:t>all</w:t>
      </w:r>
      <w:r>
        <w:rPr>
          <w:spacing w:val="-3"/>
        </w:rPr>
        <w:t> </w:t>
      </w:r>
      <w:r>
        <w:rPr/>
        <w:t>penalty</w:t>
      </w:r>
      <w:r>
        <w:rPr>
          <w:spacing w:val="-5"/>
        </w:rPr>
        <w:t> </w:t>
      </w:r>
      <w:r>
        <w:rPr/>
        <w:t>levels</w:t>
      </w:r>
      <w:r>
        <w:rPr>
          <w:spacing w:val="-2"/>
        </w:rPr>
        <w:t> </w:t>
      </w:r>
      <w:r>
        <w:rPr/>
        <w:t>and</w:t>
      </w:r>
      <w:r>
        <w:rPr>
          <w:spacing w:val="-3"/>
        </w:rPr>
        <w:t> </w:t>
      </w:r>
      <w:r>
        <w:rPr/>
        <w:t>revising</w:t>
      </w:r>
      <w:r>
        <w:rPr>
          <w:spacing w:val="-1"/>
        </w:rPr>
        <w:t> </w:t>
      </w:r>
      <w:r>
        <w:rPr/>
        <w:t>where appropriate, having regard to other frameworks in Victoria and Australia.</w:t>
      </w:r>
    </w:p>
    <w:p>
      <w:pPr>
        <w:pStyle w:val="BodyText"/>
        <w:spacing w:before="10"/>
        <w:rPr>
          <w:sz w:val="20"/>
        </w:rPr>
      </w:pPr>
    </w:p>
    <w:p>
      <w:pPr>
        <w:pStyle w:val="BodyText"/>
        <w:spacing w:line="288" w:lineRule="auto"/>
        <w:ind w:left="600" w:right="311"/>
      </w:pPr>
      <w:r>
        <w:rPr/>
        <w:t>In</w:t>
      </w:r>
      <w:r>
        <w:rPr>
          <w:spacing w:val="-5"/>
        </w:rPr>
        <w:t> </w:t>
      </w:r>
      <w:r>
        <w:rPr/>
        <w:t>terms</w:t>
      </w:r>
      <w:r>
        <w:rPr>
          <w:spacing w:val="-2"/>
        </w:rPr>
        <w:t> </w:t>
      </w:r>
      <w:r>
        <w:rPr/>
        <w:t>of</w:t>
      </w:r>
      <w:r>
        <w:rPr>
          <w:spacing w:val="-4"/>
        </w:rPr>
        <w:t> </w:t>
      </w:r>
      <w:r>
        <w:rPr/>
        <w:t>decreasing</w:t>
      </w:r>
      <w:r>
        <w:rPr>
          <w:spacing w:val="-2"/>
        </w:rPr>
        <w:t> </w:t>
      </w:r>
      <w:r>
        <w:rPr/>
        <w:t>the</w:t>
      </w:r>
      <w:r>
        <w:rPr>
          <w:spacing w:val="-5"/>
        </w:rPr>
        <w:t> </w:t>
      </w:r>
      <w:r>
        <w:rPr/>
        <w:t>financial</w:t>
      </w:r>
      <w:r>
        <w:rPr>
          <w:spacing w:val="-4"/>
        </w:rPr>
        <w:t> </w:t>
      </w:r>
      <w:r>
        <w:rPr/>
        <w:t>motive</w:t>
      </w:r>
      <w:r>
        <w:rPr>
          <w:spacing w:val="-3"/>
        </w:rPr>
        <w:t> </w:t>
      </w:r>
      <w:r>
        <w:rPr/>
        <w:t>of</w:t>
      </w:r>
      <w:r>
        <w:rPr>
          <w:spacing w:val="-1"/>
        </w:rPr>
        <w:t> </w:t>
      </w:r>
      <w:r>
        <w:rPr/>
        <w:t>reducing,</w:t>
      </w:r>
      <w:r>
        <w:rPr>
          <w:spacing w:val="-4"/>
        </w:rPr>
        <w:t> </w:t>
      </w:r>
      <w:r>
        <w:rPr/>
        <w:t>postponing</w:t>
      </w:r>
      <w:r>
        <w:rPr>
          <w:spacing w:val="-3"/>
        </w:rPr>
        <w:t> </w:t>
      </w:r>
      <w:r>
        <w:rPr/>
        <w:t>or</w:t>
      </w:r>
      <w:r>
        <w:rPr>
          <w:spacing w:val="-4"/>
        </w:rPr>
        <w:t> </w:t>
      </w:r>
      <w:r>
        <w:rPr/>
        <w:t>avoiding</w:t>
      </w:r>
      <w:r>
        <w:rPr>
          <w:spacing w:val="-1"/>
        </w:rPr>
        <w:t> </w:t>
      </w:r>
      <w:r>
        <w:rPr/>
        <w:t>spending</w:t>
      </w:r>
      <w:r>
        <w:rPr>
          <w:spacing w:val="-3"/>
        </w:rPr>
        <w:t> </w:t>
      </w:r>
      <w:r>
        <w:rPr/>
        <w:t>on meeting safety obligations, other tools can include:</w:t>
      </w:r>
    </w:p>
    <w:p>
      <w:pPr>
        <w:pStyle w:val="BodyText"/>
        <w:spacing w:before="3"/>
      </w:pPr>
    </w:p>
    <w:p>
      <w:pPr>
        <w:pStyle w:val="ListParagraph"/>
        <w:numPr>
          <w:ilvl w:val="0"/>
          <w:numId w:val="45"/>
        </w:numPr>
        <w:tabs>
          <w:tab w:pos="957" w:val="left" w:leader="none"/>
        </w:tabs>
        <w:spacing w:line="240" w:lineRule="auto" w:before="1" w:after="0"/>
        <w:ind w:left="957" w:right="0" w:hanging="357"/>
        <w:jc w:val="left"/>
        <w:rPr>
          <w:sz w:val="22"/>
        </w:rPr>
      </w:pPr>
      <w:r>
        <w:rPr>
          <w:sz w:val="22"/>
        </w:rPr>
        <w:t>availability</w:t>
      </w:r>
      <w:r>
        <w:rPr>
          <w:spacing w:val="-9"/>
          <w:sz w:val="22"/>
        </w:rPr>
        <w:t> </w:t>
      </w:r>
      <w:r>
        <w:rPr>
          <w:sz w:val="22"/>
        </w:rPr>
        <w:t>of</w:t>
      </w:r>
      <w:r>
        <w:rPr>
          <w:spacing w:val="-5"/>
          <w:sz w:val="22"/>
        </w:rPr>
        <w:t> </w:t>
      </w:r>
      <w:r>
        <w:rPr>
          <w:sz w:val="22"/>
        </w:rPr>
        <w:t>court</w:t>
      </w:r>
      <w:r>
        <w:rPr>
          <w:spacing w:val="-5"/>
          <w:sz w:val="22"/>
        </w:rPr>
        <w:t> </w:t>
      </w:r>
      <w:r>
        <w:rPr>
          <w:sz w:val="22"/>
        </w:rPr>
        <w:t>orders</w:t>
      </w:r>
      <w:r>
        <w:rPr>
          <w:spacing w:val="-6"/>
          <w:sz w:val="22"/>
        </w:rPr>
        <w:t> </w:t>
      </w:r>
      <w:r>
        <w:rPr>
          <w:sz w:val="22"/>
        </w:rPr>
        <w:t>regarding</w:t>
      </w:r>
      <w:r>
        <w:rPr>
          <w:spacing w:val="-6"/>
          <w:sz w:val="22"/>
        </w:rPr>
        <w:t> </w:t>
      </w:r>
      <w:r>
        <w:rPr>
          <w:sz w:val="22"/>
        </w:rPr>
        <w:t>economic</w:t>
      </w:r>
      <w:r>
        <w:rPr>
          <w:spacing w:val="-6"/>
          <w:sz w:val="22"/>
        </w:rPr>
        <w:t> </w:t>
      </w:r>
      <w:r>
        <w:rPr>
          <w:sz w:val="22"/>
        </w:rPr>
        <w:t>benefits</w:t>
      </w:r>
      <w:r>
        <w:rPr>
          <w:spacing w:val="-5"/>
          <w:sz w:val="22"/>
        </w:rPr>
        <w:t> </w:t>
      </w:r>
      <w:r>
        <w:rPr>
          <w:sz w:val="22"/>
        </w:rPr>
        <w:t>of</w:t>
      </w:r>
      <w:r>
        <w:rPr>
          <w:spacing w:val="-7"/>
          <w:sz w:val="22"/>
        </w:rPr>
        <w:t> </w:t>
      </w:r>
      <w:r>
        <w:rPr>
          <w:sz w:val="22"/>
        </w:rPr>
        <w:t>non-</w:t>
      </w:r>
      <w:r>
        <w:rPr>
          <w:spacing w:val="-2"/>
          <w:sz w:val="22"/>
        </w:rPr>
        <w:t>compliance;</w:t>
      </w:r>
    </w:p>
    <w:p>
      <w:pPr>
        <w:pStyle w:val="ListParagraph"/>
        <w:numPr>
          <w:ilvl w:val="0"/>
          <w:numId w:val="45"/>
        </w:numPr>
        <w:tabs>
          <w:tab w:pos="957" w:val="left" w:leader="none"/>
        </w:tabs>
        <w:spacing w:line="240" w:lineRule="auto" w:before="66" w:after="0"/>
        <w:ind w:left="957" w:right="0" w:hanging="357"/>
        <w:jc w:val="left"/>
        <w:rPr>
          <w:sz w:val="22"/>
        </w:rPr>
      </w:pPr>
      <w:r>
        <w:rPr>
          <w:sz w:val="22"/>
        </w:rPr>
        <w:t>the</w:t>
      </w:r>
      <w:r>
        <w:rPr>
          <w:spacing w:val="-6"/>
          <w:sz w:val="22"/>
        </w:rPr>
        <w:t> </w:t>
      </w:r>
      <w:r>
        <w:rPr>
          <w:sz w:val="22"/>
        </w:rPr>
        <w:t>application</w:t>
      </w:r>
      <w:r>
        <w:rPr>
          <w:spacing w:val="-6"/>
          <w:sz w:val="22"/>
        </w:rPr>
        <w:t> </w:t>
      </w:r>
      <w:r>
        <w:rPr>
          <w:sz w:val="22"/>
        </w:rPr>
        <w:t>of</w:t>
      </w:r>
      <w:r>
        <w:rPr>
          <w:spacing w:val="-7"/>
          <w:sz w:val="22"/>
        </w:rPr>
        <w:t> </w:t>
      </w:r>
      <w:r>
        <w:rPr>
          <w:sz w:val="22"/>
        </w:rPr>
        <w:t>civil</w:t>
      </w:r>
      <w:r>
        <w:rPr>
          <w:spacing w:val="-6"/>
          <w:sz w:val="22"/>
        </w:rPr>
        <w:t> </w:t>
      </w:r>
      <w:r>
        <w:rPr>
          <w:sz w:val="22"/>
        </w:rPr>
        <w:t>penalties;</w:t>
      </w:r>
      <w:r>
        <w:rPr>
          <w:spacing w:val="-3"/>
          <w:sz w:val="22"/>
        </w:rPr>
        <w:t> </w:t>
      </w:r>
      <w:r>
        <w:rPr>
          <w:spacing w:val="-5"/>
          <w:sz w:val="22"/>
        </w:rPr>
        <w:t>and</w:t>
      </w:r>
    </w:p>
    <w:p>
      <w:pPr>
        <w:pStyle w:val="ListParagraph"/>
        <w:numPr>
          <w:ilvl w:val="0"/>
          <w:numId w:val="45"/>
        </w:numPr>
        <w:tabs>
          <w:tab w:pos="957" w:val="left" w:leader="none"/>
        </w:tabs>
        <w:spacing w:line="240" w:lineRule="auto" w:before="66" w:after="0"/>
        <w:ind w:left="957" w:right="0" w:hanging="357"/>
        <w:jc w:val="left"/>
        <w:rPr>
          <w:sz w:val="22"/>
        </w:rPr>
      </w:pPr>
      <w:r>
        <w:rPr>
          <w:sz w:val="22"/>
        </w:rPr>
        <w:t>incentive</w:t>
      </w:r>
      <w:r>
        <w:rPr>
          <w:spacing w:val="-3"/>
          <w:sz w:val="22"/>
        </w:rPr>
        <w:t> </w:t>
      </w:r>
      <w:r>
        <w:rPr>
          <w:sz w:val="22"/>
        </w:rPr>
        <w:t>schemes</w:t>
      </w:r>
      <w:r>
        <w:rPr>
          <w:spacing w:val="-5"/>
          <w:sz w:val="22"/>
        </w:rPr>
        <w:t> </w:t>
      </w:r>
      <w:r>
        <w:rPr>
          <w:sz w:val="22"/>
        </w:rPr>
        <w:t>such</w:t>
      </w:r>
      <w:r>
        <w:rPr>
          <w:spacing w:val="-4"/>
          <w:sz w:val="22"/>
        </w:rPr>
        <w:t> </w:t>
      </w:r>
      <w:r>
        <w:rPr>
          <w:sz w:val="22"/>
        </w:rPr>
        <w:t>as</w:t>
      </w:r>
      <w:r>
        <w:rPr>
          <w:spacing w:val="-3"/>
          <w:sz w:val="22"/>
        </w:rPr>
        <w:t> </w:t>
      </w:r>
      <w:r>
        <w:rPr>
          <w:sz w:val="22"/>
        </w:rPr>
        <w:t>the</w:t>
      </w:r>
      <w:r>
        <w:rPr>
          <w:spacing w:val="-7"/>
          <w:sz w:val="22"/>
        </w:rPr>
        <w:t> </w:t>
      </w:r>
      <w:r>
        <w:rPr>
          <w:sz w:val="22"/>
        </w:rPr>
        <w:t>f-factor</w:t>
      </w:r>
      <w:r>
        <w:rPr>
          <w:spacing w:val="-1"/>
          <w:sz w:val="22"/>
        </w:rPr>
        <w:t> </w:t>
      </w:r>
      <w:r>
        <w:rPr>
          <w:spacing w:val="-2"/>
          <w:sz w:val="22"/>
        </w:rPr>
        <w:t>scheme.</w:t>
      </w:r>
      <w:r>
        <w:rPr>
          <w:spacing w:val="-2"/>
          <w:sz w:val="22"/>
          <w:vertAlign w:val="superscript"/>
        </w:rPr>
        <w:t>10</w:t>
      </w:r>
    </w:p>
    <w:p>
      <w:pPr>
        <w:pStyle w:val="BodyText"/>
        <w:spacing w:before="11"/>
        <w:rPr>
          <w:sz w:val="24"/>
        </w:rPr>
      </w:pPr>
    </w:p>
    <w:p>
      <w:pPr>
        <w:pStyle w:val="BodyText"/>
        <w:spacing w:line="288" w:lineRule="auto"/>
        <w:ind w:left="600" w:right="374"/>
      </w:pPr>
      <w:r>
        <w:rPr/>
        <w:t>A</w:t>
      </w:r>
      <w:r>
        <w:rPr>
          <w:spacing w:val="-3"/>
        </w:rPr>
        <w:t> </w:t>
      </w:r>
      <w:r>
        <w:rPr/>
        <w:t>greater</w:t>
      </w:r>
      <w:r>
        <w:rPr>
          <w:spacing w:val="-2"/>
        </w:rPr>
        <w:t> </w:t>
      </w:r>
      <w:r>
        <w:rPr/>
        <w:t>likelihood</w:t>
      </w:r>
      <w:r>
        <w:rPr>
          <w:spacing w:val="-3"/>
        </w:rPr>
        <w:t> </w:t>
      </w:r>
      <w:r>
        <w:rPr/>
        <w:t>of</w:t>
      </w:r>
      <w:r>
        <w:rPr>
          <w:spacing w:val="-1"/>
        </w:rPr>
        <w:t> </w:t>
      </w:r>
      <w:r>
        <w:rPr/>
        <w:t>detection</w:t>
      </w:r>
      <w:r>
        <w:rPr>
          <w:spacing w:val="-3"/>
        </w:rPr>
        <w:t> </w:t>
      </w:r>
      <w:r>
        <w:rPr/>
        <w:t>and</w:t>
      </w:r>
      <w:r>
        <w:rPr>
          <w:spacing w:val="-5"/>
        </w:rPr>
        <w:t> </w:t>
      </w:r>
      <w:r>
        <w:rPr/>
        <w:t>enforcement</w:t>
      </w:r>
      <w:r>
        <w:rPr>
          <w:spacing w:val="-6"/>
        </w:rPr>
        <w:t> </w:t>
      </w:r>
      <w:r>
        <w:rPr/>
        <w:t>by</w:t>
      </w:r>
      <w:r>
        <w:rPr>
          <w:spacing w:val="-5"/>
        </w:rPr>
        <w:t> </w:t>
      </w:r>
      <w:r>
        <w:rPr/>
        <w:t>ESV, the</w:t>
      </w:r>
      <w:r>
        <w:rPr>
          <w:spacing w:val="-3"/>
        </w:rPr>
        <w:t> </w:t>
      </w:r>
      <w:r>
        <w:rPr/>
        <w:t>nature</w:t>
      </w:r>
      <w:r>
        <w:rPr>
          <w:spacing w:val="-5"/>
        </w:rPr>
        <w:t> </w:t>
      </w:r>
      <w:r>
        <w:rPr/>
        <w:t>of</w:t>
      </w:r>
      <w:r>
        <w:rPr>
          <w:spacing w:val="-1"/>
        </w:rPr>
        <w:t> </w:t>
      </w:r>
      <w:r>
        <w:rPr/>
        <w:t>a</w:t>
      </w:r>
      <w:r>
        <w:rPr>
          <w:spacing w:val="-7"/>
        </w:rPr>
        <w:t> </w:t>
      </w:r>
      <w:r>
        <w:rPr/>
        <w:t>penalty,</w:t>
      </w:r>
      <w:r>
        <w:rPr>
          <w:spacing w:val="-1"/>
        </w:rPr>
        <w:t> </w:t>
      </w:r>
      <w:r>
        <w:rPr/>
        <w:t>and education are also important factors for deterring noncompliance.</w:t>
      </w:r>
    </w:p>
    <w:p>
      <w:pPr>
        <w:pStyle w:val="BodyText"/>
        <w:spacing w:before="9"/>
        <w:rPr>
          <w:sz w:val="18"/>
        </w:rPr>
      </w:pPr>
      <w:r>
        <w:rPr/>
        <mc:AlternateContent>
          <mc:Choice Requires="wps">
            <w:drawing>
              <wp:anchor distT="0" distB="0" distL="0" distR="0" allowOverlap="1" layoutInCell="1" locked="0" behindDoc="1" simplePos="0" relativeHeight="487629312">
                <wp:simplePos x="0" y="0"/>
                <wp:positionH relativeFrom="page">
                  <wp:posOffset>914704</wp:posOffset>
                </wp:positionH>
                <wp:positionV relativeFrom="paragraph">
                  <wp:posOffset>152647</wp:posOffset>
                </wp:positionV>
                <wp:extent cx="5732780" cy="1422400"/>
                <wp:effectExtent l="0" t="0" r="0" b="0"/>
                <wp:wrapTopAndBottom/>
                <wp:docPr id="138" name="Textbox 138"/>
                <wp:cNvGraphicFramePr>
                  <a:graphicFrameLocks/>
                </wp:cNvGraphicFramePr>
                <a:graphic>
                  <a:graphicData uri="http://schemas.microsoft.com/office/word/2010/wordprocessingShape">
                    <wps:wsp>
                      <wps:cNvPr id="138" name="Textbox 138"/>
                      <wps:cNvSpPr txBox="1"/>
                      <wps:spPr>
                        <a:xfrm>
                          <a:off x="0" y="0"/>
                          <a:ext cx="5732780" cy="1422400"/>
                        </a:xfrm>
                        <a:prstGeom prst="rect">
                          <a:avLst/>
                        </a:prstGeom>
                        <a:solidFill>
                          <a:srgbClr val="D9D9D9"/>
                        </a:solidFill>
                      </wps:spPr>
                      <wps:txbx>
                        <w:txbxContent>
                          <w:p>
                            <w:pPr>
                              <w:pStyle w:val="BodyText"/>
                              <w:spacing w:before="10"/>
                              <w:rPr>
                                <w:color w:val="000000"/>
                                <w:sz w:val="20"/>
                              </w:rPr>
                            </w:pPr>
                          </w:p>
                          <w:p>
                            <w:pPr>
                              <w:spacing w:before="0"/>
                              <w:ind w:left="112" w:right="0" w:firstLine="0"/>
                              <w:jc w:val="left"/>
                              <w:rPr>
                                <w:b/>
                                <w:color w:val="000000"/>
                                <w:sz w:val="22"/>
                              </w:rPr>
                            </w:pPr>
                            <w:r>
                              <w:rPr>
                                <w:b/>
                                <w:color w:val="000000"/>
                                <w:sz w:val="22"/>
                              </w:rPr>
                              <w:t>Recommendation</w:t>
                            </w:r>
                            <w:r>
                              <w:rPr>
                                <w:b/>
                                <w:color w:val="000000"/>
                                <w:spacing w:val="-7"/>
                                <w:sz w:val="22"/>
                              </w:rPr>
                              <w:t> </w:t>
                            </w:r>
                            <w:r>
                              <w:rPr>
                                <w:b/>
                                <w:color w:val="000000"/>
                                <w:spacing w:val="-5"/>
                                <w:sz w:val="22"/>
                              </w:rPr>
                              <w:t>13</w:t>
                            </w:r>
                          </w:p>
                          <w:p>
                            <w:pPr>
                              <w:pStyle w:val="BodyText"/>
                              <w:spacing w:before="4"/>
                              <w:rPr>
                                <w:b/>
                                <w:color w:val="000000"/>
                                <w:sz w:val="25"/>
                              </w:rPr>
                            </w:pPr>
                          </w:p>
                          <w:p>
                            <w:pPr>
                              <w:pStyle w:val="BodyText"/>
                              <w:spacing w:line="288" w:lineRule="auto" w:before="1"/>
                              <w:ind w:left="112" w:right="205"/>
                              <w:rPr>
                                <w:color w:val="000000"/>
                              </w:rPr>
                            </w:pPr>
                            <w:r>
                              <w:rPr>
                                <w:color w:val="000000"/>
                              </w:rPr>
                              <w:t>The</w:t>
                            </w:r>
                            <w:r>
                              <w:rPr>
                                <w:color w:val="000000"/>
                                <w:spacing w:val="-5"/>
                              </w:rPr>
                              <w:t> </w:t>
                            </w:r>
                            <w:r>
                              <w:rPr>
                                <w:color w:val="000000"/>
                              </w:rPr>
                              <w:t>penalty</w:t>
                            </w:r>
                            <w:r>
                              <w:rPr>
                                <w:color w:val="000000"/>
                                <w:spacing w:val="-5"/>
                              </w:rPr>
                              <w:t> </w:t>
                            </w:r>
                            <w:r>
                              <w:rPr>
                                <w:color w:val="000000"/>
                              </w:rPr>
                              <w:t>levels</w:t>
                            </w:r>
                            <w:r>
                              <w:rPr>
                                <w:color w:val="000000"/>
                                <w:spacing w:val="-2"/>
                              </w:rPr>
                              <w:t> </w:t>
                            </w:r>
                            <w:r>
                              <w:rPr>
                                <w:color w:val="000000"/>
                              </w:rPr>
                              <w:t>for</w:t>
                            </w:r>
                            <w:r>
                              <w:rPr>
                                <w:color w:val="000000"/>
                                <w:spacing w:val="-2"/>
                              </w:rPr>
                              <w:t> </w:t>
                            </w:r>
                            <w:r>
                              <w:rPr>
                                <w:color w:val="000000"/>
                              </w:rPr>
                              <w:t>offences</w:t>
                            </w:r>
                            <w:r>
                              <w:rPr>
                                <w:color w:val="000000"/>
                                <w:spacing w:val="-3"/>
                              </w:rPr>
                              <w:t> </w:t>
                            </w:r>
                            <w:r>
                              <w:rPr>
                                <w:color w:val="000000"/>
                              </w:rPr>
                              <w:t>related</w:t>
                            </w:r>
                            <w:r>
                              <w:rPr>
                                <w:color w:val="000000"/>
                                <w:spacing w:val="-5"/>
                              </w:rPr>
                              <w:t> </w:t>
                            </w:r>
                            <w:r>
                              <w:rPr>
                                <w:color w:val="000000"/>
                              </w:rPr>
                              <w:t>to</w:t>
                            </w:r>
                            <w:r>
                              <w:rPr>
                                <w:color w:val="000000"/>
                                <w:spacing w:val="-3"/>
                              </w:rPr>
                              <w:t> </w:t>
                            </w:r>
                            <w:r>
                              <w:rPr>
                                <w:color w:val="000000"/>
                              </w:rPr>
                              <w:t>electricity</w:t>
                            </w:r>
                            <w:r>
                              <w:rPr>
                                <w:color w:val="000000"/>
                                <w:spacing w:val="-5"/>
                              </w:rPr>
                              <w:t> </w:t>
                            </w:r>
                            <w:r>
                              <w:rPr>
                                <w:color w:val="000000"/>
                              </w:rPr>
                              <w:t>and</w:t>
                            </w:r>
                            <w:r>
                              <w:rPr>
                                <w:color w:val="000000"/>
                                <w:spacing w:val="-3"/>
                              </w:rPr>
                              <w:t> </w:t>
                            </w:r>
                            <w:r>
                              <w:rPr>
                                <w:color w:val="000000"/>
                              </w:rPr>
                              <w:t>gas</w:t>
                            </w:r>
                            <w:r>
                              <w:rPr>
                                <w:color w:val="000000"/>
                                <w:spacing w:val="-5"/>
                              </w:rPr>
                              <w:t> </w:t>
                            </w:r>
                            <w:r>
                              <w:rPr>
                                <w:color w:val="000000"/>
                              </w:rPr>
                              <w:t>networks</w:t>
                            </w:r>
                            <w:r>
                              <w:rPr>
                                <w:color w:val="000000"/>
                                <w:spacing w:val="-5"/>
                              </w:rPr>
                              <w:t> </w:t>
                            </w:r>
                            <w:r>
                              <w:rPr>
                                <w:color w:val="000000"/>
                              </w:rPr>
                              <w:t>should be</w:t>
                            </w:r>
                            <w:r>
                              <w:rPr>
                                <w:color w:val="000000"/>
                                <w:spacing w:val="-2"/>
                              </w:rPr>
                              <w:t> </w:t>
                            </w:r>
                            <w:r>
                              <w:rPr>
                                <w:color w:val="000000"/>
                              </w:rPr>
                              <w:t>reviewed with a view to increasing them to levels that apply in other leading safety regimes in Australia. As part of this process, the penalties for similar offences applying to pipelines, gas and electricity networks should be aligned.</w:t>
                            </w:r>
                          </w:p>
                        </w:txbxContent>
                      </wps:txbx>
                      <wps:bodyPr wrap="square" lIns="0" tIns="0" rIns="0" bIns="0" rtlCol="0">
                        <a:noAutofit/>
                      </wps:bodyPr>
                    </wps:wsp>
                  </a:graphicData>
                </a:graphic>
              </wp:anchor>
            </w:drawing>
          </mc:Choice>
          <mc:Fallback>
            <w:pict>
              <v:shape style="position:absolute;margin-left:72.024002pt;margin-top:12.019473pt;width:451.4pt;height:112pt;mso-position-horizontal-relative:page;mso-position-vertical-relative:paragraph;z-index:-15687168;mso-wrap-distance-left:0;mso-wrap-distance-right:0" type="#_x0000_t202" id="docshape122" filled="true" fillcolor="#d9d9d9" stroked="false">
                <v:textbox inset="0,0,0,0">
                  <w:txbxContent>
                    <w:p>
                      <w:pPr>
                        <w:pStyle w:val="BodyText"/>
                        <w:spacing w:before="10"/>
                        <w:rPr>
                          <w:color w:val="000000"/>
                          <w:sz w:val="20"/>
                        </w:rPr>
                      </w:pPr>
                    </w:p>
                    <w:p>
                      <w:pPr>
                        <w:spacing w:before="0"/>
                        <w:ind w:left="112" w:right="0" w:firstLine="0"/>
                        <w:jc w:val="left"/>
                        <w:rPr>
                          <w:b/>
                          <w:color w:val="000000"/>
                          <w:sz w:val="22"/>
                        </w:rPr>
                      </w:pPr>
                      <w:r>
                        <w:rPr>
                          <w:b/>
                          <w:color w:val="000000"/>
                          <w:sz w:val="22"/>
                        </w:rPr>
                        <w:t>Recommendation</w:t>
                      </w:r>
                      <w:r>
                        <w:rPr>
                          <w:b/>
                          <w:color w:val="000000"/>
                          <w:spacing w:val="-7"/>
                          <w:sz w:val="22"/>
                        </w:rPr>
                        <w:t> </w:t>
                      </w:r>
                      <w:r>
                        <w:rPr>
                          <w:b/>
                          <w:color w:val="000000"/>
                          <w:spacing w:val="-5"/>
                          <w:sz w:val="22"/>
                        </w:rPr>
                        <w:t>13</w:t>
                      </w:r>
                    </w:p>
                    <w:p>
                      <w:pPr>
                        <w:pStyle w:val="BodyText"/>
                        <w:spacing w:before="4"/>
                        <w:rPr>
                          <w:b/>
                          <w:color w:val="000000"/>
                          <w:sz w:val="25"/>
                        </w:rPr>
                      </w:pPr>
                    </w:p>
                    <w:p>
                      <w:pPr>
                        <w:pStyle w:val="BodyText"/>
                        <w:spacing w:line="288" w:lineRule="auto" w:before="1"/>
                        <w:ind w:left="112" w:right="205"/>
                        <w:rPr>
                          <w:color w:val="000000"/>
                        </w:rPr>
                      </w:pPr>
                      <w:r>
                        <w:rPr>
                          <w:color w:val="000000"/>
                        </w:rPr>
                        <w:t>The</w:t>
                      </w:r>
                      <w:r>
                        <w:rPr>
                          <w:color w:val="000000"/>
                          <w:spacing w:val="-5"/>
                        </w:rPr>
                        <w:t> </w:t>
                      </w:r>
                      <w:r>
                        <w:rPr>
                          <w:color w:val="000000"/>
                        </w:rPr>
                        <w:t>penalty</w:t>
                      </w:r>
                      <w:r>
                        <w:rPr>
                          <w:color w:val="000000"/>
                          <w:spacing w:val="-5"/>
                        </w:rPr>
                        <w:t> </w:t>
                      </w:r>
                      <w:r>
                        <w:rPr>
                          <w:color w:val="000000"/>
                        </w:rPr>
                        <w:t>levels</w:t>
                      </w:r>
                      <w:r>
                        <w:rPr>
                          <w:color w:val="000000"/>
                          <w:spacing w:val="-2"/>
                        </w:rPr>
                        <w:t> </w:t>
                      </w:r>
                      <w:r>
                        <w:rPr>
                          <w:color w:val="000000"/>
                        </w:rPr>
                        <w:t>for</w:t>
                      </w:r>
                      <w:r>
                        <w:rPr>
                          <w:color w:val="000000"/>
                          <w:spacing w:val="-2"/>
                        </w:rPr>
                        <w:t> </w:t>
                      </w:r>
                      <w:r>
                        <w:rPr>
                          <w:color w:val="000000"/>
                        </w:rPr>
                        <w:t>offences</w:t>
                      </w:r>
                      <w:r>
                        <w:rPr>
                          <w:color w:val="000000"/>
                          <w:spacing w:val="-3"/>
                        </w:rPr>
                        <w:t> </w:t>
                      </w:r>
                      <w:r>
                        <w:rPr>
                          <w:color w:val="000000"/>
                        </w:rPr>
                        <w:t>related</w:t>
                      </w:r>
                      <w:r>
                        <w:rPr>
                          <w:color w:val="000000"/>
                          <w:spacing w:val="-5"/>
                        </w:rPr>
                        <w:t> </w:t>
                      </w:r>
                      <w:r>
                        <w:rPr>
                          <w:color w:val="000000"/>
                        </w:rPr>
                        <w:t>to</w:t>
                      </w:r>
                      <w:r>
                        <w:rPr>
                          <w:color w:val="000000"/>
                          <w:spacing w:val="-3"/>
                        </w:rPr>
                        <w:t> </w:t>
                      </w:r>
                      <w:r>
                        <w:rPr>
                          <w:color w:val="000000"/>
                        </w:rPr>
                        <w:t>electricity</w:t>
                      </w:r>
                      <w:r>
                        <w:rPr>
                          <w:color w:val="000000"/>
                          <w:spacing w:val="-5"/>
                        </w:rPr>
                        <w:t> </w:t>
                      </w:r>
                      <w:r>
                        <w:rPr>
                          <w:color w:val="000000"/>
                        </w:rPr>
                        <w:t>and</w:t>
                      </w:r>
                      <w:r>
                        <w:rPr>
                          <w:color w:val="000000"/>
                          <w:spacing w:val="-3"/>
                        </w:rPr>
                        <w:t> </w:t>
                      </w:r>
                      <w:r>
                        <w:rPr>
                          <w:color w:val="000000"/>
                        </w:rPr>
                        <w:t>gas</w:t>
                      </w:r>
                      <w:r>
                        <w:rPr>
                          <w:color w:val="000000"/>
                          <w:spacing w:val="-5"/>
                        </w:rPr>
                        <w:t> </w:t>
                      </w:r>
                      <w:r>
                        <w:rPr>
                          <w:color w:val="000000"/>
                        </w:rPr>
                        <w:t>networks</w:t>
                      </w:r>
                      <w:r>
                        <w:rPr>
                          <w:color w:val="000000"/>
                          <w:spacing w:val="-5"/>
                        </w:rPr>
                        <w:t> </w:t>
                      </w:r>
                      <w:r>
                        <w:rPr>
                          <w:color w:val="000000"/>
                        </w:rPr>
                        <w:t>should be</w:t>
                      </w:r>
                      <w:r>
                        <w:rPr>
                          <w:color w:val="000000"/>
                          <w:spacing w:val="-2"/>
                        </w:rPr>
                        <w:t> </w:t>
                      </w:r>
                      <w:r>
                        <w:rPr>
                          <w:color w:val="000000"/>
                        </w:rPr>
                        <w:t>reviewed with a view to increasing them to levels that apply in other leading safety regimes in Australia. As part of this process, the penalties for similar offences applying to pipelines, gas and electricity networks should be aligned.</w:t>
                      </w:r>
                    </w:p>
                  </w:txbxContent>
                </v:textbox>
                <v:fill type="solid"/>
                <w10:wrap type="topAndBottom"/>
              </v:shape>
            </w:pict>
          </mc:Fallback>
        </mc:AlternateContent>
      </w:r>
    </w:p>
    <w:p>
      <w:pPr>
        <w:pStyle w:val="BodyText"/>
        <w:spacing w:before="6"/>
        <w:rPr>
          <w:sz w:val="23"/>
        </w:rPr>
      </w:pPr>
    </w:p>
    <w:p>
      <w:pPr>
        <w:pStyle w:val="Heading4"/>
        <w:ind w:left="600"/>
      </w:pPr>
      <w:r>
        <w:rPr>
          <w:color w:val="585858"/>
        </w:rPr>
        <w:t>Strengthening</w:t>
      </w:r>
      <w:r>
        <w:rPr>
          <w:color w:val="585858"/>
          <w:spacing w:val="-12"/>
        </w:rPr>
        <w:t> </w:t>
      </w:r>
      <w:r>
        <w:rPr>
          <w:color w:val="585858"/>
        </w:rPr>
        <w:t>data</w:t>
      </w:r>
      <w:r>
        <w:rPr>
          <w:color w:val="585858"/>
          <w:spacing w:val="-12"/>
        </w:rPr>
        <w:t> </w:t>
      </w:r>
      <w:r>
        <w:rPr>
          <w:color w:val="585858"/>
        </w:rPr>
        <w:t>analysis</w:t>
      </w:r>
      <w:r>
        <w:rPr>
          <w:color w:val="585858"/>
          <w:spacing w:val="-12"/>
        </w:rPr>
        <w:t> </w:t>
      </w:r>
      <w:r>
        <w:rPr>
          <w:color w:val="585858"/>
        </w:rPr>
        <w:t>and</w:t>
      </w:r>
      <w:r>
        <w:rPr>
          <w:color w:val="585858"/>
          <w:spacing w:val="-11"/>
        </w:rPr>
        <w:t> </w:t>
      </w:r>
      <w:r>
        <w:rPr>
          <w:color w:val="585858"/>
          <w:spacing w:val="-2"/>
        </w:rPr>
        <w:t>reporting</w:t>
      </w:r>
    </w:p>
    <w:p>
      <w:pPr>
        <w:pStyle w:val="BodyText"/>
        <w:spacing w:line="288" w:lineRule="auto" w:before="314"/>
        <w:ind w:left="600" w:right="910"/>
      </w:pPr>
      <w:r>
        <w:rPr/>
        <w:t>A consistent theme</w:t>
      </w:r>
      <w:r>
        <w:rPr>
          <w:spacing w:val="-1"/>
        </w:rPr>
        <w:t> </w:t>
      </w:r>
      <w:r>
        <w:rPr/>
        <w:t>of external assessments</w:t>
      </w:r>
      <w:r>
        <w:rPr>
          <w:spacing w:val="-1"/>
        </w:rPr>
        <w:t> </w:t>
      </w:r>
      <w:r>
        <w:rPr/>
        <w:t>has</w:t>
      </w:r>
      <w:r>
        <w:rPr>
          <w:spacing w:val="-3"/>
        </w:rPr>
        <w:t> </w:t>
      </w:r>
      <w:r>
        <w:rPr/>
        <w:t>been the</w:t>
      </w:r>
      <w:r>
        <w:rPr>
          <w:spacing w:val="-1"/>
        </w:rPr>
        <w:t> </w:t>
      </w:r>
      <w:r>
        <w:rPr/>
        <w:t>need</w:t>
      </w:r>
      <w:r>
        <w:rPr>
          <w:spacing w:val="-1"/>
        </w:rPr>
        <w:t> </w:t>
      </w:r>
      <w:r>
        <w:rPr/>
        <w:t>for ESV to build stronger analytical capabilities and frameworks. As outlined earlier in this chapter, the Review considers</w:t>
      </w:r>
      <w:r>
        <w:rPr>
          <w:spacing w:val="-4"/>
        </w:rPr>
        <w:t> </w:t>
      </w:r>
      <w:r>
        <w:rPr/>
        <w:t>these</w:t>
      </w:r>
      <w:r>
        <w:rPr>
          <w:spacing w:val="-4"/>
        </w:rPr>
        <w:t> </w:t>
      </w:r>
      <w:r>
        <w:rPr/>
        <w:t>capabilities</w:t>
      </w:r>
      <w:r>
        <w:rPr>
          <w:spacing w:val="-2"/>
        </w:rPr>
        <w:t> </w:t>
      </w:r>
      <w:r>
        <w:rPr/>
        <w:t>to</w:t>
      </w:r>
      <w:r>
        <w:rPr>
          <w:spacing w:val="-2"/>
        </w:rPr>
        <w:t> </w:t>
      </w:r>
      <w:r>
        <w:rPr/>
        <w:t>be</w:t>
      </w:r>
      <w:r>
        <w:rPr>
          <w:spacing w:val="-6"/>
        </w:rPr>
        <w:t> </w:t>
      </w:r>
      <w:r>
        <w:rPr/>
        <w:t>the</w:t>
      </w:r>
      <w:r>
        <w:rPr>
          <w:spacing w:val="-4"/>
        </w:rPr>
        <w:t> </w:t>
      </w:r>
      <w:r>
        <w:rPr/>
        <w:t>foundation</w:t>
      </w:r>
      <w:r>
        <w:rPr>
          <w:spacing w:val="-4"/>
        </w:rPr>
        <w:t> </w:t>
      </w:r>
      <w:r>
        <w:rPr/>
        <w:t>on</w:t>
      </w:r>
      <w:r>
        <w:rPr>
          <w:spacing w:val="-2"/>
        </w:rPr>
        <w:t> </w:t>
      </w:r>
      <w:r>
        <w:rPr/>
        <w:t>which</w:t>
      </w:r>
      <w:r>
        <w:rPr>
          <w:spacing w:val="-2"/>
        </w:rPr>
        <w:t> </w:t>
      </w:r>
      <w:r>
        <w:rPr/>
        <w:t>effective,</w:t>
      </w:r>
      <w:r>
        <w:rPr>
          <w:spacing w:val="-3"/>
        </w:rPr>
        <w:t> </w:t>
      </w:r>
      <w:r>
        <w:rPr/>
        <w:t>risk-based</w:t>
      </w:r>
      <w:r>
        <w:rPr>
          <w:spacing w:val="-2"/>
        </w:rPr>
        <w:t> </w:t>
      </w:r>
      <w:r>
        <w:rPr/>
        <w:t>regulatory systems and processes can be built.</w:t>
      </w:r>
    </w:p>
    <w:p>
      <w:pPr>
        <w:pStyle w:val="BodyText"/>
        <w:rPr>
          <w:sz w:val="20"/>
        </w:rPr>
      </w:pPr>
    </w:p>
    <w:p>
      <w:pPr>
        <w:pStyle w:val="BodyText"/>
        <w:spacing w:before="2"/>
        <w:rPr>
          <w:sz w:val="21"/>
        </w:rPr>
      </w:pPr>
      <w:r>
        <w:rPr/>
        <mc:AlternateContent>
          <mc:Choice Requires="wps">
            <w:drawing>
              <wp:anchor distT="0" distB="0" distL="0" distR="0" allowOverlap="1" layoutInCell="1" locked="0" behindDoc="1" simplePos="0" relativeHeight="487629824">
                <wp:simplePos x="0" y="0"/>
                <wp:positionH relativeFrom="page">
                  <wp:posOffset>896416</wp:posOffset>
                </wp:positionH>
                <wp:positionV relativeFrom="paragraph">
                  <wp:posOffset>169974</wp:posOffset>
                </wp:positionV>
                <wp:extent cx="5769610" cy="1270"/>
                <wp:effectExtent l="0" t="0" r="0" b="0"/>
                <wp:wrapTopAndBottom/>
                <wp:docPr id="139" name="Graphic 139"/>
                <wp:cNvGraphicFramePr>
                  <a:graphicFrameLocks/>
                </wp:cNvGraphicFramePr>
                <a:graphic>
                  <a:graphicData uri="http://schemas.microsoft.com/office/word/2010/wordprocessingShape">
                    <wps:wsp>
                      <wps:cNvPr id="139" name="Graphic 139"/>
                      <wps:cNvSpPr/>
                      <wps:spPr>
                        <a:xfrm>
                          <a:off x="0" y="0"/>
                          <a:ext cx="5769610" cy="1270"/>
                        </a:xfrm>
                        <a:custGeom>
                          <a:avLst/>
                          <a:gdLst/>
                          <a:ahLst/>
                          <a:cxnLst/>
                          <a:rect l="l" t="t" r="r" b="b"/>
                          <a:pathLst>
                            <a:path w="5769610" h="0">
                              <a:moveTo>
                                <a:pt x="0" y="0"/>
                              </a:moveTo>
                              <a:lnTo>
                                <a:pt x="5769305" y="0"/>
                              </a:lnTo>
                            </a:path>
                          </a:pathLst>
                        </a:custGeom>
                        <a:ln w="12192">
                          <a:solidFill>
                            <a:srgbClr val="000000"/>
                          </a:solidFill>
                          <a:prstDash val="sysDot"/>
                        </a:ln>
                      </wps:spPr>
                      <wps:bodyPr wrap="square" lIns="0" tIns="0" rIns="0" bIns="0" rtlCol="0">
                        <a:prstTxWarp prst="textNoShape">
                          <a:avLst/>
                        </a:prstTxWarp>
                        <a:noAutofit/>
                      </wps:bodyPr>
                    </wps:wsp>
                  </a:graphicData>
                </a:graphic>
              </wp:anchor>
            </w:drawing>
          </mc:Choice>
          <mc:Fallback>
            <w:pict>
              <v:shape style="position:absolute;margin-left:70.584pt;margin-top:13.383819pt;width:454.3pt;height:.1pt;mso-position-horizontal-relative:page;mso-position-vertical-relative:paragraph;z-index:-15686656;mso-wrap-distance-left:0;mso-wrap-distance-right:0" id="docshape123" coordorigin="1412,268" coordsize="9086,0" path="m1412,268l10497,268e" filled="false" stroked="true" strokeweight=".96pt" strokecolor="#000000">
                <v:path arrowok="t"/>
                <v:stroke dashstyle="shortdot"/>
                <w10:wrap type="topAndBottom"/>
              </v:shape>
            </w:pict>
          </mc:Fallback>
        </mc:AlternateContent>
      </w:r>
    </w:p>
    <w:p>
      <w:pPr>
        <w:pStyle w:val="BodyText"/>
        <w:spacing w:before="1"/>
        <w:rPr>
          <w:sz w:val="23"/>
        </w:rPr>
      </w:pPr>
    </w:p>
    <w:p>
      <w:pPr>
        <w:spacing w:before="95"/>
        <w:ind w:left="883" w:right="813" w:hanging="284"/>
        <w:jc w:val="left"/>
        <w:rPr>
          <w:sz w:val="16"/>
        </w:rPr>
      </w:pPr>
      <w:r>
        <w:rPr>
          <w:position w:val="5"/>
          <w:sz w:val="9"/>
        </w:rPr>
        <w:t>10</w:t>
      </w:r>
      <w:r>
        <w:rPr>
          <w:spacing w:val="11"/>
          <w:position w:val="5"/>
          <w:sz w:val="9"/>
        </w:rPr>
        <w:t> </w:t>
      </w:r>
      <w:r>
        <w:rPr>
          <w:sz w:val="16"/>
        </w:rPr>
        <w:t>Another</w:t>
      </w:r>
      <w:r>
        <w:rPr>
          <w:spacing w:val="-2"/>
          <w:sz w:val="16"/>
        </w:rPr>
        <w:t> </w:t>
      </w:r>
      <w:r>
        <w:rPr>
          <w:sz w:val="16"/>
        </w:rPr>
        <w:t>factor</w:t>
      </w:r>
      <w:r>
        <w:rPr>
          <w:spacing w:val="-2"/>
          <w:sz w:val="16"/>
        </w:rPr>
        <w:t> </w:t>
      </w:r>
      <w:r>
        <w:rPr>
          <w:sz w:val="16"/>
        </w:rPr>
        <w:t>businesses</w:t>
      </w:r>
      <w:r>
        <w:rPr>
          <w:spacing w:val="-3"/>
          <w:sz w:val="16"/>
        </w:rPr>
        <w:t> </w:t>
      </w:r>
      <w:r>
        <w:rPr>
          <w:sz w:val="16"/>
        </w:rPr>
        <w:t>may</w:t>
      </w:r>
      <w:r>
        <w:rPr>
          <w:spacing w:val="-3"/>
          <w:sz w:val="16"/>
        </w:rPr>
        <w:t> </w:t>
      </w:r>
      <w:r>
        <w:rPr>
          <w:sz w:val="16"/>
        </w:rPr>
        <w:t>take</w:t>
      </w:r>
      <w:r>
        <w:rPr>
          <w:spacing w:val="-2"/>
          <w:sz w:val="16"/>
        </w:rPr>
        <w:t> </w:t>
      </w:r>
      <w:r>
        <w:rPr>
          <w:sz w:val="16"/>
        </w:rPr>
        <w:t>into</w:t>
      </w:r>
      <w:r>
        <w:rPr>
          <w:spacing w:val="-2"/>
          <w:sz w:val="16"/>
        </w:rPr>
        <w:t> </w:t>
      </w:r>
      <w:r>
        <w:rPr>
          <w:sz w:val="16"/>
        </w:rPr>
        <w:t>account</w:t>
      </w:r>
      <w:r>
        <w:rPr>
          <w:spacing w:val="-1"/>
          <w:sz w:val="16"/>
        </w:rPr>
        <w:t> </w:t>
      </w:r>
      <w:r>
        <w:rPr>
          <w:sz w:val="16"/>
        </w:rPr>
        <w:t>that</w:t>
      </w:r>
      <w:r>
        <w:rPr>
          <w:spacing w:val="-1"/>
          <w:sz w:val="16"/>
        </w:rPr>
        <w:t> </w:t>
      </w:r>
      <w:r>
        <w:rPr>
          <w:sz w:val="16"/>
        </w:rPr>
        <w:t>deters noncompliance</w:t>
      </w:r>
      <w:r>
        <w:rPr>
          <w:spacing w:val="-5"/>
          <w:sz w:val="16"/>
        </w:rPr>
        <w:t> </w:t>
      </w:r>
      <w:r>
        <w:rPr>
          <w:sz w:val="16"/>
        </w:rPr>
        <w:t>is the</w:t>
      </w:r>
      <w:r>
        <w:rPr>
          <w:spacing w:val="-5"/>
          <w:sz w:val="16"/>
        </w:rPr>
        <w:t> </w:t>
      </w:r>
      <w:r>
        <w:rPr>
          <w:sz w:val="16"/>
        </w:rPr>
        <w:t>potential</w:t>
      </w:r>
      <w:r>
        <w:rPr>
          <w:spacing w:val="-4"/>
          <w:sz w:val="16"/>
        </w:rPr>
        <w:t> </w:t>
      </w:r>
      <w:r>
        <w:rPr>
          <w:sz w:val="16"/>
        </w:rPr>
        <w:t>for</w:t>
      </w:r>
      <w:r>
        <w:rPr>
          <w:spacing w:val="-2"/>
          <w:sz w:val="16"/>
        </w:rPr>
        <w:t> </w:t>
      </w:r>
      <w:r>
        <w:rPr>
          <w:sz w:val="16"/>
        </w:rPr>
        <w:t>third</w:t>
      </w:r>
      <w:r>
        <w:rPr>
          <w:spacing w:val="-5"/>
          <w:sz w:val="16"/>
        </w:rPr>
        <w:t> </w:t>
      </w:r>
      <w:r>
        <w:rPr>
          <w:sz w:val="16"/>
        </w:rPr>
        <w:t>party</w:t>
      </w:r>
      <w:r>
        <w:rPr>
          <w:spacing w:val="-3"/>
          <w:sz w:val="16"/>
        </w:rPr>
        <w:t> </w:t>
      </w:r>
      <w:r>
        <w:rPr>
          <w:sz w:val="16"/>
        </w:rPr>
        <w:t>civil</w:t>
      </w:r>
      <w:r>
        <w:rPr>
          <w:spacing w:val="-3"/>
          <w:sz w:val="16"/>
        </w:rPr>
        <w:t> </w:t>
      </w:r>
      <w:r>
        <w:rPr>
          <w:sz w:val="16"/>
        </w:rPr>
        <w:t>litigation. In addition, whilst they can insure, there is a risk that incidents will lead to higher future insurance costs.</w:t>
      </w:r>
    </w:p>
    <w:p>
      <w:pPr>
        <w:spacing w:after="0"/>
        <w:jc w:val="left"/>
        <w:rPr>
          <w:sz w:val="16"/>
        </w:rPr>
        <w:sectPr>
          <w:pgSz w:w="11910" w:h="16840"/>
          <w:pgMar w:header="887" w:footer="1228" w:top="1080" w:bottom="1500" w:left="840" w:right="820"/>
        </w:sectPr>
      </w:pPr>
    </w:p>
    <w:p>
      <w:pPr>
        <w:pStyle w:val="BodyText"/>
        <w:rPr>
          <w:sz w:val="20"/>
        </w:rPr>
      </w:pPr>
    </w:p>
    <w:p>
      <w:pPr>
        <w:pStyle w:val="BodyText"/>
        <w:rPr>
          <w:sz w:val="20"/>
        </w:rPr>
      </w:pPr>
    </w:p>
    <w:p>
      <w:pPr>
        <w:pStyle w:val="BodyText"/>
        <w:spacing w:before="5"/>
      </w:pPr>
    </w:p>
    <w:p>
      <w:pPr>
        <w:pStyle w:val="BodyText"/>
        <w:spacing w:line="288" w:lineRule="auto"/>
        <w:ind w:left="600" w:right="910"/>
      </w:pPr>
      <w:r>
        <w:rPr/>
        <w:t>Data analytics capabilities are, in turn, an essential element of a mature, integrated surveillance</w:t>
      </w:r>
      <w:r>
        <w:rPr>
          <w:spacing w:val="-3"/>
        </w:rPr>
        <w:t> </w:t>
      </w:r>
      <w:r>
        <w:rPr/>
        <w:t>and</w:t>
      </w:r>
      <w:r>
        <w:rPr>
          <w:spacing w:val="-3"/>
        </w:rPr>
        <w:t> </w:t>
      </w:r>
      <w:r>
        <w:rPr/>
        <w:t>intelligence</w:t>
      </w:r>
      <w:r>
        <w:rPr>
          <w:spacing w:val="-3"/>
        </w:rPr>
        <w:t> </w:t>
      </w:r>
      <w:r>
        <w:rPr/>
        <w:t>system.</w:t>
      </w:r>
      <w:r>
        <w:rPr>
          <w:spacing w:val="-4"/>
        </w:rPr>
        <w:t> </w:t>
      </w:r>
      <w:r>
        <w:rPr/>
        <w:t>They</w:t>
      </w:r>
      <w:r>
        <w:rPr>
          <w:spacing w:val="-5"/>
        </w:rPr>
        <w:t> </w:t>
      </w:r>
      <w:r>
        <w:rPr/>
        <w:t>provide</w:t>
      </w:r>
      <w:r>
        <w:rPr>
          <w:spacing w:val="-5"/>
        </w:rPr>
        <w:t> </w:t>
      </w:r>
      <w:r>
        <w:rPr/>
        <w:t>fundamental</w:t>
      </w:r>
      <w:r>
        <w:rPr>
          <w:spacing w:val="-6"/>
        </w:rPr>
        <w:t> </w:t>
      </w:r>
      <w:r>
        <w:rPr/>
        <w:t>information</w:t>
      </w:r>
      <w:r>
        <w:rPr>
          <w:spacing w:val="-3"/>
        </w:rPr>
        <w:t> </w:t>
      </w:r>
      <w:r>
        <w:rPr/>
        <w:t>to</w:t>
      </w:r>
      <w:r>
        <w:rPr>
          <w:spacing w:val="-5"/>
        </w:rPr>
        <w:t> </w:t>
      </w:r>
      <w:r>
        <w:rPr/>
        <w:t>ensure</w:t>
      </w:r>
      <w:r>
        <w:rPr>
          <w:spacing w:val="-5"/>
        </w:rPr>
        <w:t> </w:t>
      </w:r>
      <w:r>
        <w:rPr/>
        <w:t>that ESV’s regulatory focus – including its program of audits and inspections – is directed towards high risks and emerging areas of concern. They are also critically important to provide the foundation for the provision of reliable information to the Victorian community about trends in risks over time.</w:t>
      </w:r>
    </w:p>
    <w:p>
      <w:pPr>
        <w:pStyle w:val="BodyText"/>
        <w:spacing w:before="10"/>
        <w:rPr>
          <w:sz w:val="20"/>
        </w:rPr>
      </w:pPr>
    </w:p>
    <w:p>
      <w:pPr>
        <w:pStyle w:val="BodyText"/>
        <w:ind w:left="600"/>
      </w:pPr>
      <w:r>
        <w:rPr/>
        <w:t>Strong</w:t>
      </w:r>
      <w:r>
        <w:rPr>
          <w:spacing w:val="-4"/>
        </w:rPr>
        <w:t> </w:t>
      </w:r>
      <w:r>
        <w:rPr/>
        <w:t>analytical</w:t>
      </w:r>
      <w:r>
        <w:rPr>
          <w:spacing w:val="-7"/>
        </w:rPr>
        <w:t> </w:t>
      </w:r>
      <w:r>
        <w:rPr/>
        <w:t>capacities</w:t>
      </w:r>
      <w:r>
        <w:rPr>
          <w:spacing w:val="-5"/>
        </w:rPr>
        <w:t> </w:t>
      </w:r>
      <w:r>
        <w:rPr/>
        <w:t>allow</w:t>
      </w:r>
      <w:r>
        <w:rPr>
          <w:spacing w:val="-8"/>
        </w:rPr>
        <w:t> </w:t>
      </w:r>
      <w:r>
        <w:rPr/>
        <w:t>key</w:t>
      </w:r>
      <w:r>
        <w:rPr>
          <w:spacing w:val="-8"/>
        </w:rPr>
        <w:t> </w:t>
      </w:r>
      <w:r>
        <w:rPr/>
        <w:t>questions</w:t>
      </w:r>
      <w:r>
        <w:rPr>
          <w:spacing w:val="-7"/>
        </w:rPr>
        <w:t> </w:t>
      </w:r>
      <w:r>
        <w:rPr/>
        <w:t>to</w:t>
      </w:r>
      <w:r>
        <w:rPr>
          <w:spacing w:val="-7"/>
        </w:rPr>
        <w:t> </w:t>
      </w:r>
      <w:r>
        <w:rPr/>
        <w:t>be</w:t>
      </w:r>
      <w:r>
        <w:rPr>
          <w:spacing w:val="-6"/>
        </w:rPr>
        <w:t> </w:t>
      </w:r>
      <w:r>
        <w:rPr/>
        <w:t>answered</w:t>
      </w:r>
      <w:r>
        <w:rPr>
          <w:spacing w:val="-5"/>
        </w:rPr>
        <w:t> </w:t>
      </w:r>
      <w:r>
        <w:rPr/>
        <w:t>such</w:t>
      </w:r>
      <w:r>
        <w:rPr>
          <w:spacing w:val="-7"/>
        </w:rPr>
        <w:t> </w:t>
      </w:r>
      <w:r>
        <w:rPr>
          <w:spacing w:val="-5"/>
        </w:rPr>
        <w:t>as:</w:t>
      </w:r>
    </w:p>
    <w:p>
      <w:pPr>
        <w:pStyle w:val="BodyText"/>
        <w:spacing w:before="9"/>
        <w:rPr>
          <w:sz w:val="26"/>
        </w:rPr>
      </w:pPr>
    </w:p>
    <w:p>
      <w:pPr>
        <w:pStyle w:val="ListParagraph"/>
        <w:numPr>
          <w:ilvl w:val="0"/>
          <w:numId w:val="45"/>
        </w:numPr>
        <w:tabs>
          <w:tab w:pos="957" w:val="left" w:leader="none"/>
        </w:tabs>
        <w:spacing w:line="240" w:lineRule="auto" w:before="1" w:after="0"/>
        <w:ind w:left="957" w:right="0" w:hanging="357"/>
        <w:jc w:val="left"/>
        <w:rPr>
          <w:sz w:val="22"/>
        </w:rPr>
      </w:pPr>
      <w:r>
        <w:rPr>
          <w:sz w:val="22"/>
        </w:rPr>
        <w:t>Are</w:t>
      </w:r>
      <w:r>
        <w:rPr>
          <w:spacing w:val="-6"/>
          <w:sz w:val="22"/>
        </w:rPr>
        <w:t> </w:t>
      </w:r>
      <w:r>
        <w:rPr>
          <w:sz w:val="22"/>
        </w:rPr>
        <w:t>Victoria’s</w:t>
      </w:r>
      <w:r>
        <w:rPr>
          <w:spacing w:val="-4"/>
          <w:sz w:val="22"/>
        </w:rPr>
        <w:t> </w:t>
      </w:r>
      <w:r>
        <w:rPr>
          <w:sz w:val="22"/>
        </w:rPr>
        <w:t>electricity</w:t>
      </w:r>
      <w:r>
        <w:rPr>
          <w:spacing w:val="-7"/>
          <w:sz w:val="22"/>
        </w:rPr>
        <w:t> </w:t>
      </w:r>
      <w:r>
        <w:rPr>
          <w:sz w:val="22"/>
        </w:rPr>
        <w:t>and</w:t>
      </w:r>
      <w:r>
        <w:rPr>
          <w:spacing w:val="-6"/>
          <w:sz w:val="22"/>
        </w:rPr>
        <w:t> </w:t>
      </w:r>
      <w:r>
        <w:rPr>
          <w:sz w:val="22"/>
        </w:rPr>
        <w:t>gas</w:t>
      </w:r>
      <w:r>
        <w:rPr>
          <w:spacing w:val="-4"/>
          <w:sz w:val="22"/>
        </w:rPr>
        <w:t> </w:t>
      </w:r>
      <w:r>
        <w:rPr>
          <w:sz w:val="22"/>
        </w:rPr>
        <w:t>networks</w:t>
      </w:r>
      <w:r>
        <w:rPr>
          <w:spacing w:val="-6"/>
          <w:sz w:val="22"/>
        </w:rPr>
        <w:t> </w:t>
      </w:r>
      <w:r>
        <w:rPr>
          <w:sz w:val="22"/>
        </w:rPr>
        <w:t>becoming</w:t>
      </w:r>
      <w:r>
        <w:rPr>
          <w:spacing w:val="-4"/>
          <w:sz w:val="22"/>
        </w:rPr>
        <w:t> </w:t>
      </w:r>
      <w:r>
        <w:rPr>
          <w:sz w:val="22"/>
        </w:rPr>
        <w:t>more</w:t>
      </w:r>
      <w:r>
        <w:rPr>
          <w:spacing w:val="-6"/>
          <w:sz w:val="22"/>
        </w:rPr>
        <w:t> </w:t>
      </w:r>
      <w:r>
        <w:rPr>
          <w:sz w:val="22"/>
        </w:rPr>
        <w:t>or</w:t>
      </w:r>
      <w:r>
        <w:rPr>
          <w:spacing w:val="-5"/>
          <w:sz w:val="22"/>
        </w:rPr>
        <w:t> </w:t>
      </w:r>
      <w:r>
        <w:rPr>
          <w:sz w:val="22"/>
        </w:rPr>
        <w:t>less</w:t>
      </w:r>
      <w:r>
        <w:rPr>
          <w:spacing w:val="-6"/>
          <w:sz w:val="22"/>
        </w:rPr>
        <w:t> </w:t>
      </w:r>
      <w:r>
        <w:rPr>
          <w:sz w:val="22"/>
        </w:rPr>
        <w:t>risky</w:t>
      </w:r>
      <w:r>
        <w:rPr>
          <w:spacing w:val="-6"/>
          <w:sz w:val="22"/>
        </w:rPr>
        <w:t> </w:t>
      </w:r>
      <w:r>
        <w:rPr>
          <w:sz w:val="22"/>
        </w:rPr>
        <w:t>over</w:t>
      </w:r>
      <w:r>
        <w:rPr>
          <w:spacing w:val="-4"/>
          <w:sz w:val="22"/>
        </w:rPr>
        <w:t> </w:t>
      </w:r>
      <w:r>
        <w:rPr>
          <w:spacing w:val="-2"/>
          <w:sz w:val="22"/>
        </w:rPr>
        <w:t>time?</w:t>
      </w:r>
    </w:p>
    <w:p>
      <w:pPr>
        <w:pStyle w:val="ListParagraph"/>
        <w:numPr>
          <w:ilvl w:val="0"/>
          <w:numId w:val="45"/>
        </w:numPr>
        <w:tabs>
          <w:tab w:pos="957" w:val="left" w:leader="none"/>
        </w:tabs>
        <w:spacing w:line="240" w:lineRule="auto" w:before="66" w:after="0"/>
        <w:ind w:left="957" w:right="0" w:hanging="357"/>
        <w:jc w:val="left"/>
        <w:rPr>
          <w:sz w:val="22"/>
        </w:rPr>
      </w:pPr>
      <w:r>
        <w:rPr>
          <w:sz w:val="22"/>
        </w:rPr>
        <w:t>Is</w:t>
      </w:r>
      <w:r>
        <w:rPr>
          <w:spacing w:val="-9"/>
          <w:sz w:val="22"/>
        </w:rPr>
        <w:t> </w:t>
      </w:r>
      <w:r>
        <w:rPr>
          <w:sz w:val="22"/>
        </w:rPr>
        <w:t>the</w:t>
      </w:r>
      <w:r>
        <w:rPr>
          <w:spacing w:val="-6"/>
          <w:sz w:val="22"/>
        </w:rPr>
        <w:t> </w:t>
      </w:r>
      <w:r>
        <w:rPr>
          <w:sz w:val="22"/>
        </w:rPr>
        <w:t>management</w:t>
      </w:r>
      <w:r>
        <w:rPr>
          <w:spacing w:val="-6"/>
          <w:sz w:val="22"/>
        </w:rPr>
        <w:t> </w:t>
      </w:r>
      <w:r>
        <w:rPr>
          <w:sz w:val="22"/>
        </w:rPr>
        <w:t>of</w:t>
      </w:r>
      <w:r>
        <w:rPr>
          <w:spacing w:val="-2"/>
          <w:sz w:val="22"/>
        </w:rPr>
        <w:t> </w:t>
      </w:r>
      <w:r>
        <w:rPr>
          <w:sz w:val="22"/>
        </w:rPr>
        <w:t>bushfire</w:t>
      </w:r>
      <w:r>
        <w:rPr>
          <w:spacing w:val="-7"/>
          <w:sz w:val="22"/>
        </w:rPr>
        <w:t> </w:t>
      </w:r>
      <w:r>
        <w:rPr>
          <w:sz w:val="22"/>
        </w:rPr>
        <w:t>risks,</w:t>
      </w:r>
      <w:r>
        <w:rPr>
          <w:spacing w:val="-5"/>
          <w:sz w:val="22"/>
        </w:rPr>
        <w:t> </w:t>
      </w:r>
      <w:r>
        <w:rPr>
          <w:sz w:val="22"/>
        </w:rPr>
        <w:t>in</w:t>
      </w:r>
      <w:r>
        <w:rPr>
          <w:spacing w:val="-5"/>
          <w:sz w:val="22"/>
        </w:rPr>
        <w:t> </w:t>
      </w:r>
      <w:r>
        <w:rPr>
          <w:sz w:val="22"/>
        </w:rPr>
        <w:t>particular,</w:t>
      </w:r>
      <w:r>
        <w:rPr>
          <w:spacing w:val="-5"/>
          <w:sz w:val="22"/>
        </w:rPr>
        <w:t> </w:t>
      </w:r>
      <w:r>
        <w:rPr>
          <w:sz w:val="22"/>
        </w:rPr>
        <w:t>improving</w:t>
      </w:r>
      <w:r>
        <w:rPr>
          <w:spacing w:val="-3"/>
          <w:sz w:val="22"/>
        </w:rPr>
        <w:t> </w:t>
      </w:r>
      <w:r>
        <w:rPr>
          <w:sz w:val="22"/>
        </w:rPr>
        <w:t>or</w:t>
      </w:r>
      <w:r>
        <w:rPr>
          <w:spacing w:val="-3"/>
          <w:sz w:val="22"/>
        </w:rPr>
        <w:t> </w:t>
      </w:r>
      <w:r>
        <w:rPr>
          <w:spacing w:val="-2"/>
          <w:sz w:val="22"/>
        </w:rPr>
        <w:t>deteriorating?</w:t>
      </w:r>
    </w:p>
    <w:p>
      <w:pPr>
        <w:pStyle w:val="ListParagraph"/>
        <w:numPr>
          <w:ilvl w:val="0"/>
          <w:numId w:val="45"/>
        </w:numPr>
        <w:tabs>
          <w:tab w:pos="958" w:val="left" w:leader="none"/>
        </w:tabs>
        <w:spacing w:line="288" w:lineRule="auto" w:before="64" w:after="0"/>
        <w:ind w:left="958" w:right="1304" w:hanging="358"/>
        <w:jc w:val="left"/>
        <w:rPr>
          <w:sz w:val="22"/>
        </w:rPr>
      </w:pPr>
      <w:r>
        <w:rPr>
          <w:sz w:val="22"/>
        </w:rPr>
        <w:t>How</w:t>
      </w:r>
      <w:r>
        <w:rPr>
          <w:spacing w:val="-5"/>
          <w:sz w:val="22"/>
        </w:rPr>
        <w:t> </w:t>
      </w:r>
      <w:r>
        <w:rPr>
          <w:sz w:val="22"/>
        </w:rPr>
        <w:t>can</w:t>
      </w:r>
      <w:r>
        <w:rPr>
          <w:spacing w:val="-2"/>
          <w:sz w:val="22"/>
        </w:rPr>
        <w:t> </w:t>
      </w:r>
      <w:r>
        <w:rPr>
          <w:sz w:val="22"/>
        </w:rPr>
        <w:t>the</w:t>
      </w:r>
      <w:r>
        <w:rPr>
          <w:spacing w:val="-2"/>
          <w:sz w:val="22"/>
        </w:rPr>
        <w:t> </w:t>
      </w:r>
      <w:r>
        <w:rPr>
          <w:sz w:val="22"/>
        </w:rPr>
        <w:t>community</w:t>
      </w:r>
      <w:r>
        <w:rPr>
          <w:spacing w:val="-4"/>
          <w:sz w:val="22"/>
        </w:rPr>
        <w:t> </w:t>
      </w:r>
      <w:r>
        <w:rPr>
          <w:sz w:val="22"/>
        </w:rPr>
        <w:t>be</w:t>
      </w:r>
      <w:r>
        <w:rPr>
          <w:spacing w:val="-2"/>
          <w:sz w:val="22"/>
        </w:rPr>
        <w:t> </w:t>
      </w:r>
      <w:r>
        <w:rPr>
          <w:sz w:val="22"/>
        </w:rPr>
        <w:t>assured</w:t>
      </w:r>
      <w:r>
        <w:rPr>
          <w:spacing w:val="-4"/>
          <w:sz w:val="22"/>
        </w:rPr>
        <w:t> </w:t>
      </w:r>
      <w:r>
        <w:rPr>
          <w:sz w:val="22"/>
        </w:rPr>
        <w:t>that</w:t>
      </w:r>
      <w:r>
        <w:rPr>
          <w:spacing w:val="-3"/>
          <w:sz w:val="22"/>
        </w:rPr>
        <w:t> </w:t>
      </w:r>
      <w:r>
        <w:rPr>
          <w:sz w:val="22"/>
        </w:rPr>
        <w:t>ESV</w:t>
      </w:r>
      <w:r>
        <w:rPr>
          <w:spacing w:val="-2"/>
          <w:sz w:val="22"/>
        </w:rPr>
        <w:t> </w:t>
      </w:r>
      <w:r>
        <w:rPr>
          <w:sz w:val="22"/>
        </w:rPr>
        <w:t>is</w:t>
      </w:r>
      <w:r>
        <w:rPr>
          <w:spacing w:val="-4"/>
          <w:sz w:val="22"/>
        </w:rPr>
        <w:t> </w:t>
      </w:r>
      <w:r>
        <w:rPr>
          <w:sz w:val="22"/>
        </w:rPr>
        <w:t>targeting its</w:t>
      </w:r>
      <w:r>
        <w:rPr>
          <w:spacing w:val="-1"/>
          <w:sz w:val="22"/>
        </w:rPr>
        <w:t> </w:t>
      </w:r>
      <w:r>
        <w:rPr>
          <w:sz w:val="22"/>
        </w:rPr>
        <w:t>efforts</w:t>
      </w:r>
      <w:r>
        <w:rPr>
          <w:spacing w:val="-4"/>
          <w:sz w:val="22"/>
        </w:rPr>
        <w:t> </w:t>
      </w:r>
      <w:r>
        <w:rPr>
          <w:sz w:val="22"/>
        </w:rPr>
        <w:t>to</w:t>
      </w:r>
      <w:r>
        <w:rPr>
          <w:spacing w:val="-4"/>
          <w:sz w:val="22"/>
        </w:rPr>
        <w:t> </w:t>
      </w:r>
      <w:r>
        <w:rPr>
          <w:sz w:val="22"/>
        </w:rPr>
        <w:t>the</w:t>
      </w:r>
      <w:r>
        <w:rPr>
          <w:spacing w:val="-4"/>
          <w:sz w:val="22"/>
        </w:rPr>
        <w:t> </w:t>
      </w:r>
      <w:r>
        <w:rPr>
          <w:sz w:val="22"/>
        </w:rPr>
        <w:t>areas</w:t>
      </w:r>
      <w:r>
        <w:rPr>
          <w:spacing w:val="-2"/>
          <w:sz w:val="22"/>
        </w:rPr>
        <w:t> </w:t>
      </w:r>
      <w:r>
        <w:rPr>
          <w:sz w:val="22"/>
        </w:rPr>
        <w:t>of greatest risk?</w:t>
      </w:r>
    </w:p>
    <w:p>
      <w:pPr>
        <w:pStyle w:val="BodyText"/>
        <w:spacing w:before="8"/>
        <w:rPr>
          <w:sz w:val="20"/>
        </w:rPr>
      </w:pPr>
    </w:p>
    <w:p>
      <w:pPr>
        <w:pStyle w:val="BodyText"/>
        <w:spacing w:line="288" w:lineRule="auto"/>
        <w:ind w:left="600" w:right="713"/>
      </w:pPr>
      <w:r>
        <w:rPr/>
        <w:t>To</w:t>
      </w:r>
      <w:r>
        <w:rPr>
          <w:spacing w:val="-4"/>
        </w:rPr>
        <w:t> </w:t>
      </w:r>
      <w:r>
        <w:rPr/>
        <w:t>assist</w:t>
      </w:r>
      <w:r>
        <w:rPr>
          <w:spacing w:val="-3"/>
        </w:rPr>
        <w:t> </w:t>
      </w:r>
      <w:r>
        <w:rPr/>
        <w:t>the</w:t>
      </w:r>
      <w:r>
        <w:rPr>
          <w:spacing w:val="-4"/>
        </w:rPr>
        <w:t> </w:t>
      </w:r>
      <w:r>
        <w:rPr/>
        <w:t>Review</w:t>
      </w:r>
      <w:r>
        <w:rPr>
          <w:spacing w:val="-5"/>
        </w:rPr>
        <w:t> </w:t>
      </w:r>
      <w:r>
        <w:rPr/>
        <w:t>to</w:t>
      </w:r>
      <w:r>
        <w:rPr>
          <w:spacing w:val="-4"/>
        </w:rPr>
        <w:t> </w:t>
      </w:r>
      <w:r>
        <w:rPr/>
        <w:t>understand</w:t>
      </w:r>
      <w:r>
        <w:rPr>
          <w:spacing w:val="-4"/>
        </w:rPr>
        <w:t> </w:t>
      </w:r>
      <w:r>
        <w:rPr/>
        <w:t>how</w:t>
      </w:r>
      <w:r>
        <w:rPr>
          <w:spacing w:val="-5"/>
        </w:rPr>
        <w:t> </w:t>
      </w:r>
      <w:r>
        <w:rPr/>
        <w:t>well</w:t>
      </w:r>
      <w:r>
        <w:rPr>
          <w:spacing w:val="-2"/>
        </w:rPr>
        <w:t> </w:t>
      </w:r>
      <w:r>
        <w:rPr/>
        <w:t>ESV</w:t>
      </w:r>
      <w:r>
        <w:rPr>
          <w:spacing w:val="-2"/>
        </w:rPr>
        <w:t> </w:t>
      </w:r>
      <w:r>
        <w:rPr/>
        <w:t>is</w:t>
      </w:r>
      <w:r>
        <w:rPr>
          <w:spacing w:val="-1"/>
        </w:rPr>
        <w:t> </w:t>
      </w:r>
      <w:r>
        <w:rPr/>
        <w:t>currently</w:t>
      </w:r>
      <w:r>
        <w:rPr>
          <w:spacing w:val="-4"/>
        </w:rPr>
        <w:t> </w:t>
      </w:r>
      <w:r>
        <w:rPr/>
        <w:t>positioned</w:t>
      </w:r>
      <w:r>
        <w:rPr>
          <w:spacing w:val="-4"/>
        </w:rPr>
        <w:t> </w:t>
      </w:r>
      <w:r>
        <w:rPr/>
        <w:t>to</w:t>
      </w:r>
      <w:r>
        <w:rPr>
          <w:spacing w:val="-2"/>
        </w:rPr>
        <w:t> </w:t>
      </w:r>
      <w:r>
        <w:rPr/>
        <w:t>answer</w:t>
      </w:r>
      <w:r>
        <w:rPr>
          <w:spacing w:val="-1"/>
        </w:rPr>
        <w:t> </w:t>
      </w:r>
      <w:r>
        <w:rPr/>
        <w:t>some</w:t>
      </w:r>
      <w:r>
        <w:rPr>
          <w:spacing w:val="-2"/>
        </w:rPr>
        <w:t> </w:t>
      </w:r>
      <w:r>
        <w:rPr/>
        <w:t>of these questions, a team expert in the use of data to evaluate risks, particularly in natural environments, at the University of Melbourne was commissioned to provide a report on ESV’s safety incident data.</w:t>
      </w:r>
    </w:p>
    <w:p>
      <w:pPr>
        <w:pStyle w:val="BodyText"/>
        <w:spacing w:before="10"/>
        <w:rPr>
          <w:sz w:val="20"/>
        </w:rPr>
      </w:pPr>
    </w:p>
    <w:p>
      <w:pPr>
        <w:pStyle w:val="BodyText"/>
        <w:spacing w:line="288" w:lineRule="auto"/>
        <w:ind w:left="600" w:right="586"/>
      </w:pPr>
      <w:r>
        <w:rPr/>
        <w:t>The assessment found that ESV was headed in a “fruitful direction” with work to improve its data</w:t>
      </w:r>
      <w:r>
        <w:rPr>
          <w:spacing w:val="-2"/>
        </w:rPr>
        <w:t> </w:t>
      </w:r>
      <w:r>
        <w:rPr/>
        <w:t>capture</w:t>
      </w:r>
      <w:r>
        <w:rPr>
          <w:spacing w:val="-4"/>
        </w:rPr>
        <w:t> </w:t>
      </w:r>
      <w:r>
        <w:rPr/>
        <w:t>and</w:t>
      </w:r>
      <w:r>
        <w:rPr>
          <w:spacing w:val="-2"/>
        </w:rPr>
        <w:t> </w:t>
      </w:r>
      <w:r>
        <w:rPr/>
        <w:t>analysis, and</w:t>
      </w:r>
      <w:r>
        <w:rPr>
          <w:spacing w:val="-4"/>
        </w:rPr>
        <w:t> </w:t>
      </w:r>
      <w:r>
        <w:rPr/>
        <w:t>develop</w:t>
      </w:r>
      <w:r>
        <w:rPr>
          <w:spacing w:val="-2"/>
        </w:rPr>
        <w:t> </w:t>
      </w:r>
      <w:r>
        <w:rPr/>
        <w:t>productive</w:t>
      </w:r>
      <w:r>
        <w:rPr>
          <w:spacing w:val="-2"/>
        </w:rPr>
        <w:t> </w:t>
      </w:r>
      <w:r>
        <w:rPr/>
        <w:t>partnerships</w:t>
      </w:r>
      <w:r>
        <w:rPr>
          <w:spacing w:val="-4"/>
        </w:rPr>
        <w:t> </w:t>
      </w:r>
      <w:r>
        <w:rPr/>
        <w:t>with</w:t>
      </w:r>
      <w:r>
        <w:rPr>
          <w:spacing w:val="-2"/>
        </w:rPr>
        <w:t> </w:t>
      </w:r>
      <w:r>
        <w:rPr/>
        <w:t>third</w:t>
      </w:r>
      <w:r>
        <w:rPr>
          <w:spacing w:val="-4"/>
        </w:rPr>
        <w:t> </w:t>
      </w:r>
      <w:r>
        <w:rPr/>
        <w:t>parties</w:t>
      </w:r>
      <w:r>
        <w:rPr>
          <w:spacing w:val="-4"/>
        </w:rPr>
        <w:t> </w:t>
      </w:r>
      <w:r>
        <w:rPr/>
        <w:t>such</w:t>
      </w:r>
      <w:r>
        <w:rPr>
          <w:spacing w:val="-2"/>
        </w:rPr>
        <w:t> </w:t>
      </w:r>
      <w:r>
        <w:rPr/>
        <w:t>as</w:t>
      </w:r>
      <w:r>
        <w:rPr>
          <w:spacing w:val="-4"/>
        </w:rPr>
        <w:t> </w:t>
      </w:r>
      <w:r>
        <w:rPr/>
        <w:t>the CSIRO, but was still in a development phase (Robinson &amp; Lane, 2017).</w:t>
      </w:r>
    </w:p>
    <w:p>
      <w:pPr>
        <w:pStyle w:val="BodyText"/>
        <w:rPr>
          <w:sz w:val="21"/>
        </w:rPr>
      </w:pPr>
    </w:p>
    <w:p>
      <w:pPr>
        <w:pStyle w:val="BodyText"/>
        <w:spacing w:line="288" w:lineRule="auto"/>
        <w:ind w:left="600" w:right="586"/>
      </w:pPr>
      <w:r>
        <w:rPr/>
        <w:t>The</w:t>
      </w:r>
      <w:r>
        <w:rPr>
          <w:spacing w:val="-7"/>
        </w:rPr>
        <w:t> </w:t>
      </w:r>
      <w:r>
        <w:rPr/>
        <w:t>focus</w:t>
      </w:r>
      <w:r>
        <w:rPr>
          <w:spacing w:val="-6"/>
        </w:rPr>
        <w:t> </w:t>
      </w:r>
      <w:r>
        <w:rPr/>
        <w:t>that</w:t>
      </w:r>
      <w:r>
        <w:rPr>
          <w:spacing w:val="-3"/>
        </w:rPr>
        <w:t> </w:t>
      </w:r>
      <w:r>
        <w:rPr/>
        <w:t>ESV</w:t>
      </w:r>
      <w:r>
        <w:rPr>
          <w:spacing w:val="-2"/>
        </w:rPr>
        <w:t> </w:t>
      </w:r>
      <w:r>
        <w:rPr/>
        <w:t>is</w:t>
      </w:r>
      <w:r>
        <w:rPr>
          <w:spacing w:val="-1"/>
        </w:rPr>
        <w:t> </w:t>
      </w:r>
      <w:r>
        <w:rPr/>
        <w:t>now</w:t>
      </w:r>
      <w:r>
        <w:rPr>
          <w:spacing w:val="-5"/>
        </w:rPr>
        <w:t> </w:t>
      </w:r>
      <w:r>
        <w:rPr/>
        <w:t>placing on</w:t>
      </w:r>
      <w:r>
        <w:rPr>
          <w:spacing w:val="-2"/>
        </w:rPr>
        <w:t> </w:t>
      </w:r>
      <w:r>
        <w:rPr/>
        <w:t>improving its</w:t>
      </w:r>
      <w:r>
        <w:rPr>
          <w:spacing w:val="-1"/>
        </w:rPr>
        <w:t> </w:t>
      </w:r>
      <w:r>
        <w:rPr/>
        <w:t>data</w:t>
      </w:r>
      <w:r>
        <w:rPr>
          <w:spacing w:val="-4"/>
        </w:rPr>
        <w:t> </w:t>
      </w:r>
      <w:r>
        <w:rPr/>
        <w:t>analytics</w:t>
      </w:r>
      <w:r>
        <w:rPr>
          <w:spacing w:val="-1"/>
        </w:rPr>
        <w:t> </w:t>
      </w:r>
      <w:r>
        <w:rPr/>
        <w:t>capabilities</w:t>
      </w:r>
      <w:r>
        <w:rPr>
          <w:spacing w:val="-2"/>
        </w:rPr>
        <w:t> </w:t>
      </w:r>
      <w:r>
        <w:rPr/>
        <w:t>is</w:t>
      </w:r>
      <w:r>
        <w:rPr>
          <w:spacing w:val="-2"/>
        </w:rPr>
        <w:t> </w:t>
      </w:r>
      <w:r>
        <w:rPr/>
        <w:t>encouraging and is supported by the Review. However, close attention needs to be given to ensure that ESV moves decisively now from a development phase to a mature capability.</w:t>
      </w:r>
    </w:p>
    <w:p>
      <w:pPr>
        <w:pStyle w:val="BodyText"/>
        <w:spacing w:before="9"/>
        <w:rPr>
          <w:sz w:val="20"/>
        </w:rPr>
      </w:pPr>
    </w:p>
    <w:p>
      <w:pPr>
        <w:pStyle w:val="BodyText"/>
        <w:spacing w:line="288" w:lineRule="auto"/>
        <w:ind w:left="600" w:right="713"/>
      </w:pPr>
      <w:r>
        <w:rPr/>
        <w:t>Strengthened project planning and robust accountability mechanisms would assist in ensuring ESV makes the necessary progress. The nomination of “data collection, analysis and reporting” as one of the highest critical success factors nominated in ESV’s </w:t>
      </w:r>
      <w:r>
        <w:rPr>
          <w:i/>
        </w:rPr>
        <w:t>Corporate Plan</w:t>
      </w:r>
      <w:r>
        <w:rPr>
          <w:i/>
          <w:spacing w:val="-8"/>
        </w:rPr>
        <w:t> </w:t>
      </w:r>
      <w:r>
        <w:rPr>
          <w:i/>
        </w:rPr>
        <w:t>2017–2020</w:t>
      </w:r>
      <w:r>
        <w:rPr>
          <w:i/>
          <w:spacing w:val="-5"/>
        </w:rPr>
        <w:t> </w:t>
      </w:r>
      <w:r>
        <w:rPr/>
        <w:t>provides</w:t>
      </w:r>
      <w:r>
        <w:rPr>
          <w:spacing w:val="-5"/>
        </w:rPr>
        <w:t> </w:t>
      </w:r>
      <w:r>
        <w:rPr/>
        <w:t>an</w:t>
      </w:r>
      <w:r>
        <w:rPr>
          <w:spacing w:val="-5"/>
        </w:rPr>
        <w:t> </w:t>
      </w:r>
      <w:r>
        <w:rPr/>
        <w:t>indication</w:t>
      </w:r>
      <w:r>
        <w:rPr>
          <w:spacing w:val="-5"/>
        </w:rPr>
        <w:t> </w:t>
      </w:r>
      <w:r>
        <w:rPr/>
        <w:t>of</w:t>
      </w:r>
      <w:r>
        <w:rPr>
          <w:spacing w:val="-4"/>
        </w:rPr>
        <w:t> </w:t>
      </w:r>
      <w:r>
        <w:rPr/>
        <w:t>ESV’s</w:t>
      </w:r>
      <w:r>
        <w:rPr>
          <w:spacing w:val="-7"/>
        </w:rPr>
        <w:t> </w:t>
      </w:r>
      <w:r>
        <w:rPr/>
        <w:t>recognition</w:t>
      </w:r>
      <w:r>
        <w:rPr>
          <w:spacing w:val="-7"/>
        </w:rPr>
        <w:t> </w:t>
      </w:r>
      <w:r>
        <w:rPr/>
        <w:t>of</w:t>
      </w:r>
      <w:r>
        <w:rPr>
          <w:spacing w:val="-3"/>
        </w:rPr>
        <w:t> </w:t>
      </w:r>
      <w:r>
        <w:rPr/>
        <w:t>the</w:t>
      </w:r>
      <w:r>
        <w:rPr>
          <w:spacing w:val="-8"/>
        </w:rPr>
        <w:t> </w:t>
      </w:r>
      <w:r>
        <w:rPr/>
        <w:t>importance</w:t>
      </w:r>
      <w:r>
        <w:rPr>
          <w:spacing w:val="-5"/>
        </w:rPr>
        <w:t> </w:t>
      </w:r>
      <w:r>
        <w:rPr/>
        <w:t>of</w:t>
      </w:r>
      <w:r>
        <w:rPr>
          <w:spacing w:val="-3"/>
        </w:rPr>
        <w:t> </w:t>
      </w:r>
      <w:r>
        <w:rPr/>
        <w:t>this</w:t>
      </w:r>
      <w:r>
        <w:rPr>
          <w:spacing w:val="-7"/>
        </w:rPr>
        <w:t> </w:t>
      </w:r>
      <w:r>
        <w:rPr>
          <w:spacing w:val="-2"/>
        </w:rPr>
        <w:t>work.</w:t>
      </w:r>
    </w:p>
    <w:p>
      <w:pPr>
        <w:pStyle w:val="BodyText"/>
        <w:spacing w:before="10"/>
        <w:rPr>
          <w:sz w:val="20"/>
        </w:rPr>
      </w:pPr>
    </w:p>
    <w:p>
      <w:pPr>
        <w:pStyle w:val="BodyText"/>
        <w:spacing w:line="288" w:lineRule="auto"/>
        <w:ind w:left="600" w:right="586"/>
      </w:pPr>
      <w:r>
        <w:rPr/>
        <w:t>In</w:t>
      </w:r>
      <w:r>
        <w:rPr>
          <w:spacing w:val="-4"/>
        </w:rPr>
        <w:t> </w:t>
      </w:r>
      <w:r>
        <w:rPr/>
        <w:t>the</w:t>
      </w:r>
      <w:r>
        <w:rPr>
          <w:spacing w:val="-4"/>
        </w:rPr>
        <w:t> </w:t>
      </w:r>
      <w:r>
        <w:rPr/>
        <w:t>meantime,</w:t>
      </w:r>
      <w:r>
        <w:rPr>
          <w:spacing w:val="-3"/>
        </w:rPr>
        <w:t> </w:t>
      </w:r>
      <w:r>
        <w:rPr/>
        <w:t>important</w:t>
      </w:r>
      <w:r>
        <w:rPr>
          <w:spacing w:val="-1"/>
        </w:rPr>
        <w:t> </w:t>
      </w:r>
      <w:r>
        <w:rPr/>
        <w:t>initial</w:t>
      </w:r>
      <w:r>
        <w:rPr>
          <w:spacing w:val="-3"/>
        </w:rPr>
        <w:t> </w:t>
      </w:r>
      <w:r>
        <w:rPr/>
        <w:t>steps</w:t>
      </w:r>
      <w:r>
        <w:rPr>
          <w:spacing w:val="-1"/>
        </w:rPr>
        <w:t> </w:t>
      </w:r>
      <w:r>
        <w:rPr/>
        <w:t>have</w:t>
      </w:r>
      <w:r>
        <w:rPr>
          <w:spacing w:val="-2"/>
        </w:rPr>
        <w:t> </w:t>
      </w:r>
      <w:r>
        <w:rPr/>
        <w:t>been</w:t>
      </w:r>
      <w:r>
        <w:rPr>
          <w:spacing w:val="-5"/>
        </w:rPr>
        <w:t> </w:t>
      </w:r>
      <w:r>
        <w:rPr/>
        <w:t>made</w:t>
      </w:r>
      <w:r>
        <w:rPr>
          <w:spacing w:val="-4"/>
        </w:rPr>
        <w:t> </w:t>
      </w:r>
      <w:r>
        <w:rPr/>
        <w:t>with</w:t>
      </w:r>
      <w:r>
        <w:rPr>
          <w:spacing w:val="-2"/>
        </w:rPr>
        <w:t> </w:t>
      </w:r>
      <w:r>
        <w:rPr/>
        <w:t>the</w:t>
      </w:r>
      <w:r>
        <w:rPr>
          <w:spacing w:val="-2"/>
        </w:rPr>
        <w:t> </w:t>
      </w:r>
      <w:r>
        <w:rPr/>
        <w:t>development of</w:t>
      </w:r>
      <w:r>
        <w:rPr>
          <w:spacing w:val="-3"/>
        </w:rPr>
        <w:t> </w:t>
      </w:r>
      <w:r>
        <w:rPr/>
        <w:t>the</w:t>
      </w:r>
      <w:r>
        <w:rPr>
          <w:spacing w:val="-2"/>
        </w:rPr>
        <w:t> </w:t>
      </w:r>
      <w:r>
        <w:rPr/>
        <w:t>online web portal for capturing data on incidents within the electricity networks (OSIRIS) that enables electricity distributors to directly report incidents online.</w:t>
      </w:r>
    </w:p>
    <w:p>
      <w:pPr>
        <w:pStyle w:val="BodyText"/>
        <w:rPr>
          <w:sz w:val="21"/>
        </w:rPr>
      </w:pPr>
    </w:p>
    <w:p>
      <w:pPr>
        <w:pStyle w:val="BodyText"/>
        <w:spacing w:line="288" w:lineRule="auto"/>
        <w:ind w:left="600" w:right="586"/>
      </w:pPr>
      <w:r>
        <w:rPr/>
        <w:t>The</w:t>
      </w:r>
      <w:r>
        <w:rPr>
          <w:spacing w:val="-4"/>
        </w:rPr>
        <w:t> </w:t>
      </w:r>
      <w:r>
        <w:rPr/>
        <w:t>roll-out</w:t>
      </w:r>
      <w:r>
        <w:rPr>
          <w:spacing w:val="-3"/>
        </w:rPr>
        <w:t> </w:t>
      </w:r>
      <w:r>
        <w:rPr/>
        <w:t>of</w:t>
      </w:r>
      <w:r>
        <w:rPr>
          <w:spacing w:val="-3"/>
        </w:rPr>
        <w:t> </w:t>
      </w:r>
      <w:r>
        <w:rPr/>
        <w:t>OSIRIS</w:t>
      </w:r>
      <w:r>
        <w:rPr>
          <w:spacing w:val="-5"/>
        </w:rPr>
        <w:t> </w:t>
      </w:r>
      <w:r>
        <w:rPr/>
        <w:t>in</w:t>
      </w:r>
      <w:r>
        <w:rPr>
          <w:spacing w:val="-2"/>
        </w:rPr>
        <w:t> </w:t>
      </w:r>
      <w:r>
        <w:rPr/>
        <w:t>2015</w:t>
      </w:r>
      <w:r>
        <w:rPr>
          <w:spacing w:val="-4"/>
        </w:rPr>
        <w:t> </w:t>
      </w:r>
      <w:r>
        <w:rPr/>
        <w:t>facilitated</w:t>
      </w:r>
      <w:r>
        <w:rPr>
          <w:spacing w:val="-4"/>
        </w:rPr>
        <w:t> </w:t>
      </w:r>
      <w:r>
        <w:rPr/>
        <w:t>the</w:t>
      </w:r>
      <w:r>
        <w:rPr>
          <w:spacing w:val="-4"/>
        </w:rPr>
        <w:t> </w:t>
      </w:r>
      <w:r>
        <w:rPr/>
        <w:t>collection</w:t>
      </w:r>
      <w:r>
        <w:rPr>
          <w:spacing w:val="-2"/>
        </w:rPr>
        <w:t> </w:t>
      </w:r>
      <w:r>
        <w:rPr/>
        <w:t>of data</w:t>
      </w:r>
      <w:r>
        <w:rPr>
          <w:spacing w:val="-2"/>
        </w:rPr>
        <w:t> </w:t>
      </w:r>
      <w:r>
        <w:rPr/>
        <w:t>in</w:t>
      </w:r>
      <w:r>
        <w:rPr>
          <w:spacing w:val="-2"/>
        </w:rPr>
        <w:t> </w:t>
      </w:r>
      <w:r>
        <w:rPr/>
        <w:t>a</w:t>
      </w:r>
      <w:r>
        <w:rPr>
          <w:spacing w:val="-4"/>
        </w:rPr>
        <w:t> </w:t>
      </w:r>
      <w:r>
        <w:rPr/>
        <w:t>more</w:t>
      </w:r>
      <w:r>
        <w:rPr>
          <w:spacing w:val="-4"/>
        </w:rPr>
        <w:t> </w:t>
      </w:r>
      <w:r>
        <w:rPr/>
        <w:t>consistent</w:t>
      </w:r>
      <w:r>
        <w:rPr>
          <w:spacing w:val="-3"/>
        </w:rPr>
        <w:t> </w:t>
      </w:r>
      <w:r>
        <w:rPr/>
        <w:t>manner across the electricity network by making it clear which fields are mandatory and using common terminology to describe incidents.</w:t>
      </w:r>
    </w:p>
    <w:p>
      <w:pPr>
        <w:pStyle w:val="BodyText"/>
        <w:spacing w:before="9"/>
        <w:rPr>
          <w:sz w:val="20"/>
        </w:rPr>
      </w:pPr>
    </w:p>
    <w:p>
      <w:pPr>
        <w:pStyle w:val="BodyText"/>
        <w:spacing w:line="288" w:lineRule="auto" w:before="1"/>
        <w:ind w:left="600" w:right="713"/>
      </w:pPr>
      <w:r>
        <w:rPr/>
        <w:t>OSIRIS</w:t>
      </w:r>
      <w:r>
        <w:rPr>
          <w:spacing w:val="-8"/>
        </w:rPr>
        <w:t> </w:t>
      </w:r>
      <w:r>
        <w:rPr/>
        <w:t>feeds</w:t>
      </w:r>
      <w:r>
        <w:rPr>
          <w:spacing w:val="-2"/>
        </w:rPr>
        <w:t> </w:t>
      </w:r>
      <w:r>
        <w:rPr/>
        <w:t>directly</w:t>
      </w:r>
      <w:r>
        <w:rPr>
          <w:spacing w:val="-5"/>
        </w:rPr>
        <w:t> </w:t>
      </w:r>
      <w:r>
        <w:rPr/>
        <w:t>into</w:t>
      </w:r>
      <w:r>
        <w:rPr>
          <w:spacing w:val="-2"/>
        </w:rPr>
        <w:t> </w:t>
      </w:r>
      <w:r>
        <w:rPr/>
        <w:t>the</w:t>
      </w:r>
      <w:r>
        <w:rPr>
          <w:spacing w:val="-5"/>
        </w:rPr>
        <w:t> </w:t>
      </w:r>
      <w:r>
        <w:rPr/>
        <w:t>data</w:t>
      </w:r>
      <w:r>
        <w:rPr>
          <w:spacing w:val="-5"/>
        </w:rPr>
        <w:t> </w:t>
      </w:r>
      <w:r>
        <w:rPr/>
        <w:t>analysis</w:t>
      </w:r>
      <w:r>
        <w:rPr>
          <w:spacing w:val="-2"/>
        </w:rPr>
        <w:t> </w:t>
      </w:r>
      <w:r>
        <w:rPr/>
        <w:t>engine</w:t>
      </w:r>
      <w:r>
        <w:rPr>
          <w:spacing w:val="-3"/>
        </w:rPr>
        <w:t> </w:t>
      </w:r>
      <w:r>
        <w:rPr/>
        <w:t>“Conduit”,</w:t>
      </w:r>
      <w:r>
        <w:rPr>
          <w:spacing w:val="-4"/>
        </w:rPr>
        <w:t> </w:t>
      </w:r>
      <w:r>
        <w:rPr/>
        <w:t>which</w:t>
      </w:r>
      <w:r>
        <w:rPr>
          <w:spacing w:val="-3"/>
        </w:rPr>
        <w:t> </w:t>
      </w:r>
      <w:r>
        <w:rPr/>
        <w:t>provides</w:t>
      </w:r>
      <w:r>
        <w:rPr>
          <w:spacing w:val="-3"/>
        </w:rPr>
        <w:t> </w:t>
      </w:r>
      <w:r>
        <w:rPr/>
        <w:t>a</w:t>
      </w:r>
      <w:r>
        <w:rPr>
          <w:spacing w:val="-2"/>
        </w:rPr>
        <w:t> </w:t>
      </w:r>
      <w:r>
        <w:rPr/>
        <w:t>dashboard environment where standard analyses can be performed on near real-time data to allow risks to be targeted and addressed.</w:t>
      </w:r>
    </w:p>
    <w:p>
      <w:pPr>
        <w:pStyle w:val="BodyText"/>
        <w:spacing w:before="11"/>
        <w:rPr>
          <w:sz w:val="20"/>
        </w:rPr>
      </w:pPr>
    </w:p>
    <w:p>
      <w:pPr>
        <w:pStyle w:val="BodyText"/>
        <w:spacing w:line="288" w:lineRule="auto"/>
        <w:ind w:left="600" w:right="586"/>
      </w:pPr>
      <w:r>
        <w:rPr/>
        <w:t>ESV</w:t>
      </w:r>
      <w:r>
        <w:rPr>
          <w:spacing w:val="-3"/>
        </w:rPr>
        <w:t> </w:t>
      </w:r>
      <w:r>
        <w:rPr/>
        <w:t>has</w:t>
      </w:r>
      <w:r>
        <w:rPr>
          <w:spacing w:val="-2"/>
        </w:rPr>
        <w:t> </w:t>
      </w:r>
      <w:r>
        <w:rPr/>
        <w:t>taken</w:t>
      </w:r>
      <w:r>
        <w:rPr>
          <w:spacing w:val="-5"/>
        </w:rPr>
        <w:t> </w:t>
      </w:r>
      <w:r>
        <w:rPr/>
        <w:t>this</w:t>
      </w:r>
      <w:r>
        <w:rPr>
          <w:spacing w:val="-5"/>
        </w:rPr>
        <w:t> </w:t>
      </w:r>
      <w:r>
        <w:rPr/>
        <w:t>further</w:t>
      </w:r>
      <w:r>
        <w:rPr>
          <w:spacing w:val="-2"/>
        </w:rPr>
        <w:t> </w:t>
      </w:r>
      <w:r>
        <w:rPr/>
        <w:t>with</w:t>
      </w:r>
      <w:r>
        <w:rPr>
          <w:spacing w:val="-3"/>
        </w:rPr>
        <w:t> </w:t>
      </w:r>
      <w:r>
        <w:rPr/>
        <w:t>the</w:t>
      </w:r>
      <w:r>
        <w:rPr>
          <w:spacing w:val="-5"/>
        </w:rPr>
        <w:t> </w:t>
      </w:r>
      <w:r>
        <w:rPr/>
        <w:t>creation</w:t>
      </w:r>
      <w:r>
        <w:rPr>
          <w:spacing w:val="-3"/>
        </w:rPr>
        <w:t> </w:t>
      </w:r>
      <w:r>
        <w:rPr/>
        <w:t>of</w:t>
      </w:r>
      <w:r>
        <w:rPr>
          <w:spacing w:val="-1"/>
        </w:rPr>
        <w:t> </w:t>
      </w:r>
      <w:r>
        <w:rPr/>
        <w:t>a</w:t>
      </w:r>
      <w:r>
        <w:rPr>
          <w:spacing w:val="-7"/>
        </w:rPr>
        <w:t> </w:t>
      </w:r>
      <w:r>
        <w:rPr/>
        <w:t>Data</w:t>
      </w:r>
      <w:r>
        <w:rPr>
          <w:spacing w:val="-2"/>
        </w:rPr>
        <w:t> </w:t>
      </w:r>
      <w:r>
        <w:rPr/>
        <w:t>Management</w:t>
      </w:r>
      <w:r>
        <w:rPr>
          <w:spacing w:val="-1"/>
        </w:rPr>
        <w:t> </w:t>
      </w:r>
      <w:r>
        <w:rPr/>
        <w:t>and</w:t>
      </w:r>
      <w:r>
        <w:rPr>
          <w:spacing w:val="-5"/>
        </w:rPr>
        <w:t> </w:t>
      </w:r>
      <w:r>
        <w:rPr/>
        <w:t>Analytics</w:t>
      </w:r>
      <w:r>
        <w:rPr>
          <w:spacing w:val="-2"/>
        </w:rPr>
        <w:t> </w:t>
      </w:r>
      <w:r>
        <w:rPr/>
        <w:t>Strategy which seeks to identify how ESV may improve upon its current data capture and analysis</w:t>
      </w:r>
    </w:p>
    <w:p>
      <w:pPr>
        <w:spacing w:after="0" w:line="288" w:lineRule="auto"/>
        <w:sectPr>
          <w:pgSz w:w="11910" w:h="16840"/>
          <w:pgMar w:header="887" w:footer="1228" w:top="1080" w:bottom="1500" w:left="840" w:right="820"/>
        </w:sectPr>
      </w:pPr>
    </w:p>
    <w:p>
      <w:pPr>
        <w:pStyle w:val="BodyText"/>
        <w:rPr>
          <w:sz w:val="20"/>
        </w:rPr>
      </w:pPr>
    </w:p>
    <w:p>
      <w:pPr>
        <w:pStyle w:val="BodyText"/>
        <w:rPr>
          <w:sz w:val="20"/>
        </w:rPr>
      </w:pPr>
    </w:p>
    <w:p>
      <w:pPr>
        <w:pStyle w:val="BodyText"/>
        <w:spacing w:before="5"/>
      </w:pPr>
    </w:p>
    <w:p>
      <w:pPr>
        <w:pStyle w:val="BodyText"/>
        <w:spacing w:line="288" w:lineRule="auto"/>
        <w:ind w:left="600" w:right="586"/>
      </w:pPr>
      <w:r>
        <w:rPr/>
        <w:t>framework. This includes an understanding of moving from the current state to a “desired state” followed by an optimal “future state”. As part of this process, ESV has acknowledged the</w:t>
      </w:r>
      <w:r>
        <w:rPr>
          <w:spacing w:val="-3"/>
        </w:rPr>
        <w:t> </w:t>
      </w:r>
      <w:r>
        <w:rPr/>
        <w:t>importance</w:t>
      </w:r>
      <w:r>
        <w:rPr>
          <w:spacing w:val="-3"/>
        </w:rPr>
        <w:t> </w:t>
      </w:r>
      <w:r>
        <w:rPr/>
        <w:t>of</w:t>
      </w:r>
      <w:r>
        <w:rPr>
          <w:spacing w:val="-1"/>
        </w:rPr>
        <w:t> </w:t>
      </w:r>
      <w:r>
        <w:rPr/>
        <w:t>a</w:t>
      </w:r>
      <w:r>
        <w:rPr>
          <w:spacing w:val="-5"/>
        </w:rPr>
        <w:t> </w:t>
      </w:r>
      <w:r>
        <w:rPr/>
        <w:t>robust</w:t>
      </w:r>
      <w:r>
        <w:rPr>
          <w:spacing w:val="-1"/>
        </w:rPr>
        <w:t> </w:t>
      </w:r>
      <w:r>
        <w:rPr/>
        <w:t>data</w:t>
      </w:r>
      <w:r>
        <w:rPr>
          <w:spacing w:val="-5"/>
        </w:rPr>
        <w:t> </w:t>
      </w:r>
      <w:r>
        <w:rPr/>
        <w:t>management</w:t>
      </w:r>
      <w:r>
        <w:rPr>
          <w:spacing w:val="-4"/>
        </w:rPr>
        <w:t> </w:t>
      </w:r>
      <w:r>
        <w:rPr/>
        <w:t>and</w:t>
      </w:r>
      <w:r>
        <w:rPr>
          <w:spacing w:val="-5"/>
        </w:rPr>
        <w:t> </w:t>
      </w:r>
      <w:r>
        <w:rPr/>
        <w:t>analytical</w:t>
      </w:r>
      <w:r>
        <w:rPr>
          <w:spacing w:val="-4"/>
        </w:rPr>
        <w:t> </w:t>
      </w:r>
      <w:r>
        <w:rPr/>
        <w:t>framework</w:t>
      </w:r>
      <w:r>
        <w:rPr>
          <w:spacing w:val="-2"/>
        </w:rPr>
        <w:t> </w:t>
      </w:r>
      <w:r>
        <w:rPr/>
        <w:t>and</w:t>
      </w:r>
      <w:r>
        <w:rPr>
          <w:spacing w:val="-3"/>
        </w:rPr>
        <w:t> </w:t>
      </w:r>
      <w:r>
        <w:rPr/>
        <w:t>identified “quick- wins” which can be more easily implemented.</w:t>
      </w:r>
    </w:p>
    <w:p>
      <w:pPr>
        <w:pStyle w:val="BodyText"/>
        <w:spacing w:before="9"/>
        <w:rPr>
          <w:sz w:val="18"/>
        </w:rPr>
      </w:pPr>
      <w:r>
        <w:rPr/>
        <mc:AlternateContent>
          <mc:Choice Requires="wps">
            <w:drawing>
              <wp:anchor distT="0" distB="0" distL="0" distR="0" allowOverlap="1" layoutInCell="1" locked="0" behindDoc="1" simplePos="0" relativeHeight="487630336">
                <wp:simplePos x="0" y="0"/>
                <wp:positionH relativeFrom="page">
                  <wp:posOffset>914704</wp:posOffset>
                </wp:positionH>
                <wp:positionV relativeFrom="paragraph">
                  <wp:posOffset>152503</wp:posOffset>
                </wp:positionV>
                <wp:extent cx="5732780" cy="1422400"/>
                <wp:effectExtent l="0" t="0" r="0" b="0"/>
                <wp:wrapTopAndBottom/>
                <wp:docPr id="140" name="Textbox 140"/>
                <wp:cNvGraphicFramePr>
                  <a:graphicFrameLocks/>
                </wp:cNvGraphicFramePr>
                <a:graphic>
                  <a:graphicData uri="http://schemas.microsoft.com/office/word/2010/wordprocessingShape">
                    <wps:wsp>
                      <wps:cNvPr id="140" name="Textbox 140"/>
                      <wps:cNvSpPr txBox="1"/>
                      <wps:spPr>
                        <a:xfrm>
                          <a:off x="0" y="0"/>
                          <a:ext cx="5732780" cy="1422400"/>
                        </a:xfrm>
                        <a:prstGeom prst="rect">
                          <a:avLst/>
                        </a:prstGeom>
                        <a:solidFill>
                          <a:srgbClr val="D9D9D9"/>
                        </a:solidFill>
                      </wps:spPr>
                      <wps:txbx>
                        <w:txbxContent>
                          <w:p>
                            <w:pPr>
                              <w:pStyle w:val="BodyText"/>
                              <w:spacing w:before="10"/>
                              <w:rPr>
                                <w:color w:val="000000"/>
                                <w:sz w:val="20"/>
                              </w:rPr>
                            </w:pPr>
                          </w:p>
                          <w:p>
                            <w:pPr>
                              <w:spacing w:before="0"/>
                              <w:ind w:left="112" w:right="0" w:firstLine="0"/>
                              <w:jc w:val="left"/>
                              <w:rPr>
                                <w:b/>
                                <w:color w:val="000000"/>
                                <w:sz w:val="22"/>
                              </w:rPr>
                            </w:pPr>
                            <w:r>
                              <w:rPr>
                                <w:b/>
                                <w:color w:val="000000"/>
                                <w:sz w:val="22"/>
                              </w:rPr>
                              <w:t>Recommendation</w:t>
                            </w:r>
                            <w:r>
                              <w:rPr>
                                <w:b/>
                                <w:color w:val="000000"/>
                                <w:spacing w:val="-9"/>
                                <w:sz w:val="22"/>
                              </w:rPr>
                              <w:t> </w:t>
                            </w:r>
                            <w:r>
                              <w:rPr>
                                <w:b/>
                                <w:color w:val="000000"/>
                                <w:spacing w:val="-5"/>
                                <w:sz w:val="22"/>
                              </w:rPr>
                              <w:t>14</w:t>
                            </w:r>
                          </w:p>
                          <w:p>
                            <w:pPr>
                              <w:pStyle w:val="BodyText"/>
                              <w:spacing w:before="4"/>
                              <w:rPr>
                                <w:b/>
                                <w:color w:val="000000"/>
                                <w:sz w:val="25"/>
                              </w:rPr>
                            </w:pPr>
                          </w:p>
                          <w:p>
                            <w:pPr>
                              <w:pStyle w:val="BodyText"/>
                              <w:spacing w:line="288" w:lineRule="auto"/>
                              <w:ind w:left="112"/>
                              <w:rPr>
                                <w:color w:val="000000"/>
                              </w:rPr>
                            </w:pPr>
                            <w:r>
                              <w:rPr>
                                <w:color w:val="000000"/>
                              </w:rPr>
                              <w:t>The</w:t>
                            </w:r>
                            <w:r>
                              <w:rPr>
                                <w:color w:val="000000"/>
                                <w:spacing w:val="-1"/>
                              </w:rPr>
                              <w:t> </w:t>
                            </w:r>
                            <w:r>
                              <w:rPr>
                                <w:color w:val="000000"/>
                              </w:rPr>
                              <w:t>development of a</w:t>
                            </w:r>
                            <w:r>
                              <w:rPr>
                                <w:color w:val="000000"/>
                                <w:spacing w:val="-1"/>
                              </w:rPr>
                              <w:t> </w:t>
                            </w:r>
                            <w:r>
                              <w:rPr>
                                <w:color w:val="000000"/>
                              </w:rPr>
                              <w:t>mature</w:t>
                            </w:r>
                            <w:r>
                              <w:rPr>
                                <w:color w:val="000000"/>
                                <w:spacing w:val="-1"/>
                              </w:rPr>
                              <w:t> </w:t>
                            </w:r>
                            <w:r>
                              <w:rPr>
                                <w:color w:val="000000"/>
                              </w:rPr>
                              <w:t>data</w:t>
                            </w:r>
                            <w:r>
                              <w:rPr>
                                <w:color w:val="000000"/>
                                <w:spacing w:val="-1"/>
                              </w:rPr>
                              <w:t> </w:t>
                            </w:r>
                            <w:r>
                              <w:rPr>
                                <w:color w:val="000000"/>
                              </w:rPr>
                              <w:t>analytics capability, including the data</w:t>
                            </w:r>
                            <w:r>
                              <w:rPr>
                                <w:color w:val="000000"/>
                                <w:spacing w:val="-3"/>
                              </w:rPr>
                              <w:t> </w:t>
                            </w:r>
                            <w:r>
                              <w:rPr>
                                <w:color w:val="000000"/>
                              </w:rPr>
                              <w:t>collection and management systems to support robust statistical analysis, should form a central component</w:t>
                            </w:r>
                            <w:r>
                              <w:rPr>
                                <w:color w:val="000000"/>
                                <w:spacing w:val="-4"/>
                              </w:rPr>
                              <w:t> </w:t>
                            </w:r>
                            <w:r>
                              <w:rPr>
                                <w:color w:val="000000"/>
                              </w:rPr>
                              <w:t>of</w:t>
                            </w:r>
                            <w:r>
                              <w:rPr>
                                <w:color w:val="000000"/>
                                <w:spacing w:val="-1"/>
                              </w:rPr>
                              <w:t> </w:t>
                            </w:r>
                            <w:r>
                              <w:rPr>
                                <w:color w:val="000000"/>
                              </w:rPr>
                              <w:t>ESV’s</w:t>
                            </w:r>
                            <w:r>
                              <w:rPr>
                                <w:color w:val="000000"/>
                                <w:spacing w:val="-2"/>
                              </w:rPr>
                              <w:t> </w:t>
                            </w:r>
                            <w:r>
                              <w:rPr>
                                <w:color w:val="000000"/>
                              </w:rPr>
                              <w:t>integrated</w:t>
                            </w:r>
                            <w:r>
                              <w:rPr>
                                <w:color w:val="000000"/>
                                <w:spacing w:val="-5"/>
                              </w:rPr>
                              <w:t> </w:t>
                            </w:r>
                            <w:r>
                              <w:rPr>
                                <w:color w:val="000000"/>
                              </w:rPr>
                              <w:t>action</w:t>
                            </w:r>
                            <w:r>
                              <w:rPr>
                                <w:color w:val="000000"/>
                                <w:spacing w:val="-5"/>
                              </w:rPr>
                              <w:t> </w:t>
                            </w:r>
                            <w:r>
                              <w:rPr>
                                <w:color w:val="000000"/>
                              </w:rPr>
                              <w:t>plan</w:t>
                            </w:r>
                            <w:r>
                              <w:rPr>
                                <w:color w:val="000000"/>
                                <w:spacing w:val="-3"/>
                              </w:rPr>
                              <w:t> </w:t>
                            </w:r>
                            <w:r>
                              <w:rPr>
                                <w:color w:val="000000"/>
                              </w:rPr>
                              <w:t>to</w:t>
                            </w:r>
                            <w:r>
                              <w:rPr>
                                <w:color w:val="000000"/>
                                <w:spacing w:val="-5"/>
                              </w:rPr>
                              <w:t> </w:t>
                            </w:r>
                            <w:r>
                              <w:rPr>
                                <w:color w:val="000000"/>
                              </w:rPr>
                              <w:t>strengthen</w:t>
                            </w:r>
                            <w:r>
                              <w:rPr>
                                <w:color w:val="000000"/>
                                <w:spacing w:val="-3"/>
                              </w:rPr>
                              <w:t> </w:t>
                            </w:r>
                            <w:r>
                              <w:rPr>
                                <w:color w:val="000000"/>
                              </w:rPr>
                              <w:t>its</w:t>
                            </w:r>
                            <w:r>
                              <w:rPr>
                                <w:color w:val="000000"/>
                                <w:spacing w:val="-4"/>
                              </w:rPr>
                              <w:t> </w:t>
                            </w:r>
                            <w:r>
                              <w:rPr>
                                <w:color w:val="000000"/>
                              </w:rPr>
                              <w:t>analytical</w:t>
                            </w:r>
                            <w:r>
                              <w:rPr>
                                <w:color w:val="000000"/>
                                <w:spacing w:val="-4"/>
                              </w:rPr>
                              <w:t> </w:t>
                            </w:r>
                            <w:r>
                              <w:rPr>
                                <w:color w:val="000000"/>
                              </w:rPr>
                              <w:t>capabilities.</w:t>
                            </w:r>
                            <w:r>
                              <w:rPr>
                                <w:color w:val="000000"/>
                                <w:spacing w:val="-2"/>
                              </w:rPr>
                              <w:t> </w:t>
                            </w:r>
                            <w:r>
                              <w:rPr>
                                <w:color w:val="000000"/>
                              </w:rPr>
                              <w:t>Clear milestones should be developed to promote accountability.</w:t>
                            </w:r>
                          </w:p>
                        </w:txbxContent>
                      </wps:txbx>
                      <wps:bodyPr wrap="square" lIns="0" tIns="0" rIns="0" bIns="0" rtlCol="0">
                        <a:noAutofit/>
                      </wps:bodyPr>
                    </wps:wsp>
                  </a:graphicData>
                </a:graphic>
              </wp:anchor>
            </w:drawing>
          </mc:Choice>
          <mc:Fallback>
            <w:pict>
              <v:shape style="position:absolute;margin-left:72.024002pt;margin-top:12.008183pt;width:451.4pt;height:112pt;mso-position-horizontal-relative:page;mso-position-vertical-relative:paragraph;z-index:-15686144;mso-wrap-distance-left:0;mso-wrap-distance-right:0" type="#_x0000_t202" id="docshape124" filled="true" fillcolor="#d9d9d9" stroked="false">
                <v:textbox inset="0,0,0,0">
                  <w:txbxContent>
                    <w:p>
                      <w:pPr>
                        <w:pStyle w:val="BodyText"/>
                        <w:spacing w:before="10"/>
                        <w:rPr>
                          <w:color w:val="000000"/>
                          <w:sz w:val="20"/>
                        </w:rPr>
                      </w:pPr>
                    </w:p>
                    <w:p>
                      <w:pPr>
                        <w:spacing w:before="0"/>
                        <w:ind w:left="112" w:right="0" w:firstLine="0"/>
                        <w:jc w:val="left"/>
                        <w:rPr>
                          <w:b/>
                          <w:color w:val="000000"/>
                          <w:sz w:val="22"/>
                        </w:rPr>
                      </w:pPr>
                      <w:r>
                        <w:rPr>
                          <w:b/>
                          <w:color w:val="000000"/>
                          <w:sz w:val="22"/>
                        </w:rPr>
                        <w:t>Recommendation</w:t>
                      </w:r>
                      <w:r>
                        <w:rPr>
                          <w:b/>
                          <w:color w:val="000000"/>
                          <w:spacing w:val="-9"/>
                          <w:sz w:val="22"/>
                        </w:rPr>
                        <w:t> </w:t>
                      </w:r>
                      <w:r>
                        <w:rPr>
                          <w:b/>
                          <w:color w:val="000000"/>
                          <w:spacing w:val="-5"/>
                          <w:sz w:val="22"/>
                        </w:rPr>
                        <w:t>14</w:t>
                      </w:r>
                    </w:p>
                    <w:p>
                      <w:pPr>
                        <w:pStyle w:val="BodyText"/>
                        <w:spacing w:before="4"/>
                        <w:rPr>
                          <w:b/>
                          <w:color w:val="000000"/>
                          <w:sz w:val="25"/>
                        </w:rPr>
                      </w:pPr>
                    </w:p>
                    <w:p>
                      <w:pPr>
                        <w:pStyle w:val="BodyText"/>
                        <w:spacing w:line="288" w:lineRule="auto"/>
                        <w:ind w:left="112"/>
                        <w:rPr>
                          <w:color w:val="000000"/>
                        </w:rPr>
                      </w:pPr>
                      <w:r>
                        <w:rPr>
                          <w:color w:val="000000"/>
                        </w:rPr>
                        <w:t>The</w:t>
                      </w:r>
                      <w:r>
                        <w:rPr>
                          <w:color w:val="000000"/>
                          <w:spacing w:val="-1"/>
                        </w:rPr>
                        <w:t> </w:t>
                      </w:r>
                      <w:r>
                        <w:rPr>
                          <w:color w:val="000000"/>
                        </w:rPr>
                        <w:t>development of a</w:t>
                      </w:r>
                      <w:r>
                        <w:rPr>
                          <w:color w:val="000000"/>
                          <w:spacing w:val="-1"/>
                        </w:rPr>
                        <w:t> </w:t>
                      </w:r>
                      <w:r>
                        <w:rPr>
                          <w:color w:val="000000"/>
                        </w:rPr>
                        <w:t>mature</w:t>
                      </w:r>
                      <w:r>
                        <w:rPr>
                          <w:color w:val="000000"/>
                          <w:spacing w:val="-1"/>
                        </w:rPr>
                        <w:t> </w:t>
                      </w:r>
                      <w:r>
                        <w:rPr>
                          <w:color w:val="000000"/>
                        </w:rPr>
                        <w:t>data</w:t>
                      </w:r>
                      <w:r>
                        <w:rPr>
                          <w:color w:val="000000"/>
                          <w:spacing w:val="-1"/>
                        </w:rPr>
                        <w:t> </w:t>
                      </w:r>
                      <w:r>
                        <w:rPr>
                          <w:color w:val="000000"/>
                        </w:rPr>
                        <w:t>analytics capability, including the data</w:t>
                      </w:r>
                      <w:r>
                        <w:rPr>
                          <w:color w:val="000000"/>
                          <w:spacing w:val="-3"/>
                        </w:rPr>
                        <w:t> </w:t>
                      </w:r>
                      <w:r>
                        <w:rPr>
                          <w:color w:val="000000"/>
                        </w:rPr>
                        <w:t>collection and management systems to support robust statistical analysis, should form a central component</w:t>
                      </w:r>
                      <w:r>
                        <w:rPr>
                          <w:color w:val="000000"/>
                          <w:spacing w:val="-4"/>
                        </w:rPr>
                        <w:t> </w:t>
                      </w:r>
                      <w:r>
                        <w:rPr>
                          <w:color w:val="000000"/>
                        </w:rPr>
                        <w:t>of</w:t>
                      </w:r>
                      <w:r>
                        <w:rPr>
                          <w:color w:val="000000"/>
                          <w:spacing w:val="-1"/>
                        </w:rPr>
                        <w:t> </w:t>
                      </w:r>
                      <w:r>
                        <w:rPr>
                          <w:color w:val="000000"/>
                        </w:rPr>
                        <w:t>ESV’s</w:t>
                      </w:r>
                      <w:r>
                        <w:rPr>
                          <w:color w:val="000000"/>
                          <w:spacing w:val="-2"/>
                        </w:rPr>
                        <w:t> </w:t>
                      </w:r>
                      <w:r>
                        <w:rPr>
                          <w:color w:val="000000"/>
                        </w:rPr>
                        <w:t>integrated</w:t>
                      </w:r>
                      <w:r>
                        <w:rPr>
                          <w:color w:val="000000"/>
                          <w:spacing w:val="-5"/>
                        </w:rPr>
                        <w:t> </w:t>
                      </w:r>
                      <w:r>
                        <w:rPr>
                          <w:color w:val="000000"/>
                        </w:rPr>
                        <w:t>action</w:t>
                      </w:r>
                      <w:r>
                        <w:rPr>
                          <w:color w:val="000000"/>
                          <w:spacing w:val="-5"/>
                        </w:rPr>
                        <w:t> </w:t>
                      </w:r>
                      <w:r>
                        <w:rPr>
                          <w:color w:val="000000"/>
                        </w:rPr>
                        <w:t>plan</w:t>
                      </w:r>
                      <w:r>
                        <w:rPr>
                          <w:color w:val="000000"/>
                          <w:spacing w:val="-3"/>
                        </w:rPr>
                        <w:t> </w:t>
                      </w:r>
                      <w:r>
                        <w:rPr>
                          <w:color w:val="000000"/>
                        </w:rPr>
                        <w:t>to</w:t>
                      </w:r>
                      <w:r>
                        <w:rPr>
                          <w:color w:val="000000"/>
                          <w:spacing w:val="-5"/>
                        </w:rPr>
                        <w:t> </w:t>
                      </w:r>
                      <w:r>
                        <w:rPr>
                          <w:color w:val="000000"/>
                        </w:rPr>
                        <w:t>strengthen</w:t>
                      </w:r>
                      <w:r>
                        <w:rPr>
                          <w:color w:val="000000"/>
                          <w:spacing w:val="-3"/>
                        </w:rPr>
                        <w:t> </w:t>
                      </w:r>
                      <w:r>
                        <w:rPr>
                          <w:color w:val="000000"/>
                        </w:rPr>
                        <w:t>its</w:t>
                      </w:r>
                      <w:r>
                        <w:rPr>
                          <w:color w:val="000000"/>
                          <w:spacing w:val="-4"/>
                        </w:rPr>
                        <w:t> </w:t>
                      </w:r>
                      <w:r>
                        <w:rPr>
                          <w:color w:val="000000"/>
                        </w:rPr>
                        <w:t>analytical</w:t>
                      </w:r>
                      <w:r>
                        <w:rPr>
                          <w:color w:val="000000"/>
                          <w:spacing w:val="-4"/>
                        </w:rPr>
                        <w:t> </w:t>
                      </w:r>
                      <w:r>
                        <w:rPr>
                          <w:color w:val="000000"/>
                        </w:rPr>
                        <w:t>capabilities.</w:t>
                      </w:r>
                      <w:r>
                        <w:rPr>
                          <w:color w:val="000000"/>
                          <w:spacing w:val="-2"/>
                        </w:rPr>
                        <w:t> </w:t>
                      </w:r>
                      <w:r>
                        <w:rPr>
                          <w:color w:val="000000"/>
                        </w:rPr>
                        <w:t>Clear milestones should be developed to promote accountability.</w:t>
                      </w:r>
                    </w:p>
                  </w:txbxContent>
                </v:textbox>
                <v:fill type="solid"/>
                <w10:wrap type="topAndBottom"/>
              </v:shape>
            </w:pict>
          </mc:Fallback>
        </mc:AlternateContent>
      </w:r>
    </w:p>
    <w:p>
      <w:pPr>
        <w:pStyle w:val="BodyText"/>
        <w:spacing w:before="2"/>
        <w:rPr>
          <w:sz w:val="18"/>
        </w:rPr>
      </w:pPr>
    </w:p>
    <w:p>
      <w:pPr>
        <w:spacing w:line="288" w:lineRule="auto" w:before="94"/>
        <w:ind w:left="600" w:right="586" w:firstLine="0"/>
        <w:jc w:val="left"/>
        <w:rPr>
          <w:sz w:val="22"/>
        </w:rPr>
      </w:pPr>
      <w:r>
        <w:rPr>
          <w:sz w:val="22"/>
        </w:rPr>
        <w:t>The report by the University of Melbourne’s Centre for Excellence in Biosecurity Risk Analysis, </w:t>
      </w:r>
      <w:r>
        <w:rPr>
          <w:i/>
          <w:sz w:val="22"/>
        </w:rPr>
        <w:t>Assessment</w:t>
      </w:r>
      <w:r>
        <w:rPr>
          <w:i/>
          <w:spacing w:val="-3"/>
          <w:sz w:val="22"/>
        </w:rPr>
        <w:t> </w:t>
      </w:r>
      <w:r>
        <w:rPr>
          <w:i/>
          <w:sz w:val="22"/>
        </w:rPr>
        <w:t>and</w:t>
      </w:r>
      <w:r>
        <w:rPr>
          <w:i/>
          <w:spacing w:val="-2"/>
          <w:sz w:val="22"/>
        </w:rPr>
        <w:t> </w:t>
      </w:r>
      <w:r>
        <w:rPr>
          <w:i/>
          <w:sz w:val="22"/>
        </w:rPr>
        <w:t>Analysis</w:t>
      </w:r>
      <w:r>
        <w:rPr>
          <w:i/>
          <w:spacing w:val="-1"/>
          <w:sz w:val="22"/>
        </w:rPr>
        <w:t> </w:t>
      </w:r>
      <w:r>
        <w:rPr>
          <w:i/>
          <w:sz w:val="22"/>
        </w:rPr>
        <w:t>of</w:t>
      </w:r>
      <w:r>
        <w:rPr>
          <w:i/>
          <w:spacing w:val="-3"/>
          <w:sz w:val="22"/>
        </w:rPr>
        <w:t> </w:t>
      </w:r>
      <w:r>
        <w:rPr>
          <w:i/>
          <w:sz w:val="22"/>
        </w:rPr>
        <w:t>Incident Data</w:t>
      </w:r>
      <w:r>
        <w:rPr>
          <w:i/>
          <w:spacing w:val="-2"/>
          <w:sz w:val="22"/>
        </w:rPr>
        <w:t> </w:t>
      </w:r>
      <w:r>
        <w:rPr>
          <w:i/>
          <w:sz w:val="22"/>
        </w:rPr>
        <w:t>Held</w:t>
      </w:r>
      <w:r>
        <w:rPr>
          <w:i/>
          <w:spacing w:val="-2"/>
          <w:sz w:val="22"/>
        </w:rPr>
        <w:t> </w:t>
      </w:r>
      <w:r>
        <w:rPr>
          <w:i/>
          <w:sz w:val="22"/>
        </w:rPr>
        <w:t>by</w:t>
      </w:r>
      <w:r>
        <w:rPr>
          <w:i/>
          <w:spacing w:val="-4"/>
          <w:sz w:val="22"/>
        </w:rPr>
        <w:t> </w:t>
      </w:r>
      <w:r>
        <w:rPr>
          <w:i/>
          <w:sz w:val="22"/>
        </w:rPr>
        <w:t>Energy</w:t>
      </w:r>
      <w:r>
        <w:rPr>
          <w:i/>
          <w:spacing w:val="-4"/>
          <w:sz w:val="22"/>
        </w:rPr>
        <w:t> </w:t>
      </w:r>
      <w:r>
        <w:rPr>
          <w:i/>
          <w:sz w:val="22"/>
        </w:rPr>
        <w:t>Safe</w:t>
      </w:r>
      <w:r>
        <w:rPr>
          <w:i/>
          <w:spacing w:val="-6"/>
          <w:sz w:val="22"/>
        </w:rPr>
        <w:t> </w:t>
      </w:r>
      <w:r>
        <w:rPr>
          <w:i/>
          <w:sz w:val="22"/>
        </w:rPr>
        <w:t>Victoria</w:t>
      </w:r>
      <w:r>
        <w:rPr>
          <w:sz w:val="22"/>
        </w:rPr>
        <w:t>, has</w:t>
      </w:r>
      <w:r>
        <w:rPr>
          <w:spacing w:val="-4"/>
          <w:sz w:val="22"/>
        </w:rPr>
        <w:t> </w:t>
      </w:r>
      <w:r>
        <w:rPr>
          <w:sz w:val="22"/>
        </w:rPr>
        <w:t>made 20 recommendations. ESV should consider and respond to all of these recommendations in preparing an overall action plan to strengthen its data analytics capabilities.</w:t>
      </w:r>
    </w:p>
    <w:p>
      <w:pPr>
        <w:pStyle w:val="BodyText"/>
        <w:spacing w:before="10"/>
        <w:rPr>
          <w:sz w:val="20"/>
        </w:rPr>
      </w:pPr>
    </w:p>
    <w:p>
      <w:pPr>
        <w:pStyle w:val="BodyText"/>
        <w:spacing w:line="288" w:lineRule="auto"/>
        <w:ind w:left="600" w:right="713"/>
      </w:pPr>
      <w:r>
        <w:rPr/>
        <w:t>An important</w:t>
      </w:r>
      <w:r>
        <w:rPr>
          <w:spacing w:val="-1"/>
        </w:rPr>
        <w:t> </w:t>
      </w:r>
      <w:r>
        <w:rPr/>
        <w:t>focus of the recommendations is the need for ESV to work closely with expert agencies, including CSIRO, the Country Fire Authority and the Metropolitan Fire Brigade – and</w:t>
      </w:r>
      <w:r>
        <w:rPr>
          <w:spacing w:val="-2"/>
        </w:rPr>
        <w:t> </w:t>
      </w:r>
      <w:r>
        <w:rPr/>
        <w:t>particularly</w:t>
      </w:r>
      <w:r>
        <w:rPr>
          <w:spacing w:val="-4"/>
        </w:rPr>
        <w:t> </w:t>
      </w:r>
      <w:r>
        <w:rPr/>
        <w:t>with</w:t>
      </w:r>
      <w:r>
        <w:rPr>
          <w:spacing w:val="-2"/>
        </w:rPr>
        <w:t> </w:t>
      </w:r>
      <w:r>
        <w:rPr/>
        <w:t>distribution</w:t>
      </w:r>
      <w:r>
        <w:rPr>
          <w:spacing w:val="-2"/>
        </w:rPr>
        <w:t> </w:t>
      </w:r>
      <w:r>
        <w:rPr/>
        <w:t>business</w:t>
      </w:r>
      <w:r>
        <w:rPr>
          <w:spacing w:val="-1"/>
        </w:rPr>
        <w:t> </w:t>
      </w:r>
      <w:r>
        <w:rPr/>
        <w:t>–</w:t>
      </w:r>
      <w:r>
        <w:rPr>
          <w:spacing w:val="-4"/>
        </w:rPr>
        <w:t> </w:t>
      </w:r>
      <w:r>
        <w:rPr/>
        <w:t>to</w:t>
      </w:r>
      <w:r>
        <w:rPr>
          <w:spacing w:val="-4"/>
        </w:rPr>
        <w:t> </w:t>
      </w:r>
      <w:r>
        <w:rPr/>
        <w:t>undertake</w:t>
      </w:r>
      <w:r>
        <w:rPr>
          <w:spacing w:val="-4"/>
        </w:rPr>
        <w:t> </w:t>
      </w:r>
      <w:r>
        <w:rPr/>
        <w:t>the</w:t>
      </w:r>
      <w:r>
        <w:rPr>
          <w:spacing w:val="-4"/>
        </w:rPr>
        <w:t> </w:t>
      </w:r>
      <w:r>
        <w:rPr/>
        <w:t>“</w:t>
      </w:r>
      <w:r>
        <w:rPr>
          <w:i/>
        </w:rPr>
        <w:t>statistical</w:t>
      </w:r>
      <w:r>
        <w:rPr>
          <w:i/>
          <w:spacing w:val="-3"/>
        </w:rPr>
        <w:t> </w:t>
      </w:r>
      <w:r>
        <w:rPr>
          <w:i/>
        </w:rPr>
        <w:t>appropriate</w:t>
      </w:r>
      <w:r>
        <w:rPr>
          <w:i/>
          <w:spacing w:val="-4"/>
        </w:rPr>
        <w:t> </w:t>
      </w:r>
      <w:r>
        <w:rPr>
          <w:i/>
        </w:rPr>
        <w:t>analysis of spatio-temporal fire incident data</w:t>
      </w:r>
      <w:r>
        <w:rPr/>
        <w:t>”. The critical requirement is for ESV to develop a complete understanding of the full range of factors that contribute to bushfire risk, and how they should be taken into account in assessing fire incident data.</w:t>
      </w:r>
    </w:p>
    <w:p>
      <w:pPr>
        <w:pStyle w:val="BodyText"/>
        <w:spacing w:before="10"/>
        <w:rPr>
          <w:sz w:val="20"/>
        </w:rPr>
      </w:pPr>
    </w:p>
    <w:p>
      <w:pPr>
        <w:pStyle w:val="BodyText"/>
        <w:spacing w:line="288" w:lineRule="auto"/>
        <w:ind w:left="600" w:right="910"/>
      </w:pPr>
      <w:r>
        <w:rPr/>
        <w:t>Currently</w:t>
      </w:r>
      <w:r>
        <w:rPr>
          <w:spacing w:val="-4"/>
        </w:rPr>
        <w:t> </w:t>
      </w:r>
      <w:r>
        <w:rPr/>
        <w:t>ESV</w:t>
      </w:r>
      <w:r>
        <w:rPr>
          <w:spacing w:val="-2"/>
        </w:rPr>
        <w:t> </w:t>
      </w:r>
      <w:r>
        <w:rPr/>
        <w:t>does</w:t>
      </w:r>
      <w:r>
        <w:rPr>
          <w:spacing w:val="-2"/>
        </w:rPr>
        <w:t> </w:t>
      </w:r>
      <w:r>
        <w:rPr/>
        <w:t>not</w:t>
      </w:r>
      <w:r>
        <w:rPr>
          <w:spacing w:val="-5"/>
        </w:rPr>
        <w:t> </w:t>
      </w:r>
      <w:r>
        <w:rPr/>
        <w:t>maintain</w:t>
      </w:r>
      <w:r>
        <w:rPr>
          <w:spacing w:val="-4"/>
        </w:rPr>
        <w:t> </w:t>
      </w:r>
      <w:r>
        <w:rPr/>
        <w:t>the</w:t>
      </w:r>
      <w:r>
        <w:rPr>
          <w:spacing w:val="-2"/>
        </w:rPr>
        <w:t> </w:t>
      </w:r>
      <w:r>
        <w:rPr/>
        <w:t>necessary</w:t>
      </w:r>
      <w:r>
        <w:rPr>
          <w:spacing w:val="-3"/>
        </w:rPr>
        <w:t> </w:t>
      </w:r>
      <w:r>
        <w:rPr/>
        <w:t>data</w:t>
      </w:r>
      <w:r>
        <w:rPr>
          <w:spacing w:val="-1"/>
        </w:rPr>
        <w:t> </w:t>
      </w:r>
      <w:r>
        <w:rPr/>
        <w:t>sets</w:t>
      </w:r>
      <w:r>
        <w:rPr>
          <w:spacing w:val="-4"/>
        </w:rPr>
        <w:t> </w:t>
      </w:r>
      <w:r>
        <w:rPr/>
        <w:t>to</w:t>
      </w:r>
      <w:r>
        <w:rPr>
          <w:spacing w:val="-4"/>
        </w:rPr>
        <w:t> </w:t>
      </w:r>
      <w:r>
        <w:rPr/>
        <w:t>allow</w:t>
      </w:r>
      <w:r>
        <w:rPr>
          <w:spacing w:val="-5"/>
        </w:rPr>
        <w:t> </w:t>
      </w:r>
      <w:r>
        <w:rPr/>
        <w:t>statistically</w:t>
      </w:r>
      <w:r>
        <w:rPr>
          <w:spacing w:val="-4"/>
        </w:rPr>
        <w:t> </w:t>
      </w:r>
      <w:r>
        <w:rPr/>
        <w:t>robust conclusions to be drawn from its fire incident data, as indicated in the report:</w:t>
      </w:r>
    </w:p>
    <w:p>
      <w:pPr>
        <w:pStyle w:val="BodyText"/>
        <w:spacing w:before="10"/>
        <w:rPr>
          <w:sz w:val="20"/>
        </w:rPr>
      </w:pPr>
    </w:p>
    <w:p>
      <w:pPr>
        <w:spacing w:line="288" w:lineRule="auto" w:before="1"/>
        <w:ind w:left="1166" w:right="1253" w:firstLine="0"/>
        <w:jc w:val="left"/>
        <w:rPr>
          <w:sz w:val="22"/>
        </w:rPr>
      </w:pPr>
      <w:r>
        <w:rPr>
          <w:i/>
          <w:sz w:val="22"/>
        </w:rPr>
        <w:t>“The motivating question for this report was: is the risk of ﬁre starts that arise from network assets increasing or decreasing in time, after taking account of other sources of variability? At this point, ESV is not positioned to make a convincing</w:t>
      </w:r>
      <w:r>
        <w:rPr>
          <w:i/>
          <w:spacing w:val="-3"/>
          <w:sz w:val="22"/>
        </w:rPr>
        <w:t> </w:t>
      </w:r>
      <w:r>
        <w:rPr>
          <w:i/>
          <w:sz w:val="22"/>
        </w:rPr>
        <w:t>claim</w:t>
      </w:r>
      <w:r>
        <w:rPr>
          <w:i/>
          <w:spacing w:val="-2"/>
          <w:sz w:val="22"/>
        </w:rPr>
        <w:t> </w:t>
      </w:r>
      <w:r>
        <w:rPr>
          <w:i/>
          <w:sz w:val="22"/>
        </w:rPr>
        <w:t>about</w:t>
      </w:r>
      <w:r>
        <w:rPr>
          <w:i/>
          <w:spacing w:val="-4"/>
          <w:sz w:val="22"/>
        </w:rPr>
        <w:t> </w:t>
      </w:r>
      <w:r>
        <w:rPr>
          <w:i/>
          <w:sz w:val="22"/>
        </w:rPr>
        <w:t>the</w:t>
      </w:r>
      <w:r>
        <w:rPr>
          <w:i/>
          <w:spacing w:val="-2"/>
          <w:sz w:val="22"/>
        </w:rPr>
        <w:t> </w:t>
      </w:r>
      <w:r>
        <w:rPr>
          <w:i/>
          <w:sz w:val="22"/>
        </w:rPr>
        <w:t>effect</w:t>
      </w:r>
      <w:r>
        <w:rPr>
          <w:i/>
          <w:spacing w:val="-4"/>
          <w:sz w:val="22"/>
        </w:rPr>
        <w:t> </w:t>
      </w:r>
      <w:r>
        <w:rPr>
          <w:i/>
          <w:sz w:val="22"/>
        </w:rPr>
        <w:t>of</w:t>
      </w:r>
      <w:r>
        <w:rPr>
          <w:i/>
          <w:spacing w:val="-4"/>
          <w:sz w:val="22"/>
        </w:rPr>
        <w:t> </w:t>
      </w:r>
      <w:r>
        <w:rPr>
          <w:i/>
          <w:sz w:val="22"/>
        </w:rPr>
        <w:t>network</w:t>
      </w:r>
      <w:r>
        <w:rPr>
          <w:i/>
          <w:spacing w:val="-4"/>
          <w:sz w:val="22"/>
        </w:rPr>
        <w:t> </w:t>
      </w:r>
      <w:r>
        <w:rPr>
          <w:i/>
          <w:sz w:val="22"/>
        </w:rPr>
        <w:t>assets</w:t>
      </w:r>
      <w:r>
        <w:rPr>
          <w:i/>
          <w:spacing w:val="-2"/>
          <w:sz w:val="22"/>
        </w:rPr>
        <w:t> </w:t>
      </w:r>
      <w:r>
        <w:rPr>
          <w:i/>
          <w:sz w:val="22"/>
        </w:rPr>
        <w:t>upon</w:t>
      </w:r>
      <w:r>
        <w:rPr>
          <w:i/>
          <w:spacing w:val="-4"/>
          <w:sz w:val="22"/>
        </w:rPr>
        <w:t> </w:t>
      </w:r>
      <w:r>
        <w:rPr>
          <w:i/>
          <w:sz w:val="22"/>
        </w:rPr>
        <w:t>ﬁre</w:t>
      </w:r>
      <w:r>
        <w:rPr>
          <w:i/>
          <w:spacing w:val="-4"/>
          <w:sz w:val="22"/>
        </w:rPr>
        <w:t> </w:t>
      </w:r>
      <w:r>
        <w:rPr>
          <w:i/>
          <w:sz w:val="22"/>
        </w:rPr>
        <w:t>starts,</w:t>
      </w:r>
      <w:r>
        <w:rPr>
          <w:i/>
          <w:spacing w:val="-4"/>
          <w:sz w:val="22"/>
        </w:rPr>
        <w:t> </w:t>
      </w:r>
      <w:r>
        <w:rPr>
          <w:i/>
          <w:sz w:val="22"/>
        </w:rPr>
        <w:t>because</w:t>
      </w:r>
      <w:r>
        <w:rPr>
          <w:i/>
          <w:spacing w:val="-3"/>
          <w:sz w:val="22"/>
        </w:rPr>
        <w:t> </w:t>
      </w:r>
      <w:r>
        <w:rPr>
          <w:i/>
          <w:sz w:val="22"/>
        </w:rPr>
        <w:t>it</w:t>
      </w:r>
      <w:r>
        <w:rPr>
          <w:i/>
          <w:spacing w:val="-2"/>
          <w:sz w:val="22"/>
        </w:rPr>
        <w:t> </w:t>
      </w:r>
      <w:r>
        <w:rPr>
          <w:i/>
          <w:sz w:val="22"/>
        </w:rPr>
        <w:t>is not possible to take account of other sources of variability. This report makes recommendations that, if followed, would develop the data resources necessary to address the question.” </w:t>
      </w:r>
      <w:r>
        <w:rPr>
          <w:sz w:val="22"/>
        </w:rPr>
        <w:t>(Robinson &amp; Lane, 2017, p. 3)</w:t>
      </w:r>
    </w:p>
    <w:p>
      <w:pPr>
        <w:pStyle w:val="BodyText"/>
        <w:spacing w:before="10"/>
        <w:rPr>
          <w:sz w:val="18"/>
        </w:rPr>
      </w:pPr>
      <w:r>
        <w:rPr/>
        <mc:AlternateContent>
          <mc:Choice Requires="wps">
            <w:drawing>
              <wp:anchor distT="0" distB="0" distL="0" distR="0" allowOverlap="1" layoutInCell="1" locked="0" behindDoc="1" simplePos="0" relativeHeight="487630848">
                <wp:simplePos x="0" y="0"/>
                <wp:positionH relativeFrom="page">
                  <wp:posOffset>914704</wp:posOffset>
                </wp:positionH>
                <wp:positionV relativeFrom="paragraph">
                  <wp:posOffset>153023</wp:posOffset>
                </wp:positionV>
                <wp:extent cx="5732780" cy="1228725"/>
                <wp:effectExtent l="0" t="0" r="0" b="0"/>
                <wp:wrapTopAndBottom/>
                <wp:docPr id="141" name="Textbox 141"/>
                <wp:cNvGraphicFramePr>
                  <a:graphicFrameLocks/>
                </wp:cNvGraphicFramePr>
                <a:graphic>
                  <a:graphicData uri="http://schemas.microsoft.com/office/word/2010/wordprocessingShape">
                    <wps:wsp>
                      <wps:cNvPr id="141" name="Textbox 141"/>
                      <wps:cNvSpPr txBox="1"/>
                      <wps:spPr>
                        <a:xfrm>
                          <a:off x="0" y="0"/>
                          <a:ext cx="5732780" cy="1228725"/>
                        </a:xfrm>
                        <a:prstGeom prst="rect">
                          <a:avLst/>
                        </a:prstGeom>
                        <a:solidFill>
                          <a:srgbClr val="D9D9D9"/>
                        </a:solidFill>
                      </wps:spPr>
                      <wps:txbx>
                        <w:txbxContent>
                          <w:p>
                            <w:pPr>
                              <w:pStyle w:val="BodyText"/>
                              <w:spacing w:before="9"/>
                              <w:rPr>
                                <w:color w:val="000000"/>
                                <w:sz w:val="20"/>
                              </w:rPr>
                            </w:pPr>
                          </w:p>
                          <w:p>
                            <w:pPr>
                              <w:spacing w:before="1"/>
                              <w:ind w:left="112" w:right="0" w:firstLine="0"/>
                              <w:jc w:val="left"/>
                              <w:rPr>
                                <w:b/>
                                <w:color w:val="000000"/>
                                <w:sz w:val="22"/>
                              </w:rPr>
                            </w:pPr>
                            <w:r>
                              <w:rPr>
                                <w:b/>
                                <w:color w:val="000000"/>
                                <w:sz w:val="22"/>
                              </w:rPr>
                              <w:t>Recommendation</w:t>
                            </w:r>
                            <w:r>
                              <w:rPr>
                                <w:b/>
                                <w:color w:val="000000"/>
                                <w:spacing w:val="-7"/>
                                <w:sz w:val="22"/>
                              </w:rPr>
                              <w:t> </w:t>
                            </w:r>
                            <w:r>
                              <w:rPr>
                                <w:b/>
                                <w:color w:val="000000"/>
                                <w:spacing w:val="-5"/>
                                <w:sz w:val="22"/>
                              </w:rPr>
                              <w:t>15</w:t>
                            </w:r>
                          </w:p>
                          <w:p>
                            <w:pPr>
                              <w:pStyle w:val="BodyText"/>
                              <w:spacing w:before="2"/>
                              <w:rPr>
                                <w:b/>
                                <w:color w:val="000000"/>
                                <w:sz w:val="25"/>
                              </w:rPr>
                            </w:pPr>
                          </w:p>
                          <w:p>
                            <w:pPr>
                              <w:spacing w:line="288" w:lineRule="auto" w:before="0"/>
                              <w:ind w:left="112" w:right="0" w:firstLine="0"/>
                              <w:jc w:val="left"/>
                              <w:rPr>
                                <w:color w:val="000000"/>
                                <w:sz w:val="22"/>
                              </w:rPr>
                            </w:pPr>
                            <w:r>
                              <w:rPr>
                                <w:color w:val="000000"/>
                                <w:sz w:val="22"/>
                              </w:rPr>
                              <w:t>ESV</w:t>
                            </w:r>
                            <w:r>
                              <w:rPr>
                                <w:color w:val="000000"/>
                                <w:spacing w:val="-3"/>
                                <w:sz w:val="22"/>
                              </w:rPr>
                              <w:t> </w:t>
                            </w:r>
                            <w:r>
                              <w:rPr>
                                <w:color w:val="000000"/>
                                <w:sz w:val="22"/>
                              </w:rPr>
                              <w:t>should</w:t>
                            </w:r>
                            <w:r>
                              <w:rPr>
                                <w:color w:val="000000"/>
                                <w:spacing w:val="-3"/>
                                <w:sz w:val="22"/>
                              </w:rPr>
                              <w:t> </w:t>
                            </w:r>
                            <w:r>
                              <w:rPr>
                                <w:color w:val="000000"/>
                                <w:sz w:val="22"/>
                              </w:rPr>
                              <w:t>consider</w:t>
                            </w:r>
                            <w:r>
                              <w:rPr>
                                <w:color w:val="000000"/>
                                <w:spacing w:val="-4"/>
                                <w:sz w:val="22"/>
                              </w:rPr>
                              <w:t> </w:t>
                            </w:r>
                            <w:r>
                              <w:rPr>
                                <w:color w:val="000000"/>
                                <w:sz w:val="22"/>
                              </w:rPr>
                              <w:t>and</w:t>
                            </w:r>
                            <w:r>
                              <w:rPr>
                                <w:color w:val="000000"/>
                                <w:spacing w:val="-3"/>
                                <w:sz w:val="22"/>
                              </w:rPr>
                              <w:t> </w:t>
                            </w:r>
                            <w:r>
                              <w:rPr>
                                <w:color w:val="000000"/>
                                <w:sz w:val="22"/>
                              </w:rPr>
                              <w:t>respond</w:t>
                            </w:r>
                            <w:r>
                              <w:rPr>
                                <w:color w:val="000000"/>
                                <w:spacing w:val="-5"/>
                                <w:sz w:val="22"/>
                              </w:rPr>
                              <w:t> </w:t>
                            </w:r>
                            <w:r>
                              <w:rPr>
                                <w:color w:val="000000"/>
                                <w:sz w:val="22"/>
                              </w:rPr>
                              <w:t>to</w:t>
                            </w:r>
                            <w:r>
                              <w:rPr>
                                <w:color w:val="000000"/>
                                <w:spacing w:val="-5"/>
                                <w:sz w:val="22"/>
                              </w:rPr>
                              <w:t> </w:t>
                            </w:r>
                            <w:r>
                              <w:rPr>
                                <w:color w:val="000000"/>
                                <w:sz w:val="22"/>
                              </w:rPr>
                              <w:t>all</w:t>
                            </w:r>
                            <w:r>
                              <w:rPr>
                                <w:color w:val="000000"/>
                                <w:spacing w:val="-3"/>
                                <w:sz w:val="22"/>
                              </w:rPr>
                              <w:t> </w:t>
                            </w:r>
                            <w:r>
                              <w:rPr>
                                <w:color w:val="000000"/>
                                <w:sz w:val="22"/>
                              </w:rPr>
                              <w:t>recommendations</w:t>
                            </w:r>
                            <w:r>
                              <w:rPr>
                                <w:color w:val="000000"/>
                                <w:spacing w:val="-2"/>
                                <w:sz w:val="22"/>
                              </w:rPr>
                              <w:t> </w:t>
                            </w:r>
                            <w:r>
                              <w:rPr>
                                <w:color w:val="000000"/>
                                <w:sz w:val="22"/>
                              </w:rPr>
                              <w:t>of</w:t>
                            </w:r>
                            <w:r>
                              <w:rPr>
                                <w:color w:val="000000"/>
                                <w:spacing w:val="-4"/>
                                <w:sz w:val="22"/>
                              </w:rPr>
                              <w:t> </w:t>
                            </w:r>
                            <w:r>
                              <w:rPr>
                                <w:color w:val="000000"/>
                                <w:sz w:val="22"/>
                              </w:rPr>
                              <w:t>the</w:t>
                            </w:r>
                            <w:r>
                              <w:rPr>
                                <w:color w:val="000000"/>
                                <w:spacing w:val="-5"/>
                                <w:sz w:val="22"/>
                              </w:rPr>
                              <w:t> </w:t>
                            </w:r>
                            <w:r>
                              <w:rPr>
                                <w:color w:val="000000"/>
                                <w:sz w:val="22"/>
                              </w:rPr>
                              <w:t>report </w:t>
                            </w:r>
                            <w:r>
                              <w:rPr>
                                <w:i/>
                                <w:color w:val="000000"/>
                                <w:sz w:val="22"/>
                              </w:rPr>
                              <w:t>Assessment</w:t>
                            </w:r>
                            <w:r>
                              <w:rPr>
                                <w:i/>
                                <w:color w:val="000000"/>
                                <w:spacing w:val="-1"/>
                                <w:sz w:val="22"/>
                              </w:rPr>
                              <w:t> </w:t>
                            </w:r>
                            <w:r>
                              <w:rPr>
                                <w:i/>
                                <w:color w:val="000000"/>
                                <w:sz w:val="22"/>
                              </w:rPr>
                              <w:t>and Analysis of Incident Data Held by Energy Safe Victoria </w:t>
                            </w:r>
                            <w:r>
                              <w:rPr>
                                <w:color w:val="000000"/>
                                <w:sz w:val="22"/>
                              </w:rPr>
                              <w:t>as part of strengthening and expanding its Data Management and Analytics Strategy.</w:t>
                            </w:r>
                          </w:p>
                        </w:txbxContent>
                      </wps:txbx>
                      <wps:bodyPr wrap="square" lIns="0" tIns="0" rIns="0" bIns="0" rtlCol="0">
                        <a:noAutofit/>
                      </wps:bodyPr>
                    </wps:wsp>
                  </a:graphicData>
                </a:graphic>
              </wp:anchor>
            </w:drawing>
          </mc:Choice>
          <mc:Fallback>
            <w:pict>
              <v:shape style="position:absolute;margin-left:72.024002pt;margin-top:12.049121pt;width:451.4pt;height:96.75pt;mso-position-horizontal-relative:page;mso-position-vertical-relative:paragraph;z-index:-15685632;mso-wrap-distance-left:0;mso-wrap-distance-right:0" type="#_x0000_t202" id="docshape125" filled="true" fillcolor="#d9d9d9" stroked="false">
                <v:textbox inset="0,0,0,0">
                  <w:txbxContent>
                    <w:p>
                      <w:pPr>
                        <w:pStyle w:val="BodyText"/>
                        <w:spacing w:before="9"/>
                        <w:rPr>
                          <w:color w:val="000000"/>
                          <w:sz w:val="20"/>
                        </w:rPr>
                      </w:pPr>
                    </w:p>
                    <w:p>
                      <w:pPr>
                        <w:spacing w:before="1"/>
                        <w:ind w:left="112" w:right="0" w:firstLine="0"/>
                        <w:jc w:val="left"/>
                        <w:rPr>
                          <w:b/>
                          <w:color w:val="000000"/>
                          <w:sz w:val="22"/>
                        </w:rPr>
                      </w:pPr>
                      <w:r>
                        <w:rPr>
                          <w:b/>
                          <w:color w:val="000000"/>
                          <w:sz w:val="22"/>
                        </w:rPr>
                        <w:t>Recommendation</w:t>
                      </w:r>
                      <w:r>
                        <w:rPr>
                          <w:b/>
                          <w:color w:val="000000"/>
                          <w:spacing w:val="-7"/>
                          <w:sz w:val="22"/>
                        </w:rPr>
                        <w:t> </w:t>
                      </w:r>
                      <w:r>
                        <w:rPr>
                          <w:b/>
                          <w:color w:val="000000"/>
                          <w:spacing w:val="-5"/>
                          <w:sz w:val="22"/>
                        </w:rPr>
                        <w:t>15</w:t>
                      </w:r>
                    </w:p>
                    <w:p>
                      <w:pPr>
                        <w:pStyle w:val="BodyText"/>
                        <w:spacing w:before="2"/>
                        <w:rPr>
                          <w:b/>
                          <w:color w:val="000000"/>
                          <w:sz w:val="25"/>
                        </w:rPr>
                      </w:pPr>
                    </w:p>
                    <w:p>
                      <w:pPr>
                        <w:spacing w:line="288" w:lineRule="auto" w:before="0"/>
                        <w:ind w:left="112" w:right="0" w:firstLine="0"/>
                        <w:jc w:val="left"/>
                        <w:rPr>
                          <w:color w:val="000000"/>
                          <w:sz w:val="22"/>
                        </w:rPr>
                      </w:pPr>
                      <w:r>
                        <w:rPr>
                          <w:color w:val="000000"/>
                          <w:sz w:val="22"/>
                        </w:rPr>
                        <w:t>ESV</w:t>
                      </w:r>
                      <w:r>
                        <w:rPr>
                          <w:color w:val="000000"/>
                          <w:spacing w:val="-3"/>
                          <w:sz w:val="22"/>
                        </w:rPr>
                        <w:t> </w:t>
                      </w:r>
                      <w:r>
                        <w:rPr>
                          <w:color w:val="000000"/>
                          <w:sz w:val="22"/>
                        </w:rPr>
                        <w:t>should</w:t>
                      </w:r>
                      <w:r>
                        <w:rPr>
                          <w:color w:val="000000"/>
                          <w:spacing w:val="-3"/>
                          <w:sz w:val="22"/>
                        </w:rPr>
                        <w:t> </w:t>
                      </w:r>
                      <w:r>
                        <w:rPr>
                          <w:color w:val="000000"/>
                          <w:sz w:val="22"/>
                        </w:rPr>
                        <w:t>consider</w:t>
                      </w:r>
                      <w:r>
                        <w:rPr>
                          <w:color w:val="000000"/>
                          <w:spacing w:val="-4"/>
                          <w:sz w:val="22"/>
                        </w:rPr>
                        <w:t> </w:t>
                      </w:r>
                      <w:r>
                        <w:rPr>
                          <w:color w:val="000000"/>
                          <w:sz w:val="22"/>
                        </w:rPr>
                        <w:t>and</w:t>
                      </w:r>
                      <w:r>
                        <w:rPr>
                          <w:color w:val="000000"/>
                          <w:spacing w:val="-3"/>
                          <w:sz w:val="22"/>
                        </w:rPr>
                        <w:t> </w:t>
                      </w:r>
                      <w:r>
                        <w:rPr>
                          <w:color w:val="000000"/>
                          <w:sz w:val="22"/>
                        </w:rPr>
                        <w:t>respond</w:t>
                      </w:r>
                      <w:r>
                        <w:rPr>
                          <w:color w:val="000000"/>
                          <w:spacing w:val="-5"/>
                          <w:sz w:val="22"/>
                        </w:rPr>
                        <w:t> </w:t>
                      </w:r>
                      <w:r>
                        <w:rPr>
                          <w:color w:val="000000"/>
                          <w:sz w:val="22"/>
                        </w:rPr>
                        <w:t>to</w:t>
                      </w:r>
                      <w:r>
                        <w:rPr>
                          <w:color w:val="000000"/>
                          <w:spacing w:val="-5"/>
                          <w:sz w:val="22"/>
                        </w:rPr>
                        <w:t> </w:t>
                      </w:r>
                      <w:r>
                        <w:rPr>
                          <w:color w:val="000000"/>
                          <w:sz w:val="22"/>
                        </w:rPr>
                        <w:t>all</w:t>
                      </w:r>
                      <w:r>
                        <w:rPr>
                          <w:color w:val="000000"/>
                          <w:spacing w:val="-3"/>
                          <w:sz w:val="22"/>
                        </w:rPr>
                        <w:t> </w:t>
                      </w:r>
                      <w:r>
                        <w:rPr>
                          <w:color w:val="000000"/>
                          <w:sz w:val="22"/>
                        </w:rPr>
                        <w:t>recommendations</w:t>
                      </w:r>
                      <w:r>
                        <w:rPr>
                          <w:color w:val="000000"/>
                          <w:spacing w:val="-2"/>
                          <w:sz w:val="22"/>
                        </w:rPr>
                        <w:t> </w:t>
                      </w:r>
                      <w:r>
                        <w:rPr>
                          <w:color w:val="000000"/>
                          <w:sz w:val="22"/>
                        </w:rPr>
                        <w:t>of</w:t>
                      </w:r>
                      <w:r>
                        <w:rPr>
                          <w:color w:val="000000"/>
                          <w:spacing w:val="-4"/>
                          <w:sz w:val="22"/>
                        </w:rPr>
                        <w:t> </w:t>
                      </w:r>
                      <w:r>
                        <w:rPr>
                          <w:color w:val="000000"/>
                          <w:sz w:val="22"/>
                        </w:rPr>
                        <w:t>the</w:t>
                      </w:r>
                      <w:r>
                        <w:rPr>
                          <w:color w:val="000000"/>
                          <w:spacing w:val="-5"/>
                          <w:sz w:val="22"/>
                        </w:rPr>
                        <w:t> </w:t>
                      </w:r>
                      <w:r>
                        <w:rPr>
                          <w:color w:val="000000"/>
                          <w:sz w:val="22"/>
                        </w:rPr>
                        <w:t>report </w:t>
                      </w:r>
                      <w:r>
                        <w:rPr>
                          <w:i/>
                          <w:color w:val="000000"/>
                          <w:sz w:val="22"/>
                        </w:rPr>
                        <w:t>Assessment</w:t>
                      </w:r>
                      <w:r>
                        <w:rPr>
                          <w:i/>
                          <w:color w:val="000000"/>
                          <w:spacing w:val="-1"/>
                          <w:sz w:val="22"/>
                        </w:rPr>
                        <w:t> </w:t>
                      </w:r>
                      <w:r>
                        <w:rPr>
                          <w:i/>
                          <w:color w:val="000000"/>
                          <w:sz w:val="22"/>
                        </w:rPr>
                        <w:t>and Analysis of Incident Data Held by Energy Safe Victoria </w:t>
                      </w:r>
                      <w:r>
                        <w:rPr>
                          <w:color w:val="000000"/>
                          <w:sz w:val="22"/>
                        </w:rPr>
                        <w:t>as part of strengthening and expanding its Data Management and Analytics Strategy.</w:t>
                      </w:r>
                    </w:p>
                  </w:txbxContent>
                </v:textbox>
                <v:fill type="solid"/>
                <w10:wrap type="topAndBottom"/>
              </v:shape>
            </w:pict>
          </mc:Fallback>
        </mc:AlternateContent>
      </w:r>
    </w:p>
    <w:p>
      <w:pPr>
        <w:spacing w:after="0"/>
        <w:rPr>
          <w:sz w:val="18"/>
        </w:rPr>
        <w:sectPr>
          <w:pgSz w:w="11910" w:h="16840"/>
          <w:pgMar w:header="887" w:footer="1228" w:top="1080" w:bottom="1500" w:left="840" w:right="820"/>
        </w:sectPr>
      </w:pPr>
    </w:p>
    <w:p>
      <w:pPr>
        <w:pStyle w:val="BodyText"/>
        <w:rPr>
          <w:sz w:val="20"/>
        </w:rPr>
      </w:pPr>
    </w:p>
    <w:p>
      <w:pPr>
        <w:pStyle w:val="BodyText"/>
        <w:rPr>
          <w:sz w:val="20"/>
        </w:rPr>
      </w:pPr>
    </w:p>
    <w:p>
      <w:pPr>
        <w:pStyle w:val="Heading4"/>
        <w:spacing w:before="258"/>
        <w:ind w:left="600"/>
      </w:pPr>
      <w:r>
        <w:rPr>
          <w:color w:val="585858"/>
          <w:spacing w:val="-2"/>
        </w:rPr>
        <w:t>References</w:t>
      </w:r>
    </w:p>
    <w:p>
      <w:pPr>
        <w:spacing w:before="313"/>
        <w:ind w:left="600" w:right="0" w:firstLine="0"/>
        <w:jc w:val="left"/>
        <w:rPr>
          <w:sz w:val="18"/>
        </w:rPr>
      </w:pPr>
      <w:r>
        <w:rPr>
          <w:sz w:val="18"/>
        </w:rPr>
        <w:t>2009</w:t>
      </w:r>
      <w:r>
        <w:rPr>
          <w:spacing w:val="-6"/>
          <w:sz w:val="18"/>
        </w:rPr>
        <w:t> </w:t>
      </w:r>
      <w:r>
        <w:rPr>
          <w:sz w:val="18"/>
        </w:rPr>
        <w:t>Victorian</w:t>
      </w:r>
      <w:r>
        <w:rPr>
          <w:spacing w:val="-6"/>
          <w:sz w:val="18"/>
        </w:rPr>
        <w:t> </w:t>
      </w:r>
      <w:r>
        <w:rPr>
          <w:sz w:val="18"/>
        </w:rPr>
        <w:t>Bushfires</w:t>
      </w:r>
      <w:r>
        <w:rPr>
          <w:spacing w:val="-3"/>
          <w:sz w:val="18"/>
        </w:rPr>
        <w:t> </w:t>
      </w:r>
      <w:r>
        <w:rPr>
          <w:sz w:val="18"/>
        </w:rPr>
        <w:t>Royal</w:t>
      </w:r>
      <w:r>
        <w:rPr>
          <w:spacing w:val="-4"/>
          <w:sz w:val="18"/>
        </w:rPr>
        <w:t> </w:t>
      </w:r>
      <w:r>
        <w:rPr>
          <w:sz w:val="18"/>
        </w:rPr>
        <w:t>Commission,</w:t>
      </w:r>
      <w:r>
        <w:rPr>
          <w:spacing w:val="-4"/>
          <w:sz w:val="18"/>
        </w:rPr>
        <w:t> </w:t>
      </w:r>
      <w:r>
        <w:rPr>
          <w:sz w:val="18"/>
        </w:rPr>
        <w:t>2010. </w:t>
      </w:r>
      <w:r>
        <w:rPr>
          <w:i/>
          <w:sz w:val="18"/>
        </w:rPr>
        <w:t>Final</w:t>
      </w:r>
      <w:r>
        <w:rPr>
          <w:i/>
          <w:spacing w:val="-4"/>
          <w:sz w:val="18"/>
        </w:rPr>
        <w:t> </w:t>
      </w:r>
      <w:r>
        <w:rPr>
          <w:i/>
          <w:sz w:val="18"/>
        </w:rPr>
        <w:t>Report:</w:t>
      </w:r>
      <w:r>
        <w:rPr>
          <w:i/>
          <w:spacing w:val="-3"/>
          <w:sz w:val="18"/>
        </w:rPr>
        <w:t> </w:t>
      </w:r>
      <w:r>
        <w:rPr>
          <w:i/>
          <w:spacing w:val="-2"/>
          <w:sz w:val="18"/>
        </w:rPr>
        <w:t>Summary</w:t>
      </w:r>
      <w:r>
        <w:rPr>
          <w:spacing w:val="-2"/>
          <w:sz w:val="18"/>
        </w:rPr>
        <w:t>.</w:t>
      </w:r>
    </w:p>
    <w:p>
      <w:pPr>
        <w:spacing w:line="290" w:lineRule="auto" w:before="121"/>
        <w:ind w:left="600" w:right="311" w:firstLine="0"/>
        <w:jc w:val="left"/>
        <w:rPr>
          <w:sz w:val="18"/>
        </w:rPr>
      </w:pPr>
      <w:r>
        <w:rPr>
          <w:sz w:val="18"/>
        </w:rPr>
        <w:t>Advisian,</w:t>
      </w:r>
      <w:r>
        <w:rPr>
          <w:spacing w:val="-4"/>
          <w:sz w:val="18"/>
        </w:rPr>
        <w:t> </w:t>
      </w:r>
      <w:r>
        <w:rPr>
          <w:sz w:val="18"/>
        </w:rPr>
        <w:t>2015.</w:t>
      </w:r>
      <w:r>
        <w:rPr>
          <w:spacing w:val="-2"/>
          <w:sz w:val="18"/>
        </w:rPr>
        <w:t> </w:t>
      </w:r>
      <w:r>
        <w:rPr>
          <w:i/>
          <w:sz w:val="18"/>
        </w:rPr>
        <w:t>Electrical</w:t>
      </w:r>
      <w:r>
        <w:rPr>
          <w:i/>
          <w:spacing w:val="-4"/>
          <w:sz w:val="18"/>
        </w:rPr>
        <w:t> </w:t>
      </w:r>
      <w:r>
        <w:rPr>
          <w:i/>
          <w:sz w:val="18"/>
        </w:rPr>
        <w:t>Infrastructure</w:t>
      </w:r>
      <w:r>
        <w:rPr>
          <w:i/>
          <w:spacing w:val="-4"/>
          <w:sz w:val="18"/>
        </w:rPr>
        <w:t> </w:t>
      </w:r>
      <w:r>
        <w:rPr>
          <w:i/>
          <w:sz w:val="18"/>
        </w:rPr>
        <w:t>Compliance</w:t>
      </w:r>
      <w:r>
        <w:rPr>
          <w:i/>
          <w:spacing w:val="-6"/>
          <w:sz w:val="18"/>
        </w:rPr>
        <w:t> </w:t>
      </w:r>
      <w:r>
        <w:rPr>
          <w:i/>
          <w:sz w:val="18"/>
        </w:rPr>
        <w:t>and</w:t>
      </w:r>
      <w:r>
        <w:rPr>
          <w:i/>
          <w:spacing w:val="-6"/>
          <w:sz w:val="18"/>
        </w:rPr>
        <w:t> </w:t>
      </w:r>
      <w:r>
        <w:rPr>
          <w:i/>
          <w:sz w:val="18"/>
        </w:rPr>
        <w:t>Enforcement:</w:t>
      </w:r>
      <w:r>
        <w:rPr>
          <w:i/>
          <w:spacing w:val="-4"/>
          <w:sz w:val="18"/>
        </w:rPr>
        <w:t> </w:t>
      </w:r>
      <w:r>
        <w:rPr>
          <w:i/>
          <w:sz w:val="18"/>
        </w:rPr>
        <w:t>Good</w:t>
      </w:r>
      <w:r>
        <w:rPr>
          <w:i/>
          <w:spacing w:val="-4"/>
          <w:sz w:val="18"/>
        </w:rPr>
        <w:t> </w:t>
      </w:r>
      <w:r>
        <w:rPr>
          <w:i/>
          <w:sz w:val="18"/>
        </w:rPr>
        <w:t>Practices</w:t>
      </w:r>
      <w:r>
        <w:rPr>
          <w:i/>
          <w:spacing w:val="-3"/>
          <w:sz w:val="18"/>
        </w:rPr>
        <w:t> </w:t>
      </w:r>
      <w:r>
        <w:rPr>
          <w:i/>
          <w:sz w:val="18"/>
        </w:rPr>
        <w:t>and</w:t>
      </w:r>
      <w:r>
        <w:rPr>
          <w:i/>
          <w:spacing w:val="-6"/>
          <w:sz w:val="18"/>
        </w:rPr>
        <w:t> </w:t>
      </w:r>
      <w:r>
        <w:rPr>
          <w:i/>
          <w:sz w:val="18"/>
        </w:rPr>
        <w:t>Opportunities</w:t>
      </w:r>
      <w:r>
        <w:rPr>
          <w:i/>
          <w:spacing w:val="-3"/>
          <w:sz w:val="18"/>
        </w:rPr>
        <w:t> </w:t>
      </w:r>
      <w:r>
        <w:rPr>
          <w:i/>
          <w:sz w:val="18"/>
        </w:rPr>
        <w:t>for Enhanced Regulatory Performance</w:t>
      </w:r>
      <w:r>
        <w:rPr>
          <w:sz w:val="18"/>
        </w:rPr>
        <w:t>.</w:t>
      </w:r>
    </w:p>
    <w:p>
      <w:pPr>
        <w:spacing w:line="285" w:lineRule="auto" w:before="78"/>
        <w:ind w:left="600" w:right="910" w:firstLine="0"/>
        <w:jc w:val="left"/>
        <w:rPr>
          <w:sz w:val="18"/>
        </w:rPr>
      </w:pPr>
      <w:r>
        <w:rPr>
          <w:sz w:val="18"/>
        </w:rPr>
        <w:t>APA</w:t>
      </w:r>
      <w:r>
        <w:rPr>
          <w:spacing w:val="-3"/>
          <w:sz w:val="18"/>
        </w:rPr>
        <w:t> </w:t>
      </w:r>
      <w:r>
        <w:rPr>
          <w:sz w:val="18"/>
        </w:rPr>
        <w:t>VTS,</w:t>
      </w:r>
      <w:r>
        <w:rPr>
          <w:spacing w:val="-3"/>
          <w:sz w:val="18"/>
        </w:rPr>
        <w:t> </w:t>
      </w:r>
      <w:r>
        <w:rPr>
          <w:sz w:val="18"/>
        </w:rPr>
        <w:t>2017.</w:t>
      </w:r>
      <w:r>
        <w:rPr>
          <w:spacing w:val="-2"/>
          <w:sz w:val="18"/>
        </w:rPr>
        <w:t> </w:t>
      </w:r>
      <w:r>
        <w:rPr>
          <w:i/>
          <w:sz w:val="18"/>
        </w:rPr>
        <w:t>Review</w:t>
      </w:r>
      <w:r>
        <w:rPr>
          <w:i/>
          <w:spacing w:val="-6"/>
          <w:sz w:val="18"/>
        </w:rPr>
        <w:t> </w:t>
      </w:r>
      <w:r>
        <w:rPr>
          <w:i/>
          <w:sz w:val="18"/>
        </w:rPr>
        <w:t>of</w:t>
      </w:r>
      <w:r>
        <w:rPr>
          <w:i/>
          <w:spacing w:val="-2"/>
          <w:sz w:val="18"/>
        </w:rPr>
        <w:t> </w:t>
      </w:r>
      <w:r>
        <w:rPr>
          <w:i/>
          <w:sz w:val="18"/>
        </w:rPr>
        <w:t>Victoria’s</w:t>
      </w:r>
      <w:r>
        <w:rPr>
          <w:i/>
          <w:spacing w:val="-2"/>
          <w:sz w:val="18"/>
        </w:rPr>
        <w:t> </w:t>
      </w:r>
      <w:r>
        <w:rPr>
          <w:i/>
          <w:sz w:val="18"/>
        </w:rPr>
        <w:t>Electricity</w:t>
      </w:r>
      <w:r>
        <w:rPr>
          <w:i/>
          <w:spacing w:val="-4"/>
          <w:sz w:val="18"/>
        </w:rPr>
        <w:t> </w:t>
      </w:r>
      <w:r>
        <w:rPr>
          <w:i/>
          <w:sz w:val="18"/>
        </w:rPr>
        <w:t>and</w:t>
      </w:r>
      <w:r>
        <w:rPr>
          <w:i/>
          <w:spacing w:val="-3"/>
          <w:sz w:val="18"/>
        </w:rPr>
        <w:t> </w:t>
      </w:r>
      <w:r>
        <w:rPr>
          <w:i/>
          <w:sz w:val="18"/>
        </w:rPr>
        <w:t>Gas</w:t>
      </w:r>
      <w:r>
        <w:rPr>
          <w:i/>
          <w:spacing w:val="-2"/>
          <w:sz w:val="18"/>
        </w:rPr>
        <w:t> </w:t>
      </w:r>
      <w:r>
        <w:rPr>
          <w:i/>
          <w:sz w:val="18"/>
        </w:rPr>
        <w:t>Network</w:t>
      </w:r>
      <w:r>
        <w:rPr>
          <w:i/>
          <w:spacing w:val="-2"/>
          <w:sz w:val="18"/>
        </w:rPr>
        <w:t> </w:t>
      </w:r>
      <w:r>
        <w:rPr>
          <w:i/>
          <w:sz w:val="18"/>
        </w:rPr>
        <w:t>Safety</w:t>
      </w:r>
      <w:r>
        <w:rPr>
          <w:i/>
          <w:spacing w:val="-4"/>
          <w:sz w:val="18"/>
        </w:rPr>
        <w:t> </w:t>
      </w:r>
      <w:r>
        <w:rPr>
          <w:i/>
          <w:sz w:val="18"/>
        </w:rPr>
        <w:t>Framework -</w:t>
      </w:r>
      <w:r>
        <w:rPr>
          <w:i/>
          <w:spacing w:val="-5"/>
          <w:sz w:val="18"/>
        </w:rPr>
        <w:t> </w:t>
      </w:r>
      <w:r>
        <w:rPr>
          <w:i/>
          <w:sz w:val="18"/>
        </w:rPr>
        <w:t>Supplementary</w:t>
      </w:r>
      <w:r>
        <w:rPr>
          <w:i/>
          <w:spacing w:val="-2"/>
          <w:sz w:val="18"/>
        </w:rPr>
        <w:t> </w:t>
      </w:r>
      <w:r>
        <w:rPr>
          <w:i/>
          <w:sz w:val="18"/>
        </w:rPr>
        <w:t>Issues Paper: APA VTS Operations (Australia) Pty Ltd Submission</w:t>
      </w:r>
      <w:r>
        <w:rPr>
          <w:sz w:val="18"/>
        </w:rPr>
        <w:t>.</w:t>
      </w:r>
    </w:p>
    <w:p>
      <w:pPr>
        <w:spacing w:line="285" w:lineRule="auto" w:before="83"/>
        <w:ind w:left="600" w:right="374" w:firstLine="0"/>
        <w:jc w:val="left"/>
        <w:rPr>
          <w:sz w:val="18"/>
        </w:rPr>
      </w:pPr>
      <w:r>
        <w:rPr>
          <w:sz w:val="18"/>
        </w:rPr>
        <w:t>Attorney</w:t>
      </w:r>
      <w:r>
        <w:rPr>
          <w:spacing w:val="-5"/>
          <w:sz w:val="18"/>
        </w:rPr>
        <w:t> </w:t>
      </w:r>
      <w:r>
        <w:rPr>
          <w:sz w:val="18"/>
        </w:rPr>
        <w:t>General,</w:t>
      </w:r>
      <w:r>
        <w:rPr>
          <w:spacing w:val="-5"/>
          <w:sz w:val="18"/>
        </w:rPr>
        <w:t> </w:t>
      </w:r>
      <w:r>
        <w:rPr>
          <w:sz w:val="18"/>
        </w:rPr>
        <w:t>2011.</w:t>
      </w:r>
      <w:r>
        <w:rPr>
          <w:spacing w:val="-1"/>
          <w:sz w:val="18"/>
        </w:rPr>
        <w:t> </w:t>
      </w:r>
      <w:r>
        <w:rPr>
          <w:i/>
          <w:sz w:val="18"/>
        </w:rPr>
        <w:t>A</w:t>
      </w:r>
      <w:r>
        <w:rPr>
          <w:i/>
          <w:spacing w:val="-3"/>
          <w:sz w:val="18"/>
        </w:rPr>
        <w:t> </w:t>
      </w:r>
      <w:r>
        <w:rPr>
          <w:i/>
          <w:sz w:val="18"/>
        </w:rPr>
        <w:t>Guide</w:t>
      </w:r>
      <w:r>
        <w:rPr>
          <w:i/>
          <w:spacing w:val="-3"/>
          <w:sz w:val="18"/>
        </w:rPr>
        <w:t> </w:t>
      </w:r>
      <w:r>
        <w:rPr>
          <w:i/>
          <w:sz w:val="18"/>
        </w:rPr>
        <w:t>to</w:t>
      </w:r>
      <w:r>
        <w:rPr>
          <w:i/>
          <w:spacing w:val="-5"/>
          <w:sz w:val="18"/>
        </w:rPr>
        <w:t> </w:t>
      </w:r>
      <w:r>
        <w:rPr>
          <w:i/>
          <w:sz w:val="18"/>
        </w:rPr>
        <w:t>Framing</w:t>
      </w:r>
      <w:r>
        <w:rPr>
          <w:i/>
          <w:spacing w:val="-3"/>
          <w:sz w:val="18"/>
        </w:rPr>
        <w:t> </w:t>
      </w:r>
      <w:r>
        <w:rPr>
          <w:i/>
          <w:sz w:val="18"/>
        </w:rPr>
        <w:t>Commonwealth</w:t>
      </w:r>
      <w:r>
        <w:rPr>
          <w:i/>
          <w:spacing w:val="-5"/>
          <w:sz w:val="18"/>
        </w:rPr>
        <w:t> </w:t>
      </w:r>
      <w:r>
        <w:rPr>
          <w:i/>
          <w:sz w:val="18"/>
        </w:rPr>
        <w:t>Offences,</w:t>
      </w:r>
      <w:r>
        <w:rPr>
          <w:i/>
          <w:spacing w:val="-3"/>
          <w:sz w:val="18"/>
        </w:rPr>
        <w:t> </w:t>
      </w:r>
      <w:r>
        <w:rPr>
          <w:i/>
          <w:sz w:val="18"/>
        </w:rPr>
        <w:t>Infringement</w:t>
      </w:r>
      <w:r>
        <w:rPr>
          <w:i/>
          <w:spacing w:val="-5"/>
          <w:sz w:val="18"/>
        </w:rPr>
        <w:t> </w:t>
      </w:r>
      <w:r>
        <w:rPr>
          <w:i/>
          <w:sz w:val="18"/>
        </w:rPr>
        <w:t>Notices</w:t>
      </w:r>
      <w:r>
        <w:rPr>
          <w:i/>
          <w:spacing w:val="-2"/>
          <w:sz w:val="18"/>
        </w:rPr>
        <w:t> </w:t>
      </w:r>
      <w:r>
        <w:rPr>
          <w:i/>
          <w:sz w:val="18"/>
        </w:rPr>
        <w:t>and</w:t>
      </w:r>
      <w:r>
        <w:rPr>
          <w:i/>
          <w:spacing w:val="-3"/>
          <w:sz w:val="18"/>
        </w:rPr>
        <w:t> </w:t>
      </w:r>
      <w:r>
        <w:rPr>
          <w:i/>
          <w:sz w:val="18"/>
        </w:rPr>
        <w:t>Enforcement </w:t>
      </w:r>
      <w:r>
        <w:rPr>
          <w:i/>
          <w:spacing w:val="-2"/>
          <w:sz w:val="18"/>
        </w:rPr>
        <w:t>Powers</w:t>
      </w:r>
      <w:r>
        <w:rPr>
          <w:spacing w:val="-2"/>
          <w:sz w:val="18"/>
        </w:rPr>
        <w:t>.</w:t>
      </w:r>
    </w:p>
    <w:p>
      <w:pPr>
        <w:spacing w:before="84"/>
        <w:ind w:left="600" w:right="0" w:firstLine="0"/>
        <w:jc w:val="left"/>
        <w:rPr>
          <w:sz w:val="18"/>
        </w:rPr>
      </w:pPr>
      <w:r>
        <w:rPr>
          <w:sz w:val="18"/>
        </w:rPr>
        <w:t>AusNet</w:t>
      </w:r>
      <w:r>
        <w:rPr>
          <w:spacing w:val="-3"/>
          <w:sz w:val="18"/>
        </w:rPr>
        <w:t> </w:t>
      </w:r>
      <w:r>
        <w:rPr>
          <w:sz w:val="18"/>
        </w:rPr>
        <w:t>Services,</w:t>
      </w:r>
      <w:r>
        <w:rPr>
          <w:spacing w:val="-2"/>
          <w:sz w:val="18"/>
        </w:rPr>
        <w:t> </w:t>
      </w:r>
      <w:r>
        <w:rPr>
          <w:sz w:val="18"/>
        </w:rPr>
        <w:t>2017.</w:t>
      </w:r>
      <w:r>
        <w:rPr>
          <w:spacing w:val="-2"/>
          <w:sz w:val="18"/>
        </w:rPr>
        <w:t> </w:t>
      </w:r>
      <w:r>
        <w:rPr>
          <w:i/>
          <w:sz w:val="18"/>
        </w:rPr>
        <w:t>Safety</w:t>
      </w:r>
      <w:r>
        <w:rPr>
          <w:i/>
          <w:spacing w:val="-4"/>
          <w:sz w:val="18"/>
        </w:rPr>
        <w:t> </w:t>
      </w:r>
      <w:r>
        <w:rPr>
          <w:i/>
          <w:sz w:val="18"/>
        </w:rPr>
        <w:t>Review</w:t>
      </w:r>
      <w:r>
        <w:rPr>
          <w:i/>
          <w:spacing w:val="-2"/>
          <w:sz w:val="18"/>
        </w:rPr>
        <w:t> Submission</w:t>
      </w:r>
      <w:r>
        <w:rPr>
          <w:spacing w:val="-2"/>
          <w:sz w:val="18"/>
        </w:rPr>
        <w:t>.</w:t>
      </w:r>
    </w:p>
    <w:p>
      <w:pPr>
        <w:spacing w:line="381" w:lineRule="auto" w:before="121"/>
        <w:ind w:left="600" w:right="311" w:firstLine="0"/>
        <w:jc w:val="left"/>
        <w:rPr>
          <w:i/>
          <w:sz w:val="18"/>
        </w:rPr>
      </w:pPr>
      <w:r>
        <w:rPr>
          <w:sz w:val="18"/>
        </w:rPr>
        <w:t>Australian Gas Networks, 2017. </w:t>
      </w:r>
      <w:r>
        <w:rPr>
          <w:i/>
          <w:sz w:val="18"/>
        </w:rPr>
        <w:t>AGN Response to the Review of Victoria's Gas Network Safety Framework</w:t>
      </w:r>
      <w:r>
        <w:rPr>
          <w:sz w:val="18"/>
        </w:rPr>
        <w:t>. Australian</w:t>
      </w:r>
      <w:r>
        <w:rPr>
          <w:spacing w:val="-4"/>
          <w:sz w:val="18"/>
        </w:rPr>
        <w:t> </w:t>
      </w:r>
      <w:r>
        <w:rPr>
          <w:sz w:val="18"/>
        </w:rPr>
        <w:t>Law</w:t>
      </w:r>
      <w:r>
        <w:rPr>
          <w:spacing w:val="-5"/>
          <w:sz w:val="18"/>
        </w:rPr>
        <w:t> </w:t>
      </w:r>
      <w:r>
        <w:rPr>
          <w:sz w:val="18"/>
        </w:rPr>
        <w:t>Reform</w:t>
      </w:r>
      <w:r>
        <w:rPr>
          <w:spacing w:val="-2"/>
          <w:sz w:val="18"/>
        </w:rPr>
        <w:t> </w:t>
      </w:r>
      <w:r>
        <w:rPr>
          <w:sz w:val="18"/>
        </w:rPr>
        <w:t>Commission,</w:t>
      </w:r>
      <w:r>
        <w:rPr>
          <w:spacing w:val="-4"/>
          <w:sz w:val="18"/>
        </w:rPr>
        <w:t> </w:t>
      </w:r>
      <w:r>
        <w:rPr>
          <w:sz w:val="18"/>
        </w:rPr>
        <w:t>1994. </w:t>
      </w:r>
      <w:r>
        <w:rPr>
          <w:i/>
          <w:sz w:val="18"/>
        </w:rPr>
        <w:t>Compliance</w:t>
      </w:r>
      <w:r>
        <w:rPr>
          <w:i/>
          <w:spacing w:val="-3"/>
          <w:sz w:val="18"/>
        </w:rPr>
        <w:t> </w:t>
      </w:r>
      <w:r>
        <w:rPr>
          <w:i/>
          <w:sz w:val="18"/>
        </w:rPr>
        <w:t>with</w:t>
      </w:r>
      <w:r>
        <w:rPr>
          <w:i/>
          <w:spacing w:val="-4"/>
          <w:sz w:val="18"/>
        </w:rPr>
        <w:t> </w:t>
      </w:r>
      <w:r>
        <w:rPr>
          <w:i/>
          <w:sz w:val="18"/>
        </w:rPr>
        <w:t>the</w:t>
      </w:r>
      <w:r>
        <w:rPr>
          <w:i/>
          <w:spacing w:val="-3"/>
          <w:sz w:val="18"/>
        </w:rPr>
        <w:t> </w:t>
      </w:r>
      <w:r>
        <w:rPr>
          <w:i/>
          <w:sz w:val="18"/>
        </w:rPr>
        <w:t>Trade</w:t>
      </w:r>
      <w:r>
        <w:rPr>
          <w:i/>
          <w:spacing w:val="-3"/>
          <w:sz w:val="18"/>
        </w:rPr>
        <w:t> </w:t>
      </w:r>
      <w:r>
        <w:rPr>
          <w:i/>
          <w:sz w:val="18"/>
        </w:rPr>
        <w:t>Practices</w:t>
      </w:r>
      <w:r>
        <w:rPr>
          <w:i/>
          <w:spacing w:val="-2"/>
          <w:sz w:val="18"/>
        </w:rPr>
        <w:t> </w:t>
      </w:r>
      <w:r>
        <w:rPr>
          <w:i/>
          <w:sz w:val="18"/>
        </w:rPr>
        <w:t>Act</w:t>
      </w:r>
      <w:r>
        <w:rPr>
          <w:i/>
          <w:spacing w:val="-4"/>
          <w:sz w:val="18"/>
        </w:rPr>
        <w:t> </w:t>
      </w:r>
      <w:r>
        <w:rPr>
          <w:i/>
          <w:sz w:val="18"/>
        </w:rPr>
        <w:t>1974:</w:t>
      </w:r>
      <w:r>
        <w:rPr>
          <w:i/>
          <w:spacing w:val="-4"/>
          <w:sz w:val="18"/>
        </w:rPr>
        <w:t> </w:t>
      </w:r>
      <w:r>
        <w:rPr>
          <w:i/>
          <w:sz w:val="18"/>
        </w:rPr>
        <w:t>ALRC</w:t>
      </w:r>
      <w:r>
        <w:rPr>
          <w:i/>
          <w:spacing w:val="-3"/>
          <w:sz w:val="18"/>
        </w:rPr>
        <w:t> </w:t>
      </w:r>
      <w:r>
        <w:rPr>
          <w:i/>
          <w:sz w:val="18"/>
        </w:rPr>
        <w:t>68, </w:t>
      </w:r>
      <w:r>
        <w:rPr>
          <w:sz w:val="18"/>
        </w:rPr>
        <w:t>Sydney. CitiPower &amp; Powercor Australia &amp; United Energy, 2017. </w:t>
      </w:r>
      <w:r>
        <w:rPr>
          <w:i/>
          <w:sz w:val="18"/>
        </w:rPr>
        <w:t>Submission to the Interim Report.</w:t>
      </w:r>
    </w:p>
    <w:p>
      <w:pPr>
        <w:spacing w:line="285" w:lineRule="auto" w:before="0"/>
        <w:ind w:left="600" w:right="311" w:firstLine="0"/>
        <w:jc w:val="left"/>
        <w:rPr>
          <w:sz w:val="18"/>
        </w:rPr>
      </w:pPr>
      <w:r>
        <w:rPr>
          <w:sz w:val="18"/>
        </w:rPr>
        <w:t>Department</w:t>
      </w:r>
      <w:r>
        <w:rPr>
          <w:spacing w:val="-1"/>
          <w:sz w:val="18"/>
        </w:rPr>
        <w:t> </w:t>
      </w:r>
      <w:r>
        <w:rPr>
          <w:sz w:val="18"/>
        </w:rPr>
        <w:t>of Education,</w:t>
      </w:r>
      <w:r>
        <w:rPr>
          <w:spacing w:val="-1"/>
          <w:sz w:val="18"/>
        </w:rPr>
        <w:t> </w:t>
      </w:r>
      <w:r>
        <w:rPr>
          <w:sz w:val="18"/>
        </w:rPr>
        <w:t>Employment and</w:t>
      </w:r>
      <w:r>
        <w:rPr>
          <w:spacing w:val="-3"/>
          <w:sz w:val="18"/>
        </w:rPr>
        <w:t> </w:t>
      </w:r>
      <w:r>
        <w:rPr>
          <w:sz w:val="18"/>
        </w:rPr>
        <w:t>Workplace Relations, 2009. </w:t>
      </w:r>
      <w:r>
        <w:rPr>
          <w:i/>
          <w:sz w:val="18"/>
        </w:rPr>
        <w:t>National Review</w:t>
      </w:r>
      <w:r>
        <w:rPr>
          <w:i/>
          <w:spacing w:val="-2"/>
          <w:sz w:val="18"/>
        </w:rPr>
        <w:t> </w:t>
      </w:r>
      <w:r>
        <w:rPr>
          <w:i/>
          <w:sz w:val="18"/>
        </w:rPr>
        <w:t>into Model OccupationalHealth</w:t>
      </w:r>
      <w:r>
        <w:rPr>
          <w:i/>
          <w:spacing w:val="-5"/>
          <w:sz w:val="18"/>
        </w:rPr>
        <w:t> </w:t>
      </w:r>
      <w:r>
        <w:rPr>
          <w:i/>
          <w:sz w:val="18"/>
        </w:rPr>
        <w:t>and</w:t>
      </w:r>
      <w:r>
        <w:rPr>
          <w:i/>
          <w:spacing w:val="-5"/>
          <w:sz w:val="18"/>
        </w:rPr>
        <w:t> </w:t>
      </w:r>
      <w:r>
        <w:rPr>
          <w:i/>
          <w:sz w:val="18"/>
        </w:rPr>
        <w:t>Safety</w:t>
      </w:r>
      <w:r>
        <w:rPr>
          <w:i/>
          <w:spacing w:val="-2"/>
          <w:sz w:val="18"/>
        </w:rPr>
        <w:t> </w:t>
      </w:r>
      <w:r>
        <w:rPr>
          <w:i/>
          <w:sz w:val="18"/>
        </w:rPr>
        <w:t>Laws:</w:t>
      </w:r>
      <w:r>
        <w:rPr>
          <w:i/>
          <w:spacing w:val="-3"/>
          <w:sz w:val="18"/>
        </w:rPr>
        <w:t> </w:t>
      </w:r>
      <w:r>
        <w:rPr>
          <w:i/>
          <w:sz w:val="18"/>
        </w:rPr>
        <w:t>Second</w:t>
      </w:r>
      <w:r>
        <w:rPr>
          <w:i/>
          <w:spacing w:val="-5"/>
          <w:sz w:val="18"/>
        </w:rPr>
        <w:t> </w:t>
      </w:r>
      <w:r>
        <w:rPr>
          <w:i/>
          <w:sz w:val="18"/>
        </w:rPr>
        <w:t>Report</w:t>
      </w:r>
      <w:r>
        <w:rPr>
          <w:i/>
          <w:spacing w:val="-3"/>
          <w:sz w:val="18"/>
        </w:rPr>
        <w:t> </w:t>
      </w:r>
      <w:r>
        <w:rPr>
          <w:i/>
          <w:sz w:val="18"/>
        </w:rPr>
        <w:t>to</w:t>
      </w:r>
      <w:r>
        <w:rPr>
          <w:i/>
          <w:spacing w:val="-3"/>
          <w:sz w:val="18"/>
        </w:rPr>
        <w:t> </w:t>
      </w:r>
      <w:r>
        <w:rPr>
          <w:i/>
          <w:sz w:val="18"/>
        </w:rPr>
        <w:t>the</w:t>
      </w:r>
      <w:r>
        <w:rPr>
          <w:i/>
          <w:spacing w:val="-5"/>
          <w:sz w:val="18"/>
        </w:rPr>
        <w:t> </w:t>
      </w:r>
      <w:r>
        <w:rPr>
          <w:i/>
          <w:sz w:val="18"/>
        </w:rPr>
        <w:t>Workplace</w:t>
      </w:r>
      <w:r>
        <w:rPr>
          <w:i/>
          <w:spacing w:val="-3"/>
          <w:sz w:val="18"/>
        </w:rPr>
        <w:t> </w:t>
      </w:r>
      <w:r>
        <w:rPr>
          <w:i/>
          <w:sz w:val="18"/>
        </w:rPr>
        <w:t>Relations Ministers’</w:t>
      </w:r>
      <w:r>
        <w:rPr>
          <w:i/>
          <w:spacing w:val="-5"/>
          <w:sz w:val="18"/>
        </w:rPr>
        <w:t> </w:t>
      </w:r>
      <w:r>
        <w:rPr>
          <w:i/>
          <w:sz w:val="18"/>
        </w:rPr>
        <w:t>Council</w:t>
      </w:r>
      <w:r>
        <w:rPr>
          <w:sz w:val="18"/>
        </w:rPr>
        <w:t>.</w:t>
      </w:r>
    </w:p>
    <w:p>
      <w:pPr>
        <w:spacing w:line="381" w:lineRule="auto" w:before="84"/>
        <w:ind w:left="600" w:right="3222" w:firstLine="0"/>
        <w:jc w:val="left"/>
        <w:rPr>
          <w:sz w:val="18"/>
        </w:rPr>
      </w:pPr>
      <w:r>
        <w:rPr>
          <w:sz w:val="18"/>
        </w:rPr>
        <w:t>Department</w:t>
      </w:r>
      <w:r>
        <w:rPr>
          <w:spacing w:val="-6"/>
          <w:sz w:val="18"/>
        </w:rPr>
        <w:t> </w:t>
      </w:r>
      <w:r>
        <w:rPr>
          <w:sz w:val="18"/>
        </w:rPr>
        <w:t>of</w:t>
      </w:r>
      <w:r>
        <w:rPr>
          <w:spacing w:val="-4"/>
          <w:sz w:val="18"/>
        </w:rPr>
        <w:t> </w:t>
      </w:r>
      <w:r>
        <w:rPr>
          <w:sz w:val="18"/>
        </w:rPr>
        <w:t>Treasury</w:t>
      </w:r>
      <w:r>
        <w:rPr>
          <w:spacing w:val="-6"/>
          <w:sz w:val="18"/>
        </w:rPr>
        <w:t> </w:t>
      </w:r>
      <w:r>
        <w:rPr>
          <w:sz w:val="18"/>
        </w:rPr>
        <w:t>and</w:t>
      </w:r>
      <w:r>
        <w:rPr>
          <w:spacing w:val="-4"/>
          <w:sz w:val="18"/>
        </w:rPr>
        <w:t> </w:t>
      </w:r>
      <w:r>
        <w:rPr>
          <w:sz w:val="18"/>
        </w:rPr>
        <w:t>Finance,</w:t>
      </w:r>
      <w:r>
        <w:rPr>
          <w:spacing w:val="-4"/>
          <w:sz w:val="18"/>
        </w:rPr>
        <w:t> </w:t>
      </w:r>
      <w:r>
        <w:rPr>
          <w:sz w:val="18"/>
        </w:rPr>
        <w:t>2014. </w:t>
      </w:r>
      <w:r>
        <w:rPr>
          <w:i/>
          <w:sz w:val="18"/>
        </w:rPr>
        <w:t>Victorian</w:t>
      </w:r>
      <w:r>
        <w:rPr>
          <w:i/>
          <w:spacing w:val="-4"/>
          <w:sz w:val="18"/>
        </w:rPr>
        <w:t> </w:t>
      </w:r>
      <w:r>
        <w:rPr>
          <w:i/>
          <w:sz w:val="18"/>
        </w:rPr>
        <w:t>Guide</w:t>
      </w:r>
      <w:r>
        <w:rPr>
          <w:i/>
          <w:spacing w:val="-4"/>
          <w:sz w:val="18"/>
        </w:rPr>
        <w:t> </w:t>
      </w:r>
      <w:r>
        <w:rPr>
          <w:i/>
          <w:sz w:val="18"/>
        </w:rPr>
        <w:t>to</w:t>
      </w:r>
      <w:r>
        <w:rPr>
          <w:i/>
          <w:spacing w:val="-4"/>
          <w:sz w:val="18"/>
        </w:rPr>
        <w:t> </w:t>
      </w:r>
      <w:r>
        <w:rPr>
          <w:i/>
          <w:sz w:val="18"/>
        </w:rPr>
        <w:t>Regulation</w:t>
      </w:r>
      <w:r>
        <w:rPr>
          <w:sz w:val="18"/>
        </w:rPr>
        <w:t>. Electrical Trades Union, 2017. </w:t>
      </w:r>
      <w:r>
        <w:rPr>
          <w:i/>
          <w:sz w:val="18"/>
        </w:rPr>
        <w:t>ETU Submission to the Review</w:t>
      </w:r>
      <w:r>
        <w:rPr>
          <w:sz w:val="18"/>
        </w:rPr>
        <w:t>.</w:t>
      </w:r>
    </w:p>
    <w:p>
      <w:pPr>
        <w:spacing w:line="206" w:lineRule="exact" w:before="0"/>
        <w:ind w:left="600" w:right="0" w:firstLine="0"/>
        <w:jc w:val="left"/>
        <w:rPr>
          <w:sz w:val="18"/>
        </w:rPr>
      </w:pPr>
      <w:r>
        <w:rPr>
          <w:sz w:val="18"/>
        </w:rPr>
        <w:t>ESV,</w:t>
      </w:r>
      <w:r>
        <w:rPr>
          <w:spacing w:val="-3"/>
          <w:sz w:val="18"/>
        </w:rPr>
        <w:t> </w:t>
      </w:r>
      <w:r>
        <w:rPr>
          <w:sz w:val="18"/>
        </w:rPr>
        <w:t>2014a.</w:t>
      </w:r>
      <w:r>
        <w:rPr>
          <w:spacing w:val="-3"/>
          <w:sz w:val="18"/>
        </w:rPr>
        <w:t> </w:t>
      </w:r>
      <w:r>
        <w:rPr>
          <w:i/>
          <w:sz w:val="18"/>
        </w:rPr>
        <w:t>Compliance</w:t>
      </w:r>
      <w:r>
        <w:rPr>
          <w:i/>
          <w:spacing w:val="-3"/>
          <w:sz w:val="18"/>
        </w:rPr>
        <w:t> </w:t>
      </w:r>
      <w:r>
        <w:rPr>
          <w:i/>
          <w:sz w:val="18"/>
        </w:rPr>
        <w:t>and</w:t>
      </w:r>
      <w:r>
        <w:rPr>
          <w:i/>
          <w:spacing w:val="-5"/>
          <w:sz w:val="18"/>
        </w:rPr>
        <w:t> </w:t>
      </w:r>
      <w:r>
        <w:rPr>
          <w:i/>
          <w:sz w:val="18"/>
        </w:rPr>
        <w:t>Enforcement</w:t>
      </w:r>
      <w:r>
        <w:rPr>
          <w:i/>
          <w:spacing w:val="-2"/>
          <w:sz w:val="18"/>
        </w:rPr>
        <w:t> Policy</w:t>
      </w:r>
      <w:r>
        <w:rPr>
          <w:spacing w:val="-2"/>
          <w:sz w:val="18"/>
        </w:rPr>
        <w:t>.</w:t>
      </w:r>
    </w:p>
    <w:p>
      <w:pPr>
        <w:spacing w:line="381" w:lineRule="auto" w:before="119"/>
        <w:ind w:left="600" w:right="4787" w:firstLine="0"/>
        <w:jc w:val="left"/>
        <w:rPr>
          <w:sz w:val="18"/>
        </w:rPr>
      </w:pPr>
      <w:r>
        <w:rPr>
          <w:sz w:val="18"/>
        </w:rPr>
        <w:t>ESV, 2014b. </w:t>
      </w:r>
      <w:r>
        <w:rPr>
          <w:i/>
          <w:sz w:val="18"/>
        </w:rPr>
        <w:t>Energy Safe Victoria Compliance Strategy</w:t>
      </w:r>
      <w:r>
        <w:rPr>
          <w:sz w:val="18"/>
        </w:rPr>
        <w:t>. ESV, 2014c. </w:t>
      </w:r>
      <w:r>
        <w:rPr>
          <w:i/>
          <w:sz w:val="18"/>
        </w:rPr>
        <w:t>ESV Compliance and Enforcement Manual</w:t>
      </w:r>
      <w:r>
        <w:rPr>
          <w:sz w:val="18"/>
        </w:rPr>
        <w:t>. ESV,</w:t>
      </w:r>
      <w:r>
        <w:rPr>
          <w:spacing w:val="-4"/>
          <w:sz w:val="18"/>
        </w:rPr>
        <w:t> </w:t>
      </w:r>
      <w:r>
        <w:rPr>
          <w:sz w:val="18"/>
        </w:rPr>
        <w:t>2015.</w:t>
      </w:r>
      <w:r>
        <w:rPr>
          <w:spacing w:val="-4"/>
          <w:sz w:val="18"/>
        </w:rPr>
        <w:t> </w:t>
      </w:r>
      <w:r>
        <w:rPr>
          <w:i/>
          <w:sz w:val="18"/>
        </w:rPr>
        <w:t>Charter</w:t>
      </w:r>
      <w:r>
        <w:rPr>
          <w:i/>
          <w:spacing w:val="-4"/>
          <w:sz w:val="18"/>
        </w:rPr>
        <w:t> </w:t>
      </w:r>
      <w:r>
        <w:rPr>
          <w:i/>
          <w:sz w:val="18"/>
        </w:rPr>
        <w:t>of</w:t>
      </w:r>
      <w:r>
        <w:rPr>
          <w:i/>
          <w:spacing w:val="-4"/>
          <w:sz w:val="18"/>
        </w:rPr>
        <w:t> </w:t>
      </w:r>
      <w:r>
        <w:rPr>
          <w:i/>
          <w:sz w:val="18"/>
        </w:rPr>
        <w:t>Consultation</w:t>
      </w:r>
      <w:r>
        <w:rPr>
          <w:i/>
          <w:spacing w:val="-6"/>
          <w:sz w:val="18"/>
        </w:rPr>
        <w:t> </w:t>
      </w:r>
      <w:r>
        <w:rPr>
          <w:i/>
          <w:sz w:val="18"/>
        </w:rPr>
        <w:t>and</w:t>
      </w:r>
      <w:r>
        <w:rPr>
          <w:i/>
          <w:spacing w:val="-6"/>
          <w:sz w:val="18"/>
        </w:rPr>
        <w:t> </w:t>
      </w:r>
      <w:r>
        <w:rPr>
          <w:i/>
          <w:sz w:val="18"/>
        </w:rPr>
        <w:t>Regulatory</w:t>
      </w:r>
      <w:r>
        <w:rPr>
          <w:i/>
          <w:spacing w:val="-4"/>
          <w:sz w:val="18"/>
        </w:rPr>
        <w:t> </w:t>
      </w:r>
      <w:r>
        <w:rPr>
          <w:i/>
          <w:sz w:val="18"/>
        </w:rPr>
        <w:t>Practice</w:t>
      </w:r>
      <w:r>
        <w:rPr>
          <w:sz w:val="18"/>
        </w:rPr>
        <w:t>.</w:t>
      </w:r>
    </w:p>
    <w:p>
      <w:pPr>
        <w:spacing w:line="381" w:lineRule="auto" w:before="0"/>
        <w:ind w:left="600" w:right="2635" w:firstLine="0"/>
        <w:jc w:val="left"/>
        <w:rPr>
          <w:sz w:val="18"/>
        </w:rPr>
      </w:pPr>
      <w:r>
        <w:rPr>
          <w:sz w:val="18"/>
        </w:rPr>
        <w:t>ESV,</w:t>
      </w:r>
      <w:r>
        <w:rPr>
          <w:spacing w:val="-3"/>
          <w:sz w:val="18"/>
        </w:rPr>
        <w:t> </w:t>
      </w:r>
      <w:r>
        <w:rPr>
          <w:sz w:val="18"/>
        </w:rPr>
        <w:t>2016.</w:t>
      </w:r>
      <w:r>
        <w:rPr>
          <w:spacing w:val="-2"/>
          <w:sz w:val="18"/>
        </w:rPr>
        <w:t> </w:t>
      </w:r>
      <w:r>
        <w:rPr>
          <w:i/>
          <w:sz w:val="18"/>
        </w:rPr>
        <w:t>Gas</w:t>
      </w:r>
      <w:r>
        <w:rPr>
          <w:i/>
          <w:spacing w:val="-4"/>
          <w:sz w:val="18"/>
        </w:rPr>
        <w:t> </w:t>
      </w:r>
      <w:r>
        <w:rPr>
          <w:i/>
          <w:sz w:val="18"/>
        </w:rPr>
        <w:t>and</w:t>
      </w:r>
      <w:r>
        <w:rPr>
          <w:i/>
          <w:spacing w:val="-3"/>
          <w:sz w:val="18"/>
        </w:rPr>
        <w:t> </w:t>
      </w:r>
      <w:r>
        <w:rPr>
          <w:i/>
          <w:sz w:val="18"/>
        </w:rPr>
        <w:t>Pipeline</w:t>
      </w:r>
      <w:r>
        <w:rPr>
          <w:i/>
          <w:spacing w:val="-5"/>
          <w:sz w:val="18"/>
        </w:rPr>
        <w:t> </w:t>
      </w:r>
      <w:r>
        <w:rPr>
          <w:i/>
          <w:sz w:val="18"/>
        </w:rPr>
        <w:t>Infrastructure</w:t>
      </w:r>
      <w:r>
        <w:rPr>
          <w:i/>
          <w:spacing w:val="-3"/>
          <w:sz w:val="18"/>
        </w:rPr>
        <w:t> </w:t>
      </w:r>
      <w:r>
        <w:rPr>
          <w:i/>
          <w:sz w:val="18"/>
        </w:rPr>
        <w:t>Safety</w:t>
      </w:r>
      <w:r>
        <w:rPr>
          <w:i/>
          <w:spacing w:val="-4"/>
          <w:sz w:val="18"/>
        </w:rPr>
        <w:t> </w:t>
      </w:r>
      <w:r>
        <w:rPr>
          <w:i/>
          <w:sz w:val="18"/>
        </w:rPr>
        <w:t>Management</w:t>
      </w:r>
      <w:r>
        <w:rPr>
          <w:i/>
          <w:spacing w:val="-3"/>
          <w:sz w:val="18"/>
        </w:rPr>
        <w:t> </w:t>
      </w:r>
      <w:r>
        <w:rPr>
          <w:i/>
          <w:sz w:val="18"/>
        </w:rPr>
        <w:t>Report</w:t>
      </w:r>
      <w:r>
        <w:rPr>
          <w:i/>
          <w:spacing w:val="-3"/>
          <w:sz w:val="18"/>
        </w:rPr>
        <w:t> </w:t>
      </w:r>
      <w:r>
        <w:rPr>
          <w:i/>
          <w:sz w:val="18"/>
        </w:rPr>
        <w:t>2015-2016</w:t>
      </w:r>
      <w:r>
        <w:rPr>
          <w:sz w:val="18"/>
        </w:rPr>
        <w:t>. ESV, 2017a. </w:t>
      </w:r>
      <w:r>
        <w:rPr>
          <w:i/>
          <w:sz w:val="18"/>
        </w:rPr>
        <w:t>Energy Safe Victoria Annual Report 2016-17</w:t>
      </w:r>
      <w:r>
        <w:rPr>
          <w:sz w:val="18"/>
        </w:rPr>
        <w:t>.</w:t>
      </w:r>
    </w:p>
    <w:p>
      <w:pPr>
        <w:spacing w:line="381" w:lineRule="auto" w:before="0"/>
        <w:ind w:left="600" w:right="4336" w:firstLine="0"/>
        <w:jc w:val="left"/>
        <w:rPr>
          <w:sz w:val="18"/>
        </w:rPr>
      </w:pPr>
      <w:r>
        <w:rPr>
          <w:sz w:val="18"/>
        </w:rPr>
        <w:t>ESV, 2017b. </w:t>
      </w:r>
      <w:r>
        <w:rPr>
          <w:i/>
          <w:sz w:val="18"/>
        </w:rPr>
        <w:t>Energy Safe Victoria Corporate Plan 2017-2020</w:t>
      </w:r>
      <w:r>
        <w:rPr>
          <w:sz w:val="18"/>
        </w:rPr>
        <w:t>. ESV,</w:t>
      </w:r>
      <w:r>
        <w:rPr>
          <w:spacing w:val="-5"/>
          <w:sz w:val="18"/>
        </w:rPr>
        <w:t> </w:t>
      </w:r>
      <w:r>
        <w:rPr>
          <w:sz w:val="18"/>
        </w:rPr>
        <w:t>2017c.</w:t>
      </w:r>
      <w:r>
        <w:rPr>
          <w:spacing w:val="-4"/>
          <w:sz w:val="18"/>
        </w:rPr>
        <w:t> </w:t>
      </w:r>
      <w:r>
        <w:rPr>
          <w:i/>
          <w:sz w:val="18"/>
        </w:rPr>
        <w:t>Energy</w:t>
      </w:r>
      <w:r>
        <w:rPr>
          <w:i/>
          <w:spacing w:val="-4"/>
          <w:sz w:val="18"/>
        </w:rPr>
        <w:t> </w:t>
      </w:r>
      <w:r>
        <w:rPr>
          <w:i/>
          <w:sz w:val="18"/>
        </w:rPr>
        <w:t>Safe</w:t>
      </w:r>
      <w:r>
        <w:rPr>
          <w:i/>
          <w:spacing w:val="-6"/>
          <w:sz w:val="18"/>
        </w:rPr>
        <w:t> </w:t>
      </w:r>
      <w:r>
        <w:rPr>
          <w:i/>
          <w:sz w:val="18"/>
        </w:rPr>
        <w:t>Victoria</w:t>
      </w:r>
      <w:r>
        <w:rPr>
          <w:i/>
          <w:spacing w:val="-5"/>
          <w:sz w:val="18"/>
        </w:rPr>
        <w:t> </w:t>
      </w:r>
      <w:r>
        <w:rPr>
          <w:i/>
          <w:sz w:val="18"/>
        </w:rPr>
        <w:t>Monthly</w:t>
      </w:r>
      <w:r>
        <w:rPr>
          <w:i/>
          <w:spacing w:val="-6"/>
          <w:sz w:val="18"/>
        </w:rPr>
        <w:t> </w:t>
      </w:r>
      <w:r>
        <w:rPr>
          <w:i/>
          <w:sz w:val="18"/>
        </w:rPr>
        <w:t>Report:</w:t>
      </w:r>
      <w:r>
        <w:rPr>
          <w:i/>
          <w:spacing w:val="-5"/>
          <w:sz w:val="18"/>
        </w:rPr>
        <w:t> </w:t>
      </w:r>
      <w:r>
        <w:rPr>
          <w:i/>
          <w:sz w:val="18"/>
        </w:rPr>
        <w:t>August</w:t>
      </w:r>
      <w:r>
        <w:rPr>
          <w:i/>
          <w:spacing w:val="-6"/>
          <w:sz w:val="18"/>
        </w:rPr>
        <w:t> </w:t>
      </w:r>
      <w:r>
        <w:rPr>
          <w:i/>
          <w:sz w:val="18"/>
        </w:rPr>
        <w:t>2017. </w:t>
      </w:r>
      <w:r>
        <w:rPr>
          <w:sz w:val="18"/>
        </w:rPr>
        <w:t>Hopkins, A., 2012. </w:t>
      </w:r>
      <w:r>
        <w:rPr>
          <w:i/>
          <w:sz w:val="18"/>
        </w:rPr>
        <w:t>Explaining “Safety Case”</w:t>
      </w:r>
      <w:r>
        <w:rPr>
          <w:sz w:val="18"/>
        </w:rPr>
        <w:t>.</w:t>
      </w:r>
    </w:p>
    <w:p>
      <w:pPr>
        <w:spacing w:line="206" w:lineRule="exact" w:before="0"/>
        <w:ind w:left="600" w:right="0" w:firstLine="0"/>
        <w:jc w:val="left"/>
        <w:rPr>
          <w:sz w:val="18"/>
        </w:rPr>
      </w:pPr>
      <w:r>
        <w:rPr>
          <w:sz w:val="18"/>
        </w:rPr>
        <w:t>Huegin</w:t>
      </w:r>
      <w:r>
        <w:rPr>
          <w:spacing w:val="-7"/>
          <w:sz w:val="18"/>
        </w:rPr>
        <w:t> </w:t>
      </w:r>
      <w:r>
        <w:rPr>
          <w:sz w:val="18"/>
        </w:rPr>
        <w:t>Consulting,</w:t>
      </w:r>
      <w:r>
        <w:rPr>
          <w:spacing w:val="-6"/>
          <w:sz w:val="18"/>
        </w:rPr>
        <w:t> </w:t>
      </w:r>
      <w:r>
        <w:rPr>
          <w:sz w:val="18"/>
        </w:rPr>
        <w:t>2016.</w:t>
      </w:r>
      <w:r>
        <w:rPr>
          <w:spacing w:val="-2"/>
          <w:sz w:val="18"/>
        </w:rPr>
        <w:t> </w:t>
      </w:r>
      <w:r>
        <w:rPr>
          <w:i/>
          <w:sz w:val="18"/>
        </w:rPr>
        <w:t>Energy</w:t>
      </w:r>
      <w:r>
        <w:rPr>
          <w:i/>
          <w:spacing w:val="-4"/>
          <w:sz w:val="18"/>
        </w:rPr>
        <w:t> </w:t>
      </w:r>
      <w:r>
        <w:rPr>
          <w:i/>
          <w:sz w:val="18"/>
        </w:rPr>
        <w:t>Safe</w:t>
      </w:r>
      <w:r>
        <w:rPr>
          <w:i/>
          <w:spacing w:val="-4"/>
          <w:sz w:val="18"/>
        </w:rPr>
        <w:t> </w:t>
      </w:r>
      <w:r>
        <w:rPr>
          <w:i/>
          <w:sz w:val="18"/>
        </w:rPr>
        <w:t>Victoria</w:t>
      </w:r>
      <w:r>
        <w:rPr>
          <w:i/>
          <w:spacing w:val="-4"/>
          <w:sz w:val="18"/>
        </w:rPr>
        <w:t> </w:t>
      </w:r>
      <w:r>
        <w:rPr>
          <w:i/>
          <w:sz w:val="18"/>
        </w:rPr>
        <w:t>Functional</w:t>
      </w:r>
      <w:r>
        <w:rPr>
          <w:i/>
          <w:spacing w:val="-4"/>
          <w:sz w:val="18"/>
        </w:rPr>
        <w:t> </w:t>
      </w:r>
      <w:r>
        <w:rPr>
          <w:i/>
          <w:spacing w:val="-2"/>
          <w:sz w:val="18"/>
        </w:rPr>
        <w:t>Review</w:t>
      </w:r>
      <w:r>
        <w:rPr>
          <w:spacing w:val="-2"/>
          <w:sz w:val="18"/>
        </w:rPr>
        <w:t>.</w:t>
      </w:r>
    </w:p>
    <w:p>
      <w:pPr>
        <w:spacing w:line="285" w:lineRule="auto" w:before="118"/>
        <w:ind w:left="600" w:right="311" w:firstLine="0"/>
        <w:jc w:val="left"/>
        <w:rPr>
          <w:sz w:val="18"/>
        </w:rPr>
      </w:pPr>
      <w:r>
        <w:rPr>
          <w:sz w:val="18"/>
        </w:rPr>
        <w:t>Johnstone,</w:t>
      </w:r>
      <w:r>
        <w:rPr>
          <w:spacing w:val="-2"/>
          <w:sz w:val="18"/>
        </w:rPr>
        <w:t> </w:t>
      </w:r>
      <w:r>
        <w:rPr>
          <w:sz w:val="18"/>
        </w:rPr>
        <w:t>R.</w:t>
      </w:r>
      <w:r>
        <w:rPr>
          <w:spacing w:val="-2"/>
          <w:sz w:val="18"/>
        </w:rPr>
        <w:t> </w:t>
      </w:r>
      <w:r>
        <w:rPr>
          <w:sz w:val="18"/>
        </w:rPr>
        <w:t>&amp;</w:t>
      </w:r>
      <w:r>
        <w:rPr>
          <w:spacing w:val="-2"/>
          <w:sz w:val="18"/>
        </w:rPr>
        <w:t> </w:t>
      </w:r>
      <w:r>
        <w:rPr>
          <w:sz w:val="18"/>
        </w:rPr>
        <w:t>Parker,</w:t>
      </w:r>
      <w:r>
        <w:rPr>
          <w:spacing w:val="-2"/>
          <w:sz w:val="18"/>
        </w:rPr>
        <w:t> </w:t>
      </w:r>
      <w:r>
        <w:rPr>
          <w:sz w:val="18"/>
        </w:rPr>
        <w:t>C.,</w:t>
      </w:r>
      <w:r>
        <w:rPr>
          <w:spacing w:val="-2"/>
          <w:sz w:val="18"/>
        </w:rPr>
        <w:t> </w:t>
      </w:r>
      <w:r>
        <w:rPr>
          <w:sz w:val="18"/>
        </w:rPr>
        <w:t>2010. </w:t>
      </w:r>
      <w:r>
        <w:rPr>
          <w:i/>
          <w:sz w:val="18"/>
        </w:rPr>
        <w:t>Enforceable</w:t>
      </w:r>
      <w:r>
        <w:rPr>
          <w:i/>
          <w:spacing w:val="-2"/>
          <w:sz w:val="18"/>
        </w:rPr>
        <w:t> </w:t>
      </w:r>
      <w:r>
        <w:rPr>
          <w:i/>
          <w:sz w:val="18"/>
        </w:rPr>
        <w:t>Undertakings</w:t>
      </w:r>
      <w:r>
        <w:rPr>
          <w:i/>
          <w:spacing w:val="-3"/>
          <w:sz w:val="18"/>
        </w:rPr>
        <w:t> </w:t>
      </w:r>
      <w:r>
        <w:rPr>
          <w:i/>
          <w:sz w:val="18"/>
        </w:rPr>
        <w:t>in</w:t>
      </w:r>
      <w:r>
        <w:rPr>
          <w:i/>
          <w:spacing w:val="-2"/>
          <w:sz w:val="18"/>
        </w:rPr>
        <w:t> </w:t>
      </w:r>
      <w:r>
        <w:rPr>
          <w:i/>
          <w:sz w:val="18"/>
        </w:rPr>
        <w:t>Action-</w:t>
      </w:r>
      <w:r>
        <w:rPr>
          <w:i/>
          <w:spacing w:val="-4"/>
          <w:sz w:val="18"/>
        </w:rPr>
        <w:t> </w:t>
      </w:r>
      <w:r>
        <w:rPr>
          <w:i/>
          <w:sz w:val="18"/>
        </w:rPr>
        <w:t>Report</w:t>
      </w:r>
      <w:r>
        <w:rPr>
          <w:i/>
          <w:spacing w:val="-4"/>
          <w:sz w:val="18"/>
        </w:rPr>
        <w:t> </w:t>
      </w:r>
      <w:r>
        <w:rPr>
          <w:i/>
          <w:sz w:val="18"/>
        </w:rPr>
        <w:t>of</w:t>
      </w:r>
      <w:r>
        <w:rPr>
          <w:i/>
          <w:spacing w:val="-2"/>
          <w:sz w:val="18"/>
        </w:rPr>
        <w:t> </w:t>
      </w:r>
      <w:r>
        <w:rPr>
          <w:i/>
          <w:sz w:val="18"/>
        </w:rPr>
        <w:t>a</w:t>
      </w:r>
      <w:r>
        <w:rPr>
          <w:i/>
          <w:spacing w:val="-4"/>
          <w:sz w:val="18"/>
        </w:rPr>
        <w:t> </w:t>
      </w:r>
      <w:r>
        <w:rPr>
          <w:i/>
          <w:sz w:val="18"/>
        </w:rPr>
        <w:t>Roundtable</w:t>
      </w:r>
      <w:r>
        <w:rPr>
          <w:i/>
          <w:spacing w:val="-2"/>
          <w:sz w:val="18"/>
        </w:rPr>
        <w:t> </w:t>
      </w:r>
      <w:r>
        <w:rPr>
          <w:i/>
          <w:sz w:val="18"/>
        </w:rPr>
        <w:t>Discussion</w:t>
      </w:r>
      <w:r>
        <w:rPr>
          <w:i/>
          <w:spacing w:val="-4"/>
          <w:sz w:val="18"/>
        </w:rPr>
        <w:t> </w:t>
      </w:r>
      <w:r>
        <w:rPr>
          <w:i/>
          <w:sz w:val="18"/>
        </w:rPr>
        <w:t>with Australian Regulators</w:t>
      </w:r>
      <w:r>
        <w:rPr>
          <w:sz w:val="18"/>
        </w:rPr>
        <w:t>.</w:t>
      </w:r>
    </w:p>
    <w:p>
      <w:pPr>
        <w:spacing w:before="83"/>
        <w:ind w:left="600" w:right="0" w:firstLine="0"/>
        <w:jc w:val="left"/>
        <w:rPr>
          <w:sz w:val="18"/>
        </w:rPr>
      </w:pPr>
      <w:r>
        <w:rPr>
          <w:sz w:val="18"/>
        </w:rPr>
        <w:t>Marchment</w:t>
      </w:r>
      <w:r>
        <w:rPr>
          <w:spacing w:val="-6"/>
          <w:sz w:val="18"/>
        </w:rPr>
        <w:t> </w:t>
      </w:r>
      <w:r>
        <w:rPr>
          <w:sz w:val="18"/>
        </w:rPr>
        <w:t>Hill</w:t>
      </w:r>
      <w:r>
        <w:rPr>
          <w:spacing w:val="-4"/>
          <w:sz w:val="18"/>
        </w:rPr>
        <w:t> </w:t>
      </w:r>
      <w:r>
        <w:rPr>
          <w:sz w:val="18"/>
        </w:rPr>
        <w:t>Consulting,</w:t>
      </w:r>
      <w:r>
        <w:rPr>
          <w:spacing w:val="-3"/>
          <w:sz w:val="18"/>
        </w:rPr>
        <w:t> </w:t>
      </w:r>
      <w:r>
        <w:rPr>
          <w:sz w:val="18"/>
        </w:rPr>
        <w:t>2016.</w:t>
      </w:r>
      <w:r>
        <w:rPr>
          <w:spacing w:val="-1"/>
          <w:sz w:val="18"/>
        </w:rPr>
        <w:t> </w:t>
      </w:r>
      <w:r>
        <w:rPr>
          <w:i/>
          <w:sz w:val="18"/>
        </w:rPr>
        <w:t>ESV</w:t>
      </w:r>
      <w:r>
        <w:rPr>
          <w:i/>
          <w:spacing w:val="-3"/>
          <w:sz w:val="18"/>
        </w:rPr>
        <w:t> </w:t>
      </w:r>
      <w:r>
        <w:rPr>
          <w:i/>
          <w:sz w:val="18"/>
        </w:rPr>
        <w:t>Executive</w:t>
      </w:r>
      <w:r>
        <w:rPr>
          <w:i/>
          <w:spacing w:val="-4"/>
          <w:sz w:val="18"/>
        </w:rPr>
        <w:t> </w:t>
      </w:r>
      <w:r>
        <w:rPr>
          <w:i/>
          <w:sz w:val="18"/>
        </w:rPr>
        <w:t>Structure</w:t>
      </w:r>
      <w:r>
        <w:rPr>
          <w:i/>
          <w:spacing w:val="-4"/>
          <w:sz w:val="18"/>
        </w:rPr>
        <w:t> </w:t>
      </w:r>
      <w:r>
        <w:rPr>
          <w:i/>
          <w:sz w:val="18"/>
        </w:rPr>
        <w:t>Review:</w:t>
      </w:r>
      <w:r>
        <w:rPr>
          <w:i/>
          <w:spacing w:val="-6"/>
          <w:sz w:val="18"/>
        </w:rPr>
        <w:t> </w:t>
      </w:r>
      <w:r>
        <w:rPr>
          <w:i/>
          <w:sz w:val="18"/>
        </w:rPr>
        <w:t>Final</w:t>
      </w:r>
      <w:r>
        <w:rPr>
          <w:i/>
          <w:spacing w:val="-3"/>
          <w:sz w:val="18"/>
        </w:rPr>
        <w:t> </w:t>
      </w:r>
      <w:r>
        <w:rPr>
          <w:i/>
          <w:spacing w:val="-2"/>
          <w:sz w:val="18"/>
        </w:rPr>
        <w:t>Report</w:t>
      </w:r>
      <w:r>
        <w:rPr>
          <w:spacing w:val="-2"/>
          <w:sz w:val="18"/>
        </w:rPr>
        <w:t>.</w:t>
      </w:r>
    </w:p>
    <w:p>
      <w:pPr>
        <w:spacing w:line="285" w:lineRule="auto" w:before="122"/>
        <w:ind w:left="600" w:right="0" w:firstLine="0"/>
        <w:jc w:val="left"/>
        <w:rPr>
          <w:sz w:val="18"/>
        </w:rPr>
      </w:pPr>
      <w:r>
        <w:rPr>
          <w:sz w:val="18"/>
        </w:rPr>
        <w:t>Noetic</w:t>
      </w:r>
      <w:r>
        <w:rPr>
          <w:spacing w:val="-5"/>
          <w:sz w:val="18"/>
        </w:rPr>
        <w:t> </w:t>
      </w:r>
      <w:r>
        <w:rPr>
          <w:sz w:val="18"/>
        </w:rPr>
        <w:t>Solutions,</w:t>
      </w:r>
      <w:r>
        <w:rPr>
          <w:spacing w:val="-5"/>
          <w:sz w:val="18"/>
        </w:rPr>
        <w:t> </w:t>
      </w:r>
      <w:r>
        <w:rPr>
          <w:sz w:val="18"/>
        </w:rPr>
        <w:t>2015.</w:t>
      </w:r>
      <w:r>
        <w:rPr>
          <w:spacing w:val="-1"/>
          <w:sz w:val="18"/>
        </w:rPr>
        <w:t> </w:t>
      </w:r>
      <w:r>
        <w:rPr>
          <w:i/>
          <w:sz w:val="18"/>
        </w:rPr>
        <w:t>2015</w:t>
      </w:r>
      <w:r>
        <w:rPr>
          <w:i/>
          <w:spacing w:val="-5"/>
          <w:sz w:val="18"/>
        </w:rPr>
        <w:t> </w:t>
      </w:r>
      <w:r>
        <w:rPr>
          <w:i/>
          <w:sz w:val="18"/>
        </w:rPr>
        <w:t>Operational</w:t>
      </w:r>
      <w:r>
        <w:rPr>
          <w:i/>
          <w:spacing w:val="-3"/>
          <w:sz w:val="18"/>
        </w:rPr>
        <w:t> </w:t>
      </w:r>
      <w:r>
        <w:rPr>
          <w:i/>
          <w:sz w:val="18"/>
        </w:rPr>
        <w:t>Review</w:t>
      </w:r>
      <w:r>
        <w:rPr>
          <w:i/>
          <w:spacing w:val="-3"/>
          <w:sz w:val="18"/>
        </w:rPr>
        <w:t> </w:t>
      </w:r>
      <w:r>
        <w:rPr>
          <w:i/>
          <w:sz w:val="18"/>
        </w:rPr>
        <w:t>of</w:t>
      </w:r>
      <w:r>
        <w:rPr>
          <w:i/>
          <w:spacing w:val="-3"/>
          <w:sz w:val="18"/>
        </w:rPr>
        <w:t> </w:t>
      </w:r>
      <w:r>
        <w:rPr>
          <w:i/>
          <w:sz w:val="18"/>
        </w:rPr>
        <w:t>the</w:t>
      </w:r>
      <w:r>
        <w:rPr>
          <w:i/>
          <w:spacing w:val="-3"/>
          <w:sz w:val="18"/>
        </w:rPr>
        <w:t> </w:t>
      </w:r>
      <w:r>
        <w:rPr>
          <w:i/>
          <w:sz w:val="18"/>
        </w:rPr>
        <w:t>National</w:t>
      </w:r>
      <w:r>
        <w:rPr>
          <w:i/>
          <w:spacing w:val="-3"/>
          <w:sz w:val="18"/>
        </w:rPr>
        <w:t> </w:t>
      </w:r>
      <w:r>
        <w:rPr>
          <w:i/>
          <w:sz w:val="18"/>
        </w:rPr>
        <w:t>Offshore</w:t>
      </w:r>
      <w:r>
        <w:rPr>
          <w:i/>
          <w:spacing w:val="-3"/>
          <w:sz w:val="18"/>
        </w:rPr>
        <w:t> </w:t>
      </w:r>
      <w:r>
        <w:rPr>
          <w:i/>
          <w:sz w:val="18"/>
        </w:rPr>
        <w:t>Petroleum</w:t>
      </w:r>
      <w:r>
        <w:rPr>
          <w:i/>
          <w:spacing w:val="-5"/>
          <w:sz w:val="18"/>
        </w:rPr>
        <w:t> </w:t>
      </w:r>
      <w:r>
        <w:rPr>
          <w:i/>
          <w:sz w:val="18"/>
        </w:rPr>
        <w:t>Safety</w:t>
      </w:r>
      <w:r>
        <w:rPr>
          <w:i/>
          <w:spacing w:val="-2"/>
          <w:sz w:val="18"/>
        </w:rPr>
        <w:t> </w:t>
      </w:r>
      <w:r>
        <w:rPr>
          <w:i/>
          <w:sz w:val="18"/>
        </w:rPr>
        <w:t>and</w:t>
      </w:r>
      <w:r>
        <w:rPr>
          <w:i/>
          <w:spacing w:val="-3"/>
          <w:sz w:val="18"/>
        </w:rPr>
        <w:t> </w:t>
      </w:r>
      <w:r>
        <w:rPr>
          <w:i/>
          <w:sz w:val="18"/>
        </w:rPr>
        <w:t>Environmental Management Authority: Report for the Minister for Industry and Science</w:t>
      </w:r>
      <w:r>
        <w:rPr>
          <w:sz w:val="18"/>
        </w:rPr>
        <w:t>.</w:t>
      </w:r>
    </w:p>
    <w:p>
      <w:pPr>
        <w:spacing w:line="381" w:lineRule="auto" w:before="83"/>
        <w:ind w:left="600" w:right="586" w:firstLine="0"/>
        <w:jc w:val="left"/>
        <w:rPr>
          <w:sz w:val="18"/>
        </w:rPr>
      </w:pPr>
      <w:r>
        <w:rPr>
          <w:sz w:val="18"/>
        </w:rPr>
        <w:t>OECD, 2014. </w:t>
      </w:r>
      <w:r>
        <w:rPr>
          <w:i/>
          <w:sz w:val="18"/>
        </w:rPr>
        <w:t>OECD Best Practice Principles for Regulatory Policy: Regulatory Enforcement and Inspections</w:t>
      </w:r>
      <w:r>
        <w:rPr>
          <w:sz w:val="18"/>
        </w:rPr>
        <w:t>. United</w:t>
      </w:r>
      <w:r>
        <w:rPr>
          <w:spacing w:val="-3"/>
          <w:sz w:val="18"/>
        </w:rPr>
        <w:t> </w:t>
      </w:r>
      <w:r>
        <w:rPr>
          <w:sz w:val="18"/>
        </w:rPr>
        <w:t>Energy,</w:t>
      </w:r>
      <w:r>
        <w:rPr>
          <w:spacing w:val="-3"/>
          <w:sz w:val="18"/>
        </w:rPr>
        <w:t> </w:t>
      </w:r>
      <w:r>
        <w:rPr>
          <w:sz w:val="18"/>
        </w:rPr>
        <w:t>2017.</w:t>
      </w:r>
      <w:r>
        <w:rPr>
          <w:spacing w:val="-1"/>
          <w:sz w:val="18"/>
        </w:rPr>
        <w:t> </w:t>
      </w:r>
      <w:r>
        <w:rPr>
          <w:i/>
          <w:sz w:val="18"/>
        </w:rPr>
        <w:t>United</w:t>
      </w:r>
      <w:r>
        <w:rPr>
          <w:i/>
          <w:spacing w:val="-3"/>
          <w:sz w:val="18"/>
        </w:rPr>
        <w:t> </w:t>
      </w:r>
      <w:r>
        <w:rPr>
          <w:i/>
          <w:sz w:val="18"/>
        </w:rPr>
        <w:t>Energy</w:t>
      </w:r>
      <w:r>
        <w:rPr>
          <w:i/>
          <w:spacing w:val="-5"/>
          <w:sz w:val="18"/>
        </w:rPr>
        <w:t> </w:t>
      </w:r>
      <w:r>
        <w:rPr>
          <w:i/>
          <w:sz w:val="18"/>
        </w:rPr>
        <w:t>Submission</w:t>
      </w:r>
      <w:r>
        <w:rPr>
          <w:i/>
          <w:spacing w:val="-3"/>
          <w:sz w:val="18"/>
        </w:rPr>
        <w:t> </w:t>
      </w:r>
      <w:r>
        <w:rPr>
          <w:i/>
          <w:sz w:val="18"/>
        </w:rPr>
        <w:t>to</w:t>
      </w:r>
      <w:r>
        <w:rPr>
          <w:i/>
          <w:spacing w:val="-2"/>
          <w:sz w:val="18"/>
        </w:rPr>
        <w:t> </w:t>
      </w:r>
      <w:r>
        <w:rPr>
          <w:i/>
          <w:sz w:val="18"/>
        </w:rPr>
        <w:t>Review</w:t>
      </w:r>
      <w:r>
        <w:rPr>
          <w:i/>
          <w:spacing w:val="-3"/>
          <w:sz w:val="18"/>
        </w:rPr>
        <w:t> </w:t>
      </w:r>
      <w:r>
        <w:rPr>
          <w:i/>
          <w:sz w:val="18"/>
        </w:rPr>
        <w:t>of</w:t>
      </w:r>
      <w:r>
        <w:rPr>
          <w:i/>
          <w:spacing w:val="-3"/>
          <w:sz w:val="18"/>
        </w:rPr>
        <w:t> </w:t>
      </w:r>
      <w:r>
        <w:rPr>
          <w:i/>
          <w:sz w:val="18"/>
        </w:rPr>
        <w:t>Victoria’s</w:t>
      </w:r>
      <w:r>
        <w:rPr>
          <w:i/>
          <w:spacing w:val="-2"/>
          <w:sz w:val="18"/>
        </w:rPr>
        <w:t> </w:t>
      </w:r>
      <w:r>
        <w:rPr>
          <w:i/>
          <w:sz w:val="18"/>
        </w:rPr>
        <w:t>Electricity</w:t>
      </w:r>
      <w:r>
        <w:rPr>
          <w:i/>
          <w:spacing w:val="-2"/>
          <w:sz w:val="18"/>
        </w:rPr>
        <w:t> </w:t>
      </w:r>
      <w:r>
        <w:rPr>
          <w:i/>
          <w:sz w:val="18"/>
        </w:rPr>
        <w:t>Network</w:t>
      </w:r>
      <w:r>
        <w:rPr>
          <w:i/>
          <w:spacing w:val="-7"/>
          <w:sz w:val="18"/>
        </w:rPr>
        <w:t> </w:t>
      </w:r>
      <w:r>
        <w:rPr>
          <w:i/>
          <w:sz w:val="18"/>
        </w:rPr>
        <w:t>Safety</w:t>
      </w:r>
      <w:r>
        <w:rPr>
          <w:i/>
          <w:spacing w:val="-4"/>
          <w:sz w:val="18"/>
        </w:rPr>
        <w:t> </w:t>
      </w:r>
      <w:r>
        <w:rPr>
          <w:i/>
          <w:sz w:val="18"/>
        </w:rPr>
        <w:t>Framework</w:t>
      </w:r>
      <w:r>
        <w:rPr>
          <w:sz w:val="18"/>
        </w:rPr>
        <w:t>.</w:t>
      </w:r>
    </w:p>
    <w:p>
      <w:pPr>
        <w:spacing w:line="285" w:lineRule="auto" w:before="0"/>
        <w:ind w:left="600" w:right="910" w:firstLine="0"/>
        <w:jc w:val="left"/>
        <w:rPr>
          <w:sz w:val="18"/>
        </w:rPr>
      </w:pPr>
      <w:r>
        <w:rPr>
          <w:sz w:val="18"/>
        </w:rPr>
        <w:t>Robinson,</w:t>
      </w:r>
      <w:r>
        <w:rPr>
          <w:spacing w:val="-3"/>
          <w:sz w:val="18"/>
        </w:rPr>
        <w:t> </w:t>
      </w:r>
      <w:r>
        <w:rPr>
          <w:sz w:val="18"/>
        </w:rPr>
        <w:t>A.</w:t>
      </w:r>
      <w:r>
        <w:rPr>
          <w:spacing w:val="-3"/>
          <w:sz w:val="18"/>
        </w:rPr>
        <w:t> </w:t>
      </w:r>
      <w:r>
        <w:rPr>
          <w:sz w:val="18"/>
        </w:rPr>
        <w:t>&amp;</w:t>
      </w:r>
      <w:r>
        <w:rPr>
          <w:spacing w:val="-3"/>
          <w:sz w:val="18"/>
        </w:rPr>
        <w:t> </w:t>
      </w:r>
      <w:r>
        <w:rPr>
          <w:sz w:val="18"/>
        </w:rPr>
        <w:t>Lane,</w:t>
      </w:r>
      <w:r>
        <w:rPr>
          <w:spacing w:val="-3"/>
          <w:sz w:val="18"/>
        </w:rPr>
        <w:t> </w:t>
      </w:r>
      <w:r>
        <w:rPr>
          <w:sz w:val="18"/>
        </w:rPr>
        <w:t>S.,</w:t>
      </w:r>
      <w:r>
        <w:rPr>
          <w:spacing w:val="-3"/>
          <w:sz w:val="18"/>
        </w:rPr>
        <w:t> </w:t>
      </w:r>
      <w:r>
        <w:rPr>
          <w:sz w:val="18"/>
        </w:rPr>
        <w:t>CEBRA,</w:t>
      </w:r>
      <w:r>
        <w:rPr>
          <w:spacing w:val="-1"/>
          <w:sz w:val="18"/>
        </w:rPr>
        <w:t> </w:t>
      </w:r>
      <w:r>
        <w:rPr>
          <w:sz w:val="18"/>
        </w:rPr>
        <w:t>University</w:t>
      </w:r>
      <w:r>
        <w:rPr>
          <w:spacing w:val="-4"/>
          <w:sz w:val="18"/>
        </w:rPr>
        <w:t> </w:t>
      </w:r>
      <w:r>
        <w:rPr>
          <w:sz w:val="18"/>
        </w:rPr>
        <w:t>of</w:t>
      </w:r>
      <w:r>
        <w:rPr>
          <w:spacing w:val="-5"/>
          <w:sz w:val="18"/>
        </w:rPr>
        <w:t> </w:t>
      </w:r>
      <w:r>
        <w:rPr>
          <w:sz w:val="18"/>
        </w:rPr>
        <w:t>Melbourne,</w:t>
      </w:r>
      <w:r>
        <w:rPr>
          <w:spacing w:val="-5"/>
          <w:sz w:val="18"/>
        </w:rPr>
        <w:t> </w:t>
      </w:r>
      <w:r>
        <w:rPr>
          <w:sz w:val="18"/>
        </w:rPr>
        <w:t>2017. </w:t>
      </w:r>
      <w:r>
        <w:rPr>
          <w:i/>
          <w:sz w:val="18"/>
        </w:rPr>
        <w:t>Assessment</w:t>
      </w:r>
      <w:r>
        <w:rPr>
          <w:i/>
          <w:spacing w:val="-3"/>
          <w:sz w:val="18"/>
        </w:rPr>
        <w:t> </w:t>
      </w:r>
      <w:r>
        <w:rPr>
          <w:i/>
          <w:sz w:val="18"/>
        </w:rPr>
        <w:t>and</w:t>
      </w:r>
      <w:r>
        <w:rPr>
          <w:i/>
          <w:spacing w:val="-3"/>
          <w:sz w:val="18"/>
        </w:rPr>
        <w:t> </w:t>
      </w:r>
      <w:r>
        <w:rPr>
          <w:i/>
          <w:sz w:val="18"/>
        </w:rPr>
        <w:t>Analysis</w:t>
      </w:r>
      <w:r>
        <w:rPr>
          <w:i/>
          <w:spacing w:val="-5"/>
          <w:sz w:val="18"/>
        </w:rPr>
        <w:t> </w:t>
      </w:r>
      <w:r>
        <w:rPr>
          <w:i/>
          <w:sz w:val="18"/>
        </w:rPr>
        <w:t>of</w:t>
      </w:r>
      <w:r>
        <w:rPr>
          <w:i/>
          <w:spacing w:val="-3"/>
          <w:sz w:val="18"/>
        </w:rPr>
        <w:t> </w:t>
      </w:r>
      <w:r>
        <w:rPr>
          <w:i/>
          <w:sz w:val="18"/>
        </w:rPr>
        <w:t>Incident</w:t>
      </w:r>
      <w:r>
        <w:rPr>
          <w:i/>
          <w:spacing w:val="-3"/>
          <w:sz w:val="18"/>
        </w:rPr>
        <w:t> </w:t>
      </w:r>
      <w:r>
        <w:rPr>
          <w:i/>
          <w:sz w:val="18"/>
        </w:rPr>
        <w:t>Data Held by Energy Safe Victoria: Final Report</w:t>
      </w:r>
      <w:r>
        <w:rPr>
          <w:sz w:val="18"/>
        </w:rPr>
        <w:t>: CEBRA, University of Melbourne.</w:t>
      </w:r>
    </w:p>
    <w:p>
      <w:pPr>
        <w:spacing w:after="0" w:line="285" w:lineRule="auto"/>
        <w:jc w:val="left"/>
        <w:rPr>
          <w:sz w:val="18"/>
        </w:rPr>
        <w:sectPr>
          <w:pgSz w:w="11910" w:h="16840"/>
          <w:pgMar w:header="887" w:footer="1228" w:top="1080" w:bottom="1500" w:left="840" w:right="820"/>
        </w:sectPr>
      </w:pPr>
    </w:p>
    <w:p>
      <w:pPr>
        <w:pStyle w:val="BodyText"/>
        <w:rPr>
          <w:sz w:val="20"/>
        </w:rPr>
      </w:pPr>
    </w:p>
    <w:p>
      <w:pPr>
        <w:pStyle w:val="BodyText"/>
        <w:rPr>
          <w:sz w:val="20"/>
        </w:rPr>
      </w:pPr>
    </w:p>
    <w:p>
      <w:pPr>
        <w:pStyle w:val="Heading3"/>
        <w:spacing w:line="285" w:lineRule="auto" w:before="262"/>
        <w:ind w:left="600"/>
      </w:pPr>
      <w:bookmarkStart w:name="_bookmark9" w:id="10"/>
      <w:bookmarkEnd w:id="10"/>
      <w:r>
        <w:rPr>
          <w:b w:val="0"/>
        </w:rPr>
      </w:r>
      <w:r>
        <w:rPr>
          <w:color w:val="00B1A9"/>
        </w:rPr>
        <w:t>Chapter</w:t>
      </w:r>
      <w:r>
        <w:rPr>
          <w:color w:val="00B1A9"/>
          <w:spacing w:val="-6"/>
        </w:rPr>
        <w:t> </w:t>
      </w:r>
      <w:r>
        <w:rPr>
          <w:color w:val="00B1A9"/>
        </w:rPr>
        <w:t>3:</w:t>
      </w:r>
      <w:r>
        <w:rPr>
          <w:color w:val="00B1A9"/>
          <w:spacing w:val="-6"/>
        </w:rPr>
        <w:t> </w:t>
      </w:r>
      <w:r>
        <w:rPr>
          <w:color w:val="00B1A9"/>
        </w:rPr>
        <w:t>Engagement</w:t>
      </w:r>
      <w:r>
        <w:rPr>
          <w:color w:val="00B1A9"/>
          <w:spacing w:val="-22"/>
        </w:rPr>
        <w:t> </w:t>
      </w:r>
      <w:r>
        <w:rPr>
          <w:color w:val="00B1A9"/>
        </w:rPr>
        <w:t>Across</w:t>
      </w:r>
      <w:r>
        <w:rPr>
          <w:color w:val="00B1A9"/>
          <w:spacing w:val="-6"/>
        </w:rPr>
        <w:t> </w:t>
      </w:r>
      <w:r>
        <w:rPr>
          <w:color w:val="00B1A9"/>
        </w:rPr>
        <w:t>Regulatory</w:t>
      </w:r>
      <w:r>
        <w:rPr>
          <w:color w:val="00B1A9"/>
          <w:spacing w:val="-13"/>
        </w:rPr>
        <w:t> </w:t>
      </w:r>
      <w:r>
        <w:rPr>
          <w:color w:val="00B1A9"/>
        </w:rPr>
        <w:t>and Interagency Boundaries</w:t>
      </w:r>
    </w:p>
    <w:p>
      <w:pPr>
        <w:pStyle w:val="BodyText"/>
        <w:rPr>
          <w:b/>
          <w:sz w:val="20"/>
        </w:rPr>
      </w:pPr>
    </w:p>
    <w:p>
      <w:pPr>
        <w:pStyle w:val="Heading4"/>
        <w:spacing w:before="255"/>
        <w:ind w:left="742"/>
      </w:pPr>
      <w:r>
        <w:rPr/>
        <mc:AlternateContent>
          <mc:Choice Requires="wps">
            <w:drawing>
              <wp:anchor distT="0" distB="0" distL="0" distR="0" allowOverlap="1" layoutInCell="1" locked="0" behindDoc="1" simplePos="0" relativeHeight="482722304">
                <wp:simplePos x="0" y="0"/>
                <wp:positionH relativeFrom="page">
                  <wp:posOffset>914704</wp:posOffset>
                </wp:positionH>
                <wp:positionV relativeFrom="paragraph">
                  <wp:posOffset>9751</wp:posOffset>
                </wp:positionV>
                <wp:extent cx="5732780" cy="6859270"/>
                <wp:effectExtent l="0" t="0" r="0" b="0"/>
                <wp:wrapNone/>
                <wp:docPr id="142" name="Graphic 142"/>
                <wp:cNvGraphicFramePr>
                  <a:graphicFrameLocks/>
                </wp:cNvGraphicFramePr>
                <a:graphic>
                  <a:graphicData uri="http://schemas.microsoft.com/office/word/2010/wordprocessingShape">
                    <wps:wsp>
                      <wps:cNvPr id="142" name="Graphic 142"/>
                      <wps:cNvSpPr/>
                      <wps:spPr>
                        <a:xfrm>
                          <a:off x="0" y="0"/>
                          <a:ext cx="5732780" cy="6859270"/>
                        </a:xfrm>
                        <a:custGeom>
                          <a:avLst/>
                          <a:gdLst/>
                          <a:ahLst/>
                          <a:cxnLst/>
                          <a:rect l="l" t="t" r="r" b="b"/>
                          <a:pathLst>
                            <a:path w="5732780" h="6859270">
                              <a:moveTo>
                                <a:pt x="5732653" y="0"/>
                              </a:moveTo>
                              <a:lnTo>
                                <a:pt x="0" y="0"/>
                              </a:lnTo>
                              <a:lnTo>
                                <a:pt x="0" y="6858889"/>
                              </a:lnTo>
                              <a:lnTo>
                                <a:pt x="5732653" y="6858889"/>
                              </a:lnTo>
                              <a:lnTo>
                                <a:pt x="5732653"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72.024002pt;margin-top:.767834pt;width:451.39pt;height:540.070pt;mso-position-horizontal-relative:page;mso-position-vertical-relative:paragraph;z-index:-20594176" id="docshape126" filled="true" fillcolor="#d9d9d9" stroked="false">
                <v:fill type="solid"/>
                <w10:wrap type="none"/>
              </v:rect>
            </w:pict>
          </mc:Fallback>
        </mc:AlternateContent>
      </w:r>
      <w:r>
        <w:rPr>
          <w:color w:val="585858"/>
          <w:spacing w:val="-2"/>
        </w:rPr>
        <w:t>Summary</w:t>
      </w:r>
    </w:p>
    <w:p>
      <w:pPr>
        <w:pStyle w:val="BodyText"/>
        <w:spacing w:line="288" w:lineRule="auto" w:before="314"/>
        <w:ind w:left="713" w:right="374"/>
      </w:pPr>
      <w:r>
        <w:rPr/>
        <w:t>Energy</w:t>
      </w:r>
      <w:r>
        <w:rPr>
          <w:spacing w:val="-5"/>
        </w:rPr>
        <w:t> </w:t>
      </w:r>
      <w:r>
        <w:rPr/>
        <w:t>Safe</w:t>
      </w:r>
      <w:r>
        <w:rPr>
          <w:spacing w:val="-5"/>
        </w:rPr>
        <w:t> </w:t>
      </w:r>
      <w:r>
        <w:rPr/>
        <w:t>Victoria</w:t>
      </w:r>
      <w:r>
        <w:rPr>
          <w:spacing w:val="-3"/>
        </w:rPr>
        <w:t> </w:t>
      </w:r>
      <w:r>
        <w:rPr/>
        <w:t>(ESV)</w:t>
      </w:r>
      <w:r>
        <w:rPr>
          <w:spacing w:val="-2"/>
        </w:rPr>
        <w:t> </w:t>
      </w:r>
      <w:r>
        <w:rPr/>
        <w:t>has</w:t>
      </w:r>
      <w:r>
        <w:rPr>
          <w:spacing w:val="-5"/>
        </w:rPr>
        <w:t> </w:t>
      </w:r>
      <w:r>
        <w:rPr/>
        <w:t>a</w:t>
      </w:r>
      <w:r>
        <w:rPr>
          <w:spacing w:val="-3"/>
        </w:rPr>
        <w:t> </w:t>
      </w:r>
      <w:r>
        <w:rPr/>
        <w:t>broad</w:t>
      </w:r>
      <w:r>
        <w:rPr>
          <w:spacing w:val="-5"/>
        </w:rPr>
        <w:t> </w:t>
      </w:r>
      <w:r>
        <w:rPr/>
        <w:t>reputation</w:t>
      </w:r>
      <w:r>
        <w:rPr>
          <w:spacing w:val="-5"/>
        </w:rPr>
        <w:t> </w:t>
      </w:r>
      <w:r>
        <w:rPr/>
        <w:t>for</w:t>
      </w:r>
      <w:r>
        <w:rPr>
          <w:spacing w:val="-2"/>
        </w:rPr>
        <w:t> </w:t>
      </w:r>
      <w:r>
        <w:rPr/>
        <w:t>working</w:t>
      </w:r>
      <w:r>
        <w:rPr>
          <w:spacing w:val="-3"/>
        </w:rPr>
        <w:t> </w:t>
      </w:r>
      <w:r>
        <w:rPr/>
        <w:t>well</w:t>
      </w:r>
      <w:r>
        <w:rPr>
          <w:spacing w:val="-1"/>
        </w:rPr>
        <w:t> </w:t>
      </w:r>
      <w:r>
        <w:rPr/>
        <w:t>with</w:t>
      </w:r>
      <w:r>
        <w:rPr>
          <w:spacing w:val="-3"/>
        </w:rPr>
        <w:t> </w:t>
      </w:r>
      <w:r>
        <w:rPr/>
        <w:t>other</w:t>
      </w:r>
      <w:r>
        <w:rPr>
          <w:spacing w:val="-4"/>
        </w:rPr>
        <w:t> </w:t>
      </w:r>
      <w:r>
        <w:rPr/>
        <w:t>government agencies, both nationally and in Victoria, and is respected for its technical expertise in electricity and gas safety.</w:t>
      </w:r>
    </w:p>
    <w:p>
      <w:pPr>
        <w:pStyle w:val="BodyText"/>
        <w:spacing w:before="11"/>
        <w:rPr>
          <w:sz w:val="20"/>
        </w:rPr>
      </w:pPr>
    </w:p>
    <w:p>
      <w:pPr>
        <w:pStyle w:val="BodyText"/>
        <w:spacing w:line="288" w:lineRule="auto"/>
        <w:ind w:left="713" w:right="910"/>
      </w:pPr>
      <w:r>
        <w:rPr/>
        <w:t>ESV</w:t>
      </w:r>
      <w:r>
        <w:rPr>
          <w:spacing w:val="-4"/>
        </w:rPr>
        <w:t> </w:t>
      </w:r>
      <w:r>
        <w:rPr/>
        <w:t>has</w:t>
      </w:r>
      <w:r>
        <w:rPr>
          <w:spacing w:val="-5"/>
        </w:rPr>
        <w:t> </w:t>
      </w:r>
      <w:r>
        <w:rPr/>
        <w:t>formally</w:t>
      </w:r>
      <w:r>
        <w:rPr>
          <w:spacing w:val="-5"/>
        </w:rPr>
        <w:t> </w:t>
      </w:r>
      <w:r>
        <w:rPr/>
        <w:t>documented</w:t>
      </w:r>
      <w:r>
        <w:rPr>
          <w:spacing w:val="-5"/>
        </w:rPr>
        <w:t> </w:t>
      </w:r>
      <w:r>
        <w:rPr/>
        <w:t>many</w:t>
      </w:r>
      <w:r>
        <w:rPr>
          <w:spacing w:val="-5"/>
        </w:rPr>
        <w:t> </w:t>
      </w:r>
      <w:r>
        <w:rPr/>
        <w:t>of</w:t>
      </w:r>
      <w:r>
        <w:rPr>
          <w:spacing w:val="-2"/>
        </w:rPr>
        <w:t> </w:t>
      </w:r>
      <w:r>
        <w:rPr/>
        <w:t>its</w:t>
      </w:r>
      <w:r>
        <w:rPr>
          <w:spacing w:val="-3"/>
        </w:rPr>
        <w:t> </w:t>
      </w:r>
      <w:r>
        <w:rPr/>
        <w:t>working</w:t>
      </w:r>
      <w:r>
        <w:rPr>
          <w:spacing w:val="-4"/>
        </w:rPr>
        <w:t> </w:t>
      </w:r>
      <w:r>
        <w:rPr/>
        <w:t>arrangements</w:t>
      </w:r>
      <w:r>
        <w:rPr>
          <w:spacing w:val="-3"/>
        </w:rPr>
        <w:t> </w:t>
      </w:r>
      <w:r>
        <w:rPr/>
        <w:t>with</w:t>
      </w:r>
      <w:r>
        <w:rPr>
          <w:spacing w:val="-4"/>
        </w:rPr>
        <w:t> </w:t>
      </w:r>
      <w:r>
        <w:rPr/>
        <w:t>other</w:t>
      </w:r>
      <w:r>
        <w:rPr>
          <w:spacing w:val="-3"/>
        </w:rPr>
        <w:t> </w:t>
      </w:r>
      <w:r>
        <w:rPr/>
        <w:t>regulators and agencies, principally through a system of bilateral memoranda of understanding </w:t>
      </w:r>
      <w:r>
        <w:rPr>
          <w:spacing w:val="-2"/>
        </w:rPr>
        <w:t>(MOUs).</w:t>
      </w:r>
    </w:p>
    <w:p>
      <w:pPr>
        <w:pStyle w:val="BodyText"/>
        <w:spacing w:before="9"/>
        <w:rPr>
          <w:sz w:val="20"/>
        </w:rPr>
      </w:pPr>
    </w:p>
    <w:p>
      <w:pPr>
        <w:pStyle w:val="BodyText"/>
        <w:spacing w:line="288" w:lineRule="auto" w:before="1"/>
        <w:ind w:left="713" w:right="374"/>
      </w:pPr>
      <w:r>
        <w:rPr/>
        <w:t>In</w:t>
      </w:r>
      <w:r>
        <w:rPr>
          <w:spacing w:val="-5"/>
        </w:rPr>
        <w:t> </w:t>
      </w:r>
      <w:r>
        <w:rPr/>
        <w:t>general,</w:t>
      </w:r>
      <w:r>
        <w:rPr>
          <w:spacing w:val="-1"/>
        </w:rPr>
        <w:t> </w:t>
      </w:r>
      <w:r>
        <w:rPr/>
        <w:t>ESV</w:t>
      </w:r>
      <w:r>
        <w:rPr>
          <w:spacing w:val="-5"/>
        </w:rPr>
        <w:t> </w:t>
      </w:r>
      <w:r>
        <w:rPr/>
        <w:t>maintains</w:t>
      </w:r>
      <w:r>
        <w:rPr>
          <w:spacing w:val="-2"/>
        </w:rPr>
        <w:t> </w:t>
      </w:r>
      <w:r>
        <w:rPr/>
        <w:t>effective</w:t>
      </w:r>
      <w:r>
        <w:rPr>
          <w:spacing w:val="-3"/>
        </w:rPr>
        <w:t> </w:t>
      </w:r>
      <w:r>
        <w:rPr/>
        <w:t>arrangements</w:t>
      </w:r>
      <w:r>
        <w:rPr>
          <w:spacing w:val="-6"/>
        </w:rPr>
        <w:t> </w:t>
      </w:r>
      <w:r>
        <w:rPr/>
        <w:t>for</w:t>
      </w:r>
      <w:r>
        <w:rPr>
          <w:spacing w:val="-2"/>
        </w:rPr>
        <w:t> </w:t>
      </w:r>
      <w:r>
        <w:rPr/>
        <w:t>working with</w:t>
      </w:r>
      <w:r>
        <w:rPr>
          <w:spacing w:val="-3"/>
        </w:rPr>
        <w:t> </w:t>
      </w:r>
      <w:r>
        <w:rPr/>
        <w:t>other</w:t>
      </w:r>
      <w:r>
        <w:rPr>
          <w:spacing w:val="-4"/>
        </w:rPr>
        <w:t> </w:t>
      </w:r>
      <w:r>
        <w:rPr/>
        <w:t>regulators.</w:t>
      </w:r>
      <w:r>
        <w:rPr>
          <w:spacing w:val="-4"/>
        </w:rPr>
        <w:t> </w:t>
      </w:r>
      <w:r>
        <w:rPr/>
        <w:t>Some formal agreements that ESV maintains are not up-to-date or have formally expired. ESV should maintain more structured arrangements for reviewing and updating its MOUs and similar interagency agreements (</w:t>
      </w:r>
      <w:r>
        <w:rPr>
          <w:b/>
        </w:rPr>
        <w:t>Recommendation 16</w:t>
      </w:r>
      <w:r>
        <w:rPr/>
        <w:t>).</w:t>
      </w:r>
    </w:p>
    <w:p>
      <w:pPr>
        <w:pStyle w:val="BodyText"/>
        <w:spacing w:before="9"/>
        <w:rPr>
          <w:sz w:val="20"/>
        </w:rPr>
      </w:pPr>
    </w:p>
    <w:p>
      <w:pPr>
        <w:pStyle w:val="BodyText"/>
        <w:spacing w:line="288" w:lineRule="auto" w:before="1"/>
        <w:ind w:left="713" w:right="761"/>
      </w:pPr>
      <w:r>
        <w:rPr/>
        <w:t>An</w:t>
      </w:r>
      <w:r>
        <w:rPr>
          <w:spacing w:val="-3"/>
        </w:rPr>
        <w:t> </w:t>
      </w:r>
      <w:r>
        <w:rPr/>
        <w:t>updated</w:t>
      </w:r>
      <w:r>
        <w:rPr>
          <w:spacing w:val="-5"/>
        </w:rPr>
        <w:t> </w:t>
      </w:r>
      <w:r>
        <w:rPr/>
        <w:t>MOU</w:t>
      </w:r>
      <w:r>
        <w:rPr>
          <w:spacing w:val="-3"/>
        </w:rPr>
        <w:t> </w:t>
      </w:r>
      <w:r>
        <w:rPr/>
        <w:t>should</w:t>
      </w:r>
      <w:r>
        <w:rPr>
          <w:spacing w:val="-3"/>
        </w:rPr>
        <w:t> </w:t>
      </w:r>
      <w:r>
        <w:rPr/>
        <w:t>be</w:t>
      </w:r>
      <w:r>
        <w:rPr>
          <w:spacing w:val="-3"/>
        </w:rPr>
        <w:t> </w:t>
      </w:r>
      <w:r>
        <w:rPr/>
        <w:t>developed</w:t>
      </w:r>
      <w:r>
        <w:rPr>
          <w:spacing w:val="-3"/>
        </w:rPr>
        <w:t> </w:t>
      </w:r>
      <w:r>
        <w:rPr/>
        <w:t>between</w:t>
      </w:r>
      <w:r>
        <w:rPr>
          <w:spacing w:val="-3"/>
        </w:rPr>
        <w:t> </w:t>
      </w:r>
      <w:r>
        <w:rPr/>
        <w:t>ESV</w:t>
      </w:r>
      <w:r>
        <w:rPr>
          <w:spacing w:val="-3"/>
        </w:rPr>
        <w:t> </w:t>
      </w:r>
      <w:r>
        <w:rPr/>
        <w:t>and</w:t>
      </w:r>
      <w:r>
        <w:rPr>
          <w:spacing w:val="-3"/>
        </w:rPr>
        <w:t> </w:t>
      </w:r>
      <w:r>
        <w:rPr/>
        <w:t>the</w:t>
      </w:r>
      <w:r>
        <w:rPr>
          <w:spacing w:val="-5"/>
        </w:rPr>
        <w:t> </w:t>
      </w:r>
      <w:r>
        <w:rPr/>
        <w:t>Department</w:t>
      </w:r>
      <w:r>
        <w:rPr>
          <w:spacing w:val="-4"/>
        </w:rPr>
        <w:t> </w:t>
      </w:r>
      <w:r>
        <w:rPr/>
        <w:t>of</w:t>
      </w:r>
      <w:r>
        <w:rPr>
          <w:spacing w:val="-1"/>
        </w:rPr>
        <w:t> </w:t>
      </w:r>
      <w:r>
        <w:rPr/>
        <w:t>Environment, Land, Water and Planning (DELWP) that sets out their respective roles and</w:t>
      </w:r>
      <w:r>
        <w:rPr>
          <w:spacing w:val="40"/>
        </w:rPr>
        <w:t> </w:t>
      </w:r>
      <w:r>
        <w:rPr/>
        <w:t>responsibilities (</w:t>
      </w:r>
      <w:r>
        <w:rPr>
          <w:b/>
        </w:rPr>
        <w:t>Recommendation 17</w:t>
      </w:r>
      <w:r>
        <w:rPr/>
        <w:t>). Several stakeholders have raised concerns about a perceived lack of clarity in the current division of responsibilities between ESV and </w:t>
      </w:r>
      <w:r>
        <w:rPr>
          <w:spacing w:val="-2"/>
        </w:rPr>
        <w:t>DELWP.</w:t>
      </w:r>
    </w:p>
    <w:p>
      <w:pPr>
        <w:pStyle w:val="BodyText"/>
        <w:rPr>
          <w:sz w:val="21"/>
        </w:rPr>
      </w:pPr>
    </w:p>
    <w:p>
      <w:pPr>
        <w:pStyle w:val="BodyText"/>
        <w:spacing w:line="288" w:lineRule="auto"/>
        <w:ind w:left="713" w:right="586"/>
      </w:pPr>
      <w:r>
        <w:rPr/>
        <w:t>The Essential Services Commission (ESC) should complete its planned review of voltage variation</w:t>
      </w:r>
      <w:r>
        <w:rPr>
          <w:spacing w:val="-3"/>
        </w:rPr>
        <w:t> </w:t>
      </w:r>
      <w:r>
        <w:rPr/>
        <w:t>standards</w:t>
      </w:r>
      <w:r>
        <w:rPr>
          <w:spacing w:val="-5"/>
        </w:rPr>
        <w:t> </w:t>
      </w:r>
      <w:r>
        <w:rPr/>
        <w:t>under</w:t>
      </w:r>
      <w:r>
        <w:rPr>
          <w:spacing w:val="-4"/>
        </w:rPr>
        <w:t> </w:t>
      </w:r>
      <w:r>
        <w:rPr/>
        <w:t>the</w:t>
      </w:r>
      <w:r>
        <w:rPr>
          <w:spacing w:val="-2"/>
        </w:rPr>
        <w:t> </w:t>
      </w:r>
      <w:r>
        <w:rPr>
          <w:i/>
        </w:rPr>
        <w:t>Electricity</w:t>
      </w:r>
      <w:r>
        <w:rPr>
          <w:i/>
          <w:spacing w:val="-2"/>
        </w:rPr>
        <w:t> </w:t>
      </w:r>
      <w:r>
        <w:rPr>
          <w:i/>
        </w:rPr>
        <w:t>Distribution</w:t>
      </w:r>
      <w:r>
        <w:rPr>
          <w:i/>
          <w:spacing w:val="-3"/>
        </w:rPr>
        <w:t> </w:t>
      </w:r>
      <w:r>
        <w:rPr>
          <w:i/>
        </w:rPr>
        <w:t>Code</w:t>
      </w:r>
      <w:r>
        <w:rPr>
          <w:i/>
          <w:spacing w:val="-1"/>
        </w:rPr>
        <w:t> </w:t>
      </w:r>
      <w:r>
        <w:rPr/>
        <w:t>as</w:t>
      </w:r>
      <w:r>
        <w:rPr>
          <w:spacing w:val="-5"/>
        </w:rPr>
        <w:t> </w:t>
      </w:r>
      <w:r>
        <w:rPr/>
        <w:t>a</w:t>
      </w:r>
      <w:r>
        <w:rPr>
          <w:spacing w:val="-5"/>
        </w:rPr>
        <w:t> </w:t>
      </w:r>
      <w:r>
        <w:rPr/>
        <w:t>matter</w:t>
      </w:r>
      <w:r>
        <w:rPr>
          <w:spacing w:val="-4"/>
        </w:rPr>
        <w:t> </w:t>
      </w:r>
      <w:r>
        <w:rPr/>
        <w:t>of</w:t>
      </w:r>
      <w:r>
        <w:rPr>
          <w:spacing w:val="-1"/>
        </w:rPr>
        <w:t> </w:t>
      </w:r>
      <w:r>
        <w:rPr/>
        <w:t>priority</w:t>
      </w:r>
      <w:r>
        <w:rPr>
          <w:i/>
        </w:rPr>
        <w:t>.</w:t>
      </w:r>
      <w:r>
        <w:rPr>
          <w:i/>
          <w:spacing w:val="-3"/>
        </w:rPr>
        <w:t> </w:t>
      </w:r>
      <w:r>
        <w:rPr/>
        <w:t>The</w:t>
      </w:r>
      <w:r>
        <w:rPr>
          <w:spacing w:val="-5"/>
        </w:rPr>
        <w:t> </w:t>
      </w:r>
      <w:r>
        <w:rPr/>
        <w:t>ESC has also signalled its intention to commence a much broader review of the electricity and gas distribution codes to ensure they are fit-for-purpose, and in the long-term interests of Victorian consumers.</w:t>
      </w:r>
    </w:p>
    <w:p>
      <w:pPr>
        <w:pStyle w:val="BodyText"/>
        <w:spacing w:before="9"/>
        <w:rPr>
          <w:sz w:val="20"/>
        </w:rPr>
      </w:pPr>
    </w:p>
    <w:p>
      <w:pPr>
        <w:pStyle w:val="BodyText"/>
        <w:spacing w:line="288" w:lineRule="auto"/>
        <w:ind w:left="713" w:right="813"/>
      </w:pPr>
      <w:r>
        <w:rPr/>
        <w:t>A</w:t>
      </w:r>
      <w:r>
        <w:rPr>
          <w:spacing w:val="-3"/>
        </w:rPr>
        <w:t> </w:t>
      </w:r>
      <w:r>
        <w:rPr/>
        <w:t>review</w:t>
      </w:r>
      <w:r>
        <w:rPr>
          <w:spacing w:val="-6"/>
        </w:rPr>
        <w:t> </w:t>
      </w:r>
      <w:r>
        <w:rPr/>
        <w:t>of</w:t>
      </w:r>
      <w:r>
        <w:rPr>
          <w:spacing w:val="-1"/>
        </w:rPr>
        <w:t> </w:t>
      </w:r>
      <w:r>
        <w:rPr/>
        <w:t>the</w:t>
      </w:r>
      <w:r>
        <w:rPr>
          <w:spacing w:val="-3"/>
        </w:rPr>
        <w:t> </w:t>
      </w:r>
      <w:r>
        <w:rPr/>
        <w:t>codes</w:t>
      </w:r>
      <w:r>
        <w:rPr>
          <w:spacing w:val="-2"/>
        </w:rPr>
        <w:t> </w:t>
      </w:r>
      <w:r>
        <w:rPr/>
        <w:t>should</w:t>
      </w:r>
      <w:r>
        <w:rPr>
          <w:spacing w:val="-3"/>
        </w:rPr>
        <w:t> </w:t>
      </w:r>
      <w:r>
        <w:rPr/>
        <w:t>consider</w:t>
      </w:r>
      <w:r>
        <w:rPr>
          <w:spacing w:val="-2"/>
        </w:rPr>
        <w:t> </w:t>
      </w:r>
      <w:r>
        <w:rPr/>
        <w:t>options</w:t>
      </w:r>
      <w:r>
        <w:rPr>
          <w:spacing w:val="-5"/>
        </w:rPr>
        <w:t> </w:t>
      </w:r>
      <w:r>
        <w:rPr/>
        <w:t>regarding</w:t>
      </w:r>
      <w:r>
        <w:rPr>
          <w:spacing w:val="-3"/>
        </w:rPr>
        <w:t> </w:t>
      </w:r>
      <w:r>
        <w:rPr/>
        <w:t>the</w:t>
      </w:r>
      <w:r>
        <w:rPr>
          <w:spacing w:val="-5"/>
        </w:rPr>
        <w:t> </w:t>
      </w:r>
      <w:r>
        <w:rPr/>
        <w:t>technical</w:t>
      </w:r>
      <w:r>
        <w:rPr>
          <w:spacing w:val="-4"/>
        </w:rPr>
        <w:t> </w:t>
      </w:r>
      <w:r>
        <w:rPr/>
        <w:t>components</w:t>
      </w:r>
      <w:r>
        <w:rPr>
          <w:spacing w:val="-4"/>
        </w:rPr>
        <w:t> </w:t>
      </w:r>
      <w:r>
        <w:rPr/>
        <w:t>within the codes (</w:t>
      </w:r>
      <w:r>
        <w:rPr>
          <w:b/>
        </w:rPr>
        <w:t>Recommendation 18</w:t>
      </w:r>
      <w:r>
        <w:rPr/>
        <w:t>).</w:t>
      </w:r>
    </w:p>
    <w:p>
      <w:pPr>
        <w:pStyle w:val="BodyText"/>
        <w:spacing w:before="10"/>
        <w:rPr>
          <w:sz w:val="20"/>
        </w:rPr>
      </w:pPr>
    </w:p>
    <w:p>
      <w:pPr>
        <w:spacing w:line="288" w:lineRule="auto" w:before="0"/>
        <w:ind w:left="713" w:right="713" w:firstLine="0"/>
        <w:jc w:val="left"/>
        <w:rPr>
          <w:sz w:val="22"/>
        </w:rPr>
      </w:pPr>
      <w:r>
        <w:rPr>
          <w:sz w:val="22"/>
        </w:rPr>
        <w:t>ESV has a particularly important role to play in supporting emergency management agencies.</w:t>
      </w:r>
      <w:r>
        <w:rPr>
          <w:spacing w:val="-3"/>
          <w:sz w:val="22"/>
        </w:rPr>
        <w:t> </w:t>
      </w:r>
      <w:r>
        <w:rPr>
          <w:sz w:val="22"/>
        </w:rPr>
        <w:t>ESV’s</w:t>
      </w:r>
      <w:r>
        <w:rPr>
          <w:spacing w:val="-4"/>
          <w:sz w:val="22"/>
        </w:rPr>
        <w:t> </w:t>
      </w:r>
      <w:r>
        <w:rPr>
          <w:i/>
          <w:sz w:val="22"/>
        </w:rPr>
        <w:t>Electricity</w:t>
      </w:r>
      <w:r>
        <w:rPr>
          <w:i/>
          <w:spacing w:val="-4"/>
          <w:sz w:val="22"/>
        </w:rPr>
        <w:t> </w:t>
      </w:r>
      <w:r>
        <w:rPr>
          <w:i/>
          <w:sz w:val="22"/>
        </w:rPr>
        <w:t>Hazards</w:t>
      </w:r>
      <w:r>
        <w:rPr>
          <w:i/>
          <w:spacing w:val="-2"/>
          <w:sz w:val="22"/>
        </w:rPr>
        <w:t> </w:t>
      </w:r>
      <w:r>
        <w:rPr>
          <w:i/>
          <w:sz w:val="22"/>
        </w:rPr>
        <w:t>&amp;</w:t>
      </w:r>
      <w:r>
        <w:rPr>
          <w:i/>
          <w:spacing w:val="-5"/>
          <w:sz w:val="22"/>
        </w:rPr>
        <w:t> </w:t>
      </w:r>
      <w:r>
        <w:rPr>
          <w:i/>
          <w:sz w:val="22"/>
        </w:rPr>
        <w:t>Safety</w:t>
      </w:r>
      <w:r>
        <w:rPr>
          <w:i/>
          <w:spacing w:val="-4"/>
          <w:sz w:val="22"/>
        </w:rPr>
        <w:t> </w:t>
      </w:r>
      <w:r>
        <w:rPr>
          <w:i/>
          <w:sz w:val="22"/>
        </w:rPr>
        <w:t>Handbook</w:t>
      </w:r>
      <w:r>
        <w:rPr>
          <w:i/>
          <w:spacing w:val="-4"/>
          <w:sz w:val="22"/>
        </w:rPr>
        <w:t> </w:t>
      </w:r>
      <w:r>
        <w:rPr>
          <w:i/>
          <w:sz w:val="22"/>
        </w:rPr>
        <w:t>for</w:t>
      </w:r>
      <w:r>
        <w:rPr>
          <w:i/>
          <w:spacing w:val="-4"/>
          <w:sz w:val="22"/>
        </w:rPr>
        <w:t> </w:t>
      </w:r>
      <w:r>
        <w:rPr>
          <w:i/>
          <w:sz w:val="22"/>
        </w:rPr>
        <w:t>Emergency</w:t>
      </w:r>
      <w:r>
        <w:rPr>
          <w:i/>
          <w:spacing w:val="-4"/>
          <w:sz w:val="22"/>
        </w:rPr>
        <w:t> </w:t>
      </w:r>
      <w:r>
        <w:rPr>
          <w:i/>
          <w:sz w:val="22"/>
        </w:rPr>
        <w:t>Service</w:t>
      </w:r>
      <w:r>
        <w:rPr>
          <w:i/>
          <w:spacing w:val="-5"/>
          <w:sz w:val="22"/>
        </w:rPr>
        <w:t> </w:t>
      </w:r>
      <w:r>
        <w:rPr>
          <w:i/>
          <w:sz w:val="22"/>
        </w:rPr>
        <w:t>Personnel </w:t>
      </w:r>
      <w:r>
        <w:rPr>
          <w:sz w:val="22"/>
        </w:rPr>
        <w:t>should be reviewed and updated to ensure it fully meets the needs of emergency service agencies. A similar handbook should be developed for gas hazards (</w:t>
      </w:r>
      <w:r>
        <w:rPr>
          <w:b/>
          <w:sz w:val="22"/>
        </w:rPr>
        <w:t>Recommendation </w:t>
      </w:r>
      <w:r>
        <w:rPr>
          <w:b/>
          <w:spacing w:val="-4"/>
          <w:sz w:val="22"/>
        </w:rPr>
        <w:t>19</w:t>
      </w:r>
      <w:r>
        <w:rPr>
          <w:spacing w:val="-4"/>
          <w:sz w:val="22"/>
        </w:rPr>
        <w:t>).</w:t>
      </w:r>
    </w:p>
    <w:p>
      <w:pPr>
        <w:spacing w:after="0" w:line="288" w:lineRule="auto"/>
        <w:jc w:val="left"/>
        <w:rPr>
          <w:sz w:val="22"/>
        </w:rPr>
        <w:sectPr>
          <w:pgSz w:w="11910" w:h="16840"/>
          <w:pgMar w:header="887" w:footer="1228" w:top="1080" w:bottom="1500" w:left="840" w:right="820"/>
        </w:sectPr>
      </w:pPr>
    </w:p>
    <w:p>
      <w:pPr>
        <w:pStyle w:val="BodyText"/>
        <w:rPr>
          <w:sz w:val="20"/>
        </w:rPr>
      </w:pPr>
    </w:p>
    <w:p>
      <w:pPr>
        <w:pStyle w:val="BodyText"/>
        <w:rPr>
          <w:sz w:val="20"/>
        </w:rPr>
      </w:pPr>
    </w:p>
    <w:p>
      <w:pPr>
        <w:pStyle w:val="Heading4"/>
        <w:spacing w:line="285" w:lineRule="auto" w:before="260"/>
        <w:ind w:left="600" w:right="910"/>
      </w:pPr>
      <w:r>
        <w:rPr>
          <w:color w:val="585858"/>
        </w:rPr>
        <w:t>ESV’s</w:t>
      </w:r>
      <w:r>
        <w:rPr>
          <w:color w:val="585858"/>
          <w:spacing w:val="-10"/>
        </w:rPr>
        <w:t> </w:t>
      </w:r>
      <w:r>
        <w:rPr>
          <w:color w:val="585858"/>
        </w:rPr>
        <w:t>relationships</w:t>
      </w:r>
      <w:r>
        <w:rPr>
          <w:color w:val="585858"/>
          <w:spacing w:val="-12"/>
        </w:rPr>
        <w:t> </w:t>
      </w:r>
      <w:r>
        <w:rPr>
          <w:color w:val="585858"/>
        </w:rPr>
        <w:t>with</w:t>
      </w:r>
      <w:r>
        <w:rPr>
          <w:color w:val="585858"/>
          <w:spacing w:val="-11"/>
        </w:rPr>
        <w:t> </w:t>
      </w:r>
      <w:r>
        <w:rPr>
          <w:color w:val="585858"/>
        </w:rPr>
        <w:t>other</w:t>
      </w:r>
      <w:r>
        <w:rPr>
          <w:color w:val="585858"/>
          <w:spacing w:val="-8"/>
        </w:rPr>
        <w:t> </w:t>
      </w:r>
      <w:r>
        <w:rPr>
          <w:color w:val="585858"/>
        </w:rPr>
        <w:t>regulators</w:t>
      </w:r>
      <w:r>
        <w:rPr>
          <w:color w:val="585858"/>
          <w:spacing w:val="-10"/>
        </w:rPr>
        <w:t> </w:t>
      </w:r>
      <w:r>
        <w:rPr>
          <w:color w:val="585858"/>
        </w:rPr>
        <w:t>and governmental entities</w:t>
      </w:r>
    </w:p>
    <w:p>
      <w:pPr>
        <w:pStyle w:val="BodyText"/>
        <w:spacing w:line="288" w:lineRule="auto" w:before="245"/>
        <w:ind w:left="600" w:right="586"/>
      </w:pPr>
      <w:r>
        <w:rPr/>
        <w:t>As</w:t>
      </w:r>
      <w:r>
        <w:rPr>
          <w:spacing w:val="-1"/>
        </w:rPr>
        <w:t> </w:t>
      </w:r>
      <w:r>
        <w:rPr/>
        <w:t>the</w:t>
      </w:r>
      <w:r>
        <w:rPr>
          <w:spacing w:val="-4"/>
        </w:rPr>
        <w:t> </w:t>
      </w:r>
      <w:r>
        <w:rPr/>
        <w:t>technical</w:t>
      </w:r>
      <w:r>
        <w:rPr>
          <w:spacing w:val="-5"/>
        </w:rPr>
        <w:t> </w:t>
      </w:r>
      <w:r>
        <w:rPr/>
        <w:t>regulator</w:t>
      </w:r>
      <w:r>
        <w:rPr>
          <w:spacing w:val="-3"/>
        </w:rPr>
        <w:t> </w:t>
      </w:r>
      <w:r>
        <w:rPr/>
        <w:t>for</w:t>
      </w:r>
      <w:r>
        <w:rPr>
          <w:spacing w:val="-1"/>
        </w:rPr>
        <w:t> </w:t>
      </w:r>
      <w:r>
        <w:rPr/>
        <w:t>energy</w:t>
      </w:r>
      <w:r>
        <w:rPr>
          <w:spacing w:val="-4"/>
        </w:rPr>
        <w:t> </w:t>
      </w:r>
      <w:r>
        <w:rPr/>
        <w:t>safety</w:t>
      </w:r>
      <w:r>
        <w:rPr>
          <w:spacing w:val="-4"/>
        </w:rPr>
        <w:t> </w:t>
      </w:r>
      <w:r>
        <w:rPr/>
        <w:t>in</w:t>
      </w:r>
      <w:r>
        <w:rPr>
          <w:spacing w:val="-2"/>
        </w:rPr>
        <w:t> </w:t>
      </w:r>
      <w:r>
        <w:rPr/>
        <w:t>Victoria, it</w:t>
      </w:r>
      <w:r>
        <w:rPr>
          <w:spacing w:val="-3"/>
        </w:rPr>
        <w:t> </w:t>
      </w:r>
      <w:r>
        <w:rPr/>
        <w:t>is</w:t>
      </w:r>
      <w:r>
        <w:rPr>
          <w:spacing w:val="-1"/>
        </w:rPr>
        <w:t> </w:t>
      </w:r>
      <w:r>
        <w:rPr/>
        <w:t>important</w:t>
      </w:r>
      <w:r>
        <w:rPr>
          <w:spacing w:val="-3"/>
        </w:rPr>
        <w:t> </w:t>
      </w:r>
      <w:r>
        <w:rPr/>
        <w:t>that ESV</w:t>
      </w:r>
      <w:r>
        <w:rPr>
          <w:spacing w:val="-2"/>
        </w:rPr>
        <w:t> </w:t>
      </w:r>
      <w:r>
        <w:rPr/>
        <w:t>is</w:t>
      </w:r>
      <w:r>
        <w:rPr>
          <w:spacing w:val="-1"/>
        </w:rPr>
        <w:t> </w:t>
      </w:r>
      <w:r>
        <w:rPr/>
        <w:t>clear</w:t>
      </w:r>
      <w:r>
        <w:rPr>
          <w:spacing w:val="-1"/>
        </w:rPr>
        <w:t> </w:t>
      </w:r>
      <w:r>
        <w:rPr/>
        <w:t>on</w:t>
      </w:r>
      <w:r>
        <w:rPr>
          <w:spacing w:val="-4"/>
        </w:rPr>
        <w:t> </w:t>
      </w:r>
      <w:r>
        <w:rPr/>
        <w:t>its role and that its functions and scope are promoted effectively to other regulators and government entities. A clear allocation of regulatory roles and responsibilities is therefore </w:t>
      </w:r>
      <w:r>
        <w:rPr>
          <w:spacing w:val="-2"/>
        </w:rPr>
        <w:t>essential.</w:t>
      </w:r>
    </w:p>
    <w:p>
      <w:pPr>
        <w:pStyle w:val="BodyText"/>
        <w:spacing w:before="10"/>
        <w:rPr>
          <w:sz w:val="20"/>
        </w:rPr>
      </w:pPr>
    </w:p>
    <w:p>
      <w:pPr>
        <w:pStyle w:val="BodyText"/>
        <w:spacing w:line="288" w:lineRule="auto"/>
        <w:ind w:left="600" w:right="586"/>
      </w:pPr>
      <w:r>
        <w:rPr/>
        <w:t>Without this clarity, there is the risk of gaps opening up between regulators, or regulated entities</w:t>
      </w:r>
      <w:r>
        <w:rPr>
          <w:spacing w:val="-2"/>
        </w:rPr>
        <w:t> </w:t>
      </w:r>
      <w:r>
        <w:rPr/>
        <w:t>being subject</w:t>
      </w:r>
      <w:r>
        <w:rPr>
          <w:spacing w:val="-3"/>
        </w:rPr>
        <w:t> </w:t>
      </w:r>
      <w:r>
        <w:rPr/>
        <w:t>to</w:t>
      </w:r>
      <w:r>
        <w:rPr>
          <w:spacing w:val="-4"/>
        </w:rPr>
        <w:t> </w:t>
      </w:r>
      <w:r>
        <w:rPr/>
        <w:t>additional</w:t>
      </w:r>
      <w:r>
        <w:rPr>
          <w:spacing w:val="-3"/>
        </w:rPr>
        <w:t> </w:t>
      </w:r>
      <w:r>
        <w:rPr/>
        <w:t>costs</w:t>
      </w:r>
      <w:r>
        <w:rPr>
          <w:spacing w:val="-3"/>
        </w:rPr>
        <w:t> </w:t>
      </w:r>
      <w:r>
        <w:rPr/>
        <w:t>and</w:t>
      </w:r>
      <w:r>
        <w:rPr>
          <w:spacing w:val="-4"/>
        </w:rPr>
        <w:t> </w:t>
      </w:r>
      <w:r>
        <w:rPr/>
        <w:t>frustration</w:t>
      </w:r>
      <w:r>
        <w:rPr>
          <w:spacing w:val="-2"/>
        </w:rPr>
        <w:t> </w:t>
      </w:r>
      <w:r>
        <w:rPr/>
        <w:t>in</w:t>
      </w:r>
      <w:r>
        <w:rPr>
          <w:spacing w:val="-2"/>
        </w:rPr>
        <w:t> </w:t>
      </w:r>
      <w:r>
        <w:rPr/>
        <w:t>having</w:t>
      </w:r>
      <w:r>
        <w:rPr>
          <w:spacing w:val="-2"/>
        </w:rPr>
        <w:t> </w:t>
      </w:r>
      <w:r>
        <w:rPr/>
        <w:t>to</w:t>
      </w:r>
      <w:r>
        <w:rPr>
          <w:spacing w:val="-4"/>
        </w:rPr>
        <w:t> </w:t>
      </w:r>
      <w:r>
        <w:rPr/>
        <w:t>work</w:t>
      </w:r>
      <w:r>
        <w:rPr>
          <w:spacing w:val="-1"/>
        </w:rPr>
        <w:t> </w:t>
      </w:r>
      <w:r>
        <w:rPr/>
        <w:t>out</w:t>
      </w:r>
      <w:r>
        <w:rPr>
          <w:spacing w:val="-1"/>
        </w:rPr>
        <w:t> </w:t>
      </w:r>
      <w:r>
        <w:rPr/>
        <w:t>how</w:t>
      </w:r>
      <w:r>
        <w:rPr>
          <w:spacing w:val="-5"/>
        </w:rPr>
        <w:t> </w:t>
      </w:r>
      <w:r>
        <w:rPr/>
        <w:t>to</w:t>
      </w:r>
      <w:r>
        <w:rPr>
          <w:spacing w:val="-4"/>
        </w:rPr>
        <w:t> </w:t>
      </w:r>
      <w:r>
        <w:rPr/>
        <w:t>navigate between agencies with overlapping responsibilities.</w:t>
      </w:r>
    </w:p>
    <w:p>
      <w:pPr>
        <w:pStyle w:val="BodyText"/>
        <w:spacing w:before="1"/>
        <w:rPr>
          <w:sz w:val="21"/>
        </w:rPr>
      </w:pPr>
    </w:p>
    <w:p>
      <w:pPr>
        <w:spacing w:line="288" w:lineRule="auto" w:before="0"/>
        <w:ind w:left="600" w:right="910" w:firstLine="0"/>
        <w:jc w:val="left"/>
        <w:rPr>
          <w:sz w:val="22"/>
        </w:rPr>
      </w:pPr>
      <w:r>
        <w:rPr>
          <w:sz w:val="22"/>
        </w:rPr>
        <w:t>ESV’s</w:t>
      </w:r>
      <w:r>
        <w:rPr>
          <w:spacing w:val="-2"/>
          <w:sz w:val="22"/>
        </w:rPr>
        <w:t> </w:t>
      </w:r>
      <w:r>
        <w:rPr>
          <w:i/>
          <w:sz w:val="22"/>
        </w:rPr>
        <w:t>Charter</w:t>
      </w:r>
      <w:r>
        <w:rPr>
          <w:i/>
          <w:spacing w:val="-4"/>
          <w:sz w:val="22"/>
        </w:rPr>
        <w:t> </w:t>
      </w:r>
      <w:r>
        <w:rPr>
          <w:i/>
          <w:sz w:val="22"/>
        </w:rPr>
        <w:t>of</w:t>
      </w:r>
      <w:r>
        <w:rPr>
          <w:i/>
          <w:spacing w:val="-4"/>
          <w:sz w:val="22"/>
        </w:rPr>
        <w:t> </w:t>
      </w:r>
      <w:r>
        <w:rPr>
          <w:i/>
          <w:sz w:val="22"/>
        </w:rPr>
        <w:t>Consultation</w:t>
      </w:r>
      <w:r>
        <w:rPr>
          <w:i/>
          <w:spacing w:val="-3"/>
          <w:sz w:val="22"/>
        </w:rPr>
        <w:t> </w:t>
      </w:r>
      <w:r>
        <w:rPr>
          <w:i/>
          <w:sz w:val="22"/>
        </w:rPr>
        <w:t>and</w:t>
      </w:r>
      <w:r>
        <w:rPr>
          <w:i/>
          <w:spacing w:val="-3"/>
          <w:sz w:val="22"/>
        </w:rPr>
        <w:t> </w:t>
      </w:r>
      <w:r>
        <w:rPr>
          <w:i/>
          <w:sz w:val="22"/>
        </w:rPr>
        <w:t>Regulatory</w:t>
      </w:r>
      <w:r>
        <w:rPr>
          <w:i/>
          <w:spacing w:val="-5"/>
          <w:sz w:val="22"/>
        </w:rPr>
        <w:t> </w:t>
      </w:r>
      <w:r>
        <w:rPr>
          <w:i/>
          <w:sz w:val="22"/>
        </w:rPr>
        <w:t>Practice </w:t>
      </w:r>
      <w:r>
        <w:rPr>
          <w:sz w:val="22"/>
        </w:rPr>
        <w:t>sets</w:t>
      </w:r>
      <w:r>
        <w:rPr>
          <w:spacing w:val="-2"/>
          <w:sz w:val="22"/>
        </w:rPr>
        <w:t> </w:t>
      </w:r>
      <w:r>
        <w:rPr>
          <w:sz w:val="22"/>
        </w:rPr>
        <w:t>out</w:t>
      </w:r>
      <w:r>
        <w:rPr>
          <w:spacing w:val="-4"/>
          <w:sz w:val="22"/>
        </w:rPr>
        <w:t> </w:t>
      </w:r>
      <w:r>
        <w:rPr>
          <w:sz w:val="22"/>
        </w:rPr>
        <w:t>its</w:t>
      </w:r>
      <w:r>
        <w:rPr>
          <w:spacing w:val="-2"/>
          <w:sz w:val="22"/>
        </w:rPr>
        <w:t> </w:t>
      </w:r>
      <w:r>
        <w:rPr>
          <w:sz w:val="22"/>
        </w:rPr>
        <w:t>broad</w:t>
      </w:r>
      <w:r>
        <w:rPr>
          <w:spacing w:val="-3"/>
          <w:sz w:val="22"/>
        </w:rPr>
        <w:t> </w:t>
      </w:r>
      <w:r>
        <w:rPr>
          <w:sz w:val="22"/>
        </w:rPr>
        <w:t>approach</w:t>
      </w:r>
      <w:r>
        <w:rPr>
          <w:spacing w:val="-5"/>
          <w:sz w:val="22"/>
        </w:rPr>
        <w:t> </w:t>
      </w:r>
      <w:r>
        <w:rPr>
          <w:sz w:val="22"/>
        </w:rPr>
        <w:t>to working across institutional boundaries:</w:t>
      </w:r>
    </w:p>
    <w:p>
      <w:pPr>
        <w:pStyle w:val="BodyText"/>
        <w:spacing w:before="10"/>
        <w:rPr>
          <w:sz w:val="20"/>
        </w:rPr>
      </w:pPr>
    </w:p>
    <w:p>
      <w:pPr>
        <w:spacing w:line="288" w:lineRule="auto" w:before="0"/>
        <w:ind w:left="1166" w:right="1200" w:firstLine="0"/>
        <w:jc w:val="left"/>
        <w:rPr>
          <w:i/>
          <w:sz w:val="22"/>
        </w:rPr>
      </w:pPr>
      <w:r>
        <w:rPr>
          <w:i/>
          <w:sz w:val="22"/>
        </w:rPr>
        <w:t>“As a technical regulator, ESV operates within a complex legislative framework interacting with energy industry participants, employer and employee associations, consumers and other government agencies, all of which have different objectives and obligations. Consultation with industry representatives, technical experts, regulators of other jurisdictions and other stakeholders is essential for developing efficient and effective regulation, industry safety standards,</w:t>
      </w:r>
      <w:r>
        <w:rPr>
          <w:i/>
          <w:spacing w:val="-2"/>
          <w:sz w:val="22"/>
        </w:rPr>
        <w:t> </w:t>
      </w:r>
      <w:r>
        <w:rPr>
          <w:i/>
          <w:sz w:val="22"/>
        </w:rPr>
        <w:t>and</w:t>
      </w:r>
      <w:r>
        <w:rPr>
          <w:i/>
          <w:spacing w:val="-4"/>
          <w:sz w:val="22"/>
        </w:rPr>
        <w:t> </w:t>
      </w:r>
      <w:r>
        <w:rPr>
          <w:i/>
          <w:sz w:val="22"/>
        </w:rPr>
        <w:t>codes</w:t>
      </w:r>
      <w:r>
        <w:rPr>
          <w:i/>
          <w:spacing w:val="-6"/>
          <w:sz w:val="22"/>
        </w:rPr>
        <w:t> </w:t>
      </w:r>
      <w:r>
        <w:rPr>
          <w:i/>
          <w:sz w:val="22"/>
        </w:rPr>
        <w:t>and</w:t>
      </w:r>
      <w:r>
        <w:rPr>
          <w:i/>
          <w:spacing w:val="-4"/>
          <w:sz w:val="22"/>
        </w:rPr>
        <w:t> </w:t>
      </w:r>
      <w:r>
        <w:rPr>
          <w:i/>
          <w:sz w:val="22"/>
        </w:rPr>
        <w:t>practices</w:t>
      </w:r>
      <w:r>
        <w:rPr>
          <w:i/>
          <w:spacing w:val="-6"/>
          <w:sz w:val="22"/>
        </w:rPr>
        <w:t> </w:t>
      </w:r>
      <w:r>
        <w:rPr>
          <w:i/>
          <w:sz w:val="22"/>
        </w:rPr>
        <w:t>to</w:t>
      </w:r>
      <w:r>
        <w:rPr>
          <w:i/>
          <w:spacing w:val="-4"/>
          <w:sz w:val="22"/>
        </w:rPr>
        <w:t> </w:t>
      </w:r>
      <w:r>
        <w:rPr>
          <w:i/>
          <w:sz w:val="22"/>
        </w:rPr>
        <w:t>support</w:t>
      </w:r>
      <w:r>
        <w:rPr>
          <w:i/>
          <w:spacing w:val="-2"/>
          <w:sz w:val="22"/>
        </w:rPr>
        <w:t> </w:t>
      </w:r>
      <w:r>
        <w:rPr>
          <w:i/>
          <w:sz w:val="22"/>
        </w:rPr>
        <w:t>compliance.</w:t>
      </w:r>
      <w:r>
        <w:rPr>
          <w:i/>
          <w:spacing w:val="-3"/>
          <w:sz w:val="22"/>
        </w:rPr>
        <w:t> </w:t>
      </w:r>
      <w:r>
        <w:rPr>
          <w:i/>
          <w:sz w:val="22"/>
        </w:rPr>
        <w:t>ESV</w:t>
      </w:r>
      <w:r>
        <w:rPr>
          <w:i/>
          <w:spacing w:val="-4"/>
          <w:sz w:val="22"/>
        </w:rPr>
        <w:t> </w:t>
      </w:r>
      <w:r>
        <w:rPr>
          <w:i/>
          <w:sz w:val="22"/>
        </w:rPr>
        <w:t>coordinates</w:t>
      </w:r>
      <w:r>
        <w:rPr>
          <w:i/>
          <w:spacing w:val="-4"/>
          <w:sz w:val="22"/>
        </w:rPr>
        <w:t> </w:t>
      </w:r>
      <w:r>
        <w:rPr>
          <w:i/>
          <w:sz w:val="22"/>
        </w:rPr>
        <w:t>and participates in a range of committees that facilitate such consultation.</w:t>
      </w:r>
    </w:p>
    <w:p>
      <w:pPr>
        <w:spacing w:line="288" w:lineRule="auto" w:before="0"/>
        <w:ind w:left="1166" w:right="1239" w:firstLine="0"/>
        <w:jc w:val="left"/>
        <w:rPr>
          <w:sz w:val="22"/>
        </w:rPr>
      </w:pPr>
      <w:r>
        <w:rPr>
          <w:i/>
          <w:sz w:val="22"/>
        </w:rPr>
        <w:t>Development</w:t>
      </w:r>
      <w:r>
        <w:rPr>
          <w:i/>
          <w:spacing w:val="-2"/>
          <w:sz w:val="22"/>
        </w:rPr>
        <w:t> </w:t>
      </w:r>
      <w:r>
        <w:rPr>
          <w:i/>
          <w:sz w:val="22"/>
        </w:rPr>
        <w:t>of</w:t>
      </w:r>
      <w:r>
        <w:rPr>
          <w:i/>
          <w:spacing w:val="-2"/>
          <w:sz w:val="22"/>
        </w:rPr>
        <w:t> </w:t>
      </w:r>
      <w:r>
        <w:rPr>
          <w:i/>
          <w:sz w:val="22"/>
        </w:rPr>
        <w:t>Memoranda</w:t>
      </w:r>
      <w:r>
        <w:rPr>
          <w:i/>
          <w:spacing w:val="-4"/>
          <w:sz w:val="22"/>
        </w:rPr>
        <w:t> </w:t>
      </w:r>
      <w:r>
        <w:rPr>
          <w:i/>
          <w:sz w:val="22"/>
        </w:rPr>
        <w:t>of</w:t>
      </w:r>
      <w:r>
        <w:rPr>
          <w:i/>
          <w:spacing w:val="-4"/>
          <w:sz w:val="22"/>
        </w:rPr>
        <w:t> </w:t>
      </w:r>
      <w:r>
        <w:rPr>
          <w:i/>
          <w:sz w:val="22"/>
        </w:rPr>
        <w:t>Understanding</w:t>
      </w:r>
      <w:r>
        <w:rPr>
          <w:i/>
          <w:spacing w:val="-4"/>
          <w:sz w:val="22"/>
        </w:rPr>
        <w:t> </w:t>
      </w:r>
      <w:r>
        <w:rPr>
          <w:i/>
          <w:sz w:val="22"/>
        </w:rPr>
        <w:t>between</w:t>
      </w:r>
      <w:r>
        <w:rPr>
          <w:i/>
          <w:spacing w:val="-6"/>
          <w:sz w:val="22"/>
        </w:rPr>
        <w:t> </w:t>
      </w:r>
      <w:r>
        <w:rPr>
          <w:i/>
          <w:sz w:val="22"/>
        </w:rPr>
        <w:t>ESV</w:t>
      </w:r>
      <w:r>
        <w:rPr>
          <w:i/>
          <w:spacing w:val="-4"/>
          <w:sz w:val="22"/>
        </w:rPr>
        <w:t> </w:t>
      </w:r>
      <w:r>
        <w:rPr>
          <w:i/>
          <w:sz w:val="22"/>
        </w:rPr>
        <w:t>and</w:t>
      </w:r>
      <w:r>
        <w:rPr>
          <w:i/>
          <w:spacing w:val="-6"/>
          <w:sz w:val="22"/>
        </w:rPr>
        <w:t> </w:t>
      </w:r>
      <w:r>
        <w:rPr>
          <w:i/>
          <w:sz w:val="22"/>
        </w:rPr>
        <w:t>other</w:t>
      </w:r>
      <w:r>
        <w:rPr>
          <w:i/>
          <w:spacing w:val="-3"/>
          <w:sz w:val="22"/>
        </w:rPr>
        <w:t> </w:t>
      </w:r>
      <w:r>
        <w:rPr>
          <w:i/>
          <w:sz w:val="22"/>
        </w:rPr>
        <w:t>agencies supports consultation and regulatory practice by clarifying roles and expectations. In addition, ESV directly communicates with, and seeks information from, industry stakeholders and the public as it performs its regulatory role.” </w:t>
      </w:r>
      <w:r>
        <w:rPr>
          <w:sz w:val="22"/>
        </w:rPr>
        <w:t>(ESV, 2015, p.1)</w:t>
      </w:r>
    </w:p>
    <w:p>
      <w:pPr>
        <w:pStyle w:val="BodyText"/>
        <w:spacing w:before="9"/>
        <w:rPr>
          <w:sz w:val="20"/>
        </w:rPr>
      </w:pPr>
    </w:p>
    <w:p>
      <w:pPr>
        <w:spacing w:line="288" w:lineRule="auto" w:before="0"/>
        <w:ind w:left="600" w:right="713" w:firstLine="0"/>
        <w:jc w:val="left"/>
        <w:rPr>
          <w:sz w:val="22"/>
        </w:rPr>
      </w:pPr>
      <w:r>
        <w:rPr>
          <w:sz w:val="22"/>
        </w:rPr>
        <w:t>A</w:t>
      </w:r>
      <w:r>
        <w:rPr>
          <w:spacing w:val="-3"/>
          <w:sz w:val="22"/>
        </w:rPr>
        <w:t> </w:t>
      </w:r>
      <w:r>
        <w:rPr>
          <w:sz w:val="22"/>
        </w:rPr>
        <w:t>number</w:t>
      </w:r>
      <w:r>
        <w:rPr>
          <w:spacing w:val="-2"/>
          <w:sz w:val="22"/>
        </w:rPr>
        <w:t> </w:t>
      </w:r>
      <w:r>
        <w:rPr>
          <w:sz w:val="22"/>
        </w:rPr>
        <w:t>of</w:t>
      </w:r>
      <w:r>
        <w:rPr>
          <w:spacing w:val="-1"/>
          <w:sz w:val="22"/>
        </w:rPr>
        <w:t> </w:t>
      </w:r>
      <w:r>
        <w:rPr>
          <w:sz w:val="22"/>
        </w:rPr>
        <w:t>important</w:t>
      </w:r>
      <w:r>
        <w:rPr>
          <w:spacing w:val="-4"/>
          <w:sz w:val="22"/>
        </w:rPr>
        <w:t> </w:t>
      </w:r>
      <w:r>
        <w:rPr>
          <w:sz w:val="22"/>
        </w:rPr>
        <w:t>relationships</w:t>
      </w:r>
      <w:r>
        <w:rPr>
          <w:spacing w:val="-3"/>
          <w:sz w:val="22"/>
        </w:rPr>
        <w:t> </w:t>
      </w:r>
      <w:r>
        <w:rPr>
          <w:sz w:val="22"/>
        </w:rPr>
        <w:t>that</w:t>
      </w:r>
      <w:r>
        <w:rPr>
          <w:spacing w:val="-4"/>
          <w:sz w:val="22"/>
        </w:rPr>
        <w:t> </w:t>
      </w:r>
      <w:r>
        <w:rPr>
          <w:sz w:val="22"/>
        </w:rPr>
        <w:t>ESV</w:t>
      </w:r>
      <w:r>
        <w:rPr>
          <w:spacing w:val="-5"/>
          <w:sz w:val="22"/>
        </w:rPr>
        <w:t> </w:t>
      </w:r>
      <w:r>
        <w:rPr>
          <w:sz w:val="22"/>
        </w:rPr>
        <w:t>maintains</w:t>
      </w:r>
      <w:r>
        <w:rPr>
          <w:spacing w:val="-3"/>
          <w:sz w:val="22"/>
        </w:rPr>
        <w:t> </w:t>
      </w:r>
      <w:r>
        <w:rPr>
          <w:sz w:val="22"/>
        </w:rPr>
        <w:t>with</w:t>
      </w:r>
      <w:r>
        <w:rPr>
          <w:spacing w:val="-3"/>
          <w:sz w:val="22"/>
        </w:rPr>
        <w:t> </w:t>
      </w:r>
      <w:r>
        <w:rPr>
          <w:sz w:val="22"/>
        </w:rPr>
        <w:t>other</w:t>
      </w:r>
      <w:r>
        <w:rPr>
          <w:spacing w:val="-4"/>
          <w:sz w:val="22"/>
        </w:rPr>
        <w:t> </w:t>
      </w:r>
      <w:r>
        <w:rPr>
          <w:sz w:val="22"/>
        </w:rPr>
        <w:t>regulators</w:t>
      </w:r>
      <w:r>
        <w:rPr>
          <w:spacing w:val="-2"/>
          <w:sz w:val="22"/>
        </w:rPr>
        <w:t> </w:t>
      </w:r>
      <w:r>
        <w:rPr>
          <w:sz w:val="22"/>
        </w:rPr>
        <w:t>are</w:t>
      </w:r>
      <w:r>
        <w:rPr>
          <w:spacing w:val="-3"/>
          <w:sz w:val="22"/>
        </w:rPr>
        <w:t> </w:t>
      </w:r>
      <w:r>
        <w:rPr>
          <w:sz w:val="22"/>
        </w:rPr>
        <w:t>discussed later in this Final Report, including the relationship with the Australian Energy Regulator in relation to the economic regulation of networks (</w:t>
      </w:r>
      <w:r>
        <w:rPr>
          <w:i/>
          <w:sz w:val="22"/>
        </w:rPr>
        <w:t>Chapter 4: Integrating Safety Regulation with</w:t>
      </w:r>
      <w:r>
        <w:rPr>
          <w:i/>
          <w:spacing w:val="-2"/>
          <w:sz w:val="22"/>
        </w:rPr>
        <w:t> </w:t>
      </w:r>
      <w:r>
        <w:rPr>
          <w:i/>
          <w:sz w:val="22"/>
        </w:rPr>
        <w:t>Economic</w:t>
      </w:r>
      <w:r>
        <w:rPr>
          <w:i/>
          <w:spacing w:val="-2"/>
          <w:sz w:val="22"/>
        </w:rPr>
        <w:t> </w:t>
      </w:r>
      <w:r>
        <w:rPr>
          <w:i/>
          <w:sz w:val="22"/>
        </w:rPr>
        <w:t>Regulation</w:t>
      </w:r>
      <w:r>
        <w:rPr>
          <w:sz w:val="22"/>
        </w:rPr>
        <w:t>),</w:t>
      </w:r>
      <w:r>
        <w:rPr>
          <w:spacing w:val="-1"/>
          <w:sz w:val="22"/>
        </w:rPr>
        <w:t> </w:t>
      </w:r>
      <w:r>
        <w:rPr>
          <w:sz w:val="22"/>
        </w:rPr>
        <w:t>and</w:t>
      </w:r>
      <w:r>
        <w:rPr>
          <w:spacing w:val="-7"/>
          <w:sz w:val="22"/>
        </w:rPr>
        <w:t> </w:t>
      </w:r>
      <w:r>
        <w:rPr>
          <w:sz w:val="22"/>
        </w:rPr>
        <w:t>Worksafe</w:t>
      </w:r>
      <w:r>
        <w:rPr>
          <w:spacing w:val="-2"/>
          <w:sz w:val="22"/>
        </w:rPr>
        <w:t> </w:t>
      </w:r>
      <w:r>
        <w:rPr>
          <w:sz w:val="22"/>
        </w:rPr>
        <w:t>Victoria in relation</w:t>
      </w:r>
      <w:r>
        <w:rPr>
          <w:spacing w:val="-2"/>
          <w:sz w:val="22"/>
        </w:rPr>
        <w:t> </w:t>
      </w:r>
      <w:r>
        <w:rPr>
          <w:sz w:val="22"/>
        </w:rPr>
        <w:t>to</w:t>
      </w:r>
      <w:r>
        <w:rPr>
          <w:spacing w:val="-2"/>
          <w:sz w:val="22"/>
        </w:rPr>
        <w:t> </w:t>
      </w:r>
      <w:r>
        <w:rPr>
          <w:sz w:val="22"/>
        </w:rPr>
        <w:t>workplace</w:t>
      </w:r>
      <w:r>
        <w:rPr>
          <w:spacing w:val="-2"/>
          <w:sz w:val="22"/>
        </w:rPr>
        <w:t> </w:t>
      </w:r>
      <w:r>
        <w:rPr>
          <w:sz w:val="22"/>
        </w:rPr>
        <w:t>safety</w:t>
      </w:r>
      <w:r>
        <w:rPr>
          <w:spacing w:val="-2"/>
          <w:sz w:val="22"/>
        </w:rPr>
        <w:t> </w:t>
      </w:r>
      <w:r>
        <w:rPr>
          <w:sz w:val="22"/>
        </w:rPr>
        <w:t>regulation (</w:t>
      </w:r>
      <w:r>
        <w:rPr>
          <w:i/>
          <w:sz w:val="22"/>
        </w:rPr>
        <w:t>Chapter 5: Promoting Workforce Engagement</w:t>
      </w:r>
      <w:r>
        <w:rPr>
          <w:sz w:val="22"/>
        </w:rPr>
        <w:t>).</w:t>
      </w:r>
    </w:p>
    <w:p>
      <w:pPr>
        <w:pStyle w:val="BodyText"/>
        <w:rPr>
          <w:sz w:val="21"/>
        </w:rPr>
      </w:pPr>
    </w:p>
    <w:p>
      <w:pPr>
        <w:pStyle w:val="BodyText"/>
        <w:spacing w:line="288" w:lineRule="auto"/>
        <w:ind w:left="600"/>
      </w:pPr>
      <w:r>
        <w:rPr/>
        <w:t>Table</w:t>
      </w:r>
      <w:r>
        <w:rPr>
          <w:spacing w:val="-2"/>
        </w:rPr>
        <w:t> </w:t>
      </w:r>
      <w:r>
        <w:rPr/>
        <w:t>6</w:t>
      </w:r>
      <w:r>
        <w:rPr>
          <w:spacing w:val="-4"/>
        </w:rPr>
        <w:t> </w:t>
      </w:r>
      <w:r>
        <w:rPr/>
        <w:t>provides</w:t>
      </w:r>
      <w:r>
        <w:rPr>
          <w:spacing w:val="-1"/>
        </w:rPr>
        <w:t> </w:t>
      </w:r>
      <w:r>
        <w:rPr/>
        <w:t>a</w:t>
      </w:r>
      <w:r>
        <w:rPr>
          <w:spacing w:val="-2"/>
        </w:rPr>
        <w:t> </w:t>
      </w:r>
      <w:r>
        <w:rPr/>
        <w:t>summary</w:t>
      </w:r>
      <w:r>
        <w:rPr>
          <w:spacing w:val="-3"/>
        </w:rPr>
        <w:t> </w:t>
      </w:r>
      <w:r>
        <w:rPr/>
        <w:t>of the</w:t>
      </w:r>
      <w:r>
        <w:rPr>
          <w:spacing w:val="-6"/>
        </w:rPr>
        <w:t> </w:t>
      </w:r>
      <w:r>
        <w:rPr/>
        <w:t>key</w:t>
      </w:r>
      <w:r>
        <w:rPr>
          <w:spacing w:val="-4"/>
        </w:rPr>
        <w:t> </w:t>
      </w:r>
      <w:r>
        <w:rPr/>
        <w:t>relationships</w:t>
      </w:r>
      <w:r>
        <w:rPr>
          <w:spacing w:val="-2"/>
        </w:rPr>
        <w:t> </w:t>
      </w:r>
      <w:r>
        <w:rPr/>
        <w:t>that</w:t>
      </w:r>
      <w:r>
        <w:rPr>
          <w:spacing w:val="-3"/>
        </w:rPr>
        <w:t> </w:t>
      </w:r>
      <w:r>
        <w:rPr/>
        <w:t>ESV</w:t>
      </w:r>
      <w:r>
        <w:rPr>
          <w:spacing w:val="-2"/>
        </w:rPr>
        <w:t> </w:t>
      </w:r>
      <w:r>
        <w:rPr/>
        <w:t>has</w:t>
      </w:r>
      <w:r>
        <w:rPr>
          <w:spacing w:val="-4"/>
        </w:rPr>
        <w:t> </w:t>
      </w:r>
      <w:r>
        <w:rPr/>
        <w:t>with</w:t>
      </w:r>
      <w:r>
        <w:rPr>
          <w:spacing w:val="-2"/>
        </w:rPr>
        <w:t> </w:t>
      </w:r>
      <w:r>
        <w:rPr/>
        <w:t>other</w:t>
      </w:r>
      <w:r>
        <w:rPr>
          <w:spacing w:val="-3"/>
        </w:rPr>
        <w:t> </w:t>
      </w:r>
      <w:r>
        <w:rPr/>
        <w:t>regulators</w:t>
      </w:r>
      <w:r>
        <w:rPr>
          <w:spacing w:val="-4"/>
        </w:rPr>
        <w:t> </w:t>
      </w:r>
      <w:r>
        <w:rPr/>
        <w:t>and government departments and agencies.</w:t>
      </w:r>
    </w:p>
    <w:p>
      <w:pPr>
        <w:pStyle w:val="BodyText"/>
        <w:spacing w:before="11"/>
        <w:rPr>
          <w:sz w:val="20"/>
        </w:rPr>
      </w:pPr>
    </w:p>
    <w:p>
      <w:pPr>
        <w:pStyle w:val="BodyText"/>
        <w:spacing w:line="288" w:lineRule="auto"/>
        <w:ind w:left="600" w:right="374"/>
      </w:pPr>
      <w:r>
        <w:rPr/>
        <w:t>Strong</w:t>
      </w:r>
      <w:r>
        <w:rPr>
          <w:spacing w:val="-1"/>
        </w:rPr>
        <w:t> </w:t>
      </w:r>
      <w:r>
        <w:rPr/>
        <w:t>institutional</w:t>
      </w:r>
      <w:r>
        <w:rPr>
          <w:spacing w:val="-6"/>
        </w:rPr>
        <w:t> </w:t>
      </w:r>
      <w:r>
        <w:rPr/>
        <w:t>relationships</w:t>
      </w:r>
      <w:r>
        <w:rPr>
          <w:spacing w:val="-3"/>
        </w:rPr>
        <w:t> </w:t>
      </w:r>
      <w:r>
        <w:rPr/>
        <w:t>benefit</w:t>
      </w:r>
      <w:r>
        <w:rPr>
          <w:spacing w:val="-6"/>
        </w:rPr>
        <w:t> </w:t>
      </w:r>
      <w:r>
        <w:rPr/>
        <w:t>from</w:t>
      </w:r>
      <w:r>
        <w:rPr>
          <w:spacing w:val="-4"/>
        </w:rPr>
        <w:t> </w:t>
      </w:r>
      <w:r>
        <w:rPr/>
        <w:t>being</w:t>
      </w:r>
      <w:r>
        <w:rPr>
          <w:spacing w:val="-3"/>
        </w:rPr>
        <w:t> </w:t>
      </w:r>
      <w:r>
        <w:rPr/>
        <w:t>regularly</w:t>
      </w:r>
      <w:r>
        <w:rPr>
          <w:spacing w:val="-5"/>
        </w:rPr>
        <w:t> </w:t>
      </w:r>
      <w:r>
        <w:rPr/>
        <w:t>reviewed</w:t>
      </w:r>
      <w:r>
        <w:rPr>
          <w:spacing w:val="-3"/>
        </w:rPr>
        <w:t> </w:t>
      </w:r>
      <w:r>
        <w:rPr/>
        <w:t>to</w:t>
      </w:r>
      <w:r>
        <w:rPr>
          <w:spacing w:val="-3"/>
        </w:rPr>
        <w:t> </w:t>
      </w:r>
      <w:r>
        <w:rPr/>
        <w:t>ensure</w:t>
      </w:r>
      <w:r>
        <w:rPr>
          <w:spacing w:val="-5"/>
        </w:rPr>
        <w:t> </w:t>
      </w:r>
      <w:r>
        <w:rPr/>
        <w:t>they</w:t>
      </w:r>
      <w:r>
        <w:rPr>
          <w:spacing w:val="-5"/>
        </w:rPr>
        <w:t> </w:t>
      </w:r>
      <w:r>
        <w:rPr/>
        <w:t>are working well and that any documented procedures remain current.</w:t>
      </w:r>
    </w:p>
    <w:p>
      <w:pPr>
        <w:pStyle w:val="BodyText"/>
        <w:spacing w:before="10"/>
        <w:rPr>
          <w:sz w:val="20"/>
        </w:rPr>
      </w:pPr>
    </w:p>
    <w:p>
      <w:pPr>
        <w:pStyle w:val="BodyText"/>
        <w:spacing w:line="288" w:lineRule="auto"/>
        <w:ind w:left="600"/>
      </w:pPr>
      <w:r>
        <w:rPr/>
        <w:t>While</w:t>
      </w:r>
      <w:r>
        <w:rPr>
          <w:spacing w:val="-2"/>
        </w:rPr>
        <w:t> </w:t>
      </w:r>
      <w:r>
        <w:rPr/>
        <w:t>it</w:t>
      </w:r>
      <w:r>
        <w:rPr>
          <w:spacing w:val="-5"/>
        </w:rPr>
        <w:t> </w:t>
      </w:r>
      <w:r>
        <w:rPr/>
        <w:t>might be</w:t>
      </w:r>
      <w:r>
        <w:rPr>
          <w:spacing w:val="-4"/>
        </w:rPr>
        <w:t> </w:t>
      </w:r>
      <w:r>
        <w:rPr/>
        <w:t>seen</w:t>
      </w:r>
      <w:r>
        <w:rPr>
          <w:spacing w:val="-3"/>
        </w:rPr>
        <w:t> </w:t>
      </w:r>
      <w:r>
        <w:rPr/>
        <w:t>as</w:t>
      </w:r>
      <w:r>
        <w:rPr>
          <w:spacing w:val="-1"/>
        </w:rPr>
        <w:t> </w:t>
      </w:r>
      <w:r>
        <w:rPr/>
        <w:t>simply</w:t>
      </w:r>
      <w:r>
        <w:rPr>
          <w:spacing w:val="-4"/>
        </w:rPr>
        <w:t> </w:t>
      </w:r>
      <w:r>
        <w:rPr/>
        <w:t>a</w:t>
      </w:r>
      <w:r>
        <w:rPr>
          <w:spacing w:val="-4"/>
        </w:rPr>
        <w:t> </w:t>
      </w:r>
      <w:r>
        <w:rPr/>
        <w:t>matter</w:t>
      </w:r>
      <w:r>
        <w:rPr>
          <w:spacing w:val="-3"/>
        </w:rPr>
        <w:t> </w:t>
      </w:r>
      <w:r>
        <w:rPr/>
        <w:t>of “good</w:t>
      </w:r>
      <w:r>
        <w:rPr>
          <w:spacing w:val="-2"/>
        </w:rPr>
        <w:t> </w:t>
      </w:r>
      <w:r>
        <w:rPr/>
        <w:t>housekeeping”, it</w:t>
      </w:r>
      <w:r>
        <w:rPr>
          <w:spacing w:val="-3"/>
        </w:rPr>
        <w:t> </w:t>
      </w:r>
      <w:r>
        <w:rPr/>
        <w:t>is</w:t>
      </w:r>
      <w:r>
        <w:rPr>
          <w:spacing w:val="-1"/>
        </w:rPr>
        <w:t> </w:t>
      </w:r>
      <w:r>
        <w:rPr/>
        <w:t>important</w:t>
      </w:r>
      <w:r>
        <w:rPr>
          <w:spacing w:val="-3"/>
        </w:rPr>
        <w:t> </w:t>
      </w:r>
      <w:r>
        <w:rPr/>
        <w:t>that</w:t>
      </w:r>
      <w:r>
        <w:rPr>
          <w:spacing w:val="-5"/>
        </w:rPr>
        <w:t> </w:t>
      </w:r>
      <w:r>
        <w:rPr/>
        <w:t>formal interagency agreements are reviewed on a regular cycle so that:</w:t>
      </w:r>
    </w:p>
    <w:p>
      <w:pPr>
        <w:pStyle w:val="BodyText"/>
        <w:spacing w:before="4"/>
      </w:pPr>
    </w:p>
    <w:p>
      <w:pPr>
        <w:pStyle w:val="ListParagraph"/>
        <w:numPr>
          <w:ilvl w:val="0"/>
          <w:numId w:val="46"/>
        </w:numPr>
        <w:tabs>
          <w:tab w:pos="1101" w:val="left" w:leader="none"/>
        </w:tabs>
        <w:spacing w:line="240" w:lineRule="auto" w:before="0" w:after="0"/>
        <w:ind w:left="1101" w:right="0" w:hanging="359"/>
        <w:jc w:val="left"/>
        <w:rPr>
          <w:sz w:val="22"/>
        </w:rPr>
      </w:pPr>
      <w:r>
        <w:rPr>
          <w:sz w:val="22"/>
        </w:rPr>
        <w:t>the</w:t>
      </w:r>
      <w:r>
        <w:rPr>
          <w:spacing w:val="-7"/>
          <w:sz w:val="22"/>
        </w:rPr>
        <w:t> </w:t>
      </w:r>
      <w:r>
        <w:rPr>
          <w:sz w:val="22"/>
        </w:rPr>
        <w:t>details</w:t>
      </w:r>
      <w:r>
        <w:rPr>
          <w:spacing w:val="-4"/>
          <w:sz w:val="22"/>
        </w:rPr>
        <w:t> </w:t>
      </w:r>
      <w:r>
        <w:rPr>
          <w:sz w:val="22"/>
        </w:rPr>
        <w:t>of</w:t>
      </w:r>
      <w:r>
        <w:rPr>
          <w:spacing w:val="-3"/>
          <w:sz w:val="22"/>
        </w:rPr>
        <w:t> </w:t>
      </w:r>
      <w:r>
        <w:rPr>
          <w:sz w:val="22"/>
        </w:rPr>
        <w:t>the</w:t>
      </w:r>
      <w:r>
        <w:rPr>
          <w:spacing w:val="-7"/>
          <w:sz w:val="22"/>
        </w:rPr>
        <w:t> </w:t>
      </w:r>
      <w:r>
        <w:rPr>
          <w:sz w:val="22"/>
        </w:rPr>
        <w:t>agreements</w:t>
      </w:r>
      <w:r>
        <w:rPr>
          <w:spacing w:val="-4"/>
          <w:sz w:val="22"/>
        </w:rPr>
        <w:t> </w:t>
      </w:r>
      <w:r>
        <w:rPr>
          <w:sz w:val="22"/>
        </w:rPr>
        <w:t>are</w:t>
      </w:r>
      <w:r>
        <w:rPr>
          <w:spacing w:val="-7"/>
          <w:sz w:val="22"/>
        </w:rPr>
        <w:t> </w:t>
      </w:r>
      <w:r>
        <w:rPr>
          <w:sz w:val="22"/>
        </w:rPr>
        <w:t>kept</w:t>
      </w:r>
      <w:r>
        <w:rPr>
          <w:spacing w:val="-5"/>
          <w:sz w:val="22"/>
        </w:rPr>
        <w:t> </w:t>
      </w:r>
      <w:r>
        <w:rPr>
          <w:sz w:val="22"/>
        </w:rPr>
        <w:t>up-to-</w:t>
      </w:r>
      <w:r>
        <w:rPr>
          <w:spacing w:val="-4"/>
          <w:sz w:val="22"/>
        </w:rPr>
        <w:t>date;</w:t>
      </w:r>
    </w:p>
    <w:p>
      <w:pPr>
        <w:spacing w:after="0" w:line="240" w:lineRule="auto"/>
        <w:jc w:val="left"/>
        <w:rPr>
          <w:sz w:val="22"/>
        </w:rPr>
        <w:sectPr>
          <w:pgSz w:w="11910" w:h="16840"/>
          <w:pgMar w:header="887" w:footer="1228" w:top="1080" w:bottom="1500" w:left="840" w:right="820"/>
        </w:sectPr>
      </w:pPr>
    </w:p>
    <w:p>
      <w:pPr>
        <w:pStyle w:val="BodyText"/>
        <w:rPr>
          <w:sz w:val="20"/>
        </w:rPr>
      </w:pPr>
    </w:p>
    <w:p>
      <w:pPr>
        <w:pStyle w:val="BodyText"/>
        <w:rPr>
          <w:sz w:val="20"/>
        </w:rPr>
      </w:pPr>
    </w:p>
    <w:p>
      <w:pPr>
        <w:pStyle w:val="BodyText"/>
        <w:spacing w:before="10"/>
        <w:rPr>
          <w:sz w:val="23"/>
        </w:rPr>
      </w:pPr>
    </w:p>
    <w:p>
      <w:pPr>
        <w:pStyle w:val="ListParagraph"/>
        <w:numPr>
          <w:ilvl w:val="0"/>
          <w:numId w:val="46"/>
        </w:numPr>
        <w:tabs>
          <w:tab w:pos="1102" w:val="left" w:leader="none"/>
        </w:tabs>
        <w:spacing w:line="288" w:lineRule="auto" w:before="0" w:after="0"/>
        <w:ind w:left="1102" w:right="887" w:hanging="360"/>
        <w:jc w:val="left"/>
        <w:rPr>
          <w:sz w:val="22"/>
        </w:rPr>
      </w:pPr>
      <w:r>
        <w:rPr>
          <w:sz w:val="22"/>
        </w:rPr>
        <w:t>clear and effective pathways are maintained to help regulated businesses navigate intersecting</w:t>
      </w:r>
      <w:r>
        <w:rPr>
          <w:spacing w:val="-5"/>
          <w:sz w:val="22"/>
        </w:rPr>
        <w:t> </w:t>
      </w:r>
      <w:r>
        <w:rPr>
          <w:sz w:val="22"/>
        </w:rPr>
        <w:t>regulatory</w:t>
      </w:r>
      <w:r>
        <w:rPr>
          <w:spacing w:val="-7"/>
          <w:sz w:val="22"/>
        </w:rPr>
        <w:t> </w:t>
      </w:r>
      <w:r>
        <w:rPr>
          <w:sz w:val="22"/>
        </w:rPr>
        <w:t>requirements</w:t>
      </w:r>
      <w:r>
        <w:rPr>
          <w:spacing w:val="-4"/>
          <w:sz w:val="22"/>
        </w:rPr>
        <w:t> </w:t>
      </w:r>
      <w:r>
        <w:rPr>
          <w:sz w:val="22"/>
        </w:rPr>
        <w:t>efficiently</w:t>
      </w:r>
      <w:r>
        <w:rPr>
          <w:spacing w:val="-7"/>
          <w:sz w:val="22"/>
        </w:rPr>
        <w:t> </w:t>
      </w:r>
      <w:r>
        <w:rPr>
          <w:sz w:val="22"/>
        </w:rPr>
        <w:t>and</w:t>
      </w:r>
      <w:r>
        <w:rPr>
          <w:spacing w:val="-5"/>
          <w:sz w:val="22"/>
        </w:rPr>
        <w:t> </w:t>
      </w:r>
      <w:r>
        <w:rPr>
          <w:sz w:val="22"/>
        </w:rPr>
        <w:t>without</w:t>
      </w:r>
      <w:r>
        <w:rPr>
          <w:spacing w:val="-4"/>
          <w:sz w:val="22"/>
        </w:rPr>
        <w:t> </w:t>
      </w:r>
      <w:r>
        <w:rPr>
          <w:sz w:val="22"/>
        </w:rPr>
        <w:t>unnecessary</w:t>
      </w:r>
      <w:r>
        <w:rPr>
          <w:spacing w:val="-7"/>
          <w:sz w:val="22"/>
        </w:rPr>
        <w:t> </w:t>
      </w:r>
      <w:r>
        <w:rPr>
          <w:sz w:val="22"/>
        </w:rPr>
        <w:t>bureaucratic double handling; and</w:t>
      </w:r>
    </w:p>
    <w:p>
      <w:pPr>
        <w:pStyle w:val="BodyText"/>
        <w:spacing w:before="3"/>
      </w:pPr>
    </w:p>
    <w:p>
      <w:pPr>
        <w:pStyle w:val="ListParagraph"/>
        <w:numPr>
          <w:ilvl w:val="0"/>
          <w:numId w:val="46"/>
        </w:numPr>
        <w:tabs>
          <w:tab w:pos="1102" w:val="left" w:leader="none"/>
        </w:tabs>
        <w:spacing w:line="288" w:lineRule="auto" w:before="0" w:after="0"/>
        <w:ind w:left="1102" w:right="618" w:hanging="360"/>
        <w:jc w:val="left"/>
        <w:rPr>
          <w:sz w:val="22"/>
        </w:rPr>
      </w:pPr>
      <w:r>
        <w:rPr>
          <w:sz w:val="22"/>
        </w:rPr>
        <w:t>any</w:t>
      </w:r>
      <w:r>
        <w:rPr>
          <w:spacing w:val="-5"/>
          <w:sz w:val="22"/>
        </w:rPr>
        <w:t> </w:t>
      </w:r>
      <w:r>
        <w:rPr>
          <w:sz w:val="22"/>
        </w:rPr>
        <w:t>emerging</w:t>
      </w:r>
      <w:r>
        <w:rPr>
          <w:spacing w:val="-2"/>
          <w:sz w:val="22"/>
        </w:rPr>
        <w:t> </w:t>
      </w:r>
      <w:r>
        <w:rPr>
          <w:sz w:val="22"/>
        </w:rPr>
        <w:t>difficulties</w:t>
      </w:r>
      <w:r>
        <w:rPr>
          <w:spacing w:val="-5"/>
          <w:sz w:val="22"/>
        </w:rPr>
        <w:t> </w:t>
      </w:r>
      <w:r>
        <w:rPr>
          <w:sz w:val="22"/>
        </w:rPr>
        <w:t>in</w:t>
      </w:r>
      <w:r>
        <w:rPr>
          <w:spacing w:val="-4"/>
          <w:sz w:val="22"/>
        </w:rPr>
        <w:t> </w:t>
      </w:r>
      <w:r>
        <w:rPr>
          <w:sz w:val="22"/>
        </w:rPr>
        <w:t>working</w:t>
      </w:r>
      <w:r>
        <w:rPr>
          <w:spacing w:val="-4"/>
          <w:sz w:val="22"/>
        </w:rPr>
        <w:t> </w:t>
      </w:r>
      <w:r>
        <w:rPr>
          <w:sz w:val="22"/>
        </w:rPr>
        <w:t>arrangements</w:t>
      </w:r>
      <w:r>
        <w:rPr>
          <w:spacing w:val="-5"/>
          <w:sz w:val="22"/>
        </w:rPr>
        <w:t> </w:t>
      </w:r>
      <w:r>
        <w:rPr>
          <w:sz w:val="22"/>
        </w:rPr>
        <w:t>between</w:t>
      </w:r>
      <w:r>
        <w:rPr>
          <w:spacing w:val="-4"/>
          <w:sz w:val="22"/>
        </w:rPr>
        <w:t> </w:t>
      </w:r>
      <w:r>
        <w:rPr>
          <w:sz w:val="22"/>
        </w:rPr>
        <w:t>agencies</w:t>
      </w:r>
      <w:r>
        <w:rPr>
          <w:spacing w:val="-4"/>
          <w:sz w:val="22"/>
        </w:rPr>
        <w:t> </w:t>
      </w:r>
      <w:r>
        <w:rPr>
          <w:sz w:val="22"/>
        </w:rPr>
        <w:t>are</w:t>
      </w:r>
      <w:r>
        <w:rPr>
          <w:spacing w:val="-4"/>
          <w:sz w:val="22"/>
        </w:rPr>
        <w:t> </w:t>
      </w:r>
      <w:r>
        <w:rPr>
          <w:sz w:val="22"/>
        </w:rPr>
        <w:t>identified</w:t>
      </w:r>
      <w:r>
        <w:rPr>
          <w:spacing w:val="-4"/>
          <w:sz w:val="22"/>
        </w:rPr>
        <w:t> </w:t>
      </w:r>
      <w:r>
        <w:rPr>
          <w:sz w:val="22"/>
        </w:rPr>
        <w:t>early and resolved.</w:t>
      </w:r>
    </w:p>
    <w:p>
      <w:pPr>
        <w:spacing w:after="0" w:line="288" w:lineRule="auto"/>
        <w:jc w:val="left"/>
        <w:rPr>
          <w:sz w:val="22"/>
        </w:rPr>
        <w:sectPr>
          <w:pgSz w:w="11910" w:h="16840"/>
          <w:pgMar w:header="887" w:footer="1228" w:top="1080" w:bottom="1500" w:left="840" w:right="820"/>
        </w:sectPr>
      </w:pPr>
    </w:p>
    <w:p>
      <w:pPr>
        <w:pStyle w:val="BodyText"/>
        <w:rPr>
          <w:sz w:val="20"/>
        </w:rPr>
      </w:pPr>
    </w:p>
    <w:p>
      <w:pPr>
        <w:pStyle w:val="BodyText"/>
        <w:rPr>
          <w:sz w:val="20"/>
        </w:rPr>
      </w:pPr>
    </w:p>
    <w:p>
      <w:pPr>
        <w:pStyle w:val="BodyText"/>
        <w:spacing w:before="9"/>
        <w:rPr>
          <w:sz w:val="16"/>
        </w:rPr>
      </w:pPr>
    </w:p>
    <w:p>
      <w:pPr>
        <w:pStyle w:val="Heading7"/>
        <w:spacing w:before="93"/>
        <w:ind w:left="220"/>
      </w:pPr>
      <w:r>
        <w:rPr/>
        <w:t>Table</w:t>
      </w:r>
      <w:r>
        <w:rPr>
          <w:spacing w:val="-6"/>
        </w:rPr>
        <w:t> </w:t>
      </w:r>
      <w:r>
        <w:rPr/>
        <w:t>6:</w:t>
      </w:r>
      <w:r>
        <w:rPr>
          <w:spacing w:val="-2"/>
        </w:rPr>
        <w:t> </w:t>
      </w:r>
      <w:r>
        <w:rPr/>
        <w:t>Summary</w:t>
      </w:r>
      <w:r>
        <w:rPr>
          <w:spacing w:val="-8"/>
        </w:rPr>
        <w:t> </w:t>
      </w:r>
      <w:r>
        <w:rPr/>
        <w:t>of</w:t>
      </w:r>
      <w:r>
        <w:rPr>
          <w:spacing w:val="-3"/>
        </w:rPr>
        <w:t> </w:t>
      </w:r>
      <w:r>
        <w:rPr/>
        <w:t>ESV’s</w:t>
      </w:r>
      <w:r>
        <w:rPr>
          <w:spacing w:val="-4"/>
        </w:rPr>
        <w:t> </w:t>
      </w:r>
      <w:r>
        <w:rPr/>
        <w:t>relationship</w:t>
      </w:r>
      <w:r>
        <w:rPr>
          <w:spacing w:val="-7"/>
        </w:rPr>
        <w:t> </w:t>
      </w:r>
      <w:r>
        <w:rPr/>
        <w:t>with</w:t>
      </w:r>
      <w:r>
        <w:rPr>
          <w:spacing w:val="-8"/>
        </w:rPr>
        <w:t> </w:t>
      </w:r>
      <w:r>
        <w:rPr/>
        <w:t>other</w:t>
      </w:r>
      <w:r>
        <w:rPr>
          <w:spacing w:val="-6"/>
        </w:rPr>
        <w:t> </w:t>
      </w:r>
      <w:r>
        <w:rPr/>
        <w:t>regulators</w:t>
      </w:r>
      <w:r>
        <w:rPr>
          <w:spacing w:val="-6"/>
        </w:rPr>
        <w:t> </w:t>
      </w:r>
      <w:r>
        <w:rPr/>
        <w:t>and</w:t>
      </w:r>
      <w:r>
        <w:rPr>
          <w:spacing w:val="-4"/>
        </w:rPr>
        <w:t> </w:t>
      </w:r>
      <w:r>
        <w:rPr/>
        <w:t>government</w:t>
      </w:r>
      <w:r>
        <w:rPr>
          <w:spacing w:val="-2"/>
        </w:rPr>
        <w:t> agencies</w:t>
      </w:r>
    </w:p>
    <w:p>
      <w:pPr>
        <w:pStyle w:val="BodyText"/>
        <w:spacing w:before="11"/>
        <w:rPr>
          <w:b/>
          <w:sz w:val="14"/>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32"/>
        <w:gridCol w:w="3492"/>
        <w:gridCol w:w="4952"/>
        <w:gridCol w:w="1357"/>
      </w:tblGrid>
      <w:tr>
        <w:trPr>
          <w:trHeight w:val="765" w:hRule="atLeast"/>
        </w:trPr>
        <w:tc>
          <w:tcPr>
            <w:tcW w:w="2932" w:type="dxa"/>
            <w:tcBorders>
              <w:top w:val="single" w:sz="4" w:space="0" w:color="A6A6A6"/>
              <w:left w:val="single" w:sz="4" w:space="0" w:color="A6A6A6"/>
            </w:tcBorders>
            <w:shd w:val="clear" w:color="auto" w:fill="D9D9D9"/>
          </w:tcPr>
          <w:p>
            <w:pPr>
              <w:pStyle w:val="TableParagraph"/>
              <w:spacing w:before="119"/>
              <w:ind w:left="107"/>
              <w:rPr>
                <w:b/>
                <w:sz w:val="19"/>
              </w:rPr>
            </w:pPr>
            <w:r>
              <w:rPr>
                <w:b/>
                <w:spacing w:val="-2"/>
                <w:sz w:val="19"/>
              </w:rPr>
              <w:t>Entity</w:t>
            </w:r>
          </w:p>
        </w:tc>
        <w:tc>
          <w:tcPr>
            <w:tcW w:w="3492" w:type="dxa"/>
            <w:tcBorders>
              <w:top w:val="single" w:sz="4" w:space="0" w:color="A6A6A6"/>
            </w:tcBorders>
            <w:shd w:val="clear" w:color="auto" w:fill="D9D9D9"/>
          </w:tcPr>
          <w:p>
            <w:pPr>
              <w:pStyle w:val="TableParagraph"/>
              <w:spacing w:before="119"/>
              <w:ind w:left="265"/>
              <w:rPr>
                <w:b/>
                <w:sz w:val="19"/>
              </w:rPr>
            </w:pPr>
            <w:r>
              <w:rPr>
                <w:b/>
                <w:sz w:val="19"/>
              </w:rPr>
              <w:t>Core</w:t>
            </w:r>
            <w:r>
              <w:rPr>
                <w:b/>
                <w:spacing w:val="-7"/>
                <w:sz w:val="19"/>
              </w:rPr>
              <w:t> </w:t>
            </w:r>
            <w:r>
              <w:rPr>
                <w:b/>
                <w:spacing w:val="-2"/>
                <w:sz w:val="19"/>
              </w:rPr>
              <w:t>function</w:t>
            </w:r>
          </w:p>
        </w:tc>
        <w:tc>
          <w:tcPr>
            <w:tcW w:w="4952" w:type="dxa"/>
            <w:tcBorders>
              <w:top w:val="single" w:sz="4" w:space="0" w:color="A6A6A6"/>
            </w:tcBorders>
            <w:shd w:val="clear" w:color="auto" w:fill="D9D9D9"/>
          </w:tcPr>
          <w:p>
            <w:pPr>
              <w:pStyle w:val="TableParagraph"/>
              <w:spacing w:before="119"/>
              <w:ind w:left="177"/>
              <w:rPr>
                <w:b/>
                <w:sz w:val="19"/>
              </w:rPr>
            </w:pPr>
            <w:r>
              <w:rPr>
                <w:b/>
                <w:sz w:val="19"/>
              </w:rPr>
              <w:t>Relationship</w:t>
            </w:r>
            <w:r>
              <w:rPr>
                <w:b/>
                <w:spacing w:val="-8"/>
                <w:sz w:val="19"/>
              </w:rPr>
              <w:t> </w:t>
            </w:r>
            <w:r>
              <w:rPr>
                <w:b/>
                <w:sz w:val="19"/>
              </w:rPr>
              <w:t>with</w:t>
            </w:r>
            <w:r>
              <w:rPr>
                <w:b/>
                <w:spacing w:val="-7"/>
                <w:sz w:val="19"/>
              </w:rPr>
              <w:t> </w:t>
            </w:r>
            <w:r>
              <w:rPr>
                <w:b/>
                <w:spacing w:val="-5"/>
                <w:sz w:val="19"/>
              </w:rPr>
              <w:t>ESV</w:t>
            </w:r>
          </w:p>
        </w:tc>
        <w:tc>
          <w:tcPr>
            <w:tcW w:w="1357" w:type="dxa"/>
            <w:tcBorders>
              <w:top w:val="single" w:sz="4" w:space="0" w:color="A6A6A6"/>
              <w:right w:val="single" w:sz="4" w:space="0" w:color="A6A6A6"/>
            </w:tcBorders>
            <w:shd w:val="clear" w:color="auto" w:fill="D9D9D9"/>
          </w:tcPr>
          <w:p>
            <w:pPr>
              <w:pStyle w:val="TableParagraph"/>
              <w:spacing w:line="288" w:lineRule="auto" w:before="119"/>
              <w:ind w:left="186" w:right="284"/>
              <w:rPr>
                <w:b/>
                <w:sz w:val="19"/>
              </w:rPr>
            </w:pPr>
            <w:r>
              <w:rPr>
                <w:b/>
                <w:sz w:val="19"/>
              </w:rPr>
              <w:t>MOU</w:t>
            </w:r>
            <w:r>
              <w:rPr>
                <w:b/>
                <w:spacing w:val="-14"/>
                <w:sz w:val="19"/>
              </w:rPr>
              <w:t> </w:t>
            </w:r>
            <w:r>
              <w:rPr>
                <w:b/>
                <w:sz w:val="19"/>
              </w:rPr>
              <w:t>with </w:t>
            </w:r>
            <w:r>
              <w:rPr>
                <w:b/>
                <w:spacing w:val="-4"/>
                <w:sz w:val="19"/>
              </w:rPr>
              <w:t>ESV</w:t>
            </w:r>
          </w:p>
        </w:tc>
      </w:tr>
      <w:tr>
        <w:trPr>
          <w:trHeight w:val="1176" w:hRule="atLeast"/>
        </w:trPr>
        <w:tc>
          <w:tcPr>
            <w:tcW w:w="2932" w:type="dxa"/>
            <w:tcBorders>
              <w:left w:val="single" w:sz="4" w:space="0" w:color="A6A6A6"/>
            </w:tcBorders>
          </w:tcPr>
          <w:p>
            <w:pPr>
              <w:pStyle w:val="TableParagraph"/>
              <w:spacing w:line="288" w:lineRule="auto" w:before="119"/>
              <w:ind w:left="107"/>
              <w:rPr>
                <w:b/>
                <w:sz w:val="19"/>
              </w:rPr>
            </w:pPr>
            <w:r>
              <w:rPr>
                <w:b/>
                <w:sz w:val="19"/>
              </w:rPr>
              <w:t>Australian</w:t>
            </w:r>
            <w:r>
              <w:rPr>
                <w:b/>
                <w:spacing w:val="-14"/>
                <w:sz w:val="19"/>
              </w:rPr>
              <w:t> </w:t>
            </w:r>
            <w:r>
              <w:rPr>
                <w:b/>
                <w:sz w:val="19"/>
              </w:rPr>
              <w:t>Energy</w:t>
            </w:r>
            <w:r>
              <w:rPr>
                <w:b/>
                <w:spacing w:val="-13"/>
                <w:sz w:val="19"/>
              </w:rPr>
              <w:t> </w:t>
            </w:r>
            <w:r>
              <w:rPr>
                <w:b/>
                <w:sz w:val="19"/>
              </w:rPr>
              <w:t>Market Operator (AEMO)</w:t>
            </w:r>
          </w:p>
        </w:tc>
        <w:tc>
          <w:tcPr>
            <w:tcW w:w="3492" w:type="dxa"/>
          </w:tcPr>
          <w:p>
            <w:pPr>
              <w:pStyle w:val="TableParagraph"/>
              <w:spacing w:line="288" w:lineRule="auto" w:before="119"/>
              <w:ind w:left="265"/>
              <w:rPr>
                <w:sz w:val="19"/>
              </w:rPr>
            </w:pPr>
            <w:r>
              <w:rPr>
                <w:sz w:val="19"/>
              </w:rPr>
              <w:t>Operates</w:t>
            </w:r>
            <w:r>
              <w:rPr>
                <w:spacing w:val="-9"/>
                <w:sz w:val="19"/>
              </w:rPr>
              <w:t> </w:t>
            </w:r>
            <w:r>
              <w:rPr>
                <w:sz w:val="19"/>
              </w:rPr>
              <w:t>Australia’s</w:t>
            </w:r>
            <w:r>
              <w:rPr>
                <w:spacing w:val="-12"/>
                <w:sz w:val="19"/>
              </w:rPr>
              <w:t> </w:t>
            </w:r>
            <w:r>
              <w:rPr>
                <w:sz w:val="19"/>
              </w:rPr>
              <w:t>largest</w:t>
            </w:r>
            <w:r>
              <w:rPr>
                <w:spacing w:val="-12"/>
                <w:sz w:val="19"/>
              </w:rPr>
              <w:t> </w:t>
            </w:r>
            <w:r>
              <w:rPr>
                <w:sz w:val="19"/>
              </w:rPr>
              <w:t>gas</w:t>
            </w:r>
            <w:r>
              <w:rPr>
                <w:spacing w:val="-9"/>
                <w:sz w:val="19"/>
              </w:rPr>
              <w:t> </w:t>
            </w:r>
            <w:r>
              <w:rPr>
                <w:sz w:val="19"/>
              </w:rPr>
              <w:t>and electricity markets.</w:t>
            </w:r>
          </w:p>
        </w:tc>
        <w:tc>
          <w:tcPr>
            <w:tcW w:w="4952" w:type="dxa"/>
          </w:tcPr>
          <w:p>
            <w:pPr>
              <w:pStyle w:val="TableParagraph"/>
              <w:spacing w:line="288" w:lineRule="auto" w:before="119"/>
              <w:ind w:left="177"/>
              <w:rPr>
                <w:sz w:val="19"/>
              </w:rPr>
            </w:pPr>
            <w:r>
              <w:rPr>
                <w:sz w:val="19"/>
              </w:rPr>
              <w:t>AEMO</w:t>
            </w:r>
            <w:r>
              <w:rPr>
                <w:spacing w:val="-8"/>
                <w:sz w:val="19"/>
              </w:rPr>
              <w:t> </w:t>
            </w:r>
            <w:r>
              <w:rPr>
                <w:sz w:val="19"/>
              </w:rPr>
              <w:t>operates</w:t>
            </w:r>
            <w:r>
              <w:rPr>
                <w:spacing w:val="-5"/>
                <w:sz w:val="19"/>
              </w:rPr>
              <w:t> </w:t>
            </w:r>
            <w:r>
              <w:rPr>
                <w:sz w:val="19"/>
              </w:rPr>
              <w:t>the</w:t>
            </w:r>
            <w:r>
              <w:rPr>
                <w:spacing w:val="-6"/>
                <w:sz w:val="19"/>
              </w:rPr>
              <w:t> </w:t>
            </w:r>
            <w:r>
              <w:rPr>
                <w:sz w:val="19"/>
              </w:rPr>
              <w:t>National</w:t>
            </w:r>
            <w:r>
              <w:rPr>
                <w:spacing w:val="-5"/>
                <w:sz w:val="19"/>
              </w:rPr>
              <w:t> </w:t>
            </w:r>
            <w:r>
              <w:rPr>
                <w:sz w:val="19"/>
              </w:rPr>
              <w:t>Electricity</w:t>
            </w:r>
            <w:r>
              <w:rPr>
                <w:spacing w:val="-8"/>
                <w:sz w:val="19"/>
              </w:rPr>
              <w:t> </w:t>
            </w:r>
            <w:r>
              <w:rPr>
                <w:sz w:val="19"/>
              </w:rPr>
              <w:t>Market</w:t>
            </w:r>
            <w:r>
              <w:rPr>
                <w:spacing w:val="-7"/>
                <w:sz w:val="19"/>
              </w:rPr>
              <w:t> </w:t>
            </w:r>
            <w:r>
              <w:rPr>
                <w:sz w:val="19"/>
              </w:rPr>
              <w:t>and</w:t>
            </w:r>
            <w:r>
              <w:rPr>
                <w:spacing w:val="-7"/>
                <w:sz w:val="19"/>
              </w:rPr>
              <w:t> </w:t>
            </w:r>
            <w:r>
              <w:rPr>
                <w:sz w:val="19"/>
              </w:rPr>
              <w:t>the Victorian Gas Declared Transmission System.</w:t>
            </w:r>
          </w:p>
        </w:tc>
        <w:tc>
          <w:tcPr>
            <w:tcW w:w="1357" w:type="dxa"/>
            <w:tcBorders>
              <w:right w:val="single" w:sz="4" w:space="0" w:color="A6A6A6"/>
            </w:tcBorders>
          </w:tcPr>
          <w:p>
            <w:pPr>
              <w:pStyle w:val="TableParagraph"/>
              <w:spacing w:before="119"/>
              <w:ind w:left="186"/>
              <w:rPr>
                <w:sz w:val="19"/>
              </w:rPr>
            </w:pPr>
            <w:r>
              <w:rPr>
                <w:spacing w:val="-5"/>
                <w:sz w:val="19"/>
              </w:rPr>
              <w:t>Yes</w:t>
            </w:r>
          </w:p>
        </w:tc>
      </w:tr>
      <w:tr>
        <w:trPr>
          <w:trHeight w:val="1267" w:hRule="atLeast"/>
        </w:trPr>
        <w:tc>
          <w:tcPr>
            <w:tcW w:w="2932" w:type="dxa"/>
            <w:tcBorders>
              <w:left w:val="single" w:sz="4" w:space="0" w:color="A6A6A6"/>
            </w:tcBorders>
            <w:shd w:val="clear" w:color="auto" w:fill="CDEBEB"/>
          </w:tcPr>
          <w:p>
            <w:pPr>
              <w:pStyle w:val="TableParagraph"/>
              <w:spacing w:line="290" w:lineRule="auto" w:before="119"/>
              <w:ind w:left="107"/>
              <w:rPr>
                <w:b/>
                <w:sz w:val="19"/>
              </w:rPr>
            </w:pPr>
            <w:r>
              <w:rPr>
                <w:b/>
                <w:sz w:val="19"/>
              </w:rPr>
              <w:t>Australian</w:t>
            </w:r>
            <w:r>
              <w:rPr>
                <w:b/>
                <w:spacing w:val="-14"/>
                <w:sz w:val="19"/>
              </w:rPr>
              <w:t> </w:t>
            </w:r>
            <w:r>
              <w:rPr>
                <w:b/>
                <w:sz w:val="19"/>
              </w:rPr>
              <w:t>Energy</w:t>
            </w:r>
            <w:r>
              <w:rPr>
                <w:b/>
                <w:spacing w:val="-13"/>
                <w:sz w:val="19"/>
              </w:rPr>
              <w:t> </w:t>
            </w:r>
            <w:r>
              <w:rPr>
                <w:b/>
                <w:sz w:val="19"/>
              </w:rPr>
              <w:t>Regulator </w:t>
            </w:r>
            <w:r>
              <w:rPr>
                <w:b/>
                <w:spacing w:val="-4"/>
                <w:sz w:val="19"/>
              </w:rPr>
              <w:t>(AER)</w:t>
            </w:r>
          </w:p>
        </w:tc>
        <w:tc>
          <w:tcPr>
            <w:tcW w:w="3492" w:type="dxa"/>
            <w:shd w:val="clear" w:color="auto" w:fill="CDEBEB"/>
          </w:tcPr>
          <w:p>
            <w:pPr>
              <w:pStyle w:val="TableParagraph"/>
              <w:spacing w:line="288" w:lineRule="auto" w:before="119"/>
              <w:ind w:left="265"/>
              <w:rPr>
                <w:sz w:val="19"/>
              </w:rPr>
            </w:pPr>
            <w:r>
              <w:rPr>
                <w:sz w:val="19"/>
              </w:rPr>
              <w:t>Responsible for the economic regulation</w:t>
            </w:r>
            <w:r>
              <w:rPr>
                <w:spacing w:val="-9"/>
                <w:sz w:val="19"/>
              </w:rPr>
              <w:t> </w:t>
            </w:r>
            <w:r>
              <w:rPr>
                <w:sz w:val="19"/>
              </w:rPr>
              <w:t>of</w:t>
            </w:r>
            <w:r>
              <w:rPr>
                <w:spacing w:val="-7"/>
                <w:sz w:val="19"/>
              </w:rPr>
              <w:t> </w:t>
            </w:r>
            <w:r>
              <w:rPr>
                <w:sz w:val="19"/>
              </w:rPr>
              <w:t>the</w:t>
            </w:r>
            <w:r>
              <w:rPr>
                <w:spacing w:val="-8"/>
                <w:sz w:val="19"/>
              </w:rPr>
              <w:t> </w:t>
            </w:r>
            <w:r>
              <w:rPr>
                <w:sz w:val="19"/>
              </w:rPr>
              <w:t>electricity</w:t>
            </w:r>
            <w:r>
              <w:rPr>
                <w:spacing w:val="-10"/>
                <w:sz w:val="19"/>
              </w:rPr>
              <w:t> </w:t>
            </w:r>
            <w:r>
              <w:rPr>
                <w:sz w:val="19"/>
              </w:rPr>
              <w:t>and</w:t>
            </w:r>
            <w:r>
              <w:rPr>
                <w:spacing w:val="-8"/>
                <w:sz w:val="19"/>
              </w:rPr>
              <w:t> </w:t>
            </w:r>
            <w:r>
              <w:rPr>
                <w:sz w:val="19"/>
              </w:rPr>
              <w:t>gas </w:t>
            </w:r>
            <w:r>
              <w:rPr>
                <w:spacing w:val="-2"/>
                <w:sz w:val="19"/>
              </w:rPr>
              <w:t>markets.</w:t>
            </w:r>
          </w:p>
        </w:tc>
        <w:tc>
          <w:tcPr>
            <w:tcW w:w="4952" w:type="dxa"/>
            <w:shd w:val="clear" w:color="auto" w:fill="CDEBEB"/>
          </w:tcPr>
          <w:p>
            <w:pPr>
              <w:pStyle w:val="TableParagraph"/>
              <w:spacing w:line="288" w:lineRule="auto" w:before="119"/>
              <w:ind w:left="177"/>
              <w:rPr>
                <w:sz w:val="19"/>
              </w:rPr>
            </w:pPr>
            <w:r>
              <w:rPr>
                <w:sz w:val="19"/>
              </w:rPr>
              <w:t>AER</w:t>
            </w:r>
            <w:r>
              <w:rPr>
                <w:spacing w:val="-7"/>
                <w:sz w:val="19"/>
              </w:rPr>
              <w:t> </w:t>
            </w:r>
            <w:r>
              <w:rPr>
                <w:sz w:val="19"/>
              </w:rPr>
              <w:t>approves</w:t>
            </w:r>
            <w:r>
              <w:rPr>
                <w:spacing w:val="-5"/>
                <w:sz w:val="19"/>
              </w:rPr>
              <w:t> </w:t>
            </w:r>
            <w:r>
              <w:rPr>
                <w:sz w:val="19"/>
              </w:rPr>
              <w:t>the</w:t>
            </w:r>
            <w:r>
              <w:rPr>
                <w:spacing w:val="-6"/>
                <w:sz w:val="19"/>
              </w:rPr>
              <w:t> </w:t>
            </w:r>
            <w:r>
              <w:rPr>
                <w:sz w:val="19"/>
              </w:rPr>
              <w:t>expenditure</w:t>
            </w:r>
            <w:r>
              <w:rPr>
                <w:spacing w:val="-7"/>
                <w:sz w:val="19"/>
              </w:rPr>
              <w:t> </w:t>
            </w:r>
            <w:r>
              <w:rPr>
                <w:sz w:val="19"/>
              </w:rPr>
              <w:t>for</w:t>
            </w:r>
            <w:r>
              <w:rPr>
                <w:spacing w:val="-7"/>
                <w:sz w:val="19"/>
              </w:rPr>
              <w:t> </w:t>
            </w:r>
            <w:r>
              <w:rPr>
                <w:sz w:val="19"/>
              </w:rPr>
              <w:t>energy</w:t>
            </w:r>
            <w:r>
              <w:rPr>
                <w:spacing w:val="-8"/>
                <w:sz w:val="19"/>
              </w:rPr>
              <w:t> </w:t>
            </w:r>
            <w:r>
              <w:rPr>
                <w:sz w:val="19"/>
              </w:rPr>
              <w:t>safety programs and sets the economic incentives for performance and safety.</w:t>
            </w:r>
          </w:p>
        </w:tc>
        <w:tc>
          <w:tcPr>
            <w:tcW w:w="1357" w:type="dxa"/>
            <w:tcBorders>
              <w:right w:val="single" w:sz="4" w:space="0" w:color="A6A6A6"/>
            </w:tcBorders>
            <w:shd w:val="clear" w:color="auto" w:fill="CDEBEB"/>
          </w:tcPr>
          <w:p>
            <w:pPr>
              <w:pStyle w:val="TableParagraph"/>
              <w:spacing w:before="119"/>
              <w:ind w:left="186"/>
              <w:rPr>
                <w:sz w:val="19"/>
              </w:rPr>
            </w:pPr>
            <w:r>
              <w:rPr>
                <w:spacing w:val="-5"/>
                <w:sz w:val="19"/>
              </w:rPr>
              <w:t>Yes</w:t>
            </w:r>
          </w:p>
        </w:tc>
      </w:tr>
      <w:tr>
        <w:trPr>
          <w:trHeight w:val="1812" w:hRule="atLeast"/>
        </w:trPr>
        <w:tc>
          <w:tcPr>
            <w:tcW w:w="2932" w:type="dxa"/>
            <w:tcBorders>
              <w:left w:val="single" w:sz="4" w:space="0" w:color="A6A6A6"/>
            </w:tcBorders>
          </w:tcPr>
          <w:p>
            <w:pPr>
              <w:pStyle w:val="TableParagraph"/>
              <w:spacing w:before="119"/>
              <w:ind w:left="107"/>
              <w:rPr>
                <w:b/>
                <w:sz w:val="19"/>
              </w:rPr>
            </w:pPr>
            <w:r>
              <w:rPr>
                <w:b/>
                <w:sz w:val="19"/>
              </w:rPr>
              <w:t>Country</w:t>
            </w:r>
            <w:r>
              <w:rPr>
                <w:b/>
                <w:spacing w:val="-10"/>
                <w:sz w:val="19"/>
              </w:rPr>
              <w:t> </w:t>
            </w:r>
            <w:r>
              <w:rPr>
                <w:b/>
                <w:sz w:val="19"/>
              </w:rPr>
              <w:t>Fire</w:t>
            </w:r>
            <w:r>
              <w:rPr>
                <w:b/>
                <w:spacing w:val="-4"/>
                <w:sz w:val="19"/>
              </w:rPr>
              <w:t> </w:t>
            </w:r>
            <w:r>
              <w:rPr>
                <w:b/>
                <w:spacing w:val="-2"/>
                <w:sz w:val="19"/>
              </w:rPr>
              <w:t>Authority</w:t>
            </w:r>
          </w:p>
        </w:tc>
        <w:tc>
          <w:tcPr>
            <w:tcW w:w="3492" w:type="dxa"/>
          </w:tcPr>
          <w:p>
            <w:pPr>
              <w:pStyle w:val="TableParagraph"/>
              <w:spacing w:line="288" w:lineRule="auto" w:before="119"/>
              <w:ind w:left="265"/>
              <w:rPr>
                <w:sz w:val="19"/>
              </w:rPr>
            </w:pPr>
            <w:r>
              <w:rPr>
                <w:sz w:val="19"/>
              </w:rPr>
              <w:t>Control agency for various emergencies</w:t>
            </w:r>
            <w:r>
              <w:rPr>
                <w:spacing w:val="-14"/>
                <w:sz w:val="19"/>
              </w:rPr>
              <w:t> </w:t>
            </w:r>
            <w:r>
              <w:rPr>
                <w:sz w:val="19"/>
              </w:rPr>
              <w:t>outside</w:t>
            </w:r>
            <w:r>
              <w:rPr>
                <w:spacing w:val="-13"/>
                <w:sz w:val="19"/>
              </w:rPr>
              <w:t> </w:t>
            </w:r>
            <w:r>
              <w:rPr>
                <w:sz w:val="19"/>
              </w:rPr>
              <w:t>metropolitan </w:t>
            </w:r>
            <w:r>
              <w:rPr>
                <w:spacing w:val="-2"/>
                <w:sz w:val="19"/>
              </w:rPr>
              <w:t>Melbourne.</w:t>
            </w:r>
          </w:p>
        </w:tc>
        <w:tc>
          <w:tcPr>
            <w:tcW w:w="4952" w:type="dxa"/>
          </w:tcPr>
          <w:p>
            <w:pPr>
              <w:pStyle w:val="TableParagraph"/>
              <w:spacing w:line="288" w:lineRule="auto" w:before="119"/>
              <w:ind w:left="177" w:right="28"/>
              <w:rPr>
                <w:sz w:val="19"/>
              </w:rPr>
            </w:pPr>
            <w:r>
              <w:rPr>
                <w:sz w:val="19"/>
              </w:rPr>
              <w:t>CFA</w:t>
            </w:r>
            <w:r>
              <w:rPr>
                <w:spacing w:val="-5"/>
                <w:sz w:val="19"/>
              </w:rPr>
              <w:t> </w:t>
            </w:r>
            <w:r>
              <w:rPr>
                <w:sz w:val="19"/>
              </w:rPr>
              <w:t>investigates</w:t>
            </w:r>
            <w:r>
              <w:rPr>
                <w:spacing w:val="-5"/>
                <w:sz w:val="19"/>
              </w:rPr>
              <w:t> </w:t>
            </w:r>
            <w:r>
              <w:rPr>
                <w:sz w:val="19"/>
              </w:rPr>
              <w:t>and</w:t>
            </w:r>
            <w:r>
              <w:rPr>
                <w:spacing w:val="-5"/>
                <w:sz w:val="19"/>
              </w:rPr>
              <w:t> </w:t>
            </w:r>
            <w:r>
              <w:rPr>
                <w:sz w:val="19"/>
              </w:rPr>
              <w:t>responds</w:t>
            </w:r>
            <w:r>
              <w:rPr>
                <w:spacing w:val="-5"/>
                <w:sz w:val="19"/>
              </w:rPr>
              <w:t> </w:t>
            </w:r>
            <w:r>
              <w:rPr>
                <w:sz w:val="19"/>
              </w:rPr>
              <w:t>to</w:t>
            </w:r>
            <w:r>
              <w:rPr>
                <w:spacing w:val="-6"/>
                <w:sz w:val="19"/>
              </w:rPr>
              <w:t> </w:t>
            </w:r>
            <w:r>
              <w:rPr>
                <w:sz w:val="19"/>
              </w:rPr>
              <w:t>electrical</w:t>
            </w:r>
            <w:r>
              <w:rPr>
                <w:spacing w:val="-7"/>
                <w:sz w:val="19"/>
              </w:rPr>
              <w:t> </w:t>
            </w:r>
            <w:r>
              <w:rPr>
                <w:sz w:val="19"/>
              </w:rPr>
              <w:t>fire</w:t>
            </w:r>
            <w:r>
              <w:rPr>
                <w:spacing w:val="-6"/>
                <w:sz w:val="19"/>
              </w:rPr>
              <w:t> </w:t>
            </w:r>
            <w:r>
              <w:rPr>
                <w:sz w:val="19"/>
              </w:rPr>
              <w:t>starts and gas-related incidents in regional areas.</w:t>
            </w:r>
          </w:p>
        </w:tc>
        <w:tc>
          <w:tcPr>
            <w:tcW w:w="1357" w:type="dxa"/>
            <w:tcBorders>
              <w:right w:val="single" w:sz="4" w:space="0" w:color="A6A6A6"/>
            </w:tcBorders>
          </w:tcPr>
          <w:p>
            <w:pPr>
              <w:pStyle w:val="TableParagraph"/>
              <w:spacing w:line="288" w:lineRule="auto" w:before="119"/>
              <w:ind w:left="186" w:right="98"/>
              <w:rPr>
                <w:sz w:val="19"/>
              </w:rPr>
            </w:pPr>
            <w:r>
              <w:rPr>
                <w:sz w:val="19"/>
              </w:rPr>
              <w:t>In part, via </w:t>
            </w:r>
            <w:r>
              <w:rPr>
                <w:spacing w:val="-2"/>
                <w:sz w:val="19"/>
              </w:rPr>
              <w:t>Victorian</w:t>
            </w:r>
            <w:r>
              <w:rPr>
                <w:spacing w:val="40"/>
                <w:sz w:val="19"/>
              </w:rPr>
              <w:t> </w:t>
            </w:r>
            <w:r>
              <w:rPr>
                <w:spacing w:val="-4"/>
                <w:sz w:val="19"/>
              </w:rPr>
              <w:t>Fire </w:t>
            </w:r>
            <w:r>
              <w:rPr>
                <w:spacing w:val="-2"/>
                <w:sz w:val="19"/>
              </w:rPr>
              <w:t>Investigation </w:t>
            </w:r>
            <w:r>
              <w:rPr>
                <w:sz w:val="19"/>
              </w:rPr>
              <w:t>Inter</w:t>
            </w:r>
            <w:r>
              <w:rPr>
                <w:spacing w:val="-14"/>
                <w:sz w:val="19"/>
              </w:rPr>
              <w:t> </w:t>
            </w:r>
            <w:r>
              <w:rPr>
                <w:sz w:val="19"/>
              </w:rPr>
              <w:t>Agency </w:t>
            </w:r>
            <w:r>
              <w:rPr>
                <w:spacing w:val="-2"/>
                <w:sz w:val="19"/>
              </w:rPr>
              <w:t>Agreement</w:t>
            </w:r>
          </w:p>
        </w:tc>
      </w:tr>
      <w:tr>
        <w:trPr>
          <w:trHeight w:val="1147" w:hRule="atLeast"/>
        </w:trPr>
        <w:tc>
          <w:tcPr>
            <w:tcW w:w="2932" w:type="dxa"/>
            <w:tcBorders>
              <w:left w:val="single" w:sz="4" w:space="0" w:color="A6A6A6"/>
            </w:tcBorders>
            <w:shd w:val="clear" w:color="auto" w:fill="CDEBEB"/>
          </w:tcPr>
          <w:p>
            <w:pPr>
              <w:pStyle w:val="TableParagraph"/>
              <w:spacing w:line="288" w:lineRule="auto" w:before="119"/>
              <w:ind w:left="107"/>
              <w:rPr>
                <w:b/>
                <w:sz w:val="19"/>
              </w:rPr>
            </w:pPr>
            <w:r>
              <w:rPr>
                <w:b/>
                <w:sz w:val="19"/>
              </w:rPr>
              <w:t>Department</w:t>
            </w:r>
            <w:r>
              <w:rPr>
                <w:b/>
                <w:spacing w:val="-14"/>
                <w:sz w:val="19"/>
              </w:rPr>
              <w:t> </w:t>
            </w:r>
            <w:r>
              <w:rPr>
                <w:b/>
                <w:sz w:val="19"/>
              </w:rPr>
              <w:t>of</w:t>
            </w:r>
            <w:r>
              <w:rPr>
                <w:b/>
                <w:spacing w:val="-13"/>
                <w:sz w:val="19"/>
              </w:rPr>
              <w:t> </w:t>
            </w:r>
            <w:r>
              <w:rPr>
                <w:b/>
                <w:sz w:val="19"/>
              </w:rPr>
              <w:t>Environment, Land, Water and Planning</w:t>
            </w:r>
          </w:p>
        </w:tc>
        <w:tc>
          <w:tcPr>
            <w:tcW w:w="3492" w:type="dxa"/>
            <w:shd w:val="clear" w:color="auto" w:fill="CDEBEB"/>
          </w:tcPr>
          <w:p>
            <w:pPr>
              <w:pStyle w:val="TableParagraph"/>
              <w:spacing w:before="119"/>
              <w:ind w:left="265"/>
              <w:rPr>
                <w:b/>
                <w:sz w:val="19"/>
              </w:rPr>
            </w:pPr>
            <w:r>
              <w:rPr>
                <w:b/>
                <w:sz w:val="19"/>
              </w:rPr>
              <w:t>Energy</w:t>
            </w:r>
            <w:r>
              <w:rPr>
                <w:b/>
                <w:spacing w:val="-13"/>
                <w:sz w:val="19"/>
              </w:rPr>
              <w:t> </w:t>
            </w:r>
            <w:r>
              <w:rPr>
                <w:b/>
                <w:spacing w:val="-2"/>
                <w:sz w:val="19"/>
              </w:rPr>
              <w:t>Policy</w:t>
            </w:r>
          </w:p>
          <w:p>
            <w:pPr>
              <w:pStyle w:val="TableParagraph"/>
              <w:spacing w:line="288" w:lineRule="auto" w:before="163"/>
              <w:ind w:left="265"/>
              <w:rPr>
                <w:sz w:val="19"/>
              </w:rPr>
            </w:pPr>
            <w:r>
              <w:rPr>
                <w:sz w:val="19"/>
              </w:rPr>
              <w:t>Provides</w:t>
            </w:r>
            <w:r>
              <w:rPr>
                <w:spacing w:val="-7"/>
                <w:sz w:val="19"/>
              </w:rPr>
              <w:t> </w:t>
            </w:r>
            <w:r>
              <w:rPr>
                <w:sz w:val="19"/>
              </w:rPr>
              <w:t>energy</w:t>
            </w:r>
            <w:r>
              <w:rPr>
                <w:spacing w:val="-10"/>
                <w:sz w:val="19"/>
              </w:rPr>
              <w:t> </w:t>
            </w:r>
            <w:r>
              <w:rPr>
                <w:sz w:val="19"/>
              </w:rPr>
              <w:t>policy</w:t>
            </w:r>
            <w:r>
              <w:rPr>
                <w:spacing w:val="-10"/>
                <w:sz w:val="19"/>
              </w:rPr>
              <w:t> </w:t>
            </w:r>
            <w:r>
              <w:rPr>
                <w:sz w:val="19"/>
              </w:rPr>
              <w:t>advice</w:t>
            </w:r>
            <w:r>
              <w:rPr>
                <w:spacing w:val="-9"/>
                <w:sz w:val="19"/>
              </w:rPr>
              <w:t> </w:t>
            </w:r>
            <w:r>
              <w:rPr>
                <w:sz w:val="19"/>
              </w:rPr>
              <w:t>to</w:t>
            </w:r>
            <w:r>
              <w:rPr>
                <w:spacing w:val="-8"/>
                <w:sz w:val="19"/>
              </w:rPr>
              <w:t> </w:t>
            </w:r>
            <w:r>
              <w:rPr>
                <w:sz w:val="19"/>
              </w:rPr>
              <w:t>the </w:t>
            </w:r>
            <w:r>
              <w:rPr>
                <w:spacing w:val="-2"/>
                <w:sz w:val="19"/>
              </w:rPr>
              <w:t>Minister.</w:t>
            </w:r>
          </w:p>
        </w:tc>
        <w:tc>
          <w:tcPr>
            <w:tcW w:w="4952" w:type="dxa"/>
            <w:shd w:val="clear" w:color="auto" w:fill="CDEBEB"/>
          </w:tcPr>
          <w:p>
            <w:pPr>
              <w:pStyle w:val="TableParagraph"/>
              <w:spacing w:line="288" w:lineRule="auto" w:before="119"/>
              <w:ind w:left="177"/>
              <w:rPr>
                <w:sz w:val="19"/>
              </w:rPr>
            </w:pPr>
            <w:r>
              <w:rPr>
                <w:sz w:val="19"/>
              </w:rPr>
              <w:t>ESV</w:t>
            </w:r>
            <w:r>
              <w:rPr>
                <w:spacing w:val="-5"/>
                <w:sz w:val="19"/>
              </w:rPr>
              <w:t> </w:t>
            </w:r>
            <w:r>
              <w:rPr>
                <w:sz w:val="19"/>
              </w:rPr>
              <w:t>has</w:t>
            </w:r>
            <w:r>
              <w:rPr>
                <w:spacing w:val="-4"/>
                <w:sz w:val="19"/>
              </w:rPr>
              <w:t> </w:t>
            </w:r>
            <w:r>
              <w:rPr>
                <w:sz w:val="19"/>
              </w:rPr>
              <w:t>the</w:t>
            </w:r>
            <w:r>
              <w:rPr>
                <w:spacing w:val="-5"/>
                <w:sz w:val="19"/>
              </w:rPr>
              <w:t> </w:t>
            </w:r>
            <w:r>
              <w:rPr>
                <w:sz w:val="19"/>
              </w:rPr>
              <w:t>technical</w:t>
            </w:r>
            <w:r>
              <w:rPr>
                <w:spacing w:val="-4"/>
                <w:sz w:val="19"/>
              </w:rPr>
              <w:t> </w:t>
            </w:r>
            <w:r>
              <w:rPr>
                <w:sz w:val="19"/>
              </w:rPr>
              <w:t>expertise</w:t>
            </w:r>
            <w:r>
              <w:rPr>
                <w:spacing w:val="-6"/>
                <w:sz w:val="19"/>
              </w:rPr>
              <w:t> </w:t>
            </w:r>
            <w:r>
              <w:rPr>
                <w:sz w:val="19"/>
              </w:rPr>
              <w:t>on</w:t>
            </w:r>
            <w:r>
              <w:rPr>
                <w:spacing w:val="-5"/>
                <w:sz w:val="19"/>
              </w:rPr>
              <w:t> </w:t>
            </w:r>
            <w:r>
              <w:rPr>
                <w:sz w:val="19"/>
              </w:rPr>
              <w:t>electricity</w:t>
            </w:r>
            <w:r>
              <w:rPr>
                <w:spacing w:val="-7"/>
                <w:sz w:val="19"/>
              </w:rPr>
              <w:t> </w:t>
            </w:r>
            <w:r>
              <w:rPr>
                <w:sz w:val="19"/>
              </w:rPr>
              <w:t>and</w:t>
            </w:r>
            <w:r>
              <w:rPr>
                <w:spacing w:val="-5"/>
                <w:sz w:val="19"/>
              </w:rPr>
              <w:t> </w:t>
            </w:r>
            <w:r>
              <w:rPr>
                <w:sz w:val="19"/>
              </w:rPr>
              <w:t>gas issues while the department is more policy focused.</w:t>
            </w:r>
          </w:p>
        </w:tc>
        <w:tc>
          <w:tcPr>
            <w:tcW w:w="1357" w:type="dxa"/>
            <w:tcBorders>
              <w:right w:val="single" w:sz="4" w:space="0" w:color="A6A6A6"/>
            </w:tcBorders>
            <w:shd w:val="clear" w:color="auto" w:fill="CDEBEB"/>
          </w:tcPr>
          <w:p>
            <w:pPr>
              <w:pStyle w:val="TableParagraph"/>
              <w:spacing w:before="119"/>
              <w:ind w:left="186"/>
              <w:rPr>
                <w:sz w:val="19"/>
              </w:rPr>
            </w:pPr>
            <w:r>
              <w:rPr>
                <w:spacing w:val="-5"/>
                <w:sz w:val="19"/>
              </w:rPr>
              <w:t>No</w:t>
            </w:r>
          </w:p>
        </w:tc>
      </w:tr>
    </w:tbl>
    <w:p>
      <w:pPr>
        <w:spacing w:after="0"/>
        <w:rPr>
          <w:sz w:val="19"/>
        </w:rPr>
        <w:sectPr>
          <w:headerReference w:type="default" r:id="rId75"/>
          <w:footerReference w:type="default" r:id="rId76"/>
          <w:pgSz w:w="16840" w:h="11910" w:orient="landscape"/>
          <w:pgMar w:header="887" w:footer="1302" w:top="1400" w:bottom="1500" w:left="1220" w:right="2420"/>
        </w:sectPr>
      </w:pPr>
    </w:p>
    <w:p>
      <w:pPr>
        <w:pStyle w:val="BodyText"/>
        <w:rPr>
          <w:b/>
          <w:sz w:val="20"/>
        </w:rPr>
      </w:pPr>
    </w:p>
    <w:p>
      <w:pPr>
        <w:pStyle w:val="BodyText"/>
        <w:spacing w:before="6" w:after="1"/>
        <w:rPr>
          <w:b/>
          <w:sz w:val="13"/>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84"/>
        <w:gridCol w:w="3397"/>
        <w:gridCol w:w="4958"/>
        <w:gridCol w:w="1292"/>
      </w:tblGrid>
      <w:tr>
        <w:trPr>
          <w:trHeight w:val="765" w:hRule="atLeast"/>
        </w:trPr>
        <w:tc>
          <w:tcPr>
            <w:tcW w:w="3084" w:type="dxa"/>
            <w:tcBorders>
              <w:top w:val="single" w:sz="4" w:space="0" w:color="A6A6A6"/>
              <w:left w:val="single" w:sz="4" w:space="0" w:color="A6A6A6"/>
            </w:tcBorders>
            <w:shd w:val="clear" w:color="auto" w:fill="D9D9D9"/>
          </w:tcPr>
          <w:p>
            <w:pPr>
              <w:pStyle w:val="TableParagraph"/>
              <w:spacing w:before="121"/>
              <w:ind w:left="107"/>
              <w:rPr>
                <w:b/>
                <w:sz w:val="19"/>
              </w:rPr>
            </w:pPr>
            <w:r>
              <w:rPr>
                <w:b/>
                <w:spacing w:val="-2"/>
                <w:sz w:val="19"/>
              </w:rPr>
              <w:t>Entity</w:t>
            </w:r>
          </w:p>
        </w:tc>
        <w:tc>
          <w:tcPr>
            <w:tcW w:w="3397" w:type="dxa"/>
            <w:tcBorders>
              <w:top w:val="single" w:sz="4" w:space="0" w:color="A6A6A6"/>
            </w:tcBorders>
            <w:shd w:val="clear" w:color="auto" w:fill="D9D9D9"/>
          </w:tcPr>
          <w:p>
            <w:pPr>
              <w:pStyle w:val="TableParagraph"/>
              <w:spacing w:before="121"/>
              <w:ind w:left="113"/>
              <w:rPr>
                <w:b/>
                <w:sz w:val="19"/>
              </w:rPr>
            </w:pPr>
            <w:r>
              <w:rPr>
                <w:b/>
                <w:sz w:val="19"/>
              </w:rPr>
              <w:t>Core</w:t>
            </w:r>
            <w:r>
              <w:rPr>
                <w:b/>
                <w:spacing w:val="-7"/>
                <w:sz w:val="19"/>
              </w:rPr>
              <w:t> </w:t>
            </w:r>
            <w:r>
              <w:rPr>
                <w:b/>
                <w:spacing w:val="-2"/>
                <w:sz w:val="19"/>
              </w:rPr>
              <w:t>function</w:t>
            </w:r>
          </w:p>
        </w:tc>
        <w:tc>
          <w:tcPr>
            <w:tcW w:w="4958" w:type="dxa"/>
            <w:tcBorders>
              <w:top w:val="single" w:sz="4" w:space="0" w:color="A6A6A6"/>
            </w:tcBorders>
            <w:shd w:val="clear" w:color="auto" w:fill="D9D9D9"/>
          </w:tcPr>
          <w:p>
            <w:pPr>
              <w:pStyle w:val="TableParagraph"/>
              <w:spacing w:before="121"/>
              <w:ind w:left="120"/>
              <w:rPr>
                <w:b/>
                <w:sz w:val="19"/>
              </w:rPr>
            </w:pPr>
            <w:r>
              <w:rPr>
                <w:b/>
                <w:sz w:val="19"/>
              </w:rPr>
              <w:t>Relationship</w:t>
            </w:r>
            <w:r>
              <w:rPr>
                <w:b/>
                <w:spacing w:val="-8"/>
                <w:sz w:val="19"/>
              </w:rPr>
              <w:t> </w:t>
            </w:r>
            <w:r>
              <w:rPr>
                <w:b/>
                <w:sz w:val="19"/>
              </w:rPr>
              <w:t>with</w:t>
            </w:r>
            <w:r>
              <w:rPr>
                <w:b/>
                <w:spacing w:val="-7"/>
                <w:sz w:val="19"/>
              </w:rPr>
              <w:t> </w:t>
            </w:r>
            <w:r>
              <w:rPr>
                <w:b/>
                <w:spacing w:val="-5"/>
                <w:sz w:val="19"/>
              </w:rPr>
              <w:t>ESV</w:t>
            </w:r>
          </w:p>
        </w:tc>
        <w:tc>
          <w:tcPr>
            <w:tcW w:w="1292" w:type="dxa"/>
            <w:tcBorders>
              <w:top w:val="single" w:sz="4" w:space="0" w:color="A6A6A6"/>
              <w:right w:val="single" w:sz="4" w:space="0" w:color="A6A6A6"/>
            </w:tcBorders>
            <w:shd w:val="clear" w:color="auto" w:fill="D9D9D9"/>
          </w:tcPr>
          <w:p>
            <w:pPr>
              <w:pStyle w:val="TableParagraph"/>
              <w:spacing w:line="288" w:lineRule="auto" w:before="121"/>
              <w:ind w:left="123" w:right="282"/>
              <w:rPr>
                <w:b/>
                <w:sz w:val="19"/>
              </w:rPr>
            </w:pPr>
            <w:r>
              <w:rPr>
                <w:b/>
                <w:sz w:val="19"/>
              </w:rPr>
              <w:t>MOU</w:t>
            </w:r>
            <w:r>
              <w:rPr>
                <w:b/>
                <w:spacing w:val="-14"/>
                <w:sz w:val="19"/>
              </w:rPr>
              <w:t> </w:t>
            </w:r>
            <w:r>
              <w:rPr>
                <w:b/>
                <w:sz w:val="19"/>
              </w:rPr>
              <w:t>with </w:t>
            </w:r>
            <w:r>
              <w:rPr>
                <w:b/>
                <w:spacing w:val="-4"/>
                <w:sz w:val="19"/>
              </w:rPr>
              <w:t>ESV</w:t>
            </w:r>
          </w:p>
        </w:tc>
      </w:tr>
      <w:tr>
        <w:trPr>
          <w:trHeight w:val="1814" w:hRule="atLeast"/>
        </w:trPr>
        <w:tc>
          <w:tcPr>
            <w:tcW w:w="3084" w:type="dxa"/>
            <w:vMerge w:val="restart"/>
            <w:tcBorders>
              <w:left w:val="single" w:sz="4" w:space="0" w:color="A6A6A6"/>
            </w:tcBorders>
            <w:shd w:val="clear" w:color="auto" w:fill="CDEBEB"/>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2"/>
              <w:rPr>
                <w:b/>
                <w:sz w:val="28"/>
              </w:rPr>
            </w:pPr>
          </w:p>
          <w:p>
            <w:pPr>
              <w:pStyle w:val="TableParagraph"/>
              <w:spacing w:line="288" w:lineRule="auto"/>
              <w:ind w:left="107"/>
              <w:rPr>
                <w:b/>
                <w:sz w:val="19"/>
              </w:rPr>
            </w:pPr>
            <w:r>
              <w:rPr>
                <w:b/>
                <w:sz w:val="19"/>
              </w:rPr>
              <w:t>Department</w:t>
            </w:r>
            <w:r>
              <w:rPr>
                <w:b/>
                <w:spacing w:val="-14"/>
                <w:sz w:val="19"/>
              </w:rPr>
              <w:t> </w:t>
            </w:r>
            <w:r>
              <w:rPr>
                <w:b/>
                <w:sz w:val="19"/>
              </w:rPr>
              <w:t>of</w:t>
            </w:r>
            <w:r>
              <w:rPr>
                <w:b/>
                <w:spacing w:val="-13"/>
                <w:sz w:val="19"/>
              </w:rPr>
              <w:t> </w:t>
            </w:r>
            <w:r>
              <w:rPr>
                <w:b/>
                <w:sz w:val="19"/>
              </w:rPr>
              <w:t>Environment, Land, Water and Planning</w:t>
            </w:r>
          </w:p>
        </w:tc>
        <w:tc>
          <w:tcPr>
            <w:tcW w:w="3397" w:type="dxa"/>
          </w:tcPr>
          <w:p>
            <w:pPr>
              <w:pStyle w:val="TableParagraph"/>
              <w:spacing w:before="119"/>
              <w:ind w:left="113"/>
              <w:rPr>
                <w:b/>
                <w:sz w:val="19"/>
              </w:rPr>
            </w:pPr>
            <w:r>
              <w:rPr>
                <w:b/>
                <w:sz w:val="19"/>
              </w:rPr>
              <w:t>Fire</w:t>
            </w:r>
            <w:r>
              <w:rPr>
                <w:b/>
                <w:spacing w:val="-8"/>
                <w:sz w:val="19"/>
              </w:rPr>
              <w:t> </w:t>
            </w:r>
            <w:r>
              <w:rPr>
                <w:b/>
                <w:sz w:val="19"/>
              </w:rPr>
              <w:t>and</w:t>
            </w:r>
            <w:r>
              <w:rPr>
                <w:b/>
                <w:spacing w:val="-8"/>
                <w:sz w:val="19"/>
              </w:rPr>
              <w:t> </w:t>
            </w:r>
            <w:r>
              <w:rPr>
                <w:b/>
                <w:sz w:val="19"/>
              </w:rPr>
              <w:t>Emergency</w:t>
            </w:r>
            <w:r>
              <w:rPr>
                <w:b/>
                <w:spacing w:val="-10"/>
                <w:sz w:val="19"/>
              </w:rPr>
              <w:t> </w:t>
            </w:r>
            <w:r>
              <w:rPr>
                <w:b/>
                <w:spacing w:val="-2"/>
                <w:sz w:val="19"/>
              </w:rPr>
              <w:t>Management</w:t>
            </w:r>
          </w:p>
          <w:p>
            <w:pPr>
              <w:pStyle w:val="TableParagraph"/>
              <w:spacing w:line="288" w:lineRule="auto" w:before="163"/>
              <w:ind w:left="113"/>
              <w:rPr>
                <w:sz w:val="19"/>
              </w:rPr>
            </w:pPr>
            <w:r>
              <w:rPr>
                <w:sz w:val="19"/>
              </w:rPr>
              <w:t>Control agency for various emergencies</w:t>
            </w:r>
            <w:r>
              <w:rPr>
                <w:spacing w:val="-9"/>
                <w:sz w:val="19"/>
              </w:rPr>
              <w:t> </w:t>
            </w:r>
            <w:r>
              <w:rPr>
                <w:sz w:val="19"/>
              </w:rPr>
              <w:t>including</w:t>
            </w:r>
            <w:r>
              <w:rPr>
                <w:spacing w:val="-11"/>
                <w:sz w:val="19"/>
              </w:rPr>
              <w:t> </w:t>
            </w:r>
            <w:r>
              <w:rPr>
                <w:sz w:val="19"/>
              </w:rPr>
              <w:t>fires</w:t>
            </w:r>
            <w:r>
              <w:rPr>
                <w:spacing w:val="-11"/>
                <w:sz w:val="19"/>
              </w:rPr>
              <w:t> </w:t>
            </w:r>
            <w:r>
              <w:rPr>
                <w:sz w:val="19"/>
              </w:rPr>
              <w:t>on</w:t>
            </w:r>
            <w:r>
              <w:rPr>
                <w:spacing w:val="-10"/>
                <w:sz w:val="19"/>
              </w:rPr>
              <w:t> </w:t>
            </w:r>
            <w:r>
              <w:rPr>
                <w:sz w:val="19"/>
              </w:rPr>
              <w:t>public </w:t>
            </w:r>
            <w:r>
              <w:rPr>
                <w:spacing w:val="-2"/>
                <w:sz w:val="19"/>
              </w:rPr>
              <w:t>land.</w:t>
            </w:r>
          </w:p>
        </w:tc>
        <w:tc>
          <w:tcPr>
            <w:tcW w:w="4958" w:type="dxa"/>
          </w:tcPr>
          <w:p>
            <w:pPr>
              <w:pStyle w:val="TableParagraph"/>
              <w:spacing w:line="288" w:lineRule="auto" w:before="119"/>
              <w:ind w:left="120"/>
              <w:rPr>
                <w:sz w:val="19"/>
              </w:rPr>
            </w:pPr>
            <w:r>
              <w:rPr>
                <w:sz w:val="19"/>
              </w:rPr>
              <w:t>DELWP</w:t>
            </w:r>
            <w:r>
              <w:rPr>
                <w:spacing w:val="-1"/>
                <w:sz w:val="19"/>
              </w:rPr>
              <w:t> </w:t>
            </w:r>
            <w:r>
              <w:rPr>
                <w:sz w:val="19"/>
              </w:rPr>
              <w:t>–</w:t>
            </w:r>
            <w:r>
              <w:rPr>
                <w:spacing w:val="-2"/>
                <w:sz w:val="19"/>
              </w:rPr>
              <w:t> </w:t>
            </w:r>
            <w:r>
              <w:rPr>
                <w:sz w:val="19"/>
              </w:rPr>
              <w:t>FEMD</w:t>
            </w:r>
            <w:r>
              <w:rPr>
                <w:spacing w:val="-3"/>
                <w:sz w:val="19"/>
              </w:rPr>
              <w:t> </w:t>
            </w:r>
            <w:r>
              <w:rPr>
                <w:sz w:val="19"/>
              </w:rPr>
              <w:t>investigates</w:t>
            </w:r>
            <w:r>
              <w:rPr>
                <w:spacing w:val="-2"/>
                <w:sz w:val="19"/>
              </w:rPr>
              <w:t> </w:t>
            </w:r>
            <w:r>
              <w:rPr>
                <w:sz w:val="19"/>
              </w:rPr>
              <w:t>and</w:t>
            </w:r>
            <w:r>
              <w:rPr>
                <w:spacing w:val="-2"/>
                <w:sz w:val="19"/>
              </w:rPr>
              <w:t> </w:t>
            </w:r>
            <w:r>
              <w:rPr>
                <w:sz w:val="19"/>
              </w:rPr>
              <w:t>responds</w:t>
            </w:r>
            <w:r>
              <w:rPr>
                <w:spacing w:val="-2"/>
                <w:sz w:val="19"/>
              </w:rPr>
              <w:t> </w:t>
            </w:r>
            <w:r>
              <w:rPr>
                <w:sz w:val="19"/>
              </w:rPr>
              <w:t>to</w:t>
            </w:r>
            <w:r>
              <w:rPr>
                <w:spacing w:val="-3"/>
                <w:sz w:val="19"/>
              </w:rPr>
              <w:t> </w:t>
            </w:r>
            <w:r>
              <w:rPr>
                <w:sz w:val="19"/>
              </w:rPr>
              <w:t>electrical fire</w:t>
            </w:r>
            <w:r>
              <w:rPr>
                <w:spacing w:val="-6"/>
                <w:sz w:val="19"/>
              </w:rPr>
              <w:t> </w:t>
            </w:r>
            <w:r>
              <w:rPr>
                <w:sz w:val="19"/>
              </w:rPr>
              <w:t>starts</w:t>
            </w:r>
            <w:r>
              <w:rPr>
                <w:spacing w:val="-5"/>
                <w:sz w:val="19"/>
              </w:rPr>
              <w:t> </w:t>
            </w:r>
            <w:r>
              <w:rPr>
                <w:sz w:val="19"/>
              </w:rPr>
              <w:t>on</w:t>
            </w:r>
            <w:r>
              <w:rPr>
                <w:spacing w:val="-6"/>
                <w:sz w:val="19"/>
              </w:rPr>
              <w:t> </w:t>
            </w:r>
            <w:r>
              <w:rPr>
                <w:sz w:val="19"/>
              </w:rPr>
              <w:t>public</w:t>
            </w:r>
            <w:r>
              <w:rPr>
                <w:spacing w:val="-5"/>
                <w:sz w:val="19"/>
              </w:rPr>
              <w:t> </w:t>
            </w:r>
            <w:r>
              <w:rPr>
                <w:sz w:val="19"/>
              </w:rPr>
              <w:t>land.</w:t>
            </w:r>
            <w:r>
              <w:rPr>
                <w:spacing w:val="-5"/>
                <w:sz w:val="19"/>
              </w:rPr>
              <w:t> </w:t>
            </w:r>
            <w:r>
              <w:rPr>
                <w:sz w:val="19"/>
              </w:rPr>
              <w:t>DELWP</w:t>
            </w:r>
            <w:r>
              <w:rPr>
                <w:spacing w:val="-5"/>
                <w:sz w:val="19"/>
              </w:rPr>
              <w:t> </w:t>
            </w:r>
            <w:r>
              <w:rPr>
                <w:sz w:val="19"/>
              </w:rPr>
              <w:t>also</w:t>
            </w:r>
            <w:r>
              <w:rPr>
                <w:spacing w:val="-8"/>
                <w:sz w:val="19"/>
              </w:rPr>
              <w:t> </w:t>
            </w:r>
            <w:r>
              <w:rPr>
                <w:sz w:val="19"/>
              </w:rPr>
              <w:t>conducts</w:t>
            </w:r>
            <w:r>
              <w:rPr>
                <w:spacing w:val="-4"/>
                <w:sz w:val="19"/>
              </w:rPr>
              <w:t> </w:t>
            </w:r>
            <w:r>
              <w:rPr>
                <w:sz w:val="19"/>
              </w:rPr>
              <w:t>planned burns which may occur around electricity and gas </w:t>
            </w:r>
            <w:r>
              <w:rPr>
                <w:spacing w:val="-2"/>
                <w:sz w:val="19"/>
              </w:rPr>
              <w:t>easements.</w:t>
            </w:r>
          </w:p>
        </w:tc>
        <w:tc>
          <w:tcPr>
            <w:tcW w:w="1292" w:type="dxa"/>
            <w:tcBorders>
              <w:right w:val="single" w:sz="4" w:space="0" w:color="A6A6A6"/>
            </w:tcBorders>
          </w:tcPr>
          <w:p>
            <w:pPr>
              <w:pStyle w:val="TableParagraph"/>
              <w:spacing w:line="288" w:lineRule="auto" w:before="119"/>
              <w:ind w:left="123" w:right="96"/>
              <w:rPr>
                <w:sz w:val="19"/>
              </w:rPr>
            </w:pPr>
            <w:r>
              <w:rPr>
                <w:sz w:val="19"/>
              </w:rPr>
              <w:t>In part, via </w:t>
            </w:r>
            <w:r>
              <w:rPr>
                <w:spacing w:val="-2"/>
                <w:sz w:val="19"/>
              </w:rPr>
              <w:t>Victorian</w:t>
            </w:r>
            <w:r>
              <w:rPr>
                <w:spacing w:val="40"/>
                <w:sz w:val="19"/>
              </w:rPr>
              <w:t> </w:t>
            </w:r>
            <w:r>
              <w:rPr>
                <w:spacing w:val="-4"/>
                <w:sz w:val="19"/>
              </w:rPr>
              <w:t>Fire </w:t>
            </w:r>
            <w:r>
              <w:rPr>
                <w:spacing w:val="-2"/>
                <w:sz w:val="19"/>
              </w:rPr>
              <w:t>Investigation </w:t>
            </w:r>
            <w:r>
              <w:rPr>
                <w:sz w:val="19"/>
              </w:rPr>
              <w:t>Inter</w:t>
            </w:r>
            <w:r>
              <w:rPr>
                <w:spacing w:val="-14"/>
                <w:sz w:val="19"/>
              </w:rPr>
              <w:t> </w:t>
            </w:r>
            <w:r>
              <w:rPr>
                <w:sz w:val="19"/>
              </w:rPr>
              <w:t>Agency </w:t>
            </w:r>
            <w:r>
              <w:rPr>
                <w:spacing w:val="-2"/>
                <w:sz w:val="19"/>
              </w:rPr>
              <w:t>Agreement</w:t>
            </w:r>
          </w:p>
        </w:tc>
      </w:tr>
      <w:tr>
        <w:trPr>
          <w:trHeight w:val="1931" w:hRule="atLeast"/>
        </w:trPr>
        <w:tc>
          <w:tcPr>
            <w:tcW w:w="3084" w:type="dxa"/>
            <w:vMerge/>
            <w:tcBorders>
              <w:top w:val="nil"/>
              <w:left w:val="single" w:sz="4" w:space="0" w:color="A6A6A6"/>
            </w:tcBorders>
            <w:shd w:val="clear" w:color="auto" w:fill="CDEBEB"/>
          </w:tcPr>
          <w:p>
            <w:pPr>
              <w:rPr>
                <w:sz w:val="2"/>
                <w:szCs w:val="2"/>
              </w:rPr>
            </w:pPr>
          </w:p>
        </w:tc>
        <w:tc>
          <w:tcPr>
            <w:tcW w:w="3397" w:type="dxa"/>
            <w:shd w:val="clear" w:color="auto" w:fill="CDEBEB"/>
          </w:tcPr>
          <w:p>
            <w:pPr>
              <w:pStyle w:val="TableParagraph"/>
              <w:spacing w:before="119"/>
              <w:ind w:left="113"/>
              <w:rPr>
                <w:b/>
                <w:sz w:val="19"/>
              </w:rPr>
            </w:pPr>
            <w:r>
              <w:rPr>
                <w:b/>
                <w:sz w:val="19"/>
              </w:rPr>
              <w:t>Powerline</w:t>
            </w:r>
            <w:r>
              <w:rPr>
                <w:b/>
                <w:spacing w:val="-11"/>
                <w:sz w:val="19"/>
              </w:rPr>
              <w:t> </w:t>
            </w:r>
            <w:r>
              <w:rPr>
                <w:b/>
                <w:sz w:val="19"/>
              </w:rPr>
              <w:t>Bushfire</w:t>
            </w:r>
            <w:r>
              <w:rPr>
                <w:b/>
                <w:spacing w:val="-10"/>
                <w:sz w:val="19"/>
              </w:rPr>
              <w:t> </w:t>
            </w:r>
            <w:r>
              <w:rPr>
                <w:b/>
                <w:sz w:val="19"/>
              </w:rPr>
              <w:t>Safety</w:t>
            </w:r>
            <w:r>
              <w:rPr>
                <w:b/>
                <w:spacing w:val="-10"/>
                <w:sz w:val="19"/>
              </w:rPr>
              <w:t> </w:t>
            </w:r>
            <w:r>
              <w:rPr>
                <w:b/>
                <w:spacing w:val="-2"/>
                <w:sz w:val="19"/>
              </w:rPr>
              <w:t>Program</w:t>
            </w:r>
          </w:p>
          <w:p>
            <w:pPr>
              <w:pStyle w:val="TableParagraph"/>
              <w:spacing w:line="288" w:lineRule="auto" w:before="163"/>
              <w:ind w:left="113" w:right="175"/>
              <w:rPr>
                <w:sz w:val="19"/>
              </w:rPr>
            </w:pPr>
            <w:r>
              <w:rPr>
                <w:sz w:val="19"/>
              </w:rPr>
              <w:t>Responsible</w:t>
            </w:r>
            <w:r>
              <w:rPr>
                <w:spacing w:val="-4"/>
                <w:sz w:val="19"/>
              </w:rPr>
              <w:t> </w:t>
            </w:r>
            <w:r>
              <w:rPr>
                <w:sz w:val="19"/>
              </w:rPr>
              <w:t>for</w:t>
            </w:r>
            <w:r>
              <w:rPr>
                <w:spacing w:val="-2"/>
                <w:sz w:val="19"/>
              </w:rPr>
              <w:t> </w:t>
            </w:r>
            <w:r>
              <w:rPr>
                <w:sz w:val="19"/>
              </w:rPr>
              <w:t>the</w:t>
            </w:r>
            <w:r>
              <w:rPr>
                <w:spacing w:val="-2"/>
                <w:sz w:val="19"/>
              </w:rPr>
              <w:t> </w:t>
            </w:r>
            <w:r>
              <w:rPr>
                <w:sz w:val="19"/>
              </w:rPr>
              <w:t>implementation of measures in response to Recommendations</w:t>
            </w:r>
            <w:r>
              <w:rPr>
                <w:spacing w:val="-7"/>
                <w:sz w:val="19"/>
              </w:rPr>
              <w:t> </w:t>
            </w:r>
            <w:r>
              <w:rPr>
                <w:sz w:val="19"/>
              </w:rPr>
              <w:t>27</w:t>
            </w:r>
            <w:r>
              <w:rPr>
                <w:spacing w:val="-9"/>
                <w:sz w:val="19"/>
              </w:rPr>
              <w:t> </w:t>
            </w:r>
            <w:r>
              <w:rPr>
                <w:sz w:val="19"/>
              </w:rPr>
              <w:t>and</w:t>
            </w:r>
            <w:r>
              <w:rPr>
                <w:spacing w:val="-9"/>
                <w:sz w:val="19"/>
              </w:rPr>
              <w:t> </w:t>
            </w:r>
            <w:r>
              <w:rPr>
                <w:sz w:val="19"/>
              </w:rPr>
              <w:t>32</w:t>
            </w:r>
            <w:r>
              <w:rPr>
                <w:spacing w:val="-9"/>
                <w:sz w:val="19"/>
              </w:rPr>
              <w:t> </w:t>
            </w:r>
            <w:r>
              <w:rPr>
                <w:sz w:val="19"/>
              </w:rPr>
              <w:t>of</w:t>
            </w:r>
            <w:r>
              <w:rPr>
                <w:spacing w:val="-6"/>
                <w:sz w:val="19"/>
              </w:rPr>
              <w:t> </w:t>
            </w:r>
            <w:r>
              <w:rPr>
                <w:sz w:val="19"/>
              </w:rPr>
              <w:t>the 2009 Victorian Bushfires Royal </w:t>
            </w:r>
            <w:r>
              <w:rPr>
                <w:spacing w:val="-2"/>
                <w:sz w:val="19"/>
              </w:rPr>
              <w:t>Commission.</w:t>
            </w:r>
          </w:p>
        </w:tc>
        <w:tc>
          <w:tcPr>
            <w:tcW w:w="4958" w:type="dxa"/>
            <w:shd w:val="clear" w:color="auto" w:fill="CDEBEB"/>
          </w:tcPr>
          <w:p>
            <w:pPr>
              <w:pStyle w:val="TableParagraph"/>
              <w:spacing w:line="288" w:lineRule="auto" w:before="119"/>
              <w:ind w:left="120" w:right="115"/>
              <w:rPr>
                <w:sz w:val="19"/>
              </w:rPr>
            </w:pPr>
            <w:r>
              <w:rPr>
                <w:sz w:val="19"/>
              </w:rPr>
              <w:t>The</w:t>
            </w:r>
            <w:r>
              <w:rPr>
                <w:spacing w:val="-9"/>
                <w:sz w:val="19"/>
              </w:rPr>
              <w:t> </w:t>
            </w:r>
            <w:r>
              <w:rPr>
                <w:sz w:val="19"/>
              </w:rPr>
              <w:t>program</w:t>
            </w:r>
            <w:r>
              <w:rPr>
                <w:spacing w:val="-10"/>
                <w:sz w:val="19"/>
              </w:rPr>
              <w:t> </w:t>
            </w:r>
            <w:r>
              <w:rPr>
                <w:sz w:val="19"/>
              </w:rPr>
              <w:t>includes</w:t>
            </w:r>
            <w:r>
              <w:rPr>
                <w:spacing w:val="-7"/>
                <w:sz w:val="19"/>
              </w:rPr>
              <w:t> </w:t>
            </w:r>
            <w:r>
              <w:rPr>
                <w:sz w:val="19"/>
              </w:rPr>
              <w:t>legislated</w:t>
            </w:r>
            <w:r>
              <w:rPr>
                <w:spacing w:val="-9"/>
                <w:sz w:val="19"/>
              </w:rPr>
              <w:t> </w:t>
            </w:r>
            <w:r>
              <w:rPr>
                <w:sz w:val="19"/>
              </w:rPr>
              <w:t>physical</w:t>
            </w:r>
            <w:r>
              <w:rPr>
                <w:spacing w:val="-7"/>
                <w:sz w:val="19"/>
              </w:rPr>
              <w:t> </w:t>
            </w:r>
            <w:r>
              <w:rPr>
                <w:sz w:val="19"/>
              </w:rPr>
              <w:t>safety upgrades for the electricity networks.</w:t>
            </w:r>
          </w:p>
        </w:tc>
        <w:tc>
          <w:tcPr>
            <w:tcW w:w="1292" w:type="dxa"/>
            <w:tcBorders>
              <w:right w:val="single" w:sz="4" w:space="0" w:color="A6A6A6"/>
            </w:tcBorders>
            <w:shd w:val="clear" w:color="auto" w:fill="CDEBEB"/>
          </w:tcPr>
          <w:p>
            <w:pPr>
              <w:pStyle w:val="TableParagraph"/>
              <w:spacing w:before="119"/>
              <w:ind w:left="123"/>
              <w:rPr>
                <w:sz w:val="19"/>
              </w:rPr>
            </w:pPr>
            <w:r>
              <w:rPr>
                <w:spacing w:val="-5"/>
                <w:sz w:val="19"/>
              </w:rPr>
              <w:t>No</w:t>
            </w:r>
          </w:p>
        </w:tc>
      </w:tr>
      <w:tr>
        <w:trPr>
          <w:trHeight w:val="1409" w:hRule="atLeast"/>
        </w:trPr>
        <w:tc>
          <w:tcPr>
            <w:tcW w:w="3084" w:type="dxa"/>
            <w:vMerge/>
            <w:tcBorders>
              <w:top w:val="nil"/>
              <w:left w:val="single" w:sz="4" w:space="0" w:color="A6A6A6"/>
            </w:tcBorders>
            <w:shd w:val="clear" w:color="auto" w:fill="CDEBEB"/>
          </w:tcPr>
          <w:p>
            <w:pPr>
              <w:rPr>
                <w:sz w:val="2"/>
                <w:szCs w:val="2"/>
              </w:rPr>
            </w:pPr>
          </w:p>
        </w:tc>
        <w:tc>
          <w:tcPr>
            <w:tcW w:w="3397" w:type="dxa"/>
          </w:tcPr>
          <w:p>
            <w:pPr>
              <w:pStyle w:val="TableParagraph"/>
              <w:spacing w:before="119"/>
              <w:ind w:left="113"/>
              <w:rPr>
                <w:b/>
                <w:sz w:val="19"/>
              </w:rPr>
            </w:pPr>
            <w:r>
              <w:rPr>
                <w:b/>
                <w:spacing w:val="-2"/>
                <w:sz w:val="19"/>
              </w:rPr>
              <w:t>Planning</w:t>
            </w:r>
          </w:p>
          <w:p>
            <w:pPr>
              <w:pStyle w:val="TableParagraph"/>
              <w:spacing w:line="288" w:lineRule="auto" w:before="164"/>
              <w:ind w:left="113"/>
              <w:rPr>
                <w:sz w:val="19"/>
              </w:rPr>
            </w:pPr>
            <w:r>
              <w:rPr>
                <w:sz w:val="19"/>
              </w:rPr>
              <w:t>Responsible</w:t>
            </w:r>
            <w:r>
              <w:rPr>
                <w:spacing w:val="-11"/>
                <w:sz w:val="19"/>
              </w:rPr>
              <w:t> </w:t>
            </w:r>
            <w:r>
              <w:rPr>
                <w:sz w:val="19"/>
              </w:rPr>
              <w:t>for</w:t>
            </w:r>
            <w:r>
              <w:rPr>
                <w:spacing w:val="-9"/>
                <w:sz w:val="19"/>
              </w:rPr>
              <w:t> </w:t>
            </w:r>
            <w:r>
              <w:rPr>
                <w:sz w:val="19"/>
              </w:rPr>
              <w:t>the</w:t>
            </w:r>
            <w:r>
              <w:rPr>
                <w:spacing w:val="-9"/>
                <w:sz w:val="19"/>
              </w:rPr>
              <w:t> </w:t>
            </w:r>
            <w:r>
              <w:rPr>
                <w:sz w:val="19"/>
              </w:rPr>
              <w:t>Victoria</w:t>
            </w:r>
            <w:r>
              <w:rPr>
                <w:spacing w:val="-11"/>
                <w:sz w:val="19"/>
              </w:rPr>
              <w:t> </w:t>
            </w:r>
            <w:r>
              <w:rPr>
                <w:sz w:val="19"/>
              </w:rPr>
              <w:t>Planning Provisions and state-wide land use </w:t>
            </w:r>
            <w:r>
              <w:rPr>
                <w:spacing w:val="-2"/>
                <w:sz w:val="19"/>
              </w:rPr>
              <w:t>policy.</w:t>
            </w:r>
          </w:p>
        </w:tc>
        <w:tc>
          <w:tcPr>
            <w:tcW w:w="4958" w:type="dxa"/>
          </w:tcPr>
          <w:p>
            <w:pPr>
              <w:pStyle w:val="TableParagraph"/>
              <w:spacing w:line="288" w:lineRule="auto" w:before="119"/>
              <w:ind w:left="120" w:right="114"/>
              <w:rPr>
                <w:sz w:val="19"/>
              </w:rPr>
            </w:pPr>
            <w:r>
              <w:rPr>
                <w:sz w:val="19"/>
              </w:rPr>
              <w:t>DELWP</w:t>
            </w:r>
            <w:r>
              <w:rPr>
                <w:spacing w:val="-6"/>
                <w:sz w:val="19"/>
              </w:rPr>
              <w:t> </w:t>
            </w:r>
            <w:r>
              <w:rPr>
                <w:sz w:val="19"/>
              </w:rPr>
              <w:t>Planning</w:t>
            </w:r>
            <w:r>
              <w:rPr>
                <w:spacing w:val="-6"/>
                <w:sz w:val="19"/>
              </w:rPr>
              <w:t> </w:t>
            </w:r>
            <w:r>
              <w:rPr>
                <w:sz w:val="19"/>
              </w:rPr>
              <w:t>is</w:t>
            </w:r>
            <w:r>
              <w:rPr>
                <w:spacing w:val="-4"/>
                <w:sz w:val="19"/>
              </w:rPr>
              <w:t> </w:t>
            </w:r>
            <w:r>
              <w:rPr>
                <w:sz w:val="19"/>
              </w:rPr>
              <w:t>responsible</w:t>
            </w:r>
            <w:r>
              <w:rPr>
                <w:spacing w:val="-5"/>
                <w:sz w:val="19"/>
              </w:rPr>
              <w:t> </w:t>
            </w:r>
            <w:r>
              <w:rPr>
                <w:sz w:val="19"/>
              </w:rPr>
              <w:t>for</w:t>
            </w:r>
            <w:r>
              <w:rPr>
                <w:spacing w:val="-5"/>
                <w:sz w:val="19"/>
              </w:rPr>
              <w:t> </w:t>
            </w:r>
            <w:r>
              <w:rPr>
                <w:sz w:val="19"/>
              </w:rPr>
              <w:t>setting</w:t>
            </w:r>
            <w:r>
              <w:rPr>
                <w:spacing w:val="-5"/>
                <w:sz w:val="19"/>
              </w:rPr>
              <w:t> </w:t>
            </w:r>
            <w:r>
              <w:rPr>
                <w:sz w:val="19"/>
              </w:rPr>
              <w:t>the</w:t>
            </w:r>
            <w:r>
              <w:rPr>
                <w:spacing w:val="-5"/>
                <w:sz w:val="19"/>
              </w:rPr>
              <w:t> </w:t>
            </w:r>
            <w:r>
              <w:rPr>
                <w:sz w:val="19"/>
              </w:rPr>
              <w:t>state- wide land use policy on developments on or near electricity and gas easements.</w:t>
            </w:r>
          </w:p>
        </w:tc>
        <w:tc>
          <w:tcPr>
            <w:tcW w:w="1292" w:type="dxa"/>
            <w:tcBorders>
              <w:right w:val="single" w:sz="4" w:space="0" w:color="A6A6A6"/>
            </w:tcBorders>
          </w:tcPr>
          <w:p>
            <w:pPr>
              <w:pStyle w:val="TableParagraph"/>
              <w:spacing w:before="119"/>
              <w:ind w:left="123"/>
              <w:rPr>
                <w:sz w:val="19"/>
              </w:rPr>
            </w:pPr>
            <w:r>
              <w:rPr>
                <w:spacing w:val="-5"/>
                <w:sz w:val="19"/>
              </w:rPr>
              <w:t>No</w:t>
            </w:r>
          </w:p>
        </w:tc>
      </w:tr>
      <w:tr>
        <w:trPr>
          <w:trHeight w:val="2076" w:hRule="atLeast"/>
        </w:trPr>
        <w:tc>
          <w:tcPr>
            <w:tcW w:w="3084" w:type="dxa"/>
            <w:vMerge/>
            <w:tcBorders>
              <w:top w:val="nil"/>
              <w:left w:val="single" w:sz="4" w:space="0" w:color="A6A6A6"/>
            </w:tcBorders>
            <w:shd w:val="clear" w:color="auto" w:fill="CDEBEB"/>
          </w:tcPr>
          <w:p>
            <w:pPr>
              <w:rPr>
                <w:sz w:val="2"/>
                <w:szCs w:val="2"/>
              </w:rPr>
            </w:pPr>
          </w:p>
        </w:tc>
        <w:tc>
          <w:tcPr>
            <w:tcW w:w="3397" w:type="dxa"/>
            <w:shd w:val="clear" w:color="auto" w:fill="CDEBEB"/>
          </w:tcPr>
          <w:p>
            <w:pPr>
              <w:pStyle w:val="TableParagraph"/>
              <w:spacing w:before="119"/>
              <w:ind w:left="113"/>
              <w:rPr>
                <w:b/>
                <w:sz w:val="19"/>
              </w:rPr>
            </w:pPr>
            <w:r>
              <w:rPr>
                <w:b/>
                <w:spacing w:val="-2"/>
                <w:sz w:val="19"/>
              </w:rPr>
              <w:t>Pipelines</w:t>
            </w:r>
          </w:p>
          <w:p>
            <w:pPr>
              <w:pStyle w:val="TableParagraph"/>
              <w:spacing w:line="288" w:lineRule="auto" w:before="163"/>
              <w:ind w:left="113"/>
              <w:rPr>
                <w:sz w:val="19"/>
              </w:rPr>
            </w:pPr>
            <w:r>
              <w:rPr>
                <w:sz w:val="19"/>
              </w:rPr>
              <w:t>Responsible</w:t>
            </w:r>
            <w:r>
              <w:rPr>
                <w:spacing w:val="-9"/>
                <w:sz w:val="19"/>
              </w:rPr>
              <w:t> </w:t>
            </w:r>
            <w:r>
              <w:rPr>
                <w:sz w:val="19"/>
              </w:rPr>
              <w:t>for</w:t>
            </w:r>
            <w:r>
              <w:rPr>
                <w:spacing w:val="-8"/>
                <w:sz w:val="19"/>
              </w:rPr>
              <w:t> </w:t>
            </w:r>
            <w:r>
              <w:rPr>
                <w:sz w:val="19"/>
              </w:rPr>
              <w:t>the</w:t>
            </w:r>
            <w:r>
              <w:rPr>
                <w:spacing w:val="-8"/>
                <w:sz w:val="19"/>
              </w:rPr>
              <w:t> </w:t>
            </w:r>
            <w:r>
              <w:rPr>
                <w:sz w:val="19"/>
              </w:rPr>
              <w:t>licensing</w:t>
            </w:r>
            <w:r>
              <w:rPr>
                <w:spacing w:val="-9"/>
                <w:sz w:val="19"/>
              </w:rPr>
              <w:t> </w:t>
            </w:r>
            <w:r>
              <w:rPr>
                <w:sz w:val="19"/>
              </w:rPr>
              <w:t>of</w:t>
            </w:r>
            <w:r>
              <w:rPr>
                <w:spacing w:val="-5"/>
                <w:sz w:val="19"/>
              </w:rPr>
              <w:t> </w:t>
            </w:r>
            <w:r>
              <w:rPr>
                <w:sz w:val="19"/>
              </w:rPr>
              <w:t>high pressure hydrocarbon pipelines.</w:t>
            </w:r>
          </w:p>
        </w:tc>
        <w:tc>
          <w:tcPr>
            <w:tcW w:w="4958" w:type="dxa"/>
            <w:shd w:val="clear" w:color="auto" w:fill="CDEBEB"/>
          </w:tcPr>
          <w:p>
            <w:pPr>
              <w:pStyle w:val="TableParagraph"/>
              <w:spacing w:line="288" w:lineRule="auto" w:before="119"/>
              <w:ind w:left="120" w:right="114"/>
              <w:rPr>
                <w:sz w:val="19"/>
              </w:rPr>
            </w:pPr>
            <w:r>
              <w:rPr>
                <w:sz w:val="19"/>
              </w:rPr>
              <w:t>DELWP</w:t>
            </w:r>
            <w:r>
              <w:rPr>
                <w:spacing w:val="-6"/>
                <w:sz w:val="19"/>
              </w:rPr>
              <w:t> </w:t>
            </w:r>
            <w:r>
              <w:rPr>
                <w:sz w:val="19"/>
              </w:rPr>
              <w:t>Pipelines</w:t>
            </w:r>
            <w:r>
              <w:rPr>
                <w:spacing w:val="-6"/>
                <w:sz w:val="19"/>
              </w:rPr>
              <w:t> </w:t>
            </w:r>
            <w:r>
              <w:rPr>
                <w:sz w:val="19"/>
              </w:rPr>
              <w:t>is</w:t>
            </w:r>
            <w:r>
              <w:rPr>
                <w:spacing w:val="-5"/>
                <w:sz w:val="19"/>
              </w:rPr>
              <w:t> </w:t>
            </w:r>
            <w:r>
              <w:rPr>
                <w:sz w:val="19"/>
              </w:rPr>
              <w:t>responsible</w:t>
            </w:r>
            <w:r>
              <w:rPr>
                <w:spacing w:val="-5"/>
                <w:sz w:val="19"/>
              </w:rPr>
              <w:t> </w:t>
            </w:r>
            <w:r>
              <w:rPr>
                <w:sz w:val="19"/>
              </w:rPr>
              <w:t>for</w:t>
            </w:r>
            <w:r>
              <w:rPr>
                <w:spacing w:val="-5"/>
                <w:sz w:val="19"/>
              </w:rPr>
              <w:t> </w:t>
            </w:r>
            <w:r>
              <w:rPr>
                <w:sz w:val="19"/>
              </w:rPr>
              <w:t>the</w:t>
            </w:r>
            <w:r>
              <w:rPr>
                <w:spacing w:val="-5"/>
                <w:sz w:val="19"/>
              </w:rPr>
              <w:t> </w:t>
            </w:r>
            <w:r>
              <w:rPr>
                <w:sz w:val="19"/>
              </w:rPr>
              <w:t>licensing</w:t>
            </w:r>
            <w:r>
              <w:rPr>
                <w:spacing w:val="-5"/>
                <w:sz w:val="19"/>
              </w:rPr>
              <w:t> </w:t>
            </w:r>
            <w:r>
              <w:rPr>
                <w:sz w:val="19"/>
              </w:rPr>
              <w:t>of</w:t>
            </w:r>
            <w:r>
              <w:rPr>
                <w:spacing w:val="-3"/>
                <w:sz w:val="19"/>
              </w:rPr>
              <w:t> </w:t>
            </w:r>
            <w:r>
              <w:rPr>
                <w:sz w:val="19"/>
              </w:rPr>
              <w:t>high pressure gas pipelines and assessment of environmental issues for new and licensed pipelines.</w:t>
            </w:r>
          </w:p>
        </w:tc>
        <w:tc>
          <w:tcPr>
            <w:tcW w:w="1292" w:type="dxa"/>
            <w:tcBorders>
              <w:right w:val="single" w:sz="4" w:space="0" w:color="A6A6A6"/>
            </w:tcBorders>
            <w:shd w:val="clear" w:color="auto" w:fill="CDEBEB"/>
          </w:tcPr>
          <w:p>
            <w:pPr>
              <w:pStyle w:val="TableParagraph"/>
              <w:spacing w:line="288" w:lineRule="auto" w:before="119"/>
              <w:ind w:left="123" w:right="96"/>
              <w:rPr>
                <w:sz w:val="19"/>
              </w:rPr>
            </w:pPr>
            <w:r>
              <w:rPr>
                <w:sz w:val="19"/>
              </w:rPr>
              <w:t>In part, via MOU with </w:t>
            </w:r>
            <w:r>
              <w:rPr>
                <w:spacing w:val="-2"/>
                <w:sz w:val="19"/>
              </w:rPr>
              <w:t>former Department </w:t>
            </w:r>
            <w:r>
              <w:rPr>
                <w:sz w:val="19"/>
              </w:rPr>
              <w:t>of Primary </w:t>
            </w:r>
            <w:r>
              <w:rPr>
                <w:spacing w:val="-2"/>
                <w:sz w:val="19"/>
              </w:rPr>
              <w:t>Industries (DPI)</w:t>
            </w:r>
          </w:p>
        </w:tc>
      </w:tr>
    </w:tbl>
    <w:p>
      <w:pPr>
        <w:spacing w:after="0" w:line="288" w:lineRule="auto"/>
        <w:rPr>
          <w:sz w:val="19"/>
        </w:rPr>
        <w:sectPr>
          <w:pgSz w:w="16840" w:h="11910" w:orient="landscape"/>
          <w:pgMar w:header="887" w:footer="1302" w:top="1400" w:bottom="1500" w:left="1220" w:right="2420"/>
        </w:sectPr>
      </w:pPr>
    </w:p>
    <w:p>
      <w:pPr>
        <w:pStyle w:val="BodyText"/>
        <w:rPr>
          <w:b/>
          <w:sz w:val="20"/>
        </w:rPr>
      </w:pPr>
    </w:p>
    <w:p>
      <w:pPr>
        <w:pStyle w:val="BodyText"/>
        <w:spacing w:before="6" w:after="1"/>
        <w:rPr>
          <w:b/>
          <w:sz w:val="13"/>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80"/>
        <w:gridCol w:w="3356"/>
        <w:gridCol w:w="5005"/>
        <w:gridCol w:w="1293"/>
      </w:tblGrid>
      <w:tr>
        <w:trPr>
          <w:trHeight w:val="765" w:hRule="atLeast"/>
        </w:trPr>
        <w:tc>
          <w:tcPr>
            <w:tcW w:w="3080" w:type="dxa"/>
            <w:tcBorders>
              <w:top w:val="single" w:sz="4" w:space="0" w:color="A6A6A6"/>
              <w:left w:val="single" w:sz="4" w:space="0" w:color="A6A6A6"/>
            </w:tcBorders>
            <w:shd w:val="clear" w:color="auto" w:fill="D9D9D9"/>
          </w:tcPr>
          <w:p>
            <w:pPr>
              <w:pStyle w:val="TableParagraph"/>
              <w:spacing w:before="121"/>
              <w:ind w:left="107"/>
              <w:rPr>
                <w:b/>
                <w:sz w:val="19"/>
              </w:rPr>
            </w:pPr>
            <w:r>
              <w:rPr>
                <w:b/>
                <w:spacing w:val="-2"/>
                <w:sz w:val="19"/>
              </w:rPr>
              <w:t>Entity</w:t>
            </w:r>
          </w:p>
        </w:tc>
        <w:tc>
          <w:tcPr>
            <w:tcW w:w="3356" w:type="dxa"/>
            <w:tcBorders>
              <w:top w:val="single" w:sz="4" w:space="0" w:color="A6A6A6"/>
            </w:tcBorders>
            <w:shd w:val="clear" w:color="auto" w:fill="D9D9D9"/>
          </w:tcPr>
          <w:p>
            <w:pPr>
              <w:pStyle w:val="TableParagraph"/>
              <w:spacing w:before="121"/>
              <w:ind w:left="117"/>
              <w:rPr>
                <w:b/>
                <w:sz w:val="19"/>
              </w:rPr>
            </w:pPr>
            <w:r>
              <w:rPr>
                <w:b/>
                <w:sz w:val="19"/>
              </w:rPr>
              <w:t>Core</w:t>
            </w:r>
            <w:r>
              <w:rPr>
                <w:b/>
                <w:spacing w:val="-7"/>
                <w:sz w:val="19"/>
              </w:rPr>
              <w:t> </w:t>
            </w:r>
            <w:r>
              <w:rPr>
                <w:b/>
                <w:spacing w:val="-2"/>
                <w:sz w:val="19"/>
              </w:rPr>
              <w:t>function</w:t>
            </w:r>
          </w:p>
        </w:tc>
        <w:tc>
          <w:tcPr>
            <w:tcW w:w="5005" w:type="dxa"/>
            <w:tcBorders>
              <w:top w:val="single" w:sz="4" w:space="0" w:color="A6A6A6"/>
            </w:tcBorders>
            <w:shd w:val="clear" w:color="auto" w:fill="D9D9D9"/>
          </w:tcPr>
          <w:p>
            <w:pPr>
              <w:pStyle w:val="TableParagraph"/>
              <w:spacing w:before="121"/>
              <w:ind w:left="165"/>
              <w:rPr>
                <w:b/>
                <w:sz w:val="19"/>
              </w:rPr>
            </w:pPr>
            <w:r>
              <w:rPr>
                <w:b/>
                <w:sz w:val="19"/>
              </w:rPr>
              <w:t>Relationship</w:t>
            </w:r>
            <w:r>
              <w:rPr>
                <w:b/>
                <w:spacing w:val="-8"/>
                <w:sz w:val="19"/>
              </w:rPr>
              <w:t> </w:t>
            </w:r>
            <w:r>
              <w:rPr>
                <w:b/>
                <w:sz w:val="19"/>
              </w:rPr>
              <w:t>with</w:t>
            </w:r>
            <w:r>
              <w:rPr>
                <w:b/>
                <w:spacing w:val="-7"/>
                <w:sz w:val="19"/>
              </w:rPr>
              <w:t> </w:t>
            </w:r>
            <w:r>
              <w:rPr>
                <w:b/>
                <w:spacing w:val="-5"/>
                <w:sz w:val="19"/>
              </w:rPr>
              <w:t>ESV</w:t>
            </w:r>
          </w:p>
        </w:tc>
        <w:tc>
          <w:tcPr>
            <w:tcW w:w="1293" w:type="dxa"/>
            <w:tcBorders>
              <w:top w:val="single" w:sz="4" w:space="0" w:color="A6A6A6"/>
              <w:right w:val="single" w:sz="4" w:space="0" w:color="A6A6A6"/>
            </w:tcBorders>
            <w:shd w:val="clear" w:color="auto" w:fill="D9D9D9"/>
          </w:tcPr>
          <w:p>
            <w:pPr>
              <w:pStyle w:val="TableParagraph"/>
              <w:spacing w:line="288" w:lineRule="auto" w:before="121"/>
              <w:ind w:left="121" w:right="285"/>
              <w:rPr>
                <w:b/>
                <w:sz w:val="19"/>
              </w:rPr>
            </w:pPr>
            <w:r>
              <w:rPr>
                <w:b/>
                <w:sz w:val="19"/>
              </w:rPr>
              <w:t>MOU</w:t>
            </w:r>
            <w:r>
              <w:rPr>
                <w:b/>
                <w:spacing w:val="-14"/>
                <w:sz w:val="19"/>
              </w:rPr>
              <w:t> </w:t>
            </w:r>
            <w:r>
              <w:rPr>
                <w:b/>
                <w:sz w:val="19"/>
              </w:rPr>
              <w:t>with </w:t>
            </w:r>
            <w:r>
              <w:rPr>
                <w:b/>
                <w:spacing w:val="-4"/>
                <w:sz w:val="19"/>
              </w:rPr>
              <w:t>ESV</w:t>
            </w:r>
          </w:p>
        </w:tc>
      </w:tr>
      <w:tr>
        <w:trPr>
          <w:trHeight w:val="1550" w:hRule="atLeast"/>
        </w:trPr>
        <w:tc>
          <w:tcPr>
            <w:tcW w:w="3080" w:type="dxa"/>
            <w:tcBorders>
              <w:left w:val="single" w:sz="4" w:space="0" w:color="A6A6A6"/>
            </w:tcBorders>
          </w:tcPr>
          <w:p>
            <w:pPr>
              <w:pStyle w:val="TableParagraph"/>
              <w:spacing w:before="119"/>
              <w:ind w:left="107"/>
              <w:rPr>
                <w:b/>
                <w:sz w:val="19"/>
              </w:rPr>
            </w:pPr>
            <w:r>
              <w:rPr>
                <w:b/>
                <w:sz w:val="19"/>
              </w:rPr>
              <w:t>Dial</w:t>
            </w:r>
            <w:r>
              <w:rPr>
                <w:b/>
                <w:spacing w:val="-6"/>
                <w:sz w:val="19"/>
              </w:rPr>
              <w:t> </w:t>
            </w:r>
            <w:r>
              <w:rPr>
                <w:b/>
                <w:sz w:val="19"/>
              </w:rPr>
              <w:t>Before</w:t>
            </w:r>
            <w:r>
              <w:rPr>
                <w:b/>
                <w:spacing w:val="-6"/>
                <w:sz w:val="19"/>
              </w:rPr>
              <w:t> </w:t>
            </w:r>
            <w:r>
              <w:rPr>
                <w:b/>
                <w:sz w:val="19"/>
              </w:rPr>
              <w:t>You</w:t>
            </w:r>
            <w:r>
              <w:rPr>
                <w:b/>
                <w:spacing w:val="-5"/>
                <w:sz w:val="19"/>
              </w:rPr>
              <w:t> </w:t>
            </w:r>
            <w:r>
              <w:rPr>
                <w:b/>
                <w:sz w:val="19"/>
              </w:rPr>
              <w:t>Dig</w:t>
            </w:r>
            <w:r>
              <w:rPr>
                <w:b/>
                <w:spacing w:val="-6"/>
                <w:sz w:val="19"/>
              </w:rPr>
              <w:t> </w:t>
            </w:r>
            <w:r>
              <w:rPr>
                <w:b/>
                <w:sz w:val="19"/>
              </w:rPr>
              <w:t>Vic/Tas</w:t>
            </w:r>
            <w:r>
              <w:rPr>
                <w:b/>
                <w:spacing w:val="-3"/>
                <w:sz w:val="19"/>
              </w:rPr>
              <w:t> </w:t>
            </w:r>
            <w:r>
              <w:rPr>
                <w:b/>
                <w:spacing w:val="-5"/>
                <w:sz w:val="19"/>
              </w:rPr>
              <w:t>Inc</w:t>
            </w:r>
          </w:p>
        </w:tc>
        <w:tc>
          <w:tcPr>
            <w:tcW w:w="3356" w:type="dxa"/>
          </w:tcPr>
          <w:p>
            <w:pPr>
              <w:pStyle w:val="TableParagraph"/>
              <w:spacing w:line="288" w:lineRule="auto" w:before="119"/>
              <w:ind w:left="117"/>
              <w:rPr>
                <w:sz w:val="19"/>
              </w:rPr>
            </w:pPr>
            <w:r>
              <w:rPr>
                <w:sz w:val="19"/>
              </w:rPr>
              <w:t>Referral</w:t>
            </w:r>
            <w:r>
              <w:rPr>
                <w:spacing w:val="-8"/>
                <w:sz w:val="19"/>
              </w:rPr>
              <w:t> </w:t>
            </w:r>
            <w:r>
              <w:rPr>
                <w:sz w:val="19"/>
              </w:rPr>
              <w:t>service</w:t>
            </w:r>
            <w:r>
              <w:rPr>
                <w:spacing w:val="-12"/>
                <w:sz w:val="19"/>
              </w:rPr>
              <w:t> </w:t>
            </w:r>
            <w:r>
              <w:rPr>
                <w:sz w:val="19"/>
              </w:rPr>
              <w:t>for</w:t>
            </w:r>
            <w:r>
              <w:rPr>
                <w:spacing w:val="-10"/>
                <w:sz w:val="19"/>
              </w:rPr>
              <w:t> </w:t>
            </w:r>
            <w:r>
              <w:rPr>
                <w:sz w:val="19"/>
              </w:rPr>
              <w:t>enquiries</w:t>
            </w:r>
            <w:r>
              <w:rPr>
                <w:spacing w:val="-11"/>
                <w:sz w:val="19"/>
              </w:rPr>
              <w:t> </w:t>
            </w:r>
            <w:r>
              <w:rPr>
                <w:sz w:val="19"/>
              </w:rPr>
              <w:t>on underground</w:t>
            </w:r>
            <w:r>
              <w:rPr>
                <w:spacing w:val="-4"/>
                <w:sz w:val="19"/>
              </w:rPr>
              <w:t> </w:t>
            </w:r>
            <w:r>
              <w:rPr>
                <w:sz w:val="19"/>
              </w:rPr>
              <w:t>registered</w:t>
            </w:r>
            <w:r>
              <w:rPr>
                <w:spacing w:val="-4"/>
                <w:sz w:val="19"/>
              </w:rPr>
              <w:t> </w:t>
            </w:r>
            <w:r>
              <w:rPr>
                <w:sz w:val="19"/>
              </w:rPr>
              <w:t>utilities.</w:t>
            </w:r>
          </w:p>
        </w:tc>
        <w:tc>
          <w:tcPr>
            <w:tcW w:w="5005" w:type="dxa"/>
          </w:tcPr>
          <w:p>
            <w:pPr>
              <w:pStyle w:val="TableParagraph"/>
              <w:spacing w:line="288" w:lineRule="auto" w:before="119"/>
              <w:ind w:left="165"/>
              <w:rPr>
                <w:sz w:val="19"/>
              </w:rPr>
            </w:pPr>
            <w:r>
              <w:rPr>
                <w:sz w:val="19"/>
              </w:rPr>
              <w:t>DBYB</w:t>
            </w:r>
            <w:r>
              <w:rPr>
                <w:spacing w:val="-5"/>
                <w:sz w:val="19"/>
              </w:rPr>
              <w:t> </w:t>
            </w:r>
            <w:r>
              <w:rPr>
                <w:sz w:val="19"/>
              </w:rPr>
              <w:t>acts</w:t>
            </w:r>
            <w:r>
              <w:rPr>
                <w:spacing w:val="-4"/>
                <w:sz w:val="19"/>
              </w:rPr>
              <w:t> </w:t>
            </w:r>
            <w:r>
              <w:rPr>
                <w:sz w:val="19"/>
              </w:rPr>
              <w:t>as</w:t>
            </w:r>
            <w:r>
              <w:rPr>
                <w:spacing w:val="-4"/>
                <w:sz w:val="19"/>
              </w:rPr>
              <w:t> </w:t>
            </w:r>
            <w:r>
              <w:rPr>
                <w:sz w:val="19"/>
              </w:rPr>
              <w:t>a</w:t>
            </w:r>
            <w:r>
              <w:rPr>
                <w:spacing w:val="-6"/>
                <w:sz w:val="19"/>
              </w:rPr>
              <w:t> </w:t>
            </w:r>
            <w:r>
              <w:rPr>
                <w:sz w:val="19"/>
              </w:rPr>
              <w:t>one-call</w:t>
            </w:r>
            <w:r>
              <w:rPr>
                <w:spacing w:val="-5"/>
                <w:sz w:val="19"/>
              </w:rPr>
              <w:t> </w:t>
            </w:r>
            <w:r>
              <w:rPr>
                <w:sz w:val="19"/>
              </w:rPr>
              <w:t>referral</w:t>
            </w:r>
            <w:r>
              <w:rPr>
                <w:spacing w:val="-4"/>
                <w:sz w:val="19"/>
              </w:rPr>
              <w:t> </w:t>
            </w:r>
            <w:r>
              <w:rPr>
                <w:sz w:val="19"/>
              </w:rPr>
              <w:t>service</w:t>
            </w:r>
            <w:r>
              <w:rPr>
                <w:spacing w:val="-6"/>
                <w:sz w:val="19"/>
              </w:rPr>
              <w:t> </w:t>
            </w:r>
            <w:r>
              <w:rPr>
                <w:sz w:val="19"/>
              </w:rPr>
              <w:t>for</w:t>
            </w:r>
            <w:r>
              <w:rPr>
                <w:spacing w:val="-6"/>
                <w:sz w:val="19"/>
              </w:rPr>
              <w:t> </w:t>
            </w:r>
            <w:r>
              <w:rPr>
                <w:sz w:val="19"/>
              </w:rPr>
              <w:t>identifying underground electrical assets and gas pipelines. An accurate plan of underground assets is essential in reducing safety risks from other works hitting these </w:t>
            </w:r>
            <w:r>
              <w:rPr>
                <w:spacing w:val="-2"/>
                <w:sz w:val="19"/>
              </w:rPr>
              <w:t>assets.</w:t>
            </w:r>
          </w:p>
        </w:tc>
        <w:tc>
          <w:tcPr>
            <w:tcW w:w="1293" w:type="dxa"/>
            <w:tcBorders>
              <w:right w:val="single" w:sz="4" w:space="0" w:color="A6A6A6"/>
            </w:tcBorders>
          </w:tcPr>
          <w:p>
            <w:pPr>
              <w:pStyle w:val="TableParagraph"/>
              <w:spacing w:before="119"/>
              <w:ind w:left="121"/>
              <w:rPr>
                <w:sz w:val="19"/>
              </w:rPr>
            </w:pPr>
            <w:r>
              <w:rPr>
                <w:spacing w:val="-5"/>
                <w:sz w:val="19"/>
              </w:rPr>
              <w:t>Yes</w:t>
            </w:r>
          </w:p>
        </w:tc>
      </w:tr>
      <w:tr>
        <w:trPr>
          <w:trHeight w:val="837" w:hRule="atLeast"/>
        </w:trPr>
        <w:tc>
          <w:tcPr>
            <w:tcW w:w="3080" w:type="dxa"/>
            <w:tcBorders>
              <w:left w:val="single" w:sz="4" w:space="0" w:color="A6A6A6"/>
            </w:tcBorders>
            <w:shd w:val="clear" w:color="auto" w:fill="CDEBEB"/>
          </w:tcPr>
          <w:p>
            <w:pPr>
              <w:pStyle w:val="TableParagraph"/>
              <w:spacing w:line="290" w:lineRule="auto" w:before="119"/>
              <w:ind w:left="107" w:right="808"/>
              <w:rPr>
                <w:b/>
                <w:sz w:val="19"/>
              </w:rPr>
            </w:pPr>
            <w:r>
              <w:rPr>
                <w:b/>
                <w:sz w:val="19"/>
              </w:rPr>
              <w:t>Environment</w:t>
            </w:r>
            <w:r>
              <w:rPr>
                <w:b/>
                <w:spacing w:val="-14"/>
                <w:sz w:val="19"/>
              </w:rPr>
              <w:t> </w:t>
            </w:r>
            <w:r>
              <w:rPr>
                <w:b/>
                <w:sz w:val="19"/>
              </w:rPr>
              <w:t>Protection Authority (EPA)</w:t>
            </w:r>
          </w:p>
        </w:tc>
        <w:tc>
          <w:tcPr>
            <w:tcW w:w="3356" w:type="dxa"/>
            <w:shd w:val="clear" w:color="auto" w:fill="CDEBEB"/>
          </w:tcPr>
          <w:p>
            <w:pPr>
              <w:pStyle w:val="TableParagraph"/>
              <w:spacing w:line="290" w:lineRule="auto" w:before="119"/>
              <w:ind w:left="117"/>
              <w:rPr>
                <w:sz w:val="19"/>
              </w:rPr>
            </w:pPr>
            <w:r>
              <w:rPr>
                <w:sz w:val="19"/>
              </w:rPr>
              <w:t>Responsible for protecting the Victorian</w:t>
            </w:r>
            <w:r>
              <w:rPr>
                <w:spacing w:val="-13"/>
                <w:sz w:val="19"/>
              </w:rPr>
              <w:t> </w:t>
            </w:r>
            <w:r>
              <w:rPr>
                <w:sz w:val="19"/>
              </w:rPr>
              <w:t>environment</w:t>
            </w:r>
            <w:r>
              <w:rPr>
                <w:spacing w:val="-12"/>
                <w:sz w:val="19"/>
              </w:rPr>
              <w:t> </w:t>
            </w:r>
            <w:r>
              <w:rPr>
                <w:sz w:val="19"/>
              </w:rPr>
              <w:t>from</w:t>
            </w:r>
            <w:r>
              <w:rPr>
                <w:spacing w:val="-13"/>
                <w:sz w:val="19"/>
              </w:rPr>
              <w:t> </w:t>
            </w:r>
            <w:r>
              <w:rPr>
                <w:sz w:val="19"/>
              </w:rPr>
              <w:t>pollution.</w:t>
            </w:r>
          </w:p>
        </w:tc>
        <w:tc>
          <w:tcPr>
            <w:tcW w:w="5005" w:type="dxa"/>
            <w:shd w:val="clear" w:color="auto" w:fill="CDEBEB"/>
          </w:tcPr>
          <w:p>
            <w:pPr>
              <w:pStyle w:val="TableParagraph"/>
              <w:spacing w:line="290" w:lineRule="auto" w:before="119"/>
              <w:ind w:left="165" w:right="110"/>
              <w:rPr>
                <w:sz w:val="19"/>
              </w:rPr>
            </w:pPr>
            <w:r>
              <w:rPr>
                <w:sz w:val="19"/>
              </w:rPr>
              <w:t>EPA</w:t>
            </w:r>
            <w:r>
              <w:rPr>
                <w:spacing w:val="-7"/>
                <w:sz w:val="19"/>
              </w:rPr>
              <w:t> </w:t>
            </w:r>
            <w:r>
              <w:rPr>
                <w:sz w:val="19"/>
              </w:rPr>
              <w:t>is</w:t>
            </w:r>
            <w:r>
              <w:rPr>
                <w:spacing w:val="-7"/>
                <w:sz w:val="19"/>
              </w:rPr>
              <w:t> </w:t>
            </w:r>
            <w:r>
              <w:rPr>
                <w:sz w:val="19"/>
              </w:rPr>
              <w:t>responsible</w:t>
            </w:r>
            <w:r>
              <w:rPr>
                <w:spacing w:val="-10"/>
                <w:sz w:val="19"/>
              </w:rPr>
              <w:t> </w:t>
            </w:r>
            <w:r>
              <w:rPr>
                <w:sz w:val="19"/>
              </w:rPr>
              <w:t>for</w:t>
            </w:r>
            <w:r>
              <w:rPr>
                <w:spacing w:val="-8"/>
                <w:sz w:val="19"/>
              </w:rPr>
              <w:t> </w:t>
            </w:r>
            <w:r>
              <w:rPr>
                <w:sz w:val="19"/>
              </w:rPr>
              <w:t>environmental</w:t>
            </w:r>
            <w:r>
              <w:rPr>
                <w:spacing w:val="-5"/>
                <w:sz w:val="19"/>
              </w:rPr>
              <w:t> </w:t>
            </w:r>
            <w:r>
              <w:rPr>
                <w:sz w:val="19"/>
              </w:rPr>
              <w:t>management</w:t>
            </w:r>
            <w:r>
              <w:rPr>
                <w:spacing w:val="-8"/>
                <w:sz w:val="19"/>
              </w:rPr>
              <w:t> </w:t>
            </w:r>
            <w:r>
              <w:rPr>
                <w:sz w:val="19"/>
              </w:rPr>
              <w:t>of gas pipeline leaks.</w:t>
            </w:r>
          </w:p>
        </w:tc>
        <w:tc>
          <w:tcPr>
            <w:tcW w:w="1293" w:type="dxa"/>
            <w:tcBorders>
              <w:right w:val="single" w:sz="4" w:space="0" w:color="A6A6A6"/>
            </w:tcBorders>
            <w:shd w:val="clear" w:color="auto" w:fill="CDEBEB"/>
          </w:tcPr>
          <w:p>
            <w:pPr>
              <w:pStyle w:val="TableParagraph"/>
              <w:spacing w:before="119"/>
              <w:ind w:left="121"/>
              <w:rPr>
                <w:sz w:val="19"/>
              </w:rPr>
            </w:pPr>
            <w:r>
              <w:rPr>
                <w:spacing w:val="-5"/>
                <w:sz w:val="19"/>
              </w:rPr>
              <w:t>Yes</w:t>
            </w:r>
          </w:p>
        </w:tc>
      </w:tr>
      <w:tr>
        <w:trPr>
          <w:trHeight w:val="1024" w:hRule="atLeast"/>
        </w:trPr>
        <w:tc>
          <w:tcPr>
            <w:tcW w:w="3080" w:type="dxa"/>
            <w:tcBorders>
              <w:left w:val="single" w:sz="4" w:space="0" w:color="A6A6A6"/>
            </w:tcBorders>
          </w:tcPr>
          <w:p>
            <w:pPr>
              <w:pStyle w:val="TableParagraph"/>
              <w:spacing w:line="288" w:lineRule="auto" w:before="119"/>
              <w:ind w:left="107"/>
              <w:rPr>
                <w:b/>
                <w:sz w:val="19"/>
              </w:rPr>
            </w:pPr>
            <w:r>
              <w:rPr>
                <w:b/>
                <w:sz w:val="19"/>
              </w:rPr>
              <w:t>Essential</w:t>
            </w:r>
            <w:r>
              <w:rPr>
                <w:b/>
                <w:spacing w:val="-14"/>
                <w:sz w:val="19"/>
              </w:rPr>
              <w:t> </w:t>
            </w:r>
            <w:r>
              <w:rPr>
                <w:b/>
                <w:sz w:val="19"/>
              </w:rPr>
              <w:t>Services</w:t>
            </w:r>
            <w:r>
              <w:rPr>
                <w:b/>
                <w:spacing w:val="-13"/>
                <w:sz w:val="19"/>
              </w:rPr>
              <w:t> </w:t>
            </w:r>
            <w:r>
              <w:rPr>
                <w:b/>
                <w:sz w:val="19"/>
              </w:rPr>
              <w:t>Commission </w:t>
            </w:r>
            <w:r>
              <w:rPr>
                <w:b/>
                <w:spacing w:val="-2"/>
                <w:sz w:val="19"/>
              </w:rPr>
              <w:t>(ESC)</w:t>
            </w:r>
          </w:p>
        </w:tc>
        <w:tc>
          <w:tcPr>
            <w:tcW w:w="3356" w:type="dxa"/>
          </w:tcPr>
          <w:p>
            <w:pPr>
              <w:pStyle w:val="TableParagraph"/>
              <w:spacing w:line="288" w:lineRule="auto" w:before="119"/>
              <w:ind w:left="117" w:right="80"/>
              <w:rPr>
                <w:i/>
                <w:sz w:val="19"/>
              </w:rPr>
            </w:pPr>
            <w:r>
              <w:rPr>
                <w:sz w:val="19"/>
              </w:rPr>
              <w:t>Responsible for the </w:t>
            </w:r>
            <w:r>
              <w:rPr>
                <w:i/>
                <w:sz w:val="19"/>
              </w:rPr>
              <w:t>Electricity Industry</w:t>
            </w:r>
            <w:r>
              <w:rPr>
                <w:i/>
                <w:spacing w:val="-9"/>
                <w:sz w:val="19"/>
              </w:rPr>
              <w:t> </w:t>
            </w:r>
            <w:r>
              <w:rPr>
                <w:i/>
                <w:sz w:val="19"/>
              </w:rPr>
              <w:t>Act</w:t>
            </w:r>
            <w:r>
              <w:rPr>
                <w:i/>
                <w:spacing w:val="-9"/>
                <w:sz w:val="19"/>
              </w:rPr>
              <w:t> </w:t>
            </w:r>
            <w:r>
              <w:rPr>
                <w:i/>
                <w:sz w:val="19"/>
              </w:rPr>
              <w:t>2000</w:t>
            </w:r>
            <w:r>
              <w:rPr>
                <w:i/>
                <w:spacing w:val="-7"/>
                <w:sz w:val="19"/>
              </w:rPr>
              <w:t> </w:t>
            </w:r>
            <w:r>
              <w:rPr>
                <w:sz w:val="19"/>
              </w:rPr>
              <w:t>and</w:t>
            </w:r>
            <w:r>
              <w:rPr>
                <w:spacing w:val="-9"/>
                <w:sz w:val="19"/>
              </w:rPr>
              <w:t> </w:t>
            </w:r>
            <w:r>
              <w:rPr>
                <w:i/>
                <w:sz w:val="19"/>
              </w:rPr>
              <w:t>Gas</w:t>
            </w:r>
            <w:r>
              <w:rPr>
                <w:i/>
                <w:spacing w:val="-8"/>
                <w:sz w:val="19"/>
              </w:rPr>
              <w:t> </w:t>
            </w:r>
            <w:r>
              <w:rPr>
                <w:i/>
                <w:sz w:val="19"/>
              </w:rPr>
              <w:t>Industry Act 2001.</w:t>
            </w:r>
          </w:p>
        </w:tc>
        <w:tc>
          <w:tcPr>
            <w:tcW w:w="5005" w:type="dxa"/>
          </w:tcPr>
          <w:p>
            <w:pPr>
              <w:pStyle w:val="TableParagraph"/>
              <w:spacing w:line="288" w:lineRule="auto" w:before="119"/>
              <w:ind w:left="165"/>
              <w:rPr>
                <w:sz w:val="19"/>
              </w:rPr>
            </w:pPr>
            <w:r>
              <w:rPr>
                <w:sz w:val="19"/>
              </w:rPr>
              <w:t>Licences</w:t>
            </w:r>
            <w:r>
              <w:rPr>
                <w:spacing w:val="-8"/>
                <w:sz w:val="19"/>
              </w:rPr>
              <w:t> </w:t>
            </w:r>
            <w:r>
              <w:rPr>
                <w:sz w:val="19"/>
              </w:rPr>
              <w:t>the</w:t>
            </w:r>
            <w:r>
              <w:rPr>
                <w:spacing w:val="-8"/>
                <w:sz w:val="19"/>
              </w:rPr>
              <w:t> </w:t>
            </w:r>
            <w:r>
              <w:rPr>
                <w:sz w:val="19"/>
              </w:rPr>
              <w:t>electricity</w:t>
            </w:r>
            <w:r>
              <w:rPr>
                <w:spacing w:val="-10"/>
                <w:sz w:val="19"/>
              </w:rPr>
              <w:t> </w:t>
            </w:r>
            <w:r>
              <w:rPr>
                <w:sz w:val="19"/>
              </w:rPr>
              <w:t>transmission</w:t>
            </w:r>
            <w:r>
              <w:rPr>
                <w:spacing w:val="-9"/>
                <w:sz w:val="19"/>
              </w:rPr>
              <w:t> </w:t>
            </w:r>
            <w:r>
              <w:rPr>
                <w:sz w:val="19"/>
              </w:rPr>
              <w:t>and</w:t>
            </w:r>
            <w:r>
              <w:rPr>
                <w:spacing w:val="-9"/>
                <w:sz w:val="19"/>
              </w:rPr>
              <w:t> </w:t>
            </w:r>
            <w:r>
              <w:rPr>
                <w:sz w:val="19"/>
              </w:rPr>
              <w:t>distribution companies and gas distribution companies.</w:t>
            </w:r>
          </w:p>
        </w:tc>
        <w:tc>
          <w:tcPr>
            <w:tcW w:w="1293" w:type="dxa"/>
            <w:tcBorders>
              <w:right w:val="single" w:sz="4" w:space="0" w:color="A6A6A6"/>
            </w:tcBorders>
          </w:tcPr>
          <w:p>
            <w:pPr>
              <w:pStyle w:val="TableParagraph"/>
              <w:spacing w:before="119"/>
              <w:ind w:left="121"/>
              <w:rPr>
                <w:sz w:val="19"/>
              </w:rPr>
            </w:pPr>
            <w:r>
              <w:rPr>
                <w:spacing w:val="-5"/>
                <w:sz w:val="19"/>
              </w:rPr>
              <w:t>Yes</w:t>
            </w:r>
          </w:p>
        </w:tc>
      </w:tr>
      <w:tr>
        <w:trPr>
          <w:trHeight w:val="1814" w:hRule="atLeast"/>
        </w:trPr>
        <w:tc>
          <w:tcPr>
            <w:tcW w:w="3080" w:type="dxa"/>
            <w:tcBorders>
              <w:left w:val="single" w:sz="4" w:space="0" w:color="A6A6A6"/>
            </w:tcBorders>
            <w:shd w:val="clear" w:color="auto" w:fill="CDEBEB"/>
          </w:tcPr>
          <w:p>
            <w:pPr>
              <w:pStyle w:val="TableParagraph"/>
              <w:spacing w:before="119"/>
              <w:ind w:left="107"/>
              <w:rPr>
                <w:b/>
                <w:sz w:val="19"/>
              </w:rPr>
            </w:pPr>
            <w:r>
              <w:rPr>
                <w:b/>
                <w:sz w:val="19"/>
              </w:rPr>
              <w:t>Metropolitan</w:t>
            </w:r>
            <w:r>
              <w:rPr>
                <w:b/>
                <w:spacing w:val="-11"/>
                <w:sz w:val="19"/>
              </w:rPr>
              <w:t> </w:t>
            </w:r>
            <w:r>
              <w:rPr>
                <w:b/>
                <w:sz w:val="19"/>
              </w:rPr>
              <w:t>Fire</w:t>
            </w:r>
            <w:r>
              <w:rPr>
                <w:b/>
                <w:spacing w:val="-10"/>
                <w:sz w:val="19"/>
              </w:rPr>
              <w:t> </w:t>
            </w:r>
            <w:r>
              <w:rPr>
                <w:b/>
                <w:spacing w:val="-2"/>
                <w:sz w:val="19"/>
              </w:rPr>
              <w:t>Brigade</w:t>
            </w:r>
          </w:p>
        </w:tc>
        <w:tc>
          <w:tcPr>
            <w:tcW w:w="3356" w:type="dxa"/>
            <w:shd w:val="clear" w:color="auto" w:fill="CDEBEB"/>
          </w:tcPr>
          <w:p>
            <w:pPr>
              <w:pStyle w:val="TableParagraph"/>
              <w:spacing w:line="288" w:lineRule="auto" w:before="119"/>
              <w:ind w:left="117" w:right="80"/>
              <w:rPr>
                <w:sz w:val="19"/>
              </w:rPr>
            </w:pPr>
            <w:r>
              <w:rPr>
                <w:sz w:val="19"/>
              </w:rPr>
              <w:t>Control agency for various emergencies</w:t>
            </w:r>
            <w:r>
              <w:rPr>
                <w:spacing w:val="-14"/>
                <w:sz w:val="19"/>
              </w:rPr>
              <w:t> </w:t>
            </w:r>
            <w:r>
              <w:rPr>
                <w:sz w:val="19"/>
              </w:rPr>
              <w:t>in</w:t>
            </w:r>
            <w:r>
              <w:rPr>
                <w:spacing w:val="-13"/>
                <w:sz w:val="19"/>
              </w:rPr>
              <w:t> </w:t>
            </w:r>
            <w:r>
              <w:rPr>
                <w:sz w:val="19"/>
              </w:rPr>
              <w:t>metropolitan </w:t>
            </w:r>
            <w:r>
              <w:rPr>
                <w:spacing w:val="-2"/>
                <w:sz w:val="19"/>
              </w:rPr>
              <w:t>Melbourne</w:t>
            </w:r>
          </w:p>
        </w:tc>
        <w:tc>
          <w:tcPr>
            <w:tcW w:w="5005" w:type="dxa"/>
            <w:shd w:val="clear" w:color="auto" w:fill="CDEBEB"/>
          </w:tcPr>
          <w:p>
            <w:pPr>
              <w:pStyle w:val="TableParagraph"/>
              <w:spacing w:line="290" w:lineRule="auto" w:before="119"/>
              <w:ind w:left="165" w:right="110"/>
              <w:rPr>
                <w:sz w:val="19"/>
              </w:rPr>
            </w:pPr>
            <w:r>
              <w:rPr>
                <w:sz w:val="19"/>
              </w:rPr>
              <w:t>MFB</w:t>
            </w:r>
            <w:r>
              <w:rPr>
                <w:spacing w:val="-6"/>
                <w:sz w:val="19"/>
              </w:rPr>
              <w:t> </w:t>
            </w:r>
            <w:r>
              <w:rPr>
                <w:sz w:val="19"/>
              </w:rPr>
              <w:t>investigates</w:t>
            </w:r>
            <w:r>
              <w:rPr>
                <w:spacing w:val="-6"/>
                <w:sz w:val="19"/>
              </w:rPr>
              <w:t> </w:t>
            </w:r>
            <w:r>
              <w:rPr>
                <w:sz w:val="19"/>
              </w:rPr>
              <w:t>and</w:t>
            </w:r>
            <w:r>
              <w:rPr>
                <w:spacing w:val="-6"/>
                <w:sz w:val="19"/>
              </w:rPr>
              <w:t> </w:t>
            </w:r>
            <w:r>
              <w:rPr>
                <w:sz w:val="19"/>
              </w:rPr>
              <w:t>responds</w:t>
            </w:r>
            <w:r>
              <w:rPr>
                <w:spacing w:val="-6"/>
                <w:sz w:val="19"/>
              </w:rPr>
              <w:t> </w:t>
            </w:r>
            <w:r>
              <w:rPr>
                <w:sz w:val="19"/>
              </w:rPr>
              <w:t>to</w:t>
            </w:r>
            <w:r>
              <w:rPr>
                <w:spacing w:val="-6"/>
                <w:sz w:val="19"/>
              </w:rPr>
              <w:t> </w:t>
            </w:r>
            <w:r>
              <w:rPr>
                <w:sz w:val="19"/>
              </w:rPr>
              <w:t>electrical</w:t>
            </w:r>
            <w:r>
              <w:rPr>
                <w:spacing w:val="-7"/>
                <w:sz w:val="19"/>
              </w:rPr>
              <w:t> </w:t>
            </w:r>
            <w:r>
              <w:rPr>
                <w:sz w:val="19"/>
              </w:rPr>
              <w:t>fire</w:t>
            </w:r>
            <w:r>
              <w:rPr>
                <w:spacing w:val="-6"/>
                <w:sz w:val="19"/>
              </w:rPr>
              <w:t> </w:t>
            </w:r>
            <w:r>
              <w:rPr>
                <w:sz w:val="19"/>
              </w:rPr>
              <w:t>starts and gas-related incidents in metropolitan Melbourne.</w:t>
            </w:r>
          </w:p>
        </w:tc>
        <w:tc>
          <w:tcPr>
            <w:tcW w:w="1293" w:type="dxa"/>
            <w:tcBorders>
              <w:right w:val="single" w:sz="4" w:space="0" w:color="A6A6A6"/>
            </w:tcBorders>
            <w:shd w:val="clear" w:color="auto" w:fill="CDEBEB"/>
          </w:tcPr>
          <w:p>
            <w:pPr>
              <w:pStyle w:val="TableParagraph"/>
              <w:spacing w:line="288" w:lineRule="auto" w:before="119"/>
              <w:ind w:left="121" w:right="99"/>
              <w:rPr>
                <w:sz w:val="19"/>
              </w:rPr>
            </w:pPr>
            <w:r>
              <w:rPr>
                <w:sz w:val="19"/>
              </w:rPr>
              <w:t>In part, via </w:t>
            </w:r>
            <w:r>
              <w:rPr>
                <w:spacing w:val="-2"/>
                <w:sz w:val="19"/>
              </w:rPr>
              <w:t>Victorian</w:t>
            </w:r>
            <w:r>
              <w:rPr>
                <w:spacing w:val="40"/>
                <w:sz w:val="19"/>
              </w:rPr>
              <w:t> </w:t>
            </w:r>
            <w:r>
              <w:rPr>
                <w:spacing w:val="-4"/>
                <w:sz w:val="19"/>
              </w:rPr>
              <w:t>Fire </w:t>
            </w:r>
            <w:r>
              <w:rPr>
                <w:spacing w:val="-2"/>
                <w:sz w:val="19"/>
              </w:rPr>
              <w:t>Investigation </w:t>
            </w:r>
            <w:r>
              <w:rPr>
                <w:sz w:val="19"/>
              </w:rPr>
              <w:t>Inter</w:t>
            </w:r>
            <w:r>
              <w:rPr>
                <w:spacing w:val="-14"/>
                <w:sz w:val="19"/>
              </w:rPr>
              <w:t> </w:t>
            </w:r>
            <w:r>
              <w:rPr>
                <w:sz w:val="19"/>
              </w:rPr>
              <w:t>Agency </w:t>
            </w:r>
            <w:r>
              <w:rPr>
                <w:spacing w:val="-2"/>
                <w:sz w:val="19"/>
              </w:rPr>
              <w:t>Agreement</w:t>
            </w:r>
          </w:p>
        </w:tc>
      </w:tr>
      <w:tr>
        <w:trPr>
          <w:trHeight w:val="1550" w:hRule="atLeast"/>
        </w:trPr>
        <w:tc>
          <w:tcPr>
            <w:tcW w:w="3080" w:type="dxa"/>
            <w:tcBorders>
              <w:left w:val="single" w:sz="4" w:space="0" w:color="A6A6A6"/>
              <w:bottom w:val="single" w:sz="4" w:space="0" w:color="A6A6A6"/>
            </w:tcBorders>
          </w:tcPr>
          <w:p>
            <w:pPr>
              <w:pStyle w:val="TableParagraph"/>
              <w:spacing w:before="119"/>
              <w:ind w:left="107"/>
              <w:rPr>
                <w:b/>
                <w:sz w:val="19"/>
              </w:rPr>
            </w:pPr>
            <w:r>
              <w:rPr>
                <w:b/>
                <w:sz w:val="19"/>
              </w:rPr>
              <w:t>WorkSafe</w:t>
            </w:r>
            <w:r>
              <w:rPr>
                <w:b/>
                <w:spacing w:val="-13"/>
                <w:sz w:val="19"/>
              </w:rPr>
              <w:t> </w:t>
            </w:r>
            <w:r>
              <w:rPr>
                <w:b/>
                <w:spacing w:val="-2"/>
                <w:sz w:val="19"/>
              </w:rPr>
              <w:t>Victoria</w:t>
            </w:r>
          </w:p>
        </w:tc>
        <w:tc>
          <w:tcPr>
            <w:tcW w:w="3356" w:type="dxa"/>
            <w:tcBorders>
              <w:bottom w:val="single" w:sz="4" w:space="0" w:color="A6A6A6"/>
            </w:tcBorders>
          </w:tcPr>
          <w:p>
            <w:pPr>
              <w:pStyle w:val="TableParagraph"/>
              <w:spacing w:line="288" w:lineRule="auto" w:before="119"/>
              <w:ind w:left="117"/>
              <w:rPr>
                <w:sz w:val="19"/>
              </w:rPr>
            </w:pPr>
            <w:r>
              <w:rPr>
                <w:sz w:val="19"/>
              </w:rPr>
              <w:t>Responsible</w:t>
            </w:r>
            <w:r>
              <w:rPr>
                <w:spacing w:val="-12"/>
                <w:sz w:val="19"/>
              </w:rPr>
              <w:t> </w:t>
            </w:r>
            <w:r>
              <w:rPr>
                <w:sz w:val="19"/>
              </w:rPr>
              <w:t>for</w:t>
            </w:r>
            <w:r>
              <w:rPr>
                <w:spacing w:val="-10"/>
                <w:sz w:val="19"/>
              </w:rPr>
              <w:t> </w:t>
            </w:r>
            <w:r>
              <w:rPr>
                <w:sz w:val="19"/>
              </w:rPr>
              <w:t>enforcing</w:t>
            </w:r>
            <w:r>
              <w:rPr>
                <w:spacing w:val="-10"/>
                <w:sz w:val="19"/>
              </w:rPr>
              <w:t> </w:t>
            </w:r>
            <w:r>
              <w:rPr>
                <w:sz w:val="19"/>
              </w:rPr>
              <w:t>OHS</w:t>
            </w:r>
            <w:r>
              <w:rPr>
                <w:spacing w:val="-9"/>
                <w:sz w:val="19"/>
              </w:rPr>
              <w:t> </w:t>
            </w:r>
            <w:r>
              <w:rPr>
                <w:sz w:val="19"/>
              </w:rPr>
              <w:t>laws and workers’ safety.</w:t>
            </w:r>
          </w:p>
        </w:tc>
        <w:tc>
          <w:tcPr>
            <w:tcW w:w="5005" w:type="dxa"/>
            <w:tcBorders>
              <w:bottom w:val="single" w:sz="4" w:space="0" w:color="A6A6A6"/>
            </w:tcBorders>
          </w:tcPr>
          <w:p>
            <w:pPr>
              <w:pStyle w:val="TableParagraph"/>
              <w:spacing w:line="288" w:lineRule="auto" w:before="119"/>
              <w:ind w:left="165" w:right="110"/>
              <w:rPr>
                <w:sz w:val="19"/>
              </w:rPr>
            </w:pPr>
            <w:r>
              <w:rPr>
                <w:sz w:val="19"/>
              </w:rPr>
              <w:t>WorkSafe Victoria is responsible for health, safety and welfare in the workplace including in and around energy assets under the </w:t>
            </w:r>
            <w:r>
              <w:rPr>
                <w:i/>
                <w:sz w:val="19"/>
              </w:rPr>
              <w:t>Occupational Health &amp; Safety Act 2004</w:t>
            </w:r>
            <w:r>
              <w:rPr>
                <w:sz w:val="19"/>
              </w:rPr>
              <w:t>.</w:t>
            </w:r>
            <w:r>
              <w:rPr>
                <w:spacing w:val="-9"/>
                <w:sz w:val="19"/>
              </w:rPr>
              <w:t> </w:t>
            </w:r>
            <w:r>
              <w:rPr>
                <w:sz w:val="19"/>
              </w:rPr>
              <w:t>WorkSafe</w:t>
            </w:r>
            <w:r>
              <w:rPr>
                <w:spacing w:val="-6"/>
                <w:sz w:val="19"/>
              </w:rPr>
              <w:t> </w:t>
            </w:r>
            <w:r>
              <w:rPr>
                <w:sz w:val="19"/>
              </w:rPr>
              <w:t>Victoria</w:t>
            </w:r>
            <w:r>
              <w:rPr>
                <w:spacing w:val="-7"/>
                <w:sz w:val="19"/>
              </w:rPr>
              <w:t> </w:t>
            </w:r>
            <w:r>
              <w:rPr>
                <w:sz w:val="19"/>
              </w:rPr>
              <w:t>is</w:t>
            </w:r>
            <w:r>
              <w:rPr>
                <w:spacing w:val="-5"/>
                <w:sz w:val="19"/>
              </w:rPr>
              <w:t> </w:t>
            </w:r>
            <w:r>
              <w:rPr>
                <w:sz w:val="19"/>
              </w:rPr>
              <w:t>also</w:t>
            </w:r>
            <w:r>
              <w:rPr>
                <w:spacing w:val="-6"/>
                <w:sz w:val="19"/>
              </w:rPr>
              <w:t> </w:t>
            </w:r>
            <w:r>
              <w:rPr>
                <w:sz w:val="19"/>
              </w:rPr>
              <w:t>responsible</w:t>
            </w:r>
            <w:r>
              <w:rPr>
                <w:spacing w:val="-6"/>
                <w:sz w:val="19"/>
              </w:rPr>
              <w:t> </w:t>
            </w:r>
            <w:r>
              <w:rPr>
                <w:sz w:val="19"/>
              </w:rPr>
              <w:t>for</w:t>
            </w:r>
            <w:r>
              <w:rPr>
                <w:spacing w:val="-6"/>
                <w:sz w:val="19"/>
              </w:rPr>
              <w:t> </w:t>
            </w:r>
            <w:r>
              <w:rPr>
                <w:sz w:val="19"/>
              </w:rPr>
              <w:t>licensing of gas assets which are Major Hazard Facilities.</w:t>
            </w:r>
          </w:p>
        </w:tc>
        <w:tc>
          <w:tcPr>
            <w:tcW w:w="1293" w:type="dxa"/>
            <w:tcBorders>
              <w:bottom w:val="single" w:sz="4" w:space="0" w:color="A6A6A6"/>
              <w:right w:val="single" w:sz="4" w:space="0" w:color="A6A6A6"/>
            </w:tcBorders>
          </w:tcPr>
          <w:p>
            <w:pPr>
              <w:pStyle w:val="TableParagraph"/>
              <w:spacing w:before="119"/>
              <w:ind w:left="121"/>
              <w:rPr>
                <w:sz w:val="19"/>
              </w:rPr>
            </w:pPr>
            <w:r>
              <w:rPr>
                <w:spacing w:val="-5"/>
                <w:sz w:val="19"/>
              </w:rPr>
              <w:t>Yes</w:t>
            </w:r>
          </w:p>
        </w:tc>
      </w:tr>
    </w:tbl>
    <w:p>
      <w:pPr>
        <w:spacing w:after="0"/>
        <w:rPr>
          <w:sz w:val="19"/>
        </w:rPr>
        <w:sectPr>
          <w:pgSz w:w="16840" w:h="11910" w:orient="landscape"/>
          <w:pgMar w:header="887" w:footer="1302" w:top="1400" w:bottom="1500" w:left="1220" w:right="2420"/>
        </w:sectPr>
      </w:pPr>
    </w:p>
    <w:p>
      <w:pPr>
        <w:pStyle w:val="BodyText"/>
        <w:rPr>
          <w:b/>
          <w:sz w:val="20"/>
        </w:rPr>
      </w:pPr>
    </w:p>
    <w:p>
      <w:pPr>
        <w:pStyle w:val="BodyText"/>
        <w:spacing w:before="2"/>
        <w:rPr>
          <w:b/>
          <w:sz w:val="19"/>
        </w:rPr>
      </w:pPr>
    </w:p>
    <w:p>
      <w:pPr>
        <w:pStyle w:val="BodyText"/>
        <w:spacing w:line="288" w:lineRule="auto" w:before="94"/>
        <w:ind w:left="232"/>
      </w:pPr>
      <w:r>
        <w:rPr/>
        <w:t>As</w:t>
      </w:r>
      <w:r>
        <w:rPr>
          <w:spacing w:val="-2"/>
        </w:rPr>
        <w:t> </w:t>
      </w:r>
      <w:r>
        <w:rPr/>
        <w:t>summarised</w:t>
      </w:r>
      <w:r>
        <w:rPr>
          <w:spacing w:val="-5"/>
        </w:rPr>
        <w:t> </w:t>
      </w:r>
      <w:r>
        <w:rPr/>
        <w:t>below</w:t>
      </w:r>
      <w:r>
        <w:rPr>
          <w:spacing w:val="-6"/>
        </w:rPr>
        <w:t> </w:t>
      </w:r>
      <w:r>
        <w:rPr/>
        <w:t>in</w:t>
      </w:r>
      <w:r>
        <w:rPr>
          <w:spacing w:val="-3"/>
        </w:rPr>
        <w:t> </w:t>
      </w:r>
      <w:r>
        <w:rPr/>
        <w:t>Table</w:t>
      </w:r>
      <w:r>
        <w:rPr>
          <w:spacing w:val="-3"/>
        </w:rPr>
        <w:t> </w:t>
      </w:r>
      <w:r>
        <w:rPr/>
        <w:t>7,</w:t>
      </w:r>
      <w:r>
        <w:rPr>
          <w:spacing w:val="-1"/>
        </w:rPr>
        <w:t> </w:t>
      </w:r>
      <w:r>
        <w:rPr/>
        <w:t>several</w:t>
      </w:r>
      <w:r>
        <w:rPr>
          <w:spacing w:val="-3"/>
        </w:rPr>
        <w:t> </w:t>
      </w:r>
      <w:r>
        <w:rPr/>
        <w:t>of</w:t>
      </w:r>
      <w:r>
        <w:rPr>
          <w:spacing w:val="-1"/>
        </w:rPr>
        <w:t> </w:t>
      </w:r>
      <w:r>
        <w:rPr/>
        <w:t>ESV’s</w:t>
      </w:r>
      <w:r>
        <w:rPr>
          <w:spacing w:val="-2"/>
        </w:rPr>
        <w:t> </w:t>
      </w:r>
      <w:r>
        <w:rPr/>
        <w:t>MOUs</w:t>
      </w:r>
      <w:r>
        <w:rPr>
          <w:spacing w:val="-2"/>
        </w:rPr>
        <w:t> </w:t>
      </w:r>
      <w:r>
        <w:rPr/>
        <w:t>contain</w:t>
      </w:r>
      <w:r>
        <w:rPr>
          <w:spacing w:val="-3"/>
        </w:rPr>
        <w:t> </w:t>
      </w:r>
      <w:r>
        <w:rPr/>
        <w:t>out</w:t>
      </w:r>
      <w:r>
        <w:rPr>
          <w:spacing w:val="-4"/>
        </w:rPr>
        <w:t> </w:t>
      </w:r>
      <w:r>
        <w:rPr/>
        <w:t>of</w:t>
      </w:r>
      <w:r>
        <w:rPr>
          <w:spacing w:val="-1"/>
        </w:rPr>
        <w:t> </w:t>
      </w:r>
      <w:r>
        <w:rPr/>
        <w:t>date</w:t>
      </w:r>
      <w:r>
        <w:rPr>
          <w:spacing w:val="-4"/>
        </w:rPr>
        <w:t> </w:t>
      </w:r>
      <w:r>
        <w:rPr/>
        <w:t>references</w:t>
      </w:r>
      <w:r>
        <w:rPr>
          <w:spacing w:val="-5"/>
        </w:rPr>
        <w:t> </w:t>
      </w:r>
      <w:r>
        <w:rPr/>
        <w:t>or</w:t>
      </w:r>
      <w:r>
        <w:rPr>
          <w:spacing w:val="-4"/>
        </w:rPr>
        <w:t> </w:t>
      </w:r>
      <w:r>
        <w:rPr/>
        <w:t>have technically expired.</w:t>
      </w:r>
    </w:p>
    <w:p>
      <w:pPr>
        <w:pStyle w:val="BodyText"/>
        <w:spacing w:before="4"/>
        <w:rPr>
          <w:sz w:val="31"/>
        </w:rPr>
      </w:pPr>
    </w:p>
    <w:p>
      <w:pPr>
        <w:pStyle w:val="Heading7"/>
        <w:ind w:left="232"/>
      </w:pPr>
      <w:r>
        <w:rPr/>
        <w:t>Table</w:t>
      </w:r>
      <w:r>
        <w:rPr>
          <w:spacing w:val="-5"/>
        </w:rPr>
        <w:t> </w:t>
      </w:r>
      <w:r>
        <w:rPr/>
        <w:t>7:</w:t>
      </w:r>
      <w:r>
        <w:rPr>
          <w:spacing w:val="-2"/>
        </w:rPr>
        <w:t> </w:t>
      </w:r>
      <w:r>
        <w:rPr/>
        <w:t>Status</w:t>
      </w:r>
      <w:r>
        <w:rPr>
          <w:spacing w:val="-4"/>
        </w:rPr>
        <w:t> </w:t>
      </w:r>
      <w:r>
        <w:rPr/>
        <w:t>of</w:t>
      </w:r>
      <w:r>
        <w:rPr>
          <w:spacing w:val="-4"/>
        </w:rPr>
        <w:t> </w:t>
      </w:r>
      <w:r>
        <w:rPr/>
        <w:t>ESV’s</w:t>
      </w:r>
      <w:r>
        <w:rPr>
          <w:spacing w:val="-4"/>
        </w:rPr>
        <w:t> </w:t>
      </w:r>
      <w:r>
        <w:rPr/>
        <w:t>Memoranda</w:t>
      </w:r>
      <w:r>
        <w:rPr>
          <w:spacing w:val="-6"/>
        </w:rPr>
        <w:t> </w:t>
      </w:r>
      <w:r>
        <w:rPr/>
        <w:t>of</w:t>
      </w:r>
      <w:r>
        <w:rPr>
          <w:spacing w:val="-5"/>
        </w:rPr>
        <w:t> </w:t>
      </w:r>
      <w:r>
        <w:rPr/>
        <w:t>Understanding</w:t>
      </w:r>
      <w:r>
        <w:rPr>
          <w:spacing w:val="-7"/>
        </w:rPr>
        <w:t> </w:t>
      </w:r>
      <w:r>
        <w:rPr/>
        <w:t>and</w:t>
      </w:r>
      <w:r>
        <w:rPr>
          <w:spacing w:val="-7"/>
        </w:rPr>
        <w:t> </w:t>
      </w:r>
      <w:r>
        <w:rPr/>
        <w:t>interagency</w:t>
      </w:r>
      <w:r>
        <w:rPr>
          <w:spacing w:val="-7"/>
        </w:rPr>
        <w:t> </w:t>
      </w:r>
      <w:r>
        <w:rPr>
          <w:spacing w:val="-2"/>
        </w:rPr>
        <w:t>agreements</w:t>
      </w:r>
    </w:p>
    <w:p>
      <w:pPr>
        <w:pStyle w:val="BodyText"/>
        <w:spacing w:before="8"/>
        <w:rPr>
          <w:b/>
          <w:sz w:val="14"/>
        </w:rPr>
      </w:pPr>
    </w:p>
    <w:tbl>
      <w:tblPr>
        <w:tblW w:w="0" w:type="auto"/>
        <w:jc w:val="left"/>
        <w:tblInd w:w="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36"/>
        <w:gridCol w:w="5405"/>
      </w:tblGrid>
      <w:tr>
        <w:trPr>
          <w:trHeight w:val="544" w:hRule="atLeast"/>
        </w:trPr>
        <w:tc>
          <w:tcPr>
            <w:tcW w:w="3636" w:type="dxa"/>
            <w:tcBorders>
              <w:top w:val="single" w:sz="4" w:space="0" w:color="A6A6A6"/>
              <w:left w:val="single" w:sz="4" w:space="0" w:color="A6A6A6"/>
            </w:tcBorders>
            <w:shd w:val="clear" w:color="auto" w:fill="D9D9D9"/>
          </w:tcPr>
          <w:p>
            <w:pPr>
              <w:pStyle w:val="TableParagraph"/>
              <w:spacing w:before="120"/>
              <w:ind w:left="107"/>
              <w:rPr>
                <w:b/>
                <w:sz w:val="22"/>
              </w:rPr>
            </w:pPr>
            <w:r>
              <w:rPr>
                <w:b/>
                <w:sz w:val="22"/>
              </w:rPr>
              <w:t>Assessment</w:t>
            </w:r>
            <w:r>
              <w:rPr>
                <w:b/>
                <w:spacing w:val="-4"/>
                <w:sz w:val="22"/>
              </w:rPr>
              <w:t> </w:t>
            </w:r>
            <w:r>
              <w:rPr>
                <w:b/>
                <w:sz w:val="22"/>
              </w:rPr>
              <w:t>of</w:t>
            </w:r>
            <w:r>
              <w:rPr>
                <w:b/>
                <w:spacing w:val="-5"/>
                <w:sz w:val="22"/>
              </w:rPr>
              <w:t> MOU</w:t>
            </w:r>
          </w:p>
        </w:tc>
        <w:tc>
          <w:tcPr>
            <w:tcW w:w="5405" w:type="dxa"/>
            <w:tcBorders>
              <w:top w:val="single" w:sz="4" w:space="0" w:color="A6A6A6"/>
              <w:right w:val="single" w:sz="4" w:space="0" w:color="A6A6A6"/>
            </w:tcBorders>
            <w:shd w:val="clear" w:color="auto" w:fill="D9D9D9"/>
          </w:tcPr>
          <w:p>
            <w:pPr>
              <w:pStyle w:val="TableParagraph"/>
              <w:spacing w:before="120"/>
              <w:ind w:left="130"/>
              <w:rPr>
                <w:b/>
                <w:sz w:val="22"/>
              </w:rPr>
            </w:pPr>
            <w:r>
              <w:rPr>
                <w:b/>
                <w:spacing w:val="-2"/>
                <w:sz w:val="22"/>
              </w:rPr>
              <w:t>Entity</w:t>
            </w:r>
          </w:p>
        </w:tc>
      </w:tr>
      <w:tr>
        <w:trPr>
          <w:trHeight w:val="1814" w:hRule="atLeast"/>
        </w:trPr>
        <w:tc>
          <w:tcPr>
            <w:tcW w:w="3636" w:type="dxa"/>
            <w:tcBorders>
              <w:left w:val="single" w:sz="4" w:space="0" w:color="A6A6A6"/>
            </w:tcBorders>
          </w:tcPr>
          <w:p>
            <w:pPr>
              <w:pStyle w:val="TableParagraph"/>
              <w:spacing w:before="120"/>
              <w:ind w:left="107"/>
              <w:rPr>
                <w:b/>
                <w:sz w:val="22"/>
              </w:rPr>
            </w:pPr>
            <w:r>
              <w:rPr>
                <w:b/>
                <w:spacing w:val="-2"/>
                <w:sz w:val="22"/>
              </w:rPr>
              <w:t>Current</w:t>
            </w:r>
          </w:p>
        </w:tc>
        <w:tc>
          <w:tcPr>
            <w:tcW w:w="5405" w:type="dxa"/>
            <w:tcBorders>
              <w:right w:val="single" w:sz="4" w:space="0" w:color="A6A6A6"/>
            </w:tcBorders>
          </w:tcPr>
          <w:p>
            <w:pPr>
              <w:pStyle w:val="TableParagraph"/>
              <w:spacing w:line="400" w:lineRule="auto" w:before="120"/>
              <w:ind w:left="130" w:right="985"/>
              <w:rPr>
                <w:sz w:val="22"/>
              </w:rPr>
            </w:pPr>
            <w:r>
              <w:rPr>
                <w:sz w:val="22"/>
              </w:rPr>
              <w:t>Australian</w:t>
            </w:r>
            <w:r>
              <w:rPr>
                <w:spacing w:val="-9"/>
                <w:sz w:val="22"/>
              </w:rPr>
              <w:t> </w:t>
            </w:r>
            <w:r>
              <w:rPr>
                <w:sz w:val="22"/>
              </w:rPr>
              <w:t>Energy</w:t>
            </w:r>
            <w:r>
              <w:rPr>
                <w:spacing w:val="-11"/>
                <w:sz w:val="22"/>
              </w:rPr>
              <w:t> </w:t>
            </w:r>
            <w:r>
              <w:rPr>
                <w:sz w:val="22"/>
              </w:rPr>
              <w:t>Market</w:t>
            </w:r>
            <w:r>
              <w:rPr>
                <w:spacing w:val="-10"/>
                <w:sz w:val="22"/>
              </w:rPr>
              <w:t> </w:t>
            </w:r>
            <w:r>
              <w:rPr>
                <w:sz w:val="22"/>
              </w:rPr>
              <w:t>Operator</w:t>
            </w:r>
            <w:r>
              <w:rPr>
                <w:spacing w:val="-10"/>
                <w:sz w:val="22"/>
              </w:rPr>
              <w:t> </w:t>
            </w:r>
            <w:r>
              <w:rPr>
                <w:sz w:val="22"/>
              </w:rPr>
              <w:t>(AEMO) Australian Energy Regulator (AER) Essential Services Commission (ESC)</w:t>
            </w:r>
          </w:p>
          <w:p>
            <w:pPr>
              <w:pStyle w:val="TableParagraph"/>
              <w:spacing w:before="2"/>
              <w:ind w:left="130"/>
              <w:rPr>
                <w:sz w:val="22"/>
              </w:rPr>
            </w:pPr>
            <w:r>
              <w:rPr>
                <w:sz w:val="22"/>
              </w:rPr>
              <w:t>WorkSafe</w:t>
            </w:r>
            <w:r>
              <w:rPr>
                <w:spacing w:val="-5"/>
                <w:sz w:val="22"/>
              </w:rPr>
              <w:t> </w:t>
            </w:r>
            <w:r>
              <w:rPr>
                <w:spacing w:val="-2"/>
                <w:sz w:val="22"/>
              </w:rPr>
              <w:t>Victoria</w:t>
            </w:r>
          </w:p>
        </w:tc>
      </w:tr>
      <w:tr>
        <w:trPr>
          <w:trHeight w:val="1284" w:hRule="atLeast"/>
        </w:trPr>
        <w:tc>
          <w:tcPr>
            <w:tcW w:w="3636" w:type="dxa"/>
            <w:tcBorders>
              <w:left w:val="single" w:sz="4" w:space="0" w:color="A6A6A6"/>
            </w:tcBorders>
            <w:shd w:val="clear" w:color="auto" w:fill="CDEBEB"/>
          </w:tcPr>
          <w:p>
            <w:pPr>
              <w:pStyle w:val="TableParagraph"/>
              <w:spacing w:line="288" w:lineRule="auto" w:before="120"/>
              <w:ind w:left="107" w:right="145"/>
              <w:rPr>
                <w:b/>
                <w:sz w:val="22"/>
              </w:rPr>
            </w:pPr>
            <w:r>
              <w:rPr>
                <w:b/>
                <w:sz w:val="22"/>
              </w:rPr>
              <w:t>Current with outdated references</w:t>
            </w:r>
            <w:r>
              <w:rPr>
                <w:b/>
                <w:spacing w:val="-16"/>
                <w:sz w:val="22"/>
              </w:rPr>
              <w:t> </w:t>
            </w:r>
            <w:r>
              <w:rPr>
                <w:b/>
                <w:sz w:val="22"/>
              </w:rPr>
              <w:t>and</w:t>
            </w:r>
            <w:r>
              <w:rPr>
                <w:b/>
                <w:spacing w:val="-15"/>
                <w:sz w:val="22"/>
              </w:rPr>
              <w:t> </w:t>
            </w:r>
            <w:r>
              <w:rPr>
                <w:b/>
                <w:sz w:val="22"/>
              </w:rPr>
              <w:t>arrangements</w:t>
            </w:r>
          </w:p>
        </w:tc>
        <w:tc>
          <w:tcPr>
            <w:tcW w:w="5405" w:type="dxa"/>
            <w:tcBorders>
              <w:right w:val="single" w:sz="4" w:space="0" w:color="A6A6A6"/>
            </w:tcBorders>
            <w:shd w:val="clear" w:color="auto" w:fill="CDEBEB"/>
          </w:tcPr>
          <w:p>
            <w:pPr>
              <w:pStyle w:val="TableParagraph"/>
              <w:spacing w:line="288" w:lineRule="auto" w:before="120"/>
              <w:ind w:left="130" w:right="47"/>
              <w:rPr>
                <w:sz w:val="22"/>
              </w:rPr>
            </w:pPr>
            <w:r>
              <w:rPr>
                <w:sz w:val="22"/>
              </w:rPr>
              <w:t>Department</w:t>
            </w:r>
            <w:r>
              <w:rPr>
                <w:spacing w:val="-7"/>
                <w:sz w:val="22"/>
              </w:rPr>
              <w:t> </w:t>
            </w:r>
            <w:r>
              <w:rPr>
                <w:sz w:val="22"/>
              </w:rPr>
              <w:t>of</w:t>
            </w:r>
            <w:r>
              <w:rPr>
                <w:spacing w:val="-5"/>
                <w:sz w:val="22"/>
              </w:rPr>
              <w:t> </w:t>
            </w:r>
            <w:r>
              <w:rPr>
                <w:sz w:val="22"/>
              </w:rPr>
              <w:t>Environment,</w:t>
            </w:r>
            <w:r>
              <w:rPr>
                <w:spacing w:val="-7"/>
                <w:sz w:val="22"/>
              </w:rPr>
              <w:t> </w:t>
            </w:r>
            <w:r>
              <w:rPr>
                <w:sz w:val="22"/>
              </w:rPr>
              <w:t>Land,</w:t>
            </w:r>
            <w:r>
              <w:rPr>
                <w:spacing w:val="-11"/>
                <w:sz w:val="22"/>
              </w:rPr>
              <w:t> </w:t>
            </w:r>
            <w:r>
              <w:rPr>
                <w:sz w:val="22"/>
              </w:rPr>
              <w:t>Water</w:t>
            </w:r>
            <w:r>
              <w:rPr>
                <w:spacing w:val="-7"/>
                <w:sz w:val="22"/>
              </w:rPr>
              <w:t> </w:t>
            </w:r>
            <w:r>
              <w:rPr>
                <w:sz w:val="22"/>
              </w:rPr>
              <w:t>and </w:t>
            </w:r>
            <w:r>
              <w:rPr>
                <w:spacing w:val="-2"/>
                <w:sz w:val="22"/>
              </w:rPr>
              <w:t>Planning</w:t>
            </w:r>
          </w:p>
          <w:p>
            <w:pPr>
              <w:pStyle w:val="TableParagraph"/>
              <w:numPr>
                <w:ilvl w:val="0"/>
                <w:numId w:val="47"/>
              </w:numPr>
              <w:tabs>
                <w:tab w:pos="850" w:val="left" w:leader="none"/>
              </w:tabs>
              <w:spacing w:line="240" w:lineRule="auto" w:before="137" w:after="0"/>
              <w:ind w:left="850" w:right="0" w:hanging="360"/>
              <w:jc w:val="left"/>
              <w:rPr>
                <w:sz w:val="22"/>
              </w:rPr>
            </w:pPr>
            <w:r>
              <w:rPr>
                <w:spacing w:val="-2"/>
                <w:sz w:val="22"/>
              </w:rPr>
              <w:t>Pipelines</w:t>
            </w:r>
          </w:p>
        </w:tc>
      </w:tr>
      <w:tr>
        <w:trPr>
          <w:trHeight w:val="1454" w:hRule="atLeast"/>
        </w:trPr>
        <w:tc>
          <w:tcPr>
            <w:tcW w:w="3636" w:type="dxa"/>
            <w:tcBorders>
              <w:left w:val="single" w:sz="4" w:space="0" w:color="A6A6A6"/>
            </w:tcBorders>
          </w:tcPr>
          <w:p>
            <w:pPr>
              <w:pStyle w:val="TableParagraph"/>
              <w:spacing w:line="288" w:lineRule="auto" w:before="120"/>
              <w:ind w:left="107" w:right="23"/>
              <w:rPr>
                <w:b/>
                <w:sz w:val="22"/>
              </w:rPr>
            </w:pPr>
            <w:r>
              <w:rPr>
                <w:b/>
                <w:sz w:val="22"/>
              </w:rPr>
              <w:t>In</w:t>
            </w:r>
            <w:r>
              <w:rPr>
                <w:b/>
                <w:spacing w:val="-7"/>
                <w:sz w:val="22"/>
              </w:rPr>
              <w:t> </w:t>
            </w:r>
            <w:r>
              <w:rPr>
                <w:b/>
                <w:sz w:val="22"/>
              </w:rPr>
              <w:t>part</w:t>
            </w:r>
            <w:r>
              <w:rPr>
                <w:b/>
                <w:spacing w:val="-11"/>
                <w:sz w:val="22"/>
              </w:rPr>
              <w:t> </w:t>
            </w:r>
            <w:r>
              <w:rPr>
                <w:b/>
                <w:sz w:val="22"/>
              </w:rPr>
              <w:t>with</w:t>
            </w:r>
            <w:r>
              <w:rPr>
                <w:b/>
                <w:spacing w:val="-10"/>
                <w:sz w:val="22"/>
              </w:rPr>
              <w:t> </w:t>
            </w:r>
            <w:r>
              <w:rPr>
                <w:b/>
                <w:sz w:val="22"/>
              </w:rPr>
              <w:t>outdated</w:t>
            </w:r>
            <w:r>
              <w:rPr>
                <w:b/>
                <w:spacing w:val="-8"/>
                <w:sz w:val="22"/>
              </w:rPr>
              <w:t> </w:t>
            </w:r>
            <w:r>
              <w:rPr>
                <w:b/>
                <w:sz w:val="22"/>
              </w:rPr>
              <w:t>references, via the Victorian Fire Investigation Inter Agency </w:t>
            </w:r>
            <w:r>
              <w:rPr>
                <w:b/>
                <w:spacing w:val="-2"/>
                <w:sz w:val="22"/>
              </w:rPr>
              <w:t>Agreement</w:t>
            </w:r>
          </w:p>
        </w:tc>
        <w:tc>
          <w:tcPr>
            <w:tcW w:w="5405" w:type="dxa"/>
            <w:tcBorders>
              <w:right w:val="single" w:sz="4" w:space="0" w:color="A6A6A6"/>
            </w:tcBorders>
          </w:tcPr>
          <w:p>
            <w:pPr>
              <w:pStyle w:val="TableParagraph"/>
              <w:spacing w:line="403" w:lineRule="auto" w:before="120"/>
              <w:ind w:left="130" w:right="1939"/>
              <w:rPr>
                <w:sz w:val="22"/>
              </w:rPr>
            </w:pPr>
            <w:r>
              <w:rPr>
                <w:sz w:val="22"/>
              </w:rPr>
              <w:t>Country Fire Authority Metropolitan</w:t>
            </w:r>
            <w:r>
              <w:rPr>
                <w:spacing w:val="-16"/>
                <w:sz w:val="22"/>
              </w:rPr>
              <w:t> </w:t>
            </w:r>
            <w:r>
              <w:rPr>
                <w:sz w:val="22"/>
              </w:rPr>
              <w:t>Fire</w:t>
            </w:r>
            <w:r>
              <w:rPr>
                <w:spacing w:val="-15"/>
                <w:sz w:val="22"/>
              </w:rPr>
              <w:t> </w:t>
            </w:r>
            <w:r>
              <w:rPr>
                <w:sz w:val="22"/>
              </w:rPr>
              <w:t>Brigade</w:t>
            </w:r>
          </w:p>
        </w:tc>
      </w:tr>
      <w:tr>
        <w:trPr>
          <w:trHeight w:val="967" w:hRule="atLeast"/>
        </w:trPr>
        <w:tc>
          <w:tcPr>
            <w:tcW w:w="3636" w:type="dxa"/>
            <w:tcBorders>
              <w:left w:val="single" w:sz="4" w:space="0" w:color="A6A6A6"/>
            </w:tcBorders>
            <w:shd w:val="clear" w:color="auto" w:fill="CDEBEB"/>
          </w:tcPr>
          <w:p>
            <w:pPr>
              <w:pStyle w:val="TableParagraph"/>
              <w:spacing w:before="120"/>
              <w:ind w:left="107"/>
              <w:rPr>
                <w:b/>
                <w:sz w:val="22"/>
              </w:rPr>
            </w:pPr>
            <w:r>
              <w:rPr>
                <w:b/>
                <w:spacing w:val="-2"/>
                <w:sz w:val="22"/>
              </w:rPr>
              <w:t>Expired</w:t>
            </w:r>
          </w:p>
        </w:tc>
        <w:tc>
          <w:tcPr>
            <w:tcW w:w="5405" w:type="dxa"/>
            <w:tcBorders>
              <w:right w:val="single" w:sz="4" w:space="0" w:color="A6A6A6"/>
            </w:tcBorders>
            <w:shd w:val="clear" w:color="auto" w:fill="CDEBEB"/>
          </w:tcPr>
          <w:p>
            <w:pPr>
              <w:pStyle w:val="TableParagraph"/>
              <w:spacing w:before="120"/>
              <w:ind w:left="130"/>
              <w:rPr>
                <w:sz w:val="22"/>
              </w:rPr>
            </w:pPr>
            <w:r>
              <w:rPr>
                <w:sz w:val="22"/>
              </w:rPr>
              <w:t>Dial</w:t>
            </w:r>
            <w:r>
              <w:rPr>
                <w:spacing w:val="-6"/>
                <w:sz w:val="22"/>
              </w:rPr>
              <w:t> </w:t>
            </w:r>
            <w:r>
              <w:rPr>
                <w:sz w:val="22"/>
              </w:rPr>
              <w:t>Before</w:t>
            </w:r>
            <w:r>
              <w:rPr>
                <w:spacing w:val="-4"/>
                <w:sz w:val="22"/>
              </w:rPr>
              <w:t> </w:t>
            </w:r>
            <w:r>
              <w:rPr>
                <w:sz w:val="22"/>
              </w:rPr>
              <w:t>You</w:t>
            </w:r>
            <w:r>
              <w:rPr>
                <w:spacing w:val="-4"/>
                <w:sz w:val="22"/>
              </w:rPr>
              <w:t> </w:t>
            </w:r>
            <w:r>
              <w:rPr>
                <w:sz w:val="22"/>
              </w:rPr>
              <w:t>Dig</w:t>
            </w:r>
            <w:r>
              <w:rPr>
                <w:spacing w:val="-2"/>
                <w:sz w:val="22"/>
              </w:rPr>
              <w:t> </w:t>
            </w:r>
            <w:r>
              <w:rPr>
                <w:sz w:val="22"/>
              </w:rPr>
              <w:t>Vic/Tas</w:t>
            </w:r>
            <w:r>
              <w:rPr>
                <w:spacing w:val="-4"/>
                <w:sz w:val="22"/>
              </w:rPr>
              <w:t> </w:t>
            </w:r>
            <w:r>
              <w:rPr>
                <w:spacing w:val="-5"/>
                <w:sz w:val="22"/>
              </w:rPr>
              <w:t>Inc</w:t>
            </w:r>
          </w:p>
          <w:p>
            <w:pPr>
              <w:pStyle w:val="TableParagraph"/>
              <w:spacing w:before="172"/>
              <w:ind w:left="130"/>
              <w:rPr>
                <w:sz w:val="22"/>
              </w:rPr>
            </w:pPr>
            <w:r>
              <w:rPr>
                <w:sz w:val="22"/>
              </w:rPr>
              <w:t>Environment</w:t>
            </w:r>
            <w:r>
              <w:rPr>
                <w:spacing w:val="-6"/>
                <w:sz w:val="22"/>
              </w:rPr>
              <w:t> </w:t>
            </w:r>
            <w:r>
              <w:rPr>
                <w:sz w:val="22"/>
              </w:rPr>
              <w:t>Protection</w:t>
            </w:r>
            <w:r>
              <w:rPr>
                <w:spacing w:val="-11"/>
                <w:sz w:val="22"/>
              </w:rPr>
              <w:t> </w:t>
            </w:r>
            <w:r>
              <w:rPr>
                <w:sz w:val="22"/>
              </w:rPr>
              <w:t>Authority</w:t>
            </w:r>
            <w:r>
              <w:rPr>
                <w:spacing w:val="-9"/>
                <w:sz w:val="22"/>
              </w:rPr>
              <w:t> </w:t>
            </w:r>
            <w:r>
              <w:rPr>
                <w:spacing w:val="-4"/>
                <w:sz w:val="22"/>
              </w:rPr>
              <w:t>(EPA)</w:t>
            </w:r>
          </w:p>
        </w:tc>
      </w:tr>
      <w:tr>
        <w:trPr>
          <w:trHeight w:val="2162" w:hRule="atLeast"/>
        </w:trPr>
        <w:tc>
          <w:tcPr>
            <w:tcW w:w="3636" w:type="dxa"/>
            <w:tcBorders>
              <w:left w:val="single" w:sz="4" w:space="0" w:color="A6A6A6"/>
              <w:bottom w:val="single" w:sz="4" w:space="0" w:color="A6A6A6"/>
            </w:tcBorders>
          </w:tcPr>
          <w:p>
            <w:pPr>
              <w:pStyle w:val="TableParagraph"/>
              <w:spacing w:before="120"/>
              <w:ind w:left="107"/>
              <w:rPr>
                <w:b/>
                <w:sz w:val="22"/>
              </w:rPr>
            </w:pPr>
            <w:r>
              <w:rPr>
                <w:b/>
                <w:sz w:val="22"/>
              </w:rPr>
              <w:t>No</w:t>
            </w:r>
            <w:r>
              <w:rPr>
                <w:b/>
                <w:spacing w:val="-3"/>
                <w:sz w:val="22"/>
              </w:rPr>
              <w:t> </w:t>
            </w:r>
            <w:r>
              <w:rPr>
                <w:b/>
                <w:sz w:val="22"/>
              </w:rPr>
              <w:t>established</w:t>
            </w:r>
            <w:r>
              <w:rPr>
                <w:b/>
                <w:spacing w:val="-4"/>
                <w:sz w:val="22"/>
              </w:rPr>
              <w:t> </w:t>
            </w:r>
            <w:r>
              <w:rPr>
                <w:b/>
                <w:spacing w:val="-5"/>
                <w:sz w:val="22"/>
              </w:rPr>
              <w:t>MOU</w:t>
            </w:r>
          </w:p>
        </w:tc>
        <w:tc>
          <w:tcPr>
            <w:tcW w:w="5405" w:type="dxa"/>
            <w:tcBorders>
              <w:bottom w:val="single" w:sz="4" w:space="0" w:color="A6A6A6"/>
              <w:right w:val="single" w:sz="4" w:space="0" w:color="A6A6A6"/>
            </w:tcBorders>
          </w:tcPr>
          <w:p>
            <w:pPr>
              <w:pStyle w:val="TableParagraph"/>
              <w:spacing w:line="290" w:lineRule="auto" w:before="120"/>
              <w:ind w:left="130" w:right="47"/>
              <w:rPr>
                <w:sz w:val="22"/>
              </w:rPr>
            </w:pPr>
            <w:r>
              <w:rPr>
                <w:sz w:val="22"/>
              </w:rPr>
              <w:t>Department</w:t>
            </w:r>
            <w:r>
              <w:rPr>
                <w:spacing w:val="-7"/>
                <w:sz w:val="22"/>
              </w:rPr>
              <w:t> </w:t>
            </w:r>
            <w:r>
              <w:rPr>
                <w:sz w:val="22"/>
              </w:rPr>
              <w:t>of</w:t>
            </w:r>
            <w:r>
              <w:rPr>
                <w:spacing w:val="-4"/>
                <w:sz w:val="22"/>
              </w:rPr>
              <w:t> </w:t>
            </w:r>
            <w:r>
              <w:rPr>
                <w:sz w:val="22"/>
              </w:rPr>
              <w:t>Environment,</w:t>
            </w:r>
            <w:r>
              <w:rPr>
                <w:spacing w:val="-7"/>
                <w:sz w:val="22"/>
              </w:rPr>
              <w:t> </w:t>
            </w:r>
            <w:r>
              <w:rPr>
                <w:sz w:val="22"/>
              </w:rPr>
              <w:t>Land,</w:t>
            </w:r>
            <w:r>
              <w:rPr>
                <w:spacing w:val="-11"/>
                <w:sz w:val="22"/>
              </w:rPr>
              <w:t> </w:t>
            </w:r>
            <w:r>
              <w:rPr>
                <w:sz w:val="22"/>
              </w:rPr>
              <w:t>Water</w:t>
            </w:r>
            <w:r>
              <w:rPr>
                <w:spacing w:val="-7"/>
                <w:sz w:val="22"/>
              </w:rPr>
              <w:t> </w:t>
            </w:r>
            <w:r>
              <w:rPr>
                <w:sz w:val="22"/>
              </w:rPr>
              <w:t>and </w:t>
            </w:r>
            <w:r>
              <w:rPr>
                <w:spacing w:val="-2"/>
                <w:sz w:val="22"/>
              </w:rPr>
              <w:t>Planning</w:t>
            </w:r>
          </w:p>
          <w:p>
            <w:pPr>
              <w:pStyle w:val="TableParagraph"/>
              <w:numPr>
                <w:ilvl w:val="0"/>
                <w:numId w:val="48"/>
              </w:numPr>
              <w:tabs>
                <w:tab w:pos="850" w:val="left" w:leader="none"/>
              </w:tabs>
              <w:spacing w:line="240" w:lineRule="auto" w:before="132" w:after="0"/>
              <w:ind w:left="850" w:right="0" w:hanging="360"/>
              <w:jc w:val="left"/>
              <w:rPr>
                <w:sz w:val="22"/>
              </w:rPr>
            </w:pPr>
            <w:r>
              <w:rPr>
                <w:sz w:val="22"/>
              </w:rPr>
              <w:t>Energy</w:t>
            </w:r>
            <w:r>
              <w:rPr>
                <w:spacing w:val="-6"/>
                <w:sz w:val="22"/>
              </w:rPr>
              <w:t> </w:t>
            </w:r>
            <w:r>
              <w:rPr>
                <w:spacing w:val="-2"/>
                <w:sz w:val="22"/>
              </w:rPr>
              <w:t>Policy</w:t>
            </w:r>
          </w:p>
          <w:p>
            <w:pPr>
              <w:pStyle w:val="TableParagraph"/>
              <w:numPr>
                <w:ilvl w:val="0"/>
                <w:numId w:val="48"/>
              </w:numPr>
              <w:tabs>
                <w:tab w:pos="850" w:val="left" w:leader="none"/>
              </w:tabs>
              <w:spacing w:line="240" w:lineRule="auto" w:before="186" w:after="0"/>
              <w:ind w:left="850" w:right="0" w:hanging="360"/>
              <w:jc w:val="left"/>
              <w:rPr>
                <w:sz w:val="22"/>
              </w:rPr>
            </w:pPr>
            <w:r>
              <w:rPr>
                <w:spacing w:val="-2"/>
                <w:sz w:val="22"/>
              </w:rPr>
              <w:t>Planning</w:t>
            </w:r>
          </w:p>
          <w:p>
            <w:pPr>
              <w:pStyle w:val="TableParagraph"/>
              <w:numPr>
                <w:ilvl w:val="0"/>
                <w:numId w:val="48"/>
              </w:numPr>
              <w:tabs>
                <w:tab w:pos="850" w:val="left" w:leader="none"/>
              </w:tabs>
              <w:spacing w:line="240" w:lineRule="auto" w:before="186" w:after="0"/>
              <w:ind w:left="850" w:right="0" w:hanging="360"/>
              <w:jc w:val="left"/>
              <w:rPr>
                <w:sz w:val="22"/>
              </w:rPr>
            </w:pPr>
            <w:r>
              <w:rPr>
                <w:sz w:val="22"/>
              </w:rPr>
              <w:t>Powerline</w:t>
            </w:r>
            <w:r>
              <w:rPr>
                <w:spacing w:val="-8"/>
                <w:sz w:val="22"/>
              </w:rPr>
              <w:t> </w:t>
            </w:r>
            <w:r>
              <w:rPr>
                <w:sz w:val="22"/>
              </w:rPr>
              <w:t>Bushfire</w:t>
            </w:r>
            <w:r>
              <w:rPr>
                <w:spacing w:val="-8"/>
                <w:sz w:val="22"/>
              </w:rPr>
              <w:t> </w:t>
            </w:r>
            <w:r>
              <w:rPr>
                <w:sz w:val="22"/>
              </w:rPr>
              <w:t>Safety</w:t>
            </w:r>
            <w:r>
              <w:rPr>
                <w:spacing w:val="-9"/>
                <w:sz w:val="22"/>
              </w:rPr>
              <w:t> </w:t>
            </w:r>
            <w:r>
              <w:rPr>
                <w:spacing w:val="-2"/>
                <w:sz w:val="22"/>
              </w:rPr>
              <w:t>Program</w:t>
            </w:r>
          </w:p>
        </w:tc>
      </w:tr>
    </w:tbl>
    <w:p>
      <w:pPr>
        <w:pStyle w:val="BodyText"/>
        <w:spacing w:before="8"/>
        <w:rPr>
          <w:b/>
          <w:sz w:val="26"/>
        </w:rPr>
      </w:pPr>
    </w:p>
    <w:p>
      <w:pPr>
        <w:pStyle w:val="BodyText"/>
        <w:spacing w:line="288" w:lineRule="auto"/>
        <w:ind w:left="232" w:right="374"/>
      </w:pPr>
      <w:r>
        <w:rPr/>
        <w:t>The</w:t>
      </w:r>
      <w:r>
        <w:rPr>
          <w:spacing w:val="-5"/>
        </w:rPr>
        <w:t> </w:t>
      </w:r>
      <w:r>
        <w:rPr/>
        <w:t>Review</w:t>
      </w:r>
      <w:r>
        <w:rPr>
          <w:spacing w:val="-6"/>
        </w:rPr>
        <w:t> </w:t>
      </w:r>
      <w:r>
        <w:rPr/>
        <w:t>proposes</w:t>
      </w:r>
      <w:r>
        <w:rPr>
          <w:spacing w:val="-2"/>
        </w:rPr>
        <w:t> </w:t>
      </w:r>
      <w:r>
        <w:rPr/>
        <w:t>that</w:t>
      </w:r>
      <w:r>
        <w:rPr>
          <w:spacing w:val="-2"/>
        </w:rPr>
        <w:t> </w:t>
      </w:r>
      <w:r>
        <w:rPr/>
        <w:t>ESV</w:t>
      </w:r>
      <w:r>
        <w:rPr>
          <w:spacing w:val="-3"/>
        </w:rPr>
        <w:t> </w:t>
      </w:r>
      <w:r>
        <w:rPr/>
        <w:t>and</w:t>
      </w:r>
      <w:r>
        <w:rPr>
          <w:spacing w:val="-5"/>
        </w:rPr>
        <w:t> </w:t>
      </w:r>
      <w:r>
        <w:rPr/>
        <w:t>relevant</w:t>
      </w:r>
      <w:r>
        <w:rPr>
          <w:spacing w:val="-1"/>
        </w:rPr>
        <w:t> </w:t>
      </w:r>
      <w:r>
        <w:rPr/>
        <w:t>agencies</w:t>
      </w:r>
      <w:r>
        <w:rPr>
          <w:spacing w:val="-3"/>
        </w:rPr>
        <w:t> </w:t>
      </w:r>
      <w:r>
        <w:rPr/>
        <w:t>implement</w:t>
      </w:r>
      <w:r>
        <w:rPr>
          <w:spacing w:val="-1"/>
        </w:rPr>
        <w:t> </w:t>
      </w:r>
      <w:r>
        <w:rPr/>
        <w:t>a</w:t>
      </w:r>
      <w:r>
        <w:rPr>
          <w:spacing w:val="-7"/>
        </w:rPr>
        <w:t> </w:t>
      </w:r>
      <w:r>
        <w:rPr/>
        <w:t>formal</w:t>
      </w:r>
      <w:r>
        <w:rPr>
          <w:spacing w:val="-6"/>
        </w:rPr>
        <w:t> </w:t>
      </w:r>
      <w:r>
        <w:rPr/>
        <w:t>process</w:t>
      </w:r>
      <w:r>
        <w:rPr>
          <w:spacing w:val="-2"/>
        </w:rPr>
        <w:t> </w:t>
      </w:r>
      <w:r>
        <w:rPr/>
        <w:t>of</w:t>
      </w:r>
      <w:r>
        <w:rPr>
          <w:spacing w:val="-4"/>
        </w:rPr>
        <w:t> </w:t>
      </w:r>
      <w:r>
        <w:rPr/>
        <w:t>reviewing each of its MOUs and interagency agreements annually. This process need not be excessively burdensome – where it is clear that working arrangements are operating well, a relatively “light touch” approach could be adopted.</w:t>
      </w:r>
    </w:p>
    <w:p>
      <w:pPr>
        <w:pStyle w:val="BodyText"/>
        <w:spacing w:before="11"/>
        <w:rPr>
          <w:sz w:val="20"/>
        </w:rPr>
      </w:pPr>
    </w:p>
    <w:p>
      <w:pPr>
        <w:pStyle w:val="BodyText"/>
        <w:spacing w:line="288" w:lineRule="auto"/>
        <w:ind w:left="232" w:right="374"/>
      </w:pPr>
      <w:r>
        <w:rPr/>
        <w:t>There</w:t>
      </w:r>
      <w:r>
        <w:rPr>
          <w:spacing w:val="-5"/>
        </w:rPr>
        <w:t> </w:t>
      </w:r>
      <w:r>
        <w:rPr/>
        <w:t>may</w:t>
      </w:r>
      <w:r>
        <w:rPr>
          <w:spacing w:val="-5"/>
        </w:rPr>
        <w:t> </w:t>
      </w:r>
      <w:r>
        <w:rPr/>
        <w:t>also</w:t>
      </w:r>
      <w:r>
        <w:rPr>
          <w:spacing w:val="-3"/>
        </w:rPr>
        <w:t> </w:t>
      </w:r>
      <w:r>
        <w:rPr/>
        <w:t>be</w:t>
      </w:r>
      <w:r>
        <w:rPr>
          <w:spacing w:val="-3"/>
        </w:rPr>
        <w:t> </w:t>
      </w:r>
      <w:r>
        <w:rPr/>
        <w:t>value</w:t>
      </w:r>
      <w:r>
        <w:rPr>
          <w:spacing w:val="-3"/>
        </w:rPr>
        <w:t> </w:t>
      </w:r>
      <w:r>
        <w:rPr/>
        <w:t>in</w:t>
      </w:r>
      <w:r>
        <w:rPr>
          <w:spacing w:val="-3"/>
        </w:rPr>
        <w:t> </w:t>
      </w:r>
      <w:r>
        <w:rPr/>
        <w:t>ESV</w:t>
      </w:r>
      <w:r>
        <w:rPr>
          <w:spacing w:val="-3"/>
        </w:rPr>
        <w:t> </w:t>
      </w:r>
      <w:r>
        <w:rPr/>
        <w:t>considering</w:t>
      </w:r>
      <w:r>
        <w:rPr>
          <w:spacing w:val="-3"/>
        </w:rPr>
        <w:t> </w:t>
      </w:r>
      <w:r>
        <w:rPr/>
        <w:t>establishing</w:t>
      </w:r>
      <w:r>
        <w:rPr>
          <w:spacing w:val="-1"/>
        </w:rPr>
        <w:t> </w:t>
      </w:r>
      <w:r>
        <w:rPr/>
        <w:t>MOUs</w:t>
      </w:r>
      <w:r>
        <w:rPr>
          <w:spacing w:val="-2"/>
        </w:rPr>
        <w:t> </w:t>
      </w:r>
      <w:r>
        <w:rPr/>
        <w:t>with</w:t>
      </w:r>
      <w:r>
        <w:rPr>
          <w:spacing w:val="-3"/>
        </w:rPr>
        <w:t> </w:t>
      </w:r>
      <w:r>
        <w:rPr/>
        <w:t>some</w:t>
      </w:r>
      <w:r>
        <w:rPr>
          <w:spacing w:val="-3"/>
        </w:rPr>
        <w:t> </w:t>
      </w:r>
      <w:r>
        <w:rPr/>
        <w:t>other</w:t>
      </w:r>
      <w:r>
        <w:rPr>
          <w:spacing w:val="-4"/>
        </w:rPr>
        <w:t> </w:t>
      </w:r>
      <w:r>
        <w:rPr/>
        <w:t>regulatory agencies. In particular, ESV has regulatory overlaps with Transport Safety Victoria and the National Rail Safety Regulator for the electric train and tramway systems.</w:t>
      </w:r>
    </w:p>
    <w:p>
      <w:pPr>
        <w:pStyle w:val="BodyText"/>
        <w:spacing w:before="7"/>
        <w:rPr>
          <w:sz w:val="18"/>
        </w:rPr>
      </w:pPr>
      <w:r>
        <w:rPr/>
        <mc:AlternateContent>
          <mc:Choice Requires="wps">
            <w:drawing>
              <wp:anchor distT="0" distB="0" distL="0" distR="0" allowOverlap="1" layoutInCell="1" locked="0" behindDoc="1" simplePos="0" relativeHeight="487631872">
                <wp:simplePos x="0" y="0"/>
                <wp:positionH relativeFrom="page">
                  <wp:posOffset>719327</wp:posOffset>
                </wp:positionH>
                <wp:positionV relativeFrom="paragraph">
                  <wp:posOffset>151118</wp:posOffset>
                </wp:positionV>
                <wp:extent cx="5870575" cy="1091565"/>
                <wp:effectExtent l="0" t="0" r="0" b="0"/>
                <wp:wrapTopAndBottom/>
                <wp:docPr id="149" name="Textbox 149"/>
                <wp:cNvGraphicFramePr>
                  <a:graphicFrameLocks/>
                </wp:cNvGraphicFramePr>
                <a:graphic>
                  <a:graphicData uri="http://schemas.microsoft.com/office/word/2010/wordprocessingShape">
                    <wps:wsp>
                      <wps:cNvPr id="149" name="Textbox 149"/>
                      <wps:cNvSpPr txBox="1"/>
                      <wps:spPr>
                        <a:xfrm>
                          <a:off x="0" y="0"/>
                          <a:ext cx="5870575" cy="1091565"/>
                        </a:xfrm>
                        <a:prstGeom prst="rect">
                          <a:avLst/>
                        </a:prstGeom>
                        <a:solidFill>
                          <a:srgbClr val="D9D9D9"/>
                        </a:solidFill>
                      </wps:spPr>
                      <wps:txbx>
                        <w:txbxContent>
                          <w:p>
                            <w:pPr>
                              <w:pStyle w:val="BodyText"/>
                              <w:spacing w:before="6"/>
                              <w:rPr>
                                <w:color w:val="000000"/>
                                <w:sz w:val="36"/>
                              </w:rPr>
                            </w:pPr>
                          </w:p>
                          <w:p>
                            <w:pPr>
                              <w:spacing w:before="0"/>
                              <w:ind w:left="141" w:right="0" w:firstLine="0"/>
                              <w:jc w:val="left"/>
                              <w:rPr>
                                <w:b/>
                                <w:color w:val="000000"/>
                                <w:sz w:val="24"/>
                              </w:rPr>
                            </w:pPr>
                            <w:r>
                              <w:rPr>
                                <w:b/>
                                <w:color w:val="000000"/>
                                <w:spacing w:val="-2"/>
                                <w:sz w:val="24"/>
                              </w:rPr>
                              <w:t>Recommendation</w:t>
                            </w:r>
                            <w:r>
                              <w:rPr>
                                <w:b/>
                                <w:color w:val="000000"/>
                                <w:sz w:val="24"/>
                              </w:rPr>
                              <w:t> </w:t>
                            </w:r>
                            <w:r>
                              <w:rPr>
                                <w:b/>
                                <w:color w:val="000000"/>
                                <w:spacing w:val="-5"/>
                                <w:sz w:val="24"/>
                              </w:rPr>
                              <w:t>16</w:t>
                            </w:r>
                          </w:p>
                          <w:p>
                            <w:pPr>
                              <w:pStyle w:val="BodyText"/>
                              <w:spacing w:line="288" w:lineRule="auto" w:before="175"/>
                              <w:ind w:left="112" w:right="140"/>
                              <w:rPr>
                                <w:color w:val="000000"/>
                              </w:rPr>
                            </w:pPr>
                            <w:r>
                              <w:rPr>
                                <w:color w:val="000000"/>
                              </w:rPr>
                              <w:t>ESV</w:t>
                            </w:r>
                            <w:r>
                              <w:rPr>
                                <w:color w:val="000000"/>
                                <w:spacing w:val="-3"/>
                              </w:rPr>
                              <w:t> </w:t>
                            </w:r>
                            <w:r>
                              <w:rPr>
                                <w:color w:val="000000"/>
                              </w:rPr>
                              <w:t>should</w:t>
                            </w:r>
                            <w:r>
                              <w:rPr>
                                <w:color w:val="000000"/>
                                <w:spacing w:val="-3"/>
                              </w:rPr>
                              <w:t> </w:t>
                            </w:r>
                            <w:r>
                              <w:rPr>
                                <w:color w:val="000000"/>
                              </w:rPr>
                              <w:t>review</w:t>
                            </w:r>
                            <w:r>
                              <w:rPr>
                                <w:color w:val="000000"/>
                                <w:spacing w:val="-6"/>
                              </w:rPr>
                              <w:t> </w:t>
                            </w:r>
                            <w:r>
                              <w:rPr>
                                <w:color w:val="000000"/>
                              </w:rPr>
                              <w:t>each</w:t>
                            </w:r>
                            <w:r>
                              <w:rPr>
                                <w:color w:val="000000"/>
                                <w:spacing w:val="-3"/>
                              </w:rPr>
                              <w:t> </w:t>
                            </w:r>
                            <w:r>
                              <w:rPr>
                                <w:color w:val="000000"/>
                              </w:rPr>
                              <w:t>existing</w:t>
                            </w:r>
                            <w:r>
                              <w:rPr>
                                <w:color w:val="000000"/>
                                <w:spacing w:val="-1"/>
                              </w:rPr>
                              <w:t> </w:t>
                            </w:r>
                            <w:r>
                              <w:rPr>
                                <w:color w:val="000000"/>
                              </w:rPr>
                              <w:t>MOU</w:t>
                            </w:r>
                            <w:r>
                              <w:rPr>
                                <w:color w:val="000000"/>
                                <w:spacing w:val="-3"/>
                              </w:rPr>
                              <w:t> </w:t>
                            </w:r>
                            <w:r>
                              <w:rPr>
                                <w:color w:val="000000"/>
                              </w:rPr>
                              <w:t>with</w:t>
                            </w:r>
                            <w:r>
                              <w:rPr>
                                <w:color w:val="000000"/>
                                <w:spacing w:val="-3"/>
                              </w:rPr>
                              <w:t> </w:t>
                            </w:r>
                            <w:r>
                              <w:rPr>
                                <w:color w:val="000000"/>
                              </w:rPr>
                              <w:t>other</w:t>
                            </w:r>
                            <w:r>
                              <w:rPr>
                                <w:color w:val="000000"/>
                                <w:spacing w:val="-4"/>
                              </w:rPr>
                              <w:t> </w:t>
                            </w:r>
                            <w:r>
                              <w:rPr>
                                <w:color w:val="000000"/>
                              </w:rPr>
                              <w:t>regulators</w:t>
                            </w:r>
                            <w:r>
                              <w:rPr>
                                <w:color w:val="000000"/>
                                <w:spacing w:val="-5"/>
                              </w:rPr>
                              <w:t> </w:t>
                            </w:r>
                            <w:r>
                              <w:rPr>
                                <w:color w:val="000000"/>
                              </w:rPr>
                              <w:t>and</w:t>
                            </w:r>
                            <w:r>
                              <w:rPr>
                                <w:color w:val="000000"/>
                                <w:spacing w:val="-5"/>
                              </w:rPr>
                              <w:t> </w:t>
                            </w:r>
                            <w:r>
                              <w:rPr>
                                <w:color w:val="000000"/>
                              </w:rPr>
                              <w:t>government</w:t>
                            </w:r>
                            <w:r>
                              <w:rPr>
                                <w:color w:val="000000"/>
                                <w:spacing w:val="-2"/>
                              </w:rPr>
                              <w:t> </w:t>
                            </w:r>
                            <w:r>
                              <w:rPr>
                                <w:color w:val="000000"/>
                              </w:rPr>
                              <w:t>departments and agencies annually to ensure they remain current and fit-for-purpose.</w:t>
                            </w:r>
                          </w:p>
                        </w:txbxContent>
                      </wps:txbx>
                      <wps:bodyPr wrap="square" lIns="0" tIns="0" rIns="0" bIns="0" rtlCol="0">
                        <a:noAutofit/>
                      </wps:bodyPr>
                    </wps:wsp>
                  </a:graphicData>
                </a:graphic>
              </wp:anchor>
            </w:drawing>
          </mc:Choice>
          <mc:Fallback>
            <w:pict>
              <v:shape style="position:absolute;margin-left:56.639999pt;margin-top:11.899121pt;width:462.25pt;height:85.95pt;mso-position-horizontal-relative:page;mso-position-vertical-relative:paragraph;z-index:-15684608;mso-wrap-distance-left:0;mso-wrap-distance-right:0" type="#_x0000_t202" id="docshape133" filled="true" fillcolor="#d9d9d9" stroked="false">
                <v:textbox inset="0,0,0,0">
                  <w:txbxContent>
                    <w:p>
                      <w:pPr>
                        <w:pStyle w:val="BodyText"/>
                        <w:spacing w:before="6"/>
                        <w:rPr>
                          <w:color w:val="000000"/>
                          <w:sz w:val="36"/>
                        </w:rPr>
                      </w:pPr>
                    </w:p>
                    <w:p>
                      <w:pPr>
                        <w:spacing w:before="0"/>
                        <w:ind w:left="141" w:right="0" w:firstLine="0"/>
                        <w:jc w:val="left"/>
                        <w:rPr>
                          <w:b/>
                          <w:color w:val="000000"/>
                          <w:sz w:val="24"/>
                        </w:rPr>
                      </w:pPr>
                      <w:r>
                        <w:rPr>
                          <w:b/>
                          <w:color w:val="000000"/>
                          <w:spacing w:val="-2"/>
                          <w:sz w:val="24"/>
                        </w:rPr>
                        <w:t>Recommendation</w:t>
                      </w:r>
                      <w:r>
                        <w:rPr>
                          <w:b/>
                          <w:color w:val="000000"/>
                          <w:sz w:val="24"/>
                        </w:rPr>
                        <w:t> </w:t>
                      </w:r>
                      <w:r>
                        <w:rPr>
                          <w:b/>
                          <w:color w:val="000000"/>
                          <w:spacing w:val="-5"/>
                          <w:sz w:val="24"/>
                        </w:rPr>
                        <w:t>16</w:t>
                      </w:r>
                    </w:p>
                    <w:p>
                      <w:pPr>
                        <w:pStyle w:val="BodyText"/>
                        <w:spacing w:line="288" w:lineRule="auto" w:before="175"/>
                        <w:ind w:left="112" w:right="140"/>
                        <w:rPr>
                          <w:color w:val="000000"/>
                        </w:rPr>
                      </w:pPr>
                      <w:r>
                        <w:rPr>
                          <w:color w:val="000000"/>
                        </w:rPr>
                        <w:t>ESV</w:t>
                      </w:r>
                      <w:r>
                        <w:rPr>
                          <w:color w:val="000000"/>
                          <w:spacing w:val="-3"/>
                        </w:rPr>
                        <w:t> </w:t>
                      </w:r>
                      <w:r>
                        <w:rPr>
                          <w:color w:val="000000"/>
                        </w:rPr>
                        <w:t>should</w:t>
                      </w:r>
                      <w:r>
                        <w:rPr>
                          <w:color w:val="000000"/>
                          <w:spacing w:val="-3"/>
                        </w:rPr>
                        <w:t> </w:t>
                      </w:r>
                      <w:r>
                        <w:rPr>
                          <w:color w:val="000000"/>
                        </w:rPr>
                        <w:t>review</w:t>
                      </w:r>
                      <w:r>
                        <w:rPr>
                          <w:color w:val="000000"/>
                          <w:spacing w:val="-6"/>
                        </w:rPr>
                        <w:t> </w:t>
                      </w:r>
                      <w:r>
                        <w:rPr>
                          <w:color w:val="000000"/>
                        </w:rPr>
                        <w:t>each</w:t>
                      </w:r>
                      <w:r>
                        <w:rPr>
                          <w:color w:val="000000"/>
                          <w:spacing w:val="-3"/>
                        </w:rPr>
                        <w:t> </w:t>
                      </w:r>
                      <w:r>
                        <w:rPr>
                          <w:color w:val="000000"/>
                        </w:rPr>
                        <w:t>existing</w:t>
                      </w:r>
                      <w:r>
                        <w:rPr>
                          <w:color w:val="000000"/>
                          <w:spacing w:val="-1"/>
                        </w:rPr>
                        <w:t> </w:t>
                      </w:r>
                      <w:r>
                        <w:rPr>
                          <w:color w:val="000000"/>
                        </w:rPr>
                        <w:t>MOU</w:t>
                      </w:r>
                      <w:r>
                        <w:rPr>
                          <w:color w:val="000000"/>
                          <w:spacing w:val="-3"/>
                        </w:rPr>
                        <w:t> </w:t>
                      </w:r>
                      <w:r>
                        <w:rPr>
                          <w:color w:val="000000"/>
                        </w:rPr>
                        <w:t>with</w:t>
                      </w:r>
                      <w:r>
                        <w:rPr>
                          <w:color w:val="000000"/>
                          <w:spacing w:val="-3"/>
                        </w:rPr>
                        <w:t> </w:t>
                      </w:r>
                      <w:r>
                        <w:rPr>
                          <w:color w:val="000000"/>
                        </w:rPr>
                        <w:t>other</w:t>
                      </w:r>
                      <w:r>
                        <w:rPr>
                          <w:color w:val="000000"/>
                          <w:spacing w:val="-4"/>
                        </w:rPr>
                        <w:t> </w:t>
                      </w:r>
                      <w:r>
                        <w:rPr>
                          <w:color w:val="000000"/>
                        </w:rPr>
                        <w:t>regulators</w:t>
                      </w:r>
                      <w:r>
                        <w:rPr>
                          <w:color w:val="000000"/>
                          <w:spacing w:val="-5"/>
                        </w:rPr>
                        <w:t> </w:t>
                      </w:r>
                      <w:r>
                        <w:rPr>
                          <w:color w:val="000000"/>
                        </w:rPr>
                        <w:t>and</w:t>
                      </w:r>
                      <w:r>
                        <w:rPr>
                          <w:color w:val="000000"/>
                          <w:spacing w:val="-5"/>
                        </w:rPr>
                        <w:t> </w:t>
                      </w:r>
                      <w:r>
                        <w:rPr>
                          <w:color w:val="000000"/>
                        </w:rPr>
                        <w:t>government</w:t>
                      </w:r>
                      <w:r>
                        <w:rPr>
                          <w:color w:val="000000"/>
                          <w:spacing w:val="-2"/>
                        </w:rPr>
                        <w:t> </w:t>
                      </w:r>
                      <w:r>
                        <w:rPr>
                          <w:color w:val="000000"/>
                        </w:rPr>
                        <w:t>departments and agencies annually to ensure they remain current and fit-for-purpose.</w:t>
                      </w:r>
                    </w:p>
                  </w:txbxContent>
                </v:textbox>
                <v:fill type="solid"/>
                <w10:wrap type="topAndBottom"/>
              </v:shape>
            </w:pict>
          </mc:Fallback>
        </mc:AlternateContent>
      </w:r>
    </w:p>
    <w:p>
      <w:pPr>
        <w:spacing w:after="0"/>
        <w:rPr>
          <w:sz w:val="18"/>
        </w:rPr>
        <w:sectPr>
          <w:headerReference w:type="default" r:id="rId77"/>
          <w:footerReference w:type="default" r:id="rId78"/>
          <w:pgSz w:w="11910" w:h="16850"/>
          <w:pgMar w:header="220" w:footer="678" w:top="420" w:bottom="860" w:left="900" w:right="840"/>
        </w:sectPr>
      </w:pPr>
    </w:p>
    <w:p>
      <w:pPr>
        <w:pStyle w:val="BodyText"/>
        <w:rPr>
          <w:sz w:val="20"/>
        </w:rPr>
      </w:pPr>
    </w:p>
    <w:p>
      <w:pPr>
        <w:pStyle w:val="BodyText"/>
        <w:spacing w:before="7"/>
        <w:rPr>
          <w:sz w:val="19"/>
        </w:rPr>
      </w:pPr>
    </w:p>
    <w:p>
      <w:pPr>
        <w:pStyle w:val="Heading4"/>
      </w:pPr>
      <w:r>
        <w:rPr>
          <w:color w:val="585858"/>
        </w:rPr>
        <w:t>Relationship</w:t>
      </w:r>
      <w:r>
        <w:rPr>
          <w:color w:val="585858"/>
          <w:spacing w:val="-11"/>
        </w:rPr>
        <w:t> </w:t>
      </w:r>
      <w:r>
        <w:rPr>
          <w:color w:val="585858"/>
        </w:rPr>
        <w:t>between</w:t>
      </w:r>
      <w:r>
        <w:rPr>
          <w:color w:val="585858"/>
          <w:spacing w:val="-11"/>
        </w:rPr>
        <w:t> </w:t>
      </w:r>
      <w:r>
        <w:rPr>
          <w:color w:val="585858"/>
        </w:rPr>
        <w:t>ESV</w:t>
      </w:r>
      <w:r>
        <w:rPr>
          <w:color w:val="585858"/>
          <w:spacing w:val="-12"/>
        </w:rPr>
        <w:t> </w:t>
      </w:r>
      <w:r>
        <w:rPr>
          <w:color w:val="585858"/>
        </w:rPr>
        <w:t>and</w:t>
      </w:r>
      <w:r>
        <w:rPr>
          <w:color w:val="585858"/>
          <w:spacing w:val="-10"/>
        </w:rPr>
        <w:t> </w:t>
      </w:r>
      <w:r>
        <w:rPr>
          <w:color w:val="585858"/>
          <w:spacing w:val="-2"/>
        </w:rPr>
        <w:t>DELWP</w:t>
      </w:r>
    </w:p>
    <w:p>
      <w:pPr>
        <w:pStyle w:val="BodyText"/>
        <w:spacing w:line="288" w:lineRule="auto" w:before="314"/>
        <w:ind w:left="232" w:right="374"/>
      </w:pPr>
      <w:r>
        <w:rPr/>
        <w:t>There is inevitably a great deal of interaction between ESV and DELWP as the relevant government department responsible for energy policy, as well as the department responsible for planning and environmental policy issues. However, the relationship goes beyond the traditional policy</w:t>
      </w:r>
      <w:r>
        <w:rPr>
          <w:spacing w:val="-4"/>
        </w:rPr>
        <w:t> </w:t>
      </w:r>
      <w:r>
        <w:rPr/>
        <w:t>department</w:t>
      </w:r>
      <w:r>
        <w:rPr>
          <w:spacing w:val="-2"/>
        </w:rPr>
        <w:t> </w:t>
      </w:r>
      <w:r>
        <w:rPr/>
        <w:t>–</w:t>
      </w:r>
      <w:r>
        <w:rPr>
          <w:spacing w:val="-4"/>
        </w:rPr>
        <w:t> </w:t>
      </w:r>
      <w:r>
        <w:rPr/>
        <w:t>regulatory</w:t>
      </w:r>
      <w:r>
        <w:rPr>
          <w:spacing w:val="-4"/>
        </w:rPr>
        <w:t> </w:t>
      </w:r>
      <w:r>
        <w:rPr/>
        <w:t>agency</w:t>
      </w:r>
      <w:r>
        <w:rPr>
          <w:spacing w:val="-4"/>
        </w:rPr>
        <w:t> </w:t>
      </w:r>
      <w:r>
        <w:rPr/>
        <w:t>dichotomy,</w:t>
      </w:r>
      <w:r>
        <w:rPr>
          <w:spacing w:val="-3"/>
        </w:rPr>
        <w:t> </w:t>
      </w:r>
      <w:r>
        <w:rPr/>
        <w:t>as</w:t>
      </w:r>
      <w:r>
        <w:rPr>
          <w:spacing w:val="-2"/>
        </w:rPr>
        <w:t> </w:t>
      </w:r>
      <w:r>
        <w:rPr/>
        <w:t>DELWP</w:t>
      </w:r>
      <w:r>
        <w:rPr>
          <w:spacing w:val="-5"/>
        </w:rPr>
        <w:t> </w:t>
      </w:r>
      <w:r>
        <w:rPr/>
        <w:t>itself has</w:t>
      </w:r>
      <w:r>
        <w:rPr>
          <w:spacing w:val="-4"/>
        </w:rPr>
        <w:t> </w:t>
      </w:r>
      <w:r>
        <w:rPr/>
        <w:t>regulatory</w:t>
      </w:r>
      <w:r>
        <w:rPr>
          <w:spacing w:val="-4"/>
        </w:rPr>
        <w:t> </w:t>
      </w:r>
      <w:r>
        <w:rPr/>
        <w:t>responsibilities relating to planning and the environment, especially in relation to gas transmission pipelines. In addition, the department has, in recent years, been heavily involved in developing regulatory interventions through the Powerline Bushfire Safety Program.</w:t>
      </w:r>
    </w:p>
    <w:p>
      <w:pPr>
        <w:pStyle w:val="BodyText"/>
        <w:spacing w:before="9"/>
        <w:rPr>
          <w:sz w:val="20"/>
        </w:rPr>
      </w:pPr>
    </w:p>
    <w:p>
      <w:pPr>
        <w:pStyle w:val="BodyText"/>
        <w:spacing w:line="288" w:lineRule="auto"/>
        <w:ind w:left="232" w:right="374"/>
      </w:pPr>
      <w:r>
        <w:rPr/>
        <w:t>Some stakeholders in their submission to the Review, pointed to a perceived lack of role clarity between</w:t>
      </w:r>
      <w:r>
        <w:rPr>
          <w:spacing w:val="-3"/>
        </w:rPr>
        <w:t> </w:t>
      </w:r>
      <w:r>
        <w:rPr/>
        <w:t>ESV</w:t>
      </w:r>
      <w:r>
        <w:rPr>
          <w:spacing w:val="-3"/>
        </w:rPr>
        <w:t> </w:t>
      </w:r>
      <w:r>
        <w:rPr/>
        <w:t>and</w:t>
      </w:r>
      <w:r>
        <w:rPr>
          <w:spacing w:val="-3"/>
        </w:rPr>
        <w:t> </w:t>
      </w:r>
      <w:r>
        <w:rPr/>
        <w:t>DELWP.</w:t>
      </w:r>
      <w:r>
        <w:rPr>
          <w:spacing w:val="-4"/>
        </w:rPr>
        <w:t> </w:t>
      </w:r>
      <w:r>
        <w:rPr/>
        <w:t>CitiPower</w:t>
      </w:r>
      <w:r>
        <w:rPr>
          <w:spacing w:val="-2"/>
        </w:rPr>
        <w:t> </w:t>
      </w:r>
      <w:r>
        <w:rPr/>
        <w:t>and</w:t>
      </w:r>
      <w:r>
        <w:rPr>
          <w:spacing w:val="-3"/>
        </w:rPr>
        <w:t> </w:t>
      </w:r>
      <w:r>
        <w:rPr/>
        <w:t>Powercor</w:t>
      </w:r>
      <w:r>
        <w:rPr>
          <w:spacing w:val="-4"/>
        </w:rPr>
        <w:t> </w:t>
      </w:r>
      <w:r>
        <w:rPr/>
        <w:t>Australia</w:t>
      </w:r>
      <w:r>
        <w:rPr>
          <w:spacing w:val="-3"/>
        </w:rPr>
        <w:t> </w:t>
      </w:r>
      <w:r>
        <w:rPr/>
        <w:t>noted</w:t>
      </w:r>
      <w:r>
        <w:rPr>
          <w:spacing w:val="-5"/>
        </w:rPr>
        <w:t> </w:t>
      </w:r>
      <w:r>
        <w:rPr/>
        <w:t>that</w:t>
      </w:r>
      <w:r>
        <w:rPr>
          <w:spacing w:val="-1"/>
        </w:rPr>
        <w:t> </w:t>
      </w:r>
      <w:r>
        <w:rPr/>
        <w:t>while</w:t>
      </w:r>
      <w:r>
        <w:rPr>
          <w:spacing w:val="-3"/>
        </w:rPr>
        <w:t> </w:t>
      </w:r>
      <w:r>
        <w:rPr/>
        <w:t>there</w:t>
      </w:r>
      <w:r>
        <w:rPr>
          <w:spacing w:val="-3"/>
        </w:rPr>
        <w:t> </w:t>
      </w:r>
      <w:r>
        <w:rPr/>
        <w:t>is</w:t>
      </w:r>
      <w:r>
        <w:rPr>
          <w:spacing w:val="-5"/>
        </w:rPr>
        <w:t> </w:t>
      </w:r>
      <w:r>
        <w:rPr/>
        <w:t>an</w:t>
      </w:r>
      <w:r>
        <w:rPr>
          <w:spacing w:val="-3"/>
        </w:rPr>
        <w:t> </w:t>
      </w:r>
      <w:r>
        <w:rPr/>
        <w:t>implicit understanding of the roles of DELWP and ESV, the relationship between the two is not communicated or defined clearly:</w:t>
      </w:r>
    </w:p>
    <w:p>
      <w:pPr>
        <w:pStyle w:val="BodyText"/>
        <w:spacing w:before="11"/>
        <w:rPr>
          <w:sz w:val="20"/>
        </w:rPr>
      </w:pPr>
    </w:p>
    <w:p>
      <w:pPr>
        <w:spacing w:line="288" w:lineRule="auto" w:before="0"/>
        <w:ind w:left="799" w:right="951" w:firstLine="0"/>
        <w:jc w:val="left"/>
        <w:rPr>
          <w:sz w:val="22"/>
        </w:rPr>
      </w:pPr>
      <w:r>
        <w:rPr>
          <w:i/>
          <w:sz w:val="22"/>
        </w:rPr>
        <w:t>“There are several examples of where these roles and responsibilities have not been clear</w:t>
      </w:r>
      <w:r>
        <w:rPr>
          <w:i/>
          <w:spacing w:val="-2"/>
          <w:sz w:val="22"/>
        </w:rPr>
        <w:t> </w:t>
      </w:r>
      <w:r>
        <w:rPr>
          <w:i/>
          <w:sz w:val="22"/>
        </w:rPr>
        <w:t>or</w:t>
      </w:r>
      <w:r>
        <w:rPr>
          <w:i/>
          <w:spacing w:val="-4"/>
          <w:sz w:val="22"/>
        </w:rPr>
        <w:t> </w:t>
      </w:r>
      <w:r>
        <w:rPr>
          <w:i/>
          <w:sz w:val="22"/>
        </w:rPr>
        <w:t>have</w:t>
      </w:r>
      <w:r>
        <w:rPr>
          <w:i/>
          <w:spacing w:val="-5"/>
          <w:sz w:val="22"/>
        </w:rPr>
        <w:t> </w:t>
      </w:r>
      <w:r>
        <w:rPr>
          <w:i/>
          <w:sz w:val="22"/>
        </w:rPr>
        <w:t>not</w:t>
      </w:r>
      <w:r>
        <w:rPr>
          <w:i/>
          <w:spacing w:val="-4"/>
          <w:sz w:val="22"/>
        </w:rPr>
        <w:t> </w:t>
      </w:r>
      <w:r>
        <w:rPr>
          <w:i/>
          <w:sz w:val="22"/>
        </w:rPr>
        <w:t>been</w:t>
      </w:r>
      <w:r>
        <w:rPr>
          <w:i/>
          <w:spacing w:val="-3"/>
          <w:sz w:val="22"/>
        </w:rPr>
        <w:t> </w:t>
      </w:r>
      <w:r>
        <w:rPr>
          <w:i/>
          <w:sz w:val="22"/>
        </w:rPr>
        <w:t>consistently</w:t>
      </w:r>
      <w:r>
        <w:rPr>
          <w:i/>
          <w:spacing w:val="-2"/>
          <w:sz w:val="22"/>
        </w:rPr>
        <w:t> </w:t>
      </w:r>
      <w:r>
        <w:rPr>
          <w:i/>
          <w:sz w:val="22"/>
        </w:rPr>
        <w:t>applied.”</w:t>
      </w:r>
      <w:r>
        <w:rPr>
          <w:i/>
          <w:spacing w:val="-7"/>
          <w:sz w:val="22"/>
        </w:rPr>
        <w:t> </w:t>
      </w:r>
      <w:r>
        <w:rPr>
          <w:sz w:val="22"/>
        </w:rPr>
        <w:t>(CitiPower</w:t>
      </w:r>
      <w:r>
        <w:rPr>
          <w:spacing w:val="-2"/>
          <w:sz w:val="22"/>
        </w:rPr>
        <w:t> </w:t>
      </w:r>
      <w:r>
        <w:rPr>
          <w:sz w:val="22"/>
        </w:rPr>
        <w:t>&amp;</w:t>
      </w:r>
      <w:r>
        <w:rPr>
          <w:spacing w:val="-3"/>
          <w:sz w:val="22"/>
        </w:rPr>
        <w:t> </w:t>
      </w:r>
      <w:r>
        <w:rPr>
          <w:sz w:val="22"/>
        </w:rPr>
        <w:t>Powercor</w:t>
      </w:r>
      <w:r>
        <w:rPr>
          <w:spacing w:val="-1"/>
          <w:sz w:val="22"/>
        </w:rPr>
        <w:t> </w:t>
      </w:r>
      <w:r>
        <w:rPr>
          <w:sz w:val="22"/>
        </w:rPr>
        <w:t>Australia,</w:t>
      </w:r>
      <w:r>
        <w:rPr>
          <w:spacing w:val="-2"/>
          <w:sz w:val="22"/>
        </w:rPr>
        <w:t> </w:t>
      </w:r>
      <w:r>
        <w:rPr>
          <w:sz w:val="22"/>
        </w:rPr>
        <w:t>2017b, p. 3)</w:t>
      </w:r>
    </w:p>
    <w:p>
      <w:pPr>
        <w:pStyle w:val="BodyText"/>
        <w:spacing w:before="11"/>
        <w:rPr>
          <w:sz w:val="20"/>
        </w:rPr>
      </w:pPr>
    </w:p>
    <w:p>
      <w:pPr>
        <w:spacing w:line="288" w:lineRule="auto" w:before="0"/>
        <w:ind w:left="799" w:right="951" w:firstLine="0"/>
        <w:jc w:val="left"/>
        <w:rPr>
          <w:sz w:val="22"/>
        </w:rPr>
      </w:pPr>
      <w:r>
        <w:rPr>
          <w:i/>
          <w:sz w:val="22"/>
        </w:rPr>
        <w:t>“We</w:t>
      </w:r>
      <w:r>
        <w:rPr>
          <w:i/>
          <w:spacing w:val="-4"/>
          <w:sz w:val="22"/>
        </w:rPr>
        <w:t> </w:t>
      </w:r>
      <w:r>
        <w:rPr>
          <w:i/>
          <w:sz w:val="22"/>
        </w:rPr>
        <w:t>recommend</w:t>
      </w:r>
      <w:r>
        <w:rPr>
          <w:i/>
          <w:spacing w:val="-4"/>
          <w:sz w:val="22"/>
        </w:rPr>
        <w:t> </w:t>
      </w:r>
      <w:r>
        <w:rPr>
          <w:i/>
          <w:sz w:val="22"/>
        </w:rPr>
        <w:t>strengthening</w:t>
      </w:r>
      <w:r>
        <w:rPr>
          <w:i/>
          <w:spacing w:val="-2"/>
          <w:sz w:val="22"/>
        </w:rPr>
        <w:t> </w:t>
      </w:r>
      <w:r>
        <w:rPr>
          <w:i/>
          <w:sz w:val="22"/>
        </w:rPr>
        <w:t>the</w:t>
      </w:r>
      <w:r>
        <w:rPr>
          <w:i/>
          <w:spacing w:val="-4"/>
          <w:sz w:val="22"/>
        </w:rPr>
        <w:t> </w:t>
      </w:r>
      <w:r>
        <w:rPr>
          <w:i/>
          <w:sz w:val="22"/>
        </w:rPr>
        <w:t>role</w:t>
      </w:r>
      <w:r>
        <w:rPr>
          <w:i/>
          <w:spacing w:val="-2"/>
          <w:sz w:val="22"/>
        </w:rPr>
        <w:t> </w:t>
      </w:r>
      <w:r>
        <w:rPr>
          <w:i/>
          <w:sz w:val="22"/>
        </w:rPr>
        <w:t>of ESV</w:t>
      </w:r>
      <w:r>
        <w:rPr>
          <w:i/>
          <w:spacing w:val="-2"/>
          <w:sz w:val="22"/>
        </w:rPr>
        <w:t> </w:t>
      </w:r>
      <w:r>
        <w:rPr>
          <w:i/>
          <w:sz w:val="22"/>
        </w:rPr>
        <w:t>as</w:t>
      </w:r>
      <w:r>
        <w:rPr>
          <w:i/>
          <w:spacing w:val="-1"/>
          <w:sz w:val="22"/>
        </w:rPr>
        <w:t> </w:t>
      </w:r>
      <w:r>
        <w:rPr>
          <w:i/>
          <w:sz w:val="22"/>
        </w:rPr>
        <w:t>the</w:t>
      </w:r>
      <w:r>
        <w:rPr>
          <w:i/>
          <w:spacing w:val="-4"/>
          <w:sz w:val="22"/>
        </w:rPr>
        <w:t> </w:t>
      </w:r>
      <w:r>
        <w:rPr>
          <w:i/>
          <w:sz w:val="22"/>
        </w:rPr>
        <w:t>regulator</w:t>
      </w:r>
      <w:r>
        <w:rPr>
          <w:i/>
          <w:spacing w:val="-3"/>
          <w:sz w:val="22"/>
        </w:rPr>
        <w:t> </w:t>
      </w:r>
      <w:r>
        <w:rPr>
          <w:i/>
          <w:sz w:val="22"/>
        </w:rPr>
        <w:t>and</w:t>
      </w:r>
      <w:r>
        <w:rPr>
          <w:i/>
          <w:spacing w:val="-2"/>
          <w:sz w:val="22"/>
        </w:rPr>
        <w:t> </w:t>
      </w:r>
      <w:r>
        <w:rPr>
          <w:i/>
          <w:sz w:val="22"/>
        </w:rPr>
        <w:t>enforcer</w:t>
      </w:r>
      <w:r>
        <w:rPr>
          <w:i/>
          <w:spacing w:val="-1"/>
          <w:sz w:val="22"/>
        </w:rPr>
        <w:t> </w:t>
      </w:r>
      <w:r>
        <w:rPr>
          <w:i/>
          <w:sz w:val="22"/>
        </w:rPr>
        <w:t>of</w:t>
      </w:r>
      <w:r>
        <w:rPr>
          <w:i/>
          <w:spacing w:val="-3"/>
          <w:sz w:val="22"/>
        </w:rPr>
        <w:t> </w:t>
      </w:r>
      <w:r>
        <w:rPr>
          <w:i/>
          <w:sz w:val="22"/>
        </w:rPr>
        <w:t>the rules, with DELWP focusing on defining policy and safety outcomes rather than defining methods or solutions.” </w:t>
      </w:r>
      <w:r>
        <w:rPr>
          <w:sz w:val="22"/>
        </w:rPr>
        <w:t>(CitiPower &amp; Powercor Australia, 2017a, p. 17)</w:t>
      </w:r>
    </w:p>
    <w:p>
      <w:pPr>
        <w:pStyle w:val="BodyText"/>
        <w:spacing w:before="9"/>
        <w:rPr>
          <w:sz w:val="20"/>
        </w:rPr>
      </w:pPr>
    </w:p>
    <w:p>
      <w:pPr>
        <w:pStyle w:val="BodyText"/>
        <w:spacing w:line="288" w:lineRule="auto"/>
        <w:ind w:left="232" w:right="320"/>
      </w:pPr>
      <w:r>
        <w:rPr/>
        <w:t>CitiPower</w:t>
      </w:r>
      <w:r>
        <w:rPr>
          <w:spacing w:val="-1"/>
        </w:rPr>
        <w:t> </w:t>
      </w:r>
      <w:r>
        <w:rPr/>
        <w:t>and</w:t>
      </w:r>
      <w:r>
        <w:rPr>
          <w:spacing w:val="-2"/>
        </w:rPr>
        <w:t> </w:t>
      </w:r>
      <w:r>
        <w:rPr/>
        <w:t>Powercor</w:t>
      </w:r>
      <w:r>
        <w:rPr>
          <w:spacing w:val="-3"/>
        </w:rPr>
        <w:t> </w:t>
      </w:r>
      <w:r>
        <w:rPr/>
        <w:t>Australia</w:t>
      </w:r>
      <w:r>
        <w:rPr>
          <w:spacing w:val="-2"/>
        </w:rPr>
        <w:t> </w:t>
      </w:r>
      <w:r>
        <w:rPr/>
        <w:t>also</w:t>
      </w:r>
      <w:r>
        <w:rPr>
          <w:spacing w:val="-4"/>
        </w:rPr>
        <w:t> </w:t>
      </w:r>
      <w:r>
        <w:rPr/>
        <w:t>maintained</w:t>
      </w:r>
      <w:r>
        <w:rPr>
          <w:spacing w:val="-2"/>
        </w:rPr>
        <w:t> </w:t>
      </w:r>
      <w:r>
        <w:rPr/>
        <w:t>that in</w:t>
      </w:r>
      <w:r>
        <w:rPr>
          <w:spacing w:val="-2"/>
        </w:rPr>
        <w:t> </w:t>
      </w:r>
      <w:r>
        <w:rPr/>
        <w:t>order</w:t>
      </w:r>
      <w:r>
        <w:rPr>
          <w:spacing w:val="-5"/>
        </w:rPr>
        <w:t> </w:t>
      </w:r>
      <w:r>
        <w:rPr/>
        <w:t>for</w:t>
      </w:r>
      <w:r>
        <w:rPr>
          <w:spacing w:val="-1"/>
        </w:rPr>
        <w:t> </w:t>
      </w:r>
      <w:r>
        <w:rPr/>
        <w:t>ESV</w:t>
      </w:r>
      <w:r>
        <w:rPr>
          <w:spacing w:val="-1"/>
        </w:rPr>
        <w:t> </w:t>
      </w:r>
      <w:r>
        <w:rPr/>
        <w:t>to</w:t>
      </w:r>
      <w:r>
        <w:rPr>
          <w:spacing w:val="-4"/>
        </w:rPr>
        <w:t> </w:t>
      </w:r>
      <w:r>
        <w:rPr/>
        <w:t>regulate</w:t>
      </w:r>
      <w:r>
        <w:rPr>
          <w:spacing w:val="-4"/>
        </w:rPr>
        <w:t> </w:t>
      </w:r>
      <w:r>
        <w:rPr/>
        <w:t>effectively</w:t>
      </w:r>
      <w:r>
        <w:rPr>
          <w:spacing w:val="-4"/>
        </w:rPr>
        <w:t> </w:t>
      </w:r>
      <w:r>
        <w:rPr/>
        <w:t>in</w:t>
      </w:r>
      <w:r>
        <w:rPr>
          <w:spacing w:val="-2"/>
        </w:rPr>
        <w:t> </w:t>
      </w:r>
      <w:r>
        <w:rPr/>
        <w:t>an outcomes-based setting, it needs to have role clarity:</w:t>
      </w:r>
    </w:p>
    <w:p>
      <w:pPr>
        <w:pStyle w:val="BodyText"/>
        <w:spacing w:before="10"/>
        <w:rPr>
          <w:sz w:val="20"/>
        </w:rPr>
      </w:pPr>
    </w:p>
    <w:p>
      <w:pPr>
        <w:spacing w:line="288" w:lineRule="auto" w:before="0"/>
        <w:ind w:left="799" w:right="868" w:firstLine="0"/>
        <w:jc w:val="left"/>
        <w:rPr>
          <w:sz w:val="22"/>
        </w:rPr>
      </w:pPr>
      <w:r>
        <w:rPr>
          <w:i/>
          <w:sz w:val="22"/>
        </w:rPr>
        <w:t>“… an effective outcome-based approach to safety regulation involves clearly defined and</w:t>
      </w:r>
      <w:r>
        <w:rPr>
          <w:i/>
          <w:spacing w:val="-2"/>
          <w:sz w:val="22"/>
        </w:rPr>
        <w:t> </w:t>
      </w:r>
      <w:r>
        <w:rPr>
          <w:i/>
          <w:sz w:val="22"/>
        </w:rPr>
        <w:t>separated</w:t>
      </w:r>
      <w:r>
        <w:rPr>
          <w:i/>
          <w:spacing w:val="-4"/>
          <w:sz w:val="22"/>
        </w:rPr>
        <w:t> </w:t>
      </w:r>
      <w:r>
        <w:rPr>
          <w:i/>
          <w:sz w:val="22"/>
        </w:rPr>
        <w:t>roles</w:t>
      </w:r>
      <w:r>
        <w:rPr>
          <w:i/>
          <w:spacing w:val="-2"/>
          <w:sz w:val="22"/>
        </w:rPr>
        <w:t> </w:t>
      </w:r>
      <w:r>
        <w:rPr>
          <w:i/>
          <w:sz w:val="22"/>
        </w:rPr>
        <w:t>and</w:t>
      </w:r>
      <w:r>
        <w:rPr>
          <w:i/>
          <w:spacing w:val="-6"/>
          <w:sz w:val="22"/>
        </w:rPr>
        <w:t> </w:t>
      </w:r>
      <w:r>
        <w:rPr>
          <w:i/>
          <w:sz w:val="22"/>
        </w:rPr>
        <w:t>responsibilities</w:t>
      </w:r>
      <w:r>
        <w:rPr>
          <w:i/>
          <w:spacing w:val="-2"/>
          <w:sz w:val="22"/>
        </w:rPr>
        <w:t> </w:t>
      </w:r>
      <w:r>
        <w:rPr>
          <w:i/>
          <w:sz w:val="22"/>
        </w:rPr>
        <w:t>of DELWP</w:t>
      </w:r>
      <w:r>
        <w:rPr>
          <w:i/>
          <w:spacing w:val="-2"/>
          <w:sz w:val="22"/>
        </w:rPr>
        <w:t> </w:t>
      </w:r>
      <w:r>
        <w:rPr>
          <w:i/>
          <w:sz w:val="22"/>
        </w:rPr>
        <w:t>as</w:t>
      </w:r>
      <w:r>
        <w:rPr>
          <w:i/>
          <w:spacing w:val="-4"/>
          <w:sz w:val="22"/>
        </w:rPr>
        <w:t> </w:t>
      </w:r>
      <w:r>
        <w:rPr>
          <w:i/>
          <w:sz w:val="22"/>
        </w:rPr>
        <w:t>the</w:t>
      </w:r>
      <w:r>
        <w:rPr>
          <w:i/>
          <w:spacing w:val="-2"/>
          <w:sz w:val="22"/>
        </w:rPr>
        <w:t> </w:t>
      </w:r>
      <w:r>
        <w:rPr>
          <w:i/>
          <w:sz w:val="22"/>
        </w:rPr>
        <w:t>policy</w:t>
      </w:r>
      <w:r>
        <w:rPr>
          <w:i/>
          <w:spacing w:val="-4"/>
          <w:sz w:val="22"/>
        </w:rPr>
        <w:t> </w:t>
      </w:r>
      <w:r>
        <w:rPr>
          <w:i/>
          <w:sz w:val="22"/>
        </w:rPr>
        <w:t>maker</w:t>
      </w:r>
      <w:r>
        <w:rPr>
          <w:i/>
          <w:spacing w:val="-1"/>
          <w:sz w:val="22"/>
        </w:rPr>
        <w:t> </w:t>
      </w:r>
      <w:r>
        <w:rPr>
          <w:i/>
          <w:sz w:val="22"/>
        </w:rPr>
        <w:t>and</w:t>
      </w:r>
      <w:r>
        <w:rPr>
          <w:i/>
          <w:spacing w:val="-2"/>
          <w:sz w:val="22"/>
        </w:rPr>
        <w:t> </w:t>
      </w:r>
      <w:r>
        <w:rPr>
          <w:i/>
          <w:sz w:val="22"/>
        </w:rPr>
        <w:t>the</w:t>
      </w:r>
      <w:r>
        <w:rPr>
          <w:i/>
          <w:spacing w:val="-4"/>
          <w:sz w:val="22"/>
        </w:rPr>
        <w:t> </w:t>
      </w:r>
      <w:r>
        <w:rPr>
          <w:i/>
          <w:sz w:val="22"/>
        </w:rPr>
        <w:t>Energy Safe Victoria (ESV) as the independent safety regulator.” </w:t>
      </w:r>
      <w:r>
        <w:rPr>
          <w:sz w:val="22"/>
        </w:rPr>
        <w:t>(CitiPower &amp; Powercor Australia, 2017a, p. 1)</w:t>
      </w:r>
    </w:p>
    <w:p>
      <w:pPr>
        <w:pStyle w:val="BodyText"/>
        <w:spacing w:before="10"/>
        <w:rPr>
          <w:sz w:val="20"/>
        </w:rPr>
      </w:pPr>
    </w:p>
    <w:p>
      <w:pPr>
        <w:pStyle w:val="BodyText"/>
        <w:spacing w:line="288" w:lineRule="auto" w:before="1"/>
        <w:ind w:left="232" w:right="374"/>
      </w:pPr>
      <w:r>
        <w:rPr/>
        <w:t>ESV does not have a Memorandum of Understanding, or similar documented framework, with DELWP. It does have a published MOU with the former Department of Primary Industries, dating back</w:t>
      </w:r>
      <w:r>
        <w:rPr>
          <w:spacing w:val="-1"/>
        </w:rPr>
        <w:t> </w:t>
      </w:r>
      <w:r>
        <w:rPr/>
        <w:t>to</w:t>
      </w:r>
      <w:r>
        <w:rPr>
          <w:spacing w:val="-4"/>
        </w:rPr>
        <w:t> </w:t>
      </w:r>
      <w:r>
        <w:rPr/>
        <w:t>2007</w:t>
      </w:r>
      <w:r>
        <w:rPr>
          <w:spacing w:val="-4"/>
        </w:rPr>
        <w:t> </w:t>
      </w:r>
      <w:r>
        <w:rPr/>
        <w:t>when</w:t>
      </w:r>
      <w:r>
        <w:rPr>
          <w:spacing w:val="-2"/>
        </w:rPr>
        <w:t> </w:t>
      </w:r>
      <w:r>
        <w:rPr/>
        <w:t>that</w:t>
      </w:r>
      <w:r>
        <w:rPr>
          <w:spacing w:val="-5"/>
        </w:rPr>
        <w:t> </w:t>
      </w:r>
      <w:r>
        <w:rPr/>
        <w:t>department</w:t>
      </w:r>
      <w:r>
        <w:rPr>
          <w:spacing w:val="-3"/>
        </w:rPr>
        <w:t> </w:t>
      </w:r>
      <w:r>
        <w:rPr/>
        <w:t>had</w:t>
      </w:r>
      <w:r>
        <w:rPr>
          <w:spacing w:val="-4"/>
        </w:rPr>
        <w:t> </w:t>
      </w:r>
      <w:r>
        <w:rPr/>
        <w:t>responsibility</w:t>
      </w:r>
      <w:r>
        <w:rPr>
          <w:spacing w:val="-4"/>
        </w:rPr>
        <w:t> </w:t>
      </w:r>
      <w:r>
        <w:rPr/>
        <w:t>for</w:t>
      </w:r>
      <w:r>
        <w:rPr>
          <w:spacing w:val="-3"/>
        </w:rPr>
        <w:t> </w:t>
      </w:r>
      <w:r>
        <w:rPr/>
        <w:t>energy</w:t>
      </w:r>
      <w:r>
        <w:rPr>
          <w:spacing w:val="-4"/>
        </w:rPr>
        <w:t> </w:t>
      </w:r>
      <w:r>
        <w:rPr/>
        <w:t>policy.</w:t>
      </w:r>
      <w:r>
        <w:rPr>
          <w:spacing w:val="-3"/>
        </w:rPr>
        <w:t> </w:t>
      </w:r>
      <w:r>
        <w:rPr/>
        <w:t>The</w:t>
      </w:r>
      <w:r>
        <w:rPr>
          <w:spacing w:val="-2"/>
        </w:rPr>
        <w:t> </w:t>
      </w:r>
      <w:r>
        <w:rPr/>
        <w:t>MOU</w:t>
      </w:r>
      <w:r>
        <w:rPr>
          <w:spacing w:val="-2"/>
        </w:rPr>
        <w:t> </w:t>
      </w:r>
      <w:r>
        <w:rPr/>
        <w:t>is</w:t>
      </w:r>
      <w:r>
        <w:rPr>
          <w:spacing w:val="-1"/>
        </w:rPr>
        <w:t> </w:t>
      </w:r>
      <w:r>
        <w:rPr/>
        <w:t>presented</w:t>
      </w:r>
      <w:r>
        <w:rPr>
          <w:spacing w:val="-2"/>
        </w:rPr>
        <w:t> </w:t>
      </w:r>
      <w:r>
        <w:rPr/>
        <w:t>as a current document on ESV’s website and continues to be treated as a guiding document. It applies specifically to functions relating to the regulation of transmission pipelines under the </w:t>
      </w:r>
      <w:r>
        <w:rPr>
          <w:i/>
        </w:rPr>
        <w:t>Pipelines Act 2005</w:t>
      </w:r>
      <w:r>
        <w:rPr/>
        <w:t>, for which ESV and DELWP both have regulatory responsibilities.</w:t>
      </w:r>
    </w:p>
    <w:p>
      <w:pPr>
        <w:pStyle w:val="BodyText"/>
        <w:spacing w:before="10"/>
        <w:rPr>
          <w:sz w:val="20"/>
        </w:rPr>
      </w:pPr>
    </w:p>
    <w:p>
      <w:pPr>
        <w:pStyle w:val="BodyText"/>
        <w:ind w:left="232"/>
      </w:pPr>
      <w:r>
        <w:rPr/>
        <w:t>Areas</w:t>
      </w:r>
      <w:r>
        <w:rPr>
          <w:spacing w:val="-4"/>
        </w:rPr>
        <w:t> </w:t>
      </w:r>
      <w:r>
        <w:rPr/>
        <w:t>in</w:t>
      </w:r>
      <w:r>
        <w:rPr>
          <w:spacing w:val="-5"/>
        </w:rPr>
        <w:t> </w:t>
      </w:r>
      <w:r>
        <w:rPr/>
        <w:t>which</w:t>
      </w:r>
      <w:r>
        <w:rPr>
          <w:spacing w:val="-4"/>
        </w:rPr>
        <w:t> </w:t>
      </w:r>
      <w:r>
        <w:rPr/>
        <w:t>DELWP’s</w:t>
      </w:r>
      <w:r>
        <w:rPr>
          <w:spacing w:val="-7"/>
        </w:rPr>
        <w:t> </w:t>
      </w:r>
      <w:r>
        <w:rPr/>
        <w:t>Powerline</w:t>
      </w:r>
      <w:r>
        <w:rPr>
          <w:spacing w:val="-4"/>
        </w:rPr>
        <w:t> </w:t>
      </w:r>
      <w:r>
        <w:rPr/>
        <w:t>Bushfire</w:t>
      </w:r>
      <w:r>
        <w:rPr>
          <w:spacing w:val="-7"/>
        </w:rPr>
        <w:t> </w:t>
      </w:r>
      <w:r>
        <w:rPr/>
        <w:t>Safety</w:t>
      </w:r>
      <w:r>
        <w:rPr>
          <w:spacing w:val="-6"/>
        </w:rPr>
        <w:t> </w:t>
      </w:r>
      <w:r>
        <w:rPr/>
        <w:t>Program</w:t>
      </w:r>
      <w:r>
        <w:rPr>
          <w:spacing w:val="-6"/>
        </w:rPr>
        <w:t> </w:t>
      </w:r>
      <w:r>
        <w:rPr/>
        <w:t>relates</w:t>
      </w:r>
      <w:r>
        <w:rPr>
          <w:spacing w:val="-6"/>
        </w:rPr>
        <w:t> </w:t>
      </w:r>
      <w:r>
        <w:rPr/>
        <w:t>to</w:t>
      </w:r>
      <w:r>
        <w:rPr>
          <w:spacing w:val="-7"/>
        </w:rPr>
        <w:t> </w:t>
      </w:r>
      <w:r>
        <w:rPr/>
        <w:t>ESV</w:t>
      </w:r>
      <w:r>
        <w:rPr>
          <w:spacing w:val="-4"/>
        </w:rPr>
        <w:t> </w:t>
      </w:r>
      <w:r>
        <w:rPr/>
        <w:t>are</w:t>
      </w:r>
      <w:r>
        <w:rPr>
          <w:spacing w:val="-4"/>
        </w:rPr>
        <w:t> </w:t>
      </w:r>
      <w:r>
        <w:rPr/>
        <w:t>discussed</w:t>
      </w:r>
      <w:r>
        <w:rPr>
          <w:spacing w:val="-4"/>
        </w:rPr>
        <w:t> </w:t>
      </w:r>
      <w:r>
        <w:rPr>
          <w:spacing w:val="-5"/>
        </w:rPr>
        <w:t>in</w:t>
      </w:r>
    </w:p>
    <w:p>
      <w:pPr>
        <w:spacing w:before="50"/>
        <w:ind w:left="232" w:right="0" w:firstLine="0"/>
        <w:jc w:val="left"/>
        <w:rPr>
          <w:sz w:val="22"/>
        </w:rPr>
      </w:pPr>
      <w:r>
        <w:rPr>
          <w:i/>
          <w:sz w:val="22"/>
        </w:rPr>
        <w:t>Chapter</w:t>
      </w:r>
      <w:r>
        <w:rPr>
          <w:i/>
          <w:spacing w:val="-3"/>
          <w:sz w:val="22"/>
        </w:rPr>
        <w:t> </w:t>
      </w:r>
      <w:r>
        <w:rPr>
          <w:i/>
          <w:sz w:val="22"/>
        </w:rPr>
        <w:t>6:</w:t>
      </w:r>
      <w:r>
        <w:rPr>
          <w:i/>
          <w:spacing w:val="-2"/>
          <w:sz w:val="22"/>
        </w:rPr>
        <w:t> </w:t>
      </w:r>
      <w:r>
        <w:rPr>
          <w:i/>
          <w:sz w:val="22"/>
        </w:rPr>
        <w:t>Programs</w:t>
      </w:r>
      <w:r>
        <w:rPr>
          <w:i/>
          <w:spacing w:val="-5"/>
          <w:sz w:val="22"/>
        </w:rPr>
        <w:t> </w:t>
      </w:r>
      <w:r>
        <w:rPr>
          <w:i/>
          <w:sz w:val="22"/>
        </w:rPr>
        <w:t>to</w:t>
      </w:r>
      <w:r>
        <w:rPr>
          <w:i/>
          <w:spacing w:val="-8"/>
          <w:sz w:val="22"/>
        </w:rPr>
        <w:t> </w:t>
      </w:r>
      <w:r>
        <w:rPr>
          <w:i/>
          <w:sz w:val="22"/>
        </w:rPr>
        <w:t>Address</w:t>
      </w:r>
      <w:r>
        <w:rPr>
          <w:i/>
          <w:spacing w:val="-3"/>
          <w:sz w:val="22"/>
        </w:rPr>
        <w:t> </w:t>
      </w:r>
      <w:r>
        <w:rPr>
          <w:i/>
          <w:sz w:val="22"/>
        </w:rPr>
        <w:t>Bushfire</w:t>
      </w:r>
      <w:r>
        <w:rPr>
          <w:i/>
          <w:spacing w:val="-4"/>
          <w:sz w:val="22"/>
        </w:rPr>
        <w:t> </w:t>
      </w:r>
      <w:r>
        <w:rPr>
          <w:i/>
          <w:sz w:val="22"/>
        </w:rPr>
        <w:t>Risk</w:t>
      </w:r>
      <w:r>
        <w:rPr>
          <w:i/>
          <w:spacing w:val="-6"/>
          <w:sz w:val="22"/>
        </w:rPr>
        <w:t> </w:t>
      </w:r>
      <w:r>
        <w:rPr>
          <w:i/>
          <w:sz w:val="22"/>
        </w:rPr>
        <w:t>in</w:t>
      </w:r>
      <w:r>
        <w:rPr>
          <w:i/>
          <w:spacing w:val="-3"/>
          <w:sz w:val="22"/>
        </w:rPr>
        <w:t> </w:t>
      </w:r>
      <w:r>
        <w:rPr>
          <w:i/>
          <w:spacing w:val="-2"/>
          <w:sz w:val="22"/>
        </w:rPr>
        <w:t>Victoria</w:t>
      </w:r>
      <w:r>
        <w:rPr>
          <w:spacing w:val="-2"/>
          <w:sz w:val="22"/>
        </w:rPr>
        <w:t>.</w:t>
      </w:r>
    </w:p>
    <w:p>
      <w:pPr>
        <w:pStyle w:val="BodyText"/>
        <w:spacing w:before="4"/>
        <w:rPr>
          <w:sz w:val="25"/>
        </w:rPr>
      </w:pPr>
    </w:p>
    <w:p>
      <w:pPr>
        <w:pStyle w:val="BodyText"/>
        <w:spacing w:line="288" w:lineRule="auto"/>
        <w:ind w:left="232"/>
      </w:pPr>
      <w:r>
        <w:rPr/>
        <w:t>The lack of a current, formal MOU between ESV and DELWP may partly reflect the fact that departmental</w:t>
      </w:r>
      <w:r>
        <w:rPr>
          <w:spacing w:val="-5"/>
        </w:rPr>
        <w:t> </w:t>
      </w:r>
      <w:r>
        <w:rPr/>
        <w:t>responsibilities</w:t>
      </w:r>
      <w:r>
        <w:rPr>
          <w:spacing w:val="-4"/>
        </w:rPr>
        <w:t> </w:t>
      </w:r>
      <w:r>
        <w:rPr/>
        <w:t>for</w:t>
      </w:r>
      <w:r>
        <w:rPr>
          <w:spacing w:val="-1"/>
        </w:rPr>
        <w:t> </w:t>
      </w:r>
      <w:r>
        <w:rPr/>
        <w:t>energy</w:t>
      </w:r>
      <w:r>
        <w:rPr>
          <w:spacing w:val="-4"/>
        </w:rPr>
        <w:t> </w:t>
      </w:r>
      <w:r>
        <w:rPr/>
        <w:t>policy</w:t>
      </w:r>
      <w:r>
        <w:rPr>
          <w:spacing w:val="-4"/>
        </w:rPr>
        <w:t> </w:t>
      </w:r>
      <w:r>
        <w:rPr/>
        <w:t>have</w:t>
      </w:r>
      <w:r>
        <w:rPr>
          <w:spacing w:val="-2"/>
        </w:rPr>
        <w:t> </w:t>
      </w:r>
      <w:r>
        <w:rPr/>
        <w:t>been</w:t>
      </w:r>
      <w:r>
        <w:rPr>
          <w:spacing w:val="-2"/>
        </w:rPr>
        <w:t> </w:t>
      </w:r>
      <w:r>
        <w:rPr/>
        <w:t>subject</w:t>
      </w:r>
      <w:r>
        <w:rPr>
          <w:spacing w:val="-3"/>
        </w:rPr>
        <w:t> </w:t>
      </w:r>
      <w:r>
        <w:rPr/>
        <w:t>to</w:t>
      </w:r>
      <w:r>
        <w:rPr>
          <w:spacing w:val="-2"/>
        </w:rPr>
        <w:t> </w:t>
      </w:r>
      <w:r>
        <w:rPr/>
        <w:t>several</w:t>
      </w:r>
      <w:r>
        <w:rPr>
          <w:spacing w:val="-5"/>
        </w:rPr>
        <w:t> </w:t>
      </w:r>
      <w:r>
        <w:rPr/>
        <w:t>changes</w:t>
      </w:r>
      <w:r>
        <w:rPr>
          <w:spacing w:val="-2"/>
        </w:rPr>
        <w:t> </w:t>
      </w:r>
      <w:r>
        <w:rPr/>
        <w:t>within</w:t>
      </w:r>
      <w:r>
        <w:rPr>
          <w:spacing w:val="-2"/>
        </w:rPr>
        <w:t> </w:t>
      </w:r>
      <w:r>
        <w:rPr/>
        <w:t>the Victorian Government over the past decade, and were only allocated to DELWP in 2016.</w:t>
      </w:r>
    </w:p>
    <w:p>
      <w:pPr>
        <w:pStyle w:val="BodyText"/>
        <w:spacing w:before="9"/>
        <w:rPr>
          <w:sz w:val="20"/>
        </w:rPr>
      </w:pPr>
    </w:p>
    <w:p>
      <w:pPr>
        <w:pStyle w:val="BodyText"/>
        <w:spacing w:line="288" w:lineRule="auto"/>
        <w:ind w:left="232"/>
      </w:pPr>
      <w:r>
        <w:rPr/>
        <w:t>It</w:t>
      </w:r>
      <w:r>
        <w:rPr>
          <w:spacing w:val="-2"/>
        </w:rPr>
        <w:t> </w:t>
      </w:r>
      <w:r>
        <w:rPr/>
        <w:t>would</w:t>
      </w:r>
      <w:r>
        <w:rPr>
          <w:spacing w:val="-1"/>
        </w:rPr>
        <w:t> </w:t>
      </w:r>
      <w:r>
        <w:rPr/>
        <w:t>be</w:t>
      </w:r>
      <w:r>
        <w:rPr>
          <w:spacing w:val="-1"/>
        </w:rPr>
        <w:t> </w:t>
      </w:r>
      <w:r>
        <w:rPr/>
        <w:t>timely</w:t>
      </w:r>
      <w:r>
        <w:rPr>
          <w:spacing w:val="-5"/>
        </w:rPr>
        <w:t> </w:t>
      </w:r>
      <w:r>
        <w:rPr/>
        <w:t>for</w:t>
      </w:r>
      <w:r>
        <w:rPr>
          <w:spacing w:val="-2"/>
        </w:rPr>
        <w:t> </w:t>
      </w:r>
      <w:r>
        <w:rPr/>
        <w:t>an</w:t>
      </w:r>
      <w:r>
        <w:rPr>
          <w:spacing w:val="-3"/>
        </w:rPr>
        <w:t> </w:t>
      </w:r>
      <w:r>
        <w:rPr/>
        <w:t>MOU</w:t>
      </w:r>
      <w:r>
        <w:rPr>
          <w:spacing w:val="-1"/>
        </w:rPr>
        <w:t> </w:t>
      </w:r>
      <w:r>
        <w:rPr/>
        <w:t>to</w:t>
      </w:r>
      <w:r>
        <w:rPr>
          <w:spacing w:val="-1"/>
        </w:rPr>
        <w:t> </w:t>
      </w:r>
      <w:r>
        <w:rPr/>
        <w:t>be</w:t>
      </w:r>
      <w:r>
        <w:rPr>
          <w:spacing w:val="-1"/>
        </w:rPr>
        <w:t> </w:t>
      </w:r>
      <w:r>
        <w:rPr/>
        <w:t>established</w:t>
      </w:r>
      <w:r>
        <w:rPr>
          <w:spacing w:val="-1"/>
        </w:rPr>
        <w:t> </w:t>
      </w:r>
      <w:r>
        <w:rPr/>
        <w:t>between</w:t>
      </w:r>
      <w:r>
        <w:rPr>
          <w:spacing w:val="-1"/>
        </w:rPr>
        <w:t> </w:t>
      </w:r>
      <w:r>
        <w:rPr/>
        <w:t>ESV</w:t>
      </w:r>
      <w:r>
        <w:rPr>
          <w:spacing w:val="-1"/>
        </w:rPr>
        <w:t> </w:t>
      </w:r>
      <w:r>
        <w:rPr/>
        <w:t>and</w:t>
      </w:r>
      <w:r>
        <w:rPr>
          <w:spacing w:val="-1"/>
        </w:rPr>
        <w:t> </w:t>
      </w:r>
      <w:r>
        <w:rPr/>
        <w:t>DELWP</w:t>
      </w:r>
      <w:r>
        <w:rPr>
          <w:spacing w:val="-3"/>
        </w:rPr>
        <w:t> </w:t>
      </w:r>
      <w:r>
        <w:rPr/>
        <w:t>following the Victorian Government’s</w:t>
      </w:r>
      <w:r>
        <w:rPr>
          <w:spacing w:val="-2"/>
        </w:rPr>
        <w:t> </w:t>
      </w:r>
      <w:r>
        <w:rPr/>
        <w:t>consideration</w:t>
      </w:r>
      <w:r>
        <w:rPr>
          <w:spacing w:val="-3"/>
        </w:rPr>
        <w:t> </w:t>
      </w:r>
      <w:r>
        <w:rPr/>
        <w:t>of this</w:t>
      </w:r>
      <w:r>
        <w:rPr>
          <w:spacing w:val="-2"/>
        </w:rPr>
        <w:t> </w:t>
      </w:r>
      <w:r>
        <w:rPr/>
        <w:t>Final</w:t>
      </w:r>
      <w:r>
        <w:rPr>
          <w:spacing w:val="-3"/>
        </w:rPr>
        <w:t> </w:t>
      </w:r>
      <w:r>
        <w:rPr/>
        <w:t>Report.</w:t>
      </w:r>
      <w:r>
        <w:rPr>
          <w:spacing w:val="-4"/>
        </w:rPr>
        <w:t> </w:t>
      </w:r>
      <w:r>
        <w:rPr/>
        <w:t>In</w:t>
      </w:r>
      <w:r>
        <w:rPr>
          <w:spacing w:val="-3"/>
        </w:rPr>
        <w:t> </w:t>
      </w:r>
      <w:r>
        <w:rPr/>
        <w:t>developing</w:t>
      </w:r>
      <w:r>
        <w:rPr>
          <w:spacing w:val="-1"/>
        </w:rPr>
        <w:t> </w:t>
      </w:r>
      <w:r>
        <w:rPr/>
        <w:t>this</w:t>
      </w:r>
      <w:r>
        <w:rPr>
          <w:spacing w:val="-2"/>
        </w:rPr>
        <w:t> </w:t>
      </w:r>
      <w:r>
        <w:rPr/>
        <w:t>MOU,</w:t>
      </w:r>
      <w:r>
        <w:rPr>
          <w:spacing w:val="-6"/>
        </w:rPr>
        <w:t> </w:t>
      </w:r>
      <w:r>
        <w:rPr/>
        <w:t>consideration</w:t>
      </w:r>
      <w:r>
        <w:rPr>
          <w:spacing w:val="-3"/>
        </w:rPr>
        <w:t> </w:t>
      </w:r>
      <w:r>
        <w:rPr/>
        <w:t>should</w:t>
      </w:r>
      <w:r>
        <w:rPr>
          <w:spacing w:val="-5"/>
        </w:rPr>
        <w:t> </w:t>
      </w:r>
      <w:r>
        <w:rPr/>
        <w:t>be given to ensuring that regulated network businesses have clarity around the respective roles and responsibilities of ESV and DELWP. At a broad level, the MOU should recognise:</w:t>
      </w:r>
    </w:p>
    <w:p>
      <w:pPr>
        <w:spacing w:after="0" w:line="288" w:lineRule="auto"/>
        <w:sectPr>
          <w:pgSz w:w="11910" w:h="16850"/>
          <w:pgMar w:header="220" w:footer="678" w:top="420" w:bottom="860" w:left="900" w:right="840"/>
        </w:sectPr>
      </w:pPr>
    </w:p>
    <w:p>
      <w:pPr>
        <w:pStyle w:val="BodyText"/>
        <w:rPr>
          <w:sz w:val="20"/>
        </w:rPr>
      </w:pPr>
    </w:p>
    <w:p>
      <w:pPr>
        <w:pStyle w:val="BodyText"/>
        <w:spacing w:before="9"/>
        <w:rPr>
          <w:sz w:val="18"/>
        </w:rPr>
      </w:pPr>
    </w:p>
    <w:p>
      <w:pPr>
        <w:pStyle w:val="ListParagraph"/>
        <w:numPr>
          <w:ilvl w:val="0"/>
          <w:numId w:val="49"/>
        </w:numPr>
        <w:tabs>
          <w:tab w:pos="514" w:val="left" w:leader="none"/>
          <w:tab w:pos="516" w:val="left" w:leader="none"/>
        </w:tabs>
        <w:spacing w:line="285" w:lineRule="auto" w:before="115" w:after="0"/>
        <w:ind w:left="516" w:right="941" w:hanging="284"/>
        <w:jc w:val="left"/>
        <w:rPr>
          <w:sz w:val="22"/>
        </w:rPr>
      </w:pPr>
      <w:r>
        <w:rPr>
          <w:sz w:val="22"/>
        </w:rPr>
        <w:t>DELWP’s</w:t>
      </w:r>
      <w:r>
        <w:rPr>
          <w:spacing w:val="-5"/>
          <w:sz w:val="22"/>
        </w:rPr>
        <w:t> </w:t>
      </w:r>
      <w:r>
        <w:rPr>
          <w:sz w:val="22"/>
        </w:rPr>
        <w:t>role</w:t>
      </w:r>
      <w:r>
        <w:rPr>
          <w:spacing w:val="-3"/>
          <w:sz w:val="22"/>
        </w:rPr>
        <w:t> </w:t>
      </w:r>
      <w:r>
        <w:rPr>
          <w:sz w:val="22"/>
        </w:rPr>
        <w:t>in</w:t>
      </w:r>
      <w:r>
        <w:rPr>
          <w:spacing w:val="-3"/>
          <w:sz w:val="22"/>
        </w:rPr>
        <w:t> </w:t>
      </w:r>
      <w:r>
        <w:rPr>
          <w:sz w:val="22"/>
        </w:rPr>
        <w:t>developing</w:t>
      </w:r>
      <w:r>
        <w:rPr>
          <w:spacing w:val="-1"/>
          <w:sz w:val="22"/>
        </w:rPr>
        <w:t> </w:t>
      </w:r>
      <w:r>
        <w:rPr>
          <w:sz w:val="22"/>
        </w:rPr>
        <w:t>policy</w:t>
      </w:r>
      <w:r>
        <w:rPr>
          <w:spacing w:val="-5"/>
          <w:sz w:val="22"/>
        </w:rPr>
        <w:t> </w:t>
      </w:r>
      <w:r>
        <w:rPr>
          <w:sz w:val="22"/>
        </w:rPr>
        <w:t>and</w:t>
      </w:r>
      <w:r>
        <w:rPr>
          <w:spacing w:val="-3"/>
          <w:sz w:val="22"/>
        </w:rPr>
        <w:t> </w:t>
      </w:r>
      <w:r>
        <w:rPr>
          <w:sz w:val="22"/>
        </w:rPr>
        <w:t>advising</w:t>
      </w:r>
      <w:r>
        <w:rPr>
          <w:spacing w:val="-3"/>
          <w:sz w:val="22"/>
        </w:rPr>
        <w:t> </w:t>
      </w:r>
      <w:r>
        <w:rPr>
          <w:sz w:val="22"/>
        </w:rPr>
        <w:t>the</w:t>
      </w:r>
      <w:r>
        <w:rPr>
          <w:spacing w:val="-3"/>
          <w:sz w:val="22"/>
        </w:rPr>
        <w:t> </w:t>
      </w:r>
      <w:r>
        <w:rPr>
          <w:sz w:val="22"/>
        </w:rPr>
        <w:t>Minister</w:t>
      </w:r>
      <w:r>
        <w:rPr>
          <w:spacing w:val="-4"/>
          <w:sz w:val="22"/>
        </w:rPr>
        <w:t> </w:t>
      </w:r>
      <w:r>
        <w:rPr>
          <w:sz w:val="22"/>
        </w:rPr>
        <w:t>for</w:t>
      </w:r>
      <w:r>
        <w:rPr>
          <w:spacing w:val="-4"/>
          <w:sz w:val="22"/>
        </w:rPr>
        <w:t> </w:t>
      </w:r>
      <w:r>
        <w:rPr>
          <w:sz w:val="22"/>
        </w:rPr>
        <w:t>Energy,</w:t>
      </w:r>
      <w:r>
        <w:rPr>
          <w:spacing w:val="-1"/>
          <w:sz w:val="22"/>
        </w:rPr>
        <w:t> </w:t>
      </w:r>
      <w:r>
        <w:rPr>
          <w:sz w:val="22"/>
        </w:rPr>
        <w:t>Environment</w:t>
      </w:r>
      <w:r>
        <w:rPr>
          <w:spacing w:val="-1"/>
          <w:sz w:val="22"/>
        </w:rPr>
        <w:t> </w:t>
      </w:r>
      <w:r>
        <w:rPr>
          <w:sz w:val="22"/>
        </w:rPr>
        <w:t>and Climate Change on energy policy matters;</w:t>
      </w:r>
    </w:p>
    <w:p>
      <w:pPr>
        <w:pStyle w:val="ListParagraph"/>
        <w:numPr>
          <w:ilvl w:val="0"/>
          <w:numId w:val="49"/>
        </w:numPr>
        <w:tabs>
          <w:tab w:pos="514" w:val="left" w:leader="none"/>
        </w:tabs>
        <w:spacing w:line="240" w:lineRule="auto" w:before="20" w:after="0"/>
        <w:ind w:left="514" w:right="0" w:hanging="282"/>
        <w:jc w:val="left"/>
        <w:rPr>
          <w:sz w:val="22"/>
        </w:rPr>
      </w:pPr>
      <w:r>
        <w:rPr>
          <w:sz w:val="22"/>
        </w:rPr>
        <w:t>ESV’s</w:t>
      </w:r>
      <w:r>
        <w:rPr>
          <w:spacing w:val="-3"/>
          <w:sz w:val="22"/>
        </w:rPr>
        <w:t> </w:t>
      </w:r>
      <w:r>
        <w:rPr>
          <w:sz w:val="22"/>
        </w:rPr>
        <w:t>role</w:t>
      </w:r>
      <w:r>
        <w:rPr>
          <w:spacing w:val="-4"/>
          <w:sz w:val="22"/>
        </w:rPr>
        <w:t> </w:t>
      </w:r>
      <w:r>
        <w:rPr>
          <w:sz w:val="22"/>
        </w:rPr>
        <w:t>as</w:t>
      </w:r>
      <w:r>
        <w:rPr>
          <w:spacing w:val="-4"/>
          <w:sz w:val="22"/>
        </w:rPr>
        <w:t> </w:t>
      </w:r>
      <w:r>
        <w:rPr>
          <w:sz w:val="22"/>
        </w:rPr>
        <w:t>the</w:t>
      </w:r>
      <w:r>
        <w:rPr>
          <w:spacing w:val="-5"/>
          <w:sz w:val="22"/>
        </w:rPr>
        <w:t> </w:t>
      </w:r>
      <w:r>
        <w:rPr>
          <w:sz w:val="22"/>
        </w:rPr>
        <w:t>regulator</w:t>
      </w:r>
      <w:r>
        <w:rPr>
          <w:spacing w:val="-3"/>
          <w:sz w:val="22"/>
        </w:rPr>
        <w:t> </w:t>
      </w:r>
      <w:r>
        <w:rPr>
          <w:sz w:val="22"/>
        </w:rPr>
        <w:t>of</w:t>
      </w:r>
      <w:r>
        <w:rPr>
          <w:spacing w:val="-2"/>
          <w:sz w:val="22"/>
        </w:rPr>
        <w:t> </w:t>
      </w:r>
      <w:r>
        <w:rPr>
          <w:sz w:val="22"/>
        </w:rPr>
        <w:t>electricity</w:t>
      </w:r>
      <w:r>
        <w:rPr>
          <w:spacing w:val="-5"/>
          <w:sz w:val="22"/>
        </w:rPr>
        <w:t> </w:t>
      </w:r>
      <w:r>
        <w:rPr>
          <w:sz w:val="22"/>
        </w:rPr>
        <w:t>and</w:t>
      </w:r>
      <w:r>
        <w:rPr>
          <w:spacing w:val="-5"/>
          <w:sz w:val="22"/>
        </w:rPr>
        <w:t> </w:t>
      </w:r>
      <w:r>
        <w:rPr>
          <w:sz w:val="22"/>
        </w:rPr>
        <w:t>gas</w:t>
      </w:r>
      <w:r>
        <w:rPr>
          <w:spacing w:val="-6"/>
          <w:sz w:val="22"/>
        </w:rPr>
        <w:t> </w:t>
      </w:r>
      <w:r>
        <w:rPr>
          <w:sz w:val="22"/>
        </w:rPr>
        <w:t>safety;</w:t>
      </w:r>
      <w:r>
        <w:rPr>
          <w:spacing w:val="-1"/>
          <w:sz w:val="22"/>
        </w:rPr>
        <w:t> </w:t>
      </w:r>
      <w:r>
        <w:rPr>
          <w:spacing w:val="-5"/>
          <w:sz w:val="22"/>
        </w:rPr>
        <w:t>and</w:t>
      </w:r>
    </w:p>
    <w:p>
      <w:pPr>
        <w:pStyle w:val="ListParagraph"/>
        <w:numPr>
          <w:ilvl w:val="0"/>
          <w:numId w:val="49"/>
        </w:numPr>
        <w:tabs>
          <w:tab w:pos="514" w:val="left" w:leader="none"/>
        </w:tabs>
        <w:spacing w:line="240" w:lineRule="auto" w:before="64" w:after="0"/>
        <w:ind w:left="514" w:right="0" w:hanging="282"/>
        <w:jc w:val="left"/>
        <w:rPr>
          <w:sz w:val="22"/>
        </w:rPr>
      </w:pPr>
      <w:r>
        <w:rPr>
          <w:sz w:val="22"/>
        </w:rPr>
        <w:t>DELWP’s</w:t>
      </w:r>
      <w:r>
        <w:rPr>
          <w:spacing w:val="-9"/>
          <w:sz w:val="22"/>
        </w:rPr>
        <w:t> </w:t>
      </w:r>
      <w:r>
        <w:rPr>
          <w:sz w:val="22"/>
        </w:rPr>
        <w:t>roles</w:t>
      </w:r>
      <w:r>
        <w:rPr>
          <w:spacing w:val="-5"/>
          <w:sz w:val="22"/>
        </w:rPr>
        <w:t> </w:t>
      </w:r>
      <w:r>
        <w:rPr>
          <w:sz w:val="22"/>
        </w:rPr>
        <w:t>in</w:t>
      </w:r>
      <w:r>
        <w:rPr>
          <w:spacing w:val="-7"/>
          <w:sz w:val="22"/>
        </w:rPr>
        <w:t> </w:t>
      </w:r>
      <w:r>
        <w:rPr>
          <w:sz w:val="22"/>
        </w:rPr>
        <w:t>relation</w:t>
      </w:r>
      <w:r>
        <w:rPr>
          <w:spacing w:val="-5"/>
          <w:sz w:val="22"/>
        </w:rPr>
        <w:t> </w:t>
      </w:r>
      <w:r>
        <w:rPr>
          <w:sz w:val="22"/>
        </w:rPr>
        <w:t>to</w:t>
      </w:r>
      <w:r>
        <w:rPr>
          <w:spacing w:val="-7"/>
          <w:sz w:val="22"/>
        </w:rPr>
        <w:t> </w:t>
      </w:r>
      <w:r>
        <w:rPr>
          <w:sz w:val="22"/>
        </w:rPr>
        <w:t>planning</w:t>
      </w:r>
      <w:r>
        <w:rPr>
          <w:spacing w:val="-5"/>
          <w:sz w:val="22"/>
        </w:rPr>
        <w:t> </w:t>
      </w:r>
      <w:r>
        <w:rPr>
          <w:sz w:val="22"/>
        </w:rPr>
        <w:t>and</w:t>
      </w:r>
      <w:r>
        <w:rPr>
          <w:spacing w:val="-5"/>
          <w:sz w:val="22"/>
        </w:rPr>
        <w:t> </w:t>
      </w:r>
      <w:r>
        <w:rPr>
          <w:sz w:val="22"/>
        </w:rPr>
        <w:t>environmental</w:t>
      </w:r>
      <w:r>
        <w:rPr>
          <w:spacing w:val="-7"/>
          <w:sz w:val="22"/>
        </w:rPr>
        <w:t> </w:t>
      </w:r>
      <w:r>
        <w:rPr>
          <w:spacing w:val="-2"/>
          <w:sz w:val="22"/>
        </w:rPr>
        <w:t>regulation.</w:t>
      </w:r>
    </w:p>
    <w:p>
      <w:pPr>
        <w:pStyle w:val="BodyText"/>
        <w:spacing w:before="2"/>
        <w:rPr>
          <w:sz w:val="25"/>
        </w:rPr>
      </w:pPr>
    </w:p>
    <w:p>
      <w:pPr>
        <w:pStyle w:val="BodyText"/>
        <w:spacing w:line="288" w:lineRule="auto"/>
        <w:ind w:left="232" w:right="374"/>
      </w:pPr>
      <w:r>
        <w:rPr/>
        <w:t>The arrangements should recognise, and help preserve, ESV’s independence in regulatory decision</w:t>
      </w:r>
      <w:r>
        <w:rPr>
          <w:spacing w:val="-1"/>
        </w:rPr>
        <w:t> </w:t>
      </w:r>
      <w:r>
        <w:rPr/>
        <w:t>making,</w:t>
      </w:r>
      <w:r>
        <w:rPr>
          <w:spacing w:val="-3"/>
        </w:rPr>
        <w:t> </w:t>
      </w:r>
      <w:r>
        <w:rPr/>
        <w:t>and</w:t>
      </w:r>
      <w:r>
        <w:rPr>
          <w:spacing w:val="-4"/>
        </w:rPr>
        <w:t> </w:t>
      </w:r>
      <w:r>
        <w:rPr/>
        <w:t>the</w:t>
      </w:r>
      <w:r>
        <w:rPr>
          <w:spacing w:val="-4"/>
        </w:rPr>
        <w:t> </w:t>
      </w:r>
      <w:r>
        <w:rPr/>
        <w:t>department’s</w:t>
      </w:r>
      <w:r>
        <w:rPr>
          <w:spacing w:val="-4"/>
        </w:rPr>
        <w:t> </w:t>
      </w:r>
      <w:r>
        <w:rPr/>
        <w:t>role</w:t>
      </w:r>
      <w:r>
        <w:rPr>
          <w:spacing w:val="-2"/>
        </w:rPr>
        <w:t> </w:t>
      </w:r>
      <w:r>
        <w:rPr/>
        <w:t>as</w:t>
      </w:r>
      <w:r>
        <w:rPr>
          <w:spacing w:val="-3"/>
        </w:rPr>
        <w:t> </w:t>
      </w:r>
      <w:r>
        <w:rPr/>
        <w:t>the</w:t>
      </w:r>
      <w:r>
        <w:rPr>
          <w:spacing w:val="-4"/>
        </w:rPr>
        <w:t> </w:t>
      </w:r>
      <w:r>
        <w:rPr/>
        <w:t>principal</w:t>
      </w:r>
      <w:r>
        <w:rPr>
          <w:spacing w:val="-2"/>
        </w:rPr>
        <w:t> </w:t>
      </w:r>
      <w:r>
        <w:rPr/>
        <w:t>source</w:t>
      </w:r>
      <w:r>
        <w:rPr>
          <w:spacing w:val="-4"/>
        </w:rPr>
        <w:t> </w:t>
      </w:r>
      <w:r>
        <w:rPr/>
        <w:t>of policy</w:t>
      </w:r>
      <w:r>
        <w:rPr>
          <w:spacing w:val="-4"/>
        </w:rPr>
        <w:t> </w:t>
      </w:r>
      <w:r>
        <w:rPr/>
        <w:t>advice</w:t>
      </w:r>
      <w:r>
        <w:rPr>
          <w:spacing w:val="-2"/>
        </w:rPr>
        <w:t> </w:t>
      </w:r>
      <w:r>
        <w:rPr/>
        <w:t>to</w:t>
      </w:r>
      <w:r>
        <w:rPr>
          <w:spacing w:val="-2"/>
        </w:rPr>
        <w:t> </w:t>
      </w:r>
      <w:r>
        <w:rPr/>
        <w:t>the</w:t>
      </w:r>
      <w:r>
        <w:rPr>
          <w:spacing w:val="-2"/>
        </w:rPr>
        <w:t> </w:t>
      </w:r>
      <w:r>
        <w:rPr/>
        <w:t>Minister for Energy, Environment and Climate Change.</w:t>
      </w:r>
    </w:p>
    <w:p>
      <w:pPr>
        <w:pStyle w:val="BodyText"/>
        <w:spacing w:before="10"/>
        <w:rPr>
          <w:sz w:val="18"/>
        </w:rPr>
      </w:pPr>
      <w:r>
        <w:rPr/>
        <mc:AlternateContent>
          <mc:Choice Requires="wps">
            <w:drawing>
              <wp:anchor distT="0" distB="0" distL="0" distR="0" allowOverlap="1" layoutInCell="1" locked="0" behindDoc="1" simplePos="0" relativeHeight="487632384">
                <wp:simplePos x="0" y="0"/>
                <wp:positionH relativeFrom="page">
                  <wp:posOffset>719327</wp:posOffset>
                </wp:positionH>
                <wp:positionV relativeFrom="paragraph">
                  <wp:posOffset>153538</wp:posOffset>
                </wp:positionV>
                <wp:extent cx="5870575" cy="1863089"/>
                <wp:effectExtent l="0" t="0" r="0" b="0"/>
                <wp:wrapTopAndBottom/>
                <wp:docPr id="150" name="Textbox 150"/>
                <wp:cNvGraphicFramePr>
                  <a:graphicFrameLocks/>
                </wp:cNvGraphicFramePr>
                <a:graphic>
                  <a:graphicData uri="http://schemas.microsoft.com/office/word/2010/wordprocessingShape">
                    <wps:wsp>
                      <wps:cNvPr id="150" name="Textbox 150"/>
                      <wps:cNvSpPr txBox="1"/>
                      <wps:spPr>
                        <a:xfrm>
                          <a:off x="0" y="0"/>
                          <a:ext cx="5870575" cy="1863089"/>
                        </a:xfrm>
                        <a:prstGeom prst="rect">
                          <a:avLst/>
                        </a:prstGeom>
                        <a:solidFill>
                          <a:srgbClr val="D9D9D9"/>
                        </a:solidFill>
                      </wps:spPr>
                      <wps:txbx>
                        <w:txbxContent>
                          <w:p>
                            <w:pPr>
                              <w:pStyle w:val="BodyText"/>
                              <w:spacing w:before="6"/>
                              <w:rPr>
                                <w:color w:val="000000"/>
                                <w:sz w:val="36"/>
                              </w:rPr>
                            </w:pPr>
                          </w:p>
                          <w:p>
                            <w:pPr>
                              <w:spacing w:before="0"/>
                              <w:ind w:left="141" w:right="0" w:firstLine="0"/>
                              <w:jc w:val="left"/>
                              <w:rPr>
                                <w:b/>
                                <w:color w:val="000000"/>
                                <w:sz w:val="24"/>
                              </w:rPr>
                            </w:pPr>
                            <w:r>
                              <w:rPr>
                                <w:b/>
                                <w:color w:val="000000"/>
                                <w:spacing w:val="-2"/>
                                <w:sz w:val="24"/>
                              </w:rPr>
                              <w:t>Recommendation</w:t>
                            </w:r>
                            <w:r>
                              <w:rPr>
                                <w:b/>
                                <w:color w:val="000000"/>
                                <w:sz w:val="24"/>
                              </w:rPr>
                              <w:t> </w:t>
                            </w:r>
                            <w:r>
                              <w:rPr>
                                <w:b/>
                                <w:color w:val="000000"/>
                                <w:spacing w:val="-5"/>
                                <w:sz w:val="24"/>
                              </w:rPr>
                              <w:t>17</w:t>
                            </w:r>
                          </w:p>
                          <w:p>
                            <w:pPr>
                              <w:pStyle w:val="BodyText"/>
                              <w:spacing w:line="288" w:lineRule="auto" w:before="175"/>
                              <w:ind w:left="112" w:right="140"/>
                              <w:rPr>
                                <w:color w:val="000000"/>
                              </w:rPr>
                            </w:pPr>
                            <w:r>
                              <w:rPr>
                                <w:color w:val="000000"/>
                              </w:rPr>
                              <w:t>ESV and DELWP should jointly develop an MOU to help manage their respective responsibilities. This should replace the MOU with the former Department of Primary Industries</w:t>
                            </w:r>
                            <w:r>
                              <w:rPr>
                                <w:color w:val="000000"/>
                                <w:spacing w:val="-3"/>
                              </w:rPr>
                              <w:t> </w:t>
                            </w:r>
                            <w:r>
                              <w:rPr>
                                <w:color w:val="000000"/>
                              </w:rPr>
                              <w:t>and</w:t>
                            </w:r>
                            <w:r>
                              <w:rPr>
                                <w:color w:val="000000"/>
                                <w:spacing w:val="-5"/>
                              </w:rPr>
                              <w:t> </w:t>
                            </w:r>
                            <w:r>
                              <w:rPr>
                                <w:color w:val="000000"/>
                              </w:rPr>
                              <w:t>update</w:t>
                            </w:r>
                            <w:r>
                              <w:rPr>
                                <w:color w:val="000000"/>
                                <w:spacing w:val="-5"/>
                              </w:rPr>
                              <w:t> </w:t>
                            </w:r>
                            <w:r>
                              <w:rPr>
                                <w:color w:val="000000"/>
                              </w:rPr>
                              <w:t>the</w:t>
                            </w:r>
                            <w:r>
                              <w:rPr>
                                <w:color w:val="000000"/>
                                <w:spacing w:val="-3"/>
                              </w:rPr>
                              <w:t> </w:t>
                            </w:r>
                            <w:r>
                              <w:rPr>
                                <w:color w:val="000000"/>
                              </w:rPr>
                              <w:t>arrangements</w:t>
                            </w:r>
                            <w:r>
                              <w:rPr>
                                <w:color w:val="000000"/>
                                <w:spacing w:val="-5"/>
                              </w:rPr>
                              <w:t> </w:t>
                            </w:r>
                            <w:r>
                              <w:rPr>
                                <w:color w:val="000000"/>
                              </w:rPr>
                              <w:t>to</w:t>
                            </w:r>
                            <w:r>
                              <w:rPr>
                                <w:color w:val="000000"/>
                                <w:spacing w:val="-5"/>
                              </w:rPr>
                              <w:t> </w:t>
                            </w:r>
                            <w:r>
                              <w:rPr>
                                <w:color w:val="000000"/>
                              </w:rPr>
                              <w:t>reflect</w:t>
                            </w:r>
                            <w:r>
                              <w:rPr>
                                <w:color w:val="000000"/>
                                <w:spacing w:val="-4"/>
                              </w:rPr>
                              <w:t> </w:t>
                            </w:r>
                            <w:r>
                              <w:rPr>
                                <w:color w:val="000000"/>
                              </w:rPr>
                              <w:t>the</w:t>
                            </w:r>
                            <w:r>
                              <w:rPr>
                                <w:color w:val="000000"/>
                                <w:spacing w:val="-5"/>
                              </w:rPr>
                              <w:t> </w:t>
                            </w:r>
                            <w:r>
                              <w:rPr>
                                <w:color w:val="000000"/>
                              </w:rPr>
                              <w:t>current</w:t>
                            </w:r>
                            <w:r>
                              <w:rPr>
                                <w:color w:val="000000"/>
                                <w:spacing w:val="-4"/>
                              </w:rPr>
                              <w:t> </w:t>
                            </w:r>
                            <w:r>
                              <w:rPr>
                                <w:color w:val="000000"/>
                              </w:rPr>
                              <w:t>allocation</w:t>
                            </w:r>
                            <w:r>
                              <w:rPr>
                                <w:color w:val="000000"/>
                                <w:spacing w:val="-3"/>
                              </w:rPr>
                              <w:t> </w:t>
                            </w:r>
                            <w:r>
                              <w:rPr>
                                <w:color w:val="000000"/>
                              </w:rPr>
                              <w:t>of</w:t>
                            </w:r>
                            <w:r>
                              <w:rPr>
                                <w:color w:val="000000"/>
                                <w:spacing w:val="-4"/>
                              </w:rPr>
                              <w:t> </w:t>
                            </w:r>
                            <w:r>
                              <w:rPr>
                                <w:color w:val="000000"/>
                              </w:rPr>
                              <w:t>responsibilities between ESV and the department. The MOU should recognise and facilitate ESV’s independence in regulatory decision making, and the department’s role as the principal source of policy advice to the Minister for Energy, Environment and Climate Change.</w:t>
                            </w:r>
                          </w:p>
                        </w:txbxContent>
                      </wps:txbx>
                      <wps:bodyPr wrap="square" lIns="0" tIns="0" rIns="0" bIns="0" rtlCol="0">
                        <a:noAutofit/>
                      </wps:bodyPr>
                    </wps:wsp>
                  </a:graphicData>
                </a:graphic>
              </wp:anchor>
            </w:drawing>
          </mc:Choice>
          <mc:Fallback>
            <w:pict>
              <v:shape style="position:absolute;margin-left:56.639999pt;margin-top:12.089648pt;width:462.25pt;height:146.7pt;mso-position-horizontal-relative:page;mso-position-vertical-relative:paragraph;z-index:-15684096;mso-wrap-distance-left:0;mso-wrap-distance-right:0" type="#_x0000_t202" id="docshape134" filled="true" fillcolor="#d9d9d9" stroked="false">
                <v:textbox inset="0,0,0,0">
                  <w:txbxContent>
                    <w:p>
                      <w:pPr>
                        <w:pStyle w:val="BodyText"/>
                        <w:spacing w:before="6"/>
                        <w:rPr>
                          <w:color w:val="000000"/>
                          <w:sz w:val="36"/>
                        </w:rPr>
                      </w:pPr>
                    </w:p>
                    <w:p>
                      <w:pPr>
                        <w:spacing w:before="0"/>
                        <w:ind w:left="141" w:right="0" w:firstLine="0"/>
                        <w:jc w:val="left"/>
                        <w:rPr>
                          <w:b/>
                          <w:color w:val="000000"/>
                          <w:sz w:val="24"/>
                        </w:rPr>
                      </w:pPr>
                      <w:r>
                        <w:rPr>
                          <w:b/>
                          <w:color w:val="000000"/>
                          <w:spacing w:val="-2"/>
                          <w:sz w:val="24"/>
                        </w:rPr>
                        <w:t>Recommendation</w:t>
                      </w:r>
                      <w:r>
                        <w:rPr>
                          <w:b/>
                          <w:color w:val="000000"/>
                          <w:sz w:val="24"/>
                        </w:rPr>
                        <w:t> </w:t>
                      </w:r>
                      <w:r>
                        <w:rPr>
                          <w:b/>
                          <w:color w:val="000000"/>
                          <w:spacing w:val="-5"/>
                          <w:sz w:val="24"/>
                        </w:rPr>
                        <w:t>17</w:t>
                      </w:r>
                    </w:p>
                    <w:p>
                      <w:pPr>
                        <w:pStyle w:val="BodyText"/>
                        <w:spacing w:line="288" w:lineRule="auto" w:before="175"/>
                        <w:ind w:left="112" w:right="140"/>
                        <w:rPr>
                          <w:color w:val="000000"/>
                        </w:rPr>
                      </w:pPr>
                      <w:r>
                        <w:rPr>
                          <w:color w:val="000000"/>
                        </w:rPr>
                        <w:t>ESV and DELWP should jointly develop an MOU to help manage their respective responsibilities. This should replace the MOU with the former Department of Primary Industries</w:t>
                      </w:r>
                      <w:r>
                        <w:rPr>
                          <w:color w:val="000000"/>
                          <w:spacing w:val="-3"/>
                        </w:rPr>
                        <w:t> </w:t>
                      </w:r>
                      <w:r>
                        <w:rPr>
                          <w:color w:val="000000"/>
                        </w:rPr>
                        <w:t>and</w:t>
                      </w:r>
                      <w:r>
                        <w:rPr>
                          <w:color w:val="000000"/>
                          <w:spacing w:val="-5"/>
                        </w:rPr>
                        <w:t> </w:t>
                      </w:r>
                      <w:r>
                        <w:rPr>
                          <w:color w:val="000000"/>
                        </w:rPr>
                        <w:t>update</w:t>
                      </w:r>
                      <w:r>
                        <w:rPr>
                          <w:color w:val="000000"/>
                          <w:spacing w:val="-5"/>
                        </w:rPr>
                        <w:t> </w:t>
                      </w:r>
                      <w:r>
                        <w:rPr>
                          <w:color w:val="000000"/>
                        </w:rPr>
                        <w:t>the</w:t>
                      </w:r>
                      <w:r>
                        <w:rPr>
                          <w:color w:val="000000"/>
                          <w:spacing w:val="-3"/>
                        </w:rPr>
                        <w:t> </w:t>
                      </w:r>
                      <w:r>
                        <w:rPr>
                          <w:color w:val="000000"/>
                        </w:rPr>
                        <w:t>arrangements</w:t>
                      </w:r>
                      <w:r>
                        <w:rPr>
                          <w:color w:val="000000"/>
                          <w:spacing w:val="-5"/>
                        </w:rPr>
                        <w:t> </w:t>
                      </w:r>
                      <w:r>
                        <w:rPr>
                          <w:color w:val="000000"/>
                        </w:rPr>
                        <w:t>to</w:t>
                      </w:r>
                      <w:r>
                        <w:rPr>
                          <w:color w:val="000000"/>
                          <w:spacing w:val="-5"/>
                        </w:rPr>
                        <w:t> </w:t>
                      </w:r>
                      <w:r>
                        <w:rPr>
                          <w:color w:val="000000"/>
                        </w:rPr>
                        <w:t>reflect</w:t>
                      </w:r>
                      <w:r>
                        <w:rPr>
                          <w:color w:val="000000"/>
                          <w:spacing w:val="-4"/>
                        </w:rPr>
                        <w:t> </w:t>
                      </w:r>
                      <w:r>
                        <w:rPr>
                          <w:color w:val="000000"/>
                        </w:rPr>
                        <w:t>the</w:t>
                      </w:r>
                      <w:r>
                        <w:rPr>
                          <w:color w:val="000000"/>
                          <w:spacing w:val="-5"/>
                        </w:rPr>
                        <w:t> </w:t>
                      </w:r>
                      <w:r>
                        <w:rPr>
                          <w:color w:val="000000"/>
                        </w:rPr>
                        <w:t>current</w:t>
                      </w:r>
                      <w:r>
                        <w:rPr>
                          <w:color w:val="000000"/>
                          <w:spacing w:val="-4"/>
                        </w:rPr>
                        <w:t> </w:t>
                      </w:r>
                      <w:r>
                        <w:rPr>
                          <w:color w:val="000000"/>
                        </w:rPr>
                        <w:t>allocation</w:t>
                      </w:r>
                      <w:r>
                        <w:rPr>
                          <w:color w:val="000000"/>
                          <w:spacing w:val="-3"/>
                        </w:rPr>
                        <w:t> </w:t>
                      </w:r>
                      <w:r>
                        <w:rPr>
                          <w:color w:val="000000"/>
                        </w:rPr>
                        <w:t>of</w:t>
                      </w:r>
                      <w:r>
                        <w:rPr>
                          <w:color w:val="000000"/>
                          <w:spacing w:val="-4"/>
                        </w:rPr>
                        <w:t> </w:t>
                      </w:r>
                      <w:r>
                        <w:rPr>
                          <w:color w:val="000000"/>
                        </w:rPr>
                        <w:t>responsibilities between ESV and the department. The MOU should recognise and facilitate ESV’s independence in regulatory decision making, and the department’s role as the principal source of policy advice to the Minister for Energy, Environment and Climate Change.</w:t>
                      </w:r>
                    </w:p>
                  </w:txbxContent>
                </v:textbox>
                <v:fill type="solid"/>
                <w10:wrap type="topAndBottom"/>
              </v:shape>
            </w:pict>
          </mc:Fallback>
        </mc:AlternateContent>
      </w:r>
    </w:p>
    <w:p>
      <w:pPr>
        <w:pStyle w:val="BodyText"/>
        <w:spacing w:before="6"/>
        <w:rPr>
          <w:sz w:val="23"/>
        </w:rPr>
      </w:pPr>
    </w:p>
    <w:p>
      <w:pPr>
        <w:pStyle w:val="Heading4"/>
        <w:spacing w:line="288" w:lineRule="auto"/>
      </w:pPr>
      <w:r>
        <w:rPr>
          <w:color w:val="585858"/>
        </w:rPr>
        <w:t>Relationship</w:t>
      </w:r>
      <w:r>
        <w:rPr>
          <w:color w:val="585858"/>
          <w:spacing w:val="-6"/>
        </w:rPr>
        <w:t> </w:t>
      </w:r>
      <w:r>
        <w:rPr>
          <w:color w:val="585858"/>
        </w:rPr>
        <w:t>between</w:t>
      </w:r>
      <w:r>
        <w:rPr>
          <w:color w:val="585858"/>
          <w:spacing w:val="-7"/>
        </w:rPr>
        <w:t> </w:t>
      </w:r>
      <w:r>
        <w:rPr>
          <w:color w:val="585858"/>
        </w:rPr>
        <w:t>ESV</w:t>
      </w:r>
      <w:r>
        <w:rPr>
          <w:color w:val="585858"/>
          <w:spacing w:val="-7"/>
        </w:rPr>
        <w:t> </w:t>
      </w:r>
      <w:r>
        <w:rPr>
          <w:color w:val="585858"/>
        </w:rPr>
        <w:t>and</w:t>
      </w:r>
      <w:r>
        <w:rPr>
          <w:color w:val="585858"/>
          <w:spacing w:val="-5"/>
        </w:rPr>
        <w:t> </w:t>
      </w:r>
      <w:r>
        <w:rPr>
          <w:color w:val="585858"/>
        </w:rPr>
        <w:t>the</w:t>
      </w:r>
      <w:r>
        <w:rPr>
          <w:color w:val="585858"/>
          <w:spacing w:val="-7"/>
        </w:rPr>
        <w:t> </w:t>
      </w:r>
      <w:r>
        <w:rPr>
          <w:color w:val="585858"/>
        </w:rPr>
        <w:t>Essential</w:t>
      </w:r>
      <w:r>
        <w:rPr>
          <w:color w:val="585858"/>
          <w:spacing w:val="-7"/>
        </w:rPr>
        <w:t> </w:t>
      </w:r>
      <w:r>
        <w:rPr>
          <w:color w:val="585858"/>
        </w:rPr>
        <w:t>Services </w:t>
      </w:r>
      <w:r>
        <w:rPr>
          <w:color w:val="585858"/>
          <w:spacing w:val="-2"/>
        </w:rPr>
        <w:t>Commission</w:t>
      </w:r>
    </w:p>
    <w:p>
      <w:pPr>
        <w:pStyle w:val="BodyText"/>
        <w:spacing w:line="288" w:lineRule="auto" w:before="240"/>
        <w:ind w:left="232" w:right="408"/>
      </w:pPr>
      <w:r>
        <w:rPr/>
        <w:t>The ESC licenses energy network businesses involved in the supply of electricity and gas in Victoria.</w:t>
      </w:r>
      <w:r>
        <w:rPr>
          <w:spacing w:val="-3"/>
        </w:rPr>
        <w:t> </w:t>
      </w:r>
      <w:r>
        <w:rPr/>
        <w:t>The</w:t>
      </w:r>
      <w:r>
        <w:rPr>
          <w:spacing w:val="-4"/>
        </w:rPr>
        <w:t> </w:t>
      </w:r>
      <w:r>
        <w:rPr/>
        <w:t>ESC</w:t>
      </w:r>
      <w:r>
        <w:rPr>
          <w:spacing w:val="-2"/>
        </w:rPr>
        <w:t> </w:t>
      </w:r>
      <w:r>
        <w:rPr/>
        <w:t>also</w:t>
      </w:r>
      <w:r>
        <w:rPr>
          <w:spacing w:val="-4"/>
        </w:rPr>
        <w:t> </w:t>
      </w:r>
      <w:r>
        <w:rPr/>
        <w:t>regulates</w:t>
      </w:r>
      <w:r>
        <w:rPr>
          <w:spacing w:val="-4"/>
        </w:rPr>
        <w:t> </w:t>
      </w:r>
      <w:r>
        <w:rPr/>
        <w:t>the</w:t>
      </w:r>
      <w:r>
        <w:rPr>
          <w:spacing w:val="-4"/>
        </w:rPr>
        <w:t> </w:t>
      </w:r>
      <w:r>
        <w:rPr/>
        <w:t>retail</w:t>
      </w:r>
      <w:r>
        <w:rPr>
          <w:spacing w:val="-2"/>
        </w:rPr>
        <w:t> </w:t>
      </w:r>
      <w:r>
        <w:rPr/>
        <w:t>sale</w:t>
      </w:r>
      <w:r>
        <w:rPr>
          <w:spacing w:val="-2"/>
        </w:rPr>
        <w:t> </w:t>
      </w:r>
      <w:r>
        <w:rPr/>
        <w:t>of</w:t>
      </w:r>
      <w:r>
        <w:rPr>
          <w:spacing w:val="-3"/>
        </w:rPr>
        <w:t> </w:t>
      </w:r>
      <w:r>
        <w:rPr/>
        <w:t>energy</w:t>
      </w:r>
      <w:r>
        <w:rPr>
          <w:spacing w:val="-4"/>
        </w:rPr>
        <w:t> </w:t>
      </w:r>
      <w:r>
        <w:rPr/>
        <w:t>and</w:t>
      </w:r>
      <w:r>
        <w:rPr>
          <w:spacing w:val="-4"/>
        </w:rPr>
        <w:t> </w:t>
      </w:r>
      <w:r>
        <w:rPr/>
        <w:t>the</w:t>
      </w:r>
      <w:r>
        <w:rPr>
          <w:spacing w:val="-4"/>
        </w:rPr>
        <w:t> </w:t>
      </w:r>
      <w:r>
        <w:rPr/>
        <w:t>consumer</w:t>
      </w:r>
      <w:r>
        <w:rPr>
          <w:spacing w:val="-1"/>
        </w:rPr>
        <w:t> </w:t>
      </w:r>
      <w:r>
        <w:rPr/>
        <w:t>service</w:t>
      </w:r>
      <w:r>
        <w:rPr>
          <w:spacing w:val="-2"/>
        </w:rPr>
        <w:t> </w:t>
      </w:r>
      <w:r>
        <w:rPr/>
        <w:t>standards</w:t>
      </w:r>
      <w:r>
        <w:rPr>
          <w:spacing w:val="-4"/>
        </w:rPr>
        <w:t> </w:t>
      </w:r>
      <w:r>
        <w:rPr/>
        <w:t>for energy distribution.</w:t>
      </w:r>
    </w:p>
    <w:p>
      <w:pPr>
        <w:pStyle w:val="BodyText"/>
        <w:spacing w:before="9"/>
        <w:rPr>
          <w:sz w:val="20"/>
        </w:rPr>
      </w:pPr>
    </w:p>
    <w:p>
      <w:pPr>
        <w:pStyle w:val="BodyText"/>
        <w:spacing w:line="288" w:lineRule="auto" w:before="1"/>
        <w:ind w:left="232" w:right="374"/>
      </w:pPr>
      <w:r>
        <w:rPr/>
        <w:t>As part of the licensing regime for the energy network businesses, the ESC administers and enforces both</w:t>
      </w:r>
      <w:r>
        <w:rPr>
          <w:spacing w:val="-2"/>
        </w:rPr>
        <w:t> </w:t>
      </w:r>
      <w:r>
        <w:rPr/>
        <w:t>the </w:t>
      </w:r>
      <w:r>
        <w:rPr>
          <w:i/>
        </w:rPr>
        <w:t>Electricity Distribution Code </w:t>
      </w:r>
      <w:r>
        <w:rPr/>
        <w:t>and </w:t>
      </w:r>
      <w:r>
        <w:rPr>
          <w:i/>
        </w:rPr>
        <w:t>Gas Distribution Code </w:t>
      </w:r>
      <w:r>
        <w:rPr/>
        <w:t>(ESC, 2014) which set out how the licenced network businesses operate their network in a safe, efficient and reliable manner.</w:t>
      </w:r>
      <w:r>
        <w:rPr>
          <w:spacing w:val="-3"/>
        </w:rPr>
        <w:t> </w:t>
      </w:r>
      <w:r>
        <w:rPr/>
        <w:t>This</w:t>
      </w:r>
      <w:r>
        <w:rPr>
          <w:spacing w:val="-4"/>
        </w:rPr>
        <w:t> </w:t>
      </w:r>
      <w:r>
        <w:rPr/>
        <w:t>includes</w:t>
      </w:r>
      <w:r>
        <w:rPr>
          <w:spacing w:val="-3"/>
        </w:rPr>
        <w:t> </w:t>
      </w:r>
      <w:r>
        <w:rPr/>
        <w:t>prescribed</w:t>
      </w:r>
      <w:r>
        <w:rPr>
          <w:spacing w:val="-3"/>
        </w:rPr>
        <w:t> </w:t>
      </w:r>
      <w:r>
        <w:rPr/>
        <w:t>obligations</w:t>
      </w:r>
      <w:r>
        <w:rPr>
          <w:spacing w:val="-4"/>
        </w:rPr>
        <w:t> </w:t>
      </w:r>
      <w:r>
        <w:rPr/>
        <w:t>regarding</w:t>
      </w:r>
      <w:r>
        <w:rPr>
          <w:spacing w:val="-3"/>
        </w:rPr>
        <w:t> </w:t>
      </w:r>
      <w:r>
        <w:rPr/>
        <w:t>the</w:t>
      </w:r>
      <w:r>
        <w:rPr>
          <w:spacing w:val="-3"/>
        </w:rPr>
        <w:t> </w:t>
      </w:r>
      <w:r>
        <w:rPr/>
        <w:t>quality</w:t>
      </w:r>
      <w:r>
        <w:rPr>
          <w:spacing w:val="-4"/>
        </w:rPr>
        <w:t> </w:t>
      </w:r>
      <w:r>
        <w:rPr/>
        <w:t>and</w:t>
      </w:r>
      <w:r>
        <w:rPr>
          <w:spacing w:val="-3"/>
        </w:rPr>
        <w:t> </w:t>
      </w:r>
      <w:r>
        <w:rPr/>
        <w:t>reliability</w:t>
      </w:r>
      <w:r>
        <w:rPr>
          <w:spacing w:val="-4"/>
        </w:rPr>
        <w:t> </w:t>
      </w:r>
      <w:r>
        <w:rPr/>
        <w:t>of electricity</w:t>
      </w:r>
      <w:r>
        <w:rPr>
          <w:spacing w:val="-4"/>
        </w:rPr>
        <w:t> </w:t>
      </w:r>
      <w:r>
        <w:rPr/>
        <w:t>and gas supply, both of which have safety implications for the public.</w:t>
      </w:r>
    </w:p>
    <w:p>
      <w:pPr>
        <w:pStyle w:val="BodyText"/>
        <w:spacing w:before="8"/>
        <w:rPr>
          <w:sz w:val="20"/>
        </w:rPr>
      </w:pPr>
    </w:p>
    <w:p>
      <w:pPr>
        <w:pStyle w:val="BodyText"/>
        <w:spacing w:line="288" w:lineRule="auto" w:before="1"/>
        <w:ind w:left="232" w:right="374"/>
      </w:pPr>
      <w:r>
        <w:rPr/>
        <w:t>The</w:t>
      </w:r>
      <w:r>
        <w:rPr>
          <w:spacing w:val="-4"/>
        </w:rPr>
        <w:t> </w:t>
      </w:r>
      <w:r>
        <w:rPr/>
        <w:t>distribution</w:t>
      </w:r>
      <w:r>
        <w:rPr>
          <w:spacing w:val="-2"/>
        </w:rPr>
        <w:t> </w:t>
      </w:r>
      <w:r>
        <w:rPr/>
        <w:t>codes</w:t>
      </w:r>
      <w:r>
        <w:rPr>
          <w:spacing w:val="-4"/>
        </w:rPr>
        <w:t> </w:t>
      </w:r>
      <w:r>
        <w:rPr/>
        <w:t>are</w:t>
      </w:r>
      <w:r>
        <w:rPr>
          <w:spacing w:val="-2"/>
        </w:rPr>
        <w:t> </w:t>
      </w:r>
      <w:r>
        <w:rPr/>
        <w:t>set</w:t>
      </w:r>
      <w:r>
        <w:rPr>
          <w:spacing w:val="-2"/>
        </w:rPr>
        <w:t> </w:t>
      </w:r>
      <w:r>
        <w:rPr/>
        <w:t>out</w:t>
      </w:r>
      <w:r>
        <w:rPr>
          <w:spacing w:val="-3"/>
        </w:rPr>
        <w:t> </w:t>
      </w:r>
      <w:r>
        <w:rPr/>
        <w:t>in</w:t>
      </w:r>
      <w:r>
        <w:rPr>
          <w:spacing w:val="-2"/>
        </w:rPr>
        <w:t> </w:t>
      </w:r>
      <w:r>
        <w:rPr/>
        <w:t>various</w:t>
      </w:r>
      <w:r>
        <w:rPr>
          <w:spacing w:val="-2"/>
        </w:rPr>
        <w:t> </w:t>
      </w:r>
      <w:r>
        <w:rPr/>
        <w:t>clauses</w:t>
      </w:r>
      <w:r>
        <w:rPr>
          <w:spacing w:val="-2"/>
        </w:rPr>
        <w:t> </w:t>
      </w:r>
      <w:r>
        <w:rPr/>
        <w:t>with</w:t>
      </w:r>
      <w:r>
        <w:rPr>
          <w:spacing w:val="-2"/>
        </w:rPr>
        <w:t> </w:t>
      </w:r>
      <w:r>
        <w:rPr/>
        <w:t>several</w:t>
      </w:r>
      <w:r>
        <w:rPr>
          <w:spacing w:val="-2"/>
        </w:rPr>
        <w:t> </w:t>
      </w:r>
      <w:r>
        <w:rPr/>
        <w:t>containing</w:t>
      </w:r>
      <w:r>
        <w:rPr>
          <w:spacing w:val="-2"/>
        </w:rPr>
        <w:t> </w:t>
      </w:r>
      <w:r>
        <w:rPr/>
        <w:t>technical</w:t>
      </w:r>
      <w:r>
        <w:rPr>
          <w:spacing w:val="-3"/>
        </w:rPr>
        <w:t> </w:t>
      </w:r>
      <w:r>
        <w:rPr/>
        <w:t>components for regulation of the quality and reliability of the electricity and gas distribution systems. These components require a high degree of technical capacity to understand, monitor and enforce </w:t>
      </w:r>
      <w:r>
        <w:rPr>
          <w:spacing w:val="-2"/>
        </w:rPr>
        <w:t>compliance.</w:t>
      </w:r>
    </w:p>
    <w:p>
      <w:pPr>
        <w:pStyle w:val="BodyText"/>
        <w:spacing w:before="10"/>
        <w:rPr>
          <w:sz w:val="20"/>
        </w:rPr>
      </w:pPr>
    </w:p>
    <w:p>
      <w:pPr>
        <w:pStyle w:val="BodyText"/>
        <w:spacing w:line="288" w:lineRule="auto"/>
        <w:ind w:left="232" w:right="374"/>
      </w:pPr>
      <w:r>
        <w:rPr/>
        <w:t>For</w:t>
      </w:r>
      <w:r>
        <w:rPr>
          <w:spacing w:val="-1"/>
        </w:rPr>
        <w:t> </w:t>
      </w:r>
      <w:r>
        <w:rPr/>
        <w:t>example,</w:t>
      </w:r>
      <w:r>
        <w:rPr>
          <w:spacing w:val="-3"/>
        </w:rPr>
        <w:t> </w:t>
      </w:r>
      <w:r>
        <w:rPr/>
        <w:t>Clauses</w:t>
      </w:r>
      <w:r>
        <w:rPr>
          <w:spacing w:val="-2"/>
        </w:rPr>
        <w:t> </w:t>
      </w:r>
      <w:r>
        <w:rPr/>
        <w:t>3</w:t>
      </w:r>
      <w:r>
        <w:rPr>
          <w:spacing w:val="-3"/>
        </w:rPr>
        <w:t> </w:t>
      </w:r>
      <w:r>
        <w:rPr/>
        <w:t>and</w:t>
      </w:r>
      <w:r>
        <w:rPr>
          <w:spacing w:val="-2"/>
        </w:rPr>
        <w:t> </w:t>
      </w:r>
      <w:r>
        <w:rPr/>
        <w:t>4</w:t>
      </w:r>
      <w:r>
        <w:rPr>
          <w:spacing w:val="-1"/>
        </w:rPr>
        <w:t> </w:t>
      </w:r>
      <w:r>
        <w:rPr/>
        <w:t>of</w:t>
      </w:r>
      <w:r>
        <w:rPr>
          <w:spacing w:val="-3"/>
        </w:rPr>
        <w:t> </w:t>
      </w:r>
      <w:r>
        <w:rPr/>
        <w:t>the </w:t>
      </w:r>
      <w:r>
        <w:rPr>
          <w:i/>
        </w:rPr>
        <w:t>Electricity</w:t>
      </w:r>
      <w:r>
        <w:rPr>
          <w:i/>
          <w:spacing w:val="-4"/>
        </w:rPr>
        <w:t> </w:t>
      </w:r>
      <w:r>
        <w:rPr>
          <w:i/>
        </w:rPr>
        <w:t>Distribution</w:t>
      </w:r>
      <w:r>
        <w:rPr>
          <w:i/>
          <w:spacing w:val="-4"/>
        </w:rPr>
        <w:t> </w:t>
      </w:r>
      <w:r>
        <w:rPr>
          <w:i/>
        </w:rPr>
        <w:t>Code </w:t>
      </w:r>
      <w:r>
        <w:rPr/>
        <w:t>prescribe</w:t>
      </w:r>
      <w:r>
        <w:rPr>
          <w:spacing w:val="-4"/>
        </w:rPr>
        <w:t> </w:t>
      </w:r>
      <w:r>
        <w:rPr/>
        <w:t>requirements</w:t>
      </w:r>
      <w:r>
        <w:rPr>
          <w:spacing w:val="-4"/>
        </w:rPr>
        <w:t> </w:t>
      </w:r>
      <w:r>
        <w:rPr/>
        <w:t>for</w:t>
      </w:r>
      <w:r>
        <w:rPr>
          <w:spacing w:val="-3"/>
        </w:rPr>
        <w:t> </w:t>
      </w:r>
      <w:r>
        <w:rPr/>
        <w:t>the quality of the electricity supply in accordance with the elements of good asset management for electricity distributors. This includes further reporting on distribution system planning to meet demand, acceptable voltage variations and power factor (ESC, 2015).</w:t>
      </w:r>
    </w:p>
    <w:p>
      <w:pPr>
        <w:pStyle w:val="BodyText"/>
        <w:spacing w:before="10"/>
        <w:rPr>
          <w:sz w:val="20"/>
        </w:rPr>
      </w:pPr>
    </w:p>
    <w:p>
      <w:pPr>
        <w:pStyle w:val="BodyText"/>
        <w:spacing w:line="288" w:lineRule="auto"/>
        <w:ind w:left="232" w:right="374"/>
      </w:pPr>
      <w:r>
        <w:rPr/>
        <w:t>In</w:t>
      </w:r>
      <w:r>
        <w:rPr>
          <w:spacing w:val="-3"/>
        </w:rPr>
        <w:t> </w:t>
      </w:r>
      <w:r>
        <w:rPr/>
        <w:t>the</w:t>
      </w:r>
      <w:r>
        <w:rPr>
          <w:spacing w:val="-3"/>
        </w:rPr>
        <w:t> </w:t>
      </w:r>
      <w:r>
        <w:rPr/>
        <w:t>gas</w:t>
      </w:r>
      <w:r>
        <w:rPr>
          <w:spacing w:val="-3"/>
        </w:rPr>
        <w:t> </w:t>
      </w:r>
      <w:r>
        <w:rPr/>
        <w:t>sector, Clause</w:t>
      </w:r>
      <w:r>
        <w:rPr>
          <w:spacing w:val="-3"/>
        </w:rPr>
        <w:t> </w:t>
      </w:r>
      <w:r>
        <w:rPr/>
        <w:t>2</w:t>
      </w:r>
      <w:r>
        <w:rPr>
          <w:spacing w:val="-1"/>
        </w:rPr>
        <w:t> </w:t>
      </w:r>
      <w:r>
        <w:rPr/>
        <w:t>of</w:t>
      </w:r>
      <w:r>
        <w:rPr>
          <w:spacing w:val="-2"/>
        </w:rPr>
        <w:t> </w:t>
      </w:r>
      <w:r>
        <w:rPr/>
        <w:t>the</w:t>
      </w:r>
      <w:r>
        <w:rPr>
          <w:spacing w:val="-1"/>
        </w:rPr>
        <w:t> </w:t>
      </w:r>
      <w:r>
        <w:rPr>
          <w:i/>
        </w:rPr>
        <w:t>Gas</w:t>
      </w:r>
      <w:r>
        <w:rPr>
          <w:i/>
          <w:spacing w:val="-3"/>
        </w:rPr>
        <w:t> </w:t>
      </w:r>
      <w:r>
        <w:rPr>
          <w:i/>
        </w:rPr>
        <w:t>Distribution</w:t>
      </w:r>
      <w:r>
        <w:rPr>
          <w:i/>
          <w:spacing w:val="-3"/>
        </w:rPr>
        <w:t> </w:t>
      </w:r>
      <w:r>
        <w:rPr>
          <w:i/>
        </w:rPr>
        <w:t>Code </w:t>
      </w:r>
      <w:r>
        <w:rPr/>
        <w:t>details</w:t>
      </w:r>
      <w:r>
        <w:rPr>
          <w:spacing w:val="-3"/>
        </w:rPr>
        <w:t> </w:t>
      </w:r>
      <w:r>
        <w:rPr/>
        <w:t>the</w:t>
      </w:r>
      <w:r>
        <w:rPr>
          <w:spacing w:val="-3"/>
        </w:rPr>
        <w:t> </w:t>
      </w:r>
      <w:r>
        <w:rPr/>
        <w:t>technical</w:t>
      </w:r>
      <w:r>
        <w:rPr>
          <w:spacing w:val="-2"/>
        </w:rPr>
        <w:t> </w:t>
      </w:r>
      <w:r>
        <w:rPr/>
        <w:t>components</w:t>
      </w:r>
      <w:r>
        <w:rPr>
          <w:spacing w:val="-3"/>
        </w:rPr>
        <w:t> </w:t>
      </w:r>
      <w:r>
        <w:rPr/>
        <w:t>for</w:t>
      </w:r>
      <w:r>
        <w:rPr>
          <w:spacing w:val="-2"/>
        </w:rPr>
        <w:t> </w:t>
      </w:r>
      <w:r>
        <w:rPr/>
        <w:t>the operation of the</w:t>
      </w:r>
      <w:r>
        <w:rPr>
          <w:spacing w:val="-1"/>
        </w:rPr>
        <w:t> </w:t>
      </w:r>
      <w:r>
        <w:rPr/>
        <w:t>gas distribution system, while Clause 9 specifies</w:t>
      </w:r>
      <w:r>
        <w:rPr>
          <w:spacing w:val="-1"/>
        </w:rPr>
        <w:t> </w:t>
      </w:r>
      <w:r>
        <w:rPr/>
        <w:t>the procedures</w:t>
      </w:r>
      <w:r>
        <w:rPr>
          <w:spacing w:val="-1"/>
        </w:rPr>
        <w:t> </w:t>
      </w:r>
      <w:r>
        <w:rPr/>
        <w:t>for curtailment. Both clauses contain technical components such as references to gas pressure, availability and maintenance of the system (ESC, 2014).</w:t>
      </w:r>
    </w:p>
    <w:p>
      <w:pPr>
        <w:spacing w:after="0" w:line="288" w:lineRule="auto"/>
        <w:sectPr>
          <w:pgSz w:w="11910" w:h="16850"/>
          <w:pgMar w:header="220" w:footer="678" w:top="420" w:bottom="860" w:left="900" w:right="840"/>
        </w:sectPr>
      </w:pPr>
    </w:p>
    <w:p>
      <w:pPr>
        <w:pStyle w:val="BodyText"/>
        <w:rPr>
          <w:sz w:val="20"/>
        </w:rPr>
      </w:pPr>
    </w:p>
    <w:p>
      <w:pPr>
        <w:pStyle w:val="BodyText"/>
        <w:spacing w:before="2"/>
        <w:rPr>
          <w:sz w:val="19"/>
        </w:rPr>
      </w:pPr>
    </w:p>
    <w:p>
      <w:pPr>
        <w:pStyle w:val="BodyText"/>
        <w:spacing w:line="288" w:lineRule="auto" w:before="94"/>
        <w:ind w:left="232" w:right="1077"/>
        <w:jc w:val="both"/>
      </w:pPr>
      <w:r>
        <w:rPr/>
        <w:t>The</w:t>
      </w:r>
      <w:r>
        <w:rPr>
          <w:spacing w:val="-4"/>
        </w:rPr>
        <w:t> </w:t>
      </w:r>
      <w:r>
        <w:rPr/>
        <w:t>ESC</w:t>
      </w:r>
      <w:r>
        <w:rPr>
          <w:spacing w:val="-2"/>
        </w:rPr>
        <w:t> </w:t>
      </w:r>
      <w:r>
        <w:rPr/>
        <w:t>has</w:t>
      </w:r>
      <w:r>
        <w:rPr>
          <w:spacing w:val="-4"/>
        </w:rPr>
        <w:t> </w:t>
      </w:r>
      <w:r>
        <w:rPr/>
        <w:t>relatively</w:t>
      </w:r>
      <w:r>
        <w:rPr>
          <w:spacing w:val="-4"/>
        </w:rPr>
        <w:t> </w:t>
      </w:r>
      <w:r>
        <w:rPr/>
        <w:t>limited</w:t>
      </w:r>
      <w:r>
        <w:rPr>
          <w:spacing w:val="-4"/>
        </w:rPr>
        <w:t> </w:t>
      </w:r>
      <w:r>
        <w:rPr/>
        <w:t>capabilities</w:t>
      </w:r>
      <w:r>
        <w:rPr>
          <w:spacing w:val="-2"/>
        </w:rPr>
        <w:t> </w:t>
      </w:r>
      <w:r>
        <w:rPr/>
        <w:t>in</w:t>
      </w:r>
      <w:r>
        <w:rPr>
          <w:spacing w:val="-2"/>
        </w:rPr>
        <w:t> </w:t>
      </w:r>
      <w:r>
        <w:rPr/>
        <w:t>relation</w:t>
      </w:r>
      <w:r>
        <w:rPr>
          <w:spacing w:val="-2"/>
        </w:rPr>
        <w:t> </w:t>
      </w:r>
      <w:r>
        <w:rPr/>
        <w:t>to</w:t>
      </w:r>
      <w:r>
        <w:rPr>
          <w:spacing w:val="-4"/>
        </w:rPr>
        <w:t> </w:t>
      </w:r>
      <w:r>
        <w:rPr/>
        <w:t>the</w:t>
      </w:r>
      <w:r>
        <w:rPr>
          <w:spacing w:val="-4"/>
        </w:rPr>
        <w:t> </w:t>
      </w:r>
      <w:r>
        <w:rPr/>
        <w:t>technical</w:t>
      </w:r>
      <w:r>
        <w:rPr>
          <w:spacing w:val="-3"/>
        </w:rPr>
        <w:t> </w:t>
      </w:r>
      <w:r>
        <w:rPr/>
        <w:t>operational</w:t>
      </w:r>
      <w:r>
        <w:rPr>
          <w:spacing w:val="-2"/>
        </w:rPr>
        <w:t> </w:t>
      </w:r>
      <w:r>
        <w:rPr/>
        <w:t>aspects</w:t>
      </w:r>
      <w:r>
        <w:rPr>
          <w:spacing w:val="-3"/>
        </w:rPr>
        <w:t> </w:t>
      </w:r>
      <w:r>
        <w:rPr/>
        <w:t>of electricity</w:t>
      </w:r>
      <w:r>
        <w:rPr>
          <w:spacing w:val="-4"/>
        </w:rPr>
        <w:t> </w:t>
      </w:r>
      <w:r>
        <w:rPr/>
        <w:t>and</w:t>
      </w:r>
      <w:r>
        <w:rPr>
          <w:spacing w:val="-4"/>
        </w:rPr>
        <w:t> </w:t>
      </w:r>
      <w:r>
        <w:rPr/>
        <w:t>gas</w:t>
      </w:r>
      <w:r>
        <w:rPr>
          <w:spacing w:val="-4"/>
        </w:rPr>
        <w:t> </w:t>
      </w:r>
      <w:r>
        <w:rPr/>
        <w:t>networks.</w:t>
      </w:r>
      <w:r>
        <w:rPr>
          <w:spacing w:val="-5"/>
        </w:rPr>
        <w:t> </w:t>
      </w:r>
      <w:r>
        <w:rPr/>
        <w:t>The</w:t>
      </w:r>
      <w:r>
        <w:rPr>
          <w:spacing w:val="-2"/>
        </w:rPr>
        <w:t> </w:t>
      </w:r>
      <w:r>
        <w:rPr/>
        <w:t>Electrical</w:t>
      </w:r>
      <w:r>
        <w:rPr>
          <w:spacing w:val="-5"/>
        </w:rPr>
        <w:t> </w:t>
      </w:r>
      <w:r>
        <w:rPr/>
        <w:t>Trades</w:t>
      </w:r>
      <w:r>
        <w:rPr>
          <w:spacing w:val="-1"/>
        </w:rPr>
        <w:t> </w:t>
      </w:r>
      <w:r>
        <w:rPr/>
        <w:t>Union</w:t>
      </w:r>
      <w:r>
        <w:rPr>
          <w:spacing w:val="-2"/>
        </w:rPr>
        <w:t> </w:t>
      </w:r>
      <w:r>
        <w:rPr/>
        <w:t>has</w:t>
      </w:r>
      <w:r>
        <w:rPr>
          <w:spacing w:val="-4"/>
        </w:rPr>
        <w:t> </w:t>
      </w:r>
      <w:r>
        <w:rPr/>
        <w:t>raised</w:t>
      </w:r>
      <w:r>
        <w:rPr>
          <w:spacing w:val="-2"/>
        </w:rPr>
        <w:t> </w:t>
      </w:r>
      <w:r>
        <w:rPr/>
        <w:t>concerns</w:t>
      </w:r>
      <w:r>
        <w:rPr>
          <w:spacing w:val="-1"/>
        </w:rPr>
        <w:t> </w:t>
      </w:r>
      <w:r>
        <w:rPr/>
        <w:t>about ESC’s technical capabilities in its submission:</w:t>
      </w:r>
    </w:p>
    <w:p>
      <w:pPr>
        <w:pStyle w:val="BodyText"/>
        <w:spacing w:before="9"/>
        <w:rPr>
          <w:sz w:val="20"/>
        </w:rPr>
      </w:pPr>
    </w:p>
    <w:p>
      <w:pPr>
        <w:spacing w:line="288" w:lineRule="auto" w:before="0"/>
        <w:ind w:left="799" w:right="951" w:firstLine="0"/>
        <w:jc w:val="left"/>
        <w:rPr>
          <w:sz w:val="22"/>
        </w:rPr>
      </w:pPr>
      <w:r>
        <w:rPr>
          <w:i/>
          <w:sz w:val="22"/>
        </w:rPr>
        <w:t>“ESC has enormous responsibility (but) it appears to lack the technical or operational understanding of the industry to genuinely evaluate causes and solutions to identified breaches. Without operational knowledge or input into their decisions they are exclusively</w:t>
      </w:r>
      <w:r>
        <w:rPr>
          <w:i/>
          <w:spacing w:val="-1"/>
          <w:sz w:val="22"/>
        </w:rPr>
        <w:t> </w:t>
      </w:r>
      <w:r>
        <w:rPr>
          <w:i/>
          <w:sz w:val="22"/>
        </w:rPr>
        <w:t>informed</w:t>
      </w:r>
      <w:r>
        <w:rPr>
          <w:i/>
          <w:spacing w:val="-2"/>
          <w:sz w:val="22"/>
        </w:rPr>
        <w:t> </w:t>
      </w:r>
      <w:r>
        <w:rPr>
          <w:i/>
          <w:sz w:val="22"/>
        </w:rPr>
        <w:t>by</w:t>
      </w:r>
      <w:r>
        <w:rPr>
          <w:i/>
          <w:spacing w:val="-4"/>
          <w:sz w:val="22"/>
        </w:rPr>
        <w:t> </w:t>
      </w:r>
      <w:r>
        <w:rPr>
          <w:i/>
          <w:sz w:val="22"/>
        </w:rPr>
        <w:t>the</w:t>
      </w:r>
      <w:r>
        <w:rPr>
          <w:i/>
          <w:spacing w:val="-2"/>
          <w:sz w:val="22"/>
        </w:rPr>
        <w:t> </w:t>
      </w:r>
      <w:r>
        <w:rPr>
          <w:i/>
          <w:sz w:val="22"/>
        </w:rPr>
        <w:t>Businesses</w:t>
      </w:r>
      <w:r>
        <w:rPr>
          <w:i/>
          <w:spacing w:val="-4"/>
          <w:sz w:val="22"/>
        </w:rPr>
        <w:t> </w:t>
      </w:r>
      <w:r>
        <w:rPr>
          <w:i/>
          <w:sz w:val="22"/>
        </w:rPr>
        <w:t>they</w:t>
      </w:r>
      <w:r>
        <w:rPr>
          <w:i/>
          <w:spacing w:val="-4"/>
          <w:sz w:val="22"/>
        </w:rPr>
        <w:t> </w:t>
      </w:r>
      <w:r>
        <w:rPr>
          <w:i/>
          <w:sz w:val="22"/>
        </w:rPr>
        <w:t>are</w:t>
      </w:r>
      <w:r>
        <w:rPr>
          <w:i/>
          <w:spacing w:val="-6"/>
          <w:sz w:val="22"/>
        </w:rPr>
        <w:t> </w:t>
      </w:r>
      <w:r>
        <w:rPr>
          <w:i/>
          <w:sz w:val="22"/>
        </w:rPr>
        <w:t>seeking</w:t>
      </w:r>
      <w:r>
        <w:rPr>
          <w:i/>
          <w:spacing w:val="-2"/>
          <w:sz w:val="22"/>
        </w:rPr>
        <w:t> </w:t>
      </w:r>
      <w:r>
        <w:rPr>
          <w:i/>
          <w:sz w:val="22"/>
        </w:rPr>
        <w:t>compliance</w:t>
      </w:r>
      <w:r>
        <w:rPr>
          <w:i/>
          <w:spacing w:val="-4"/>
          <w:sz w:val="22"/>
        </w:rPr>
        <w:t> </w:t>
      </w:r>
      <w:r>
        <w:rPr>
          <w:i/>
          <w:sz w:val="22"/>
        </w:rPr>
        <w:t>from.”</w:t>
      </w:r>
      <w:r>
        <w:rPr>
          <w:i/>
          <w:spacing w:val="-5"/>
          <w:sz w:val="22"/>
        </w:rPr>
        <w:t> </w:t>
      </w:r>
      <w:r>
        <w:rPr>
          <w:sz w:val="22"/>
        </w:rPr>
        <w:t>(Electrical Trades Union, 2017, p. 54)</w:t>
      </w:r>
    </w:p>
    <w:p>
      <w:pPr>
        <w:pStyle w:val="BodyText"/>
        <w:rPr>
          <w:sz w:val="21"/>
        </w:rPr>
      </w:pPr>
    </w:p>
    <w:p>
      <w:pPr>
        <w:pStyle w:val="BodyText"/>
        <w:spacing w:line="288" w:lineRule="auto"/>
        <w:ind w:left="232" w:right="408"/>
      </w:pPr>
      <w:r>
        <w:rPr/>
        <w:t>In</w:t>
      </w:r>
      <w:r>
        <w:rPr>
          <w:spacing w:val="-3"/>
        </w:rPr>
        <w:t> </w:t>
      </w:r>
      <w:r>
        <w:rPr/>
        <w:t>a</w:t>
      </w:r>
      <w:r>
        <w:rPr>
          <w:spacing w:val="-5"/>
        </w:rPr>
        <w:t> </w:t>
      </w:r>
      <w:r>
        <w:rPr/>
        <w:t>related,</w:t>
      </w:r>
      <w:r>
        <w:rPr>
          <w:spacing w:val="-1"/>
        </w:rPr>
        <w:t> </w:t>
      </w:r>
      <w:r>
        <w:rPr/>
        <w:t>but</w:t>
      </w:r>
      <w:r>
        <w:rPr>
          <w:spacing w:val="-4"/>
        </w:rPr>
        <w:t> </w:t>
      </w:r>
      <w:r>
        <w:rPr/>
        <w:t>somewhat</w:t>
      </w:r>
      <w:r>
        <w:rPr>
          <w:spacing w:val="-1"/>
        </w:rPr>
        <w:t> </w:t>
      </w:r>
      <w:r>
        <w:rPr/>
        <w:t>different</w:t>
      </w:r>
      <w:r>
        <w:rPr>
          <w:spacing w:val="-1"/>
        </w:rPr>
        <w:t> </w:t>
      </w:r>
      <w:r>
        <w:rPr/>
        <w:t>vein,</w:t>
      </w:r>
      <w:r>
        <w:rPr>
          <w:spacing w:val="-2"/>
        </w:rPr>
        <w:t> </w:t>
      </w:r>
      <w:r>
        <w:rPr/>
        <w:t>CitiPower</w:t>
      </w:r>
      <w:r>
        <w:rPr>
          <w:spacing w:val="-2"/>
        </w:rPr>
        <w:t> </w:t>
      </w:r>
      <w:r>
        <w:rPr/>
        <w:t>and</w:t>
      </w:r>
      <w:r>
        <w:rPr>
          <w:spacing w:val="-5"/>
        </w:rPr>
        <w:t> </w:t>
      </w:r>
      <w:r>
        <w:rPr/>
        <w:t>Powercor</w:t>
      </w:r>
      <w:r>
        <w:rPr>
          <w:spacing w:val="-1"/>
        </w:rPr>
        <w:t> </w:t>
      </w:r>
      <w:r>
        <w:rPr/>
        <w:t>Australia</w:t>
      </w:r>
      <w:r>
        <w:rPr>
          <w:spacing w:val="-3"/>
        </w:rPr>
        <w:t> </w:t>
      </w:r>
      <w:r>
        <w:rPr/>
        <w:t>have</w:t>
      </w:r>
      <w:r>
        <w:rPr>
          <w:spacing w:val="-3"/>
        </w:rPr>
        <w:t> </w:t>
      </w:r>
      <w:r>
        <w:rPr/>
        <w:t>identified</w:t>
      </w:r>
      <w:r>
        <w:rPr>
          <w:spacing w:val="-3"/>
        </w:rPr>
        <w:t> </w:t>
      </w:r>
      <w:r>
        <w:rPr/>
        <w:t>in</w:t>
      </w:r>
      <w:r>
        <w:rPr>
          <w:spacing w:val="-5"/>
        </w:rPr>
        <w:t> </w:t>
      </w:r>
      <w:r>
        <w:rPr/>
        <w:t>their submission, a lack of alignment that might arise from the separation of technical distribution standards from safety regulation:</w:t>
      </w:r>
    </w:p>
    <w:p>
      <w:pPr>
        <w:pStyle w:val="BodyText"/>
        <w:spacing w:before="9"/>
        <w:rPr>
          <w:sz w:val="20"/>
        </w:rPr>
      </w:pPr>
    </w:p>
    <w:p>
      <w:pPr>
        <w:spacing w:line="288" w:lineRule="auto" w:before="0"/>
        <w:ind w:left="799" w:right="951" w:firstLine="0"/>
        <w:jc w:val="left"/>
        <w:rPr>
          <w:i/>
          <w:sz w:val="22"/>
        </w:rPr>
      </w:pPr>
      <w:r>
        <w:rPr>
          <w:i/>
          <w:sz w:val="22"/>
        </w:rPr>
        <w:t>“NSPs [Network Service Providers/Network Businesses] are subject to the Victorian Electricity Distribution Code (EDC) which is administered by the Essential Services Commission (ESC). There is no clear process or responsibility for ensuring the technical standards in the EDC are aligned with changes in safety regulations. The separation</w:t>
      </w:r>
      <w:r>
        <w:rPr>
          <w:i/>
          <w:spacing w:val="-3"/>
          <w:sz w:val="22"/>
        </w:rPr>
        <w:t> </w:t>
      </w:r>
      <w:r>
        <w:rPr>
          <w:i/>
          <w:sz w:val="22"/>
        </w:rPr>
        <w:t>of</w:t>
      </w:r>
      <w:r>
        <w:rPr>
          <w:i/>
          <w:spacing w:val="-4"/>
          <w:sz w:val="22"/>
        </w:rPr>
        <w:t> </w:t>
      </w:r>
      <w:r>
        <w:rPr>
          <w:i/>
          <w:sz w:val="22"/>
        </w:rPr>
        <w:t>the</w:t>
      </w:r>
      <w:r>
        <w:rPr>
          <w:i/>
          <w:spacing w:val="-5"/>
          <w:sz w:val="22"/>
        </w:rPr>
        <w:t> </w:t>
      </w:r>
      <w:r>
        <w:rPr>
          <w:i/>
          <w:sz w:val="22"/>
        </w:rPr>
        <w:t>technical</w:t>
      </w:r>
      <w:r>
        <w:rPr>
          <w:i/>
          <w:spacing w:val="-4"/>
          <w:sz w:val="22"/>
        </w:rPr>
        <w:t> </w:t>
      </w:r>
      <w:r>
        <w:rPr>
          <w:i/>
          <w:sz w:val="22"/>
        </w:rPr>
        <w:t>standards</w:t>
      </w:r>
      <w:r>
        <w:rPr>
          <w:i/>
          <w:spacing w:val="-5"/>
          <w:sz w:val="22"/>
        </w:rPr>
        <w:t> </w:t>
      </w:r>
      <w:r>
        <w:rPr>
          <w:i/>
          <w:sz w:val="22"/>
        </w:rPr>
        <w:t>from</w:t>
      </w:r>
      <w:r>
        <w:rPr>
          <w:i/>
          <w:spacing w:val="-4"/>
          <w:sz w:val="22"/>
        </w:rPr>
        <w:t> </w:t>
      </w:r>
      <w:r>
        <w:rPr>
          <w:i/>
          <w:sz w:val="22"/>
        </w:rPr>
        <w:t>the</w:t>
      </w:r>
      <w:r>
        <w:rPr>
          <w:i/>
          <w:spacing w:val="-5"/>
          <w:sz w:val="22"/>
        </w:rPr>
        <w:t> </w:t>
      </w:r>
      <w:r>
        <w:rPr>
          <w:i/>
          <w:sz w:val="22"/>
        </w:rPr>
        <w:t>responsibility</w:t>
      </w:r>
      <w:r>
        <w:rPr>
          <w:i/>
          <w:spacing w:val="-2"/>
          <w:sz w:val="22"/>
        </w:rPr>
        <w:t> </w:t>
      </w:r>
      <w:r>
        <w:rPr>
          <w:i/>
          <w:sz w:val="22"/>
        </w:rPr>
        <w:t>of</w:t>
      </w:r>
      <w:r>
        <w:rPr>
          <w:i/>
          <w:spacing w:val="-4"/>
          <w:sz w:val="22"/>
        </w:rPr>
        <w:t> </w:t>
      </w:r>
      <w:r>
        <w:rPr>
          <w:i/>
          <w:sz w:val="22"/>
        </w:rPr>
        <w:t>the</w:t>
      </w:r>
      <w:r>
        <w:rPr>
          <w:i/>
          <w:spacing w:val="-3"/>
          <w:sz w:val="22"/>
        </w:rPr>
        <w:t> </w:t>
      </w:r>
      <w:r>
        <w:rPr>
          <w:i/>
          <w:sz w:val="22"/>
        </w:rPr>
        <w:t>safety</w:t>
      </w:r>
      <w:r>
        <w:rPr>
          <w:i/>
          <w:spacing w:val="-5"/>
          <w:sz w:val="22"/>
        </w:rPr>
        <w:t> </w:t>
      </w:r>
      <w:r>
        <w:rPr>
          <w:i/>
          <w:sz w:val="22"/>
        </w:rPr>
        <w:t>regulator</w:t>
      </w:r>
      <w:r>
        <w:rPr>
          <w:i/>
          <w:spacing w:val="-1"/>
          <w:sz w:val="22"/>
        </w:rPr>
        <w:t> </w:t>
      </w:r>
      <w:r>
        <w:rPr>
          <w:i/>
          <w:sz w:val="22"/>
        </w:rPr>
        <w:t>is not conducive to consistent regulation. We recommend technical standards be</w:t>
      </w:r>
    </w:p>
    <w:p>
      <w:pPr>
        <w:spacing w:line="288" w:lineRule="auto" w:before="1"/>
        <w:ind w:left="799" w:right="868" w:firstLine="0"/>
        <w:jc w:val="left"/>
        <w:rPr>
          <w:sz w:val="22"/>
        </w:rPr>
      </w:pPr>
      <w:r>
        <w:rPr>
          <w:i/>
          <w:sz w:val="22"/>
        </w:rPr>
        <w:t>administered</w:t>
      </w:r>
      <w:r>
        <w:rPr>
          <w:i/>
          <w:spacing w:val="-4"/>
          <w:sz w:val="22"/>
        </w:rPr>
        <w:t> </w:t>
      </w:r>
      <w:r>
        <w:rPr>
          <w:i/>
          <w:sz w:val="22"/>
        </w:rPr>
        <w:t>by</w:t>
      </w:r>
      <w:r>
        <w:rPr>
          <w:i/>
          <w:spacing w:val="-2"/>
          <w:sz w:val="22"/>
        </w:rPr>
        <w:t> </w:t>
      </w:r>
      <w:r>
        <w:rPr>
          <w:i/>
          <w:sz w:val="22"/>
        </w:rPr>
        <w:t>ESV,</w:t>
      </w:r>
      <w:r>
        <w:rPr>
          <w:i/>
          <w:spacing w:val="-3"/>
          <w:sz w:val="22"/>
        </w:rPr>
        <w:t> </w:t>
      </w:r>
      <w:r>
        <w:rPr>
          <w:i/>
          <w:sz w:val="22"/>
        </w:rPr>
        <w:t>rather</w:t>
      </w:r>
      <w:r>
        <w:rPr>
          <w:i/>
          <w:spacing w:val="-3"/>
          <w:sz w:val="22"/>
        </w:rPr>
        <w:t> </w:t>
      </w:r>
      <w:r>
        <w:rPr>
          <w:i/>
          <w:sz w:val="22"/>
        </w:rPr>
        <w:t>than</w:t>
      </w:r>
      <w:r>
        <w:rPr>
          <w:i/>
          <w:spacing w:val="-4"/>
          <w:sz w:val="22"/>
        </w:rPr>
        <w:t> </w:t>
      </w:r>
      <w:r>
        <w:rPr>
          <w:i/>
          <w:sz w:val="22"/>
        </w:rPr>
        <w:t>the</w:t>
      </w:r>
      <w:r>
        <w:rPr>
          <w:i/>
          <w:spacing w:val="-2"/>
          <w:sz w:val="22"/>
        </w:rPr>
        <w:t> </w:t>
      </w:r>
      <w:r>
        <w:rPr>
          <w:i/>
          <w:sz w:val="22"/>
        </w:rPr>
        <w:t>ESC.”</w:t>
      </w:r>
      <w:r>
        <w:rPr>
          <w:i/>
          <w:spacing w:val="-6"/>
          <w:sz w:val="22"/>
        </w:rPr>
        <w:t> </w:t>
      </w:r>
      <w:r>
        <w:rPr>
          <w:sz w:val="22"/>
        </w:rPr>
        <w:t>(CitiPower</w:t>
      </w:r>
      <w:r>
        <w:rPr>
          <w:spacing w:val="-1"/>
          <w:sz w:val="22"/>
        </w:rPr>
        <w:t> </w:t>
      </w:r>
      <w:r>
        <w:rPr>
          <w:sz w:val="22"/>
        </w:rPr>
        <w:t>&amp;</w:t>
      </w:r>
      <w:r>
        <w:rPr>
          <w:spacing w:val="-2"/>
          <w:sz w:val="22"/>
        </w:rPr>
        <w:t> </w:t>
      </w:r>
      <w:r>
        <w:rPr>
          <w:sz w:val="22"/>
        </w:rPr>
        <w:t>Powercor Australia,</w:t>
      </w:r>
      <w:r>
        <w:rPr>
          <w:spacing w:val="-1"/>
          <w:sz w:val="22"/>
        </w:rPr>
        <w:t> </w:t>
      </w:r>
      <w:r>
        <w:rPr>
          <w:sz w:val="22"/>
        </w:rPr>
        <w:t>2017b,</w:t>
      </w:r>
      <w:r>
        <w:rPr>
          <w:spacing w:val="-3"/>
          <w:sz w:val="22"/>
        </w:rPr>
        <w:t> </w:t>
      </w:r>
      <w:r>
        <w:rPr>
          <w:sz w:val="22"/>
        </w:rPr>
        <w:t>p. </w:t>
      </w:r>
      <w:r>
        <w:rPr>
          <w:spacing w:val="-6"/>
          <w:sz w:val="22"/>
        </w:rPr>
        <w:t>3)</w:t>
      </w:r>
    </w:p>
    <w:p>
      <w:pPr>
        <w:pStyle w:val="BodyText"/>
        <w:spacing w:before="10"/>
        <w:rPr>
          <w:sz w:val="20"/>
        </w:rPr>
      </w:pPr>
    </w:p>
    <w:p>
      <w:pPr>
        <w:spacing w:line="288" w:lineRule="auto" w:before="0"/>
        <w:ind w:left="232" w:right="0" w:firstLine="0"/>
        <w:jc w:val="left"/>
        <w:rPr>
          <w:sz w:val="22"/>
        </w:rPr>
      </w:pPr>
      <w:r>
        <w:rPr>
          <w:sz w:val="22"/>
        </w:rPr>
        <w:t>United</w:t>
      </w:r>
      <w:r>
        <w:rPr>
          <w:spacing w:val="-2"/>
          <w:sz w:val="22"/>
        </w:rPr>
        <w:t> </w:t>
      </w:r>
      <w:r>
        <w:rPr>
          <w:sz w:val="22"/>
        </w:rPr>
        <w:t>Energy</w:t>
      </w:r>
      <w:r>
        <w:rPr>
          <w:spacing w:val="-4"/>
          <w:sz w:val="22"/>
        </w:rPr>
        <w:t> </w:t>
      </w:r>
      <w:r>
        <w:rPr>
          <w:sz w:val="22"/>
        </w:rPr>
        <w:t>has</w:t>
      </w:r>
      <w:r>
        <w:rPr>
          <w:spacing w:val="-1"/>
          <w:sz w:val="22"/>
        </w:rPr>
        <w:t> </w:t>
      </w:r>
      <w:r>
        <w:rPr>
          <w:sz w:val="22"/>
        </w:rPr>
        <w:t>expressed</w:t>
      </w:r>
      <w:r>
        <w:rPr>
          <w:spacing w:val="-2"/>
          <w:sz w:val="22"/>
        </w:rPr>
        <w:t> </w:t>
      </w:r>
      <w:r>
        <w:rPr>
          <w:sz w:val="22"/>
        </w:rPr>
        <w:t>a</w:t>
      </w:r>
      <w:r>
        <w:rPr>
          <w:spacing w:val="-2"/>
          <w:sz w:val="22"/>
        </w:rPr>
        <w:t> </w:t>
      </w:r>
      <w:r>
        <w:rPr>
          <w:sz w:val="22"/>
        </w:rPr>
        <w:t>view</w:t>
      </w:r>
      <w:r>
        <w:rPr>
          <w:spacing w:val="-5"/>
          <w:sz w:val="22"/>
        </w:rPr>
        <w:t> </w:t>
      </w:r>
      <w:r>
        <w:rPr>
          <w:sz w:val="22"/>
        </w:rPr>
        <w:t>that</w:t>
      </w:r>
      <w:r>
        <w:rPr>
          <w:spacing w:val="-3"/>
          <w:sz w:val="22"/>
        </w:rPr>
        <w:t> </w:t>
      </w:r>
      <w:r>
        <w:rPr>
          <w:sz w:val="22"/>
        </w:rPr>
        <w:t>there</w:t>
      </w:r>
      <w:r>
        <w:rPr>
          <w:spacing w:val="-4"/>
          <w:sz w:val="22"/>
        </w:rPr>
        <w:t> </w:t>
      </w:r>
      <w:r>
        <w:rPr>
          <w:sz w:val="22"/>
        </w:rPr>
        <w:t>should</w:t>
      </w:r>
      <w:r>
        <w:rPr>
          <w:spacing w:val="-2"/>
          <w:sz w:val="22"/>
        </w:rPr>
        <w:t> </w:t>
      </w:r>
      <w:r>
        <w:rPr>
          <w:sz w:val="22"/>
        </w:rPr>
        <w:t>be</w:t>
      </w:r>
      <w:r>
        <w:rPr>
          <w:spacing w:val="-2"/>
          <w:sz w:val="22"/>
        </w:rPr>
        <w:t> </w:t>
      </w:r>
      <w:r>
        <w:rPr>
          <w:sz w:val="22"/>
        </w:rPr>
        <w:t>a</w:t>
      </w:r>
      <w:r>
        <w:rPr>
          <w:spacing w:val="-4"/>
          <w:sz w:val="22"/>
        </w:rPr>
        <w:t> </w:t>
      </w:r>
      <w:r>
        <w:rPr>
          <w:sz w:val="22"/>
        </w:rPr>
        <w:t>review</w:t>
      </w:r>
      <w:r>
        <w:rPr>
          <w:spacing w:val="-5"/>
          <w:sz w:val="22"/>
        </w:rPr>
        <w:t> </w:t>
      </w:r>
      <w:r>
        <w:rPr>
          <w:sz w:val="22"/>
        </w:rPr>
        <w:t>of</w:t>
      </w:r>
      <w:r>
        <w:rPr>
          <w:spacing w:val="-3"/>
          <w:sz w:val="22"/>
        </w:rPr>
        <w:t> </w:t>
      </w:r>
      <w:r>
        <w:rPr>
          <w:sz w:val="22"/>
        </w:rPr>
        <w:t>the</w:t>
      </w:r>
      <w:r>
        <w:rPr>
          <w:spacing w:val="-2"/>
          <w:sz w:val="22"/>
        </w:rPr>
        <w:t> </w:t>
      </w:r>
      <w:r>
        <w:rPr>
          <w:sz w:val="22"/>
        </w:rPr>
        <w:t>Victorian </w:t>
      </w:r>
      <w:r>
        <w:rPr>
          <w:i/>
          <w:sz w:val="22"/>
        </w:rPr>
        <w:t>Electricity Distribution Code</w:t>
      </w:r>
      <w:r>
        <w:rPr>
          <w:sz w:val="22"/>
        </w:rPr>
        <w:t>:</w:t>
      </w:r>
    </w:p>
    <w:p>
      <w:pPr>
        <w:pStyle w:val="BodyText"/>
        <w:spacing w:before="10"/>
        <w:rPr>
          <w:sz w:val="20"/>
        </w:rPr>
      </w:pPr>
    </w:p>
    <w:p>
      <w:pPr>
        <w:spacing w:line="288" w:lineRule="auto" w:before="0"/>
        <w:ind w:left="799" w:right="868" w:firstLine="0"/>
        <w:jc w:val="left"/>
        <w:rPr>
          <w:sz w:val="22"/>
        </w:rPr>
      </w:pPr>
      <w:r>
        <w:rPr>
          <w:i/>
          <w:sz w:val="22"/>
        </w:rPr>
        <w:t>“The</w:t>
      </w:r>
      <w:r>
        <w:rPr>
          <w:i/>
          <w:spacing w:val="-2"/>
          <w:sz w:val="22"/>
        </w:rPr>
        <w:t> </w:t>
      </w:r>
      <w:r>
        <w:rPr>
          <w:i/>
          <w:sz w:val="22"/>
        </w:rPr>
        <w:t>Distribution</w:t>
      </w:r>
      <w:r>
        <w:rPr>
          <w:i/>
          <w:spacing w:val="-2"/>
          <w:sz w:val="22"/>
        </w:rPr>
        <w:t> </w:t>
      </w:r>
      <w:r>
        <w:rPr>
          <w:i/>
          <w:sz w:val="22"/>
        </w:rPr>
        <w:t>Code</w:t>
      </w:r>
      <w:r>
        <w:rPr>
          <w:i/>
          <w:spacing w:val="-2"/>
          <w:sz w:val="22"/>
        </w:rPr>
        <w:t> </w:t>
      </w:r>
      <w:r>
        <w:rPr>
          <w:i/>
          <w:sz w:val="22"/>
        </w:rPr>
        <w:t>is</w:t>
      </w:r>
      <w:r>
        <w:rPr>
          <w:i/>
          <w:spacing w:val="-4"/>
          <w:sz w:val="22"/>
        </w:rPr>
        <w:t> </w:t>
      </w:r>
      <w:r>
        <w:rPr>
          <w:i/>
          <w:sz w:val="22"/>
        </w:rPr>
        <w:t>not</w:t>
      </w:r>
      <w:r>
        <w:rPr>
          <w:i/>
          <w:spacing w:val="-3"/>
          <w:sz w:val="22"/>
        </w:rPr>
        <w:t> </w:t>
      </w:r>
      <w:r>
        <w:rPr>
          <w:i/>
          <w:sz w:val="22"/>
        </w:rPr>
        <w:t>consistent</w:t>
      </w:r>
      <w:r>
        <w:rPr>
          <w:i/>
          <w:spacing w:val="-3"/>
          <w:sz w:val="22"/>
        </w:rPr>
        <w:t> </w:t>
      </w:r>
      <w:r>
        <w:rPr>
          <w:i/>
          <w:sz w:val="22"/>
        </w:rPr>
        <w:t>with</w:t>
      </w:r>
      <w:r>
        <w:rPr>
          <w:i/>
          <w:spacing w:val="-4"/>
          <w:sz w:val="22"/>
        </w:rPr>
        <w:t> </w:t>
      </w:r>
      <w:r>
        <w:rPr>
          <w:i/>
          <w:sz w:val="22"/>
        </w:rPr>
        <w:t>the</w:t>
      </w:r>
      <w:r>
        <w:rPr>
          <w:i/>
          <w:spacing w:val="-4"/>
          <w:sz w:val="22"/>
        </w:rPr>
        <w:t> </w:t>
      </w:r>
      <w:r>
        <w:rPr>
          <w:i/>
          <w:sz w:val="22"/>
        </w:rPr>
        <w:t>Australian</w:t>
      </w:r>
      <w:r>
        <w:rPr>
          <w:i/>
          <w:spacing w:val="-2"/>
          <w:sz w:val="22"/>
        </w:rPr>
        <w:t> </w:t>
      </w:r>
      <w:r>
        <w:rPr>
          <w:i/>
          <w:sz w:val="22"/>
        </w:rPr>
        <w:t>standard</w:t>
      </w:r>
      <w:r>
        <w:rPr>
          <w:i/>
          <w:spacing w:val="-4"/>
          <w:sz w:val="22"/>
        </w:rPr>
        <w:t> </w:t>
      </w:r>
      <w:r>
        <w:rPr>
          <w:i/>
          <w:sz w:val="22"/>
        </w:rPr>
        <w:t>employed</w:t>
      </w:r>
      <w:r>
        <w:rPr>
          <w:i/>
          <w:spacing w:val="-2"/>
          <w:sz w:val="22"/>
        </w:rPr>
        <w:t> </w:t>
      </w:r>
      <w:r>
        <w:rPr>
          <w:i/>
          <w:sz w:val="22"/>
        </w:rPr>
        <w:t>by</w:t>
      </w:r>
      <w:r>
        <w:rPr>
          <w:i/>
          <w:spacing w:val="-2"/>
          <w:sz w:val="22"/>
        </w:rPr>
        <w:t> </w:t>
      </w:r>
      <w:r>
        <w:rPr>
          <w:i/>
          <w:sz w:val="22"/>
        </w:rPr>
        <w:t>other Australian jurisdictions. It is more onerous than the other standards, which drives up costs to customers without delivering additional benefits. A review of the Code should be carried out to align Victorian technical regulations with that of the other states.” </w:t>
      </w:r>
      <w:r>
        <w:rPr>
          <w:sz w:val="22"/>
        </w:rPr>
        <w:t>(United Energy, 2017, p. 11)</w:t>
      </w:r>
    </w:p>
    <w:p>
      <w:pPr>
        <w:pStyle w:val="BodyText"/>
        <w:spacing w:before="9"/>
        <w:rPr>
          <w:sz w:val="20"/>
        </w:rPr>
      </w:pPr>
    </w:p>
    <w:p>
      <w:pPr>
        <w:pStyle w:val="BodyText"/>
        <w:spacing w:line="288" w:lineRule="auto"/>
        <w:ind w:left="232" w:right="304"/>
      </w:pPr>
      <w:r>
        <w:rPr/>
        <w:t>A commonly cited example of the lack of consistency between the safety framework and the distribution codes is the recently mandated installation of Rapid Earth Fault Current Limiters (REFCLs).</w:t>
      </w:r>
      <w:r>
        <w:rPr>
          <w:spacing w:val="-2"/>
        </w:rPr>
        <w:t> </w:t>
      </w:r>
      <w:r>
        <w:rPr/>
        <w:t>REFCLs</w:t>
      </w:r>
      <w:r>
        <w:rPr>
          <w:spacing w:val="-2"/>
        </w:rPr>
        <w:t> </w:t>
      </w:r>
      <w:r>
        <w:rPr/>
        <w:t>may</w:t>
      </w:r>
      <w:r>
        <w:rPr>
          <w:spacing w:val="-6"/>
        </w:rPr>
        <w:t> </w:t>
      </w:r>
      <w:r>
        <w:rPr/>
        <w:t>be</w:t>
      </w:r>
      <w:r>
        <w:rPr>
          <w:spacing w:val="-2"/>
        </w:rPr>
        <w:t> </w:t>
      </w:r>
      <w:r>
        <w:rPr/>
        <w:t>used</w:t>
      </w:r>
      <w:r>
        <w:rPr>
          <w:spacing w:val="-4"/>
        </w:rPr>
        <w:t> </w:t>
      </w:r>
      <w:r>
        <w:rPr/>
        <w:t>to</w:t>
      </w:r>
      <w:r>
        <w:rPr>
          <w:spacing w:val="-6"/>
        </w:rPr>
        <w:t> </w:t>
      </w:r>
      <w:r>
        <w:rPr/>
        <w:t>minimise</w:t>
      </w:r>
      <w:r>
        <w:rPr>
          <w:spacing w:val="-2"/>
        </w:rPr>
        <w:t> </w:t>
      </w:r>
      <w:r>
        <w:rPr/>
        <w:t>bushfire</w:t>
      </w:r>
      <w:r>
        <w:rPr>
          <w:spacing w:val="-4"/>
        </w:rPr>
        <w:t> </w:t>
      </w:r>
      <w:r>
        <w:rPr/>
        <w:t>risk</w:t>
      </w:r>
      <w:r>
        <w:rPr>
          <w:spacing w:val="-1"/>
        </w:rPr>
        <w:t> </w:t>
      </w:r>
      <w:r>
        <w:rPr/>
        <w:t>from</w:t>
      </w:r>
      <w:r>
        <w:rPr>
          <w:spacing w:val="-1"/>
        </w:rPr>
        <w:t> </w:t>
      </w:r>
      <w:r>
        <w:rPr/>
        <w:t>electrical</w:t>
      </w:r>
      <w:r>
        <w:rPr>
          <w:spacing w:val="-5"/>
        </w:rPr>
        <w:t> </w:t>
      </w:r>
      <w:r>
        <w:rPr/>
        <w:t>faults, and</w:t>
      </w:r>
      <w:r>
        <w:rPr>
          <w:spacing w:val="-4"/>
        </w:rPr>
        <w:t> </w:t>
      </w:r>
      <w:r>
        <w:rPr/>
        <w:t>legislation</w:t>
      </w:r>
      <w:r>
        <w:rPr>
          <w:spacing w:val="-2"/>
        </w:rPr>
        <w:t> </w:t>
      </w:r>
      <w:r>
        <w:rPr/>
        <w:t>has recently passed to require installation of REFCLs, or similar technology, in high-risk areas to</w:t>
      </w:r>
      <w:r>
        <w:rPr/>
        <w:t> reduce bushfire risk (Parliament of Victoria, 2017).</w:t>
      </w:r>
    </w:p>
    <w:p>
      <w:pPr>
        <w:pStyle w:val="BodyText"/>
        <w:rPr>
          <w:sz w:val="21"/>
        </w:rPr>
      </w:pPr>
    </w:p>
    <w:p>
      <w:pPr>
        <w:spacing w:line="288" w:lineRule="auto" w:before="0"/>
        <w:ind w:left="232" w:right="320" w:firstLine="0"/>
        <w:jc w:val="left"/>
        <w:rPr>
          <w:sz w:val="22"/>
        </w:rPr>
      </w:pPr>
      <w:r>
        <w:rPr>
          <w:sz w:val="22"/>
        </w:rPr>
        <w:t>When</w:t>
      </w:r>
      <w:r>
        <w:rPr>
          <w:spacing w:val="-2"/>
          <w:sz w:val="22"/>
        </w:rPr>
        <w:t> </w:t>
      </w:r>
      <w:r>
        <w:rPr>
          <w:sz w:val="22"/>
        </w:rPr>
        <w:t>REFCLs</w:t>
      </w:r>
      <w:r>
        <w:rPr>
          <w:spacing w:val="-2"/>
          <w:sz w:val="22"/>
        </w:rPr>
        <w:t> </w:t>
      </w:r>
      <w:r>
        <w:rPr>
          <w:sz w:val="22"/>
        </w:rPr>
        <w:t>are</w:t>
      </w:r>
      <w:r>
        <w:rPr>
          <w:spacing w:val="-2"/>
          <w:sz w:val="22"/>
        </w:rPr>
        <w:t> </w:t>
      </w:r>
      <w:r>
        <w:rPr>
          <w:sz w:val="22"/>
        </w:rPr>
        <w:t>activated</w:t>
      </w:r>
      <w:r>
        <w:rPr>
          <w:spacing w:val="-2"/>
          <w:sz w:val="22"/>
        </w:rPr>
        <w:t> </w:t>
      </w:r>
      <w:r>
        <w:rPr>
          <w:sz w:val="22"/>
        </w:rPr>
        <w:t>due</w:t>
      </w:r>
      <w:r>
        <w:rPr>
          <w:spacing w:val="-4"/>
          <w:sz w:val="22"/>
        </w:rPr>
        <w:t> </w:t>
      </w:r>
      <w:r>
        <w:rPr>
          <w:sz w:val="22"/>
        </w:rPr>
        <w:t>to</w:t>
      </w:r>
      <w:r>
        <w:rPr>
          <w:spacing w:val="-4"/>
          <w:sz w:val="22"/>
        </w:rPr>
        <w:t> </w:t>
      </w:r>
      <w:r>
        <w:rPr>
          <w:sz w:val="22"/>
        </w:rPr>
        <w:t>an</w:t>
      </w:r>
      <w:r>
        <w:rPr>
          <w:spacing w:val="-2"/>
          <w:sz w:val="22"/>
        </w:rPr>
        <w:t> </w:t>
      </w:r>
      <w:r>
        <w:rPr>
          <w:sz w:val="22"/>
        </w:rPr>
        <w:t>electrical</w:t>
      </w:r>
      <w:r>
        <w:rPr>
          <w:spacing w:val="-4"/>
          <w:sz w:val="22"/>
        </w:rPr>
        <w:t> </w:t>
      </w:r>
      <w:r>
        <w:rPr>
          <w:sz w:val="22"/>
        </w:rPr>
        <w:t>fault,</w:t>
      </w:r>
      <w:r>
        <w:rPr>
          <w:spacing w:val="-3"/>
          <w:sz w:val="22"/>
        </w:rPr>
        <w:t> </w:t>
      </w:r>
      <w:r>
        <w:rPr>
          <w:sz w:val="22"/>
        </w:rPr>
        <w:t>voltage</w:t>
      </w:r>
      <w:r>
        <w:rPr>
          <w:spacing w:val="-4"/>
          <w:sz w:val="22"/>
        </w:rPr>
        <w:t> </w:t>
      </w:r>
      <w:r>
        <w:rPr>
          <w:sz w:val="22"/>
        </w:rPr>
        <w:t>increases</w:t>
      </w:r>
      <w:r>
        <w:rPr>
          <w:spacing w:val="-4"/>
          <w:sz w:val="22"/>
        </w:rPr>
        <w:t> </w:t>
      </w:r>
      <w:r>
        <w:rPr>
          <w:sz w:val="22"/>
        </w:rPr>
        <w:t>can</w:t>
      </w:r>
      <w:r>
        <w:rPr>
          <w:spacing w:val="-2"/>
          <w:sz w:val="22"/>
        </w:rPr>
        <w:t> </w:t>
      </w:r>
      <w:r>
        <w:rPr>
          <w:sz w:val="22"/>
        </w:rPr>
        <w:t>occur</w:t>
      </w:r>
      <w:r>
        <w:rPr>
          <w:spacing w:val="-3"/>
          <w:sz w:val="22"/>
        </w:rPr>
        <w:t> </w:t>
      </w:r>
      <w:r>
        <w:rPr>
          <w:sz w:val="22"/>
        </w:rPr>
        <w:t>that</w:t>
      </w:r>
      <w:r>
        <w:rPr>
          <w:spacing w:val="-3"/>
          <w:sz w:val="22"/>
        </w:rPr>
        <w:t> </w:t>
      </w:r>
      <w:r>
        <w:rPr>
          <w:sz w:val="22"/>
        </w:rPr>
        <w:t>exceed</w:t>
      </w:r>
      <w:r>
        <w:rPr>
          <w:spacing w:val="-2"/>
          <w:sz w:val="22"/>
        </w:rPr>
        <w:t> </w:t>
      </w:r>
      <w:r>
        <w:rPr>
          <w:sz w:val="22"/>
        </w:rPr>
        <w:t>the permissible level</w:t>
      </w:r>
      <w:r>
        <w:rPr>
          <w:spacing w:val="-1"/>
          <w:sz w:val="22"/>
        </w:rPr>
        <w:t> </w:t>
      </w:r>
      <w:r>
        <w:rPr>
          <w:sz w:val="22"/>
        </w:rPr>
        <w:t>specified in the </w:t>
      </w:r>
      <w:r>
        <w:rPr>
          <w:i/>
          <w:sz w:val="22"/>
        </w:rPr>
        <w:t>Electricity Distribution Code</w:t>
      </w:r>
      <w:r>
        <w:rPr>
          <w:sz w:val="22"/>
        </w:rPr>
        <w:t>.</w:t>
      </w:r>
      <w:r>
        <w:rPr>
          <w:spacing w:val="-1"/>
          <w:sz w:val="22"/>
        </w:rPr>
        <w:t> </w:t>
      </w:r>
      <w:r>
        <w:rPr>
          <w:sz w:val="22"/>
        </w:rPr>
        <w:t>(This is</w:t>
      </w:r>
      <w:r>
        <w:rPr>
          <w:spacing w:val="-4"/>
          <w:sz w:val="22"/>
        </w:rPr>
        <w:t> </w:t>
      </w:r>
      <w:r>
        <w:rPr>
          <w:sz w:val="22"/>
        </w:rPr>
        <w:t>further discussed</w:t>
      </w:r>
      <w:r>
        <w:rPr>
          <w:spacing w:val="-2"/>
          <w:sz w:val="22"/>
        </w:rPr>
        <w:t> </w:t>
      </w:r>
      <w:r>
        <w:rPr>
          <w:sz w:val="22"/>
        </w:rPr>
        <w:t>in </w:t>
      </w:r>
      <w:r>
        <w:rPr>
          <w:i/>
          <w:sz w:val="22"/>
        </w:rPr>
        <w:t>Chapter 6: Programs to Address Bushfire Risk in Victoria</w:t>
      </w:r>
      <w:r>
        <w:rPr>
          <w:sz w:val="22"/>
        </w:rPr>
        <w:t>). Therefore, network businesses run the risk of breaching the </w:t>
      </w:r>
      <w:r>
        <w:rPr>
          <w:i/>
          <w:sz w:val="22"/>
        </w:rPr>
        <w:t>Electricity Distribution Code </w:t>
      </w:r>
      <w:r>
        <w:rPr>
          <w:sz w:val="22"/>
        </w:rPr>
        <w:t>when there is a temporary change in voltage as part of the normal operation of a REFCL.</w:t>
      </w:r>
    </w:p>
    <w:p>
      <w:pPr>
        <w:pStyle w:val="BodyText"/>
        <w:spacing w:before="10"/>
        <w:rPr>
          <w:sz w:val="20"/>
        </w:rPr>
      </w:pPr>
    </w:p>
    <w:p>
      <w:pPr>
        <w:pStyle w:val="BodyText"/>
        <w:spacing w:line="288" w:lineRule="auto"/>
        <w:ind w:left="232" w:right="374"/>
      </w:pPr>
      <w:r>
        <w:rPr/>
        <w:t>As part of its work program to review the electricity and gas distribution codes, the ESC has committed to review the voltage variation standards outlined in Clause 4.2.2 of the </w:t>
      </w:r>
      <w:r>
        <w:rPr>
          <w:i/>
        </w:rPr>
        <w:t>Electricity Distribution</w:t>
      </w:r>
      <w:r>
        <w:rPr>
          <w:i/>
          <w:spacing w:val="-1"/>
        </w:rPr>
        <w:t> </w:t>
      </w:r>
      <w:r>
        <w:rPr>
          <w:i/>
        </w:rPr>
        <w:t>Code </w:t>
      </w:r>
      <w:r>
        <w:rPr/>
        <w:t>in</w:t>
      </w:r>
      <w:r>
        <w:rPr>
          <w:spacing w:val="-3"/>
        </w:rPr>
        <w:t> </w:t>
      </w:r>
      <w:r>
        <w:rPr/>
        <w:t>the</w:t>
      </w:r>
      <w:r>
        <w:rPr>
          <w:spacing w:val="-6"/>
        </w:rPr>
        <w:t> </w:t>
      </w:r>
      <w:r>
        <w:rPr/>
        <w:t>2017–18</w:t>
      </w:r>
      <w:r>
        <w:rPr>
          <w:spacing w:val="-3"/>
        </w:rPr>
        <w:t> </w:t>
      </w:r>
      <w:r>
        <w:rPr/>
        <w:t>financial</w:t>
      </w:r>
      <w:r>
        <w:rPr>
          <w:spacing w:val="-2"/>
        </w:rPr>
        <w:t> </w:t>
      </w:r>
      <w:r>
        <w:rPr/>
        <w:t>year.</w:t>
      </w:r>
      <w:r>
        <w:rPr>
          <w:spacing w:val="-4"/>
        </w:rPr>
        <w:t> </w:t>
      </w:r>
      <w:r>
        <w:rPr/>
        <w:t>The</w:t>
      </w:r>
      <w:r>
        <w:rPr>
          <w:spacing w:val="-3"/>
        </w:rPr>
        <w:t> </w:t>
      </w:r>
      <w:r>
        <w:rPr/>
        <w:t>purpose</w:t>
      </w:r>
      <w:r>
        <w:rPr>
          <w:spacing w:val="-3"/>
        </w:rPr>
        <w:t> </w:t>
      </w:r>
      <w:r>
        <w:rPr/>
        <w:t>of the</w:t>
      </w:r>
      <w:r>
        <w:rPr>
          <w:spacing w:val="-3"/>
        </w:rPr>
        <w:t> </w:t>
      </w:r>
      <w:r>
        <w:rPr/>
        <w:t>voltage</w:t>
      </w:r>
      <w:r>
        <w:rPr>
          <w:spacing w:val="-3"/>
        </w:rPr>
        <w:t> </w:t>
      </w:r>
      <w:r>
        <w:rPr/>
        <w:t>standards</w:t>
      </w:r>
      <w:r>
        <w:rPr>
          <w:spacing w:val="-3"/>
        </w:rPr>
        <w:t> </w:t>
      </w:r>
      <w:r>
        <w:rPr/>
        <w:t>review</w:t>
      </w:r>
      <w:r>
        <w:rPr>
          <w:spacing w:val="-4"/>
        </w:rPr>
        <w:t> </w:t>
      </w:r>
      <w:r>
        <w:rPr/>
        <w:t>is to see whether there is a need to amend these standards in light of the new </w:t>
      </w:r>
      <w:r>
        <w:rPr>
          <w:i/>
        </w:rPr>
        <w:t>Electricity Safety (Bushfire Mitigation) Regulations 2013</w:t>
      </w:r>
      <w:r>
        <w:rPr/>
        <w:t>. The ESC has signalled its intention to work closely with ESV on its review.</w:t>
      </w:r>
    </w:p>
    <w:p>
      <w:pPr>
        <w:spacing w:after="0" w:line="288" w:lineRule="auto"/>
        <w:sectPr>
          <w:pgSz w:w="11910" w:h="16850"/>
          <w:pgMar w:header="220" w:footer="678" w:top="420" w:bottom="860" w:left="900" w:right="840"/>
        </w:sectPr>
      </w:pPr>
    </w:p>
    <w:p>
      <w:pPr>
        <w:pStyle w:val="BodyText"/>
        <w:rPr>
          <w:sz w:val="20"/>
        </w:rPr>
      </w:pPr>
    </w:p>
    <w:p>
      <w:pPr>
        <w:pStyle w:val="BodyText"/>
        <w:spacing w:before="2"/>
        <w:rPr>
          <w:sz w:val="19"/>
        </w:rPr>
      </w:pPr>
    </w:p>
    <w:p>
      <w:pPr>
        <w:pStyle w:val="BodyText"/>
        <w:spacing w:line="288" w:lineRule="auto" w:before="94"/>
        <w:ind w:left="232" w:right="320"/>
      </w:pPr>
      <w:r>
        <w:rPr/>
        <w:t>The distribution codes include both consumer protection and technical regulation standards. The Commission must set these standards in a manner that promotes the long-term interests of Victorian</w:t>
      </w:r>
      <w:r>
        <w:rPr>
          <w:spacing w:val="-3"/>
        </w:rPr>
        <w:t> </w:t>
      </w:r>
      <w:r>
        <w:rPr/>
        <w:t>consumers,</w:t>
      </w:r>
      <w:r>
        <w:rPr>
          <w:spacing w:val="-4"/>
        </w:rPr>
        <w:t> </w:t>
      </w:r>
      <w:r>
        <w:rPr/>
        <w:t>having</w:t>
      </w:r>
      <w:r>
        <w:rPr>
          <w:spacing w:val="-1"/>
        </w:rPr>
        <w:t> </w:t>
      </w:r>
      <w:r>
        <w:rPr/>
        <w:t>regard</w:t>
      </w:r>
      <w:r>
        <w:rPr>
          <w:spacing w:val="-4"/>
        </w:rPr>
        <w:t> </w:t>
      </w:r>
      <w:r>
        <w:rPr/>
        <w:t>to</w:t>
      </w:r>
      <w:r>
        <w:rPr>
          <w:spacing w:val="-5"/>
        </w:rPr>
        <w:t> </w:t>
      </w:r>
      <w:r>
        <w:rPr/>
        <w:t>impact</w:t>
      </w:r>
      <w:r>
        <w:rPr>
          <w:spacing w:val="-4"/>
        </w:rPr>
        <w:t> </w:t>
      </w:r>
      <w:r>
        <w:rPr/>
        <w:t>of</w:t>
      </w:r>
      <w:r>
        <w:rPr>
          <w:spacing w:val="-1"/>
        </w:rPr>
        <w:t> </w:t>
      </w:r>
      <w:r>
        <w:rPr/>
        <w:t>these</w:t>
      </w:r>
      <w:r>
        <w:rPr>
          <w:spacing w:val="-3"/>
        </w:rPr>
        <w:t> </w:t>
      </w:r>
      <w:r>
        <w:rPr/>
        <w:t>standards</w:t>
      </w:r>
      <w:r>
        <w:rPr>
          <w:spacing w:val="-4"/>
        </w:rPr>
        <w:t> </w:t>
      </w:r>
      <w:r>
        <w:rPr/>
        <w:t>on</w:t>
      </w:r>
      <w:r>
        <w:rPr>
          <w:spacing w:val="-5"/>
        </w:rPr>
        <w:t> </w:t>
      </w:r>
      <w:r>
        <w:rPr/>
        <w:t>the</w:t>
      </w:r>
      <w:r>
        <w:rPr>
          <w:spacing w:val="-3"/>
        </w:rPr>
        <w:t> </w:t>
      </w:r>
      <w:r>
        <w:rPr/>
        <w:t>price,</w:t>
      </w:r>
      <w:r>
        <w:rPr>
          <w:spacing w:val="-4"/>
        </w:rPr>
        <w:t> </w:t>
      </w:r>
      <w:r>
        <w:rPr/>
        <w:t>quality</w:t>
      </w:r>
      <w:r>
        <w:rPr>
          <w:spacing w:val="-4"/>
        </w:rPr>
        <w:t> </w:t>
      </w:r>
      <w:r>
        <w:rPr/>
        <w:t>and</w:t>
      </w:r>
      <w:r>
        <w:rPr>
          <w:spacing w:val="-3"/>
        </w:rPr>
        <w:t> </w:t>
      </w:r>
      <w:r>
        <w:rPr/>
        <w:t>reliability of the essential service.</w:t>
      </w:r>
    </w:p>
    <w:p>
      <w:pPr>
        <w:pStyle w:val="BodyText"/>
        <w:spacing w:before="10"/>
        <w:rPr>
          <w:sz w:val="20"/>
        </w:rPr>
      </w:pPr>
    </w:p>
    <w:p>
      <w:pPr>
        <w:pStyle w:val="BodyText"/>
        <w:spacing w:line="288" w:lineRule="auto" w:before="1"/>
        <w:ind w:left="232" w:right="374"/>
      </w:pPr>
      <w:r>
        <w:rPr/>
        <w:t>The ESC has indicated that it will be reviewing the distribution codes more broadly. In its review, the ESC should consider a number of options relating to the technical components within the codes. In particular, a review of the codes should clearly define the technical elements of the electricity</w:t>
      </w:r>
      <w:r>
        <w:rPr>
          <w:spacing w:val="-4"/>
        </w:rPr>
        <w:t> </w:t>
      </w:r>
      <w:r>
        <w:rPr/>
        <w:t>and</w:t>
      </w:r>
      <w:r>
        <w:rPr>
          <w:spacing w:val="-4"/>
        </w:rPr>
        <w:t> </w:t>
      </w:r>
      <w:r>
        <w:rPr/>
        <w:t>gas</w:t>
      </w:r>
      <w:r>
        <w:rPr>
          <w:spacing w:val="-4"/>
        </w:rPr>
        <w:t> </w:t>
      </w:r>
      <w:r>
        <w:rPr/>
        <w:t>distribution</w:t>
      </w:r>
      <w:r>
        <w:rPr>
          <w:spacing w:val="-2"/>
        </w:rPr>
        <w:t> </w:t>
      </w:r>
      <w:r>
        <w:rPr/>
        <w:t>codes, and</w:t>
      </w:r>
      <w:r>
        <w:rPr>
          <w:spacing w:val="-4"/>
        </w:rPr>
        <w:t> </w:t>
      </w:r>
      <w:r>
        <w:rPr/>
        <w:t>consider</w:t>
      </w:r>
      <w:r>
        <w:rPr>
          <w:spacing w:val="-3"/>
        </w:rPr>
        <w:t> </w:t>
      </w:r>
      <w:r>
        <w:rPr/>
        <w:t>the</w:t>
      </w:r>
      <w:r>
        <w:rPr>
          <w:spacing w:val="-4"/>
        </w:rPr>
        <w:t> </w:t>
      </w:r>
      <w:r>
        <w:rPr/>
        <w:t>role</w:t>
      </w:r>
      <w:r>
        <w:rPr>
          <w:spacing w:val="-2"/>
        </w:rPr>
        <w:t> </w:t>
      </w:r>
      <w:r>
        <w:rPr/>
        <w:t>that ESV</w:t>
      </w:r>
      <w:r>
        <w:rPr>
          <w:spacing w:val="-4"/>
        </w:rPr>
        <w:t> </w:t>
      </w:r>
      <w:r>
        <w:rPr/>
        <w:t>could</w:t>
      </w:r>
      <w:r>
        <w:rPr>
          <w:spacing w:val="-4"/>
        </w:rPr>
        <w:t> </w:t>
      </w:r>
      <w:r>
        <w:rPr/>
        <w:t>play</w:t>
      </w:r>
      <w:r>
        <w:rPr>
          <w:spacing w:val="-4"/>
        </w:rPr>
        <w:t> </w:t>
      </w:r>
      <w:r>
        <w:rPr/>
        <w:t>in</w:t>
      </w:r>
      <w:r>
        <w:rPr>
          <w:spacing w:val="-2"/>
        </w:rPr>
        <w:t> </w:t>
      </w:r>
      <w:r>
        <w:rPr/>
        <w:t>the</w:t>
      </w:r>
      <w:r>
        <w:rPr>
          <w:spacing w:val="-2"/>
        </w:rPr>
        <w:t> </w:t>
      </w:r>
      <w:r>
        <w:rPr/>
        <w:t>compliance and enforcement of the technical elements.</w:t>
      </w:r>
    </w:p>
    <w:p>
      <w:pPr>
        <w:pStyle w:val="BodyText"/>
        <w:spacing w:before="8"/>
        <w:rPr>
          <w:sz w:val="20"/>
        </w:rPr>
      </w:pPr>
    </w:p>
    <w:p>
      <w:pPr>
        <w:pStyle w:val="BodyText"/>
        <w:spacing w:line="288" w:lineRule="auto" w:before="1"/>
        <w:ind w:left="232" w:right="286"/>
      </w:pPr>
      <w:r>
        <w:rPr/>
        <w:t>The ESC, as the State’s economic regulator, ensures that technical standards for the energy industry</w:t>
      </w:r>
      <w:r>
        <w:rPr>
          <w:spacing w:val="-1"/>
        </w:rPr>
        <w:t> </w:t>
      </w:r>
      <w:r>
        <w:rPr/>
        <w:t>are</w:t>
      </w:r>
      <w:r>
        <w:rPr>
          <w:spacing w:val="-1"/>
        </w:rPr>
        <w:t> </w:t>
      </w:r>
      <w:r>
        <w:rPr/>
        <w:t>set at an economically</w:t>
      </w:r>
      <w:r>
        <w:rPr>
          <w:spacing w:val="-1"/>
        </w:rPr>
        <w:t> </w:t>
      </w:r>
      <w:r>
        <w:rPr/>
        <w:t>efficient level, having regard</w:t>
      </w:r>
      <w:r>
        <w:rPr>
          <w:spacing w:val="-1"/>
        </w:rPr>
        <w:t> </w:t>
      </w:r>
      <w:r>
        <w:rPr/>
        <w:t>to</w:t>
      </w:r>
      <w:r>
        <w:rPr>
          <w:spacing w:val="-1"/>
        </w:rPr>
        <w:t> </w:t>
      </w:r>
      <w:r>
        <w:rPr/>
        <w:t>relevant safety legislation. ESV, as</w:t>
      </w:r>
      <w:r>
        <w:rPr>
          <w:spacing w:val="-2"/>
        </w:rPr>
        <w:t> </w:t>
      </w:r>
      <w:r>
        <w:rPr/>
        <w:t>the</w:t>
      </w:r>
      <w:r>
        <w:rPr>
          <w:spacing w:val="-4"/>
        </w:rPr>
        <w:t> </w:t>
      </w:r>
      <w:r>
        <w:rPr/>
        <w:t>safety</w:t>
      </w:r>
      <w:r>
        <w:rPr>
          <w:spacing w:val="-3"/>
        </w:rPr>
        <w:t> </w:t>
      </w:r>
      <w:r>
        <w:rPr/>
        <w:t>regulator,</w:t>
      </w:r>
      <w:r>
        <w:rPr>
          <w:spacing w:val="-3"/>
        </w:rPr>
        <w:t> </w:t>
      </w:r>
      <w:r>
        <w:rPr/>
        <w:t>has</w:t>
      </w:r>
      <w:r>
        <w:rPr>
          <w:spacing w:val="-2"/>
        </w:rPr>
        <w:t> </w:t>
      </w:r>
      <w:r>
        <w:rPr/>
        <w:t>relevant</w:t>
      </w:r>
      <w:r>
        <w:rPr>
          <w:spacing w:val="-3"/>
        </w:rPr>
        <w:t> </w:t>
      </w:r>
      <w:r>
        <w:rPr/>
        <w:t>technical</w:t>
      </w:r>
      <w:r>
        <w:rPr>
          <w:spacing w:val="-3"/>
        </w:rPr>
        <w:t> </w:t>
      </w:r>
      <w:r>
        <w:rPr/>
        <w:t>expertise to</w:t>
      </w:r>
      <w:r>
        <w:rPr>
          <w:spacing w:val="-4"/>
        </w:rPr>
        <w:t> </w:t>
      </w:r>
      <w:r>
        <w:rPr/>
        <w:t>monitor</w:t>
      </w:r>
      <w:r>
        <w:rPr>
          <w:spacing w:val="-1"/>
        </w:rPr>
        <w:t> </w:t>
      </w:r>
      <w:r>
        <w:rPr/>
        <w:t>and</w:t>
      </w:r>
      <w:r>
        <w:rPr>
          <w:spacing w:val="-4"/>
        </w:rPr>
        <w:t> </w:t>
      </w:r>
      <w:r>
        <w:rPr/>
        <w:t>enforce</w:t>
      </w:r>
      <w:r>
        <w:rPr>
          <w:spacing w:val="-1"/>
        </w:rPr>
        <w:t> </w:t>
      </w:r>
      <w:r>
        <w:rPr/>
        <w:t>compliance</w:t>
      </w:r>
      <w:r>
        <w:rPr>
          <w:spacing w:val="-2"/>
        </w:rPr>
        <w:t> </w:t>
      </w:r>
      <w:r>
        <w:rPr/>
        <w:t>with</w:t>
      </w:r>
      <w:r>
        <w:rPr>
          <w:spacing w:val="-2"/>
        </w:rPr>
        <w:t> </w:t>
      </w:r>
      <w:r>
        <w:rPr/>
        <w:t>the relevant standards.</w:t>
      </w:r>
    </w:p>
    <w:p>
      <w:pPr>
        <w:pStyle w:val="BodyText"/>
        <w:spacing w:before="10"/>
        <w:rPr>
          <w:sz w:val="20"/>
        </w:rPr>
      </w:pPr>
    </w:p>
    <w:p>
      <w:pPr>
        <w:pStyle w:val="BodyText"/>
        <w:spacing w:line="288" w:lineRule="auto"/>
        <w:ind w:left="232" w:right="525"/>
      </w:pPr>
      <w:r>
        <w:rPr/>
        <w:t>The</w:t>
      </w:r>
      <w:r>
        <w:rPr>
          <w:spacing w:val="-4"/>
        </w:rPr>
        <w:t> </w:t>
      </w:r>
      <w:r>
        <w:rPr/>
        <w:t>ESC</w:t>
      </w:r>
      <w:r>
        <w:rPr>
          <w:spacing w:val="-2"/>
        </w:rPr>
        <w:t> </w:t>
      </w:r>
      <w:r>
        <w:rPr/>
        <w:t>already</w:t>
      </w:r>
      <w:r>
        <w:rPr>
          <w:spacing w:val="-4"/>
        </w:rPr>
        <w:t> </w:t>
      </w:r>
      <w:r>
        <w:rPr/>
        <w:t>has</w:t>
      </w:r>
      <w:r>
        <w:rPr>
          <w:spacing w:val="-1"/>
        </w:rPr>
        <w:t> </w:t>
      </w:r>
      <w:r>
        <w:rPr/>
        <w:t>arrangements</w:t>
      </w:r>
      <w:r>
        <w:rPr>
          <w:spacing w:val="-4"/>
        </w:rPr>
        <w:t> </w:t>
      </w:r>
      <w:r>
        <w:rPr/>
        <w:t>with</w:t>
      </w:r>
      <w:r>
        <w:rPr>
          <w:spacing w:val="-2"/>
        </w:rPr>
        <w:t> </w:t>
      </w:r>
      <w:r>
        <w:rPr/>
        <w:t>the</w:t>
      </w:r>
      <w:r>
        <w:rPr>
          <w:spacing w:val="-1"/>
        </w:rPr>
        <w:t> </w:t>
      </w:r>
      <w:r>
        <w:rPr/>
        <w:t>AER</w:t>
      </w:r>
      <w:r>
        <w:rPr>
          <w:spacing w:val="-2"/>
        </w:rPr>
        <w:t> </w:t>
      </w:r>
      <w:r>
        <w:rPr/>
        <w:t>where</w:t>
      </w:r>
      <w:r>
        <w:rPr>
          <w:spacing w:val="-2"/>
        </w:rPr>
        <w:t> </w:t>
      </w:r>
      <w:r>
        <w:rPr/>
        <w:t>standards</w:t>
      </w:r>
      <w:r>
        <w:rPr>
          <w:spacing w:val="-2"/>
        </w:rPr>
        <w:t> </w:t>
      </w:r>
      <w:r>
        <w:rPr/>
        <w:t>set</w:t>
      </w:r>
      <w:r>
        <w:rPr>
          <w:spacing w:val="-3"/>
        </w:rPr>
        <w:t> </w:t>
      </w:r>
      <w:r>
        <w:rPr/>
        <w:t>by</w:t>
      </w:r>
      <w:r>
        <w:rPr>
          <w:spacing w:val="-4"/>
        </w:rPr>
        <w:t> </w:t>
      </w:r>
      <w:r>
        <w:rPr/>
        <w:t>the</w:t>
      </w:r>
      <w:r>
        <w:rPr>
          <w:spacing w:val="-2"/>
        </w:rPr>
        <w:t> </w:t>
      </w:r>
      <w:r>
        <w:rPr/>
        <w:t>ESC</w:t>
      </w:r>
      <w:r>
        <w:rPr>
          <w:spacing w:val="-2"/>
        </w:rPr>
        <w:t> </w:t>
      </w:r>
      <w:r>
        <w:rPr/>
        <w:t>are</w:t>
      </w:r>
      <w:r>
        <w:rPr>
          <w:spacing w:val="-2"/>
        </w:rPr>
        <w:t> </w:t>
      </w:r>
      <w:r>
        <w:rPr/>
        <w:t>enforced by the AER. Similar arrangements could be considered with ESV in relation to the technical elements of the codes.</w:t>
      </w:r>
    </w:p>
    <w:p>
      <w:pPr>
        <w:pStyle w:val="BodyText"/>
        <w:spacing w:before="8"/>
        <w:rPr>
          <w:sz w:val="18"/>
        </w:rPr>
      </w:pPr>
      <w:r>
        <w:rPr/>
        <mc:AlternateContent>
          <mc:Choice Requires="wps">
            <w:drawing>
              <wp:anchor distT="0" distB="0" distL="0" distR="0" allowOverlap="1" layoutInCell="1" locked="0" behindDoc="1" simplePos="0" relativeHeight="487632896">
                <wp:simplePos x="0" y="0"/>
                <wp:positionH relativeFrom="page">
                  <wp:posOffset>719327</wp:posOffset>
                </wp:positionH>
                <wp:positionV relativeFrom="paragraph">
                  <wp:posOffset>152024</wp:posOffset>
                </wp:positionV>
                <wp:extent cx="5870575" cy="1670685"/>
                <wp:effectExtent l="0" t="0" r="0" b="0"/>
                <wp:wrapTopAndBottom/>
                <wp:docPr id="151" name="Textbox 151"/>
                <wp:cNvGraphicFramePr>
                  <a:graphicFrameLocks/>
                </wp:cNvGraphicFramePr>
                <a:graphic>
                  <a:graphicData uri="http://schemas.microsoft.com/office/word/2010/wordprocessingShape">
                    <wps:wsp>
                      <wps:cNvPr id="151" name="Textbox 151"/>
                      <wps:cNvSpPr txBox="1"/>
                      <wps:spPr>
                        <a:xfrm>
                          <a:off x="0" y="0"/>
                          <a:ext cx="5870575" cy="1670685"/>
                        </a:xfrm>
                        <a:prstGeom prst="rect">
                          <a:avLst/>
                        </a:prstGeom>
                        <a:solidFill>
                          <a:srgbClr val="D9D9D9"/>
                        </a:solidFill>
                      </wps:spPr>
                      <wps:txbx>
                        <w:txbxContent>
                          <w:p>
                            <w:pPr>
                              <w:pStyle w:val="BodyText"/>
                              <w:spacing w:before="6"/>
                              <w:rPr>
                                <w:color w:val="000000"/>
                                <w:sz w:val="36"/>
                              </w:rPr>
                            </w:pPr>
                          </w:p>
                          <w:p>
                            <w:pPr>
                              <w:spacing w:before="0"/>
                              <w:ind w:left="141" w:right="0" w:firstLine="0"/>
                              <w:jc w:val="left"/>
                              <w:rPr>
                                <w:b/>
                                <w:color w:val="000000"/>
                                <w:sz w:val="24"/>
                              </w:rPr>
                            </w:pPr>
                            <w:r>
                              <w:rPr>
                                <w:b/>
                                <w:color w:val="000000"/>
                                <w:spacing w:val="-2"/>
                                <w:sz w:val="24"/>
                              </w:rPr>
                              <w:t>Recommendation</w:t>
                            </w:r>
                            <w:r>
                              <w:rPr>
                                <w:b/>
                                <w:color w:val="000000"/>
                                <w:sz w:val="24"/>
                              </w:rPr>
                              <w:t> </w:t>
                            </w:r>
                            <w:r>
                              <w:rPr>
                                <w:b/>
                                <w:color w:val="000000"/>
                                <w:spacing w:val="-5"/>
                                <w:sz w:val="24"/>
                              </w:rPr>
                              <w:t>18</w:t>
                            </w:r>
                          </w:p>
                          <w:p>
                            <w:pPr>
                              <w:spacing w:line="288" w:lineRule="auto" w:before="175"/>
                              <w:ind w:left="112" w:right="140" w:firstLine="0"/>
                              <w:jc w:val="left"/>
                              <w:rPr>
                                <w:color w:val="000000"/>
                                <w:sz w:val="22"/>
                              </w:rPr>
                            </w:pPr>
                            <w:r>
                              <w:rPr>
                                <w:color w:val="000000"/>
                                <w:sz w:val="22"/>
                              </w:rPr>
                              <w:t>The</w:t>
                            </w:r>
                            <w:r>
                              <w:rPr>
                                <w:color w:val="000000"/>
                                <w:spacing w:val="-5"/>
                                <w:sz w:val="22"/>
                              </w:rPr>
                              <w:t> </w:t>
                            </w:r>
                            <w:r>
                              <w:rPr>
                                <w:color w:val="000000"/>
                                <w:sz w:val="22"/>
                              </w:rPr>
                              <w:t>ESC</w:t>
                            </w:r>
                            <w:r>
                              <w:rPr>
                                <w:color w:val="000000"/>
                                <w:spacing w:val="-3"/>
                                <w:sz w:val="22"/>
                              </w:rPr>
                              <w:t> </w:t>
                            </w:r>
                            <w:r>
                              <w:rPr>
                                <w:color w:val="000000"/>
                                <w:sz w:val="22"/>
                              </w:rPr>
                              <w:t>should</w:t>
                            </w:r>
                            <w:r>
                              <w:rPr>
                                <w:color w:val="000000"/>
                                <w:spacing w:val="-3"/>
                                <w:sz w:val="22"/>
                              </w:rPr>
                              <w:t> </w:t>
                            </w:r>
                            <w:r>
                              <w:rPr>
                                <w:color w:val="000000"/>
                                <w:sz w:val="22"/>
                              </w:rPr>
                              <w:t>complete</w:t>
                            </w:r>
                            <w:r>
                              <w:rPr>
                                <w:color w:val="000000"/>
                                <w:spacing w:val="-3"/>
                                <w:sz w:val="22"/>
                              </w:rPr>
                              <w:t> </w:t>
                            </w:r>
                            <w:r>
                              <w:rPr>
                                <w:color w:val="000000"/>
                                <w:sz w:val="22"/>
                              </w:rPr>
                              <w:t>its</w:t>
                            </w:r>
                            <w:r>
                              <w:rPr>
                                <w:color w:val="000000"/>
                                <w:spacing w:val="-4"/>
                                <w:sz w:val="22"/>
                              </w:rPr>
                              <w:t> </w:t>
                            </w:r>
                            <w:r>
                              <w:rPr>
                                <w:color w:val="000000"/>
                                <w:sz w:val="22"/>
                              </w:rPr>
                              <w:t>review</w:t>
                            </w:r>
                            <w:r>
                              <w:rPr>
                                <w:color w:val="000000"/>
                                <w:spacing w:val="-6"/>
                                <w:sz w:val="22"/>
                              </w:rPr>
                              <w:t> </w:t>
                            </w:r>
                            <w:r>
                              <w:rPr>
                                <w:color w:val="000000"/>
                                <w:sz w:val="22"/>
                              </w:rPr>
                              <w:t>of</w:t>
                            </w:r>
                            <w:r>
                              <w:rPr>
                                <w:color w:val="000000"/>
                                <w:spacing w:val="-1"/>
                                <w:sz w:val="22"/>
                              </w:rPr>
                              <w:t> </w:t>
                            </w:r>
                            <w:r>
                              <w:rPr>
                                <w:color w:val="000000"/>
                                <w:sz w:val="22"/>
                              </w:rPr>
                              <w:t>the</w:t>
                            </w:r>
                            <w:r>
                              <w:rPr>
                                <w:color w:val="000000"/>
                                <w:spacing w:val="-3"/>
                                <w:sz w:val="22"/>
                              </w:rPr>
                              <w:t> </w:t>
                            </w:r>
                            <w:r>
                              <w:rPr>
                                <w:color w:val="000000"/>
                                <w:sz w:val="22"/>
                              </w:rPr>
                              <w:t>voltage</w:t>
                            </w:r>
                            <w:r>
                              <w:rPr>
                                <w:color w:val="000000"/>
                                <w:spacing w:val="-3"/>
                                <w:sz w:val="22"/>
                              </w:rPr>
                              <w:t> </w:t>
                            </w:r>
                            <w:r>
                              <w:rPr>
                                <w:color w:val="000000"/>
                                <w:sz w:val="22"/>
                              </w:rPr>
                              <w:t>variation</w:t>
                            </w:r>
                            <w:r>
                              <w:rPr>
                                <w:color w:val="000000"/>
                                <w:spacing w:val="-3"/>
                                <w:sz w:val="22"/>
                              </w:rPr>
                              <w:t> </w:t>
                            </w:r>
                            <w:r>
                              <w:rPr>
                                <w:color w:val="000000"/>
                                <w:sz w:val="22"/>
                              </w:rPr>
                              <w:t>standards</w:t>
                            </w:r>
                            <w:r>
                              <w:rPr>
                                <w:color w:val="000000"/>
                                <w:spacing w:val="-5"/>
                                <w:sz w:val="22"/>
                              </w:rPr>
                              <w:t> </w:t>
                            </w:r>
                            <w:r>
                              <w:rPr>
                                <w:color w:val="000000"/>
                                <w:sz w:val="22"/>
                              </w:rPr>
                              <w:t>under</w:t>
                            </w:r>
                            <w:r>
                              <w:rPr>
                                <w:color w:val="000000"/>
                                <w:spacing w:val="-2"/>
                                <w:sz w:val="22"/>
                              </w:rPr>
                              <w:t> </w:t>
                            </w:r>
                            <w:r>
                              <w:rPr>
                                <w:color w:val="000000"/>
                                <w:sz w:val="22"/>
                              </w:rPr>
                              <w:t>Clause</w:t>
                            </w:r>
                            <w:r>
                              <w:rPr>
                                <w:color w:val="000000"/>
                                <w:spacing w:val="-3"/>
                                <w:sz w:val="22"/>
                              </w:rPr>
                              <w:t> </w:t>
                            </w:r>
                            <w:r>
                              <w:rPr>
                                <w:color w:val="000000"/>
                                <w:sz w:val="22"/>
                              </w:rPr>
                              <w:t>4.2.2</w:t>
                            </w:r>
                            <w:r>
                              <w:rPr>
                                <w:color w:val="000000"/>
                                <w:spacing w:val="-5"/>
                                <w:sz w:val="22"/>
                              </w:rPr>
                              <w:t> </w:t>
                            </w:r>
                            <w:r>
                              <w:rPr>
                                <w:color w:val="000000"/>
                                <w:sz w:val="22"/>
                              </w:rPr>
                              <w:t>of the </w:t>
                            </w:r>
                            <w:r>
                              <w:rPr>
                                <w:i/>
                                <w:color w:val="000000"/>
                                <w:sz w:val="22"/>
                              </w:rPr>
                              <w:t>Electricity Distribution Code </w:t>
                            </w:r>
                            <w:r>
                              <w:rPr>
                                <w:color w:val="000000"/>
                                <w:sz w:val="22"/>
                              </w:rPr>
                              <w:t>as soon as practicable. The planned broader reviews by the ESC of the </w:t>
                            </w:r>
                            <w:r>
                              <w:rPr>
                                <w:i/>
                                <w:color w:val="000000"/>
                                <w:sz w:val="22"/>
                              </w:rPr>
                              <w:t>Electricity Distribution Code </w:t>
                            </w:r>
                            <w:r>
                              <w:rPr>
                                <w:color w:val="000000"/>
                                <w:sz w:val="22"/>
                              </w:rPr>
                              <w:t>and the </w:t>
                            </w:r>
                            <w:r>
                              <w:rPr>
                                <w:i/>
                                <w:color w:val="000000"/>
                                <w:sz w:val="22"/>
                              </w:rPr>
                              <w:t>Gas Distribution Code </w:t>
                            </w:r>
                            <w:r>
                              <w:rPr>
                                <w:color w:val="000000"/>
                                <w:sz w:val="22"/>
                              </w:rPr>
                              <w:t>should ensure technical standards are clearly defined and consider the role of ESV in promoting and enforcing compliance with these standards.</w:t>
                            </w:r>
                          </w:p>
                        </w:txbxContent>
                      </wps:txbx>
                      <wps:bodyPr wrap="square" lIns="0" tIns="0" rIns="0" bIns="0" rtlCol="0">
                        <a:noAutofit/>
                      </wps:bodyPr>
                    </wps:wsp>
                  </a:graphicData>
                </a:graphic>
              </wp:anchor>
            </w:drawing>
          </mc:Choice>
          <mc:Fallback>
            <w:pict>
              <v:shape style="position:absolute;margin-left:56.639999pt;margin-top:11.970459pt;width:462.25pt;height:131.550pt;mso-position-horizontal-relative:page;mso-position-vertical-relative:paragraph;z-index:-15683584;mso-wrap-distance-left:0;mso-wrap-distance-right:0" type="#_x0000_t202" id="docshape135" filled="true" fillcolor="#d9d9d9" stroked="false">
                <v:textbox inset="0,0,0,0">
                  <w:txbxContent>
                    <w:p>
                      <w:pPr>
                        <w:pStyle w:val="BodyText"/>
                        <w:spacing w:before="6"/>
                        <w:rPr>
                          <w:color w:val="000000"/>
                          <w:sz w:val="36"/>
                        </w:rPr>
                      </w:pPr>
                    </w:p>
                    <w:p>
                      <w:pPr>
                        <w:spacing w:before="0"/>
                        <w:ind w:left="141" w:right="0" w:firstLine="0"/>
                        <w:jc w:val="left"/>
                        <w:rPr>
                          <w:b/>
                          <w:color w:val="000000"/>
                          <w:sz w:val="24"/>
                        </w:rPr>
                      </w:pPr>
                      <w:r>
                        <w:rPr>
                          <w:b/>
                          <w:color w:val="000000"/>
                          <w:spacing w:val="-2"/>
                          <w:sz w:val="24"/>
                        </w:rPr>
                        <w:t>Recommendation</w:t>
                      </w:r>
                      <w:r>
                        <w:rPr>
                          <w:b/>
                          <w:color w:val="000000"/>
                          <w:sz w:val="24"/>
                        </w:rPr>
                        <w:t> </w:t>
                      </w:r>
                      <w:r>
                        <w:rPr>
                          <w:b/>
                          <w:color w:val="000000"/>
                          <w:spacing w:val="-5"/>
                          <w:sz w:val="24"/>
                        </w:rPr>
                        <w:t>18</w:t>
                      </w:r>
                    </w:p>
                    <w:p>
                      <w:pPr>
                        <w:spacing w:line="288" w:lineRule="auto" w:before="175"/>
                        <w:ind w:left="112" w:right="140" w:firstLine="0"/>
                        <w:jc w:val="left"/>
                        <w:rPr>
                          <w:color w:val="000000"/>
                          <w:sz w:val="22"/>
                        </w:rPr>
                      </w:pPr>
                      <w:r>
                        <w:rPr>
                          <w:color w:val="000000"/>
                          <w:sz w:val="22"/>
                        </w:rPr>
                        <w:t>The</w:t>
                      </w:r>
                      <w:r>
                        <w:rPr>
                          <w:color w:val="000000"/>
                          <w:spacing w:val="-5"/>
                          <w:sz w:val="22"/>
                        </w:rPr>
                        <w:t> </w:t>
                      </w:r>
                      <w:r>
                        <w:rPr>
                          <w:color w:val="000000"/>
                          <w:sz w:val="22"/>
                        </w:rPr>
                        <w:t>ESC</w:t>
                      </w:r>
                      <w:r>
                        <w:rPr>
                          <w:color w:val="000000"/>
                          <w:spacing w:val="-3"/>
                          <w:sz w:val="22"/>
                        </w:rPr>
                        <w:t> </w:t>
                      </w:r>
                      <w:r>
                        <w:rPr>
                          <w:color w:val="000000"/>
                          <w:sz w:val="22"/>
                        </w:rPr>
                        <w:t>should</w:t>
                      </w:r>
                      <w:r>
                        <w:rPr>
                          <w:color w:val="000000"/>
                          <w:spacing w:val="-3"/>
                          <w:sz w:val="22"/>
                        </w:rPr>
                        <w:t> </w:t>
                      </w:r>
                      <w:r>
                        <w:rPr>
                          <w:color w:val="000000"/>
                          <w:sz w:val="22"/>
                        </w:rPr>
                        <w:t>complete</w:t>
                      </w:r>
                      <w:r>
                        <w:rPr>
                          <w:color w:val="000000"/>
                          <w:spacing w:val="-3"/>
                          <w:sz w:val="22"/>
                        </w:rPr>
                        <w:t> </w:t>
                      </w:r>
                      <w:r>
                        <w:rPr>
                          <w:color w:val="000000"/>
                          <w:sz w:val="22"/>
                        </w:rPr>
                        <w:t>its</w:t>
                      </w:r>
                      <w:r>
                        <w:rPr>
                          <w:color w:val="000000"/>
                          <w:spacing w:val="-4"/>
                          <w:sz w:val="22"/>
                        </w:rPr>
                        <w:t> </w:t>
                      </w:r>
                      <w:r>
                        <w:rPr>
                          <w:color w:val="000000"/>
                          <w:sz w:val="22"/>
                        </w:rPr>
                        <w:t>review</w:t>
                      </w:r>
                      <w:r>
                        <w:rPr>
                          <w:color w:val="000000"/>
                          <w:spacing w:val="-6"/>
                          <w:sz w:val="22"/>
                        </w:rPr>
                        <w:t> </w:t>
                      </w:r>
                      <w:r>
                        <w:rPr>
                          <w:color w:val="000000"/>
                          <w:sz w:val="22"/>
                        </w:rPr>
                        <w:t>of</w:t>
                      </w:r>
                      <w:r>
                        <w:rPr>
                          <w:color w:val="000000"/>
                          <w:spacing w:val="-1"/>
                          <w:sz w:val="22"/>
                        </w:rPr>
                        <w:t> </w:t>
                      </w:r>
                      <w:r>
                        <w:rPr>
                          <w:color w:val="000000"/>
                          <w:sz w:val="22"/>
                        </w:rPr>
                        <w:t>the</w:t>
                      </w:r>
                      <w:r>
                        <w:rPr>
                          <w:color w:val="000000"/>
                          <w:spacing w:val="-3"/>
                          <w:sz w:val="22"/>
                        </w:rPr>
                        <w:t> </w:t>
                      </w:r>
                      <w:r>
                        <w:rPr>
                          <w:color w:val="000000"/>
                          <w:sz w:val="22"/>
                        </w:rPr>
                        <w:t>voltage</w:t>
                      </w:r>
                      <w:r>
                        <w:rPr>
                          <w:color w:val="000000"/>
                          <w:spacing w:val="-3"/>
                          <w:sz w:val="22"/>
                        </w:rPr>
                        <w:t> </w:t>
                      </w:r>
                      <w:r>
                        <w:rPr>
                          <w:color w:val="000000"/>
                          <w:sz w:val="22"/>
                        </w:rPr>
                        <w:t>variation</w:t>
                      </w:r>
                      <w:r>
                        <w:rPr>
                          <w:color w:val="000000"/>
                          <w:spacing w:val="-3"/>
                          <w:sz w:val="22"/>
                        </w:rPr>
                        <w:t> </w:t>
                      </w:r>
                      <w:r>
                        <w:rPr>
                          <w:color w:val="000000"/>
                          <w:sz w:val="22"/>
                        </w:rPr>
                        <w:t>standards</w:t>
                      </w:r>
                      <w:r>
                        <w:rPr>
                          <w:color w:val="000000"/>
                          <w:spacing w:val="-5"/>
                          <w:sz w:val="22"/>
                        </w:rPr>
                        <w:t> </w:t>
                      </w:r>
                      <w:r>
                        <w:rPr>
                          <w:color w:val="000000"/>
                          <w:sz w:val="22"/>
                        </w:rPr>
                        <w:t>under</w:t>
                      </w:r>
                      <w:r>
                        <w:rPr>
                          <w:color w:val="000000"/>
                          <w:spacing w:val="-2"/>
                          <w:sz w:val="22"/>
                        </w:rPr>
                        <w:t> </w:t>
                      </w:r>
                      <w:r>
                        <w:rPr>
                          <w:color w:val="000000"/>
                          <w:sz w:val="22"/>
                        </w:rPr>
                        <w:t>Clause</w:t>
                      </w:r>
                      <w:r>
                        <w:rPr>
                          <w:color w:val="000000"/>
                          <w:spacing w:val="-3"/>
                          <w:sz w:val="22"/>
                        </w:rPr>
                        <w:t> </w:t>
                      </w:r>
                      <w:r>
                        <w:rPr>
                          <w:color w:val="000000"/>
                          <w:sz w:val="22"/>
                        </w:rPr>
                        <w:t>4.2.2</w:t>
                      </w:r>
                      <w:r>
                        <w:rPr>
                          <w:color w:val="000000"/>
                          <w:spacing w:val="-5"/>
                          <w:sz w:val="22"/>
                        </w:rPr>
                        <w:t> </w:t>
                      </w:r>
                      <w:r>
                        <w:rPr>
                          <w:color w:val="000000"/>
                          <w:sz w:val="22"/>
                        </w:rPr>
                        <w:t>of the </w:t>
                      </w:r>
                      <w:r>
                        <w:rPr>
                          <w:i/>
                          <w:color w:val="000000"/>
                          <w:sz w:val="22"/>
                        </w:rPr>
                        <w:t>Electricity Distribution Code </w:t>
                      </w:r>
                      <w:r>
                        <w:rPr>
                          <w:color w:val="000000"/>
                          <w:sz w:val="22"/>
                        </w:rPr>
                        <w:t>as soon as practicable. The planned broader reviews by the ESC of the </w:t>
                      </w:r>
                      <w:r>
                        <w:rPr>
                          <w:i/>
                          <w:color w:val="000000"/>
                          <w:sz w:val="22"/>
                        </w:rPr>
                        <w:t>Electricity Distribution Code </w:t>
                      </w:r>
                      <w:r>
                        <w:rPr>
                          <w:color w:val="000000"/>
                          <w:sz w:val="22"/>
                        </w:rPr>
                        <w:t>and the </w:t>
                      </w:r>
                      <w:r>
                        <w:rPr>
                          <w:i/>
                          <w:color w:val="000000"/>
                          <w:sz w:val="22"/>
                        </w:rPr>
                        <w:t>Gas Distribution Code </w:t>
                      </w:r>
                      <w:r>
                        <w:rPr>
                          <w:color w:val="000000"/>
                          <w:sz w:val="22"/>
                        </w:rPr>
                        <w:t>should ensure technical standards are clearly defined and consider the role of ESV in promoting and enforcing compliance with these standards.</w:t>
                      </w:r>
                    </w:p>
                  </w:txbxContent>
                </v:textbox>
                <v:fill type="solid"/>
                <w10:wrap type="topAndBottom"/>
              </v:shape>
            </w:pict>
          </mc:Fallback>
        </mc:AlternateContent>
      </w:r>
    </w:p>
    <w:p>
      <w:pPr>
        <w:pStyle w:val="BodyText"/>
        <w:spacing w:before="6"/>
        <w:rPr>
          <w:sz w:val="23"/>
        </w:rPr>
      </w:pPr>
    </w:p>
    <w:p>
      <w:pPr>
        <w:pStyle w:val="Heading4"/>
      </w:pPr>
      <w:r>
        <w:rPr>
          <w:color w:val="585858"/>
        </w:rPr>
        <w:t>ESV’s</w:t>
      </w:r>
      <w:r>
        <w:rPr>
          <w:color w:val="585858"/>
          <w:spacing w:val="-16"/>
        </w:rPr>
        <w:t> </w:t>
      </w:r>
      <w:r>
        <w:rPr>
          <w:color w:val="585858"/>
        </w:rPr>
        <w:t>relationship</w:t>
      </w:r>
      <w:r>
        <w:rPr>
          <w:color w:val="585858"/>
          <w:spacing w:val="-17"/>
        </w:rPr>
        <w:t> </w:t>
      </w:r>
      <w:r>
        <w:rPr>
          <w:color w:val="585858"/>
        </w:rPr>
        <w:t>with</w:t>
      </w:r>
      <w:r>
        <w:rPr>
          <w:color w:val="585858"/>
          <w:spacing w:val="-16"/>
        </w:rPr>
        <w:t> </w:t>
      </w:r>
      <w:r>
        <w:rPr>
          <w:color w:val="585858"/>
        </w:rPr>
        <w:t>emergency</w:t>
      </w:r>
      <w:r>
        <w:rPr>
          <w:color w:val="585858"/>
          <w:spacing w:val="-19"/>
        </w:rPr>
        <w:t> </w:t>
      </w:r>
      <w:r>
        <w:rPr>
          <w:color w:val="585858"/>
          <w:spacing w:val="-2"/>
        </w:rPr>
        <w:t>services</w:t>
      </w:r>
    </w:p>
    <w:p>
      <w:pPr>
        <w:pStyle w:val="BodyText"/>
        <w:spacing w:line="288" w:lineRule="auto" w:before="314"/>
        <w:ind w:left="232" w:right="408"/>
      </w:pPr>
      <w:r>
        <w:rPr/>
        <w:t>ESV</w:t>
      </w:r>
      <w:r>
        <w:rPr>
          <w:spacing w:val="-3"/>
        </w:rPr>
        <w:t> </w:t>
      </w:r>
      <w:r>
        <w:rPr/>
        <w:t>has</w:t>
      </w:r>
      <w:r>
        <w:rPr>
          <w:spacing w:val="-2"/>
        </w:rPr>
        <w:t> </w:t>
      </w:r>
      <w:r>
        <w:rPr/>
        <w:t>particularly</w:t>
      </w:r>
      <w:r>
        <w:rPr>
          <w:spacing w:val="-5"/>
        </w:rPr>
        <w:t> </w:t>
      </w:r>
      <w:r>
        <w:rPr/>
        <w:t>important</w:t>
      </w:r>
      <w:r>
        <w:rPr>
          <w:spacing w:val="-4"/>
        </w:rPr>
        <w:t> </w:t>
      </w:r>
      <w:r>
        <w:rPr/>
        <w:t>responsibilities</w:t>
      </w:r>
      <w:r>
        <w:rPr>
          <w:spacing w:val="-3"/>
        </w:rPr>
        <w:t> </w:t>
      </w:r>
      <w:r>
        <w:rPr/>
        <w:t>in</w:t>
      </w:r>
      <w:r>
        <w:rPr>
          <w:spacing w:val="-3"/>
        </w:rPr>
        <w:t> </w:t>
      </w:r>
      <w:r>
        <w:rPr/>
        <w:t>the</w:t>
      </w:r>
      <w:r>
        <w:rPr>
          <w:spacing w:val="-3"/>
        </w:rPr>
        <w:t> </w:t>
      </w:r>
      <w:r>
        <w:rPr/>
        <w:t>event</w:t>
      </w:r>
      <w:r>
        <w:rPr>
          <w:spacing w:val="-1"/>
        </w:rPr>
        <w:t> </w:t>
      </w:r>
      <w:r>
        <w:rPr/>
        <w:t>of</w:t>
      </w:r>
      <w:r>
        <w:rPr>
          <w:spacing w:val="-1"/>
        </w:rPr>
        <w:t> </w:t>
      </w:r>
      <w:r>
        <w:rPr/>
        <w:t>emergencies</w:t>
      </w:r>
      <w:r>
        <w:rPr>
          <w:spacing w:val="-5"/>
        </w:rPr>
        <w:t> </w:t>
      </w:r>
      <w:r>
        <w:rPr/>
        <w:t>that</w:t>
      </w:r>
      <w:r>
        <w:rPr>
          <w:spacing w:val="-4"/>
        </w:rPr>
        <w:t> </w:t>
      </w:r>
      <w:r>
        <w:rPr/>
        <w:t>might</w:t>
      </w:r>
      <w:r>
        <w:rPr>
          <w:spacing w:val="-4"/>
        </w:rPr>
        <w:t> </w:t>
      </w:r>
      <w:r>
        <w:rPr/>
        <w:t>be</w:t>
      </w:r>
      <w:r>
        <w:rPr>
          <w:spacing w:val="-3"/>
        </w:rPr>
        <w:t> </w:t>
      </w:r>
      <w:r>
        <w:rPr/>
        <w:t>caused by, or might affect, electricity and gas networks. Strong protocols are necessary to ensure that operational responsibilities are well understood and that emergency services can access the information they require as quickly and efficiently as possible. ESV has a critical role to play in assisting emergency services agencies to plan for major incidents, as well as to respond to incidents when they occur.</w:t>
      </w:r>
    </w:p>
    <w:p>
      <w:pPr>
        <w:pStyle w:val="BodyText"/>
        <w:spacing w:before="10"/>
        <w:rPr>
          <w:sz w:val="20"/>
        </w:rPr>
      </w:pPr>
    </w:p>
    <w:p>
      <w:pPr>
        <w:pStyle w:val="BodyText"/>
        <w:spacing w:line="288" w:lineRule="auto" w:before="1"/>
        <w:ind w:left="232" w:right="318"/>
      </w:pPr>
      <w:r>
        <w:rPr/>
        <w:t>The emergency services handbook published by ESV and the Metropolitan Fire Brigade relates to electricity</w:t>
      </w:r>
      <w:r>
        <w:rPr>
          <w:spacing w:val="-3"/>
        </w:rPr>
        <w:t> </w:t>
      </w:r>
      <w:r>
        <w:rPr/>
        <w:t>hazards</w:t>
      </w:r>
      <w:r>
        <w:rPr>
          <w:spacing w:val="-2"/>
        </w:rPr>
        <w:t> </w:t>
      </w:r>
      <w:r>
        <w:rPr/>
        <w:t>and</w:t>
      </w:r>
      <w:r>
        <w:rPr>
          <w:spacing w:val="-4"/>
        </w:rPr>
        <w:t> </w:t>
      </w:r>
      <w:r>
        <w:rPr/>
        <w:t>safety</w:t>
      </w:r>
      <w:r>
        <w:rPr>
          <w:spacing w:val="-3"/>
        </w:rPr>
        <w:t> </w:t>
      </w:r>
      <w:r>
        <w:rPr/>
        <w:t>only,</w:t>
      </w:r>
      <w:r>
        <w:rPr>
          <w:spacing w:val="-1"/>
        </w:rPr>
        <w:t> </w:t>
      </w:r>
      <w:r>
        <w:rPr/>
        <w:t>and</w:t>
      </w:r>
      <w:r>
        <w:rPr>
          <w:spacing w:val="-2"/>
        </w:rPr>
        <w:t> </w:t>
      </w:r>
      <w:r>
        <w:rPr/>
        <w:t>was</w:t>
      </w:r>
      <w:r>
        <w:rPr>
          <w:spacing w:val="-2"/>
        </w:rPr>
        <w:t> </w:t>
      </w:r>
      <w:r>
        <w:rPr/>
        <w:t>last</w:t>
      </w:r>
      <w:r>
        <w:rPr>
          <w:spacing w:val="-5"/>
        </w:rPr>
        <w:t> </w:t>
      </w:r>
      <w:r>
        <w:rPr/>
        <w:t>updated</w:t>
      </w:r>
      <w:r>
        <w:rPr>
          <w:spacing w:val="-2"/>
        </w:rPr>
        <w:t> </w:t>
      </w:r>
      <w:r>
        <w:rPr/>
        <w:t>in</w:t>
      </w:r>
      <w:r>
        <w:rPr>
          <w:spacing w:val="-2"/>
        </w:rPr>
        <w:t> </w:t>
      </w:r>
      <w:r>
        <w:rPr/>
        <w:t>2008</w:t>
      </w:r>
      <w:r>
        <w:rPr>
          <w:spacing w:val="-2"/>
        </w:rPr>
        <w:t> </w:t>
      </w:r>
      <w:r>
        <w:rPr/>
        <w:t>(MFB</w:t>
      </w:r>
      <w:r>
        <w:rPr>
          <w:spacing w:val="-3"/>
        </w:rPr>
        <w:t> </w:t>
      </w:r>
      <w:r>
        <w:rPr/>
        <w:t>&amp;</w:t>
      </w:r>
      <w:r>
        <w:rPr>
          <w:spacing w:val="-4"/>
        </w:rPr>
        <w:t> </w:t>
      </w:r>
      <w:r>
        <w:rPr/>
        <w:t>ESV,</w:t>
      </w:r>
      <w:r>
        <w:rPr>
          <w:spacing w:val="-1"/>
        </w:rPr>
        <w:t> </w:t>
      </w:r>
      <w:r>
        <w:rPr/>
        <w:t>2008).</w:t>
      </w:r>
      <w:r>
        <w:rPr>
          <w:spacing w:val="-1"/>
        </w:rPr>
        <w:t> </w:t>
      </w:r>
      <w:r>
        <w:rPr/>
        <w:t>Having</w:t>
      </w:r>
      <w:r>
        <w:rPr>
          <w:spacing w:val="-1"/>
        </w:rPr>
        <w:t> </w:t>
      </w:r>
      <w:r>
        <w:rPr/>
        <w:t>been in place for almost a decade, it would now be timely for ESV to review the handbook, in consultation with industry and the relevant emergency services agencies, to ensure that it is</w:t>
      </w:r>
      <w:r>
        <w:rPr>
          <w:spacing w:val="40"/>
        </w:rPr>
        <w:t> </w:t>
      </w:r>
      <w:r>
        <w:rPr/>
        <w:t>current and meets the needs of emergency services.</w:t>
      </w:r>
    </w:p>
    <w:p>
      <w:pPr>
        <w:pStyle w:val="BodyText"/>
        <w:spacing w:before="8"/>
        <w:rPr>
          <w:sz w:val="20"/>
        </w:rPr>
      </w:pPr>
    </w:p>
    <w:p>
      <w:pPr>
        <w:pStyle w:val="BodyText"/>
        <w:spacing w:line="288" w:lineRule="auto" w:before="1"/>
        <w:ind w:left="232" w:right="320"/>
      </w:pPr>
      <w:r>
        <w:rPr/>
        <w:t>ESV should also develop a similar hazards and safety handbook for the gas networks that it regulates. Finally, ESV should develop MOUs with each of the emergency services agencies to ensure</w:t>
      </w:r>
      <w:r>
        <w:rPr>
          <w:spacing w:val="-2"/>
        </w:rPr>
        <w:t> </w:t>
      </w:r>
      <w:r>
        <w:rPr/>
        <w:t>clarity</w:t>
      </w:r>
      <w:r>
        <w:rPr>
          <w:spacing w:val="-5"/>
        </w:rPr>
        <w:t> </w:t>
      </w:r>
      <w:r>
        <w:rPr/>
        <w:t>in</w:t>
      </w:r>
      <w:r>
        <w:rPr>
          <w:spacing w:val="-3"/>
        </w:rPr>
        <w:t> </w:t>
      </w:r>
      <w:r>
        <w:rPr/>
        <w:t>working</w:t>
      </w:r>
      <w:r>
        <w:rPr>
          <w:spacing w:val="-3"/>
        </w:rPr>
        <w:t> </w:t>
      </w:r>
      <w:r>
        <w:rPr/>
        <w:t>protocols</w:t>
      </w:r>
      <w:r>
        <w:rPr>
          <w:spacing w:val="-5"/>
        </w:rPr>
        <w:t> </w:t>
      </w:r>
      <w:r>
        <w:rPr/>
        <w:t>and</w:t>
      </w:r>
      <w:r>
        <w:rPr>
          <w:spacing w:val="-3"/>
        </w:rPr>
        <w:t> </w:t>
      </w:r>
      <w:r>
        <w:rPr/>
        <w:t>effective</w:t>
      </w:r>
      <w:r>
        <w:rPr>
          <w:spacing w:val="-3"/>
        </w:rPr>
        <w:t> </w:t>
      </w:r>
      <w:r>
        <w:rPr/>
        <w:t>planning</w:t>
      </w:r>
      <w:r>
        <w:rPr>
          <w:spacing w:val="-3"/>
        </w:rPr>
        <w:t> </w:t>
      </w:r>
      <w:r>
        <w:rPr/>
        <w:t>for</w:t>
      </w:r>
      <w:r>
        <w:rPr>
          <w:spacing w:val="-4"/>
        </w:rPr>
        <w:t> </w:t>
      </w:r>
      <w:r>
        <w:rPr/>
        <w:t>emergencies.</w:t>
      </w:r>
      <w:r>
        <w:rPr>
          <w:spacing w:val="-5"/>
        </w:rPr>
        <w:t> </w:t>
      </w:r>
      <w:r>
        <w:rPr/>
        <w:t>The</w:t>
      </w:r>
      <w:r>
        <w:rPr>
          <w:spacing w:val="-5"/>
        </w:rPr>
        <w:t> </w:t>
      </w:r>
      <w:r>
        <w:rPr/>
        <w:t>current</w:t>
      </w:r>
      <w:r>
        <w:rPr>
          <w:spacing w:val="-4"/>
        </w:rPr>
        <w:t> </w:t>
      </w:r>
      <w:r>
        <w:rPr/>
        <w:t>interagency agreement to which ESV is a party relates to the investigation of fires only.</w:t>
      </w:r>
    </w:p>
    <w:p>
      <w:pPr>
        <w:spacing w:after="0" w:line="288" w:lineRule="auto"/>
        <w:sectPr>
          <w:pgSz w:w="11910" w:h="16850"/>
          <w:pgMar w:header="220" w:footer="678" w:top="420" w:bottom="860" w:left="900" w:right="840"/>
        </w:sectPr>
      </w:pPr>
    </w:p>
    <w:p>
      <w:pPr>
        <w:pStyle w:val="BodyText"/>
        <w:rPr>
          <w:sz w:val="20"/>
        </w:rPr>
      </w:pPr>
    </w:p>
    <w:p>
      <w:pPr>
        <w:pStyle w:val="BodyText"/>
        <w:spacing w:before="4"/>
        <w:rPr>
          <w:sz w:val="27"/>
        </w:rPr>
      </w:pPr>
    </w:p>
    <w:p>
      <w:pPr>
        <w:pStyle w:val="BodyText"/>
        <w:ind w:left="232"/>
        <w:rPr>
          <w:sz w:val="20"/>
        </w:rPr>
      </w:pPr>
      <w:r>
        <w:rPr>
          <w:sz w:val="20"/>
        </w:rPr>
        <mc:AlternateContent>
          <mc:Choice Requires="wps">
            <w:drawing>
              <wp:inline distT="0" distB="0" distL="0" distR="0">
                <wp:extent cx="5870575" cy="1863089"/>
                <wp:effectExtent l="0" t="0" r="0" b="0"/>
                <wp:docPr id="152" name="Textbox 152"/>
                <wp:cNvGraphicFramePr>
                  <a:graphicFrameLocks/>
                </wp:cNvGraphicFramePr>
                <a:graphic>
                  <a:graphicData uri="http://schemas.microsoft.com/office/word/2010/wordprocessingShape">
                    <wps:wsp>
                      <wps:cNvPr id="152" name="Textbox 152"/>
                      <wps:cNvSpPr txBox="1"/>
                      <wps:spPr>
                        <a:xfrm>
                          <a:off x="0" y="0"/>
                          <a:ext cx="5870575" cy="1863089"/>
                        </a:xfrm>
                        <a:prstGeom prst="rect">
                          <a:avLst/>
                        </a:prstGeom>
                        <a:solidFill>
                          <a:srgbClr val="D9D9D9"/>
                        </a:solidFill>
                      </wps:spPr>
                      <wps:txbx>
                        <w:txbxContent>
                          <w:p>
                            <w:pPr>
                              <w:pStyle w:val="BodyText"/>
                              <w:spacing w:before="6"/>
                              <w:rPr>
                                <w:color w:val="000000"/>
                                <w:sz w:val="36"/>
                              </w:rPr>
                            </w:pPr>
                          </w:p>
                          <w:p>
                            <w:pPr>
                              <w:spacing w:before="0"/>
                              <w:ind w:left="141" w:right="0" w:firstLine="0"/>
                              <w:jc w:val="left"/>
                              <w:rPr>
                                <w:b/>
                                <w:color w:val="000000"/>
                                <w:sz w:val="24"/>
                              </w:rPr>
                            </w:pPr>
                            <w:r>
                              <w:rPr>
                                <w:b/>
                                <w:color w:val="000000"/>
                                <w:spacing w:val="-2"/>
                                <w:sz w:val="24"/>
                              </w:rPr>
                              <w:t>Recommendation</w:t>
                            </w:r>
                            <w:r>
                              <w:rPr>
                                <w:b/>
                                <w:color w:val="000000"/>
                                <w:sz w:val="24"/>
                              </w:rPr>
                              <w:t> </w:t>
                            </w:r>
                            <w:r>
                              <w:rPr>
                                <w:b/>
                                <w:color w:val="000000"/>
                                <w:spacing w:val="-5"/>
                                <w:sz w:val="24"/>
                              </w:rPr>
                              <w:t>19</w:t>
                            </w:r>
                          </w:p>
                          <w:p>
                            <w:pPr>
                              <w:pStyle w:val="BodyText"/>
                              <w:spacing w:line="288" w:lineRule="auto" w:before="175"/>
                              <w:ind w:left="112" w:right="177"/>
                              <w:rPr>
                                <w:color w:val="000000"/>
                              </w:rPr>
                            </w:pPr>
                            <w:r>
                              <w:rPr>
                                <w:color w:val="000000"/>
                              </w:rPr>
                              <w:t>ESV should review, and update where necessary, the </w:t>
                            </w:r>
                            <w:r>
                              <w:rPr>
                                <w:i/>
                                <w:color w:val="000000"/>
                              </w:rPr>
                              <w:t>Electricity Hazards &amp; Safety Handbook for Emergency Service Personnel </w:t>
                            </w:r>
                            <w:r>
                              <w:rPr>
                                <w:color w:val="000000"/>
                              </w:rPr>
                              <w:t>in consultation with DELWP, network businesses</w:t>
                            </w:r>
                            <w:r>
                              <w:rPr>
                                <w:color w:val="000000"/>
                                <w:spacing w:val="-2"/>
                              </w:rPr>
                              <w:t> </w:t>
                            </w:r>
                            <w:r>
                              <w:rPr>
                                <w:color w:val="000000"/>
                              </w:rPr>
                              <w:t>and</w:t>
                            </w:r>
                            <w:r>
                              <w:rPr>
                                <w:color w:val="000000"/>
                                <w:spacing w:val="-5"/>
                              </w:rPr>
                              <w:t> </w:t>
                            </w:r>
                            <w:r>
                              <w:rPr>
                                <w:color w:val="000000"/>
                              </w:rPr>
                              <w:t>the</w:t>
                            </w:r>
                            <w:r>
                              <w:rPr>
                                <w:color w:val="000000"/>
                                <w:spacing w:val="-5"/>
                              </w:rPr>
                              <w:t> </w:t>
                            </w:r>
                            <w:r>
                              <w:rPr>
                                <w:color w:val="000000"/>
                              </w:rPr>
                              <w:t>relevant</w:t>
                            </w:r>
                            <w:r>
                              <w:rPr>
                                <w:color w:val="000000"/>
                                <w:spacing w:val="-1"/>
                              </w:rPr>
                              <w:t> </w:t>
                            </w:r>
                            <w:r>
                              <w:rPr>
                                <w:color w:val="000000"/>
                              </w:rPr>
                              <w:t>emergency</w:t>
                            </w:r>
                            <w:r>
                              <w:rPr>
                                <w:color w:val="000000"/>
                                <w:spacing w:val="-5"/>
                              </w:rPr>
                              <w:t> </w:t>
                            </w:r>
                            <w:r>
                              <w:rPr>
                                <w:color w:val="000000"/>
                              </w:rPr>
                              <w:t>services</w:t>
                            </w:r>
                            <w:r>
                              <w:rPr>
                                <w:color w:val="000000"/>
                                <w:spacing w:val="-3"/>
                              </w:rPr>
                              <w:t> </w:t>
                            </w:r>
                            <w:r>
                              <w:rPr>
                                <w:color w:val="000000"/>
                              </w:rPr>
                              <w:t>agencies.</w:t>
                            </w:r>
                            <w:r>
                              <w:rPr>
                                <w:color w:val="000000"/>
                                <w:spacing w:val="-4"/>
                              </w:rPr>
                              <w:t> </w:t>
                            </w:r>
                            <w:r>
                              <w:rPr>
                                <w:color w:val="000000"/>
                              </w:rPr>
                              <w:t>This</w:t>
                            </w:r>
                            <w:r>
                              <w:rPr>
                                <w:color w:val="000000"/>
                                <w:spacing w:val="-5"/>
                              </w:rPr>
                              <w:t> </w:t>
                            </w:r>
                            <w:r>
                              <w:rPr>
                                <w:color w:val="000000"/>
                              </w:rPr>
                              <w:t>review</w:t>
                            </w:r>
                            <w:r>
                              <w:rPr>
                                <w:color w:val="000000"/>
                                <w:spacing w:val="-3"/>
                              </w:rPr>
                              <w:t> </w:t>
                            </w:r>
                            <w:r>
                              <w:rPr>
                                <w:color w:val="000000"/>
                              </w:rPr>
                              <w:t>should</w:t>
                            </w:r>
                            <w:r>
                              <w:rPr>
                                <w:color w:val="000000"/>
                                <w:spacing w:val="-3"/>
                              </w:rPr>
                              <w:t> </w:t>
                            </w:r>
                            <w:r>
                              <w:rPr>
                                <w:color w:val="000000"/>
                              </w:rPr>
                              <w:t>consider</w:t>
                            </w:r>
                            <w:r>
                              <w:rPr>
                                <w:color w:val="000000"/>
                                <w:spacing w:val="-2"/>
                              </w:rPr>
                              <w:t> </w:t>
                            </w:r>
                            <w:r>
                              <w:rPr>
                                <w:color w:val="000000"/>
                              </w:rPr>
                              <w:t>any areas in which current operational responsibilities require clarification. In addition, ESV should prepare a Gas Hazards and Safety Handbook in consultation with DELWP, the industry and the relevant emergency services agencies.</w:t>
                            </w:r>
                          </w:p>
                        </w:txbxContent>
                      </wps:txbx>
                      <wps:bodyPr wrap="square" lIns="0" tIns="0" rIns="0" bIns="0" rtlCol="0">
                        <a:noAutofit/>
                      </wps:bodyPr>
                    </wps:wsp>
                  </a:graphicData>
                </a:graphic>
              </wp:inline>
            </w:drawing>
          </mc:Choice>
          <mc:Fallback>
            <w:pict>
              <v:shape style="width:462.25pt;height:146.7pt;mso-position-horizontal-relative:char;mso-position-vertical-relative:line" type="#_x0000_t202" id="docshape136" filled="true" fillcolor="#d9d9d9" stroked="false">
                <w10:anchorlock/>
                <v:textbox inset="0,0,0,0">
                  <w:txbxContent>
                    <w:p>
                      <w:pPr>
                        <w:pStyle w:val="BodyText"/>
                        <w:spacing w:before="6"/>
                        <w:rPr>
                          <w:color w:val="000000"/>
                          <w:sz w:val="36"/>
                        </w:rPr>
                      </w:pPr>
                    </w:p>
                    <w:p>
                      <w:pPr>
                        <w:spacing w:before="0"/>
                        <w:ind w:left="141" w:right="0" w:firstLine="0"/>
                        <w:jc w:val="left"/>
                        <w:rPr>
                          <w:b/>
                          <w:color w:val="000000"/>
                          <w:sz w:val="24"/>
                        </w:rPr>
                      </w:pPr>
                      <w:r>
                        <w:rPr>
                          <w:b/>
                          <w:color w:val="000000"/>
                          <w:spacing w:val="-2"/>
                          <w:sz w:val="24"/>
                        </w:rPr>
                        <w:t>Recommendation</w:t>
                      </w:r>
                      <w:r>
                        <w:rPr>
                          <w:b/>
                          <w:color w:val="000000"/>
                          <w:sz w:val="24"/>
                        </w:rPr>
                        <w:t> </w:t>
                      </w:r>
                      <w:r>
                        <w:rPr>
                          <w:b/>
                          <w:color w:val="000000"/>
                          <w:spacing w:val="-5"/>
                          <w:sz w:val="24"/>
                        </w:rPr>
                        <w:t>19</w:t>
                      </w:r>
                    </w:p>
                    <w:p>
                      <w:pPr>
                        <w:pStyle w:val="BodyText"/>
                        <w:spacing w:line="288" w:lineRule="auto" w:before="175"/>
                        <w:ind w:left="112" w:right="177"/>
                        <w:rPr>
                          <w:color w:val="000000"/>
                        </w:rPr>
                      </w:pPr>
                      <w:r>
                        <w:rPr>
                          <w:color w:val="000000"/>
                        </w:rPr>
                        <w:t>ESV should review, and update where necessary, the </w:t>
                      </w:r>
                      <w:r>
                        <w:rPr>
                          <w:i/>
                          <w:color w:val="000000"/>
                        </w:rPr>
                        <w:t>Electricity Hazards &amp; Safety Handbook for Emergency Service Personnel </w:t>
                      </w:r>
                      <w:r>
                        <w:rPr>
                          <w:color w:val="000000"/>
                        </w:rPr>
                        <w:t>in consultation with DELWP, network businesses</w:t>
                      </w:r>
                      <w:r>
                        <w:rPr>
                          <w:color w:val="000000"/>
                          <w:spacing w:val="-2"/>
                        </w:rPr>
                        <w:t> </w:t>
                      </w:r>
                      <w:r>
                        <w:rPr>
                          <w:color w:val="000000"/>
                        </w:rPr>
                        <w:t>and</w:t>
                      </w:r>
                      <w:r>
                        <w:rPr>
                          <w:color w:val="000000"/>
                          <w:spacing w:val="-5"/>
                        </w:rPr>
                        <w:t> </w:t>
                      </w:r>
                      <w:r>
                        <w:rPr>
                          <w:color w:val="000000"/>
                        </w:rPr>
                        <w:t>the</w:t>
                      </w:r>
                      <w:r>
                        <w:rPr>
                          <w:color w:val="000000"/>
                          <w:spacing w:val="-5"/>
                        </w:rPr>
                        <w:t> </w:t>
                      </w:r>
                      <w:r>
                        <w:rPr>
                          <w:color w:val="000000"/>
                        </w:rPr>
                        <w:t>relevant</w:t>
                      </w:r>
                      <w:r>
                        <w:rPr>
                          <w:color w:val="000000"/>
                          <w:spacing w:val="-1"/>
                        </w:rPr>
                        <w:t> </w:t>
                      </w:r>
                      <w:r>
                        <w:rPr>
                          <w:color w:val="000000"/>
                        </w:rPr>
                        <w:t>emergency</w:t>
                      </w:r>
                      <w:r>
                        <w:rPr>
                          <w:color w:val="000000"/>
                          <w:spacing w:val="-5"/>
                        </w:rPr>
                        <w:t> </w:t>
                      </w:r>
                      <w:r>
                        <w:rPr>
                          <w:color w:val="000000"/>
                        </w:rPr>
                        <w:t>services</w:t>
                      </w:r>
                      <w:r>
                        <w:rPr>
                          <w:color w:val="000000"/>
                          <w:spacing w:val="-3"/>
                        </w:rPr>
                        <w:t> </w:t>
                      </w:r>
                      <w:r>
                        <w:rPr>
                          <w:color w:val="000000"/>
                        </w:rPr>
                        <w:t>agencies.</w:t>
                      </w:r>
                      <w:r>
                        <w:rPr>
                          <w:color w:val="000000"/>
                          <w:spacing w:val="-4"/>
                        </w:rPr>
                        <w:t> </w:t>
                      </w:r>
                      <w:r>
                        <w:rPr>
                          <w:color w:val="000000"/>
                        </w:rPr>
                        <w:t>This</w:t>
                      </w:r>
                      <w:r>
                        <w:rPr>
                          <w:color w:val="000000"/>
                          <w:spacing w:val="-5"/>
                        </w:rPr>
                        <w:t> </w:t>
                      </w:r>
                      <w:r>
                        <w:rPr>
                          <w:color w:val="000000"/>
                        </w:rPr>
                        <w:t>review</w:t>
                      </w:r>
                      <w:r>
                        <w:rPr>
                          <w:color w:val="000000"/>
                          <w:spacing w:val="-3"/>
                        </w:rPr>
                        <w:t> </w:t>
                      </w:r>
                      <w:r>
                        <w:rPr>
                          <w:color w:val="000000"/>
                        </w:rPr>
                        <w:t>should</w:t>
                      </w:r>
                      <w:r>
                        <w:rPr>
                          <w:color w:val="000000"/>
                          <w:spacing w:val="-3"/>
                        </w:rPr>
                        <w:t> </w:t>
                      </w:r>
                      <w:r>
                        <w:rPr>
                          <w:color w:val="000000"/>
                        </w:rPr>
                        <w:t>consider</w:t>
                      </w:r>
                      <w:r>
                        <w:rPr>
                          <w:color w:val="000000"/>
                          <w:spacing w:val="-2"/>
                        </w:rPr>
                        <w:t> </w:t>
                      </w:r>
                      <w:r>
                        <w:rPr>
                          <w:color w:val="000000"/>
                        </w:rPr>
                        <w:t>any areas in which current operational responsibilities require clarification. In addition, ESV should prepare a Gas Hazards and Safety Handbook in consultation with DELWP, the industry and the relevant emergency services agencies.</w:t>
                      </w:r>
                    </w:p>
                  </w:txbxContent>
                </v:textbox>
                <v:fill type="solid"/>
              </v:shape>
            </w:pict>
          </mc:Fallback>
        </mc:AlternateContent>
      </w:r>
      <w:r>
        <w:rPr>
          <w:sz w:val="20"/>
        </w:rPr>
      </w:r>
    </w:p>
    <w:p>
      <w:pPr>
        <w:spacing w:after="0"/>
        <w:rPr>
          <w:sz w:val="20"/>
        </w:rPr>
        <w:sectPr>
          <w:pgSz w:w="11910" w:h="16850"/>
          <w:pgMar w:header="220" w:footer="678" w:top="420" w:bottom="860" w:left="900" w:right="840"/>
        </w:sectPr>
      </w:pPr>
    </w:p>
    <w:p>
      <w:pPr>
        <w:pStyle w:val="BodyText"/>
        <w:rPr>
          <w:sz w:val="20"/>
        </w:rPr>
      </w:pPr>
    </w:p>
    <w:p>
      <w:pPr>
        <w:pStyle w:val="BodyText"/>
        <w:spacing w:before="7"/>
        <w:rPr>
          <w:sz w:val="19"/>
        </w:rPr>
      </w:pPr>
    </w:p>
    <w:p>
      <w:pPr>
        <w:pStyle w:val="Heading4"/>
      </w:pPr>
      <w:r>
        <w:rPr>
          <w:color w:val="585858"/>
          <w:spacing w:val="-2"/>
        </w:rPr>
        <w:t>References</w:t>
      </w:r>
    </w:p>
    <w:p>
      <w:pPr>
        <w:spacing w:before="313"/>
        <w:ind w:left="232" w:right="0" w:firstLine="0"/>
        <w:jc w:val="left"/>
        <w:rPr>
          <w:sz w:val="18"/>
        </w:rPr>
      </w:pPr>
      <w:r>
        <w:rPr>
          <w:sz w:val="18"/>
        </w:rPr>
        <w:t>Australian</w:t>
      </w:r>
      <w:r>
        <w:rPr>
          <w:spacing w:val="-6"/>
          <w:sz w:val="18"/>
        </w:rPr>
        <w:t> </w:t>
      </w:r>
      <w:r>
        <w:rPr>
          <w:sz w:val="18"/>
        </w:rPr>
        <w:t>Gas</w:t>
      </w:r>
      <w:r>
        <w:rPr>
          <w:spacing w:val="-3"/>
          <w:sz w:val="18"/>
        </w:rPr>
        <w:t> </w:t>
      </w:r>
      <w:r>
        <w:rPr>
          <w:sz w:val="18"/>
        </w:rPr>
        <w:t>Networks,</w:t>
      </w:r>
      <w:r>
        <w:rPr>
          <w:spacing w:val="-3"/>
          <w:sz w:val="18"/>
        </w:rPr>
        <w:t> </w:t>
      </w:r>
      <w:r>
        <w:rPr>
          <w:sz w:val="18"/>
        </w:rPr>
        <w:t>2017.</w:t>
      </w:r>
      <w:r>
        <w:rPr>
          <w:spacing w:val="-2"/>
          <w:sz w:val="18"/>
        </w:rPr>
        <w:t> </w:t>
      </w:r>
      <w:r>
        <w:rPr>
          <w:i/>
          <w:sz w:val="18"/>
        </w:rPr>
        <w:t>AGN</w:t>
      </w:r>
      <w:r>
        <w:rPr>
          <w:i/>
          <w:spacing w:val="-4"/>
          <w:sz w:val="18"/>
        </w:rPr>
        <w:t> </w:t>
      </w:r>
      <w:r>
        <w:rPr>
          <w:i/>
          <w:sz w:val="18"/>
        </w:rPr>
        <w:t>Response</w:t>
      </w:r>
      <w:r>
        <w:rPr>
          <w:i/>
          <w:spacing w:val="-5"/>
          <w:sz w:val="18"/>
        </w:rPr>
        <w:t> </w:t>
      </w:r>
      <w:r>
        <w:rPr>
          <w:i/>
          <w:sz w:val="18"/>
        </w:rPr>
        <w:t>to</w:t>
      </w:r>
      <w:r>
        <w:rPr>
          <w:i/>
          <w:spacing w:val="-4"/>
          <w:sz w:val="18"/>
        </w:rPr>
        <w:t> </w:t>
      </w:r>
      <w:r>
        <w:rPr>
          <w:i/>
          <w:sz w:val="18"/>
        </w:rPr>
        <w:t>the</w:t>
      </w:r>
      <w:r>
        <w:rPr>
          <w:i/>
          <w:spacing w:val="-4"/>
          <w:sz w:val="18"/>
        </w:rPr>
        <w:t> </w:t>
      </w:r>
      <w:r>
        <w:rPr>
          <w:i/>
          <w:sz w:val="18"/>
        </w:rPr>
        <w:t>Review</w:t>
      </w:r>
      <w:r>
        <w:rPr>
          <w:i/>
          <w:spacing w:val="-3"/>
          <w:sz w:val="18"/>
        </w:rPr>
        <w:t> </w:t>
      </w:r>
      <w:r>
        <w:rPr>
          <w:i/>
          <w:sz w:val="18"/>
        </w:rPr>
        <w:t>of</w:t>
      </w:r>
      <w:r>
        <w:rPr>
          <w:i/>
          <w:spacing w:val="-4"/>
          <w:sz w:val="18"/>
        </w:rPr>
        <w:t> </w:t>
      </w:r>
      <w:r>
        <w:rPr>
          <w:i/>
          <w:sz w:val="18"/>
        </w:rPr>
        <w:t>Victoria's</w:t>
      </w:r>
      <w:r>
        <w:rPr>
          <w:i/>
          <w:spacing w:val="-3"/>
          <w:sz w:val="18"/>
        </w:rPr>
        <w:t> </w:t>
      </w:r>
      <w:r>
        <w:rPr>
          <w:i/>
          <w:sz w:val="18"/>
        </w:rPr>
        <w:t>Gas</w:t>
      </w:r>
      <w:r>
        <w:rPr>
          <w:i/>
          <w:spacing w:val="-3"/>
          <w:sz w:val="18"/>
        </w:rPr>
        <w:t> </w:t>
      </w:r>
      <w:r>
        <w:rPr>
          <w:i/>
          <w:sz w:val="18"/>
        </w:rPr>
        <w:t>Network</w:t>
      </w:r>
      <w:r>
        <w:rPr>
          <w:i/>
          <w:spacing w:val="-4"/>
          <w:sz w:val="18"/>
        </w:rPr>
        <w:t> </w:t>
      </w:r>
      <w:r>
        <w:rPr>
          <w:i/>
          <w:sz w:val="18"/>
        </w:rPr>
        <w:t>Safety</w:t>
      </w:r>
      <w:r>
        <w:rPr>
          <w:i/>
          <w:spacing w:val="-5"/>
          <w:sz w:val="18"/>
        </w:rPr>
        <w:t> </w:t>
      </w:r>
      <w:r>
        <w:rPr>
          <w:i/>
          <w:spacing w:val="-2"/>
          <w:sz w:val="18"/>
        </w:rPr>
        <w:t>Framework</w:t>
      </w:r>
      <w:r>
        <w:rPr>
          <w:spacing w:val="-2"/>
          <w:sz w:val="18"/>
        </w:rPr>
        <w:t>.</w:t>
      </w:r>
    </w:p>
    <w:p>
      <w:pPr>
        <w:spacing w:line="290" w:lineRule="auto" w:before="120"/>
        <w:ind w:left="232" w:right="408" w:firstLine="0"/>
        <w:jc w:val="left"/>
        <w:rPr>
          <w:sz w:val="18"/>
        </w:rPr>
      </w:pPr>
      <w:r>
        <w:rPr>
          <w:sz w:val="18"/>
        </w:rPr>
        <w:t>CitiPower</w:t>
      </w:r>
      <w:r>
        <w:rPr>
          <w:spacing w:val="-4"/>
          <w:sz w:val="18"/>
        </w:rPr>
        <w:t> </w:t>
      </w:r>
      <w:r>
        <w:rPr>
          <w:sz w:val="18"/>
        </w:rPr>
        <w:t>&amp;</w:t>
      </w:r>
      <w:r>
        <w:rPr>
          <w:spacing w:val="-4"/>
          <w:sz w:val="18"/>
        </w:rPr>
        <w:t> </w:t>
      </w:r>
      <w:r>
        <w:rPr>
          <w:sz w:val="18"/>
        </w:rPr>
        <w:t>Powercor</w:t>
      </w:r>
      <w:r>
        <w:rPr>
          <w:spacing w:val="-4"/>
          <w:sz w:val="18"/>
        </w:rPr>
        <w:t> </w:t>
      </w:r>
      <w:r>
        <w:rPr>
          <w:sz w:val="18"/>
        </w:rPr>
        <w:t>Australia,</w:t>
      </w:r>
      <w:r>
        <w:rPr>
          <w:spacing w:val="-4"/>
          <w:sz w:val="18"/>
        </w:rPr>
        <w:t> </w:t>
      </w:r>
      <w:r>
        <w:rPr>
          <w:sz w:val="18"/>
        </w:rPr>
        <w:t>2017a. </w:t>
      </w:r>
      <w:r>
        <w:rPr>
          <w:i/>
          <w:sz w:val="18"/>
        </w:rPr>
        <w:t>Additional</w:t>
      </w:r>
      <w:r>
        <w:rPr>
          <w:i/>
          <w:spacing w:val="-4"/>
          <w:sz w:val="18"/>
        </w:rPr>
        <w:t> </w:t>
      </w:r>
      <w:r>
        <w:rPr>
          <w:i/>
          <w:sz w:val="18"/>
        </w:rPr>
        <w:t>Information</w:t>
      </w:r>
      <w:r>
        <w:rPr>
          <w:i/>
          <w:spacing w:val="-4"/>
          <w:sz w:val="18"/>
        </w:rPr>
        <w:t> </w:t>
      </w:r>
      <w:r>
        <w:rPr>
          <w:i/>
          <w:sz w:val="18"/>
        </w:rPr>
        <w:t>to</w:t>
      </w:r>
      <w:r>
        <w:rPr>
          <w:i/>
          <w:spacing w:val="-4"/>
          <w:sz w:val="18"/>
        </w:rPr>
        <w:t> </w:t>
      </w:r>
      <w:r>
        <w:rPr>
          <w:i/>
          <w:sz w:val="18"/>
        </w:rPr>
        <w:t>Support</w:t>
      </w:r>
      <w:r>
        <w:rPr>
          <w:i/>
          <w:spacing w:val="-5"/>
          <w:sz w:val="18"/>
        </w:rPr>
        <w:t> </w:t>
      </w:r>
      <w:r>
        <w:rPr>
          <w:i/>
          <w:sz w:val="18"/>
        </w:rPr>
        <w:t>the</w:t>
      </w:r>
      <w:r>
        <w:rPr>
          <w:i/>
          <w:spacing w:val="-4"/>
          <w:sz w:val="18"/>
        </w:rPr>
        <w:t> </w:t>
      </w:r>
      <w:r>
        <w:rPr>
          <w:i/>
          <w:sz w:val="18"/>
        </w:rPr>
        <w:t>Review</w:t>
      </w:r>
      <w:r>
        <w:rPr>
          <w:i/>
          <w:spacing w:val="-4"/>
          <w:sz w:val="18"/>
        </w:rPr>
        <w:t> </w:t>
      </w:r>
      <w:r>
        <w:rPr>
          <w:i/>
          <w:sz w:val="18"/>
        </w:rPr>
        <w:t>of</w:t>
      </w:r>
      <w:r>
        <w:rPr>
          <w:i/>
          <w:spacing w:val="-4"/>
          <w:sz w:val="18"/>
        </w:rPr>
        <w:t> </w:t>
      </w:r>
      <w:r>
        <w:rPr>
          <w:i/>
          <w:sz w:val="18"/>
        </w:rPr>
        <w:t>Victoria's</w:t>
      </w:r>
      <w:r>
        <w:rPr>
          <w:i/>
          <w:spacing w:val="-3"/>
          <w:sz w:val="18"/>
        </w:rPr>
        <w:t> </w:t>
      </w:r>
      <w:r>
        <w:rPr>
          <w:i/>
          <w:sz w:val="18"/>
        </w:rPr>
        <w:t>Electricity</w:t>
      </w:r>
      <w:r>
        <w:rPr>
          <w:i/>
          <w:spacing w:val="-3"/>
          <w:sz w:val="18"/>
        </w:rPr>
        <w:t> </w:t>
      </w:r>
      <w:r>
        <w:rPr>
          <w:i/>
          <w:sz w:val="18"/>
        </w:rPr>
        <w:t>Network Safety Framework</w:t>
      </w:r>
      <w:r>
        <w:rPr>
          <w:sz w:val="18"/>
        </w:rPr>
        <w:t>.</w:t>
      </w:r>
    </w:p>
    <w:p>
      <w:pPr>
        <w:spacing w:line="285" w:lineRule="auto" w:before="77"/>
        <w:ind w:left="232" w:right="868" w:firstLine="0"/>
        <w:jc w:val="left"/>
        <w:rPr>
          <w:sz w:val="18"/>
        </w:rPr>
      </w:pPr>
      <w:r>
        <w:rPr>
          <w:sz w:val="18"/>
        </w:rPr>
        <w:t>CitiPower</w:t>
      </w:r>
      <w:r>
        <w:rPr>
          <w:spacing w:val="-3"/>
          <w:sz w:val="18"/>
        </w:rPr>
        <w:t> </w:t>
      </w:r>
      <w:r>
        <w:rPr>
          <w:sz w:val="18"/>
        </w:rPr>
        <w:t>&amp;</w:t>
      </w:r>
      <w:r>
        <w:rPr>
          <w:spacing w:val="-3"/>
          <w:sz w:val="18"/>
        </w:rPr>
        <w:t> </w:t>
      </w:r>
      <w:r>
        <w:rPr>
          <w:sz w:val="18"/>
        </w:rPr>
        <w:t>Powercor</w:t>
      </w:r>
      <w:r>
        <w:rPr>
          <w:spacing w:val="-3"/>
          <w:sz w:val="18"/>
        </w:rPr>
        <w:t> </w:t>
      </w:r>
      <w:r>
        <w:rPr>
          <w:sz w:val="18"/>
        </w:rPr>
        <w:t>Australia,</w:t>
      </w:r>
      <w:r>
        <w:rPr>
          <w:spacing w:val="-3"/>
          <w:sz w:val="18"/>
        </w:rPr>
        <w:t> </w:t>
      </w:r>
      <w:r>
        <w:rPr>
          <w:sz w:val="18"/>
        </w:rPr>
        <w:t>2017b. </w:t>
      </w:r>
      <w:r>
        <w:rPr>
          <w:i/>
          <w:sz w:val="18"/>
        </w:rPr>
        <w:t>Submission</w:t>
      </w:r>
      <w:r>
        <w:rPr>
          <w:i/>
          <w:spacing w:val="-3"/>
          <w:sz w:val="18"/>
        </w:rPr>
        <w:t> </w:t>
      </w:r>
      <w:r>
        <w:rPr>
          <w:i/>
          <w:sz w:val="18"/>
        </w:rPr>
        <w:t>on</w:t>
      </w:r>
      <w:r>
        <w:rPr>
          <w:i/>
          <w:spacing w:val="-5"/>
          <w:sz w:val="18"/>
        </w:rPr>
        <w:t> </w:t>
      </w:r>
      <w:r>
        <w:rPr>
          <w:i/>
          <w:sz w:val="18"/>
        </w:rPr>
        <w:t>Review</w:t>
      </w:r>
      <w:r>
        <w:rPr>
          <w:i/>
          <w:spacing w:val="-3"/>
          <w:sz w:val="18"/>
        </w:rPr>
        <w:t> </w:t>
      </w:r>
      <w:r>
        <w:rPr>
          <w:i/>
          <w:sz w:val="18"/>
        </w:rPr>
        <w:t>of</w:t>
      </w:r>
      <w:r>
        <w:rPr>
          <w:i/>
          <w:spacing w:val="-3"/>
          <w:sz w:val="18"/>
        </w:rPr>
        <w:t> </w:t>
      </w:r>
      <w:r>
        <w:rPr>
          <w:i/>
          <w:sz w:val="18"/>
        </w:rPr>
        <w:t>Victoria's</w:t>
      </w:r>
      <w:r>
        <w:rPr>
          <w:i/>
          <w:spacing w:val="-3"/>
          <w:sz w:val="18"/>
        </w:rPr>
        <w:t> </w:t>
      </w:r>
      <w:r>
        <w:rPr>
          <w:i/>
          <w:sz w:val="18"/>
        </w:rPr>
        <w:t>Electricity</w:t>
      </w:r>
      <w:r>
        <w:rPr>
          <w:i/>
          <w:spacing w:val="-3"/>
          <w:sz w:val="18"/>
        </w:rPr>
        <w:t> </w:t>
      </w:r>
      <w:r>
        <w:rPr>
          <w:i/>
          <w:sz w:val="18"/>
        </w:rPr>
        <w:t>Network</w:t>
      </w:r>
      <w:r>
        <w:rPr>
          <w:i/>
          <w:spacing w:val="-3"/>
          <w:sz w:val="18"/>
        </w:rPr>
        <w:t> </w:t>
      </w:r>
      <w:r>
        <w:rPr>
          <w:i/>
          <w:sz w:val="18"/>
        </w:rPr>
        <w:t>Safety</w:t>
      </w:r>
      <w:r>
        <w:rPr>
          <w:i/>
          <w:spacing w:val="-4"/>
          <w:sz w:val="18"/>
        </w:rPr>
        <w:t> </w:t>
      </w:r>
      <w:r>
        <w:rPr>
          <w:i/>
          <w:sz w:val="18"/>
        </w:rPr>
        <w:t>Framework </w:t>
      </w:r>
      <w:r>
        <w:rPr>
          <w:i/>
          <w:spacing w:val="-2"/>
          <w:sz w:val="18"/>
        </w:rPr>
        <w:t>Issues</w:t>
      </w:r>
      <w:r>
        <w:rPr>
          <w:spacing w:val="-2"/>
          <w:sz w:val="18"/>
        </w:rPr>
        <w:t>.</w:t>
      </w:r>
    </w:p>
    <w:p>
      <w:pPr>
        <w:spacing w:line="381" w:lineRule="auto" w:before="84"/>
        <w:ind w:left="232" w:right="2675" w:firstLine="0"/>
        <w:jc w:val="left"/>
        <w:rPr>
          <w:sz w:val="18"/>
        </w:rPr>
      </w:pPr>
      <w:r>
        <w:rPr>
          <w:sz w:val="18"/>
        </w:rPr>
        <w:t>Deloitte,</w:t>
      </w:r>
      <w:r>
        <w:rPr>
          <w:spacing w:val="-4"/>
          <w:sz w:val="18"/>
        </w:rPr>
        <w:t> </w:t>
      </w:r>
      <w:r>
        <w:rPr>
          <w:sz w:val="18"/>
        </w:rPr>
        <w:t>2016.</w:t>
      </w:r>
      <w:r>
        <w:rPr>
          <w:spacing w:val="-2"/>
          <w:sz w:val="18"/>
        </w:rPr>
        <w:t> </w:t>
      </w:r>
      <w:r>
        <w:rPr>
          <w:i/>
          <w:sz w:val="18"/>
        </w:rPr>
        <w:t>Proposed</w:t>
      </w:r>
      <w:r>
        <w:rPr>
          <w:i/>
          <w:spacing w:val="-6"/>
          <w:sz w:val="18"/>
        </w:rPr>
        <w:t> </w:t>
      </w:r>
      <w:r>
        <w:rPr>
          <w:i/>
          <w:sz w:val="18"/>
        </w:rPr>
        <w:t>Pipelines</w:t>
      </w:r>
      <w:r>
        <w:rPr>
          <w:i/>
          <w:spacing w:val="-6"/>
          <w:sz w:val="18"/>
        </w:rPr>
        <w:t> </w:t>
      </w:r>
      <w:r>
        <w:rPr>
          <w:i/>
          <w:sz w:val="18"/>
        </w:rPr>
        <w:t>Regulations</w:t>
      </w:r>
      <w:r>
        <w:rPr>
          <w:i/>
          <w:spacing w:val="-6"/>
          <w:sz w:val="18"/>
        </w:rPr>
        <w:t> </w:t>
      </w:r>
      <w:r>
        <w:rPr>
          <w:i/>
          <w:sz w:val="18"/>
        </w:rPr>
        <w:t>2017:</w:t>
      </w:r>
      <w:r>
        <w:rPr>
          <w:i/>
          <w:spacing w:val="-4"/>
          <w:sz w:val="18"/>
        </w:rPr>
        <w:t> </w:t>
      </w:r>
      <w:r>
        <w:rPr>
          <w:i/>
          <w:sz w:val="18"/>
        </w:rPr>
        <w:t>Regulatory</w:t>
      </w:r>
      <w:r>
        <w:rPr>
          <w:i/>
          <w:spacing w:val="-3"/>
          <w:sz w:val="18"/>
        </w:rPr>
        <w:t> </w:t>
      </w:r>
      <w:r>
        <w:rPr>
          <w:i/>
          <w:sz w:val="18"/>
        </w:rPr>
        <w:t>Impact</w:t>
      </w:r>
      <w:r>
        <w:rPr>
          <w:i/>
          <w:spacing w:val="-4"/>
          <w:sz w:val="18"/>
        </w:rPr>
        <w:t> </w:t>
      </w:r>
      <w:r>
        <w:rPr>
          <w:i/>
          <w:sz w:val="18"/>
        </w:rPr>
        <w:t>Statement</w:t>
      </w:r>
      <w:r>
        <w:rPr>
          <w:sz w:val="18"/>
        </w:rPr>
        <w:t>. Electrical Trades Union, 2017. </w:t>
      </w:r>
      <w:r>
        <w:rPr>
          <w:i/>
          <w:sz w:val="18"/>
        </w:rPr>
        <w:t>ETU Submission to the Review</w:t>
      </w:r>
      <w:r>
        <w:rPr>
          <w:sz w:val="18"/>
        </w:rPr>
        <w:t>.</w:t>
      </w:r>
    </w:p>
    <w:p>
      <w:pPr>
        <w:spacing w:line="285" w:lineRule="auto" w:before="0"/>
        <w:ind w:left="232" w:right="0" w:firstLine="0"/>
        <w:jc w:val="left"/>
        <w:rPr>
          <w:sz w:val="18"/>
        </w:rPr>
      </w:pPr>
      <w:r>
        <w:rPr>
          <w:sz w:val="18"/>
        </w:rPr>
        <w:t>Emergency</w:t>
      </w:r>
      <w:r>
        <w:rPr>
          <w:spacing w:val="-5"/>
          <w:sz w:val="18"/>
        </w:rPr>
        <w:t> </w:t>
      </w:r>
      <w:r>
        <w:rPr>
          <w:sz w:val="18"/>
        </w:rPr>
        <w:t>Management</w:t>
      </w:r>
      <w:r>
        <w:rPr>
          <w:spacing w:val="-3"/>
          <w:sz w:val="18"/>
        </w:rPr>
        <w:t> </w:t>
      </w:r>
      <w:r>
        <w:rPr>
          <w:sz w:val="18"/>
        </w:rPr>
        <w:t>Victoria,</w:t>
      </w:r>
      <w:r>
        <w:rPr>
          <w:spacing w:val="-5"/>
          <w:sz w:val="18"/>
        </w:rPr>
        <w:t> </w:t>
      </w:r>
      <w:r>
        <w:rPr>
          <w:sz w:val="18"/>
        </w:rPr>
        <w:t>2017.</w:t>
      </w:r>
      <w:r>
        <w:rPr>
          <w:spacing w:val="-3"/>
          <w:sz w:val="18"/>
        </w:rPr>
        <w:t> </w:t>
      </w:r>
      <w:r>
        <w:rPr>
          <w:sz w:val="18"/>
        </w:rPr>
        <w:t>EMMV</w:t>
      </w:r>
      <w:r>
        <w:rPr>
          <w:spacing w:val="-3"/>
          <w:sz w:val="18"/>
        </w:rPr>
        <w:t> </w:t>
      </w:r>
      <w:r>
        <w:rPr>
          <w:sz w:val="18"/>
        </w:rPr>
        <w:t>Part</w:t>
      </w:r>
      <w:r>
        <w:rPr>
          <w:spacing w:val="-3"/>
          <w:sz w:val="18"/>
        </w:rPr>
        <w:t> </w:t>
      </w:r>
      <w:r>
        <w:rPr>
          <w:sz w:val="18"/>
        </w:rPr>
        <w:t>7 –</w:t>
      </w:r>
      <w:r>
        <w:rPr>
          <w:spacing w:val="-2"/>
          <w:sz w:val="18"/>
        </w:rPr>
        <w:t> </w:t>
      </w:r>
      <w:r>
        <w:rPr>
          <w:sz w:val="18"/>
        </w:rPr>
        <w:t>Emergency</w:t>
      </w:r>
      <w:r>
        <w:rPr>
          <w:spacing w:val="-5"/>
          <w:sz w:val="18"/>
        </w:rPr>
        <w:t> </w:t>
      </w:r>
      <w:r>
        <w:rPr>
          <w:sz w:val="18"/>
        </w:rPr>
        <w:t>Management</w:t>
      </w:r>
      <w:r>
        <w:rPr>
          <w:spacing w:val="-3"/>
          <w:sz w:val="18"/>
        </w:rPr>
        <w:t> </w:t>
      </w:r>
      <w:r>
        <w:rPr>
          <w:sz w:val="18"/>
        </w:rPr>
        <w:t>Agency</w:t>
      </w:r>
      <w:r>
        <w:rPr>
          <w:spacing w:val="-7"/>
          <w:sz w:val="18"/>
        </w:rPr>
        <w:t> </w:t>
      </w:r>
      <w:r>
        <w:rPr>
          <w:sz w:val="18"/>
        </w:rPr>
        <w:t>Roles.</w:t>
      </w:r>
      <w:r>
        <w:rPr>
          <w:spacing w:val="-5"/>
          <w:sz w:val="18"/>
        </w:rPr>
        <w:t> </w:t>
      </w:r>
      <w:r>
        <w:rPr>
          <w:sz w:val="18"/>
        </w:rPr>
        <w:t>In: </w:t>
      </w:r>
      <w:r>
        <w:rPr>
          <w:i/>
          <w:sz w:val="18"/>
        </w:rPr>
        <w:t>Emergency Management Manual Victoria. </w:t>
      </w:r>
      <w:r>
        <w:rPr>
          <w:sz w:val="18"/>
        </w:rPr>
        <w:t>Melbourne.</w:t>
      </w:r>
    </w:p>
    <w:p>
      <w:pPr>
        <w:spacing w:line="381" w:lineRule="auto" w:before="82"/>
        <w:ind w:left="232" w:right="6138" w:firstLine="0"/>
        <w:jc w:val="left"/>
        <w:rPr>
          <w:sz w:val="18"/>
        </w:rPr>
      </w:pPr>
      <w:r>
        <w:rPr>
          <w:sz w:val="18"/>
        </w:rPr>
        <w:t>ESC,</w:t>
      </w:r>
      <w:r>
        <w:rPr>
          <w:spacing w:val="-6"/>
          <w:sz w:val="18"/>
        </w:rPr>
        <w:t> </w:t>
      </w:r>
      <w:r>
        <w:rPr>
          <w:sz w:val="18"/>
        </w:rPr>
        <w:t>2014.</w:t>
      </w:r>
      <w:r>
        <w:rPr>
          <w:spacing w:val="-7"/>
          <w:sz w:val="18"/>
        </w:rPr>
        <w:t> </w:t>
      </w:r>
      <w:r>
        <w:rPr>
          <w:i/>
          <w:sz w:val="18"/>
        </w:rPr>
        <w:t>Gas</w:t>
      </w:r>
      <w:r>
        <w:rPr>
          <w:i/>
          <w:spacing w:val="-5"/>
          <w:sz w:val="18"/>
        </w:rPr>
        <w:t> </w:t>
      </w:r>
      <w:r>
        <w:rPr>
          <w:i/>
          <w:sz w:val="18"/>
        </w:rPr>
        <w:t>Distribution</w:t>
      </w:r>
      <w:r>
        <w:rPr>
          <w:i/>
          <w:spacing w:val="-6"/>
          <w:sz w:val="18"/>
        </w:rPr>
        <w:t> </w:t>
      </w:r>
      <w:r>
        <w:rPr>
          <w:i/>
          <w:sz w:val="18"/>
        </w:rPr>
        <w:t>System</w:t>
      </w:r>
      <w:r>
        <w:rPr>
          <w:i/>
          <w:spacing w:val="-8"/>
          <w:sz w:val="18"/>
        </w:rPr>
        <w:t> </w:t>
      </w:r>
      <w:r>
        <w:rPr>
          <w:i/>
          <w:sz w:val="18"/>
        </w:rPr>
        <w:t>Code</w:t>
      </w:r>
      <w:r>
        <w:rPr>
          <w:sz w:val="18"/>
        </w:rPr>
        <w:t>. ESC, 2015. </w:t>
      </w:r>
      <w:r>
        <w:rPr>
          <w:i/>
          <w:sz w:val="18"/>
        </w:rPr>
        <w:t>Electricity Distribution Code</w:t>
      </w:r>
      <w:r>
        <w:rPr>
          <w:sz w:val="18"/>
        </w:rPr>
        <w:t>.</w:t>
      </w:r>
    </w:p>
    <w:p>
      <w:pPr>
        <w:spacing w:line="206" w:lineRule="exact" w:before="0"/>
        <w:ind w:left="232" w:right="0" w:firstLine="0"/>
        <w:jc w:val="left"/>
        <w:rPr>
          <w:sz w:val="18"/>
        </w:rPr>
      </w:pPr>
      <w:r>
        <w:rPr>
          <w:sz w:val="18"/>
        </w:rPr>
        <w:t>ESV,</w:t>
      </w:r>
      <w:r>
        <w:rPr>
          <w:spacing w:val="-7"/>
          <w:sz w:val="18"/>
        </w:rPr>
        <w:t> </w:t>
      </w:r>
      <w:r>
        <w:rPr>
          <w:sz w:val="18"/>
        </w:rPr>
        <w:t>2017.</w:t>
      </w:r>
      <w:r>
        <w:rPr>
          <w:spacing w:val="-3"/>
          <w:sz w:val="18"/>
        </w:rPr>
        <w:t> </w:t>
      </w:r>
      <w:r>
        <w:rPr>
          <w:i/>
          <w:sz w:val="18"/>
        </w:rPr>
        <w:t>Corporate</w:t>
      </w:r>
      <w:r>
        <w:rPr>
          <w:i/>
          <w:spacing w:val="-4"/>
          <w:sz w:val="18"/>
        </w:rPr>
        <w:t> </w:t>
      </w:r>
      <w:r>
        <w:rPr>
          <w:i/>
          <w:sz w:val="18"/>
        </w:rPr>
        <w:t>Plan</w:t>
      </w:r>
      <w:r>
        <w:rPr>
          <w:i/>
          <w:spacing w:val="-5"/>
          <w:sz w:val="18"/>
        </w:rPr>
        <w:t> </w:t>
      </w:r>
      <w:r>
        <w:rPr>
          <w:i/>
          <w:spacing w:val="-2"/>
          <w:sz w:val="18"/>
        </w:rPr>
        <w:t>2017–2020</w:t>
      </w:r>
      <w:r>
        <w:rPr>
          <w:spacing w:val="-2"/>
          <w:sz w:val="18"/>
        </w:rPr>
        <w:t>.</w:t>
      </w:r>
    </w:p>
    <w:p>
      <w:pPr>
        <w:spacing w:before="123"/>
        <w:ind w:left="232" w:right="0" w:firstLine="0"/>
        <w:jc w:val="left"/>
        <w:rPr>
          <w:sz w:val="18"/>
        </w:rPr>
      </w:pPr>
      <w:r>
        <w:rPr>
          <w:sz w:val="18"/>
        </w:rPr>
        <w:t>Jemena,</w:t>
      </w:r>
      <w:r>
        <w:rPr>
          <w:spacing w:val="-8"/>
          <w:sz w:val="18"/>
        </w:rPr>
        <w:t> </w:t>
      </w:r>
      <w:r>
        <w:rPr>
          <w:sz w:val="18"/>
        </w:rPr>
        <w:t>2017.</w:t>
      </w:r>
      <w:r>
        <w:rPr>
          <w:spacing w:val="-2"/>
          <w:sz w:val="18"/>
        </w:rPr>
        <w:t> </w:t>
      </w:r>
      <w:r>
        <w:rPr>
          <w:i/>
          <w:sz w:val="18"/>
        </w:rPr>
        <w:t>Jemena</w:t>
      </w:r>
      <w:r>
        <w:rPr>
          <w:i/>
          <w:spacing w:val="-4"/>
          <w:sz w:val="18"/>
        </w:rPr>
        <w:t> </w:t>
      </w:r>
      <w:r>
        <w:rPr>
          <w:i/>
          <w:sz w:val="18"/>
        </w:rPr>
        <w:t>Submission–</w:t>
      </w:r>
      <w:r>
        <w:rPr>
          <w:i/>
          <w:spacing w:val="-3"/>
          <w:sz w:val="18"/>
        </w:rPr>
        <w:t> </w:t>
      </w:r>
      <w:r>
        <w:rPr>
          <w:i/>
          <w:sz w:val="18"/>
        </w:rPr>
        <w:t>Review</w:t>
      </w:r>
      <w:r>
        <w:rPr>
          <w:i/>
          <w:spacing w:val="-4"/>
          <w:sz w:val="18"/>
        </w:rPr>
        <w:t> </w:t>
      </w:r>
      <w:r>
        <w:rPr>
          <w:i/>
          <w:sz w:val="18"/>
        </w:rPr>
        <w:t>of</w:t>
      </w:r>
      <w:r>
        <w:rPr>
          <w:i/>
          <w:spacing w:val="-4"/>
          <w:sz w:val="18"/>
        </w:rPr>
        <w:t> </w:t>
      </w:r>
      <w:r>
        <w:rPr>
          <w:i/>
          <w:sz w:val="18"/>
        </w:rPr>
        <w:t>Victoria’s</w:t>
      </w:r>
      <w:r>
        <w:rPr>
          <w:i/>
          <w:spacing w:val="-3"/>
          <w:sz w:val="18"/>
        </w:rPr>
        <w:t> </w:t>
      </w:r>
      <w:r>
        <w:rPr>
          <w:i/>
          <w:sz w:val="18"/>
        </w:rPr>
        <w:t>Gas</w:t>
      </w:r>
      <w:r>
        <w:rPr>
          <w:i/>
          <w:spacing w:val="-3"/>
          <w:sz w:val="18"/>
        </w:rPr>
        <w:t> </w:t>
      </w:r>
      <w:r>
        <w:rPr>
          <w:i/>
          <w:sz w:val="18"/>
        </w:rPr>
        <w:t>Network</w:t>
      </w:r>
      <w:r>
        <w:rPr>
          <w:i/>
          <w:spacing w:val="-3"/>
          <w:sz w:val="18"/>
        </w:rPr>
        <w:t> </w:t>
      </w:r>
      <w:r>
        <w:rPr>
          <w:i/>
          <w:sz w:val="18"/>
        </w:rPr>
        <w:t>Safety</w:t>
      </w:r>
      <w:r>
        <w:rPr>
          <w:i/>
          <w:spacing w:val="-3"/>
          <w:sz w:val="18"/>
        </w:rPr>
        <w:t> </w:t>
      </w:r>
      <w:r>
        <w:rPr>
          <w:i/>
          <w:spacing w:val="-2"/>
          <w:sz w:val="18"/>
        </w:rPr>
        <w:t>Framework</w:t>
      </w:r>
      <w:r>
        <w:rPr>
          <w:spacing w:val="-2"/>
          <w:sz w:val="18"/>
        </w:rPr>
        <w:t>.</w:t>
      </w:r>
    </w:p>
    <w:p>
      <w:pPr>
        <w:spacing w:line="381" w:lineRule="auto" w:before="119"/>
        <w:ind w:left="232" w:right="1720" w:firstLine="0"/>
        <w:jc w:val="left"/>
        <w:rPr>
          <w:sz w:val="18"/>
        </w:rPr>
      </w:pPr>
      <w:r>
        <w:rPr>
          <w:sz w:val="18"/>
        </w:rPr>
        <w:t>MFB</w:t>
      </w:r>
      <w:r>
        <w:rPr>
          <w:spacing w:val="-3"/>
          <w:sz w:val="18"/>
        </w:rPr>
        <w:t> </w:t>
      </w:r>
      <w:r>
        <w:rPr>
          <w:sz w:val="18"/>
        </w:rPr>
        <w:t>&amp;</w:t>
      </w:r>
      <w:r>
        <w:rPr>
          <w:spacing w:val="-3"/>
          <w:sz w:val="18"/>
        </w:rPr>
        <w:t> </w:t>
      </w:r>
      <w:r>
        <w:rPr>
          <w:sz w:val="18"/>
        </w:rPr>
        <w:t>ESV,</w:t>
      </w:r>
      <w:r>
        <w:rPr>
          <w:spacing w:val="-3"/>
          <w:sz w:val="18"/>
        </w:rPr>
        <w:t> </w:t>
      </w:r>
      <w:r>
        <w:rPr>
          <w:sz w:val="18"/>
        </w:rPr>
        <w:t>2008.</w:t>
      </w:r>
      <w:r>
        <w:rPr>
          <w:spacing w:val="-1"/>
          <w:sz w:val="18"/>
        </w:rPr>
        <w:t> </w:t>
      </w:r>
      <w:r>
        <w:rPr>
          <w:i/>
          <w:sz w:val="18"/>
        </w:rPr>
        <w:t>Electricity</w:t>
      </w:r>
      <w:r>
        <w:rPr>
          <w:i/>
          <w:spacing w:val="-4"/>
          <w:sz w:val="18"/>
        </w:rPr>
        <w:t> </w:t>
      </w:r>
      <w:r>
        <w:rPr>
          <w:i/>
          <w:sz w:val="18"/>
        </w:rPr>
        <w:t>Hazards</w:t>
      </w:r>
      <w:r>
        <w:rPr>
          <w:i/>
          <w:spacing w:val="-2"/>
          <w:sz w:val="18"/>
        </w:rPr>
        <w:t> </w:t>
      </w:r>
      <w:r>
        <w:rPr>
          <w:i/>
          <w:sz w:val="18"/>
        </w:rPr>
        <w:t>&amp;</w:t>
      </w:r>
      <w:r>
        <w:rPr>
          <w:i/>
          <w:spacing w:val="-3"/>
          <w:sz w:val="18"/>
        </w:rPr>
        <w:t> </w:t>
      </w:r>
      <w:r>
        <w:rPr>
          <w:i/>
          <w:sz w:val="18"/>
        </w:rPr>
        <w:t>Safety</w:t>
      </w:r>
      <w:r>
        <w:rPr>
          <w:i/>
          <w:spacing w:val="-4"/>
          <w:sz w:val="18"/>
        </w:rPr>
        <w:t> </w:t>
      </w:r>
      <w:r>
        <w:rPr>
          <w:i/>
          <w:sz w:val="18"/>
        </w:rPr>
        <w:t>Handbook</w:t>
      </w:r>
      <w:r>
        <w:rPr>
          <w:i/>
          <w:spacing w:val="-2"/>
          <w:sz w:val="18"/>
        </w:rPr>
        <w:t> </w:t>
      </w:r>
      <w:r>
        <w:rPr>
          <w:i/>
          <w:sz w:val="18"/>
        </w:rPr>
        <w:t>for</w:t>
      </w:r>
      <w:r>
        <w:rPr>
          <w:i/>
          <w:spacing w:val="-3"/>
          <w:sz w:val="18"/>
        </w:rPr>
        <w:t> </w:t>
      </w:r>
      <w:r>
        <w:rPr>
          <w:i/>
          <w:sz w:val="18"/>
        </w:rPr>
        <w:t>Emergency</w:t>
      </w:r>
      <w:r>
        <w:rPr>
          <w:i/>
          <w:spacing w:val="-2"/>
          <w:sz w:val="18"/>
        </w:rPr>
        <w:t> </w:t>
      </w:r>
      <w:r>
        <w:rPr>
          <w:i/>
          <w:sz w:val="18"/>
        </w:rPr>
        <w:t>Services</w:t>
      </w:r>
      <w:r>
        <w:rPr>
          <w:i/>
          <w:spacing w:val="-2"/>
          <w:sz w:val="18"/>
        </w:rPr>
        <w:t> </w:t>
      </w:r>
      <w:r>
        <w:rPr>
          <w:i/>
          <w:sz w:val="18"/>
        </w:rPr>
        <w:t>in</w:t>
      </w:r>
      <w:r>
        <w:rPr>
          <w:i/>
          <w:spacing w:val="-5"/>
          <w:sz w:val="18"/>
        </w:rPr>
        <w:t> </w:t>
      </w:r>
      <w:r>
        <w:rPr>
          <w:i/>
          <w:sz w:val="18"/>
        </w:rPr>
        <w:t>Victoria. </w:t>
      </w:r>
      <w:r>
        <w:rPr>
          <w:sz w:val="18"/>
        </w:rPr>
        <w:t>2nd</w:t>
      </w:r>
      <w:r>
        <w:rPr>
          <w:spacing w:val="-5"/>
          <w:sz w:val="18"/>
        </w:rPr>
        <w:t> </w:t>
      </w:r>
      <w:r>
        <w:rPr>
          <w:sz w:val="18"/>
        </w:rPr>
        <w:t>ed. Multinet Gas, 2017. </w:t>
      </w:r>
      <w:r>
        <w:rPr>
          <w:i/>
          <w:sz w:val="18"/>
        </w:rPr>
        <w:t>Review of Victoria’s Gas Network Safety Framework: Issues for consideration</w:t>
      </w:r>
      <w:r>
        <w:rPr>
          <w:sz w:val="18"/>
        </w:rPr>
        <w:t>.</w:t>
      </w:r>
    </w:p>
    <w:p>
      <w:pPr>
        <w:spacing w:line="381" w:lineRule="auto" w:before="0"/>
        <w:ind w:left="232" w:right="868" w:firstLine="0"/>
        <w:jc w:val="left"/>
        <w:rPr>
          <w:sz w:val="18"/>
        </w:rPr>
      </w:pPr>
      <w:r>
        <w:rPr>
          <w:sz w:val="18"/>
        </w:rPr>
        <w:t>Parliament</w:t>
      </w:r>
      <w:r>
        <w:rPr>
          <w:spacing w:val="-4"/>
          <w:sz w:val="18"/>
        </w:rPr>
        <w:t> </w:t>
      </w:r>
      <w:r>
        <w:rPr>
          <w:sz w:val="18"/>
        </w:rPr>
        <w:t>of</w:t>
      </w:r>
      <w:r>
        <w:rPr>
          <w:spacing w:val="-3"/>
          <w:sz w:val="18"/>
        </w:rPr>
        <w:t> </w:t>
      </w:r>
      <w:r>
        <w:rPr>
          <w:sz w:val="18"/>
        </w:rPr>
        <w:t>Victoria,</w:t>
      </w:r>
      <w:r>
        <w:rPr>
          <w:spacing w:val="-4"/>
          <w:sz w:val="18"/>
        </w:rPr>
        <w:t> </w:t>
      </w:r>
      <w:r>
        <w:rPr>
          <w:sz w:val="18"/>
        </w:rPr>
        <w:t>2017. </w:t>
      </w:r>
      <w:r>
        <w:rPr>
          <w:i/>
          <w:sz w:val="18"/>
        </w:rPr>
        <w:t>Electricity</w:t>
      </w:r>
      <w:r>
        <w:rPr>
          <w:i/>
          <w:spacing w:val="-2"/>
          <w:sz w:val="18"/>
        </w:rPr>
        <w:t> </w:t>
      </w:r>
      <w:r>
        <w:rPr>
          <w:i/>
          <w:sz w:val="18"/>
        </w:rPr>
        <w:t>Safety</w:t>
      </w:r>
      <w:r>
        <w:rPr>
          <w:i/>
          <w:spacing w:val="-2"/>
          <w:sz w:val="18"/>
        </w:rPr>
        <w:t> </w:t>
      </w:r>
      <w:r>
        <w:rPr>
          <w:i/>
          <w:sz w:val="18"/>
        </w:rPr>
        <w:t>Amendment</w:t>
      </w:r>
      <w:r>
        <w:rPr>
          <w:i/>
          <w:spacing w:val="-4"/>
          <w:sz w:val="18"/>
        </w:rPr>
        <w:t> </w:t>
      </w:r>
      <w:r>
        <w:rPr>
          <w:i/>
          <w:sz w:val="18"/>
        </w:rPr>
        <w:t>(Bushfire</w:t>
      </w:r>
      <w:r>
        <w:rPr>
          <w:i/>
          <w:spacing w:val="-3"/>
          <w:sz w:val="18"/>
        </w:rPr>
        <w:t> </w:t>
      </w:r>
      <w:r>
        <w:rPr>
          <w:i/>
          <w:sz w:val="18"/>
        </w:rPr>
        <w:t>Mitigation</w:t>
      </w:r>
      <w:r>
        <w:rPr>
          <w:i/>
          <w:spacing w:val="-3"/>
          <w:sz w:val="18"/>
        </w:rPr>
        <w:t> </w:t>
      </w:r>
      <w:r>
        <w:rPr>
          <w:i/>
          <w:sz w:val="18"/>
        </w:rPr>
        <w:t>Civil</w:t>
      </w:r>
      <w:r>
        <w:rPr>
          <w:i/>
          <w:spacing w:val="-4"/>
          <w:sz w:val="18"/>
        </w:rPr>
        <w:t> </w:t>
      </w:r>
      <w:r>
        <w:rPr>
          <w:i/>
          <w:sz w:val="18"/>
        </w:rPr>
        <w:t>Penalties</w:t>
      </w:r>
      <w:r>
        <w:rPr>
          <w:i/>
          <w:spacing w:val="-2"/>
          <w:sz w:val="18"/>
        </w:rPr>
        <w:t> </w:t>
      </w:r>
      <w:r>
        <w:rPr>
          <w:i/>
          <w:sz w:val="18"/>
        </w:rPr>
        <w:t>Scheme)</w:t>
      </w:r>
      <w:r>
        <w:rPr>
          <w:i/>
          <w:spacing w:val="-3"/>
          <w:sz w:val="18"/>
        </w:rPr>
        <w:t> </w:t>
      </w:r>
      <w:r>
        <w:rPr>
          <w:i/>
          <w:sz w:val="18"/>
        </w:rPr>
        <w:t>Bill</w:t>
      </w:r>
      <w:r>
        <w:rPr>
          <w:i/>
          <w:spacing w:val="-4"/>
          <w:sz w:val="18"/>
        </w:rPr>
        <w:t> </w:t>
      </w:r>
      <w:r>
        <w:rPr>
          <w:i/>
          <w:sz w:val="18"/>
        </w:rPr>
        <w:t>2017</w:t>
      </w:r>
      <w:r>
        <w:rPr>
          <w:sz w:val="18"/>
        </w:rPr>
        <w:t>. United Energy, 2017. </w:t>
      </w:r>
      <w:r>
        <w:rPr>
          <w:i/>
          <w:sz w:val="18"/>
        </w:rPr>
        <w:t>United Energy Submission on Review of Victoria’s Electricity Network Safety Framework</w:t>
      </w:r>
      <w:r>
        <w:rPr>
          <w:sz w:val="18"/>
        </w:rPr>
        <w:t>.</w:t>
      </w:r>
    </w:p>
    <w:p>
      <w:pPr>
        <w:spacing w:after="0" w:line="381" w:lineRule="auto"/>
        <w:jc w:val="left"/>
        <w:rPr>
          <w:sz w:val="18"/>
        </w:rPr>
        <w:sectPr>
          <w:pgSz w:w="11910" w:h="16850"/>
          <w:pgMar w:header="220" w:footer="678" w:top="420" w:bottom="860" w:left="900" w:right="840"/>
        </w:sectPr>
      </w:pPr>
    </w:p>
    <w:p>
      <w:pPr>
        <w:pStyle w:val="BodyText"/>
        <w:rPr>
          <w:sz w:val="20"/>
        </w:rPr>
      </w:pPr>
    </w:p>
    <w:p>
      <w:pPr>
        <w:pStyle w:val="BodyText"/>
        <w:spacing w:before="10"/>
        <w:rPr>
          <w:sz w:val="19"/>
        </w:rPr>
      </w:pPr>
    </w:p>
    <w:p>
      <w:pPr>
        <w:pStyle w:val="Heading3"/>
        <w:spacing w:line="288" w:lineRule="auto"/>
      </w:pPr>
      <w:bookmarkStart w:name="_bookmark10" w:id="11"/>
      <w:bookmarkEnd w:id="11"/>
      <w:r>
        <w:rPr>
          <w:b w:val="0"/>
        </w:rPr>
      </w:r>
      <w:r>
        <w:rPr>
          <w:color w:val="00B1A9"/>
        </w:rPr>
        <w:t>Chapter</w:t>
      </w:r>
      <w:r>
        <w:rPr>
          <w:color w:val="00B1A9"/>
          <w:spacing w:val="-4"/>
        </w:rPr>
        <w:t> </w:t>
      </w:r>
      <w:r>
        <w:rPr>
          <w:color w:val="00B1A9"/>
        </w:rPr>
        <w:t>4:</w:t>
      </w:r>
      <w:r>
        <w:rPr>
          <w:color w:val="00B1A9"/>
          <w:spacing w:val="-4"/>
        </w:rPr>
        <w:t> </w:t>
      </w:r>
      <w:r>
        <w:rPr>
          <w:color w:val="00B1A9"/>
        </w:rPr>
        <w:t>Integrating</w:t>
      </w:r>
      <w:r>
        <w:rPr>
          <w:color w:val="00B1A9"/>
          <w:spacing w:val="-5"/>
        </w:rPr>
        <w:t> </w:t>
      </w:r>
      <w:r>
        <w:rPr>
          <w:color w:val="00B1A9"/>
        </w:rPr>
        <w:t>Safety</w:t>
      </w:r>
      <w:r>
        <w:rPr>
          <w:color w:val="00B1A9"/>
          <w:spacing w:val="-10"/>
        </w:rPr>
        <w:t> </w:t>
      </w:r>
      <w:r>
        <w:rPr>
          <w:color w:val="00B1A9"/>
        </w:rPr>
        <w:t>Regulation</w:t>
      </w:r>
      <w:r>
        <w:rPr>
          <w:color w:val="00B1A9"/>
          <w:spacing w:val="-10"/>
        </w:rPr>
        <w:t> </w:t>
      </w:r>
      <w:r>
        <w:rPr>
          <w:color w:val="00B1A9"/>
        </w:rPr>
        <w:t>with Economic Regulation</w:t>
      </w:r>
    </w:p>
    <w:p>
      <w:pPr>
        <w:pStyle w:val="BodyText"/>
        <w:rPr>
          <w:b/>
          <w:sz w:val="20"/>
        </w:rPr>
      </w:pPr>
    </w:p>
    <w:p>
      <w:pPr>
        <w:pStyle w:val="Heading4"/>
        <w:spacing w:before="248"/>
        <w:ind w:left="374"/>
      </w:pPr>
      <w:r>
        <w:rPr/>
        <mc:AlternateContent>
          <mc:Choice Requires="wps">
            <w:drawing>
              <wp:anchor distT="0" distB="0" distL="0" distR="0" allowOverlap="1" layoutInCell="1" locked="0" behindDoc="1" simplePos="0" relativeHeight="482724864">
                <wp:simplePos x="0" y="0"/>
                <wp:positionH relativeFrom="page">
                  <wp:posOffset>719327</wp:posOffset>
                </wp:positionH>
                <wp:positionV relativeFrom="paragraph">
                  <wp:posOffset>5306</wp:posOffset>
                </wp:positionV>
                <wp:extent cx="5896610" cy="7535545"/>
                <wp:effectExtent l="0" t="0" r="0" b="0"/>
                <wp:wrapNone/>
                <wp:docPr id="153" name="Graphic 153"/>
                <wp:cNvGraphicFramePr>
                  <a:graphicFrameLocks/>
                </wp:cNvGraphicFramePr>
                <a:graphic>
                  <a:graphicData uri="http://schemas.microsoft.com/office/word/2010/wordprocessingShape">
                    <wps:wsp>
                      <wps:cNvPr id="153" name="Graphic 153"/>
                      <wps:cNvSpPr/>
                      <wps:spPr>
                        <a:xfrm>
                          <a:off x="0" y="0"/>
                          <a:ext cx="5896610" cy="7535545"/>
                        </a:xfrm>
                        <a:custGeom>
                          <a:avLst/>
                          <a:gdLst/>
                          <a:ahLst/>
                          <a:cxnLst/>
                          <a:rect l="l" t="t" r="r" b="b"/>
                          <a:pathLst>
                            <a:path w="5896610" h="7535545">
                              <a:moveTo>
                                <a:pt x="5896102" y="0"/>
                              </a:moveTo>
                              <a:lnTo>
                                <a:pt x="0" y="0"/>
                              </a:lnTo>
                              <a:lnTo>
                                <a:pt x="0" y="7535545"/>
                              </a:lnTo>
                              <a:lnTo>
                                <a:pt x="5896102" y="7535545"/>
                              </a:lnTo>
                              <a:lnTo>
                                <a:pt x="589610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56.639999pt;margin-top:.41783pt;width:464.26pt;height:593.35pt;mso-position-horizontal-relative:page;mso-position-vertical-relative:paragraph;z-index:-20591616" id="docshape137" filled="true" fillcolor="#d9d9d9" stroked="false">
                <v:fill type="solid"/>
                <w10:wrap type="none"/>
              </v:rect>
            </w:pict>
          </mc:Fallback>
        </mc:AlternateContent>
      </w:r>
      <w:r>
        <w:rPr>
          <w:color w:val="585858"/>
          <w:spacing w:val="-2"/>
        </w:rPr>
        <w:t>Summary</w:t>
      </w:r>
    </w:p>
    <w:p>
      <w:pPr>
        <w:pStyle w:val="BodyText"/>
        <w:spacing w:line="288" w:lineRule="auto" w:before="314"/>
        <w:ind w:left="345" w:right="951"/>
      </w:pPr>
      <w:r>
        <w:rPr/>
        <w:t>Electricity</w:t>
      </w:r>
      <w:r>
        <w:rPr>
          <w:spacing w:val="-5"/>
        </w:rPr>
        <w:t> </w:t>
      </w:r>
      <w:r>
        <w:rPr/>
        <w:t>and</w:t>
      </w:r>
      <w:r>
        <w:rPr>
          <w:spacing w:val="-5"/>
        </w:rPr>
        <w:t> </w:t>
      </w:r>
      <w:r>
        <w:rPr/>
        <w:t>gas</w:t>
      </w:r>
      <w:r>
        <w:rPr>
          <w:spacing w:val="-5"/>
        </w:rPr>
        <w:t> </w:t>
      </w:r>
      <w:r>
        <w:rPr/>
        <w:t>network businesses</w:t>
      </w:r>
      <w:r>
        <w:rPr>
          <w:spacing w:val="-2"/>
        </w:rPr>
        <w:t> </w:t>
      </w:r>
      <w:r>
        <w:rPr/>
        <w:t>are</w:t>
      </w:r>
      <w:r>
        <w:rPr>
          <w:spacing w:val="-3"/>
        </w:rPr>
        <w:t> </w:t>
      </w:r>
      <w:r>
        <w:rPr/>
        <w:t>subject</w:t>
      </w:r>
      <w:r>
        <w:rPr>
          <w:spacing w:val="-4"/>
        </w:rPr>
        <w:t> </w:t>
      </w:r>
      <w:r>
        <w:rPr/>
        <w:t>to</w:t>
      </w:r>
      <w:r>
        <w:rPr>
          <w:spacing w:val="-3"/>
        </w:rPr>
        <w:t> </w:t>
      </w:r>
      <w:r>
        <w:rPr/>
        <w:t>extensive</w:t>
      </w:r>
      <w:r>
        <w:rPr>
          <w:spacing w:val="-3"/>
        </w:rPr>
        <w:t> </w:t>
      </w:r>
      <w:r>
        <w:rPr/>
        <w:t>economic</w:t>
      </w:r>
      <w:r>
        <w:rPr>
          <w:spacing w:val="-5"/>
        </w:rPr>
        <w:t> </w:t>
      </w:r>
      <w:r>
        <w:rPr/>
        <w:t>regulation.</w:t>
      </w:r>
      <w:r>
        <w:rPr>
          <w:spacing w:val="-6"/>
        </w:rPr>
        <w:t> </w:t>
      </w:r>
      <w:r>
        <w:rPr/>
        <w:t>This system overlaps directly with the safety regulation system.</w:t>
      </w:r>
    </w:p>
    <w:p>
      <w:pPr>
        <w:pStyle w:val="BodyText"/>
        <w:spacing w:before="10"/>
        <w:rPr>
          <w:sz w:val="20"/>
        </w:rPr>
      </w:pPr>
    </w:p>
    <w:p>
      <w:pPr>
        <w:pStyle w:val="BodyText"/>
        <w:spacing w:line="288" w:lineRule="auto"/>
        <w:ind w:left="345" w:right="374"/>
      </w:pPr>
      <w:r>
        <w:rPr/>
        <w:t>The</w:t>
      </w:r>
      <w:r>
        <w:rPr>
          <w:spacing w:val="-4"/>
        </w:rPr>
        <w:t> </w:t>
      </w:r>
      <w:r>
        <w:rPr/>
        <w:t>economic</w:t>
      </w:r>
      <w:r>
        <w:rPr>
          <w:spacing w:val="-4"/>
        </w:rPr>
        <w:t> </w:t>
      </w:r>
      <w:r>
        <w:rPr/>
        <w:t>regulatory</w:t>
      </w:r>
      <w:r>
        <w:rPr>
          <w:spacing w:val="-4"/>
        </w:rPr>
        <w:t> </w:t>
      </w:r>
      <w:r>
        <w:rPr/>
        <w:t>system</w:t>
      </w:r>
      <w:r>
        <w:rPr>
          <w:spacing w:val="-3"/>
        </w:rPr>
        <w:t> </w:t>
      </w:r>
      <w:r>
        <w:rPr/>
        <w:t>seeks</w:t>
      </w:r>
      <w:r>
        <w:rPr>
          <w:spacing w:val="-4"/>
        </w:rPr>
        <w:t> </w:t>
      </w:r>
      <w:r>
        <w:rPr/>
        <w:t>to</w:t>
      </w:r>
      <w:r>
        <w:rPr>
          <w:spacing w:val="-4"/>
        </w:rPr>
        <w:t> </w:t>
      </w:r>
      <w:r>
        <w:rPr/>
        <w:t>ensure</w:t>
      </w:r>
      <w:r>
        <w:rPr>
          <w:spacing w:val="-4"/>
        </w:rPr>
        <w:t> </w:t>
      </w:r>
      <w:r>
        <w:rPr/>
        <w:t>that</w:t>
      </w:r>
      <w:r>
        <w:rPr>
          <w:spacing w:val="-3"/>
        </w:rPr>
        <w:t> </w:t>
      </w:r>
      <w:r>
        <w:rPr/>
        <w:t>energy</w:t>
      </w:r>
      <w:r>
        <w:rPr>
          <w:spacing w:val="-4"/>
        </w:rPr>
        <w:t> </w:t>
      </w:r>
      <w:r>
        <w:rPr/>
        <w:t>is</w:t>
      </w:r>
      <w:r>
        <w:rPr>
          <w:spacing w:val="-1"/>
        </w:rPr>
        <w:t> </w:t>
      </w:r>
      <w:r>
        <w:rPr/>
        <w:t>distributed</w:t>
      </w:r>
      <w:r>
        <w:rPr>
          <w:spacing w:val="-4"/>
        </w:rPr>
        <w:t> </w:t>
      </w:r>
      <w:r>
        <w:rPr/>
        <w:t>as</w:t>
      </w:r>
      <w:r>
        <w:rPr>
          <w:spacing w:val="-2"/>
        </w:rPr>
        <w:t> </w:t>
      </w:r>
      <w:r>
        <w:rPr/>
        <w:t>efficiently</w:t>
      </w:r>
      <w:r>
        <w:rPr>
          <w:spacing w:val="-4"/>
        </w:rPr>
        <w:t> </w:t>
      </w:r>
      <w:r>
        <w:rPr/>
        <w:t>as possible at the lowest possible cost to consumers.</w:t>
      </w:r>
    </w:p>
    <w:p>
      <w:pPr>
        <w:pStyle w:val="BodyText"/>
        <w:spacing w:before="10"/>
        <w:rPr>
          <w:sz w:val="20"/>
        </w:rPr>
      </w:pPr>
    </w:p>
    <w:p>
      <w:pPr>
        <w:pStyle w:val="BodyText"/>
        <w:spacing w:line="288" w:lineRule="auto"/>
        <w:ind w:left="345" w:right="951"/>
      </w:pPr>
      <w:r>
        <w:rPr/>
        <w:t>The</w:t>
      </w:r>
      <w:r>
        <w:rPr>
          <w:spacing w:val="-4"/>
        </w:rPr>
        <w:t> </w:t>
      </w:r>
      <w:r>
        <w:rPr/>
        <w:t>safety</w:t>
      </w:r>
      <w:r>
        <w:rPr>
          <w:spacing w:val="-4"/>
        </w:rPr>
        <w:t> </w:t>
      </w:r>
      <w:r>
        <w:rPr/>
        <w:t>regulatory</w:t>
      </w:r>
      <w:r>
        <w:rPr>
          <w:spacing w:val="-4"/>
        </w:rPr>
        <w:t> </w:t>
      </w:r>
      <w:r>
        <w:rPr/>
        <w:t>system</w:t>
      </w:r>
      <w:r>
        <w:rPr>
          <w:spacing w:val="-3"/>
        </w:rPr>
        <w:t> </w:t>
      </w:r>
      <w:r>
        <w:rPr/>
        <w:t>seeks</w:t>
      </w:r>
      <w:r>
        <w:rPr>
          <w:spacing w:val="-4"/>
        </w:rPr>
        <w:t> </w:t>
      </w:r>
      <w:r>
        <w:rPr/>
        <w:t>to</w:t>
      </w:r>
      <w:r>
        <w:rPr>
          <w:spacing w:val="-4"/>
        </w:rPr>
        <w:t> </w:t>
      </w:r>
      <w:r>
        <w:rPr/>
        <w:t>ensure</w:t>
      </w:r>
      <w:r>
        <w:rPr>
          <w:spacing w:val="-4"/>
        </w:rPr>
        <w:t> </w:t>
      </w:r>
      <w:r>
        <w:rPr/>
        <w:t>that</w:t>
      </w:r>
      <w:r>
        <w:rPr>
          <w:spacing w:val="-1"/>
        </w:rPr>
        <w:t> </w:t>
      </w:r>
      <w:r>
        <w:rPr/>
        <w:t>energy</w:t>
      </w:r>
      <w:r>
        <w:rPr>
          <w:spacing w:val="-4"/>
        </w:rPr>
        <w:t> </w:t>
      </w:r>
      <w:r>
        <w:rPr/>
        <w:t>is</w:t>
      </w:r>
      <w:r>
        <w:rPr>
          <w:spacing w:val="-1"/>
        </w:rPr>
        <w:t> </w:t>
      </w:r>
      <w:r>
        <w:rPr/>
        <w:t>distributed</w:t>
      </w:r>
      <w:r>
        <w:rPr>
          <w:spacing w:val="-2"/>
        </w:rPr>
        <w:t> </w:t>
      </w:r>
      <w:r>
        <w:rPr/>
        <w:t>safely</w:t>
      </w:r>
      <w:r>
        <w:rPr>
          <w:spacing w:val="-4"/>
        </w:rPr>
        <w:t> </w:t>
      </w:r>
      <w:r>
        <w:rPr/>
        <w:t>with</w:t>
      </w:r>
      <w:r>
        <w:rPr>
          <w:spacing w:val="-2"/>
        </w:rPr>
        <w:t> </w:t>
      </w:r>
      <w:r>
        <w:rPr/>
        <w:t>risks</w:t>
      </w:r>
      <w:r>
        <w:rPr>
          <w:spacing w:val="-4"/>
        </w:rPr>
        <w:t> </w:t>
      </w:r>
      <w:r>
        <w:rPr/>
        <w:t>to the community reduced as far as reasonably practicable.</w:t>
      </w:r>
    </w:p>
    <w:p>
      <w:pPr>
        <w:pStyle w:val="BodyText"/>
        <w:spacing w:before="11"/>
        <w:rPr>
          <w:sz w:val="20"/>
        </w:rPr>
      </w:pPr>
    </w:p>
    <w:p>
      <w:pPr>
        <w:pStyle w:val="BodyText"/>
        <w:spacing w:line="288" w:lineRule="auto"/>
        <w:ind w:left="345" w:right="784"/>
      </w:pPr>
      <w:r>
        <w:rPr/>
        <w:t>There will always be the potential for tension between the two systems. If economic regulation attempts to reduce costs too zealously, the community may be exposed to excessive</w:t>
      </w:r>
      <w:r>
        <w:rPr>
          <w:spacing w:val="-2"/>
        </w:rPr>
        <w:t> </w:t>
      </w:r>
      <w:r>
        <w:rPr/>
        <w:t>risk.</w:t>
      </w:r>
      <w:r>
        <w:rPr>
          <w:spacing w:val="-3"/>
        </w:rPr>
        <w:t> </w:t>
      </w:r>
      <w:r>
        <w:rPr/>
        <w:t>If safety</w:t>
      </w:r>
      <w:r>
        <w:rPr>
          <w:spacing w:val="-5"/>
        </w:rPr>
        <w:t> </w:t>
      </w:r>
      <w:r>
        <w:rPr/>
        <w:t>regulation</w:t>
      </w:r>
      <w:r>
        <w:rPr>
          <w:spacing w:val="-2"/>
        </w:rPr>
        <w:t> </w:t>
      </w:r>
      <w:r>
        <w:rPr/>
        <w:t>is</w:t>
      </w:r>
      <w:r>
        <w:rPr>
          <w:spacing w:val="-4"/>
        </w:rPr>
        <w:t> </w:t>
      </w:r>
      <w:r>
        <w:rPr/>
        <w:t>not</w:t>
      </w:r>
      <w:r>
        <w:rPr>
          <w:spacing w:val="-3"/>
        </w:rPr>
        <w:t> </w:t>
      </w:r>
      <w:r>
        <w:rPr/>
        <w:t>carefully</w:t>
      </w:r>
      <w:r>
        <w:rPr>
          <w:spacing w:val="-4"/>
        </w:rPr>
        <w:t> </w:t>
      </w:r>
      <w:r>
        <w:rPr/>
        <w:t>designed</w:t>
      </w:r>
      <w:r>
        <w:rPr>
          <w:spacing w:val="-2"/>
        </w:rPr>
        <w:t> </w:t>
      </w:r>
      <w:r>
        <w:rPr/>
        <w:t>it</w:t>
      </w:r>
      <w:r>
        <w:rPr>
          <w:spacing w:val="-3"/>
        </w:rPr>
        <w:t> </w:t>
      </w:r>
      <w:r>
        <w:rPr/>
        <w:t>may</w:t>
      </w:r>
      <w:r>
        <w:rPr>
          <w:spacing w:val="-4"/>
        </w:rPr>
        <w:t> </w:t>
      </w:r>
      <w:r>
        <w:rPr/>
        <w:t>result</w:t>
      </w:r>
      <w:r>
        <w:rPr>
          <w:spacing w:val="-3"/>
        </w:rPr>
        <w:t> </w:t>
      </w:r>
      <w:r>
        <w:rPr/>
        <w:t>in</w:t>
      </w:r>
      <w:r>
        <w:rPr>
          <w:spacing w:val="-4"/>
        </w:rPr>
        <w:t> </w:t>
      </w:r>
      <w:r>
        <w:rPr/>
        <w:t>excessive</w:t>
      </w:r>
      <w:r>
        <w:rPr>
          <w:spacing w:val="-2"/>
        </w:rPr>
        <w:t> </w:t>
      </w:r>
      <w:r>
        <w:rPr/>
        <w:t>costs</w:t>
      </w:r>
      <w:r>
        <w:rPr>
          <w:spacing w:val="-4"/>
        </w:rPr>
        <w:t> </w:t>
      </w:r>
      <w:r>
        <w:rPr/>
        <w:t>to </w:t>
      </w:r>
      <w:r>
        <w:rPr>
          <w:spacing w:val="-2"/>
        </w:rPr>
        <w:t>consumers.</w:t>
      </w:r>
    </w:p>
    <w:p>
      <w:pPr>
        <w:pStyle w:val="BodyText"/>
        <w:spacing w:before="10"/>
        <w:rPr>
          <w:sz w:val="20"/>
        </w:rPr>
      </w:pPr>
    </w:p>
    <w:p>
      <w:pPr>
        <w:spacing w:line="288" w:lineRule="auto" w:before="0"/>
        <w:ind w:left="345" w:right="951" w:firstLine="0"/>
        <w:jc w:val="left"/>
        <w:rPr>
          <w:sz w:val="22"/>
        </w:rPr>
      </w:pPr>
      <w:r>
        <w:rPr>
          <w:sz w:val="22"/>
        </w:rPr>
        <w:t>The </w:t>
      </w:r>
      <w:r>
        <w:rPr>
          <w:i/>
          <w:sz w:val="22"/>
        </w:rPr>
        <w:t>National Electricity Rules </w:t>
      </w:r>
      <w:r>
        <w:rPr>
          <w:sz w:val="22"/>
        </w:rPr>
        <w:t>and </w:t>
      </w:r>
      <w:r>
        <w:rPr>
          <w:i/>
          <w:sz w:val="22"/>
        </w:rPr>
        <w:t>National Gas Rules </w:t>
      </w:r>
      <w:r>
        <w:rPr>
          <w:sz w:val="22"/>
        </w:rPr>
        <w:t>require the Australian Energy Regulator</w:t>
      </w:r>
      <w:r>
        <w:rPr>
          <w:spacing w:val="-4"/>
          <w:sz w:val="22"/>
        </w:rPr>
        <w:t> </w:t>
      </w:r>
      <w:r>
        <w:rPr>
          <w:sz w:val="22"/>
        </w:rPr>
        <w:t>(AER)</w:t>
      </w:r>
      <w:r>
        <w:rPr>
          <w:spacing w:val="-4"/>
          <w:sz w:val="22"/>
        </w:rPr>
        <w:t> </w:t>
      </w:r>
      <w:r>
        <w:rPr>
          <w:sz w:val="22"/>
        </w:rPr>
        <w:t>to</w:t>
      </w:r>
      <w:r>
        <w:rPr>
          <w:spacing w:val="-5"/>
          <w:sz w:val="22"/>
        </w:rPr>
        <w:t> </w:t>
      </w:r>
      <w:r>
        <w:rPr>
          <w:sz w:val="22"/>
        </w:rPr>
        <w:t>take</w:t>
      </w:r>
      <w:r>
        <w:rPr>
          <w:spacing w:val="-5"/>
          <w:sz w:val="22"/>
        </w:rPr>
        <w:t> </w:t>
      </w:r>
      <w:r>
        <w:rPr>
          <w:sz w:val="22"/>
        </w:rPr>
        <w:t>safety</w:t>
      </w:r>
      <w:r>
        <w:rPr>
          <w:spacing w:val="-4"/>
          <w:sz w:val="22"/>
        </w:rPr>
        <w:t> </w:t>
      </w:r>
      <w:r>
        <w:rPr>
          <w:sz w:val="22"/>
        </w:rPr>
        <w:t>requirements</w:t>
      </w:r>
      <w:r>
        <w:rPr>
          <w:spacing w:val="-2"/>
          <w:sz w:val="22"/>
        </w:rPr>
        <w:t> </w:t>
      </w:r>
      <w:r>
        <w:rPr>
          <w:sz w:val="22"/>
        </w:rPr>
        <w:t>into</w:t>
      </w:r>
      <w:r>
        <w:rPr>
          <w:spacing w:val="-5"/>
          <w:sz w:val="22"/>
        </w:rPr>
        <w:t> </w:t>
      </w:r>
      <w:r>
        <w:rPr>
          <w:sz w:val="22"/>
        </w:rPr>
        <w:t>account</w:t>
      </w:r>
      <w:r>
        <w:rPr>
          <w:spacing w:val="-1"/>
          <w:sz w:val="22"/>
        </w:rPr>
        <w:t> </w:t>
      </w:r>
      <w:r>
        <w:rPr>
          <w:sz w:val="22"/>
        </w:rPr>
        <w:t>in</w:t>
      </w:r>
      <w:r>
        <w:rPr>
          <w:spacing w:val="-5"/>
          <w:sz w:val="22"/>
        </w:rPr>
        <w:t> </w:t>
      </w:r>
      <w:r>
        <w:rPr>
          <w:sz w:val="22"/>
        </w:rPr>
        <w:t>its</w:t>
      </w:r>
      <w:r>
        <w:rPr>
          <w:spacing w:val="-2"/>
          <w:sz w:val="22"/>
        </w:rPr>
        <w:t> </w:t>
      </w:r>
      <w:r>
        <w:rPr>
          <w:sz w:val="22"/>
        </w:rPr>
        <w:t>pricing</w:t>
      </w:r>
      <w:r>
        <w:rPr>
          <w:spacing w:val="-3"/>
          <w:sz w:val="22"/>
        </w:rPr>
        <w:t> </w:t>
      </w:r>
      <w:r>
        <w:rPr>
          <w:sz w:val="22"/>
        </w:rPr>
        <w:t>determinations.</w:t>
      </w:r>
    </w:p>
    <w:p>
      <w:pPr>
        <w:pStyle w:val="BodyText"/>
        <w:spacing w:before="8"/>
        <w:rPr>
          <w:sz w:val="20"/>
        </w:rPr>
      </w:pPr>
    </w:p>
    <w:p>
      <w:pPr>
        <w:pStyle w:val="BodyText"/>
        <w:spacing w:line="288" w:lineRule="auto"/>
        <w:ind w:left="345" w:right="951"/>
      </w:pPr>
      <w:r>
        <w:rPr/>
        <w:t>Victoria has been leading innovation in regulation to make greater use of economic incentives</w:t>
      </w:r>
      <w:r>
        <w:rPr>
          <w:spacing w:val="-3"/>
        </w:rPr>
        <w:t> </w:t>
      </w:r>
      <w:r>
        <w:rPr/>
        <w:t>in</w:t>
      </w:r>
      <w:r>
        <w:rPr>
          <w:spacing w:val="-3"/>
        </w:rPr>
        <w:t> </w:t>
      </w:r>
      <w:r>
        <w:rPr/>
        <w:t>promoting</w:t>
      </w:r>
      <w:r>
        <w:rPr>
          <w:spacing w:val="-3"/>
        </w:rPr>
        <w:t> </w:t>
      </w:r>
      <w:r>
        <w:rPr/>
        <w:t>safety</w:t>
      </w:r>
      <w:r>
        <w:rPr>
          <w:spacing w:val="-4"/>
        </w:rPr>
        <w:t> </w:t>
      </w:r>
      <w:r>
        <w:rPr/>
        <w:t>with</w:t>
      </w:r>
      <w:r>
        <w:rPr>
          <w:spacing w:val="-3"/>
        </w:rPr>
        <w:t> </w:t>
      </w:r>
      <w:r>
        <w:rPr/>
        <w:t>the</w:t>
      </w:r>
      <w:r>
        <w:rPr>
          <w:spacing w:val="-5"/>
        </w:rPr>
        <w:t> </w:t>
      </w:r>
      <w:r>
        <w:rPr/>
        <w:t>f-factor</w:t>
      </w:r>
      <w:r>
        <w:rPr>
          <w:spacing w:val="-4"/>
        </w:rPr>
        <w:t> </w:t>
      </w:r>
      <w:r>
        <w:rPr/>
        <w:t>Incentive</w:t>
      </w:r>
      <w:r>
        <w:rPr>
          <w:spacing w:val="-3"/>
        </w:rPr>
        <w:t> </w:t>
      </w:r>
      <w:r>
        <w:rPr/>
        <w:t>Scheme</w:t>
      </w:r>
      <w:r>
        <w:rPr>
          <w:spacing w:val="-5"/>
        </w:rPr>
        <w:t> </w:t>
      </w:r>
      <w:r>
        <w:rPr/>
        <w:t>that</w:t>
      </w:r>
      <w:r>
        <w:rPr>
          <w:spacing w:val="-4"/>
        </w:rPr>
        <w:t> </w:t>
      </w:r>
      <w:r>
        <w:rPr/>
        <w:t>rewards</w:t>
      </w:r>
      <w:r>
        <w:rPr>
          <w:spacing w:val="-2"/>
        </w:rPr>
        <w:t> </w:t>
      </w:r>
      <w:r>
        <w:rPr/>
        <w:t>electricity distributors if they achieve better</w:t>
      </w:r>
      <w:r>
        <w:rPr>
          <w:spacing w:val="-1"/>
        </w:rPr>
        <w:t> </w:t>
      </w:r>
      <w:r>
        <w:rPr/>
        <w:t>fire risk outcomes, and penalises them if they achieve poorer outcomes.</w:t>
      </w:r>
    </w:p>
    <w:p>
      <w:pPr>
        <w:pStyle w:val="BodyText"/>
        <w:spacing w:before="10"/>
        <w:rPr>
          <w:sz w:val="20"/>
        </w:rPr>
      </w:pPr>
    </w:p>
    <w:p>
      <w:pPr>
        <w:pStyle w:val="BodyText"/>
        <w:spacing w:line="288" w:lineRule="auto"/>
        <w:ind w:left="345" w:right="951"/>
      </w:pPr>
      <w:r>
        <w:rPr/>
        <w:t>While many aspects of the current arrangements work well, there is scope to further strengthen</w:t>
      </w:r>
      <w:r>
        <w:rPr>
          <w:spacing w:val="-5"/>
        </w:rPr>
        <w:t> </w:t>
      </w:r>
      <w:r>
        <w:rPr/>
        <w:t>the</w:t>
      </w:r>
      <w:r>
        <w:rPr>
          <w:spacing w:val="-3"/>
        </w:rPr>
        <w:t> </w:t>
      </w:r>
      <w:r>
        <w:rPr/>
        <w:t>interactions</w:t>
      </w:r>
      <w:r>
        <w:rPr>
          <w:spacing w:val="-2"/>
        </w:rPr>
        <w:t> </w:t>
      </w:r>
      <w:r>
        <w:rPr/>
        <w:t>between</w:t>
      </w:r>
      <w:r>
        <w:rPr>
          <w:spacing w:val="-3"/>
        </w:rPr>
        <w:t> </w:t>
      </w:r>
      <w:r>
        <w:rPr/>
        <w:t>the</w:t>
      </w:r>
      <w:r>
        <w:rPr>
          <w:spacing w:val="-5"/>
        </w:rPr>
        <w:t> </w:t>
      </w:r>
      <w:r>
        <w:rPr/>
        <w:t>system</w:t>
      </w:r>
      <w:r>
        <w:rPr>
          <w:spacing w:val="-4"/>
        </w:rPr>
        <w:t> </w:t>
      </w:r>
      <w:r>
        <w:rPr/>
        <w:t>of</w:t>
      </w:r>
      <w:r>
        <w:rPr>
          <w:spacing w:val="-1"/>
        </w:rPr>
        <w:t> </w:t>
      </w:r>
      <w:r>
        <w:rPr/>
        <w:t>economic</w:t>
      </w:r>
      <w:r>
        <w:rPr>
          <w:spacing w:val="-5"/>
        </w:rPr>
        <w:t> </w:t>
      </w:r>
      <w:r>
        <w:rPr/>
        <w:t>regulation</w:t>
      </w:r>
      <w:r>
        <w:rPr>
          <w:spacing w:val="-3"/>
        </w:rPr>
        <w:t> </w:t>
      </w:r>
      <w:r>
        <w:rPr/>
        <w:t>administered</w:t>
      </w:r>
      <w:r>
        <w:rPr>
          <w:spacing w:val="-5"/>
        </w:rPr>
        <w:t> </w:t>
      </w:r>
      <w:r>
        <w:rPr/>
        <w:t>by</w:t>
      </w:r>
      <w:r>
        <w:rPr>
          <w:spacing w:val="-5"/>
        </w:rPr>
        <w:t> </w:t>
      </w:r>
      <w:r>
        <w:rPr/>
        <w:t>the AER and safety regulation administered by Energy Safe Victoria (ESV) including:</w:t>
      </w:r>
    </w:p>
    <w:p>
      <w:pPr>
        <w:pStyle w:val="BodyText"/>
        <w:spacing w:before="5"/>
      </w:pPr>
    </w:p>
    <w:p>
      <w:pPr>
        <w:pStyle w:val="ListParagraph"/>
        <w:numPr>
          <w:ilvl w:val="0"/>
          <w:numId w:val="50"/>
        </w:numPr>
        <w:tabs>
          <w:tab w:pos="703" w:val="left" w:leader="none"/>
        </w:tabs>
        <w:spacing w:line="288" w:lineRule="auto" w:before="0" w:after="0"/>
        <w:ind w:left="703" w:right="1452" w:hanging="359"/>
        <w:jc w:val="left"/>
        <w:rPr>
          <w:sz w:val="22"/>
        </w:rPr>
      </w:pPr>
      <w:r>
        <w:rPr>
          <w:sz w:val="22"/>
        </w:rPr>
        <w:t>Strengthening</w:t>
      </w:r>
      <w:r>
        <w:rPr>
          <w:spacing w:val="-3"/>
          <w:sz w:val="22"/>
        </w:rPr>
        <w:t> </w:t>
      </w:r>
      <w:r>
        <w:rPr>
          <w:sz w:val="22"/>
        </w:rPr>
        <w:t>the</w:t>
      </w:r>
      <w:r>
        <w:rPr>
          <w:spacing w:val="-5"/>
          <w:sz w:val="22"/>
        </w:rPr>
        <w:t> </w:t>
      </w:r>
      <w:r>
        <w:rPr>
          <w:sz w:val="22"/>
        </w:rPr>
        <w:t>already</w:t>
      </w:r>
      <w:r>
        <w:rPr>
          <w:spacing w:val="-5"/>
          <w:sz w:val="22"/>
        </w:rPr>
        <w:t> </w:t>
      </w:r>
      <w:r>
        <w:rPr>
          <w:sz w:val="22"/>
        </w:rPr>
        <w:t>good</w:t>
      </w:r>
      <w:r>
        <w:rPr>
          <w:spacing w:val="-3"/>
          <w:sz w:val="22"/>
        </w:rPr>
        <w:t> </w:t>
      </w:r>
      <w:r>
        <w:rPr>
          <w:sz w:val="22"/>
        </w:rPr>
        <w:t>working</w:t>
      </w:r>
      <w:r>
        <w:rPr>
          <w:spacing w:val="-3"/>
          <w:sz w:val="22"/>
        </w:rPr>
        <w:t> </w:t>
      </w:r>
      <w:r>
        <w:rPr>
          <w:sz w:val="22"/>
        </w:rPr>
        <w:t>arrangements</w:t>
      </w:r>
      <w:r>
        <w:rPr>
          <w:spacing w:val="-5"/>
          <w:sz w:val="22"/>
        </w:rPr>
        <w:t> </w:t>
      </w:r>
      <w:r>
        <w:rPr>
          <w:sz w:val="22"/>
        </w:rPr>
        <w:t>between</w:t>
      </w:r>
      <w:r>
        <w:rPr>
          <w:spacing w:val="-3"/>
          <w:sz w:val="22"/>
        </w:rPr>
        <w:t> </w:t>
      </w:r>
      <w:r>
        <w:rPr>
          <w:sz w:val="22"/>
        </w:rPr>
        <w:t>ESV</w:t>
      </w:r>
      <w:r>
        <w:rPr>
          <w:spacing w:val="-3"/>
          <w:sz w:val="22"/>
        </w:rPr>
        <w:t> </w:t>
      </w:r>
      <w:r>
        <w:rPr>
          <w:sz w:val="22"/>
        </w:rPr>
        <w:t>and</w:t>
      </w:r>
      <w:r>
        <w:rPr>
          <w:spacing w:val="-5"/>
          <w:sz w:val="22"/>
        </w:rPr>
        <w:t> </w:t>
      </w:r>
      <w:r>
        <w:rPr>
          <w:sz w:val="22"/>
        </w:rPr>
        <w:t>the</w:t>
      </w:r>
      <w:r>
        <w:rPr>
          <w:spacing w:val="-5"/>
          <w:sz w:val="22"/>
        </w:rPr>
        <w:t> </w:t>
      </w:r>
      <w:r>
        <w:rPr>
          <w:sz w:val="22"/>
        </w:rPr>
        <w:t>AER (</w:t>
      </w:r>
      <w:r>
        <w:rPr>
          <w:b/>
          <w:sz w:val="22"/>
        </w:rPr>
        <w:t>Recommendation 20</w:t>
      </w:r>
      <w:r>
        <w:rPr>
          <w:sz w:val="22"/>
        </w:rPr>
        <w:t>).</w:t>
      </w:r>
    </w:p>
    <w:p>
      <w:pPr>
        <w:pStyle w:val="BodyText"/>
        <w:spacing w:before="2"/>
      </w:pPr>
    </w:p>
    <w:p>
      <w:pPr>
        <w:pStyle w:val="ListParagraph"/>
        <w:numPr>
          <w:ilvl w:val="0"/>
          <w:numId w:val="50"/>
        </w:numPr>
        <w:tabs>
          <w:tab w:pos="703" w:val="left" w:leader="none"/>
        </w:tabs>
        <w:spacing w:line="288" w:lineRule="auto" w:before="0" w:after="0"/>
        <w:ind w:left="703" w:right="1210" w:hanging="359"/>
        <w:jc w:val="left"/>
        <w:rPr>
          <w:sz w:val="22"/>
        </w:rPr>
      </w:pPr>
      <w:r>
        <w:rPr>
          <w:sz w:val="22"/>
        </w:rPr>
        <w:t>The</w:t>
      </w:r>
      <w:r>
        <w:rPr>
          <w:spacing w:val="-6"/>
          <w:sz w:val="22"/>
        </w:rPr>
        <w:t> </w:t>
      </w:r>
      <w:r>
        <w:rPr>
          <w:sz w:val="22"/>
        </w:rPr>
        <w:t>development</w:t>
      </w:r>
      <w:r>
        <w:rPr>
          <w:spacing w:val="-2"/>
          <w:sz w:val="22"/>
        </w:rPr>
        <w:t> </w:t>
      </w:r>
      <w:r>
        <w:rPr>
          <w:sz w:val="22"/>
        </w:rPr>
        <w:t>of</w:t>
      </w:r>
      <w:r>
        <w:rPr>
          <w:spacing w:val="-2"/>
          <w:sz w:val="22"/>
        </w:rPr>
        <w:t> </w:t>
      </w:r>
      <w:r>
        <w:rPr>
          <w:sz w:val="22"/>
        </w:rPr>
        <w:t>better</w:t>
      </w:r>
      <w:r>
        <w:rPr>
          <w:spacing w:val="-3"/>
          <w:sz w:val="22"/>
        </w:rPr>
        <w:t> </w:t>
      </w:r>
      <w:r>
        <w:rPr>
          <w:sz w:val="22"/>
        </w:rPr>
        <w:t>protocols</w:t>
      </w:r>
      <w:r>
        <w:rPr>
          <w:spacing w:val="-6"/>
          <w:sz w:val="22"/>
        </w:rPr>
        <w:t> </w:t>
      </w:r>
      <w:r>
        <w:rPr>
          <w:sz w:val="22"/>
        </w:rPr>
        <w:t>to</w:t>
      </w:r>
      <w:r>
        <w:rPr>
          <w:spacing w:val="-7"/>
          <w:sz w:val="22"/>
        </w:rPr>
        <w:t> </w:t>
      </w:r>
      <w:r>
        <w:rPr>
          <w:sz w:val="22"/>
        </w:rPr>
        <w:t>facilitate</w:t>
      </w:r>
      <w:r>
        <w:rPr>
          <w:spacing w:val="-7"/>
          <w:sz w:val="22"/>
        </w:rPr>
        <w:t> </w:t>
      </w:r>
      <w:r>
        <w:rPr>
          <w:sz w:val="22"/>
        </w:rPr>
        <w:t>more</w:t>
      </w:r>
      <w:r>
        <w:rPr>
          <w:spacing w:val="-6"/>
          <w:sz w:val="22"/>
        </w:rPr>
        <w:t> </w:t>
      </w:r>
      <w:r>
        <w:rPr>
          <w:sz w:val="22"/>
        </w:rPr>
        <w:t>effective</w:t>
      </w:r>
      <w:r>
        <w:rPr>
          <w:spacing w:val="-4"/>
          <w:sz w:val="22"/>
        </w:rPr>
        <w:t> </w:t>
      </w:r>
      <w:r>
        <w:rPr>
          <w:sz w:val="22"/>
        </w:rPr>
        <w:t>engagement</w:t>
      </w:r>
      <w:r>
        <w:rPr>
          <w:spacing w:val="-2"/>
          <w:sz w:val="22"/>
        </w:rPr>
        <w:t> </w:t>
      </w:r>
      <w:r>
        <w:rPr>
          <w:sz w:val="22"/>
        </w:rPr>
        <w:t>between ESV and regulated network businesses as an input into pricing review processes conducted by the AER (</w:t>
      </w:r>
      <w:r>
        <w:rPr>
          <w:b/>
          <w:sz w:val="22"/>
        </w:rPr>
        <w:t>Recommendation 21</w:t>
      </w:r>
      <w:r>
        <w:rPr>
          <w:sz w:val="22"/>
        </w:rPr>
        <w:t>).</w:t>
      </w:r>
    </w:p>
    <w:p>
      <w:pPr>
        <w:pStyle w:val="BodyText"/>
        <w:spacing w:before="3"/>
      </w:pPr>
    </w:p>
    <w:p>
      <w:pPr>
        <w:pStyle w:val="ListParagraph"/>
        <w:numPr>
          <w:ilvl w:val="0"/>
          <w:numId w:val="50"/>
        </w:numPr>
        <w:tabs>
          <w:tab w:pos="703" w:val="left" w:leader="none"/>
        </w:tabs>
        <w:spacing w:line="288" w:lineRule="auto" w:before="0" w:after="0"/>
        <w:ind w:left="703" w:right="888" w:hanging="359"/>
        <w:jc w:val="left"/>
        <w:rPr>
          <w:sz w:val="22"/>
        </w:rPr>
      </w:pPr>
      <w:r>
        <w:rPr>
          <w:sz w:val="22"/>
        </w:rPr>
        <w:t>Strengthened transparency around the implementation of safety programs by network operators</w:t>
      </w:r>
      <w:r>
        <w:rPr>
          <w:spacing w:val="-4"/>
          <w:sz w:val="22"/>
        </w:rPr>
        <w:t> </w:t>
      </w:r>
      <w:r>
        <w:rPr>
          <w:sz w:val="22"/>
        </w:rPr>
        <w:t>that</w:t>
      </w:r>
      <w:r>
        <w:rPr>
          <w:spacing w:val="-3"/>
          <w:sz w:val="22"/>
        </w:rPr>
        <w:t> </w:t>
      </w:r>
      <w:r>
        <w:rPr>
          <w:sz w:val="22"/>
        </w:rPr>
        <w:t>have</w:t>
      </w:r>
      <w:r>
        <w:rPr>
          <w:spacing w:val="-2"/>
          <w:sz w:val="22"/>
        </w:rPr>
        <w:t> </w:t>
      </w:r>
      <w:r>
        <w:rPr>
          <w:sz w:val="22"/>
        </w:rPr>
        <w:t>been</w:t>
      </w:r>
      <w:r>
        <w:rPr>
          <w:spacing w:val="-5"/>
          <w:sz w:val="22"/>
        </w:rPr>
        <w:t> </w:t>
      </w:r>
      <w:r>
        <w:rPr>
          <w:sz w:val="22"/>
        </w:rPr>
        <w:t>accepted</w:t>
      </w:r>
      <w:r>
        <w:rPr>
          <w:spacing w:val="-4"/>
          <w:sz w:val="22"/>
        </w:rPr>
        <w:t> </w:t>
      </w:r>
      <w:r>
        <w:rPr>
          <w:sz w:val="22"/>
        </w:rPr>
        <w:t>by</w:t>
      </w:r>
      <w:r>
        <w:rPr>
          <w:spacing w:val="-4"/>
          <w:sz w:val="22"/>
        </w:rPr>
        <w:t> </w:t>
      </w:r>
      <w:r>
        <w:rPr>
          <w:sz w:val="22"/>
        </w:rPr>
        <w:t>the</w:t>
      </w:r>
      <w:r>
        <w:rPr>
          <w:spacing w:val="-4"/>
          <w:sz w:val="22"/>
        </w:rPr>
        <w:t> </w:t>
      </w:r>
      <w:r>
        <w:rPr>
          <w:sz w:val="22"/>
        </w:rPr>
        <w:t>AER</w:t>
      </w:r>
      <w:r>
        <w:rPr>
          <w:spacing w:val="-2"/>
          <w:sz w:val="22"/>
        </w:rPr>
        <w:t> </w:t>
      </w:r>
      <w:r>
        <w:rPr>
          <w:sz w:val="22"/>
        </w:rPr>
        <w:t>in</w:t>
      </w:r>
      <w:r>
        <w:rPr>
          <w:spacing w:val="-4"/>
          <w:sz w:val="22"/>
        </w:rPr>
        <w:t> </w:t>
      </w:r>
      <w:r>
        <w:rPr>
          <w:sz w:val="22"/>
        </w:rPr>
        <w:t>its</w:t>
      </w:r>
      <w:r>
        <w:rPr>
          <w:spacing w:val="-1"/>
          <w:sz w:val="22"/>
        </w:rPr>
        <w:t> </w:t>
      </w:r>
      <w:r>
        <w:rPr>
          <w:sz w:val="22"/>
        </w:rPr>
        <w:t>pricing</w:t>
      </w:r>
      <w:r>
        <w:rPr>
          <w:spacing w:val="-1"/>
          <w:sz w:val="22"/>
        </w:rPr>
        <w:t> </w:t>
      </w:r>
      <w:r>
        <w:rPr>
          <w:sz w:val="22"/>
        </w:rPr>
        <w:t>decisions,</w:t>
      </w:r>
      <w:r>
        <w:rPr>
          <w:spacing w:val="-1"/>
          <w:sz w:val="22"/>
        </w:rPr>
        <w:t> </w:t>
      </w:r>
      <w:r>
        <w:rPr>
          <w:sz w:val="22"/>
        </w:rPr>
        <w:t>including</w:t>
      </w:r>
      <w:r>
        <w:rPr>
          <w:spacing w:val="-2"/>
          <w:sz w:val="22"/>
        </w:rPr>
        <w:t> </w:t>
      </w:r>
      <w:r>
        <w:rPr>
          <w:sz w:val="22"/>
        </w:rPr>
        <w:t>through progress reporting by ESV in its annual network safety performance reports (</w:t>
      </w:r>
      <w:r>
        <w:rPr>
          <w:b/>
          <w:sz w:val="22"/>
        </w:rPr>
        <w:t>Recommendation 22</w:t>
      </w:r>
      <w:r>
        <w:rPr>
          <w:sz w:val="22"/>
        </w:rPr>
        <w:t>).</w:t>
      </w:r>
    </w:p>
    <w:p>
      <w:pPr>
        <w:spacing w:after="0" w:line="288" w:lineRule="auto"/>
        <w:jc w:val="left"/>
        <w:rPr>
          <w:sz w:val="22"/>
        </w:rPr>
        <w:sectPr>
          <w:pgSz w:w="11910" w:h="16850"/>
          <w:pgMar w:header="220" w:footer="678" w:top="420" w:bottom="860" w:left="900" w:right="840"/>
        </w:sectPr>
      </w:pPr>
    </w:p>
    <w:p>
      <w:pPr>
        <w:pStyle w:val="BodyText"/>
        <w:rPr>
          <w:sz w:val="20"/>
        </w:rPr>
      </w:pPr>
    </w:p>
    <w:p>
      <w:pPr>
        <w:pStyle w:val="BodyText"/>
        <w:spacing w:before="7"/>
        <w:rPr>
          <w:sz w:val="19"/>
        </w:rPr>
      </w:pPr>
    </w:p>
    <w:p>
      <w:pPr>
        <w:pStyle w:val="Heading4"/>
      </w:pPr>
      <w:r>
        <w:rPr>
          <w:color w:val="585858"/>
        </w:rPr>
        <w:t>Key</w:t>
      </w:r>
      <w:r>
        <w:rPr>
          <w:color w:val="585858"/>
          <w:spacing w:val="-12"/>
        </w:rPr>
        <w:t> </w:t>
      </w:r>
      <w:r>
        <w:rPr>
          <w:color w:val="585858"/>
        </w:rPr>
        <w:t>elements</w:t>
      </w:r>
      <w:r>
        <w:rPr>
          <w:color w:val="585858"/>
          <w:spacing w:val="-9"/>
        </w:rPr>
        <w:t> </w:t>
      </w:r>
      <w:r>
        <w:rPr>
          <w:color w:val="585858"/>
        </w:rPr>
        <w:t>of</w:t>
      </w:r>
      <w:r>
        <w:rPr>
          <w:color w:val="585858"/>
          <w:spacing w:val="-6"/>
        </w:rPr>
        <w:t> </w:t>
      </w:r>
      <w:r>
        <w:rPr>
          <w:color w:val="585858"/>
        </w:rPr>
        <w:t>leading</w:t>
      </w:r>
      <w:r>
        <w:rPr>
          <w:color w:val="585858"/>
          <w:spacing w:val="-8"/>
        </w:rPr>
        <w:t> </w:t>
      </w:r>
      <w:r>
        <w:rPr>
          <w:color w:val="585858"/>
          <w:spacing w:val="-2"/>
        </w:rPr>
        <w:t>practice</w:t>
      </w:r>
    </w:p>
    <w:p>
      <w:pPr>
        <w:pStyle w:val="BodyText"/>
        <w:spacing w:line="288" w:lineRule="auto" w:before="194"/>
        <w:ind w:left="232"/>
      </w:pPr>
      <w:r>
        <w:rPr/>
        <w:t>Economic</w:t>
      </w:r>
      <w:r>
        <w:rPr>
          <w:spacing w:val="-2"/>
        </w:rPr>
        <w:t> </w:t>
      </w:r>
      <w:r>
        <w:rPr/>
        <w:t>and</w:t>
      </w:r>
      <w:r>
        <w:rPr>
          <w:spacing w:val="-4"/>
        </w:rPr>
        <w:t> </w:t>
      </w:r>
      <w:r>
        <w:rPr/>
        <w:t>safety</w:t>
      </w:r>
      <w:r>
        <w:rPr>
          <w:spacing w:val="-4"/>
        </w:rPr>
        <w:t> </w:t>
      </w:r>
      <w:r>
        <w:rPr/>
        <w:t>regulatory</w:t>
      </w:r>
      <w:r>
        <w:rPr>
          <w:spacing w:val="-4"/>
        </w:rPr>
        <w:t> </w:t>
      </w:r>
      <w:r>
        <w:rPr/>
        <w:t>systems</w:t>
      </w:r>
      <w:r>
        <w:rPr>
          <w:spacing w:val="-3"/>
        </w:rPr>
        <w:t> </w:t>
      </w:r>
      <w:r>
        <w:rPr/>
        <w:t>that are</w:t>
      </w:r>
      <w:r>
        <w:rPr>
          <w:spacing w:val="-4"/>
        </w:rPr>
        <w:t> </w:t>
      </w:r>
      <w:r>
        <w:rPr/>
        <w:t>effectively</w:t>
      </w:r>
      <w:r>
        <w:rPr>
          <w:spacing w:val="-4"/>
        </w:rPr>
        <w:t> </w:t>
      </w:r>
      <w:r>
        <w:rPr/>
        <w:t>integrated</w:t>
      </w:r>
      <w:r>
        <w:rPr>
          <w:spacing w:val="-4"/>
        </w:rPr>
        <w:t> </w:t>
      </w:r>
      <w:r>
        <w:rPr/>
        <w:t>must achieve</w:t>
      </w:r>
      <w:r>
        <w:rPr>
          <w:spacing w:val="-2"/>
        </w:rPr>
        <w:t> </w:t>
      </w:r>
      <w:r>
        <w:rPr/>
        <w:t>at</w:t>
      </w:r>
      <w:r>
        <w:rPr>
          <w:spacing w:val="-2"/>
        </w:rPr>
        <w:t> </w:t>
      </w:r>
      <w:r>
        <w:rPr/>
        <w:t>least</w:t>
      </w:r>
      <w:r>
        <w:rPr>
          <w:spacing w:val="-3"/>
        </w:rPr>
        <w:t> </w:t>
      </w:r>
      <w:r>
        <w:rPr/>
        <w:t>two central objectives:</w:t>
      </w:r>
    </w:p>
    <w:p>
      <w:pPr>
        <w:pStyle w:val="BodyText"/>
        <w:spacing w:before="10"/>
        <w:rPr>
          <w:sz w:val="20"/>
        </w:rPr>
      </w:pPr>
    </w:p>
    <w:p>
      <w:pPr>
        <w:pStyle w:val="ListParagraph"/>
        <w:numPr>
          <w:ilvl w:val="0"/>
          <w:numId w:val="51"/>
        </w:numPr>
        <w:tabs>
          <w:tab w:pos="591" w:val="left" w:leader="none"/>
          <w:tab w:pos="593" w:val="left" w:leader="none"/>
        </w:tabs>
        <w:spacing w:line="288" w:lineRule="auto" w:before="0" w:after="0"/>
        <w:ind w:left="593" w:right="1246" w:hanging="361"/>
        <w:jc w:val="left"/>
        <w:rPr>
          <w:sz w:val="22"/>
        </w:rPr>
      </w:pPr>
      <w:r>
        <w:rPr>
          <w:sz w:val="22"/>
        </w:rPr>
        <w:t>Economic</w:t>
      </w:r>
      <w:r>
        <w:rPr>
          <w:spacing w:val="-4"/>
          <w:sz w:val="22"/>
        </w:rPr>
        <w:t> </w:t>
      </w:r>
      <w:r>
        <w:rPr>
          <w:sz w:val="22"/>
        </w:rPr>
        <w:t>regulation</w:t>
      </w:r>
      <w:r>
        <w:rPr>
          <w:spacing w:val="-6"/>
          <w:sz w:val="22"/>
        </w:rPr>
        <w:t> </w:t>
      </w:r>
      <w:r>
        <w:rPr>
          <w:sz w:val="22"/>
        </w:rPr>
        <w:t>must</w:t>
      </w:r>
      <w:r>
        <w:rPr>
          <w:spacing w:val="-2"/>
          <w:sz w:val="22"/>
        </w:rPr>
        <w:t> </w:t>
      </w:r>
      <w:r>
        <w:rPr>
          <w:sz w:val="22"/>
        </w:rPr>
        <w:t>provide</w:t>
      </w:r>
      <w:r>
        <w:rPr>
          <w:spacing w:val="-4"/>
          <w:sz w:val="22"/>
        </w:rPr>
        <w:t> </w:t>
      </w:r>
      <w:r>
        <w:rPr>
          <w:sz w:val="22"/>
        </w:rPr>
        <w:t>sufficient</w:t>
      </w:r>
      <w:r>
        <w:rPr>
          <w:spacing w:val="-5"/>
          <w:sz w:val="22"/>
        </w:rPr>
        <w:t> </w:t>
      </w:r>
      <w:r>
        <w:rPr>
          <w:sz w:val="22"/>
        </w:rPr>
        <w:t>revenue</w:t>
      </w:r>
      <w:r>
        <w:rPr>
          <w:spacing w:val="-4"/>
          <w:sz w:val="22"/>
        </w:rPr>
        <w:t> </w:t>
      </w:r>
      <w:r>
        <w:rPr>
          <w:sz w:val="22"/>
        </w:rPr>
        <w:t>to</w:t>
      </w:r>
      <w:r>
        <w:rPr>
          <w:spacing w:val="-6"/>
          <w:sz w:val="22"/>
        </w:rPr>
        <w:t> </w:t>
      </w:r>
      <w:r>
        <w:rPr>
          <w:sz w:val="22"/>
        </w:rPr>
        <w:t>support</w:t>
      </w:r>
      <w:r>
        <w:rPr>
          <w:spacing w:val="-2"/>
          <w:sz w:val="22"/>
        </w:rPr>
        <w:t> </w:t>
      </w:r>
      <w:r>
        <w:rPr>
          <w:sz w:val="22"/>
        </w:rPr>
        <w:t>necessary</w:t>
      </w:r>
      <w:r>
        <w:rPr>
          <w:spacing w:val="-6"/>
          <w:sz w:val="22"/>
        </w:rPr>
        <w:t> </w:t>
      </w:r>
      <w:r>
        <w:rPr>
          <w:sz w:val="22"/>
        </w:rPr>
        <w:t>capital</w:t>
      </w:r>
      <w:r>
        <w:rPr>
          <w:spacing w:val="-5"/>
          <w:sz w:val="22"/>
        </w:rPr>
        <w:t> </w:t>
      </w:r>
      <w:r>
        <w:rPr>
          <w:sz w:val="22"/>
        </w:rPr>
        <w:t>and operating expenditure by network operators to ensure adequate safety outcomes.</w:t>
      </w:r>
    </w:p>
    <w:p>
      <w:pPr>
        <w:pStyle w:val="BodyText"/>
        <w:spacing w:before="10"/>
        <w:rPr>
          <w:sz w:val="20"/>
        </w:rPr>
      </w:pPr>
    </w:p>
    <w:p>
      <w:pPr>
        <w:pStyle w:val="ListParagraph"/>
        <w:numPr>
          <w:ilvl w:val="0"/>
          <w:numId w:val="51"/>
        </w:numPr>
        <w:tabs>
          <w:tab w:pos="591" w:val="left" w:leader="none"/>
          <w:tab w:pos="593" w:val="left" w:leader="none"/>
        </w:tabs>
        <w:spacing w:line="288" w:lineRule="auto" w:before="0" w:after="0"/>
        <w:ind w:left="593" w:right="1204" w:hanging="361"/>
        <w:jc w:val="left"/>
        <w:rPr>
          <w:sz w:val="22"/>
        </w:rPr>
      </w:pPr>
      <w:r>
        <w:rPr>
          <w:sz w:val="22"/>
        </w:rPr>
        <w:t>Safety</w:t>
      </w:r>
      <w:r>
        <w:rPr>
          <w:spacing w:val="-4"/>
          <w:sz w:val="22"/>
        </w:rPr>
        <w:t> </w:t>
      </w:r>
      <w:r>
        <w:rPr>
          <w:sz w:val="22"/>
        </w:rPr>
        <w:t>regulation</w:t>
      </w:r>
      <w:r>
        <w:rPr>
          <w:spacing w:val="-4"/>
          <w:sz w:val="22"/>
        </w:rPr>
        <w:t> </w:t>
      </w:r>
      <w:r>
        <w:rPr>
          <w:sz w:val="22"/>
        </w:rPr>
        <w:t>must promote</w:t>
      </w:r>
      <w:r>
        <w:rPr>
          <w:spacing w:val="-4"/>
          <w:sz w:val="22"/>
        </w:rPr>
        <w:t> </w:t>
      </w:r>
      <w:r>
        <w:rPr>
          <w:sz w:val="22"/>
        </w:rPr>
        <w:t>efficient,</w:t>
      </w:r>
      <w:r>
        <w:rPr>
          <w:spacing w:val="-3"/>
          <w:sz w:val="22"/>
        </w:rPr>
        <w:t> </w:t>
      </w:r>
      <w:r>
        <w:rPr>
          <w:sz w:val="22"/>
        </w:rPr>
        <w:t>cost-effective</w:t>
      </w:r>
      <w:r>
        <w:rPr>
          <w:spacing w:val="-2"/>
          <w:sz w:val="22"/>
        </w:rPr>
        <w:t> </w:t>
      </w:r>
      <w:r>
        <w:rPr>
          <w:sz w:val="22"/>
        </w:rPr>
        <w:t>safety</w:t>
      </w:r>
      <w:r>
        <w:rPr>
          <w:spacing w:val="-3"/>
          <w:sz w:val="22"/>
        </w:rPr>
        <w:t> </w:t>
      </w:r>
      <w:r>
        <w:rPr>
          <w:sz w:val="22"/>
        </w:rPr>
        <w:t>outcomes</w:t>
      </w:r>
      <w:r>
        <w:rPr>
          <w:spacing w:val="-4"/>
          <w:sz w:val="22"/>
        </w:rPr>
        <w:t> </w:t>
      </w:r>
      <w:r>
        <w:rPr>
          <w:sz w:val="22"/>
        </w:rPr>
        <w:t>to</w:t>
      </w:r>
      <w:r>
        <w:rPr>
          <w:spacing w:val="-4"/>
          <w:sz w:val="22"/>
        </w:rPr>
        <w:t> </w:t>
      </w:r>
      <w:r>
        <w:rPr>
          <w:sz w:val="22"/>
        </w:rPr>
        <w:t>ensure</w:t>
      </w:r>
      <w:r>
        <w:rPr>
          <w:spacing w:val="-4"/>
          <w:sz w:val="22"/>
        </w:rPr>
        <w:t> </w:t>
      </w:r>
      <w:r>
        <w:rPr>
          <w:sz w:val="22"/>
        </w:rPr>
        <w:t>that consumers do not have to pay unnecessary costs.</w:t>
      </w:r>
    </w:p>
    <w:p>
      <w:pPr>
        <w:pStyle w:val="BodyText"/>
        <w:spacing w:before="10"/>
        <w:rPr>
          <w:sz w:val="20"/>
        </w:rPr>
      </w:pPr>
    </w:p>
    <w:p>
      <w:pPr>
        <w:pStyle w:val="BodyText"/>
        <w:spacing w:line="288" w:lineRule="auto"/>
        <w:ind w:left="232" w:right="374"/>
      </w:pPr>
      <w:r>
        <w:rPr/>
        <w:t>Ideally,</w:t>
      </w:r>
      <w:r>
        <w:rPr>
          <w:spacing w:val="-1"/>
        </w:rPr>
        <w:t> </w:t>
      </w:r>
      <w:r>
        <w:rPr/>
        <w:t>economic</w:t>
      </w:r>
      <w:r>
        <w:rPr>
          <w:spacing w:val="-5"/>
        </w:rPr>
        <w:t> </w:t>
      </w:r>
      <w:r>
        <w:rPr/>
        <w:t>regulation</w:t>
      </w:r>
      <w:r>
        <w:rPr>
          <w:spacing w:val="-3"/>
        </w:rPr>
        <w:t> </w:t>
      </w:r>
      <w:r>
        <w:rPr/>
        <w:t>would</w:t>
      </w:r>
      <w:r>
        <w:rPr>
          <w:spacing w:val="-3"/>
        </w:rPr>
        <w:t> </w:t>
      </w:r>
      <w:r>
        <w:rPr/>
        <w:t>also</w:t>
      </w:r>
      <w:r>
        <w:rPr>
          <w:spacing w:val="-3"/>
        </w:rPr>
        <w:t> </w:t>
      </w:r>
      <w:r>
        <w:rPr/>
        <w:t>promote</w:t>
      </w:r>
      <w:r>
        <w:rPr>
          <w:spacing w:val="-5"/>
        </w:rPr>
        <w:t> </w:t>
      </w:r>
      <w:r>
        <w:rPr/>
        <w:t>the</w:t>
      </w:r>
      <w:r>
        <w:rPr>
          <w:spacing w:val="-3"/>
        </w:rPr>
        <w:t> </w:t>
      </w:r>
      <w:r>
        <w:rPr/>
        <w:t>achievement</w:t>
      </w:r>
      <w:r>
        <w:rPr>
          <w:spacing w:val="-2"/>
        </w:rPr>
        <w:t> </w:t>
      </w:r>
      <w:r>
        <w:rPr/>
        <w:t>of</w:t>
      </w:r>
      <w:r>
        <w:rPr>
          <w:spacing w:val="-4"/>
        </w:rPr>
        <w:t> </w:t>
      </w:r>
      <w:r>
        <w:rPr/>
        <w:t>safety</w:t>
      </w:r>
      <w:r>
        <w:rPr>
          <w:spacing w:val="-5"/>
        </w:rPr>
        <w:t> </w:t>
      </w:r>
      <w:r>
        <w:rPr/>
        <w:t>outcomes</w:t>
      </w:r>
      <w:r>
        <w:rPr>
          <w:spacing w:val="-5"/>
        </w:rPr>
        <w:t> </w:t>
      </w:r>
      <w:r>
        <w:rPr/>
        <w:t>by</w:t>
      </w:r>
      <w:r>
        <w:rPr>
          <w:spacing w:val="-5"/>
        </w:rPr>
        <w:t> </w:t>
      </w:r>
      <w:r>
        <w:rPr/>
        <w:t>providing a system of incentives to network operators to reward good safety and penalise poor safety – at least to the extent that it is possible to design and implement suitable incentive mechanisms.</w:t>
      </w:r>
    </w:p>
    <w:p>
      <w:pPr>
        <w:pStyle w:val="BodyText"/>
        <w:spacing w:before="10"/>
        <w:rPr>
          <w:sz w:val="20"/>
        </w:rPr>
      </w:pPr>
    </w:p>
    <w:p>
      <w:pPr>
        <w:pStyle w:val="BodyText"/>
        <w:spacing w:line="288" w:lineRule="auto"/>
        <w:ind w:left="232" w:right="298"/>
      </w:pPr>
      <w:r>
        <w:rPr/>
        <w:t>In order to achieve the first objective – that is, to ensure that network operators can raise the revenue they need to maintain safe electricity and gas networks – the economic regulator must have</w:t>
      </w:r>
      <w:r>
        <w:rPr>
          <w:spacing w:val="-3"/>
        </w:rPr>
        <w:t> </w:t>
      </w:r>
      <w:r>
        <w:rPr/>
        <w:t>reliable</w:t>
      </w:r>
      <w:r>
        <w:rPr>
          <w:spacing w:val="-3"/>
        </w:rPr>
        <w:t> </w:t>
      </w:r>
      <w:r>
        <w:rPr/>
        <w:t>information</w:t>
      </w:r>
      <w:r>
        <w:rPr>
          <w:spacing w:val="-3"/>
        </w:rPr>
        <w:t> </w:t>
      </w:r>
      <w:r>
        <w:rPr/>
        <w:t>about</w:t>
      </w:r>
      <w:r>
        <w:rPr>
          <w:spacing w:val="-4"/>
        </w:rPr>
        <w:t> </w:t>
      </w:r>
      <w:r>
        <w:rPr/>
        <w:t>necessary</w:t>
      </w:r>
      <w:r>
        <w:rPr>
          <w:spacing w:val="-5"/>
        </w:rPr>
        <w:t> </w:t>
      </w:r>
      <w:r>
        <w:rPr/>
        <w:t>capital</w:t>
      </w:r>
      <w:r>
        <w:rPr>
          <w:spacing w:val="-6"/>
        </w:rPr>
        <w:t> </w:t>
      </w:r>
      <w:r>
        <w:rPr/>
        <w:t>works</w:t>
      </w:r>
      <w:r>
        <w:rPr>
          <w:spacing w:val="-2"/>
        </w:rPr>
        <w:t> </w:t>
      </w:r>
      <w:r>
        <w:rPr/>
        <w:t>and</w:t>
      </w:r>
      <w:r>
        <w:rPr>
          <w:spacing w:val="-5"/>
        </w:rPr>
        <w:t> </w:t>
      </w:r>
      <w:r>
        <w:rPr/>
        <w:t>operating</w:t>
      </w:r>
      <w:r>
        <w:rPr>
          <w:spacing w:val="-3"/>
        </w:rPr>
        <w:t> </w:t>
      </w:r>
      <w:r>
        <w:rPr/>
        <w:t>activities,</w:t>
      </w:r>
      <w:r>
        <w:rPr>
          <w:spacing w:val="-2"/>
        </w:rPr>
        <w:t> </w:t>
      </w:r>
      <w:r>
        <w:rPr/>
        <w:t>including</w:t>
      </w:r>
      <w:r>
        <w:rPr>
          <w:spacing w:val="-1"/>
        </w:rPr>
        <w:t> </w:t>
      </w:r>
      <w:r>
        <w:rPr/>
        <w:t>essential maintenance, to ensure adequate safety. If the information is not sufficiently reliable, or the available</w:t>
      </w:r>
      <w:r>
        <w:rPr>
          <w:spacing w:val="-1"/>
        </w:rPr>
        <w:t> </w:t>
      </w:r>
      <w:r>
        <w:rPr/>
        <w:t>information</w:t>
      </w:r>
      <w:r>
        <w:rPr>
          <w:spacing w:val="-1"/>
        </w:rPr>
        <w:t> </w:t>
      </w:r>
      <w:r>
        <w:rPr/>
        <w:t>is not evaluated</w:t>
      </w:r>
      <w:r>
        <w:rPr>
          <w:spacing w:val="-1"/>
        </w:rPr>
        <w:t> </w:t>
      </w:r>
      <w:r>
        <w:rPr/>
        <w:t>correctly, there is a</w:t>
      </w:r>
      <w:r>
        <w:rPr>
          <w:spacing w:val="-3"/>
        </w:rPr>
        <w:t> </w:t>
      </w:r>
      <w:r>
        <w:rPr/>
        <w:t>danger</w:t>
      </w:r>
      <w:r>
        <w:rPr>
          <w:spacing w:val="-5"/>
        </w:rPr>
        <w:t> </w:t>
      </w:r>
      <w:r>
        <w:rPr/>
        <w:t>that</w:t>
      </w:r>
      <w:r>
        <w:rPr>
          <w:spacing w:val="-2"/>
        </w:rPr>
        <w:t> </w:t>
      </w:r>
      <w:r>
        <w:rPr/>
        <w:t>the</w:t>
      </w:r>
      <w:r>
        <w:rPr>
          <w:spacing w:val="-3"/>
        </w:rPr>
        <w:t> </w:t>
      </w:r>
      <w:r>
        <w:rPr/>
        <w:t>economic</w:t>
      </w:r>
      <w:r>
        <w:rPr>
          <w:spacing w:val="-3"/>
        </w:rPr>
        <w:t> </w:t>
      </w:r>
      <w:r>
        <w:rPr/>
        <w:t>regulator</w:t>
      </w:r>
      <w:r>
        <w:rPr>
          <w:spacing w:val="-4"/>
        </w:rPr>
        <w:t> </w:t>
      </w:r>
      <w:r>
        <w:rPr/>
        <w:t>might not allow network operators sufficient revenue for desirable safety activities. Similarly, there is a potential risk that the regulator might overestimate how much investment and operating</w:t>
      </w:r>
      <w:r>
        <w:rPr/>
        <w:t> expenditure is required for safety, and for consumers to be confronted with higher energy prices than necessary.</w:t>
      </w:r>
    </w:p>
    <w:p>
      <w:pPr>
        <w:pStyle w:val="BodyText"/>
        <w:spacing w:before="9"/>
        <w:rPr>
          <w:sz w:val="20"/>
        </w:rPr>
      </w:pPr>
    </w:p>
    <w:p>
      <w:pPr>
        <w:pStyle w:val="BodyText"/>
        <w:spacing w:line="288" w:lineRule="auto"/>
        <w:ind w:left="232" w:right="296"/>
      </w:pPr>
      <w:r>
        <w:rPr/>
        <w:t>To achieve the best balance of safety and cost, the safety regulator and the economic regulator must</w:t>
      </w:r>
      <w:r>
        <w:rPr>
          <w:spacing w:val="-3"/>
        </w:rPr>
        <w:t> </w:t>
      </w:r>
      <w:r>
        <w:rPr/>
        <w:t>be</w:t>
      </w:r>
      <w:r>
        <w:rPr>
          <w:spacing w:val="-2"/>
        </w:rPr>
        <w:t> </w:t>
      </w:r>
      <w:r>
        <w:rPr/>
        <w:t>independent of</w:t>
      </w:r>
      <w:r>
        <w:rPr>
          <w:spacing w:val="-3"/>
        </w:rPr>
        <w:t> </w:t>
      </w:r>
      <w:r>
        <w:rPr/>
        <w:t>each</w:t>
      </w:r>
      <w:r>
        <w:rPr>
          <w:spacing w:val="-2"/>
        </w:rPr>
        <w:t> </w:t>
      </w:r>
      <w:r>
        <w:rPr/>
        <w:t>other</w:t>
      </w:r>
      <w:r>
        <w:rPr>
          <w:spacing w:val="-1"/>
        </w:rPr>
        <w:t> </w:t>
      </w:r>
      <w:r>
        <w:rPr/>
        <w:t>and</w:t>
      </w:r>
      <w:r>
        <w:rPr>
          <w:spacing w:val="-4"/>
        </w:rPr>
        <w:t> </w:t>
      </w:r>
      <w:r>
        <w:rPr/>
        <w:t>of the</w:t>
      </w:r>
      <w:r>
        <w:rPr>
          <w:spacing w:val="-2"/>
        </w:rPr>
        <w:t> </w:t>
      </w:r>
      <w:r>
        <w:rPr/>
        <w:t>entities</w:t>
      </w:r>
      <w:r>
        <w:rPr>
          <w:spacing w:val="-2"/>
        </w:rPr>
        <w:t> </w:t>
      </w:r>
      <w:r>
        <w:rPr/>
        <w:t>they</w:t>
      </w:r>
      <w:r>
        <w:rPr>
          <w:spacing w:val="-4"/>
        </w:rPr>
        <w:t> </w:t>
      </w:r>
      <w:r>
        <w:rPr/>
        <w:t>regulate,</w:t>
      </w:r>
      <w:r>
        <w:rPr>
          <w:spacing w:val="-3"/>
        </w:rPr>
        <w:t> </w:t>
      </w:r>
      <w:r>
        <w:rPr/>
        <w:t>but</w:t>
      </w:r>
      <w:r>
        <w:rPr>
          <w:spacing w:val="-3"/>
        </w:rPr>
        <w:t> </w:t>
      </w:r>
      <w:r>
        <w:rPr/>
        <w:t>must</w:t>
      </w:r>
      <w:r>
        <w:rPr>
          <w:spacing w:val="-1"/>
        </w:rPr>
        <w:t> </w:t>
      </w:r>
      <w:r>
        <w:rPr/>
        <w:t>not work in</w:t>
      </w:r>
      <w:r>
        <w:rPr>
          <w:spacing w:val="-4"/>
        </w:rPr>
        <w:t> </w:t>
      </w:r>
      <w:r>
        <w:rPr/>
        <w:t>silos</w:t>
      </w:r>
      <w:r>
        <w:rPr>
          <w:spacing w:val="-4"/>
        </w:rPr>
        <w:t> </w:t>
      </w:r>
      <w:r>
        <w:rPr/>
        <w:t>from each other. Each regulator has a role in scrutinising the information provided by the network operators but must assist each other in the understanding of this information.</w:t>
      </w:r>
    </w:p>
    <w:p>
      <w:pPr>
        <w:pStyle w:val="BodyText"/>
        <w:spacing w:before="10"/>
        <w:rPr>
          <w:sz w:val="20"/>
        </w:rPr>
      </w:pPr>
    </w:p>
    <w:p>
      <w:pPr>
        <w:pStyle w:val="BodyText"/>
        <w:spacing w:line="288" w:lineRule="auto"/>
        <w:ind w:left="232" w:right="408"/>
      </w:pPr>
      <w:r>
        <w:rPr/>
        <w:t>The relationship between the AER, as the relevant economic regulator, and ESV, as the independent</w:t>
      </w:r>
      <w:r>
        <w:rPr>
          <w:spacing w:val="-1"/>
        </w:rPr>
        <w:t> </w:t>
      </w:r>
      <w:r>
        <w:rPr/>
        <w:t>safety</w:t>
      </w:r>
      <w:r>
        <w:rPr>
          <w:spacing w:val="-3"/>
        </w:rPr>
        <w:t> </w:t>
      </w:r>
      <w:r>
        <w:rPr/>
        <w:t>regulator, is</w:t>
      </w:r>
      <w:r>
        <w:rPr>
          <w:spacing w:val="-4"/>
        </w:rPr>
        <w:t> </w:t>
      </w:r>
      <w:r>
        <w:rPr/>
        <w:t>therefore</w:t>
      </w:r>
      <w:r>
        <w:rPr>
          <w:spacing w:val="-4"/>
        </w:rPr>
        <w:t> </w:t>
      </w:r>
      <w:r>
        <w:rPr/>
        <w:t>central</w:t>
      </w:r>
      <w:r>
        <w:rPr>
          <w:spacing w:val="-5"/>
        </w:rPr>
        <w:t> </w:t>
      </w:r>
      <w:r>
        <w:rPr/>
        <w:t>to</w:t>
      </w:r>
      <w:r>
        <w:rPr>
          <w:spacing w:val="-4"/>
        </w:rPr>
        <w:t> </w:t>
      </w:r>
      <w:r>
        <w:rPr/>
        <w:t>getting</w:t>
      </w:r>
      <w:r>
        <w:rPr>
          <w:spacing w:val="-2"/>
        </w:rPr>
        <w:t> </w:t>
      </w:r>
      <w:r>
        <w:rPr/>
        <w:t>the</w:t>
      </w:r>
      <w:r>
        <w:rPr>
          <w:spacing w:val="-4"/>
        </w:rPr>
        <w:t> </w:t>
      </w:r>
      <w:r>
        <w:rPr/>
        <w:t>right balance.</w:t>
      </w:r>
      <w:r>
        <w:rPr>
          <w:spacing w:val="-3"/>
        </w:rPr>
        <w:t> </w:t>
      </w:r>
      <w:r>
        <w:rPr/>
        <w:t>This</w:t>
      </w:r>
      <w:r>
        <w:rPr>
          <w:spacing w:val="-4"/>
        </w:rPr>
        <w:t> </w:t>
      </w:r>
      <w:r>
        <w:rPr/>
        <w:t>requires</w:t>
      </w:r>
      <w:r>
        <w:rPr>
          <w:spacing w:val="-4"/>
        </w:rPr>
        <w:t> </w:t>
      </w:r>
      <w:r>
        <w:rPr/>
        <w:t>ESV</w:t>
      </w:r>
      <w:r>
        <w:rPr>
          <w:spacing w:val="-2"/>
        </w:rPr>
        <w:t> </w:t>
      </w:r>
      <w:r>
        <w:rPr/>
        <w:t>to be equipped to act as an authoritative advisor to the AER, with a sufficient understanding of the networks</w:t>
      </w:r>
      <w:r>
        <w:rPr>
          <w:spacing w:val="-4"/>
        </w:rPr>
        <w:t> </w:t>
      </w:r>
      <w:r>
        <w:rPr/>
        <w:t>it is</w:t>
      </w:r>
      <w:r>
        <w:rPr>
          <w:spacing w:val="-4"/>
        </w:rPr>
        <w:t> </w:t>
      </w:r>
      <w:r>
        <w:rPr/>
        <w:t>regulating.</w:t>
      </w:r>
      <w:r>
        <w:rPr>
          <w:spacing w:val="-3"/>
        </w:rPr>
        <w:t> </w:t>
      </w:r>
      <w:r>
        <w:rPr/>
        <w:t>At the</w:t>
      </w:r>
      <w:r>
        <w:rPr>
          <w:spacing w:val="-4"/>
        </w:rPr>
        <w:t> </w:t>
      </w:r>
      <w:r>
        <w:rPr/>
        <w:t>same</w:t>
      </w:r>
      <w:r>
        <w:rPr>
          <w:spacing w:val="-4"/>
        </w:rPr>
        <w:t> </w:t>
      </w:r>
      <w:r>
        <w:rPr/>
        <w:t>time, it</w:t>
      </w:r>
      <w:r>
        <w:rPr>
          <w:spacing w:val="-3"/>
        </w:rPr>
        <w:t> </w:t>
      </w:r>
      <w:r>
        <w:rPr/>
        <w:t>is</w:t>
      </w:r>
      <w:r>
        <w:rPr>
          <w:spacing w:val="-1"/>
        </w:rPr>
        <w:t> </w:t>
      </w:r>
      <w:r>
        <w:rPr/>
        <w:t>essential</w:t>
      </w:r>
      <w:r>
        <w:rPr>
          <w:spacing w:val="-3"/>
        </w:rPr>
        <w:t> </w:t>
      </w:r>
      <w:r>
        <w:rPr/>
        <w:t>that ESV</w:t>
      </w:r>
      <w:r>
        <w:rPr>
          <w:spacing w:val="-2"/>
        </w:rPr>
        <w:t> </w:t>
      </w:r>
      <w:r>
        <w:rPr/>
        <w:t>has</w:t>
      </w:r>
      <w:r>
        <w:rPr>
          <w:spacing w:val="-4"/>
        </w:rPr>
        <w:t> </w:t>
      </w:r>
      <w:r>
        <w:rPr/>
        <w:t>an</w:t>
      </w:r>
      <w:r>
        <w:rPr>
          <w:spacing w:val="-7"/>
        </w:rPr>
        <w:t> </w:t>
      </w:r>
      <w:r>
        <w:rPr/>
        <w:t>appreciation</w:t>
      </w:r>
      <w:r>
        <w:rPr>
          <w:spacing w:val="-2"/>
        </w:rPr>
        <w:t> </w:t>
      </w:r>
      <w:r>
        <w:rPr/>
        <w:t>of</w:t>
      </w:r>
      <w:r>
        <w:rPr>
          <w:spacing w:val="-3"/>
        </w:rPr>
        <w:t> </w:t>
      </w:r>
      <w:r>
        <w:rPr/>
        <w:t>the</w:t>
      </w:r>
      <w:r>
        <w:rPr>
          <w:spacing w:val="-2"/>
        </w:rPr>
        <w:t> </w:t>
      </w:r>
      <w:r>
        <w:rPr/>
        <w:t>need for safety requirements to be designed with the ultimate cost to consumers in mind. In addition to ESV, the Australian Energy Market Operator (AEMO) has an important role to play in decision making. AEMO, as the independent market operator with planning functions for both the Victorian gas and electricity transmission systems, already works closely with the AER in determining appropriate capital works.</w:t>
      </w:r>
    </w:p>
    <w:p>
      <w:pPr>
        <w:pStyle w:val="BodyText"/>
        <w:spacing w:before="1"/>
        <w:rPr>
          <w:sz w:val="21"/>
        </w:rPr>
      </w:pPr>
    </w:p>
    <w:p>
      <w:pPr>
        <w:pStyle w:val="BodyText"/>
        <w:spacing w:line="288" w:lineRule="auto"/>
        <w:ind w:left="232" w:right="337"/>
      </w:pPr>
      <w:r>
        <w:rPr/>
        <w:t>The additional characteristic of leading practice identified above – that the economic regulatory system should</w:t>
      </w:r>
      <w:r>
        <w:rPr>
          <w:spacing w:val="-1"/>
        </w:rPr>
        <w:t> </w:t>
      </w:r>
      <w:r>
        <w:rPr/>
        <w:t>ideally</w:t>
      </w:r>
      <w:r>
        <w:rPr>
          <w:spacing w:val="-1"/>
        </w:rPr>
        <w:t> </w:t>
      </w:r>
      <w:r>
        <w:rPr/>
        <w:t>incorporate direct incentive mechanisms</w:t>
      </w:r>
      <w:r>
        <w:rPr>
          <w:spacing w:val="-3"/>
        </w:rPr>
        <w:t> </w:t>
      </w:r>
      <w:r>
        <w:rPr/>
        <w:t>to</w:t>
      </w:r>
      <w:r>
        <w:rPr>
          <w:spacing w:val="-1"/>
        </w:rPr>
        <w:t> </w:t>
      </w:r>
      <w:r>
        <w:rPr/>
        <w:t>reward good safety</w:t>
      </w:r>
      <w:r>
        <w:rPr>
          <w:spacing w:val="-1"/>
        </w:rPr>
        <w:t> </w:t>
      </w:r>
      <w:r>
        <w:rPr/>
        <w:t>performance and penalise poor safety performance – may, in practice, be constrained by significant practical difficulties</w:t>
      </w:r>
      <w:r>
        <w:rPr>
          <w:spacing w:val="-4"/>
        </w:rPr>
        <w:t> </w:t>
      </w:r>
      <w:r>
        <w:rPr/>
        <w:t>in</w:t>
      </w:r>
      <w:r>
        <w:rPr>
          <w:spacing w:val="-4"/>
        </w:rPr>
        <w:t> </w:t>
      </w:r>
      <w:r>
        <w:rPr/>
        <w:t>designing</w:t>
      </w:r>
      <w:r>
        <w:rPr>
          <w:spacing w:val="-2"/>
        </w:rPr>
        <w:t> </w:t>
      </w:r>
      <w:r>
        <w:rPr/>
        <w:t>and</w:t>
      </w:r>
      <w:r>
        <w:rPr>
          <w:spacing w:val="-4"/>
        </w:rPr>
        <w:t> </w:t>
      </w:r>
      <w:r>
        <w:rPr/>
        <w:t>administering</w:t>
      </w:r>
      <w:r>
        <w:rPr>
          <w:spacing w:val="-4"/>
        </w:rPr>
        <w:t> </w:t>
      </w:r>
      <w:r>
        <w:rPr/>
        <w:t>effective</w:t>
      </w:r>
      <w:r>
        <w:rPr>
          <w:spacing w:val="-4"/>
        </w:rPr>
        <w:t> </w:t>
      </w:r>
      <w:r>
        <w:rPr/>
        <w:t>mechanisms.</w:t>
      </w:r>
      <w:r>
        <w:rPr>
          <w:spacing w:val="-2"/>
        </w:rPr>
        <w:t> </w:t>
      </w:r>
      <w:r>
        <w:rPr/>
        <w:t>Nevertheless,</w:t>
      </w:r>
      <w:r>
        <w:rPr>
          <w:spacing w:val="-3"/>
        </w:rPr>
        <w:t> </w:t>
      </w:r>
      <w:r>
        <w:rPr/>
        <w:t>Victoria</w:t>
      </w:r>
      <w:r>
        <w:rPr>
          <w:spacing w:val="-4"/>
        </w:rPr>
        <w:t> </w:t>
      </w:r>
      <w:r>
        <w:rPr/>
        <w:t>has</w:t>
      </w:r>
      <w:r>
        <w:rPr>
          <w:spacing w:val="-6"/>
        </w:rPr>
        <w:t> </w:t>
      </w:r>
      <w:r>
        <w:rPr/>
        <w:t>been</w:t>
      </w:r>
      <w:r>
        <w:rPr>
          <w:spacing w:val="-4"/>
        </w:rPr>
        <w:t> </w:t>
      </w:r>
      <w:r>
        <w:rPr/>
        <w:t>a leader in developing such mechanisms, specifically the f-factor Incentive Scheme that applies to the electricity network.</w:t>
      </w:r>
    </w:p>
    <w:p>
      <w:pPr>
        <w:pStyle w:val="BodyText"/>
        <w:spacing w:before="10"/>
        <w:rPr>
          <w:sz w:val="20"/>
        </w:rPr>
      </w:pPr>
    </w:p>
    <w:p>
      <w:pPr>
        <w:pStyle w:val="BodyText"/>
        <w:spacing w:line="288" w:lineRule="auto"/>
        <w:ind w:left="232" w:right="323"/>
      </w:pPr>
      <w:r>
        <w:rPr/>
        <w:t>The AER also administers the Service Target Performance Incentive Scheme (STPIS), which has</w:t>
      </w:r>
      <w:r>
        <w:rPr>
          <w:spacing w:val="40"/>
        </w:rPr>
        <w:t> </w:t>
      </w:r>
      <w:r>
        <w:rPr/>
        <w:t>a</w:t>
      </w:r>
      <w:r>
        <w:rPr>
          <w:spacing w:val="-2"/>
        </w:rPr>
        <w:t> </w:t>
      </w:r>
      <w:r>
        <w:rPr/>
        <w:t>safety</w:t>
      </w:r>
      <w:r>
        <w:rPr>
          <w:spacing w:val="-4"/>
        </w:rPr>
        <w:t> </w:t>
      </w:r>
      <w:r>
        <w:rPr/>
        <w:t>dimension</w:t>
      </w:r>
      <w:r>
        <w:rPr>
          <w:spacing w:val="-2"/>
        </w:rPr>
        <w:t> </w:t>
      </w:r>
      <w:r>
        <w:rPr/>
        <w:t>due</w:t>
      </w:r>
      <w:r>
        <w:rPr>
          <w:spacing w:val="-4"/>
        </w:rPr>
        <w:t> </w:t>
      </w:r>
      <w:r>
        <w:rPr/>
        <w:t>to</w:t>
      </w:r>
      <w:r>
        <w:rPr>
          <w:spacing w:val="-2"/>
        </w:rPr>
        <w:t> </w:t>
      </w:r>
      <w:r>
        <w:rPr/>
        <w:t>the</w:t>
      </w:r>
      <w:r>
        <w:rPr>
          <w:spacing w:val="-4"/>
        </w:rPr>
        <w:t> </w:t>
      </w:r>
      <w:r>
        <w:rPr/>
        <w:t>impact</w:t>
      </w:r>
      <w:r>
        <w:rPr>
          <w:spacing w:val="-3"/>
        </w:rPr>
        <w:t> </w:t>
      </w:r>
      <w:r>
        <w:rPr/>
        <w:t>that</w:t>
      </w:r>
      <w:r>
        <w:rPr>
          <w:spacing w:val="-3"/>
        </w:rPr>
        <w:t> </w:t>
      </w:r>
      <w:r>
        <w:rPr/>
        <w:t>poor</w:t>
      </w:r>
      <w:r>
        <w:rPr>
          <w:spacing w:val="-3"/>
        </w:rPr>
        <w:t> </w:t>
      </w:r>
      <w:r>
        <w:rPr/>
        <w:t>electricity</w:t>
      </w:r>
      <w:r>
        <w:rPr>
          <w:spacing w:val="-4"/>
        </w:rPr>
        <w:t> </w:t>
      </w:r>
      <w:r>
        <w:rPr/>
        <w:t>supply</w:t>
      </w:r>
      <w:r>
        <w:rPr>
          <w:spacing w:val="-4"/>
        </w:rPr>
        <w:t> </w:t>
      </w:r>
      <w:r>
        <w:rPr/>
        <w:t>reliability</w:t>
      </w:r>
      <w:r>
        <w:rPr>
          <w:spacing w:val="-2"/>
        </w:rPr>
        <w:t> </w:t>
      </w:r>
      <w:r>
        <w:rPr/>
        <w:t>can</w:t>
      </w:r>
      <w:r>
        <w:rPr>
          <w:spacing w:val="-2"/>
        </w:rPr>
        <w:t> </w:t>
      </w:r>
      <w:r>
        <w:rPr/>
        <w:t>have</w:t>
      </w:r>
      <w:r>
        <w:rPr>
          <w:spacing w:val="-2"/>
        </w:rPr>
        <w:t> </w:t>
      </w:r>
      <w:r>
        <w:rPr/>
        <w:t>on</w:t>
      </w:r>
      <w:r>
        <w:rPr>
          <w:spacing w:val="-4"/>
        </w:rPr>
        <w:t> </w:t>
      </w:r>
      <w:r>
        <w:rPr/>
        <w:t>the</w:t>
      </w:r>
      <w:r>
        <w:rPr>
          <w:spacing w:val="-2"/>
        </w:rPr>
        <w:t> </w:t>
      </w:r>
      <w:r>
        <w:rPr/>
        <w:t>safety</w:t>
      </w:r>
      <w:r>
        <w:rPr>
          <w:spacing w:val="-3"/>
        </w:rPr>
        <w:t> </w:t>
      </w:r>
      <w:r>
        <w:rPr/>
        <w:t>of consumers dependent on power. The STPIS does not apply to gas supply.</w:t>
      </w:r>
    </w:p>
    <w:p>
      <w:pPr>
        <w:spacing w:after="0" w:line="288" w:lineRule="auto"/>
        <w:sectPr>
          <w:pgSz w:w="11910" w:h="16850"/>
          <w:pgMar w:header="220" w:footer="678" w:top="420" w:bottom="860" w:left="900" w:right="840"/>
        </w:sectPr>
      </w:pPr>
    </w:p>
    <w:p>
      <w:pPr>
        <w:pStyle w:val="BodyText"/>
        <w:rPr>
          <w:sz w:val="20"/>
        </w:rPr>
      </w:pPr>
    </w:p>
    <w:p>
      <w:pPr>
        <w:pStyle w:val="BodyText"/>
        <w:spacing w:before="7"/>
        <w:rPr>
          <w:sz w:val="19"/>
        </w:rPr>
      </w:pPr>
    </w:p>
    <w:p>
      <w:pPr>
        <w:pStyle w:val="Heading4"/>
      </w:pPr>
      <w:r>
        <w:rPr>
          <w:color w:val="585858"/>
        </w:rPr>
        <w:t>The</w:t>
      </w:r>
      <w:r>
        <w:rPr>
          <w:color w:val="585858"/>
          <w:spacing w:val="-10"/>
        </w:rPr>
        <w:t> </w:t>
      </w:r>
      <w:r>
        <w:rPr>
          <w:color w:val="585858"/>
        </w:rPr>
        <w:t>current</w:t>
      </w:r>
      <w:r>
        <w:rPr>
          <w:color w:val="585858"/>
          <w:spacing w:val="-10"/>
        </w:rPr>
        <w:t> </w:t>
      </w:r>
      <w:r>
        <w:rPr>
          <w:color w:val="585858"/>
        </w:rPr>
        <w:t>regulatory</w:t>
      </w:r>
      <w:r>
        <w:rPr>
          <w:color w:val="585858"/>
          <w:spacing w:val="-14"/>
        </w:rPr>
        <w:t> </w:t>
      </w:r>
      <w:r>
        <w:rPr>
          <w:color w:val="585858"/>
          <w:spacing w:val="-2"/>
        </w:rPr>
        <w:t>system</w:t>
      </w:r>
    </w:p>
    <w:p>
      <w:pPr>
        <w:pStyle w:val="BodyText"/>
        <w:spacing w:line="288" w:lineRule="auto" w:before="314"/>
        <w:ind w:left="232" w:right="286"/>
      </w:pPr>
      <w:r>
        <w:rPr/>
        <w:t>The purpose of the economic regulatory framework is to give effect to the </w:t>
      </w:r>
      <w:r>
        <w:rPr>
          <w:i/>
        </w:rPr>
        <w:t>National Electricity Objective</w:t>
      </w:r>
      <w:r>
        <w:rPr>
          <w:i/>
          <w:spacing w:val="-4"/>
        </w:rPr>
        <w:t> </w:t>
      </w:r>
      <w:r>
        <w:rPr/>
        <w:t>(NEO)</w:t>
      </w:r>
      <w:r>
        <w:rPr>
          <w:spacing w:val="-1"/>
        </w:rPr>
        <w:t> </w:t>
      </w:r>
      <w:r>
        <w:rPr/>
        <w:t>and</w:t>
      </w:r>
      <w:r>
        <w:rPr>
          <w:spacing w:val="-4"/>
        </w:rPr>
        <w:t> </w:t>
      </w:r>
      <w:r>
        <w:rPr/>
        <w:t>the</w:t>
      </w:r>
      <w:r>
        <w:rPr>
          <w:spacing w:val="-3"/>
        </w:rPr>
        <w:t> </w:t>
      </w:r>
      <w:r>
        <w:rPr>
          <w:i/>
        </w:rPr>
        <w:t>National</w:t>
      </w:r>
      <w:r>
        <w:rPr>
          <w:i/>
          <w:spacing w:val="-2"/>
        </w:rPr>
        <w:t> </w:t>
      </w:r>
      <w:r>
        <w:rPr>
          <w:i/>
        </w:rPr>
        <w:t>Gas</w:t>
      </w:r>
      <w:r>
        <w:rPr>
          <w:i/>
          <w:spacing w:val="-4"/>
        </w:rPr>
        <w:t> </w:t>
      </w:r>
      <w:r>
        <w:rPr>
          <w:i/>
        </w:rPr>
        <w:t>Objective</w:t>
      </w:r>
      <w:r>
        <w:rPr>
          <w:i/>
          <w:spacing w:val="-3"/>
        </w:rPr>
        <w:t> </w:t>
      </w:r>
      <w:r>
        <w:rPr/>
        <w:t>(NGO),</w:t>
      </w:r>
      <w:r>
        <w:rPr>
          <w:spacing w:val="-3"/>
        </w:rPr>
        <w:t> </w:t>
      </w:r>
      <w:r>
        <w:rPr/>
        <w:t>which</w:t>
      </w:r>
      <w:r>
        <w:rPr>
          <w:spacing w:val="-2"/>
        </w:rPr>
        <w:t> </w:t>
      </w:r>
      <w:r>
        <w:rPr/>
        <w:t>promote</w:t>
      </w:r>
      <w:r>
        <w:rPr>
          <w:spacing w:val="-2"/>
        </w:rPr>
        <w:t> </w:t>
      </w:r>
      <w:r>
        <w:rPr/>
        <w:t>efficient investment</w:t>
      </w:r>
      <w:r>
        <w:rPr>
          <w:spacing w:val="-3"/>
        </w:rPr>
        <w:t> </w:t>
      </w:r>
      <w:r>
        <w:rPr/>
        <w:t>in,</w:t>
      </w:r>
      <w:r>
        <w:rPr>
          <w:spacing w:val="-1"/>
        </w:rPr>
        <w:t> </w:t>
      </w:r>
      <w:r>
        <w:rPr/>
        <w:t>and efficient operation and use of, electricity and natural gas services respectively, for the long-term interests of consumers with respect to price, quality, safety, reliability and security of supply.</w:t>
      </w:r>
    </w:p>
    <w:p>
      <w:pPr>
        <w:pStyle w:val="BodyText"/>
        <w:spacing w:before="10"/>
        <w:rPr>
          <w:sz w:val="20"/>
        </w:rPr>
      </w:pPr>
    </w:p>
    <w:p>
      <w:pPr>
        <w:pStyle w:val="BodyText"/>
        <w:spacing w:line="288" w:lineRule="auto"/>
        <w:ind w:left="232" w:right="331"/>
      </w:pPr>
      <w:r>
        <w:rPr/>
        <w:t>The AER is responsible for the economic regulation of electricity networks in the National</w:t>
      </w:r>
      <w:r>
        <w:rPr>
          <w:spacing w:val="40"/>
        </w:rPr>
        <w:t> </w:t>
      </w:r>
      <w:r>
        <w:rPr/>
        <w:t>Electricity</w:t>
      </w:r>
      <w:r>
        <w:rPr>
          <w:spacing w:val="-4"/>
        </w:rPr>
        <w:t> </w:t>
      </w:r>
      <w:r>
        <w:rPr/>
        <w:t>Market</w:t>
      </w:r>
      <w:r>
        <w:rPr>
          <w:spacing w:val="-2"/>
        </w:rPr>
        <w:t> </w:t>
      </w:r>
      <w:r>
        <w:rPr/>
        <w:t>under</w:t>
      </w:r>
      <w:r>
        <w:rPr>
          <w:spacing w:val="-3"/>
        </w:rPr>
        <w:t> </w:t>
      </w:r>
      <w:r>
        <w:rPr/>
        <w:t>the</w:t>
      </w:r>
      <w:r>
        <w:rPr>
          <w:spacing w:val="-2"/>
        </w:rPr>
        <w:t> </w:t>
      </w:r>
      <w:r>
        <w:rPr>
          <w:i/>
        </w:rPr>
        <w:t>National</w:t>
      </w:r>
      <w:r>
        <w:rPr>
          <w:i/>
          <w:spacing w:val="-2"/>
        </w:rPr>
        <w:t> </w:t>
      </w:r>
      <w:r>
        <w:rPr>
          <w:i/>
        </w:rPr>
        <w:t>Electricity</w:t>
      </w:r>
      <w:r>
        <w:rPr>
          <w:i/>
          <w:spacing w:val="-1"/>
        </w:rPr>
        <w:t> </w:t>
      </w:r>
      <w:r>
        <w:rPr>
          <w:i/>
        </w:rPr>
        <w:t>Law</w:t>
      </w:r>
      <w:r>
        <w:rPr/>
        <w:t>,</w:t>
      </w:r>
      <w:r>
        <w:rPr>
          <w:spacing w:val="-3"/>
        </w:rPr>
        <w:t> </w:t>
      </w:r>
      <w:r>
        <w:rPr/>
        <w:t>and</w:t>
      </w:r>
      <w:r>
        <w:rPr>
          <w:spacing w:val="-4"/>
        </w:rPr>
        <w:t> </w:t>
      </w:r>
      <w:r>
        <w:rPr/>
        <w:t>gas</w:t>
      </w:r>
      <w:r>
        <w:rPr>
          <w:spacing w:val="-1"/>
        </w:rPr>
        <w:t> </w:t>
      </w:r>
      <w:r>
        <w:rPr/>
        <w:t>pipelines</w:t>
      </w:r>
      <w:r>
        <w:rPr>
          <w:spacing w:val="-1"/>
        </w:rPr>
        <w:t> </w:t>
      </w:r>
      <w:r>
        <w:rPr/>
        <w:t>in</w:t>
      </w:r>
      <w:r>
        <w:rPr>
          <w:spacing w:val="-2"/>
        </w:rPr>
        <w:t> </w:t>
      </w:r>
      <w:r>
        <w:rPr/>
        <w:t>all</w:t>
      </w:r>
      <w:r>
        <w:rPr>
          <w:spacing w:val="-2"/>
        </w:rPr>
        <w:t> </w:t>
      </w:r>
      <w:r>
        <w:rPr/>
        <w:t>jurisdictions</w:t>
      </w:r>
      <w:r>
        <w:rPr>
          <w:spacing w:val="-1"/>
        </w:rPr>
        <w:t> </w:t>
      </w:r>
      <w:r>
        <w:rPr/>
        <w:t>other</w:t>
      </w:r>
      <w:r>
        <w:rPr>
          <w:spacing w:val="-5"/>
        </w:rPr>
        <w:t> </w:t>
      </w:r>
      <w:r>
        <w:rPr/>
        <w:t>than Western Australia and Tasmania, under the </w:t>
      </w:r>
      <w:r>
        <w:rPr>
          <w:i/>
        </w:rPr>
        <w:t>National Gas Law</w:t>
      </w:r>
      <w:r>
        <w:rPr/>
        <w:t>. The AER encourages businesses to undertake efficient investment by setting maximum revenues a business can recover from consumers (AER, 2015).</w:t>
      </w:r>
    </w:p>
    <w:p>
      <w:pPr>
        <w:pStyle w:val="BodyText"/>
        <w:rPr>
          <w:sz w:val="24"/>
        </w:rPr>
      </w:pPr>
    </w:p>
    <w:p>
      <w:pPr>
        <w:pStyle w:val="Heading6"/>
        <w:spacing w:before="144"/>
        <w:ind w:left="232"/>
      </w:pPr>
      <w:r>
        <w:rPr>
          <w:spacing w:val="-2"/>
        </w:rPr>
        <w:t>Electricity</w:t>
      </w:r>
    </w:p>
    <w:p>
      <w:pPr>
        <w:spacing w:line="288" w:lineRule="auto" w:before="175"/>
        <w:ind w:left="232" w:right="374" w:firstLine="0"/>
        <w:jc w:val="left"/>
        <w:rPr>
          <w:sz w:val="22"/>
        </w:rPr>
      </w:pPr>
      <w:r>
        <w:rPr>
          <w:sz w:val="22"/>
        </w:rPr>
        <w:t>The economic framework for electricity is set out in chapters 6 and 6A of the </w:t>
      </w:r>
      <w:r>
        <w:rPr>
          <w:i/>
          <w:sz w:val="22"/>
        </w:rPr>
        <w:t>National Electricity Rules</w:t>
      </w:r>
      <w:r>
        <w:rPr>
          <w:sz w:val="22"/>
        </w:rPr>
        <w:t>. The </w:t>
      </w:r>
      <w:r>
        <w:rPr>
          <w:i/>
          <w:sz w:val="22"/>
        </w:rPr>
        <w:t>National Electricity Rules </w:t>
      </w:r>
      <w:r>
        <w:rPr>
          <w:sz w:val="22"/>
        </w:rPr>
        <w:t>are made pursuant to the </w:t>
      </w:r>
      <w:r>
        <w:rPr>
          <w:i/>
          <w:sz w:val="22"/>
        </w:rPr>
        <w:t>National Electricity Law</w:t>
      </w:r>
      <w:r>
        <w:rPr>
          <w:sz w:val="22"/>
        </w:rPr>
        <w:t>. The </w:t>
      </w:r>
      <w:r>
        <w:rPr>
          <w:i/>
          <w:sz w:val="22"/>
        </w:rPr>
        <w:t>National</w:t>
      </w:r>
      <w:r>
        <w:rPr>
          <w:i/>
          <w:spacing w:val="-3"/>
          <w:sz w:val="22"/>
        </w:rPr>
        <w:t> </w:t>
      </w:r>
      <w:r>
        <w:rPr>
          <w:i/>
          <w:sz w:val="22"/>
        </w:rPr>
        <w:t>Electricity</w:t>
      </w:r>
      <w:r>
        <w:rPr>
          <w:i/>
          <w:spacing w:val="-5"/>
          <w:sz w:val="22"/>
        </w:rPr>
        <w:t> </w:t>
      </w:r>
      <w:r>
        <w:rPr>
          <w:i/>
          <w:sz w:val="22"/>
        </w:rPr>
        <w:t>Law</w:t>
      </w:r>
      <w:r>
        <w:rPr>
          <w:i/>
          <w:spacing w:val="-2"/>
          <w:sz w:val="22"/>
        </w:rPr>
        <w:t> </w:t>
      </w:r>
      <w:r>
        <w:rPr>
          <w:sz w:val="22"/>
        </w:rPr>
        <w:t>relies</w:t>
      </w:r>
      <w:r>
        <w:rPr>
          <w:spacing w:val="-3"/>
          <w:sz w:val="22"/>
        </w:rPr>
        <w:t> </w:t>
      </w:r>
      <w:r>
        <w:rPr>
          <w:sz w:val="22"/>
        </w:rPr>
        <w:t>on</w:t>
      </w:r>
      <w:r>
        <w:rPr>
          <w:spacing w:val="-3"/>
          <w:sz w:val="22"/>
        </w:rPr>
        <w:t> </w:t>
      </w:r>
      <w:r>
        <w:rPr>
          <w:sz w:val="22"/>
        </w:rPr>
        <w:t>template</w:t>
      </w:r>
      <w:r>
        <w:rPr>
          <w:spacing w:val="-2"/>
          <w:sz w:val="22"/>
        </w:rPr>
        <w:t> </w:t>
      </w:r>
      <w:r>
        <w:rPr>
          <w:sz w:val="22"/>
        </w:rPr>
        <w:t>legislation</w:t>
      </w:r>
      <w:r>
        <w:rPr>
          <w:spacing w:val="-3"/>
          <w:sz w:val="22"/>
        </w:rPr>
        <w:t> </w:t>
      </w:r>
      <w:r>
        <w:rPr>
          <w:sz w:val="22"/>
        </w:rPr>
        <w:t>in</w:t>
      </w:r>
      <w:r>
        <w:rPr>
          <w:spacing w:val="-3"/>
          <w:sz w:val="22"/>
        </w:rPr>
        <w:t> </w:t>
      </w:r>
      <w:r>
        <w:rPr>
          <w:sz w:val="22"/>
        </w:rPr>
        <w:t>each</w:t>
      </w:r>
      <w:r>
        <w:rPr>
          <w:spacing w:val="-3"/>
          <w:sz w:val="22"/>
        </w:rPr>
        <w:t> </w:t>
      </w:r>
      <w:r>
        <w:rPr>
          <w:sz w:val="22"/>
        </w:rPr>
        <w:t>participating</w:t>
      </w:r>
      <w:r>
        <w:rPr>
          <w:spacing w:val="-3"/>
          <w:sz w:val="22"/>
        </w:rPr>
        <w:t> </w:t>
      </w:r>
      <w:r>
        <w:rPr>
          <w:sz w:val="22"/>
        </w:rPr>
        <w:t>state.</w:t>
      </w:r>
      <w:r>
        <w:rPr>
          <w:spacing w:val="-4"/>
          <w:sz w:val="22"/>
        </w:rPr>
        <w:t> </w:t>
      </w:r>
      <w:r>
        <w:rPr>
          <w:sz w:val="22"/>
        </w:rPr>
        <w:t>This</w:t>
      </w:r>
      <w:r>
        <w:rPr>
          <w:spacing w:val="-5"/>
          <w:sz w:val="22"/>
        </w:rPr>
        <w:t> </w:t>
      </w:r>
      <w:r>
        <w:rPr>
          <w:sz w:val="22"/>
        </w:rPr>
        <w:t>structure</w:t>
      </w:r>
      <w:r>
        <w:rPr>
          <w:spacing w:val="-5"/>
          <w:sz w:val="22"/>
        </w:rPr>
        <w:t> </w:t>
      </w:r>
      <w:r>
        <w:rPr>
          <w:sz w:val="22"/>
        </w:rPr>
        <w:t>has been</w:t>
      </w:r>
      <w:r>
        <w:rPr>
          <w:spacing w:val="-1"/>
          <w:sz w:val="22"/>
        </w:rPr>
        <w:t> </w:t>
      </w:r>
      <w:r>
        <w:rPr>
          <w:sz w:val="22"/>
        </w:rPr>
        <w:t>adopted</w:t>
      </w:r>
      <w:r>
        <w:rPr>
          <w:spacing w:val="-3"/>
          <w:sz w:val="22"/>
        </w:rPr>
        <w:t> </w:t>
      </w:r>
      <w:r>
        <w:rPr>
          <w:sz w:val="22"/>
        </w:rPr>
        <w:t>to</w:t>
      </w:r>
      <w:r>
        <w:rPr>
          <w:spacing w:val="-3"/>
          <w:sz w:val="22"/>
        </w:rPr>
        <w:t> </w:t>
      </w:r>
      <w:r>
        <w:rPr>
          <w:sz w:val="22"/>
        </w:rPr>
        <w:t>create</w:t>
      </w:r>
      <w:r>
        <w:rPr>
          <w:spacing w:val="-3"/>
          <w:sz w:val="22"/>
        </w:rPr>
        <w:t> </w:t>
      </w:r>
      <w:r>
        <w:rPr>
          <w:sz w:val="22"/>
        </w:rPr>
        <w:t>uniformity in</w:t>
      </w:r>
      <w:r>
        <w:rPr>
          <w:spacing w:val="-1"/>
          <w:sz w:val="22"/>
        </w:rPr>
        <w:t> </w:t>
      </w:r>
      <w:r>
        <w:rPr>
          <w:sz w:val="22"/>
        </w:rPr>
        <w:t>an</w:t>
      </w:r>
      <w:r>
        <w:rPr>
          <w:spacing w:val="-3"/>
          <w:sz w:val="22"/>
        </w:rPr>
        <w:t> </w:t>
      </w:r>
      <w:r>
        <w:rPr>
          <w:sz w:val="22"/>
        </w:rPr>
        <w:t>industry</w:t>
      </w:r>
      <w:r>
        <w:rPr>
          <w:spacing w:val="-3"/>
          <w:sz w:val="22"/>
        </w:rPr>
        <w:t> </w:t>
      </w:r>
      <w:r>
        <w:rPr>
          <w:sz w:val="22"/>
        </w:rPr>
        <w:t>that is principally</w:t>
      </w:r>
      <w:r>
        <w:rPr>
          <w:spacing w:val="-3"/>
          <w:sz w:val="22"/>
        </w:rPr>
        <w:t> </w:t>
      </w:r>
      <w:r>
        <w:rPr>
          <w:sz w:val="22"/>
        </w:rPr>
        <w:t>governed</w:t>
      </w:r>
      <w:r>
        <w:rPr>
          <w:spacing w:val="-1"/>
          <w:sz w:val="22"/>
        </w:rPr>
        <w:t> </w:t>
      </w:r>
      <w:r>
        <w:rPr>
          <w:sz w:val="22"/>
        </w:rPr>
        <w:t>by</w:t>
      </w:r>
      <w:r>
        <w:rPr>
          <w:spacing w:val="-3"/>
          <w:sz w:val="22"/>
        </w:rPr>
        <w:t> </w:t>
      </w:r>
      <w:r>
        <w:rPr>
          <w:sz w:val="22"/>
        </w:rPr>
        <w:t>state</w:t>
      </w:r>
      <w:r>
        <w:rPr>
          <w:spacing w:val="-3"/>
          <w:sz w:val="22"/>
        </w:rPr>
        <w:t> </w:t>
      </w:r>
      <w:r>
        <w:rPr>
          <w:sz w:val="22"/>
        </w:rPr>
        <w:t>law</w:t>
      </w:r>
      <w:r>
        <w:rPr>
          <w:spacing w:val="-4"/>
          <w:sz w:val="22"/>
        </w:rPr>
        <w:t> </w:t>
      </w:r>
      <w:r>
        <w:rPr>
          <w:sz w:val="22"/>
        </w:rPr>
        <w:t>under</w:t>
      </w:r>
      <w:r>
        <w:rPr>
          <w:spacing w:val="-2"/>
          <w:sz w:val="22"/>
        </w:rPr>
        <w:t> </w:t>
      </w:r>
      <w:r>
        <w:rPr>
          <w:sz w:val="22"/>
        </w:rPr>
        <w:t>the </w:t>
      </w:r>
      <w:r>
        <w:rPr>
          <w:spacing w:val="-2"/>
          <w:sz w:val="22"/>
        </w:rPr>
        <w:t>Constitution.</w:t>
      </w:r>
    </w:p>
    <w:p>
      <w:pPr>
        <w:pStyle w:val="BodyText"/>
        <w:spacing w:before="9"/>
        <w:rPr>
          <w:sz w:val="20"/>
        </w:rPr>
      </w:pPr>
    </w:p>
    <w:p>
      <w:pPr>
        <w:pStyle w:val="BodyText"/>
        <w:spacing w:line="288" w:lineRule="auto"/>
        <w:ind w:left="232" w:right="374"/>
      </w:pPr>
      <w:r>
        <w:rPr/>
        <w:t>Every</w:t>
      </w:r>
      <w:r>
        <w:rPr>
          <w:spacing w:val="-3"/>
        </w:rPr>
        <w:t> </w:t>
      </w:r>
      <w:r>
        <w:rPr/>
        <w:t>five</w:t>
      </w:r>
      <w:r>
        <w:rPr>
          <w:spacing w:val="-2"/>
        </w:rPr>
        <w:t> </w:t>
      </w:r>
      <w:r>
        <w:rPr/>
        <w:t>years, electricity</w:t>
      </w:r>
      <w:r>
        <w:rPr>
          <w:spacing w:val="-4"/>
        </w:rPr>
        <w:t> </w:t>
      </w:r>
      <w:r>
        <w:rPr/>
        <w:t>transmission</w:t>
      </w:r>
      <w:r>
        <w:rPr>
          <w:spacing w:val="-2"/>
        </w:rPr>
        <w:t> </w:t>
      </w:r>
      <w:r>
        <w:rPr/>
        <w:t>and</w:t>
      </w:r>
      <w:r>
        <w:rPr>
          <w:spacing w:val="-4"/>
        </w:rPr>
        <w:t> </w:t>
      </w:r>
      <w:r>
        <w:rPr/>
        <w:t>distribution</w:t>
      </w:r>
      <w:r>
        <w:rPr>
          <w:spacing w:val="-2"/>
        </w:rPr>
        <w:t> </w:t>
      </w:r>
      <w:r>
        <w:rPr/>
        <w:t>businesses</w:t>
      </w:r>
      <w:r>
        <w:rPr>
          <w:spacing w:val="-4"/>
        </w:rPr>
        <w:t> </w:t>
      </w:r>
      <w:r>
        <w:rPr/>
        <w:t>submit a</w:t>
      </w:r>
      <w:r>
        <w:rPr>
          <w:spacing w:val="-4"/>
        </w:rPr>
        <w:t> </w:t>
      </w:r>
      <w:r>
        <w:rPr/>
        <w:t>proposal</w:t>
      </w:r>
      <w:r>
        <w:rPr>
          <w:spacing w:val="-5"/>
        </w:rPr>
        <w:t> </w:t>
      </w:r>
      <w:r>
        <w:rPr/>
        <w:t>to</w:t>
      </w:r>
      <w:r>
        <w:rPr>
          <w:spacing w:val="-4"/>
        </w:rPr>
        <w:t> </w:t>
      </w:r>
      <w:r>
        <w:rPr/>
        <w:t>the</w:t>
      </w:r>
      <w:r>
        <w:rPr>
          <w:spacing w:val="-4"/>
        </w:rPr>
        <w:t> </w:t>
      </w:r>
      <w:r>
        <w:rPr/>
        <w:t>AER forecasting how much they will need to spend over the next five years to provide services, and meet reliability and service obligations. This process is an Electricity Distribution Price Review (EDPR). EDPRs determine the amount of revenue (the ‘revenue cap’) a regulated electricity network business can recover from its customers through distribution tariffs. These tariffs form a component of a customer’s final electricity bill.</w:t>
      </w:r>
    </w:p>
    <w:p>
      <w:pPr>
        <w:pStyle w:val="BodyText"/>
        <w:spacing w:before="10"/>
        <w:rPr>
          <w:sz w:val="20"/>
        </w:rPr>
      </w:pPr>
    </w:p>
    <w:p>
      <w:pPr>
        <w:pStyle w:val="BodyText"/>
        <w:spacing w:before="1"/>
        <w:ind w:left="232"/>
      </w:pPr>
      <w:r>
        <w:rPr/>
        <w:t>In</w:t>
      </w:r>
      <w:r>
        <w:rPr>
          <w:spacing w:val="-5"/>
        </w:rPr>
        <w:t> </w:t>
      </w:r>
      <w:r>
        <w:rPr/>
        <w:t>determining</w:t>
      </w:r>
      <w:r>
        <w:rPr>
          <w:spacing w:val="-4"/>
        </w:rPr>
        <w:t> </w:t>
      </w:r>
      <w:r>
        <w:rPr/>
        <w:t>the</w:t>
      </w:r>
      <w:r>
        <w:rPr>
          <w:spacing w:val="-7"/>
        </w:rPr>
        <w:t> </w:t>
      </w:r>
      <w:r>
        <w:rPr/>
        <w:t>prices</w:t>
      </w:r>
      <w:r>
        <w:rPr>
          <w:spacing w:val="-6"/>
        </w:rPr>
        <w:t> </w:t>
      </w:r>
      <w:r>
        <w:rPr/>
        <w:t>that</w:t>
      </w:r>
      <w:r>
        <w:rPr>
          <w:spacing w:val="-2"/>
        </w:rPr>
        <w:t> </w:t>
      </w:r>
      <w:r>
        <w:rPr/>
        <w:t>a</w:t>
      </w:r>
      <w:r>
        <w:rPr>
          <w:spacing w:val="-7"/>
        </w:rPr>
        <w:t> </w:t>
      </w:r>
      <w:r>
        <w:rPr/>
        <w:t>network</w:t>
      </w:r>
      <w:r>
        <w:rPr>
          <w:spacing w:val="-1"/>
        </w:rPr>
        <w:t> </w:t>
      </w:r>
      <w:r>
        <w:rPr/>
        <w:t>business</w:t>
      </w:r>
      <w:r>
        <w:rPr>
          <w:spacing w:val="-8"/>
        </w:rPr>
        <w:t> </w:t>
      </w:r>
      <w:r>
        <w:rPr/>
        <w:t>can</w:t>
      </w:r>
      <w:r>
        <w:rPr>
          <w:spacing w:val="-5"/>
        </w:rPr>
        <w:t> </w:t>
      </w:r>
      <w:r>
        <w:rPr/>
        <w:t>charge,</w:t>
      </w:r>
      <w:r>
        <w:rPr>
          <w:spacing w:val="-5"/>
        </w:rPr>
        <w:t> </w:t>
      </w:r>
      <w:r>
        <w:rPr/>
        <w:t>the</w:t>
      </w:r>
      <w:r>
        <w:rPr>
          <w:spacing w:val="-6"/>
        </w:rPr>
        <w:t> </w:t>
      </w:r>
      <w:r>
        <w:rPr/>
        <w:t>AER</w:t>
      </w:r>
      <w:r>
        <w:rPr>
          <w:spacing w:val="-5"/>
        </w:rPr>
        <w:t> </w:t>
      </w:r>
      <w:r>
        <w:rPr/>
        <w:t>reviews</w:t>
      </w:r>
      <w:r>
        <w:rPr>
          <w:spacing w:val="-3"/>
        </w:rPr>
        <w:t> </w:t>
      </w:r>
      <w:r>
        <w:rPr/>
        <w:t>the</w:t>
      </w:r>
      <w:r>
        <w:rPr>
          <w:spacing w:val="-4"/>
        </w:rPr>
        <w:t> </w:t>
      </w:r>
      <w:r>
        <w:rPr>
          <w:spacing w:val="-2"/>
        </w:rPr>
        <w:t>business’s:</w:t>
      </w:r>
    </w:p>
    <w:p>
      <w:pPr>
        <w:pStyle w:val="BodyText"/>
        <w:spacing w:before="9"/>
        <w:rPr>
          <w:sz w:val="26"/>
        </w:rPr>
      </w:pPr>
    </w:p>
    <w:p>
      <w:pPr>
        <w:pStyle w:val="ListParagraph"/>
        <w:numPr>
          <w:ilvl w:val="0"/>
          <w:numId w:val="52"/>
        </w:numPr>
        <w:tabs>
          <w:tab w:pos="590" w:val="left" w:leader="none"/>
        </w:tabs>
        <w:spacing w:line="240" w:lineRule="auto" w:before="0" w:after="0"/>
        <w:ind w:left="590" w:right="0" w:hanging="358"/>
        <w:jc w:val="left"/>
        <w:rPr>
          <w:sz w:val="22"/>
        </w:rPr>
      </w:pPr>
      <w:r>
        <w:rPr>
          <w:sz w:val="22"/>
        </w:rPr>
        <w:t>capital</w:t>
      </w:r>
      <w:r>
        <w:rPr>
          <w:spacing w:val="-8"/>
          <w:sz w:val="22"/>
        </w:rPr>
        <w:t> </w:t>
      </w:r>
      <w:r>
        <w:rPr>
          <w:sz w:val="22"/>
        </w:rPr>
        <w:t>expenditure</w:t>
      </w:r>
      <w:r>
        <w:rPr>
          <w:spacing w:val="-6"/>
          <w:sz w:val="22"/>
        </w:rPr>
        <w:t> </w:t>
      </w:r>
      <w:r>
        <w:rPr>
          <w:sz w:val="22"/>
        </w:rPr>
        <w:t>(the</w:t>
      </w:r>
      <w:r>
        <w:rPr>
          <w:spacing w:val="-11"/>
          <w:sz w:val="22"/>
        </w:rPr>
        <w:t> </w:t>
      </w:r>
      <w:r>
        <w:rPr>
          <w:sz w:val="22"/>
        </w:rPr>
        <w:t>cost</w:t>
      </w:r>
      <w:r>
        <w:rPr>
          <w:spacing w:val="-6"/>
          <w:sz w:val="22"/>
        </w:rPr>
        <w:t> </w:t>
      </w:r>
      <w:r>
        <w:rPr>
          <w:sz w:val="22"/>
        </w:rPr>
        <w:t>of</w:t>
      </w:r>
      <w:r>
        <w:rPr>
          <w:spacing w:val="-5"/>
          <w:sz w:val="22"/>
        </w:rPr>
        <w:t> </w:t>
      </w:r>
      <w:r>
        <w:rPr>
          <w:sz w:val="22"/>
        </w:rPr>
        <w:t>purchasing</w:t>
      </w:r>
      <w:r>
        <w:rPr>
          <w:spacing w:val="-7"/>
          <w:sz w:val="22"/>
        </w:rPr>
        <w:t> </w:t>
      </w:r>
      <w:r>
        <w:rPr>
          <w:sz w:val="22"/>
        </w:rPr>
        <w:t>and</w:t>
      </w:r>
      <w:r>
        <w:rPr>
          <w:spacing w:val="-6"/>
          <w:sz w:val="22"/>
        </w:rPr>
        <w:t> </w:t>
      </w:r>
      <w:r>
        <w:rPr>
          <w:sz w:val="22"/>
        </w:rPr>
        <w:t>installing</w:t>
      </w:r>
      <w:r>
        <w:rPr>
          <w:spacing w:val="-3"/>
          <w:sz w:val="22"/>
        </w:rPr>
        <w:t> </w:t>
      </w:r>
      <w:r>
        <w:rPr>
          <w:sz w:val="22"/>
        </w:rPr>
        <w:t>network</w:t>
      </w:r>
      <w:r>
        <w:rPr>
          <w:spacing w:val="-5"/>
          <w:sz w:val="22"/>
        </w:rPr>
        <w:t> </w:t>
      </w:r>
      <w:r>
        <w:rPr>
          <w:spacing w:val="-2"/>
          <w:sz w:val="22"/>
        </w:rPr>
        <w:t>assets);</w:t>
      </w:r>
    </w:p>
    <w:p>
      <w:pPr>
        <w:pStyle w:val="BodyText"/>
        <w:spacing w:before="7"/>
        <w:rPr>
          <w:sz w:val="26"/>
        </w:rPr>
      </w:pPr>
    </w:p>
    <w:p>
      <w:pPr>
        <w:pStyle w:val="ListParagraph"/>
        <w:numPr>
          <w:ilvl w:val="0"/>
          <w:numId w:val="52"/>
        </w:numPr>
        <w:tabs>
          <w:tab w:pos="590" w:val="left" w:leader="none"/>
        </w:tabs>
        <w:spacing w:line="240" w:lineRule="auto" w:before="0" w:after="0"/>
        <w:ind w:left="590" w:right="0" w:hanging="358"/>
        <w:jc w:val="left"/>
        <w:rPr>
          <w:sz w:val="22"/>
        </w:rPr>
      </w:pPr>
      <w:r>
        <w:rPr>
          <w:sz w:val="22"/>
        </w:rPr>
        <w:t>operating-related</w:t>
      </w:r>
      <w:r>
        <w:rPr>
          <w:spacing w:val="-9"/>
          <w:sz w:val="22"/>
        </w:rPr>
        <w:t> </w:t>
      </w:r>
      <w:r>
        <w:rPr>
          <w:sz w:val="22"/>
        </w:rPr>
        <w:t>expenditure</w:t>
      </w:r>
      <w:r>
        <w:rPr>
          <w:spacing w:val="-8"/>
          <w:sz w:val="22"/>
        </w:rPr>
        <w:t> </w:t>
      </w:r>
      <w:r>
        <w:rPr>
          <w:sz w:val="22"/>
        </w:rPr>
        <w:t>(the</w:t>
      </w:r>
      <w:r>
        <w:rPr>
          <w:spacing w:val="-8"/>
          <w:sz w:val="22"/>
        </w:rPr>
        <w:t> </w:t>
      </w:r>
      <w:r>
        <w:rPr>
          <w:sz w:val="22"/>
        </w:rPr>
        <w:t>cost</w:t>
      </w:r>
      <w:r>
        <w:rPr>
          <w:spacing w:val="-4"/>
          <w:sz w:val="22"/>
        </w:rPr>
        <w:t> </w:t>
      </w:r>
      <w:r>
        <w:rPr>
          <w:sz w:val="22"/>
        </w:rPr>
        <w:t>of</w:t>
      </w:r>
      <w:r>
        <w:rPr>
          <w:spacing w:val="-7"/>
          <w:sz w:val="22"/>
        </w:rPr>
        <w:t> </w:t>
      </w:r>
      <w:r>
        <w:rPr>
          <w:sz w:val="22"/>
        </w:rPr>
        <w:t>running</w:t>
      </w:r>
      <w:r>
        <w:rPr>
          <w:spacing w:val="-8"/>
          <w:sz w:val="22"/>
        </w:rPr>
        <w:t> </w:t>
      </w:r>
      <w:r>
        <w:rPr>
          <w:sz w:val="22"/>
        </w:rPr>
        <w:t>the</w:t>
      </w:r>
      <w:r>
        <w:rPr>
          <w:spacing w:val="-6"/>
          <w:sz w:val="22"/>
        </w:rPr>
        <w:t> </w:t>
      </w:r>
      <w:r>
        <w:rPr>
          <w:sz w:val="22"/>
        </w:rPr>
        <w:t>network</w:t>
      </w:r>
      <w:r>
        <w:rPr>
          <w:spacing w:val="-5"/>
          <w:sz w:val="22"/>
        </w:rPr>
        <w:t> </w:t>
      </w:r>
      <w:r>
        <w:rPr>
          <w:sz w:val="22"/>
        </w:rPr>
        <w:t>and</w:t>
      </w:r>
      <w:r>
        <w:rPr>
          <w:spacing w:val="-8"/>
          <w:sz w:val="22"/>
        </w:rPr>
        <w:t> </w:t>
      </w:r>
      <w:r>
        <w:rPr>
          <w:sz w:val="22"/>
        </w:rPr>
        <w:t>maintaining</w:t>
      </w:r>
      <w:r>
        <w:rPr>
          <w:spacing w:val="-6"/>
          <w:sz w:val="22"/>
        </w:rPr>
        <w:t> </w:t>
      </w:r>
      <w:r>
        <w:rPr>
          <w:sz w:val="22"/>
        </w:rPr>
        <w:t>the</w:t>
      </w:r>
      <w:r>
        <w:rPr>
          <w:spacing w:val="-6"/>
          <w:sz w:val="22"/>
        </w:rPr>
        <w:t> </w:t>
      </w:r>
      <w:r>
        <w:rPr>
          <w:spacing w:val="-2"/>
          <w:sz w:val="22"/>
        </w:rPr>
        <w:t>assets);</w:t>
      </w:r>
    </w:p>
    <w:p>
      <w:pPr>
        <w:pStyle w:val="BodyText"/>
        <w:spacing w:before="5"/>
        <w:rPr>
          <w:sz w:val="26"/>
        </w:rPr>
      </w:pPr>
    </w:p>
    <w:p>
      <w:pPr>
        <w:pStyle w:val="ListParagraph"/>
        <w:numPr>
          <w:ilvl w:val="0"/>
          <w:numId w:val="52"/>
        </w:numPr>
        <w:tabs>
          <w:tab w:pos="590" w:val="left" w:leader="none"/>
        </w:tabs>
        <w:spacing w:line="240" w:lineRule="auto" w:before="0" w:after="0"/>
        <w:ind w:left="590" w:right="0" w:hanging="358"/>
        <w:jc w:val="left"/>
        <w:rPr>
          <w:sz w:val="22"/>
        </w:rPr>
      </w:pPr>
      <w:r>
        <w:rPr>
          <w:sz w:val="22"/>
        </w:rPr>
        <w:t>asset</w:t>
      </w:r>
      <w:r>
        <w:rPr>
          <w:spacing w:val="-5"/>
          <w:sz w:val="22"/>
        </w:rPr>
        <w:t> </w:t>
      </w:r>
      <w:r>
        <w:rPr>
          <w:sz w:val="22"/>
        </w:rPr>
        <w:t>depreciation</w:t>
      </w:r>
      <w:r>
        <w:rPr>
          <w:spacing w:val="-8"/>
          <w:sz w:val="22"/>
        </w:rPr>
        <w:t> </w:t>
      </w:r>
      <w:r>
        <w:rPr>
          <w:sz w:val="22"/>
        </w:rPr>
        <w:t>costs;</w:t>
      </w:r>
      <w:r>
        <w:rPr>
          <w:spacing w:val="-7"/>
          <w:sz w:val="22"/>
        </w:rPr>
        <w:t> </w:t>
      </w:r>
      <w:r>
        <w:rPr>
          <w:spacing w:val="-5"/>
          <w:sz w:val="22"/>
        </w:rPr>
        <w:t>and</w:t>
      </w:r>
    </w:p>
    <w:p>
      <w:pPr>
        <w:pStyle w:val="BodyText"/>
        <w:spacing w:before="7"/>
        <w:rPr>
          <w:sz w:val="26"/>
        </w:rPr>
      </w:pPr>
    </w:p>
    <w:p>
      <w:pPr>
        <w:pStyle w:val="ListParagraph"/>
        <w:numPr>
          <w:ilvl w:val="0"/>
          <w:numId w:val="52"/>
        </w:numPr>
        <w:tabs>
          <w:tab w:pos="590" w:val="left" w:leader="none"/>
        </w:tabs>
        <w:spacing w:line="288" w:lineRule="auto" w:before="1" w:after="0"/>
        <w:ind w:left="590" w:right="389" w:hanging="359"/>
        <w:jc w:val="left"/>
        <w:rPr>
          <w:sz w:val="22"/>
        </w:rPr>
      </w:pPr>
      <w:r>
        <w:rPr>
          <w:sz w:val="22"/>
        </w:rPr>
        <w:t>taxation</w:t>
      </w:r>
      <w:r>
        <w:rPr>
          <w:spacing w:val="-2"/>
          <w:sz w:val="22"/>
        </w:rPr>
        <w:t> </w:t>
      </w:r>
      <w:r>
        <w:rPr>
          <w:sz w:val="22"/>
        </w:rPr>
        <w:t>liabilities</w:t>
      </w:r>
      <w:r>
        <w:rPr>
          <w:spacing w:val="-2"/>
          <w:sz w:val="22"/>
        </w:rPr>
        <w:t> </w:t>
      </w:r>
      <w:r>
        <w:rPr>
          <w:sz w:val="22"/>
        </w:rPr>
        <w:t>(and</w:t>
      </w:r>
      <w:r>
        <w:rPr>
          <w:spacing w:val="-2"/>
          <w:sz w:val="22"/>
        </w:rPr>
        <w:t> </w:t>
      </w:r>
      <w:r>
        <w:rPr>
          <w:sz w:val="22"/>
        </w:rPr>
        <w:t>allows</w:t>
      </w:r>
      <w:r>
        <w:rPr>
          <w:spacing w:val="-1"/>
          <w:sz w:val="22"/>
        </w:rPr>
        <w:t> </w:t>
      </w:r>
      <w:r>
        <w:rPr>
          <w:sz w:val="22"/>
        </w:rPr>
        <w:t>a</w:t>
      </w:r>
      <w:r>
        <w:rPr>
          <w:spacing w:val="-2"/>
          <w:sz w:val="22"/>
        </w:rPr>
        <w:t> </w:t>
      </w:r>
      <w:r>
        <w:rPr>
          <w:sz w:val="22"/>
        </w:rPr>
        <w:t>commercial</w:t>
      </w:r>
      <w:r>
        <w:rPr>
          <w:spacing w:val="-2"/>
          <w:sz w:val="22"/>
        </w:rPr>
        <w:t> </w:t>
      </w:r>
      <w:r>
        <w:rPr>
          <w:sz w:val="22"/>
        </w:rPr>
        <w:t>return</w:t>
      </w:r>
      <w:r>
        <w:rPr>
          <w:spacing w:val="-4"/>
          <w:sz w:val="22"/>
        </w:rPr>
        <w:t> </w:t>
      </w:r>
      <w:r>
        <w:rPr>
          <w:sz w:val="22"/>
        </w:rPr>
        <w:t>on</w:t>
      </w:r>
      <w:r>
        <w:rPr>
          <w:spacing w:val="-2"/>
          <w:sz w:val="22"/>
        </w:rPr>
        <w:t> </w:t>
      </w:r>
      <w:r>
        <w:rPr>
          <w:sz w:val="22"/>
        </w:rPr>
        <w:t>capital),</w:t>
      </w:r>
      <w:r>
        <w:rPr>
          <w:spacing w:val="-3"/>
          <w:sz w:val="22"/>
        </w:rPr>
        <w:t> </w:t>
      </w:r>
      <w:r>
        <w:rPr>
          <w:sz w:val="22"/>
        </w:rPr>
        <w:t>to</w:t>
      </w:r>
      <w:r>
        <w:rPr>
          <w:spacing w:val="-4"/>
          <w:sz w:val="22"/>
        </w:rPr>
        <w:t> </w:t>
      </w:r>
      <w:r>
        <w:rPr>
          <w:sz w:val="22"/>
        </w:rPr>
        <w:t>ensure</w:t>
      </w:r>
      <w:r>
        <w:rPr>
          <w:spacing w:val="-4"/>
          <w:sz w:val="22"/>
        </w:rPr>
        <w:t> </w:t>
      </w:r>
      <w:r>
        <w:rPr>
          <w:sz w:val="22"/>
        </w:rPr>
        <w:t>that</w:t>
      </w:r>
      <w:r>
        <w:rPr>
          <w:spacing w:val="-3"/>
          <w:sz w:val="22"/>
        </w:rPr>
        <w:t> </w:t>
      </w:r>
      <w:r>
        <w:rPr>
          <w:sz w:val="22"/>
        </w:rPr>
        <w:t>the</w:t>
      </w:r>
      <w:r>
        <w:rPr>
          <w:spacing w:val="-2"/>
          <w:sz w:val="22"/>
        </w:rPr>
        <w:t> </w:t>
      </w:r>
      <w:r>
        <w:rPr>
          <w:sz w:val="22"/>
        </w:rPr>
        <w:t>expenditure</w:t>
      </w:r>
      <w:r>
        <w:rPr>
          <w:spacing w:val="-4"/>
          <w:sz w:val="22"/>
        </w:rPr>
        <w:t> </w:t>
      </w:r>
      <w:r>
        <w:rPr>
          <w:sz w:val="22"/>
        </w:rPr>
        <w:t>is prudent and justified.</w:t>
      </w:r>
    </w:p>
    <w:p>
      <w:pPr>
        <w:pStyle w:val="BodyText"/>
        <w:spacing w:before="8"/>
        <w:rPr>
          <w:sz w:val="20"/>
        </w:rPr>
      </w:pPr>
    </w:p>
    <w:p>
      <w:pPr>
        <w:pStyle w:val="BodyText"/>
        <w:spacing w:line="288" w:lineRule="auto"/>
        <w:ind w:left="232" w:right="374"/>
      </w:pPr>
      <w:r>
        <w:rPr/>
        <w:t>The</w:t>
      </w:r>
      <w:r>
        <w:rPr>
          <w:spacing w:val="-4"/>
        </w:rPr>
        <w:t> </w:t>
      </w:r>
      <w:r>
        <w:rPr>
          <w:i/>
        </w:rPr>
        <w:t>National</w:t>
      </w:r>
      <w:r>
        <w:rPr>
          <w:i/>
          <w:spacing w:val="-2"/>
        </w:rPr>
        <w:t> </w:t>
      </w:r>
      <w:r>
        <w:rPr>
          <w:i/>
        </w:rPr>
        <w:t>Electricity</w:t>
      </w:r>
      <w:r>
        <w:rPr>
          <w:i/>
          <w:spacing w:val="-4"/>
        </w:rPr>
        <w:t> </w:t>
      </w:r>
      <w:r>
        <w:rPr>
          <w:i/>
        </w:rPr>
        <w:t>Rules </w:t>
      </w:r>
      <w:r>
        <w:rPr/>
        <w:t>incentivise</w:t>
      </w:r>
      <w:r>
        <w:rPr>
          <w:spacing w:val="-2"/>
        </w:rPr>
        <w:t> </w:t>
      </w:r>
      <w:r>
        <w:rPr/>
        <w:t>network</w:t>
      </w:r>
      <w:r>
        <w:rPr>
          <w:spacing w:val="-1"/>
        </w:rPr>
        <w:t> </w:t>
      </w:r>
      <w:r>
        <w:rPr/>
        <w:t>businesses</w:t>
      </w:r>
      <w:r>
        <w:rPr>
          <w:spacing w:val="-4"/>
        </w:rPr>
        <w:t> </w:t>
      </w:r>
      <w:r>
        <w:rPr/>
        <w:t>to</w:t>
      </w:r>
      <w:r>
        <w:rPr>
          <w:spacing w:val="-4"/>
        </w:rPr>
        <w:t> </w:t>
      </w:r>
      <w:r>
        <w:rPr/>
        <w:t>be</w:t>
      </w:r>
      <w:r>
        <w:rPr>
          <w:spacing w:val="-2"/>
        </w:rPr>
        <w:t> </w:t>
      </w:r>
      <w:r>
        <w:rPr/>
        <w:t>efficient in</w:t>
      </w:r>
      <w:r>
        <w:rPr>
          <w:spacing w:val="-4"/>
        </w:rPr>
        <w:t> </w:t>
      </w:r>
      <w:r>
        <w:rPr/>
        <w:t>their</w:t>
      </w:r>
      <w:r>
        <w:rPr>
          <w:spacing w:val="-3"/>
        </w:rPr>
        <w:t> </w:t>
      </w:r>
      <w:r>
        <w:rPr/>
        <w:t>spending.</w:t>
      </w:r>
      <w:r>
        <w:rPr>
          <w:spacing w:val="40"/>
        </w:rPr>
        <w:t> </w:t>
      </w:r>
      <w:r>
        <w:rPr/>
        <w:t>In accordance with the </w:t>
      </w:r>
      <w:r>
        <w:rPr>
          <w:i/>
        </w:rPr>
        <w:t>National Electricity Rules</w:t>
      </w:r>
      <w:r>
        <w:rPr/>
        <w:t>, an efficiency gain is where actual operating expenditure (opex) incurred by</w:t>
      </w:r>
      <w:r>
        <w:rPr>
          <w:spacing w:val="-1"/>
        </w:rPr>
        <w:t> </w:t>
      </w:r>
      <w:r>
        <w:rPr/>
        <w:t>a network business in a regulatory</w:t>
      </w:r>
      <w:r>
        <w:rPr>
          <w:spacing w:val="-1"/>
        </w:rPr>
        <w:t> </w:t>
      </w:r>
      <w:r>
        <w:rPr/>
        <w:t>control period is less</w:t>
      </w:r>
      <w:r>
        <w:rPr>
          <w:spacing w:val="-1"/>
        </w:rPr>
        <w:t> </w:t>
      </w:r>
      <w:r>
        <w:rPr/>
        <w:t>than</w:t>
      </w:r>
      <w:r>
        <w:rPr>
          <w:spacing w:val="-1"/>
        </w:rPr>
        <w:t> </w:t>
      </w:r>
      <w:r>
        <w:rPr/>
        <w:t>the forecast opex set by the AER for that period. An efficiency loss is where a network business’s actual opex in a regulatory control period is more than the forecast opex set by the AER for that period (AER, 2013).</w:t>
      </w:r>
    </w:p>
    <w:p>
      <w:pPr>
        <w:pStyle w:val="BodyText"/>
        <w:spacing w:before="10"/>
        <w:rPr>
          <w:sz w:val="20"/>
        </w:rPr>
      </w:pPr>
    </w:p>
    <w:p>
      <w:pPr>
        <w:pStyle w:val="BodyText"/>
        <w:spacing w:line="288" w:lineRule="auto"/>
        <w:ind w:left="232" w:right="374"/>
      </w:pPr>
      <w:r>
        <w:rPr/>
        <w:t>Incentive schemes introduced by the AER are designed to give electricity network businesses incentives to spend efficiently and share the benefits of efficiencies with consumers. These incentive</w:t>
      </w:r>
      <w:r>
        <w:rPr>
          <w:spacing w:val="-3"/>
        </w:rPr>
        <w:t> </w:t>
      </w:r>
      <w:r>
        <w:rPr/>
        <w:t>schemes</w:t>
      </w:r>
      <w:r>
        <w:rPr>
          <w:spacing w:val="-3"/>
        </w:rPr>
        <w:t> </w:t>
      </w:r>
      <w:r>
        <w:rPr/>
        <w:t>are</w:t>
      </w:r>
      <w:r>
        <w:rPr>
          <w:spacing w:val="-3"/>
        </w:rPr>
        <w:t> </w:t>
      </w:r>
      <w:r>
        <w:rPr/>
        <w:t>designed</w:t>
      </w:r>
      <w:r>
        <w:rPr>
          <w:spacing w:val="-5"/>
        </w:rPr>
        <w:t> </w:t>
      </w:r>
      <w:r>
        <w:rPr/>
        <w:t>to</w:t>
      </w:r>
      <w:r>
        <w:rPr>
          <w:spacing w:val="-5"/>
        </w:rPr>
        <w:t> </w:t>
      </w:r>
      <w:r>
        <w:rPr/>
        <w:t>reward</w:t>
      </w:r>
      <w:r>
        <w:rPr>
          <w:spacing w:val="-2"/>
        </w:rPr>
        <w:t> </w:t>
      </w:r>
      <w:r>
        <w:rPr/>
        <w:t>network businesses</w:t>
      </w:r>
      <w:r>
        <w:rPr>
          <w:spacing w:val="-5"/>
        </w:rPr>
        <w:t> </w:t>
      </w:r>
      <w:r>
        <w:rPr/>
        <w:t>for</w:t>
      </w:r>
      <w:r>
        <w:rPr>
          <w:spacing w:val="-4"/>
        </w:rPr>
        <w:t> </w:t>
      </w:r>
      <w:r>
        <w:rPr/>
        <w:t>over-performance</w:t>
      </w:r>
      <w:r>
        <w:rPr>
          <w:spacing w:val="-5"/>
        </w:rPr>
        <w:t> </w:t>
      </w:r>
      <w:r>
        <w:rPr/>
        <w:t>or</w:t>
      </w:r>
      <w:r>
        <w:rPr>
          <w:spacing w:val="-4"/>
        </w:rPr>
        <w:t> </w:t>
      </w:r>
      <w:r>
        <w:rPr/>
        <w:t>penalise</w:t>
      </w:r>
    </w:p>
    <w:p>
      <w:pPr>
        <w:spacing w:after="0" w:line="288" w:lineRule="auto"/>
        <w:sectPr>
          <w:pgSz w:w="11910" w:h="16850"/>
          <w:pgMar w:header="220" w:footer="678" w:top="420" w:bottom="860" w:left="900" w:right="840"/>
        </w:sectPr>
      </w:pPr>
    </w:p>
    <w:p>
      <w:pPr>
        <w:pStyle w:val="BodyText"/>
        <w:rPr>
          <w:sz w:val="20"/>
        </w:rPr>
      </w:pPr>
    </w:p>
    <w:p>
      <w:pPr>
        <w:pStyle w:val="BodyText"/>
        <w:spacing w:before="2"/>
        <w:rPr>
          <w:sz w:val="19"/>
        </w:rPr>
      </w:pPr>
    </w:p>
    <w:p>
      <w:pPr>
        <w:pStyle w:val="BodyText"/>
        <w:spacing w:line="288" w:lineRule="auto" w:before="94"/>
        <w:ind w:left="232" w:right="374"/>
      </w:pPr>
      <w:r>
        <w:rPr/>
        <w:t>them</w:t>
      </w:r>
      <w:r>
        <w:rPr>
          <w:spacing w:val="-7"/>
        </w:rPr>
        <w:t> </w:t>
      </w:r>
      <w:r>
        <w:rPr/>
        <w:t>for</w:t>
      </w:r>
      <w:r>
        <w:rPr>
          <w:spacing w:val="-3"/>
        </w:rPr>
        <w:t> </w:t>
      </w:r>
      <w:r>
        <w:rPr/>
        <w:t>under-performance,</w:t>
      </w:r>
      <w:r>
        <w:rPr>
          <w:spacing w:val="-2"/>
        </w:rPr>
        <w:t> </w:t>
      </w:r>
      <w:r>
        <w:rPr/>
        <w:t>as</w:t>
      </w:r>
      <w:r>
        <w:rPr>
          <w:spacing w:val="-7"/>
        </w:rPr>
        <w:t> </w:t>
      </w:r>
      <w:r>
        <w:rPr/>
        <w:t>measured</w:t>
      </w:r>
      <w:r>
        <w:rPr>
          <w:spacing w:val="-6"/>
        </w:rPr>
        <w:t> </w:t>
      </w:r>
      <w:r>
        <w:rPr/>
        <w:t>against</w:t>
      </w:r>
      <w:r>
        <w:rPr>
          <w:spacing w:val="-2"/>
        </w:rPr>
        <w:t> </w:t>
      </w:r>
      <w:r>
        <w:rPr/>
        <w:t>predefined</w:t>
      </w:r>
      <w:r>
        <w:rPr>
          <w:spacing w:val="-6"/>
        </w:rPr>
        <w:t> </w:t>
      </w:r>
      <w:r>
        <w:rPr/>
        <w:t>benchmarks</w:t>
      </w:r>
      <w:r>
        <w:rPr>
          <w:spacing w:val="-3"/>
        </w:rPr>
        <w:t> </w:t>
      </w:r>
      <w:r>
        <w:rPr/>
        <w:t>of</w:t>
      </w:r>
      <w:r>
        <w:rPr>
          <w:spacing w:val="-2"/>
        </w:rPr>
        <w:t> </w:t>
      </w:r>
      <w:r>
        <w:rPr/>
        <w:t>reliability</w:t>
      </w:r>
      <w:r>
        <w:rPr>
          <w:spacing w:val="-6"/>
        </w:rPr>
        <w:t> </w:t>
      </w:r>
      <w:r>
        <w:rPr/>
        <w:t>and </w:t>
      </w:r>
      <w:r>
        <w:rPr>
          <w:spacing w:val="-2"/>
        </w:rPr>
        <w:t>efficiency.</w:t>
      </w:r>
    </w:p>
    <w:p>
      <w:pPr>
        <w:pStyle w:val="BodyText"/>
        <w:spacing w:before="10"/>
        <w:rPr>
          <w:sz w:val="20"/>
        </w:rPr>
      </w:pPr>
    </w:p>
    <w:p>
      <w:pPr>
        <w:pStyle w:val="BodyText"/>
        <w:spacing w:line="288" w:lineRule="auto" w:before="1"/>
        <w:ind w:left="232" w:right="318"/>
      </w:pPr>
      <w:r>
        <w:rPr/>
        <w:t>The AER uses the actual opex a business spends in one year of the regulatory period to forecast</w:t>
      </w:r>
      <w:r>
        <w:rPr/>
        <w:t> its opex for the next regulatory period. This is referred to as the ‘base year’. Under the Efficiency Benefit Sharing Scheme (EBSS), network businesses are allowed to retain opex underspends for six years regardless of the year in which they underspend. This decreases the incentive to</w:t>
      </w:r>
      <w:r>
        <w:rPr>
          <w:spacing w:val="40"/>
        </w:rPr>
        <w:t> </w:t>
      </w:r>
      <w:r>
        <w:rPr/>
        <w:t>increase</w:t>
      </w:r>
      <w:r>
        <w:rPr>
          <w:spacing w:val="-2"/>
        </w:rPr>
        <w:t> </w:t>
      </w:r>
      <w:r>
        <w:rPr/>
        <w:t>opex</w:t>
      </w:r>
      <w:r>
        <w:rPr>
          <w:spacing w:val="-4"/>
        </w:rPr>
        <w:t> </w:t>
      </w:r>
      <w:r>
        <w:rPr/>
        <w:t>in</w:t>
      </w:r>
      <w:r>
        <w:rPr>
          <w:spacing w:val="-2"/>
        </w:rPr>
        <w:t> </w:t>
      </w:r>
      <w:r>
        <w:rPr/>
        <w:t>the</w:t>
      </w:r>
      <w:r>
        <w:rPr>
          <w:spacing w:val="-2"/>
        </w:rPr>
        <w:t> </w:t>
      </w:r>
      <w:r>
        <w:rPr/>
        <w:t>base</w:t>
      </w:r>
      <w:r>
        <w:rPr>
          <w:spacing w:val="-2"/>
        </w:rPr>
        <w:t> </w:t>
      </w:r>
      <w:r>
        <w:rPr/>
        <w:t>year,</w:t>
      </w:r>
      <w:r>
        <w:rPr>
          <w:spacing w:val="-3"/>
        </w:rPr>
        <w:t> </w:t>
      </w:r>
      <w:r>
        <w:rPr/>
        <w:t>meaning consumers</w:t>
      </w:r>
      <w:r>
        <w:rPr>
          <w:spacing w:val="-3"/>
        </w:rPr>
        <w:t> </w:t>
      </w:r>
      <w:r>
        <w:rPr/>
        <w:t>then</w:t>
      </w:r>
      <w:r>
        <w:rPr>
          <w:spacing w:val="-2"/>
        </w:rPr>
        <w:t> </w:t>
      </w:r>
      <w:r>
        <w:rPr/>
        <w:t>benefit</w:t>
      </w:r>
      <w:r>
        <w:rPr>
          <w:spacing w:val="-5"/>
        </w:rPr>
        <w:t> </w:t>
      </w:r>
      <w:r>
        <w:rPr/>
        <w:t>from</w:t>
      </w:r>
      <w:r>
        <w:rPr>
          <w:spacing w:val="-3"/>
        </w:rPr>
        <w:t> </w:t>
      </w:r>
      <w:r>
        <w:rPr/>
        <w:t>lower</w:t>
      </w:r>
      <w:r>
        <w:rPr>
          <w:spacing w:val="-3"/>
        </w:rPr>
        <w:t> </w:t>
      </w:r>
      <w:r>
        <w:rPr/>
        <w:t>forecast opex</w:t>
      </w:r>
      <w:r>
        <w:rPr>
          <w:spacing w:val="-4"/>
        </w:rPr>
        <w:t> </w:t>
      </w:r>
      <w:r>
        <w:rPr/>
        <w:t>in</w:t>
      </w:r>
      <w:r>
        <w:rPr>
          <w:spacing w:val="-4"/>
        </w:rPr>
        <w:t> </w:t>
      </w:r>
      <w:r>
        <w:rPr/>
        <w:t>future regulatory periods (AER, 2013).</w:t>
      </w:r>
    </w:p>
    <w:p>
      <w:pPr>
        <w:pStyle w:val="BodyText"/>
        <w:spacing w:before="10"/>
        <w:rPr>
          <w:sz w:val="20"/>
        </w:rPr>
      </w:pPr>
    </w:p>
    <w:p>
      <w:pPr>
        <w:pStyle w:val="BodyText"/>
        <w:spacing w:line="288" w:lineRule="auto"/>
        <w:ind w:left="232" w:right="374"/>
      </w:pPr>
      <w:r>
        <w:rPr/>
        <w:t>The Capital Expenditure Sharing Scheme (CESS) provides financial rewards for network businesses</w:t>
      </w:r>
      <w:r>
        <w:rPr>
          <w:spacing w:val="-3"/>
        </w:rPr>
        <w:t> </w:t>
      </w:r>
      <w:r>
        <w:rPr/>
        <w:t>whose</w:t>
      </w:r>
      <w:r>
        <w:rPr>
          <w:spacing w:val="-3"/>
        </w:rPr>
        <w:t> </w:t>
      </w:r>
      <w:r>
        <w:rPr/>
        <w:t>capital</w:t>
      </w:r>
      <w:r>
        <w:rPr>
          <w:spacing w:val="-3"/>
        </w:rPr>
        <w:t> </w:t>
      </w:r>
      <w:r>
        <w:rPr/>
        <w:t>expenditure</w:t>
      </w:r>
      <w:r>
        <w:rPr>
          <w:spacing w:val="-2"/>
        </w:rPr>
        <w:t> </w:t>
      </w:r>
      <w:r>
        <w:rPr/>
        <w:t>(capex)</w:t>
      </w:r>
      <w:r>
        <w:rPr>
          <w:spacing w:val="-2"/>
        </w:rPr>
        <w:t> </w:t>
      </w:r>
      <w:r>
        <w:rPr/>
        <w:t>becomes</w:t>
      </w:r>
      <w:r>
        <w:rPr>
          <w:spacing w:val="-5"/>
        </w:rPr>
        <w:t> </w:t>
      </w:r>
      <w:r>
        <w:rPr/>
        <w:t>more</w:t>
      </w:r>
      <w:r>
        <w:rPr>
          <w:spacing w:val="-3"/>
        </w:rPr>
        <w:t> </w:t>
      </w:r>
      <w:r>
        <w:rPr/>
        <w:t>efficient,</w:t>
      </w:r>
      <w:r>
        <w:rPr>
          <w:spacing w:val="-1"/>
        </w:rPr>
        <w:t> </w:t>
      </w:r>
      <w:r>
        <w:rPr/>
        <w:t>and</w:t>
      </w:r>
      <w:r>
        <w:rPr>
          <w:spacing w:val="-5"/>
        </w:rPr>
        <w:t> </w:t>
      </w:r>
      <w:r>
        <w:rPr/>
        <w:t>financial</w:t>
      </w:r>
      <w:r>
        <w:rPr>
          <w:spacing w:val="-4"/>
        </w:rPr>
        <w:t> </w:t>
      </w:r>
      <w:r>
        <w:rPr/>
        <w:t>penalties</w:t>
      </w:r>
      <w:r>
        <w:rPr>
          <w:spacing w:val="-5"/>
        </w:rPr>
        <w:t> </w:t>
      </w:r>
      <w:r>
        <w:rPr/>
        <w:t>for those that become less efficient. It reduces the incentive to spend less early on, by applying the same reward for saving and penalty for loss regardless of the year it occurs (AER, 2013).</w:t>
      </w:r>
    </w:p>
    <w:p>
      <w:pPr>
        <w:pStyle w:val="BodyText"/>
        <w:rPr>
          <w:sz w:val="24"/>
        </w:rPr>
      </w:pPr>
    </w:p>
    <w:p>
      <w:pPr>
        <w:pStyle w:val="Heading6"/>
        <w:spacing w:before="145"/>
        <w:ind w:left="232"/>
      </w:pPr>
      <w:r>
        <w:rPr>
          <w:spacing w:val="-5"/>
        </w:rPr>
        <w:t>Gas</w:t>
      </w:r>
    </w:p>
    <w:p>
      <w:pPr>
        <w:pStyle w:val="BodyText"/>
        <w:spacing w:line="288" w:lineRule="auto" w:before="175"/>
        <w:ind w:left="232" w:right="374"/>
      </w:pPr>
      <w:r>
        <w:rPr/>
        <w:t>The</w:t>
      </w:r>
      <w:r>
        <w:rPr>
          <w:spacing w:val="-4"/>
        </w:rPr>
        <w:t> </w:t>
      </w:r>
      <w:r>
        <w:rPr>
          <w:i/>
        </w:rPr>
        <w:t>National</w:t>
      </w:r>
      <w:r>
        <w:rPr>
          <w:i/>
          <w:spacing w:val="-2"/>
        </w:rPr>
        <w:t> </w:t>
      </w:r>
      <w:r>
        <w:rPr>
          <w:i/>
        </w:rPr>
        <w:t>Gas</w:t>
      </w:r>
      <w:r>
        <w:rPr>
          <w:i/>
          <w:spacing w:val="-1"/>
        </w:rPr>
        <w:t> </w:t>
      </w:r>
      <w:r>
        <w:rPr>
          <w:i/>
        </w:rPr>
        <w:t>Law</w:t>
      </w:r>
      <w:r>
        <w:rPr>
          <w:i/>
          <w:spacing w:val="-2"/>
        </w:rPr>
        <w:t> </w:t>
      </w:r>
      <w:r>
        <w:rPr/>
        <w:t>and</w:t>
      </w:r>
      <w:r>
        <w:rPr>
          <w:spacing w:val="-2"/>
        </w:rPr>
        <w:t> </w:t>
      </w:r>
      <w:r>
        <w:rPr>
          <w:i/>
        </w:rPr>
        <w:t>National</w:t>
      </w:r>
      <w:r>
        <w:rPr>
          <w:i/>
          <w:spacing w:val="-2"/>
        </w:rPr>
        <w:t> </w:t>
      </w:r>
      <w:r>
        <w:rPr>
          <w:i/>
        </w:rPr>
        <w:t>Gas</w:t>
      </w:r>
      <w:r>
        <w:rPr>
          <w:i/>
          <w:spacing w:val="-1"/>
        </w:rPr>
        <w:t> </w:t>
      </w:r>
      <w:r>
        <w:rPr>
          <w:i/>
        </w:rPr>
        <w:t>Rules </w:t>
      </w:r>
      <w:r>
        <w:rPr/>
        <w:t>provide</w:t>
      </w:r>
      <w:r>
        <w:rPr>
          <w:spacing w:val="-2"/>
        </w:rPr>
        <w:t> </w:t>
      </w:r>
      <w:r>
        <w:rPr/>
        <w:t>the</w:t>
      </w:r>
      <w:r>
        <w:rPr>
          <w:spacing w:val="-2"/>
        </w:rPr>
        <w:t> </w:t>
      </w:r>
      <w:r>
        <w:rPr/>
        <w:t>regulatory</w:t>
      </w:r>
      <w:r>
        <w:rPr>
          <w:spacing w:val="-4"/>
        </w:rPr>
        <w:t> </w:t>
      </w:r>
      <w:r>
        <w:rPr/>
        <w:t>framework</w:t>
      </w:r>
      <w:r>
        <w:rPr>
          <w:spacing w:val="-3"/>
        </w:rPr>
        <w:t> </w:t>
      </w:r>
      <w:r>
        <w:rPr/>
        <w:t>governing</w:t>
      </w:r>
      <w:r>
        <w:rPr>
          <w:spacing w:val="-4"/>
        </w:rPr>
        <w:t> </w:t>
      </w:r>
      <w:r>
        <w:rPr/>
        <w:t>gas networks and set out a ‘coverage’ process, which determines whether a</w:t>
      </w:r>
      <w:r>
        <w:rPr>
          <w:spacing w:val="-2"/>
        </w:rPr>
        <w:t> </w:t>
      </w:r>
      <w:r>
        <w:rPr/>
        <w:t>gas pipeline should be subject to a mandated third-party access arrangement and in what form. Pipelines that are ‘covered’</w:t>
      </w:r>
      <w:r>
        <w:rPr>
          <w:spacing w:val="-3"/>
        </w:rPr>
        <w:t> </w:t>
      </w:r>
      <w:r>
        <w:rPr/>
        <w:t>(regulated)</w:t>
      </w:r>
      <w:r>
        <w:rPr>
          <w:spacing w:val="-3"/>
        </w:rPr>
        <w:t> </w:t>
      </w:r>
      <w:r>
        <w:rPr/>
        <w:t>are</w:t>
      </w:r>
      <w:r>
        <w:rPr>
          <w:spacing w:val="-6"/>
        </w:rPr>
        <w:t> </w:t>
      </w:r>
      <w:r>
        <w:rPr/>
        <w:t>subject</w:t>
      </w:r>
      <w:r>
        <w:rPr>
          <w:spacing w:val="-3"/>
        </w:rPr>
        <w:t> </w:t>
      </w:r>
      <w:r>
        <w:rPr/>
        <w:t>to</w:t>
      </w:r>
      <w:r>
        <w:rPr>
          <w:spacing w:val="-2"/>
        </w:rPr>
        <w:t> </w:t>
      </w:r>
      <w:r>
        <w:rPr/>
        <w:t>set-pricing</w:t>
      </w:r>
      <w:r>
        <w:rPr>
          <w:spacing w:val="-2"/>
        </w:rPr>
        <w:t> </w:t>
      </w:r>
      <w:r>
        <w:rPr/>
        <w:t>regimes,</w:t>
      </w:r>
      <w:r>
        <w:rPr>
          <w:spacing w:val="-3"/>
        </w:rPr>
        <w:t> </w:t>
      </w:r>
      <w:r>
        <w:rPr/>
        <w:t>determined</w:t>
      </w:r>
      <w:r>
        <w:rPr>
          <w:spacing w:val="-2"/>
        </w:rPr>
        <w:t> </w:t>
      </w:r>
      <w:r>
        <w:rPr/>
        <w:t>by</w:t>
      </w:r>
      <w:r>
        <w:rPr>
          <w:spacing w:val="-4"/>
        </w:rPr>
        <w:t> </w:t>
      </w:r>
      <w:r>
        <w:rPr/>
        <w:t>the</w:t>
      </w:r>
      <w:r>
        <w:rPr>
          <w:spacing w:val="-7"/>
        </w:rPr>
        <w:t> </w:t>
      </w:r>
      <w:r>
        <w:rPr/>
        <w:t>AER. Various</w:t>
      </w:r>
      <w:r>
        <w:rPr>
          <w:spacing w:val="-4"/>
        </w:rPr>
        <w:t> </w:t>
      </w:r>
      <w:r>
        <w:rPr/>
        <w:t>tiers</w:t>
      </w:r>
      <w:r>
        <w:rPr>
          <w:spacing w:val="-3"/>
        </w:rPr>
        <w:t> </w:t>
      </w:r>
      <w:r>
        <w:rPr/>
        <w:t>of regulation apply, based on competition and significance criteria.</w:t>
      </w:r>
    </w:p>
    <w:p>
      <w:pPr>
        <w:pStyle w:val="BodyText"/>
        <w:spacing w:before="8"/>
        <w:rPr>
          <w:sz w:val="20"/>
        </w:rPr>
      </w:pPr>
    </w:p>
    <w:p>
      <w:pPr>
        <w:pStyle w:val="BodyText"/>
        <w:spacing w:line="288" w:lineRule="auto" w:before="1"/>
        <w:ind w:left="232" w:right="374"/>
      </w:pPr>
      <w:r>
        <w:rPr>
          <w:b/>
        </w:rPr>
        <w:t>Full regulation </w:t>
      </w:r>
      <w:r>
        <w:rPr/>
        <w:t>requires a pipeline provider to periodically (typically every five years) submit an access arrangement to the AER for approval. An access arrangement sets out the terms and conditions under which third parties can use a pipeline. It sets out the tariffs, and terms and conditions for pipeline users, including charges to retailers for transmission and distribution services.</w:t>
      </w:r>
      <w:r>
        <w:rPr>
          <w:spacing w:val="-7"/>
        </w:rPr>
        <w:t> </w:t>
      </w:r>
      <w:r>
        <w:rPr/>
        <w:t>A</w:t>
      </w:r>
      <w:r>
        <w:rPr>
          <w:spacing w:val="-4"/>
        </w:rPr>
        <w:t> </w:t>
      </w:r>
      <w:r>
        <w:rPr/>
        <w:t>business</w:t>
      </w:r>
      <w:r>
        <w:rPr>
          <w:spacing w:val="-7"/>
        </w:rPr>
        <w:t> </w:t>
      </w:r>
      <w:r>
        <w:rPr/>
        <w:t>can</w:t>
      </w:r>
      <w:r>
        <w:rPr>
          <w:spacing w:val="-7"/>
        </w:rPr>
        <w:t> </w:t>
      </w:r>
      <w:r>
        <w:rPr/>
        <w:t>also</w:t>
      </w:r>
      <w:r>
        <w:rPr>
          <w:spacing w:val="-5"/>
        </w:rPr>
        <w:t> </w:t>
      </w:r>
      <w:r>
        <w:rPr/>
        <w:t>submit</w:t>
      </w:r>
      <w:r>
        <w:rPr>
          <w:spacing w:val="-3"/>
        </w:rPr>
        <w:t> </w:t>
      </w:r>
      <w:r>
        <w:rPr/>
        <w:t>variations</w:t>
      </w:r>
      <w:r>
        <w:rPr>
          <w:spacing w:val="-7"/>
        </w:rPr>
        <w:t> </w:t>
      </w:r>
      <w:r>
        <w:rPr/>
        <w:t>to</w:t>
      </w:r>
      <w:r>
        <w:rPr>
          <w:spacing w:val="-7"/>
        </w:rPr>
        <w:t> </w:t>
      </w:r>
      <w:r>
        <w:rPr/>
        <w:t>its</w:t>
      </w:r>
      <w:r>
        <w:rPr>
          <w:spacing w:val="-4"/>
        </w:rPr>
        <w:t> </w:t>
      </w:r>
      <w:r>
        <w:rPr/>
        <w:t>approved</w:t>
      </w:r>
      <w:r>
        <w:rPr>
          <w:spacing w:val="-5"/>
        </w:rPr>
        <w:t> </w:t>
      </w:r>
      <w:r>
        <w:rPr/>
        <w:t>access</w:t>
      </w:r>
      <w:r>
        <w:rPr>
          <w:spacing w:val="-6"/>
        </w:rPr>
        <w:t> </w:t>
      </w:r>
      <w:r>
        <w:rPr/>
        <w:t>arrangement</w:t>
      </w:r>
      <w:r>
        <w:rPr>
          <w:spacing w:val="-1"/>
        </w:rPr>
        <w:t> </w:t>
      </w:r>
      <w:r>
        <w:rPr/>
        <w:t>(AER,</w:t>
      </w:r>
      <w:r>
        <w:rPr>
          <w:spacing w:val="-5"/>
        </w:rPr>
        <w:t> </w:t>
      </w:r>
      <w:r>
        <w:rPr>
          <w:spacing w:val="-2"/>
        </w:rPr>
        <w:t>2015).</w:t>
      </w:r>
    </w:p>
    <w:p>
      <w:pPr>
        <w:pStyle w:val="BodyText"/>
        <w:spacing w:before="9"/>
        <w:rPr>
          <w:sz w:val="20"/>
        </w:rPr>
      </w:pPr>
    </w:p>
    <w:p>
      <w:pPr>
        <w:pStyle w:val="BodyText"/>
        <w:spacing w:line="288" w:lineRule="auto"/>
        <w:ind w:left="232" w:right="408"/>
      </w:pPr>
      <w:r>
        <w:rPr/>
        <w:t>The</w:t>
      </w:r>
      <w:r>
        <w:rPr>
          <w:spacing w:val="-4"/>
        </w:rPr>
        <w:t> </w:t>
      </w:r>
      <w:r>
        <w:rPr/>
        <w:t>AER</w:t>
      </w:r>
      <w:r>
        <w:rPr>
          <w:spacing w:val="-2"/>
        </w:rPr>
        <w:t> </w:t>
      </w:r>
      <w:r>
        <w:rPr/>
        <w:t>assesses</w:t>
      </w:r>
      <w:r>
        <w:rPr>
          <w:spacing w:val="-6"/>
        </w:rPr>
        <w:t> </w:t>
      </w:r>
      <w:r>
        <w:rPr/>
        <w:t>the</w:t>
      </w:r>
      <w:r>
        <w:rPr>
          <w:spacing w:val="-4"/>
        </w:rPr>
        <w:t> </w:t>
      </w:r>
      <w:r>
        <w:rPr/>
        <w:t>revenues</w:t>
      </w:r>
      <w:r>
        <w:rPr>
          <w:spacing w:val="-1"/>
        </w:rPr>
        <w:t> </w:t>
      </w:r>
      <w:r>
        <w:rPr/>
        <w:t>needed</w:t>
      </w:r>
      <w:r>
        <w:rPr>
          <w:spacing w:val="-2"/>
        </w:rPr>
        <w:t> </w:t>
      </w:r>
      <w:r>
        <w:rPr/>
        <w:t>to</w:t>
      </w:r>
      <w:r>
        <w:rPr>
          <w:spacing w:val="-4"/>
        </w:rPr>
        <w:t> </w:t>
      </w:r>
      <w:r>
        <w:rPr/>
        <w:t>cover</w:t>
      </w:r>
      <w:r>
        <w:rPr>
          <w:spacing w:val="-1"/>
        </w:rPr>
        <w:t> </w:t>
      </w:r>
      <w:r>
        <w:rPr/>
        <w:t>efficient</w:t>
      </w:r>
      <w:r>
        <w:rPr>
          <w:spacing w:val="-3"/>
        </w:rPr>
        <w:t> </w:t>
      </w:r>
      <w:r>
        <w:rPr/>
        <w:t>costs</w:t>
      </w:r>
      <w:r>
        <w:rPr>
          <w:spacing w:val="-1"/>
        </w:rPr>
        <w:t> </w:t>
      </w:r>
      <w:r>
        <w:rPr/>
        <w:t>and</w:t>
      </w:r>
      <w:r>
        <w:rPr>
          <w:spacing w:val="-4"/>
        </w:rPr>
        <w:t> </w:t>
      </w:r>
      <w:r>
        <w:rPr/>
        <w:t>provide</w:t>
      </w:r>
      <w:r>
        <w:rPr>
          <w:spacing w:val="-2"/>
        </w:rPr>
        <w:t> </w:t>
      </w:r>
      <w:r>
        <w:rPr/>
        <w:t>a</w:t>
      </w:r>
      <w:r>
        <w:rPr>
          <w:spacing w:val="-2"/>
        </w:rPr>
        <w:t> </w:t>
      </w:r>
      <w:r>
        <w:rPr/>
        <w:t>commercial</w:t>
      </w:r>
      <w:r>
        <w:rPr>
          <w:spacing w:val="-2"/>
        </w:rPr>
        <w:t> </w:t>
      </w:r>
      <w:r>
        <w:rPr/>
        <w:t>return on capital, then derives reference tariffs for the pipeline.</w:t>
      </w:r>
    </w:p>
    <w:p>
      <w:pPr>
        <w:pStyle w:val="BodyText"/>
        <w:spacing w:before="10"/>
        <w:rPr>
          <w:sz w:val="20"/>
        </w:rPr>
      </w:pPr>
    </w:p>
    <w:p>
      <w:pPr>
        <w:pStyle w:val="BodyText"/>
        <w:spacing w:line="288" w:lineRule="auto"/>
        <w:ind w:left="232"/>
      </w:pPr>
      <w:r>
        <w:rPr/>
        <w:t>A more limited access arrangement can be lodged for </w:t>
      </w:r>
      <w:r>
        <w:rPr>
          <w:b/>
        </w:rPr>
        <w:t>light regulation </w:t>
      </w:r>
      <w:r>
        <w:rPr/>
        <w:t>pipelines. Under light regulation,</w:t>
      </w:r>
      <w:r>
        <w:rPr>
          <w:spacing w:val="-4"/>
        </w:rPr>
        <w:t> </w:t>
      </w:r>
      <w:r>
        <w:rPr/>
        <w:t>the</w:t>
      </w:r>
      <w:r>
        <w:rPr>
          <w:spacing w:val="-5"/>
        </w:rPr>
        <w:t> </w:t>
      </w:r>
      <w:r>
        <w:rPr/>
        <w:t>pipeline</w:t>
      </w:r>
      <w:r>
        <w:rPr>
          <w:spacing w:val="-3"/>
        </w:rPr>
        <w:t> </w:t>
      </w:r>
      <w:r>
        <w:rPr/>
        <w:t>provider</w:t>
      </w:r>
      <w:r>
        <w:rPr>
          <w:spacing w:val="-2"/>
        </w:rPr>
        <w:t> </w:t>
      </w:r>
      <w:r>
        <w:rPr/>
        <w:t>determines</w:t>
      </w:r>
      <w:r>
        <w:rPr>
          <w:spacing w:val="-2"/>
        </w:rPr>
        <w:t> </w:t>
      </w:r>
      <w:r>
        <w:rPr/>
        <w:t>its</w:t>
      </w:r>
      <w:r>
        <w:rPr>
          <w:spacing w:val="-2"/>
        </w:rPr>
        <w:t> </w:t>
      </w:r>
      <w:r>
        <w:rPr/>
        <w:t>own</w:t>
      </w:r>
      <w:r>
        <w:rPr>
          <w:spacing w:val="-3"/>
        </w:rPr>
        <w:t> </w:t>
      </w:r>
      <w:r>
        <w:rPr/>
        <w:t>tariffs.</w:t>
      </w:r>
      <w:r>
        <w:rPr>
          <w:spacing w:val="-4"/>
        </w:rPr>
        <w:t> </w:t>
      </w:r>
      <w:r>
        <w:rPr/>
        <w:t>The</w:t>
      </w:r>
      <w:r>
        <w:rPr>
          <w:spacing w:val="-3"/>
        </w:rPr>
        <w:t> </w:t>
      </w:r>
      <w:r>
        <w:rPr/>
        <w:t>AER</w:t>
      </w:r>
      <w:r>
        <w:rPr>
          <w:spacing w:val="-3"/>
        </w:rPr>
        <w:t> </w:t>
      </w:r>
      <w:r>
        <w:rPr/>
        <w:t>decides</w:t>
      </w:r>
      <w:r>
        <w:rPr>
          <w:spacing w:val="-2"/>
        </w:rPr>
        <w:t> </w:t>
      </w:r>
      <w:r>
        <w:rPr/>
        <w:t>whether</w:t>
      </w:r>
      <w:r>
        <w:rPr>
          <w:spacing w:val="-4"/>
        </w:rPr>
        <w:t> </w:t>
      </w:r>
      <w:r>
        <w:rPr/>
        <w:t>to</w:t>
      </w:r>
      <w:r>
        <w:rPr>
          <w:spacing w:val="-3"/>
        </w:rPr>
        <w:t> </w:t>
      </w:r>
      <w:r>
        <w:rPr/>
        <w:t>approve</w:t>
      </w:r>
      <w:r>
        <w:rPr>
          <w:spacing w:val="-3"/>
        </w:rPr>
        <w:t> </w:t>
      </w:r>
      <w:r>
        <w:rPr/>
        <w:t>a proposed access arrangement and may request amendments.</w:t>
      </w:r>
    </w:p>
    <w:p>
      <w:pPr>
        <w:pStyle w:val="BodyText"/>
        <w:rPr>
          <w:sz w:val="21"/>
        </w:rPr>
      </w:pPr>
    </w:p>
    <w:p>
      <w:pPr>
        <w:pStyle w:val="BodyText"/>
        <w:spacing w:line="288" w:lineRule="auto"/>
        <w:ind w:left="232" w:right="374"/>
      </w:pPr>
      <w:r>
        <w:rPr/>
        <w:t>Part 8 of the </w:t>
      </w:r>
      <w:r>
        <w:rPr>
          <w:i/>
        </w:rPr>
        <w:t>National Gas Rules </w:t>
      </w:r>
      <w:r>
        <w:rPr/>
        <w:t>provide that an access arrangement may include one or more incentive mechanisms to further encourage efficiency in the provision of services by the service provider. Under</w:t>
      </w:r>
      <w:r>
        <w:rPr>
          <w:spacing w:val="-3"/>
        </w:rPr>
        <w:t> </w:t>
      </w:r>
      <w:r>
        <w:rPr/>
        <w:t>the</w:t>
      </w:r>
      <w:r>
        <w:rPr>
          <w:spacing w:val="-3"/>
        </w:rPr>
        <w:t> </w:t>
      </w:r>
      <w:r>
        <w:rPr>
          <w:i/>
        </w:rPr>
        <w:t>National</w:t>
      </w:r>
      <w:r>
        <w:rPr>
          <w:i/>
          <w:spacing w:val="-3"/>
        </w:rPr>
        <w:t> </w:t>
      </w:r>
      <w:r>
        <w:rPr>
          <w:i/>
        </w:rPr>
        <w:t>Gas</w:t>
      </w:r>
      <w:r>
        <w:rPr>
          <w:i/>
          <w:spacing w:val="-4"/>
        </w:rPr>
        <w:t> </w:t>
      </w:r>
      <w:r>
        <w:rPr>
          <w:i/>
        </w:rPr>
        <w:t>Rules</w:t>
      </w:r>
      <w:r>
        <w:rPr/>
        <w:t>,</w:t>
      </w:r>
      <w:r>
        <w:rPr>
          <w:spacing w:val="-3"/>
        </w:rPr>
        <w:t> </w:t>
      </w:r>
      <w:r>
        <w:rPr/>
        <w:t>the</w:t>
      </w:r>
      <w:r>
        <w:rPr>
          <w:spacing w:val="-2"/>
        </w:rPr>
        <w:t> </w:t>
      </w:r>
      <w:r>
        <w:rPr/>
        <w:t>AER</w:t>
      </w:r>
      <w:r>
        <w:rPr>
          <w:spacing w:val="-5"/>
        </w:rPr>
        <w:t> </w:t>
      </w:r>
      <w:r>
        <w:rPr/>
        <w:t>has</w:t>
      </w:r>
      <w:r>
        <w:rPr>
          <w:spacing w:val="-4"/>
        </w:rPr>
        <w:t> </w:t>
      </w:r>
      <w:r>
        <w:rPr/>
        <w:t>full</w:t>
      </w:r>
      <w:r>
        <w:rPr>
          <w:spacing w:val="-2"/>
        </w:rPr>
        <w:t> </w:t>
      </w:r>
      <w:r>
        <w:rPr/>
        <w:t>discretion</w:t>
      </w:r>
      <w:r>
        <w:rPr>
          <w:spacing w:val="-2"/>
        </w:rPr>
        <w:t> </w:t>
      </w:r>
      <w:r>
        <w:rPr/>
        <w:t>about</w:t>
      </w:r>
      <w:r>
        <w:rPr>
          <w:spacing w:val="-5"/>
        </w:rPr>
        <w:t> </w:t>
      </w:r>
      <w:r>
        <w:rPr/>
        <w:t>whether</w:t>
      </w:r>
      <w:r>
        <w:rPr>
          <w:spacing w:val="-1"/>
        </w:rPr>
        <w:t> </w:t>
      </w:r>
      <w:r>
        <w:rPr/>
        <w:t>to</w:t>
      </w:r>
      <w:r>
        <w:rPr>
          <w:spacing w:val="-2"/>
        </w:rPr>
        <w:t> </w:t>
      </w:r>
      <w:r>
        <w:rPr/>
        <w:t>approve</w:t>
      </w:r>
      <w:r>
        <w:rPr>
          <w:spacing w:val="-2"/>
        </w:rPr>
        <w:t> </w:t>
      </w:r>
      <w:r>
        <w:rPr/>
        <w:t>the introduction of an incentive mechanism. By contrast, the </w:t>
      </w:r>
      <w:r>
        <w:rPr>
          <w:i/>
        </w:rPr>
        <w:t>National Electricity Rules </w:t>
      </w:r>
      <w:r>
        <w:rPr/>
        <w:t>include more prescriptive requirements on the incentive arrangements the AER must apply to electricity distribution businesses (Farrier Swier Consulting, 2016).</w:t>
      </w:r>
    </w:p>
    <w:p>
      <w:pPr>
        <w:pStyle w:val="BodyText"/>
        <w:spacing w:before="10"/>
        <w:rPr>
          <w:sz w:val="20"/>
        </w:rPr>
      </w:pPr>
    </w:p>
    <w:p>
      <w:pPr>
        <w:pStyle w:val="BodyText"/>
        <w:spacing w:line="288" w:lineRule="auto" w:before="1"/>
        <w:ind w:left="232" w:right="296"/>
      </w:pPr>
      <w:r>
        <w:rPr/>
        <w:t>In relation to gas networks, the AER has only approved an operating expenditure incentive mechanism (referred to as the Efficiency Benefit Sharing Scheme) to date (Farrier Swier Consulting, 2016). The Efficiency Benefit Sharing Scheme gives network businesses incentives to spend efficiently and share the benefits with consumers. Among other things, the incentive mechanism</w:t>
      </w:r>
      <w:r>
        <w:rPr>
          <w:spacing w:val="-3"/>
        </w:rPr>
        <w:t> </w:t>
      </w:r>
      <w:r>
        <w:rPr/>
        <w:t>provides</w:t>
      </w:r>
      <w:r>
        <w:rPr>
          <w:spacing w:val="-4"/>
        </w:rPr>
        <w:t> </w:t>
      </w:r>
      <w:r>
        <w:rPr/>
        <w:t>for</w:t>
      </w:r>
      <w:r>
        <w:rPr>
          <w:spacing w:val="-3"/>
        </w:rPr>
        <w:t> </w:t>
      </w:r>
      <w:r>
        <w:rPr/>
        <w:t>carrying over</w:t>
      </w:r>
      <w:r>
        <w:rPr>
          <w:spacing w:val="-3"/>
        </w:rPr>
        <w:t> </w:t>
      </w:r>
      <w:r>
        <w:rPr/>
        <w:t>increments</w:t>
      </w:r>
      <w:r>
        <w:rPr>
          <w:spacing w:val="-6"/>
        </w:rPr>
        <w:t> </w:t>
      </w:r>
      <w:r>
        <w:rPr/>
        <w:t>for</w:t>
      </w:r>
      <w:r>
        <w:rPr>
          <w:spacing w:val="-1"/>
        </w:rPr>
        <w:t> </w:t>
      </w:r>
      <w:r>
        <w:rPr/>
        <w:t>efficiency</w:t>
      </w:r>
      <w:r>
        <w:rPr>
          <w:spacing w:val="-4"/>
        </w:rPr>
        <w:t> </w:t>
      </w:r>
      <w:r>
        <w:rPr/>
        <w:t>gains</w:t>
      </w:r>
      <w:r>
        <w:rPr>
          <w:spacing w:val="-4"/>
        </w:rPr>
        <w:t> </w:t>
      </w:r>
      <w:r>
        <w:rPr/>
        <w:t>and</w:t>
      </w:r>
      <w:r>
        <w:rPr>
          <w:spacing w:val="-4"/>
        </w:rPr>
        <w:t> </w:t>
      </w:r>
      <w:r>
        <w:rPr/>
        <w:t>decrements</w:t>
      </w:r>
      <w:r>
        <w:rPr>
          <w:spacing w:val="-6"/>
        </w:rPr>
        <w:t> </w:t>
      </w:r>
      <w:r>
        <w:rPr/>
        <w:t>for</w:t>
      </w:r>
      <w:r>
        <w:rPr>
          <w:spacing w:val="-1"/>
        </w:rPr>
        <w:t> </w:t>
      </w:r>
      <w:r>
        <w:rPr/>
        <w:t>losses</w:t>
      </w:r>
      <w:r>
        <w:rPr>
          <w:spacing w:val="-4"/>
        </w:rPr>
        <w:t> </w:t>
      </w:r>
      <w:r>
        <w:rPr/>
        <w:t>of efficiency from one access arrangement period to the next. Changes to existing incentive</w:t>
      </w:r>
    </w:p>
    <w:p>
      <w:pPr>
        <w:spacing w:after="0" w:line="288" w:lineRule="auto"/>
        <w:sectPr>
          <w:pgSz w:w="11910" w:h="16850"/>
          <w:pgMar w:header="220" w:footer="678" w:top="420" w:bottom="860" w:left="900" w:right="840"/>
        </w:sectPr>
      </w:pPr>
    </w:p>
    <w:p>
      <w:pPr>
        <w:pStyle w:val="BodyText"/>
        <w:rPr>
          <w:sz w:val="20"/>
        </w:rPr>
      </w:pPr>
    </w:p>
    <w:p>
      <w:pPr>
        <w:pStyle w:val="BodyText"/>
        <w:spacing w:before="2"/>
        <w:rPr>
          <w:sz w:val="19"/>
        </w:rPr>
      </w:pPr>
    </w:p>
    <w:p>
      <w:pPr>
        <w:pStyle w:val="BodyText"/>
        <w:spacing w:line="288" w:lineRule="auto" w:before="94"/>
        <w:ind w:left="232"/>
      </w:pPr>
      <w:r>
        <w:rPr/>
        <w:t>mechanisms</w:t>
      </w:r>
      <w:r>
        <w:rPr>
          <w:spacing w:val="-4"/>
        </w:rPr>
        <w:t> </w:t>
      </w:r>
      <w:r>
        <w:rPr/>
        <w:t>and</w:t>
      </w:r>
      <w:r>
        <w:rPr>
          <w:spacing w:val="-4"/>
        </w:rPr>
        <w:t> </w:t>
      </w:r>
      <w:r>
        <w:rPr/>
        <w:t>the</w:t>
      </w:r>
      <w:r>
        <w:rPr>
          <w:spacing w:val="-4"/>
        </w:rPr>
        <w:t> </w:t>
      </w:r>
      <w:r>
        <w:rPr/>
        <w:t>potential</w:t>
      </w:r>
      <w:r>
        <w:rPr>
          <w:spacing w:val="-3"/>
        </w:rPr>
        <w:t> </w:t>
      </w:r>
      <w:r>
        <w:rPr/>
        <w:t>introduction</w:t>
      </w:r>
      <w:r>
        <w:rPr>
          <w:spacing w:val="-2"/>
        </w:rPr>
        <w:t> </w:t>
      </w:r>
      <w:r>
        <w:rPr/>
        <w:t>of new</w:t>
      </w:r>
      <w:r>
        <w:rPr>
          <w:spacing w:val="-5"/>
        </w:rPr>
        <w:t> </w:t>
      </w:r>
      <w:r>
        <w:rPr/>
        <w:t>incentive</w:t>
      </w:r>
      <w:r>
        <w:rPr>
          <w:spacing w:val="-2"/>
        </w:rPr>
        <w:t> </w:t>
      </w:r>
      <w:r>
        <w:rPr/>
        <w:t>mechanisms</w:t>
      </w:r>
      <w:r>
        <w:rPr>
          <w:spacing w:val="-4"/>
        </w:rPr>
        <w:t> </w:t>
      </w:r>
      <w:r>
        <w:rPr/>
        <w:t>may</w:t>
      </w:r>
      <w:r>
        <w:rPr>
          <w:spacing w:val="-4"/>
        </w:rPr>
        <w:t> </w:t>
      </w:r>
      <w:r>
        <w:rPr/>
        <w:t>be</w:t>
      </w:r>
      <w:r>
        <w:rPr>
          <w:spacing w:val="-2"/>
        </w:rPr>
        <w:t> </w:t>
      </w:r>
      <w:r>
        <w:rPr/>
        <w:t>considered</w:t>
      </w:r>
      <w:r>
        <w:rPr>
          <w:spacing w:val="-4"/>
        </w:rPr>
        <w:t> </w:t>
      </w:r>
      <w:r>
        <w:rPr/>
        <w:t>by</w:t>
      </w:r>
      <w:r>
        <w:rPr>
          <w:spacing w:val="-4"/>
        </w:rPr>
        <w:t> </w:t>
      </w:r>
      <w:r>
        <w:rPr/>
        <w:t>the AER in the forthcoming regulatory period.</w:t>
      </w:r>
    </w:p>
    <w:p>
      <w:pPr>
        <w:pStyle w:val="BodyText"/>
        <w:spacing w:before="4"/>
        <w:rPr>
          <w:sz w:val="31"/>
        </w:rPr>
      </w:pPr>
    </w:p>
    <w:p>
      <w:pPr>
        <w:pStyle w:val="Heading7"/>
        <w:ind w:left="232"/>
      </w:pPr>
      <w:r>
        <w:rPr/>
        <w:t>Figure</w:t>
      </w:r>
      <w:r>
        <w:rPr>
          <w:spacing w:val="-7"/>
        </w:rPr>
        <w:t> </w:t>
      </w:r>
      <w:r>
        <w:rPr/>
        <w:t>13:</w:t>
      </w:r>
      <w:r>
        <w:rPr>
          <w:spacing w:val="-4"/>
        </w:rPr>
        <w:t> </w:t>
      </w:r>
      <w:r>
        <w:rPr/>
        <w:t>The</w:t>
      </w:r>
      <w:r>
        <w:rPr>
          <w:spacing w:val="-5"/>
        </w:rPr>
        <w:t> </w:t>
      </w:r>
      <w:r>
        <w:rPr/>
        <w:t>relationship</w:t>
      </w:r>
      <w:r>
        <w:rPr>
          <w:spacing w:val="-6"/>
        </w:rPr>
        <w:t> </w:t>
      </w:r>
      <w:r>
        <w:rPr/>
        <w:t>between</w:t>
      </w:r>
      <w:r>
        <w:rPr>
          <w:spacing w:val="-7"/>
        </w:rPr>
        <w:t> </w:t>
      </w:r>
      <w:r>
        <w:rPr/>
        <w:t>the</w:t>
      </w:r>
      <w:r>
        <w:rPr>
          <w:spacing w:val="-8"/>
        </w:rPr>
        <w:t> </w:t>
      </w:r>
      <w:r>
        <w:rPr/>
        <w:t>national</w:t>
      </w:r>
      <w:r>
        <w:rPr>
          <w:spacing w:val="-3"/>
        </w:rPr>
        <w:t> </w:t>
      </w:r>
      <w:r>
        <w:rPr/>
        <w:t>objectives</w:t>
      </w:r>
      <w:r>
        <w:rPr>
          <w:spacing w:val="-5"/>
        </w:rPr>
        <w:t> </w:t>
      </w:r>
      <w:r>
        <w:rPr/>
        <w:t>and</w:t>
      </w:r>
      <w:r>
        <w:rPr>
          <w:spacing w:val="-6"/>
        </w:rPr>
        <w:t> </w:t>
      </w:r>
      <w:r>
        <w:rPr/>
        <w:t>the</w:t>
      </w:r>
      <w:r>
        <w:rPr>
          <w:spacing w:val="-9"/>
        </w:rPr>
        <w:t> </w:t>
      </w:r>
      <w:r>
        <w:rPr>
          <w:spacing w:val="-2"/>
        </w:rPr>
        <w:t>markets</w:t>
      </w:r>
    </w:p>
    <w:p>
      <w:pPr>
        <w:pStyle w:val="BodyText"/>
        <w:rPr>
          <w:b/>
          <w:sz w:val="20"/>
        </w:rPr>
      </w:pPr>
    </w:p>
    <w:p>
      <w:pPr>
        <w:pStyle w:val="BodyText"/>
        <w:spacing w:before="9"/>
        <w:rPr>
          <w:b/>
          <w:sz w:val="19"/>
        </w:rPr>
      </w:pPr>
      <w:r>
        <w:rPr/>
        <w:drawing>
          <wp:anchor distT="0" distB="0" distL="0" distR="0" allowOverlap="1" layoutInCell="1" locked="0" behindDoc="1" simplePos="0" relativeHeight="487634432">
            <wp:simplePos x="0" y="0"/>
            <wp:positionH relativeFrom="page">
              <wp:posOffset>2017107</wp:posOffset>
            </wp:positionH>
            <wp:positionV relativeFrom="paragraph">
              <wp:posOffset>160294</wp:posOffset>
            </wp:positionV>
            <wp:extent cx="3402752" cy="2969418"/>
            <wp:effectExtent l="0" t="0" r="0" b="0"/>
            <wp:wrapTopAndBottom/>
            <wp:docPr id="154" name="Image 154" descr="C:\Users\rb2f\AppData\Local\Microsoft\Windows\Temporary Internet Files\Content.Word\Fig13.RelationshipObjectivesMarkets.jpg"/>
            <wp:cNvGraphicFramePr>
              <a:graphicFrameLocks/>
            </wp:cNvGraphicFramePr>
            <a:graphic>
              <a:graphicData uri="http://schemas.openxmlformats.org/drawingml/2006/picture">
                <pic:pic>
                  <pic:nvPicPr>
                    <pic:cNvPr id="154" name="Image 154" descr="C:\Users\rb2f\AppData\Local\Microsoft\Windows\Temporary Internet Files\Content.Word\Fig13.RelationshipObjectivesMarkets.jpg"/>
                    <pic:cNvPicPr/>
                  </pic:nvPicPr>
                  <pic:blipFill>
                    <a:blip r:embed="rId79" cstate="print"/>
                    <a:stretch>
                      <a:fillRect/>
                    </a:stretch>
                  </pic:blipFill>
                  <pic:spPr>
                    <a:xfrm>
                      <a:off x="0" y="0"/>
                      <a:ext cx="3402752" cy="2969418"/>
                    </a:xfrm>
                    <a:prstGeom prst="rect">
                      <a:avLst/>
                    </a:prstGeom>
                  </pic:spPr>
                </pic:pic>
              </a:graphicData>
            </a:graphic>
          </wp:anchor>
        </w:drawing>
      </w:r>
    </w:p>
    <w:p>
      <w:pPr>
        <w:pStyle w:val="BodyText"/>
        <w:rPr>
          <w:b/>
          <w:sz w:val="24"/>
        </w:rPr>
      </w:pPr>
    </w:p>
    <w:p>
      <w:pPr>
        <w:pStyle w:val="BodyText"/>
        <w:spacing w:before="6"/>
        <w:rPr>
          <w:b/>
          <w:sz w:val="34"/>
        </w:rPr>
      </w:pPr>
    </w:p>
    <w:p>
      <w:pPr>
        <w:pStyle w:val="BodyText"/>
        <w:spacing w:line="288" w:lineRule="auto"/>
        <w:ind w:left="232" w:right="374"/>
      </w:pPr>
      <w:r>
        <w:rPr/>
        <w:t>In relation to the interaction of safety regulation and economic regulation, the AER has characterised</w:t>
      </w:r>
      <w:r>
        <w:rPr>
          <w:spacing w:val="-4"/>
        </w:rPr>
        <w:t> </w:t>
      </w:r>
      <w:r>
        <w:rPr/>
        <w:t>this</w:t>
      </w:r>
      <w:r>
        <w:rPr>
          <w:spacing w:val="-1"/>
        </w:rPr>
        <w:t> </w:t>
      </w:r>
      <w:r>
        <w:rPr/>
        <w:t>as</w:t>
      </w:r>
      <w:r>
        <w:rPr>
          <w:spacing w:val="-4"/>
        </w:rPr>
        <w:t> </w:t>
      </w:r>
      <w:r>
        <w:rPr/>
        <w:t>a</w:t>
      </w:r>
      <w:r>
        <w:rPr>
          <w:spacing w:val="-4"/>
        </w:rPr>
        <w:t> </w:t>
      </w:r>
      <w:r>
        <w:rPr/>
        <w:t>two-stage</w:t>
      </w:r>
      <w:r>
        <w:rPr>
          <w:spacing w:val="-4"/>
        </w:rPr>
        <w:t> </w:t>
      </w:r>
      <w:r>
        <w:rPr/>
        <w:t>process</w:t>
      </w:r>
      <w:r>
        <w:rPr>
          <w:spacing w:val="-4"/>
        </w:rPr>
        <w:t> </w:t>
      </w:r>
      <w:r>
        <w:rPr/>
        <w:t>for</w:t>
      </w:r>
      <w:r>
        <w:rPr>
          <w:spacing w:val="-3"/>
        </w:rPr>
        <w:t> </w:t>
      </w:r>
      <w:r>
        <w:rPr/>
        <w:t>network safety</w:t>
      </w:r>
      <w:r>
        <w:rPr>
          <w:spacing w:val="-3"/>
        </w:rPr>
        <w:t> </w:t>
      </w:r>
      <w:r>
        <w:rPr/>
        <w:t>in</w:t>
      </w:r>
      <w:r>
        <w:rPr>
          <w:spacing w:val="-2"/>
        </w:rPr>
        <w:t> </w:t>
      </w:r>
      <w:r>
        <w:rPr/>
        <w:t>Victoria (AER, 2017a,</w:t>
      </w:r>
      <w:r>
        <w:rPr>
          <w:spacing w:val="-3"/>
        </w:rPr>
        <w:t> </w:t>
      </w:r>
      <w:r>
        <w:rPr/>
        <w:t>p.</w:t>
      </w:r>
      <w:r>
        <w:rPr>
          <w:spacing w:val="-3"/>
        </w:rPr>
        <w:t> </w:t>
      </w:r>
      <w:r>
        <w:rPr/>
        <w:t>1):</w:t>
      </w:r>
    </w:p>
    <w:p>
      <w:pPr>
        <w:pStyle w:val="BodyText"/>
        <w:spacing w:before="10"/>
        <w:rPr>
          <w:sz w:val="20"/>
        </w:rPr>
      </w:pPr>
    </w:p>
    <w:p>
      <w:pPr>
        <w:pStyle w:val="ListParagraph"/>
        <w:numPr>
          <w:ilvl w:val="0"/>
          <w:numId w:val="53"/>
        </w:numPr>
        <w:tabs>
          <w:tab w:pos="591" w:val="left" w:leader="none"/>
          <w:tab w:pos="593" w:val="left" w:leader="none"/>
        </w:tabs>
        <w:spacing w:line="288" w:lineRule="auto" w:before="1" w:after="0"/>
        <w:ind w:left="593" w:right="397" w:hanging="361"/>
        <w:jc w:val="left"/>
        <w:rPr>
          <w:sz w:val="22"/>
        </w:rPr>
      </w:pPr>
      <w:r>
        <w:rPr>
          <w:sz w:val="22"/>
        </w:rPr>
        <w:t>In stage 1, the relevant government departments and ESV set the safety standards following relevant</w:t>
      </w:r>
      <w:r>
        <w:rPr>
          <w:spacing w:val="-1"/>
          <w:sz w:val="22"/>
        </w:rPr>
        <w:t> </w:t>
      </w:r>
      <w:r>
        <w:rPr>
          <w:sz w:val="22"/>
        </w:rPr>
        <w:t>cost-benefit</w:t>
      </w:r>
      <w:r>
        <w:rPr>
          <w:spacing w:val="-4"/>
          <w:sz w:val="22"/>
        </w:rPr>
        <w:t> </w:t>
      </w:r>
      <w:r>
        <w:rPr>
          <w:sz w:val="22"/>
        </w:rPr>
        <w:t>analysis</w:t>
      </w:r>
      <w:r>
        <w:rPr>
          <w:spacing w:val="-2"/>
          <w:sz w:val="22"/>
        </w:rPr>
        <w:t> </w:t>
      </w:r>
      <w:r>
        <w:rPr>
          <w:sz w:val="22"/>
        </w:rPr>
        <w:t>for</w:t>
      </w:r>
      <w:r>
        <w:rPr>
          <w:spacing w:val="-4"/>
          <w:sz w:val="22"/>
        </w:rPr>
        <w:t> </w:t>
      </w:r>
      <w:r>
        <w:rPr>
          <w:sz w:val="22"/>
        </w:rPr>
        <w:t>all</w:t>
      </w:r>
      <w:r>
        <w:rPr>
          <w:spacing w:val="-3"/>
          <w:sz w:val="22"/>
        </w:rPr>
        <w:t> </w:t>
      </w:r>
      <w:r>
        <w:rPr>
          <w:sz w:val="22"/>
        </w:rPr>
        <w:t>safety</w:t>
      </w:r>
      <w:r>
        <w:rPr>
          <w:spacing w:val="-5"/>
          <w:sz w:val="22"/>
        </w:rPr>
        <w:t> </w:t>
      </w:r>
      <w:r>
        <w:rPr>
          <w:sz w:val="22"/>
        </w:rPr>
        <w:t>programs,</w:t>
      </w:r>
      <w:r>
        <w:rPr>
          <w:spacing w:val="-4"/>
          <w:sz w:val="22"/>
        </w:rPr>
        <w:t> </w:t>
      </w:r>
      <w:r>
        <w:rPr>
          <w:sz w:val="22"/>
        </w:rPr>
        <w:t>consistent</w:t>
      </w:r>
      <w:r>
        <w:rPr>
          <w:spacing w:val="-4"/>
          <w:sz w:val="22"/>
        </w:rPr>
        <w:t> </w:t>
      </w:r>
      <w:r>
        <w:rPr>
          <w:sz w:val="22"/>
        </w:rPr>
        <w:t>with the</w:t>
      </w:r>
      <w:r>
        <w:rPr>
          <w:spacing w:val="-3"/>
          <w:sz w:val="22"/>
        </w:rPr>
        <w:t> </w:t>
      </w:r>
      <w:r>
        <w:rPr>
          <w:sz w:val="22"/>
        </w:rPr>
        <w:t>‘as</w:t>
      </w:r>
      <w:r>
        <w:rPr>
          <w:spacing w:val="-3"/>
          <w:sz w:val="22"/>
        </w:rPr>
        <w:t> </w:t>
      </w:r>
      <w:r>
        <w:rPr>
          <w:sz w:val="22"/>
        </w:rPr>
        <w:t>low</w:t>
      </w:r>
      <w:r>
        <w:rPr>
          <w:spacing w:val="-6"/>
          <w:sz w:val="22"/>
        </w:rPr>
        <w:t> </w:t>
      </w:r>
      <w:r>
        <w:rPr>
          <w:sz w:val="22"/>
        </w:rPr>
        <w:t>as</w:t>
      </w:r>
      <w:r>
        <w:rPr>
          <w:spacing w:val="-3"/>
          <w:sz w:val="22"/>
        </w:rPr>
        <w:t> </w:t>
      </w:r>
      <w:r>
        <w:rPr>
          <w:sz w:val="22"/>
        </w:rPr>
        <w:t>reasonably possible’ (ALARP) principle.</w:t>
      </w:r>
    </w:p>
    <w:p>
      <w:pPr>
        <w:pStyle w:val="BodyText"/>
        <w:spacing w:before="8"/>
        <w:rPr>
          <w:sz w:val="20"/>
        </w:rPr>
      </w:pPr>
    </w:p>
    <w:p>
      <w:pPr>
        <w:pStyle w:val="ListParagraph"/>
        <w:numPr>
          <w:ilvl w:val="0"/>
          <w:numId w:val="53"/>
        </w:numPr>
        <w:tabs>
          <w:tab w:pos="591" w:val="left" w:leader="none"/>
          <w:tab w:pos="593" w:val="left" w:leader="none"/>
        </w:tabs>
        <w:spacing w:line="288" w:lineRule="auto" w:before="0" w:after="0"/>
        <w:ind w:left="593" w:right="302" w:hanging="361"/>
        <w:jc w:val="both"/>
        <w:rPr>
          <w:sz w:val="22"/>
        </w:rPr>
      </w:pPr>
      <w:r>
        <w:rPr>
          <w:sz w:val="22"/>
        </w:rPr>
        <w:t>In stage 2,</w:t>
      </w:r>
      <w:r>
        <w:rPr>
          <w:spacing w:val="-1"/>
          <w:sz w:val="22"/>
        </w:rPr>
        <w:t> </w:t>
      </w:r>
      <w:r>
        <w:rPr>
          <w:sz w:val="22"/>
        </w:rPr>
        <w:t>the</w:t>
      </w:r>
      <w:r>
        <w:rPr>
          <w:spacing w:val="-2"/>
          <w:sz w:val="22"/>
        </w:rPr>
        <w:t> </w:t>
      </w:r>
      <w:r>
        <w:rPr>
          <w:sz w:val="22"/>
        </w:rPr>
        <w:t>AER calculates in its</w:t>
      </w:r>
      <w:r>
        <w:rPr>
          <w:spacing w:val="-1"/>
          <w:sz w:val="22"/>
        </w:rPr>
        <w:t> </w:t>
      </w:r>
      <w:r>
        <w:rPr>
          <w:sz w:val="22"/>
        </w:rPr>
        <w:t>revenue determinations</w:t>
      </w:r>
      <w:r>
        <w:rPr>
          <w:spacing w:val="-2"/>
          <w:sz w:val="22"/>
        </w:rPr>
        <w:t> </w:t>
      </w:r>
      <w:r>
        <w:rPr>
          <w:sz w:val="22"/>
        </w:rPr>
        <w:t>the</w:t>
      </w:r>
      <w:r>
        <w:rPr>
          <w:spacing w:val="-2"/>
          <w:sz w:val="22"/>
        </w:rPr>
        <w:t> </w:t>
      </w:r>
      <w:r>
        <w:rPr>
          <w:sz w:val="22"/>
        </w:rPr>
        <w:t>efficient amounts</w:t>
      </w:r>
      <w:r>
        <w:rPr>
          <w:spacing w:val="-1"/>
          <w:sz w:val="22"/>
        </w:rPr>
        <w:t> </w:t>
      </w:r>
      <w:r>
        <w:rPr>
          <w:sz w:val="22"/>
        </w:rPr>
        <w:t>of capex</w:t>
      </w:r>
      <w:r>
        <w:rPr>
          <w:spacing w:val="-2"/>
          <w:sz w:val="22"/>
        </w:rPr>
        <w:t> </w:t>
      </w:r>
      <w:r>
        <w:rPr>
          <w:sz w:val="22"/>
        </w:rPr>
        <w:t>and opex</w:t>
      </w:r>
      <w:r>
        <w:rPr>
          <w:spacing w:val="-4"/>
          <w:sz w:val="22"/>
        </w:rPr>
        <w:t> </w:t>
      </w:r>
      <w:r>
        <w:rPr>
          <w:sz w:val="22"/>
        </w:rPr>
        <w:t>required</w:t>
      </w:r>
      <w:r>
        <w:rPr>
          <w:spacing w:val="-4"/>
          <w:sz w:val="22"/>
        </w:rPr>
        <w:t> </w:t>
      </w:r>
      <w:r>
        <w:rPr>
          <w:sz w:val="22"/>
        </w:rPr>
        <w:t>to</w:t>
      </w:r>
      <w:r>
        <w:rPr>
          <w:spacing w:val="-6"/>
          <w:sz w:val="22"/>
        </w:rPr>
        <w:t> </w:t>
      </w:r>
      <w:r>
        <w:rPr>
          <w:sz w:val="22"/>
        </w:rPr>
        <w:t>meet</w:t>
      </w:r>
      <w:r>
        <w:rPr>
          <w:spacing w:val="-3"/>
          <w:sz w:val="22"/>
        </w:rPr>
        <w:t> </w:t>
      </w:r>
      <w:r>
        <w:rPr>
          <w:sz w:val="22"/>
        </w:rPr>
        <w:t>these</w:t>
      </w:r>
      <w:r>
        <w:rPr>
          <w:spacing w:val="-2"/>
          <w:sz w:val="22"/>
        </w:rPr>
        <w:t> </w:t>
      </w:r>
      <w:r>
        <w:rPr>
          <w:sz w:val="22"/>
        </w:rPr>
        <w:t>standards. ESV</w:t>
      </w:r>
      <w:r>
        <w:rPr>
          <w:spacing w:val="-4"/>
          <w:sz w:val="22"/>
        </w:rPr>
        <w:t> </w:t>
      </w:r>
      <w:r>
        <w:rPr>
          <w:sz w:val="22"/>
        </w:rPr>
        <w:t>monitors</w:t>
      </w:r>
      <w:r>
        <w:rPr>
          <w:spacing w:val="-3"/>
          <w:sz w:val="22"/>
        </w:rPr>
        <w:t> </w:t>
      </w:r>
      <w:r>
        <w:rPr>
          <w:sz w:val="22"/>
        </w:rPr>
        <w:t>the</w:t>
      </w:r>
      <w:r>
        <w:rPr>
          <w:spacing w:val="-2"/>
          <w:sz w:val="22"/>
        </w:rPr>
        <w:t> </w:t>
      </w:r>
      <w:r>
        <w:rPr>
          <w:sz w:val="22"/>
        </w:rPr>
        <w:t>delivery</w:t>
      </w:r>
      <w:r>
        <w:rPr>
          <w:spacing w:val="-3"/>
          <w:sz w:val="22"/>
        </w:rPr>
        <w:t> </w:t>
      </w:r>
      <w:r>
        <w:rPr>
          <w:sz w:val="22"/>
        </w:rPr>
        <w:t>of the</w:t>
      </w:r>
      <w:r>
        <w:rPr>
          <w:spacing w:val="-2"/>
          <w:sz w:val="22"/>
        </w:rPr>
        <w:t> </w:t>
      </w:r>
      <w:r>
        <w:rPr>
          <w:sz w:val="22"/>
        </w:rPr>
        <w:t>safety</w:t>
      </w:r>
      <w:r>
        <w:rPr>
          <w:spacing w:val="-3"/>
          <w:sz w:val="22"/>
        </w:rPr>
        <w:t> </w:t>
      </w:r>
      <w:r>
        <w:rPr>
          <w:sz w:val="22"/>
        </w:rPr>
        <w:t>programs</w:t>
      </w:r>
      <w:r>
        <w:rPr>
          <w:spacing w:val="-4"/>
          <w:sz w:val="22"/>
        </w:rPr>
        <w:t> </w:t>
      </w:r>
      <w:r>
        <w:rPr>
          <w:sz w:val="22"/>
        </w:rPr>
        <w:t>that</w:t>
      </w:r>
      <w:r>
        <w:rPr>
          <w:spacing w:val="-3"/>
          <w:sz w:val="22"/>
        </w:rPr>
        <w:t> </w:t>
      </w:r>
      <w:r>
        <w:rPr>
          <w:sz w:val="22"/>
        </w:rPr>
        <w:t>it has approved to ensure its safety objectives are met.</w:t>
      </w:r>
    </w:p>
    <w:p>
      <w:pPr>
        <w:pStyle w:val="BodyText"/>
        <w:spacing w:before="5"/>
        <w:rPr>
          <w:sz w:val="31"/>
        </w:rPr>
      </w:pPr>
    </w:p>
    <w:p>
      <w:pPr>
        <w:pStyle w:val="Heading4"/>
        <w:spacing w:before="0"/>
      </w:pPr>
      <w:r>
        <w:rPr>
          <w:color w:val="585858"/>
        </w:rPr>
        <w:t>Electricity</w:t>
      </w:r>
      <w:r>
        <w:rPr>
          <w:color w:val="585858"/>
          <w:spacing w:val="-19"/>
        </w:rPr>
        <w:t> </w:t>
      </w:r>
      <w:r>
        <w:rPr>
          <w:color w:val="585858"/>
        </w:rPr>
        <w:t>Incentive</w:t>
      </w:r>
      <w:r>
        <w:rPr>
          <w:color w:val="585858"/>
          <w:spacing w:val="-18"/>
        </w:rPr>
        <w:t> </w:t>
      </w:r>
      <w:r>
        <w:rPr>
          <w:color w:val="585858"/>
          <w:spacing w:val="-2"/>
        </w:rPr>
        <w:t>Schemes</w:t>
      </w:r>
    </w:p>
    <w:p>
      <w:pPr>
        <w:pStyle w:val="BodyText"/>
        <w:rPr>
          <w:b/>
          <w:sz w:val="43"/>
        </w:rPr>
      </w:pPr>
    </w:p>
    <w:p>
      <w:pPr>
        <w:pStyle w:val="Heading6"/>
        <w:ind w:left="232"/>
      </w:pPr>
      <w:r>
        <w:rPr/>
        <w:t>Service</w:t>
      </w:r>
      <w:r>
        <w:rPr>
          <w:spacing w:val="-6"/>
        </w:rPr>
        <w:t> </w:t>
      </w:r>
      <w:r>
        <w:rPr/>
        <w:t>Target</w:t>
      </w:r>
      <w:r>
        <w:rPr>
          <w:spacing w:val="-6"/>
        </w:rPr>
        <w:t> </w:t>
      </w:r>
      <w:r>
        <w:rPr/>
        <w:t>Performance</w:t>
      </w:r>
      <w:r>
        <w:rPr>
          <w:spacing w:val="-7"/>
        </w:rPr>
        <w:t> </w:t>
      </w:r>
      <w:r>
        <w:rPr/>
        <w:t>Incentive</w:t>
      </w:r>
      <w:r>
        <w:rPr>
          <w:spacing w:val="-6"/>
        </w:rPr>
        <w:t> </w:t>
      </w:r>
      <w:r>
        <w:rPr/>
        <w:t>Scheme</w:t>
      </w:r>
      <w:r>
        <w:rPr>
          <w:spacing w:val="-5"/>
        </w:rPr>
        <w:t> </w:t>
      </w:r>
      <w:r>
        <w:rPr>
          <w:spacing w:val="-2"/>
        </w:rPr>
        <w:t>(STPIS)</w:t>
      </w:r>
    </w:p>
    <w:p>
      <w:pPr>
        <w:pStyle w:val="BodyText"/>
        <w:spacing w:line="288" w:lineRule="auto" w:before="175"/>
        <w:ind w:left="232" w:right="374"/>
      </w:pPr>
      <w:r>
        <w:rPr/>
        <w:t>The</w:t>
      </w:r>
      <w:r>
        <w:rPr>
          <w:spacing w:val="-2"/>
        </w:rPr>
        <w:t> </w:t>
      </w:r>
      <w:r>
        <w:rPr/>
        <w:t>AER administers</w:t>
      </w:r>
      <w:r>
        <w:rPr>
          <w:spacing w:val="-2"/>
        </w:rPr>
        <w:t> </w:t>
      </w:r>
      <w:r>
        <w:rPr/>
        <w:t>the</w:t>
      </w:r>
      <w:r>
        <w:rPr>
          <w:spacing w:val="-2"/>
        </w:rPr>
        <w:t> </w:t>
      </w:r>
      <w:r>
        <w:rPr/>
        <w:t>STPIS in accordance</w:t>
      </w:r>
      <w:r>
        <w:rPr>
          <w:spacing w:val="-3"/>
        </w:rPr>
        <w:t> </w:t>
      </w:r>
      <w:r>
        <w:rPr/>
        <w:t>with</w:t>
      </w:r>
      <w:r>
        <w:rPr>
          <w:spacing w:val="-2"/>
        </w:rPr>
        <w:t> </w:t>
      </w:r>
      <w:r>
        <w:rPr/>
        <w:t>the</w:t>
      </w:r>
      <w:r>
        <w:rPr>
          <w:spacing w:val="-2"/>
        </w:rPr>
        <w:t> </w:t>
      </w:r>
      <w:r>
        <w:rPr/>
        <w:t>requirements</w:t>
      </w:r>
      <w:r>
        <w:rPr>
          <w:spacing w:val="-2"/>
        </w:rPr>
        <w:t> </w:t>
      </w:r>
      <w:r>
        <w:rPr/>
        <w:t>of the </w:t>
      </w:r>
      <w:r>
        <w:rPr>
          <w:i/>
        </w:rPr>
        <w:t>National Electricity Rules</w:t>
      </w:r>
      <w:r>
        <w:rPr/>
        <w:t>.</w:t>
      </w:r>
      <w:r>
        <w:rPr>
          <w:spacing w:val="-3"/>
        </w:rPr>
        <w:t> </w:t>
      </w:r>
      <w:r>
        <w:rPr/>
        <w:t>The</w:t>
      </w:r>
      <w:r>
        <w:rPr>
          <w:spacing w:val="-2"/>
        </w:rPr>
        <w:t> </w:t>
      </w:r>
      <w:r>
        <w:rPr/>
        <w:t>purpose</w:t>
      </w:r>
      <w:r>
        <w:rPr>
          <w:spacing w:val="-4"/>
        </w:rPr>
        <w:t> </w:t>
      </w:r>
      <w:r>
        <w:rPr/>
        <w:t>of the</w:t>
      </w:r>
      <w:r>
        <w:rPr>
          <w:spacing w:val="-2"/>
        </w:rPr>
        <w:t> </w:t>
      </w:r>
      <w:r>
        <w:rPr/>
        <w:t>STPIS</w:t>
      </w:r>
      <w:r>
        <w:rPr>
          <w:spacing w:val="-2"/>
        </w:rPr>
        <w:t> </w:t>
      </w:r>
      <w:r>
        <w:rPr/>
        <w:t>is</w:t>
      </w:r>
      <w:r>
        <w:rPr>
          <w:spacing w:val="-4"/>
        </w:rPr>
        <w:t> </w:t>
      </w:r>
      <w:r>
        <w:rPr/>
        <w:t>to</w:t>
      </w:r>
      <w:r>
        <w:rPr>
          <w:spacing w:val="-4"/>
        </w:rPr>
        <w:t> </w:t>
      </w:r>
      <w:r>
        <w:rPr/>
        <w:t>provide</w:t>
      </w:r>
      <w:r>
        <w:rPr>
          <w:spacing w:val="-2"/>
        </w:rPr>
        <w:t> </w:t>
      </w:r>
      <w:r>
        <w:rPr/>
        <w:t>incentives</w:t>
      </w:r>
      <w:r>
        <w:rPr>
          <w:spacing w:val="-2"/>
        </w:rPr>
        <w:t> </w:t>
      </w:r>
      <w:r>
        <w:rPr/>
        <w:t>to</w:t>
      </w:r>
      <w:r>
        <w:rPr>
          <w:spacing w:val="-4"/>
        </w:rPr>
        <w:t> </w:t>
      </w:r>
      <w:r>
        <w:rPr/>
        <w:t>the</w:t>
      </w:r>
      <w:r>
        <w:rPr>
          <w:spacing w:val="-2"/>
        </w:rPr>
        <w:t> </w:t>
      </w:r>
      <w:r>
        <w:rPr/>
        <w:t>network</w:t>
      </w:r>
      <w:r>
        <w:rPr>
          <w:spacing w:val="-1"/>
        </w:rPr>
        <w:t> </w:t>
      </w:r>
      <w:r>
        <w:rPr/>
        <w:t>businesses</w:t>
      </w:r>
      <w:r>
        <w:rPr>
          <w:spacing w:val="-2"/>
        </w:rPr>
        <w:t> </w:t>
      </w:r>
      <w:r>
        <w:rPr/>
        <w:t>to</w:t>
      </w:r>
      <w:r>
        <w:rPr>
          <w:spacing w:val="-6"/>
        </w:rPr>
        <w:t> </w:t>
      </w:r>
      <w:r>
        <w:rPr/>
        <w:t>maintain and improve electricity supply reliability, and to improve reliability of supply where energy consumers are willing to pay for these improvements (AER, 2017b).</w:t>
      </w:r>
    </w:p>
    <w:p>
      <w:pPr>
        <w:pStyle w:val="BodyText"/>
        <w:spacing w:line="288" w:lineRule="auto" w:before="200"/>
        <w:ind w:left="232" w:right="408"/>
      </w:pPr>
      <w:r>
        <w:rPr/>
        <w:t>The</w:t>
      </w:r>
      <w:r>
        <w:rPr>
          <w:spacing w:val="-4"/>
        </w:rPr>
        <w:t> </w:t>
      </w:r>
      <w:r>
        <w:rPr/>
        <w:t>Scheme</w:t>
      </w:r>
      <w:r>
        <w:rPr>
          <w:spacing w:val="-4"/>
        </w:rPr>
        <w:t> </w:t>
      </w:r>
      <w:r>
        <w:rPr/>
        <w:t>rewards</w:t>
      </w:r>
      <w:r>
        <w:rPr>
          <w:spacing w:val="-1"/>
        </w:rPr>
        <w:t> </w:t>
      </w:r>
      <w:r>
        <w:rPr/>
        <w:t>electricity</w:t>
      </w:r>
      <w:r>
        <w:rPr>
          <w:spacing w:val="-4"/>
        </w:rPr>
        <w:t> </w:t>
      </w:r>
      <w:r>
        <w:rPr/>
        <w:t>distributors</w:t>
      </w:r>
      <w:r>
        <w:rPr>
          <w:spacing w:val="-6"/>
        </w:rPr>
        <w:t> </w:t>
      </w:r>
      <w:r>
        <w:rPr/>
        <w:t>that</w:t>
      </w:r>
      <w:r>
        <w:rPr>
          <w:spacing w:val="-3"/>
        </w:rPr>
        <w:t> </w:t>
      </w:r>
      <w:r>
        <w:rPr/>
        <w:t>are</w:t>
      </w:r>
      <w:r>
        <w:rPr>
          <w:spacing w:val="-2"/>
        </w:rPr>
        <w:t> </w:t>
      </w:r>
      <w:r>
        <w:rPr/>
        <w:t>shown</w:t>
      </w:r>
      <w:r>
        <w:rPr>
          <w:spacing w:val="-2"/>
        </w:rPr>
        <w:t> </w:t>
      </w:r>
      <w:r>
        <w:rPr/>
        <w:t>to</w:t>
      </w:r>
      <w:r>
        <w:rPr>
          <w:spacing w:val="-2"/>
        </w:rPr>
        <w:t> </w:t>
      </w:r>
      <w:r>
        <w:rPr/>
        <w:t>have</w:t>
      </w:r>
      <w:r>
        <w:rPr>
          <w:spacing w:val="-2"/>
        </w:rPr>
        <w:t> </w:t>
      </w:r>
      <w:r>
        <w:rPr/>
        <w:t>improved</w:t>
      </w:r>
      <w:r>
        <w:rPr>
          <w:spacing w:val="-2"/>
        </w:rPr>
        <w:t> </w:t>
      </w:r>
      <w:r>
        <w:rPr/>
        <w:t>supply</w:t>
      </w:r>
      <w:r>
        <w:rPr>
          <w:spacing w:val="-4"/>
        </w:rPr>
        <w:t> </w:t>
      </w:r>
      <w:r>
        <w:rPr/>
        <w:t>reliability, but penalises electricity distributors where they allow supply to decline below their reliability targets (which are based on the existing level achieved by the distributors). STPIS is intended to ensure that electricity distributors’ service levels do not reduce as a result of the distributors’ efforts to</w:t>
      </w:r>
    </w:p>
    <w:p>
      <w:pPr>
        <w:spacing w:after="0" w:line="288" w:lineRule="auto"/>
        <w:sectPr>
          <w:pgSz w:w="11910" w:h="16850"/>
          <w:pgMar w:header="220" w:footer="678" w:top="420" w:bottom="860" w:left="900" w:right="840"/>
        </w:sectPr>
      </w:pPr>
    </w:p>
    <w:p>
      <w:pPr>
        <w:pStyle w:val="BodyText"/>
        <w:rPr>
          <w:sz w:val="20"/>
        </w:rPr>
      </w:pPr>
    </w:p>
    <w:p>
      <w:pPr>
        <w:pStyle w:val="BodyText"/>
        <w:spacing w:before="2"/>
        <w:rPr>
          <w:sz w:val="19"/>
        </w:rPr>
      </w:pPr>
    </w:p>
    <w:p>
      <w:pPr>
        <w:pStyle w:val="BodyText"/>
        <w:spacing w:line="288" w:lineRule="auto" w:before="94"/>
        <w:ind w:left="232" w:right="374"/>
      </w:pPr>
      <w:r>
        <w:rPr/>
        <w:t>achieve</w:t>
      </w:r>
      <w:r>
        <w:rPr>
          <w:spacing w:val="-3"/>
        </w:rPr>
        <w:t> </w:t>
      </w:r>
      <w:r>
        <w:rPr/>
        <w:t>efficiency</w:t>
      </w:r>
      <w:r>
        <w:rPr>
          <w:spacing w:val="-7"/>
        </w:rPr>
        <w:t> </w:t>
      </w:r>
      <w:r>
        <w:rPr/>
        <w:t>gains,</w:t>
      </w:r>
      <w:r>
        <w:rPr>
          <w:spacing w:val="-6"/>
        </w:rPr>
        <w:t> </w:t>
      </w:r>
      <w:r>
        <w:rPr/>
        <w:t>which</w:t>
      </w:r>
      <w:r>
        <w:rPr>
          <w:spacing w:val="-3"/>
        </w:rPr>
        <w:t> </w:t>
      </w:r>
      <w:r>
        <w:rPr/>
        <w:t>typically</w:t>
      </w:r>
      <w:r>
        <w:rPr>
          <w:spacing w:val="-5"/>
        </w:rPr>
        <w:t> </w:t>
      </w:r>
      <w:r>
        <w:rPr/>
        <w:t>are</w:t>
      </w:r>
      <w:r>
        <w:rPr>
          <w:spacing w:val="-2"/>
        </w:rPr>
        <w:t> </w:t>
      </w:r>
      <w:r>
        <w:rPr/>
        <w:t>associated</w:t>
      </w:r>
      <w:r>
        <w:rPr>
          <w:spacing w:val="-3"/>
        </w:rPr>
        <w:t> </w:t>
      </w:r>
      <w:r>
        <w:rPr/>
        <w:t>with</w:t>
      </w:r>
      <w:r>
        <w:rPr>
          <w:spacing w:val="-3"/>
        </w:rPr>
        <w:t> </w:t>
      </w:r>
      <w:r>
        <w:rPr/>
        <w:t>a</w:t>
      </w:r>
      <w:r>
        <w:rPr>
          <w:spacing w:val="-2"/>
        </w:rPr>
        <w:t> </w:t>
      </w:r>
      <w:r>
        <w:rPr/>
        <w:t>reduction</w:t>
      </w:r>
      <w:r>
        <w:rPr>
          <w:spacing w:val="-3"/>
        </w:rPr>
        <w:t> </w:t>
      </w:r>
      <w:r>
        <w:rPr/>
        <w:t>in</w:t>
      </w:r>
      <w:r>
        <w:rPr>
          <w:spacing w:val="-5"/>
        </w:rPr>
        <w:t> </w:t>
      </w:r>
      <w:r>
        <w:rPr/>
        <w:t>expenditure (AER, </w:t>
      </w:r>
      <w:r>
        <w:rPr>
          <w:spacing w:val="-2"/>
        </w:rPr>
        <w:t>2017b).</w:t>
      </w:r>
    </w:p>
    <w:p>
      <w:pPr>
        <w:pStyle w:val="BodyText"/>
        <w:spacing w:line="288" w:lineRule="auto" w:before="200"/>
        <w:ind w:left="232" w:right="525"/>
      </w:pPr>
      <w:r>
        <w:rPr/>
        <w:t>The</w:t>
      </w:r>
      <w:r>
        <w:rPr>
          <w:spacing w:val="-1"/>
        </w:rPr>
        <w:t> </w:t>
      </w:r>
      <w:r>
        <w:rPr/>
        <w:t>performance</w:t>
      </w:r>
      <w:r>
        <w:rPr>
          <w:spacing w:val="-1"/>
        </w:rPr>
        <w:t> </w:t>
      </w:r>
      <w:r>
        <w:rPr/>
        <w:t>targets</w:t>
      </w:r>
      <w:r>
        <w:rPr>
          <w:spacing w:val="-1"/>
        </w:rPr>
        <w:t> </w:t>
      </w:r>
      <w:r>
        <w:rPr/>
        <w:t>are</w:t>
      </w:r>
      <w:r>
        <w:rPr>
          <w:spacing w:val="-1"/>
        </w:rPr>
        <w:t> </w:t>
      </w:r>
      <w:r>
        <w:rPr/>
        <w:t>typically</w:t>
      </w:r>
      <w:r>
        <w:rPr>
          <w:spacing w:val="-1"/>
        </w:rPr>
        <w:t> </w:t>
      </w:r>
      <w:r>
        <w:rPr/>
        <w:t>amended every five years to</w:t>
      </w:r>
      <w:r>
        <w:rPr>
          <w:spacing w:val="-1"/>
        </w:rPr>
        <w:t> </w:t>
      </w:r>
      <w:r>
        <w:rPr/>
        <w:t>be</w:t>
      </w:r>
      <w:r>
        <w:rPr>
          <w:spacing w:val="-1"/>
        </w:rPr>
        <w:t> </w:t>
      </w:r>
      <w:r>
        <w:rPr/>
        <w:t>representative of the</w:t>
      </w:r>
      <w:r>
        <w:rPr>
          <w:spacing w:val="-1"/>
        </w:rPr>
        <w:t> </w:t>
      </w:r>
      <w:r>
        <w:rPr/>
        <w:t>most up-to-date levels achieved by the businesses as part of the regulatory determination process. A network business</w:t>
      </w:r>
      <w:r>
        <w:rPr>
          <w:spacing w:val="-1"/>
        </w:rPr>
        <w:t> </w:t>
      </w:r>
      <w:r>
        <w:rPr/>
        <w:t>may</w:t>
      </w:r>
      <w:r>
        <w:rPr>
          <w:spacing w:val="-1"/>
        </w:rPr>
        <w:t> </w:t>
      </w:r>
      <w:r>
        <w:rPr/>
        <w:t>only</w:t>
      </w:r>
      <w:r>
        <w:rPr>
          <w:spacing w:val="-1"/>
        </w:rPr>
        <w:t> </w:t>
      </w:r>
      <w:r>
        <w:rPr/>
        <w:t>receive a financial</w:t>
      </w:r>
      <w:r>
        <w:rPr>
          <w:spacing w:val="-2"/>
        </w:rPr>
        <w:t> </w:t>
      </w:r>
      <w:r>
        <w:rPr/>
        <w:t>reward after actual improvements</w:t>
      </w:r>
      <w:r>
        <w:rPr>
          <w:spacing w:val="-1"/>
        </w:rPr>
        <w:t> </w:t>
      </w:r>
      <w:r>
        <w:rPr/>
        <w:t>are</w:t>
      </w:r>
      <w:r>
        <w:rPr>
          <w:spacing w:val="-1"/>
        </w:rPr>
        <w:t> </w:t>
      </w:r>
      <w:r>
        <w:rPr/>
        <w:t>delivered to consumers. Moreover, a business will only retain its rewards if it can </w:t>
      </w:r>
      <w:r>
        <w:rPr>
          <w:i/>
        </w:rPr>
        <w:t>maintain the reliability improvements</w:t>
      </w:r>
      <w:r>
        <w:rPr>
          <w:i/>
          <w:spacing w:val="-3"/>
        </w:rPr>
        <w:t> </w:t>
      </w:r>
      <w:r>
        <w:rPr/>
        <w:t>on</w:t>
      </w:r>
      <w:r>
        <w:rPr>
          <w:spacing w:val="-3"/>
        </w:rPr>
        <w:t> </w:t>
      </w:r>
      <w:r>
        <w:rPr/>
        <w:t>an</w:t>
      </w:r>
      <w:r>
        <w:rPr>
          <w:spacing w:val="-4"/>
        </w:rPr>
        <w:t> </w:t>
      </w:r>
      <w:r>
        <w:rPr/>
        <w:t>ongoing</w:t>
      </w:r>
      <w:r>
        <w:rPr>
          <w:spacing w:val="-1"/>
        </w:rPr>
        <w:t> </w:t>
      </w:r>
      <w:r>
        <w:rPr/>
        <w:t>basis.</w:t>
      </w:r>
      <w:r>
        <w:rPr>
          <w:spacing w:val="-3"/>
        </w:rPr>
        <w:t> </w:t>
      </w:r>
      <w:r>
        <w:rPr/>
        <w:t>Once</w:t>
      </w:r>
      <w:r>
        <w:rPr>
          <w:spacing w:val="-4"/>
        </w:rPr>
        <w:t> </w:t>
      </w:r>
      <w:r>
        <w:rPr/>
        <w:t>an</w:t>
      </w:r>
      <w:r>
        <w:rPr>
          <w:spacing w:val="-3"/>
        </w:rPr>
        <w:t> </w:t>
      </w:r>
      <w:r>
        <w:rPr/>
        <w:t>improvement</w:t>
      </w:r>
      <w:r>
        <w:rPr>
          <w:spacing w:val="-2"/>
        </w:rPr>
        <w:t> </w:t>
      </w:r>
      <w:r>
        <w:rPr/>
        <w:t>is</w:t>
      </w:r>
      <w:r>
        <w:rPr>
          <w:spacing w:val="-4"/>
        </w:rPr>
        <w:t> </w:t>
      </w:r>
      <w:r>
        <w:rPr/>
        <w:t>made,</w:t>
      </w:r>
      <w:r>
        <w:rPr>
          <w:spacing w:val="-5"/>
        </w:rPr>
        <w:t> </w:t>
      </w:r>
      <w:r>
        <w:rPr/>
        <w:t>the</w:t>
      </w:r>
      <w:r>
        <w:rPr>
          <w:spacing w:val="-3"/>
        </w:rPr>
        <w:t> </w:t>
      </w:r>
      <w:r>
        <w:rPr/>
        <w:t>benchmark</w:t>
      </w:r>
      <w:r>
        <w:rPr>
          <w:spacing w:val="-2"/>
        </w:rPr>
        <w:t> </w:t>
      </w:r>
      <w:r>
        <w:rPr/>
        <w:t>performance targets are tightened in future years. The</w:t>
      </w:r>
      <w:r>
        <w:rPr>
          <w:spacing w:val="-3"/>
        </w:rPr>
        <w:t> </w:t>
      </w:r>
      <w:r>
        <w:rPr/>
        <w:t>reward for improved performance is paid to a business for five years, after which consumers effectively retain the benefit of the reliability improvement (AER, 2017b).</w:t>
      </w:r>
    </w:p>
    <w:p>
      <w:pPr>
        <w:pStyle w:val="BodyText"/>
        <w:spacing w:line="290" w:lineRule="auto" w:before="199"/>
        <w:ind w:left="232" w:right="374"/>
      </w:pPr>
      <w:r>
        <w:rPr/>
        <w:t>The</w:t>
      </w:r>
      <w:r>
        <w:rPr>
          <w:spacing w:val="-3"/>
        </w:rPr>
        <w:t> </w:t>
      </w:r>
      <w:r>
        <w:rPr/>
        <w:t>current</w:t>
      </w:r>
      <w:r>
        <w:rPr>
          <w:spacing w:val="-2"/>
        </w:rPr>
        <w:t> </w:t>
      </w:r>
      <w:r>
        <w:rPr/>
        <w:t>version</w:t>
      </w:r>
      <w:r>
        <w:rPr>
          <w:spacing w:val="-1"/>
        </w:rPr>
        <w:t> </w:t>
      </w:r>
      <w:r>
        <w:rPr/>
        <w:t>of the</w:t>
      </w:r>
      <w:r>
        <w:rPr>
          <w:spacing w:val="-1"/>
        </w:rPr>
        <w:t> </w:t>
      </w:r>
      <w:r>
        <w:rPr/>
        <w:t>STPIS</w:t>
      </w:r>
      <w:r>
        <w:rPr>
          <w:spacing w:val="-1"/>
        </w:rPr>
        <w:t> </w:t>
      </w:r>
      <w:r>
        <w:rPr/>
        <w:t>has</w:t>
      </w:r>
      <w:r>
        <w:rPr>
          <w:spacing w:val="-3"/>
        </w:rPr>
        <w:t> </w:t>
      </w:r>
      <w:r>
        <w:rPr/>
        <w:t>operated</w:t>
      </w:r>
      <w:r>
        <w:rPr>
          <w:spacing w:val="-3"/>
        </w:rPr>
        <w:t> </w:t>
      </w:r>
      <w:r>
        <w:rPr/>
        <w:t>since</w:t>
      </w:r>
      <w:r>
        <w:rPr>
          <w:spacing w:val="-1"/>
        </w:rPr>
        <w:t> </w:t>
      </w:r>
      <w:r>
        <w:rPr/>
        <w:t>2009.</w:t>
      </w:r>
      <w:r>
        <w:rPr>
          <w:spacing w:val="-4"/>
        </w:rPr>
        <w:t> </w:t>
      </w:r>
      <w:r>
        <w:rPr/>
        <w:t>The</w:t>
      </w:r>
      <w:r>
        <w:rPr>
          <w:spacing w:val="-1"/>
        </w:rPr>
        <w:t> </w:t>
      </w:r>
      <w:r>
        <w:rPr/>
        <w:t>AER</w:t>
      </w:r>
      <w:r>
        <w:rPr>
          <w:spacing w:val="-1"/>
        </w:rPr>
        <w:t> </w:t>
      </w:r>
      <w:r>
        <w:rPr/>
        <w:t>has</w:t>
      </w:r>
      <w:r>
        <w:rPr>
          <w:spacing w:val="-3"/>
        </w:rPr>
        <w:t> </w:t>
      </w:r>
      <w:r>
        <w:rPr/>
        <w:t>recently</w:t>
      </w:r>
      <w:r>
        <w:rPr>
          <w:spacing w:val="-3"/>
        </w:rPr>
        <w:t> </w:t>
      </w:r>
      <w:r>
        <w:rPr/>
        <w:t>commenced</w:t>
      </w:r>
      <w:r>
        <w:rPr>
          <w:spacing w:val="-3"/>
        </w:rPr>
        <w:t> </w:t>
      </w:r>
      <w:r>
        <w:rPr/>
        <w:t>a process to review the STPIS and to develop a Distribution Reliability Measures Guideline (AER, 2017b). The review is considering how new technologies may impact, or be impacted by, the Scheme and whether new measures in addition to supply reliability matters should be included.</w:t>
      </w:r>
    </w:p>
    <w:p>
      <w:pPr>
        <w:pStyle w:val="BodyText"/>
        <w:spacing w:line="288" w:lineRule="auto" w:before="192"/>
        <w:ind w:left="232" w:right="320"/>
      </w:pPr>
      <w:r>
        <w:rPr/>
        <w:t>In its issues paper, the AER (2017) outlined observations that customers have benefited from overall reductions in the frequency and duration of power supply outages, however, it also observed that the average time taken to restore power has increased substantially compared to historic levels. The AER considers that these observations warrant a review of the STPIS design, regarding</w:t>
      </w:r>
      <w:r>
        <w:rPr>
          <w:spacing w:val="-3"/>
        </w:rPr>
        <w:t> </w:t>
      </w:r>
      <w:r>
        <w:rPr/>
        <w:t>the</w:t>
      </w:r>
      <w:r>
        <w:rPr>
          <w:spacing w:val="-5"/>
        </w:rPr>
        <w:t> </w:t>
      </w:r>
      <w:r>
        <w:rPr/>
        <w:t>ratio</w:t>
      </w:r>
      <w:r>
        <w:rPr>
          <w:spacing w:val="-5"/>
        </w:rPr>
        <w:t> </w:t>
      </w:r>
      <w:r>
        <w:rPr/>
        <w:t>of</w:t>
      </w:r>
      <w:r>
        <w:rPr>
          <w:spacing w:val="-1"/>
        </w:rPr>
        <w:t> </w:t>
      </w:r>
      <w:r>
        <w:rPr/>
        <w:t>the</w:t>
      </w:r>
      <w:r>
        <w:rPr>
          <w:spacing w:val="-5"/>
        </w:rPr>
        <w:t> </w:t>
      </w:r>
      <w:r>
        <w:rPr/>
        <w:t>reward/penalty</w:t>
      </w:r>
      <w:r>
        <w:rPr>
          <w:spacing w:val="-5"/>
        </w:rPr>
        <w:t> </w:t>
      </w:r>
      <w:r>
        <w:rPr/>
        <w:t>incentive</w:t>
      </w:r>
      <w:r>
        <w:rPr>
          <w:spacing w:val="-3"/>
        </w:rPr>
        <w:t> </w:t>
      </w:r>
      <w:r>
        <w:rPr/>
        <w:t>rates</w:t>
      </w:r>
      <w:r>
        <w:rPr>
          <w:spacing w:val="-3"/>
        </w:rPr>
        <w:t> </w:t>
      </w:r>
      <w:r>
        <w:rPr/>
        <w:t>between</w:t>
      </w:r>
      <w:r>
        <w:rPr>
          <w:spacing w:val="-3"/>
        </w:rPr>
        <w:t> </w:t>
      </w:r>
      <w:r>
        <w:rPr/>
        <w:t>the</w:t>
      </w:r>
      <w:r>
        <w:rPr>
          <w:spacing w:val="-3"/>
        </w:rPr>
        <w:t> </w:t>
      </w:r>
      <w:r>
        <w:rPr/>
        <w:t>average</w:t>
      </w:r>
      <w:r>
        <w:rPr>
          <w:spacing w:val="-5"/>
        </w:rPr>
        <w:t> </w:t>
      </w:r>
      <w:r>
        <w:rPr/>
        <w:t>duration</w:t>
      </w:r>
      <w:r>
        <w:rPr>
          <w:spacing w:val="-3"/>
        </w:rPr>
        <w:t> </w:t>
      </w:r>
      <w:r>
        <w:rPr/>
        <w:t>of</w:t>
      </w:r>
      <w:r>
        <w:rPr>
          <w:spacing w:val="-1"/>
        </w:rPr>
        <w:t> </w:t>
      </w:r>
      <w:r>
        <w:rPr/>
        <w:t>the</w:t>
      </w:r>
      <w:r>
        <w:rPr>
          <w:spacing w:val="-5"/>
        </w:rPr>
        <w:t> </w:t>
      </w:r>
      <w:r>
        <w:rPr/>
        <w:t>power outages and the average frequency of the power outages. The AER is currently consulting on a draft of the revised STPIS design and a final decision is expected later in the year.</w:t>
      </w:r>
    </w:p>
    <w:p>
      <w:pPr>
        <w:pStyle w:val="BodyText"/>
        <w:spacing w:line="290" w:lineRule="auto" w:before="199"/>
        <w:ind w:left="232" w:right="374"/>
      </w:pPr>
      <w:r>
        <w:rPr/>
        <w:t>The</w:t>
      </w:r>
      <w:r>
        <w:rPr>
          <w:spacing w:val="-4"/>
        </w:rPr>
        <w:t> </w:t>
      </w:r>
      <w:r>
        <w:rPr/>
        <w:t>STPIS</w:t>
      </w:r>
      <w:r>
        <w:rPr>
          <w:spacing w:val="-4"/>
        </w:rPr>
        <w:t> </w:t>
      </w:r>
      <w:r>
        <w:rPr/>
        <w:t>review</w:t>
      </w:r>
      <w:r>
        <w:rPr>
          <w:spacing w:val="-5"/>
        </w:rPr>
        <w:t> </w:t>
      </w:r>
      <w:r>
        <w:rPr/>
        <w:t>does</w:t>
      </w:r>
      <w:r>
        <w:rPr>
          <w:spacing w:val="-4"/>
        </w:rPr>
        <w:t> </w:t>
      </w:r>
      <w:r>
        <w:rPr/>
        <w:t>not include</w:t>
      </w:r>
      <w:r>
        <w:rPr>
          <w:spacing w:val="-2"/>
        </w:rPr>
        <w:t> </w:t>
      </w:r>
      <w:r>
        <w:rPr/>
        <w:t>a</w:t>
      </w:r>
      <w:r>
        <w:rPr>
          <w:spacing w:val="-4"/>
        </w:rPr>
        <w:t> </w:t>
      </w:r>
      <w:r>
        <w:rPr/>
        <w:t>review</w:t>
      </w:r>
      <w:r>
        <w:rPr>
          <w:spacing w:val="-5"/>
        </w:rPr>
        <w:t> </w:t>
      </w:r>
      <w:r>
        <w:rPr/>
        <w:t>of</w:t>
      </w:r>
      <w:r>
        <w:rPr>
          <w:spacing w:val="-1"/>
        </w:rPr>
        <w:t> </w:t>
      </w:r>
      <w:r>
        <w:rPr/>
        <w:t>the</w:t>
      </w:r>
      <w:r>
        <w:rPr>
          <w:spacing w:val="-2"/>
        </w:rPr>
        <w:t> </w:t>
      </w:r>
      <w:r>
        <w:rPr/>
        <w:t>overall</w:t>
      </w:r>
      <w:r>
        <w:rPr>
          <w:spacing w:val="-2"/>
        </w:rPr>
        <w:t> </w:t>
      </w:r>
      <w:r>
        <w:rPr/>
        <w:t>effectiveness</w:t>
      </w:r>
      <w:r>
        <w:rPr>
          <w:spacing w:val="-2"/>
        </w:rPr>
        <w:t> </w:t>
      </w:r>
      <w:r>
        <w:rPr/>
        <w:t>of STPIS and</w:t>
      </w:r>
      <w:r>
        <w:rPr>
          <w:spacing w:val="-4"/>
        </w:rPr>
        <w:t> </w:t>
      </w:r>
      <w:r>
        <w:rPr/>
        <w:t>there</w:t>
      </w:r>
      <w:r>
        <w:rPr>
          <w:spacing w:val="-2"/>
        </w:rPr>
        <w:t> </w:t>
      </w:r>
      <w:r>
        <w:rPr/>
        <w:t>is</w:t>
      </w:r>
      <w:r>
        <w:rPr>
          <w:spacing w:val="-4"/>
        </w:rPr>
        <w:t> </w:t>
      </w:r>
      <w:r>
        <w:rPr/>
        <w:t>no set timeframe designated, or terms of reference, for a regular review of the overall effectiveness (AER, 2017b).</w:t>
      </w:r>
      <w:r>
        <w:rPr>
          <w:spacing w:val="-2"/>
        </w:rPr>
        <w:t> </w:t>
      </w:r>
      <w:r>
        <w:rPr/>
        <w:t>An</w:t>
      </w:r>
      <w:r>
        <w:rPr>
          <w:spacing w:val="-1"/>
        </w:rPr>
        <w:t> </w:t>
      </w:r>
      <w:r>
        <w:rPr/>
        <w:t>evaluation</w:t>
      </w:r>
      <w:r>
        <w:rPr>
          <w:spacing w:val="-1"/>
        </w:rPr>
        <w:t> </w:t>
      </w:r>
      <w:r>
        <w:rPr/>
        <w:t>of the</w:t>
      </w:r>
      <w:r>
        <w:rPr>
          <w:spacing w:val="-3"/>
        </w:rPr>
        <w:t> </w:t>
      </w:r>
      <w:r>
        <w:rPr/>
        <w:t>effectiveness</w:t>
      </w:r>
      <w:r>
        <w:rPr>
          <w:spacing w:val="-1"/>
        </w:rPr>
        <w:t> </w:t>
      </w:r>
      <w:r>
        <w:rPr/>
        <w:t>of the</w:t>
      </w:r>
      <w:r>
        <w:rPr>
          <w:spacing w:val="-1"/>
        </w:rPr>
        <w:t> </w:t>
      </w:r>
      <w:r>
        <w:rPr/>
        <w:t>STPIS</w:t>
      </w:r>
      <w:r>
        <w:rPr>
          <w:spacing w:val="-4"/>
        </w:rPr>
        <w:t> </w:t>
      </w:r>
      <w:r>
        <w:rPr/>
        <w:t>would</w:t>
      </w:r>
      <w:r>
        <w:rPr>
          <w:spacing w:val="-1"/>
        </w:rPr>
        <w:t> </w:t>
      </w:r>
      <w:r>
        <w:rPr/>
        <w:t>ideally</w:t>
      </w:r>
      <w:r>
        <w:rPr>
          <w:spacing w:val="-3"/>
        </w:rPr>
        <w:t> </w:t>
      </w:r>
      <w:r>
        <w:rPr/>
        <w:t>consider the</w:t>
      </w:r>
      <w:r>
        <w:rPr>
          <w:spacing w:val="-1"/>
        </w:rPr>
        <w:t> </w:t>
      </w:r>
      <w:r>
        <w:rPr/>
        <w:t>overlap and any negative interactions between the STPIS and f-factor incentive schemes.</w:t>
      </w:r>
    </w:p>
    <w:p>
      <w:pPr>
        <w:pStyle w:val="BodyText"/>
        <w:spacing w:before="10"/>
        <w:rPr>
          <w:sz w:val="35"/>
        </w:rPr>
      </w:pPr>
    </w:p>
    <w:p>
      <w:pPr>
        <w:pStyle w:val="Heading6"/>
        <w:ind w:left="232"/>
      </w:pPr>
      <w:r>
        <w:rPr/>
        <w:t>f-factor</w:t>
      </w:r>
      <w:r>
        <w:rPr>
          <w:spacing w:val="-6"/>
        </w:rPr>
        <w:t> </w:t>
      </w:r>
      <w:r>
        <w:rPr/>
        <w:t>Incentive</w:t>
      </w:r>
      <w:r>
        <w:rPr>
          <w:spacing w:val="-6"/>
        </w:rPr>
        <w:t> </w:t>
      </w:r>
      <w:r>
        <w:rPr>
          <w:spacing w:val="-2"/>
        </w:rPr>
        <w:t>Scheme</w:t>
      </w:r>
    </w:p>
    <w:p>
      <w:pPr>
        <w:pStyle w:val="BodyText"/>
        <w:spacing w:line="288" w:lineRule="auto" w:before="173"/>
        <w:ind w:left="232" w:right="374"/>
      </w:pPr>
      <w:r>
        <w:rPr/>
        <w:t>In response to the role electricity assets played in the Black Saturday fires, the Victorian Government introduced the f-factor Incentive Scheme. The Scheme is a regulatory instrument under the </w:t>
      </w:r>
      <w:r>
        <w:rPr>
          <w:i/>
        </w:rPr>
        <w:t>National Electricity (Victoria) Act 2005</w:t>
      </w:r>
      <w:r>
        <w:rPr/>
        <w:t>, designed around a quantitative benchmark (number</w:t>
      </w:r>
      <w:r>
        <w:rPr>
          <w:spacing w:val="-1"/>
        </w:rPr>
        <w:t> </w:t>
      </w:r>
      <w:r>
        <w:rPr/>
        <w:t>of</w:t>
      </w:r>
      <w:r>
        <w:rPr>
          <w:spacing w:val="-3"/>
        </w:rPr>
        <w:t> </w:t>
      </w:r>
      <w:r>
        <w:rPr/>
        <w:t>fires</w:t>
      </w:r>
      <w:r>
        <w:rPr>
          <w:spacing w:val="-4"/>
        </w:rPr>
        <w:t> </w:t>
      </w:r>
      <w:r>
        <w:rPr/>
        <w:t>started</w:t>
      </w:r>
      <w:r>
        <w:rPr>
          <w:spacing w:val="-6"/>
        </w:rPr>
        <w:t> </w:t>
      </w:r>
      <w:r>
        <w:rPr/>
        <w:t>by</w:t>
      </w:r>
      <w:r>
        <w:rPr>
          <w:spacing w:val="-4"/>
        </w:rPr>
        <w:t> </w:t>
      </w:r>
      <w:r>
        <w:rPr/>
        <w:t>distribution</w:t>
      </w:r>
      <w:r>
        <w:rPr>
          <w:spacing w:val="-2"/>
        </w:rPr>
        <w:t> </w:t>
      </w:r>
      <w:r>
        <w:rPr/>
        <w:t>assets</w:t>
      </w:r>
      <w:r>
        <w:rPr>
          <w:spacing w:val="-1"/>
        </w:rPr>
        <w:t> </w:t>
      </w:r>
      <w:r>
        <w:rPr/>
        <w:t>in</w:t>
      </w:r>
      <w:r>
        <w:rPr>
          <w:spacing w:val="-6"/>
        </w:rPr>
        <w:t> </w:t>
      </w:r>
      <w:r>
        <w:rPr/>
        <w:t>a</w:t>
      </w:r>
      <w:r>
        <w:rPr>
          <w:spacing w:val="-2"/>
        </w:rPr>
        <w:t> </w:t>
      </w:r>
      <w:r>
        <w:rPr/>
        <w:t>year)</w:t>
      </w:r>
      <w:r>
        <w:rPr>
          <w:spacing w:val="-1"/>
        </w:rPr>
        <w:t> </w:t>
      </w:r>
      <w:r>
        <w:rPr/>
        <w:t>with</w:t>
      </w:r>
      <w:r>
        <w:rPr>
          <w:spacing w:val="-2"/>
        </w:rPr>
        <w:t> </w:t>
      </w:r>
      <w:r>
        <w:rPr/>
        <w:t>rewards</w:t>
      </w:r>
      <w:r>
        <w:rPr>
          <w:spacing w:val="-1"/>
        </w:rPr>
        <w:t> </w:t>
      </w:r>
      <w:r>
        <w:rPr/>
        <w:t>and</w:t>
      </w:r>
      <w:r>
        <w:rPr>
          <w:spacing w:val="-4"/>
        </w:rPr>
        <w:t> </w:t>
      </w:r>
      <w:r>
        <w:rPr/>
        <w:t>penalties</w:t>
      </w:r>
      <w:r>
        <w:rPr>
          <w:spacing w:val="-1"/>
        </w:rPr>
        <w:t> </w:t>
      </w:r>
      <w:r>
        <w:rPr/>
        <w:t>–</w:t>
      </w:r>
      <w:r>
        <w:rPr>
          <w:spacing w:val="-3"/>
        </w:rPr>
        <w:t> </w:t>
      </w:r>
      <w:r>
        <w:rPr/>
        <w:t>a</w:t>
      </w:r>
      <w:r>
        <w:rPr>
          <w:spacing w:val="-4"/>
        </w:rPr>
        <w:t> </w:t>
      </w:r>
      <w:r>
        <w:rPr/>
        <w:t>revenue adjustment – with respect to the historical performance.</w:t>
      </w:r>
    </w:p>
    <w:p>
      <w:pPr>
        <w:pStyle w:val="BodyText"/>
        <w:spacing w:before="11"/>
        <w:rPr>
          <w:sz w:val="20"/>
        </w:rPr>
      </w:pPr>
    </w:p>
    <w:p>
      <w:pPr>
        <w:pStyle w:val="BodyText"/>
        <w:spacing w:line="288" w:lineRule="auto"/>
        <w:ind w:left="232" w:right="374"/>
      </w:pPr>
      <w:r>
        <w:rPr/>
        <w:t>This</w:t>
      </w:r>
      <w:r>
        <w:rPr>
          <w:spacing w:val="-1"/>
        </w:rPr>
        <w:t> </w:t>
      </w:r>
      <w:r>
        <w:rPr/>
        <w:t>Scheme</w:t>
      </w:r>
      <w:r>
        <w:rPr>
          <w:spacing w:val="-4"/>
        </w:rPr>
        <w:t> </w:t>
      </w:r>
      <w:r>
        <w:rPr/>
        <w:t>was</w:t>
      </w:r>
      <w:r>
        <w:rPr>
          <w:spacing w:val="-4"/>
        </w:rPr>
        <w:t> </w:t>
      </w:r>
      <w:r>
        <w:rPr/>
        <w:t>first</w:t>
      </w:r>
      <w:r>
        <w:rPr>
          <w:spacing w:val="-3"/>
        </w:rPr>
        <w:t> </w:t>
      </w:r>
      <w:r>
        <w:rPr/>
        <w:t>introduced</w:t>
      </w:r>
      <w:r>
        <w:rPr>
          <w:spacing w:val="-2"/>
        </w:rPr>
        <w:t> </w:t>
      </w:r>
      <w:r>
        <w:rPr/>
        <w:t>in</w:t>
      </w:r>
      <w:r>
        <w:rPr>
          <w:spacing w:val="-2"/>
        </w:rPr>
        <w:t> </w:t>
      </w:r>
      <w:r>
        <w:rPr/>
        <w:t>2011.</w:t>
      </w:r>
      <w:r>
        <w:rPr>
          <w:spacing w:val="-3"/>
        </w:rPr>
        <w:t> </w:t>
      </w:r>
      <w:r>
        <w:rPr/>
        <w:t>It was</w:t>
      </w:r>
      <w:r>
        <w:rPr>
          <w:spacing w:val="-2"/>
        </w:rPr>
        <w:t> </w:t>
      </w:r>
      <w:r>
        <w:rPr/>
        <w:t>revised</w:t>
      </w:r>
      <w:r>
        <w:rPr>
          <w:spacing w:val="-2"/>
        </w:rPr>
        <w:t> </w:t>
      </w:r>
      <w:r>
        <w:rPr/>
        <w:t>in</w:t>
      </w:r>
      <w:r>
        <w:rPr>
          <w:spacing w:val="-2"/>
        </w:rPr>
        <w:t> </w:t>
      </w:r>
      <w:r>
        <w:rPr/>
        <w:t>2016</w:t>
      </w:r>
      <w:r>
        <w:rPr>
          <w:spacing w:val="-2"/>
        </w:rPr>
        <w:t> </w:t>
      </w:r>
      <w:r>
        <w:rPr/>
        <w:t>by</w:t>
      </w:r>
      <w:r>
        <w:rPr>
          <w:spacing w:val="-4"/>
        </w:rPr>
        <w:t> </w:t>
      </w:r>
      <w:r>
        <w:rPr/>
        <w:t>the</w:t>
      </w:r>
      <w:r>
        <w:rPr>
          <w:spacing w:val="-2"/>
        </w:rPr>
        <w:t> </w:t>
      </w:r>
      <w:r>
        <w:rPr/>
        <w:t>Victorian</w:t>
      </w:r>
      <w:r>
        <w:rPr>
          <w:spacing w:val="-4"/>
        </w:rPr>
        <w:t> </w:t>
      </w:r>
      <w:r>
        <w:rPr/>
        <w:t>Government in recognition of newly introduced infrastructure upgrades to electricity assets, applying more stringent performance benchmarks and reporting obligations on the distribution businesses.</w:t>
      </w:r>
    </w:p>
    <w:p>
      <w:pPr>
        <w:pStyle w:val="BodyText"/>
        <w:spacing w:before="9"/>
        <w:rPr>
          <w:sz w:val="20"/>
        </w:rPr>
      </w:pPr>
    </w:p>
    <w:p>
      <w:pPr>
        <w:pStyle w:val="BodyText"/>
        <w:spacing w:line="288" w:lineRule="auto"/>
        <w:ind w:left="232" w:right="374"/>
      </w:pPr>
      <w:r>
        <w:rPr/>
        <w:t>The revised Scheme weights all network fire ignitions by time and geographical location and applies an increasing financial incentive to ignitions, relative to their bushfire risk. The revised Scheme</w:t>
      </w:r>
      <w:r>
        <w:rPr>
          <w:spacing w:val="-3"/>
        </w:rPr>
        <w:t> </w:t>
      </w:r>
      <w:r>
        <w:rPr/>
        <w:t>focuses</w:t>
      </w:r>
      <w:r>
        <w:rPr>
          <w:spacing w:val="-5"/>
        </w:rPr>
        <w:t> </w:t>
      </w:r>
      <w:r>
        <w:rPr/>
        <w:t>fire</w:t>
      </w:r>
      <w:r>
        <w:rPr>
          <w:spacing w:val="-3"/>
        </w:rPr>
        <w:t> </w:t>
      </w:r>
      <w:r>
        <w:rPr/>
        <w:t>start</w:t>
      </w:r>
      <w:r>
        <w:rPr>
          <w:spacing w:val="-2"/>
        </w:rPr>
        <w:t> </w:t>
      </w:r>
      <w:r>
        <w:rPr/>
        <w:t>reduction</w:t>
      </w:r>
      <w:r>
        <w:rPr>
          <w:spacing w:val="-1"/>
        </w:rPr>
        <w:t> </w:t>
      </w:r>
      <w:r>
        <w:rPr/>
        <w:t>efforts at high</w:t>
      </w:r>
      <w:r>
        <w:rPr>
          <w:spacing w:val="-5"/>
        </w:rPr>
        <w:t> </w:t>
      </w:r>
      <w:r>
        <w:rPr/>
        <w:t>fire</w:t>
      </w:r>
      <w:r>
        <w:rPr>
          <w:spacing w:val="-3"/>
        </w:rPr>
        <w:t> </w:t>
      </w:r>
      <w:r>
        <w:rPr/>
        <w:t>risk locations and</w:t>
      </w:r>
      <w:r>
        <w:rPr>
          <w:spacing w:val="-3"/>
        </w:rPr>
        <w:t> </w:t>
      </w:r>
      <w:r>
        <w:rPr/>
        <w:t>times,</w:t>
      </w:r>
      <w:r>
        <w:rPr>
          <w:spacing w:val="-2"/>
        </w:rPr>
        <w:t> </w:t>
      </w:r>
      <w:r>
        <w:rPr/>
        <w:t>such</w:t>
      </w:r>
      <w:r>
        <w:rPr>
          <w:spacing w:val="-3"/>
        </w:rPr>
        <w:t> </w:t>
      </w:r>
      <w:r>
        <w:rPr/>
        <w:t>as</w:t>
      </w:r>
      <w:r>
        <w:rPr>
          <w:spacing w:val="-3"/>
        </w:rPr>
        <w:t> </w:t>
      </w:r>
      <w:r>
        <w:rPr/>
        <w:t>code</w:t>
      </w:r>
      <w:r>
        <w:rPr>
          <w:spacing w:val="-3"/>
        </w:rPr>
        <w:t> </w:t>
      </w:r>
      <w:r>
        <w:rPr/>
        <w:t>red days, which are subject to the highest penalty rates. The revised Scheme also allows for performance benchmarks to reflect the introduction of Rapid Earth Current Fault Limiters.</w:t>
      </w:r>
    </w:p>
    <w:p>
      <w:pPr>
        <w:pStyle w:val="BodyText"/>
        <w:rPr>
          <w:sz w:val="21"/>
        </w:rPr>
      </w:pPr>
    </w:p>
    <w:p>
      <w:pPr>
        <w:spacing w:line="288" w:lineRule="auto" w:before="0"/>
        <w:ind w:left="232" w:right="374" w:firstLine="0"/>
        <w:jc w:val="left"/>
        <w:rPr>
          <w:i/>
          <w:sz w:val="22"/>
        </w:rPr>
      </w:pPr>
      <w:r>
        <w:rPr>
          <w:sz w:val="22"/>
        </w:rPr>
        <w:t>The</w:t>
      </w:r>
      <w:r>
        <w:rPr>
          <w:spacing w:val="-4"/>
          <w:sz w:val="22"/>
        </w:rPr>
        <w:t> </w:t>
      </w:r>
      <w:r>
        <w:rPr>
          <w:sz w:val="22"/>
        </w:rPr>
        <w:t>revised</w:t>
      </w:r>
      <w:r>
        <w:rPr>
          <w:spacing w:val="-2"/>
          <w:sz w:val="22"/>
        </w:rPr>
        <w:t> </w:t>
      </w:r>
      <w:r>
        <w:rPr>
          <w:sz w:val="22"/>
        </w:rPr>
        <w:t>Scheme</w:t>
      </w:r>
      <w:r>
        <w:rPr>
          <w:spacing w:val="-4"/>
          <w:sz w:val="22"/>
        </w:rPr>
        <w:t> </w:t>
      </w:r>
      <w:r>
        <w:rPr>
          <w:sz w:val="22"/>
        </w:rPr>
        <w:t>has</w:t>
      </w:r>
      <w:r>
        <w:rPr>
          <w:spacing w:val="-4"/>
          <w:sz w:val="22"/>
        </w:rPr>
        <w:t> </w:t>
      </w:r>
      <w:r>
        <w:rPr>
          <w:sz w:val="22"/>
        </w:rPr>
        <w:t>been</w:t>
      </w:r>
      <w:r>
        <w:rPr>
          <w:spacing w:val="-2"/>
          <w:sz w:val="22"/>
        </w:rPr>
        <w:t> </w:t>
      </w:r>
      <w:r>
        <w:rPr>
          <w:sz w:val="22"/>
        </w:rPr>
        <w:t>operating</w:t>
      </w:r>
      <w:r>
        <w:rPr>
          <w:spacing w:val="-2"/>
          <w:sz w:val="22"/>
        </w:rPr>
        <w:t> </w:t>
      </w:r>
      <w:r>
        <w:rPr>
          <w:sz w:val="22"/>
        </w:rPr>
        <w:t>since</w:t>
      </w:r>
      <w:r>
        <w:rPr>
          <w:spacing w:val="-2"/>
          <w:sz w:val="22"/>
        </w:rPr>
        <w:t> </w:t>
      </w:r>
      <w:r>
        <w:rPr>
          <w:sz w:val="22"/>
        </w:rPr>
        <w:t>July</w:t>
      </w:r>
      <w:r>
        <w:rPr>
          <w:spacing w:val="-4"/>
          <w:sz w:val="22"/>
        </w:rPr>
        <w:t> </w:t>
      </w:r>
      <w:r>
        <w:rPr>
          <w:sz w:val="22"/>
        </w:rPr>
        <w:t>2016, and</w:t>
      </w:r>
      <w:r>
        <w:rPr>
          <w:spacing w:val="-4"/>
          <w:sz w:val="22"/>
        </w:rPr>
        <w:t> </w:t>
      </w:r>
      <w:r>
        <w:rPr>
          <w:sz w:val="22"/>
        </w:rPr>
        <w:t>the</w:t>
      </w:r>
      <w:r>
        <w:rPr>
          <w:spacing w:val="-4"/>
          <w:sz w:val="22"/>
        </w:rPr>
        <w:t> </w:t>
      </w:r>
      <w:r>
        <w:rPr>
          <w:sz w:val="22"/>
        </w:rPr>
        <w:t>first</w:t>
      </w:r>
      <w:r>
        <w:rPr>
          <w:spacing w:val="-3"/>
          <w:sz w:val="22"/>
        </w:rPr>
        <w:t> </w:t>
      </w:r>
      <w:r>
        <w:rPr>
          <w:sz w:val="22"/>
        </w:rPr>
        <w:t>reports</w:t>
      </w:r>
      <w:r>
        <w:rPr>
          <w:spacing w:val="-4"/>
          <w:sz w:val="22"/>
        </w:rPr>
        <w:t> </w:t>
      </w:r>
      <w:r>
        <w:rPr>
          <w:sz w:val="22"/>
        </w:rPr>
        <w:t>will</w:t>
      </w:r>
      <w:r>
        <w:rPr>
          <w:spacing w:val="-2"/>
          <w:sz w:val="22"/>
        </w:rPr>
        <w:t> </w:t>
      </w:r>
      <w:r>
        <w:rPr>
          <w:sz w:val="22"/>
        </w:rPr>
        <w:t>be</w:t>
      </w:r>
      <w:r>
        <w:rPr>
          <w:spacing w:val="-2"/>
          <w:sz w:val="22"/>
        </w:rPr>
        <w:t> </w:t>
      </w:r>
      <w:r>
        <w:rPr>
          <w:sz w:val="22"/>
        </w:rPr>
        <w:t>released</w:t>
      </w:r>
      <w:r>
        <w:rPr>
          <w:spacing w:val="-2"/>
          <w:sz w:val="22"/>
        </w:rPr>
        <w:t> </w:t>
      </w:r>
      <w:r>
        <w:rPr>
          <w:sz w:val="22"/>
        </w:rPr>
        <w:t>by early 2018 for the 2016–17 financial year. In the </w:t>
      </w:r>
      <w:r>
        <w:rPr>
          <w:i/>
          <w:sz w:val="22"/>
        </w:rPr>
        <w:t>f-factor Incentive Scheme: Regulatory Impact</w:t>
      </w:r>
    </w:p>
    <w:p>
      <w:pPr>
        <w:spacing w:after="0" w:line="288" w:lineRule="auto"/>
        <w:jc w:val="left"/>
        <w:rPr>
          <w:sz w:val="22"/>
        </w:rPr>
        <w:sectPr>
          <w:pgSz w:w="11910" w:h="16850"/>
          <w:pgMar w:header="220" w:footer="678" w:top="420" w:bottom="860" w:left="900" w:right="840"/>
        </w:sectPr>
      </w:pPr>
    </w:p>
    <w:p>
      <w:pPr>
        <w:pStyle w:val="BodyText"/>
        <w:rPr>
          <w:i/>
          <w:sz w:val="20"/>
        </w:rPr>
      </w:pPr>
    </w:p>
    <w:p>
      <w:pPr>
        <w:pStyle w:val="BodyText"/>
        <w:spacing w:before="2"/>
        <w:rPr>
          <w:i/>
          <w:sz w:val="19"/>
        </w:rPr>
      </w:pPr>
    </w:p>
    <w:p>
      <w:pPr>
        <w:pStyle w:val="BodyText"/>
        <w:spacing w:line="288" w:lineRule="auto" w:before="94"/>
        <w:ind w:left="232" w:right="408"/>
      </w:pPr>
      <w:r>
        <w:rPr>
          <w:i/>
        </w:rPr>
        <w:t>Statement</w:t>
      </w:r>
      <w:r>
        <w:rPr/>
        <w:t>,</w:t>
      </w:r>
      <w:r>
        <w:rPr>
          <w:spacing w:val="-4"/>
        </w:rPr>
        <w:t> </w:t>
      </w:r>
      <w:r>
        <w:rPr/>
        <w:t>the</w:t>
      </w:r>
      <w:r>
        <w:rPr>
          <w:spacing w:val="-3"/>
        </w:rPr>
        <w:t> </w:t>
      </w:r>
      <w:r>
        <w:rPr/>
        <w:t>Department</w:t>
      </w:r>
      <w:r>
        <w:rPr>
          <w:spacing w:val="-1"/>
        </w:rPr>
        <w:t> </w:t>
      </w:r>
      <w:r>
        <w:rPr/>
        <w:t>of</w:t>
      </w:r>
      <w:r>
        <w:rPr>
          <w:spacing w:val="-1"/>
        </w:rPr>
        <w:t> </w:t>
      </w:r>
      <w:r>
        <w:rPr/>
        <w:t>Environment,</w:t>
      </w:r>
      <w:r>
        <w:rPr>
          <w:spacing w:val="-4"/>
        </w:rPr>
        <w:t> </w:t>
      </w:r>
      <w:r>
        <w:rPr/>
        <w:t>Land,</w:t>
      </w:r>
      <w:r>
        <w:rPr>
          <w:spacing w:val="-8"/>
        </w:rPr>
        <w:t> </w:t>
      </w:r>
      <w:r>
        <w:rPr/>
        <w:t>Water</w:t>
      </w:r>
      <w:r>
        <w:rPr>
          <w:spacing w:val="-2"/>
        </w:rPr>
        <w:t> </w:t>
      </w:r>
      <w:r>
        <w:rPr/>
        <w:t>and</w:t>
      </w:r>
      <w:r>
        <w:rPr>
          <w:spacing w:val="-4"/>
        </w:rPr>
        <w:t> </w:t>
      </w:r>
      <w:r>
        <w:rPr/>
        <w:t>Planning</w:t>
      </w:r>
      <w:r>
        <w:rPr>
          <w:spacing w:val="-3"/>
        </w:rPr>
        <w:t> </w:t>
      </w:r>
      <w:r>
        <w:rPr/>
        <w:t>(DELWP),</w:t>
      </w:r>
      <w:r>
        <w:rPr>
          <w:spacing w:val="-4"/>
        </w:rPr>
        <w:t> </w:t>
      </w:r>
      <w:r>
        <w:rPr/>
        <w:t>indicated</w:t>
      </w:r>
      <w:r>
        <w:rPr>
          <w:spacing w:val="-4"/>
        </w:rPr>
        <w:t> </w:t>
      </w:r>
      <w:r>
        <w:rPr/>
        <w:t>that once the revised Scheme is better established, it will be possible to form a view on the effectiveness of the revised Scheme (DELWP, 2016).</w:t>
      </w:r>
    </w:p>
    <w:p>
      <w:pPr>
        <w:pStyle w:val="BodyText"/>
        <w:rPr>
          <w:sz w:val="24"/>
        </w:rPr>
      </w:pPr>
    </w:p>
    <w:p>
      <w:pPr>
        <w:pStyle w:val="Heading6"/>
        <w:spacing w:before="144"/>
        <w:ind w:left="232"/>
      </w:pPr>
      <w:r>
        <w:rPr>
          <w:spacing w:val="-2"/>
        </w:rPr>
        <w:t>Insurance</w:t>
      </w:r>
    </w:p>
    <w:p>
      <w:pPr>
        <w:pStyle w:val="BodyText"/>
        <w:spacing w:line="288" w:lineRule="auto" w:before="175"/>
        <w:ind w:left="232" w:right="374"/>
      </w:pPr>
      <w:r>
        <w:rPr/>
        <w:t>Insurance</w:t>
      </w:r>
      <w:r>
        <w:rPr>
          <w:spacing w:val="-4"/>
        </w:rPr>
        <w:t> </w:t>
      </w:r>
      <w:r>
        <w:rPr/>
        <w:t>premiums</w:t>
      </w:r>
      <w:r>
        <w:rPr>
          <w:spacing w:val="-1"/>
        </w:rPr>
        <w:t> </w:t>
      </w:r>
      <w:r>
        <w:rPr/>
        <w:t>act</w:t>
      </w:r>
      <w:r>
        <w:rPr>
          <w:spacing w:val="-3"/>
        </w:rPr>
        <w:t> </w:t>
      </w:r>
      <w:r>
        <w:rPr/>
        <w:t>as</w:t>
      </w:r>
      <w:r>
        <w:rPr>
          <w:spacing w:val="-2"/>
        </w:rPr>
        <w:t> </w:t>
      </w:r>
      <w:r>
        <w:rPr/>
        <w:t>an</w:t>
      </w:r>
      <w:r>
        <w:rPr>
          <w:spacing w:val="-2"/>
        </w:rPr>
        <w:t> </w:t>
      </w:r>
      <w:r>
        <w:rPr/>
        <w:t>economic</w:t>
      </w:r>
      <w:r>
        <w:rPr>
          <w:spacing w:val="-1"/>
        </w:rPr>
        <w:t> </w:t>
      </w:r>
      <w:r>
        <w:rPr/>
        <w:t>incentive</w:t>
      </w:r>
      <w:r>
        <w:rPr>
          <w:spacing w:val="-4"/>
        </w:rPr>
        <w:t> </w:t>
      </w:r>
      <w:r>
        <w:rPr/>
        <w:t>for</w:t>
      </w:r>
      <w:r>
        <w:rPr>
          <w:spacing w:val="-1"/>
        </w:rPr>
        <w:t> </w:t>
      </w:r>
      <w:r>
        <w:rPr/>
        <w:t>network</w:t>
      </w:r>
      <w:r>
        <w:rPr>
          <w:spacing w:val="-1"/>
        </w:rPr>
        <w:t> </w:t>
      </w:r>
      <w:r>
        <w:rPr/>
        <w:t>businesses</w:t>
      </w:r>
      <w:r>
        <w:rPr>
          <w:spacing w:val="-4"/>
        </w:rPr>
        <w:t> </w:t>
      </w:r>
      <w:r>
        <w:rPr/>
        <w:t>to</w:t>
      </w:r>
      <w:r>
        <w:rPr>
          <w:spacing w:val="-4"/>
        </w:rPr>
        <w:t> </w:t>
      </w:r>
      <w:r>
        <w:rPr/>
        <w:t>minimise</w:t>
      </w:r>
      <w:r>
        <w:rPr>
          <w:spacing w:val="-4"/>
        </w:rPr>
        <w:t> </w:t>
      </w:r>
      <w:r>
        <w:rPr/>
        <w:t>safety</w:t>
      </w:r>
      <w:r>
        <w:rPr>
          <w:spacing w:val="-4"/>
        </w:rPr>
        <w:t> </w:t>
      </w:r>
      <w:r>
        <w:rPr/>
        <w:t>risks because</w:t>
      </w:r>
      <w:r>
        <w:rPr>
          <w:spacing w:val="-1"/>
        </w:rPr>
        <w:t> </w:t>
      </w:r>
      <w:r>
        <w:rPr/>
        <w:t>incidents</w:t>
      </w:r>
      <w:r>
        <w:rPr>
          <w:spacing w:val="-2"/>
        </w:rPr>
        <w:t> </w:t>
      </w:r>
      <w:r>
        <w:rPr/>
        <w:t>resulting</w:t>
      </w:r>
      <w:r>
        <w:rPr>
          <w:spacing w:val="-1"/>
        </w:rPr>
        <w:t> </w:t>
      </w:r>
      <w:r>
        <w:rPr/>
        <w:t>in</w:t>
      </w:r>
      <w:r>
        <w:rPr>
          <w:spacing w:val="-1"/>
        </w:rPr>
        <w:t> </w:t>
      </w:r>
      <w:r>
        <w:rPr/>
        <w:t>a claim</w:t>
      </w:r>
      <w:r>
        <w:rPr>
          <w:spacing w:val="-2"/>
        </w:rPr>
        <w:t> </w:t>
      </w:r>
      <w:r>
        <w:rPr/>
        <w:t>on</w:t>
      </w:r>
      <w:r>
        <w:rPr>
          <w:spacing w:val="-1"/>
        </w:rPr>
        <w:t> </w:t>
      </w:r>
      <w:r>
        <w:rPr/>
        <w:t>insurance</w:t>
      </w:r>
      <w:r>
        <w:rPr>
          <w:spacing w:val="-1"/>
        </w:rPr>
        <w:t> </w:t>
      </w:r>
      <w:r>
        <w:rPr/>
        <w:t>often</w:t>
      </w:r>
      <w:r>
        <w:rPr>
          <w:spacing w:val="-1"/>
        </w:rPr>
        <w:t> </w:t>
      </w:r>
      <w:r>
        <w:rPr/>
        <w:t>lead</w:t>
      </w:r>
      <w:r>
        <w:rPr>
          <w:spacing w:val="-3"/>
        </w:rPr>
        <w:t> </w:t>
      </w:r>
      <w:r>
        <w:rPr/>
        <w:t>to</w:t>
      </w:r>
      <w:r>
        <w:rPr>
          <w:spacing w:val="-1"/>
        </w:rPr>
        <w:t> </w:t>
      </w:r>
      <w:r>
        <w:rPr/>
        <w:t>higher</w:t>
      </w:r>
      <w:r>
        <w:rPr>
          <w:spacing w:val="-2"/>
        </w:rPr>
        <w:t> </w:t>
      </w:r>
      <w:r>
        <w:rPr/>
        <w:t>future insurance</w:t>
      </w:r>
      <w:r>
        <w:rPr>
          <w:spacing w:val="-1"/>
        </w:rPr>
        <w:t> </w:t>
      </w:r>
      <w:r>
        <w:rPr/>
        <w:t>costs. As a result of the significant risks posed by bushfires, bushfire liability insurance premiums are costly and form a significant proportion of an electricity distribution business’s operating expenditure.</w:t>
      </w:r>
    </w:p>
    <w:p>
      <w:pPr>
        <w:pStyle w:val="BodyText"/>
        <w:spacing w:before="10"/>
        <w:rPr>
          <w:sz w:val="20"/>
        </w:rPr>
      </w:pPr>
    </w:p>
    <w:p>
      <w:pPr>
        <w:pStyle w:val="BodyText"/>
        <w:ind w:left="232"/>
      </w:pPr>
      <w:r>
        <w:rPr/>
        <w:t>This</w:t>
      </w:r>
      <w:r>
        <w:rPr>
          <w:spacing w:val="-5"/>
        </w:rPr>
        <w:t> </w:t>
      </w:r>
      <w:r>
        <w:rPr/>
        <w:t>is</w:t>
      </w:r>
      <w:r>
        <w:rPr>
          <w:spacing w:val="-5"/>
        </w:rPr>
        <w:t> </w:t>
      </w:r>
      <w:r>
        <w:rPr/>
        <w:t>highlighted</w:t>
      </w:r>
      <w:r>
        <w:rPr>
          <w:spacing w:val="-5"/>
        </w:rPr>
        <w:t> </w:t>
      </w:r>
      <w:r>
        <w:rPr/>
        <w:t>by</w:t>
      </w:r>
      <w:r>
        <w:rPr>
          <w:spacing w:val="-5"/>
        </w:rPr>
        <w:t> </w:t>
      </w:r>
      <w:r>
        <w:rPr/>
        <w:t>AusNet</w:t>
      </w:r>
      <w:r>
        <w:rPr>
          <w:spacing w:val="-3"/>
        </w:rPr>
        <w:t> </w:t>
      </w:r>
      <w:r>
        <w:rPr/>
        <w:t>Services,</w:t>
      </w:r>
      <w:r>
        <w:rPr>
          <w:spacing w:val="-4"/>
        </w:rPr>
        <w:t> </w:t>
      </w:r>
      <w:r>
        <w:rPr/>
        <w:t>in</w:t>
      </w:r>
      <w:r>
        <w:rPr>
          <w:spacing w:val="-3"/>
        </w:rPr>
        <w:t> </w:t>
      </w:r>
      <w:r>
        <w:rPr/>
        <w:t>its</w:t>
      </w:r>
      <w:r>
        <w:rPr>
          <w:spacing w:val="-4"/>
        </w:rPr>
        <w:t> </w:t>
      </w:r>
      <w:r>
        <w:rPr/>
        <w:t>EDPR</w:t>
      </w:r>
      <w:r>
        <w:rPr>
          <w:spacing w:val="-4"/>
        </w:rPr>
        <w:t> </w:t>
      </w:r>
      <w:r>
        <w:rPr/>
        <w:t>proposal</w:t>
      </w:r>
      <w:r>
        <w:rPr>
          <w:spacing w:val="-6"/>
        </w:rPr>
        <w:t> </w:t>
      </w:r>
      <w:r>
        <w:rPr/>
        <w:t>for</w:t>
      </w:r>
      <w:r>
        <w:rPr>
          <w:spacing w:val="-4"/>
        </w:rPr>
        <w:t> </w:t>
      </w:r>
      <w:r>
        <w:rPr/>
        <w:t>2016–20</w:t>
      </w:r>
      <w:r>
        <w:rPr>
          <w:spacing w:val="-5"/>
        </w:rPr>
        <w:t> </w:t>
      </w:r>
      <w:r>
        <w:rPr/>
        <w:t>which</w:t>
      </w:r>
      <w:r>
        <w:rPr>
          <w:spacing w:val="-3"/>
        </w:rPr>
        <w:t> </w:t>
      </w:r>
      <w:r>
        <w:rPr>
          <w:spacing w:val="-2"/>
        </w:rPr>
        <w:t>noted:</w:t>
      </w:r>
    </w:p>
    <w:p>
      <w:pPr>
        <w:pStyle w:val="BodyText"/>
        <w:spacing w:before="4"/>
        <w:rPr>
          <w:sz w:val="25"/>
        </w:rPr>
      </w:pPr>
    </w:p>
    <w:p>
      <w:pPr>
        <w:spacing w:line="288" w:lineRule="auto" w:before="0"/>
        <w:ind w:left="799" w:right="887" w:firstLine="0"/>
        <w:jc w:val="left"/>
        <w:rPr>
          <w:i/>
          <w:sz w:val="22"/>
        </w:rPr>
      </w:pPr>
      <w:r>
        <w:rPr>
          <w:i/>
          <w:sz w:val="22"/>
        </w:rPr>
        <w:t>“Bushfire liability insurance, which forms a central part of AusNet Services’ risk management strategy, also accounts for a significant proportion of operating expenditure. In 2014, insurance premiums of $10 million (real 2015) accounted for more</w:t>
      </w:r>
      <w:r>
        <w:rPr>
          <w:i/>
          <w:spacing w:val="-4"/>
          <w:sz w:val="22"/>
        </w:rPr>
        <w:t> </w:t>
      </w:r>
      <w:r>
        <w:rPr>
          <w:i/>
          <w:sz w:val="22"/>
        </w:rPr>
        <w:t>than</w:t>
      </w:r>
      <w:r>
        <w:rPr>
          <w:i/>
          <w:spacing w:val="-4"/>
          <w:sz w:val="22"/>
        </w:rPr>
        <w:t> </w:t>
      </w:r>
      <w:r>
        <w:rPr>
          <w:i/>
          <w:sz w:val="22"/>
        </w:rPr>
        <w:t>five</w:t>
      </w:r>
      <w:r>
        <w:rPr>
          <w:i/>
          <w:spacing w:val="-4"/>
          <w:sz w:val="22"/>
        </w:rPr>
        <w:t> </w:t>
      </w:r>
      <w:r>
        <w:rPr>
          <w:i/>
          <w:sz w:val="22"/>
        </w:rPr>
        <w:t>per</w:t>
      </w:r>
      <w:r>
        <w:rPr>
          <w:i/>
          <w:spacing w:val="-3"/>
          <w:sz w:val="22"/>
        </w:rPr>
        <w:t> </w:t>
      </w:r>
      <w:r>
        <w:rPr>
          <w:i/>
          <w:sz w:val="22"/>
        </w:rPr>
        <w:t>cent</w:t>
      </w:r>
      <w:r>
        <w:rPr>
          <w:i/>
          <w:spacing w:val="-3"/>
          <w:sz w:val="22"/>
        </w:rPr>
        <w:t> </w:t>
      </w:r>
      <w:r>
        <w:rPr>
          <w:i/>
          <w:sz w:val="22"/>
        </w:rPr>
        <w:t>of</w:t>
      </w:r>
      <w:r>
        <w:rPr>
          <w:i/>
          <w:spacing w:val="-3"/>
          <w:sz w:val="22"/>
        </w:rPr>
        <w:t> </w:t>
      </w:r>
      <w:r>
        <w:rPr>
          <w:i/>
          <w:sz w:val="22"/>
        </w:rPr>
        <w:t>total</w:t>
      </w:r>
      <w:r>
        <w:rPr>
          <w:i/>
          <w:spacing w:val="-2"/>
          <w:sz w:val="22"/>
        </w:rPr>
        <w:t> </w:t>
      </w:r>
      <w:r>
        <w:rPr>
          <w:i/>
          <w:sz w:val="22"/>
        </w:rPr>
        <w:t>opex.</w:t>
      </w:r>
      <w:r>
        <w:rPr>
          <w:i/>
          <w:spacing w:val="-3"/>
          <w:sz w:val="22"/>
        </w:rPr>
        <w:t> </w:t>
      </w:r>
      <w:r>
        <w:rPr>
          <w:i/>
          <w:sz w:val="22"/>
        </w:rPr>
        <w:t>Commensurate</w:t>
      </w:r>
      <w:r>
        <w:rPr>
          <w:i/>
          <w:spacing w:val="-3"/>
          <w:sz w:val="22"/>
        </w:rPr>
        <w:t> </w:t>
      </w:r>
      <w:r>
        <w:rPr>
          <w:i/>
          <w:sz w:val="22"/>
        </w:rPr>
        <w:t>with</w:t>
      </w:r>
      <w:r>
        <w:rPr>
          <w:i/>
          <w:spacing w:val="-4"/>
          <w:sz w:val="22"/>
        </w:rPr>
        <w:t> </w:t>
      </w:r>
      <w:r>
        <w:rPr>
          <w:i/>
          <w:sz w:val="22"/>
        </w:rPr>
        <w:t>the</w:t>
      </w:r>
      <w:r>
        <w:rPr>
          <w:i/>
          <w:spacing w:val="-4"/>
          <w:sz w:val="22"/>
        </w:rPr>
        <w:t> </w:t>
      </w:r>
      <w:r>
        <w:rPr>
          <w:i/>
          <w:sz w:val="22"/>
        </w:rPr>
        <w:t>level</w:t>
      </w:r>
      <w:r>
        <w:rPr>
          <w:i/>
          <w:spacing w:val="-2"/>
          <w:sz w:val="22"/>
        </w:rPr>
        <w:t> </w:t>
      </w:r>
      <w:r>
        <w:rPr>
          <w:i/>
          <w:sz w:val="22"/>
        </w:rPr>
        <w:t>of</w:t>
      </w:r>
      <w:r>
        <w:rPr>
          <w:i/>
          <w:spacing w:val="-3"/>
          <w:sz w:val="22"/>
        </w:rPr>
        <w:t> </w:t>
      </w:r>
      <w:r>
        <w:rPr>
          <w:i/>
          <w:sz w:val="22"/>
        </w:rPr>
        <w:t>bushfire</w:t>
      </w:r>
      <w:r>
        <w:rPr>
          <w:i/>
          <w:spacing w:val="-4"/>
          <w:sz w:val="22"/>
        </w:rPr>
        <w:t> </w:t>
      </w:r>
      <w:r>
        <w:rPr>
          <w:i/>
          <w:sz w:val="22"/>
        </w:rPr>
        <w:t>risk</w:t>
      </w:r>
      <w:r>
        <w:rPr>
          <w:i/>
          <w:spacing w:val="-1"/>
          <w:sz w:val="22"/>
        </w:rPr>
        <w:t> </w:t>
      </w:r>
      <w:r>
        <w:rPr>
          <w:i/>
          <w:sz w:val="22"/>
        </w:rPr>
        <w:t>of its service area (as assessed by Aon), AusNet Services has the highest bushfire liability insurance limit of any utility in Australia. Coupled with the market’s response to the Black Saturday bushfires, obtaining this limit has driven substantial increases to</w:t>
      </w:r>
    </w:p>
    <w:p>
      <w:pPr>
        <w:spacing w:line="253" w:lineRule="exact" w:before="0"/>
        <w:ind w:left="799" w:right="0" w:firstLine="0"/>
        <w:jc w:val="left"/>
        <w:rPr>
          <w:sz w:val="22"/>
        </w:rPr>
      </w:pPr>
      <w:r>
        <w:rPr>
          <w:i/>
          <w:sz w:val="22"/>
        </w:rPr>
        <w:t>AusNet</w:t>
      </w:r>
      <w:r>
        <w:rPr>
          <w:i/>
          <w:spacing w:val="-4"/>
          <w:sz w:val="22"/>
        </w:rPr>
        <w:t> </w:t>
      </w:r>
      <w:r>
        <w:rPr>
          <w:i/>
          <w:sz w:val="22"/>
        </w:rPr>
        <w:t>Services’</w:t>
      </w:r>
      <w:r>
        <w:rPr>
          <w:i/>
          <w:spacing w:val="-9"/>
          <w:sz w:val="22"/>
        </w:rPr>
        <w:t> </w:t>
      </w:r>
      <w:r>
        <w:rPr>
          <w:i/>
          <w:sz w:val="22"/>
        </w:rPr>
        <w:t>insurance</w:t>
      </w:r>
      <w:r>
        <w:rPr>
          <w:i/>
          <w:spacing w:val="-4"/>
          <w:sz w:val="22"/>
        </w:rPr>
        <w:t> </w:t>
      </w:r>
      <w:r>
        <w:rPr>
          <w:i/>
          <w:sz w:val="22"/>
        </w:rPr>
        <w:t>costs</w:t>
      </w:r>
      <w:r>
        <w:rPr>
          <w:i/>
          <w:spacing w:val="-4"/>
          <w:sz w:val="22"/>
        </w:rPr>
        <w:t> </w:t>
      </w:r>
      <w:r>
        <w:rPr>
          <w:i/>
          <w:sz w:val="22"/>
        </w:rPr>
        <w:t>since</w:t>
      </w:r>
      <w:r>
        <w:rPr>
          <w:i/>
          <w:spacing w:val="-6"/>
          <w:sz w:val="22"/>
        </w:rPr>
        <w:t> </w:t>
      </w:r>
      <w:r>
        <w:rPr>
          <w:i/>
          <w:sz w:val="22"/>
        </w:rPr>
        <w:t>2009.”</w:t>
      </w:r>
      <w:r>
        <w:rPr>
          <w:i/>
          <w:spacing w:val="-10"/>
          <w:sz w:val="22"/>
        </w:rPr>
        <w:t> </w:t>
      </w:r>
      <w:r>
        <w:rPr>
          <w:sz w:val="22"/>
        </w:rPr>
        <w:t>(AusNet</w:t>
      </w:r>
      <w:r>
        <w:rPr>
          <w:spacing w:val="-3"/>
          <w:sz w:val="22"/>
        </w:rPr>
        <w:t> </w:t>
      </w:r>
      <w:r>
        <w:rPr>
          <w:sz w:val="22"/>
        </w:rPr>
        <w:t>Services,</w:t>
      </w:r>
      <w:r>
        <w:rPr>
          <w:spacing w:val="-4"/>
          <w:sz w:val="22"/>
        </w:rPr>
        <w:t> </w:t>
      </w:r>
      <w:r>
        <w:rPr>
          <w:sz w:val="22"/>
        </w:rPr>
        <w:t>2015,</w:t>
      </w:r>
      <w:r>
        <w:rPr>
          <w:spacing w:val="-7"/>
          <w:sz w:val="22"/>
        </w:rPr>
        <w:t> </w:t>
      </w:r>
      <w:r>
        <w:rPr>
          <w:sz w:val="22"/>
        </w:rPr>
        <w:t>p.</w:t>
      </w:r>
      <w:r>
        <w:rPr>
          <w:spacing w:val="-3"/>
          <w:sz w:val="22"/>
        </w:rPr>
        <w:t> </w:t>
      </w:r>
      <w:r>
        <w:rPr>
          <w:spacing w:val="-5"/>
          <w:sz w:val="22"/>
        </w:rPr>
        <w:t>37)</w:t>
      </w:r>
    </w:p>
    <w:p>
      <w:pPr>
        <w:pStyle w:val="BodyText"/>
        <w:spacing w:before="2"/>
        <w:rPr>
          <w:sz w:val="25"/>
        </w:rPr>
      </w:pPr>
    </w:p>
    <w:p>
      <w:pPr>
        <w:pStyle w:val="BodyText"/>
        <w:spacing w:line="288" w:lineRule="auto"/>
        <w:ind w:left="232" w:right="320"/>
      </w:pPr>
      <w:r>
        <w:rPr/>
        <w:t>Discussions with Victorian electricity network businesses and with the Insurance Council of Australia identified insurance premiums as a significant driver to focus on risk reduction. Effective oversight</w:t>
      </w:r>
      <w:r>
        <w:rPr>
          <w:spacing w:val="-3"/>
        </w:rPr>
        <w:t> </w:t>
      </w:r>
      <w:r>
        <w:rPr/>
        <w:t>by</w:t>
      </w:r>
      <w:r>
        <w:rPr>
          <w:spacing w:val="-4"/>
        </w:rPr>
        <w:t> </w:t>
      </w:r>
      <w:r>
        <w:rPr/>
        <w:t>ESV</w:t>
      </w:r>
      <w:r>
        <w:rPr>
          <w:spacing w:val="-2"/>
        </w:rPr>
        <w:t> </w:t>
      </w:r>
      <w:r>
        <w:rPr/>
        <w:t>of</w:t>
      </w:r>
      <w:r>
        <w:rPr>
          <w:spacing w:val="-1"/>
        </w:rPr>
        <w:t> </w:t>
      </w:r>
      <w:r>
        <w:rPr/>
        <w:t>the</w:t>
      </w:r>
      <w:r>
        <w:rPr>
          <w:spacing w:val="-7"/>
        </w:rPr>
        <w:t> </w:t>
      </w:r>
      <w:r>
        <w:rPr/>
        <w:t>progress</w:t>
      </w:r>
      <w:r>
        <w:rPr>
          <w:spacing w:val="-4"/>
        </w:rPr>
        <w:t> </w:t>
      </w:r>
      <w:r>
        <w:rPr/>
        <w:t>of</w:t>
      </w:r>
      <w:r>
        <w:rPr>
          <w:spacing w:val="-1"/>
        </w:rPr>
        <w:t> </w:t>
      </w:r>
      <w:r>
        <w:rPr/>
        <w:t>safety</w:t>
      </w:r>
      <w:r>
        <w:rPr>
          <w:spacing w:val="-3"/>
        </w:rPr>
        <w:t> </w:t>
      </w:r>
      <w:r>
        <w:rPr/>
        <w:t>initiatives</w:t>
      </w:r>
      <w:r>
        <w:rPr>
          <w:spacing w:val="-2"/>
        </w:rPr>
        <w:t> </w:t>
      </w:r>
      <w:r>
        <w:rPr/>
        <w:t>conducted</w:t>
      </w:r>
      <w:r>
        <w:rPr>
          <w:spacing w:val="-2"/>
        </w:rPr>
        <w:t> </w:t>
      </w:r>
      <w:r>
        <w:rPr/>
        <w:t>by</w:t>
      </w:r>
      <w:r>
        <w:rPr>
          <w:spacing w:val="-4"/>
        </w:rPr>
        <w:t> </w:t>
      </w:r>
      <w:r>
        <w:rPr/>
        <w:t>distribution</w:t>
      </w:r>
      <w:r>
        <w:rPr>
          <w:spacing w:val="-2"/>
        </w:rPr>
        <w:t> </w:t>
      </w:r>
      <w:r>
        <w:rPr/>
        <w:t>businesses</w:t>
      </w:r>
      <w:r>
        <w:rPr>
          <w:spacing w:val="-4"/>
        </w:rPr>
        <w:t> </w:t>
      </w:r>
      <w:r>
        <w:rPr/>
        <w:t>plays</w:t>
      </w:r>
      <w:r>
        <w:rPr>
          <w:spacing w:val="-1"/>
        </w:rPr>
        <w:t> </w:t>
      </w:r>
      <w:r>
        <w:rPr/>
        <w:t>an important part in providing assurance to insurers that safety is highly prioritised in Victoria’s regulatory regime.</w:t>
      </w:r>
    </w:p>
    <w:p>
      <w:pPr>
        <w:pStyle w:val="BodyText"/>
        <w:spacing w:before="5"/>
        <w:rPr>
          <w:sz w:val="31"/>
        </w:rPr>
      </w:pPr>
    </w:p>
    <w:p>
      <w:pPr>
        <w:pStyle w:val="Heading4"/>
        <w:spacing w:before="0"/>
      </w:pPr>
      <w:r>
        <w:rPr>
          <w:color w:val="585858"/>
        </w:rPr>
        <w:t>Strengthening</w:t>
      </w:r>
      <w:r>
        <w:rPr>
          <w:color w:val="585858"/>
          <w:spacing w:val="-13"/>
        </w:rPr>
        <w:t> </w:t>
      </w:r>
      <w:r>
        <w:rPr>
          <w:color w:val="585858"/>
        </w:rPr>
        <w:t>engagement</w:t>
      </w:r>
      <w:r>
        <w:rPr>
          <w:color w:val="585858"/>
          <w:spacing w:val="-11"/>
        </w:rPr>
        <w:t> </w:t>
      </w:r>
      <w:r>
        <w:rPr>
          <w:color w:val="585858"/>
        </w:rPr>
        <w:t>between</w:t>
      </w:r>
      <w:r>
        <w:rPr>
          <w:color w:val="585858"/>
          <w:spacing w:val="-12"/>
        </w:rPr>
        <w:t> </w:t>
      </w:r>
      <w:r>
        <w:rPr>
          <w:color w:val="585858"/>
        </w:rPr>
        <w:t>ESV</w:t>
      </w:r>
      <w:r>
        <w:rPr>
          <w:color w:val="585858"/>
          <w:spacing w:val="-10"/>
        </w:rPr>
        <w:t> </w:t>
      </w:r>
      <w:r>
        <w:rPr>
          <w:color w:val="585858"/>
        </w:rPr>
        <w:t>and</w:t>
      </w:r>
      <w:r>
        <w:rPr>
          <w:color w:val="585858"/>
          <w:spacing w:val="-13"/>
        </w:rPr>
        <w:t> </w:t>
      </w:r>
      <w:r>
        <w:rPr>
          <w:color w:val="585858"/>
        </w:rPr>
        <w:t>the</w:t>
      </w:r>
      <w:r>
        <w:rPr>
          <w:color w:val="585858"/>
          <w:spacing w:val="-19"/>
        </w:rPr>
        <w:t> </w:t>
      </w:r>
      <w:r>
        <w:rPr>
          <w:color w:val="585858"/>
          <w:spacing w:val="-5"/>
        </w:rPr>
        <w:t>AER</w:t>
      </w:r>
    </w:p>
    <w:p>
      <w:pPr>
        <w:pStyle w:val="BodyText"/>
        <w:spacing w:line="288" w:lineRule="auto" w:before="314"/>
        <w:ind w:left="232" w:right="374"/>
      </w:pPr>
      <w:r>
        <w:rPr/>
        <w:t>The relationship between the safety regulator and the economic regulator is critical to achieving effective regulation that meets the dual objectives of promoting efficient prices for consumers, while</w:t>
      </w:r>
      <w:r>
        <w:rPr>
          <w:spacing w:val="-2"/>
        </w:rPr>
        <w:t> </w:t>
      </w:r>
      <w:r>
        <w:rPr/>
        <w:t>achieving high</w:t>
      </w:r>
      <w:r>
        <w:rPr>
          <w:spacing w:val="-2"/>
        </w:rPr>
        <w:t> </w:t>
      </w:r>
      <w:r>
        <w:rPr/>
        <w:t>safety</w:t>
      </w:r>
      <w:r>
        <w:rPr>
          <w:spacing w:val="-4"/>
        </w:rPr>
        <w:t> </w:t>
      </w:r>
      <w:r>
        <w:rPr/>
        <w:t>standards.</w:t>
      </w:r>
      <w:r>
        <w:rPr>
          <w:spacing w:val="-5"/>
        </w:rPr>
        <w:t> </w:t>
      </w:r>
      <w:r>
        <w:rPr/>
        <w:t>This</w:t>
      </w:r>
      <w:r>
        <w:rPr>
          <w:spacing w:val="-1"/>
        </w:rPr>
        <w:t> </w:t>
      </w:r>
      <w:r>
        <w:rPr/>
        <w:t>is</w:t>
      </w:r>
      <w:r>
        <w:rPr>
          <w:spacing w:val="-1"/>
        </w:rPr>
        <w:t> </w:t>
      </w:r>
      <w:r>
        <w:rPr/>
        <w:t>important</w:t>
      </w:r>
      <w:r>
        <w:rPr>
          <w:spacing w:val="-3"/>
        </w:rPr>
        <w:t> </w:t>
      </w:r>
      <w:r>
        <w:rPr/>
        <w:t>to</w:t>
      </w:r>
      <w:r>
        <w:rPr>
          <w:spacing w:val="-2"/>
        </w:rPr>
        <w:t> </w:t>
      </w:r>
      <w:r>
        <w:rPr/>
        <w:t>ensure</w:t>
      </w:r>
      <w:r>
        <w:rPr>
          <w:spacing w:val="-4"/>
        </w:rPr>
        <w:t> </w:t>
      </w:r>
      <w:r>
        <w:rPr/>
        <w:t>that energy</w:t>
      </w:r>
      <w:r>
        <w:rPr>
          <w:spacing w:val="-4"/>
        </w:rPr>
        <w:t> </w:t>
      </w:r>
      <w:r>
        <w:rPr/>
        <w:t>consumers</w:t>
      </w:r>
      <w:r>
        <w:rPr>
          <w:spacing w:val="-1"/>
        </w:rPr>
        <w:t> </w:t>
      </w:r>
      <w:r>
        <w:rPr/>
        <w:t>only</w:t>
      </w:r>
      <w:r>
        <w:rPr>
          <w:spacing w:val="-4"/>
        </w:rPr>
        <w:t> </w:t>
      </w:r>
      <w:r>
        <w:rPr/>
        <w:t>pay for the safety outcomes they need, and receive the safety outcomes they pay for.</w:t>
      </w:r>
    </w:p>
    <w:p>
      <w:pPr>
        <w:pStyle w:val="BodyText"/>
        <w:spacing w:before="10"/>
        <w:rPr>
          <w:sz w:val="20"/>
        </w:rPr>
      </w:pPr>
    </w:p>
    <w:p>
      <w:pPr>
        <w:pStyle w:val="BodyText"/>
        <w:ind w:left="232"/>
      </w:pPr>
      <w:r>
        <w:rPr/>
        <w:t>This</w:t>
      </w:r>
      <w:r>
        <w:rPr>
          <w:spacing w:val="-6"/>
        </w:rPr>
        <w:t> </w:t>
      </w:r>
      <w:r>
        <w:rPr/>
        <w:t>relationship</w:t>
      </w:r>
      <w:r>
        <w:rPr>
          <w:spacing w:val="-6"/>
        </w:rPr>
        <w:t> </w:t>
      </w:r>
      <w:r>
        <w:rPr/>
        <w:t>must</w:t>
      </w:r>
      <w:r>
        <w:rPr>
          <w:spacing w:val="-5"/>
        </w:rPr>
        <w:t> </w:t>
      </w:r>
      <w:r>
        <w:rPr/>
        <w:t>be</w:t>
      </w:r>
      <w:r>
        <w:rPr>
          <w:spacing w:val="-6"/>
        </w:rPr>
        <w:t> </w:t>
      </w:r>
      <w:r>
        <w:rPr/>
        <w:t>based</w:t>
      </w:r>
      <w:r>
        <w:rPr>
          <w:spacing w:val="-3"/>
        </w:rPr>
        <w:t> </w:t>
      </w:r>
      <w:r>
        <w:rPr>
          <w:spacing w:val="-5"/>
        </w:rPr>
        <w:t>on:</w:t>
      </w:r>
    </w:p>
    <w:p>
      <w:pPr>
        <w:pStyle w:val="BodyText"/>
        <w:spacing w:before="7"/>
        <w:rPr>
          <w:sz w:val="26"/>
        </w:rPr>
      </w:pPr>
    </w:p>
    <w:p>
      <w:pPr>
        <w:pStyle w:val="ListParagraph"/>
        <w:numPr>
          <w:ilvl w:val="0"/>
          <w:numId w:val="54"/>
        </w:numPr>
        <w:tabs>
          <w:tab w:pos="590" w:val="left" w:leader="none"/>
        </w:tabs>
        <w:spacing w:line="288" w:lineRule="auto" w:before="0" w:after="0"/>
        <w:ind w:left="590" w:right="488" w:hanging="359"/>
        <w:jc w:val="left"/>
        <w:rPr>
          <w:sz w:val="22"/>
        </w:rPr>
      </w:pPr>
      <w:r>
        <w:rPr>
          <w:sz w:val="22"/>
        </w:rPr>
        <w:t>effective</w:t>
      </w:r>
      <w:r>
        <w:rPr>
          <w:spacing w:val="-4"/>
          <w:sz w:val="22"/>
        </w:rPr>
        <w:t> </w:t>
      </w:r>
      <w:r>
        <w:rPr>
          <w:sz w:val="22"/>
        </w:rPr>
        <w:t>communication,</w:t>
      </w:r>
      <w:r>
        <w:rPr>
          <w:spacing w:val="-5"/>
          <w:sz w:val="22"/>
        </w:rPr>
        <w:t> </w:t>
      </w:r>
      <w:r>
        <w:rPr>
          <w:sz w:val="22"/>
        </w:rPr>
        <w:t>including</w:t>
      </w:r>
      <w:r>
        <w:rPr>
          <w:spacing w:val="-2"/>
          <w:sz w:val="22"/>
        </w:rPr>
        <w:t> </w:t>
      </w:r>
      <w:r>
        <w:rPr>
          <w:sz w:val="22"/>
        </w:rPr>
        <w:t>early</w:t>
      </w:r>
      <w:r>
        <w:rPr>
          <w:spacing w:val="-6"/>
          <w:sz w:val="22"/>
        </w:rPr>
        <w:t> </w:t>
      </w:r>
      <w:r>
        <w:rPr>
          <w:sz w:val="22"/>
        </w:rPr>
        <w:t>engagement</w:t>
      </w:r>
      <w:r>
        <w:rPr>
          <w:spacing w:val="-2"/>
          <w:sz w:val="22"/>
        </w:rPr>
        <w:t> </w:t>
      </w:r>
      <w:r>
        <w:rPr>
          <w:sz w:val="22"/>
        </w:rPr>
        <w:t>between</w:t>
      </w:r>
      <w:r>
        <w:rPr>
          <w:spacing w:val="-4"/>
          <w:sz w:val="22"/>
        </w:rPr>
        <w:t> </w:t>
      </w:r>
      <w:r>
        <w:rPr>
          <w:sz w:val="22"/>
        </w:rPr>
        <w:t>regulators</w:t>
      </w:r>
      <w:r>
        <w:rPr>
          <w:spacing w:val="-6"/>
          <w:sz w:val="22"/>
        </w:rPr>
        <w:t> </w:t>
      </w:r>
      <w:r>
        <w:rPr>
          <w:sz w:val="22"/>
        </w:rPr>
        <w:t>to</w:t>
      </w:r>
      <w:r>
        <w:rPr>
          <w:spacing w:val="-4"/>
          <w:sz w:val="22"/>
        </w:rPr>
        <w:t> </w:t>
      </w:r>
      <w:r>
        <w:rPr>
          <w:sz w:val="22"/>
        </w:rPr>
        <w:t>identify</w:t>
      </w:r>
      <w:r>
        <w:rPr>
          <w:spacing w:val="-6"/>
          <w:sz w:val="22"/>
        </w:rPr>
        <w:t> </w:t>
      </w:r>
      <w:r>
        <w:rPr>
          <w:sz w:val="22"/>
        </w:rPr>
        <w:t>emerging issues that may have significant implications for the safe operation of electricity and gas </w:t>
      </w:r>
      <w:r>
        <w:rPr>
          <w:spacing w:val="-2"/>
          <w:sz w:val="22"/>
        </w:rPr>
        <w:t>networks;</w:t>
      </w:r>
    </w:p>
    <w:p>
      <w:pPr>
        <w:pStyle w:val="BodyText"/>
        <w:spacing w:before="3"/>
      </w:pPr>
    </w:p>
    <w:p>
      <w:pPr>
        <w:pStyle w:val="ListParagraph"/>
        <w:numPr>
          <w:ilvl w:val="0"/>
          <w:numId w:val="54"/>
        </w:numPr>
        <w:tabs>
          <w:tab w:pos="590" w:val="left" w:leader="none"/>
        </w:tabs>
        <w:spacing w:line="240" w:lineRule="auto" w:before="1" w:after="0"/>
        <w:ind w:left="590" w:right="0" w:hanging="358"/>
        <w:jc w:val="left"/>
        <w:rPr>
          <w:sz w:val="22"/>
        </w:rPr>
      </w:pPr>
      <w:r>
        <w:rPr>
          <w:sz w:val="22"/>
        </w:rPr>
        <w:t>mutual</w:t>
      </w:r>
      <w:r>
        <w:rPr>
          <w:spacing w:val="-9"/>
          <w:sz w:val="22"/>
        </w:rPr>
        <w:t> </w:t>
      </w:r>
      <w:r>
        <w:rPr>
          <w:sz w:val="22"/>
        </w:rPr>
        <w:t>respect</w:t>
      </w:r>
      <w:r>
        <w:rPr>
          <w:spacing w:val="-3"/>
          <w:sz w:val="22"/>
        </w:rPr>
        <w:t> </w:t>
      </w:r>
      <w:r>
        <w:rPr>
          <w:sz w:val="22"/>
        </w:rPr>
        <w:t>and</w:t>
      </w:r>
      <w:r>
        <w:rPr>
          <w:spacing w:val="-7"/>
          <w:sz w:val="22"/>
        </w:rPr>
        <w:t> </w:t>
      </w:r>
      <w:r>
        <w:rPr>
          <w:sz w:val="22"/>
        </w:rPr>
        <w:t>high</w:t>
      </w:r>
      <w:r>
        <w:rPr>
          <w:spacing w:val="-7"/>
          <w:sz w:val="22"/>
        </w:rPr>
        <w:t> </w:t>
      </w:r>
      <w:r>
        <w:rPr>
          <w:sz w:val="22"/>
        </w:rPr>
        <w:t>levels</w:t>
      </w:r>
      <w:r>
        <w:rPr>
          <w:spacing w:val="-5"/>
          <w:sz w:val="22"/>
        </w:rPr>
        <w:t> </w:t>
      </w:r>
      <w:r>
        <w:rPr>
          <w:sz w:val="22"/>
        </w:rPr>
        <w:t>of</w:t>
      </w:r>
      <w:r>
        <w:rPr>
          <w:spacing w:val="-3"/>
          <w:sz w:val="22"/>
        </w:rPr>
        <w:t> </w:t>
      </w:r>
      <w:r>
        <w:rPr>
          <w:sz w:val="22"/>
        </w:rPr>
        <w:t>trust</w:t>
      </w:r>
      <w:r>
        <w:rPr>
          <w:spacing w:val="-4"/>
          <w:sz w:val="22"/>
        </w:rPr>
        <w:t> </w:t>
      </w:r>
      <w:r>
        <w:rPr>
          <w:sz w:val="22"/>
        </w:rPr>
        <w:t>between</w:t>
      </w:r>
      <w:r>
        <w:rPr>
          <w:spacing w:val="-5"/>
          <w:sz w:val="22"/>
        </w:rPr>
        <w:t> </w:t>
      </w:r>
      <w:r>
        <w:rPr>
          <w:sz w:val="22"/>
        </w:rPr>
        <w:t>regulators;</w:t>
      </w:r>
      <w:r>
        <w:rPr>
          <w:spacing w:val="-6"/>
          <w:sz w:val="22"/>
        </w:rPr>
        <w:t> </w:t>
      </w:r>
      <w:r>
        <w:rPr>
          <w:spacing w:val="-5"/>
          <w:sz w:val="22"/>
        </w:rPr>
        <w:t>and</w:t>
      </w:r>
    </w:p>
    <w:p>
      <w:pPr>
        <w:pStyle w:val="BodyText"/>
        <w:spacing w:before="7"/>
        <w:rPr>
          <w:sz w:val="26"/>
        </w:rPr>
      </w:pPr>
    </w:p>
    <w:p>
      <w:pPr>
        <w:pStyle w:val="ListParagraph"/>
        <w:numPr>
          <w:ilvl w:val="0"/>
          <w:numId w:val="54"/>
        </w:numPr>
        <w:tabs>
          <w:tab w:pos="590" w:val="left" w:leader="none"/>
        </w:tabs>
        <w:spacing w:line="240" w:lineRule="auto" w:before="0" w:after="0"/>
        <w:ind w:left="590" w:right="0" w:hanging="358"/>
        <w:jc w:val="left"/>
        <w:rPr>
          <w:sz w:val="22"/>
        </w:rPr>
      </w:pPr>
      <w:r>
        <w:rPr>
          <w:sz w:val="22"/>
        </w:rPr>
        <w:t>robust</w:t>
      </w:r>
      <w:r>
        <w:rPr>
          <w:spacing w:val="-9"/>
          <w:sz w:val="22"/>
        </w:rPr>
        <w:t> </w:t>
      </w:r>
      <w:r>
        <w:rPr>
          <w:sz w:val="22"/>
        </w:rPr>
        <w:t>protocols</w:t>
      </w:r>
      <w:r>
        <w:rPr>
          <w:spacing w:val="-7"/>
          <w:sz w:val="22"/>
        </w:rPr>
        <w:t> </w:t>
      </w:r>
      <w:r>
        <w:rPr>
          <w:sz w:val="22"/>
        </w:rPr>
        <w:t>for</w:t>
      </w:r>
      <w:r>
        <w:rPr>
          <w:spacing w:val="-7"/>
          <w:sz w:val="22"/>
        </w:rPr>
        <w:t> </w:t>
      </w:r>
      <w:r>
        <w:rPr>
          <w:sz w:val="22"/>
        </w:rPr>
        <w:t>sharing</w:t>
      </w:r>
      <w:r>
        <w:rPr>
          <w:spacing w:val="-5"/>
          <w:sz w:val="22"/>
        </w:rPr>
        <w:t> </w:t>
      </w:r>
      <w:r>
        <w:rPr>
          <w:sz w:val="22"/>
        </w:rPr>
        <w:t>data</w:t>
      </w:r>
      <w:r>
        <w:rPr>
          <w:spacing w:val="-8"/>
          <w:sz w:val="22"/>
        </w:rPr>
        <w:t> </w:t>
      </w:r>
      <w:r>
        <w:rPr>
          <w:sz w:val="22"/>
        </w:rPr>
        <w:t>and</w:t>
      </w:r>
      <w:r>
        <w:rPr>
          <w:spacing w:val="-5"/>
          <w:sz w:val="22"/>
        </w:rPr>
        <w:t> </w:t>
      </w:r>
      <w:r>
        <w:rPr>
          <w:sz w:val="22"/>
        </w:rPr>
        <w:t>information</w:t>
      </w:r>
      <w:r>
        <w:rPr>
          <w:spacing w:val="-8"/>
          <w:sz w:val="22"/>
        </w:rPr>
        <w:t> </w:t>
      </w:r>
      <w:r>
        <w:rPr>
          <w:sz w:val="22"/>
        </w:rPr>
        <w:t>between</w:t>
      </w:r>
      <w:r>
        <w:rPr>
          <w:spacing w:val="-5"/>
          <w:sz w:val="22"/>
        </w:rPr>
        <w:t> </w:t>
      </w:r>
      <w:r>
        <w:rPr>
          <w:spacing w:val="-2"/>
          <w:sz w:val="22"/>
        </w:rPr>
        <w:t>regulators.</w:t>
      </w:r>
    </w:p>
    <w:p>
      <w:pPr>
        <w:pStyle w:val="BodyText"/>
        <w:spacing w:before="11"/>
        <w:rPr>
          <w:sz w:val="24"/>
        </w:rPr>
      </w:pPr>
    </w:p>
    <w:p>
      <w:pPr>
        <w:pStyle w:val="BodyText"/>
        <w:spacing w:line="288" w:lineRule="auto"/>
        <w:ind w:left="232"/>
      </w:pPr>
      <w:r>
        <w:rPr/>
        <w:t>In</w:t>
      </w:r>
      <w:r>
        <w:rPr>
          <w:spacing w:val="-3"/>
        </w:rPr>
        <w:t> </w:t>
      </w:r>
      <w:r>
        <w:rPr/>
        <w:t>addition,</w:t>
      </w:r>
      <w:r>
        <w:rPr>
          <w:spacing w:val="-4"/>
        </w:rPr>
        <w:t> </w:t>
      </w:r>
      <w:r>
        <w:rPr/>
        <w:t>regulated</w:t>
      </w:r>
      <w:r>
        <w:rPr>
          <w:spacing w:val="-3"/>
        </w:rPr>
        <w:t> </w:t>
      </w:r>
      <w:r>
        <w:rPr/>
        <w:t>network businesses</w:t>
      </w:r>
      <w:r>
        <w:rPr>
          <w:spacing w:val="-5"/>
        </w:rPr>
        <w:t> </w:t>
      </w:r>
      <w:r>
        <w:rPr/>
        <w:t>require</w:t>
      </w:r>
      <w:r>
        <w:rPr>
          <w:spacing w:val="-5"/>
        </w:rPr>
        <w:t> </w:t>
      </w:r>
      <w:r>
        <w:rPr/>
        <w:t>clear</w:t>
      </w:r>
      <w:r>
        <w:rPr>
          <w:spacing w:val="-2"/>
        </w:rPr>
        <w:t> </w:t>
      </w:r>
      <w:r>
        <w:rPr/>
        <w:t>pathways</w:t>
      </w:r>
      <w:r>
        <w:rPr>
          <w:spacing w:val="-2"/>
        </w:rPr>
        <w:t> </w:t>
      </w:r>
      <w:r>
        <w:rPr/>
        <w:t>to</w:t>
      </w:r>
      <w:r>
        <w:rPr>
          <w:spacing w:val="-3"/>
        </w:rPr>
        <w:t> </w:t>
      </w:r>
      <w:r>
        <w:rPr/>
        <w:t>understand</w:t>
      </w:r>
      <w:r>
        <w:rPr>
          <w:spacing w:val="-3"/>
        </w:rPr>
        <w:t> </w:t>
      </w:r>
      <w:r>
        <w:rPr/>
        <w:t>how</w:t>
      </w:r>
      <w:r>
        <w:rPr>
          <w:spacing w:val="-6"/>
        </w:rPr>
        <w:t> </w:t>
      </w:r>
      <w:r>
        <w:rPr/>
        <w:t>they</w:t>
      </w:r>
      <w:r>
        <w:rPr>
          <w:spacing w:val="-5"/>
        </w:rPr>
        <w:t> </w:t>
      </w:r>
      <w:r>
        <w:rPr/>
        <w:t>might effectively engage with the two regulators in the consideration of safety initiatives.</w:t>
      </w:r>
    </w:p>
    <w:p>
      <w:pPr>
        <w:pStyle w:val="BodyText"/>
        <w:spacing w:before="10"/>
        <w:rPr>
          <w:sz w:val="20"/>
        </w:rPr>
      </w:pPr>
    </w:p>
    <w:p>
      <w:pPr>
        <w:pStyle w:val="BodyText"/>
        <w:spacing w:line="288" w:lineRule="auto"/>
        <w:ind w:left="232"/>
      </w:pPr>
      <w:r>
        <w:rPr/>
        <w:t>ESV</w:t>
      </w:r>
      <w:r>
        <w:rPr>
          <w:spacing w:val="-2"/>
        </w:rPr>
        <w:t> </w:t>
      </w:r>
      <w:r>
        <w:rPr/>
        <w:t>and</w:t>
      </w:r>
      <w:r>
        <w:rPr>
          <w:spacing w:val="-2"/>
        </w:rPr>
        <w:t> </w:t>
      </w:r>
      <w:r>
        <w:rPr/>
        <w:t>the</w:t>
      </w:r>
      <w:r>
        <w:rPr>
          <w:spacing w:val="-4"/>
        </w:rPr>
        <w:t> </w:t>
      </w:r>
      <w:r>
        <w:rPr/>
        <w:t>AER</w:t>
      </w:r>
      <w:r>
        <w:rPr>
          <w:spacing w:val="-2"/>
        </w:rPr>
        <w:t> </w:t>
      </w:r>
      <w:r>
        <w:rPr/>
        <w:t>have</w:t>
      </w:r>
      <w:r>
        <w:rPr>
          <w:spacing w:val="-2"/>
        </w:rPr>
        <w:t> </w:t>
      </w:r>
      <w:r>
        <w:rPr/>
        <w:t>recognised</w:t>
      </w:r>
      <w:r>
        <w:rPr>
          <w:spacing w:val="-4"/>
        </w:rPr>
        <w:t> </w:t>
      </w:r>
      <w:r>
        <w:rPr/>
        <w:t>the</w:t>
      </w:r>
      <w:r>
        <w:rPr>
          <w:spacing w:val="-4"/>
        </w:rPr>
        <w:t> </w:t>
      </w:r>
      <w:r>
        <w:rPr/>
        <w:t>importance</w:t>
      </w:r>
      <w:r>
        <w:rPr>
          <w:spacing w:val="-2"/>
        </w:rPr>
        <w:t> </w:t>
      </w:r>
      <w:r>
        <w:rPr/>
        <w:t>of maintaining a</w:t>
      </w:r>
      <w:r>
        <w:rPr>
          <w:spacing w:val="-4"/>
        </w:rPr>
        <w:t> </w:t>
      </w:r>
      <w:r>
        <w:rPr/>
        <w:t>strong</w:t>
      </w:r>
      <w:r>
        <w:rPr>
          <w:spacing w:val="-2"/>
        </w:rPr>
        <w:t> </w:t>
      </w:r>
      <w:r>
        <w:rPr/>
        <w:t>relationship</w:t>
      </w:r>
      <w:r>
        <w:rPr>
          <w:spacing w:val="-4"/>
        </w:rPr>
        <w:t> </w:t>
      </w:r>
      <w:r>
        <w:rPr/>
        <w:t>through</w:t>
      </w:r>
      <w:r>
        <w:rPr>
          <w:spacing w:val="-4"/>
        </w:rPr>
        <w:t> </w:t>
      </w:r>
      <w:r>
        <w:rPr/>
        <w:t>the Memorandum of Understanding (MOU) agreed by the two regulators in March 2014.</w:t>
      </w:r>
    </w:p>
    <w:p>
      <w:pPr>
        <w:spacing w:after="0" w:line="288" w:lineRule="auto"/>
        <w:sectPr>
          <w:pgSz w:w="11910" w:h="16850"/>
          <w:pgMar w:header="220" w:footer="678" w:top="420" w:bottom="860" w:left="900" w:right="840"/>
        </w:sectPr>
      </w:pPr>
    </w:p>
    <w:p>
      <w:pPr>
        <w:pStyle w:val="BodyText"/>
        <w:rPr>
          <w:sz w:val="20"/>
        </w:rPr>
      </w:pPr>
    </w:p>
    <w:p>
      <w:pPr>
        <w:pStyle w:val="BodyText"/>
        <w:spacing w:before="2"/>
        <w:rPr>
          <w:sz w:val="19"/>
        </w:rPr>
      </w:pPr>
    </w:p>
    <w:p>
      <w:pPr>
        <w:pStyle w:val="BodyText"/>
        <w:spacing w:line="288" w:lineRule="auto" w:before="94"/>
        <w:ind w:left="232" w:right="374"/>
      </w:pPr>
      <w:r>
        <w:rPr/>
        <w:t>A</w:t>
      </w:r>
      <w:r>
        <w:rPr>
          <w:spacing w:val="-2"/>
        </w:rPr>
        <w:t> </w:t>
      </w:r>
      <w:r>
        <w:rPr/>
        <w:t>number</w:t>
      </w:r>
      <w:r>
        <w:rPr>
          <w:spacing w:val="-1"/>
        </w:rPr>
        <w:t> </w:t>
      </w:r>
      <w:r>
        <w:rPr/>
        <w:t>of submissions</w:t>
      </w:r>
      <w:r>
        <w:rPr>
          <w:spacing w:val="-1"/>
        </w:rPr>
        <w:t> </w:t>
      </w:r>
      <w:r>
        <w:rPr/>
        <w:t>to</w:t>
      </w:r>
      <w:r>
        <w:rPr>
          <w:spacing w:val="-4"/>
        </w:rPr>
        <w:t> </w:t>
      </w:r>
      <w:r>
        <w:rPr/>
        <w:t>the</w:t>
      </w:r>
      <w:r>
        <w:rPr>
          <w:spacing w:val="-4"/>
        </w:rPr>
        <w:t> </w:t>
      </w:r>
      <w:r>
        <w:rPr/>
        <w:t>Review</w:t>
      </w:r>
      <w:r>
        <w:rPr>
          <w:spacing w:val="-5"/>
        </w:rPr>
        <w:t> </w:t>
      </w:r>
      <w:r>
        <w:rPr/>
        <w:t>have</w:t>
      </w:r>
      <w:r>
        <w:rPr>
          <w:spacing w:val="-2"/>
        </w:rPr>
        <w:t> </w:t>
      </w:r>
      <w:r>
        <w:rPr/>
        <w:t>highlighted</w:t>
      </w:r>
      <w:r>
        <w:rPr>
          <w:spacing w:val="-4"/>
        </w:rPr>
        <w:t> </w:t>
      </w:r>
      <w:r>
        <w:rPr/>
        <w:t>the</w:t>
      </w:r>
      <w:r>
        <w:rPr>
          <w:spacing w:val="-4"/>
        </w:rPr>
        <w:t> </w:t>
      </w:r>
      <w:r>
        <w:rPr/>
        <w:t>need</w:t>
      </w:r>
      <w:r>
        <w:rPr>
          <w:spacing w:val="-4"/>
        </w:rPr>
        <w:t> </w:t>
      </w:r>
      <w:r>
        <w:rPr/>
        <w:t>for</w:t>
      </w:r>
      <w:r>
        <w:rPr>
          <w:spacing w:val="-6"/>
        </w:rPr>
        <w:t> </w:t>
      </w:r>
      <w:r>
        <w:rPr/>
        <w:t>good</w:t>
      </w:r>
      <w:r>
        <w:rPr>
          <w:spacing w:val="-2"/>
        </w:rPr>
        <w:t> </w:t>
      </w:r>
      <w:r>
        <w:rPr/>
        <w:t>collaboration</w:t>
      </w:r>
      <w:r>
        <w:rPr>
          <w:spacing w:val="-2"/>
        </w:rPr>
        <w:t> </w:t>
      </w:r>
      <w:r>
        <w:rPr/>
        <w:t>between ESV and the AER.</w:t>
      </w:r>
    </w:p>
    <w:p>
      <w:pPr>
        <w:pStyle w:val="BodyText"/>
        <w:spacing w:before="10"/>
        <w:rPr>
          <w:sz w:val="20"/>
        </w:rPr>
      </w:pPr>
    </w:p>
    <w:p>
      <w:pPr>
        <w:pStyle w:val="BodyText"/>
        <w:spacing w:before="1"/>
        <w:ind w:left="232"/>
      </w:pPr>
      <w:r>
        <w:rPr/>
        <w:t>In</w:t>
      </w:r>
      <w:r>
        <w:rPr>
          <w:spacing w:val="-6"/>
        </w:rPr>
        <w:t> </w:t>
      </w:r>
      <w:r>
        <w:rPr/>
        <w:t>its</w:t>
      </w:r>
      <w:r>
        <w:rPr>
          <w:spacing w:val="-7"/>
        </w:rPr>
        <w:t> </w:t>
      </w:r>
      <w:r>
        <w:rPr/>
        <w:t>submission,</w:t>
      </w:r>
      <w:r>
        <w:rPr>
          <w:spacing w:val="-3"/>
        </w:rPr>
        <w:t> </w:t>
      </w:r>
      <w:r>
        <w:rPr/>
        <w:t>Australian</w:t>
      </w:r>
      <w:r>
        <w:rPr>
          <w:spacing w:val="-6"/>
        </w:rPr>
        <w:t> </w:t>
      </w:r>
      <w:r>
        <w:rPr/>
        <w:t>Gas</w:t>
      </w:r>
      <w:r>
        <w:rPr>
          <w:spacing w:val="-7"/>
        </w:rPr>
        <w:t> </w:t>
      </w:r>
      <w:r>
        <w:rPr/>
        <w:t>Networks</w:t>
      </w:r>
      <w:r>
        <w:rPr>
          <w:spacing w:val="-5"/>
        </w:rPr>
        <w:t> </w:t>
      </w:r>
      <w:r>
        <w:rPr/>
        <w:t>noted</w:t>
      </w:r>
      <w:r>
        <w:rPr>
          <w:spacing w:val="-7"/>
        </w:rPr>
        <w:t> </w:t>
      </w:r>
      <w:r>
        <w:rPr>
          <w:spacing w:val="-2"/>
        </w:rPr>
        <w:t>that:</w:t>
      </w:r>
    </w:p>
    <w:p>
      <w:pPr>
        <w:pStyle w:val="BodyText"/>
        <w:spacing w:before="1"/>
        <w:rPr>
          <w:sz w:val="25"/>
        </w:rPr>
      </w:pPr>
    </w:p>
    <w:p>
      <w:pPr>
        <w:spacing w:line="288" w:lineRule="auto" w:before="0"/>
        <w:ind w:left="799" w:right="951" w:firstLine="0"/>
        <w:jc w:val="left"/>
        <w:rPr>
          <w:sz w:val="22"/>
        </w:rPr>
      </w:pPr>
      <w:r>
        <w:rPr>
          <w:i/>
          <w:sz w:val="22"/>
        </w:rPr>
        <w:t>“... consultation and coordination between the AER and the ESV during access arrangement</w:t>
      </w:r>
      <w:r>
        <w:rPr>
          <w:i/>
          <w:spacing w:val="-3"/>
          <w:sz w:val="22"/>
        </w:rPr>
        <w:t> </w:t>
      </w:r>
      <w:r>
        <w:rPr>
          <w:i/>
          <w:sz w:val="22"/>
        </w:rPr>
        <w:t>reviews</w:t>
      </w:r>
      <w:r>
        <w:rPr>
          <w:i/>
          <w:spacing w:val="-4"/>
          <w:sz w:val="22"/>
        </w:rPr>
        <w:t> </w:t>
      </w:r>
      <w:r>
        <w:rPr>
          <w:i/>
          <w:sz w:val="22"/>
        </w:rPr>
        <w:t>is</w:t>
      </w:r>
      <w:r>
        <w:rPr>
          <w:i/>
          <w:spacing w:val="-1"/>
          <w:sz w:val="22"/>
        </w:rPr>
        <w:t> </w:t>
      </w:r>
      <w:r>
        <w:rPr>
          <w:i/>
          <w:sz w:val="22"/>
        </w:rPr>
        <w:t>important</w:t>
      </w:r>
      <w:r>
        <w:rPr>
          <w:i/>
          <w:spacing w:val="-3"/>
          <w:sz w:val="22"/>
        </w:rPr>
        <w:t> </w:t>
      </w:r>
      <w:r>
        <w:rPr>
          <w:i/>
          <w:sz w:val="22"/>
        </w:rPr>
        <w:t>to</w:t>
      </w:r>
      <w:r>
        <w:rPr>
          <w:i/>
          <w:spacing w:val="-4"/>
          <w:sz w:val="22"/>
        </w:rPr>
        <w:t> </w:t>
      </w:r>
      <w:r>
        <w:rPr>
          <w:i/>
          <w:sz w:val="22"/>
        </w:rPr>
        <w:t>ensure</w:t>
      </w:r>
      <w:r>
        <w:rPr>
          <w:i/>
          <w:spacing w:val="-4"/>
          <w:sz w:val="22"/>
        </w:rPr>
        <w:t> </w:t>
      </w:r>
      <w:r>
        <w:rPr>
          <w:i/>
          <w:sz w:val="22"/>
        </w:rPr>
        <w:t>that</w:t>
      </w:r>
      <w:r>
        <w:rPr>
          <w:i/>
          <w:spacing w:val="-3"/>
          <w:sz w:val="22"/>
        </w:rPr>
        <w:t> </w:t>
      </w:r>
      <w:r>
        <w:rPr>
          <w:i/>
          <w:sz w:val="22"/>
        </w:rPr>
        <w:t>safety</w:t>
      </w:r>
      <w:r>
        <w:rPr>
          <w:i/>
          <w:spacing w:val="-4"/>
          <w:sz w:val="22"/>
        </w:rPr>
        <w:t> </w:t>
      </w:r>
      <w:r>
        <w:rPr>
          <w:i/>
          <w:sz w:val="22"/>
        </w:rPr>
        <w:t>and</w:t>
      </w:r>
      <w:r>
        <w:rPr>
          <w:i/>
          <w:spacing w:val="-2"/>
          <w:sz w:val="22"/>
        </w:rPr>
        <w:t> </w:t>
      </w:r>
      <w:r>
        <w:rPr>
          <w:i/>
          <w:sz w:val="22"/>
        </w:rPr>
        <w:t>economic</w:t>
      </w:r>
      <w:r>
        <w:rPr>
          <w:i/>
          <w:spacing w:val="-4"/>
          <w:sz w:val="22"/>
        </w:rPr>
        <w:t> </w:t>
      </w:r>
      <w:r>
        <w:rPr>
          <w:i/>
          <w:sz w:val="22"/>
        </w:rPr>
        <w:t>issues</w:t>
      </w:r>
      <w:r>
        <w:rPr>
          <w:i/>
          <w:spacing w:val="-2"/>
          <w:sz w:val="22"/>
        </w:rPr>
        <w:t> </w:t>
      </w:r>
      <w:r>
        <w:rPr>
          <w:i/>
          <w:sz w:val="22"/>
        </w:rPr>
        <w:t>are considered jointly.” </w:t>
      </w:r>
      <w:r>
        <w:rPr>
          <w:sz w:val="22"/>
        </w:rPr>
        <w:t>(Australian Gas Networks, 2017, p. 5)</w:t>
      </w:r>
    </w:p>
    <w:p>
      <w:pPr>
        <w:pStyle w:val="BodyText"/>
        <w:rPr>
          <w:sz w:val="21"/>
        </w:rPr>
      </w:pPr>
    </w:p>
    <w:p>
      <w:pPr>
        <w:pStyle w:val="BodyText"/>
        <w:spacing w:line="288" w:lineRule="auto"/>
        <w:ind w:left="232"/>
      </w:pPr>
      <w:r>
        <w:rPr/>
        <w:t>Nevertheless,</w:t>
      </w:r>
      <w:r>
        <w:rPr>
          <w:spacing w:val="-1"/>
        </w:rPr>
        <w:t> </w:t>
      </w:r>
      <w:r>
        <w:rPr/>
        <w:t>Australian</w:t>
      </w:r>
      <w:r>
        <w:rPr>
          <w:spacing w:val="-4"/>
        </w:rPr>
        <w:t> </w:t>
      </w:r>
      <w:r>
        <w:rPr/>
        <w:t>Gas</w:t>
      </w:r>
      <w:r>
        <w:rPr>
          <w:spacing w:val="-2"/>
        </w:rPr>
        <w:t> </w:t>
      </w:r>
      <w:r>
        <w:rPr/>
        <w:t>Networks</w:t>
      </w:r>
      <w:r>
        <w:rPr>
          <w:spacing w:val="-4"/>
        </w:rPr>
        <w:t> </w:t>
      </w:r>
      <w:r>
        <w:rPr/>
        <w:t>has</w:t>
      </w:r>
      <w:r>
        <w:rPr>
          <w:spacing w:val="-1"/>
        </w:rPr>
        <w:t> </w:t>
      </w:r>
      <w:r>
        <w:rPr/>
        <w:t>expressed</w:t>
      </w:r>
      <w:r>
        <w:rPr>
          <w:spacing w:val="-2"/>
        </w:rPr>
        <w:t> </w:t>
      </w:r>
      <w:r>
        <w:rPr/>
        <w:t>a</w:t>
      </w:r>
      <w:r>
        <w:rPr>
          <w:spacing w:val="-1"/>
        </w:rPr>
        <w:t> </w:t>
      </w:r>
      <w:r>
        <w:rPr/>
        <w:t>view</w:t>
      </w:r>
      <w:r>
        <w:rPr>
          <w:spacing w:val="-5"/>
        </w:rPr>
        <w:t> </w:t>
      </w:r>
      <w:r>
        <w:rPr/>
        <w:t>that</w:t>
      </w:r>
      <w:r>
        <w:rPr>
          <w:spacing w:val="-3"/>
        </w:rPr>
        <w:t> </w:t>
      </w:r>
      <w:r>
        <w:rPr/>
        <w:t>there</w:t>
      </w:r>
      <w:r>
        <w:rPr>
          <w:spacing w:val="-4"/>
        </w:rPr>
        <w:t> </w:t>
      </w:r>
      <w:r>
        <w:rPr/>
        <w:t>is</w:t>
      </w:r>
      <w:r>
        <w:rPr>
          <w:spacing w:val="-4"/>
        </w:rPr>
        <w:t> </w:t>
      </w:r>
      <w:r>
        <w:rPr/>
        <w:t>room</w:t>
      </w:r>
      <w:r>
        <w:rPr>
          <w:spacing w:val="-5"/>
        </w:rPr>
        <w:t> </w:t>
      </w:r>
      <w:r>
        <w:rPr/>
        <w:t>for</w:t>
      </w:r>
      <w:r>
        <w:rPr>
          <w:spacing w:val="-3"/>
        </w:rPr>
        <w:t> </w:t>
      </w:r>
      <w:r>
        <w:rPr/>
        <w:t>greater collaboration between the two regulators:</w:t>
      </w:r>
    </w:p>
    <w:p>
      <w:pPr>
        <w:pStyle w:val="BodyText"/>
        <w:spacing w:before="10"/>
        <w:rPr>
          <w:sz w:val="20"/>
        </w:rPr>
      </w:pPr>
    </w:p>
    <w:p>
      <w:pPr>
        <w:spacing w:line="288" w:lineRule="auto" w:before="0"/>
        <w:ind w:left="799" w:right="868" w:firstLine="0"/>
        <w:jc w:val="left"/>
        <w:rPr>
          <w:sz w:val="22"/>
        </w:rPr>
      </w:pPr>
      <w:r>
        <w:rPr>
          <w:i/>
          <w:sz w:val="22"/>
        </w:rPr>
        <w:t>"It appears</w:t>
      </w:r>
      <w:r>
        <w:rPr>
          <w:i/>
          <w:spacing w:val="-1"/>
          <w:sz w:val="22"/>
        </w:rPr>
        <w:t> </w:t>
      </w:r>
      <w:r>
        <w:rPr>
          <w:i/>
          <w:sz w:val="22"/>
        </w:rPr>
        <w:t>that there is</w:t>
      </w:r>
      <w:r>
        <w:rPr>
          <w:i/>
          <w:spacing w:val="-1"/>
          <w:sz w:val="22"/>
        </w:rPr>
        <w:t> </w:t>
      </w:r>
      <w:r>
        <w:rPr>
          <w:i/>
          <w:sz w:val="22"/>
        </w:rPr>
        <w:t>significant scope</w:t>
      </w:r>
      <w:r>
        <w:rPr>
          <w:i/>
          <w:spacing w:val="-1"/>
          <w:sz w:val="22"/>
        </w:rPr>
        <w:t> </w:t>
      </w:r>
      <w:r>
        <w:rPr>
          <w:i/>
          <w:sz w:val="22"/>
        </w:rPr>
        <w:t>for closer collaboration between</w:t>
      </w:r>
      <w:r>
        <w:rPr>
          <w:i/>
          <w:spacing w:val="-1"/>
          <w:sz w:val="22"/>
        </w:rPr>
        <w:t> </w:t>
      </w:r>
      <w:r>
        <w:rPr>
          <w:i/>
          <w:sz w:val="22"/>
        </w:rPr>
        <w:t>the AER and the ESV when making decisions that will ultimately determine available funding for ensuring the safety of gas networks and the community. This could be achieved by making</w:t>
      </w:r>
      <w:r>
        <w:rPr>
          <w:i/>
          <w:spacing w:val="-2"/>
          <w:sz w:val="22"/>
        </w:rPr>
        <w:t> </w:t>
      </w:r>
      <w:r>
        <w:rPr>
          <w:i/>
          <w:sz w:val="22"/>
        </w:rPr>
        <w:t>ESV</w:t>
      </w:r>
      <w:r>
        <w:rPr>
          <w:i/>
          <w:spacing w:val="-2"/>
          <w:sz w:val="22"/>
        </w:rPr>
        <w:t> </w:t>
      </w:r>
      <w:r>
        <w:rPr>
          <w:i/>
          <w:sz w:val="22"/>
        </w:rPr>
        <w:t>input</w:t>
      </w:r>
      <w:r>
        <w:rPr>
          <w:i/>
          <w:spacing w:val="-3"/>
          <w:sz w:val="22"/>
        </w:rPr>
        <w:t> </w:t>
      </w:r>
      <w:r>
        <w:rPr>
          <w:i/>
          <w:sz w:val="22"/>
        </w:rPr>
        <w:t>a</w:t>
      </w:r>
      <w:r>
        <w:rPr>
          <w:i/>
          <w:spacing w:val="-4"/>
          <w:sz w:val="22"/>
        </w:rPr>
        <w:t> </w:t>
      </w:r>
      <w:r>
        <w:rPr>
          <w:i/>
          <w:sz w:val="22"/>
        </w:rPr>
        <w:t>formal</w:t>
      </w:r>
      <w:r>
        <w:rPr>
          <w:i/>
          <w:spacing w:val="-3"/>
          <w:sz w:val="22"/>
        </w:rPr>
        <w:t> </w:t>
      </w:r>
      <w:r>
        <w:rPr>
          <w:i/>
          <w:sz w:val="22"/>
        </w:rPr>
        <w:t>step</w:t>
      </w:r>
      <w:r>
        <w:rPr>
          <w:i/>
          <w:spacing w:val="-2"/>
          <w:sz w:val="22"/>
        </w:rPr>
        <w:t> </w:t>
      </w:r>
      <w:r>
        <w:rPr>
          <w:i/>
          <w:sz w:val="22"/>
        </w:rPr>
        <w:t>in</w:t>
      </w:r>
      <w:r>
        <w:rPr>
          <w:i/>
          <w:spacing w:val="-4"/>
          <w:sz w:val="22"/>
        </w:rPr>
        <w:t> </w:t>
      </w:r>
      <w:r>
        <w:rPr>
          <w:i/>
          <w:sz w:val="22"/>
        </w:rPr>
        <w:t>the</w:t>
      </w:r>
      <w:r>
        <w:rPr>
          <w:i/>
          <w:spacing w:val="-4"/>
          <w:sz w:val="22"/>
        </w:rPr>
        <w:t> </w:t>
      </w:r>
      <w:r>
        <w:rPr>
          <w:i/>
          <w:sz w:val="22"/>
        </w:rPr>
        <w:t>AER</w:t>
      </w:r>
      <w:r>
        <w:rPr>
          <w:i/>
          <w:spacing w:val="-2"/>
          <w:sz w:val="22"/>
        </w:rPr>
        <w:t> </w:t>
      </w:r>
      <w:r>
        <w:rPr>
          <w:i/>
          <w:sz w:val="22"/>
        </w:rPr>
        <w:t>review process.”</w:t>
      </w:r>
      <w:r>
        <w:rPr>
          <w:i/>
          <w:spacing w:val="-3"/>
          <w:sz w:val="22"/>
        </w:rPr>
        <w:t> </w:t>
      </w:r>
      <w:r>
        <w:rPr>
          <w:sz w:val="22"/>
        </w:rPr>
        <w:t>(Australian</w:t>
      </w:r>
      <w:r>
        <w:rPr>
          <w:spacing w:val="-4"/>
          <w:sz w:val="22"/>
        </w:rPr>
        <w:t> </w:t>
      </w:r>
      <w:r>
        <w:rPr>
          <w:sz w:val="22"/>
        </w:rPr>
        <w:t>Gas</w:t>
      </w:r>
      <w:r>
        <w:rPr>
          <w:spacing w:val="-2"/>
          <w:sz w:val="22"/>
        </w:rPr>
        <w:t> </w:t>
      </w:r>
      <w:r>
        <w:rPr>
          <w:sz w:val="22"/>
        </w:rPr>
        <w:t>Networks, 2017, p. 5)</w:t>
      </w:r>
    </w:p>
    <w:p>
      <w:pPr>
        <w:pStyle w:val="BodyText"/>
        <w:spacing w:before="10"/>
        <w:rPr>
          <w:sz w:val="20"/>
        </w:rPr>
      </w:pPr>
    </w:p>
    <w:p>
      <w:pPr>
        <w:pStyle w:val="BodyText"/>
        <w:spacing w:line="288" w:lineRule="auto"/>
        <w:ind w:left="232" w:right="374"/>
      </w:pPr>
      <w:r>
        <w:rPr/>
        <w:t>While</w:t>
      </w:r>
      <w:r>
        <w:rPr>
          <w:spacing w:val="-3"/>
        </w:rPr>
        <w:t> </w:t>
      </w:r>
      <w:r>
        <w:rPr/>
        <w:t>commenting</w:t>
      </w:r>
      <w:r>
        <w:rPr>
          <w:spacing w:val="-3"/>
        </w:rPr>
        <w:t> </w:t>
      </w:r>
      <w:r>
        <w:rPr/>
        <w:t>positively</w:t>
      </w:r>
      <w:r>
        <w:rPr>
          <w:spacing w:val="-5"/>
        </w:rPr>
        <w:t> </w:t>
      </w:r>
      <w:r>
        <w:rPr/>
        <w:t>on</w:t>
      </w:r>
      <w:r>
        <w:rPr>
          <w:spacing w:val="-3"/>
        </w:rPr>
        <w:t> </w:t>
      </w:r>
      <w:r>
        <w:rPr/>
        <w:t>recent</w:t>
      </w:r>
      <w:r>
        <w:rPr>
          <w:spacing w:val="-4"/>
        </w:rPr>
        <w:t> </w:t>
      </w:r>
      <w:r>
        <w:rPr/>
        <w:t>engagement</w:t>
      </w:r>
      <w:r>
        <w:rPr>
          <w:spacing w:val="-1"/>
        </w:rPr>
        <w:t> </w:t>
      </w:r>
      <w:r>
        <w:rPr/>
        <w:t>between</w:t>
      </w:r>
      <w:r>
        <w:rPr>
          <w:spacing w:val="-3"/>
        </w:rPr>
        <w:t> </w:t>
      </w:r>
      <w:r>
        <w:rPr/>
        <w:t>ESV</w:t>
      </w:r>
      <w:r>
        <w:rPr>
          <w:spacing w:val="-3"/>
        </w:rPr>
        <w:t> </w:t>
      </w:r>
      <w:r>
        <w:rPr/>
        <w:t>and</w:t>
      </w:r>
      <w:r>
        <w:rPr>
          <w:spacing w:val="-3"/>
        </w:rPr>
        <w:t> </w:t>
      </w:r>
      <w:r>
        <w:rPr/>
        <w:t>the</w:t>
      </w:r>
      <w:r>
        <w:rPr>
          <w:spacing w:val="-3"/>
        </w:rPr>
        <w:t> </w:t>
      </w:r>
      <w:r>
        <w:rPr/>
        <w:t>AER,</w:t>
      </w:r>
      <w:r>
        <w:rPr>
          <w:spacing w:val="-1"/>
        </w:rPr>
        <w:t> </w:t>
      </w:r>
      <w:r>
        <w:rPr/>
        <w:t>Multinet</w:t>
      </w:r>
      <w:r>
        <w:rPr>
          <w:spacing w:val="-1"/>
        </w:rPr>
        <w:t> </w:t>
      </w:r>
      <w:r>
        <w:rPr/>
        <w:t>has proposed that ESV could play a broader role in assisting the AER, and that the interactions between the regulators could be codified to ensure effective input by ESV:</w:t>
      </w:r>
    </w:p>
    <w:p>
      <w:pPr>
        <w:pStyle w:val="BodyText"/>
        <w:spacing w:before="9"/>
        <w:rPr>
          <w:sz w:val="20"/>
        </w:rPr>
      </w:pPr>
    </w:p>
    <w:p>
      <w:pPr>
        <w:spacing w:line="288" w:lineRule="auto" w:before="0"/>
        <w:ind w:left="799" w:right="951" w:firstLine="0"/>
        <w:jc w:val="left"/>
        <w:rPr>
          <w:sz w:val="22"/>
        </w:rPr>
      </w:pPr>
      <w:r>
        <w:rPr>
          <w:i/>
          <w:sz w:val="22"/>
        </w:rPr>
        <w:t>“Multinet Gas is encouraged by the interaction between the AER and ESV on their current review of Multinet’s proposed Mains Replacement program for the 2018–22 Access Arrangement Period … ESV’s role in assisting the AER in assessing Multinet Gas’</w:t>
      </w:r>
      <w:r>
        <w:rPr>
          <w:i/>
          <w:spacing w:val="-8"/>
          <w:sz w:val="22"/>
        </w:rPr>
        <w:t> </w:t>
      </w:r>
      <w:r>
        <w:rPr>
          <w:i/>
          <w:sz w:val="22"/>
        </w:rPr>
        <w:t>proposal</w:t>
      </w:r>
      <w:r>
        <w:rPr>
          <w:i/>
          <w:spacing w:val="-2"/>
          <w:sz w:val="22"/>
        </w:rPr>
        <w:t> </w:t>
      </w:r>
      <w:r>
        <w:rPr>
          <w:i/>
          <w:sz w:val="22"/>
        </w:rPr>
        <w:t>could</w:t>
      </w:r>
      <w:r>
        <w:rPr>
          <w:i/>
          <w:spacing w:val="-2"/>
          <w:sz w:val="22"/>
        </w:rPr>
        <w:t> </w:t>
      </w:r>
      <w:r>
        <w:rPr>
          <w:i/>
          <w:sz w:val="22"/>
        </w:rPr>
        <w:t>be</w:t>
      </w:r>
      <w:r>
        <w:rPr>
          <w:i/>
          <w:spacing w:val="-2"/>
          <w:sz w:val="22"/>
        </w:rPr>
        <w:t> </w:t>
      </w:r>
      <w:r>
        <w:rPr>
          <w:i/>
          <w:sz w:val="22"/>
        </w:rPr>
        <w:t>extended</w:t>
      </w:r>
      <w:r>
        <w:rPr>
          <w:i/>
          <w:spacing w:val="-4"/>
          <w:sz w:val="22"/>
        </w:rPr>
        <w:t> </w:t>
      </w:r>
      <w:r>
        <w:rPr>
          <w:i/>
          <w:sz w:val="22"/>
        </w:rPr>
        <w:t>to</w:t>
      </w:r>
      <w:r>
        <w:rPr>
          <w:i/>
          <w:spacing w:val="-2"/>
          <w:sz w:val="22"/>
        </w:rPr>
        <w:t> </w:t>
      </w:r>
      <w:r>
        <w:rPr>
          <w:i/>
          <w:sz w:val="22"/>
        </w:rPr>
        <w:t>include</w:t>
      </w:r>
      <w:r>
        <w:rPr>
          <w:i/>
          <w:spacing w:val="-2"/>
          <w:sz w:val="22"/>
        </w:rPr>
        <w:t> </w:t>
      </w:r>
      <w:r>
        <w:rPr>
          <w:i/>
          <w:sz w:val="22"/>
        </w:rPr>
        <w:t>all</w:t>
      </w:r>
      <w:r>
        <w:rPr>
          <w:i/>
          <w:spacing w:val="-2"/>
          <w:sz w:val="22"/>
        </w:rPr>
        <w:t> </w:t>
      </w:r>
      <w:r>
        <w:rPr>
          <w:i/>
          <w:sz w:val="22"/>
        </w:rPr>
        <w:t>safety</w:t>
      </w:r>
      <w:r>
        <w:rPr>
          <w:i/>
          <w:spacing w:val="-1"/>
          <w:sz w:val="22"/>
        </w:rPr>
        <w:t> </w:t>
      </w:r>
      <w:r>
        <w:rPr>
          <w:i/>
          <w:sz w:val="22"/>
        </w:rPr>
        <w:t>and</w:t>
      </w:r>
      <w:r>
        <w:rPr>
          <w:i/>
          <w:spacing w:val="-4"/>
          <w:sz w:val="22"/>
        </w:rPr>
        <w:t> </w:t>
      </w:r>
      <w:r>
        <w:rPr>
          <w:i/>
          <w:sz w:val="22"/>
        </w:rPr>
        <w:t>integrity</w:t>
      </w:r>
      <w:r>
        <w:rPr>
          <w:i/>
          <w:spacing w:val="-4"/>
          <w:sz w:val="22"/>
        </w:rPr>
        <w:t> </w:t>
      </w:r>
      <w:r>
        <w:rPr>
          <w:i/>
          <w:sz w:val="22"/>
        </w:rPr>
        <w:t>related</w:t>
      </w:r>
      <w:r>
        <w:rPr>
          <w:i/>
          <w:spacing w:val="-6"/>
          <w:sz w:val="22"/>
        </w:rPr>
        <w:t> </w:t>
      </w:r>
      <w:r>
        <w:rPr>
          <w:i/>
          <w:sz w:val="22"/>
        </w:rPr>
        <w:t>programs. It would be useful to codify this interaction so it is planned, well-resourced and Gas Distribution Networks have an opportunity to provide an explanation of safety related expenditure programs to ESV on a timeframe that allows ESV effective input to the Access Arrangement process.” </w:t>
      </w:r>
      <w:r>
        <w:rPr>
          <w:sz w:val="22"/>
        </w:rPr>
        <w:t>(Multinet Gas, 2017, p. 6)</w:t>
      </w:r>
    </w:p>
    <w:p>
      <w:pPr>
        <w:pStyle w:val="BodyText"/>
        <w:spacing w:before="10"/>
        <w:rPr>
          <w:sz w:val="20"/>
        </w:rPr>
      </w:pPr>
    </w:p>
    <w:p>
      <w:pPr>
        <w:pStyle w:val="BodyText"/>
        <w:spacing w:line="288" w:lineRule="auto"/>
        <w:ind w:left="232" w:right="374"/>
      </w:pPr>
      <w:r>
        <w:rPr/>
        <w:t>In a similar vein, AusNet Services, in its submission to the electricity Issues Paper, has proposed the</w:t>
      </w:r>
      <w:r>
        <w:rPr>
          <w:spacing w:val="-2"/>
        </w:rPr>
        <w:t> </w:t>
      </w:r>
      <w:r>
        <w:rPr/>
        <w:t>development</w:t>
      </w:r>
      <w:r>
        <w:rPr>
          <w:spacing w:val="-3"/>
        </w:rPr>
        <w:t> </w:t>
      </w:r>
      <w:r>
        <w:rPr/>
        <w:t>of a</w:t>
      </w:r>
      <w:r>
        <w:rPr>
          <w:spacing w:val="-4"/>
        </w:rPr>
        <w:t> </w:t>
      </w:r>
      <w:r>
        <w:rPr/>
        <w:t>formal</w:t>
      </w:r>
      <w:r>
        <w:rPr>
          <w:spacing w:val="-3"/>
        </w:rPr>
        <w:t> </w:t>
      </w:r>
      <w:r>
        <w:rPr/>
        <w:t>economic</w:t>
      </w:r>
      <w:r>
        <w:rPr>
          <w:spacing w:val="-4"/>
        </w:rPr>
        <w:t> </w:t>
      </w:r>
      <w:r>
        <w:rPr/>
        <w:t>framework</w:t>
      </w:r>
      <w:r>
        <w:rPr>
          <w:spacing w:val="-1"/>
        </w:rPr>
        <w:t> </w:t>
      </w:r>
      <w:r>
        <w:rPr/>
        <w:t>to</w:t>
      </w:r>
      <w:r>
        <w:rPr>
          <w:spacing w:val="-4"/>
        </w:rPr>
        <w:t> </w:t>
      </w:r>
      <w:r>
        <w:rPr/>
        <w:t>assist</w:t>
      </w:r>
      <w:r>
        <w:rPr>
          <w:spacing w:val="-3"/>
        </w:rPr>
        <w:t> </w:t>
      </w:r>
      <w:r>
        <w:rPr/>
        <w:t>in</w:t>
      </w:r>
      <w:r>
        <w:rPr>
          <w:spacing w:val="-4"/>
        </w:rPr>
        <w:t> </w:t>
      </w:r>
      <w:r>
        <w:rPr/>
        <w:t>guiding</w:t>
      </w:r>
      <w:r>
        <w:rPr>
          <w:spacing w:val="-2"/>
        </w:rPr>
        <w:t> </w:t>
      </w:r>
      <w:r>
        <w:rPr/>
        <w:t>decision</w:t>
      </w:r>
      <w:r>
        <w:rPr>
          <w:spacing w:val="-2"/>
        </w:rPr>
        <w:t> </w:t>
      </w:r>
      <w:r>
        <w:rPr/>
        <w:t>making by</w:t>
      </w:r>
      <w:r>
        <w:rPr>
          <w:spacing w:val="-4"/>
        </w:rPr>
        <w:t> </w:t>
      </w:r>
      <w:r>
        <w:rPr/>
        <w:t>the</w:t>
      </w:r>
      <w:r>
        <w:rPr>
          <w:spacing w:val="-4"/>
        </w:rPr>
        <w:t> </w:t>
      </w:r>
      <w:r>
        <w:rPr/>
        <w:t>AER:</w:t>
      </w:r>
    </w:p>
    <w:p>
      <w:pPr>
        <w:pStyle w:val="BodyText"/>
        <w:spacing w:before="10"/>
        <w:rPr>
          <w:sz w:val="20"/>
        </w:rPr>
      </w:pPr>
    </w:p>
    <w:p>
      <w:pPr>
        <w:spacing w:line="288" w:lineRule="auto" w:before="1"/>
        <w:ind w:left="799" w:right="951" w:firstLine="0"/>
        <w:jc w:val="left"/>
        <w:rPr>
          <w:sz w:val="22"/>
        </w:rPr>
      </w:pPr>
      <w:r>
        <w:rPr>
          <w:i/>
          <w:sz w:val="22"/>
        </w:rPr>
        <w:t>“...</w:t>
      </w:r>
      <w:r>
        <w:rPr>
          <w:i/>
          <w:spacing w:val="-3"/>
          <w:sz w:val="22"/>
        </w:rPr>
        <w:t> </w:t>
      </w:r>
      <w:r>
        <w:rPr>
          <w:i/>
          <w:sz w:val="22"/>
        </w:rPr>
        <w:t>the</w:t>
      </w:r>
      <w:r>
        <w:rPr>
          <w:i/>
          <w:spacing w:val="-5"/>
          <w:sz w:val="22"/>
        </w:rPr>
        <w:t> </w:t>
      </w:r>
      <w:r>
        <w:rPr>
          <w:i/>
          <w:sz w:val="22"/>
        </w:rPr>
        <w:t>development</w:t>
      </w:r>
      <w:r>
        <w:rPr>
          <w:i/>
          <w:spacing w:val="-1"/>
          <w:sz w:val="22"/>
        </w:rPr>
        <w:t> </w:t>
      </w:r>
      <w:r>
        <w:rPr>
          <w:i/>
          <w:sz w:val="22"/>
        </w:rPr>
        <w:t>of</w:t>
      </w:r>
      <w:r>
        <w:rPr>
          <w:i/>
          <w:spacing w:val="-1"/>
          <w:sz w:val="22"/>
        </w:rPr>
        <w:t> </w:t>
      </w:r>
      <w:r>
        <w:rPr>
          <w:i/>
          <w:sz w:val="22"/>
        </w:rPr>
        <w:t>an</w:t>
      </w:r>
      <w:r>
        <w:rPr>
          <w:i/>
          <w:spacing w:val="-3"/>
          <w:sz w:val="22"/>
        </w:rPr>
        <w:t> </w:t>
      </w:r>
      <w:r>
        <w:rPr>
          <w:i/>
          <w:sz w:val="22"/>
        </w:rPr>
        <w:t>accepted</w:t>
      </w:r>
      <w:r>
        <w:rPr>
          <w:i/>
          <w:spacing w:val="-5"/>
          <w:sz w:val="22"/>
        </w:rPr>
        <w:t> </w:t>
      </w:r>
      <w:r>
        <w:rPr>
          <w:i/>
          <w:sz w:val="22"/>
        </w:rPr>
        <w:t>economic</w:t>
      </w:r>
      <w:r>
        <w:rPr>
          <w:i/>
          <w:spacing w:val="-5"/>
          <w:sz w:val="22"/>
        </w:rPr>
        <w:t> </w:t>
      </w:r>
      <w:r>
        <w:rPr>
          <w:i/>
          <w:sz w:val="22"/>
        </w:rPr>
        <w:t>framework</w:t>
      </w:r>
      <w:r>
        <w:rPr>
          <w:i/>
          <w:spacing w:val="-5"/>
          <w:sz w:val="22"/>
        </w:rPr>
        <w:t> </w:t>
      </w:r>
      <w:r>
        <w:rPr>
          <w:i/>
          <w:sz w:val="22"/>
        </w:rPr>
        <w:t>to</w:t>
      </w:r>
      <w:r>
        <w:rPr>
          <w:i/>
          <w:spacing w:val="-5"/>
          <w:sz w:val="22"/>
        </w:rPr>
        <w:t> </w:t>
      </w:r>
      <w:r>
        <w:rPr>
          <w:i/>
          <w:sz w:val="22"/>
        </w:rPr>
        <w:t>address</w:t>
      </w:r>
      <w:r>
        <w:rPr>
          <w:i/>
          <w:spacing w:val="-2"/>
          <w:sz w:val="22"/>
        </w:rPr>
        <w:t> </w:t>
      </w:r>
      <w:r>
        <w:rPr>
          <w:i/>
          <w:sz w:val="22"/>
        </w:rPr>
        <w:t>network</w:t>
      </w:r>
      <w:r>
        <w:rPr>
          <w:i/>
          <w:spacing w:val="-2"/>
          <w:sz w:val="22"/>
        </w:rPr>
        <w:t> </w:t>
      </w:r>
      <w:r>
        <w:rPr>
          <w:i/>
          <w:sz w:val="22"/>
        </w:rPr>
        <w:t>safety risks, along with values and key inputs such the value of human life and disproportionality factors that is consistent across the industry, and has ESV endorsement would significantly improve economic regulatory processes.” </w:t>
      </w:r>
      <w:r>
        <w:rPr>
          <w:sz w:val="22"/>
        </w:rPr>
        <w:t>(AusNet Services, 2017, p. 13)</w:t>
      </w:r>
    </w:p>
    <w:p>
      <w:pPr>
        <w:pStyle w:val="BodyText"/>
      </w:pPr>
    </w:p>
    <w:p>
      <w:pPr>
        <w:pStyle w:val="BodyText"/>
        <w:spacing w:line="249" w:lineRule="auto"/>
        <w:ind w:left="232" w:right="363"/>
      </w:pPr>
      <w:r>
        <w:rPr/>
        <w:t>In</w:t>
      </w:r>
      <w:r>
        <w:rPr>
          <w:spacing w:val="-2"/>
        </w:rPr>
        <w:t> </w:t>
      </w:r>
      <w:r>
        <w:rPr/>
        <w:t>its</w:t>
      </w:r>
      <w:r>
        <w:rPr>
          <w:spacing w:val="-3"/>
        </w:rPr>
        <w:t> </w:t>
      </w:r>
      <w:r>
        <w:rPr/>
        <w:t>submission, APA</w:t>
      </w:r>
      <w:r>
        <w:rPr>
          <w:spacing w:val="-5"/>
        </w:rPr>
        <w:t> </w:t>
      </w:r>
      <w:r>
        <w:rPr/>
        <w:t>VTS</w:t>
      </w:r>
      <w:r>
        <w:rPr>
          <w:spacing w:val="-2"/>
        </w:rPr>
        <w:t> </w:t>
      </w:r>
      <w:r>
        <w:rPr/>
        <w:t>noted</w:t>
      </w:r>
      <w:r>
        <w:rPr>
          <w:spacing w:val="-4"/>
        </w:rPr>
        <w:t> </w:t>
      </w:r>
      <w:r>
        <w:rPr/>
        <w:t>its</w:t>
      </w:r>
      <w:r>
        <w:rPr>
          <w:spacing w:val="-4"/>
        </w:rPr>
        <w:t> </w:t>
      </w:r>
      <w:r>
        <w:rPr/>
        <w:t>concern</w:t>
      </w:r>
      <w:r>
        <w:rPr>
          <w:spacing w:val="-4"/>
        </w:rPr>
        <w:t> </w:t>
      </w:r>
      <w:r>
        <w:rPr/>
        <w:t>with</w:t>
      </w:r>
      <w:r>
        <w:rPr>
          <w:spacing w:val="-2"/>
        </w:rPr>
        <w:t> </w:t>
      </w:r>
      <w:r>
        <w:rPr/>
        <w:t>the</w:t>
      </w:r>
      <w:r>
        <w:rPr>
          <w:spacing w:val="-4"/>
        </w:rPr>
        <w:t> </w:t>
      </w:r>
      <w:r>
        <w:rPr/>
        <w:t>AER's</w:t>
      </w:r>
      <w:r>
        <w:rPr>
          <w:spacing w:val="-1"/>
        </w:rPr>
        <w:t> </w:t>
      </w:r>
      <w:r>
        <w:rPr/>
        <w:t>past</w:t>
      </w:r>
      <w:r>
        <w:rPr>
          <w:spacing w:val="-3"/>
        </w:rPr>
        <w:t> </w:t>
      </w:r>
      <w:r>
        <w:rPr/>
        <w:t>consideration</w:t>
      </w:r>
      <w:r>
        <w:rPr>
          <w:spacing w:val="-2"/>
        </w:rPr>
        <w:t> </w:t>
      </w:r>
      <w:r>
        <w:rPr/>
        <w:t>of some</w:t>
      </w:r>
      <w:r>
        <w:rPr>
          <w:spacing w:val="-4"/>
        </w:rPr>
        <w:t> </w:t>
      </w:r>
      <w:r>
        <w:rPr/>
        <w:t>proposed safety-related expenditures:</w:t>
      </w:r>
    </w:p>
    <w:p>
      <w:pPr>
        <w:pStyle w:val="BodyText"/>
        <w:rPr>
          <w:sz w:val="20"/>
        </w:rPr>
      </w:pPr>
    </w:p>
    <w:p>
      <w:pPr>
        <w:spacing w:line="288" w:lineRule="auto" w:before="0"/>
        <w:ind w:left="799" w:right="951" w:firstLine="0"/>
        <w:jc w:val="left"/>
        <w:rPr>
          <w:sz w:val="22"/>
        </w:rPr>
      </w:pPr>
      <w:r>
        <w:rPr>
          <w:i/>
          <w:sz w:val="22"/>
        </w:rPr>
        <w:t>“... the AER, as economic regulator, has not always understood or recognised how safety</w:t>
      </w:r>
      <w:r>
        <w:rPr>
          <w:i/>
          <w:spacing w:val="-4"/>
          <w:sz w:val="22"/>
        </w:rPr>
        <w:t> </w:t>
      </w:r>
      <w:r>
        <w:rPr>
          <w:i/>
          <w:sz w:val="22"/>
        </w:rPr>
        <w:t>expenditure</w:t>
      </w:r>
      <w:r>
        <w:rPr>
          <w:i/>
          <w:spacing w:val="-4"/>
          <w:sz w:val="22"/>
        </w:rPr>
        <w:t> </w:t>
      </w:r>
      <w:r>
        <w:rPr>
          <w:i/>
          <w:sz w:val="22"/>
        </w:rPr>
        <w:t>created</w:t>
      </w:r>
      <w:r>
        <w:rPr>
          <w:i/>
          <w:spacing w:val="-3"/>
          <w:sz w:val="22"/>
        </w:rPr>
        <w:t> </w:t>
      </w:r>
      <w:r>
        <w:rPr>
          <w:i/>
          <w:sz w:val="22"/>
        </w:rPr>
        <w:t>through</w:t>
      </w:r>
      <w:r>
        <w:rPr>
          <w:i/>
          <w:spacing w:val="-3"/>
          <w:sz w:val="22"/>
        </w:rPr>
        <w:t> </w:t>
      </w:r>
      <w:r>
        <w:rPr>
          <w:i/>
          <w:sz w:val="22"/>
        </w:rPr>
        <w:t>a</w:t>
      </w:r>
      <w:r>
        <w:rPr>
          <w:i/>
          <w:spacing w:val="-4"/>
          <w:sz w:val="22"/>
        </w:rPr>
        <w:t> </w:t>
      </w:r>
      <w:r>
        <w:rPr>
          <w:i/>
          <w:sz w:val="22"/>
        </w:rPr>
        <w:t>duty</w:t>
      </w:r>
      <w:r>
        <w:rPr>
          <w:i/>
          <w:spacing w:val="-4"/>
          <w:sz w:val="22"/>
        </w:rPr>
        <w:t> </w:t>
      </w:r>
      <w:r>
        <w:rPr>
          <w:i/>
          <w:sz w:val="22"/>
        </w:rPr>
        <w:t>translates</w:t>
      </w:r>
      <w:r>
        <w:rPr>
          <w:i/>
          <w:spacing w:val="-4"/>
          <w:sz w:val="22"/>
        </w:rPr>
        <w:t> </w:t>
      </w:r>
      <w:r>
        <w:rPr>
          <w:i/>
          <w:sz w:val="22"/>
        </w:rPr>
        <w:t>to</w:t>
      </w:r>
      <w:r>
        <w:rPr>
          <w:i/>
          <w:spacing w:val="-3"/>
          <w:sz w:val="22"/>
        </w:rPr>
        <w:t> </w:t>
      </w:r>
      <w:r>
        <w:rPr>
          <w:i/>
          <w:sz w:val="22"/>
        </w:rPr>
        <w:t>a</w:t>
      </w:r>
      <w:r>
        <w:rPr>
          <w:i/>
          <w:spacing w:val="-4"/>
          <w:sz w:val="22"/>
        </w:rPr>
        <w:t> </w:t>
      </w:r>
      <w:r>
        <w:rPr>
          <w:i/>
          <w:sz w:val="22"/>
        </w:rPr>
        <w:t>positive</w:t>
      </w:r>
      <w:r>
        <w:rPr>
          <w:i/>
          <w:spacing w:val="-4"/>
          <w:sz w:val="22"/>
        </w:rPr>
        <w:t> </w:t>
      </w:r>
      <w:r>
        <w:rPr>
          <w:i/>
          <w:sz w:val="22"/>
        </w:rPr>
        <w:t>regulatory</w:t>
      </w:r>
      <w:r>
        <w:rPr>
          <w:i/>
          <w:spacing w:val="-2"/>
          <w:sz w:val="22"/>
        </w:rPr>
        <w:t> </w:t>
      </w:r>
      <w:r>
        <w:rPr>
          <w:i/>
          <w:sz w:val="22"/>
        </w:rPr>
        <w:t>obligation. There have been times when the AER has rejected safety related expenditure without consulting the relevant safety regulator in the State in question. APA’s emerging approach in Victoria has been to seek support from the ESV in respect of significant safety projects through letters of support and similar. This has been largely successful in bringing issues to the AER’s attention where they drive specific costs within the pipeline.” </w:t>
      </w:r>
      <w:r>
        <w:rPr>
          <w:sz w:val="22"/>
        </w:rPr>
        <w:t>(APA VTS, 2017, p. 9)</w:t>
      </w:r>
    </w:p>
    <w:p>
      <w:pPr>
        <w:spacing w:after="0" w:line="288" w:lineRule="auto"/>
        <w:jc w:val="left"/>
        <w:rPr>
          <w:sz w:val="22"/>
        </w:rPr>
        <w:sectPr>
          <w:pgSz w:w="11910" w:h="16850"/>
          <w:pgMar w:header="220" w:footer="678" w:top="420" w:bottom="860" w:left="900" w:right="840"/>
        </w:sectPr>
      </w:pPr>
    </w:p>
    <w:p>
      <w:pPr>
        <w:pStyle w:val="BodyText"/>
        <w:rPr>
          <w:sz w:val="20"/>
        </w:rPr>
      </w:pPr>
    </w:p>
    <w:p>
      <w:pPr>
        <w:pStyle w:val="BodyText"/>
        <w:spacing w:before="2"/>
        <w:rPr>
          <w:sz w:val="19"/>
        </w:rPr>
      </w:pPr>
    </w:p>
    <w:p>
      <w:pPr>
        <w:pStyle w:val="BodyText"/>
        <w:spacing w:line="288" w:lineRule="auto" w:before="94"/>
        <w:ind w:left="232"/>
      </w:pPr>
      <w:r>
        <w:rPr/>
        <w:t>The</w:t>
      </w:r>
      <w:r>
        <w:rPr>
          <w:spacing w:val="-4"/>
        </w:rPr>
        <w:t> </w:t>
      </w:r>
      <w:r>
        <w:rPr/>
        <w:t>importance</w:t>
      </w:r>
      <w:r>
        <w:rPr>
          <w:spacing w:val="-4"/>
        </w:rPr>
        <w:t> </w:t>
      </w:r>
      <w:r>
        <w:rPr/>
        <w:t>of early</w:t>
      </w:r>
      <w:r>
        <w:rPr>
          <w:spacing w:val="-6"/>
        </w:rPr>
        <w:t> </w:t>
      </w:r>
      <w:r>
        <w:rPr/>
        <w:t>engagement</w:t>
      </w:r>
      <w:r>
        <w:rPr>
          <w:spacing w:val="-3"/>
        </w:rPr>
        <w:t> </w:t>
      </w:r>
      <w:r>
        <w:rPr/>
        <w:t>by</w:t>
      </w:r>
      <w:r>
        <w:rPr>
          <w:spacing w:val="-4"/>
        </w:rPr>
        <w:t> </w:t>
      </w:r>
      <w:r>
        <w:rPr/>
        <w:t>ESV</w:t>
      </w:r>
      <w:r>
        <w:rPr>
          <w:spacing w:val="-2"/>
        </w:rPr>
        <w:t> </w:t>
      </w:r>
      <w:r>
        <w:rPr/>
        <w:t>in</w:t>
      </w:r>
      <w:r>
        <w:rPr>
          <w:spacing w:val="-2"/>
        </w:rPr>
        <w:t> </w:t>
      </w:r>
      <w:r>
        <w:rPr/>
        <w:t>the</w:t>
      </w:r>
      <w:r>
        <w:rPr>
          <w:spacing w:val="-2"/>
        </w:rPr>
        <w:t> </w:t>
      </w:r>
      <w:r>
        <w:rPr/>
        <w:t>pricing decisions</w:t>
      </w:r>
      <w:r>
        <w:rPr>
          <w:spacing w:val="-4"/>
        </w:rPr>
        <w:t> </w:t>
      </w:r>
      <w:r>
        <w:rPr/>
        <w:t>made</w:t>
      </w:r>
      <w:r>
        <w:rPr>
          <w:spacing w:val="-2"/>
        </w:rPr>
        <w:t> </w:t>
      </w:r>
      <w:r>
        <w:rPr/>
        <w:t>by</w:t>
      </w:r>
      <w:r>
        <w:rPr>
          <w:spacing w:val="-4"/>
        </w:rPr>
        <w:t> </w:t>
      </w:r>
      <w:r>
        <w:rPr/>
        <w:t>the</w:t>
      </w:r>
      <w:r>
        <w:rPr>
          <w:spacing w:val="-2"/>
        </w:rPr>
        <w:t> </w:t>
      </w:r>
      <w:r>
        <w:rPr/>
        <w:t>AER</w:t>
      </w:r>
      <w:r>
        <w:rPr>
          <w:spacing w:val="-2"/>
        </w:rPr>
        <w:t> </w:t>
      </w:r>
      <w:r>
        <w:rPr/>
        <w:t>is</w:t>
      </w:r>
      <w:r>
        <w:rPr>
          <w:spacing w:val="-6"/>
        </w:rPr>
        <w:t> </w:t>
      </w:r>
      <w:r>
        <w:rPr/>
        <w:t>further highlighted in submissions made by electricity distribution businesses to the Review.</w:t>
      </w:r>
    </w:p>
    <w:p>
      <w:pPr>
        <w:pStyle w:val="BodyText"/>
        <w:spacing w:before="10"/>
        <w:rPr>
          <w:sz w:val="20"/>
        </w:rPr>
      </w:pPr>
    </w:p>
    <w:p>
      <w:pPr>
        <w:pStyle w:val="BodyText"/>
        <w:spacing w:line="288" w:lineRule="auto" w:before="1"/>
        <w:ind w:left="232" w:right="440"/>
      </w:pPr>
      <w:r>
        <w:rPr/>
        <w:t>Under current practice, the delivery of safety-related initiatives is only formally factored into AER price determinations when tied to a specific regulatory obligation. Proposals not tied to a specific regulatory obligation are referred to as ‘network initiated improvements’. The AER may decide to allow provision for the initiatives directly in its revenue determinations or on a contingent project- funded basis, such as the safety programs funded to meet the Victorian Bushfires Royal Commission</w:t>
      </w:r>
      <w:r>
        <w:rPr>
          <w:spacing w:val="-4"/>
        </w:rPr>
        <w:t> </w:t>
      </w:r>
      <w:r>
        <w:rPr/>
        <w:t>recommendations,</w:t>
      </w:r>
      <w:r>
        <w:rPr>
          <w:spacing w:val="-1"/>
        </w:rPr>
        <w:t> </w:t>
      </w:r>
      <w:r>
        <w:rPr/>
        <w:t>or</w:t>
      </w:r>
      <w:r>
        <w:rPr>
          <w:spacing w:val="-1"/>
        </w:rPr>
        <w:t> </w:t>
      </w:r>
      <w:r>
        <w:rPr/>
        <w:t>it</w:t>
      </w:r>
      <w:r>
        <w:rPr>
          <w:spacing w:val="-3"/>
        </w:rPr>
        <w:t> </w:t>
      </w:r>
      <w:r>
        <w:rPr/>
        <w:t>may</w:t>
      </w:r>
      <w:r>
        <w:rPr>
          <w:spacing w:val="-1"/>
        </w:rPr>
        <w:t> </w:t>
      </w:r>
      <w:r>
        <w:rPr/>
        <w:t>do</w:t>
      </w:r>
      <w:r>
        <w:rPr>
          <w:spacing w:val="-2"/>
        </w:rPr>
        <w:t> </w:t>
      </w:r>
      <w:r>
        <w:rPr/>
        <w:t>so</w:t>
      </w:r>
      <w:r>
        <w:rPr>
          <w:spacing w:val="-4"/>
        </w:rPr>
        <w:t> </w:t>
      </w:r>
      <w:r>
        <w:rPr/>
        <w:t>through</w:t>
      </w:r>
      <w:r>
        <w:rPr>
          <w:spacing w:val="-2"/>
        </w:rPr>
        <w:t> </w:t>
      </w:r>
      <w:r>
        <w:rPr/>
        <w:t>a</w:t>
      </w:r>
      <w:r>
        <w:rPr>
          <w:spacing w:val="-4"/>
        </w:rPr>
        <w:t> </w:t>
      </w:r>
      <w:r>
        <w:rPr/>
        <w:t>specific</w:t>
      </w:r>
      <w:r>
        <w:rPr>
          <w:spacing w:val="-1"/>
        </w:rPr>
        <w:t> </w:t>
      </w:r>
      <w:r>
        <w:rPr/>
        <w:t>economic</w:t>
      </w:r>
      <w:r>
        <w:rPr>
          <w:spacing w:val="-1"/>
        </w:rPr>
        <w:t> </w:t>
      </w:r>
      <w:r>
        <w:rPr/>
        <w:t>incentive</w:t>
      </w:r>
      <w:r>
        <w:rPr>
          <w:spacing w:val="-2"/>
        </w:rPr>
        <w:t> </w:t>
      </w:r>
      <w:r>
        <w:rPr/>
        <w:t>such</w:t>
      </w:r>
      <w:r>
        <w:rPr>
          <w:spacing w:val="-2"/>
        </w:rPr>
        <w:t> </w:t>
      </w:r>
      <w:r>
        <w:rPr/>
        <w:t>as</w:t>
      </w:r>
      <w:r>
        <w:rPr>
          <w:spacing w:val="-6"/>
        </w:rPr>
        <w:t> </w:t>
      </w:r>
      <w:r>
        <w:rPr/>
        <w:t>the f-factor Incentive Scheme.</w:t>
      </w:r>
    </w:p>
    <w:p>
      <w:pPr>
        <w:pStyle w:val="BodyText"/>
        <w:spacing w:before="8"/>
        <w:rPr>
          <w:sz w:val="20"/>
        </w:rPr>
      </w:pPr>
    </w:p>
    <w:p>
      <w:pPr>
        <w:pStyle w:val="BodyText"/>
        <w:spacing w:line="288" w:lineRule="auto" w:before="1"/>
        <w:ind w:left="232" w:right="374"/>
      </w:pPr>
      <w:r>
        <w:rPr/>
        <w:t>Submissions to the Review raised concerns around the capacity of the economic regulatory system</w:t>
      </w:r>
      <w:r>
        <w:rPr>
          <w:spacing w:val="-4"/>
        </w:rPr>
        <w:t> </w:t>
      </w:r>
      <w:r>
        <w:rPr/>
        <w:t>to</w:t>
      </w:r>
      <w:r>
        <w:rPr>
          <w:spacing w:val="-3"/>
        </w:rPr>
        <w:t> </w:t>
      </w:r>
      <w:r>
        <w:rPr/>
        <w:t>accommodate</w:t>
      </w:r>
      <w:r>
        <w:rPr>
          <w:spacing w:val="-7"/>
        </w:rPr>
        <w:t> </w:t>
      </w:r>
      <w:r>
        <w:rPr/>
        <w:t>expenditure</w:t>
      </w:r>
      <w:r>
        <w:rPr>
          <w:spacing w:val="-2"/>
        </w:rPr>
        <w:t> </w:t>
      </w:r>
      <w:r>
        <w:rPr/>
        <w:t>proposals</w:t>
      </w:r>
      <w:r>
        <w:rPr>
          <w:spacing w:val="-5"/>
        </w:rPr>
        <w:t> </w:t>
      </w:r>
      <w:r>
        <w:rPr/>
        <w:t>that</w:t>
      </w:r>
      <w:r>
        <w:rPr>
          <w:spacing w:val="-2"/>
        </w:rPr>
        <w:t> </w:t>
      </w:r>
      <w:r>
        <w:rPr/>
        <w:t>seek</w:t>
      </w:r>
      <w:r>
        <w:rPr>
          <w:spacing w:val="-2"/>
        </w:rPr>
        <w:t> </w:t>
      </w:r>
      <w:r>
        <w:rPr/>
        <w:t>to</w:t>
      </w:r>
      <w:r>
        <w:rPr>
          <w:spacing w:val="-3"/>
        </w:rPr>
        <w:t> </w:t>
      </w:r>
      <w:r>
        <w:rPr/>
        <w:t>deliver</w:t>
      </w:r>
      <w:r>
        <w:rPr>
          <w:spacing w:val="-4"/>
        </w:rPr>
        <w:t> </w:t>
      </w:r>
      <w:r>
        <w:rPr/>
        <w:t>greater</w:t>
      </w:r>
      <w:r>
        <w:rPr>
          <w:spacing w:val="-4"/>
        </w:rPr>
        <w:t> </w:t>
      </w:r>
      <w:r>
        <w:rPr/>
        <w:t>safety,</w:t>
      </w:r>
      <w:r>
        <w:rPr>
          <w:spacing w:val="-1"/>
        </w:rPr>
        <w:t> </w:t>
      </w:r>
      <w:r>
        <w:rPr/>
        <w:t>where</w:t>
      </w:r>
      <w:r>
        <w:rPr>
          <w:spacing w:val="-3"/>
        </w:rPr>
        <w:t> </w:t>
      </w:r>
      <w:r>
        <w:rPr/>
        <w:t>these proposals have not been specifically mandated by the Victorian Government.</w:t>
      </w:r>
    </w:p>
    <w:p>
      <w:pPr>
        <w:pStyle w:val="BodyText"/>
        <w:rPr>
          <w:sz w:val="21"/>
        </w:rPr>
      </w:pPr>
    </w:p>
    <w:p>
      <w:pPr>
        <w:pStyle w:val="BodyText"/>
        <w:spacing w:line="288" w:lineRule="auto"/>
        <w:ind w:left="232" w:right="318"/>
      </w:pPr>
      <w:r>
        <w:rPr/>
        <w:t>In its submission to the Review, AusNet Services has expressed concerns around how the</w:t>
      </w:r>
      <w:r>
        <w:rPr>
          <w:spacing w:val="40"/>
        </w:rPr>
        <w:t> </w:t>
      </w:r>
      <w:r>
        <w:rPr>
          <w:i/>
        </w:rPr>
        <w:t>National</w:t>
      </w:r>
      <w:r>
        <w:rPr>
          <w:i/>
          <w:spacing w:val="-3"/>
        </w:rPr>
        <w:t> </w:t>
      </w:r>
      <w:r>
        <w:rPr>
          <w:i/>
        </w:rPr>
        <w:t>Electricity</w:t>
      </w:r>
      <w:r>
        <w:rPr>
          <w:i/>
          <w:spacing w:val="-5"/>
        </w:rPr>
        <w:t> </w:t>
      </w:r>
      <w:r>
        <w:rPr>
          <w:i/>
        </w:rPr>
        <w:t>Rules</w:t>
      </w:r>
      <w:r>
        <w:rPr>
          <w:i/>
          <w:spacing w:val="-1"/>
        </w:rPr>
        <w:t> </w:t>
      </w:r>
      <w:r>
        <w:rPr/>
        <w:t>act</w:t>
      </w:r>
      <w:r>
        <w:rPr>
          <w:spacing w:val="-4"/>
        </w:rPr>
        <w:t> </w:t>
      </w:r>
      <w:r>
        <w:rPr/>
        <w:t>to</w:t>
      </w:r>
      <w:r>
        <w:rPr>
          <w:spacing w:val="-5"/>
        </w:rPr>
        <w:t> </w:t>
      </w:r>
      <w:r>
        <w:rPr/>
        <w:t>prevent</w:t>
      </w:r>
      <w:r>
        <w:rPr>
          <w:spacing w:val="-4"/>
        </w:rPr>
        <w:t> </w:t>
      </w:r>
      <w:r>
        <w:rPr/>
        <w:t>network-initiated</w:t>
      </w:r>
      <w:r>
        <w:rPr>
          <w:spacing w:val="-3"/>
        </w:rPr>
        <w:t> </w:t>
      </w:r>
      <w:r>
        <w:rPr/>
        <w:t>improvements</w:t>
      </w:r>
      <w:r>
        <w:rPr>
          <w:spacing w:val="-5"/>
        </w:rPr>
        <w:t> </w:t>
      </w:r>
      <w:r>
        <w:rPr/>
        <w:t>designed</w:t>
      </w:r>
      <w:r>
        <w:rPr>
          <w:spacing w:val="-5"/>
        </w:rPr>
        <w:t> </w:t>
      </w:r>
      <w:r>
        <w:rPr/>
        <w:t>to</w:t>
      </w:r>
      <w:r>
        <w:rPr>
          <w:spacing w:val="-3"/>
        </w:rPr>
        <w:t> </w:t>
      </w:r>
      <w:r>
        <w:rPr/>
        <w:t>improve</w:t>
      </w:r>
      <w:r>
        <w:rPr>
          <w:spacing w:val="-3"/>
        </w:rPr>
        <w:t> </w:t>
      </w:r>
      <w:r>
        <w:rPr/>
        <w:t>safety being factored into pricing decisions by the AER:</w:t>
      </w:r>
    </w:p>
    <w:p>
      <w:pPr>
        <w:pStyle w:val="BodyText"/>
        <w:spacing w:before="9"/>
        <w:rPr>
          <w:sz w:val="20"/>
        </w:rPr>
      </w:pPr>
    </w:p>
    <w:p>
      <w:pPr>
        <w:spacing w:line="288" w:lineRule="auto" w:before="0"/>
        <w:ind w:left="799" w:right="951" w:firstLine="0"/>
        <w:jc w:val="left"/>
        <w:rPr>
          <w:i/>
          <w:sz w:val="22"/>
        </w:rPr>
      </w:pPr>
      <w:r>
        <w:rPr>
          <w:i/>
          <w:sz w:val="22"/>
        </w:rPr>
        <w:t>"...the</w:t>
      </w:r>
      <w:r>
        <w:rPr>
          <w:i/>
          <w:spacing w:val="-2"/>
          <w:sz w:val="22"/>
        </w:rPr>
        <w:t> </w:t>
      </w:r>
      <w:r>
        <w:rPr>
          <w:i/>
          <w:sz w:val="22"/>
        </w:rPr>
        <w:t>National</w:t>
      </w:r>
      <w:r>
        <w:rPr>
          <w:i/>
          <w:spacing w:val="-2"/>
          <w:sz w:val="22"/>
        </w:rPr>
        <w:t> </w:t>
      </w:r>
      <w:r>
        <w:rPr>
          <w:i/>
          <w:sz w:val="22"/>
        </w:rPr>
        <w:t>Electricity</w:t>
      </w:r>
      <w:r>
        <w:rPr>
          <w:i/>
          <w:spacing w:val="-4"/>
          <w:sz w:val="22"/>
        </w:rPr>
        <w:t> </w:t>
      </w:r>
      <w:r>
        <w:rPr>
          <w:i/>
          <w:sz w:val="22"/>
        </w:rPr>
        <w:t>Rules</w:t>
      </w:r>
      <w:r>
        <w:rPr>
          <w:i/>
          <w:spacing w:val="-2"/>
          <w:sz w:val="22"/>
        </w:rPr>
        <w:t> </w:t>
      </w:r>
      <w:r>
        <w:rPr>
          <w:i/>
          <w:sz w:val="22"/>
        </w:rPr>
        <w:t>state</w:t>
      </w:r>
      <w:r>
        <w:rPr>
          <w:i/>
          <w:spacing w:val="-2"/>
          <w:sz w:val="22"/>
        </w:rPr>
        <w:t> </w:t>
      </w:r>
      <w:r>
        <w:rPr>
          <w:i/>
          <w:sz w:val="22"/>
        </w:rPr>
        <w:t>AER</w:t>
      </w:r>
      <w:r>
        <w:rPr>
          <w:i/>
          <w:spacing w:val="-5"/>
          <w:sz w:val="22"/>
        </w:rPr>
        <w:t> </w:t>
      </w:r>
      <w:r>
        <w:rPr>
          <w:i/>
          <w:sz w:val="22"/>
        </w:rPr>
        <w:t>must</w:t>
      </w:r>
      <w:r>
        <w:rPr>
          <w:i/>
          <w:spacing w:val="-1"/>
          <w:sz w:val="22"/>
        </w:rPr>
        <w:t> </w:t>
      </w:r>
      <w:r>
        <w:rPr>
          <w:i/>
          <w:sz w:val="22"/>
        </w:rPr>
        <w:t>only</w:t>
      </w:r>
      <w:r>
        <w:rPr>
          <w:i/>
          <w:spacing w:val="-2"/>
          <w:sz w:val="22"/>
        </w:rPr>
        <w:t> </w:t>
      </w:r>
      <w:r>
        <w:rPr>
          <w:i/>
          <w:sz w:val="22"/>
        </w:rPr>
        <w:t>fund</w:t>
      </w:r>
      <w:r>
        <w:rPr>
          <w:i/>
          <w:spacing w:val="-2"/>
          <w:sz w:val="22"/>
        </w:rPr>
        <w:t> </w:t>
      </w:r>
      <w:r>
        <w:rPr>
          <w:i/>
          <w:sz w:val="22"/>
        </w:rPr>
        <w:t>a</w:t>
      </w:r>
      <w:r>
        <w:rPr>
          <w:i/>
          <w:spacing w:val="-4"/>
          <w:sz w:val="22"/>
        </w:rPr>
        <w:t> </w:t>
      </w:r>
      <w:r>
        <w:rPr>
          <w:i/>
          <w:sz w:val="22"/>
        </w:rPr>
        <w:t>network</w:t>
      </w:r>
      <w:r>
        <w:rPr>
          <w:i/>
          <w:spacing w:val="-4"/>
          <w:sz w:val="22"/>
        </w:rPr>
        <w:t> </w:t>
      </w:r>
      <w:r>
        <w:rPr>
          <w:i/>
          <w:sz w:val="22"/>
        </w:rPr>
        <w:t>to</w:t>
      </w:r>
      <w:r>
        <w:rPr>
          <w:i/>
          <w:spacing w:val="-4"/>
          <w:sz w:val="22"/>
        </w:rPr>
        <w:t> </w:t>
      </w:r>
      <w:r>
        <w:rPr>
          <w:i/>
          <w:sz w:val="22"/>
        </w:rPr>
        <w:t>maintain</w:t>
      </w:r>
      <w:r>
        <w:rPr>
          <w:i/>
          <w:spacing w:val="-2"/>
          <w:sz w:val="22"/>
        </w:rPr>
        <w:t> </w:t>
      </w:r>
      <w:r>
        <w:rPr>
          <w:i/>
          <w:sz w:val="22"/>
        </w:rPr>
        <w:t>risk unless a changed external standard, regulation or law imposes new obligations.</w:t>
      </w:r>
    </w:p>
    <w:p>
      <w:pPr>
        <w:spacing w:before="0"/>
        <w:ind w:left="799" w:right="0" w:firstLine="0"/>
        <w:jc w:val="left"/>
        <w:rPr>
          <w:i/>
          <w:sz w:val="22"/>
        </w:rPr>
      </w:pPr>
      <w:r>
        <w:rPr>
          <w:i/>
          <w:sz w:val="22"/>
        </w:rPr>
        <w:t>Therefore,</w:t>
      </w:r>
      <w:r>
        <w:rPr>
          <w:i/>
          <w:spacing w:val="-8"/>
          <w:sz w:val="22"/>
        </w:rPr>
        <w:t> </w:t>
      </w:r>
      <w:r>
        <w:rPr>
          <w:i/>
          <w:sz w:val="22"/>
        </w:rPr>
        <w:t>a</w:t>
      </w:r>
      <w:r>
        <w:rPr>
          <w:i/>
          <w:spacing w:val="-5"/>
          <w:sz w:val="22"/>
        </w:rPr>
        <w:t> </w:t>
      </w:r>
      <w:r>
        <w:rPr>
          <w:i/>
          <w:sz w:val="22"/>
        </w:rPr>
        <w:t>network</w:t>
      </w:r>
      <w:r>
        <w:rPr>
          <w:i/>
          <w:spacing w:val="-6"/>
          <w:sz w:val="22"/>
        </w:rPr>
        <w:t> </w:t>
      </w:r>
      <w:r>
        <w:rPr>
          <w:i/>
          <w:sz w:val="22"/>
        </w:rPr>
        <w:t>initiated</w:t>
      </w:r>
      <w:r>
        <w:rPr>
          <w:i/>
          <w:spacing w:val="-4"/>
          <w:sz w:val="22"/>
        </w:rPr>
        <w:t> </w:t>
      </w:r>
      <w:r>
        <w:rPr>
          <w:i/>
          <w:sz w:val="22"/>
        </w:rPr>
        <w:t>improvement</w:t>
      </w:r>
      <w:r>
        <w:rPr>
          <w:i/>
          <w:spacing w:val="-8"/>
          <w:sz w:val="22"/>
        </w:rPr>
        <w:t> </w:t>
      </w:r>
      <w:r>
        <w:rPr>
          <w:i/>
          <w:sz w:val="22"/>
        </w:rPr>
        <w:t>will</w:t>
      </w:r>
      <w:r>
        <w:rPr>
          <w:i/>
          <w:spacing w:val="-4"/>
          <w:sz w:val="22"/>
        </w:rPr>
        <w:t> </w:t>
      </w:r>
      <w:r>
        <w:rPr>
          <w:i/>
          <w:sz w:val="22"/>
        </w:rPr>
        <w:t>not</w:t>
      </w:r>
      <w:r>
        <w:rPr>
          <w:i/>
          <w:spacing w:val="-3"/>
          <w:sz w:val="22"/>
        </w:rPr>
        <w:t> </w:t>
      </w:r>
      <w:r>
        <w:rPr>
          <w:i/>
          <w:sz w:val="22"/>
        </w:rPr>
        <w:t>be</w:t>
      </w:r>
      <w:r>
        <w:rPr>
          <w:i/>
          <w:spacing w:val="-7"/>
          <w:sz w:val="22"/>
        </w:rPr>
        <w:t> </w:t>
      </w:r>
      <w:r>
        <w:rPr>
          <w:i/>
          <w:sz w:val="22"/>
        </w:rPr>
        <w:t>funded</w:t>
      </w:r>
      <w:r>
        <w:rPr>
          <w:i/>
          <w:spacing w:val="-7"/>
          <w:sz w:val="22"/>
        </w:rPr>
        <w:t> </w:t>
      </w:r>
      <w:r>
        <w:rPr>
          <w:i/>
          <w:sz w:val="22"/>
        </w:rPr>
        <w:t>regardless</w:t>
      </w:r>
      <w:r>
        <w:rPr>
          <w:i/>
          <w:spacing w:val="-4"/>
          <w:sz w:val="22"/>
        </w:rPr>
        <w:t> </w:t>
      </w:r>
      <w:r>
        <w:rPr>
          <w:i/>
          <w:sz w:val="22"/>
        </w:rPr>
        <w:t>of</w:t>
      </w:r>
      <w:r>
        <w:rPr>
          <w:i/>
          <w:spacing w:val="-6"/>
          <w:sz w:val="22"/>
        </w:rPr>
        <w:t> </w:t>
      </w:r>
      <w:r>
        <w:rPr>
          <w:i/>
          <w:sz w:val="22"/>
        </w:rPr>
        <w:t>its</w:t>
      </w:r>
      <w:r>
        <w:rPr>
          <w:i/>
          <w:spacing w:val="-6"/>
          <w:sz w:val="22"/>
        </w:rPr>
        <w:t> </w:t>
      </w:r>
      <w:r>
        <w:rPr>
          <w:i/>
          <w:spacing w:val="-2"/>
          <w:sz w:val="22"/>
        </w:rPr>
        <w:t>merits.”</w:t>
      </w:r>
    </w:p>
    <w:p>
      <w:pPr>
        <w:pStyle w:val="BodyText"/>
        <w:spacing w:before="49"/>
        <w:ind w:left="799"/>
      </w:pPr>
      <w:r>
        <w:rPr/>
        <w:t>(AusNet</w:t>
      </w:r>
      <w:r>
        <w:rPr>
          <w:spacing w:val="-4"/>
        </w:rPr>
        <w:t> </w:t>
      </w:r>
      <w:r>
        <w:rPr/>
        <w:t>Services,</w:t>
      </w:r>
      <w:r>
        <w:rPr>
          <w:spacing w:val="-2"/>
        </w:rPr>
        <w:t> </w:t>
      </w:r>
      <w:r>
        <w:rPr/>
        <w:t>2017,</w:t>
      </w:r>
      <w:r>
        <w:rPr>
          <w:spacing w:val="-5"/>
        </w:rPr>
        <w:t> </w:t>
      </w:r>
      <w:r>
        <w:rPr/>
        <w:t>p.</w:t>
      </w:r>
      <w:r>
        <w:rPr>
          <w:spacing w:val="-3"/>
        </w:rPr>
        <w:t> </w:t>
      </w:r>
      <w:r>
        <w:rPr>
          <w:spacing w:val="-5"/>
        </w:rPr>
        <w:t>12)</w:t>
      </w:r>
    </w:p>
    <w:p>
      <w:pPr>
        <w:pStyle w:val="BodyText"/>
        <w:spacing w:before="4"/>
        <w:rPr>
          <w:sz w:val="25"/>
        </w:rPr>
      </w:pPr>
    </w:p>
    <w:p>
      <w:pPr>
        <w:pStyle w:val="BodyText"/>
        <w:spacing w:before="1"/>
        <w:ind w:left="232"/>
      </w:pPr>
      <w:r>
        <w:rPr/>
        <w:t>United</w:t>
      </w:r>
      <w:r>
        <w:rPr>
          <w:spacing w:val="-5"/>
        </w:rPr>
        <w:t> </w:t>
      </w:r>
      <w:r>
        <w:rPr/>
        <w:t>Energy</w:t>
      </w:r>
      <w:r>
        <w:rPr>
          <w:spacing w:val="-7"/>
        </w:rPr>
        <w:t> </w:t>
      </w:r>
      <w:r>
        <w:rPr/>
        <w:t>has</w:t>
      </w:r>
      <w:r>
        <w:rPr>
          <w:spacing w:val="-4"/>
        </w:rPr>
        <w:t> </w:t>
      </w:r>
      <w:r>
        <w:rPr/>
        <w:t>also</w:t>
      </w:r>
      <w:r>
        <w:rPr>
          <w:spacing w:val="-9"/>
        </w:rPr>
        <w:t> </w:t>
      </w:r>
      <w:r>
        <w:rPr/>
        <w:t>highlighted</w:t>
      </w:r>
      <w:r>
        <w:rPr>
          <w:spacing w:val="-6"/>
        </w:rPr>
        <w:t> </w:t>
      </w:r>
      <w:r>
        <w:rPr/>
        <w:t>this</w:t>
      </w:r>
      <w:r>
        <w:rPr>
          <w:spacing w:val="-4"/>
        </w:rPr>
        <w:t> </w:t>
      </w:r>
      <w:r>
        <w:rPr>
          <w:spacing w:val="-2"/>
        </w:rPr>
        <w:t>issue:</w:t>
      </w:r>
    </w:p>
    <w:p>
      <w:pPr>
        <w:pStyle w:val="BodyText"/>
        <w:spacing w:before="1"/>
        <w:rPr>
          <w:sz w:val="25"/>
        </w:rPr>
      </w:pPr>
    </w:p>
    <w:p>
      <w:pPr>
        <w:spacing w:line="288" w:lineRule="auto" w:before="1"/>
        <w:ind w:left="799" w:right="868" w:firstLine="0"/>
        <w:jc w:val="left"/>
        <w:rPr>
          <w:sz w:val="22"/>
        </w:rPr>
      </w:pPr>
      <w:r>
        <w:rPr>
          <w:i/>
          <w:sz w:val="22"/>
        </w:rPr>
        <w:t>“The </w:t>
      </w:r>
      <w:r>
        <w:rPr>
          <w:sz w:val="22"/>
        </w:rPr>
        <w:t>Electricity Safety Act </w:t>
      </w:r>
      <w:r>
        <w:rPr>
          <w:i/>
          <w:sz w:val="22"/>
        </w:rPr>
        <w:t>requires DNSPs [Distribution Network Service Providers] to reduce bushfire and safety risk to ‘as low as is reasonably practicable’</w:t>
      </w:r>
      <w:r>
        <w:rPr>
          <w:i/>
          <w:spacing w:val="-1"/>
          <w:sz w:val="22"/>
        </w:rPr>
        <w:t> </w:t>
      </w:r>
      <w:r>
        <w:rPr>
          <w:i/>
          <w:sz w:val="22"/>
        </w:rPr>
        <w:t>(ALARP), whilst the AER only funds DNSPs to maintain safety. As new technology emerges, ALARP necessitates</w:t>
      </w:r>
      <w:r>
        <w:rPr>
          <w:i/>
          <w:spacing w:val="-6"/>
          <w:sz w:val="22"/>
        </w:rPr>
        <w:t> </w:t>
      </w:r>
      <w:r>
        <w:rPr>
          <w:i/>
          <w:sz w:val="22"/>
        </w:rPr>
        <w:t>reducing</w:t>
      </w:r>
      <w:r>
        <w:rPr>
          <w:i/>
          <w:spacing w:val="-4"/>
          <w:sz w:val="22"/>
        </w:rPr>
        <w:t> </w:t>
      </w:r>
      <w:r>
        <w:rPr>
          <w:i/>
          <w:sz w:val="22"/>
        </w:rPr>
        <w:t>bushfire</w:t>
      </w:r>
      <w:r>
        <w:rPr>
          <w:i/>
          <w:spacing w:val="-3"/>
          <w:sz w:val="22"/>
        </w:rPr>
        <w:t> </w:t>
      </w:r>
      <w:r>
        <w:rPr>
          <w:i/>
          <w:sz w:val="22"/>
        </w:rPr>
        <w:t>and</w:t>
      </w:r>
      <w:r>
        <w:rPr>
          <w:i/>
          <w:spacing w:val="-6"/>
          <w:sz w:val="22"/>
        </w:rPr>
        <w:t> </w:t>
      </w:r>
      <w:r>
        <w:rPr>
          <w:i/>
          <w:sz w:val="22"/>
        </w:rPr>
        <w:t>safety</w:t>
      </w:r>
      <w:r>
        <w:rPr>
          <w:i/>
          <w:spacing w:val="-5"/>
          <w:sz w:val="22"/>
        </w:rPr>
        <w:t> </w:t>
      </w:r>
      <w:r>
        <w:rPr>
          <w:i/>
          <w:sz w:val="22"/>
        </w:rPr>
        <w:t>risk,</w:t>
      </w:r>
      <w:r>
        <w:rPr>
          <w:i/>
          <w:spacing w:val="-2"/>
          <w:sz w:val="22"/>
        </w:rPr>
        <w:t> </w:t>
      </w:r>
      <w:r>
        <w:rPr>
          <w:i/>
          <w:sz w:val="22"/>
        </w:rPr>
        <w:t>not</w:t>
      </w:r>
      <w:r>
        <w:rPr>
          <w:i/>
          <w:spacing w:val="-5"/>
          <w:sz w:val="22"/>
        </w:rPr>
        <w:t> </w:t>
      </w:r>
      <w:r>
        <w:rPr>
          <w:i/>
          <w:sz w:val="22"/>
        </w:rPr>
        <w:t>merely</w:t>
      </w:r>
      <w:r>
        <w:rPr>
          <w:i/>
          <w:spacing w:val="-6"/>
          <w:sz w:val="22"/>
        </w:rPr>
        <w:t> </w:t>
      </w:r>
      <w:r>
        <w:rPr>
          <w:i/>
          <w:sz w:val="22"/>
        </w:rPr>
        <w:t>maintaining</w:t>
      </w:r>
      <w:r>
        <w:rPr>
          <w:i/>
          <w:spacing w:val="-4"/>
          <w:sz w:val="22"/>
        </w:rPr>
        <w:t> </w:t>
      </w:r>
      <w:r>
        <w:rPr>
          <w:i/>
          <w:sz w:val="22"/>
        </w:rPr>
        <w:t>safety.</w:t>
      </w:r>
      <w:r>
        <w:rPr>
          <w:i/>
          <w:spacing w:val="-2"/>
          <w:sz w:val="22"/>
        </w:rPr>
        <w:t> </w:t>
      </w:r>
      <w:r>
        <w:rPr>
          <w:i/>
          <w:sz w:val="22"/>
        </w:rPr>
        <w:t>However, the AER funds the DNSPs to maintain safety, and expects ESV to monitor progress of the programs.</w:t>
      </w:r>
      <w:r>
        <w:rPr>
          <w:i/>
          <w:spacing w:val="-2"/>
          <w:sz w:val="22"/>
        </w:rPr>
        <w:t> </w:t>
      </w:r>
      <w:r>
        <w:rPr>
          <w:i/>
          <w:sz w:val="22"/>
        </w:rPr>
        <w:t>Whilst the</w:t>
      </w:r>
      <w:r>
        <w:rPr>
          <w:i/>
          <w:spacing w:val="-2"/>
          <w:sz w:val="22"/>
        </w:rPr>
        <w:t> </w:t>
      </w:r>
      <w:r>
        <w:rPr>
          <w:i/>
          <w:sz w:val="22"/>
        </w:rPr>
        <w:t>AER and ESV have been working</w:t>
      </w:r>
      <w:r>
        <w:rPr>
          <w:i/>
          <w:spacing w:val="-1"/>
          <w:sz w:val="22"/>
        </w:rPr>
        <w:t> </w:t>
      </w:r>
      <w:r>
        <w:rPr>
          <w:i/>
          <w:sz w:val="22"/>
        </w:rPr>
        <w:t>together closely to</w:t>
      </w:r>
      <w:r>
        <w:rPr>
          <w:i/>
          <w:spacing w:val="-1"/>
          <w:sz w:val="22"/>
        </w:rPr>
        <w:t> </w:t>
      </w:r>
      <w:r>
        <w:rPr>
          <w:i/>
          <w:sz w:val="22"/>
        </w:rPr>
        <w:t>manage this mismatch, it is recommended changes are made to correct it.” </w:t>
      </w:r>
      <w:r>
        <w:rPr>
          <w:sz w:val="22"/>
        </w:rPr>
        <w:t>(United Energy, 2017, p. 13)</w:t>
      </w:r>
    </w:p>
    <w:p>
      <w:pPr>
        <w:pStyle w:val="BodyText"/>
        <w:spacing w:before="10"/>
        <w:rPr>
          <w:sz w:val="20"/>
        </w:rPr>
      </w:pPr>
    </w:p>
    <w:p>
      <w:pPr>
        <w:pStyle w:val="BodyText"/>
        <w:spacing w:line="276" w:lineRule="auto"/>
        <w:ind w:left="232" w:right="951"/>
      </w:pPr>
      <w:r>
        <w:rPr/>
        <w:t>Early</w:t>
      </w:r>
      <w:r>
        <w:rPr>
          <w:spacing w:val="-4"/>
        </w:rPr>
        <w:t> </w:t>
      </w:r>
      <w:r>
        <w:rPr/>
        <w:t>engagement</w:t>
      </w:r>
      <w:r>
        <w:rPr>
          <w:spacing w:val="-3"/>
        </w:rPr>
        <w:t> </w:t>
      </w:r>
      <w:r>
        <w:rPr/>
        <w:t>by</w:t>
      </w:r>
      <w:r>
        <w:rPr>
          <w:spacing w:val="-4"/>
        </w:rPr>
        <w:t> </w:t>
      </w:r>
      <w:r>
        <w:rPr/>
        <w:t>ESV</w:t>
      </w:r>
      <w:r>
        <w:rPr>
          <w:spacing w:val="-2"/>
        </w:rPr>
        <w:t> </w:t>
      </w:r>
      <w:r>
        <w:rPr/>
        <w:t>in</w:t>
      </w:r>
      <w:r>
        <w:rPr>
          <w:spacing w:val="-2"/>
        </w:rPr>
        <w:t> </w:t>
      </w:r>
      <w:r>
        <w:rPr/>
        <w:t>the</w:t>
      </w:r>
      <w:r>
        <w:rPr>
          <w:spacing w:val="-4"/>
        </w:rPr>
        <w:t> </w:t>
      </w:r>
      <w:r>
        <w:rPr/>
        <w:t>price</w:t>
      </w:r>
      <w:r>
        <w:rPr>
          <w:spacing w:val="-4"/>
        </w:rPr>
        <w:t> </w:t>
      </w:r>
      <w:r>
        <w:rPr/>
        <w:t>revenue</w:t>
      </w:r>
      <w:r>
        <w:rPr>
          <w:spacing w:val="-2"/>
        </w:rPr>
        <w:t> </w:t>
      </w:r>
      <w:r>
        <w:rPr/>
        <w:t>determination</w:t>
      </w:r>
      <w:r>
        <w:rPr>
          <w:spacing w:val="-2"/>
        </w:rPr>
        <w:t> </w:t>
      </w:r>
      <w:r>
        <w:rPr/>
        <w:t>process</w:t>
      </w:r>
      <w:r>
        <w:rPr>
          <w:spacing w:val="-4"/>
        </w:rPr>
        <w:t> </w:t>
      </w:r>
      <w:r>
        <w:rPr/>
        <w:t>would</w:t>
      </w:r>
      <w:r>
        <w:rPr>
          <w:spacing w:val="-2"/>
        </w:rPr>
        <w:t> </w:t>
      </w:r>
      <w:r>
        <w:rPr/>
        <w:t>allow</w:t>
      </w:r>
      <w:r>
        <w:rPr>
          <w:spacing w:val="-5"/>
        </w:rPr>
        <w:t> </w:t>
      </w:r>
      <w:r>
        <w:rPr/>
        <w:t>a</w:t>
      </w:r>
      <w:r>
        <w:rPr>
          <w:spacing w:val="-2"/>
        </w:rPr>
        <w:t> </w:t>
      </w:r>
      <w:r>
        <w:rPr/>
        <w:t>more informed debate between stakeholders when considering the merits of network-initiated improvement proposals to improve safety.</w:t>
      </w:r>
    </w:p>
    <w:p>
      <w:pPr>
        <w:pStyle w:val="BodyText"/>
        <w:spacing w:before="1"/>
        <w:rPr>
          <w:sz w:val="23"/>
        </w:rPr>
      </w:pPr>
    </w:p>
    <w:p>
      <w:pPr>
        <w:pStyle w:val="BodyText"/>
        <w:spacing w:line="288" w:lineRule="auto"/>
        <w:ind w:left="232" w:right="408"/>
      </w:pPr>
      <w:r>
        <w:rPr/>
        <w:t>The</w:t>
      </w:r>
      <w:r>
        <w:rPr>
          <w:spacing w:val="-4"/>
        </w:rPr>
        <w:t> </w:t>
      </w:r>
      <w:r>
        <w:rPr/>
        <w:t>Review</w:t>
      </w:r>
      <w:r>
        <w:rPr>
          <w:spacing w:val="-5"/>
        </w:rPr>
        <w:t> </w:t>
      </w:r>
      <w:r>
        <w:rPr/>
        <w:t>is</w:t>
      </w:r>
      <w:r>
        <w:rPr>
          <w:spacing w:val="-1"/>
        </w:rPr>
        <w:t> </w:t>
      </w:r>
      <w:r>
        <w:rPr/>
        <w:t>proposing</w:t>
      </w:r>
      <w:r>
        <w:rPr>
          <w:spacing w:val="-2"/>
        </w:rPr>
        <w:t> </w:t>
      </w:r>
      <w:r>
        <w:rPr/>
        <w:t>two</w:t>
      </w:r>
      <w:r>
        <w:rPr>
          <w:spacing w:val="-2"/>
        </w:rPr>
        <w:t> </w:t>
      </w:r>
      <w:r>
        <w:rPr/>
        <w:t>recommendations</w:t>
      </w:r>
      <w:r>
        <w:rPr>
          <w:spacing w:val="-4"/>
        </w:rPr>
        <w:t> </w:t>
      </w:r>
      <w:r>
        <w:rPr/>
        <w:t>that</w:t>
      </w:r>
      <w:r>
        <w:rPr>
          <w:spacing w:val="-3"/>
        </w:rPr>
        <w:t> </w:t>
      </w:r>
      <w:r>
        <w:rPr/>
        <w:t>relate</w:t>
      </w:r>
      <w:r>
        <w:rPr>
          <w:spacing w:val="-3"/>
        </w:rPr>
        <w:t> </w:t>
      </w:r>
      <w:r>
        <w:rPr/>
        <w:t>to</w:t>
      </w:r>
      <w:r>
        <w:rPr>
          <w:spacing w:val="-4"/>
        </w:rPr>
        <w:t> </w:t>
      </w:r>
      <w:r>
        <w:rPr/>
        <w:t>the</w:t>
      </w:r>
      <w:r>
        <w:rPr>
          <w:spacing w:val="-4"/>
        </w:rPr>
        <w:t> </w:t>
      </w:r>
      <w:r>
        <w:rPr/>
        <w:t>relationship</w:t>
      </w:r>
      <w:r>
        <w:rPr>
          <w:spacing w:val="-2"/>
        </w:rPr>
        <w:t> </w:t>
      </w:r>
      <w:r>
        <w:rPr/>
        <w:t>between</w:t>
      </w:r>
      <w:r>
        <w:rPr>
          <w:spacing w:val="-2"/>
        </w:rPr>
        <w:t> </w:t>
      </w:r>
      <w:r>
        <w:rPr/>
        <w:t>ESV</w:t>
      </w:r>
      <w:r>
        <w:rPr>
          <w:spacing w:val="-2"/>
        </w:rPr>
        <w:t> </w:t>
      </w:r>
      <w:r>
        <w:rPr/>
        <w:t>and the AER. The first recommendation is intended to ensure that the relationship between the two regulators is evaluated, and this is done in a structured way that is transparent. The Review considers that the relationship between the two regulators is of such importance that an annual review</w:t>
      </w:r>
      <w:r>
        <w:rPr>
          <w:spacing w:val="-5"/>
        </w:rPr>
        <w:t> </w:t>
      </w:r>
      <w:r>
        <w:rPr/>
        <w:t>is</w:t>
      </w:r>
      <w:r>
        <w:rPr>
          <w:spacing w:val="-1"/>
        </w:rPr>
        <w:t> </w:t>
      </w:r>
      <w:r>
        <w:rPr/>
        <w:t>warranted, including</w:t>
      </w:r>
      <w:r>
        <w:rPr>
          <w:spacing w:val="-2"/>
        </w:rPr>
        <w:t> </w:t>
      </w:r>
      <w:r>
        <w:rPr/>
        <w:t>to</w:t>
      </w:r>
      <w:r>
        <w:rPr>
          <w:spacing w:val="-2"/>
        </w:rPr>
        <w:t> </w:t>
      </w:r>
      <w:r>
        <w:rPr/>
        <w:t>ensure</w:t>
      </w:r>
      <w:r>
        <w:rPr>
          <w:spacing w:val="-4"/>
        </w:rPr>
        <w:t> </w:t>
      </w:r>
      <w:r>
        <w:rPr/>
        <w:t>that any</w:t>
      </w:r>
      <w:r>
        <w:rPr>
          <w:spacing w:val="-6"/>
        </w:rPr>
        <w:t> </w:t>
      </w:r>
      <w:r>
        <w:rPr/>
        <w:t>concerns</w:t>
      </w:r>
      <w:r>
        <w:rPr>
          <w:spacing w:val="-4"/>
        </w:rPr>
        <w:t> </w:t>
      </w:r>
      <w:r>
        <w:rPr/>
        <w:t>or</w:t>
      </w:r>
      <w:r>
        <w:rPr>
          <w:spacing w:val="-3"/>
        </w:rPr>
        <w:t> </w:t>
      </w:r>
      <w:r>
        <w:rPr/>
        <w:t>weaknesses</w:t>
      </w:r>
      <w:r>
        <w:rPr>
          <w:spacing w:val="-4"/>
        </w:rPr>
        <w:t> </w:t>
      </w:r>
      <w:r>
        <w:rPr/>
        <w:t>that</w:t>
      </w:r>
      <w:r>
        <w:rPr>
          <w:spacing w:val="-3"/>
        </w:rPr>
        <w:t> </w:t>
      </w:r>
      <w:r>
        <w:rPr/>
        <w:t>may</w:t>
      </w:r>
      <w:r>
        <w:rPr>
          <w:spacing w:val="-4"/>
        </w:rPr>
        <w:t> </w:t>
      </w:r>
      <w:r>
        <w:rPr/>
        <w:t>emerge</w:t>
      </w:r>
      <w:r>
        <w:rPr>
          <w:spacing w:val="-2"/>
        </w:rPr>
        <w:t> </w:t>
      </w:r>
      <w:r>
        <w:rPr/>
        <w:t>are identified and addressed expeditiously.</w:t>
      </w:r>
    </w:p>
    <w:p>
      <w:pPr>
        <w:pStyle w:val="BodyText"/>
        <w:spacing w:before="10"/>
        <w:rPr>
          <w:sz w:val="20"/>
        </w:rPr>
      </w:pPr>
    </w:p>
    <w:p>
      <w:pPr>
        <w:pStyle w:val="BodyText"/>
        <w:spacing w:line="288" w:lineRule="auto"/>
        <w:ind w:left="232" w:right="374"/>
      </w:pPr>
      <w:r>
        <w:rPr/>
        <w:t>Among other</w:t>
      </w:r>
      <w:r>
        <w:rPr>
          <w:spacing w:val="-3"/>
        </w:rPr>
        <w:t> </w:t>
      </w:r>
      <w:r>
        <w:rPr/>
        <w:t>things,</w:t>
      </w:r>
      <w:r>
        <w:rPr>
          <w:spacing w:val="-3"/>
        </w:rPr>
        <w:t> </w:t>
      </w:r>
      <w:r>
        <w:rPr/>
        <w:t>the</w:t>
      </w:r>
      <w:r>
        <w:rPr>
          <w:spacing w:val="-4"/>
        </w:rPr>
        <w:t> </w:t>
      </w:r>
      <w:r>
        <w:rPr/>
        <w:t>relationship</w:t>
      </w:r>
      <w:r>
        <w:rPr>
          <w:spacing w:val="-2"/>
        </w:rPr>
        <w:t> </w:t>
      </w:r>
      <w:r>
        <w:rPr/>
        <w:t>between</w:t>
      </w:r>
      <w:r>
        <w:rPr>
          <w:spacing w:val="-2"/>
        </w:rPr>
        <w:t> </w:t>
      </w:r>
      <w:r>
        <w:rPr/>
        <w:t>the</w:t>
      </w:r>
      <w:r>
        <w:rPr>
          <w:spacing w:val="-7"/>
        </w:rPr>
        <w:t> </w:t>
      </w:r>
      <w:r>
        <w:rPr/>
        <w:t>two</w:t>
      </w:r>
      <w:r>
        <w:rPr>
          <w:spacing w:val="-2"/>
        </w:rPr>
        <w:t> </w:t>
      </w:r>
      <w:r>
        <w:rPr/>
        <w:t>regulators</w:t>
      </w:r>
      <w:r>
        <w:rPr>
          <w:spacing w:val="-3"/>
        </w:rPr>
        <w:t> </w:t>
      </w:r>
      <w:r>
        <w:rPr/>
        <w:t>may</w:t>
      </w:r>
      <w:r>
        <w:rPr>
          <w:spacing w:val="-4"/>
        </w:rPr>
        <w:t> </w:t>
      </w:r>
      <w:r>
        <w:rPr/>
        <w:t>be</w:t>
      </w:r>
      <w:r>
        <w:rPr>
          <w:spacing w:val="-4"/>
        </w:rPr>
        <w:t> </w:t>
      </w:r>
      <w:r>
        <w:rPr/>
        <w:t>affected</w:t>
      </w:r>
      <w:r>
        <w:rPr>
          <w:spacing w:val="-4"/>
        </w:rPr>
        <w:t> </w:t>
      </w:r>
      <w:r>
        <w:rPr/>
        <w:t>by</w:t>
      </w:r>
      <w:r>
        <w:rPr>
          <w:spacing w:val="-4"/>
        </w:rPr>
        <w:t> </w:t>
      </w:r>
      <w:r>
        <w:rPr/>
        <w:t>changes</w:t>
      </w:r>
      <w:r>
        <w:rPr>
          <w:spacing w:val="-2"/>
        </w:rPr>
        <w:t> </w:t>
      </w:r>
      <w:r>
        <w:rPr/>
        <w:t>in experienced personnel over time, as AusNet Services has noted in its electricity network </w:t>
      </w:r>
      <w:r>
        <w:rPr>
          <w:spacing w:val="-2"/>
        </w:rPr>
        <w:t>submission:</w:t>
      </w:r>
    </w:p>
    <w:p>
      <w:pPr>
        <w:spacing w:after="0" w:line="288" w:lineRule="auto"/>
        <w:sectPr>
          <w:pgSz w:w="11910" w:h="16850"/>
          <w:pgMar w:header="220" w:footer="678" w:top="420" w:bottom="860" w:left="900" w:right="840"/>
        </w:sectPr>
      </w:pPr>
    </w:p>
    <w:p>
      <w:pPr>
        <w:pStyle w:val="BodyText"/>
        <w:rPr>
          <w:sz w:val="20"/>
        </w:rPr>
      </w:pPr>
    </w:p>
    <w:p>
      <w:pPr>
        <w:pStyle w:val="BodyText"/>
        <w:spacing w:before="2"/>
        <w:rPr>
          <w:sz w:val="19"/>
        </w:rPr>
      </w:pPr>
    </w:p>
    <w:p>
      <w:pPr>
        <w:spacing w:line="288" w:lineRule="auto" w:before="94"/>
        <w:ind w:left="799" w:right="951" w:firstLine="0"/>
        <w:jc w:val="left"/>
        <w:rPr>
          <w:sz w:val="22"/>
        </w:rPr>
      </w:pPr>
      <w:r>
        <w:rPr>
          <w:i/>
          <w:sz w:val="22"/>
        </w:rPr>
        <w:t>"The AER and ESV manage [their] relationship particularly well but coordination is currently built on good relationships and communication at executive and staff levels. Therefore, the networks remain exposed to risks of the loss of key experienced personnel</w:t>
      </w:r>
      <w:r>
        <w:rPr>
          <w:i/>
          <w:spacing w:val="-6"/>
          <w:sz w:val="22"/>
        </w:rPr>
        <w:t> </w:t>
      </w:r>
      <w:r>
        <w:rPr>
          <w:i/>
          <w:sz w:val="22"/>
        </w:rPr>
        <w:t>who</w:t>
      </w:r>
      <w:r>
        <w:rPr>
          <w:i/>
          <w:spacing w:val="-3"/>
          <w:sz w:val="22"/>
        </w:rPr>
        <w:t> </w:t>
      </w:r>
      <w:r>
        <w:rPr>
          <w:i/>
          <w:sz w:val="22"/>
        </w:rPr>
        <w:t>are</w:t>
      </w:r>
      <w:r>
        <w:rPr>
          <w:i/>
          <w:spacing w:val="-3"/>
          <w:sz w:val="22"/>
        </w:rPr>
        <w:t> </w:t>
      </w:r>
      <w:r>
        <w:rPr>
          <w:i/>
          <w:sz w:val="22"/>
        </w:rPr>
        <w:t>currently</w:t>
      </w:r>
      <w:r>
        <w:rPr>
          <w:i/>
          <w:spacing w:val="-3"/>
          <w:sz w:val="22"/>
        </w:rPr>
        <w:t> </w:t>
      </w:r>
      <w:r>
        <w:rPr>
          <w:i/>
          <w:sz w:val="22"/>
        </w:rPr>
        <w:t>effectively</w:t>
      </w:r>
      <w:r>
        <w:rPr>
          <w:i/>
          <w:spacing w:val="-2"/>
          <w:sz w:val="22"/>
        </w:rPr>
        <w:t> </w:t>
      </w:r>
      <w:r>
        <w:rPr>
          <w:i/>
          <w:sz w:val="22"/>
        </w:rPr>
        <w:t>managing</w:t>
      </w:r>
      <w:r>
        <w:rPr>
          <w:i/>
          <w:spacing w:val="-5"/>
          <w:sz w:val="22"/>
        </w:rPr>
        <w:t> </w:t>
      </w:r>
      <w:r>
        <w:rPr>
          <w:i/>
          <w:sz w:val="22"/>
        </w:rPr>
        <w:t>this</w:t>
      </w:r>
      <w:r>
        <w:rPr>
          <w:i/>
          <w:spacing w:val="-5"/>
          <w:sz w:val="22"/>
        </w:rPr>
        <w:t> </w:t>
      </w:r>
      <w:r>
        <w:rPr>
          <w:i/>
          <w:sz w:val="22"/>
        </w:rPr>
        <w:t>relationship."</w:t>
      </w:r>
      <w:r>
        <w:rPr>
          <w:i/>
          <w:spacing w:val="-1"/>
          <w:sz w:val="22"/>
        </w:rPr>
        <w:t> </w:t>
      </w:r>
      <w:r>
        <w:rPr>
          <w:sz w:val="22"/>
        </w:rPr>
        <w:t>(AusNet</w:t>
      </w:r>
      <w:r>
        <w:rPr>
          <w:spacing w:val="-2"/>
          <w:sz w:val="22"/>
        </w:rPr>
        <w:t> </w:t>
      </w:r>
      <w:r>
        <w:rPr>
          <w:sz w:val="22"/>
        </w:rPr>
        <w:t>Services, 2017, p. 13)</w:t>
      </w:r>
    </w:p>
    <w:p>
      <w:pPr>
        <w:pStyle w:val="BodyText"/>
        <w:spacing w:before="8"/>
        <w:rPr>
          <w:sz w:val="18"/>
        </w:rPr>
      </w:pPr>
      <w:r>
        <w:rPr/>
        <mc:AlternateContent>
          <mc:Choice Requires="wps">
            <w:drawing>
              <wp:anchor distT="0" distB="0" distL="0" distR="0" allowOverlap="1" layoutInCell="1" locked="0" behindDoc="1" simplePos="0" relativeHeight="487634944">
                <wp:simplePos x="0" y="0"/>
                <wp:positionH relativeFrom="page">
                  <wp:posOffset>719327</wp:posOffset>
                </wp:positionH>
                <wp:positionV relativeFrom="paragraph">
                  <wp:posOffset>152188</wp:posOffset>
                </wp:positionV>
                <wp:extent cx="5896610" cy="1091565"/>
                <wp:effectExtent l="0" t="0" r="0" b="0"/>
                <wp:wrapTopAndBottom/>
                <wp:docPr id="155" name="Textbox 155"/>
                <wp:cNvGraphicFramePr>
                  <a:graphicFrameLocks/>
                </wp:cNvGraphicFramePr>
                <a:graphic>
                  <a:graphicData uri="http://schemas.microsoft.com/office/word/2010/wordprocessingShape">
                    <wps:wsp>
                      <wps:cNvPr id="155" name="Textbox 155"/>
                      <wps:cNvSpPr txBox="1"/>
                      <wps:spPr>
                        <a:xfrm>
                          <a:off x="0" y="0"/>
                          <a:ext cx="5896610" cy="1091565"/>
                        </a:xfrm>
                        <a:prstGeom prst="rect">
                          <a:avLst/>
                        </a:prstGeom>
                        <a:solidFill>
                          <a:srgbClr val="D9D9D9"/>
                        </a:solidFill>
                      </wps:spPr>
                      <wps:txbx>
                        <w:txbxContent>
                          <w:p>
                            <w:pPr>
                              <w:pStyle w:val="BodyText"/>
                              <w:spacing w:before="6"/>
                              <w:rPr>
                                <w:color w:val="000000"/>
                                <w:sz w:val="36"/>
                              </w:rPr>
                            </w:pPr>
                          </w:p>
                          <w:p>
                            <w:pPr>
                              <w:spacing w:before="0"/>
                              <w:ind w:left="141" w:right="0" w:firstLine="0"/>
                              <w:jc w:val="left"/>
                              <w:rPr>
                                <w:b/>
                                <w:color w:val="000000"/>
                                <w:sz w:val="24"/>
                              </w:rPr>
                            </w:pPr>
                            <w:r>
                              <w:rPr>
                                <w:b/>
                                <w:color w:val="000000"/>
                                <w:spacing w:val="-2"/>
                                <w:sz w:val="24"/>
                              </w:rPr>
                              <w:t>Recommendation</w:t>
                            </w:r>
                            <w:r>
                              <w:rPr>
                                <w:b/>
                                <w:color w:val="000000"/>
                                <w:sz w:val="24"/>
                              </w:rPr>
                              <w:t> </w:t>
                            </w:r>
                            <w:r>
                              <w:rPr>
                                <w:b/>
                                <w:color w:val="000000"/>
                                <w:spacing w:val="-5"/>
                                <w:sz w:val="24"/>
                              </w:rPr>
                              <w:t>20</w:t>
                            </w:r>
                          </w:p>
                          <w:p>
                            <w:pPr>
                              <w:pStyle w:val="BodyText"/>
                              <w:spacing w:line="288" w:lineRule="auto" w:before="175"/>
                              <w:ind w:left="112" w:right="233"/>
                              <w:rPr>
                                <w:color w:val="000000"/>
                              </w:rPr>
                            </w:pPr>
                            <w:r>
                              <w:rPr>
                                <w:color w:val="000000"/>
                              </w:rPr>
                              <w:t>In</w:t>
                            </w:r>
                            <w:r>
                              <w:rPr>
                                <w:color w:val="000000"/>
                                <w:spacing w:val="-3"/>
                              </w:rPr>
                              <w:t> </w:t>
                            </w:r>
                            <w:r>
                              <w:rPr>
                                <w:color w:val="000000"/>
                              </w:rPr>
                              <w:t>consultation</w:t>
                            </w:r>
                            <w:r>
                              <w:rPr>
                                <w:color w:val="000000"/>
                                <w:spacing w:val="-3"/>
                              </w:rPr>
                              <w:t> </w:t>
                            </w:r>
                            <w:r>
                              <w:rPr>
                                <w:color w:val="000000"/>
                              </w:rPr>
                              <w:t>with</w:t>
                            </w:r>
                            <w:r>
                              <w:rPr>
                                <w:color w:val="000000"/>
                                <w:spacing w:val="-3"/>
                              </w:rPr>
                              <w:t> </w:t>
                            </w:r>
                            <w:r>
                              <w:rPr>
                                <w:color w:val="000000"/>
                              </w:rPr>
                              <w:t>the</w:t>
                            </w:r>
                            <w:r>
                              <w:rPr>
                                <w:color w:val="000000"/>
                                <w:spacing w:val="-5"/>
                              </w:rPr>
                              <w:t> </w:t>
                            </w:r>
                            <w:r>
                              <w:rPr>
                                <w:color w:val="000000"/>
                              </w:rPr>
                              <w:t>AER,</w:t>
                            </w:r>
                            <w:r>
                              <w:rPr>
                                <w:color w:val="000000"/>
                                <w:spacing w:val="-1"/>
                              </w:rPr>
                              <w:t> </w:t>
                            </w:r>
                            <w:r>
                              <w:rPr>
                                <w:color w:val="000000"/>
                              </w:rPr>
                              <w:t>ESV</w:t>
                            </w:r>
                            <w:r>
                              <w:rPr>
                                <w:color w:val="000000"/>
                                <w:spacing w:val="-3"/>
                              </w:rPr>
                              <w:t> </w:t>
                            </w:r>
                            <w:r>
                              <w:rPr>
                                <w:color w:val="000000"/>
                              </w:rPr>
                              <w:t>should</w:t>
                            </w:r>
                            <w:r>
                              <w:rPr>
                                <w:color w:val="000000"/>
                                <w:spacing w:val="-3"/>
                              </w:rPr>
                              <w:t> </w:t>
                            </w:r>
                            <w:r>
                              <w:rPr>
                                <w:color w:val="000000"/>
                              </w:rPr>
                              <w:t>annually</w:t>
                            </w:r>
                            <w:r>
                              <w:rPr>
                                <w:color w:val="000000"/>
                                <w:spacing w:val="-5"/>
                              </w:rPr>
                              <w:t> </w:t>
                            </w:r>
                            <w:r>
                              <w:rPr>
                                <w:color w:val="000000"/>
                              </w:rPr>
                              <w:t>evaluate</w:t>
                            </w:r>
                            <w:r>
                              <w:rPr>
                                <w:color w:val="000000"/>
                                <w:spacing w:val="-3"/>
                              </w:rPr>
                              <w:t> </w:t>
                            </w:r>
                            <w:r>
                              <w:rPr>
                                <w:color w:val="000000"/>
                              </w:rPr>
                              <w:t>the</w:t>
                            </w:r>
                            <w:r>
                              <w:rPr>
                                <w:color w:val="000000"/>
                                <w:spacing w:val="-3"/>
                              </w:rPr>
                              <w:t> </w:t>
                            </w:r>
                            <w:r>
                              <w:rPr>
                                <w:color w:val="000000"/>
                              </w:rPr>
                              <w:t>operation</w:t>
                            </w:r>
                            <w:r>
                              <w:rPr>
                                <w:color w:val="000000"/>
                                <w:spacing w:val="-5"/>
                              </w:rPr>
                              <w:t> </w:t>
                            </w:r>
                            <w:r>
                              <w:rPr>
                                <w:color w:val="000000"/>
                              </w:rPr>
                              <w:t>of its</w:t>
                            </w:r>
                            <w:r>
                              <w:rPr>
                                <w:color w:val="000000"/>
                                <w:spacing w:val="-1"/>
                              </w:rPr>
                              <w:t> </w:t>
                            </w:r>
                            <w:r>
                              <w:rPr>
                                <w:color w:val="000000"/>
                              </w:rPr>
                              <w:t>MOU</w:t>
                            </w:r>
                            <w:r>
                              <w:rPr>
                                <w:color w:val="000000"/>
                                <w:spacing w:val="-2"/>
                              </w:rPr>
                              <w:t> </w:t>
                            </w:r>
                            <w:r>
                              <w:rPr>
                                <w:color w:val="000000"/>
                              </w:rPr>
                              <w:t>with the AER. A summary of each evaluation should be published in ESV's Annual Report.</w:t>
                            </w:r>
                          </w:p>
                        </w:txbxContent>
                      </wps:txbx>
                      <wps:bodyPr wrap="square" lIns="0" tIns="0" rIns="0" bIns="0" rtlCol="0">
                        <a:noAutofit/>
                      </wps:bodyPr>
                    </wps:wsp>
                  </a:graphicData>
                </a:graphic>
              </wp:anchor>
            </w:drawing>
          </mc:Choice>
          <mc:Fallback>
            <w:pict>
              <v:shape style="position:absolute;margin-left:56.639999pt;margin-top:11.98335pt;width:464.3pt;height:85.95pt;mso-position-horizontal-relative:page;mso-position-vertical-relative:paragraph;z-index:-15681536;mso-wrap-distance-left:0;mso-wrap-distance-right:0" type="#_x0000_t202" id="docshape138" filled="true" fillcolor="#d9d9d9" stroked="false">
                <v:textbox inset="0,0,0,0">
                  <w:txbxContent>
                    <w:p>
                      <w:pPr>
                        <w:pStyle w:val="BodyText"/>
                        <w:spacing w:before="6"/>
                        <w:rPr>
                          <w:color w:val="000000"/>
                          <w:sz w:val="36"/>
                        </w:rPr>
                      </w:pPr>
                    </w:p>
                    <w:p>
                      <w:pPr>
                        <w:spacing w:before="0"/>
                        <w:ind w:left="141" w:right="0" w:firstLine="0"/>
                        <w:jc w:val="left"/>
                        <w:rPr>
                          <w:b/>
                          <w:color w:val="000000"/>
                          <w:sz w:val="24"/>
                        </w:rPr>
                      </w:pPr>
                      <w:r>
                        <w:rPr>
                          <w:b/>
                          <w:color w:val="000000"/>
                          <w:spacing w:val="-2"/>
                          <w:sz w:val="24"/>
                        </w:rPr>
                        <w:t>Recommendation</w:t>
                      </w:r>
                      <w:r>
                        <w:rPr>
                          <w:b/>
                          <w:color w:val="000000"/>
                          <w:sz w:val="24"/>
                        </w:rPr>
                        <w:t> </w:t>
                      </w:r>
                      <w:r>
                        <w:rPr>
                          <w:b/>
                          <w:color w:val="000000"/>
                          <w:spacing w:val="-5"/>
                          <w:sz w:val="24"/>
                        </w:rPr>
                        <w:t>20</w:t>
                      </w:r>
                    </w:p>
                    <w:p>
                      <w:pPr>
                        <w:pStyle w:val="BodyText"/>
                        <w:spacing w:line="288" w:lineRule="auto" w:before="175"/>
                        <w:ind w:left="112" w:right="233"/>
                        <w:rPr>
                          <w:color w:val="000000"/>
                        </w:rPr>
                      </w:pPr>
                      <w:r>
                        <w:rPr>
                          <w:color w:val="000000"/>
                        </w:rPr>
                        <w:t>In</w:t>
                      </w:r>
                      <w:r>
                        <w:rPr>
                          <w:color w:val="000000"/>
                          <w:spacing w:val="-3"/>
                        </w:rPr>
                        <w:t> </w:t>
                      </w:r>
                      <w:r>
                        <w:rPr>
                          <w:color w:val="000000"/>
                        </w:rPr>
                        <w:t>consultation</w:t>
                      </w:r>
                      <w:r>
                        <w:rPr>
                          <w:color w:val="000000"/>
                          <w:spacing w:val="-3"/>
                        </w:rPr>
                        <w:t> </w:t>
                      </w:r>
                      <w:r>
                        <w:rPr>
                          <w:color w:val="000000"/>
                        </w:rPr>
                        <w:t>with</w:t>
                      </w:r>
                      <w:r>
                        <w:rPr>
                          <w:color w:val="000000"/>
                          <w:spacing w:val="-3"/>
                        </w:rPr>
                        <w:t> </w:t>
                      </w:r>
                      <w:r>
                        <w:rPr>
                          <w:color w:val="000000"/>
                        </w:rPr>
                        <w:t>the</w:t>
                      </w:r>
                      <w:r>
                        <w:rPr>
                          <w:color w:val="000000"/>
                          <w:spacing w:val="-5"/>
                        </w:rPr>
                        <w:t> </w:t>
                      </w:r>
                      <w:r>
                        <w:rPr>
                          <w:color w:val="000000"/>
                        </w:rPr>
                        <w:t>AER,</w:t>
                      </w:r>
                      <w:r>
                        <w:rPr>
                          <w:color w:val="000000"/>
                          <w:spacing w:val="-1"/>
                        </w:rPr>
                        <w:t> </w:t>
                      </w:r>
                      <w:r>
                        <w:rPr>
                          <w:color w:val="000000"/>
                        </w:rPr>
                        <w:t>ESV</w:t>
                      </w:r>
                      <w:r>
                        <w:rPr>
                          <w:color w:val="000000"/>
                          <w:spacing w:val="-3"/>
                        </w:rPr>
                        <w:t> </w:t>
                      </w:r>
                      <w:r>
                        <w:rPr>
                          <w:color w:val="000000"/>
                        </w:rPr>
                        <w:t>should</w:t>
                      </w:r>
                      <w:r>
                        <w:rPr>
                          <w:color w:val="000000"/>
                          <w:spacing w:val="-3"/>
                        </w:rPr>
                        <w:t> </w:t>
                      </w:r>
                      <w:r>
                        <w:rPr>
                          <w:color w:val="000000"/>
                        </w:rPr>
                        <w:t>annually</w:t>
                      </w:r>
                      <w:r>
                        <w:rPr>
                          <w:color w:val="000000"/>
                          <w:spacing w:val="-5"/>
                        </w:rPr>
                        <w:t> </w:t>
                      </w:r>
                      <w:r>
                        <w:rPr>
                          <w:color w:val="000000"/>
                        </w:rPr>
                        <w:t>evaluate</w:t>
                      </w:r>
                      <w:r>
                        <w:rPr>
                          <w:color w:val="000000"/>
                          <w:spacing w:val="-3"/>
                        </w:rPr>
                        <w:t> </w:t>
                      </w:r>
                      <w:r>
                        <w:rPr>
                          <w:color w:val="000000"/>
                        </w:rPr>
                        <w:t>the</w:t>
                      </w:r>
                      <w:r>
                        <w:rPr>
                          <w:color w:val="000000"/>
                          <w:spacing w:val="-3"/>
                        </w:rPr>
                        <w:t> </w:t>
                      </w:r>
                      <w:r>
                        <w:rPr>
                          <w:color w:val="000000"/>
                        </w:rPr>
                        <w:t>operation</w:t>
                      </w:r>
                      <w:r>
                        <w:rPr>
                          <w:color w:val="000000"/>
                          <w:spacing w:val="-5"/>
                        </w:rPr>
                        <w:t> </w:t>
                      </w:r>
                      <w:r>
                        <w:rPr>
                          <w:color w:val="000000"/>
                        </w:rPr>
                        <w:t>of its</w:t>
                      </w:r>
                      <w:r>
                        <w:rPr>
                          <w:color w:val="000000"/>
                          <w:spacing w:val="-1"/>
                        </w:rPr>
                        <w:t> </w:t>
                      </w:r>
                      <w:r>
                        <w:rPr>
                          <w:color w:val="000000"/>
                        </w:rPr>
                        <w:t>MOU</w:t>
                      </w:r>
                      <w:r>
                        <w:rPr>
                          <w:color w:val="000000"/>
                          <w:spacing w:val="-2"/>
                        </w:rPr>
                        <w:t> </w:t>
                      </w:r>
                      <w:r>
                        <w:rPr>
                          <w:color w:val="000000"/>
                        </w:rPr>
                        <w:t>with the AER. A summary of each evaluation should be published in ESV's Annual Report.</w:t>
                      </w:r>
                    </w:p>
                  </w:txbxContent>
                </v:textbox>
                <v:fill type="solid"/>
                <w10:wrap type="topAndBottom"/>
              </v:shape>
            </w:pict>
          </mc:Fallback>
        </mc:AlternateContent>
      </w:r>
    </w:p>
    <w:p>
      <w:pPr>
        <w:pStyle w:val="BodyText"/>
        <w:spacing w:before="4"/>
        <w:rPr>
          <w:sz w:val="18"/>
        </w:rPr>
      </w:pPr>
    </w:p>
    <w:p>
      <w:pPr>
        <w:pStyle w:val="BodyText"/>
        <w:spacing w:line="288" w:lineRule="auto" w:before="94"/>
        <w:ind w:left="232" w:right="374"/>
      </w:pPr>
      <w:r>
        <w:rPr/>
        <w:t>The Review also considers that more formal protocols should be developed by ESV, in consultation</w:t>
      </w:r>
      <w:r>
        <w:rPr>
          <w:spacing w:val="-1"/>
        </w:rPr>
        <w:t> </w:t>
      </w:r>
      <w:r>
        <w:rPr/>
        <w:t>with</w:t>
      </w:r>
      <w:r>
        <w:rPr>
          <w:spacing w:val="-1"/>
        </w:rPr>
        <w:t> </w:t>
      </w:r>
      <w:r>
        <w:rPr/>
        <w:t>the</w:t>
      </w:r>
      <w:r>
        <w:rPr>
          <w:spacing w:val="-3"/>
        </w:rPr>
        <w:t> </w:t>
      </w:r>
      <w:r>
        <w:rPr/>
        <w:t>AER, to</w:t>
      </w:r>
      <w:r>
        <w:rPr>
          <w:spacing w:val="-3"/>
        </w:rPr>
        <w:t> </w:t>
      </w:r>
      <w:r>
        <w:rPr/>
        <w:t>provide</w:t>
      </w:r>
      <w:r>
        <w:rPr>
          <w:spacing w:val="-3"/>
        </w:rPr>
        <w:t> </w:t>
      </w:r>
      <w:r>
        <w:rPr/>
        <w:t>greater</w:t>
      </w:r>
      <w:r>
        <w:rPr>
          <w:spacing w:val="-5"/>
        </w:rPr>
        <w:t> </w:t>
      </w:r>
      <w:r>
        <w:rPr/>
        <w:t>guidance</w:t>
      </w:r>
      <w:r>
        <w:rPr>
          <w:spacing w:val="-1"/>
        </w:rPr>
        <w:t> </w:t>
      </w:r>
      <w:r>
        <w:rPr/>
        <w:t>on</w:t>
      </w:r>
      <w:r>
        <w:rPr>
          <w:spacing w:val="-1"/>
        </w:rPr>
        <w:t> </w:t>
      </w:r>
      <w:r>
        <w:rPr/>
        <w:t>how</w:t>
      </w:r>
      <w:r>
        <w:rPr>
          <w:spacing w:val="-4"/>
        </w:rPr>
        <w:t> </w:t>
      </w:r>
      <w:r>
        <w:rPr/>
        <w:t>ESV</w:t>
      </w:r>
      <w:r>
        <w:rPr>
          <w:spacing w:val="-1"/>
        </w:rPr>
        <w:t> </w:t>
      </w:r>
      <w:r>
        <w:rPr/>
        <w:t>may</w:t>
      </w:r>
      <w:r>
        <w:rPr>
          <w:spacing w:val="-5"/>
        </w:rPr>
        <w:t> </w:t>
      </w:r>
      <w:r>
        <w:rPr/>
        <w:t>be</w:t>
      </w:r>
      <w:r>
        <w:rPr>
          <w:spacing w:val="-1"/>
        </w:rPr>
        <w:t> </w:t>
      </w:r>
      <w:r>
        <w:rPr/>
        <w:t>engaged</w:t>
      </w:r>
      <w:r>
        <w:rPr>
          <w:spacing w:val="-1"/>
        </w:rPr>
        <w:t> </w:t>
      </w:r>
      <w:r>
        <w:rPr/>
        <w:t>by</w:t>
      </w:r>
      <w:r>
        <w:rPr>
          <w:spacing w:val="-3"/>
        </w:rPr>
        <w:t> </w:t>
      </w:r>
      <w:r>
        <w:rPr/>
        <w:t>regulated network businesses in economic regulatory processes conducted by the AER.</w:t>
      </w:r>
    </w:p>
    <w:p>
      <w:pPr>
        <w:pStyle w:val="BodyText"/>
        <w:spacing w:before="8"/>
        <w:rPr>
          <w:sz w:val="18"/>
        </w:rPr>
      </w:pPr>
      <w:r>
        <w:rPr/>
        <mc:AlternateContent>
          <mc:Choice Requires="wps">
            <w:drawing>
              <wp:anchor distT="0" distB="0" distL="0" distR="0" allowOverlap="1" layoutInCell="1" locked="0" behindDoc="1" simplePos="0" relativeHeight="487635456">
                <wp:simplePos x="0" y="0"/>
                <wp:positionH relativeFrom="page">
                  <wp:posOffset>719327</wp:posOffset>
                </wp:positionH>
                <wp:positionV relativeFrom="paragraph">
                  <wp:posOffset>151952</wp:posOffset>
                </wp:positionV>
                <wp:extent cx="5896610" cy="1283335"/>
                <wp:effectExtent l="0" t="0" r="0" b="0"/>
                <wp:wrapTopAndBottom/>
                <wp:docPr id="156" name="Textbox 156"/>
                <wp:cNvGraphicFramePr>
                  <a:graphicFrameLocks/>
                </wp:cNvGraphicFramePr>
                <a:graphic>
                  <a:graphicData uri="http://schemas.microsoft.com/office/word/2010/wordprocessingShape">
                    <wps:wsp>
                      <wps:cNvPr id="156" name="Textbox 156"/>
                      <wps:cNvSpPr txBox="1"/>
                      <wps:spPr>
                        <a:xfrm>
                          <a:off x="0" y="0"/>
                          <a:ext cx="5896610" cy="1283335"/>
                        </a:xfrm>
                        <a:prstGeom prst="rect">
                          <a:avLst/>
                        </a:prstGeom>
                        <a:solidFill>
                          <a:srgbClr val="D9D9D9"/>
                        </a:solidFill>
                      </wps:spPr>
                      <wps:txbx>
                        <w:txbxContent>
                          <w:p>
                            <w:pPr>
                              <w:pStyle w:val="BodyText"/>
                              <w:spacing w:before="6"/>
                              <w:rPr>
                                <w:color w:val="000000"/>
                                <w:sz w:val="36"/>
                              </w:rPr>
                            </w:pPr>
                          </w:p>
                          <w:p>
                            <w:pPr>
                              <w:spacing w:before="0"/>
                              <w:ind w:left="141" w:right="0" w:firstLine="0"/>
                              <w:jc w:val="left"/>
                              <w:rPr>
                                <w:b/>
                                <w:color w:val="000000"/>
                                <w:sz w:val="24"/>
                              </w:rPr>
                            </w:pPr>
                            <w:r>
                              <w:rPr>
                                <w:b/>
                                <w:color w:val="000000"/>
                                <w:spacing w:val="-2"/>
                                <w:sz w:val="24"/>
                              </w:rPr>
                              <w:t>Recommendation</w:t>
                            </w:r>
                            <w:r>
                              <w:rPr>
                                <w:b/>
                                <w:color w:val="000000"/>
                                <w:sz w:val="24"/>
                              </w:rPr>
                              <w:t> </w:t>
                            </w:r>
                            <w:r>
                              <w:rPr>
                                <w:b/>
                                <w:color w:val="000000"/>
                                <w:spacing w:val="-5"/>
                                <w:sz w:val="24"/>
                              </w:rPr>
                              <w:t>21</w:t>
                            </w:r>
                          </w:p>
                          <w:p>
                            <w:pPr>
                              <w:pStyle w:val="BodyText"/>
                              <w:spacing w:line="288" w:lineRule="auto" w:before="175"/>
                              <w:ind w:left="112" w:right="107"/>
                              <w:rPr>
                                <w:color w:val="000000"/>
                              </w:rPr>
                            </w:pPr>
                            <w:r>
                              <w:rPr>
                                <w:color w:val="000000"/>
                              </w:rPr>
                              <w:t>In consultation with the AER, ESV should prepare public guidance that sets out clear protocols</w:t>
                            </w:r>
                            <w:r>
                              <w:rPr>
                                <w:color w:val="000000"/>
                                <w:spacing w:val="-5"/>
                              </w:rPr>
                              <w:t> </w:t>
                            </w:r>
                            <w:r>
                              <w:rPr>
                                <w:color w:val="000000"/>
                              </w:rPr>
                              <w:t>to</w:t>
                            </w:r>
                            <w:r>
                              <w:rPr>
                                <w:color w:val="000000"/>
                                <w:spacing w:val="-7"/>
                              </w:rPr>
                              <w:t> </w:t>
                            </w:r>
                            <w:r>
                              <w:rPr>
                                <w:color w:val="000000"/>
                              </w:rPr>
                              <w:t>facilitate</w:t>
                            </w:r>
                            <w:r>
                              <w:rPr>
                                <w:color w:val="000000"/>
                                <w:spacing w:val="-5"/>
                              </w:rPr>
                              <w:t> </w:t>
                            </w:r>
                            <w:r>
                              <w:rPr>
                                <w:color w:val="000000"/>
                              </w:rPr>
                              <w:t>effective</w:t>
                            </w:r>
                            <w:r>
                              <w:rPr>
                                <w:color w:val="000000"/>
                                <w:spacing w:val="-3"/>
                              </w:rPr>
                              <w:t> </w:t>
                            </w:r>
                            <w:r>
                              <w:rPr>
                                <w:color w:val="000000"/>
                              </w:rPr>
                              <w:t>engagement</w:t>
                            </w:r>
                            <w:r>
                              <w:rPr>
                                <w:color w:val="000000"/>
                                <w:spacing w:val="-4"/>
                              </w:rPr>
                              <w:t> </w:t>
                            </w:r>
                            <w:r>
                              <w:rPr>
                                <w:color w:val="000000"/>
                              </w:rPr>
                              <w:t>between</w:t>
                            </w:r>
                            <w:r>
                              <w:rPr>
                                <w:color w:val="000000"/>
                                <w:spacing w:val="-3"/>
                              </w:rPr>
                              <w:t> </w:t>
                            </w:r>
                            <w:r>
                              <w:rPr>
                                <w:color w:val="000000"/>
                              </w:rPr>
                              <w:t>ESV</w:t>
                            </w:r>
                            <w:r>
                              <w:rPr>
                                <w:color w:val="000000"/>
                                <w:spacing w:val="-3"/>
                              </w:rPr>
                              <w:t> </w:t>
                            </w:r>
                            <w:r>
                              <w:rPr>
                                <w:color w:val="000000"/>
                              </w:rPr>
                              <w:t>and</w:t>
                            </w:r>
                            <w:r>
                              <w:rPr>
                                <w:color w:val="000000"/>
                                <w:spacing w:val="-1"/>
                              </w:rPr>
                              <w:t> </w:t>
                            </w:r>
                            <w:r>
                              <w:rPr>
                                <w:color w:val="000000"/>
                              </w:rPr>
                              <w:t>regulated</w:t>
                            </w:r>
                            <w:r>
                              <w:rPr>
                                <w:color w:val="000000"/>
                                <w:spacing w:val="-5"/>
                              </w:rPr>
                              <w:t> </w:t>
                            </w:r>
                            <w:r>
                              <w:rPr>
                                <w:color w:val="000000"/>
                              </w:rPr>
                              <w:t>network</w:t>
                            </w:r>
                            <w:r>
                              <w:rPr>
                                <w:color w:val="000000"/>
                                <w:spacing w:val="-2"/>
                              </w:rPr>
                              <w:t> </w:t>
                            </w:r>
                            <w:r>
                              <w:rPr>
                                <w:color w:val="000000"/>
                              </w:rPr>
                              <w:t>businesses as an input into price review processes conducted by the AER.</w:t>
                            </w:r>
                          </w:p>
                        </w:txbxContent>
                      </wps:txbx>
                      <wps:bodyPr wrap="square" lIns="0" tIns="0" rIns="0" bIns="0" rtlCol="0">
                        <a:noAutofit/>
                      </wps:bodyPr>
                    </wps:wsp>
                  </a:graphicData>
                </a:graphic>
              </wp:anchor>
            </w:drawing>
          </mc:Choice>
          <mc:Fallback>
            <w:pict>
              <v:shape style="position:absolute;margin-left:56.639999pt;margin-top:11.964746pt;width:464.3pt;height:101.05pt;mso-position-horizontal-relative:page;mso-position-vertical-relative:paragraph;z-index:-15681024;mso-wrap-distance-left:0;mso-wrap-distance-right:0" type="#_x0000_t202" id="docshape139" filled="true" fillcolor="#d9d9d9" stroked="false">
                <v:textbox inset="0,0,0,0">
                  <w:txbxContent>
                    <w:p>
                      <w:pPr>
                        <w:pStyle w:val="BodyText"/>
                        <w:spacing w:before="6"/>
                        <w:rPr>
                          <w:color w:val="000000"/>
                          <w:sz w:val="36"/>
                        </w:rPr>
                      </w:pPr>
                    </w:p>
                    <w:p>
                      <w:pPr>
                        <w:spacing w:before="0"/>
                        <w:ind w:left="141" w:right="0" w:firstLine="0"/>
                        <w:jc w:val="left"/>
                        <w:rPr>
                          <w:b/>
                          <w:color w:val="000000"/>
                          <w:sz w:val="24"/>
                        </w:rPr>
                      </w:pPr>
                      <w:r>
                        <w:rPr>
                          <w:b/>
                          <w:color w:val="000000"/>
                          <w:spacing w:val="-2"/>
                          <w:sz w:val="24"/>
                        </w:rPr>
                        <w:t>Recommendation</w:t>
                      </w:r>
                      <w:r>
                        <w:rPr>
                          <w:b/>
                          <w:color w:val="000000"/>
                          <w:sz w:val="24"/>
                        </w:rPr>
                        <w:t> </w:t>
                      </w:r>
                      <w:r>
                        <w:rPr>
                          <w:b/>
                          <w:color w:val="000000"/>
                          <w:spacing w:val="-5"/>
                          <w:sz w:val="24"/>
                        </w:rPr>
                        <w:t>21</w:t>
                      </w:r>
                    </w:p>
                    <w:p>
                      <w:pPr>
                        <w:pStyle w:val="BodyText"/>
                        <w:spacing w:line="288" w:lineRule="auto" w:before="175"/>
                        <w:ind w:left="112" w:right="107"/>
                        <w:rPr>
                          <w:color w:val="000000"/>
                        </w:rPr>
                      </w:pPr>
                      <w:r>
                        <w:rPr>
                          <w:color w:val="000000"/>
                        </w:rPr>
                        <w:t>In consultation with the AER, ESV should prepare public guidance that sets out clear protocols</w:t>
                      </w:r>
                      <w:r>
                        <w:rPr>
                          <w:color w:val="000000"/>
                          <w:spacing w:val="-5"/>
                        </w:rPr>
                        <w:t> </w:t>
                      </w:r>
                      <w:r>
                        <w:rPr>
                          <w:color w:val="000000"/>
                        </w:rPr>
                        <w:t>to</w:t>
                      </w:r>
                      <w:r>
                        <w:rPr>
                          <w:color w:val="000000"/>
                          <w:spacing w:val="-7"/>
                        </w:rPr>
                        <w:t> </w:t>
                      </w:r>
                      <w:r>
                        <w:rPr>
                          <w:color w:val="000000"/>
                        </w:rPr>
                        <w:t>facilitate</w:t>
                      </w:r>
                      <w:r>
                        <w:rPr>
                          <w:color w:val="000000"/>
                          <w:spacing w:val="-5"/>
                        </w:rPr>
                        <w:t> </w:t>
                      </w:r>
                      <w:r>
                        <w:rPr>
                          <w:color w:val="000000"/>
                        </w:rPr>
                        <w:t>effective</w:t>
                      </w:r>
                      <w:r>
                        <w:rPr>
                          <w:color w:val="000000"/>
                          <w:spacing w:val="-3"/>
                        </w:rPr>
                        <w:t> </w:t>
                      </w:r>
                      <w:r>
                        <w:rPr>
                          <w:color w:val="000000"/>
                        </w:rPr>
                        <w:t>engagement</w:t>
                      </w:r>
                      <w:r>
                        <w:rPr>
                          <w:color w:val="000000"/>
                          <w:spacing w:val="-4"/>
                        </w:rPr>
                        <w:t> </w:t>
                      </w:r>
                      <w:r>
                        <w:rPr>
                          <w:color w:val="000000"/>
                        </w:rPr>
                        <w:t>between</w:t>
                      </w:r>
                      <w:r>
                        <w:rPr>
                          <w:color w:val="000000"/>
                          <w:spacing w:val="-3"/>
                        </w:rPr>
                        <w:t> </w:t>
                      </w:r>
                      <w:r>
                        <w:rPr>
                          <w:color w:val="000000"/>
                        </w:rPr>
                        <w:t>ESV</w:t>
                      </w:r>
                      <w:r>
                        <w:rPr>
                          <w:color w:val="000000"/>
                          <w:spacing w:val="-3"/>
                        </w:rPr>
                        <w:t> </w:t>
                      </w:r>
                      <w:r>
                        <w:rPr>
                          <w:color w:val="000000"/>
                        </w:rPr>
                        <w:t>and</w:t>
                      </w:r>
                      <w:r>
                        <w:rPr>
                          <w:color w:val="000000"/>
                          <w:spacing w:val="-1"/>
                        </w:rPr>
                        <w:t> </w:t>
                      </w:r>
                      <w:r>
                        <w:rPr>
                          <w:color w:val="000000"/>
                        </w:rPr>
                        <w:t>regulated</w:t>
                      </w:r>
                      <w:r>
                        <w:rPr>
                          <w:color w:val="000000"/>
                          <w:spacing w:val="-5"/>
                        </w:rPr>
                        <w:t> </w:t>
                      </w:r>
                      <w:r>
                        <w:rPr>
                          <w:color w:val="000000"/>
                        </w:rPr>
                        <w:t>network</w:t>
                      </w:r>
                      <w:r>
                        <w:rPr>
                          <w:color w:val="000000"/>
                          <w:spacing w:val="-2"/>
                        </w:rPr>
                        <w:t> </w:t>
                      </w:r>
                      <w:r>
                        <w:rPr>
                          <w:color w:val="000000"/>
                        </w:rPr>
                        <w:t>businesses as an input into price review processes conducted by the AER.</w:t>
                      </w:r>
                    </w:p>
                  </w:txbxContent>
                </v:textbox>
                <v:fill type="solid"/>
                <w10:wrap type="topAndBottom"/>
              </v:shape>
            </w:pict>
          </mc:Fallback>
        </mc:AlternateContent>
      </w:r>
    </w:p>
    <w:p>
      <w:pPr>
        <w:pStyle w:val="BodyText"/>
        <w:spacing w:before="6"/>
        <w:rPr>
          <w:sz w:val="23"/>
        </w:rPr>
      </w:pPr>
    </w:p>
    <w:p>
      <w:pPr>
        <w:pStyle w:val="Heading4"/>
      </w:pPr>
      <w:r>
        <w:rPr>
          <w:color w:val="585858"/>
        </w:rPr>
        <w:t>Closing</w:t>
      </w:r>
      <w:r>
        <w:rPr>
          <w:color w:val="585858"/>
          <w:spacing w:val="-11"/>
        </w:rPr>
        <w:t> </w:t>
      </w:r>
      <w:r>
        <w:rPr>
          <w:color w:val="585858"/>
        </w:rPr>
        <w:t>the</w:t>
      </w:r>
      <w:r>
        <w:rPr>
          <w:color w:val="585858"/>
          <w:spacing w:val="-11"/>
        </w:rPr>
        <w:t> </w:t>
      </w:r>
      <w:r>
        <w:rPr>
          <w:color w:val="585858"/>
        </w:rPr>
        <w:t>economic</w:t>
      </w:r>
      <w:r>
        <w:rPr>
          <w:color w:val="585858"/>
          <w:spacing w:val="-11"/>
        </w:rPr>
        <w:t> </w:t>
      </w:r>
      <w:r>
        <w:rPr>
          <w:color w:val="585858"/>
        </w:rPr>
        <w:t>and</w:t>
      </w:r>
      <w:r>
        <w:rPr>
          <w:color w:val="585858"/>
          <w:spacing w:val="-11"/>
        </w:rPr>
        <w:t> </w:t>
      </w:r>
      <w:r>
        <w:rPr>
          <w:color w:val="585858"/>
        </w:rPr>
        <w:t>safety</w:t>
      </w:r>
      <w:r>
        <w:rPr>
          <w:color w:val="585858"/>
          <w:spacing w:val="-13"/>
        </w:rPr>
        <w:t> </w:t>
      </w:r>
      <w:r>
        <w:rPr>
          <w:color w:val="585858"/>
        </w:rPr>
        <w:t>regulatory</w:t>
      </w:r>
      <w:r>
        <w:rPr>
          <w:color w:val="585858"/>
          <w:spacing w:val="-15"/>
        </w:rPr>
        <w:t> </w:t>
      </w:r>
      <w:r>
        <w:rPr>
          <w:color w:val="585858"/>
          <w:spacing w:val="-4"/>
        </w:rPr>
        <w:t>loop</w:t>
      </w:r>
    </w:p>
    <w:p>
      <w:pPr>
        <w:pStyle w:val="BodyText"/>
        <w:spacing w:line="288" w:lineRule="auto" w:before="314"/>
        <w:ind w:left="232" w:right="374"/>
      </w:pPr>
      <w:r>
        <w:rPr/>
        <w:t>It is evident from submissions to the Review that there remains confusion among some stakeholders</w:t>
      </w:r>
      <w:r>
        <w:rPr>
          <w:spacing w:val="-3"/>
        </w:rPr>
        <w:t> </w:t>
      </w:r>
      <w:r>
        <w:rPr/>
        <w:t>around</w:t>
      </w:r>
      <w:r>
        <w:rPr>
          <w:spacing w:val="-4"/>
        </w:rPr>
        <w:t> </w:t>
      </w:r>
      <w:r>
        <w:rPr/>
        <w:t>how</w:t>
      </w:r>
      <w:r>
        <w:rPr>
          <w:spacing w:val="-4"/>
        </w:rPr>
        <w:t> </w:t>
      </w:r>
      <w:r>
        <w:rPr/>
        <w:t>safety</w:t>
      </w:r>
      <w:r>
        <w:rPr>
          <w:spacing w:val="-1"/>
        </w:rPr>
        <w:t> </w:t>
      </w:r>
      <w:r>
        <w:rPr/>
        <w:t>is</w:t>
      </w:r>
      <w:r>
        <w:rPr>
          <w:spacing w:val="-3"/>
        </w:rPr>
        <w:t> </w:t>
      </w:r>
      <w:r>
        <w:rPr/>
        <w:t>factored</w:t>
      </w:r>
      <w:r>
        <w:rPr>
          <w:spacing w:val="-3"/>
        </w:rPr>
        <w:t> </w:t>
      </w:r>
      <w:r>
        <w:rPr/>
        <w:t>into</w:t>
      </w:r>
      <w:r>
        <w:rPr>
          <w:spacing w:val="-5"/>
        </w:rPr>
        <w:t> </w:t>
      </w:r>
      <w:r>
        <w:rPr/>
        <w:t>economic</w:t>
      </w:r>
      <w:r>
        <w:rPr>
          <w:spacing w:val="-3"/>
        </w:rPr>
        <w:t> </w:t>
      </w:r>
      <w:r>
        <w:rPr/>
        <w:t>regulatory</w:t>
      </w:r>
      <w:r>
        <w:rPr>
          <w:spacing w:val="-3"/>
        </w:rPr>
        <w:t> </w:t>
      </w:r>
      <w:r>
        <w:rPr/>
        <w:t>decisions by</w:t>
      </w:r>
      <w:r>
        <w:rPr>
          <w:spacing w:val="-3"/>
        </w:rPr>
        <w:t> </w:t>
      </w:r>
      <w:r>
        <w:rPr/>
        <w:t>the</w:t>
      </w:r>
      <w:r>
        <w:rPr>
          <w:spacing w:val="-1"/>
        </w:rPr>
        <w:t> </w:t>
      </w:r>
      <w:r>
        <w:rPr/>
        <w:t>AER.</w:t>
      </w:r>
      <w:r>
        <w:rPr>
          <w:spacing w:val="-4"/>
        </w:rPr>
        <w:t> </w:t>
      </w:r>
      <w:r>
        <w:rPr/>
        <w:t>This is compounded by concerns that the safety-related programs that are factored into the AER's decision</w:t>
      </w:r>
      <w:r>
        <w:rPr>
          <w:spacing w:val="-2"/>
        </w:rPr>
        <w:t> </w:t>
      </w:r>
      <w:r>
        <w:rPr/>
        <w:t>making</w:t>
      </w:r>
      <w:r>
        <w:rPr>
          <w:spacing w:val="-1"/>
        </w:rPr>
        <w:t> </w:t>
      </w:r>
      <w:r>
        <w:rPr/>
        <w:t>processes</w:t>
      </w:r>
      <w:r>
        <w:rPr>
          <w:spacing w:val="-2"/>
        </w:rPr>
        <w:t> </w:t>
      </w:r>
      <w:r>
        <w:rPr/>
        <w:t>may</w:t>
      </w:r>
      <w:r>
        <w:rPr>
          <w:spacing w:val="-4"/>
        </w:rPr>
        <w:t> </w:t>
      </w:r>
      <w:r>
        <w:rPr/>
        <w:t>not</w:t>
      </w:r>
      <w:r>
        <w:rPr>
          <w:spacing w:val="-1"/>
        </w:rPr>
        <w:t> </w:t>
      </w:r>
      <w:r>
        <w:rPr/>
        <w:t>be</w:t>
      </w:r>
      <w:r>
        <w:rPr>
          <w:spacing w:val="-4"/>
        </w:rPr>
        <w:t> </w:t>
      </w:r>
      <w:r>
        <w:rPr/>
        <w:t>delivered</w:t>
      </w:r>
      <w:r>
        <w:rPr>
          <w:spacing w:val="-2"/>
        </w:rPr>
        <w:t> </w:t>
      </w:r>
      <w:r>
        <w:rPr/>
        <w:t>in</w:t>
      </w:r>
      <w:r>
        <w:rPr>
          <w:spacing w:val="-2"/>
        </w:rPr>
        <w:t> </w:t>
      </w:r>
      <w:r>
        <w:rPr/>
        <w:t>a</w:t>
      </w:r>
      <w:r>
        <w:rPr>
          <w:spacing w:val="-3"/>
        </w:rPr>
        <w:t> </w:t>
      </w:r>
      <w:r>
        <w:rPr/>
        <w:t>timely</w:t>
      </w:r>
      <w:r>
        <w:rPr>
          <w:spacing w:val="-6"/>
        </w:rPr>
        <w:t> </w:t>
      </w:r>
      <w:r>
        <w:rPr/>
        <w:t>fashion</w:t>
      </w:r>
      <w:r>
        <w:rPr>
          <w:spacing w:val="-2"/>
        </w:rPr>
        <w:t> </w:t>
      </w:r>
      <w:r>
        <w:rPr/>
        <w:t>by</w:t>
      </w:r>
      <w:r>
        <w:rPr>
          <w:spacing w:val="-4"/>
        </w:rPr>
        <w:t> </w:t>
      </w:r>
      <w:r>
        <w:rPr/>
        <w:t>regulated</w:t>
      </w:r>
      <w:r>
        <w:rPr>
          <w:spacing w:val="-2"/>
        </w:rPr>
        <w:t> </w:t>
      </w:r>
      <w:r>
        <w:rPr/>
        <w:t>businesses,</w:t>
      </w:r>
      <w:r>
        <w:rPr>
          <w:spacing w:val="-1"/>
        </w:rPr>
        <w:t> </w:t>
      </w:r>
      <w:r>
        <w:rPr/>
        <w:t>or</w:t>
      </w:r>
      <w:r>
        <w:rPr>
          <w:spacing w:val="-2"/>
        </w:rPr>
        <w:t> </w:t>
      </w:r>
      <w:r>
        <w:rPr/>
        <w:t>in some cases may not be delivered at all. When this occurs, questions may naturally arise as to whether Victorian energy consumers have, in effect, been required to pay higher prices without promised safety benefits being delivered.</w:t>
      </w:r>
    </w:p>
    <w:p>
      <w:pPr>
        <w:pStyle w:val="BodyText"/>
        <w:rPr>
          <w:sz w:val="21"/>
        </w:rPr>
      </w:pPr>
    </w:p>
    <w:p>
      <w:pPr>
        <w:pStyle w:val="BodyText"/>
        <w:spacing w:line="288" w:lineRule="auto"/>
        <w:ind w:left="232" w:right="369"/>
      </w:pPr>
      <w:r>
        <w:rPr/>
        <w:t>The Review is not proposing fundamental changes to the system of economic regulation, which would raise complex issues beyond this Review’s Terms of Reference. Nevertheless, the Review is proposing that the integration of the economic</w:t>
      </w:r>
      <w:r>
        <w:rPr>
          <w:spacing w:val="-1"/>
        </w:rPr>
        <w:t> </w:t>
      </w:r>
      <w:r>
        <w:rPr/>
        <w:t>and safety systems should be reinforced through greater</w:t>
      </w:r>
      <w:r>
        <w:rPr>
          <w:spacing w:val="-4"/>
        </w:rPr>
        <w:t> </w:t>
      </w:r>
      <w:r>
        <w:rPr/>
        <w:t>transparency</w:t>
      </w:r>
      <w:r>
        <w:rPr>
          <w:spacing w:val="-5"/>
        </w:rPr>
        <w:t> </w:t>
      </w:r>
      <w:r>
        <w:rPr/>
        <w:t>and</w:t>
      </w:r>
      <w:r>
        <w:rPr>
          <w:spacing w:val="-3"/>
        </w:rPr>
        <w:t> </w:t>
      </w:r>
      <w:r>
        <w:rPr/>
        <w:t>accountability</w:t>
      </w:r>
      <w:r>
        <w:rPr>
          <w:spacing w:val="-5"/>
        </w:rPr>
        <w:t> </w:t>
      </w:r>
      <w:r>
        <w:rPr/>
        <w:t>around</w:t>
      </w:r>
      <w:r>
        <w:rPr>
          <w:spacing w:val="-6"/>
        </w:rPr>
        <w:t> </w:t>
      </w:r>
      <w:r>
        <w:rPr/>
        <w:t>the</w:t>
      </w:r>
      <w:r>
        <w:rPr>
          <w:spacing w:val="-3"/>
        </w:rPr>
        <w:t> </w:t>
      </w:r>
      <w:r>
        <w:rPr/>
        <w:t>delivery</w:t>
      </w:r>
      <w:r>
        <w:rPr>
          <w:spacing w:val="-4"/>
        </w:rPr>
        <w:t> </w:t>
      </w:r>
      <w:r>
        <w:rPr/>
        <w:t>of safety-related</w:t>
      </w:r>
      <w:r>
        <w:rPr>
          <w:spacing w:val="-3"/>
        </w:rPr>
        <w:t> </w:t>
      </w:r>
      <w:r>
        <w:rPr/>
        <w:t>programs.</w:t>
      </w:r>
      <w:r>
        <w:rPr>
          <w:spacing w:val="-4"/>
        </w:rPr>
        <w:t> </w:t>
      </w:r>
      <w:r>
        <w:rPr/>
        <w:t>Ultimately, the regulatory responsibility for ensuring that safety commitments are satisfactorily met by regulated businesses should rest with ESV as the safety regulator.</w:t>
      </w:r>
    </w:p>
    <w:p>
      <w:pPr>
        <w:pStyle w:val="BodyText"/>
        <w:spacing w:before="11"/>
        <w:rPr>
          <w:sz w:val="20"/>
        </w:rPr>
      </w:pPr>
    </w:p>
    <w:p>
      <w:pPr>
        <w:pStyle w:val="BodyText"/>
        <w:spacing w:line="288" w:lineRule="auto"/>
        <w:ind w:left="232" w:right="320"/>
      </w:pPr>
      <w:r>
        <w:rPr/>
        <w:t>In</w:t>
      </w:r>
      <w:r>
        <w:rPr>
          <w:spacing w:val="-2"/>
        </w:rPr>
        <w:t> </w:t>
      </w:r>
      <w:r>
        <w:rPr/>
        <w:t>its</w:t>
      </w:r>
      <w:r>
        <w:rPr>
          <w:spacing w:val="-3"/>
        </w:rPr>
        <w:t> </w:t>
      </w:r>
      <w:r>
        <w:rPr/>
        <w:t>submission</w:t>
      </w:r>
      <w:r>
        <w:rPr>
          <w:spacing w:val="-2"/>
        </w:rPr>
        <w:t> </w:t>
      </w:r>
      <w:r>
        <w:rPr/>
        <w:t>to</w:t>
      </w:r>
      <w:r>
        <w:rPr>
          <w:spacing w:val="-6"/>
        </w:rPr>
        <w:t> </w:t>
      </w:r>
      <w:r>
        <w:rPr/>
        <w:t>the</w:t>
      </w:r>
      <w:r>
        <w:rPr>
          <w:spacing w:val="-4"/>
        </w:rPr>
        <w:t> </w:t>
      </w:r>
      <w:r>
        <w:rPr/>
        <w:t>Review, the</w:t>
      </w:r>
      <w:r>
        <w:rPr>
          <w:spacing w:val="-2"/>
        </w:rPr>
        <w:t> </w:t>
      </w:r>
      <w:r>
        <w:rPr/>
        <w:t>Electrical</w:t>
      </w:r>
      <w:r>
        <w:rPr>
          <w:spacing w:val="-5"/>
        </w:rPr>
        <w:t> </w:t>
      </w:r>
      <w:r>
        <w:rPr/>
        <w:t>Trades</w:t>
      </w:r>
      <w:r>
        <w:rPr>
          <w:spacing w:val="-2"/>
        </w:rPr>
        <w:t> </w:t>
      </w:r>
      <w:r>
        <w:rPr/>
        <w:t>Union</w:t>
      </w:r>
      <w:r>
        <w:rPr>
          <w:spacing w:val="-2"/>
        </w:rPr>
        <w:t> </w:t>
      </w:r>
      <w:r>
        <w:rPr/>
        <w:t>has</w:t>
      </w:r>
      <w:r>
        <w:rPr>
          <w:spacing w:val="-1"/>
        </w:rPr>
        <w:t> </w:t>
      </w:r>
      <w:r>
        <w:rPr/>
        <w:t>noted</w:t>
      </w:r>
      <w:r>
        <w:rPr>
          <w:spacing w:val="-4"/>
        </w:rPr>
        <w:t> </w:t>
      </w:r>
      <w:r>
        <w:rPr/>
        <w:t>a</w:t>
      </w:r>
      <w:r>
        <w:rPr>
          <w:spacing w:val="-4"/>
        </w:rPr>
        <w:t> </w:t>
      </w:r>
      <w:r>
        <w:rPr/>
        <w:t>concern</w:t>
      </w:r>
      <w:r>
        <w:rPr>
          <w:spacing w:val="-1"/>
        </w:rPr>
        <w:t> </w:t>
      </w:r>
      <w:r>
        <w:rPr/>
        <w:t>around</w:t>
      </w:r>
      <w:r>
        <w:rPr>
          <w:spacing w:val="-4"/>
        </w:rPr>
        <w:t> </w:t>
      </w:r>
      <w:r>
        <w:rPr/>
        <w:t>the</w:t>
      </w:r>
      <w:r>
        <w:rPr>
          <w:spacing w:val="-4"/>
        </w:rPr>
        <w:t> </w:t>
      </w:r>
      <w:r>
        <w:rPr/>
        <w:t>extent to which safety considerations are factored into the AER's determination processes:</w:t>
      </w:r>
    </w:p>
    <w:p>
      <w:pPr>
        <w:pStyle w:val="BodyText"/>
        <w:spacing w:before="10"/>
        <w:rPr>
          <w:sz w:val="20"/>
        </w:rPr>
      </w:pPr>
    </w:p>
    <w:p>
      <w:pPr>
        <w:spacing w:line="288" w:lineRule="auto" w:before="0"/>
        <w:ind w:left="799" w:right="951" w:firstLine="0"/>
        <w:jc w:val="left"/>
        <w:rPr>
          <w:sz w:val="22"/>
        </w:rPr>
      </w:pPr>
      <w:r>
        <w:rPr>
          <w:i/>
          <w:sz w:val="22"/>
        </w:rPr>
        <w:t>“A major flaw in the AER regulatory model of determining operating and capital expenditure for electricity networks is that by law the AER can only consider the efficient cost to the Distribution businesses. The AER does not and cannot factor the cost</w:t>
      </w:r>
      <w:r>
        <w:rPr>
          <w:i/>
          <w:spacing w:val="-3"/>
          <w:sz w:val="22"/>
        </w:rPr>
        <w:t> </w:t>
      </w:r>
      <w:r>
        <w:rPr>
          <w:i/>
          <w:sz w:val="22"/>
        </w:rPr>
        <w:t>to</w:t>
      </w:r>
      <w:r>
        <w:rPr>
          <w:i/>
          <w:spacing w:val="-2"/>
          <w:sz w:val="22"/>
        </w:rPr>
        <w:t> </w:t>
      </w:r>
      <w:r>
        <w:rPr>
          <w:i/>
          <w:sz w:val="22"/>
        </w:rPr>
        <w:t>energy</w:t>
      </w:r>
      <w:r>
        <w:rPr>
          <w:i/>
          <w:spacing w:val="-4"/>
          <w:sz w:val="22"/>
        </w:rPr>
        <w:t> </w:t>
      </w:r>
      <w:r>
        <w:rPr>
          <w:i/>
          <w:sz w:val="22"/>
        </w:rPr>
        <w:t>users</w:t>
      </w:r>
      <w:r>
        <w:rPr>
          <w:i/>
          <w:spacing w:val="-4"/>
          <w:sz w:val="22"/>
        </w:rPr>
        <w:t> </w:t>
      </w:r>
      <w:r>
        <w:rPr>
          <w:i/>
          <w:sz w:val="22"/>
        </w:rPr>
        <w:t>from</w:t>
      </w:r>
      <w:r>
        <w:rPr>
          <w:i/>
          <w:spacing w:val="-1"/>
          <w:sz w:val="22"/>
        </w:rPr>
        <w:t> </w:t>
      </w:r>
      <w:r>
        <w:rPr>
          <w:i/>
          <w:sz w:val="22"/>
        </w:rPr>
        <w:t>network</w:t>
      </w:r>
      <w:r>
        <w:rPr>
          <w:i/>
          <w:spacing w:val="-3"/>
          <w:sz w:val="22"/>
        </w:rPr>
        <w:t> </w:t>
      </w:r>
      <w:r>
        <w:rPr>
          <w:i/>
          <w:sz w:val="22"/>
        </w:rPr>
        <w:t>failings</w:t>
      </w:r>
      <w:r>
        <w:rPr>
          <w:i/>
          <w:spacing w:val="-1"/>
          <w:sz w:val="22"/>
        </w:rPr>
        <w:t> </w:t>
      </w:r>
      <w:r>
        <w:rPr>
          <w:i/>
          <w:sz w:val="22"/>
        </w:rPr>
        <w:t>as</w:t>
      </w:r>
      <w:r>
        <w:rPr>
          <w:i/>
          <w:spacing w:val="-4"/>
          <w:sz w:val="22"/>
        </w:rPr>
        <w:t> </w:t>
      </w:r>
      <w:r>
        <w:rPr>
          <w:i/>
          <w:sz w:val="22"/>
        </w:rPr>
        <w:t>a</w:t>
      </w:r>
      <w:r>
        <w:rPr>
          <w:i/>
          <w:spacing w:val="-4"/>
          <w:sz w:val="22"/>
        </w:rPr>
        <w:t> </w:t>
      </w:r>
      <w:r>
        <w:rPr>
          <w:i/>
          <w:sz w:val="22"/>
        </w:rPr>
        <w:t>result of</w:t>
      </w:r>
      <w:r>
        <w:rPr>
          <w:i/>
          <w:spacing w:val="-3"/>
          <w:sz w:val="22"/>
        </w:rPr>
        <w:t> </w:t>
      </w:r>
      <w:r>
        <w:rPr>
          <w:i/>
          <w:sz w:val="22"/>
        </w:rPr>
        <w:t>under-investment in</w:t>
      </w:r>
      <w:r>
        <w:rPr>
          <w:i/>
          <w:spacing w:val="-4"/>
          <w:sz w:val="22"/>
        </w:rPr>
        <w:t> </w:t>
      </w:r>
      <w:r>
        <w:rPr>
          <w:i/>
          <w:sz w:val="22"/>
        </w:rPr>
        <w:t>the</w:t>
      </w:r>
      <w:r>
        <w:rPr>
          <w:i/>
          <w:spacing w:val="-2"/>
          <w:sz w:val="22"/>
        </w:rPr>
        <w:t> </w:t>
      </w:r>
      <w:r>
        <w:rPr>
          <w:i/>
          <w:sz w:val="22"/>
        </w:rPr>
        <w:t>safety of the network.” </w:t>
      </w:r>
      <w:r>
        <w:rPr>
          <w:sz w:val="22"/>
        </w:rPr>
        <w:t>(Electrical Trades Union, 2017, p. 60)</w:t>
      </w:r>
    </w:p>
    <w:p>
      <w:pPr>
        <w:spacing w:after="0" w:line="288" w:lineRule="auto"/>
        <w:jc w:val="left"/>
        <w:rPr>
          <w:sz w:val="22"/>
        </w:rPr>
        <w:sectPr>
          <w:pgSz w:w="11910" w:h="16850"/>
          <w:pgMar w:header="220" w:footer="678" w:top="420" w:bottom="860" w:left="900" w:right="840"/>
        </w:sectPr>
      </w:pPr>
    </w:p>
    <w:p>
      <w:pPr>
        <w:pStyle w:val="BodyText"/>
        <w:rPr>
          <w:sz w:val="20"/>
        </w:rPr>
      </w:pPr>
    </w:p>
    <w:p>
      <w:pPr>
        <w:pStyle w:val="BodyText"/>
        <w:spacing w:before="2"/>
        <w:rPr>
          <w:sz w:val="19"/>
        </w:rPr>
      </w:pPr>
    </w:p>
    <w:p>
      <w:pPr>
        <w:pStyle w:val="BodyText"/>
        <w:spacing w:line="288" w:lineRule="auto" w:before="94"/>
        <w:ind w:left="232" w:right="951"/>
      </w:pPr>
      <w:r>
        <w:rPr/>
        <w:t>Similarly,</w:t>
      </w:r>
      <w:r>
        <w:rPr>
          <w:spacing w:val="-1"/>
        </w:rPr>
        <w:t> </w:t>
      </w:r>
      <w:r>
        <w:rPr/>
        <w:t>R2A</w:t>
      </w:r>
      <w:r>
        <w:rPr>
          <w:spacing w:val="-3"/>
        </w:rPr>
        <w:t> </w:t>
      </w:r>
      <w:r>
        <w:rPr/>
        <w:t>has</w:t>
      </w:r>
      <w:r>
        <w:rPr>
          <w:spacing w:val="-2"/>
        </w:rPr>
        <w:t> </w:t>
      </w:r>
      <w:r>
        <w:rPr/>
        <w:t>expressed</w:t>
      </w:r>
      <w:r>
        <w:rPr>
          <w:spacing w:val="-3"/>
        </w:rPr>
        <w:t> </w:t>
      </w:r>
      <w:r>
        <w:rPr/>
        <w:t>a</w:t>
      </w:r>
      <w:r>
        <w:rPr>
          <w:spacing w:val="-2"/>
        </w:rPr>
        <w:t> </w:t>
      </w:r>
      <w:r>
        <w:rPr/>
        <w:t>view</w:t>
      </w:r>
      <w:r>
        <w:rPr>
          <w:spacing w:val="-5"/>
        </w:rPr>
        <w:t> </w:t>
      </w:r>
      <w:r>
        <w:rPr/>
        <w:t>that</w:t>
      </w:r>
      <w:r>
        <w:rPr>
          <w:spacing w:val="-3"/>
        </w:rPr>
        <w:t> </w:t>
      </w:r>
      <w:r>
        <w:rPr/>
        <w:t>the</w:t>
      </w:r>
      <w:r>
        <w:rPr>
          <w:spacing w:val="-3"/>
        </w:rPr>
        <w:t> </w:t>
      </w:r>
      <w:r>
        <w:rPr/>
        <w:t>AER’s</w:t>
      </w:r>
      <w:r>
        <w:rPr>
          <w:spacing w:val="-2"/>
        </w:rPr>
        <w:t> </w:t>
      </w:r>
      <w:r>
        <w:rPr/>
        <w:t>approach</w:t>
      </w:r>
      <w:r>
        <w:rPr>
          <w:spacing w:val="-4"/>
        </w:rPr>
        <w:t> </w:t>
      </w:r>
      <w:r>
        <w:rPr/>
        <w:t>may</w:t>
      </w:r>
      <w:r>
        <w:rPr>
          <w:spacing w:val="-4"/>
        </w:rPr>
        <w:t> </w:t>
      </w:r>
      <w:r>
        <w:rPr/>
        <w:t>not</w:t>
      </w:r>
      <w:r>
        <w:rPr>
          <w:spacing w:val="-3"/>
        </w:rPr>
        <w:t> </w:t>
      </w:r>
      <w:r>
        <w:rPr/>
        <w:t>sufficiently</w:t>
      </w:r>
      <w:r>
        <w:rPr>
          <w:spacing w:val="-4"/>
        </w:rPr>
        <w:t> </w:t>
      </w:r>
      <w:r>
        <w:rPr/>
        <w:t>recognise safety, particularly over longer time periods:</w:t>
      </w:r>
    </w:p>
    <w:p>
      <w:pPr>
        <w:pStyle w:val="BodyText"/>
        <w:spacing w:before="10"/>
        <w:rPr>
          <w:sz w:val="20"/>
        </w:rPr>
      </w:pPr>
    </w:p>
    <w:p>
      <w:pPr>
        <w:spacing w:line="288" w:lineRule="auto" w:before="1"/>
        <w:ind w:left="799" w:right="887" w:firstLine="0"/>
        <w:jc w:val="left"/>
        <w:rPr>
          <w:sz w:val="22"/>
        </w:rPr>
      </w:pPr>
      <w:r>
        <w:rPr>
          <w:i/>
          <w:sz w:val="22"/>
        </w:rPr>
        <w:t>"In view of the ‘natural’ monopoly nature of distribution networks, the AER has been given the role of economic regulator in an attempt to replicate the commercially beneficial effects of a ‘market’. This is subject to a number of methodological confusions</w:t>
      </w:r>
      <w:r>
        <w:rPr>
          <w:i/>
          <w:spacing w:val="-1"/>
          <w:sz w:val="22"/>
        </w:rPr>
        <w:t> </w:t>
      </w:r>
      <w:r>
        <w:rPr>
          <w:i/>
          <w:sz w:val="22"/>
        </w:rPr>
        <w:t>especially</w:t>
      </w:r>
      <w:r>
        <w:rPr>
          <w:i/>
          <w:spacing w:val="-1"/>
          <w:sz w:val="22"/>
        </w:rPr>
        <w:t> </w:t>
      </w:r>
      <w:r>
        <w:rPr>
          <w:i/>
          <w:sz w:val="22"/>
        </w:rPr>
        <w:t>the</w:t>
      </w:r>
      <w:r>
        <w:rPr>
          <w:i/>
          <w:spacing w:val="-4"/>
          <w:sz w:val="22"/>
        </w:rPr>
        <w:t> </w:t>
      </w:r>
      <w:r>
        <w:rPr>
          <w:i/>
          <w:sz w:val="22"/>
        </w:rPr>
        <w:t>use</w:t>
      </w:r>
      <w:r>
        <w:rPr>
          <w:i/>
          <w:spacing w:val="-2"/>
          <w:sz w:val="22"/>
        </w:rPr>
        <w:t> </w:t>
      </w:r>
      <w:r>
        <w:rPr>
          <w:i/>
          <w:sz w:val="22"/>
        </w:rPr>
        <w:t>of</w:t>
      </w:r>
      <w:r>
        <w:rPr>
          <w:i/>
          <w:spacing w:val="-3"/>
          <w:sz w:val="22"/>
        </w:rPr>
        <w:t> </w:t>
      </w:r>
      <w:r>
        <w:rPr>
          <w:i/>
          <w:sz w:val="22"/>
        </w:rPr>
        <w:t>models.</w:t>
      </w:r>
      <w:r>
        <w:rPr>
          <w:i/>
          <w:spacing w:val="-3"/>
          <w:sz w:val="22"/>
        </w:rPr>
        <w:t> </w:t>
      </w:r>
      <w:r>
        <w:rPr>
          <w:i/>
          <w:sz w:val="22"/>
        </w:rPr>
        <w:t>These</w:t>
      </w:r>
      <w:r>
        <w:rPr>
          <w:i/>
          <w:spacing w:val="-4"/>
          <w:sz w:val="22"/>
        </w:rPr>
        <w:t> </w:t>
      </w:r>
      <w:r>
        <w:rPr>
          <w:i/>
          <w:sz w:val="22"/>
        </w:rPr>
        <w:t>can</w:t>
      </w:r>
      <w:r>
        <w:rPr>
          <w:i/>
          <w:spacing w:val="-2"/>
          <w:sz w:val="22"/>
        </w:rPr>
        <w:t> </w:t>
      </w:r>
      <w:r>
        <w:rPr>
          <w:i/>
          <w:sz w:val="22"/>
        </w:rPr>
        <w:t>have</w:t>
      </w:r>
      <w:r>
        <w:rPr>
          <w:i/>
          <w:spacing w:val="-2"/>
          <w:sz w:val="22"/>
        </w:rPr>
        <w:t> </w:t>
      </w:r>
      <w:r>
        <w:rPr>
          <w:i/>
          <w:sz w:val="22"/>
        </w:rPr>
        <w:t>serious</w:t>
      </w:r>
      <w:r>
        <w:rPr>
          <w:i/>
          <w:spacing w:val="-1"/>
          <w:sz w:val="22"/>
        </w:rPr>
        <w:t> </w:t>
      </w:r>
      <w:r>
        <w:rPr>
          <w:i/>
          <w:sz w:val="22"/>
        </w:rPr>
        <w:t>impacts</w:t>
      </w:r>
      <w:r>
        <w:rPr>
          <w:i/>
          <w:spacing w:val="-6"/>
          <w:sz w:val="22"/>
        </w:rPr>
        <w:t> </w:t>
      </w:r>
      <w:r>
        <w:rPr>
          <w:i/>
          <w:sz w:val="22"/>
        </w:rPr>
        <w:t>on</w:t>
      </w:r>
      <w:r>
        <w:rPr>
          <w:i/>
          <w:spacing w:val="-2"/>
          <w:sz w:val="22"/>
        </w:rPr>
        <w:t> </w:t>
      </w:r>
      <w:r>
        <w:rPr>
          <w:i/>
          <w:sz w:val="22"/>
        </w:rPr>
        <w:t>the</w:t>
      </w:r>
      <w:r>
        <w:rPr>
          <w:i/>
          <w:spacing w:val="-4"/>
          <w:sz w:val="22"/>
        </w:rPr>
        <w:t> </w:t>
      </w:r>
      <w:r>
        <w:rPr>
          <w:i/>
          <w:sz w:val="22"/>
        </w:rPr>
        <w:t>safety resourcing of distribution networks. In particular for example, is the</w:t>
      </w:r>
      <w:r>
        <w:rPr>
          <w:i/>
          <w:spacing w:val="-1"/>
          <w:sz w:val="22"/>
        </w:rPr>
        <w:t> </w:t>
      </w:r>
      <w:r>
        <w:rPr>
          <w:i/>
          <w:sz w:val="22"/>
        </w:rPr>
        <w:t>five year horizon of AER economic determinations in relation to the management of long term network assets. Failure</w:t>
      </w:r>
      <w:r>
        <w:rPr>
          <w:i/>
          <w:spacing w:val="-1"/>
          <w:sz w:val="22"/>
        </w:rPr>
        <w:t> </w:t>
      </w:r>
      <w:r>
        <w:rPr>
          <w:i/>
          <w:sz w:val="22"/>
        </w:rPr>
        <w:t>to</w:t>
      </w:r>
      <w:r>
        <w:rPr>
          <w:i/>
          <w:spacing w:val="-1"/>
          <w:sz w:val="22"/>
        </w:rPr>
        <w:t> </w:t>
      </w:r>
      <w:r>
        <w:rPr>
          <w:i/>
          <w:sz w:val="22"/>
        </w:rPr>
        <w:t>maintain a presently</w:t>
      </w:r>
      <w:r>
        <w:rPr>
          <w:i/>
          <w:spacing w:val="-1"/>
          <w:sz w:val="22"/>
        </w:rPr>
        <w:t> </w:t>
      </w:r>
      <w:r>
        <w:rPr>
          <w:i/>
          <w:sz w:val="22"/>
        </w:rPr>
        <w:t>well</w:t>
      </w:r>
      <w:r>
        <w:rPr>
          <w:i/>
          <w:spacing w:val="-2"/>
          <w:sz w:val="22"/>
        </w:rPr>
        <w:t> </w:t>
      </w:r>
      <w:r>
        <w:rPr>
          <w:i/>
          <w:sz w:val="22"/>
        </w:rPr>
        <w:t>maintained asset is unlikely to</w:t>
      </w:r>
      <w:r>
        <w:rPr>
          <w:i/>
          <w:spacing w:val="-1"/>
          <w:sz w:val="22"/>
        </w:rPr>
        <w:t> </w:t>
      </w:r>
      <w:r>
        <w:rPr>
          <w:i/>
          <w:sz w:val="22"/>
        </w:rPr>
        <w:t>cause safety issues within a five year cycle. However deferred maintenance always has long term consequences, particularly for safety and the reliability of networks." </w:t>
      </w:r>
      <w:r>
        <w:rPr>
          <w:sz w:val="22"/>
        </w:rPr>
        <w:t>(R2A, 2017, p. 5)</w:t>
      </w:r>
    </w:p>
    <w:p>
      <w:pPr>
        <w:pStyle w:val="BodyText"/>
        <w:spacing w:before="8"/>
        <w:rPr>
          <w:sz w:val="20"/>
        </w:rPr>
      </w:pPr>
    </w:p>
    <w:p>
      <w:pPr>
        <w:pStyle w:val="BodyText"/>
        <w:spacing w:line="288" w:lineRule="auto" w:before="1"/>
        <w:ind w:left="232"/>
      </w:pPr>
      <w:r>
        <w:rPr/>
        <w:t>In</w:t>
      </w:r>
      <w:r>
        <w:rPr>
          <w:spacing w:val="-2"/>
        </w:rPr>
        <w:t> </w:t>
      </w:r>
      <w:r>
        <w:rPr/>
        <w:t>contrast,</w:t>
      </w:r>
      <w:r>
        <w:rPr>
          <w:spacing w:val="-3"/>
        </w:rPr>
        <w:t> </w:t>
      </w:r>
      <w:r>
        <w:rPr/>
        <w:t>the</w:t>
      </w:r>
      <w:r>
        <w:rPr>
          <w:spacing w:val="-2"/>
        </w:rPr>
        <w:t> </w:t>
      </w:r>
      <w:r>
        <w:rPr/>
        <w:t>AER</w:t>
      </w:r>
      <w:r>
        <w:rPr>
          <w:spacing w:val="-2"/>
        </w:rPr>
        <w:t> </w:t>
      </w:r>
      <w:r>
        <w:rPr/>
        <w:t>has</w:t>
      </w:r>
      <w:r>
        <w:rPr>
          <w:spacing w:val="-6"/>
        </w:rPr>
        <w:t> </w:t>
      </w:r>
      <w:r>
        <w:rPr/>
        <w:t>noted</w:t>
      </w:r>
      <w:r>
        <w:rPr>
          <w:spacing w:val="-2"/>
        </w:rPr>
        <w:t> </w:t>
      </w:r>
      <w:r>
        <w:rPr/>
        <w:t>in</w:t>
      </w:r>
      <w:r>
        <w:rPr>
          <w:spacing w:val="-2"/>
        </w:rPr>
        <w:t> </w:t>
      </w:r>
      <w:r>
        <w:rPr/>
        <w:t>its</w:t>
      </w:r>
      <w:r>
        <w:rPr>
          <w:spacing w:val="-1"/>
        </w:rPr>
        <w:t> </w:t>
      </w:r>
      <w:r>
        <w:rPr/>
        <w:t>submission</w:t>
      </w:r>
      <w:r>
        <w:rPr>
          <w:spacing w:val="-4"/>
        </w:rPr>
        <w:t> </w:t>
      </w:r>
      <w:r>
        <w:rPr/>
        <w:t>that</w:t>
      </w:r>
      <w:r>
        <w:rPr>
          <w:spacing w:val="-1"/>
        </w:rPr>
        <w:t> </w:t>
      </w:r>
      <w:r>
        <w:rPr/>
        <w:t>it</w:t>
      </w:r>
      <w:r>
        <w:rPr>
          <w:spacing w:val="-3"/>
        </w:rPr>
        <w:t> </w:t>
      </w:r>
      <w:r>
        <w:rPr/>
        <w:t>recognises</w:t>
      </w:r>
      <w:r>
        <w:rPr>
          <w:spacing w:val="-6"/>
        </w:rPr>
        <w:t> </w:t>
      </w:r>
      <w:r>
        <w:rPr/>
        <w:t>the</w:t>
      </w:r>
      <w:r>
        <w:rPr>
          <w:spacing w:val="-2"/>
        </w:rPr>
        <w:t> </w:t>
      </w:r>
      <w:r>
        <w:rPr/>
        <w:t>importance</w:t>
      </w:r>
      <w:r>
        <w:rPr>
          <w:spacing w:val="-4"/>
        </w:rPr>
        <w:t> </w:t>
      </w:r>
      <w:r>
        <w:rPr/>
        <w:t>of network businesses being able to meet their safety obligations:</w:t>
      </w:r>
    </w:p>
    <w:p>
      <w:pPr>
        <w:pStyle w:val="BodyText"/>
        <w:spacing w:before="10"/>
        <w:rPr>
          <w:sz w:val="20"/>
        </w:rPr>
      </w:pPr>
    </w:p>
    <w:p>
      <w:pPr>
        <w:spacing w:line="288" w:lineRule="auto" w:before="0"/>
        <w:ind w:left="799" w:right="868" w:firstLine="0"/>
        <w:jc w:val="left"/>
        <w:rPr>
          <w:sz w:val="22"/>
        </w:rPr>
      </w:pPr>
      <w:r>
        <w:rPr>
          <w:i/>
          <w:sz w:val="22"/>
        </w:rPr>
        <w:t>“We assess the efficiency of all capex and opex against prescribed parameters in the NER (National Electricity Rules), including the capex and opex objectives, criteria and factors.</w:t>
      </w:r>
      <w:r>
        <w:rPr>
          <w:i/>
          <w:spacing w:val="-4"/>
          <w:sz w:val="22"/>
        </w:rPr>
        <w:t> </w:t>
      </w:r>
      <w:r>
        <w:rPr>
          <w:i/>
          <w:sz w:val="22"/>
        </w:rPr>
        <w:t>One</w:t>
      </w:r>
      <w:r>
        <w:rPr>
          <w:i/>
          <w:spacing w:val="-1"/>
          <w:sz w:val="22"/>
        </w:rPr>
        <w:t> </w:t>
      </w:r>
      <w:r>
        <w:rPr>
          <w:i/>
          <w:sz w:val="22"/>
        </w:rPr>
        <w:t>of</w:t>
      </w:r>
      <w:r>
        <w:rPr>
          <w:i/>
          <w:spacing w:val="-2"/>
          <w:sz w:val="22"/>
        </w:rPr>
        <w:t> </w:t>
      </w:r>
      <w:r>
        <w:rPr>
          <w:i/>
          <w:sz w:val="22"/>
        </w:rPr>
        <w:t>the</w:t>
      </w:r>
      <w:r>
        <w:rPr>
          <w:i/>
          <w:spacing w:val="-1"/>
          <w:sz w:val="22"/>
        </w:rPr>
        <w:t> </w:t>
      </w:r>
      <w:r>
        <w:rPr>
          <w:i/>
          <w:sz w:val="22"/>
        </w:rPr>
        <w:t>objectives</w:t>
      </w:r>
      <w:r>
        <w:rPr>
          <w:i/>
          <w:spacing w:val="-1"/>
          <w:sz w:val="22"/>
        </w:rPr>
        <w:t> </w:t>
      </w:r>
      <w:r>
        <w:rPr>
          <w:i/>
          <w:sz w:val="22"/>
        </w:rPr>
        <w:t>is</w:t>
      </w:r>
      <w:r>
        <w:rPr>
          <w:i/>
          <w:spacing w:val="-3"/>
          <w:sz w:val="22"/>
        </w:rPr>
        <w:t> </w:t>
      </w:r>
      <w:r>
        <w:rPr>
          <w:i/>
          <w:sz w:val="22"/>
        </w:rPr>
        <w:t>that</w:t>
      </w:r>
      <w:r>
        <w:rPr>
          <w:i/>
          <w:spacing w:val="-4"/>
          <w:sz w:val="22"/>
        </w:rPr>
        <w:t> </w:t>
      </w:r>
      <w:r>
        <w:rPr>
          <w:i/>
          <w:sz w:val="22"/>
        </w:rPr>
        <w:t>the</w:t>
      </w:r>
      <w:r>
        <w:rPr>
          <w:i/>
          <w:spacing w:val="-1"/>
          <w:sz w:val="22"/>
        </w:rPr>
        <w:t> </w:t>
      </w:r>
      <w:r>
        <w:rPr>
          <w:i/>
          <w:sz w:val="22"/>
        </w:rPr>
        <w:t>capex</w:t>
      </w:r>
      <w:r>
        <w:rPr>
          <w:i/>
          <w:spacing w:val="-3"/>
          <w:sz w:val="22"/>
        </w:rPr>
        <w:t> </w:t>
      </w:r>
      <w:r>
        <w:rPr>
          <w:i/>
          <w:sz w:val="22"/>
        </w:rPr>
        <w:t>and</w:t>
      </w:r>
      <w:r>
        <w:rPr>
          <w:i/>
          <w:spacing w:val="-1"/>
          <w:sz w:val="22"/>
        </w:rPr>
        <w:t> </w:t>
      </w:r>
      <w:r>
        <w:rPr>
          <w:i/>
          <w:sz w:val="22"/>
        </w:rPr>
        <w:t>opex</w:t>
      </w:r>
      <w:r>
        <w:rPr>
          <w:i/>
          <w:spacing w:val="-3"/>
          <w:sz w:val="22"/>
        </w:rPr>
        <w:t> </w:t>
      </w:r>
      <w:r>
        <w:rPr>
          <w:i/>
          <w:sz w:val="22"/>
        </w:rPr>
        <w:t>forecasts</w:t>
      </w:r>
      <w:r>
        <w:rPr>
          <w:i/>
          <w:spacing w:val="-5"/>
          <w:sz w:val="22"/>
        </w:rPr>
        <w:t> </w:t>
      </w:r>
      <w:r>
        <w:rPr>
          <w:i/>
          <w:sz w:val="22"/>
        </w:rPr>
        <w:t>must</w:t>
      </w:r>
      <w:r>
        <w:rPr>
          <w:i/>
          <w:spacing w:val="-2"/>
          <w:sz w:val="22"/>
        </w:rPr>
        <w:t> </w:t>
      </w:r>
      <w:r>
        <w:rPr>
          <w:i/>
          <w:sz w:val="22"/>
        </w:rPr>
        <w:t>be</w:t>
      </w:r>
      <w:r>
        <w:rPr>
          <w:i/>
          <w:spacing w:val="-1"/>
          <w:sz w:val="22"/>
        </w:rPr>
        <w:t> </w:t>
      </w:r>
      <w:r>
        <w:rPr>
          <w:i/>
          <w:sz w:val="22"/>
        </w:rPr>
        <w:t>sufficient</w:t>
      </w:r>
      <w:r>
        <w:rPr>
          <w:i/>
          <w:spacing w:val="-2"/>
          <w:sz w:val="22"/>
        </w:rPr>
        <w:t> </w:t>
      </w:r>
      <w:r>
        <w:rPr>
          <w:i/>
          <w:sz w:val="22"/>
        </w:rPr>
        <w:t>to enable the network operators to meet their regulatory obligations, including safety obligations.” </w:t>
      </w:r>
      <w:r>
        <w:rPr>
          <w:sz w:val="22"/>
        </w:rPr>
        <w:t>(AER, 2017a, p. 3)</w:t>
      </w:r>
    </w:p>
    <w:p>
      <w:pPr>
        <w:pStyle w:val="BodyText"/>
        <w:spacing w:before="9"/>
        <w:rPr>
          <w:sz w:val="20"/>
        </w:rPr>
      </w:pPr>
    </w:p>
    <w:p>
      <w:pPr>
        <w:pStyle w:val="BodyText"/>
        <w:spacing w:line="288" w:lineRule="auto"/>
        <w:ind w:left="232" w:right="374"/>
      </w:pPr>
      <w:r>
        <w:rPr/>
        <w:t>The</w:t>
      </w:r>
      <w:r>
        <w:rPr>
          <w:spacing w:val="-4"/>
        </w:rPr>
        <w:t> </w:t>
      </w:r>
      <w:r>
        <w:rPr/>
        <w:t>existence</w:t>
      </w:r>
      <w:r>
        <w:rPr>
          <w:spacing w:val="-2"/>
        </w:rPr>
        <w:t> </w:t>
      </w:r>
      <w:r>
        <w:rPr/>
        <w:t>of differing</w:t>
      </w:r>
      <w:r>
        <w:rPr>
          <w:spacing w:val="-2"/>
        </w:rPr>
        <w:t> </w:t>
      </w:r>
      <w:r>
        <w:rPr/>
        <w:t>views around</w:t>
      </w:r>
      <w:r>
        <w:rPr>
          <w:spacing w:val="-2"/>
        </w:rPr>
        <w:t> </w:t>
      </w:r>
      <w:r>
        <w:rPr/>
        <w:t>how</w:t>
      </w:r>
      <w:r>
        <w:rPr>
          <w:spacing w:val="-5"/>
        </w:rPr>
        <w:t> </w:t>
      </w:r>
      <w:r>
        <w:rPr/>
        <w:t>adequately</w:t>
      </w:r>
      <w:r>
        <w:rPr>
          <w:spacing w:val="-4"/>
        </w:rPr>
        <w:t> </w:t>
      </w:r>
      <w:r>
        <w:rPr/>
        <w:t>the</w:t>
      </w:r>
      <w:r>
        <w:rPr>
          <w:spacing w:val="-2"/>
        </w:rPr>
        <w:t> </w:t>
      </w:r>
      <w:r>
        <w:rPr/>
        <w:t>AER</w:t>
      </w:r>
      <w:r>
        <w:rPr>
          <w:spacing w:val="-5"/>
        </w:rPr>
        <w:t> </w:t>
      </w:r>
      <w:r>
        <w:rPr/>
        <w:t>takes</w:t>
      </w:r>
      <w:r>
        <w:rPr>
          <w:spacing w:val="-2"/>
        </w:rPr>
        <w:t> </w:t>
      </w:r>
      <w:r>
        <w:rPr/>
        <w:t>account</w:t>
      </w:r>
      <w:r>
        <w:rPr>
          <w:spacing w:val="-1"/>
        </w:rPr>
        <w:t> </w:t>
      </w:r>
      <w:r>
        <w:rPr/>
        <w:t>of</w:t>
      </w:r>
      <w:r>
        <w:rPr>
          <w:spacing w:val="-3"/>
        </w:rPr>
        <w:t> </w:t>
      </w:r>
      <w:r>
        <w:rPr/>
        <w:t>safety</w:t>
      </w:r>
      <w:r>
        <w:rPr>
          <w:spacing w:val="-4"/>
        </w:rPr>
        <w:t> </w:t>
      </w:r>
      <w:r>
        <w:rPr/>
        <w:t>may</w:t>
      </w:r>
      <w:r>
        <w:rPr>
          <w:spacing w:val="-4"/>
        </w:rPr>
        <w:t> </w:t>
      </w:r>
      <w:r>
        <w:rPr/>
        <w:t>be partly explained by differing interpretations of how the economic regulatory processes work in practice. In particular, if network businesses, working with ESV as the safety regulator, do not adequately make the case for specific investments on safety grounds, or if the AER fails to adequately take account of safety considerations that have been presented to it, there is a potential that desirable safety initiatives may not be delivered fully.</w:t>
      </w:r>
    </w:p>
    <w:p>
      <w:pPr>
        <w:pStyle w:val="BodyText"/>
        <w:spacing w:before="11"/>
        <w:rPr>
          <w:sz w:val="20"/>
        </w:rPr>
      </w:pPr>
    </w:p>
    <w:p>
      <w:pPr>
        <w:pStyle w:val="BodyText"/>
        <w:spacing w:line="288" w:lineRule="auto"/>
        <w:ind w:left="232" w:right="408"/>
      </w:pPr>
      <w:r>
        <w:rPr/>
        <w:t>This underscores the importance of the Review's message in the previous section – that the relationship between ESV and AER is critical. While final economic regulatory decision making should rest with the AER, it must rely on ESV as a trusted expert source of advice. If the AER proposes a decision that may compromise safety outcomes, including in the long term, it is incumbent</w:t>
      </w:r>
      <w:r>
        <w:rPr>
          <w:spacing w:val="-2"/>
        </w:rPr>
        <w:t> </w:t>
      </w:r>
      <w:r>
        <w:rPr/>
        <w:t>on</w:t>
      </w:r>
      <w:r>
        <w:rPr>
          <w:spacing w:val="-1"/>
        </w:rPr>
        <w:t> </w:t>
      </w:r>
      <w:r>
        <w:rPr/>
        <w:t>ESV</w:t>
      </w:r>
      <w:r>
        <w:rPr>
          <w:spacing w:val="-3"/>
        </w:rPr>
        <w:t> </w:t>
      </w:r>
      <w:r>
        <w:rPr/>
        <w:t>to</w:t>
      </w:r>
      <w:r>
        <w:rPr>
          <w:spacing w:val="-1"/>
        </w:rPr>
        <w:t> </w:t>
      </w:r>
      <w:r>
        <w:rPr/>
        <w:t>draw</w:t>
      </w:r>
      <w:r>
        <w:rPr>
          <w:spacing w:val="-4"/>
        </w:rPr>
        <w:t> </w:t>
      </w:r>
      <w:r>
        <w:rPr/>
        <w:t>the</w:t>
      </w:r>
      <w:r>
        <w:rPr>
          <w:spacing w:val="-1"/>
        </w:rPr>
        <w:t> </w:t>
      </w:r>
      <w:r>
        <w:rPr/>
        <w:t>AER's</w:t>
      </w:r>
      <w:r>
        <w:rPr>
          <w:spacing w:val="-1"/>
        </w:rPr>
        <w:t> </w:t>
      </w:r>
      <w:r>
        <w:rPr/>
        <w:t>attention</w:t>
      </w:r>
      <w:r>
        <w:rPr>
          <w:spacing w:val="-1"/>
        </w:rPr>
        <w:t> </w:t>
      </w:r>
      <w:r>
        <w:rPr/>
        <w:t>to</w:t>
      </w:r>
      <w:r>
        <w:rPr>
          <w:spacing w:val="-5"/>
        </w:rPr>
        <w:t> </w:t>
      </w:r>
      <w:r>
        <w:rPr/>
        <w:t>the</w:t>
      </w:r>
      <w:r>
        <w:rPr>
          <w:spacing w:val="-3"/>
        </w:rPr>
        <w:t> </w:t>
      </w:r>
      <w:r>
        <w:rPr/>
        <w:t>risks.</w:t>
      </w:r>
      <w:r>
        <w:rPr>
          <w:spacing w:val="-2"/>
        </w:rPr>
        <w:t> </w:t>
      </w:r>
      <w:r>
        <w:rPr/>
        <w:t>ESV</w:t>
      </w:r>
      <w:r>
        <w:rPr>
          <w:spacing w:val="-1"/>
        </w:rPr>
        <w:t> </w:t>
      </w:r>
      <w:r>
        <w:rPr/>
        <w:t>must</w:t>
      </w:r>
      <w:r>
        <w:rPr>
          <w:spacing w:val="-2"/>
        </w:rPr>
        <w:t> </w:t>
      </w:r>
      <w:r>
        <w:rPr/>
        <w:t>also</w:t>
      </w:r>
      <w:r>
        <w:rPr>
          <w:spacing w:val="-3"/>
        </w:rPr>
        <w:t> </w:t>
      </w:r>
      <w:r>
        <w:rPr/>
        <w:t>be</w:t>
      </w:r>
      <w:r>
        <w:rPr>
          <w:spacing w:val="-1"/>
        </w:rPr>
        <w:t> </w:t>
      </w:r>
      <w:r>
        <w:rPr/>
        <w:t>mindful</w:t>
      </w:r>
      <w:r>
        <w:rPr>
          <w:spacing w:val="-4"/>
        </w:rPr>
        <w:t> </w:t>
      </w:r>
      <w:r>
        <w:rPr/>
        <w:t>of the</w:t>
      </w:r>
      <w:r>
        <w:rPr>
          <w:spacing w:val="-3"/>
        </w:rPr>
        <w:t> </w:t>
      </w:r>
      <w:r>
        <w:rPr/>
        <w:t>costs of safety initiatives and assist the AER when required to understand what is both technically and economically feasible.</w:t>
      </w:r>
    </w:p>
    <w:p>
      <w:pPr>
        <w:pStyle w:val="BodyText"/>
        <w:spacing w:before="11"/>
        <w:rPr>
          <w:sz w:val="20"/>
        </w:rPr>
      </w:pPr>
    </w:p>
    <w:p>
      <w:pPr>
        <w:pStyle w:val="BodyText"/>
        <w:spacing w:line="288" w:lineRule="auto"/>
        <w:ind w:left="232"/>
      </w:pPr>
      <w:r>
        <w:rPr/>
        <w:t>As</w:t>
      </w:r>
      <w:r>
        <w:rPr>
          <w:spacing w:val="-1"/>
        </w:rPr>
        <w:t> </w:t>
      </w:r>
      <w:r>
        <w:rPr/>
        <w:t>noted</w:t>
      </w:r>
      <w:r>
        <w:rPr>
          <w:spacing w:val="-4"/>
        </w:rPr>
        <w:t> </w:t>
      </w:r>
      <w:r>
        <w:rPr/>
        <w:t>earlier,</w:t>
      </w:r>
      <w:r>
        <w:rPr>
          <w:spacing w:val="-2"/>
        </w:rPr>
        <w:t> </w:t>
      </w:r>
      <w:r>
        <w:rPr/>
        <w:t>a</w:t>
      </w:r>
      <w:r>
        <w:rPr>
          <w:spacing w:val="-4"/>
        </w:rPr>
        <w:t> </w:t>
      </w:r>
      <w:r>
        <w:rPr/>
        <w:t>particular</w:t>
      </w:r>
      <w:r>
        <w:rPr>
          <w:spacing w:val="-1"/>
        </w:rPr>
        <w:t> </w:t>
      </w:r>
      <w:r>
        <w:rPr/>
        <w:t>concern</w:t>
      </w:r>
      <w:r>
        <w:rPr>
          <w:spacing w:val="-2"/>
        </w:rPr>
        <w:t> </w:t>
      </w:r>
      <w:r>
        <w:rPr/>
        <w:t>with</w:t>
      </w:r>
      <w:r>
        <w:rPr>
          <w:spacing w:val="-2"/>
        </w:rPr>
        <w:t> </w:t>
      </w:r>
      <w:r>
        <w:rPr/>
        <w:t>current</w:t>
      </w:r>
      <w:r>
        <w:rPr>
          <w:spacing w:val="-3"/>
        </w:rPr>
        <w:t> </w:t>
      </w:r>
      <w:r>
        <w:rPr/>
        <w:t>processes</w:t>
      </w:r>
      <w:r>
        <w:rPr>
          <w:spacing w:val="-2"/>
        </w:rPr>
        <w:t> </w:t>
      </w:r>
      <w:r>
        <w:rPr/>
        <w:t>is</w:t>
      </w:r>
      <w:r>
        <w:rPr>
          <w:spacing w:val="-4"/>
        </w:rPr>
        <w:t> </w:t>
      </w:r>
      <w:r>
        <w:rPr/>
        <w:t>that safety</w:t>
      </w:r>
      <w:r>
        <w:rPr>
          <w:spacing w:val="-5"/>
        </w:rPr>
        <w:t> </w:t>
      </w:r>
      <w:r>
        <w:rPr/>
        <w:t>initiatives</w:t>
      </w:r>
      <w:r>
        <w:rPr>
          <w:spacing w:val="-2"/>
        </w:rPr>
        <w:t> </w:t>
      </w:r>
      <w:r>
        <w:rPr/>
        <w:t>that have</w:t>
      </w:r>
      <w:r>
        <w:rPr>
          <w:spacing w:val="-2"/>
        </w:rPr>
        <w:t> </w:t>
      </w:r>
      <w:r>
        <w:rPr/>
        <w:t>been factored into revenue decisions by the AER are not delivered in a timely fashion, and perhaps not delivered at all.</w:t>
      </w:r>
    </w:p>
    <w:p>
      <w:pPr>
        <w:pStyle w:val="BodyText"/>
        <w:spacing w:before="10"/>
        <w:rPr>
          <w:sz w:val="20"/>
        </w:rPr>
      </w:pPr>
    </w:p>
    <w:p>
      <w:pPr>
        <w:pStyle w:val="BodyText"/>
        <w:spacing w:line="288" w:lineRule="auto"/>
        <w:ind w:left="232" w:right="286"/>
      </w:pPr>
      <w:r>
        <w:rPr/>
        <w:t>Unless</w:t>
      </w:r>
      <w:r>
        <w:rPr>
          <w:spacing w:val="-2"/>
        </w:rPr>
        <w:t> </w:t>
      </w:r>
      <w:r>
        <w:rPr/>
        <w:t>incorporated</w:t>
      </w:r>
      <w:r>
        <w:rPr>
          <w:spacing w:val="-2"/>
        </w:rPr>
        <w:t> </w:t>
      </w:r>
      <w:r>
        <w:rPr/>
        <w:t>into</w:t>
      </w:r>
      <w:r>
        <w:rPr>
          <w:spacing w:val="-6"/>
        </w:rPr>
        <w:t> </w:t>
      </w:r>
      <w:r>
        <w:rPr/>
        <w:t>safety</w:t>
      </w:r>
      <w:r>
        <w:rPr>
          <w:spacing w:val="-3"/>
        </w:rPr>
        <w:t> </w:t>
      </w:r>
      <w:r>
        <w:rPr/>
        <w:t>case</w:t>
      </w:r>
      <w:r>
        <w:rPr>
          <w:spacing w:val="-4"/>
        </w:rPr>
        <w:t> </w:t>
      </w:r>
      <w:r>
        <w:rPr/>
        <w:t>documents,</w:t>
      </w:r>
      <w:r>
        <w:rPr>
          <w:spacing w:val="-3"/>
        </w:rPr>
        <w:t> </w:t>
      </w:r>
      <w:r>
        <w:rPr/>
        <w:t>with</w:t>
      </w:r>
      <w:r>
        <w:rPr>
          <w:spacing w:val="-2"/>
        </w:rPr>
        <w:t> </w:t>
      </w:r>
      <w:r>
        <w:rPr/>
        <w:t>progress</w:t>
      </w:r>
      <w:r>
        <w:rPr>
          <w:spacing w:val="-4"/>
        </w:rPr>
        <w:t> </w:t>
      </w:r>
      <w:r>
        <w:rPr/>
        <w:t>monitored</w:t>
      </w:r>
      <w:r>
        <w:rPr>
          <w:spacing w:val="-4"/>
        </w:rPr>
        <w:t> </w:t>
      </w:r>
      <w:r>
        <w:rPr/>
        <w:t>by</w:t>
      </w:r>
      <w:r>
        <w:rPr>
          <w:spacing w:val="-4"/>
        </w:rPr>
        <w:t> </w:t>
      </w:r>
      <w:r>
        <w:rPr/>
        <w:t>ESV, there</w:t>
      </w:r>
      <w:r>
        <w:rPr>
          <w:spacing w:val="-4"/>
        </w:rPr>
        <w:t> </w:t>
      </w:r>
      <w:r>
        <w:rPr/>
        <w:t>is</w:t>
      </w:r>
      <w:r>
        <w:rPr>
          <w:spacing w:val="-1"/>
        </w:rPr>
        <w:t> </w:t>
      </w:r>
      <w:r>
        <w:rPr/>
        <w:t>no</w:t>
      </w:r>
      <w:r>
        <w:rPr>
          <w:spacing w:val="-4"/>
        </w:rPr>
        <w:t> </w:t>
      </w:r>
      <w:r>
        <w:rPr/>
        <w:t>legal requirement for the network businesses to complete the projects</w:t>
      </w:r>
      <w:r>
        <w:rPr>
          <w:spacing w:val="-2"/>
        </w:rPr>
        <w:t> </w:t>
      </w:r>
      <w:r>
        <w:rPr/>
        <w:t>funded through the AER process. Nor is there any legal requirement for the businesses to report on the outcomes of their revenue determinations (that is, what work they have completed in the five-year timeframe).</w:t>
      </w:r>
    </w:p>
    <w:p>
      <w:pPr>
        <w:pStyle w:val="BodyText"/>
        <w:spacing w:before="10"/>
        <w:rPr>
          <w:sz w:val="20"/>
        </w:rPr>
      </w:pPr>
    </w:p>
    <w:p>
      <w:pPr>
        <w:pStyle w:val="BodyText"/>
        <w:spacing w:line="288" w:lineRule="auto"/>
        <w:ind w:left="232" w:right="374"/>
      </w:pPr>
      <w:r>
        <w:rPr/>
        <w:t>A lack of reporting on whether safety-related activities have been undertaken creates a situation where</w:t>
      </w:r>
      <w:r>
        <w:rPr>
          <w:spacing w:val="-2"/>
        </w:rPr>
        <w:t> </w:t>
      </w:r>
      <w:r>
        <w:rPr/>
        <w:t>network businesses</w:t>
      </w:r>
      <w:r>
        <w:rPr>
          <w:spacing w:val="-2"/>
        </w:rPr>
        <w:t> </w:t>
      </w:r>
      <w:r>
        <w:rPr/>
        <w:t>can</w:t>
      </w:r>
      <w:r>
        <w:rPr>
          <w:spacing w:val="-4"/>
        </w:rPr>
        <w:t> </w:t>
      </w:r>
      <w:r>
        <w:rPr/>
        <w:t>submit</w:t>
      </w:r>
      <w:r>
        <w:rPr>
          <w:spacing w:val="-3"/>
        </w:rPr>
        <w:t> </w:t>
      </w:r>
      <w:r>
        <w:rPr/>
        <w:t>a</w:t>
      </w:r>
      <w:r>
        <w:rPr>
          <w:spacing w:val="-4"/>
        </w:rPr>
        <w:t> </w:t>
      </w:r>
      <w:r>
        <w:rPr/>
        <w:t>revenue</w:t>
      </w:r>
      <w:r>
        <w:rPr>
          <w:spacing w:val="-4"/>
        </w:rPr>
        <w:t> </w:t>
      </w:r>
      <w:r>
        <w:rPr/>
        <w:t>forecast</w:t>
      </w:r>
      <w:r>
        <w:rPr>
          <w:spacing w:val="-3"/>
        </w:rPr>
        <w:t> </w:t>
      </w:r>
      <w:r>
        <w:rPr/>
        <w:t>to</w:t>
      </w:r>
      <w:r>
        <w:rPr>
          <w:spacing w:val="-2"/>
        </w:rPr>
        <w:t> </w:t>
      </w:r>
      <w:r>
        <w:rPr/>
        <w:t>undertake</w:t>
      </w:r>
      <w:r>
        <w:rPr>
          <w:spacing w:val="-4"/>
        </w:rPr>
        <w:t> </w:t>
      </w:r>
      <w:r>
        <w:rPr/>
        <w:t>a</w:t>
      </w:r>
      <w:r>
        <w:rPr>
          <w:spacing w:val="-4"/>
        </w:rPr>
        <w:t> </w:t>
      </w:r>
      <w:r>
        <w:rPr/>
        <w:t>series</w:t>
      </w:r>
      <w:r>
        <w:rPr>
          <w:spacing w:val="-1"/>
        </w:rPr>
        <w:t> </w:t>
      </w:r>
      <w:r>
        <w:rPr/>
        <w:t>of activities,</w:t>
      </w:r>
      <w:r>
        <w:rPr>
          <w:spacing w:val="-3"/>
        </w:rPr>
        <w:t> </w:t>
      </w:r>
      <w:r>
        <w:rPr/>
        <w:t>fail</w:t>
      </w:r>
      <w:r>
        <w:rPr>
          <w:spacing w:val="-2"/>
        </w:rPr>
        <w:t> </w:t>
      </w:r>
      <w:r>
        <w:rPr/>
        <w:t>to undertake these activities, but are not required to provide any justification of why an activity was not undertaken or what the revenues were spent on instead.</w:t>
      </w:r>
    </w:p>
    <w:p>
      <w:pPr>
        <w:spacing w:after="0" w:line="288" w:lineRule="auto"/>
        <w:sectPr>
          <w:pgSz w:w="11910" w:h="16850"/>
          <w:pgMar w:header="220" w:footer="678" w:top="420" w:bottom="860" w:left="900" w:right="840"/>
        </w:sectPr>
      </w:pPr>
    </w:p>
    <w:p>
      <w:pPr>
        <w:pStyle w:val="BodyText"/>
        <w:rPr>
          <w:sz w:val="20"/>
        </w:rPr>
      </w:pPr>
    </w:p>
    <w:p>
      <w:pPr>
        <w:pStyle w:val="BodyText"/>
        <w:spacing w:before="2"/>
        <w:rPr>
          <w:sz w:val="19"/>
        </w:rPr>
      </w:pPr>
    </w:p>
    <w:p>
      <w:pPr>
        <w:pStyle w:val="BodyText"/>
        <w:spacing w:before="94"/>
        <w:ind w:left="232"/>
      </w:pPr>
      <w:r>
        <w:rPr/>
        <w:t>The</w:t>
      </w:r>
      <w:r>
        <w:rPr>
          <w:spacing w:val="-7"/>
        </w:rPr>
        <w:t> </w:t>
      </w:r>
      <w:r>
        <w:rPr/>
        <w:t>Electrical</w:t>
      </w:r>
      <w:r>
        <w:rPr>
          <w:spacing w:val="-7"/>
        </w:rPr>
        <w:t> </w:t>
      </w:r>
      <w:r>
        <w:rPr/>
        <w:t>Trades</w:t>
      </w:r>
      <w:r>
        <w:rPr>
          <w:spacing w:val="-3"/>
        </w:rPr>
        <w:t> </w:t>
      </w:r>
      <w:r>
        <w:rPr/>
        <w:t>Union</w:t>
      </w:r>
      <w:r>
        <w:rPr>
          <w:spacing w:val="-4"/>
        </w:rPr>
        <w:t> </w:t>
      </w:r>
      <w:r>
        <w:rPr/>
        <w:t>has</w:t>
      </w:r>
      <w:r>
        <w:rPr>
          <w:spacing w:val="-3"/>
        </w:rPr>
        <w:t> </w:t>
      </w:r>
      <w:r>
        <w:rPr>
          <w:spacing w:val="-2"/>
        </w:rPr>
        <w:t>noted:</w:t>
      </w:r>
    </w:p>
    <w:p>
      <w:pPr>
        <w:pStyle w:val="BodyText"/>
        <w:spacing w:before="2"/>
        <w:rPr>
          <w:sz w:val="25"/>
        </w:rPr>
      </w:pPr>
    </w:p>
    <w:p>
      <w:pPr>
        <w:spacing w:line="288" w:lineRule="auto" w:before="0"/>
        <w:ind w:left="799" w:right="868" w:firstLine="0"/>
        <w:jc w:val="left"/>
        <w:rPr>
          <w:sz w:val="22"/>
        </w:rPr>
      </w:pPr>
      <w:r>
        <w:rPr>
          <w:i/>
          <w:sz w:val="22"/>
        </w:rPr>
        <w:t>“… once the AER has approved Distributors Forecast expenditure, it does not monitor or validate that the Distribution Businesses expend their revenue as forecast. It is entirely</w:t>
      </w:r>
      <w:r>
        <w:rPr>
          <w:i/>
          <w:spacing w:val="-1"/>
          <w:sz w:val="22"/>
        </w:rPr>
        <w:t> </w:t>
      </w:r>
      <w:r>
        <w:rPr>
          <w:i/>
          <w:sz w:val="22"/>
        </w:rPr>
        <w:t>up</w:t>
      </w:r>
      <w:r>
        <w:rPr>
          <w:i/>
          <w:spacing w:val="-4"/>
          <w:sz w:val="22"/>
        </w:rPr>
        <w:t> </w:t>
      </w:r>
      <w:r>
        <w:rPr>
          <w:i/>
          <w:sz w:val="22"/>
        </w:rPr>
        <w:t>to</w:t>
      </w:r>
      <w:r>
        <w:rPr>
          <w:i/>
          <w:spacing w:val="-4"/>
          <w:sz w:val="22"/>
        </w:rPr>
        <w:t> </w:t>
      </w:r>
      <w:r>
        <w:rPr>
          <w:i/>
          <w:sz w:val="22"/>
        </w:rPr>
        <w:t>the</w:t>
      </w:r>
      <w:r>
        <w:rPr>
          <w:i/>
          <w:spacing w:val="-4"/>
          <w:sz w:val="22"/>
        </w:rPr>
        <w:t> </w:t>
      </w:r>
      <w:r>
        <w:rPr>
          <w:i/>
          <w:sz w:val="22"/>
        </w:rPr>
        <w:t>Distribution</w:t>
      </w:r>
      <w:r>
        <w:rPr>
          <w:i/>
          <w:spacing w:val="-2"/>
          <w:sz w:val="22"/>
        </w:rPr>
        <w:t> </w:t>
      </w:r>
      <w:r>
        <w:rPr>
          <w:i/>
          <w:sz w:val="22"/>
        </w:rPr>
        <w:t>Business</w:t>
      </w:r>
      <w:r>
        <w:rPr>
          <w:i/>
          <w:spacing w:val="-2"/>
          <w:sz w:val="22"/>
        </w:rPr>
        <w:t> </w:t>
      </w:r>
      <w:r>
        <w:rPr>
          <w:i/>
          <w:sz w:val="22"/>
        </w:rPr>
        <w:t>how</w:t>
      </w:r>
      <w:r>
        <w:rPr>
          <w:i/>
          <w:spacing w:val="-2"/>
          <w:sz w:val="22"/>
        </w:rPr>
        <w:t> </w:t>
      </w:r>
      <w:r>
        <w:rPr>
          <w:i/>
          <w:sz w:val="22"/>
        </w:rPr>
        <w:t>and</w:t>
      </w:r>
      <w:r>
        <w:rPr>
          <w:i/>
          <w:spacing w:val="-4"/>
          <w:sz w:val="22"/>
        </w:rPr>
        <w:t> </w:t>
      </w:r>
      <w:r>
        <w:rPr>
          <w:i/>
          <w:sz w:val="22"/>
        </w:rPr>
        <w:t>where</w:t>
      </w:r>
      <w:r>
        <w:rPr>
          <w:i/>
          <w:spacing w:val="-2"/>
          <w:sz w:val="22"/>
        </w:rPr>
        <w:t> </w:t>
      </w:r>
      <w:r>
        <w:rPr>
          <w:i/>
          <w:sz w:val="22"/>
        </w:rPr>
        <w:t>it</w:t>
      </w:r>
      <w:r>
        <w:rPr>
          <w:i/>
          <w:spacing w:val="-3"/>
          <w:sz w:val="22"/>
        </w:rPr>
        <w:t> </w:t>
      </w:r>
      <w:r>
        <w:rPr>
          <w:i/>
          <w:sz w:val="22"/>
        </w:rPr>
        <w:t>expends</w:t>
      </w:r>
      <w:r>
        <w:rPr>
          <w:i/>
          <w:spacing w:val="-4"/>
          <w:sz w:val="22"/>
        </w:rPr>
        <w:t> </w:t>
      </w:r>
      <w:r>
        <w:rPr>
          <w:i/>
          <w:sz w:val="22"/>
        </w:rPr>
        <w:t>the</w:t>
      </w:r>
      <w:r>
        <w:rPr>
          <w:i/>
          <w:spacing w:val="-4"/>
          <w:sz w:val="22"/>
        </w:rPr>
        <w:t> </w:t>
      </w:r>
      <w:r>
        <w:rPr>
          <w:i/>
          <w:sz w:val="22"/>
        </w:rPr>
        <w:t>revenue</w:t>
      </w:r>
      <w:r>
        <w:rPr>
          <w:i/>
          <w:spacing w:val="-2"/>
          <w:sz w:val="22"/>
        </w:rPr>
        <w:t> </w:t>
      </w:r>
      <w:r>
        <w:rPr>
          <w:i/>
          <w:sz w:val="22"/>
        </w:rPr>
        <w:t>it’s</w:t>
      </w:r>
      <w:r>
        <w:rPr>
          <w:i/>
          <w:spacing w:val="-1"/>
          <w:sz w:val="22"/>
        </w:rPr>
        <w:t> </w:t>
      </w:r>
      <w:r>
        <w:rPr>
          <w:i/>
          <w:sz w:val="22"/>
        </w:rPr>
        <w:t>been authorised by the AER to charge.” </w:t>
      </w:r>
      <w:r>
        <w:rPr>
          <w:sz w:val="22"/>
        </w:rPr>
        <w:t>(Electrical Trades Union, 2017, p. 60)</w:t>
      </w:r>
    </w:p>
    <w:p>
      <w:pPr>
        <w:pStyle w:val="BodyText"/>
        <w:spacing w:before="10"/>
        <w:rPr>
          <w:sz w:val="20"/>
        </w:rPr>
      </w:pPr>
    </w:p>
    <w:p>
      <w:pPr>
        <w:pStyle w:val="BodyText"/>
        <w:spacing w:line="288" w:lineRule="auto" w:before="1"/>
        <w:ind w:left="232" w:right="320"/>
      </w:pPr>
      <w:r>
        <w:rPr/>
        <w:t>There are examples of network businesses submitting the same uncompleted project in the next revenue determination proposal, highlighting a continuing need for such a network enhancement, while failing to provide a justification for why the project wasn’t completed in the original five-year timeframe. While the Review understands that there may be valid reasons why a project was not completed,</w:t>
      </w:r>
      <w:r>
        <w:rPr>
          <w:spacing w:val="-3"/>
        </w:rPr>
        <w:t> </w:t>
      </w:r>
      <w:r>
        <w:rPr/>
        <w:t>the</w:t>
      </w:r>
      <w:r>
        <w:rPr>
          <w:spacing w:val="-4"/>
        </w:rPr>
        <w:t> </w:t>
      </w:r>
      <w:r>
        <w:rPr/>
        <w:t>reasons</w:t>
      </w:r>
      <w:r>
        <w:rPr>
          <w:spacing w:val="-6"/>
        </w:rPr>
        <w:t> </w:t>
      </w:r>
      <w:r>
        <w:rPr/>
        <w:t>why</w:t>
      </w:r>
      <w:r>
        <w:rPr>
          <w:spacing w:val="-4"/>
        </w:rPr>
        <w:t> </w:t>
      </w:r>
      <w:r>
        <w:rPr/>
        <w:t>it was</w:t>
      </w:r>
      <w:r>
        <w:rPr>
          <w:spacing w:val="-2"/>
        </w:rPr>
        <w:t> </w:t>
      </w:r>
      <w:r>
        <w:rPr/>
        <w:t>not</w:t>
      </w:r>
      <w:r>
        <w:rPr>
          <w:spacing w:val="-1"/>
        </w:rPr>
        <w:t> </w:t>
      </w:r>
      <w:r>
        <w:rPr/>
        <w:t>completed</w:t>
      </w:r>
      <w:r>
        <w:rPr>
          <w:spacing w:val="-2"/>
        </w:rPr>
        <w:t> </w:t>
      </w:r>
      <w:r>
        <w:rPr/>
        <w:t>or</w:t>
      </w:r>
      <w:r>
        <w:rPr>
          <w:spacing w:val="-3"/>
        </w:rPr>
        <w:t> </w:t>
      </w:r>
      <w:r>
        <w:rPr/>
        <w:t>what project</w:t>
      </w:r>
      <w:r>
        <w:rPr>
          <w:spacing w:val="-3"/>
        </w:rPr>
        <w:t> </w:t>
      </w:r>
      <w:r>
        <w:rPr/>
        <w:t>the</w:t>
      </w:r>
      <w:r>
        <w:rPr>
          <w:spacing w:val="-7"/>
        </w:rPr>
        <w:t> </w:t>
      </w:r>
      <w:r>
        <w:rPr/>
        <w:t>money</w:t>
      </w:r>
      <w:r>
        <w:rPr>
          <w:spacing w:val="-4"/>
        </w:rPr>
        <w:t> </w:t>
      </w:r>
      <w:r>
        <w:rPr/>
        <w:t>was</w:t>
      </w:r>
      <w:r>
        <w:rPr>
          <w:spacing w:val="-2"/>
        </w:rPr>
        <w:t> </w:t>
      </w:r>
      <w:r>
        <w:rPr/>
        <w:t>spent</w:t>
      </w:r>
      <w:r>
        <w:rPr>
          <w:spacing w:val="-1"/>
        </w:rPr>
        <w:t> </w:t>
      </w:r>
      <w:r>
        <w:rPr/>
        <w:t>on</w:t>
      </w:r>
      <w:r>
        <w:rPr>
          <w:spacing w:val="-2"/>
        </w:rPr>
        <w:t> </w:t>
      </w:r>
      <w:r>
        <w:rPr/>
        <w:t>instead, is important to</w:t>
      </w:r>
      <w:r>
        <w:rPr>
          <w:spacing w:val="-1"/>
        </w:rPr>
        <w:t> </w:t>
      </w:r>
      <w:r>
        <w:rPr/>
        <w:t>maintain transparency</w:t>
      </w:r>
      <w:r>
        <w:rPr>
          <w:spacing w:val="-1"/>
        </w:rPr>
        <w:t> </w:t>
      </w:r>
      <w:r>
        <w:rPr/>
        <w:t>and</w:t>
      </w:r>
      <w:r>
        <w:rPr>
          <w:spacing w:val="-1"/>
        </w:rPr>
        <w:t> </w:t>
      </w:r>
      <w:r>
        <w:rPr/>
        <w:t>accountability. This</w:t>
      </w:r>
      <w:r>
        <w:rPr>
          <w:spacing w:val="-1"/>
        </w:rPr>
        <w:t> </w:t>
      </w:r>
      <w:r>
        <w:rPr/>
        <w:t>information</w:t>
      </w:r>
      <w:r>
        <w:rPr>
          <w:spacing w:val="-3"/>
        </w:rPr>
        <w:t> </w:t>
      </w:r>
      <w:r>
        <w:rPr/>
        <w:t>can be incorporated into the updated safety cases.</w:t>
      </w:r>
    </w:p>
    <w:p>
      <w:pPr>
        <w:pStyle w:val="BodyText"/>
        <w:rPr>
          <w:sz w:val="21"/>
        </w:rPr>
      </w:pPr>
    </w:p>
    <w:p>
      <w:pPr>
        <w:pStyle w:val="BodyText"/>
        <w:spacing w:line="288" w:lineRule="auto"/>
        <w:ind w:left="232" w:right="320"/>
      </w:pPr>
      <w:r>
        <w:rPr/>
        <w:t>AEMO identifies an</w:t>
      </w:r>
      <w:r>
        <w:rPr>
          <w:spacing w:val="-1"/>
        </w:rPr>
        <w:t> </w:t>
      </w:r>
      <w:r>
        <w:rPr/>
        <w:t>example of the</w:t>
      </w:r>
      <w:r>
        <w:rPr>
          <w:spacing w:val="-6"/>
        </w:rPr>
        <w:t> </w:t>
      </w:r>
      <w:r>
        <w:rPr/>
        <w:t>Warragul</w:t>
      </w:r>
      <w:r>
        <w:rPr>
          <w:spacing w:val="-2"/>
        </w:rPr>
        <w:t> </w:t>
      </w:r>
      <w:r>
        <w:rPr/>
        <w:t>Looping Project where</w:t>
      </w:r>
      <w:r>
        <w:rPr>
          <w:spacing w:val="-1"/>
        </w:rPr>
        <w:t> </w:t>
      </w:r>
      <w:r>
        <w:rPr/>
        <w:t>funding was received by</w:t>
      </w:r>
      <w:r>
        <w:rPr>
          <w:spacing w:val="-1"/>
        </w:rPr>
        <w:t> </w:t>
      </w:r>
      <w:r>
        <w:rPr/>
        <w:t>APA in</w:t>
      </w:r>
      <w:r>
        <w:rPr>
          <w:spacing w:val="-2"/>
        </w:rPr>
        <w:t> </w:t>
      </w:r>
      <w:r>
        <w:rPr/>
        <w:t>the</w:t>
      </w:r>
      <w:r>
        <w:rPr>
          <w:spacing w:val="-2"/>
        </w:rPr>
        <w:t> </w:t>
      </w:r>
      <w:r>
        <w:rPr/>
        <w:t>2008–12</w:t>
      </w:r>
      <w:r>
        <w:rPr>
          <w:spacing w:val="-4"/>
        </w:rPr>
        <w:t> </w:t>
      </w:r>
      <w:r>
        <w:rPr/>
        <w:t>APA</w:t>
      </w:r>
      <w:r>
        <w:rPr>
          <w:spacing w:val="-2"/>
        </w:rPr>
        <w:t> </w:t>
      </w:r>
      <w:r>
        <w:rPr/>
        <w:t>access</w:t>
      </w:r>
      <w:r>
        <w:rPr>
          <w:spacing w:val="-2"/>
        </w:rPr>
        <w:t> </w:t>
      </w:r>
      <w:r>
        <w:rPr/>
        <w:t>arrangement</w:t>
      </w:r>
      <w:r>
        <w:rPr>
          <w:spacing w:val="-3"/>
        </w:rPr>
        <w:t> </w:t>
      </w:r>
      <w:r>
        <w:rPr/>
        <w:t>and</w:t>
      </w:r>
      <w:r>
        <w:rPr>
          <w:spacing w:val="-4"/>
        </w:rPr>
        <w:t> </w:t>
      </w:r>
      <w:r>
        <w:rPr/>
        <w:t>the</w:t>
      </w:r>
      <w:r>
        <w:rPr>
          <w:spacing w:val="-4"/>
        </w:rPr>
        <w:t> </w:t>
      </w:r>
      <w:r>
        <w:rPr/>
        <w:t>2013–17</w:t>
      </w:r>
      <w:r>
        <w:rPr>
          <w:spacing w:val="-2"/>
        </w:rPr>
        <w:t> </w:t>
      </w:r>
      <w:r>
        <w:rPr/>
        <w:t>APA</w:t>
      </w:r>
      <w:r>
        <w:rPr>
          <w:spacing w:val="-2"/>
        </w:rPr>
        <w:t> </w:t>
      </w:r>
      <w:r>
        <w:rPr/>
        <w:t>access</w:t>
      </w:r>
      <w:r>
        <w:rPr>
          <w:spacing w:val="-2"/>
        </w:rPr>
        <w:t> </w:t>
      </w:r>
      <w:r>
        <w:rPr/>
        <w:t>arrangement,</w:t>
      </w:r>
      <w:r>
        <w:rPr>
          <w:spacing w:val="-3"/>
        </w:rPr>
        <w:t> </w:t>
      </w:r>
      <w:r>
        <w:rPr/>
        <w:t>but</w:t>
      </w:r>
      <w:r>
        <w:rPr>
          <w:spacing w:val="-3"/>
        </w:rPr>
        <w:t> </w:t>
      </w:r>
      <w:r>
        <w:rPr/>
        <w:t>APA</w:t>
      </w:r>
      <w:r>
        <w:rPr>
          <w:spacing w:val="-2"/>
        </w:rPr>
        <w:t> </w:t>
      </w:r>
      <w:r>
        <w:rPr/>
        <w:t>did not proceed with this investment. As a result, following the publication of the </w:t>
      </w:r>
      <w:r>
        <w:rPr>
          <w:i/>
        </w:rPr>
        <w:t>2017 Victorian Gas Planning Report </w:t>
      </w:r>
      <w:r>
        <w:rPr/>
        <w:t>in March, AEMO issued a notice of a threat to system security due to AEMO’s modelling forecasting that Warragul gas supply may be interrupted on a peak day during winter 2019 (AEMO, 2017, p. 9).</w:t>
      </w:r>
    </w:p>
    <w:p>
      <w:pPr>
        <w:pStyle w:val="BodyText"/>
        <w:spacing w:before="8"/>
        <w:rPr>
          <w:sz w:val="20"/>
        </w:rPr>
      </w:pPr>
    </w:p>
    <w:p>
      <w:pPr>
        <w:pStyle w:val="BodyText"/>
        <w:spacing w:line="288" w:lineRule="auto"/>
        <w:ind w:left="232" w:right="286"/>
      </w:pPr>
      <w:r>
        <w:rPr/>
        <w:t>As discussed earlier, unless incorporated into safety case documents, ESV has no legal avenue with which to enforce the completion of projects it deems essential for the safety of the Victorian community.</w:t>
      </w:r>
      <w:r>
        <w:rPr>
          <w:spacing w:val="-4"/>
        </w:rPr>
        <w:t> </w:t>
      </w:r>
      <w:r>
        <w:rPr/>
        <w:t>The</w:t>
      </w:r>
      <w:r>
        <w:rPr>
          <w:spacing w:val="-3"/>
        </w:rPr>
        <w:t> </w:t>
      </w:r>
      <w:r>
        <w:rPr/>
        <w:t>proposals</w:t>
      </w:r>
      <w:r>
        <w:rPr>
          <w:spacing w:val="-2"/>
        </w:rPr>
        <w:t> </w:t>
      </w:r>
      <w:r>
        <w:rPr/>
        <w:t>discussed</w:t>
      </w:r>
      <w:r>
        <w:rPr>
          <w:spacing w:val="-3"/>
        </w:rPr>
        <w:t> </w:t>
      </w:r>
      <w:r>
        <w:rPr/>
        <w:t>in</w:t>
      </w:r>
      <w:r>
        <w:rPr>
          <w:spacing w:val="-1"/>
        </w:rPr>
        <w:t> </w:t>
      </w:r>
      <w:r>
        <w:rPr>
          <w:i/>
        </w:rPr>
        <w:t>Chapter</w:t>
      </w:r>
      <w:r>
        <w:rPr>
          <w:i/>
          <w:spacing w:val="-7"/>
        </w:rPr>
        <w:t> </w:t>
      </w:r>
      <w:r>
        <w:rPr>
          <w:i/>
        </w:rPr>
        <w:t>2:</w:t>
      </w:r>
      <w:r>
        <w:rPr>
          <w:i/>
          <w:spacing w:val="-2"/>
        </w:rPr>
        <w:t> </w:t>
      </w:r>
      <w:r>
        <w:rPr>
          <w:i/>
        </w:rPr>
        <w:t>Regulatory</w:t>
      </w:r>
      <w:r>
        <w:rPr>
          <w:i/>
          <w:spacing w:val="-2"/>
        </w:rPr>
        <w:t> </w:t>
      </w:r>
      <w:r>
        <w:rPr>
          <w:i/>
        </w:rPr>
        <w:t>Approach</w:t>
      </w:r>
      <w:r>
        <w:rPr>
          <w:i/>
          <w:spacing w:val="-5"/>
        </w:rPr>
        <w:t> </w:t>
      </w:r>
      <w:r>
        <w:rPr>
          <w:i/>
        </w:rPr>
        <w:t>and</w:t>
      </w:r>
      <w:r>
        <w:rPr>
          <w:i/>
          <w:spacing w:val="-3"/>
        </w:rPr>
        <w:t> </w:t>
      </w:r>
      <w:r>
        <w:rPr>
          <w:i/>
        </w:rPr>
        <w:t>Capabilities </w:t>
      </w:r>
      <w:r>
        <w:rPr/>
        <w:t>including strengthened</w:t>
      </w:r>
      <w:r>
        <w:rPr>
          <w:spacing w:val="-2"/>
        </w:rPr>
        <w:t> </w:t>
      </w:r>
      <w:r>
        <w:rPr/>
        <w:t>compliance and enforcement and</w:t>
      </w:r>
      <w:r>
        <w:rPr>
          <w:spacing w:val="-2"/>
        </w:rPr>
        <w:t> </w:t>
      </w:r>
      <w:r>
        <w:rPr/>
        <w:t>other</w:t>
      </w:r>
      <w:r>
        <w:rPr>
          <w:spacing w:val="-1"/>
        </w:rPr>
        <w:t> </w:t>
      </w:r>
      <w:r>
        <w:rPr/>
        <w:t>measures</w:t>
      </w:r>
      <w:r>
        <w:rPr>
          <w:spacing w:val="-2"/>
        </w:rPr>
        <w:t> </w:t>
      </w:r>
      <w:r>
        <w:rPr/>
        <w:t>to</w:t>
      </w:r>
      <w:r>
        <w:rPr>
          <w:spacing w:val="-2"/>
        </w:rPr>
        <w:t> </w:t>
      </w:r>
      <w:r>
        <w:rPr/>
        <w:t>improve the</w:t>
      </w:r>
      <w:r>
        <w:rPr>
          <w:spacing w:val="-2"/>
        </w:rPr>
        <w:t> </w:t>
      </w:r>
      <w:r>
        <w:rPr/>
        <w:t>effectiveness of</w:t>
      </w:r>
      <w:r>
        <w:rPr>
          <w:spacing w:val="-1"/>
        </w:rPr>
        <w:t> </w:t>
      </w:r>
      <w:r>
        <w:rPr/>
        <w:t>the safety case regime, will assist in closing this loop.</w:t>
      </w:r>
    </w:p>
    <w:p>
      <w:pPr>
        <w:pStyle w:val="BodyText"/>
        <w:spacing w:before="11"/>
        <w:rPr>
          <w:sz w:val="18"/>
        </w:rPr>
      </w:pPr>
      <w:r>
        <w:rPr/>
        <mc:AlternateContent>
          <mc:Choice Requires="wps">
            <w:drawing>
              <wp:anchor distT="0" distB="0" distL="0" distR="0" allowOverlap="1" layoutInCell="1" locked="0" behindDoc="1" simplePos="0" relativeHeight="487635968">
                <wp:simplePos x="0" y="0"/>
                <wp:positionH relativeFrom="page">
                  <wp:posOffset>719327</wp:posOffset>
                </wp:positionH>
                <wp:positionV relativeFrom="paragraph">
                  <wp:posOffset>153676</wp:posOffset>
                </wp:positionV>
                <wp:extent cx="5896610" cy="2400935"/>
                <wp:effectExtent l="0" t="0" r="0" b="0"/>
                <wp:wrapTopAndBottom/>
                <wp:docPr id="157" name="Textbox 157"/>
                <wp:cNvGraphicFramePr>
                  <a:graphicFrameLocks/>
                </wp:cNvGraphicFramePr>
                <a:graphic>
                  <a:graphicData uri="http://schemas.microsoft.com/office/word/2010/wordprocessingShape">
                    <wps:wsp>
                      <wps:cNvPr id="157" name="Textbox 157"/>
                      <wps:cNvSpPr txBox="1"/>
                      <wps:spPr>
                        <a:xfrm>
                          <a:off x="0" y="0"/>
                          <a:ext cx="5896610" cy="2400935"/>
                        </a:xfrm>
                        <a:prstGeom prst="rect">
                          <a:avLst/>
                        </a:prstGeom>
                        <a:solidFill>
                          <a:srgbClr val="D9D9D9"/>
                        </a:solidFill>
                      </wps:spPr>
                      <wps:txbx>
                        <w:txbxContent>
                          <w:p>
                            <w:pPr>
                              <w:pStyle w:val="BodyText"/>
                              <w:spacing w:before="6"/>
                              <w:rPr>
                                <w:color w:val="000000"/>
                                <w:sz w:val="36"/>
                              </w:rPr>
                            </w:pPr>
                          </w:p>
                          <w:p>
                            <w:pPr>
                              <w:spacing w:before="0"/>
                              <w:ind w:left="141" w:right="0" w:firstLine="0"/>
                              <w:jc w:val="both"/>
                              <w:rPr>
                                <w:b/>
                                <w:color w:val="000000"/>
                                <w:sz w:val="24"/>
                              </w:rPr>
                            </w:pPr>
                            <w:r>
                              <w:rPr>
                                <w:b/>
                                <w:color w:val="000000"/>
                                <w:spacing w:val="-2"/>
                                <w:sz w:val="24"/>
                              </w:rPr>
                              <w:t>Recommendation</w:t>
                            </w:r>
                            <w:r>
                              <w:rPr>
                                <w:b/>
                                <w:color w:val="000000"/>
                                <w:sz w:val="24"/>
                              </w:rPr>
                              <w:t> </w:t>
                            </w:r>
                            <w:r>
                              <w:rPr>
                                <w:b/>
                                <w:color w:val="000000"/>
                                <w:spacing w:val="-5"/>
                                <w:sz w:val="24"/>
                              </w:rPr>
                              <w:t>22</w:t>
                            </w:r>
                          </w:p>
                          <w:p>
                            <w:pPr>
                              <w:pStyle w:val="BodyText"/>
                              <w:spacing w:line="288" w:lineRule="auto" w:before="175"/>
                              <w:ind w:left="112" w:right="694"/>
                              <w:jc w:val="both"/>
                              <w:rPr>
                                <w:color w:val="000000"/>
                              </w:rPr>
                            </w:pPr>
                            <w:r>
                              <w:rPr>
                                <w:color w:val="000000"/>
                              </w:rPr>
                              <w:t>ESV</w:t>
                            </w:r>
                            <w:r>
                              <w:rPr>
                                <w:color w:val="000000"/>
                                <w:spacing w:val="-3"/>
                              </w:rPr>
                              <w:t> </w:t>
                            </w:r>
                            <w:r>
                              <w:rPr>
                                <w:color w:val="000000"/>
                              </w:rPr>
                              <w:t>should,</w:t>
                            </w:r>
                            <w:r>
                              <w:rPr>
                                <w:color w:val="000000"/>
                                <w:spacing w:val="-2"/>
                              </w:rPr>
                              <w:t> </w:t>
                            </w:r>
                            <w:r>
                              <w:rPr>
                                <w:color w:val="000000"/>
                              </w:rPr>
                              <w:t>in</w:t>
                            </w:r>
                            <w:r>
                              <w:rPr>
                                <w:color w:val="000000"/>
                                <w:spacing w:val="-3"/>
                              </w:rPr>
                              <w:t> </w:t>
                            </w:r>
                            <w:r>
                              <w:rPr>
                                <w:color w:val="000000"/>
                              </w:rPr>
                              <w:t>consultation</w:t>
                            </w:r>
                            <w:r>
                              <w:rPr>
                                <w:color w:val="000000"/>
                                <w:spacing w:val="-3"/>
                              </w:rPr>
                              <w:t> </w:t>
                            </w:r>
                            <w:r>
                              <w:rPr>
                                <w:color w:val="000000"/>
                              </w:rPr>
                              <w:t>with</w:t>
                            </w:r>
                            <w:r>
                              <w:rPr>
                                <w:color w:val="000000"/>
                                <w:spacing w:val="-3"/>
                              </w:rPr>
                              <w:t> </w:t>
                            </w:r>
                            <w:r>
                              <w:rPr>
                                <w:color w:val="000000"/>
                              </w:rPr>
                              <w:t>regulated</w:t>
                            </w:r>
                            <w:r>
                              <w:rPr>
                                <w:color w:val="000000"/>
                                <w:spacing w:val="-3"/>
                              </w:rPr>
                              <w:t> </w:t>
                            </w:r>
                            <w:r>
                              <w:rPr>
                                <w:color w:val="000000"/>
                              </w:rPr>
                              <w:t>network</w:t>
                            </w:r>
                            <w:r>
                              <w:rPr>
                                <w:color w:val="000000"/>
                                <w:spacing w:val="-2"/>
                              </w:rPr>
                              <w:t> </w:t>
                            </w:r>
                            <w:r>
                              <w:rPr>
                                <w:color w:val="000000"/>
                              </w:rPr>
                              <w:t>operators</w:t>
                            </w:r>
                            <w:r>
                              <w:rPr>
                                <w:color w:val="000000"/>
                                <w:spacing w:val="-4"/>
                              </w:rPr>
                              <w:t> </w:t>
                            </w:r>
                            <w:r>
                              <w:rPr>
                                <w:color w:val="000000"/>
                              </w:rPr>
                              <w:t>and</w:t>
                            </w:r>
                            <w:r>
                              <w:rPr>
                                <w:color w:val="000000"/>
                                <w:spacing w:val="-5"/>
                              </w:rPr>
                              <w:t> </w:t>
                            </w:r>
                            <w:r>
                              <w:rPr>
                                <w:color w:val="000000"/>
                              </w:rPr>
                              <w:t>the</w:t>
                            </w:r>
                            <w:r>
                              <w:rPr>
                                <w:color w:val="000000"/>
                                <w:spacing w:val="-5"/>
                              </w:rPr>
                              <w:t> </w:t>
                            </w:r>
                            <w:r>
                              <w:rPr>
                                <w:color w:val="000000"/>
                              </w:rPr>
                              <w:t>AER,</w:t>
                            </w:r>
                            <w:r>
                              <w:rPr>
                                <w:color w:val="000000"/>
                                <w:spacing w:val="-1"/>
                              </w:rPr>
                              <w:t> </w:t>
                            </w:r>
                            <w:r>
                              <w:rPr>
                                <w:color w:val="000000"/>
                              </w:rPr>
                              <w:t>evaluate</w:t>
                            </w:r>
                            <w:r>
                              <w:rPr>
                                <w:color w:val="000000"/>
                                <w:spacing w:val="-3"/>
                              </w:rPr>
                              <w:t> </w:t>
                            </w:r>
                            <w:r>
                              <w:rPr>
                                <w:color w:val="000000"/>
                              </w:rPr>
                              <w:t>its requirements</w:t>
                            </w:r>
                            <w:r>
                              <w:rPr>
                                <w:color w:val="000000"/>
                                <w:spacing w:val="-3"/>
                              </w:rPr>
                              <w:t> </w:t>
                            </w:r>
                            <w:r>
                              <w:rPr>
                                <w:color w:val="000000"/>
                              </w:rPr>
                              <w:t>for safety</w:t>
                            </w:r>
                            <w:r>
                              <w:rPr>
                                <w:color w:val="000000"/>
                                <w:spacing w:val="-1"/>
                              </w:rPr>
                              <w:t> </w:t>
                            </w:r>
                            <w:r>
                              <w:rPr>
                                <w:color w:val="000000"/>
                              </w:rPr>
                              <w:t>cases to</w:t>
                            </w:r>
                            <w:r>
                              <w:rPr>
                                <w:color w:val="000000"/>
                                <w:spacing w:val="-1"/>
                              </w:rPr>
                              <w:t> </w:t>
                            </w:r>
                            <w:r>
                              <w:rPr>
                                <w:color w:val="000000"/>
                              </w:rPr>
                              <w:t>ensure</w:t>
                            </w:r>
                            <w:r>
                              <w:rPr>
                                <w:color w:val="000000"/>
                                <w:spacing w:val="-1"/>
                              </w:rPr>
                              <w:t> </w:t>
                            </w:r>
                            <w:r>
                              <w:rPr>
                                <w:color w:val="000000"/>
                              </w:rPr>
                              <w:t>that all safety-related</w:t>
                            </w:r>
                            <w:r>
                              <w:rPr>
                                <w:color w:val="000000"/>
                                <w:spacing w:val="-1"/>
                              </w:rPr>
                              <w:t> </w:t>
                            </w:r>
                            <w:r>
                              <w:rPr>
                                <w:color w:val="000000"/>
                              </w:rPr>
                              <w:t>elements</w:t>
                            </w:r>
                            <w:r>
                              <w:rPr>
                                <w:color w:val="000000"/>
                                <w:spacing w:val="-1"/>
                              </w:rPr>
                              <w:t> </w:t>
                            </w:r>
                            <w:r>
                              <w:rPr>
                                <w:color w:val="000000"/>
                              </w:rPr>
                              <w:t>that have been factored</w:t>
                            </w:r>
                            <w:r>
                              <w:rPr>
                                <w:color w:val="000000"/>
                                <w:spacing w:val="-2"/>
                              </w:rPr>
                              <w:t> </w:t>
                            </w:r>
                            <w:r>
                              <w:rPr>
                                <w:color w:val="000000"/>
                              </w:rPr>
                              <w:t>into</w:t>
                            </w:r>
                            <w:r>
                              <w:rPr>
                                <w:color w:val="000000"/>
                                <w:spacing w:val="-4"/>
                              </w:rPr>
                              <w:t> </w:t>
                            </w:r>
                            <w:r>
                              <w:rPr>
                                <w:color w:val="000000"/>
                              </w:rPr>
                              <w:t>AER</w:t>
                            </w:r>
                            <w:r>
                              <w:rPr>
                                <w:color w:val="000000"/>
                                <w:spacing w:val="-2"/>
                              </w:rPr>
                              <w:t> </w:t>
                            </w:r>
                            <w:r>
                              <w:rPr>
                                <w:color w:val="000000"/>
                              </w:rPr>
                              <w:t>determinations,</w:t>
                            </w:r>
                            <w:r>
                              <w:rPr>
                                <w:color w:val="000000"/>
                                <w:spacing w:val="-3"/>
                              </w:rPr>
                              <w:t> </w:t>
                            </w:r>
                            <w:r>
                              <w:rPr>
                                <w:color w:val="000000"/>
                              </w:rPr>
                              <w:t>are</w:t>
                            </w:r>
                            <w:r>
                              <w:rPr>
                                <w:color w:val="000000"/>
                                <w:spacing w:val="-4"/>
                              </w:rPr>
                              <w:t> </w:t>
                            </w:r>
                            <w:r>
                              <w:rPr>
                                <w:color w:val="000000"/>
                              </w:rPr>
                              <w:t>identified</w:t>
                            </w:r>
                            <w:r>
                              <w:rPr>
                                <w:color w:val="000000"/>
                                <w:spacing w:val="-4"/>
                              </w:rPr>
                              <w:t> </w:t>
                            </w:r>
                            <w:r>
                              <w:rPr>
                                <w:color w:val="000000"/>
                              </w:rPr>
                              <w:t>and</w:t>
                            </w:r>
                            <w:r>
                              <w:rPr>
                                <w:color w:val="000000"/>
                                <w:spacing w:val="-2"/>
                              </w:rPr>
                              <w:t> </w:t>
                            </w:r>
                            <w:r>
                              <w:rPr>
                                <w:color w:val="000000"/>
                              </w:rPr>
                              <w:t>supported</w:t>
                            </w:r>
                            <w:r>
                              <w:rPr>
                                <w:color w:val="000000"/>
                                <w:spacing w:val="-2"/>
                              </w:rPr>
                              <w:t> </w:t>
                            </w:r>
                            <w:r>
                              <w:rPr>
                                <w:color w:val="000000"/>
                              </w:rPr>
                              <w:t>by</w:t>
                            </w:r>
                            <w:r>
                              <w:rPr>
                                <w:color w:val="000000"/>
                                <w:spacing w:val="-4"/>
                              </w:rPr>
                              <w:t> </w:t>
                            </w:r>
                            <w:r>
                              <w:rPr>
                                <w:color w:val="000000"/>
                              </w:rPr>
                              <w:t>clear</w:t>
                            </w:r>
                            <w:r>
                              <w:rPr>
                                <w:color w:val="000000"/>
                                <w:spacing w:val="-3"/>
                              </w:rPr>
                              <w:t> </w:t>
                            </w:r>
                            <w:r>
                              <w:rPr>
                                <w:color w:val="000000"/>
                              </w:rPr>
                              <w:t>implementation </w:t>
                            </w:r>
                            <w:r>
                              <w:rPr>
                                <w:color w:val="000000"/>
                                <w:spacing w:val="-2"/>
                              </w:rPr>
                              <w:t>plans.</w:t>
                            </w:r>
                          </w:p>
                          <w:p>
                            <w:pPr>
                              <w:pStyle w:val="BodyText"/>
                              <w:spacing w:before="10"/>
                              <w:rPr>
                                <w:color w:val="000000"/>
                                <w:sz w:val="20"/>
                              </w:rPr>
                            </w:pPr>
                          </w:p>
                          <w:p>
                            <w:pPr>
                              <w:pStyle w:val="BodyText"/>
                              <w:spacing w:line="288" w:lineRule="auto"/>
                              <w:ind w:left="112" w:right="107"/>
                              <w:rPr>
                                <w:color w:val="000000"/>
                              </w:rPr>
                            </w:pPr>
                            <w:r>
                              <w:rPr>
                                <w:color w:val="000000"/>
                              </w:rPr>
                              <w:t>ESV should report on the progress made by regulated network operators in its annual network</w:t>
                            </w:r>
                            <w:r>
                              <w:rPr>
                                <w:color w:val="000000"/>
                                <w:spacing w:val="-1"/>
                              </w:rPr>
                              <w:t> </w:t>
                            </w:r>
                            <w:r>
                              <w:rPr>
                                <w:color w:val="000000"/>
                              </w:rPr>
                              <w:t>safety</w:t>
                            </w:r>
                            <w:r>
                              <w:rPr>
                                <w:color w:val="000000"/>
                                <w:spacing w:val="-4"/>
                              </w:rPr>
                              <w:t> </w:t>
                            </w:r>
                            <w:r>
                              <w:rPr>
                                <w:color w:val="000000"/>
                              </w:rPr>
                              <w:t>performance</w:t>
                            </w:r>
                            <w:r>
                              <w:rPr>
                                <w:color w:val="000000"/>
                                <w:spacing w:val="-2"/>
                              </w:rPr>
                              <w:t> </w:t>
                            </w:r>
                            <w:r>
                              <w:rPr>
                                <w:color w:val="000000"/>
                              </w:rPr>
                              <w:t>reports.</w:t>
                            </w:r>
                            <w:r>
                              <w:rPr>
                                <w:color w:val="000000"/>
                                <w:spacing w:val="-3"/>
                              </w:rPr>
                              <w:t> </w:t>
                            </w:r>
                            <w:r>
                              <w:rPr>
                                <w:color w:val="000000"/>
                              </w:rPr>
                              <w:t>The</w:t>
                            </w:r>
                            <w:r>
                              <w:rPr>
                                <w:color w:val="000000"/>
                                <w:spacing w:val="-7"/>
                              </w:rPr>
                              <w:t> </w:t>
                            </w:r>
                            <w:r>
                              <w:rPr>
                                <w:color w:val="000000"/>
                              </w:rPr>
                              <w:t>reporting</w:t>
                            </w:r>
                            <w:r>
                              <w:rPr>
                                <w:color w:val="000000"/>
                                <w:spacing w:val="-2"/>
                              </w:rPr>
                              <w:t> </w:t>
                            </w:r>
                            <w:r>
                              <w:rPr>
                                <w:color w:val="000000"/>
                              </w:rPr>
                              <w:t>should</w:t>
                            </w:r>
                            <w:r>
                              <w:rPr>
                                <w:color w:val="000000"/>
                                <w:spacing w:val="-2"/>
                              </w:rPr>
                              <w:t> </w:t>
                            </w:r>
                            <w:r>
                              <w:rPr>
                                <w:color w:val="000000"/>
                              </w:rPr>
                              <w:t>be</w:t>
                            </w:r>
                            <w:r>
                              <w:rPr>
                                <w:color w:val="000000"/>
                                <w:spacing w:val="-4"/>
                              </w:rPr>
                              <w:t> </w:t>
                            </w:r>
                            <w:r>
                              <w:rPr>
                                <w:color w:val="000000"/>
                              </w:rPr>
                              <w:t>sufficient</w:t>
                            </w:r>
                            <w:r>
                              <w:rPr>
                                <w:color w:val="000000"/>
                                <w:spacing w:val="-3"/>
                              </w:rPr>
                              <w:t> </w:t>
                            </w:r>
                            <w:r>
                              <w:rPr>
                                <w:color w:val="000000"/>
                              </w:rPr>
                              <w:t>to</w:t>
                            </w:r>
                            <w:r>
                              <w:rPr>
                                <w:color w:val="000000"/>
                                <w:spacing w:val="-4"/>
                              </w:rPr>
                              <w:t> </w:t>
                            </w:r>
                            <w:r>
                              <w:rPr>
                                <w:color w:val="000000"/>
                              </w:rPr>
                              <w:t>ensure</w:t>
                            </w:r>
                            <w:r>
                              <w:rPr>
                                <w:color w:val="000000"/>
                                <w:spacing w:val="-4"/>
                              </w:rPr>
                              <w:t> </w:t>
                            </w:r>
                            <w:r>
                              <w:rPr>
                                <w:color w:val="000000"/>
                              </w:rPr>
                              <w:t>that</w:t>
                            </w:r>
                            <w:r>
                              <w:rPr>
                                <w:color w:val="000000"/>
                                <w:spacing w:val="-3"/>
                              </w:rPr>
                              <w:t> </w:t>
                            </w:r>
                            <w:r>
                              <w:rPr>
                                <w:color w:val="000000"/>
                              </w:rPr>
                              <w:t>there</w:t>
                            </w:r>
                            <w:r>
                              <w:rPr>
                                <w:color w:val="000000"/>
                                <w:spacing w:val="-2"/>
                              </w:rPr>
                              <w:t> </w:t>
                            </w:r>
                            <w:r>
                              <w:rPr>
                                <w:color w:val="000000"/>
                              </w:rPr>
                              <w:t>is a high degree of transparency to the Victorian community about the progress in the implementation of safety programs.</w:t>
                            </w:r>
                          </w:p>
                        </w:txbxContent>
                      </wps:txbx>
                      <wps:bodyPr wrap="square" lIns="0" tIns="0" rIns="0" bIns="0" rtlCol="0">
                        <a:noAutofit/>
                      </wps:bodyPr>
                    </wps:wsp>
                  </a:graphicData>
                </a:graphic>
              </wp:anchor>
            </w:drawing>
          </mc:Choice>
          <mc:Fallback>
            <w:pict>
              <v:shape style="position:absolute;margin-left:56.639999pt;margin-top:12.100537pt;width:464.3pt;height:189.05pt;mso-position-horizontal-relative:page;mso-position-vertical-relative:paragraph;z-index:-15680512;mso-wrap-distance-left:0;mso-wrap-distance-right:0" type="#_x0000_t202" id="docshape140" filled="true" fillcolor="#d9d9d9" stroked="false">
                <v:textbox inset="0,0,0,0">
                  <w:txbxContent>
                    <w:p>
                      <w:pPr>
                        <w:pStyle w:val="BodyText"/>
                        <w:spacing w:before="6"/>
                        <w:rPr>
                          <w:color w:val="000000"/>
                          <w:sz w:val="36"/>
                        </w:rPr>
                      </w:pPr>
                    </w:p>
                    <w:p>
                      <w:pPr>
                        <w:spacing w:before="0"/>
                        <w:ind w:left="141" w:right="0" w:firstLine="0"/>
                        <w:jc w:val="both"/>
                        <w:rPr>
                          <w:b/>
                          <w:color w:val="000000"/>
                          <w:sz w:val="24"/>
                        </w:rPr>
                      </w:pPr>
                      <w:r>
                        <w:rPr>
                          <w:b/>
                          <w:color w:val="000000"/>
                          <w:spacing w:val="-2"/>
                          <w:sz w:val="24"/>
                        </w:rPr>
                        <w:t>Recommendation</w:t>
                      </w:r>
                      <w:r>
                        <w:rPr>
                          <w:b/>
                          <w:color w:val="000000"/>
                          <w:sz w:val="24"/>
                        </w:rPr>
                        <w:t> </w:t>
                      </w:r>
                      <w:r>
                        <w:rPr>
                          <w:b/>
                          <w:color w:val="000000"/>
                          <w:spacing w:val="-5"/>
                          <w:sz w:val="24"/>
                        </w:rPr>
                        <w:t>22</w:t>
                      </w:r>
                    </w:p>
                    <w:p>
                      <w:pPr>
                        <w:pStyle w:val="BodyText"/>
                        <w:spacing w:line="288" w:lineRule="auto" w:before="175"/>
                        <w:ind w:left="112" w:right="694"/>
                        <w:jc w:val="both"/>
                        <w:rPr>
                          <w:color w:val="000000"/>
                        </w:rPr>
                      </w:pPr>
                      <w:r>
                        <w:rPr>
                          <w:color w:val="000000"/>
                        </w:rPr>
                        <w:t>ESV</w:t>
                      </w:r>
                      <w:r>
                        <w:rPr>
                          <w:color w:val="000000"/>
                          <w:spacing w:val="-3"/>
                        </w:rPr>
                        <w:t> </w:t>
                      </w:r>
                      <w:r>
                        <w:rPr>
                          <w:color w:val="000000"/>
                        </w:rPr>
                        <w:t>should,</w:t>
                      </w:r>
                      <w:r>
                        <w:rPr>
                          <w:color w:val="000000"/>
                          <w:spacing w:val="-2"/>
                        </w:rPr>
                        <w:t> </w:t>
                      </w:r>
                      <w:r>
                        <w:rPr>
                          <w:color w:val="000000"/>
                        </w:rPr>
                        <w:t>in</w:t>
                      </w:r>
                      <w:r>
                        <w:rPr>
                          <w:color w:val="000000"/>
                          <w:spacing w:val="-3"/>
                        </w:rPr>
                        <w:t> </w:t>
                      </w:r>
                      <w:r>
                        <w:rPr>
                          <w:color w:val="000000"/>
                        </w:rPr>
                        <w:t>consultation</w:t>
                      </w:r>
                      <w:r>
                        <w:rPr>
                          <w:color w:val="000000"/>
                          <w:spacing w:val="-3"/>
                        </w:rPr>
                        <w:t> </w:t>
                      </w:r>
                      <w:r>
                        <w:rPr>
                          <w:color w:val="000000"/>
                        </w:rPr>
                        <w:t>with</w:t>
                      </w:r>
                      <w:r>
                        <w:rPr>
                          <w:color w:val="000000"/>
                          <w:spacing w:val="-3"/>
                        </w:rPr>
                        <w:t> </w:t>
                      </w:r>
                      <w:r>
                        <w:rPr>
                          <w:color w:val="000000"/>
                        </w:rPr>
                        <w:t>regulated</w:t>
                      </w:r>
                      <w:r>
                        <w:rPr>
                          <w:color w:val="000000"/>
                          <w:spacing w:val="-3"/>
                        </w:rPr>
                        <w:t> </w:t>
                      </w:r>
                      <w:r>
                        <w:rPr>
                          <w:color w:val="000000"/>
                        </w:rPr>
                        <w:t>network</w:t>
                      </w:r>
                      <w:r>
                        <w:rPr>
                          <w:color w:val="000000"/>
                          <w:spacing w:val="-2"/>
                        </w:rPr>
                        <w:t> </w:t>
                      </w:r>
                      <w:r>
                        <w:rPr>
                          <w:color w:val="000000"/>
                        </w:rPr>
                        <w:t>operators</w:t>
                      </w:r>
                      <w:r>
                        <w:rPr>
                          <w:color w:val="000000"/>
                          <w:spacing w:val="-4"/>
                        </w:rPr>
                        <w:t> </w:t>
                      </w:r>
                      <w:r>
                        <w:rPr>
                          <w:color w:val="000000"/>
                        </w:rPr>
                        <w:t>and</w:t>
                      </w:r>
                      <w:r>
                        <w:rPr>
                          <w:color w:val="000000"/>
                          <w:spacing w:val="-5"/>
                        </w:rPr>
                        <w:t> </w:t>
                      </w:r>
                      <w:r>
                        <w:rPr>
                          <w:color w:val="000000"/>
                        </w:rPr>
                        <w:t>the</w:t>
                      </w:r>
                      <w:r>
                        <w:rPr>
                          <w:color w:val="000000"/>
                          <w:spacing w:val="-5"/>
                        </w:rPr>
                        <w:t> </w:t>
                      </w:r>
                      <w:r>
                        <w:rPr>
                          <w:color w:val="000000"/>
                        </w:rPr>
                        <w:t>AER,</w:t>
                      </w:r>
                      <w:r>
                        <w:rPr>
                          <w:color w:val="000000"/>
                          <w:spacing w:val="-1"/>
                        </w:rPr>
                        <w:t> </w:t>
                      </w:r>
                      <w:r>
                        <w:rPr>
                          <w:color w:val="000000"/>
                        </w:rPr>
                        <w:t>evaluate</w:t>
                      </w:r>
                      <w:r>
                        <w:rPr>
                          <w:color w:val="000000"/>
                          <w:spacing w:val="-3"/>
                        </w:rPr>
                        <w:t> </w:t>
                      </w:r>
                      <w:r>
                        <w:rPr>
                          <w:color w:val="000000"/>
                        </w:rPr>
                        <w:t>its requirements</w:t>
                      </w:r>
                      <w:r>
                        <w:rPr>
                          <w:color w:val="000000"/>
                          <w:spacing w:val="-3"/>
                        </w:rPr>
                        <w:t> </w:t>
                      </w:r>
                      <w:r>
                        <w:rPr>
                          <w:color w:val="000000"/>
                        </w:rPr>
                        <w:t>for safety</w:t>
                      </w:r>
                      <w:r>
                        <w:rPr>
                          <w:color w:val="000000"/>
                          <w:spacing w:val="-1"/>
                        </w:rPr>
                        <w:t> </w:t>
                      </w:r>
                      <w:r>
                        <w:rPr>
                          <w:color w:val="000000"/>
                        </w:rPr>
                        <w:t>cases to</w:t>
                      </w:r>
                      <w:r>
                        <w:rPr>
                          <w:color w:val="000000"/>
                          <w:spacing w:val="-1"/>
                        </w:rPr>
                        <w:t> </w:t>
                      </w:r>
                      <w:r>
                        <w:rPr>
                          <w:color w:val="000000"/>
                        </w:rPr>
                        <w:t>ensure</w:t>
                      </w:r>
                      <w:r>
                        <w:rPr>
                          <w:color w:val="000000"/>
                          <w:spacing w:val="-1"/>
                        </w:rPr>
                        <w:t> </w:t>
                      </w:r>
                      <w:r>
                        <w:rPr>
                          <w:color w:val="000000"/>
                        </w:rPr>
                        <w:t>that all safety-related</w:t>
                      </w:r>
                      <w:r>
                        <w:rPr>
                          <w:color w:val="000000"/>
                          <w:spacing w:val="-1"/>
                        </w:rPr>
                        <w:t> </w:t>
                      </w:r>
                      <w:r>
                        <w:rPr>
                          <w:color w:val="000000"/>
                        </w:rPr>
                        <w:t>elements</w:t>
                      </w:r>
                      <w:r>
                        <w:rPr>
                          <w:color w:val="000000"/>
                          <w:spacing w:val="-1"/>
                        </w:rPr>
                        <w:t> </w:t>
                      </w:r>
                      <w:r>
                        <w:rPr>
                          <w:color w:val="000000"/>
                        </w:rPr>
                        <w:t>that have been factored</w:t>
                      </w:r>
                      <w:r>
                        <w:rPr>
                          <w:color w:val="000000"/>
                          <w:spacing w:val="-2"/>
                        </w:rPr>
                        <w:t> </w:t>
                      </w:r>
                      <w:r>
                        <w:rPr>
                          <w:color w:val="000000"/>
                        </w:rPr>
                        <w:t>into</w:t>
                      </w:r>
                      <w:r>
                        <w:rPr>
                          <w:color w:val="000000"/>
                          <w:spacing w:val="-4"/>
                        </w:rPr>
                        <w:t> </w:t>
                      </w:r>
                      <w:r>
                        <w:rPr>
                          <w:color w:val="000000"/>
                        </w:rPr>
                        <w:t>AER</w:t>
                      </w:r>
                      <w:r>
                        <w:rPr>
                          <w:color w:val="000000"/>
                          <w:spacing w:val="-2"/>
                        </w:rPr>
                        <w:t> </w:t>
                      </w:r>
                      <w:r>
                        <w:rPr>
                          <w:color w:val="000000"/>
                        </w:rPr>
                        <w:t>determinations,</w:t>
                      </w:r>
                      <w:r>
                        <w:rPr>
                          <w:color w:val="000000"/>
                          <w:spacing w:val="-3"/>
                        </w:rPr>
                        <w:t> </w:t>
                      </w:r>
                      <w:r>
                        <w:rPr>
                          <w:color w:val="000000"/>
                        </w:rPr>
                        <w:t>are</w:t>
                      </w:r>
                      <w:r>
                        <w:rPr>
                          <w:color w:val="000000"/>
                          <w:spacing w:val="-4"/>
                        </w:rPr>
                        <w:t> </w:t>
                      </w:r>
                      <w:r>
                        <w:rPr>
                          <w:color w:val="000000"/>
                        </w:rPr>
                        <w:t>identified</w:t>
                      </w:r>
                      <w:r>
                        <w:rPr>
                          <w:color w:val="000000"/>
                          <w:spacing w:val="-4"/>
                        </w:rPr>
                        <w:t> </w:t>
                      </w:r>
                      <w:r>
                        <w:rPr>
                          <w:color w:val="000000"/>
                        </w:rPr>
                        <w:t>and</w:t>
                      </w:r>
                      <w:r>
                        <w:rPr>
                          <w:color w:val="000000"/>
                          <w:spacing w:val="-2"/>
                        </w:rPr>
                        <w:t> </w:t>
                      </w:r>
                      <w:r>
                        <w:rPr>
                          <w:color w:val="000000"/>
                        </w:rPr>
                        <w:t>supported</w:t>
                      </w:r>
                      <w:r>
                        <w:rPr>
                          <w:color w:val="000000"/>
                          <w:spacing w:val="-2"/>
                        </w:rPr>
                        <w:t> </w:t>
                      </w:r>
                      <w:r>
                        <w:rPr>
                          <w:color w:val="000000"/>
                        </w:rPr>
                        <w:t>by</w:t>
                      </w:r>
                      <w:r>
                        <w:rPr>
                          <w:color w:val="000000"/>
                          <w:spacing w:val="-4"/>
                        </w:rPr>
                        <w:t> </w:t>
                      </w:r>
                      <w:r>
                        <w:rPr>
                          <w:color w:val="000000"/>
                        </w:rPr>
                        <w:t>clear</w:t>
                      </w:r>
                      <w:r>
                        <w:rPr>
                          <w:color w:val="000000"/>
                          <w:spacing w:val="-3"/>
                        </w:rPr>
                        <w:t> </w:t>
                      </w:r>
                      <w:r>
                        <w:rPr>
                          <w:color w:val="000000"/>
                        </w:rPr>
                        <w:t>implementation </w:t>
                      </w:r>
                      <w:r>
                        <w:rPr>
                          <w:color w:val="000000"/>
                          <w:spacing w:val="-2"/>
                        </w:rPr>
                        <w:t>plans.</w:t>
                      </w:r>
                    </w:p>
                    <w:p>
                      <w:pPr>
                        <w:pStyle w:val="BodyText"/>
                        <w:spacing w:before="10"/>
                        <w:rPr>
                          <w:color w:val="000000"/>
                          <w:sz w:val="20"/>
                        </w:rPr>
                      </w:pPr>
                    </w:p>
                    <w:p>
                      <w:pPr>
                        <w:pStyle w:val="BodyText"/>
                        <w:spacing w:line="288" w:lineRule="auto"/>
                        <w:ind w:left="112" w:right="107"/>
                        <w:rPr>
                          <w:color w:val="000000"/>
                        </w:rPr>
                      </w:pPr>
                      <w:r>
                        <w:rPr>
                          <w:color w:val="000000"/>
                        </w:rPr>
                        <w:t>ESV should report on the progress made by regulated network operators in its annual network</w:t>
                      </w:r>
                      <w:r>
                        <w:rPr>
                          <w:color w:val="000000"/>
                          <w:spacing w:val="-1"/>
                        </w:rPr>
                        <w:t> </w:t>
                      </w:r>
                      <w:r>
                        <w:rPr>
                          <w:color w:val="000000"/>
                        </w:rPr>
                        <w:t>safety</w:t>
                      </w:r>
                      <w:r>
                        <w:rPr>
                          <w:color w:val="000000"/>
                          <w:spacing w:val="-4"/>
                        </w:rPr>
                        <w:t> </w:t>
                      </w:r>
                      <w:r>
                        <w:rPr>
                          <w:color w:val="000000"/>
                        </w:rPr>
                        <w:t>performance</w:t>
                      </w:r>
                      <w:r>
                        <w:rPr>
                          <w:color w:val="000000"/>
                          <w:spacing w:val="-2"/>
                        </w:rPr>
                        <w:t> </w:t>
                      </w:r>
                      <w:r>
                        <w:rPr>
                          <w:color w:val="000000"/>
                        </w:rPr>
                        <w:t>reports.</w:t>
                      </w:r>
                      <w:r>
                        <w:rPr>
                          <w:color w:val="000000"/>
                          <w:spacing w:val="-3"/>
                        </w:rPr>
                        <w:t> </w:t>
                      </w:r>
                      <w:r>
                        <w:rPr>
                          <w:color w:val="000000"/>
                        </w:rPr>
                        <w:t>The</w:t>
                      </w:r>
                      <w:r>
                        <w:rPr>
                          <w:color w:val="000000"/>
                          <w:spacing w:val="-7"/>
                        </w:rPr>
                        <w:t> </w:t>
                      </w:r>
                      <w:r>
                        <w:rPr>
                          <w:color w:val="000000"/>
                        </w:rPr>
                        <w:t>reporting</w:t>
                      </w:r>
                      <w:r>
                        <w:rPr>
                          <w:color w:val="000000"/>
                          <w:spacing w:val="-2"/>
                        </w:rPr>
                        <w:t> </w:t>
                      </w:r>
                      <w:r>
                        <w:rPr>
                          <w:color w:val="000000"/>
                        </w:rPr>
                        <w:t>should</w:t>
                      </w:r>
                      <w:r>
                        <w:rPr>
                          <w:color w:val="000000"/>
                          <w:spacing w:val="-2"/>
                        </w:rPr>
                        <w:t> </w:t>
                      </w:r>
                      <w:r>
                        <w:rPr>
                          <w:color w:val="000000"/>
                        </w:rPr>
                        <w:t>be</w:t>
                      </w:r>
                      <w:r>
                        <w:rPr>
                          <w:color w:val="000000"/>
                          <w:spacing w:val="-4"/>
                        </w:rPr>
                        <w:t> </w:t>
                      </w:r>
                      <w:r>
                        <w:rPr>
                          <w:color w:val="000000"/>
                        </w:rPr>
                        <w:t>sufficient</w:t>
                      </w:r>
                      <w:r>
                        <w:rPr>
                          <w:color w:val="000000"/>
                          <w:spacing w:val="-3"/>
                        </w:rPr>
                        <w:t> </w:t>
                      </w:r>
                      <w:r>
                        <w:rPr>
                          <w:color w:val="000000"/>
                        </w:rPr>
                        <w:t>to</w:t>
                      </w:r>
                      <w:r>
                        <w:rPr>
                          <w:color w:val="000000"/>
                          <w:spacing w:val="-4"/>
                        </w:rPr>
                        <w:t> </w:t>
                      </w:r>
                      <w:r>
                        <w:rPr>
                          <w:color w:val="000000"/>
                        </w:rPr>
                        <w:t>ensure</w:t>
                      </w:r>
                      <w:r>
                        <w:rPr>
                          <w:color w:val="000000"/>
                          <w:spacing w:val="-4"/>
                        </w:rPr>
                        <w:t> </w:t>
                      </w:r>
                      <w:r>
                        <w:rPr>
                          <w:color w:val="000000"/>
                        </w:rPr>
                        <w:t>that</w:t>
                      </w:r>
                      <w:r>
                        <w:rPr>
                          <w:color w:val="000000"/>
                          <w:spacing w:val="-3"/>
                        </w:rPr>
                        <w:t> </w:t>
                      </w:r>
                      <w:r>
                        <w:rPr>
                          <w:color w:val="000000"/>
                        </w:rPr>
                        <w:t>there</w:t>
                      </w:r>
                      <w:r>
                        <w:rPr>
                          <w:color w:val="000000"/>
                          <w:spacing w:val="-2"/>
                        </w:rPr>
                        <w:t> </w:t>
                      </w:r>
                      <w:r>
                        <w:rPr>
                          <w:color w:val="000000"/>
                        </w:rPr>
                        <w:t>is a high degree of transparency to the Victorian community about the progress in the implementation of safety programs.</w:t>
                      </w:r>
                    </w:p>
                  </w:txbxContent>
                </v:textbox>
                <v:fill type="solid"/>
                <w10:wrap type="topAndBottom"/>
              </v:shape>
            </w:pict>
          </mc:Fallback>
        </mc:AlternateContent>
      </w:r>
    </w:p>
    <w:p>
      <w:pPr>
        <w:pStyle w:val="BodyText"/>
        <w:rPr>
          <w:sz w:val="20"/>
        </w:rPr>
      </w:pPr>
    </w:p>
    <w:p>
      <w:pPr>
        <w:pStyle w:val="BodyText"/>
        <w:rPr>
          <w:sz w:val="20"/>
        </w:rPr>
      </w:pPr>
    </w:p>
    <w:p>
      <w:pPr>
        <w:pStyle w:val="BodyText"/>
        <w:rPr>
          <w:sz w:val="20"/>
        </w:rPr>
      </w:pPr>
    </w:p>
    <w:p>
      <w:pPr>
        <w:pStyle w:val="BodyText"/>
        <w:spacing w:before="4"/>
        <w:rPr>
          <w:sz w:val="26"/>
        </w:rPr>
      </w:pPr>
    </w:p>
    <w:p>
      <w:pPr>
        <w:pStyle w:val="BodyText"/>
        <w:spacing w:line="288" w:lineRule="auto" w:before="94"/>
        <w:ind w:left="232" w:right="374"/>
      </w:pPr>
      <w:r>
        <w:rPr/>
        <w:t>In</w:t>
      </w:r>
      <w:r>
        <w:rPr>
          <w:spacing w:val="-3"/>
        </w:rPr>
        <w:t> </w:t>
      </w:r>
      <w:r>
        <w:rPr/>
        <w:t>their submission</w:t>
      </w:r>
      <w:r>
        <w:rPr>
          <w:spacing w:val="-3"/>
        </w:rPr>
        <w:t> </w:t>
      </w:r>
      <w:r>
        <w:rPr/>
        <w:t>to</w:t>
      </w:r>
      <w:r>
        <w:rPr>
          <w:spacing w:val="-3"/>
        </w:rPr>
        <w:t> </w:t>
      </w:r>
      <w:r>
        <w:rPr/>
        <w:t>the</w:t>
      </w:r>
      <w:r>
        <w:rPr>
          <w:spacing w:val="-3"/>
        </w:rPr>
        <w:t> </w:t>
      </w:r>
      <w:r>
        <w:rPr/>
        <w:t>Interim</w:t>
      </w:r>
      <w:r>
        <w:rPr>
          <w:spacing w:val="-2"/>
        </w:rPr>
        <w:t> </w:t>
      </w:r>
      <w:r>
        <w:rPr/>
        <w:t>Report,</w:t>
      </w:r>
      <w:r>
        <w:rPr>
          <w:spacing w:val="-2"/>
        </w:rPr>
        <w:t> </w:t>
      </w:r>
      <w:r>
        <w:rPr/>
        <w:t>CitiPower and</w:t>
      </w:r>
      <w:r>
        <w:rPr>
          <w:spacing w:val="-3"/>
        </w:rPr>
        <w:t> </w:t>
      </w:r>
      <w:r>
        <w:rPr/>
        <w:t>Powercor Australia</w:t>
      </w:r>
      <w:r>
        <w:rPr>
          <w:spacing w:val="-1"/>
        </w:rPr>
        <w:t> </w:t>
      </w:r>
      <w:r>
        <w:rPr/>
        <w:t>and</w:t>
      </w:r>
      <w:r>
        <w:rPr>
          <w:spacing w:val="-1"/>
        </w:rPr>
        <w:t> </w:t>
      </w:r>
      <w:r>
        <w:rPr/>
        <w:t>United</w:t>
      </w:r>
      <w:r>
        <w:rPr>
          <w:spacing w:val="-3"/>
        </w:rPr>
        <w:t> </w:t>
      </w:r>
      <w:r>
        <w:rPr/>
        <w:t>Energy raise concerns</w:t>
      </w:r>
      <w:r>
        <w:rPr>
          <w:spacing w:val="-1"/>
        </w:rPr>
        <w:t> </w:t>
      </w:r>
      <w:r>
        <w:rPr/>
        <w:t>that</w:t>
      </w:r>
      <w:r>
        <w:rPr>
          <w:spacing w:val="-1"/>
        </w:rPr>
        <w:t> </w:t>
      </w:r>
      <w:r>
        <w:rPr/>
        <w:t>the approach proposed</w:t>
      </w:r>
      <w:r>
        <w:rPr>
          <w:spacing w:val="-1"/>
        </w:rPr>
        <w:t> </w:t>
      </w:r>
      <w:r>
        <w:rPr/>
        <w:t>by</w:t>
      </w:r>
      <w:r>
        <w:rPr>
          <w:spacing w:val="-1"/>
        </w:rPr>
        <w:t> </w:t>
      </w:r>
      <w:r>
        <w:rPr/>
        <w:t>the</w:t>
      </w:r>
      <w:r>
        <w:rPr>
          <w:spacing w:val="-1"/>
        </w:rPr>
        <w:t> </w:t>
      </w:r>
      <w:r>
        <w:rPr/>
        <w:t>Review would limit business' ability</w:t>
      </w:r>
      <w:r>
        <w:rPr>
          <w:spacing w:val="-1"/>
        </w:rPr>
        <w:t> </w:t>
      </w:r>
      <w:r>
        <w:rPr/>
        <w:t>to</w:t>
      </w:r>
      <w:r>
        <w:rPr>
          <w:spacing w:val="-1"/>
        </w:rPr>
        <w:t> </w:t>
      </w:r>
      <w:r>
        <w:rPr/>
        <w:t>make changes to projects in response to emerging technologies. However, the Review does not advocate</w:t>
      </w:r>
      <w:r>
        <w:rPr>
          <w:spacing w:val="-3"/>
        </w:rPr>
        <w:t> </w:t>
      </w:r>
      <w:r>
        <w:rPr/>
        <w:t>the</w:t>
      </w:r>
      <w:r>
        <w:rPr>
          <w:spacing w:val="-5"/>
        </w:rPr>
        <w:t> </w:t>
      </w:r>
      <w:r>
        <w:rPr/>
        <w:t>elimination</w:t>
      </w:r>
      <w:r>
        <w:rPr>
          <w:spacing w:val="-5"/>
        </w:rPr>
        <w:t> </w:t>
      </w:r>
      <w:r>
        <w:rPr/>
        <w:t>of</w:t>
      </w:r>
      <w:r>
        <w:rPr>
          <w:spacing w:val="-1"/>
        </w:rPr>
        <w:t> </w:t>
      </w:r>
      <w:r>
        <w:rPr/>
        <w:t>flexibility,</w:t>
      </w:r>
      <w:r>
        <w:rPr>
          <w:spacing w:val="-1"/>
        </w:rPr>
        <w:t> </w:t>
      </w:r>
      <w:r>
        <w:rPr/>
        <w:t>provided</w:t>
      </w:r>
      <w:r>
        <w:rPr>
          <w:spacing w:val="-3"/>
        </w:rPr>
        <w:t> </w:t>
      </w:r>
      <w:r>
        <w:rPr/>
        <w:t>that</w:t>
      </w:r>
      <w:r>
        <w:rPr>
          <w:spacing w:val="-1"/>
        </w:rPr>
        <w:t> </w:t>
      </w:r>
      <w:r>
        <w:rPr/>
        <w:t>safety</w:t>
      </w:r>
      <w:r>
        <w:rPr>
          <w:spacing w:val="-4"/>
        </w:rPr>
        <w:t> </w:t>
      </w:r>
      <w:r>
        <w:rPr/>
        <w:t>outcomes</w:t>
      </w:r>
      <w:r>
        <w:rPr>
          <w:spacing w:val="-2"/>
        </w:rPr>
        <w:t> </w:t>
      </w:r>
      <w:r>
        <w:rPr/>
        <w:t>are</w:t>
      </w:r>
      <w:r>
        <w:rPr>
          <w:spacing w:val="-3"/>
        </w:rPr>
        <w:t> </w:t>
      </w:r>
      <w:r>
        <w:rPr/>
        <w:t>preserved.</w:t>
      </w:r>
      <w:r>
        <w:rPr>
          <w:spacing w:val="-1"/>
        </w:rPr>
        <w:t> </w:t>
      </w:r>
      <w:r>
        <w:rPr/>
        <w:t>Rather,</w:t>
      </w:r>
      <w:r>
        <w:rPr>
          <w:spacing w:val="-4"/>
        </w:rPr>
        <w:t> </w:t>
      </w:r>
      <w:r>
        <w:rPr/>
        <w:t>the</w:t>
      </w:r>
    </w:p>
    <w:p>
      <w:pPr>
        <w:spacing w:after="0" w:line="288" w:lineRule="auto"/>
        <w:sectPr>
          <w:pgSz w:w="11910" w:h="16850"/>
          <w:pgMar w:header="220" w:footer="678" w:top="420" w:bottom="860" w:left="900" w:right="840"/>
        </w:sectPr>
      </w:pPr>
    </w:p>
    <w:p>
      <w:pPr>
        <w:pStyle w:val="BodyText"/>
        <w:rPr>
          <w:sz w:val="20"/>
        </w:rPr>
      </w:pPr>
    </w:p>
    <w:p>
      <w:pPr>
        <w:pStyle w:val="BodyText"/>
        <w:spacing w:before="2"/>
        <w:rPr>
          <w:sz w:val="19"/>
        </w:rPr>
      </w:pPr>
    </w:p>
    <w:p>
      <w:pPr>
        <w:pStyle w:val="BodyText"/>
        <w:spacing w:line="288" w:lineRule="auto" w:before="94"/>
        <w:ind w:left="232" w:right="408"/>
      </w:pPr>
      <w:r>
        <w:rPr/>
        <w:t>Review</w:t>
      </w:r>
      <w:r>
        <w:rPr>
          <w:spacing w:val="-6"/>
        </w:rPr>
        <w:t> </w:t>
      </w:r>
      <w:r>
        <w:rPr/>
        <w:t>is</w:t>
      </w:r>
      <w:r>
        <w:rPr>
          <w:spacing w:val="-2"/>
        </w:rPr>
        <w:t> </w:t>
      </w:r>
      <w:r>
        <w:rPr/>
        <w:t>recommending</w:t>
      </w:r>
      <w:r>
        <w:rPr>
          <w:spacing w:val="-5"/>
        </w:rPr>
        <w:t> </w:t>
      </w:r>
      <w:r>
        <w:rPr/>
        <w:t>greater</w:t>
      </w:r>
      <w:r>
        <w:rPr>
          <w:spacing w:val="-4"/>
        </w:rPr>
        <w:t> </w:t>
      </w:r>
      <w:r>
        <w:rPr/>
        <w:t>transparency</w:t>
      </w:r>
      <w:r>
        <w:rPr>
          <w:spacing w:val="-5"/>
        </w:rPr>
        <w:t> </w:t>
      </w:r>
      <w:r>
        <w:rPr/>
        <w:t>around</w:t>
      </w:r>
      <w:r>
        <w:rPr>
          <w:spacing w:val="-5"/>
        </w:rPr>
        <w:t> </w:t>
      </w:r>
      <w:r>
        <w:rPr/>
        <w:t>the</w:t>
      </w:r>
      <w:r>
        <w:rPr>
          <w:spacing w:val="-3"/>
        </w:rPr>
        <w:t> </w:t>
      </w:r>
      <w:r>
        <w:rPr/>
        <w:t>implementation</w:t>
      </w:r>
      <w:r>
        <w:rPr>
          <w:spacing w:val="-3"/>
        </w:rPr>
        <w:t> </w:t>
      </w:r>
      <w:r>
        <w:rPr/>
        <w:t>of</w:t>
      </w:r>
      <w:r>
        <w:rPr>
          <w:spacing w:val="-1"/>
        </w:rPr>
        <w:t> </w:t>
      </w:r>
      <w:r>
        <w:rPr/>
        <w:t>safety</w:t>
      </w:r>
      <w:r>
        <w:rPr>
          <w:spacing w:val="-5"/>
        </w:rPr>
        <w:t> </w:t>
      </w:r>
      <w:r>
        <w:rPr/>
        <w:t>programs, including where more efficient ways are found to achieve safety outcomes at lower cost.</w:t>
      </w:r>
    </w:p>
    <w:p>
      <w:pPr>
        <w:pStyle w:val="BodyText"/>
        <w:spacing w:before="10"/>
        <w:rPr>
          <w:sz w:val="20"/>
        </w:rPr>
      </w:pPr>
    </w:p>
    <w:p>
      <w:pPr>
        <w:pStyle w:val="BodyText"/>
        <w:spacing w:line="288" w:lineRule="auto" w:before="1"/>
        <w:ind w:left="232" w:right="374"/>
      </w:pPr>
      <w:r>
        <w:rPr/>
        <w:t>As further outlined in </w:t>
      </w:r>
      <w:r>
        <w:rPr>
          <w:i/>
        </w:rPr>
        <w:t>Chapter 9: Strengthening the Foundations for Future Network Safety Regulation</w:t>
      </w:r>
      <w:r>
        <w:rPr/>
        <w:t>, the</w:t>
      </w:r>
      <w:r>
        <w:rPr>
          <w:spacing w:val="-7"/>
        </w:rPr>
        <w:t> </w:t>
      </w:r>
      <w:r>
        <w:rPr/>
        <w:t>framework should</w:t>
      </w:r>
      <w:r>
        <w:rPr>
          <w:spacing w:val="-4"/>
        </w:rPr>
        <w:t> </w:t>
      </w:r>
      <w:r>
        <w:rPr/>
        <w:t>support businesses</w:t>
      </w:r>
      <w:r>
        <w:rPr>
          <w:spacing w:val="-4"/>
        </w:rPr>
        <w:t> </w:t>
      </w:r>
      <w:r>
        <w:rPr/>
        <w:t>to</w:t>
      </w:r>
      <w:r>
        <w:rPr>
          <w:spacing w:val="-2"/>
        </w:rPr>
        <w:t> </w:t>
      </w:r>
      <w:r>
        <w:rPr/>
        <w:t>be</w:t>
      </w:r>
      <w:r>
        <w:rPr>
          <w:spacing w:val="-6"/>
        </w:rPr>
        <w:t> </w:t>
      </w:r>
      <w:r>
        <w:rPr/>
        <w:t>flexible</w:t>
      </w:r>
      <w:r>
        <w:rPr>
          <w:spacing w:val="-2"/>
        </w:rPr>
        <w:t> </w:t>
      </w:r>
      <w:r>
        <w:rPr/>
        <w:t>in</w:t>
      </w:r>
      <w:r>
        <w:rPr>
          <w:spacing w:val="-2"/>
        </w:rPr>
        <w:t> </w:t>
      </w:r>
      <w:r>
        <w:rPr/>
        <w:t>responding</w:t>
      </w:r>
      <w:r>
        <w:rPr>
          <w:spacing w:val="-2"/>
        </w:rPr>
        <w:t> </w:t>
      </w:r>
      <w:r>
        <w:rPr/>
        <w:t>to</w:t>
      </w:r>
      <w:r>
        <w:rPr>
          <w:spacing w:val="-2"/>
        </w:rPr>
        <w:t> </w:t>
      </w:r>
      <w:r>
        <w:rPr/>
        <w:t>emerging technologies and meeting safety obligations at lowest cost, whilst at the same time, ensuring businesses remain accountable for safety. The Review proposes changes to legislation and guidance</w:t>
      </w:r>
      <w:r>
        <w:rPr>
          <w:spacing w:val="-3"/>
        </w:rPr>
        <w:t> </w:t>
      </w:r>
      <w:r>
        <w:rPr/>
        <w:t>to</w:t>
      </w:r>
      <w:r>
        <w:rPr>
          <w:spacing w:val="-2"/>
        </w:rPr>
        <w:t> </w:t>
      </w:r>
      <w:r>
        <w:rPr/>
        <w:t>provide</w:t>
      </w:r>
      <w:r>
        <w:rPr>
          <w:spacing w:val="-1"/>
        </w:rPr>
        <w:t> </w:t>
      </w:r>
      <w:r>
        <w:rPr/>
        <w:t>clarity</w:t>
      </w:r>
      <w:r>
        <w:rPr>
          <w:spacing w:val="-3"/>
        </w:rPr>
        <w:t> </w:t>
      </w:r>
      <w:r>
        <w:rPr/>
        <w:t>on</w:t>
      </w:r>
      <w:r>
        <w:rPr>
          <w:spacing w:val="-1"/>
        </w:rPr>
        <w:t> </w:t>
      </w:r>
      <w:r>
        <w:rPr/>
        <w:t>how</w:t>
      </w:r>
      <w:r>
        <w:rPr>
          <w:spacing w:val="-3"/>
        </w:rPr>
        <w:t> </w:t>
      </w:r>
      <w:r>
        <w:rPr/>
        <w:t>safety</w:t>
      </w:r>
      <w:r>
        <w:rPr>
          <w:spacing w:val="-3"/>
        </w:rPr>
        <w:t> </w:t>
      </w:r>
      <w:r>
        <w:rPr/>
        <w:t>cases</w:t>
      </w:r>
      <w:r>
        <w:rPr>
          <w:spacing w:val="-2"/>
        </w:rPr>
        <w:t> </w:t>
      </w:r>
      <w:r>
        <w:rPr/>
        <w:t>may</w:t>
      </w:r>
      <w:r>
        <w:rPr>
          <w:spacing w:val="-3"/>
        </w:rPr>
        <w:t> </w:t>
      </w:r>
      <w:r>
        <w:rPr/>
        <w:t>be</w:t>
      </w:r>
      <w:r>
        <w:rPr>
          <w:spacing w:val="-1"/>
        </w:rPr>
        <w:t> </w:t>
      </w:r>
      <w:r>
        <w:rPr/>
        <w:t>kept</w:t>
      </w:r>
      <w:r>
        <w:rPr>
          <w:spacing w:val="-2"/>
        </w:rPr>
        <w:t> </w:t>
      </w:r>
      <w:r>
        <w:rPr/>
        <w:t>up</w:t>
      </w:r>
      <w:r>
        <w:rPr>
          <w:spacing w:val="-3"/>
        </w:rPr>
        <w:t> </w:t>
      </w:r>
      <w:r>
        <w:rPr/>
        <w:t>to</w:t>
      </w:r>
      <w:r>
        <w:rPr>
          <w:spacing w:val="-1"/>
        </w:rPr>
        <w:t> </w:t>
      </w:r>
      <w:r>
        <w:rPr/>
        <w:t>date,</w:t>
      </w:r>
      <w:r>
        <w:rPr>
          <w:spacing w:val="-2"/>
        </w:rPr>
        <w:t> </w:t>
      </w:r>
      <w:r>
        <w:rPr/>
        <w:t>and</w:t>
      </w:r>
      <w:r>
        <w:rPr>
          <w:spacing w:val="-1"/>
        </w:rPr>
        <w:t> </w:t>
      </w:r>
      <w:r>
        <w:rPr/>
        <w:t>to</w:t>
      </w:r>
      <w:r>
        <w:rPr>
          <w:spacing w:val="-3"/>
        </w:rPr>
        <w:t> </w:t>
      </w:r>
      <w:r>
        <w:rPr/>
        <w:t>improve</w:t>
      </w:r>
      <w:r>
        <w:rPr>
          <w:spacing w:val="-1"/>
        </w:rPr>
        <w:t> </w:t>
      </w:r>
      <w:r>
        <w:rPr/>
        <w:t>ESV’s oversight of changes businesses may wish to make as circumstances change over time.</w:t>
      </w:r>
    </w:p>
    <w:p>
      <w:pPr>
        <w:pStyle w:val="BodyText"/>
        <w:spacing w:before="3"/>
        <w:rPr>
          <w:sz w:val="31"/>
        </w:rPr>
      </w:pPr>
    </w:p>
    <w:p>
      <w:pPr>
        <w:pStyle w:val="Heading4"/>
        <w:spacing w:before="0"/>
      </w:pPr>
      <w:r>
        <w:rPr>
          <w:color w:val="585858"/>
          <w:spacing w:val="-2"/>
        </w:rPr>
        <w:t>Longer-term</w:t>
      </w:r>
      <w:r>
        <w:rPr>
          <w:color w:val="585858"/>
          <w:spacing w:val="-1"/>
        </w:rPr>
        <w:t> </w:t>
      </w:r>
      <w:r>
        <w:rPr>
          <w:color w:val="585858"/>
          <w:spacing w:val="-2"/>
        </w:rPr>
        <w:t>planning</w:t>
      </w:r>
    </w:p>
    <w:p>
      <w:pPr>
        <w:spacing w:line="288" w:lineRule="auto" w:before="314"/>
        <w:ind w:left="232" w:right="374" w:firstLine="0"/>
        <w:jc w:val="left"/>
        <w:rPr>
          <w:sz w:val="22"/>
        </w:rPr>
      </w:pPr>
      <w:r>
        <w:rPr>
          <w:sz w:val="22"/>
        </w:rPr>
        <w:t>Effective</w:t>
      </w:r>
      <w:r>
        <w:rPr>
          <w:spacing w:val="-2"/>
          <w:sz w:val="22"/>
        </w:rPr>
        <w:t> </w:t>
      </w:r>
      <w:r>
        <w:rPr>
          <w:sz w:val="22"/>
        </w:rPr>
        <w:t>planning is</w:t>
      </w:r>
      <w:r>
        <w:rPr>
          <w:spacing w:val="-1"/>
          <w:sz w:val="22"/>
        </w:rPr>
        <w:t> </w:t>
      </w:r>
      <w:r>
        <w:rPr>
          <w:sz w:val="22"/>
        </w:rPr>
        <w:t>essential</w:t>
      </w:r>
      <w:r>
        <w:rPr>
          <w:spacing w:val="-3"/>
          <w:sz w:val="22"/>
        </w:rPr>
        <w:t> </w:t>
      </w:r>
      <w:r>
        <w:rPr>
          <w:sz w:val="22"/>
        </w:rPr>
        <w:t>to</w:t>
      </w:r>
      <w:r>
        <w:rPr>
          <w:spacing w:val="-2"/>
          <w:sz w:val="22"/>
        </w:rPr>
        <w:t> </w:t>
      </w:r>
      <w:r>
        <w:rPr>
          <w:sz w:val="22"/>
        </w:rPr>
        <w:t>ensure</w:t>
      </w:r>
      <w:r>
        <w:rPr>
          <w:spacing w:val="-4"/>
          <w:sz w:val="22"/>
        </w:rPr>
        <w:t> </w:t>
      </w:r>
      <w:r>
        <w:rPr>
          <w:sz w:val="22"/>
        </w:rPr>
        <w:t>the</w:t>
      </w:r>
      <w:r>
        <w:rPr>
          <w:spacing w:val="-4"/>
          <w:sz w:val="22"/>
        </w:rPr>
        <w:t> </w:t>
      </w:r>
      <w:r>
        <w:rPr>
          <w:sz w:val="22"/>
        </w:rPr>
        <w:t>networks</w:t>
      </w:r>
      <w:r>
        <w:rPr>
          <w:spacing w:val="-1"/>
          <w:sz w:val="22"/>
        </w:rPr>
        <w:t> </w:t>
      </w:r>
      <w:r>
        <w:rPr>
          <w:sz w:val="22"/>
        </w:rPr>
        <w:t>are</w:t>
      </w:r>
      <w:r>
        <w:rPr>
          <w:spacing w:val="-2"/>
          <w:sz w:val="22"/>
        </w:rPr>
        <w:t> </w:t>
      </w:r>
      <w:r>
        <w:rPr>
          <w:sz w:val="22"/>
        </w:rPr>
        <w:t>able</w:t>
      </w:r>
      <w:r>
        <w:rPr>
          <w:spacing w:val="-4"/>
          <w:sz w:val="22"/>
        </w:rPr>
        <w:t> </w:t>
      </w:r>
      <w:r>
        <w:rPr>
          <w:sz w:val="22"/>
        </w:rPr>
        <w:t>to</w:t>
      </w:r>
      <w:r>
        <w:rPr>
          <w:spacing w:val="-4"/>
          <w:sz w:val="22"/>
        </w:rPr>
        <w:t> </w:t>
      </w:r>
      <w:r>
        <w:rPr>
          <w:sz w:val="22"/>
        </w:rPr>
        <w:t>provide</w:t>
      </w:r>
      <w:r>
        <w:rPr>
          <w:spacing w:val="-4"/>
          <w:sz w:val="22"/>
        </w:rPr>
        <w:t> </w:t>
      </w:r>
      <w:r>
        <w:rPr>
          <w:sz w:val="22"/>
        </w:rPr>
        <w:t>safe</w:t>
      </w:r>
      <w:r>
        <w:rPr>
          <w:spacing w:val="-2"/>
          <w:sz w:val="22"/>
        </w:rPr>
        <w:t> </w:t>
      </w:r>
      <w:r>
        <w:rPr>
          <w:sz w:val="22"/>
        </w:rPr>
        <w:t>and</w:t>
      </w:r>
      <w:r>
        <w:rPr>
          <w:spacing w:val="-4"/>
          <w:sz w:val="22"/>
        </w:rPr>
        <w:t> </w:t>
      </w:r>
      <w:r>
        <w:rPr>
          <w:sz w:val="22"/>
        </w:rPr>
        <w:t>reliable</w:t>
      </w:r>
      <w:r>
        <w:rPr>
          <w:spacing w:val="-2"/>
          <w:sz w:val="22"/>
        </w:rPr>
        <w:t> </w:t>
      </w:r>
      <w:r>
        <w:rPr>
          <w:sz w:val="22"/>
        </w:rPr>
        <w:t>energy supply to consumers into the future. The </w:t>
      </w:r>
      <w:r>
        <w:rPr>
          <w:i/>
          <w:sz w:val="22"/>
        </w:rPr>
        <w:t>Independent Review into the Future Security of the National Electricity Market </w:t>
      </w:r>
      <w:r>
        <w:rPr>
          <w:sz w:val="22"/>
        </w:rPr>
        <w:t>(2017) acknowledges that strategic planning is needed to provide a clear direction to incentivise appropriate, timely investments and innovation.</w:t>
      </w:r>
    </w:p>
    <w:p>
      <w:pPr>
        <w:pStyle w:val="BodyText"/>
        <w:spacing w:before="10"/>
        <w:rPr>
          <w:sz w:val="20"/>
        </w:rPr>
      </w:pPr>
    </w:p>
    <w:p>
      <w:pPr>
        <w:spacing w:line="288" w:lineRule="auto" w:before="1"/>
        <w:ind w:left="799" w:right="951" w:firstLine="0"/>
        <w:jc w:val="left"/>
        <w:rPr>
          <w:i/>
          <w:sz w:val="22"/>
        </w:rPr>
      </w:pPr>
      <w:r>
        <w:rPr>
          <w:i/>
          <w:sz w:val="22"/>
        </w:rPr>
        <w:t>“…policymakers</w:t>
      </w:r>
      <w:r>
        <w:rPr>
          <w:i/>
          <w:spacing w:val="-2"/>
          <w:sz w:val="22"/>
        </w:rPr>
        <w:t> </w:t>
      </w:r>
      <w:r>
        <w:rPr>
          <w:i/>
          <w:sz w:val="22"/>
        </w:rPr>
        <w:t>and</w:t>
      </w:r>
      <w:r>
        <w:rPr>
          <w:i/>
          <w:spacing w:val="-6"/>
          <w:sz w:val="22"/>
        </w:rPr>
        <w:t> </w:t>
      </w:r>
      <w:r>
        <w:rPr>
          <w:i/>
          <w:sz w:val="22"/>
        </w:rPr>
        <w:t>the</w:t>
      </w:r>
      <w:r>
        <w:rPr>
          <w:i/>
          <w:spacing w:val="-4"/>
          <w:sz w:val="22"/>
        </w:rPr>
        <w:t> </w:t>
      </w:r>
      <w:r>
        <w:rPr>
          <w:i/>
          <w:sz w:val="22"/>
        </w:rPr>
        <w:t>community</w:t>
      </w:r>
      <w:r>
        <w:rPr>
          <w:i/>
          <w:spacing w:val="-4"/>
          <w:sz w:val="22"/>
        </w:rPr>
        <w:t> </w:t>
      </w:r>
      <w:r>
        <w:rPr>
          <w:i/>
          <w:sz w:val="22"/>
        </w:rPr>
        <w:t>must</w:t>
      </w:r>
      <w:r>
        <w:rPr>
          <w:i/>
          <w:spacing w:val="-1"/>
          <w:sz w:val="22"/>
        </w:rPr>
        <w:t> </w:t>
      </w:r>
      <w:r>
        <w:rPr>
          <w:i/>
          <w:sz w:val="22"/>
        </w:rPr>
        <w:t>have</w:t>
      </w:r>
      <w:r>
        <w:rPr>
          <w:i/>
          <w:spacing w:val="-4"/>
          <w:sz w:val="22"/>
        </w:rPr>
        <w:t> </w:t>
      </w:r>
      <w:r>
        <w:rPr>
          <w:i/>
          <w:sz w:val="22"/>
        </w:rPr>
        <w:t>confidence</w:t>
      </w:r>
      <w:r>
        <w:rPr>
          <w:i/>
          <w:spacing w:val="-2"/>
          <w:sz w:val="22"/>
        </w:rPr>
        <w:t> </w:t>
      </w:r>
      <w:r>
        <w:rPr>
          <w:i/>
          <w:sz w:val="22"/>
        </w:rPr>
        <w:t>that</w:t>
      </w:r>
      <w:r>
        <w:rPr>
          <w:i/>
          <w:spacing w:val="-3"/>
          <w:sz w:val="22"/>
        </w:rPr>
        <w:t> </w:t>
      </w:r>
      <w:r>
        <w:rPr>
          <w:i/>
          <w:sz w:val="22"/>
        </w:rPr>
        <w:t>the</w:t>
      </w:r>
      <w:r>
        <w:rPr>
          <w:i/>
          <w:spacing w:val="-4"/>
          <w:sz w:val="22"/>
        </w:rPr>
        <w:t> </w:t>
      </w:r>
      <w:r>
        <w:rPr>
          <w:i/>
          <w:sz w:val="22"/>
        </w:rPr>
        <w:t>system</w:t>
      </w:r>
      <w:r>
        <w:rPr>
          <w:i/>
          <w:spacing w:val="-6"/>
          <w:sz w:val="22"/>
        </w:rPr>
        <w:t> </w:t>
      </w:r>
      <w:r>
        <w:rPr>
          <w:i/>
          <w:sz w:val="22"/>
        </w:rPr>
        <w:t>is</w:t>
      </w:r>
      <w:r>
        <w:rPr>
          <w:i/>
          <w:spacing w:val="-2"/>
          <w:sz w:val="22"/>
        </w:rPr>
        <w:t> </w:t>
      </w:r>
      <w:r>
        <w:rPr>
          <w:i/>
          <w:sz w:val="22"/>
        </w:rPr>
        <w:t>working well and that emerging issues, risks and opportunities are being identified and managed or capitalised on as appropriate.” </w:t>
      </w:r>
      <w:r>
        <w:rPr>
          <w:sz w:val="22"/>
        </w:rPr>
        <w:t>(Finkel, 2017, p. 122</w:t>
      </w:r>
      <w:r>
        <w:rPr>
          <w:i/>
          <w:sz w:val="22"/>
        </w:rPr>
        <w:t>)</w:t>
      </w:r>
    </w:p>
    <w:p>
      <w:pPr>
        <w:pStyle w:val="BodyText"/>
        <w:spacing w:before="8"/>
        <w:rPr>
          <w:i/>
          <w:sz w:val="20"/>
        </w:rPr>
      </w:pPr>
    </w:p>
    <w:p>
      <w:pPr>
        <w:pStyle w:val="BodyText"/>
        <w:spacing w:line="288" w:lineRule="auto"/>
        <w:ind w:left="232" w:right="374"/>
      </w:pPr>
      <w:r>
        <w:rPr/>
        <w:t>Some</w:t>
      </w:r>
      <w:r>
        <w:rPr>
          <w:spacing w:val="-1"/>
        </w:rPr>
        <w:t> </w:t>
      </w:r>
      <w:r>
        <w:rPr/>
        <w:t>stakeholders</w:t>
      </w:r>
      <w:r>
        <w:rPr>
          <w:spacing w:val="-4"/>
        </w:rPr>
        <w:t> </w:t>
      </w:r>
      <w:r>
        <w:rPr/>
        <w:t>have</w:t>
      </w:r>
      <w:r>
        <w:rPr>
          <w:spacing w:val="-2"/>
        </w:rPr>
        <w:t> </w:t>
      </w:r>
      <w:r>
        <w:rPr/>
        <w:t>suggested</w:t>
      </w:r>
      <w:r>
        <w:rPr>
          <w:spacing w:val="-6"/>
        </w:rPr>
        <w:t> </w:t>
      </w:r>
      <w:r>
        <w:rPr/>
        <w:t>that</w:t>
      </w:r>
      <w:r>
        <w:rPr>
          <w:spacing w:val="-3"/>
        </w:rPr>
        <w:t> </w:t>
      </w:r>
      <w:r>
        <w:rPr/>
        <w:t>potential</w:t>
      </w:r>
      <w:r>
        <w:rPr>
          <w:spacing w:val="-3"/>
        </w:rPr>
        <w:t> </w:t>
      </w:r>
      <w:r>
        <w:rPr/>
        <w:t>adverse</w:t>
      </w:r>
      <w:r>
        <w:rPr>
          <w:spacing w:val="-1"/>
        </w:rPr>
        <w:t> </w:t>
      </w:r>
      <w:r>
        <w:rPr/>
        <w:t>impacts</w:t>
      </w:r>
      <w:r>
        <w:rPr>
          <w:spacing w:val="-4"/>
        </w:rPr>
        <w:t> </w:t>
      </w:r>
      <w:r>
        <w:rPr/>
        <w:t>may</w:t>
      </w:r>
      <w:r>
        <w:rPr>
          <w:spacing w:val="-4"/>
        </w:rPr>
        <w:t> </w:t>
      </w:r>
      <w:r>
        <w:rPr/>
        <w:t>arise</w:t>
      </w:r>
      <w:r>
        <w:rPr>
          <w:spacing w:val="-4"/>
        </w:rPr>
        <w:t> </w:t>
      </w:r>
      <w:r>
        <w:rPr/>
        <w:t>from</w:t>
      </w:r>
      <w:r>
        <w:rPr>
          <w:spacing w:val="-3"/>
        </w:rPr>
        <w:t> </w:t>
      </w:r>
      <w:r>
        <w:rPr/>
        <w:t>differences between the time horizon in economic determinations and the long-term reliability and maintenance needs of the networks.</w:t>
      </w:r>
    </w:p>
    <w:p>
      <w:pPr>
        <w:pStyle w:val="BodyText"/>
        <w:spacing w:before="9"/>
        <w:rPr>
          <w:sz w:val="20"/>
        </w:rPr>
      </w:pPr>
    </w:p>
    <w:p>
      <w:pPr>
        <w:pStyle w:val="BodyText"/>
        <w:spacing w:line="288" w:lineRule="auto"/>
        <w:ind w:left="232" w:right="693"/>
        <w:jc w:val="both"/>
      </w:pPr>
      <w:r>
        <w:rPr/>
        <w:t>In its submission to</w:t>
      </w:r>
      <w:r>
        <w:rPr>
          <w:spacing w:val="-3"/>
        </w:rPr>
        <w:t> </w:t>
      </w:r>
      <w:r>
        <w:rPr/>
        <w:t>the</w:t>
      </w:r>
      <w:r>
        <w:rPr>
          <w:spacing w:val="-1"/>
        </w:rPr>
        <w:t> </w:t>
      </w:r>
      <w:r>
        <w:rPr/>
        <w:t>Review, R2A has raised</w:t>
      </w:r>
      <w:r>
        <w:rPr>
          <w:spacing w:val="-1"/>
        </w:rPr>
        <w:t> </w:t>
      </w:r>
      <w:r>
        <w:rPr/>
        <w:t>concerns</w:t>
      </w:r>
      <w:r>
        <w:rPr>
          <w:spacing w:val="-1"/>
        </w:rPr>
        <w:t> </w:t>
      </w:r>
      <w:r>
        <w:rPr/>
        <w:t>with the</w:t>
      </w:r>
      <w:r>
        <w:rPr>
          <w:spacing w:val="-1"/>
        </w:rPr>
        <w:t> </w:t>
      </w:r>
      <w:r>
        <w:rPr/>
        <w:t>five-year time horizon of the economic</w:t>
      </w:r>
      <w:r>
        <w:rPr>
          <w:spacing w:val="-1"/>
        </w:rPr>
        <w:t> </w:t>
      </w:r>
      <w:r>
        <w:rPr/>
        <w:t>determinations</w:t>
      </w:r>
      <w:r>
        <w:rPr>
          <w:spacing w:val="-4"/>
        </w:rPr>
        <w:t> </w:t>
      </w:r>
      <w:r>
        <w:rPr/>
        <w:t>by</w:t>
      </w:r>
      <w:r>
        <w:rPr>
          <w:spacing w:val="-4"/>
        </w:rPr>
        <w:t> </w:t>
      </w:r>
      <w:r>
        <w:rPr/>
        <w:t>the</w:t>
      </w:r>
      <w:r>
        <w:rPr>
          <w:spacing w:val="-2"/>
        </w:rPr>
        <w:t> </w:t>
      </w:r>
      <w:r>
        <w:rPr/>
        <w:t>AER</w:t>
      </w:r>
      <w:r>
        <w:rPr>
          <w:spacing w:val="-2"/>
        </w:rPr>
        <w:t> </w:t>
      </w:r>
      <w:r>
        <w:rPr/>
        <w:t>and</w:t>
      </w:r>
      <w:r>
        <w:rPr>
          <w:spacing w:val="-4"/>
        </w:rPr>
        <w:t> </w:t>
      </w:r>
      <w:r>
        <w:rPr/>
        <w:t>how</w:t>
      </w:r>
      <w:r>
        <w:rPr>
          <w:spacing w:val="-5"/>
        </w:rPr>
        <w:t> </w:t>
      </w:r>
      <w:r>
        <w:rPr/>
        <w:t>this</w:t>
      </w:r>
      <w:r>
        <w:rPr>
          <w:spacing w:val="-1"/>
        </w:rPr>
        <w:t> </w:t>
      </w:r>
      <w:r>
        <w:rPr/>
        <w:t>might affect longer-term</w:t>
      </w:r>
      <w:r>
        <w:rPr>
          <w:spacing w:val="-3"/>
        </w:rPr>
        <w:t> </w:t>
      </w:r>
      <w:r>
        <w:rPr/>
        <w:t>maintenance</w:t>
      </w:r>
      <w:r>
        <w:rPr>
          <w:spacing w:val="-4"/>
        </w:rPr>
        <w:t> </w:t>
      </w:r>
      <w:r>
        <w:rPr/>
        <w:t>of the electricity network:</w:t>
      </w:r>
    </w:p>
    <w:p>
      <w:pPr>
        <w:pStyle w:val="BodyText"/>
        <w:rPr>
          <w:sz w:val="21"/>
        </w:rPr>
      </w:pPr>
    </w:p>
    <w:p>
      <w:pPr>
        <w:spacing w:line="288" w:lineRule="auto" w:before="1"/>
        <w:ind w:left="799" w:right="951" w:firstLine="0"/>
        <w:jc w:val="left"/>
        <w:rPr>
          <w:sz w:val="22"/>
        </w:rPr>
      </w:pPr>
      <w:r>
        <w:rPr>
          <w:i/>
          <w:sz w:val="22"/>
        </w:rPr>
        <w:t>“Failure</w:t>
      </w:r>
      <w:r>
        <w:rPr>
          <w:i/>
          <w:spacing w:val="-2"/>
          <w:sz w:val="22"/>
        </w:rPr>
        <w:t> </w:t>
      </w:r>
      <w:r>
        <w:rPr>
          <w:i/>
          <w:sz w:val="22"/>
        </w:rPr>
        <w:t>to</w:t>
      </w:r>
      <w:r>
        <w:rPr>
          <w:i/>
          <w:spacing w:val="-5"/>
          <w:sz w:val="22"/>
        </w:rPr>
        <w:t> </w:t>
      </w:r>
      <w:r>
        <w:rPr>
          <w:i/>
          <w:sz w:val="22"/>
        </w:rPr>
        <w:t>maintain</w:t>
      </w:r>
      <w:r>
        <w:rPr>
          <w:i/>
          <w:spacing w:val="-3"/>
          <w:sz w:val="22"/>
        </w:rPr>
        <w:t> </w:t>
      </w:r>
      <w:r>
        <w:rPr>
          <w:i/>
          <w:sz w:val="22"/>
        </w:rPr>
        <w:t>a</w:t>
      </w:r>
      <w:r>
        <w:rPr>
          <w:i/>
          <w:spacing w:val="-2"/>
          <w:sz w:val="22"/>
        </w:rPr>
        <w:t> </w:t>
      </w:r>
      <w:r>
        <w:rPr>
          <w:i/>
          <w:sz w:val="22"/>
        </w:rPr>
        <w:t>presently</w:t>
      </w:r>
      <w:r>
        <w:rPr>
          <w:i/>
          <w:spacing w:val="-5"/>
          <w:sz w:val="22"/>
        </w:rPr>
        <w:t> </w:t>
      </w:r>
      <w:r>
        <w:rPr>
          <w:i/>
          <w:sz w:val="22"/>
        </w:rPr>
        <w:t>well</w:t>
      </w:r>
      <w:r>
        <w:rPr>
          <w:i/>
          <w:spacing w:val="-3"/>
          <w:sz w:val="22"/>
        </w:rPr>
        <w:t> </w:t>
      </w:r>
      <w:r>
        <w:rPr>
          <w:i/>
          <w:sz w:val="22"/>
        </w:rPr>
        <w:t>maintained</w:t>
      </w:r>
      <w:r>
        <w:rPr>
          <w:i/>
          <w:spacing w:val="-3"/>
          <w:sz w:val="22"/>
        </w:rPr>
        <w:t> </w:t>
      </w:r>
      <w:r>
        <w:rPr>
          <w:i/>
          <w:sz w:val="22"/>
        </w:rPr>
        <w:t>asset</w:t>
      </w:r>
      <w:r>
        <w:rPr>
          <w:i/>
          <w:spacing w:val="-2"/>
          <w:sz w:val="22"/>
        </w:rPr>
        <w:t> </w:t>
      </w:r>
      <w:r>
        <w:rPr>
          <w:i/>
          <w:sz w:val="22"/>
        </w:rPr>
        <w:t>is</w:t>
      </w:r>
      <w:r>
        <w:rPr>
          <w:i/>
          <w:spacing w:val="-5"/>
          <w:sz w:val="22"/>
        </w:rPr>
        <w:t> </w:t>
      </w:r>
      <w:r>
        <w:rPr>
          <w:i/>
          <w:sz w:val="22"/>
        </w:rPr>
        <w:t>unlikely</w:t>
      </w:r>
      <w:r>
        <w:rPr>
          <w:i/>
          <w:spacing w:val="-2"/>
          <w:sz w:val="22"/>
        </w:rPr>
        <w:t> </w:t>
      </w:r>
      <w:r>
        <w:rPr>
          <w:i/>
          <w:sz w:val="22"/>
        </w:rPr>
        <w:t>to</w:t>
      </w:r>
      <w:r>
        <w:rPr>
          <w:i/>
          <w:spacing w:val="-5"/>
          <w:sz w:val="22"/>
        </w:rPr>
        <w:t> </w:t>
      </w:r>
      <w:r>
        <w:rPr>
          <w:i/>
          <w:sz w:val="22"/>
        </w:rPr>
        <w:t>cause</w:t>
      </w:r>
      <w:r>
        <w:rPr>
          <w:i/>
          <w:spacing w:val="-5"/>
          <w:sz w:val="22"/>
        </w:rPr>
        <w:t> </w:t>
      </w:r>
      <w:r>
        <w:rPr>
          <w:i/>
          <w:sz w:val="22"/>
        </w:rPr>
        <w:t>safety</w:t>
      </w:r>
      <w:r>
        <w:rPr>
          <w:i/>
          <w:spacing w:val="-5"/>
          <w:sz w:val="22"/>
        </w:rPr>
        <w:t> </w:t>
      </w:r>
      <w:r>
        <w:rPr>
          <w:i/>
          <w:sz w:val="22"/>
        </w:rPr>
        <w:t>issues within a 5 year cycle. However deferred maintenance always has long term consequences, particularly for safety and the reliability of networks.” </w:t>
      </w:r>
      <w:r>
        <w:rPr>
          <w:sz w:val="22"/>
        </w:rPr>
        <w:t>(R2A, 2017, p. 5)</w:t>
      </w:r>
    </w:p>
    <w:p>
      <w:pPr>
        <w:pStyle w:val="BodyText"/>
        <w:spacing w:before="8"/>
        <w:rPr>
          <w:sz w:val="20"/>
        </w:rPr>
      </w:pPr>
    </w:p>
    <w:p>
      <w:pPr>
        <w:pStyle w:val="BodyText"/>
        <w:spacing w:line="288" w:lineRule="auto"/>
        <w:ind w:left="232" w:right="320"/>
      </w:pPr>
      <w:r>
        <w:rPr/>
        <w:t>In relation to the gas network, AEMO has raised a number of specific concerns around planning, including its concerns around the economic regulatory system not sufficiently facilitating new investments</w:t>
      </w:r>
      <w:r>
        <w:rPr>
          <w:spacing w:val="-1"/>
        </w:rPr>
        <w:t> </w:t>
      </w:r>
      <w:r>
        <w:rPr/>
        <w:t>in</w:t>
      </w:r>
      <w:r>
        <w:rPr>
          <w:spacing w:val="-6"/>
        </w:rPr>
        <w:t> </w:t>
      </w:r>
      <w:r>
        <w:rPr/>
        <w:t>gas</w:t>
      </w:r>
      <w:r>
        <w:rPr>
          <w:spacing w:val="-2"/>
        </w:rPr>
        <w:t> </w:t>
      </w:r>
      <w:r>
        <w:rPr/>
        <w:t>pipeline</w:t>
      </w:r>
      <w:r>
        <w:rPr>
          <w:spacing w:val="-2"/>
        </w:rPr>
        <w:t> </w:t>
      </w:r>
      <w:r>
        <w:rPr/>
        <w:t>infrastructure.</w:t>
      </w:r>
      <w:r>
        <w:rPr>
          <w:spacing w:val="-8"/>
        </w:rPr>
        <w:t> </w:t>
      </w:r>
      <w:r>
        <w:rPr/>
        <w:t>Without</w:t>
      </w:r>
      <w:r>
        <w:rPr>
          <w:spacing w:val="-3"/>
        </w:rPr>
        <w:t> </w:t>
      </w:r>
      <w:r>
        <w:rPr/>
        <w:t>timely</w:t>
      </w:r>
      <w:r>
        <w:rPr>
          <w:spacing w:val="-4"/>
        </w:rPr>
        <w:t> </w:t>
      </w:r>
      <w:r>
        <w:rPr/>
        <w:t>investments,</w:t>
      </w:r>
      <w:r>
        <w:rPr>
          <w:spacing w:val="-3"/>
        </w:rPr>
        <w:t> </w:t>
      </w:r>
      <w:r>
        <w:rPr/>
        <w:t>there</w:t>
      </w:r>
      <w:r>
        <w:rPr>
          <w:spacing w:val="-2"/>
        </w:rPr>
        <w:t> </w:t>
      </w:r>
      <w:r>
        <w:rPr/>
        <w:t>may</w:t>
      </w:r>
      <w:r>
        <w:rPr>
          <w:spacing w:val="-4"/>
        </w:rPr>
        <w:t> </w:t>
      </w:r>
      <w:r>
        <w:rPr/>
        <w:t>be</w:t>
      </w:r>
      <w:r>
        <w:rPr>
          <w:spacing w:val="-2"/>
        </w:rPr>
        <w:t> </w:t>
      </w:r>
      <w:r>
        <w:rPr/>
        <w:t>a</w:t>
      </w:r>
      <w:r>
        <w:rPr>
          <w:spacing w:val="-4"/>
        </w:rPr>
        <w:t> </w:t>
      </w:r>
      <w:r>
        <w:rPr/>
        <w:t>deterioration in the reliability of supply to gas consumers.</w:t>
      </w:r>
    </w:p>
    <w:p>
      <w:pPr>
        <w:pStyle w:val="BodyText"/>
        <w:spacing w:before="10"/>
        <w:rPr>
          <w:sz w:val="20"/>
        </w:rPr>
      </w:pPr>
    </w:p>
    <w:p>
      <w:pPr>
        <w:spacing w:line="288" w:lineRule="auto" w:before="1"/>
        <w:ind w:left="232" w:right="374" w:firstLine="0"/>
        <w:jc w:val="left"/>
        <w:rPr>
          <w:sz w:val="22"/>
        </w:rPr>
      </w:pPr>
      <w:r>
        <w:rPr>
          <w:sz w:val="22"/>
        </w:rPr>
        <w:t>AEMO has noted that Section 79 of the </w:t>
      </w:r>
      <w:r>
        <w:rPr>
          <w:i/>
          <w:sz w:val="22"/>
        </w:rPr>
        <w:t>National Gas Rules </w:t>
      </w:r>
      <w:r>
        <w:rPr>
          <w:sz w:val="22"/>
        </w:rPr>
        <w:t>can make it difficult to justify expenditure</w:t>
      </w:r>
      <w:r>
        <w:rPr>
          <w:spacing w:val="-1"/>
          <w:sz w:val="22"/>
        </w:rPr>
        <w:t> </w:t>
      </w:r>
      <w:r>
        <w:rPr>
          <w:sz w:val="22"/>
        </w:rPr>
        <w:t>to</w:t>
      </w:r>
      <w:r>
        <w:rPr>
          <w:spacing w:val="-4"/>
          <w:sz w:val="22"/>
        </w:rPr>
        <w:t> </w:t>
      </w:r>
      <w:r>
        <w:rPr>
          <w:sz w:val="22"/>
        </w:rPr>
        <w:t>accommodate</w:t>
      </w:r>
      <w:r>
        <w:rPr>
          <w:spacing w:val="-4"/>
          <w:sz w:val="22"/>
        </w:rPr>
        <w:t> </w:t>
      </w:r>
      <w:r>
        <w:rPr>
          <w:sz w:val="22"/>
        </w:rPr>
        <w:t>future</w:t>
      </w:r>
      <w:r>
        <w:rPr>
          <w:spacing w:val="-4"/>
          <w:sz w:val="22"/>
        </w:rPr>
        <w:t> </w:t>
      </w:r>
      <w:r>
        <w:rPr>
          <w:sz w:val="22"/>
        </w:rPr>
        <w:t>gas</w:t>
      </w:r>
      <w:r>
        <w:rPr>
          <w:spacing w:val="-4"/>
          <w:sz w:val="22"/>
        </w:rPr>
        <w:t> </w:t>
      </w:r>
      <w:r>
        <w:rPr>
          <w:sz w:val="22"/>
        </w:rPr>
        <w:t>demand</w:t>
      </w:r>
      <w:r>
        <w:rPr>
          <w:spacing w:val="-4"/>
          <w:sz w:val="22"/>
        </w:rPr>
        <w:t> </w:t>
      </w:r>
      <w:r>
        <w:rPr>
          <w:i/>
          <w:sz w:val="22"/>
        </w:rPr>
        <w:t>“unless</w:t>
      </w:r>
      <w:r>
        <w:rPr>
          <w:i/>
          <w:spacing w:val="-2"/>
          <w:sz w:val="22"/>
        </w:rPr>
        <w:t> </w:t>
      </w:r>
      <w:r>
        <w:rPr>
          <w:i/>
          <w:sz w:val="22"/>
        </w:rPr>
        <w:t>it</w:t>
      </w:r>
      <w:r>
        <w:rPr>
          <w:i/>
          <w:spacing w:val="-3"/>
          <w:sz w:val="22"/>
        </w:rPr>
        <w:t> </w:t>
      </w:r>
      <w:r>
        <w:rPr>
          <w:i/>
          <w:sz w:val="22"/>
        </w:rPr>
        <w:t>meets</w:t>
      </w:r>
      <w:r>
        <w:rPr>
          <w:i/>
          <w:spacing w:val="-4"/>
          <w:sz w:val="22"/>
        </w:rPr>
        <w:t> </w:t>
      </w:r>
      <w:r>
        <w:rPr>
          <w:i/>
          <w:sz w:val="22"/>
        </w:rPr>
        <w:t>a</w:t>
      </w:r>
      <w:r>
        <w:rPr>
          <w:i/>
          <w:spacing w:val="-2"/>
          <w:sz w:val="22"/>
        </w:rPr>
        <w:t> </w:t>
      </w:r>
      <w:r>
        <w:rPr>
          <w:i/>
          <w:sz w:val="22"/>
        </w:rPr>
        <w:t>positive</w:t>
      </w:r>
      <w:r>
        <w:rPr>
          <w:i/>
          <w:spacing w:val="-2"/>
          <w:sz w:val="22"/>
        </w:rPr>
        <w:t> </w:t>
      </w:r>
      <w:r>
        <w:rPr>
          <w:i/>
          <w:sz w:val="22"/>
        </w:rPr>
        <w:t>net</w:t>
      </w:r>
      <w:r>
        <w:rPr>
          <w:i/>
          <w:spacing w:val="-3"/>
          <w:sz w:val="22"/>
        </w:rPr>
        <w:t> </w:t>
      </w:r>
      <w:r>
        <w:rPr>
          <w:i/>
          <w:sz w:val="22"/>
        </w:rPr>
        <w:t>present</w:t>
      </w:r>
      <w:r>
        <w:rPr>
          <w:i/>
          <w:spacing w:val="-3"/>
          <w:sz w:val="22"/>
        </w:rPr>
        <w:t> </w:t>
      </w:r>
      <w:r>
        <w:rPr>
          <w:i/>
          <w:sz w:val="22"/>
        </w:rPr>
        <w:t>value</w:t>
      </w:r>
      <w:r>
        <w:rPr>
          <w:i/>
          <w:spacing w:val="-2"/>
          <w:sz w:val="22"/>
        </w:rPr>
        <w:t> </w:t>
      </w:r>
      <w:r>
        <w:rPr>
          <w:i/>
          <w:sz w:val="22"/>
        </w:rPr>
        <w:t>test or is required to comply with a regulatory requirement” </w:t>
      </w:r>
      <w:r>
        <w:rPr>
          <w:sz w:val="22"/>
        </w:rPr>
        <w:t>(AEMO, 2017, p. 3).</w:t>
      </w:r>
    </w:p>
    <w:p>
      <w:pPr>
        <w:pStyle w:val="BodyText"/>
        <w:rPr>
          <w:sz w:val="21"/>
        </w:rPr>
      </w:pPr>
    </w:p>
    <w:p>
      <w:pPr>
        <w:pStyle w:val="BodyText"/>
        <w:spacing w:line="288" w:lineRule="auto"/>
        <w:ind w:left="232" w:right="320"/>
      </w:pPr>
      <w:r>
        <w:rPr/>
        <w:t>AEMO has highlighted its view that there is a disconnect in the intent of Section 32 of the </w:t>
      </w:r>
      <w:r>
        <w:rPr>
          <w:i/>
        </w:rPr>
        <w:t>Gas Safety</w:t>
      </w:r>
      <w:r>
        <w:rPr>
          <w:i/>
          <w:spacing w:val="-3"/>
        </w:rPr>
        <w:t> </w:t>
      </w:r>
      <w:r>
        <w:rPr>
          <w:i/>
        </w:rPr>
        <w:t>Act</w:t>
      </w:r>
      <w:r>
        <w:rPr>
          <w:i/>
          <w:spacing w:val="-2"/>
        </w:rPr>
        <w:t> </w:t>
      </w:r>
      <w:r>
        <w:rPr>
          <w:i/>
        </w:rPr>
        <w:t>1997</w:t>
      </w:r>
      <w:r>
        <w:rPr>
          <w:i/>
          <w:spacing w:val="-3"/>
        </w:rPr>
        <w:t> </w:t>
      </w:r>
      <w:r>
        <w:rPr/>
        <w:t>(which</w:t>
      </w:r>
      <w:r>
        <w:rPr>
          <w:spacing w:val="-1"/>
        </w:rPr>
        <w:t> </w:t>
      </w:r>
      <w:r>
        <w:rPr/>
        <w:t>requires</w:t>
      </w:r>
      <w:r>
        <w:rPr>
          <w:spacing w:val="-5"/>
        </w:rPr>
        <w:t> </w:t>
      </w:r>
      <w:r>
        <w:rPr/>
        <w:t>gas</w:t>
      </w:r>
      <w:r>
        <w:rPr>
          <w:spacing w:val="-3"/>
        </w:rPr>
        <w:t> </w:t>
      </w:r>
      <w:r>
        <w:rPr/>
        <w:t>companies</w:t>
      </w:r>
      <w:r>
        <w:rPr>
          <w:spacing w:val="-3"/>
        </w:rPr>
        <w:t> </w:t>
      </w:r>
      <w:r>
        <w:rPr/>
        <w:t>to</w:t>
      </w:r>
      <w:r>
        <w:rPr>
          <w:spacing w:val="-1"/>
        </w:rPr>
        <w:t> </w:t>
      </w:r>
      <w:r>
        <w:rPr/>
        <w:t>minimise,</w:t>
      </w:r>
      <w:r>
        <w:rPr>
          <w:spacing w:val="-2"/>
        </w:rPr>
        <w:t> </w:t>
      </w:r>
      <w:r>
        <w:rPr/>
        <w:t>as</w:t>
      </w:r>
      <w:r>
        <w:rPr>
          <w:spacing w:val="-5"/>
        </w:rPr>
        <w:t> </w:t>
      </w:r>
      <w:r>
        <w:rPr/>
        <w:t>far as</w:t>
      </w:r>
      <w:r>
        <w:rPr>
          <w:spacing w:val="-3"/>
        </w:rPr>
        <w:t> </w:t>
      </w:r>
      <w:r>
        <w:rPr/>
        <w:t>practicable,</w:t>
      </w:r>
      <w:r>
        <w:rPr>
          <w:spacing w:val="-2"/>
        </w:rPr>
        <w:t> </w:t>
      </w:r>
      <w:r>
        <w:rPr/>
        <w:t>the</w:t>
      </w:r>
      <w:r>
        <w:rPr>
          <w:spacing w:val="-1"/>
        </w:rPr>
        <w:t> </w:t>
      </w:r>
      <w:r>
        <w:rPr/>
        <w:t>hazards</w:t>
      </w:r>
      <w:r>
        <w:rPr>
          <w:spacing w:val="-3"/>
        </w:rPr>
        <w:t> </w:t>
      </w:r>
      <w:r>
        <w:rPr/>
        <w:t>and risks to community safety arising from the interruption or reinstatement of gas supply), and the </w:t>
      </w:r>
      <w:r>
        <w:rPr>
          <w:i/>
        </w:rPr>
        <w:t>National Gas Rules </w:t>
      </w:r>
      <w:r>
        <w:rPr/>
        <w:t>(which require AEMO to publish a bi-annual planning review of the Declared Transmission System, but doesn’t require the Declared Transmission System service provider to make pipeline investments consistent with these planning reviews). AEMO has also noted that</w:t>
      </w:r>
    </w:p>
    <w:p>
      <w:pPr>
        <w:spacing w:after="0" w:line="288" w:lineRule="auto"/>
        <w:sectPr>
          <w:pgSz w:w="11910" w:h="16850"/>
          <w:pgMar w:header="220" w:footer="678" w:top="420" w:bottom="860" w:left="900" w:right="840"/>
        </w:sectPr>
      </w:pPr>
    </w:p>
    <w:p>
      <w:pPr>
        <w:pStyle w:val="BodyText"/>
        <w:rPr>
          <w:sz w:val="20"/>
        </w:rPr>
      </w:pPr>
    </w:p>
    <w:p>
      <w:pPr>
        <w:pStyle w:val="BodyText"/>
        <w:spacing w:before="2"/>
        <w:rPr>
          <w:sz w:val="19"/>
        </w:rPr>
      </w:pPr>
    </w:p>
    <w:p>
      <w:pPr>
        <w:spacing w:line="288" w:lineRule="auto" w:before="94"/>
        <w:ind w:left="232" w:right="374" w:firstLine="0"/>
        <w:jc w:val="left"/>
        <w:rPr>
          <w:sz w:val="22"/>
        </w:rPr>
      </w:pPr>
      <w:r>
        <w:rPr>
          <w:sz w:val="22"/>
        </w:rPr>
        <w:t>“</w:t>
      </w:r>
      <w:r>
        <w:rPr>
          <w:i/>
          <w:sz w:val="22"/>
        </w:rPr>
        <w:t>there</w:t>
      </w:r>
      <w:r>
        <w:rPr>
          <w:i/>
          <w:spacing w:val="-2"/>
          <w:sz w:val="22"/>
        </w:rPr>
        <w:t> </w:t>
      </w:r>
      <w:r>
        <w:rPr>
          <w:i/>
          <w:sz w:val="22"/>
        </w:rPr>
        <w:t>is</w:t>
      </w:r>
      <w:r>
        <w:rPr>
          <w:i/>
          <w:spacing w:val="-2"/>
          <w:sz w:val="22"/>
        </w:rPr>
        <w:t> </w:t>
      </w:r>
      <w:r>
        <w:rPr>
          <w:i/>
          <w:sz w:val="22"/>
        </w:rPr>
        <w:t>no</w:t>
      </w:r>
      <w:r>
        <w:rPr>
          <w:i/>
          <w:spacing w:val="-4"/>
          <w:sz w:val="22"/>
        </w:rPr>
        <w:t> </w:t>
      </w:r>
      <w:r>
        <w:rPr>
          <w:i/>
          <w:sz w:val="22"/>
        </w:rPr>
        <w:t>requirement</w:t>
      </w:r>
      <w:r>
        <w:rPr>
          <w:i/>
          <w:spacing w:val="-3"/>
          <w:sz w:val="22"/>
        </w:rPr>
        <w:t> </w:t>
      </w:r>
      <w:r>
        <w:rPr>
          <w:i/>
          <w:sz w:val="22"/>
        </w:rPr>
        <w:t>for</w:t>
      </w:r>
      <w:r>
        <w:rPr>
          <w:i/>
          <w:spacing w:val="-3"/>
          <w:sz w:val="22"/>
        </w:rPr>
        <w:t> </w:t>
      </w:r>
      <w:r>
        <w:rPr>
          <w:i/>
          <w:sz w:val="22"/>
        </w:rPr>
        <w:t>integrated</w:t>
      </w:r>
      <w:r>
        <w:rPr>
          <w:i/>
          <w:spacing w:val="-2"/>
          <w:sz w:val="22"/>
        </w:rPr>
        <w:t> </w:t>
      </w:r>
      <w:r>
        <w:rPr>
          <w:i/>
          <w:sz w:val="22"/>
        </w:rPr>
        <w:t>planning</w:t>
      </w:r>
      <w:r>
        <w:rPr>
          <w:i/>
          <w:spacing w:val="-2"/>
          <w:sz w:val="22"/>
        </w:rPr>
        <w:t> </w:t>
      </w:r>
      <w:r>
        <w:rPr>
          <w:i/>
          <w:sz w:val="22"/>
        </w:rPr>
        <w:t>between</w:t>
      </w:r>
      <w:r>
        <w:rPr>
          <w:i/>
          <w:spacing w:val="-4"/>
          <w:sz w:val="22"/>
        </w:rPr>
        <w:t> </w:t>
      </w:r>
      <w:r>
        <w:rPr>
          <w:i/>
          <w:sz w:val="22"/>
        </w:rPr>
        <w:t>the</w:t>
      </w:r>
      <w:r>
        <w:rPr>
          <w:i/>
          <w:spacing w:val="-4"/>
          <w:sz w:val="22"/>
        </w:rPr>
        <w:t> </w:t>
      </w:r>
      <w:r>
        <w:rPr>
          <w:i/>
          <w:sz w:val="22"/>
        </w:rPr>
        <w:t>DTS</w:t>
      </w:r>
      <w:r>
        <w:rPr>
          <w:i/>
          <w:spacing w:val="-3"/>
          <w:sz w:val="22"/>
        </w:rPr>
        <w:t> </w:t>
      </w:r>
      <w:r>
        <w:rPr>
          <w:i/>
          <w:sz w:val="22"/>
        </w:rPr>
        <w:t>and</w:t>
      </w:r>
      <w:r>
        <w:rPr>
          <w:i/>
          <w:spacing w:val="-4"/>
          <w:sz w:val="22"/>
        </w:rPr>
        <w:t> </w:t>
      </w:r>
      <w:r>
        <w:rPr>
          <w:i/>
          <w:sz w:val="22"/>
        </w:rPr>
        <w:t>distribution</w:t>
      </w:r>
      <w:r>
        <w:rPr>
          <w:i/>
          <w:spacing w:val="-2"/>
          <w:sz w:val="22"/>
        </w:rPr>
        <w:t> </w:t>
      </w:r>
      <w:r>
        <w:rPr>
          <w:i/>
          <w:sz w:val="22"/>
        </w:rPr>
        <w:t>systems,</w:t>
      </w:r>
      <w:r>
        <w:rPr>
          <w:i/>
          <w:spacing w:val="-5"/>
          <w:sz w:val="22"/>
        </w:rPr>
        <w:t> </w:t>
      </w:r>
      <w:r>
        <w:rPr>
          <w:i/>
          <w:sz w:val="22"/>
        </w:rPr>
        <w:t>which could promote more efficient investment</w:t>
      </w:r>
      <w:r>
        <w:rPr>
          <w:sz w:val="22"/>
        </w:rPr>
        <w:t>” (AEMO, 2017, p. 3).</w:t>
      </w:r>
    </w:p>
    <w:p>
      <w:pPr>
        <w:pStyle w:val="BodyText"/>
        <w:spacing w:before="10"/>
        <w:rPr>
          <w:sz w:val="20"/>
        </w:rPr>
      </w:pPr>
    </w:p>
    <w:p>
      <w:pPr>
        <w:pStyle w:val="BodyText"/>
        <w:spacing w:before="1"/>
        <w:ind w:left="232"/>
      </w:pPr>
      <w:r>
        <w:rPr/>
        <w:t>AEMO</w:t>
      </w:r>
      <w:r>
        <w:rPr>
          <w:spacing w:val="-2"/>
        </w:rPr>
        <w:t> </w:t>
      </w:r>
      <w:r>
        <w:rPr/>
        <w:t>has</w:t>
      </w:r>
      <w:r>
        <w:rPr>
          <w:spacing w:val="-1"/>
        </w:rPr>
        <w:t> </w:t>
      </w:r>
      <w:r>
        <w:rPr>
          <w:spacing w:val="-2"/>
        </w:rPr>
        <w:t>concluded:</w:t>
      </w:r>
    </w:p>
    <w:p>
      <w:pPr>
        <w:pStyle w:val="BodyText"/>
        <w:spacing w:before="1"/>
        <w:rPr>
          <w:sz w:val="25"/>
        </w:rPr>
      </w:pPr>
    </w:p>
    <w:p>
      <w:pPr>
        <w:spacing w:line="288" w:lineRule="auto" w:before="0"/>
        <w:ind w:left="799" w:right="374" w:firstLine="0"/>
        <w:jc w:val="left"/>
        <w:rPr>
          <w:sz w:val="22"/>
        </w:rPr>
      </w:pPr>
      <w:r>
        <w:rPr>
          <w:i/>
          <w:sz w:val="22"/>
        </w:rPr>
        <w:t>“… these disconnects can lead to inefficient outcomes over the long term, and have contributed</w:t>
      </w:r>
      <w:r>
        <w:rPr>
          <w:i/>
          <w:spacing w:val="-4"/>
          <w:sz w:val="22"/>
        </w:rPr>
        <w:t> </w:t>
      </w:r>
      <w:r>
        <w:rPr>
          <w:i/>
          <w:sz w:val="22"/>
        </w:rPr>
        <w:t>to</w:t>
      </w:r>
      <w:r>
        <w:rPr>
          <w:i/>
          <w:spacing w:val="-4"/>
          <w:sz w:val="22"/>
        </w:rPr>
        <w:t> </w:t>
      </w:r>
      <w:r>
        <w:rPr>
          <w:i/>
          <w:sz w:val="22"/>
        </w:rPr>
        <w:t>a</w:t>
      </w:r>
      <w:r>
        <w:rPr>
          <w:i/>
          <w:spacing w:val="-4"/>
          <w:sz w:val="22"/>
        </w:rPr>
        <w:t> </w:t>
      </w:r>
      <w:r>
        <w:rPr>
          <w:i/>
          <w:sz w:val="22"/>
        </w:rPr>
        <w:t>current</w:t>
      </w:r>
      <w:r>
        <w:rPr>
          <w:i/>
          <w:spacing w:val="-3"/>
          <w:sz w:val="22"/>
        </w:rPr>
        <w:t> </w:t>
      </w:r>
      <w:r>
        <w:rPr>
          <w:i/>
          <w:sz w:val="22"/>
        </w:rPr>
        <w:t>need</w:t>
      </w:r>
      <w:r>
        <w:rPr>
          <w:i/>
          <w:spacing w:val="-2"/>
          <w:sz w:val="22"/>
        </w:rPr>
        <w:t> </w:t>
      </w:r>
      <w:r>
        <w:rPr>
          <w:i/>
          <w:sz w:val="22"/>
        </w:rPr>
        <w:t>for</w:t>
      </w:r>
      <w:r>
        <w:rPr>
          <w:i/>
          <w:spacing w:val="-1"/>
          <w:sz w:val="22"/>
        </w:rPr>
        <w:t> </w:t>
      </w:r>
      <w:r>
        <w:rPr>
          <w:i/>
          <w:sz w:val="22"/>
        </w:rPr>
        <w:t>urgent</w:t>
      </w:r>
      <w:r>
        <w:rPr>
          <w:i/>
          <w:spacing w:val="-3"/>
          <w:sz w:val="22"/>
        </w:rPr>
        <w:t> </w:t>
      </w:r>
      <w:r>
        <w:rPr>
          <w:i/>
          <w:sz w:val="22"/>
        </w:rPr>
        <w:t>investment</w:t>
      </w:r>
      <w:r>
        <w:rPr>
          <w:i/>
          <w:spacing w:val="-3"/>
          <w:sz w:val="22"/>
        </w:rPr>
        <w:t> </w:t>
      </w:r>
      <w:r>
        <w:rPr>
          <w:i/>
          <w:sz w:val="22"/>
        </w:rPr>
        <w:t>to</w:t>
      </w:r>
      <w:r>
        <w:rPr>
          <w:i/>
          <w:spacing w:val="-4"/>
          <w:sz w:val="22"/>
        </w:rPr>
        <w:t> </w:t>
      </w:r>
      <w:r>
        <w:rPr>
          <w:i/>
          <w:sz w:val="22"/>
        </w:rPr>
        <w:t>maintain</w:t>
      </w:r>
      <w:r>
        <w:rPr>
          <w:i/>
          <w:spacing w:val="-4"/>
          <w:sz w:val="22"/>
        </w:rPr>
        <w:t> </w:t>
      </w:r>
      <w:r>
        <w:rPr>
          <w:i/>
          <w:sz w:val="22"/>
        </w:rPr>
        <w:t>reliability</w:t>
      </w:r>
      <w:r>
        <w:rPr>
          <w:i/>
          <w:spacing w:val="-1"/>
          <w:sz w:val="22"/>
        </w:rPr>
        <w:t> </w:t>
      </w:r>
      <w:r>
        <w:rPr>
          <w:i/>
          <w:sz w:val="22"/>
        </w:rPr>
        <w:t>of</w:t>
      </w:r>
      <w:r>
        <w:rPr>
          <w:i/>
          <w:spacing w:val="-3"/>
          <w:sz w:val="22"/>
        </w:rPr>
        <w:t> </w:t>
      </w:r>
      <w:r>
        <w:rPr>
          <w:i/>
          <w:sz w:val="22"/>
        </w:rPr>
        <w:t>gas</w:t>
      </w:r>
      <w:r>
        <w:rPr>
          <w:i/>
          <w:spacing w:val="-1"/>
          <w:sz w:val="22"/>
        </w:rPr>
        <w:t> </w:t>
      </w:r>
      <w:r>
        <w:rPr>
          <w:i/>
          <w:sz w:val="22"/>
        </w:rPr>
        <w:t>supply.” </w:t>
      </w:r>
      <w:r>
        <w:rPr>
          <w:sz w:val="22"/>
        </w:rPr>
        <w:t>(AEMO, 2017, p. 3)</w:t>
      </w:r>
    </w:p>
    <w:p>
      <w:pPr>
        <w:pStyle w:val="BodyText"/>
        <w:rPr>
          <w:sz w:val="21"/>
        </w:rPr>
      </w:pPr>
    </w:p>
    <w:p>
      <w:pPr>
        <w:pStyle w:val="BodyText"/>
        <w:spacing w:line="288" w:lineRule="auto"/>
        <w:ind w:left="232" w:right="374"/>
      </w:pPr>
      <w:r>
        <w:rPr/>
        <w:t>Given</w:t>
      </w:r>
      <w:r>
        <w:rPr>
          <w:spacing w:val="-3"/>
        </w:rPr>
        <w:t> </w:t>
      </w:r>
      <w:r>
        <w:rPr/>
        <w:t>the</w:t>
      </w:r>
      <w:r>
        <w:rPr>
          <w:spacing w:val="-3"/>
        </w:rPr>
        <w:t> </w:t>
      </w:r>
      <w:r>
        <w:rPr/>
        <w:t>critical</w:t>
      </w:r>
      <w:r>
        <w:rPr>
          <w:spacing w:val="-4"/>
        </w:rPr>
        <w:t> </w:t>
      </w:r>
      <w:r>
        <w:rPr/>
        <w:t>role</w:t>
      </w:r>
      <w:r>
        <w:rPr>
          <w:spacing w:val="-5"/>
        </w:rPr>
        <w:t> </w:t>
      </w:r>
      <w:r>
        <w:rPr/>
        <w:t>that</w:t>
      </w:r>
      <w:r>
        <w:rPr>
          <w:spacing w:val="-1"/>
        </w:rPr>
        <w:t> </w:t>
      </w:r>
      <w:r>
        <w:rPr/>
        <w:t>network</w:t>
      </w:r>
      <w:r>
        <w:rPr>
          <w:spacing w:val="-2"/>
        </w:rPr>
        <w:t> </w:t>
      </w:r>
      <w:r>
        <w:rPr/>
        <w:t>reliability</w:t>
      </w:r>
      <w:r>
        <w:rPr>
          <w:spacing w:val="-5"/>
        </w:rPr>
        <w:t> </w:t>
      </w:r>
      <w:r>
        <w:rPr/>
        <w:t>plays</w:t>
      </w:r>
      <w:r>
        <w:rPr>
          <w:spacing w:val="-2"/>
        </w:rPr>
        <w:t> </w:t>
      </w:r>
      <w:r>
        <w:rPr/>
        <w:t>in</w:t>
      </w:r>
      <w:r>
        <w:rPr>
          <w:spacing w:val="-3"/>
        </w:rPr>
        <w:t> </w:t>
      </w:r>
      <w:r>
        <w:rPr/>
        <w:t>overall</w:t>
      </w:r>
      <w:r>
        <w:rPr>
          <w:spacing w:val="-3"/>
        </w:rPr>
        <w:t> </w:t>
      </w:r>
      <w:r>
        <w:rPr/>
        <w:t>community</w:t>
      </w:r>
      <w:r>
        <w:rPr>
          <w:spacing w:val="-5"/>
        </w:rPr>
        <w:t> </w:t>
      </w:r>
      <w:r>
        <w:rPr/>
        <w:t>safety,</w:t>
      </w:r>
      <w:r>
        <w:rPr>
          <w:spacing w:val="-1"/>
        </w:rPr>
        <w:t> </w:t>
      </w:r>
      <w:r>
        <w:rPr/>
        <w:t>the</w:t>
      </w:r>
      <w:r>
        <w:rPr>
          <w:spacing w:val="-5"/>
        </w:rPr>
        <w:t> </w:t>
      </w:r>
      <w:r>
        <w:rPr/>
        <w:t>economic framework needs to facilitate investment decisions to cater for growth.</w:t>
      </w:r>
    </w:p>
    <w:p>
      <w:pPr>
        <w:pStyle w:val="BodyText"/>
        <w:spacing w:before="10"/>
        <w:rPr>
          <w:sz w:val="20"/>
        </w:rPr>
      </w:pPr>
    </w:p>
    <w:p>
      <w:pPr>
        <w:spacing w:line="288" w:lineRule="auto" w:before="0"/>
        <w:ind w:left="799" w:right="868" w:firstLine="0"/>
        <w:jc w:val="left"/>
        <w:rPr>
          <w:sz w:val="22"/>
        </w:rPr>
      </w:pPr>
      <w:r>
        <w:rPr>
          <w:i/>
          <w:sz w:val="22"/>
        </w:rPr>
        <w:t>“A reliable gas network is one that is planned, designed and operated to meet reasonable</w:t>
      </w:r>
      <w:r>
        <w:rPr>
          <w:i/>
          <w:spacing w:val="-3"/>
          <w:sz w:val="22"/>
        </w:rPr>
        <w:t> </w:t>
      </w:r>
      <w:r>
        <w:rPr>
          <w:i/>
          <w:sz w:val="22"/>
        </w:rPr>
        <w:t>expectations</w:t>
      </w:r>
      <w:r>
        <w:rPr>
          <w:i/>
          <w:spacing w:val="-6"/>
          <w:sz w:val="22"/>
        </w:rPr>
        <w:t> </w:t>
      </w:r>
      <w:r>
        <w:rPr>
          <w:i/>
          <w:sz w:val="22"/>
        </w:rPr>
        <w:t>of</w:t>
      </w:r>
      <w:r>
        <w:rPr>
          <w:i/>
          <w:spacing w:val="-2"/>
          <w:sz w:val="22"/>
        </w:rPr>
        <w:t> </w:t>
      </w:r>
      <w:r>
        <w:rPr>
          <w:i/>
          <w:sz w:val="22"/>
        </w:rPr>
        <w:t>peak</w:t>
      </w:r>
      <w:r>
        <w:rPr>
          <w:i/>
          <w:spacing w:val="-4"/>
          <w:sz w:val="22"/>
        </w:rPr>
        <w:t> </w:t>
      </w:r>
      <w:r>
        <w:rPr>
          <w:i/>
          <w:sz w:val="22"/>
        </w:rPr>
        <w:t>demand,</w:t>
      </w:r>
      <w:r>
        <w:rPr>
          <w:i/>
          <w:spacing w:val="-3"/>
          <w:sz w:val="22"/>
        </w:rPr>
        <w:t> </w:t>
      </w:r>
      <w:r>
        <w:rPr>
          <w:i/>
          <w:sz w:val="22"/>
        </w:rPr>
        <w:t>with</w:t>
      </w:r>
      <w:r>
        <w:rPr>
          <w:i/>
          <w:spacing w:val="-3"/>
          <w:sz w:val="22"/>
        </w:rPr>
        <w:t> </w:t>
      </w:r>
      <w:r>
        <w:rPr>
          <w:i/>
          <w:sz w:val="22"/>
        </w:rPr>
        <w:t>a</w:t>
      </w:r>
      <w:r>
        <w:rPr>
          <w:i/>
          <w:spacing w:val="-6"/>
          <w:sz w:val="22"/>
        </w:rPr>
        <w:t> </w:t>
      </w:r>
      <w:r>
        <w:rPr>
          <w:i/>
          <w:sz w:val="22"/>
        </w:rPr>
        <w:t>prudent</w:t>
      </w:r>
      <w:r>
        <w:rPr>
          <w:i/>
          <w:spacing w:val="-3"/>
          <w:sz w:val="22"/>
        </w:rPr>
        <w:t> </w:t>
      </w:r>
      <w:r>
        <w:rPr>
          <w:i/>
          <w:sz w:val="22"/>
        </w:rPr>
        <w:t>level</w:t>
      </w:r>
      <w:r>
        <w:rPr>
          <w:i/>
          <w:spacing w:val="-3"/>
          <w:sz w:val="22"/>
        </w:rPr>
        <w:t> </w:t>
      </w:r>
      <w:r>
        <w:rPr>
          <w:i/>
          <w:sz w:val="22"/>
        </w:rPr>
        <w:t>of</w:t>
      </w:r>
      <w:r>
        <w:rPr>
          <w:i/>
          <w:spacing w:val="-3"/>
          <w:sz w:val="22"/>
        </w:rPr>
        <w:t> </w:t>
      </w:r>
      <w:r>
        <w:rPr>
          <w:i/>
          <w:sz w:val="22"/>
        </w:rPr>
        <w:t>redundancy</w:t>
      </w:r>
      <w:r>
        <w:rPr>
          <w:i/>
          <w:spacing w:val="-3"/>
          <w:sz w:val="22"/>
        </w:rPr>
        <w:t> </w:t>
      </w:r>
      <w:r>
        <w:rPr>
          <w:i/>
          <w:sz w:val="22"/>
        </w:rPr>
        <w:t>(security) to allow continued supply with some elements of the system out of service.” </w:t>
      </w:r>
      <w:r>
        <w:rPr>
          <w:sz w:val="22"/>
        </w:rPr>
        <w:t>(AEMO, 2017, p. 3)</w:t>
      </w:r>
    </w:p>
    <w:p>
      <w:pPr>
        <w:pStyle w:val="BodyText"/>
        <w:spacing w:before="11"/>
        <w:rPr>
          <w:sz w:val="20"/>
        </w:rPr>
      </w:pPr>
    </w:p>
    <w:p>
      <w:pPr>
        <w:pStyle w:val="BodyText"/>
        <w:ind w:left="232"/>
      </w:pPr>
      <w:r>
        <w:rPr/>
        <w:t>AEMO</w:t>
      </w:r>
      <w:r>
        <w:rPr>
          <w:spacing w:val="-5"/>
        </w:rPr>
        <w:t> </w:t>
      </w:r>
      <w:r>
        <w:rPr/>
        <w:t>(2017)</w:t>
      </w:r>
      <w:r>
        <w:rPr>
          <w:spacing w:val="-4"/>
        </w:rPr>
        <w:t> </w:t>
      </w:r>
      <w:r>
        <w:rPr/>
        <w:t>has</w:t>
      </w:r>
      <w:r>
        <w:rPr>
          <w:spacing w:val="-6"/>
        </w:rPr>
        <w:t> </w:t>
      </w:r>
      <w:r>
        <w:rPr/>
        <w:t>proposed</w:t>
      </w:r>
      <w:r>
        <w:rPr>
          <w:spacing w:val="-4"/>
        </w:rPr>
        <w:t> </w:t>
      </w:r>
      <w:r>
        <w:rPr/>
        <w:t>a</w:t>
      </w:r>
      <w:r>
        <w:rPr>
          <w:spacing w:val="-5"/>
        </w:rPr>
        <w:t> </w:t>
      </w:r>
      <w:r>
        <w:rPr/>
        <w:t>number</w:t>
      </w:r>
      <w:r>
        <w:rPr>
          <w:spacing w:val="-5"/>
        </w:rPr>
        <w:t> </w:t>
      </w:r>
      <w:r>
        <w:rPr/>
        <w:t>of</w:t>
      </w:r>
      <w:r>
        <w:rPr>
          <w:spacing w:val="-3"/>
        </w:rPr>
        <w:t> </w:t>
      </w:r>
      <w:r>
        <w:rPr/>
        <w:t>possible</w:t>
      </w:r>
      <w:r>
        <w:rPr>
          <w:spacing w:val="-4"/>
        </w:rPr>
        <w:t> </w:t>
      </w:r>
      <w:r>
        <w:rPr/>
        <w:t>changes</w:t>
      </w:r>
      <w:r>
        <w:rPr>
          <w:spacing w:val="-4"/>
        </w:rPr>
        <w:t> </w:t>
      </w:r>
      <w:r>
        <w:rPr/>
        <w:t>and</w:t>
      </w:r>
      <w:r>
        <w:rPr>
          <w:spacing w:val="-5"/>
        </w:rPr>
        <w:t> </w:t>
      </w:r>
      <w:r>
        <w:rPr/>
        <w:t>areas</w:t>
      </w:r>
      <w:r>
        <w:rPr>
          <w:spacing w:val="-6"/>
        </w:rPr>
        <w:t> </w:t>
      </w:r>
      <w:r>
        <w:rPr/>
        <w:t>for</w:t>
      </w:r>
      <w:r>
        <w:rPr>
          <w:spacing w:val="-8"/>
        </w:rPr>
        <w:t> </w:t>
      </w:r>
      <w:r>
        <w:rPr/>
        <w:t>further</w:t>
      </w:r>
      <w:r>
        <w:rPr>
          <w:spacing w:val="-5"/>
        </w:rPr>
        <w:t> </w:t>
      </w:r>
      <w:r>
        <w:rPr>
          <w:spacing w:val="-2"/>
        </w:rPr>
        <w:t>consideration:</w:t>
      </w:r>
    </w:p>
    <w:p>
      <w:pPr>
        <w:pStyle w:val="BodyText"/>
        <w:spacing w:before="7"/>
        <w:rPr>
          <w:sz w:val="26"/>
        </w:rPr>
      </w:pPr>
    </w:p>
    <w:p>
      <w:pPr>
        <w:pStyle w:val="ListParagraph"/>
        <w:numPr>
          <w:ilvl w:val="0"/>
          <w:numId w:val="55"/>
        </w:numPr>
        <w:tabs>
          <w:tab w:pos="590" w:val="left" w:leader="none"/>
        </w:tabs>
        <w:spacing w:line="288" w:lineRule="auto" w:before="0" w:after="0"/>
        <w:ind w:left="590" w:right="409" w:hanging="359"/>
        <w:jc w:val="both"/>
        <w:rPr>
          <w:sz w:val="22"/>
        </w:rPr>
      </w:pPr>
      <w:r>
        <w:rPr>
          <w:sz w:val="22"/>
        </w:rPr>
        <w:t>Expand</w:t>
      </w:r>
      <w:r>
        <w:rPr>
          <w:spacing w:val="-1"/>
          <w:sz w:val="22"/>
        </w:rPr>
        <w:t> </w:t>
      </w:r>
      <w:r>
        <w:rPr>
          <w:sz w:val="22"/>
        </w:rPr>
        <w:t>and</w:t>
      </w:r>
      <w:r>
        <w:rPr>
          <w:spacing w:val="-1"/>
          <w:sz w:val="22"/>
        </w:rPr>
        <w:t> </w:t>
      </w:r>
      <w:r>
        <w:rPr>
          <w:sz w:val="22"/>
        </w:rPr>
        <w:t>clarify</w:t>
      </w:r>
      <w:r>
        <w:rPr>
          <w:spacing w:val="-3"/>
          <w:sz w:val="22"/>
        </w:rPr>
        <w:t> </w:t>
      </w:r>
      <w:r>
        <w:rPr>
          <w:sz w:val="22"/>
        </w:rPr>
        <w:t>the</w:t>
      </w:r>
      <w:r>
        <w:rPr>
          <w:spacing w:val="-1"/>
          <w:sz w:val="22"/>
        </w:rPr>
        <w:t> </w:t>
      </w:r>
      <w:r>
        <w:rPr>
          <w:sz w:val="22"/>
        </w:rPr>
        <w:t>obligations</w:t>
      </w:r>
      <w:r>
        <w:rPr>
          <w:spacing w:val="-1"/>
          <w:sz w:val="22"/>
        </w:rPr>
        <w:t> </w:t>
      </w:r>
      <w:r>
        <w:rPr>
          <w:sz w:val="22"/>
        </w:rPr>
        <w:t>in</w:t>
      </w:r>
      <w:r>
        <w:rPr>
          <w:spacing w:val="-3"/>
          <w:sz w:val="22"/>
        </w:rPr>
        <w:t> </w:t>
      </w:r>
      <w:r>
        <w:rPr>
          <w:sz w:val="22"/>
        </w:rPr>
        <w:t>section</w:t>
      </w:r>
      <w:r>
        <w:rPr>
          <w:spacing w:val="-1"/>
          <w:sz w:val="22"/>
        </w:rPr>
        <w:t> </w:t>
      </w:r>
      <w:r>
        <w:rPr>
          <w:sz w:val="22"/>
        </w:rPr>
        <w:t>32</w:t>
      </w:r>
      <w:r>
        <w:rPr>
          <w:spacing w:val="-3"/>
          <w:sz w:val="22"/>
        </w:rPr>
        <w:t> </w:t>
      </w:r>
      <w:r>
        <w:rPr>
          <w:sz w:val="22"/>
        </w:rPr>
        <w:t>of the</w:t>
      </w:r>
      <w:r>
        <w:rPr>
          <w:spacing w:val="-3"/>
          <w:sz w:val="22"/>
        </w:rPr>
        <w:t> </w:t>
      </w:r>
      <w:r>
        <w:rPr>
          <w:i/>
          <w:sz w:val="22"/>
        </w:rPr>
        <w:t>Gas</w:t>
      </w:r>
      <w:r>
        <w:rPr>
          <w:i/>
          <w:spacing w:val="-3"/>
          <w:sz w:val="22"/>
        </w:rPr>
        <w:t> </w:t>
      </w:r>
      <w:r>
        <w:rPr>
          <w:i/>
          <w:sz w:val="22"/>
        </w:rPr>
        <w:t>Safety Act</w:t>
      </w:r>
      <w:r>
        <w:rPr>
          <w:sz w:val="22"/>
        </w:rPr>
        <w:t>,</w:t>
      </w:r>
      <w:r>
        <w:rPr>
          <w:spacing w:val="-2"/>
          <w:sz w:val="22"/>
        </w:rPr>
        <w:t> </w:t>
      </w:r>
      <w:r>
        <w:rPr>
          <w:sz w:val="22"/>
        </w:rPr>
        <w:t>or</w:t>
      </w:r>
      <w:r>
        <w:rPr>
          <w:spacing w:val="-5"/>
          <w:sz w:val="22"/>
        </w:rPr>
        <w:t> </w:t>
      </w:r>
      <w:r>
        <w:rPr>
          <w:sz w:val="22"/>
        </w:rPr>
        <w:t>amend</w:t>
      </w:r>
      <w:r>
        <w:rPr>
          <w:spacing w:val="-1"/>
          <w:sz w:val="22"/>
        </w:rPr>
        <w:t> </w:t>
      </w:r>
      <w:r>
        <w:rPr>
          <w:sz w:val="22"/>
        </w:rPr>
        <w:t>Part</w:t>
      </w:r>
      <w:r>
        <w:rPr>
          <w:spacing w:val="-2"/>
          <w:sz w:val="22"/>
        </w:rPr>
        <w:t> </w:t>
      </w:r>
      <w:r>
        <w:rPr>
          <w:sz w:val="22"/>
        </w:rPr>
        <w:t>19</w:t>
      </w:r>
      <w:r>
        <w:rPr>
          <w:spacing w:val="-1"/>
          <w:sz w:val="22"/>
        </w:rPr>
        <w:t> </w:t>
      </w:r>
      <w:r>
        <w:rPr>
          <w:sz w:val="22"/>
        </w:rPr>
        <w:t>of</w:t>
      </w:r>
      <w:r>
        <w:rPr>
          <w:spacing w:val="-2"/>
          <w:sz w:val="22"/>
        </w:rPr>
        <w:t> </w:t>
      </w:r>
      <w:r>
        <w:rPr>
          <w:sz w:val="22"/>
        </w:rPr>
        <w:t>the </w:t>
      </w:r>
      <w:r>
        <w:rPr>
          <w:i/>
          <w:sz w:val="22"/>
        </w:rPr>
        <w:t>National</w:t>
      </w:r>
      <w:r>
        <w:rPr>
          <w:i/>
          <w:spacing w:val="-1"/>
          <w:sz w:val="22"/>
        </w:rPr>
        <w:t> </w:t>
      </w:r>
      <w:r>
        <w:rPr>
          <w:i/>
          <w:sz w:val="22"/>
        </w:rPr>
        <w:t>Gas</w:t>
      </w:r>
      <w:r>
        <w:rPr>
          <w:i/>
          <w:spacing w:val="-3"/>
          <w:sz w:val="22"/>
        </w:rPr>
        <w:t> </w:t>
      </w:r>
      <w:r>
        <w:rPr>
          <w:i/>
          <w:sz w:val="22"/>
        </w:rPr>
        <w:t>Rules </w:t>
      </w:r>
      <w:r>
        <w:rPr>
          <w:sz w:val="22"/>
        </w:rPr>
        <w:t>to</w:t>
      </w:r>
      <w:r>
        <w:rPr>
          <w:spacing w:val="-3"/>
          <w:sz w:val="22"/>
        </w:rPr>
        <w:t> </w:t>
      </w:r>
      <w:r>
        <w:rPr>
          <w:sz w:val="22"/>
        </w:rPr>
        <w:t>specify</w:t>
      </w:r>
      <w:r>
        <w:rPr>
          <w:spacing w:val="-3"/>
          <w:sz w:val="22"/>
        </w:rPr>
        <w:t> </w:t>
      </w:r>
      <w:r>
        <w:rPr>
          <w:sz w:val="22"/>
        </w:rPr>
        <w:t>how</w:t>
      </w:r>
      <w:r>
        <w:rPr>
          <w:spacing w:val="-4"/>
          <w:sz w:val="22"/>
        </w:rPr>
        <w:t> </w:t>
      </w:r>
      <w:r>
        <w:rPr>
          <w:sz w:val="22"/>
        </w:rPr>
        <w:t>the</w:t>
      </w:r>
      <w:r>
        <w:rPr>
          <w:spacing w:val="-1"/>
          <w:sz w:val="22"/>
        </w:rPr>
        <w:t> </w:t>
      </w:r>
      <w:r>
        <w:rPr>
          <w:sz w:val="22"/>
        </w:rPr>
        <w:t>Declared</w:t>
      </w:r>
      <w:r>
        <w:rPr>
          <w:spacing w:val="-3"/>
          <w:sz w:val="22"/>
        </w:rPr>
        <w:t> </w:t>
      </w:r>
      <w:r>
        <w:rPr>
          <w:sz w:val="22"/>
        </w:rPr>
        <w:t>Transmission</w:t>
      </w:r>
      <w:r>
        <w:rPr>
          <w:spacing w:val="-1"/>
          <w:sz w:val="22"/>
        </w:rPr>
        <w:t> </w:t>
      </w:r>
      <w:r>
        <w:rPr>
          <w:sz w:val="22"/>
        </w:rPr>
        <w:t>System</w:t>
      </w:r>
      <w:r>
        <w:rPr>
          <w:spacing w:val="-2"/>
          <w:sz w:val="22"/>
        </w:rPr>
        <w:t> </w:t>
      </w:r>
      <w:r>
        <w:rPr>
          <w:sz w:val="22"/>
        </w:rPr>
        <w:t>service</w:t>
      </w:r>
      <w:r>
        <w:rPr>
          <w:spacing w:val="-1"/>
          <w:sz w:val="22"/>
        </w:rPr>
        <w:t> </w:t>
      </w:r>
      <w:r>
        <w:rPr>
          <w:sz w:val="22"/>
        </w:rPr>
        <w:t>provider should respond to AEMO planning reviews.</w:t>
      </w:r>
    </w:p>
    <w:p>
      <w:pPr>
        <w:pStyle w:val="BodyText"/>
        <w:spacing w:before="3"/>
      </w:pPr>
    </w:p>
    <w:p>
      <w:pPr>
        <w:pStyle w:val="ListParagraph"/>
        <w:numPr>
          <w:ilvl w:val="0"/>
          <w:numId w:val="55"/>
        </w:numPr>
        <w:tabs>
          <w:tab w:pos="590" w:val="left" w:leader="none"/>
        </w:tabs>
        <w:spacing w:line="285" w:lineRule="auto" w:before="0" w:after="0"/>
        <w:ind w:left="590" w:right="442" w:hanging="359"/>
        <w:jc w:val="both"/>
        <w:rPr>
          <w:sz w:val="22"/>
        </w:rPr>
      </w:pPr>
      <w:r>
        <w:rPr>
          <w:sz w:val="22"/>
        </w:rPr>
        <w:t>The</w:t>
      </w:r>
      <w:r>
        <w:rPr>
          <w:spacing w:val="-5"/>
          <w:sz w:val="22"/>
        </w:rPr>
        <w:t> </w:t>
      </w:r>
      <w:r>
        <w:rPr>
          <w:sz w:val="22"/>
        </w:rPr>
        <w:t>development</w:t>
      </w:r>
      <w:r>
        <w:rPr>
          <w:spacing w:val="-1"/>
          <w:sz w:val="22"/>
        </w:rPr>
        <w:t> </w:t>
      </w:r>
      <w:r>
        <w:rPr>
          <w:sz w:val="22"/>
        </w:rPr>
        <w:t>of</w:t>
      </w:r>
      <w:r>
        <w:rPr>
          <w:spacing w:val="-1"/>
          <w:sz w:val="22"/>
        </w:rPr>
        <w:t> </w:t>
      </w:r>
      <w:r>
        <w:rPr>
          <w:sz w:val="22"/>
        </w:rPr>
        <w:t>a</w:t>
      </w:r>
      <w:r>
        <w:rPr>
          <w:spacing w:val="-5"/>
          <w:sz w:val="22"/>
        </w:rPr>
        <w:t> </w:t>
      </w:r>
      <w:r>
        <w:rPr>
          <w:sz w:val="22"/>
        </w:rPr>
        <w:t>clearer</w:t>
      </w:r>
      <w:r>
        <w:rPr>
          <w:spacing w:val="-4"/>
          <w:sz w:val="22"/>
        </w:rPr>
        <w:t> </w:t>
      </w:r>
      <w:r>
        <w:rPr>
          <w:sz w:val="22"/>
        </w:rPr>
        <w:t>reliability</w:t>
      </w:r>
      <w:r>
        <w:rPr>
          <w:spacing w:val="-5"/>
          <w:sz w:val="22"/>
        </w:rPr>
        <w:t> </w:t>
      </w:r>
      <w:r>
        <w:rPr>
          <w:sz w:val="22"/>
        </w:rPr>
        <w:t>standard</w:t>
      </w:r>
      <w:r>
        <w:rPr>
          <w:spacing w:val="-5"/>
          <w:sz w:val="22"/>
        </w:rPr>
        <w:t> </w:t>
      </w:r>
      <w:r>
        <w:rPr>
          <w:sz w:val="22"/>
        </w:rPr>
        <w:t>to</w:t>
      </w:r>
      <w:r>
        <w:rPr>
          <w:spacing w:val="-5"/>
          <w:sz w:val="22"/>
        </w:rPr>
        <w:t> </w:t>
      </w:r>
      <w:r>
        <w:rPr>
          <w:sz w:val="22"/>
        </w:rPr>
        <w:t>represent</w:t>
      </w:r>
      <w:r>
        <w:rPr>
          <w:spacing w:val="-1"/>
          <w:sz w:val="22"/>
        </w:rPr>
        <w:t> </w:t>
      </w:r>
      <w:r>
        <w:rPr>
          <w:sz w:val="22"/>
        </w:rPr>
        <w:t>an</w:t>
      </w:r>
      <w:r>
        <w:rPr>
          <w:spacing w:val="-5"/>
          <w:sz w:val="22"/>
        </w:rPr>
        <w:t> </w:t>
      </w:r>
      <w:r>
        <w:rPr>
          <w:sz w:val="22"/>
        </w:rPr>
        <w:t>economically</w:t>
      </w:r>
      <w:r>
        <w:rPr>
          <w:spacing w:val="-5"/>
          <w:sz w:val="22"/>
        </w:rPr>
        <w:t> </w:t>
      </w:r>
      <w:r>
        <w:rPr>
          <w:sz w:val="22"/>
        </w:rPr>
        <w:t>justified</w:t>
      </w:r>
      <w:r>
        <w:rPr>
          <w:spacing w:val="-3"/>
          <w:sz w:val="22"/>
        </w:rPr>
        <w:t> </w:t>
      </w:r>
      <w:r>
        <w:rPr>
          <w:sz w:val="22"/>
        </w:rPr>
        <w:t>level</w:t>
      </w:r>
      <w:r>
        <w:rPr>
          <w:spacing w:val="-4"/>
          <w:sz w:val="22"/>
        </w:rPr>
        <w:t> </w:t>
      </w:r>
      <w:r>
        <w:rPr>
          <w:sz w:val="22"/>
        </w:rPr>
        <w:t>of investment for reliable and secure gas supply.</w:t>
      </w:r>
    </w:p>
    <w:p>
      <w:pPr>
        <w:pStyle w:val="BodyText"/>
        <w:spacing w:before="6"/>
      </w:pPr>
    </w:p>
    <w:p>
      <w:pPr>
        <w:pStyle w:val="ListParagraph"/>
        <w:numPr>
          <w:ilvl w:val="0"/>
          <w:numId w:val="55"/>
        </w:numPr>
        <w:tabs>
          <w:tab w:pos="590" w:val="left" w:leader="none"/>
        </w:tabs>
        <w:spacing w:line="285" w:lineRule="auto" w:before="1" w:after="0"/>
        <w:ind w:left="590" w:right="543" w:hanging="359"/>
        <w:jc w:val="left"/>
        <w:rPr>
          <w:sz w:val="22"/>
        </w:rPr>
      </w:pPr>
      <w:r>
        <w:rPr>
          <w:sz w:val="22"/>
        </w:rPr>
        <w:t>The</w:t>
      </w:r>
      <w:r>
        <w:rPr>
          <w:spacing w:val="-5"/>
          <w:sz w:val="22"/>
        </w:rPr>
        <w:t> </w:t>
      </w:r>
      <w:r>
        <w:rPr>
          <w:sz w:val="22"/>
        </w:rPr>
        <w:t>consideration</w:t>
      </w:r>
      <w:r>
        <w:rPr>
          <w:spacing w:val="-3"/>
          <w:sz w:val="22"/>
        </w:rPr>
        <w:t> </w:t>
      </w:r>
      <w:r>
        <w:rPr>
          <w:sz w:val="22"/>
        </w:rPr>
        <w:t>of</w:t>
      </w:r>
      <w:r>
        <w:rPr>
          <w:spacing w:val="-1"/>
          <w:sz w:val="22"/>
        </w:rPr>
        <w:t> </w:t>
      </w:r>
      <w:r>
        <w:rPr>
          <w:sz w:val="22"/>
        </w:rPr>
        <w:t>reduced</w:t>
      </w:r>
      <w:r>
        <w:rPr>
          <w:spacing w:val="-3"/>
          <w:sz w:val="22"/>
        </w:rPr>
        <w:t> </w:t>
      </w:r>
      <w:r>
        <w:rPr>
          <w:sz w:val="22"/>
        </w:rPr>
        <w:t>pipeline</w:t>
      </w:r>
      <w:r>
        <w:rPr>
          <w:spacing w:val="-3"/>
          <w:sz w:val="22"/>
        </w:rPr>
        <w:t> </w:t>
      </w:r>
      <w:r>
        <w:rPr>
          <w:sz w:val="22"/>
        </w:rPr>
        <w:t>capacity</w:t>
      </w:r>
      <w:r>
        <w:rPr>
          <w:spacing w:val="-5"/>
          <w:sz w:val="22"/>
        </w:rPr>
        <w:t> </w:t>
      </w:r>
      <w:r>
        <w:rPr>
          <w:sz w:val="22"/>
        </w:rPr>
        <w:t>scenarios</w:t>
      </w:r>
      <w:r>
        <w:rPr>
          <w:spacing w:val="-2"/>
          <w:sz w:val="22"/>
        </w:rPr>
        <w:t> </w:t>
      </w:r>
      <w:r>
        <w:rPr>
          <w:sz w:val="22"/>
        </w:rPr>
        <w:t>and</w:t>
      </w:r>
      <w:r>
        <w:rPr>
          <w:spacing w:val="-3"/>
          <w:sz w:val="22"/>
        </w:rPr>
        <w:t> </w:t>
      </w:r>
      <w:r>
        <w:rPr>
          <w:sz w:val="22"/>
        </w:rPr>
        <w:t>diversity</w:t>
      </w:r>
      <w:r>
        <w:rPr>
          <w:spacing w:val="-4"/>
          <w:sz w:val="22"/>
        </w:rPr>
        <w:t> </w:t>
      </w:r>
      <w:r>
        <w:rPr>
          <w:sz w:val="22"/>
        </w:rPr>
        <w:t>of</w:t>
      </w:r>
      <w:r>
        <w:rPr>
          <w:spacing w:val="-4"/>
          <w:sz w:val="22"/>
        </w:rPr>
        <w:t> </w:t>
      </w:r>
      <w:r>
        <w:rPr>
          <w:sz w:val="22"/>
        </w:rPr>
        <w:t>gas supply</w:t>
      </w:r>
      <w:r>
        <w:rPr>
          <w:spacing w:val="-5"/>
          <w:sz w:val="22"/>
        </w:rPr>
        <w:t> </w:t>
      </w:r>
      <w:r>
        <w:rPr>
          <w:sz w:val="22"/>
        </w:rPr>
        <w:t>sources as part of overall supply reliability assessments.</w:t>
      </w:r>
    </w:p>
    <w:p>
      <w:pPr>
        <w:pStyle w:val="BodyText"/>
        <w:spacing w:before="6"/>
      </w:pPr>
    </w:p>
    <w:p>
      <w:pPr>
        <w:pStyle w:val="ListParagraph"/>
        <w:numPr>
          <w:ilvl w:val="0"/>
          <w:numId w:val="55"/>
        </w:numPr>
        <w:tabs>
          <w:tab w:pos="590" w:val="left" w:leader="none"/>
        </w:tabs>
        <w:spacing w:line="288" w:lineRule="auto" w:before="1" w:after="0"/>
        <w:ind w:left="590" w:right="523" w:hanging="359"/>
        <w:jc w:val="left"/>
        <w:rPr>
          <w:sz w:val="22"/>
        </w:rPr>
      </w:pPr>
      <w:r>
        <w:rPr>
          <w:sz w:val="22"/>
        </w:rPr>
        <w:t>The</w:t>
      </w:r>
      <w:r>
        <w:rPr>
          <w:spacing w:val="-4"/>
          <w:sz w:val="22"/>
        </w:rPr>
        <w:t> </w:t>
      </w:r>
      <w:r>
        <w:rPr>
          <w:sz w:val="22"/>
        </w:rPr>
        <w:t>introduction</w:t>
      </w:r>
      <w:r>
        <w:rPr>
          <w:spacing w:val="-2"/>
          <w:sz w:val="22"/>
        </w:rPr>
        <w:t> </w:t>
      </w:r>
      <w:r>
        <w:rPr>
          <w:sz w:val="22"/>
        </w:rPr>
        <w:t>of a</w:t>
      </w:r>
      <w:r>
        <w:rPr>
          <w:spacing w:val="-4"/>
          <w:sz w:val="22"/>
        </w:rPr>
        <w:t> </w:t>
      </w:r>
      <w:r>
        <w:rPr>
          <w:sz w:val="22"/>
        </w:rPr>
        <w:t>coordinated</w:t>
      </w:r>
      <w:r>
        <w:rPr>
          <w:spacing w:val="-2"/>
          <w:sz w:val="22"/>
        </w:rPr>
        <w:t> </w:t>
      </w:r>
      <w:r>
        <w:rPr>
          <w:sz w:val="22"/>
        </w:rPr>
        <w:t>planning process</w:t>
      </w:r>
      <w:r>
        <w:rPr>
          <w:spacing w:val="-1"/>
          <w:sz w:val="22"/>
        </w:rPr>
        <w:t> </w:t>
      </w:r>
      <w:r>
        <w:rPr>
          <w:sz w:val="22"/>
        </w:rPr>
        <w:t>to</w:t>
      </w:r>
      <w:r>
        <w:rPr>
          <w:spacing w:val="-4"/>
          <w:sz w:val="22"/>
        </w:rPr>
        <w:t> </w:t>
      </w:r>
      <w:r>
        <w:rPr>
          <w:sz w:val="22"/>
        </w:rPr>
        <w:t>improve</w:t>
      </w:r>
      <w:r>
        <w:rPr>
          <w:spacing w:val="-2"/>
          <w:sz w:val="22"/>
        </w:rPr>
        <w:t> </w:t>
      </w:r>
      <w:r>
        <w:rPr>
          <w:sz w:val="22"/>
        </w:rPr>
        <w:t>the</w:t>
      </w:r>
      <w:r>
        <w:rPr>
          <w:spacing w:val="-4"/>
          <w:sz w:val="22"/>
        </w:rPr>
        <w:t> </w:t>
      </w:r>
      <w:r>
        <w:rPr>
          <w:sz w:val="22"/>
        </w:rPr>
        <w:t>reliable</w:t>
      </w:r>
      <w:r>
        <w:rPr>
          <w:spacing w:val="-2"/>
          <w:sz w:val="22"/>
        </w:rPr>
        <w:t> </w:t>
      </w:r>
      <w:r>
        <w:rPr>
          <w:sz w:val="22"/>
        </w:rPr>
        <w:t>supply</w:t>
      </w:r>
      <w:r>
        <w:rPr>
          <w:spacing w:val="-4"/>
          <w:sz w:val="22"/>
        </w:rPr>
        <w:t> </w:t>
      </w:r>
      <w:r>
        <w:rPr>
          <w:sz w:val="22"/>
        </w:rPr>
        <w:t>of</w:t>
      </w:r>
      <w:r>
        <w:rPr>
          <w:spacing w:val="-3"/>
          <w:sz w:val="22"/>
        </w:rPr>
        <w:t> </w:t>
      </w:r>
      <w:r>
        <w:rPr>
          <w:sz w:val="22"/>
        </w:rPr>
        <w:t>gas</w:t>
      </w:r>
      <w:r>
        <w:rPr>
          <w:spacing w:val="-4"/>
          <w:sz w:val="22"/>
        </w:rPr>
        <w:t> </w:t>
      </w:r>
      <w:r>
        <w:rPr>
          <w:sz w:val="22"/>
        </w:rPr>
        <w:t>to</w:t>
      </w:r>
      <w:r>
        <w:rPr>
          <w:spacing w:val="-2"/>
          <w:sz w:val="22"/>
        </w:rPr>
        <w:t> </w:t>
      </w:r>
      <w:r>
        <w:rPr>
          <w:sz w:val="22"/>
        </w:rPr>
        <w:t>all declared transmission system and distribution network gas customers in an economically efficient manner.</w:t>
      </w:r>
    </w:p>
    <w:p>
      <w:pPr>
        <w:pStyle w:val="BodyText"/>
        <w:spacing w:before="8"/>
        <w:rPr>
          <w:sz w:val="20"/>
        </w:rPr>
      </w:pPr>
    </w:p>
    <w:p>
      <w:pPr>
        <w:pStyle w:val="BodyText"/>
        <w:spacing w:line="288" w:lineRule="auto"/>
        <w:ind w:left="232" w:right="320"/>
      </w:pPr>
      <w:r>
        <w:rPr/>
        <w:t>Coordinated planning and a clear reliability standard will help ensure the economic framework facilitates efficient and timely investment in the longer-term reliability of the gas networks. In its Interim Report, the Review proposed that the Victorian Government should request the Australian Energy</w:t>
      </w:r>
      <w:r>
        <w:rPr>
          <w:spacing w:val="-5"/>
        </w:rPr>
        <w:t> </w:t>
      </w:r>
      <w:r>
        <w:rPr/>
        <w:t>Market</w:t>
      </w:r>
      <w:r>
        <w:rPr>
          <w:spacing w:val="-1"/>
        </w:rPr>
        <w:t> </w:t>
      </w:r>
      <w:r>
        <w:rPr/>
        <w:t>Commission</w:t>
      </w:r>
      <w:r>
        <w:rPr>
          <w:spacing w:val="-3"/>
        </w:rPr>
        <w:t> </w:t>
      </w:r>
      <w:r>
        <w:rPr/>
        <w:t>(AEMC)</w:t>
      </w:r>
      <w:r>
        <w:rPr>
          <w:spacing w:val="-2"/>
        </w:rPr>
        <w:t> </w:t>
      </w:r>
      <w:r>
        <w:rPr/>
        <w:t>to</w:t>
      </w:r>
      <w:r>
        <w:rPr>
          <w:spacing w:val="-3"/>
        </w:rPr>
        <w:t> </w:t>
      </w:r>
      <w:r>
        <w:rPr/>
        <w:t>develop</w:t>
      </w:r>
      <w:r>
        <w:rPr>
          <w:spacing w:val="-3"/>
        </w:rPr>
        <w:t> </w:t>
      </w:r>
      <w:r>
        <w:rPr/>
        <w:t>a clear</w:t>
      </w:r>
      <w:r>
        <w:rPr>
          <w:spacing w:val="-4"/>
        </w:rPr>
        <w:t> </w:t>
      </w:r>
      <w:r>
        <w:rPr/>
        <w:t>reliability</w:t>
      </w:r>
      <w:r>
        <w:rPr>
          <w:spacing w:val="-5"/>
        </w:rPr>
        <w:t> </w:t>
      </w:r>
      <w:r>
        <w:rPr/>
        <w:t>standard</w:t>
      </w:r>
      <w:r>
        <w:rPr>
          <w:spacing w:val="-5"/>
        </w:rPr>
        <w:t> </w:t>
      </w:r>
      <w:r>
        <w:rPr/>
        <w:t>to</w:t>
      </w:r>
      <w:r>
        <w:rPr>
          <w:spacing w:val="-3"/>
        </w:rPr>
        <w:t> </w:t>
      </w:r>
      <w:r>
        <w:rPr/>
        <w:t>support</w:t>
      </w:r>
      <w:r>
        <w:rPr>
          <w:spacing w:val="-4"/>
        </w:rPr>
        <w:t> </w:t>
      </w:r>
      <w:r>
        <w:rPr/>
        <w:t>consideration of a robust, economically justified level of investment for reliable and secure gas supply.</w:t>
      </w:r>
    </w:p>
    <w:p>
      <w:pPr>
        <w:pStyle w:val="BodyText"/>
        <w:spacing w:before="9"/>
        <w:rPr>
          <w:sz w:val="20"/>
        </w:rPr>
      </w:pPr>
    </w:p>
    <w:p>
      <w:pPr>
        <w:spacing w:line="288" w:lineRule="auto" w:before="0"/>
        <w:ind w:left="232" w:right="374" w:firstLine="0"/>
        <w:jc w:val="left"/>
        <w:rPr>
          <w:sz w:val="22"/>
        </w:rPr>
      </w:pPr>
      <w:r>
        <w:rPr>
          <w:sz w:val="22"/>
        </w:rPr>
        <w:t>Several submissions responding to the Review’s Interim Report questioned the need for a reliability</w:t>
      </w:r>
      <w:r>
        <w:rPr>
          <w:spacing w:val="-4"/>
          <w:sz w:val="22"/>
        </w:rPr>
        <w:t> </w:t>
      </w:r>
      <w:r>
        <w:rPr>
          <w:sz w:val="22"/>
        </w:rPr>
        <w:t>standard</w:t>
      </w:r>
      <w:r>
        <w:rPr>
          <w:spacing w:val="-5"/>
          <w:sz w:val="22"/>
        </w:rPr>
        <w:t> </w:t>
      </w:r>
      <w:r>
        <w:rPr>
          <w:sz w:val="22"/>
        </w:rPr>
        <w:t>for</w:t>
      </w:r>
      <w:r>
        <w:rPr>
          <w:spacing w:val="-3"/>
          <w:sz w:val="22"/>
        </w:rPr>
        <w:t> </w:t>
      </w:r>
      <w:r>
        <w:rPr>
          <w:sz w:val="22"/>
        </w:rPr>
        <w:t>the</w:t>
      </w:r>
      <w:r>
        <w:rPr>
          <w:spacing w:val="-3"/>
          <w:sz w:val="22"/>
        </w:rPr>
        <w:t> </w:t>
      </w:r>
      <w:r>
        <w:rPr>
          <w:sz w:val="22"/>
        </w:rPr>
        <w:t>gas</w:t>
      </w:r>
      <w:r>
        <w:rPr>
          <w:spacing w:val="-1"/>
          <w:sz w:val="22"/>
        </w:rPr>
        <w:t> </w:t>
      </w:r>
      <w:r>
        <w:rPr>
          <w:sz w:val="22"/>
        </w:rPr>
        <w:t>network.</w:t>
      </w:r>
      <w:r>
        <w:rPr>
          <w:spacing w:val="-2"/>
          <w:sz w:val="22"/>
        </w:rPr>
        <w:t> </w:t>
      </w:r>
      <w:r>
        <w:rPr>
          <w:sz w:val="22"/>
        </w:rPr>
        <w:t>In</w:t>
      </w:r>
      <w:r>
        <w:rPr>
          <w:spacing w:val="-2"/>
          <w:sz w:val="22"/>
        </w:rPr>
        <w:t> </w:t>
      </w:r>
      <w:r>
        <w:rPr>
          <w:sz w:val="22"/>
        </w:rPr>
        <w:t>its</w:t>
      </w:r>
      <w:r>
        <w:rPr>
          <w:spacing w:val="-1"/>
          <w:sz w:val="22"/>
        </w:rPr>
        <w:t> </w:t>
      </w:r>
      <w:r>
        <w:rPr>
          <w:sz w:val="22"/>
        </w:rPr>
        <w:t>submission</w:t>
      </w:r>
      <w:r>
        <w:rPr>
          <w:spacing w:val="-1"/>
          <w:sz w:val="22"/>
        </w:rPr>
        <w:t> </w:t>
      </w:r>
      <w:r>
        <w:rPr>
          <w:sz w:val="22"/>
        </w:rPr>
        <w:t>to</w:t>
      </w:r>
      <w:r>
        <w:rPr>
          <w:spacing w:val="-4"/>
          <w:sz w:val="22"/>
        </w:rPr>
        <w:t> </w:t>
      </w:r>
      <w:r>
        <w:rPr>
          <w:sz w:val="22"/>
        </w:rPr>
        <w:t>the</w:t>
      </w:r>
      <w:r>
        <w:rPr>
          <w:spacing w:val="-4"/>
          <w:sz w:val="22"/>
        </w:rPr>
        <w:t> </w:t>
      </w:r>
      <w:r>
        <w:rPr>
          <w:sz w:val="22"/>
        </w:rPr>
        <w:t>Interim</w:t>
      </w:r>
      <w:r>
        <w:rPr>
          <w:spacing w:val="-1"/>
          <w:sz w:val="22"/>
        </w:rPr>
        <w:t> </w:t>
      </w:r>
      <w:r>
        <w:rPr>
          <w:sz w:val="22"/>
        </w:rPr>
        <w:t>Report, the</w:t>
      </w:r>
      <w:r>
        <w:rPr>
          <w:spacing w:val="-2"/>
          <w:sz w:val="22"/>
        </w:rPr>
        <w:t> </w:t>
      </w:r>
      <w:r>
        <w:rPr>
          <w:sz w:val="22"/>
        </w:rPr>
        <w:t>AER</w:t>
      </w:r>
      <w:r>
        <w:rPr>
          <w:spacing w:val="-2"/>
          <w:sz w:val="22"/>
        </w:rPr>
        <w:t> </w:t>
      </w:r>
      <w:r>
        <w:rPr>
          <w:sz w:val="22"/>
        </w:rPr>
        <w:t>noted</w:t>
      </w:r>
      <w:r>
        <w:rPr>
          <w:spacing w:val="-2"/>
          <w:sz w:val="22"/>
        </w:rPr>
        <w:t> </w:t>
      </w:r>
      <w:r>
        <w:rPr>
          <w:sz w:val="22"/>
        </w:rPr>
        <w:t>it was “</w:t>
      </w:r>
      <w:r>
        <w:rPr>
          <w:i/>
          <w:sz w:val="22"/>
        </w:rPr>
        <w:t>not aware of evidence to indicate that investment in the DTS has been inefficient.” </w:t>
      </w:r>
      <w:r>
        <w:rPr>
          <w:sz w:val="22"/>
        </w:rPr>
        <w:t>(AER, 2017, p. 2)</w:t>
      </w:r>
    </w:p>
    <w:p>
      <w:pPr>
        <w:pStyle w:val="BodyText"/>
        <w:spacing w:before="11"/>
        <w:rPr>
          <w:sz w:val="20"/>
        </w:rPr>
      </w:pPr>
    </w:p>
    <w:p>
      <w:pPr>
        <w:pStyle w:val="BodyText"/>
        <w:spacing w:line="288" w:lineRule="auto"/>
        <w:ind w:left="232"/>
      </w:pPr>
      <w:r>
        <w:rPr/>
        <w:t>The</w:t>
      </w:r>
      <w:r>
        <w:rPr>
          <w:spacing w:val="-3"/>
        </w:rPr>
        <w:t> </w:t>
      </w:r>
      <w:r>
        <w:rPr/>
        <w:t>Australian</w:t>
      </w:r>
      <w:r>
        <w:rPr>
          <w:spacing w:val="-1"/>
        </w:rPr>
        <w:t> </w:t>
      </w:r>
      <w:r>
        <w:rPr/>
        <w:t>Gas</w:t>
      </w:r>
      <w:r>
        <w:rPr>
          <w:spacing w:val="-3"/>
        </w:rPr>
        <w:t> </w:t>
      </w:r>
      <w:r>
        <w:rPr/>
        <w:t>Infrastructure</w:t>
      </w:r>
      <w:r>
        <w:rPr>
          <w:spacing w:val="-5"/>
        </w:rPr>
        <w:t> </w:t>
      </w:r>
      <w:r>
        <w:rPr/>
        <w:t>Group</w:t>
      </w:r>
      <w:r>
        <w:rPr>
          <w:spacing w:val="-2"/>
        </w:rPr>
        <w:t> </w:t>
      </w:r>
      <w:r>
        <w:rPr/>
        <w:t>questioned</w:t>
      </w:r>
      <w:r>
        <w:rPr>
          <w:spacing w:val="-1"/>
        </w:rPr>
        <w:t> </w:t>
      </w:r>
      <w:r>
        <w:rPr/>
        <w:t>the</w:t>
      </w:r>
      <w:r>
        <w:rPr>
          <w:spacing w:val="-3"/>
        </w:rPr>
        <w:t> </w:t>
      </w:r>
      <w:r>
        <w:rPr/>
        <w:t>necessity</w:t>
      </w:r>
      <w:r>
        <w:rPr>
          <w:spacing w:val="-5"/>
        </w:rPr>
        <w:t> </w:t>
      </w:r>
      <w:r>
        <w:rPr/>
        <w:t>for</w:t>
      </w:r>
      <w:r>
        <w:rPr>
          <w:spacing w:val="-2"/>
        </w:rPr>
        <w:t> </w:t>
      </w:r>
      <w:r>
        <w:rPr/>
        <w:t>a</w:t>
      </w:r>
      <w:r>
        <w:rPr>
          <w:spacing w:val="-3"/>
        </w:rPr>
        <w:t> </w:t>
      </w:r>
      <w:r>
        <w:rPr/>
        <w:t>gas supply</w:t>
      </w:r>
      <w:r>
        <w:rPr>
          <w:spacing w:val="-2"/>
        </w:rPr>
        <w:t> </w:t>
      </w:r>
      <w:r>
        <w:rPr/>
        <w:t>reliability</w:t>
      </w:r>
      <w:r>
        <w:rPr>
          <w:spacing w:val="-3"/>
        </w:rPr>
        <w:t> </w:t>
      </w:r>
      <w:r>
        <w:rPr/>
        <w:t>or planning standard noting:</w:t>
      </w:r>
    </w:p>
    <w:p>
      <w:pPr>
        <w:pStyle w:val="BodyText"/>
        <w:spacing w:before="10"/>
        <w:rPr>
          <w:sz w:val="20"/>
        </w:rPr>
      </w:pPr>
    </w:p>
    <w:p>
      <w:pPr>
        <w:spacing w:line="288" w:lineRule="auto" w:before="0"/>
        <w:ind w:left="799" w:right="374" w:firstLine="0"/>
        <w:jc w:val="left"/>
        <w:rPr>
          <w:i/>
          <w:sz w:val="22"/>
        </w:rPr>
      </w:pPr>
      <w:r>
        <w:rPr>
          <w:i/>
          <w:sz w:val="22"/>
        </w:rPr>
        <w:t>“AGIG</w:t>
      </w:r>
      <w:r>
        <w:rPr>
          <w:i/>
          <w:spacing w:val="-3"/>
          <w:sz w:val="22"/>
        </w:rPr>
        <w:t> </w:t>
      </w:r>
      <w:r>
        <w:rPr>
          <w:i/>
          <w:sz w:val="22"/>
        </w:rPr>
        <w:t>does</w:t>
      </w:r>
      <w:r>
        <w:rPr>
          <w:i/>
          <w:spacing w:val="-4"/>
          <w:sz w:val="22"/>
        </w:rPr>
        <w:t> </w:t>
      </w:r>
      <w:r>
        <w:rPr>
          <w:i/>
          <w:sz w:val="22"/>
        </w:rPr>
        <w:t>not</w:t>
      </w:r>
      <w:r>
        <w:rPr>
          <w:i/>
          <w:spacing w:val="-3"/>
          <w:sz w:val="22"/>
        </w:rPr>
        <w:t> </w:t>
      </w:r>
      <w:r>
        <w:rPr>
          <w:i/>
          <w:sz w:val="22"/>
        </w:rPr>
        <w:t>consider</w:t>
      </w:r>
      <w:r>
        <w:rPr>
          <w:i/>
          <w:spacing w:val="-3"/>
          <w:sz w:val="22"/>
        </w:rPr>
        <w:t> </w:t>
      </w:r>
      <w:r>
        <w:rPr>
          <w:i/>
          <w:sz w:val="22"/>
        </w:rPr>
        <w:t>there</w:t>
      </w:r>
      <w:r>
        <w:rPr>
          <w:i/>
          <w:spacing w:val="-2"/>
          <w:sz w:val="22"/>
        </w:rPr>
        <w:t> </w:t>
      </w:r>
      <w:r>
        <w:rPr>
          <w:i/>
          <w:sz w:val="22"/>
        </w:rPr>
        <w:t>is</w:t>
      </w:r>
      <w:r>
        <w:rPr>
          <w:i/>
          <w:spacing w:val="-2"/>
          <w:sz w:val="22"/>
        </w:rPr>
        <w:t> </w:t>
      </w:r>
      <w:r>
        <w:rPr>
          <w:i/>
          <w:sz w:val="22"/>
        </w:rPr>
        <w:t>a</w:t>
      </w:r>
      <w:r>
        <w:rPr>
          <w:i/>
          <w:spacing w:val="-4"/>
          <w:sz w:val="22"/>
        </w:rPr>
        <w:t> </w:t>
      </w:r>
      <w:r>
        <w:rPr>
          <w:i/>
          <w:sz w:val="22"/>
        </w:rPr>
        <w:t>need</w:t>
      </w:r>
      <w:r>
        <w:rPr>
          <w:i/>
          <w:spacing w:val="-4"/>
          <w:sz w:val="22"/>
        </w:rPr>
        <w:t> </w:t>
      </w:r>
      <w:r>
        <w:rPr>
          <w:i/>
          <w:sz w:val="22"/>
        </w:rPr>
        <w:t>for</w:t>
      </w:r>
      <w:r>
        <w:rPr>
          <w:i/>
          <w:spacing w:val="-3"/>
          <w:sz w:val="22"/>
        </w:rPr>
        <w:t> </w:t>
      </w:r>
      <w:r>
        <w:rPr>
          <w:i/>
          <w:sz w:val="22"/>
        </w:rPr>
        <w:t>the</w:t>
      </w:r>
      <w:r>
        <w:rPr>
          <w:i/>
          <w:spacing w:val="-2"/>
          <w:sz w:val="22"/>
        </w:rPr>
        <w:t> </w:t>
      </w:r>
      <w:r>
        <w:rPr>
          <w:i/>
          <w:sz w:val="22"/>
        </w:rPr>
        <w:t>AEMC</w:t>
      </w:r>
      <w:r>
        <w:rPr>
          <w:i/>
          <w:spacing w:val="-2"/>
          <w:sz w:val="22"/>
        </w:rPr>
        <w:t> </w:t>
      </w:r>
      <w:r>
        <w:rPr>
          <w:i/>
          <w:sz w:val="22"/>
        </w:rPr>
        <w:t>to</w:t>
      </w:r>
      <w:r>
        <w:rPr>
          <w:i/>
          <w:spacing w:val="-2"/>
          <w:sz w:val="22"/>
        </w:rPr>
        <w:t> </w:t>
      </w:r>
      <w:r>
        <w:rPr>
          <w:i/>
          <w:sz w:val="22"/>
        </w:rPr>
        <w:t>develop</w:t>
      </w:r>
      <w:r>
        <w:rPr>
          <w:i/>
          <w:spacing w:val="-2"/>
          <w:sz w:val="22"/>
        </w:rPr>
        <w:t> </w:t>
      </w:r>
      <w:r>
        <w:rPr>
          <w:i/>
          <w:sz w:val="22"/>
        </w:rPr>
        <w:t>a</w:t>
      </w:r>
      <w:r>
        <w:rPr>
          <w:i/>
          <w:spacing w:val="-4"/>
          <w:sz w:val="22"/>
        </w:rPr>
        <w:t> </w:t>
      </w:r>
      <w:r>
        <w:rPr>
          <w:i/>
          <w:sz w:val="22"/>
        </w:rPr>
        <w:t>gas</w:t>
      </w:r>
      <w:r>
        <w:rPr>
          <w:i/>
          <w:spacing w:val="-4"/>
          <w:sz w:val="22"/>
        </w:rPr>
        <w:t> </w:t>
      </w:r>
      <w:r>
        <w:rPr>
          <w:i/>
          <w:sz w:val="22"/>
        </w:rPr>
        <w:t>supply</w:t>
      </w:r>
      <w:r>
        <w:rPr>
          <w:i/>
          <w:spacing w:val="-1"/>
          <w:sz w:val="22"/>
        </w:rPr>
        <w:t> </w:t>
      </w:r>
      <w:r>
        <w:rPr>
          <w:i/>
          <w:sz w:val="22"/>
        </w:rPr>
        <w:t>reliability</w:t>
      </w:r>
      <w:r>
        <w:rPr>
          <w:i/>
          <w:spacing w:val="-1"/>
          <w:sz w:val="22"/>
        </w:rPr>
        <w:t> </w:t>
      </w:r>
      <w:r>
        <w:rPr>
          <w:i/>
          <w:sz w:val="22"/>
        </w:rPr>
        <w:t>or system planning standards. Gas supply reliability in Victoria is such that a customer can expect to have an unplanned interruption about once every 40 years. It is not clear what</w:t>
      </w:r>
    </w:p>
    <w:p>
      <w:pPr>
        <w:spacing w:after="0" w:line="288" w:lineRule="auto"/>
        <w:jc w:val="left"/>
        <w:rPr>
          <w:sz w:val="22"/>
        </w:rPr>
        <w:sectPr>
          <w:pgSz w:w="11910" w:h="16850"/>
          <w:pgMar w:header="220" w:footer="678" w:top="420" w:bottom="860" w:left="900" w:right="840"/>
        </w:sectPr>
      </w:pPr>
    </w:p>
    <w:p>
      <w:pPr>
        <w:pStyle w:val="BodyText"/>
        <w:rPr>
          <w:i/>
          <w:sz w:val="20"/>
        </w:rPr>
      </w:pPr>
    </w:p>
    <w:p>
      <w:pPr>
        <w:pStyle w:val="BodyText"/>
        <w:spacing w:before="2"/>
        <w:rPr>
          <w:i/>
          <w:sz w:val="19"/>
        </w:rPr>
      </w:pPr>
    </w:p>
    <w:p>
      <w:pPr>
        <w:spacing w:line="288" w:lineRule="auto" w:before="94"/>
        <w:ind w:left="799" w:right="408" w:firstLine="0"/>
        <w:jc w:val="left"/>
        <w:rPr>
          <w:sz w:val="22"/>
        </w:rPr>
      </w:pPr>
      <w:r>
        <w:rPr>
          <w:i/>
          <w:sz w:val="22"/>
        </w:rPr>
        <w:t>benefit</w:t>
      </w:r>
      <w:r>
        <w:rPr>
          <w:i/>
          <w:spacing w:val="-3"/>
          <w:sz w:val="22"/>
        </w:rPr>
        <w:t> </w:t>
      </w:r>
      <w:r>
        <w:rPr>
          <w:i/>
          <w:sz w:val="22"/>
        </w:rPr>
        <w:t>regulatory</w:t>
      </w:r>
      <w:r>
        <w:rPr>
          <w:i/>
          <w:spacing w:val="-1"/>
          <w:sz w:val="22"/>
        </w:rPr>
        <w:t> </w:t>
      </w:r>
      <w:r>
        <w:rPr>
          <w:i/>
          <w:sz w:val="22"/>
        </w:rPr>
        <w:t>intervention</w:t>
      </w:r>
      <w:r>
        <w:rPr>
          <w:i/>
          <w:spacing w:val="-2"/>
          <w:sz w:val="22"/>
        </w:rPr>
        <w:t> </w:t>
      </w:r>
      <w:r>
        <w:rPr>
          <w:i/>
          <w:sz w:val="22"/>
        </w:rPr>
        <w:t>would</w:t>
      </w:r>
      <w:r>
        <w:rPr>
          <w:i/>
          <w:spacing w:val="-2"/>
          <w:sz w:val="22"/>
        </w:rPr>
        <w:t> </w:t>
      </w:r>
      <w:r>
        <w:rPr>
          <w:i/>
          <w:sz w:val="22"/>
        </w:rPr>
        <w:t>provide</w:t>
      </w:r>
      <w:r>
        <w:rPr>
          <w:i/>
          <w:spacing w:val="-4"/>
          <w:sz w:val="22"/>
        </w:rPr>
        <w:t> </w:t>
      </w:r>
      <w:r>
        <w:rPr>
          <w:i/>
          <w:sz w:val="22"/>
        </w:rPr>
        <w:t>and</w:t>
      </w:r>
      <w:r>
        <w:rPr>
          <w:i/>
          <w:spacing w:val="-4"/>
          <w:sz w:val="22"/>
        </w:rPr>
        <w:t> </w:t>
      </w:r>
      <w:r>
        <w:rPr>
          <w:i/>
          <w:sz w:val="22"/>
        </w:rPr>
        <w:t>additional</w:t>
      </w:r>
      <w:r>
        <w:rPr>
          <w:i/>
          <w:spacing w:val="-3"/>
          <w:sz w:val="22"/>
        </w:rPr>
        <w:t> </w:t>
      </w:r>
      <w:r>
        <w:rPr>
          <w:i/>
          <w:sz w:val="22"/>
        </w:rPr>
        <w:t>regulation</w:t>
      </w:r>
      <w:r>
        <w:rPr>
          <w:i/>
          <w:spacing w:val="-2"/>
          <w:sz w:val="22"/>
        </w:rPr>
        <w:t> </w:t>
      </w:r>
      <w:r>
        <w:rPr>
          <w:i/>
          <w:sz w:val="22"/>
        </w:rPr>
        <w:t>is</w:t>
      </w:r>
      <w:r>
        <w:rPr>
          <w:i/>
          <w:spacing w:val="-2"/>
          <w:sz w:val="22"/>
        </w:rPr>
        <w:t> </w:t>
      </w:r>
      <w:r>
        <w:rPr>
          <w:i/>
          <w:sz w:val="22"/>
        </w:rPr>
        <w:t>likely</w:t>
      </w:r>
      <w:r>
        <w:rPr>
          <w:i/>
          <w:spacing w:val="-1"/>
          <w:sz w:val="22"/>
        </w:rPr>
        <w:t> </w:t>
      </w:r>
      <w:r>
        <w:rPr>
          <w:i/>
          <w:sz w:val="22"/>
        </w:rPr>
        <w:t>to</w:t>
      </w:r>
      <w:r>
        <w:rPr>
          <w:i/>
          <w:spacing w:val="-4"/>
          <w:sz w:val="22"/>
        </w:rPr>
        <w:t> </w:t>
      </w:r>
      <w:r>
        <w:rPr>
          <w:i/>
          <w:sz w:val="22"/>
        </w:rPr>
        <w:t>result</w:t>
      </w:r>
      <w:r>
        <w:rPr>
          <w:i/>
          <w:spacing w:val="-3"/>
          <w:sz w:val="22"/>
        </w:rPr>
        <w:t> </w:t>
      </w:r>
      <w:r>
        <w:rPr>
          <w:i/>
          <w:sz w:val="22"/>
        </w:rPr>
        <w:t>in reduced efficiency.” </w:t>
      </w:r>
      <w:r>
        <w:rPr>
          <w:sz w:val="22"/>
        </w:rPr>
        <w:t>(Australian Gas Infrastructure Group, 2017, p. 5)</w:t>
      </w:r>
    </w:p>
    <w:p>
      <w:pPr>
        <w:pStyle w:val="BodyText"/>
        <w:spacing w:before="4"/>
        <w:rPr>
          <w:sz w:val="26"/>
        </w:rPr>
      </w:pPr>
    </w:p>
    <w:p>
      <w:pPr>
        <w:pStyle w:val="BodyText"/>
        <w:spacing w:line="288" w:lineRule="auto"/>
        <w:ind w:left="232" w:right="408"/>
      </w:pPr>
      <w:r>
        <w:rPr/>
        <w:t>APA</w:t>
      </w:r>
      <w:r>
        <w:rPr>
          <w:spacing w:val="-3"/>
        </w:rPr>
        <w:t> </w:t>
      </w:r>
      <w:r>
        <w:rPr/>
        <w:t>VTS</w:t>
      </w:r>
      <w:r>
        <w:rPr>
          <w:spacing w:val="-2"/>
        </w:rPr>
        <w:t> </w:t>
      </w:r>
      <w:r>
        <w:rPr/>
        <w:t>supported</w:t>
      </w:r>
      <w:r>
        <w:rPr>
          <w:spacing w:val="-3"/>
        </w:rPr>
        <w:t> </w:t>
      </w:r>
      <w:r>
        <w:rPr/>
        <w:t>a</w:t>
      </w:r>
      <w:r>
        <w:rPr>
          <w:spacing w:val="-5"/>
        </w:rPr>
        <w:t> </w:t>
      </w:r>
      <w:r>
        <w:rPr/>
        <w:t>considered</w:t>
      </w:r>
      <w:r>
        <w:rPr>
          <w:spacing w:val="-2"/>
        </w:rPr>
        <w:t> </w:t>
      </w:r>
      <w:r>
        <w:rPr/>
        <w:t>and</w:t>
      </w:r>
      <w:r>
        <w:rPr>
          <w:spacing w:val="-3"/>
        </w:rPr>
        <w:t> </w:t>
      </w:r>
      <w:r>
        <w:rPr/>
        <w:t>long-term</w:t>
      </w:r>
      <w:r>
        <w:rPr>
          <w:spacing w:val="-4"/>
        </w:rPr>
        <w:t> </w:t>
      </w:r>
      <w:r>
        <w:rPr/>
        <w:t>approach</w:t>
      </w:r>
      <w:r>
        <w:rPr>
          <w:spacing w:val="-5"/>
        </w:rPr>
        <w:t> </w:t>
      </w:r>
      <w:r>
        <w:rPr/>
        <w:t>to</w:t>
      </w:r>
      <w:r>
        <w:rPr>
          <w:spacing w:val="-3"/>
        </w:rPr>
        <w:t> </w:t>
      </w:r>
      <w:r>
        <w:rPr/>
        <w:t>pipeline</w:t>
      </w:r>
      <w:r>
        <w:rPr>
          <w:spacing w:val="-3"/>
        </w:rPr>
        <w:t> </w:t>
      </w:r>
      <w:r>
        <w:rPr/>
        <w:t>safety</w:t>
      </w:r>
      <w:r>
        <w:rPr>
          <w:spacing w:val="-5"/>
        </w:rPr>
        <w:t> </w:t>
      </w:r>
      <w:r>
        <w:rPr/>
        <w:t>including</w:t>
      </w:r>
      <w:r>
        <w:rPr>
          <w:spacing w:val="-1"/>
        </w:rPr>
        <w:t> </w:t>
      </w:r>
      <w:r>
        <w:rPr/>
        <w:t>security</w:t>
      </w:r>
      <w:r>
        <w:rPr>
          <w:spacing w:val="-5"/>
        </w:rPr>
        <w:t> </w:t>
      </w:r>
      <w:r>
        <w:rPr/>
        <w:t>of supply issues, which included ESV having an expanded advisory role:</w:t>
      </w:r>
    </w:p>
    <w:p>
      <w:pPr>
        <w:pStyle w:val="BodyText"/>
        <w:spacing w:before="6"/>
        <w:rPr>
          <w:sz w:val="26"/>
        </w:rPr>
      </w:pPr>
    </w:p>
    <w:p>
      <w:pPr>
        <w:spacing w:line="288" w:lineRule="auto" w:before="0"/>
        <w:ind w:left="799" w:right="296" w:firstLine="0"/>
        <w:jc w:val="left"/>
        <w:rPr>
          <w:sz w:val="22"/>
        </w:rPr>
      </w:pPr>
      <w:r>
        <w:rPr>
          <w:i/>
          <w:sz w:val="22"/>
        </w:rPr>
        <w:t>“A closer more considered and longer term outlook on pipeline safety in economic regulation is</w:t>
      </w:r>
      <w:r>
        <w:rPr>
          <w:i/>
          <w:spacing w:val="-1"/>
          <w:sz w:val="22"/>
        </w:rPr>
        <w:t> </w:t>
      </w:r>
      <w:r>
        <w:rPr>
          <w:i/>
          <w:sz w:val="22"/>
        </w:rPr>
        <w:t>supported,</w:t>
      </w:r>
      <w:r>
        <w:rPr>
          <w:i/>
          <w:spacing w:val="-3"/>
          <w:sz w:val="22"/>
        </w:rPr>
        <w:t> </w:t>
      </w:r>
      <w:r>
        <w:rPr>
          <w:i/>
          <w:sz w:val="22"/>
        </w:rPr>
        <w:t>including</w:t>
      </w:r>
      <w:r>
        <w:rPr>
          <w:i/>
          <w:spacing w:val="-2"/>
          <w:sz w:val="22"/>
        </w:rPr>
        <w:t> </w:t>
      </w:r>
      <w:r>
        <w:rPr>
          <w:i/>
          <w:sz w:val="22"/>
        </w:rPr>
        <w:t>security</w:t>
      </w:r>
      <w:r>
        <w:rPr>
          <w:i/>
          <w:spacing w:val="-4"/>
          <w:sz w:val="22"/>
        </w:rPr>
        <w:t> </w:t>
      </w:r>
      <w:r>
        <w:rPr>
          <w:i/>
          <w:sz w:val="22"/>
        </w:rPr>
        <w:t>of</w:t>
      </w:r>
      <w:r>
        <w:rPr>
          <w:i/>
          <w:spacing w:val="-3"/>
          <w:sz w:val="22"/>
        </w:rPr>
        <w:t> </w:t>
      </w:r>
      <w:r>
        <w:rPr>
          <w:i/>
          <w:sz w:val="22"/>
        </w:rPr>
        <w:t>supply</w:t>
      </w:r>
      <w:r>
        <w:rPr>
          <w:i/>
          <w:spacing w:val="-1"/>
          <w:sz w:val="22"/>
        </w:rPr>
        <w:t> </w:t>
      </w:r>
      <w:r>
        <w:rPr>
          <w:i/>
          <w:sz w:val="22"/>
        </w:rPr>
        <w:t>issues.</w:t>
      </w:r>
      <w:r>
        <w:rPr>
          <w:i/>
          <w:spacing w:val="-3"/>
          <w:sz w:val="22"/>
        </w:rPr>
        <w:t> </w:t>
      </w:r>
      <w:r>
        <w:rPr>
          <w:i/>
          <w:sz w:val="22"/>
        </w:rPr>
        <w:t>We</w:t>
      </w:r>
      <w:r>
        <w:rPr>
          <w:i/>
          <w:spacing w:val="-6"/>
          <w:sz w:val="22"/>
        </w:rPr>
        <w:t> </w:t>
      </w:r>
      <w:r>
        <w:rPr>
          <w:i/>
          <w:sz w:val="22"/>
        </w:rPr>
        <w:t>would</w:t>
      </w:r>
      <w:r>
        <w:rPr>
          <w:i/>
          <w:spacing w:val="-2"/>
          <w:sz w:val="22"/>
        </w:rPr>
        <w:t> </w:t>
      </w:r>
      <w:r>
        <w:rPr>
          <w:i/>
          <w:sz w:val="22"/>
        </w:rPr>
        <w:t>support</w:t>
      </w:r>
      <w:r>
        <w:rPr>
          <w:i/>
          <w:spacing w:val="-3"/>
          <w:sz w:val="22"/>
        </w:rPr>
        <w:t> </w:t>
      </w:r>
      <w:r>
        <w:rPr>
          <w:i/>
          <w:sz w:val="22"/>
        </w:rPr>
        <w:t>ESV</w:t>
      </w:r>
      <w:r>
        <w:rPr>
          <w:i/>
          <w:spacing w:val="-2"/>
          <w:sz w:val="22"/>
        </w:rPr>
        <w:t> </w:t>
      </w:r>
      <w:r>
        <w:rPr>
          <w:i/>
          <w:sz w:val="22"/>
        </w:rPr>
        <w:t>having</w:t>
      </w:r>
      <w:r>
        <w:rPr>
          <w:i/>
          <w:spacing w:val="-2"/>
          <w:sz w:val="22"/>
        </w:rPr>
        <w:t> </w:t>
      </w:r>
      <w:r>
        <w:rPr>
          <w:i/>
          <w:sz w:val="22"/>
        </w:rPr>
        <w:t>an</w:t>
      </w:r>
      <w:r>
        <w:rPr>
          <w:i/>
          <w:spacing w:val="-2"/>
          <w:sz w:val="22"/>
        </w:rPr>
        <w:t> </w:t>
      </w:r>
      <w:r>
        <w:rPr>
          <w:i/>
          <w:sz w:val="22"/>
        </w:rPr>
        <w:t>expanded role as an authoritative advisor to the AER.” </w:t>
      </w:r>
      <w:r>
        <w:rPr>
          <w:sz w:val="22"/>
        </w:rPr>
        <w:t>(APA VTS, 2017, p. 4)</w:t>
      </w:r>
    </w:p>
    <w:p>
      <w:pPr>
        <w:pStyle w:val="BodyText"/>
        <w:spacing w:before="4"/>
        <w:rPr>
          <w:sz w:val="26"/>
        </w:rPr>
      </w:pPr>
    </w:p>
    <w:p>
      <w:pPr>
        <w:pStyle w:val="BodyText"/>
        <w:spacing w:line="288" w:lineRule="auto" w:before="1"/>
        <w:ind w:left="232" w:right="374"/>
      </w:pPr>
      <w:r>
        <w:rPr/>
        <w:t>Following the consideration of these submissions to the Interim Report, the Review proposes a staged approach to the consideration and development of a reliability standard. In the first instance,</w:t>
      </w:r>
      <w:r>
        <w:rPr>
          <w:spacing w:val="-2"/>
        </w:rPr>
        <w:t> </w:t>
      </w:r>
      <w:r>
        <w:rPr/>
        <w:t>the</w:t>
      </w:r>
      <w:r>
        <w:rPr>
          <w:spacing w:val="-3"/>
        </w:rPr>
        <w:t> </w:t>
      </w:r>
      <w:r>
        <w:rPr/>
        <w:t>case</w:t>
      </w:r>
      <w:r>
        <w:rPr>
          <w:spacing w:val="-6"/>
        </w:rPr>
        <w:t> </w:t>
      </w:r>
      <w:r>
        <w:rPr/>
        <w:t>for Victoria</w:t>
      </w:r>
      <w:r>
        <w:rPr>
          <w:spacing w:val="-1"/>
        </w:rPr>
        <w:t> </w:t>
      </w:r>
      <w:r>
        <w:rPr/>
        <w:t>adopting a</w:t>
      </w:r>
      <w:r>
        <w:rPr>
          <w:spacing w:val="-3"/>
        </w:rPr>
        <w:t> </w:t>
      </w:r>
      <w:r>
        <w:rPr/>
        <w:t>reliability</w:t>
      </w:r>
      <w:r>
        <w:rPr>
          <w:spacing w:val="-3"/>
        </w:rPr>
        <w:t> </w:t>
      </w:r>
      <w:r>
        <w:rPr/>
        <w:t>standard</w:t>
      </w:r>
      <w:r>
        <w:rPr>
          <w:spacing w:val="-3"/>
        </w:rPr>
        <w:t> </w:t>
      </w:r>
      <w:r>
        <w:rPr/>
        <w:t>for</w:t>
      </w:r>
      <w:r>
        <w:rPr>
          <w:spacing w:val="-5"/>
        </w:rPr>
        <w:t> </w:t>
      </w:r>
      <w:r>
        <w:rPr/>
        <w:t>gas</w:t>
      </w:r>
      <w:r>
        <w:rPr>
          <w:spacing w:val="-3"/>
        </w:rPr>
        <w:t> </w:t>
      </w:r>
      <w:r>
        <w:rPr/>
        <w:t>should</w:t>
      </w:r>
      <w:r>
        <w:rPr>
          <w:spacing w:val="-1"/>
        </w:rPr>
        <w:t> </w:t>
      </w:r>
      <w:r>
        <w:rPr/>
        <w:t>be</w:t>
      </w:r>
      <w:r>
        <w:rPr>
          <w:spacing w:val="-1"/>
        </w:rPr>
        <w:t> </w:t>
      </w:r>
      <w:r>
        <w:rPr/>
        <w:t>considered</w:t>
      </w:r>
      <w:r>
        <w:rPr>
          <w:spacing w:val="-1"/>
        </w:rPr>
        <w:t> </w:t>
      </w:r>
      <w:r>
        <w:rPr/>
        <w:t>by</w:t>
      </w:r>
      <w:r>
        <w:rPr>
          <w:spacing w:val="-3"/>
        </w:rPr>
        <w:t> </w:t>
      </w:r>
      <w:r>
        <w:rPr/>
        <w:t>the Victorian Government in consultation with the relevant regulatory agencies and stakeholders.</w:t>
      </w:r>
    </w:p>
    <w:p>
      <w:pPr>
        <w:pStyle w:val="BodyText"/>
        <w:spacing w:before="10"/>
        <w:rPr>
          <w:sz w:val="20"/>
        </w:rPr>
      </w:pPr>
    </w:p>
    <w:p>
      <w:pPr>
        <w:pStyle w:val="BodyText"/>
        <w:spacing w:line="288" w:lineRule="auto"/>
        <w:ind w:left="232" w:right="374"/>
      </w:pPr>
      <w:r>
        <w:rPr/>
        <w:t>Consultation with other jurisdictions would also assist in determining whether the reliability standard</w:t>
      </w:r>
      <w:r>
        <w:rPr>
          <w:spacing w:val="-5"/>
        </w:rPr>
        <w:t> </w:t>
      </w:r>
      <w:r>
        <w:rPr/>
        <w:t>would</w:t>
      </w:r>
      <w:r>
        <w:rPr>
          <w:spacing w:val="-3"/>
        </w:rPr>
        <w:t> </w:t>
      </w:r>
      <w:r>
        <w:rPr/>
        <w:t>be</w:t>
      </w:r>
      <w:r>
        <w:rPr>
          <w:spacing w:val="-3"/>
        </w:rPr>
        <w:t> </w:t>
      </w:r>
      <w:r>
        <w:rPr/>
        <w:t>a</w:t>
      </w:r>
      <w:r>
        <w:rPr>
          <w:spacing w:val="-3"/>
        </w:rPr>
        <w:t> </w:t>
      </w:r>
      <w:r>
        <w:rPr/>
        <w:t>Victorian</w:t>
      </w:r>
      <w:r>
        <w:rPr>
          <w:spacing w:val="-3"/>
        </w:rPr>
        <w:t> </w:t>
      </w:r>
      <w:r>
        <w:rPr/>
        <w:t>specific</w:t>
      </w:r>
      <w:r>
        <w:rPr>
          <w:spacing w:val="-5"/>
        </w:rPr>
        <w:t> </w:t>
      </w:r>
      <w:r>
        <w:rPr/>
        <w:t>reliability</w:t>
      </w:r>
      <w:r>
        <w:rPr>
          <w:spacing w:val="-5"/>
        </w:rPr>
        <w:t> </w:t>
      </w:r>
      <w:r>
        <w:rPr/>
        <w:t>standard</w:t>
      </w:r>
      <w:r>
        <w:rPr>
          <w:spacing w:val="-3"/>
        </w:rPr>
        <w:t> </w:t>
      </w:r>
      <w:r>
        <w:rPr/>
        <w:t>or</w:t>
      </w:r>
      <w:r>
        <w:rPr>
          <w:spacing w:val="-2"/>
        </w:rPr>
        <w:t> </w:t>
      </w:r>
      <w:r>
        <w:rPr/>
        <w:t>a</w:t>
      </w:r>
      <w:r>
        <w:rPr>
          <w:spacing w:val="-5"/>
        </w:rPr>
        <w:t> </w:t>
      </w:r>
      <w:r>
        <w:rPr/>
        <w:t>broader</w:t>
      </w:r>
      <w:r>
        <w:rPr>
          <w:spacing w:val="-2"/>
        </w:rPr>
        <w:t> </w:t>
      </w:r>
      <w:r>
        <w:rPr/>
        <w:t>cross</w:t>
      </w:r>
      <w:r>
        <w:rPr>
          <w:spacing w:val="-2"/>
        </w:rPr>
        <w:t> </w:t>
      </w:r>
      <w:r>
        <w:rPr/>
        <w:t>jurisdictional</w:t>
      </w:r>
      <w:r>
        <w:rPr>
          <w:spacing w:val="-4"/>
        </w:rPr>
        <w:t> </w:t>
      </w:r>
      <w:r>
        <w:rPr/>
        <w:t>reliability standard. A Value of Customer Reliability Survey should also be utilised to inform the government’s understanding of the value that customers place on gas reliability.</w:t>
      </w:r>
    </w:p>
    <w:p>
      <w:pPr>
        <w:pStyle w:val="BodyText"/>
        <w:spacing w:before="8"/>
        <w:rPr>
          <w:sz w:val="20"/>
        </w:rPr>
      </w:pPr>
    </w:p>
    <w:p>
      <w:pPr>
        <w:pStyle w:val="BodyText"/>
        <w:spacing w:line="288" w:lineRule="auto"/>
        <w:ind w:left="232" w:right="408"/>
      </w:pPr>
      <w:r>
        <w:rPr/>
        <w:t>Reliability</w:t>
      </w:r>
      <w:r>
        <w:rPr>
          <w:spacing w:val="-4"/>
        </w:rPr>
        <w:t> </w:t>
      </w:r>
      <w:r>
        <w:rPr/>
        <w:t>standards</w:t>
      </w:r>
      <w:r>
        <w:rPr>
          <w:spacing w:val="-1"/>
        </w:rPr>
        <w:t> </w:t>
      </w:r>
      <w:r>
        <w:rPr/>
        <w:t>present</w:t>
      </w:r>
      <w:r>
        <w:rPr>
          <w:spacing w:val="-1"/>
        </w:rPr>
        <w:t> </w:t>
      </w:r>
      <w:r>
        <w:rPr/>
        <w:t>in</w:t>
      </w:r>
      <w:r>
        <w:rPr>
          <w:spacing w:val="-4"/>
        </w:rPr>
        <w:t> </w:t>
      </w:r>
      <w:r>
        <w:rPr/>
        <w:t>the</w:t>
      </w:r>
      <w:r>
        <w:rPr>
          <w:spacing w:val="-4"/>
        </w:rPr>
        <w:t> </w:t>
      </w:r>
      <w:r>
        <w:rPr/>
        <w:t>National</w:t>
      </w:r>
      <w:r>
        <w:rPr>
          <w:spacing w:val="-3"/>
        </w:rPr>
        <w:t> </w:t>
      </w:r>
      <w:r>
        <w:rPr/>
        <w:t>Electricity</w:t>
      </w:r>
      <w:r>
        <w:rPr>
          <w:spacing w:val="-4"/>
        </w:rPr>
        <w:t> </w:t>
      </w:r>
      <w:r>
        <w:rPr/>
        <w:t>Market</w:t>
      </w:r>
      <w:r>
        <w:rPr>
          <w:spacing w:val="-4"/>
        </w:rPr>
        <w:t> </w:t>
      </w:r>
      <w:r>
        <w:rPr/>
        <w:t>and</w:t>
      </w:r>
      <w:r>
        <w:rPr>
          <w:spacing w:val="-3"/>
        </w:rPr>
        <w:t> </w:t>
      </w:r>
      <w:r>
        <w:rPr/>
        <w:t>in</w:t>
      </w:r>
      <w:r>
        <w:rPr>
          <w:spacing w:val="-3"/>
        </w:rPr>
        <w:t> </w:t>
      </w:r>
      <w:r>
        <w:rPr/>
        <w:t>European</w:t>
      </w:r>
      <w:r>
        <w:rPr>
          <w:spacing w:val="-4"/>
        </w:rPr>
        <w:t> </w:t>
      </w:r>
      <w:r>
        <w:rPr/>
        <w:t>gas</w:t>
      </w:r>
      <w:r>
        <w:rPr>
          <w:spacing w:val="-3"/>
        </w:rPr>
        <w:t> </w:t>
      </w:r>
      <w:r>
        <w:rPr/>
        <w:t>networks</w:t>
      </w:r>
      <w:r>
        <w:rPr>
          <w:spacing w:val="-4"/>
        </w:rPr>
        <w:t> </w:t>
      </w:r>
      <w:r>
        <w:rPr/>
        <w:t>are examples which could be drawn upon in consideration of an appropriate reliability standard for Victoria’s gas network.</w:t>
      </w:r>
    </w:p>
    <w:p>
      <w:pPr>
        <w:pStyle w:val="BodyText"/>
        <w:rPr>
          <w:sz w:val="21"/>
        </w:rPr>
      </w:pPr>
    </w:p>
    <w:p>
      <w:pPr>
        <w:pStyle w:val="BodyText"/>
        <w:spacing w:line="288" w:lineRule="auto"/>
        <w:ind w:left="232" w:right="320"/>
      </w:pPr>
      <w:r>
        <w:rPr/>
        <w:t>Following the</w:t>
      </w:r>
      <w:r>
        <w:rPr>
          <w:spacing w:val="-2"/>
        </w:rPr>
        <w:t> </w:t>
      </w:r>
      <w:r>
        <w:rPr/>
        <w:t>Victorian</w:t>
      </w:r>
      <w:r>
        <w:rPr>
          <w:spacing w:val="-4"/>
        </w:rPr>
        <w:t> </w:t>
      </w:r>
      <w:r>
        <w:rPr/>
        <w:t>Government’s</w:t>
      </w:r>
      <w:r>
        <w:rPr>
          <w:spacing w:val="-1"/>
        </w:rPr>
        <w:t> </w:t>
      </w:r>
      <w:r>
        <w:rPr/>
        <w:t>consideration of the</w:t>
      </w:r>
      <w:r>
        <w:rPr>
          <w:spacing w:val="-3"/>
        </w:rPr>
        <w:t> </w:t>
      </w:r>
      <w:r>
        <w:rPr/>
        <w:t>case</w:t>
      </w:r>
      <w:r>
        <w:rPr>
          <w:spacing w:val="-6"/>
        </w:rPr>
        <w:t> </w:t>
      </w:r>
      <w:r>
        <w:rPr/>
        <w:t>for</w:t>
      </w:r>
      <w:r>
        <w:rPr>
          <w:spacing w:val="-1"/>
        </w:rPr>
        <w:t> </w:t>
      </w:r>
      <w:r>
        <w:rPr/>
        <w:t>a</w:t>
      </w:r>
      <w:r>
        <w:rPr>
          <w:spacing w:val="-6"/>
        </w:rPr>
        <w:t> </w:t>
      </w:r>
      <w:r>
        <w:rPr/>
        <w:t>formal</w:t>
      </w:r>
      <w:r>
        <w:rPr>
          <w:spacing w:val="-4"/>
        </w:rPr>
        <w:t> </w:t>
      </w:r>
      <w:r>
        <w:rPr/>
        <w:t>reliability</w:t>
      </w:r>
      <w:r>
        <w:rPr>
          <w:spacing w:val="-4"/>
        </w:rPr>
        <w:t> </w:t>
      </w:r>
      <w:r>
        <w:rPr/>
        <w:t>standard,</w:t>
      </w:r>
      <w:r>
        <w:rPr>
          <w:spacing w:val="-1"/>
        </w:rPr>
        <w:t> </w:t>
      </w:r>
      <w:r>
        <w:rPr/>
        <w:t>the Victorian Government, through the COAG Energy Council, could request the AEMC to determine the best approach to develop the framework and governance arrangements for establishing a reliability standard.</w:t>
      </w:r>
    </w:p>
    <w:p>
      <w:pPr>
        <w:pStyle w:val="BodyText"/>
        <w:spacing w:before="9"/>
        <w:rPr>
          <w:sz w:val="18"/>
        </w:rPr>
      </w:pPr>
      <w:r>
        <w:rPr/>
        <mc:AlternateContent>
          <mc:Choice Requires="wps">
            <w:drawing>
              <wp:anchor distT="0" distB="0" distL="0" distR="0" allowOverlap="1" layoutInCell="1" locked="0" behindDoc="1" simplePos="0" relativeHeight="487636480">
                <wp:simplePos x="0" y="0"/>
                <wp:positionH relativeFrom="page">
                  <wp:posOffset>719327</wp:posOffset>
                </wp:positionH>
                <wp:positionV relativeFrom="paragraph">
                  <wp:posOffset>152870</wp:posOffset>
                </wp:positionV>
                <wp:extent cx="5954395" cy="1890395"/>
                <wp:effectExtent l="0" t="0" r="0" b="0"/>
                <wp:wrapTopAndBottom/>
                <wp:docPr id="158" name="Textbox 158"/>
                <wp:cNvGraphicFramePr>
                  <a:graphicFrameLocks/>
                </wp:cNvGraphicFramePr>
                <a:graphic>
                  <a:graphicData uri="http://schemas.microsoft.com/office/word/2010/wordprocessingShape">
                    <wps:wsp>
                      <wps:cNvPr id="158" name="Textbox 158"/>
                      <wps:cNvSpPr txBox="1"/>
                      <wps:spPr>
                        <a:xfrm>
                          <a:off x="0" y="0"/>
                          <a:ext cx="5954395" cy="1890395"/>
                        </a:xfrm>
                        <a:prstGeom prst="rect">
                          <a:avLst/>
                        </a:prstGeom>
                        <a:solidFill>
                          <a:srgbClr val="D9D9D9"/>
                        </a:solidFill>
                      </wps:spPr>
                      <wps:txbx>
                        <w:txbxContent>
                          <w:p>
                            <w:pPr>
                              <w:pStyle w:val="BodyText"/>
                              <w:spacing w:before="4"/>
                              <w:rPr>
                                <w:color w:val="000000"/>
                                <w:sz w:val="38"/>
                              </w:rPr>
                            </w:pPr>
                          </w:p>
                          <w:p>
                            <w:pPr>
                              <w:spacing w:before="1"/>
                              <w:ind w:left="141" w:right="0" w:firstLine="0"/>
                              <w:jc w:val="left"/>
                              <w:rPr>
                                <w:b/>
                                <w:color w:val="000000"/>
                                <w:sz w:val="24"/>
                              </w:rPr>
                            </w:pPr>
                            <w:r>
                              <w:rPr>
                                <w:b/>
                                <w:color w:val="000000"/>
                                <w:spacing w:val="-2"/>
                                <w:sz w:val="24"/>
                              </w:rPr>
                              <w:t>Recommendation</w:t>
                            </w:r>
                            <w:r>
                              <w:rPr>
                                <w:b/>
                                <w:color w:val="000000"/>
                                <w:sz w:val="24"/>
                              </w:rPr>
                              <w:t> </w:t>
                            </w:r>
                            <w:r>
                              <w:rPr>
                                <w:b/>
                                <w:color w:val="000000"/>
                                <w:spacing w:val="-5"/>
                                <w:sz w:val="24"/>
                              </w:rPr>
                              <w:t>23</w:t>
                            </w:r>
                          </w:p>
                          <w:p>
                            <w:pPr>
                              <w:pStyle w:val="BodyText"/>
                              <w:spacing w:line="288" w:lineRule="auto" w:before="174"/>
                              <w:ind w:left="112" w:right="174"/>
                              <w:rPr>
                                <w:color w:val="000000"/>
                              </w:rPr>
                            </w:pPr>
                            <w:r>
                              <w:rPr>
                                <w:color w:val="000000"/>
                              </w:rPr>
                              <w:t>The Victorian Government should consider the case for a formal reliability standard for the gas</w:t>
                            </w:r>
                            <w:r>
                              <w:rPr>
                                <w:color w:val="000000"/>
                                <w:spacing w:val="-4"/>
                              </w:rPr>
                              <w:t> </w:t>
                            </w:r>
                            <w:r>
                              <w:rPr>
                                <w:color w:val="000000"/>
                              </w:rPr>
                              <w:t>network,</w:t>
                            </w:r>
                            <w:r>
                              <w:rPr>
                                <w:color w:val="000000"/>
                                <w:spacing w:val="-3"/>
                              </w:rPr>
                              <w:t> </w:t>
                            </w:r>
                            <w:r>
                              <w:rPr>
                                <w:color w:val="000000"/>
                              </w:rPr>
                              <w:t>in</w:t>
                            </w:r>
                            <w:r>
                              <w:rPr>
                                <w:color w:val="000000"/>
                                <w:spacing w:val="-2"/>
                              </w:rPr>
                              <w:t> </w:t>
                            </w:r>
                            <w:r>
                              <w:rPr>
                                <w:color w:val="000000"/>
                              </w:rPr>
                              <w:t>consultation</w:t>
                            </w:r>
                            <w:r>
                              <w:rPr>
                                <w:color w:val="000000"/>
                                <w:spacing w:val="-2"/>
                              </w:rPr>
                              <w:t> </w:t>
                            </w:r>
                            <w:r>
                              <w:rPr>
                                <w:color w:val="000000"/>
                              </w:rPr>
                              <w:t>with</w:t>
                            </w:r>
                            <w:r>
                              <w:rPr>
                                <w:color w:val="000000"/>
                                <w:spacing w:val="-2"/>
                              </w:rPr>
                              <w:t> </w:t>
                            </w:r>
                            <w:r>
                              <w:rPr>
                                <w:color w:val="000000"/>
                              </w:rPr>
                              <w:t>relevant stakeholders.</w:t>
                            </w:r>
                            <w:r>
                              <w:rPr>
                                <w:color w:val="000000"/>
                                <w:spacing w:val="-2"/>
                              </w:rPr>
                              <w:t> </w:t>
                            </w:r>
                            <w:r>
                              <w:rPr>
                                <w:color w:val="000000"/>
                              </w:rPr>
                              <w:t>If the</w:t>
                            </w:r>
                            <w:r>
                              <w:rPr>
                                <w:color w:val="000000"/>
                                <w:spacing w:val="-2"/>
                              </w:rPr>
                              <w:t> </w:t>
                            </w:r>
                            <w:r>
                              <w:rPr>
                                <w:color w:val="000000"/>
                              </w:rPr>
                              <w:t>adoption</w:t>
                            </w:r>
                            <w:r>
                              <w:rPr>
                                <w:color w:val="000000"/>
                                <w:spacing w:val="-2"/>
                              </w:rPr>
                              <w:t> </w:t>
                            </w:r>
                            <w:r>
                              <w:rPr>
                                <w:color w:val="000000"/>
                              </w:rPr>
                              <w:t>of a</w:t>
                            </w:r>
                            <w:r>
                              <w:rPr>
                                <w:color w:val="000000"/>
                                <w:spacing w:val="-6"/>
                              </w:rPr>
                              <w:t> </w:t>
                            </w:r>
                            <w:r>
                              <w:rPr>
                                <w:color w:val="000000"/>
                              </w:rPr>
                              <w:t>formal</w:t>
                            </w:r>
                            <w:r>
                              <w:rPr>
                                <w:color w:val="000000"/>
                                <w:spacing w:val="-5"/>
                              </w:rPr>
                              <w:t> </w:t>
                            </w:r>
                            <w:r>
                              <w:rPr>
                                <w:color w:val="000000"/>
                              </w:rPr>
                              <w:t>reliability standard</w:t>
                            </w:r>
                            <w:r>
                              <w:rPr>
                                <w:color w:val="000000"/>
                                <w:spacing w:val="-5"/>
                              </w:rPr>
                              <w:t> </w:t>
                            </w:r>
                            <w:r>
                              <w:rPr>
                                <w:color w:val="000000"/>
                              </w:rPr>
                              <w:t>is</w:t>
                            </w:r>
                            <w:r>
                              <w:rPr>
                                <w:color w:val="000000"/>
                                <w:spacing w:val="-2"/>
                              </w:rPr>
                              <w:t> </w:t>
                            </w:r>
                            <w:r>
                              <w:rPr>
                                <w:color w:val="000000"/>
                              </w:rPr>
                              <w:t>preferred,</w:t>
                            </w:r>
                            <w:r>
                              <w:rPr>
                                <w:color w:val="000000"/>
                                <w:spacing w:val="-1"/>
                              </w:rPr>
                              <w:t> </w:t>
                            </w:r>
                            <w:r>
                              <w:rPr>
                                <w:color w:val="000000"/>
                              </w:rPr>
                              <w:t>the</w:t>
                            </w:r>
                            <w:r>
                              <w:rPr>
                                <w:color w:val="000000"/>
                                <w:spacing w:val="-2"/>
                              </w:rPr>
                              <w:t> </w:t>
                            </w:r>
                            <w:r>
                              <w:rPr>
                                <w:color w:val="000000"/>
                              </w:rPr>
                              <w:t>Victorian</w:t>
                            </w:r>
                            <w:r>
                              <w:rPr>
                                <w:color w:val="000000"/>
                                <w:spacing w:val="-5"/>
                              </w:rPr>
                              <w:t> </w:t>
                            </w:r>
                            <w:r>
                              <w:rPr>
                                <w:color w:val="000000"/>
                              </w:rPr>
                              <w:t>Government</w:t>
                            </w:r>
                            <w:r>
                              <w:rPr>
                                <w:color w:val="000000"/>
                                <w:spacing w:val="-5"/>
                              </w:rPr>
                              <w:t> </w:t>
                            </w:r>
                            <w:r>
                              <w:rPr>
                                <w:color w:val="000000"/>
                              </w:rPr>
                              <w:t>should</w:t>
                            </w:r>
                            <w:r>
                              <w:rPr>
                                <w:color w:val="000000"/>
                                <w:spacing w:val="-3"/>
                              </w:rPr>
                              <w:t> </w:t>
                            </w:r>
                            <w:r>
                              <w:rPr>
                                <w:color w:val="000000"/>
                              </w:rPr>
                              <w:t>request</w:t>
                            </w:r>
                            <w:r>
                              <w:rPr>
                                <w:color w:val="000000"/>
                                <w:spacing w:val="-4"/>
                              </w:rPr>
                              <w:t> </w:t>
                            </w:r>
                            <w:r>
                              <w:rPr>
                                <w:color w:val="000000"/>
                              </w:rPr>
                              <w:t>the</w:t>
                            </w:r>
                            <w:r>
                              <w:rPr>
                                <w:color w:val="000000"/>
                                <w:spacing w:val="-3"/>
                              </w:rPr>
                              <w:t> </w:t>
                            </w:r>
                            <w:r>
                              <w:rPr>
                                <w:color w:val="000000"/>
                              </w:rPr>
                              <w:t>AEMC</w:t>
                            </w:r>
                            <w:r>
                              <w:rPr>
                                <w:color w:val="000000"/>
                                <w:spacing w:val="-3"/>
                              </w:rPr>
                              <w:t> </w:t>
                            </w:r>
                            <w:r>
                              <w:rPr>
                                <w:color w:val="000000"/>
                              </w:rPr>
                              <w:t>to</w:t>
                            </w:r>
                            <w:r>
                              <w:rPr>
                                <w:color w:val="000000"/>
                                <w:spacing w:val="-3"/>
                              </w:rPr>
                              <w:t> </w:t>
                            </w:r>
                            <w:r>
                              <w:rPr>
                                <w:color w:val="000000"/>
                              </w:rPr>
                              <w:t>determine</w:t>
                            </w:r>
                            <w:r>
                              <w:rPr>
                                <w:color w:val="000000"/>
                                <w:spacing w:val="-5"/>
                              </w:rPr>
                              <w:t> </w:t>
                            </w:r>
                            <w:r>
                              <w:rPr>
                                <w:color w:val="000000"/>
                              </w:rPr>
                              <w:t>the best approach to develop a framework and governance arrangements for establishing a reliability standard to support consideration of a robust, economically justified level of investment for reliable and secure gas supply.</w:t>
                            </w:r>
                          </w:p>
                        </w:txbxContent>
                      </wps:txbx>
                      <wps:bodyPr wrap="square" lIns="0" tIns="0" rIns="0" bIns="0" rtlCol="0">
                        <a:noAutofit/>
                      </wps:bodyPr>
                    </wps:wsp>
                  </a:graphicData>
                </a:graphic>
              </wp:anchor>
            </w:drawing>
          </mc:Choice>
          <mc:Fallback>
            <w:pict>
              <v:shape style="position:absolute;margin-left:56.639999pt;margin-top:12.037051pt;width:468.85pt;height:148.85pt;mso-position-horizontal-relative:page;mso-position-vertical-relative:paragraph;z-index:-15680000;mso-wrap-distance-left:0;mso-wrap-distance-right:0" type="#_x0000_t202" id="docshape141" filled="true" fillcolor="#d9d9d9" stroked="false">
                <v:textbox inset="0,0,0,0">
                  <w:txbxContent>
                    <w:p>
                      <w:pPr>
                        <w:pStyle w:val="BodyText"/>
                        <w:spacing w:before="4"/>
                        <w:rPr>
                          <w:color w:val="000000"/>
                          <w:sz w:val="38"/>
                        </w:rPr>
                      </w:pPr>
                    </w:p>
                    <w:p>
                      <w:pPr>
                        <w:spacing w:before="1"/>
                        <w:ind w:left="141" w:right="0" w:firstLine="0"/>
                        <w:jc w:val="left"/>
                        <w:rPr>
                          <w:b/>
                          <w:color w:val="000000"/>
                          <w:sz w:val="24"/>
                        </w:rPr>
                      </w:pPr>
                      <w:r>
                        <w:rPr>
                          <w:b/>
                          <w:color w:val="000000"/>
                          <w:spacing w:val="-2"/>
                          <w:sz w:val="24"/>
                        </w:rPr>
                        <w:t>Recommendation</w:t>
                      </w:r>
                      <w:r>
                        <w:rPr>
                          <w:b/>
                          <w:color w:val="000000"/>
                          <w:sz w:val="24"/>
                        </w:rPr>
                        <w:t> </w:t>
                      </w:r>
                      <w:r>
                        <w:rPr>
                          <w:b/>
                          <w:color w:val="000000"/>
                          <w:spacing w:val="-5"/>
                          <w:sz w:val="24"/>
                        </w:rPr>
                        <w:t>23</w:t>
                      </w:r>
                    </w:p>
                    <w:p>
                      <w:pPr>
                        <w:pStyle w:val="BodyText"/>
                        <w:spacing w:line="288" w:lineRule="auto" w:before="174"/>
                        <w:ind w:left="112" w:right="174"/>
                        <w:rPr>
                          <w:color w:val="000000"/>
                        </w:rPr>
                      </w:pPr>
                      <w:r>
                        <w:rPr>
                          <w:color w:val="000000"/>
                        </w:rPr>
                        <w:t>The Victorian Government should consider the case for a formal reliability standard for the gas</w:t>
                      </w:r>
                      <w:r>
                        <w:rPr>
                          <w:color w:val="000000"/>
                          <w:spacing w:val="-4"/>
                        </w:rPr>
                        <w:t> </w:t>
                      </w:r>
                      <w:r>
                        <w:rPr>
                          <w:color w:val="000000"/>
                        </w:rPr>
                        <w:t>network,</w:t>
                      </w:r>
                      <w:r>
                        <w:rPr>
                          <w:color w:val="000000"/>
                          <w:spacing w:val="-3"/>
                        </w:rPr>
                        <w:t> </w:t>
                      </w:r>
                      <w:r>
                        <w:rPr>
                          <w:color w:val="000000"/>
                        </w:rPr>
                        <w:t>in</w:t>
                      </w:r>
                      <w:r>
                        <w:rPr>
                          <w:color w:val="000000"/>
                          <w:spacing w:val="-2"/>
                        </w:rPr>
                        <w:t> </w:t>
                      </w:r>
                      <w:r>
                        <w:rPr>
                          <w:color w:val="000000"/>
                        </w:rPr>
                        <w:t>consultation</w:t>
                      </w:r>
                      <w:r>
                        <w:rPr>
                          <w:color w:val="000000"/>
                          <w:spacing w:val="-2"/>
                        </w:rPr>
                        <w:t> </w:t>
                      </w:r>
                      <w:r>
                        <w:rPr>
                          <w:color w:val="000000"/>
                        </w:rPr>
                        <w:t>with</w:t>
                      </w:r>
                      <w:r>
                        <w:rPr>
                          <w:color w:val="000000"/>
                          <w:spacing w:val="-2"/>
                        </w:rPr>
                        <w:t> </w:t>
                      </w:r>
                      <w:r>
                        <w:rPr>
                          <w:color w:val="000000"/>
                        </w:rPr>
                        <w:t>relevant stakeholders.</w:t>
                      </w:r>
                      <w:r>
                        <w:rPr>
                          <w:color w:val="000000"/>
                          <w:spacing w:val="-2"/>
                        </w:rPr>
                        <w:t> </w:t>
                      </w:r>
                      <w:r>
                        <w:rPr>
                          <w:color w:val="000000"/>
                        </w:rPr>
                        <w:t>If the</w:t>
                      </w:r>
                      <w:r>
                        <w:rPr>
                          <w:color w:val="000000"/>
                          <w:spacing w:val="-2"/>
                        </w:rPr>
                        <w:t> </w:t>
                      </w:r>
                      <w:r>
                        <w:rPr>
                          <w:color w:val="000000"/>
                        </w:rPr>
                        <w:t>adoption</w:t>
                      </w:r>
                      <w:r>
                        <w:rPr>
                          <w:color w:val="000000"/>
                          <w:spacing w:val="-2"/>
                        </w:rPr>
                        <w:t> </w:t>
                      </w:r>
                      <w:r>
                        <w:rPr>
                          <w:color w:val="000000"/>
                        </w:rPr>
                        <w:t>of a</w:t>
                      </w:r>
                      <w:r>
                        <w:rPr>
                          <w:color w:val="000000"/>
                          <w:spacing w:val="-6"/>
                        </w:rPr>
                        <w:t> </w:t>
                      </w:r>
                      <w:r>
                        <w:rPr>
                          <w:color w:val="000000"/>
                        </w:rPr>
                        <w:t>formal</w:t>
                      </w:r>
                      <w:r>
                        <w:rPr>
                          <w:color w:val="000000"/>
                          <w:spacing w:val="-5"/>
                        </w:rPr>
                        <w:t> </w:t>
                      </w:r>
                      <w:r>
                        <w:rPr>
                          <w:color w:val="000000"/>
                        </w:rPr>
                        <w:t>reliability standard</w:t>
                      </w:r>
                      <w:r>
                        <w:rPr>
                          <w:color w:val="000000"/>
                          <w:spacing w:val="-5"/>
                        </w:rPr>
                        <w:t> </w:t>
                      </w:r>
                      <w:r>
                        <w:rPr>
                          <w:color w:val="000000"/>
                        </w:rPr>
                        <w:t>is</w:t>
                      </w:r>
                      <w:r>
                        <w:rPr>
                          <w:color w:val="000000"/>
                          <w:spacing w:val="-2"/>
                        </w:rPr>
                        <w:t> </w:t>
                      </w:r>
                      <w:r>
                        <w:rPr>
                          <w:color w:val="000000"/>
                        </w:rPr>
                        <w:t>preferred,</w:t>
                      </w:r>
                      <w:r>
                        <w:rPr>
                          <w:color w:val="000000"/>
                          <w:spacing w:val="-1"/>
                        </w:rPr>
                        <w:t> </w:t>
                      </w:r>
                      <w:r>
                        <w:rPr>
                          <w:color w:val="000000"/>
                        </w:rPr>
                        <w:t>the</w:t>
                      </w:r>
                      <w:r>
                        <w:rPr>
                          <w:color w:val="000000"/>
                          <w:spacing w:val="-2"/>
                        </w:rPr>
                        <w:t> </w:t>
                      </w:r>
                      <w:r>
                        <w:rPr>
                          <w:color w:val="000000"/>
                        </w:rPr>
                        <w:t>Victorian</w:t>
                      </w:r>
                      <w:r>
                        <w:rPr>
                          <w:color w:val="000000"/>
                          <w:spacing w:val="-5"/>
                        </w:rPr>
                        <w:t> </w:t>
                      </w:r>
                      <w:r>
                        <w:rPr>
                          <w:color w:val="000000"/>
                        </w:rPr>
                        <w:t>Government</w:t>
                      </w:r>
                      <w:r>
                        <w:rPr>
                          <w:color w:val="000000"/>
                          <w:spacing w:val="-5"/>
                        </w:rPr>
                        <w:t> </w:t>
                      </w:r>
                      <w:r>
                        <w:rPr>
                          <w:color w:val="000000"/>
                        </w:rPr>
                        <w:t>should</w:t>
                      </w:r>
                      <w:r>
                        <w:rPr>
                          <w:color w:val="000000"/>
                          <w:spacing w:val="-3"/>
                        </w:rPr>
                        <w:t> </w:t>
                      </w:r>
                      <w:r>
                        <w:rPr>
                          <w:color w:val="000000"/>
                        </w:rPr>
                        <w:t>request</w:t>
                      </w:r>
                      <w:r>
                        <w:rPr>
                          <w:color w:val="000000"/>
                          <w:spacing w:val="-4"/>
                        </w:rPr>
                        <w:t> </w:t>
                      </w:r>
                      <w:r>
                        <w:rPr>
                          <w:color w:val="000000"/>
                        </w:rPr>
                        <w:t>the</w:t>
                      </w:r>
                      <w:r>
                        <w:rPr>
                          <w:color w:val="000000"/>
                          <w:spacing w:val="-3"/>
                        </w:rPr>
                        <w:t> </w:t>
                      </w:r>
                      <w:r>
                        <w:rPr>
                          <w:color w:val="000000"/>
                        </w:rPr>
                        <w:t>AEMC</w:t>
                      </w:r>
                      <w:r>
                        <w:rPr>
                          <w:color w:val="000000"/>
                          <w:spacing w:val="-3"/>
                        </w:rPr>
                        <w:t> </w:t>
                      </w:r>
                      <w:r>
                        <w:rPr>
                          <w:color w:val="000000"/>
                        </w:rPr>
                        <w:t>to</w:t>
                      </w:r>
                      <w:r>
                        <w:rPr>
                          <w:color w:val="000000"/>
                          <w:spacing w:val="-3"/>
                        </w:rPr>
                        <w:t> </w:t>
                      </w:r>
                      <w:r>
                        <w:rPr>
                          <w:color w:val="000000"/>
                        </w:rPr>
                        <w:t>determine</w:t>
                      </w:r>
                      <w:r>
                        <w:rPr>
                          <w:color w:val="000000"/>
                          <w:spacing w:val="-5"/>
                        </w:rPr>
                        <w:t> </w:t>
                      </w:r>
                      <w:r>
                        <w:rPr>
                          <w:color w:val="000000"/>
                        </w:rPr>
                        <w:t>the best approach to develop a framework and governance arrangements for establishing a reliability standard to support consideration of a robust, economically justified level of investment for reliable and secure gas supply.</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36992">
                <wp:simplePos x="0" y="0"/>
                <wp:positionH relativeFrom="page">
                  <wp:posOffset>723900</wp:posOffset>
                </wp:positionH>
                <wp:positionV relativeFrom="paragraph">
                  <wp:posOffset>2184997</wp:posOffset>
                </wp:positionV>
                <wp:extent cx="5962650" cy="1143000"/>
                <wp:effectExtent l="0" t="0" r="0" b="0"/>
                <wp:wrapTopAndBottom/>
                <wp:docPr id="159" name="Textbox 159"/>
                <wp:cNvGraphicFramePr>
                  <a:graphicFrameLocks/>
                </wp:cNvGraphicFramePr>
                <a:graphic>
                  <a:graphicData uri="http://schemas.microsoft.com/office/word/2010/wordprocessingShape">
                    <wps:wsp>
                      <wps:cNvPr id="159" name="Textbox 159"/>
                      <wps:cNvSpPr txBox="1"/>
                      <wps:spPr>
                        <a:xfrm>
                          <a:off x="0" y="0"/>
                          <a:ext cx="5962650" cy="1143000"/>
                        </a:xfrm>
                        <a:prstGeom prst="rect">
                          <a:avLst/>
                        </a:prstGeom>
                        <a:solidFill>
                          <a:srgbClr val="D9D9D9"/>
                        </a:solidFill>
                      </wps:spPr>
                      <wps:txbx>
                        <w:txbxContent>
                          <w:p>
                            <w:pPr>
                              <w:spacing w:before="196"/>
                              <w:ind w:left="127" w:right="0" w:firstLine="0"/>
                              <w:jc w:val="left"/>
                              <w:rPr>
                                <w:b/>
                                <w:color w:val="000000"/>
                                <w:sz w:val="24"/>
                              </w:rPr>
                            </w:pPr>
                            <w:r>
                              <w:rPr>
                                <w:b/>
                                <w:color w:val="000000"/>
                                <w:spacing w:val="-2"/>
                                <w:sz w:val="24"/>
                              </w:rPr>
                              <w:t>Recommendation</w:t>
                            </w:r>
                            <w:r>
                              <w:rPr>
                                <w:b/>
                                <w:color w:val="000000"/>
                                <w:sz w:val="24"/>
                              </w:rPr>
                              <w:t> </w:t>
                            </w:r>
                            <w:r>
                              <w:rPr>
                                <w:b/>
                                <w:color w:val="000000"/>
                                <w:spacing w:val="-5"/>
                                <w:sz w:val="24"/>
                              </w:rPr>
                              <w:t>24</w:t>
                            </w:r>
                          </w:p>
                          <w:p>
                            <w:pPr>
                              <w:pStyle w:val="BodyText"/>
                              <w:spacing w:line="288" w:lineRule="auto" w:before="175"/>
                              <w:ind w:left="117" w:hanging="3"/>
                              <w:rPr>
                                <w:color w:val="000000"/>
                              </w:rPr>
                            </w:pPr>
                            <w:r>
                              <w:rPr>
                                <w:color w:val="000000"/>
                              </w:rPr>
                              <w:t>The Victorian Government, in consultation with relevant stakeholders, should consider the development of mechanisms to support effective coordination in system planning for the declared</w:t>
                            </w:r>
                            <w:r>
                              <w:rPr>
                                <w:color w:val="000000"/>
                                <w:spacing w:val="-5"/>
                              </w:rPr>
                              <w:t> </w:t>
                            </w:r>
                            <w:r>
                              <w:rPr>
                                <w:color w:val="000000"/>
                              </w:rPr>
                              <w:t>transmission</w:t>
                            </w:r>
                            <w:r>
                              <w:rPr>
                                <w:color w:val="000000"/>
                                <w:spacing w:val="-3"/>
                              </w:rPr>
                              <w:t> </w:t>
                            </w:r>
                            <w:r>
                              <w:rPr>
                                <w:color w:val="000000"/>
                              </w:rPr>
                              <w:t>system</w:t>
                            </w:r>
                            <w:r>
                              <w:rPr>
                                <w:color w:val="000000"/>
                                <w:spacing w:val="-3"/>
                              </w:rPr>
                              <w:t> </w:t>
                            </w:r>
                            <w:r>
                              <w:rPr>
                                <w:color w:val="000000"/>
                              </w:rPr>
                              <w:t>and</w:t>
                            </w:r>
                            <w:r>
                              <w:rPr>
                                <w:color w:val="000000"/>
                                <w:spacing w:val="-7"/>
                              </w:rPr>
                              <w:t> </w:t>
                            </w:r>
                            <w:r>
                              <w:rPr>
                                <w:color w:val="000000"/>
                              </w:rPr>
                              <w:t>gas</w:t>
                            </w:r>
                            <w:r>
                              <w:rPr>
                                <w:color w:val="000000"/>
                                <w:spacing w:val="-1"/>
                              </w:rPr>
                              <w:t> </w:t>
                            </w:r>
                            <w:r>
                              <w:rPr>
                                <w:color w:val="000000"/>
                              </w:rPr>
                              <w:t>distribution</w:t>
                            </w:r>
                            <w:r>
                              <w:rPr>
                                <w:color w:val="000000"/>
                                <w:spacing w:val="-3"/>
                              </w:rPr>
                              <w:t> </w:t>
                            </w:r>
                            <w:r>
                              <w:rPr>
                                <w:color w:val="000000"/>
                              </w:rPr>
                              <w:t>network</w:t>
                            </w:r>
                            <w:r>
                              <w:rPr>
                                <w:color w:val="000000"/>
                                <w:spacing w:val="-1"/>
                              </w:rPr>
                              <w:t> </w:t>
                            </w:r>
                            <w:r>
                              <w:rPr>
                                <w:color w:val="000000"/>
                              </w:rPr>
                              <w:t>in</w:t>
                            </w:r>
                            <w:r>
                              <w:rPr>
                                <w:color w:val="000000"/>
                                <w:spacing w:val="-3"/>
                              </w:rPr>
                              <w:t> </w:t>
                            </w:r>
                            <w:r>
                              <w:rPr>
                                <w:color w:val="000000"/>
                              </w:rPr>
                              <w:t>an</w:t>
                            </w:r>
                            <w:r>
                              <w:rPr>
                                <w:color w:val="000000"/>
                                <w:spacing w:val="-5"/>
                              </w:rPr>
                              <w:t> </w:t>
                            </w:r>
                            <w:r>
                              <w:rPr>
                                <w:color w:val="000000"/>
                              </w:rPr>
                              <w:t>economically</w:t>
                            </w:r>
                            <w:r>
                              <w:rPr>
                                <w:color w:val="000000"/>
                                <w:spacing w:val="-5"/>
                              </w:rPr>
                              <w:t> </w:t>
                            </w:r>
                            <w:r>
                              <w:rPr>
                                <w:color w:val="000000"/>
                              </w:rPr>
                              <w:t>efficient</w:t>
                            </w:r>
                            <w:r>
                              <w:rPr>
                                <w:color w:val="000000"/>
                                <w:spacing w:val="-4"/>
                              </w:rPr>
                              <w:t> </w:t>
                            </w:r>
                            <w:r>
                              <w:rPr>
                                <w:color w:val="000000"/>
                              </w:rPr>
                              <w:t>manner.</w:t>
                            </w:r>
                          </w:p>
                        </w:txbxContent>
                      </wps:txbx>
                      <wps:bodyPr wrap="square" lIns="0" tIns="0" rIns="0" bIns="0" rtlCol="0">
                        <a:noAutofit/>
                      </wps:bodyPr>
                    </wps:wsp>
                  </a:graphicData>
                </a:graphic>
              </wp:anchor>
            </w:drawing>
          </mc:Choice>
          <mc:Fallback>
            <w:pict>
              <v:shape style="position:absolute;margin-left:57pt;margin-top:172.047058pt;width:469.5pt;height:90pt;mso-position-horizontal-relative:page;mso-position-vertical-relative:paragraph;z-index:-15679488;mso-wrap-distance-left:0;mso-wrap-distance-right:0" type="#_x0000_t202" id="docshape142" filled="true" fillcolor="#d9d9d9" stroked="false">
                <v:textbox inset="0,0,0,0">
                  <w:txbxContent>
                    <w:p>
                      <w:pPr>
                        <w:spacing w:before="196"/>
                        <w:ind w:left="127" w:right="0" w:firstLine="0"/>
                        <w:jc w:val="left"/>
                        <w:rPr>
                          <w:b/>
                          <w:color w:val="000000"/>
                          <w:sz w:val="24"/>
                        </w:rPr>
                      </w:pPr>
                      <w:r>
                        <w:rPr>
                          <w:b/>
                          <w:color w:val="000000"/>
                          <w:spacing w:val="-2"/>
                          <w:sz w:val="24"/>
                        </w:rPr>
                        <w:t>Recommendation</w:t>
                      </w:r>
                      <w:r>
                        <w:rPr>
                          <w:b/>
                          <w:color w:val="000000"/>
                          <w:sz w:val="24"/>
                        </w:rPr>
                        <w:t> </w:t>
                      </w:r>
                      <w:r>
                        <w:rPr>
                          <w:b/>
                          <w:color w:val="000000"/>
                          <w:spacing w:val="-5"/>
                          <w:sz w:val="24"/>
                        </w:rPr>
                        <w:t>24</w:t>
                      </w:r>
                    </w:p>
                    <w:p>
                      <w:pPr>
                        <w:pStyle w:val="BodyText"/>
                        <w:spacing w:line="288" w:lineRule="auto" w:before="175"/>
                        <w:ind w:left="117" w:hanging="3"/>
                        <w:rPr>
                          <w:color w:val="000000"/>
                        </w:rPr>
                      </w:pPr>
                      <w:r>
                        <w:rPr>
                          <w:color w:val="000000"/>
                        </w:rPr>
                        <w:t>The Victorian Government, in consultation with relevant stakeholders, should consider the development of mechanisms to support effective coordination in system planning for the declared</w:t>
                      </w:r>
                      <w:r>
                        <w:rPr>
                          <w:color w:val="000000"/>
                          <w:spacing w:val="-5"/>
                        </w:rPr>
                        <w:t> </w:t>
                      </w:r>
                      <w:r>
                        <w:rPr>
                          <w:color w:val="000000"/>
                        </w:rPr>
                        <w:t>transmission</w:t>
                      </w:r>
                      <w:r>
                        <w:rPr>
                          <w:color w:val="000000"/>
                          <w:spacing w:val="-3"/>
                        </w:rPr>
                        <w:t> </w:t>
                      </w:r>
                      <w:r>
                        <w:rPr>
                          <w:color w:val="000000"/>
                        </w:rPr>
                        <w:t>system</w:t>
                      </w:r>
                      <w:r>
                        <w:rPr>
                          <w:color w:val="000000"/>
                          <w:spacing w:val="-3"/>
                        </w:rPr>
                        <w:t> </w:t>
                      </w:r>
                      <w:r>
                        <w:rPr>
                          <w:color w:val="000000"/>
                        </w:rPr>
                        <w:t>and</w:t>
                      </w:r>
                      <w:r>
                        <w:rPr>
                          <w:color w:val="000000"/>
                          <w:spacing w:val="-7"/>
                        </w:rPr>
                        <w:t> </w:t>
                      </w:r>
                      <w:r>
                        <w:rPr>
                          <w:color w:val="000000"/>
                        </w:rPr>
                        <w:t>gas</w:t>
                      </w:r>
                      <w:r>
                        <w:rPr>
                          <w:color w:val="000000"/>
                          <w:spacing w:val="-1"/>
                        </w:rPr>
                        <w:t> </w:t>
                      </w:r>
                      <w:r>
                        <w:rPr>
                          <w:color w:val="000000"/>
                        </w:rPr>
                        <w:t>distribution</w:t>
                      </w:r>
                      <w:r>
                        <w:rPr>
                          <w:color w:val="000000"/>
                          <w:spacing w:val="-3"/>
                        </w:rPr>
                        <w:t> </w:t>
                      </w:r>
                      <w:r>
                        <w:rPr>
                          <w:color w:val="000000"/>
                        </w:rPr>
                        <w:t>network</w:t>
                      </w:r>
                      <w:r>
                        <w:rPr>
                          <w:color w:val="000000"/>
                          <w:spacing w:val="-1"/>
                        </w:rPr>
                        <w:t> </w:t>
                      </w:r>
                      <w:r>
                        <w:rPr>
                          <w:color w:val="000000"/>
                        </w:rPr>
                        <w:t>in</w:t>
                      </w:r>
                      <w:r>
                        <w:rPr>
                          <w:color w:val="000000"/>
                          <w:spacing w:val="-3"/>
                        </w:rPr>
                        <w:t> </w:t>
                      </w:r>
                      <w:r>
                        <w:rPr>
                          <w:color w:val="000000"/>
                        </w:rPr>
                        <w:t>an</w:t>
                      </w:r>
                      <w:r>
                        <w:rPr>
                          <w:color w:val="000000"/>
                          <w:spacing w:val="-5"/>
                        </w:rPr>
                        <w:t> </w:t>
                      </w:r>
                      <w:r>
                        <w:rPr>
                          <w:color w:val="000000"/>
                        </w:rPr>
                        <w:t>economically</w:t>
                      </w:r>
                      <w:r>
                        <w:rPr>
                          <w:color w:val="000000"/>
                          <w:spacing w:val="-5"/>
                        </w:rPr>
                        <w:t> </w:t>
                      </w:r>
                      <w:r>
                        <w:rPr>
                          <w:color w:val="000000"/>
                        </w:rPr>
                        <w:t>efficient</w:t>
                      </w:r>
                      <w:r>
                        <w:rPr>
                          <w:color w:val="000000"/>
                          <w:spacing w:val="-4"/>
                        </w:rPr>
                        <w:t> </w:t>
                      </w:r>
                      <w:r>
                        <w:rPr>
                          <w:color w:val="000000"/>
                        </w:rPr>
                        <w:t>manner.</w:t>
                      </w:r>
                    </w:p>
                  </w:txbxContent>
                </v:textbox>
                <v:fill type="solid"/>
                <w10:wrap type="topAndBottom"/>
              </v:shape>
            </w:pict>
          </mc:Fallback>
        </mc:AlternateContent>
      </w:r>
    </w:p>
    <w:p>
      <w:pPr>
        <w:pStyle w:val="BodyText"/>
        <w:spacing w:before="4"/>
        <w:rPr>
          <w:sz w:val="17"/>
        </w:rPr>
      </w:pPr>
    </w:p>
    <w:p>
      <w:pPr>
        <w:pStyle w:val="BodyText"/>
        <w:rPr>
          <w:sz w:val="20"/>
        </w:rPr>
      </w:pPr>
    </w:p>
    <w:p>
      <w:pPr>
        <w:pStyle w:val="BodyText"/>
        <w:spacing w:before="11"/>
        <w:rPr>
          <w:sz w:val="18"/>
        </w:rPr>
      </w:pPr>
    </w:p>
    <w:p>
      <w:pPr>
        <w:pStyle w:val="BodyText"/>
        <w:spacing w:line="288" w:lineRule="auto" w:before="93"/>
        <w:ind w:left="232" w:right="296"/>
      </w:pPr>
      <w:r>
        <w:rPr/>
        <w:t>Persistent</w:t>
      </w:r>
      <w:r>
        <w:rPr>
          <w:spacing w:val="-4"/>
        </w:rPr>
        <w:t> </w:t>
      </w:r>
      <w:r>
        <w:rPr/>
        <w:t>underinvestment</w:t>
      </w:r>
      <w:r>
        <w:rPr>
          <w:spacing w:val="-1"/>
        </w:rPr>
        <w:t> </w:t>
      </w:r>
      <w:r>
        <w:rPr/>
        <w:t>in</w:t>
      </w:r>
      <w:r>
        <w:rPr>
          <w:spacing w:val="-3"/>
        </w:rPr>
        <w:t> </w:t>
      </w:r>
      <w:r>
        <w:rPr/>
        <w:t>asset</w:t>
      </w:r>
      <w:r>
        <w:rPr>
          <w:spacing w:val="-4"/>
        </w:rPr>
        <w:t> </w:t>
      </w:r>
      <w:r>
        <w:rPr/>
        <w:t>management</w:t>
      </w:r>
      <w:r>
        <w:rPr>
          <w:spacing w:val="-1"/>
        </w:rPr>
        <w:t> </w:t>
      </w:r>
      <w:r>
        <w:rPr/>
        <w:t>practices</w:t>
      </w:r>
      <w:r>
        <w:rPr>
          <w:spacing w:val="-5"/>
        </w:rPr>
        <w:t> </w:t>
      </w:r>
      <w:r>
        <w:rPr/>
        <w:t>may</w:t>
      </w:r>
      <w:r>
        <w:rPr>
          <w:spacing w:val="-5"/>
        </w:rPr>
        <w:t> </w:t>
      </w:r>
      <w:r>
        <w:rPr/>
        <w:t>lead</w:t>
      </w:r>
      <w:r>
        <w:rPr>
          <w:spacing w:val="-5"/>
        </w:rPr>
        <w:t> </w:t>
      </w:r>
      <w:r>
        <w:rPr/>
        <w:t>to</w:t>
      </w:r>
      <w:r>
        <w:rPr>
          <w:spacing w:val="-3"/>
        </w:rPr>
        <w:t> </w:t>
      </w:r>
      <w:r>
        <w:rPr/>
        <w:t>poor</w:t>
      </w:r>
      <w:r>
        <w:rPr>
          <w:spacing w:val="-2"/>
        </w:rPr>
        <w:t> </w:t>
      </w:r>
      <w:r>
        <w:rPr/>
        <w:t>long-term</w:t>
      </w:r>
      <w:r>
        <w:rPr>
          <w:spacing w:val="-2"/>
        </w:rPr>
        <w:t> </w:t>
      </w:r>
      <w:r>
        <w:rPr/>
        <w:t>outcomes, impacting the integrity and sustainability of electricity and gas assets. This in turn can lead to</w:t>
      </w:r>
    </w:p>
    <w:p>
      <w:pPr>
        <w:spacing w:after="0" w:line="288" w:lineRule="auto"/>
        <w:sectPr>
          <w:pgSz w:w="11910" w:h="16850"/>
          <w:pgMar w:header="220" w:footer="678" w:top="420" w:bottom="860" w:left="900" w:right="840"/>
        </w:sectPr>
      </w:pPr>
    </w:p>
    <w:p>
      <w:pPr>
        <w:pStyle w:val="BodyText"/>
        <w:rPr>
          <w:sz w:val="20"/>
        </w:rPr>
      </w:pPr>
    </w:p>
    <w:p>
      <w:pPr>
        <w:pStyle w:val="BodyText"/>
        <w:spacing w:before="2"/>
        <w:rPr>
          <w:sz w:val="19"/>
        </w:rPr>
      </w:pPr>
    </w:p>
    <w:p>
      <w:pPr>
        <w:pStyle w:val="BodyText"/>
        <w:spacing w:line="288" w:lineRule="auto" w:before="94"/>
        <w:ind w:left="232" w:right="339"/>
      </w:pPr>
      <w:r>
        <w:rPr/>
        <w:t>electricity asset failures such as pole or conductor failures, transformer or switchgear explosions,</w:t>
      </w:r>
      <w:r>
        <w:rPr/>
        <w:t> or</w:t>
      </w:r>
      <w:r>
        <w:rPr>
          <w:spacing w:val="-2"/>
        </w:rPr>
        <w:t> </w:t>
      </w:r>
      <w:r>
        <w:rPr/>
        <w:t>pipeline</w:t>
      </w:r>
      <w:r>
        <w:rPr>
          <w:spacing w:val="-3"/>
        </w:rPr>
        <w:t> </w:t>
      </w:r>
      <w:r>
        <w:rPr/>
        <w:t>degradation,</w:t>
      </w:r>
      <w:r>
        <w:rPr>
          <w:spacing w:val="-4"/>
        </w:rPr>
        <w:t> </w:t>
      </w:r>
      <w:r>
        <w:rPr/>
        <w:t>resulting</w:t>
      </w:r>
      <w:r>
        <w:rPr>
          <w:spacing w:val="-3"/>
        </w:rPr>
        <w:t> </w:t>
      </w:r>
      <w:r>
        <w:rPr/>
        <w:t>in</w:t>
      </w:r>
      <w:r>
        <w:rPr>
          <w:spacing w:val="-3"/>
        </w:rPr>
        <w:t> </w:t>
      </w:r>
      <w:r>
        <w:rPr/>
        <w:t>potential</w:t>
      </w:r>
      <w:r>
        <w:rPr>
          <w:spacing w:val="-4"/>
        </w:rPr>
        <w:t> </w:t>
      </w:r>
      <w:r>
        <w:rPr/>
        <w:t>pipeline</w:t>
      </w:r>
      <w:r>
        <w:rPr>
          <w:spacing w:val="-3"/>
        </w:rPr>
        <w:t> </w:t>
      </w:r>
      <w:r>
        <w:rPr/>
        <w:t>ruptures</w:t>
      </w:r>
      <w:r>
        <w:rPr>
          <w:spacing w:val="-3"/>
        </w:rPr>
        <w:t> </w:t>
      </w:r>
      <w:r>
        <w:rPr/>
        <w:t>or</w:t>
      </w:r>
      <w:r>
        <w:rPr>
          <w:spacing w:val="-4"/>
        </w:rPr>
        <w:t> </w:t>
      </w:r>
      <w:r>
        <w:rPr/>
        <w:t>failure</w:t>
      </w:r>
      <w:r>
        <w:rPr>
          <w:spacing w:val="-2"/>
        </w:rPr>
        <w:t> </w:t>
      </w:r>
      <w:r>
        <w:rPr/>
        <w:t>of</w:t>
      </w:r>
      <w:r>
        <w:rPr>
          <w:spacing w:val="-4"/>
        </w:rPr>
        <w:t> </w:t>
      </w:r>
      <w:r>
        <w:rPr/>
        <w:t>pipeline</w:t>
      </w:r>
      <w:r>
        <w:rPr>
          <w:spacing w:val="-3"/>
        </w:rPr>
        <w:t> </w:t>
      </w:r>
      <w:r>
        <w:rPr/>
        <w:t>equipment</w:t>
      </w:r>
      <w:r>
        <w:rPr>
          <w:spacing w:val="-4"/>
        </w:rPr>
        <w:t> </w:t>
      </w:r>
      <w:r>
        <w:rPr/>
        <w:t>such as compressors and heaters.</w:t>
      </w:r>
    </w:p>
    <w:p>
      <w:pPr>
        <w:pStyle w:val="BodyText"/>
        <w:spacing w:before="9"/>
        <w:rPr>
          <w:sz w:val="20"/>
        </w:rPr>
      </w:pPr>
    </w:p>
    <w:p>
      <w:pPr>
        <w:pStyle w:val="BodyText"/>
        <w:spacing w:line="288" w:lineRule="auto"/>
        <w:ind w:left="232" w:right="408"/>
        <w:rPr>
          <w:i/>
        </w:rPr>
      </w:pPr>
      <w:r>
        <w:rPr/>
        <w:t>As the investment in the management of assets is a crucial aspect of long-term network safety, ESV’s mandate for the long-term safety and integrity of the networks should be recognised in legislation.</w:t>
      </w:r>
      <w:r>
        <w:rPr>
          <w:spacing w:val="-1"/>
        </w:rPr>
        <w:t> </w:t>
      </w:r>
      <w:r>
        <w:rPr/>
        <w:t>Section</w:t>
      </w:r>
      <w:r>
        <w:rPr>
          <w:spacing w:val="-2"/>
        </w:rPr>
        <w:t> </w:t>
      </w:r>
      <w:r>
        <w:rPr/>
        <w:t>7A</w:t>
      </w:r>
      <w:r>
        <w:rPr>
          <w:spacing w:val="-5"/>
        </w:rPr>
        <w:t> </w:t>
      </w:r>
      <w:r>
        <w:rPr/>
        <w:t>of the</w:t>
      </w:r>
      <w:r>
        <w:rPr>
          <w:spacing w:val="-3"/>
        </w:rPr>
        <w:t> </w:t>
      </w:r>
      <w:r>
        <w:rPr>
          <w:i/>
        </w:rPr>
        <w:t>Electricity</w:t>
      </w:r>
      <w:r>
        <w:rPr>
          <w:i/>
          <w:spacing w:val="-4"/>
        </w:rPr>
        <w:t> </w:t>
      </w:r>
      <w:r>
        <w:rPr>
          <w:i/>
        </w:rPr>
        <w:t>Safety</w:t>
      </w:r>
      <w:r>
        <w:rPr>
          <w:i/>
          <w:spacing w:val="-4"/>
        </w:rPr>
        <w:t> </w:t>
      </w:r>
      <w:r>
        <w:rPr>
          <w:i/>
        </w:rPr>
        <w:t>Act</w:t>
      </w:r>
      <w:r>
        <w:rPr>
          <w:i/>
          <w:spacing w:val="-3"/>
        </w:rPr>
        <w:t> </w:t>
      </w:r>
      <w:r>
        <w:rPr>
          <w:i/>
        </w:rPr>
        <w:t>1998 </w:t>
      </w:r>
      <w:r>
        <w:rPr/>
        <w:t>describes</w:t>
      </w:r>
      <w:r>
        <w:rPr>
          <w:spacing w:val="-1"/>
        </w:rPr>
        <w:t> </w:t>
      </w:r>
      <w:r>
        <w:rPr/>
        <w:t>ESV’s</w:t>
      </w:r>
      <w:r>
        <w:rPr>
          <w:spacing w:val="-4"/>
        </w:rPr>
        <w:t> </w:t>
      </w:r>
      <w:r>
        <w:rPr/>
        <w:t>function</w:t>
      </w:r>
      <w:r>
        <w:rPr>
          <w:spacing w:val="-2"/>
        </w:rPr>
        <w:t> </w:t>
      </w:r>
      <w:r>
        <w:rPr/>
        <w:t>in</w:t>
      </w:r>
      <w:r>
        <w:rPr>
          <w:spacing w:val="-4"/>
        </w:rPr>
        <w:t> </w:t>
      </w:r>
      <w:r>
        <w:rPr/>
        <w:t>relation</w:t>
      </w:r>
      <w:r>
        <w:rPr>
          <w:spacing w:val="-2"/>
        </w:rPr>
        <w:t> </w:t>
      </w:r>
      <w:r>
        <w:rPr/>
        <w:t>to</w:t>
      </w:r>
      <w:r>
        <w:rPr>
          <w:spacing w:val="-4"/>
        </w:rPr>
        <w:t> </w:t>
      </w:r>
      <w:r>
        <w:rPr/>
        <w:t>the link between safety and reliability with specific regard to bushfire mitigation and electric line clearance, however ESV’s objectives and functions in respect to the long-term integrity and sustainability of assets could be more clearly articulated in the legislation</w:t>
      </w:r>
      <w:r>
        <w:rPr>
          <w:i/>
        </w:rPr>
        <w:t>.</w:t>
      </w:r>
    </w:p>
    <w:p>
      <w:pPr>
        <w:pStyle w:val="BodyText"/>
        <w:spacing w:before="10"/>
        <w:rPr>
          <w:i/>
          <w:sz w:val="20"/>
        </w:rPr>
      </w:pPr>
    </w:p>
    <w:p>
      <w:pPr>
        <w:pStyle w:val="BodyText"/>
        <w:spacing w:line="288" w:lineRule="auto" w:before="1"/>
        <w:ind w:left="232" w:right="374"/>
      </w:pPr>
      <w:r>
        <w:rPr/>
        <w:t>The</w:t>
      </w:r>
      <w:r>
        <w:rPr>
          <w:spacing w:val="-4"/>
        </w:rPr>
        <w:t> </w:t>
      </w:r>
      <w:r>
        <w:rPr/>
        <w:t>nexus</w:t>
      </w:r>
      <w:r>
        <w:rPr>
          <w:spacing w:val="-2"/>
        </w:rPr>
        <w:t> </w:t>
      </w:r>
      <w:r>
        <w:rPr/>
        <w:t>between</w:t>
      </w:r>
      <w:r>
        <w:rPr>
          <w:spacing w:val="-2"/>
        </w:rPr>
        <w:t> </w:t>
      </w:r>
      <w:r>
        <w:rPr/>
        <w:t>gas</w:t>
      </w:r>
      <w:r>
        <w:rPr>
          <w:spacing w:val="-4"/>
        </w:rPr>
        <w:t> </w:t>
      </w:r>
      <w:r>
        <w:rPr/>
        <w:t>supply</w:t>
      </w:r>
      <w:r>
        <w:rPr>
          <w:spacing w:val="-4"/>
        </w:rPr>
        <w:t> </w:t>
      </w:r>
      <w:r>
        <w:rPr/>
        <w:t>reliability</w:t>
      </w:r>
      <w:r>
        <w:rPr>
          <w:spacing w:val="-4"/>
        </w:rPr>
        <w:t> </w:t>
      </w:r>
      <w:r>
        <w:rPr/>
        <w:t>and</w:t>
      </w:r>
      <w:r>
        <w:rPr>
          <w:spacing w:val="-2"/>
        </w:rPr>
        <w:t> </w:t>
      </w:r>
      <w:r>
        <w:rPr/>
        <w:t>safety</w:t>
      </w:r>
      <w:r>
        <w:rPr>
          <w:spacing w:val="-3"/>
        </w:rPr>
        <w:t> </w:t>
      </w:r>
      <w:r>
        <w:rPr/>
        <w:t>outcomes</w:t>
      </w:r>
      <w:r>
        <w:rPr>
          <w:spacing w:val="-2"/>
        </w:rPr>
        <w:t> </w:t>
      </w:r>
      <w:r>
        <w:rPr/>
        <w:t>is</w:t>
      </w:r>
      <w:r>
        <w:rPr>
          <w:spacing w:val="-4"/>
        </w:rPr>
        <w:t> </w:t>
      </w:r>
      <w:r>
        <w:rPr/>
        <w:t>even</w:t>
      </w:r>
      <w:r>
        <w:rPr>
          <w:spacing w:val="-2"/>
        </w:rPr>
        <w:t> </w:t>
      </w:r>
      <w:r>
        <w:rPr/>
        <w:t>stronger</w:t>
      </w:r>
      <w:r>
        <w:rPr>
          <w:spacing w:val="-1"/>
        </w:rPr>
        <w:t> </w:t>
      </w:r>
      <w:r>
        <w:rPr/>
        <w:t>due</w:t>
      </w:r>
      <w:r>
        <w:rPr>
          <w:spacing w:val="-4"/>
        </w:rPr>
        <w:t> </w:t>
      </w:r>
      <w:r>
        <w:rPr/>
        <w:t>to</w:t>
      </w:r>
      <w:r>
        <w:rPr>
          <w:spacing w:val="-4"/>
        </w:rPr>
        <w:t> </w:t>
      </w:r>
      <w:r>
        <w:rPr/>
        <w:t>the</w:t>
      </w:r>
      <w:r>
        <w:rPr>
          <w:spacing w:val="-4"/>
        </w:rPr>
        <w:t> </w:t>
      </w:r>
      <w:r>
        <w:rPr/>
        <w:t>purging requirements for gas before ‘relighting’ after a loss of gas supply. Introducing provisions linking safety</w:t>
      </w:r>
      <w:r>
        <w:rPr>
          <w:spacing w:val="-1"/>
        </w:rPr>
        <w:t> </w:t>
      </w:r>
      <w:r>
        <w:rPr/>
        <w:t>and</w:t>
      </w:r>
      <w:r>
        <w:rPr>
          <w:spacing w:val="-3"/>
        </w:rPr>
        <w:t> </w:t>
      </w:r>
      <w:r>
        <w:rPr/>
        <w:t>the</w:t>
      </w:r>
      <w:r>
        <w:rPr>
          <w:spacing w:val="-3"/>
        </w:rPr>
        <w:t> </w:t>
      </w:r>
      <w:r>
        <w:rPr/>
        <w:t>long-term</w:t>
      </w:r>
      <w:r>
        <w:rPr>
          <w:spacing w:val="-4"/>
        </w:rPr>
        <w:t> </w:t>
      </w:r>
      <w:r>
        <w:rPr/>
        <w:t>integrity</w:t>
      </w:r>
      <w:r>
        <w:rPr>
          <w:spacing w:val="-3"/>
        </w:rPr>
        <w:t> </w:t>
      </w:r>
      <w:r>
        <w:rPr/>
        <w:t>and</w:t>
      </w:r>
      <w:r>
        <w:rPr>
          <w:spacing w:val="-1"/>
        </w:rPr>
        <w:t> </w:t>
      </w:r>
      <w:r>
        <w:rPr/>
        <w:t>sustainability</w:t>
      </w:r>
      <w:r>
        <w:rPr>
          <w:spacing w:val="-3"/>
        </w:rPr>
        <w:t> </w:t>
      </w:r>
      <w:r>
        <w:rPr/>
        <w:t>of</w:t>
      </w:r>
      <w:r>
        <w:rPr>
          <w:spacing w:val="-2"/>
        </w:rPr>
        <w:t> </w:t>
      </w:r>
      <w:r>
        <w:rPr/>
        <w:t>gas</w:t>
      </w:r>
      <w:r>
        <w:rPr>
          <w:spacing w:val="-3"/>
        </w:rPr>
        <w:t> </w:t>
      </w:r>
      <w:r>
        <w:rPr/>
        <w:t>network assets</w:t>
      </w:r>
      <w:r>
        <w:rPr>
          <w:spacing w:val="-5"/>
        </w:rPr>
        <w:t> </w:t>
      </w:r>
      <w:r>
        <w:rPr/>
        <w:t>may assist</w:t>
      </w:r>
      <w:r>
        <w:rPr>
          <w:spacing w:val="-4"/>
        </w:rPr>
        <w:t> </w:t>
      </w:r>
      <w:r>
        <w:rPr/>
        <w:t>gas</w:t>
      </w:r>
      <w:r>
        <w:rPr>
          <w:spacing w:val="-1"/>
        </w:rPr>
        <w:t> </w:t>
      </w:r>
      <w:r>
        <w:rPr/>
        <w:t>network businesses to give greater focus to projects that strengthen the reliability of gas supply when making submissions to the AER. The need for gas-fired electricity generators to have a reliable supply of gas, particularly during high temperature days when electricity demand is high, adds further weight to the importance of ensuring gas network assets are well-managed.</w:t>
      </w:r>
    </w:p>
    <w:p>
      <w:pPr>
        <w:pStyle w:val="BodyText"/>
        <w:spacing w:before="9"/>
        <w:rPr>
          <w:sz w:val="20"/>
        </w:rPr>
      </w:pPr>
    </w:p>
    <w:p>
      <w:pPr>
        <w:spacing w:line="288" w:lineRule="auto" w:before="0"/>
        <w:ind w:left="232" w:right="374" w:firstLine="0"/>
        <w:jc w:val="left"/>
        <w:rPr>
          <w:sz w:val="22"/>
        </w:rPr>
      </w:pPr>
      <w:r>
        <w:rPr>
          <w:sz w:val="22"/>
        </w:rPr>
        <w:t>In consolidating the safety Acts, consideration should be given to clarifying the role of ESV in ensuring</w:t>
      </w:r>
      <w:r>
        <w:rPr>
          <w:spacing w:val="-3"/>
          <w:sz w:val="22"/>
        </w:rPr>
        <w:t> </w:t>
      </w:r>
      <w:r>
        <w:rPr>
          <w:sz w:val="22"/>
        </w:rPr>
        <w:t>that</w:t>
      </w:r>
      <w:r>
        <w:rPr>
          <w:spacing w:val="-4"/>
          <w:sz w:val="22"/>
        </w:rPr>
        <w:t> </w:t>
      </w:r>
      <w:r>
        <w:rPr>
          <w:sz w:val="22"/>
        </w:rPr>
        <w:t>the</w:t>
      </w:r>
      <w:r>
        <w:rPr>
          <w:spacing w:val="-5"/>
          <w:sz w:val="22"/>
        </w:rPr>
        <w:t> </w:t>
      </w:r>
      <w:r>
        <w:rPr>
          <w:sz w:val="22"/>
        </w:rPr>
        <w:t>long-term</w:t>
      </w:r>
      <w:r>
        <w:rPr>
          <w:spacing w:val="-2"/>
          <w:sz w:val="22"/>
        </w:rPr>
        <w:t> </w:t>
      </w:r>
      <w:r>
        <w:rPr>
          <w:sz w:val="22"/>
        </w:rPr>
        <w:t>integrity</w:t>
      </w:r>
      <w:r>
        <w:rPr>
          <w:spacing w:val="-4"/>
          <w:sz w:val="22"/>
        </w:rPr>
        <w:t> </w:t>
      </w:r>
      <w:r>
        <w:rPr>
          <w:sz w:val="22"/>
        </w:rPr>
        <w:t>and</w:t>
      </w:r>
      <w:r>
        <w:rPr>
          <w:spacing w:val="-1"/>
          <w:sz w:val="22"/>
        </w:rPr>
        <w:t> </w:t>
      </w:r>
      <w:r>
        <w:rPr>
          <w:sz w:val="22"/>
        </w:rPr>
        <w:t>sustainability</w:t>
      </w:r>
      <w:r>
        <w:rPr>
          <w:spacing w:val="-5"/>
          <w:sz w:val="22"/>
        </w:rPr>
        <w:t> </w:t>
      </w:r>
      <w:r>
        <w:rPr>
          <w:sz w:val="22"/>
        </w:rPr>
        <w:t>of network</w:t>
      </w:r>
      <w:r>
        <w:rPr>
          <w:spacing w:val="-2"/>
          <w:sz w:val="22"/>
        </w:rPr>
        <w:t> </w:t>
      </w:r>
      <w:r>
        <w:rPr>
          <w:sz w:val="22"/>
        </w:rPr>
        <w:t>assets</w:t>
      </w:r>
      <w:r>
        <w:rPr>
          <w:spacing w:val="-2"/>
          <w:sz w:val="22"/>
        </w:rPr>
        <w:t> </w:t>
      </w:r>
      <w:r>
        <w:rPr>
          <w:sz w:val="22"/>
        </w:rPr>
        <w:t>is</w:t>
      </w:r>
      <w:r>
        <w:rPr>
          <w:spacing w:val="-7"/>
          <w:sz w:val="22"/>
        </w:rPr>
        <w:t> </w:t>
      </w:r>
      <w:r>
        <w:rPr>
          <w:sz w:val="22"/>
        </w:rPr>
        <w:t>an</w:t>
      </w:r>
      <w:r>
        <w:rPr>
          <w:spacing w:val="-3"/>
          <w:sz w:val="22"/>
        </w:rPr>
        <w:t> </w:t>
      </w:r>
      <w:r>
        <w:rPr>
          <w:sz w:val="22"/>
        </w:rPr>
        <w:t>aspect</w:t>
      </w:r>
      <w:r>
        <w:rPr>
          <w:spacing w:val="-4"/>
          <w:sz w:val="22"/>
        </w:rPr>
        <w:t> </w:t>
      </w:r>
      <w:r>
        <w:rPr>
          <w:sz w:val="22"/>
        </w:rPr>
        <w:t>of</w:t>
      </w:r>
      <w:r>
        <w:rPr>
          <w:spacing w:val="-1"/>
          <w:sz w:val="22"/>
        </w:rPr>
        <w:t> </w:t>
      </w:r>
      <w:r>
        <w:rPr>
          <w:sz w:val="22"/>
        </w:rPr>
        <w:t>safety covered by the safety framework. This is discussed further in </w:t>
      </w:r>
      <w:r>
        <w:rPr>
          <w:i/>
          <w:sz w:val="22"/>
        </w:rPr>
        <w:t>Chapter 9: Strengthening the Foundations for Future Network Safety Regulation</w:t>
      </w:r>
      <w:r>
        <w:rPr>
          <w:sz w:val="22"/>
        </w:rPr>
        <w:t>.</w:t>
      </w:r>
    </w:p>
    <w:p>
      <w:pPr>
        <w:spacing w:after="0" w:line="288" w:lineRule="auto"/>
        <w:jc w:val="left"/>
        <w:rPr>
          <w:sz w:val="22"/>
        </w:rPr>
        <w:sectPr>
          <w:pgSz w:w="11910" w:h="16850"/>
          <w:pgMar w:header="220" w:footer="678" w:top="420" w:bottom="860" w:left="900" w:right="840"/>
        </w:sectPr>
      </w:pPr>
    </w:p>
    <w:p>
      <w:pPr>
        <w:pStyle w:val="BodyText"/>
        <w:rPr>
          <w:sz w:val="20"/>
        </w:rPr>
      </w:pPr>
    </w:p>
    <w:p>
      <w:pPr>
        <w:pStyle w:val="BodyText"/>
        <w:spacing w:before="7"/>
        <w:rPr>
          <w:sz w:val="19"/>
        </w:rPr>
      </w:pPr>
    </w:p>
    <w:p>
      <w:pPr>
        <w:pStyle w:val="Heading4"/>
      </w:pPr>
      <w:r>
        <w:rPr>
          <w:color w:val="585858"/>
          <w:spacing w:val="-2"/>
        </w:rPr>
        <w:t>References</w:t>
      </w:r>
    </w:p>
    <w:p>
      <w:pPr>
        <w:spacing w:line="320" w:lineRule="atLeast" w:before="200"/>
        <w:ind w:left="232" w:right="1720" w:firstLine="0"/>
        <w:jc w:val="left"/>
        <w:rPr>
          <w:sz w:val="18"/>
        </w:rPr>
      </w:pPr>
      <w:r>
        <w:rPr>
          <w:sz w:val="18"/>
        </w:rPr>
        <w:t>AEMO,</w:t>
      </w:r>
      <w:r>
        <w:rPr>
          <w:spacing w:val="-4"/>
          <w:sz w:val="18"/>
        </w:rPr>
        <w:t> </w:t>
      </w:r>
      <w:r>
        <w:rPr>
          <w:sz w:val="18"/>
        </w:rPr>
        <w:t>2017.</w:t>
      </w:r>
      <w:r>
        <w:rPr>
          <w:spacing w:val="-2"/>
          <w:sz w:val="18"/>
        </w:rPr>
        <w:t> </w:t>
      </w:r>
      <w:r>
        <w:rPr>
          <w:i/>
          <w:sz w:val="18"/>
        </w:rPr>
        <w:t>AEMO</w:t>
      </w:r>
      <w:r>
        <w:rPr>
          <w:i/>
          <w:spacing w:val="-5"/>
          <w:sz w:val="18"/>
        </w:rPr>
        <w:t> </w:t>
      </w:r>
      <w:r>
        <w:rPr>
          <w:i/>
          <w:sz w:val="18"/>
        </w:rPr>
        <w:t>Submission</w:t>
      </w:r>
      <w:r>
        <w:rPr>
          <w:i/>
          <w:spacing w:val="-4"/>
          <w:sz w:val="18"/>
        </w:rPr>
        <w:t> </w:t>
      </w:r>
      <w:r>
        <w:rPr>
          <w:i/>
          <w:sz w:val="18"/>
        </w:rPr>
        <w:t>on</w:t>
      </w:r>
      <w:r>
        <w:rPr>
          <w:i/>
          <w:spacing w:val="-4"/>
          <w:sz w:val="18"/>
        </w:rPr>
        <w:t> </w:t>
      </w:r>
      <w:r>
        <w:rPr>
          <w:i/>
          <w:sz w:val="18"/>
        </w:rPr>
        <w:t>Victorian</w:t>
      </w:r>
      <w:r>
        <w:rPr>
          <w:i/>
          <w:spacing w:val="-4"/>
          <w:sz w:val="18"/>
        </w:rPr>
        <w:t> </w:t>
      </w:r>
      <w:r>
        <w:rPr>
          <w:i/>
          <w:sz w:val="18"/>
        </w:rPr>
        <w:t>Gas Network</w:t>
      </w:r>
      <w:r>
        <w:rPr>
          <w:i/>
          <w:spacing w:val="-5"/>
          <w:sz w:val="18"/>
        </w:rPr>
        <w:t> </w:t>
      </w:r>
      <w:r>
        <w:rPr>
          <w:i/>
          <w:sz w:val="18"/>
        </w:rPr>
        <w:t>Safety</w:t>
      </w:r>
      <w:r>
        <w:rPr>
          <w:i/>
          <w:spacing w:val="-5"/>
          <w:sz w:val="18"/>
        </w:rPr>
        <w:t> </w:t>
      </w:r>
      <w:r>
        <w:rPr>
          <w:i/>
          <w:sz w:val="18"/>
        </w:rPr>
        <w:t>Framework</w:t>
      </w:r>
      <w:r>
        <w:rPr>
          <w:i/>
          <w:spacing w:val="-5"/>
          <w:sz w:val="18"/>
        </w:rPr>
        <w:t> </w:t>
      </w:r>
      <w:r>
        <w:rPr>
          <w:i/>
          <w:sz w:val="18"/>
        </w:rPr>
        <w:t>Review,</w:t>
      </w:r>
      <w:r>
        <w:rPr>
          <w:i/>
          <w:spacing w:val="-2"/>
          <w:sz w:val="18"/>
        </w:rPr>
        <w:t> </w:t>
      </w:r>
      <w:r>
        <w:rPr>
          <w:sz w:val="18"/>
        </w:rPr>
        <w:t>Melbourne. AER, 2013. </w:t>
      </w:r>
      <w:r>
        <w:rPr>
          <w:i/>
          <w:sz w:val="18"/>
        </w:rPr>
        <w:t>Better Regulation Factsheet: Expenditure Incentives. </w:t>
      </w:r>
      <w:r>
        <w:rPr>
          <w:sz w:val="18"/>
        </w:rPr>
        <w:t>[Online]</w:t>
      </w:r>
    </w:p>
    <w:p>
      <w:pPr>
        <w:spacing w:before="49"/>
        <w:ind w:left="232" w:right="0" w:firstLine="0"/>
        <w:jc w:val="left"/>
        <w:rPr>
          <w:sz w:val="18"/>
        </w:rPr>
      </w:pPr>
      <w:r>
        <w:rPr>
          <w:sz w:val="18"/>
        </w:rPr>
        <w:t>Available</w:t>
      </w:r>
      <w:r>
        <w:rPr>
          <w:spacing w:val="-5"/>
          <w:sz w:val="18"/>
        </w:rPr>
        <w:t> </w:t>
      </w:r>
      <w:r>
        <w:rPr>
          <w:sz w:val="18"/>
        </w:rPr>
        <w:t>at:</w:t>
      </w:r>
      <w:r>
        <w:rPr>
          <w:spacing w:val="-3"/>
          <w:sz w:val="18"/>
        </w:rPr>
        <w:t> </w:t>
      </w:r>
      <w:r>
        <w:rPr>
          <w:spacing w:val="-2"/>
          <w:sz w:val="18"/>
        </w:rPr>
        <w:t>https:/</w:t>
      </w:r>
      <w:hyperlink r:id="rId80">
        <w:r>
          <w:rPr>
            <w:spacing w:val="-2"/>
            <w:sz w:val="18"/>
          </w:rPr>
          <w:t>/www.a</w:t>
        </w:r>
      </w:hyperlink>
      <w:r>
        <w:rPr>
          <w:spacing w:val="-2"/>
          <w:sz w:val="18"/>
        </w:rPr>
        <w:t>e</w:t>
      </w:r>
      <w:hyperlink r:id="rId80">
        <w:r>
          <w:rPr>
            <w:spacing w:val="-2"/>
            <w:sz w:val="18"/>
          </w:rPr>
          <w:t>r.gov.au/system/files/AER%20Better%20Regulation%20factsheet%20-</w:t>
        </w:r>
      </w:hyperlink>
    </w:p>
    <w:p>
      <w:pPr>
        <w:spacing w:before="40"/>
        <w:ind w:left="232" w:right="0" w:firstLine="0"/>
        <w:jc w:val="left"/>
        <w:rPr>
          <w:sz w:val="18"/>
        </w:rPr>
      </w:pPr>
      <w:r>
        <w:rPr>
          <w:spacing w:val="-2"/>
          <w:sz w:val="18"/>
        </w:rPr>
        <w:t>%20expenditure%20incentives%20-%20November%202013.pdf</w:t>
      </w:r>
      <w:r>
        <w:rPr>
          <w:spacing w:val="21"/>
          <w:sz w:val="18"/>
        </w:rPr>
        <w:t> </w:t>
      </w:r>
      <w:r>
        <w:rPr>
          <w:spacing w:val="-2"/>
          <w:sz w:val="18"/>
        </w:rPr>
        <w:t>[Accessed</w:t>
      </w:r>
      <w:r>
        <w:rPr>
          <w:spacing w:val="19"/>
          <w:sz w:val="18"/>
        </w:rPr>
        <w:t> </w:t>
      </w:r>
      <w:r>
        <w:rPr>
          <w:spacing w:val="-2"/>
          <w:sz w:val="18"/>
        </w:rPr>
        <w:t>17</w:t>
      </w:r>
      <w:r>
        <w:rPr>
          <w:spacing w:val="21"/>
          <w:sz w:val="18"/>
        </w:rPr>
        <w:t> </w:t>
      </w:r>
      <w:r>
        <w:rPr>
          <w:spacing w:val="-2"/>
          <w:sz w:val="18"/>
        </w:rPr>
        <w:t>September</w:t>
      </w:r>
      <w:r>
        <w:rPr>
          <w:spacing w:val="22"/>
          <w:sz w:val="18"/>
        </w:rPr>
        <w:t> </w:t>
      </w:r>
      <w:r>
        <w:rPr>
          <w:spacing w:val="-2"/>
          <w:sz w:val="18"/>
        </w:rPr>
        <w:t>2017].</w:t>
      </w:r>
    </w:p>
    <w:p>
      <w:pPr>
        <w:spacing w:line="290" w:lineRule="auto" w:before="122"/>
        <w:ind w:left="232" w:right="1191" w:firstLine="0"/>
        <w:jc w:val="left"/>
        <w:rPr>
          <w:sz w:val="18"/>
        </w:rPr>
      </w:pPr>
      <w:r>
        <w:rPr>
          <w:sz w:val="18"/>
        </w:rPr>
        <w:t>AER,</w:t>
      </w:r>
      <w:r>
        <w:rPr>
          <w:spacing w:val="-3"/>
          <w:sz w:val="18"/>
        </w:rPr>
        <w:t> </w:t>
      </w:r>
      <w:r>
        <w:rPr>
          <w:sz w:val="18"/>
        </w:rPr>
        <w:t>2015.</w:t>
      </w:r>
      <w:r>
        <w:rPr>
          <w:spacing w:val="-4"/>
          <w:sz w:val="18"/>
        </w:rPr>
        <w:t> </w:t>
      </w:r>
      <w:r>
        <w:rPr>
          <w:i/>
          <w:sz w:val="18"/>
        </w:rPr>
        <w:t>Our</w:t>
      </w:r>
      <w:r>
        <w:rPr>
          <w:i/>
          <w:spacing w:val="-3"/>
          <w:sz w:val="18"/>
        </w:rPr>
        <w:t> </w:t>
      </w:r>
      <w:r>
        <w:rPr>
          <w:i/>
          <w:sz w:val="18"/>
        </w:rPr>
        <w:t>role</w:t>
      </w:r>
      <w:r>
        <w:rPr>
          <w:i/>
          <w:spacing w:val="-3"/>
          <w:sz w:val="18"/>
        </w:rPr>
        <w:t> </w:t>
      </w:r>
      <w:r>
        <w:rPr>
          <w:i/>
          <w:sz w:val="18"/>
        </w:rPr>
        <w:t>in</w:t>
      </w:r>
      <w:r>
        <w:rPr>
          <w:i/>
          <w:spacing w:val="-5"/>
          <w:sz w:val="18"/>
        </w:rPr>
        <w:t> </w:t>
      </w:r>
      <w:r>
        <w:rPr>
          <w:i/>
          <w:sz w:val="18"/>
        </w:rPr>
        <w:t>networks.</w:t>
      </w:r>
      <w:r>
        <w:rPr>
          <w:i/>
          <w:spacing w:val="-1"/>
          <w:sz w:val="18"/>
        </w:rPr>
        <w:t> </w:t>
      </w:r>
      <w:r>
        <w:rPr>
          <w:sz w:val="18"/>
        </w:rPr>
        <w:t>[Online]</w:t>
      </w:r>
      <w:r>
        <w:rPr>
          <w:spacing w:val="40"/>
          <w:sz w:val="18"/>
        </w:rPr>
        <w:t> </w:t>
      </w:r>
      <w:r>
        <w:rPr>
          <w:sz w:val="18"/>
        </w:rPr>
        <w:t>Available</w:t>
      </w:r>
      <w:r>
        <w:rPr>
          <w:spacing w:val="-3"/>
          <w:sz w:val="18"/>
        </w:rPr>
        <w:t> </w:t>
      </w:r>
      <w:r>
        <w:rPr>
          <w:sz w:val="18"/>
        </w:rPr>
        <w:t>at:</w:t>
      </w:r>
      <w:r>
        <w:rPr>
          <w:spacing w:val="-3"/>
          <w:sz w:val="18"/>
        </w:rPr>
        <w:t> </w:t>
      </w:r>
      <w:r>
        <w:rPr>
          <w:sz w:val="18"/>
        </w:rPr>
        <w:t>https:/</w:t>
      </w:r>
      <w:hyperlink r:id="rId81">
        <w:r>
          <w:rPr>
            <w:sz w:val="18"/>
          </w:rPr>
          <w:t>/www.a</w:t>
        </w:r>
      </w:hyperlink>
      <w:r>
        <w:rPr>
          <w:sz w:val="18"/>
        </w:rPr>
        <w:t>e</w:t>
      </w:r>
      <w:hyperlink r:id="rId81">
        <w:r>
          <w:rPr>
            <w:sz w:val="18"/>
          </w:rPr>
          <w:t>r.gov.au/networks-pipelines/our-role-in-</w:t>
        </w:r>
      </w:hyperlink>
      <w:r>
        <w:rPr>
          <w:sz w:val="18"/>
        </w:rPr>
        <w:t> networks#our-role-in-electricity-networks-and-gas-pipelines [Accessed 07 September 2017].</w:t>
      </w:r>
    </w:p>
    <w:p>
      <w:pPr>
        <w:spacing w:before="78"/>
        <w:ind w:left="232" w:right="0" w:firstLine="0"/>
        <w:jc w:val="left"/>
        <w:rPr>
          <w:sz w:val="18"/>
        </w:rPr>
      </w:pPr>
      <w:r>
        <w:rPr>
          <w:sz w:val="18"/>
        </w:rPr>
        <w:t>AER,</w:t>
      </w:r>
      <w:r>
        <w:rPr>
          <w:spacing w:val="-3"/>
          <w:sz w:val="18"/>
        </w:rPr>
        <w:t> </w:t>
      </w:r>
      <w:r>
        <w:rPr>
          <w:sz w:val="18"/>
        </w:rPr>
        <w:t>2016.</w:t>
      </w:r>
      <w:r>
        <w:rPr>
          <w:spacing w:val="-4"/>
          <w:sz w:val="18"/>
        </w:rPr>
        <w:t> </w:t>
      </w:r>
      <w:r>
        <w:rPr>
          <w:i/>
          <w:sz w:val="18"/>
        </w:rPr>
        <w:t>AER</w:t>
      </w:r>
      <w:r>
        <w:rPr>
          <w:i/>
          <w:spacing w:val="-2"/>
          <w:sz w:val="18"/>
        </w:rPr>
        <w:t> </w:t>
      </w:r>
      <w:r>
        <w:rPr>
          <w:i/>
          <w:sz w:val="18"/>
        </w:rPr>
        <w:t>Statement</w:t>
      </w:r>
      <w:r>
        <w:rPr>
          <w:i/>
          <w:spacing w:val="-3"/>
          <w:sz w:val="18"/>
        </w:rPr>
        <w:t> </w:t>
      </w:r>
      <w:r>
        <w:rPr>
          <w:i/>
          <w:sz w:val="18"/>
        </w:rPr>
        <w:t>of</w:t>
      </w:r>
      <w:r>
        <w:rPr>
          <w:i/>
          <w:spacing w:val="-5"/>
          <w:sz w:val="18"/>
        </w:rPr>
        <w:t> </w:t>
      </w:r>
      <w:r>
        <w:rPr>
          <w:i/>
          <w:sz w:val="18"/>
        </w:rPr>
        <w:t>intent</w:t>
      </w:r>
      <w:r>
        <w:rPr>
          <w:i/>
          <w:spacing w:val="-2"/>
          <w:sz w:val="18"/>
        </w:rPr>
        <w:t> </w:t>
      </w:r>
      <w:r>
        <w:rPr>
          <w:i/>
          <w:sz w:val="18"/>
        </w:rPr>
        <w:t>2016-17,</w:t>
      </w:r>
      <w:r>
        <w:rPr>
          <w:i/>
          <w:spacing w:val="-3"/>
          <w:sz w:val="18"/>
        </w:rPr>
        <w:t> </w:t>
      </w:r>
      <w:r>
        <w:rPr>
          <w:spacing w:val="-2"/>
          <w:sz w:val="18"/>
        </w:rPr>
        <w:t>Canberra.</w:t>
      </w:r>
    </w:p>
    <w:p>
      <w:pPr>
        <w:spacing w:before="119"/>
        <w:ind w:left="232" w:right="0" w:firstLine="0"/>
        <w:jc w:val="left"/>
        <w:rPr>
          <w:sz w:val="18"/>
        </w:rPr>
      </w:pPr>
      <w:r>
        <w:rPr>
          <w:sz w:val="18"/>
        </w:rPr>
        <w:t>AER,</w:t>
      </w:r>
      <w:r>
        <w:rPr>
          <w:spacing w:val="-6"/>
          <w:sz w:val="18"/>
        </w:rPr>
        <w:t> </w:t>
      </w:r>
      <w:r>
        <w:rPr>
          <w:sz w:val="18"/>
        </w:rPr>
        <w:t>2017a.</w:t>
      </w:r>
      <w:r>
        <w:rPr>
          <w:spacing w:val="-2"/>
          <w:sz w:val="18"/>
        </w:rPr>
        <w:t> </w:t>
      </w:r>
      <w:r>
        <w:rPr>
          <w:i/>
          <w:sz w:val="18"/>
        </w:rPr>
        <w:t>AER</w:t>
      </w:r>
      <w:r>
        <w:rPr>
          <w:i/>
          <w:spacing w:val="-3"/>
          <w:sz w:val="18"/>
        </w:rPr>
        <w:t> </w:t>
      </w:r>
      <w:r>
        <w:rPr>
          <w:i/>
          <w:sz w:val="18"/>
        </w:rPr>
        <w:t>response</w:t>
      </w:r>
      <w:r>
        <w:rPr>
          <w:i/>
          <w:spacing w:val="-5"/>
          <w:sz w:val="18"/>
        </w:rPr>
        <w:t> </w:t>
      </w:r>
      <w:r>
        <w:rPr>
          <w:i/>
          <w:sz w:val="18"/>
        </w:rPr>
        <w:t>to</w:t>
      </w:r>
      <w:r>
        <w:rPr>
          <w:i/>
          <w:spacing w:val="-5"/>
          <w:sz w:val="18"/>
        </w:rPr>
        <w:t> </w:t>
      </w:r>
      <w:r>
        <w:rPr>
          <w:i/>
          <w:sz w:val="18"/>
        </w:rPr>
        <w:t>the</w:t>
      </w:r>
      <w:r>
        <w:rPr>
          <w:i/>
          <w:spacing w:val="-3"/>
          <w:sz w:val="18"/>
        </w:rPr>
        <w:t> </w:t>
      </w:r>
      <w:r>
        <w:rPr>
          <w:i/>
          <w:sz w:val="18"/>
        </w:rPr>
        <w:t>Review</w:t>
      </w:r>
      <w:r>
        <w:rPr>
          <w:i/>
          <w:spacing w:val="-6"/>
          <w:sz w:val="18"/>
        </w:rPr>
        <w:t> </w:t>
      </w:r>
      <w:r>
        <w:rPr>
          <w:i/>
          <w:sz w:val="18"/>
        </w:rPr>
        <w:t>of</w:t>
      </w:r>
      <w:r>
        <w:rPr>
          <w:i/>
          <w:spacing w:val="-3"/>
          <w:sz w:val="18"/>
        </w:rPr>
        <w:t> </w:t>
      </w:r>
      <w:r>
        <w:rPr>
          <w:i/>
          <w:sz w:val="18"/>
        </w:rPr>
        <w:t>Victoria’s</w:t>
      </w:r>
      <w:r>
        <w:rPr>
          <w:i/>
          <w:spacing w:val="-2"/>
          <w:sz w:val="18"/>
        </w:rPr>
        <w:t> </w:t>
      </w:r>
      <w:r>
        <w:rPr>
          <w:i/>
          <w:sz w:val="18"/>
        </w:rPr>
        <w:t>Electricity</w:t>
      </w:r>
      <w:r>
        <w:rPr>
          <w:i/>
          <w:spacing w:val="-2"/>
          <w:sz w:val="18"/>
        </w:rPr>
        <w:t> </w:t>
      </w:r>
      <w:r>
        <w:rPr>
          <w:i/>
          <w:sz w:val="18"/>
        </w:rPr>
        <w:t>Network</w:t>
      </w:r>
      <w:r>
        <w:rPr>
          <w:i/>
          <w:spacing w:val="-2"/>
          <w:sz w:val="18"/>
        </w:rPr>
        <w:t> </w:t>
      </w:r>
      <w:r>
        <w:rPr>
          <w:i/>
          <w:sz w:val="18"/>
        </w:rPr>
        <w:t>Safety,</w:t>
      </w:r>
      <w:r>
        <w:rPr>
          <w:i/>
          <w:spacing w:val="3"/>
          <w:sz w:val="18"/>
        </w:rPr>
        <w:t> </w:t>
      </w:r>
      <w:r>
        <w:rPr>
          <w:spacing w:val="-2"/>
          <w:sz w:val="18"/>
        </w:rPr>
        <w:t>Melbourne.</w:t>
      </w:r>
    </w:p>
    <w:p>
      <w:pPr>
        <w:spacing w:line="290" w:lineRule="auto" w:before="122"/>
        <w:ind w:left="232" w:right="374" w:firstLine="0"/>
        <w:jc w:val="left"/>
        <w:rPr>
          <w:sz w:val="18"/>
        </w:rPr>
      </w:pPr>
      <w:r>
        <w:rPr>
          <w:sz w:val="18"/>
        </w:rPr>
        <w:t>AER,</w:t>
      </w:r>
      <w:r>
        <w:rPr>
          <w:spacing w:val="-2"/>
          <w:sz w:val="18"/>
        </w:rPr>
        <w:t> </w:t>
      </w:r>
      <w:r>
        <w:rPr>
          <w:sz w:val="18"/>
        </w:rPr>
        <w:t>2017.</w:t>
      </w:r>
      <w:r>
        <w:rPr>
          <w:spacing w:val="-3"/>
          <w:sz w:val="18"/>
        </w:rPr>
        <w:t> </w:t>
      </w:r>
      <w:r>
        <w:rPr>
          <w:i/>
          <w:sz w:val="18"/>
        </w:rPr>
        <w:t>Issues</w:t>
      </w:r>
      <w:r>
        <w:rPr>
          <w:i/>
          <w:spacing w:val="-1"/>
          <w:sz w:val="18"/>
        </w:rPr>
        <w:t> </w:t>
      </w:r>
      <w:r>
        <w:rPr>
          <w:i/>
          <w:sz w:val="18"/>
        </w:rPr>
        <w:t>paper:</w:t>
      </w:r>
      <w:r>
        <w:rPr>
          <w:i/>
          <w:spacing w:val="-2"/>
          <w:sz w:val="18"/>
        </w:rPr>
        <w:t> </w:t>
      </w:r>
      <w:r>
        <w:rPr>
          <w:i/>
          <w:sz w:val="18"/>
        </w:rPr>
        <w:t>Reviewing</w:t>
      </w:r>
      <w:r>
        <w:rPr>
          <w:i/>
          <w:spacing w:val="-4"/>
          <w:sz w:val="18"/>
        </w:rPr>
        <w:t> </w:t>
      </w:r>
      <w:r>
        <w:rPr>
          <w:i/>
          <w:sz w:val="18"/>
        </w:rPr>
        <w:t>the</w:t>
      </w:r>
      <w:r>
        <w:rPr>
          <w:i/>
          <w:spacing w:val="-2"/>
          <w:sz w:val="18"/>
        </w:rPr>
        <w:t> </w:t>
      </w:r>
      <w:r>
        <w:rPr>
          <w:i/>
          <w:sz w:val="18"/>
        </w:rPr>
        <w:t>Service</w:t>
      </w:r>
      <w:r>
        <w:rPr>
          <w:i/>
          <w:spacing w:val="-4"/>
          <w:sz w:val="18"/>
        </w:rPr>
        <w:t> </w:t>
      </w:r>
      <w:r>
        <w:rPr>
          <w:i/>
          <w:sz w:val="18"/>
        </w:rPr>
        <w:t>Target</w:t>
      </w:r>
      <w:r>
        <w:rPr>
          <w:i/>
          <w:spacing w:val="-2"/>
          <w:sz w:val="18"/>
        </w:rPr>
        <w:t> </w:t>
      </w:r>
      <w:r>
        <w:rPr>
          <w:i/>
          <w:sz w:val="18"/>
        </w:rPr>
        <w:t>Performance</w:t>
      </w:r>
      <w:r>
        <w:rPr>
          <w:i/>
          <w:spacing w:val="-4"/>
          <w:sz w:val="18"/>
        </w:rPr>
        <w:t> </w:t>
      </w:r>
      <w:r>
        <w:rPr>
          <w:i/>
          <w:sz w:val="18"/>
        </w:rPr>
        <w:t>Incentive</w:t>
      </w:r>
      <w:r>
        <w:rPr>
          <w:i/>
          <w:spacing w:val="-2"/>
          <w:sz w:val="18"/>
        </w:rPr>
        <w:t> </w:t>
      </w:r>
      <w:r>
        <w:rPr>
          <w:i/>
          <w:sz w:val="18"/>
        </w:rPr>
        <w:t>Scheme</w:t>
      </w:r>
      <w:r>
        <w:rPr>
          <w:i/>
          <w:spacing w:val="-4"/>
          <w:sz w:val="18"/>
        </w:rPr>
        <w:t> </w:t>
      </w:r>
      <w:r>
        <w:rPr>
          <w:i/>
          <w:sz w:val="18"/>
        </w:rPr>
        <w:t>and</w:t>
      </w:r>
      <w:r>
        <w:rPr>
          <w:i/>
          <w:spacing w:val="-2"/>
          <w:sz w:val="18"/>
        </w:rPr>
        <w:t> </w:t>
      </w:r>
      <w:r>
        <w:rPr>
          <w:i/>
          <w:sz w:val="18"/>
        </w:rPr>
        <w:t>Establishing</w:t>
      </w:r>
      <w:r>
        <w:rPr>
          <w:i/>
          <w:spacing w:val="-2"/>
          <w:sz w:val="18"/>
        </w:rPr>
        <w:t> </w:t>
      </w:r>
      <w:r>
        <w:rPr>
          <w:i/>
          <w:sz w:val="18"/>
        </w:rPr>
        <w:t>a</w:t>
      </w:r>
      <w:r>
        <w:rPr>
          <w:i/>
          <w:spacing w:val="-4"/>
          <w:sz w:val="18"/>
        </w:rPr>
        <w:t> </w:t>
      </w:r>
      <w:r>
        <w:rPr>
          <w:i/>
          <w:sz w:val="18"/>
        </w:rPr>
        <w:t>new Distribution Reliability Measures Guidelines, </w:t>
      </w:r>
      <w:r>
        <w:rPr>
          <w:sz w:val="18"/>
        </w:rPr>
        <w:t>Melbourne.</w:t>
      </w:r>
    </w:p>
    <w:p>
      <w:pPr>
        <w:spacing w:line="285" w:lineRule="auto" w:before="78"/>
        <w:ind w:left="232" w:right="2675" w:firstLine="0"/>
        <w:jc w:val="left"/>
        <w:rPr>
          <w:sz w:val="18"/>
        </w:rPr>
      </w:pPr>
      <w:r>
        <w:rPr>
          <w:sz w:val="18"/>
        </w:rPr>
        <w:t>Aon Risk Solutions, 2015. </w:t>
      </w:r>
      <w:r>
        <w:rPr>
          <w:i/>
          <w:sz w:val="18"/>
        </w:rPr>
        <w:t>Insurance</w:t>
      </w:r>
      <w:r>
        <w:rPr>
          <w:i/>
          <w:spacing w:val="-1"/>
          <w:sz w:val="18"/>
        </w:rPr>
        <w:t> </w:t>
      </w:r>
      <w:r>
        <w:rPr>
          <w:i/>
          <w:sz w:val="18"/>
        </w:rPr>
        <w:t>Advice</w:t>
      </w:r>
      <w:r>
        <w:rPr>
          <w:i/>
          <w:spacing w:val="-1"/>
          <w:sz w:val="18"/>
        </w:rPr>
        <w:t> </w:t>
      </w:r>
      <w:r>
        <w:rPr>
          <w:i/>
          <w:sz w:val="18"/>
        </w:rPr>
        <w:t>Report: Networks NSW. </w:t>
      </w:r>
      <w:r>
        <w:rPr>
          <w:sz w:val="18"/>
        </w:rPr>
        <w:t>[Online]</w:t>
      </w:r>
      <w:r>
        <w:rPr>
          <w:spacing w:val="40"/>
          <w:sz w:val="18"/>
        </w:rPr>
        <w:t> </w:t>
      </w:r>
      <w:r>
        <w:rPr>
          <w:sz w:val="18"/>
        </w:rPr>
        <w:t>Available</w:t>
      </w:r>
      <w:r>
        <w:rPr>
          <w:spacing w:val="-1"/>
          <w:sz w:val="18"/>
        </w:rPr>
        <w:t> </w:t>
      </w:r>
      <w:r>
        <w:rPr>
          <w:sz w:val="18"/>
        </w:rPr>
        <w:t>at: </w:t>
      </w:r>
      <w:r>
        <w:rPr>
          <w:spacing w:val="-2"/>
          <w:sz w:val="18"/>
        </w:rPr>
        <w:t>https:/</w:t>
      </w:r>
      <w:hyperlink r:id="rId82">
        <w:r>
          <w:rPr>
            <w:spacing w:val="-2"/>
            <w:sz w:val="18"/>
          </w:rPr>
          <w:t>/www.a</w:t>
        </w:r>
      </w:hyperlink>
      <w:r>
        <w:rPr>
          <w:spacing w:val="-2"/>
          <w:sz w:val="18"/>
        </w:rPr>
        <w:t>e</w:t>
      </w:r>
      <w:hyperlink r:id="rId82">
        <w:r>
          <w:rPr>
            <w:spacing w:val="-2"/>
            <w:sz w:val="18"/>
          </w:rPr>
          <w:t>r.gov.au/system/files/Essential%20Energy%20-%20Attachment%201.3%20-</w:t>
        </w:r>
      </w:hyperlink>
    </w:p>
    <w:p>
      <w:pPr>
        <w:spacing w:line="288" w:lineRule="auto" w:before="4"/>
        <w:ind w:left="232" w:right="374" w:firstLine="0"/>
        <w:jc w:val="left"/>
        <w:rPr>
          <w:sz w:val="18"/>
        </w:rPr>
      </w:pPr>
      <w:r>
        <w:rPr>
          <w:sz w:val="18"/>
        </w:rPr>
        <w:t>%20Insurance%20Advice%20Report%20Networks%20NSW%20-%20January%202015.pdf</w:t>
      </w:r>
      <w:r>
        <w:rPr>
          <w:spacing w:val="-11"/>
          <w:sz w:val="18"/>
        </w:rPr>
        <w:t> </w:t>
      </w:r>
      <w:r>
        <w:rPr>
          <w:sz w:val="18"/>
        </w:rPr>
        <w:t>[Accessed</w:t>
      </w:r>
      <w:r>
        <w:rPr>
          <w:spacing w:val="-12"/>
          <w:sz w:val="18"/>
        </w:rPr>
        <w:t> </w:t>
      </w:r>
      <w:r>
        <w:rPr>
          <w:sz w:val="18"/>
        </w:rPr>
        <w:t>12</w:t>
      </w:r>
      <w:r>
        <w:rPr>
          <w:spacing w:val="-11"/>
          <w:sz w:val="18"/>
        </w:rPr>
        <w:t> </w:t>
      </w:r>
      <w:r>
        <w:rPr>
          <w:sz w:val="18"/>
        </w:rPr>
        <w:t>September </w:t>
      </w:r>
      <w:r>
        <w:rPr>
          <w:spacing w:val="-2"/>
          <w:sz w:val="18"/>
        </w:rPr>
        <w:t>2017].</w:t>
      </w:r>
    </w:p>
    <w:p>
      <w:pPr>
        <w:spacing w:line="381" w:lineRule="auto" w:before="80"/>
        <w:ind w:left="232" w:right="525" w:firstLine="0"/>
        <w:jc w:val="left"/>
        <w:rPr>
          <w:i/>
          <w:sz w:val="18"/>
        </w:rPr>
      </w:pPr>
      <w:r>
        <w:rPr>
          <w:sz w:val="18"/>
        </w:rPr>
        <w:t>APA</w:t>
      </w:r>
      <w:r>
        <w:rPr>
          <w:spacing w:val="-3"/>
          <w:sz w:val="18"/>
        </w:rPr>
        <w:t> </w:t>
      </w:r>
      <w:r>
        <w:rPr>
          <w:sz w:val="18"/>
        </w:rPr>
        <w:t>VTS,</w:t>
      </w:r>
      <w:r>
        <w:rPr>
          <w:spacing w:val="-3"/>
          <w:sz w:val="18"/>
        </w:rPr>
        <w:t> </w:t>
      </w:r>
      <w:r>
        <w:rPr>
          <w:sz w:val="18"/>
        </w:rPr>
        <w:t>2017.</w:t>
      </w:r>
      <w:r>
        <w:rPr>
          <w:spacing w:val="-2"/>
          <w:sz w:val="18"/>
        </w:rPr>
        <w:t> </w:t>
      </w:r>
      <w:r>
        <w:rPr>
          <w:i/>
          <w:sz w:val="18"/>
        </w:rPr>
        <w:t>Review</w:t>
      </w:r>
      <w:r>
        <w:rPr>
          <w:i/>
          <w:spacing w:val="-6"/>
          <w:sz w:val="18"/>
        </w:rPr>
        <w:t> </w:t>
      </w:r>
      <w:r>
        <w:rPr>
          <w:i/>
          <w:sz w:val="18"/>
        </w:rPr>
        <w:t>of</w:t>
      </w:r>
      <w:r>
        <w:rPr>
          <w:i/>
          <w:spacing w:val="-3"/>
          <w:sz w:val="18"/>
        </w:rPr>
        <w:t> </w:t>
      </w:r>
      <w:r>
        <w:rPr>
          <w:i/>
          <w:sz w:val="18"/>
        </w:rPr>
        <w:t>Victoria’s</w:t>
      </w:r>
      <w:r>
        <w:rPr>
          <w:i/>
          <w:spacing w:val="-2"/>
          <w:sz w:val="18"/>
        </w:rPr>
        <w:t> </w:t>
      </w:r>
      <w:r>
        <w:rPr>
          <w:i/>
          <w:sz w:val="18"/>
        </w:rPr>
        <w:t>Electricity</w:t>
      </w:r>
      <w:r>
        <w:rPr>
          <w:i/>
          <w:spacing w:val="-4"/>
          <w:sz w:val="18"/>
        </w:rPr>
        <w:t> </w:t>
      </w:r>
      <w:r>
        <w:rPr>
          <w:i/>
          <w:sz w:val="18"/>
        </w:rPr>
        <w:t>and</w:t>
      </w:r>
      <w:r>
        <w:rPr>
          <w:i/>
          <w:spacing w:val="-3"/>
          <w:sz w:val="18"/>
        </w:rPr>
        <w:t> </w:t>
      </w:r>
      <w:r>
        <w:rPr>
          <w:i/>
          <w:sz w:val="18"/>
        </w:rPr>
        <w:t>Gas</w:t>
      </w:r>
      <w:r>
        <w:rPr>
          <w:i/>
          <w:spacing w:val="-2"/>
          <w:sz w:val="18"/>
        </w:rPr>
        <w:t> </w:t>
      </w:r>
      <w:r>
        <w:rPr>
          <w:i/>
          <w:sz w:val="18"/>
        </w:rPr>
        <w:t>Network</w:t>
      </w:r>
      <w:r>
        <w:rPr>
          <w:i/>
          <w:spacing w:val="-2"/>
          <w:sz w:val="18"/>
        </w:rPr>
        <w:t> </w:t>
      </w:r>
      <w:r>
        <w:rPr>
          <w:i/>
          <w:sz w:val="18"/>
        </w:rPr>
        <w:t>Safety</w:t>
      </w:r>
      <w:r>
        <w:rPr>
          <w:i/>
          <w:spacing w:val="-4"/>
          <w:sz w:val="18"/>
        </w:rPr>
        <w:t> </w:t>
      </w:r>
      <w:r>
        <w:rPr>
          <w:i/>
          <w:sz w:val="18"/>
        </w:rPr>
        <w:t>Framework -</w:t>
      </w:r>
      <w:r>
        <w:rPr>
          <w:i/>
          <w:spacing w:val="-5"/>
          <w:sz w:val="18"/>
        </w:rPr>
        <w:t> </w:t>
      </w:r>
      <w:r>
        <w:rPr>
          <w:i/>
          <w:sz w:val="18"/>
        </w:rPr>
        <w:t>Supplementary</w:t>
      </w:r>
      <w:r>
        <w:rPr>
          <w:i/>
          <w:spacing w:val="-2"/>
          <w:sz w:val="18"/>
        </w:rPr>
        <w:t> </w:t>
      </w:r>
      <w:r>
        <w:rPr>
          <w:i/>
          <w:sz w:val="18"/>
        </w:rPr>
        <w:t>Issues</w:t>
      </w:r>
      <w:r>
        <w:rPr>
          <w:i/>
          <w:spacing w:val="-5"/>
          <w:sz w:val="18"/>
        </w:rPr>
        <w:t> </w:t>
      </w:r>
      <w:r>
        <w:rPr>
          <w:i/>
          <w:sz w:val="18"/>
        </w:rPr>
        <w:t>Paper: APS VTS Operations (Australia) Pty Ltd Submission.</w:t>
      </w:r>
    </w:p>
    <w:p>
      <w:pPr>
        <w:spacing w:line="379" w:lineRule="auto" w:before="0"/>
        <w:ind w:left="232" w:right="4350" w:firstLine="0"/>
        <w:jc w:val="left"/>
        <w:rPr>
          <w:sz w:val="18"/>
        </w:rPr>
      </w:pPr>
      <w:r>
        <w:rPr>
          <w:sz w:val="18"/>
        </w:rPr>
        <w:t>AusNet</w:t>
      </w:r>
      <w:r>
        <w:rPr>
          <w:spacing w:val="-4"/>
          <w:sz w:val="18"/>
        </w:rPr>
        <w:t> </w:t>
      </w:r>
      <w:r>
        <w:rPr>
          <w:sz w:val="18"/>
        </w:rPr>
        <w:t>Services,</w:t>
      </w:r>
      <w:r>
        <w:rPr>
          <w:spacing w:val="-4"/>
          <w:sz w:val="18"/>
        </w:rPr>
        <w:t> </w:t>
      </w:r>
      <w:r>
        <w:rPr>
          <w:sz w:val="18"/>
        </w:rPr>
        <w:t>2015.</w:t>
      </w:r>
      <w:r>
        <w:rPr>
          <w:spacing w:val="-2"/>
          <w:sz w:val="18"/>
        </w:rPr>
        <w:t> </w:t>
      </w:r>
      <w:r>
        <w:rPr>
          <w:i/>
          <w:sz w:val="18"/>
        </w:rPr>
        <w:t>Electricity</w:t>
      </w:r>
      <w:r>
        <w:rPr>
          <w:i/>
          <w:spacing w:val="-5"/>
          <w:sz w:val="18"/>
        </w:rPr>
        <w:t> </w:t>
      </w:r>
      <w:r>
        <w:rPr>
          <w:i/>
          <w:sz w:val="18"/>
        </w:rPr>
        <w:t>Distribution</w:t>
      </w:r>
      <w:r>
        <w:rPr>
          <w:i/>
          <w:spacing w:val="-6"/>
          <w:sz w:val="18"/>
        </w:rPr>
        <w:t> </w:t>
      </w:r>
      <w:r>
        <w:rPr>
          <w:i/>
          <w:sz w:val="18"/>
        </w:rPr>
        <w:t>Price</w:t>
      </w:r>
      <w:r>
        <w:rPr>
          <w:i/>
          <w:spacing w:val="-4"/>
          <w:sz w:val="18"/>
        </w:rPr>
        <w:t> </w:t>
      </w:r>
      <w:r>
        <w:rPr>
          <w:i/>
          <w:sz w:val="18"/>
        </w:rPr>
        <w:t>Review</w:t>
      </w:r>
      <w:r>
        <w:rPr>
          <w:i/>
          <w:spacing w:val="-7"/>
          <w:sz w:val="18"/>
        </w:rPr>
        <w:t> </w:t>
      </w:r>
      <w:r>
        <w:rPr>
          <w:i/>
          <w:sz w:val="18"/>
        </w:rPr>
        <w:t>2016-20</w:t>
      </w:r>
      <w:r>
        <w:rPr>
          <w:sz w:val="18"/>
        </w:rPr>
        <w:t>. AusNet Services, 2017. </w:t>
      </w:r>
      <w:r>
        <w:rPr>
          <w:i/>
          <w:sz w:val="18"/>
        </w:rPr>
        <w:t>Safety Review Submission</w:t>
      </w:r>
      <w:r>
        <w:rPr>
          <w:sz w:val="18"/>
        </w:rPr>
        <w:t>.</w:t>
      </w:r>
    </w:p>
    <w:p>
      <w:pPr>
        <w:spacing w:line="290" w:lineRule="auto" w:before="0"/>
        <w:ind w:left="232" w:right="0" w:firstLine="0"/>
        <w:jc w:val="left"/>
        <w:rPr>
          <w:sz w:val="18"/>
        </w:rPr>
      </w:pPr>
      <w:r>
        <w:rPr>
          <w:sz w:val="18"/>
        </w:rPr>
        <w:t>Australian</w:t>
      </w:r>
      <w:r>
        <w:rPr>
          <w:spacing w:val="-5"/>
          <w:sz w:val="18"/>
        </w:rPr>
        <w:t> </w:t>
      </w:r>
      <w:r>
        <w:rPr>
          <w:sz w:val="18"/>
        </w:rPr>
        <w:t>Energy</w:t>
      </w:r>
      <w:r>
        <w:rPr>
          <w:spacing w:val="-5"/>
          <w:sz w:val="18"/>
        </w:rPr>
        <w:t> </w:t>
      </w:r>
      <w:r>
        <w:rPr>
          <w:sz w:val="18"/>
        </w:rPr>
        <w:t>Market</w:t>
      </w:r>
      <w:r>
        <w:rPr>
          <w:spacing w:val="-3"/>
          <w:sz w:val="18"/>
        </w:rPr>
        <w:t> </w:t>
      </w:r>
      <w:r>
        <w:rPr>
          <w:sz w:val="18"/>
        </w:rPr>
        <w:t>Commission,</w:t>
      </w:r>
      <w:r>
        <w:rPr>
          <w:spacing w:val="-3"/>
          <w:sz w:val="18"/>
        </w:rPr>
        <w:t> </w:t>
      </w:r>
      <w:r>
        <w:rPr>
          <w:sz w:val="18"/>
        </w:rPr>
        <w:t>2017.</w:t>
      </w:r>
      <w:r>
        <w:rPr>
          <w:spacing w:val="-5"/>
          <w:sz w:val="18"/>
        </w:rPr>
        <w:t> </w:t>
      </w:r>
      <w:r>
        <w:rPr>
          <w:sz w:val="18"/>
        </w:rPr>
        <w:t>Economic</w:t>
      </w:r>
      <w:r>
        <w:rPr>
          <w:spacing w:val="-2"/>
          <w:sz w:val="18"/>
        </w:rPr>
        <w:t> </w:t>
      </w:r>
      <w:r>
        <w:rPr>
          <w:sz w:val="18"/>
        </w:rPr>
        <w:t>Regulation</w:t>
      </w:r>
      <w:r>
        <w:rPr>
          <w:spacing w:val="-3"/>
          <w:sz w:val="18"/>
        </w:rPr>
        <w:t> </w:t>
      </w:r>
      <w:r>
        <w:rPr>
          <w:sz w:val="18"/>
        </w:rPr>
        <w:t>of</w:t>
      </w:r>
      <w:r>
        <w:rPr>
          <w:spacing w:val="-3"/>
          <w:sz w:val="18"/>
        </w:rPr>
        <w:t> </w:t>
      </w:r>
      <w:r>
        <w:rPr>
          <w:sz w:val="18"/>
        </w:rPr>
        <w:t>Distribution</w:t>
      </w:r>
      <w:r>
        <w:rPr>
          <w:spacing w:val="-3"/>
          <w:sz w:val="18"/>
        </w:rPr>
        <w:t> </w:t>
      </w:r>
      <w:r>
        <w:rPr>
          <w:sz w:val="18"/>
        </w:rPr>
        <w:t>Services.</w:t>
      </w:r>
      <w:r>
        <w:rPr>
          <w:spacing w:val="-3"/>
          <w:sz w:val="18"/>
        </w:rPr>
        <w:t> </w:t>
      </w:r>
      <w:r>
        <w:rPr>
          <w:sz w:val="18"/>
        </w:rPr>
        <w:t>In: </w:t>
      </w:r>
      <w:r>
        <w:rPr>
          <w:i/>
          <w:sz w:val="18"/>
        </w:rPr>
        <w:t>National</w:t>
      </w:r>
      <w:r>
        <w:rPr>
          <w:i/>
          <w:spacing w:val="-3"/>
          <w:sz w:val="18"/>
        </w:rPr>
        <w:t> </w:t>
      </w:r>
      <w:r>
        <w:rPr>
          <w:i/>
          <w:sz w:val="18"/>
        </w:rPr>
        <w:t>Electricty</w:t>
      </w:r>
      <w:r>
        <w:rPr>
          <w:i/>
          <w:spacing w:val="-2"/>
          <w:sz w:val="18"/>
        </w:rPr>
        <w:t> </w:t>
      </w:r>
      <w:r>
        <w:rPr>
          <w:i/>
          <w:sz w:val="18"/>
        </w:rPr>
        <w:t>Rules Version 96</w:t>
      </w:r>
      <w:r>
        <w:rPr>
          <w:sz w:val="18"/>
        </w:rPr>
        <w:t>.</w:t>
      </w:r>
    </w:p>
    <w:p>
      <w:pPr>
        <w:spacing w:before="75"/>
        <w:ind w:left="232" w:right="0" w:firstLine="0"/>
        <w:jc w:val="left"/>
        <w:rPr>
          <w:i/>
          <w:sz w:val="18"/>
        </w:rPr>
      </w:pPr>
      <w:r>
        <w:rPr>
          <w:sz w:val="18"/>
        </w:rPr>
        <w:t>Australian</w:t>
      </w:r>
      <w:r>
        <w:rPr>
          <w:spacing w:val="-6"/>
          <w:sz w:val="18"/>
        </w:rPr>
        <w:t> </w:t>
      </w:r>
      <w:r>
        <w:rPr>
          <w:sz w:val="18"/>
        </w:rPr>
        <w:t>Gas</w:t>
      </w:r>
      <w:r>
        <w:rPr>
          <w:spacing w:val="-2"/>
          <w:sz w:val="18"/>
        </w:rPr>
        <w:t> </w:t>
      </w:r>
      <w:r>
        <w:rPr>
          <w:sz w:val="18"/>
        </w:rPr>
        <w:t>Networks,</w:t>
      </w:r>
      <w:r>
        <w:rPr>
          <w:spacing w:val="-4"/>
          <w:sz w:val="18"/>
        </w:rPr>
        <w:t> </w:t>
      </w:r>
      <w:r>
        <w:rPr>
          <w:sz w:val="18"/>
        </w:rPr>
        <w:t>2017.</w:t>
      </w:r>
      <w:r>
        <w:rPr>
          <w:spacing w:val="-1"/>
          <w:sz w:val="18"/>
        </w:rPr>
        <w:t> </w:t>
      </w:r>
      <w:r>
        <w:rPr>
          <w:i/>
          <w:sz w:val="18"/>
        </w:rPr>
        <w:t>AGN</w:t>
      </w:r>
      <w:r>
        <w:rPr>
          <w:i/>
          <w:spacing w:val="-4"/>
          <w:sz w:val="18"/>
        </w:rPr>
        <w:t> </w:t>
      </w:r>
      <w:r>
        <w:rPr>
          <w:i/>
          <w:sz w:val="18"/>
        </w:rPr>
        <w:t>Response</w:t>
      </w:r>
      <w:r>
        <w:rPr>
          <w:i/>
          <w:spacing w:val="-5"/>
          <w:sz w:val="18"/>
        </w:rPr>
        <w:t> </w:t>
      </w:r>
      <w:r>
        <w:rPr>
          <w:i/>
          <w:sz w:val="18"/>
        </w:rPr>
        <w:t>to</w:t>
      </w:r>
      <w:r>
        <w:rPr>
          <w:i/>
          <w:spacing w:val="-4"/>
          <w:sz w:val="18"/>
        </w:rPr>
        <w:t> </w:t>
      </w:r>
      <w:r>
        <w:rPr>
          <w:i/>
          <w:sz w:val="18"/>
        </w:rPr>
        <w:t>the</w:t>
      </w:r>
      <w:r>
        <w:rPr>
          <w:i/>
          <w:spacing w:val="-3"/>
          <w:sz w:val="18"/>
        </w:rPr>
        <w:t> </w:t>
      </w:r>
      <w:r>
        <w:rPr>
          <w:i/>
          <w:sz w:val="18"/>
        </w:rPr>
        <w:t>Review</w:t>
      </w:r>
      <w:r>
        <w:rPr>
          <w:i/>
          <w:spacing w:val="-3"/>
          <w:sz w:val="18"/>
        </w:rPr>
        <w:t> </w:t>
      </w:r>
      <w:r>
        <w:rPr>
          <w:i/>
          <w:sz w:val="18"/>
        </w:rPr>
        <w:t>of</w:t>
      </w:r>
      <w:r>
        <w:rPr>
          <w:i/>
          <w:spacing w:val="-4"/>
          <w:sz w:val="18"/>
        </w:rPr>
        <w:t> </w:t>
      </w:r>
      <w:r>
        <w:rPr>
          <w:i/>
          <w:sz w:val="18"/>
        </w:rPr>
        <w:t>Victoria's</w:t>
      </w:r>
      <w:r>
        <w:rPr>
          <w:i/>
          <w:spacing w:val="-2"/>
          <w:sz w:val="18"/>
        </w:rPr>
        <w:t> </w:t>
      </w:r>
      <w:r>
        <w:rPr>
          <w:i/>
          <w:sz w:val="18"/>
        </w:rPr>
        <w:t>Gas</w:t>
      </w:r>
      <w:r>
        <w:rPr>
          <w:i/>
          <w:spacing w:val="-3"/>
          <w:sz w:val="18"/>
        </w:rPr>
        <w:t> </w:t>
      </w:r>
      <w:r>
        <w:rPr>
          <w:i/>
          <w:sz w:val="18"/>
        </w:rPr>
        <w:t>Network</w:t>
      </w:r>
      <w:r>
        <w:rPr>
          <w:i/>
          <w:spacing w:val="-4"/>
          <w:sz w:val="18"/>
        </w:rPr>
        <w:t> </w:t>
      </w:r>
      <w:r>
        <w:rPr>
          <w:i/>
          <w:sz w:val="18"/>
        </w:rPr>
        <w:t>Safety</w:t>
      </w:r>
      <w:r>
        <w:rPr>
          <w:i/>
          <w:spacing w:val="-5"/>
          <w:sz w:val="18"/>
        </w:rPr>
        <w:t> </w:t>
      </w:r>
      <w:r>
        <w:rPr>
          <w:i/>
          <w:spacing w:val="-2"/>
          <w:sz w:val="18"/>
        </w:rPr>
        <w:t>Framework.</w:t>
      </w:r>
    </w:p>
    <w:p>
      <w:pPr>
        <w:spacing w:line="288" w:lineRule="auto" w:before="122"/>
        <w:ind w:left="232" w:right="1516" w:firstLine="0"/>
        <w:jc w:val="left"/>
        <w:rPr>
          <w:sz w:val="18"/>
        </w:rPr>
      </w:pPr>
      <w:r>
        <w:rPr>
          <w:sz w:val="18"/>
        </w:rPr>
        <w:t>DELWP, 2016. </w:t>
      </w:r>
      <w:r>
        <w:rPr>
          <w:i/>
          <w:sz w:val="18"/>
        </w:rPr>
        <w:t>f-factor Incentive Scheme: Regulatory Impact Statement. </w:t>
      </w:r>
      <w:r>
        <w:rPr>
          <w:sz w:val="18"/>
        </w:rPr>
        <w:t>[Online]</w:t>
      </w:r>
      <w:r>
        <w:rPr>
          <w:spacing w:val="40"/>
          <w:sz w:val="18"/>
        </w:rPr>
        <w:t> </w:t>
      </w:r>
      <w:r>
        <w:rPr>
          <w:sz w:val="18"/>
        </w:rPr>
        <w:t>Available at: </w:t>
      </w:r>
      <w:r>
        <w:rPr>
          <w:spacing w:val="-2"/>
          <w:sz w:val="18"/>
        </w:rPr>
        <w:t>https:/</w:t>
      </w:r>
      <w:hyperlink r:id="rId83">
        <w:r>
          <w:rPr>
            <w:spacing w:val="-2"/>
            <w:sz w:val="18"/>
          </w:rPr>
          <w:t>/www.e</w:t>
        </w:r>
      </w:hyperlink>
      <w:r>
        <w:rPr>
          <w:spacing w:val="-2"/>
          <w:sz w:val="18"/>
        </w:rPr>
        <w:t>n</w:t>
      </w:r>
      <w:hyperlink r:id="rId83">
        <w:r>
          <w:rPr>
            <w:spacing w:val="-2"/>
            <w:sz w:val="18"/>
          </w:rPr>
          <w:t>ergy.vic.gov.au/data/assets/pdffile/0022/44419/f-factorRegulatoryImpactStatmentOct16.pdf</w:t>
        </w:r>
      </w:hyperlink>
      <w:r>
        <w:rPr>
          <w:spacing w:val="-2"/>
          <w:sz w:val="18"/>
        </w:rPr>
        <w:t> </w:t>
      </w:r>
      <w:r>
        <w:rPr>
          <w:sz w:val="18"/>
        </w:rPr>
        <w:t>[Accessed 12 September 2017].</w:t>
      </w:r>
    </w:p>
    <w:p>
      <w:pPr>
        <w:spacing w:before="80"/>
        <w:ind w:left="232" w:right="0" w:firstLine="0"/>
        <w:jc w:val="left"/>
        <w:rPr>
          <w:sz w:val="18"/>
        </w:rPr>
      </w:pPr>
      <w:r>
        <w:rPr>
          <w:sz w:val="18"/>
        </w:rPr>
        <w:t>Electrical</w:t>
      </w:r>
      <w:r>
        <w:rPr>
          <w:spacing w:val="-4"/>
          <w:sz w:val="18"/>
        </w:rPr>
        <w:t> </w:t>
      </w:r>
      <w:r>
        <w:rPr>
          <w:sz w:val="18"/>
        </w:rPr>
        <w:t>Trades</w:t>
      </w:r>
      <w:r>
        <w:rPr>
          <w:spacing w:val="-6"/>
          <w:sz w:val="18"/>
        </w:rPr>
        <w:t> </w:t>
      </w:r>
      <w:r>
        <w:rPr>
          <w:sz w:val="18"/>
        </w:rPr>
        <w:t>Union,</w:t>
      </w:r>
      <w:r>
        <w:rPr>
          <w:spacing w:val="-3"/>
          <w:sz w:val="18"/>
        </w:rPr>
        <w:t> </w:t>
      </w:r>
      <w:r>
        <w:rPr>
          <w:sz w:val="18"/>
        </w:rPr>
        <w:t>2017.</w:t>
      </w:r>
      <w:r>
        <w:rPr>
          <w:spacing w:val="-3"/>
          <w:sz w:val="18"/>
        </w:rPr>
        <w:t> </w:t>
      </w:r>
      <w:r>
        <w:rPr>
          <w:i/>
          <w:sz w:val="18"/>
        </w:rPr>
        <w:t>ETU</w:t>
      </w:r>
      <w:r>
        <w:rPr>
          <w:i/>
          <w:spacing w:val="-4"/>
          <w:sz w:val="18"/>
        </w:rPr>
        <w:t> </w:t>
      </w:r>
      <w:r>
        <w:rPr>
          <w:i/>
          <w:sz w:val="18"/>
        </w:rPr>
        <w:t>Submission</w:t>
      </w:r>
      <w:r>
        <w:rPr>
          <w:i/>
          <w:spacing w:val="-3"/>
          <w:sz w:val="18"/>
        </w:rPr>
        <w:t> </w:t>
      </w:r>
      <w:r>
        <w:rPr>
          <w:i/>
          <w:sz w:val="18"/>
        </w:rPr>
        <w:t>to</w:t>
      </w:r>
      <w:r>
        <w:rPr>
          <w:i/>
          <w:spacing w:val="-6"/>
          <w:sz w:val="18"/>
        </w:rPr>
        <w:t> </w:t>
      </w:r>
      <w:r>
        <w:rPr>
          <w:i/>
          <w:sz w:val="18"/>
        </w:rPr>
        <w:t>the</w:t>
      </w:r>
      <w:r>
        <w:rPr>
          <w:i/>
          <w:spacing w:val="-3"/>
          <w:sz w:val="18"/>
        </w:rPr>
        <w:t> </w:t>
      </w:r>
      <w:r>
        <w:rPr>
          <w:i/>
          <w:sz w:val="18"/>
        </w:rPr>
        <w:t>Review,</w:t>
      </w:r>
      <w:r>
        <w:rPr>
          <w:i/>
          <w:spacing w:val="-2"/>
          <w:sz w:val="18"/>
        </w:rPr>
        <w:t> </w:t>
      </w:r>
      <w:r>
        <w:rPr>
          <w:spacing w:val="-2"/>
          <w:sz w:val="18"/>
        </w:rPr>
        <w:t>Melbourne.</w:t>
      </w:r>
    </w:p>
    <w:p>
      <w:pPr>
        <w:spacing w:line="285" w:lineRule="auto" w:before="123"/>
        <w:ind w:left="232" w:right="320" w:firstLine="0"/>
        <w:jc w:val="left"/>
        <w:rPr>
          <w:sz w:val="18"/>
        </w:rPr>
      </w:pPr>
      <w:r>
        <w:rPr>
          <w:sz w:val="18"/>
        </w:rPr>
        <w:t>Farrier</w:t>
      </w:r>
      <w:r>
        <w:rPr>
          <w:spacing w:val="-3"/>
          <w:sz w:val="18"/>
        </w:rPr>
        <w:t> </w:t>
      </w:r>
      <w:r>
        <w:rPr>
          <w:sz w:val="18"/>
        </w:rPr>
        <w:t>Swier</w:t>
      </w:r>
      <w:r>
        <w:rPr>
          <w:spacing w:val="-3"/>
          <w:sz w:val="18"/>
        </w:rPr>
        <w:t> </w:t>
      </w:r>
      <w:r>
        <w:rPr>
          <w:sz w:val="18"/>
        </w:rPr>
        <w:t>Consulting,</w:t>
      </w:r>
      <w:r>
        <w:rPr>
          <w:spacing w:val="-3"/>
          <w:sz w:val="18"/>
        </w:rPr>
        <w:t> </w:t>
      </w:r>
      <w:r>
        <w:rPr>
          <w:sz w:val="18"/>
        </w:rPr>
        <w:t>2016.</w:t>
      </w:r>
      <w:r>
        <w:rPr>
          <w:spacing w:val="-3"/>
          <w:sz w:val="18"/>
        </w:rPr>
        <w:t> </w:t>
      </w:r>
      <w:r>
        <w:rPr>
          <w:sz w:val="18"/>
        </w:rPr>
        <w:t>Issues Paper,</w:t>
      </w:r>
      <w:r>
        <w:rPr>
          <w:spacing w:val="-3"/>
          <w:sz w:val="18"/>
        </w:rPr>
        <w:t> </w:t>
      </w:r>
      <w:r>
        <w:rPr>
          <w:sz w:val="18"/>
        </w:rPr>
        <w:t>Incentive</w:t>
      </w:r>
      <w:r>
        <w:rPr>
          <w:spacing w:val="-3"/>
          <w:sz w:val="18"/>
        </w:rPr>
        <w:t> </w:t>
      </w:r>
      <w:r>
        <w:rPr>
          <w:sz w:val="18"/>
        </w:rPr>
        <w:t>Mechanisms</w:t>
      </w:r>
      <w:r>
        <w:rPr>
          <w:spacing w:val="-2"/>
          <w:sz w:val="18"/>
        </w:rPr>
        <w:t> </w:t>
      </w:r>
      <w:r>
        <w:rPr>
          <w:sz w:val="18"/>
        </w:rPr>
        <w:t>for</w:t>
      </w:r>
      <w:r>
        <w:rPr>
          <w:spacing w:val="-5"/>
          <w:sz w:val="18"/>
        </w:rPr>
        <w:t> </w:t>
      </w:r>
      <w:r>
        <w:rPr>
          <w:sz w:val="18"/>
        </w:rPr>
        <w:t>the</w:t>
      </w:r>
      <w:r>
        <w:rPr>
          <w:spacing w:val="-3"/>
          <w:sz w:val="18"/>
        </w:rPr>
        <w:t> </w:t>
      </w:r>
      <w:r>
        <w:rPr>
          <w:sz w:val="18"/>
        </w:rPr>
        <w:t>Victorian</w:t>
      </w:r>
      <w:r>
        <w:rPr>
          <w:spacing w:val="-3"/>
          <w:sz w:val="18"/>
        </w:rPr>
        <w:t> </w:t>
      </w:r>
      <w:r>
        <w:rPr>
          <w:sz w:val="18"/>
        </w:rPr>
        <w:t>Gas</w:t>
      </w:r>
      <w:r>
        <w:rPr>
          <w:spacing w:val="-4"/>
          <w:sz w:val="18"/>
        </w:rPr>
        <w:t> </w:t>
      </w:r>
      <w:r>
        <w:rPr>
          <w:sz w:val="18"/>
        </w:rPr>
        <w:t>Distribution</w:t>
      </w:r>
      <w:r>
        <w:rPr>
          <w:spacing w:val="-3"/>
          <w:sz w:val="18"/>
        </w:rPr>
        <w:t> </w:t>
      </w:r>
      <w:r>
        <w:rPr>
          <w:sz w:val="18"/>
        </w:rPr>
        <w:t>Business. </w:t>
      </w:r>
      <w:r>
        <w:rPr>
          <w:i/>
          <w:sz w:val="18"/>
        </w:rPr>
        <w:t>2018</w:t>
      </w:r>
      <w:r>
        <w:rPr>
          <w:i/>
          <w:spacing w:val="-3"/>
          <w:sz w:val="18"/>
        </w:rPr>
        <w:t> </w:t>
      </w:r>
      <w:r>
        <w:rPr>
          <w:i/>
          <w:sz w:val="18"/>
        </w:rPr>
        <w:t>to 2022 Gas Access Arrangement Review, </w:t>
      </w:r>
      <w:r>
        <w:rPr>
          <w:sz w:val="18"/>
        </w:rPr>
        <w:t>pp. 1-53.</w:t>
      </w:r>
    </w:p>
    <w:p>
      <w:pPr>
        <w:spacing w:before="83"/>
        <w:ind w:left="232" w:right="0" w:firstLine="0"/>
        <w:jc w:val="left"/>
        <w:rPr>
          <w:sz w:val="18"/>
        </w:rPr>
      </w:pPr>
      <w:r>
        <w:rPr>
          <w:sz w:val="18"/>
        </w:rPr>
        <w:t>Finkel,</w:t>
      </w:r>
      <w:r>
        <w:rPr>
          <w:spacing w:val="-4"/>
          <w:sz w:val="18"/>
        </w:rPr>
        <w:t> </w:t>
      </w:r>
      <w:r>
        <w:rPr>
          <w:sz w:val="18"/>
        </w:rPr>
        <w:t>A.,</w:t>
      </w:r>
      <w:r>
        <w:rPr>
          <w:spacing w:val="-3"/>
          <w:sz w:val="18"/>
        </w:rPr>
        <w:t> </w:t>
      </w:r>
      <w:r>
        <w:rPr>
          <w:sz w:val="18"/>
        </w:rPr>
        <w:t>2017.</w:t>
      </w:r>
      <w:r>
        <w:rPr>
          <w:spacing w:val="-2"/>
          <w:sz w:val="18"/>
        </w:rPr>
        <w:t> </w:t>
      </w:r>
      <w:r>
        <w:rPr>
          <w:i/>
          <w:sz w:val="18"/>
        </w:rPr>
        <w:t>Independent</w:t>
      </w:r>
      <w:r>
        <w:rPr>
          <w:i/>
          <w:spacing w:val="-5"/>
          <w:sz w:val="18"/>
        </w:rPr>
        <w:t> </w:t>
      </w:r>
      <w:r>
        <w:rPr>
          <w:i/>
          <w:sz w:val="18"/>
        </w:rPr>
        <w:t>Review</w:t>
      </w:r>
      <w:r>
        <w:rPr>
          <w:i/>
          <w:spacing w:val="-6"/>
          <w:sz w:val="18"/>
        </w:rPr>
        <w:t> </w:t>
      </w:r>
      <w:r>
        <w:rPr>
          <w:i/>
          <w:sz w:val="18"/>
        </w:rPr>
        <w:t>into</w:t>
      </w:r>
      <w:r>
        <w:rPr>
          <w:i/>
          <w:spacing w:val="-6"/>
          <w:sz w:val="18"/>
        </w:rPr>
        <w:t> </w:t>
      </w:r>
      <w:r>
        <w:rPr>
          <w:i/>
          <w:sz w:val="18"/>
        </w:rPr>
        <w:t>the</w:t>
      </w:r>
      <w:r>
        <w:rPr>
          <w:i/>
          <w:spacing w:val="-5"/>
          <w:sz w:val="18"/>
        </w:rPr>
        <w:t> </w:t>
      </w:r>
      <w:r>
        <w:rPr>
          <w:i/>
          <w:sz w:val="18"/>
        </w:rPr>
        <w:t>Future</w:t>
      </w:r>
      <w:r>
        <w:rPr>
          <w:i/>
          <w:spacing w:val="-3"/>
          <w:sz w:val="18"/>
        </w:rPr>
        <w:t> </w:t>
      </w:r>
      <w:r>
        <w:rPr>
          <w:i/>
          <w:sz w:val="18"/>
        </w:rPr>
        <w:t>Security</w:t>
      </w:r>
      <w:r>
        <w:rPr>
          <w:i/>
          <w:spacing w:val="-3"/>
          <w:sz w:val="18"/>
        </w:rPr>
        <w:t> </w:t>
      </w:r>
      <w:r>
        <w:rPr>
          <w:i/>
          <w:sz w:val="18"/>
        </w:rPr>
        <w:t>of</w:t>
      </w:r>
      <w:r>
        <w:rPr>
          <w:i/>
          <w:spacing w:val="-3"/>
          <w:sz w:val="18"/>
        </w:rPr>
        <w:t> </w:t>
      </w:r>
      <w:r>
        <w:rPr>
          <w:i/>
          <w:sz w:val="18"/>
        </w:rPr>
        <w:t>the</w:t>
      </w:r>
      <w:r>
        <w:rPr>
          <w:i/>
          <w:spacing w:val="-4"/>
          <w:sz w:val="18"/>
        </w:rPr>
        <w:t> </w:t>
      </w:r>
      <w:r>
        <w:rPr>
          <w:i/>
          <w:sz w:val="18"/>
        </w:rPr>
        <w:t>National</w:t>
      </w:r>
      <w:r>
        <w:rPr>
          <w:i/>
          <w:spacing w:val="-3"/>
          <w:sz w:val="18"/>
        </w:rPr>
        <w:t> </w:t>
      </w:r>
      <w:r>
        <w:rPr>
          <w:i/>
          <w:sz w:val="18"/>
        </w:rPr>
        <w:t>Electricity</w:t>
      </w:r>
      <w:r>
        <w:rPr>
          <w:i/>
          <w:spacing w:val="-3"/>
          <w:sz w:val="18"/>
        </w:rPr>
        <w:t> </w:t>
      </w:r>
      <w:r>
        <w:rPr>
          <w:i/>
          <w:spacing w:val="-2"/>
          <w:sz w:val="18"/>
        </w:rPr>
        <w:t>Market</w:t>
      </w:r>
      <w:r>
        <w:rPr>
          <w:spacing w:val="-2"/>
          <w:sz w:val="18"/>
        </w:rPr>
        <w:t>.</w:t>
      </w:r>
    </w:p>
    <w:p>
      <w:pPr>
        <w:spacing w:line="381" w:lineRule="auto" w:before="122"/>
        <w:ind w:left="232" w:right="951" w:firstLine="0"/>
        <w:jc w:val="left"/>
        <w:rPr>
          <w:i/>
          <w:sz w:val="18"/>
        </w:rPr>
      </w:pPr>
      <w:r>
        <w:rPr>
          <w:sz w:val="18"/>
        </w:rPr>
        <w:t>Multinet</w:t>
      </w:r>
      <w:r>
        <w:rPr>
          <w:spacing w:val="-3"/>
          <w:sz w:val="18"/>
        </w:rPr>
        <w:t> </w:t>
      </w:r>
      <w:r>
        <w:rPr>
          <w:sz w:val="18"/>
        </w:rPr>
        <w:t>Gas,</w:t>
      </w:r>
      <w:r>
        <w:rPr>
          <w:spacing w:val="-4"/>
          <w:sz w:val="18"/>
        </w:rPr>
        <w:t> </w:t>
      </w:r>
      <w:r>
        <w:rPr>
          <w:sz w:val="18"/>
        </w:rPr>
        <w:t>2017. </w:t>
      </w:r>
      <w:r>
        <w:rPr>
          <w:i/>
          <w:sz w:val="18"/>
        </w:rPr>
        <w:t>Review</w:t>
      </w:r>
      <w:r>
        <w:rPr>
          <w:i/>
          <w:spacing w:val="-2"/>
          <w:sz w:val="18"/>
        </w:rPr>
        <w:t> </w:t>
      </w:r>
      <w:r>
        <w:rPr>
          <w:i/>
          <w:sz w:val="18"/>
        </w:rPr>
        <w:t>of</w:t>
      </w:r>
      <w:r>
        <w:rPr>
          <w:i/>
          <w:spacing w:val="-6"/>
          <w:sz w:val="18"/>
        </w:rPr>
        <w:t> </w:t>
      </w:r>
      <w:r>
        <w:rPr>
          <w:i/>
          <w:sz w:val="18"/>
        </w:rPr>
        <w:t>Victoria’s</w:t>
      </w:r>
      <w:r>
        <w:rPr>
          <w:i/>
          <w:spacing w:val="-1"/>
          <w:sz w:val="18"/>
        </w:rPr>
        <w:t> </w:t>
      </w:r>
      <w:r>
        <w:rPr>
          <w:i/>
          <w:sz w:val="18"/>
        </w:rPr>
        <w:t>Gas</w:t>
      </w:r>
      <w:r>
        <w:rPr>
          <w:i/>
          <w:spacing w:val="-1"/>
          <w:sz w:val="18"/>
        </w:rPr>
        <w:t> </w:t>
      </w:r>
      <w:r>
        <w:rPr>
          <w:i/>
          <w:sz w:val="18"/>
        </w:rPr>
        <w:t>Network</w:t>
      </w:r>
      <w:r>
        <w:rPr>
          <w:i/>
          <w:spacing w:val="-4"/>
          <w:sz w:val="18"/>
        </w:rPr>
        <w:t> </w:t>
      </w:r>
      <w:r>
        <w:rPr>
          <w:i/>
          <w:sz w:val="18"/>
        </w:rPr>
        <w:t>Safety</w:t>
      </w:r>
      <w:r>
        <w:rPr>
          <w:i/>
          <w:spacing w:val="-3"/>
          <w:sz w:val="18"/>
        </w:rPr>
        <w:t> </w:t>
      </w:r>
      <w:r>
        <w:rPr>
          <w:i/>
          <w:sz w:val="18"/>
        </w:rPr>
        <w:t>Framework:</w:t>
      </w:r>
      <w:r>
        <w:rPr>
          <w:i/>
          <w:spacing w:val="-2"/>
          <w:sz w:val="18"/>
        </w:rPr>
        <w:t> </w:t>
      </w:r>
      <w:r>
        <w:rPr>
          <w:i/>
          <w:sz w:val="18"/>
        </w:rPr>
        <w:t>Issues</w:t>
      </w:r>
      <w:r>
        <w:rPr>
          <w:i/>
          <w:spacing w:val="-4"/>
          <w:sz w:val="18"/>
        </w:rPr>
        <w:t> </w:t>
      </w:r>
      <w:r>
        <w:rPr>
          <w:i/>
          <w:sz w:val="18"/>
        </w:rPr>
        <w:t>for</w:t>
      </w:r>
      <w:r>
        <w:rPr>
          <w:i/>
          <w:spacing w:val="-4"/>
          <w:sz w:val="18"/>
        </w:rPr>
        <w:t> </w:t>
      </w:r>
      <w:r>
        <w:rPr>
          <w:i/>
          <w:sz w:val="18"/>
        </w:rPr>
        <w:t>consideration,</w:t>
      </w:r>
      <w:r>
        <w:rPr>
          <w:i/>
          <w:spacing w:val="-2"/>
          <w:sz w:val="18"/>
        </w:rPr>
        <w:t> </w:t>
      </w:r>
      <w:r>
        <w:rPr>
          <w:sz w:val="18"/>
        </w:rPr>
        <w:t>Melbourne. R2A, 2017. </w:t>
      </w:r>
      <w:r>
        <w:rPr>
          <w:i/>
          <w:sz w:val="18"/>
        </w:rPr>
        <w:t>R2A’s Response to the Review of Victoria’s Electricity Network Safety Framework.</w:t>
      </w:r>
    </w:p>
    <w:p>
      <w:pPr>
        <w:spacing w:line="206" w:lineRule="exact" w:before="0"/>
        <w:ind w:left="232" w:right="0" w:firstLine="0"/>
        <w:jc w:val="left"/>
        <w:rPr>
          <w:i/>
          <w:sz w:val="18"/>
        </w:rPr>
      </w:pPr>
      <w:r>
        <w:rPr>
          <w:sz w:val="18"/>
        </w:rPr>
        <w:t>United</w:t>
      </w:r>
      <w:r>
        <w:rPr>
          <w:spacing w:val="-5"/>
          <w:sz w:val="18"/>
        </w:rPr>
        <w:t> </w:t>
      </w:r>
      <w:r>
        <w:rPr>
          <w:sz w:val="18"/>
        </w:rPr>
        <w:t>Energy,</w:t>
      </w:r>
      <w:r>
        <w:rPr>
          <w:spacing w:val="-4"/>
          <w:sz w:val="18"/>
        </w:rPr>
        <w:t> </w:t>
      </w:r>
      <w:r>
        <w:rPr>
          <w:sz w:val="18"/>
        </w:rPr>
        <w:t>2017.</w:t>
      </w:r>
      <w:r>
        <w:rPr>
          <w:spacing w:val="-2"/>
          <w:sz w:val="18"/>
        </w:rPr>
        <w:t> </w:t>
      </w:r>
      <w:r>
        <w:rPr>
          <w:i/>
          <w:sz w:val="18"/>
        </w:rPr>
        <w:t>United</w:t>
      </w:r>
      <w:r>
        <w:rPr>
          <w:i/>
          <w:spacing w:val="-4"/>
          <w:sz w:val="18"/>
        </w:rPr>
        <w:t> </w:t>
      </w:r>
      <w:r>
        <w:rPr>
          <w:i/>
          <w:sz w:val="18"/>
        </w:rPr>
        <w:t>Energy</w:t>
      </w:r>
      <w:r>
        <w:rPr>
          <w:i/>
          <w:spacing w:val="-6"/>
          <w:sz w:val="18"/>
        </w:rPr>
        <w:t> </w:t>
      </w:r>
      <w:r>
        <w:rPr>
          <w:i/>
          <w:sz w:val="18"/>
        </w:rPr>
        <w:t>Submission</w:t>
      </w:r>
      <w:r>
        <w:rPr>
          <w:i/>
          <w:spacing w:val="-5"/>
          <w:sz w:val="18"/>
        </w:rPr>
        <w:t> </w:t>
      </w:r>
      <w:r>
        <w:rPr>
          <w:i/>
          <w:sz w:val="18"/>
        </w:rPr>
        <w:t>on</w:t>
      </w:r>
      <w:r>
        <w:rPr>
          <w:i/>
          <w:spacing w:val="-4"/>
          <w:sz w:val="18"/>
        </w:rPr>
        <w:t> </w:t>
      </w:r>
      <w:r>
        <w:rPr>
          <w:i/>
          <w:sz w:val="18"/>
        </w:rPr>
        <w:t>Review</w:t>
      </w:r>
      <w:r>
        <w:rPr>
          <w:i/>
          <w:spacing w:val="-7"/>
          <w:sz w:val="18"/>
        </w:rPr>
        <w:t> </w:t>
      </w:r>
      <w:r>
        <w:rPr>
          <w:i/>
          <w:sz w:val="18"/>
        </w:rPr>
        <w:t>of</w:t>
      </w:r>
      <w:r>
        <w:rPr>
          <w:i/>
          <w:spacing w:val="-4"/>
          <w:sz w:val="18"/>
        </w:rPr>
        <w:t> </w:t>
      </w:r>
      <w:r>
        <w:rPr>
          <w:i/>
          <w:sz w:val="18"/>
        </w:rPr>
        <w:t>Victoria’s</w:t>
      </w:r>
      <w:r>
        <w:rPr>
          <w:i/>
          <w:spacing w:val="-4"/>
          <w:sz w:val="18"/>
        </w:rPr>
        <w:t> </w:t>
      </w:r>
      <w:r>
        <w:rPr>
          <w:i/>
          <w:sz w:val="18"/>
        </w:rPr>
        <w:t>Electricity</w:t>
      </w:r>
      <w:r>
        <w:rPr>
          <w:i/>
          <w:spacing w:val="-3"/>
          <w:sz w:val="18"/>
        </w:rPr>
        <w:t> </w:t>
      </w:r>
      <w:r>
        <w:rPr>
          <w:i/>
          <w:sz w:val="18"/>
        </w:rPr>
        <w:t>Network</w:t>
      </w:r>
      <w:r>
        <w:rPr>
          <w:i/>
          <w:spacing w:val="-4"/>
          <w:sz w:val="18"/>
        </w:rPr>
        <w:t> </w:t>
      </w:r>
      <w:r>
        <w:rPr>
          <w:i/>
          <w:sz w:val="18"/>
        </w:rPr>
        <w:t>Safety</w:t>
      </w:r>
      <w:r>
        <w:rPr>
          <w:i/>
          <w:spacing w:val="-3"/>
          <w:sz w:val="18"/>
        </w:rPr>
        <w:t> </w:t>
      </w:r>
      <w:r>
        <w:rPr>
          <w:i/>
          <w:spacing w:val="-2"/>
          <w:sz w:val="18"/>
        </w:rPr>
        <w:t>Framework,</w:t>
      </w:r>
    </w:p>
    <w:p>
      <w:pPr>
        <w:spacing w:before="40"/>
        <w:ind w:left="232" w:right="0" w:firstLine="0"/>
        <w:jc w:val="left"/>
        <w:rPr>
          <w:sz w:val="18"/>
        </w:rPr>
      </w:pPr>
      <w:r>
        <w:rPr>
          <w:spacing w:val="-2"/>
          <w:sz w:val="18"/>
        </w:rPr>
        <w:t>Melbourne.</w:t>
      </w:r>
    </w:p>
    <w:p>
      <w:pPr>
        <w:spacing w:after="0"/>
        <w:jc w:val="left"/>
        <w:rPr>
          <w:sz w:val="18"/>
        </w:rPr>
        <w:sectPr>
          <w:pgSz w:w="11910" w:h="16850"/>
          <w:pgMar w:header="220" w:footer="678" w:top="420" w:bottom="860" w:left="900" w:right="840"/>
        </w:sectPr>
      </w:pPr>
    </w:p>
    <w:p>
      <w:pPr>
        <w:pStyle w:val="BodyText"/>
        <w:rPr>
          <w:sz w:val="20"/>
        </w:rPr>
      </w:pPr>
    </w:p>
    <w:p>
      <w:pPr>
        <w:pStyle w:val="BodyText"/>
        <w:spacing w:before="10"/>
        <w:rPr>
          <w:sz w:val="19"/>
        </w:rPr>
      </w:pPr>
    </w:p>
    <w:p>
      <w:pPr>
        <w:pStyle w:val="Heading3"/>
      </w:pPr>
      <w:bookmarkStart w:name="_bookmark11" w:id="12"/>
      <w:bookmarkEnd w:id="12"/>
      <w:r>
        <w:rPr>
          <w:b w:val="0"/>
        </w:rPr>
      </w:r>
      <w:r>
        <w:rPr>
          <w:color w:val="00B1A9"/>
        </w:rPr>
        <w:t>Chapter</w:t>
      </w:r>
      <w:r>
        <w:rPr>
          <w:color w:val="00B1A9"/>
          <w:spacing w:val="-10"/>
        </w:rPr>
        <w:t> </w:t>
      </w:r>
      <w:r>
        <w:rPr>
          <w:color w:val="00B1A9"/>
        </w:rPr>
        <w:t>5:</w:t>
      </w:r>
      <w:r>
        <w:rPr>
          <w:color w:val="00B1A9"/>
          <w:spacing w:val="-7"/>
        </w:rPr>
        <w:t> </w:t>
      </w:r>
      <w:r>
        <w:rPr>
          <w:color w:val="00B1A9"/>
        </w:rPr>
        <w:t>Promoting</w:t>
      </w:r>
      <w:r>
        <w:rPr>
          <w:color w:val="00B1A9"/>
          <w:spacing w:val="-8"/>
        </w:rPr>
        <w:t> </w:t>
      </w:r>
      <w:r>
        <w:rPr>
          <w:color w:val="00B1A9"/>
        </w:rPr>
        <w:t>Workforce</w:t>
      </w:r>
      <w:r>
        <w:rPr>
          <w:color w:val="00B1A9"/>
          <w:spacing w:val="-7"/>
        </w:rPr>
        <w:t> </w:t>
      </w:r>
      <w:r>
        <w:rPr>
          <w:color w:val="00B1A9"/>
          <w:spacing w:val="-2"/>
        </w:rPr>
        <w:t>Engagement</w:t>
      </w:r>
    </w:p>
    <w:p>
      <w:pPr>
        <w:pStyle w:val="BodyText"/>
        <w:rPr>
          <w:b/>
          <w:sz w:val="20"/>
        </w:rPr>
      </w:pPr>
    </w:p>
    <w:p>
      <w:pPr>
        <w:pStyle w:val="BodyText"/>
        <w:spacing w:before="10"/>
        <w:rPr>
          <w:b/>
          <w:sz w:val="21"/>
        </w:rPr>
      </w:pPr>
    </w:p>
    <w:p>
      <w:pPr>
        <w:pStyle w:val="Heading4"/>
        <w:ind w:left="374"/>
      </w:pPr>
      <w:r>
        <w:rPr/>
        <mc:AlternateContent>
          <mc:Choice Requires="wps">
            <w:drawing>
              <wp:anchor distT="0" distB="0" distL="0" distR="0" allowOverlap="1" layoutInCell="1" locked="0" behindDoc="1" simplePos="0" relativeHeight="482728448">
                <wp:simplePos x="0" y="0"/>
                <wp:positionH relativeFrom="page">
                  <wp:posOffset>719327</wp:posOffset>
                </wp:positionH>
                <wp:positionV relativeFrom="paragraph">
                  <wp:posOffset>-96039</wp:posOffset>
                </wp:positionV>
                <wp:extent cx="5870575" cy="5518150"/>
                <wp:effectExtent l="0" t="0" r="0" b="0"/>
                <wp:wrapNone/>
                <wp:docPr id="160" name="Graphic 160"/>
                <wp:cNvGraphicFramePr>
                  <a:graphicFrameLocks/>
                </wp:cNvGraphicFramePr>
                <a:graphic>
                  <a:graphicData uri="http://schemas.microsoft.com/office/word/2010/wordprocessingShape">
                    <wps:wsp>
                      <wps:cNvPr id="160" name="Graphic 160"/>
                      <wps:cNvSpPr/>
                      <wps:spPr>
                        <a:xfrm>
                          <a:off x="0" y="0"/>
                          <a:ext cx="5870575" cy="5518150"/>
                        </a:xfrm>
                        <a:custGeom>
                          <a:avLst/>
                          <a:gdLst/>
                          <a:ahLst/>
                          <a:cxnLst/>
                          <a:rect l="l" t="t" r="r" b="b"/>
                          <a:pathLst>
                            <a:path w="5870575" h="5518150">
                              <a:moveTo>
                                <a:pt x="5870194" y="0"/>
                              </a:moveTo>
                              <a:lnTo>
                                <a:pt x="0" y="0"/>
                              </a:lnTo>
                              <a:lnTo>
                                <a:pt x="0" y="5517769"/>
                              </a:lnTo>
                              <a:lnTo>
                                <a:pt x="5870194" y="5517769"/>
                              </a:lnTo>
                              <a:lnTo>
                                <a:pt x="5870194"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56.639999pt;margin-top:-7.562195pt;width:462.22pt;height:434.47pt;mso-position-horizontal-relative:page;mso-position-vertical-relative:paragraph;z-index:-20588032" id="docshape143" filled="true" fillcolor="#d9d9d9" stroked="false">
                <v:fill type="solid"/>
                <w10:wrap type="none"/>
              </v:rect>
            </w:pict>
          </mc:Fallback>
        </mc:AlternateContent>
      </w:r>
      <w:r>
        <w:rPr>
          <w:color w:val="585858"/>
          <w:spacing w:val="-2"/>
        </w:rPr>
        <w:t>Summary</w:t>
      </w:r>
    </w:p>
    <w:p>
      <w:pPr>
        <w:pStyle w:val="BodyText"/>
        <w:spacing w:line="288" w:lineRule="auto" w:before="314"/>
        <w:ind w:left="345" w:right="951"/>
      </w:pPr>
      <w:r>
        <w:rPr/>
        <w:t>Organisations</w:t>
      </w:r>
      <w:r>
        <w:rPr>
          <w:spacing w:val="-1"/>
        </w:rPr>
        <w:t> </w:t>
      </w:r>
      <w:r>
        <w:rPr/>
        <w:t>that</w:t>
      </w:r>
      <w:r>
        <w:rPr>
          <w:spacing w:val="-3"/>
        </w:rPr>
        <w:t> </w:t>
      </w:r>
      <w:r>
        <w:rPr/>
        <w:t>are</w:t>
      </w:r>
      <w:r>
        <w:rPr>
          <w:spacing w:val="-4"/>
        </w:rPr>
        <w:t> </w:t>
      </w:r>
      <w:r>
        <w:rPr/>
        <w:t>at</w:t>
      </w:r>
      <w:r>
        <w:rPr>
          <w:spacing w:val="-3"/>
        </w:rPr>
        <w:t> </w:t>
      </w:r>
      <w:r>
        <w:rPr/>
        <w:t>the</w:t>
      </w:r>
      <w:r>
        <w:rPr>
          <w:spacing w:val="-4"/>
        </w:rPr>
        <w:t> </w:t>
      </w:r>
      <w:r>
        <w:rPr/>
        <w:t>very</w:t>
      </w:r>
      <w:r>
        <w:rPr>
          <w:spacing w:val="-3"/>
        </w:rPr>
        <w:t> </w:t>
      </w:r>
      <w:r>
        <w:rPr/>
        <w:t>forefront of safety</w:t>
      </w:r>
      <w:r>
        <w:rPr>
          <w:spacing w:val="-4"/>
        </w:rPr>
        <w:t> </w:t>
      </w:r>
      <w:r>
        <w:rPr/>
        <w:t>management</w:t>
      </w:r>
      <w:r>
        <w:rPr>
          <w:spacing w:val="-3"/>
        </w:rPr>
        <w:t> </w:t>
      </w:r>
      <w:r>
        <w:rPr/>
        <w:t>make</w:t>
      </w:r>
      <w:r>
        <w:rPr>
          <w:spacing w:val="-4"/>
        </w:rPr>
        <w:t> </w:t>
      </w:r>
      <w:r>
        <w:rPr/>
        <w:t>sure</w:t>
      </w:r>
      <w:r>
        <w:rPr>
          <w:spacing w:val="-4"/>
        </w:rPr>
        <w:t> </w:t>
      </w:r>
      <w:r>
        <w:rPr/>
        <w:t>that</w:t>
      </w:r>
      <w:r>
        <w:rPr>
          <w:spacing w:val="-3"/>
        </w:rPr>
        <w:t> </w:t>
      </w:r>
      <w:r>
        <w:rPr/>
        <w:t>safety</w:t>
      </w:r>
      <w:r>
        <w:rPr>
          <w:spacing w:val="-4"/>
        </w:rPr>
        <w:t> </w:t>
      </w:r>
      <w:r>
        <w:rPr/>
        <w:t>is deeply embedded in their organisational cultures. It becomes part of what they “live and breathe” each day.</w:t>
      </w:r>
    </w:p>
    <w:p>
      <w:pPr>
        <w:pStyle w:val="BodyText"/>
        <w:spacing w:before="2"/>
      </w:pPr>
    </w:p>
    <w:p>
      <w:pPr>
        <w:pStyle w:val="ListParagraph"/>
        <w:numPr>
          <w:ilvl w:val="0"/>
          <w:numId w:val="56"/>
        </w:numPr>
        <w:tabs>
          <w:tab w:pos="876" w:val="left" w:leader="none"/>
        </w:tabs>
        <w:spacing w:line="288" w:lineRule="auto" w:before="0" w:after="0"/>
        <w:ind w:left="876" w:right="889" w:hanging="216"/>
        <w:jc w:val="left"/>
        <w:rPr>
          <w:sz w:val="22"/>
        </w:rPr>
      </w:pPr>
      <w:r>
        <w:rPr>
          <w:sz w:val="22"/>
        </w:rPr>
        <w:t>Safety</w:t>
      </w:r>
      <w:r>
        <w:rPr>
          <w:spacing w:val="-5"/>
          <w:sz w:val="22"/>
        </w:rPr>
        <w:t> </w:t>
      </w:r>
      <w:r>
        <w:rPr>
          <w:sz w:val="22"/>
        </w:rPr>
        <w:t>is</w:t>
      </w:r>
      <w:r>
        <w:rPr>
          <w:spacing w:val="-2"/>
          <w:sz w:val="22"/>
        </w:rPr>
        <w:t> </w:t>
      </w:r>
      <w:r>
        <w:rPr>
          <w:sz w:val="22"/>
        </w:rPr>
        <w:t>led</w:t>
      </w:r>
      <w:r>
        <w:rPr>
          <w:spacing w:val="-5"/>
          <w:sz w:val="22"/>
        </w:rPr>
        <w:t> </w:t>
      </w:r>
      <w:r>
        <w:rPr>
          <w:sz w:val="22"/>
        </w:rPr>
        <w:t>from</w:t>
      </w:r>
      <w:r>
        <w:rPr>
          <w:spacing w:val="-4"/>
          <w:sz w:val="22"/>
        </w:rPr>
        <w:t> </w:t>
      </w:r>
      <w:r>
        <w:rPr>
          <w:sz w:val="22"/>
        </w:rPr>
        <w:t>the</w:t>
      </w:r>
      <w:r>
        <w:rPr>
          <w:spacing w:val="-3"/>
          <w:sz w:val="22"/>
        </w:rPr>
        <w:t> </w:t>
      </w:r>
      <w:r>
        <w:rPr>
          <w:sz w:val="22"/>
        </w:rPr>
        <w:t>Board</w:t>
      </w:r>
      <w:r>
        <w:rPr>
          <w:spacing w:val="-2"/>
          <w:sz w:val="22"/>
        </w:rPr>
        <w:t> </w:t>
      </w:r>
      <w:r>
        <w:rPr>
          <w:sz w:val="22"/>
        </w:rPr>
        <w:t>and</w:t>
      </w:r>
      <w:r>
        <w:rPr>
          <w:spacing w:val="-5"/>
          <w:sz w:val="22"/>
        </w:rPr>
        <w:t> </w:t>
      </w:r>
      <w:r>
        <w:rPr>
          <w:sz w:val="22"/>
        </w:rPr>
        <w:t>Chief Executive</w:t>
      </w:r>
      <w:r>
        <w:rPr>
          <w:spacing w:val="-3"/>
          <w:sz w:val="22"/>
        </w:rPr>
        <w:t> </w:t>
      </w:r>
      <w:r>
        <w:rPr>
          <w:sz w:val="22"/>
        </w:rPr>
        <w:t>level</w:t>
      </w:r>
      <w:r>
        <w:rPr>
          <w:spacing w:val="-4"/>
          <w:sz w:val="22"/>
        </w:rPr>
        <w:t> </w:t>
      </w:r>
      <w:r>
        <w:rPr>
          <w:sz w:val="22"/>
        </w:rPr>
        <w:t>down,</w:t>
      </w:r>
      <w:r>
        <w:rPr>
          <w:spacing w:val="-2"/>
          <w:sz w:val="22"/>
        </w:rPr>
        <w:t> </w:t>
      </w:r>
      <w:r>
        <w:rPr>
          <w:sz w:val="22"/>
        </w:rPr>
        <w:t>and</w:t>
      </w:r>
      <w:r>
        <w:rPr>
          <w:spacing w:val="-3"/>
          <w:sz w:val="22"/>
        </w:rPr>
        <w:t> </w:t>
      </w:r>
      <w:r>
        <w:rPr>
          <w:sz w:val="22"/>
        </w:rPr>
        <w:t>it</w:t>
      </w:r>
      <w:r>
        <w:rPr>
          <w:spacing w:val="-4"/>
          <w:sz w:val="22"/>
        </w:rPr>
        <w:t> </w:t>
      </w:r>
      <w:r>
        <w:rPr>
          <w:sz w:val="22"/>
        </w:rPr>
        <w:t>permeates</w:t>
      </w:r>
      <w:r>
        <w:rPr>
          <w:spacing w:val="-2"/>
          <w:sz w:val="22"/>
        </w:rPr>
        <w:t> </w:t>
      </w:r>
      <w:r>
        <w:rPr>
          <w:sz w:val="22"/>
        </w:rPr>
        <w:t>virtually every aspect of the organisation.</w:t>
      </w:r>
    </w:p>
    <w:p>
      <w:pPr>
        <w:pStyle w:val="BodyText"/>
        <w:spacing w:before="8"/>
        <w:rPr>
          <w:sz w:val="20"/>
        </w:rPr>
      </w:pPr>
    </w:p>
    <w:p>
      <w:pPr>
        <w:pStyle w:val="BodyText"/>
        <w:spacing w:line="288" w:lineRule="auto"/>
        <w:ind w:left="345" w:right="784"/>
      </w:pPr>
      <w:r>
        <w:rPr/>
        <w:t>Strong</w:t>
      </w:r>
      <w:r>
        <w:rPr>
          <w:spacing w:val="-2"/>
        </w:rPr>
        <w:t> </w:t>
      </w:r>
      <w:r>
        <w:rPr/>
        <w:t>workforce</w:t>
      </w:r>
      <w:r>
        <w:rPr>
          <w:spacing w:val="-6"/>
        </w:rPr>
        <w:t> </w:t>
      </w:r>
      <w:r>
        <w:rPr/>
        <w:t>engagement</w:t>
      </w:r>
      <w:r>
        <w:rPr>
          <w:spacing w:val="-5"/>
        </w:rPr>
        <w:t> </w:t>
      </w:r>
      <w:r>
        <w:rPr/>
        <w:t>is</w:t>
      </w:r>
      <w:r>
        <w:rPr>
          <w:spacing w:val="-3"/>
        </w:rPr>
        <w:t> </w:t>
      </w:r>
      <w:r>
        <w:rPr/>
        <w:t>an</w:t>
      </w:r>
      <w:r>
        <w:rPr>
          <w:spacing w:val="-6"/>
        </w:rPr>
        <w:t> </w:t>
      </w:r>
      <w:r>
        <w:rPr/>
        <w:t>important</w:t>
      </w:r>
      <w:r>
        <w:rPr>
          <w:spacing w:val="-5"/>
        </w:rPr>
        <w:t> </w:t>
      </w:r>
      <w:r>
        <w:rPr/>
        <w:t>part</w:t>
      </w:r>
      <w:r>
        <w:rPr>
          <w:spacing w:val="-5"/>
        </w:rPr>
        <w:t> </w:t>
      </w:r>
      <w:r>
        <w:rPr/>
        <w:t>of</w:t>
      </w:r>
      <w:r>
        <w:rPr>
          <w:spacing w:val="-2"/>
        </w:rPr>
        <w:t> </w:t>
      </w:r>
      <w:r>
        <w:rPr/>
        <w:t>achieving</w:t>
      </w:r>
      <w:r>
        <w:rPr>
          <w:spacing w:val="-2"/>
        </w:rPr>
        <w:t> </w:t>
      </w:r>
      <w:r>
        <w:rPr/>
        <w:t>this</w:t>
      </w:r>
      <w:r>
        <w:rPr>
          <w:spacing w:val="-6"/>
        </w:rPr>
        <w:t> </w:t>
      </w:r>
      <w:r>
        <w:rPr/>
        <w:t>culture.</w:t>
      </w:r>
      <w:r>
        <w:rPr>
          <w:spacing w:val="-3"/>
        </w:rPr>
        <w:t> </w:t>
      </w:r>
      <w:r>
        <w:rPr/>
        <w:t>Employees</w:t>
      </w:r>
      <w:r>
        <w:rPr>
          <w:spacing w:val="-3"/>
        </w:rPr>
        <w:t> </w:t>
      </w:r>
      <w:r>
        <w:rPr/>
        <w:t>need to embrace a safety-first approach and they must be actively engaged in identifying and resolving safety risks.</w:t>
      </w:r>
    </w:p>
    <w:p>
      <w:pPr>
        <w:pStyle w:val="BodyText"/>
        <w:rPr>
          <w:sz w:val="21"/>
        </w:rPr>
      </w:pPr>
    </w:p>
    <w:p>
      <w:pPr>
        <w:pStyle w:val="BodyText"/>
        <w:spacing w:line="288" w:lineRule="auto"/>
        <w:ind w:left="345" w:right="868"/>
      </w:pPr>
      <w:r>
        <w:rPr/>
        <w:t>A</w:t>
      </w:r>
      <w:r>
        <w:rPr>
          <w:spacing w:val="-2"/>
        </w:rPr>
        <w:t> </w:t>
      </w:r>
      <w:r>
        <w:rPr/>
        <w:t>regulator’s</w:t>
      </w:r>
      <w:r>
        <w:rPr>
          <w:spacing w:val="-1"/>
        </w:rPr>
        <w:t> </w:t>
      </w:r>
      <w:r>
        <w:rPr/>
        <w:t>task is</w:t>
      </w:r>
      <w:r>
        <w:rPr>
          <w:spacing w:val="-4"/>
        </w:rPr>
        <w:t> </w:t>
      </w:r>
      <w:r>
        <w:rPr/>
        <w:t>to</w:t>
      </w:r>
      <w:r>
        <w:rPr>
          <w:spacing w:val="-4"/>
        </w:rPr>
        <w:t> </w:t>
      </w:r>
      <w:r>
        <w:rPr/>
        <w:t>ensure</w:t>
      </w:r>
      <w:r>
        <w:rPr>
          <w:spacing w:val="-4"/>
        </w:rPr>
        <w:t> </w:t>
      </w:r>
      <w:r>
        <w:rPr/>
        <w:t>that</w:t>
      </w:r>
      <w:r>
        <w:rPr>
          <w:spacing w:val="-3"/>
        </w:rPr>
        <w:t> </w:t>
      </w:r>
      <w:r>
        <w:rPr/>
        <w:t>regulated</w:t>
      </w:r>
      <w:r>
        <w:rPr>
          <w:spacing w:val="-2"/>
        </w:rPr>
        <w:t> </w:t>
      </w:r>
      <w:r>
        <w:rPr/>
        <w:t>businesses</w:t>
      </w:r>
      <w:r>
        <w:rPr>
          <w:spacing w:val="-1"/>
        </w:rPr>
        <w:t> </w:t>
      </w:r>
      <w:r>
        <w:rPr/>
        <w:t>have</w:t>
      </w:r>
      <w:r>
        <w:rPr>
          <w:spacing w:val="-2"/>
        </w:rPr>
        <w:t> </w:t>
      </w:r>
      <w:r>
        <w:rPr/>
        <w:t>the</w:t>
      </w:r>
      <w:r>
        <w:rPr>
          <w:spacing w:val="-4"/>
        </w:rPr>
        <w:t> </w:t>
      </w:r>
      <w:r>
        <w:rPr/>
        <w:t>systems</w:t>
      </w:r>
      <w:r>
        <w:rPr>
          <w:spacing w:val="-1"/>
        </w:rPr>
        <w:t> </w:t>
      </w:r>
      <w:r>
        <w:rPr/>
        <w:t>and</w:t>
      </w:r>
      <w:r>
        <w:rPr>
          <w:spacing w:val="-2"/>
        </w:rPr>
        <w:t> </w:t>
      </w:r>
      <w:r>
        <w:rPr/>
        <w:t>processes</w:t>
      </w:r>
      <w:r>
        <w:rPr>
          <w:spacing w:val="-2"/>
        </w:rPr>
        <w:t> </w:t>
      </w:r>
      <w:r>
        <w:rPr/>
        <w:t>– and the engagement mechanisms – to promote a strong safety culture.</w:t>
      </w:r>
    </w:p>
    <w:p>
      <w:pPr>
        <w:pStyle w:val="BodyText"/>
        <w:spacing w:before="10"/>
        <w:rPr>
          <w:sz w:val="20"/>
        </w:rPr>
      </w:pPr>
    </w:p>
    <w:p>
      <w:pPr>
        <w:pStyle w:val="BodyText"/>
        <w:spacing w:line="288" w:lineRule="auto" w:before="1"/>
        <w:ind w:left="345" w:right="951"/>
      </w:pPr>
      <w:r>
        <w:rPr/>
        <w:t>The</w:t>
      </w:r>
      <w:r>
        <w:rPr>
          <w:spacing w:val="-4"/>
        </w:rPr>
        <w:t> </w:t>
      </w:r>
      <w:r>
        <w:rPr/>
        <w:t>regulator</w:t>
      </w:r>
      <w:r>
        <w:rPr>
          <w:spacing w:val="-3"/>
        </w:rPr>
        <w:t> </w:t>
      </w:r>
      <w:r>
        <w:rPr/>
        <w:t>may</w:t>
      </w:r>
      <w:r>
        <w:rPr>
          <w:spacing w:val="-4"/>
        </w:rPr>
        <w:t> </w:t>
      </w:r>
      <w:r>
        <w:rPr/>
        <w:t>also</w:t>
      </w:r>
      <w:r>
        <w:rPr>
          <w:spacing w:val="-2"/>
        </w:rPr>
        <w:t> </w:t>
      </w:r>
      <w:r>
        <w:rPr/>
        <w:t>be</w:t>
      </w:r>
      <w:r>
        <w:rPr>
          <w:spacing w:val="-2"/>
        </w:rPr>
        <w:t> </w:t>
      </w:r>
      <w:r>
        <w:rPr/>
        <w:t>able</w:t>
      </w:r>
      <w:r>
        <w:rPr>
          <w:spacing w:val="-2"/>
        </w:rPr>
        <w:t> </w:t>
      </w:r>
      <w:r>
        <w:rPr/>
        <w:t>to</w:t>
      </w:r>
      <w:r>
        <w:rPr>
          <w:spacing w:val="-4"/>
        </w:rPr>
        <w:t> </w:t>
      </w:r>
      <w:r>
        <w:rPr/>
        <w:t>use</w:t>
      </w:r>
      <w:r>
        <w:rPr>
          <w:spacing w:val="-4"/>
        </w:rPr>
        <w:t> </w:t>
      </w:r>
      <w:r>
        <w:rPr/>
        <w:t>its</w:t>
      </w:r>
      <w:r>
        <w:rPr>
          <w:spacing w:val="-4"/>
        </w:rPr>
        <w:t> </w:t>
      </w:r>
      <w:r>
        <w:rPr/>
        <w:t>“convening</w:t>
      </w:r>
      <w:r>
        <w:rPr>
          <w:spacing w:val="-2"/>
        </w:rPr>
        <w:t> </w:t>
      </w:r>
      <w:r>
        <w:rPr/>
        <w:t>power” to</w:t>
      </w:r>
      <w:r>
        <w:rPr>
          <w:spacing w:val="-4"/>
        </w:rPr>
        <w:t> </w:t>
      </w:r>
      <w:r>
        <w:rPr/>
        <w:t>bring</w:t>
      </w:r>
      <w:r>
        <w:rPr>
          <w:spacing w:val="-2"/>
        </w:rPr>
        <w:t> </w:t>
      </w:r>
      <w:r>
        <w:rPr/>
        <w:t>together</w:t>
      </w:r>
      <w:r>
        <w:rPr>
          <w:spacing w:val="-1"/>
        </w:rPr>
        <w:t> </w:t>
      </w:r>
      <w:r>
        <w:rPr/>
        <w:t>different groups to develop and share best practice models.</w:t>
      </w:r>
    </w:p>
    <w:p>
      <w:pPr>
        <w:pStyle w:val="BodyText"/>
        <w:spacing w:before="9"/>
        <w:rPr>
          <w:sz w:val="20"/>
        </w:rPr>
      </w:pPr>
    </w:p>
    <w:p>
      <w:pPr>
        <w:pStyle w:val="BodyText"/>
        <w:spacing w:line="288" w:lineRule="auto" w:before="1"/>
        <w:ind w:left="345" w:right="951"/>
      </w:pPr>
      <w:r>
        <w:rPr/>
        <w:t>Front line workers maintaining gas and electricity networks can be a valuable source of advice</w:t>
      </w:r>
      <w:r>
        <w:rPr>
          <w:spacing w:val="-2"/>
        </w:rPr>
        <w:t> </w:t>
      </w:r>
      <w:r>
        <w:rPr/>
        <w:t>on</w:t>
      </w:r>
      <w:r>
        <w:rPr>
          <w:spacing w:val="-2"/>
        </w:rPr>
        <w:t> </w:t>
      </w:r>
      <w:r>
        <w:rPr/>
        <w:t>risks.</w:t>
      </w:r>
      <w:r>
        <w:rPr>
          <w:spacing w:val="-5"/>
        </w:rPr>
        <w:t> </w:t>
      </w:r>
      <w:r>
        <w:rPr/>
        <w:t>They</w:t>
      </w:r>
      <w:r>
        <w:rPr>
          <w:spacing w:val="-4"/>
        </w:rPr>
        <w:t> </w:t>
      </w:r>
      <w:r>
        <w:rPr/>
        <w:t>are</w:t>
      </w:r>
      <w:r>
        <w:rPr>
          <w:spacing w:val="-4"/>
        </w:rPr>
        <w:t> </w:t>
      </w:r>
      <w:r>
        <w:rPr/>
        <w:t>working on</w:t>
      </w:r>
      <w:r>
        <w:rPr>
          <w:spacing w:val="-4"/>
        </w:rPr>
        <w:t> </w:t>
      </w:r>
      <w:r>
        <w:rPr/>
        <w:t>the</w:t>
      </w:r>
      <w:r>
        <w:rPr>
          <w:spacing w:val="-4"/>
        </w:rPr>
        <w:t> </w:t>
      </w:r>
      <w:r>
        <w:rPr/>
        <w:t>networks</w:t>
      </w:r>
      <w:r>
        <w:rPr>
          <w:spacing w:val="-4"/>
        </w:rPr>
        <w:t> </w:t>
      </w:r>
      <w:r>
        <w:rPr/>
        <w:t>every</w:t>
      </w:r>
      <w:r>
        <w:rPr>
          <w:spacing w:val="-3"/>
        </w:rPr>
        <w:t> </w:t>
      </w:r>
      <w:r>
        <w:rPr/>
        <w:t>day</w:t>
      </w:r>
      <w:r>
        <w:rPr>
          <w:spacing w:val="-4"/>
        </w:rPr>
        <w:t> </w:t>
      </w:r>
      <w:r>
        <w:rPr/>
        <w:t>and</w:t>
      </w:r>
      <w:r>
        <w:rPr>
          <w:spacing w:val="-2"/>
        </w:rPr>
        <w:t> </w:t>
      </w:r>
      <w:r>
        <w:rPr/>
        <w:t>can</w:t>
      </w:r>
      <w:r>
        <w:rPr>
          <w:spacing w:val="-2"/>
        </w:rPr>
        <w:t> </w:t>
      </w:r>
      <w:r>
        <w:rPr/>
        <w:t>see</w:t>
      </w:r>
      <w:r>
        <w:rPr>
          <w:spacing w:val="-7"/>
        </w:rPr>
        <w:t> </w:t>
      </w:r>
      <w:r>
        <w:rPr/>
        <w:t>where</w:t>
      </w:r>
      <w:r>
        <w:rPr>
          <w:spacing w:val="-2"/>
        </w:rPr>
        <w:t> </w:t>
      </w:r>
      <w:r>
        <w:rPr/>
        <w:t>problems are emerging.</w:t>
      </w:r>
    </w:p>
    <w:p>
      <w:pPr>
        <w:pStyle w:val="BodyText"/>
        <w:spacing w:before="8"/>
        <w:rPr>
          <w:sz w:val="20"/>
        </w:rPr>
      </w:pPr>
    </w:p>
    <w:p>
      <w:pPr>
        <w:pStyle w:val="BodyText"/>
        <w:spacing w:line="288" w:lineRule="auto"/>
        <w:ind w:left="345" w:right="951"/>
      </w:pPr>
      <w:r>
        <w:rPr/>
        <w:t>Energy Safe Victoria (ESV) should take a leadership role in promoting active workforce engagement</w:t>
      </w:r>
      <w:r>
        <w:rPr>
          <w:spacing w:val="-3"/>
        </w:rPr>
        <w:t> </w:t>
      </w:r>
      <w:r>
        <w:rPr/>
        <w:t>in</w:t>
      </w:r>
      <w:r>
        <w:rPr>
          <w:spacing w:val="-2"/>
        </w:rPr>
        <w:t> </w:t>
      </w:r>
      <w:r>
        <w:rPr/>
        <w:t>network</w:t>
      </w:r>
      <w:r>
        <w:rPr>
          <w:spacing w:val="-3"/>
        </w:rPr>
        <w:t> </w:t>
      </w:r>
      <w:r>
        <w:rPr/>
        <w:t>safety. As</w:t>
      </w:r>
      <w:r>
        <w:rPr>
          <w:spacing w:val="-4"/>
        </w:rPr>
        <w:t> </w:t>
      </w:r>
      <w:r>
        <w:rPr/>
        <w:t>a</w:t>
      </w:r>
      <w:r>
        <w:rPr>
          <w:spacing w:val="-6"/>
        </w:rPr>
        <w:t> </w:t>
      </w:r>
      <w:r>
        <w:rPr/>
        <w:t>first</w:t>
      </w:r>
      <w:r>
        <w:rPr>
          <w:spacing w:val="-3"/>
        </w:rPr>
        <w:t> </w:t>
      </w:r>
      <w:r>
        <w:rPr/>
        <w:t>step, a</w:t>
      </w:r>
      <w:r>
        <w:rPr>
          <w:spacing w:val="-6"/>
        </w:rPr>
        <w:t> </w:t>
      </w:r>
      <w:r>
        <w:rPr/>
        <w:t>formal</w:t>
      </w:r>
      <w:r>
        <w:rPr>
          <w:spacing w:val="-3"/>
        </w:rPr>
        <w:t> </w:t>
      </w:r>
      <w:r>
        <w:rPr/>
        <w:t>committee</w:t>
      </w:r>
      <w:r>
        <w:rPr>
          <w:spacing w:val="-4"/>
        </w:rPr>
        <w:t> </w:t>
      </w:r>
      <w:r>
        <w:rPr/>
        <w:t>should</w:t>
      </w:r>
      <w:r>
        <w:rPr>
          <w:spacing w:val="-4"/>
        </w:rPr>
        <w:t> </w:t>
      </w:r>
      <w:r>
        <w:rPr/>
        <w:t>be</w:t>
      </w:r>
      <w:r>
        <w:rPr>
          <w:spacing w:val="-2"/>
        </w:rPr>
        <w:t> </w:t>
      </w:r>
      <w:r>
        <w:rPr/>
        <w:t>established under Section 8 of the </w:t>
      </w:r>
      <w:r>
        <w:rPr>
          <w:i/>
        </w:rPr>
        <w:t>Energy Safe Victoria Act 2005 </w:t>
      </w:r>
      <w:r>
        <w:rPr/>
        <w:t>to provide advice to ESV and to contribute to the development of a broader workforce engagement agenda (</w:t>
      </w:r>
      <w:r>
        <w:rPr>
          <w:b/>
        </w:rPr>
        <w:t>Recommendation 25</w:t>
      </w:r>
      <w:r>
        <w:rPr/>
        <w:t>).</w:t>
      </w:r>
    </w:p>
    <w:p>
      <w:pPr>
        <w:spacing w:after="0" w:line="288" w:lineRule="auto"/>
        <w:sectPr>
          <w:pgSz w:w="11910" w:h="16850"/>
          <w:pgMar w:header="220" w:footer="678" w:top="420" w:bottom="860" w:left="900" w:right="840"/>
        </w:sectPr>
      </w:pPr>
    </w:p>
    <w:p>
      <w:pPr>
        <w:pStyle w:val="BodyText"/>
        <w:rPr>
          <w:sz w:val="20"/>
        </w:rPr>
      </w:pPr>
    </w:p>
    <w:p>
      <w:pPr>
        <w:pStyle w:val="BodyText"/>
        <w:spacing w:before="7"/>
        <w:rPr>
          <w:sz w:val="19"/>
        </w:rPr>
      </w:pPr>
    </w:p>
    <w:p>
      <w:pPr>
        <w:pStyle w:val="Heading4"/>
      </w:pPr>
      <w:r>
        <w:rPr>
          <w:color w:val="585858"/>
        </w:rPr>
        <w:t>The</w:t>
      </w:r>
      <w:r>
        <w:rPr>
          <w:color w:val="585858"/>
          <w:spacing w:val="-13"/>
        </w:rPr>
        <w:t> </w:t>
      </w:r>
      <w:r>
        <w:rPr>
          <w:color w:val="585858"/>
        </w:rPr>
        <w:t>importance</w:t>
      </w:r>
      <w:r>
        <w:rPr>
          <w:color w:val="585858"/>
          <w:spacing w:val="-11"/>
        </w:rPr>
        <w:t> </w:t>
      </w:r>
      <w:r>
        <w:rPr>
          <w:color w:val="585858"/>
        </w:rPr>
        <w:t>of</w:t>
      </w:r>
      <w:r>
        <w:rPr>
          <w:color w:val="585858"/>
          <w:spacing w:val="-14"/>
        </w:rPr>
        <w:t> </w:t>
      </w:r>
      <w:r>
        <w:rPr>
          <w:color w:val="585858"/>
        </w:rPr>
        <w:t>effective</w:t>
      </w:r>
      <w:r>
        <w:rPr>
          <w:color w:val="585858"/>
          <w:spacing w:val="-14"/>
        </w:rPr>
        <w:t> </w:t>
      </w:r>
      <w:r>
        <w:rPr>
          <w:color w:val="585858"/>
        </w:rPr>
        <w:t>workforce</w:t>
      </w:r>
      <w:r>
        <w:rPr>
          <w:color w:val="585858"/>
          <w:spacing w:val="-13"/>
        </w:rPr>
        <w:t> </w:t>
      </w:r>
      <w:r>
        <w:rPr>
          <w:color w:val="585858"/>
          <w:spacing w:val="-2"/>
        </w:rPr>
        <w:t>engagement</w:t>
      </w:r>
    </w:p>
    <w:p>
      <w:pPr>
        <w:pStyle w:val="BodyText"/>
        <w:spacing w:line="288" w:lineRule="auto" w:before="314"/>
        <w:ind w:left="232"/>
      </w:pPr>
      <w:r>
        <w:rPr/>
        <w:t>Strong workforce engagement is essential to an effective safety case regime. Front line workers maintaining</w:t>
      </w:r>
      <w:r>
        <w:rPr>
          <w:spacing w:val="-3"/>
        </w:rPr>
        <w:t> </w:t>
      </w:r>
      <w:r>
        <w:rPr/>
        <w:t>gas</w:t>
      </w:r>
      <w:r>
        <w:rPr>
          <w:spacing w:val="-2"/>
        </w:rPr>
        <w:t> </w:t>
      </w:r>
      <w:r>
        <w:rPr/>
        <w:t>and</w:t>
      </w:r>
      <w:r>
        <w:rPr>
          <w:spacing w:val="-3"/>
        </w:rPr>
        <w:t> </w:t>
      </w:r>
      <w:r>
        <w:rPr/>
        <w:t>electricity</w:t>
      </w:r>
      <w:r>
        <w:rPr>
          <w:spacing w:val="-3"/>
        </w:rPr>
        <w:t> </w:t>
      </w:r>
      <w:r>
        <w:rPr/>
        <w:t>networks</w:t>
      </w:r>
      <w:r>
        <w:rPr>
          <w:spacing w:val="-3"/>
        </w:rPr>
        <w:t> </w:t>
      </w:r>
      <w:r>
        <w:rPr/>
        <w:t>can</w:t>
      </w:r>
      <w:r>
        <w:rPr>
          <w:spacing w:val="-2"/>
        </w:rPr>
        <w:t> </w:t>
      </w:r>
      <w:r>
        <w:rPr/>
        <w:t>be</w:t>
      </w:r>
      <w:r>
        <w:rPr>
          <w:spacing w:val="-3"/>
        </w:rPr>
        <w:t> </w:t>
      </w:r>
      <w:r>
        <w:rPr/>
        <w:t>a</w:t>
      </w:r>
      <w:r>
        <w:rPr>
          <w:spacing w:val="-3"/>
        </w:rPr>
        <w:t> </w:t>
      </w:r>
      <w:r>
        <w:rPr/>
        <w:t>valuable</w:t>
      </w:r>
      <w:r>
        <w:rPr>
          <w:spacing w:val="-2"/>
        </w:rPr>
        <w:t> </w:t>
      </w:r>
      <w:r>
        <w:rPr/>
        <w:t>source</w:t>
      </w:r>
      <w:r>
        <w:rPr>
          <w:spacing w:val="-2"/>
        </w:rPr>
        <w:t> </w:t>
      </w:r>
      <w:r>
        <w:rPr/>
        <w:t>of</w:t>
      </w:r>
      <w:r>
        <w:rPr>
          <w:spacing w:val="-3"/>
        </w:rPr>
        <w:t> </w:t>
      </w:r>
      <w:r>
        <w:rPr/>
        <w:t>advice</w:t>
      </w:r>
      <w:r>
        <w:rPr>
          <w:spacing w:val="-2"/>
        </w:rPr>
        <w:t> </w:t>
      </w:r>
      <w:r>
        <w:rPr/>
        <w:t>on</w:t>
      </w:r>
      <w:r>
        <w:rPr>
          <w:spacing w:val="-3"/>
        </w:rPr>
        <w:t> </w:t>
      </w:r>
      <w:r>
        <w:rPr/>
        <w:t>risks, including</w:t>
      </w:r>
      <w:r>
        <w:rPr>
          <w:spacing w:val="-2"/>
        </w:rPr>
        <w:t> </w:t>
      </w:r>
      <w:r>
        <w:rPr/>
        <w:t>the broader risks to the community. They are working on the networks every day and can see where problems are emerging.</w:t>
      </w:r>
    </w:p>
    <w:p>
      <w:pPr>
        <w:pStyle w:val="BodyText"/>
        <w:spacing w:before="10"/>
        <w:rPr>
          <w:sz w:val="20"/>
        </w:rPr>
      </w:pPr>
    </w:p>
    <w:p>
      <w:pPr>
        <w:pStyle w:val="BodyText"/>
        <w:spacing w:line="288" w:lineRule="auto"/>
        <w:ind w:left="232" w:right="286"/>
      </w:pPr>
      <w:r>
        <w:rPr/>
        <w:t>In a mature safety case system, a key role of the regulator should be to ensure that regulated businesses have systems in place to promote the effective engagement of their workforce. If regulated businesses rely significantly on external contractors – for example, to undertake maintenance</w:t>
      </w:r>
      <w:r>
        <w:rPr>
          <w:spacing w:val="-4"/>
        </w:rPr>
        <w:t> </w:t>
      </w:r>
      <w:r>
        <w:rPr/>
        <w:t>and</w:t>
      </w:r>
      <w:r>
        <w:rPr>
          <w:spacing w:val="-2"/>
        </w:rPr>
        <w:t> </w:t>
      </w:r>
      <w:r>
        <w:rPr/>
        <w:t>other</w:t>
      </w:r>
      <w:r>
        <w:rPr>
          <w:spacing w:val="-3"/>
        </w:rPr>
        <w:t> </w:t>
      </w:r>
      <w:r>
        <w:rPr/>
        <w:t>operational</w:t>
      </w:r>
      <w:r>
        <w:rPr>
          <w:spacing w:val="-2"/>
        </w:rPr>
        <w:t> </w:t>
      </w:r>
      <w:r>
        <w:rPr/>
        <w:t>work –</w:t>
      </w:r>
      <w:r>
        <w:rPr>
          <w:spacing w:val="-4"/>
        </w:rPr>
        <w:t> </w:t>
      </w:r>
      <w:r>
        <w:rPr/>
        <w:t>the</w:t>
      </w:r>
      <w:r>
        <w:rPr>
          <w:spacing w:val="-4"/>
        </w:rPr>
        <w:t> </w:t>
      </w:r>
      <w:r>
        <w:rPr/>
        <w:t>systems</w:t>
      </w:r>
      <w:r>
        <w:rPr>
          <w:spacing w:val="-3"/>
        </w:rPr>
        <w:t> </w:t>
      </w:r>
      <w:r>
        <w:rPr/>
        <w:t>should</w:t>
      </w:r>
      <w:r>
        <w:rPr>
          <w:spacing w:val="-2"/>
        </w:rPr>
        <w:t> </w:t>
      </w:r>
      <w:r>
        <w:rPr/>
        <w:t>extend</w:t>
      </w:r>
      <w:r>
        <w:rPr>
          <w:spacing w:val="-4"/>
        </w:rPr>
        <w:t> </w:t>
      </w:r>
      <w:r>
        <w:rPr/>
        <w:t>to</w:t>
      </w:r>
      <w:r>
        <w:rPr>
          <w:spacing w:val="-4"/>
        </w:rPr>
        <w:t> </w:t>
      </w:r>
      <w:r>
        <w:rPr/>
        <w:t>ensure</w:t>
      </w:r>
      <w:r>
        <w:rPr>
          <w:spacing w:val="-4"/>
        </w:rPr>
        <w:t> </w:t>
      </w:r>
      <w:r>
        <w:rPr/>
        <w:t>that</w:t>
      </w:r>
      <w:r>
        <w:rPr>
          <w:spacing w:val="-3"/>
        </w:rPr>
        <w:t> </w:t>
      </w:r>
      <w:r>
        <w:rPr/>
        <w:t>there</w:t>
      </w:r>
      <w:r>
        <w:rPr>
          <w:spacing w:val="-2"/>
        </w:rPr>
        <w:t> </w:t>
      </w:r>
      <w:r>
        <w:rPr/>
        <w:t>is</w:t>
      </w:r>
      <w:r>
        <w:rPr>
          <w:spacing w:val="-4"/>
        </w:rPr>
        <w:t> </w:t>
      </w:r>
      <w:r>
        <w:rPr/>
        <w:t>strong engagement with the contract workforce as well.</w:t>
      </w:r>
    </w:p>
    <w:p>
      <w:pPr>
        <w:pStyle w:val="BodyText"/>
        <w:spacing w:before="9"/>
        <w:rPr>
          <w:sz w:val="20"/>
        </w:rPr>
      </w:pPr>
    </w:p>
    <w:p>
      <w:pPr>
        <w:pStyle w:val="BodyText"/>
        <w:spacing w:line="290" w:lineRule="auto"/>
        <w:ind w:left="232"/>
      </w:pPr>
      <w:r>
        <w:rPr/>
        <w:t>The</w:t>
      </w:r>
      <w:r>
        <w:rPr>
          <w:spacing w:val="-4"/>
        </w:rPr>
        <w:t> </w:t>
      </w:r>
      <w:r>
        <w:rPr/>
        <w:t>regulator</w:t>
      </w:r>
      <w:r>
        <w:rPr>
          <w:spacing w:val="-3"/>
        </w:rPr>
        <w:t> </w:t>
      </w:r>
      <w:r>
        <w:rPr/>
        <w:t>may</w:t>
      </w:r>
      <w:r>
        <w:rPr>
          <w:spacing w:val="-4"/>
        </w:rPr>
        <w:t> </w:t>
      </w:r>
      <w:r>
        <w:rPr/>
        <w:t>also</w:t>
      </w:r>
      <w:r>
        <w:rPr>
          <w:spacing w:val="-2"/>
        </w:rPr>
        <w:t> </w:t>
      </w:r>
      <w:r>
        <w:rPr/>
        <w:t>use</w:t>
      </w:r>
      <w:r>
        <w:rPr>
          <w:spacing w:val="-2"/>
        </w:rPr>
        <w:t> </w:t>
      </w:r>
      <w:r>
        <w:rPr/>
        <w:t>its</w:t>
      </w:r>
      <w:r>
        <w:rPr>
          <w:spacing w:val="-3"/>
        </w:rPr>
        <w:t> </w:t>
      </w:r>
      <w:r>
        <w:rPr/>
        <w:t>“convening</w:t>
      </w:r>
      <w:r>
        <w:rPr>
          <w:spacing w:val="-2"/>
        </w:rPr>
        <w:t> </w:t>
      </w:r>
      <w:r>
        <w:rPr/>
        <w:t>power”</w:t>
      </w:r>
      <w:r>
        <w:rPr>
          <w:spacing w:val="-2"/>
        </w:rPr>
        <w:t> </w:t>
      </w:r>
      <w:r>
        <w:rPr/>
        <w:t>to</w:t>
      </w:r>
      <w:r>
        <w:rPr>
          <w:spacing w:val="-2"/>
        </w:rPr>
        <w:t> </w:t>
      </w:r>
      <w:r>
        <w:rPr/>
        <w:t>bring</w:t>
      </w:r>
      <w:r>
        <w:rPr>
          <w:spacing w:val="-2"/>
        </w:rPr>
        <w:t> </w:t>
      </w:r>
      <w:r>
        <w:rPr/>
        <w:t>together</w:t>
      </w:r>
      <w:r>
        <w:rPr>
          <w:spacing w:val="-3"/>
        </w:rPr>
        <w:t> </w:t>
      </w:r>
      <w:r>
        <w:rPr/>
        <w:t>different</w:t>
      </w:r>
      <w:r>
        <w:rPr>
          <w:spacing w:val="-3"/>
        </w:rPr>
        <w:t> </w:t>
      </w:r>
      <w:r>
        <w:rPr/>
        <w:t>groups</w:t>
      </w:r>
      <w:r>
        <w:rPr>
          <w:spacing w:val="-4"/>
        </w:rPr>
        <w:t> </w:t>
      </w:r>
      <w:r>
        <w:rPr/>
        <w:t>to</w:t>
      </w:r>
      <w:r>
        <w:rPr>
          <w:spacing w:val="-4"/>
        </w:rPr>
        <w:t> </w:t>
      </w:r>
      <w:r>
        <w:rPr/>
        <w:t>share</w:t>
      </w:r>
      <w:r>
        <w:rPr>
          <w:spacing w:val="-4"/>
        </w:rPr>
        <w:t> </w:t>
      </w:r>
      <w:r>
        <w:rPr/>
        <w:t>best practice models of workforce engagement.</w:t>
      </w:r>
    </w:p>
    <w:p>
      <w:pPr>
        <w:pStyle w:val="BodyText"/>
        <w:spacing w:before="6"/>
        <w:rPr>
          <w:sz w:val="20"/>
        </w:rPr>
      </w:pPr>
    </w:p>
    <w:p>
      <w:pPr>
        <w:pStyle w:val="BodyText"/>
        <w:spacing w:line="288" w:lineRule="auto"/>
        <w:ind w:left="232" w:right="330"/>
      </w:pPr>
      <w:r>
        <w:rPr/>
        <w:t>The importance of workforce engagement is recognised in Victoria’s occupational health and</w:t>
      </w:r>
      <w:r>
        <w:rPr>
          <w:spacing w:val="40"/>
        </w:rPr>
        <w:t> </w:t>
      </w:r>
      <w:r>
        <w:rPr/>
        <w:t>safety</w:t>
      </w:r>
      <w:r>
        <w:rPr>
          <w:spacing w:val="-5"/>
        </w:rPr>
        <w:t> </w:t>
      </w:r>
      <w:r>
        <w:rPr/>
        <w:t>framework.</w:t>
      </w:r>
      <w:r>
        <w:rPr>
          <w:spacing w:val="-3"/>
        </w:rPr>
        <w:t> </w:t>
      </w:r>
      <w:r>
        <w:rPr/>
        <w:t>In</w:t>
      </w:r>
      <w:r>
        <w:rPr>
          <w:spacing w:val="-3"/>
        </w:rPr>
        <w:t> </w:t>
      </w:r>
      <w:r>
        <w:rPr/>
        <w:t>particular,</w:t>
      </w:r>
      <w:r>
        <w:rPr>
          <w:spacing w:val="-3"/>
        </w:rPr>
        <w:t> </w:t>
      </w:r>
      <w:r>
        <w:rPr/>
        <w:t>the</w:t>
      </w:r>
      <w:r>
        <w:rPr>
          <w:spacing w:val="-3"/>
        </w:rPr>
        <w:t> </w:t>
      </w:r>
      <w:r>
        <w:rPr>
          <w:i/>
        </w:rPr>
        <w:t>Occupational</w:t>
      </w:r>
      <w:r>
        <w:rPr>
          <w:i/>
          <w:spacing w:val="-5"/>
        </w:rPr>
        <w:t> </w:t>
      </w:r>
      <w:r>
        <w:rPr>
          <w:i/>
        </w:rPr>
        <w:t>Health</w:t>
      </w:r>
      <w:r>
        <w:rPr>
          <w:i/>
          <w:spacing w:val="-3"/>
        </w:rPr>
        <w:t> </w:t>
      </w:r>
      <w:r>
        <w:rPr>
          <w:i/>
        </w:rPr>
        <w:t>and</w:t>
      </w:r>
      <w:r>
        <w:rPr>
          <w:i/>
          <w:spacing w:val="-3"/>
        </w:rPr>
        <w:t> </w:t>
      </w:r>
      <w:r>
        <w:rPr>
          <w:i/>
        </w:rPr>
        <w:t>Safety</w:t>
      </w:r>
      <w:r>
        <w:rPr>
          <w:i/>
          <w:spacing w:val="-3"/>
        </w:rPr>
        <w:t> </w:t>
      </w:r>
      <w:r>
        <w:rPr>
          <w:i/>
        </w:rPr>
        <w:t>Act</w:t>
      </w:r>
      <w:r>
        <w:rPr>
          <w:i/>
          <w:spacing w:val="-3"/>
        </w:rPr>
        <w:t> </w:t>
      </w:r>
      <w:r>
        <w:rPr>
          <w:i/>
        </w:rPr>
        <w:t>2004,</w:t>
      </w:r>
      <w:r>
        <w:rPr>
          <w:i/>
          <w:spacing w:val="-2"/>
        </w:rPr>
        <w:t> </w:t>
      </w:r>
      <w:r>
        <w:rPr/>
        <w:t>mandates</w:t>
      </w:r>
      <w:r>
        <w:rPr>
          <w:spacing w:val="-4"/>
        </w:rPr>
        <w:t> </w:t>
      </w:r>
      <w:r>
        <w:rPr/>
        <w:t>employers to consult with employees regarding workplace hazards, risks</w:t>
      </w:r>
      <w:r>
        <w:rPr>
          <w:spacing w:val="-2"/>
        </w:rPr>
        <w:t> </w:t>
      </w:r>
      <w:r>
        <w:rPr/>
        <w:t>to safety, and on internal systems to manage such risks.</w:t>
      </w:r>
    </w:p>
    <w:p>
      <w:pPr>
        <w:pStyle w:val="BodyText"/>
        <w:spacing w:before="10"/>
        <w:rPr>
          <w:sz w:val="20"/>
        </w:rPr>
      </w:pPr>
    </w:p>
    <w:p>
      <w:pPr>
        <w:pStyle w:val="BodyText"/>
        <w:spacing w:line="288" w:lineRule="auto"/>
        <w:ind w:left="232" w:right="374"/>
      </w:pPr>
      <w:r>
        <w:rPr/>
        <w:t>The</w:t>
      </w:r>
      <w:r>
        <w:rPr>
          <w:spacing w:val="-4"/>
        </w:rPr>
        <w:t> </w:t>
      </w:r>
      <w:r>
        <w:rPr/>
        <w:t>Australian</w:t>
      </w:r>
      <w:r>
        <w:rPr>
          <w:spacing w:val="-2"/>
        </w:rPr>
        <w:t> </w:t>
      </w:r>
      <w:r>
        <w:rPr/>
        <w:t>Standard</w:t>
      </w:r>
      <w:r>
        <w:rPr>
          <w:spacing w:val="-6"/>
        </w:rPr>
        <w:t> </w:t>
      </w:r>
      <w:r>
        <w:rPr/>
        <w:t>that</w:t>
      </w:r>
      <w:r>
        <w:rPr>
          <w:spacing w:val="-3"/>
        </w:rPr>
        <w:t> </w:t>
      </w:r>
      <w:r>
        <w:rPr/>
        <w:t>underpins</w:t>
      </w:r>
      <w:r>
        <w:rPr>
          <w:spacing w:val="-4"/>
        </w:rPr>
        <w:t> </w:t>
      </w:r>
      <w:r>
        <w:rPr/>
        <w:t>the</w:t>
      </w:r>
      <w:r>
        <w:rPr>
          <w:spacing w:val="-4"/>
        </w:rPr>
        <w:t> </w:t>
      </w:r>
      <w:r>
        <w:rPr/>
        <w:t>safety</w:t>
      </w:r>
      <w:r>
        <w:rPr>
          <w:spacing w:val="-4"/>
        </w:rPr>
        <w:t> </w:t>
      </w:r>
      <w:r>
        <w:rPr/>
        <w:t>management</w:t>
      </w:r>
      <w:r>
        <w:rPr>
          <w:spacing w:val="-3"/>
        </w:rPr>
        <w:t> </w:t>
      </w:r>
      <w:r>
        <w:rPr/>
        <w:t>of electricity</w:t>
      </w:r>
      <w:r>
        <w:rPr>
          <w:spacing w:val="-4"/>
        </w:rPr>
        <w:t> </w:t>
      </w:r>
      <w:r>
        <w:rPr/>
        <w:t>networks, AS</w:t>
      </w:r>
      <w:r>
        <w:rPr>
          <w:spacing w:val="-5"/>
        </w:rPr>
        <w:t> </w:t>
      </w:r>
      <w:r>
        <w:rPr/>
        <w:t>5577, recognises the importance of consultation in the preparation and implementation of Electricity Safety Management Schemes (refer to the box below).</w:t>
      </w:r>
    </w:p>
    <w:p>
      <w:pPr>
        <w:pStyle w:val="BodyText"/>
        <w:spacing w:before="9"/>
        <w:rPr>
          <w:sz w:val="20"/>
        </w:rPr>
      </w:pPr>
    </w:p>
    <w:p>
      <w:pPr>
        <w:pStyle w:val="BodyText"/>
        <w:spacing w:line="288" w:lineRule="auto"/>
        <w:ind w:left="232" w:right="374"/>
      </w:pPr>
      <w:r>
        <w:rPr/>
        <w:t>The standard refers broadly to groups that should be consulted in the development and implementation</w:t>
      </w:r>
      <w:r>
        <w:rPr>
          <w:spacing w:val="-3"/>
        </w:rPr>
        <w:t> </w:t>
      </w:r>
      <w:r>
        <w:rPr/>
        <w:t>of</w:t>
      </w:r>
      <w:r>
        <w:rPr>
          <w:spacing w:val="-1"/>
        </w:rPr>
        <w:t> </w:t>
      </w:r>
      <w:r>
        <w:rPr/>
        <w:t>an</w:t>
      </w:r>
      <w:r>
        <w:rPr>
          <w:spacing w:val="-5"/>
        </w:rPr>
        <w:t> </w:t>
      </w:r>
      <w:r>
        <w:rPr/>
        <w:t>Electricity</w:t>
      </w:r>
      <w:r>
        <w:rPr>
          <w:spacing w:val="-5"/>
        </w:rPr>
        <w:t> </w:t>
      </w:r>
      <w:r>
        <w:rPr/>
        <w:t>Safety</w:t>
      </w:r>
      <w:r>
        <w:rPr>
          <w:spacing w:val="-5"/>
        </w:rPr>
        <w:t> </w:t>
      </w:r>
      <w:r>
        <w:rPr/>
        <w:t>Management</w:t>
      </w:r>
      <w:r>
        <w:rPr>
          <w:spacing w:val="-1"/>
        </w:rPr>
        <w:t> </w:t>
      </w:r>
      <w:r>
        <w:rPr/>
        <w:t>Scheme.</w:t>
      </w:r>
      <w:r>
        <w:rPr>
          <w:spacing w:val="-6"/>
        </w:rPr>
        <w:t> </w:t>
      </w:r>
      <w:r>
        <w:rPr/>
        <w:t>The</w:t>
      </w:r>
      <w:r>
        <w:rPr>
          <w:spacing w:val="-5"/>
        </w:rPr>
        <w:t> </w:t>
      </w:r>
      <w:r>
        <w:rPr/>
        <w:t>requirements</w:t>
      </w:r>
      <w:r>
        <w:rPr>
          <w:spacing w:val="-5"/>
        </w:rPr>
        <w:t> </w:t>
      </w:r>
      <w:r>
        <w:rPr/>
        <w:t>as</w:t>
      </w:r>
      <w:r>
        <w:rPr>
          <w:spacing w:val="-5"/>
        </w:rPr>
        <w:t> </w:t>
      </w:r>
      <w:r>
        <w:rPr/>
        <w:t>stated</w:t>
      </w:r>
      <w:r>
        <w:rPr>
          <w:spacing w:val="-3"/>
        </w:rPr>
        <w:t> </w:t>
      </w:r>
      <w:r>
        <w:rPr/>
        <w:t>in Section 4.4.6 – Consultation, Communication and Reporting of AS 5577 are for the network businesses to:</w:t>
      </w:r>
    </w:p>
    <w:p>
      <w:pPr>
        <w:pStyle w:val="BodyText"/>
        <w:spacing w:before="10"/>
        <w:rPr>
          <w:sz w:val="20"/>
        </w:rPr>
      </w:pPr>
    </w:p>
    <w:p>
      <w:pPr>
        <w:pStyle w:val="ListParagraph"/>
        <w:numPr>
          <w:ilvl w:val="0"/>
          <w:numId w:val="57"/>
        </w:numPr>
        <w:tabs>
          <w:tab w:pos="1313" w:val="left" w:leader="none"/>
        </w:tabs>
        <w:spacing w:line="278" w:lineRule="auto" w:before="0" w:after="0"/>
        <w:ind w:left="1313" w:right="1208" w:hanging="360"/>
        <w:jc w:val="left"/>
        <w:rPr>
          <w:i/>
          <w:sz w:val="22"/>
        </w:rPr>
      </w:pPr>
      <w:r>
        <w:rPr>
          <w:i/>
          <w:sz w:val="22"/>
        </w:rPr>
        <w:t>“identify</w:t>
      </w:r>
      <w:r>
        <w:rPr>
          <w:i/>
          <w:spacing w:val="-5"/>
          <w:sz w:val="22"/>
        </w:rPr>
        <w:t> </w:t>
      </w:r>
      <w:r>
        <w:rPr>
          <w:i/>
          <w:sz w:val="22"/>
        </w:rPr>
        <w:t>individuals,</w:t>
      </w:r>
      <w:r>
        <w:rPr>
          <w:i/>
          <w:spacing w:val="-2"/>
          <w:sz w:val="22"/>
        </w:rPr>
        <w:t> </w:t>
      </w:r>
      <w:r>
        <w:rPr>
          <w:i/>
          <w:sz w:val="22"/>
        </w:rPr>
        <w:t>stakeholder</w:t>
      </w:r>
      <w:r>
        <w:rPr>
          <w:i/>
          <w:spacing w:val="-3"/>
          <w:sz w:val="22"/>
        </w:rPr>
        <w:t> </w:t>
      </w:r>
      <w:r>
        <w:rPr>
          <w:i/>
          <w:sz w:val="22"/>
        </w:rPr>
        <w:t>groups</w:t>
      </w:r>
      <w:r>
        <w:rPr>
          <w:i/>
          <w:spacing w:val="-6"/>
          <w:sz w:val="22"/>
        </w:rPr>
        <w:t> </w:t>
      </w:r>
      <w:r>
        <w:rPr>
          <w:i/>
          <w:sz w:val="22"/>
        </w:rPr>
        <w:t>and</w:t>
      </w:r>
      <w:r>
        <w:rPr>
          <w:i/>
          <w:spacing w:val="-6"/>
          <w:sz w:val="22"/>
        </w:rPr>
        <w:t> </w:t>
      </w:r>
      <w:r>
        <w:rPr>
          <w:i/>
          <w:sz w:val="22"/>
        </w:rPr>
        <w:t>organizations</w:t>
      </w:r>
      <w:r>
        <w:rPr>
          <w:i/>
          <w:spacing w:val="-4"/>
          <w:sz w:val="22"/>
        </w:rPr>
        <w:t> </w:t>
      </w:r>
      <w:r>
        <w:rPr>
          <w:i/>
          <w:sz w:val="22"/>
        </w:rPr>
        <w:t>that</w:t>
      </w:r>
      <w:r>
        <w:rPr>
          <w:i/>
          <w:spacing w:val="-2"/>
          <w:sz w:val="22"/>
        </w:rPr>
        <w:t> </w:t>
      </w:r>
      <w:r>
        <w:rPr>
          <w:i/>
          <w:sz w:val="22"/>
        </w:rPr>
        <w:t>have</w:t>
      </w:r>
      <w:r>
        <w:rPr>
          <w:i/>
          <w:spacing w:val="-4"/>
          <w:sz w:val="22"/>
        </w:rPr>
        <w:t> </w:t>
      </w:r>
      <w:r>
        <w:rPr>
          <w:i/>
          <w:sz w:val="22"/>
        </w:rPr>
        <w:t>a</w:t>
      </w:r>
      <w:r>
        <w:rPr>
          <w:i/>
          <w:spacing w:val="-6"/>
          <w:sz w:val="22"/>
        </w:rPr>
        <w:t> </w:t>
      </w:r>
      <w:r>
        <w:rPr>
          <w:i/>
          <w:sz w:val="22"/>
        </w:rPr>
        <w:t>relevant interest in the safety aspects of the design, construction, commissioning, operation, maintenance and decommissioning of the network.</w:t>
      </w:r>
    </w:p>
    <w:p>
      <w:pPr>
        <w:pStyle w:val="BodyText"/>
        <w:spacing w:before="11"/>
        <w:rPr>
          <w:i/>
          <w:sz w:val="21"/>
        </w:rPr>
      </w:pPr>
    </w:p>
    <w:p>
      <w:pPr>
        <w:pStyle w:val="ListParagraph"/>
        <w:numPr>
          <w:ilvl w:val="0"/>
          <w:numId w:val="57"/>
        </w:numPr>
        <w:tabs>
          <w:tab w:pos="1313" w:val="left" w:leader="none"/>
        </w:tabs>
        <w:spacing w:line="280" w:lineRule="auto" w:before="0" w:after="0"/>
        <w:ind w:left="1313" w:right="964" w:hanging="360"/>
        <w:jc w:val="left"/>
        <w:rPr>
          <w:i/>
          <w:sz w:val="22"/>
        </w:rPr>
      </w:pPr>
      <w:r>
        <w:rPr>
          <w:i/>
          <w:sz w:val="22"/>
        </w:rPr>
        <w:t>establish procedures for regular consultation and communication with, and reporting to, these identified stakeholders during the development, implementation</w:t>
      </w:r>
      <w:r>
        <w:rPr>
          <w:i/>
          <w:spacing w:val="-3"/>
          <w:sz w:val="22"/>
        </w:rPr>
        <w:t> </w:t>
      </w:r>
      <w:r>
        <w:rPr>
          <w:i/>
          <w:sz w:val="22"/>
        </w:rPr>
        <w:t>and</w:t>
      </w:r>
      <w:r>
        <w:rPr>
          <w:i/>
          <w:spacing w:val="-5"/>
          <w:sz w:val="22"/>
        </w:rPr>
        <w:t> </w:t>
      </w:r>
      <w:r>
        <w:rPr>
          <w:i/>
          <w:sz w:val="22"/>
        </w:rPr>
        <w:t>review</w:t>
      </w:r>
      <w:r>
        <w:rPr>
          <w:i/>
          <w:spacing w:val="-2"/>
          <w:sz w:val="22"/>
        </w:rPr>
        <w:t> </w:t>
      </w:r>
      <w:r>
        <w:rPr>
          <w:i/>
          <w:sz w:val="22"/>
        </w:rPr>
        <w:t>of</w:t>
      </w:r>
      <w:r>
        <w:rPr>
          <w:i/>
          <w:spacing w:val="-4"/>
          <w:sz w:val="22"/>
        </w:rPr>
        <w:t> </w:t>
      </w:r>
      <w:r>
        <w:rPr>
          <w:i/>
          <w:sz w:val="22"/>
        </w:rPr>
        <w:t>the</w:t>
      </w:r>
      <w:r>
        <w:rPr>
          <w:i/>
          <w:spacing w:val="-5"/>
          <w:sz w:val="22"/>
        </w:rPr>
        <w:t> </w:t>
      </w:r>
      <w:r>
        <w:rPr>
          <w:i/>
          <w:sz w:val="22"/>
        </w:rPr>
        <w:t>ENSMS</w:t>
      </w:r>
      <w:r>
        <w:rPr>
          <w:i/>
          <w:spacing w:val="-3"/>
          <w:sz w:val="22"/>
        </w:rPr>
        <w:t> </w:t>
      </w:r>
      <w:r>
        <w:rPr>
          <w:i/>
          <w:sz w:val="22"/>
        </w:rPr>
        <w:t>[i.e.</w:t>
      </w:r>
      <w:r>
        <w:rPr>
          <w:i/>
          <w:spacing w:val="-4"/>
          <w:sz w:val="22"/>
        </w:rPr>
        <w:t> </w:t>
      </w:r>
      <w:r>
        <w:rPr>
          <w:i/>
          <w:sz w:val="22"/>
        </w:rPr>
        <w:t>the</w:t>
      </w:r>
      <w:r>
        <w:rPr>
          <w:i/>
          <w:spacing w:val="-3"/>
          <w:sz w:val="22"/>
        </w:rPr>
        <w:t> </w:t>
      </w:r>
      <w:r>
        <w:rPr>
          <w:i/>
          <w:sz w:val="22"/>
        </w:rPr>
        <w:t>Electricity</w:t>
      </w:r>
      <w:r>
        <w:rPr>
          <w:i/>
          <w:spacing w:val="-5"/>
          <w:sz w:val="22"/>
        </w:rPr>
        <w:t> </w:t>
      </w:r>
      <w:r>
        <w:rPr>
          <w:i/>
          <w:sz w:val="22"/>
        </w:rPr>
        <w:t>Safety</w:t>
      </w:r>
      <w:r>
        <w:rPr>
          <w:i/>
          <w:spacing w:val="-5"/>
          <w:sz w:val="22"/>
        </w:rPr>
        <w:t> </w:t>
      </w:r>
      <w:r>
        <w:rPr>
          <w:i/>
          <w:sz w:val="22"/>
        </w:rPr>
        <w:t>Management </w:t>
      </w:r>
      <w:r>
        <w:rPr>
          <w:i/>
          <w:spacing w:val="-2"/>
          <w:sz w:val="22"/>
        </w:rPr>
        <w:t>Scheme].”</w:t>
      </w:r>
    </w:p>
    <w:p>
      <w:pPr>
        <w:spacing w:after="0" w:line="280" w:lineRule="auto"/>
        <w:jc w:val="left"/>
        <w:rPr>
          <w:sz w:val="22"/>
        </w:rPr>
        <w:sectPr>
          <w:pgSz w:w="11910" w:h="16850"/>
          <w:pgMar w:header="220" w:footer="678" w:top="420" w:bottom="860" w:left="900" w:right="840"/>
        </w:sectPr>
      </w:pPr>
    </w:p>
    <w:p>
      <w:pPr>
        <w:pStyle w:val="BodyText"/>
        <w:rPr>
          <w:i/>
          <w:sz w:val="20"/>
        </w:rPr>
      </w:pPr>
    </w:p>
    <w:p>
      <w:pPr>
        <w:pStyle w:val="BodyText"/>
        <w:rPr>
          <w:i/>
          <w:sz w:val="20"/>
        </w:rPr>
      </w:pPr>
    </w:p>
    <w:p>
      <w:pPr>
        <w:pStyle w:val="BodyText"/>
        <w:spacing w:before="1"/>
        <w:rPr>
          <w:i/>
          <w:sz w:val="20"/>
        </w:rPr>
      </w:pPr>
    </w:p>
    <w:p>
      <w:pPr>
        <w:pStyle w:val="Heading7"/>
        <w:spacing w:line="288" w:lineRule="auto" w:before="94"/>
        <w:ind w:left="374" w:right="868"/>
      </w:pPr>
      <w:r>
        <w:rPr/>
        <mc:AlternateContent>
          <mc:Choice Requires="wps">
            <w:drawing>
              <wp:anchor distT="0" distB="0" distL="0" distR="0" allowOverlap="1" layoutInCell="1" locked="0" behindDoc="1" simplePos="0" relativeHeight="482728960">
                <wp:simplePos x="0" y="0"/>
                <wp:positionH relativeFrom="page">
                  <wp:posOffset>719327</wp:posOffset>
                </wp:positionH>
                <wp:positionV relativeFrom="paragraph">
                  <wp:posOffset>-92737</wp:posOffset>
                </wp:positionV>
                <wp:extent cx="5870575" cy="4344035"/>
                <wp:effectExtent l="0" t="0" r="0" b="0"/>
                <wp:wrapNone/>
                <wp:docPr id="161" name="Graphic 161"/>
                <wp:cNvGraphicFramePr>
                  <a:graphicFrameLocks/>
                </wp:cNvGraphicFramePr>
                <a:graphic>
                  <a:graphicData uri="http://schemas.microsoft.com/office/word/2010/wordprocessingShape">
                    <wps:wsp>
                      <wps:cNvPr id="161" name="Graphic 161"/>
                      <wps:cNvSpPr/>
                      <wps:spPr>
                        <a:xfrm>
                          <a:off x="0" y="0"/>
                          <a:ext cx="5870575" cy="4344035"/>
                        </a:xfrm>
                        <a:custGeom>
                          <a:avLst/>
                          <a:gdLst/>
                          <a:ahLst/>
                          <a:cxnLst/>
                          <a:rect l="l" t="t" r="r" b="b"/>
                          <a:pathLst>
                            <a:path w="5870575" h="4344035">
                              <a:moveTo>
                                <a:pt x="5870194" y="0"/>
                              </a:moveTo>
                              <a:lnTo>
                                <a:pt x="0" y="0"/>
                              </a:lnTo>
                              <a:lnTo>
                                <a:pt x="0" y="4344034"/>
                              </a:lnTo>
                              <a:lnTo>
                                <a:pt x="5870194" y="4344034"/>
                              </a:lnTo>
                              <a:lnTo>
                                <a:pt x="5870194" y="0"/>
                              </a:lnTo>
                              <a:close/>
                            </a:path>
                          </a:pathLst>
                        </a:custGeom>
                        <a:solidFill>
                          <a:srgbClr val="CDEBEB"/>
                        </a:solidFill>
                      </wps:spPr>
                      <wps:bodyPr wrap="square" lIns="0" tIns="0" rIns="0" bIns="0" rtlCol="0">
                        <a:prstTxWarp prst="textNoShape">
                          <a:avLst/>
                        </a:prstTxWarp>
                        <a:noAutofit/>
                      </wps:bodyPr>
                    </wps:wsp>
                  </a:graphicData>
                </a:graphic>
              </wp:anchor>
            </w:drawing>
          </mc:Choice>
          <mc:Fallback>
            <w:pict>
              <v:rect style="position:absolute;margin-left:56.639999pt;margin-top:-7.302148pt;width:462.22pt;height:342.05pt;mso-position-horizontal-relative:page;mso-position-vertical-relative:paragraph;z-index:-20587520" id="docshape144" filled="true" fillcolor="#cdebeb" stroked="false">
                <v:fill type="solid"/>
                <w10:wrap type="none"/>
              </v:rect>
            </w:pict>
          </mc:Fallback>
        </mc:AlternateContent>
      </w:r>
      <w:r>
        <w:rPr/>
        <w:t>Box</w:t>
      </w:r>
      <w:r>
        <w:rPr>
          <w:spacing w:val="-3"/>
        </w:rPr>
        <w:t> </w:t>
      </w:r>
      <w:r>
        <w:rPr/>
        <w:t>14:</w:t>
      </w:r>
      <w:r>
        <w:rPr>
          <w:spacing w:val="-2"/>
        </w:rPr>
        <w:t> </w:t>
      </w:r>
      <w:r>
        <w:rPr/>
        <w:t>Recognition</w:t>
      </w:r>
      <w:r>
        <w:rPr>
          <w:spacing w:val="-3"/>
        </w:rPr>
        <w:t> </w:t>
      </w:r>
      <w:r>
        <w:rPr/>
        <w:t>of</w:t>
      </w:r>
      <w:r>
        <w:rPr>
          <w:spacing w:val="-6"/>
        </w:rPr>
        <w:t> </w:t>
      </w:r>
      <w:r>
        <w:rPr/>
        <w:t>work</w:t>
      </w:r>
      <w:r>
        <w:rPr>
          <w:spacing w:val="-2"/>
        </w:rPr>
        <w:t> </w:t>
      </w:r>
      <w:r>
        <w:rPr/>
        <w:t>health</w:t>
      </w:r>
      <w:r>
        <w:rPr>
          <w:spacing w:val="-5"/>
        </w:rPr>
        <w:t> </w:t>
      </w:r>
      <w:r>
        <w:rPr/>
        <w:t>and</w:t>
      </w:r>
      <w:r>
        <w:rPr>
          <w:spacing w:val="-3"/>
        </w:rPr>
        <w:t> </w:t>
      </w:r>
      <w:r>
        <w:rPr/>
        <w:t>safety</w:t>
      </w:r>
      <w:r>
        <w:rPr>
          <w:spacing w:val="-5"/>
        </w:rPr>
        <w:t> </w:t>
      </w:r>
      <w:r>
        <w:rPr/>
        <w:t>regulations</w:t>
      </w:r>
      <w:r>
        <w:rPr>
          <w:spacing w:val="-8"/>
        </w:rPr>
        <w:t> </w:t>
      </w:r>
      <w:r>
        <w:rPr/>
        <w:t>in</w:t>
      </w:r>
      <w:r>
        <w:rPr>
          <w:spacing w:val="-1"/>
        </w:rPr>
        <w:t> </w:t>
      </w:r>
      <w:r>
        <w:rPr/>
        <w:t>Australian</w:t>
      </w:r>
      <w:r>
        <w:rPr>
          <w:spacing w:val="-3"/>
        </w:rPr>
        <w:t> </w:t>
      </w:r>
      <w:r>
        <w:rPr/>
        <w:t>Standard</w:t>
      </w:r>
      <w:r>
        <w:rPr>
          <w:spacing w:val="-3"/>
        </w:rPr>
        <w:t> </w:t>
      </w:r>
      <w:r>
        <w:rPr/>
        <w:t>AS 5577 – Electricity Safety Management Schemes</w:t>
      </w:r>
    </w:p>
    <w:p>
      <w:pPr>
        <w:pStyle w:val="BodyText"/>
        <w:spacing w:before="10"/>
        <w:rPr>
          <w:b/>
          <w:sz w:val="20"/>
        </w:rPr>
      </w:pPr>
    </w:p>
    <w:p>
      <w:pPr>
        <w:pStyle w:val="BodyText"/>
        <w:spacing w:line="288" w:lineRule="auto"/>
        <w:ind w:left="345" w:right="951"/>
      </w:pPr>
      <w:r>
        <w:rPr/>
        <w:t>AS 5577 (Australian Standard, 2013) outlines the standards for developing and implementing Electricity</w:t>
      </w:r>
      <w:r>
        <w:rPr>
          <w:spacing w:val="-1"/>
        </w:rPr>
        <w:t> </w:t>
      </w:r>
      <w:r>
        <w:rPr/>
        <w:t>Safety Management Schemes. Section 1.2 – Fundamental Principles</w:t>
      </w:r>
      <w:r>
        <w:rPr>
          <w:spacing w:val="-2"/>
        </w:rPr>
        <w:t> </w:t>
      </w:r>
      <w:r>
        <w:rPr/>
        <w:t>sets</w:t>
      </w:r>
      <w:r>
        <w:rPr>
          <w:spacing w:val="-4"/>
        </w:rPr>
        <w:t> </w:t>
      </w:r>
      <w:r>
        <w:rPr/>
        <w:t>out</w:t>
      </w:r>
      <w:r>
        <w:rPr>
          <w:spacing w:val="-3"/>
        </w:rPr>
        <w:t> </w:t>
      </w:r>
      <w:r>
        <w:rPr/>
        <w:t>how</w:t>
      </w:r>
      <w:r>
        <w:rPr>
          <w:spacing w:val="-5"/>
        </w:rPr>
        <w:t> </w:t>
      </w:r>
      <w:r>
        <w:rPr/>
        <w:t>the</w:t>
      </w:r>
      <w:r>
        <w:rPr>
          <w:spacing w:val="-2"/>
        </w:rPr>
        <w:t> </w:t>
      </w:r>
      <w:r>
        <w:rPr/>
        <w:t>arrangements</w:t>
      </w:r>
      <w:r>
        <w:rPr>
          <w:spacing w:val="-1"/>
        </w:rPr>
        <w:t> </w:t>
      </w:r>
      <w:r>
        <w:rPr/>
        <w:t>under</w:t>
      </w:r>
      <w:r>
        <w:rPr>
          <w:spacing w:val="-6"/>
        </w:rPr>
        <w:t> </w:t>
      </w:r>
      <w:r>
        <w:rPr/>
        <w:t>AS</w:t>
      </w:r>
      <w:r>
        <w:rPr>
          <w:spacing w:val="-2"/>
        </w:rPr>
        <w:t> </w:t>
      </w:r>
      <w:r>
        <w:rPr/>
        <w:t>5577</w:t>
      </w:r>
      <w:r>
        <w:rPr>
          <w:spacing w:val="-2"/>
        </w:rPr>
        <w:t> </w:t>
      </w:r>
      <w:r>
        <w:rPr/>
        <w:t>are</w:t>
      </w:r>
      <w:r>
        <w:rPr>
          <w:spacing w:val="-4"/>
        </w:rPr>
        <w:t> </w:t>
      </w:r>
      <w:r>
        <w:rPr/>
        <w:t>intended</w:t>
      </w:r>
      <w:r>
        <w:rPr>
          <w:spacing w:val="-4"/>
        </w:rPr>
        <w:t> </w:t>
      </w:r>
      <w:r>
        <w:rPr/>
        <w:t>to</w:t>
      </w:r>
      <w:r>
        <w:rPr>
          <w:spacing w:val="-6"/>
        </w:rPr>
        <w:t> </w:t>
      </w:r>
      <w:r>
        <w:rPr/>
        <w:t>operate</w:t>
      </w:r>
      <w:r>
        <w:rPr>
          <w:spacing w:val="-4"/>
        </w:rPr>
        <w:t> </w:t>
      </w:r>
      <w:r>
        <w:rPr/>
        <w:t>in conjunction with relevant occupational health and safety requirements:</w:t>
      </w:r>
    </w:p>
    <w:p>
      <w:pPr>
        <w:pStyle w:val="BodyText"/>
        <w:spacing w:before="10"/>
        <w:rPr>
          <w:sz w:val="20"/>
        </w:rPr>
      </w:pPr>
    </w:p>
    <w:p>
      <w:pPr>
        <w:spacing w:line="288" w:lineRule="auto" w:before="0"/>
        <w:ind w:left="799" w:right="1720" w:firstLine="0"/>
        <w:jc w:val="left"/>
        <w:rPr>
          <w:i/>
          <w:sz w:val="22"/>
        </w:rPr>
      </w:pPr>
      <w:r>
        <w:rPr>
          <w:i/>
          <w:sz w:val="22"/>
        </w:rPr>
        <w:t>“This</w:t>
      </w:r>
      <w:r>
        <w:rPr>
          <w:i/>
          <w:spacing w:val="-1"/>
          <w:sz w:val="22"/>
        </w:rPr>
        <w:t> </w:t>
      </w:r>
      <w:r>
        <w:rPr>
          <w:i/>
          <w:sz w:val="22"/>
        </w:rPr>
        <w:t>Standard</w:t>
      </w:r>
      <w:r>
        <w:rPr>
          <w:i/>
          <w:spacing w:val="-2"/>
          <w:sz w:val="22"/>
        </w:rPr>
        <w:t> </w:t>
      </w:r>
      <w:r>
        <w:rPr>
          <w:i/>
          <w:sz w:val="22"/>
        </w:rPr>
        <w:t>exists</w:t>
      </w:r>
      <w:r>
        <w:rPr>
          <w:i/>
          <w:spacing w:val="-1"/>
          <w:sz w:val="22"/>
        </w:rPr>
        <w:t> </w:t>
      </w:r>
      <w:r>
        <w:rPr>
          <w:i/>
          <w:sz w:val="22"/>
        </w:rPr>
        <w:t>in</w:t>
      </w:r>
      <w:r>
        <w:rPr>
          <w:i/>
          <w:spacing w:val="-4"/>
          <w:sz w:val="22"/>
        </w:rPr>
        <w:t> </w:t>
      </w:r>
      <w:r>
        <w:rPr>
          <w:i/>
          <w:sz w:val="22"/>
        </w:rPr>
        <w:t>the</w:t>
      </w:r>
      <w:r>
        <w:rPr>
          <w:i/>
          <w:spacing w:val="-2"/>
          <w:sz w:val="22"/>
        </w:rPr>
        <w:t> </w:t>
      </w:r>
      <w:r>
        <w:rPr>
          <w:i/>
          <w:sz w:val="22"/>
        </w:rPr>
        <w:t>context</w:t>
      </w:r>
      <w:r>
        <w:rPr>
          <w:i/>
          <w:spacing w:val="-3"/>
          <w:sz w:val="22"/>
        </w:rPr>
        <w:t> </w:t>
      </w:r>
      <w:r>
        <w:rPr>
          <w:i/>
          <w:sz w:val="22"/>
        </w:rPr>
        <w:t>of</w:t>
      </w:r>
      <w:r>
        <w:rPr>
          <w:i/>
          <w:spacing w:val="-3"/>
          <w:sz w:val="22"/>
        </w:rPr>
        <w:t> </w:t>
      </w:r>
      <w:r>
        <w:rPr>
          <w:i/>
          <w:sz w:val="22"/>
        </w:rPr>
        <w:t>and</w:t>
      </w:r>
      <w:r>
        <w:rPr>
          <w:i/>
          <w:spacing w:val="-2"/>
          <w:sz w:val="22"/>
        </w:rPr>
        <w:t> </w:t>
      </w:r>
      <w:r>
        <w:rPr>
          <w:i/>
          <w:sz w:val="22"/>
        </w:rPr>
        <w:t>is</w:t>
      </w:r>
      <w:r>
        <w:rPr>
          <w:i/>
          <w:spacing w:val="-4"/>
          <w:sz w:val="22"/>
        </w:rPr>
        <w:t> </w:t>
      </w:r>
      <w:r>
        <w:rPr>
          <w:i/>
          <w:sz w:val="22"/>
        </w:rPr>
        <w:t>complementary</w:t>
      </w:r>
      <w:r>
        <w:rPr>
          <w:i/>
          <w:spacing w:val="-4"/>
          <w:sz w:val="22"/>
        </w:rPr>
        <w:t> </w:t>
      </w:r>
      <w:r>
        <w:rPr>
          <w:i/>
          <w:sz w:val="22"/>
        </w:rPr>
        <w:t>to</w:t>
      </w:r>
      <w:r>
        <w:rPr>
          <w:i/>
          <w:spacing w:val="-2"/>
          <w:sz w:val="22"/>
        </w:rPr>
        <w:t> </w:t>
      </w:r>
      <w:r>
        <w:rPr>
          <w:i/>
          <w:sz w:val="22"/>
        </w:rPr>
        <w:t>National</w:t>
      </w:r>
      <w:r>
        <w:rPr>
          <w:i/>
          <w:spacing w:val="-5"/>
          <w:sz w:val="22"/>
        </w:rPr>
        <w:t> </w:t>
      </w:r>
      <w:r>
        <w:rPr>
          <w:i/>
          <w:sz w:val="22"/>
        </w:rPr>
        <w:t>Work Health and Safety regulations. Nothing in this Standard relieves any persons designing or working on or near electricity networks of any safety obligations imposed under jurisdictional or national work health and safety legislation.</w:t>
      </w:r>
    </w:p>
    <w:p>
      <w:pPr>
        <w:pStyle w:val="BodyText"/>
        <w:spacing w:before="10"/>
        <w:rPr>
          <w:i/>
          <w:sz w:val="20"/>
        </w:rPr>
      </w:pPr>
    </w:p>
    <w:p>
      <w:pPr>
        <w:spacing w:line="288" w:lineRule="auto" w:before="0"/>
        <w:ind w:left="799" w:right="1720" w:firstLine="0"/>
        <w:jc w:val="left"/>
        <w:rPr>
          <w:i/>
          <w:sz w:val="22"/>
        </w:rPr>
      </w:pPr>
      <w:r>
        <w:rPr>
          <w:i/>
          <w:sz w:val="22"/>
        </w:rPr>
        <w:t>The Network Operator is responsible for the safe design, construction, commissioning,</w:t>
      </w:r>
      <w:r>
        <w:rPr>
          <w:i/>
          <w:spacing w:val="-6"/>
          <w:sz w:val="22"/>
        </w:rPr>
        <w:t> </w:t>
      </w:r>
      <w:r>
        <w:rPr>
          <w:i/>
          <w:sz w:val="22"/>
        </w:rPr>
        <w:t>operation,</w:t>
      </w:r>
      <w:r>
        <w:rPr>
          <w:i/>
          <w:spacing w:val="-6"/>
          <w:sz w:val="22"/>
        </w:rPr>
        <w:t> </w:t>
      </w:r>
      <w:r>
        <w:rPr>
          <w:i/>
          <w:sz w:val="22"/>
        </w:rPr>
        <w:t>maintenance</w:t>
      </w:r>
      <w:r>
        <w:rPr>
          <w:i/>
          <w:spacing w:val="-7"/>
          <w:sz w:val="22"/>
        </w:rPr>
        <w:t> </w:t>
      </w:r>
      <w:r>
        <w:rPr>
          <w:i/>
          <w:sz w:val="22"/>
        </w:rPr>
        <w:t>and</w:t>
      </w:r>
      <w:r>
        <w:rPr>
          <w:i/>
          <w:spacing w:val="-5"/>
          <w:sz w:val="22"/>
        </w:rPr>
        <w:t> </w:t>
      </w:r>
      <w:r>
        <w:rPr>
          <w:i/>
          <w:sz w:val="22"/>
        </w:rPr>
        <w:t>decommissioning</w:t>
      </w:r>
      <w:r>
        <w:rPr>
          <w:i/>
          <w:spacing w:val="-5"/>
          <w:sz w:val="22"/>
        </w:rPr>
        <w:t> </w:t>
      </w:r>
      <w:r>
        <w:rPr>
          <w:i/>
          <w:sz w:val="22"/>
        </w:rPr>
        <w:t>of</w:t>
      </w:r>
      <w:r>
        <w:rPr>
          <w:i/>
          <w:spacing w:val="-3"/>
          <w:sz w:val="22"/>
        </w:rPr>
        <w:t> </w:t>
      </w:r>
      <w:r>
        <w:rPr>
          <w:i/>
          <w:sz w:val="22"/>
        </w:rPr>
        <w:t>an</w:t>
      </w:r>
      <w:r>
        <w:rPr>
          <w:i/>
          <w:spacing w:val="-7"/>
          <w:sz w:val="22"/>
        </w:rPr>
        <w:t> </w:t>
      </w:r>
      <w:r>
        <w:rPr>
          <w:i/>
          <w:sz w:val="22"/>
        </w:rPr>
        <w:t>electricity </w:t>
      </w:r>
      <w:r>
        <w:rPr>
          <w:i/>
          <w:spacing w:val="-2"/>
          <w:sz w:val="22"/>
        </w:rPr>
        <w:t>network.</w:t>
      </w:r>
    </w:p>
    <w:p>
      <w:pPr>
        <w:pStyle w:val="BodyText"/>
        <w:spacing w:before="10"/>
        <w:rPr>
          <w:i/>
          <w:sz w:val="20"/>
        </w:rPr>
      </w:pPr>
    </w:p>
    <w:p>
      <w:pPr>
        <w:pStyle w:val="ListParagraph"/>
        <w:numPr>
          <w:ilvl w:val="0"/>
          <w:numId w:val="58"/>
        </w:numPr>
        <w:tabs>
          <w:tab w:pos="1159" w:val="left" w:leader="none"/>
        </w:tabs>
        <w:spacing w:line="268" w:lineRule="auto" w:before="0" w:after="0"/>
        <w:ind w:left="1159" w:right="1767" w:hanging="360"/>
        <w:jc w:val="left"/>
        <w:rPr>
          <w:i/>
          <w:sz w:val="22"/>
        </w:rPr>
      </w:pPr>
      <w:r>
        <w:rPr>
          <w:i/>
          <w:sz w:val="22"/>
        </w:rPr>
        <w:t>The</w:t>
      </w:r>
      <w:r>
        <w:rPr>
          <w:i/>
          <w:spacing w:val="-3"/>
          <w:sz w:val="22"/>
        </w:rPr>
        <w:t> </w:t>
      </w:r>
      <w:r>
        <w:rPr>
          <w:i/>
          <w:sz w:val="22"/>
        </w:rPr>
        <w:t>Network</w:t>
      </w:r>
      <w:r>
        <w:rPr>
          <w:i/>
          <w:spacing w:val="-7"/>
          <w:sz w:val="22"/>
        </w:rPr>
        <w:t> </w:t>
      </w:r>
      <w:r>
        <w:rPr>
          <w:i/>
          <w:sz w:val="22"/>
        </w:rPr>
        <w:t>Operator</w:t>
      </w:r>
      <w:r>
        <w:rPr>
          <w:i/>
          <w:spacing w:val="-4"/>
          <w:sz w:val="22"/>
        </w:rPr>
        <w:t> </w:t>
      </w:r>
      <w:r>
        <w:rPr>
          <w:i/>
          <w:sz w:val="22"/>
        </w:rPr>
        <w:t>cannot</w:t>
      </w:r>
      <w:r>
        <w:rPr>
          <w:i/>
          <w:spacing w:val="-2"/>
          <w:sz w:val="22"/>
        </w:rPr>
        <w:t> </w:t>
      </w:r>
      <w:r>
        <w:rPr>
          <w:i/>
          <w:sz w:val="22"/>
        </w:rPr>
        <w:t>delegate</w:t>
      </w:r>
      <w:r>
        <w:rPr>
          <w:i/>
          <w:spacing w:val="-5"/>
          <w:sz w:val="22"/>
        </w:rPr>
        <w:t> </w:t>
      </w:r>
      <w:r>
        <w:rPr>
          <w:i/>
          <w:sz w:val="22"/>
        </w:rPr>
        <w:t>its</w:t>
      </w:r>
      <w:r>
        <w:rPr>
          <w:i/>
          <w:spacing w:val="-5"/>
          <w:sz w:val="22"/>
        </w:rPr>
        <w:t> </w:t>
      </w:r>
      <w:r>
        <w:rPr>
          <w:i/>
          <w:sz w:val="22"/>
        </w:rPr>
        <w:t>accountability</w:t>
      </w:r>
      <w:r>
        <w:rPr>
          <w:i/>
          <w:spacing w:val="-3"/>
          <w:sz w:val="22"/>
        </w:rPr>
        <w:t> </w:t>
      </w:r>
      <w:r>
        <w:rPr>
          <w:i/>
          <w:sz w:val="22"/>
        </w:rPr>
        <w:t>for</w:t>
      </w:r>
      <w:r>
        <w:rPr>
          <w:i/>
          <w:spacing w:val="-4"/>
          <w:sz w:val="22"/>
        </w:rPr>
        <w:t> </w:t>
      </w:r>
      <w:r>
        <w:rPr>
          <w:i/>
          <w:sz w:val="22"/>
        </w:rPr>
        <w:t>the</w:t>
      </w:r>
      <w:r>
        <w:rPr>
          <w:i/>
          <w:spacing w:val="-3"/>
          <w:sz w:val="22"/>
        </w:rPr>
        <w:t> </w:t>
      </w:r>
      <w:r>
        <w:rPr>
          <w:i/>
          <w:sz w:val="22"/>
        </w:rPr>
        <w:t>safety</w:t>
      </w:r>
      <w:r>
        <w:rPr>
          <w:i/>
          <w:spacing w:val="-3"/>
          <w:sz w:val="22"/>
        </w:rPr>
        <w:t> </w:t>
      </w:r>
      <w:r>
        <w:rPr>
          <w:i/>
          <w:sz w:val="22"/>
        </w:rPr>
        <w:t>and integrity of the electricity network.</w:t>
      </w:r>
    </w:p>
    <w:p>
      <w:pPr>
        <w:pStyle w:val="BodyText"/>
        <w:spacing w:before="8"/>
        <w:rPr>
          <w:i/>
        </w:rPr>
      </w:pPr>
    </w:p>
    <w:p>
      <w:pPr>
        <w:pStyle w:val="ListParagraph"/>
        <w:numPr>
          <w:ilvl w:val="0"/>
          <w:numId w:val="58"/>
        </w:numPr>
        <w:tabs>
          <w:tab w:pos="1159" w:val="left" w:leader="none"/>
        </w:tabs>
        <w:spacing w:line="266" w:lineRule="auto" w:before="0" w:after="0"/>
        <w:ind w:left="1159" w:right="1665" w:hanging="360"/>
        <w:jc w:val="left"/>
        <w:rPr>
          <w:i/>
          <w:sz w:val="22"/>
        </w:rPr>
      </w:pPr>
      <w:r>
        <w:rPr>
          <w:i/>
          <w:sz w:val="22"/>
        </w:rPr>
        <w:t>The</w:t>
      </w:r>
      <w:r>
        <w:rPr>
          <w:i/>
          <w:spacing w:val="-3"/>
          <w:sz w:val="22"/>
        </w:rPr>
        <w:t> </w:t>
      </w:r>
      <w:r>
        <w:rPr>
          <w:i/>
          <w:sz w:val="22"/>
        </w:rPr>
        <w:t>Network</w:t>
      </w:r>
      <w:r>
        <w:rPr>
          <w:i/>
          <w:spacing w:val="-7"/>
          <w:sz w:val="22"/>
        </w:rPr>
        <w:t> </w:t>
      </w:r>
      <w:r>
        <w:rPr>
          <w:i/>
          <w:sz w:val="22"/>
        </w:rPr>
        <w:t>Operator</w:t>
      </w:r>
      <w:r>
        <w:rPr>
          <w:i/>
          <w:spacing w:val="-4"/>
          <w:sz w:val="22"/>
        </w:rPr>
        <w:t> </w:t>
      </w:r>
      <w:r>
        <w:rPr>
          <w:i/>
          <w:sz w:val="22"/>
        </w:rPr>
        <w:t>cannot</w:t>
      </w:r>
      <w:r>
        <w:rPr>
          <w:i/>
          <w:spacing w:val="-1"/>
          <w:sz w:val="22"/>
        </w:rPr>
        <w:t> </w:t>
      </w:r>
      <w:r>
        <w:rPr>
          <w:i/>
          <w:sz w:val="22"/>
        </w:rPr>
        <w:t>delegate</w:t>
      </w:r>
      <w:r>
        <w:rPr>
          <w:i/>
          <w:spacing w:val="-5"/>
          <w:sz w:val="22"/>
        </w:rPr>
        <w:t> </w:t>
      </w:r>
      <w:r>
        <w:rPr>
          <w:i/>
          <w:sz w:val="22"/>
        </w:rPr>
        <w:t>its</w:t>
      </w:r>
      <w:r>
        <w:rPr>
          <w:i/>
          <w:spacing w:val="-5"/>
          <w:sz w:val="22"/>
        </w:rPr>
        <w:t> </w:t>
      </w:r>
      <w:r>
        <w:rPr>
          <w:i/>
          <w:sz w:val="22"/>
        </w:rPr>
        <w:t>accountability</w:t>
      </w:r>
      <w:r>
        <w:rPr>
          <w:i/>
          <w:spacing w:val="-2"/>
          <w:sz w:val="22"/>
        </w:rPr>
        <w:t> </w:t>
      </w:r>
      <w:r>
        <w:rPr>
          <w:i/>
          <w:sz w:val="22"/>
        </w:rPr>
        <w:t>for</w:t>
      </w:r>
      <w:r>
        <w:rPr>
          <w:i/>
          <w:spacing w:val="-4"/>
          <w:sz w:val="22"/>
        </w:rPr>
        <w:t> </w:t>
      </w:r>
      <w:r>
        <w:rPr>
          <w:i/>
          <w:sz w:val="22"/>
        </w:rPr>
        <w:t>the</w:t>
      </w:r>
      <w:r>
        <w:rPr>
          <w:i/>
          <w:spacing w:val="-3"/>
          <w:sz w:val="22"/>
        </w:rPr>
        <w:t> </w:t>
      </w:r>
      <w:r>
        <w:rPr>
          <w:i/>
          <w:sz w:val="22"/>
        </w:rPr>
        <w:t>safety</w:t>
      </w:r>
      <w:r>
        <w:rPr>
          <w:i/>
          <w:spacing w:val="-2"/>
          <w:sz w:val="22"/>
        </w:rPr>
        <w:t> </w:t>
      </w:r>
      <w:r>
        <w:rPr>
          <w:i/>
          <w:sz w:val="22"/>
        </w:rPr>
        <w:t>of</w:t>
      </w:r>
      <w:r>
        <w:rPr>
          <w:i/>
          <w:spacing w:val="-1"/>
          <w:sz w:val="22"/>
        </w:rPr>
        <w:t> </w:t>
      </w:r>
      <w:r>
        <w:rPr>
          <w:i/>
          <w:sz w:val="22"/>
        </w:rPr>
        <w:t>its works and its contractors.”</w:t>
      </w:r>
    </w:p>
    <w:p>
      <w:pPr>
        <w:pStyle w:val="BodyText"/>
        <w:rPr>
          <w:i/>
          <w:sz w:val="24"/>
        </w:rPr>
      </w:pPr>
    </w:p>
    <w:p>
      <w:pPr>
        <w:pStyle w:val="BodyText"/>
        <w:spacing w:before="5"/>
        <w:rPr>
          <w:i/>
          <w:sz w:val="30"/>
        </w:rPr>
      </w:pPr>
    </w:p>
    <w:p>
      <w:pPr>
        <w:pStyle w:val="Heading4"/>
        <w:spacing w:before="0"/>
      </w:pPr>
      <w:r>
        <w:rPr>
          <w:color w:val="585858"/>
        </w:rPr>
        <w:t>The</w:t>
      </w:r>
      <w:r>
        <w:rPr>
          <w:color w:val="585858"/>
          <w:spacing w:val="-11"/>
        </w:rPr>
        <w:t> </w:t>
      </w:r>
      <w:r>
        <w:rPr>
          <w:color w:val="585858"/>
        </w:rPr>
        <w:t>role</w:t>
      </w:r>
      <w:r>
        <w:rPr>
          <w:color w:val="585858"/>
          <w:spacing w:val="-10"/>
        </w:rPr>
        <w:t> </w:t>
      </w:r>
      <w:r>
        <w:rPr>
          <w:color w:val="585858"/>
        </w:rPr>
        <w:t>of</w:t>
      </w:r>
      <w:r>
        <w:rPr>
          <w:color w:val="585858"/>
          <w:spacing w:val="-10"/>
        </w:rPr>
        <w:t> </w:t>
      </w:r>
      <w:r>
        <w:rPr>
          <w:color w:val="585858"/>
        </w:rPr>
        <w:t>WorkSafe</w:t>
      </w:r>
      <w:r>
        <w:rPr>
          <w:color w:val="585858"/>
          <w:spacing w:val="-11"/>
        </w:rPr>
        <w:t> </w:t>
      </w:r>
      <w:r>
        <w:rPr>
          <w:color w:val="585858"/>
        </w:rPr>
        <w:t>Victoria</w:t>
      </w:r>
      <w:r>
        <w:rPr>
          <w:color w:val="585858"/>
          <w:spacing w:val="-10"/>
        </w:rPr>
        <w:t> </w:t>
      </w:r>
      <w:r>
        <w:rPr>
          <w:color w:val="585858"/>
        </w:rPr>
        <w:t>in</w:t>
      </w:r>
      <w:r>
        <w:rPr>
          <w:color w:val="585858"/>
          <w:spacing w:val="-10"/>
        </w:rPr>
        <w:t> </w:t>
      </w:r>
      <w:r>
        <w:rPr>
          <w:color w:val="585858"/>
        </w:rPr>
        <w:t>energy</w:t>
      </w:r>
      <w:r>
        <w:rPr>
          <w:color w:val="585858"/>
          <w:spacing w:val="-14"/>
        </w:rPr>
        <w:t> </w:t>
      </w:r>
      <w:r>
        <w:rPr>
          <w:color w:val="585858"/>
          <w:spacing w:val="-2"/>
        </w:rPr>
        <w:t>safety</w:t>
      </w:r>
    </w:p>
    <w:p>
      <w:pPr>
        <w:pStyle w:val="BodyText"/>
        <w:spacing w:line="288" w:lineRule="auto" w:before="314"/>
        <w:ind w:left="232" w:right="374"/>
      </w:pPr>
      <w:r>
        <w:rPr/>
        <w:t>Working on or near electricity and gas network assets can result in serious consequences to workers if safe work practices are not adhered to. Examples of such risks include contact with powerlines, which can result in serious injury or death from electrocution, and accidental damage to</w:t>
      </w:r>
      <w:r>
        <w:rPr>
          <w:spacing w:val="-4"/>
        </w:rPr>
        <w:t> </w:t>
      </w:r>
      <w:r>
        <w:rPr/>
        <w:t>gas</w:t>
      </w:r>
      <w:r>
        <w:rPr>
          <w:spacing w:val="-4"/>
        </w:rPr>
        <w:t> </w:t>
      </w:r>
      <w:r>
        <w:rPr/>
        <w:t>pipelines</w:t>
      </w:r>
      <w:r>
        <w:rPr>
          <w:spacing w:val="-1"/>
        </w:rPr>
        <w:t> </w:t>
      </w:r>
      <w:r>
        <w:rPr/>
        <w:t>that can</w:t>
      </w:r>
      <w:r>
        <w:rPr>
          <w:spacing w:val="-7"/>
        </w:rPr>
        <w:t> </w:t>
      </w:r>
      <w:r>
        <w:rPr/>
        <w:t>result in</w:t>
      </w:r>
      <w:r>
        <w:rPr>
          <w:spacing w:val="-4"/>
        </w:rPr>
        <w:t> </w:t>
      </w:r>
      <w:r>
        <w:rPr/>
        <w:t>a</w:t>
      </w:r>
      <w:r>
        <w:rPr>
          <w:spacing w:val="-4"/>
        </w:rPr>
        <w:t> </w:t>
      </w:r>
      <w:r>
        <w:rPr/>
        <w:t>fire</w:t>
      </w:r>
      <w:r>
        <w:rPr>
          <w:spacing w:val="-2"/>
        </w:rPr>
        <w:t> </w:t>
      </w:r>
      <w:r>
        <w:rPr/>
        <w:t>or</w:t>
      </w:r>
      <w:r>
        <w:rPr>
          <w:spacing w:val="-1"/>
        </w:rPr>
        <w:t> </w:t>
      </w:r>
      <w:r>
        <w:rPr/>
        <w:t>explosion, with</w:t>
      </w:r>
      <w:r>
        <w:rPr>
          <w:spacing w:val="-2"/>
        </w:rPr>
        <w:t> </w:t>
      </w:r>
      <w:r>
        <w:rPr/>
        <w:t>serious</w:t>
      </w:r>
      <w:r>
        <w:rPr>
          <w:spacing w:val="-4"/>
        </w:rPr>
        <w:t> </w:t>
      </w:r>
      <w:r>
        <w:rPr/>
        <w:t>consequences</w:t>
      </w:r>
      <w:r>
        <w:rPr>
          <w:spacing w:val="-1"/>
        </w:rPr>
        <w:t> </w:t>
      </w:r>
      <w:r>
        <w:rPr/>
        <w:t>if due</w:t>
      </w:r>
      <w:r>
        <w:rPr>
          <w:spacing w:val="-2"/>
        </w:rPr>
        <w:t> </w:t>
      </w:r>
      <w:r>
        <w:rPr/>
        <w:t>diligence</w:t>
      </w:r>
      <w:r>
        <w:rPr>
          <w:spacing w:val="-4"/>
        </w:rPr>
        <w:t> </w:t>
      </w:r>
      <w:r>
        <w:rPr/>
        <w:t>is not followed.</w:t>
      </w:r>
    </w:p>
    <w:p>
      <w:pPr>
        <w:pStyle w:val="BodyText"/>
        <w:spacing w:before="9"/>
        <w:rPr>
          <w:sz w:val="20"/>
        </w:rPr>
      </w:pPr>
    </w:p>
    <w:p>
      <w:pPr>
        <w:pStyle w:val="BodyText"/>
        <w:spacing w:line="288" w:lineRule="auto"/>
        <w:ind w:left="232" w:right="320"/>
      </w:pPr>
      <w:r>
        <w:rPr/>
        <w:t>As ESV and WorkSafe Victoria are both safety regulators, it is inevitable that there are areas of regulatory overlap regarding the investigation of energy network workplace incidents and issuing guidance for employers and any persons working on or near these network assets. Further information</w:t>
      </w:r>
      <w:r>
        <w:rPr>
          <w:spacing w:val="-3"/>
        </w:rPr>
        <w:t> </w:t>
      </w:r>
      <w:r>
        <w:rPr/>
        <w:t>on</w:t>
      </w:r>
      <w:r>
        <w:rPr>
          <w:spacing w:val="-5"/>
        </w:rPr>
        <w:t> </w:t>
      </w:r>
      <w:r>
        <w:rPr/>
        <w:t>the</w:t>
      </w:r>
      <w:r>
        <w:rPr>
          <w:spacing w:val="-5"/>
        </w:rPr>
        <w:t> </w:t>
      </w:r>
      <w:r>
        <w:rPr/>
        <w:t>workplace</w:t>
      </w:r>
      <w:r>
        <w:rPr>
          <w:spacing w:val="-3"/>
        </w:rPr>
        <w:t> </w:t>
      </w:r>
      <w:r>
        <w:rPr/>
        <w:t>health</w:t>
      </w:r>
      <w:r>
        <w:rPr>
          <w:spacing w:val="-3"/>
        </w:rPr>
        <w:t> </w:t>
      </w:r>
      <w:r>
        <w:rPr/>
        <w:t>and</w:t>
      </w:r>
      <w:r>
        <w:rPr>
          <w:spacing w:val="-5"/>
        </w:rPr>
        <w:t> </w:t>
      </w:r>
      <w:r>
        <w:rPr/>
        <w:t>safety</w:t>
      </w:r>
      <w:r>
        <w:rPr>
          <w:spacing w:val="-5"/>
        </w:rPr>
        <w:t> </w:t>
      </w:r>
      <w:r>
        <w:rPr/>
        <w:t>obligations</w:t>
      </w:r>
      <w:r>
        <w:rPr>
          <w:spacing w:val="-3"/>
        </w:rPr>
        <w:t> </w:t>
      </w:r>
      <w:r>
        <w:rPr/>
        <w:t>of</w:t>
      </w:r>
      <w:r>
        <w:rPr>
          <w:spacing w:val="-1"/>
        </w:rPr>
        <w:t> </w:t>
      </w:r>
      <w:r>
        <w:rPr/>
        <w:t>network</w:t>
      </w:r>
      <w:r>
        <w:rPr>
          <w:spacing w:val="-2"/>
        </w:rPr>
        <w:t> </w:t>
      </w:r>
      <w:r>
        <w:rPr/>
        <w:t>businesses</w:t>
      </w:r>
      <w:r>
        <w:rPr>
          <w:spacing w:val="-3"/>
        </w:rPr>
        <w:t> </w:t>
      </w:r>
      <w:r>
        <w:rPr/>
        <w:t>is</w:t>
      </w:r>
      <w:r>
        <w:rPr>
          <w:spacing w:val="-5"/>
        </w:rPr>
        <w:t> </w:t>
      </w:r>
      <w:r>
        <w:rPr/>
        <w:t>summarised</w:t>
      </w:r>
      <w:r>
        <w:rPr>
          <w:spacing w:val="-5"/>
        </w:rPr>
        <w:t> </w:t>
      </w:r>
      <w:r>
        <w:rPr/>
        <w:t>in the box below.</w:t>
      </w:r>
    </w:p>
    <w:p>
      <w:pPr>
        <w:spacing w:after="0" w:line="288" w:lineRule="auto"/>
        <w:sectPr>
          <w:pgSz w:w="11910" w:h="16850"/>
          <w:pgMar w:header="220" w:footer="678" w:top="420" w:bottom="860" w:left="900" w:right="840"/>
        </w:sectPr>
      </w:pPr>
    </w:p>
    <w:p>
      <w:pPr>
        <w:pStyle w:val="BodyText"/>
        <w:rPr>
          <w:sz w:val="20"/>
        </w:rPr>
      </w:pPr>
    </w:p>
    <w:p>
      <w:pPr>
        <w:pStyle w:val="BodyText"/>
        <w:rPr>
          <w:sz w:val="20"/>
        </w:rPr>
      </w:pPr>
    </w:p>
    <w:p>
      <w:pPr>
        <w:pStyle w:val="BodyText"/>
        <w:spacing w:before="1"/>
        <w:rPr>
          <w:sz w:val="20"/>
        </w:rPr>
      </w:pPr>
    </w:p>
    <w:p>
      <w:pPr>
        <w:pStyle w:val="Heading7"/>
        <w:spacing w:before="94"/>
        <w:ind w:left="374"/>
      </w:pPr>
      <w:r>
        <w:rPr/>
        <mc:AlternateContent>
          <mc:Choice Requires="wps">
            <w:drawing>
              <wp:anchor distT="0" distB="0" distL="0" distR="0" allowOverlap="1" layoutInCell="1" locked="0" behindDoc="1" simplePos="0" relativeHeight="482729472">
                <wp:simplePos x="0" y="0"/>
                <wp:positionH relativeFrom="page">
                  <wp:posOffset>719327</wp:posOffset>
                </wp:positionH>
                <wp:positionV relativeFrom="paragraph">
                  <wp:posOffset>-92737</wp:posOffset>
                </wp:positionV>
                <wp:extent cx="5870575" cy="6321425"/>
                <wp:effectExtent l="0" t="0" r="0" b="0"/>
                <wp:wrapNone/>
                <wp:docPr id="162" name="Graphic 162"/>
                <wp:cNvGraphicFramePr>
                  <a:graphicFrameLocks/>
                </wp:cNvGraphicFramePr>
                <a:graphic>
                  <a:graphicData uri="http://schemas.microsoft.com/office/word/2010/wordprocessingShape">
                    <wps:wsp>
                      <wps:cNvPr id="162" name="Graphic 162"/>
                      <wps:cNvSpPr/>
                      <wps:spPr>
                        <a:xfrm>
                          <a:off x="0" y="0"/>
                          <a:ext cx="5870575" cy="6321425"/>
                        </a:xfrm>
                        <a:custGeom>
                          <a:avLst/>
                          <a:gdLst/>
                          <a:ahLst/>
                          <a:cxnLst/>
                          <a:rect l="l" t="t" r="r" b="b"/>
                          <a:pathLst>
                            <a:path w="5870575" h="6321425">
                              <a:moveTo>
                                <a:pt x="5870194" y="0"/>
                              </a:moveTo>
                              <a:lnTo>
                                <a:pt x="0" y="0"/>
                              </a:lnTo>
                              <a:lnTo>
                                <a:pt x="0" y="6320917"/>
                              </a:lnTo>
                              <a:lnTo>
                                <a:pt x="5870194" y="6320917"/>
                              </a:lnTo>
                              <a:lnTo>
                                <a:pt x="5870194" y="0"/>
                              </a:lnTo>
                              <a:close/>
                            </a:path>
                          </a:pathLst>
                        </a:custGeom>
                        <a:solidFill>
                          <a:srgbClr val="CDEBEB"/>
                        </a:solidFill>
                      </wps:spPr>
                      <wps:bodyPr wrap="square" lIns="0" tIns="0" rIns="0" bIns="0" rtlCol="0">
                        <a:prstTxWarp prst="textNoShape">
                          <a:avLst/>
                        </a:prstTxWarp>
                        <a:noAutofit/>
                      </wps:bodyPr>
                    </wps:wsp>
                  </a:graphicData>
                </a:graphic>
              </wp:anchor>
            </w:drawing>
          </mc:Choice>
          <mc:Fallback>
            <w:pict>
              <v:rect style="position:absolute;margin-left:56.639999pt;margin-top:-7.302148pt;width:462.22pt;height:497.71pt;mso-position-horizontal-relative:page;mso-position-vertical-relative:paragraph;z-index:-20587008" id="docshape145" filled="true" fillcolor="#cdebeb" stroked="false">
                <v:fill type="solid"/>
                <w10:wrap type="none"/>
              </v:rect>
            </w:pict>
          </mc:Fallback>
        </mc:AlternateContent>
      </w:r>
      <w:r>
        <w:rPr/>
        <w:t>Box</w:t>
      </w:r>
      <w:r>
        <w:rPr>
          <w:spacing w:val="-6"/>
        </w:rPr>
        <w:t> </w:t>
      </w:r>
      <w:r>
        <w:rPr/>
        <w:t>15:</w:t>
      </w:r>
      <w:r>
        <w:rPr>
          <w:spacing w:val="-4"/>
        </w:rPr>
        <w:t> </w:t>
      </w:r>
      <w:r>
        <w:rPr/>
        <w:t>Network</w:t>
      </w:r>
      <w:r>
        <w:rPr>
          <w:spacing w:val="-3"/>
        </w:rPr>
        <w:t> </w:t>
      </w:r>
      <w:r>
        <w:rPr/>
        <w:t>businesses</w:t>
      </w:r>
      <w:r>
        <w:rPr>
          <w:spacing w:val="-4"/>
        </w:rPr>
        <w:t> </w:t>
      </w:r>
      <w:r>
        <w:rPr/>
        <w:t>and</w:t>
      </w:r>
      <w:r>
        <w:rPr>
          <w:spacing w:val="-5"/>
        </w:rPr>
        <w:t> </w:t>
      </w:r>
      <w:r>
        <w:rPr/>
        <w:t>the</w:t>
      </w:r>
      <w:r>
        <w:rPr>
          <w:spacing w:val="-9"/>
        </w:rPr>
        <w:t> </w:t>
      </w:r>
      <w:r>
        <w:rPr/>
        <w:t>workplace</w:t>
      </w:r>
      <w:r>
        <w:rPr>
          <w:spacing w:val="-4"/>
        </w:rPr>
        <w:t> </w:t>
      </w:r>
      <w:r>
        <w:rPr/>
        <w:t>health</w:t>
      </w:r>
      <w:r>
        <w:rPr>
          <w:spacing w:val="-4"/>
        </w:rPr>
        <w:t> </w:t>
      </w:r>
      <w:r>
        <w:rPr/>
        <w:t>and</w:t>
      </w:r>
      <w:r>
        <w:rPr>
          <w:spacing w:val="-7"/>
        </w:rPr>
        <w:t> </w:t>
      </w:r>
      <w:r>
        <w:rPr/>
        <w:t>safety</w:t>
      </w:r>
      <w:r>
        <w:rPr>
          <w:spacing w:val="-7"/>
        </w:rPr>
        <w:t> </w:t>
      </w:r>
      <w:r>
        <w:rPr>
          <w:spacing w:val="-2"/>
        </w:rPr>
        <w:t>system</w:t>
      </w:r>
    </w:p>
    <w:p>
      <w:pPr>
        <w:pStyle w:val="BodyText"/>
        <w:spacing w:before="2"/>
        <w:rPr>
          <w:b/>
          <w:sz w:val="25"/>
        </w:rPr>
      </w:pPr>
    </w:p>
    <w:p>
      <w:pPr>
        <w:pStyle w:val="BodyText"/>
        <w:spacing w:line="290" w:lineRule="auto"/>
        <w:ind w:left="345" w:right="951"/>
      </w:pPr>
      <w:r>
        <w:rPr/>
        <w:t>In</w:t>
      </w:r>
      <w:r>
        <w:rPr>
          <w:spacing w:val="-2"/>
        </w:rPr>
        <w:t> </w:t>
      </w:r>
      <w:r>
        <w:rPr/>
        <w:t>very</w:t>
      </w:r>
      <w:r>
        <w:rPr>
          <w:spacing w:val="-3"/>
        </w:rPr>
        <w:t> </w:t>
      </w:r>
      <w:r>
        <w:rPr/>
        <w:t>broad</w:t>
      </w:r>
      <w:r>
        <w:rPr>
          <w:spacing w:val="-4"/>
        </w:rPr>
        <w:t> </w:t>
      </w:r>
      <w:r>
        <w:rPr/>
        <w:t>terms, electricity</w:t>
      </w:r>
      <w:r>
        <w:rPr>
          <w:spacing w:val="-4"/>
        </w:rPr>
        <w:t> </w:t>
      </w:r>
      <w:r>
        <w:rPr/>
        <w:t>and</w:t>
      </w:r>
      <w:r>
        <w:rPr>
          <w:spacing w:val="-4"/>
        </w:rPr>
        <w:t> </w:t>
      </w:r>
      <w:r>
        <w:rPr/>
        <w:t>gas</w:t>
      </w:r>
      <w:r>
        <w:rPr>
          <w:spacing w:val="-4"/>
        </w:rPr>
        <w:t> </w:t>
      </w:r>
      <w:r>
        <w:rPr/>
        <w:t>network</w:t>
      </w:r>
      <w:r>
        <w:rPr>
          <w:spacing w:val="-1"/>
        </w:rPr>
        <w:t> </w:t>
      </w:r>
      <w:r>
        <w:rPr/>
        <w:t>businesses are</w:t>
      </w:r>
      <w:r>
        <w:rPr>
          <w:spacing w:val="-4"/>
        </w:rPr>
        <w:t> </w:t>
      </w:r>
      <w:r>
        <w:rPr/>
        <w:t>subject</w:t>
      </w:r>
      <w:r>
        <w:rPr>
          <w:spacing w:val="-5"/>
        </w:rPr>
        <w:t> </w:t>
      </w:r>
      <w:r>
        <w:rPr/>
        <w:t>to</w:t>
      </w:r>
      <w:r>
        <w:rPr>
          <w:spacing w:val="-4"/>
        </w:rPr>
        <w:t> </w:t>
      </w:r>
      <w:r>
        <w:rPr/>
        <w:t>two</w:t>
      </w:r>
      <w:r>
        <w:rPr>
          <w:spacing w:val="-2"/>
        </w:rPr>
        <w:t> </w:t>
      </w:r>
      <w:r>
        <w:rPr/>
        <w:t>safety </w:t>
      </w:r>
      <w:r>
        <w:rPr>
          <w:spacing w:val="-2"/>
        </w:rPr>
        <w:t>regimes:</w:t>
      </w:r>
    </w:p>
    <w:p>
      <w:pPr>
        <w:pStyle w:val="ListParagraph"/>
        <w:numPr>
          <w:ilvl w:val="0"/>
          <w:numId w:val="59"/>
        </w:numPr>
        <w:tabs>
          <w:tab w:pos="591" w:val="left" w:leader="none"/>
          <w:tab w:pos="593" w:val="left" w:leader="none"/>
        </w:tabs>
        <w:spacing w:line="288" w:lineRule="auto" w:before="194" w:after="0"/>
        <w:ind w:left="593" w:right="928" w:hanging="219"/>
        <w:jc w:val="left"/>
        <w:rPr>
          <w:sz w:val="22"/>
        </w:rPr>
      </w:pPr>
      <w:r>
        <w:rPr>
          <w:sz w:val="22"/>
        </w:rPr>
        <w:t>the</w:t>
      </w:r>
      <w:r>
        <w:rPr>
          <w:spacing w:val="-2"/>
          <w:sz w:val="22"/>
        </w:rPr>
        <w:t> </w:t>
      </w:r>
      <w:r>
        <w:rPr>
          <w:sz w:val="22"/>
        </w:rPr>
        <w:t>workplace</w:t>
      </w:r>
      <w:r>
        <w:rPr>
          <w:spacing w:val="-3"/>
          <w:sz w:val="22"/>
        </w:rPr>
        <w:t> </w:t>
      </w:r>
      <w:r>
        <w:rPr>
          <w:sz w:val="22"/>
        </w:rPr>
        <w:t>health</w:t>
      </w:r>
      <w:r>
        <w:rPr>
          <w:spacing w:val="-4"/>
          <w:sz w:val="22"/>
        </w:rPr>
        <w:t> </w:t>
      </w:r>
      <w:r>
        <w:rPr>
          <w:sz w:val="22"/>
        </w:rPr>
        <w:t>and</w:t>
      </w:r>
      <w:r>
        <w:rPr>
          <w:spacing w:val="-4"/>
          <w:sz w:val="22"/>
        </w:rPr>
        <w:t> </w:t>
      </w:r>
      <w:r>
        <w:rPr>
          <w:sz w:val="22"/>
        </w:rPr>
        <w:t>safety</w:t>
      </w:r>
      <w:r>
        <w:rPr>
          <w:spacing w:val="-4"/>
          <w:sz w:val="22"/>
        </w:rPr>
        <w:t> </w:t>
      </w:r>
      <w:r>
        <w:rPr>
          <w:sz w:val="22"/>
        </w:rPr>
        <w:t>regime,</w:t>
      </w:r>
      <w:r>
        <w:rPr>
          <w:spacing w:val="-1"/>
          <w:sz w:val="22"/>
        </w:rPr>
        <w:t> </w:t>
      </w:r>
      <w:r>
        <w:rPr>
          <w:sz w:val="22"/>
        </w:rPr>
        <w:t>which</w:t>
      </w:r>
      <w:r>
        <w:rPr>
          <w:spacing w:val="-2"/>
          <w:sz w:val="22"/>
        </w:rPr>
        <w:t> </w:t>
      </w:r>
      <w:r>
        <w:rPr>
          <w:sz w:val="22"/>
        </w:rPr>
        <w:t>principally</w:t>
      </w:r>
      <w:r>
        <w:rPr>
          <w:spacing w:val="-4"/>
          <w:sz w:val="22"/>
        </w:rPr>
        <w:t> </w:t>
      </w:r>
      <w:r>
        <w:rPr>
          <w:sz w:val="22"/>
        </w:rPr>
        <w:t>regulates</w:t>
      </w:r>
      <w:r>
        <w:rPr>
          <w:spacing w:val="-4"/>
          <w:sz w:val="22"/>
        </w:rPr>
        <w:t> </w:t>
      </w:r>
      <w:r>
        <w:rPr>
          <w:sz w:val="22"/>
        </w:rPr>
        <w:t>the</w:t>
      </w:r>
      <w:r>
        <w:rPr>
          <w:spacing w:val="-2"/>
          <w:sz w:val="22"/>
        </w:rPr>
        <w:t> </w:t>
      </w:r>
      <w:r>
        <w:rPr>
          <w:sz w:val="22"/>
        </w:rPr>
        <w:t>safety</w:t>
      </w:r>
      <w:r>
        <w:rPr>
          <w:spacing w:val="-3"/>
          <w:sz w:val="22"/>
        </w:rPr>
        <w:t> </w:t>
      </w:r>
      <w:r>
        <w:rPr>
          <w:sz w:val="22"/>
        </w:rPr>
        <w:t>risks</w:t>
      </w:r>
      <w:r>
        <w:rPr>
          <w:spacing w:val="-4"/>
          <w:sz w:val="22"/>
        </w:rPr>
        <w:t> </w:t>
      </w:r>
      <w:r>
        <w:rPr>
          <w:sz w:val="22"/>
        </w:rPr>
        <w:t>faced by employees; and</w:t>
      </w:r>
    </w:p>
    <w:p>
      <w:pPr>
        <w:pStyle w:val="BodyText"/>
        <w:spacing w:before="10"/>
        <w:rPr>
          <w:sz w:val="20"/>
        </w:rPr>
      </w:pPr>
    </w:p>
    <w:p>
      <w:pPr>
        <w:pStyle w:val="ListParagraph"/>
        <w:numPr>
          <w:ilvl w:val="0"/>
          <w:numId w:val="59"/>
        </w:numPr>
        <w:tabs>
          <w:tab w:pos="591" w:val="left" w:leader="none"/>
          <w:tab w:pos="593" w:val="left" w:leader="none"/>
        </w:tabs>
        <w:spacing w:line="288" w:lineRule="auto" w:before="0" w:after="0"/>
        <w:ind w:left="593" w:right="1501" w:hanging="219"/>
        <w:jc w:val="left"/>
        <w:rPr>
          <w:sz w:val="22"/>
        </w:rPr>
      </w:pPr>
      <w:r>
        <w:rPr>
          <w:sz w:val="22"/>
        </w:rPr>
        <w:t>the</w:t>
      </w:r>
      <w:r>
        <w:rPr>
          <w:spacing w:val="-2"/>
          <w:sz w:val="22"/>
        </w:rPr>
        <w:t> </w:t>
      </w:r>
      <w:r>
        <w:rPr>
          <w:sz w:val="22"/>
        </w:rPr>
        <w:t>energy</w:t>
      </w:r>
      <w:r>
        <w:rPr>
          <w:spacing w:val="-4"/>
          <w:sz w:val="22"/>
        </w:rPr>
        <w:t> </w:t>
      </w:r>
      <w:r>
        <w:rPr>
          <w:sz w:val="22"/>
        </w:rPr>
        <w:t>network</w:t>
      </w:r>
      <w:r>
        <w:rPr>
          <w:spacing w:val="-1"/>
          <w:sz w:val="22"/>
        </w:rPr>
        <w:t> </w:t>
      </w:r>
      <w:r>
        <w:rPr>
          <w:sz w:val="22"/>
        </w:rPr>
        <w:t>safety</w:t>
      </w:r>
      <w:r>
        <w:rPr>
          <w:spacing w:val="-4"/>
          <w:sz w:val="22"/>
        </w:rPr>
        <w:t> </w:t>
      </w:r>
      <w:r>
        <w:rPr>
          <w:sz w:val="22"/>
        </w:rPr>
        <w:t>framework,</w:t>
      </w:r>
      <w:r>
        <w:rPr>
          <w:spacing w:val="-3"/>
          <w:sz w:val="22"/>
        </w:rPr>
        <w:t> </w:t>
      </w:r>
      <w:r>
        <w:rPr>
          <w:sz w:val="22"/>
        </w:rPr>
        <w:t>which</w:t>
      </w:r>
      <w:r>
        <w:rPr>
          <w:spacing w:val="-2"/>
          <w:sz w:val="22"/>
        </w:rPr>
        <w:t> </w:t>
      </w:r>
      <w:r>
        <w:rPr>
          <w:sz w:val="22"/>
        </w:rPr>
        <w:t>principally</w:t>
      </w:r>
      <w:r>
        <w:rPr>
          <w:spacing w:val="-4"/>
          <w:sz w:val="22"/>
        </w:rPr>
        <w:t> </w:t>
      </w:r>
      <w:r>
        <w:rPr>
          <w:sz w:val="22"/>
        </w:rPr>
        <w:t>regulates</w:t>
      </w:r>
      <w:r>
        <w:rPr>
          <w:spacing w:val="-6"/>
          <w:sz w:val="22"/>
        </w:rPr>
        <w:t> </w:t>
      </w:r>
      <w:r>
        <w:rPr>
          <w:sz w:val="22"/>
        </w:rPr>
        <w:t>the</w:t>
      </w:r>
      <w:r>
        <w:rPr>
          <w:spacing w:val="-4"/>
          <w:sz w:val="22"/>
        </w:rPr>
        <w:t> </w:t>
      </w:r>
      <w:r>
        <w:rPr>
          <w:sz w:val="22"/>
        </w:rPr>
        <w:t>risks</w:t>
      </w:r>
      <w:r>
        <w:rPr>
          <w:spacing w:val="-4"/>
          <w:sz w:val="22"/>
        </w:rPr>
        <w:t> </w:t>
      </w:r>
      <w:r>
        <w:rPr>
          <w:sz w:val="22"/>
        </w:rPr>
        <w:t>affecting consumers and the broader community.</w:t>
      </w:r>
    </w:p>
    <w:p>
      <w:pPr>
        <w:pStyle w:val="BodyText"/>
        <w:spacing w:before="10"/>
        <w:rPr>
          <w:sz w:val="20"/>
        </w:rPr>
      </w:pPr>
    </w:p>
    <w:p>
      <w:pPr>
        <w:pStyle w:val="BodyText"/>
        <w:spacing w:line="288" w:lineRule="auto"/>
        <w:ind w:left="345" w:right="951"/>
      </w:pPr>
      <w:r>
        <w:rPr/>
        <w:t>In</w:t>
      </w:r>
      <w:r>
        <w:rPr>
          <w:spacing w:val="-2"/>
        </w:rPr>
        <w:t> </w:t>
      </w:r>
      <w:r>
        <w:rPr/>
        <w:t>Victoria,</w:t>
      </w:r>
      <w:r>
        <w:rPr>
          <w:spacing w:val="-8"/>
        </w:rPr>
        <w:t> </w:t>
      </w:r>
      <w:r>
        <w:rPr/>
        <w:t>WorkSafe</w:t>
      </w:r>
      <w:r>
        <w:rPr>
          <w:spacing w:val="-4"/>
        </w:rPr>
        <w:t> </w:t>
      </w:r>
      <w:r>
        <w:rPr/>
        <w:t>Victoria</w:t>
      </w:r>
      <w:r>
        <w:rPr>
          <w:spacing w:val="-2"/>
        </w:rPr>
        <w:t> </w:t>
      </w:r>
      <w:r>
        <w:rPr/>
        <w:t>is</w:t>
      </w:r>
      <w:r>
        <w:rPr>
          <w:spacing w:val="-4"/>
        </w:rPr>
        <w:t> </w:t>
      </w:r>
      <w:r>
        <w:rPr/>
        <w:t>the</w:t>
      </w:r>
      <w:r>
        <w:rPr>
          <w:spacing w:val="-4"/>
        </w:rPr>
        <w:t> </w:t>
      </w:r>
      <w:r>
        <w:rPr/>
        <w:t>regulator</w:t>
      </w:r>
      <w:r>
        <w:rPr>
          <w:spacing w:val="-3"/>
        </w:rPr>
        <w:t> </w:t>
      </w:r>
      <w:r>
        <w:rPr/>
        <w:t>for</w:t>
      </w:r>
      <w:r>
        <w:rPr>
          <w:spacing w:val="-6"/>
        </w:rPr>
        <w:t> </w:t>
      </w:r>
      <w:r>
        <w:rPr/>
        <w:t>workplace</w:t>
      </w:r>
      <w:r>
        <w:rPr>
          <w:spacing w:val="-2"/>
        </w:rPr>
        <w:t> </w:t>
      </w:r>
      <w:r>
        <w:rPr/>
        <w:t>health</w:t>
      </w:r>
      <w:r>
        <w:rPr>
          <w:spacing w:val="-4"/>
        </w:rPr>
        <w:t> </w:t>
      </w:r>
      <w:r>
        <w:rPr/>
        <w:t>and</w:t>
      </w:r>
      <w:r>
        <w:rPr>
          <w:spacing w:val="-2"/>
        </w:rPr>
        <w:t> </w:t>
      </w:r>
      <w:r>
        <w:rPr/>
        <w:t>safety</w:t>
      </w:r>
      <w:r>
        <w:rPr>
          <w:spacing w:val="-3"/>
        </w:rPr>
        <w:t> </w:t>
      </w:r>
      <w:r>
        <w:rPr/>
        <w:t>as</w:t>
      </w:r>
      <w:r>
        <w:rPr>
          <w:spacing w:val="-2"/>
        </w:rPr>
        <w:t> </w:t>
      </w:r>
      <w:r>
        <w:rPr/>
        <w:t>set out in the </w:t>
      </w:r>
      <w:r>
        <w:rPr>
          <w:i/>
        </w:rPr>
        <w:t>Occupational Health and Safety Act 2004 </w:t>
      </w:r>
      <w:r>
        <w:rPr/>
        <w:t>(OHS Act)</w:t>
      </w:r>
      <w:r>
        <w:rPr>
          <w:i/>
        </w:rPr>
        <w:t>. </w:t>
      </w:r>
      <w:r>
        <w:rPr/>
        <w:t>In its submission to the Review, WorkSafe Victoria has summarised the framework:</w:t>
      </w:r>
    </w:p>
    <w:p>
      <w:pPr>
        <w:pStyle w:val="BodyText"/>
        <w:spacing w:before="11"/>
        <w:rPr>
          <w:sz w:val="18"/>
        </w:rPr>
      </w:pPr>
    </w:p>
    <w:p>
      <w:pPr>
        <w:pStyle w:val="ListParagraph"/>
        <w:numPr>
          <w:ilvl w:val="1"/>
          <w:numId w:val="59"/>
        </w:numPr>
        <w:tabs>
          <w:tab w:pos="732" w:val="left" w:leader="none"/>
          <w:tab w:pos="734" w:val="left" w:leader="none"/>
        </w:tabs>
        <w:spacing w:line="288" w:lineRule="auto" w:before="0" w:after="0"/>
        <w:ind w:left="734" w:right="931" w:hanging="219"/>
        <w:jc w:val="left"/>
        <w:rPr>
          <w:sz w:val="22"/>
        </w:rPr>
      </w:pPr>
      <w:r>
        <w:rPr>
          <w:sz w:val="22"/>
        </w:rPr>
        <w:t>Each network business</w:t>
      </w:r>
      <w:r>
        <w:rPr>
          <w:spacing w:val="-1"/>
          <w:sz w:val="22"/>
        </w:rPr>
        <w:t> </w:t>
      </w:r>
      <w:r>
        <w:rPr>
          <w:sz w:val="22"/>
        </w:rPr>
        <w:t>in Victoria has</w:t>
      </w:r>
      <w:r>
        <w:rPr>
          <w:spacing w:val="-1"/>
          <w:sz w:val="22"/>
        </w:rPr>
        <w:t> </w:t>
      </w:r>
      <w:r>
        <w:rPr>
          <w:sz w:val="22"/>
        </w:rPr>
        <w:t>general health and safety</w:t>
      </w:r>
      <w:r>
        <w:rPr>
          <w:spacing w:val="-1"/>
          <w:sz w:val="22"/>
        </w:rPr>
        <w:t> </w:t>
      </w:r>
      <w:r>
        <w:rPr>
          <w:sz w:val="22"/>
        </w:rPr>
        <w:t>duties as</w:t>
      </w:r>
      <w:r>
        <w:rPr>
          <w:spacing w:val="-3"/>
          <w:sz w:val="22"/>
        </w:rPr>
        <w:t> </w:t>
      </w:r>
      <w:r>
        <w:rPr>
          <w:sz w:val="22"/>
        </w:rPr>
        <w:t>an employer under Section 21 of the OHS Act. Every employer must, so far as is reasonably practicable,</w:t>
      </w:r>
      <w:r>
        <w:rPr>
          <w:spacing w:val="-4"/>
          <w:sz w:val="22"/>
        </w:rPr>
        <w:t> </w:t>
      </w:r>
      <w:r>
        <w:rPr>
          <w:sz w:val="22"/>
        </w:rPr>
        <w:t>provide</w:t>
      </w:r>
      <w:r>
        <w:rPr>
          <w:spacing w:val="-3"/>
          <w:sz w:val="22"/>
        </w:rPr>
        <w:t> </w:t>
      </w:r>
      <w:r>
        <w:rPr>
          <w:sz w:val="22"/>
        </w:rPr>
        <w:t>and</w:t>
      </w:r>
      <w:r>
        <w:rPr>
          <w:spacing w:val="-5"/>
          <w:sz w:val="22"/>
        </w:rPr>
        <w:t> </w:t>
      </w:r>
      <w:r>
        <w:rPr>
          <w:sz w:val="22"/>
        </w:rPr>
        <w:t>maintain</w:t>
      </w:r>
      <w:r>
        <w:rPr>
          <w:spacing w:val="-5"/>
          <w:sz w:val="22"/>
        </w:rPr>
        <w:t> </w:t>
      </w:r>
      <w:r>
        <w:rPr>
          <w:sz w:val="22"/>
        </w:rPr>
        <w:t>for</w:t>
      </w:r>
      <w:r>
        <w:rPr>
          <w:spacing w:val="-4"/>
          <w:sz w:val="22"/>
        </w:rPr>
        <w:t> </w:t>
      </w:r>
      <w:r>
        <w:rPr>
          <w:sz w:val="22"/>
        </w:rPr>
        <w:t>employees</w:t>
      </w:r>
      <w:r>
        <w:rPr>
          <w:spacing w:val="-5"/>
          <w:sz w:val="22"/>
        </w:rPr>
        <w:t> </w:t>
      </w:r>
      <w:r>
        <w:rPr>
          <w:sz w:val="22"/>
        </w:rPr>
        <w:t>a</w:t>
      </w:r>
      <w:r>
        <w:rPr>
          <w:spacing w:val="-3"/>
          <w:sz w:val="22"/>
        </w:rPr>
        <w:t> </w:t>
      </w:r>
      <w:r>
        <w:rPr>
          <w:sz w:val="22"/>
        </w:rPr>
        <w:t>working</w:t>
      </w:r>
      <w:r>
        <w:rPr>
          <w:spacing w:val="-1"/>
          <w:sz w:val="22"/>
        </w:rPr>
        <w:t> </w:t>
      </w:r>
      <w:r>
        <w:rPr>
          <w:sz w:val="22"/>
        </w:rPr>
        <w:t>environment</w:t>
      </w:r>
      <w:r>
        <w:rPr>
          <w:spacing w:val="-4"/>
          <w:sz w:val="22"/>
        </w:rPr>
        <w:t> </w:t>
      </w:r>
      <w:r>
        <w:rPr>
          <w:sz w:val="22"/>
        </w:rPr>
        <w:t>that</w:t>
      </w:r>
      <w:r>
        <w:rPr>
          <w:spacing w:val="-1"/>
          <w:sz w:val="22"/>
        </w:rPr>
        <w:t> </w:t>
      </w:r>
      <w:r>
        <w:rPr>
          <w:sz w:val="22"/>
        </w:rPr>
        <w:t>is</w:t>
      </w:r>
      <w:r>
        <w:rPr>
          <w:spacing w:val="-5"/>
          <w:sz w:val="22"/>
        </w:rPr>
        <w:t> </w:t>
      </w:r>
      <w:r>
        <w:rPr>
          <w:sz w:val="22"/>
        </w:rPr>
        <w:t>safe</w:t>
      </w:r>
      <w:r>
        <w:rPr>
          <w:spacing w:val="-5"/>
          <w:sz w:val="22"/>
        </w:rPr>
        <w:t> </w:t>
      </w:r>
      <w:r>
        <w:rPr>
          <w:sz w:val="22"/>
        </w:rPr>
        <w:t>and without risks to health. This duty extends to contractors engaged by the employer, and any employees of those contractors.</w:t>
      </w:r>
    </w:p>
    <w:p>
      <w:pPr>
        <w:pStyle w:val="BodyText"/>
        <w:spacing w:before="3"/>
      </w:pPr>
    </w:p>
    <w:p>
      <w:pPr>
        <w:pStyle w:val="ListParagraph"/>
        <w:numPr>
          <w:ilvl w:val="1"/>
          <w:numId w:val="59"/>
        </w:numPr>
        <w:tabs>
          <w:tab w:pos="732" w:val="left" w:leader="none"/>
          <w:tab w:pos="734" w:val="left" w:leader="none"/>
        </w:tabs>
        <w:spacing w:line="288" w:lineRule="auto" w:before="0" w:after="0"/>
        <w:ind w:left="734" w:right="929" w:hanging="219"/>
        <w:jc w:val="left"/>
        <w:rPr>
          <w:sz w:val="22"/>
        </w:rPr>
      </w:pPr>
      <w:r>
        <w:rPr>
          <w:sz w:val="22"/>
        </w:rPr>
        <w:t>Under</w:t>
      </w:r>
      <w:r>
        <w:rPr>
          <w:spacing w:val="-1"/>
          <w:sz w:val="22"/>
        </w:rPr>
        <w:t> </w:t>
      </w:r>
      <w:r>
        <w:rPr>
          <w:sz w:val="22"/>
        </w:rPr>
        <w:t>Section</w:t>
      </w:r>
      <w:r>
        <w:rPr>
          <w:spacing w:val="-4"/>
          <w:sz w:val="22"/>
        </w:rPr>
        <w:t> </w:t>
      </w:r>
      <w:r>
        <w:rPr>
          <w:sz w:val="22"/>
        </w:rPr>
        <w:t>26</w:t>
      </w:r>
      <w:r>
        <w:rPr>
          <w:spacing w:val="-2"/>
          <w:sz w:val="22"/>
        </w:rPr>
        <w:t> </w:t>
      </w:r>
      <w:r>
        <w:rPr>
          <w:sz w:val="22"/>
        </w:rPr>
        <w:t>of</w:t>
      </w:r>
      <w:r>
        <w:rPr>
          <w:spacing w:val="-3"/>
          <w:sz w:val="22"/>
        </w:rPr>
        <w:t> </w:t>
      </w:r>
      <w:r>
        <w:rPr>
          <w:sz w:val="22"/>
        </w:rPr>
        <w:t>the</w:t>
      </w:r>
      <w:r>
        <w:rPr>
          <w:spacing w:val="-4"/>
          <w:sz w:val="22"/>
        </w:rPr>
        <w:t> </w:t>
      </w:r>
      <w:r>
        <w:rPr>
          <w:sz w:val="22"/>
        </w:rPr>
        <w:t>OHS</w:t>
      </w:r>
      <w:r>
        <w:rPr>
          <w:spacing w:val="-2"/>
          <w:sz w:val="22"/>
        </w:rPr>
        <w:t> </w:t>
      </w:r>
      <w:r>
        <w:rPr>
          <w:sz w:val="22"/>
        </w:rPr>
        <w:t>Act, a</w:t>
      </w:r>
      <w:r>
        <w:rPr>
          <w:spacing w:val="-4"/>
          <w:sz w:val="22"/>
        </w:rPr>
        <w:t> </w:t>
      </w:r>
      <w:r>
        <w:rPr>
          <w:sz w:val="22"/>
        </w:rPr>
        <w:t>person</w:t>
      </w:r>
      <w:r>
        <w:rPr>
          <w:spacing w:val="-2"/>
          <w:sz w:val="22"/>
        </w:rPr>
        <w:t> </w:t>
      </w:r>
      <w:r>
        <w:rPr>
          <w:sz w:val="22"/>
        </w:rPr>
        <w:t>who</w:t>
      </w:r>
      <w:r>
        <w:rPr>
          <w:spacing w:val="-4"/>
          <w:sz w:val="22"/>
        </w:rPr>
        <w:t> </w:t>
      </w:r>
      <w:r>
        <w:rPr>
          <w:sz w:val="22"/>
        </w:rPr>
        <w:t>has,</w:t>
      </w:r>
      <w:r>
        <w:rPr>
          <w:spacing w:val="-3"/>
          <w:sz w:val="22"/>
        </w:rPr>
        <w:t> </w:t>
      </w:r>
      <w:r>
        <w:rPr>
          <w:sz w:val="22"/>
        </w:rPr>
        <w:t>to</w:t>
      </w:r>
      <w:r>
        <w:rPr>
          <w:spacing w:val="-2"/>
          <w:sz w:val="22"/>
        </w:rPr>
        <w:t> </w:t>
      </w:r>
      <w:r>
        <w:rPr>
          <w:sz w:val="22"/>
        </w:rPr>
        <w:t>any</w:t>
      </w:r>
      <w:r>
        <w:rPr>
          <w:spacing w:val="-4"/>
          <w:sz w:val="22"/>
        </w:rPr>
        <w:t> </w:t>
      </w:r>
      <w:r>
        <w:rPr>
          <w:sz w:val="22"/>
        </w:rPr>
        <w:t>extent,</w:t>
      </w:r>
      <w:r>
        <w:rPr>
          <w:spacing w:val="-3"/>
          <w:sz w:val="22"/>
        </w:rPr>
        <w:t> </w:t>
      </w:r>
      <w:r>
        <w:rPr>
          <w:sz w:val="22"/>
        </w:rPr>
        <w:t>the</w:t>
      </w:r>
      <w:r>
        <w:rPr>
          <w:spacing w:val="-4"/>
          <w:sz w:val="22"/>
        </w:rPr>
        <w:t> </w:t>
      </w:r>
      <w:r>
        <w:rPr>
          <w:sz w:val="22"/>
        </w:rPr>
        <w:t>management</w:t>
      </w:r>
      <w:r>
        <w:rPr>
          <w:spacing w:val="-3"/>
          <w:sz w:val="22"/>
        </w:rPr>
        <w:t> </w:t>
      </w:r>
      <w:r>
        <w:rPr>
          <w:sz w:val="22"/>
        </w:rPr>
        <w:t>or control of a workplace must ensure so far as is reasonably practicable that the workplace</w:t>
      </w:r>
      <w:r>
        <w:rPr>
          <w:spacing w:val="-1"/>
          <w:sz w:val="22"/>
        </w:rPr>
        <w:t> </w:t>
      </w:r>
      <w:r>
        <w:rPr>
          <w:sz w:val="22"/>
        </w:rPr>
        <w:t>and</w:t>
      </w:r>
      <w:r>
        <w:rPr>
          <w:spacing w:val="-3"/>
          <w:sz w:val="22"/>
        </w:rPr>
        <w:t> </w:t>
      </w:r>
      <w:r>
        <w:rPr>
          <w:sz w:val="22"/>
        </w:rPr>
        <w:t>the</w:t>
      </w:r>
      <w:r>
        <w:rPr>
          <w:spacing w:val="-3"/>
          <w:sz w:val="22"/>
        </w:rPr>
        <w:t> </w:t>
      </w:r>
      <w:r>
        <w:rPr>
          <w:sz w:val="22"/>
        </w:rPr>
        <w:t>means of entering</w:t>
      </w:r>
      <w:r>
        <w:rPr>
          <w:spacing w:val="-1"/>
          <w:sz w:val="22"/>
        </w:rPr>
        <w:t> </w:t>
      </w:r>
      <w:r>
        <w:rPr>
          <w:sz w:val="22"/>
        </w:rPr>
        <w:t>and</w:t>
      </w:r>
      <w:r>
        <w:rPr>
          <w:spacing w:val="-3"/>
          <w:sz w:val="22"/>
        </w:rPr>
        <w:t> </w:t>
      </w:r>
      <w:r>
        <w:rPr>
          <w:sz w:val="22"/>
        </w:rPr>
        <w:t>leaving it are</w:t>
      </w:r>
      <w:r>
        <w:rPr>
          <w:spacing w:val="-1"/>
          <w:sz w:val="22"/>
        </w:rPr>
        <w:t> </w:t>
      </w:r>
      <w:r>
        <w:rPr>
          <w:sz w:val="22"/>
        </w:rPr>
        <w:t>safe</w:t>
      </w:r>
      <w:r>
        <w:rPr>
          <w:spacing w:val="-3"/>
          <w:sz w:val="22"/>
        </w:rPr>
        <w:t> </w:t>
      </w:r>
      <w:r>
        <w:rPr>
          <w:sz w:val="22"/>
        </w:rPr>
        <w:t>and</w:t>
      </w:r>
      <w:r>
        <w:rPr>
          <w:spacing w:val="-1"/>
          <w:sz w:val="22"/>
        </w:rPr>
        <w:t> </w:t>
      </w:r>
      <w:r>
        <w:rPr>
          <w:sz w:val="22"/>
        </w:rPr>
        <w:t>without</w:t>
      </w:r>
      <w:r>
        <w:rPr>
          <w:spacing w:val="-2"/>
          <w:sz w:val="22"/>
        </w:rPr>
        <w:t> </w:t>
      </w:r>
      <w:r>
        <w:rPr>
          <w:sz w:val="22"/>
        </w:rPr>
        <w:t>risks</w:t>
      </w:r>
      <w:r>
        <w:rPr>
          <w:spacing w:val="-5"/>
          <w:sz w:val="22"/>
        </w:rPr>
        <w:t> </w:t>
      </w:r>
      <w:r>
        <w:rPr>
          <w:sz w:val="22"/>
        </w:rPr>
        <w:t>to</w:t>
      </w:r>
      <w:r>
        <w:rPr>
          <w:spacing w:val="-1"/>
          <w:sz w:val="22"/>
        </w:rPr>
        <w:t> </w:t>
      </w:r>
      <w:r>
        <w:rPr>
          <w:sz w:val="22"/>
        </w:rPr>
        <w:t>health.</w:t>
      </w:r>
    </w:p>
    <w:p>
      <w:pPr>
        <w:pStyle w:val="BodyText"/>
      </w:pPr>
    </w:p>
    <w:p>
      <w:pPr>
        <w:pStyle w:val="ListParagraph"/>
        <w:numPr>
          <w:ilvl w:val="1"/>
          <w:numId w:val="59"/>
        </w:numPr>
        <w:tabs>
          <w:tab w:pos="732" w:val="left" w:leader="none"/>
          <w:tab w:pos="734" w:val="left" w:leader="none"/>
        </w:tabs>
        <w:spacing w:line="288" w:lineRule="auto" w:before="0" w:after="0"/>
        <w:ind w:left="734" w:right="877" w:hanging="219"/>
        <w:jc w:val="left"/>
        <w:rPr>
          <w:sz w:val="22"/>
        </w:rPr>
      </w:pPr>
      <w:r>
        <w:rPr>
          <w:sz w:val="22"/>
        </w:rPr>
        <w:t>The</w:t>
      </w:r>
      <w:r>
        <w:rPr>
          <w:spacing w:val="-4"/>
          <w:sz w:val="22"/>
        </w:rPr>
        <w:t> </w:t>
      </w:r>
      <w:r>
        <w:rPr>
          <w:i/>
          <w:sz w:val="22"/>
        </w:rPr>
        <w:t>Occupational</w:t>
      </w:r>
      <w:r>
        <w:rPr>
          <w:i/>
          <w:spacing w:val="-2"/>
          <w:sz w:val="22"/>
        </w:rPr>
        <w:t> </w:t>
      </w:r>
      <w:r>
        <w:rPr>
          <w:i/>
          <w:sz w:val="22"/>
        </w:rPr>
        <w:t>Health</w:t>
      </w:r>
      <w:r>
        <w:rPr>
          <w:i/>
          <w:spacing w:val="-4"/>
          <w:sz w:val="22"/>
        </w:rPr>
        <w:t> </w:t>
      </w:r>
      <w:r>
        <w:rPr>
          <w:i/>
          <w:sz w:val="22"/>
        </w:rPr>
        <w:t>and</w:t>
      </w:r>
      <w:r>
        <w:rPr>
          <w:i/>
          <w:spacing w:val="-2"/>
          <w:sz w:val="22"/>
        </w:rPr>
        <w:t> </w:t>
      </w:r>
      <w:r>
        <w:rPr>
          <w:i/>
          <w:sz w:val="22"/>
        </w:rPr>
        <w:t>Safety</w:t>
      </w:r>
      <w:r>
        <w:rPr>
          <w:i/>
          <w:spacing w:val="-3"/>
          <w:sz w:val="22"/>
        </w:rPr>
        <w:t> </w:t>
      </w:r>
      <w:r>
        <w:rPr>
          <w:i/>
          <w:sz w:val="22"/>
        </w:rPr>
        <w:t>Regulations</w:t>
      </w:r>
      <w:r>
        <w:rPr>
          <w:i/>
          <w:spacing w:val="-4"/>
          <w:sz w:val="22"/>
        </w:rPr>
        <w:t> </w:t>
      </w:r>
      <w:r>
        <w:rPr>
          <w:i/>
          <w:sz w:val="22"/>
        </w:rPr>
        <w:t>2017</w:t>
      </w:r>
      <w:r>
        <w:rPr>
          <w:i/>
          <w:spacing w:val="-1"/>
          <w:sz w:val="22"/>
        </w:rPr>
        <w:t> </w:t>
      </w:r>
      <w:r>
        <w:rPr>
          <w:sz w:val="22"/>
        </w:rPr>
        <w:t>(OHS</w:t>
      </w:r>
      <w:r>
        <w:rPr>
          <w:spacing w:val="-2"/>
          <w:sz w:val="22"/>
        </w:rPr>
        <w:t> </w:t>
      </w:r>
      <w:r>
        <w:rPr>
          <w:sz w:val="22"/>
        </w:rPr>
        <w:t>Regulations)</w:t>
      </w:r>
      <w:r>
        <w:rPr>
          <w:spacing w:val="-3"/>
          <w:sz w:val="22"/>
        </w:rPr>
        <w:t> </w:t>
      </w:r>
      <w:r>
        <w:rPr>
          <w:sz w:val="22"/>
        </w:rPr>
        <w:t>prescribe</w:t>
      </w:r>
      <w:r>
        <w:rPr>
          <w:spacing w:val="-4"/>
          <w:sz w:val="22"/>
        </w:rPr>
        <w:t> </w:t>
      </w:r>
      <w:r>
        <w:rPr>
          <w:sz w:val="22"/>
        </w:rPr>
        <w:t>the way in which duties or obligations imposed by the OHS Act must be met in relation to certain hazards and risks.</w:t>
      </w:r>
    </w:p>
    <w:p>
      <w:pPr>
        <w:pStyle w:val="BodyText"/>
        <w:spacing w:before="9"/>
        <w:rPr>
          <w:sz w:val="20"/>
        </w:rPr>
      </w:pPr>
    </w:p>
    <w:p>
      <w:pPr>
        <w:pStyle w:val="BodyText"/>
        <w:spacing w:line="288" w:lineRule="auto" w:before="1"/>
        <w:ind w:left="345" w:right="868"/>
      </w:pPr>
      <w:r>
        <w:rPr/>
        <w:t>Under Part 4 of the OHS Act, employers must consult with employees (including any contractors</w:t>
      </w:r>
      <w:r>
        <w:rPr>
          <w:spacing w:val="-1"/>
        </w:rPr>
        <w:t> </w:t>
      </w:r>
      <w:r>
        <w:rPr/>
        <w:t>engaged</w:t>
      </w:r>
      <w:r>
        <w:rPr>
          <w:spacing w:val="-4"/>
        </w:rPr>
        <w:t> </w:t>
      </w:r>
      <w:r>
        <w:rPr/>
        <w:t>by</w:t>
      </w:r>
      <w:r>
        <w:rPr>
          <w:spacing w:val="-4"/>
        </w:rPr>
        <w:t> </w:t>
      </w:r>
      <w:r>
        <w:rPr/>
        <w:t>the</w:t>
      </w:r>
      <w:r>
        <w:rPr>
          <w:spacing w:val="-2"/>
        </w:rPr>
        <w:t> </w:t>
      </w:r>
      <w:r>
        <w:rPr/>
        <w:t>employer,</w:t>
      </w:r>
      <w:r>
        <w:rPr>
          <w:spacing w:val="-2"/>
        </w:rPr>
        <w:t> </w:t>
      </w:r>
      <w:r>
        <w:rPr/>
        <w:t>and</w:t>
      </w:r>
      <w:r>
        <w:rPr>
          <w:spacing w:val="-4"/>
        </w:rPr>
        <w:t> </w:t>
      </w:r>
      <w:r>
        <w:rPr/>
        <w:t>the</w:t>
      </w:r>
      <w:r>
        <w:rPr>
          <w:spacing w:val="-2"/>
        </w:rPr>
        <w:t> </w:t>
      </w:r>
      <w:r>
        <w:rPr/>
        <w:t>contractor’s</w:t>
      </w:r>
      <w:r>
        <w:rPr>
          <w:spacing w:val="-4"/>
        </w:rPr>
        <w:t> </w:t>
      </w:r>
      <w:r>
        <w:rPr/>
        <w:t>employees)</w:t>
      </w:r>
      <w:r>
        <w:rPr>
          <w:spacing w:val="-1"/>
        </w:rPr>
        <w:t> </w:t>
      </w:r>
      <w:r>
        <w:rPr/>
        <w:t>and</w:t>
      </w:r>
      <w:r>
        <w:rPr>
          <w:spacing w:val="-2"/>
        </w:rPr>
        <w:t> </w:t>
      </w:r>
      <w:r>
        <w:rPr/>
        <w:t>their</w:t>
      </w:r>
      <w:r>
        <w:rPr>
          <w:spacing w:val="-3"/>
        </w:rPr>
        <w:t> </w:t>
      </w:r>
      <w:r>
        <w:rPr/>
        <w:t>health</w:t>
      </w:r>
      <w:r>
        <w:rPr>
          <w:spacing w:val="-4"/>
        </w:rPr>
        <w:t> </w:t>
      </w:r>
      <w:r>
        <w:rPr/>
        <w:t>and safety representatives on health and safety matters that directly affect them, so far as is reasonably practicable.</w:t>
      </w:r>
    </w:p>
    <w:p>
      <w:pPr>
        <w:pStyle w:val="BodyText"/>
        <w:rPr>
          <w:sz w:val="24"/>
        </w:rPr>
      </w:pPr>
    </w:p>
    <w:p>
      <w:pPr>
        <w:pStyle w:val="BodyText"/>
        <w:spacing w:before="4"/>
        <w:rPr>
          <w:sz w:val="23"/>
        </w:rPr>
      </w:pPr>
    </w:p>
    <w:p>
      <w:pPr>
        <w:pStyle w:val="BodyText"/>
        <w:spacing w:line="288" w:lineRule="auto"/>
        <w:ind w:left="232" w:right="440"/>
      </w:pPr>
      <w:r>
        <w:rPr/>
        <w:t>To</w:t>
      </w:r>
      <w:r>
        <w:rPr>
          <w:spacing w:val="-6"/>
        </w:rPr>
        <w:t> </w:t>
      </w:r>
      <w:r>
        <w:rPr/>
        <w:t>facilitate</w:t>
      </w:r>
      <w:r>
        <w:rPr>
          <w:spacing w:val="-4"/>
        </w:rPr>
        <w:t> </w:t>
      </w:r>
      <w:r>
        <w:rPr/>
        <w:t>effective</w:t>
      </w:r>
      <w:r>
        <w:rPr>
          <w:spacing w:val="-2"/>
        </w:rPr>
        <w:t> </w:t>
      </w:r>
      <w:r>
        <w:rPr/>
        <w:t>engagement, ESV</w:t>
      </w:r>
      <w:r>
        <w:rPr>
          <w:spacing w:val="-2"/>
        </w:rPr>
        <w:t> </w:t>
      </w:r>
      <w:r>
        <w:rPr/>
        <w:t>and</w:t>
      </w:r>
      <w:r>
        <w:rPr>
          <w:spacing w:val="-9"/>
        </w:rPr>
        <w:t> </w:t>
      </w:r>
      <w:r>
        <w:rPr/>
        <w:t>WorkSafe</w:t>
      </w:r>
      <w:r>
        <w:rPr>
          <w:spacing w:val="-4"/>
        </w:rPr>
        <w:t> </w:t>
      </w:r>
      <w:r>
        <w:rPr/>
        <w:t>Victoria</w:t>
      </w:r>
      <w:r>
        <w:rPr>
          <w:spacing w:val="-2"/>
        </w:rPr>
        <w:t> </w:t>
      </w:r>
      <w:r>
        <w:rPr/>
        <w:t>have</w:t>
      </w:r>
      <w:r>
        <w:rPr>
          <w:spacing w:val="-2"/>
        </w:rPr>
        <w:t> </w:t>
      </w:r>
      <w:r>
        <w:rPr/>
        <w:t>established</w:t>
      </w:r>
      <w:r>
        <w:rPr>
          <w:spacing w:val="-2"/>
        </w:rPr>
        <w:t> </w:t>
      </w:r>
      <w:r>
        <w:rPr/>
        <w:t>a</w:t>
      </w:r>
      <w:r>
        <w:rPr>
          <w:spacing w:val="-2"/>
        </w:rPr>
        <w:t> </w:t>
      </w:r>
      <w:r>
        <w:rPr/>
        <w:t>Memorandum of Understanding (MOU). This MOU details the arrangements for cooperation between the two regulators, particularly regarding joint inspection and incident investigation.</w:t>
      </w:r>
    </w:p>
    <w:p>
      <w:pPr>
        <w:pStyle w:val="BodyText"/>
        <w:spacing w:before="9"/>
        <w:rPr>
          <w:sz w:val="20"/>
        </w:rPr>
      </w:pPr>
    </w:p>
    <w:p>
      <w:pPr>
        <w:pStyle w:val="BodyText"/>
        <w:spacing w:line="288" w:lineRule="auto"/>
        <w:ind w:left="232" w:right="374"/>
      </w:pPr>
      <w:r>
        <w:rPr/>
        <w:t>Submissions to the Review have identified scope for improving aspects of the way the two regulators</w:t>
      </w:r>
      <w:r>
        <w:rPr>
          <w:spacing w:val="-4"/>
        </w:rPr>
        <w:t> </w:t>
      </w:r>
      <w:r>
        <w:rPr/>
        <w:t>work</w:t>
      </w:r>
      <w:r>
        <w:rPr>
          <w:spacing w:val="-1"/>
        </w:rPr>
        <w:t> </w:t>
      </w:r>
      <w:r>
        <w:rPr/>
        <w:t>together.</w:t>
      </w:r>
      <w:r>
        <w:rPr>
          <w:spacing w:val="-3"/>
        </w:rPr>
        <w:t> </w:t>
      </w:r>
      <w:r>
        <w:rPr/>
        <w:t>For</w:t>
      </w:r>
      <w:r>
        <w:rPr>
          <w:spacing w:val="-3"/>
        </w:rPr>
        <w:t> </w:t>
      </w:r>
      <w:r>
        <w:rPr/>
        <w:t>example,</w:t>
      </w:r>
      <w:r>
        <w:rPr>
          <w:spacing w:val="-1"/>
        </w:rPr>
        <w:t> </w:t>
      </w:r>
      <w:r>
        <w:rPr/>
        <w:t>United</w:t>
      </w:r>
      <w:r>
        <w:rPr>
          <w:spacing w:val="-4"/>
        </w:rPr>
        <w:t> </w:t>
      </w:r>
      <w:r>
        <w:rPr/>
        <w:t>Energy</w:t>
      </w:r>
      <w:r>
        <w:rPr>
          <w:spacing w:val="-4"/>
        </w:rPr>
        <w:t> </w:t>
      </w:r>
      <w:r>
        <w:rPr/>
        <w:t>in</w:t>
      </w:r>
      <w:r>
        <w:rPr>
          <w:spacing w:val="-2"/>
        </w:rPr>
        <w:t> </w:t>
      </w:r>
      <w:r>
        <w:rPr/>
        <w:t>its</w:t>
      </w:r>
      <w:r>
        <w:rPr>
          <w:spacing w:val="-1"/>
        </w:rPr>
        <w:t> </w:t>
      </w:r>
      <w:r>
        <w:rPr/>
        <w:t>submission</w:t>
      </w:r>
      <w:r>
        <w:rPr>
          <w:spacing w:val="-4"/>
        </w:rPr>
        <w:t> </w:t>
      </w:r>
      <w:r>
        <w:rPr/>
        <w:t>to</w:t>
      </w:r>
      <w:r>
        <w:rPr>
          <w:spacing w:val="-4"/>
        </w:rPr>
        <w:t> </w:t>
      </w:r>
      <w:r>
        <w:rPr/>
        <w:t>the</w:t>
      </w:r>
      <w:r>
        <w:rPr>
          <w:spacing w:val="-2"/>
        </w:rPr>
        <w:t> </w:t>
      </w:r>
      <w:r>
        <w:rPr/>
        <w:t>Review, noted</w:t>
      </w:r>
      <w:r>
        <w:rPr>
          <w:spacing w:val="-1"/>
        </w:rPr>
        <w:t> </w:t>
      </w:r>
      <w:r>
        <w:rPr/>
        <w:t>that there is some lack of clarity in the role of the two regulators:</w:t>
      </w:r>
    </w:p>
    <w:p>
      <w:pPr>
        <w:pStyle w:val="BodyText"/>
        <w:rPr>
          <w:sz w:val="21"/>
        </w:rPr>
      </w:pPr>
    </w:p>
    <w:p>
      <w:pPr>
        <w:spacing w:line="288" w:lineRule="auto" w:before="0"/>
        <w:ind w:left="799" w:right="868" w:firstLine="0"/>
        <w:jc w:val="left"/>
        <w:rPr>
          <w:sz w:val="22"/>
        </w:rPr>
      </w:pPr>
      <w:r>
        <w:rPr>
          <w:i/>
          <w:sz w:val="22"/>
        </w:rPr>
        <w:t>“The industry would benefit from improved role clarity between ESV and WorkSafe in attending to ESI [electricity supply industry] matters. Whilst there is an MOU between WorkSafe</w:t>
      </w:r>
      <w:r>
        <w:rPr>
          <w:i/>
          <w:spacing w:val="-2"/>
          <w:sz w:val="22"/>
        </w:rPr>
        <w:t> </w:t>
      </w:r>
      <w:r>
        <w:rPr>
          <w:i/>
          <w:sz w:val="22"/>
        </w:rPr>
        <w:t>and</w:t>
      </w:r>
      <w:r>
        <w:rPr>
          <w:i/>
          <w:spacing w:val="-4"/>
          <w:sz w:val="22"/>
        </w:rPr>
        <w:t> </w:t>
      </w:r>
      <w:r>
        <w:rPr>
          <w:i/>
          <w:sz w:val="22"/>
        </w:rPr>
        <w:t>ESV</w:t>
      </w:r>
      <w:r>
        <w:rPr>
          <w:i/>
          <w:spacing w:val="-2"/>
          <w:sz w:val="22"/>
        </w:rPr>
        <w:t> </w:t>
      </w:r>
      <w:r>
        <w:rPr>
          <w:i/>
          <w:sz w:val="22"/>
        </w:rPr>
        <w:t>it does</w:t>
      </w:r>
      <w:r>
        <w:rPr>
          <w:i/>
          <w:spacing w:val="-2"/>
          <w:sz w:val="22"/>
        </w:rPr>
        <w:t> </w:t>
      </w:r>
      <w:r>
        <w:rPr>
          <w:i/>
          <w:sz w:val="22"/>
        </w:rPr>
        <w:t>not</w:t>
      </w:r>
      <w:r>
        <w:rPr>
          <w:i/>
          <w:spacing w:val="-3"/>
          <w:sz w:val="22"/>
        </w:rPr>
        <w:t> </w:t>
      </w:r>
      <w:r>
        <w:rPr>
          <w:i/>
          <w:sz w:val="22"/>
        </w:rPr>
        <w:t>appear</w:t>
      </w:r>
      <w:r>
        <w:rPr>
          <w:i/>
          <w:spacing w:val="-3"/>
          <w:sz w:val="22"/>
        </w:rPr>
        <w:t> </w:t>
      </w:r>
      <w:r>
        <w:rPr>
          <w:i/>
          <w:sz w:val="22"/>
        </w:rPr>
        <w:t>to</w:t>
      </w:r>
      <w:r>
        <w:rPr>
          <w:i/>
          <w:spacing w:val="-4"/>
          <w:sz w:val="22"/>
        </w:rPr>
        <w:t> </w:t>
      </w:r>
      <w:r>
        <w:rPr>
          <w:i/>
          <w:sz w:val="22"/>
        </w:rPr>
        <w:t>be</w:t>
      </w:r>
      <w:r>
        <w:rPr>
          <w:i/>
          <w:spacing w:val="-4"/>
          <w:sz w:val="22"/>
        </w:rPr>
        <w:t> </w:t>
      </w:r>
      <w:r>
        <w:rPr>
          <w:i/>
          <w:sz w:val="22"/>
        </w:rPr>
        <w:t>universally</w:t>
      </w:r>
      <w:r>
        <w:rPr>
          <w:i/>
          <w:spacing w:val="-1"/>
          <w:sz w:val="22"/>
        </w:rPr>
        <w:t> </w:t>
      </w:r>
      <w:r>
        <w:rPr>
          <w:i/>
          <w:sz w:val="22"/>
        </w:rPr>
        <w:t>applied.”</w:t>
      </w:r>
      <w:r>
        <w:rPr>
          <w:i/>
          <w:spacing w:val="-4"/>
          <w:sz w:val="22"/>
        </w:rPr>
        <w:t> </w:t>
      </w:r>
      <w:r>
        <w:rPr>
          <w:sz w:val="22"/>
        </w:rPr>
        <w:t>(United</w:t>
      </w:r>
      <w:r>
        <w:rPr>
          <w:spacing w:val="-4"/>
          <w:sz w:val="22"/>
        </w:rPr>
        <w:t> </w:t>
      </w:r>
      <w:r>
        <w:rPr>
          <w:sz w:val="22"/>
        </w:rPr>
        <w:t>Energy,</w:t>
      </w:r>
      <w:r>
        <w:rPr>
          <w:spacing w:val="-3"/>
          <w:sz w:val="22"/>
        </w:rPr>
        <w:t> </w:t>
      </w:r>
      <w:r>
        <w:rPr>
          <w:sz w:val="22"/>
        </w:rPr>
        <w:t>2017, p. 9)</w:t>
      </w:r>
    </w:p>
    <w:p>
      <w:pPr>
        <w:pStyle w:val="BodyText"/>
        <w:spacing w:before="8"/>
        <w:rPr>
          <w:sz w:val="20"/>
        </w:rPr>
      </w:pPr>
    </w:p>
    <w:p>
      <w:pPr>
        <w:pStyle w:val="BodyText"/>
        <w:spacing w:line="288" w:lineRule="auto"/>
        <w:ind w:left="232" w:right="296"/>
      </w:pPr>
      <w:r>
        <w:rPr/>
        <w:t>The</w:t>
      </w:r>
      <w:r>
        <w:rPr>
          <w:spacing w:val="-4"/>
        </w:rPr>
        <w:t> </w:t>
      </w:r>
      <w:r>
        <w:rPr/>
        <w:t>Electrical</w:t>
      </w:r>
      <w:r>
        <w:rPr>
          <w:spacing w:val="-5"/>
        </w:rPr>
        <w:t> </w:t>
      </w:r>
      <w:r>
        <w:rPr/>
        <w:t>Trades</w:t>
      </w:r>
      <w:r>
        <w:rPr>
          <w:spacing w:val="-1"/>
        </w:rPr>
        <w:t> </w:t>
      </w:r>
      <w:r>
        <w:rPr/>
        <w:t>Union</w:t>
      </w:r>
      <w:r>
        <w:rPr>
          <w:spacing w:val="-2"/>
        </w:rPr>
        <w:t> </w:t>
      </w:r>
      <w:r>
        <w:rPr/>
        <w:t>expressed</w:t>
      </w:r>
      <w:r>
        <w:rPr>
          <w:spacing w:val="-2"/>
        </w:rPr>
        <w:t> </w:t>
      </w:r>
      <w:r>
        <w:rPr/>
        <w:t>a</w:t>
      </w:r>
      <w:r>
        <w:rPr>
          <w:spacing w:val="-1"/>
        </w:rPr>
        <w:t> </w:t>
      </w:r>
      <w:r>
        <w:rPr/>
        <w:t>view</w:t>
      </w:r>
      <w:r>
        <w:rPr>
          <w:spacing w:val="-5"/>
        </w:rPr>
        <w:t> </w:t>
      </w:r>
      <w:r>
        <w:rPr/>
        <w:t>that</w:t>
      </w:r>
      <w:r>
        <w:rPr>
          <w:spacing w:val="-3"/>
        </w:rPr>
        <w:t> </w:t>
      </w:r>
      <w:r>
        <w:rPr/>
        <w:t>responsibilities</w:t>
      </w:r>
      <w:r>
        <w:rPr>
          <w:spacing w:val="-2"/>
        </w:rPr>
        <w:t> </w:t>
      </w:r>
      <w:r>
        <w:rPr/>
        <w:t>need</w:t>
      </w:r>
      <w:r>
        <w:rPr>
          <w:spacing w:val="-2"/>
        </w:rPr>
        <w:t> </w:t>
      </w:r>
      <w:r>
        <w:rPr/>
        <w:t>to</w:t>
      </w:r>
      <w:r>
        <w:rPr>
          <w:spacing w:val="-6"/>
        </w:rPr>
        <w:t> </w:t>
      </w:r>
      <w:r>
        <w:rPr/>
        <w:t>be</w:t>
      </w:r>
      <w:r>
        <w:rPr>
          <w:spacing w:val="-2"/>
        </w:rPr>
        <w:t> </w:t>
      </w:r>
      <w:r>
        <w:rPr/>
        <w:t>better</w:t>
      </w:r>
      <w:r>
        <w:rPr>
          <w:spacing w:val="-3"/>
        </w:rPr>
        <w:t> </w:t>
      </w:r>
      <w:r>
        <w:rPr/>
        <w:t>delineated</w:t>
      </w:r>
      <w:r>
        <w:rPr>
          <w:spacing w:val="-2"/>
        </w:rPr>
        <w:t> </w:t>
      </w:r>
      <w:r>
        <w:rPr/>
        <w:t>and there needs to be better information sharing:</w:t>
      </w:r>
    </w:p>
    <w:p>
      <w:pPr>
        <w:spacing w:after="0" w:line="288" w:lineRule="auto"/>
        <w:sectPr>
          <w:pgSz w:w="11910" w:h="16850"/>
          <w:pgMar w:header="220" w:footer="678" w:top="420" w:bottom="860" w:left="900" w:right="840"/>
        </w:sectPr>
      </w:pPr>
    </w:p>
    <w:p>
      <w:pPr>
        <w:pStyle w:val="BodyText"/>
        <w:rPr>
          <w:sz w:val="20"/>
        </w:rPr>
      </w:pPr>
    </w:p>
    <w:p>
      <w:pPr>
        <w:pStyle w:val="BodyText"/>
        <w:spacing w:before="2"/>
        <w:rPr>
          <w:sz w:val="19"/>
        </w:rPr>
      </w:pPr>
    </w:p>
    <w:p>
      <w:pPr>
        <w:spacing w:line="288" w:lineRule="auto" w:before="94"/>
        <w:ind w:left="799" w:right="951" w:firstLine="0"/>
        <w:jc w:val="left"/>
        <w:rPr>
          <w:sz w:val="22"/>
        </w:rPr>
      </w:pPr>
      <w:r>
        <w:rPr>
          <w:i/>
          <w:sz w:val="22"/>
        </w:rPr>
        <w:t>“Without delineating responsibilities, it is not possible to attribute and measure accountability to those responsibilities. The information sharing requirements in the MOU are also very vague. It appears, for example that the Work Practices Audit information</w:t>
      </w:r>
      <w:r>
        <w:rPr>
          <w:i/>
          <w:spacing w:val="-3"/>
          <w:sz w:val="22"/>
        </w:rPr>
        <w:t> </w:t>
      </w:r>
      <w:r>
        <w:rPr>
          <w:i/>
          <w:sz w:val="22"/>
        </w:rPr>
        <w:t>is</w:t>
      </w:r>
      <w:r>
        <w:rPr>
          <w:i/>
          <w:spacing w:val="-2"/>
          <w:sz w:val="22"/>
        </w:rPr>
        <w:t> </w:t>
      </w:r>
      <w:r>
        <w:rPr>
          <w:i/>
          <w:sz w:val="22"/>
        </w:rPr>
        <w:t>not</w:t>
      </w:r>
      <w:r>
        <w:rPr>
          <w:i/>
          <w:spacing w:val="-3"/>
          <w:sz w:val="22"/>
        </w:rPr>
        <w:t> </w:t>
      </w:r>
      <w:r>
        <w:rPr>
          <w:i/>
          <w:sz w:val="22"/>
        </w:rPr>
        <w:t>shared</w:t>
      </w:r>
      <w:r>
        <w:rPr>
          <w:i/>
          <w:spacing w:val="-4"/>
          <w:sz w:val="22"/>
        </w:rPr>
        <w:t> </w:t>
      </w:r>
      <w:r>
        <w:rPr>
          <w:i/>
          <w:sz w:val="22"/>
        </w:rPr>
        <w:t>with</w:t>
      </w:r>
      <w:r>
        <w:rPr>
          <w:i/>
          <w:spacing w:val="-4"/>
          <w:sz w:val="22"/>
        </w:rPr>
        <w:t> </w:t>
      </w:r>
      <w:r>
        <w:rPr>
          <w:i/>
          <w:sz w:val="22"/>
        </w:rPr>
        <w:t>WorkSafe</w:t>
      </w:r>
      <w:r>
        <w:rPr>
          <w:i/>
          <w:spacing w:val="-3"/>
          <w:sz w:val="22"/>
        </w:rPr>
        <w:t> </w:t>
      </w:r>
      <w:r>
        <w:rPr>
          <w:i/>
          <w:sz w:val="22"/>
        </w:rPr>
        <w:t>and</w:t>
      </w:r>
      <w:r>
        <w:rPr>
          <w:i/>
          <w:spacing w:val="-4"/>
          <w:sz w:val="22"/>
        </w:rPr>
        <w:t> </w:t>
      </w:r>
      <w:r>
        <w:rPr>
          <w:i/>
          <w:sz w:val="22"/>
        </w:rPr>
        <w:t>the</w:t>
      </w:r>
      <w:r>
        <w:rPr>
          <w:i/>
          <w:spacing w:val="-4"/>
          <w:sz w:val="22"/>
        </w:rPr>
        <w:t> </w:t>
      </w:r>
      <w:r>
        <w:rPr>
          <w:i/>
          <w:sz w:val="22"/>
        </w:rPr>
        <w:t>sharing</w:t>
      </w:r>
      <w:r>
        <w:rPr>
          <w:i/>
          <w:spacing w:val="-3"/>
          <w:sz w:val="22"/>
        </w:rPr>
        <w:t> </w:t>
      </w:r>
      <w:r>
        <w:rPr>
          <w:i/>
          <w:sz w:val="22"/>
        </w:rPr>
        <w:t>of</w:t>
      </w:r>
      <w:r>
        <w:rPr>
          <w:i/>
          <w:spacing w:val="-3"/>
          <w:sz w:val="22"/>
        </w:rPr>
        <w:t> </w:t>
      </w:r>
      <w:r>
        <w:rPr>
          <w:i/>
          <w:sz w:val="22"/>
        </w:rPr>
        <w:t>information</w:t>
      </w:r>
      <w:r>
        <w:rPr>
          <w:i/>
          <w:spacing w:val="-3"/>
          <w:sz w:val="22"/>
        </w:rPr>
        <w:t> </w:t>
      </w:r>
      <w:r>
        <w:rPr>
          <w:i/>
          <w:sz w:val="22"/>
        </w:rPr>
        <w:t>still</w:t>
      </w:r>
      <w:r>
        <w:rPr>
          <w:i/>
          <w:spacing w:val="-3"/>
          <w:sz w:val="22"/>
        </w:rPr>
        <w:t> </w:t>
      </w:r>
      <w:r>
        <w:rPr>
          <w:i/>
          <w:sz w:val="22"/>
        </w:rPr>
        <w:t>only</w:t>
      </w:r>
      <w:r>
        <w:rPr>
          <w:i/>
          <w:spacing w:val="-2"/>
          <w:sz w:val="22"/>
        </w:rPr>
        <w:t> </w:t>
      </w:r>
      <w:r>
        <w:rPr>
          <w:i/>
          <w:sz w:val="22"/>
        </w:rPr>
        <w:t>occurs on a very ad hoc basis.” </w:t>
      </w:r>
      <w:r>
        <w:rPr>
          <w:sz w:val="22"/>
        </w:rPr>
        <w:t>(Electrical Trades Union, 2017, p. 39)</w:t>
      </w:r>
    </w:p>
    <w:p>
      <w:pPr>
        <w:pStyle w:val="BodyText"/>
        <w:spacing w:before="8"/>
        <w:rPr>
          <w:sz w:val="18"/>
        </w:rPr>
      </w:pPr>
      <w:r>
        <w:rPr/>
        <mc:AlternateContent>
          <mc:Choice Requires="wps">
            <w:drawing>
              <wp:anchor distT="0" distB="0" distL="0" distR="0" allowOverlap="1" layoutInCell="1" locked="0" behindDoc="1" simplePos="0" relativeHeight="487639040">
                <wp:simplePos x="0" y="0"/>
                <wp:positionH relativeFrom="page">
                  <wp:posOffset>719327</wp:posOffset>
                </wp:positionH>
                <wp:positionV relativeFrom="paragraph">
                  <wp:posOffset>152315</wp:posOffset>
                </wp:positionV>
                <wp:extent cx="5870575" cy="3897629"/>
                <wp:effectExtent l="0" t="0" r="0" b="0"/>
                <wp:wrapTopAndBottom/>
                <wp:docPr id="163" name="Textbox 163"/>
                <wp:cNvGraphicFramePr>
                  <a:graphicFrameLocks/>
                </wp:cNvGraphicFramePr>
                <a:graphic>
                  <a:graphicData uri="http://schemas.microsoft.com/office/word/2010/wordprocessingShape">
                    <wps:wsp>
                      <wps:cNvPr id="163" name="Textbox 163"/>
                      <wps:cNvSpPr txBox="1"/>
                      <wps:spPr>
                        <a:xfrm>
                          <a:off x="0" y="0"/>
                          <a:ext cx="5870575" cy="3897629"/>
                        </a:xfrm>
                        <a:prstGeom prst="rect">
                          <a:avLst/>
                        </a:prstGeom>
                        <a:solidFill>
                          <a:srgbClr val="CDEBEB"/>
                        </a:solidFill>
                      </wps:spPr>
                      <wps:txbx>
                        <w:txbxContent>
                          <w:p>
                            <w:pPr>
                              <w:pStyle w:val="BodyText"/>
                              <w:spacing w:before="9"/>
                              <w:rPr>
                                <w:color w:val="000000"/>
                                <w:sz w:val="20"/>
                              </w:rPr>
                            </w:pPr>
                          </w:p>
                          <w:p>
                            <w:pPr>
                              <w:spacing w:before="1"/>
                              <w:ind w:left="141" w:right="0" w:firstLine="0"/>
                              <w:jc w:val="left"/>
                              <w:rPr>
                                <w:b/>
                                <w:color w:val="000000"/>
                                <w:sz w:val="22"/>
                              </w:rPr>
                            </w:pPr>
                            <w:r>
                              <w:rPr>
                                <w:b/>
                                <w:color w:val="000000"/>
                                <w:sz w:val="22"/>
                              </w:rPr>
                              <w:t>Box</w:t>
                            </w:r>
                            <w:r>
                              <w:rPr>
                                <w:b/>
                                <w:color w:val="000000"/>
                                <w:spacing w:val="-6"/>
                                <w:sz w:val="22"/>
                              </w:rPr>
                              <w:t> </w:t>
                            </w:r>
                            <w:r>
                              <w:rPr>
                                <w:b/>
                                <w:color w:val="000000"/>
                                <w:sz w:val="22"/>
                              </w:rPr>
                              <w:t>16:</w:t>
                            </w:r>
                            <w:r>
                              <w:rPr>
                                <w:b/>
                                <w:color w:val="000000"/>
                                <w:spacing w:val="-2"/>
                                <w:sz w:val="22"/>
                              </w:rPr>
                              <w:t> </w:t>
                            </w:r>
                            <w:r>
                              <w:rPr>
                                <w:b/>
                                <w:color w:val="000000"/>
                                <w:sz w:val="22"/>
                              </w:rPr>
                              <w:t>Examples</w:t>
                            </w:r>
                            <w:r>
                              <w:rPr>
                                <w:b/>
                                <w:color w:val="000000"/>
                                <w:spacing w:val="-5"/>
                                <w:sz w:val="22"/>
                              </w:rPr>
                              <w:t> </w:t>
                            </w:r>
                            <w:r>
                              <w:rPr>
                                <w:b/>
                                <w:color w:val="000000"/>
                                <w:sz w:val="22"/>
                              </w:rPr>
                              <w:t>of</w:t>
                            </w:r>
                            <w:r>
                              <w:rPr>
                                <w:b/>
                                <w:color w:val="000000"/>
                                <w:spacing w:val="-4"/>
                                <w:sz w:val="22"/>
                              </w:rPr>
                              <w:t> </w:t>
                            </w:r>
                            <w:r>
                              <w:rPr>
                                <w:b/>
                                <w:color w:val="000000"/>
                                <w:sz w:val="22"/>
                              </w:rPr>
                              <w:t>cooperative</w:t>
                            </w:r>
                            <w:r>
                              <w:rPr>
                                <w:b/>
                                <w:color w:val="000000"/>
                                <w:spacing w:val="-7"/>
                                <w:sz w:val="22"/>
                              </w:rPr>
                              <w:t> </w:t>
                            </w:r>
                            <w:r>
                              <w:rPr>
                                <w:b/>
                                <w:color w:val="000000"/>
                                <w:sz w:val="22"/>
                              </w:rPr>
                              <w:t>work</w:t>
                            </w:r>
                            <w:r>
                              <w:rPr>
                                <w:b/>
                                <w:color w:val="000000"/>
                                <w:spacing w:val="-4"/>
                                <w:sz w:val="22"/>
                              </w:rPr>
                              <w:t> </w:t>
                            </w:r>
                            <w:r>
                              <w:rPr>
                                <w:b/>
                                <w:color w:val="000000"/>
                                <w:sz w:val="22"/>
                              </w:rPr>
                              <w:t>between</w:t>
                            </w:r>
                            <w:r>
                              <w:rPr>
                                <w:b/>
                                <w:color w:val="000000"/>
                                <w:spacing w:val="-3"/>
                                <w:sz w:val="22"/>
                              </w:rPr>
                              <w:t> </w:t>
                            </w:r>
                            <w:r>
                              <w:rPr>
                                <w:b/>
                                <w:color w:val="000000"/>
                                <w:sz w:val="22"/>
                              </w:rPr>
                              <w:t>ESV</w:t>
                            </w:r>
                            <w:r>
                              <w:rPr>
                                <w:b/>
                                <w:color w:val="000000"/>
                                <w:spacing w:val="-3"/>
                                <w:sz w:val="22"/>
                              </w:rPr>
                              <w:t> </w:t>
                            </w:r>
                            <w:r>
                              <w:rPr>
                                <w:b/>
                                <w:color w:val="000000"/>
                                <w:sz w:val="22"/>
                              </w:rPr>
                              <w:t>and</w:t>
                            </w:r>
                            <w:r>
                              <w:rPr>
                                <w:b/>
                                <w:color w:val="000000"/>
                                <w:spacing w:val="-5"/>
                                <w:sz w:val="22"/>
                              </w:rPr>
                              <w:t> </w:t>
                            </w:r>
                            <w:r>
                              <w:rPr>
                                <w:b/>
                                <w:color w:val="000000"/>
                                <w:sz w:val="22"/>
                              </w:rPr>
                              <w:t>WorkSafe</w:t>
                            </w:r>
                            <w:r>
                              <w:rPr>
                                <w:b/>
                                <w:color w:val="000000"/>
                                <w:spacing w:val="-7"/>
                                <w:sz w:val="22"/>
                              </w:rPr>
                              <w:t> </w:t>
                            </w:r>
                            <w:r>
                              <w:rPr>
                                <w:b/>
                                <w:color w:val="000000"/>
                                <w:spacing w:val="-2"/>
                                <w:sz w:val="22"/>
                              </w:rPr>
                              <w:t>Victoria</w:t>
                            </w:r>
                          </w:p>
                          <w:p>
                            <w:pPr>
                              <w:pStyle w:val="BodyText"/>
                              <w:spacing w:before="4"/>
                              <w:rPr>
                                <w:b/>
                                <w:color w:val="000000"/>
                                <w:sz w:val="25"/>
                              </w:rPr>
                            </w:pPr>
                          </w:p>
                          <w:p>
                            <w:pPr>
                              <w:pStyle w:val="BodyText"/>
                              <w:spacing w:line="288" w:lineRule="auto"/>
                              <w:ind w:left="112" w:right="177"/>
                              <w:rPr>
                                <w:color w:val="000000"/>
                              </w:rPr>
                            </w:pPr>
                            <w:r>
                              <w:rPr>
                                <w:color w:val="000000"/>
                              </w:rPr>
                              <w:t>ESV and WorkSafe Victoria have a long track record of working together on issues that cross</w:t>
                            </w:r>
                            <w:r>
                              <w:rPr>
                                <w:color w:val="000000"/>
                                <w:spacing w:val="-6"/>
                              </w:rPr>
                              <w:t> </w:t>
                            </w:r>
                            <w:r>
                              <w:rPr>
                                <w:color w:val="000000"/>
                              </w:rPr>
                              <w:t>their</w:t>
                            </w:r>
                            <w:r>
                              <w:rPr>
                                <w:color w:val="000000"/>
                                <w:spacing w:val="-5"/>
                              </w:rPr>
                              <w:t> </w:t>
                            </w:r>
                            <w:r>
                              <w:rPr>
                                <w:color w:val="000000"/>
                              </w:rPr>
                              <w:t>respective</w:t>
                            </w:r>
                            <w:r>
                              <w:rPr>
                                <w:color w:val="000000"/>
                                <w:spacing w:val="-4"/>
                              </w:rPr>
                              <w:t> </w:t>
                            </w:r>
                            <w:r>
                              <w:rPr>
                                <w:color w:val="000000"/>
                              </w:rPr>
                              <w:t>regulatory</w:t>
                            </w:r>
                            <w:r>
                              <w:rPr>
                                <w:color w:val="000000"/>
                                <w:spacing w:val="-6"/>
                              </w:rPr>
                              <w:t> </w:t>
                            </w:r>
                            <w:r>
                              <w:rPr>
                                <w:color w:val="000000"/>
                              </w:rPr>
                              <w:t>boundaries,</w:t>
                            </w:r>
                            <w:r>
                              <w:rPr>
                                <w:color w:val="000000"/>
                                <w:spacing w:val="-5"/>
                              </w:rPr>
                              <w:t> </w:t>
                            </w:r>
                            <w:r>
                              <w:rPr>
                                <w:color w:val="000000"/>
                              </w:rPr>
                              <w:t>including</w:t>
                            </w:r>
                            <w:r>
                              <w:rPr>
                                <w:color w:val="000000"/>
                                <w:spacing w:val="-4"/>
                              </w:rPr>
                              <w:t> </w:t>
                            </w:r>
                            <w:r>
                              <w:rPr>
                                <w:color w:val="000000"/>
                              </w:rPr>
                              <w:t>through</w:t>
                            </w:r>
                            <w:r>
                              <w:rPr>
                                <w:color w:val="000000"/>
                                <w:spacing w:val="-6"/>
                              </w:rPr>
                              <w:t> </w:t>
                            </w:r>
                            <w:r>
                              <w:rPr>
                                <w:color w:val="000000"/>
                              </w:rPr>
                              <w:t>establishing</w:t>
                            </w:r>
                            <w:r>
                              <w:rPr>
                                <w:color w:val="000000"/>
                                <w:spacing w:val="-4"/>
                              </w:rPr>
                              <w:t> </w:t>
                            </w:r>
                            <w:r>
                              <w:rPr>
                                <w:color w:val="000000"/>
                              </w:rPr>
                              <w:t>relevant</w:t>
                            </w:r>
                            <w:r>
                              <w:rPr>
                                <w:color w:val="000000"/>
                                <w:spacing w:val="-2"/>
                              </w:rPr>
                              <w:t> </w:t>
                            </w:r>
                            <w:r>
                              <w:rPr>
                                <w:color w:val="000000"/>
                              </w:rPr>
                              <w:t>safety standards and participating in joint committees addressing worker safety.</w:t>
                            </w:r>
                          </w:p>
                          <w:p>
                            <w:pPr>
                              <w:pStyle w:val="BodyText"/>
                              <w:spacing w:line="290" w:lineRule="auto" w:before="198"/>
                              <w:ind w:left="112" w:right="140"/>
                              <w:rPr>
                                <w:color w:val="000000"/>
                              </w:rPr>
                            </w:pPr>
                            <w:r>
                              <w:rPr>
                                <w:color w:val="000000"/>
                              </w:rPr>
                              <w:t>Two</w:t>
                            </w:r>
                            <w:r>
                              <w:rPr>
                                <w:color w:val="000000"/>
                                <w:spacing w:val="-3"/>
                              </w:rPr>
                              <w:t> </w:t>
                            </w:r>
                            <w:r>
                              <w:rPr>
                                <w:color w:val="000000"/>
                              </w:rPr>
                              <w:t>examples</w:t>
                            </w:r>
                            <w:r>
                              <w:rPr>
                                <w:color w:val="000000"/>
                                <w:spacing w:val="-3"/>
                              </w:rPr>
                              <w:t> </w:t>
                            </w:r>
                            <w:r>
                              <w:rPr>
                                <w:color w:val="000000"/>
                              </w:rPr>
                              <w:t>are:</w:t>
                            </w:r>
                            <w:r>
                              <w:rPr>
                                <w:color w:val="000000"/>
                                <w:spacing w:val="-4"/>
                              </w:rPr>
                              <w:t> </w:t>
                            </w:r>
                            <w:r>
                              <w:rPr>
                                <w:color w:val="000000"/>
                              </w:rPr>
                              <w:t>the</w:t>
                            </w:r>
                            <w:r>
                              <w:rPr>
                                <w:color w:val="000000"/>
                                <w:spacing w:val="-3"/>
                              </w:rPr>
                              <w:t> </w:t>
                            </w:r>
                            <w:r>
                              <w:rPr>
                                <w:color w:val="000000"/>
                              </w:rPr>
                              <w:t>establishment</w:t>
                            </w:r>
                            <w:r>
                              <w:rPr>
                                <w:color w:val="000000"/>
                                <w:spacing w:val="-4"/>
                              </w:rPr>
                              <w:t> </w:t>
                            </w:r>
                            <w:r>
                              <w:rPr>
                                <w:color w:val="000000"/>
                              </w:rPr>
                              <w:t>of </w:t>
                            </w:r>
                            <w:r>
                              <w:rPr>
                                <w:i/>
                                <w:color w:val="000000"/>
                              </w:rPr>
                              <w:t>No</w:t>
                            </w:r>
                            <w:r>
                              <w:rPr>
                                <w:i/>
                                <w:color w:val="000000"/>
                                <w:spacing w:val="-5"/>
                              </w:rPr>
                              <w:t> </w:t>
                            </w:r>
                            <w:r>
                              <w:rPr>
                                <w:i/>
                                <w:color w:val="000000"/>
                              </w:rPr>
                              <w:t>Go</w:t>
                            </w:r>
                            <w:r>
                              <w:rPr>
                                <w:i/>
                                <w:color w:val="000000"/>
                                <w:spacing w:val="-5"/>
                              </w:rPr>
                              <w:t> </w:t>
                            </w:r>
                            <w:r>
                              <w:rPr>
                                <w:i/>
                                <w:color w:val="000000"/>
                              </w:rPr>
                              <w:t>Zones</w:t>
                            </w:r>
                            <w:r>
                              <w:rPr>
                                <w:i/>
                                <w:color w:val="000000"/>
                                <w:spacing w:val="-2"/>
                              </w:rPr>
                              <w:t> </w:t>
                            </w:r>
                            <w:r>
                              <w:rPr>
                                <w:color w:val="000000"/>
                              </w:rPr>
                              <w:t>and</w:t>
                            </w:r>
                            <w:r>
                              <w:rPr>
                                <w:color w:val="000000"/>
                                <w:spacing w:val="-5"/>
                              </w:rPr>
                              <w:t> </w:t>
                            </w:r>
                            <w:r>
                              <w:rPr>
                                <w:color w:val="000000"/>
                              </w:rPr>
                              <w:t>the</w:t>
                            </w:r>
                            <w:r>
                              <w:rPr>
                                <w:color w:val="000000"/>
                                <w:spacing w:val="-3"/>
                              </w:rPr>
                              <w:t> </w:t>
                            </w:r>
                            <w:r>
                              <w:rPr>
                                <w:color w:val="000000"/>
                              </w:rPr>
                              <w:t>associated</w:t>
                            </w:r>
                            <w:r>
                              <w:rPr>
                                <w:color w:val="000000"/>
                                <w:spacing w:val="-6"/>
                              </w:rPr>
                              <w:t> </w:t>
                            </w:r>
                            <w:r>
                              <w:rPr>
                                <w:color w:val="000000"/>
                              </w:rPr>
                              <w:t>Utilities</w:t>
                            </w:r>
                            <w:r>
                              <w:rPr>
                                <w:color w:val="000000"/>
                                <w:spacing w:val="-3"/>
                              </w:rPr>
                              <w:t> </w:t>
                            </w:r>
                            <w:r>
                              <w:rPr>
                                <w:color w:val="000000"/>
                              </w:rPr>
                              <w:t>Safety Committee; and the operation of the Electrical Safety Committee which determines standards for working safely on the electrical networks.</w:t>
                            </w:r>
                          </w:p>
                          <w:p>
                            <w:pPr>
                              <w:pStyle w:val="BodyText"/>
                              <w:spacing w:line="288" w:lineRule="auto" w:before="193"/>
                              <w:ind w:left="112" w:right="395"/>
                              <w:rPr>
                                <w:color w:val="000000"/>
                              </w:rPr>
                            </w:pPr>
                            <w:r>
                              <w:rPr>
                                <w:color w:val="000000"/>
                              </w:rPr>
                              <w:t>For the </w:t>
                            </w:r>
                            <w:r>
                              <w:rPr>
                                <w:i/>
                                <w:color w:val="000000"/>
                              </w:rPr>
                              <w:t>No Go Zones</w:t>
                            </w:r>
                            <w:r>
                              <w:rPr>
                                <w:color w:val="000000"/>
                              </w:rPr>
                              <w:t>, ESV (and its predecessor electrical and gas safety offices) and WorkSafe</w:t>
                            </w:r>
                            <w:r>
                              <w:rPr>
                                <w:color w:val="000000"/>
                                <w:spacing w:val="-3"/>
                              </w:rPr>
                              <w:t> </w:t>
                            </w:r>
                            <w:r>
                              <w:rPr>
                                <w:color w:val="000000"/>
                              </w:rPr>
                              <w:t>Victoria</w:t>
                            </w:r>
                            <w:r>
                              <w:rPr>
                                <w:color w:val="000000"/>
                                <w:spacing w:val="-3"/>
                              </w:rPr>
                              <w:t> </w:t>
                            </w:r>
                            <w:r>
                              <w:rPr>
                                <w:color w:val="000000"/>
                              </w:rPr>
                              <w:t>worked</w:t>
                            </w:r>
                            <w:r>
                              <w:rPr>
                                <w:color w:val="000000"/>
                                <w:spacing w:val="-3"/>
                              </w:rPr>
                              <w:t> </w:t>
                            </w:r>
                            <w:r>
                              <w:rPr>
                                <w:color w:val="000000"/>
                              </w:rPr>
                              <w:t>together</w:t>
                            </w:r>
                            <w:r>
                              <w:rPr>
                                <w:color w:val="000000"/>
                                <w:spacing w:val="-4"/>
                              </w:rPr>
                              <w:t> </w:t>
                            </w:r>
                            <w:r>
                              <w:rPr>
                                <w:color w:val="000000"/>
                              </w:rPr>
                              <w:t>to</w:t>
                            </w:r>
                            <w:r>
                              <w:rPr>
                                <w:color w:val="000000"/>
                                <w:spacing w:val="-5"/>
                              </w:rPr>
                              <w:t> </w:t>
                            </w:r>
                            <w:r>
                              <w:rPr>
                                <w:color w:val="000000"/>
                              </w:rPr>
                              <w:t>develop</w:t>
                            </w:r>
                            <w:r>
                              <w:rPr>
                                <w:color w:val="000000"/>
                                <w:spacing w:val="-3"/>
                              </w:rPr>
                              <w:t> </w:t>
                            </w:r>
                            <w:r>
                              <w:rPr>
                                <w:color w:val="000000"/>
                              </w:rPr>
                              <w:t>a</w:t>
                            </w:r>
                            <w:r>
                              <w:rPr>
                                <w:color w:val="000000"/>
                                <w:spacing w:val="-3"/>
                              </w:rPr>
                              <w:t> </w:t>
                            </w:r>
                            <w:r>
                              <w:rPr>
                                <w:color w:val="000000"/>
                              </w:rPr>
                              <w:t>consistent</w:t>
                            </w:r>
                            <w:r>
                              <w:rPr>
                                <w:color w:val="000000"/>
                                <w:spacing w:val="-4"/>
                              </w:rPr>
                              <w:t> </w:t>
                            </w:r>
                            <w:r>
                              <w:rPr>
                                <w:color w:val="000000"/>
                              </w:rPr>
                              <w:t>set</w:t>
                            </w:r>
                            <w:r>
                              <w:rPr>
                                <w:color w:val="000000"/>
                                <w:spacing w:val="-4"/>
                              </w:rPr>
                              <w:t> </w:t>
                            </w:r>
                            <w:r>
                              <w:rPr>
                                <w:color w:val="000000"/>
                              </w:rPr>
                              <w:t>of</w:t>
                            </w:r>
                            <w:r>
                              <w:rPr>
                                <w:color w:val="000000"/>
                                <w:spacing w:val="-1"/>
                              </w:rPr>
                              <w:t> </w:t>
                            </w:r>
                            <w:r>
                              <w:rPr>
                                <w:color w:val="000000"/>
                              </w:rPr>
                              <w:t>rules</w:t>
                            </w:r>
                            <w:r>
                              <w:rPr>
                                <w:color w:val="000000"/>
                                <w:spacing w:val="-7"/>
                              </w:rPr>
                              <w:t> </w:t>
                            </w:r>
                            <w:r>
                              <w:rPr>
                                <w:color w:val="000000"/>
                              </w:rPr>
                              <w:t>for</w:t>
                            </w:r>
                            <w:r>
                              <w:rPr>
                                <w:color w:val="000000"/>
                                <w:spacing w:val="-4"/>
                              </w:rPr>
                              <w:t> </w:t>
                            </w:r>
                            <w:r>
                              <w:rPr>
                                <w:color w:val="000000"/>
                              </w:rPr>
                              <w:t>workers</w:t>
                            </w:r>
                            <w:r>
                              <w:rPr>
                                <w:color w:val="000000"/>
                                <w:spacing w:val="-4"/>
                              </w:rPr>
                              <w:t> </w:t>
                            </w:r>
                            <w:r>
                              <w:rPr>
                                <w:color w:val="000000"/>
                              </w:rPr>
                              <w:t>when they are working near overhead powerlines and underground utilities. These rules are reviewed by a Utilities Safety Committee on which both ESV and WorkSafe Victoria sit.</w:t>
                            </w:r>
                          </w:p>
                          <w:p>
                            <w:pPr>
                              <w:spacing w:line="288" w:lineRule="auto" w:before="200"/>
                              <w:ind w:left="112" w:right="115" w:firstLine="0"/>
                              <w:jc w:val="left"/>
                              <w:rPr>
                                <w:color w:val="000000"/>
                                <w:sz w:val="22"/>
                              </w:rPr>
                            </w:pPr>
                            <w:r>
                              <w:rPr>
                                <w:color w:val="000000"/>
                                <w:sz w:val="22"/>
                              </w:rPr>
                              <w:t>The</w:t>
                            </w:r>
                            <w:r>
                              <w:rPr>
                                <w:color w:val="000000"/>
                                <w:spacing w:val="-5"/>
                                <w:sz w:val="22"/>
                              </w:rPr>
                              <w:t> </w:t>
                            </w:r>
                            <w:r>
                              <w:rPr>
                                <w:color w:val="000000"/>
                                <w:sz w:val="22"/>
                              </w:rPr>
                              <w:t>Electrical</w:t>
                            </w:r>
                            <w:r>
                              <w:rPr>
                                <w:color w:val="000000"/>
                                <w:spacing w:val="-4"/>
                                <w:sz w:val="22"/>
                              </w:rPr>
                              <w:t> </w:t>
                            </w:r>
                            <w:r>
                              <w:rPr>
                                <w:color w:val="000000"/>
                                <w:sz w:val="22"/>
                              </w:rPr>
                              <w:t>Safety</w:t>
                            </w:r>
                            <w:r>
                              <w:rPr>
                                <w:color w:val="000000"/>
                                <w:spacing w:val="-4"/>
                                <w:sz w:val="22"/>
                              </w:rPr>
                              <w:t> </w:t>
                            </w:r>
                            <w:r>
                              <w:rPr>
                                <w:color w:val="000000"/>
                                <w:sz w:val="22"/>
                              </w:rPr>
                              <w:t>Committee</w:t>
                            </w:r>
                            <w:r>
                              <w:rPr>
                                <w:color w:val="000000"/>
                                <w:spacing w:val="-5"/>
                                <w:sz w:val="22"/>
                              </w:rPr>
                              <w:t> </w:t>
                            </w:r>
                            <w:r>
                              <w:rPr>
                                <w:color w:val="000000"/>
                                <w:sz w:val="22"/>
                              </w:rPr>
                              <w:t>is</w:t>
                            </w:r>
                            <w:r>
                              <w:rPr>
                                <w:color w:val="000000"/>
                                <w:spacing w:val="-2"/>
                                <w:sz w:val="22"/>
                              </w:rPr>
                              <w:t> </w:t>
                            </w:r>
                            <w:r>
                              <w:rPr>
                                <w:color w:val="000000"/>
                                <w:sz w:val="22"/>
                              </w:rPr>
                              <w:t>an</w:t>
                            </w:r>
                            <w:r>
                              <w:rPr>
                                <w:color w:val="000000"/>
                                <w:spacing w:val="-3"/>
                                <w:sz w:val="22"/>
                              </w:rPr>
                              <w:t> </w:t>
                            </w:r>
                            <w:r>
                              <w:rPr>
                                <w:color w:val="000000"/>
                                <w:sz w:val="22"/>
                              </w:rPr>
                              <w:t>advisory</w:t>
                            </w:r>
                            <w:r>
                              <w:rPr>
                                <w:color w:val="000000"/>
                                <w:spacing w:val="-4"/>
                                <w:sz w:val="22"/>
                              </w:rPr>
                              <w:t> </w:t>
                            </w:r>
                            <w:r>
                              <w:rPr>
                                <w:color w:val="000000"/>
                                <w:sz w:val="22"/>
                              </w:rPr>
                              <w:t>committee</w:t>
                            </w:r>
                            <w:r>
                              <w:rPr>
                                <w:color w:val="000000"/>
                                <w:spacing w:val="-5"/>
                                <w:sz w:val="22"/>
                              </w:rPr>
                              <w:t> </w:t>
                            </w:r>
                            <w:r>
                              <w:rPr>
                                <w:color w:val="000000"/>
                                <w:sz w:val="22"/>
                              </w:rPr>
                              <w:t>established</w:t>
                            </w:r>
                            <w:r>
                              <w:rPr>
                                <w:color w:val="000000"/>
                                <w:spacing w:val="-3"/>
                                <w:sz w:val="22"/>
                              </w:rPr>
                              <w:t> </w:t>
                            </w:r>
                            <w:r>
                              <w:rPr>
                                <w:color w:val="000000"/>
                                <w:sz w:val="22"/>
                              </w:rPr>
                              <w:t>by</w:t>
                            </w:r>
                            <w:r>
                              <w:rPr>
                                <w:color w:val="000000"/>
                                <w:spacing w:val="-7"/>
                                <w:sz w:val="22"/>
                              </w:rPr>
                              <w:t> </w:t>
                            </w:r>
                            <w:r>
                              <w:rPr>
                                <w:color w:val="000000"/>
                                <w:sz w:val="22"/>
                              </w:rPr>
                              <w:t>ESV</w:t>
                            </w:r>
                            <w:r>
                              <w:rPr>
                                <w:color w:val="000000"/>
                                <w:spacing w:val="-3"/>
                                <w:sz w:val="22"/>
                              </w:rPr>
                              <w:t> </w:t>
                            </w:r>
                            <w:r>
                              <w:rPr>
                                <w:color w:val="000000"/>
                                <w:sz w:val="22"/>
                              </w:rPr>
                              <w:t>under Section 8</w:t>
                            </w:r>
                            <w:r>
                              <w:rPr>
                                <w:color w:val="000000"/>
                                <w:spacing w:val="-1"/>
                                <w:sz w:val="22"/>
                              </w:rPr>
                              <w:t> </w:t>
                            </w:r>
                            <w:r>
                              <w:rPr>
                                <w:color w:val="000000"/>
                                <w:sz w:val="22"/>
                              </w:rPr>
                              <w:t>of the</w:t>
                            </w:r>
                            <w:r>
                              <w:rPr>
                                <w:color w:val="000000"/>
                                <w:spacing w:val="-2"/>
                                <w:sz w:val="22"/>
                              </w:rPr>
                              <w:t> </w:t>
                            </w:r>
                            <w:r>
                              <w:rPr>
                                <w:i/>
                                <w:color w:val="000000"/>
                                <w:sz w:val="22"/>
                              </w:rPr>
                              <w:t>Energy</w:t>
                            </w:r>
                            <w:r>
                              <w:rPr>
                                <w:i/>
                                <w:color w:val="000000"/>
                                <w:spacing w:val="-3"/>
                                <w:sz w:val="22"/>
                              </w:rPr>
                              <w:t> </w:t>
                            </w:r>
                            <w:r>
                              <w:rPr>
                                <w:i/>
                                <w:color w:val="000000"/>
                                <w:sz w:val="22"/>
                              </w:rPr>
                              <w:t>Safe</w:t>
                            </w:r>
                            <w:r>
                              <w:rPr>
                                <w:i/>
                                <w:color w:val="000000"/>
                                <w:spacing w:val="-3"/>
                                <w:sz w:val="22"/>
                              </w:rPr>
                              <w:t> </w:t>
                            </w:r>
                            <w:r>
                              <w:rPr>
                                <w:i/>
                                <w:color w:val="000000"/>
                                <w:sz w:val="22"/>
                              </w:rPr>
                              <w:t>Victoria</w:t>
                            </w:r>
                            <w:r>
                              <w:rPr>
                                <w:i/>
                                <w:color w:val="000000"/>
                                <w:spacing w:val="-1"/>
                                <w:sz w:val="22"/>
                              </w:rPr>
                              <w:t> </w:t>
                            </w:r>
                            <w:r>
                              <w:rPr>
                                <w:i/>
                                <w:color w:val="000000"/>
                                <w:sz w:val="22"/>
                              </w:rPr>
                              <w:t>Act</w:t>
                            </w:r>
                            <w:r>
                              <w:rPr>
                                <w:i/>
                                <w:color w:val="000000"/>
                                <w:spacing w:val="-2"/>
                                <w:sz w:val="22"/>
                              </w:rPr>
                              <w:t> </w:t>
                            </w:r>
                            <w:r>
                              <w:rPr>
                                <w:i/>
                                <w:color w:val="000000"/>
                                <w:sz w:val="22"/>
                              </w:rPr>
                              <w:t>2005, </w:t>
                            </w:r>
                            <w:r>
                              <w:rPr>
                                <w:color w:val="000000"/>
                                <w:sz w:val="22"/>
                              </w:rPr>
                              <w:t>and</w:t>
                            </w:r>
                            <w:r>
                              <w:rPr>
                                <w:color w:val="000000"/>
                                <w:spacing w:val="-1"/>
                                <w:sz w:val="22"/>
                              </w:rPr>
                              <w:t> </w:t>
                            </w:r>
                            <w:r>
                              <w:rPr>
                                <w:color w:val="000000"/>
                                <w:sz w:val="22"/>
                              </w:rPr>
                              <w:t>includes</w:t>
                            </w:r>
                            <w:r>
                              <w:rPr>
                                <w:color w:val="000000"/>
                                <w:spacing w:val="-1"/>
                                <w:sz w:val="22"/>
                              </w:rPr>
                              <w:t> </w:t>
                            </w:r>
                            <w:r>
                              <w:rPr>
                                <w:color w:val="000000"/>
                                <w:sz w:val="22"/>
                              </w:rPr>
                              <w:t>members</w:t>
                            </w:r>
                            <w:r>
                              <w:rPr>
                                <w:color w:val="000000"/>
                                <w:spacing w:val="-3"/>
                                <w:sz w:val="22"/>
                              </w:rPr>
                              <w:t> </w:t>
                            </w:r>
                            <w:r>
                              <w:rPr>
                                <w:color w:val="000000"/>
                                <w:sz w:val="22"/>
                              </w:rPr>
                              <w:t>from network businesses,</w:t>
                            </w:r>
                            <w:r>
                              <w:rPr>
                                <w:color w:val="000000"/>
                                <w:spacing w:val="-2"/>
                                <w:sz w:val="22"/>
                              </w:rPr>
                              <w:t> </w:t>
                            </w:r>
                            <w:r>
                              <w:rPr>
                                <w:color w:val="000000"/>
                                <w:sz w:val="22"/>
                              </w:rPr>
                              <w:t>the Electrical Trades Union, WorkSafe Victoria and ESV itself. This committee was established to review ESV’s so-called “</w:t>
                            </w:r>
                            <w:r>
                              <w:rPr>
                                <w:i/>
                                <w:color w:val="000000"/>
                                <w:sz w:val="22"/>
                              </w:rPr>
                              <w:t>blue book</w:t>
                            </w:r>
                            <w:r>
                              <w:rPr>
                                <w:color w:val="000000"/>
                                <w:sz w:val="22"/>
                              </w:rPr>
                              <w:t>”, or more formally, the </w:t>
                            </w:r>
                            <w:r>
                              <w:rPr>
                                <w:i/>
                                <w:color w:val="000000"/>
                                <w:sz w:val="22"/>
                              </w:rPr>
                              <w:t>Code of Practice on Electrical Safety for Work on or Near High Voltage Electrical Apparatus</w:t>
                            </w:r>
                            <w:r>
                              <w:rPr>
                                <w:color w:val="000000"/>
                                <w:sz w:val="22"/>
                              </w:rPr>
                              <w:t>.</w:t>
                            </w:r>
                          </w:p>
                        </w:txbxContent>
                      </wps:txbx>
                      <wps:bodyPr wrap="square" lIns="0" tIns="0" rIns="0" bIns="0" rtlCol="0">
                        <a:noAutofit/>
                      </wps:bodyPr>
                    </wps:wsp>
                  </a:graphicData>
                </a:graphic>
              </wp:anchor>
            </w:drawing>
          </mc:Choice>
          <mc:Fallback>
            <w:pict>
              <v:shape style="position:absolute;margin-left:56.639999pt;margin-top:11.99335pt;width:462.25pt;height:306.9pt;mso-position-horizontal-relative:page;mso-position-vertical-relative:paragraph;z-index:-15677440;mso-wrap-distance-left:0;mso-wrap-distance-right:0" type="#_x0000_t202" id="docshape146" filled="true" fillcolor="#cdebeb" stroked="false">
                <v:textbox inset="0,0,0,0">
                  <w:txbxContent>
                    <w:p>
                      <w:pPr>
                        <w:pStyle w:val="BodyText"/>
                        <w:spacing w:before="9"/>
                        <w:rPr>
                          <w:color w:val="000000"/>
                          <w:sz w:val="20"/>
                        </w:rPr>
                      </w:pPr>
                    </w:p>
                    <w:p>
                      <w:pPr>
                        <w:spacing w:before="1"/>
                        <w:ind w:left="141" w:right="0" w:firstLine="0"/>
                        <w:jc w:val="left"/>
                        <w:rPr>
                          <w:b/>
                          <w:color w:val="000000"/>
                          <w:sz w:val="22"/>
                        </w:rPr>
                      </w:pPr>
                      <w:r>
                        <w:rPr>
                          <w:b/>
                          <w:color w:val="000000"/>
                          <w:sz w:val="22"/>
                        </w:rPr>
                        <w:t>Box</w:t>
                      </w:r>
                      <w:r>
                        <w:rPr>
                          <w:b/>
                          <w:color w:val="000000"/>
                          <w:spacing w:val="-6"/>
                          <w:sz w:val="22"/>
                        </w:rPr>
                        <w:t> </w:t>
                      </w:r>
                      <w:r>
                        <w:rPr>
                          <w:b/>
                          <w:color w:val="000000"/>
                          <w:sz w:val="22"/>
                        </w:rPr>
                        <w:t>16:</w:t>
                      </w:r>
                      <w:r>
                        <w:rPr>
                          <w:b/>
                          <w:color w:val="000000"/>
                          <w:spacing w:val="-2"/>
                          <w:sz w:val="22"/>
                        </w:rPr>
                        <w:t> </w:t>
                      </w:r>
                      <w:r>
                        <w:rPr>
                          <w:b/>
                          <w:color w:val="000000"/>
                          <w:sz w:val="22"/>
                        </w:rPr>
                        <w:t>Examples</w:t>
                      </w:r>
                      <w:r>
                        <w:rPr>
                          <w:b/>
                          <w:color w:val="000000"/>
                          <w:spacing w:val="-5"/>
                          <w:sz w:val="22"/>
                        </w:rPr>
                        <w:t> </w:t>
                      </w:r>
                      <w:r>
                        <w:rPr>
                          <w:b/>
                          <w:color w:val="000000"/>
                          <w:sz w:val="22"/>
                        </w:rPr>
                        <w:t>of</w:t>
                      </w:r>
                      <w:r>
                        <w:rPr>
                          <w:b/>
                          <w:color w:val="000000"/>
                          <w:spacing w:val="-4"/>
                          <w:sz w:val="22"/>
                        </w:rPr>
                        <w:t> </w:t>
                      </w:r>
                      <w:r>
                        <w:rPr>
                          <w:b/>
                          <w:color w:val="000000"/>
                          <w:sz w:val="22"/>
                        </w:rPr>
                        <w:t>cooperative</w:t>
                      </w:r>
                      <w:r>
                        <w:rPr>
                          <w:b/>
                          <w:color w:val="000000"/>
                          <w:spacing w:val="-7"/>
                          <w:sz w:val="22"/>
                        </w:rPr>
                        <w:t> </w:t>
                      </w:r>
                      <w:r>
                        <w:rPr>
                          <w:b/>
                          <w:color w:val="000000"/>
                          <w:sz w:val="22"/>
                        </w:rPr>
                        <w:t>work</w:t>
                      </w:r>
                      <w:r>
                        <w:rPr>
                          <w:b/>
                          <w:color w:val="000000"/>
                          <w:spacing w:val="-4"/>
                          <w:sz w:val="22"/>
                        </w:rPr>
                        <w:t> </w:t>
                      </w:r>
                      <w:r>
                        <w:rPr>
                          <w:b/>
                          <w:color w:val="000000"/>
                          <w:sz w:val="22"/>
                        </w:rPr>
                        <w:t>between</w:t>
                      </w:r>
                      <w:r>
                        <w:rPr>
                          <w:b/>
                          <w:color w:val="000000"/>
                          <w:spacing w:val="-3"/>
                          <w:sz w:val="22"/>
                        </w:rPr>
                        <w:t> </w:t>
                      </w:r>
                      <w:r>
                        <w:rPr>
                          <w:b/>
                          <w:color w:val="000000"/>
                          <w:sz w:val="22"/>
                        </w:rPr>
                        <w:t>ESV</w:t>
                      </w:r>
                      <w:r>
                        <w:rPr>
                          <w:b/>
                          <w:color w:val="000000"/>
                          <w:spacing w:val="-3"/>
                          <w:sz w:val="22"/>
                        </w:rPr>
                        <w:t> </w:t>
                      </w:r>
                      <w:r>
                        <w:rPr>
                          <w:b/>
                          <w:color w:val="000000"/>
                          <w:sz w:val="22"/>
                        </w:rPr>
                        <w:t>and</w:t>
                      </w:r>
                      <w:r>
                        <w:rPr>
                          <w:b/>
                          <w:color w:val="000000"/>
                          <w:spacing w:val="-5"/>
                          <w:sz w:val="22"/>
                        </w:rPr>
                        <w:t> </w:t>
                      </w:r>
                      <w:r>
                        <w:rPr>
                          <w:b/>
                          <w:color w:val="000000"/>
                          <w:sz w:val="22"/>
                        </w:rPr>
                        <w:t>WorkSafe</w:t>
                      </w:r>
                      <w:r>
                        <w:rPr>
                          <w:b/>
                          <w:color w:val="000000"/>
                          <w:spacing w:val="-7"/>
                          <w:sz w:val="22"/>
                        </w:rPr>
                        <w:t> </w:t>
                      </w:r>
                      <w:r>
                        <w:rPr>
                          <w:b/>
                          <w:color w:val="000000"/>
                          <w:spacing w:val="-2"/>
                          <w:sz w:val="22"/>
                        </w:rPr>
                        <w:t>Victoria</w:t>
                      </w:r>
                    </w:p>
                    <w:p>
                      <w:pPr>
                        <w:pStyle w:val="BodyText"/>
                        <w:spacing w:before="4"/>
                        <w:rPr>
                          <w:b/>
                          <w:color w:val="000000"/>
                          <w:sz w:val="25"/>
                        </w:rPr>
                      </w:pPr>
                    </w:p>
                    <w:p>
                      <w:pPr>
                        <w:pStyle w:val="BodyText"/>
                        <w:spacing w:line="288" w:lineRule="auto"/>
                        <w:ind w:left="112" w:right="177"/>
                        <w:rPr>
                          <w:color w:val="000000"/>
                        </w:rPr>
                      </w:pPr>
                      <w:r>
                        <w:rPr>
                          <w:color w:val="000000"/>
                        </w:rPr>
                        <w:t>ESV and WorkSafe Victoria have a long track record of working together on issues that cross</w:t>
                      </w:r>
                      <w:r>
                        <w:rPr>
                          <w:color w:val="000000"/>
                          <w:spacing w:val="-6"/>
                        </w:rPr>
                        <w:t> </w:t>
                      </w:r>
                      <w:r>
                        <w:rPr>
                          <w:color w:val="000000"/>
                        </w:rPr>
                        <w:t>their</w:t>
                      </w:r>
                      <w:r>
                        <w:rPr>
                          <w:color w:val="000000"/>
                          <w:spacing w:val="-5"/>
                        </w:rPr>
                        <w:t> </w:t>
                      </w:r>
                      <w:r>
                        <w:rPr>
                          <w:color w:val="000000"/>
                        </w:rPr>
                        <w:t>respective</w:t>
                      </w:r>
                      <w:r>
                        <w:rPr>
                          <w:color w:val="000000"/>
                          <w:spacing w:val="-4"/>
                        </w:rPr>
                        <w:t> </w:t>
                      </w:r>
                      <w:r>
                        <w:rPr>
                          <w:color w:val="000000"/>
                        </w:rPr>
                        <w:t>regulatory</w:t>
                      </w:r>
                      <w:r>
                        <w:rPr>
                          <w:color w:val="000000"/>
                          <w:spacing w:val="-6"/>
                        </w:rPr>
                        <w:t> </w:t>
                      </w:r>
                      <w:r>
                        <w:rPr>
                          <w:color w:val="000000"/>
                        </w:rPr>
                        <w:t>boundaries,</w:t>
                      </w:r>
                      <w:r>
                        <w:rPr>
                          <w:color w:val="000000"/>
                          <w:spacing w:val="-5"/>
                        </w:rPr>
                        <w:t> </w:t>
                      </w:r>
                      <w:r>
                        <w:rPr>
                          <w:color w:val="000000"/>
                        </w:rPr>
                        <w:t>including</w:t>
                      </w:r>
                      <w:r>
                        <w:rPr>
                          <w:color w:val="000000"/>
                          <w:spacing w:val="-4"/>
                        </w:rPr>
                        <w:t> </w:t>
                      </w:r>
                      <w:r>
                        <w:rPr>
                          <w:color w:val="000000"/>
                        </w:rPr>
                        <w:t>through</w:t>
                      </w:r>
                      <w:r>
                        <w:rPr>
                          <w:color w:val="000000"/>
                          <w:spacing w:val="-6"/>
                        </w:rPr>
                        <w:t> </w:t>
                      </w:r>
                      <w:r>
                        <w:rPr>
                          <w:color w:val="000000"/>
                        </w:rPr>
                        <w:t>establishing</w:t>
                      </w:r>
                      <w:r>
                        <w:rPr>
                          <w:color w:val="000000"/>
                          <w:spacing w:val="-4"/>
                        </w:rPr>
                        <w:t> </w:t>
                      </w:r>
                      <w:r>
                        <w:rPr>
                          <w:color w:val="000000"/>
                        </w:rPr>
                        <w:t>relevant</w:t>
                      </w:r>
                      <w:r>
                        <w:rPr>
                          <w:color w:val="000000"/>
                          <w:spacing w:val="-2"/>
                        </w:rPr>
                        <w:t> </w:t>
                      </w:r>
                      <w:r>
                        <w:rPr>
                          <w:color w:val="000000"/>
                        </w:rPr>
                        <w:t>safety standards and participating in joint committees addressing worker safety.</w:t>
                      </w:r>
                    </w:p>
                    <w:p>
                      <w:pPr>
                        <w:pStyle w:val="BodyText"/>
                        <w:spacing w:line="290" w:lineRule="auto" w:before="198"/>
                        <w:ind w:left="112" w:right="140"/>
                        <w:rPr>
                          <w:color w:val="000000"/>
                        </w:rPr>
                      </w:pPr>
                      <w:r>
                        <w:rPr>
                          <w:color w:val="000000"/>
                        </w:rPr>
                        <w:t>Two</w:t>
                      </w:r>
                      <w:r>
                        <w:rPr>
                          <w:color w:val="000000"/>
                          <w:spacing w:val="-3"/>
                        </w:rPr>
                        <w:t> </w:t>
                      </w:r>
                      <w:r>
                        <w:rPr>
                          <w:color w:val="000000"/>
                        </w:rPr>
                        <w:t>examples</w:t>
                      </w:r>
                      <w:r>
                        <w:rPr>
                          <w:color w:val="000000"/>
                          <w:spacing w:val="-3"/>
                        </w:rPr>
                        <w:t> </w:t>
                      </w:r>
                      <w:r>
                        <w:rPr>
                          <w:color w:val="000000"/>
                        </w:rPr>
                        <w:t>are:</w:t>
                      </w:r>
                      <w:r>
                        <w:rPr>
                          <w:color w:val="000000"/>
                          <w:spacing w:val="-4"/>
                        </w:rPr>
                        <w:t> </w:t>
                      </w:r>
                      <w:r>
                        <w:rPr>
                          <w:color w:val="000000"/>
                        </w:rPr>
                        <w:t>the</w:t>
                      </w:r>
                      <w:r>
                        <w:rPr>
                          <w:color w:val="000000"/>
                          <w:spacing w:val="-3"/>
                        </w:rPr>
                        <w:t> </w:t>
                      </w:r>
                      <w:r>
                        <w:rPr>
                          <w:color w:val="000000"/>
                        </w:rPr>
                        <w:t>establishment</w:t>
                      </w:r>
                      <w:r>
                        <w:rPr>
                          <w:color w:val="000000"/>
                          <w:spacing w:val="-4"/>
                        </w:rPr>
                        <w:t> </w:t>
                      </w:r>
                      <w:r>
                        <w:rPr>
                          <w:color w:val="000000"/>
                        </w:rPr>
                        <w:t>of </w:t>
                      </w:r>
                      <w:r>
                        <w:rPr>
                          <w:i/>
                          <w:color w:val="000000"/>
                        </w:rPr>
                        <w:t>No</w:t>
                      </w:r>
                      <w:r>
                        <w:rPr>
                          <w:i/>
                          <w:color w:val="000000"/>
                          <w:spacing w:val="-5"/>
                        </w:rPr>
                        <w:t> </w:t>
                      </w:r>
                      <w:r>
                        <w:rPr>
                          <w:i/>
                          <w:color w:val="000000"/>
                        </w:rPr>
                        <w:t>Go</w:t>
                      </w:r>
                      <w:r>
                        <w:rPr>
                          <w:i/>
                          <w:color w:val="000000"/>
                          <w:spacing w:val="-5"/>
                        </w:rPr>
                        <w:t> </w:t>
                      </w:r>
                      <w:r>
                        <w:rPr>
                          <w:i/>
                          <w:color w:val="000000"/>
                        </w:rPr>
                        <w:t>Zones</w:t>
                      </w:r>
                      <w:r>
                        <w:rPr>
                          <w:i/>
                          <w:color w:val="000000"/>
                          <w:spacing w:val="-2"/>
                        </w:rPr>
                        <w:t> </w:t>
                      </w:r>
                      <w:r>
                        <w:rPr>
                          <w:color w:val="000000"/>
                        </w:rPr>
                        <w:t>and</w:t>
                      </w:r>
                      <w:r>
                        <w:rPr>
                          <w:color w:val="000000"/>
                          <w:spacing w:val="-5"/>
                        </w:rPr>
                        <w:t> </w:t>
                      </w:r>
                      <w:r>
                        <w:rPr>
                          <w:color w:val="000000"/>
                        </w:rPr>
                        <w:t>the</w:t>
                      </w:r>
                      <w:r>
                        <w:rPr>
                          <w:color w:val="000000"/>
                          <w:spacing w:val="-3"/>
                        </w:rPr>
                        <w:t> </w:t>
                      </w:r>
                      <w:r>
                        <w:rPr>
                          <w:color w:val="000000"/>
                        </w:rPr>
                        <w:t>associated</w:t>
                      </w:r>
                      <w:r>
                        <w:rPr>
                          <w:color w:val="000000"/>
                          <w:spacing w:val="-6"/>
                        </w:rPr>
                        <w:t> </w:t>
                      </w:r>
                      <w:r>
                        <w:rPr>
                          <w:color w:val="000000"/>
                        </w:rPr>
                        <w:t>Utilities</w:t>
                      </w:r>
                      <w:r>
                        <w:rPr>
                          <w:color w:val="000000"/>
                          <w:spacing w:val="-3"/>
                        </w:rPr>
                        <w:t> </w:t>
                      </w:r>
                      <w:r>
                        <w:rPr>
                          <w:color w:val="000000"/>
                        </w:rPr>
                        <w:t>Safety Committee; and the operation of the Electrical Safety Committee which determines standards for working safely on the electrical networks.</w:t>
                      </w:r>
                    </w:p>
                    <w:p>
                      <w:pPr>
                        <w:pStyle w:val="BodyText"/>
                        <w:spacing w:line="288" w:lineRule="auto" w:before="193"/>
                        <w:ind w:left="112" w:right="395"/>
                        <w:rPr>
                          <w:color w:val="000000"/>
                        </w:rPr>
                      </w:pPr>
                      <w:r>
                        <w:rPr>
                          <w:color w:val="000000"/>
                        </w:rPr>
                        <w:t>For the </w:t>
                      </w:r>
                      <w:r>
                        <w:rPr>
                          <w:i/>
                          <w:color w:val="000000"/>
                        </w:rPr>
                        <w:t>No Go Zones</w:t>
                      </w:r>
                      <w:r>
                        <w:rPr>
                          <w:color w:val="000000"/>
                        </w:rPr>
                        <w:t>, ESV (and its predecessor electrical and gas safety offices) and WorkSafe</w:t>
                      </w:r>
                      <w:r>
                        <w:rPr>
                          <w:color w:val="000000"/>
                          <w:spacing w:val="-3"/>
                        </w:rPr>
                        <w:t> </w:t>
                      </w:r>
                      <w:r>
                        <w:rPr>
                          <w:color w:val="000000"/>
                        </w:rPr>
                        <w:t>Victoria</w:t>
                      </w:r>
                      <w:r>
                        <w:rPr>
                          <w:color w:val="000000"/>
                          <w:spacing w:val="-3"/>
                        </w:rPr>
                        <w:t> </w:t>
                      </w:r>
                      <w:r>
                        <w:rPr>
                          <w:color w:val="000000"/>
                        </w:rPr>
                        <w:t>worked</w:t>
                      </w:r>
                      <w:r>
                        <w:rPr>
                          <w:color w:val="000000"/>
                          <w:spacing w:val="-3"/>
                        </w:rPr>
                        <w:t> </w:t>
                      </w:r>
                      <w:r>
                        <w:rPr>
                          <w:color w:val="000000"/>
                        </w:rPr>
                        <w:t>together</w:t>
                      </w:r>
                      <w:r>
                        <w:rPr>
                          <w:color w:val="000000"/>
                          <w:spacing w:val="-4"/>
                        </w:rPr>
                        <w:t> </w:t>
                      </w:r>
                      <w:r>
                        <w:rPr>
                          <w:color w:val="000000"/>
                        </w:rPr>
                        <w:t>to</w:t>
                      </w:r>
                      <w:r>
                        <w:rPr>
                          <w:color w:val="000000"/>
                          <w:spacing w:val="-5"/>
                        </w:rPr>
                        <w:t> </w:t>
                      </w:r>
                      <w:r>
                        <w:rPr>
                          <w:color w:val="000000"/>
                        </w:rPr>
                        <w:t>develop</w:t>
                      </w:r>
                      <w:r>
                        <w:rPr>
                          <w:color w:val="000000"/>
                          <w:spacing w:val="-3"/>
                        </w:rPr>
                        <w:t> </w:t>
                      </w:r>
                      <w:r>
                        <w:rPr>
                          <w:color w:val="000000"/>
                        </w:rPr>
                        <w:t>a</w:t>
                      </w:r>
                      <w:r>
                        <w:rPr>
                          <w:color w:val="000000"/>
                          <w:spacing w:val="-3"/>
                        </w:rPr>
                        <w:t> </w:t>
                      </w:r>
                      <w:r>
                        <w:rPr>
                          <w:color w:val="000000"/>
                        </w:rPr>
                        <w:t>consistent</w:t>
                      </w:r>
                      <w:r>
                        <w:rPr>
                          <w:color w:val="000000"/>
                          <w:spacing w:val="-4"/>
                        </w:rPr>
                        <w:t> </w:t>
                      </w:r>
                      <w:r>
                        <w:rPr>
                          <w:color w:val="000000"/>
                        </w:rPr>
                        <w:t>set</w:t>
                      </w:r>
                      <w:r>
                        <w:rPr>
                          <w:color w:val="000000"/>
                          <w:spacing w:val="-4"/>
                        </w:rPr>
                        <w:t> </w:t>
                      </w:r>
                      <w:r>
                        <w:rPr>
                          <w:color w:val="000000"/>
                        </w:rPr>
                        <w:t>of</w:t>
                      </w:r>
                      <w:r>
                        <w:rPr>
                          <w:color w:val="000000"/>
                          <w:spacing w:val="-1"/>
                        </w:rPr>
                        <w:t> </w:t>
                      </w:r>
                      <w:r>
                        <w:rPr>
                          <w:color w:val="000000"/>
                        </w:rPr>
                        <w:t>rules</w:t>
                      </w:r>
                      <w:r>
                        <w:rPr>
                          <w:color w:val="000000"/>
                          <w:spacing w:val="-7"/>
                        </w:rPr>
                        <w:t> </w:t>
                      </w:r>
                      <w:r>
                        <w:rPr>
                          <w:color w:val="000000"/>
                        </w:rPr>
                        <w:t>for</w:t>
                      </w:r>
                      <w:r>
                        <w:rPr>
                          <w:color w:val="000000"/>
                          <w:spacing w:val="-4"/>
                        </w:rPr>
                        <w:t> </w:t>
                      </w:r>
                      <w:r>
                        <w:rPr>
                          <w:color w:val="000000"/>
                        </w:rPr>
                        <w:t>workers</w:t>
                      </w:r>
                      <w:r>
                        <w:rPr>
                          <w:color w:val="000000"/>
                          <w:spacing w:val="-4"/>
                        </w:rPr>
                        <w:t> </w:t>
                      </w:r>
                      <w:r>
                        <w:rPr>
                          <w:color w:val="000000"/>
                        </w:rPr>
                        <w:t>when they are working near overhead powerlines and underground utilities. These rules are reviewed by a Utilities Safety Committee on which both ESV and WorkSafe Victoria sit.</w:t>
                      </w:r>
                    </w:p>
                    <w:p>
                      <w:pPr>
                        <w:spacing w:line="288" w:lineRule="auto" w:before="200"/>
                        <w:ind w:left="112" w:right="115" w:firstLine="0"/>
                        <w:jc w:val="left"/>
                        <w:rPr>
                          <w:color w:val="000000"/>
                          <w:sz w:val="22"/>
                        </w:rPr>
                      </w:pPr>
                      <w:r>
                        <w:rPr>
                          <w:color w:val="000000"/>
                          <w:sz w:val="22"/>
                        </w:rPr>
                        <w:t>The</w:t>
                      </w:r>
                      <w:r>
                        <w:rPr>
                          <w:color w:val="000000"/>
                          <w:spacing w:val="-5"/>
                          <w:sz w:val="22"/>
                        </w:rPr>
                        <w:t> </w:t>
                      </w:r>
                      <w:r>
                        <w:rPr>
                          <w:color w:val="000000"/>
                          <w:sz w:val="22"/>
                        </w:rPr>
                        <w:t>Electrical</w:t>
                      </w:r>
                      <w:r>
                        <w:rPr>
                          <w:color w:val="000000"/>
                          <w:spacing w:val="-4"/>
                          <w:sz w:val="22"/>
                        </w:rPr>
                        <w:t> </w:t>
                      </w:r>
                      <w:r>
                        <w:rPr>
                          <w:color w:val="000000"/>
                          <w:sz w:val="22"/>
                        </w:rPr>
                        <w:t>Safety</w:t>
                      </w:r>
                      <w:r>
                        <w:rPr>
                          <w:color w:val="000000"/>
                          <w:spacing w:val="-4"/>
                          <w:sz w:val="22"/>
                        </w:rPr>
                        <w:t> </w:t>
                      </w:r>
                      <w:r>
                        <w:rPr>
                          <w:color w:val="000000"/>
                          <w:sz w:val="22"/>
                        </w:rPr>
                        <w:t>Committee</w:t>
                      </w:r>
                      <w:r>
                        <w:rPr>
                          <w:color w:val="000000"/>
                          <w:spacing w:val="-5"/>
                          <w:sz w:val="22"/>
                        </w:rPr>
                        <w:t> </w:t>
                      </w:r>
                      <w:r>
                        <w:rPr>
                          <w:color w:val="000000"/>
                          <w:sz w:val="22"/>
                        </w:rPr>
                        <w:t>is</w:t>
                      </w:r>
                      <w:r>
                        <w:rPr>
                          <w:color w:val="000000"/>
                          <w:spacing w:val="-2"/>
                          <w:sz w:val="22"/>
                        </w:rPr>
                        <w:t> </w:t>
                      </w:r>
                      <w:r>
                        <w:rPr>
                          <w:color w:val="000000"/>
                          <w:sz w:val="22"/>
                        </w:rPr>
                        <w:t>an</w:t>
                      </w:r>
                      <w:r>
                        <w:rPr>
                          <w:color w:val="000000"/>
                          <w:spacing w:val="-3"/>
                          <w:sz w:val="22"/>
                        </w:rPr>
                        <w:t> </w:t>
                      </w:r>
                      <w:r>
                        <w:rPr>
                          <w:color w:val="000000"/>
                          <w:sz w:val="22"/>
                        </w:rPr>
                        <w:t>advisory</w:t>
                      </w:r>
                      <w:r>
                        <w:rPr>
                          <w:color w:val="000000"/>
                          <w:spacing w:val="-4"/>
                          <w:sz w:val="22"/>
                        </w:rPr>
                        <w:t> </w:t>
                      </w:r>
                      <w:r>
                        <w:rPr>
                          <w:color w:val="000000"/>
                          <w:sz w:val="22"/>
                        </w:rPr>
                        <w:t>committee</w:t>
                      </w:r>
                      <w:r>
                        <w:rPr>
                          <w:color w:val="000000"/>
                          <w:spacing w:val="-5"/>
                          <w:sz w:val="22"/>
                        </w:rPr>
                        <w:t> </w:t>
                      </w:r>
                      <w:r>
                        <w:rPr>
                          <w:color w:val="000000"/>
                          <w:sz w:val="22"/>
                        </w:rPr>
                        <w:t>established</w:t>
                      </w:r>
                      <w:r>
                        <w:rPr>
                          <w:color w:val="000000"/>
                          <w:spacing w:val="-3"/>
                          <w:sz w:val="22"/>
                        </w:rPr>
                        <w:t> </w:t>
                      </w:r>
                      <w:r>
                        <w:rPr>
                          <w:color w:val="000000"/>
                          <w:sz w:val="22"/>
                        </w:rPr>
                        <w:t>by</w:t>
                      </w:r>
                      <w:r>
                        <w:rPr>
                          <w:color w:val="000000"/>
                          <w:spacing w:val="-7"/>
                          <w:sz w:val="22"/>
                        </w:rPr>
                        <w:t> </w:t>
                      </w:r>
                      <w:r>
                        <w:rPr>
                          <w:color w:val="000000"/>
                          <w:sz w:val="22"/>
                        </w:rPr>
                        <w:t>ESV</w:t>
                      </w:r>
                      <w:r>
                        <w:rPr>
                          <w:color w:val="000000"/>
                          <w:spacing w:val="-3"/>
                          <w:sz w:val="22"/>
                        </w:rPr>
                        <w:t> </w:t>
                      </w:r>
                      <w:r>
                        <w:rPr>
                          <w:color w:val="000000"/>
                          <w:sz w:val="22"/>
                        </w:rPr>
                        <w:t>under Section 8</w:t>
                      </w:r>
                      <w:r>
                        <w:rPr>
                          <w:color w:val="000000"/>
                          <w:spacing w:val="-1"/>
                          <w:sz w:val="22"/>
                        </w:rPr>
                        <w:t> </w:t>
                      </w:r>
                      <w:r>
                        <w:rPr>
                          <w:color w:val="000000"/>
                          <w:sz w:val="22"/>
                        </w:rPr>
                        <w:t>of the</w:t>
                      </w:r>
                      <w:r>
                        <w:rPr>
                          <w:color w:val="000000"/>
                          <w:spacing w:val="-2"/>
                          <w:sz w:val="22"/>
                        </w:rPr>
                        <w:t> </w:t>
                      </w:r>
                      <w:r>
                        <w:rPr>
                          <w:i/>
                          <w:color w:val="000000"/>
                          <w:sz w:val="22"/>
                        </w:rPr>
                        <w:t>Energy</w:t>
                      </w:r>
                      <w:r>
                        <w:rPr>
                          <w:i/>
                          <w:color w:val="000000"/>
                          <w:spacing w:val="-3"/>
                          <w:sz w:val="22"/>
                        </w:rPr>
                        <w:t> </w:t>
                      </w:r>
                      <w:r>
                        <w:rPr>
                          <w:i/>
                          <w:color w:val="000000"/>
                          <w:sz w:val="22"/>
                        </w:rPr>
                        <w:t>Safe</w:t>
                      </w:r>
                      <w:r>
                        <w:rPr>
                          <w:i/>
                          <w:color w:val="000000"/>
                          <w:spacing w:val="-3"/>
                          <w:sz w:val="22"/>
                        </w:rPr>
                        <w:t> </w:t>
                      </w:r>
                      <w:r>
                        <w:rPr>
                          <w:i/>
                          <w:color w:val="000000"/>
                          <w:sz w:val="22"/>
                        </w:rPr>
                        <w:t>Victoria</w:t>
                      </w:r>
                      <w:r>
                        <w:rPr>
                          <w:i/>
                          <w:color w:val="000000"/>
                          <w:spacing w:val="-1"/>
                          <w:sz w:val="22"/>
                        </w:rPr>
                        <w:t> </w:t>
                      </w:r>
                      <w:r>
                        <w:rPr>
                          <w:i/>
                          <w:color w:val="000000"/>
                          <w:sz w:val="22"/>
                        </w:rPr>
                        <w:t>Act</w:t>
                      </w:r>
                      <w:r>
                        <w:rPr>
                          <w:i/>
                          <w:color w:val="000000"/>
                          <w:spacing w:val="-2"/>
                          <w:sz w:val="22"/>
                        </w:rPr>
                        <w:t> </w:t>
                      </w:r>
                      <w:r>
                        <w:rPr>
                          <w:i/>
                          <w:color w:val="000000"/>
                          <w:sz w:val="22"/>
                        </w:rPr>
                        <w:t>2005, </w:t>
                      </w:r>
                      <w:r>
                        <w:rPr>
                          <w:color w:val="000000"/>
                          <w:sz w:val="22"/>
                        </w:rPr>
                        <w:t>and</w:t>
                      </w:r>
                      <w:r>
                        <w:rPr>
                          <w:color w:val="000000"/>
                          <w:spacing w:val="-1"/>
                          <w:sz w:val="22"/>
                        </w:rPr>
                        <w:t> </w:t>
                      </w:r>
                      <w:r>
                        <w:rPr>
                          <w:color w:val="000000"/>
                          <w:sz w:val="22"/>
                        </w:rPr>
                        <w:t>includes</w:t>
                      </w:r>
                      <w:r>
                        <w:rPr>
                          <w:color w:val="000000"/>
                          <w:spacing w:val="-1"/>
                          <w:sz w:val="22"/>
                        </w:rPr>
                        <w:t> </w:t>
                      </w:r>
                      <w:r>
                        <w:rPr>
                          <w:color w:val="000000"/>
                          <w:sz w:val="22"/>
                        </w:rPr>
                        <w:t>members</w:t>
                      </w:r>
                      <w:r>
                        <w:rPr>
                          <w:color w:val="000000"/>
                          <w:spacing w:val="-3"/>
                          <w:sz w:val="22"/>
                        </w:rPr>
                        <w:t> </w:t>
                      </w:r>
                      <w:r>
                        <w:rPr>
                          <w:color w:val="000000"/>
                          <w:sz w:val="22"/>
                        </w:rPr>
                        <w:t>from network businesses,</w:t>
                      </w:r>
                      <w:r>
                        <w:rPr>
                          <w:color w:val="000000"/>
                          <w:spacing w:val="-2"/>
                          <w:sz w:val="22"/>
                        </w:rPr>
                        <w:t> </w:t>
                      </w:r>
                      <w:r>
                        <w:rPr>
                          <w:color w:val="000000"/>
                          <w:sz w:val="22"/>
                        </w:rPr>
                        <w:t>the Electrical Trades Union, WorkSafe Victoria and ESV itself. This committee was established to review ESV’s so-called “</w:t>
                      </w:r>
                      <w:r>
                        <w:rPr>
                          <w:i/>
                          <w:color w:val="000000"/>
                          <w:sz w:val="22"/>
                        </w:rPr>
                        <w:t>blue book</w:t>
                      </w:r>
                      <w:r>
                        <w:rPr>
                          <w:color w:val="000000"/>
                          <w:sz w:val="22"/>
                        </w:rPr>
                        <w:t>”, or more formally, the </w:t>
                      </w:r>
                      <w:r>
                        <w:rPr>
                          <w:i/>
                          <w:color w:val="000000"/>
                          <w:sz w:val="22"/>
                        </w:rPr>
                        <w:t>Code of Practice on Electrical Safety for Work on or Near High Voltage Electrical Apparatus</w:t>
                      </w:r>
                      <w:r>
                        <w:rPr>
                          <w:color w:val="000000"/>
                          <w:sz w:val="22"/>
                        </w:rPr>
                        <w:t>.</w:t>
                      </w:r>
                    </w:p>
                  </w:txbxContent>
                </v:textbox>
                <v:fill type="solid"/>
                <w10:wrap type="topAndBottom"/>
              </v:shape>
            </w:pict>
          </mc:Fallback>
        </mc:AlternateContent>
      </w:r>
    </w:p>
    <w:p>
      <w:pPr>
        <w:pStyle w:val="BodyText"/>
        <w:spacing w:before="6"/>
        <w:rPr>
          <w:sz w:val="23"/>
        </w:rPr>
      </w:pPr>
    </w:p>
    <w:p>
      <w:pPr>
        <w:pStyle w:val="Heading4"/>
      </w:pPr>
      <w:r>
        <w:rPr>
          <w:color w:val="585858"/>
        </w:rPr>
        <w:t>Contractors</w:t>
      </w:r>
      <w:r>
        <w:rPr>
          <w:color w:val="585858"/>
          <w:spacing w:val="-14"/>
        </w:rPr>
        <w:t> </w:t>
      </w:r>
      <w:r>
        <w:rPr>
          <w:color w:val="585858"/>
        </w:rPr>
        <w:t>and</w:t>
      </w:r>
      <w:r>
        <w:rPr>
          <w:color w:val="585858"/>
          <w:spacing w:val="-13"/>
        </w:rPr>
        <w:t> </w:t>
      </w:r>
      <w:r>
        <w:rPr>
          <w:color w:val="585858"/>
        </w:rPr>
        <w:t>effective</w:t>
      </w:r>
      <w:r>
        <w:rPr>
          <w:color w:val="585858"/>
          <w:spacing w:val="-11"/>
        </w:rPr>
        <w:t> </w:t>
      </w:r>
      <w:r>
        <w:rPr>
          <w:color w:val="585858"/>
        </w:rPr>
        <w:t>safety</w:t>
      </w:r>
      <w:r>
        <w:rPr>
          <w:color w:val="585858"/>
          <w:spacing w:val="-15"/>
        </w:rPr>
        <w:t> </w:t>
      </w:r>
      <w:r>
        <w:rPr>
          <w:color w:val="585858"/>
          <w:spacing w:val="-2"/>
        </w:rPr>
        <w:t>regulation</w:t>
      </w:r>
    </w:p>
    <w:p>
      <w:pPr>
        <w:pStyle w:val="BodyText"/>
        <w:spacing w:line="288" w:lineRule="auto" w:before="314"/>
        <w:ind w:left="232" w:right="374"/>
      </w:pPr>
      <w:r>
        <w:rPr/>
        <w:t>The heavy reliance on contractors by network businesses and the presence of third party contractors</w:t>
      </w:r>
      <w:r>
        <w:rPr>
          <w:spacing w:val="-1"/>
        </w:rPr>
        <w:t> </w:t>
      </w:r>
      <w:r>
        <w:rPr/>
        <w:t>outside</w:t>
      </w:r>
      <w:r>
        <w:rPr>
          <w:spacing w:val="-2"/>
        </w:rPr>
        <w:t> </w:t>
      </w:r>
      <w:r>
        <w:rPr/>
        <w:t>of</w:t>
      </w:r>
      <w:r>
        <w:rPr>
          <w:spacing w:val="-3"/>
        </w:rPr>
        <w:t> </w:t>
      </w:r>
      <w:r>
        <w:rPr/>
        <w:t>the</w:t>
      </w:r>
      <w:r>
        <w:rPr>
          <w:spacing w:val="-2"/>
        </w:rPr>
        <w:t> </w:t>
      </w:r>
      <w:r>
        <w:rPr/>
        <w:t>energy</w:t>
      </w:r>
      <w:r>
        <w:rPr>
          <w:spacing w:val="-4"/>
        </w:rPr>
        <w:t> </w:t>
      </w:r>
      <w:r>
        <w:rPr/>
        <w:t>sector</w:t>
      </w:r>
      <w:r>
        <w:rPr>
          <w:spacing w:val="-3"/>
        </w:rPr>
        <w:t> </w:t>
      </w:r>
      <w:r>
        <w:rPr/>
        <w:t>(e.g.</w:t>
      </w:r>
      <w:r>
        <w:rPr>
          <w:spacing w:val="-3"/>
        </w:rPr>
        <w:t> </w:t>
      </w:r>
      <w:r>
        <w:rPr/>
        <w:t>the</w:t>
      </w:r>
      <w:r>
        <w:rPr>
          <w:spacing w:val="-7"/>
        </w:rPr>
        <w:t> </w:t>
      </w:r>
      <w:r>
        <w:rPr/>
        <w:t>construction</w:t>
      </w:r>
      <w:r>
        <w:rPr>
          <w:spacing w:val="-2"/>
        </w:rPr>
        <w:t> </w:t>
      </w:r>
      <w:r>
        <w:rPr/>
        <w:t>industry)</w:t>
      </w:r>
      <w:r>
        <w:rPr>
          <w:spacing w:val="-3"/>
        </w:rPr>
        <w:t> </w:t>
      </w:r>
      <w:r>
        <w:rPr/>
        <w:t>raises</w:t>
      </w:r>
      <w:r>
        <w:rPr>
          <w:spacing w:val="-2"/>
        </w:rPr>
        <w:t> </w:t>
      </w:r>
      <w:r>
        <w:rPr/>
        <w:t>risks</w:t>
      </w:r>
      <w:r>
        <w:rPr>
          <w:spacing w:val="-6"/>
        </w:rPr>
        <w:t> </w:t>
      </w:r>
      <w:r>
        <w:rPr/>
        <w:t>that</w:t>
      </w:r>
      <w:r>
        <w:rPr>
          <w:spacing w:val="-3"/>
        </w:rPr>
        <w:t> </w:t>
      </w:r>
      <w:r>
        <w:rPr/>
        <w:t>must</w:t>
      </w:r>
      <w:r>
        <w:rPr>
          <w:spacing w:val="-3"/>
        </w:rPr>
        <w:t> </w:t>
      </w:r>
      <w:r>
        <w:rPr/>
        <w:t>be effectively managed. ESV has highlighted the emerging challenges in its </w:t>
      </w:r>
      <w:r>
        <w:rPr>
          <w:i/>
        </w:rPr>
        <w:t>Corporate Plan 2017– 2020 </w:t>
      </w:r>
      <w:r>
        <w:rPr/>
        <w:t>(2017, p. 16):</w:t>
      </w:r>
    </w:p>
    <w:p>
      <w:pPr>
        <w:pStyle w:val="BodyText"/>
        <w:spacing w:before="10"/>
        <w:rPr>
          <w:sz w:val="20"/>
        </w:rPr>
      </w:pPr>
    </w:p>
    <w:p>
      <w:pPr>
        <w:spacing w:line="288" w:lineRule="auto" w:before="0"/>
        <w:ind w:left="799" w:right="868" w:firstLine="0"/>
        <w:jc w:val="left"/>
        <w:rPr>
          <w:i/>
          <w:sz w:val="22"/>
        </w:rPr>
      </w:pPr>
      <w:r>
        <w:rPr>
          <w:i/>
          <w:sz w:val="22"/>
        </w:rPr>
        <w:t>“There</w:t>
      </w:r>
      <w:r>
        <w:rPr>
          <w:i/>
          <w:spacing w:val="-5"/>
          <w:sz w:val="22"/>
        </w:rPr>
        <w:t> </w:t>
      </w:r>
      <w:r>
        <w:rPr>
          <w:i/>
          <w:sz w:val="22"/>
        </w:rPr>
        <w:t>has</w:t>
      </w:r>
      <w:r>
        <w:rPr>
          <w:i/>
          <w:spacing w:val="-2"/>
          <w:sz w:val="22"/>
        </w:rPr>
        <w:t> </w:t>
      </w:r>
      <w:r>
        <w:rPr>
          <w:i/>
          <w:sz w:val="22"/>
        </w:rPr>
        <w:t>been</w:t>
      </w:r>
      <w:r>
        <w:rPr>
          <w:i/>
          <w:spacing w:val="-5"/>
          <w:sz w:val="22"/>
        </w:rPr>
        <w:t> </w:t>
      </w:r>
      <w:r>
        <w:rPr>
          <w:i/>
          <w:sz w:val="22"/>
        </w:rPr>
        <w:t>disaggregation</w:t>
      </w:r>
      <w:r>
        <w:rPr>
          <w:i/>
          <w:spacing w:val="-3"/>
          <w:sz w:val="22"/>
        </w:rPr>
        <w:t> </w:t>
      </w:r>
      <w:r>
        <w:rPr>
          <w:i/>
          <w:sz w:val="22"/>
        </w:rPr>
        <w:t>and</w:t>
      </w:r>
      <w:r>
        <w:rPr>
          <w:i/>
          <w:spacing w:val="-5"/>
          <w:sz w:val="22"/>
        </w:rPr>
        <w:t> </w:t>
      </w:r>
      <w:r>
        <w:rPr>
          <w:i/>
          <w:sz w:val="22"/>
        </w:rPr>
        <w:t>commercial</w:t>
      </w:r>
      <w:r>
        <w:rPr>
          <w:i/>
          <w:spacing w:val="-6"/>
          <w:sz w:val="22"/>
        </w:rPr>
        <w:t> </w:t>
      </w:r>
      <w:r>
        <w:rPr>
          <w:i/>
          <w:sz w:val="22"/>
        </w:rPr>
        <w:t>specialisation</w:t>
      </w:r>
      <w:r>
        <w:rPr>
          <w:i/>
          <w:spacing w:val="-3"/>
          <w:sz w:val="22"/>
        </w:rPr>
        <w:t> </w:t>
      </w:r>
      <w:r>
        <w:rPr>
          <w:i/>
          <w:sz w:val="22"/>
        </w:rPr>
        <w:t>within</w:t>
      </w:r>
      <w:r>
        <w:rPr>
          <w:i/>
          <w:spacing w:val="-5"/>
          <w:sz w:val="22"/>
        </w:rPr>
        <w:t> </w:t>
      </w:r>
      <w:r>
        <w:rPr>
          <w:i/>
          <w:sz w:val="22"/>
        </w:rPr>
        <w:t>the</w:t>
      </w:r>
      <w:r>
        <w:rPr>
          <w:i/>
          <w:spacing w:val="-5"/>
          <w:sz w:val="22"/>
        </w:rPr>
        <w:t> </w:t>
      </w:r>
      <w:r>
        <w:rPr>
          <w:i/>
          <w:sz w:val="22"/>
        </w:rPr>
        <w:t>energy</w:t>
      </w:r>
      <w:r>
        <w:rPr>
          <w:i/>
          <w:spacing w:val="-2"/>
          <w:sz w:val="22"/>
        </w:rPr>
        <w:t> </w:t>
      </w:r>
      <w:r>
        <w:rPr>
          <w:i/>
          <w:sz w:val="22"/>
        </w:rPr>
        <w:t>sector which has resulted in more legal entities involved in asset works, complicated ownership structures and sub-contracting arrangements. This has led to industry incidents with common factors that include:</w:t>
      </w:r>
    </w:p>
    <w:p>
      <w:pPr>
        <w:pStyle w:val="BodyText"/>
        <w:spacing w:before="11"/>
        <w:rPr>
          <w:i/>
          <w:sz w:val="20"/>
        </w:rPr>
      </w:pPr>
    </w:p>
    <w:p>
      <w:pPr>
        <w:pStyle w:val="ListParagraph"/>
        <w:numPr>
          <w:ilvl w:val="0"/>
          <w:numId w:val="60"/>
        </w:numPr>
        <w:tabs>
          <w:tab w:pos="1158" w:val="left" w:leader="none"/>
        </w:tabs>
        <w:spacing w:line="240" w:lineRule="auto" w:before="0" w:after="0"/>
        <w:ind w:left="1158" w:right="0" w:hanging="359"/>
        <w:jc w:val="left"/>
        <w:rPr>
          <w:i/>
          <w:sz w:val="22"/>
        </w:rPr>
      </w:pPr>
      <w:r>
        <w:rPr>
          <w:i/>
          <w:sz w:val="22"/>
        </w:rPr>
        <w:t>gaps</w:t>
      </w:r>
      <w:r>
        <w:rPr>
          <w:i/>
          <w:spacing w:val="-7"/>
          <w:sz w:val="22"/>
        </w:rPr>
        <w:t> </w:t>
      </w:r>
      <w:r>
        <w:rPr>
          <w:i/>
          <w:sz w:val="22"/>
        </w:rPr>
        <w:t>in</w:t>
      </w:r>
      <w:r>
        <w:rPr>
          <w:i/>
          <w:spacing w:val="-6"/>
          <w:sz w:val="22"/>
        </w:rPr>
        <w:t> </w:t>
      </w:r>
      <w:r>
        <w:rPr>
          <w:i/>
          <w:sz w:val="22"/>
        </w:rPr>
        <w:t>control</w:t>
      </w:r>
      <w:r>
        <w:rPr>
          <w:i/>
          <w:spacing w:val="-7"/>
          <w:sz w:val="22"/>
        </w:rPr>
        <w:t> </w:t>
      </w:r>
      <w:r>
        <w:rPr>
          <w:i/>
          <w:sz w:val="22"/>
        </w:rPr>
        <w:t>and</w:t>
      </w:r>
      <w:r>
        <w:rPr>
          <w:i/>
          <w:spacing w:val="-7"/>
          <w:sz w:val="22"/>
        </w:rPr>
        <w:t> </w:t>
      </w:r>
      <w:r>
        <w:rPr>
          <w:i/>
          <w:sz w:val="22"/>
        </w:rPr>
        <w:t>oversight</w:t>
      </w:r>
      <w:r>
        <w:rPr>
          <w:i/>
          <w:spacing w:val="-5"/>
          <w:sz w:val="22"/>
        </w:rPr>
        <w:t> </w:t>
      </w:r>
      <w:r>
        <w:rPr>
          <w:i/>
          <w:sz w:val="22"/>
        </w:rPr>
        <w:t>systems,</w:t>
      </w:r>
      <w:r>
        <w:rPr>
          <w:i/>
          <w:spacing w:val="-8"/>
          <w:sz w:val="22"/>
        </w:rPr>
        <w:t> </w:t>
      </w:r>
      <w:r>
        <w:rPr>
          <w:i/>
          <w:sz w:val="22"/>
        </w:rPr>
        <w:t>with</w:t>
      </w:r>
      <w:r>
        <w:rPr>
          <w:i/>
          <w:spacing w:val="-7"/>
          <w:sz w:val="22"/>
        </w:rPr>
        <w:t> </w:t>
      </w:r>
      <w:r>
        <w:rPr>
          <w:i/>
          <w:sz w:val="22"/>
        </w:rPr>
        <w:t>inconsistent</w:t>
      </w:r>
      <w:r>
        <w:rPr>
          <w:i/>
          <w:spacing w:val="-7"/>
          <w:sz w:val="22"/>
        </w:rPr>
        <w:t> </w:t>
      </w:r>
      <w:r>
        <w:rPr>
          <w:i/>
          <w:sz w:val="22"/>
        </w:rPr>
        <w:t>management</w:t>
      </w:r>
      <w:r>
        <w:rPr>
          <w:i/>
          <w:spacing w:val="-6"/>
          <w:sz w:val="22"/>
        </w:rPr>
        <w:t> </w:t>
      </w:r>
      <w:r>
        <w:rPr>
          <w:i/>
          <w:spacing w:val="-2"/>
          <w:sz w:val="22"/>
        </w:rPr>
        <w:t>practices;</w:t>
      </w:r>
    </w:p>
    <w:p>
      <w:pPr>
        <w:pStyle w:val="BodyText"/>
        <w:spacing w:before="8"/>
        <w:rPr>
          <w:i/>
          <w:sz w:val="23"/>
        </w:rPr>
      </w:pPr>
    </w:p>
    <w:p>
      <w:pPr>
        <w:pStyle w:val="ListParagraph"/>
        <w:numPr>
          <w:ilvl w:val="0"/>
          <w:numId w:val="60"/>
        </w:numPr>
        <w:tabs>
          <w:tab w:pos="1159" w:val="left" w:leader="none"/>
        </w:tabs>
        <w:spacing w:line="266" w:lineRule="auto" w:before="0" w:after="0"/>
        <w:ind w:left="1159" w:right="1214" w:hanging="360"/>
        <w:jc w:val="left"/>
        <w:rPr>
          <w:i/>
          <w:sz w:val="22"/>
        </w:rPr>
      </w:pPr>
      <w:r>
        <w:rPr>
          <w:i/>
          <w:sz w:val="22"/>
        </w:rPr>
        <w:t>unsupervised</w:t>
      </w:r>
      <w:r>
        <w:rPr>
          <w:i/>
          <w:spacing w:val="-4"/>
          <w:sz w:val="22"/>
        </w:rPr>
        <w:t> </w:t>
      </w:r>
      <w:r>
        <w:rPr>
          <w:i/>
          <w:sz w:val="22"/>
        </w:rPr>
        <w:t>delegation</w:t>
      </w:r>
      <w:r>
        <w:rPr>
          <w:i/>
          <w:spacing w:val="-8"/>
          <w:sz w:val="22"/>
        </w:rPr>
        <w:t> </w:t>
      </w:r>
      <w:r>
        <w:rPr>
          <w:i/>
          <w:sz w:val="22"/>
        </w:rPr>
        <w:t>of</w:t>
      </w:r>
      <w:r>
        <w:rPr>
          <w:i/>
          <w:spacing w:val="-3"/>
          <w:sz w:val="22"/>
        </w:rPr>
        <w:t> </w:t>
      </w:r>
      <w:r>
        <w:rPr>
          <w:i/>
          <w:sz w:val="22"/>
        </w:rPr>
        <w:t>energy</w:t>
      </w:r>
      <w:r>
        <w:rPr>
          <w:i/>
          <w:spacing w:val="-4"/>
          <w:sz w:val="22"/>
        </w:rPr>
        <w:t> </w:t>
      </w:r>
      <w:r>
        <w:rPr>
          <w:i/>
          <w:sz w:val="22"/>
        </w:rPr>
        <w:t>safety</w:t>
      </w:r>
      <w:r>
        <w:rPr>
          <w:i/>
          <w:spacing w:val="-3"/>
          <w:sz w:val="22"/>
        </w:rPr>
        <w:t> </w:t>
      </w:r>
      <w:r>
        <w:rPr>
          <w:i/>
          <w:sz w:val="22"/>
        </w:rPr>
        <w:t>accountabilities</w:t>
      </w:r>
      <w:r>
        <w:rPr>
          <w:i/>
          <w:spacing w:val="-4"/>
          <w:sz w:val="22"/>
        </w:rPr>
        <w:t> </w:t>
      </w:r>
      <w:r>
        <w:rPr>
          <w:i/>
          <w:sz w:val="22"/>
        </w:rPr>
        <w:t>to</w:t>
      </w:r>
      <w:r>
        <w:rPr>
          <w:i/>
          <w:spacing w:val="-4"/>
          <w:sz w:val="22"/>
        </w:rPr>
        <w:t> </w:t>
      </w:r>
      <w:r>
        <w:rPr>
          <w:i/>
          <w:sz w:val="22"/>
        </w:rPr>
        <w:t>third</w:t>
      </w:r>
      <w:r>
        <w:rPr>
          <w:i/>
          <w:spacing w:val="-4"/>
          <w:sz w:val="22"/>
        </w:rPr>
        <w:t> </w:t>
      </w:r>
      <w:r>
        <w:rPr>
          <w:i/>
          <w:sz w:val="22"/>
        </w:rPr>
        <w:t>parties</w:t>
      </w:r>
      <w:r>
        <w:rPr>
          <w:i/>
          <w:spacing w:val="-6"/>
          <w:sz w:val="22"/>
        </w:rPr>
        <w:t> </w:t>
      </w:r>
      <w:r>
        <w:rPr>
          <w:i/>
          <w:sz w:val="22"/>
        </w:rPr>
        <w:t>without adequate assurance practices.”</w:t>
      </w:r>
    </w:p>
    <w:p>
      <w:pPr>
        <w:pStyle w:val="BodyText"/>
        <w:spacing w:before="2"/>
        <w:rPr>
          <w:i/>
          <w:sz w:val="23"/>
        </w:rPr>
      </w:pPr>
    </w:p>
    <w:p>
      <w:pPr>
        <w:pStyle w:val="BodyText"/>
        <w:spacing w:line="288" w:lineRule="auto"/>
        <w:ind w:left="232" w:right="320"/>
      </w:pPr>
      <w:r>
        <w:rPr/>
        <w:t>Competing priorities</w:t>
      </w:r>
      <w:r>
        <w:rPr>
          <w:spacing w:val="-4"/>
        </w:rPr>
        <w:t> </w:t>
      </w:r>
      <w:r>
        <w:rPr/>
        <w:t>to</w:t>
      </w:r>
      <w:r>
        <w:rPr>
          <w:spacing w:val="-2"/>
        </w:rPr>
        <w:t> </w:t>
      </w:r>
      <w:r>
        <w:rPr/>
        <w:t>work</w:t>
      </w:r>
      <w:r>
        <w:rPr>
          <w:spacing w:val="-1"/>
        </w:rPr>
        <w:t> </w:t>
      </w:r>
      <w:r>
        <w:rPr/>
        <w:t>quickly</w:t>
      </w:r>
      <w:r>
        <w:rPr>
          <w:spacing w:val="-4"/>
        </w:rPr>
        <w:t> </w:t>
      </w:r>
      <w:r>
        <w:rPr/>
        <w:t>under</w:t>
      </w:r>
      <w:r>
        <w:rPr>
          <w:spacing w:val="-3"/>
        </w:rPr>
        <w:t> </w:t>
      </w:r>
      <w:r>
        <w:rPr/>
        <w:t>payment arrangements,</w:t>
      </w:r>
      <w:r>
        <w:rPr>
          <w:spacing w:val="-3"/>
        </w:rPr>
        <w:t> </w:t>
      </w:r>
      <w:r>
        <w:rPr/>
        <w:t>and</w:t>
      </w:r>
      <w:r>
        <w:rPr>
          <w:spacing w:val="-4"/>
        </w:rPr>
        <w:t> </w:t>
      </w:r>
      <w:r>
        <w:rPr/>
        <w:t>to</w:t>
      </w:r>
      <w:r>
        <w:rPr>
          <w:spacing w:val="-4"/>
        </w:rPr>
        <w:t> </w:t>
      </w:r>
      <w:r>
        <w:rPr/>
        <w:t>carry</w:t>
      </w:r>
      <w:r>
        <w:rPr>
          <w:spacing w:val="-4"/>
        </w:rPr>
        <w:t> </w:t>
      </w:r>
      <w:r>
        <w:rPr/>
        <w:t>out</w:t>
      </w:r>
      <w:r>
        <w:rPr>
          <w:spacing w:val="-3"/>
        </w:rPr>
        <w:t> </w:t>
      </w:r>
      <w:r>
        <w:rPr/>
        <w:t>safety</w:t>
      </w:r>
      <w:r>
        <w:rPr>
          <w:spacing w:val="-3"/>
        </w:rPr>
        <w:t> </w:t>
      </w:r>
      <w:r>
        <w:rPr/>
        <w:t>planning and activities has been identified by Associate Professor Jan Hayes as having the potential to impact negatively on safety outcomes.</w:t>
      </w:r>
    </w:p>
    <w:p>
      <w:pPr>
        <w:spacing w:after="0" w:line="288" w:lineRule="auto"/>
        <w:sectPr>
          <w:pgSz w:w="11910" w:h="16850"/>
          <w:pgMar w:header="220" w:footer="678" w:top="420" w:bottom="860" w:left="900" w:right="840"/>
        </w:sectPr>
      </w:pPr>
    </w:p>
    <w:p>
      <w:pPr>
        <w:pStyle w:val="BodyText"/>
        <w:rPr>
          <w:sz w:val="20"/>
        </w:rPr>
      </w:pPr>
    </w:p>
    <w:p>
      <w:pPr>
        <w:pStyle w:val="BodyText"/>
        <w:spacing w:before="2"/>
        <w:rPr>
          <w:sz w:val="19"/>
        </w:rPr>
      </w:pPr>
    </w:p>
    <w:p>
      <w:pPr>
        <w:pStyle w:val="BodyText"/>
        <w:spacing w:line="288" w:lineRule="auto" w:before="94"/>
        <w:ind w:left="232" w:right="374"/>
      </w:pPr>
      <w:r>
        <w:rPr/>
        <w:t>In their paper </w:t>
      </w:r>
      <w:r>
        <w:rPr>
          <w:i/>
        </w:rPr>
        <w:t>We're Still Hitting Things, </w:t>
      </w:r>
      <w:r>
        <w:rPr/>
        <w:t>Dr Vanessa McDermott and Associate Professor Jan Hayes</w:t>
      </w:r>
      <w:r>
        <w:rPr>
          <w:spacing w:val="-1"/>
        </w:rPr>
        <w:t> </w:t>
      </w:r>
      <w:r>
        <w:rPr/>
        <w:t>identified</w:t>
      </w:r>
      <w:r>
        <w:rPr>
          <w:spacing w:val="-2"/>
        </w:rPr>
        <w:t> </w:t>
      </w:r>
      <w:r>
        <w:rPr/>
        <w:t>how</w:t>
      </w:r>
      <w:r>
        <w:rPr>
          <w:spacing w:val="-7"/>
        </w:rPr>
        <w:t> </w:t>
      </w:r>
      <w:r>
        <w:rPr/>
        <w:t>financial</w:t>
      </w:r>
      <w:r>
        <w:rPr>
          <w:spacing w:val="-2"/>
        </w:rPr>
        <w:t> </w:t>
      </w:r>
      <w:r>
        <w:rPr/>
        <w:t>risk</w:t>
      </w:r>
      <w:r>
        <w:rPr>
          <w:spacing w:val="-1"/>
        </w:rPr>
        <w:t> </w:t>
      </w:r>
      <w:r>
        <w:rPr/>
        <w:t>and</w:t>
      </w:r>
      <w:r>
        <w:rPr>
          <w:spacing w:val="-4"/>
        </w:rPr>
        <w:t> </w:t>
      </w:r>
      <w:r>
        <w:rPr/>
        <w:t>so</w:t>
      </w:r>
      <w:r>
        <w:rPr>
          <w:spacing w:val="-2"/>
        </w:rPr>
        <w:t> </w:t>
      </w:r>
      <w:r>
        <w:rPr/>
        <w:t>also</w:t>
      </w:r>
      <w:r>
        <w:rPr>
          <w:spacing w:val="-4"/>
        </w:rPr>
        <w:t> </w:t>
      </w:r>
      <w:r>
        <w:rPr/>
        <w:t>management</w:t>
      </w:r>
      <w:r>
        <w:rPr>
          <w:spacing w:val="-3"/>
        </w:rPr>
        <w:t> </w:t>
      </w:r>
      <w:r>
        <w:rPr/>
        <w:t>of the</w:t>
      </w:r>
      <w:r>
        <w:rPr>
          <w:spacing w:val="-4"/>
        </w:rPr>
        <w:t> </w:t>
      </w:r>
      <w:r>
        <w:rPr/>
        <w:t>potential</w:t>
      </w:r>
      <w:r>
        <w:rPr>
          <w:spacing w:val="-5"/>
        </w:rPr>
        <w:t> </w:t>
      </w:r>
      <w:r>
        <w:rPr/>
        <w:t>for</w:t>
      </w:r>
      <w:r>
        <w:rPr>
          <w:spacing w:val="-3"/>
        </w:rPr>
        <w:t> </w:t>
      </w:r>
      <w:r>
        <w:rPr/>
        <w:t>pipeline</w:t>
      </w:r>
      <w:r>
        <w:rPr>
          <w:spacing w:val="-2"/>
        </w:rPr>
        <w:t> </w:t>
      </w:r>
      <w:r>
        <w:rPr/>
        <w:t>strikes are shifted down the third party contractor chain. They noted that incentives for timely project completion can unintentionally lead to situations where the potential for contractors to strike pipelines increases (McDermott &amp; Hayes, 2016).</w:t>
      </w:r>
    </w:p>
    <w:p>
      <w:pPr>
        <w:pStyle w:val="BodyText"/>
        <w:spacing w:before="9"/>
        <w:rPr>
          <w:sz w:val="20"/>
        </w:rPr>
      </w:pPr>
    </w:p>
    <w:p>
      <w:pPr>
        <w:spacing w:line="288" w:lineRule="auto" w:before="0"/>
        <w:ind w:left="232" w:right="374" w:firstLine="0"/>
        <w:jc w:val="left"/>
        <w:rPr>
          <w:sz w:val="22"/>
        </w:rPr>
      </w:pPr>
      <w:r>
        <w:rPr>
          <w:sz w:val="22"/>
        </w:rPr>
        <w:t>McDermott and Hayes concluded in a further paper, that</w:t>
      </w:r>
      <w:r>
        <w:rPr>
          <w:spacing w:val="-12"/>
          <w:sz w:val="22"/>
        </w:rPr>
        <w:t> </w:t>
      </w:r>
      <w:r>
        <w:rPr>
          <w:i/>
          <w:sz w:val="22"/>
        </w:rPr>
        <w:t>“... sub-contracting chains present particular</w:t>
      </w:r>
      <w:r>
        <w:rPr>
          <w:i/>
          <w:spacing w:val="-3"/>
          <w:sz w:val="22"/>
        </w:rPr>
        <w:t> </w:t>
      </w:r>
      <w:r>
        <w:rPr>
          <w:i/>
          <w:sz w:val="22"/>
        </w:rPr>
        <w:t>challenges</w:t>
      </w:r>
      <w:r>
        <w:rPr>
          <w:i/>
          <w:spacing w:val="-1"/>
          <w:sz w:val="22"/>
        </w:rPr>
        <w:t> </w:t>
      </w:r>
      <w:r>
        <w:rPr>
          <w:i/>
          <w:sz w:val="22"/>
        </w:rPr>
        <w:t>in</w:t>
      </w:r>
      <w:r>
        <w:rPr>
          <w:i/>
          <w:spacing w:val="-2"/>
          <w:sz w:val="22"/>
        </w:rPr>
        <w:t> </w:t>
      </w:r>
      <w:r>
        <w:rPr>
          <w:i/>
          <w:sz w:val="22"/>
        </w:rPr>
        <w:t>terms</w:t>
      </w:r>
      <w:r>
        <w:rPr>
          <w:i/>
          <w:spacing w:val="-4"/>
          <w:sz w:val="22"/>
        </w:rPr>
        <w:t> </w:t>
      </w:r>
      <w:r>
        <w:rPr>
          <w:i/>
          <w:sz w:val="22"/>
        </w:rPr>
        <w:t>of</w:t>
      </w:r>
      <w:r>
        <w:rPr>
          <w:i/>
          <w:spacing w:val="-3"/>
          <w:sz w:val="22"/>
        </w:rPr>
        <w:t> </w:t>
      </w:r>
      <w:r>
        <w:rPr>
          <w:i/>
          <w:sz w:val="22"/>
        </w:rPr>
        <w:t>safety</w:t>
      </w:r>
      <w:r>
        <w:rPr>
          <w:i/>
          <w:spacing w:val="-3"/>
          <w:sz w:val="22"/>
        </w:rPr>
        <w:t> </w:t>
      </w:r>
      <w:r>
        <w:rPr>
          <w:i/>
          <w:sz w:val="22"/>
        </w:rPr>
        <w:t>management</w:t>
      </w:r>
      <w:r>
        <w:rPr>
          <w:i/>
          <w:spacing w:val="-1"/>
          <w:sz w:val="22"/>
        </w:rPr>
        <w:t> </w:t>
      </w:r>
      <w:r>
        <w:rPr>
          <w:i/>
          <w:sz w:val="22"/>
        </w:rPr>
        <w:t>and</w:t>
      </w:r>
      <w:r>
        <w:rPr>
          <w:i/>
          <w:spacing w:val="-4"/>
          <w:sz w:val="22"/>
        </w:rPr>
        <w:t> </w:t>
      </w:r>
      <w:r>
        <w:rPr>
          <w:i/>
          <w:sz w:val="22"/>
        </w:rPr>
        <w:t>risk</w:t>
      </w:r>
      <w:r>
        <w:rPr>
          <w:i/>
          <w:spacing w:val="-4"/>
          <w:sz w:val="22"/>
        </w:rPr>
        <w:t> </w:t>
      </w:r>
      <w:r>
        <w:rPr>
          <w:i/>
          <w:sz w:val="22"/>
        </w:rPr>
        <w:t>coordination”</w:t>
      </w:r>
      <w:r>
        <w:rPr>
          <w:i/>
          <w:spacing w:val="-1"/>
          <w:sz w:val="22"/>
        </w:rPr>
        <w:t> </w:t>
      </w:r>
      <w:r>
        <w:rPr>
          <w:sz w:val="22"/>
        </w:rPr>
        <w:t>(McDermott</w:t>
      </w:r>
      <w:r>
        <w:rPr>
          <w:spacing w:val="-2"/>
          <w:sz w:val="22"/>
        </w:rPr>
        <w:t> </w:t>
      </w:r>
      <w:r>
        <w:rPr>
          <w:sz w:val="22"/>
        </w:rPr>
        <w:t>&amp;</w:t>
      </w:r>
      <w:r>
        <w:rPr>
          <w:spacing w:val="-2"/>
          <w:sz w:val="22"/>
        </w:rPr>
        <w:t> </w:t>
      </w:r>
      <w:r>
        <w:rPr>
          <w:sz w:val="22"/>
        </w:rPr>
        <w:t>Hayes, 2017, p. 2). They have recommended better engagement between industry and contractors to minimise the potential for failures.</w:t>
      </w:r>
    </w:p>
    <w:p>
      <w:pPr>
        <w:pStyle w:val="BodyText"/>
        <w:spacing w:before="10"/>
        <w:rPr>
          <w:sz w:val="20"/>
        </w:rPr>
      </w:pPr>
    </w:p>
    <w:p>
      <w:pPr>
        <w:pStyle w:val="BodyText"/>
        <w:spacing w:line="288" w:lineRule="auto" w:before="1"/>
        <w:ind w:left="232" w:right="374"/>
      </w:pPr>
      <w:r>
        <w:rPr/>
        <w:t>In its submission to the Review, Engineers Australia expressed the need for comprehensive arrangements, backed by effective metrics, to support workforce engagement in network safety. Engineers</w:t>
      </w:r>
      <w:r>
        <w:rPr>
          <w:spacing w:val="-3"/>
        </w:rPr>
        <w:t> </w:t>
      </w:r>
      <w:r>
        <w:rPr/>
        <w:t>Australia</w:t>
      </w:r>
      <w:r>
        <w:rPr>
          <w:spacing w:val="-2"/>
        </w:rPr>
        <w:t> </w:t>
      </w:r>
      <w:r>
        <w:rPr/>
        <w:t>has</w:t>
      </w:r>
      <w:r>
        <w:rPr>
          <w:spacing w:val="-4"/>
        </w:rPr>
        <w:t> </w:t>
      </w:r>
      <w:r>
        <w:rPr/>
        <w:t>particularly</w:t>
      </w:r>
      <w:r>
        <w:rPr>
          <w:spacing w:val="-4"/>
        </w:rPr>
        <w:t> </w:t>
      </w:r>
      <w:r>
        <w:rPr/>
        <w:t>highlighted</w:t>
      </w:r>
      <w:r>
        <w:rPr>
          <w:spacing w:val="-2"/>
        </w:rPr>
        <w:t> </w:t>
      </w:r>
      <w:r>
        <w:rPr/>
        <w:t>its</w:t>
      </w:r>
      <w:r>
        <w:rPr>
          <w:spacing w:val="-1"/>
        </w:rPr>
        <w:t> </w:t>
      </w:r>
      <w:r>
        <w:rPr/>
        <w:t>view</w:t>
      </w:r>
      <w:r>
        <w:rPr>
          <w:spacing w:val="-5"/>
        </w:rPr>
        <w:t> </w:t>
      </w:r>
      <w:r>
        <w:rPr/>
        <w:t>that</w:t>
      </w:r>
      <w:r>
        <w:rPr>
          <w:spacing w:val="-3"/>
        </w:rPr>
        <w:t> </w:t>
      </w:r>
      <w:r>
        <w:rPr/>
        <w:t>third</w:t>
      </w:r>
      <w:r>
        <w:rPr>
          <w:spacing w:val="-4"/>
        </w:rPr>
        <w:t> </w:t>
      </w:r>
      <w:r>
        <w:rPr/>
        <w:t>party</w:t>
      </w:r>
      <w:r>
        <w:rPr>
          <w:spacing w:val="-4"/>
        </w:rPr>
        <w:t> </w:t>
      </w:r>
      <w:r>
        <w:rPr/>
        <w:t>contractors</w:t>
      </w:r>
      <w:r>
        <w:rPr>
          <w:spacing w:val="-3"/>
        </w:rPr>
        <w:t> </w:t>
      </w:r>
      <w:r>
        <w:rPr/>
        <w:t>should</w:t>
      </w:r>
      <w:r>
        <w:rPr>
          <w:spacing w:val="-2"/>
        </w:rPr>
        <w:t> </w:t>
      </w:r>
      <w:r>
        <w:rPr/>
        <w:t>be</w:t>
      </w:r>
      <w:r>
        <w:rPr>
          <w:spacing w:val="-4"/>
        </w:rPr>
        <w:t> </w:t>
      </w:r>
      <w:r>
        <w:rPr/>
        <w:t>held to the same processes, metrics and standards as network businesses themselves:</w:t>
      </w:r>
    </w:p>
    <w:p>
      <w:pPr>
        <w:pStyle w:val="BodyText"/>
        <w:spacing w:before="10"/>
        <w:rPr>
          <w:sz w:val="20"/>
        </w:rPr>
      </w:pPr>
    </w:p>
    <w:p>
      <w:pPr>
        <w:spacing w:line="288" w:lineRule="auto" w:before="0"/>
        <w:ind w:left="799" w:right="920" w:firstLine="0"/>
        <w:jc w:val="left"/>
        <w:rPr>
          <w:sz w:val="22"/>
        </w:rPr>
      </w:pPr>
      <w:r>
        <w:rPr>
          <w:i/>
          <w:sz w:val="22"/>
        </w:rPr>
        <w:t>“To assist in the facilitation of a safety culture workforce, a form of ongoing regulatory assessment/audit should to be considered to ensure these documents are functional and integral to the culture of the licensees/operators of these pipelines. In the assessment/audit, regulators should consider if the corporate safety framework is a primary organisational focus, communicated routinely, tracked, recognised and rewarded throughout all levels of the organisation. Are there specific safety metrics illustrating that: a) each employee is responsible and accountable for safety performance, and b) clear safety policy, process and procedures are communicated throughout</w:t>
      </w:r>
      <w:r>
        <w:rPr>
          <w:i/>
          <w:spacing w:val="-4"/>
          <w:sz w:val="22"/>
        </w:rPr>
        <w:t> </w:t>
      </w:r>
      <w:r>
        <w:rPr>
          <w:i/>
          <w:sz w:val="22"/>
        </w:rPr>
        <w:t>the</w:t>
      </w:r>
      <w:r>
        <w:rPr>
          <w:i/>
          <w:spacing w:val="-3"/>
          <w:sz w:val="22"/>
        </w:rPr>
        <w:t> </w:t>
      </w:r>
      <w:r>
        <w:rPr>
          <w:i/>
          <w:sz w:val="22"/>
        </w:rPr>
        <w:t>organisation</w:t>
      </w:r>
      <w:r>
        <w:rPr>
          <w:i/>
          <w:spacing w:val="-3"/>
          <w:sz w:val="22"/>
        </w:rPr>
        <w:t> </w:t>
      </w:r>
      <w:r>
        <w:rPr>
          <w:i/>
          <w:sz w:val="22"/>
        </w:rPr>
        <w:t>through</w:t>
      </w:r>
      <w:r>
        <w:rPr>
          <w:i/>
          <w:spacing w:val="-5"/>
          <w:sz w:val="22"/>
        </w:rPr>
        <w:t> </w:t>
      </w:r>
      <w:r>
        <w:rPr>
          <w:i/>
          <w:sz w:val="22"/>
        </w:rPr>
        <w:t>training,</w:t>
      </w:r>
      <w:r>
        <w:rPr>
          <w:i/>
          <w:spacing w:val="-4"/>
          <w:sz w:val="22"/>
        </w:rPr>
        <w:t> </w:t>
      </w:r>
      <w:r>
        <w:rPr>
          <w:i/>
          <w:sz w:val="22"/>
        </w:rPr>
        <w:t>tailgate</w:t>
      </w:r>
      <w:r>
        <w:rPr>
          <w:i/>
          <w:spacing w:val="-3"/>
          <w:sz w:val="22"/>
        </w:rPr>
        <w:t> </w:t>
      </w:r>
      <w:r>
        <w:rPr>
          <w:i/>
          <w:sz w:val="22"/>
        </w:rPr>
        <w:t>sessions,</w:t>
      </w:r>
      <w:r>
        <w:rPr>
          <w:i/>
          <w:spacing w:val="-1"/>
          <w:sz w:val="22"/>
        </w:rPr>
        <w:t> </w:t>
      </w:r>
      <w:r>
        <w:rPr>
          <w:i/>
          <w:sz w:val="22"/>
        </w:rPr>
        <w:t>and</w:t>
      </w:r>
      <w:r>
        <w:rPr>
          <w:i/>
          <w:spacing w:val="-5"/>
          <w:sz w:val="22"/>
        </w:rPr>
        <w:t> </w:t>
      </w:r>
      <w:r>
        <w:rPr>
          <w:i/>
          <w:sz w:val="22"/>
        </w:rPr>
        <w:t>field</w:t>
      </w:r>
      <w:r>
        <w:rPr>
          <w:i/>
          <w:spacing w:val="-3"/>
          <w:sz w:val="22"/>
        </w:rPr>
        <w:t> </w:t>
      </w:r>
      <w:r>
        <w:rPr>
          <w:i/>
          <w:sz w:val="22"/>
        </w:rPr>
        <w:t>coaching,</w:t>
      </w:r>
      <w:r>
        <w:rPr>
          <w:i/>
          <w:spacing w:val="-4"/>
          <w:sz w:val="22"/>
        </w:rPr>
        <w:t> </w:t>
      </w:r>
      <w:r>
        <w:rPr>
          <w:i/>
          <w:sz w:val="22"/>
        </w:rPr>
        <w:t>with no opt</w:t>
      </w:r>
      <w:r>
        <w:rPr>
          <w:i/>
          <w:sz w:val="23"/>
        </w:rPr>
        <w:t>‐</w:t>
      </w:r>
      <w:r>
        <w:rPr>
          <w:i/>
          <w:sz w:val="22"/>
        </w:rPr>
        <w:t>out. Third</w:t>
      </w:r>
      <w:r>
        <w:rPr>
          <w:i/>
          <w:sz w:val="23"/>
        </w:rPr>
        <w:t>‐</w:t>
      </w:r>
      <w:r>
        <w:rPr>
          <w:i/>
          <w:sz w:val="22"/>
        </w:rPr>
        <w:t>party contractors utilised by the corporations must be held to the same processes, metrics, and standards.” </w:t>
      </w:r>
      <w:r>
        <w:rPr>
          <w:sz w:val="22"/>
        </w:rPr>
        <w:t>(Engineers Australia, 2017, p. 1)</w:t>
      </w:r>
    </w:p>
    <w:p>
      <w:pPr>
        <w:pStyle w:val="BodyText"/>
        <w:spacing w:before="3"/>
        <w:rPr>
          <w:sz w:val="20"/>
        </w:rPr>
      </w:pPr>
    </w:p>
    <w:p>
      <w:pPr>
        <w:pStyle w:val="BodyText"/>
        <w:spacing w:line="288" w:lineRule="auto"/>
        <w:ind w:left="232"/>
      </w:pPr>
      <w:r>
        <w:rPr/>
        <w:t>Apart</w:t>
      </w:r>
      <w:r>
        <w:rPr>
          <w:spacing w:val="-2"/>
        </w:rPr>
        <w:t> </w:t>
      </w:r>
      <w:r>
        <w:rPr/>
        <w:t>from</w:t>
      </w:r>
      <w:r>
        <w:rPr>
          <w:spacing w:val="-2"/>
        </w:rPr>
        <w:t> </w:t>
      </w:r>
      <w:r>
        <w:rPr/>
        <w:t>third</w:t>
      </w:r>
      <w:r>
        <w:rPr>
          <w:spacing w:val="-3"/>
        </w:rPr>
        <w:t> </w:t>
      </w:r>
      <w:r>
        <w:rPr/>
        <w:t>party</w:t>
      </w:r>
      <w:r>
        <w:rPr>
          <w:spacing w:val="-3"/>
        </w:rPr>
        <w:t> </w:t>
      </w:r>
      <w:r>
        <w:rPr/>
        <w:t>contractors,</w:t>
      </w:r>
      <w:r>
        <w:rPr>
          <w:spacing w:val="-2"/>
        </w:rPr>
        <w:t> </w:t>
      </w:r>
      <w:r>
        <w:rPr/>
        <w:t>the</w:t>
      </w:r>
      <w:r>
        <w:rPr>
          <w:spacing w:val="-3"/>
        </w:rPr>
        <w:t> </w:t>
      </w:r>
      <w:r>
        <w:rPr/>
        <w:t>Electrical</w:t>
      </w:r>
      <w:r>
        <w:rPr>
          <w:spacing w:val="-4"/>
        </w:rPr>
        <w:t> </w:t>
      </w:r>
      <w:r>
        <w:rPr/>
        <w:t>Trades</w:t>
      </w:r>
      <w:r>
        <w:rPr>
          <w:spacing w:val="-1"/>
        </w:rPr>
        <w:t> </w:t>
      </w:r>
      <w:r>
        <w:rPr/>
        <w:t>Union</w:t>
      </w:r>
      <w:r>
        <w:rPr>
          <w:spacing w:val="-2"/>
        </w:rPr>
        <w:t> </w:t>
      </w:r>
      <w:r>
        <w:rPr/>
        <w:t>has</w:t>
      </w:r>
      <w:r>
        <w:rPr>
          <w:spacing w:val="-3"/>
        </w:rPr>
        <w:t> </w:t>
      </w:r>
      <w:r>
        <w:rPr/>
        <w:t>also</w:t>
      </w:r>
      <w:r>
        <w:rPr>
          <w:spacing w:val="-3"/>
        </w:rPr>
        <w:t> </w:t>
      </w:r>
      <w:r>
        <w:rPr/>
        <w:t>raised</w:t>
      </w:r>
      <w:r>
        <w:rPr>
          <w:spacing w:val="-2"/>
        </w:rPr>
        <w:t> </w:t>
      </w:r>
      <w:r>
        <w:rPr/>
        <w:t>concerns</w:t>
      </w:r>
      <w:r>
        <w:rPr>
          <w:spacing w:val="-2"/>
        </w:rPr>
        <w:t> </w:t>
      </w:r>
      <w:r>
        <w:rPr/>
        <w:t>around</w:t>
      </w:r>
      <w:r>
        <w:rPr>
          <w:spacing w:val="-3"/>
        </w:rPr>
        <w:t> </w:t>
      </w:r>
      <w:r>
        <w:rPr/>
        <w:t>the management of safety obligations by contractors working directly on the electricity networks:</w:t>
      </w:r>
    </w:p>
    <w:p>
      <w:pPr>
        <w:pStyle w:val="BodyText"/>
        <w:spacing w:before="10"/>
        <w:rPr>
          <w:sz w:val="20"/>
        </w:rPr>
      </w:pPr>
    </w:p>
    <w:p>
      <w:pPr>
        <w:spacing w:line="288" w:lineRule="auto" w:before="0"/>
        <w:ind w:left="799" w:right="868" w:firstLine="0"/>
        <w:jc w:val="left"/>
        <w:rPr>
          <w:sz w:val="22"/>
        </w:rPr>
      </w:pPr>
      <w:r>
        <w:rPr>
          <w:i/>
          <w:sz w:val="22"/>
        </w:rPr>
        <w:t>“The</w:t>
      </w:r>
      <w:r>
        <w:rPr>
          <w:i/>
          <w:spacing w:val="-2"/>
          <w:sz w:val="22"/>
        </w:rPr>
        <w:t> </w:t>
      </w:r>
      <w:r>
        <w:rPr>
          <w:i/>
          <w:sz w:val="22"/>
        </w:rPr>
        <w:t>current high</w:t>
      </w:r>
      <w:r>
        <w:rPr>
          <w:i/>
          <w:spacing w:val="-2"/>
          <w:sz w:val="22"/>
        </w:rPr>
        <w:t> </w:t>
      </w:r>
      <w:r>
        <w:rPr>
          <w:i/>
          <w:sz w:val="22"/>
        </w:rPr>
        <w:t>prevalence</w:t>
      </w:r>
      <w:r>
        <w:rPr>
          <w:i/>
          <w:spacing w:val="-2"/>
          <w:sz w:val="22"/>
        </w:rPr>
        <w:t> </w:t>
      </w:r>
      <w:r>
        <w:rPr>
          <w:i/>
          <w:sz w:val="22"/>
        </w:rPr>
        <w:t>of</w:t>
      </w:r>
      <w:r>
        <w:rPr>
          <w:i/>
          <w:spacing w:val="-2"/>
          <w:sz w:val="22"/>
        </w:rPr>
        <w:t> </w:t>
      </w:r>
      <w:r>
        <w:rPr>
          <w:i/>
          <w:sz w:val="22"/>
        </w:rPr>
        <w:t>contractor</w:t>
      </w:r>
      <w:r>
        <w:rPr>
          <w:i/>
          <w:spacing w:val="-3"/>
          <w:sz w:val="22"/>
        </w:rPr>
        <w:t> </w:t>
      </w:r>
      <w:r>
        <w:rPr>
          <w:i/>
          <w:sz w:val="22"/>
        </w:rPr>
        <w:t>labour,</w:t>
      </w:r>
      <w:r>
        <w:rPr>
          <w:i/>
          <w:spacing w:val="-3"/>
          <w:sz w:val="22"/>
        </w:rPr>
        <w:t> </w:t>
      </w:r>
      <w:r>
        <w:rPr>
          <w:i/>
          <w:sz w:val="22"/>
        </w:rPr>
        <w:t>where</w:t>
      </w:r>
      <w:r>
        <w:rPr>
          <w:i/>
          <w:spacing w:val="-6"/>
          <w:sz w:val="22"/>
        </w:rPr>
        <w:t> </w:t>
      </w:r>
      <w:r>
        <w:rPr>
          <w:i/>
          <w:sz w:val="22"/>
        </w:rPr>
        <w:t>maintenance</w:t>
      </w:r>
      <w:r>
        <w:rPr>
          <w:i/>
          <w:spacing w:val="-4"/>
          <w:sz w:val="22"/>
        </w:rPr>
        <w:t> </w:t>
      </w:r>
      <w:r>
        <w:rPr>
          <w:i/>
          <w:sz w:val="22"/>
        </w:rPr>
        <w:t>workers</w:t>
      </w:r>
      <w:r>
        <w:rPr>
          <w:i/>
          <w:spacing w:val="-3"/>
          <w:sz w:val="22"/>
        </w:rPr>
        <w:t> </w:t>
      </w:r>
      <w:r>
        <w:rPr>
          <w:i/>
          <w:sz w:val="22"/>
        </w:rPr>
        <w:t>used to be</w:t>
      </w:r>
      <w:r>
        <w:rPr>
          <w:i/>
          <w:spacing w:val="-2"/>
          <w:sz w:val="22"/>
        </w:rPr>
        <w:t> </w:t>
      </w:r>
      <w:r>
        <w:rPr>
          <w:i/>
          <w:sz w:val="22"/>
        </w:rPr>
        <w:t>primarily</w:t>
      </w:r>
      <w:r>
        <w:rPr>
          <w:i/>
          <w:spacing w:val="-1"/>
          <w:sz w:val="22"/>
        </w:rPr>
        <w:t> </w:t>
      </w:r>
      <w:r>
        <w:rPr>
          <w:i/>
          <w:sz w:val="22"/>
        </w:rPr>
        <w:t>employed</w:t>
      </w:r>
      <w:r>
        <w:rPr>
          <w:i/>
          <w:spacing w:val="-4"/>
          <w:sz w:val="22"/>
        </w:rPr>
        <w:t> </w:t>
      </w:r>
      <w:r>
        <w:rPr>
          <w:i/>
          <w:sz w:val="22"/>
        </w:rPr>
        <w:t>by</w:t>
      </w:r>
      <w:r>
        <w:rPr>
          <w:i/>
          <w:spacing w:val="-4"/>
          <w:sz w:val="22"/>
        </w:rPr>
        <w:t> </w:t>
      </w:r>
      <w:r>
        <w:rPr>
          <w:i/>
          <w:sz w:val="22"/>
        </w:rPr>
        <w:t>the</w:t>
      </w:r>
      <w:r>
        <w:rPr>
          <w:i/>
          <w:spacing w:val="-4"/>
          <w:sz w:val="22"/>
        </w:rPr>
        <w:t> </w:t>
      </w:r>
      <w:r>
        <w:rPr>
          <w:i/>
          <w:sz w:val="22"/>
        </w:rPr>
        <w:t>Distribution</w:t>
      </w:r>
      <w:r>
        <w:rPr>
          <w:i/>
          <w:spacing w:val="-4"/>
          <w:sz w:val="22"/>
        </w:rPr>
        <w:t> </w:t>
      </w:r>
      <w:r>
        <w:rPr>
          <w:i/>
          <w:sz w:val="22"/>
        </w:rPr>
        <w:t>businesses,</w:t>
      </w:r>
      <w:r>
        <w:rPr>
          <w:i/>
          <w:spacing w:val="-3"/>
          <w:sz w:val="22"/>
        </w:rPr>
        <w:t> </w:t>
      </w:r>
      <w:r>
        <w:rPr>
          <w:i/>
          <w:sz w:val="22"/>
        </w:rPr>
        <w:t>means</w:t>
      </w:r>
      <w:r>
        <w:rPr>
          <w:i/>
          <w:spacing w:val="-4"/>
          <w:sz w:val="22"/>
        </w:rPr>
        <w:t> </w:t>
      </w:r>
      <w:r>
        <w:rPr>
          <w:i/>
          <w:sz w:val="22"/>
        </w:rPr>
        <w:t>that</w:t>
      </w:r>
      <w:r>
        <w:rPr>
          <w:i/>
          <w:spacing w:val="-3"/>
          <w:sz w:val="22"/>
        </w:rPr>
        <w:t> </w:t>
      </w:r>
      <w:r>
        <w:rPr>
          <w:i/>
          <w:sz w:val="22"/>
        </w:rPr>
        <w:t>workers</w:t>
      </w:r>
      <w:r>
        <w:rPr>
          <w:i/>
          <w:spacing w:val="-5"/>
          <w:sz w:val="22"/>
        </w:rPr>
        <w:t> </w:t>
      </w:r>
      <w:r>
        <w:rPr>
          <w:i/>
          <w:sz w:val="22"/>
        </w:rPr>
        <w:t>are</w:t>
      </w:r>
      <w:r>
        <w:rPr>
          <w:i/>
          <w:spacing w:val="-1"/>
          <w:sz w:val="22"/>
        </w:rPr>
        <w:t> </w:t>
      </w:r>
      <w:r>
        <w:rPr>
          <w:i/>
          <w:sz w:val="22"/>
        </w:rPr>
        <w:t>severely constrained from raising safety issues without the threat of sacking and potentially blacklisting from the sector... Under these circumstances there is no ‘engagement’ of the workforce in safety issues.” </w:t>
      </w:r>
      <w:r>
        <w:rPr>
          <w:sz w:val="22"/>
        </w:rPr>
        <w:t>(Electrical Trades Union, 2017, p. 41)</w:t>
      </w:r>
    </w:p>
    <w:p>
      <w:pPr>
        <w:pStyle w:val="BodyText"/>
        <w:spacing w:before="9"/>
        <w:rPr>
          <w:sz w:val="20"/>
        </w:rPr>
      </w:pPr>
    </w:p>
    <w:p>
      <w:pPr>
        <w:spacing w:line="288" w:lineRule="auto" w:before="0"/>
        <w:ind w:left="799" w:right="877" w:firstLine="0"/>
        <w:jc w:val="left"/>
        <w:rPr>
          <w:sz w:val="22"/>
        </w:rPr>
      </w:pPr>
      <w:r>
        <w:rPr>
          <w:i/>
          <w:sz w:val="22"/>
        </w:rPr>
        <w:t>“It is recommended that Distribution Businesses contracting arrangements are</w:t>
      </w:r>
      <w:r>
        <w:rPr>
          <w:i/>
          <w:spacing w:val="40"/>
          <w:sz w:val="22"/>
        </w:rPr>
        <w:t> </w:t>
      </w:r>
      <w:r>
        <w:rPr>
          <w:i/>
          <w:sz w:val="22"/>
        </w:rPr>
        <w:t>reviewed by ESV to ensure that they are providing for contractors to be able to meet safety</w:t>
      </w:r>
      <w:r>
        <w:rPr>
          <w:i/>
          <w:spacing w:val="-5"/>
          <w:sz w:val="22"/>
        </w:rPr>
        <w:t> </w:t>
      </w:r>
      <w:r>
        <w:rPr>
          <w:i/>
          <w:sz w:val="22"/>
        </w:rPr>
        <w:t>obligations</w:t>
      </w:r>
      <w:r>
        <w:rPr>
          <w:i/>
          <w:spacing w:val="-2"/>
          <w:sz w:val="22"/>
        </w:rPr>
        <w:t> </w:t>
      </w:r>
      <w:r>
        <w:rPr>
          <w:i/>
          <w:sz w:val="22"/>
        </w:rPr>
        <w:t>of</w:t>
      </w:r>
      <w:r>
        <w:rPr>
          <w:i/>
          <w:spacing w:val="-4"/>
          <w:sz w:val="22"/>
        </w:rPr>
        <w:t> </w:t>
      </w:r>
      <w:r>
        <w:rPr>
          <w:i/>
          <w:sz w:val="22"/>
        </w:rPr>
        <w:t>the</w:t>
      </w:r>
      <w:r>
        <w:rPr>
          <w:i/>
          <w:spacing w:val="-5"/>
          <w:sz w:val="22"/>
        </w:rPr>
        <w:t> </w:t>
      </w:r>
      <w:r>
        <w:rPr>
          <w:i/>
          <w:sz w:val="22"/>
        </w:rPr>
        <w:t>Distribution</w:t>
      </w:r>
      <w:r>
        <w:rPr>
          <w:i/>
          <w:spacing w:val="-3"/>
          <w:sz w:val="22"/>
        </w:rPr>
        <w:t> </w:t>
      </w:r>
      <w:r>
        <w:rPr>
          <w:i/>
          <w:sz w:val="22"/>
        </w:rPr>
        <w:t>Businesses.”</w:t>
      </w:r>
      <w:r>
        <w:rPr>
          <w:i/>
          <w:spacing w:val="-4"/>
          <w:sz w:val="22"/>
        </w:rPr>
        <w:t> </w:t>
      </w:r>
      <w:r>
        <w:rPr>
          <w:sz w:val="22"/>
        </w:rPr>
        <w:t>(Electrical</w:t>
      </w:r>
      <w:r>
        <w:rPr>
          <w:spacing w:val="-6"/>
          <w:sz w:val="22"/>
        </w:rPr>
        <w:t> </w:t>
      </w:r>
      <w:r>
        <w:rPr>
          <w:sz w:val="22"/>
        </w:rPr>
        <w:t>Trades</w:t>
      </w:r>
      <w:r>
        <w:rPr>
          <w:spacing w:val="-5"/>
          <w:sz w:val="22"/>
        </w:rPr>
        <w:t> </w:t>
      </w:r>
      <w:r>
        <w:rPr>
          <w:sz w:val="22"/>
        </w:rPr>
        <w:t>Union,</w:t>
      </w:r>
      <w:r>
        <w:rPr>
          <w:spacing w:val="-1"/>
          <w:sz w:val="22"/>
        </w:rPr>
        <w:t> </w:t>
      </w:r>
      <w:r>
        <w:rPr>
          <w:sz w:val="22"/>
        </w:rPr>
        <w:t>2017,</w:t>
      </w:r>
      <w:r>
        <w:rPr>
          <w:spacing w:val="-1"/>
          <w:sz w:val="22"/>
        </w:rPr>
        <w:t> </w:t>
      </w:r>
      <w:r>
        <w:rPr>
          <w:sz w:val="22"/>
        </w:rPr>
        <w:t>p.</w:t>
      </w:r>
      <w:r>
        <w:rPr>
          <w:spacing w:val="-1"/>
          <w:sz w:val="22"/>
        </w:rPr>
        <w:t> </w:t>
      </w:r>
      <w:r>
        <w:rPr>
          <w:sz w:val="22"/>
        </w:rPr>
        <w:t>55)</w:t>
      </w:r>
    </w:p>
    <w:p>
      <w:pPr>
        <w:pStyle w:val="BodyText"/>
        <w:spacing w:before="5"/>
        <w:rPr>
          <w:sz w:val="31"/>
        </w:rPr>
      </w:pPr>
    </w:p>
    <w:p>
      <w:pPr>
        <w:pStyle w:val="Heading4"/>
        <w:spacing w:before="0"/>
      </w:pPr>
      <w:r>
        <w:rPr>
          <w:color w:val="585858"/>
        </w:rPr>
        <w:t>Workforce</w:t>
      </w:r>
      <w:r>
        <w:rPr>
          <w:color w:val="585858"/>
          <w:spacing w:val="-14"/>
        </w:rPr>
        <w:t> </w:t>
      </w:r>
      <w:r>
        <w:rPr>
          <w:color w:val="585858"/>
        </w:rPr>
        <w:t>engagement</w:t>
      </w:r>
      <w:r>
        <w:rPr>
          <w:color w:val="585858"/>
          <w:spacing w:val="-15"/>
        </w:rPr>
        <w:t> </w:t>
      </w:r>
      <w:r>
        <w:rPr>
          <w:color w:val="585858"/>
        </w:rPr>
        <w:t>in</w:t>
      </w:r>
      <w:r>
        <w:rPr>
          <w:color w:val="585858"/>
          <w:spacing w:val="-14"/>
        </w:rPr>
        <w:t> </w:t>
      </w:r>
      <w:r>
        <w:rPr>
          <w:color w:val="585858"/>
        </w:rPr>
        <w:t>network</w:t>
      </w:r>
      <w:r>
        <w:rPr>
          <w:color w:val="585858"/>
          <w:spacing w:val="-13"/>
        </w:rPr>
        <w:t> </w:t>
      </w:r>
      <w:r>
        <w:rPr>
          <w:color w:val="585858"/>
        </w:rPr>
        <w:t>safety</w:t>
      </w:r>
      <w:r>
        <w:rPr>
          <w:color w:val="585858"/>
          <w:spacing w:val="-18"/>
        </w:rPr>
        <w:t> </w:t>
      </w:r>
      <w:r>
        <w:rPr>
          <w:color w:val="585858"/>
          <w:spacing w:val="-2"/>
        </w:rPr>
        <w:t>generally</w:t>
      </w:r>
    </w:p>
    <w:p>
      <w:pPr>
        <w:pStyle w:val="BodyText"/>
        <w:spacing w:line="288" w:lineRule="auto" w:before="314"/>
        <w:ind w:left="232" w:right="374"/>
      </w:pPr>
      <w:r>
        <w:rPr/>
        <w:t>Submissions</w:t>
      </w:r>
      <w:r>
        <w:rPr>
          <w:spacing w:val="-2"/>
        </w:rPr>
        <w:t> </w:t>
      </w:r>
      <w:r>
        <w:rPr/>
        <w:t>to</w:t>
      </w:r>
      <w:r>
        <w:rPr>
          <w:spacing w:val="-5"/>
        </w:rPr>
        <w:t> </w:t>
      </w:r>
      <w:r>
        <w:rPr/>
        <w:t>the</w:t>
      </w:r>
      <w:r>
        <w:rPr>
          <w:spacing w:val="-5"/>
        </w:rPr>
        <w:t> </w:t>
      </w:r>
      <w:r>
        <w:rPr/>
        <w:t>Review</w:t>
      </w:r>
      <w:r>
        <w:rPr>
          <w:spacing w:val="-6"/>
        </w:rPr>
        <w:t> </w:t>
      </w:r>
      <w:r>
        <w:rPr/>
        <w:t>expressed</w:t>
      </w:r>
      <w:r>
        <w:rPr>
          <w:spacing w:val="-3"/>
        </w:rPr>
        <w:t> </w:t>
      </w:r>
      <w:r>
        <w:rPr/>
        <w:t>a</w:t>
      </w:r>
      <w:r>
        <w:rPr>
          <w:spacing w:val="-2"/>
        </w:rPr>
        <w:t> </w:t>
      </w:r>
      <w:r>
        <w:rPr/>
        <w:t>range</w:t>
      </w:r>
      <w:r>
        <w:rPr>
          <w:spacing w:val="-5"/>
        </w:rPr>
        <w:t> </w:t>
      </w:r>
      <w:r>
        <w:rPr/>
        <w:t>of</w:t>
      </w:r>
      <w:r>
        <w:rPr>
          <w:spacing w:val="-1"/>
        </w:rPr>
        <w:t> </w:t>
      </w:r>
      <w:r>
        <w:rPr/>
        <w:t>views</w:t>
      </w:r>
      <w:r>
        <w:rPr>
          <w:spacing w:val="-2"/>
        </w:rPr>
        <w:t> </w:t>
      </w:r>
      <w:r>
        <w:rPr/>
        <w:t>on</w:t>
      </w:r>
      <w:r>
        <w:rPr>
          <w:spacing w:val="-3"/>
        </w:rPr>
        <w:t> </w:t>
      </w:r>
      <w:r>
        <w:rPr/>
        <w:t>the</w:t>
      </w:r>
      <w:r>
        <w:rPr>
          <w:spacing w:val="-3"/>
        </w:rPr>
        <w:t> </w:t>
      </w:r>
      <w:r>
        <w:rPr/>
        <w:t>effectiveness</w:t>
      </w:r>
      <w:r>
        <w:rPr>
          <w:spacing w:val="-3"/>
        </w:rPr>
        <w:t> </w:t>
      </w:r>
      <w:r>
        <w:rPr/>
        <w:t>of</w:t>
      </w:r>
      <w:r>
        <w:rPr>
          <w:spacing w:val="-1"/>
        </w:rPr>
        <w:t> </w:t>
      </w:r>
      <w:r>
        <w:rPr/>
        <w:t>current arrangements relating to the involvement of the workforce in network safety.</w:t>
      </w:r>
    </w:p>
    <w:p>
      <w:pPr>
        <w:pStyle w:val="BodyText"/>
        <w:spacing w:before="10"/>
        <w:rPr>
          <w:sz w:val="20"/>
        </w:rPr>
      </w:pPr>
    </w:p>
    <w:p>
      <w:pPr>
        <w:pStyle w:val="BodyText"/>
        <w:spacing w:line="288" w:lineRule="auto"/>
        <w:ind w:left="232" w:right="374"/>
      </w:pPr>
      <w:r>
        <w:rPr/>
        <w:t>In</w:t>
      </w:r>
      <w:r>
        <w:rPr>
          <w:spacing w:val="-5"/>
        </w:rPr>
        <w:t> </w:t>
      </w:r>
      <w:r>
        <w:rPr/>
        <w:t>their</w:t>
      </w:r>
      <w:r>
        <w:rPr>
          <w:spacing w:val="-2"/>
        </w:rPr>
        <w:t> </w:t>
      </w:r>
      <w:r>
        <w:rPr/>
        <w:t>submission,</w:t>
      </w:r>
      <w:r>
        <w:rPr>
          <w:spacing w:val="-2"/>
        </w:rPr>
        <w:t> </w:t>
      </w:r>
      <w:r>
        <w:rPr/>
        <w:t>CitiPower</w:t>
      </w:r>
      <w:r>
        <w:rPr>
          <w:spacing w:val="-2"/>
        </w:rPr>
        <w:t> </w:t>
      </w:r>
      <w:r>
        <w:rPr/>
        <w:t>and</w:t>
      </w:r>
      <w:r>
        <w:rPr>
          <w:spacing w:val="-3"/>
        </w:rPr>
        <w:t> </w:t>
      </w:r>
      <w:r>
        <w:rPr/>
        <w:t>Powercor</w:t>
      </w:r>
      <w:r>
        <w:rPr>
          <w:spacing w:val="-1"/>
        </w:rPr>
        <w:t> </w:t>
      </w:r>
      <w:r>
        <w:rPr/>
        <w:t>Australia</w:t>
      </w:r>
      <w:r>
        <w:rPr>
          <w:spacing w:val="-3"/>
        </w:rPr>
        <w:t> </w:t>
      </w:r>
      <w:r>
        <w:rPr/>
        <w:t>has</w:t>
      </w:r>
      <w:r>
        <w:rPr>
          <w:spacing w:val="-3"/>
        </w:rPr>
        <w:t> </w:t>
      </w:r>
      <w:r>
        <w:rPr/>
        <w:t>noted</w:t>
      </w:r>
      <w:r>
        <w:rPr>
          <w:spacing w:val="-5"/>
        </w:rPr>
        <w:t> </w:t>
      </w:r>
      <w:r>
        <w:rPr/>
        <w:t>the</w:t>
      </w:r>
      <w:r>
        <w:rPr>
          <w:spacing w:val="-3"/>
        </w:rPr>
        <w:t> </w:t>
      </w:r>
      <w:r>
        <w:rPr/>
        <w:t>strengths</w:t>
      </w:r>
      <w:r>
        <w:rPr>
          <w:spacing w:val="-2"/>
        </w:rPr>
        <w:t> </w:t>
      </w:r>
      <w:r>
        <w:rPr/>
        <w:t>of</w:t>
      </w:r>
      <w:r>
        <w:rPr>
          <w:spacing w:val="-1"/>
        </w:rPr>
        <w:t> </w:t>
      </w:r>
      <w:r>
        <w:rPr/>
        <w:t>an</w:t>
      </w:r>
      <w:r>
        <w:rPr>
          <w:spacing w:val="-5"/>
        </w:rPr>
        <w:t> </w:t>
      </w:r>
      <w:r>
        <w:rPr/>
        <w:t>outcomes- based approach in engaging the workforce in safety:</w:t>
      </w:r>
    </w:p>
    <w:p>
      <w:pPr>
        <w:spacing w:after="0" w:line="288" w:lineRule="auto"/>
        <w:sectPr>
          <w:pgSz w:w="11910" w:h="16850"/>
          <w:pgMar w:header="220" w:footer="678" w:top="420" w:bottom="860" w:left="900" w:right="840"/>
        </w:sectPr>
      </w:pPr>
    </w:p>
    <w:p>
      <w:pPr>
        <w:pStyle w:val="BodyText"/>
        <w:rPr>
          <w:sz w:val="20"/>
        </w:rPr>
      </w:pPr>
    </w:p>
    <w:p>
      <w:pPr>
        <w:pStyle w:val="BodyText"/>
        <w:spacing w:before="2"/>
        <w:rPr>
          <w:sz w:val="19"/>
        </w:rPr>
      </w:pPr>
    </w:p>
    <w:p>
      <w:pPr>
        <w:spacing w:line="288" w:lineRule="auto" w:before="94"/>
        <w:ind w:left="799" w:right="951" w:firstLine="0"/>
        <w:jc w:val="left"/>
        <w:rPr>
          <w:sz w:val="22"/>
        </w:rPr>
      </w:pPr>
      <w:r>
        <w:rPr>
          <w:i/>
          <w:sz w:val="22"/>
        </w:rPr>
        <w:t>“The current safety framework with its outcomes based approach, promotes a safe culture and engages the workforce to be active participants in creating a safe workplace</w:t>
      </w:r>
      <w:r>
        <w:rPr>
          <w:i/>
          <w:spacing w:val="-4"/>
          <w:sz w:val="22"/>
        </w:rPr>
        <w:t> </w:t>
      </w:r>
      <w:r>
        <w:rPr>
          <w:i/>
          <w:sz w:val="22"/>
        </w:rPr>
        <w:t>and</w:t>
      </w:r>
      <w:r>
        <w:rPr>
          <w:i/>
          <w:spacing w:val="-2"/>
          <w:sz w:val="22"/>
        </w:rPr>
        <w:t> </w:t>
      </w:r>
      <w:r>
        <w:rPr>
          <w:i/>
          <w:sz w:val="22"/>
        </w:rPr>
        <w:t>a</w:t>
      </w:r>
      <w:r>
        <w:rPr>
          <w:i/>
          <w:spacing w:val="-4"/>
          <w:sz w:val="22"/>
        </w:rPr>
        <w:t> </w:t>
      </w:r>
      <w:r>
        <w:rPr>
          <w:i/>
          <w:sz w:val="22"/>
        </w:rPr>
        <w:t>safe</w:t>
      </w:r>
      <w:r>
        <w:rPr>
          <w:i/>
          <w:spacing w:val="-2"/>
          <w:sz w:val="22"/>
        </w:rPr>
        <w:t> </w:t>
      </w:r>
      <w:r>
        <w:rPr>
          <w:i/>
          <w:sz w:val="22"/>
        </w:rPr>
        <w:t>electrical</w:t>
      </w:r>
      <w:r>
        <w:rPr>
          <w:i/>
          <w:spacing w:val="-3"/>
          <w:sz w:val="22"/>
        </w:rPr>
        <w:t> </w:t>
      </w:r>
      <w:r>
        <w:rPr>
          <w:i/>
          <w:sz w:val="22"/>
        </w:rPr>
        <w:t>distribution</w:t>
      </w:r>
      <w:r>
        <w:rPr>
          <w:i/>
          <w:spacing w:val="-4"/>
          <w:sz w:val="22"/>
        </w:rPr>
        <w:t> </w:t>
      </w:r>
      <w:r>
        <w:rPr>
          <w:i/>
          <w:sz w:val="22"/>
        </w:rPr>
        <w:t>service</w:t>
      </w:r>
      <w:r>
        <w:rPr>
          <w:i/>
          <w:spacing w:val="-2"/>
          <w:sz w:val="22"/>
        </w:rPr>
        <w:t> </w:t>
      </w:r>
      <w:r>
        <w:rPr>
          <w:i/>
          <w:sz w:val="22"/>
        </w:rPr>
        <w:t>to</w:t>
      </w:r>
      <w:r>
        <w:rPr>
          <w:i/>
          <w:spacing w:val="-4"/>
          <w:sz w:val="22"/>
        </w:rPr>
        <w:t> </w:t>
      </w:r>
      <w:r>
        <w:rPr>
          <w:i/>
          <w:sz w:val="22"/>
        </w:rPr>
        <w:t>our</w:t>
      </w:r>
      <w:r>
        <w:rPr>
          <w:i/>
          <w:spacing w:val="-3"/>
          <w:sz w:val="22"/>
        </w:rPr>
        <w:t> </w:t>
      </w:r>
      <w:r>
        <w:rPr>
          <w:i/>
          <w:sz w:val="22"/>
        </w:rPr>
        <w:t>communities.”</w:t>
      </w:r>
      <w:r>
        <w:rPr>
          <w:i/>
          <w:spacing w:val="-4"/>
          <w:sz w:val="22"/>
        </w:rPr>
        <w:t> </w:t>
      </w:r>
      <w:r>
        <w:rPr>
          <w:sz w:val="22"/>
        </w:rPr>
        <w:t>(CitiPower</w:t>
      </w:r>
      <w:r>
        <w:rPr>
          <w:spacing w:val="-1"/>
          <w:sz w:val="22"/>
        </w:rPr>
        <w:t> </w:t>
      </w:r>
      <w:r>
        <w:rPr>
          <w:sz w:val="22"/>
        </w:rPr>
        <w:t>&amp; Powercor Australia, 2017, p. 3)</w:t>
      </w:r>
    </w:p>
    <w:p>
      <w:pPr>
        <w:pStyle w:val="BodyText"/>
        <w:spacing w:before="10"/>
        <w:rPr>
          <w:sz w:val="20"/>
        </w:rPr>
      </w:pPr>
    </w:p>
    <w:p>
      <w:pPr>
        <w:spacing w:line="288" w:lineRule="auto" w:before="1"/>
        <w:ind w:left="232" w:right="374" w:firstLine="0"/>
        <w:jc w:val="left"/>
        <w:rPr>
          <w:sz w:val="22"/>
        </w:rPr>
      </w:pPr>
      <w:r>
        <w:rPr>
          <w:sz w:val="22"/>
        </w:rPr>
        <w:t>In</w:t>
      </w:r>
      <w:r>
        <w:rPr>
          <w:spacing w:val="-2"/>
          <w:sz w:val="22"/>
        </w:rPr>
        <w:t> </w:t>
      </w:r>
      <w:r>
        <w:rPr>
          <w:sz w:val="22"/>
        </w:rPr>
        <w:t>a</w:t>
      </w:r>
      <w:r>
        <w:rPr>
          <w:spacing w:val="-4"/>
          <w:sz w:val="22"/>
        </w:rPr>
        <w:t> </w:t>
      </w:r>
      <w:r>
        <w:rPr>
          <w:sz w:val="22"/>
        </w:rPr>
        <w:t>similar</w:t>
      </w:r>
      <w:r>
        <w:rPr>
          <w:spacing w:val="-1"/>
          <w:sz w:val="22"/>
        </w:rPr>
        <w:t> </w:t>
      </w:r>
      <w:r>
        <w:rPr>
          <w:sz w:val="22"/>
        </w:rPr>
        <w:t>vein,</w:t>
      </w:r>
      <w:r>
        <w:rPr>
          <w:spacing w:val="-1"/>
          <w:sz w:val="22"/>
        </w:rPr>
        <w:t> </w:t>
      </w:r>
      <w:r>
        <w:rPr>
          <w:sz w:val="22"/>
        </w:rPr>
        <w:t>AusNet</w:t>
      </w:r>
      <w:r>
        <w:rPr>
          <w:spacing w:val="-3"/>
          <w:sz w:val="22"/>
        </w:rPr>
        <w:t> </w:t>
      </w:r>
      <w:r>
        <w:rPr>
          <w:sz w:val="22"/>
        </w:rPr>
        <w:t>Services</w:t>
      </w:r>
      <w:r>
        <w:rPr>
          <w:spacing w:val="-2"/>
          <w:sz w:val="22"/>
        </w:rPr>
        <w:t> </w:t>
      </w:r>
      <w:r>
        <w:rPr>
          <w:sz w:val="22"/>
        </w:rPr>
        <w:t>has</w:t>
      </w:r>
      <w:r>
        <w:rPr>
          <w:spacing w:val="-2"/>
          <w:sz w:val="22"/>
        </w:rPr>
        <w:t> </w:t>
      </w:r>
      <w:r>
        <w:rPr>
          <w:sz w:val="22"/>
        </w:rPr>
        <w:t>suggested</w:t>
      </w:r>
      <w:r>
        <w:rPr>
          <w:spacing w:val="-4"/>
          <w:sz w:val="22"/>
        </w:rPr>
        <w:t> </w:t>
      </w:r>
      <w:r>
        <w:rPr>
          <w:sz w:val="22"/>
        </w:rPr>
        <w:t>that</w:t>
      </w:r>
      <w:r>
        <w:rPr>
          <w:spacing w:val="-3"/>
          <w:sz w:val="22"/>
        </w:rPr>
        <w:t> </w:t>
      </w:r>
      <w:r>
        <w:rPr>
          <w:sz w:val="22"/>
        </w:rPr>
        <w:t>the</w:t>
      </w:r>
      <w:r>
        <w:rPr>
          <w:spacing w:val="-1"/>
          <w:sz w:val="22"/>
        </w:rPr>
        <w:t> </w:t>
      </w:r>
      <w:r>
        <w:rPr>
          <w:sz w:val="22"/>
        </w:rPr>
        <w:t>current</w:t>
      </w:r>
      <w:r>
        <w:rPr>
          <w:spacing w:val="-3"/>
          <w:sz w:val="22"/>
        </w:rPr>
        <w:t> </w:t>
      </w:r>
      <w:r>
        <w:rPr>
          <w:sz w:val="22"/>
        </w:rPr>
        <w:t>Electricity</w:t>
      </w:r>
      <w:r>
        <w:rPr>
          <w:spacing w:val="-4"/>
          <w:sz w:val="22"/>
        </w:rPr>
        <w:t> </w:t>
      </w:r>
      <w:r>
        <w:rPr>
          <w:sz w:val="22"/>
        </w:rPr>
        <w:t>Safety</w:t>
      </w:r>
      <w:r>
        <w:rPr>
          <w:spacing w:val="-4"/>
          <w:sz w:val="22"/>
        </w:rPr>
        <w:t> </w:t>
      </w:r>
      <w:r>
        <w:rPr>
          <w:sz w:val="22"/>
        </w:rPr>
        <w:t>Management Scheme process is successful in engendering a robust safety culture as it “</w:t>
      </w:r>
      <w:r>
        <w:rPr>
          <w:i/>
          <w:sz w:val="22"/>
        </w:rPr>
        <w:t>requires active participation in safety culture across all operational levels</w:t>
      </w:r>
      <w:r>
        <w:rPr>
          <w:sz w:val="22"/>
        </w:rPr>
        <w:t>” (AusNet Services, 2017, p. 15).</w:t>
      </w:r>
    </w:p>
    <w:p>
      <w:pPr>
        <w:pStyle w:val="BodyText"/>
        <w:spacing w:before="8"/>
        <w:rPr>
          <w:sz w:val="20"/>
        </w:rPr>
      </w:pPr>
    </w:p>
    <w:p>
      <w:pPr>
        <w:pStyle w:val="BodyText"/>
        <w:spacing w:line="288" w:lineRule="auto"/>
        <w:ind w:left="232" w:right="408"/>
      </w:pPr>
      <w:r>
        <w:rPr/>
        <w:t>Australian</w:t>
      </w:r>
      <w:r>
        <w:rPr>
          <w:spacing w:val="-4"/>
        </w:rPr>
        <w:t> </w:t>
      </w:r>
      <w:r>
        <w:rPr/>
        <w:t>Gas</w:t>
      </w:r>
      <w:r>
        <w:rPr>
          <w:spacing w:val="-2"/>
        </w:rPr>
        <w:t> </w:t>
      </w:r>
      <w:r>
        <w:rPr/>
        <w:t>Networks</w:t>
      </w:r>
      <w:r>
        <w:rPr>
          <w:spacing w:val="-4"/>
        </w:rPr>
        <w:t> </w:t>
      </w:r>
      <w:r>
        <w:rPr/>
        <w:t>has</w:t>
      </w:r>
      <w:r>
        <w:rPr>
          <w:spacing w:val="-1"/>
        </w:rPr>
        <w:t> </w:t>
      </w:r>
      <w:r>
        <w:rPr/>
        <w:t>expressed</w:t>
      </w:r>
      <w:r>
        <w:rPr>
          <w:spacing w:val="-4"/>
        </w:rPr>
        <w:t> </w:t>
      </w:r>
      <w:r>
        <w:rPr/>
        <w:t>the</w:t>
      </w:r>
      <w:r>
        <w:rPr>
          <w:spacing w:val="-4"/>
        </w:rPr>
        <w:t> </w:t>
      </w:r>
      <w:r>
        <w:rPr/>
        <w:t>view</w:t>
      </w:r>
      <w:r>
        <w:rPr>
          <w:spacing w:val="-3"/>
        </w:rPr>
        <w:t> </w:t>
      </w:r>
      <w:r>
        <w:rPr/>
        <w:t>that</w:t>
      </w:r>
      <w:r>
        <w:rPr>
          <w:spacing w:val="-3"/>
        </w:rPr>
        <w:t> </w:t>
      </w:r>
      <w:r>
        <w:rPr/>
        <w:t>apart</w:t>
      </w:r>
      <w:r>
        <w:rPr>
          <w:spacing w:val="-3"/>
        </w:rPr>
        <w:t> </w:t>
      </w:r>
      <w:r>
        <w:rPr/>
        <w:t>from</w:t>
      </w:r>
      <w:r>
        <w:rPr>
          <w:spacing w:val="-3"/>
        </w:rPr>
        <w:t> </w:t>
      </w:r>
      <w:r>
        <w:rPr/>
        <w:t>the</w:t>
      </w:r>
      <w:r>
        <w:rPr>
          <w:spacing w:val="-2"/>
        </w:rPr>
        <w:t> </w:t>
      </w:r>
      <w:r>
        <w:rPr/>
        <w:t>legislative</w:t>
      </w:r>
      <w:r>
        <w:rPr>
          <w:spacing w:val="-2"/>
        </w:rPr>
        <w:t> </w:t>
      </w:r>
      <w:r>
        <w:rPr/>
        <w:t>requirements</w:t>
      </w:r>
      <w:r>
        <w:rPr>
          <w:spacing w:val="-4"/>
        </w:rPr>
        <w:t> </w:t>
      </w:r>
      <w:r>
        <w:rPr/>
        <w:t>to consult with the workforce, it is often the organisation itself that drives a good safety culture:</w:t>
      </w:r>
    </w:p>
    <w:p>
      <w:pPr>
        <w:pStyle w:val="BodyText"/>
        <w:spacing w:before="10"/>
        <w:rPr>
          <w:sz w:val="20"/>
        </w:rPr>
      </w:pPr>
    </w:p>
    <w:p>
      <w:pPr>
        <w:spacing w:line="288" w:lineRule="auto" w:before="1"/>
        <w:ind w:left="799" w:right="877" w:firstLine="0"/>
        <w:jc w:val="left"/>
        <w:rPr>
          <w:sz w:val="22"/>
        </w:rPr>
      </w:pPr>
      <w:r>
        <w:rPr>
          <w:i/>
          <w:sz w:val="22"/>
        </w:rPr>
        <w:t>“… the industry has made significant advancements in safety culture and workforce engagement, and contributed to improvements in the industry Standards AS-4645 and AS-2885. Such improvements have occurred regardless of the regulatory framework, driven</w:t>
      </w:r>
      <w:r>
        <w:rPr>
          <w:i/>
          <w:spacing w:val="-2"/>
          <w:sz w:val="22"/>
        </w:rPr>
        <w:t> </w:t>
      </w:r>
      <w:r>
        <w:rPr>
          <w:i/>
          <w:sz w:val="22"/>
        </w:rPr>
        <w:t>by</w:t>
      </w:r>
      <w:r>
        <w:rPr>
          <w:i/>
          <w:spacing w:val="-4"/>
          <w:sz w:val="22"/>
        </w:rPr>
        <w:t> </w:t>
      </w:r>
      <w:r>
        <w:rPr>
          <w:i/>
          <w:sz w:val="22"/>
        </w:rPr>
        <w:t>the</w:t>
      </w:r>
      <w:r>
        <w:rPr>
          <w:i/>
          <w:spacing w:val="-4"/>
          <w:sz w:val="22"/>
        </w:rPr>
        <w:t> </w:t>
      </w:r>
      <w:r>
        <w:rPr>
          <w:i/>
          <w:sz w:val="22"/>
        </w:rPr>
        <w:t>desire</w:t>
      </w:r>
      <w:r>
        <w:rPr>
          <w:i/>
          <w:spacing w:val="-4"/>
          <w:sz w:val="22"/>
        </w:rPr>
        <w:t> </w:t>
      </w:r>
      <w:r>
        <w:rPr>
          <w:i/>
          <w:sz w:val="22"/>
        </w:rPr>
        <w:t>of</w:t>
      </w:r>
      <w:r>
        <w:rPr>
          <w:i/>
          <w:spacing w:val="-3"/>
          <w:sz w:val="22"/>
        </w:rPr>
        <w:t> </w:t>
      </w:r>
      <w:r>
        <w:rPr>
          <w:i/>
          <w:sz w:val="22"/>
        </w:rPr>
        <w:t>businesses</w:t>
      </w:r>
      <w:r>
        <w:rPr>
          <w:i/>
          <w:spacing w:val="-2"/>
          <w:sz w:val="22"/>
        </w:rPr>
        <w:t> </w:t>
      </w:r>
      <w:r>
        <w:rPr>
          <w:i/>
          <w:sz w:val="22"/>
        </w:rPr>
        <w:t>(particularly</w:t>
      </w:r>
      <w:r>
        <w:rPr>
          <w:i/>
          <w:spacing w:val="-4"/>
          <w:sz w:val="22"/>
        </w:rPr>
        <w:t> </w:t>
      </w:r>
      <w:r>
        <w:rPr>
          <w:i/>
          <w:sz w:val="22"/>
        </w:rPr>
        <w:t>distribution</w:t>
      </w:r>
      <w:r>
        <w:rPr>
          <w:i/>
          <w:spacing w:val="-4"/>
          <w:sz w:val="22"/>
        </w:rPr>
        <w:t> </w:t>
      </w:r>
      <w:r>
        <w:rPr>
          <w:i/>
          <w:sz w:val="22"/>
        </w:rPr>
        <w:t>businesses),</w:t>
      </w:r>
      <w:r>
        <w:rPr>
          <w:i/>
          <w:spacing w:val="-3"/>
          <w:sz w:val="22"/>
        </w:rPr>
        <w:t> </w:t>
      </w:r>
      <w:r>
        <w:rPr>
          <w:i/>
          <w:sz w:val="22"/>
        </w:rPr>
        <w:t>to</w:t>
      </w:r>
      <w:r>
        <w:rPr>
          <w:i/>
          <w:spacing w:val="-4"/>
          <w:sz w:val="22"/>
        </w:rPr>
        <w:t> </w:t>
      </w:r>
      <w:r>
        <w:rPr>
          <w:i/>
          <w:sz w:val="22"/>
        </w:rPr>
        <w:t>achieve</w:t>
      </w:r>
      <w:r>
        <w:rPr>
          <w:i/>
          <w:spacing w:val="-2"/>
          <w:sz w:val="22"/>
        </w:rPr>
        <w:t> </w:t>
      </w:r>
      <w:r>
        <w:rPr>
          <w:i/>
          <w:sz w:val="22"/>
        </w:rPr>
        <w:t>high levels of safety.” </w:t>
      </w:r>
      <w:r>
        <w:rPr>
          <w:sz w:val="22"/>
        </w:rPr>
        <w:t>(Australian Gas Networks, 2017, p. 3)</w:t>
      </w:r>
    </w:p>
    <w:p>
      <w:pPr>
        <w:pStyle w:val="BodyText"/>
        <w:rPr>
          <w:sz w:val="21"/>
        </w:rPr>
      </w:pPr>
    </w:p>
    <w:p>
      <w:pPr>
        <w:pStyle w:val="BodyText"/>
        <w:spacing w:line="288" w:lineRule="auto"/>
        <w:ind w:left="232" w:right="408"/>
      </w:pPr>
      <w:r>
        <w:rPr/>
        <w:t>Several</w:t>
      </w:r>
      <w:r>
        <w:rPr>
          <w:spacing w:val="-2"/>
        </w:rPr>
        <w:t> </w:t>
      </w:r>
      <w:r>
        <w:rPr/>
        <w:t>other</w:t>
      </w:r>
      <w:r>
        <w:rPr>
          <w:spacing w:val="-1"/>
        </w:rPr>
        <w:t> </w:t>
      </w:r>
      <w:r>
        <w:rPr/>
        <w:t>submissions</w:t>
      </w:r>
      <w:r>
        <w:rPr>
          <w:spacing w:val="-2"/>
        </w:rPr>
        <w:t> </w:t>
      </w:r>
      <w:r>
        <w:rPr/>
        <w:t>to</w:t>
      </w:r>
      <w:r>
        <w:rPr>
          <w:spacing w:val="-4"/>
        </w:rPr>
        <w:t> </w:t>
      </w:r>
      <w:r>
        <w:rPr/>
        <w:t>the</w:t>
      </w:r>
      <w:r>
        <w:rPr>
          <w:spacing w:val="-4"/>
        </w:rPr>
        <w:t> </w:t>
      </w:r>
      <w:r>
        <w:rPr/>
        <w:t>Review</w:t>
      </w:r>
      <w:r>
        <w:rPr>
          <w:spacing w:val="-5"/>
        </w:rPr>
        <w:t> </w:t>
      </w:r>
      <w:r>
        <w:rPr/>
        <w:t>have</w:t>
      </w:r>
      <w:r>
        <w:rPr>
          <w:spacing w:val="-2"/>
        </w:rPr>
        <w:t> </w:t>
      </w:r>
      <w:r>
        <w:rPr/>
        <w:t>also</w:t>
      </w:r>
      <w:r>
        <w:rPr>
          <w:spacing w:val="-2"/>
        </w:rPr>
        <w:t> </w:t>
      </w:r>
      <w:r>
        <w:rPr/>
        <w:t>highlighted</w:t>
      </w:r>
      <w:r>
        <w:rPr>
          <w:spacing w:val="-4"/>
        </w:rPr>
        <w:t> </w:t>
      </w:r>
      <w:r>
        <w:rPr/>
        <w:t>the</w:t>
      </w:r>
      <w:r>
        <w:rPr>
          <w:spacing w:val="-4"/>
        </w:rPr>
        <w:t> </w:t>
      </w:r>
      <w:r>
        <w:rPr/>
        <w:t>belief that</w:t>
      </w:r>
      <w:r>
        <w:rPr>
          <w:spacing w:val="-3"/>
        </w:rPr>
        <w:t> </w:t>
      </w:r>
      <w:r>
        <w:rPr/>
        <w:t>the</w:t>
      </w:r>
      <w:r>
        <w:rPr>
          <w:spacing w:val="-2"/>
        </w:rPr>
        <w:t> </w:t>
      </w:r>
      <w:r>
        <w:rPr/>
        <w:t>current</w:t>
      </w:r>
      <w:r>
        <w:rPr>
          <w:spacing w:val="-3"/>
        </w:rPr>
        <w:t> </w:t>
      </w:r>
      <w:r>
        <w:rPr/>
        <w:t>safety framework is sufficient in promoting a strong safety culture. For instance, APA VTS noted:</w:t>
      </w:r>
    </w:p>
    <w:p>
      <w:pPr>
        <w:pStyle w:val="BodyText"/>
        <w:spacing w:before="8"/>
        <w:rPr>
          <w:sz w:val="20"/>
        </w:rPr>
      </w:pPr>
    </w:p>
    <w:p>
      <w:pPr>
        <w:spacing w:line="288" w:lineRule="auto" w:before="0"/>
        <w:ind w:left="799" w:right="920" w:firstLine="0"/>
        <w:jc w:val="left"/>
        <w:rPr>
          <w:sz w:val="22"/>
        </w:rPr>
      </w:pPr>
      <w:r>
        <w:rPr>
          <w:i/>
          <w:sz w:val="22"/>
        </w:rPr>
        <w:t>“Workforce engagement is well served through the consultation requirements contained</w:t>
      </w:r>
      <w:r>
        <w:rPr>
          <w:i/>
          <w:spacing w:val="-6"/>
          <w:sz w:val="22"/>
        </w:rPr>
        <w:t> </w:t>
      </w:r>
      <w:r>
        <w:rPr>
          <w:i/>
          <w:sz w:val="22"/>
        </w:rPr>
        <w:t>within</w:t>
      </w:r>
      <w:r>
        <w:rPr>
          <w:i/>
          <w:spacing w:val="-4"/>
          <w:sz w:val="22"/>
        </w:rPr>
        <w:t> </w:t>
      </w:r>
      <w:r>
        <w:rPr>
          <w:i/>
          <w:sz w:val="22"/>
        </w:rPr>
        <w:t>occupational</w:t>
      </w:r>
      <w:r>
        <w:rPr>
          <w:i/>
          <w:spacing w:val="-5"/>
          <w:sz w:val="22"/>
        </w:rPr>
        <w:t> </w:t>
      </w:r>
      <w:r>
        <w:rPr>
          <w:i/>
          <w:sz w:val="22"/>
        </w:rPr>
        <w:t>health</w:t>
      </w:r>
      <w:r>
        <w:rPr>
          <w:i/>
          <w:spacing w:val="-4"/>
          <w:sz w:val="22"/>
        </w:rPr>
        <w:t> </w:t>
      </w:r>
      <w:r>
        <w:rPr>
          <w:i/>
          <w:sz w:val="22"/>
        </w:rPr>
        <w:t>and</w:t>
      </w:r>
      <w:r>
        <w:rPr>
          <w:i/>
          <w:spacing w:val="-4"/>
          <w:sz w:val="22"/>
        </w:rPr>
        <w:t> </w:t>
      </w:r>
      <w:r>
        <w:rPr>
          <w:i/>
          <w:sz w:val="22"/>
        </w:rPr>
        <w:t>safety</w:t>
      </w:r>
      <w:r>
        <w:rPr>
          <w:i/>
          <w:spacing w:val="-3"/>
          <w:sz w:val="22"/>
        </w:rPr>
        <w:t> </w:t>
      </w:r>
      <w:r>
        <w:rPr>
          <w:i/>
          <w:sz w:val="22"/>
        </w:rPr>
        <w:t>legislation,</w:t>
      </w:r>
      <w:r>
        <w:rPr>
          <w:i/>
          <w:spacing w:val="-3"/>
          <w:sz w:val="22"/>
        </w:rPr>
        <w:t> </w:t>
      </w:r>
      <w:r>
        <w:rPr>
          <w:i/>
          <w:sz w:val="22"/>
        </w:rPr>
        <w:t>risk</w:t>
      </w:r>
      <w:r>
        <w:rPr>
          <w:i/>
          <w:spacing w:val="-6"/>
          <w:sz w:val="22"/>
        </w:rPr>
        <w:t> </w:t>
      </w:r>
      <w:r>
        <w:rPr>
          <w:i/>
          <w:sz w:val="22"/>
        </w:rPr>
        <w:t>assessment</w:t>
      </w:r>
      <w:r>
        <w:rPr>
          <w:i/>
          <w:spacing w:val="-2"/>
          <w:sz w:val="22"/>
        </w:rPr>
        <w:t> </w:t>
      </w:r>
      <w:r>
        <w:rPr>
          <w:i/>
          <w:sz w:val="22"/>
        </w:rPr>
        <w:t>and</w:t>
      </w:r>
      <w:r>
        <w:rPr>
          <w:i/>
          <w:spacing w:val="-6"/>
          <w:sz w:val="22"/>
        </w:rPr>
        <w:t> </w:t>
      </w:r>
      <w:r>
        <w:rPr>
          <w:i/>
          <w:sz w:val="22"/>
        </w:rPr>
        <w:t>permit to work systems, which are part of the safety management systems and specified within the Safety Case and safety management plans … Whilst never wanting to become complacent, there is already a strong safety leadership culture within the industry, which is demonstrated by</w:t>
      </w:r>
      <w:r>
        <w:rPr>
          <w:i/>
          <w:spacing w:val="-1"/>
          <w:sz w:val="22"/>
        </w:rPr>
        <w:t> </w:t>
      </w:r>
      <w:r>
        <w:rPr>
          <w:i/>
          <w:sz w:val="22"/>
        </w:rPr>
        <w:t>the policies, systems and resources applied by this company and others in the industry. We are not of the view that further regulation is required to strengthen leadership culture.” </w:t>
      </w:r>
      <w:r>
        <w:rPr>
          <w:sz w:val="22"/>
        </w:rPr>
        <w:t>(APA VTS, 2017, p. 4)</w:t>
      </w:r>
    </w:p>
    <w:p>
      <w:pPr>
        <w:pStyle w:val="BodyText"/>
        <w:spacing w:before="10"/>
        <w:rPr>
          <w:sz w:val="20"/>
        </w:rPr>
      </w:pPr>
    </w:p>
    <w:p>
      <w:pPr>
        <w:pStyle w:val="BodyText"/>
        <w:spacing w:line="288" w:lineRule="auto"/>
        <w:ind w:left="232" w:right="374"/>
      </w:pPr>
      <w:r>
        <w:rPr/>
        <w:t>The</w:t>
      </w:r>
      <w:r>
        <w:rPr>
          <w:spacing w:val="-3"/>
        </w:rPr>
        <w:t> </w:t>
      </w:r>
      <w:r>
        <w:rPr/>
        <w:t>Electrical</w:t>
      </w:r>
      <w:r>
        <w:rPr>
          <w:spacing w:val="-4"/>
        </w:rPr>
        <w:t> </w:t>
      </w:r>
      <w:r>
        <w:rPr/>
        <w:t>Trades</w:t>
      </w:r>
      <w:r>
        <w:rPr>
          <w:spacing w:val="-1"/>
        </w:rPr>
        <w:t> </w:t>
      </w:r>
      <w:r>
        <w:rPr/>
        <w:t>Union</w:t>
      </w:r>
      <w:r>
        <w:rPr>
          <w:spacing w:val="-2"/>
        </w:rPr>
        <w:t> </w:t>
      </w:r>
      <w:r>
        <w:rPr/>
        <w:t>noted</w:t>
      </w:r>
      <w:r>
        <w:rPr>
          <w:spacing w:val="-3"/>
        </w:rPr>
        <w:t> </w:t>
      </w:r>
      <w:r>
        <w:rPr/>
        <w:t>there</w:t>
      </w:r>
      <w:r>
        <w:rPr>
          <w:spacing w:val="-4"/>
        </w:rPr>
        <w:t> </w:t>
      </w:r>
      <w:r>
        <w:rPr/>
        <w:t>needs</w:t>
      </w:r>
      <w:r>
        <w:rPr>
          <w:spacing w:val="-3"/>
        </w:rPr>
        <w:t> </w:t>
      </w:r>
      <w:r>
        <w:rPr/>
        <w:t>to</w:t>
      </w:r>
      <w:r>
        <w:rPr>
          <w:spacing w:val="-5"/>
        </w:rPr>
        <w:t> </w:t>
      </w:r>
      <w:r>
        <w:rPr/>
        <w:t>be</w:t>
      </w:r>
      <w:r>
        <w:rPr>
          <w:spacing w:val="-2"/>
        </w:rPr>
        <w:t> </w:t>
      </w:r>
      <w:r>
        <w:rPr/>
        <w:t>an</w:t>
      </w:r>
      <w:r>
        <w:rPr>
          <w:spacing w:val="-2"/>
        </w:rPr>
        <w:t> </w:t>
      </w:r>
      <w:r>
        <w:rPr/>
        <w:t>avenue</w:t>
      </w:r>
      <w:r>
        <w:rPr>
          <w:spacing w:val="-3"/>
        </w:rPr>
        <w:t> </w:t>
      </w:r>
      <w:r>
        <w:rPr/>
        <w:t>for</w:t>
      </w:r>
      <w:r>
        <w:rPr>
          <w:spacing w:val="-1"/>
        </w:rPr>
        <w:t> </w:t>
      </w:r>
      <w:r>
        <w:rPr/>
        <w:t>workers</w:t>
      </w:r>
      <w:r>
        <w:rPr>
          <w:spacing w:val="-1"/>
        </w:rPr>
        <w:t> </w:t>
      </w:r>
      <w:r>
        <w:rPr/>
        <w:t>to</w:t>
      </w:r>
      <w:r>
        <w:rPr>
          <w:spacing w:val="-3"/>
        </w:rPr>
        <w:t> </w:t>
      </w:r>
      <w:r>
        <w:rPr/>
        <w:t>raise</w:t>
      </w:r>
      <w:r>
        <w:rPr>
          <w:spacing w:val="-4"/>
        </w:rPr>
        <w:t> </w:t>
      </w:r>
      <w:r>
        <w:rPr/>
        <w:t>safety </w:t>
      </w:r>
      <w:r>
        <w:rPr>
          <w:spacing w:val="-2"/>
        </w:rPr>
        <w:t>concerns:</w:t>
      </w:r>
    </w:p>
    <w:p>
      <w:pPr>
        <w:pStyle w:val="BodyText"/>
        <w:spacing w:before="10"/>
        <w:rPr>
          <w:sz w:val="20"/>
        </w:rPr>
      </w:pPr>
    </w:p>
    <w:p>
      <w:pPr>
        <w:spacing w:line="288" w:lineRule="auto" w:before="0"/>
        <w:ind w:left="799" w:right="868" w:firstLine="0"/>
        <w:jc w:val="left"/>
        <w:rPr>
          <w:sz w:val="22"/>
        </w:rPr>
      </w:pPr>
      <w:r>
        <w:rPr>
          <w:i/>
          <w:sz w:val="22"/>
        </w:rPr>
        <w:t>“One</w:t>
      </w:r>
      <w:r>
        <w:rPr>
          <w:i/>
          <w:spacing w:val="-4"/>
          <w:sz w:val="22"/>
        </w:rPr>
        <w:t> </w:t>
      </w:r>
      <w:r>
        <w:rPr>
          <w:i/>
          <w:sz w:val="22"/>
        </w:rPr>
        <w:t>of</w:t>
      </w:r>
      <w:r>
        <w:rPr>
          <w:i/>
          <w:spacing w:val="-3"/>
          <w:sz w:val="22"/>
        </w:rPr>
        <w:t> </w:t>
      </w:r>
      <w:r>
        <w:rPr>
          <w:i/>
          <w:sz w:val="22"/>
        </w:rPr>
        <w:t>the</w:t>
      </w:r>
      <w:r>
        <w:rPr>
          <w:i/>
          <w:spacing w:val="-4"/>
          <w:sz w:val="22"/>
        </w:rPr>
        <w:t> </w:t>
      </w:r>
      <w:r>
        <w:rPr>
          <w:i/>
          <w:sz w:val="22"/>
        </w:rPr>
        <w:t>biggest</w:t>
      </w:r>
      <w:r>
        <w:rPr>
          <w:i/>
          <w:spacing w:val="-3"/>
          <w:sz w:val="22"/>
        </w:rPr>
        <w:t> </w:t>
      </w:r>
      <w:r>
        <w:rPr>
          <w:i/>
          <w:sz w:val="22"/>
        </w:rPr>
        <w:t>current</w:t>
      </w:r>
      <w:r>
        <w:rPr>
          <w:i/>
          <w:spacing w:val="-1"/>
          <w:sz w:val="22"/>
        </w:rPr>
        <w:t> </w:t>
      </w:r>
      <w:r>
        <w:rPr>
          <w:i/>
          <w:sz w:val="22"/>
        </w:rPr>
        <w:t>concerns</w:t>
      </w:r>
      <w:r>
        <w:rPr>
          <w:i/>
          <w:spacing w:val="-4"/>
          <w:sz w:val="22"/>
        </w:rPr>
        <w:t> </w:t>
      </w:r>
      <w:r>
        <w:rPr>
          <w:i/>
          <w:sz w:val="22"/>
        </w:rPr>
        <w:t>of</w:t>
      </w:r>
      <w:r>
        <w:rPr>
          <w:i/>
          <w:spacing w:val="-3"/>
          <w:sz w:val="22"/>
        </w:rPr>
        <w:t> </w:t>
      </w:r>
      <w:r>
        <w:rPr>
          <w:i/>
          <w:sz w:val="22"/>
        </w:rPr>
        <w:t>the</w:t>
      </w:r>
      <w:r>
        <w:rPr>
          <w:i/>
          <w:spacing w:val="-4"/>
          <w:sz w:val="22"/>
        </w:rPr>
        <w:t> </w:t>
      </w:r>
      <w:r>
        <w:rPr>
          <w:i/>
          <w:sz w:val="22"/>
        </w:rPr>
        <w:t>Lineworkers</w:t>
      </w:r>
      <w:r>
        <w:rPr>
          <w:i/>
          <w:spacing w:val="-3"/>
          <w:sz w:val="22"/>
        </w:rPr>
        <w:t> </w:t>
      </w:r>
      <w:r>
        <w:rPr>
          <w:i/>
          <w:sz w:val="22"/>
        </w:rPr>
        <w:t>maintaining</w:t>
      </w:r>
      <w:r>
        <w:rPr>
          <w:i/>
          <w:spacing w:val="-2"/>
          <w:sz w:val="22"/>
        </w:rPr>
        <w:t> </w:t>
      </w:r>
      <w:r>
        <w:rPr>
          <w:i/>
          <w:sz w:val="22"/>
        </w:rPr>
        <w:t>Victorian</w:t>
      </w:r>
      <w:r>
        <w:rPr>
          <w:i/>
          <w:spacing w:val="-2"/>
          <w:sz w:val="22"/>
        </w:rPr>
        <w:t> </w:t>
      </w:r>
      <w:r>
        <w:rPr>
          <w:i/>
          <w:sz w:val="22"/>
        </w:rPr>
        <w:t>networks is that they have been and are increasingly being prevented from raising, reporting or rectifying identified safety issues – that have a high probability of causing harm in the near future.” </w:t>
      </w:r>
      <w:r>
        <w:rPr>
          <w:sz w:val="22"/>
        </w:rPr>
        <w:t>(Electrical Trades Union, 2017, p. 35)</w:t>
      </w:r>
    </w:p>
    <w:p>
      <w:pPr>
        <w:pStyle w:val="BodyText"/>
        <w:spacing w:before="10"/>
        <w:rPr>
          <w:sz w:val="20"/>
        </w:rPr>
      </w:pPr>
    </w:p>
    <w:p>
      <w:pPr>
        <w:pStyle w:val="BodyText"/>
        <w:spacing w:line="288" w:lineRule="auto" w:before="1"/>
        <w:ind w:left="232"/>
      </w:pPr>
      <w:r>
        <w:rPr/>
        <w:t>It is evident that effective workforce engagement requires continuing focus and attention. Open dialogue</w:t>
      </w:r>
      <w:r>
        <w:rPr>
          <w:spacing w:val="-2"/>
        </w:rPr>
        <w:t> </w:t>
      </w:r>
      <w:r>
        <w:rPr/>
        <w:t>is</w:t>
      </w:r>
      <w:r>
        <w:rPr>
          <w:spacing w:val="-1"/>
        </w:rPr>
        <w:t> </w:t>
      </w:r>
      <w:r>
        <w:rPr/>
        <w:t>needed</w:t>
      </w:r>
      <w:r>
        <w:rPr>
          <w:spacing w:val="-4"/>
        </w:rPr>
        <w:t> </w:t>
      </w:r>
      <w:r>
        <w:rPr/>
        <w:t>to</w:t>
      </w:r>
      <w:r>
        <w:rPr>
          <w:spacing w:val="-4"/>
        </w:rPr>
        <w:t> </w:t>
      </w:r>
      <w:r>
        <w:rPr/>
        <w:t>ensure</w:t>
      </w:r>
      <w:r>
        <w:rPr>
          <w:spacing w:val="-1"/>
        </w:rPr>
        <w:t> </w:t>
      </w:r>
      <w:r>
        <w:rPr/>
        <w:t>any</w:t>
      </w:r>
      <w:r>
        <w:rPr>
          <w:spacing w:val="-6"/>
        </w:rPr>
        <w:t> </w:t>
      </w:r>
      <w:r>
        <w:rPr/>
        <w:t>gaps</w:t>
      </w:r>
      <w:r>
        <w:rPr>
          <w:spacing w:val="-4"/>
        </w:rPr>
        <w:t> </w:t>
      </w:r>
      <w:r>
        <w:rPr/>
        <w:t>are</w:t>
      </w:r>
      <w:r>
        <w:rPr>
          <w:spacing w:val="-4"/>
        </w:rPr>
        <w:t> </w:t>
      </w:r>
      <w:r>
        <w:rPr/>
        <w:t>addressed. A</w:t>
      </w:r>
      <w:r>
        <w:rPr>
          <w:spacing w:val="-7"/>
        </w:rPr>
        <w:t> </w:t>
      </w:r>
      <w:r>
        <w:rPr/>
        <w:t>greater</w:t>
      </w:r>
      <w:r>
        <w:rPr>
          <w:spacing w:val="-3"/>
        </w:rPr>
        <w:t> </w:t>
      </w:r>
      <w:r>
        <w:rPr/>
        <w:t>emphasis</w:t>
      </w:r>
      <w:r>
        <w:rPr>
          <w:spacing w:val="-1"/>
        </w:rPr>
        <w:t> </w:t>
      </w:r>
      <w:r>
        <w:rPr/>
        <w:t>should</w:t>
      </w:r>
      <w:r>
        <w:rPr>
          <w:spacing w:val="-2"/>
        </w:rPr>
        <w:t> </w:t>
      </w:r>
      <w:r>
        <w:rPr/>
        <w:t>be</w:t>
      </w:r>
      <w:r>
        <w:rPr>
          <w:spacing w:val="-4"/>
        </w:rPr>
        <w:t> </w:t>
      </w:r>
      <w:r>
        <w:rPr/>
        <w:t>placed</w:t>
      </w:r>
      <w:r>
        <w:rPr>
          <w:spacing w:val="-2"/>
        </w:rPr>
        <w:t> </w:t>
      </w:r>
      <w:r>
        <w:rPr/>
        <w:t>on considering</w:t>
      </w:r>
      <w:r>
        <w:rPr>
          <w:spacing w:val="-3"/>
        </w:rPr>
        <w:t> </w:t>
      </w:r>
      <w:r>
        <w:rPr/>
        <w:t>leading</w:t>
      </w:r>
      <w:r>
        <w:rPr>
          <w:spacing w:val="-3"/>
        </w:rPr>
        <w:t> </w:t>
      </w:r>
      <w:r>
        <w:rPr/>
        <w:t>practices</w:t>
      </w:r>
      <w:r>
        <w:rPr>
          <w:spacing w:val="-5"/>
        </w:rPr>
        <w:t> </w:t>
      </w:r>
      <w:r>
        <w:rPr/>
        <w:t>from</w:t>
      </w:r>
      <w:r>
        <w:rPr>
          <w:spacing w:val="-4"/>
        </w:rPr>
        <w:t> </w:t>
      </w:r>
      <w:r>
        <w:rPr/>
        <w:t>other</w:t>
      </w:r>
      <w:r>
        <w:rPr>
          <w:spacing w:val="-2"/>
        </w:rPr>
        <w:t> </w:t>
      </w:r>
      <w:r>
        <w:rPr/>
        <w:t>industries</w:t>
      </w:r>
      <w:r>
        <w:rPr>
          <w:spacing w:val="-2"/>
        </w:rPr>
        <w:t> </w:t>
      </w:r>
      <w:r>
        <w:rPr/>
        <w:t>and</w:t>
      </w:r>
      <w:r>
        <w:rPr>
          <w:spacing w:val="-5"/>
        </w:rPr>
        <w:t> </w:t>
      </w:r>
      <w:r>
        <w:rPr/>
        <w:t>jurisdictions</w:t>
      </w:r>
      <w:r>
        <w:rPr>
          <w:spacing w:val="-2"/>
        </w:rPr>
        <w:t> </w:t>
      </w:r>
      <w:r>
        <w:rPr/>
        <w:t>to</w:t>
      </w:r>
      <w:r>
        <w:rPr>
          <w:spacing w:val="-5"/>
        </w:rPr>
        <w:t> </w:t>
      </w:r>
      <w:r>
        <w:rPr/>
        <w:t>promote</w:t>
      </w:r>
      <w:r>
        <w:rPr>
          <w:spacing w:val="-5"/>
        </w:rPr>
        <w:t> </w:t>
      </w:r>
      <w:r>
        <w:rPr/>
        <w:t>active</w:t>
      </w:r>
      <w:r>
        <w:rPr>
          <w:spacing w:val="-3"/>
        </w:rPr>
        <w:t> </w:t>
      </w:r>
      <w:r>
        <w:rPr/>
        <w:t>workforce engagement. In the Review’s assessment, more could be done in this area.</w:t>
      </w:r>
    </w:p>
    <w:p>
      <w:pPr>
        <w:pStyle w:val="BodyText"/>
        <w:spacing w:before="10"/>
        <w:rPr>
          <w:sz w:val="20"/>
        </w:rPr>
      </w:pPr>
    </w:p>
    <w:p>
      <w:pPr>
        <w:pStyle w:val="BodyText"/>
        <w:spacing w:line="288" w:lineRule="auto"/>
        <w:ind w:left="232" w:right="306"/>
      </w:pPr>
      <w:r>
        <w:rPr/>
        <w:t>There are</w:t>
      </w:r>
      <w:r>
        <w:rPr>
          <w:spacing w:val="-1"/>
        </w:rPr>
        <w:t> </w:t>
      </w:r>
      <w:r>
        <w:rPr/>
        <w:t>some</w:t>
      </w:r>
      <w:r>
        <w:rPr>
          <w:spacing w:val="-1"/>
        </w:rPr>
        <w:t> </w:t>
      </w:r>
      <w:r>
        <w:rPr/>
        <w:t>examples of effective</w:t>
      </w:r>
      <w:r>
        <w:rPr>
          <w:spacing w:val="-1"/>
        </w:rPr>
        <w:t> </w:t>
      </w:r>
      <w:r>
        <w:rPr/>
        <w:t>workforce</w:t>
      </w:r>
      <w:r>
        <w:rPr>
          <w:spacing w:val="-1"/>
        </w:rPr>
        <w:t> </w:t>
      </w:r>
      <w:r>
        <w:rPr/>
        <w:t>engagement</w:t>
      </w:r>
      <w:r>
        <w:rPr>
          <w:spacing w:val="-2"/>
        </w:rPr>
        <w:t> </w:t>
      </w:r>
      <w:r>
        <w:rPr/>
        <w:t>to</w:t>
      </w:r>
      <w:r>
        <w:rPr>
          <w:spacing w:val="-3"/>
        </w:rPr>
        <w:t> </w:t>
      </w:r>
      <w:r>
        <w:rPr/>
        <w:t>promote</w:t>
      </w:r>
      <w:r>
        <w:rPr>
          <w:spacing w:val="-1"/>
        </w:rPr>
        <w:t> </w:t>
      </w:r>
      <w:r>
        <w:rPr/>
        <w:t>safety, including</w:t>
      </w:r>
      <w:r>
        <w:rPr>
          <w:spacing w:val="-3"/>
        </w:rPr>
        <w:t> </w:t>
      </w:r>
      <w:r>
        <w:rPr/>
        <w:t>the</w:t>
      </w:r>
      <w:r>
        <w:rPr>
          <w:spacing w:val="-1"/>
        </w:rPr>
        <w:t> </w:t>
      </w:r>
      <w:r>
        <w:rPr/>
        <w:t>non- profit</w:t>
      </w:r>
      <w:r>
        <w:rPr>
          <w:spacing w:val="-2"/>
        </w:rPr>
        <w:t> </w:t>
      </w:r>
      <w:r>
        <w:rPr>
          <w:i/>
        </w:rPr>
        <w:t>Step</w:t>
      </w:r>
      <w:r>
        <w:rPr>
          <w:i/>
          <w:spacing w:val="-4"/>
        </w:rPr>
        <w:t> </w:t>
      </w:r>
      <w:r>
        <w:rPr>
          <w:i/>
        </w:rPr>
        <w:t>Change</w:t>
      </w:r>
      <w:r>
        <w:rPr>
          <w:i/>
          <w:spacing w:val="-2"/>
        </w:rPr>
        <w:t> </w:t>
      </w:r>
      <w:r>
        <w:rPr>
          <w:i/>
        </w:rPr>
        <w:t>in</w:t>
      </w:r>
      <w:r>
        <w:rPr>
          <w:i/>
          <w:spacing w:val="-2"/>
        </w:rPr>
        <w:t> </w:t>
      </w:r>
      <w:r>
        <w:rPr>
          <w:i/>
        </w:rPr>
        <w:t>Safety</w:t>
      </w:r>
      <w:r>
        <w:rPr>
          <w:i/>
          <w:spacing w:val="-3"/>
        </w:rPr>
        <w:t> </w:t>
      </w:r>
      <w:r>
        <w:rPr>
          <w:i/>
        </w:rPr>
        <w:t>Organisation</w:t>
      </w:r>
      <w:r>
        <w:rPr>
          <w:i/>
          <w:spacing w:val="-3"/>
        </w:rPr>
        <w:t> </w:t>
      </w:r>
      <w:r>
        <w:rPr/>
        <w:t>that operates</w:t>
      </w:r>
      <w:r>
        <w:rPr>
          <w:spacing w:val="-4"/>
        </w:rPr>
        <w:t> </w:t>
      </w:r>
      <w:r>
        <w:rPr/>
        <w:t>in</w:t>
      </w:r>
      <w:r>
        <w:rPr>
          <w:spacing w:val="-2"/>
        </w:rPr>
        <w:t> </w:t>
      </w:r>
      <w:r>
        <w:rPr/>
        <w:t>the</w:t>
      </w:r>
      <w:r>
        <w:rPr>
          <w:spacing w:val="-4"/>
        </w:rPr>
        <w:t> </w:t>
      </w:r>
      <w:r>
        <w:rPr/>
        <w:t>United</w:t>
      </w:r>
      <w:r>
        <w:rPr>
          <w:spacing w:val="-4"/>
        </w:rPr>
        <w:t> </w:t>
      </w:r>
      <w:r>
        <w:rPr/>
        <w:t>Kingdom</w:t>
      </w:r>
      <w:r>
        <w:rPr>
          <w:spacing w:val="-3"/>
        </w:rPr>
        <w:t> </w:t>
      </w:r>
      <w:r>
        <w:rPr/>
        <w:t>to</w:t>
      </w:r>
      <w:r>
        <w:rPr>
          <w:spacing w:val="-2"/>
        </w:rPr>
        <w:t> </w:t>
      </w:r>
      <w:r>
        <w:rPr/>
        <w:t>promote</w:t>
      </w:r>
      <w:r>
        <w:rPr>
          <w:spacing w:val="-4"/>
        </w:rPr>
        <w:t> </w:t>
      </w:r>
      <w:r>
        <w:rPr/>
        <w:t>safety</w:t>
      </w:r>
      <w:r>
        <w:rPr>
          <w:spacing w:val="-4"/>
        </w:rPr>
        <w:t> </w:t>
      </w:r>
      <w:r>
        <w:rPr/>
        <w:t>in the offshore oil industry. This initiative brings together operators, contractors, trade unions, regulators and the workforce, all working together to promote safety. The United Kingdom regulator, Health and Safety Executive is actively engaged.</w:t>
      </w:r>
    </w:p>
    <w:p>
      <w:pPr>
        <w:spacing w:after="0" w:line="288" w:lineRule="auto"/>
        <w:sectPr>
          <w:pgSz w:w="11910" w:h="16850"/>
          <w:pgMar w:header="220" w:footer="678" w:top="420" w:bottom="860" w:left="900" w:right="840"/>
        </w:sectPr>
      </w:pPr>
    </w:p>
    <w:p>
      <w:pPr>
        <w:pStyle w:val="BodyText"/>
        <w:rPr>
          <w:sz w:val="20"/>
        </w:rPr>
      </w:pPr>
    </w:p>
    <w:p>
      <w:pPr>
        <w:pStyle w:val="BodyText"/>
        <w:spacing w:before="2"/>
        <w:rPr>
          <w:sz w:val="19"/>
        </w:rPr>
      </w:pPr>
    </w:p>
    <w:p>
      <w:pPr>
        <w:pStyle w:val="BodyText"/>
        <w:spacing w:line="288" w:lineRule="auto" w:before="94"/>
        <w:ind w:left="232" w:right="374"/>
      </w:pPr>
      <w:r>
        <w:rPr/>
        <w:t>There are also several examples of industry-led initiatives to promote safety cultures in other sectors,</w:t>
      </w:r>
      <w:r>
        <w:rPr>
          <w:spacing w:val="-4"/>
        </w:rPr>
        <w:t> </w:t>
      </w:r>
      <w:r>
        <w:rPr/>
        <w:t>and</w:t>
      </w:r>
      <w:r>
        <w:rPr>
          <w:spacing w:val="-3"/>
        </w:rPr>
        <w:t> </w:t>
      </w:r>
      <w:r>
        <w:rPr/>
        <w:t>states,</w:t>
      </w:r>
      <w:r>
        <w:rPr>
          <w:spacing w:val="-4"/>
        </w:rPr>
        <w:t> </w:t>
      </w:r>
      <w:r>
        <w:rPr/>
        <w:t>including</w:t>
      </w:r>
      <w:r>
        <w:rPr>
          <w:spacing w:val="-3"/>
        </w:rPr>
        <w:t> </w:t>
      </w:r>
      <w:r>
        <w:rPr/>
        <w:t>the</w:t>
      </w:r>
      <w:r>
        <w:rPr>
          <w:spacing w:val="-1"/>
        </w:rPr>
        <w:t> </w:t>
      </w:r>
      <w:r>
        <w:rPr>
          <w:i/>
        </w:rPr>
        <w:t>Safer</w:t>
      </w:r>
      <w:r>
        <w:rPr>
          <w:i/>
          <w:spacing w:val="-4"/>
        </w:rPr>
        <w:t> </w:t>
      </w:r>
      <w:r>
        <w:rPr>
          <w:i/>
        </w:rPr>
        <w:t>Together</w:t>
      </w:r>
      <w:r>
        <w:rPr>
          <w:i/>
          <w:spacing w:val="-1"/>
        </w:rPr>
        <w:t> </w:t>
      </w:r>
      <w:r>
        <w:rPr/>
        <w:t>initiative</w:t>
      </w:r>
      <w:r>
        <w:rPr>
          <w:spacing w:val="-3"/>
        </w:rPr>
        <w:t> </w:t>
      </w:r>
      <w:r>
        <w:rPr/>
        <w:t>in</w:t>
      </w:r>
      <w:r>
        <w:rPr>
          <w:spacing w:val="-3"/>
        </w:rPr>
        <w:t> </w:t>
      </w:r>
      <w:r>
        <w:rPr/>
        <w:t>the</w:t>
      </w:r>
      <w:r>
        <w:rPr>
          <w:spacing w:val="-3"/>
        </w:rPr>
        <w:t> </w:t>
      </w:r>
      <w:r>
        <w:rPr/>
        <w:t>natural</w:t>
      </w:r>
      <w:r>
        <w:rPr>
          <w:spacing w:val="-5"/>
        </w:rPr>
        <w:t> </w:t>
      </w:r>
      <w:r>
        <w:rPr/>
        <w:t>gas</w:t>
      </w:r>
      <w:r>
        <w:rPr>
          <w:spacing w:val="-2"/>
        </w:rPr>
        <w:t> </w:t>
      </w:r>
      <w:r>
        <w:rPr/>
        <w:t>sector</w:t>
      </w:r>
      <w:r>
        <w:rPr>
          <w:spacing w:val="-4"/>
        </w:rPr>
        <w:t> </w:t>
      </w:r>
      <w:r>
        <w:rPr/>
        <w:t>in</w:t>
      </w:r>
      <w:r>
        <w:rPr>
          <w:spacing w:val="-3"/>
        </w:rPr>
        <w:t> </w:t>
      </w:r>
      <w:r>
        <w:rPr/>
        <w:t>Queensland.</w:t>
      </w:r>
    </w:p>
    <w:p>
      <w:pPr>
        <w:pStyle w:val="BodyText"/>
        <w:spacing w:before="10"/>
        <w:rPr>
          <w:sz w:val="20"/>
        </w:rPr>
      </w:pPr>
    </w:p>
    <w:p>
      <w:pPr>
        <w:pStyle w:val="BodyText"/>
        <w:spacing w:line="288" w:lineRule="auto" w:before="1"/>
        <w:ind w:left="232"/>
      </w:pPr>
      <w:r>
        <w:rPr/>
        <w:t>None</w:t>
      </w:r>
      <w:r>
        <w:rPr>
          <w:spacing w:val="-2"/>
        </w:rPr>
        <w:t> </w:t>
      </w:r>
      <w:r>
        <w:rPr/>
        <w:t>of the</w:t>
      </w:r>
      <w:r>
        <w:rPr>
          <w:spacing w:val="-4"/>
        </w:rPr>
        <w:t> </w:t>
      </w:r>
      <w:r>
        <w:rPr/>
        <w:t>many</w:t>
      </w:r>
      <w:r>
        <w:rPr>
          <w:spacing w:val="-4"/>
        </w:rPr>
        <w:t> </w:t>
      </w:r>
      <w:r>
        <w:rPr/>
        <w:t>workforce</w:t>
      </w:r>
      <w:r>
        <w:rPr>
          <w:spacing w:val="-2"/>
        </w:rPr>
        <w:t> </w:t>
      </w:r>
      <w:r>
        <w:rPr/>
        <w:t>engagement</w:t>
      </w:r>
      <w:r>
        <w:rPr>
          <w:spacing w:val="-5"/>
        </w:rPr>
        <w:t> </w:t>
      </w:r>
      <w:r>
        <w:rPr/>
        <w:t>models</w:t>
      </w:r>
      <w:r>
        <w:rPr>
          <w:spacing w:val="-4"/>
        </w:rPr>
        <w:t> </w:t>
      </w:r>
      <w:r>
        <w:rPr/>
        <w:t>adopted</w:t>
      </w:r>
      <w:r>
        <w:rPr>
          <w:spacing w:val="-2"/>
        </w:rPr>
        <w:t> </w:t>
      </w:r>
      <w:r>
        <w:rPr/>
        <w:t>in</w:t>
      </w:r>
      <w:r>
        <w:rPr>
          <w:spacing w:val="-2"/>
        </w:rPr>
        <w:t> </w:t>
      </w:r>
      <w:r>
        <w:rPr/>
        <w:t>other</w:t>
      </w:r>
      <w:r>
        <w:rPr>
          <w:spacing w:val="-3"/>
        </w:rPr>
        <w:t> </w:t>
      </w:r>
      <w:r>
        <w:rPr/>
        <w:t>countries</w:t>
      </w:r>
      <w:r>
        <w:rPr>
          <w:spacing w:val="-1"/>
        </w:rPr>
        <w:t> </w:t>
      </w:r>
      <w:r>
        <w:rPr/>
        <w:t>or</w:t>
      </w:r>
      <w:r>
        <w:rPr>
          <w:spacing w:val="-3"/>
        </w:rPr>
        <w:t> </w:t>
      </w:r>
      <w:r>
        <w:rPr/>
        <w:t>industries</w:t>
      </w:r>
      <w:r>
        <w:rPr>
          <w:spacing w:val="-4"/>
        </w:rPr>
        <w:t> </w:t>
      </w:r>
      <w:r>
        <w:rPr/>
        <w:t>may</w:t>
      </w:r>
      <w:r>
        <w:rPr>
          <w:spacing w:val="-4"/>
        </w:rPr>
        <w:t> </w:t>
      </w:r>
      <w:r>
        <w:rPr/>
        <w:t>be precisely appropriate for electricity and gas networks in Victoria, however, each may offer some approaches that, suitably adapted, could be adopted in Victoria.</w:t>
      </w:r>
    </w:p>
    <w:p>
      <w:pPr>
        <w:pStyle w:val="BodyText"/>
        <w:spacing w:before="2"/>
        <w:rPr>
          <w:sz w:val="31"/>
        </w:rPr>
      </w:pPr>
    </w:p>
    <w:p>
      <w:pPr>
        <w:pStyle w:val="Heading4"/>
        <w:spacing w:before="0"/>
      </w:pPr>
      <w:r>
        <w:rPr>
          <w:color w:val="585858"/>
        </w:rPr>
        <w:t>Strengthening</w:t>
      </w:r>
      <w:r>
        <w:rPr>
          <w:color w:val="585858"/>
          <w:spacing w:val="-19"/>
        </w:rPr>
        <w:t> </w:t>
      </w:r>
      <w:r>
        <w:rPr>
          <w:color w:val="585858"/>
        </w:rPr>
        <w:t>workforce</w:t>
      </w:r>
      <w:r>
        <w:rPr>
          <w:color w:val="585858"/>
          <w:spacing w:val="-19"/>
        </w:rPr>
        <w:t> </w:t>
      </w:r>
      <w:r>
        <w:rPr>
          <w:color w:val="585858"/>
          <w:spacing w:val="-2"/>
        </w:rPr>
        <w:t>engagement</w:t>
      </w:r>
    </w:p>
    <w:p>
      <w:pPr>
        <w:pStyle w:val="BodyText"/>
        <w:spacing w:line="288" w:lineRule="auto" w:before="314"/>
        <w:ind w:left="232" w:right="320"/>
      </w:pPr>
      <w:r>
        <w:rPr/>
        <w:t>Looking</w:t>
      </w:r>
      <w:r>
        <w:rPr>
          <w:spacing w:val="-2"/>
        </w:rPr>
        <w:t> </w:t>
      </w:r>
      <w:r>
        <w:rPr/>
        <w:t>to</w:t>
      </w:r>
      <w:r>
        <w:rPr>
          <w:spacing w:val="-4"/>
        </w:rPr>
        <w:t> </w:t>
      </w:r>
      <w:r>
        <w:rPr/>
        <w:t>the</w:t>
      </w:r>
      <w:r>
        <w:rPr>
          <w:spacing w:val="-7"/>
        </w:rPr>
        <w:t> </w:t>
      </w:r>
      <w:r>
        <w:rPr/>
        <w:t>future</w:t>
      </w:r>
      <w:r>
        <w:rPr>
          <w:spacing w:val="-4"/>
        </w:rPr>
        <w:t> </w:t>
      </w:r>
      <w:r>
        <w:rPr/>
        <w:t>and</w:t>
      </w:r>
      <w:r>
        <w:rPr>
          <w:spacing w:val="-4"/>
        </w:rPr>
        <w:t> </w:t>
      </w:r>
      <w:r>
        <w:rPr/>
        <w:t>the</w:t>
      </w:r>
      <w:r>
        <w:rPr>
          <w:spacing w:val="-4"/>
        </w:rPr>
        <w:t> </w:t>
      </w:r>
      <w:r>
        <w:rPr/>
        <w:t>development of strong</w:t>
      </w:r>
      <w:r>
        <w:rPr>
          <w:spacing w:val="-2"/>
        </w:rPr>
        <w:t> </w:t>
      </w:r>
      <w:r>
        <w:rPr/>
        <w:t>workforce</w:t>
      </w:r>
      <w:r>
        <w:rPr>
          <w:spacing w:val="-4"/>
        </w:rPr>
        <w:t> </w:t>
      </w:r>
      <w:r>
        <w:rPr/>
        <w:t>engagement,</w:t>
      </w:r>
      <w:r>
        <w:rPr>
          <w:spacing w:val="-2"/>
        </w:rPr>
        <w:t> </w:t>
      </w:r>
      <w:r>
        <w:rPr/>
        <w:t>there</w:t>
      </w:r>
      <w:r>
        <w:rPr>
          <w:spacing w:val="-2"/>
        </w:rPr>
        <w:t> </w:t>
      </w:r>
      <w:r>
        <w:rPr/>
        <w:t>are</w:t>
      </w:r>
      <w:r>
        <w:rPr>
          <w:spacing w:val="-2"/>
        </w:rPr>
        <w:t> </w:t>
      </w:r>
      <w:r>
        <w:rPr/>
        <w:t>a</w:t>
      </w:r>
      <w:r>
        <w:rPr>
          <w:spacing w:val="-4"/>
        </w:rPr>
        <w:t> </w:t>
      </w:r>
      <w:r>
        <w:rPr/>
        <w:t>number</w:t>
      </w:r>
      <w:r>
        <w:rPr>
          <w:spacing w:val="-1"/>
        </w:rPr>
        <w:t> </w:t>
      </w:r>
      <w:r>
        <w:rPr/>
        <w:t>of key issues and actions that could be taken:</w:t>
      </w:r>
    </w:p>
    <w:p>
      <w:pPr>
        <w:pStyle w:val="BodyText"/>
        <w:spacing w:before="3"/>
      </w:pPr>
    </w:p>
    <w:p>
      <w:pPr>
        <w:pStyle w:val="ListParagraph"/>
        <w:numPr>
          <w:ilvl w:val="0"/>
          <w:numId w:val="61"/>
        </w:numPr>
        <w:tabs>
          <w:tab w:pos="734" w:val="left" w:leader="none"/>
        </w:tabs>
        <w:spacing w:line="288" w:lineRule="auto" w:before="0" w:after="0"/>
        <w:ind w:left="734" w:right="516" w:hanging="361"/>
        <w:jc w:val="both"/>
        <w:rPr>
          <w:sz w:val="22"/>
        </w:rPr>
      </w:pPr>
      <w:r>
        <w:rPr>
          <w:sz w:val="22"/>
        </w:rPr>
        <w:t>promoting</w:t>
      </w:r>
      <w:r>
        <w:rPr>
          <w:spacing w:val="-5"/>
          <w:sz w:val="22"/>
        </w:rPr>
        <w:t> </w:t>
      </w:r>
      <w:r>
        <w:rPr>
          <w:sz w:val="22"/>
        </w:rPr>
        <w:t>and</w:t>
      </w:r>
      <w:r>
        <w:rPr>
          <w:spacing w:val="-7"/>
          <w:sz w:val="22"/>
        </w:rPr>
        <w:t> </w:t>
      </w:r>
      <w:r>
        <w:rPr>
          <w:sz w:val="22"/>
        </w:rPr>
        <w:t>sharing</w:t>
      </w:r>
      <w:r>
        <w:rPr>
          <w:spacing w:val="-3"/>
          <w:sz w:val="22"/>
        </w:rPr>
        <w:t> </w:t>
      </w:r>
      <w:r>
        <w:rPr>
          <w:sz w:val="22"/>
        </w:rPr>
        <w:t>better</w:t>
      </w:r>
      <w:r>
        <w:rPr>
          <w:spacing w:val="-4"/>
          <w:sz w:val="22"/>
        </w:rPr>
        <w:t> </w:t>
      </w:r>
      <w:r>
        <w:rPr>
          <w:sz w:val="22"/>
        </w:rPr>
        <w:t>engagement</w:t>
      </w:r>
      <w:r>
        <w:rPr>
          <w:spacing w:val="-6"/>
          <w:sz w:val="22"/>
        </w:rPr>
        <w:t> </w:t>
      </w:r>
      <w:r>
        <w:rPr>
          <w:sz w:val="22"/>
        </w:rPr>
        <w:t>practices</w:t>
      </w:r>
      <w:r>
        <w:rPr>
          <w:spacing w:val="-5"/>
          <w:sz w:val="22"/>
        </w:rPr>
        <w:t> </w:t>
      </w:r>
      <w:r>
        <w:rPr>
          <w:sz w:val="22"/>
        </w:rPr>
        <w:t>between</w:t>
      </w:r>
      <w:r>
        <w:rPr>
          <w:spacing w:val="-5"/>
          <w:sz w:val="22"/>
        </w:rPr>
        <w:t> </w:t>
      </w:r>
      <w:r>
        <w:rPr>
          <w:sz w:val="22"/>
        </w:rPr>
        <w:t>network</w:t>
      </w:r>
      <w:r>
        <w:rPr>
          <w:spacing w:val="-2"/>
          <w:sz w:val="22"/>
        </w:rPr>
        <w:t> </w:t>
      </w:r>
      <w:r>
        <w:rPr>
          <w:sz w:val="22"/>
        </w:rPr>
        <w:t>businesses,</w:t>
      </w:r>
      <w:r>
        <w:rPr>
          <w:spacing w:val="-6"/>
          <w:sz w:val="22"/>
        </w:rPr>
        <w:t> </w:t>
      </w:r>
      <w:r>
        <w:rPr>
          <w:sz w:val="22"/>
        </w:rPr>
        <w:t>including those</w:t>
      </w:r>
      <w:r>
        <w:rPr>
          <w:spacing w:val="-3"/>
          <w:sz w:val="22"/>
        </w:rPr>
        <w:t> </w:t>
      </w:r>
      <w:r>
        <w:rPr>
          <w:sz w:val="22"/>
        </w:rPr>
        <w:t>businesses</w:t>
      </w:r>
      <w:r>
        <w:rPr>
          <w:spacing w:val="-5"/>
          <w:sz w:val="22"/>
        </w:rPr>
        <w:t> </w:t>
      </w:r>
      <w:r>
        <w:rPr>
          <w:sz w:val="22"/>
        </w:rPr>
        <w:t>that</w:t>
      </w:r>
      <w:r>
        <w:rPr>
          <w:spacing w:val="-4"/>
          <w:sz w:val="22"/>
        </w:rPr>
        <w:t> </w:t>
      </w:r>
      <w:r>
        <w:rPr>
          <w:sz w:val="22"/>
        </w:rPr>
        <w:t>are</w:t>
      </w:r>
      <w:r>
        <w:rPr>
          <w:spacing w:val="-3"/>
          <w:sz w:val="22"/>
        </w:rPr>
        <w:t> </w:t>
      </w:r>
      <w:r>
        <w:rPr>
          <w:sz w:val="22"/>
        </w:rPr>
        <w:t>more</w:t>
      </w:r>
      <w:r>
        <w:rPr>
          <w:spacing w:val="-3"/>
          <w:sz w:val="22"/>
        </w:rPr>
        <w:t> </w:t>
      </w:r>
      <w:r>
        <w:rPr>
          <w:sz w:val="22"/>
        </w:rPr>
        <w:t>effective</w:t>
      </w:r>
      <w:r>
        <w:rPr>
          <w:spacing w:val="-3"/>
          <w:sz w:val="22"/>
        </w:rPr>
        <w:t> </w:t>
      </w:r>
      <w:r>
        <w:rPr>
          <w:sz w:val="22"/>
        </w:rPr>
        <w:t>in</w:t>
      </w:r>
      <w:r>
        <w:rPr>
          <w:spacing w:val="-3"/>
          <w:sz w:val="22"/>
        </w:rPr>
        <w:t> </w:t>
      </w:r>
      <w:r>
        <w:rPr>
          <w:sz w:val="22"/>
        </w:rPr>
        <w:t>engaging</w:t>
      </w:r>
      <w:r>
        <w:rPr>
          <w:spacing w:val="-3"/>
          <w:sz w:val="22"/>
        </w:rPr>
        <w:t> </w:t>
      </w:r>
      <w:r>
        <w:rPr>
          <w:sz w:val="22"/>
        </w:rPr>
        <w:t>their</w:t>
      </w:r>
      <w:r>
        <w:rPr>
          <w:spacing w:val="-2"/>
          <w:sz w:val="22"/>
        </w:rPr>
        <w:t> </w:t>
      </w:r>
      <w:r>
        <w:rPr>
          <w:sz w:val="22"/>
        </w:rPr>
        <w:t>workforces</w:t>
      </w:r>
      <w:r>
        <w:rPr>
          <w:spacing w:val="-5"/>
          <w:sz w:val="22"/>
        </w:rPr>
        <w:t> </w:t>
      </w:r>
      <w:r>
        <w:rPr>
          <w:sz w:val="22"/>
        </w:rPr>
        <w:t>in</w:t>
      </w:r>
      <w:r>
        <w:rPr>
          <w:spacing w:val="-3"/>
          <w:sz w:val="22"/>
        </w:rPr>
        <w:t> </w:t>
      </w:r>
      <w:r>
        <w:rPr>
          <w:sz w:val="22"/>
        </w:rPr>
        <w:t>safety</w:t>
      </w:r>
      <w:r>
        <w:rPr>
          <w:spacing w:val="-4"/>
          <w:sz w:val="22"/>
        </w:rPr>
        <w:t> </w:t>
      </w:r>
      <w:r>
        <w:rPr>
          <w:sz w:val="22"/>
        </w:rPr>
        <w:t>sharing</w:t>
      </w:r>
      <w:r>
        <w:rPr>
          <w:spacing w:val="-3"/>
          <w:sz w:val="22"/>
        </w:rPr>
        <w:t> </w:t>
      </w:r>
      <w:r>
        <w:rPr>
          <w:sz w:val="22"/>
        </w:rPr>
        <w:t>their </w:t>
      </w:r>
      <w:r>
        <w:rPr>
          <w:spacing w:val="-2"/>
          <w:sz w:val="22"/>
        </w:rPr>
        <w:t>experiences;</w:t>
      </w:r>
    </w:p>
    <w:p>
      <w:pPr>
        <w:pStyle w:val="BodyText"/>
        <w:spacing w:before="4"/>
      </w:pPr>
    </w:p>
    <w:p>
      <w:pPr>
        <w:pStyle w:val="ListParagraph"/>
        <w:numPr>
          <w:ilvl w:val="0"/>
          <w:numId w:val="61"/>
        </w:numPr>
        <w:tabs>
          <w:tab w:pos="734" w:val="left" w:leader="none"/>
        </w:tabs>
        <w:spacing w:line="285" w:lineRule="auto" w:before="0" w:after="0"/>
        <w:ind w:left="734" w:right="696" w:hanging="361"/>
        <w:jc w:val="left"/>
        <w:rPr>
          <w:sz w:val="22"/>
        </w:rPr>
      </w:pPr>
      <w:r>
        <w:rPr>
          <w:sz w:val="22"/>
        </w:rPr>
        <w:t>developing</w:t>
      </w:r>
      <w:r>
        <w:rPr>
          <w:spacing w:val="-1"/>
          <w:sz w:val="22"/>
        </w:rPr>
        <w:t> </w:t>
      </w:r>
      <w:r>
        <w:rPr>
          <w:sz w:val="22"/>
        </w:rPr>
        <w:t>arrangements</w:t>
      </w:r>
      <w:r>
        <w:rPr>
          <w:spacing w:val="-2"/>
          <w:sz w:val="22"/>
        </w:rPr>
        <w:t> </w:t>
      </w:r>
      <w:r>
        <w:rPr>
          <w:sz w:val="22"/>
        </w:rPr>
        <w:t>to</w:t>
      </w:r>
      <w:r>
        <w:rPr>
          <w:spacing w:val="-5"/>
          <w:sz w:val="22"/>
        </w:rPr>
        <w:t> </w:t>
      </w:r>
      <w:r>
        <w:rPr>
          <w:sz w:val="22"/>
        </w:rPr>
        <w:t>ensure</w:t>
      </w:r>
      <w:r>
        <w:rPr>
          <w:spacing w:val="-7"/>
          <w:sz w:val="22"/>
        </w:rPr>
        <w:t> </w:t>
      </w:r>
      <w:r>
        <w:rPr>
          <w:sz w:val="22"/>
        </w:rPr>
        <w:t>that</w:t>
      </w:r>
      <w:r>
        <w:rPr>
          <w:spacing w:val="-4"/>
          <w:sz w:val="22"/>
        </w:rPr>
        <w:t> </w:t>
      </w:r>
      <w:r>
        <w:rPr>
          <w:sz w:val="22"/>
        </w:rPr>
        <w:t>workforce</w:t>
      </w:r>
      <w:r>
        <w:rPr>
          <w:spacing w:val="-3"/>
          <w:sz w:val="22"/>
        </w:rPr>
        <w:t> </w:t>
      </w:r>
      <w:r>
        <w:rPr>
          <w:sz w:val="22"/>
        </w:rPr>
        <w:t>engagement</w:t>
      </w:r>
      <w:r>
        <w:rPr>
          <w:spacing w:val="-1"/>
          <w:sz w:val="22"/>
        </w:rPr>
        <w:t> </w:t>
      </w:r>
      <w:r>
        <w:rPr>
          <w:sz w:val="22"/>
        </w:rPr>
        <w:t>is</w:t>
      </w:r>
      <w:r>
        <w:rPr>
          <w:spacing w:val="-5"/>
          <w:sz w:val="22"/>
        </w:rPr>
        <w:t> </w:t>
      </w:r>
      <w:r>
        <w:rPr>
          <w:sz w:val="22"/>
        </w:rPr>
        <w:t>effectively</w:t>
      </w:r>
      <w:r>
        <w:rPr>
          <w:spacing w:val="-5"/>
          <w:sz w:val="22"/>
        </w:rPr>
        <w:t> </w:t>
      </w:r>
      <w:r>
        <w:rPr>
          <w:sz w:val="22"/>
        </w:rPr>
        <w:t>promoted</w:t>
      </w:r>
      <w:r>
        <w:rPr>
          <w:spacing w:val="-5"/>
          <w:sz w:val="22"/>
        </w:rPr>
        <w:t> </w:t>
      </w:r>
      <w:r>
        <w:rPr>
          <w:sz w:val="22"/>
        </w:rPr>
        <w:t>as part of a mature safety case system of regulation;</w:t>
      </w:r>
    </w:p>
    <w:p>
      <w:pPr>
        <w:pStyle w:val="BodyText"/>
        <w:spacing w:before="6"/>
      </w:pPr>
    </w:p>
    <w:p>
      <w:pPr>
        <w:pStyle w:val="ListParagraph"/>
        <w:numPr>
          <w:ilvl w:val="0"/>
          <w:numId w:val="61"/>
        </w:numPr>
        <w:tabs>
          <w:tab w:pos="734" w:val="left" w:leader="none"/>
        </w:tabs>
        <w:spacing w:line="288" w:lineRule="auto" w:before="0" w:after="0"/>
        <w:ind w:left="734" w:right="794" w:hanging="361"/>
        <w:jc w:val="left"/>
        <w:rPr>
          <w:sz w:val="22"/>
        </w:rPr>
      </w:pPr>
      <w:r>
        <w:rPr>
          <w:sz w:val="22"/>
        </w:rPr>
        <w:t>consideration</w:t>
      </w:r>
      <w:r>
        <w:rPr>
          <w:spacing w:val="-2"/>
          <w:sz w:val="22"/>
        </w:rPr>
        <w:t> </w:t>
      </w:r>
      <w:r>
        <w:rPr>
          <w:sz w:val="22"/>
        </w:rPr>
        <w:t>of</w:t>
      </w:r>
      <w:r>
        <w:rPr>
          <w:spacing w:val="-2"/>
          <w:sz w:val="22"/>
        </w:rPr>
        <w:t> </w:t>
      </w:r>
      <w:r>
        <w:rPr>
          <w:sz w:val="22"/>
        </w:rPr>
        <w:t>measures</w:t>
      </w:r>
      <w:r>
        <w:rPr>
          <w:spacing w:val="-2"/>
          <w:sz w:val="22"/>
        </w:rPr>
        <w:t> </w:t>
      </w:r>
      <w:r>
        <w:rPr>
          <w:sz w:val="22"/>
        </w:rPr>
        <w:t>to</w:t>
      </w:r>
      <w:r>
        <w:rPr>
          <w:spacing w:val="-4"/>
          <w:sz w:val="22"/>
        </w:rPr>
        <w:t> </w:t>
      </w:r>
      <w:r>
        <w:rPr>
          <w:sz w:val="22"/>
        </w:rPr>
        <w:t>ensure</w:t>
      </w:r>
      <w:r>
        <w:rPr>
          <w:spacing w:val="-6"/>
          <w:sz w:val="22"/>
        </w:rPr>
        <w:t> </w:t>
      </w:r>
      <w:r>
        <w:rPr>
          <w:sz w:val="22"/>
        </w:rPr>
        <w:t>that</w:t>
      </w:r>
      <w:r>
        <w:rPr>
          <w:spacing w:val="-3"/>
          <w:sz w:val="22"/>
        </w:rPr>
        <w:t> </w:t>
      </w:r>
      <w:r>
        <w:rPr>
          <w:sz w:val="22"/>
        </w:rPr>
        <w:t>competency</w:t>
      </w:r>
      <w:r>
        <w:rPr>
          <w:spacing w:val="-4"/>
          <w:sz w:val="22"/>
        </w:rPr>
        <w:t> </w:t>
      </w:r>
      <w:r>
        <w:rPr>
          <w:sz w:val="22"/>
        </w:rPr>
        <w:t>standards</w:t>
      </w:r>
      <w:r>
        <w:rPr>
          <w:spacing w:val="-4"/>
          <w:sz w:val="22"/>
        </w:rPr>
        <w:t> </w:t>
      </w:r>
      <w:r>
        <w:rPr>
          <w:sz w:val="22"/>
        </w:rPr>
        <w:t>are</w:t>
      </w:r>
      <w:r>
        <w:rPr>
          <w:spacing w:val="-4"/>
          <w:sz w:val="22"/>
        </w:rPr>
        <w:t> </w:t>
      </w:r>
      <w:r>
        <w:rPr>
          <w:sz w:val="22"/>
        </w:rPr>
        <w:t>maintained</w:t>
      </w:r>
      <w:r>
        <w:rPr>
          <w:spacing w:val="-2"/>
          <w:sz w:val="22"/>
        </w:rPr>
        <w:t> </w:t>
      </w:r>
      <w:r>
        <w:rPr>
          <w:sz w:val="22"/>
        </w:rPr>
        <w:t>and</w:t>
      </w:r>
      <w:r>
        <w:rPr>
          <w:spacing w:val="-4"/>
          <w:sz w:val="22"/>
        </w:rPr>
        <w:t> </w:t>
      </w:r>
      <w:r>
        <w:rPr>
          <w:sz w:val="22"/>
        </w:rPr>
        <w:t>that workers are well-trained and have the necessary skills to maintain safe networks;</w:t>
      </w:r>
    </w:p>
    <w:p>
      <w:pPr>
        <w:pStyle w:val="BodyText"/>
        <w:spacing w:before="2"/>
      </w:pPr>
    </w:p>
    <w:p>
      <w:pPr>
        <w:pStyle w:val="ListParagraph"/>
        <w:numPr>
          <w:ilvl w:val="0"/>
          <w:numId w:val="61"/>
        </w:numPr>
        <w:tabs>
          <w:tab w:pos="734" w:val="left" w:leader="none"/>
        </w:tabs>
        <w:spacing w:line="288" w:lineRule="auto" w:before="0" w:after="0"/>
        <w:ind w:left="734" w:right="601" w:hanging="361"/>
        <w:jc w:val="left"/>
        <w:rPr>
          <w:sz w:val="22"/>
        </w:rPr>
      </w:pPr>
      <w:r>
        <w:rPr>
          <w:sz w:val="22"/>
        </w:rPr>
        <w:t>maintaining</w:t>
      </w:r>
      <w:r>
        <w:rPr>
          <w:spacing w:val="-2"/>
          <w:sz w:val="22"/>
        </w:rPr>
        <w:t> </w:t>
      </w:r>
      <w:r>
        <w:rPr>
          <w:sz w:val="22"/>
        </w:rPr>
        <w:t>arrangements</w:t>
      </w:r>
      <w:r>
        <w:rPr>
          <w:spacing w:val="-2"/>
          <w:sz w:val="22"/>
        </w:rPr>
        <w:t> </w:t>
      </w:r>
      <w:r>
        <w:rPr>
          <w:sz w:val="22"/>
        </w:rPr>
        <w:t>to</w:t>
      </w:r>
      <w:r>
        <w:rPr>
          <w:spacing w:val="-4"/>
          <w:sz w:val="22"/>
        </w:rPr>
        <w:t> </w:t>
      </w:r>
      <w:r>
        <w:rPr>
          <w:sz w:val="22"/>
        </w:rPr>
        <w:t>ensure</w:t>
      </w:r>
      <w:r>
        <w:rPr>
          <w:spacing w:val="-6"/>
          <w:sz w:val="22"/>
        </w:rPr>
        <w:t> </w:t>
      </w:r>
      <w:r>
        <w:rPr>
          <w:sz w:val="22"/>
        </w:rPr>
        <w:t>there</w:t>
      </w:r>
      <w:r>
        <w:rPr>
          <w:spacing w:val="-4"/>
          <w:sz w:val="22"/>
        </w:rPr>
        <w:t> </w:t>
      </w:r>
      <w:r>
        <w:rPr>
          <w:sz w:val="22"/>
        </w:rPr>
        <w:t>is</w:t>
      </w:r>
      <w:r>
        <w:rPr>
          <w:spacing w:val="-2"/>
          <w:sz w:val="22"/>
        </w:rPr>
        <w:t> </w:t>
      </w:r>
      <w:r>
        <w:rPr>
          <w:sz w:val="22"/>
        </w:rPr>
        <w:t>effective</w:t>
      </w:r>
      <w:r>
        <w:rPr>
          <w:spacing w:val="-2"/>
          <w:sz w:val="22"/>
        </w:rPr>
        <w:t> </w:t>
      </w:r>
      <w:r>
        <w:rPr>
          <w:sz w:val="22"/>
        </w:rPr>
        <w:t>engagement</w:t>
      </w:r>
      <w:r>
        <w:rPr>
          <w:spacing w:val="-3"/>
          <w:sz w:val="22"/>
        </w:rPr>
        <w:t> </w:t>
      </w:r>
      <w:r>
        <w:rPr>
          <w:sz w:val="22"/>
        </w:rPr>
        <w:t>of</w:t>
      </w:r>
      <w:r>
        <w:rPr>
          <w:spacing w:val="-1"/>
          <w:sz w:val="22"/>
        </w:rPr>
        <w:t> </w:t>
      </w:r>
      <w:r>
        <w:rPr>
          <w:sz w:val="22"/>
        </w:rPr>
        <w:t>the</w:t>
      </w:r>
      <w:r>
        <w:rPr>
          <w:spacing w:val="-7"/>
          <w:sz w:val="22"/>
        </w:rPr>
        <w:t> </w:t>
      </w:r>
      <w:r>
        <w:rPr>
          <w:sz w:val="22"/>
        </w:rPr>
        <w:t>workforce</w:t>
      </w:r>
      <w:r>
        <w:rPr>
          <w:spacing w:val="-2"/>
          <w:sz w:val="22"/>
        </w:rPr>
        <w:t> </w:t>
      </w:r>
      <w:r>
        <w:rPr>
          <w:sz w:val="22"/>
        </w:rPr>
        <w:t>of</w:t>
      </w:r>
      <w:r>
        <w:rPr>
          <w:spacing w:val="-3"/>
          <w:sz w:val="22"/>
        </w:rPr>
        <w:t> </w:t>
      </w:r>
      <w:r>
        <w:rPr>
          <w:sz w:val="22"/>
        </w:rPr>
        <w:t>third party contractors and emerging risks are addressed; and</w:t>
      </w:r>
    </w:p>
    <w:p>
      <w:pPr>
        <w:pStyle w:val="BodyText"/>
        <w:spacing w:before="1"/>
      </w:pPr>
    </w:p>
    <w:p>
      <w:pPr>
        <w:pStyle w:val="ListParagraph"/>
        <w:numPr>
          <w:ilvl w:val="0"/>
          <w:numId w:val="61"/>
        </w:numPr>
        <w:tabs>
          <w:tab w:pos="734" w:val="left" w:leader="none"/>
        </w:tabs>
        <w:spacing w:line="240" w:lineRule="auto" w:before="0" w:after="0"/>
        <w:ind w:left="734" w:right="0" w:hanging="360"/>
        <w:jc w:val="left"/>
        <w:rPr>
          <w:sz w:val="22"/>
        </w:rPr>
      </w:pPr>
      <w:r>
        <w:rPr>
          <w:sz w:val="22"/>
        </w:rPr>
        <w:t>developing</w:t>
      </w:r>
      <w:r>
        <w:rPr>
          <w:spacing w:val="-7"/>
          <w:sz w:val="22"/>
        </w:rPr>
        <w:t> </w:t>
      </w:r>
      <w:r>
        <w:rPr>
          <w:sz w:val="22"/>
        </w:rPr>
        <w:t>systems</w:t>
      </w:r>
      <w:r>
        <w:rPr>
          <w:spacing w:val="-7"/>
          <w:sz w:val="22"/>
        </w:rPr>
        <w:t> </w:t>
      </w:r>
      <w:r>
        <w:rPr>
          <w:sz w:val="22"/>
        </w:rPr>
        <w:t>to</w:t>
      </w:r>
      <w:r>
        <w:rPr>
          <w:spacing w:val="-8"/>
          <w:sz w:val="22"/>
        </w:rPr>
        <w:t> </w:t>
      </w:r>
      <w:r>
        <w:rPr>
          <w:sz w:val="22"/>
        </w:rPr>
        <w:t>provide</w:t>
      </w:r>
      <w:r>
        <w:rPr>
          <w:spacing w:val="-7"/>
          <w:sz w:val="22"/>
        </w:rPr>
        <w:t> </w:t>
      </w:r>
      <w:r>
        <w:rPr>
          <w:sz w:val="22"/>
        </w:rPr>
        <w:t>better</w:t>
      </w:r>
      <w:r>
        <w:rPr>
          <w:spacing w:val="-7"/>
          <w:sz w:val="22"/>
        </w:rPr>
        <w:t> </w:t>
      </w:r>
      <w:r>
        <w:rPr>
          <w:sz w:val="22"/>
        </w:rPr>
        <w:t>measurement</w:t>
      </w:r>
      <w:r>
        <w:rPr>
          <w:spacing w:val="-5"/>
          <w:sz w:val="22"/>
        </w:rPr>
        <w:t> </w:t>
      </w:r>
      <w:r>
        <w:rPr>
          <w:sz w:val="22"/>
        </w:rPr>
        <w:t>and</w:t>
      </w:r>
      <w:r>
        <w:rPr>
          <w:spacing w:val="-8"/>
          <w:sz w:val="22"/>
        </w:rPr>
        <w:t> </w:t>
      </w:r>
      <w:r>
        <w:rPr>
          <w:sz w:val="22"/>
        </w:rPr>
        <w:t>monitoring</w:t>
      </w:r>
      <w:r>
        <w:rPr>
          <w:spacing w:val="-5"/>
          <w:sz w:val="22"/>
        </w:rPr>
        <w:t> </w:t>
      </w:r>
      <w:r>
        <w:rPr>
          <w:sz w:val="22"/>
        </w:rPr>
        <w:t>of</w:t>
      </w:r>
      <w:r>
        <w:rPr>
          <w:spacing w:val="-4"/>
          <w:sz w:val="22"/>
        </w:rPr>
        <w:t> </w:t>
      </w:r>
      <w:r>
        <w:rPr>
          <w:sz w:val="22"/>
        </w:rPr>
        <w:t>workforce</w:t>
      </w:r>
      <w:r>
        <w:rPr>
          <w:spacing w:val="-8"/>
          <w:sz w:val="22"/>
        </w:rPr>
        <w:t> </w:t>
      </w:r>
      <w:r>
        <w:rPr>
          <w:spacing w:val="-2"/>
          <w:sz w:val="22"/>
        </w:rPr>
        <w:t>engagement.</w:t>
      </w:r>
    </w:p>
    <w:p>
      <w:pPr>
        <w:pStyle w:val="BodyText"/>
        <w:spacing w:before="2"/>
        <w:rPr>
          <w:sz w:val="25"/>
        </w:rPr>
      </w:pPr>
    </w:p>
    <w:p>
      <w:pPr>
        <w:pStyle w:val="BodyText"/>
        <w:spacing w:line="288" w:lineRule="auto" w:before="1"/>
        <w:ind w:left="232" w:right="374"/>
      </w:pPr>
      <w:r>
        <w:rPr/>
        <w:t>The Review considers that there is a sufficient range of issues and actions, and they are of sufficient importance, to warrant the establishment of a formal consultative committee under Section 8 of the </w:t>
      </w:r>
      <w:r>
        <w:rPr>
          <w:i/>
        </w:rPr>
        <w:t>Energy Safe Victoria Act 2005. </w:t>
      </w:r>
      <w:r>
        <w:rPr/>
        <w:t>This committee should comprise of members representative</w:t>
      </w:r>
      <w:r>
        <w:rPr>
          <w:spacing w:val="-3"/>
        </w:rPr>
        <w:t> </w:t>
      </w:r>
      <w:r>
        <w:rPr/>
        <w:t>of</w:t>
      </w:r>
      <w:r>
        <w:rPr>
          <w:spacing w:val="-1"/>
        </w:rPr>
        <w:t> </w:t>
      </w:r>
      <w:r>
        <w:rPr/>
        <w:t>network</w:t>
      </w:r>
      <w:r>
        <w:rPr>
          <w:spacing w:val="-2"/>
        </w:rPr>
        <w:t> </w:t>
      </w:r>
      <w:r>
        <w:rPr/>
        <w:t>businesses,</w:t>
      </w:r>
      <w:r>
        <w:rPr>
          <w:spacing w:val="-4"/>
        </w:rPr>
        <w:t> </w:t>
      </w:r>
      <w:r>
        <w:rPr/>
        <w:t>major</w:t>
      </w:r>
      <w:r>
        <w:rPr>
          <w:spacing w:val="-4"/>
        </w:rPr>
        <w:t> </w:t>
      </w:r>
      <w:r>
        <w:rPr/>
        <w:t>contractors,</w:t>
      </w:r>
      <w:r>
        <w:rPr>
          <w:spacing w:val="-4"/>
        </w:rPr>
        <w:t> </w:t>
      </w:r>
      <w:r>
        <w:rPr/>
        <w:t>trade</w:t>
      </w:r>
      <w:r>
        <w:rPr>
          <w:spacing w:val="-3"/>
        </w:rPr>
        <w:t> </w:t>
      </w:r>
      <w:r>
        <w:rPr/>
        <w:t>unions,</w:t>
      </w:r>
      <w:r>
        <w:rPr>
          <w:spacing w:val="-8"/>
        </w:rPr>
        <w:t> </w:t>
      </w:r>
      <w:r>
        <w:rPr/>
        <w:t>WorkSafe</w:t>
      </w:r>
      <w:r>
        <w:rPr>
          <w:spacing w:val="-5"/>
        </w:rPr>
        <w:t> </w:t>
      </w:r>
      <w:r>
        <w:rPr/>
        <w:t>Victoria,</w:t>
      </w:r>
      <w:r>
        <w:rPr>
          <w:spacing w:val="-4"/>
        </w:rPr>
        <w:t> </w:t>
      </w:r>
      <w:r>
        <w:rPr/>
        <w:t>and</w:t>
      </w:r>
      <w:r>
        <w:rPr>
          <w:spacing w:val="-5"/>
        </w:rPr>
        <w:t> </w:t>
      </w:r>
      <w:r>
        <w:rPr/>
        <w:t>the network workforce.</w:t>
      </w:r>
    </w:p>
    <w:p>
      <w:pPr>
        <w:pStyle w:val="BodyText"/>
        <w:spacing w:before="8"/>
        <w:rPr>
          <w:sz w:val="20"/>
        </w:rPr>
      </w:pPr>
    </w:p>
    <w:p>
      <w:pPr>
        <w:pStyle w:val="BodyText"/>
        <w:spacing w:line="288" w:lineRule="auto" w:before="1"/>
        <w:ind w:left="232" w:right="320"/>
      </w:pPr>
      <w:r>
        <w:rPr/>
        <w:t>AusNet Services has noted in its submission to the Interim Report that cross industry engagement may</w:t>
      </w:r>
      <w:r>
        <w:rPr>
          <w:spacing w:val="-4"/>
        </w:rPr>
        <w:t> </w:t>
      </w:r>
      <w:r>
        <w:rPr/>
        <w:t>lead</w:t>
      </w:r>
      <w:r>
        <w:rPr>
          <w:spacing w:val="-2"/>
        </w:rPr>
        <w:t> </w:t>
      </w:r>
      <w:r>
        <w:rPr/>
        <w:t>to</w:t>
      </w:r>
      <w:r>
        <w:rPr>
          <w:spacing w:val="-4"/>
        </w:rPr>
        <w:t> </w:t>
      </w:r>
      <w:r>
        <w:rPr/>
        <w:t>improved</w:t>
      </w:r>
      <w:r>
        <w:rPr>
          <w:spacing w:val="-2"/>
        </w:rPr>
        <w:t> </w:t>
      </w:r>
      <w:r>
        <w:rPr/>
        <w:t>safety</w:t>
      </w:r>
      <w:r>
        <w:rPr>
          <w:spacing w:val="-3"/>
        </w:rPr>
        <w:t> </w:t>
      </w:r>
      <w:r>
        <w:rPr/>
        <w:t>outcomes</w:t>
      </w:r>
      <w:r>
        <w:rPr>
          <w:spacing w:val="-4"/>
        </w:rPr>
        <w:t> </w:t>
      </w:r>
      <w:r>
        <w:rPr/>
        <w:t>particularly</w:t>
      </w:r>
      <w:r>
        <w:rPr>
          <w:spacing w:val="-4"/>
        </w:rPr>
        <w:t> </w:t>
      </w:r>
      <w:r>
        <w:rPr/>
        <w:t>in</w:t>
      </w:r>
      <w:r>
        <w:rPr>
          <w:spacing w:val="-2"/>
        </w:rPr>
        <w:t> </w:t>
      </w:r>
      <w:r>
        <w:rPr/>
        <w:t>the</w:t>
      </w:r>
      <w:r>
        <w:rPr>
          <w:spacing w:val="-2"/>
        </w:rPr>
        <w:t> </w:t>
      </w:r>
      <w:r>
        <w:rPr/>
        <w:t>areas</w:t>
      </w:r>
      <w:r>
        <w:rPr>
          <w:spacing w:val="-1"/>
        </w:rPr>
        <w:t> </w:t>
      </w:r>
      <w:r>
        <w:rPr/>
        <w:t>of network</w:t>
      </w:r>
      <w:r>
        <w:rPr>
          <w:spacing w:val="-1"/>
        </w:rPr>
        <w:t> </w:t>
      </w:r>
      <w:r>
        <w:rPr/>
        <w:t>asset</w:t>
      </w:r>
      <w:r>
        <w:rPr>
          <w:spacing w:val="-3"/>
        </w:rPr>
        <w:t> </w:t>
      </w:r>
      <w:r>
        <w:rPr/>
        <w:t>risk</w:t>
      </w:r>
      <w:r>
        <w:rPr>
          <w:spacing w:val="-4"/>
        </w:rPr>
        <w:t> </w:t>
      </w:r>
      <w:r>
        <w:rPr/>
        <w:t>mitigation</w:t>
      </w:r>
      <w:r>
        <w:rPr>
          <w:spacing w:val="-2"/>
        </w:rPr>
        <w:t> </w:t>
      </w:r>
      <w:r>
        <w:rPr/>
        <w:t>and third party contractors working near energy assets (AusNet Services, 2017b). AusNet Services further suggested that a sub-working group could be established to focus on non-industry third parties working safely near energy assets, to feed into strategies developed by the Section 8 committee. The Review supports this proposed approach.</w:t>
      </w:r>
    </w:p>
    <w:p>
      <w:pPr>
        <w:spacing w:after="0" w:line="288" w:lineRule="auto"/>
        <w:sectPr>
          <w:pgSz w:w="11910" w:h="16850"/>
          <w:pgMar w:header="220" w:footer="678" w:top="420" w:bottom="860" w:left="900" w:right="840"/>
        </w:sectPr>
      </w:pPr>
    </w:p>
    <w:p>
      <w:pPr>
        <w:pStyle w:val="BodyText"/>
        <w:rPr>
          <w:sz w:val="20"/>
        </w:rPr>
      </w:pPr>
    </w:p>
    <w:p>
      <w:pPr>
        <w:pStyle w:val="BodyText"/>
        <w:spacing w:before="4"/>
        <w:rPr>
          <w:sz w:val="27"/>
        </w:rPr>
      </w:pPr>
    </w:p>
    <w:p>
      <w:pPr>
        <w:pStyle w:val="BodyText"/>
        <w:ind w:left="232"/>
        <w:rPr>
          <w:sz w:val="20"/>
        </w:rPr>
      </w:pPr>
      <w:r>
        <w:rPr>
          <w:sz w:val="20"/>
        </w:rPr>
        <mc:AlternateContent>
          <mc:Choice Requires="wps">
            <w:drawing>
              <wp:inline distT="0" distB="0" distL="0" distR="0">
                <wp:extent cx="5870575" cy="2541270"/>
                <wp:effectExtent l="0" t="0" r="0" b="0"/>
                <wp:docPr id="164" name="Textbox 164"/>
                <wp:cNvGraphicFramePr>
                  <a:graphicFrameLocks/>
                </wp:cNvGraphicFramePr>
                <a:graphic>
                  <a:graphicData uri="http://schemas.microsoft.com/office/word/2010/wordprocessingShape">
                    <wps:wsp>
                      <wps:cNvPr id="164" name="Textbox 164"/>
                      <wps:cNvSpPr txBox="1"/>
                      <wps:spPr>
                        <a:xfrm>
                          <a:off x="0" y="0"/>
                          <a:ext cx="5870575" cy="2541270"/>
                        </a:xfrm>
                        <a:prstGeom prst="rect">
                          <a:avLst/>
                        </a:prstGeom>
                        <a:solidFill>
                          <a:srgbClr val="D9D9D9"/>
                        </a:solidFill>
                      </wps:spPr>
                      <wps:txbx>
                        <w:txbxContent>
                          <w:p>
                            <w:pPr>
                              <w:pStyle w:val="BodyText"/>
                              <w:spacing w:before="6"/>
                              <w:rPr>
                                <w:color w:val="000000"/>
                                <w:sz w:val="36"/>
                              </w:rPr>
                            </w:pPr>
                          </w:p>
                          <w:p>
                            <w:pPr>
                              <w:spacing w:before="0"/>
                              <w:ind w:left="141" w:right="0" w:firstLine="0"/>
                              <w:jc w:val="left"/>
                              <w:rPr>
                                <w:b/>
                                <w:color w:val="000000"/>
                                <w:sz w:val="24"/>
                              </w:rPr>
                            </w:pPr>
                            <w:r>
                              <w:rPr>
                                <w:b/>
                                <w:color w:val="000000"/>
                                <w:spacing w:val="-2"/>
                                <w:sz w:val="24"/>
                              </w:rPr>
                              <w:t>Recommendation</w:t>
                            </w:r>
                            <w:r>
                              <w:rPr>
                                <w:b/>
                                <w:color w:val="000000"/>
                                <w:sz w:val="24"/>
                              </w:rPr>
                              <w:t> </w:t>
                            </w:r>
                            <w:r>
                              <w:rPr>
                                <w:b/>
                                <w:color w:val="000000"/>
                                <w:spacing w:val="-5"/>
                                <w:sz w:val="24"/>
                              </w:rPr>
                              <w:t>25</w:t>
                            </w:r>
                          </w:p>
                          <w:p>
                            <w:pPr>
                              <w:spacing w:line="288" w:lineRule="auto" w:before="175"/>
                              <w:ind w:left="112" w:right="140" w:firstLine="0"/>
                              <w:jc w:val="left"/>
                              <w:rPr>
                                <w:color w:val="000000"/>
                                <w:sz w:val="22"/>
                              </w:rPr>
                            </w:pPr>
                            <w:r>
                              <w:rPr>
                                <w:color w:val="000000"/>
                                <w:sz w:val="22"/>
                              </w:rPr>
                              <w:t>ESV</w:t>
                            </w:r>
                            <w:r>
                              <w:rPr>
                                <w:color w:val="000000"/>
                                <w:spacing w:val="-3"/>
                                <w:sz w:val="22"/>
                              </w:rPr>
                              <w:t> </w:t>
                            </w:r>
                            <w:r>
                              <w:rPr>
                                <w:color w:val="000000"/>
                                <w:sz w:val="22"/>
                              </w:rPr>
                              <w:t>should</w:t>
                            </w:r>
                            <w:r>
                              <w:rPr>
                                <w:color w:val="000000"/>
                                <w:spacing w:val="-3"/>
                                <w:sz w:val="22"/>
                              </w:rPr>
                              <w:t> </w:t>
                            </w:r>
                            <w:r>
                              <w:rPr>
                                <w:color w:val="000000"/>
                                <w:sz w:val="22"/>
                              </w:rPr>
                              <w:t>establish</w:t>
                            </w:r>
                            <w:r>
                              <w:rPr>
                                <w:color w:val="000000"/>
                                <w:spacing w:val="-3"/>
                                <w:sz w:val="22"/>
                              </w:rPr>
                              <w:t> </w:t>
                            </w:r>
                            <w:r>
                              <w:rPr>
                                <w:color w:val="000000"/>
                                <w:sz w:val="22"/>
                              </w:rPr>
                              <w:t>a</w:t>
                            </w:r>
                            <w:r>
                              <w:rPr>
                                <w:color w:val="000000"/>
                                <w:spacing w:val="-5"/>
                                <w:sz w:val="22"/>
                              </w:rPr>
                              <w:t> </w:t>
                            </w:r>
                            <w:r>
                              <w:rPr>
                                <w:color w:val="000000"/>
                                <w:sz w:val="22"/>
                              </w:rPr>
                              <w:t>consultative</w:t>
                            </w:r>
                            <w:r>
                              <w:rPr>
                                <w:color w:val="000000"/>
                                <w:spacing w:val="-3"/>
                                <w:sz w:val="22"/>
                              </w:rPr>
                              <w:t> </w:t>
                            </w:r>
                            <w:r>
                              <w:rPr>
                                <w:color w:val="000000"/>
                                <w:sz w:val="22"/>
                              </w:rPr>
                              <w:t>committee</w:t>
                            </w:r>
                            <w:r>
                              <w:rPr>
                                <w:color w:val="000000"/>
                                <w:spacing w:val="-5"/>
                                <w:sz w:val="22"/>
                              </w:rPr>
                              <w:t> </w:t>
                            </w:r>
                            <w:r>
                              <w:rPr>
                                <w:color w:val="000000"/>
                                <w:sz w:val="22"/>
                              </w:rPr>
                              <w:t>under Section</w:t>
                            </w:r>
                            <w:r>
                              <w:rPr>
                                <w:color w:val="000000"/>
                                <w:spacing w:val="-3"/>
                                <w:sz w:val="22"/>
                              </w:rPr>
                              <w:t> </w:t>
                            </w:r>
                            <w:r>
                              <w:rPr>
                                <w:color w:val="000000"/>
                                <w:sz w:val="22"/>
                              </w:rPr>
                              <w:t>8</w:t>
                            </w:r>
                            <w:r>
                              <w:rPr>
                                <w:color w:val="000000"/>
                                <w:spacing w:val="-3"/>
                                <w:sz w:val="22"/>
                              </w:rPr>
                              <w:t> </w:t>
                            </w:r>
                            <w:r>
                              <w:rPr>
                                <w:color w:val="000000"/>
                                <w:sz w:val="22"/>
                              </w:rPr>
                              <w:t>of</w:t>
                            </w:r>
                            <w:r>
                              <w:rPr>
                                <w:color w:val="000000"/>
                                <w:spacing w:val="-4"/>
                                <w:sz w:val="22"/>
                              </w:rPr>
                              <w:t> </w:t>
                            </w:r>
                            <w:r>
                              <w:rPr>
                                <w:color w:val="000000"/>
                                <w:sz w:val="22"/>
                              </w:rPr>
                              <w:t>the</w:t>
                            </w:r>
                            <w:r>
                              <w:rPr>
                                <w:color w:val="000000"/>
                                <w:spacing w:val="-4"/>
                                <w:sz w:val="22"/>
                              </w:rPr>
                              <w:t> </w:t>
                            </w:r>
                            <w:r>
                              <w:rPr>
                                <w:i/>
                                <w:color w:val="000000"/>
                                <w:sz w:val="22"/>
                              </w:rPr>
                              <w:t>Energy</w:t>
                            </w:r>
                            <w:r>
                              <w:rPr>
                                <w:i/>
                                <w:color w:val="000000"/>
                                <w:spacing w:val="-3"/>
                                <w:sz w:val="22"/>
                              </w:rPr>
                              <w:t> </w:t>
                            </w:r>
                            <w:r>
                              <w:rPr>
                                <w:i/>
                                <w:color w:val="000000"/>
                                <w:sz w:val="22"/>
                              </w:rPr>
                              <w:t>Safe</w:t>
                            </w:r>
                            <w:r>
                              <w:rPr>
                                <w:i/>
                                <w:color w:val="000000"/>
                                <w:spacing w:val="-5"/>
                                <w:sz w:val="22"/>
                              </w:rPr>
                              <w:t> </w:t>
                            </w:r>
                            <w:r>
                              <w:rPr>
                                <w:i/>
                                <w:color w:val="000000"/>
                                <w:sz w:val="22"/>
                              </w:rPr>
                              <w:t>Victoria Act 2005</w:t>
                            </w:r>
                            <w:r>
                              <w:rPr>
                                <w:color w:val="000000"/>
                                <w:sz w:val="22"/>
                              </w:rPr>
                              <w:t>. This committee should:</w:t>
                            </w:r>
                          </w:p>
                          <w:p>
                            <w:pPr>
                              <w:pStyle w:val="BodyText"/>
                              <w:spacing w:before="4"/>
                              <w:rPr>
                                <w:color w:val="000000"/>
                              </w:rPr>
                            </w:pPr>
                          </w:p>
                          <w:p>
                            <w:pPr>
                              <w:pStyle w:val="BodyText"/>
                              <w:numPr>
                                <w:ilvl w:val="0"/>
                                <w:numId w:val="62"/>
                              </w:numPr>
                              <w:tabs>
                                <w:tab w:pos="500" w:val="left" w:leader="none"/>
                              </w:tabs>
                              <w:spacing w:line="240" w:lineRule="auto" w:before="0" w:after="0"/>
                              <w:ind w:left="500" w:right="0" w:hanging="217"/>
                              <w:jc w:val="left"/>
                              <w:rPr>
                                <w:color w:val="000000"/>
                              </w:rPr>
                            </w:pPr>
                            <w:r>
                              <w:rPr>
                                <w:color w:val="000000"/>
                              </w:rPr>
                              <w:t>provide</w:t>
                            </w:r>
                            <w:r>
                              <w:rPr>
                                <w:color w:val="000000"/>
                                <w:spacing w:val="-5"/>
                              </w:rPr>
                              <w:t> </w:t>
                            </w:r>
                            <w:r>
                              <w:rPr>
                                <w:color w:val="000000"/>
                              </w:rPr>
                              <w:t>advice</w:t>
                            </w:r>
                            <w:r>
                              <w:rPr>
                                <w:color w:val="000000"/>
                                <w:spacing w:val="-5"/>
                              </w:rPr>
                              <w:t> </w:t>
                            </w:r>
                            <w:r>
                              <w:rPr>
                                <w:color w:val="000000"/>
                              </w:rPr>
                              <w:t>to</w:t>
                            </w:r>
                            <w:r>
                              <w:rPr>
                                <w:color w:val="000000"/>
                                <w:spacing w:val="-5"/>
                              </w:rPr>
                              <w:t> </w:t>
                            </w:r>
                            <w:r>
                              <w:rPr>
                                <w:color w:val="000000"/>
                              </w:rPr>
                              <w:t>ESV</w:t>
                            </w:r>
                            <w:r>
                              <w:rPr>
                                <w:color w:val="000000"/>
                                <w:spacing w:val="-5"/>
                              </w:rPr>
                              <w:t> </w:t>
                            </w:r>
                            <w:r>
                              <w:rPr>
                                <w:color w:val="000000"/>
                              </w:rPr>
                              <w:t>to</w:t>
                            </w:r>
                            <w:r>
                              <w:rPr>
                                <w:color w:val="000000"/>
                                <w:spacing w:val="-6"/>
                              </w:rPr>
                              <w:t> </w:t>
                            </w:r>
                            <w:r>
                              <w:rPr>
                                <w:color w:val="000000"/>
                              </w:rPr>
                              <w:t>assist</w:t>
                            </w:r>
                            <w:r>
                              <w:rPr>
                                <w:color w:val="000000"/>
                                <w:spacing w:val="-6"/>
                              </w:rPr>
                              <w:t> </w:t>
                            </w:r>
                            <w:r>
                              <w:rPr>
                                <w:color w:val="000000"/>
                              </w:rPr>
                              <w:t>in</w:t>
                            </w:r>
                            <w:r>
                              <w:rPr>
                                <w:color w:val="000000"/>
                                <w:spacing w:val="-5"/>
                              </w:rPr>
                              <w:t> </w:t>
                            </w:r>
                            <w:r>
                              <w:rPr>
                                <w:color w:val="000000"/>
                              </w:rPr>
                              <w:t>its</w:t>
                            </w:r>
                            <w:r>
                              <w:rPr>
                                <w:color w:val="000000"/>
                                <w:spacing w:val="-6"/>
                              </w:rPr>
                              <w:t> </w:t>
                            </w:r>
                            <w:r>
                              <w:rPr>
                                <w:color w:val="000000"/>
                              </w:rPr>
                              <w:t>consideration</w:t>
                            </w:r>
                            <w:r>
                              <w:rPr>
                                <w:color w:val="000000"/>
                                <w:spacing w:val="-5"/>
                              </w:rPr>
                              <w:t> </w:t>
                            </w:r>
                            <w:r>
                              <w:rPr>
                                <w:color w:val="000000"/>
                              </w:rPr>
                              <w:t>of</w:t>
                            </w:r>
                            <w:r>
                              <w:rPr>
                                <w:color w:val="000000"/>
                                <w:spacing w:val="-3"/>
                              </w:rPr>
                              <w:t> </w:t>
                            </w:r>
                            <w:r>
                              <w:rPr>
                                <w:color w:val="000000"/>
                              </w:rPr>
                              <w:t>workforce</w:t>
                            </w:r>
                            <w:r>
                              <w:rPr>
                                <w:color w:val="000000"/>
                                <w:spacing w:val="-6"/>
                              </w:rPr>
                              <w:t> </w:t>
                            </w:r>
                            <w:r>
                              <w:rPr>
                                <w:color w:val="000000"/>
                              </w:rPr>
                              <w:t>engagement</w:t>
                            </w:r>
                            <w:r>
                              <w:rPr>
                                <w:color w:val="000000"/>
                                <w:spacing w:val="1"/>
                              </w:rPr>
                              <w:t> </w:t>
                            </w:r>
                            <w:r>
                              <w:rPr>
                                <w:color w:val="000000"/>
                                <w:spacing w:val="-2"/>
                              </w:rPr>
                              <w:t>issues;</w:t>
                            </w:r>
                          </w:p>
                          <w:p>
                            <w:pPr>
                              <w:pStyle w:val="BodyText"/>
                              <w:spacing w:before="5"/>
                              <w:rPr>
                                <w:color w:val="000000"/>
                                <w:sz w:val="26"/>
                              </w:rPr>
                            </w:pPr>
                          </w:p>
                          <w:p>
                            <w:pPr>
                              <w:pStyle w:val="BodyText"/>
                              <w:numPr>
                                <w:ilvl w:val="0"/>
                                <w:numId w:val="62"/>
                              </w:numPr>
                              <w:tabs>
                                <w:tab w:pos="500" w:val="left" w:leader="none"/>
                                <w:tab w:pos="502" w:val="left" w:leader="none"/>
                              </w:tabs>
                              <w:spacing w:line="288" w:lineRule="auto" w:before="0" w:after="0"/>
                              <w:ind w:left="502" w:right="475" w:hanging="219"/>
                              <w:jc w:val="left"/>
                              <w:rPr>
                                <w:color w:val="000000"/>
                              </w:rPr>
                            </w:pPr>
                            <w:r>
                              <w:rPr>
                                <w:color w:val="000000"/>
                              </w:rPr>
                              <w:t>contribute</w:t>
                            </w:r>
                            <w:r>
                              <w:rPr>
                                <w:color w:val="000000"/>
                                <w:spacing w:val="-6"/>
                              </w:rPr>
                              <w:t> </w:t>
                            </w:r>
                            <w:r>
                              <w:rPr>
                                <w:color w:val="000000"/>
                              </w:rPr>
                              <w:t>to</w:t>
                            </w:r>
                            <w:r>
                              <w:rPr>
                                <w:color w:val="000000"/>
                                <w:spacing w:val="-8"/>
                              </w:rPr>
                              <w:t> </w:t>
                            </w:r>
                            <w:r>
                              <w:rPr>
                                <w:color w:val="000000"/>
                              </w:rPr>
                              <w:t>the</w:t>
                            </w:r>
                            <w:r>
                              <w:rPr>
                                <w:color w:val="000000"/>
                                <w:spacing w:val="-4"/>
                              </w:rPr>
                              <w:t> </w:t>
                            </w:r>
                            <w:r>
                              <w:rPr>
                                <w:color w:val="000000"/>
                              </w:rPr>
                              <w:t>development</w:t>
                            </w:r>
                            <w:r>
                              <w:rPr>
                                <w:color w:val="000000"/>
                                <w:spacing w:val="-5"/>
                              </w:rPr>
                              <w:t> </w:t>
                            </w:r>
                            <w:r>
                              <w:rPr>
                                <w:color w:val="000000"/>
                              </w:rPr>
                              <w:t>of</w:t>
                            </w:r>
                            <w:r>
                              <w:rPr>
                                <w:color w:val="000000"/>
                                <w:spacing w:val="-2"/>
                              </w:rPr>
                              <w:t> </w:t>
                            </w:r>
                            <w:r>
                              <w:rPr>
                                <w:color w:val="000000"/>
                              </w:rPr>
                              <w:t>broader</w:t>
                            </w:r>
                            <w:r>
                              <w:rPr>
                                <w:color w:val="000000"/>
                                <w:spacing w:val="-3"/>
                              </w:rPr>
                              <w:t> </w:t>
                            </w:r>
                            <w:r>
                              <w:rPr>
                                <w:color w:val="000000"/>
                              </w:rPr>
                              <w:t>workforce</w:t>
                            </w:r>
                            <w:r>
                              <w:rPr>
                                <w:color w:val="000000"/>
                                <w:spacing w:val="-4"/>
                              </w:rPr>
                              <w:t> </w:t>
                            </w:r>
                            <w:r>
                              <w:rPr>
                                <w:color w:val="000000"/>
                              </w:rPr>
                              <w:t>engagement</w:t>
                            </w:r>
                            <w:r>
                              <w:rPr>
                                <w:color w:val="000000"/>
                                <w:spacing w:val="-5"/>
                              </w:rPr>
                              <w:t> </w:t>
                            </w:r>
                            <w:r>
                              <w:rPr>
                                <w:color w:val="000000"/>
                              </w:rPr>
                              <w:t>strategies,</w:t>
                            </w:r>
                            <w:r>
                              <w:rPr>
                                <w:color w:val="000000"/>
                                <w:spacing w:val="-2"/>
                              </w:rPr>
                              <w:t> </w:t>
                            </w:r>
                            <w:r>
                              <w:rPr>
                                <w:color w:val="000000"/>
                              </w:rPr>
                              <w:t>including the sharing of best practices; and</w:t>
                            </w:r>
                          </w:p>
                          <w:p>
                            <w:pPr>
                              <w:pStyle w:val="BodyText"/>
                              <w:spacing w:before="1"/>
                              <w:rPr>
                                <w:color w:val="000000"/>
                              </w:rPr>
                            </w:pPr>
                          </w:p>
                          <w:p>
                            <w:pPr>
                              <w:pStyle w:val="BodyText"/>
                              <w:numPr>
                                <w:ilvl w:val="0"/>
                                <w:numId w:val="62"/>
                              </w:numPr>
                              <w:tabs>
                                <w:tab w:pos="500" w:val="left" w:leader="none"/>
                                <w:tab w:pos="502" w:val="left" w:leader="none"/>
                              </w:tabs>
                              <w:spacing w:line="288" w:lineRule="auto" w:before="1" w:after="0"/>
                              <w:ind w:left="502" w:right="669" w:hanging="219"/>
                              <w:jc w:val="left"/>
                              <w:rPr>
                                <w:color w:val="000000"/>
                              </w:rPr>
                            </w:pPr>
                            <w:r>
                              <w:rPr>
                                <w:color w:val="000000"/>
                              </w:rPr>
                              <w:t>be</w:t>
                            </w:r>
                            <w:r>
                              <w:rPr>
                                <w:color w:val="000000"/>
                                <w:spacing w:val="-4"/>
                              </w:rPr>
                              <w:t> </w:t>
                            </w:r>
                            <w:r>
                              <w:rPr>
                                <w:color w:val="000000"/>
                              </w:rPr>
                              <w:t>comprised</w:t>
                            </w:r>
                            <w:r>
                              <w:rPr>
                                <w:color w:val="000000"/>
                                <w:spacing w:val="-4"/>
                              </w:rPr>
                              <w:t> </w:t>
                            </w:r>
                            <w:r>
                              <w:rPr>
                                <w:color w:val="000000"/>
                              </w:rPr>
                              <w:t>of</w:t>
                            </w:r>
                            <w:r>
                              <w:rPr>
                                <w:color w:val="000000"/>
                                <w:spacing w:val="-5"/>
                              </w:rPr>
                              <w:t> </w:t>
                            </w:r>
                            <w:r>
                              <w:rPr>
                                <w:color w:val="000000"/>
                              </w:rPr>
                              <w:t>representatives</w:t>
                            </w:r>
                            <w:r>
                              <w:rPr>
                                <w:color w:val="000000"/>
                                <w:spacing w:val="-6"/>
                              </w:rPr>
                              <w:t> </w:t>
                            </w:r>
                            <w:r>
                              <w:rPr>
                                <w:color w:val="000000"/>
                              </w:rPr>
                              <w:t>from</w:t>
                            </w:r>
                            <w:r>
                              <w:rPr>
                                <w:color w:val="000000"/>
                                <w:spacing w:val="-5"/>
                              </w:rPr>
                              <w:t> </w:t>
                            </w:r>
                            <w:r>
                              <w:rPr>
                                <w:color w:val="000000"/>
                              </w:rPr>
                              <w:t>network</w:t>
                            </w:r>
                            <w:r>
                              <w:rPr>
                                <w:color w:val="000000"/>
                                <w:spacing w:val="-1"/>
                              </w:rPr>
                              <w:t> </w:t>
                            </w:r>
                            <w:r>
                              <w:rPr>
                                <w:color w:val="000000"/>
                              </w:rPr>
                              <w:t>businesses,</w:t>
                            </w:r>
                            <w:r>
                              <w:rPr>
                                <w:color w:val="000000"/>
                                <w:spacing w:val="-5"/>
                              </w:rPr>
                              <w:t> </w:t>
                            </w:r>
                            <w:r>
                              <w:rPr>
                                <w:color w:val="000000"/>
                              </w:rPr>
                              <w:t>major</w:t>
                            </w:r>
                            <w:r>
                              <w:rPr>
                                <w:color w:val="000000"/>
                                <w:spacing w:val="-5"/>
                              </w:rPr>
                              <w:t> </w:t>
                            </w:r>
                            <w:r>
                              <w:rPr>
                                <w:color w:val="000000"/>
                              </w:rPr>
                              <w:t>contractors,</w:t>
                            </w:r>
                            <w:r>
                              <w:rPr>
                                <w:color w:val="000000"/>
                                <w:spacing w:val="-4"/>
                              </w:rPr>
                              <w:t> </w:t>
                            </w:r>
                            <w:r>
                              <w:rPr>
                                <w:color w:val="000000"/>
                              </w:rPr>
                              <w:t>trade unions, WorkSafe Victoria and the workforce.</w:t>
                            </w:r>
                          </w:p>
                        </w:txbxContent>
                      </wps:txbx>
                      <wps:bodyPr wrap="square" lIns="0" tIns="0" rIns="0" bIns="0" rtlCol="0">
                        <a:noAutofit/>
                      </wps:bodyPr>
                    </wps:wsp>
                  </a:graphicData>
                </a:graphic>
              </wp:inline>
            </w:drawing>
          </mc:Choice>
          <mc:Fallback>
            <w:pict>
              <v:shape style="width:462.25pt;height:200.1pt;mso-position-horizontal-relative:char;mso-position-vertical-relative:line" type="#_x0000_t202" id="docshape147" filled="true" fillcolor="#d9d9d9" stroked="false">
                <w10:anchorlock/>
                <v:textbox inset="0,0,0,0">
                  <w:txbxContent>
                    <w:p>
                      <w:pPr>
                        <w:pStyle w:val="BodyText"/>
                        <w:spacing w:before="6"/>
                        <w:rPr>
                          <w:color w:val="000000"/>
                          <w:sz w:val="36"/>
                        </w:rPr>
                      </w:pPr>
                    </w:p>
                    <w:p>
                      <w:pPr>
                        <w:spacing w:before="0"/>
                        <w:ind w:left="141" w:right="0" w:firstLine="0"/>
                        <w:jc w:val="left"/>
                        <w:rPr>
                          <w:b/>
                          <w:color w:val="000000"/>
                          <w:sz w:val="24"/>
                        </w:rPr>
                      </w:pPr>
                      <w:r>
                        <w:rPr>
                          <w:b/>
                          <w:color w:val="000000"/>
                          <w:spacing w:val="-2"/>
                          <w:sz w:val="24"/>
                        </w:rPr>
                        <w:t>Recommendation</w:t>
                      </w:r>
                      <w:r>
                        <w:rPr>
                          <w:b/>
                          <w:color w:val="000000"/>
                          <w:sz w:val="24"/>
                        </w:rPr>
                        <w:t> </w:t>
                      </w:r>
                      <w:r>
                        <w:rPr>
                          <w:b/>
                          <w:color w:val="000000"/>
                          <w:spacing w:val="-5"/>
                          <w:sz w:val="24"/>
                        </w:rPr>
                        <w:t>25</w:t>
                      </w:r>
                    </w:p>
                    <w:p>
                      <w:pPr>
                        <w:spacing w:line="288" w:lineRule="auto" w:before="175"/>
                        <w:ind w:left="112" w:right="140" w:firstLine="0"/>
                        <w:jc w:val="left"/>
                        <w:rPr>
                          <w:color w:val="000000"/>
                          <w:sz w:val="22"/>
                        </w:rPr>
                      </w:pPr>
                      <w:r>
                        <w:rPr>
                          <w:color w:val="000000"/>
                          <w:sz w:val="22"/>
                        </w:rPr>
                        <w:t>ESV</w:t>
                      </w:r>
                      <w:r>
                        <w:rPr>
                          <w:color w:val="000000"/>
                          <w:spacing w:val="-3"/>
                          <w:sz w:val="22"/>
                        </w:rPr>
                        <w:t> </w:t>
                      </w:r>
                      <w:r>
                        <w:rPr>
                          <w:color w:val="000000"/>
                          <w:sz w:val="22"/>
                        </w:rPr>
                        <w:t>should</w:t>
                      </w:r>
                      <w:r>
                        <w:rPr>
                          <w:color w:val="000000"/>
                          <w:spacing w:val="-3"/>
                          <w:sz w:val="22"/>
                        </w:rPr>
                        <w:t> </w:t>
                      </w:r>
                      <w:r>
                        <w:rPr>
                          <w:color w:val="000000"/>
                          <w:sz w:val="22"/>
                        </w:rPr>
                        <w:t>establish</w:t>
                      </w:r>
                      <w:r>
                        <w:rPr>
                          <w:color w:val="000000"/>
                          <w:spacing w:val="-3"/>
                          <w:sz w:val="22"/>
                        </w:rPr>
                        <w:t> </w:t>
                      </w:r>
                      <w:r>
                        <w:rPr>
                          <w:color w:val="000000"/>
                          <w:sz w:val="22"/>
                        </w:rPr>
                        <w:t>a</w:t>
                      </w:r>
                      <w:r>
                        <w:rPr>
                          <w:color w:val="000000"/>
                          <w:spacing w:val="-5"/>
                          <w:sz w:val="22"/>
                        </w:rPr>
                        <w:t> </w:t>
                      </w:r>
                      <w:r>
                        <w:rPr>
                          <w:color w:val="000000"/>
                          <w:sz w:val="22"/>
                        </w:rPr>
                        <w:t>consultative</w:t>
                      </w:r>
                      <w:r>
                        <w:rPr>
                          <w:color w:val="000000"/>
                          <w:spacing w:val="-3"/>
                          <w:sz w:val="22"/>
                        </w:rPr>
                        <w:t> </w:t>
                      </w:r>
                      <w:r>
                        <w:rPr>
                          <w:color w:val="000000"/>
                          <w:sz w:val="22"/>
                        </w:rPr>
                        <w:t>committee</w:t>
                      </w:r>
                      <w:r>
                        <w:rPr>
                          <w:color w:val="000000"/>
                          <w:spacing w:val="-5"/>
                          <w:sz w:val="22"/>
                        </w:rPr>
                        <w:t> </w:t>
                      </w:r>
                      <w:r>
                        <w:rPr>
                          <w:color w:val="000000"/>
                          <w:sz w:val="22"/>
                        </w:rPr>
                        <w:t>under Section</w:t>
                      </w:r>
                      <w:r>
                        <w:rPr>
                          <w:color w:val="000000"/>
                          <w:spacing w:val="-3"/>
                          <w:sz w:val="22"/>
                        </w:rPr>
                        <w:t> </w:t>
                      </w:r>
                      <w:r>
                        <w:rPr>
                          <w:color w:val="000000"/>
                          <w:sz w:val="22"/>
                        </w:rPr>
                        <w:t>8</w:t>
                      </w:r>
                      <w:r>
                        <w:rPr>
                          <w:color w:val="000000"/>
                          <w:spacing w:val="-3"/>
                          <w:sz w:val="22"/>
                        </w:rPr>
                        <w:t> </w:t>
                      </w:r>
                      <w:r>
                        <w:rPr>
                          <w:color w:val="000000"/>
                          <w:sz w:val="22"/>
                        </w:rPr>
                        <w:t>of</w:t>
                      </w:r>
                      <w:r>
                        <w:rPr>
                          <w:color w:val="000000"/>
                          <w:spacing w:val="-4"/>
                          <w:sz w:val="22"/>
                        </w:rPr>
                        <w:t> </w:t>
                      </w:r>
                      <w:r>
                        <w:rPr>
                          <w:color w:val="000000"/>
                          <w:sz w:val="22"/>
                        </w:rPr>
                        <w:t>the</w:t>
                      </w:r>
                      <w:r>
                        <w:rPr>
                          <w:color w:val="000000"/>
                          <w:spacing w:val="-4"/>
                          <w:sz w:val="22"/>
                        </w:rPr>
                        <w:t> </w:t>
                      </w:r>
                      <w:r>
                        <w:rPr>
                          <w:i/>
                          <w:color w:val="000000"/>
                          <w:sz w:val="22"/>
                        </w:rPr>
                        <w:t>Energy</w:t>
                      </w:r>
                      <w:r>
                        <w:rPr>
                          <w:i/>
                          <w:color w:val="000000"/>
                          <w:spacing w:val="-3"/>
                          <w:sz w:val="22"/>
                        </w:rPr>
                        <w:t> </w:t>
                      </w:r>
                      <w:r>
                        <w:rPr>
                          <w:i/>
                          <w:color w:val="000000"/>
                          <w:sz w:val="22"/>
                        </w:rPr>
                        <w:t>Safe</w:t>
                      </w:r>
                      <w:r>
                        <w:rPr>
                          <w:i/>
                          <w:color w:val="000000"/>
                          <w:spacing w:val="-5"/>
                          <w:sz w:val="22"/>
                        </w:rPr>
                        <w:t> </w:t>
                      </w:r>
                      <w:r>
                        <w:rPr>
                          <w:i/>
                          <w:color w:val="000000"/>
                          <w:sz w:val="22"/>
                        </w:rPr>
                        <w:t>Victoria Act 2005</w:t>
                      </w:r>
                      <w:r>
                        <w:rPr>
                          <w:color w:val="000000"/>
                          <w:sz w:val="22"/>
                        </w:rPr>
                        <w:t>. This committee should:</w:t>
                      </w:r>
                    </w:p>
                    <w:p>
                      <w:pPr>
                        <w:pStyle w:val="BodyText"/>
                        <w:spacing w:before="4"/>
                        <w:rPr>
                          <w:color w:val="000000"/>
                        </w:rPr>
                      </w:pPr>
                    </w:p>
                    <w:p>
                      <w:pPr>
                        <w:pStyle w:val="BodyText"/>
                        <w:numPr>
                          <w:ilvl w:val="0"/>
                          <w:numId w:val="62"/>
                        </w:numPr>
                        <w:tabs>
                          <w:tab w:pos="500" w:val="left" w:leader="none"/>
                        </w:tabs>
                        <w:spacing w:line="240" w:lineRule="auto" w:before="0" w:after="0"/>
                        <w:ind w:left="500" w:right="0" w:hanging="217"/>
                        <w:jc w:val="left"/>
                        <w:rPr>
                          <w:color w:val="000000"/>
                        </w:rPr>
                      </w:pPr>
                      <w:r>
                        <w:rPr>
                          <w:color w:val="000000"/>
                        </w:rPr>
                        <w:t>provide</w:t>
                      </w:r>
                      <w:r>
                        <w:rPr>
                          <w:color w:val="000000"/>
                          <w:spacing w:val="-5"/>
                        </w:rPr>
                        <w:t> </w:t>
                      </w:r>
                      <w:r>
                        <w:rPr>
                          <w:color w:val="000000"/>
                        </w:rPr>
                        <w:t>advice</w:t>
                      </w:r>
                      <w:r>
                        <w:rPr>
                          <w:color w:val="000000"/>
                          <w:spacing w:val="-5"/>
                        </w:rPr>
                        <w:t> </w:t>
                      </w:r>
                      <w:r>
                        <w:rPr>
                          <w:color w:val="000000"/>
                        </w:rPr>
                        <w:t>to</w:t>
                      </w:r>
                      <w:r>
                        <w:rPr>
                          <w:color w:val="000000"/>
                          <w:spacing w:val="-5"/>
                        </w:rPr>
                        <w:t> </w:t>
                      </w:r>
                      <w:r>
                        <w:rPr>
                          <w:color w:val="000000"/>
                        </w:rPr>
                        <w:t>ESV</w:t>
                      </w:r>
                      <w:r>
                        <w:rPr>
                          <w:color w:val="000000"/>
                          <w:spacing w:val="-5"/>
                        </w:rPr>
                        <w:t> </w:t>
                      </w:r>
                      <w:r>
                        <w:rPr>
                          <w:color w:val="000000"/>
                        </w:rPr>
                        <w:t>to</w:t>
                      </w:r>
                      <w:r>
                        <w:rPr>
                          <w:color w:val="000000"/>
                          <w:spacing w:val="-6"/>
                        </w:rPr>
                        <w:t> </w:t>
                      </w:r>
                      <w:r>
                        <w:rPr>
                          <w:color w:val="000000"/>
                        </w:rPr>
                        <w:t>assist</w:t>
                      </w:r>
                      <w:r>
                        <w:rPr>
                          <w:color w:val="000000"/>
                          <w:spacing w:val="-6"/>
                        </w:rPr>
                        <w:t> </w:t>
                      </w:r>
                      <w:r>
                        <w:rPr>
                          <w:color w:val="000000"/>
                        </w:rPr>
                        <w:t>in</w:t>
                      </w:r>
                      <w:r>
                        <w:rPr>
                          <w:color w:val="000000"/>
                          <w:spacing w:val="-5"/>
                        </w:rPr>
                        <w:t> </w:t>
                      </w:r>
                      <w:r>
                        <w:rPr>
                          <w:color w:val="000000"/>
                        </w:rPr>
                        <w:t>its</w:t>
                      </w:r>
                      <w:r>
                        <w:rPr>
                          <w:color w:val="000000"/>
                          <w:spacing w:val="-6"/>
                        </w:rPr>
                        <w:t> </w:t>
                      </w:r>
                      <w:r>
                        <w:rPr>
                          <w:color w:val="000000"/>
                        </w:rPr>
                        <w:t>consideration</w:t>
                      </w:r>
                      <w:r>
                        <w:rPr>
                          <w:color w:val="000000"/>
                          <w:spacing w:val="-5"/>
                        </w:rPr>
                        <w:t> </w:t>
                      </w:r>
                      <w:r>
                        <w:rPr>
                          <w:color w:val="000000"/>
                        </w:rPr>
                        <w:t>of</w:t>
                      </w:r>
                      <w:r>
                        <w:rPr>
                          <w:color w:val="000000"/>
                          <w:spacing w:val="-3"/>
                        </w:rPr>
                        <w:t> </w:t>
                      </w:r>
                      <w:r>
                        <w:rPr>
                          <w:color w:val="000000"/>
                        </w:rPr>
                        <w:t>workforce</w:t>
                      </w:r>
                      <w:r>
                        <w:rPr>
                          <w:color w:val="000000"/>
                          <w:spacing w:val="-6"/>
                        </w:rPr>
                        <w:t> </w:t>
                      </w:r>
                      <w:r>
                        <w:rPr>
                          <w:color w:val="000000"/>
                        </w:rPr>
                        <w:t>engagement</w:t>
                      </w:r>
                      <w:r>
                        <w:rPr>
                          <w:color w:val="000000"/>
                          <w:spacing w:val="1"/>
                        </w:rPr>
                        <w:t> </w:t>
                      </w:r>
                      <w:r>
                        <w:rPr>
                          <w:color w:val="000000"/>
                          <w:spacing w:val="-2"/>
                        </w:rPr>
                        <w:t>issues;</w:t>
                      </w:r>
                    </w:p>
                    <w:p>
                      <w:pPr>
                        <w:pStyle w:val="BodyText"/>
                        <w:spacing w:before="5"/>
                        <w:rPr>
                          <w:color w:val="000000"/>
                          <w:sz w:val="26"/>
                        </w:rPr>
                      </w:pPr>
                    </w:p>
                    <w:p>
                      <w:pPr>
                        <w:pStyle w:val="BodyText"/>
                        <w:numPr>
                          <w:ilvl w:val="0"/>
                          <w:numId w:val="62"/>
                        </w:numPr>
                        <w:tabs>
                          <w:tab w:pos="500" w:val="left" w:leader="none"/>
                          <w:tab w:pos="502" w:val="left" w:leader="none"/>
                        </w:tabs>
                        <w:spacing w:line="288" w:lineRule="auto" w:before="0" w:after="0"/>
                        <w:ind w:left="502" w:right="475" w:hanging="219"/>
                        <w:jc w:val="left"/>
                        <w:rPr>
                          <w:color w:val="000000"/>
                        </w:rPr>
                      </w:pPr>
                      <w:r>
                        <w:rPr>
                          <w:color w:val="000000"/>
                        </w:rPr>
                        <w:t>contribute</w:t>
                      </w:r>
                      <w:r>
                        <w:rPr>
                          <w:color w:val="000000"/>
                          <w:spacing w:val="-6"/>
                        </w:rPr>
                        <w:t> </w:t>
                      </w:r>
                      <w:r>
                        <w:rPr>
                          <w:color w:val="000000"/>
                        </w:rPr>
                        <w:t>to</w:t>
                      </w:r>
                      <w:r>
                        <w:rPr>
                          <w:color w:val="000000"/>
                          <w:spacing w:val="-8"/>
                        </w:rPr>
                        <w:t> </w:t>
                      </w:r>
                      <w:r>
                        <w:rPr>
                          <w:color w:val="000000"/>
                        </w:rPr>
                        <w:t>the</w:t>
                      </w:r>
                      <w:r>
                        <w:rPr>
                          <w:color w:val="000000"/>
                          <w:spacing w:val="-4"/>
                        </w:rPr>
                        <w:t> </w:t>
                      </w:r>
                      <w:r>
                        <w:rPr>
                          <w:color w:val="000000"/>
                        </w:rPr>
                        <w:t>development</w:t>
                      </w:r>
                      <w:r>
                        <w:rPr>
                          <w:color w:val="000000"/>
                          <w:spacing w:val="-5"/>
                        </w:rPr>
                        <w:t> </w:t>
                      </w:r>
                      <w:r>
                        <w:rPr>
                          <w:color w:val="000000"/>
                        </w:rPr>
                        <w:t>of</w:t>
                      </w:r>
                      <w:r>
                        <w:rPr>
                          <w:color w:val="000000"/>
                          <w:spacing w:val="-2"/>
                        </w:rPr>
                        <w:t> </w:t>
                      </w:r>
                      <w:r>
                        <w:rPr>
                          <w:color w:val="000000"/>
                        </w:rPr>
                        <w:t>broader</w:t>
                      </w:r>
                      <w:r>
                        <w:rPr>
                          <w:color w:val="000000"/>
                          <w:spacing w:val="-3"/>
                        </w:rPr>
                        <w:t> </w:t>
                      </w:r>
                      <w:r>
                        <w:rPr>
                          <w:color w:val="000000"/>
                        </w:rPr>
                        <w:t>workforce</w:t>
                      </w:r>
                      <w:r>
                        <w:rPr>
                          <w:color w:val="000000"/>
                          <w:spacing w:val="-4"/>
                        </w:rPr>
                        <w:t> </w:t>
                      </w:r>
                      <w:r>
                        <w:rPr>
                          <w:color w:val="000000"/>
                        </w:rPr>
                        <w:t>engagement</w:t>
                      </w:r>
                      <w:r>
                        <w:rPr>
                          <w:color w:val="000000"/>
                          <w:spacing w:val="-5"/>
                        </w:rPr>
                        <w:t> </w:t>
                      </w:r>
                      <w:r>
                        <w:rPr>
                          <w:color w:val="000000"/>
                        </w:rPr>
                        <w:t>strategies,</w:t>
                      </w:r>
                      <w:r>
                        <w:rPr>
                          <w:color w:val="000000"/>
                          <w:spacing w:val="-2"/>
                        </w:rPr>
                        <w:t> </w:t>
                      </w:r>
                      <w:r>
                        <w:rPr>
                          <w:color w:val="000000"/>
                        </w:rPr>
                        <w:t>including the sharing of best practices; and</w:t>
                      </w:r>
                    </w:p>
                    <w:p>
                      <w:pPr>
                        <w:pStyle w:val="BodyText"/>
                        <w:spacing w:before="1"/>
                        <w:rPr>
                          <w:color w:val="000000"/>
                        </w:rPr>
                      </w:pPr>
                    </w:p>
                    <w:p>
                      <w:pPr>
                        <w:pStyle w:val="BodyText"/>
                        <w:numPr>
                          <w:ilvl w:val="0"/>
                          <w:numId w:val="62"/>
                        </w:numPr>
                        <w:tabs>
                          <w:tab w:pos="500" w:val="left" w:leader="none"/>
                          <w:tab w:pos="502" w:val="left" w:leader="none"/>
                        </w:tabs>
                        <w:spacing w:line="288" w:lineRule="auto" w:before="1" w:after="0"/>
                        <w:ind w:left="502" w:right="669" w:hanging="219"/>
                        <w:jc w:val="left"/>
                        <w:rPr>
                          <w:color w:val="000000"/>
                        </w:rPr>
                      </w:pPr>
                      <w:r>
                        <w:rPr>
                          <w:color w:val="000000"/>
                        </w:rPr>
                        <w:t>be</w:t>
                      </w:r>
                      <w:r>
                        <w:rPr>
                          <w:color w:val="000000"/>
                          <w:spacing w:val="-4"/>
                        </w:rPr>
                        <w:t> </w:t>
                      </w:r>
                      <w:r>
                        <w:rPr>
                          <w:color w:val="000000"/>
                        </w:rPr>
                        <w:t>comprised</w:t>
                      </w:r>
                      <w:r>
                        <w:rPr>
                          <w:color w:val="000000"/>
                          <w:spacing w:val="-4"/>
                        </w:rPr>
                        <w:t> </w:t>
                      </w:r>
                      <w:r>
                        <w:rPr>
                          <w:color w:val="000000"/>
                        </w:rPr>
                        <w:t>of</w:t>
                      </w:r>
                      <w:r>
                        <w:rPr>
                          <w:color w:val="000000"/>
                          <w:spacing w:val="-5"/>
                        </w:rPr>
                        <w:t> </w:t>
                      </w:r>
                      <w:r>
                        <w:rPr>
                          <w:color w:val="000000"/>
                        </w:rPr>
                        <w:t>representatives</w:t>
                      </w:r>
                      <w:r>
                        <w:rPr>
                          <w:color w:val="000000"/>
                          <w:spacing w:val="-6"/>
                        </w:rPr>
                        <w:t> </w:t>
                      </w:r>
                      <w:r>
                        <w:rPr>
                          <w:color w:val="000000"/>
                        </w:rPr>
                        <w:t>from</w:t>
                      </w:r>
                      <w:r>
                        <w:rPr>
                          <w:color w:val="000000"/>
                          <w:spacing w:val="-5"/>
                        </w:rPr>
                        <w:t> </w:t>
                      </w:r>
                      <w:r>
                        <w:rPr>
                          <w:color w:val="000000"/>
                        </w:rPr>
                        <w:t>network</w:t>
                      </w:r>
                      <w:r>
                        <w:rPr>
                          <w:color w:val="000000"/>
                          <w:spacing w:val="-1"/>
                        </w:rPr>
                        <w:t> </w:t>
                      </w:r>
                      <w:r>
                        <w:rPr>
                          <w:color w:val="000000"/>
                        </w:rPr>
                        <w:t>businesses,</w:t>
                      </w:r>
                      <w:r>
                        <w:rPr>
                          <w:color w:val="000000"/>
                          <w:spacing w:val="-5"/>
                        </w:rPr>
                        <w:t> </w:t>
                      </w:r>
                      <w:r>
                        <w:rPr>
                          <w:color w:val="000000"/>
                        </w:rPr>
                        <w:t>major</w:t>
                      </w:r>
                      <w:r>
                        <w:rPr>
                          <w:color w:val="000000"/>
                          <w:spacing w:val="-5"/>
                        </w:rPr>
                        <w:t> </w:t>
                      </w:r>
                      <w:r>
                        <w:rPr>
                          <w:color w:val="000000"/>
                        </w:rPr>
                        <w:t>contractors,</w:t>
                      </w:r>
                      <w:r>
                        <w:rPr>
                          <w:color w:val="000000"/>
                          <w:spacing w:val="-4"/>
                        </w:rPr>
                        <w:t> </w:t>
                      </w:r>
                      <w:r>
                        <w:rPr>
                          <w:color w:val="000000"/>
                        </w:rPr>
                        <w:t>trade unions, WorkSafe Victoria and the workforce.</w:t>
                      </w:r>
                    </w:p>
                  </w:txbxContent>
                </v:textbox>
                <v:fill type="solid"/>
              </v:shape>
            </w:pict>
          </mc:Fallback>
        </mc:AlternateContent>
      </w:r>
      <w:r>
        <w:rPr>
          <w:sz w:val="20"/>
        </w:rPr>
      </w:r>
    </w:p>
    <w:p>
      <w:pPr>
        <w:spacing w:after="0"/>
        <w:rPr>
          <w:sz w:val="20"/>
        </w:rPr>
        <w:sectPr>
          <w:pgSz w:w="11910" w:h="16850"/>
          <w:pgMar w:header="220" w:footer="678" w:top="420" w:bottom="860" w:left="900" w:right="840"/>
        </w:sectPr>
      </w:pPr>
    </w:p>
    <w:p>
      <w:pPr>
        <w:pStyle w:val="BodyText"/>
        <w:rPr>
          <w:sz w:val="20"/>
        </w:rPr>
      </w:pPr>
    </w:p>
    <w:p>
      <w:pPr>
        <w:pStyle w:val="BodyText"/>
        <w:spacing w:before="7"/>
        <w:rPr>
          <w:sz w:val="19"/>
        </w:rPr>
      </w:pPr>
    </w:p>
    <w:p>
      <w:pPr>
        <w:pStyle w:val="Heading4"/>
      </w:pPr>
      <w:r>
        <w:rPr>
          <w:color w:val="585858"/>
          <w:spacing w:val="-2"/>
        </w:rPr>
        <w:t>References</w:t>
      </w:r>
    </w:p>
    <w:p>
      <w:pPr>
        <w:spacing w:line="285" w:lineRule="auto" w:before="294"/>
        <w:ind w:left="232" w:right="439" w:firstLine="0"/>
        <w:jc w:val="left"/>
        <w:rPr>
          <w:sz w:val="18"/>
        </w:rPr>
      </w:pPr>
      <w:r>
        <w:rPr>
          <w:sz w:val="18"/>
        </w:rPr>
        <w:t>APA</w:t>
      </w:r>
      <w:r>
        <w:rPr>
          <w:spacing w:val="-3"/>
          <w:sz w:val="18"/>
        </w:rPr>
        <w:t> </w:t>
      </w:r>
      <w:r>
        <w:rPr>
          <w:sz w:val="18"/>
        </w:rPr>
        <w:t>VTS,</w:t>
      </w:r>
      <w:r>
        <w:rPr>
          <w:spacing w:val="-3"/>
          <w:sz w:val="18"/>
        </w:rPr>
        <w:t> </w:t>
      </w:r>
      <w:r>
        <w:rPr>
          <w:sz w:val="18"/>
        </w:rPr>
        <w:t>2017.</w:t>
      </w:r>
      <w:r>
        <w:rPr>
          <w:spacing w:val="-2"/>
          <w:sz w:val="18"/>
        </w:rPr>
        <w:t> </w:t>
      </w:r>
      <w:r>
        <w:rPr>
          <w:i/>
          <w:sz w:val="18"/>
        </w:rPr>
        <w:t>Review</w:t>
      </w:r>
      <w:r>
        <w:rPr>
          <w:i/>
          <w:spacing w:val="-6"/>
          <w:sz w:val="18"/>
        </w:rPr>
        <w:t> </w:t>
      </w:r>
      <w:r>
        <w:rPr>
          <w:i/>
          <w:sz w:val="18"/>
        </w:rPr>
        <w:t>of</w:t>
      </w:r>
      <w:r>
        <w:rPr>
          <w:i/>
          <w:spacing w:val="-3"/>
          <w:sz w:val="18"/>
        </w:rPr>
        <w:t> </w:t>
      </w:r>
      <w:r>
        <w:rPr>
          <w:i/>
          <w:sz w:val="18"/>
        </w:rPr>
        <w:t>Victoria’s</w:t>
      </w:r>
      <w:r>
        <w:rPr>
          <w:i/>
          <w:spacing w:val="-2"/>
          <w:sz w:val="18"/>
        </w:rPr>
        <w:t> </w:t>
      </w:r>
      <w:r>
        <w:rPr>
          <w:i/>
          <w:sz w:val="18"/>
        </w:rPr>
        <w:t>Electricity</w:t>
      </w:r>
      <w:r>
        <w:rPr>
          <w:i/>
          <w:spacing w:val="-4"/>
          <w:sz w:val="18"/>
        </w:rPr>
        <w:t> </w:t>
      </w:r>
      <w:r>
        <w:rPr>
          <w:i/>
          <w:sz w:val="18"/>
        </w:rPr>
        <w:t>and</w:t>
      </w:r>
      <w:r>
        <w:rPr>
          <w:i/>
          <w:spacing w:val="-3"/>
          <w:sz w:val="18"/>
        </w:rPr>
        <w:t> </w:t>
      </w:r>
      <w:r>
        <w:rPr>
          <w:i/>
          <w:sz w:val="18"/>
        </w:rPr>
        <w:t>Gas</w:t>
      </w:r>
      <w:r>
        <w:rPr>
          <w:i/>
          <w:spacing w:val="-2"/>
          <w:sz w:val="18"/>
        </w:rPr>
        <w:t> </w:t>
      </w:r>
      <w:r>
        <w:rPr>
          <w:i/>
          <w:sz w:val="18"/>
        </w:rPr>
        <w:t>Network</w:t>
      </w:r>
      <w:r>
        <w:rPr>
          <w:i/>
          <w:spacing w:val="-2"/>
          <w:sz w:val="18"/>
        </w:rPr>
        <w:t> </w:t>
      </w:r>
      <w:r>
        <w:rPr>
          <w:i/>
          <w:sz w:val="18"/>
        </w:rPr>
        <w:t>Safety</w:t>
      </w:r>
      <w:r>
        <w:rPr>
          <w:i/>
          <w:spacing w:val="-4"/>
          <w:sz w:val="18"/>
        </w:rPr>
        <w:t> </w:t>
      </w:r>
      <w:r>
        <w:rPr>
          <w:i/>
          <w:sz w:val="18"/>
        </w:rPr>
        <w:t>Framework -</w:t>
      </w:r>
      <w:r>
        <w:rPr>
          <w:i/>
          <w:spacing w:val="-5"/>
          <w:sz w:val="18"/>
        </w:rPr>
        <w:t> </w:t>
      </w:r>
      <w:r>
        <w:rPr>
          <w:i/>
          <w:sz w:val="18"/>
        </w:rPr>
        <w:t>Supplementary</w:t>
      </w:r>
      <w:r>
        <w:rPr>
          <w:i/>
          <w:spacing w:val="-2"/>
          <w:sz w:val="18"/>
        </w:rPr>
        <w:t> </w:t>
      </w:r>
      <w:r>
        <w:rPr>
          <w:i/>
          <w:sz w:val="18"/>
        </w:rPr>
        <w:t>Issues</w:t>
      </w:r>
      <w:r>
        <w:rPr>
          <w:i/>
          <w:spacing w:val="-5"/>
          <w:sz w:val="18"/>
        </w:rPr>
        <w:t> </w:t>
      </w:r>
      <w:r>
        <w:rPr>
          <w:i/>
          <w:sz w:val="18"/>
        </w:rPr>
        <w:t>Paper: APA VTS Operations (Australia) Pty Ltd Submission</w:t>
      </w:r>
      <w:r>
        <w:rPr>
          <w:sz w:val="18"/>
        </w:rPr>
        <w:t>.</w:t>
      </w:r>
    </w:p>
    <w:p>
      <w:pPr>
        <w:spacing w:before="83"/>
        <w:ind w:left="232" w:right="0" w:firstLine="0"/>
        <w:jc w:val="left"/>
        <w:rPr>
          <w:sz w:val="18"/>
        </w:rPr>
      </w:pPr>
      <w:r>
        <w:rPr>
          <w:sz w:val="18"/>
        </w:rPr>
        <w:t>AusNet</w:t>
      </w:r>
      <w:r>
        <w:rPr>
          <w:spacing w:val="-5"/>
          <w:sz w:val="18"/>
        </w:rPr>
        <w:t> </w:t>
      </w:r>
      <w:r>
        <w:rPr>
          <w:sz w:val="18"/>
        </w:rPr>
        <w:t>Services,</w:t>
      </w:r>
      <w:r>
        <w:rPr>
          <w:spacing w:val="-5"/>
          <w:sz w:val="18"/>
        </w:rPr>
        <w:t> </w:t>
      </w:r>
      <w:r>
        <w:rPr>
          <w:sz w:val="18"/>
        </w:rPr>
        <w:t>2017a.</w:t>
      </w:r>
      <w:r>
        <w:rPr>
          <w:spacing w:val="-6"/>
          <w:sz w:val="18"/>
        </w:rPr>
        <w:t> </w:t>
      </w:r>
      <w:r>
        <w:rPr>
          <w:i/>
          <w:sz w:val="18"/>
        </w:rPr>
        <w:t>Safety</w:t>
      </w:r>
      <w:r>
        <w:rPr>
          <w:i/>
          <w:spacing w:val="-4"/>
          <w:sz w:val="18"/>
        </w:rPr>
        <w:t> </w:t>
      </w:r>
      <w:r>
        <w:rPr>
          <w:i/>
          <w:sz w:val="18"/>
        </w:rPr>
        <w:t>Review</w:t>
      </w:r>
      <w:r>
        <w:rPr>
          <w:i/>
          <w:spacing w:val="-5"/>
          <w:sz w:val="18"/>
        </w:rPr>
        <w:t> </w:t>
      </w:r>
      <w:r>
        <w:rPr>
          <w:i/>
          <w:spacing w:val="-2"/>
          <w:sz w:val="18"/>
        </w:rPr>
        <w:t>Submission</w:t>
      </w:r>
      <w:r>
        <w:rPr>
          <w:spacing w:val="-2"/>
          <w:sz w:val="18"/>
        </w:rPr>
        <w:t>.</w:t>
      </w:r>
    </w:p>
    <w:p>
      <w:pPr>
        <w:spacing w:before="122"/>
        <w:ind w:left="232" w:right="0" w:firstLine="0"/>
        <w:jc w:val="left"/>
        <w:rPr>
          <w:sz w:val="18"/>
        </w:rPr>
      </w:pPr>
      <w:r>
        <w:rPr>
          <w:sz w:val="18"/>
        </w:rPr>
        <w:t>AusNet</w:t>
      </w:r>
      <w:r>
        <w:rPr>
          <w:spacing w:val="-5"/>
          <w:sz w:val="18"/>
        </w:rPr>
        <w:t> </w:t>
      </w:r>
      <w:r>
        <w:rPr>
          <w:sz w:val="18"/>
        </w:rPr>
        <w:t>Services,</w:t>
      </w:r>
      <w:r>
        <w:rPr>
          <w:spacing w:val="-4"/>
          <w:sz w:val="18"/>
        </w:rPr>
        <w:t> </w:t>
      </w:r>
      <w:r>
        <w:rPr>
          <w:sz w:val="18"/>
        </w:rPr>
        <w:t>2017c.</w:t>
      </w:r>
      <w:r>
        <w:rPr>
          <w:spacing w:val="-5"/>
          <w:sz w:val="18"/>
        </w:rPr>
        <w:t> </w:t>
      </w:r>
      <w:r>
        <w:rPr>
          <w:i/>
          <w:sz w:val="18"/>
        </w:rPr>
        <w:t>Safety</w:t>
      </w:r>
      <w:r>
        <w:rPr>
          <w:i/>
          <w:spacing w:val="-3"/>
          <w:sz w:val="18"/>
        </w:rPr>
        <w:t> </w:t>
      </w:r>
      <w:r>
        <w:rPr>
          <w:i/>
          <w:sz w:val="18"/>
        </w:rPr>
        <w:t>Review</w:t>
      </w:r>
      <w:r>
        <w:rPr>
          <w:i/>
          <w:spacing w:val="-5"/>
          <w:sz w:val="18"/>
        </w:rPr>
        <w:t> </w:t>
      </w:r>
      <w:r>
        <w:rPr>
          <w:i/>
          <w:sz w:val="18"/>
        </w:rPr>
        <w:t>Submission</w:t>
      </w:r>
      <w:r>
        <w:rPr>
          <w:i/>
          <w:spacing w:val="-1"/>
          <w:sz w:val="18"/>
        </w:rPr>
        <w:t> </w:t>
      </w:r>
      <w:r>
        <w:rPr>
          <w:i/>
          <w:sz w:val="18"/>
        </w:rPr>
        <w:t>-</w:t>
      </w:r>
      <w:r>
        <w:rPr>
          <w:i/>
          <w:spacing w:val="-6"/>
          <w:sz w:val="18"/>
        </w:rPr>
        <w:t> </w:t>
      </w:r>
      <w:r>
        <w:rPr>
          <w:i/>
          <w:sz w:val="18"/>
        </w:rPr>
        <w:t>Interim</w:t>
      </w:r>
      <w:r>
        <w:rPr>
          <w:i/>
          <w:spacing w:val="-7"/>
          <w:sz w:val="18"/>
        </w:rPr>
        <w:t> </w:t>
      </w:r>
      <w:r>
        <w:rPr>
          <w:i/>
          <w:spacing w:val="-2"/>
          <w:sz w:val="18"/>
        </w:rPr>
        <w:t>Report</w:t>
      </w:r>
      <w:r>
        <w:rPr>
          <w:spacing w:val="-2"/>
          <w:sz w:val="18"/>
        </w:rPr>
        <w:t>.</w:t>
      </w:r>
    </w:p>
    <w:p>
      <w:pPr>
        <w:spacing w:line="381" w:lineRule="auto" w:before="122"/>
        <w:ind w:left="232" w:right="951" w:firstLine="0"/>
        <w:jc w:val="left"/>
        <w:rPr>
          <w:sz w:val="18"/>
        </w:rPr>
      </w:pPr>
      <w:r>
        <w:rPr>
          <w:sz w:val="18"/>
        </w:rPr>
        <w:t>Australian</w:t>
      </w:r>
      <w:r>
        <w:rPr>
          <w:spacing w:val="-5"/>
          <w:sz w:val="18"/>
        </w:rPr>
        <w:t> </w:t>
      </w:r>
      <w:r>
        <w:rPr>
          <w:sz w:val="18"/>
        </w:rPr>
        <w:t>Gas</w:t>
      </w:r>
      <w:r>
        <w:rPr>
          <w:spacing w:val="-2"/>
          <w:sz w:val="18"/>
        </w:rPr>
        <w:t> </w:t>
      </w:r>
      <w:r>
        <w:rPr>
          <w:sz w:val="18"/>
        </w:rPr>
        <w:t>Networks,</w:t>
      </w:r>
      <w:r>
        <w:rPr>
          <w:spacing w:val="-3"/>
          <w:sz w:val="18"/>
        </w:rPr>
        <w:t> </w:t>
      </w:r>
      <w:r>
        <w:rPr>
          <w:sz w:val="18"/>
        </w:rPr>
        <w:t>2017.</w:t>
      </w:r>
      <w:r>
        <w:rPr>
          <w:spacing w:val="-1"/>
          <w:sz w:val="18"/>
        </w:rPr>
        <w:t> </w:t>
      </w:r>
      <w:r>
        <w:rPr>
          <w:i/>
          <w:sz w:val="18"/>
        </w:rPr>
        <w:t>AGN</w:t>
      </w:r>
      <w:r>
        <w:rPr>
          <w:i/>
          <w:spacing w:val="-3"/>
          <w:sz w:val="18"/>
        </w:rPr>
        <w:t> </w:t>
      </w:r>
      <w:r>
        <w:rPr>
          <w:i/>
          <w:sz w:val="18"/>
        </w:rPr>
        <w:t>Response</w:t>
      </w:r>
      <w:r>
        <w:rPr>
          <w:i/>
          <w:spacing w:val="-5"/>
          <w:sz w:val="18"/>
        </w:rPr>
        <w:t> </w:t>
      </w:r>
      <w:r>
        <w:rPr>
          <w:i/>
          <w:sz w:val="18"/>
        </w:rPr>
        <w:t>to</w:t>
      </w:r>
      <w:r>
        <w:rPr>
          <w:i/>
          <w:spacing w:val="-3"/>
          <w:sz w:val="18"/>
        </w:rPr>
        <w:t> </w:t>
      </w:r>
      <w:r>
        <w:rPr>
          <w:i/>
          <w:sz w:val="18"/>
        </w:rPr>
        <w:t>the</w:t>
      </w:r>
      <w:r>
        <w:rPr>
          <w:i/>
          <w:spacing w:val="-1"/>
          <w:sz w:val="18"/>
        </w:rPr>
        <w:t> </w:t>
      </w:r>
      <w:r>
        <w:rPr>
          <w:i/>
          <w:sz w:val="18"/>
        </w:rPr>
        <w:t>Review</w:t>
      </w:r>
      <w:r>
        <w:rPr>
          <w:i/>
          <w:spacing w:val="-3"/>
          <w:sz w:val="18"/>
        </w:rPr>
        <w:t> </w:t>
      </w:r>
      <w:r>
        <w:rPr>
          <w:i/>
          <w:sz w:val="18"/>
        </w:rPr>
        <w:t>of</w:t>
      </w:r>
      <w:r>
        <w:rPr>
          <w:i/>
          <w:spacing w:val="-3"/>
          <w:sz w:val="18"/>
        </w:rPr>
        <w:t> </w:t>
      </w:r>
      <w:r>
        <w:rPr>
          <w:i/>
          <w:sz w:val="18"/>
        </w:rPr>
        <w:t>Victoria's</w:t>
      </w:r>
      <w:r>
        <w:rPr>
          <w:i/>
          <w:spacing w:val="-2"/>
          <w:sz w:val="18"/>
        </w:rPr>
        <w:t> </w:t>
      </w:r>
      <w:r>
        <w:rPr>
          <w:i/>
          <w:sz w:val="18"/>
        </w:rPr>
        <w:t>Gas</w:t>
      </w:r>
      <w:r>
        <w:rPr>
          <w:i/>
          <w:spacing w:val="-2"/>
          <w:sz w:val="18"/>
        </w:rPr>
        <w:t> </w:t>
      </w:r>
      <w:r>
        <w:rPr>
          <w:i/>
          <w:sz w:val="18"/>
        </w:rPr>
        <w:t>Network</w:t>
      </w:r>
      <w:r>
        <w:rPr>
          <w:i/>
          <w:spacing w:val="-4"/>
          <w:sz w:val="18"/>
        </w:rPr>
        <w:t> </w:t>
      </w:r>
      <w:r>
        <w:rPr>
          <w:i/>
          <w:sz w:val="18"/>
        </w:rPr>
        <w:t>Safety</w:t>
      </w:r>
      <w:r>
        <w:rPr>
          <w:i/>
          <w:spacing w:val="-4"/>
          <w:sz w:val="18"/>
        </w:rPr>
        <w:t> </w:t>
      </w:r>
      <w:r>
        <w:rPr>
          <w:i/>
          <w:sz w:val="18"/>
        </w:rPr>
        <w:t>Framework</w:t>
      </w:r>
      <w:r>
        <w:rPr>
          <w:sz w:val="18"/>
        </w:rPr>
        <w:t>. Australian Standard, 2013. </w:t>
      </w:r>
      <w:r>
        <w:rPr>
          <w:i/>
          <w:sz w:val="18"/>
        </w:rPr>
        <w:t>Electricity network safety management- AS5577</w:t>
      </w:r>
      <w:r>
        <w:rPr>
          <w:sz w:val="18"/>
        </w:rPr>
        <w:t>.</w:t>
      </w:r>
    </w:p>
    <w:p>
      <w:pPr>
        <w:spacing w:line="285" w:lineRule="auto" w:before="0"/>
        <w:ind w:left="232" w:right="374" w:firstLine="0"/>
        <w:jc w:val="left"/>
        <w:rPr>
          <w:sz w:val="18"/>
        </w:rPr>
      </w:pPr>
      <w:r>
        <w:rPr>
          <w:sz w:val="18"/>
        </w:rPr>
        <w:t>CitiPower</w:t>
      </w:r>
      <w:r>
        <w:rPr>
          <w:spacing w:val="-3"/>
          <w:sz w:val="18"/>
        </w:rPr>
        <w:t> </w:t>
      </w:r>
      <w:r>
        <w:rPr>
          <w:sz w:val="18"/>
        </w:rPr>
        <w:t>&amp;</w:t>
      </w:r>
      <w:r>
        <w:rPr>
          <w:spacing w:val="-3"/>
          <w:sz w:val="18"/>
        </w:rPr>
        <w:t> </w:t>
      </w:r>
      <w:r>
        <w:rPr>
          <w:sz w:val="18"/>
        </w:rPr>
        <w:t>Powercor</w:t>
      </w:r>
      <w:r>
        <w:rPr>
          <w:spacing w:val="-3"/>
          <w:sz w:val="18"/>
        </w:rPr>
        <w:t> </w:t>
      </w:r>
      <w:r>
        <w:rPr>
          <w:sz w:val="18"/>
        </w:rPr>
        <w:t>Australia,</w:t>
      </w:r>
      <w:r>
        <w:rPr>
          <w:spacing w:val="-3"/>
          <w:sz w:val="18"/>
        </w:rPr>
        <w:t> </w:t>
      </w:r>
      <w:r>
        <w:rPr>
          <w:sz w:val="18"/>
        </w:rPr>
        <w:t>2017. </w:t>
      </w:r>
      <w:r>
        <w:rPr>
          <w:i/>
          <w:sz w:val="18"/>
        </w:rPr>
        <w:t>Additional</w:t>
      </w:r>
      <w:r>
        <w:rPr>
          <w:i/>
          <w:spacing w:val="-3"/>
          <w:sz w:val="18"/>
        </w:rPr>
        <w:t> </w:t>
      </w:r>
      <w:r>
        <w:rPr>
          <w:i/>
          <w:sz w:val="18"/>
        </w:rPr>
        <w:t>Information</w:t>
      </w:r>
      <w:r>
        <w:rPr>
          <w:i/>
          <w:spacing w:val="-5"/>
          <w:sz w:val="18"/>
        </w:rPr>
        <w:t> </w:t>
      </w:r>
      <w:r>
        <w:rPr>
          <w:i/>
          <w:sz w:val="18"/>
        </w:rPr>
        <w:t>to</w:t>
      </w:r>
      <w:r>
        <w:rPr>
          <w:i/>
          <w:spacing w:val="-3"/>
          <w:sz w:val="18"/>
        </w:rPr>
        <w:t> </w:t>
      </w:r>
      <w:r>
        <w:rPr>
          <w:i/>
          <w:sz w:val="18"/>
        </w:rPr>
        <w:t>Support</w:t>
      </w:r>
      <w:r>
        <w:rPr>
          <w:i/>
          <w:spacing w:val="-3"/>
          <w:sz w:val="18"/>
        </w:rPr>
        <w:t> </w:t>
      </w:r>
      <w:r>
        <w:rPr>
          <w:i/>
          <w:sz w:val="18"/>
        </w:rPr>
        <w:t>the</w:t>
      </w:r>
      <w:r>
        <w:rPr>
          <w:i/>
          <w:spacing w:val="-3"/>
          <w:sz w:val="18"/>
        </w:rPr>
        <w:t> </w:t>
      </w:r>
      <w:r>
        <w:rPr>
          <w:i/>
          <w:sz w:val="18"/>
        </w:rPr>
        <w:t>Review</w:t>
      </w:r>
      <w:r>
        <w:rPr>
          <w:i/>
          <w:spacing w:val="-6"/>
          <w:sz w:val="18"/>
        </w:rPr>
        <w:t> </w:t>
      </w:r>
      <w:r>
        <w:rPr>
          <w:i/>
          <w:sz w:val="18"/>
        </w:rPr>
        <w:t>of</w:t>
      </w:r>
      <w:r>
        <w:rPr>
          <w:i/>
          <w:spacing w:val="-3"/>
          <w:sz w:val="18"/>
        </w:rPr>
        <w:t> </w:t>
      </w:r>
      <w:r>
        <w:rPr>
          <w:i/>
          <w:sz w:val="18"/>
        </w:rPr>
        <w:t>Victoria’s</w:t>
      </w:r>
      <w:r>
        <w:rPr>
          <w:i/>
          <w:spacing w:val="-2"/>
          <w:sz w:val="18"/>
        </w:rPr>
        <w:t> </w:t>
      </w:r>
      <w:r>
        <w:rPr>
          <w:i/>
          <w:sz w:val="18"/>
        </w:rPr>
        <w:t>Electricity</w:t>
      </w:r>
      <w:r>
        <w:rPr>
          <w:i/>
          <w:spacing w:val="-2"/>
          <w:sz w:val="18"/>
        </w:rPr>
        <w:t> </w:t>
      </w:r>
      <w:r>
        <w:rPr>
          <w:i/>
          <w:sz w:val="18"/>
        </w:rPr>
        <w:t>Network Safety Framework</w:t>
      </w:r>
      <w:r>
        <w:rPr>
          <w:sz w:val="18"/>
        </w:rPr>
        <w:t>.</w:t>
      </w:r>
    </w:p>
    <w:p>
      <w:pPr>
        <w:spacing w:before="83"/>
        <w:ind w:left="232" w:right="0" w:firstLine="0"/>
        <w:jc w:val="left"/>
        <w:rPr>
          <w:sz w:val="18"/>
        </w:rPr>
      </w:pPr>
      <w:r>
        <w:rPr>
          <w:sz w:val="18"/>
        </w:rPr>
        <w:t>Electrical</w:t>
      </w:r>
      <w:r>
        <w:rPr>
          <w:spacing w:val="-4"/>
          <w:sz w:val="18"/>
        </w:rPr>
        <w:t> </w:t>
      </w:r>
      <w:r>
        <w:rPr>
          <w:sz w:val="18"/>
        </w:rPr>
        <w:t>Trades</w:t>
      </w:r>
      <w:r>
        <w:rPr>
          <w:spacing w:val="-4"/>
          <w:sz w:val="18"/>
        </w:rPr>
        <w:t> </w:t>
      </w:r>
      <w:r>
        <w:rPr>
          <w:sz w:val="18"/>
        </w:rPr>
        <w:t>Union,</w:t>
      </w:r>
      <w:r>
        <w:rPr>
          <w:spacing w:val="-4"/>
          <w:sz w:val="18"/>
        </w:rPr>
        <w:t> </w:t>
      </w:r>
      <w:r>
        <w:rPr>
          <w:sz w:val="18"/>
        </w:rPr>
        <w:t>2017.</w:t>
      </w:r>
      <w:r>
        <w:rPr>
          <w:spacing w:val="-2"/>
          <w:sz w:val="18"/>
        </w:rPr>
        <w:t> </w:t>
      </w:r>
      <w:r>
        <w:rPr>
          <w:i/>
          <w:sz w:val="18"/>
        </w:rPr>
        <w:t>ETU</w:t>
      </w:r>
      <w:r>
        <w:rPr>
          <w:i/>
          <w:spacing w:val="-3"/>
          <w:sz w:val="18"/>
        </w:rPr>
        <w:t> </w:t>
      </w:r>
      <w:r>
        <w:rPr>
          <w:i/>
          <w:sz w:val="18"/>
        </w:rPr>
        <w:t>Submission</w:t>
      </w:r>
      <w:r>
        <w:rPr>
          <w:i/>
          <w:spacing w:val="-3"/>
          <w:sz w:val="18"/>
        </w:rPr>
        <w:t> </w:t>
      </w:r>
      <w:r>
        <w:rPr>
          <w:i/>
          <w:sz w:val="18"/>
        </w:rPr>
        <w:t>to</w:t>
      </w:r>
      <w:r>
        <w:rPr>
          <w:i/>
          <w:spacing w:val="-5"/>
          <w:sz w:val="18"/>
        </w:rPr>
        <w:t> </w:t>
      </w:r>
      <w:r>
        <w:rPr>
          <w:i/>
          <w:sz w:val="18"/>
        </w:rPr>
        <w:t>the</w:t>
      </w:r>
      <w:r>
        <w:rPr>
          <w:i/>
          <w:spacing w:val="-3"/>
          <w:sz w:val="18"/>
        </w:rPr>
        <w:t> </w:t>
      </w:r>
      <w:r>
        <w:rPr>
          <w:i/>
          <w:spacing w:val="-2"/>
          <w:sz w:val="18"/>
        </w:rPr>
        <w:t>Review</w:t>
      </w:r>
      <w:r>
        <w:rPr>
          <w:spacing w:val="-2"/>
          <w:sz w:val="18"/>
        </w:rPr>
        <w:t>.</w:t>
      </w:r>
    </w:p>
    <w:p>
      <w:pPr>
        <w:spacing w:line="285" w:lineRule="auto" w:before="122"/>
        <w:ind w:left="232" w:right="4536" w:firstLine="0"/>
        <w:jc w:val="left"/>
        <w:rPr>
          <w:sz w:val="18"/>
        </w:rPr>
      </w:pPr>
      <w:r>
        <w:rPr>
          <w:sz w:val="18"/>
        </w:rPr>
        <w:t>Engineers</w:t>
      </w:r>
      <w:r>
        <w:rPr>
          <w:spacing w:val="-6"/>
          <w:sz w:val="18"/>
        </w:rPr>
        <w:t> </w:t>
      </w:r>
      <w:r>
        <w:rPr>
          <w:sz w:val="18"/>
        </w:rPr>
        <w:t>Australia,</w:t>
      </w:r>
      <w:r>
        <w:rPr>
          <w:spacing w:val="-7"/>
          <w:sz w:val="18"/>
        </w:rPr>
        <w:t> </w:t>
      </w:r>
      <w:r>
        <w:rPr>
          <w:sz w:val="18"/>
        </w:rPr>
        <w:t>2017.</w:t>
      </w:r>
      <w:r>
        <w:rPr>
          <w:spacing w:val="-4"/>
          <w:sz w:val="18"/>
        </w:rPr>
        <w:t> </w:t>
      </w:r>
      <w:r>
        <w:rPr>
          <w:i/>
          <w:sz w:val="18"/>
        </w:rPr>
        <w:t>Engineers</w:t>
      </w:r>
      <w:r>
        <w:rPr>
          <w:i/>
          <w:spacing w:val="-6"/>
          <w:sz w:val="18"/>
        </w:rPr>
        <w:t> </w:t>
      </w:r>
      <w:r>
        <w:rPr>
          <w:i/>
          <w:sz w:val="18"/>
        </w:rPr>
        <w:t>Australia</w:t>
      </w:r>
      <w:r>
        <w:rPr>
          <w:i/>
          <w:spacing w:val="-9"/>
          <w:sz w:val="18"/>
        </w:rPr>
        <w:t> </w:t>
      </w:r>
      <w:r>
        <w:rPr>
          <w:i/>
          <w:sz w:val="18"/>
        </w:rPr>
        <w:t>submission</w:t>
      </w:r>
      <w:r>
        <w:rPr>
          <w:i/>
          <w:spacing w:val="-9"/>
          <w:sz w:val="18"/>
        </w:rPr>
        <w:t> </w:t>
      </w:r>
      <w:r>
        <w:rPr>
          <w:i/>
          <w:sz w:val="18"/>
        </w:rPr>
        <w:t>to Review of Victoria’s Electricity and Gas Safety Framework</w:t>
      </w:r>
      <w:r>
        <w:rPr>
          <w:sz w:val="18"/>
        </w:rPr>
        <w:t>.</w:t>
      </w:r>
    </w:p>
    <w:p>
      <w:pPr>
        <w:spacing w:before="83"/>
        <w:ind w:left="232" w:right="0" w:firstLine="0"/>
        <w:jc w:val="left"/>
        <w:rPr>
          <w:sz w:val="18"/>
        </w:rPr>
      </w:pPr>
      <w:r>
        <w:rPr>
          <w:sz w:val="18"/>
        </w:rPr>
        <w:t>ESV,</w:t>
      </w:r>
      <w:r>
        <w:rPr>
          <w:spacing w:val="-6"/>
          <w:sz w:val="18"/>
        </w:rPr>
        <w:t> </w:t>
      </w:r>
      <w:r>
        <w:rPr>
          <w:sz w:val="18"/>
        </w:rPr>
        <w:t>2017.</w:t>
      </w:r>
      <w:r>
        <w:rPr>
          <w:spacing w:val="-4"/>
          <w:sz w:val="18"/>
        </w:rPr>
        <w:t> </w:t>
      </w:r>
      <w:r>
        <w:rPr>
          <w:i/>
          <w:sz w:val="18"/>
        </w:rPr>
        <w:t>Energy</w:t>
      </w:r>
      <w:r>
        <w:rPr>
          <w:i/>
          <w:spacing w:val="-4"/>
          <w:sz w:val="18"/>
        </w:rPr>
        <w:t> </w:t>
      </w:r>
      <w:r>
        <w:rPr>
          <w:i/>
          <w:sz w:val="18"/>
        </w:rPr>
        <w:t>Safe</w:t>
      </w:r>
      <w:r>
        <w:rPr>
          <w:i/>
          <w:spacing w:val="-5"/>
          <w:sz w:val="18"/>
        </w:rPr>
        <w:t> </w:t>
      </w:r>
      <w:r>
        <w:rPr>
          <w:i/>
          <w:sz w:val="18"/>
        </w:rPr>
        <w:t>Victoria</w:t>
      </w:r>
      <w:r>
        <w:rPr>
          <w:i/>
          <w:spacing w:val="-5"/>
          <w:sz w:val="18"/>
        </w:rPr>
        <w:t> </w:t>
      </w:r>
      <w:r>
        <w:rPr>
          <w:i/>
          <w:sz w:val="18"/>
        </w:rPr>
        <w:t>Corporate</w:t>
      </w:r>
      <w:r>
        <w:rPr>
          <w:i/>
          <w:spacing w:val="-6"/>
          <w:sz w:val="18"/>
        </w:rPr>
        <w:t> </w:t>
      </w:r>
      <w:r>
        <w:rPr>
          <w:i/>
          <w:sz w:val="18"/>
        </w:rPr>
        <w:t>Plan</w:t>
      </w:r>
      <w:r>
        <w:rPr>
          <w:i/>
          <w:spacing w:val="-7"/>
          <w:sz w:val="18"/>
        </w:rPr>
        <w:t> </w:t>
      </w:r>
      <w:r>
        <w:rPr>
          <w:i/>
          <w:sz w:val="18"/>
        </w:rPr>
        <w:t>2017–2020,</w:t>
      </w:r>
      <w:r>
        <w:rPr>
          <w:i/>
          <w:spacing w:val="-4"/>
          <w:sz w:val="18"/>
        </w:rPr>
        <w:t> </w:t>
      </w:r>
      <w:r>
        <w:rPr>
          <w:spacing w:val="-2"/>
          <w:sz w:val="18"/>
        </w:rPr>
        <w:t>Melbourne.</w:t>
      </w:r>
    </w:p>
    <w:p>
      <w:pPr>
        <w:spacing w:before="122"/>
        <w:ind w:left="232" w:right="0" w:firstLine="0"/>
        <w:jc w:val="left"/>
        <w:rPr>
          <w:sz w:val="18"/>
        </w:rPr>
      </w:pPr>
      <w:r>
        <w:rPr>
          <w:sz w:val="18"/>
        </w:rPr>
        <w:t>Haddon-Cave,</w:t>
      </w:r>
      <w:r>
        <w:rPr>
          <w:spacing w:val="-5"/>
          <w:sz w:val="18"/>
        </w:rPr>
        <w:t> </w:t>
      </w:r>
      <w:r>
        <w:rPr>
          <w:sz w:val="18"/>
        </w:rPr>
        <w:t>J.,</w:t>
      </w:r>
      <w:r>
        <w:rPr>
          <w:spacing w:val="-5"/>
          <w:sz w:val="18"/>
        </w:rPr>
        <w:t> </w:t>
      </w:r>
      <w:r>
        <w:rPr>
          <w:sz w:val="18"/>
        </w:rPr>
        <w:t>2017.</w:t>
      </w:r>
      <w:r>
        <w:rPr>
          <w:spacing w:val="-2"/>
          <w:sz w:val="18"/>
        </w:rPr>
        <w:t> </w:t>
      </w:r>
      <w:r>
        <w:rPr>
          <w:i/>
          <w:sz w:val="18"/>
        </w:rPr>
        <w:t>Zen</w:t>
      </w:r>
      <w:r>
        <w:rPr>
          <w:i/>
          <w:spacing w:val="-3"/>
          <w:sz w:val="18"/>
        </w:rPr>
        <w:t> </w:t>
      </w:r>
      <w:r>
        <w:rPr>
          <w:i/>
          <w:sz w:val="18"/>
        </w:rPr>
        <w:t>and</w:t>
      </w:r>
      <w:r>
        <w:rPr>
          <w:i/>
          <w:spacing w:val="-3"/>
          <w:sz w:val="18"/>
        </w:rPr>
        <w:t> </w:t>
      </w:r>
      <w:r>
        <w:rPr>
          <w:i/>
          <w:sz w:val="18"/>
        </w:rPr>
        <w:t>the</w:t>
      </w:r>
      <w:r>
        <w:rPr>
          <w:i/>
          <w:spacing w:val="-5"/>
          <w:sz w:val="18"/>
        </w:rPr>
        <w:t> </w:t>
      </w:r>
      <w:r>
        <w:rPr>
          <w:i/>
          <w:sz w:val="18"/>
        </w:rPr>
        <w:t>Art</w:t>
      </w:r>
      <w:r>
        <w:rPr>
          <w:i/>
          <w:spacing w:val="-3"/>
          <w:sz w:val="18"/>
        </w:rPr>
        <w:t> </w:t>
      </w:r>
      <w:r>
        <w:rPr>
          <w:i/>
          <w:sz w:val="18"/>
        </w:rPr>
        <w:t>of</w:t>
      </w:r>
      <w:r>
        <w:rPr>
          <w:i/>
          <w:spacing w:val="-5"/>
          <w:sz w:val="18"/>
        </w:rPr>
        <w:t> </w:t>
      </w:r>
      <w:r>
        <w:rPr>
          <w:i/>
          <w:sz w:val="18"/>
        </w:rPr>
        <w:t>Safety</w:t>
      </w:r>
      <w:r>
        <w:rPr>
          <w:i/>
          <w:spacing w:val="-2"/>
          <w:sz w:val="18"/>
        </w:rPr>
        <w:t> </w:t>
      </w:r>
      <w:r>
        <w:rPr>
          <w:i/>
          <w:sz w:val="18"/>
        </w:rPr>
        <w:t>Case</w:t>
      </w:r>
      <w:r>
        <w:rPr>
          <w:i/>
          <w:spacing w:val="-3"/>
          <w:sz w:val="18"/>
        </w:rPr>
        <w:t> </w:t>
      </w:r>
      <w:r>
        <w:rPr>
          <w:i/>
          <w:sz w:val="18"/>
        </w:rPr>
        <w:t>Maintenance</w:t>
      </w:r>
      <w:r>
        <w:rPr>
          <w:i/>
          <w:spacing w:val="-4"/>
          <w:sz w:val="18"/>
        </w:rPr>
        <w:t> </w:t>
      </w:r>
      <w:r>
        <w:rPr>
          <w:i/>
          <w:sz w:val="18"/>
        </w:rPr>
        <w:t>in</w:t>
      </w:r>
      <w:r>
        <w:rPr>
          <w:i/>
          <w:spacing w:val="-3"/>
          <w:sz w:val="18"/>
        </w:rPr>
        <w:t> </w:t>
      </w:r>
      <w:r>
        <w:rPr>
          <w:i/>
          <w:sz w:val="18"/>
        </w:rPr>
        <w:t>the</w:t>
      </w:r>
      <w:r>
        <w:rPr>
          <w:i/>
          <w:spacing w:val="-3"/>
          <w:sz w:val="18"/>
        </w:rPr>
        <w:t> </w:t>
      </w:r>
      <w:r>
        <w:rPr>
          <w:i/>
          <w:sz w:val="18"/>
        </w:rPr>
        <w:t>Post-Nimrod</w:t>
      </w:r>
      <w:r>
        <w:rPr>
          <w:i/>
          <w:spacing w:val="-5"/>
          <w:sz w:val="18"/>
        </w:rPr>
        <w:t> </w:t>
      </w:r>
      <w:r>
        <w:rPr>
          <w:i/>
          <w:sz w:val="18"/>
        </w:rPr>
        <w:t>World.</w:t>
      </w:r>
      <w:r>
        <w:rPr>
          <w:i/>
          <w:spacing w:val="-4"/>
          <w:sz w:val="18"/>
        </w:rPr>
        <w:t> </w:t>
      </w:r>
      <w:r>
        <w:rPr>
          <w:spacing w:val="-2"/>
          <w:sz w:val="18"/>
        </w:rPr>
        <w:t>London.</w:t>
      </w:r>
    </w:p>
    <w:p>
      <w:pPr>
        <w:spacing w:line="285" w:lineRule="auto" w:before="122"/>
        <w:ind w:left="232" w:right="0" w:firstLine="0"/>
        <w:jc w:val="left"/>
        <w:rPr>
          <w:sz w:val="18"/>
        </w:rPr>
      </w:pPr>
      <w:r>
        <w:rPr>
          <w:sz w:val="18"/>
        </w:rPr>
        <w:t>McDermott,</w:t>
      </w:r>
      <w:r>
        <w:rPr>
          <w:spacing w:val="-2"/>
          <w:sz w:val="18"/>
        </w:rPr>
        <w:t> </w:t>
      </w:r>
      <w:r>
        <w:rPr>
          <w:sz w:val="18"/>
        </w:rPr>
        <w:t>V.</w:t>
      </w:r>
      <w:r>
        <w:rPr>
          <w:spacing w:val="-2"/>
          <w:sz w:val="18"/>
        </w:rPr>
        <w:t> </w:t>
      </w:r>
      <w:r>
        <w:rPr>
          <w:sz w:val="18"/>
        </w:rPr>
        <w:t>&amp;</w:t>
      </w:r>
      <w:r>
        <w:rPr>
          <w:spacing w:val="-2"/>
          <w:sz w:val="18"/>
        </w:rPr>
        <w:t> </w:t>
      </w:r>
      <w:r>
        <w:rPr>
          <w:sz w:val="18"/>
        </w:rPr>
        <w:t>Hayes, J.,</w:t>
      </w:r>
      <w:r>
        <w:rPr>
          <w:spacing w:val="-2"/>
          <w:sz w:val="18"/>
        </w:rPr>
        <w:t> </w:t>
      </w:r>
      <w:r>
        <w:rPr>
          <w:sz w:val="18"/>
        </w:rPr>
        <w:t>2016.</w:t>
      </w:r>
      <w:r>
        <w:rPr>
          <w:spacing w:val="-4"/>
          <w:sz w:val="18"/>
        </w:rPr>
        <w:t> </w:t>
      </w:r>
      <w:r>
        <w:rPr>
          <w:i/>
          <w:sz w:val="18"/>
        </w:rPr>
        <w:t>We're</w:t>
      </w:r>
      <w:r>
        <w:rPr>
          <w:i/>
          <w:spacing w:val="-4"/>
          <w:sz w:val="18"/>
        </w:rPr>
        <w:t> </w:t>
      </w:r>
      <w:r>
        <w:rPr>
          <w:i/>
          <w:sz w:val="18"/>
        </w:rPr>
        <w:t>still</w:t>
      </w:r>
      <w:r>
        <w:rPr>
          <w:i/>
          <w:spacing w:val="-4"/>
          <w:sz w:val="18"/>
        </w:rPr>
        <w:t> </w:t>
      </w:r>
      <w:r>
        <w:rPr>
          <w:i/>
          <w:sz w:val="18"/>
        </w:rPr>
        <w:t>hitting</w:t>
      </w:r>
      <w:r>
        <w:rPr>
          <w:i/>
          <w:spacing w:val="-4"/>
          <w:sz w:val="18"/>
        </w:rPr>
        <w:t> </w:t>
      </w:r>
      <w:r>
        <w:rPr>
          <w:i/>
          <w:sz w:val="18"/>
        </w:rPr>
        <w:t>things:</w:t>
      </w:r>
      <w:r>
        <w:rPr>
          <w:i/>
          <w:spacing w:val="-4"/>
          <w:sz w:val="18"/>
        </w:rPr>
        <w:t> </w:t>
      </w:r>
      <w:r>
        <w:rPr>
          <w:i/>
          <w:sz w:val="18"/>
        </w:rPr>
        <w:t>the</w:t>
      </w:r>
      <w:r>
        <w:rPr>
          <w:i/>
          <w:spacing w:val="-2"/>
          <w:sz w:val="18"/>
        </w:rPr>
        <w:t> </w:t>
      </w:r>
      <w:r>
        <w:rPr>
          <w:i/>
          <w:sz w:val="18"/>
        </w:rPr>
        <w:t>effectiveness</w:t>
      </w:r>
      <w:r>
        <w:rPr>
          <w:i/>
          <w:spacing w:val="-1"/>
          <w:sz w:val="18"/>
        </w:rPr>
        <w:t> </w:t>
      </w:r>
      <w:r>
        <w:rPr>
          <w:i/>
          <w:sz w:val="18"/>
        </w:rPr>
        <w:t>of</w:t>
      </w:r>
      <w:r>
        <w:rPr>
          <w:i/>
          <w:spacing w:val="-4"/>
          <w:sz w:val="18"/>
        </w:rPr>
        <w:t> </w:t>
      </w:r>
      <w:r>
        <w:rPr>
          <w:i/>
          <w:sz w:val="18"/>
        </w:rPr>
        <w:t>third</w:t>
      </w:r>
      <w:r>
        <w:rPr>
          <w:i/>
          <w:spacing w:val="-2"/>
          <w:sz w:val="18"/>
        </w:rPr>
        <w:t> </w:t>
      </w:r>
      <w:r>
        <w:rPr>
          <w:i/>
          <w:sz w:val="18"/>
        </w:rPr>
        <w:t>party</w:t>
      </w:r>
      <w:r>
        <w:rPr>
          <w:i/>
          <w:spacing w:val="-1"/>
          <w:sz w:val="18"/>
        </w:rPr>
        <w:t> </w:t>
      </w:r>
      <w:r>
        <w:rPr>
          <w:i/>
          <w:sz w:val="18"/>
        </w:rPr>
        <w:t>processes</w:t>
      </w:r>
      <w:r>
        <w:rPr>
          <w:i/>
          <w:spacing w:val="-1"/>
          <w:sz w:val="18"/>
        </w:rPr>
        <w:t> </w:t>
      </w:r>
      <w:r>
        <w:rPr>
          <w:i/>
          <w:sz w:val="18"/>
        </w:rPr>
        <w:t>for</w:t>
      </w:r>
      <w:r>
        <w:rPr>
          <w:i/>
          <w:spacing w:val="-5"/>
          <w:sz w:val="18"/>
        </w:rPr>
        <w:t> </w:t>
      </w:r>
      <w:r>
        <w:rPr>
          <w:i/>
          <w:sz w:val="18"/>
        </w:rPr>
        <w:t>pipeline</w:t>
      </w:r>
      <w:r>
        <w:rPr>
          <w:i/>
          <w:spacing w:val="-4"/>
          <w:sz w:val="18"/>
        </w:rPr>
        <w:t> </w:t>
      </w:r>
      <w:r>
        <w:rPr>
          <w:i/>
          <w:sz w:val="18"/>
        </w:rPr>
        <w:t>strike prevention. </w:t>
      </w:r>
      <w:r>
        <w:rPr>
          <w:sz w:val="18"/>
        </w:rPr>
        <w:t>Calgary.</w:t>
      </w:r>
    </w:p>
    <w:p>
      <w:pPr>
        <w:spacing w:line="290" w:lineRule="auto" w:before="84"/>
        <w:ind w:left="232" w:right="374" w:firstLine="0"/>
        <w:jc w:val="left"/>
        <w:rPr>
          <w:sz w:val="18"/>
        </w:rPr>
      </w:pPr>
      <w:r>
        <w:rPr>
          <w:sz w:val="18"/>
        </w:rPr>
        <w:t>McDermott,</w:t>
      </w:r>
      <w:r>
        <w:rPr>
          <w:spacing w:val="-2"/>
          <w:sz w:val="18"/>
        </w:rPr>
        <w:t> </w:t>
      </w:r>
      <w:r>
        <w:rPr>
          <w:sz w:val="18"/>
        </w:rPr>
        <w:t>V.</w:t>
      </w:r>
      <w:r>
        <w:rPr>
          <w:spacing w:val="-2"/>
          <w:sz w:val="18"/>
        </w:rPr>
        <w:t> </w:t>
      </w:r>
      <w:r>
        <w:rPr>
          <w:sz w:val="18"/>
        </w:rPr>
        <w:t>&amp;</w:t>
      </w:r>
      <w:r>
        <w:rPr>
          <w:spacing w:val="-2"/>
          <w:sz w:val="18"/>
        </w:rPr>
        <w:t> </w:t>
      </w:r>
      <w:r>
        <w:rPr>
          <w:sz w:val="18"/>
        </w:rPr>
        <w:t>Hayes,</w:t>
      </w:r>
      <w:r>
        <w:rPr>
          <w:spacing w:val="-2"/>
          <w:sz w:val="18"/>
        </w:rPr>
        <w:t> </w:t>
      </w:r>
      <w:r>
        <w:rPr>
          <w:sz w:val="18"/>
        </w:rPr>
        <w:t>J., 2017.</w:t>
      </w:r>
      <w:r>
        <w:rPr>
          <w:spacing w:val="-2"/>
          <w:sz w:val="18"/>
        </w:rPr>
        <w:t> </w:t>
      </w:r>
      <w:r>
        <w:rPr>
          <w:sz w:val="18"/>
        </w:rPr>
        <w:t>Risk</w:t>
      </w:r>
      <w:r>
        <w:rPr>
          <w:spacing w:val="-3"/>
          <w:sz w:val="18"/>
        </w:rPr>
        <w:t> </w:t>
      </w:r>
      <w:r>
        <w:rPr>
          <w:sz w:val="18"/>
        </w:rPr>
        <w:t>shifting</w:t>
      </w:r>
      <w:r>
        <w:rPr>
          <w:spacing w:val="-2"/>
          <w:sz w:val="18"/>
        </w:rPr>
        <w:t> </w:t>
      </w:r>
      <w:r>
        <w:rPr>
          <w:sz w:val="18"/>
        </w:rPr>
        <w:t>and</w:t>
      </w:r>
      <w:r>
        <w:rPr>
          <w:spacing w:val="-2"/>
          <w:sz w:val="18"/>
        </w:rPr>
        <w:t> </w:t>
      </w:r>
      <w:r>
        <w:rPr>
          <w:sz w:val="18"/>
        </w:rPr>
        <w:t>disorganization</w:t>
      </w:r>
      <w:r>
        <w:rPr>
          <w:spacing w:val="-2"/>
          <w:sz w:val="18"/>
        </w:rPr>
        <w:t> </w:t>
      </w:r>
      <w:r>
        <w:rPr>
          <w:sz w:val="18"/>
        </w:rPr>
        <w:t>in</w:t>
      </w:r>
      <w:r>
        <w:rPr>
          <w:spacing w:val="-2"/>
          <w:sz w:val="18"/>
        </w:rPr>
        <w:t> </w:t>
      </w:r>
      <w:r>
        <w:rPr>
          <w:sz w:val="18"/>
        </w:rPr>
        <w:t>multi-tier</w:t>
      </w:r>
      <w:r>
        <w:rPr>
          <w:spacing w:val="-4"/>
          <w:sz w:val="18"/>
        </w:rPr>
        <w:t> </w:t>
      </w:r>
      <w:r>
        <w:rPr>
          <w:sz w:val="18"/>
        </w:rPr>
        <w:t>contracting</w:t>
      </w:r>
      <w:r>
        <w:rPr>
          <w:spacing w:val="-4"/>
          <w:sz w:val="18"/>
        </w:rPr>
        <w:t> </w:t>
      </w:r>
      <w:r>
        <w:rPr>
          <w:sz w:val="18"/>
        </w:rPr>
        <w:t>chains:</w:t>
      </w:r>
      <w:r>
        <w:rPr>
          <w:spacing w:val="-4"/>
          <w:sz w:val="18"/>
        </w:rPr>
        <w:t> </w:t>
      </w:r>
      <w:r>
        <w:rPr>
          <w:sz w:val="18"/>
        </w:rPr>
        <w:t>The</w:t>
      </w:r>
      <w:r>
        <w:rPr>
          <w:spacing w:val="-2"/>
          <w:sz w:val="18"/>
        </w:rPr>
        <w:t> </w:t>
      </w:r>
      <w:r>
        <w:rPr>
          <w:sz w:val="18"/>
        </w:rPr>
        <w:t>implications</w:t>
      </w:r>
      <w:r>
        <w:rPr>
          <w:spacing w:val="-1"/>
          <w:sz w:val="18"/>
        </w:rPr>
        <w:t> </w:t>
      </w:r>
      <w:r>
        <w:rPr>
          <w:sz w:val="18"/>
        </w:rPr>
        <w:t>for public safety. </w:t>
      </w:r>
      <w:r>
        <w:rPr>
          <w:i/>
          <w:sz w:val="18"/>
        </w:rPr>
        <w:t>Safety Science, </w:t>
      </w:r>
      <w:r>
        <w:rPr>
          <w:sz w:val="18"/>
        </w:rPr>
        <w:t>pp. 1-10.</w:t>
      </w:r>
    </w:p>
    <w:p>
      <w:pPr>
        <w:spacing w:before="75"/>
        <w:ind w:left="232" w:right="0" w:firstLine="0"/>
        <w:jc w:val="left"/>
        <w:rPr>
          <w:sz w:val="18"/>
        </w:rPr>
      </w:pPr>
      <w:r>
        <w:rPr>
          <w:sz w:val="18"/>
        </w:rPr>
        <w:t>Hopkins,</w:t>
      </w:r>
      <w:r>
        <w:rPr>
          <w:spacing w:val="-6"/>
          <w:sz w:val="18"/>
        </w:rPr>
        <w:t> </w:t>
      </w:r>
      <w:r>
        <w:rPr>
          <w:sz w:val="18"/>
        </w:rPr>
        <w:t>A.,</w:t>
      </w:r>
      <w:r>
        <w:rPr>
          <w:spacing w:val="-5"/>
          <w:sz w:val="18"/>
        </w:rPr>
        <w:t> </w:t>
      </w:r>
      <w:r>
        <w:rPr>
          <w:sz w:val="18"/>
        </w:rPr>
        <w:t>2012.</w:t>
      </w:r>
      <w:r>
        <w:rPr>
          <w:spacing w:val="-4"/>
          <w:sz w:val="18"/>
        </w:rPr>
        <w:t> </w:t>
      </w:r>
      <w:r>
        <w:rPr>
          <w:i/>
          <w:sz w:val="18"/>
        </w:rPr>
        <w:t>Explaining</w:t>
      </w:r>
      <w:r>
        <w:rPr>
          <w:i/>
          <w:spacing w:val="-7"/>
          <w:sz w:val="18"/>
        </w:rPr>
        <w:t> </w:t>
      </w:r>
      <w:r>
        <w:rPr>
          <w:i/>
          <w:sz w:val="18"/>
        </w:rPr>
        <w:t>“Safety</w:t>
      </w:r>
      <w:r>
        <w:rPr>
          <w:i/>
          <w:spacing w:val="-6"/>
          <w:sz w:val="18"/>
        </w:rPr>
        <w:t> </w:t>
      </w:r>
      <w:r>
        <w:rPr>
          <w:i/>
          <w:spacing w:val="-2"/>
          <w:sz w:val="18"/>
        </w:rPr>
        <w:t>Case”</w:t>
      </w:r>
      <w:r>
        <w:rPr>
          <w:spacing w:val="-2"/>
          <w:sz w:val="18"/>
        </w:rPr>
        <w:t>.</w:t>
      </w:r>
    </w:p>
    <w:p>
      <w:pPr>
        <w:spacing w:before="122"/>
        <w:ind w:left="232" w:right="0" w:firstLine="0"/>
        <w:jc w:val="left"/>
        <w:rPr>
          <w:sz w:val="18"/>
        </w:rPr>
      </w:pPr>
      <w:r>
        <w:rPr>
          <w:i/>
          <w:sz w:val="18"/>
        </w:rPr>
        <w:t>Occupational</w:t>
      </w:r>
      <w:r>
        <w:rPr>
          <w:i/>
          <w:spacing w:val="-6"/>
          <w:sz w:val="18"/>
        </w:rPr>
        <w:t> </w:t>
      </w:r>
      <w:r>
        <w:rPr>
          <w:i/>
          <w:sz w:val="18"/>
        </w:rPr>
        <w:t>Health</w:t>
      </w:r>
      <w:r>
        <w:rPr>
          <w:i/>
          <w:spacing w:val="-5"/>
          <w:sz w:val="18"/>
        </w:rPr>
        <w:t> </w:t>
      </w:r>
      <w:r>
        <w:rPr>
          <w:i/>
          <w:sz w:val="18"/>
        </w:rPr>
        <w:t>and</w:t>
      </w:r>
      <w:r>
        <w:rPr>
          <w:i/>
          <w:spacing w:val="-5"/>
          <w:sz w:val="18"/>
        </w:rPr>
        <w:t> </w:t>
      </w:r>
      <w:r>
        <w:rPr>
          <w:i/>
          <w:sz w:val="18"/>
        </w:rPr>
        <w:t>Safety</w:t>
      </w:r>
      <w:r>
        <w:rPr>
          <w:i/>
          <w:spacing w:val="-5"/>
          <w:sz w:val="18"/>
        </w:rPr>
        <w:t> </w:t>
      </w:r>
      <w:r>
        <w:rPr>
          <w:i/>
          <w:sz w:val="18"/>
        </w:rPr>
        <w:t>Act</w:t>
      </w:r>
      <w:r>
        <w:rPr>
          <w:i/>
          <w:spacing w:val="-7"/>
          <w:sz w:val="18"/>
        </w:rPr>
        <w:t> </w:t>
      </w:r>
      <w:r>
        <w:rPr>
          <w:i/>
          <w:sz w:val="18"/>
        </w:rPr>
        <w:t>2004</w:t>
      </w:r>
      <w:r>
        <w:rPr>
          <w:i/>
          <w:spacing w:val="-2"/>
          <w:sz w:val="18"/>
        </w:rPr>
        <w:t> </w:t>
      </w:r>
      <w:r>
        <w:rPr>
          <w:sz w:val="18"/>
        </w:rPr>
        <w:t>(2004)</w:t>
      </w:r>
      <w:r>
        <w:rPr>
          <w:spacing w:val="-5"/>
          <w:sz w:val="18"/>
        </w:rPr>
        <w:t> </w:t>
      </w:r>
      <w:r>
        <w:rPr>
          <w:sz w:val="18"/>
        </w:rPr>
        <w:t>Parliament</w:t>
      </w:r>
      <w:r>
        <w:rPr>
          <w:spacing w:val="-8"/>
          <w:sz w:val="18"/>
        </w:rPr>
        <w:t> </w:t>
      </w:r>
      <w:r>
        <w:rPr>
          <w:sz w:val="18"/>
        </w:rPr>
        <w:t>of</w:t>
      </w:r>
      <w:r>
        <w:rPr>
          <w:spacing w:val="-6"/>
          <w:sz w:val="18"/>
        </w:rPr>
        <w:t> </w:t>
      </w:r>
      <w:r>
        <w:rPr>
          <w:spacing w:val="-2"/>
          <w:sz w:val="18"/>
        </w:rPr>
        <w:t>Victoria.</w:t>
      </w:r>
    </w:p>
    <w:p>
      <w:pPr>
        <w:spacing w:before="121"/>
        <w:ind w:left="232" w:right="0" w:firstLine="0"/>
        <w:jc w:val="left"/>
        <w:rPr>
          <w:i/>
          <w:sz w:val="18"/>
        </w:rPr>
      </w:pPr>
      <w:r>
        <w:rPr>
          <w:sz w:val="18"/>
        </w:rPr>
        <w:t>United</w:t>
      </w:r>
      <w:r>
        <w:rPr>
          <w:spacing w:val="-5"/>
          <w:sz w:val="18"/>
        </w:rPr>
        <w:t> </w:t>
      </w:r>
      <w:r>
        <w:rPr>
          <w:sz w:val="18"/>
        </w:rPr>
        <w:t>Energy,</w:t>
      </w:r>
      <w:r>
        <w:rPr>
          <w:spacing w:val="-5"/>
          <w:sz w:val="18"/>
        </w:rPr>
        <w:t> </w:t>
      </w:r>
      <w:r>
        <w:rPr>
          <w:sz w:val="18"/>
        </w:rPr>
        <w:t>2017.</w:t>
      </w:r>
      <w:r>
        <w:rPr>
          <w:spacing w:val="-2"/>
          <w:sz w:val="18"/>
        </w:rPr>
        <w:t> </w:t>
      </w:r>
      <w:r>
        <w:rPr>
          <w:i/>
          <w:sz w:val="18"/>
        </w:rPr>
        <w:t>United</w:t>
      </w:r>
      <w:r>
        <w:rPr>
          <w:i/>
          <w:spacing w:val="-5"/>
          <w:sz w:val="18"/>
        </w:rPr>
        <w:t> </w:t>
      </w:r>
      <w:r>
        <w:rPr>
          <w:i/>
          <w:sz w:val="18"/>
        </w:rPr>
        <w:t>Energy</w:t>
      </w:r>
      <w:r>
        <w:rPr>
          <w:i/>
          <w:spacing w:val="-7"/>
          <w:sz w:val="18"/>
        </w:rPr>
        <w:t> </w:t>
      </w:r>
      <w:r>
        <w:rPr>
          <w:i/>
          <w:sz w:val="18"/>
        </w:rPr>
        <w:t>Submission</w:t>
      </w:r>
      <w:r>
        <w:rPr>
          <w:i/>
          <w:spacing w:val="-5"/>
          <w:sz w:val="18"/>
        </w:rPr>
        <w:t> </w:t>
      </w:r>
      <w:r>
        <w:rPr>
          <w:i/>
          <w:sz w:val="18"/>
        </w:rPr>
        <w:t>on</w:t>
      </w:r>
      <w:r>
        <w:rPr>
          <w:i/>
          <w:spacing w:val="-5"/>
          <w:sz w:val="18"/>
        </w:rPr>
        <w:t> </w:t>
      </w:r>
      <w:r>
        <w:rPr>
          <w:i/>
          <w:sz w:val="18"/>
        </w:rPr>
        <w:t>Review</w:t>
      </w:r>
      <w:r>
        <w:rPr>
          <w:i/>
          <w:spacing w:val="-7"/>
          <w:sz w:val="18"/>
        </w:rPr>
        <w:t> </w:t>
      </w:r>
      <w:r>
        <w:rPr>
          <w:i/>
          <w:sz w:val="18"/>
        </w:rPr>
        <w:t>of</w:t>
      </w:r>
      <w:r>
        <w:rPr>
          <w:i/>
          <w:spacing w:val="-5"/>
          <w:sz w:val="18"/>
        </w:rPr>
        <w:t> </w:t>
      </w:r>
      <w:r>
        <w:rPr>
          <w:i/>
          <w:sz w:val="18"/>
        </w:rPr>
        <w:t>Victoria’s</w:t>
      </w:r>
      <w:r>
        <w:rPr>
          <w:i/>
          <w:spacing w:val="-4"/>
          <w:sz w:val="18"/>
        </w:rPr>
        <w:t> </w:t>
      </w:r>
      <w:r>
        <w:rPr>
          <w:i/>
          <w:sz w:val="18"/>
        </w:rPr>
        <w:t>Electricity</w:t>
      </w:r>
      <w:r>
        <w:rPr>
          <w:i/>
          <w:spacing w:val="-4"/>
          <w:sz w:val="18"/>
        </w:rPr>
        <w:t> </w:t>
      </w:r>
      <w:r>
        <w:rPr>
          <w:i/>
          <w:sz w:val="18"/>
        </w:rPr>
        <w:t>Network</w:t>
      </w:r>
      <w:r>
        <w:rPr>
          <w:i/>
          <w:spacing w:val="-4"/>
          <w:sz w:val="18"/>
        </w:rPr>
        <w:t> </w:t>
      </w:r>
      <w:r>
        <w:rPr>
          <w:i/>
          <w:sz w:val="18"/>
        </w:rPr>
        <w:t>Safety</w:t>
      </w:r>
      <w:r>
        <w:rPr>
          <w:i/>
          <w:spacing w:val="-4"/>
          <w:sz w:val="18"/>
        </w:rPr>
        <w:t> </w:t>
      </w:r>
      <w:r>
        <w:rPr>
          <w:i/>
          <w:spacing w:val="-2"/>
          <w:sz w:val="18"/>
        </w:rPr>
        <w:t>Framework,</w:t>
      </w:r>
    </w:p>
    <w:p>
      <w:pPr>
        <w:spacing w:before="41"/>
        <w:ind w:left="232" w:right="0" w:firstLine="0"/>
        <w:jc w:val="left"/>
        <w:rPr>
          <w:sz w:val="18"/>
        </w:rPr>
      </w:pPr>
      <w:r>
        <w:rPr>
          <w:spacing w:val="-2"/>
          <w:sz w:val="18"/>
        </w:rPr>
        <w:t>Melbourne.</w:t>
      </w:r>
    </w:p>
    <w:p>
      <w:pPr>
        <w:spacing w:before="121"/>
        <w:ind w:left="232" w:right="0" w:firstLine="0"/>
        <w:jc w:val="left"/>
        <w:rPr>
          <w:sz w:val="18"/>
        </w:rPr>
      </w:pPr>
      <w:r>
        <w:rPr>
          <w:sz w:val="18"/>
        </w:rPr>
        <w:t>WorkSafe</w:t>
      </w:r>
      <w:r>
        <w:rPr>
          <w:spacing w:val="-6"/>
          <w:sz w:val="18"/>
        </w:rPr>
        <w:t> </w:t>
      </w:r>
      <w:r>
        <w:rPr>
          <w:sz w:val="18"/>
        </w:rPr>
        <w:t>Victoria,</w:t>
      </w:r>
      <w:r>
        <w:rPr>
          <w:spacing w:val="-4"/>
          <w:sz w:val="18"/>
        </w:rPr>
        <w:t> </w:t>
      </w:r>
      <w:r>
        <w:rPr>
          <w:sz w:val="18"/>
        </w:rPr>
        <w:t>2006.</w:t>
      </w:r>
      <w:r>
        <w:rPr>
          <w:spacing w:val="-3"/>
          <w:sz w:val="18"/>
        </w:rPr>
        <w:t> </w:t>
      </w:r>
      <w:r>
        <w:rPr>
          <w:i/>
          <w:sz w:val="18"/>
        </w:rPr>
        <w:t>Framework</w:t>
      </w:r>
      <w:r>
        <w:rPr>
          <w:i/>
          <w:spacing w:val="-3"/>
          <w:sz w:val="18"/>
        </w:rPr>
        <w:t> </w:t>
      </w:r>
      <w:r>
        <w:rPr>
          <w:i/>
          <w:sz w:val="18"/>
        </w:rPr>
        <w:t>for</w:t>
      </w:r>
      <w:r>
        <w:rPr>
          <w:i/>
          <w:spacing w:val="-5"/>
          <w:sz w:val="18"/>
        </w:rPr>
        <w:t> </w:t>
      </w:r>
      <w:r>
        <w:rPr>
          <w:i/>
          <w:sz w:val="18"/>
        </w:rPr>
        <w:t>undertaking</w:t>
      </w:r>
      <w:r>
        <w:rPr>
          <w:i/>
          <w:spacing w:val="-4"/>
          <w:sz w:val="18"/>
        </w:rPr>
        <w:t> </w:t>
      </w:r>
      <w:r>
        <w:rPr>
          <w:i/>
          <w:sz w:val="18"/>
        </w:rPr>
        <w:t>work</w:t>
      </w:r>
      <w:r>
        <w:rPr>
          <w:i/>
          <w:spacing w:val="-4"/>
          <w:sz w:val="18"/>
        </w:rPr>
        <w:t> </w:t>
      </w:r>
      <w:r>
        <w:rPr>
          <w:i/>
          <w:sz w:val="18"/>
        </w:rPr>
        <w:t>near</w:t>
      </w:r>
      <w:r>
        <w:rPr>
          <w:i/>
          <w:spacing w:val="-4"/>
          <w:sz w:val="18"/>
        </w:rPr>
        <w:t> </w:t>
      </w:r>
      <w:r>
        <w:rPr>
          <w:i/>
          <w:sz w:val="18"/>
        </w:rPr>
        <w:t>overhead</w:t>
      </w:r>
      <w:r>
        <w:rPr>
          <w:i/>
          <w:spacing w:val="-5"/>
          <w:sz w:val="18"/>
        </w:rPr>
        <w:t> </w:t>
      </w:r>
      <w:r>
        <w:rPr>
          <w:i/>
          <w:sz w:val="18"/>
        </w:rPr>
        <w:t>and</w:t>
      </w:r>
      <w:r>
        <w:rPr>
          <w:i/>
          <w:spacing w:val="-6"/>
          <w:sz w:val="18"/>
        </w:rPr>
        <w:t> </w:t>
      </w:r>
      <w:r>
        <w:rPr>
          <w:i/>
          <w:sz w:val="18"/>
        </w:rPr>
        <w:t>underground</w:t>
      </w:r>
      <w:r>
        <w:rPr>
          <w:i/>
          <w:spacing w:val="-3"/>
          <w:sz w:val="18"/>
        </w:rPr>
        <w:t> </w:t>
      </w:r>
      <w:r>
        <w:rPr>
          <w:i/>
          <w:spacing w:val="-2"/>
          <w:sz w:val="18"/>
        </w:rPr>
        <w:t>assets</w:t>
      </w:r>
      <w:r>
        <w:rPr>
          <w:spacing w:val="-2"/>
          <w:sz w:val="18"/>
        </w:rPr>
        <w:t>.</w:t>
      </w:r>
    </w:p>
    <w:p>
      <w:pPr>
        <w:spacing w:after="0"/>
        <w:jc w:val="left"/>
        <w:rPr>
          <w:sz w:val="18"/>
        </w:rPr>
        <w:sectPr>
          <w:pgSz w:w="11910" w:h="16850"/>
          <w:pgMar w:header="220" w:footer="678" w:top="420" w:bottom="860" w:left="900" w:right="840"/>
        </w:sectPr>
      </w:pPr>
    </w:p>
    <w:p>
      <w:pPr>
        <w:pStyle w:val="BodyText"/>
        <w:rPr>
          <w:sz w:val="20"/>
        </w:rPr>
      </w:pPr>
    </w:p>
    <w:p>
      <w:pPr>
        <w:pStyle w:val="BodyText"/>
        <w:spacing w:before="10"/>
        <w:rPr>
          <w:sz w:val="19"/>
        </w:rPr>
      </w:pPr>
    </w:p>
    <w:p>
      <w:pPr>
        <w:pStyle w:val="Heading3"/>
        <w:spacing w:line="288" w:lineRule="auto"/>
      </w:pPr>
      <w:bookmarkStart w:name="_bookmark12" w:id="13"/>
      <w:bookmarkEnd w:id="13"/>
      <w:r>
        <w:rPr>
          <w:b w:val="0"/>
        </w:rPr>
      </w:r>
      <w:r>
        <w:rPr>
          <w:color w:val="00B1A9"/>
        </w:rPr>
        <w:t>Chapter</w:t>
      </w:r>
      <w:r>
        <w:rPr>
          <w:color w:val="00B1A9"/>
          <w:spacing w:val="-5"/>
        </w:rPr>
        <w:t> </w:t>
      </w:r>
      <w:r>
        <w:rPr>
          <w:color w:val="00B1A9"/>
        </w:rPr>
        <w:t>6:</w:t>
      </w:r>
      <w:r>
        <w:rPr>
          <w:color w:val="00B1A9"/>
          <w:spacing w:val="-5"/>
        </w:rPr>
        <w:t> </w:t>
      </w:r>
      <w:r>
        <w:rPr>
          <w:color w:val="00B1A9"/>
        </w:rPr>
        <w:t>Programs</w:t>
      </w:r>
      <w:r>
        <w:rPr>
          <w:color w:val="00B1A9"/>
          <w:spacing w:val="-5"/>
        </w:rPr>
        <w:t> </w:t>
      </w:r>
      <w:r>
        <w:rPr>
          <w:color w:val="00B1A9"/>
        </w:rPr>
        <w:t>to</w:t>
      </w:r>
      <w:r>
        <w:rPr>
          <w:color w:val="00B1A9"/>
          <w:spacing w:val="-22"/>
        </w:rPr>
        <w:t> </w:t>
      </w:r>
      <w:r>
        <w:rPr>
          <w:color w:val="00B1A9"/>
        </w:rPr>
        <w:t>Address</w:t>
      </w:r>
      <w:r>
        <w:rPr>
          <w:color w:val="00B1A9"/>
          <w:spacing w:val="-7"/>
        </w:rPr>
        <w:t> </w:t>
      </w:r>
      <w:r>
        <w:rPr>
          <w:color w:val="00B1A9"/>
        </w:rPr>
        <w:t>Bushfire</w:t>
      </w:r>
      <w:r>
        <w:rPr>
          <w:color w:val="00B1A9"/>
          <w:spacing w:val="-5"/>
        </w:rPr>
        <w:t> </w:t>
      </w:r>
      <w:r>
        <w:rPr>
          <w:color w:val="00B1A9"/>
        </w:rPr>
        <w:t>Risk</w:t>
      </w:r>
      <w:r>
        <w:rPr>
          <w:color w:val="00B1A9"/>
          <w:spacing w:val="-5"/>
        </w:rPr>
        <w:t> </w:t>
      </w:r>
      <w:r>
        <w:rPr>
          <w:color w:val="00B1A9"/>
        </w:rPr>
        <w:t>in </w:t>
      </w:r>
      <w:r>
        <w:rPr>
          <w:color w:val="00B1A9"/>
          <w:spacing w:val="-2"/>
        </w:rPr>
        <w:t>Victoria</w:t>
      </w:r>
    </w:p>
    <w:p>
      <w:pPr>
        <w:pStyle w:val="BodyText"/>
        <w:rPr>
          <w:b/>
          <w:sz w:val="20"/>
        </w:rPr>
      </w:pPr>
    </w:p>
    <w:p>
      <w:pPr>
        <w:pStyle w:val="Heading4"/>
        <w:spacing w:before="248"/>
        <w:ind w:left="374"/>
      </w:pPr>
      <w:r>
        <w:rPr/>
        <mc:AlternateContent>
          <mc:Choice Requires="wps">
            <w:drawing>
              <wp:anchor distT="0" distB="0" distL="0" distR="0" allowOverlap="1" layoutInCell="1" locked="0" behindDoc="1" simplePos="0" relativeHeight="482731008">
                <wp:simplePos x="0" y="0"/>
                <wp:positionH relativeFrom="page">
                  <wp:posOffset>719327</wp:posOffset>
                </wp:positionH>
                <wp:positionV relativeFrom="paragraph">
                  <wp:posOffset>5306</wp:posOffset>
                </wp:positionV>
                <wp:extent cx="5870575" cy="6857365"/>
                <wp:effectExtent l="0" t="0" r="0" b="0"/>
                <wp:wrapNone/>
                <wp:docPr id="165" name="Graphic 165"/>
                <wp:cNvGraphicFramePr>
                  <a:graphicFrameLocks/>
                </wp:cNvGraphicFramePr>
                <a:graphic>
                  <a:graphicData uri="http://schemas.microsoft.com/office/word/2010/wordprocessingShape">
                    <wps:wsp>
                      <wps:cNvPr id="165" name="Graphic 165"/>
                      <wps:cNvSpPr/>
                      <wps:spPr>
                        <a:xfrm>
                          <a:off x="0" y="0"/>
                          <a:ext cx="5870575" cy="6857365"/>
                        </a:xfrm>
                        <a:custGeom>
                          <a:avLst/>
                          <a:gdLst/>
                          <a:ahLst/>
                          <a:cxnLst/>
                          <a:rect l="l" t="t" r="r" b="b"/>
                          <a:pathLst>
                            <a:path w="5870575" h="6857365">
                              <a:moveTo>
                                <a:pt x="5870194" y="0"/>
                              </a:moveTo>
                              <a:lnTo>
                                <a:pt x="0" y="0"/>
                              </a:lnTo>
                              <a:lnTo>
                                <a:pt x="0" y="6857365"/>
                              </a:lnTo>
                              <a:lnTo>
                                <a:pt x="5870194" y="6857365"/>
                              </a:lnTo>
                              <a:lnTo>
                                <a:pt x="5870194"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56.639999pt;margin-top:.41783pt;width:462.22pt;height:539.950pt;mso-position-horizontal-relative:page;mso-position-vertical-relative:paragraph;z-index:-20585472" id="docshape148" filled="true" fillcolor="#d9d9d9" stroked="false">
                <v:fill type="solid"/>
                <w10:wrap type="none"/>
              </v:rect>
            </w:pict>
          </mc:Fallback>
        </mc:AlternateContent>
      </w:r>
      <w:r>
        <w:rPr>
          <w:color w:val="585858"/>
          <w:spacing w:val="-2"/>
        </w:rPr>
        <w:t>Summary</w:t>
      </w:r>
    </w:p>
    <w:p>
      <w:pPr>
        <w:pStyle w:val="BodyText"/>
        <w:spacing w:line="288" w:lineRule="auto" w:before="314"/>
        <w:ind w:left="345" w:right="784"/>
      </w:pPr>
      <w:r>
        <w:rPr/>
        <w:t>Responding to the recommendations of the 2009 Victorian Bushfires Royal Commission (VBRC),</w:t>
      </w:r>
      <w:r>
        <w:rPr>
          <w:spacing w:val="-4"/>
        </w:rPr>
        <w:t> </w:t>
      </w:r>
      <w:r>
        <w:rPr/>
        <w:t>the</w:t>
      </w:r>
      <w:r>
        <w:rPr>
          <w:spacing w:val="-3"/>
        </w:rPr>
        <w:t> </w:t>
      </w:r>
      <w:r>
        <w:rPr/>
        <w:t>Victorian</w:t>
      </w:r>
      <w:r>
        <w:rPr>
          <w:spacing w:val="-5"/>
        </w:rPr>
        <w:t> </w:t>
      </w:r>
      <w:r>
        <w:rPr/>
        <w:t>Government</w:t>
      </w:r>
      <w:r>
        <w:rPr>
          <w:spacing w:val="-2"/>
        </w:rPr>
        <w:t> </w:t>
      </w:r>
      <w:r>
        <w:rPr/>
        <w:t>established</w:t>
      </w:r>
      <w:r>
        <w:rPr>
          <w:spacing w:val="-3"/>
        </w:rPr>
        <w:t> </w:t>
      </w:r>
      <w:r>
        <w:rPr/>
        <w:t>a</w:t>
      </w:r>
      <w:r>
        <w:rPr>
          <w:spacing w:val="-5"/>
        </w:rPr>
        <w:t> </w:t>
      </w:r>
      <w:r>
        <w:rPr/>
        <w:t>Powerline</w:t>
      </w:r>
      <w:r>
        <w:rPr>
          <w:spacing w:val="-3"/>
        </w:rPr>
        <w:t> </w:t>
      </w:r>
      <w:r>
        <w:rPr/>
        <w:t>Bushfire</w:t>
      </w:r>
      <w:r>
        <w:rPr>
          <w:spacing w:val="-5"/>
        </w:rPr>
        <w:t> </w:t>
      </w:r>
      <w:r>
        <w:rPr/>
        <w:t>Safety</w:t>
      </w:r>
      <w:r>
        <w:rPr>
          <w:spacing w:val="-5"/>
        </w:rPr>
        <w:t> </w:t>
      </w:r>
      <w:r>
        <w:rPr/>
        <w:t>Program</w:t>
      </w:r>
      <w:r>
        <w:rPr>
          <w:spacing w:val="-4"/>
        </w:rPr>
        <w:t> </w:t>
      </w:r>
      <w:r>
        <w:rPr/>
        <w:t>(PBSP) to oversight a major package of related measures to reduce bushfire risks from electricity </w:t>
      </w:r>
      <w:r>
        <w:rPr>
          <w:spacing w:val="-2"/>
        </w:rPr>
        <w:t>networks.</w:t>
      </w:r>
    </w:p>
    <w:p>
      <w:pPr>
        <w:pStyle w:val="BodyText"/>
        <w:spacing w:before="10"/>
        <w:rPr>
          <w:sz w:val="20"/>
        </w:rPr>
      </w:pPr>
    </w:p>
    <w:p>
      <w:pPr>
        <w:pStyle w:val="BodyText"/>
        <w:spacing w:line="288" w:lineRule="auto"/>
        <w:ind w:left="345" w:right="951"/>
      </w:pPr>
      <w:r>
        <w:rPr/>
        <w:t>The</w:t>
      </w:r>
      <w:r>
        <w:rPr>
          <w:spacing w:val="-4"/>
        </w:rPr>
        <w:t> </w:t>
      </w:r>
      <w:r>
        <w:rPr/>
        <w:t>PBSP</w:t>
      </w:r>
      <w:r>
        <w:rPr>
          <w:spacing w:val="-2"/>
        </w:rPr>
        <w:t> </w:t>
      </w:r>
      <w:r>
        <w:rPr/>
        <w:t>has</w:t>
      </w:r>
      <w:r>
        <w:rPr>
          <w:spacing w:val="-1"/>
        </w:rPr>
        <w:t> </w:t>
      </w:r>
      <w:r>
        <w:rPr/>
        <w:t>been</w:t>
      </w:r>
      <w:r>
        <w:rPr>
          <w:spacing w:val="-4"/>
        </w:rPr>
        <w:t> </w:t>
      </w:r>
      <w:r>
        <w:rPr/>
        <w:t>subject</w:t>
      </w:r>
      <w:r>
        <w:rPr>
          <w:spacing w:val="-3"/>
        </w:rPr>
        <w:t> </w:t>
      </w:r>
      <w:r>
        <w:rPr/>
        <w:t>to</w:t>
      </w:r>
      <w:r>
        <w:rPr>
          <w:spacing w:val="-4"/>
        </w:rPr>
        <w:t> </w:t>
      </w:r>
      <w:r>
        <w:rPr/>
        <w:t>external</w:t>
      </w:r>
      <w:r>
        <w:rPr>
          <w:spacing w:val="-5"/>
        </w:rPr>
        <w:t> </w:t>
      </w:r>
      <w:r>
        <w:rPr/>
        <w:t>Gateway</w:t>
      </w:r>
      <w:r>
        <w:rPr>
          <w:spacing w:val="-2"/>
        </w:rPr>
        <w:t> </w:t>
      </w:r>
      <w:r>
        <w:rPr/>
        <w:t>assessment,</w:t>
      </w:r>
      <w:r>
        <w:rPr>
          <w:spacing w:val="-3"/>
        </w:rPr>
        <w:t> </w:t>
      </w:r>
      <w:r>
        <w:rPr/>
        <w:t>confirming</w:t>
      </w:r>
      <w:r>
        <w:rPr>
          <w:spacing w:val="-2"/>
        </w:rPr>
        <w:t> </w:t>
      </w:r>
      <w:r>
        <w:rPr/>
        <w:t>that</w:t>
      </w:r>
      <w:r>
        <w:rPr>
          <w:spacing w:val="-3"/>
        </w:rPr>
        <w:t> </w:t>
      </w:r>
      <w:r>
        <w:rPr/>
        <w:t>most elements are progressing well. Some elements are very close to completion.</w:t>
      </w:r>
    </w:p>
    <w:p>
      <w:pPr>
        <w:pStyle w:val="BodyText"/>
        <w:spacing w:before="11"/>
        <w:rPr>
          <w:sz w:val="20"/>
        </w:rPr>
      </w:pPr>
    </w:p>
    <w:p>
      <w:pPr>
        <w:pStyle w:val="BodyText"/>
        <w:spacing w:line="288" w:lineRule="auto"/>
        <w:ind w:left="345" w:right="784"/>
      </w:pPr>
      <w:r>
        <w:rPr/>
        <w:t>With</w:t>
      </w:r>
      <w:r>
        <w:rPr>
          <w:spacing w:val="-5"/>
        </w:rPr>
        <w:t> </w:t>
      </w:r>
      <w:r>
        <w:rPr/>
        <w:t>the</w:t>
      </w:r>
      <w:r>
        <w:rPr>
          <w:spacing w:val="-3"/>
        </w:rPr>
        <w:t> </w:t>
      </w:r>
      <w:r>
        <w:rPr/>
        <w:t>program</w:t>
      </w:r>
      <w:r>
        <w:rPr>
          <w:spacing w:val="-2"/>
        </w:rPr>
        <w:t> </w:t>
      </w:r>
      <w:r>
        <w:rPr/>
        <w:t>nearing</w:t>
      </w:r>
      <w:r>
        <w:rPr>
          <w:spacing w:val="-3"/>
        </w:rPr>
        <w:t> </w:t>
      </w:r>
      <w:r>
        <w:rPr/>
        <w:t>its</w:t>
      </w:r>
      <w:r>
        <w:rPr>
          <w:spacing w:val="-2"/>
        </w:rPr>
        <w:t> </w:t>
      </w:r>
      <w:r>
        <w:rPr/>
        <w:t>end,</w:t>
      </w:r>
      <w:r>
        <w:rPr>
          <w:spacing w:val="-4"/>
        </w:rPr>
        <w:t> </w:t>
      </w:r>
      <w:r>
        <w:rPr/>
        <w:t>a</w:t>
      </w:r>
      <w:r>
        <w:rPr>
          <w:spacing w:val="-3"/>
        </w:rPr>
        <w:t> </w:t>
      </w:r>
      <w:r>
        <w:rPr/>
        <w:t>clear</w:t>
      </w:r>
      <w:r>
        <w:rPr>
          <w:spacing w:val="-4"/>
        </w:rPr>
        <w:t> </w:t>
      </w:r>
      <w:r>
        <w:rPr/>
        <w:t>pathway</w:t>
      </w:r>
      <w:r>
        <w:rPr>
          <w:spacing w:val="-5"/>
        </w:rPr>
        <w:t> </w:t>
      </w:r>
      <w:r>
        <w:rPr/>
        <w:t>is</w:t>
      </w:r>
      <w:r>
        <w:rPr>
          <w:spacing w:val="-2"/>
        </w:rPr>
        <w:t> </w:t>
      </w:r>
      <w:r>
        <w:rPr/>
        <w:t>required</w:t>
      </w:r>
      <w:r>
        <w:rPr>
          <w:spacing w:val="-5"/>
        </w:rPr>
        <w:t> </w:t>
      </w:r>
      <w:r>
        <w:rPr/>
        <w:t>to</w:t>
      </w:r>
      <w:r>
        <w:rPr>
          <w:spacing w:val="-3"/>
        </w:rPr>
        <w:t> </w:t>
      </w:r>
      <w:r>
        <w:rPr/>
        <w:t>ensure</w:t>
      </w:r>
      <w:r>
        <w:rPr>
          <w:spacing w:val="-5"/>
        </w:rPr>
        <w:t> </w:t>
      </w:r>
      <w:r>
        <w:rPr/>
        <w:t>the</w:t>
      </w:r>
      <w:r>
        <w:rPr>
          <w:spacing w:val="-3"/>
        </w:rPr>
        <w:t> </w:t>
      </w:r>
      <w:r>
        <w:rPr/>
        <w:t>valuable</w:t>
      </w:r>
      <w:r>
        <w:rPr>
          <w:spacing w:val="-3"/>
        </w:rPr>
        <w:t> </w:t>
      </w:r>
      <w:r>
        <w:rPr/>
        <w:t>learning and expertise gained through the program, is maintained into the future (</w:t>
      </w:r>
      <w:r>
        <w:rPr>
          <w:b/>
        </w:rPr>
        <w:t>Recommendation </w:t>
      </w:r>
      <w:r>
        <w:rPr>
          <w:b/>
          <w:spacing w:val="-4"/>
        </w:rPr>
        <w:t>26</w:t>
      </w:r>
      <w:r>
        <w:rPr>
          <w:spacing w:val="-4"/>
        </w:rPr>
        <w:t>).</w:t>
      </w:r>
    </w:p>
    <w:p>
      <w:pPr>
        <w:pStyle w:val="BodyText"/>
        <w:spacing w:before="9"/>
        <w:rPr>
          <w:sz w:val="20"/>
        </w:rPr>
      </w:pPr>
    </w:p>
    <w:p>
      <w:pPr>
        <w:pStyle w:val="BodyText"/>
        <w:spacing w:line="288" w:lineRule="auto"/>
        <w:ind w:left="345" w:right="841"/>
      </w:pPr>
      <w:r>
        <w:rPr/>
        <w:t>World leading research conducted under the PBSP has confirmed the technical feasibility of adopting</w:t>
      </w:r>
      <w:r>
        <w:rPr>
          <w:spacing w:val="-3"/>
        </w:rPr>
        <w:t> </w:t>
      </w:r>
      <w:r>
        <w:rPr/>
        <w:t>Rapid</w:t>
      </w:r>
      <w:r>
        <w:rPr>
          <w:spacing w:val="-3"/>
        </w:rPr>
        <w:t> </w:t>
      </w:r>
      <w:r>
        <w:rPr/>
        <w:t>Earth</w:t>
      </w:r>
      <w:r>
        <w:rPr>
          <w:spacing w:val="-3"/>
        </w:rPr>
        <w:t> </w:t>
      </w:r>
      <w:r>
        <w:rPr/>
        <w:t>Fault</w:t>
      </w:r>
      <w:r>
        <w:rPr>
          <w:spacing w:val="-1"/>
        </w:rPr>
        <w:t> </w:t>
      </w:r>
      <w:r>
        <w:rPr/>
        <w:t>Current</w:t>
      </w:r>
      <w:r>
        <w:rPr>
          <w:spacing w:val="-4"/>
        </w:rPr>
        <w:t> </w:t>
      </w:r>
      <w:r>
        <w:rPr/>
        <w:t>Limiters</w:t>
      </w:r>
      <w:r>
        <w:rPr>
          <w:spacing w:val="-5"/>
        </w:rPr>
        <w:t> </w:t>
      </w:r>
      <w:r>
        <w:rPr/>
        <w:t>(REFCLs)</w:t>
      </w:r>
      <w:r>
        <w:rPr>
          <w:spacing w:val="-4"/>
        </w:rPr>
        <w:t> </w:t>
      </w:r>
      <w:r>
        <w:rPr/>
        <w:t>to</w:t>
      </w:r>
      <w:r>
        <w:rPr>
          <w:spacing w:val="-5"/>
        </w:rPr>
        <w:t> </w:t>
      </w:r>
      <w:r>
        <w:rPr/>
        <w:t>manage</w:t>
      </w:r>
      <w:r>
        <w:rPr>
          <w:spacing w:val="-3"/>
        </w:rPr>
        <w:t> </w:t>
      </w:r>
      <w:r>
        <w:rPr/>
        <w:t>a</w:t>
      </w:r>
      <w:r>
        <w:rPr>
          <w:spacing w:val="-5"/>
        </w:rPr>
        <w:t> </w:t>
      </w:r>
      <w:r>
        <w:rPr/>
        <w:t>major</w:t>
      </w:r>
      <w:r>
        <w:rPr>
          <w:spacing w:val="-4"/>
        </w:rPr>
        <w:t> </w:t>
      </w:r>
      <w:r>
        <w:rPr/>
        <w:t>source</w:t>
      </w:r>
      <w:r>
        <w:rPr>
          <w:spacing w:val="-3"/>
        </w:rPr>
        <w:t> </w:t>
      </w:r>
      <w:r>
        <w:rPr/>
        <w:t>of</w:t>
      </w:r>
      <w:r>
        <w:rPr>
          <w:spacing w:val="-1"/>
        </w:rPr>
        <w:t> </w:t>
      </w:r>
      <w:r>
        <w:rPr/>
        <w:t>bushfire risk from certain polyphase electricity lines. Initial deployments have been completed and</w:t>
      </w:r>
      <w:r>
        <w:rPr>
          <w:spacing w:val="40"/>
        </w:rPr>
        <w:t> </w:t>
      </w:r>
      <w:r>
        <w:rPr/>
        <w:t>the</w:t>
      </w:r>
      <w:r>
        <w:rPr>
          <w:spacing w:val="-1"/>
        </w:rPr>
        <w:t> </w:t>
      </w:r>
      <w:r>
        <w:rPr/>
        <w:t>Australian</w:t>
      </w:r>
      <w:r>
        <w:rPr>
          <w:spacing w:val="-1"/>
        </w:rPr>
        <w:t> </w:t>
      </w:r>
      <w:r>
        <w:rPr/>
        <w:t>Energy</w:t>
      </w:r>
      <w:r>
        <w:rPr>
          <w:spacing w:val="-3"/>
        </w:rPr>
        <w:t> </w:t>
      </w:r>
      <w:r>
        <w:rPr/>
        <w:t>Regulator has</w:t>
      </w:r>
      <w:r>
        <w:rPr>
          <w:spacing w:val="-3"/>
        </w:rPr>
        <w:t> </w:t>
      </w:r>
      <w:r>
        <w:rPr/>
        <w:t>recently</w:t>
      </w:r>
      <w:r>
        <w:rPr>
          <w:spacing w:val="-3"/>
        </w:rPr>
        <w:t> </w:t>
      </w:r>
      <w:r>
        <w:rPr/>
        <w:t>approved</w:t>
      </w:r>
      <w:r>
        <w:rPr>
          <w:spacing w:val="-1"/>
        </w:rPr>
        <w:t> </w:t>
      </w:r>
      <w:r>
        <w:rPr/>
        <w:t>the</w:t>
      </w:r>
      <w:r>
        <w:rPr>
          <w:spacing w:val="-3"/>
        </w:rPr>
        <w:t> </w:t>
      </w:r>
      <w:r>
        <w:rPr/>
        <w:t>funding</w:t>
      </w:r>
      <w:r>
        <w:rPr>
          <w:spacing w:val="-1"/>
        </w:rPr>
        <w:t> </w:t>
      </w:r>
      <w:r>
        <w:rPr/>
        <w:t>determinations to</w:t>
      </w:r>
      <w:r>
        <w:rPr>
          <w:spacing w:val="-3"/>
        </w:rPr>
        <w:t> </w:t>
      </w:r>
      <w:r>
        <w:rPr/>
        <w:t>enable the first major tranche of REFCLs to be deployed.</w:t>
      </w:r>
    </w:p>
    <w:p>
      <w:pPr>
        <w:pStyle w:val="BodyText"/>
        <w:spacing w:before="9"/>
        <w:rPr>
          <w:sz w:val="20"/>
        </w:rPr>
      </w:pPr>
    </w:p>
    <w:p>
      <w:pPr>
        <w:pStyle w:val="BodyText"/>
        <w:spacing w:line="290" w:lineRule="auto"/>
        <w:ind w:left="345" w:right="951"/>
      </w:pPr>
      <w:r>
        <w:rPr/>
        <w:t>The</w:t>
      </w:r>
      <w:r>
        <w:rPr>
          <w:spacing w:val="-5"/>
        </w:rPr>
        <w:t> </w:t>
      </w:r>
      <w:r>
        <w:rPr/>
        <w:t>installation</w:t>
      </w:r>
      <w:r>
        <w:rPr>
          <w:spacing w:val="-3"/>
        </w:rPr>
        <w:t> </w:t>
      </w:r>
      <w:r>
        <w:rPr/>
        <w:t>of</w:t>
      </w:r>
      <w:r>
        <w:rPr>
          <w:spacing w:val="-1"/>
        </w:rPr>
        <w:t> </w:t>
      </w:r>
      <w:r>
        <w:rPr/>
        <w:t>REFCLs</w:t>
      </w:r>
      <w:r>
        <w:rPr>
          <w:spacing w:val="-3"/>
        </w:rPr>
        <w:t> </w:t>
      </w:r>
      <w:r>
        <w:rPr/>
        <w:t>is</w:t>
      </w:r>
      <w:r>
        <w:rPr>
          <w:spacing w:val="-5"/>
        </w:rPr>
        <w:t> </w:t>
      </w:r>
      <w:r>
        <w:rPr/>
        <w:t>technically</w:t>
      </w:r>
      <w:r>
        <w:rPr>
          <w:spacing w:val="-5"/>
        </w:rPr>
        <w:t> </w:t>
      </w:r>
      <w:r>
        <w:rPr/>
        <w:t>challenging</w:t>
      </w:r>
      <w:r>
        <w:rPr>
          <w:spacing w:val="-1"/>
        </w:rPr>
        <w:t> </w:t>
      </w:r>
      <w:r>
        <w:rPr/>
        <w:t>and</w:t>
      </w:r>
      <w:r>
        <w:rPr>
          <w:spacing w:val="-5"/>
        </w:rPr>
        <w:t> </w:t>
      </w:r>
      <w:r>
        <w:rPr/>
        <w:t>the</w:t>
      </w:r>
      <w:r>
        <w:rPr>
          <w:spacing w:val="-2"/>
        </w:rPr>
        <w:t> </w:t>
      </w:r>
      <w:r>
        <w:rPr/>
        <w:t>total</w:t>
      </w:r>
      <w:r>
        <w:rPr>
          <w:spacing w:val="-4"/>
        </w:rPr>
        <w:t> </w:t>
      </w:r>
      <w:r>
        <w:rPr/>
        <w:t>costs</w:t>
      </w:r>
      <w:r>
        <w:rPr>
          <w:spacing w:val="-5"/>
        </w:rPr>
        <w:t> </w:t>
      </w:r>
      <w:r>
        <w:rPr/>
        <w:t>are</w:t>
      </w:r>
      <w:r>
        <w:rPr>
          <w:spacing w:val="-3"/>
        </w:rPr>
        <w:t> </w:t>
      </w:r>
      <w:r>
        <w:rPr/>
        <w:t>substantially higher than previously estimated.</w:t>
      </w:r>
    </w:p>
    <w:p>
      <w:pPr>
        <w:pStyle w:val="BodyText"/>
        <w:spacing w:before="5"/>
        <w:rPr>
          <w:sz w:val="20"/>
        </w:rPr>
      </w:pPr>
    </w:p>
    <w:p>
      <w:pPr>
        <w:pStyle w:val="BodyText"/>
        <w:spacing w:line="288" w:lineRule="auto"/>
        <w:ind w:left="345" w:right="951"/>
      </w:pPr>
      <w:r>
        <w:rPr/>
        <w:t>A measured approach should be adopted, allowing program settings to be carefully considered as implementation continues and experience is accumulated. The mandate of the</w:t>
      </w:r>
      <w:r>
        <w:rPr>
          <w:spacing w:val="-2"/>
        </w:rPr>
        <w:t> </w:t>
      </w:r>
      <w:r>
        <w:rPr/>
        <w:t>current</w:t>
      </w:r>
      <w:r>
        <w:rPr>
          <w:spacing w:val="-1"/>
        </w:rPr>
        <w:t> </w:t>
      </w:r>
      <w:r>
        <w:rPr/>
        <w:t>Powerline</w:t>
      </w:r>
      <w:r>
        <w:rPr>
          <w:spacing w:val="-3"/>
        </w:rPr>
        <w:t> </w:t>
      </w:r>
      <w:r>
        <w:rPr/>
        <w:t>Bushfire</w:t>
      </w:r>
      <w:r>
        <w:rPr>
          <w:spacing w:val="-3"/>
        </w:rPr>
        <w:t> </w:t>
      </w:r>
      <w:r>
        <w:rPr/>
        <w:t>Safety</w:t>
      </w:r>
      <w:r>
        <w:rPr>
          <w:spacing w:val="-4"/>
        </w:rPr>
        <w:t> </w:t>
      </w:r>
      <w:r>
        <w:rPr/>
        <w:t>Committee</w:t>
      </w:r>
      <w:r>
        <w:rPr>
          <w:spacing w:val="-5"/>
        </w:rPr>
        <w:t> </w:t>
      </w:r>
      <w:r>
        <w:rPr/>
        <w:t>should</w:t>
      </w:r>
      <w:r>
        <w:rPr>
          <w:spacing w:val="-3"/>
        </w:rPr>
        <w:t> </w:t>
      </w:r>
      <w:r>
        <w:rPr/>
        <w:t>be expanded</w:t>
      </w:r>
      <w:r>
        <w:rPr>
          <w:spacing w:val="-3"/>
        </w:rPr>
        <w:t> </w:t>
      </w:r>
      <w:r>
        <w:rPr/>
        <w:t>to</w:t>
      </w:r>
      <w:r>
        <w:rPr>
          <w:spacing w:val="-5"/>
        </w:rPr>
        <w:t> </w:t>
      </w:r>
      <w:r>
        <w:rPr/>
        <w:t>provide</w:t>
      </w:r>
      <w:r>
        <w:rPr>
          <w:spacing w:val="-3"/>
        </w:rPr>
        <w:t> </w:t>
      </w:r>
      <w:r>
        <w:rPr/>
        <w:t>an</w:t>
      </w:r>
      <w:r>
        <w:rPr>
          <w:spacing w:val="-3"/>
        </w:rPr>
        <w:t> </w:t>
      </w:r>
      <w:r>
        <w:rPr/>
        <w:t>annual implementation report on the deployment of REFCL technology. The first report should be provided</w:t>
      </w:r>
      <w:r>
        <w:rPr>
          <w:spacing w:val="-1"/>
        </w:rPr>
        <w:t> </w:t>
      </w:r>
      <w:r>
        <w:rPr/>
        <w:t>through</w:t>
      </w:r>
      <w:r>
        <w:rPr>
          <w:spacing w:val="-3"/>
        </w:rPr>
        <w:t> </w:t>
      </w:r>
      <w:r>
        <w:rPr/>
        <w:t>the</w:t>
      </w:r>
      <w:r>
        <w:rPr>
          <w:spacing w:val="-2"/>
        </w:rPr>
        <w:t> </w:t>
      </w:r>
      <w:r>
        <w:rPr/>
        <w:t>Director</w:t>
      </w:r>
      <w:r>
        <w:rPr>
          <w:spacing w:val="-2"/>
        </w:rPr>
        <w:t> </w:t>
      </w:r>
      <w:r>
        <w:rPr/>
        <w:t>of Energy</w:t>
      </w:r>
      <w:r>
        <w:rPr>
          <w:spacing w:val="-3"/>
        </w:rPr>
        <w:t> </w:t>
      </w:r>
      <w:r>
        <w:rPr/>
        <w:t>Safety to</w:t>
      </w:r>
      <w:r>
        <w:rPr>
          <w:spacing w:val="-3"/>
        </w:rPr>
        <w:t> </w:t>
      </w:r>
      <w:r>
        <w:rPr/>
        <w:t>the</w:t>
      </w:r>
      <w:r>
        <w:rPr>
          <w:spacing w:val="-3"/>
        </w:rPr>
        <w:t> </w:t>
      </w:r>
      <w:r>
        <w:rPr/>
        <w:t>Minister</w:t>
      </w:r>
      <w:r>
        <w:rPr>
          <w:spacing w:val="-2"/>
        </w:rPr>
        <w:t> </w:t>
      </w:r>
      <w:r>
        <w:rPr/>
        <w:t>for</w:t>
      </w:r>
      <w:r>
        <w:rPr>
          <w:spacing w:val="-2"/>
        </w:rPr>
        <w:t> </w:t>
      </w:r>
      <w:r>
        <w:rPr/>
        <w:t>Energy,</w:t>
      </w:r>
      <w:r>
        <w:rPr>
          <w:spacing w:val="-2"/>
        </w:rPr>
        <w:t> </w:t>
      </w:r>
      <w:r>
        <w:rPr/>
        <w:t>Environment and Climate Change by May 2018 (</w:t>
      </w:r>
      <w:r>
        <w:rPr>
          <w:b/>
        </w:rPr>
        <w:t>Recommendation 27</w:t>
      </w:r>
      <w:r>
        <w:rPr/>
        <w:t>).</w:t>
      </w:r>
    </w:p>
    <w:p>
      <w:pPr>
        <w:pStyle w:val="BodyText"/>
        <w:spacing w:before="10"/>
        <w:rPr>
          <w:sz w:val="20"/>
        </w:rPr>
      </w:pPr>
    </w:p>
    <w:p>
      <w:pPr>
        <w:pStyle w:val="BodyText"/>
        <w:spacing w:line="288" w:lineRule="auto"/>
        <w:ind w:left="345" w:right="784"/>
      </w:pPr>
      <w:r>
        <w:rPr/>
        <w:t>The deployment of REFCLs has been a long-term policy commitment of successive governments following the Powerline Bushfire Safety Taskforce’s advice on the best way to respond</w:t>
      </w:r>
      <w:r>
        <w:rPr>
          <w:spacing w:val="-4"/>
        </w:rPr>
        <w:t> </w:t>
      </w:r>
      <w:r>
        <w:rPr/>
        <w:t>to</w:t>
      </w:r>
      <w:r>
        <w:rPr>
          <w:spacing w:val="-2"/>
        </w:rPr>
        <w:t> </w:t>
      </w:r>
      <w:r>
        <w:rPr/>
        <w:t>a</w:t>
      </w:r>
      <w:r>
        <w:rPr>
          <w:spacing w:val="-4"/>
        </w:rPr>
        <w:t> </w:t>
      </w:r>
      <w:r>
        <w:rPr/>
        <w:t>core</w:t>
      </w:r>
      <w:r>
        <w:rPr>
          <w:spacing w:val="-4"/>
        </w:rPr>
        <w:t> </w:t>
      </w:r>
      <w:r>
        <w:rPr/>
        <w:t>recommendation</w:t>
      </w:r>
      <w:r>
        <w:rPr>
          <w:spacing w:val="-2"/>
        </w:rPr>
        <w:t> </w:t>
      </w:r>
      <w:r>
        <w:rPr/>
        <w:t>of</w:t>
      </w:r>
      <w:r>
        <w:rPr>
          <w:spacing w:val="-3"/>
        </w:rPr>
        <w:t> </w:t>
      </w:r>
      <w:r>
        <w:rPr/>
        <w:t>the</w:t>
      </w:r>
      <w:r>
        <w:rPr>
          <w:spacing w:val="-2"/>
        </w:rPr>
        <w:t> </w:t>
      </w:r>
      <w:r>
        <w:rPr/>
        <w:t>VBRC.</w:t>
      </w:r>
      <w:r>
        <w:rPr>
          <w:spacing w:val="-2"/>
        </w:rPr>
        <w:t> </w:t>
      </w:r>
      <w:r>
        <w:rPr/>
        <w:t>The</w:t>
      </w:r>
      <w:r>
        <w:rPr>
          <w:spacing w:val="-4"/>
        </w:rPr>
        <w:t> </w:t>
      </w:r>
      <w:r>
        <w:rPr/>
        <w:t>best</w:t>
      </w:r>
      <w:r>
        <w:rPr>
          <w:spacing w:val="-3"/>
        </w:rPr>
        <w:t> </w:t>
      </w:r>
      <w:r>
        <w:rPr/>
        <w:t>available</w:t>
      </w:r>
      <w:r>
        <w:rPr>
          <w:spacing w:val="-2"/>
        </w:rPr>
        <w:t> </w:t>
      </w:r>
      <w:r>
        <w:rPr/>
        <w:t>information</w:t>
      </w:r>
      <w:r>
        <w:rPr>
          <w:spacing w:val="-4"/>
        </w:rPr>
        <w:t> </w:t>
      </w:r>
      <w:r>
        <w:rPr/>
        <w:t>continues</w:t>
      </w:r>
      <w:r>
        <w:rPr>
          <w:spacing w:val="-4"/>
        </w:rPr>
        <w:t> </w:t>
      </w:r>
      <w:r>
        <w:rPr/>
        <w:t>to show that the installation of REFCLs will have a material impact on bushfire risk in a state that faces some of the highest risks in the world.</w:t>
      </w:r>
    </w:p>
    <w:p>
      <w:pPr>
        <w:spacing w:after="0" w:line="288" w:lineRule="auto"/>
        <w:sectPr>
          <w:pgSz w:w="11910" w:h="16850"/>
          <w:pgMar w:header="220" w:footer="678" w:top="420" w:bottom="860" w:left="900" w:right="840"/>
        </w:sectPr>
      </w:pPr>
    </w:p>
    <w:p>
      <w:pPr>
        <w:pStyle w:val="BodyText"/>
        <w:rPr>
          <w:sz w:val="20"/>
        </w:rPr>
      </w:pPr>
    </w:p>
    <w:p>
      <w:pPr>
        <w:pStyle w:val="BodyText"/>
        <w:spacing w:before="7"/>
        <w:rPr>
          <w:sz w:val="19"/>
        </w:rPr>
      </w:pPr>
    </w:p>
    <w:p>
      <w:pPr>
        <w:pStyle w:val="Heading4"/>
      </w:pPr>
      <w:r>
        <w:rPr>
          <w:color w:val="585858"/>
        </w:rPr>
        <w:t>The</w:t>
      </w:r>
      <w:r>
        <w:rPr>
          <w:color w:val="585858"/>
          <w:spacing w:val="-10"/>
        </w:rPr>
        <w:t> </w:t>
      </w:r>
      <w:r>
        <w:rPr>
          <w:color w:val="585858"/>
        </w:rPr>
        <w:t>VBRC</w:t>
      </w:r>
      <w:r>
        <w:rPr>
          <w:color w:val="585858"/>
          <w:spacing w:val="-10"/>
        </w:rPr>
        <w:t> </w:t>
      </w:r>
      <w:r>
        <w:rPr>
          <w:color w:val="585858"/>
        </w:rPr>
        <w:t>and</w:t>
      </w:r>
      <w:r>
        <w:rPr>
          <w:color w:val="585858"/>
          <w:spacing w:val="-9"/>
        </w:rPr>
        <w:t> </w:t>
      </w:r>
      <w:r>
        <w:rPr>
          <w:color w:val="585858"/>
        </w:rPr>
        <w:t>the</w:t>
      </w:r>
      <w:r>
        <w:rPr>
          <w:color w:val="585858"/>
          <w:spacing w:val="-10"/>
        </w:rPr>
        <w:t> </w:t>
      </w:r>
      <w:r>
        <w:rPr>
          <w:color w:val="585858"/>
        </w:rPr>
        <w:t>Powerline</w:t>
      </w:r>
      <w:r>
        <w:rPr>
          <w:color w:val="585858"/>
          <w:spacing w:val="-9"/>
        </w:rPr>
        <w:t> </w:t>
      </w:r>
      <w:r>
        <w:rPr>
          <w:color w:val="585858"/>
        </w:rPr>
        <w:t>Bushfire</w:t>
      </w:r>
      <w:r>
        <w:rPr>
          <w:color w:val="585858"/>
          <w:spacing w:val="-10"/>
        </w:rPr>
        <w:t> </w:t>
      </w:r>
      <w:r>
        <w:rPr>
          <w:color w:val="585858"/>
        </w:rPr>
        <w:t>Safety</w:t>
      </w:r>
      <w:r>
        <w:rPr>
          <w:color w:val="585858"/>
          <w:spacing w:val="-13"/>
        </w:rPr>
        <w:t> </w:t>
      </w:r>
      <w:r>
        <w:rPr>
          <w:color w:val="585858"/>
          <w:spacing w:val="-2"/>
        </w:rPr>
        <w:t>Taskforce</w:t>
      </w:r>
    </w:p>
    <w:p>
      <w:pPr>
        <w:pStyle w:val="BodyText"/>
        <w:spacing w:line="288" w:lineRule="auto" w:before="314"/>
        <w:ind w:left="232" w:right="374"/>
      </w:pPr>
      <w:r>
        <w:rPr/>
        <w:t>The</w:t>
      </w:r>
      <w:r>
        <w:rPr>
          <w:spacing w:val="-5"/>
        </w:rPr>
        <w:t> </w:t>
      </w:r>
      <w:r>
        <w:rPr/>
        <w:t>VBRC</w:t>
      </w:r>
      <w:r>
        <w:rPr>
          <w:spacing w:val="-3"/>
        </w:rPr>
        <w:t> </w:t>
      </w:r>
      <w:r>
        <w:rPr/>
        <w:t>recommended</w:t>
      </w:r>
      <w:r>
        <w:rPr>
          <w:spacing w:val="-3"/>
        </w:rPr>
        <w:t> </w:t>
      </w:r>
      <w:r>
        <w:rPr/>
        <w:t>a</w:t>
      </w:r>
      <w:r>
        <w:rPr>
          <w:spacing w:val="-2"/>
        </w:rPr>
        <w:t> </w:t>
      </w:r>
      <w:r>
        <w:rPr/>
        <w:t>suite</w:t>
      </w:r>
      <w:r>
        <w:rPr>
          <w:spacing w:val="-5"/>
        </w:rPr>
        <w:t> </w:t>
      </w:r>
      <w:r>
        <w:rPr/>
        <w:t>of</w:t>
      </w:r>
      <w:r>
        <w:rPr>
          <w:spacing w:val="-4"/>
        </w:rPr>
        <w:t> </w:t>
      </w:r>
      <w:r>
        <w:rPr/>
        <w:t>measures</w:t>
      </w:r>
      <w:r>
        <w:rPr>
          <w:spacing w:val="-2"/>
        </w:rPr>
        <w:t> </w:t>
      </w:r>
      <w:r>
        <w:rPr/>
        <w:t>designed</w:t>
      </w:r>
      <w:r>
        <w:rPr>
          <w:spacing w:val="-5"/>
        </w:rPr>
        <w:t> </w:t>
      </w:r>
      <w:r>
        <w:rPr/>
        <w:t>to</w:t>
      </w:r>
      <w:r>
        <w:rPr>
          <w:spacing w:val="-5"/>
        </w:rPr>
        <w:t> </w:t>
      </w:r>
      <w:r>
        <w:rPr/>
        <w:t>reduce</w:t>
      </w:r>
      <w:r>
        <w:rPr>
          <w:spacing w:val="-5"/>
        </w:rPr>
        <w:t> </w:t>
      </w:r>
      <w:r>
        <w:rPr/>
        <w:t>bushfire</w:t>
      </w:r>
      <w:r>
        <w:rPr>
          <w:spacing w:val="-3"/>
        </w:rPr>
        <w:t> </w:t>
      </w:r>
      <w:r>
        <w:rPr/>
        <w:t>risk.</w:t>
      </w:r>
      <w:r>
        <w:rPr>
          <w:spacing w:val="-1"/>
        </w:rPr>
        <w:t> </w:t>
      </w:r>
      <w:r>
        <w:rPr/>
        <w:t>Recommendation 27 proposed that the State amend the regulations under the </w:t>
      </w:r>
      <w:r>
        <w:rPr>
          <w:i/>
        </w:rPr>
        <w:t>Electricity Safety Act 1998 </w:t>
      </w:r>
      <w:r>
        <w:rPr/>
        <w:t>to progressively replace all single wire earth return (SWER) and 22 kV powerlines with new technologies to reduce bushfire risk. The VBRC also suggested that an expert taskforce be established to advise on the best means of achieving the intent of this recommendation (2009 Victorian Bushfires Royal Commission, 2010, p. 23).</w:t>
      </w:r>
    </w:p>
    <w:p>
      <w:pPr>
        <w:pStyle w:val="BodyText"/>
        <w:spacing w:before="10"/>
        <w:rPr>
          <w:sz w:val="20"/>
        </w:rPr>
      </w:pPr>
    </w:p>
    <w:p>
      <w:pPr>
        <w:pStyle w:val="BodyText"/>
        <w:spacing w:line="288" w:lineRule="auto"/>
        <w:ind w:left="232" w:right="408"/>
      </w:pPr>
      <w:r>
        <w:rPr/>
        <w:t>The subsequent Powerline Bushfire Safety Taskforce (the Taskforce) provided its report to the Victorian</w:t>
      </w:r>
      <w:r>
        <w:rPr>
          <w:spacing w:val="-3"/>
        </w:rPr>
        <w:t> </w:t>
      </w:r>
      <w:r>
        <w:rPr/>
        <w:t>Government</w:t>
      </w:r>
      <w:r>
        <w:rPr>
          <w:spacing w:val="-3"/>
        </w:rPr>
        <w:t> </w:t>
      </w:r>
      <w:r>
        <w:rPr/>
        <w:t>in</w:t>
      </w:r>
      <w:r>
        <w:rPr>
          <w:spacing w:val="-4"/>
        </w:rPr>
        <w:t> </w:t>
      </w:r>
      <w:r>
        <w:rPr/>
        <w:t>September</w:t>
      </w:r>
      <w:r>
        <w:rPr>
          <w:spacing w:val="-1"/>
        </w:rPr>
        <w:t> </w:t>
      </w:r>
      <w:r>
        <w:rPr/>
        <w:t>2011.</w:t>
      </w:r>
      <w:r>
        <w:rPr>
          <w:spacing w:val="-1"/>
        </w:rPr>
        <w:t> </w:t>
      </w:r>
      <w:r>
        <w:rPr/>
        <w:t>The</w:t>
      </w:r>
      <w:r>
        <w:rPr>
          <w:spacing w:val="-7"/>
        </w:rPr>
        <w:t> </w:t>
      </w:r>
      <w:r>
        <w:rPr/>
        <w:t>Taskforce</w:t>
      </w:r>
      <w:r>
        <w:rPr>
          <w:spacing w:val="-2"/>
        </w:rPr>
        <w:t> </w:t>
      </w:r>
      <w:r>
        <w:rPr/>
        <w:t>was</w:t>
      </w:r>
      <w:r>
        <w:rPr>
          <w:spacing w:val="-2"/>
        </w:rPr>
        <w:t> </w:t>
      </w:r>
      <w:r>
        <w:rPr/>
        <w:t>comprised</w:t>
      </w:r>
      <w:r>
        <w:rPr>
          <w:spacing w:val="-2"/>
        </w:rPr>
        <w:t> </w:t>
      </w:r>
      <w:r>
        <w:rPr/>
        <w:t>of</w:t>
      </w:r>
      <w:r>
        <w:rPr>
          <w:spacing w:val="-1"/>
        </w:rPr>
        <w:t> </w:t>
      </w:r>
      <w:r>
        <w:rPr/>
        <w:t>an</w:t>
      </w:r>
      <w:r>
        <w:rPr>
          <w:spacing w:val="-4"/>
        </w:rPr>
        <w:t> </w:t>
      </w:r>
      <w:r>
        <w:rPr/>
        <w:t>independent</w:t>
      </w:r>
      <w:r>
        <w:rPr>
          <w:spacing w:val="-3"/>
        </w:rPr>
        <w:t> </w:t>
      </w:r>
      <w:r>
        <w:rPr/>
        <w:t>chair and members from:</w:t>
      </w:r>
    </w:p>
    <w:p>
      <w:pPr>
        <w:pStyle w:val="BodyText"/>
        <w:spacing w:before="3"/>
      </w:pPr>
    </w:p>
    <w:p>
      <w:pPr>
        <w:pStyle w:val="ListParagraph"/>
        <w:numPr>
          <w:ilvl w:val="0"/>
          <w:numId w:val="63"/>
        </w:numPr>
        <w:tabs>
          <w:tab w:pos="799" w:val="left" w:leader="none"/>
        </w:tabs>
        <w:spacing w:line="240" w:lineRule="auto" w:before="0" w:after="0"/>
        <w:ind w:left="799" w:right="0" w:hanging="425"/>
        <w:jc w:val="left"/>
        <w:rPr>
          <w:sz w:val="22"/>
        </w:rPr>
      </w:pPr>
      <w:r>
        <w:rPr>
          <w:sz w:val="22"/>
        </w:rPr>
        <w:t>the</w:t>
      </w:r>
      <w:r>
        <w:rPr>
          <w:spacing w:val="-6"/>
          <w:sz w:val="22"/>
        </w:rPr>
        <w:t> </w:t>
      </w:r>
      <w:r>
        <w:rPr>
          <w:sz w:val="22"/>
        </w:rPr>
        <w:t>electricity</w:t>
      </w:r>
      <w:r>
        <w:rPr>
          <w:spacing w:val="-7"/>
          <w:sz w:val="22"/>
        </w:rPr>
        <w:t> </w:t>
      </w:r>
      <w:r>
        <w:rPr>
          <w:spacing w:val="-2"/>
          <w:sz w:val="22"/>
        </w:rPr>
        <w:t>industry;</w:t>
      </w:r>
    </w:p>
    <w:p>
      <w:pPr>
        <w:pStyle w:val="ListParagraph"/>
        <w:numPr>
          <w:ilvl w:val="0"/>
          <w:numId w:val="63"/>
        </w:numPr>
        <w:tabs>
          <w:tab w:pos="799" w:val="left" w:leader="none"/>
        </w:tabs>
        <w:spacing w:line="240" w:lineRule="auto" w:before="67" w:after="0"/>
        <w:ind w:left="799" w:right="0" w:hanging="425"/>
        <w:jc w:val="left"/>
        <w:rPr>
          <w:sz w:val="22"/>
        </w:rPr>
      </w:pPr>
      <w:r>
        <w:rPr>
          <w:sz w:val="22"/>
        </w:rPr>
        <w:t>Country</w:t>
      </w:r>
      <w:r>
        <w:rPr>
          <w:spacing w:val="-5"/>
          <w:sz w:val="22"/>
        </w:rPr>
        <w:t> </w:t>
      </w:r>
      <w:r>
        <w:rPr>
          <w:sz w:val="22"/>
        </w:rPr>
        <w:t>Fire</w:t>
      </w:r>
      <w:r>
        <w:rPr>
          <w:spacing w:val="-3"/>
          <w:sz w:val="22"/>
        </w:rPr>
        <w:t> </w:t>
      </w:r>
      <w:r>
        <w:rPr>
          <w:spacing w:val="-2"/>
          <w:sz w:val="22"/>
        </w:rPr>
        <w:t>Authority;</w:t>
      </w:r>
    </w:p>
    <w:p>
      <w:pPr>
        <w:pStyle w:val="ListParagraph"/>
        <w:numPr>
          <w:ilvl w:val="0"/>
          <w:numId w:val="63"/>
        </w:numPr>
        <w:tabs>
          <w:tab w:pos="799" w:val="left" w:leader="none"/>
        </w:tabs>
        <w:spacing w:line="240" w:lineRule="auto" w:before="64" w:after="0"/>
        <w:ind w:left="799" w:right="0" w:hanging="425"/>
        <w:jc w:val="left"/>
        <w:rPr>
          <w:sz w:val="22"/>
        </w:rPr>
      </w:pPr>
      <w:r>
        <w:rPr>
          <w:sz w:val="22"/>
        </w:rPr>
        <w:t>the</w:t>
      </w:r>
      <w:r>
        <w:rPr>
          <w:spacing w:val="-5"/>
          <w:sz w:val="22"/>
        </w:rPr>
        <w:t> </w:t>
      </w:r>
      <w:r>
        <w:rPr>
          <w:sz w:val="22"/>
        </w:rPr>
        <w:t>affected</w:t>
      </w:r>
      <w:r>
        <w:rPr>
          <w:spacing w:val="-5"/>
          <w:sz w:val="22"/>
        </w:rPr>
        <w:t> </w:t>
      </w:r>
      <w:r>
        <w:rPr>
          <w:spacing w:val="-2"/>
          <w:sz w:val="22"/>
        </w:rPr>
        <w:t>community;</w:t>
      </w:r>
    </w:p>
    <w:p>
      <w:pPr>
        <w:pStyle w:val="ListParagraph"/>
        <w:numPr>
          <w:ilvl w:val="0"/>
          <w:numId w:val="63"/>
        </w:numPr>
        <w:tabs>
          <w:tab w:pos="799" w:val="left" w:leader="none"/>
        </w:tabs>
        <w:spacing w:line="240" w:lineRule="auto" w:before="66" w:after="0"/>
        <w:ind w:left="799" w:right="0" w:hanging="425"/>
        <w:jc w:val="left"/>
        <w:rPr>
          <w:sz w:val="22"/>
        </w:rPr>
      </w:pPr>
      <w:r>
        <w:rPr>
          <w:sz w:val="22"/>
        </w:rPr>
        <w:t>a</w:t>
      </w:r>
      <w:r>
        <w:rPr>
          <w:spacing w:val="-3"/>
          <w:sz w:val="22"/>
        </w:rPr>
        <w:t> </w:t>
      </w:r>
      <w:r>
        <w:rPr>
          <w:sz w:val="22"/>
        </w:rPr>
        <w:t>network </w:t>
      </w:r>
      <w:r>
        <w:rPr>
          <w:spacing w:val="-2"/>
          <w:sz w:val="22"/>
        </w:rPr>
        <w:t>expert;</w:t>
      </w:r>
    </w:p>
    <w:p>
      <w:pPr>
        <w:pStyle w:val="ListParagraph"/>
        <w:numPr>
          <w:ilvl w:val="0"/>
          <w:numId w:val="63"/>
        </w:numPr>
        <w:tabs>
          <w:tab w:pos="799" w:val="left" w:leader="none"/>
        </w:tabs>
        <w:spacing w:line="240" w:lineRule="auto" w:before="66" w:after="0"/>
        <w:ind w:left="799" w:right="0" w:hanging="425"/>
        <w:jc w:val="left"/>
        <w:rPr>
          <w:sz w:val="22"/>
        </w:rPr>
      </w:pPr>
      <w:r>
        <w:rPr>
          <w:sz w:val="22"/>
        </w:rPr>
        <w:t>a</w:t>
      </w:r>
      <w:r>
        <w:rPr>
          <w:spacing w:val="-5"/>
          <w:sz w:val="22"/>
        </w:rPr>
        <w:t> </w:t>
      </w:r>
      <w:r>
        <w:rPr>
          <w:sz w:val="22"/>
        </w:rPr>
        <w:t>risk</w:t>
      </w:r>
      <w:r>
        <w:rPr>
          <w:spacing w:val="-4"/>
          <w:sz w:val="22"/>
        </w:rPr>
        <w:t> </w:t>
      </w:r>
      <w:r>
        <w:rPr>
          <w:sz w:val="22"/>
        </w:rPr>
        <w:t>management</w:t>
      </w:r>
      <w:r>
        <w:rPr>
          <w:spacing w:val="-6"/>
          <w:sz w:val="22"/>
        </w:rPr>
        <w:t> </w:t>
      </w:r>
      <w:r>
        <w:rPr>
          <w:sz w:val="22"/>
        </w:rPr>
        <w:t>expert;</w:t>
      </w:r>
      <w:r>
        <w:rPr>
          <w:spacing w:val="-1"/>
          <w:sz w:val="22"/>
        </w:rPr>
        <w:t> </w:t>
      </w:r>
      <w:r>
        <w:rPr>
          <w:spacing w:val="-5"/>
          <w:sz w:val="22"/>
        </w:rPr>
        <w:t>and</w:t>
      </w:r>
    </w:p>
    <w:p>
      <w:pPr>
        <w:pStyle w:val="ListParagraph"/>
        <w:numPr>
          <w:ilvl w:val="0"/>
          <w:numId w:val="63"/>
        </w:numPr>
        <w:tabs>
          <w:tab w:pos="799" w:val="left" w:leader="none"/>
        </w:tabs>
        <w:spacing w:line="240" w:lineRule="auto" w:before="64" w:after="0"/>
        <w:ind w:left="799" w:right="0" w:hanging="425"/>
        <w:jc w:val="left"/>
        <w:rPr>
          <w:sz w:val="22"/>
        </w:rPr>
      </w:pPr>
      <w:r>
        <w:rPr>
          <w:sz w:val="22"/>
        </w:rPr>
        <w:t>a</w:t>
      </w:r>
      <w:r>
        <w:rPr>
          <w:spacing w:val="-8"/>
          <w:sz w:val="22"/>
        </w:rPr>
        <w:t> </w:t>
      </w:r>
      <w:r>
        <w:rPr>
          <w:sz w:val="22"/>
        </w:rPr>
        <w:t>stakeholder</w:t>
      </w:r>
      <w:r>
        <w:rPr>
          <w:spacing w:val="-6"/>
          <w:sz w:val="22"/>
        </w:rPr>
        <w:t> </w:t>
      </w:r>
      <w:r>
        <w:rPr>
          <w:sz w:val="22"/>
        </w:rPr>
        <w:t>engagement</w:t>
      </w:r>
      <w:r>
        <w:rPr>
          <w:spacing w:val="-6"/>
          <w:sz w:val="22"/>
        </w:rPr>
        <w:t> </w:t>
      </w:r>
      <w:r>
        <w:rPr>
          <w:spacing w:val="-2"/>
          <w:sz w:val="22"/>
        </w:rPr>
        <w:t>expert.</w:t>
      </w:r>
    </w:p>
    <w:p>
      <w:pPr>
        <w:pStyle w:val="BodyText"/>
        <w:spacing w:before="2"/>
        <w:rPr>
          <w:sz w:val="25"/>
        </w:rPr>
      </w:pPr>
    </w:p>
    <w:p>
      <w:pPr>
        <w:pStyle w:val="BodyText"/>
        <w:ind w:left="232"/>
      </w:pPr>
      <w:r>
        <w:rPr/>
        <w:t>The</w:t>
      </w:r>
      <w:r>
        <w:rPr>
          <w:spacing w:val="-11"/>
        </w:rPr>
        <w:t> </w:t>
      </w:r>
      <w:r>
        <w:rPr/>
        <w:t>Taskforce</w:t>
      </w:r>
      <w:r>
        <w:rPr>
          <w:spacing w:val="-7"/>
        </w:rPr>
        <w:t> </w:t>
      </w:r>
      <w:r>
        <w:rPr/>
        <w:t>recommended</w:t>
      </w:r>
      <w:r>
        <w:rPr>
          <w:spacing w:val="-6"/>
        </w:rPr>
        <w:t> </w:t>
      </w:r>
      <w:r>
        <w:rPr/>
        <w:t>that</w:t>
      </w:r>
      <w:r>
        <w:rPr>
          <w:spacing w:val="-6"/>
        </w:rPr>
        <w:t> </w:t>
      </w:r>
      <w:r>
        <w:rPr/>
        <w:t>the</w:t>
      </w:r>
      <w:r>
        <w:rPr>
          <w:spacing w:val="-8"/>
        </w:rPr>
        <w:t> </w:t>
      </w:r>
      <w:r>
        <w:rPr/>
        <w:t>risk</w:t>
      </w:r>
      <w:r>
        <w:rPr>
          <w:spacing w:val="-3"/>
        </w:rPr>
        <w:t> </w:t>
      </w:r>
      <w:r>
        <w:rPr/>
        <w:t>of</w:t>
      </w:r>
      <w:r>
        <w:rPr>
          <w:spacing w:val="-4"/>
        </w:rPr>
        <w:t> </w:t>
      </w:r>
      <w:r>
        <w:rPr/>
        <w:t>powerlines</w:t>
      </w:r>
      <w:r>
        <w:rPr>
          <w:spacing w:val="-4"/>
        </w:rPr>
        <w:t> </w:t>
      </w:r>
      <w:r>
        <w:rPr/>
        <w:t>starting</w:t>
      </w:r>
      <w:r>
        <w:rPr>
          <w:spacing w:val="-4"/>
        </w:rPr>
        <w:t> </w:t>
      </w:r>
      <w:r>
        <w:rPr/>
        <w:t>bushfires</w:t>
      </w:r>
      <w:r>
        <w:rPr>
          <w:spacing w:val="-10"/>
        </w:rPr>
        <w:t> </w:t>
      </w:r>
      <w:r>
        <w:rPr/>
        <w:t>could</w:t>
      </w:r>
      <w:r>
        <w:rPr>
          <w:spacing w:val="-5"/>
        </w:rPr>
        <w:t> </w:t>
      </w:r>
      <w:r>
        <w:rPr/>
        <w:t>be</w:t>
      </w:r>
      <w:r>
        <w:rPr>
          <w:spacing w:val="-6"/>
        </w:rPr>
        <w:t> </w:t>
      </w:r>
      <w:r>
        <w:rPr/>
        <w:t>reduced</w:t>
      </w:r>
      <w:r>
        <w:rPr>
          <w:spacing w:val="-5"/>
        </w:rPr>
        <w:t> by:</w:t>
      </w:r>
    </w:p>
    <w:p>
      <w:pPr>
        <w:pStyle w:val="BodyText"/>
        <w:spacing w:before="3"/>
        <w:rPr>
          <w:sz w:val="32"/>
        </w:rPr>
      </w:pPr>
    </w:p>
    <w:p>
      <w:pPr>
        <w:pStyle w:val="ListParagraph"/>
        <w:numPr>
          <w:ilvl w:val="0"/>
          <w:numId w:val="63"/>
        </w:numPr>
        <w:tabs>
          <w:tab w:pos="734" w:val="left" w:leader="none"/>
        </w:tabs>
        <w:spacing w:line="288" w:lineRule="auto" w:before="0" w:after="0"/>
        <w:ind w:left="734" w:right="317" w:hanging="361"/>
        <w:jc w:val="left"/>
        <w:rPr>
          <w:sz w:val="22"/>
        </w:rPr>
      </w:pPr>
      <w:r>
        <w:rPr>
          <w:sz w:val="22"/>
        </w:rPr>
        <w:t>Installing</w:t>
      </w:r>
      <w:r>
        <w:rPr>
          <w:spacing w:val="-5"/>
          <w:sz w:val="22"/>
        </w:rPr>
        <w:t> </w:t>
      </w:r>
      <w:r>
        <w:rPr>
          <w:sz w:val="22"/>
        </w:rPr>
        <w:t>fault</w:t>
      </w:r>
      <w:r>
        <w:rPr>
          <w:spacing w:val="-4"/>
          <w:sz w:val="22"/>
        </w:rPr>
        <w:t> </w:t>
      </w:r>
      <w:r>
        <w:rPr>
          <w:sz w:val="22"/>
        </w:rPr>
        <w:t>suppression</w:t>
      </w:r>
      <w:r>
        <w:rPr>
          <w:spacing w:val="-3"/>
          <w:sz w:val="22"/>
        </w:rPr>
        <w:t> </w:t>
      </w:r>
      <w:r>
        <w:rPr>
          <w:sz w:val="22"/>
        </w:rPr>
        <w:t>equipment</w:t>
      </w:r>
      <w:r>
        <w:rPr>
          <w:spacing w:val="-6"/>
          <w:sz w:val="22"/>
        </w:rPr>
        <w:t> </w:t>
      </w:r>
      <w:r>
        <w:rPr>
          <w:sz w:val="22"/>
        </w:rPr>
        <w:t>known</w:t>
      </w:r>
      <w:r>
        <w:rPr>
          <w:spacing w:val="-3"/>
          <w:sz w:val="22"/>
        </w:rPr>
        <w:t> </w:t>
      </w:r>
      <w:r>
        <w:rPr>
          <w:sz w:val="22"/>
        </w:rPr>
        <w:t>as</w:t>
      </w:r>
      <w:r>
        <w:rPr>
          <w:spacing w:val="-4"/>
          <w:sz w:val="22"/>
        </w:rPr>
        <w:t> </w:t>
      </w:r>
      <w:r>
        <w:rPr>
          <w:sz w:val="22"/>
        </w:rPr>
        <w:t>Rapid</w:t>
      </w:r>
      <w:r>
        <w:rPr>
          <w:spacing w:val="-3"/>
          <w:sz w:val="22"/>
        </w:rPr>
        <w:t> </w:t>
      </w:r>
      <w:r>
        <w:rPr>
          <w:sz w:val="22"/>
        </w:rPr>
        <w:t>Earth</w:t>
      </w:r>
      <w:r>
        <w:rPr>
          <w:spacing w:val="-3"/>
          <w:sz w:val="22"/>
        </w:rPr>
        <w:t> </w:t>
      </w:r>
      <w:r>
        <w:rPr>
          <w:sz w:val="22"/>
        </w:rPr>
        <w:t>Fault</w:t>
      </w:r>
      <w:r>
        <w:rPr>
          <w:spacing w:val="-1"/>
          <w:sz w:val="22"/>
        </w:rPr>
        <w:t> </w:t>
      </w:r>
      <w:r>
        <w:rPr>
          <w:sz w:val="22"/>
        </w:rPr>
        <w:t>Current Limiters</w:t>
      </w:r>
      <w:r>
        <w:rPr>
          <w:spacing w:val="-4"/>
          <w:sz w:val="22"/>
        </w:rPr>
        <w:t> </w:t>
      </w:r>
      <w:r>
        <w:rPr>
          <w:sz w:val="22"/>
        </w:rPr>
        <w:t>(REFCLs) on select 22 kV powerlines to reduce the risk of polyphase powerlines starting fires by automatically reducing the electric current in some types of powerline faults.</w:t>
      </w:r>
    </w:p>
    <w:p>
      <w:pPr>
        <w:pStyle w:val="BodyText"/>
        <w:spacing w:before="3"/>
      </w:pPr>
    </w:p>
    <w:p>
      <w:pPr>
        <w:pStyle w:val="ListParagraph"/>
        <w:numPr>
          <w:ilvl w:val="0"/>
          <w:numId w:val="63"/>
        </w:numPr>
        <w:tabs>
          <w:tab w:pos="734" w:val="left" w:leader="none"/>
        </w:tabs>
        <w:spacing w:line="288" w:lineRule="auto" w:before="0" w:after="0"/>
        <w:ind w:left="734" w:right="572" w:hanging="361"/>
        <w:jc w:val="both"/>
        <w:rPr>
          <w:sz w:val="22"/>
        </w:rPr>
      </w:pPr>
      <w:r>
        <w:rPr>
          <w:sz w:val="22"/>
        </w:rPr>
        <w:t>Installing</w:t>
      </w:r>
      <w:r>
        <w:rPr>
          <w:spacing w:val="-2"/>
          <w:sz w:val="22"/>
        </w:rPr>
        <w:t> </w:t>
      </w:r>
      <w:r>
        <w:rPr>
          <w:sz w:val="22"/>
        </w:rPr>
        <w:t>remotely</w:t>
      </w:r>
      <w:r>
        <w:rPr>
          <w:spacing w:val="-4"/>
          <w:sz w:val="22"/>
        </w:rPr>
        <w:t> </w:t>
      </w:r>
      <w:r>
        <w:rPr>
          <w:sz w:val="22"/>
        </w:rPr>
        <w:t>controlled</w:t>
      </w:r>
      <w:r>
        <w:rPr>
          <w:spacing w:val="-2"/>
          <w:sz w:val="22"/>
        </w:rPr>
        <w:t> </w:t>
      </w:r>
      <w:r>
        <w:rPr>
          <w:sz w:val="22"/>
        </w:rPr>
        <w:t>Automatic</w:t>
      </w:r>
      <w:r>
        <w:rPr>
          <w:spacing w:val="-4"/>
          <w:sz w:val="22"/>
        </w:rPr>
        <w:t> </w:t>
      </w:r>
      <w:r>
        <w:rPr>
          <w:sz w:val="22"/>
        </w:rPr>
        <w:t>Circuit</w:t>
      </w:r>
      <w:r>
        <w:rPr>
          <w:spacing w:val="-3"/>
          <w:sz w:val="22"/>
        </w:rPr>
        <w:t> </w:t>
      </w:r>
      <w:r>
        <w:rPr>
          <w:sz w:val="22"/>
        </w:rPr>
        <w:t>Reclosers</w:t>
      </w:r>
      <w:r>
        <w:rPr>
          <w:spacing w:val="-4"/>
          <w:sz w:val="22"/>
        </w:rPr>
        <w:t> </w:t>
      </w:r>
      <w:r>
        <w:rPr>
          <w:sz w:val="22"/>
        </w:rPr>
        <w:t>(ACRs)</w:t>
      </w:r>
      <w:r>
        <w:rPr>
          <w:spacing w:val="-1"/>
          <w:sz w:val="22"/>
        </w:rPr>
        <w:t> </w:t>
      </w:r>
      <w:r>
        <w:rPr>
          <w:sz w:val="22"/>
        </w:rPr>
        <w:t>on</w:t>
      </w:r>
      <w:r>
        <w:rPr>
          <w:spacing w:val="-4"/>
          <w:sz w:val="22"/>
        </w:rPr>
        <w:t> </w:t>
      </w:r>
      <w:r>
        <w:rPr>
          <w:sz w:val="22"/>
        </w:rPr>
        <w:t>SWER</w:t>
      </w:r>
      <w:r>
        <w:rPr>
          <w:spacing w:val="-2"/>
          <w:sz w:val="22"/>
        </w:rPr>
        <w:t> </w:t>
      </w:r>
      <w:r>
        <w:rPr>
          <w:sz w:val="22"/>
        </w:rPr>
        <w:t>lines</w:t>
      </w:r>
      <w:r>
        <w:rPr>
          <w:spacing w:val="-1"/>
          <w:sz w:val="22"/>
        </w:rPr>
        <w:t> </w:t>
      </w:r>
      <w:r>
        <w:rPr>
          <w:sz w:val="22"/>
        </w:rPr>
        <w:t>to</w:t>
      </w:r>
      <w:r>
        <w:rPr>
          <w:spacing w:val="-4"/>
          <w:sz w:val="22"/>
        </w:rPr>
        <w:t> </w:t>
      </w:r>
      <w:r>
        <w:rPr>
          <w:sz w:val="22"/>
        </w:rPr>
        <w:t>reduce the</w:t>
      </w:r>
      <w:r>
        <w:rPr>
          <w:spacing w:val="-2"/>
          <w:sz w:val="22"/>
        </w:rPr>
        <w:t> </w:t>
      </w:r>
      <w:r>
        <w:rPr>
          <w:sz w:val="22"/>
        </w:rPr>
        <w:t>risk of SWER</w:t>
      </w:r>
      <w:r>
        <w:rPr>
          <w:spacing w:val="-3"/>
          <w:sz w:val="22"/>
        </w:rPr>
        <w:t> </w:t>
      </w:r>
      <w:r>
        <w:rPr>
          <w:sz w:val="22"/>
        </w:rPr>
        <w:t>lines starting fires</w:t>
      </w:r>
      <w:r>
        <w:rPr>
          <w:spacing w:val="-2"/>
          <w:sz w:val="22"/>
        </w:rPr>
        <w:t> </w:t>
      </w:r>
      <w:r>
        <w:rPr>
          <w:sz w:val="22"/>
        </w:rPr>
        <w:t>by</w:t>
      </w:r>
      <w:r>
        <w:rPr>
          <w:spacing w:val="-2"/>
          <w:sz w:val="22"/>
        </w:rPr>
        <w:t> </w:t>
      </w:r>
      <w:r>
        <w:rPr>
          <w:sz w:val="22"/>
        </w:rPr>
        <w:t>enabling the devices to be</w:t>
      </w:r>
      <w:r>
        <w:rPr>
          <w:spacing w:val="-2"/>
          <w:sz w:val="22"/>
        </w:rPr>
        <w:t> </w:t>
      </w:r>
      <w:r>
        <w:rPr>
          <w:sz w:val="22"/>
        </w:rPr>
        <w:t>set</w:t>
      </w:r>
      <w:r>
        <w:rPr>
          <w:spacing w:val="-1"/>
          <w:sz w:val="22"/>
        </w:rPr>
        <w:t> </w:t>
      </w:r>
      <w:r>
        <w:rPr>
          <w:sz w:val="22"/>
        </w:rPr>
        <w:t>remotely</w:t>
      </w:r>
      <w:r>
        <w:rPr>
          <w:spacing w:val="-2"/>
          <w:sz w:val="22"/>
        </w:rPr>
        <w:t> </w:t>
      </w:r>
      <w:r>
        <w:rPr>
          <w:sz w:val="22"/>
        </w:rPr>
        <w:t>so that</w:t>
      </w:r>
      <w:r>
        <w:rPr>
          <w:spacing w:val="-1"/>
          <w:sz w:val="22"/>
        </w:rPr>
        <w:t> </w:t>
      </w:r>
      <w:r>
        <w:rPr>
          <w:sz w:val="22"/>
        </w:rPr>
        <w:t>they turn off those powerlines quickly when faults occur.</w:t>
      </w:r>
    </w:p>
    <w:p>
      <w:pPr>
        <w:pStyle w:val="BodyText"/>
      </w:pPr>
    </w:p>
    <w:p>
      <w:pPr>
        <w:pStyle w:val="ListParagraph"/>
        <w:numPr>
          <w:ilvl w:val="0"/>
          <w:numId w:val="63"/>
        </w:numPr>
        <w:tabs>
          <w:tab w:pos="734" w:val="left" w:leader="none"/>
        </w:tabs>
        <w:spacing w:line="240" w:lineRule="auto" w:before="0" w:after="0"/>
        <w:ind w:left="734" w:right="0" w:hanging="360"/>
        <w:jc w:val="left"/>
        <w:rPr>
          <w:sz w:val="22"/>
        </w:rPr>
      </w:pPr>
      <w:r>
        <w:rPr>
          <w:sz w:val="22"/>
        </w:rPr>
        <w:t>Putting</w:t>
      </w:r>
      <w:r>
        <w:rPr>
          <w:spacing w:val="-7"/>
          <w:sz w:val="22"/>
        </w:rPr>
        <w:t> </w:t>
      </w:r>
      <w:r>
        <w:rPr>
          <w:sz w:val="22"/>
        </w:rPr>
        <w:t>powerlines</w:t>
      </w:r>
      <w:r>
        <w:rPr>
          <w:spacing w:val="-6"/>
          <w:sz w:val="22"/>
        </w:rPr>
        <w:t> </w:t>
      </w:r>
      <w:r>
        <w:rPr>
          <w:sz w:val="22"/>
        </w:rPr>
        <w:t>underground</w:t>
      </w:r>
      <w:r>
        <w:rPr>
          <w:spacing w:val="-7"/>
          <w:sz w:val="22"/>
        </w:rPr>
        <w:t> </w:t>
      </w:r>
      <w:r>
        <w:rPr>
          <w:sz w:val="22"/>
        </w:rPr>
        <w:t>or</w:t>
      </w:r>
      <w:r>
        <w:rPr>
          <w:spacing w:val="-5"/>
          <w:sz w:val="22"/>
        </w:rPr>
        <w:t> </w:t>
      </w:r>
      <w:r>
        <w:rPr>
          <w:sz w:val="22"/>
        </w:rPr>
        <w:t>insulating</w:t>
      </w:r>
      <w:r>
        <w:rPr>
          <w:spacing w:val="-5"/>
          <w:sz w:val="22"/>
        </w:rPr>
        <w:t> </w:t>
      </w:r>
      <w:r>
        <w:rPr>
          <w:sz w:val="22"/>
        </w:rPr>
        <w:t>conductors</w:t>
      </w:r>
      <w:r>
        <w:rPr>
          <w:spacing w:val="-8"/>
          <w:sz w:val="22"/>
        </w:rPr>
        <w:t> </w:t>
      </w:r>
      <w:r>
        <w:rPr>
          <w:sz w:val="22"/>
        </w:rPr>
        <w:t>in</w:t>
      </w:r>
      <w:r>
        <w:rPr>
          <w:spacing w:val="-8"/>
          <w:sz w:val="22"/>
        </w:rPr>
        <w:t> </w:t>
      </w:r>
      <w:r>
        <w:rPr>
          <w:sz w:val="22"/>
        </w:rPr>
        <w:t>the</w:t>
      </w:r>
      <w:r>
        <w:rPr>
          <w:spacing w:val="-7"/>
          <w:sz w:val="22"/>
        </w:rPr>
        <w:t> </w:t>
      </w:r>
      <w:r>
        <w:rPr>
          <w:sz w:val="22"/>
        </w:rPr>
        <w:t>areas</w:t>
      </w:r>
      <w:r>
        <w:rPr>
          <w:spacing w:val="-6"/>
          <w:sz w:val="22"/>
        </w:rPr>
        <w:t> </w:t>
      </w:r>
      <w:r>
        <w:rPr>
          <w:sz w:val="22"/>
        </w:rPr>
        <w:t>of</w:t>
      </w:r>
      <w:r>
        <w:rPr>
          <w:spacing w:val="-5"/>
          <w:sz w:val="22"/>
        </w:rPr>
        <w:t> </w:t>
      </w:r>
      <w:r>
        <w:rPr>
          <w:sz w:val="22"/>
        </w:rPr>
        <w:t>highest</w:t>
      </w:r>
      <w:r>
        <w:rPr>
          <w:spacing w:val="-4"/>
          <w:sz w:val="22"/>
        </w:rPr>
        <w:t> </w:t>
      </w:r>
      <w:r>
        <w:rPr>
          <w:sz w:val="22"/>
        </w:rPr>
        <w:t>bushfire</w:t>
      </w:r>
      <w:r>
        <w:rPr>
          <w:spacing w:val="-3"/>
          <w:sz w:val="22"/>
        </w:rPr>
        <w:t> </w:t>
      </w:r>
      <w:r>
        <w:rPr>
          <w:spacing w:val="-2"/>
          <w:sz w:val="22"/>
        </w:rPr>
        <w:t>risk.</w:t>
      </w:r>
    </w:p>
    <w:p>
      <w:pPr>
        <w:pStyle w:val="BodyText"/>
        <w:spacing w:before="2"/>
        <w:rPr>
          <w:sz w:val="25"/>
        </w:rPr>
      </w:pPr>
    </w:p>
    <w:p>
      <w:pPr>
        <w:pStyle w:val="BodyText"/>
        <w:spacing w:line="288" w:lineRule="auto"/>
        <w:ind w:left="232" w:right="320"/>
      </w:pPr>
      <w:r>
        <w:rPr/>
        <w:t>The</w:t>
      </w:r>
      <w:r>
        <w:rPr>
          <w:spacing w:val="-5"/>
        </w:rPr>
        <w:t> </w:t>
      </w:r>
      <w:r>
        <w:rPr/>
        <w:t>Taskforce</w:t>
      </w:r>
      <w:r>
        <w:rPr>
          <w:spacing w:val="-2"/>
        </w:rPr>
        <w:t> </w:t>
      </w:r>
      <w:r>
        <w:rPr/>
        <w:t>also</w:t>
      </w:r>
      <w:r>
        <w:rPr>
          <w:spacing w:val="-1"/>
        </w:rPr>
        <w:t> </w:t>
      </w:r>
      <w:r>
        <w:rPr/>
        <w:t>indicated</w:t>
      </w:r>
      <w:r>
        <w:rPr>
          <w:spacing w:val="-3"/>
        </w:rPr>
        <w:t> </w:t>
      </w:r>
      <w:r>
        <w:rPr/>
        <w:t>the</w:t>
      </w:r>
      <w:r>
        <w:rPr>
          <w:spacing w:val="-1"/>
        </w:rPr>
        <w:t> </w:t>
      </w:r>
      <w:r>
        <w:rPr/>
        <w:t>need</w:t>
      </w:r>
      <w:r>
        <w:rPr>
          <w:spacing w:val="-6"/>
        </w:rPr>
        <w:t> </w:t>
      </w:r>
      <w:r>
        <w:rPr/>
        <w:t>for</w:t>
      </w:r>
      <w:r>
        <w:rPr>
          <w:spacing w:val="-2"/>
        </w:rPr>
        <w:t> </w:t>
      </w:r>
      <w:r>
        <w:rPr/>
        <w:t>further</w:t>
      </w:r>
      <w:r>
        <w:rPr>
          <w:spacing w:val="-4"/>
        </w:rPr>
        <w:t> </w:t>
      </w:r>
      <w:r>
        <w:rPr/>
        <w:t>research</w:t>
      </w:r>
      <w:r>
        <w:rPr>
          <w:spacing w:val="-3"/>
        </w:rPr>
        <w:t> </w:t>
      </w:r>
      <w:r>
        <w:rPr/>
        <w:t>and</w:t>
      </w:r>
      <w:r>
        <w:rPr>
          <w:spacing w:val="-1"/>
        </w:rPr>
        <w:t> </w:t>
      </w:r>
      <w:r>
        <w:rPr/>
        <w:t>development –</w:t>
      </w:r>
      <w:r>
        <w:rPr>
          <w:spacing w:val="-3"/>
        </w:rPr>
        <w:t> </w:t>
      </w:r>
      <w:r>
        <w:rPr/>
        <w:t>noting</w:t>
      </w:r>
      <w:r>
        <w:rPr>
          <w:spacing w:val="-1"/>
        </w:rPr>
        <w:t> </w:t>
      </w:r>
      <w:r>
        <w:rPr/>
        <w:t>that</w:t>
      </w:r>
      <w:r>
        <w:rPr>
          <w:spacing w:val="-2"/>
        </w:rPr>
        <w:t> </w:t>
      </w:r>
      <w:r>
        <w:rPr/>
        <w:t>REFCLs had not previously been used for bushfire suppression.</w:t>
      </w:r>
    </w:p>
    <w:p>
      <w:pPr>
        <w:pStyle w:val="BodyText"/>
        <w:spacing w:before="10"/>
        <w:rPr>
          <w:sz w:val="20"/>
        </w:rPr>
      </w:pPr>
    </w:p>
    <w:p>
      <w:pPr>
        <w:pStyle w:val="BodyText"/>
        <w:spacing w:line="288" w:lineRule="auto"/>
        <w:ind w:left="232" w:right="374"/>
      </w:pPr>
      <w:r>
        <w:rPr/>
        <w:t>In</w:t>
      </w:r>
      <w:r>
        <w:rPr>
          <w:spacing w:val="-2"/>
        </w:rPr>
        <w:t> </w:t>
      </w:r>
      <w:r>
        <w:rPr/>
        <w:t>December</w:t>
      </w:r>
      <w:r>
        <w:rPr>
          <w:spacing w:val="-3"/>
        </w:rPr>
        <w:t> </w:t>
      </w:r>
      <w:r>
        <w:rPr/>
        <w:t>2011,</w:t>
      </w:r>
      <w:r>
        <w:rPr>
          <w:spacing w:val="-3"/>
        </w:rPr>
        <w:t> </w:t>
      </w:r>
      <w:r>
        <w:rPr/>
        <w:t>the</w:t>
      </w:r>
      <w:r>
        <w:rPr>
          <w:spacing w:val="-4"/>
        </w:rPr>
        <w:t> </w:t>
      </w:r>
      <w:r>
        <w:rPr/>
        <w:t>then</w:t>
      </w:r>
      <w:r>
        <w:rPr>
          <w:spacing w:val="-2"/>
        </w:rPr>
        <w:t> </w:t>
      </w:r>
      <w:r>
        <w:rPr/>
        <w:t>Victorian</w:t>
      </w:r>
      <w:r>
        <w:rPr>
          <w:spacing w:val="-3"/>
        </w:rPr>
        <w:t> </w:t>
      </w:r>
      <w:r>
        <w:rPr/>
        <w:t>Government</w:t>
      </w:r>
      <w:r>
        <w:rPr>
          <w:spacing w:val="-1"/>
        </w:rPr>
        <w:t> </w:t>
      </w:r>
      <w:r>
        <w:rPr/>
        <w:t>accepted</w:t>
      </w:r>
      <w:r>
        <w:rPr>
          <w:spacing w:val="-4"/>
        </w:rPr>
        <w:t> </w:t>
      </w:r>
      <w:r>
        <w:rPr/>
        <w:t>the</w:t>
      </w:r>
      <w:r>
        <w:rPr>
          <w:spacing w:val="-5"/>
        </w:rPr>
        <w:t> </w:t>
      </w:r>
      <w:r>
        <w:rPr/>
        <w:t>Taskforce’s</w:t>
      </w:r>
      <w:r>
        <w:rPr>
          <w:spacing w:val="-1"/>
        </w:rPr>
        <w:t> </w:t>
      </w:r>
      <w:r>
        <w:rPr/>
        <w:t>recommendations, and established the Powerline Bushfire Safety Program (PBSP) to implement these </w:t>
      </w:r>
      <w:r>
        <w:rPr>
          <w:spacing w:val="-2"/>
        </w:rPr>
        <w:t>recommendations.</w:t>
      </w:r>
    </w:p>
    <w:p>
      <w:pPr>
        <w:pStyle w:val="BodyText"/>
        <w:spacing w:line="288" w:lineRule="auto" w:before="120"/>
        <w:ind w:left="232" w:right="565"/>
      </w:pPr>
      <w:r>
        <w:rPr/>
        <w:t>In</w:t>
      </w:r>
      <w:r>
        <w:rPr>
          <w:spacing w:val="-3"/>
        </w:rPr>
        <w:t> </w:t>
      </w:r>
      <w:r>
        <w:rPr/>
        <w:t>accepting</w:t>
      </w:r>
      <w:r>
        <w:rPr>
          <w:spacing w:val="-3"/>
        </w:rPr>
        <w:t> </w:t>
      </w:r>
      <w:r>
        <w:rPr/>
        <w:t>the</w:t>
      </w:r>
      <w:r>
        <w:rPr>
          <w:spacing w:val="-5"/>
        </w:rPr>
        <w:t> </w:t>
      </w:r>
      <w:r>
        <w:rPr/>
        <w:t>recommendations,</w:t>
      </w:r>
      <w:r>
        <w:rPr>
          <w:spacing w:val="-4"/>
        </w:rPr>
        <w:t> </w:t>
      </w:r>
      <w:r>
        <w:rPr/>
        <w:t>the</w:t>
      </w:r>
      <w:r>
        <w:rPr>
          <w:spacing w:val="-5"/>
        </w:rPr>
        <w:t> </w:t>
      </w:r>
      <w:r>
        <w:rPr/>
        <w:t>Victorian</w:t>
      </w:r>
      <w:r>
        <w:rPr>
          <w:spacing w:val="-5"/>
        </w:rPr>
        <w:t> </w:t>
      </w:r>
      <w:r>
        <w:rPr/>
        <w:t>Government</w:t>
      </w:r>
      <w:r>
        <w:rPr>
          <w:spacing w:val="-1"/>
        </w:rPr>
        <w:t> </w:t>
      </w:r>
      <w:r>
        <w:rPr/>
        <w:t>committed</w:t>
      </w:r>
      <w:r>
        <w:rPr>
          <w:spacing w:val="-5"/>
        </w:rPr>
        <w:t> </w:t>
      </w:r>
      <w:r>
        <w:rPr/>
        <w:t>to</w:t>
      </w:r>
      <w:r>
        <w:rPr>
          <w:spacing w:val="-3"/>
        </w:rPr>
        <w:t> </w:t>
      </w:r>
      <w:r>
        <w:rPr/>
        <w:t>invest</w:t>
      </w:r>
      <w:r>
        <w:rPr>
          <w:spacing w:val="-2"/>
        </w:rPr>
        <w:t> </w:t>
      </w:r>
      <w:r>
        <w:rPr/>
        <w:t>significantly</w:t>
      </w:r>
      <w:r>
        <w:rPr>
          <w:spacing w:val="-5"/>
        </w:rPr>
        <w:t> </w:t>
      </w:r>
      <w:r>
        <w:rPr/>
        <w:t>in measures to reduce powerline-initiated bushfire risk, including up to $500 million (real, 2011) of consumer-funded investment in new network technologies such as REFCLs:</w:t>
      </w:r>
    </w:p>
    <w:p>
      <w:pPr>
        <w:pStyle w:val="BodyText"/>
        <w:spacing w:before="11"/>
        <w:rPr>
          <w:sz w:val="20"/>
        </w:rPr>
      </w:pPr>
    </w:p>
    <w:p>
      <w:pPr>
        <w:spacing w:line="288" w:lineRule="auto" w:before="0"/>
        <w:ind w:left="799" w:right="900" w:firstLine="0"/>
        <w:jc w:val="left"/>
        <w:rPr>
          <w:sz w:val="22"/>
        </w:rPr>
      </w:pPr>
      <w:r>
        <w:rPr>
          <w:i/>
          <w:sz w:val="22"/>
        </w:rPr>
        <w:t>“As recommended by the Taskforce, the Government will now require electricity distribution</w:t>
      </w:r>
      <w:r>
        <w:rPr>
          <w:i/>
          <w:spacing w:val="-3"/>
          <w:sz w:val="22"/>
        </w:rPr>
        <w:t> </w:t>
      </w:r>
      <w:r>
        <w:rPr>
          <w:i/>
          <w:sz w:val="22"/>
        </w:rPr>
        <w:t>businesses</w:t>
      </w:r>
      <w:r>
        <w:rPr>
          <w:i/>
          <w:spacing w:val="-5"/>
          <w:sz w:val="22"/>
        </w:rPr>
        <w:t> </w:t>
      </w:r>
      <w:r>
        <w:rPr>
          <w:i/>
          <w:sz w:val="22"/>
        </w:rPr>
        <w:t>to</w:t>
      </w:r>
      <w:r>
        <w:rPr>
          <w:i/>
          <w:spacing w:val="-3"/>
          <w:sz w:val="22"/>
        </w:rPr>
        <w:t> </w:t>
      </w:r>
      <w:r>
        <w:rPr>
          <w:i/>
          <w:sz w:val="22"/>
        </w:rPr>
        <w:t>install</w:t>
      </w:r>
      <w:r>
        <w:rPr>
          <w:i/>
          <w:spacing w:val="-3"/>
          <w:sz w:val="22"/>
        </w:rPr>
        <w:t> </w:t>
      </w:r>
      <w:r>
        <w:rPr>
          <w:i/>
          <w:sz w:val="22"/>
        </w:rPr>
        <w:t>both</w:t>
      </w:r>
      <w:r>
        <w:rPr>
          <w:i/>
          <w:spacing w:val="-5"/>
          <w:sz w:val="22"/>
        </w:rPr>
        <w:t> </w:t>
      </w:r>
      <w:r>
        <w:rPr>
          <w:i/>
          <w:sz w:val="22"/>
        </w:rPr>
        <w:t>of</w:t>
      </w:r>
      <w:r>
        <w:rPr>
          <w:i/>
          <w:spacing w:val="-4"/>
          <w:sz w:val="22"/>
        </w:rPr>
        <w:t> </w:t>
      </w:r>
      <w:r>
        <w:rPr>
          <w:i/>
          <w:sz w:val="22"/>
        </w:rPr>
        <w:t>these</w:t>
      </w:r>
      <w:r>
        <w:rPr>
          <w:i/>
          <w:spacing w:val="-3"/>
          <w:sz w:val="22"/>
        </w:rPr>
        <w:t> </w:t>
      </w:r>
      <w:r>
        <w:rPr>
          <w:i/>
          <w:sz w:val="22"/>
        </w:rPr>
        <w:t>devices</w:t>
      </w:r>
      <w:r>
        <w:rPr>
          <w:i/>
          <w:spacing w:val="-3"/>
          <w:sz w:val="22"/>
        </w:rPr>
        <w:t> </w:t>
      </w:r>
      <w:r>
        <w:rPr>
          <w:i/>
          <w:sz w:val="22"/>
        </w:rPr>
        <w:t>[Automatic</w:t>
      </w:r>
      <w:r>
        <w:rPr>
          <w:i/>
          <w:spacing w:val="-2"/>
          <w:sz w:val="22"/>
        </w:rPr>
        <w:t> </w:t>
      </w:r>
      <w:r>
        <w:rPr>
          <w:i/>
          <w:sz w:val="22"/>
        </w:rPr>
        <w:t>Circuit</w:t>
      </w:r>
      <w:r>
        <w:rPr>
          <w:i/>
          <w:spacing w:val="-6"/>
          <w:sz w:val="22"/>
        </w:rPr>
        <w:t> </w:t>
      </w:r>
      <w:r>
        <w:rPr>
          <w:i/>
          <w:sz w:val="22"/>
        </w:rPr>
        <w:t>Reclosers</w:t>
      </w:r>
      <w:r>
        <w:rPr>
          <w:i/>
          <w:spacing w:val="-2"/>
          <w:sz w:val="22"/>
        </w:rPr>
        <w:t> </w:t>
      </w:r>
      <w:r>
        <w:rPr>
          <w:i/>
          <w:sz w:val="22"/>
        </w:rPr>
        <w:t>and REFCLs] across the State over the next decade. Electricity distribution businesses will be required to specify, through their Bushfire Mitigation Plans, the location and timing</w:t>
      </w:r>
      <w:r>
        <w:rPr>
          <w:i/>
          <w:spacing w:val="40"/>
          <w:sz w:val="22"/>
        </w:rPr>
        <w:t> </w:t>
      </w:r>
      <w:r>
        <w:rPr>
          <w:i/>
          <w:sz w:val="22"/>
        </w:rPr>
        <w:t>of asset</w:t>
      </w:r>
      <w:r>
        <w:rPr>
          <w:i/>
          <w:spacing w:val="-2"/>
          <w:sz w:val="22"/>
        </w:rPr>
        <w:t> </w:t>
      </w:r>
      <w:r>
        <w:rPr>
          <w:i/>
          <w:sz w:val="22"/>
        </w:rPr>
        <w:t>roll-out. Progress against</w:t>
      </w:r>
      <w:r>
        <w:rPr>
          <w:i/>
          <w:spacing w:val="-2"/>
          <w:sz w:val="22"/>
        </w:rPr>
        <w:t> </w:t>
      </w:r>
      <w:r>
        <w:rPr>
          <w:i/>
          <w:sz w:val="22"/>
        </w:rPr>
        <w:t>these</w:t>
      </w:r>
      <w:r>
        <w:rPr>
          <w:i/>
          <w:spacing w:val="-3"/>
          <w:sz w:val="22"/>
        </w:rPr>
        <w:t> </w:t>
      </w:r>
      <w:r>
        <w:rPr>
          <w:i/>
          <w:sz w:val="22"/>
        </w:rPr>
        <w:t>Bushfire</w:t>
      </w:r>
      <w:r>
        <w:rPr>
          <w:i/>
          <w:spacing w:val="-3"/>
          <w:sz w:val="22"/>
        </w:rPr>
        <w:t> </w:t>
      </w:r>
      <w:r>
        <w:rPr>
          <w:i/>
          <w:sz w:val="22"/>
        </w:rPr>
        <w:t>Mitigation</w:t>
      </w:r>
      <w:r>
        <w:rPr>
          <w:i/>
          <w:spacing w:val="-1"/>
          <w:sz w:val="22"/>
        </w:rPr>
        <w:t> </w:t>
      </w:r>
      <w:r>
        <w:rPr>
          <w:i/>
          <w:sz w:val="22"/>
        </w:rPr>
        <w:t>Plans will</w:t>
      </w:r>
      <w:r>
        <w:rPr>
          <w:i/>
          <w:spacing w:val="-1"/>
          <w:sz w:val="22"/>
        </w:rPr>
        <w:t> </w:t>
      </w:r>
      <w:r>
        <w:rPr>
          <w:i/>
          <w:sz w:val="22"/>
        </w:rPr>
        <w:t>then</w:t>
      </w:r>
      <w:r>
        <w:rPr>
          <w:i/>
          <w:spacing w:val="-3"/>
          <w:sz w:val="22"/>
        </w:rPr>
        <w:t> </w:t>
      </w:r>
      <w:r>
        <w:rPr>
          <w:i/>
          <w:sz w:val="22"/>
        </w:rPr>
        <w:t>be</w:t>
      </w:r>
      <w:r>
        <w:rPr>
          <w:i/>
          <w:spacing w:val="-3"/>
          <w:sz w:val="22"/>
        </w:rPr>
        <w:t> </w:t>
      </w:r>
      <w:r>
        <w:rPr>
          <w:i/>
          <w:sz w:val="22"/>
        </w:rPr>
        <w:t>reviewed by Energy Safe Victoria on an annual basis. This is estimated by the Taskforce to cost approximately $500 million over 10 years.”</w:t>
      </w:r>
      <w:r>
        <w:rPr>
          <w:i/>
          <w:spacing w:val="-20"/>
          <w:sz w:val="22"/>
        </w:rPr>
        <w:t> </w:t>
      </w:r>
      <w:r>
        <w:rPr>
          <w:sz w:val="22"/>
        </w:rPr>
        <w:t>(Government of Victoria, 2011, p. 4)</w:t>
      </w:r>
    </w:p>
    <w:p>
      <w:pPr>
        <w:spacing w:after="0" w:line="288" w:lineRule="auto"/>
        <w:jc w:val="left"/>
        <w:rPr>
          <w:sz w:val="22"/>
        </w:rPr>
        <w:sectPr>
          <w:pgSz w:w="11910" w:h="16850"/>
          <w:pgMar w:header="220" w:footer="678" w:top="420" w:bottom="860" w:left="900" w:right="840"/>
        </w:sectPr>
      </w:pPr>
    </w:p>
    <w:p>
      <w:pPr>
        <w:pStyle w:val="BodyText"/>
        <w:rPr>
          <w:sz w:val="20"/>
        </w:rPr>
      </w:pPr>
    </w:p>
    <w:p>
      <w:pPr>
        <w:pStyle w:val="BodyText"/>
        <w:spacing w:before="2"/>
        <w:rPr>
          <w:sz w:val="19"/>
        </w:rPr>
      </w:pPr>
    </w:p>
    <w:p>
      <w:pPr>
        <w:pStyle w:val="BodyText"/>
        <w:spacing w:line="288" w:lineRule="auto" w:before="94"/>
        <w:ind w:left="232" w:right="286"/>
      </w:pPr>
      <w:r>
        <w:rPr/>
        <w:t>Investment in</w:t>
      </w:r>
      <w:r>
        <w:rPr>
          <w:spacing w:val="-3"/>
        </w:rPr>
        <w:t> </w:t>
      </w:r>
      <w:r>
        <w:rPr/>
        <w:t>these</w:t>
      </w:r>
      <w:r>
        <w:rPr>
          <w:spacing w:val="-3"/>
        </w:rPr>
        <w:t> </w:t>
      </w:r>
      <w:r>
        <w:rPr/>
        <w:t>new</w:t>
      </w:r>
      <w:r>
        <w:rPr>
          <w:spacing w:val="-4"/>
        </w:rPr>
        <w:t> </w:t>
      </w:r>
      <w:r>
        <w:rPr/>
        <w:t>network safety</w:t>
      </w:r>
      <w:r>
        <w:rPr>
          <w:spacing w:val="-3"/>
        </w:rPr>
        <w:t> </w:t>
      </w:r>
      <w:r>
        <w:rPr/>
        <w:t>devices</w:t>
      </w:r>
      <w:r>
        <w:rPr>
          <w:spacing w:val="-1"/>
        </w:rPr>
        <w:t> </w:t>
      </w:r>
      <w:r>
        <w:rPr/>
        <w:t>was driven</w:t>
      </w:r>
      <w:r>
        <w:rPr>
          <w:spacing w:val="-1"/>
        </w:rPr>
        <w:t> </w:t>
      </w:r>
      <w:r>
        <w:rPr/>
        <w:t>by</w:t>
      </w:r>
      <w:r>
        <w:rPr>
          <w:spacing w:val="-3"/>
        </w:rPr>
        <w:t> </w:t>
      </w:r>
      <w:r>
        <w:rPr/>
        <w:t>the</w:t>
      </w:r>
      <w:r>
        <w:rPr>
          <w:spacing w:val="-1"/>
        </w:rPr>
        <w:t> </w:t>
      </w:r>
      <w:r>
        <w:rPr/>
        <w:t>need</w:t>
      </w:r>
      <w:r>
        <w:rPr>
          <w:spacing w:val="-3"/>
        </w:rPr>
        <w:t> </w:t>
      </w:r>
      <w:r>
        <w:rPr/>
        <w:t>to</w:t>
      </w:r>
      <w:r>
        <w:rPr>
          <w:spacing w:val="-5"/>
        </w:rPr>
        <w:t> </w:t>
      </w:r>
      <w:r>
        <w:rPr/>
        <w:t>take</w:t>
      </w:r>
      <w:r>
        <w:rPr>
          <w:spacing w:val="-1"/>
        </w:rPr>
        <w:t> </w:t>
      </w:r>
      <w:r>
        <w:rPr/>
        <w:t>decisive</w:t>
      </w:r>
      <w:r>
        <w:rPr>
          <w:spacing w:val="-1"/>
        </w:rPr>
        <w:t> </w:t>
      </w:r>
      <w:r>
        <w:rPr/>
        <w:t>and</w:t>
      </w:r>
      <w:r>
        <w:rPr>
          <w:spacing w:val="-3"/>
        </w:rPr>
        <w:t> </w:t>
      </w:r>
      <w:r>
        <w:rPr/>
        <w:t>timely action to reduce the risk of catastrophic bushfires caused by powerlines. The focus on a new generation</w:t>
      </w:r>
      <w:r>
        <w:rPr>
          <w:spacing w:val="-3"/>
        </w:rPr>
        <w:t> </w:t>
      </w:r>
      <w:r>
        <w:rPr/>
        <w:t>of</w:t>
      </w:r>
      <w:r>
        <w:rPr>
          <w:spacing w:val="-1"/>
        </w:rPr>
        <w:t> </w:t>
      </w:r>
      <w:r>
        <w:rPr/>
        <w:t>network</w:t>
      </w:r>
      <w:r>
        <w:rPr>
          <w:spacing w:val="-2"/>
        </w:rPr>
        <w:t> </w:t>
      </w:r>
      <w:r>
        <w:rPr/>
        <w:t>safety</w:t>
      </w:r>
      <w:r>
        <w:rPr>
          <w:spacing w:val="-4"/>
        </w:rPr>
        <w:t> </w:t>
      </w:r>
      <w:r>
        <w:rPr/>
        <w:t>devices</w:t>
      </w:r>
      <w:r>
        <w:rPr>
          <w:spacing w:val="-3"/>
        </w:rPr>
        <w:t> </w:t>
      </w:r>
      <w:r>
        <w:rPr/>
        <w:t>offered</w:t>
      </w:r>
      <w:r>
        <w:rPr>
          <w:spacing w:val="-5"/>
        </w:rPr>
        <w:t> </w:t>
      </w:r>
      <w:r>
        <w:rPr/>
        <w:t>significant</w:t>
      </w:r>
      <w:r>
        <w:rPr>
          <w:spacing w:val="-4"/>
        </w:rPr>
        <w:t> </w:t>
      </w:r>
      <w:r>
        <w:rPr/>
        <w:t>risk benefits</w:t>
      </w:r>
      <w:r>
        <w:rPr>
          <w:spacing w:val="-5"/>
        </w:rPr>
        <w:t> </w:t>
      </w:r>
      <w:r>
        <w:rPr/>
        <w:t>at</w:t>
      </w:r>
      <w:r>
        <w:rPr>
          <w:spacing w:val="-6"/>
        </w:rPr>
        <w:t> </w:t>
      </w:r>
      <w:r>
        <w:rPr/>
        <w:t>much</w:t>
      </w:r>
      <w:r>
        <w:rPr>
          <w:spacing w:val="-3"/>
        </w:rPr>
        <w:t> </w:t>
      </w:r>
      <w:r>
        <w:rPr/>
        <w:t>lower</w:t>
      </w:r>
      <w:r>
        <w:rPr>
          <w:spacing w:val="-2"/>
        </w:rPr>
        <w:t> </w:t>
      </w:r>
      <w:r>
        <w:rPr/>
        <w:t>costs</w:t>
      </w:r>
      <w:r>
        <w:rPr>
          <w:spacing w:val="-4"/>
        </w:rPr>
        <w:t> </w:t>
      </w:r>
      <w:r>
        <w:rPr/>
        <w:t>compared to alternative solutions, such as undergrounding all powerlines.</w:t>
      </w:r>
    </w:p>
    <w:p>
      <w:pPr>
        <w:pStyle w:val="BodyText"/>
        <w:spacing w:before="4"/>
        <w:rPr>
          <w:sz w:val="31"/>
        </w:rPr>
      </w:pPr>
    </w:p>
    <w:p>
      <w:pPr>
        <w:pStyle w:val="Heading4"/>
        <w:spacing w:before="0"/>
      </w:pPr>
      <w:r>
        <w:rPr>
          <w:color w:val="585858"/>
        </w:rPr>
        <w:t>Powerline</w:t>
      </w:r>
      <w:r>
        <w:rPr>
          <w:color w:val="585858"/>
          <w:spacing w:val="-15"/>
        </w:rPr>
        <w:t> </w:t>
      </w:r>
      <w:r>
        <w:rPr>
          <w:color w:val="585858"/>
        </w:rPr>
        <w:t>Bushfire</w:t>
      </w:r>
      <w:r>
        <w:rPr>
          <w:color w:val="585858"/>
          <w:spacing w:val="-15"/>
        </w:rPr>
        <w:t> </w:t>
      </w:r>
      <w:r>
        <w:rPr>
          <w:color w:val="585858"/>
        </w:rPr>
        <w:t>Safety</w:t>
      </w:r>
      <w:r>
        <w:rPr>
          <w:color w:val="585858"/>
          <w:spacing w:val="-18"/>
        </w:rPr>
        <w:t> </w:t>
      </w:r>
      <w:r>
        <w:rPr>
          <w:color w:val="585858"/>
        </w:rPr>
        <w:t>Program</w:t>
      </w:r>
      <w:r>
        <w:rPr>
          <w:color w:val="585858"/>
          <w:spacing w:val="-15"/>
        </w:rPr>
        <w:t> </w:t>
      </w:r>
      <w:r>
        <w:rPr>
          <w:color w:val="585858"/>
          <w:spacing w:val="-2"/>
        </w:rPr>
        <w:t>(PBSP)</w:t>
      </w:r>
    </w:p>
    <w:p>
      <w:pPr>
        <w:pStyle w:val="BodyText"/>
        <w:spacing w:line="288" w:lineRule="auto" w:before="314"/>
        <w:ind w:left="232" w:right="374"/>
      </w:pPr>
      <w:r>
        <w:rPr/>
        <w:t>The PBSP is a $750 million program that is responsible for implementing the VBRC Recommendations 27</w:t>
      </w:r>
      <w:r>
        <w:rPr>
          <w:spacing w:val="-1"/>
        </w:rPr>
        <w:t> </w:t>
      </w:r>
      <w:r>
        <w:rPr/>
        <w:t>and 32 (see </w:t>
      </w:r>
      <w:r>
        <w:rPr>
          <w:i/>
        </w:rPr>
        <w:t>Appendix</w:t>
      </w:r>
      <w:r>
        <w:rPr>
          <w:i/>
          <w:spacing w:val="-1"/>
        </w:rPr>
        <w:t> </w:t>
      </w:r>
      <w:r>
        <w:rPr>
          <w:i/>
        </w:rPr>
        <w:t>E: VBRC Recommendations</w:t>
      </w:r>
      <w:r>
        <w:rPr/>
        <w:t>). The</w:t>
      </w:r>
      <w:r>
        <w:rPr>
          <w:spacing w:val="-1"/>
        </w:rPr>
        <w:t> </w:t>
      </w:r>
      <w:r>
        <w:rPr/>
        <w:t>Program is being implemented</w:t>
      </w:r>
      <w:r>
        <w:rPr>
          <w:spacing w:val="-4"/>
        </w:rPr>
        <w:t> </w:t>
      </w:r>
      <w:r>
        <w:rPr/>
        <w:t>within</w:t>
      </w:r>
      <w:r>
        <w:rPr>
          <w:spacing w:val="-2"/>
        </w:rPr>
        <w:t> </w:t>
      </w:r>
      <w:r>
        <w:rPr/>
        <w:t>a</w:t>
      </w:r>
      <w:r>
        <w:rPr>
          <w:spacing w:val="-1"/>
        </w:rPr>
        <w:t> </w:t>
      </w:r>
      <w:r>
        <w:rPr/>
        <w:t>ten</w:t>
      </w:r>
      <w:r>
        <w:rPr>
          <w:spacing w:val="-4"/>
        </w:rPr>
        <w:t> </w:t>
      </w:r>
      <w:r>
        <w:rPr/>
        <w:t>year</w:t>
      </w:r>
      <w:r>
        <w:rPr>
          <w:spacing w:val="-1"/>
        </w:rPr>
        <w:t> </w:t>
      </w:r>
      <w:r>
        <w:rPr/>
        <w:t>timeframe</w:t>
      </w:r>
      <w:r>
        <w:rPr>
          <w:spacing w:val="-4"/>
        </w:rPr>
        <w:t> </w:t>
      </w:r>
      <w:r>
        <w:rPr/>
        <w:t>concluding</w:t>
      </w:r>
      <w:r>
        <w:rPr>
          <w:spacing w:val="-2"/>
        </w:rPr>
        <w:t> </w:t>
      </w:r>
      <w:r>
        <w:rPr/>
        <w:t>by</w:t>
      </w:r>
      <w:r>
        <w:rPr>
          <w:spacing w:val="-4"/>
        </w:rPr>
        <w:t> </w:t>
      </w:r>
      <w:r>
        <w:rPr/>
        <w:t>2019.</w:t>
      </w:r>
      <w:r>
        <w:rPr>
          <w:spacing w:val="-3"/>
        </w:rPr>
        <w:t> </w:t>
      </w:r>
      <w:r>
        <w:rPr/>
        <w:t>Of</w:t>
      </w:r>
      <w:r>
        <w:rPr>
          <w:spacing w:val="-3"/>
        </w:rPr>
        <w:t> </w:t>
      </w:r>
      <w:r>
        <w:rPr/>
        <w:t>the</w:t>
      </w:r>
      <w:r>
        <w:rPr>
          <w:spacing w:val="-2"/>
        </w:rPr>
        <w:t> </w:t>
      </w:r>
      <w:r>
        <w:rPr/>
        <w:t>Program’s</w:t>
      </w:r>
      <w:r>
        <w:rPr>
          <w:spacing w:val="-4"/>
        </w:rPr>
        <w:t> </w:t>
      </w:r>
      <w:r>
        <w:rPr/>
        <w:t>total</w:t>
      </w:r>
      <w:r>
        <w:rPr>
          <w:spacing w:val="-2"/>
        </w:rPr>
        <w:t> </w:t>
      </w:r>
      <w:r>
        <w:rPr/>
        <w:t>budget,</w:t>
      </w:r>
      <w:r>
        <w:rPr>
          <w:spacing w:val="-3"/>
        </w:rPr>
        <w:t> </w:t>
      </w:r>
      <w:r>
        <w:rPr/>
        <w:t>$250 million comes from the Victorian Government, and $500 million is funded by the network businesses</w:t>
      </w:r>
      <w:r>
        <w:rPr>
          <w:spacing w:val="-1"/>
        </w:rPr>
        <w:t> </w:t>
      </w:r>
      <w:r>
        <w:rPr/>
        <w:t>to</w:t>
      </w:r>
      <w:r>
        <w:rPr>
          <w:spacing w:val="-5"/>
        </w:rPr>
        <w:t> </w:t>
      </w:r>
      <w:r>
        <w:rPr/>
        <w:t>meet</w:t>
      </w:r>
      <w:r>
        <w:rPr>
          <w:spacing w:val="-2"/>
        </w:rPr>
        <w:t> </w:t>
      </w:r>
      <w:r>
        <w:rPr/>
        <w:t>the</w:t>
      </w:r>
      <w:r>
        <w:rPr>
          <w:spacing w:val="-3"/>
        </w:rPr>
        <w:t> </w:t>
      </w:r>
      <w:r>
        <w:rPr/>
        <w:t>obligations</w:t>
      </w:r>
      <w:r>
        <w:rPr>
          <w:spacing w:val="-3"/>
        </w:rPr>
        <w:t> </w:t>
      </w:r>
      <w:r>
        <w:rPr/>
        <w:t>(and</w:t>
      </w:r>
      <w:r>
        <w:rPr>
          <w:spacing w:val="-1"/>
        </w:rPr>
        <w:t> </w:t>
      </w:r>
      <w:r>
        <w:rPr/>
        <w:t>is</w:t>
      </w:r>
      <w:r>
        <w:rPr>
          <w:spacing w:val="-3"/>
        </w:rPr>
        <w:t> </w:t>
      </w:r>
      <w:r>
        <w:rPr/>
        <w:t>therefore</w:t>
      </w:r>
      <w:r>
        <w:rPr>
          <w:spacing w:val="-1"/>
        </w:rPr>
        <w:t> </w:t>
      </w:r>
      <w:r>
        <w:rPr/>
        <w:t>effectively</w:t>
      </w:r>
      <w:r>
        <w:rPr>
          <w:spacing w:val="-3"/>
        </w:rPr>
        <w:t> </w:t>
      </w:r>
      <w:r>
        <w:rPr/>
        <w:t>passed</w:t>
      </w:r>
      <w:r>
        <w:rPr>
          <w:spacing w:val="-1"/>
        </w:rPr>
        <w:t> </w:t>
      </w:r>
      <w:r>
        <w:rPr/>
        <w:t>on</w:t>
      </w:r>
      <w:r>
        <w:rPr>
          <w:spacing w:val="-3"/>
        </w:rPr>
        <w:t> </w:t>
      </w:r>
      <w:r>
        <w:rPr/>
        <w:t>to</w:t>
      </w:r>
      <w:r>
        <w:rPr>
          <w:spacing w:val="-1"/>
        </w:rPr>
        <w:t> </w:t>
      </w:r>
      <w:r>
        <w:rPr/>
        <w:t>electricity</w:t>
      </w:r>
      <w:r>
        <w:rPr>
          <w:spacing w:val="-3"/>
        </w:rPr>
        <w:t> </w:t>
      </w:r>
      <w:r>
        <w:rPr/>
        <w:t>consumers over time via their power bills).</w:t>
      </w:r>
    </w:p>
    <w:p>
      <w:pPr>
        <w:pStyle w:val="BodyText"/>
        <w:spacing w:before="10"/>
        <w:rPr>
          <w:sz w:val="20"/>
        </w:rPr>
      </w:pPr>
    </w:p>
    <w:p>
      <w:pPr>
        <w:pStyle w:val="BodyText"/>
        <w:spacing w:line="288" w:lineRule="auto" w:before="1"/>
        <w:ind w:left="232" w:right="374"/>
      </w:pPr>
      <w:r>
        <w:rPr/>
        <w:t>The</w:t>
      </w:r>
      <w:r>
        <w:rPr>
          <w:spacing w:val="-4"/>
        </w:rPr>
        <w:t> </w:t>
      </w:r>
      <w:r>
        <w:rPr/>
        <w:t>challenge</w:t>
      </w:r>
      <w:r>
        <w:rPr>
          <w:spacing w:val="-4"/>
        </w:rPr>
        <w:t> </w:t>
      </w:r>
      <w:r>
        <w:rPr/>
        <w:t>posed</w:t>
      </w:r>
      <w:r>
        <w:rPr>
          <w:spacing w:val="-4"/>
        </w:rPr>
        <w:t> </w:t>
      </w:r>
      <w:r>
        <w:rPr/>
        <w:t>to</w:t>
      </w:r>
      <w:r>
        <w:rPr>
          <w:spacing w:val="-3"/>
        </w:rPr>
        <w:t> </w:t>
      </w:r>
      <w:r>
        <w:rPr/>
        <w:t>the</w:t>
      </w:r>
      <w:r>
        <w:rPr>
          <w:spacing w:val="-2"/>
        </w:rPr>
        <w:t> </w:t>
      </w:r>
      <w:r>
        <w:rPr/>
        <w:t>PBSP</w:t>
      </w:r>
      <w:r>
        <w:rPr>
          <w:spacing w:val="-2"/>
        </w:rPr>
        <w:t> </w:t>
      </w:r>
      <w:r>
        <w:rPr/>
        <w:t>in</w:t>
      </w:r>
      <w:r>
        <w:rPr>
          <w:spacing w:val="-2"/>
        </w:rPr>
        <w:t> </w:t>
      </w:r>
      <w:r>
        <w:rPr/>
        <w:t>implementing</w:t>
      </w:r>
      <w:r>
        <w:rPr>
          <w:spacing w:val="-2"/>
        </w:rPr>
        <w:t> </w:t>
      </w:r>
      <w:r>
        <w:rPr/>
        <w:t>VBRC</w:t>
      </w:r>
      <w:r>
        <w:rPr>
          <w:spacing w:val="-2"/>
        </w:rPr>
        <w:t> </w:t>
      </w:r>
      <w:r>
        <w:rPr/>
        <w:t>Recommendation</w:t>
      </w:r>
      <w:r>
        <w:rPr>
          <w:spacing w:val="-2"/>
        </w:rPr>
        <w:t> </w:t>
      </w:r>
      <w:r>
        <w:rPr/>
        <w:t>27 was</w:t>
      </w:r>
      <w:r>
        <w:rPr>
          <w:spacing w:val="-2"/>
        </w:rPr>
        <w:t> </w:t>
      </w:r>
      <w:r>
        <w:rPr/>
        <w:t>to</w:t>
      </w:r>
      <w:r>
        <w:rPr>
          <w:spacing w:val="-4"/>
        </w:rPr>
        <w:t> </w:t>
      </w:r>
      <w:r>
        <w:rPr/>
        <w:t>develop</w:t>
      </w:r>
      <w:r>
        <w:rPr>
          <w:spacing w:val="-2"/>
        </w:rPr>
        <w:t> </w:t>
      </w:r>
      <w:r>
        <w:rPr/>
        <w:t>a way to direct the investment to maximise the safety benefit for Victorians.</w:t>
      </w:r>
    </w:p>
    <w:p>
      <w:pPr>
        <w:pStyle w:val="BodyText"/>
        <w:spacing w:before="9"/>
        <w:rPr>
          <w:sz w:val="20"/>
        </w:rPr>
      </w:pPr>
    </w:p>
    <w:p>
      <w:pPr>
        <w:pStyle w:val="BodyText"/>
        <w:spacing w:line="288" w:lineRule="auto" w:before="1"/>
        <w:ind w:left="232" w:right="374"/>
      </w:pPr>
      <w:r>
        <w:rPr/>
        <w:t>The</w:t>
      </w:r>
      <w:r>
        <w:rPr>
          <w:spacing w:val="-4"/>
        </w:rPr>
        <w:t> </w:t>
      </w:r>
      <w:r>
        <w:rPr/>
        <w:t>PBSP</w:t>
      </w:r>
      <w:r>
        <w:rPr>
          <w:spacing w:val="-2"/>
        </w:rPr>
        <w:t> </w:t>
      </w:r>
      <w:r>
        <w:rPr/>
        <w:t>is</w:t>
      </w:r>
      <w:r>
        <w:rPr>
          <w:spacing w:val="-1"/>
        </w:rPr>
        <w:t> </w:t>
      </w:r>
      <w:r>
        <w:rPr/>
        <w:t>using</w:t>
      </w:r>
      <w:r>
        <w:rPr>
          <w:spacing w:val="-2"/>
        </w:rPr>
        <w:t> </w:t>
      </w:r>
      <w:r>
        <w:rPr/>
        <w:t>the</w:t>
      </w:r>
      <w:r>
        <w:rPr>
          <w:spacing w:val="-4"/>
        </w:rPr>
        <w:t> </w:t>
      </w:r>
      <w:r>
        <w:rPr/>
        <w:t>full</w:t>
      </w:r>
      <w:r>
        <w:rPr>
          <w:spacing w:val="-2"/>
        </w:rPr>
        <w:t> </w:t>
      </w:r>
      <w:r>
        <w:rPr/>
        <w:t>funding</w:t>
      </w:r>
      <w:r>
        <w:rPr>
          <w:spacing w:val="-2"/>
        </w:rPr>
        <w:t> </w:t>
      </w:r>
      <w:r>
        <w:rPr/>
        <w:t>commitment</w:t>
      </w:r>
      <w:r>
        <w:rPr>
          <w:spacing w:val="-3"/>
        </w:rPr>
        <w:t> </w:t>
      </w:r>
      <w:r>
        <w:rPr/>
        <w:t>to</w:t>
      </w:r>
      <w:r>
        <w:rPr>
          <w:spacing w:val="-6"/>
        </w:rPr>
        <w:t> </w:t>
      </w:r>
      <w:r>
        <w:rPr/>
        <w:t>deliver</w:t>
      </w:r>
      <w:r>
        <w:rPr>
          <w:spacing w:val="-1"/>
        </w:rPr>
        <w:t> </w:t>
      </w:r>
      <w:r>
        <w:rPr/>
        <w:t>a</w:t>
      </w:r>
      <w:r>
        <w:rPr>
          <w:spacing w:val="-2"/>
        </w:rPr>
        <w:t> </w:t>
      </w:r>
      <w:r>
        <w:rPr/>
        <w:t>reduction</w:t>
      </w:r>
      <w:r>
        <w:rPr>
          <w:spacing w:val="-2"/>
        </w:rPr>
        <w:t> </w:t>
      </w:r>
      <w:r>
        <w:rPr/>
        <w:t>in</w:t>
      </w:r>
      <w:r>
        <w:rPr>
          <w:spacing w:val="-4"/>
        </w:rPr>
        <w:t> </w:t>
      </w:r>
      <w:r>
        <w:rPr/>
        <w:t>powerline-related</w:t>
      </w:r>
      <w:r>
        <w:rPr>
          <w:spacing w:val="-2"/>
        </w:rPr>
        <w:t> </w:t>
      </w:r>
      <w:r>
        <w:rPr/>
        <w:t>bushfire risk through five interrelated projects outlined in Table 8.</w:t>
      </w:r>
    </w:p>
    <w:p>
      <w:pPr>
        <w:pStyle w:val="BodyText"/>
        <w:spacing w:before="3"/>
        <w:rPr>
          <w:sz w:val="31"/>
        </w:rPr>
      </w:pPr>
    </w:p>
    <w:p>
      <w:pPr>
        <w:spacing w:before="0"/>
        <w:ind w:left="232" w:right="0" w:firstLine="0"/>
        <w:jc w:val="left"/>
        <w:rPr>
          <w:b/>
          <w:sz w:val="22"/>
        </w:rPr>
      </w:pPr>
      <w:r>
        <w:rPr>
          <w:b/>
          <w:sz w:val="22"/>
        </w:rPr>
        <w:t>Table</w:t>
      </w:r>
      <w:r>
        <w:rPr>
          <w:b/>
          <w:spacing w:val="-8"/>
          <w:sz w:val="22"/>
        </w:rPr>
        <w:t> </w:t>
      </w:r>
      <w:r>
        <w:rPr>
          <w:b/>
          <w:sz w:val="22"/>
        </w:rPr>
        <w:t>8:</w:t>
      </w:r>
      <w:r>
        <w:rPr>
          <w:b/>
          <w:spacing w:val="-5"/>
          <w:sz w:val="22"/>
        </w:rPr>
        <w:t> </w:t>
      </w:r>
      <w:r>
        <w:rPr>
          <w:b/>
          <w:sz w:val="22"/>
        </w:rPr>
        <w:t>Projects</w:t>
      </w:r>
      <w:r>
        <w:rPr>
          <w:b/>
          <w:spacing w:val="-7"/>
          <w:sz w:val="22"/>
        </w:rPr>
        <w:t> </w:t>
      </w:r>
      <w:r>
        <w:rPr>
          <w:b/>
          <w:sz w:val="22"/>
        </w:rPr>
        <w:t>delivering</w:t>
      </w:r>
      <w:r>
        <w:rPr>
          <w:b/>
          <w:spacing w:val="-9"/>
          <w:sz w:val="22"/>
        </w:rPr>
        <w:t> </w:t>
      </w:r>
      <w:r>
        <w:rPr>
          <w:b/>
          <w:sz w:val="22"/>
        </w:rPr>
        <w:t>reduced</w:t>
      </w:r>
      <w:r>
        <w:rPr>
          <w:b/>
          <w:spacing w:val="-6"/>
          <w:sz w:val="22"/>
        </w:rPr>
        <w:t> </w:t>
      </w:r>
      <w:r>
        <w:rPr>
          <w:b/>
          <w:sz w:val="22"/>
        </w:rPr>
        <w:t>powerline-related</w:t>
      </w:r>
      <w:r>
        <w:rPr>
          <w:b/>
          <w:spacing w:val="-6"/>
          <w:sz w:val="22"/>
        </w:rPr>
        <w:t> </w:t>
      </w:r>
      <w:r>
        <w:rPr>
          <w:b/>
          <w:sz w:val="22"/>
        </w:rPr>
        <w:t>bushfire</w:t>
      </w:r>
      <w:r>
        <w:rPr>
          <w:b/>
          <w:spacing w:val="-7"/>
          <w:sz w:val="22"/>
        </w:rPr>
        <w:t> </w:t>
      </w:r>
      <w:r>
        <w:rPr>
          <w:b/>
          <w:spacing w:val="-2"/>
          <w:sz w:val="22"/>
        </w:rPr>
        <w:t>risks</w:t>
      </w:r>
    </w:p>
    <w:p>
      <w:pPr>
        <w:pStyle w:val="BodyText"/>
        <w:spacing w:before="8" w:after="1"/>
        <w:rPr>
          <w:b/>
          <w:sz w:val="14"/>
        </w:rPr>
      </w:pPr>
    </w:p>
    <w:tbl>
      <w:tblPr>
        <w:tblW w:w="0" w:type="auto"/>
        <w:jc w:val="left"/>
        <w:tblInd w:w="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94"/>
        <w:gridCol w:w="5902"/>
        <w:gridCol w:w="1660"/>
      </w:tblGrid>
      <w:tr>
        <w:trPr>
          <w:trHeight w:val="1488" w:hRule="atLeast"/>
        </w:trPr>
        <w:tc>
          <w:tcPr>
            <w:tcW w:w="2294" w:type="dxa"/>
            <w:tcBorders>
              <w:top w:val="single" w:sz="4" w:space="0" w:color="A6A6A6"/>
              <w:left w:val="single" w:sz="4" w:space="0" w:color="A6A6A6"/>
            </w:tcBorders>
            <w:shd w:val="clear" w:color="auto" w:fill="D9D9D9"/>
          </w:tcPr>
          <w:p>
            <w:pPr>
              <w:pStyle w:val="TableParagraph"/>
              <w:rPr>
                <w:b/>
                <w:sz w:val="25"/>
              </w:rPr>
            </w:pPr>
          </w:p>
          <w:p>
            <w:pPr>
              <w:pStyle w:val="TableParagraph"/>
              <w:ind w:left="107"/>
              <w:rPr>
                <w:b/>
                <w:sz w:val="22"/>
              </w:rPr>
            </w:pPr>
            <w:r>
              <w:rPr>
                <w:b/>
                <w:sz w:val="22"/>
              </w:rPr>
              <w:t>Project</w:t>
            </w:r>
            <w:r>
              <w:rPr>
                <w:b/>
                <w:spacing w:val="-4"/>
                <w:sz w:val="22"/>
              </w:rPr>
              <w:t> name</w:t>
            </w:r>
          </w:p>
        </w:tc>
        <w:tc>
          <w:tcPr>
            <w:tcW w:w="5902" w:type="dxa"/>
            <w:tcBorders>
              <w:top w:val="single" w:sz="4" w:space="0" w:color="A6A6A6"/>
            </w:tcBorders>
            <w:shd w:val="clear" w:color="auto" w:fill="D9D9D9"/>
          </w:tcPr>
          <w:p>
            <w:pPr>
              <w:pStyle w:val="TableParagraph"/>
              <w:rPr>
                <w:b/>
                <w:sz w:val="25"/>
              </w:rPr>
            </w:pPr>
          </w:p>
          <w:p>
            <w:pPr>
              <w:pStyle w:val="TableParagraph"/>
              <w:ind w:left="219"/>
              <w:rPr>
                <w:b/>
                <w:sz w:val="22"/>
              </w:rPr>
            </w:pPr>
            <w:r>
              <w:rPr>
                <w:b/>
                <w:sz w:val="22"/>
              </w:rPr>
              <w:t>Project</w:t>
            </w:r>
            <w:r>
              <w:rPr>
                <w:b/>
                <w:spacing w:val="-4"/>
                <w:sz w:val="22"/>
              </w:rPr>
              <w:t> </w:t>
            </w:r>
            <w:r>
              <w:rPr>
                <w:b/>
                <w:spacing w:val="-2"/>
                <w:sz w:val="22"/>
              </w:rPr>
              <w:t>description</w:t>
            </w:r>
          </w:p>
        </w:tc>
        <w:tc>
          <w:tcPr>
            <w:tcW w:w="1660" w:type="dxa"/>
            <w:tcBorders>
              <w:top w:val="single" w:sz="4" w:space="0" w:color="A6A6A6"/>
              <w:right w:val="single" w:sz="4" w:space="0" w:color="A6A6A6"/>
            </w:tcBorders>
            <w:shd w:val="clear" w:color="auto" w:fill="D9D9D9"/>
          </w:tcPr>
          <w:p>
            <w:pPr>
              <w:pStyle w:val="TableParagraph"/>
              <w:rPr>
                <w:b/>
                <w:sz w:val="25"/>
              </w:rPr>
            </w:pPr>
          </w:p>
          <w:p>
            <w:pPr>
              <w:pStyle w:val="TableParagraph"/>
              <w:spacing w:line="288" w:lineRule="auto"/>
              <w:ind w:left="150"/>
              <w:rPr>
                <w:b/>
                <w:sz w:val="22"/>
              </w:rPr>
            </w:pPr>
            <w:r>
              <w:rPr>
                <w:b/>
                <w:spacing w:val="-2"/>
                <w:sz w:val="22"/>
              </w:rPr>
              <w:t>Maximum investment value</w:t>
            </w:r>
          </w:p>
        </w:tc>
      </w:tr>
      <w:tr>
        <w:trPr>
          <w:trHeight w:val="1922" w:hRule="atLeast"/>
        </w:trPr>
        <w:tc>
          <w:tcPr>
            <w:tcW w:w="2294" w:type="dxa"/>
            <w:tcBorders>
              <w:left w:val="single" w:sz="4" w:space="0" w:color="A6A6A6"/>
            </w:tcBorders>
          </w:tcPr>
          <w:p>
            <w:pPr>
              <w:pStyle w:val="TableParagraph"/>
              <w:spacing w:line="288" w:lineRule="auto" w:before="120"/>
              <w:ind w:left="107"/>
              <w:rPr>
                <w:b/>
                <w:sz w:val="22"/>
              </w:rPr>
            </w:pPr>
            <w:r>
              <w:rPr>
                <w:b/>
                <w:spacing w:val="-2"/>
                <w:sz w:val="22"/>
              </w:rPr>
              <w:t>Powerline </w:t>
            </w:r>
            <w:r>
              <w:rPr>
                <w:b/>
                <w:sz w:val="22"/>
              </w:rPr>
              <w:t>Replacement</w:t>
            </w:r>
            <w:r>
              <w:rPr>
                <w:b/>
                <w:spacing w:val="-16"/>
                <w:sz w:val="22"/>
              </w:rPr>
              <w:t> </w:t>
            </w:r>
            <w:r>
              <w:rPr>
                <w:b/>
                <w:sz w:val="22"/>
              </w:rPr>
              <w:t>Fund</w:t>
            </w:r>
          </w:p>
        </w:tc>
        <w:tc>
          <w:tcPr>
            <w:tcW w:w="5902" w:type="dxa"/>
          </w:tcPr>
          <w:p>
            <w:pPr>
              <w:pStyle w:val="TableParagraph"/>
              <w:spacing w:line="288" w:lineRule="auto" w:before="120"/>
              <w:ind w:left="219" w:right="117"/>
              <w:rPr>
                <w:sz w:val="22"/>
              </w:rPr>
            </w:pPr>
            <w:r>
              <w:rPr>
                <w:sz w:val="22"/>
              </w:rPr>
              <w:t>Replacing</w:t>
            </w:r>
            <w:r>
              <w:rPr>
                <w:spacing w:val="-3"/>
                <w:sz w:val="22"/>
              </w:rPr>
              <w:t> </w:t>
            </w:r>
            <w:r>
              <w:rPr>
                <w:sz w:val="22"/>
              </w:rPr>
              <w:t>bare</w:t>
            </w:r>
            <w:r>
              <w:rPr>
                <w:spacing w:val="-7"/>
                <w:sz w:val="22"/>
              </w:rPr>
              <w:t> </w:t>
            </w:r>
            <w:r>
              <w:rPr>
                <w:sz w:val="22"/>
              </w:rPr>
              <w:t>wire</w:t>
            </w:r>
            <w:r>
              <w:rPr>
                <w:spacing w:val="-5"/>
                <w:sz w:val="22"/>
              </w:rPr>
              <w:t> </w:t>
            </w:r>
            <w:r>
              <w:rPr>
                <w:sz w:val="22"/>
              </w:rPr>
              <w:t>powerlines</w:t>
            </w:r>
            <w:r>
              <w:rPr>
                <w:spacing w:val="-3"/>
                <w:sz w:val="22"/>
              </w:rPr>
              <w:t> </w:t>
            </w:r>
            <w:r>
              <w:rPr>
                <w:sz w:val="22"/>
              </w:rPr>
              <w:t>in</w:t>
            </w:r>
            <w:r>
              <w:rPr>
                <w:spacing w:val="-5"/>
                <w:sz w:val="22"/>
              </w:rPr>
              <w:t> </w:t>
            </w:r>
            <w:r>
              <w:rPr>
                <w:sz w:val="22"/>
              </w:rPr>
              <w:t>the</w:t>
            </w:r>
            <w:r>
              <w:rPr>
                <w:spacing w:val="-7"/>
                <w:sz w:val="22"/>
              </w:rPr>
              <w:t> </w:t>
            </w:r>
            <w:r>
              <w:rPr>
                <w:sz w:val="22"/>
              </w:rPr>
              <w:t>areas</w:t>
            </w:r>
            <w:r>
              <w:rPr>
                <w:spacing w:val="-7"/>
                <w:sz w:val="22"/>
              </w:rPr>
              <w:t> </w:t>
            </w:r>
            <w:r>
              <w:rPr>
                <w:sz w:val="22"/>
              </w:rPr>
              <w:t>of</w:t>
            </w:r>
            <w:r>
              <w:rPr>
                <w:spacing w:val="-3"/>
                <w:sz w:val="22"/>
              </w:rPr>
              <w:t> </w:t>
            </w:r>
            <w:r>
              <w:rPr>
                <w:sz w:val="22"/>
              </w:rPr>
              <w:t>highest risk with either:</w:t>
            </w:r>
          </w:p>
          <w:p>
            <w:pPr>
              <w:pStyle w:val="TableParagraph"/>
              <w:numPr>
                <w:ilvl w:val="0"/>
                <w:numId w:val="64"/>
              </w:numPr>
              <w:tabs>
                <w:tab w:pos="793" w:val="left" w:leader="none"/>
              </w:tabs>
              <w:spacing w:line="240" w:lineRule="auto" w:before="137" w:after="0"/>
              <w:ind w:left="793" w:right="0" w:hanging="425"/>
              <w:jc w:val="left"/>
              <w:rPr>
                <w:sz w:val="22"/>
              </w:rPr>
            </w:pPr>
            <w:r>
              <w:rPr>
                <w:sz w:val="22"/>
              </w:rPr>
              <w:t>insulated</w:t>
            </w:r>
            <w:r>
              <w:rPr>
                <w:spacing w:val="-9"/>
                <w:sz w:val="22"/>
              </w:rPr>
              <w:t> </w:t>
            </w:r>
            <w:r>
              <w:rPr>
                <w:sz w:val="22"/>
              </w:rPr>
              <w:t>overhead</w:t>
            </w:r>
            <w:r>
              <w:rPr>
                <w:spacing w:val="-9"/>
                <w:sz w:val="22"/>
              </w:rPr>
              <w:t> </w:t>
            </w:r>
            <w:r>
              <w:rPr>
                <w:spacing w:val="-2"/>
                <w:sz w:val="22"/>
              </w:rPr>
              <w:t>powerlines;</w:t>
            </w:r>
          </w:p>
          <w:p>
            <w:pPr>
              <w:pStyle w:val="TableParagraph"/>
              <w:numPr>
                <w:ilvl w:val="0"/>
                <w:numId w:val="64"/>
              </w:numPr>
              <w:tabs>
                <w:tab w:pos="793" w:val="left" w:leader="none"/>
              </w:tabs>
              <w:spacing w:line="240" w:lineRule="auto" w:before="63" w:after="0"/>
              <w:ind w:left="793" w:right="0" w:hanging="425"/>
              <w:jc w:val="left"/>
              <w:rPr>
                <w:sz w:val="22"/>
              </w:rPr>
            </w:pPr>
            <w:r>
              <w:rPr>
                <w:sz w:val="22"/>
              </w:rPr>
              <w:t>underground</w:t>
            </w:r>
            <w:r>
              <w:rPr>
                <w:spacing w:val="-13"/>
                <w:sz w:val="22"/>
              </w:rPr>
              <w:t> </w:t>
            </w:r>
            <w:r>
              <w:rPr>
                <w:sz w:val="22"/>
              </w:rPr>
              <w:t>powerlines;</w:t>
            </w:r>
            <w:r>
              <w:rPr>
                <w:spacing w:val="-8"/>
                <w:sz w:val="22"/>
              </w:rPr>
              <w:t> </w:t>
            </w:r>
            <w:r>
              <w:rPr>
                <w:spacing w:val="-5"/>
                <w:sz w:val="22"/>
              </w:rPr>
              <w:t>or</w:t>
            </w:r>
          </w:p>
          <w:p>
            <w:pPr>
              <w:pStyle w:val="TableParagraph"/>
              <w:numPr>
                <w:ilvl w:val="0"/>
                <w:numId w:val="64"/>
              </w:numPr>
              <w:tabs>
                <w:tab w:pos="793" w:val="left" w:leader="none"/>
              </w:tabs>
              <w:spacing w:line="240" w:lineRule="auto" w:before="67" w:after="0"/>
              <w:ind w:left="793" w:right="0" w:hanging="425"/>
              <w:jc w:val="left"/>
              <w:rPr>
                <w:sz w:val="22"/>
              </w:rPr>
            </w:pPr>
            <w:r>
              <w:rPr>
                <w:sz w:val="22"/>
              </w:rPr>
              <w:t>new</w:t>
            </w:r>
            <w:r>
              <w:rPr>
                <w:spacing w:val="-7"/>
                <w:sz w:val="22"/>
              </w:rPr>
              <w:t> </w:t>
            </w:r>
            <w:r>
              <w:rPr>
                <w:sz w:val="22"/>
              </w:rPr>
              <w:t>conductor</w:t>
            </w:r>
            <w:r>
              <w:rPr>
                <w:spacing w:val="-4"/>
                <w:sz w:val="22"/>
              </w:rPr>
              <w:t> </w:t>
            </w:r>
            <w:r>
              <w:rPr>
                <w:spacing w:val="-2"/>
                <w:sz w:val="22"/>
              </w:rPr>
              <w:t>technologies.</w:t>
            </w:r>
          </w:p>
        </w:tc>
        <w:tc>
          <w:tcPr>
            <w:tcW w:w="1660" w:type="dxa"/>
            <w:tcBorders>
              <w:right w:val="single" w:sz="4" w:space="0" w:color="A6A6A6"/>
            </w:tcBorders>
          </w:tcPr>
          <w:p>
            <w:pPr>
              <w:pStyle w:val="TableParagraph"/>
              <w:spacing w:line="288" w:lineRule="auto" w:before="120"/>
              <w:ind w:left="150"/>
              <w:rPr>
                <w:sz w:val="22"/>
              </w:rPr>
            </w:pPr>
            <w:r>
              <w:rPr>
                <w:spacing w:val="-2"/>
                <w:sz w:val="22"/>
              </w:rPr>
              <w:t>$200m government funded</w:t>
            </w:r>
          </w:p>
        </w:tc>
      </w:tr>
      <w:tr>
        <w:trPr>
          <w:trHeight w:val="4711" w:hRule="atLeast"/>
        </w:trPr>
        <w:tc>
          <w:tcPr>
            <w:tcW w:w="2294" w:type="dxa"/>
            <w:tcBorders>
              <w:left w:val="single" w:sz="4" w:space="0" w:color="A6A6A6"/>
              <w:bottom w:val="single" w:sz="4" w:space="0" w:color="A6A6A6"/>
            </w:tcBorders>
            <w:shd w:val="clear" w:color="auto" w:fill="CDEBEB"/>
          </w:tcPr>
          <w:p>
            <w:pPr>
              <w:pStyle w:val="TableParagraph"/>
              <w:spacing w:line="288" w:lineRule="auto" w:before="120"/>
              <w:ind w:left="107" w:right="527"/>
              <w:rPr>
                <w:b/>
                <w:sz w:val="22"/>
              </w:rPr>
            </w:pPr>
            <w:r>
              <w:rPr>
                <w:b/>
                <w:spacing w:val="-2"/>
                <w:sz w:val="22"/>
              </w:rPr>
              <w:t>Regulatory </w:t>
            </w:r>
            <w:r>
              <w:rPr>
                <w:b/>
                <w:sz w:val="22"/>
              </w:rPr>
              <w:t>Initiatives and Network</w:t>
            </w:r>
            <w:r>
              <w:rPr>
                <w:b/>
                <w:spacing w:val="-16"/>
                <w:sz w:val="22"/>
              </w:rPr>
              <w:t> </w:t>
            </w:r>
            <w:r>
              <w:rPr>
                <w:b/>
                <w:sz w:val="22"/>
              </w:rPr>
              <w:t>Assets </w:t>
            </w:r>
            <w:r>
              <w:rPr>
                <w:b/>
                <w:spacing w:val="-2"/>
                <w:sz w:val="22"/>
              </w:rPr>
              <w:t>Project</w:t>
            </w:r>
          </w:p>
        </w:tc>
        <w:tc>
          <w:tcPr>
            <w:tcW w:w="5902" w:type="dxa"/>
            <w:tcBorders>
              <w:bottom w:val="single" w:sz="4" w:space="0" w:color="A6A6A6"/>
            </w:tcBorders>
            <w:shd w:val="clear" w:color="auto" w:fill="CDEBEB"/>
          </w:tcPr>
          <w:p>
            <w:pPr>
              <w:pStyle w:val="TableParagraph"/>
              <w:spacing w:line="288" w:lineRule="auto" w:before="120"/>
              <w:ind w:left="219"/>
              <w:rPr>
                <w:sz w:val="22"/>
              </w:rPr>
            </w:pPr>
            <w:r>
              <w:rPr>
                <w:sz w:val="22"/>
              </w:rPr>
              <w:t>This project has enacted key legislation to require electricity</w:t>
            </w:r>
            <w:r>
              <w:rPr>
                <w:spacing w:val="-7"/>
                <w:sz w:val="22"/>
              </w:rPr>
              <w:t> </w:t>
            </w:r>
            <w:r>
              <w:rPr>
                <w:sz w:val="22"/>
              </w:rPr>
              <w:t>distribution</w:t>
            </w:r>
            <w:r>
              <w:rPr>
                <w:spacing w:val="-7"/>
                <w:sz w:val="22"/>
              </w:rPr>
              <w:t> </w:t>
            </w:r>
            <w:r>
              <w:rPr>
                <w:sz w:val="22"/>
              </w:rPr>
              <w:t>businesses</w:t>
            </w:r>
            <w:r>
              <w:rPr>
                <w:spacing w:val="-6"/>
                <w:sz w:val="22"/>
              </w:rPr>
              <w:t> </w:t>
            </w:r>
            <w:r>
              <w:rPr>
                <w:sz w:val="22"/>
              </w:rPr>
              <w:t>to</w:t>
            </w:r>
            <w:r>
              <w:rPr>
                <w:spacing w:val="-7"/>
                <w:sz w:val="22"/>
              </w:rPr>
              <w:t> </w:t>
            </w:r>
            <w:r>
              <w:rPr>
                <w:sz w:val="22"/>
              </w:rPr>
              <w:t>install</w:t>
            </w:r>
            <w:r>
              <w:rPr>
                <w:spacing w:val="-6"/>
                <w:sz w:val="22"/>
              </w:rPr>
              <w:t> </w:t>
            </w:r>
            <w:r>
              <w:rPr>
                <w:sz w:val="22"/>
              </w:rPr>
              <w:t>new</w:t>
            </w:r>
            <w:r>
              <w:rPr>
                <w:spacing w:val="-8"/>
                <w:sz w:val="22"/>
              </w:rPr>
              <w:t> </w:t>
            </w:r>
            <w:r>
              <w:rPr>
                <w:sz w:val="22"/>
              </w:rPr>
              <w:t>network technologies to better avoid or suppress the faults in Victorian networks which may cause fires.</w:t>
            </w:r>
          </w:p>
          <w:p>
            <w:pPr>
              <w:pStyle w:val="TableParagraph"/>
              <w:spacing w:before="120"/>
              <w:ind w:left="219"/>
              <w:rPr>
                <w:sz w:val="22"/>
              </w:rPr>
            </w:pPr>
            <w:r>
              <w:rPr>
                <w:sz w:val="22"/>
              </w:rPr>
              <w:t>Technologies</w:t>
            </w:r>
            <w:r>
              <w:rPr>
                <w:spacing w:val="-10"/>
                <w:sz w:val="22"/>
              </w:rPr>
              <w:t> </w:t>
            </w:r>
            <w:r>
              <w:rPr>
                <w:spacing w:val="-2"/>
                <w:sz w:val="22"/>
              </w:rPr>
              <w:t>include:</w:t>
            </w:r>
          </w:p>
          <w:p>
            <w:pPr>
              <w:pStyle w:val="TableParagraph"/>
              <w:numPr>
                <w:ilvl w:val="0"/>
                <w:numId w:val="65"/>
              </w:numPr>
              <w:tabs>
                <w:tab w:pos="721" w:val="left" w:leader="none"/>
              </w:tabs>
              <w:spacing w:line="288" w:lineRule="auto" w:before="187" w:after="0"/>
              <w:ind w:left="721" w:right="139" w:hanging="361"/>
              <w:jc w:val="left"/>
              <w:rPr>
                <w:sz w:val="22"/>
              </w:rPr>
            </w:pPr>
            <w:r>
              <w:rPr>
                <w:sz w:val="22"/>
              </w:rPr>
              <w:t>replacing</w:t>
            </w:r>
            <w:r>
              <w:rPr>
                <w:spacing w:val="-5"/>
                <w:sz w:val="22"/>
              </w:rPr>
              <w:t> </w:t>
            </w:r>
            <w:r>
              <w:rPr>
                <w:sz w:val="22"/>
              </w:rPr>
              <w:t>bare</w:t>
            </w:r>
            <w:r>
              <w:rPr>
                <w:spacing w:val="-7"/>
                <w:sz w:val="22"/>
              </w:rPr>
              <w:t> </w:t>
            </w:r>
            <w:r>
              <w:rPr>
                <w:sz w:val="22"/>
              </w:rPr>
              <w:t>wire</w:t>
            </w:r>
            <w:r>
              <w:rPr>
                <w:spacing w:val="-5"/>
                <w:sz w:val="22"/>
              </w:rPr>
              <w:t> </w:t>
            </w:r>
            <w:r>
              <w:rPr>
                <w:sz w:val="22"/>
              </w:rPr>
              <w:t>powerlines</w:t>
            </w:r>
            <w:r>
              <w:rPr>
                <w:spacing w:val="-4"/>
                <w:sz w:val="22"/>
              </w:rPr>
              <w:t> </w:t>
            </w:r>
            <w:r>
              <w:rPr>
                <w:sz w:val="22"/>
              </w:rPr>
              <w:t>at</w:t>
            </w:r>
            <w:r>
              <w:rPr>
                <w:spacing w:val="-6"/>
                <w:sz w:val="22"/>
              </w:rPr>
              <w:t> </w:t>
            </w:r>
            <w:r>
              <w:rPr>
                <w:sz w:val="22"/>
              </w:rPr>
              <w:t>end-of-life</w:t>
            </w:r>
            <w:r>
              <w:rPr>
                <w:spacing w:val="-5"/>
                <w:sz w:val="22"/>
              </w:rPr>
              <w:t> </w:t>
            </w:r>
            <w:r>
              <w:rPr>
                <w:sz w:val="22"/>
              </w:rPr>
              <w:t>in</w:t>
            </w:r>
            <w:r>
              <w:rPr>
                <w:spacing w:val="-7"/>
                <w:sz w:val="22"/>
              </w:rPr>
              <w:t> </w:t>
            </w:r>
            <w:r>
              <w:rPr>
                <w:sz w:val="22"/>
              </w:rPr>
              <w:t>high- risk areas with undergrounding or covered </w:t>
            </w:r>
            <w:r>
              <w:rPr>
                <w:spacing w:val="-2"/>
                <w:sz w:val="22"/>
              </w:rPr>
              <w:t>conductor;</w:t>
            </w:r>
          </w:p>
          <w:p>
            <w:pPr>
              <w:pStyle w:val="TableParagraph"/>
              <w:numPr>
                <w:ilvl w:val="0"/>
                <w:numId w:val="65"/>
              </w:numPr>
              <w:tabs>
                <w:tab w:pos="721" w:val="left" w:leader="none"/>
              </w:tabs>
              <w:spacing w:line="285" w:lineRule="auto" w:before="135" w:after="0"/>
              <w:ind w:left="721" w:right="556" w:hanging="361"/>
              <w:jc w:val="left"/>
              <w:rPr>
                <w:sz w:val="22"/>
              </w:rPr>
            </w:pPr>
            <w:r>
              <w:rPr>
                <w:sz w:val="22"/>
              </w:rPr>
              <w:t>remotely</w:t>
            </w:r>
            <w:r>
              <w:rPr>
                <w:spacing w:val="-11"/>
                <w:sz w:val="22"/>
              </w:rPr>
              <w:t> </w:t>
            </w:r>
            <w:r>
              <w:rPr>
                <w:sz w:val="22"/>
              </w:rPr>
              <w:t>controlled</w:t>
            </w:r>
            <w:r>
              <w:rPr>
                <w:spacing w:val="-9"/>
                <w:sz w:val="22"/>
              </w:rPr>
              <w:t> </w:t>
            </w:r>
            <w:r>
              <w:rPr>
                <w:sz w:val="22"/>
              </w:rPr>
              <w:t>Automatic</w:t>
            </w:r>
            <w:r>
              <w:rPr>
                <w:spacing w:val="-11"/>
                <w:sz w:val="22"/>
              </w:rPr>
              <w:t> </w:t>
            </w:r>
            <w:r>
              <w:rPr>
                <w:sz w:val="22"/>
              </w:rPr>
              <w:t>Circuit</w:t>
            </w:r>
            <w:r>
              <w:rPr>
                <w:spacing w:val="-8"/>
                <w:sz w:val="22"/>
              </w:rPr>
              <w:t> </w:t>
            </w:r>
            <w:r>
              <w:rPr>
                <w:sz w:val="22"/>
              </w:rPr>
              <w:t>Reclosers (ACRs); and</w:t>
            </w:r>
          </w:p>
          <w:p>
            <w:pPr>
              <w:pStyle w:val="TableParagraph"/>
              <w:numPr>
                <w:ilvl w:val="0"/>
                <w:numId w:val="65"/>
              </w:numPr>
              <w:tabs>
                <w:tab w:pos="721" w:val="left" w:leader="none"/>
              </w:tabs>
              <w:spacing w:line="288" w:lineRule="auto" w:before="140" w:after="0"/>
              <w:ind w:left="721" w:right="871" w:hanging="361"/>
              <w:jc w:val="left"/>
              <w:rPr>
                <w:sz w:val="22"/>
              </w:rPr>
            </w:pPr>
            <w:r>
              <w:rPr>
                <w:sz w:val="22"/>
              </w:rPr>
              <w:t>heightened fault detection and suppression standards</w:t>
            </w:r>
            <w:r>
              <w:rPr>
                <w:spacing w:val="-6"/>
                <w:sz w:val="22"/>
              </w:rPr>
              <w:t> </w:t>
            </w:r>
            <w:r>
              <w:rPr>
                <w:sz w:val="22"/>
              </w:rPr>
              <w:t>on</w:t>
            </w:r>
            <w:r>
              <w:rPr>
                <w:spacing w:val="-6"/>
                <w:sz w:val="22"/>
              </w:rPr>
              <w:t> </w:t>
            </w:r>
            <w:r>
              <w:rPr>
                <w:sz w:val="22"/>
              </w:rPr>
              <w:t>22</w:t>
            </w:r>
            <w:r>
              <w:rPr>
                <w:spacing w:val="-6"/>
                <w:sz w:val="22"/>
              </w:rPr>
              <w:t> </w:t>
            </w:r>
            <w:r>
              <w:rPr>
                <w:sz w:val="22"/>
              </w:rPr>
              <w:t>kV</w:t>
            </w:r>
            <w:r>
              <w:rPr>
                <w:spacing w:val="-7"/>
                <w:sz w:val="22"/>
              </w:rPr>
              <w:t> </w:t>
            </w:r>
            <w:r>
              <w:rPr>
                <w:sz w:val="22"/>
              </w:rPr>
              <w:t>lines</w:t>
            </w:r>
            <w:r>
              <w:rPr>
                <w:spacing w:val="-3"/>
                <w:sz w:val="22"/>
              </w:rPr>
              <w:t> </w:t>
            </w:r>
            <w:r>
              <w:rPr>
                <w:sz w:val="22"/>
              </w:rPr>
              <w:t>emanating</w:t>
            </w:r>
            <w:r>
              <w:rPr>
                <w:spacing w:val="-6"/>
                <w:sz w:val="22"/>
              </w:rPr>
              <w:t> </w:t>
            </w:r>
            <w:r>
              <w:rPr>
                <w:sz w:val="22"/>
              </w:rPr>
              <w:t>from</w:t>
            </w:r>
            <w:r>
              <w:rPr>
                <w:spacing w:val="-3"/>
                <w:sz w:val="22"/>
              </w:rPr>
              <w:t> </w:t>
            </w:r>
            <w:r>
              <w:rPr>
                <w:sz w:val="22"/>
              </w:rPr>
              <w:t>45 targeted zone substations.</w:t>
            </w:r>
          </w:p>
        </w:tc>
        <w:tc>
          <w:tcPr>
            <w:tcW w:w="1660" w:type="dxa"/>
            <w:tcBorders>
              <w:bottom w:val="single" w:sz="4" w:space="0" w:color="A6A6A6"/>
              <w:right w:val="single" w:sz="4" w:space="0" w:color="A6A6A6"/>
            </w:tcBorders>
            <w:shd w:val="clear" w:color="auto" w:fill="CDEBEB"/>
          </w:tcPr>
          <w:p>
            <w:pPr>
              <w:pStyle w:val="TableParagraph"/>
              <w:spacing w:line="288" w:lineRule="auto" w:before="120"/>
              <w:ind w:left="150"/>
              <w:rPr>
                <w:sz w:val="22"/>
              </w:rPr>
            </w:pPr>
            <w:r>
              <w:rPr>
                <w:spacing w:val="-2"/>
                <w:sz w:val="22"/>
              </w:rPr>
              <w:t>$500m consumer funded</w:t>
            </w:r>
          </w:p>
        </w:tc>
      </w:tr>
    </w:tbl>
    <w:p>
      <w:pPr>
        <w:spacing w:after="0" w:line="288" w:lineRule="auto"/>
        <w:rPr>
          <w:sz w:val="22"/>
        </w:rPr>
        <w:sectPr>
          <w:pgSz w:w="11910" w:h="16850"/>
          <w:pgMar w:header="220" w:footer="678" w:top="420" w:bottom="860" w:left="900" w:right="840"/>
        </w:sectPr>
      </w:pPr>
    </w:p>
    <w:p>
      <w:pPr>
        <w:pStyle w:val="BodyText"/>
        <w:rPr>
          <w:b/>
          <w:sz w:val="20"/>
        </w:rPr>
      </w:pPr>
    </w:p>
    <w:p>
      <w:pPr>
        <w:pStyle w:val="BodyText"/>
        <w:spacing w:before="4"/>
        <w:rPr>
          <w:b/>
          <w:sz w:val="27"/>
        </w:rPr>
      </w:pPr>
    </w:p>
    <w:tbl>
      <w:tblPr>
        <w:tblW w:w="0" w:type="auto"/>
        <w:jc w:val="left"/>
        <w:tblInd w:w="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4"/>
        <w:gridCol w:w="5878"/>
        <w:gridCol w:w="1624"/>
      </w:tblGrid>
      <w:tr>
        <w:trPr>
          <w:trHeight w:val="1485" w:hRule="atLeast"/>
        </w:trPr>
        <w:tc>
          <w:tcPr>
            <w:tcW w:w="2354" w:type="dxa"/>
            <w:tcBorders>
              <w:top w:val="single" w:sz="4" w:space="0" w:color="A6A6A6"/>
              <w:left w:val="single" w:sz="4" w:space="0" w:color="A6A6A6"/>
            </w:tcBorders>
            <w:shd w:val="clear" w:color="auto" w:fill="D9D9D9"/>
          </w:tcPr>
          <w:p>
            <w:pPr>
              <w:pStyle w:val="TableParagraph"/>
              <w:rPr>
                <w:b/>
                <w:sz w:val="25"/>
              </w:rPr>
            </w:pPr>
          </w:p>
          <w:p>
            <w:pPr>
              <w:pStyle w:val="TableParagraph"/>
              <w:ind w:left="107"/>
              <w:rPr>
                <w:b/>
                <w:sz w:val="22"/>
              </w:rPr>
            </w:pPr>
            <w:r>
              <w:rPr>
                <w:b/>
                <w:sz w:val="22"/>
              </w:rPr>
              <w:t>Project</w:t>
            </w:r>
            <w:r>
              <w:rPr>
                <w:b/>
                <w:spacing w:val="-4"/>
                <w:sz w:val="22"/>
              </w:rPr>
              <w:t> name</w:t>
            </w:r>
          </w:p>
        </w:tc>
        <w:tc>
          <w:tcPr>
            <w:tcW w:w="5878" w:type="dxa"/>
            <w:tcBorders>
              <w:top w:val="single" w:sz="4" w:space="0" w:color="A6A6A6"/>
            </w:tcBorders>
            <w:shd w:val="clear" w:color="auto" w:fill="D9D9D9"/>
          </w:tcPr>
          <w:p>
            <w:pPr>
              <w:pStyle w:val="TableParagraph"/>
              <w:rPr>
                <w:b/>
                <w:sz w:val="25"/>
              </w:rPr>
            </w:pPr>
          </w:p>
          <w:p>
            <w:pPr>
              <w:pStyle w:val="TableParagraph"/>
              <w:ind w:left="159"/>
              <w:rPr>
                <w:b/>
                <w:sz w:val="22"/>
              </w:rPr>
            </w:pPr>
            <w:r>
              <w:rPr>
                <w:b/>
                <w:sz w:val="22"/>
              </w:rPr>
              <w:t>Project</w:t>
            </w:r>
            <w:r>
              <w:rPr>
                <w:b/>
                <w:spacing w:val="-4"/>
                <w:sz w:val="22"/>
              </w:rPr>
              <w:t> </w:t>
            </w:r>
            <w:r>
              <w:rPr>
                <w:b/>
                <w:spacing w:val="-2"/>
                <w:sz w:val="22"/>
              </w:rPr>
              <w:t>description</w:t>
            </w:r>
          </w:p>
        </w:tc>
        <w:tc>
          <w:tcPr>
            <w:tcW w:w="1624" w:type="dxa"/>
            <w:tcBorders>
              <w:top w:val="single" w:sz="4" w:space="0" w:color="A6A6A6"/>
              <w:right w:val="single" w:sz="4" w:space="0" w:color="A6A6A6"/>
            </w:tcBorders>
            <w:shd w:val="clear" w:color="auto" w:fill="D9D9D9"/>
          </w:tcPr>
          <w:p>
            <w:pPr>
              <w:pStyle w:val="TableParagraph"/>
              <w:rPr>
                <w:b/>
                <w:sz w:val="25"/>
              </w:rPr>
            </w:pPr>
          </w:p>
          <w:p>
            <w:pPr>
              <w:pStyle w:val="TableParagraph"/>
              <w:spacing w:line="288" w:lineRule="auto"/>
              <w:ind w:left="114"/>
              <w:rPr>
                <w:b/>
                <w:sz w:val="22"/>
              </w:rPr>
            </w:pPr>
            <w:r>
              <w:rPr>
                <w:b/>
                <w:spacing w:val="-2"/>
                <w:sz w:val="22"/>
              </w:rPr>
              <w:t>Maximum investment value</w:t>
            </w:r>
          </w:p>
        </w:tc>
      </w:tr>
      <w:tr>
        <w:trPr>
          <w:trHeight w:val="1879" w:hRule="atLeast"/>
        </w:trPr>
        <w:tc>
          <w:tcPr>
            <w:tcW w:w="2354" w:type="dxa"/>
            <w:tcBorders>
              <w:left w:val="single" w:sz="4" w:space="0" w:color="A6A6A6"/>
            </w:tcBorders>
          </w:tcPr>
          <w:p>
            <w:pPr>
              <w:pStyle w:val="TableParagraph"/>
              <w:spacing w:line="288" w:lineRule="auto" w:before="120"/>
              <w:ind w:left="107"/>
              <w:rPr>
                <w:b/>
                <w:sz w:val="22"/>
              </w:rPr>
            </w:pPr>
            <w:r>
              <w:rPr>
                <w:b/>
                <w:sz w:val="22"/>
              </w:rPr>
              <w:t>Network</w:t>
            </w:r>
            <w:r>
              <w:rPr>
                <w:b/>
                <w:spacing w:val="-16"/>
                <w:sz w:val="22"/>
              </w:rPr>
              <w:t> </w:t>
            </w:r>
            <w:r>
              <w:rPr>
                <w:b/>
                <w:sz w:val="22"/>
              </w:rPr>
              <w:t>Operations </w:t>
            </w:r>
            <w:r>
              <w:rPr>
                <w:b/>
                <w:spacing w:val="-2"/>
                <w:sz w:val="22"/>
              </w:rPr>
              <w:t>Project</w:t>
            </w:r>
          </w:p>
        </w:tc>
        <w:tc>
          <w:tcPr>
            <w:tcW w:w="5878" w:type="dxa"/>
          </w:tcPr>
          <w:p>
            <w:pPr>
              <w:pStyle w:val="TableParagraph"/>
              <w:spacing w:line="288" w:lineRule="auto" w:before="120"/>
              <w:ind w:left="159"/>
              <w:rPr>
                <w:sz w:val="22"/>
              </w:rPr>
            </w:pPr>
            <w:r>
              <w:rPr>
                <w:sz w:val="22"/>
              </w:rPr>
              <w:t>The</w:t>
            </w:r>
            <w:r>
              <w:rPr>
                <w:spacing w:val="-5"/>
                <w:sz w:val="22"/>
              </w:rPr>
              <w:t> </w:t>
            </w:r>
            <w:r>
              <w:rPr>
                <w:sz w:val="22"/>
              </w:rPr>
              <w:t>project</w:t>
            </w:r>
            <w:r>
              <w:rPr>
                <w:spacing w:val="-4"/>
                <w:sz w:val="22"/>
              </w:rPr>
              <w:t> </w:t>
            </w:r>
            <w:r>
              <w:rPr>
                <w:sz w:val="22"/>
              </w:rPr>
              <w:t>informs</w:t>
            </w:r>
            <w:r>
              <w:rPr>
                <w:spacing w:val="-5"/>
                <w:sz w:val="22"/>
              </w:rPr>
              <w:t> </w:t>
            </w:r>
            <w:r>
              <w:rPr>
                <w:sz w:val="22"/>
              </w:rPr>
              <w:t>the</w:t>
            </w:r>
            <w:r>
              <w:rPr>
                <w:spacing w:val="-3"/>
                <w:sz w:val="22"/>
              </w:rPr>
              <w:t> </w:t>
            </w:r>
            <w:r>
              <w:rPr>
                <w:sz w:val="22"/>
              </w:rPr>
              <w:t>settings</w:t>
            </w:r>
            <w:r>
              <w:rPr>
                <w:spacing w:val="-2"/>
                <w:sz w:val="22"/>
              </w:rPr>
              <w:t> </w:t>
            </w:r>
            <w:r>
              <w:rPr>
                <w:sz w:val="22"/>
              </w:rPr>
              <w:t>of</w:t>
            </w:r>
            <w:r>
              <w:rPr>
                <w:spacing w:val="-1"/>
                <w:sz w:val="22"/>
              </w:rPr>
              <w:t> </w:t>
            </w:r>
            <w:r>
              <w:rPr>
                <w:sz w:val="22"/>
              </w:rPr>
              <w:t>ACRs</w:t>
            </w:r>
            <w:r>
              <w:rPr>
                <w:spacing w:val="-5"/>
                <w:sz w:val="22"/>
              </w:rPr>
              <w:t> </w:t>
            </w:r>
            <w:r>
              <w:rPr>
                <w:sz w:val="22"/>
              </w:rPr>
              <w:t>that</w:t>
            </w:r>
            <w:r>
              <w:rPr>
                <w:spacing w:val="-1"/>
                <w:sz w:val="22"/>
              </w:rPr>
              <w:t> </w:t>
            </w:r>
            <w:r>
              <w:rPr>
                <w:sz w:val="22"/>
              </w:rPr>
              <w:t>are</w:t>
            </w:r>
            <w:r>
              <w:rPr>
                <w:spacing w:val="-5"/>
                <w:sz w:val="22"/>
              </w:rPr>
              <w:t> </w:t>
            </w:r>
            <w:r>
              <w:rPr>
                <w:sz w:val="22"/>
              </w:rPr>
              <w:t>set</w:t>
            </w:r>
            <w:r>
              <w:rPr>
                <w:spacing w:val="-4"/>
                <w:sz w:val="22"/>
              </w:rPr>
              <w:t> </w:t>
            </w:r>
            <w:r>
              <w:rPr>
                <w:sz w:val="22"/>
              </w:rPr>
              <w:t>for each Victorian bushfire season.</w:t>
            </w:r>
          </w:p>
          <w:p>
            <w:pPr>
              <w:pStyle w:val="TableParagraph"/>
              <w:spacing w:line="288" w:lineRule="auto" w:before="120"/>
              <w:ind w:left="159"/>
              <w:rPr>
                <w:sz w:val="22"/>
              </w:rPr>
            </w:pPr>
            <w:r>
              <w:rPr>
                <w:sz w:val="22"/>
              </w:rPr>
              <w:t>These settings inform how electricity distribution businesses</w:t>
            </w:r>
            <w:r>
              <w:rPr>
                <w:spacing w:val="-4"/>
                <w:sz w:val="22"/>
              </w:rPr>
              <w:t> </w:t>
            </w:r>
            <w:r>
              <w:rPr>
                <w:sz w:val="22"/>
              </w:rPr>
              <w:t>control</w:t>
            </w:r>
            <w:r>
              <w:rPr>
                <w:spacing w:val="-7"/>
                <w:sz w:val="22"/>
              </w:rPr>
              <w:t> </w:t>
            </w:r>
            <w:r>
              <w:rPr>
                <w:sz w:val="22"/>
              </w:rPr>
              <w:t>their</w:t>
            </w:r>
            <w:r>
              <w:rPr>
                <w:spacing w:val="-5"/>
                <w:sz w:val="22"/>
              </w:rPr>
              <w:t> </w:t>
            </w:r>
            <w:r>
              <w:rPr>
                <w:sz w:val="22"/>
              </w:rPr>
              <w:t>networks</w:t>
            </w:r>
            <w:r>
              <w:rPr>
                <w:spacing w:val="-6"/>
                <w:sz w:val="22"/>
              </w:rPr>
              <w:t> </w:t>
            </w:r>
            <w:r>
              <w:rPr>
                <w:sz w:val="22"/>
              </w:rPr>
              <w:t>on</w:t>
            </w:r>
            <w:r>
              <w:rPr>
                <w:spacing w:val="-6"/>
                <w:sz w:val="22"/>
              </w:rPr>
              <w:t> </w:t>
            </w:r>
            <w:r>
              <w:rPr>
                <w:sz w:val="22"/>
              </w:rPr>
              <w:t>Total</w:t>
            </w:r>
            <w:r>
              <w:rPr>
                <w:spacing w:val="-5"/>
                <w:sz w:val="22"/>
              </w:rPr>
              <w:t> </w:t>
            </w:r>
            <w:r>
              <w:rPr>
                <w:sz w:val="22"/>
              </w:rPr>
              <w:t>Fire</w:t>
            </w:r>
            <w:r>
              <w:rPr>
                <w:spacing w:val="-6"/>
                <w:sz w:val="22"/>
              </w:rPr>
              <w:t> </w:t>
            </w:r>
            <w:r>
              <w:rPr>
                <w:sz w:val="22"/>
              </w:rPr>
              <w:t>Ban</w:t>
            </w:r>
            <w:r>
              <w:rPr>
                <w:spacing w:val="-4"/>
                <w:sz w:val="22"/>
              </w:rPr>
              <w:t> </w:t>
            </w:r>
            <w:r>
              <w:rPr>
                <w:sz w:val="22"/>
              </w:rPr>
              <w:t>days, as these are the days of greatest bushfire risk.</w:t>
            </w:r>
          </w:p>
        </w:tc>
        <w:tc>
          <w:tcPr>
            <w:tcW w:w="1624" w:type="dxa"/>
            <w:tcBorders>
              <w:right w:val="single" w:sz="4" w:space="0" w:color="A6A6A6"/>
            </w:tcBorders>
          </w:tcPr>
          <w:p>
            <w:pPr>
              <w:pStyle w:val="TableParagraph"/>
              <w:spacing w:line="288" w:lineRule="auto" w:before="120"/>
              <w:ind w:left="114"/>
              <w:rPr>
                <w:sz w:val="22"/>
              </w:rPr>
            </w:pPr>
            <w:r>
              <w:rPr>
                <w:spacing w:val="-2"/>
                <w:sz w:val="22"/>
              </w:rPr>
              <w:t>government </w:t>
            </w:r>
            <w:r>
              <w:rPr>
                <w:sz w:val="22"/>
              </w:rPr>
              <w:t>funded from annual</w:t>
            </w:r>
            <w:r>
              <w:rPr>
                <w:spacing w:val="-16"/>
                <w:sz w:val="22"/>
              </w:rPr>
              <w:t> </w:t>
            </w:r>
            <w:r>
              <w:rPr>
                <w:sz w:val="22"/>
              </w:rPr>
              <w:t>budget</w:t>
            </w:r>
          </w:p>
        </w:tc>
      </w:tr>
      <w:tr>
        <w:trPr>
          <w:trHeight w:val="3072" w:hRule="atLeast"/>
        </w:trPr>
        <w:tc>
          <w:tcPr>
            <w:tcW w:w="2354" w:type="dxa"/>
            <w:tcBorders>
              <w:left w:val="single" w:sz="4" w:space="0" w:color="A6A6A6"/>
            </w:tcBorders>
            <w:shd w:val="clear" w:color="auto" w:fill="CDEBEB"/>
          </w:tcPr>
          <w:p>
            <w:pPr>
              <w:pStyle w:val="TableParagraph"/>
              <w:spacing w:line="288" w:lineRule="auto" w:before="120"/>
              <w:ind w:left="107"/>
              <w:rPr>
                <w:b/>
                <w:sz w:val="22"/>
              </w:rPr>
            </w:pPr>
            <w:r>
              <w:rPr>
                <w:b/>
                <w:sz w:val="22"/>
              </w:rPr>
              <w:t>Research and Development</w:t>
            </w:r>
            <w:r>
              <w:rPr>
                <w:b/>
                <w:spacing w:val="-16"/>
                <w:sz w:val="22"/>
              </w:rPr>
              <w:t> </w:t>
            </w:r>
            <w:r>
              <w:rPr>
                <w:b/>
                <w:sz w:val="22"/>
              </w:rPr>
              <w:t>(R&amp;D) </w:t>
            </w:r>
            <w:r>
              <w:rPr>
                <w:b/>
                <w:spacing w:val="-2"/>
                <w:sz w:val="22"/>
              </w:rPr>
              <w:t>Project</w:t>
            </w:r>
          </w:p>
        </w:tc>
        <w:tc>
          <w:tcPr>
            <w:tcW w:w="5878" w:type="dxa"/>
            <w:shd w:val="clear" w:color="auto" w:fill="CDEBEB"/>
          </w:tcPr>
          <w:p>
            <w:pPr>
              <w:pStyle w:val="TableParagraph"/>
              <w:spacing w:line="288" w:lineRule="auto" w:before="120"/>
              <w:ind w:left="159"/>
              <w:rPr>
                <w:sz w:val="22"/>
              </w:rPr>
            </w:pPr>
            <w:r>
              <w:rPr>
                <w:sz w:val="22"/>
              </w:rPr>
              <w:t>The</w:t>
            </w:r>
            <w:r>
              <w:rPr>
                <w:spacing w:val="-6"/>
                <w:sz w:val="22"/>
              </w:rPr>
              <w:t> </w:t>
            </w:r>
            <w:r>
              <w:rPr>
                <w:sz w:val="22"/>
              </w:rPr>
              <w:t>project</w:t>
            </w:r>
            <w:r>
              <w:rPr>
                <w:spacing w:val="-5"/>
                <w:sz w:val="22"/>
              </w:rPr>
              <w:t> </w:t>
            </w:r>
            <w:r>
              <w:rPr>
                <w:sz w:val="22"/>
              </w:rPr>
              <w:t>allocates</w:t>
            </w:r>
            <w:r>
              <w:rPr>
                <w:spacing w:val="-8"/>
                <w:sz w:val="22"/>
              </w:rPr>
              <w:t> </w:t>
            </w:r>
            <w:r>
              <w:rPr>
                <w:sz w:val="22"/>
              </w:rPr>
              <w:t>funds</w:t>
            </w:r>
            <w:r>
              <w:rPr>
                <w:spacing w:val="-4"/>
                <w:sz w:val="22"/>
              </w:rPr>
              <w:t> </w:t>
            </w:r>
            <w:r>
              <w:rPr>
                <w:sz w:val="22"/>
              </w:rPr>
              <w:t>to</w:t>
            </w:r>
            <w:r>
              <w:rPr>
                <w:spacing w:val="-6"/>
                <w:sz w:val="22"/>
              </w:rPr>
              <w:t> </w:t>
            </w:r>
            <w:r>
              <w:rPr>
                <w:sz w:val="22"/>
              </w:rPr>
              <w:t>priority</w:t>
            </w:r>
            <w:r>
              <w:rPr>
                <w:spacing w:val="-6"/>
                <w:sz w:val="22"/>
              </w:rPr>
              <w:t> </w:t>
            </w:r>
            <w:r>
              <w:rPr>
                <w:sz w:val="22"/>
              </w:rPr>
              <w:t>research</w:t>
            </w:r>
            <w:r>
              <w:rPr>
                <w:spacing w:val="-4"/>
                <w:sz w:val="22"/>
              </w:rPr>
              <w:t> </w:t>
            </w:r>
            <w:r>
              <w:rPr>
                <w:sz w:val="22"/>
              </w:rPr>
              <w:t>and development, in areas such as:</w:t>
            </w:r>
          </w:p>
          <w:p>
            <w:pPr>
              <w:pStyle w:val="TableParagraph"/>
              <w:numPr>
                <w:ilvl w:val="0"/>
                <w:numId w:val="66"/>
              </w:numPr>
              <w:tabs>
                <w:tab w:pos="661" w:val="left" w:leader="none"/>
              </w:tabs>
              <w:spacing w:line="285" w:lineRule="auto" w:before="137" w:after="0"/>
              <w:ind w:left="661" w:right="208" w:hanging="361"/>
              <w:jc w:val="left"/>
              <w:rPr>
                <w:sz w:val="22"/>
              </w:rPr>
            </w:pPr>
            <w:r>
              <w:rPr>
                <w:sz w:val="22"/>
              </w:rPr>
              <w:t>bushfire</w:t>
            </w:r>
            <w:r>
              <w:rPr>
                <w:spacing w:val="-7"/>
                <w:sz w:val="22"/>
              </w:rPr>
              <w:t> </w:t>
            </w:r>
            <w:r>
              <w:rPr>
                <w:sz w:val="22"/>
              </w:rPr>
              <w:t>mapping</w:t>
            </w:r>
            <w:r>
              <w:rPr>
                <w:spacing w:val="-3"/>
                <w:sz w:val="22"/>
              </w:rPr>
              <w:t> </w:t>
            </w:r>
            <w:r>
              <w:rPr>
                <w:sz w:val="22"/>
              </w:rPr>
              <w:t>and</w:t>
            </w:r>
            <w:r>
              <w:rPr>
                <w:spacing w:val="-7"/>
                <w:sz w:val="22"/>
              </w:rPr>
              <w:t> </w:t>
            </w:r>
            <w:r>
              <w:rPr>
                <w:sz w:val="22"/>
              </w:rPr>
              <w:t>modelling,</w:t>
            </w:r>
            <w:r>
              <w:rPr>
                <w:spacing w:val="-6"/>
                <w:sz w:val="22"/>
              </w:rPr>
              <w:t> </w:t>
            </w:r>
            <w:r>
              <w:rPr>
                <w:sz w:val="22"/>
              </w:rPr>
              <w:t>to</w:t>
            </w:r>
            <w:r>
              <w:rPr>
                <w:spacing w:val="-5"/>
                <w:sz w:val="22"/>
              </w:rPr>
              <w:t> </w:t>
            </w:r>
            <w:r>
              <w:rPr>
                <w:sz w:val="22"/>
              </w:rPr>
              <w:t>direct</w:t>
            </w:r>
            <w:r>
              <w:rPr>
                <w:spacing w:val="-3"/>
                <w:sz w:val="22"/>
              </w:rPr>
              <w:t> </w:t>
            </w:r>
            <w:r>
              <w:rPr>
                <w:sz w:val="22"/>
              </w:rPr>
              <w:t>activity</w:t>
            </w:r>
            <w:r>
              <w:rPr>
                <w:spacing w:val="-4"/>
                <w:sz w:val="22"/>
              </w:rPr>
              <w:t> </w:t>
            </w:r>
            <w:r>
              <w:rPr>
                <w:sz w:val="22"/>
              </w:rPr>
              <w:t>to the locations of greatest bushfire risk;</w:t>
            </w:r>
          </w:p>
          <w:p>
            <w:pPr>
              <w:pStyle w:val="TableParagraph"/>
              <w:numPr>
                <w:ilvl w:val="0"/>
                <w:numId w:val="66"/>
              </w:numPr>
              <w:tabs>
                <w:tab w:pos="661" w:val="left" w:leader="none"/>
              </w:tabs>
              <w:spacing w:line="288" w:lineRule="auto" w:before="140" w:after="0"/>
              <w:ind w:left="661" w:right="199" w:hanging="361"/>
              <w:jc w:val="left"/>
              <w:rPr>
                <w:sz w:val="22"/>
              </w:rPr>
            </w:pPr>
            <w:r>
              <w:rPr>
                <w:sz w:val="22"/>
              </w:rPr>
              <w:t>powerline</w:t>
            </w:r>
            <w:r>
              <w:rPr>
                <w:spacing w:val="-4"/>
                <w:sz w:val="22"/>
              </w:rPr>
              <w:t> </w:t>
            </w:r>
            <w:r>
              <w:rPr>
                <w:sz w:val="22"/>
              </w:rPr>
              <w:t>faults</w:t>
            </w:r>
            <w:r>
              <w:rPr>
                <w:spacing w:val="-6"/>
                <w:sz w:val="22"/>
              </w:rPr>
              <w:t> </w:t>
            </w:r>
            <w:r>
              <w:rPr>
                <w:sz w:val="22"/>
              </w:rPr>
              <w:t>and</w:t>
            </w:r>
            <w:r>
              <w:rPr>
                <w:spacing w:val="-6"/>
                <w:sz w:val="22"/>
              </w:rPr>
              <w:t> </w:t>
            </w:r>
            <w:r>
              <w:rPr>
                <w:sz w:val="22"/>
              </w:rPr>
              <w:t>fire</w:t>
            </w:r>
            <w:r>
              <w:rPr>
                <w:spacing w:val="-4"/>
                <w:sz w:val="22"/>
              </w:rPr>
              <w:t> </w:t>
            </w:r>
            <w:r>
              <w:rPr>
                <w:sz w:val="22"/>
              </w:rPr>
              <w:t>ignition,</w:t>
            </w:r>
            <w:r>
              <w:rPr>
                <w:spacing w:val="-5"/>
                <w:sz w:val="22"/>
              </w:rPr>
              <w:t> </w:t>
            </w:r>
            <w:r>
              <w:rPr>
                <w:sz w:val="22"/>
              </w:rPr>
              <w:t>to</w:t>
            </w:r>
            <w:r>
              <w:rPr>
                <w:spacing w:val="-6"/>
                <w:sz w:val="22"/>
              </w:rPr>
              <w:t> </w:t>
            </w:r>
            <w:r>
              <w:rPr>
                <w:sz w:val="22"/>
              </w:rPr>
              <w:t>understand</w:t>
            </w:r>
            <w:r>
              <w:rPr>
                <w:spacing w:val="-6"/>
                <w:sz w:val="22"/>
              </w:rPr>
              <w:t> </w:t>
            </w:r>
            <w:r>
              <w:rPr>
                <w:sz w:val="22"/>
              </w:rPr>
              <w:t>how powerlines may fail and cause bushfires; and</w:t>
            </w:r>
          </w:p>
          <w:p>
            <w:pPr>
              <w:pStyle w:val="TableParagraph"/>
              <w:numPr>
                <w:ilvl w:val="0"/>
                <w:numId w:val="66"/>
              </w:numPr>
              <w:tabs>
                <w:tab w:pos="661" w:val="left" w:leader="none"/>
                <w:tab w:pos="4129" w:val="left" w:leader="none"/>
              </w:tabs>
              <w:spacing w:line="288" w:lineRule="auto" w:before="134" w:after="0"/>
              <w:ind w:left="661" w:right="359" w:hanging="361"/>
              <w:jc w:val="left"/>
              <w:rPr>
                <w:sz w:val="22"/>
              </w:rPr>
            </w:pPr>
            <w:r>
              <w:rPr>
                <w:sz w:val="22"/>
              </w:rPr>
              <w:t>improved</w:t>
            </w:r>
            <w:r>
              <w:rPr>
                <w:spacing w:val="-7"/>
                <w:sz w:val="22"/>
              </w:rPr>
              <w:t> </w:t>
            </w:r>
            <w:r>
              <w:rPr>
                <w:sz w:val="22"/>
              </w:rPr>
              <w:t>powerline</w:t>
            </w:r>
            <w:r>
              <w:rPr>
                <w:spacing w:val="-7"/>
                <w:sz w:val="22"/>
              </w:rPr>
              <w:t> </w:t>
            </w:r>
            <w:r>
              <w:rPr>
                <w:sz w:val="22"/>
              </w:rPr>
              <w:t>technology,</w:t>
            </w:r>
            <w:r>
              <w:rPr>
                <w:spacing w:val="-6"/>
                <w:sz w:val="22"/>
              </w:rPr>
              <w:t> </w:t>
            </w:r>
            <w:r>
              <w:rPr>
                <w:sz w:val="22"/>
              </w:rPr>
              <w:t>to</w:t>
            </w:r>
            <w:r>
              <w:rPr>
                <w:spacing w:val="-11"/>
                <w:sz w:val="22"/>
              </w:rPr>
              <w:t> </w:t>
            </w:r>
            <w:r>
              <w:rPr>
                <w:sz w:val="22"/>
              </w:rPr>
              <w:t>minimise</w:t>
            </w:r>
            <w:r>
              <w:rPr>
                <w:spacing w:val="-8"/>
                <w:sz w:val="22"/>
              </w:rPr>
              <w:t> </w:t>
            </w:r>
            <w:r>
              <w:rPr>
                <w:sz w:val="22"/>
              </w:rPr>
              <w:t>faults and make powerlines as safe as</w:t>
              <w:tab/>
            </w:r>
            <w:r>
              <w:rPr>
                <w:spacing w:val="-2"/>
                <w:sz w:val="22"/>
              </w:rPr>
              <w:t>possible.</w:t>
            </w:r>
          </w:p>
        </w:tc>
        <w:tc>
          <w:tcPr>
            <w:tcW w:w="1624" w:type="dxa"/>
            <w:tcBorders>
              <w:right w:val="single" w:sz="4" w:space="0" w:color="A6A6A6"/>
            </w:tcBorders>
            <w:shd w:val="clear" w:color="auto" w:fill="CDEBEB"/>
          </w:tcPr>
          <w:p>
            <w:pPr>
              <w:pStyle w:val="TableParagraph"/>
              <w:spacing w:line="288" w:lineRule="auto" w:before="120"/>
              <w:ind w:left="114"/>
              <w:rPr>
                <w:sz w:val="22"/>
              </w:rPr>
            </w:pPr>
            <w:r>
              <w:rPr>
                <w:spacing w:val="-4"/>
                <w:sz w:val="22"/>
              </w:rPr>
              <w:t>$10m </w:t>
            </w:r>
            <w:r>
              <w:rPr>
                <w:spacing w:val="-2"/>
                <w:sz w:val="22"/>
              </w:rPr>
              <w:t>government funded</w:t>
            </w:r>
          </w:p>
        </w:tc>
      </w:tr>
      <w:tr>
        <w:trPr>
          <w:trHeight w:val="2788" w:hRule="atLeast"/>
        </w:trPr>
        <w:tc>
          <w:tcPr>
            <w:tcW w:w="2354" w:type="dxa"/>
            <w:tcBorders>
              <w:left w:val="single" w:sz="4" w:space="0" w:color="A6A6A6"/>
              <w:bottom w:val="single" w:sz="4" w:space="0" w:color="A6A6A6"/>
            </w:tcBorders>
          </w:tcPr>
          <w:p>
            <w:pPr>
              <w:pStyle w:val="TableParagraph"/>
              <w:spacing w:line="288" w:lineRule="auto" w:before="120"/>
              <w:ind w:left="107"/>
              <w:rPr>
                <w:b/>
                <w:sz w:val="22"/>
              </w:rPr>
            </w:pPr>
            <w:r>
              <w:rPr>
                <w:b/>
                <w:sz w:val="22"/>
              </w:rPr>
              <w:t>Local</w:t>
            </w:r>
            <w:r>
              <w:rPr>
                <w:b/>
                <w:spacing w:val="-16"/>
                <w:sz w:val="22"/>
              </w:rPr>
              <w:t> </w:t>
            </w:r>
            <w:r>
              <w:rPr>
                <w:b/>
                <w:sz w:val="22"/>
              </w:rPr>
              <w:t>Infrastructure Assistance Fund </w:t>
            </w:r>
            <w:r>
              <w:rPr>
                <w:b/>
                <w:spacing w:val="-2"/>
                <w:sz w:val="22"/>
              </w:rPr>
              <w:t>(LIAF)</w:t>
            </w:r>
          </w:p>
        </w:tc>
        <w:tc>
          <w:tcPr>
            <w:tcW w:w="5878" w:type="dxa"/>
            <w:tcBorders>
              <w:bottom w:val="single" w:sz="4" w:space="0" w:color="A6A6A6"/>
            </w:tcBorders>
          </w:tcPr>
          <w:p>
            <w:pPr>
              <w:pStyle w:val="TableParagraph"/>
              <w:spacing w:line="288" w:lineRule="auto" w:before="120"/>
              <w:ind w:left="159" w:right="102"/>
              <w:rPr>
                <w:sz w:val="22"/>
              </w:rPr>
            </w:pPr>
            <w:r>
              <w:rPr>
                <w:sz w:val="22"/>
              </w:rPr>
              <w:t>This project provides for back-up generators to be installed</w:t>
            </w:r>
            <w:r>
              <w:rPr>
                <w:spacing w:val="-5"/>
                <w:sz w:val="22"/>
              </w:rPr>
              <w:t> </w:t>
            </w:r>
            <w:r>
              <w:rPr>
                <w:sz w:val="22"/>
              </w:rPr>
              <w:t>in</w:t>
            </w:r>
            <w:r>
              <w:rPr>
                <w:spacing w:val="-5"/>
                <w:sz w:val="22"/>
              </w:rPr>
              <w:t> </w:t>
            </w:r>
            <w:r>
              <w:rPr>
                <w:sz w:val="22"/>
              </w:rPr>
              <w:t>residential</w:t>
            </w:r>
            <w:r>
              <w:rPr>
                <w:spacing w:val="-5"/>
                <w:sz w:val="22"/>
              </w:rPr>
              <w:t> </w:t>
            </w:r>
            <w:r>
              <w:rPr>
                <w:sz w:val="22"/>
              </w:rPr>
              <w:t>care</w:t>
            </w:r>
            <w:r>
              <w:rPr>
                <w:spacing w:val="-7"/>
                <w:sz w:val="22"/>
              </w:rPr>
              <w:t> </w:t>
            </w:r>
            <w:r>
              <w:rPr>
                <w:sz w:val="22"/>
              </w:rPr>
              <w:t>facilities</w:t>
            </w:r>
            <w:r>
              <w:rPr>
                <w:spacing w:val="-5"/>
                <w:sz w:val="22"/>
              </w:rPr>
              <w:t> </w:t>
            </w:r>
            <w:r>
              <w:rPr>
                <w:sz w:val="22"/>
              </w:rPr>
              <w:t>throughout</w:t>
            </w:r>
            <w:r>
              <w:rPr>
                <w:spacing w:val="-6"/>
                <w:sz w:val="22"/>
              </w:rPr>
              <w:t> </w:t>
            </w:r>
            <w:r>
              <w:rPr>
                <w:sz w:val="22"/>
              </w:rPr>
              <w:t>rural</w:t>
            </w:r>
            <w:r>
              <w:rPr>
                <w:spacing w:val="-6"/>
                <w:sz w:val="22"/>
              </w:rPr>
              <w:t> </w:t>
            </w:r>
            <w:r>
              <w:rPr>
                <w:sz w:val="22"/>
              </w:rPr>
              <w:t>and regional Victoria.</w:t>
            </w:r>
          </w:p>
          <w:p>
            <w:pPr>
              <w:pStyle w:val="TableParagraph"/>
              <w:spacing w:line="288" w:lineRule="auto" w:before="121"/>
              <w:ind w:left="159" w:right="102"/>
              <w:rPr>
                <w:sz w:val="22"/>
              </w:rPr>
            </w:pPr>
            <w:r>
              <w:rPr>
                <w:sz w:val="22"/>
              </w:rPr>
              <w:t>The LIAF generators ensure that facilities are able to maintain</w:t>
            </w:r>
            <w:r>
              <w:rPr>
                <w:spacing w:val="-6"/>
                <w:sz w:val="22"/>
              </w:rPr>
              <w:t> </w:t>
            </w:r>
            <w:r>
              <w:rPr>
                <w:sz w:val="22"/>
              </w:rPr>
              <w:t>the</w:t>
            </w:r>
            <w:r>
              <w:rPr>
                <w:spacing w:val="-4"/>
                <w:sz w:val="22"/>
              </w:rPr>
              <w:t> </w:t>
            </w:r>
            <w:r>
              <w:rPr>
                <w:sz w:val="22"/>
              </w:rPr>
              <w:t>continuous</w:t>
            </w:r>
            <w:r>
              <w:rPr>
                <w:spacing w:val="-6"/>
                <w:sz w:val="22"/>
              </w:rPr>
              <w:t> </w:t>
            </w:r>
            <w:r>
              <w:rPr>
                <w:sz w:val="22"/>
              </w:rPr>
              <w:t>supply</w:t>
            </w:r>
            <w:r>
              <w:rPr>
                <w:spacing w:val="-6"/>
                <w:sz w:val="22"/>
              </w:rPr>
              <w:t> </w:t>
            </w:r>
            <w:r>
              <w:rPr>
                <w:sz w:val="22"/>
              </w:rPr>
              <w:t>of</w:t>
            </w:r>
            <w:r>
              <w:rPr>
                <w:spacing w:val="-3"/>
                <w:sz w:val="22"/>
              </w:rPr>
              <w:t> </w:t>
            </w:r>
            <w:r>
              <w:rPr>
                <w:sz w:val="22"/>
              </w:rPr>
              <w:t>power</w:t>
            </w:r>
            <w:r>
              <w:rPr>
                <w:spacing w:val="-3"/>
                <w:sz w:val="22"/>
              </w:rPr>
              <w:t> </w:t>
            </w:r>
            <w:r>
              <w:rPr>
                <w:sz w:val="22"/>
              </w:rPr>
              <w:t>to</w:t>
            </w:r>
            <w:r>
              <w:rPr>
                <w:spacing w:val="-6"/>
                <w:sz w:val="22"/>
              </w:rPr>
              <w:t> </w:t>
            </w:r>
            <w:r>
              <w:rPr>
                <w:sz w:val="22"/>
              </w:rPr>
              <w:t>their</w:t>
            </w:r>
            <w:r>
              <w:rPr>
                <w:spacing w:val="-5"/>
                <w:sz w:val="22"/>
              </w:rPr>
              <w:t> </w:t>
            </w:r>
            <w:r>
              <w:rPr>
                <w:sz w:val="22"/>
              </w:rPr>
              <w:t>residents where power outages occur due to settings made to ACRs and other network safety equipment on Total Fire Ban days.</w:t>
            </w:r>
          </w:p>
        </w:tc>
        <w:tc>
          <w:tcPr>
            <w:tcW w:w="1624" w:type="dxa"/>
            <w:tcBorders>
              <w:bottom w:val="single" w:sz="4" w:space="0" w:color="A6A6A6"/>
              <w:right w:val="single" w:sz="4" w:space="0" w:color="A6A6A6"/>
            </w:tcBorders>
          </w:tcPr>
          <w:p>
            <w:pPr>
              <w:pStyle w:val="TableParagraph"/>
              <w:spacing w:line="288" w:lineRule="auto" w:before="120"/>
              <w:ind w:left="114"/>
              <w:rPr>
                <w:sz w:val="22"/>
              </w:rPr>
            </w:pPr>
            <w:r>
              <w:rPr>
                <w:spacing w:val="-4"/>
                <w:sz w:val="22"/>
              </w:rPr>
              <w:t>$40m </w:t>
            </w:r>
            <w:r>
              <w:rPr>
                <w:spacing w:val="-2"/>
                <w:sz w:val="22"/>
              </w:rPr>
              <w:t>government funded</w:t>
            </w:r>
          </w:p>
        </w:tc>
      </w:tr>
    </w:tbl>
    <w:p>
      <w:pPr>
        <w:pStyle w:val="BodyText"/>
        <w:spacing w:before="8"/>
        <w:rPr>
          <w:b/>
          <w:sz w:val="23"/>
        </w:rPr>
      </w:pPr>
    </w:p>
    <w:p>
      <w:pPr>
        <w:pStyle w:val="Heading4"/>
      </w:pPr>
      <w:r>
        <w:rPr>
          <w:color w:val="585858"/>
        </w:rPr>
        <w:t>Oversight</w:t>
      </w:r>
      <w:r>
        <w:rPr>
          <w:color w:val="585858"/>
          <w:spacing w:val="-11"/>
        </w:rPr>
        <w:t> </w:t>
      </w:r>
      <w:r>
        <w:rPr>
          <w:color w:val="585858"/>
        </w:rPr>
        <w:t>of</w:t>
      </w:r>
      <w:r>
        <w:rPr>
          <w:color w:val="585858"/>
          <w:spacing w:val="-11"/>
        </w:rPr>
        <w:t> </w:t>
      </w:r>
      <w:r>
        <w:rPr>
          <w:color w:val="585858"/>
        </w:rPr>
        <w:t>the</w:t>
      </w:r>
      <w:r>
        <w:rPr>
          <w:color w:val="585858"/>
          <w:spacing w:val="-8"/>
        </w:rPr>
        <w:t> </w:t>
      </w:r>
      <w:r>
        <w:rPr>
          <w:color w:val="585858"/>
        </w:rPr>
        <w:t>Powerline</w:t>
      </w:r>
      <w:r>
        <w:rPr>
          <w:color w:val="585858"/>
          <w:spacing w:val="-12"/>
        </w:rPr>
        <w:t> </w:t>
      </w:r>
      <w:r>
        <w:rPr>
          <w:color w:val="585858"/>
        </w:rPr>
        <w:t>Bushfire</w:t>
      </w:r>
      <w:r>
        <w:rPr>
          <w:color w:val="585858"/>
          <w:spacing w:val="-12"/>
        </w:rPr>
        <w:t> </w:t>
      </w:r>
      <w:r>
        <w:rPr>
          <w:color w:val="585858"/>
        </w:rPr>
        <w:t>Safety</w:t>
      </w:r>
      <w:r>
        <w:rPr>
          <w:color w:val="585858"/>
          <w:spacing w:val="-16"/>
        </w:rPr>
        <w:t> </w:t>
      </w:r>
      <w:r>
        <w:rPr>
          <w:color w:val="585858"/>
          <w:spacing w:val="-2"/>
        </w:rPr>
        <w:t>Program</w:t>
      </w:r>
    </w:p>
    <w:p>
      <w:pPr>
        <w:pStyle w:val="BodyText"/>
        <w:spacing w:line="288" w:lineRule="auto" w:before="314"/>
        <w:ind w:left="232" w:right="337"/>
      </w:pPr>
      <w:r>
        <w:rPr/>
        <w:t>The PBSP operates within the Department of Environment, Land, Water and Planning (DELWP). Its performance and delivery is subject to oversight by a Program Control Board, a multi-agency governance body comprised of senior executives from DELWP, ESV and the Department of Premier and Cabinet that reports to the Secretary of DELWP. The Program Control Board is advised</w:t>
      </w:r>
      <w:r>
        <w:rPr>
          <w:spacing w:val="-3"/>
        </w:rPr>
        <w:t> </w:t>
      </w:r>
      <w:r>
        <w:rPr/>
        <w:t>by</w:t>
      </w:r>
      <w:r>
        <w:rPr>
          <w:spacing w:val="-5"/>
        </w:rPr>
        <w:t> </w:t>
      </w:r>
      <w:r>
        <w:rPr/>
        <w:t>the</w:t>
      </w:r>
      <w:r>
        <w:rPr>
          <w:spacing w:val="-3"/>
        </w:rPr>
        <w:t> </w:t>
      </w:r>
      <w:r>
        <w:rPr/>
        <w:t>Emergency</w:t>
      </w:r>
      <w:r>
        <w:rPr>
          <w:spacing w:val="-3"/>
        </w:rPr>
        <w:t> </w:t>
      </w:r>
      <w:r>
        <w:rPr/>
        <w:t>Management</w:t>
      </w:r>
      <w:r>
        <w:rPr>
          <w:spacing w:val="-1"/>
        </w:rPr>
        <w:t> </w:t>
      </w:r>
      <w:r>
        <w:rPr/>
        <w:t>Commissioner,</w:t>
      </w:r>
      <w:r>
        <w:rPr>
          <w:spacing w:val="-1"/>
        </w:rPr>
        <w:t> </w:t>
      </w:r>
      <w:r>
        <w:rPr/>
        <w:t>ESV</w:t>
      </w:r>
      <w:r>
        <w:rPr>
          <w:spacing w:val="-3"/>
        </w:rPr>
        <w:t> </w:t>
      </w:r>
      <w:r>
        <w:rPr/>
        <w:t>and</w:t>
      </w:r>
      <w:r>
        <w:rPr>
          <w:spacing w:val="-5"/>
        </w:rPr>
        <w:t> </w:t>
      </w:r>
      <w:r>
        <w:rPr/>
        <w:t>the</w:t>
      </w:r>
      <w:r>
        <w:rPr>
          <w:spacing w:val="-3"/>
        </w:rPr>
        <w:t> </w:t>
      </w:r>
      <w:r>
        <w:rPr/>
        <w:t>Australian</w:t>
      </w:r>
      <w:r>
        <w:rPr>
          <w:spacing w:val="-3"/>
        </w:rPr>
        <w:t> </w:t>
      </w:r>
      <w:r>
        <w:rPr/>
        <w:t>Energy</w:t>
      </w:r>
      <w:r>
        <w:rPr>
          <w:spacing w:val="-5"/>
        </w:rPr>
        <w:t> </w:t>
      </w:r>
      <w:r>
        <w:rPr/>
        <w:t>Regulator </w:t>
      </w:r>
      <w:r>
        <w:rPr>
          <w:spacing w:val="-2"/>
        </w:rPr>
        <w:t>(AER).</w:t>
      </w:r>
    </w:p>
    <w:p>
      <w:pPr>
        <w:pStyle w:val="BodyText"/>
        <w:spacing w:before="11"/>
        <w:rPr>
          <w:sz w:val="20"/>
        </w:rPr>
      </w:pPr>
    </w:p>
    <w:p>
      <w:pPr>
        <w:pStyle w:val="BodyText"/>
        <w:spacing w:line="288" w:lineRule="auto"/>
        <w:ind w:left="232" w:right="374"/>
      </w:pPr>
      <w:r>
        <w:rPr/>
        <w:t>When first established, the PBSP was overseen by the Powerline Bushfire Safety Oversight Committee (PBSOC), chaired by the Secretary of the Department of Premier and Cabinet. Progress</w:t>
      </w:r>
      <w:r>
        <w:rPr>
          <w:spacing w:val="-3"/>
        </w:rPr>
        <w:t> </w:t>
      </w:r>
      <w:r>
        <w:rPr/>
        <w:t>of the</w:t>
      </w:r>
      <w:r>
        <w:rPr>
          <w:spacing w:val="-4"/>
        </w:rPr>
        <w:t> </w:t>
      </w:r>
      <w:r>
        <w:rPr/>
        <w:t>Program</w:t>
      </w:r>
      <w:r>
        <w:rPr>
          <w:spacing w:val="-3"/>
        </w:rPr>
        <w:t> </w:t>
      </w:r>
      <w:r>
        <w:rPr/>
        <w:t>was</w:t>
      </w:r>
      <w:r>
        <w:rPr>
          <w:spacing w:val="-2"/>
        </w:rPr>
        <w:t> </w:t>
      </w:r>
      <w:r>
        <w:rPr/>
        <w:t>tracked</w:t>
      </w:r>
      <w:r>
        <w:rPr>
          <w:spacing w:val="-4"/>
        </w:rPr>
        <w:t> </w:t>
      </w:r>
      <w:r>
        <w:rPr/>
        <w:t>though an</w:t>
      </w:r>
      <w:r>
        <w:rPr>
          <w:spacing w:val="-7"/>
        </w:rPr>
        <w:t> </w:t>
      </w:r>
      <w:r>
        <w:rPr/>
        <w:t>annual</w:t>
      </w:r>
      <w:r>
        <w:rPr>
          <w:spacing w:val="-3"/>
        </w:rPr>
        <w:t> </w:t>
      </w:r>
      <w:r>
        <w:rPr/>
        <w:t>review</w:t>
      </w:r>
      <w:r>
        <w:rPr>
          <w:spacing w:val="-5"/>
        </w:rPr>
        <w:t> </w:t>
      </w:r>
      <w:r>
        <w:rPr/>
        <w:t>process</w:t>
      </w:r>
      <w:r>
        <w:rPr>
          <w:spacing w:val="-1"/>
        </w:rPr>
        <w:t> </w:t>
      </w:r>
      <w:r>
        <w:rPr/>
        <w:t>overseen</w:t>
      </w:r>
      <w:r>
        <w:rPr>
          <w:spacing w:val="-2"/>
        </w:rPr>
        <w:t> </w:t>
      </w:r>
      <w:r>
        <w:rPr/>
        <w:t>by</w:t>
      </w:r>
      <w:r>
        <w:rPr>
          <w:spacing w:val="-4"/>
        </w:rPr>
        <w:t> </w:t>
      </w:r>
      <w:r>
        <w:rPr/>
        <w:t>the</w:t>
      </w:r>
      <w:r>
        <w:rPr>
          <w:spacing w:val="-2"/>
        </w:rPr>
        <w:t> </w:t>
      </w:r>
      <w:r>
        <w:rPr/>
        <w:t>PBSOC until 2015.</w:t>
      </w:r>
    </w:p>
    <w:p>
      <w:pPr>
        <w:pStyle w:val="BodyText"/>
        <w:spacing w:before="10"/>
        <w:rPr>
          <w:sz w:val="20"/>
        </w:rPr>
      </w:pPr>
    </w:p>
    <w:p>
      <w:pPr>
        <w:pStyle w:val="BodyText"/>
        <w:spacing w:line="288" w:lineRule="auto"/>
        <w:ind w:left="232" w:right="374"/>
      </w:pPr>
      <w:r>
        <w:rPr/>
        <w:t>On</w:t>
      </w:r>
      <w:r>
        <w:rPr>
          <w:spacing w:val="-3"/>
        </w:rPr>
        <w:t> </w:t>
      </w:r>
      <w:r>
        <w:rPr/>
        <w:t>30</w:t>
      </w:r>
      <w:r>
        <w:rPr>
          <w:spacing w:val="-4"/>
        </w:rPr>
        <w:t> </w:t>
      </w:r>
      <w:r>
        <w:rPr/>
        <w:t>January</w:t>
      </w:r>
      <w:r>
        <w:rPr>
          <w:spacing w:val="-4"/>
        </w:rPr>
        <w:t> </w:t>
      </w:r>
      <w:r>
        <w:rPr/>
        <w:t>2015,</w:t>
      </w:r>
      <w:r>
        <w:rPr>
          <w:spacing w:val="-3"/>
        </w:rPr>
        <w:t> </w:t>
      </w:r>
      <w:r>
        <w:rPr/>
        <w:t>the</w:t>
      </w:r>
      <w:r>
        <w:rPr>
          <w:spacing w:val="-4"/>
        </w:rPr>
        <w:t> </w:t>
      </w:r>
      <w:r>
        <w:rPr/>
        <w:t>Secretary</w:t>
      </w:r>
      <w:r>
        <w:rPr>
          <w:spacing w:val="-3"/>
        </w:rPr>
        <w:t> </w:t>
      </w:r>
      <w:r>
        <w:rPr/>
        <w:t>of the</w:t>
      </w:r>
      <w:r>
        <w:rPr>
          <w:spacing w:val="-4"/>
        </w:rPr>
        <w:t> </w:t>
      </w:r>
      <w:r>
        <w:rPr/>
        <w:t>Department</w:t>
      </w:r>
      <w:r>
        <w:rPr>
          <w:spacing w:val="-3"/>
        </w:rPr>
        <w:t> </w:t>
      </w:r>
      <w:r>
        <w:rPr/>
        <w:t>of</w:t>
      </w:r>
      <w:r>
        <w:rPr>
          <w:spacing w:val="-1"/>
        </w:rPr>
        <w:t> </w:t>
      </w:r>
      <w:r>
        <w:rPr/>
        <w:t>Premier</w:t>
      </w:r>
      <w:r>
        <w:rPr>
          <w:spacing w:val="-2"/>
        </w:rPr>
        <w:t> </w:t>
      </w:r>
      <w:r>
        <w:rPr/>
        <w:t>and</w:t>
      </w:r>
      <w:r>
        <w:rPr>
          <w:spacing w:val="-4"/>
        </w:rPr>
        <w:t> </w:t>
      </w:r>
      <w:r>
        <w:rPr/>
        <w:t>Cabinet dissolved</w:t>
      </w:r>
      <w:r>
        <w:rPr>
          <w:spacing w:val="-3"/>
        </w:rPr>
        <w:t> </w:t>
      </w:r>
      <w:r>
        <w:rPr/>
        <w:t>the PBSOC, noting:</w:t>
      </w:r>
    </w:p>
    <w:p>
      <w:pPr>
        <w:spacing w:after="0" w:line="288" w:lineRule="auto"/>
        <w:sectPr>
          <w:pgSz w:w="11910" w:h="16850"/>
          <w:pgMar w:header="220" w:footer="678" w:top="420" w:bottom="860" w:left="900" w:right="840"/>
        </w:sectPr>
      </w:pPr>
    </w:p>
    <w:p>
      <w:pPr>
        <w:pStyle w:val="BodyText"/>
        <w:rPr>
          <w:sz w:val="20"/>
        </w:rPr>
      </w:pPr>
    </w:p>
    <w:p>
      <w:pPr>
        <w:pStyle w:val="BodyText"/>
        <w:spacing w:before="2"/>
        <w:rPr>
          <w:sz w:val="19"/>
        </w:rPr>
      </w:pPr>
    </w:p>
    <w:p>
      <w:pPr>
        <w:spacing w:line="288" w:lineRule="auto" w:before="94"/>
        <w:ind w:left="799" w:right="951" w:firstLine="0"/>
        <w:jc w:val="left"/>
        <w:rPr>
          <w:sz w:val="22"/>
        </w:rPr>
      </w:pPr>
      <w:r>
        <w:rPr>
          <w:i/>
          <w:sz w:val="22"/>
        </w:rPr>
        <w:t>“Since 2011, the program has developed and deployed infrastructure throughout regional and rural Victoria, and has a strong record of program delivery, with the Program</w:t>
      </w:r>
      <w:r>
        <w:rPr>
          <w:i/>
          <w:spacing w:val="-4"/>
          <w:sz w:val="22"/>
        </w:rPr>
        <w:t> </w:t>
      </w:r>
      <w:r>
        <w:rPr>
          <w:i/>
          <w:sz w:val="22"/>
        </w:rPr>
        <w:t>Control</w:t>
      </w:r>
      <w:r>
        <w:rPr>
          <w:i/>
          <w:spacing w:val="-4"/>
          <w:sz w:val="22"/>
        </w:rPr>
        <w:t> </w:t>
      </w:r>
      <w:r>
        <w:rPr>
          <w:i/>
          <w:sz w:val="22"/>
        </w:rPr>
        <w:t>Board</w:t>
      </w:r>
      <w:r>
        <w:rPr>
          <w:i/>
          <w:spacing w:val="-5"/>
          <w:sz w:val="22"/>
        </w:rPr>
        <w:t> </w:t>
      </w:r>
      <w:r>
        <w:rPr>
          <w:i/>
          <w:sz w:val="22"/>
        </w:rPr>
        <w:t>demonstrating</w:t>
      </w:r>
      <w:r>
        <w:rPr>
          <w:i/>
          <w:spacing w:val="-5"/>
          <w:sz w:val="22"/>
        </w:rPr>
        <w:t> </w:t>
      </w:r>
      <w:r>
        <w:rPr>
          <w:i/>
          <w:sz w:val="22"/>
        </w:rPr>
        <w:t>sound</w:t>
      </w:r>
      <w:r>
        <w:rPr>
          <w:i/>
          <w:spacing w:val="-3"/>
          <w:sz w:val="22"/>
        </w:rPr>
        <w:t> </w:t>
      </w:r>
      <w:r>
        <w:rPr>
          <w:i/>
          <w:sz w:val="22"/>
        </w:rPr>
        <w:t>decision</w:t>
      </w:r>
      <w:r>
        <w:rPr>
          <w:i/>
          <w:spacing w:val="-3"/>
          <w:sz w:val="22"/>
        </w:rPr>
        <w:t> </w:t>
      </w:r>
      <w:r>
        <w:rPr>
          <w:i/>
          <w:sz w:val="22"/>
        </w:rPr>
        <w:t>making</w:t>
      </w:r>
      <w:r>
        <w:rPr>
          <w:i/>
          <w:spacing w:val="-3"/>
          <w:sz w:val="22"/>
        </w:rPr>
        <w:t> </w:t>
      </w:r>
      <w:r>
        <w:rPr>
          <w:i/>
          <w:sz w:val="22"/>
        </w:rPr>
        <w:t>and</w:t>
      </w:r>
      <w:r>
        <w:rPr>
          <w:i/>
          <w:spacing w:val="-5"/>
          <w:sz w:val="22"/>
        </w:rPr>
        <w:t> </w:t>
      </w:r>
      <w:r>
        <w:rPr>
          <w:i/>
          <w:sz w:val="22"/>
        </w:rPr>
        <w:t>effective</w:t>
      </w:r>
      <w:r>
        <w:rPr>
          <w:i/>
          <w:spacing w:val="-3"/>
          <w:sz w:val="22"/>
        </w:rPr>
        <w:t> </w:t>
      </w:r>
      <w:r>
        <w:rPr>
          <w:i/>
          <w:sz w:val="22"/>
        </w:rPr>
        <w:t>program management.” </w:t>
      </w:r>
      <w:r>
        <w:rPr>
          <w:sz w:val="22"/>
        </w:rPr>
        <w:t>(PBSP, 2015, p. 66)</w:t>
      </w:r>
    </w:p>
    <w:p>
      <w:pPr>
        <w:pStyle w:val="BodyText"/>
        <w:spacing w:before="10"/>
        <w:rPr>
          <w:sz w:val="20"/>
        </w:rPr>
      </w:pPr>
    </w:p>
    <w:p>
      <w:pPr>
        <w:pStyle w:val="BodyText"/>
        <w:spacing w:line="288" w:lineRule="auto" w:before="1"/>
        <w:ind w:left="232" w:right="374"/>
      </w:pPr>
      <w:r>
        <w:rPr/>
        <w:t>Between 2010 and 2014, oversight of the PBSP’s progress was also provided through the Bushfires</w:t>
      </w:r>
      <w:r>
        <w:rPr>
          <w:spacing w:val="-3"/>
        </w:rPr>
        <w:t> </w:t>
      </w:r>
      <w:r>
        <w:rPr/>
        <w:t>Royal</w:t>
      </w:r>
      <w:r>
        <w:rPr>
          <w:spacing w:val="-4"/>
        </w:rPr>
        <w:t> </w:t>
      </w:r>
      <w:r>
        <w:rPr/>
        <w:t>Commission</w:t>
      </w:r>
      <w:r>
        <w:rPr>
          <w:spacing w:val="-3"/>
        </w:rPr>
        <w:t> </w:t>
      </w:r>
      <w:r>
        <w:rPr/>
        <w:t>Implementation Monitor,</w:t>
      </w:r>
      <w:r>
        <w:rPr>
          <w:spacing w:val="-3"/>
        </w:rPr>
        <w:t> </w:t>
      </w:r>
      <w:r>
        <w:rPr/>
        <w:t>chaired</w:t>
      </w:r>
      <w:r>
        <w:rPr>
          <w:spacing w:val="-5"/>
        </w:rPr>
        <w:t> </w:t>
      </w:r>
      <w:r>
        <w:rPr/>
        <w:t>by</w:t>
      </w:r>
      <w:r>
        <w:rPr>
          <w:spacing w:val="-5"/>
        </w:rPr>
        <w:t> </w:t>
      </w:r>
      <w:r>
        <w:rPr/>
        <w:t>Neil</w:t>
      </w:r>
      <w:r>
        <w:rPr>
          <w:spacing w:val="-3"/>
        </w:rPr>
        <w:t> </w:t>
      </w:r>
      <w:r>
        <w:rPr/>
        <w:t>Comrie,</w:t>
      </w:r>
      <w:r>
        <w:rPr>
          <w:spacing w:val="-4"/>
        </w:rPr>
        <w:t> </w:t>
      </w:r>
      <w:r>
        <w:rPr/>
        <w:t>which</w:t>
      </w:r>
      <w:r>
        <w:rPr>
          <w:spacing w:val="-3"/>
        </w:rPr>
        <w:t> </w:t>
      </w:r>
      <w:r>
        <w:rPr/>
        <w:t>reported</w:t>
      </w:r>
      <w:r>
        <w:rPr>
          <w:spacing w:val="-5"/>
        </w:rPr>
        <w:t> </w:t>
      </w:r>
      <w:r>
        <w:rPr/>
        <w:t>to the Victorian Government annually on the implementation of all 67 VBRC recommendations. In 2015, the Inspector-General for Emergency Management assumed responsibility for ongoing monitoring of the remaining recommendations of the VBRC (IGEM, 2016).</w:t>
      </w:r>
    </w:p>
    <w:p>
      <w:pPr>
        <w:pStyle w:val="BodyText"/>
        <w:spacing w:before="8"/>
        <w:rPr>
          <w:sz w:val="20"/>
        </w:rPr>
      </w:pPr>
    </w:p>
    <w:p>
      <w:pPr>
        <w:pStyle w:val="BodyText"/>
        <w:spacing w:line="288" w:lineRule="auto" w:before="1"/>
        <w:ind w:left="232" w:right="320"/>
      </w:pPr>
      <w:r>
        <w:rPr/>
        <w:t>In its inaugural report in August 2015, the Inspector-General for Emergency Management considered</w:t>
      </w:r>
      <w:r>
        <w:rPr>
          <w:spacing w:val="-2"/>
        </w:rPr>
        <w:t> </w:t>
      </w:r>
      <w:r>
        <w:rPr/>
        <w:t>Recommendation</w:t>
      </w:r>
      <w:r>
        <w:rPr>
          <w:spacing w:val="-2"/>
        </w:rPr>
        <w:t> </w:t>
      </w:r>
      <w:r>
        <w:rPr/>
        <w:t>27</w:t>
      </w:r>
      <w:r>
        <w:rPr>
          <w:spacing w:val="-4"/>
        </w:rPr>
        <w:t> </w:t>
      </w:r>
      <w:r>
        <w:rPr/>
        <w:t>to</w:t>
      </w:r>
      <w:r>
        <w:rPr>
          <w:spacing w:val="-2"/>
        </w:rPr>
        <w:t> </w:t>
      </w:r>
      <w:r>
        <w:rPr/>
        <w:t>be</w:t>
      </w:r>
      <w:r>
        <w:rPr>
          <w:spacing w:val="-4"/>
        </w:rPr>
        <w:t> </w:t>
      </w:r>
      <w:r>
        <w:rPr/>
        <w:t>predominantly</w:t>
      </w:r>
      <w:r>
        <w:rPr>
          <w:spacing w:val="-4"/>
        </w:rPr>
        <w:t> </w:t>
      </w:r>
      <w:r>
        <w:rPr/>
        <w:t>complete,</w:t>
      </w:r>
      <w:r>
        <w:rPr>
          <w:spacing w:val="-2"/>
        </w:rPr>
        <w:t> </w:t>
      </w:r>
      <w:r>
        <w:rPr/>
        <w:t>and</w:t>
      </w:r>
      <w:r>
        <w:rPr>
          <w:spacing w:val="-4"/>
        </w:rPr>
        <w:t> </w:t>
      </w:r>
      <w:r>
        <w:rPr/>
        <w:t>in</w:t>
      </w:r>
      <w:r>
        <w:rPr>
          <w:spacing w:val="-2"/>
        </w:rPr>
        <w:t> </w:t>
      </w:r>
      <w:r>
        <w:rPr/>
        <w:t>its</w:t>
      </w:r>
      <w:r>
        <w:rPr>
          <w:spacing w:val="-5"/>
        </w:rPr>
        <w:t> </w:t>
      </w:r>
      <w:r>
        <w:rPr/>
        <w:t>subsequent</w:t>
      </w:r>
      <w:r>
        <w:rPr>
          <w:spacing w:val="-3"/>
        </w:rPr>
        <w:t> </w:t>
      </w:r>
      <w:r>
        <w:rPr/>
        <w:t>2016</w:t>
      </w:r>
      <w:r>
        <w:rPr>
          <w:spacing w:val="-4"/>
        </w:rPr>
        <w:t> </w:t>
      </w:r>
      <w:r>
        <w:rPr/>
        <w:t>report, updated Recommendation 27 to complete, given recent amendments to the </w:t>
      </w:r>
      <w:r>
        <w:rPr>
          <w:i/>
        </w:rPr>
        <w:t>Electricity Safety (Bushfire Mitigation) Regulations 2013, </w:t>
      </w:r>
      <w:r>
        <w:rPr/>
        <w:t>requiring major electricity companies to increase safety standards on specific network components, and work being done under programs such as the PBSP (IGEM, 2016).</w:t>
      </w:r>
    </w:p>
    <w:p>
      <w:pPr>
        <w:pStyle w:val="BodyText"/>
        <w:spacing w:before="10"/>
        <w:rPr>
          <w:sz w:val="20"/>
        </w:rPr>
      </w:pPr>
    </w:p>
    <w:p>
      <w:pPr>
        <w:pStyle w:val="BodyText"/>
        <w:spacing w:line="288" w:lineRule="auto"/>
        <w:ind w:left="232" w:right="374"/>
      </w:pPr>
      <w:r>
        <w:rPr/>
        <w:t>The single remaining governance body, the Program Control Board, has now assumed governance</w:t>
      </w:r>
      <w:r>
        <w:rPr>
          <w:spacing w:val="-4"/>
        </w:rPr>
        <w:t> </w:t>
      </w:r>
      <w:r>
        <w:rPr/>
        <w:t>responsibility</w:t>
      </w:r>
      <w:r>
        <w:rPr>
          <w:spacing w:val="-4"/>
        </w:rPr>
        <w:t> </w:t>
      </w:r>
      <w:r>
        <w:rPr/>
        <w:t>for</w:t>
      </w:r>
      <w:r>
        <w:rPr>
          <w:spacing w:val="-2"/>
        </w:rPr>
        <w:t> </w:t>
      </w:r>
      <w:r>
        <w:rPr/>
        <w:t>all</w:t>
      </w:r>
      <w:r>
        <w:rPr>
          <w:spacing w:val="-5"/>
        </w:rPr>
        <w:t> </w:t>
      </w:r>
      <w:r>
        <w:rPr/>
        <w:t>functions</w:t>
      </w:r>
      <w:r>
        <w:rPr>
          <w:spacing w:val="-2"/>
        </w:rPr>
        <w:t> </w:t>
      </w:r>
      <w:r>
        <w:rPr/>
        <w:t>of</w:t>
      </w:r>
      <w:r>
        <w:rPr>
          <w:spacing w:val="-1"/>
        </w:rPr>
        <w:t> </w:t>
      </w:r>
      <w:r>
        <w:rPr/>
        <w:t>the</w:t>
      </w:r>
      <w:r>
        <w:rPr>
          <w:spacing w:val="-7"/>
        </w:rPr>
        <w:t> </w:t>
      </w:r>
      <w:r>
        <w:rPr/>
        <w:t>PBSP,</w:t>
      </w:r>
      <w:r>
        <w:rPr>
          <w:spacing w:val="-1"/>
        </w:rPr>
        <w:t> </w:t>
      </w:r>
      <w:r>
        <w:rPr/>
        <w:t>including</w:t>
      </w:r>
      <w:r>
        <w:rPr>
          <w:spacing w:val="-1"/>
        </w:rPr>
        <w:t> </w:t>
      </w:r>
      <w:r>
        <w:rPr/>
        <w:t>its</w:t>
      </w:r>
      <w:r>
        <w:rPr>
          <w:spacing w:val="-3"/>
        </w:rPr>
        <w:t> </w:t>
      </w:r>
      <w:r>
        <w:rPr/>
        <w:t>strategic</w:t>
      </w:r>
      <w:r>
        <w:rPr>
          <w:spacing w:val="-2"/>
        </w:rPr>
        <w:t> </w:t>
      </w:r>
      <w:r>
        <w:rPr/>
        <w:t>oversight</w:t>
      </w:r>
      <w:r>
        <w:rPr>
          <w:spacing w:val="-5"/>
        </w:rPr>
        <w:t> </w:t>
      </w:r>
      <w:r>
        <w:rPr/>
        <w:t>function.</w:t>
      </w:r>
    </w:p>
    <w:p>
      <w:pPr>
        <w:pStyle w:val="BodyText"/>
        <w:spacing w:before="4"/>
        <w:rPr>
          <w:sz w:val="31"/>
        </w:rPr>
      </w:pPr>
    </w:p>
    <w:p>
      <w:pPr>
        <w:pStyle w:val="Heading7"/>
        <w:ind w:left="232"/>
      </w:pPr>
      <w:r>
        <w:rPr/>
        <w:t>Figure</w:t>
      </w:r>
      <w:r>
        <w:rPr>
          <w:spacing w:val="-7"/>
        </w:rPr>
        <w:t> </w:t>
      </w:r>
      <w:r>
        <w:rPr/>
        <w:t>14:</w:t>
      </w:r>
      <w:r>
        <w:rPr>
          <w:spacing w:val="-6"/>
        </w:rPr>
        <w:t> </w:t>
      </w:r>
      <w:r>
        <w:rPr/>
        <w:t>Overview</w:t>
      </w:r>
      <w:r>
        <w:rPr>
          <w:spacing w:val="-2"/>
        </w:rPr>
        <w:t> </w:t>
      </w:r>
      <w:r>
        <w:rPr/>
        <w:t>of</w:t>
      </w:r>
      <w:r>
        <w:rPr>
          <w:spacing w:val="-5"/>
        </w:rPr>
        <w:t> </w:t>
      </w:r>
      <w:r>
        <w:rPr/>
        <w:t>the</w:t>
      </w:r>
      <w:r>
        <w:rPr>
          <w:spacing w:val="-6"/>
        </w:rPr>
        <w:t> </w:t>
      </w:r>
      <w:r>
        <w:rPr/>
        <w:t>current</w:t>
      </w:r>
      <w:r>
        <w:rPr>
          <w:spacing w:val="-6"/>
        </w:rPr>
        <w:t> </w:t>
      </w:r>
      <w:r>
        <w:rPr/>
        <w:t>PBSP</w:t>
      </w:r>
      <w:r>
        <w:rPr>
          <w:spacing w:val="-5"/>
        </w:rPr>
        <w:t> </w:t>
      </w:r>
      <w:r>
        <w:rPr/>
        <w:t>governance</w:t>
      </w:r>
      <w:r>
        <w:rPr>
          <w:spacing w:val="-5"/>
        </w:rPr>
        <w:t> </w:t>
      </w:r>
      <w:r>
        <w:rPr>
          <w:spacing w:val="-2"/>
        </w:rPr>
        <w:t>structure</w:t>
      </w:r>
    </w:p>
    <w:p>
      <w:pPr>
        <w:pStyle w:val="BodyText"/>
        <w:rPr>
          <w:b/>
          <w:sz w:val="20"/>
        </w:rPr>
      </w:pPr>
    </w:p>
    <w:p>
      <w:pPr>
        <w:pStyle w:val="BodyText"/>
        <w:spacing w:before="11"/>
        <w:rPr>
          <w:b/>
          <w:sz w:val="19"/>
        </w:rPr>
      </w:pPr>
      <w:r>
        <w:rPr/>
        <w:drawing>
          <wp:anchor distT="0" distB="0" distL="0" distR="0" allowOverlap="1" layoutInCell="1" locked="0" behindDoc="1" simplePos="0" relativeHeight="487640576">
            <wp:simplePos x="0" y="0"/>
            <wp:positionH relativeFrom="page">
              <wp:posOffset>720090</wp:posOffset>
            </wp:positionH>
            <wp:positionV relativeFrom="paragraph">
              <wp:posOffset>160991</wp:posOffset>
            </wp:positionV>
            <wp:extent cx="6117313" cy="3755135"/>
            <wp:effectExtent l="0" t="0" r="0" b="0"/>
            <wp:wrapTopAndBottom/>
            <wp:docPr id="166" name="Image 166" descr="C:\Users\rb2f\AppData\Local\Microsoft\Windows\Temporary Internet Files\Content.Word\Fig14.OverviewPBSPGovernance.jpg"/>
            <wp:cNvGraphicFramePr>
              <a:graphicFrameLocks/>
            </wp:cNvGraphicFramePr>
            <a:graphic>
              <a:graphicData uri="http://schemas.openxmlformats.org/drawingml/2006/picture">
                <pic:pic>
                  <pic:nvPicPr>
                    <pic:cNvPr id="166" name="Image 166" descr="C:\Users\rb2f\AppData\Local\Microsoft\Windows\Temporary Internet Files\Content.Word\Fig14.OverviewPBSPGovernance.jpg"/>
                    <pic:cNvPicPr/>
                  </pic:nvPicPr>
                  <pic:blipFill>
                    <a:blip r:embed="rId84" cstate="print"/>
                    <a:stretch>
                      <a:fillRect/>
                    </a:stretch>
                  </pic:blipFill>
                  <pic:spPr>
                    <a:xfrm>
                      <a:off x="0" y="0"/>
                      <a:ext cx="6117313" cy="3755135"/>
                    </a:xfrm>
                    <a:prstGeom prst="rect">
                      <a:avLst/>
                    </a:prstGeom>
                  </pic:spPr>
                </pic:pic>
              </a:graphicData>
            </a:graphic>
          </wp:anchor>
        </w:drawing>
      </w:r>
    </w:p>
    <w:p>
      <w:pPr>
        <w:pStyle w:val="BodyText"/>
        <w:spacing w:before="1"/>
        <w:rPr>
          <w:b/>
          <w:sz w:val="25"/>
        </w:rPr>
      </w:pPr>
    </w:p>
    <w:p>
      <w:pPr>
        <w:spacing w:line="285" w:lineRule="auto" w:before="0"/>
        <w:ind w:left="232" w:right="3058" w:firstLine="0"/>
        <w:jc w:val="left"/>
        <w:rPr>
          <w:sz w:val="18"/>
        </w:rPr>
      </w:pPr>
      <w:r>
        <w:rPr>
          <w:sz w:val="18"/>
        </w:rPr>
        <w:t>DEDJTR:</w:t>
      </w:r>
      <w:r>
        <w:rPr>
          <w:spacing w:val="-5"/>
          <w:sz w:val="18"/>
        </w:rPr>
        <w:t> </w:t>
      </w:r>
      <w:r>
        <w:rPr>
          <w:sz w:val="18"/>
        </w:rPr>
        <w:t>Department</w:t>
      </w:r>
      <w:r>
        <w:rPr>
          <w:spacing w:val="-5"/>
          <w:sz w:val="18"/>
        </w:rPr>
        <w:t> </w:t>
      </w:r>
      <w:r>
        <w:rPr>
          <w:sz w:val="18"/>
        </w:rPr>
        <w:t>of</w:t>
      </w:r>
      <w:r>
        <w:rPr>
          <w:spacing w:val="-5"/>
          <w:sz w:val="18"/>
        </w:rPr>
        <w:t> </w:t>
      </w:r>
      <w:r>
        <w:rPr>
          <w:sz w:val="18"/>
        </w:rPr>
        <w:t>Economic</w:t>
      </w:r>
      <w:r>
        <w:rPr>
          <w:spacing w:val="-4"/>
          <w:sz w:val="18"/>
        </w:rPr>
        <w:t> </w:t>
      </w:r>
      <w:r>
        <w:rPr>
          <w:sz w:val="18"/>
        </w:rPr>
        <w:t>Development,</w:t>
      </w:r>
      <w:r>
        <w:rPr>
          <w:spacing w:val="-7"/>
          <w:sz w:val="18"/>
        </w:rPr>
        <w:t> </w:t>
      </w:r>
      <w:r>
        <w:rPr>
          <w:sz w:val="18"/>
        </w:rPr>
        <w:t>Jobs,</w:t>
      </w:r>
      <w:r>
        <w:rPr>
          <w:spacing w:val="-5"/>
          <w:sz w:val="18"/>
        </w:rPr>
        <w:t> </w:t>
      </w:r>
      <w:r>
        <w:rPr>
          <w:sz w:val="18"/>
        </w:rPr>
        <w:t>Transport</w:t>
      </w:r>
      <w:r>
        <w:rPr>
          <w:spacing w:val="-7"/>
          <w:sz w:val="18"/>
        </w:rPr>
        <w:t> </w:t>
      </w:r>
      <w:r>
        <w:rPr>
          <w:sz w:val="18"/>
        </w:rPr>
        <w:t>and</w:t>
      </w:r>
      <w:r>
        <w:rPr>
          <w:spacing w:val="-5"/>
          <w:sz w:val="18"/>
        </w:rPr>
        <w:t> </w:t>
      </w:r>
      <w:r>
        <w:rPr>
          <w:sz w:val="18"/>
        </w:rPr>
        <w:t>Resources DPC: Department of Premier and Cabinet</w:t>
      </w:r>
    </w:p>
    <w:p>
      <w:pPr>
        <w:spacing w:before="4"/>
        <w:ind w:left="232" w:right="0" w:firstLine="0"/>
        <w:jc w:val="left"/>
        <w:rPr>
          <w:sz w:val="18"/>
        </w:rPr>
      </w:pPr>
      <w:r>
        <w:rPr>
          <w:sz w:val="18"/>
        </w:rPr>
        <w:t>DHHS:</w:t>
      </w:r>
      <w:r>
        <w:rPr>
          <w:spacing w:val="-4"/>
          <w:sz w:val="18"/>
        </w:rPr>
        <w:t> </w:t>
      </w:r>
      <w:r>
        <w:rPr>
          <w:sz w:val="18"/>
        </w:rPr>
        <w:t>Department</w:t>
      </w:r>
      <w:r>
        <w:rPr>
          <w:spacing w:val="-3"/>
          <w:sz w:val="18"/>
        </w:rPr>
        <w:t> </w:t>
      </w:r>
      <w:r>
        <w:rPr>
          <w:sz w:val="18"/>
        </w:rPr>
        <w:t>of</w:t>
      </w:r>
      <w:r>
        <w:rPr>
          <w:spacing w:val="-3"/>
          <w:sz w:val="18"/>
        </w:rPr>
        <w:t> </w:t>
      </w:r>
      <w:r>
        <w:rPr>
          <w:sz w:val="18"/>
        </w:rPr>
        <w:t>Health</w:t>
      </w:r>
      <w:r>
        <w:rPr>
          <w:spacing w:val="-5"/>
          <w:sz w:val="18"/>
        </w:rPr>
        <w:t> </w:t>
      </w:r>
      <w:r>
        <w:rPr>
          <w:sz w:val="18"/>
        </w:rPr>
        <w:t>and</w:t>
      </w:r>
      <w:r>
        <w:rPr>
          <w:spacing w:val="-3"/>
          <w:sz w:val="18"/>
        </w:rPr>
        <w:t> </w:t>
      </w:r>
      <w:r>
        <w:rPr>
          <w:sz w:val="18"/>
        </w:rPr>
        <w:t>Human </w:t>
      </w:r>
      <w:r>
        <w:rPr>
          <w:spacing w:val="-2"/>
          <w:sz w:val="18"/>
        </w:rPr>
        <w:t>Services</w:t>
      </w:r>
    </w:p>
    <w:p>
      <w:pPr>
        <w:spacing w:before="40"/>
        <w:ind w:left="232" w:right="0" w:firstLine="0"/>
        <w:jc w:val="left"/>
        <w:rPr>
          <w:sz w:val="18"/>
        </w:rPr>
      </w:pPr>
      <w:r>
        <w:rPr>
          <w:sz w:val="18"/>
        </w:rPr>
        <w:t>Source:</w:t>
      </w:r>
      <w:r>
        <w:rPr>
          <w:spacing w:val="-3"/>
          <w:sz w:val="18"/>
        </w:rPr>
        <w:t> </w:t>
      </w:r>
      <w:r>
        <w:rPr>
          <w:sz w:val="18"/>
        </w:rPr>
        <w:t>Adapted</w:t>
      </w:r>
      <w:r>
        <w:rPr>
          <w:spacing w:val="-4"/>
          <w:sz w:val="18"/>
        </w:rPr>
        <w:t> </w:t>
      </w:r>
      <w:r>
        <w:rPr>
          <w:sz w:val="18"/>
        </w:rPr>
        <w:t>from</w:t>
      </w:r>
      <w:r>
        <w:rPr>
          <w:spacing w:val="-3"/>
          <w:sz w:val="18"/>
        </w:rPr>
        <w:t> </w:t>
      </w:r>
      <w:r>
        <w:rPr>
          <w:sz w:val="18"/>
        </w:rPr>
        <w:t>PBSP</w:t>
      </w:r>
      <w:r>
        <w:rPr>
          <w:spacing w:val="-6"/>
          <w:sz w:val="18"/>
        </w:rPr>
        <w:t> </w:t>
      </w:r>
      <w:r>
        <w:rPr>
          <w:sz w:val="18"/>
        </w:rPr>
        <w:t>Gateway</w:t>
      </w:r>
      <w:r>
        <w:rPr>
          <w:spacing w:val="-5"/>
          <w:sz w:val="18"/>
        </w:rPr>
        <w:t> </w:t>
      </w:r>
      <w:r>
        <w:rPr>
          <w:sz w:val="18"/>
        </w:rPr>
        <w:t>Review,</w:t>
      </w:r>
      <w:r>
        <w:rPr>
          <w:spacing w:val="-1"/>
          <w:sz w:val="18"/>
        </w:rPr>
        <w:t> </w:t>
      </w:r>
      <w:r>
        <w:rPr>
          <w:sz w:val="18"/>
        </w:rPr>
        <w:t>Mid-cycle</w:t>
      </w:r>
      <w:r>
        <w:rPr>
          <w:spacing w:val="-3"/>
          <w:sz w:val="18"/>
        </w:rPr>
        <w:t> </w:t>
      </w:r>
      <w:r>
        <w:rPr>
          <w:sz w:val="18"/>
        </w:rPr>
        <w:t>program</w:t>
      </w:r>
      <w:r>
        <w:rPr>
          <w:spacing w:val="-5"/>
          <w:sz w:val="18"/>
        </w:rPr>
        <w:t> </w:t>
      </w:r>
      <w:r>
        <w:rPr>
          <w:sz w:val="18"/>
        </w:rPr>
        <w:t>review</w:t>
      </w:r>
      <w:r>
        <w:rPr>
          <w:spacing w:val="-6"/>
          <w:sz w:val="18"/>
        </w:rPr>
        <w:t> </w:t>
      </w:r>
      <w:r>
        <w:rPr>
          <w:sz w:val="18"/>
        </w:rPr>
        <w:t>(2017.</w:t>
      </w:r>
      <w:r>
        <w:rPr>
          <w:spacing w:val="-4"/>
          <w:sz w:val="18"/>
        </w:rPr>
        <w:t> </w:t>
      </w:r>
      <w:r>
        <w:rPr>
          <w:sz w:val="18"/>
        </w:rPr>
        <w:t>p.</w:t>
      </w:r>
      <w:r>
        <w:rPr>
          <w:spacing w:val="-3"/>
          <w:sz w:val="18"/>
        </w:rPr>
        <w:t> </w:t>
      </w:r>
      <w:r>
        <w:rPr>
          <w:spacing w:val="-5"/>
          <w:sz w:val="18"/>
        </w:rPr>
        <w:t>24)</w:t>
      </w:r>
    </w:p>
    <w:p>
      <w:pPr>
        <w:spacing w:after="0"/>
        <w:jc w:val="left"/>
        <w:rPr>
          <w:sz w:val="18"/>
        </w:rPr>
        <w:sectPr>
          <w:pgSz w:w="11910" w:h="16850"/>
          <w:pgMar w:header="220" w:footer="678" w:top="420" w:bottom="860" w:left="900" w:right="840"/>
        </w:sectPr>
      </w:pPr>
    </w:p>
    <w:p>
      <w:pPr>
        <w:pStyle w:val="BodyText"/>
        <w:rPr>
          <w:sz w:val="20"/>
        </w:rPr>
      </w:pPr>
    </w:p>
    <w:p>
      <w:pPr>
        <w:pStyle w:val="BodyText"/>
        <w:spacing w:before="2"/>
        <w:rPr>
          <w:sz w:val="19"/>
        </w:rPr>
      </w:pPr>
    </w:p>
    <w:p>
      <w:pPr>
        <w:pStyle w:val="BodyText"/>
        <w:spacing w:line="288" w:lineRule="auto" w:before="94"/>
        <w:ind w:left="232" w:right="374"/>
      </w:pPr>
      <w:r>
        <w:rPr/>
        <w:t>PBSP is subject to the Gateway Review process stipulated by the Department of Treasury and Finance</w:t>
      </w:r>
      <w:r>
        <w:rPr>
          <w:spacing w:val="-2"/>
        </w:rPr>
        <w:t> </w:t>
      </w:r>
      <w:r>
        <w:rPr/>
        <w:t>to</w:t>
      </w:r>
      <w:r>
        <w:rPr>
          <w:spacing w:val="-2"/>
        </w:rPr>
        <w:t> </w:t>
      </w:r>
      <w:r>
        <w:rPr/>
        <w:t>be</w:t>
      </w:r>
      <w:r>
        <w:rPr>
          <w:spacing w:val="-4"/>
        </w:rPr>
        <w:t> </w:t>
      </w:r>
      <w:r>
        <w:rPr/>
        <w:t>conducted</w:t>
      </w:r>
      <w:r>
        <w:rPr>
          <w:spacing w:val="-4"/>
        </w:rPr>
        <w:t> </w:t>
      </w:r>
      <w:r>
        <w:rPr/>
        <w:t>on</w:t>
      </w:r>
      <w:r>
        <w:rPr>
          <w:spacing w:val="-2"/>
        </w:rPr>
        <w:t> </w:t>
      </w:r>
      <w:r>
        <w:rPr/>
        <w:t>high</w:t>
      </w:r>
      <w:r>
        <w:rPr>
          <w:spacing w:val="-2"/>
        </w:rPr>
        <w:t> </w:t>
      </w:r>
      <w:r>
        <w:rPr/>
        <w:t>value, high</w:t>
      </w:r>
      <w:r>
        <w:rPr>
          <w:spacing w:val="-4"/>
        </w:rPr>
        <w:t> </w:t>
      </w:r>
      <w:r>
        <w:rPr/>
        <w:t>risk</w:t>
      </w:r>
      <w:r>
        <w:rPr>
          <w:spacing w:val="-1"/>
        </w:rPr>
        <w:t> </w:t>
      </w:r>
      <w:r>
        <w:rPr/>
        <w:t>programs</w:t>
      </w:r>
      <w:r>
        <w:rPr>
          <w:spacing w:val="-1"/>
        </w:rPr>
        <w:t> </w:t>
      </w:r>
      <w:r>
        <w:rPr/>
        <w:t>such</w:t>
      </w:r>
      <w:r>
        <w:rPr>
          <w:spacing w:val="-2"/>
        </w:rPr>
        <w:t> </w:t>
      </w:r>
      <w:r>
        <w:rPr/>
        <w:t>as</w:t>
      </w:r>
      <w:r>
        <w:rPr>
          <w:spacing w:val="-4"/>
        </w:rPr>
        <w:t> </w:t>
      </w:r>
      <w:r>
        <w:rPr/>
        <w:t>PBSP.</w:t>
      </w:r>
      <w:r>
        <w:rPr>
          <w:spacing w:val="-3"/>
        </w:rPr>
        <w:t> </w:t>
      </w:r>
      <w:r>
        <w:rPr/>
        <w:t>The</w:t>
      </w:r>
      <w:r>
        <w:rPr>
          <w:spacing w:val="-4"/>
        </w:rPr>
        <w:t> </w:t>
      </w:r>
      <w:r>
        <w:rPr/>
        <w:t>Gateway</w:t>
      </w:r>
      <w:r>
        <w:rPr>
          <w:spacing w:val="-4"/>
        </w:rPr>
        <w:t> </w:t>
      </w:r>
      <w:r>
        <w:rPr/>
        <w:t>review process is an independent external review of a program’s progress and likelihood of delivery success. Gateway Reviews have been conducted on PBSP initiatives in 2014 and 2016. A summary of the 2016 Gateway review findings included:</w:t>
      </w:r>
    </w:p>
    <w:p>
      <w:pPr>
        <w:pStyle w:val="BodyText"/>
        <w:spacing w:before="3"/>
      </w:pPr>
    </w:p>
    <w:p>
      <w:pPr>
        <w:pStyle w:val="ListParagraph"/>
        <w:numPr>
          <w:ilvl w:val="0"/>
          <w:numId w:val="67"/>
        </w:numPr>
        <w:tabs>
          <w:tab w:pos="734" w:val="left" w:leader="none"/>
        </w:tabs>
        <w:spacing w:line="240" w:lineRule="auto" w:before="0" w:after="0"/>
        <w:ind w:left="734" w:right="0" w:hanging="360"/>
        <w:jc w:val="left"/>
        <w:rPr>
          <w:sz w:val="22"/>
        </w:rPr>
      </w:pPr>
      <w:r>
        <w:rPr>
          <w:sz w:val="22"/>
        </w:rPr>
        <w:t>PBSP</w:t>
      </w:r>
      <w:r>
        <w:rPr>
          <w:spacing w:val="-7"/>
          <w:sz w:val="22"/>
        </w:rPr>
        <w:t> </w:t>
      </w:r>
      <w:r>
        <w:rPr>
          <w:sz w:val="22"/>
        </w:rPr>
        <w:t>project</w:t>
      </w:r>
      <w:r>
        <w:rPr>
          <w:spacing w:val="-2"/>
          <w:sz w:val="22"/>
        </w:rPr>
        <w:t> </w:t>
      </w:r>
      <w:r>
        <w:rPr>
          <w:sz w:val="22"/>
        </w:rPr>
        <w:t>components</w:t>
      </w:r>
      <w:r>
        <w:rPr>
          <w:spacing w:val="-4"/>
          <w:sz w:val="22"/>
        </w:rPr>
        <w:t> </w:t>
      </w:r>
      <w:r>
        <w:rPr>
          <w:sz w:val="22"/>
        </w:rPr>
        <w:t>are</w:t>
      </w:r>
      <w:r>
        <w:rPr>
          <w:spacing w:val="-4"/>
          <w:sz w:val="22"/>
        </w:rPr>
        <w:t> </w:t>
      </w:r>
      <w:r>
        <w:rPr>
          <w:sz w:val="22"/>
        </w:rPr>
        <w:t>on</w:t>
      </w:r>
      <w:r>
        <w:rPr>
          <w:spacing w:val="-7"/>
          <w:sz w:val="22"/>
        </w:rPr>
        <w:t> </w:t>
      </w:r>
      <w:r>
        <w:rPr>
          <w:sz w:val="22"/>
        </w:rPr>
        <w:t>track</w:t>
      </w:r>
      <w:r>
        <w:rPr>
          <w:spacing w:val="-3"/>
          <w:sz w:val="22"/>
        </w:rPr>
        <w:t> </w:t>
      </w:r>
      <w:r>
        <w:rPr>
          <w:sz w:val="22"/>
        </w:rPr>
        <w:t>to</w:t>
      </w:r>
      <w:r>
        <w:rPr>
          <w:spacing w:val="-6"/>
          <w:sz w:val="22"/>
        </w:rPr>
        <w:t> </w:t>
      </w:r>
      <w:r>
        <w:rPr>
          <w:sz w:val="22"/>
        </w:rPr>
        <w:t>be</w:t>
      </w:r>
      <w:r>
        <w:rPr>
          <w:spacing w:val="-5"/>
          <w:sz w:val="22"/>
        </w:rPr>
        <w:t> </w:t>
      </w:r>
      <w:r>
        <w:rPr>
          <w:sz w:val="22"/>
        </w:rPr>
        <w:t>delivered</w:t>
      </w:r>
      <w:r>
        <w:rPr>
          <w:spacing w:val="-4"/>
          <w:sz w:val="22"/>
        </w:rPr>
        <w:t> </w:t>
      </w:r>
      <w:r>
        <w:rPr>
          <w:sz w:val="22"/>
        </w:rPr>
        <w:t>on</w:t>
      </w:r>
      <w:r>
        <w:rPr>
          <w:spacing w:val="-4"/>
          <w:sz w:val="22"/>
        </w:rPr>
        <w:t> </w:t>
      </w:r>
      <w:r>
        <w:rPr>
          <w:spacing w:val="-2"/>
          <w:sz w:val="22"/>
        </w:rPr>
        <w:t>time.</w:t>
      </w:r>
    </w:p>
    <w:p>
      <w:pPr>
        <w:pStyle w:val="BodyText"/>
        <w:spacing w:before="7"/>
        <w:rPr>
          <w:sz w:val="26"/>
        </w:rPr>
      </w:pPr>
    </w:p>
    <w:p>
      <w:pPr>
        <w:pStyle w:val="ListParagraph"/>
        <w:numPr>
          <w:ilvl w:val="0"/>
          <w:numId w:val="67"/>
        </w:numPr>
        <w:tabs>
          <w:tab w:pos="734" w:val="left" w:leader="none"/>
        </w:tabs>
        <w:spacing w:line="288" w:lineRule="auto" w:before="0" w:after="0"/>
        <w:ind w:left="734" w:right="722" w:hanging="361"/>
        <w:jc w:val="left"/>
        <w:rPr>
          <w:sz w:val="22"/>
        </w:rPr>
      </w:pPr>
      <w:r>
        <w:rPr>
          <w:sz w:val="22"/>
        </w:rPr>
        <w:t>The PBSP has been granted permission to accelerate delivery of key powerline bushfire initiatives.</w:t>
      </w:r>
      <w:r>
        <w:rPr>
          <w:spacing w:val="-2"/>
          <w:sz w:val="22"/>
        </w:rPr>
        <w:t> </w:t>
      </w:r>
      <w:r>
        <w:rPr>
          <w:sz w:val="22"/>
        </w:rPr>
        <w:t>All</w:t>
      </w:r>
      <w:r>
        <w:rPr>
          <w:spacing w:val="-3"/>
          <w:sz w:val="22"/>
        </w:rPr>
        <w:t> </w:t>
      </w:r>
      <w:r>
        <w:rPr>
          <w:sz w:val="22"/>
        </w:rPr>
        <w:t>powerline</w:t>
      </w:r>
      <w:r>
        <w:rPr>
          <w:spacing w:val="-3"/>
          <w:sz w:val="22"/>
        </w:rPr>
        <w:t> </w:t>
      </w:r>
      <w:r>
        <w:rPr>
          <w:sz w:val="22"/>
        </w:rPr>
        <w:t>replacement</w:t>
      </w:r>
      <w:r>
        <w:rPr>
          <w:spacing w:val="-4"/>
          <w:sz w:val="22"/>
        </w:rPr>
        <w:t> </w:t>
      </w:r>
      <w:r>
        <w:rPr>
          <w:sz w:val="22"/>
        </w:rPr>
        <w:t>works</w:t>
      </w:r>
      <w:r>
        <w:rPr>
          <w:spacing w:val="-5"/>
          <w:sz w:val="22"/>
        </w:rPr>
        <w:t> </w:t>
      </w:r>
      <w:r>
        <w:rPr>
          <w:sz w:val="22"/>
        </w:rPr>
        <w:t>and</w:t>
      </w:r>
      <w:r>
        <w:rPr>
          <w:spacing w:val="-3"/>
          <w:sz w:val="22"/>
        </w:rPr>
        <w:t> </w:t>
      </w:r>
      <w:r>
        <w:rPr>
          <w:sz w:val="22"/>
        </w:rPr>
        <w:t>back-up</w:t>
      </w:r>
      <w:r>
        <w:rPr>
          <w:spacing w:val="-5"/>
          <w:sz w:val="22"/>
        </w:rPr>
        <w:t> </w:t>
      </w:r>
      <w:r>
        <w:rPr>
          <w:sz w:val="22"/>
        </w:rPr>
        <w:t>generator</w:t>
      </w:r>
      <w:r>
        <w:rPr>
          <w:spacing w:val="-2"/>
          <w:sz w:val="22"/>
        </w:rPr>
        <w:t> </w:t>
      </w:r>
      <w:r>
        <w:rPr>
          <w:sz w:val="22"/>
        </w:rPr>
        <w:t>installations</w:t>
      </w:r>
      <w:r>
        <w:rPr>
          <w:spacing w:val="-3"/>
          <w:sz w:val="22"/>
        </w:rPr>
        <w:t> </w:t>
      </w:r>
      <w:r>
        <w:rPr>
          <w:sz w:val="22"/>
        </w:rPr>
        <w:t>(LIAF)</w:t>
      </w:r>
      <w:r>
        <w:rPr>
          <w:spacing w:val="-4"/>
          <w:sz w:val="22"/>
        </w:rPr>
        <w:t> </w:t>
      </w:r>
      <w:r>
        <w:rPr>
          <w:sz w:val="22"/>
        </w:rPr>
        <w:t>will now be completed by the end of 2019.</w:t>
      </w:r>
    </w:p>
    <w:p>
      <w:pPr>
        <w:pStyle w:val="BodyText"/>
        <w:spacing w:before="1"/>
      </w:pPr>
    </w:p>
    <w:p>
      <w:pPr>
        <w:pStyle w:val="ListParagraph"/>
        <w:numPr>
          <w:ilvl w:val="0"/>
          <w:numId w:val="67"/>
        </w:numPr>
        <w:tabs>
          <w:tab w:pos="734" w:val="left" w:leader="none"/>
        </w:tabs>
        <w:spacing w:line="240" w:lineRule="auto" w:before="0" w:after="0"/>
        <w:ind w:left="734" w:right="0" w:hanging="360"/>
        <w:jc w:val="left"/>
        <w:rPr>
          <w:sz w:val="22"/>
        </w:rPr>
      </w:pPr>
      <w:r>
        <w:rPr>
          <w:sz w:val="22"/>
        </w:rPr>
        <w:t>The</w:t>
      </w:r>
      <w:r>
        <w:rPr>
          <w:spacing w:val="-7"/>
          <w:sz w:val="22"/>
        </w:rPr>
        <w:t> </w:t>
      </w:r>
      <w:r>
        <w:rPr>
          <w:sz w:val="22"/>
        </w:rPr>
        <w:t>R&amp;D</w:t>
      </w:r>
      <w:r>
        <w:rPr>
          <w:spacing w:val="-3"/>
          <w:sz w:val="22"/>
        </w:rPr>
        <w:t> </w:t>
      </w:r>
      <w:r>
        <w:rPr>
          <w:sz w:val="22"/>
        </w:rPr>
        <w:t>project</w:t>
      </w:r>
      <w:r>
        <w:rPr>
          <w:spacing w:val="-3"/>
          <w:sz w:val="22"/>
        </w:rPr>
        <w:t> </w:t>
      </w:r>
      <w:r>
        <w:rPr>
          <w:sz w:val="22"/>
        </w:rPr>
        <w:t>is</w:t>
      </w:r>
      <w:r>
        <w:rPr>
          <w:spacing w:val="-2"/>
          <w:sz w:val="22"/>
        </w:rPr>
        <w:t> </w:t>
      </w:r>
      <w:r>
        <w:rPr>
          <w:sz w:val="22"/>
        </w:rPr>
        <w:t>expected</w:t>
      </w:r>
      <w:r>
        <w:rPr>
          <w:spacing w:val="-5"/>
          <w:sz w:val="22"/>
        </w:rPr>
        <w:t> </w:t>
      </w:r>
      <w:r>
        <w:rPr>
          <w:sz w:val="22"/>
        </w:rPr>
        <w:t>to</w:t>
      </w:r>
      <w:r>
        <w:rPr>
          <w:spacing w:val="-3"/>
          <w:sz w:val="22"/>
        </w:rPr>
        <w:t> </w:t>
      </w:r>
      <w:r>
        <w:rPr>
          <w:sz w:val="22"/>
        </w:rPr>
        <w:t>be</w:t>
      </w:r>
      <w:r>
        <w:rPr>
          <w:spacing w:val="-4"/>
          <w:sz w:val="22"/>
        </w:rPr>
        <w:t> </w:t>
      </w:r>
      <w:r>
        <w:rPr>
          <w:sz w:val="22"/>
        </w:rPr>
        <w:t>completed</w:t>
      </w:r>
      <w:r>
        <w:rPr>
          <w:spacing w:val="-3"/>
          <w:sz w:val="22"/>
        </w:rPr>
        <w:t> </w:t>
      </w:r>
      <w:r>
        <w:rPr>
          <w:sz w:val="22"/>
        </w:rPr>
        <w:t>by</w:t>
      </w:r>
      <w:r>
        <w:rPr>
          <w:spacing w:val="-6"/>
          <w:sz w:val="22"/>
        </w:rPr>
        <w:t> </w:t>
      </w:r>
      <w:r>
        <w:rPr>
          <w:sz w:val="22"/>
        </w:rPr>
        <w:t>the</w:t>
      </w:r>
      <w:r>
        <w:rPr>
          <w:spacing w:val="-3"/>
          <w:sz w:val="22"/>
        </w:rPr>
        <w:t> </w:t>
      </w:r>
      <w:r>
        <w:rPr>
          <w:sz w:val="22"/>
        </w:rPr>
        <w:t>end</w:t>
      </w:r>
      <w:r>
        <w:rPr>
          <w:spacing w:val="-5"/>
          <w:sz w:val="22"/>
        </w:rPr>
        <w:t> </w:t>
      </w:r>
      <w:r>
        <w:rPr>
          <w:sz w:val="22"/>
        </w:rPr>
        <w:t>of </w:t>
      </w:r>
      <w:r>
        <w:rPr>
          <w:spacing w:val="-2"/>
          <w:sz w:val="22"/>
        </w:rPr>
        <w:t>2017.</w:t>
      </w:r>
    </w:p>
    <w:p>
      <w:pPr>
        <w:pStyle w:val="BodyText"/>
        <w:spacing w:before="7"/>
        <w:rPr>
          <w:sz w:val="26"/>
        </w:rPr>
      </w:pPr>
    </w:p>
    <w:p>
      <w:pPr>
        <w:pStyle w:val="ListParagraph"/>
        <w:numPr>
          <w:ilvl w:val="0"/>
          <w:numId w:val="67"/>
        </w:numPr>
        <w:tabs>
          <w:tab w:pos="734" w:val="left" w:leader="none"/>
        </w:tabs>
        <w:spacing w:line="288" w:lineRule="auto" w:before="0" w:after="0"/>
        <w:ind w:left="734" w:right="604" w:hanging="361"/>
        <w:jc w:val="left"/>
        <w:rPr>
          <w:sz w:val="22"/>
        </w:rPr>
      </w:pPr>
      <w:r>
        <w:rPr>
          <w:sz w:val="22"/>
        </w:rPr>
        <w:t>The</w:t>
      </w:r>
      <w:r>
        <w:rPr>
          <w:spacing w:val="-5"/>
          <w:sz w:val="22"/>
        </w:rPr>
        <w:t> </w:t>
      </w:r>
      <w:r>
        <w:rPr>
          <w:sz w:val="22"/>
        </w:rPr>
        <w:t>PBSP</w:t>
      </w:r>
      <w:r>
        <w:rPr>
          <w:spacing w:val="-3"/>
          <w:sz w:val="22"/>
        </w:rPr>
        <w:t> </w:t>
      </w:r>
      <w:r>
        <w:rPr>
          <w:sz w:val="22"/>
        </w:rPr>
        <w:t>program</w:t>
      </w:r>
      <w:r>
        <w:rPr>
          <w:spacing w:val="-4"/>
          <w:sz w:val="22"/>
        </w:rPr>
        <w:t> </w:t>
      </w:r>
      <w:r>
        <w:rPr>
          <w:sz w:val="22"/>
        </w:rPr>
        <w:t>team</w:t>
      </w:r>
      <w:r>
        <w:rPr>
          <w:spacing w:val="-2"/>
          <w:sz w:val="22"/>
        </w:rPr>
        <w:t> </w:t>
      </w:r>
      <w:r>
        <w:rPr>
          <w:sz w:val="22"/>
        </w:rPr>
        <w:t>has</w:t>
      </w:r>
      <w:r>
        <w:rPr>
          <w:spacing w:val="-5"/>
          <w:sz w:val="22"/>
        </w:rPr>
        <w:t> </w:t>
      </w:r>
      <w:r>
        <w:rPr>
          <w:sz w:val="22"/>
        </w:rPr>
        <w:t>applied</w:t>
      </w:r>
      <w:r>
        <w:rPr>
          <w:spacing w:val="-3"/>
          <w:sz w:val="22"/>
        </w:rPr>
        <w:t> </w:t>
      </w:r>
      <w:r>
        <w:rPr>
          <w:sz w:val="22"/>
        </w:rPr>
        <w:t>robust</w:t>
      </w:r>
      <w:r>
        <w:rPr>
          <w:spacing w:val="-4"/>
          <w:sz w:val="22"/>
        </w:rPr>
        <w:t> </w:t>
      </w:r>
      <w:r>
        <w:rPr>
          <w:sz w:val="22"/>
        </w:rPr>
        <w:t>and</w:t>
      </w:r>
      <w:r>
        <w:rPr>
          <w:spacing w:val="-3"/>
          <w:sz w:val="22"/>
        </w:rPr>
        <w:t> </w:t>
      </w:r>
      <w:r>
        <w:rPr>
          <w:sz w:val="22"/>
        </w:rPr>
        <w:t>effective</w:t>
      </w:r>
      <w:r>
        <w:rPr>
          <w:spacing w:val="-3"/>
          <w:sz w:val="22"/>
        </w:rPr>
        <w:t> </w:t>
      </w:r>
      <w:r>
        <w:rPr>
          <w:sz w:val="22"/>
        </w:rPr>
        <w:t>project</w:t>
      </w:r>
      <w:r>
        <w:rPr>
          <w:spacing w:val="-4"/>
          <w:sz w:val="22"/>
        </w:rPr>
        <w:t> </w:t>
      </w:r>
      <w:r>
        <w:rPr>
          <w:sz w:val="22"/>
        </w:rPr>
        <w:t>management</w:t>
      </w:r>
      <w:r>
        <w:rPr>
          <w:spacing w:val="-4"/>
          <w:sz w:val="22"/>
        </w:rPr>
        <w:t> </w:t>
      </w:r>
      <w:r>
        <w:rPr>
          <w:sz w:val="22"/>
        </w:rPr>
        <w:t>disciplines, including a conscientious approach to continuous improvement.</w:t>
      </w:r>
    </w:p>
    <w:p>
      <w:pPr>
        <w:pStyle w:val="BodyText"/>
        <w:spacing w:before="2"/>
      </w:pPr>
    </w:p>
    <w:p>
      <w:pPr>
        <w:pStyle w:val="ListParagraph"/>
        <w:numPr>
          <w:ilvl w:val="0"/>
          <w:numId w:val="67"/>
        </w:numPr>
        <w:tabs>
          <w:tab w:pos="734" w:val="left" w:leader="none"/>
        </w:tabs>
        <w:spacing w:line="288" w:lineRule="auto" w:before="0" w:after="0"/>
        <w:ind w:left="734" w:right="343" w:hanging="361"/>
        <w:jc w:val="left"/>
        <w:rPr>
          <w:sz w:val="22"/>
        </w:rPr>
      </w:pPr>
      <w:r>
        <w:rPr>
          <w:sz w:val="22"/>
        </w:rPr>
        <w:t>Program</w:t>
      </w:r>
      <w:r>
        <w:rPr>
          <w:spacing w:val="-8"/>
          <w:sz w:val="22"/>
        </w:rPr>
        <w:t> </w:t>
      </w:r>
      <w:r>
        <w:rPr>
          <w:sz w:val="22"/>
        </w:rPr>
        <w:t>governance</w:t>
      </w:r>
      <w:r>
        <w:rPr>
          <w:spacing w:val="-4"/>
          <w:sz w:val="22"/>
        </w:rPr>
        <w:t> </w:t>
      </w:r>
      <w:r>
        <w:rPr>
          <w:sz w:val="22"/>
        </w:rPr>
        <w:t>arrangements</w:t>
      </w:r>
      <w:r>
        <w:rPr>
          <w:spacing w:val="-6"/>
          <w:sz w:val="22"/>
        </w:rPr>
        <w:t> </w:t>
      </w:r>
      <w:r>
        <w:rPr>
          <w:sz w:val="22"/>
        </w:rPr>
        <w:t>and</w:t>
      </w:r>
      <w:r>
        <w:rPr>
          <w:spacing w:val="-6"/>
          <w:sz w:val="22"/>
        </w:rPr>
        <w:t> </w:t>
      </w:r>
      <w:r>
        <w:rPr>
          <w:sz w:val="22"/>
        </w:rPr>
        <w:t>effective</w:t>
      </w:r>
      <w:r>
        <w:rPr>
          <w:spacing w:val="-4"/>
          <w:sz w:val="22"/>
        </w:rPr>
        <w:t> </w:t>
      </w:r>
      <w:r>
        <w:rPr>
          <w:sz w:val="22"/>
        </w:rPr>
        <w:t>stakeholder</w:t>
      </w:r>
      <w:r>
        <w:rPr>
          <w:spacing w:val="-3"/>
          <w:sz w:val="22"/>
        </w:rPr>
        <w:t> </w:t>
      </w:r>
      <w:r>
        <w:rPr>
          <w:sz w:val="22"/>
        </w:rPr>
        <w:t>engagement</w:t>
      </w:r>
      <w:r>
        <w:rPr>
          <w:spacing w:val="-2"/>
          <w:sz w:val="22"/>
        </w:rPr>
        <w:t> </w:t>
      </w:r>
      <w:r>
        <w:rPr>
          <w:sz w:val="22"/>
        </w:rPr>
        <w:t>have</w:t>
      </w:r>
      <w:r>
        <w:rPr>
          <w:spacing w:val="-4"/>
          <w:sz w:val="22"/>
        </w:rPr>
        <w:t> </w:t>
      </w:r>
      <w:r>
        <w:rPr>
          <w:sz w:val="22"/>
        </w:rPr>
        <w:t>underpinned the successful delivery to date of the program (Department of Treasury and Finance, 2016).</w:t>
      </w:r>
    </w:p>
    <w:p>
      <w:pPr>
        <w:pStyle w:val="BodyText"/>
        <w:spacing w:before="8"/>
        <w:rPr>
          <w:sz w:val="20"/>
        </w:rPr>
      </w:pPr>
    </w:p>
    <w:p>
      <w:pPr>
        <w:pStyle w:val="BodyText"/>
        <w:spacing w:line="288" w:lineRule="auto"/>
        <w:ind w:left="232" w:right="374"/>
      </w:pPr>
      <w:r>
        <w:rPr/>
        <w:t>While many PBSP components are expected to be completed by the end of 2019, ongoing activities will include the administration of the 1 May 2016 amendments to the </w:t>
      </w:r>
      <w:r>
        <w:rPr>
          <w:i/>
        </w:rPr>
        <w:t>Electricity Safety (Bushfire</w:t>
      </w:r>
      <w:r>
        <w:rPr>
          <w:i/>
          <w:spacing w:val="-4"/>
        </w:rPr>
        <w:t> </w:t>
      </w:r>
      <w:r>
        <w:rPr>
          <w:i/>
        </w:rPr>
        <w:t>Mitigation) Regulations</w:t>
      </w:r>
      <w:r>
        <w:rPr>
          <w:i/>
          <w:spacing w:val="-2"/>
        </w:rPr>
        <w:t> </w:t>
      </w:r>
      <w:r>
        <w:rPr>
          <w:i/>
        </w:rPr>
        <w:t>2013</w:t>
      </w:r>
      <w:r>
        <w:rPr>
          <w:i/>
          <w:spacing w:val="-2"/>
        </w:rPr>
        <w:t> </w:t>
      </w:r>
      <w:r>
        <w:rPr/>
        <w:t>and</w:t>
      </w:r>
      <w:r>
        <w:rPr>
          <w:spacing w:val="-4"/>
        </w:rPr>
        <w:t> </w:t>
      </w:r>
      <w:r>
        <w:rPr/>
        <w:t>the</w:t>
      </w:r>
      <w:r>
        <w:rPr>
          <w:spacing w:val="-4"/>
        </w:rPr>
        <w:t> </w:t>
      </w:r>
      <w:r>
        <w:rPr/>
        <w:t>maintenance</w:t>
      </w:r>
      <w:r>
        <w:rPr>
          <w:spacing w:val="-2"/>
        </w:rPr>
        <w:t> </w:t>
      </w:r>
      <w:r>
        <w:rPr/>
        <w:t>of</w:t>
      </w:r>
      <w:r>
        <w:rPr>
          <w:spacing w:val="-3"/>
        </w:rPr>
        <w:t> </w:t>
      </w:r>
      <w:r>
        <w:rPr/>
        <w:t>risk</w:t>
      </w:r>
      <w:r>
        <w:rPr>
          <w:spacing w:val="-1"/>
        </w:rPr>
        <w:t> </w:t>
      </w:r>
      <w:r>
        <w:rPr/>
        <w:t>reduction</w:t>
      </w:r>
      <w:r>
        <w:rPr>
          <w:spacing w:val="-2"/>
        </w:rPr>
        <w:t> </w:t>
      </w:r>
      <w:r>
        <w:rPr/>
        <w:t>data</w:t>
      </w:r>
      <w:r>
        <w:rPr>
          <w:spacing w:val="-4"/>
        </w:rPr>
        <w:t> </w:t>
      </w:r>
      <w:r>
        <w:rPr/>
        <w:t>used</w:t>
      </w:r>
      <w:r>
        <w:rPr>
          <w:spacing w:val="-4"/>
        </w:rPr>
        <w:t> </w:t>
      </w:r>
      <w:r>
        <w:rPr/>
        <w:t>to</w:t>
      </w:r>
      <w:r>
        <w:rPr>
          <w:spacing w:val="-2"/>
        </w:rPr>
        <w:t> </w:t>
      </w:r>
      <w:r>
        <w:rPr/>
        <w:t>inform the risk reduction standards identified in these regulations.</w:t>
      </w:r>
    </w:p>
    <w:p>
      <w:pPr>
        <w:pStyle w:val="BodyText"/>
        <w:spacing w:before="10"/>
        <w:rPr>
          <w:sz w:val="20"/>
        </w:rPr>
      </w:pPr>
    </w:p>
    <w:p>
      <w:pPr>
        <w:pStyle w:val="BodyText"/>
        <w:spacing w:line="288" w:lineRule="auto"/>
        <w:ind w:left="232" w:right="374"/>
      </w:pPr>
      <w:r>
        <w:rPr/>
        <w:t>To assist it in its role in administering the 1 May 2016 amendments to the </w:t>
      </w:r>
      <w:r>
        <w:rPr>
          <w:i/>
        </w:rPr>
        <w:t>Electricity Safety (Bushfire Mitigation) Regulations 2013 </w:t>
      </w:r>
      <w:r>
        <w:rPr/>
        <w:t>and to advise the Minister for Energy, Environment and Climate Change on exemptions under the Civil Penalties Scheme</w:t>
      </w:r>
      <w:r>
        <w:rPr>
          <w:i/>
        </w:rPr>
        <w:t>, </w:t>
      </w:r>
      <w:r>
        <w:rPr/>
        <w:t>ESV has established a</w:t>
      </w:r>
      <w:r>
        <w:rPr>
          <w:spacing w:val="-2"/>
        </w:rPr>
        <w:t> </w:t>
      </w:r>
      <w:r>
        <w:rPr/>
        <w:t>formal advisory body – the Powerline Bushfire Safety Committee under Section 8 of the </w:t>
      </w:r>
      <w:r>
        <w:rPr>
          <w:i/>
        </w:rPr>
        <w:t>Energy Safe Victoria Act 2005. </w:t>
      </w:r>
      <w:r>
        <w:rPr/>
        <w:t>The Committee consists of independent members with experience in risk management,</w:t>
      </w:r>
      <w:r>
        <w:rPr>
          <w:spacing w:val="-4"/>
        </w:rPr>
        <w:t> </w:t>
      </w:r>
      <w:r>
        <w:rPr/>
        <w:t>strategic</w:t>
      </w:r>
      <w:r>
        <w:rPr>
          <w:spacing w:val="-3"/>
        </w:rPr>
        <w:t> </w:t>
      </w:r>
      <w:r>
        <w:rPr/>
        <w:t>and</w:t>
      </w:r>
      <w:r>
        <w:rPr>
          <w:spacing w:val="-4"/>
        </w:rPr>
        <w:t> </w:t>
      </w:r>
      <w:r>
        <w:rPr/>
        <w:t>project</w:t>
      </w:r>
      <w:r>
        <w:rPr>
          <w:spacing w:val="-4"/>
        </w:rPr>
        <w:t> </w:t>
      </w:r>
      <w:r>
        <w:rPr/>
        <w:t>planning,</w:t>
      </w:r>
      <w:r>
        <w:rPr>
          <w:spacing w:val="-4"/>
        </w:rPr>
        <w:t> </w:t>
      </w:r>
      <w:r>
        <w:rPr/>
        <w:t>regulatory</w:t>
      </w:r>
      <w:r>
        <w:rPr>
          <w:spacing w:val="-5"/>
        </w:rPr>
        <w:t> </w:t>
      </w:r>
      <w:r>
        <w:rPr/>
        <w:t>practice,</w:t>
      </w:r>
      <w:r>
        <w:rPr>
          <w:spacing w:val="-3"/>
        </w:rPr>
        <w:t> </w:t>
      </w:r>
      <w:r>
        <w:rPr/>
        <w:t>powerline</w:t>
      </w:r>
      <w:r>
        <w:rPr>
          <w:spacing w:val="-4"/>
        </w:rPr>
        <w:t> </w:t>
      </w:r>
      <w:r>
        <w:rPr/>
        <w:t>ignition</w:t>
      </w:r>
      <w:r>
        <w:rPr>
          <w:spacing w:val="-5"/>
        </w:rPr>
        <w:t> </w:t>
      </w:r>
      <w:r>
        <w:rPr/>
        <w:t>and</w:t>
      </w:r>
      <w:r>
        <w:rPr>
          <w:spacing w:val="-4"/>
        </w:rPr>
        <w:t> </w:t>
      </w:r>
      <w:r>
        <w:rPr/>
        <w:t>electricity networks. Representatives from ESV and DELWP and industry also participate.</w:t>
      </w:r>
    </w:p>
    <w:p>
      <w:pPr>
        <w:pStyle w:val="BodyText"/>
        <w:spacing w:before="5"/>
        <w:rPr>
          <w:sz w:val="31"/>
        </w:rPr>
      </w:pPr>
    </w:p>
    <w:p>
      <w:pPr>
        <w:pStyle w:val="Heading4"/>
        <w:spacing w:before="0"/>
      </w:pPr>
      <w:r>
        <w:rPr>
          <w:color w:val="585858"/>
        </w:rPr>
        <w:t>PBSP</w:t>
      </w:r>
      <w:r>
        <w:rPr>
          <w:color w:val="585858"/>
          <w:spacing w:val="-13"/>
        </w:rPr>
        <w:t> </w:t>
      </w:r>
      <w:r>
        <w:rPr>
          <w:color w:val="585858"/>
        </w:rPr>
        <w:t>status</w:t>
      </w:r>
      <w:r>
        <w:rPr>
          <w:color w:val="585858"/>
          <w:spacing w:val="-8"/>
        </w:rPr>
        <w:t> </w:t>
      </w:r>
      <w:r>
        <w:rPr>
          <w:color w:val="585858"/>
        </w:rPr>
        <w:t>and</w:t>
      </w:r>
      <w:r>
        <w:rPr>
          <w:color w:val="585858"/>
          <w:spacing w:val="-9"/>
        </w:rPr>
        <w:t> </w:t>
      </w:r>
      <w:r>
        <w:rPr>
          <w:color w:val="585858"/>
          <w:spacing w:val="-2"/>
        </w:rPr>
        <w:t>achievements</w:t>
      </w:r>
    </w:p>
    <w:p>
      <w:pPr>
        <w:pStyle w:val="BodyText"/>
        <w:spacing w:before="8"/>
        <w:rPr>
          <w:b/>
          <w:sz w:val="37"/>
        </w:rPr>
      </w:pPr>
    </w:p>
    <w:p>
      <w:pPr>
        <w:pStyle w:val="Heading7"/>
        <w:ind w:left="232"/>
      </w:pPr>
      <w:r>
        <w:rPr/>
        <w:t>Table</w:t>
      </w:r>
      <w:r>
        <w:rPr>
          <w:spacing w:val="-5"/>
        </w:rPr>
        <w:t> </w:t>
      </w:r>
      <w:r>
        <w:rPr/>
        <w:t>9:</w:t>
      </w:r>
      <w:r>
        <w:rPr>
          <w:spacing w:val="-3"/>
        </w:rPr>
        <w:t> </w:t>
      </w:r>
      <w:r>
        <w:rPr/>
        <w:t>The</w:t>
      </w:r>
      <w:r>
        <w:rPr>
          <w:spacing w:val="-3"/>
        </w:rPr>
        <w:t> </w:t>
      </w:r>
      <w:r>
        <w:rPr/>
        <w:t>current</w:t>
      </w:r>
      <w:r>
        <w:rPr>
          <w:spacing w:val="-3"/>
        </w:rPr>
        <w:t> </w:t>
      </w:r>
      <w:r>
        <w:rPr/>
        <w:t>status</w:t>
      </w:r>
      <w:r>
        <w:rPr>
          <w:spacing w:val="-4"/>
        </w:rPr>
        <w:t> </w:t>
      </w:r>
      <w:r>
        <w:rPr/>
        <w:t>of</w:t>
      </w:r>
      <w:r>
        <w:rPr>
          <w:spacing w:val="-3"/>
        </w:rPr>
        <w:t> </w:t>
      </w:r>
      <w:r>
        <w:rPr/>
        <w:t>PBSP</w:t>
      </w:r>
      <w:r>
        <w:rPr>
          <w:spacing w:val="-4"/>
        </w:rPr>
        <w:t> </w:t>
      </w:r>
      <w:r>
        <w:rPr/>
        <w:t>programs</w:t>
      </w:r>
      <w:r>
        <w:rPr>
          <w:spacing w:val="-2"/>
        </w:rPr>
        <w:t> </w:t>
      </w:r>
      <w:r>
        <w:rPr/>
        <w:t>as</w:t>
      </w:r>
      <w:r>
        <w:rPr>
          <w:spacing w:val="-4"/>
        </w:rPr>
        <w:t> </w:t>
      </w:r>
      <w:r>
        <w:rPr/>
        <w:t>reported</w:t>
      </w:r>
      <w:r>
        <w:rPr>
          <w:spacing w:val="-7"/>
        </w:rPr>
        <w:t> </w:t>
      </w:r>
      <w:r>
        <w:rPr/>
        <w:t>by</w:t>
      </w:r>
      <w:r>
        <w:rPr>
          <w:spacing w:val="-8"/>
        </w:rPr>
        <w:t> </w:t>
      </w:r>
      <w:r>
        <w:rPr>
          <w:spacing w:val="-2"/>
        </w:rPr>
        <w:t>DELWP:</w:t>
      </w:r>
    </w:p>
    <w:p>
      <w:pPr>
        <w:pStyle w:val="BodyText"/>
        <w:spacing w:before="4"/>
        <w:rPr>
          <w:b/>
          <w:sz w:val="20"/>
        </w:rPr>
      </w:pPr>
      <w:r>
        <w:rPr/>
        <w:drawing>
          <wp:anchor distT="0" distB="0" distL="0" distR="0" allowOverlap="1" layoutInCell="1" locked="0" behindDoc="1" simplePos="0" relativeHeight="487641088">
            <wp:simplePos x="0" y="0"/>
            <wp:positionH relativeFrom="page">
              <wp:posOffset>853145</wp:posOffset>
            </wp:positionH>
            <wp:positionV relativeFrom="paragraph">
              <wp:posOffset>164176</wp:posOffset>
            </wp:positionV>
            <wp:extent cx="5505363" cy="1844039"/>
            <wp:effectExtent l="0" t="0" r="0" b="0"/>
            <wp:wrapTopAndBottom/>
            <wp:docPr id="167" name="Image 167" descr="C:\Users\rb2f\AppData\Local\Microsoft\Windows\Temporary Internet Files\Content.Word\Table9CurrentPBSP.JPG"/>
            <wp:cNvGraphicFramePr>
              <a:graphicFrameLocks/>
            </wp:cNvGraphicFramePr>
            <a:graphic>
              <a:graphicData uri="http://schemas.openxmlformats.org/drawingml/2006/picture">
                <pic:pic>
                  <pic:nvPicPr>
                    <pic:cNvPr id="167" name="Image 167" descr="C:\Users\rb2f\AppData\Local\Microsoft\Windows\Temporary Internet Files\Content.Word\Table9CurrentPBSP.JPG"/>
                    <pic:cNvPicPr/>
                  </pic:nvPicPr>
                  <pic:blipFill>
                    <a:blip r:embed="rId85" cstate="print"/>
                    <a:stretch>
                      <a:fillRect/>
                    </a:stretch>
                  </pic:blipFill>
                  <pic:spPr>
                    <a:xfrm>
                      <a:off x="0" y="0"/>
                      <a:ext cx="5505363" cy="1844039"/>
                    </a:xfrm>
                    <a:prstGeom prst="rect">
                      <a:avLst/>
                    </a:prstGeom>
                  </pic:spPr>
                </pic:pic>
              </a:graphicData>
            </a:graphic>
          </wp:anchor>
        </w:drawing>
      </w:r>
    </w:p>
    <w:p>
      <w:pPr>
        <w:pStyle w:val="BodyText"/>
        <w:spacing w:before="5"/>
        <w:rPr>
          <w:b/>
          <w:sz w:val="21"/>
        </w:rPr>
      </w:pPr>
    </w:p>
    <w:p>
      <w:pPr>
        <w:spacing w:before="0"/>
        <w:ind w:left="232" w:right="0" w:firstLine="0"/>
        <w:jc w:val="left"/>
        <w:rPr>
          <w:sz w:val="18"/>
        </w:rPr>
      </w:pPr>
      <w:r>
        <w:rPr>
          <w:sz w:val="18"/>
        </w:rPr>
        <w:t>Source:</w:t>
      </w:r>
      <w:r>
        <w:rPr>
          <w:spacing w:val="-4"/>
          <w:sz w:val="18"/>
        </w:rPr>
        <w:t> </w:t>
      </w:r>
      <w:r>
        <w:rPr>
          <w:sz w:val="18"/>
        </w:rPr>
        <w:t>Adapted</w:t>
      </w:r>
      <w:r>
        <w:rPr>
          <w:spacing w:val="-5"/>
          <w:sz w:val="18"/>
        </w:rPr>
        <w:t> </w:t>
      </w:r>
      <w:r>
        <w:rPr>
          <w:sz w:val="18"/>
        </w:rPr>
        <w:t>from</w:t>
      </w:r>
      <w:r>
        <w:rPr>
          <w:spacing w:val="-3"/>
          <w:sz w:val="18"/>
        </w:rPr>
        <w:t> </w:t>
      </w:r>
      <w:r>
        <w:rPr>
          <w:sz w:val="18"/>
        </w:rPr>
        <w:t>PBSP</w:t>
      </w:r>
      <w:r>
        <w:rPr>
          <w:spacing w:val="-3"/>
          <w:sz w:val="18"/>
        </w:rPr>
        <w:t> </w:t>
      </w:r>
      <w:r>
        <w:rPr>
          <w:sz w:val="18"/>
        </w:rPr>
        <w:t>Presentation</w:t>
      </w:r>
      <w:r>
        <w:rPr>
          <w:spacing w:val="-3"/>
          <w:sz w:val="18"/>
        </w:rPr>
        <w:t> </w:t>
      </w:r>
      <w:r>
        <w:rPr>
          <w:sz w:val="18"/>
        </w:rPr>
        <w:t>to</w:t>
      </w:r>
      <w:r>
        <w:rPr>
          <w:spacing w:val="-4"/>
          <w:sz w:val="18"/>
        </w:rPr>
        <w:t> </w:t>
      </w:r>
      <w:r>
        <w:rPr>
          <w:sz w:val="18"/>
        </w:rPr>
        <w:t>the</w:t>
      </w:r>
      <w:r>
        <w:rPr>
          <w:spacing w:val="-5"/>
          <w:sz w:val="18"/>
        </w:rPr>
        <w:t> </w:t>
      </w:r>
      <w:r>
        <w:rPr>
          <w:sz w:val="18"/>
        </w:rPr>
        <w:t>Program</w:t>
      </w:r>
      <w:r>
        <w:rPr>
          <w:spacing w:val="-2"/>
          <w:sz w:val="18"/>
        </w:rPr>
        <w:t> </w:t>
      </w:r>
      <w:r>
        <w:rPr>
          <w:sz w:val="18"/>
        </w:rPr>
        <w:t>Control</w:t>
      </w:r>
      <w:r>
        <w:rPr>
          <w:spacing w:val="-3"/>
          <w:sz w:val="18"/>
        </w:rPr>
        <w:t> </w:t>
      </w:r>
      <w:r>
        <w:rPr>
          <w:sz w:val="18"/>
        </w:rPr>
        <w:t>Board</w:t>
      </w:r>
      <w:r>
        <w:rPr>
          <w:spacing w:val="-4"/>
          <w:sz w:val="18"/>
        </w:rPr>
        <w:t> </w:t>
      </w:r>
      <w:r>
        <w:rPr>
          <w:sz w:val="18"/>
        </w:rPr>
        <w:t>meeting</w:t>
      </w:r>
      <w:r>
        <w:rPr>
          <w:spacing w:val="-5"/>
          <w:sz w:val="18"/>
        </w:rPr>
        <w:t> </w:t>
      </w:r>
      <w:r>
        <w:rPr>
          <w:sz w:val="18"/>
        </w:rPr>
        <w:t>on</w:t>
      </w:r>
      <w:r>
        <w:rPr>
          <w:spacing w:val="-5"/>
          <w:sz w:val="18"/>
        </w:rPr>
        <w:t> </w:t>
      </w:r>
      <w:r>
        <w:rPr>
          <w:sz w:val="18"/>
        </w:rPr>
        <w:t>27</w:t>
      </w:r>
      <w:r>
        <w:rPr>
          <w:spacing w:val="-3"/>
          <w:sz w:val="18"/>
        </w:rPr>
        <w:t> </w:t>
      </w:r>
      <w:r>
        <w:rPr>
          <w:sz w:val="18"/>
        </w:rPr>
        <w:t>September</w:t>
      </w:r>
      <w:r>
        <w:rPr>
          <w:spacing w:val="-2"/>
          <w:sz w:val="18"/>
        </w:rPr>
        <w:t> 2017.</w:t>
      </w:r>
    </w:p>
    <w:p>
      <w:pPr>
        <w:spacing w:after="0"/>
        <w:jc w:val="left"/>
        <w:rPr>
          <w:sz w:val="18"/>
        </w:rPr>
        <w:sectPr>
          <w:pgSz w:w="11910" w:h="16850"/>
          <w:pgMar w:header="220" w:footer="678" w:top="420" w:bottom="860" w:left="900" w:right="840"/>
        </w:sectPr>
      </w:pPr>
    </w:p>
    <w:p>
      <w:pPr>
        <w:pStyle w:val="BodyText"/>
        <w:rPr>
          <w:sz w:val="20"/>
        </w:rPr>
      </w:pPr>
    </w:p>
    <w:p>
      <w:pPr>
        <w:pStyle w:val="BodyText"/>
        <w:spacing w:before="2"/>
        <w:rPr>
          <w:sz w:val="19"/>
        </w:rPr>
      </w:pPr>
    </w:p>
    <w:p>
      <w:pPr>
        <w:pStyle w:val="Heading7"/>
        <w:spacing w:before="94"/>
        <w:ind w:left="232"/>
      </w:pPr>
      <w:r>
        <w:rPr/>
        <w:t>Table</w:t>
      </w:r>
      <w:r>
        <w:rPr>
          <w:spacing w:val="-4"/>
        </w:rPr>
        <w:t> </w:t>
      </w:r>
      <w:r>
        <w:rPr/>
        <w:t>10:</w:t>
      </w:r>
      <w:r>
        <w:rPr>
          <w:spacing w:val="-3"/>
        </w:rPr>
        <w:t> </w:t>
      </w:r>
      <w:r>
        <w:rPr/>
        <w:t>PBSP</w:t>
      </w:r>
      <w:r>
        <w:rPr>
          <w:spacing w:val="-4"/>
        </w:rPr>
        <w:t> </w:t>
      </w:r>
      <w:r>
        <w:rPr/>
        <w:t>achievements</w:t>
      </w:r>
      <w:r>
        <w:rPr>
          <w:spacing w:val="-6"/>
        </w:rPr>
        <w:t> </w:t>
      </w:r>
      <w:r>
        <w:rPr/>
        <w:t>to</w:t>
      </w:r>
      <w:r>
        <w:rPr>
          <w:spacing w:val="-6"/>
        </w:rPr>
        <w:t> </w:t>
      </w:r>
      <w:r>
        <w:rPr>
          <w:spacing w:val="-4"/>
        </w:rPr>
        <w:t>date</w:t>
      </w:r>
    </w:p>
    <w:p>
      <w:pPr>
        <w:pStyle w:val="BodyText"/>
        <w:spacing w:before="8"/>
        <w:rPr>
          <w:b/>
          <w:sz w:val="14"/>
        </w:rPr>
      </w:pPr>
    </w:p>
    <w:tbl>
      <w:tblPr>
        <w:tblW w:w="0" w:type="auto"/>
        <w:jc w:val="left"/>
        <w:tblInd w:w="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95"/>
        <w:gridCol w:w="6186"/>
      </w:tblGrid>
      <w:tr>
        <w:trPr>
          <w:trHeight w:val="545" w:hRule="atLeast"/>
        </w:trPr>
        <w:tc>
          <w:tcPr>
            <w:tcW w:w="2995" w:type="dxa"/>
            <w:tcBorders>
              <w:top w:val="single" w:sz="4" w:space="0" w:color="A6A6A6"/>
              <w:left w:val="single" w:sz="4" w:space="0" w:color="A6A6A6"/>
            </w:tcBorders>
            <w:shd w:val="clear" w:color="auto" w:fill="D9D9D9"/>
          </w:tcPr>
          <w:p>
            <w:pPr>
              <w:pStyle w:val="TableParagraph"/>
              <w:spacing w:before="120"/>
              <w:ind w:left="117"/>
              <w:rPr>
                <w:b/>
                <w:sz w:val="22"/>
              </w:rPr>
            </w:pPr>
            <w:r>
              <w:rPr>
                <w:b/>
                <w:sz w:val="22"/>
              </w:rPr>
              <w:t>PBSP</w:t>
            </w:r>
            <w:r>
              <w:rPr>
                <w:b/>
                <w:spacing w:val="-3"/>
                <w:sz w:val="22"/>
              </w:rPr>
              <w:t> </w:t>
            </w:r>
            <w:r>
              <w:rPr>
                <w:b/>
                <w:spacing w:val="-2"/>
                <w:sz w:val="22"/>
              </w:rPr>
              <w:t>initiatives</w:t>
            </w:r>
          </w:p>
        </w:tc>
        <w:tc>
          <w:tcPr>
            <w:tcW w:w="6186" w:type="dxa"/>
            <w:tcBorders>
              <w:top w:val="single" w:sz="4" w:space="0" w:color="A6A6A6"/>
              <w:right w:val="single" w:sz="4" w:space="0" w:color="A6A6A6"/>
            </w:tcBorders>
            <w:shd w:val="clear" w:color="auto" w:fill="D9D9D9"/>
          </w:tcPr>
          <w:p>
            <w:pPr>
              <w:pStyle w:val="TableParagraph"/>
              <w:spacing w:before="120"/>
              <w:ind w:left="205"/>
              <w:rPr>
                <w:b/>
                <w:sz w:val="22"/>
              </w:rPr>
            </w:pPr>
            <w:r>
              <w:rPr>
                <w:b/>
                <w:sz w:val="22"/>
              </w:rPr>
              <w:t>Achievements</w:t>
            </w:r>
            <w:r>
              <w:rPr>
                <w:b/>
                <w:spacing w:val="-7"/>
                <w:sz w:val="22"/>
              </w:rPr>
              <w:t> </w:t>
            </w:r>
            <w:r>
              <w:rPr>
                <w:b/>
                <w:sz w:val="22"/>
              </w:rPr>
              <w:t>to</w:t>
            </w:r>
            <w:r>
              <w:rPr>
                <w:b/>
                <w:spacing w:val="-5"/>
                <w:sz w:val="22"/>
              </w:rPr>
              <w:t> </w:t>
            </w:r>
            <w:r>
              <w:rPr>
                <w:b/>
                <w:spacing w:val="-4"/>
                <w:sz w:val="22"/>
              </w:rPr>
              <w:t>date</w:t>
            </w:r>
          </w:p>
        </w:tc>
      </w:tr>
      <w:tr>
        <w:trPr>
          <w:trHeight w:val="1209" w:hRule="atLeast"/>
        </w:trPr>
        <w:tc>
          <w:tcPr>
            <w:tcW w:w="2995" w:type="dxa"/>
            <w:tcBorders>
              <w:left w:val="single" w:sz="4" w:space="0" w:color="A6A6A6"/>
            </w:tcBorders>
          </w:tcPr>
          <w:p>
            <w:pPr>
              <w:pStyle w:val="TableParagraph"/>
              <w:spacing w:line="288" w:lineRule="auto" w:before="120"/>
              <w:ind w:left="117"/>
              <w:rPr>
                <w:b/>
                <w:sz w:val="22"/>
              </w:rPr>
            </w:pPr>
            <w:r>
              <w:rPr>
                <w:b/>
                <w:sz w:val="22"/>
              </w:rPr>
              <w:t>Powerline</w:t>
            </w:r>
            <w:r>
              <w:rPr>
                <w:b/>
                <w:spacing w:val="-16"/>
                <w:sz w:val="22"/>
              </w:rPr>
              <w:t> </w:t>
            </w:r>
            <w:r>
              <w:rPr>
                <w:b/>
                <w:sz w:val="22"/>
              </w:rPr>
              <w:t>Replacement </w:t>
            </w:r>
            <w:r>
              <w:rPr>
                <w:b/>
                <w:spacing w:val="-4"/>
                <w:sz w:val="22"/>
              </w:rPr>
              <w:t>Fund</w:t>
            </w:r>
          </w:p>
        </w:tc>
        <w:tc>
          <w:tcPr>
            <w:tcW w:w="6186" w:type="dxa"/>
            <w:tcBorders>
              <w:right w:val="single" w:sz="4" w:space="0" w:color="A6A6A6"/>
            </w:tcBorders>
          </w:tcPr>
          <w:p>
            <w:pPr>
              <w:pStyle w:val="TableParagraph"/>
              <w:spacing w:line="288" w:lineRule="auto" w:before="60"/>
              <w:ind w:left="205"/>
              <w:rPr>
                <w:sz w:val="22"/>
              </w:rPr>
            </w:pPr>
            <w:r>
              <w:rPr>
                <w:sz w:val="22"/>
              </w:rPr>
              <w:t>Approximately</w:t>
            </w:r>
            <w:r>
              <w:rPr>
                <w:spacing w:val="-7"/>
                <w:sz w:val="22"/>
              </w:rPr>
              <w:t> </w:t>
            </w:r>
            <w:r>
              <w:rPr>
                <w:sz w:val="22"/>
              </w:rPr>
              <w:t>500</w:t>
            </w:r>
            <w:r>
              <w:rPr>
                <w:spacing w:val="-7"/>
                <w:sz w:val="22"/>
              </w:rPr>
              <w:t> </w:t>
            </w:r>
            <w:r>
              <w:rPr>
                <w:sz w:val="22"/>
              </w:rPr>
              <w:t>kilometres</w:t>
            </w:r>
            <w:r>
              <w:rPr>
                <w:spacing w:val="-8"/>
                <w:sz w:val="22"/>
              </w:rPr>
              <w:t> </w:t>
            </w:r>
            <w:r>
              <w:rPr>
                <w:sz w:val="22"/>
              </w:rPr>
              <w:t>of</w:t>
            </w:r>
            <w:r>
              <w:rPr>
                <w:spacing w:val="-5"/>
                <w:sz w:val="22"/>
              </w:rPr>
              <w:t> </w:t>
            </w:r>
            <w:r>
              <w:rPr>
                <w:sz w:val="22"/>
              </w:rPr>
              <w:t>bare-wire</w:t>
            </w:r>
            <w:r>
              <w:rPr>
                <w:spacing w:val="-7"/>
                <w:sz w:val="22"/>
              </w:rPr>
              <w:t> </w:t>
            </w:r>
            <w:r>
              <w:rPr>
                <w:sz w:val="22"/>
              </w:rPr>
              <w:t>powerlines</w:t>
            </w:r>
            <w:r>
              <w:rPr>
                <w:spacing w:val="-6"/>
                <w:sz w:val="22"/>
              </w:rPr>
              <w:t> </w:t>
            </w:r>
            <w:r>
              <w:rPr>
                <w:sz w:val="22"/>
              </w:rPr>
              <w:t>have been replaced with safer alternatives in high bushfire risk </w:t>
            </w:r>
            <w:r>
              <w:rPr>
                <w:spacing w:val="-2"/>
                <w:sz w:val="22"/>
              </w:rPr>
              <w:t>areas.</w:t>
            </w:r>
          </w:p>
        </w:tc>
      </w:tr>
      <w:tr>
        <w:trPr>
          <w:trHeight w:val="4850" w:hRule="atLeast"/>
        </w:trPr>
        <w:tc>
          <w:tcPr>
            <w:tcW w:w="2995" w:type="dxa"/>
            <w:tcBorders>
              <w:left w:val="single" w:sz="4" w:space="0" w:color="A6A6A6"/>
            </w:tcBorders>
            <w:shd w:val="clear" w:color="auto" w:fill="CDEBEB"/>
          </w:tcPr>
          <w:p>
            <w:pPr>
              <w:pStyle w:val="TableParagraph"/>
              <w:spacing w:line="288" w:lineRule="auto" w:before="120"/>
              <w:ind w:left="117"/>
              <w:rPr>
                <w:b/>
                <w:sz w:val="22"/>
              </w:rPr>
            </w:pPr>
            <w:r>
              <w:rPr>
                <w:b/>
                <w:sz w:val="22"/>
              </w:rPr>
              <w:t>Regulatory</w:t>
            </w:r>
            <w:r>
              <w:rPr>
                <w:b/>
                <w:spacing w:val="-16"/>
                <w:sz w:val="22"/>
              </w:rPr>
              <w:t> </w:t>
            </w:r>
            <w:r>
              <w:rPr>
                <w:b/>
                <w:sz w:val="22"/>
              </w:rPr>
              <w:t>Initiatives</w:t>
            </w:r>
            <w:r>
              <w:rPr>
                <w:b/>
                <w:spacing w:val="-15"/>
                <w:sz w:val="22"/>
              </w:rPr>
              <w:t> </w:t>
            </w:r>
            <w:r>
              <w:rPr>
                <w:b/>
                <w:sz w:val="22"/>
              </w:rPr>
              <w:t>and Network Assets Project</w:t>
            </w:r>
          </w:p>
        </w:tc>
        <w:tc>
          <w:tcPr>
            <w:tcW w:w="6186" w:type="dxa"/>
            <w:tcBorders>
              <w:right w:val="single" w:sz="4" w:space="0" w:color="A6A6A6"/>
            </w:tcBorders>
            <w:shd w:val="clear" w:color="auto" w:fill="CDEBEB"/>
          </w:tcPr>
          <w:p>
            <w:pPr>
              <w:pStyle w:val="TableParagraph"/>
              <w:spacing w:line="288" w:lineRule="auto" w:before="120"/>
              <w:ind w:left="205" w:right="102"/>
              <w:rPr>
                <w:sz w:val="22"/>
              </w:rPr>
            </w:pPr>
            <w:r>
              <w:rPr>
                <w:sz w:val="22"/>
              </w:rPr>
              <w:t>As</w:t>
            </w:r>
            <w:r>
              <w:rPr>
                <w:spacing w:val="-3"/>
                <w:sz w:val="22"/>
              </w:rPr>
              <w:t> </w:t>
            </w:r>
            <w:r>
              <w:rPr>
                <w:sz w:val="22"/>
              </w:rPr>
              <w:t>at</w:t>
            </w:r>
            <w:r>
              <w:rPr>
                <w:spacing w:val="-5"/>
                <w:sz w:val="22"/>
              </w:rPr>
              <w:t> </w:t>
            </w:r>
            <w:r>
              <w:rPr>
                <w:sz w:val="22"/>
              </w:rPr>
              <w:t>30</w:t>
            </w:r>
            <w:r>
              <w:rPr>
                <w:spacing w:val="-4"/>
                <w:sz w:val="22"/>
              </w:rPr>
              <w:t> </w:t>
            </w:r>
            <w:r>
              <w:rPr>
                <w:sz w:val="22"/>
              </w:rPr>
              <w:t>June</w:t>
            </w:r>
            <w:r>
              <w:rPr>
                <w:spacing w:val="-6"/>
                <w:sz w:val="22"/>
              </w:rPr>
              <w:t> </w:t>
            </w:r>
            <w:r>
              <w:rPr>
                <w:sz w:val="22"/>
              </w:rPr>
              <w:t>2017,</w:t>
            </w:r>
            <w:r>
              <w:rPr>
                <w:spacing w:val="-2"/>
                <w:sz w:val="22"/>
              </w:rPr>
              <w:t> </w:t>
            </w:r>
            <w:r>
              <w:rPr>
                <w:sz w:val="22"/>
              </w:rPr>
              <w:t>1598</w:t>
            </w:r>
            <w:r>
              <w:rPr>
                <w:spacing w:val="-4"/>
                <w:sz w:val="22"/>
              </w:rPr>
              <w:t> </w:t>
            </w:r>
            <w:r>
              <w:rPr>
                <w:sz w:val="22"/>
              </w:rPr>
              <w:t>ACRs</w:t>
            </w:r>
            <w:r>
              <w:rPr>
                <w:spacing w:val="-3"/>
                <w:sz w:val="22"/>
              </w:rPr>
              <w:t> </w:t>
            </w:r>
            <w:r>
              <w:rPr>
                <w:sz w:val="22"/>
              </w:rPr>
              <w:t>have</w:t>
            </w:r>
            <w:r>
              <w:rPr>
                <w:spacing w:val="-4"/>
                <w:sz w:val="22"/>
              </w:rPr>
              <w:t> </w:t>
            </w:r>
            <w:r>
              <w:rPr>
                <w:sz w:val="22"/>
              </w:rPr>
              <w:t>been</w:t>
            </w:r>
            <w:r>
              <w:rPr>
                <w:spacing w:val="-4"/>
                <w:sz w:val="22"/>
              </w:rPr>
              <w:t> </w:t>
            </w:r>
            <w:r>
              <w:rPr>
                <w:sz w:val="22"/>
              </w:rPr>
              <w:t>installed</w:t>
            </w:r>
            <w:r>
              <w:rPr>
                <w:spacing w:val="-4"/>
                <w:sz w:val="22"/>
              </w:rPr>
              <w:t> </w:t>
            </w:r>
            <w:r>
              <w:rPr>
                <w:sz w:val="22"/>
              </w:rPr>
              <w:t>on single wire earth return lines to minimise fire risk in the network on Total Fire Ban days.</w:t>
            </w:r>
          </w:p>
          <w:p>
            <w:pPr>
              <w:pStyle w:val="TableParagraph"/>
              <w:spacing w:line="288" w:lineRule="auto" w:before="121"/>
              <w:ind w:left="205" w:right="102"/>
              <w:rPr>
                <w:i/>
                <w:sz w:val="22"/>
              </w:rPr>
            </w:pPr>
            <w:r>
              <w:rPr>
                <w:sz w:val="22"/>
              </w:rPr>
              <w:t>On</w:t>
            </w:r>
            <w:r>
              <w:rPr>
                <w:spacing w:val="-4"/>
                <w:sz w:val="22"/>
              </w:rPr>
              <w:t> </w:t>
            </w:r>
            <w:r>
              <w:rPr>
                <w:sz w:val="22"/>
              </w:rPr>
              <w:t>1</w:t>
            </w:r>
            <w:r>
              <w:rPr>
                <w:spacing w:val="-6"/>
                <w:sz w:val="22"/>
              </w:rPr>
              <w:t> </w:t>
            </w:r>
            <w:r>
              <w:rPr>
                <w:sz w:val="22"/>
              </w:rPr>
              <w:t>May</w:t>
            </w:r>
            <w:r>
              <w:rPr>
                <w:spacing w:val="-6"/>
                <w:sz w:val="22"/>
              </w:rPr>
              <w:t> </w:t>
            </w:r>
            <w:r>
              <w:rPr>
                <w:sz w:val="22"/>
              </w:rPr>
              <w:t>2016,</w:t>
            </w:r>
            <w:r>
              <w:rPr>
                <w:spacing w:val="-2"/>
                <w:sz w:val="22"/>
              </w:rPr>
              <w:t> </w:t>
            </w:r>
            <w:r>
              <w:rPr>
                <w:sz w:val="22"/>
              </w:rPr>
              <w:t>three</w:t>
            </w:r>
            <w:r>
              <w:rPr>
                <w:spacing w:val="-6"/>
                <w:sz w:val="22"/>
              </w:rPr>
              <w:t> </w:t>
            </w:r>
            <w:r>
              <w:rPr>
                <w:sz w:val="22"/>
              </w:rPr>
              <w:t>PBSP</w:t>
            </w:r>
            <w:r>
              <w:rPr>
                <w:spacing w:val="-4"/>
                <w:sz w:val="22"/>
              </w:rPr>
              <w:t> </w:t>
            </w:r>
            <w:r>
              <w:rPr>
                <w:sz w:val="22"/>
              </w:rPr>
              <w:t>enhanced</w:t>
            </w:r>
            <w:r>
              <w:rPr>
                <w:spacing w:val="-6"/>
                <w:sz w:val="22"/>
              </w:rPr>
              <w:t> </w:t>
            </w:r>
            <w:r>
              <w:rPr>
                <w:sz w:val="22"/>
              </w:rPr>
              <w:t>fault</w:t>
            </w:r>
            <w:r>
              <w:rPr>
                <w:spacing w:val="-2"/>
                <w:sz w:val="22"/>
              </w:rPr>
              <w:t> </w:t>
            </w:r>
            <w:r>
              <w:rPr>
                <w:sz w:val="22"/>
              </w:rPr>
              <w:t>detection</w:t>
            </w:r>
            <w:r>
              <w:rPr>
                <w:spacing w:val="-4"/>
                <w:sz w:val="22"/>
              </w:rPr>
              <w:t> </w:t>
            </w:r>
            <w:r>
              <w:rPr>
                <w:sz w:val="22"/>
              </w:rPr>
              <w:t>and suppression capabilities were prescribed within the </w:t>
            </w:r>
            <w:r>
              <w:rPr>
                <w:i/>
                <w:sz w:val="22"/>
              </w:rPr>
              <w:t>Electricity Safety (Bushfire Mitigation) Regulations 2013.</w:t>
            </w:r>
          </w:p>
          <w:p>
            <w:pPr>
              <w:pStyle w:val="TableParagraph"/>
              <w:spacing w:line="288" w:lineRule="auto" w:before="119"/>
              <w:ind w:left="205" w:right="102"/>
              <w:rPr>
                <w:i/>
                <w:sz w:val="22"/>
              </w:rPr>
            </w:pPr>
            <w:r>
              <w:rPr>
                <w:sz w:val="22"/>
              </w:rPr>
              <w:t>In</w:t>
            </w:r>
            <w:r>
              <w:rPr>
                <w:spacing w:val="-4"/>
                <w:sz w:val="22"/>
              </w:rPr>
              <w:t> </w:t>
            </w:r>
            <w:r>
              <w:rPr>
                <w:sz w:val="22"/>
              </w:rPr>
              <w:t>September</w:t>
            </w:r>
            <w:r>
              <w:rPr>
                <w:spacing w:val="-3"/>
                <w:sz w:val="22"/>
              </w:rPr>
              <w:t> </w:t>
            </w:r>
            <w:r>
              <w:rPr>
                <w:sz w:val="22"/>
              </w:rPr>
              <w:t>2017,</w:t>
            </w:r>
            <w:r>
              <w:rPr>
                <w:spacing w:val="-6"/>
                <w:sz w:val="22"/>
              </w:rPr>
              <w:t> </w:t>
            </w:r>
            <w:r>
              <w:rPr>
                <w:sz w:val="22"/>
              </w:rPr>
              <w:t>the</w:t>
            </w:r>
            <w:r>
              <w:rPr>
                <w:spacing w:val="-7"/>
                <w:sz w:val="22"/>
              </w:rPr>
              <w:t> </w:t>
            </w:r>
            <w:r>
              <w:rPr>
                <w:sz w:val="22"/>
              </w:rPr>
              <w:t>Victorian</w:t>
            </w:r>
            <w:r>
              <w:rPr>
                <w:spacing w:val="-7"/>
                <w:sz w:val="22"/>
              </w:rPr>
              <w:t> </w:t>
            </w:r>
            <w:r>
              <w:rPr>
                <w:sz w:val="22"/>
              </w:rPr>
              <w:t>Government</w:t>
            </w:r>
            <w:r>
              <w:rPr>
                <w:spacing w:val="-6"/>
                <w:sz w:val="22"/>
              </w:rPr>
              <w:t> </w:t>
            </w:r>
            <w:r>
              <w:rPr>
                <w:sz w:val="22"/>
              </w:rPr>
              <w:t>introduced</w:t>
            </w:r>
            <w:r>
              <w:rPr>
                <w:spacing w:val="-5"/>
                <w:sz w:val="22"/>
              </w:rPr>
              <w:t> </w:t>
            </w:r>
            <w:r>
              <w:rPr>
                <w:sz w:val="22"/>
              </w:rPr>
              <w:t>a strengthened enforcement regime for the three standards into the </w:t>
            </w:r>
            <w:r>
              <w:rPr>
                <w:i/>
                <w:sz w:val="22"/>
              </w:rPr>
              <w:t>Electricity Safety Act 1998.</w:t>
            </w:r>
          </w:p>
          <w:p>
            <w:pPr>
              <w:pStyle w:val="TableParagraph"/>
              <w:spacing w:line="288" w:lineRule="auto" w:before="122"/>
              <w:ind w:left="205"/>
              <w:rPr>
                <w:sz w:val="22"/>
              </w:rPr>
            </w:pPr>
            <w:r>
              <w:rPr>
                <w:sz w:val="22"/>
              </w:rPr>
              <w:t>The</w:t>
            </w:r>
            <w:r>
              <w:rPr>
                <w:spacing w:val="-8"/>
                <w:sz w:val="22"/>
              </w:rPr>
              <w:t> </w:t>
            </w:r>
            <w:r>
              <w:rPr>
                <w:sz w:val="22"/>
              </w:rPr>
              <w:t>f-factor</w:t>
            </w:r>
            <w:r>
              <w:rPr>
                <w:spacing w:val="-5"/>
                <w:sz w:val="22"/>
              </w:rPr>
              <w:t> </w:t>
            </w:r>
            <w:r>
              <w:rPr>
                <w:sz w:val="22"/>
              </w:rPr>
              <w:t>Incentive</w:t>
            </w:r>
            <w:r>
              <w:rPr>
                <w:spacing w:val="-4"/>
                <w:sz w:val="22"/>
              </w:rPr>
              <w:t> </w:t>
            </w:r>
            <w:r>
              <w:rPr>
                <w:sz w:val="22"/>
              </w:rPr>
              <w:t>Scheme,</w:t>
            </w:r>
            <w:r>
              <w:rPr>
                <w:spacing w:val="-4"/>
                <w:sz w:val="22"/>
              </w:rPr>
              <w:t> </w:t>
            </w:r>
            <w:r>
              <w:rPr>
                <w:sz w:val="22"/>
              </w:rPr>
              <w:t>introduced</w:t>
            </w:r>
            <w:r>
              <w:rPr>
                <w:spacing w:val="-4"/>
                <w:sz w:val="22"/>
              </w:rPr>
              <w:t> </w:t>
            </w:r>
            <w:r>
              <w:rPr>
                <w:sz w:val="22"/>
              </w:rPr>
              <w:t>by</w:t>
            </w:r>
            <w:r>
              <w:rPr>
                <w:spacing w:val="-6"/>
                <w:sz w:val="22"/>
              </w:rPr>
              <w:t> </w:t>
            </w:r>
            <w:r>
              <w:rPr>
                <w:sz w:val="22"/>
              </w:rPr>
              <w:t>the</w:t>
            </w:r>
            <w:r>
              <w:rPr>
                <w:spacing w:val="-8"/>
                <w:sz w:val="22"/>
              </w:rPr>
              <w:t> </w:t>
            </w:r>
            <w:r>
              <w:rPr>
                <w:sz w:val="22"/>
              </w:rPr>
              <w:t>Victorian Government and revised in 2016, weights all network fire ignitions by</w:t>
            </w:r>
            <w:r>
              <w:rPr>
                <w:spacing w:val="-3"/>
                <w:sz w:val="22"/>
              </w:rPr>
              <w:t> </w:t>
            </w:r>
            <w:r>
              <w:rPr>
                <w:sz w:val="22"/>
              </w:rPr>
              <w:t>time</w:t>
            </w:r>
            <w:r>
              <w:rPr>
                <w:spacing w:val="-1"/>
                <w:sz w:val="22"/>
              </w:rPr>
              <w:t> </w:t>
            </w:r>
            <w:r>
              <w:rPr>
                <w:sz w:val="22"/>
              </w:rPr>
              <w:t>and</w:t>
            </w:r>
            <w:r>
              <w:rPr>
                <w:spacing w:val="-5"/>
                <w:sz w:val="22"/>
              </w:rPr>
              <w:t> </w:t>
            </w:r>
            <w:r>
              <w:rPr>
                <w:sz w:val="22"/>
              </w:rPr>
              <w:t>geographical</w:t>
            </w:r>
            <w:r>
              <w:rPr>
                <w:spacing w:val="-2"/>
                <w:sz w:val="22"/>
              </w:rPr>
              <w:t> </w:t>
            </w:r>
            <w:r>
              <w:rPr>
                <w:sz w:val="22"/>
              </w:rPr>
              <w:t>location</w:t>
            </w:r>
            <w:r>
              <w:rPr>
                <w:spacing w:val="-1"/>
                <w:sz w:val="22"/>
              </w:rPr>
              <w:t> </w:t>
            </w:r>
            <w:r>
              <w:rPr>
                <w:sz w:val="22"/>
              </w:rPr>
              <w:t>and</w:t>
            </w:r>
            <w:r>
              <w:rPr>
                <w:spacing w:val="-3"/>
                <w:sz w:val="22"/>
              </w:rPr>
              <w:t> </w:t>
            </w:r>
            <w:r>
              <w:rPr>
                <w:sz w:val="22"/>
              </w:rPr>
              <w:t>applies</w:t>
            </w:r>
            <w:r>
              <w:rPr>
                <w:spacing w:val="-1"/>
                <w:sz w:val="22"/>
              </w:rPr>
              <w:t> </w:t>
            </w:r>
            <w:r>
              <w:rPr>
                <w:sz w:val="22"/>
              </w:rPr>
              <w:t>an increasing financial incentive to ignitions, relative to their bushfire risk and reflects the introduction of REFCLs.</w:t>
            </w:r>
          </w:p>
        </w:tc>
      </w:tr>
      <w:tr>
        <w:trPr>
          <w:trHeight w:val="3821" w:hRule="atLeast"/>
        </w:trPr>
        <w:tc>
          <w:tcPr>
            <w:tcW w:w="2995" w:type="dxa"/>
            <w:tcBorders>
              <w:left w:val="single" w:sz="4" w:space="0" w:color="A6A6A6"/>
            </w:tcBorders>
          </w:tcPr>
          <w:p>
            <w:pPr>
              <w:pStyle w:val="TableParagraph"/>
              <w:spacing w:line="288" w:lineRule="auto" w:before="120"/>
              <w:ind w:left="117"/>
              <w:rPr>
                <w:b/>
                <w:sz w:val="22"/>
              </w:rPr>
            </w:pPr>
            <w:r>
              <w:rPr>
                <w:b/>
                <w:sz w:val="22"/>
              </w:rPr>
              <w:t>Research</w:t>
            </w:r>
            <w:r>
              <w:rPr>
                <w:b/>
                <w:spacing w:val="-16"/>
                <w:sz w:val="22"/>
              </w:rPr>
              <w:t> </w:t>
            </w:r>
            <w:r>
              <w:rPr>
                <w:b/>
                <w:sz w:val="22"/>
              </w:rPr>
              <w:t>&amp;</w:t>
            </w:r>
            <w:r>
              <w:rPr>
                <w:b/>
                <w:spacing w:val="-15"/>
                <w:sz w:val="22"/>
              </w:rPr>
              <w:t> </w:t>
            </w:r>
            <w:r>
              <w:rPr>
                <w:b/>
                <w:sz w:val="22"/>
              </w:rPr>
              <w:t>Development </w:t>
            </w:r>
            <w:r>
              <w:rPr>
                <w:b/>
                <w:spacing w:val="-2"/>
                <w:sz w:val="22"/>
              </w:rPr>
              <w:t>Project</w:t>
            </w:r>
          </w:p>
        </w:tc>
        <w:tc>
          <w:tcPr>
            <w:tcW w:w="6186" w:type="dxa"/>
            <w:tcBorders>
              <w:right w:val="single" w:sz="4" w:space="0" w:color="A6A6A6"/>
            </w:tcBorders>
          </w:tcPr>
          <w:p>
            <w:pPr>
              <w:pStyle w:val="TableParagraph"/>
              <w:spacing w:line="288" w:lineRule="auto" w:before="120"/>
              <w:ind w:left="205" w:right="102"/>
              <w:rPr>
                <w:sz w:val="22"/>
              </w:rPr>
            </w:pPr>
            <w:r>
              <w:rPr>
                <w:sz w:val="22"/>
              </w:rPr>
              <w:t>Currently providing grant funding to IND Technology to test and develop their Early Fault Detection Technology on the Single</w:t>
            </w:r>
            <w:r>
              <w:rPr>
                <w:spacing w:val="-8"/>
                <w:sz w:val="22"/>
              </w:rPr>
              <w:t> </w:t>
            </w:r>
            <w:r>
              <w:rPr>
                <w:sz w:val="22"/>
              </w:rPr>
              <w:t>Wire</w:t>
            </w:r>
            <w:r>
              <w:rPr>
                <w:spacing w:val="-6"/>
                <w:sz w:val="22"/>
              </w:rPr>
              <w:t> </w:t>
            </w:r>
            <w:r>
              <w:rPr>
                <w:sz w:val="22"/>
              </w:rPr>
              <w:t>Earth</w:t>
            </w:r>
            <w:r>
              <w:rPr>
                <w:spacing w:val="-4"/>
                <w:sz w:val="22"/>
              </w:rPr>
              <w:t> </w:t>
            </w:r>
            <w:r>
              <w:rPr>
                <w:sz w:val="22"/>
              </w:rPr>
              <w:t>Return</w:t>
            </w:r>
            <w:r>
              <w:rPr>
                <w:spacing w:val="-6"/>
                <w:sz w:val="22"/>
              </w:rPr>
              <w:t> </w:t>
            </w:r>
            <w:r>
              <w:rPr>
                <w:sz w:val="22"/>
              </w:rPr>
              <w:t>network.</w:t>
            </w:r>
            <w:r>
              <w:rPr>
                <w:spacing w:val="-7"/>
                <w:sz w:val="22"/>
              </w:rPr>
              <w:t> </w:t>
            </w:r>
            <w:r>
              <w:rPr>
                <w:sz w:val="22"/>
              </w:rPr>
              <w:t>The</w:t>
            </w:r>
            <w:r>
              <w:rPr>
                <w:spacing w:val="-4"/>
                <w:sz w:val="22"/>
              </w:rPr>
              <w:t> </w:t>
            </w:r>
            <w:r>
              <w:rPr>
                <w:sz w:val="22"/>
              </w:rPr>
              <w:t>project</w:t>
            </w:r>
            <w:r>
              <w:rPr>
                <w:spacing w:val="-5"/>
                <w:sz w:val="22"/>
              </w:rPr>
              <w:t> </w:t>
            </w:r>
            <w:r>
              <w:rPr>
                <w:sz w:val="22"/>
              </w:rPr>
              <w:t>will</w:t>
            </w:r>
            <w:r>
              <w:rPr>
                <w:spacing w:val="-2"/>
                <w:sz w:val="22"/>
              </w:rPr>
              <w:t> </w:t>
            </w:r>
            <w:r>
              <w:rPr>
                <w:sz w:val="22"/>
              </w:rPr>
              <w:t>conclude in June 2019.</w:t>
            </w:r>
          </w:p>
          <w:p>
            <w:pPr>
              <w:pStyle w:val="TableParagraph"/>
              <w:spacing w:line="288" w:lineRule="auto" w:before="120"/>
              <w:ind w:left="205"/>
              <w:rPr>
                <w:sz w:val="22"/>
              </w:rPr>
            </w:pPr>
            <w:r>
              <w:rPr>
                <w:sz w:val="22"/>
              </w:rPr>
              <w:t>Currently</w:t>
            </w:r>
            <w:r>
              <w:rPr>
                <w:spacing w:val="-7"/>
                <w:sz w:val="22"/>
              </w:rPr>
              <w:t> </w:t>
            </w:r>
            <w:r>
              <w:rPr>
                <w:sz w:val="22"/>
              </w:rPr>
              <w:t>providing</w:t>
            </w:r>
            <w:r>
              <w:rPr>
                <w:spacing w:val="-5"/>
                <w:sz w:val="22"/>
              </w:rPr>
              <w:t> </w:t>
            </w:r>
            <w:r>
              <w:rPr>
                <w:sz w:val="22"/>
              </w:rPr>
              <w:t>grant</w:t>
            </w:r>
            <w:r>
              <w:rPr>
                <w:spacing w:val="-8"/>
                <w:sz w:val="22"/>
              </w:rPr>
              <w:t> </w:t>
            </w:r>
            <w:r>
              <w:rPr>
                <w:sz w:val="22"/>
              </w:rPr>
              <w:t>funding</w:t>
            </w:r>
            <w:r>
              <w:rPr>
                <w:spacing w:val="-6"/>
                <w:sz w:val="22"/>
              </w:rPr>
              <w:t> </w:t>
            </w:r>
            <w:r>
              <w:rPr>
                <w:sz w:val="22"/>
              </w:rPr>
              <w:t>to</w:t>
            </w:r>
            <w:r>
              <w:rPr>
                <w:spacing w:val="-7"/>
                <w:sz w:val="22"/>
              </w:rPr>
              <w:t> </w:t>
            </w:r>
            <w:r>
              <w:rPr>
                <w:sz w:val="22"/>
              </w:rPr>
              <w:t>Groundline</w:t>
            </w:r>
            <w:r>
              <w:rPr>
                <w:spacing w:val="-6"/>
                <w:sz w:val="22"/>
              </w:rPr>
              <w:t> </w:t>
            </w:r>
            <w:r>
              <w:rPr>
                <w:sz w:val="22"/>
              </w:rPr>
              <w:t>Engineering Pty Ltd for a covered conductor solution on the 22 kV network. This project is due to conclude in October 2019.</w:t>
            </w:r>
          </w:p>
          <w:p>
            <w:pPr>
              <w:pStyle w:val="TableParagraph"/>
              <w:spacing w:line="288" w:lineRule="auto" w:before="122"/>
              <w:ind w:left="205"/>
              <w:rPr>
                <w:sz w:val="22"/>
              </w:rPr>
            </w:pPr>
            <w:r>
              <w:rPr>
                <w:sz w:val="22"/>
              </w:rPr>
              <w:t>Currently</w:t>
            </w:r>
            <w:r>
              <w:rPr>
                <w:spacing w:val="-6"/>
                <w:sz w:val="22"/>
              </w:rPr>
              <w:t> </w:t>
            </w:r>
            <w:r>
              <w:rPr>
                <w:sz w:val="22"/>
              </w:rPr>
              <w:t>running</w:t>
            </w:r>
            <w:r>
              <w:rPr>
                <w:spacing w:val="-2"/>
                <w:sz w:val="22"/>
              </w:rPr>
              <w:t> </w:t>
            </w:r>
            <w:r>
              <w:rPr>
                <w:sz w:val="22"/>
              </w:rPr>
              <w:t>a</w:t>
            </w:r>
            <w:r>
              <w:rPr>
                <w:spacing w:val="-6"/>
                <w:sz w:val="22"/>
              </w:rPr>
              <w:t> </w:t>
            </w:r>
            <w:r>
              <w:rPr>
                <w:sz w:val="22"/>
              </w:rPr>
              <w:t>Vegetation</w:t>
            </w:r>
            <w:r>
              <w:rPr>
                <w:spacing w:val="-4"/>
                <w:sz w:val="22"/>
              </w:rPr>
              <w:t> </w:t>
            </w:r>
            <w:r>
              <w:rPr>
                <w:sz w:val="22"/>
              </w:rPr>
              <w:t>Detection</w:t>
            </w:r>
            <w:r>
              <w:rPr>
                <w:spacing w:val="-6"/>
                <w:sz w:val="22"/>
              </w:rPr>
              <w:t> </w:t>
            </w:r>
            <w:r>
              <w:rPr>
                <w:sz w:val="22"/>
              </w:rPr>
              <w:t>Challenge</w:t>
            </w:r>
            <w:r>
              <w:rPr>
                <w:spacing w:val="-6"/>
                <w:sz w:val="22"/>
              </w:rPr>
              <w:t> </w:t>
            </w:r>
            <w:r>
              <w:rPr>
                <w:sz w:val="22"/>
              </w:rPr>
              <w:t>project, for the development of an algorithm that can identify what particular</w:t>
            </w:r>
            <w:r>
              <w:rPr>
                <w:spacing w:val="-5"/>
                <w:sz w:val="22"/>
              </w:rPr>
              <w:t> </w:t>
            </w:r>
            <w:r>
              <w:rPr>
                <w:sz w:val="22"/>
              </w:rPr>
              <w:t>plant</w:t>
            </w:r>
            <w:r>
              <w:rPr>
                <w:spacing w:val="-3"/>
                <w:sz w:val="22"/>
              </w:rPr>
              <w:t> </w:t>
            </w:r>
            <w:r>
              <w:rPr>
                <w:sz w:val="22"/>
              </w:rPr>
              <w:t>species</w:t>
            </w:r>
            <w:r>
              <w:rPr>
                <w:spacing w:val="-4"/>
                <w:sz w:val="22"/>
              </w:rPr>
              <w:t> </w:t>
            </w:r>
            <w:r>
              <w:rPr>
                <w:sz w:val="22"/>
              </w:rPr>
              <w:t>is</w:t>
            </w:r>
            <w:r>
              <w:rPr>
                <w:spacing w:val="-3"/>
                <w:sz w:val="22"/>
              </w:rPr>
              <w:t> </w:t>
            </w:r>
            <w:r>
              <w:rPr>
                <w:sz w:val="22"/>
              </w:rPr>
              <w:t>causing</w:t>
            </w:r>
            <w:r>
              <w:rPr>
                <w:spacing w:val="-3"/>
                <w:sz w:val="22"/>
              </w:rPr>
              <w:t> </w:t>
            </w:r>
            <w:r>
              <w:rPr>
                <w:sz w:val="22"/>
              </w:rPr>
              <w:t>a</w:t>
            </w:r>
            <w:r>
              <w:rPr>
                <w:spacing w:val="-8"/>
                <w:sz w:val="22"/>
              </w:rPr>
              <w:t> </w:t>
            </w:r>
            <w:r>
              <w:rPr>
                <w:sz w:val="22"/>
              </w:rPr>
              <w:t>fault</w:t>
            </w:r>
            <w:r>
              <w:rPr>
                <w:spacing w:val="-3"/>
                <w:sz w:val="22"/>
              </w:rPr>
              <w:t> </w:t>
            </w:r>
            <w:r>
              <w:rPr>
                <w:sz w:val="22"/>
              </w:rPr>
              <w:t>if</w:t>
            </w:r>
            <w:r>
              <w:rPr>
                <w:spacing w:val="-3"/>
                <w:sz w:val="22"/>
              </w:rPr>
              <w:t> </w:t>
            </w:r>
            <w:r>
              <w:rPr>
                <w:sz w:val="22"/>
              </w:rPr>
              <w:t>a</w:t>
            </w:r>
            <w:r>
              <w:rPr>
                <w:spacing w:val="-4"/>
                <w:sz w:val="22"/>
              </w:rPr>
              <w:t> </w:t>
            </w:r>
            <w:r>
              <w:rPr>
                <w:sz w:val="22"/>
              </w:rPr>
              <w:t>branch</w:t>
            </w:r>
            <w:r>
              <w:rPr>
                <w:spacing w:val="-4"/>
                <w:sz w:val="22"/>
              </w:rPr>
              <w:t> </w:t>
            </w:r>
            <w:r>
              <w:rPr>
                <w:sz w:val="22"/>
              </w:rPr>
              <w:t>were</w:t>
            </w:r>
            <w:r>
              <w:rPr>
                <w:spacing w:val="-3"/>
                <w:sz w:val="22"/>
              </w:rPr>
              <w:t> </w:t>
            </w:r>
            <w:r>
              <w:rPr>
                <w:sz w:val="22"/>
              </w:rPr>
              <w:t>to touch/fall onto a powerline.</w:t>
            </w:r>
          </w:p>
        </w:tc>
      </w:tr>
      <w:tr>
        <w:trPr>
          <w:trHeight w:val="2061" w:hRule="atLeast"/>
        </w:trPr>
        <w:tc>
          <w:tcPr>
            <w:tcW w:w="2995" w:type="dxa"/>
            <w:tcBorders>
              <w:left w:val="single" w:sz="4" w:space="0" w:color="A6A6A6"/>
              <w:bottom w:val="single" w:sz="4" w:space="0" w:color="A6A6A6"/>
            </w:tcBorders>
            <w:shd w:val="clear" w:color="auto" w:fill="CDEBEB"/>
          </w:tcPr>
          <w:p>
            <w:pPr>
              <w:pStyle w:val="TableParagraph"/>
              <w:spacing w:line="288" w:lineRule="auto" w:before="120"/>
              <w:ind w:left="117"/>
              <w:rPr>
                <w:b/>
                <w:sz w:val="22"/>
              </w:rPr>
            </w:pPr>
            <w:r>
              <w:rPr>
                <w:b/>
                <w:sz w:val="22"/>
              </w:rPr>
              <w:t>Local</w:t>
            </w:r>
            <w:r>
              <w:rPr>
                <w:b/>
                <w:spacing w:val="-16"/>
                <w:sz w:val="22"/>
              </w:rPr>
              <w:t> </w:t>
            </w:r>
            <w:r>
              <w:rPr>
                <w:b/>
                <w:sz w:val="22"/>
              </w:rPr>
              <w:t>Infrastructure Assistance Fund</w:t>
            </w:r>
          </w:p>
        </w:tc>
        <w:tc>
          <w:tcPr>
            <w:tcW w:w="6186" w:type="dxa"/>
            <w:tcBorders>
              <w:bottom w:val="single" w:sz="4" w:space="0" w:color="A6A6A6"/>
              <w:right w:val="single" w:sz="4" w:space="0" w:color="A6A6A6"/>
            </w:tcBorders>
            <w:shd w:val="clear" w:color="auto" w:fill="CDEBEB"/>
          </w:tcPr>
          <w:p>
            <w:pPr>
              <w:pStyle w:val="TableParagraph"/>
              <w:spacing w:line="288" w:lineRule="auto" w:before="120"/>
              <w:ind w:left="205" w:right="102"/>
              <w:rPr>
                <w:sz w:val="22"/>
              </w:rPr>
            </w:pPr>
            <w:r>
              <w:rPr>
                <w:sz w:val="22"/>
              </w:rPr>
              <w:t>As</w:t>
            </w:r>
            <w:r>
              <w:rPr>
                <w:spacing w:val="-3"/>
                <w:sz w:val="22"/>
              </w:rPr>
              <w:t> </w:t>
            </w:r>
            <w:r>
              <w:rPr>
                <w:sz w:val="22"/>
              </w:rPr>
              <w:t>at</w:t>
            </w:r>
            <w:r>
              <w:rPr>
                <w:spacing w:val="-5"/>
                <w:sz w:val="22"/>
              </w:rPr>
              <w:t> </w:t>
            </w:r>
            <w:r>
              <w:rPr>
                <w:sz w:val="22"/>
              </w:rPr>
              <w:t>30</w:t>
            </w:r>
            <w:r>
              <w:rPr>
                <w:spacing w:val="-4"/>
                <w:sz w:val="22"/>
              </w:rPr>
              <w:t> </w:t>
            </w:r>
            <w:r>
              <w:rPr>
                <w:sz w:val="22"/>
              </w:rPr>
              <w:t>June</w:t>
            </w:r>
            <w:r>
              <w:rPr>
                <w:spacing w:val="-6"/>
                <w:sz w:val="22"/>
              </w:rPr>
              <w:t> </w:t>
            </w:r>
            <w:r>
              <w:rPr>
                <w:sz w:val="22"/>
              </w:rPr>
              <w:t>2017,</w:t>
            </w:r>
            <w:r>
              <w:rPr>
                <w:spacing w:val="-2"/>
                <w:sz w:val="22"/>
              </w:rPr>
              <w:t> </w:t>
            </w:r>
            <w:r>
              <w:rPr>
                <w:sz w:val="22"/>
              </w:rPr>
              <w:t>276</w:t>
            </w:r>
            <w:r>
              <w:rPr>
                <w:spacing w:val="-7"/>
                <w:sz w:val="22"/>
              </w:rPr>
              <w:t> </w:t>
            </w:r>
            <w:r>
              <w:rPr>
                <w:sz w:val="22"/>
              </w:rPr>
              <w:t>facilities</w:t>
            </w:r>
            <w:r>
              <w:rPr>
                <w:spacing w:val="-4"/>
                <w:sz w:val="22"/>
              </w:rPr>
              <w:t> </w:t>
            </w:r>
            <w:r>
              <w:rPr>
                <w:sz w:val="22"/>
              </w:rPr>
              <w:t>and</w:t>
            </w:r>
            <w:r>
              <w:rPr>
                <w:spacing w:val="-4"/>
                <w:sz w:val="22"/>
              </w:rPr>
              <w:t> </w:t>
            </w:r>
            <w:r>
              <w:rPr>
                <w:sz w:val="22"/>
              </w:rPr>
              <w:t>approximately</w:t>
            </w:r>
            <w:r>
              <w:rPr>
                <w:spacing w:val="-6"/>
                <w:sz w:val="22"/>
              </w:rPr>
              <w:t> </w:t>
            </w:r>
            <w:r>
              <w:rPr>
                <w:sz w:val="22"/>
              </w:rPr>
              <w:t>13,700 vulnerable Victorians are protected by back-up diesel generators. The final stage of the LIAF is currently underway, with an additional 63 facilities to receive generators, protecting an extra 2,100 vulnerable Victorian’s by Christmas 2017.</w:t>
            </w:r>
          </w:p>
        </w:tc>
      </w:tr>
    </w:tbl>
    <w:p>
      <w:pPr>
        <w:spacing w:after="0" w:line="288" w:lineRule="auto"/>
        <w:rPr>
          <w:sz w:val="22"/>
        </w:rPr>
        <w:sectPr>
          <w:pgSz w:w="11910" w:h="16850"/>
          <w:pgMar w:header="220" w:footer="678" w:top="420" w:bottom="860" w:left="900" w:right="840"/>
        </w:sectPr>
      </w:pPr>
    </w:p>
    <w:p>
      <w:pPr>
        <w:pStyle w:val="BodyText"/>
        <w:rPr>
          <w:b/>
          <w:sz w:val="20"/>
        </w:rPr>
      </w:pPr>
    </w:p>
    <w:p>
      <w:pPr>
        <w:pStyle w:val="BodyText"/>
        <w:spacing w:before="2"/>
        <w:rPr>
          <w:b/>
          <w:sz w:val="19"/>
        </w:rPr>
      </w:pPr>
    </w:p>
    <w:p>
      <w:pPr>
        <w:spacing w:before="94"/>
        <w:ind w:left="232" w:right="0" w:firstLine="0"/>
        <w:jc w:val="left"/>
        <w:rPr>
          <w:b/>
          <w:sz w:val="22"/>
        </w:rPr>
      </w:pPr>
      <w:r>
        <w:rPr>
          <w:b/>
          <w:sz w:val="22"/>
        </w:rPr>
        <w:t>Figure</w:t>
      </w:r>
      <w:r>
        <w:rPr>
          <w:b/>
          <w:spacing w:val="-6"/>
          <w:sz w:val="22"/>
        </w:rPr>
        <w:t> </w:t>
      </w:r>
      <w:r>
        <w:rPr>
          <w:b/>
          <w:sz w:val="22"/>
        </w:rPr>
        <w:t>15:</w:t>
      </w:r>
      <w:r>
        <w:rPr>
          <w:b/>
          <w:spacing w:val="-2"/>
          <w:sz w:val="22"/>
        </w:rPr>
        <w:t> </w:t>
      </w:r>
      <w:r>
        <w:rPr>
          <w:b/>
          <w:sz w:val="22"/>
        </w:rPr>
        <w:t>Achievements</w:t>
      </w:r>
      <w:r>
        <w:rPr>
          <w:b/>
          <w:spacing w:val="-6"/>
          <w:sz w:val="22"/>
        </w:rPr>
        <w:t> </w:t>
      </w:r>
      <w:r>
        <w:rPr>
          <w:b/>
          <w:sz w:val="22"/>
        </w:rPr>
        <w:t>by</w:t>
      </w:r>
      <w:r>
        <w:rPr>
          <w:b/>
          <w:spacing w:val="-9"/>
          <w:sz w:val="22"/>
        </w:rPr>
        <w:t> </w:t>
      </w:r>
      <w:r>
        <w:rPr>
          <w:b/>
          <w:spacing w:val="-4"/>
          <w:sz w:val="22"/>
        </w:rPr>
        <w:t>PBSP</w:t>
      </w:r>
    </w:p>
    <w:p>
      <w:pPr>
        <w:pStyle w:val="BodyText"/>
        <w:rPr>
          <w:b/>
          <w:sz w:val="20"/>
        </w:rPr>
      </w:pPr>
    </w:p>
    <w:p>
      <w:pPr>
        <w:pStyle w:val="BodyText"/>
        <w:spacing w:before="10"/>
        <w:rPr>
          <w:b/>
          <w:sz w:val="10"/>
        </w:rPr>
      </w:pPr>
      <w:r>
        <w:rPr/>
        <w:drawing>
          <wp:anchor distT="0" distB="0" distL="0" distR="0" allowOverlap="1" layoutInCell="1" locked="0" behindDoc="1" simplePos="0" relativeHeight="487641600">
            <wp:simplePos x="0" y="0"/>
            <wp:positionH relativeFrom="page">
              <wp:posOffset>751567</wp:posOffset>
            </wp:positionH>
            <wp:positionV relativeFrom="paragraph">
              <wp:posOffset>94868</wp:posOffset>
            </wp:positionV>
            <wp:extent cx="6052984" cy="3386328"/>
            <wp:effectExtent l="0" t="0" r="0" b="0"/>
            <wp:wrapTopAndBottom/>
            <wp:docPr id="168" name="Image 168" descr="C:\Users\rb2f\AppData\Local\Microsoft\Windows\Temporary Internet Files\Content.Word\Fig15.AchievementsPBSP.JPG"/>
            <wp:cNvGraphicFramePr>
              <a:graphicFrameLocks/>
            </wp:cNvGraphicFramePr>
            <a:graphic>
              <a:graphicData uri="http://schemas.openxmlformats.org/drawingml/2006/picture">
                <pic:pic>
                  <pic:nvPicPr>
                    <pic:cNvPr id="168" name="Image 168" descr="C:\Users\rb2f\AppData\Local\Microsoft\Windows\Temporary Internet Files\Content.Word\Fig15.AchievementsPBSP.JPG"/>
                    <pic:cNvPicPr/>
                  </pic:nvPicPr>
                  <pic:blipFill>
                    <a:blip r:embed="rId86" cstate="print"/>
                    <a:stretch>
                      <a:fillRect/>
                    </a:stretch>
                  </pic:blipFill>
                  <pic:spPr>
                    <a:xfrm>
                      <a:off x="0" y="0"/>
                      <a:ext cx="6052984" cy="3386328"/>
                    </a:xfrm>
                    <a:prstGeom prst="rect">
                      <a:avLst/>
                    </a:prstGeom>
                  </pic:spPr>
                </pic:pic>
              </a:graphicData>
            </a:graphic>
          </wp:anchor>
        </w:drawing>
      </w:r>
    </w:p>
    <w:p>
      <w:pPr>
        <w:pStyle w:val="BodyText"/>
        <w:rPr>
          <w:b/>
          <w:sz w:val="24"/>
        </w:rPr>
      </w:pPr>
    </w:p>
    <w:p>
      <w:pPr>
        <w:pStyle w:val="BodyText"/>
        <w:spacing w:before="1"/>
        <w:rPr>
          <w:b/>
          <w:sz w:val="23"/>
        </w:rPr>
      </w:pPr>
    </w:p>
    <w:p>
      <w:pPr>
        <w:spacing w:before="0"/>
        <w:ind w:left="232" w:right="0" w:firstLine="0"/>
        <w:jc w:val="left"/>
        <w:rPr>
          <w:sz w:val="18"/>
        </w:rPr>
      </w:pPr>
      <w:r>
        <w:rPr>
          <w:sz w:val="18"/>
        </w:rPr>
        <w:t>Source:</w:t>
      </w:r>
      <w:r>
        <w:rPr>
          <w:spacing w:val="-2"/>
          <w:sz w:val="18"/>
        </w:rPr>
        <w:t> </w:t>
      </w:r>
      <w:r>
        <w:rPr>
          <w:sz w:val="18"/>
        </w:rPr>
        <w:t>Adapted</w:t>
      </w:r>
      <w:r>
        <w:rPr>
          <w:spacing w:val="-5"/>
          <w:sz w:val="18"/>
        </w:rPr>
        <w:t> </w:t>
      </w:r>
      <w:r>
        <w:rPr>
          <w:sz w:val="18"/>
        </w:rPr>
        <w:t>from</w:t>
      </w:r>
      <w:r>
        <w:rPr>
          <w:spacing w:val="-3"/>
          <w:sz w:val="18"/>
        </w:rPr>
        <w:t> </w:t>
      </w:r>
      <w:r>
        <w:rPr>
          <w:sz w:val="18"/>
        </w:rPr>
        <w:t>PBSP</w:t>
      </w:r>
      <w:r>
        <w:rPr>
          <w:spacing w:val="-2"/>
          <w:sz w:val="18"/>
        </w:rPr>
        <w:t> (2016)</w:t>
      </w:r>
    </w:p>
    <w:p>
      <w:pPr>
        <w:pStyle w:val="BodyText"/>
        <w:spacing w:before="5"/>
        <w:rPr>
          <w:sz w:val="24"/>
        </w:rPr>
      </w:pPr>
    </w:p>
    <w:p>
      <w:pPr>
        <w:pStyle w:val="BodyText"/>
        <w:spacing w:line="288" w:lineRule="auto"/>
        <w:ind w:left="232" w:right="374"/>
      </w:pPr>
      <w:r>
        <w:rPr/>
        <w:t>With many of the PBSP components wrapping up in the next couple of years, it is important that the</w:t>
      </w:r>
      <w:r>
        <w:rPr>
          <w:spacing w:val="-2"/>
        </w:rPr>
        <w:t> </w:t>
      </w:r>
      <w:r>
        <w:rPr/>
        <w:t>valuable</w:t>
      </w:r>
      <w:r>
        <w:rPr>
          <w:spacing w:val="-2"/>
        </w:rPr>
        <w:t> </w:t>
      </w:r>
      <w:r>
        <w:rPr/>
        <w:t>learning</w:t>
      </w:r>
      <w:r>
        <w:rPr>
          <w:spacing w:val="-2"/>
        </w:rPr>
        <w:t> </w:t>
      </w:r>
      <w:r>
        <w:rPr/>
        <w:t>gained</w:t>
      </w:r>
      <w:r>
        <w:rPr>
          <w:spacing w:val="-2"/>
        </w:rPr>
        <w:t> </w:t>
      </w:r>
      <w:r>
        <w:rPr/>
        <w:t>through</w:t>
      </w:r>
      <w:r>
        <w:rPr>
          <w:spacing w:val="-4"/>
        </w:rPr>
        <w:t> </w:t>
      </w:r>
      <w:r>
        <w:rPr/>
        <w:t>the</w:t>
      </w:r>
      <w:r>
        <w:rPr>
          <w:spacing w:val="-2"/>
        </w:rPr>
        <w:t> </w:t>
      </w:r>
      <w:r>
        <w:rPr/>
        <w:t>Program</w:t>
      </w:r>
      <w:r>
        <w:rPr>
          <w:spacing w:val="-3"/>
        </w:rPr>
        <w:t> </w:t>
      </w:r>
      <w:r>
        <w:rPr/>
        <w:t>is</w:t>
      </w:r>
      <w:r>
        <w:rPr>
          <w:spacing w:val="-1"/>
        </w:rPr>
        <w:t> </w:t>
      </w:r>
      <w:r>
        <w:rPr/>
        <w:t>maintained.</w:t>
      </w:r>
      <w:r>
        <w:rPr>
          <w:spacing w:val="-3"/>
        </w:rPr>
        <w:t> </w:t>
      </w:r>
      <w:r>
        <w:rPr/>
        <w:t>The</w:t>
      </w:r>
      <w:r>
        <w:rPr>
          <w:spacing w:val="-7"/>
        </w:rPr>
        <w:t> </w:t>
      </w:r>
      <w:r>
        <w:rPr/>
        <w:t>Gateway</w:t>
      </w:r>
      <w:r>
        <w:rPr>
          <w:spacing w:val="-4"/>
        </w:rPr>
        <w:t> </w:t>
      </w:r>
      <w:r>
        <w:rPr/>
        <w:t>Review</w:t>
      </w:r>
      <w:r>
        <w:rPr>
          <w:spacing w:val="-5"/>
        </w:rPr>
        <w:t> </w:t>
      </w:r>
      <w:r>
        <w:rPr/>
        <w:t>recognised the</w:t>
      </w:r>
      <w:r>
        <w:rPr>
          <w:spacing w:val="-1"/>
        </w:rPr>
        <w:t> </w:t>
      </w:r>
      <w:r>
        <w:rPr/>
        <w:t>valuable</w:t>
      </w:r>
      <w:r>
        <w:rPr>
          <w:spacing w:val="-1"/>
        </w:rPr>
        <w:t> </w:t>
      </w:r>
      <w:r>
        <w:rPr/>
        <w:t>knowledge</w:t>
      </w:r>
      <w:r>
        <w:rPr>
          <w:spacing w:val="-3"/>
        </w:rPr>
        <w:t> </w:t>
      </w:r>
      <w:r>
        <w:rPr/>
        <w:t>gained</w:t>
      </w:r>
      <w:r>
        <w:rPr>
          <w:spacing w:val="-3"/>
        </w:rPr>
        <w:t> </w:t>
      </w:r>
      <w:r>
        <w:rPr/>
        <w:t>through</w:t>
      </w:r>
      <w:r>
        <w:rPr>
          <w:spacing w:val="-3"/>
        </w:rPr>
        <w:t> </w:t>
      </w:r>
      <w:r>
        <w:rPr/>
        <w:t>the</w:t>
      </w:r>
      <w:r>
        <w:rPr>
          <w:spacing w:val="-3"/>
        </w:rPr>
        <w:t> </w:t>
      </w:r>
      <w:r>
        <w:rPr/>
        <w:t>PBSP</w:t>
      </w:r>
      <w:r>
        <w:rPr>
          <w:spacing w:val="-1"/>
        </w:rPr>
        <w:t> </w:t>
      </w:r>
      <w:r>
        <w:rPr/>
        <w:t>and</w:t>
      </w:r>
      <w:r>
        <w:rPr>
          <w:spacing w:val="-1"/>
        </w:rPr>
        <w:t> </w:t>
      </w:r>
      <w:r>
        <w:rPr/>
        <w:t>the</w:t>
      </w:r>
      <w:r>
        <w:rPr>
          <w:spacing w:val="-1"/>
        </w:rPr>
        <w:t> </w:t>
      </w:r>
      <w:r>
        <w:rPr/>
        <w:t>need to</w:t>
      </w:r>
      <w:r>
        <w:rPr>
          <w:spacing w:val="-3"/>
        </w:rPr>
        <w:t> </w:t>
      </w:r>
      <w:r>
        <w:rPr/>
        <w:t>ensure</w:t>
      </w:r>
      <w:r>
        <w:rPr>
          <w:spacing w:val="-1"/>
        </w:rPr>
        <w:t> </w:t>
      </w:r>
      <w:r>
        <w:rPr/>
        <w:t>that</w:t>
      </w:r>
      <w:r>
        <w:rPr>
          <w:spacing w:val="-2"/>
        </w:rPr>
        <w:t> </w:t>
      </w:r>
      <w:r>
        <w:rPr/>
        <w:t>these</w:t>
      </w:r>
      <w:r>
        <w:rPr>
          <w:spacing w:val="-1"/>
        </w:rPr>
        <w:t> </w:t>
      </w:r>
      <w:r>
        <w:rPr/>
        <w:t>learnings</w:t>
      </w:r>
      <w:r>
        <w:rPr>
          <w:spacing w:val="-3"/>
        </w:rPr>
        <w:t> </w:t>
      </w:r>
      <w:r>
        <w:rPr/>
        <w:t>are utilised beyond the tenure of PBSP:</w:t>
      </w:r>
    </w:p>
    <w:p>
      <w:pPr>
        <w:pStyle w:val="BodyText"/>
        <w:spacing w:before="10"/>
        <w:rPr>
          <w:sz w:val="20"/>
        </w:rPr>
      </w:pPr>
    </w:p>
    <w:p>
      <w:pPr>
        <w:spacing w:line="288" w:lineRule="auto" w:before="1"/>
        <w:ind w:left="799" w:right="868" w:firstLine="0"/>
        <w:jc w:val="left"/>
        <w:rPr>
          <w:sz w:val="22"/>
        </w:rPr>
      </w:pPr>
      <w:r>
        <w:rPr>
          <w:i/>
          <w:sz w:val="22"/>
        </w:rPr>
        <w:t>“The</w:t>
      </w:r>
      <w:r>
        <w:rPr>
          <w:i/>
          <w:spacing w:val="-3"/>
          <w:sz w:val="22"/>
        </w:rPr>
        <w:t> </w:t>
      </w:r>
      <w:r>
        <w:rPr>
          <w:i/>
          <w:sz w:val="22"/>
        </w:rPr>
        <w:t>Program</w:t>
      </w:r>
      <w:r>
        <w:rPr>
          <w:i/>
          <w:spacing w:val="-2"/>
          <w:sz w:val="22"/>
        </w:rPr>
        <w:t> </w:t>
      </w:r>
      <w:r>
        <w:rPr>
          <w:i/>
          <w:sz w:val="22"/>
        </w:rPr>
        <w:t>has</w:t>
      </w:r>
      <w:r>
        <w:rPr>
          <w:i/>
          <w:spacing w:val="-5"/>
          <w:sz w:val="22"/>
        </w:rPr>
        <w:t> </w:t>
      </w:r>
      <w:r>
        <w:rPr>
          <w:i/>
          <w:sz w:val="22"/>
        </w:rPr>
        <w:t>generated</w:t>
      </w:r>
      <w:r>
        <w:rPr>
          <w:i/>
          <w:spacing w:val="-3"/>
          <w:sz w:val="22"/>
        </w:rPr>
        <w:t> </w:t>
      </w:r>
      <w:r>
        <w:rPr>
          <w:i/>
          <w:sz w:val="22"/>
        </w:rPr>
        <w:t>valuable</w:t>
      </w:r>
      <w:r>
        <w:rPr>
          <w:i/>
          <w:spacing w:val="-3"/>
          <w:sz w:val="22"/>
        </w:rPr>
        <w:t> </w:t>
      </w:r>
      <w:r>
        <w:rPr>
          <w:i/>
          <w:sz w:val="22"/>
        </w:rPr>
        <w:t>knowledge</w:t>
      </w:r>
      <w:r>
        <w:rPr>
          <w:i/>
          <w:spacing w:val="-5"/>
          <w:sz w:val="22"/>
        </w:rPr>
        <w:t> </w:t>
      </w:r>
      <w:r>
        <w:rPr>
          <w:i/>
          <w:sz w:val="22"/>
        </w:rPr>
        <w:t>and</w:t>
      </w:r>
      <w:r>
        <w:rPr>
          <w:i/>
          <w:spacing w:val="-5"/>
          <w:sz w:val="22"/>
        </w:rPr>
        <w:t> </w:t>
      </w:r>
      <w:r>
        <w:rPr>
          <w:i/>
          <w:sz w:val="22"/>
        </w:rPr>
        <w:t>tools</w:t>
      </w:r>
      <w:r>
        <w:rPr>
          <w:i/>
          <w:spacing w:val="-5"/>
          <w:sz w:val="22"/>
        </w:rPr>
        <w:t> </w:t>
      </w:r>
      <w:r>
        <w:rPr>
          <w:i/>
          <w:sz w:val="22"/>
        </w:rPr>
        <w:t>that</w:t>
      </w:r>
      <w:r>
        <w:rPr>
          <w:i/>
          <w:spacing w:val="-4"/>
          <w:sz w:val="22"/>
        </w:rPr>
        <w:t> </w:t>
      </w:r>
      <w:r>
        <w:rPr>
          <w:i/>
          <w:sz w:val="22"/>
        </w:rPr>
        <w:t>have</w:t>
      </w:r>
      <w:r>
        <w:rPr>
          <w:i/>
          <w:spacing w:val="-3"/>
          <w:sz w:val="22"/>
        </w:rPr>
        <w:t> </w:t>
      </w:r>
      <w:r>
        <w:rPr>
          <w:i/>
          <w:sz w:val="22"/>
        </w:rPr>
        <w:t>actively</w:t>
      </w:r>
      <w:r>
        <w:rPr>
          <w:i/>
          <w:spacing w:val="-2"/>
          <w:sz w:val="22"/>
        </w:rPr>
        <w:t> </w:t>
      </w:r>
      <w:r>
        <w:rPr>
          <w:i/>
          <w:sz w:val="22"/>
        </w:rPr>
        <w:t>informed other elements of the Program (including regulations), and must be considered as part of program transition planning.” </w:t>
      </w:r>
      <w:r>
        <w:rPr>
          <w:sz w:val="22"/>
        </w:rPr>
        <w:t>(Department of Treasury and Finance, 2016, p. 3)</w:t>
      </w:r>
    </w:p>
    <w:p>
      <w:pPr>
        <w:pStyle w:val="BodyText"/>
        <w:spacing w:before="11"/>
        <w:rPr>
          <w:sz w:val="20"/>
        </w:rPr>
      </w:pPr>
    </w:p>
    <w:p>
      <w:pPr>
        <w:pStyle w:val="BodyText"/>
        <w:ind w:left="232"/>
      </w:pPr>
      <w:r>
        <w:rPr/>
        <w:t>The</w:t>
      </w:r>
      <w:r>
        <w:rPr>
          <w:spacing w:val="-9"/>
        </w:rPr>
        <w:t> </w:t>
      </w:r>
      <w:r>
        <w:rPr/>
        <w:t>Gateway</w:t>
      </w:r>
      <w:r>
        <w:rPr>
          <w:spacing w:val="-6"/>
        </w:rPr>
        <w:t> </w:t>
      </w:r>
      <w:r>
        <w:rPr/>
        <w:t>Review</w:t>
      </w:r>
      <w:r>
        <w:rPr>
          <w:spacing w:val="-7"/>
        </w:rPr>
        <w:t> </w:t>
      </w:r>
      <w:r>
        <w:rPr/>
        <w:t>recommended</w:t>
      </w:r>
      <w:r>
        <w:rPr>
          <w:spacing w:val="-6"/>
        </w:rPr>
        <w:t> </w:t>
      </w:r>
      <w:r>
        <w:rPr/>
        <w:t>that</w:t>
      </w:r>
      <w:r>
        <w:rPr>
          <w:spacing w:val="-6"/>
        </w:rPr>
        <w:t> </w:t>
      </w:r>
      <w:r>
        <w:rPr/>
        <w:t>a new</w:t>
      </w:r>
      <w:r>
        <w:rPr>
          <w:spacing w:val="-9"/>
        </w:rPr>
        <w:t> </w:t>
      </w:r>
      <w:r>
        <w:rPr/>
        <w:t>phase</w:t>
      </w:r>
      <w:r>
        <w:rPr>
          <w:spacing w:val="-5"/>
        </w:rPr>
        <w:t> </w:t>
      </w:r>
      <w:r>
        <w:rPr/>
        <w:t>of</w:t>
      </w:r>
      <w:r>
        <w:rPr>
          <w:spacing w:val="-2"/>
        </w:rPr>
        <w:t> </w:t>
      </w:r>
      <w:r>
        <w:rPr/>
        <w:t>planning</w:t>
      </w:r>
      <w:r>
        <w:rPr>
          <w:spacing w:val="-5"/>
        </w:rPr>
        <w:t> </w:t>
      </w:r>
      <w:r>
        <w:rPr/>
        <w:t>is</w:t>
      </w:r>
      <w:r>
        <w:rPr>
          <w:spacing w:val="-6"/>
        </w:rPr>
        <w:t> </w:t>
      </w:r>
      <w:r>
        <w:rPr/>
        <w:t>required</w:t>
      </w:r>
      <w:r>
        <w:rPr>
          <w:spacing w:val="-4"/>
        </w:rPr>
        <w:t> </w:t>
      </w:r>
      <w:r>
        <w:rPr>
          <w:spacing w:val="-5"/>
        </w:rPr>
        <w:t>to:</w:t>
      </w:r>
    </w:p>
    <w:p>
      <w:pPr>
        <w:pStyle w:val="BodyText"/>
        <w:spacing w:before="7"/>
        <w:rPr>
          <w:sz w:val="26"/>
        </w:rPr>
      </w:pPr>
    </w:p>
    <w:p>
      <w:pPr>
        <w:pStyle w:val="ListParagraph"/>
        <w:numPr>
          <w:ilvl w:val="0"/>
          <w:numId w:val="68"/>
        </w:numPr>
        <w:tabs>
          <w:tab w:pos="590" w:val="left" w:leader="none"/>
        </w:tabs>
        <w:spacing w:line="240" w:lineRule="auto" w:before="0" w:after="0"/>
        <w:ind w:left="590" w:right="0" w:hanging="358"/>
        <w:jc w:val="both"/>
        <w:rPr>
          <w:sz w:val="22"/>
        </w:rPr>
      </w:pPr>
      <w:r>
        <w:rPr>
          <w:sz w:val="22"/>
        </w:rPr>
        <w:t>propagate</w:t>
      </w:r>
      <w:r>
        <w:rPr>
          <w:spacing w:val="-8"/>
          <w:sz w:val="22"/>
        </w:rPr>
        <w:t> </w:t>
      </w:r>
      <w:r>
        <w:rPr>
          <w:sz w:val="22"/>
        </w:rPr>
        <w:t>the</w:t>
      </w:r>
      <w:r>
        <w:rPr>
          <w:spacing w:val="-9"/>
          <w:sz w:val="22"/>
        </w:rPr>
        <w:t> </w:t>
      </w:r>
      <w:r>
        <w:rPr>
          <w:sz w:val="22"/>
        </w:rPr>
        <w:t>good</w:t>
      </w:r>
      <w:r>
        <w:rPr>
          <w:spacing w:val="-6"/>
          <w:sz w:val="22"/>
        </w:rPr>
        <w:t> </w:t>
      </w:r>
      <w:r>
        <w:rPr>
          <w:sz w:val="22"/>
        </w:rPr>
        <w:t>practices</w:t>
      </w:r>
      <w:r>
        <w:rPr>
          <w:spacing w:val="-5"/>
          <w:sz w:val="22"/>
        </w:rPr>
        <w:t> </w:t>
      </w:r>
      <w:r>
        <w:rPr>
          <w:sz w:val="22"/>
        </w:rPr>
        <w:t>introduced</w:t>
      </w:r>
      <w:r>
        <w:rPr>
          <w:spacing w:val="-7"/>
          <w:sz w:val="22"/>
        </w:rPr>
        <w:t> </w:t>
      </w:r>
      <w:r>
        <w:rPr>
          <w:sz w:val="22"/>
        </w:rPr>
        <w:t>through</w:t>
      </w:r>
      <w:r>
        <w:rPr>
          <w:spacing w:val="-7"/>
          <w:sz w:val="22"/>
        </w:rPr>
        <w:t> </w:t>
      </w:r>
      <w:r>
        <w:rPr>
          <w:sz w:val="22"/>
        </w:rPr>
        <w:t>the</w:t>
      </w:r>
      <w:r>
        <w:rPr>
          <w:spacing w:val="-5"/>
          <w:sz w:val="22"/>
        </w:rPr>
        <w:t> </w:t>
      </w:r>
      <w:r>
        <w:rPr>
          <w:spacing w:val="-2"/>
          <w:sz w:val="22"/>
        </w:rPr>
        <w:t>PBSP;</w:t>
      </w:r>
    </w:p>
    <w:p>
      <w:pPr>
        <w:pStyle w:val="ListParagraph"/>
        <w:numPr>
          <w:ilvl w:val="0"/>
          <w:numId w:val="68"/>
        </w:numPr>
        <w:tabs>
          <w:tab w:pos="590" w:val="left" w:leader="none"/>
        </w:tabs>
        <w:spacing w:line="288" w:lineRule="auto" w:before="66" w:after="0"/>
        <w:ind w:left="590" w:right="851" w:hanging="359"/>
        <w:jc w:val="both"/>
        <w:rPr>
          <w:sz w:val="22"/>
        </w:rPr>
      </w:pPr>
      <w:r>
        <w:rPr>
          <w:sz w:val="22"/>
        </w:rPr>
        <w:t>ensure</w:t>
      </w:r>
      <w:r>
        <w:rPr>
          <w:spacing w:val="-4"/>
          <w:sz w:val="22"/>
        </w:rPr>
        <w:t> </w:t>
      </w:r>
      <w:r>
        <w:rPr>
          <w:sz w:val="22"/>
        </w:rPr>
        <w:t>that</w:t>
      </w:r>
      <w:r>
        <w:rPr>
          <w:spacing w:val="-3"/>
          <w:sz w:val="22"/>
        </w:rPr>
        <w:t> </w:t>
      </w:r>
      <w:r>
        <w:rPr>
          <w:sz w:val="22"/>
        </w:rPr>
        <w:t>data</w:t>
      </w:r>
      <w:r>
        <w:rPr>
          <w:spacing w:val="-4"/>
          <w:sz w:val="22"/>
        </w:rPr>
        <w:t> </w:t>
      </w:r>
      <w:r>
        <w:rPr>
          <w:sz w:val="22"/>
        </w:rPr>
        <w:t>and</w:t>
      </w:r>
      <w:r>
        <w:rPr>
          <w:spacing w:val="-6"/>
          <w:sz w:val="22"/>
        </w:rPr>
        <w:t> </w:t>
      </w:r>
      <w:r>
        <w:rPr>
          <w:sz w:val="22"/>
        </w:rPr>
        <w:t>knowledge</w:t>
      </w:r>
      <w:r>
        <w:rPr>
          <w:spacing w:val="-2"/>
          <w:sz w:val="22"/>
        </w:rPr>
        <w:t> </w:t>
      </w:r>
      <w:r>
        <w:rPr>
          <w:sz w:val="22"/>
        </w:rPr>
        <w:t>accumulated</w:t>
      </w:r>
      <w:r>
        <w:rPr>
          <w:spacing w:val="-4"/>
          <w:sz w:val="22"/>
        </w:rPr>
        <w:t> </w:t>
      </w:r>
      <w:r>
        <w:rPr>
          <w:sz w:val="22"/>
        </w:rPr>
        <w:t>by</w:t>
      </w:r>
      <w:r>
        <w:rPr>
          <w:spacing w:val="-4"/>
          <w:sz w:val="22"/>
        </w:rPr>
        <w:t> </w:t>
      </w:r>
      <w:r>
        <w:rPr>
          <w:sz w:val="22"/>
        </w:rPr>
        <w:t>PBSP</w:t>
      </w:r>
      <w:r>
        <w:rPr>
          <w:spacing w:val="-2"/>
          <w:sz w:val="22"/>
        </w:rPr>
        <w:t> </w:t>
      </w:r>
      <w:r>
        <w:rPr>
          <w:sz w:val="22"/>
        </w:rPr>
        <w:t>is available</w:t>
      </w:r>
      <w:r>
        <w:rPr>
          <w:spacing w:val="-2"/>
          <w:sz w:val="22"/>
        </w:rPr>
        <w:t> </w:t>
      </w:r>
      <w:r>
        <w:rPr>
          <w:sz w:val="22"/>
        </w:rPr>
        <w:t>to</w:t>
      </w:r>
      <w:r>
        <w:rPr>
          <w:spacing w:val="-4"/>
          <w:sz w:val="22"/>
        </w:rPr>
        <w:t> </w:t>
      </w:r>
      <w:r>
        <w:rPr>
          <w:sz w:val="22"/>
        </w:rPr>
        <w:t>key</w:t>
      </w:r>
      <w:r>
        <w:rPr>
          <w:spacing w:val="-6"/>
          <w:sz w:val="22"/>
        </w:rPr>
        <w:t> </w:t>
      </w:r>
      <w:r>
        <w:rPr>
          <w:sz w:val="22"/>
        </w:rPr>
        <w:t>stakeholders</w:t>
      </w:r>
      <w:r>
        <w:rPr>
          <w:spacing w:val="-4"/>
          <w:sz w:val="22"/>
        </w:rPr>
        <w:t> </w:t>
      </w:r>
      <w:r>
        <w:rPr>
          <w:sz w:val="22"/>
        </w:rPr>
        <w:t>in industry and government; and</w:t>
      </w:r>
    </w:p>
    <w:p>
      <w:pPr>
        <w:pStyle w:val="ListParagraph"/>
        <w:numPr>
          <w:ilvl w:val="0"/>
          <w:numId w:val="68"/>
        </w:numPr>
        <w:tabs>
          <w:tab w:pos="590" w:val="left" w:leader="none"/>
        </w:tabs>
        <w:spacing w:line="288" w:lineRule="auto" w:before="15" w:after="0"/>
        <w:ind w:left="590" w:right="544" w:hanging="359"/>
        <w:jc w:val="both"/>
        <w:rPr>
          <w:sz w:val="22"/>
        </w:rPr>
      </w:pPr>
      <w:r>
        <w:rPr>
          <w:sz w:val="22"/>
        </w:rPr>
        <w:t>preserve the</w:t>
      </w:r>
      <w:r>
        <w:rPr>
          <w:spacing w:val="-1"/>
          <w:sz w:val="22"/>
        </w:rPr>
        <w:t> </w:t>
      </w:r>
      <w:r>
        <w:rPr>
          <w:sz w:val="22"/>
        </w:rPr>
        <w:t>legacy</w:t>
      </w:r>
      <w:r>
        <w:rPr>
          <w:spacing w:val="-1"/>
          <w:sz w:val="22"/>
        </w:rPr>
        <w:t> </w:t>
      </w:r>
      <w:r>
        <w:rPr>
          <w:sz w:val="22"/>
        </w:rPr>
        <w:t>of raised powerline safety</w:t>
      </w:r>
      <w:r>
        <w:rPr>
          <w:spacing w:val="-1"/>
          <w:sz w:val="22"/>
        </w:rPr>
        <w:t> </w:t>
      </w:r>
      <w:r>
        <w:rPr>
          <w:sz w:val="22"/>
        </w:rPr>
        <w:t>standards</w:t>
      </w:r>
      <w:r>
        <w:rPr>
          <w:spacing w:val="-1"/>
          <w:sz w:val="22"/>
        </w:rPr>
        <w:t> </w:t>
      </w:r>
      <w:r>
        <w:rPr>
          <w:sz w:val="22"/>
        </w:rPr>
        <w:t>that have been directly</w:t>
      </w:r>
      <w:r>
        <w:rPr>
          <w:spacing w:val="-1"/>
          <w:sz w:val="22"/>
        </w:rPr>
        <w:t> </w:t>
      </w:r>
      <w:r>
        <w:rPr>
          <w:sz w:val="22"/>
        </w:rPr>
        <w:t>informed by PBSP</w:t>
      </w:r>
      <w:r>
        <w:rPr>
          <w:spacing w:val="-2"/>
          <w:sz w:val="22"/>
        </w:rPr>
        <w:t> </w:t>
      </w:r>
      <w:r>
        <w:rPr>
          <w:sz w:val="22"/>
        </w:rPr>
        <w:t>activities</w:t>
      </w:r>
      <w:r>
        <w:rPr>
          <w:spacing w:val="-2"/>
          <w:sz w:val="22"/>
        </w:rPr>
        <w:t> </w:t>
      </w:r>
      <w:r>
        <w:rPr>
          <w:sz w:val="22"/>
        </w:rPr>
        <w:t>and</w:t>
      </w:r>
      <w:r>
        <w:rPr>
          <w:spacing w:val="-2"/>
          <w:sz w:val="22"/>
        </w:rPr>
        <w:t> </w:t>
      </w:r>
      <w:r>
        <w:rPr>
          <w:sz w:val="22"/>
        </w:rPr>
        <w:t>now</w:t>
      </w:r>
      <w:r>
        <w:rPr>
          <w:spacing w:val="-5"/>
          <w:sz w:val="22"/>
        </w:rPr>
        <w:t> </w:t>
      </w:r>
      <w:r>
        <w:rPr>
          <w:sz w:val="22"/>
        </w:rPr>
        <w:t>codified</w:t>
      </w:r>
      <w:r>
        <w:rPr>
          <w:spacing w:val="-4"/>
          <w:sz w:val="22"/>
        </w:rPr>
        <w:t> </w:t>
      </w:r>
      <w:r>
        <w:rPr>
          <w:sz w:val="22"/>
        </w:rPr>
        <w:t>in</w:t>
      </w:r>
      <w:r>
        <w:rPr>
          <w:spacing w:val="-2"/>
          <w:sz w:val="22"/>
        </w:rPr>
        <w:t> </w:t>
      </w:r>
      <w:r>
        <w:rPr>
          <w:sz w:val="22"/>
        </w:rPr>
        <w:t>new</w:t>
      </w:r>
      <w:r>
        <w:rPr>
          <w:spacing w:val="-5"/>
          <w:sz w:val="22"/>
        </w:rPr>
        <w:t> </w:t>
      </w:r>
      <w:r>
        <w:rPr>
          <w:sz w:val="22"/>
        </w:rPr>
        <w:t>regulatory</w:t>
      </w:r>
      <w:r>
        <w:rPr>
          <w:spacing w:val="-4"/>
          <w:sz w:val="22"/>
        </w:rPr>
        <w:t> </w:t>
      </w:r>
      <w:r>
        <w:rPr>
          <w:sz w:val="22"/>
        </w:rPr>
        <w:t>instruments (Department</w:t>
      </w:r>
      <w:r>
        <w:rPr>
          <w:spacing w:val="-1"/>
          <w:sz w:val="22"/>
        </w:rPr>
        <w:t> </w:t>
      </w:r>
      <w:r>
        <w:rPr>
          <w:sz w:val="22"/>
        </w:rPr>
        <w:t>of</w:t>
      </w:r>
      <w:r>
        <w:rPr>
          <w:spacing w:val="-3"/>
          <w:sz w:val="22"/>
        </w:rPr>
        <w:t> </w:t>
      </w:r>
      <w:r>
        <w:rPr>
          <w:sz w:val="22"/>
        </w:rPr>
        <w:t>Treasury</w:t>
      </w:r>
      <w:r>
        <w:rPr>
          <w:spacing w:val="-4"/>
          <w:sz w:val="22"/>
        </w:rPr>
        <w:t> </w:t>
      </w:r>
      <w:r>
        <w:rPr>
          <w:sz w:val="22"/>
        </w:rPr>
        <w:t>and Finance, 2016).</w:t>
      </w:r>
    </w:p>
    <w:p>
      <w:pPr>
        <w:pStyle w:val="BodyText"/>
        <w:spacing w:before="9"/>
        <w:rPr>
          <w:sz w:val="20"/>
        </w:rPr>
      </w:pPr>
    </w:p>
    <w:p>
      <w:pPr>
        <w:pStyle w:val="BodyText"/>
        <w:spacing w:line="288" w:lineRule="auto"/>
        <w:ind w:left="232" w:right="374"/>
      </w:pPr>
      <w:r>
        <w:rPr/>
        <w:t>In its response to the Gateway Review, the PBSP noted that during 2017–18 it will prepare and present</w:t>
      </w:r>
      <w:r>
        <w:rPr>
          <w:spacing w:val="-3"/>
        </w:rPr>
        <w:t> </w:t>
      </w:r>
      <w:r>
        <w:rPr/>
        <w:t>a</w:t>
      </w:r>
      <w:r>
        <w:rPr>
          <w:spacing w:val="-4"/>
        </w:rPr>
        <w:t> </w:t>
      </w:r>
      <w:r>
        <w:rPr/>
        <w:t>transition</w:t>
      </w:r>
      <w:r>
        <w:rPr>
          <w:spacing w:val="-2"/>
        </w:rPr>
        <w:t> </w:t>
      </w:r>
      <w:r>
        <w:rPr/>
        <w:t>plan</w:t>
      </w:r>
      <w:r>
        <w:rPr>
          <w:spacing w:val="-4"/>
        </w:rPr>
        <w:t> </w:t>
      </w:r>
      <w:r>
        <w:rPr/>
        <w:t>to</w:t>
      </w:r>
      <w:r>
        <w:rPr>
          <w:spacing w:val="-4"/>
        </w:rPr>
        <w:t> </w:t>
      </w:r>
      <w:r>
        <w:rPr/>
        <w:t>the</w:t>
      </w:r>
      <w:r>
        <w:rPr>
          <w:spacing w:val="-1"/>
        </w:rPr>
        <w:t> </w:t>
      </w:r>
      <w:r>
        <w:rPr/>
        <w:t>Program</w:t>
      </w:r>
      <w:r>
        <w:rPr>
          <w:spacing w:val="-1"/>
        </w:rPr>
        <w:t> </w:t>
      </w:r>
      <w:r>
        <w:rPr/>
        <w:t>Control</w:t>
      </w:r>
      <w:r>
        <w:rPr>
          <w:spacing w:val="-3"/>
        </w:rPr>
        <w:t> </w:t>
      </w:r>
      <w:r>
        <w:rPr/>
        <w:t>Board</w:t>
      </w:r>
      <w:r>
        <w:rPr>
          <w:spacing w:val="-2"/>
        </w:rPr>
        <w:t> </w:t>
      </w:r>
      <w:r>
        <w:rPr/>
        <w:t>that</w:t>
      </w:r>
      <w:r>
        <w:rPr>
          <w:spacing w:val="-2"/>
        </w:rPr>
        <w:t> </w:t>
      </w:r>
      <w:r>
        <w:rPr/>
        <w:t>deals</w:t>
      </w:r>
      <w:r>
        <w:rPr>
          <w:spacing w:val="-1"/>
        </w:rPr>
        <w:t> </w:t>
      </w:r>
      <w:r>
        <w:rPr/>
        <w:t>with</w:t>
      </w:r>
      <w:r>
        <w:rPr>
          <w:spacing w:val="-2"/>
        </w:rPr>
        <w:t> </w:t>
      </w:r>
      <w:r>
        <w:rPr/>
        <w:t>the</w:t>
      </w:r>
      <w:r>
        <w:rPr>
          <w:spacing w:val="-4"/>
        </w:rPr>
        <w:t> </w:t>
      </w:r>
      <w:r>
        <w:rPr/>
        <w:t>closure</w:t>
      </w:r>
      <w:r>
        <w:rPr>
          <w:spacing w:val="-2"/>
        </w:rPr>
        <w:t> </w:t>
      </w:r>
      <w:r>
        <w:rPr/>
        <w:t>of the</w:t>
      </w:r>
      <w:r>
        <w:rPr>
          <w:spacing w:val="-4"/>
        </w:rPr>
        <w:t> </w:t>
      </w:r>
      <w:r>
        <w:rPr/>
        <w:t>LIAF</w:t>
      </w:r>
      <w:r>
        <w:rPr>
          <w:spacing w:val="-2"/>
        </w:rPr>
        <w:t> </w:t>
      </w:r>
      <w:r>
        <w:rPr/>
        <w:t>and R&amp;D components, and the handover arrangements for residual obligations to DELWP. PBSP further noted it has commenced transition planning to ensure that the benefits of PBSP will be available to other parties beyond the tenure of the program (PBSP, 2017).</w:t>
      </w:r>
    </w:p>
    <w:p>
      <w:pPr>
        <w:spacing w:after="0" w:line="288" w:lineRule="auto"/>
        <w:sectPr>
          <w:pgSz w:w="11910" w:h="16850"/>
          <w:pgMar w:header="220" w:footer="678" w:top="420" w:bottom="860" w:left="900" w:right="840"/>
        </w:sectPr>
      </w:pPr>
    </w:p>
    <w:p>
      <w:pPr>
        <w:pStyle w:val="BodyText"/>
        <w:rPr>
          <w:sz w:val="20"/>
        </w:rPr>
      </w:pPr>
    </w:p>
    <w:p>
      <w:pPr>
        <w:pStyle w:val="BodyText"/>
        <w:spacing w:before="4"/>
        <w:rPr>
          <w:sz w:val="27"/>
        </w:rPr>
      </w:pPr>
    </w:p>
    <w:p>
      <w:pPr>
        <w:pStyle w:val="BodyText"/>
        <w:ind w:left="232"/>
        <w:rPr>
          <w:sz w:val="20"/>
        </w:rPr>
      </w:pPr>
      <w:r>
        <w:rPr>
          <w:sz w:val="20"/>
        </w:rPr>
        <mc:AlternateContent>
          <mc:Choice Requires="wps">
            <w:drawing>
              <wp:inline distT="0" distB="0" distL="0" distR="0">
                <wp:extent cx="5870575" cy="1459230"/>
                <wp:effectExtent l="0" t="0" r="0" b="0"/>
                <wp:docPr id="169" name="Textbox 169"/>
                <wp:cNvGraphicFramePr>
                  <a:graphicFrameLocks/>
                </wp:cNvGraphicFramePr>
                <a:graphic>
                  <a:graphicData uri="http://schemas.microsoft.com/office/word/2010/wordprocessingShape">
                    <wps:wsp>
                      <wps:cNvPr id="169" name="Textbox 169"/>
                      <wps:cNvSpPr txBox="1"/>
                      <wps:spPr>
                        <a:xfrm>
                          <a:off x="0" y="0"/>
                          <a:ext cx="5870575" cy="1459230"/>
                        </a:xfrm>
                        <a:prstGeom prst="rect">
                          <a:avLst/>
                        </a:prstGeom>
                        <a:solidFill>
                          <a:srgbClr val="D9D9D9"/>
                        </a:solidFill>
                      </wps:spPr>
                      <wps:txbx>
                        <w:txbxContent>
                          <w:p>
                            <w:pPr>
                              <w:pStyle w:val="BodyText"/>
                              <w:rPr>
                                <w:color w:val="000000"/>
                                <w:sz w:val="24"/>
                              </w:rPr>
                            </w:pPr>
                          </w:p>
                          <w:p>
                            <w:pPr>
                              <w:spacing w:before="144"/>
                              <w:ind w:left="141" w:right="0" w:firstLine="0"/>
                              <w:jc w:val="left"/>
                              <w:rPr>
                                <w:b/>
                                <w:color w:val="000000"/>
                                <w:sz w:val="22"/>
                              </w:rPr>
                            </w:pPr>
                            <w:r>
                              <w:rPr>
                                <w:b/>
                                <w:color w:val="000000"/>
                                <w:sz w:val="22"/>
                              </w:rPr>
                              <w:t>Recommendation</w:t>
                            </w:r>
                            <w:r>
                              <w:rPr>
                                <w:b/>
                                <w:color w:val="000000"/>
                                <w:spacing w:val="-6"/>
                                <w:sz w:val="22"/>
                              </w:rPr>
                              <w:t> </w:t>
                            </w:r>
                            <w:r>
                              <w:rPr>
                                <w:b/>
                                <w:color w:val="000000"/>
                                <w:spacing w:val="-5"/>
                                <w:sz w:val="22"/>
                              </w:rPr>
                              <w:t>26</w:t>
                            </w:r>
                          </w:p>
                          <w:p>
                            <w:pPr>
                              <w:pStyle w:val="BodyText"/>
                              <w:spacing w:line="288" w:lineRule="auto" w:before="170"/>
                              <w:ind w:left="112" w:right="127"/>
                              <w:rPr>
                                <w:color w:val="000000"/>
                              </w:rPr>
                            </w:pPr>
                            <w:r>
                              <w:rPr>
                                <w:color w:val="000000"/>
                              </w:rPr>
                              <w:t>DELWP should develop a transition plan that outlines a clear pathway for the closure of its program</w:t>
                            </w:r>
                            <w:r>
                              <w:rPr>
                                <w:color w:val="000000"/>
                                <w:spacing w:val="-3"/>
                              </w:rPr>
                              <w:t> </w:t>
                            </w:r>
                            <w:r>
                              <w:rPr>
                                <w:color w:val="000000"/>
                              </w:rPr>
                              <w:t>components</w:t>
                            </w:r>
                            <w:r>
                              <w:rPr>
                                <w:color w:val="000000"/>
                                <w:spacing w:val="-3"/>
                              </w:rPr>
                              <w:t> </w:t>
                            </w:r>
                            <w:r>
                              <w:rPr>
                                <w:color w:val="000000"/>
                              </w:rPr>
                              <w:t>of</w:t>
                            </w:r>
                            <w:r>
                              <w:rPr>
                                <w:color w:val="000000"/>
                                <w:spacing w:val="-5"/>
                              </w:rPr>
                              <w:t> </w:t>
                            </w:r>
                            <w:r>
                              <w:rPr>
                                <w:color w:val="000000"/>
                              </w:rPr>
                              <w:t>the</w:t>
                            </w:r>
                            <w:r>
                              <w:rPr>
                                <w:color w:val="000000"/>
                                <w:spacing w:val="-4"/>
                              </w:rPr>
                              <w:t> </w:t>
                            </w:r>
                            <w:r>
                              <w:rPr>
                                <w:color w:val="000000"/>
                              </w:rPr>
                              <w:t>Powerline</w:t>
                            </w:r>
                            <w:r>
                              <w:rPr>
                                <w:color w:val="000000"/>
                                <w:spacing w:val="-4"/>
                              </w:rPr>
                              <w:t> </w:t>
                            </w:r>
                            <w:r>
                              <w:rPr>
                                <w:color w:val="000000"/>
                              </w:rPr>
                              <w:t>Bushfire</w:t>
                            </w:r>
                            <w:r>
                              <w:rPr>
                                <w:color w:val="000000"/>
                                <w:spacing w:val="-6"/>
                              </w:rPr>
                              <w:t> </w:t>
                            </w:r>
                            <w:r>
                              <w:rPr>
                                <w:color w:val="000000"/>
                              </w:rPr>
                              <w:t>Safety</w:t>
                            </w:r>
                            <w:r>
                              <w:rPr>
                                <w:color w:val="000000"/>
                                <w:spacing w:val="-5"/>
                              </w:rPr>
                              <w:t> </w:t>
                            </w:r>
                            <w:r>
                              <w:rPr>
                                <w:color w:val="000000"/>
                              </w:rPr>
                              <w:t>Program</w:t>
                            </w:r>
                            <w:r>
                              <w:rPr>
                                <w:color w:val="000000"/>
                                <w:spacing w:val="-5"/>
                              </w:rPr>
                              <w:t> </w:t>
                            </w:r>
                            <w:r>
                              <w:rPr>
                                <w:color w:val="000000"/>
                              </w:rPr>
                              <w:t>and</w:t>
                            </w:r>
                            <w:r>
                              <w:rPr>
                                <w:color w:val="000000"/>
                                <w:spacing w:val="-4"/>
                              </w:rPr>
                              <w:t> </w:t>
                            </w:r>
                            <w:r>
                              <w:rPr>
                                <w:color w:val="000000"/>
                              </w:rPr>
                              <w:t>handover</w:t>
                            </w:r>
                            <w:r>
                              <w:rPr>
                                <w:color w:val="000000"/>
                                <w:spacing w:val="-3"/>
                              </w:rPr>
                              <w:t> </w:t>
                            </w:r>
                            <w:r>
                              <w:rPr>
                                <w:color w:val="000000"/>
                              </w:rPr>
                              <w:t>arrangements for residual components to ensure the learning gained through the program is maintained into the future.</w:t>
                            </w:r>
                          </w:p>
                        </w:txbxContent>
                      </wps:txbx>
                      <wps:bodyPr wrap="square" lIns="0" tIns="0" rIns="0" bIns="0" rtlCol="0">
                        <a:noAutofit/>
                      </wps:bodyPr>
                    </wps:wsp>
                  </a:graphicData>
                </a:graphic>
              </wp:inline>
            </w:drawing>
          </mc:Choice>
          <mc:Fallback>
            <w:pict>
              <v:shape style="width:462.25pt;height:114.9pt;mso-position-horizontal-relative:char;mso-position-vertical-relative:line" type="#_x0000_t202" id="docshape149" filled="true" fillcolor="#d9d9d9" stroked="false">
                <w10:anchorlock/>
                <v:textbox inset="0,0,0,0">
                  <w:txbxContent>
                    <w:p>
                      <w:pPr>
                        <w:pStyle w:val="BodyText"/>
                        <w:rPr>
                          <w:color w:val="000000"/>
                          <w:sz w:val="24"/>
                        </w:rPr>
                      </w:pPr>
                    </w:p>
                    <w:p>
                      <w:pPr>
                        <w:spacing w:before="144"/>
                        <w:ind w:left="141" w:right="0" w:firstLine="0"/>
                        <w:jc w:val="left"/>
                        <w:rPr>
                          <w:b/>
                          <w:color w:val="000000"/>
                          <w:sz w:val="22"/>
                        </w:rPr>
                      </w:pPr>
                      <w:r>
                        <w:rPr>
                          <w:b/>
                          <w:color w:val="000000"/>
                          <w:sz w:val="22"/>
                        </w:rPr>
                        <w:t>Recommendation</w:t>
                      </w:r>
                      <w:r>
                        <w:rPr>
                          <w:b/>
                          <w:color w:val="000000"/>
                          <w:spacing w:val="-6"/>
                          <w:sz w:val="22"/>
                        </w:rPr>
                        <w:t> </w:t>
                      </w:r>
                      <w:r>
                        <w:rPr>
                          <w:b/>
                          <w:color w:val="000000"/>
                          <w:spacing w:val="-5"/>
                          <w:sz w:val="22"/>
                        </w:rPr>
                        <w:t>26</w:t>
                      </w:r>
                    </w:p>
                    <w:p>
                      <w:pPr>
                        <w:pStyle w:val="BodyText"/>
                        <w:spacing w:line="288" w:lineRule="auto" w:before="170"/>
                        <w:ind w:left="112" w:right="127"/>
                        <w:rPr>
                          <w:color w:val="000000"/>
                        </w:rPr>
                      </w:pPr>
                      <w:r>
                        <w:rPr>
                          <w:color w:val="000000"/>
                        </w:rPr>
                        <w:t>DELWP should develop a transition plan that outlines a clear pathway for the closure of its program</w:t>
                      </w:r>
                      <w:r>
                        <w:rPr>
                          <w:color w:val="000000"/>
                          <w:spacing w:val="-3"/>
                        </w:rPr>
                        <w:t> </w:t>
                      </w:r>
                      <w:r>
                        <w:rPr>
                          <w:color w:val="000000"/>
                        </w:rPr>
                        <w:t>components</w:t>
                      </w:r>
                      <w:r>
                        <w:rPr>
                          <w:color w:val="000000"/>
                          <w:spacing w:val="-3"/>
                        </w:rPr>
                        <w:t> </w:t>
                      </w:r>
                      <w:r>
                        <w:rPr>
                          <w:color w:val="000000"/>
                        </w:rPr>
                        <w:t>of</w:t>
                      </w:r>
                      <w:r>
                        <w:rPr>
                          <w:color w:val="000000"/>
                          <w:spacing w:val="-5"/>
                        </w:rPr>
                        <w:t> </w:t>
                      </w:r>
                      <w:r>
                        <w:rPr>
                          <w:color w:val="000000"/>
                        </w:rPr>
                        <w:t>the</w:t>
                      </w:r>
                      <w:r>
                        <w:rPr>
                          <w:color w:val="000000"/>
                          <w:spacing w:val="-4"/>
                        </w:rPr>
                        <w:t> </w:t>
                      </w:r>
                      <w:r>
                        <w:rPr>
                          <w:color w:val="000000"/>
                        </w:rPr>
                        <w:t>Powerline</w:t>
                      </w:r>
                      <w:r>
                        <w:rPr>
                          <w:color w:val="000000"/>
                          <w:spacing w:val="-4"/>
                        </w:rPr>
                        <w:t> </w:t>
                      </w:r>
                      <w:r>
                        <w:rPr>
                          <w:color w:val="000000"/>
                        </w:rPr>
                        <w:t>Bushfire</w:t>
                      </w:r>
                      <w:r>
                        <w:rPr>
                          <w:color w:val="000000"/>
                          <w:spacing w:val="-6"/>
                        </w:rPr>
                        <w:t> </w:t>
                      </w:r>
                      <w:r>
                        <w:rPr>
                          <w:color w:val="000000"/>
                        </w:rPr>
                        <w:t>Safety</w:t>
                      </w:r>
                      <w:r>
                        <w:rPr>
                          <w:color w:val="000000"/>
                          <w:spacing w:val="-5"/>
                        </w:rPr>
                        <w:t> </w:t>
                      </w:r>
                      <w:r>
                        <w:rPr>
                          <w:color w:val="000000"/>
                        </w:rPr>
                        <w:t>Program</w:t>
                      </w:r>
                      <w:r>
                        <w:rPr>
                          <w:color w:val="000000"/>
                          <w:spacing w:val="-5"/>
                        </w:rPr>
                        <w:t> </w:t>
                      </w:r>
                      <w:r>
                        <w:rPr>
                          <w:color w:val="000000"/>
                        </w:rPr>
                        <w:t>and</w:t>
                      </w:r>
                      <w:r>
                        <w:rPr>
                          <w:color w:val="000000"/>
                          <w:spacing w:val="-4"/>
                        </w:rPr>
                        <w:t> </w:t>
                      </w:r>
                      <w:r>
                        <w:rPr>
                          <w:color w:val="000000"/>
                        </w:rPr>
                        <w:t>handover</w:t>
                      </w:r>
                      <w:r>
                        <w:rPr>
                          <w:color w:val="000000"/>
                          <w:spacing w:val="-3"/>
                        </w:rPr>
                        <w:t> </w:t>
                      </w:r>
                      <w:r>
                        <w:rPr>
                          <w:color w:val="000000"/>
                        </w:rPr>
                        <w:t>arrangements for residual components to ensure the learning gained through the program is maintained into the future.</w:t>
                      </w:r>
                    </w:p>
                  </w:txbxContent>
                </v:textbox>
                <v:fill type="solid"/>
              </v:shape>
            </w:pict>
          </mc:Fallback>
        </mc:AlternateContent>
      </w:r>
      <w:r>
        <w:rPr>
          <w:sz w:val="20"/>
        </w:rPr>
      </w:r>
    </w:p>
    <w:p>
      <w:pPr>
        <w:pStyle w:val="BodyText"/>
        <w:spacing w:before="1"/>
        <w:rPr>
          <w:sz w:val="21"/>
        </w:rPr>
      </w:pPr>
    </w:p>
    <w:p>
      <w:pPr>
        <w:pStyle w:val="Heading4"/>
      </w:pPr>
      <w:r>
        <w:rPr>
          <w:color w:val="585858"/>
        </w:rPr>
        <w:t>New</w:t>
      </w:r>
      <w:r>
        <w:rPr>
          <w:color w:val="585858"/>
          <w:spacing w:val="-7"/>
        </w:rPr>
        <w:t> </w:t>
      </w:r>
      <w:r>
        <w:rPr>
          <w:color w:val="585858"/>
        </w:rPr>
        <w:t>technology</w:t>
      </w:r>
      <w:r>
        <w:rPr>
          <w:color w:val="585858"/>
          <w:spacing w:val="-12"/>
        </w:rPr>
        <w:t> </w:t>
      </w:r>
      <w:r>
        <w:rPr>
          <w:color w:val="585858"/>
        </w:rPr>
        <w:t>to</w:t>
      </w:r>
      <w:r>
        <w:rPr>
          <w:color w:val="585858"/>
          <w:spacing w:val="-11"/>
        </w:rPr>
        <w:t> </w:t>
      </w:r>
      <w:r>
        <w:rPr>
          <w:color w:val="585858"/>
        </w:rPr>
        <w:t>better</w:t>
      </w:r>
      <w:r>
        <w:rPr>
          <w:color w:val="585858"/>
          <w:spacing w:val="-12"/>
        </w:rPr>
        <w:t> </w:t>
      </w:r>
      <w:r>
        <w:rPr>
          <w:color w:val="585858"/>
        </w:rPr>
        <w:t>manage</w:t>
      </w:r>
      <w:r>
        <w:rPr>
          <w:color w:val="585858"/>
          <w:spacing w:val="-11"/>
        </w:rPr>
        <w:t> </w:t>
      </w:r>
      <w:r>
        <w:rPr>
          <w:color w:val="585858"/>
        </w:rPr>
        <w:t>bushfire</w:t>
      </w:r>
      <w:r>
        <w:rPr>
          <w:color w:val="585858"/>
          <w:spacing w:val="-12"/>
        </w:rPr>
        <w:t> </w:t>
      </w:r>
      <w:r>
        <w:rPr>
          <w:color w:val="585858"/>
          <w:spacing w:val="-4"/>
        </w:rPr>
        <w:t>risk</w:t>
      </w:r>
    </w:p>
    <w:p>
      <w:pPr>
        <w:pStyle w:val="BodyText"/>
        <w:spacing w:line="288" w:lineRule="auto" w:before="314"/>
        <w:ind w:left="232" w:right="374"/>
      </w:pPr>
      <w:r>
        <w:rPr/>
        <w:t>In a world first, Rapid Earth Fault Current Limiter (REFCL) technology is being used in Victoria to reduce the risk of bushfires being started by powerlines. As its name suggests, a REFCL can reduce the fault current to very low levels within a few hundredths of a second on an affected circuit while,</w:t>
      </w:r>
      <w:r>
        <w:rPr>
          <w:spacing w:val="-1"/>
        </w:rPr>
        <w:t> </w:t>
      </w:r>
      <w:r>
        <w:rPr/>
        <w:t>at</w:t>
      </w:r>
      <w:r>
        <w:rPr>
          <w:spacing w:val="-3"/>
        </w:rPr>
        <w:t> </w:t>
      </w:r>
      <w:r>
        <w:rPr/>
        <w:t>the</w:t>
      </w:r>
      <w:r>
        <w:rPr>
          <w:spacing w:val="-4"/>
        </w:rPr>
        <w:t> </w:t>
      </w:r>
      <w:r>
        <w:rPr/>
        <w:t>same</w:t>
      </w:r>
      <w:r>
        <w:rPr>
          <w:spacing w:val="-4"/>
        </w:rPr>
        <w:t> </w:t>
      </w:r>
      <w:r>
        <w:rPr/>
        <w:t>time,</w:t>
      </w:r>
      <w:r>
        <w:rPr>
          <w:spacing w:val="-3"/>
        </w:rPr>
        <w:t> </w:t>
      </w:r>
      <w:r>
        <w:rPr/>
        <w:t>maintaining supply</w:t>
      </w:r>
      <w:r>
        <w:rPr>
          <w:spacing w:val="-4"/>
        </w:rPr>
        <w:t> </w:t>
      </w:r>
      <w:r>
        <w:rPr/>
        <w:t>by</w:t>
      </w:r>
      <w:r>
        <w:rPr>
          <w:spacing w:val="-4"/>
        </w:rPr>
        <w:t> </w:t>
      </w:r>
      <w:r>
        <w:rPr/>
        <w:t>increasing</w:t>
      </w:r>
      <w:r>
        <w:rPr>
          <w:spacing w:val="-2"/>
        </w:rPr>
        <w:t> </w:t>
      </w:r>
      <w:r>
        <w:rPr/>
        <w:t>voltage</w:t>
      </w:r>
      <w:r>
        <w:rPr>
          <w:spacing w:val="-4"/>
        </w:rPr>
        <w:t> </w:t>
      </w:r>
      <w:r>
        <w:rPr/>
        <w:t>on</w:t>
      </w:r>
      <w:r>
        <w:rPr>
          <w:spacing w:val="-4"/>
        </w:rPr>
        <w:t> </w:t>
      </w:r>
      <w:r>
        <w:rPr/>
        <w:t>the</w:t>
      </w:r>
      <w:r>
        <w:rPr>
          <w:spacing w:val="-4"/>
        </w:rPr>
        <w:t> </w:t>
      </w:r>
      <w:r>
        <w:rPr/>
        <w:t>unaffected</w:t>
      </w:r>
      <w:r>
        <w:rPr>
          <w:spacing w:val="-4"/>
        </w:rPr>
        <w:t> </w:t>
      </w:r>
      <w:r>
        <w:rPr/>
        <w:t>circuits.</w:t>
      </w:r>
    </w:p>
    <w:p>
      <w:pPr>
        <w:pStyle w:val="BodyText"/>
        <w:spacing w:before="11"/>
        <w:rPr>
          <w:sz w:val="20"/>
        </w:rPr>
      </w:pPr>
    </w:p>
    <w:p>
      <w:pPr>
        <w:pStyle w:val="BodyText"/>
        <w:spacing w:line="288" w:lineRule="auto"/>
        <w:ind w:left="232" w:right="320"/>
      </w:pPr>
      <w:r>
        <w:rPr/>
        <w:t>Bushfires can start when a powerline fault allows an electrical current (arc) to flow from the powerline into the surrounding environment, causing a fire ignition which can lead to a bushfire in certain weather conditions. Wire-to-earth faults can occur as a result of a fallen powerline, a tree falling against</w:t>
      </w:r>
      <w:r>
        <w:rPr>
          <w:spacing w:val="-3"/>
        </w:rPr>
        <w:t> </w:t>
      </w:r>
      <w:r>
        <w:rPr/>
        <w:t>a</w:t>
      </w:r>
      <w:r>
        <w:rPr>
          <w:spacing w:val="-2"/>
        </w:rPr>
        <w:t> </w:t>
      </w:r>
      <w:r>
        <w:rPr/>
        <w:t>powerline, or</w:t>
      </w:r>
      <w:r>
        <w:rPr>
          <w:spacing w:val="-1"/>
        </w:rPr>
        <w:t> </w:t>
      </w:r>
      <w:r>
        <w:rPr/>
        <w:t>wildlife</w:t>
      </w:r>
      <w:r>
        <w:rPr>
          <w:spacing w:val="-4"/>
        </w:rPr>
        <w:t> </w:t>
      </w:r>
      <w:r>
        <w:rPr/>
        <w:t>touching</w:t>
      </w:r>
      <w:r>
        <w:rPr>
          <w:spacing w:val="-1"/>
        </w:rPr>
        <w:t> </w:t>
      </w:r>
      <w:r>
        <w:rPr/>
        <w:t>the</w:t>
      </w:r>
      <w:r>
        <w:rPr>
          <w:spacing w:val="-4"/>
        </w:rPr>
        <w:t> </w:t>
      </w:r>
      <w:r>
        <w:rPr/>
        <w:t>pole</w:t>
      </w:r>
      <w:r>
        <w:rPr>
          <w:spacing w:val="-2"/>
        </w:rPr>
        <w:t> </w:t>
      </w:r>
      <w:r>
        <w:rPr/>
        <w:t>and</w:t>
      </w:r>
      <w:r>
        <w:rPr>
          <w:spacing w:val="-2"/>
        </w:rPr>
        <w:t> </w:t>
      </w:r>
      <w:r>
        <w:rPr/>
        <w:t>powerline</w:t>
      </w:r>
      <w:r>
        <w:rPr>
          <w:spacing w:val="-2"/>
        </w:rPr>
        <w:t> </w:t>
      </w:r>
      <w:r>
        <w:rPr/>
        <w:t>at</w:t>
      </w:r>
      <w:r>
        <w:rPr>
          <w:spacing w:val="-3"/>
        </w:rPr>
        <w:t> </w:t>
      </w:r>
      <w:r>
        <w:rPr/>
        <w:t>the</w:t>
      </w:r>
      <w:r>
        <w:rPr>
          <w:spacing w:val="-2"/>
        </w:rPr>
        <w:t> </w:t>
      </w:r>
      <w:r>
        <w:rPr/>
        <w:t>same</w:t>
      </w:r>
      <w:r>
        <w:rPr>
          <w:spacing w:val="-4"/>
        </w:rPr>
        <w:t> </w:t>
      </w:r>
      <w:r>
        <w:rPr/>
        <w:t>time</w:t>
      </w:r>
      <w:r>
        <w:rPr>
          <w:spacing w:val="-2"/>
        </w:rPr>
        <w:t> </w:t>
      </w:r>
      <w:r>
        <w:rPr/>
        <w:t>(ACIL</w:t>
      </w:r>
      <w:r>
        <w:rPr>
          <w:spacing w:val="-2"/>
        </w:rPr>
        <w:t> </w:t>
      </w:r>
      <w:r>
        <w:rPr/>
        <w:t>Allen Consulting, 2015).</w:t>
      </w:r>
    </w:p>
    <w:p>
      <w:pPr>
        <w:pStyle w:val="BodyText"/>
        <w:spacing w:before="4"/>
        <w:rPr>
          <w:sz w:val="31"/>
        </w:rPr>
      </w:pPr>
    </w:p>
    <w:p>
      <w:pPr>
        <w:pStyle w:val="Heading7"/>
        <w:spacing w:before="1"/>
        <w:ind w:left="232"/>
      </w:pPr>
      <w:r>
        <w:rPr/>
        <w:t>Figure</w:t>
      </w:r>
      <w:r>
        <w:rPr>
          <w:spacing w:val="-4"/>
        </w:rPr>
        <w:t> </w:t>
      </w:r>
      <w:r>
        <w:rPr/>
        <w:t>16:</w:t>
      </w:r>
      <w:r>
        <w:rPr>
          <w:spacing w:val="-4"/>
        </w:rPr>
        <w:t> </w:t>
      </w:r>
      <w:r>
        <w:rPr/>
        <w:t>How</w:t>
      </w:r>
      <w:r>
        <w:rPr>
          <w:spacing w:val="-1"/>
        </w:rPr>
        <w:t> </w:t>
      </w:r>
      <w:r>
        <w:rPr/>
        <w:t>a</w:t>
      </w:r>
      <w:r>
        <w:rPr>
          <w:spacing w:val="-6"/>
        </w:rPr>
        <w:t> </w:t>
      </w:r>
      <w:r>
        <w:rPr/>
        <w:t>REFCL</w:t>
      </w:r>
      <w:r>
        <w:rPr>
          <w:spacing w:val="-6"/>
        </w:rPr>
        <w:t> </w:t>
      </w:r>
      <w:r>
        <w:rPr>
          <w:spacing w:val="-2"/>
        </w:rPr>
        <w:t>works</w:t>
      </w:r>
    </w:p>
    <w:p>
      <w:pPr>
        <w:pStyle w:val="BodyText"/>
        <w:rPr>
          <w:b/>
          <w:sz w:val="20"/>
        </w:rPr>
      </w:pPr>
    </w:p>
    <w:p>
      <w:pPr>
        <w:pStyle w:val="BodyText"/>
        <w:spacing w:before="8"/>
        <w:rPr>
          <w:b/>
          <w:sz w:val="10"/>
        </w:rPr>
      </w:pPr>
      <w:r>
        <w:rPr/>
        <w:drawing>
          <wp:anchor distT="0" distB="0" distL="0" distR="0" allowOverlap="1" layoutInCell="1" locked="0" behindDoc="1" simplePos="0" relativeHeight="487642624">
            <wp:simplePos x="0" y="0"/>
            <wp:positionH relativeFrom="page">
              <wp:posOffset>865536</wp:posOffset>
            </wp:positionH>
            <wp:positionV relativeFrom="paragraph">
              <wp:posOffset>93401</wp:posOffset>
            </wp:positionV>
            <wp:extent cx="5777391" cy="2621280"/>
            <wp:effectExtent l="0" t="0" r="0" b="0"/>
            <wp:wrapTopAndBottom/>
            <wp:docPr id="170" name="Image 170" descr="C:\Users\rb2f\AppData\Local\Microsoft\Windows\Temporary Internet Files\Content.Word\Fig16HowREFCLworks.jpg"/>
            <wp:cNvGraphicFramePr>
              <a:graphicFrameLocks/>
            </wp:cNvGraphicFramePr>
            <a:graphic>
              <a:graphicData uri="http://schemas.openxmlformats.org/drawingml/2006/picture">
                <pic:pic>
                  <pic:nvPicPr>
                    <pic:cNvPr id="170" name="Image 170" descr="C:\Users\rb2f\AppData\Local\Microsoft\Windows\Temporary Internet Files\Content.Word\Fig16HowREFCLworks.jpg"/>
                    <pic:cNvPicPr/>
                  </pic:nvPicPr>
                  <pic:blipFill>
                    <a:blip r:embed="rId87" cstate="print"/>
                    <a:stretch>
                      <a:fillRect/>
                    </a:stretch>
                  </pic:blipFill>
                  <pic:spPr>
                    <a:xfrm>
                      <a:off x="0" y="0"/>
                      <a:ext cx="5777391" cy="2621280"/>
                    </a:xfrm>
                    <a:prstGeom prst="rect">
                      <a:avLst/>
                    </a:prstGeom>
                  </pic:spPr>
                </pic:pic>
              </a:graphicData>
            </a:graphic>
          </wp:anchor>
        </w:drawing>
      </w:r>
    </w:p>
    <w:p>
      <w:pPr>
        <w:pStyle w:val="BodyText"/>
        <w:rPr>
          <w:b/>
          <w:sz w:val="24"/>
        </w:rPr>
      </w:pPr>
    </w:p>
    <w:p>
      <w:pPr>
        <w:pStyle w:val="BodyText"/>
        <w:spacing w:before="2"/>
        <w:rPr>
          <w:b/>
          <w:sz w:val="31"/>
        </w:rPr>
      </w:pPr>
    </w:p>
    <w:p>
      <w:pPr>
        <w:spacing w:line="290" w:lineRule="auto" w:before="0"/>
        <w:ind w:left="232" w:right="374" w:firstLine="0"/>
        <w:jc w:val="left"/>
        <w:rPr>
          <w:sz w:val="18"/>
        </w:rPr>
      </w:pPr>
      <w:r>
        <w:rPr>
          <w:sz w:val="18"/>
        </w:rPr>
        <w:t>Source:</w:t>
      </w:r>
      <w:r>
        <w:rPr>
          <w:spacing w:val="-2"/>
          <w:sz w:val="18"/>
        </w:rPr>
        <w:t> </w:t>
      </w:r>
      <w:r>
        <w:rPr>
          <w:sz w:val="18"/>
        </w:rPr>
        <w:t>Adapted</w:t>
      </w:r>
      <w:r>
        <w:rPr>
          <w:spacing w:val="-4"/>
          <w:sz w:val="18"/>
        </w:rPr>
        <w:t> </w:t>
      </w:r>
      <w:r>
        <w:rPr>
          <w:sz w:val="18"/>
        </w:rPr>
        <w:t>from</w:t>
      </w:r>
      <w:r>
        <w:rPr>
          <w:spacing w:val="-3"/>
          <w:sz w:val="18"/>
        </w:rPr>
        <w:t> </w:t>
      </w:r>
      <w:r>
        <w:rPr>
          <w:sz w:val="18"/>
        </w:rPr>
        <w:t>AusNet</w:t>
      </w:r>
      <w:r>
        <w:rPr>
          <w:spacing w:val="-4"/>
          <w:sz w:val="18"/>
        </w:rPr>
        <w:t> </w:t>
      </w:r>
      <w:r>
        <w:rPr>
          <w:sz w:val="18"/>
        </w:rPr>
        <w:t>Electricity</w:t>
      </w:r>
      <w:r>
        <w:rPr>
          <w:spacing w:val="-3"/>
          <w:sz w:val="18"/>
        </w:rPr>
        <w:t> </w:t>
      </w:r>
      <w:r>
        <w:rPr>
          <w:sz w:val="18"/>
        </w:rPr>
        <w:t>Services</w:t>
      </w:r>
      <w:r>
        <w:rPr>
          <w:spacing w:val="-2"/>
          <w:sz w:val="18"/>
        </w:rPr>
        <w:t> </w:t>
      </w:r>
      <w:r>
        <w:rPr>
          <w:sz w:val="18"/>
        </w:rPr>
        <w:t>Pty</w:t>
      </w:r>
      <w:r>
        <w:rPr>
          <w:spacing w:val="-4"/>
          <w:sz w:val="18"/>
        </w:rPr>
        <w:t> </w:t>
      </w:r>
      <w:r>
        <w:rPr>
          <w:sz w:val="18"/>
        </w:rPr>
        <w:t>Ltd,</w:t>
      </w:r>
      <w:r>
        <w:rPr>
          <w:spacing w:val="-4"/>
          <w:sz w:val="18"/>
        </w:rPr>
        <w:t> </w:t>
      </w:r>
      <w:r>
        <w:rPr>
          <w:sz w:val="18"/>
        </w:rPr>
        <w:t>Non-network</w:t>
      </w:r>
      <w:r>
        <w:rPr>
          <w:spacing w:val="-2"/>
          <w:sz w:val="18"/>
        </w:rPr>
        <w:t> </w:t>
      </w:r>
      <w:r>
        <w:rPr>
          <w:sz w:val="18"/>
        </w:rPr>
        <w:t>options</w:t>
      </w:r>
      <w:r>
        <w:rPr>
          <w:spacing w:val="-2"/>
          <w:sz w:val="18"/>
        </w:rPr>
        <w:t> </w:t>
      </w:r>
      <w:r>
        <w:rPr>
          <w:sz w:val="18"/>
        </w:rPr>
        <w:t>to</w:t>
      </w:r>
      <w:r>
        <w:rPr>
          <w:spacing w:val="-3"/>
          <w:sz w:val="18"/>
        </w:rPr>
        <w:t> </w:t>
      </w:r>
      <w:r>
        <w:rPr>
          <w:sz w:val="18"/>
        </w:rPr>
        <w:t>comply</w:t>
      </w:r>
      <w:r>
        <w:rPr>
          <w:spacing w:val="-4"/>
          <w:sz w:val="18"/>
        </w:rPr>
        <w:t> </w:t>
      </w:r>
      <w:r>
        <w:rPr>
          <w:sz w:val="18"/>
        </w:rPr>
        <w:t>with</w:t>
      </w:r>
      <w:r>
        <w:rPr>
          <w:spacing w:val="-3"/>
          <w:sz w:val="18"/>
        </w:rPr>
        <w:t> </w:t>
      </w:r>
      <w:r>
        <w:rPr>
          <w:sz w:val="18"/>
        </w:rPr>
        <w:t>Bushfire</w:t>
      </w:r>
      <w:r>
        <w:rPr>
          <w:spacing w:val="-3"/>
          <w:sz w:val="18"/>
        </w:rPr>
        <w:t> </w:t>
      </w:r>
      <w:r>
        <w:rPr>
          <w:sz w:val="18"/>
        </w:rPr>
        <w:t>Mitigation Regulations Notice of Determination under Clause 5.17.4(c) of the National Electricity Rules (2017, p.8).</w:t>
      </w:r>
    </w:p>
    <w:p>
      <w:pPr>
        <w:pStyle w:val="BodyText"/>
        <w:rPr>
          <w:sz w:val="20"/>
        </w:rPr>
      </w:pPr>
    </w:p>
    <w:p>
      <w:pPr>
        <w:pStyle w:val="BodyText"/>
        <w:spacing w:line="288" w:lineRule="auto" w:before="127"/>
        <w:ind w:left="232" w:right="330"/>
      </w:pPr>
      <w:r>
        <w:rPr/>
        <w:t>The</w:t>
      </w:r>
      <w:r>
        <w:rPr>
          <w:spacing w:val="-4"/>
        </w:rPr>
        <w:t> </w:t>
      </w:r>
      <w:r>
        <w:rPr/>
        <w:t>effectiveness</w:t>
      </w:r>
      <w:r>
        <w:rPr>
          <w:spacing w:val="-2"/>
        </w:rPr>
        <w:t> </w:t>
      </w:r>
      <w:r>
        <w:rPr/>
        <w:t>of REFCLs</w:t>
      </w:r>
      <w:r>
        <w:rPr>
          <w:spacing w:val="-2"/>
        </w:rPr>
        <w:t> </w:t>
      </w:r>
      <w:r>
        <w:rPr/>
        <w:t>as</w:t>
      </w:r>
      <w:r>
        <w:rPr>
          <w:spacing w:val="-1"/>
        </w:rPr>
        <w:t> </w:t>
      </w:r>
      <w:r>
        <w:rPr/>
        <w:t>a</w:t>
      </w:r>
      <w:r>
        <w:rPr>
          <w:spacing w:val="-6"/>
        </w:rPr>
        <w:t> </w:t>
      </w:r>
      <w:r>
        <w:rPr/>
        <w:t>fire-prevention</w:t>
      </w:r>
      <w:r>
        <w:rPr>
          <w:spacing w:val="-2"/>
        </w:rPr>
        <w:t> </w:t>
      </w:r>
      <w:r>
        <w:rPr/>
        <w:t>technology</w:t>
      </w:r>
      <w:r>
        <w:rPr>
          <w:spacing w:val="-4"/>
        </w:rPr>
        <w:t> </w:t>
      </w:r>
      <w:r>
        <w:rPr/>
        <w:t>has</w:t>
      </w:r>
      <w:r>
        <w:rPr>
          <w:spacing w:val="-1"/>
        </w:rPr>
        <w:t> </w:t>
      </w:r>
      <w:r>
        <w:rPr/>
        <w:t>been</w:t>
      </w:r>
      <w:r>
        <w:rPr>
          <w:spacing w:val="-4"/>
        </w:rPr>
        <w:t> </w:t>
      </w:r>
      <w:r>
        <w:rPr/>
        <w:t>demonstrated</w:t>
      </w:r>
      <w:r>
        <w:rPr>
          <w:spacing w:val="-4"/>
        </w:rPr>
        <w:t> </w:t>
      </w:r>
      <w:r>
        <w:rPr/>
        <w:t>in</w:t>
      </w:r>
      <w:r>
        <w:rPr>
          <w:spacing w:val="-2"/>
        </w:rPr>
        <w:t> </w:t>
      </w:r>
      <w:r>
        <w:rPr/>
        <w:t>a</w:t>
      </w:r>
      <w:r>
        <w:rPr>
          <w:spacing w:val="-4"/>
        </w:rPr>
        <w:t> </w:t>
      </w:r>
      <w:r>
        <w:rPr/>
        <w:t>series</w:t>
      </w:r>
      <w:r>
        <w:rPr>
          <w:spacing w:val="-6"/>
        </w:rPr>
        <w:t> </w:t>
      </w:r>
      <w:r>
        <w:rPr/>
        <w:t>of trials conducted by the Victorian Government in close cooperation with electricity distribution businesses and research experts. The field trials demonstrated that REFCLs can suppress arc- induced bushfire ignitions from wire-to-earth faults on 22 kV polyphase powerlines by reducing</w:t>
      </w:r>
      <w:r>
        <w:rPr>
          <w:spacing w:val="40"/>
        </w:rPr>
        <w:t> </w:t>
      </w:r>
      <w:r>
        <w:rPr/>
        <w:t>fault currents to very low levels almost instantaneously (Marxsen Consulting, 2015).</w:t>
      </w:r>
    </w:p>
    <w:p>
      <w:pPr>
        <w:spacing w:after="0" w:line="288" w:lineRule="auto"/>
        <w:sectPr>
          <w:pgSz w:w="11910" w:h="16850"/>
          <w:pgMar w:header="220" w:footer="678" w:top="420" w:bottom="860" w:left="900" w:right="840"/>
        </w:sectPr>
      </w:pPr>
    </w:p>
    <w:p>
      <w:pPr>
        <w:pStyle w:val="BodyText"/>
        <w:rPr>
          <w:sz w:val="20"/>
        </w:rPr>
      </w:pPr>
    </w:p>
    <w:p>
      <w:pPr>
        <w:pStyle w:val="BodyText"/>
        <w:spacing w:before="2"/>
        <w:rPr>
          <w:sz w:val="19"/>
        </w:rPr>
      </w:pPr>
    </w:p>
    <w:p>
      <w:pPr>
        <w:pStyle w:val="BodyText"/>
        <w:spacing w:line="288" w:lineRule="auto" w:before="94"/>
        <w:ind w:left="232" w:right="374"/>
      </w:pPr>
      <w:r>
        <w:rPr/>
        <w:t>REFCL technology tested in Victoria has been developed further than in any other REFCL installation in the world, particularly to prevent fire ignitions. Whilst REFCLs have been used in Europe</w:t>
      </w:r>
      <w:r>
        <w:rPr>
          <w:spacing w:val="-2"/>
        </w:rPr>
        <w:t> </w:t>
      </w:r>
      <w:r>
        <w:rPr/>
        <w:t>since</w:t>
      </w:r>
      <w:r>
        <w:rPr>
          <w:spacing w:val="-4"/>
        </w:rPr>
        <w:t> </w:t>
      </w:r>
      <w:r>
        <w:rPr/>
        <w:t>the</w:t>
      </w:r>
      <w:r>
        <w:rPr>
          <w:spacing w:val="-4"/>
        </w:rPr>
        <w:t> </w:t>
      </w:r>
      <w:r>
        <w:rPr/>
        <w:t>early</w:t>
      </w:r>
      <w:r>
        <w:rPr>
          <w:spacing w:val="-4"/>
        </w:rPr>
        <w:t> </w:t>
      </w:r>
      <w:r>
        <w:rPr/>
        <w:t>1990s</w:t>
      </w:r>
      <w:r>
        <w:rPr>
          <w:spacing w:val="-1"/>
        </w:rPr>
        <w:t> </w:t>
      </w:r>
      <w:r>
        <w:rPr/>
        <w:t>to</w:t>
      </w:r>
      <w:r>
        <w:rPr>
          <w:spacing w:val="-4"/>
        </w:rPr>
        <w:t> </w:t>
      </w:r>
      <w:r>
        <w:rPr/>
        <w:t>improve</w:t>
      </w:r>
      <w:r>
        <w:rPr>
          <w:spacing w:val="-2"/>
        </w:rPr>
        <w:t> </w:t>
      </w:r>
      <w:r>
        <w:rPr/>
        <w:t>supply</w:t>
      </w:r>
      <w:r>
        <w:rPr>
          <w:spacing w:val="-4"/>
        </w:rPr>
        <w:t> </w:t>
      </w:r>
      <w:r>
        <w:rPr/>
        <w:t>reliability, they</w:t>
      </w:r>
      <w:r>
        <w:rPr>
          <w:spacing w:val="-4"/>
        </w:rPr>
        <w:t> </w:t>
      </w:r>
      <w:r>
        <w:rPr/>
        <w:t>have</w:t>
      </w:r>
      <w:r>
        <w:rPr>
          <w:spacing w:val="-2"/>
        </w:rPr>
        <w:t> </w:t>
      </w:r>
      <w:r>
        <w:rPr/>
        <w:t>not</w:t>
      </w:r>
      <w:r>
        <w:rPr>
          <w:spacing w:val="-1"/>
        </w:rPr>
        <w:t> </w:t>
      </w:r>
      <w:r>
        <w:rPr/>
        <w:t>previously</w:t>
      </w:r>
      <w:r>
        <w:rPr>
          <w:spacing w:val="-4"/>
        </w:rPr>
        <w:t> </w:t>
      </w:r>
      <w:r>
        <w:rPr/>
        <w:t>been</w:t>
      </w:r>
      <w:r>
        <w:rPr>
          <w:spacing w:val="-2"/>
        </w:rPr>
        <w:t> </w:t>
      </w:r>
      <w:r>
        <w:rPr/>
        <w:t>used</w:t>
      </w:r>
      <w:r>
        <w:rPr>
          <w:spacing w:val="-4"/>
        </w:rPr>
        <w:t> </w:t>
      </w:r>
      <w:r>
        <w:rPr/>
        <w:t>for fire safety measures.</w:t>
      </w:r>
    </w:p>
    <w:p>
      <w:pPr>
        <w:pStyle w:val="BodyText"/>
        <w:spacing w:before="4"/>
        <w:rPr>
          <w:sz w:val="31"/>
        </w:rPr>
      </w:pPr>
    </w:p>
    <w:p>
      <w:pPr>
        <w:pStyle w:val="Heading4"/>
        <w:spacing w:before="0"/>
      </w:pPr>
      <w:r>
        <w:rPr>
          <w:color w:val="585858"/>
        </w:rPr>
        <w:t>The</w:t>
      </w:r>
      <w:r>
        <w:rPr>
          <w:color w:val="585858"/>
          <w:spacing w:val="-12"/>
        </w:rPr>
        <w:t> </w:t>
      </w:r>
      <w:r>
        <w:rPr>
          <w:color w:val="585858"/>
        </w:rPr>
        <w:t>research</w:t>
      </w:r>
      <w:r>
        <w:rPr>
          <w:color w:val="585858"/>
          <w:spacing w:val="-9"/>
        </w:rPr>
        <w:t> </w:t>
      </w:r>
      <w:r>
        <w:rPr>
          <w:color w:val="585858"/>
          <w:spacing w:val="-2"/>
        </w:rPr>
        <w:t>program</w:t>
      </w:r>
    </w:p>
    <w:p>
      <w:pPr>
        <w:pStyle w:val="BodyText"/>
        <w:spacing w:line="288" w:lineRule="auto" w:before="314"/>
        <w:ind w:left="232" w:right="374"/>
      </w:pPr>
      <w:r>
        <w:rPr/>
        <w:t>The</w:t>
      </w:r>
      <w:r>
        <w:rPr>
          <w:spacing w:val="-4"/>
        </w:rPr>
        <w:t> </w:t>
      </w:r>
      <w:r>
        <w:rPr/>
        <w:t>Powerline</w:t>
      </w:r>
      <w:r>
        <w:rPr>
          <w:spacing w:val="-2"/>
        </w:rPr>
        <w:t> </w:t>
      </w:r>
      <w:r>
        <w:rPr/>
        <w:t>Bushfire</w:t>
      </w:r>
      <w:r>
        <w:rPr>
          <w:spacing w:val="-6"/>
        </w:rPr>
        <w:t> </w:t>
      </w:r>
      <w:r>
        <w:rPr/>
        <w:t>Safety</w:t>
      </w:r>
      <w:r>
        <w:rPr>
          <w:spacing w:val="-6"/>
        </w:rPr>
        <w:t> </w:t>
      </w:r>
      <w:r>
        <w:rPr/>
        <w:t>Taskforce</w:t>
      </w:r>
      <w:r>
        <w:rPr>
          <w:spacing w:val="-2"/>
        </w:rPr>
        <w:t> </w:t>
      </w:r>
      <w:r>
        <w:rPr/>
        <w:t>conducted</w:t>
      </w:r>
      <w:r>
        <w:rPr>
          <w:spacing w:val="-2"/>
        </w:rPr>
        <w:t> </w:t>
      </w:r>
      <w:r>
        <w:rPr/>
        <w:t>an</w:t>
      </w:r>
      <w:r>
        <w:rPr>
          <w:spacing w:val="-4"/>
        </w:rPr>
        <w:t> </w:t>
      </w:r>
      <w:r>
        <w:rPr/>
        <w:t>analysis</w:t>
      </w:r>
      <w:r>
        <w:rPr>
          <w:spacing w:val="-1"/>
        </w:rPr>
        <w:t> </w:t>
      </w:r>
      <w:r>
        <w:rPr/>
        <w:t>of fires</w:t>
      </w:r>
      <w:r>
        <w:rPr>
          <w:spacing w:val="-4"/>
        </w:rPr>
        <w:t> </w:t>
      </w:r>
      <w:r>
        <w:rPr/>
        <w:t>started</w:t>
      </w:r>
      <w:r>
        <w:rPr>
          <w:spacing w:val="-4"/>
        </w:rPr>
        <w:t> </w:t>
      </w:r>
      <w:r>
        <w:rPr/>
        <w:t>by</w:t>
      </w:r>
      <w:r>
        <w:rPr>
          <w:spacing w:val="-4"/>
        </w:rPr>
        <w:t> </w:t>
      </w:r>
      <w:r>
        <w:rPr/>
        <w:t>powerlines</w:t>
      </w:r>
      <w:r>
        <w:rPr>
          <w:spacing w:val="-1"/>
        </w:rPr>
        <w:t> </w:t>
      </w:r>
      <w:r>
        <w:rPr/>
        <w:t>and presented its final report to the Victorian Government in September 2011. The Taskforce found that the majority of fires in rural distribution areas in 2009 were started by polyphase powerlines (PBSP, 2011) and identified that:</w:t>
      </w:r>
    </w:p>
    <w:p>
      <w:pPr>
        <w:pStyle w:val="BodyText"/>
        <w:spacing w:before="3"/>
      </w:pPr>
    </w:p>
    <w:p>
      <w:pPr>
        <w:pStyle w:val="ListParagraph"/>
        <w:numPr>
          <w:ilvl w:val="0"/>
          <w:numId w:val="68"/>
        </w:numPr>
        <w:tabs>
          <w:tab w:pos="590" w:val="left" w:leader="none"/>
        </w:tabs>
        <w:spacing w:line="285" w:lineRule="auto" w:before="1" w:after="0"/>
        <w:ind w:left="590" w:right="298" w:hanging="359"/>
        <w:jc w:val="left"/>
        <w:rPr>
          <w:sz w:val="22"/>
        </w:rPr>
      </w:pPr>
      <w:r>
        <w:rPr>
          <w:sz w:val="22"/>
        </w:rPr>
        <w:t>the</w:t>
      </w:r>
      <w:r>
        <w:rPr>
          <w:spacing w:val="-3"/>
          <w:sz w:val="22"/>
        </w:rPr>
        <w:t> </w:t>
      </w:r>
      <w:r>
        <w:rPr>
          <w:sz w:val="22"/>
        </w:rPr>
        <w:t>consequence</w:t>
      </w:r>
      <w:r>
        <w:rPr>
          <w:spacing w:val="-3"/>
          <w:sz w:val="22"/>
        </w:rPr>
        <w:t> </w:t>
      </w:r>
      <w:r>
        <w:rPr>
          <w:sz w:val="22"/>
        </w:rPr>
        <w:t>of</w:t>
      </w:r>
      <w:r>
        <w:rPr>
          <w:spacing w:val="-1"/>
          <w:sz w:val="22"/>
        </w:rPr>
        <w:t> </w:t>
      </w:r>
      <w:r>
        <w:rPr>
          <w:sz w:val="22"/>
        </w:rPr>
        <w:t>starting</w:t>
      </w:r>
      <w:r>
        <w:rPr>
          <w:spacing w:val="-1"/>
          <w:sz w:val="22"/>
        </w:rPr>
        <w:t> </w:t>
      </w:r>
      <w:r>
        <w:rPr>
          <w:sz w:val="22"/>
        </w:rPr>
        <w:t>a</w:t>
      </w:r>
      <w:r>
        <w:rPr>
          <w:spacing w:val="-5"/>
          <w:sz w:val="22"/>
        </w:rPr>
        <w:t> </w:t>
      </w:r>
      <w:r>
        <w:rPr>
          <w:sz w:val="22"/>
        </w:rPr>
        <w:t>bushfire</w:t>
      </w:r>
      <w:r>
        <w:rPr>
          <w:spacing w:val="-3"/>
          <w:sz w:val="22"/>
        </w:rPr>
        <w:t> </w:t>
      </w:r>
      <w:r>
        <w:rPr>
          <w:sz w:val="22"/>
        </w:rPr>
        <w:t>varies</w:t>
      </w:r>
      <w:r>
        <w:rPr>
          <w:spacing w:val="-2"/>
          <w:sz w:val="22"/>
        </w:rPr>
        <w:t> </w:t>
      </w:r>
      <w:r>
        <w:rPr>
          <w:sz w:val="22"/>
        </w:rPr>
        <w:t>across</w:t>
      </w:r>
      <w:r>
        <w:rPr>
          <w:spacing w:val="-3"/>
          <w:sz w:val="22"/>
        </w:rPr>
        <w:t> </w:t>
      </w:r>
      <w:r>
        <w:rPr>
          <w:sz w:val="22"/>
        </w:rPr>
        <w:t>the</w:t>
      </w:r>
      <w:r>
        <w:rPr>
          <w:spacing w:val="-2"/>
          <w:sz w:val="22"/>
        </w:rPr>
        <w:t> </w:t>
      </w:r>
      <w:r>
        <w:rPr>
          <w:sz w:val="22"/>
        </w:rPr>
        <w:t>State,</w:t>
      </w:r>
      <w:r>
        <w:rPr>
          <w:spacing w:val="-4"/>
          <w:sz w:val="22"/>
        </w:rPr>
        <w:t> </w:t>
      </w:r>
      <w:r>
        <w:rPr>
          <w:sz w:val="22"/>
        </w:rPr>
        <w:t>and</w:t>
      </w:r>
      <w:r>
        <w:rPr>
          <w:spacing w:val="-5"/>
          <w:sz w:val="22"/>
        </w:rPr>
        <w:t> </w:t>
      </w:r>
      <w:r>
        <w:rPr>
          <w:sz w:val="22"/>
        </w:rPr>
        <w:t>is</w:t>
      </w:r>
      <w:r>
        <w:rPr>
          <w:spacing w:val="-2"/>
          <w:sz w:val="22"/>
        </w:rPr>
        <w:t> </w:t>
      </w:r>
      <w:r>
        <w:rPr>
          <w:sz w:val="22"/>
        </w:rPr>
        <w:t>determined</w:t>
      </w:r>
      <w:r>
        <w:rPr>
          <w:spacing w:val="-1"/>
          <w:sz w:val="22"/>
        </w:rPr>
        <w:t> </w:t>
      </w:r>
      <w:r>
        <w:rPr>
          <w:sz w:val="22"/>
        </w:rPr>
        <w:t>by</w:t>
      </w:r>
      <w:r>
        <w:rPr>
          <w:spacing w:val="-5"/>
          <w:sz w:val="22"/>
        </w:rPr>
        <w:t> </w:t>
      </w:r>
      <w:r>
        <w:rPr>
          <w:sz w:val="22"/>
        </w:rPr>
        <w:t>population exposure based on expected bushfire behaviour;</w:t>
      </w:r>
    </w:p>
    <w:p>
      <w:pPr>
        <w:pStyle w:val="ListParagraph"/>
        <w:numPr>
          <w:ilvl w:val="0"/>
          <w:numId w:val="68"/>
        </w:numPr>
        <w:tabs>
          <w:tab w:pos="590" w:val="left" w:leader="none"/>
        </w:tabs>
        <w:spacing w:line="285" w:lineRule="auto" w:before="20" w:after="0"/>
        <w:ind w:left="590" w:right="1426" w:hanging="359"/>
        <w:jc w:val="left"/>
        <w:rPr>
          <w:sz w:val="22"/>
        </w:rPr>
      </w:pPr>
      <w:r>
        <w:rPr>
          <w:sz w:val="22"/>
        </w:rPr>
        <w:t>electrical</w:t>
      </w:r>
      <w:r>
        <w:rPr>
          <w:spacing w:val="-3"/>
          <w:sz w:val="22"/>
        </w:rPr>
        <w:t> </w:t>
      </w:r>
      <w:r>
        <w:rPr>
          <w:sz w:val="22"/>
        </w:rPr>
        <w:t>arcs</w:t>
      </w:r>
      <w:r>
        <w:rPr>
          <w:spacing w:val="-4"/>
          <w:sz w:val="22"/>
        </w:rPr>
        <w:t> </w:t>
      </w:r>
      <w:r>
        <w:rPr>
          <w:sz w:val="22"/>
        </w:rPr>
        <w:t>(caused</w:t>
      </w:r>
      <w:r>
        <w:rPr>
          <w:spacing w:val="-4"/>
          <w:sz w:val="22"/>
        </w:rPr>
        <w:t> </w:t>
      </w:r>
      <w:r>
        <w:rPr>
          <w:sz w:val="22"/>
        </w:rPr>
        <w:t>by</w:t>
      </w:r>
      <w:r>
        <w:rPr>
          <w:spacing w:val="-4"/>
          <w:sz w:val="22"/>
        </w:rPr>
        <w:t> </w:t>
      </w:r>
      <w:r>
        <w:rPr>
          <w:sz w:val="22"/>
        </w:rPr>
        <w:t>faults)</w:t>
      </w:r>
      <w:r>
        <w:rPr>
          <w:spacing w:val="-3"/>
          <w:sz w:val="22"/>
        </w:rPr>
        <w:t> </w:t>
      </w:r>
      <w:r>
        <w:rPr>
          <w:sz w:val="22"/>
        </w:rPr>
        <w:t>can,</w:t>
      </w:r>
      <w:r>
        <w:rPr>
          <w:spacing w:val="-3"/>
          <w:sz w:val="22"/>
        </w:rPr>
        <w:t> </w:t>
      </w:r>
      <w:r>
        <w:rPr>
          <w:sz w:val="22"/>
        </w:rPr>
        <w:t>in</w:t>
      </w:r>
      <w:r>
        <w:rPr>
          <w:spacing w:val="-2"/>
          <w:sz w:val="22"/>
        </w:rPr>
        <w:t> </w:t>
      </w:r>
      <w:r>
        <w:rPr>
          <w:sz w:val="22"/>
        </w:rPr>
        <w:t>worst</w:t>
      </w:r>
      <w:r>
        <w:rPr>
          <w:spacing w:val="-2"/>
          <w:sz w:val="22"/>
        </w:rPr>
        <w:t> </w:t>
      </w:r>
      <w:r>
        <w:rPr>
          <w:sz w:val="22"/>
        </w:rPr>
        <w:t>weather</w:t>
      </w:r>
      <w:r>
        <w:rPr>
          <w:spacing w:val="-3"/>
          <w:sz w:val="22"/>
        </w:rPr>
        <w:t> </w:t>
      </w:r>
      <w:r>
        <w:rPr>
          <w:sz w:val="22"/>
        </w:rPr>
        <w:t>conditions,</w:t>
      </w:r>
      <w:r>
        <w:rPr>
          <w:spacing w:val="-3"/>
          <w:sz w:val="22"/>
        </w:rPr>
        <w:t> </w:t>
      </w:r>
      <w:r>
        <w:rPr>
          <w:sz w:val="22"/>
        </w:rPr>
        <w:t>start a</w:t>
      </w:r>
      <w:r>
        <w:rPr>
          <w:spacing w:val="-6"/>
          <w:sz w:val="22"/>
        </w:rPr>
        <w:t> </w:t>
      </w:r>
      <w:r>
        <w:rPr>
          <w:sz w:val="22"/>
        </w:rPr>
        <w:t>bushfire in </w:t>
      </w:r>
      <w:r>
        <w:rPr>
          <w:spacing w:val="-2"/>
          <w:sz w:val="22"/>
        </w:rPr>
        <w:t>milliseconds;</w:t>
      </w:r>
    </w:p>
    <w:p>
      <w:pPr>
        <w:pStyle w:val="ListParagraph"/>
        <w:numPr>
          <w:ilvl w:val="0"/>
          <w:numId w:val="68"/>
        </w:numPr>
        <w:tabs>
          <w:tab w:pos="590" w:val="left" w:leader="none"/>
        </w:tabs>
        <w:spacing w:line="240" w:lineRule="auto" w:before="19" w:after="0"/>
        <w:ind w:left="590" w:right="0" w:hanging="358"/>
        <w:jc w:val="left"/>
        <w:rPr>
          <w:sz w:val="22"/>
        </w:rPr>
      </w:pPr>
      <w:r>
        <w:rPr>
          <w:sz w:val="22"/>
        </w:rPr>
        <w:t>different</w:t>
      </w:r>
      <w:r>
        <w:rPr>
          <w:spacing w:val="-9"/>
          <w:sz w:val="22"/>
        </w:rPr>
        <w:t> </w:t>
      </w:r>
      <w:r>
        <w:rPr>
          <w:sz w:val="22"/>
        </w:rPr>
        <w:t>types</w:t>
      </w:r>
      <w:r>
        <w:rPr>
          <w:spacing w:val="-6"/>
          <w:sz w:val="22"/>
        </w:rPr>
        <w:t> </w:t>
      </w:r>
      <w:r>
        <w:rPr>
          <w:sz w:val="22"/>
        </w:rPr>
        <w:t>of</w:t>
      </w:r>
      <w:r>
        <w:rPr>
          <w:spacing w:val="-6"/>
          <w:sz w:val="22"/>
        </w:rPr>
        <w:t> </w:t>
      </w:r>
      <w:r>
        <w:rPr>
          <w:sz w:val="22"/>
        </w:rPr>
        <w:t>electrical</w:t>
      </w:r>
      <w:r>
        <w:rPr>
          <w:spacing w:val="-9"/>
          <w:sz w:val="22"/>
        </w:rPr>
        <w:t> </w:t>
      </w:r>
      <w:r>
        <w:rPr>
          <w:sz w:val="22"/>
        </w:rPr>
        <w:t>faults</w:t>
      </w:r>
      <w:r>
        <w:rPr>
          <w:spacing w:val="-9"/>
          <w:sz w:val="22"/>
        </w:rPr>
        <w:t> </w:t>
      </w:r>
      <w:r>
        <w:rPr>
          <w:sz w:val="22"/>
        </w:rPr>
        <w:t>require</w:t>
      </w:r>
      <w:r>
        <w:rPr>
          <w:spacing w:val="-9"/>
          <w:sz w:val="22"/>
        </w:rPr>
        <w:t> </w:t>
      </w:r>
      <w:r>
        <w:rPr>
          <w:sz w:val="22"/>
        </w:rPr>
        <w:t>different</w:t>
      </w:r>
      <w:r>
        <w:rPr>
          <w:spacing w:val="-7"/>
          <w:sz w:val="22"/>
        </w:rPr>
        <w:t> </w:t>
      </w:r>
      <w:r>
        <w:rPr>
          <w:sz w:val="22"/>
        </w:rPr>
        <w:t>technological</w:t>
      </w:r>
      <w:r>
        <w:rPr>
          <w:spacing w:val="-8"/>
          <w:sz w:val="22"/>
        </w:rPr>
        <w:t> </w:t>
      </w:r>
      <w:r>
        <w:rPr>
          <w:sz w:val="22"/>
        </w:rPr>
        <w:t>approaches;</w:t>
      </w:r>
      <w:r>
        <w:rPr>
          <w:spacing w:val="-5"/>
          <w:sz w:val="22"/>
        </w:rPr>
        <w:t> and</w:t>
      </w:r>
    </w:p>
    <w:p>
      <w:pPr>
        <w:pStyle w:val="ListParagraph"/>
        <w:numPr>
          <w:ilvl w:val="0"/>
          <w:numId w:val="68"/>
        </w:numPr>
        <w:tabs>
          <w:tab w:pos="590" w:val="left" w:leader="none"/>
        </w:tabs>
        <w:spacing w:line="285" w:lineRule="auto" w:before="67" w:after="0"/>
        <w:ind w:left="590" w:right="740" w:hanging="359"/>
        <w:jc w:val="left"/>
        <w:rPr>
          <w:sz w:val="22"/>
        </w:rPr>
      </w:pPr>
      <w:r>
        <w:rPr>
          <w:sz w:val="22"/>
        </w:rPr>
        <w:t>REFCLs</w:t>
      </w:r>
      <w:r>
        <w:rPr>
          <w:spacing w:val="-3"/>
          <w:sz w:val="22"/>
        </w:rPr>
        <w:t> </w:t>
      </w:r>
      <w:r>
        <w:rPr>
          <w:sz w:val="22"/>
        </w:rPr>
        <w:t>are</w:t>
      </w:r>
      <w:r>
        <w:rPr>
          <w:spacing w:val="-5"/>
          <w:sz w:val="22"/>
        </w:rPr>
        <w:t> </w:t>
      </w:r>
      <w:r>
        <w:rPr>
          <w:sz w:val="22"/>
        </w:rPr>
        <w:t>the</w:t>
      </w:r>
      <w:r>
        <w:rPr>
          <w:spacing w:val="-5"/>
          <w:sz w:val="22"/>
        </w:rPr>
        <w:t> </w:t>
      </w:r>
      <w:r>
        <w:rPr>
          <w:sz w:val="22"/>
        </w:rPr>
        <w:t>most</w:t>
      </w:r>
      <w:r>
        <w:rPr>
          <w:spacing w:val="-1"/>
          <w:sz w:val="22"/>
        </w:rPr>
        <w:t> </w:t>
      </w:r>
      <w:r>
        <w:rPr>
          <w:sz w:val="22"/>
        </w:rPr>
        <w:t>cost-effective</w:t>
      </w:r>
      <w:r>
        <w:rPr>
          <w:spacing w:val="-3"/>
          <w:sz w:val="22"/>
        </w:rPr>
        <w:t> </w:t>
      </w:r>
      <w:r>
        <w:rPr>
          <w:sz w:val="22"/>
        </w:rPr>
        <w:t>means</w:t>
      </w:r>
      <w:r>
        <w:rPr>
          <w:spacing w:val="-5"/>
          <w:sz w:val="22"/>
        </w:rPr>
        <w:t> </w:t>
      </w:r>
      <w:r>
        <w:rPr>
          <w:sz w:val="22"/>
        </w:rPr>
        <w:t>of</w:t>
      </w:r>
      <w:r>
        <w:rPr>
          <w:spacing w:val="-1"/>
          <w:sz w:val="22"/>
        </w:rPr>
        <w:t> </w:t>
      </w:r>
      <w:r>
        <w:rPr>
          <w:sz w:val="22"/>
        </w:rPr>
        <w:t>treating</w:t>
      </w:r>
      <w:r>
        <w:rPr>
          <w:spacing w:val="-3"/>
          <w:sz w:val="22"/>
        </w:rPr>
        <w:t> </w:t>
      </w:r>
      <w:r>
        <w:rPr>
          <w:sz w:val="22"/>
        </w:rPr>
        <w:t>risk</w:t>
      </w:r>
      <w:r>
        <w:rPr>
          <w:spacing w:val="-2"/>
          <w:sz w:val="22"/>
        </w:rPr>
        <w:t> </w:t>
      </w:r>
      <w:r>
        <w:rPr>
          <w:sz w:val="22"/>
        </w:rPr>
        <w:t>on</w:t>
      </w:r>
      <w:r>
        <w:rPr>
          <w:spacing w:val="-3"/>
          <w:sz w:val="22"/>
        </w:rPr>
        <w:t> </w:t>
      </w:r>
      <w:r>
        <w:rPr>
          <w:sz w:val="22"/>
        </w:rPr>
        <w:t>polyphase</w:t>
      </w:r>
      <w:r>
        <w:rPr>
          <w:spacing w:val="-3"/>
          <w:sz w:val="22"/>
        </w:rPr>
        <w:t> </w:t>
      </w:r>
      <w:r>
        <w:rPr>
          <w:sz w:val="22"/>
        </w:rPr>
        <w:t>lines –</w:t>
      </w:r>
      <w:r>
        <w:rPr>
          <w:spacing w:val="-3"/>
          <w:sz w:val="22"/>
        </w:rPr>
        <w:t> </w:t>
      </w:r>
      <w:r>
        <w:rPr>
          <w:sz w:val="22"/>
        </w:rPr>
        <w:t>and</w:t>
      </w:r>
      <w:r>
        <w:rPr>
          <w:spacing w:val="-5"/>
          <w:sz w:val="22"/>
        </w:rPr>
        <w:t> </w:t>
      </w:r>
      <w:r>
        <w:rPr>
          <w:sz w:val="22"/>
        </w:rPr>
        <w:t>lessen likelihood of ignition by 70 per cent.</w:t>
      </w:r>
    </w:p>
    <w:p>
      <w:pPr>
        <w:pStyle w:val="BodyText"/>
        <w:spacing w:before="1"/>
        <w:rPr>
          <w:sz w:val="21"/>
        </w:rPr>
      </w:pPr>
    </w:p>
    <w:p>
      <w:pPr>
        <w:pStyle w:val="BodyText"/>
        <w:spacing w:line="288" w:lineRule="auto"/>
        <w:ind w:left="232" w:right="302"/>
      </w:pPr>
      <w:r>
        <w:rPr/>
        <w:t>Traditional protection technology in Victoria detects faults and turns off the affected powerline</w:t>
      </w:r>
      <w:r>
        <w:rPr/>
        <w:t> within a timeframe that allows the action of switches along the powerline to be coordinated, to minimise</w:t>
      </w:r>
      <w:r>
        <w:rPr>
          <w:spacing w:val="-2"/>
        </w:rPr>
        <w:t> </w:t>
      </w:r>
      <w:r>
        <w:rPr/>
        <w:t>the</w:t>
      </w:r>
      <w:r>
        <w:rPr>
          <w:spacing w:val="-4"/>
        </w:rPr>
        <w:t> </w:t>
      </w:r>
      <w:r>
        <w:rPr/>
        <w:t>number</w:t>
      </w:r>
      <w:r>
        <w:rPr>
          <w:spacing w:val="-3"/>
        </w:rPr>
        <w:t> </w:t>
      </w:r>
      <w:r>
        <w:rPr/>
        <w:t>of</w:t>
      </w:r>
      <w:r>
        <w:rPr>
          <w:spacing w:val="-3"/>
        </w:rPr>
        <w:t> </w:t>
      </w:r>
      <w:r>
        <w:rPr/>
        <w:t>customers</w:t>
      </w:r>
      <w:r>
        <w:rPr>
          <w:spacing w:val="-3"/>
        </w:rPr>
        <w:t> </w:t>
      </w:r>
      <w:r>
        <w:rPr/>
        <w:t>that lose</w:t>
      </w:r>
      <w:r>
        <w:rPr>
          <w:spacing w:val="-4"/>
        </w:rPr>
        <w:t> </w:t>
      </w:r>
      <w:r>
        <w:rPr/>
        <w:t>supply</w:t>
      </w:r>
      <w:r>
        <w:rPr>
          <w:spacing w:val="-2"/>
        </w:rPr>
        <w:t> </w:t>
      </w:r>
      <w:r>
        <w:rPr/>
        <w:t>when</w:t>
      </w:r>
      <w:r>
        <w:rPr>
          <w:spacing w:val="-2"/>
        </w:rPr>
        <w:t> </w:t>
      </w:r>
      <w:r>
        <w:rPr/>
        <w:t>a</w:t>
      </w:r>
      <w:r>
        <w:rPr>
          <w:spacing w:val="-3"/>
        </w:rPr>
        <w:t> </w:t>
      </w:r>
      <w:r>
        <w:rPr/>
        <w:t>fault</w:t>
      </w:r>
      <w:r>
        <w:rPr>
          <w:spacing w:val="-3"/>
        </w:rPr>
        <w:t> </w:t>
      </w:r>
      <w:r>
        <w:rPr/>
        <w:t>occurs.</w:t>
      </w:r>
      <w:r>
        <w:rPr>
          <w:spacing w:val="-3"/>
        </w:rPr>
        <w:t> </w:t>
      </w:r>
      <w:r>
        <w:rPr/>
        <w:t>However, this</w:t>
      </w:r>
      <w:r>
        <w:rPr>
          <w:spacing w:val="-4"/>
        </w:rPr>
        <w:t> </w:t>
      </w:r>
      <w:r>
        <w:rPr/>
        <w:t>regime</w:t>
      </w:r>
      <w:r>
        <w:rPr>
          <w:spacing w:val="-4"/>
        </w:rPr>
        <w:t> </w:t>
      </w:r>
      <w:r>
        <w:rPr/>
        <w:t>does not operate fast enough to be able to turn off powerlines within the timeframe required to minimise the likelihood that a fire will be ignited.</w:t>
      </w:r>
    </w:p>
    <w:p>
      <w:pPr>
        <w:pStyle w:val="BodyText"/>
        <w:spacing w:before="9"/>
        <w:rPr>
          <w:sz w:val="20"/>
        </w:rPr>
      </w:pPr>
    </w:p>
    <w:p>
      <w:pPr>
        <w:pStyle w:val="BodyText"/>
        <w:spacing w:line="288" w:lineRule="auto"/>
        <w:ind w:left="232" w:right="374"/>
      </w:pPr>
      <w:r>
        <w:rPr/>
        <w:t>The Taskforce research on fire ignitions indicated that the likelihood of powerlines starting bushfires</w:t>
      </w:r>
      <w:r>
        <w:rPr>
          <w:spacing w:val="-4"/>
        </w:rPr>
        <w:t> </w:t>
      </w:r>
      <w:r>
        <w:rPr/>
        <w:t>could</w:t>
      </w:r>
      <w:r>
        <w:rPr>
          <w:spacing w:val="-2"/>
        </w:rPr>
        <w:t> </w:t>
      </w:r>
      <w:r>
        <w:rPr/>
        <w:t>be</w:t>
      </w:r>
      <w:r>
        <w:rPr>
          <w:spacing w:val="-4"/>
        </w:rPr>
        <w:t> </w:t>
      </w:r>
      <w:r>
        <w:rPr/>
        <w:t>substantially</w:t>
      </w:r>
      <w:r>
        <w:rPr>
          <w:spacing w:val="-4"/>
        </w:rPr>
        <w:t> </w:t>
      </w:r>
      <w:r>
        <w:rPr/>
        <w:t>reduced</w:t>
      </w:r>
      <w:r>
        <w:rPr>
          <w:spacing w:val="-2"/>
        </w:rPr>
        <w:t> </w:t>
      </w:r>
      <w:r>
        <w:rPr/>
        <w:t>if the</w:t>
      </w:r>
      <w:r>
        <w:rPr>
          <w:spacing w:val="-2"/>
        </w:rPr>
        <w:t> </w:t>
      </w:r>
      <w:r>
        <w:rPr/>
        <w:t>sensitivity</w:t>
      </w:r>
      <w:r>
        <w:rPr>
          <w:spacing w:val="-4"/>
        </w:rPr>
        <w:t> </w:t>
      </w:r>
      <w:r>
        <w:rPr/>
        <w:t>and</w:t>
      </w:r>
      <w:r>
        <w:rPr>
          <w:spacing w:val="-2"/>
        </w:rPr>
        <w:t> </w:t>
      </w:r>
      <w:r>
        <w:rPr/>
        <w:t>speed</w:t>
      </w:r>
      <w:r>
        <w:rPr>
          <w:spacing w:val="-2"/>
        </w:rPr>
        <w:t> </w:t>
      </w:r>
      <w:r>
        <w:rPr/>
        <w:t>of</w:t>
      </w:r>
      <w:r>
        <w:rPr>
          <w:spacing w:val="-3"/>
        </w:rPr>
        <w:t> </w:t>
      </w:r>
      <w:r>
        <w:rPr/>
        <w:t>the</w:t>
      </w:r>
      <w:r>
        <w:rPr>
          <w:spacing w:val="-4"/>
        </w:rPr>
        <w:t> </w:t>
      </w:r>
      <w:r>
        <w:rPr/>
        <w:t>protection</w:t>
      </w:r>
      <w:r>
        <w:rPr>
          <w:spacing w:val="-2"/>
        </w:rPr>
        <w:t> </w:t>
      </w:r>
      <w:r>
        <w:rPr/>
        <w:t>equipment was improved so that more faults were detected more quickly (PBSP, 2011).</w:t>
      </w:r>
    </w:p>
    <w:p>
      <w:pPr>
        <w:pStyle w:val="BodyText"/>
        <w:rPr>
          <w:sz w:val="21"/>
        </w:rPr>
      </w:pPr>
    </w:p>
    <w:p>
      <w:pPr>
        <w:pStyle w:val="BodyText"/>
        <w:ind w:left="232"/>
      </w:pPr>
      <w:r>
        <w:rPr/>
        <w:t>The</w:t>
      </w:r>
      <w:r>
        <w:rPr>
          <w:spacing w:val="-8"/>
        </w:rPr>
        <w:t> </w:t>
      </w:r>
      <w:r>
        <w:rPr/>
        <w:t>Taskforce</w:t>
      </w:r>
      <w:r>
        <w:rPr>
          <w:spacing w:val="-6"/>
        </w:rPr>
        <w:t> </w:t>
      </w:r>
      <w:r>
        <w:rPr/>
        <w:t>estimated</w:t>
      </w:r>
      <w:r>
        <w:rPr>
          <w:spacing w:val="-4"/>
        </w:rPr>
        <w:t> that:</w:t>
      </w:r>
    </w:p>
    <w:p>
      <w:pPr>
        <w:pStyle w:val="BodyText"/>
        <w:spacing w:before="2"/>
        <w:rPr>
          <w:sz w:val="25"/>
        </w:rPr>
      </w:pPr>
    </w:p>
    <w:p>
      <w:pPr>
        <w:spacing w:line="288" w:lineRule="auto" w:before="0"/>
        <w:ind w:left="799" w:right="868" w:firstLine="0"/>
        <w:jc w:val="left"/>
        <w:rPr>
          <w:i/>
          <w:sz w:val="22"/>
        </w:rPr>
      </w:pPr>
      <w:r>
        <w:rPr>
          <w:i/>
          <w:sz w:val="22"/>
        </w:rPr>
        <w:t>“If a REFCL is installed at all zone substations in Victoria, the state‘s bushfire risk is reduced</w:t>
      </w:r>
      <w:r>
        <w:rPr>
          <w:i/>
          <w:spacing w:val="-3"/>
          <w:sz w:val="22"/>
        </w:rPr>
        <w:t> </w:t>
      </w:r>
      <w:r>
        <w:rPr>
          <w:i/>
          <w:sz w:val="22"/>
        </w:rPr>
        <w:t>by</w:t>
      </w:r>
      <w:r>
        <w:rPr>
          <w:i/>
          <w:spacing w:val="-5"/>
          <w:sz w:val="22"/>
        </w:rPr>
        <w:t> </w:t>
      </w:r>
      <w:r>
        <w:rPr>
          <w:i/>
          <w:sz w:val="22"/>
        </w:rPr>
        <w:t>around</w:t>
      </w:r>
      <w:r>
        <w:rPr>
          <w:i/>
          <w:spacing w:val="-6"/>
          <w:sz w:val="22"/>
        </w:rPr>
        <w:t> </w:t>
      </w:r>
      <w:r>
        <w:rPr>
          <w:i/>
          <w:sz w:val="22"/>
        </w:rPr>
        <w:t>50</w:t>
      </w:r>
      <w:r>
        <w:rPr>
          <w:i/>
          <w:spacing w:val="-5"/>
          <w:sz w:val="22"/>
        </w:rPr>
        <w:t> </w:t>
      </w:r>
      <w:r>
        <w:rPr>
          <w:i/>
          <w:sz w:val="22"/>
        </w:rPr>
        <w:t>per</w:t>
      </w:r>
      <w:r>
        <w:rPr>
          <w:i/>
          <w:spacing w:val="-2"/>
          <w:sz w:val="22"/>
        </w:rPr>
        <w:t> </w:t>
      </w:r>
      <w:r>
        <w:rPr>
          <w:i/>
          <w:sz w:val="22"/>
        </w:rPr>
        <w:t>cent.</w:t>
      </w:r>
      <w:r>
        <w:rPr>
          <w:i/>
          <w:spacing w:val="-4"/>
          <w:sz w:val="22"/>
        </w:rPr>
        <w:t> </w:t>
      </w:r>
      <w:r>
        <w:rPr>
          <w:i/>
          <w:sz w:val="22"/>
        </w:rPr>
        <w:t>If</w:t>
      </w:r>
      <w:r>
        <w:rPr>
          <w:i/>
          <w:spacing w:val="-1"/>
          <w:sz w:val="22"/>
        </w:rPr>
        <w:t> </w:t>
      </w:r>
      <w:r>
        <w:rPr>
          <w:i/>
          <w:sz w:val="22"/>
        </w:rPr>
        <w:t>a</w:t>
      </w:r>
      <w:r>
        <w:rPr>
          <w:i/>
          <w:spacing w:val="-5"/>
          <w:sz w:val="22"/>
        </w:rPr>
        <w:t> </w:t>
      </w:r>
      <w:r>
        <w:rPr>
          <w:i/>
          <w:sz w:val="22"/>
        </w:rPr>
        <w:t>REFCL</w:t>
      </w:r>
      <w:r>
        <w:rPr>
          <w:i/>
          <w:spacing w:val="-3"/>
          <w:sz w:val="22"/>
        </w:rPr>
        <w:t> </w:t>
      </w:r>
      <w:r>
        <w:rPr>
          <w:i/>
          <w:sz w:val="22"/>
        </w:rPr>
        <w:t>is</w:t>
      </w:r>
      <w:r>
        <w:rPr>
          <w:i/>
          <w:spacing w:val="-3"/>
          <w:sz w:val="22"/>
        </w:rPr>
        <w:t> </w:t>
      </w:r>
      <w:r>
        <w:rPr>
          <w:i/>
          <w:sz w:val="22"/>
        </w:rPr>
        <w:t>installed</w:t>
      </w:r>
      <w:r>
        <w:rPr>
          <w:i/>
          <w:spacing w:val="-3"/>
          <w:sz w:val="22"/>
        </w:rPr>
        <w:t> </w:t>
      </w:r>
      <w:r>
        <w:rPr>
          <w:i/>
          <w:sz w:val="22"/>
        </w:rPr>
        <w:t>at</w:t>
      </w:r>
      <w:r>
        <w:rPr>
          <w:i/>
          <w:spacing w:val="-2"/>
          <w:sz w:val="22"/>
        </w:rPr>
        <w:t> </w:t>
      </w:r>
      <w:r>
        <w:rPr>
          <w:i/>
          <w:sz w:val="22"/>
        </w:rPr>
        <w:t>all</w:t>
      </w:r>
      <w:r>
        <w:rPr>
          <w:i/>
          <w:spacing w:val="-1"/>
          <w:sz w:val="22"/>
        </w:rPr>
        <w:t> </w:t>
      </w:r>
      <w:r>
        <w:rPr>
          <w:i/>
          <w:sz w:val="22"/>
        </w:rPr>
        <w:t>zone</w:t>
      </w:r>
      <w:r>
        <w:rPr>
          <w:i/>
          <w:spacing w:val="-3"/>
          <w:sz w:val="22"/>
        </w:rPr>
        <w:t> </w:t>
      </w:r>
      <w:r>
        <w:rPr>
          <w:i/>
          <w:sz w:val="22"/>
        </w:rPr>
        <w:t>substations</w:t>
      </w:r>
      <w:r>
        <w:rPr>
          <w:i/>
          <w:spacing w:val="-2"/>
          <w:sz w:val="22"/>
        </w:rPr>
        <w:t> </w:t>
      </w:r>
      <w:r>
        <w:rPr>
          <w:i/>
          <w:sz w:val="22"/>
        </w:rPr>
        <w:t>that</w:t>
      </w:r>
      <w:r>
        <w:rPr>
          <w:i/>
          <w:spacing w:val="-1"/>
          <w:sz w:val="22"/>
        </w:rPr>
        <w:t> </w:t>
      </w:r>
      <w:r>
        <w:rPr>
          <w:i/>
          <w:sz w:val="22"/>
        </w:rPr>
        <w:t>have at least part of one powerline that is in an extreme fire loss consequence area, the</w:t>
      </w:r>
    </w:p>
    <w:p>
      <w:pPr>
        <w:spacing w:before="1"/>
        <w:ind w:left="799" w:right="0" w:firstLine="0"/>
        <w:jc w:val="left"/>
        <w:rPr>
          <w:sz w:val="22"/>
        </w:rPr>
      </w:pPr>
      <w:r>
        <w:rPr>
          <w:i/>
          <w:sz w:val="22"/>
        </w:rPr>
        <w:t>state‘s</w:t>
      </w:r>
      <w:r>
        <w:rPr>
          <w:i/>
          <w:spacing w:val="-3"/>
          <w:sz w:val="22"/>
        </w:rPr>
        <w:t> </w:t>
      </w:r>
      <w:r>
        <w:rPr>
          <w:i/>
          <w:sz w:val="22"/>
        </w:rPr>
        <w:t>bushfire</w:t>
      </w:r>
      <w:r>
        <w:rPr>
          <w:i/>
          <w:spacing w:val="-5"/>
          <w:sz w:val="22"/>
        </w:rPr>
        <w:t> </w:t>
      </w:r>
      <w:r>
        <w:rPr>
          <w:i/>
          <w:sz w:val="22"/>
        </w:rPr>
        <w:t>risk</w:t>
      </w:r>
      <w:r>
        <w:rPr>
          <w:i/>
          <w:spacing w:val="-6"/>
          <w:sz w:val="22"/>
        </w:rPr>
        <w:t> </w:t>
      </w:r>
      <w:r>
        <w:rPr>
          <w:i/>
          <w:sz w:val="22"/>
        </w:rPr>
        <w:t>is</w:t>
      </w:r>
      <w:r>
        <w:rPr>
          <w:i/>
          <w:spacing w:val="-5"/>
          <w:sz w:val="22"/>
        </w:rPr>
        <w:t> </w:t>
      </w:r>
      <w:r>
        <w:rPr>
          <w:i/>
          <w:sz w:val="22"/>
        </w:rPr>
        <w:t>reduced</w:t>
      </w:r>
      <w:r>
        <w:rPr>
          <w:i/>
          <w:spacing w:val="-4"/>
          <w:sz w:val="22"/>
        </w:rPr>
        <w:t> </w:t>
      </w:r>
      <w:r>
        <w:rPr>
          <w:i/>
          <w:sz w:val="22"/>
        </w:rPr>
        <w:t>by</w:t>
      </w:r>
      <w:r>
        <w:rPr>
          <w:i/>
          <w:spacing w:val="-3"/>
          <w:sz w:val="22"/>
        </w:rPr>
        <w:t> </w:t>
      </w:r>
      <w:r>
        <w:rPr>
          <w:i/>
          <w:sz w:val="22"/>
        </w:rPr>
        <w:t>around</w:t>
      </w:r>
      <w:r>
        <w:rPr>
          <w:i/>
          <w:spacing w:val="-6"/>
          <w:sz w:val="22"/>
        </w:rPr>
        <w:t> </w:t>
      </w:r>
      <w:r>
        <w:rPr>
          <w:i/>
          <w:sz w:val="22"/>
        </w:rPr>
        <w:t>35</w:t>
      </w:r>
      <w:r>
        <w:rPr>
          <w:i/>
          <w:spacing w:val="-3"/>
          <w:sz w:val="22"/>
        </w:rPr>
        <w:t> </w:t>
      </w:r>
      <w:r>
        <w:rPr>
          <w:i/>
          <w:sz w:val="22"/>
        </w:rPr>
        <w:t>per</w:t>
      </w:r>
      <w:r>
        <w:rPr>
          <w:i/>
          <w:spacing w:val="-5"/>
          <w:sz w:val="22"/>
        </w:rPr>
        <w:t> </w:t>
      </w:r>
      <w:r>
        <w:rPr>
          <w:i/>
          <w:sz w:val="22"/>
        </w:rPr>
        <w:t>cent.”</w:t>
      </w:r>
      <w:r>
        <w:rPr>
          <w:i/>
          <w:spacing w:val="-9"/>
          <w:sz w:val="22"/>
        </w:rPr>
        <w:t> </w:t>
      </w:r>
      <w:r>
        <w:rPr>
          <w:sz w:val="22"/>
        </w:rPr>
        <w:t>(PBSP,</w:t>
      </w:r>
      <w:r>
        <w:rPr>
          <w:spacing w:val="-1"/>
          <w:sz w:val="22"/>
        </w:rPr>
        <w:t> </w:t>
      </w:r>
      <w:r>
        <w:rPr>
          <w:sz w:val="22"/>
        </w:rPr>
        <w:t>2011,</w:t>
      </w:r>
      <w:r>
        <w:rPr>
          <w:spacing w:val="-2"/>
          <w:sz w:val="22"/>
        </w:rPr>
        <w:t> </w:t>
      </w:r>
      <w:r>
        <w:rPr>
          <w:sz w:val="22"/>
        </w:rPr>
        <w:t>p.</w:t>
      </w:r>
      <w:r>
        <w:rPr>
          <w:spacing w:val="-1"/>
          <w:sz w:val="22"/>
        </w:rPr>
        <w:t> </w:t>
      </w:r>
      <w:r>
        <w:rPr>
          <w:spacing w:val="-5"/>
          <w:sz w:val="22"/>
        </w:rPr>
        <w:t>67)</w:t>
      </w:r>
    </w:p>
    <w:p>
      <w:pPr>
        <w:pStyle w:val="BodyText"/>
        <w:spacing w:before="2"/>
        <w:rPr>
          <w:sz w:val="25"/>
        </w:rPr>
      </w:pPr>
    </w:p>
    <w:p>
      <w:pPr>
        <w:pStyle w:val="BodyText"/>
        <w:spacing w:line="288" w:lineRule="auto"/>
        <w:ind w:left="232" w:right="525"/>
      </w:pPr>
      <w:r>
        <w:rPr/>
        <w:t>This led</w:t>
      </w:r>
      <w:r>
        <w:rPr>
          <w:spacing w:val="-3"/>
        </w:rPr>
        <w:t> </w:t>
      </w:r>
      <w:r>
        <w:rPr/>
        <w:t>to</w:t>
      </w:r>
      <w:r>
        <w:rPr>
          <w:spacing w:val="-3"/>
        </w:rPr>
        <w:t> </w:t>
      </w:r>
      <w:r>
        <w:rPr/>
        <w:t>the</w:t>
      </w:r>
      <w:r>
        <w:rPr>
          <w:spacing w:val="-6"/>
        </w:rPr>
        <w:t> </w:t>
      </w:r>
      <w:r>
        <w:rPr/>
        <w:t>Taskforce</w:t>
      </w:r>
      <w:r>
        <w:rPr>
          <w:spacing w:val="-3"/>
        </w:rPr>
        <w:t> </w:t>
      </w:r>
      <w:r>
        <w:rPr/>
        <w:t>recommendation</w:t>
      </w:r>
      <w:r>
        <w:rPr>
          <w:spacing w:val="-3"/>
        </w:rPr>
        <w:t> </w:t>
      </w:r>
      <w:r>
        <w:rPr/>
        <w:t>to</w:t>
      </w:r>
      <w:r>
        <w:rPr>
          <w:spacing w:val="-1"/>
        </w:rPr>
        <w:t> </w:t>
      </w:r>
      <w:r>
        <w:rPr/>
        <w:t>install</w:t>
      </w:r>
      <w:r>
        <w:rPr>
          <w:spacing w:val="-1"/>
        </w:rPr>
        <w:t> </w:t>
      </w:r>
      <w:r>
        <w:rPr/>
        <w:t>REFCLs</w:t>
      </w:r>
      <w:r>
        <w:rPr>
          <w:spacing w:val="-1"/>
        </w:rPr>
        <w:t> </w:t>
      </w:r>
      <w:r>
        <w:rPr/>
        <w:t>on</w:t>
      </w:r>
      <w:r>
        <w:rPr>
          <w:spacing w:val="-1"/>
        </w:rPr>
        <w:t> </w:t>
      </w:r>
      <w:r>
        <w:rPr/>
        <w:t>22</w:t>
      </w:r>
      <w:r>
        <w:rPr>
          <w:spacing w:val="-3"/>
        </w:rPr>
        <w:t> </w:t>
      </w:r>
      <w:r>
        <w:rPr/>
        <w:t>kV</w:t>
      </w:r>
      <w:r>
        <w:rPr>
          <w:spacing w:val="-4"/>
        </w:rPr>
        <w:t> </w:t>
      </w:r>
      <w:r>
        <w:rPr/>
        <w:t>powerlines to</w:t>
      </w:r>
      <w:r>
        <w:rPr>
          <w:spacing w:val="-1"/>
        </w:rPr>
        <w:t> </w:t>
      </w:r>
      <w:r>
        <w:rPr/>
        <w:t>reduce</w:t>
      </w:r>
      <w:r>
        <w:rPr>
          <w:spacing w:val="-3"/>
        </w:rPr>
        <w:t> </w:t>
      </w:r>
      <w:r>
        <w:rPr/>
        <w:t>the risk of bushfires. The Taskforce also indicated the need for further research and development, noting that REFCLs had not previously been used for bushfire suppression.</w:t>
      </w:r>
    </w:p>
    <w:p>
      <w:pPr>
        <w:pStyle w:val="BodyText"/>
        <w:rPr>
          <w:sz w:val="21"/>
        </w:rPr>
      </w:pPr>
    </w:p>
    <w:p>
      <w:pPr>
        <w:pStyle w:val="BodyText"/>
        <w:spacing w:line="288" w:lineRule="auto"/>
        <w:ind w:left="232" w:right="374"/>
      </w:pPr>
      <w:r>
        <w:rPr/>
        <w:t>The PBSP, tasked with implementing these recommendations, conducted a research program in conjunction</w:t>
      </w:r>
      <w:r>
        <w:rPr>
          <w:spacing w:val="-2"/>
        </w:rPr>
        <w:t> </w:t>
      </w:r>
      <w:r>
        <w:rPr/>
        <w:t>with</w:t>
      </w:r>
      <w:r>
        <w:rPr>
          <w:spacing w:val="-2"/>
        </w:rPr>
        <w:t> </w:t>
      </w:r>
      <w:r>
        <w:rPr/>
        <w:t>electricity</w:t>
      </w:r>
      <w:r>
        <w:rPr>
          <w:spacing w:val="-4"/>
        </w:rPr>
        <w:t> </w:t>
      </w:r>
      <w:r>
        <w:rPr/>
        <w:t>distribution</w:t>
      </w:r>
      <w:r>
        <w:rPr>
          <w:spacing w:val="-2"/>
        </w:rPr>
        <w:t> </w:t>
      </w:r>
      <w:r>
        <w:rPr/>
        <w:t>businesses</w:t>
      </w:r>
      <w:r>
        <w:rPr>
          <w:spacing w:val="-4"/>
        </w:rPr>
        <w:t> </w:t>
      </w:r>
      <w:r>
        <w:rPr/>
        <w:t>to</w:t>
      </w:r>
      <w:r>
        <w:rPr>
          <w:spacing w:val="-4"/>
        </w:rPr>
        <w:t> </w:t>
      </w:r>
      <w:r>
        <w:rPr/>
        <w:t>determine</w:t>
      </w:r>
      <w:r>
        <w:rPr>
          <w:spacing w:val="-4"/>
        </w:rPr>
        <w:t> </w:t>
      </w:r>
      <w:r>
        <w:rPr/>
        <w:t>the</w:t>
      </w:r>
      <w:r>
        <w:rPr>
          <w:spacing w:val="-4"/>
        </w:rPr>
        <w:t> </w:t>
      </w:r>
      <w:r>
        <w:rPr/>
        <w:t>optimal</w:t>
      </w:r>
      <w:r>
        <w:rPr>
          <w:spacing w:val="-5"/>
        </w:rPr>
        <w:t> </w:t>
      </w:r>
      <w:r>
        <w:rPr/>
        <w:t>way</w:t>
      </w:r>
      <w:r>
        <w:rPr>
          <w:spacing w:val="-4"/>
        </w:rPr>
        <w:t> </w:t>
      </w:r>
      <w:r>
        <w:rPr/>
        <w:t>to</w:t>
      </w:r>
      <w:r>
        <w:rPr>
          <w:spacing w:val="-2"/>
        </w:rPr>
        <w:t> </w:t>
      </w:r>
      <w:r>
        <w:rPr/>
        <w:t>deploy</w:t>
      </w:r>
      <w:r>
        <w:rPr>
          <w:spacing w:val="-4"/>
        </w:rPr>
        <w:t> </w:t>
      </w:r>
      <w:r>
        <w:rPr/>
        <w:t>REFCLs for bushfire prevention in worst-case, Black Saturday type conditions. Testing of REFCL technology first occurred at United Energy’s Frankston South zone substation in 2014 to:</w:t>
      </w:r>
    </w:p>
    <w:p>
      <w:pPr>
        <w:pStyle w:val="BodyText"/>
        <w:spacing w:before="2"/>
      </w:pPr>
    </w:p>
    <w:p>
      <w:pPr>
        <w:pStyle w:val="ListParagraph"/>
        <w:numPr>
          <w:ilvl w:val="0"/>
          <w:numId w:val="69"/>
        </w:numPr>
        <w:tabs>
          <w:tab w:pos="734" w:val="left" w:leader="none"/>
        </w:tabs>
        <w:spacing w:line="288" w:lineRule="auto" w:before="0" w:after="0"/>
        <w:ind w:left="734" w:right="357" w:hanging="361"/>
        <w:jc w:val="left"/>
        <w:rPr>
          <w:sz w:val="22"/>
        </w:rPr>
      </w:pPr>
      <w:r>
        <w:rPr>
          <w:sz w:val="22"/>
        </w:rPr>
        <w:t>determine</w:t>
      </w:r>
      <w:r>
        <w:rPr>
          <w:spacing w:val="-3"/>
          <w:sz w:val="22"/>
        </w:rPr>
        <w:t> </w:t>
      </w:r>
      <w:r>
        <w:rPr>
          <w:sz w:val="22"/>
        </w:rPr>
        <w:t>whether</w:t>
      </w:r>
      <w:r>
        <w:rPr>
          <w:spacing w:val="-2"/>
          <w:sz w:val="22"/>
        </w:rPr>
        <w:t> </w:t>
      </w:r>
      <w:r>
        <w:rPr>
          <w:sz w:val="22"/>
        </w:rPr>
        <w:t>REFCL</w:t>
      </w:r>
      <w:r>
        <w:rPr>
          <w:spacing w:val="-3"/>
          <w:sz w:val="22"/>
        </w:rPr>
        <w:t> </w:t>
      </w:r>
      <w:r>
        <w:rPr>
          <w:sz w:val="22"/>
        </w:rPr>
        <w:t>technology</w:t>
      </w:r>
      <w:r>
        <w:rPr>
          <w:spacing w:val="-5"/>
          <w:sz w:val="22"/>
        </w:rPr>
        <w:t> </w:t>
      </w:r>
      <w:r>
        <w:rPr>
          <w:sz w:val="22"/>
        </w:rPr>
        <w:t>was</w:t>
      </w:r>
      <w:r>
        <w:rPr>
          <w:spacing w:val="-3"/>
          <w:sz w:val="22"/>
        </w:rPr>
        <w:t> </w:t>
      </w:r>
      <w:r>
        <w:rPr>
          <w:sz w:val="22"/>
        </w:rPr>
        <w:t>effective</w:t>
      </w:r>
      <w:r>
        <w:rPr>
          <w:spacing w:val="-3"/>
          <w:sz w:val="22"/>
        </w:rPr>
        <w:t> </w:t>
      </w:r>
      <w:r>
        <w:rPr>
          <w:sz w:val="22"/>
        </w:rPr>
        <w:t>in</w:t>
      </w:r>
      <w:r>
        <w:rPr>
          <w:spacing w:val="-3"/>
          <w:sz w:val="22"/>
        </w:rPr>
        <w:t> </w:t>
      </w:r>
      <w:r>
        <w:rPr>
          <w:sz w:val="22"/>
        </w:rPr>
        <w:t>reducing</w:t>
      </w:r>
      <w:r>
        <w:rPr>
          <w:spacing w:val="-5"/>
          <w:sz w:val="22"/>
        </w:rPr>
        <w:t> </w:t>
      </w:r>
      <w:r>
        <w:rPr>
          <w:sz w:val="22"/>
        </w:rPr>
        <w:t>fire</w:t>
      </w:r>
      <w:r>
        <w:rPr>
          <w:spacing w:val="-3"/>
          <w:sz w:val="22"/>
        </w:rPr>
        <w:t> </w:t>
      </w:r>
      <w:r>
        <w:rPr>
          <w:sz w:val="22"/>
        </w:rPr>
        <w:t>starts</w:t>
      </w:r>
      <w:r>
        <w:rPr>
          <w:spacing w:val="-6"/>
          <w:sz w:val="22"/>
        </w:rPr>
        <w:t> </w:t>
      </w:r>
      <w:r>
        <w:rPr>
          <w:sz w:val="22"/>
        </w:rPr>
        <w:t>from</w:t>
      </w:r>
      <w:r>
        <w:rPr>
          <w:spacing w:val="-4"/>
          <w:sz w:val="22"/>
        </w:rPr>
        <w:t> </w:t>
      </w:r>
      <w:r>
        <w:rPr>
          <w:sz w:val="22"/>
        </w:rPr>
        <w:t>electrical</w:t>
      </w:r>
      <w:r>
        <w:rPr>
          <w:spacing w:val="-4"/>
          <w:sz w:val="22"/>
        </w:rPr>
        <w:t> </w:t>
      </w:r>
      <w:r>
        <w:rPr>
          <w:sz w:val="22"/>
        </w:rPr>
        <w:t>arcs in powerline faults on a real polyphase 22 kV network; and</w:t>
      </w:r>
    </w:p>
    <w:p>
      <w:pPr>
        <w:spacing w:after="0" w:line="288" w:lineRule="auto"/>
        <w:jc w:val="left"/>
        <w:rPr>
          <w:sz w:val="22"/>
        </w:rPr>
        <w:sectPr>
          <w:pgSz w:w="11910" w:h="16850"/>
          <w:pgMar w:header="220" w:footer="678" w:top="420" w:bottom="860" w:left="900" w:right="840"/>
        </w:sectPr>
      </w:pPr>
    </w:p>
    <w:p>
      <w:pPr>
        <w:pStyle w:val="BodyText"/>
        <w:rPr>
          <w:sz w:val="20"/>
        </w:rPr>
      </w:pPr>
    </w:p>
    <w:p>
      <w:pPr>
        <w:pStyle w:val="BodyText"/>
        <w:spacing w:before="9"/>
        <w:rPr>
          <w:sz w:val="18"/>
        </w:rPr>
      </w:pPr>
    </w:p>
    <w:p>
      <w:pPr>
        <w:pStyle w:val="ListParagraph"/>
        <w:numPr>
          <w:ilvl w:val="0"/>
          <w:numId w:val="69"/>
        </w:numPr>
        <w:tabs>
          <w:tab w:pos="734" w:val="left" w:leader="none"/>
        </w:tabs>
        <w:spacing w:line="285" w:lineRule="auto" w:before="115" w:after="0"/>
        <w:ind w:left="734" w:right="945" w:hanging="361"/>
        <w:jc w:val="left"/>
        <w:rPr>
          <w:sz w:val="22"/>
        </w:rPr>
      </w:pPr>
      <w:r>
        <w:rPr>
          <w:sz w:val="22"/>
        </w:rPr>
        <w:t>determine</w:t>
      </w:r>
      <w:r>
        <w:rPr>
          <w:spacing w:val="-2"/>
          <w:sz w:val="22"/>
        </w:rPr>
        <w:t> </w:t>
      </w:r>
      <w:r>
        <w:rPr>
          <w:sz w:val="22"/>
        </w:rPr>
        <w:t>the</w:t>
      </w:r>
      <w:r>
        <w:rPr>
          <w:spacing w:val="-4"/>
          <w:sz w:val="22"/>
        </w:rPr>
        <w:t> </w:t>
      </w:r>
      <w:r>
        <w:rPr>
          <w:sz w:val="22"/>
        </w:rPr>
        <w:t>optimum</w:t>
      </w:r>
      <w:r>
        <w:rPr>
          <w:spacing w:val="-3"/>
          <w:sz w:val="22"/>
        </w:rPr>
        <w:t> </w:t>
      </w:r>
      <w:r>
        <w:rPr>
          <w:sz w:val="22"/>
        </w:rPr>
        <w:t>operational</w:t>
      </w:r>
      <w:r>
        <w:rPr>
          <w:spacing w:val="-2"/>
          <w:sz w:val="22"/>
        </w:rPr>
        <w:t> </w:t>
      </w:r>
      <w:r>
        <w:rPr>
          <w:sz w:val="22"/>
        </w:rPr>
        <w:t>settings</w:t>
      </w:r>
      <w:r>
        <w:rPr>
          <w:spacing w:val="-4"/>
          <w:sz w:val="22"/>
        </w:rPr>
        <w:t> </w:t>
      </w:r>
      <w:r>
        <w:rPr>
          <w:sz w:val="22"/>
        </w:rPr>
        <w:t>for</w:t>
      </w:r>
      <w:r>
        <w:rPr>
          <w:spacing w:val="-1"/>
          <w:sz w:val="22"/>
        </w:rPr>
        <w:t> </w:t>
      </w:r>
      <w:r>
        <w:rPr>
          <w:sz w:val="22"/>
        </w:rPr>
        <w:t>REFCLs</w:t>
      </w:r>
      <w:r>
        <w:rPr>
          <w:spacing w:val="-2"/>
          <w:sz w:val="22"/>
        </w:rPr>
        <w:t> </w:t>
      </w:r>
      <w:r>
        <w:rPr>
          <w:sz w:val="22"/>
        </w:rPr>
        <w:t>to</w:t>
      </w:r>
      <w:r>
        <w:rPr>
          <w:spacing w:val="-4"/>
          <w:sz w:val="22"/>
        </w:rPr>
        <w:t> </w:t>
      </w:r>
      <w:r>
        <w:rPr>
          <w:sz w:val="22"/>
        </w:rPr>
        <w:t>reduce</w:t>
      </w:r>
      <w:r>
        <w:rPr>
          <w:spacing w:val="-7"/>
          <w:sz w:val="22"/>
        </w:rPr>
        <w:t> </w:t>
      </w:r>
      <w:r>
        <w:rPr>
          <w:sz w:val="22"/>
        </w:rPr>
        <w:t>fire</w:t>
      </w:r>
      <w:r>
        <w:rPr>
          <w:spacing w:val="-4"/>
          <w:sz w:val="22"/>
        </w:rPr>
        <w:t> </w:t>
      </w:r>
      <w:r>
        <w:rPr>
          <w:sz w:val="22"/>
        </w:rPr>
        <w:t>starts</w:t>
      </w:r>
      <w:r>
        <w:rPr>
          <w:spacing w:val="-1"/>
          <w:sz w:val="22"/>
        </w:rPr>
        <w:t> </w:t>
      </w:r>
      <w:r>
        <w:rPr>
          <w:sz w:val="22"/>
        </w:rPr>
        <w:t>initiated</w:t>
      </w:r>
      <w:r>
        <w:rPr>
          <w:spacing w:val="-4"/>
          <w:sz w:val="22"/>
        </w:rPr>
        <w:t> </w:t>
      </w:r>
      <w:r>
        <w:rPr>
          <w:sz w:val="22"/>
        </w:rPr>
        <w:t>by electric arcs in powerline faults (ACIL Allen Consulting, 2015, p. 25).</w:t>
      </w:r>
    </w:p>
    <w:p>
      <w:pPr>
        <w:pStyle w:val="BodyText"/>
        <w:spacing w:before="2"/>
        <w:rPr>
          <w:sz w:val="21"/>
        </w:rPr>
      </w:pPr>
    </w:p>
    <w:p>
      <w:pPr>
        <w:pStyle w:val="BodyText"/>
        <w:spacing w:line="288" w:lineRule="auto"/>
        <w:ind w:left="232" w:right="374"/>
      </w:pPr>
      <w:r>
        <w:rPr/>
        <w:t>Findings from the Frankston South zone substation trial demonstrated that REFCLs are highly effective</w:t>
      </w:r>
      <w:r>
        <w:rPr>
          <w:spacing w:val="-4"/>
        </w:rPr>
        <w:t> </w:t>
      </w:r>
      <w:r>
        <w:rPr/>
        <w:t>in</w:t>
      </w:r>
      <w:r>
        <w:rPr>
          <w:spacing w:val="-4"/>
        </w:rPr>
        <w:t> </w:t>
      </w:r>
      <w:r>
        <w:rPr/>
        <w:t>significantly</w:t>
      </w:r>
      <w:r>
        <w:rPr>
          <w:spacing w:val="-5"/>
        </w:rPr>
        <w:t> </w:t>
      </w:r>
      <w:r>
        <w:rPr/>
        <w:t>reducing</w:t>
      </w:r>
      <w:r>
        <w:rPr>
          <w:spacing w:val="-2"/>
        </w:rPr>
        <w:t> </w:t>
      </w:r>
      <w:r>
        <w:rPr/>
        <w:t>arc</w:t>
      </w:r>
      <w:r>
        <w:rPr>
          <w:spacing w:val="-5"/>
        </w:rPr>
        <w:t> </w:t>
      </w:r>
      <w:r>
        <w:rPr/>
        <w:t>ignitions</w:t>
      </w:r>
      <w:r>
        <w:rPr>
          <w:spacing w:val="-5"/>
        </w:rPr>
        <w:t> </w:t>
      </w:r>
      <w:r>
        <w:rPr/>
        <w:t>on</w:t>
      </w:r>
      <w:r>
        <w:rPr>
          <w:spacing w:val="-5"/>
        </w:rPr>
        <w:t> </w:t>
      </w:r>
      <w:r>
        <w:rPr/>
        <w:t>22</w:t>
      </w:r>
      <w:r>
        <w:rPr>
          <w:spacing w:val="-2"/>
        </w:rPr>
        <w:t> </w:t>
      </w:r>
      <w:r>
        <w:rPr/>
        <w:t>kV</w:t>
      </w:r>
      <w:r>
        <w:rPr>
          <w:spacing w:val="-4"/>
        </w:rPr>
        <w:t> </w:t>
      </w:r>
      <w:r>
        <w:rPr/>
        <w:t>powerlines.</w:t>
      </w:r>
      <w:r>
        <w:rPr>
          <w:spacing w:val="-6"/>
        </w:rPr>
        <w:t> </w:t>
      </w:r>
      <w:r>
        <w:rPr/>
        <w:t>The</w:t>
      </w:r>
      <w:r>
        <w:rPr>
          <w:spacing w:val="-7"/>
        </w:rPr>
        <w:t> </w:t>
      </w:r>
      <w:r>
        <w:rPr/>
        <w:t>tests</w:t>
      </w:r>
      <w:r>
        <w:rPr>
          <w:spacing w:val="-4"/>
        </w:rPr>
        <w:t> </w:t>
      </w:r>
      <w:r>
        <w:rPr/>
        <w:t>demonstrated</w:t>
      </w:r>
      <w:r>
        <w:rPr>
          <w:spacing w:val="-8"/>
        </w:rPr>
        <w:t> </w:t>
      </w:r>
      <w:r>
        <w:rPr/>
        <w:t>the capability of REFCL technology to detect and suppress faults on the network which otherwise would lead to bushfires (PBSP, 2015).</w:t>
      </w:r>
    </w:p>
    <w:p>
      <w:pPr>
        <w:pStyle w:val="BodyText"/>
        <w:spacing w:before="10"/>
        <w:rPr>
          <w:sz w:val="20"/>
        </w:rPr>
      </w:pPr>
    </w:p>
    <w:p>
      <w:pPr>
        <w:pStyle w:val="BodyText"/>
        <w:spacing w:line="288" w:lineRule="auto"/>
        <w:ind w:left="232" w:right="374"/>
      </w:pPr>
      <w:r>
        <w:rPr/>
        <w:t>Further</w:t>
      </w:r>
      <w:r>
        <w:rPr>
          <w:spacing w:val="-16"/>
        </w:rPr>
        <w:t> </w:t>
      </w:r>
      <w:r>
        <w:rPr/>
        <w:t>testing</w:t>
      </w:r>
      <w:r>
        <w:rPr>
          <w:spacing w:val="-15"/>
        </w:rPr>
        <w:t> </w:t>
      </w:r>
      <w:r>
        <w:rPr/>
        <w:t>of</w:t>
      </w:r>
      <w:r>
        <w:rPr>
          <w:spacing w:val="-15"/>
        </w:rPr>
        <w:t> </w:t>
      </w:r>
      <w:r>
        <w:rPr/>
        <w:t>REFCL</w:t>
      </w:r>
      <w:r>
        <w:rPr>
          <w:spacing w:val="-16"/>
        </w:rPr>
        <w:t> </w:t>
      </w:r>
      <w:r>
        <w:rPr/>
        <w:t>technology</w:t>
      </w:r>
      <w:r>
        <w:rPr>
          <w:spacing w:val="-15"/>
        </w:rPr>
        <w:t> </w:t>
      </w:r>
      <w:r>
        <w:rPr/>
        <w:t>at</w:t>
      </w:r>
      <w:r>
        <w:rPr>
          <w:spacing w:val="-15"/>
        </w:rPr>
        <w:t> </w:t>
      </w:r>
      <w:r>
        <w:rPr/>
        <w:t>AusNet</w:t>
      </w:r>
      <w:r>
        <w:rPr>
          <w:spacing w:val="4"/>
        </w:rPr>
        <w:t> </w:t>
      </w:r>
      <w:r>
        <w:rPr/>
        <w:t>Services’</w:t>
      </w:r>
      <w:r>
        <w:rPr>
          <w:spacing w:val="-14"/>
        </w:rPr>
        <w:t> </w:t>
      </w:r>
      <w:r>
        <w:rPr/>
        <w:t>Kilmore</w:t>
      </w:r>
      <w:r>
        <w:rPr>
          <w:spacing w:val="-15"/>
        </w:rPr>
        <w:t> </w:t>
      </w:r>
      <w:r>
        <w:rPr/>
        <w:t>South</w:t>
      </w:r>
      <w:r>
        <w:rPr>
          <w:spacing w:val="-16"/>
        </w:rPr>
        <w:t> </w:t>
      </w:r>
      <w:r>
        <w:rPr/>
        <w:t>zone</w:t>
      </w:r>
      <w:r>
        <w:rPr>
          <w:spacing w:val="-15"/>
        </w:rPr>
        <w:t> </w:t>
      </w:r>
      <w:r>
        <w:rPr/>
        <w:t>substation</w:t>
      </w:r>
      <w:r>
        <w:rPr>
          <w:spacing w:val="-13"/>
        </w:rPr>
        <w:t> </w:t>
      </w:r>
      <w:r>
        <w:rPr/>
        <w:t>was completed</w:t>
      </w:r>
      <w:r>
        <w:rPr>
          <w:spacing w:val="-16"/>
        </w:rPr>
        <w:t> </w:t>
      </w:r>
      <w:r>
        <w:rPr/>
        <w:t>in</w:t>
      </w:r>
      <w:r>
        <w:rPr>
          <w:spacing w:val="-13"/>
        </w:rPr>
        <w:t> </w:t>
      </w:r>
      <w:r>
        <w:rPr/>
        <w:t>2015.</w:t>
      </w:r>
      <w:r>
        <w:rPr>
          <w:spacing w:val="-30"/>
        </w:rPr>
        <w:t> </w:t>
      </w:r>
      <w:r>
        <w:rPr/>
        <w:t>These</w:t>
      </w:r>
      <w:r>
        <w:rPr>
          <w:spacing w:val="-13"/>
        </w:rPr>
        <w:t> </w:t>
      </w:r>
      <w:r>
        <w:rPr/>
        <w:t>trials</w:t>
      </w:r>
      <w:r>
        <w:rPr>
          <w:spacing w:val="-11"/>
        </w:rPr>
        <w:t> </w:t>
      </w:r>
      <w:r>
        <w:rPr/>
        <w:t>tested</w:t>
      </w:r>
      <w:r>
        <w:rPr>
          <w:spacing w:val="-13"/>
        </w:rPr>
        <w:t> </w:t>
      </w:r>
      <w:r>
        <w:rPr/>
        <w:t>the</w:t>
      </w:r>
      <w:r>
        <w:rPr>
          <w:spacing w:val="-14"/>
        </w:rPr>
        <w:t> </w:t>
      </w:r>
      <w:r>
        <w:rPr/>
        <w:t>comparative</w:t>
      </w:r>
      <w:r>
        <w:rPr>
          <w:spacing w:val="-12"/>
        </w:rPr>
        <w:t> </w:t>
      </w:r>
      <w:r>
        <w:rPr/>
        <w:t>performance</w:t>
      </w:r>
      <w:r>
        <w:rPr>
          <w:spacing w:val="-11"/>
        </w:rPr>
        <w:t> </w:t>
      </w:r>
      <w:r>
        <w:rPr/>
        <w:t>of</w:t>
      </w:r>
      <w:r>
        <w:rPr>
          <w:spacing w:val="-10"/>
        </w:rPr>
        <w:t> </w:t>
      </w:r>
      <w:r>
        <w:rPr/>
        <w:t>a</w:t>
      </w:r>
      <w:r>
        <w:rPr>
          <w:spacing w:val="-9"/>
        </w:rPr>
        <w:t> </w:t>
      </w:r>
      <w:r>
        <w:rPr/>
        <w:t>range</w:t>
      </w:r>
      <w:r>
        <w:rPr>
          <w:spacing w:val="-12"/>
        </w:rPr>
        <w:t> </w:t>
      </w:r>
      <w:r>
        <w:rPr/>
        <w:t>of</w:t>
      </w:r>
      <w:r>
        <w:rPr>
          <w:spacing w:val="-8"/>
        </w:rPr>
        <w:t> </w:t>
      </w:r>
      <w:r>
        <w:rPr/>
        <w:t>REFCL </w:t>
      </w:r>
      <w:r>
        <w:rPr>
          <w:spacing w:val="-2"/>
        </w:rPr>
        <w:t>configurations</w:t>
      </w:r>
      <w:r>
        <w:rPr>
          <w:spacing w:val="-7"/>
        </w:rPr>
        <w:t> </w:t>
      </w:r>
      <w:r>
        <w:rPr>
          <w:spacing w:val="-2"/>
        </w:rPr>
        <w:t>to</w:t>
      </w:r>
      <w:r>
        <w:rPr>
          <w:spacing w:val="-8"/>
        </w:rPr>
        <w:t> </w:t>
      </w:r>
      <w:r>
        <w:rPr>
          <w:spacing w:val="-2"/>
        </w:rPr>
        <w:t>identify</w:t>
      </w:r>
      <w:r>
        <w:rPr>
          <w:spacing w:val="-10"/>
        </w:rPr>
        <w:t> </w:t>
      </w:r>
      <w:r>
        <w:rPr>
          <w:spacing w:val="-2"/>
        </w:rPr>
        <w:t>optimal</w:t>
      </w:r>
      <w:r>
        <w:rPr>
          <w:spacing w:val="-8"/>
        </w:rPr>
        <w:t> </w:t>
      </w:r>
      <w:r>
        <w:rPr>
          <w:spacing w:val="-2"/>
        </w:rPr>
        <w:t>fault</w:t>
      </w:r>
      <w:r>
        <w:rPr>
          <w:spacing w:val="-9"/>
        </w:rPr>
        <w:t> </w:t>
      </w:r>
      <w:r>
        <w:rPr>
          <w:spacing w:val="-2"/>
        </w:rPr>
        <w:t>detection</w:t>
      </w:r>
      <w:r>
        <w:rPr>
          <w:spacing w:val="-8"/>
        </w:rPr>
        <w:t> </w:t>
      </w:r>
      <w:r>
        <w:rPr>
          <w:spacing w:val="-2"/>
        </w:rPr>
        <w:t>and</w:t>
      </w:r>
      <w:r>
        <w:rPr>
          <w:spacing w:val="19"/>
        </w:rPr>
        <w:t> </w:t>
      </w:r>
      <w:r>
        <w:rPr>
          <w:spacing w:val="-2"/>
        </w:rPr>
        <w:t>suppression</w:t>
      </w:r>
      <w:r>
        <w:rPr>
          <w:spacing w:val="-7"/>
        </w:rPr>
        <w:t> </w:t>
      </w:r>
      <w:r>
        <w:rPr>
          <w:spacing w:val="-2"/>
        </w:rPr>
        <w:t>capability</w:t>
      </w:r>
      <w:r>
        <w:rPr>
          <w:spacing w:val="-7"/>
        </w:rPr>
        <w:t> </w:t>
      </w:r>
      <w:r>
        <w:rPr>
          <w:spacing w:val="-2"/>
        </w:rPr>
        <w:t>on</w:t>
      </w:r>
      <w:r>
        <w:rPr>
          <w:spacing w:val="-5"/>
        </w:rPr>
        <w:t> </w:t>
      </w:r>
      <w:r>
        <w:rPr>
          <w:spacing w:val="-2"/>
        </w:rPr>
        <w:t>the</w:t>
      </w:r>
      <w:r>
        <w:rPr>
          <w:spacing w:val="-10"/>
        </w:rPr>
        <w:t> </w:t>
      </w:r>
      <w:r>
        <w:rPr>
          <w:spacing w:val="-2"/>
        </w:rPr>
        <w:t>live</w:t>
      </w:r>
      <w:r>
        <w:rPr>
          <w:spacing w:val="-8"/>
        </w:rPr>
        <w:t> </w:t>
      </w:r>
      <w:r>
        <w:rPr>
          <w:spacing w:val="-2"/>
        </w:rPr>
        <w:t>network </w:t>
      </w:r>
      <w:r>
        <w:rPr/>
        <w:t>(PBSP, 2015).</w:t>
      </w:r>
    </w:p>
    <w:p>
      <w:pPr>
        <w:pStyle w:val="BodyText"/>
        <w:spacing w:before="10"/>
        <w:rPr>
          <w:sz w:val="20"/>
        </w:rPr>
      </w:pPr>
    </w:p>
    <w:p>
      <w:pPr>
        <w:pStyle w:val="BodyText"/>
        <w:spacing w:line="288" w:lineRule="auto"/>
        <w:ind w:left="232"/>
      </w:pPr>
      <w:r>
        <w:rPr/>
        <w:t>The</w:t>
      </w:r>
      <w:r>
        <w:rPr>
          <w:spacing w:val="-4"/>
        </w:rPr>
        <w:t> </w:t>
      </w:r>
      <w:r>
        <w:rPr/>
        <w:t>test</w:t>
      </w:r>
      <w:r>
        <w:rPr>
          <w:spacing w:val="-1"/>
        </w:rPr>
        <w:t> </w:t>
      </w:r>
      <w:r>
        <w:rPr/>
        <w:t>program</w:t>
      </w:r>
      <w:r>
        <w:rPr>
          <w:spacing w:val="-3"/>
        </w:rPr>
        <w:t> </w:t>
      </w:r>
      <w:r>
        <w:rPr/>
        <w:t>sought</w:t>
      </w:r>
      <w:r>
        <w:rPr>
          <w:spacing w:val="-3"/>
        </w:rPr>
        <w:t> </w:t>
      </w:r>
      <w:r>
        <w:rPr/>
        <w:t>to</w:t>
      </w:r>
      <w:r>
        <w:rPr>
          <w:spacing w:val="-2"/>
        </w:rPr>
        <w:t> </w:t>
      </w:r>
      <w:r>
        <w:rPr/>
        <w:t>build</w:t>
      </w:r>
      <w:r>
        <w:rPr>
          <w:spacing w:val="-2"/>
        </w:rPr>
        <w:t> </w:t>
      </w:r>
      <w:r>
        <w:rPr/>
        <w:t>a</w:t>
      </w:r>
      <w:r>
        <w:rPr>
          <w:spacing w:val="-2"/>
        </w:rPr>
        <w:t> </w:t>
      </w:r>
      <w:r>
        <w:rPr/>
        <w:t>deeper</w:t>
      </w:r>
      <w:r>
        <w:rPr>
          <w:spacing w:val="-2"/>
        </w:rPr>
        <w:t> </w:t>
      </w:r>
      <w:r>
        <w:rPr/>
        <w:t>understanding</w:t>
      </w:r>
      <w:r>
        <w:rPr>
          <w:spacing w:val="-2"/>
        </w:rPr>
        <w:t> </w:t>
      </w:r>
      <w:r>
        <w:rPr/>
        <w:t>of</w:t>
      </w:r>
      <w:r>
        <w:rPr>
          <w:spacing w:val="-1"/>
        </w:rPr>
        <w:t> </w:t>
      </w:r>
      <w:r>
        <w:rPr/>
        <w:t>how</w:t>
      </w:r>
      <w:r>
        <w:rPr>
          <w:spacing w:val="-5"/>
        </w:rPr>
        <w:t> </w:t>
      </w:r>
      <w:r>
        <w:rPr/>
        <w:t>RECL</w:t>
      </w:r>
      <w:r>
        <w:rPr>
          <w:spacing w:val="-2"/>
        </w:rPr>
        <w:t> </w:t>
      </w:r>
      <w:r>
        <w:rPr/>
        <w:t>technologies</w:t>
      </w:r>
      <w:r>
        <w:rPr>
          <w:spacing w:val="-2"/>
        </w:rPr>
        <w:t> </w:t>
      </w:r>
      <w:r>
        <w:rPr/>
        <w:t>work</w:t>
      </w:r>
      <w:r>
        <w:rPr>
          <w:spacing w:val="-2"/>
        </w:rPr>
        <w:t> </w:t>
      </w:r>
      <w:r>
        <w:rPr/>
        <w:t>and</w:t>
      </w:r>
      <w:r>
        <w:rPr>
          <w:spacing w:val="-4"/>
        </w:rPr>
        <w:t> </w:t>
      </w:r>
      <w:r>
        <w:rPr/>
        <w:t>how they can be effectively applied to Victoria’s rural electricity distribution network to reduce fire risk.</w:t>
      </w:r>
    </w:p>
    <w:p>
      <w:pPr>
        <w:pStyle w:val="BodyText"/>
        <w:spacing w:line="288" w:lineRule="auto" w:before="1"/>
        <w:ind w:left="232"/>
      </w:pPr>
      <w:r>
        <w:rPr/>
        <w:t>The program sought to review and refine a draft REFCL performance standard proposed for application</w:t>
      </w:r>
      <w:r>
        <w:rPr>
          <w:spacing w:val="-3"/>
        </w:rPr>
        <w:t> </w:t>
      </w:r>
      <w:r>
        <w:rPr/>
        <w:t>in</w:t>
      </w:r>
      <w:r>
        <w:rPr>
          <w:spacing w:val="-3"/>
        </w:rPr>
        <w:t> </w:t>
      </w:r>
      <w:r>
        <w:rPr/>
        <w:t>high</w:t>
      </w:r>
      <w:r>
        <w:rPr>
          <w:spacing w:val="-5"/>
        </w:rPr>
        <w:t> </w:t>
      </w:r>
      <w:r>
        <w:rPr/>
        <w:t>bushfire</w:t>
      </w:r>
      <w:r>
        <w:rPr>
          <w:spacing w:val="-3"/>
        </w:rPr>
        <w:t> </w:t>
      </w:r>
      <w:r>
        <w:rPr/>
        <w:t>risk</w:t>
      </w:r>
      <w:r>
        <w:rPr>
          <w:spacing w:val="-2"/>
        </w:rPr>
        <w:t> </w:t>
      </w:r>
      <w:r>
        <w:rPr/>
        <w:t>areas</w:t>
      </w:r>
      <w:r>
        <w:rPr>
          <w:spacing w:val="-2"/>
        </w:rPr>
        <w:t> </w:t>
      </w:r>
      <w:r>
        <w:rPr/>
        <w:t>in</w:t>
      </w:r>
      <w:r>
        <w:rPr>
          <w:spacing w:val="-3"/>
        </w:rPr>
        <w:t> </w:t>
      </w:r>
      <w:r>
        <w:rPr/>
        <w:t>Victoria</w:t>
      </w:r>
      <w:r>
        <w:rPr>
          <w:spacing w:val="-3"/>
        </w:rPr>
        <w:t> </w:t>
      </w:r>
      <w:r>
        <w:rPr/>
        <w:t>and</w:t>
      </w:r>
      <w:r>
        <w:rPr>
          <w:spacing w:val="-3"/>
        </w:rPr>
        <w:t> </w:t>
      </w:r>
      <w:r>
        <w:rPr/>
        <w:t>tested</w:t>
      </w:r>
      <w:r>
        <w:rPr>
          <w:spacing w:val="-5"/>
        </w:rPr>
        <w:t> </w:t>
      </w:r>
      <w:r>
        <w:rPr/>
        <w:t>the</w:t>
      </w:r>
      <w:r>
        <w:rPr>
          <w:spacing w:val="-3"/>
        </w:rPr>
        <w:t> </w:t>
      </w:r>
      <w:r>
        <w:rPr/>
        <w:t>performance</w:t>
      </w:r>
      <w:r>
        <w:rPr>
          <w:spacing w:val="-3"/>
        </w:rPr>
        <w:t> </w:t>
      </w:r>
      <w:r>
        <w:rPr/>
        <w:t>of</w:t>
      </w:r>
      <w:r>
        <w:rPr>
          <w:spacing w:val="-1"/>
        </w:rPr>
        <w:t> </w:t>
      </w:r>
      <w:r>
        <w:rPr/>
        <w:t>different</w:t>
      </w:r>
      <w:r>
        <w:rPr>
          <w:spacing w:val="-4"/>
        </w:rPr>
        <w:t> </w:t>
      </w:r>
      <w:r>
        <w:rPr/>
        <w:t>REFCL technologies against this draft performance standard</w:t>
      </w:r>
      <w:r>
        <w:rPr>
          <w:i/>
        </w:rPr>
        <w:t>. </w:t>
      </w:r>
      <w:r>
        <w:rPr/>
        <w:t>Fault detection speed and fault response performance</w:t>
      </w:r>
      <w:r>
        <w:rPr>
          <w:spacing w:val="-1"/>
        </w:rPr>
        <w:t> </w:t>
      </w:r>
      <w:r>
        <w:rPr/>
        <w:t>is an</w:t>
      </w:r>
      <w:r>
        <w:rPr>
          <w:spacing w:val="-1"/>
        </w:rPr>
        <w:t> </w:t>
      </w:r>
      <w:r>
        <w:rPr/>
        <w:t>essential part of a</w:t>
      </w:r>
      <w:r>
        <w:rPr>
          <w:spacing w:val="-1"/>
        </w:rPr>
        <w:t> </w:t>
      </w:r>
      <w:r>
        <w:rPr/>
        <w:t>REFCL performance</w:t>
      </w:r>
      <w:r>
        <w:rPr>
          <w:spacing w:val="-1"/>
        </w:rPr>
        <w:t> </w:t>
      </w:r>
      <w:r>
        <w:rPr/>
        <w:t>standard</w:t>
      </w:r>
      <w:r>
        <w:rPr>
          <w:spacing w:val="-1"/>
        </w:rPr>
        <w:t> </w:t>
      </w:r>
      <w:r>
        <w:rPr/>
        <w:t>if fire</w:t>
      </w:r>
      <w:r>
        <w:rPr>
          <w:spacing w:val="-1"/>
        </w:rPr>
        <w:t> </w:t>
      </w:r>
      <w:r>
        <w:rPr/>
        <w:t>risk reduction is</w:t>
      </w:r>
      <w:r>
        <w:rPr>
          <w:spacing w:val="-1"/>
        </w:rPr>
        <w:t> </w:t>
      </w:r>
      <w:r>
        <w:rPr/>
        <w:t>to be achieved (Marxsen Consulting, 2015).</w:t>
      </w:r>
    </w:p>
    <w:p>
      <w:pPr>
        <w:pStyle w:val="BodyText"/>
        <w:spacing w:before="9"/>
        <w:rPr>
          <w:sz w:val="20"/>
        </w:rPr>
      </w:pPr>
    </w:p>
    <w:p>
      <w:pPr>
        <w:pStyle w:val="BodyText"/>
        <w:spacing w:line="288" w:lineRule="auto"/>
        <w:ind w:left="232" w:right="408"/>
      </w:pPr>
      <w:r>
        <w:rPr/>
        <w:t>The</w:t>
      </w:r>
      <w:r>
        <w:rPr>
          <w:spacing w:val="-7"/>
        </w:rPr>
        <w:t> </w:t>
      </w:r>
      <w:r>
        <w:rPr/>
        <w:t>findings</w:t>
      </w:r>
      <w:r>
        <w:rPr>
          <w:spacing w:val="-4"/>
        </w:rPr>
        <w:t> </w:t>
      </w:r>
      <w:r>
        <w:rPr/>
        <w:t>from</w:t>
      </w:r>
      <w:r>
        <w:rPr>
          <w:spacing w:val="-3"/>
        </w:rPr>
        <w:t> </w:t>
      </w:r>
      <w:r>
        <w:rPr/>
        <w:t>the</w:t>
      </w:r>
      <w:r>
        <w:rPr>
          <w:spacing w:val="-2"/>
        </w:rPr>
        <w:t> </w:t>
      </w:r>
      <w:r>
        <w:rPr/>
        <w:t>REFCL</w:t>
      </w:r>
      <w:r>
        <w:rPr>
          <w:spacing w:val="-2"/>
        </w:rPr>
        <w:t> </w:t>
      </w:r>
      <w:r>
        <w:rPr/>
        <w:t>testing</w:t>
      </w:r>
      <w:r>
        <w:rPr>
          <w:spacing w:val="-2"/>
        </w:rPr>
        <w:t> </w:t>
      </w:r>
      <w:r>
        <w:rPr/>
        <w:t>program</w:t>
      </w:r>
      <w:r>
        <w:rPr>
          <w:spacing w:val="-3"/>
        </w:rPr>
        <w:t> </w:t>
      </w:r>
      <w:r>
        <w:rPr/>
        <w:t>informed</w:t>
      </w:r>
      <w:r>
        <w:rPr>
          <w:spacing w:val="-4"/>
        </w:rPr>
        <w:t> </w:t>
      </w:r>
      <w:r>
        <w:rPr/>
        <w:t>development</w:t>
      </w:r>
      <w:r>
        <w:rPr>
          <w:spacing w:val="-1"/>
        </w:rPr>
        <w:t> </w:t>
      </w:r>
      <w:r>
        <w:rPr/>
        <w:t>of</w:t>
      </w:r>
      <w:r>
        <w:rPr>
          <w:spacing w:val="-1"/>
        </w:rPr>
        <w:t> </w:t>
      </w:r>
      <w:r>
        <w:rPr/>
        <w:t>a</w:t>
      </w:r>
      <w:r>
        <w:rPr>
          <w:spacing w:val="-4"/>
        </w:rPr>
        <w:t> </w:t>
      </w:r>
      <w:r>
        <w:rPr/>
        <w:t>performance</w:t>
      </w:r>
      <w:r>
        <w:rPr>
          <w:spacing w:val="-4"/>
        </w:rPr>
        <w:t> </w:t>
      </w:r>
      <w:r>
        <w:rPr/>
        <w:t>standard that if met, would significantly reduce bushfire risk. Essentially the performance standard is comprised of the following elements:</w:t>
      </w:r>
    </w:p>
    <w:p>
      <w:pPr>
        <w:pStyle w:val="BodyText"/>
        <w:spacing w:before="5"/>
      </w:pPr>
    </w:p>
    <w:p>
      <w:pPr>
        <w:pStyle w:val="ListParagraph"/>
        <w:numPr>
          <w:ilvl w:val="0"/>
          <w:numId w:val="68"/>
        </w:numPr>
        <w:tabs>
          <w:tab w:pos="590" w:val="left" w:leader="none"/>
        </w:tabs>
        <w:spacing w:line="240" w:lineRule="auto" w:before="0" w:after="0"/>
        <w:ind w:left="590" w:right="0" w:hanging="358"/>
        <w:jc w:val="left"/>
        <w:rPr>
          <w:sz w:val="22"/>
        </w:rPr>
      </w:pPr>
      <w:r>
        <w:rPr>
          <w:sz w:val="22"/>
        </w:rPr>
        <w:t>fault</w:t>
      </w:r>
      <w:r>
        <w:rPr>
          <w:spacing w:val="-5"/>
          <w:sz w:val="22"/>
        </w:rPr>
        <w:t> </w:t>
      </w:r>
      <w:r>
        <w:rPr>
          <w:sz w:val="22"/>
        </w:rPr>
        <w:t>detection</w:t>
      </w:r>
      <w:r>
        <w:rPr>
          <w:spacing w:val="-6"/>
          <w:sz w:val="22"/>
        </w:rPr>
        <w:t> </w:t>
      </w:r>
      <w:r>
        <w:rPr>
          <w:sz w:val="22"/>
        </w:rPr>
        <w:t>time</w:t>
      </w:r>
      <w:r>
        <w:rPr>
          <w:spacing w:val="-6"/>
          <w:sz w:val="22"/>
        </w:rPr>
        <w:t> </w:t>
      </w:r>
      <w:r>
        <w:rPr>
          <w:sz w:val="22"/>
        </w:rPr>
        <w:t>limit</w:t>
      </w:r>
      <w:r>
        <w:rPr>
          <w:spacing w:val="-6"/>
          <w:sz w:val="22"/>
        </w:rPr>
        <w:t> </w:t>
      </w:r>
      <w:r>
        <w:rPr>
          <w:spacing w:val="-2"/>
          <w:sz w:val="22"/>
        </w:rPr>
        <w:t>requirements;</w:t>
      </w:r>
    </w:p>
    <w:p>
      <w:pPr>
        <w:pStyle w:val="ListParagraph"/>
        <w:numPr>
          <w:ilvl w:val="0"/>
          <w:numId w:val="68"/>
        </w:numPr>
        <w:tabs>
          <w:tab w:pos="590" w:val="left" w:leader="none"/>
        </w:tabs>
        <w:spacing w:line="240" w:lineRule="auto" w:before="64" w:after="0"/>
        <w:ind w:left="590" w:right="0" w:hanging="358"/>
        <w:jc w:val="left"/>
        <w:rPr>
          <w:sz w:val="22"/>
        </w:rPr>
      </w:pPr>
      <w:r>
        <w:rPr>
          <w:sz w:val="22"/>
        </w:rPr>
        <w:t>fault</w:t>
      </w:r>
      <w:r>
        <w:rPr>
          <w:spacing w:val="-8"/>
          <w:sz w:val="22"/>
        </w:rPr>
        <w:t> </w:t>
      </w:r>
      <w:r>
        <w:rPr>
          <w:sz w:val="22"/>
        </w:rPr>
        <w:t>suppression</w:t>
      </w:r>
      <w:r>
        <w:rPr>
          <w:spacing w:val="-12"/>
          <w:sz w:val="22"/>
        </w:rPr>
        <w:t> </w:t>
      </w:r>
      <w:r>
        <w:rPr>
          <w:sz w:val="22"/>
        </w:rPr>
        <w:t>requirements;</w:t>
      </w:r>
      <w:r>
        <w:rPr>
          <w:spacing w:val="-7"/>
          <w:sz w:val="22"/>
        </w:rPr>
        <w:t> </w:t>
      </w:r>
      <w:r>
        <w:rPr>
          <w:spacing w:val="-5"/>
          <w:sz w:val="22"/>
        </w:rPr>
        <w:t>and</w:t>
      </w:r>
    </w:p>
    <w:p>
      <w:pPr>
        <w:pStyle w:val="ListParagraph"/>
        <w:numPr>
          <w:ilvl w:val="0"/>
          <w:numId w:val="68"/>
        </w:numPr>
        <w:tabs>
          <w:tab w:pos="590" w:val="left" w:leader="none"/>
        </w:tabs>
        <w:spacing w:line="240" w:lineRule="auto" w:before="66" w:after="0"/>
        <w:ind w:left="590" w:right="0" w:hanging="358"/>
        <w:jc w:val="left"/>
        <w:rPr>
          <w:sz w:val="22"/>
        </w:rPr>
      </w:pPr>
      <w:r>
        <w:rPr>
          <w:sz w:val="22"/>
        </w:rPr>
        <w:t>and</w:t>
      </w:r>
      <w:r>
        <w:rPr>
          <w:spacing w:val="-8"/>
          <w:sz w:val="22"/>
        </w:rPr>
        <w:t> </w:t>
      </w:r>
      <w:r>
        <w:rPr>
          <w:sz w:val="22"/>
        </w:rPr>
        <w:t>fault</w:t>
      </w:r>
      <w:r>
        <w:rPr>
          <w:spacing w:val="-6"/>
          <w:sz w:val="22"/>
        </w:rPr>
        <w:t> </w:t>
      </w:r>
      <w:r>
        <w:rPr>
          <w:sz w:val="22"/>
        </w:rPr>
        <w:t>management</w:t>
      </w:r>
      <w:r>
        <w:rPr>
          <w:spacing w:val="-6"/>
          <w:sz w:val="22"/>
        </w:rPr>
        <w:t> </w:t>
      </w:r>
      <w:r>
        <w:rPr>
          <w:spacing w:val="-2"/>
          <w:sz w:val="22"/>
        </w:rPr>
        <w:t>requirements.</w:t>
      </w:r>
    </w:p>
    <w:p>
      <w:pPr>
        <w:pStyle w:val="BodyText"/>
        <w:spacing w:before="2"/>
        <w:rPr>
          <w:sz w:val="25"/>
        </w:rPr>
      </w:pPr>
    </w:p>
    <w:p>
      <w:pPr>
        <w:pStyle w:val="BodyText"/>
        <w:spacing w:line="288" w:lineRule="auto"/>
        <w:ind w:left="232" w:right="374"/>
      </w:pPr>
      <w:r>
        <w:rPr/>
        <w:t>The testing program demonstrated that Ground Fault Neutralisers developed by Swedish Neutral Technologies offered superior fire risk reduction over other REFCL technology types tested, and are</w:t>
      </w:r>
      <w:r>
        <w:rPr>
          <w:spacing w:val="-5"/>
        </w:rPr>
        <w:t> </w:t>
      </w:r>
      <w:r>
        <w:rPr/>
        <w:t>the</w:t>
      </w:r>
      <w:r>
        <w:rPr>
          <w:spacing w:val="-3"/>
        </w:rPr>
        <w:t> </w:t>
      </w:r>
      <w:r>
        <w:rPr/>
        <w:t>only</w:t>
      </w:r>
      <w:r>
        <w:rPr>
          <w:spacing w:val="-5"/>
        </w:rPr>
        <w:t> </w:t>
      </w:r>
      <w:r>
        <w:rPr/>
        <w:t>REFCL</w:t>
      </w:r>
      <w:r>
        <w:rPr>
          <w:spacing w:val="-3"/>
        </w:rPr>
        <w:t> </w:t>
      </w:r>
      <w:r>
        <w:rPr/>
        <w:t>type</w:t>
      </w:r>
      <w:r>
        <w:rPr>
          <w:spacing w:val="-3"/>
        </w:rPr>
        <w:t> </w:t>
      </w:r>
      <w:r>
        <w:rPr/>
        <w:t>that</w:t>
      </w:r>
      <w:r>
        <w:rPr>
          <w:spacing w:val="-1"/>
        </w:rPr>
        <w:t> </w:t>
      </w:r>
      <w:r>
        <w:rPr/>
        <w:t>can</w:t>
      </w:r>
      <w:r>
        <w:rPr>
          <w:spacing w:val="-6"/>
        </w:rPr>
        <w:t> </w:t>
      </w:r>
      <w:r>
        <w:rPr/>
        <w:t>meet</w:t>
      </w:r>
      <w:r>
        <w:rPr>
          <w:spacing w:val="-4"/>
        </w:rPr>
        <w:t> </w:t>
      </w:r>
      <w:r>
        <w:rPr/>
        <w:t>the</w:t>
      </w:r>
      <w:r>
        <w:rPr>
          <w:spacing w:val="-5"/>
        </w:rPr>
        <w:t> </w:t>
      </w:r>
      <w:r>
        <w:rPr/>
        <w:t>performance</w:t>
      </w:r>
      <w:r>
        <w:rPr>
          <w:spacing w:val="-5"/>
        </w:rPr>
        <w:t> </w:t>
      </w:r>
      <w:r>
        <w:rPr/>
        <w:t>standard</w:t>
      </w:r>
      <w:r>
        <w:rPr>
          <w:spacing w:val="-3"/>
        </w:rPr>
        <w:t> </w:t>
      </w:r>
      <w:r>
        <w:rPr/>
        <w:t>at</w:t>
      </w:r>
      <w:r>
        <w:rPr>
          <w:spacing w:val="-1"/>
        </w:rPr>
        <w:t> </w:t>
      </w:r>
      <w:r>
        <w:rPr/>
        <w:t>present</w:t>
      </w:r>
      <w:r>
        <w:rPr>
          <w:spacing w:val="-2"/>
        </w:rPr>
        <w:t> </w:t>
      </w:r>
      <w:r>
        <w:rPr/>
        <w:t>(Marxsen</w:t>
      </w:r>
      <w:r>
        <w:rPr>
          <w:spacing w:val="-8"/>
        </w:rPr>
        <w:t> </w:t>
      </w:r>
      <w:r>
        <w:rPr/>
        <w:t>Consulting, </w:t>
      </w:r>
      <w:r>
        <w:rPr>
          <w:spacing w:val="-2"/>
        </w:rPr>
        <w:t>2015).</w:t>
      </w:r>
    </w:p>
    <w:p>
      <w:pPr>
        <w:pStyle w:val="BodyText"/>
        <w:rPr>
          <w:sz w:val="20"/>
        </w:rPr>
      </w:pPr>
    </w:p>
    <w:p>
      <w:pPr>
        <w:pStyle w:val="BodyText"/>
        <w:spacing w:before="9"/>
        <w:rPr>
          <w:sz w:val="16"/>
        </w:rPr>
      </w:pPr>
      <w:r>
        <w:rPr/>
        <mc:AlternateContent>
          <mc:Choice Requires="wps">
            <w:drawing>
              <wp:anchor distT="0" distB="0" distL="0" distR="0" allowOverlap="1" layoutInCell="1" locked="0" behindDoc="1" simplePos="0" relativeHeight="487643136">
                <wp:simplePos x="0" y="0"/>
                <wp:positionH relativeFrom="page">
                  <wp:posOffset>719327</wp:posOffset>
                </wp:positionH>
                <wp:positionV relativeFrom="paragraph">
                  <wp:posOffset>137785</wp:posOffset>
                </wp:positionV>
                <wp:extent cx="5870575" cy="2656840"/>
                <wp:effectExtent l="0" t="0" r="0" b="0"/>
                <wp:wrapTopAndBottom/>
                <wp:docPr id="171" name="Textbox 171"/>
                <wp:cNvGraphicFramePr>
                  <a:graphicFrameLocks/>
                </wp:cNvGraphicFramePr>
                <a:graphic>
                  <a:graphicData uri="http://schemas.microsoft.com/office/word/2010/wordprocessingShape">
                    <wps:wsp>
                      <wps:cNvPr id="171" name="Textbox 171"/>
                      <wps:cNvSpPr txBox="1"/>
                      <wps:spPr>
                        <a:xfrm>
                          <a:off x="0" y="0"/>
                          <a:ext cx="5870575" cy="2656840"/>
                        </a:xfrm>
                        <a:prstGeom prst="rect">
                          <a:avLst/>
                        </a:prstGeom>
                        <a:solidFill>
                          <a:srgbClr val="CDEBEB"/>
                        </a:solidFill>
                      </wps:spPr>
                      <wps:txbx>
                        <w:txbxContent>
                          <w:p>
                            <w:pPr>
                              <w:pStyle w:val="BodyText"/>
                              <w:spacing w:before="5"/>
                              <w:rPr>
                                <w:color w:val="000000"/>
                                <w:sz w:val="31"/>
                              </w:rPr>
                            </w:pPr>
                          </w:p>
                          <w:p>
                            <w:pPr>
                              <w:spacing w:before="1"/>
                              <w:ind w:left="112" w:right="0" w:firstLine="0"/>
                              <w:jc w:val="left"/>
                              <w:rPr>
                                <w:b/>
                                <w:color w:val="000000"/>
                                <w:sz w:val="22"/>
                              </w:rPr>
                            </w:pPr>
                            <w:r>
                              <w:rPr>
                                <w:b/>
                                <w:color w:val="000000"/>
                                <w:sz w:val="22"/>
                              </w:rPr>
                              <w:t>Box</w:t>
                            </w:r>
                            <w:r>
                              <w:rPr>
                                <w:b/>
                                <w:color w:val="000000"/>
                                <w:spacing w:val="-5"/>
                                <w:sz w:val="22"/>
                              </w:rPr>
                              <w:t> </w:t>
                            </w:r>
                            <w:r>
                              <w:rPr>
                                <w:b/>
                                <w:color w:val="000000"/>
                                <w:sz w:val="22"/>
                              </w:rPr>
                              <w:t>17:</w:t>
                            </w:r>
                            <w:r>
                              <w:rPr>
                                <w:b/>
                                <w:color w:val="000000"/>
                                <w:spacing w:val="-3"/>
                                <w:sz w:val="22"/>
                              </w:rPr>
                              <w:t> </w:t>
                            </w:r>
                            <w:r>
                              <w:rPr>
                                <w:b/>
                                <w:color w:val="000000"/>
                                <w:sz w:val="22"/>
                              </w:rPr>
                              <w:t>Definitions</w:t>
                            </w:r>
                            <w:r>
                              <w:rPr>
                                <w:b/>
                                <w:color w:val="000000"/>
                                <w:spacing w:val="-5"/>
                                <w:sz w:val="22"/>
                              </w:rPr>
                              <w:t> </w:t>
                            </w:r>
                            <w:r>
                              <w:rPr>
                                <w:b/>
                                <w:color w:val="000000"/>
                                <w:sz w:val="22"/>
                              </w:rPr>
                              <w:t>related</w:t>
                            </w:r>
                            <w:r>
                              <w:rPr>
                                <w:b/>
                                <w:color w:val="000000"/>
                                <w:spacing w:val="-5"/>
                                <w:sz w:val="22"/>
                              </w:rPr>
                              <w:t> </w:t>
                            </w:r>
                            <w:r>
                              <w:rPr>
                                <w:b/>
                                <w:color w:val="000000"/>
                                <w:sz w:val="22"/>
                              </w:rPr>
                              <w:t>to</w:t>
                            </w:r>
                            <w:r>
                              <w:rPr>
                                <w:b/>
                                <w:color w:val="000000"/>
                                <w:spacing w:val="-5"/>
                                <w:sz w:val="22"/>
                              </w:rPr>
                              <w:t> </w:t>
                            </w:r>
                            <w:r>
                              <w:rPr>
                                <w:b/>
                                <w:color w:val="000000"/>
                                <w:sz w:val="22"/>
                              </w:rPr>
                              <w:t>fault</w:t>
                            </w:r>
                            <w:r>
                              <w:rPr>
                                <w:b/>
                                <w:color w:val="000000"/>
                                <w:spacing w:val="-3"/>
                                <w:sz w:val="22"/>
                              </w:rPr>
                              <w:t> </w:t>
                            </w:r>
                            <w:r>
                              <w:rPr>
                                <w:b/>
                                <w:color w:val="000000"/>
                                <w:spacing w:val="-2"/>
                                <w:sz w:val="22"/>
                              </w:rPr>
                              <w:t>detection</w:t>
                            </w:r>
                          </w:p>
                          <w:p>
                            <w:pPr>
                              <w:pStyle w:val="BodyText"/>
                              <w:spacing w:before="4"/>
                              <w:rPr>
                                <w:b/>
                                <w:color w:val="000000"/>
                                <w:sz w:val="25"/>
                              </w:rPr>
                            </w:pPr>
                          </w:p>
                          <w:p>
                            <w:pPr>
                              <w:pStyle w:val="BodyText"/>
                              <w:spacing w:line="288" w:lineRule="auto"/>
                              <w:ind w:left="112" w:right="140"/>
                              <w:rPr>
                                <w:color w:val="000000"/>
                              </w:rPr>
                            </w:pPr>
                            <w:r>
                              <w:rPr>
                                <w:b/>
                                <w:color w:val="000000"/>
                              </w:rPr>
                              <w:t>Ground Fault Neutralisers</w:t>
                            </w:r>
                            <w:r>
                              <w:rPr>
                                <w:color w:val="000000"/>
                              </w:rPr>
                              <w:t>, a type of REFCL developed by Swedish Neutral, reduce fault currents rapidly by injecting an anti-phase current into the neutral. Residual current is also cancelled</w:t>
                            </w:r>
                            <w:r>
                              <w:rPr>
                                <w:color w:val="000000"/>
                                <w:spacing w:val="-2"/>
                              </w:rPr>
                              <w:t> </w:t>
                            </w:r>
                            <w:r>
                              <w:rPr>
                                <w:color w:val="000000"/>
                              </w:rPr>
                              <w:t>out,</w:t>
                            </w:r>
                            <w:r>
                              <w:rPr>
                                <w:color w:val="000000"/>
                                <w:spacing w:val="-2"/>
                              </w:rPr>
                              <w:t> </w:t>
                            </w:r>
                            <w:r>
                              <w:rPr>
                                <w:color w:val="000000"/>
                              </w:rPr>
                              <w:t>meaning</w:t>
                            </w:r>
                            <w:r>
                              <w:rPr>
                                <w:color w:val="000000"/>
                                <w:spacing w:val="-2"/>
                              </w:rPr>
                              <w:t> </w:t>
                            </w:r>
                            <w:r>
                              <w:rPr>
                                <w:color w:val="000000"/>
                              </w:rPr>
                              <w:t>the</w:t>
                            </w:r>
                            <w:r>
                              <w:rPr>
                                <w:color w:val="000000"/>
                                <w:spacing w:val="-4"/>
                              </w:rPr>
                              <w:t> </w:t>
                            </w:r>
                            <w:r>
                              <w:rPr>
                                <w:color w:val="000000"/>
                              </w:rPr>
                              <w:t>fault</w:t>
                            </w:r>
                            <w:r>
                              <w:rPr>
                                <w:color w:val="000000"/>
                                <w:spacing w:val="-3"/>
                              </w:rPr>
                              <w:t> </w:t>
                            </w:r>
                            <w:r>
                              <w:rPr>
                                <w:color w:val="000000"/>
                              </w:rPr>
                              <w:t>can</w:t>
                            </w:r>
                            <w:r>
                              <w:rPr>
                                <w:color w:val="000000"/>
                                <w:spacing w:val="-4"/>
                              </w:rPr>
                              <w:t> </w:t>
                            </w:r>
                            <w:r>
                              <w:rPr>
                                <w:color w:val="000000"/>
                              </w:rPr>
                              <w:t>be</w:t>
                            </w:r>
                            <w:r>
                              <w:rPr>
                                <w:color w:val="000000"/>
                                <w:spacing w:val="-4"/>
                              </w:rPr>
                              <w:t> </w:t>
                            </w:r>
                            <w:r>
                              <w:rPr>
                                <w:color w:val="000000"/>
                              </w:rPr>
                              <w:t>reduced</w:t>
                            </w:r>
                            <w:r>
                              <w:rPr>
                                <w:color w:val="000000"/>
                                <w:spacing w:val="-4"/>
                              </w:rPr>
                              <w:t> </w:t>
                            </w:r>
                            <w:r>
                              <w:rPr>
                                <w:color w:val="000000"/>
                              </w:rPr>
                              <w:t>to</w:t>
                            </w:r>
                            <w:r>
                              <w:rPr>
                                <w:color w:val="000000"/>
                                <w:spacing w:val="-2"/>
                              </w:rPr>
                              <w:t> </w:t>
                            </w:r>
                            <w:r>
                              <w:rPr>
                                <w:color w:val="000000"/>
                              </w:rPr>
                              <w:t>levels well</w:t>
                            </w:r>
                            <w:r>
                              <w:rPr>
                                <w:color w:val="000000"/>
                                <w:spacing w:val="-2"/>
                              </w:rPr>
                              <w:t> </w:t>
                            </w:r>
                            <w:r>
                              <w:rPr>
                                <w:color w:val="000000"/>
                              </w:rPr>
                              <w:t>below</w:t>
                            </w:r>
                            <w:r>
                              <w:rPr>
                                <w:color w:val="000000"/>
                                <w:spacing w:val="-5"/>
                              </w:rPr>
                              <w:t> </w:t>
                            </w:r>
                            <w:r>
                              <w:rPr>
                                <w:color w:val="000000"/>
                              </w:rPr>
                              <w:t>one</w:t>
                            </w:r>
                            <w:r>
                              <w:rPr>
                                <w:color w:val="000000"/>
                                <w:spacing w:val="-2"/>
                              </w:rPr>
                              <w:t> </w:t>
                            </w:r>
                            <w:r>
                              <w:rPr>
                                <w:color w:val="000000"/>
                              </w:rPr>
                              <w:t>amp.</w:t>
                            </w:r>
                            <w:r>
                              <w:rPr>
                                <w:color w:val="000000"/>
                                <w:spacing w:val="-3"/>
                              </w:rPr>
                              <w:t> </w:t>
                            </w:r>
                            <w:r>
                              <w:rPr>
                                <w:color w:val="000000"/>
                              </w:rPr>
                              <w:t>Fire</w:t>
                            </w:r>
                            <w:r>
                              <w:rPr>
                                <w:color w:val="000000"/>
                                <w:spacing w:val="-4"/>
                              </w:rPr>
                              <w:t> </w:t>
                            </w:r>
                            <w:r>
                              <w:rPr>
                                <w:color w:val="000000"/>
                              </w:rPr>
                              <w:t>risk can be reduced by 90 per cent if the supply is interrupted when the fault current reaches 0.5 amps. This technology also reduces bounce ignition risk more than other fault suppression technology types.</w:t>
                            </w:r>
                          </w:p>
                          <w:p>
                            <w:pPr>
                              <w:pStyle w:val="BodyText"/>
                              <w:spacing w:before="10"/>
                              <w:rPr>
                                <w:color w:val="000000"/>
                                <w:sz w:val="20"/>
                              </w:rPr>
                            </w:pPr>
                          </w:p>
                          <w:p>
                            <w:pPr>
                              <w:pStyle w:val="BodyText"/>
                              <w:spacing w:line="288" w:lineRule="auto" w:before="1"/>
                              <w:ind w:left="112" w:right="239"/>
                              <w:jc w:val="both"/>
                              <w:rPr>
                                <w:i/>
                                <w:color w:val="000000"/>
                              </w:rPr>
                            </w:pPr>
                            <w:r>
                              <w:rPr>
                                <w:b/>
                                <w:color w:val="000000"/>
                              </w:rPr>
                              <w:t>A</w:t>
                            </w:r>
                            <w:r>
                              <w:rPr>
                                <w:b/>
                                <w:color w:val="000000"/>
                                <w:spacing w:val="-4"/>
                              </w:rPr>
                              <w:t> </w:t>
                            </w:r>
                            <w:r>
                              <w:rPr>
                                <w:b/>
                                <w:color w:val="000000"/>
                              </w:rPr>
                              <w:t>high</w:t>
                            </w:r>
                            <w:r>
                              <w:rPr>
                                <w:b/>
                                <w:color w:val="000000"/>
                                <w:spacing w:val="-1"/>
                              </w:rPr>
                              <w:t> </w:t>
                            </w:r>
                            <w:r>
                              <w:rPr>
                                <w:b/>
                                <w:color w:val="000000"/>
                              </w:rPr>
                              <w:t>impedance</w:t>
                            </w:r>
                            <w:r>
                              <w:rPr>
                                <w:b/>
                                <w:color w:val="000000"/>
                                <w:spacing w:val="-3"/>
                              </w:rPr>
                              <w:t> </w:t>
                            </w:r>
                            <w:r>
                              <w:rPr>
                                <w:b/>
                                <w:color w:val="000000"/>
                              </w:rPr>
                              <w:t>fault</w:t>
                            </w:r>
                            <w:r>
                              <w:rPr>
                                <w:b/>
                                <w:color w:val="000000"/>
                                <w:spacing w:val="-1"/>
                              </w:rPr>
                              <w:t> </w:t>
                            </w:r>
                            <w:r>
                              <w:rPr>
                                <w:color w:val="000000"/>
                              </w:rPr>
                              <w:t>results when</w:t>
                            </w:r>
                            <w:r>
                              <w:rPr>
                                <w:color w:val="000000"/>
                                <w:spacing w:val="-1"/>
                              </w:rPr>
                              <w:t> </w:t>
                            </w:r>
                            <w:r>
                              <w:rPr>
                                <w:color w:val="000000"/>
                              </w:rPr>
                              <w:t>an</w:t>
                            </w:r>
                            <w:r>
                              <w:rPr>
                                <w:color w:val="000000"/>
                                <w:spacing w:val="-1"/>
                              </w:rPr>
                              <w:t> </w:t>
                            </w:r>
                            <w:r>
                              <w:rPr>
                                <w:color w:val="000000"/>
                              </w:rPr>
                              <w:t>energised</w:t>
                            </w:r>
                            <w:r>
                              <w:rPr>
                                <w:color w:val="000000"/>
                                <w:spacing w:val="-1"/>
                              </w:rPr>
                              <w:t> </w:t>
                            </w:r>
                            <w:r>
                              <w:rPr>
                                <w:color w:val="000000"/>
                              </w:rPr>
                              <w:t>conductor</w:t>
                            </w:r>
                            <w:r>
                              <w:rPr>
                                <w:color w:val="000000"/>
                                <w:spacing w:val="-2"/>
                              </w:rPr>
                              <w:t> </w:t>
                            </w:r>
                            <w:r>
                              <w:rPr>
                                <w:color w:val="000000"/>
                              </w:rPr>
                              <w:t>comes</w:t>
                            </w:r>
                            <w:r>
                              <w:rPr>
                                <w:color w:val="000000"/>
                                <w:spacing w:val="-3"/>
                              </w:rPr>
                              <w:t> </w:t>
                            </w:r>
                            <w:r>
                              <w:rPr>
                                <w:color w:val="000000"/>
                              </w:rPr>
                              <w:t>in</w:t>
                            </w:r>
                            <w:r>
                              <w:rPr>
                                <w:color w:val="000000"/>
                                <w:spacing w:val="-1"/>
                              </w:rPr>
                              <w:t> </w:t>
                            </w:r>
                            <w:r>
                              <w:rPr>
                                <w:color w:val="000000"/>
                              </w:rPr>
                              <w:t>contact</w:t>
                            </w:r>
                            <w:r>
                              <w:rPr>
                                <w:color w:val="000000"/>
                                <w:spacing w:val="-2"/>
                              </w:rPr>
                              <w:t> </w:t>
                            </w:r>
                            <w:r>
                              <w:rPr>
                                <w:color w:val="000000"/>
                              </w:rPr>
                              <w:t>with</w:t>
                            </w:r>
                            <w:r>
                              <w:rPr>
                                <w:color w:val="000000"/>
                                <w:spacing w:val="-1"/>
                              </w:rPr>
                              <w:t> </w:t>
                            </w:r>
                            <w:r>
                              <w:rPr>
                                <w:color w:val="000000"/>
                              </w:rPr>
                              <w:t>a tree or</w:t>
                            </w:r>
                            <w:r>
                              <w:rPr>
                                <w:color w:val="000000"/>
                                <w:spacing w:val="-2"/>
                              </w:rPr>
                              <w:t> </w:t>
                            </w:r>
                            <w:r>
                              <w:rPr>
                                <w:color w:val="000000"/>
                              </w:rPr>
                              <w:t>other</w:t>
                            </w:r>
                            <w:r>
                              <w:rPr>
                                <w:color w:val="000000"/>
                                <w:spacing w:val="-4"/>
                              </w:rPr>
                              <w:t> </w:t>
                            </w:r>
                            <w:r>
                              <w:rPr>
                                <w:color w:val="000000"/>
                              </w:rPr>
                              <w:t>structure,</w:t>
                            </w:r>
                            <w:r>
                              <w:rPr>
                                <w:color w:val="000000"/>
                                <w:spacing w:val="-1"/>
                              </w:rPr>
                              <w:t> </w:t>
                            </w:r>
                            <w:r>
                              <w:rPr>
                                <w:color w:val="000000"/>
                              </w:rPr>
                              <w:t>or</w:t>
                            </w:r>
                            <w:r>
                              <w:rPr>
                                <w:color w:val="000000"/>
                                <w:spacing w:val="-4"/>
                              </w:rPr>
                              <w:t> </w:t>
                            </w:r>
                            <w:r>
                              <w:rPr>
                                <w:color w:val="000000"/>
                              </w:rPr>
                              <w:t>the</w:t>
                            </w:r>
                            <w:r>
                              <w:rPr>
                                <w:color w:val="000000"/>
                                <w:spacing w:val="-5"/>
                              </w:rPr>
                              <w:t> </w:t>
                            </w:r>
                            <w:r>
                              <w:rPr>
                                <w:color w:val="000000"/>
                              </w:rPr>
                              <w:t>ground.</w:t>
                            </w:r>
                            <w:r>
                              <w:rPr>
                                <w:color w:val="000000"/>
                                <w:spacing w:val="-4"/>
                              </w:rPr>
                              <w:t> </w:t>
                            </w:r>
                            <w:r>
                              <w:rPr>
                                <w:color w:val="000000"/>
                              </w:rPr>
                              <w:t>It</w:t>
                            </w:r>
                            <w:r>
                              <w:rPr>
                                <w:color w:val="000000"/>
                                <w:spacing w:val="-1"/>
                              </w:rPr>
                              <w:t> </w:t>
                            </w:r>
                            <w:r>
                              <w:rPr>
                                <w:color w:val="000000"/>
                              </w:rPr>
                              <w:t>is</w:t>
                            </w:r>
                            <w:r>
                              <w:rPr>
                                <w:color w:val="000000"/>
                                <w:spacing w:val="-5"/>
                              </w:rPr>
                              <w:t> </w:t>
                            </w:r>
                            <w:r>
                              <w:rPr>
                                <w:color w:val="000000"/>
                              </w:rPr>
                              <w:t>characterised</w:t>
                            </w:r>
                            <w:r>
                              <w:rPr>
                                <w:color w:val="000000"/>
                                <w:spacing w:val="-3"/>
                              </w:rPr>
                              <w:t> </w:t>
                            </w:r>
                            <w:r>
                              <w:rPr>
                                <w:color w:val="000000"/>
                              </w:rPr>
                              <w:t>by</w:t>
                            </w:r>
                            <w:r>
                              <w:rPr>
                                <w:color w:val="000000"/>
                                <w:spacing w:val="-5"/>
                              </w:rPr>
                              <w:t> </w:t>
                            </w:r>
                            <w:r>
                              <w:rPr>
                                <w:color w:val="000000"/>
                              </w:rPr>
                              <w:t>having</w:t>
                            </w:r>
                            <w:r>
                              <w:rPr>
                                <w:color w:val="000000"/>
                                <w:spacing w:val="-1"/>
                              </w:rPr>
                              <w:t> </w:t>
                            </w:r>
                            <w:r>
                              <w:rPr>
                                <w:color w:val="000000"/>
                              </w:rPr>
                              <w:t>a</w:t>
                            </w:r>
                            <w:r>
                              <w:rPr>
                                <w:color w:val="000000"/>
                                <w:spacing w:val="-3"/>
                              </w:rPr>
                              <w:t> </w:t>
                            </w:r>
                            <w:r>
                              <w:rPr>
                                <w:color w:val="000000"/>
                              </w:rPr>
                              <w:t>high</w:t>
                            </w:r>
                            <w:r>
                              <w:rPr>
                                <w:color w:val="000000"/>
                                <w:spacing w:val="-3"/>
                              </w:rPr>
                              <w:t> </w:t>
                            </w:r>
                            <w:r>
                              <w:rPr>
                                <w:color w:val="000000"/>
                              </w:rPr>
                              <w:t>impedance</w:t>
                            </w:r>
                            <w:r>
                              <w:rPr>
                                <w:color w:val="000000"/>
                                <w:spacing w:val="-3"/>
                              </w:rPr>
                              <w:t> </w:t>
                            </w:r>
                            <w:r>
                              <w:rPr>
                                <w:color w:val="000000"/>
                              </w:rPr>
                              <w:t>that</w:t>
                            </w:r>
                            <w:r>
                              <w:rPr>
                                <w:color w:val="000000"/>
                                <w:spacing w:val="-4"/>
                              </w:rPr>
                              <w:t> </w:t>
                            </w:r>
                            <w:r>
                              <w:rPr>
                                <w:color w:val="000000"/>
                              </w:rPr>
                              <w:t>makes it more difficult to</w:t>
                            </w:r>
                            <w:r>
                              <w:rPr>
                                <w:color w:val="000000"/>
                                <w:spacing w:val="-1"/>
                              </w:rPr>
                              <w:t> </w:t>
                            </w:r>
                            <w:r>
                              <w:rPr>
                                <w:color w:val="000000"/>
                              </w:rPr>
                              <w:t>detect.</w:t>
                            </w:r>
                            <w:r>
                              <w:rPr>
                                <w:color w:val="000000"/>
                                <w:spacing w:val="-2"/>
                              </w:rPr>
                              <w:t> </w:t>
                            </w:r>
                            <w:r>
                              <w:rPr>
                                <w:color w:val="000000"/>
                              </w:rPr>
                              <w:t>A high</w:t>
                            </w:r>
                            <w:r>
                              <w:rPr>
                                <w:color w:val="000000"/>
                                <w:spacing w:val="-1"/>
                              </w:rPr>
                              <w:t> </w:t>
                            </w:r>
                            <w:r>
                              <w:rPr>
                                <w:color w:val="000000"/>
                              </w:rPr>
                              <w:t>impendence</w:t>
                            </w:r>
                            <w:r>
                              <w:rPr>
                                <w:color w:val="000000"/>
                                <w:spacing w:val="-3"/>
                              </w:rPr>
                              <w:t> </w:t>
                            </w:r>
                            <w:r>
                              <w:rPr>
                                <w:color w:val="000000"/>
                              </w:rPr>
                              <w:t>fault means a</w:t>
                            </w:r>
                            <w:r>
                              <w:rPr>
                                <w:color w:val="000000"/>
                                <w:spacing w:val="-1"/>
                              </w:rPr>
                              <w:t> </w:t>
                            </w:r>
                            <w:r>
                              <w:rPr>
                                <w:color w:val="000000"/>
                              </w:rPr>
                              <w:t>resistance</w:t>
                            </w:r>
                            <w:r>
                              <w:rPr>
                                <w:color w:val="000000"/>
                                <w:spacing w:val="-1"/>
                              </w:rPr>
                              <w:t> </w:t>
                            </w:r>
                            <w:r>
                              <w:rPr>
                                <w:color w:val="000000"/>
                              </w:rPr>
                              <w:t>value in ohms</w:t>
                            </w:r>
                            <w:r>
                              <w:rPr>
                                <w:color w:val="000000"/>
                                <w:spacing w:val="-1"/>
                              </w:rPr>
                              <w:t> </w:t>
                            </w:r>
                            <w:r>
                              <w:rPr>
                                <w:color w:val="000000"/>
                              </w:rPr>
                              <w:t>that is equal to twice the nominal phase-to-ground network voltage in volts </w:t>
                            </w:r>
                            <w:r>
                              <w:rPr>
                                <w:i/>
                                <w:color w:val="000000"/>
                              </w:rPr>
                              <w:t>(Electricity Safety</w:t>
                            </w:r>
                          </w:p>
                        </w:txbxContent>
                      </wps:txbx>
                      <wps:bodyPr wrap="square" lIns="0" tIns="0" rIns="0" bIns="0" rtlCol="0">
                        <a:noAutofit/>
                      </wps:bodyPr>
                    </wps:wsp>
                  </a:graphicData>
                </a:graphic>
              </wp:anchor>
            </w:drawing>
          </mc:Choice>
          <mc:Fallback>
            <w:pict>
              <v:shape style="position:absolute;margin-left:56.639999pt;margin-top:10.849218pt;width:462.25pt;height:209.2pt;mso-position-horizontal-relative:page;mso-position-vertical-relative:paragraph;z-index:-15673344;mso-wrap-distance-left:0;mso-wrap-distance-right:0" type="#_x0000_t202" id="docshape150" filled="true" fillcolor="#cdebeb" stroked="false">
                <v:textbox inset="0,0,0,0">
                  <w:txbxContent>
                    <w:p>
                      <w:pPr>
                        <w:pStyle w:val="BodyText"/>
                        <w:spacing w:before="5"/>
                        <w:rPr>
                          <w:color w:val="000000"/>
                          <w:sz w:val="31"/>
                        </w:rPr>
                      </w:pPr>
                    </w:p>
                    <w:p>
                      <w:pPr>
                        <w:spacing w:before="1"/>
                        <w:ind w:left="112" w:right="0" w:firstLine="0"/>
                        <w:jc w:val="left"/>
                        <w:rPr>
                          <w:b/>
                          <w:color w:val="000000"/>
                          <w:sz w:val="22"/>
                        </w:rPr>
                      </w:pPr>
                      <w:r>
                        <w:rPr>
                          <w:b/>
                          <w:color w:val="000000"/>
                          <w:sz w:val="22"/>
                        </w:rPr>
                        <w:t>Box</w:t>
                      </w:r>
                      <w:r>
                        <w:rPr>
                          <w:b/>
                          <w:color w:val="000000"/>
                          <w:spacing w:val="-5"/>
                          <w:sz w:val="22"/>
                        </w:rPr>
                        <w:t> </w:t>
                      </w:r>
                      <w:r>
                        <w:rPr>
                          <w:b/>
                          <w:color w:val="000000"/>
                          <w:sz w:val="22"/>
                        </w:rPr>
                        <w:t>17:</w:t>
                      </w:r>
                      <w:r>
                        <w:rPr>
                          <w:b/>
                          <w:color w:val="000000"/>
                          <w:spacing w:val="-3"/>
                          <w:sz w:val="22"/>
                        </w:rPr>
                        <w:t> </w:t>
                      </w:r>
                      <w:r>
                        <w:rPr>
                          <w:b/>
                          <w:color w:val="000000"/>
                          <w:sz w:val="22"/>
                        </w:rPr>
                        <w:t>Definitions</w:t>
                      </w:r>
                      <w:r>
                        <w:rPr>
                          <w:b/>
                          <w:color w:val="000000"/>
                          <w:spacing w:val="-5"/>
                          <w:sz w:val="22"/>
                        </w:rPr>
                        <w:t> </w:t>
                      </w:r>
                      <w:r>
                        <w:rPr>
                          <w:b/>
                          <w:color w:val="000000"/>
                          <w:sz w:val="22"/>
                        </w:rPr>
                        <w:t>related</w:t>
                      </w:r>
                      <w:r>
                        <w:rPr>
                          <w:b/>
                          <w:color w:val="000000"/>
                          <w:spacing w:val="-5"/>
                          <w:sz w:val="22"/>
                        </w:rPr>
                        <w:t> </w:t>
                      </w:r>
                      <w:r>
                        <w:rPr>
                          <w:b/>
                          <w:color w:val="000000"/>
                          <w:sz w:val="22"/>
                        </w:rPr>
                        <w:t>to</w:t>
                      </w:r>
                      <w:r>
                        <w:rPr>
                          <w:b/>
                          <w:color w:val="000000"/>
                          <w:spacing w:val="-5"/>
                          <w:sz w:val="22"/>
                        </w:rPr>
                        <w:t> </w:t>
                      </w:r>
                      <w:r>
                        <w:rPr>
                          <w:b/>
                          <w:color w:val="000000"/>
                          <w:sz w:val="22"/>
                        </w:rPr>
                        <w:t>fault</w:t>
                      </w:r>
                      <w:r>
                        <w:rPr>
                          <w:b/>
                          <w:color w:val="000000"/>
                          <w:spacing w:val="-3"/>
                          <w:sz w:val="22"/>
                        </w:rPr>
                        <w:t> </w:t>
                      </w:r>
                      <w:r>
                        <w:rPr>
                          <w:b/>
                          <w:color w:val="000000"/>
                          <w:spacing w:val="-2"/>
                          <w:sz w:val="22"/>
                        </w:rPr>
                        <w:t>detection</w:t>
                      </w:r>
                    </w:p>
                    <w:p>
                      <w:pPr>
                        <w:pStyle w:val="BodyText"/>
                        <w:spacing w:before="4"/>
                        <w:rPr>
                          <w:b/>
                          <w:color w:val="000000"/>
                          <w:sz w:val="25"/>
                        </w:rPr>
                      </w:pPr>
                    </w:p>
                    <w:p>
                      <w:pPr>
                        <w:pStyle w:val="BodyText"/>
                        <w:spacing w:line="288" w:lineRule="auto"/>
                        <w:ind w:left="112" w:right="140"/>
                        <w:rPr>
                          <w:color w:val="000000"/>
                        </w:rPr>
                      </w:pPr>
                      <w:r>
                        <w:rPr>
                          <w:b/>
                          <w:color w:val="000000"/>
                        </w:rPr>
                        <w:t>Ground Fault Neutralisers</w:t>
                      </w:r>
                      <w:r>
                        <w:rPr>
                          <w:color w:val="000000"/>
                        </w:rPr>
                        <w:t>, a type of REFCL developed by Swedish Neutral, reduce fault currents rapidly by injecting an anti-phase current into the neutral. Residual current is also cancelled</w:t>
                      </w:r>
                      <w:r>
                        <w:rPr>
                          <w:color w:val="000000"/>
                          <w:spacing w:val="-2"/>
                        </w:rPr>
                        <w:t> </w:t>
                      </w:r>
                      <w:r>
                        <w:rPr>
                          <w:color w:val="000000"/>
                        </w:rPr>
                        <w:t>out,</w:t>
                      </w:r>
                      <w:r>
                        <w:rPr>
                          <w:color w:val="000000"/>
                          <w:spacing w:val="-2"/>
                        </w:rPr>
                        <w:t> </w:t>
                      </w:r>
                      <w:r>
                        <w:rPr>
                          <w:color w:val="000000"/>
                        </w:rPr>
                        <w:t>meaning</w:t>
                      </w:r>
                      <w:r>
                        <w:rPr>
                          <w:color w:val="000000"/>
                          <w:spacing w:val="-2"/>
                        </w:rPr>
                        <w:t> </w:t>
                      </w:r>
                      <w:r>
                        <w:rPr>
                          <w:color w:val="000000"/>
                        </w:rPr>
                        <w:t>the</w:t>
                      </w:r>
                      <w:r>
                        <w:rPr>
                          <w:color w:val="000000"/>
                          <w:spacing w:val="-4"/>
                        </w:rPr>
                        <w:t> </w:t>
                      </w:r>
                      <w:r>
                        <w:rPr>
                          <w:color w:val="000000"/>
                        </w:rPr>
                        <w:t>fault</w:t>
                      </w:r>
                      <w:r>
                        <w:rPr>
                          <w:color w:val="000000"/>
                          <w:spacing w:val="-3"/>
                        </w:rPr>
                        <w:t> </w:t>
                      </w:r>
                      <w:r>
                        <w:rPr>
                          <w:color w:val="000000"/>
                        </w:rPr>
                        <w:t>can</w:t>
                      </w:r>
                      <w:r>
                        <w:rPr>
                          <w:color w:val="000000"/>
                          <w:spacing w:val="-4"/>
                        </w:rPr>
                        <w:t> </w:t>
                      </w:r>
                      <w:r>
                        <w:rPr>
                          <w:color w:val="000000"/>
                        </w:rPr>
                        <w:t>be</w:t>
                      </w:r>
                      <w:r>
                        <w:rPr>
                          <w:color w:val="000000"/>
                          <w:spacing w:val="-4"/>
                        </w:rPr>
                        <w:t> </w:t>
                      </w:r>
                      <w:r>
                        <w:rPr>
                          <w:color w:val="000000"/>
                        </w:rPr>
                        <w:t>reduced</w:t>
                      </w:r>
                      <w:r>
                        <w:rPr>
                          <w:color w:val="000000"/>
                          <w:spacing w:val="-4"/>
                        </w:rPr>
                        <w:t> </w:t>
                      </w:r>
                      <w:r>
                        <w:rPr>
                          <w:color w:val="000000"/>
                        </w:rPr>
                        <w:t>to</w:t>
                      </w:r>
                      <w:r>
                        <w:rPr>
                          <w:color w:val="000000"/>
                          <w:spacing w:val="-2"/>
                        </w:rPr>
                        <w:t> </w:t>
                      </w:r>
                      <w:r>
                        <w:rPr>
                          <w:color w:val="000000"/>
                        </w:rPr>
                        <w:t>levels well</w:t>
                      </w:r>
                      <w:r>
                        <w:rPr>
                          <w:color w:val="000000"/>
                          <w:spacing w:val="-2"/>
                        </w:rPr>
                        <w:t> </w:t>
                      </w:r>
                      <w:r>
                        <w:rPr>
                          <w:color w:val="000000"/>
                        </w:rPr>
                        <w:t>below</w:t>
                      </w:r>
                      <w:r>
                        <w:rPr>
                          <w:color w:val="000000"/>
                          <w:spacing w:val="-5"/>
                        </w:rPr>
                        <w:t> </w:t>
                      </w:r>
                      <w:r>
                        <w:rPr>
                          <w:color w:val="000000"/>
                        </w:rPr>
                        <w:t>one</w:t>
                      </w:r>
                      <w:r>
                        <w:rPr>
                          <w:color w:val="000000"/>
                          <w:spacing w:val="-2"/>
                        </w:rPr>
                        <w:t> </w:t>
                      </w:r>
                      <w:r>
                        <w:rPr>
                          <w:color w:val="000000"/>
                        </w:rPr>
                        <w:t>amp.</w:t>
                      </w:r>
                      <w:r>
                        <w:rPr>
                          <w:color w:val="000000"/>
                          <w:spacing w:val="-3"/>
                        </w:rPr>
                        <w:t> </w:t>
                      </w:r>
                      <w:r>
                        <w:rPr>
                          <w:color w:val="000000"/>
                        </w:rPr>
                        <w:t>Fire</w:t>
                      </w:r>
                      <w:r>
                        <w:rPr>
                          <w:color w:val="000000"/>
                          <w:spacing w:val="-4"/>
                        </w:rPr>
                        <w:t> </w:t>
                      </w:r>
                      <w:r>
                        <w:rPr>
                          <w:color w:val="000000"/>
                        </w:rPr>
                        <w:t>risk can be reduced by 90 per cent if the supply is interrupted when the fault current reaches 0.5 amps. This technology also reduces bounce ignition risk more than other fault suppression technology types.</w:t>
                      </w:r>
                    </w:p>
                    <w:p>
                      <w:pPr>
                        <w:pStyle w:val="BodyText"/>
                        <w:spacing w:before="10"/>
                        <w:rPr>
                          <w:color w:val="000000"/>
                          <w:sz w:val="20"/>
                        </w:rPr>
                      </w:pPr>
                    </w:p>
                    <w:p>
                      <w:pPr>
                        <w:pStyle w:val="BodyText"/>
                        <w:spacing w:line="288" w:lineRule="auto" w:before="1"/>
                        <w:ind w:left="112" w:right="239"/>
                        <w:jc w:val="both"/>
                        <w:rPr>
                          <w:i/>
                          <w:color w:val="000000"/>
                        </w:rPr>
                      </w:pPr>
                      <w:r>
                        <w:rPr>
                          <w:b/>
                          <w:color w:val="000000"/>
                        </w:rPr>
                        <w:t>A</w:t>
                      </w:r>
                      <w:r>
                        <w:rPr>
                          <w:b/>
                          <w:color w:val="000000"/>
                          <w:spacing w:val="-4"/>
                        </w:rPr>
                        <w:t> </w:t>
                      </w:r>
                      <w:r>
                        <w:rPr>
                          <w:b/>
                          <w:color w:val="000000"/>
                        </w:rPr>
                        <w:t>high</w:t>
                      </w:r>
                      <w:r>
                        <w:rPr>
                          <w:b/>
                          <w:color w:val="000000"/>
                          <w:spacing w:val="-1"/>
                        </w:rPr>
                        <w:t> </w:t>
                      </w:r>
                      <w:r>
                        <w:rPr>
                          <w:b/>
                          <w:color w:val="000000"/>
                        </w:rPr>
                        <w:t>impedance</w:t>
                      </w:r>
                      <w:r>
                        <w:rPr>
                          <w:b/>
                          <w:color w:val="000000"/>
                          <w:spacing w:val="-3"/>
                        </w:rPr>
                        <w:t> </w:t>
                      </w:r>
                      <w:r>
                        <w:rPr>
                          <w:b/>
                          <w:color w:val="000000"/>
                        </w:rPr>
                        <w:t>fault</w:t>
                      </w:r>
                      <w:r>
                        <w:rPr>
                          <w:b/>
                          <w:color w:val="000000"/>
                          <w:spacing w:val="-1"/>
                        </w:rPr>
                        <w:t> </w:t>
                      </w:r>
                      <w:r>
                        <w:rPr>
                          <w:color w:val="000000"/>
                        </w:rPr>
                        <w:t>results when</w:t>
                      </w:r>
                      <w:r>
                        <w:rPr>
                          <w:color w:val="000000"/>
                          <w:spacing w:val="-1"/>
                        </w:rPr>
                        <w:t> </w:t>
                      </w:r>
                      <w:r>
                        <w:rPr>
                          <w:color w:val="000000"/>
                        </w:rPr>
                        <w:t>an</w:t>
                      </w:r>
                      <w:r>
                        <w:rPr>
                          <w:color w:val="000000"/>
                          <w:spacing w:val="-1"/>
                        </w:rPr>
                        <w:t> </w:t>
                      </w:r>
                      <w:r>
                        <w:rPr>
                          <w:color w:val="000000"/>
                        </w:rPr>
                        <w:t>energised</w:t>
                      </w:r>
                      <w:r>
                        <w:rPr>
                          <w:color w:val="000000"/>
                          <w:spacing w:val="-1"/>
                        </w:rPr>
                        <w:t> </w:t>
                      </w:r>
                      <w:r>
                        <w:rPr>
                          <w:color w:val="000000"/>
                        </w:rPr>
                        <w:t>conductor</w:t>
                      </w:r>
                      <w:r>
                        <w:rPr>
                          <w:color w:val="000000"/>
                          <w:spacing w:val="-2"/>
                        </w:rPr>
                        <w:t> </w:t>
                      </w:r>
                      <w:r>
                        <w:rPr>
                          <w:color w:val="000000"/>
                        </w:rPr>
                        <w:t>comes</w:t>
                      </w:r>
                      <w:r>
                        <w:rPr>
                          <w:color w:val="000000"/>
                          <w:spacing w:val="-3"/>
                        </w:rPr>
                        <w:t> </w:t>
                      </w:r>
                      <w:r>
                        <w:rPr>
                          <w:color w:val="000000"/>
                        </w:rPr>
                        <w:t>in</w:t>
                      </w:r>
                      <w:r>
                        <w:rPr>
                          <w:color w:val="000000"/>
                          <w:spacing w:val="-1"/>
                        </w:rPr>
                        <w:t> </w:t>
                      </w:r>
                      <w:r>
                        <w:rPr>
                          <w:color w:val="000000"/>
                        </w:rPr>
                        <w:t>contact</w:t>
                      </w:r>
                      <w:r>
                        <w:rPr>
                          <w:color w:val="000000"/>
                          <w:spacing w:val="-2"/>
                        </w:rPr>
                        <w:t> </w:t>
                      </w:r>
                      <w:r>
                        <w:rPr>
                          <w:color w:val="000000"/>
                        </w:rPr>
                        <w:t>with</w:t>
                      </w:r>
                      <w:r>
                        <w:rPr>
                          <w:color w:val="000000"/>
                          <w:spacing w:val="-1"/>
                        </w:rPr>
                        <w:t> </w:t>
                      </w:r>
                      <w:r>
                        <w:rPr>
                          <w:color w:val="000000"/>
                        </w:rPr>
                        <w:t>a tree or</w:t>
                      </w:r>
                      <w:r>
                        <w:rPr>
                          <w:color w:val="000000"/>
                          <w:spacing w:val="-2"/>
                        </w:rPr>
                        <w:t> </w:t>
                      </w:r>
                      <w:r>
                        <w:rPr>
                          <w:color w:val="000000"/>
                        </w:rPr>
                        <w:t>other</w:t>
                      </w:r>
                      <w:r>
                        <w:rPr>
                          <w:color w:val="000000"/>
                          <w:spacing w:val="-4"/>
                        </w:rPr>
                        <w:t> </w:t>
                      </w:r>
                      <w:r>
                        <w:rPr>
                          <w:color w:val="000000"/>
                        </w:rPr>
                        <w:t>structure,</w:t>
                      </w:r>
                      <w:r>
                        <w:rPr>
                          <w:color w:val="000000"/>
                          <w:spacing w:val="-1"/>
                        </w:rPr>
                        <w:t> </w:t>
                      </w:r>
                      <w:r>
                        <w:rPr>
                          <w:color w:val="000000"/>
                        </w:rPr>
                        <w:t>or</w:t>
                      </w:r>
                      <w:r>
                        <w:rPr>
                          <w:color w:val="000000"/>
                          <w:spacing w:val="-4"/>
                        </w:rPr>
                        <w:t> </w:t>
                      </w:r>
                      <w:r>
                        <w:rPr>
                          <w:color w:val="000000"/>
                        </w:rPr>
                        <w:t>the</w:t>
                      </w:r>
                      <w:r>
                        <w:rPr>
                          <w:color w:val="000000"/>
                          <w:spacing w:val="-5"/>
                        </w:rPr>
                        <w:t> </w:t>
                      </w:r>
                      <w:r>
                        <w:rPr>
                          <w:color w:val="000000"/>
                        </w:rPr>
                        <w:t>ground.</w:t>
                      </w:r>
                      <w:r>
                        <w:rPr>
                          <w:color w:val="000000"/>
                          <w:spacing w:val="-4"/>
                        </w:rPr>
                        <w:t> </w:t>
                      </w:r>
                      <w:r>
                        <w:rPr>
                          <w:color w:val="000000"/>
                        </w:rPr>
                        <w:t>It</w:t>
                      </w:r>
                      <w:r>
                        <w:rPr>
                          <w:color w:val="000000"/>
                          <w:spacing w:val="-1"/>
                        </w:rPr>
                        <w:t> </w:t>
                      </w:r>
                      <w:r>
                        <w:rPr>
                          <w:color w:val="000000"/>
                        </w:rPr>
                        <w:t>is</w:t>
                      </w:r>
                      <w:r>
                        <w:rPr>
                          <w:color w:val="000000"/>
                          <w:spacing w:val="-5"/>
                        </w:rPr>
                        <w:t> </w:t>
                      </w:r>
                      <w:r>
                        <w:rPr>
                          <w:color w:val="000000"/>
                        </w:rPr>
                        <w:t>characterised</w:t>
                      </w:r>
                      <w:r>
                        <w:rPr>
                          <w:color w:val="000000"/>
                          <w:spacing w:val="-3"/>
                        </w:rPr>
                        <w:t> </w:t>
                      </w:r>
                      <w:r>
                        <w:rPr>
                          <w:color w:val="000000"/>
                        </w:rPr>
                        <w:t>by</w:t>
                      </w:r>
                      <w:r>
                        <w:rPr>
                          <w:color w:val="000000"/>
                          <w:spacing w:val="-5"/>
                        </w:rPr>
                        <w:t> </w:t>
                      </w:r>
                      <w:r>
                        <w:rPr>
                          <w:color w:val="000000"/>
                        </w:rPr>
                        <w:t>having</w:t>
                      </w:r>
                      <w:r>
                        <w:rPr>
                          <w:color w:val="000000"/>
                          <w:spacing w:val="-1"/>
                        </w:rPr>
                        <w:t> </w:t>
                      </w:r>
                      <w:r>
                        <w:rPr>
                          <w:color w:val="000000"/>
                        </w:rPr>
                        <w:t>a</w:t>
                      </w:r>
                      <w:r>
                        <w:rPr>
                          <w:color w:val="000000"/>
                          <w:spacing w:val="-3"/>
                        </w:rPr>
                        <w:t> </w:t>
                      </w:r>
                      <w:r>
                        <w:rPr>
                          <w:color w:val="000000"/>
                        </w:rPr>
                        <w:t>high</w:t>
                      </w:r>
                      <w:r>
                        <w:rPr>
                          <w:color w:val="000000"/>
                          <w:spacing w:val="-3"/>
                        </w:rPr>
                        <w:t> </w:t>
                      </w:r>
                      <w:r>
                        <w:rPr>
                          <w:color w:val="000000"/>
                        </w:rPr>
                        <w:t>impedance</w:t>
                      </w:r>
                      <w:r>
                        <w:rPr>
                          <w:color w:val="000000"/>
                          <w:spacing w:val="-3"/>
                        </w:rPr>
                        <w:t> </w:t>
                      </w:r>
                      <w:r>
                        <w:rPr>
                          <w:color w:val="000000"/>
                        </w:rPr>
                        <w:t>that</w:t>
                      </w:r>
                      <w:r>
                        <w:rPr>
                          <w:color w:val="000000"/>
                          <w:spacing w:val="-4"/>
                        </w:rPr>
                        <w:t> </w:t>
                      </w:r>
                      <w:r>
                        <w:rPr>
                          <w:color w:val="000000"/>
                        </w:rPr>
                        <w:t>makes it more difficult to</w:t>
                      </w:r>
                      <w:r>
                        <w:rPr>
                          <w:color w:val="000000"/>
                          <w:spacing w:val="-1"/>
                        </w:rPr>
                        <w:t> </w:t>
                      </w:r>
                      <w:r>
                        <w:rPr>
                          <w:color w:val="000000"/>
                        </w:rPr>
                        <w:t>detect.</w:t>
                      </w:r>
                      <w:r>
                        <w:rPr>
                          <w:color w:val="000000"/>
                          <w:spacing w:val="-2"/>
                        </w:rPr>
                        <w:t> </w:t>
                      </w:r>
                      <w:r>
                        <w:rPr>
                          <w:color w:val="000000"/>
                        </w:rPr>
                        <w:t>A high</w:t>
                      </w:r>
                      <w:r>
                        <w:rPr>
                          <w:color w:val="000000"/>
                          <w:spacing w:val="-1"/>
                        </w:rPr>
                        <w:t> </w:t>
                      </w:r>
                      <w:r>
                        <w:rPr>
                          <w:color w:val="000000"/>
                        </w:rPr>
                        <w:t>impendence</w:t>
                      </w:r>
                      <w:r>
                        <w:rPr>
                          <w:color w:val="000000"/>
                          <w:spacing w:val="-3"/>
                        </w:rPr>
                        <w:t> </w:t>
                      </w:r>
                      <w:r>
                        <w:rPr>
                          <w:color w:val="000000"/>
                        </w:rPr>
                        <w:t>fault means a</w:t>
                      </w:r>
                      <w:r>
                        <w:rPr>
                          <w:color w:val="000000"/>
                          <w:spacing w:val="-1"/>
                        </w:rPr>
                        <w:t> </w:t>
                      </w:r>
                      <w:r>
                        <w:rPr>
                          <w:color w:val="000000"/>
                        </w:rPr>
                        <w:t>resistance</w:t>
                      </w:r>
                      <w:r>
                        <w:rPr>
                          <w:color w:val="000000"/>
                          <w:spacing w:val="-1"/>
                        </w:rPr>
                        <w:t> </w:t>
                      </w:r>
                      <w:r>
                        <w:rPr>
                          <w:color w:val="000000"/>
                        </w:rPr>
                        <w:t>value in ohms</w:t>
                      </w:r>
                      <w:r>
                        <w:rPr>
                          <w:color w:val="000000"/>
                          <w:spacing w:val="-1"/>
                        </w:rPr>
                        <w:t> </w:t>
                      </w:r>
                      <w:r>
                        <w:rPr>
                          <w:color w:val="000000"/>
                        </w:rPr>
                        <w:t>that is equal to twice the nominal phase-to-ground network voltage in volts </w:t>
                      </w:r>
                      <w:r>
                        <w:rPr>
                          <w:i/>
                          <w:color w:val="000000"/>
                        </w:rPr>
                        <w:t>(Electricity Safety</w:t>
                      </w:r>
                    </w:p>
                  </w:txbxContent>
                </v:textbox>
                <v:fill type="solid"/>
                <w10:wrap type="topAndBottom"/>
              </v:shape>
            </w:pict>
          </mc:Fallback>
        </mc:AlternateContent>
      </w:r>
    </w:p>
    <w:p>
      <w:pPr>
        <w:spacing w:after="0"/>
        <w:rPr>
          <w:sz w:val="16"/>
        </w:rPr>
        <w:sectPr>
          <w:pgSz w:w="11910" w:h="16850"/>
          <w:pgMar w:header="220" w:footer="678" w:top="420" w:bottom="860" w:left="900" w:right="840"/>
        </w:sectPr>
      </w:pPr>
    </w:p>
    <w:p>
      <w:pPr>
        <w:pStyle w:val="BodyText"/>
        <w:rPr>
          <w:sz w:val="20"/>
        </w:rPr>
      </w:pPr>
    </w:p>
    <w:p>
      <w:pPr>
        <w:pStyle w:val="BodyText"/>
        <w:spacing w:before="4"/>
        <w:rPr>
          <w:sz w:val="27"/>
        </w:rPr>
      </w:pPr>
    </w:p>
    <w:p>
      <w:pPr>
        <w:pStyle w:val="BodyText"/>
        <w:ind w:left="232"/>
        <w:rPr>
          <w:sz w:val="20"/>
        </w:rPr>
      </w:pPr>
      <w:r>
        <w:rPr>
          <w:sz w:val="20"/>
        </w:rPr>
        <mc:AlternateContent>
          <mc:Choice Requires="wps">
            <w:drawing>
              <wp:inline distT="0" distB="0" distL="0" distR="0">
                <wp:extent cx="5870575" cy="2192020"/>
                <wp:effectExtent l="0" t="0" r="0" b="0"/>
                <wp:docPr id="172" name="Textbox 172"/>
                <wp:cNvGraphicFramePr>
                  <a:graphicFrameLocks/>
                </wp:cNvGraphicFramePr>
                <a:graphic>
                  <a:graphicData uri="http://schemas.microsoft.com/office/word/2010/wordprocessingShape">
                    <wps:wsp>
                      <wps:cNvPr id="172" name="Textbox 172"/>
                      <wps:cNvSpPr txBox="1"/>
                      <wps:spPr>
                        <a:xfrm>
                          <a:off x="0" y="0"/>
                          <a:ext cx="5870575" cy="2192020"/>
                        </a:xfrm>
                        <a:prstGeom prst="rect">
                          <a:avLst/>
                        </a:prstGeom>
                        <a:solidFill>
                          <a:srgbClr val="CDEBEB"/>
                        </a:solidFill>
                      </wps:spPr>
                      <wps:txbx>
                        <w:txbxContent>
                          <w:p>
                            <w:pPr>
                              <w:spacing w:before="0"/>
                              <w:ind w:left="112" w:right="0" w:firstLine="0"/>
                              <w:jc w:val="left"/>
                              <w:rPr>
                                <w:color w:val="000000"/>
                                <w:sz w:val="22"/>
                              </w:rPr>
                            </w:pPr>
                            <w:r>
                              <w:rPr>
                                <w:i/>
                                <w:color w:val="000000"/>
                                <w:sz w:val="22"/>
                              </w:rPr>
                              <w:t>(Bushfire</w:t>
                            </w:r>
                            <w:r>
                              <w:rPr>
                                <w:i/>
                                <w:color w:val="000000"/>
                                <w:spacing w:val="-10"/>
                                <w:sz w:val="22"/>
                              </w:rPr>
                              <w:t> </w:t>
                            </w:r>
                            <w:r>
                              <w:rPr>
                                <w:i/>
                                <w:color w:val="000000"/>
                                <w:sz w:val="22"/>
                              </w:rPr>
                              <w:t>Mitigation)</w:t>
                            </w:r>
                            <w:r>
                              <w:rPr>
                                <w:i/>
                                <w:color w:val="000000"/>
                                <w:spacing w:val="-5"/>
                                <w:sz w:val="22"/>
                              </w:rPr>
                              <w:t> </w:t>
                            </w:r>
                            <w:r>
                              <w:rPr>
                                <w:i/>
                                <w:color w:val="000000"/>
                                <w:sz w:val="22"/>
                              </w:rPr>
                              <w:t>Regulations</w:t>
                            </w:r>
                            <w:r>
                              <w:rPr>
                                <w:i/>
                                <w:color w:val="000000"/>
                                <w:spacing w:val="-6"/>
                                <w:sz w:val="22"/>
                              </w:rPr>
                              <w:t> </w:t>
                            </w:r>
                            <w:r>
                              <w:rPr>
                                <w:i/>
                                <w:color w:val="000000"/>
                                <w:sz w:val="22"/>
                              </w:rPr>
                              <w:t>2013</w:t>
                            </w:r>
                            <w:r>
                              <w:rPr>
                                <w:color w:val="000000"/>
                                <w:sz w:val="22"/>
                              </w:rPr>
                              <w:t>,</w:t>
                            </w:r>
                            <w:r>
                              <w:rPr>
                                <w:color w:val="000000"/>
                                <w:spacing w:val="-7"/>
                                <w:sz w:val="22"/>
                              </w:rPr>
                              <w:t> </w:t>
                            </w:r>
                            <w:r>
                              <w:rPr>
                                <w:i/>
                                <w:color w:val="000000"/>
                                <w:sz w:val="22"/>
                              </w:rPr>
                              <w:t>incorporating</w:t>
                            </w:r>
                            <w:r>
                              <w:rPr>
                                <w:i/>
                                <w:color w:val="000000"/>
                                <w:spacing w:val="-6"/>
                                <w:sz w:val="22"/>
                              </w:rPr>
                              <w:t> </w:t>
                            </w:r>
                            <w:r>
                              <w:rPr>
                                <w:i/>
                                <w:color w:val="000000"/>
                                <w:sz w:val="22"/>
                              </w:rPr>
                              <w:t>amendments</w:t>
                            </w:r>
                            <w:r>
                              <w:rPr>
                                <w:i/>
                                <w:color w:val="000000"/>
                                <w:spacing w:val="-7"/>
                                <w:sz w:val="22"/>
                              </w:rPr>
                              <w:t> </w:t>
                            </w:r>
                            <w:r>
                              <w:rPr>
                                <w:i/>
                                <w:color w:val="000000"/>
                                <w:sz w:val="22"/>
                              </w:rPr>
                              <w:t>as</w:t>
                            </w:r>
                            <w:r>
                              <w:rPr>
                                <w:i/>
                                <w:color w:val="000000"/>
                                <w:spacing w:val="-8"/>
                                <w:sz w:val="22"/>
                              </w:rPr>
                              <w:t> </w:t>
                            </w:r>
                            <w:r>
                              <w:rPr>
                                <w:i/>
                                <w:color w:val="000000"/>
                                <w:sz w:val="22"/>
                              </w:rPr>
                              <w:t>at</w:t>
                            </w:r>
                            <w:r>
                              <w:rPr>
                                <w:i/>
                                <w:color w:val="000000"/>
                                <w:spacing w:val="-7"/>
                                <w:sz w:val="22"/>
                              </w:rPr>
                              <w:t> </w:t>
                            </w:r>
                            <w:r>
                              <w:rPr>
                                <w:i/>
                                <w:color w:val="000000"/>
                                <w:sz w:val="22"/>
                              </w:rPr>
                              <w:t>1</w:t>
                            </w:r>
                            <w:r>
                              <w:rPr>
                                <w:i/>
                                <w:color w:val="000000"/>
                                <w:spacing w:val="-8"/>
                                <w:sz w:val="22"/>
                              </w:rPr>
                              <w:t> </w:t>
                            </w:r>
                            <w:r>
                              <w:rPr>
                                <w:i/>
                                <w:color w:val="000000"/>
                                <w:sz w:val="22"/>
                              </w:rPr>
                              <w:t>May</w:t>
                            </w:r>
                            <w:r>
                              <w:rPr>
                                <w:i/>
                                <w:color w:val="000000"/>
                                <w:spacing w:val="-5"/>
                                <w:sz w:val="22"/>
                              </w:rPr>
                              <w:t> </w:t>
                            </w:r>
                            <w:r>
                              <w:rPr>
                                <w:i/>
                                <w:color w:val="000000"/>
                                <w:spacing w:val="-2"/>
                                <w:sz w:val="22"/>
                              </w:rPr>
                              <w:t>2016</w:t>
                            </w:r>
                            <w:r>
                              <w:rPr>
                                <w:color w:val="000000"/>
                                <w:spacing w:val="-2"/>
                                <w:sz w:val="22"/>
                              </w:rPr>
                              <w:t>).</w:t>
                            </w:r>
                          </w:p>
                          <w:p>
                            <w:pPr>
                              <w:pStyle w:val="BodyText"/>
                              <w:spacing w:before="1"/>
                              <w:rPr>
                                <w:color w:val="000000"/>
                                <w:sz w:val="25"/>
                              </w:rPr>
                            </w:pPr>
                          </w:p>
                          <w:p>
                            <w:pPr>
                              <w:spacing w:line="288" w:lineRule="auto" w:before="1"/>
                              <w:ind w:left="112" w:right="0" w:firstLine="0"/>
                              <w:jc w:val="left"/>
                              <w:rPr>
                                <w:color w:val="000000"/>
                                <w:sz w:val="22"/>
                              </w:rPr>
                            </w:pPr>
                            <w:r>
                              <w:rPr>
                                <w:b/>
                                <w:color w:val="000000"/>
                                <w:sz w:val="22"/>
                              </w:rPr>
                              <w:t>A</w:t>
                            </w:r>
                            <w:r>
                              <w:rPr>
                                <w:b/>
                                <w:color w:val="000000"/>
                                <w:spacing w:val="-4"/>
                                <w:sz w:val="22"/>
                              </w:rPr>
                              <w:t> </w:t>
                            </w:r>
                            <w:r>
                              <w:rPr>
                                <w:b/>
                                <w:color w:val="000000"/>
                                <w:sz w:val="22"/>
                              </w:rPr>
                              <w:t>low impendence</w:t>
                            </w:r>
                            <w:r>
                              <w:rPr>
                                <w:b/>
                                <w:color w:val="000000"/>
                                <w:spacing w:val="-1"/>
                                <w:sz w:val="22"/>
                              </w:rPr>
                              <w:t> </w:t>
                            </w:r>
                            <w:r>
                              <w:rPr>
                                <w:b/>
                                <w:color w:val="000000"/>
                                <w:sz w:val="22"/>
                              </w:rPr>
                              <w:t>fault </w:t>
                            </w:r>
                            <w:r>
                              <w:rPr>
                                <w:color w:val="000000"/>
                                <w:sz w:val="22"/>
                              </w:rPr>
                              <w:t>can</w:t>
                            </w:r>
                            <w:r>
                              <w:rPr>
                                <w:color w:val="000000"/>
                                <w:spacing w:val="-1"/>
                                <w:sz w:val="22"/>
                              </w:rPr>
                              <w:t> </w:t>
                            </w:r>
                            <w:r>
                              <w:rPr>
                                <w:color w:val="000000"/>
                                <w:sz w:val="22"/>
                              </w:rPr>
                              <w:t>be caused when a</w:t>
                            </w:r>
                            <w:r>
                              <w:rPr>
                                <w:color w:val="000000"/>
                                <w:spacing w:val="-1"/>
                                <w:sz w:val="22"/>
                              </w:rPr>
                              <w:t> </w:t>
                            </w:r>
                            <w:r>
                              <w:rPr>
                                <w:color w:val="000000"/>
                                <w:sz w:val="22"/>
                              </w:rPr>
                              <w:t>conductor</w:t>
                            </w:r>
                            <w:r>
                              <w:rPr>
                                <w:color w:val="000000"/>
                                <w:spacing w:val="-3"/>
                                <w:sz w:val="22"/>
                              </w:rPr>
                              <w:t> </w:t>
                            </w:r>
                            <w:r>
                              <w:rPr>
                                <w:color w:val="000000"/>
                                <w:sz w:val="22"/>
                              </w:rPr>
                              <w:t>falls</w:t>
                            </w:r>
                            <w:r>
                              <w:rPr>
                                <w:color w:val="000000"/>
                                <w:spacing w:val="-1"/>
                                <w:sz w:val="22"/>
                              </w:rPr>
                              <w:t> </w:t>
                            </w:r>
                            <w:r>
                              <w:rPr>
                                <w:color w:val="000000"/>
                                <w:sz w:val="22"/>
                              </w:rPr>
                              <w:t>to</w:t>
                            </w:r>
                            <w:r>
                              <w:rPr>
                                <w:color w:val="000000"/>
                                <w:spacing w:val="-1"/>
                                <w:sz w:val="22"/>
                              </w:rPr>
                              <w:t> </w:t>
                            </w:r>
                            <w:r>
                              <w:rPr>
                                <w:color w:val="000000"/>
                                <w:sz w:val="22"/>
                              </w:rPr>
                              <w:t>the</w:t>
                            </w:r>
                            <w:r>
                              <w:rPr>
                                <w:color w:val="000000"/>
                                <w:spacing w:val="-4"/>
                                <w:sz w:val="22"/>
                              </w:rPr>
                              <w:t> </w:t>
                            </w:r>
                            <w:r>
                              <w:rPr>
                                <w:color w:val="000000"/>
                                <w:sz w:val="22"/>
                              </w:rPr>
                              <w:t>ground. It is easier to detect and has a resistance value in ohms that is equal to the nominal phase-to-ground network</w:t>
                            </w:r>
                            <w:r>
                              <w:rPr>
                                <w:color w:val="000000"/>
                                <w:spacing w:val="-3"/>
                                <w:sz w:val="22"/>
                              </w:rPr>
                              <w:t> </w:t>
                            </w:r>
                            <w:r>
                              <w:rPr>
                                <w:color w:val="000000"/>
                                <w:sz w:val="22"/>
                              </w:rPr>
                              <w:t>voltage</w:t>
                            </w:r>
                            <w:r>
                              <w:rPr>
                                <w:color w:val="000000"/>
                                <w:spacing w:val="-4"/>
                                <w:sz w:val="22"/>
                              </w:rPr>
                              <w:t> </w:t>
                            </w:r>
                            <w:r>
                              <w:rPr>
                                <w:color w:val="000000"/>
                                <w:sz w:val="22"/>
                              </w:rPr>
                              <w:t>in</w:t>
                            </w:r>
                            <w:r>
                              <w:rPr>
                                <w:color w:val="000000"/>
                                <w:spacing w:val="-5"/>
                                <w:sz w:val="22"/>
                              </w:rPr>
                              <w:t> </w:t>
                            </w:r>
                            <w:r>
                              <w:rPr>
                                <w:color w:val="000000"/>
                                <w:sz w:val="22"/>
                              </w:rPr>
                              <w:t>volts</w:t>
                            </w:r>
                            <w:r>
                              <w:rPr>
                                <w:color w:val="000000"/>
                                <w:spacing w:val="-5"/>
                                <w:sz w:val="22"/>
                              </w:rPr>
                              <w:t> </w:t>
                            </w:r>
                            <w:r>
                              <w:rPr>
                                <w:color w:val="000000"/>
                                <w:sz w:val="22"/>
                              </w:rPr>
                              <w:t>divided</w:t>
                            </w:r>
                            <w:r>
                              <w:rPr>
                                <w:color w:val="000000"/>
                                <w:spacing w:val="-4"/>
                                <w:sz w:val="22"/>
                              </w:rPr>
                              <w:t> </w:t>
                            </w:r>
                            <w:r>
                              <w:rPr>
                                <w:color w:val="000000"/>
                                <w:sz w:val="22"/>
                              </w:rPr>
                              <w:t>by</w:t>
                            </w:r>
                            <w:r>
                              <w:rPr>
                                <w:color w:val="000000"/>
                                <w:spacing w:val="-5"/>
                                <w:sz w:val="22"/>
                              </w:rPr>
                              <w:t> </w:t>
                            </w:r>
                            <w:r>
                              <w:rPr>
                                <w:color w:val="000000"/>
                                <w:sz w:val="22"/>
                              </w:rPr>
                              <w:t>31·75</w:t>
                            </w:r>
                            <w:r>
                              <w:rPr>
                                <w:color w:val="000000"/>
                                <w:spacing w:val="-2"/>
                                <w:sz w:val="22"/>
                              </w:rPr>
                              <w:t> </w:t>
                            </w:r>
                            <w:r>
                              <w:rPr>
                                <w:i/>
                                <w:color w:val="000000"/>
                                <w:sz w:val="22"/>
                              </w:rPr>
                              <w:t>(Electricity</w:t>
                            </w:r>
                            <w:r>
                              <w:rPr>
                                <w:i/>
                                <w:color w:val="000000"/>
                                <w:spacing w:val="-3"/>
                                <w:sz w:val="22"/>
                              </w:rPr>
                              <w:t> </w:t>
                            </w:r>
                            <w:r>
                              <w:rPr>
                                <w:i/>
                                <w:color w:val="000000"/>
                                <w:sz w:val="22"/>
                              </w:rPr>
                              <w:t>Safety</w:t>
                            </w:r>
                            <w:r>
                              <w:rPr>
                                <w:i/>
                                <w:color w:val="000000"/>
                                <w:spacing w:val="-5"/>
                                <w:sz w:val="22"/>
                              </w:rPr>
                              <w:t> </w:t>
                            </w:r>
                            <w:r>
                              <w:rPr>
                                <w:i/>
                                <w:color w:val="000000"/>
                                <w:sz w:val="22"/>
                              </w:rPr>
                              <w:t>(Bushfire</w:t>
                            </w:r>
                            <w:r>
                              <w:rPr>
                                <w:i/>
                                <w:color w:val="000000"/>
                                <w:spacing w:val="-4"/>
                                <w:sz w:val="22"/>
                              </w:rPr>
                              <w:t> </w:t>
                            </w:r>
                            <w:r>
                              <w:rPr>
                                <w:i/>
                                <w:color w:val="000000"/>
                                <w:sz w:val="22"/>
                              </w:rPr>
                              <w:t>Mitigation)</w:t>
                            </w:r>
                            <w:r>
                              <w:rPr>
                                <w:i/>
                                <w:color w:val="000000"/>
                                <w:spacing w:val="-3"/>
                                <w:sz w:val="22"/>
                              </w:rPr>
                              <w:t> </w:t>
                            </w:r>
                            <w:r>
                              <w:rPr>
                                <w:i/>
                                <w:color w:val="000000"/>
                                <w:sz w:val="22"/>
                              </w:rPr>
                              <w:t>Regulations 2013</w:t>
                            </w:r>
                            <w:r>
                              <w:rPr>
                                <w:color w:val="000000"/>
                                <w:sz w:val="22"/>
                              </w:rPr>
                              <w:t>, </w:t>
                            </w:r>
                            <w:r>
                              <w:rPr>
                                <w:i/>
                                <w:color w:val="000000"/>
                                <w:sz w:val="22"/>
                              </w:rPr>
                              <w:t>incorporating amendments as at 1 May 2016</w:t>
                            </w:r>
                            <w:r>
                              <w:rPr>
                                <w:color w:val="000000"/>
                                <w:sz w:val="22"/>
                              </w:rPr>
                              <w:t>).</w:t>
                            </w:r>
                          </w:p>
                          <w:p>
                            <w:pPr>
                              <w:pStyle w:val="BodyText"/>
                              <w:spacing w:before="10"/>
                              <w:rPr>
                                <w:color w:val="000000"/>
                                <w:sz w:val="20"/>
                              </w:rPr>
                            </w:pPr>
                          </w:p>
                          <w:p>
                            <w:pPr>
                              <w:pStyle w:val="BodyText"/>
                              <w:spacing w:line="288" w:lineRule="auto"/>
                              <w:ind w:left="112" w:right="140"/>
                              <w:rPr>
                                <w:color w:val="000000"/>
                              </w:rPr>
                            </w:pPr>
                            <w:r>
                              <w:rPr>
                                <w:color w:val="000000"/>
                              </w:rPr>
                              <w:t>When a fault occurs, diagnostic tests must determine whether the fault is permanent or transient</w:t>
                            </w:r>
                            <w:r>
                              <w:rPr>
                                <w:color w:val="000000"/>
                                <w:spacing w:val="-4"/>
                              </w:rPr>
                              <w:t> </w:t>
                            </w:r>
                            <w:r>
                              <w:rPr>
                                <w:color w:val="000000"/>
                              </w:rPr>
                              <w:t>and</w:t>
                            </w:r>
                            <w:r>
                              <w:rPr>
                                <w:color w:val="000000"/>
                                <w:spacing w:val="-3"/>
                              </w:rPr>
                              <w:t> </w:t>
                            </w:r>
                            <w:r>
                              <w:rPr>
                                <w:color w:val="000000"/>
                              </w:rPr>
                              <w:t>identify</w:t>
                            </w:r>
                            <w:r>
                              <w:rPr>
                                <w:color w:val="000000"/>
                                <w:spacing w:val="-5"/>
                              </w:rPr>
                              <w:t> </w:t>
                            </w:r>
                            <w:r>
                              <w:rPr>
                                <w:color w:val="000000"/>
                              </w:rPr>
                              <w:t>which</w:t>
                            </w:r>
                            <w:r>
                              <w:rPr>
                                <w:color w:val="000000"/>
                                <w:spacing w:val="-3"/>
                              </w:rPr>
                              <w:t> </w:t>
                            </w:r>
                            <w:r>
                              <w:rPr>
                                <w:color w:val="000000"/>
                              </w:rPr>
                              <w:t>powerline</w:t>
                            </w:r>
                            <w:r>
                              <w:rPr>
                                <w:color w:val="000000"/>
                                <w:spacing w:val="-3"/>
                              </w:rPr>
                              <w:t> </w:t>
                            </w:r>
                            <w:r>
                              <w:rPr>
                                <w:color w:val="000000"/>
                              </w:rPr>
                              <w:t>it</w:t>
                            </w:r>
                            <w:r>
                              <w:rPr>
                                <w:color w:val="000000"/>
                                <w:spacing w:val="-1"/>
                              </w:rPr>
                              <w:t> </w:t>
                            </w:r>
                            <w:r>
                              <w:rPr>
                                <w:color w:val="000000"/>
                              </w:rPr>
                              <w:t>is</w:t>
                            </w:r>
                            <w:r>
                              <w:rPr>
                                <w:color w:val="000000"/>
                                <w:spacing w:val="-2"/>
                              </w:rPr>
                              <w:t> </w:t>
                            </w:r>
                            <w:r>
                              <w:rPr>
                                <w:color w:val="000000"/>
                              </w:rPr>
                              <w:t>on.</w:t>
                            </w:r>
                            <w:r>
                              <w:rPr>
                                <w:color w:val="000000"/>
                                <w:spacing w:val="-6"/>
                              </w:rPr>
                              <w:t> </w:t>
                            </w:r>
                            <w:r>
                              <w:rPr>
                                <w:color w:val="000000"/>
                              </w:rPr>
                              <w:t>These</w:t>
                            </w:r>
                            <w:r>
                              <w:rPr>
                                <w:color w:val="000000"/>
                                <w:spacing w:val="-3"/>
                              </w:rPr>
                              <w:t> </w:t>
                            </w:r>
                            <w:r>
                              <w:rPr>
                                <w:color w:val="000000"/>
                              </w:rPr>
                              <w:t>tests</w:t>
                            </w:r>
                            <w:r>
                              <w:rPr>
                                <w:color w:val="000000"/>
                                <w:spacing w:val="-5"/>
                              </w:rPr>
                              <w:t> </w:t>
                            </w:r>
                            <w:r>
                              <w:rPr>
                                <w:color w:val="000000"/>
                              </w:rPr>
                              <w:t>are</w:t>
                            </w:r>
                            <w:r>
                              <w:rPr>
                                <w:color w:val="000000"/>
                                <w:spacing w:val="-5"/>
                              </w:rPr>
                              <w:t> </w:t>
                            </w:r>
                            <w:r>
                              <w:rPr>
                                <w:color w:val="000000"/>
                              </w:rPr>
                              <w:t>performed</w:t>
                            </w:r>
                            <w:r>
                              <w:rPr>
                                <w:color w:val="000000"/>
                                <w:spacing w:val="-3"/>
                              </w:rPr>
                              <w:t> </w:t>
                            </w:r>
                            <w:r>
                              <w:rPr>
                                <w:color w:val="000000"/>
                              </w:rPr>
                              <w:t>by</w:t>
                            </w:r>
                            <w:r>
                              <w:rPr>
                                <w:color w:val="000000"/>
                                <w:spacing w:val="-5"/>
                              </w:rPr>
                              <w:t> </w:t>
                            </w:r>
                            <w:r>
                              <w:rPr>
                                <w:color w:val="000000"/>
                              </w:rPr>
                              <w:t>allowing</w:t>
                            </w:r>
                            <w:r>
                              <w:rPr>
                                <w:color w:val="000000"/>
                                <w:spacing w:val="-1"/>
                              </w:rPr>
                              <w:t> </w:t>
                            </w:r>
                            <w:r>
                              <w:rPr>
                                <w:color w:val="000000"/>
                              </w:rPr>
                              <w:t>current to flow which can reintroduce the risk of a fire start, however REFCL’s use soft fault confirmation which only allows a very small amount of current to flow during testing.</w:t>
                            </w:r>
                          </w:p>
                        </w:txbxContent>
                      </wps:txbx>
                      <wps:bodyPr wrap="square" lIns="0" tIns="0" rIns="0" bIns="0" rtlCol="0">
                        <a:noAutofit/>
                      </wps:bodyPr>
                    </wps:wsp>
                  </a:graphicData>
                </a:graphic>
              </wp:inline>
            </w:drawing>
          </mc:Choice>
          <mc:Fallback>
            <w:pict>
              <v:shape style="width:462.25pt;height:172.6pt;mso-position-horizontal-relative:char;mso-position-vertical-relative:line" type="#_x0000_t202" id="docshape151" filled="true" fillcolor="#cdebeb" stroked="false">
                <w10:anchorlock/>
                <v:textbox inset="0,0,0,0">
                  <w:txbxContent>
                    <w:p>
                      <w:pPr>
                        <w:spacing w:before="0"/>
                        <w:ind w:left="112" w:right="0" w:firstLine="0"/>
                        <w:jc w:val="left"/>
                        <w:rPr>
                          <w:color w:val="000000"/>
                          <w:sz w:val="22"/>
                        </w:rPr>
                      </w:pPr>
                      <w:r>
                        <w:rPr>
                          <w:i/>
                          <w:color w:val="000000"/>
                          <w:sz w:val="22"/>
                        </w:rPr>
                        <w:t>(Bushfire</w:t>
                      </w:r>
                      <w:r>
                        <w:rPr>
                          <w:i/>
                          <w:color w:val="000000"/>
                          <w:spacing w:val="-10"/>
                          <w:sz w:val="22"/>
                        </w:rPr>
                        <w:t> </w:t>
                      </w:r>
                      <w:r>
                        <w:rPr>
                          <w:i/>
                          <w:color w:val="000000"/>
                          <w:sz w:val="22"/>
                        </w:rPr>
                        <w:t>Mitigation)</w:t>
                      </w:r>
                      <w:r>
                        <w:rPr>
                          <w:i/>
                          <w:color w:val="000000"/>
                          <w:spacing w:val="-5"/>
                          <w:sz w:val="22"/>
                        </w:rPr>
                        <w:t> </w:t>
                      </w:r>
                      <w:r>
                        <w:rPr>
                          <w:i/>
                          <w:color w:val="000000"/>
                          <w:sz w:val="22"/>
                        </w:rPr>
                        <w:t>Regulations</w:t>
                      </w:r>
                      <w:r>
                        <w:rPr>
                          <w:i/>
                          <w:color w:val="000000"/>
                          <w:spacing w:val="-6"/>
                          <w:sz w:val="22"/>
                        </w:rPr>
                        <w:t> </w:t>
                      </w:r>
                      <w:r>
                        <w:rPr>
                          <w:i/>
                          <w:color w:val="000000"/>
                          <w:sz w:val="22"/>
                        </w:rPr>
                        <w:t>2013</w:t>
                      </w:r>
                      <w:r>
                        <w:rPr>
                          <w:color w:val="000000"/>
                          <w:sz w:val="22"/>
                        </w:rPr>
                        <w:t>,</w:t>
                      </w:r>
                      <w:r>
                        <w:rPr>
                          <w:color w:val="000000"/>
                          <w:spacing w:val="-7"/>
                          <w:sz w:val="22"/>
                        </w:rPr>
                        <w:t> </w:t>
                      </w:r>
                      <w:r>
                        <w:rPr>
                          <w:i/>
                          <w:color w:val="000000"/>
                          <w:sz w:val="22"/>
                        </w:rPr>
                        <w:t>incorporating</w:t>
                      </w:r>
                      <w:r>
                        <w:rPr>
                          <w:i/>
                          <w:color w:val="000000"/>
                          <w:spacing w:val="-6"/>
                          <w:sz w:val="22"/>
                        </w:rPr>
                        <w:t> </w:t>
                      </w:r>
                      <w:r>
                        <w:rPr>
                          <w:i/>
                          <w:color w:val="000000"/>
                          <w:sz w:val="22"/>
                        </w:rPr>
                        <w:t>amendments</w:t>
                      </w:r>
                      <w:r>
                        <w:rPr>
                          <w:i/>
                          <w:color w:val="000000"/>
                          <w:spacing w:val="-7"/>
                          <w:sz w:val="22"/>
                        </w:rPr>
                        <w:t> </w:t>
                      </w:r>
                      <w:r>
                        <w:rPr>
                          <w:i/>
                          <w:color w:val="000000"/>
                          <w:sz w:val="22"/>
                        </w:rPr>
                        <w:t>as</w:t>
                      </w:r>
                      <w:r>
                        <w:rPr>
                          <w:i/>
                          <w:color w:val="000000"/>
                          <w:spacing w:val="-8"/>
                          <w:sz w:val="22"/>
                        </w:rPr>
                        <w:t> </w:t>
                      </w:r>
                      <w:r>
                        <w:rPr>
                          <w:i/>
                          <w:color w:val="000000"/>
                          <w:sz w:val="22"/>
                        </w:rPr>
                        <w:t>at</w:t>
                      </w:r>
                      <w:r>
                        <w:rPr>
                          <w:i/>
                          <w:color w:val="000000"/>
                          <w:spacing w:val="-7"/>
                          <w:sz w:val="22"/>
                        </w:rPr>
                        <w:t> </w:t>
                      </w:r>
                      <w:r>
                        <w:rPr>
                          <w:i/>
                          <w:color w:val="000000"/>
                          <w:sz w:val="22"/>
                        </w:rPr>
                        <w:t>1</w:t>
                      </w:r>
                      <w:r>
                        <w:rPr>
                          <w:i/>
                          <w:color w:val="000000"/>
                          <w:spacing w:val="-8"/>
                          <w:sz w:val="22"/>
                        </w:rPr>
                        <w:t> </w:t>
                      </w:r>
                      <w:r>
                        <w:rPr>
                          <w:i/>
                          <w:color w:val="000000"/>
                          <w:sz w:val="22"/>
                        </w:rPr>
                        <w:t>May</w:t>
                      </w:r>
                      <w:r>
                        <w:rPr>
                          <w:i/>
                          <w:color w:val="000000"/>
                          <w:spacing w:val="-5"/>
                          <w:sz w:val="22"/>
                        </w:rPr>
                        <w:t> </w:t>
                      </w:r>
                      <w:r>
                        <w:rPr>
                          <w:i/>
                          <w:color w:val="000000"/>
                          <w:spacing w:val="-2"/>
                          <w:sz w:val="22"/>
                        </w:rPr>
                        <w:t>2016</w:t>
                      </w:r>
                      <w:r>
                        <w:rPr>
                          <w:color w:val="000000"/>
                          <w:spacing w:val="-2"/>
                          <w:sz w:val="22"/>
                        </w:rPr>
                        <w:t>).</w:t>
                      </w:r>
                    </w:p>
                    <w:p>
                      <w:pPr>
                        <w:pStyle w:val="BodyText"/>
                        <w:spacing w:before="1"/>
                        <w:rPr>
                          <w:color w:val="000000"/>
                          <w:sz w:val="25"/>
                        </w:rPr>
                      </w:pPr>
                    </w:p>
                    <w:p>
                      <w:pPr>
                        <w:spacing w:line="288" w:lineRule="auto" w:before="1"/>
                        <w:ind w:left="112" w:right="0" w:firstLine="0"/>
                        <w:jc w:val="left"/>
                        <w:rPr>
                          <w:color w:val="000000"/>
                          <w:sz w:val="22"/>
                        </w:rPr>
                      </w:pPr>
                      <w:r>
                        <w:rPr>
                          <w:b/>
                          <w:color w:val="000000"/>
                          <w:sz w:val="22"/>
                        </w:rPr>
                        <w:t>A</w:t>
                      </w:r>
                      <w:r>
                        <w:rPr>
                          <w:b/>
                          <w:color w:val="000000"/>
                          <w:spacing w:val="-4"/>
                          <w:sz w:val="22"/>
                        </w:rPr>
                        <w:t> </w:t>
                      </w:r>
                      <w:r>
                        <w:rPr>
                          <w:b/>
                          <w:color w:val="000000"/>
                          <w:sz w:val="22"/>
                        </w:rPr>
                        <w:t>low impendence</w:t>
                      </w:r>
                      <w:r>
                        <w:rPr>
                          <w:b/>
                          <w:color w:val="000000"/>
                          <w:spacing w:val="-1"/>
                          <w:sz w:val="22"/>
                        </w:rPr>
                        <w:t> </w:t>
                      </w:r>
                      <w:r>
                        <w:rPr>
                          <w:b/>
                          <w:color w:val="000000"/>
                          <w:sz w:val="22"/>
                        </w:rPr>
                        <w:t>fault </w:t>
                      </w:r>
                      <w:r>
                        <w:rPr>
                          <w:color w:val="000000"/>
                          <w:sz w:val="22"/>
                        </w:rPr>
                        <w:t>can</w:t>
                      </w:r>
                      <w:r>
                        <w:rPr>
                          <w:color w:val="000000"/>
                          <w:spacing w:val="-1"/>
                          <w:sz w:val="22"/>
                        </w:rPr>
                        <w:t> </w:t>
                      </w:r>
                      <w:r>
                        <w:rPr>
                          <w:color w:val="000000"/>
                          <w:sz w:val="22"/>
                        </w:rPr>
                        <w:t>be caused when a</w:t>
                      </w:r>
                      <w:r>
                        <w:rPr>
                          <w:color w:val="000000"/>
                          <w:spacing w:val="-1"/>
                          <w:sz w:val="22"/>
                        </w:rPr>
                        <w:t> </w:t>
                      </w:r>
                      <w:r>
                        <w:rPr>
                          <w:color w:val="000000"/>
                          <w:sz w:val="22"/>
                        </w:rPr>
                        <w:t>conductor</w:t>
                      </w:r>
                      <w:r>
                        <w:rPr>
                          <w:color w:val="000000"/>
                          <w:spacing w:val="-3"/>
                          <w:sz w:val="22"/>
                        </w:rPr>
                        <w:t> </w:t>
                      </w:r>
                      <w:r>
                        <w:rPr>
                          <w:color w:val="000000"/>
                          <w:sz w:val="22"/>
                        </w:rPr>
                        <w:t>falls</w:t>
                      </w:r>
                      <w:r>
                        <w:rPr>
                          <w:color w:val="000000"/>
                          <w:spacing w:val="-1"/>
                          <w:sz w:val="22"/>
                        </w:rPr>
                        <w:t> </w:t>
                      </w:r>
                      <w:r>
                        <w:rPr>
                          <w:color w:val="000000"/>
                          <w:sz w:val="22"/>
                        </w:rPr>
                        <w:t>to</w:t>
                      </w:r>
                      <w:r>
                        <w:rPr>
                          <w:color w:val="000000"/>
                          <w:spacing w:val="-1"/>
                          <w:sz w:val="22"/>
                        </w:rPr>
                        <w:t> </w:t>
                      </w:r>
                      <w:r>
                        <w:rPr>
                          <w:color w:val="000000"/>
                          <w:sz w:val="22"/>
                        </w:rPr>
                        <w:t>the</w:t>
                      </w:r>
                      <w:r>
                        <w:rPr>
                          <w:color w:val="000000"/>
                          <w:spacing w:val="-4"/>
                          <w:sz w:val="22"/>
                        </w:rPr>
                        <w:t> </w:t>
                      </w:r>
                      <w:r>
                        <w:rPr>
                          <w:color w:val="000000"/>
                          <w:sz w:val="22"/>
                        </w:rPr>
                        <w:t>ground. It is easier to detect and has a resistance value in ohms that is equal to the nominal phase-to-ground network</w:t>
                      </w:r>
                      <w:r>
                        <w:rPr>
                          <w:color w:val="000000"/>
                          <w:spacing w:val="-3"/>
                          <w:sz w:val="22"/>
                        </w:rPr>
                        <w:t> </w:t>
                      </w:r>
                      <w:r>
                        <w:rPr>
                          <w:color w:val="000000"/>
                          <w:sz w:val="22"/>
                        </w:rPr>
                        <w:t>voltage</w:t>
                      </w:r>
                      <w:r>
                        <w:rPr>
                          <w:color w:val="000000"/>
                          <w:spacing w:val="-4"/>
                          <w:sz w:val="22"/>
                        </w:rPr>
                        <w:t> </w:t>
                      </w:r>
                      <w:r>
                        <w:rPr>
                          <w:color w:val="000000"/>
                          <w:sz w:val="22"/>
                        </w:rPr>
                        <w:t>in</w:t>
                      </w:r>
                      <w:r>
                        <w:rPr>
                          <w:color w:val="000000"/>
                          <w:spacing w:val="-5"/>
                          <w:sz w:val="22"/>
                        </w:rPr>
                        <w:t> </w:t>
                      </w:r>
                      <w:r>
                        <w:rPr>
                          <w:color w:val="000000"/>
                          <w:sz w:val="22"/>
                        </w:rPr>
                        <w:t>volts</w:t>
                      </w:r>
                      <w:r>
                        <w:rPr>
                          <w:color w:val="000000"/>
                          <w:spacing w:val="-5"/>
                          <w:sz w:val="22"/>
                        </w:rPr>
                        <w:t> </w:t>
                      </w:r>
                      <w:r>
                        <w:rPr>
                          <w:color w:val="000000"/>
                          <w:sz w:val="22"/>
                        </w:rPr>
                        <w:t>divided</w:t>
                      </w:r>
                      <w:r>
                        <w:rPr>
                          <w:color w:val="000000"/>
                          <w:spacing w:val="-4"/>
                          <w:sz w:val="22"/>
                        </w:rPr>
                        <w:t> </w:t>
                      </w:r>
                      <w:r>
                        <w:rPr>
                          <w:color w:val="000000"/>
                          <w:sz w:val="22"/>
                        </w:rPr>
                        <w:t>by</w:t>
                      </w:r>
                      <w:r>
                        <w:rPr>
                          <w:color w:val="000000"/>
                          <w:spacing w:val="-5"/>
                          <w:sz w:val="22"/>
                        </w:rPr>
                        <w:t> </w:t>
                      </w:r>
                      <w:r>
                        <w:rPr>
                          <w:color w:val="000000"/>
                          <w:sz w:val="22"/>
                        </w:rPr>
                        <w:t>31·75</w:t>
                      </w:r>
                      <w:r>
                        <w:rPr>
                          <w:color w:val="000000"/>
                          <w:spacing w:val="-2"/>
                          <w:sz w:val="22"/>
                        </w:rPr>
                        <w:t> </w:t>
                      </w:r>
                      <w:r>
                        <w:rPr>
                          <w:i/>
                          <w:color w:val="000000"/>
                          <w:sz w:val="22"/>
                        </w:rPr>
                        <w:t>(Electricity</w:t>
                      </w:r>
                      <w:r>
                        <w:rPr>
                          <w:i/>
                          <w:color w:val="000000"/>
                          <w:spacing w:val="-3"/>
                          <w:sz w:val="22"/>
                        </w:rPr>
                        <w:t> </w:t>
                      </w:r>
                      <w:r>
                        <w:rPr>
                          <w:i/>
                          <w:color w:val="000000"/>
                          <w:sz w:val="22"/>
                        </w:rPr>
                        <w:t>Safety</w:t>
                      </w:r>
                      <w:r>
                        <w:rPr>
                          <w:i/>
                          <w:color w:val="000000"/>
                          <w:spacing w:val="-5"/>
                          <w:sz w:val="22"/>
                        </w:rPr>
                        <w:t> </w:t>
                      </w:r>
                      <w:r>
                        <w:rPr>
                          <w:i/>
                          <w:color w:val="000000"/>
                          <w:sz w:val="22"/>
                        </w:rPr>
                        <w:t>(Bushfire</w:t>
                      </w:r>
                      <w:r>
                        <w:rPr>
                          <w:i/>
                          <w:color w:val="000000"/>
                          <w:spacing w:val="-4"/>
                          <w:sz w:val="22"/>
                        </w:rPr>
                        <w:t> </w:t>
                      </w:r>
                      <w:r>
                        <w:rPr>
                          <w:i/>
                          <w:color w:val="000000"/>
                          <w:sz w:val="22"/>
                        </w:rPr>
                        <w:t>Mitigation)</w:t>
                      </w:r>
                      <w:r>
                        <w:rPr>
                          <w:i/>
                          <w:color w:val="000000"/>
                          <w:spacing w:val="-3"/>
                          <w:sz w:val="22"/>
                        </w:rPr>
                        <w:t> </w:t>
                      </w:r>
                      <w:r>
                        <w:rPr>
                          <w:i/>
                          <w:color w:val="000000"/>
                          <w:sz w:val="22"/>
                        </w:rPr>
                        <w:t>Regulations 2013</w:t>
                      </w:r>
                      <w:r>
                        <w:rPr>
                          <w:color w:val="000000"/>
                          <w:sz w:val="22"/>
                        </w:rPr>
                        <w:t>, </w:t>
                      </w:r>
                      <w:r>
                        <w:rPr>
                          <w:i/>
                          <w:color w:val="000000"/>
                          <w:sz w:val="22"/>
                        </w:rPr>
                        <w:t>incorporating amendments as at 1 May 2016</w:t>
                      </w:r>
                      <w:r>
                        <w:rPr>
                          <w:color w:val="000000"/>
                          <w:sz w:val="22"/>
                        </w:rPr>
                        <w:t>).</w:t>
                      </w:r>
                    </w:p>
                    <w:p>
                      <w:pPr>
                        <w:pStyle w:val="BodyText"/>
                        <w:spacing w:before="10"/>
                        <w:rPr>
                          <w:color w:val="000000"/>
                          <w:sz w:val="20"/>
                        </w:rPr>
                      </w:pPr>
                    </w:p>
                    <w:p>
                      <w:pPr>
                        <w:pStyle w:val="BodyText"/>
                        <w:spacing w:line="288" w:lineRule="auto"/>
                        <w:ind w:left="112" w:right="140"/>
                        <w:rPr>
                          <w:color w:val="000000"/>
                        </w:rPr>
                      </w:pPr>
                      <w:r>
                        <w:rPr>
                          <w:color w:val="000000"/>
                        </w:rPr>
                        <w:t>When a fault occurs, diagnostic tests must determine whether the fault is permanent or transient</w:t>
                      </w:r>
                      <w:r>
                        <w:rPr>
                          <w:color w:val="000000"/>
                          <w:spacing w:val="-4"/>
                        </w:rPr>
                        <w:t> </w:t>
                      </w:r>
                      <w:r>
                        <w:rPr>
                          <w:color w:val="000000"/>
                        </w:rPr>
                        <w:t>and</w:t>
                      </w:r>
                      <w:r>
                        <w:rPr>
                          <w:color w:val="000000"/>
                          <w:spacing w:val="-3"/>
                        </w:rPr>
                        <w:t> </w:t>
                      </w:r>
                      <w:r>
                        <w:rPr>
                          <w:color w:val="000000"/>
                        </w:rPr>
                        <w:t>identify</w:t>
                      </w:r>
                      <w:r>
                        <w:rPr>
                          <w:color w:val="000000"/>
                          <w:spacing w:val="-5"/>
                        </w:rPr>
                        <w:t> </w:t>
                      </w:r>
                      <w:r>
                        <w:rPr>
                          <w:color w:val="000000"/>
                        </w:rPr>
                        <w:t>which</w:t>
                      </w:r>
                      <w:r>
                        <w:rPr>
                          <w:color w:val="000000"/>
                          <w:spacing w:val="-3"/>
                        </w:rPr>
                        <w:t> </w:t>
                      </w:r>
                      <w:r>
                        <w:rPr>
                          <w:color w:val="000000"/>
                        </w:rPr>
                        <w:t>powerline</w:t>
                      </w:r>
                      <w:r>
                        <w:rPr>
                          <w:color w:val="000000"/>
                          <w:spacing w:val="-3"/>
                        </w:rPr>
                        <w:t> </w:t>
                      </w:r>
                      <w:r>
                        <w:rPr>
                          <w:color w:val="000000"/>
                        </w:rPr>
                        <w:t>it</w:t>
                      </w:r>
                      <w:r>
                        <w:rPr>
                          <w:color w:val="000000"/>
                          <w:spacing w:val="-1"/>
                        </w:rPr>
                        <w:t> </w:t>
                      </w:r>
                      <w:r>
                        <w:rPr>
                          <w:color w:val="000000"/>
                        </w:rPr>
                        <w:t>is</w:t>
                      </w:r>
                      <w:r>
                        <w:rPr>
                          <w:color w:val="000000"/>
                          <w:spacing w:val="-2"/>
                        </w:rPr>
                        <w:t> </w:t>
                      </w:r>
                      <w:r>
                        <w:rPr>
                          <w:color w:val="000000"/>
                        </w:rPr>
                        <w:t>on.</w:t>
                      </w:r>
                      <w:r>
                        <w:rPr>
                          <w:color w:val="000000"/>
                          <w:spacing w:val="-6"/>
                        </w:rPr>
                        <w:t> </w:t>
                      </w:r>
                      <w:r>
                        <w:rPr>
                          <w:color w:val="000000"/>
                        </w:rPr>
                        <w:t>These</w:t>
                      </w:r>
                      <w:r>
                        <w:rPr>
                          <w:color w:val="000000"/>
                          <w:spacing w:val="-3"/>
                        </w:rPr>
                        <w:t> </w:t>
                      </w:r>
                      <w:r>
                        <w:rPr>
                          <w:color w:val="000000"/>
                        </w:rPr>
                        <w:t>tests</w:t>
                      </w:r>
                      <w:r>
                        <w:rPr>
                          <w:color w:val="000000"/>
                          <w:spacing w:val="-5"/>
                        </w:rPr>
                        <w:t> </w:t>
                      </w:r>
                      <w:r>
                        <w:rPr>
                          <w:color w:val="000000"/>
                        </w:rPr>
                        <w:t>are</w:t>
                      </w:r>
                      <w:r>
                        <w:rPr>
                          <w:color w:val="000000"/>
                          <w:spacing w:val="-5"/>
                        </w:rPr>
                        <w:t> </w:t>
                      </w:r>
                      <w:r>
                        <w:rPr>
                          <w:color w:val="000000"/>
                        </w:rPr>
                        <w:t>performed</w:t>
                      </w:r>
                      <w:r>
                        <w:rPr>
                          <w:color w:val="000000"/>
                          <w:spacing w:val="-3"/>
                        </w:rPr>
                        <w:t> </w:t>
                      </w:r>
                      <w:r>
                        <w:rPr>
                          <w:color w:val="000000"/>
                        </w:rPr>
                        <w:t>by</w:t>
                      </w:r>
                      <w:r>
                        <w:rPr>
                          <w:color w:val="000000"/>
                          <w:spacing w:val="-5"/>
                        </w:rPr>
                        <w:t> </w:t>
                      </w:r>
                      <w:r>
                        <w:rPr>
                          <w:color w:val="000000"/>
                        </w:rPr>
                        <w:t>allowing</w:t>
                      </w:r>
                      <w:r>
                        <w:rPr>
                          <w:color w:val="000000"/>
                          <w:spacing w:val="-1"/>
                        </w:rPr>
                        <w:t> </w:t>
                      </w:r>
                      <w:r>
                        <w:rPr>
                          <w:color w:val="000000"/>
                        </w:rPr>
                        <w:t>current to flow which can reintroduce the risk of a fire start, however REFCL’s use soft fault confirmation which only allows a very small amount of current to flow during testing.</w:t>
                      </w:r>
                    </w:p>
                  </w:txbxContent>
                </v:textbox>
                <v:fill type="solid"/>
              </v:shape>
            </w:pict>
          </mc:Fallback>
        </mc:AlternateContent>
      </w:r>
      <w:r>
        <w:rPr>
          <w:sz w:val="20"/>
        </w:rPr>
      </w:r>
    </w:p>
    <w:p>
      <w:pPr>
        <w:pStyle w:val="BodyText"/>
        <w:spacing w:before="1"/>
        <w:rPr>
          <w:sz w:val="21"/>
        </w:rPr>
      </w:pPr>
    </w:p>
    <w:p>
      <w:pPr>
        <w:pStyle w:val="Heading4"/>
      </w:pPr>
      <w:r>
        <w:rPr>
          <w:color w:val="585858"/>
        </w:rPr>
        <w:t>Balancing</w:t>
      </w:r>
      <w:r>
        <w:rPr>
          <w:color w:val="585858"/>
          <w:spacing w:val="-10"/>
        </w:rPr>
        <w:t> </w:t>
      </w:r>
      <w:r>
        <w:rPr>
          <w:color w:val="585858"/>
        </w:rPr>
        <w:t>cost</w:t>
      </w:r>
      <w:r>
        <w:rPr>
          <w:color w:val="585858"/>
          <w:spacing w:val="-8"/>
        </w:rPr>
        <w:t> </w:t>
      </w:r>
      <w:r>
        <w:rPr>
          <w:color w:val="585858"/>
        </w:rPr>
        <w:t>and</w:t>
      </w:r>
      <w:r>
        <w:rPr>
          <w:color w:val="585858"/>
          <w:spacing w:val="-9"/>
        </w:rPr>
        <w:t> </w:t>
      </w:r>
      <w:r>
        <w:rPr>
          <w:color w:val="585858"/>
        </w:rPr>
        <w:t>safety</w:t>
      </w:r>
      <w:r>
        <w:rPr>
          <w:color w:val="585858"/>
          <w:spacing w:val="-10"/>
        </w:rPr>
        <w:t> </w:t>
      </w:r>
      <w:r>
        <w:rPr>
          <w:color w:val="585858"/>
          <w:spacing w:val="-2"/>
        </w:rPr>
        <w:t>outcomes</w:t>
      </w:r>
    </w:p>
    <w:p>
      <w:pPr>
        <w:pStyle w:val="BodyText"/>
        <w:spacing w:line="288" w:lineRule="auto" w:before="314"/>
        <w:ind w:left="232" w:right="374"/>
      </w:pPr>
      <w:r>
        <w:rPr/>
        <w:t>The</w:t>
      </w:r>
      <w:r>
        <w:rPr>
          <w:spacing w:val="-4"/>
        </w:rPr>
        <w:t> </w:t>
      </w:r>
      <w:r>
        <w:rPr/>
        <w:t>cost</w:t>
      </w:r>
      <w:r>
        <w:rPr>
          <w:spacing w:val="-3"/>
        </w:rPr>
        <w:t> </w:t>
      </w:r>
      <w:r>
        <w:rPr/>
        <w:t>of</w:t>
      </w:r>
      <w:r>
        <w:rPr>
          <w:spacing w:val="-3"/>
        </w:rPr>
        <w:t> </w:t>
      </w:r>
      <w:r>
        <w:rPr/>
        <w:t>the</w:t>
      </w:r>
      <w:r>
        <w:rPr>
          <w:spacing w:val="-2"/>
        </w:rPr>
        <w:t> </w:t>
      </w:r>
      <w:r>
        <w:rPr/>
        <w:t>Black Saturday</w:t>
      </w:r>
      <w:r>
        <w:rPr>
          <w:spacing w:val="-4"/>
        </w:rPr>
        <w:t> </w:t>
      </w:r>
      <w:r>
        <w:rPr/>
        <w:t>bushfires</w:t>
      </w:r>
      <w:r>
        <w:rPr>
          <w:spacing w:val="-4"/>
        </w:rPr>
        <w:t> </w:t>
      </w:r>
      <w:r>
        <w:rPr/>
        <w:t>was</w:t>
      </w:r>
      <w:r>
        <w:rPr>
          <w:spacing w:val="-2"/>
        </w:rPr>
        <w:t> </w:t>
      </w:r>
      <w:r>
        <w:rPr/>
        <w:t>estimated</w:t>
      </w:r>
      <w:r>
        <w:rPr>
          <w:spacing w:val="-4"/>
        </w:rPr>
        <w:t> </w:t>
      </w:r>
      <w:r>
        <w:rPr/>
        <w:t>to</w:t>
      </w:r>
      <w:r>
        <w:rPr>
          <w:spacing w:val="-4"/>
        </w:rPr>
        <w:t> </w:t>
      </w:r>
      <w:r>
        <w:rPr/>
        <w:t>be</w:t>
      </w:r>
      <w:r>
        <w:rPr>
          <w:spacing w:val="-2"/>
        </w:rPr>
        <w:t> </w:t>
      </w:r>
      <w:r>
        <w:rPr/>
        <w:t>over</w:t>
      </w:r>
      <w:r>
        <w:rPr>
          <w:spacing w:val="-3"/>
        </w:rPr>
        <w:t> </w:t>
      </w:r>
      <w:r>
        <w:rPr/>
        <w:t>$4</w:t>
      </w:r>
      <w:r>
        <w:rPr>
          <w:spacing w:val="-2"/>
        </w:rPr>
        <w:t> </w:t>
      </w:r>
      <w:r>
        <w:rPr/>
        <w:t>billion. The</w:t>
      </w:r>
      <w:r>
        <w:rPr>
          <w:spacing w:val="-4"/>
        </w:rPr>
        <w:t> </w:t>
      </w:r>
      <w:r>
        <w:rPr/>
        <w:t>VBRC summarised the impact of the Black Saturday fires as follows:</w:t>
      </w:r>
    </w:p>
    <w:p>
      <w:pPr>
        <w:pStyle w:val="BodyText"/>
        <w:spacing w:before="10"/>
        <w:rPr>
          <w:sz w:val="20"/>
        </w:rPr>
      </w:pPr>
    </w:p>
    <w:p>
      <w:pPr>
        <w:spacing w:line="288" w:lineRule="auto" w:before="0"/>
        <w:ind w:left="799" w:right="0" w:firstLine="0"/>
        <w:jc w:val="left"/>
        <w:rPr>
          <w:i/>
          <w:sz w:val="22"/>
        </w:rPr>
      </w:pPr>
      <w:r>
        <w:rPr>
          <w:i/>
          <w:sz w:val="22"/>
        </w:rPr>
        <w:t>“The</w:t>
      </w:r>
      <w:r>
        <w:rPr>
          <w:i/>
          <w:spacing w:val="-4"/>
          <w:sz w:val="22"/>
        </w:rPr>
        <w:t> </w:t>
      </w:r>
      <w:r>
        <w:rPr>
          <w:i/>
          <w:sz w:val="22"/>
        </w:rPr>
        <w:t>most</w:t>
      </w:r>
      <w:r>
        <w:rPr>
          <w:i/>
          <w:spacing w:val="-3"/>
          <w:sz w:val="22"/>
        </w:rPr>
        <w:t> </w:t>
      </w:r>
      <w:r>
        <w:rPr>
          <w:i/>
          <w:sz w:val="22"/>
        </w:rPr>
        <w:t>serious</w:t>
      </w:r>
      <w:r>
        <w:rPr>
          <w:i/>
          <w:spacing w:val="-1"/>
          <w:sz w:val="22"/>
        </w:rPr>
        <w:t> </w:t>
      </w:r>
      <w:r>
        <w:rPr>
          <w:i/>
          <w:sz w:val="22"/>
        </w:rPr>
        <w:t>consequence</w:t>
      </w:r>
      <w:r>
        <w:rPr>
          <w:i/>
          <w:spacing w:val="-2"/>
          <w:sz w:val="22"/>
        </w:rPr>
        <w:t> </w:t>
      </w:r>
      <w:r>
        <w:rPr>
          <w:i/>
          <w:sz w:val="22"/>
        </w:rPr>
        <w:t>of</w:t>
      </w:r>
      <w:r>
        <w:rPr>
          <w:i/>
          <w:spacing w:val="-2"/>
          <w:sz w:val="22"/>
        </w:rPr>
        <w:t> </w:t>
      </w:r>
      <w:r>
        <w:rPr>
          <w:i/>
          <w:sz w:val="22"/>
        </w:rPr>
        <w:t>the</w:t>
      </w:r>
      <w:r>
        <w:rPr>
          <w:i/>
          <w:spacing w:val="-4"/>
          <w:sz w:val="22"/>
        </w:rPr>
        <w:t> </w:t>
      </w:r>
      <w:r>
        <w:rPr>
          <w:i/>
          <w:sz w:val="22"/>
        </w:rPr>
        <w:t>fires</w:t>
      </w:r>
      <w:r>
        <w:rPr>
          <w:i/>
          <w:spacing w:val="-4"/>
          <w:sz w:val="22"/>
        </w:rPr>
        <w:t> </w:t>
      </w:r>
      <w:r>
        <w:rPr>
          <w:i/>
          <w:sz w:val="22"/>
        </w:rPr>
        <w:t>was</w:t>
      </w:r>
      <w:r>
        <w:rPr>
          <w:i/>
          <w:spacing w:val="-4"/>
          <w:sz w:val="22"/>
        </w:rPr>
        <w:t> </w:t>
      </w:r>
      <w:r>
        <w:rPr>
          <w:i/>
          <w:sz w:val="22"/>
        </w:rPr>
        <w:t>the</w:t>
      </w:r>
      <w:r>
        <w:rPr>
          <w:i/>
          <w:spacing w:val="-2"/>
          <w:sz w:val="22"/>
        </w:rPr>
        <w:t> </w:t>
      </w:r>
      <w:r>
        <w:rPr>
          <w:i/>
          <w:sz w:val="22"/>
        </w:rPr>
        <w:t>death</w:t>
      </w:r>
      <w:r>
        <w:rPr>
          <w:i/>
          <w:spacing w:val="-4"/>
          <w:sz w:val="22"/>
        </w:rPr>
        <w:t> </w:t>
      </w:r>
      <w:r>
        <w:rPr>
          <w:i/>
          <w:sz w:val="22"/>
        </w:rPr>
        <w:t>of</w:t>
      </w:r>
      <w:r>
        <w:rPr>
          <w:i/>
          <w:spacing w:val="-3"/>
          <w:sz w:val="22"/>
        </w:rPr>
        <w:t> </w:t>
      </w:r>
      <w:r>
        <w:rPr>
          <w:i/>
          <w:sz w:val="22"/>
        </w:rPr>
        <w:t>173</w:t>
      </w:r>
      <w:r>
        <w:rPr>
          <w:i/>
          <w:spacing w:val="-2"/>
          <w:sz w:val="22"/>
        </w:rPr>
        <w:t> </w:t>
      </w:r>
      <w:r>
        <w:rPr>
          <w:i/>
          <w:sz w:val="22"/>
        </w:rPr>
        <w:t>people.</w:t>
      </w:r>
      <w:r>
        <w:rPr>
          <w:i/>
          <w:spacing w:val="-3"/>
          <w:sz w:val="22"/>
        </w:rPr>
        <w:t> </w:t>
      </w:r>
      <w:r>
        <w:rPr>
          <w:i/>
          <w:sz w:val="22"/>
        </w:rPr>
        <w:t>Left</w:t>
      </w:r>
      <w:r>
        <w:rPr>
          <w:i/>
          <w:spacing w:val="-3"/>
          <w:sz w:val="22"/>
        </w:rPr>
        <w:t> </w:t>
      </w:r>
      <w:r>
        <w:rPr>
          <w:i/>
          <w:sz w:val="22"/>
        </w:rPr>
        <w:t>behind</w:t>
      </w:r>
      <w:r>
        <w:rPr>
          <w:i/>
          <w:spacing w:val="-2"/>
          <w:sz w:val="22"/>
        </w:rPr>
        <w:t> </w:t>
      </w:r>
      <w:r>
        <w:rPr>
          <w:i/>
          <w:sz w:val="22"/>
        </w:rPr>
        <w:t>are families, friends and communities still trying to come to terms with their loss.</w:t>
      </w:r>
    </w:p>
    <w:p>
      <w:pPr>
        <w:pStyle w:val="BodyText"/>
        <w:spacing w:before="10"/>
        <w:rPr>
          <w:i/>
          <w:sz w:val="20"/>
        </w:rPr>
      </w:pPr>
    </w:p>
    <w:p>
      <w:pPr>
        <w:spacing w:line="288" w:lineRule="auto" w:before="0"/>
        <w:ind w:left="799" w:right="868" w:firstLine="0"/>
        <w:jc w:val="left"/>
        <w:rPr>
          <w:sz w:val="22"/>
        </w:rPr>
      </w:pPr>
      <w:r>
        <w:rPr>
          <w:i/>
          <w:sz w:val="22"/>
        </w:rPr>
        <w:t>Accompanying</w:t>
      </w:r>
      <w:r>
        <w:rPr>
          <w:i/>
          <w:spacing w:val="-4"/>
          <w:sz w:val="22"/>
        </w:rPr>
        <w:t> </w:t>
      </w:r>
      <w:r>
        <w:rPr>
          <w:i/>
          <w:sz w:val="22"/>
        </w:rPr>
        <w:t>this</w:t>
      </w:r>
      <w:r>
        <w:rPr>
          <w:i/>
          <w:spacing w:val="-1"/>
          <w:sz w:val="22"/>
        </w:rPr>
        <w:t> </w:t>
      </w:r>
      <w:r>
        <w:rPr>
          <w:i/>
          <w:sz w:val="22"/>
        </w:rPr>
        <w:t>loss</w:t>
      </w:r>
      <w:r>
        <w:rPr>
          <w:i/>
          <w:spacing w:val="-6"/>
          <w:sz w:val="22"/>
        </w:rPr>
        <w:t> </w:t>
      </w:r>
      <w:r>
        <w:rPr>
          <w:i/>
          <w:sz w:val="22"/>
        </w:rPr>
        <w:t>of life</w:t>
      </w:r>
      <w:r>
        <w:rPr>
          <w:i/>
          <w:spacing w:val="-2"/>
          <w:sz w:val="22"/>
        </w:rPr>
        <w:t> </w:t>
      </w:r>
      <w:r>
        <w:rPr>
          <w:i/>
          <w:sz w:val="22"/>
        </w:rPr>
        <w:t>is</w:t>
      </w:r>
      <w:r>
        <w:rPr>
          <w:i/>
          <w:spacing w:val="-4"/>
          <w:sz w:val="22"/>
        </w:rPr>
        <w:t> </w:t>
      </w:r>
      <w:r>
        <w:rPr>
          <w:i/>
          <w:sz w:val="22"/>
        </w:rPr>
        <w:t>the</w:t>
      </w:r>
      <w:r>
        <w:rPr>
          <w:i/>
          <w:spacing w:val="-4"/>
          <w:sz w:val="22"/>
        </w:rPr>
        <w:t> </w:t>
      </w:r>
      <w:r>
        <w:rPr>
          <w:i/>
          <w:sz w:val="22"/>
        </w:rPr>
        <w:t>fires’</w:t>
      </w:r>
      <w:r>
        <w:rPr>
          <w:i/>
          <w:spacing w:val="-7"/>
          <w:sz w:val="22"/>
        </w:rPr>
        <w:t> </w:t>
      </w:r>
      <w:r>
        <w:rPr>
          <w:i/>
          <w:sz w:val="22"/>
        </w:rPr>
        <w:t>impact</w:t>
      </w:r>
      <w:r>
        <w:rPr>
          <w:i/>
          <w:spacing w:val="-3"/>
          <w:sz w:val="22"/>
        </w:rPr>
        <w:t> </w:t>
      </w:r>
      <w:r>
        <w:rPr>
          <w:i/>
          <w:sz w:val="22"/>
        </w:rPr>
        <w:t>on</w:t>
      </w:r>
      <w:r>
        <w:rPr>
          <w:i/>
          <w:spacing w:val="-2"/>
          <w:sz w:val="22"/>
        </w:rPr>
        <w:t> </w:t>
      </w:r>
      <w:r>
        <w:rPr>
          <w:i/>
          <w:sz w:val="22"/>
        </w:rPr>
        <w:t>property</w:t>
      </w:r>
      <w:r>
        <w:rPr>
          <w:i/>
          <w:spacing w:val="-4"/>
          <w:sz w:val="22"/>
        </w:rPr>
        <w:t> </w:t>
      </w:r>
      <w:r>
        <w:rPr>
          <w:i/>
          <w:sz w:val="22"/>
        </w:rPr>
        <w:t>and</w:t>
      </w:r>
      <w:r>
        <w:rPr>
          <w:i/>
          <w:spacing w:val="-4"/>
          <w:sz w:val="22"/>
        </w:rPr>
        <w:t> </w:t>
      </w:r>
      <w:r>
        <w:rPr>
          <w:i/>
          <w:sz w:val="22"/>
        </w:rPr>
        <w:t>the</w:t>
      </w:r>
      <w:r>
        <w:rPr>
          <w:i/>
          <w:spacing w:val="-2"/>
          <w:sz w:val="22"/>
        </w:rPr>
        <w:t> </w:t>
      </w:r>
      <w:r>
        <w:rPr>
          <w:i/>
          <w:sz w:val="22"/>
        </w:rPr>
        <w:t>infrastructure</w:t>
      </w:r>
      <w:r>
        <w:rPr>
          <w:i/>
          <w:spacing w:val="-4"/>
          <w:sz w:val="22"/>
        </w:rPr>
        <w:t> </w:t>
      </w:r>
      <w:r>
        <w:rPr>
          <w:i/>
          <w:sz w:val="22"/>
        </w:rPr>
        <w:t>that supports communities, as well as the substantial environmental impact,</w:t>
      </w:r>
      <w:r>
        <w:rPr>
          <w:i/>
          <w:spacing w:val="-1"/>
          <w:sz w:val="22"/>
        </w:rPr>
        <w:t> </w:t>
      </w:r>
      <w:r>
        <w:rPr>
          <w:i/>
          <w:sz w:val="22"/>
        </w:rPr>
        <w:t>which will take years to fully reveal itself – let alone be ameliorated. It is extremely difficult to quantify the cost of a disaster like this, but the Commission estimates it to be more than $4 billion.” </w:t>
      </w:r>
      <w:r>
        <w:rPr>
          <w:sz w:val="22"/>
        </w:rPr>
        <w:t>(2009 Victorian Bushfires Royal Commission, 2010, p. 1)</w:t>
      </w:r>
    </w:p>
    <w:p>
      <w:pPr>
        <w:pStyle w:val="BodyText"/>
        <w:spacing w:before="9"/>
        <w:rPr>
          <w:sz w:val="20"/>
        </w:rPr>
      </w:pPr>
    </w:p>
    <w:p>
      <w:pPr>
        <w:pStyle w:val="BodyText"/>
        <w:spacing w:line="288" w:lineRule="auto" w:before="1"/>
        <w:ind w:left="232" w:right="374"/>
      </w:pPr>
      <w:r>
        <w:rPr/>
        <w:t>The</w:t>
      </w:r>
      <w:r>
        <w:rPr>
          <w:spacing w:val="-7"/>
        </w:rPr>
        <w:t> </w:t>
      </w:r>
      <w:r>
        <w:rPr/>
        <w:t>Taskforce</w:t>
      </w:r>
      <w:r>
        <w:rPr>
          <w:spacing w:val="-4"/>
        </w:rPr>
        <w:t> </w:t>
      </w:r>
      <w:r>
        <w:rPr/>
        <w:t>estimated</w:t>
      </w:r>
      <w:r>
        <w:rPr>
          <w:spacing w:val="-4"/>
        </w:rPr>
        <w:t> </w:t>
      </w:r>
      <w:r>
        <w:rPr/>
        <w:t>the</w:t>
      </w:r>
      <w:r>
        <w:rPr>
          <w:spacing w:val="-2"/>
        </w:rPr>
        <w:t> </w:t>
      </w:r>
      <w:r>
        <w:rPr/>
        <w:t>cost</w:t>
      </w:r>
      <w:r>
        <w:rPr>
          <w:spacing w:val="-2"/>
        </w:rPr>
        <w:t> </w:t>
      </w:r>
      <w:r>
        <w:rPr/>
        <w:t>of installing</w:t>
      </w:r>
      <w:r>
        <w:rPr>
          <w:spacing w:val="-2"/>
        </w:rPr>
        <w:t> </w:t>
      </w:r>
      <w:r>
        <w:rPr/>
        <w:t>REFCL’s</w:t>
      </w:r>
      <w:r>
        <w:rPr>
          <w:spacing w:val="-1"/>
        </w:rPr>
        <w:t> </w:t>
      </w:r>
      <w:r>
        <w:rPr/>
        <w:t>would</w:t>
      </w:r>
      <w:r>
        <w:rPr>
          <w:spacing w:val="-2"/>
        </w:rPr>
        <w:t> </w:t>
      </w:r>
      <w:r>
        <w:rPr/>
        <w:t>range</w:t>
      </w:r>
      <w:r>
        <w:rPr>
          <w:spacing w:val="-2"/>
        </w:rPr>
        <w:t> </w:t>
      </w:r>
      <w:r>
        <w:rPr/>
        <w:t>from</w:t>
      </w:r>
      <w:r>
        <w:rPr>
          <w:spacing w:val="-3"/>
        </w:rPr>
        <w:t> </w:t>
      </w:r>
      <w:r>
        <w:rPr/>
        <w:t>around</w:t>
      </w:r>
      <w:r>
        <w:rPr>
          <w:spacing w:val="-2"/>
        </w:rPr>
        <w:t> </w:t>
      </w:r>
      <w:r>
        <w:rPr/>
        <w:t>$1</w:t>
      </w:r>
      <w:r>
        <w:rPr>
          <w:spacing w:val="-4"/>
        </w:rPr>
        <w:t> </w:t>
      </w:r>
      <w:r>
        <w:rPr/>
        <w:t>million</w:t>
      </w:r>
      <w:r>
        <w:rPr>
          <w:spacing w:val="-2"/>
        </w:rPr>
        <w:t> </w:t>
      </w:r>
      <w:r>
        <w:rPr/>
        <w:t>to around $9 million per zone substation, depending on the amount of ancillary work required.</w:t>
      </w:r>
    </w:p>
    <w:p>
      <w:pPr>
        <w:pStyle w:val="BodyText"/>
        <w:spacing w:before="9"/>
        <w:rPr>
          <w:sz w:val="20"/>
        </w:rPr>
      </w:pPr>
    </w:p>
    <w:p>
      <w:pPr>
        <w:pStyle w:val="BodyText"/>
        <w:spacing w:line="288" w:lineRule="auto" w:before="1"/>
        <w:ind w:left="232" w:right="374"/>
      </w:pPr>
      <w:r>
        <w:rPr/>
        <w:t>The Taskforce initially recommended REFCLs be installed on all 108 zone substations servicing powerlines</w:t>
      </w:r>
      <w:r>
        <w:rPr>
          <w:spacing w:val="-1"/>
        </w:rPr>
        <w:t> </w:t>
      </w:r>
      <w:r>
        <w:rPr/>
        <w:t>in</w:t>
      </w:r>
      <w:r>
        <w:rPr>
          <w:spacing w:val="-2"/>
        </w:rPr>
        <w:t> </w:t>
      </w:r>
      <w:r>
        <w:rPr/>
        <w:t>non-urban</w:t>
      </w:r>
      <w:r>
        <w:rPr>
          <w:spacing w:val="-4"/>
        </w:rPr>
        <w:t> </w:t>
      </w:r>
      <w:r>
        <w:rPr/>
        <w:t>areas.</w:t>
      </w:r>
      <w:r>
        <w:rPr>
          <w:spacing w:val="-3"/>
        </w:rPr>
        <w:t> </w:t>
      </w:r>
      <w:r>
        <w:rPr/>
        <w:t>Risk-reduction</w:t>
      </w:r>
      <w:r>
        <w:rPr>
          <w:spacing w:val="-4"/>
        </w:rPr>
        <w:t> </w:t>
      </w:r>
      <w:r>
        <w:rPr/>
        <w:t>modelling performed</w:t>
      </w:r>
      <w:r>
        <w:rPr>
          <w:spacing w:val="-2"/>
        </w:rPr>
        <w:t> </w:t>
      </w:r>
      <w:r>
        <w:rPr/>
        <w:t>by</w:t>
      </w:r>
      <w:r>
        <w:rPr>
          <w:spacing w:val="-4"/>
        </w:rPr>
        <w:t> </w:t>
      </w:r>
      <w:r>
        <w:rPr/>
        <w:t>PBSP</w:t>
      </w:r>
      <w:r>
        <w:rPr>
          <w:spacing w:val="-2"/>
        </w:rPr>
        <w:t> </w:t>
      </w:r>
      <w:r>
        <w:rPr/>
        <w:t>targeted</w:t>
      </w:r>
      <w:r>
        <w:rPr>
          <w:spacing w:val="-4"/>
        </w:rPr>
        <w:t> </w:t>
      </w:r>
      <w:r>
        <w:rPr/>
        <w:t>the</w:t>
      </w:r>
      <w:r>
        <w:rPr>
          <w:spacing w:val="-4"/>
        </w:rPr>
        <w:t> </w:t>
      </w:r>
      <w:r>
        <w:rPr/>
        <w:t>roll-out of REFCLs to 45 zone substations servicing powerlines in areas of the highest bushfire risk to maximise cost-effective risk reduction.</w:t>
      </w:r>
    </w:p>
    <w:p>
      <w:pPr>
        <w:pStyle w:val="BodyText"/>
        <w:spacing w:before="10"/>
        <w:rPr>
          <w:sz w:val="20"/>
        </w:rPr>
      </w:pPr>
    </w:p>
    <w:p>
      <w:pPr>
        <w:pStyle w:val="BodyText"/>
        <w:ind w:left="232"/>
      </w:pPr>
      <w:r>
        <w:rPr/>
        <w:t>The</w:t>
      </w:r>
      <w:r>
        <w:rPr>
          <w:spacing w:val="-9"/>
        </w:rPr>
        <w:t> </w:t>
      </w:r>
      <w:r>
        <w:rPr/>
        <w:t>PBSP</w:t>
      </w:r>
      <w:r>
        <w:rPr>
          <w:spacing w:val="-4"/>
        </w:rPr>
        <w:t> </w:t>
      </w:r>
      <w:r>
        <w:rPr/>
        <w:t>REFCL</w:t>
      </w:r>
      <w:r>
        <w:rPr>
          <w:spacing w:val="-7"/>
        </w:rPr>
        <w:t> </w:t>
      </w:r>
      <w:r>
        <w:rPr/>
        <w:t>Technologies</w:t>
      </w:r>
      <w:r>
        <w:rPr>
          <w:spacing w:val="-4"/>
        </w:rPr>
        <w:t> </w:t>
      </w:r>
      <w:r>
        <w:rPr/>
        <w:t>Program,</w:t>
      </w:r>
      <w:r>
        <w:rPr>
          <w:spacing w:val="-6"/>
        </w:rPr>
        <w:t> </w:t>
      </w:r>
      <w:r>
        <w:rPr/>
        <w:t>in</w:t>
      </w:r>
      <w:r>
        <w:rPr>
          <w:spacing w:val="-4"/>
        </w:rPr>
        <w:t> </w:t>
      </w:r>
      <w:r>
        <w:rPr/>
        <w:t>its</w:t>
      </w:r>
      <w:r>
        <w:rPr>
          <w:spacing w:val="-7"/>
        </w:rPr>
        <w:t> </w:t>
      </w:r>
      <w:r>
        <w:rPr/>
        <w:t>Final</w:t>
      </w:r>
      <w:r>
        <w:rPr>
          <w:spacing w:val="-5"/>
        </w:rPr>
        <w:t> </w:t>
      </w:r>
      <w:r>
        <w:rPr/>
        <w:t>Report</w:t>
      </w:r>
      <w:r>
        <w:rPr>
          <w:spacing w:val="-2"/>
        </w:rPr>
        <w:t> concluded:</w:t>
      </w:r>
    </w:p>
    <w:p>
      <w:pPr>
        <w:pStyle w:val="BodyText"/>
        <w:spacing w:before="4"/>
        <w:rPr>
          <w:sz w:val="25"/>
        </w:rPr>
      </w:pPr>
    </w:p>
    <w:p>
      <w:pPr>
        <w:spacing w:line="288" w:lineRule="auto" w:before="0"/>
        <w:ind w:left="799" w:right="868" w:firstLine="0"/>
        <w:jc w:val="left"/>
        <w:rPr>
          <w:sz w:val="22"/>
        </w:rPr>
      </w:pPr>
      <w:r>
        <w:rPr>
          <w:i/>
          <w:sz w:val="22"/>
        </w:rPr>
        <w:t>“Although</w:t>
      </w:r>
      <w:r>
        <w:rPr>
          <w:i/>
          <w:spacing w:val="-4"/>
          <w:sz w:val="22"/>
        </w:rPr>
        <w:t> </w:t>
      </w:r>
      <w:r>
        <w:rPr>
          <w:i/>
          <w:sz w:val="22"/>
        </w:rPr>
        <w:t>REFCL</w:t>
      </w:r>
      <w:r>
        <w:rPr>
          <w:i/>
          <w:spacing w:val="-4"/>
          <w:sz w:val="22"/>
        </w:rPr>
        <w:t> </w:t>
      </w:r>
      <w:r>
        <w:rPr>
          <w:i/>
          <w:sz w:val="22"/>
        </w:rPr>
        <w:t>installation</w:t>
      </w:r>
      <w:r>
        <w:rPr>
          <w:i/>
          <w:spacing w:val="-4"/>
          <w:sz w:val="22"/>
        </w:rPr>
        <w:t> </w:t>
      </w:r>
      <w:r>
        <w:rPr>
          <w:i/>
          <w:sz w:val="22"/>
        </w:rPr>
        <w:t>and</w:t>
      </w:r>
      <w:r>
        <w:rPr>
          <w:i/>
          <w:spacing w:val="-5"/>
          <w:sz w:val="22"/>
        </w:rPr>
        <w:t> </w:t>
      </w:r>
      <w:r>
        <w:rPr>
          <w:i/>
          <w:sz w:val="22"/>
        </w:rPr>
        <w:t>requisite</w:t>
      </w:r>
      <w:r>
        <w:rPr>
          <w:i/>
          <w:spacing w:val="-3"/>
          <w:sz w:val="22"/>
        </w:rPr>
        <w:t> </w:t>
      </w:r>
      <w:r>
        <w:rPr>
          <w:i/>
          <w:sz w:val="22"/>
        </w:rPr>
        <w:t>network</w:t>
      </w:r>
      <w:r>
        <w:rPr>
          <w:i/>
          <w:spacing w:val="-3"/>
          <w:sz w:val="22"/>
        </w:rPr>
        <w:t> </w:t>
      </w:r>
      <w:r>
        <w:rPr>
          <w:i/>
          <w:sz w:val="22"/>
        </w:rPr>
        <w:t>hardening</w:t>
      </w:r>
      <w:r>
        <w:rPr>
          <w:i/>
          <w:spacing w:val="-4"/>
          <w:sz w:val="22"/>
        </w:rPr>
        <w:t> </w:t>
      </w:r>
      <w:r>
        <w:rPr>
          <w:i/>
          <w:sz w:val="22"/>
        </w:rPr>
        <w:t>and</w:t>
      </w:r>
      <w:r>
        <w:rPr>
          <w:i/>
          <w:spacing w:val="-4"/>
          <w:sz w:val="22"/>
        </w:rPr>
        <w:t> </w:t>
      </w:r>
      <w:r>
        <w:rPr>
          <w:i/>
          <w:sz w:val="22"/>
        </w:rPr>
        <w:t>balancing</w:t>
      </w:r>
      <w:r>
        <w:rPr>
          <w:i/>
          <w:spacing w:val="-4"/>
          <w:sz w:val="22"/>
        </w:rPr>
        <w:t> </w:t>
      </w:r>
      <w:r>
        <w:rPr>
          <w:i/>
          <w:sz w:val="22"/>
        </w:rPr>
        <w:t>works</w:t>
      </w:r>
      <w:r>
        <w:rPr>
          <w:i/>
          <w:spacing w:val="-5"/>
          <w:sz w:val="22"/>
        </w:rPr>
        <w:t> </w:t>
      </w:r>
      <w:r>
        <w:rPr>
          <w:i/>
          <w:sz w:val="22"/>
        </w:rPr>
        <w:t>are relatively expensive, the delivered fire risk reduction benefit per dollar spent is comparatively attractive because each REFCL provides protection against earth fault fires on all multi-phase powerlines in an entire substation network – on average 400– 500km of powerline route length.” </w:t>
      </w:r>
      <w:r>
        <w:rPr>
          <w:sz w:val="22"/>
        </w:rPr>
        <w:t>(Marxsen Consulting, 2015, p. 11)</w:t>
      </w:r>
    </w:p>
    <w:p>
      <w:pPr>
        <w:pStyle w:val="BodyText"/>
        <w:spacing w:before="9"/>
        <w:rPr>
          <w:sz w:val="20"/>
        </w:rPr>
      </w:pPr>
    </w:p>
    <w:p>
      <w:pPr>
        <w:pStyle w:val="BodyText"/>
        <w:spacing w:line="288" w:lineRule="auto" w:before="1"/>
        <w:ind w:left="232" w:right="320"/>
      </w:pPr>
      <w:r>
        <w:rPr/>
        <w:t>In</w:t>
      </w:r>
      <w:r>
        <w:rPr>
          <w:spacing w:val="-2"/>
        </w:rPr>
        <w:t> </w:t>
      </w:r>
      <w:r>
        <w:rPr/>
        <w:t>2015, as</w:t>
      </w:r>
      <w:r>
        <w:rPr>
          <w:spacing w:val="-4"/>
        </w:rPr>
        <w:t> </w:t>
      </w:r>
      <w:r>
        <w:rPr/>
        <w:t>part of</w:t>
      </w:r>
      <w:r>
        <w:rPr>
          <w:spacing w:val="-3"/>
        </w:rPr>
        <w:t> </w:t>
      </w:r>
      <w:r>
        <w:rPr/>
        <w:t>the</w:t>
      </w:r>
      <w:r>
        <w:rPr>
          <w:spacing w:val="-4"/>
        </w:rPr>
        <w:t> </w:t>
      </w:r>
      <w:r>
        <w:rPr/>
        <w:t>requirements</w:t>
      </w:r>
      <w:r>
        <w:rPr>
          <w:spacing w:val="-4"/>
        </w:rPr>
        <w:t> </w:t>
      </w:r>
      <w:r>
        <w:rPr/>
        <w:t>to</w:t>
      </w:r>
      <w:r>
        <w:rPr>
          <w:spacing w:val="-2"/>
        </w:rPr>
        <w:t> </w:t>
      </w:r>
      <w:r>
        <w:rPr/>
        <w:t>conduct</w:t>
      </w:r>
      <w:r>
        <w:rPr>
          <w:spacing w:val="-3"/>
        </w:rPr>
        <w:t> </w:t>
      </w:r>
      <w:r>
        <w:rPr/>
        <w:t>a</w:t>
      </w:r>
      <w:r>
        <w:rPr>
          <w:spacing w:val="-4"/>
        </w:rPr>
        <w:t> </w:t>
      </w:r>
      <w:r>
        <w:rPr/>
        <w:t>regulatory</w:t>
      </w:r>
      <w:r>
        <w:rPr>
          <w:spacing w:val="-4"/>
        </w:rPr>
        <w:t> </w:t>
      </w:r>
      <w:r>
        <w:rPr/>
        <w:t>impact analysis</w:t>
      </w:r>
      <w:r>
        <w:rPr>
          <w:spacing w:val="-4"/>
        </w:rPr>
        <w:t> </w:t>
      </w:r>
      <w:r>
        <w:rPr/>
        <w:t>for</w:t>
      </w:r>
      <w:r>
        <w:rPr>
          <w:spacing w:val="-3"/>
        </w:rPr>
        <w:t> </w:t>
      </w:r>
      <w:r>
        <w:rPr/>
        <w:t>the</w:t>
      </w:r>
      <w:r>
        <w:rPr>
          <w:spacing w:val="-2"/>
        </w:rPr>
        <w:t> </w:t>
      </w:r>
      <w:r>
        <w:rPr/>
        <w:t>amendments</w:t>
      </w:r>
      <w:r>
        <w:rPr>
          <w:spacing w:val="-4"/>
        </w:rPr>
        <w:t> </w:t>
      </w:r>
      <w:r>
        <w:rPr/>
        <w:t>to the </w:t>
      </w:r>
      <w:r>
        <w:rPr>
          <w:i/>
        </w:rPr>
        <w:t>Electricity Safety (Bushfire Mitigation) Regulations 2013, </w:t>
      </w:r>
      <w:r>
        <w:rPr/>
        <w:t>ACIL Allen was commissioned to conduct</w:t>
      </w:r>
      <w:r>
        <w:rPr>
          <w:spacing w:val="-2"/>
        </w:rPr>
        <w:t> </w:t>
      </w:r>
      <w:r>
        <w:rPr/>
        <w:t>the</w:t>
      </w:r>
      <w:r>
        <w:rPr>
          <w:spacing w:val="-3"/>
        </w:rPr>
        <w:t> </w:t>
      </w:r>
      <w:r>
        <w:rPr/>
        <w:t>Regulatory</w:t>
      </w:r>
      <w:r>
        <w:rPr>
          <w:spacing w:val="-2"/>
        </w:rPr>
        <w:t> </w:t>
      </w:r>
      <w:r>
        <w:rPr/>
        <w:t>Impact</w:t>
      </w:r>
      <w:r>
        <w:rPr>
          <w:spacing w:val="-2"/>
        </w:rPr>
        <w:t> </w:t>
      </w:r>
      <w:r>
        <w:rPr/>
        <w:t>Statement</w:t>
      </w:r>
      <w:r>
        <w:rPr>
          <w:spacing w:val="-2"/>
        </w:rPr>
        <w:t> </w:t>
      </w:r>
      <w:r>
        <w:rPr/>
        <w:t>(RIS),</w:t>
      </w:r>
      <w:r>
        <w:rPr>
          <w:spacing w:val="-2"/>
        </w:rPr>
        <w:t> </w:t>
      </w:r>
      <w:r>
        <w:rPr/>
        <w:t>including an</w:t>
      </w:r>
      <w:r>
        <w:rPr>
          <w:spacing w:val="-3"/>
        </w:rPr>
        <w:t> </w:t>
      </w:r>
      <w:r>
        <w:rPr/>
        <w:t>assessment</w:t>
      </w:r>
      <w:r>
        <w:rPr>
          <w:spacing w:val="-4"/>
        </w:rPr>
        <w:t> </w:t>
      </w:r>
      <w:r>
        <w:rPr/>
        <w:t>of the</w:t>
      </w:r>
      <w:r>
        <w:rPr>
          <w:spacing w:val="-1"/>
        </w:rPr>
        <w:t> </w:t>
      </w:r>
      <w:r>
        <w:rPr/>
        <w:t>costs</w:t>
      </w:r>
      <w:r>
        <w:rPr>
          <w:spacing w:val="-3"/>
        </w:rPr>
        <w:t> </w:t>
      </w:r>
      <w:r>
        <w:rPr/>
        <w:t>and</w:t>
      </w:r>
      <w:r>
        <w:rPr>
          <w:spacing w:val="-1"/>
        </w:rPr>
        <w:t> </w:t>
      </w:r>
      <w:r>
        <w:rPr/>
        <w:t>benefits (ACIL Allen Consulting, 2015).</w:t>
      </w:r>
    </w:p>
    <w:p>
      <w:pPr>
        <w:pStyle w:val="BodyText"/>
        <w:spacing w:before="10"/>
        <w:rPr>
          <w:sz w:val="20"/>
        </w:rPr>
      </w:pPr>
    </w:p>
    <w:p>
      <w:pPr>
        <w:pStyle w:val="BodyText"/>
        <w:spacing w:line="288" w:lineRule="auto"/>
        <w:ind w:left="232"/>
      </w:pPr>
      <w:r>
        <w:rPr/>
        <w:t>To</w:t>
      </w:r>
      <w:r>
        <w:rPr>
          <w:spacing w:val="-5"/>
        </w:rPr>
        <w:t> </w:t>
      </w:r>
      <w:r>
        <w:rPr/>
        <w:t>determine</w:t>
      </w:r>
      <w:r>
        <w:rPr>
          <w:spacing w:val="-5"/>
        </w:rPr>
        <w:t> </w:t>
      </w:r>
      <w:r>
        <w:rPr/>
        <w:t>the</w:t>
      </w:r>
      <w:r>
        <w:rPr>
          <w:spacing w:val="-5"/>
        </w:rPr>
        <w:t> </w:t>
      </w:r>
      <w:r>
        <w:rPr/>
        <w:t>net</w:t>
      </w:r>
      <w:r>
        <w:rPr>
          <w:spacing w:val="-4"/>
        </w:rPr>
        <w:t> </w:t>
      </w:r>
      <w:r>
        <w:rPr/>
        <w:t>benefits</w:t>
      </w:r>
      <w:r>
        <w:rPr>
          <w:spacing w:val="-2"/>
        </w:rPr>
        <w:t> </w:t>
      </w:r>
      <w:r>
        <w:rPr/>
        <w:t>of</w:t>
      </w:r>
      <w:r>
        <w:rPr>
          <w:spacing w:val="-1"/>
        </w:rPr>
        <w:t> </w:t>
      </w:r>
      <w:r>
        <w:rPr/>
        <w:t>installing</w:t>
      </w:r>
      <w:r>
        <w:rPr>
          <w:spacing w:val="-1"/>
        </w:rPr>
        <w:t> </w:t>
      </w:r>
      <w:r>
        <w:rPr/>
        <w:t>REFCLs</w:t>
      </w:r>
      <w:r>
        <w:rPr>
          <w:spacing w:val="-3"/>
        </w:rPr>
        <w:t> </w:t>
      </w:r>
      <w:r>
        <w:rPr/>
        <w:t>at</w:t>
      </w:r>
      <w:r>
        <w:rPr>
          <w:spacing w:val="-3"/>
        </w:rPr>
        <w:t> </w:t>
      </w:r>
      <w:r>
        <w:rPr/>
        <w:t>45 high</w:t>
      </w:r>
      <w:r>
        <w:rPr>
          <w:spacing w:val="-5"/>
        </w:rPr>
        <w:t> </w:t>
      </w:r>
      <w:r>
        <w:rPr/>
        <w:t>risk</w:t>
      </w:r>
      <w:r>
        <w:rPr>
          <w:spacing w:val="-2"/>
        </w:rPr>
        <w:t> </w:t>
      </w:r>
      <w:r>
        <w:rPr/>
        <w:t>zone</w:t>
      </w:r>
      <w:r>
        <w:rPr>
          <w:spacing w:val="-3"/>
        </w:rPr>
        <w:t> </w:t>
      </w:r>
      <w:r>
        <w:rPr/>
        <w:t>substations,</w:t>
      </w:r>
      <w:r>
        <w:rPr>
          <w:spacing w:val="-1"/>
        </w:rPr>
        <w:t> </w:t>
      </w:r>
      <w:r>
        <w:rPr/>
        <w:t>ACIL</w:t>
      </w:r>
      <w:r>
        <w:rPr>
          <w:spacing w:val="-5"/>
        </w:rPr>
        <w:t> </w:t>
      </w:r>
      <w:r>
        <w:rPr/>
        <w:t>Allen considered the present value of:</w:t>
      </w:r>
    </w:p>
    <w:p>
      <w:pPr>
        <w:spacing w:after="0" w:line="288" w:lineRule="auto"/>
        <w:sectPr>
          <w:pgSz w:w="11910" w:h="16850"/>
          <w:pgMar w:header="220" w:footer="678" w:top="420" w:bottom="860" w:left="900" w:right="840"/>
        </w:sectPr>
      </w:pPr>
    </w:p>
    <w:p>
      <w:pPr>
        <w:pStyle w:val="BodyText"/>
        <w:rPr>
          <w:sz w:val="20"/>
        </w:rPr>
      </w:pPr>
    </w:p>
    <w:p>
      <w:pPr>
        <w:pStyle w:val="BodyText"/>
        <w:spacing w:before="9"/>
        <w:rPr>
          <w:sz w:val="18"/>
        </w:rPr>
      </w:pPr>
    </w:p>
    <w:p>
      <w:pPr>
        <w:pStyle w:val="ListParagraph"/>
        <w:numPr>
          <w:ilvl w:val="0"/>
          <w:numId w:val="68"/>
        </w:numPr>
        <w:tabs>
          <w:tab w:pos="590" w:val="left" w:leader="none"/>
        </w:tabs>
        <w:spacing w:line="285" w:lineRule="auto" w:before="115" w:after="0"/>
        <w:ind w:left="590" w:right="732" w:hanging="359"/>
        <w:jc w:val="left"/>
        <w:rPr>
          <w:sz w:val="22"/>
        </w:rPr>
      </w:pPr>
      <w:r>
        <w:rPr>
          <w:sz w:val="22"/>
        </w:rPr>
        <w:t>the</w:t>
      </w:r>
      <w:r>
        <w:rPr>
          <w:spacing w:val="-3"/>
          <w:sz w:val="22"/>
        </w:rPr>
        <w:t> </w:t>
      </w:r>
      <w:r>
        <w:rPr>
          <w:sz w:val="22"/>
        </w:rPr>
        <w:t>direct</w:t>
      </w:r>
      <w:r>
        <w:rPr>
          <w:spacing w:val="-4"/>
          <w:sz w:val="22"/>
        </w:rPr>
        <w:t> </w:t>
      </w:r>
      <w:r>
        <w:rPr>
          <w:sz w:val="22"/>
        </w:rPr>
        <w:t>costs</w:t>
      </w:r>
      <w:r>
        <w:rPr>
          <w:spacing w:val="-4"/>
          <w:sz w:val="22"/>
        </w:rPr>
        <w:t> </w:t>
      </w:r>
      <w:r>
        <w:rPr>
          <w:sz w:val="22"/>
        </w:rPr>
        <w:t>associated</w:t>
      </w:r>
      <w:r>
        <w:rPr>
          <w:spacing w:val="-3"/>
          <w:sz w:val="22"/>
        </w:rPr>
        <w:t> </w:t>
      </w:r>
      <w:r>
        <w:rPr>
          <w:sz w:val="22"/>
        </w:rPr>
        <w:t>with</w:t>
      </w:r>
      <w:r>
        <w:rPr>
          <w:spacing w:val="-3"/>
          <w:sz w:val="22"/>
        </w:rPr>
        <w:t> </w:t>
      </w:r>
      <w:r>
        <w:rPr>
          <w:sz w:val="22"/>
        </w:rPr>
        <w:t>installing</w:t>
      </w:r>
      <w:r>
        <w:rPr>
          <w:spacing w:val="-1"/>
          <w:sz w:val="22"/>
        </w:rPr>
        <w:t> </w:t>
      </w:r>
      <w:r>
        <w:rPr>
          <w:sz w:val="22"/>
        </w:rPr>
        <w:t>REFCLs</w:t>
      </w:r>
      <w:r>
        <w:rPr>
          <w:spacing w:val="-3"/>
          <w:sz w:val="22"/>
        </w:rPr>
        <w:t> </w:t>
      </w:r>
      <w:r>
        <w:rPr>
          <w:sz w:val="22"/>
        </w:rPr>
        <w:t>at</w:t>
      </w:r>
      <w:r>
        <w:rPr>
          <w:spacing w:val="-3"/>
          <w:sz w:val="22"/>
        </w:rPr>
        <w:t> </w:t>
      </w:r>
      <w:r>
        <w:rPr>
          <w:sz w:val="22"/>
        </w:rPr>
        <w:t>the</w:t>
      </w:r>
      <w:r>
        <w:rPr>
          <w:spacing w:val="-5"/>
          <w:sz w:val="22"/>
        </w:rPr>
        <w:t> </w:t>
      </w:r>
      <w:r>
        <w:rPr>
          <w:sz w:val="22"/>
        </w:rPr>
        <w:t>zone</w:t>
      </w:r>
      <w:r>
        <w:rPr>
          <w:spacing w:val="-3"/>
          <w:sz w:val="22"/>
        </w:rPr>
        <w:t> </w:t>
      </w:r>
      <w:r>
        <w:rPr>
          <w:sz w:val="22"/>
        </w:rPr>
        <w:t>substations</w:t>
      </w:r>
      <w:r>
        <w:rPr>
          <w:spacing w:val="-5"/>
          <w:sz w:val="22"/>
        </w:rPr>
        <w:t> </w:t>
      </w:r>
      <w:r>
        <w:rPr>
          <w:sz w:val="22"/>
        </w:rPr>
        <w:t>and</w:t>
      </w:r>
      <w:r>
        <w:rPr>
          <w:spacing w:val="-5"/>
          <w:sz w:val="22"/>
        </w:rPr>
        <w:t> </w:t>
      </w:r>
      <w:r>
        <w:rPr>
          <w:sz w:val="22"/>
        </w:rPr>
        <w:t>the</w:t>
      </w:r>
      <w:r>
        <w:rPr>
          <w:spacing w:val="-3"/>
          <w:sz w:val="22"/>
        </w:rPr>
        <w:t> </w:t>
      </w:r>
      <w:r>
        <w:rPr>
          <w:sz w:val="22"/>
        </w:rPr>
        <w:t>ancillary equipment required;</w:t>
      </w:r>
    </w:p>
    <w:p>
      <w:pPr>
        <w:pStyle w:val="ListParagraph"/>
        <w:numPr>
          <w:ilvl w:val="0"/>
          <w:numId w:val="68"/>
        </w:numPr>
        <w:tabs>
          <w:tab w:pos="590" w:val="left" w:leader="none"/>
        </w:tabs>
        <w:spacing w:line="285" w:lineRule="auto" w:before="20" w:after="0"/>
        <w:ind w:left="590" w:right="608" w:hanging="359"/>
        <w:jc w:val="left"/>
        <w:rPr>
          <w:sz w:val="22"/>
        </w:rPr>
      </w:pPr>
      <w:r>
        <w:rPr>
          <w:sz w:val="22"/>
        </w:rPr>
        <w:t>the</w:t>
      </w:r>
      <w:r>
        <w:rPr>
          <w:spacing w:val="-3"/>
          <w:sz w:val="22"/>
        </w:rPr>
        <w:t> </w:t>
      </w:r>
      <w:r>
        <w:rPr>
          <w:sz w:val="22"/>
        </w:rPr>
        <w:t>avoided</w:t>
      </w:r>
      <w:r>
        <w:rPr>
          <w:spacing w:val="-3"/>
          <w:sz w:val="22"/>
        </w:rPr>
        <w:t> </w:t>
      </w:r>
      <w:r>
        <w:rPr>
          <w:sz w:val="22"/>
        </w:rPr>
        <w:t>cost</w:t>
      </w:r>
      <w:r>
        <w:rPr>
          <w:spacing w:val="-3"/>
          <w:sz w:val="22"/>
        </w:rPr>
        <w:t> </w:t>
      </w:r>
      <w:r>
        <w:rPr>
          <w:sz w:val="22"/>
        </w:rPr>
        <w:t>by</w:t>
      </w:r>
      <w:r>
        <w:rPr>
          <w:spacing w:val="-5"/>
          <w:sz w:val="22"/>
        </w:rPr>
        <w:t> </w:t>
      </w:r>
      <w:r>
        <w:rPr>
          <w:sz w:val="22"/>
        </w:rPr>
        <w:t>installing</w:t>
      </w:r>
      <w:r>
        <w:rPr>
          <w:spacing w:val="-1"/>
          <w:sz w:val="22"/>
        </w:rPr>
        <w:t> </w:t>
      </w:r>
      <w:r>
        <w:rPr>
          <w:sz w:val="22"/>
        </w:rPr>
        <w:t>REFCLs,</w:t>
      </w:r>
      <w:r>
        <w:rPr>
          <w:spacing w:val="-2"/>
          <w:sz w:val="22"/>
        </w:rPr>
        <w:t> </w:t>
      </w:r>
      <w:r>
        <w:rPr>
          <w:sz w:val="22"/>
        </w:rPr>
        <w:t>and</w:t>
      </w:r>
      <w:r>
        <w:rPr>
          <w:spacing w:val="-5"/>
          <w:sz w:val="22"/>
        </w:rPr>
        <w:t> </w:t>
      </w:r>
      <w:r>
        <w:rPr>
          <w:sz w:val="22"/>
        </w:rPr>
        <w:t>replacing</w:t>
      </w:r>
      <w:r>
        <w:rPr>
          <w:spacing w:val="-1"/>
          <w:sz w:val="22"/>
        </w:rPr>
        <w:t> </w:t>
      </w:r>
      <w:r>
        <w:rPr>
          <w:sz w:val="22"/>
        </w:rPr>
        <w:t>ancillary</w:t>
      </w:r>
      <w:r>
        <w:rPr>
          <w:spacing w:val="-4"/>
          <w:sz w:val="22"/>
        </w:rPr>
        <w:t> </w:t>
      </w:r>
      <w:r>
        <w:rPr>
          <w:sz w:val="22"/>
        </w:rPr>
        <w:t>equipment,</w:t>
      </w:r>
      <w:r>
        <w:rPr>
          <w:spacing w:val="-4"/>
          <w:sz w:val="22"/>
        </w:rPr>
        <w:t> </w:t>
      </w:r>
      <w:r>
        <w:rPr>
          <w:sz w:val="22"/>
        </w:rPr>
        <w:t>earlier</w:t>
      </w:r>
      <w:r>
        <w:rPr>
          <w:spacing w:val="-2"/>
          <w:sz w:val="22"/>
        </w:rPr>
        <w:t> </w:t>
      </w:r>
      <w:r>
        <w:rPr>
          <w:sz w:val="22"/>
        </w:rPr>
        <w:t>than</w:t>
      </w:r>
      <w:r>
        <w:rPr>
          <w:spacing w:val="-5"/>
          <w:sz w:val="22"/>
        </w:rPr>
        <w:t> </w:t>
      </w:r>
      <w:r>
        <w:rPr>
          <w:sz w:val="22"/>
        </w:rPr>
        <w:t>would otherwise occur;</w:t>
      </w:r>
    </w:p>
    <w:p>
      <w:pPr>
        <w:pStyle w:val="ListParagraph"/>
        <w:numPr>
          <w:ilvl w:val="0"/>
          <w:numId w:val="68"/>
        </w:numPr>
        <w:tabs>
          <w:tab w:pos="590" w:val="left" w:leader="none"/>
        </w:tabs>
        <w:spacing w:line="240" w:lineRule="auto" w:before="20" w:after="0"/>
        <w:ind w:left="590" w:right="0" w:hanging="358"/>
        <w:jc w:val="left"/>
        <w:rPr>
          <w:sz w:val="22"/>
        </w:rPr>
      </w:pPr>
      <w:r>
        <w:rPr>
          <w:sz w:val="22"/>
        </w:rPr>
        <w:t>additional</w:t>
      </w:r>
      <w:r>
        <w:rPr>
          <w:spacing w:val="-8"/>
          <w:sz w:val="22"/>
        </w:rPr>
        <w:t> </w:t>
      </w:r>
      <w:r>
        <w:rPr>
          <w:sz w:val="22"/>
        </w:rPr>
        <w:t>maintenance</w:t>
      </w:r>
      <w:r>
        <w:rPr>
          <w:spacing w:val="-8"/>
          <w:sz w:val="22"/>
        </w:rPr>
        <w:t> </w:t>
      </w:r>
      <w:r>
        <w:rPr>
          <w:sz w:val="22"/>
        </w:rPr>
        <w:t>costs</w:t>
      </w:r>
      <w:r>
        <w:rPr>
          <w:spacing w:val="-6"/>
          <w:sz w:val="22"/>
        </w:rPr>
        <w:t> </w:t>
      </w:r>
      <w:r>
        <w:rPr>
          <w:sz w:val="22"/>
        </w:rPr>
        <w:t>arising</w:t>
      </w:r>
      <w:r>
        <w:rPr>
          <w:spacing w:val="-8"/>
          <w:sz w:val="22"/>
        </w:rPr>
        <w:t> </w:t>
      </w:r>
      <w:r>
        <w:rPr>
          <w:sz w:val="22"/>
        </w:rPr>
        <w:t>from</w:t>
      </w:r>
      <w:r>
        <w:rPr>
          <w:spacing w:val="-8"/>
          <w:sz w:val="22"/>
        </w:rPr>
        <w:t> </w:t>
      </w:r>
      <w:r>
        <w:rPr>
          <w:sz w:val="22"/>
        </w:rPr>
        <w:t>the</w:t>
      </w:r>
      <w:r>
        <w:rPr>
          <w:spacing w:val="-6"/>
          <w:sz w:val="22"/>
        </w:rPr>
        <w:t> </w:t>
      </w:r>
      <w:r>
        <w:rPr>
          <w:sz w:val="22"/>
        </w:rPr>
        <w:t>installation</w:t>
      </w:r>
      <w:r>
        <w:rPr>
          <w:spacing w:val="-7"/>
          <w:sz w:val="22"/>
        </w:rPr>
        <w:t> </w:t>
      </w:r>
      <w:r>
        <w:rPr>
          <w:sz w:val="22"/>
        </w:rPr>
        <w:t>of</w:t>
      </w:r>
      <w:r>
        <w:rPr>
          <w:spacing w:val="-2"/>
          <w:sz w:val="22"/>
        </w:rPr>
        <w:t> REFCLs;</w:t>
      </w:r>
    </w:p>
    <w:p>
      <w:pPr>
        <w:pStyle w:val="ListParagraph"/>
        <w:numPr>
          <w:ilvl w:val="0"/>
          <w:numId w:val="68"/>
        </w:numPr>
        <w:tabs>
          <w:tab w:pos="590" w:val="left" w:leader="none"/>
        </w:tabs>
        <w:spacing w:line="240" w:lineRule="auto" w:before="66" w:after="0"/>
        <w:ind w:left="590" w:right="0" w:hanging="358"/>
        <w:jc w:val="left"/>
        <w:rPr>
          <w:sz w:val="22"/>
        </w:rPr>
      </w:pPr>
      <w:r>
        <w:rPr>
          <w:sz w:val="22"/>
        </w:rPr>
        <w:t>additional</w:t>
      </w:r>
      <w:r>
        <w:rPr>
          <w:spacing w:val="-7"/>
          <w:sz w:val="22"/>
        </w:rPr>
        <w:t> </w:t>
      </w:r>
      <w:r>
        <w:rPr>
          <w:sz w:val="22"/>
        </w:rPr>
        <w:t>costs</w:t>
      </w:r>
      <w:r>
        <w:rPr>
          <w:spacing w:val="-5"/>
          <w:sz w:val="22"/>
        </w:rPr>
        <w:t> </w:t>
      </w:r>
      <w:r>
        <w:rPr>
          <w:sz w:val="22"/>
        </w:rPr>
        <w:t>incurred</w:t>
      </w:r>
      <w:r>
        <w:rPr>
          <w:spacing w:val="-9"/>
          <w:sz w:val="22"/>
        </w:rPr>
        <w:t> </w:t>
      </w:r>
      <w:r>
        <w:rPr>
          <w:sz w:val="22"/>
        </w:rPr>
        <w:t>by</w:t>
      </w:r>
      <w:r>
        <w:rPr>
          <w:spacing w:val="-5"/>
          <w:sz w:val="22"/>
        </w:rPr>
        <w:t> </w:t>
      </w:r>
      <w:r>
        <w:rPr>
          <w:sz w:val="22"/>
        </w:rPr>
        <w:t>customers</w:t>
      </w:r>
      <w:r>
        <w:rPr>
          <w:spacing w:val="-6"/>
          <w:sz w:val="22"/>
        </w:rPr>
        <w:t> </w:t>
      </w:r>
      <w:r>
        <w:rPr>
          <w:sz w:val="22"/>
        </w:rPr>
        <w:t>that</w:t>
      </w:r>
      <w:r>
        <w:rPr>
          <w:spacing w:val="-2"/>
          <w:sz w:val="22"/>
        </w:rPr>
        <w:t> </w:t>
      </w:r>
      <w:r>
        <w:rPr>
          <w:sz w:val="22"/>
        </w:rPr>
        <w:t>are</w:t>
      </w:r>
      <w:r>
        <w:rPr>
          <w:spacing w:val="-4"/>
          <w:sz w:val="22"/>
        </w:rPr>
        <w:t> </w:t>
      </w:r>
      <w:r>
        <w:rPr>
          <w:sz w:val="22"/>
        </w:rPr>
        <w:t>directly</w:t>
      </w:r>
      <w:r>
        <w:rPr>
          <w:spacing w:val="-5"/>
          <w:sz w:val="22"/>
        </w:rPr>
        <w:t> </w:t>
      </w:r>
      <w:r>
        <w:rPr>
          <w:sz w:val="22"/>
        </w:rPr>
        <w:t>connected</w:t>
      </w:r>
      <w:r>
        <w:rPr>
          <w:spacing w:val="-6"/>
          <w:sz w:val="22"/>
        </w:rPr>
        <w:t> </w:t>
      </w:r>
      <w:r>
        <w:rPr>
          <w:sz w:val="22"/>
        </w:rPr>
        <w:t>to</w:t>
      </w:r>
      <w:r>
        <w:rPr>
          <w:spacing w:val="-6"/>
          <w:sz w:val="22"/>
        </w:rPr>
        <w:t> </w:t>
      </w:r>
      <w:r>
        <w:rPr>
          <w:sz w:val="22"/>
        </w:rPr>
        <w:t>the</w:t>
      </w:r>
      <w:r>
        <w:rPr>
          <w:spacing w:val="-5"/>
          <w:sz w:val="22"/>
        </w:rPr>
        <w:t> </w:t>
      </w:r>
      <w:r>
        <w:rPr>
          <w:sz w:val="22"/>
        </w:rPr>
        <w:t>electricity</w:t>
      </w:r>
      <w:r>
        <w:rPr>
          <w:spacing w:val="-1"/>
          <w:sz w:val="22"/>
        </w:rPr>
        <w:t> </w:t>
      </w:r>
      <w:r>
        <w:rPr>
          <w:spacing w:val="-2"/>
          <w:sz w:val="22"/>
        </w:rPr>
        <w:t>network;</w:t>
      </w:r>
    </w:p>
    <w:p>
      <w:pPr>
        <w:pStyle w:val="ListParagraph"/>
        <w:numPr>
          <w:ilvl w:val="0"/>
          <w:numId w:val="68"/>
        </w:numPr>
        <w:tabs>
          <w:tab w:pos="590" w:val="left" w:leader="none"/>
        </w:tabs>
        <w:spacing w:line="240" w:lineRule="auto" w:before="64" w:after="0"/>
        <w:ind w:left="590" w:right="0" w:hanging="358"/>
        <w:jc w:val="left"/>
        <w:rPr>
          <w:sz w:val="22"/>
        </w:rPr>
      </w:pPr>
      <w:r>
        <w:rPr>
          <w:sz w:val="22"/>
        </w:rPr>
        <w:t>administrative</w:t>
      </w:r>
      <w:r>
        <w:rPr>
          <w:spacing w:val="-9"/>
          <w:sz w:val="22"/>
        </w:rPr>
        <w:t> </w:t>
      </w:r>
      <w:r>
        <w:rPr>
          <w:sz w:val="22"/>
        </w:rPr>
        <w:t>and</w:t>
      </w:r>
      <w:r>
        <w:rPr>
          <w:spacing w:val="-9"/>
          <w:sz w:val="22"/>
        </w:rPr>
        <w:t> </w:t>
      </w:r>
      <w:r>
        <w:rPr>
          <w:sz w:val="22"/>
        </w:rPr>
        <w:t>compliance</w:t>
      </w:r>
      <w:r>
        <w:rPr>
          <w:spacing w:val="-9"/>
          <w:sz w:val="22"/>
        </w:rPr>
        <w:t> </w:t>
      </w:r>
      <w:r>
        <w:rPr>
          <w:spacing w:val="-2"/>
          <w:sz w:val="22"/>
        </w:rPr>
        <w:t>costs;</w:t>
      </w:r>
    </w:p>
    <w:p>
      <w:pPr>
        <w:pStyle w:val="ListParagraph"/>
        <w:numPr>
          <w:ilvl w:val="0"/>
          <w:numId w:val="68"/>
        </w:numPr>
        <w:tabs>
          <w:tab w:pos="590" w:val="left" w:leader="none"/>
        </w:tabs>
        <w:spacing w:line="240" w:lineRule="auto" w:before="66" w:after="0"/>
        <w:ind w:left="590" w:right="0" w:hanging="358"/>
        <w:jc w:val="left"/>
        <w:rPr>
          <w:sz w:val="22"/>
        </w:rPr>
      </w:pPr>
      <w:r>
        <w:rPr>
          <w:sz w:val="22"/>
        </w:rPr>
        <w:t>the</w:t>
      </w:r>
      <w:r>
        <w:rPr>
          <w:spacing w:val="-7"/>
          <w:sz w:val="22"/>
        </w:rPr>
        <w:t> </w:t>
      </w:r>
      <w:r>
        <w:rPr>
          <w:sz w:val="22"/>
        </w:rPr>
        <w:t>benefits</w:t>
      </w:r>
      <w:r>
        <w:rPr>
          <w:spacing w:val="-6"/>
          <w:sz w:val="22"/>
        </w:rPr>
        <w:t> </w:t>
      </w:r>
      <w:r>
        <w:rPr>
          <w:sz w:val="22"/>
        </w:rPr>
        <w:t>associated</w:t>
      </w:r>
      <w:r>
        <w:rPr>
          <w:spacing w:val="-8"/>
          <w:sz w:val="22"/>
        </w:rPr>
        <w:t> </w:t>
      </w:r>
      <w:r>
        <w:rPr>
          <w:sz w:val="22"/>
        </w:rPr>
        <w:t>with</w:t>
      </w:r>
      <w:r>
        <w:rPr>
          <w:spacing w:val="-5"/>
          <w:sz w:val="22"/>
        </w:rPr>
        <w:t> </w:t>
      </w:r>
      <w:r>
        <w:rPr>
          <w:sz w:val="22"/>
        </w:rPr>
        <w:t>an</w:t>
      </w:r>
      <w:r>
        <w:rPr>
          <w:spacing w:val="-4"/>
          <w:sz w:val="22"/>
        </w:rPr>
        <w:t> </w:t>
      </w:r>
      <w:r>
        <w:rPr>
          <w:sz w:val="22"/>
        </w:rPr>
        <w:t>improvement</w:t>
      </w:r>
      <w:r>
        <w:rPr>
          <w:spacing w:val="-6"/>
          <w:sz w:val="22"/>
        </w:rPr>
        <w:t> </w:t>
      </w:r>
      <w:r>
        <w:rPr>
          <w:sz w:val="22"/>
        </w:rPr>
        <w:t>in</w:t>
      </w:r>
      <w:r>
        <w:rPr>
          <w:spacing w:val="-4"/>
          <w:sz w:val="22"/>
        </w:rPr>
        <w:t> </w:t>
      </w:r>
      <w:r>
        <w:rPr>
          <w:sz w:val="22"/>
        </w:rPr>
        <w:t>the</w:t>
      </w:r>
      <w:r>
        <w:rPr>
          <w:spacing w:val="-5"/>
          <w:sz w:val="22"/>
        </w:rPr>
        <w:t> </w:t>
      </w:r>
      <w:r>
        <w:rPr>
          <w:sz w:val="22"/>
        </w:rPr>
        <w:t>bushfire</w:t>
      </w:r>
      <w:r>
        <w:rPr>
          <w:spacing w:val="-6"/>
          <w:sz w:val="22"/>
        </w:rPr>
        <w:t> </w:t>
      </w:r>
      <w:r>
        <w:rPr>
          <w:sz w:val="22"/>
        </w:rPr>
        <w:t>risk; </w:t>
      </w:r>
      <w:r>
        <w:rPr>
          <w:spacing w:val="-5"/>
          <w:sz w:val="22"/>
        </w:rPr>
        <w:t>and</w:t>
      </w:r>
    </w:p>
    <w:p>
      <w:pPr>
        <w:pStyle w:val="ListParagraph"/>
        <w:numPr>
          <w:ilvl w:val="0"/>
          <w:numId w:val="68"/>
        </w:numPr>
        <w:tabs>
          <w:tab w:pos="590" w:val="left" w:leader="none"/>
        </w:tabs>
        <w:spacing w:line="240" w:lineRule="auto" w:before="66" w:after="0"/>
        <w:ind w:left="590" w:right="0" w:hanging="358"/>
        <w:jc w:val="left"/>
        <w:rPr>
          <w:sz w:val="22"/>
        </w:rPr>
      </w:pPr>
      <w:r>
        <w:rPr>
          <w:sz w:val="22"/>
        </w:rPr>
        <w:t>the</w:t>
      </w:r>
      <w:r>
        <w:rPr>
          <w:spacing w:val="-7"/>
          <w:sz w:val="22"/>
        </w:rPr>
        <w:t> </w:t>
      </w:r>
      <w:r>
        <w:rPr>
          <w:sz w:val="22"/>
        </w:rPr>
        <w:t>benefits</w:t>
      </w:r>
      <w:r>
        <w:rPr>
          <w:spacing w:val="-7"/>
          <w:sz w:val="22"/>
        </w:rPr>
        <w:t> </w:t>
      </w:r>
      <w:r>
        <w:rPr>
          <w:sz w:val="22"/>
        </w:rPr>
        <w:t>associated</w:t>
      </w:r>
      <w:r>
        <w:rPr>
          <w:spacing w:val="-9"/>
          <w:sz w:val="22"/>
        </w:rPr>
        <w:t> </w:t>
      </w:r>
      <w:r>
        <w:rPr>
          <w:sz w:val="22"/>
        </w:rPr>
        <w:t>with</w:t>
      </w:r>
      <w:r>
        <w:rPr>
          <w:spacing w:val="-5"/>
          <w:sz w:val="22"/>
        </w:rPr>
        <w:t> </w:t>
      </w:r>
      <w:r>
        <w:rPr>
          <w:sz w:val="22"/>
        </w:rPr>
        <w:t>an</w:t>
      </w:r>
      <w:r>
        <w:rPr>
          <w:spacing w:val="-5"/>
          <w:sz w:val="22"/>
        </w:rPr>
        <w:t> </w:t>
      </w:r>
      <w:r>
        <w:rPr>
          <w:sz w:val="22"/>
        </w:rPr>
        <w:t>improvement</w:t>
      </w:r>
      <w:r>
        <w:rPr>
          <w:spacing w:val="-6"/>
          <w:sz w:val="22"/>
        </w:rPr>
        <w:t> </w:t>
      </w:r>
      <w:r>
        <w:rPr>
          <w:sz w:val="22"/>
        </w:rPr>
        <w:t>in</w:t>
      </w:r>
      <w:r>
        <w:rPr>
          <w:spacing w:val="-5"/>
          <w:sz w:val="22"/>
        </w:rPr>
        <w:t> </w:t>
      </w:r>
      <w:r>
        <w:rPr>
          <w:sz w:val="22"/>
        </w:rPr>
        <w:t>the</w:t>
      </w:r>
      <w:r>
        <w:rPr>
          <w:spacing w:val="-5"/>
          <w:sz w:val="22"/>
        </w:rPr>
        <w:t> </w:t>
      </w:r>
      <w:r>
        <w:rPr>
          <w:sz w:val="22"/>
        </w:rPr>
        <w:t>reliability</w:t>
      </w:r>
      <w:r>
        <w:rPr>
          <w:spacing w:val="-6"/>
          <w:sz w:val="22"/>
        </w:rPr>
        <w:t> </w:t>
      </w:r>
      <w:r>
        <w:rPr>
          <w:sz w:val="22"/>
        </w:rPr>
        <w:t>of</w:t>
      </w:r>
      <w:r>
        <w:rPr>
          <w:spacing w:val="-4"/>
          <w:sz w:val="22"/>
        </w:rPr>
        <w:t> </w:t>
      </w:r>
      <w:r>
        <w:rPr>
          <w:spacing w:val="-2"/>
          <w:sz w:val="22"/>
        </w:rPr>
        <w:t>supply.</w:t>
      </w:r>
    </w:p>
    <w:p>
      <w:pPr>
        <w:pStyle w:val="BodyText"/>
        <w:rPr>
          <w:sz w:val="25"/>
        </w:rPr>
      </w:pPr>
    </w:p>
    <w:p>
      <w:pPr>
        <w:pStyle w:val="BodyText"/>
        <w:spacing w:line="288" w:lineRule="auto"/>
        <w:ind w:left="232" w:right="306"/>
      </w:pPr>
      <w:r>
        <w:rPr/>
        <w:t>The costs and benefits were modelled over a 40 year period with a discount rate of 4.0 per cent. REFCLs</w:t>
      </w:r>
      <w:r>
        <w:rPr>
          <w:spacing w:val="-2"/>
        </w:rPr>
        <w:t> </w:t>
      </w:r>
      <w:r>
        <w:rPr/>
        <w:t>were</w:t>
      </w:r>
      <w:r>
        <w:rPr>
          <w:spacing w:val="-4"/>
        </w:rPr>
        <w:t> </w:t>
      </w:r>
      <w:r>
        <w:rPr/>
        <w:t>found</w:t>
      </w:r>
      <w:r>
        <w:rPr>
          <w:spacing w:val="-4"/>
        </w:rPr>
        <w:t> </w:t>
      </w:r>
      <w:r>
        <w:rPr/>
        <w:t>to</w:t>
      </w:r>
      <w:r>
        <w:rPr>
          <w:spacing w:val="-2"/>
        </w:rPr>
        <w:t> </w:t>
      </w:r>
      <w:r>
        <w:rPr/>
        <w:t>be</w:t>
      </w:r>
      <w:r>
        <w:rPr>
          <w:spacing w:val="-2"/>
        </w:rPr>
        <w:t> </w:t>
      </w:r>
      <w:r>
        <w:rPr/>
        <w:t>the</w:t>
      </w:r>
      <w:r>
        <w:rPr>
          <w:spacing w:val="-3"/>
        </w:rPr>
        <w:t> </w:t>
      </w:r>
      <w:r>
        <w:rPr/>
        <w:t>most</w:t>
      </w:r>
      <w:r>
        <w:rPr>
          <w:spacing w:val="-3"/>
        </w:rPr>
        <w:t> </w:t>
      </w:r>
      <w:r>
        <w:rPr/>
        <w:t>cost-effective</w:t>
      </w:r>
      <w:r>
        <w:rPr>
          <w:spacing w:val="-2"/>
        </w:rPr>
        <w:t> </w:t>
      </w:r>
      <w:r>
        <w:rPr/>
        <w:t>means</w:t>
      </w:r>
      <w:r>
        <w:rPr>
          <w:spacing w:val="-2"/>
        </w:rPr>
        <w:t> </w:t>
      </w:r>
      <w:r>
        <w:rPr/>
        <w:t>of</w:t>
      </w:r>
      <w:r>
        <w:rPr>
          <w:spacing w:val="-3"/>
        </w:rPr>
        <w:t> </w:t>
      </w:r>
      <w:r>
        <w:rPr/>
        <w:t>reducing</w:t>
      </w:r>
      <w:r>
        <w:rPr>
          <w:spacing w:val="-2"/>
        </w:rPr>
        <w:t> </w:t>
      </w:r>
      <w:r>
        <w:rPr/>
        <w:t>risk on</w:t>
      </w:r>
      <w:r>
        <w:rPr>
          <w:spacing w:val="-2"/>
        </w:rPr>
        <w:t> </w:t>
      </w:r>
      <w:r>
        <w:rPr/>
        <w:t>polyphase</w:t>
      </w:r>
      <w:r>
        <w:rPr>
          <w:spacing w:val="-2"/>
        </w:rPr>
        <w:t> </w:t>
      </w:r>
      <w:r>
        <w:rPr/>
        <w:t>lines</w:t>
      </w:r>
      <w:r>
        <w:rPr>
          <w:spacing w:val="-1"/>
        </w:rPr>
        <w:t> </w:t>
      </w:r>
      <w:r>
        <w:rPr/>
        <w:t>and to lessen the likelihood of ignition by 70 per cent. The cost of installing REFCLs on 45 high-risk zone substations was estimated by ACIL Allen to be $151 million. ACIL Allen estimated the benefits associated with improvements in the bushfire risk and reliability of supply to be $411 million, and net benefits $260 million (ACIL Allen Consulting, 2015).</w:t>
      </w:r>
    </w:p>
    <w:p>
      <w:pPr>
        <w:pStyle w:val="BodyText"/>
        <w:spacing w:before="10"/>
        <w:rPr>
          <w:sz w:val="20"/>
        </w:rPr>
      </w:pPr>
    </w:p>
    <w:p>
      <w:pPr>
        <w:pStyle w:val="BodyText"/>
        <w:spacing w:line="288" w:lineRule="auto" w:before="1"/>
        <w:ind w:left="232" w:right="374"/>
      </w:pPr>
      <w:r>
        <w:rPr/>
        <w:t>In considering the costs and benefits of deploying REFCLs, ACIL Allen took into account the benefits</w:t>
      </w:r>
      <w:r>
        <w:rPr>
          <w:spacing w:val="-4"/>
        </w:rPr>
        <w:t> </w:t>
      </w:r>
      <w:r>
        <w:rPr/>
        <w:t>to</w:t>
      </w:r>
      <w:r>
        <w:rPr>
          <w:spacing w:val="-3"/>
        </w:rPr>
        <w:t> </w:t>
      </w:r>
      <w:r>
        <w:rPr/>
        <w:t>supply</w:t>
      </w:r>
      <w:r>
        <w:rPr>
          <w:spacing w:val="-4"/>
        </w:rPr>
        <w:t> </w:t>
      </w:r>
      <w:r>
        <w:rPr/>
        <w:t>reliability</w:t>
      </w:r>
      <w:r>
        <w:rPr>
          <w:spacing w:val="-4"/>
        </w:rPr>
        <w:t> </w:t>
      </w:r>
      <w:r>
        <w:rPr/>
        <w:t>on</w:t>
      </w:r>
      <w:r>
        <w:rPr>
          <w:spacing w:val="-2"/>
        </w:rPr>
        <w:t> </w:t>
      </w:r>
      <w:r>
        <w:rPr/>
        <w:t>high-risk</w:t>
      </w:r>
      <w:r>
        <w:rPr>
          <w:spacing w:val="-4"/>
        </w:rPr>
        <w:t> </w:t>
      </w:r>
      <w:r>
        <w:rPr/>
        <w:t>fire</w:t>
      </w:r>
      <w:r>
        <w:rPr>
          <w:spacing w:val="-4"/>
        </w:rPr>
        <w:t> </w:t>
      </w:r>
      <w:r>
        <w:rPr/>
        <w:t>days.</w:t>
      </w:r>
      <w:r>
        <w:rPr>
          <w:spacing w:val="-3"/>
        </w:rPr>
        <w:t> </w:t>
      </w:r>
      <w:r>
        <w:rPr/>
        <w:t>A</w:t>
      </w:r>
      <w:r>
        <w:rPr>
          <w:spacing w:val="-2"/>
        </w:rPr>
        <w:t> </w:t>
      </w:r>
      <w:r>
        <w:rPr/>
        <w:t>reliable</w:t>
      </w:r>
      <w:r>
        <w:rPr>
          <w:spacing w:val="-2"/>
        </w:rPr>
        <w:t> </w:t>
      </w:r>
      <w:r>
        <w:rPr/>
        <w:t>electricity</w:t>
      </w:r>
      <w:r>
        <w:rPr>
          <w:spacing w:val="-4"/>
        </w:rPr>
        <w:t> </w:t>
      </w:r>
      <w:r>
        <w:rPr/>
        <w:t>supply, particularly</w:t>
      </w:r>
      <w:r>
        <w:rPr>
          <w:spacing w:val="-4"/>
        </w:rPr>
        <w:t> </w:t>
      </w:r>
      <w:r>
        <w:rPr/>
        <w:t>on</w:t>
      </w:r>
      <w:r>
        <w:rPr>
          <w:spacing w:val="-2"/>
        </w:rPr>
        <w:t> </w:t>
      </w:r>
      <w:r>
        <w:rPr/>
        <w:t>high- risk fire days, is required by communities for equipment such as computers, radio scanners or telephones to monitor and communicate fire activity, and for pumps for fuel or water.</w:t>
      </w:r>
    </w:p>
    <w:p>
      <w:pPr>
        <w:pStyle w:val="BodyText"/>
        <w:spacing w:before="10"/>
        <w:rPr>
          <w:sz w:val="20"/>
        </w:rPr>
      </w:pPr>
    </w:p>
    <w:p>
      <w:pPr>
        <w:pStyle w:val="BodyText"/>
        <w:ind w:left="232"/>
      </w:pPr>
      <w:r>
        <w:rPr/>
        <w:t>ACIL</w:t>
      </w:r>
      <w:r>
        <w:rPr>
          <w:spacing w:val="-3"/>
        </w:rPr>
        <w:t> </w:t>
      </w:r>
      <w:r>
        <w:rPr/>
        <w:t>Allen</w:t>
      </w:r>
      <w:r>
        <w:rPr>
          <w:spacing w:val="-3"/>
        </w:rPr>
        <w:t> </w:t>
      </w:r>
      <w:r>
        <w:rPr/>
        <w:t>(2015,</w:t>
      </w:r>
      <w:r>
        <w:rPr>
          <w:spacing w:val="-4"/>
        </w:rPr>
        <w:t> </w:t>
      </w:r>
      <w:r>
        <w:rPr/>
        <w:t>p.</w:t>
      </w:r>
      <w:r>
        <w:rPr>
          <w:spacing w:val="-1"/>
        </w:rPr>
        <w:t> </w:t>
      </w:r>
      <w:r>
        <w:rPr/>
        <w:t>45)</w:t>
      </w:r>
      <w:r>
        <w:rPr>
          <w:spacing w:val="-3"/>
        </w:rPr>
        <w:t> </w:t>
      </w:r>
      <w:r>
        <w:rPr/>
        <w:t>in</w:t>
      </w:r>
      <w:r>
        <w:rPr>
          <w:spacing w:val="-3"/>
        </w:rPr>
        <w:t> </w:t>
      </w:r>
      <w:r>
        <w:rPr/>
        <w:t>its</w:t>
      </w:r>
      <w:r>
        <w:rPr>
          <w:spacing w:val="-2"/>
        </w:rPr>
        <w:t> </w:t>
      </w:r>
      <w:r>
        <w:rPr/>
        <w:t>RIS</w:t>
      </w:r>
      <w:r>
        <w:rPr>
          <w:spacing w:val="-5"/>
        </w:rPr>
        <w:t> </w:t>
      </w:r>
      <w:r>
        <w:rPr>
          <w:spacing w:val="-2"/>
        </w:rPr>
        <w:t>notes:</w:t>
      </w:r>
    </w:p>
    <w:p>
      <w:pPr>
        <w:pStyle w:val="BodyText"/>
        <w:spacing w:before="4"/>
        <w:rPr>
          <w:sz w:val="25"/>
        </w:rPr>
      </w:pPr>
    </w:p>
    <w:p>
      <w:pPr>
        <w:spacing w:line="288" w:lineRule="auto" w:before="0"/>
        <w:ind w:left="799" w:right="951" w:firstLine="0"/>
        <w:jc w:val="left"/>
        <w:rPr>
          <w:i/>
          <w:sz w:val="22"/>
        </w:rPr>
      </w:pPr>
      <w:r>
        <w:rPr>
          <w:i/>
          <w:sz w:val="22"/>
        </w:rPr>
        <w:t>“Improved</w:t>
      </w:r>
      <w:r>
        <w:rPr>
          <w:i/>
          <w:spacing w:val="-4"/>
          <w:sz w:val="22"/>
        </w:rPr>
        <w:t> </w:t>
      </w:r>
      <w:r>
        <w:rPr>
          <w:i/>
          <w:sz w:val="22"/>
        </w:rPr>
        <w:t>supply</w:t>
      </w:r>
      <w:r>
        <w:rPr>
          <w:i/>
          <w:spacing w:val="-4"/>
          <w:sz w:val="22"/>
        </w:rPr>
        <w:t> </w:t>
      </w:r>
      <w:r>
        <w:rPr>
          <w:i/>
          <w:sz w:val="22"/>
        </w:rPr>
        <w:t>reliability</w:t>
      </w:r>
      <w:r>
        <w:rPr>
          <w:i/>
          <w:spacing w:val="-1"/>
          <w:sz w:val="22"/>
        </w:rPr>
        <w:t> </w:t>
      </w:r>
      <w:r>
        <w:rPr>
          <w:i/>
          <w:sz w:val="22"/>
        </w:rPr>
        <w:t>is</w:t>
      </w:r>
      <w:r>
        <w:rPr>
          <w:i/>
          <w:spacing w:val="-4"/>
          <w:sz w:val="22"/>
        </w:rPr>
        <w:t> </w:t>
      </w:r>
      <w:r>
        <w:rPr>
          <w:i/>
          <w:sz w:val="22"/>
        </w:rPr>
        <w:t>a</w:t>
      </w:r>
      <w:r>
        <w:rPr>
          <w:i/>
          <w:spacing w:val="-4"/>
          <w:sz w:val="22"/>
        </w:rPr>
        <w:t> </w:t>
      </w:r>
      <w:r>
        <w:rPr>
          <w:i/>
          <w:sz w:val="22"/>
        </w:rPr>
        <w:t>major</w:t>
      </w:r>
      <w:r>
        <w:rPr>
          <w:i/>
          <w:spacing w:val="-3"/>
          <w:sz w:val="22"/>
        </w:rPr>
        <w:t> </w:t>
      </w:r>
      <w:r>
        <w:rPr>
          <w:i/>
          <w:sz w:val="22"/>
        </w:rPr>
        <w:t>motivator</w:t>
      </w:r>
      <w:r>
        <w:rPr>
          <w:i/>
          <w:spacing w:val="-3"/>
          <w:sz w:val="22"/>
        </w:rPr>
        <w:t> </w:t>
      </w:r>
      <w:r>
        <w:rPr>
          <w:i/>
          <w:sz w:val="22"/>
        </w:rPr>
        <w:t>of</w:t>
      </w:r>
      <w:r>
        <w:rPr>
          <w:i/>
          <w:spacing w:val="-3"/>
          <w:sz w:val="22"/>
        </w:rPr>
        <w:t> </w:t>
      </w:r>
      <w:r>
        <w:rPr>
          <w:i/>
          <w:sz w:val="22"/>
        </w:rPr>
        <w:t>utilities’</w:t>
      </w:r>
      <w:r>
        <w:rPr>
          <w:i/>
          <w:spacing w:val="-7"/>
          <w:sz w:val="22"/>
        </w:rPr>
        <w:t> </w:t>
      </w:r>
      <w:r>
        <w:rPr>
          <w:i/>
          <w:sz w:val="22"/>
        </w:rPr>
        <w:t>adoption</w:t>
      </w:r>
      <w:r>
        <w:rPr>
          <w:i/>
          <w:spacing w:val="-2"/>
          <w:sz w:val="22"/>
        </w:rPr>
        <w:t> </w:t>
      </w:r>
      <w:r>
        <w:rPr>
          <w:i/>
          <w:sz w:val="22"/>
        </w:rPr>
        <w:t>of</w:t>
      </w:r>
      <w:r>
        <w:rPr>
          <w:i/>
          <w:spacing w:val="-1"/>
          <w:sz w:val="22"/>
        </w:rPr>
        <w:t> </w:t>
      </w:r>
      <w:r>
        <w:rPr>
          <w:i/>
          <w:sz w:val="22"/>
        </w:rPr>
        <w:t>REFCLs</w:t>
      </w:r>
      <w:r>
        <w:rPr>
          <w:i/>
          <w:spacing w:val="-2"/>
          <w:sz w:val="22"/>
        </w:rPr>
        <w:t> </w:t>
      </w:r>
      <w:r>
        <w:rPr>
          <w:i/>
          <w:sz w:val="22"/>
        </w:rPr>
        <w:t>around the world. Experience at Frankston South supports published studies that show substantial improvements in reliability indices such as SAIDI [the minutes off supply] and MAIFI [the frequency of momentary interruptions] following REFCL installation”.</w:t>
      </w:r>
    </w:p>
    <w:p>
      <w:pPr>
        <w:pStyle w:val="BodyText"/>
        <w:spacing w:before="10"/>
        <w:rPr>
          <w:i/>
          <w:sz w:val="20"/>
        </w:rPr>
      </w:pPr>
    </w:p>
    <w:p>
      <w:pPr>
        <w:pStyle w:val="BodyText"/>
        <w:spacing w:line="288" w:lineRule="auto" w:before="1"/>
        <w:ind w:left="232" w:right="337"/>
      </w:pPr>
      <w:r>
        <w:rPr/>
        <w:t>More</w:t>
      </w:r>
      <w:r>
        <w:rPr>
          <w:spacing w:val="-2"/>
        </w:rPr>
        <w:t> </w:t>
      </w:r>
      <w:r>
        <w:rPr/>
        <w:t>recent</w:t>
      </w:r>
      <w:r>
        <w:rPr>
          <w:spacing w:val="-2"/>
        </w:rPr>
        <w:t> </w:t>
      </w:r>
      <w:r>
        <w:rPr/>
        <w:t>experience</w:t>
      </w:r>
      <w:r>
        <w:rPr>
          <w:spacing w:val="-5"/>
        </w:rPr>
        <w:t> </w:t>
      </w:r>
      <w:r>
        <w:rPr/>
        <w:t>has</w:t>
      </w:r>
      <w:r>
        <w:rPr>
          <w:spacing w:val="-2"/>
        </w:rPr>
        <w:t> </w:t>
      </w:r>
      <w:r>
        <w:rPr/>
        <w:t>shown</w:t>
      </w:r>
      <w:r>
        <w:rPr>
          <w:spacing w:val="-3"/>
        </w:rPr>
        <w:t> </w:t>
      </w:r>
      <w:r>
        <w:rPr/>
        <w:t>that</w:t>
      </w:r>
      <w:r>
        <w:rPr>
          <w:spacing w:val="-4"/>
        </w:rPr>
        <w:t> </w:t>
      </w:r>
      <w:r>
        <w:rPr/>
        <w:t>the</w:t>
      </w:r>
      <w:r>
        <w:rPr>
          <w:spacing w:val="-5"/>
        </w:rPr>
        <w:t> </w:t>
      </w:r>
      <w:r>
        <w:rPr/>
        <w:t>costs</w:t>
      </w:r>
      <w:r>
        <w:rPr>
          <w:spacing w:val="-5"/>
        </w:rPr>
        <w:t> </w:t>
      </w:r>
      <w:r>
        <w:rPr/>
        <w:t>of</w:t>
      </w:r>
      <w:r>
        <w:rPr>
          <w:spacing w:val="-1"/>
        </w:rPr>
        <w:t> </w:t>
      </w:r>
      <w:r>
        <w:rPr/>
        <w:t>deploying</w:t>
      </w:r>
      <w:r>
        <w:rPr>
          <w:spacing w:val="-1"/>
        </w:rPr>
        <w:t> </w:t>
      </w:r>
      <w:r>
        <w:rPr/>
        <w:t>REFCLs</w:t>
      </w:r>
      <w:r>
        <w:rPr>
          <w:spacing w:val="-3"/>
        </w:rPr>
        <w:t> </w:t>
      </w:r>
      <w:r>
        <w:rPr/>
        <w:t>will</w:t>
      </w:r>
      <w:r>
        <w:rPr>
          <w:spacing w:val="-3"/>
        </w:rPr>
        <w:t> </w:t>
      </w:r>
      <w:r>
        <w:rPr/>
        <w:t>be</w:t>
      </w:r>
      <w:r>
        <w:rPr>
          <w:spacing w:val="-3"/>
        </w:rPr>
        <w:t> </w:t>
      </w:r>
      <w:r>
        <w:rPr/>
        <w:t>considerably</w:t>
      </w:r>
      <w:r>
        <w:rPr>
          <w:spacing w:val="-5"/>
        </w:rPr>
        <w:t> </w:t>
      </w:r>
      <w:r>
        <w:rPr/>
        <w:t>higher than originally estimated by distribution businesses in 2015. The best currently available information on these costs comes from the AER’s decision on project funding determinations for the initial phase of REFCL installations by AusNet Services and Powercor.</w:t>
      </w:r>
    </w:p>
    <w:p>
      <w:pPr>
        <w:pStyle w:val="BodyText"/>
        <w:spacing w:before="9"/>
        <w:rPr>
          <w:sz w:val="18"/>
        </w:rPr>
      </w:pPr>
      <w:r>
        <w:rPr/>
        <mc:AlternateContent>
          <mc:Choice Requires="wps">
            <w:drawing>
              <wp:anchor distT="0" distB="0" distL="0" distR="0" allowOverlap="1" layoutInCell="1" locked="0" behindDoc="1" simplePos="0" relativeHeight="487644160">
                <wp:simplePos x="0" y="0"/>
                <wp:positionH relativeFrom="page">
                  <wp:posOffset>719327</wp:posOffset>
                </wp:positionH>
                <wp:positionV relativeFrom="paragraph">
                  <wp:posOffset>152450</wp:posOffset>
                </wp:positionV>
                <wp:extent cx="5870575" cy="2807970"/>
                <wp:effectExtent l="0" t="0" r="0" b="0"/>
                <wp:wrapTopAndBottom/>
                <wp:docPr id="173" name="Textbox 173"/>
                <wp:cNvGraphicFramePr>
                  <a:graphicFrameLocks/>
                </wp:cNvGraphicFramePr>
                <a:graphic>
                  <a:graphicData uri="http://schemas.microsoft.com/office/word/2010/wordprocessingShape">
                    <wps:wsp>
                      <wps:cNvPr id="173" name="Textbox 173"/>
                      <wps:cNvSpPr txBox="1"/>
                      <wps:spPr>
                        <a:xfrm>
                          <a:off x="0" y="0"/>
                          <a:ext cx="5870575" cy="2807970"/>
                        </a:xfrm>
                        <a:prstGeom prst="rect">
                          <a:avLst/>
                        </a:prstGeom>
                        <a:solidFill>
                          <a:srgbClr val="CDEBEB"/>
                        </a:solidFill>
                      </wps:spPr>
                      <wps:txbx>
                        <w:txbxContent>
                          <w:p>
                            <w:pPr>
                              <w:spacing w:line="288" w:lineRule="auto" w:before="60"/>
                              <w:ind w:left="112" w:right="0" w:firstLine="0"/>
                              <w:jc w:val="left"/>
                              <w:rPr>
                                <w:b/>
                                <w:color w:val="000000"/>
                                <w:sz w:val="22"/>
                              </w:rPr>
                            </w:pPr>
                            <w:r>
                              <w:rPr>
                                <w:b/>
                                <w:color w:val="000000"/>
                                <w:sz w:val="22"/>
                              </w:rPr>
                              <w:t>Box</w:t>
                            </w:r>
                            <w:r>
                              <w:rPr>
                                <w:b/>
                                <w:color w:val="000000"/>
                                <w:spacing w:val="-3"/>
                                <w:sz w:val="22"/>
                              </w:rPr>
                              <w:t> </w:t>
                            </w:r>
                            <w:r>
                              <w:rPr>
                                <w:b/>
                                <w:color w:val="000000"/>
                                <w:sz w:val="22"/>
                              </w:rPr>
                              <w:t>18: AER</w:t>
                            </w:r>
                            <w:r>
                              <w:rPr>
                                <w:b/>
                                <w:color w:val="000000"/>
                                <w:spacing w:val="-4"/>
                                <w:sz w:val="22"/>
                              </w:rPr>
                              <w:t> </w:t>
                            </w:r>
                            <w:r>
                              <w:rPr>
                                <w:b/>
                                <w:color w:val="000000"/>
                                <w:sz w:val="22"/>
                              </w:rPr>
                              <w:t>response</w:t>
                            </w:r>
                            <w:r>
                              <w:rPr>
                                <w:b/>
                                <w:color w:val="000000"/>
                                <w:spacing w:val="-4"/>
                                <w:sz w:val="22"/>
                              </w:rPr>
                              <w:t> </w:t>
                            </w:r>
                            <w:r>
                              <w:rPr>
                                <w:b/>
                                <w:color w:val="000000"/>
                                <w:sz w:val="22"/>
                              </w:rPr>
                              <w:t>to</w:t>
                            </w:r>
                            <w:r>
                              <w:rPr>
                                <w:b/>
                                <w:color w:val="000000"/>
                                <w:spacing w:val="-4"/>
                                <w:sz w:val="22"/>
                              </w:rPr>
                              <w:t> </w:t>
                            </w:r>
                            <w:r>
                              <w:rPr>
                                <w:b/>
                                <w:color w:val="000000"/>
                                <w:sz w:val="22"/>
                              </w:rPr>
                              <w:t>the</w:t>
                            </w:r>
                            <w:r>
                              <w:rPr>
                                <w:b/>
                                <w:color w:val="000000"/>
                                <w:spacing w:val="-4"/>
                                <w:sz w:val="22"/>
                              </w:rPr>
                              <w:t> </w:t>
                            </w:r>
                            <w:r>
                              <w:rPr>
                                <w:b/>
                                <w:color w:val="000000"/>
                                <w:sz w:val="22"/>
                              </w:rPr>
                              <w:t>AusNet</w:t>
                            </w:r>
                            <w:r>
                              <w:rPr>
                                <w:b/>
                                <w:color w:val="000000"/>
                                <w:spacing w:val="-3"/>
                                <w:sz w:val="22"/>
                              </w:rPr>
                              <w:t> </w:t>
                            </w:r>
                            <w:r>
                              <w:rPr>
                                <w:b/>
                                <w:color w:val="000000"/>
                                <w:sz w:val="22"/>
                              </w:rPr>
                              <w:t>Services</w:t>
                            </w:r>
                            <w:r>
                              <w:rPr>
                                <w:b/>
                                <w:color w:val="000000"/>
                                <w:spacing w:val="-2"/>
                                <w:sz w:val="22"/>
                              </w:rPr>
                              <w:t> </w:t>
                            </w:r>
                            <w:r>
                              <w:rPr>
                                <w:b/>
                                <w:color w:val="000000"/>
                                <w:sz w:val="22"/>
                              </w:rPr>
                              <w:t>and</w:t>
                            </w:r>
                            <w:r>
                              <w:rPr>
                                <w:b/>
                                <w:color w:val="000000"/>
                                <w:spacing w:val="-4"/>
                                <w:sz w:val="22"/>
                              </w:rPr>
                              <w:t> </w:t>
                            </w:r>
                            <w:r>
                              <w:rPr>
                                <w:b/>
                                <w:color w:val="000000"/>
                                <w:sz w:val="22"/>
                              </w:rPr>
                              <w:t>Powercor</w:t>
                            </w:r>
                            <w:r>
                              <w:rPr>
                                <w:b/>
                                <w:color w:val="000000"/>
                                <w:spacing w:val="-5"/>
                                <w:sz w:val="22"/>
                              </w:rPr>
                              <w:t> </w:t>
                            </w:r>
                            <w:r>
                              <w:rPr>
                                <w:b/>
                                <w:color w:val="000000"/>
                                <w:sz w:val="22"/>
                              </w:rPr>
                              <w:t>contingent</w:t>
                            </w:r>
                            <w:r>
                              <w:rPr>
                                <w:b/>
                                <w:color w:val="000000"/>
                                <w:spacing w:val="-3"/>
                                <w:sz w:val="22"/>
                              </w:rPr>
                              <w:t> </w:t>
                            </w:r>
                            <w:r>
                              <w:rPr>
                                <w:b/>
                                <w:color w:val="000000"/>
                                <w:sz w:val="22"/>
                              </w:rPr>
                              <w:t>project </w:t>
                            </w:r>
                            <w:r>
                              <w:rPr>
                                <w:b/>
                                <w:color w:val="000000"/>
                                <w:spacing w:val="-2"/>
                                <w:sz w:val="22"/>
                              </w:rPr>
                              <w:t>application</w:t>
                            </w:r>
                          </w:p>
                          <w:p>
                            <w:pPr>
                              <w:pStyle w:val="BodyText"/>
                              <w:spacing w:before="10"/>
                              <w:rPr>
                                <w:b/>
                                <w:color w:val="000000"/>
                                <w:sz w:val="20"/>
                              </w:rPr>
                            </w:pPr>
                          </w:p>
                          <w:p>
                            <w:pPr>
                              <w:pStyle w:val="BodyText"/>
                              <w:spacing w:line="288" w:lineRule="auto"/>
                              <w:ind w:left="112" w:right="177"/>
                              <w:rPr>
                                <w:color w:val="000000"/>
                              </w:rPr>
                            </w:pPr>
                            <w:r>
                              <w:rPr>
                                <w:color w:val="000000"/>
                              </w:rPr>
                              <w:t>In 2017, AusNet Services and Powercor submitted contingent project applications to the AER for funding to install the first tranche of REFCLs. In its response, the AER identified points</w:t>
                            </w:r>
                            <w:r>
                              <w:rPr>
                                <w:color w:val="000000"/>
                                <w:spacing w:val="-2"/>
                              </w:rPr>
                              <w:t> </w:t>
                            </w:r>
                            <w:r>
                              <w:rPr>
                                <w:color w:val="000000"/>
                              </w:rPr>
                              <w:t>of</w:t>
                            </w:r>
                            <w:r>
                              <w:rPr>
                                <w:color w:val="000000"/>
                                <w:spacing w:val="-1"/>
                              </w:rPr>
                              <w:t> </w:t>
                            </w:r>
                            <w:r>
                              <w:rPr>
                                <w:color w:val="000000"/>
                              </w:rPr>
                              <w:t>difference</w:t>
                            </w:r>
                            <w:r>
                              <w:rPr>
                                <w:color w:val="000000"/>
                                <w:spacing w:val="-5"/>
                              </w:rPr>
                              <w:t> </w:t>
                            </w:r>
                            <w:r>
                              <w:rPr>
                                <w:color w:val="000000"/>
                              </w:rPr>
                              <w:t>between</w:t>
                            </w:r>
                            <w:r>
                              <w:rPr>
                                <w:color w:val="000000"/>
                                <w:spacing w:val="-3"/>
                              </w:rPr>
                              <w:t> </w:t>
                            </w:r>
                            <w:r>
                              <w:rPr>
                                <w:color w:val="000000"/>
                              </w:rPr>
                              <w:t>their</w:t>
                            </w:r>
                            <w:r>
                              <w:rPr>
                                <w:color w:val="000000"/>
                                <w:spacing w:val="-4"/>
                              </w:rPr>
                              <w:t> </w:t>
                            </w:r>
                            <w:r>
                              <w:rPr>
                                <w:color w:val="000000"/>
                              </w:rPr>
                              <w:t>cost</w:t>
                            </w:r>
                            <w:r>
                              <w:rPr>
                                <w:color w:val="000000"/>
                                <w:spacing w:val="-1"/>
                              </w:rPr>
                              <w:t> </w:t>
                            </w:r>
                            <w:r>
                              <w:rPr>
                                <w:color w:val="000000"/>
                              </w:rPr>
                              <w:t>estimations</w:t>
                            </w:r>
                            <w:r>
                              <w:rPr>
                                <w:color w:val="000000"/>
                                <w:spacing w:val="-2"/>
                              </w:rPr>
                              <w:t> </w:t>
                            </w:r>
                            <w:r>
                              <w:rPr>
                                <w:color w:val="000000"/>
                              </w:rPr>
                              <w:t>and</w:t>
                            </w:r>
                            <w:r>
                              <w:rPr>
                                <w:color w:val="000000"/>
                                <w:spacing w:val="-5"/>
                              </w:rPr>
                              <w:t> </w:t>
                            </w:r>
                            <w:r>
                              <w:rPr>
                                <w:color w:val="000000"/>
                              </w:rPr>
                              <w:t>the</w:t>
                            </w:r>
                            <w:r>
                              <w:rPr>
                                <w:color w:val="000000"/>
                                <w:spacing w:val="-3"/>
                              </w:rPr>
                              <w:t> </w:t>
                            </w:r>
                            <w:r>
                              <w:rPr>
                                <w:color w:val="000000"/>
                              </w:rPr>
                              <w:t>RIS</w:t>
                            </w:r>
                            <w:r>
                              <w:rPr>
                                <w:color w:val="000000"/>
                                <w:spacing w:val="-3"/>
                              </w:rPr>
                              <w:t> </w:t>
                            </w:r>
                            <w:r>
                              <w:rPr>
                                <w:color w:val="000000"/>
                              </w:rPr>
                              <w:t>conducted</w:t>
                            </w:r>
                            <w:r>
                              <w:rPr>
                                <w:color w:val="000000"/>
                                <w:spacing w:val="-5"/>
                              </w:rPr>
                              <w:t> </w:t>
                            </w:r>
                            <w:r>
                              <w:rPr>
                                <w:color w:val="000000"/>
                              </w:rPr>
                              <w:t>by</w:t>
                            </w:r>
                            <w:r>
                              <w:rPr>
                                <w:color w:val="000000"/>
                                <w:spacing w:val="-5"/>
                              </w:rPr>
                              <w:t> </w:t>
                            </w:r>
                            <w:r>
                              <w:rPr>
                                <w:color w:val="000000"/>
                              </w:rPr>
                              <w:t>ACIL</w:t>
                            </w:r>
                            <w:r>
                              <w:rPr>
                                <w:color w:val="000000"/>
                                <w:spacing w:val="-3"/>
                              </w:rPr>
                              <w:t> </w:t>
                            </w:r>
                            <w:r>
                              <w:rPr>
                                <w:color w:val="000000"/>
                              </w:rPr>
                              <w:t>Allen</w:t>
                            </w:r>
                            <w:r>
                              <w:rPr>
                                <w:color w:val="000000"/>
                                <w:spacing w:val="-3"/>
                              </w:rPr>
                              <w:t> </w:t>
                            </w:r>
                            <w:r>
                              <w:rPr>
                                <w:color w:val="000000"/>
                              </w:rPr>
                              <w:t>in 2015. The AER found there was no disparity between item costs, but there were notable differences in the amount of work required to the network to accommodate the REFCL:</w:t>
                            </w:r>
                          </w:p>
                          <w:p>
                            <w:pPr>
                              <w:pStyle w:val="BodyText"/>
                              <w:spacing w:before="9"/>
                              <w:rPr>
                                <w:color w:val="000000"/>
                                <w:sz w:val="20"/>
                              </w:rPr>
                            </w:pPr>
                          </w:p>
                          <w:p>
                            <w:pPr>
                              <w:spacing w:line="288" w:lineRule="auto" w:before="0"/>
                              <w:ind w:left="566" w:right="395" w:firstLine="0"/>
                              <w:jc w:val="left"/>
                              <w:rPr>
                                <w:color w:val="000000"/>
                                <w:sz w:val="22"/>
                              </w:rPr>
                            </w:pPr>
                            <w:r>
                              <w:rPr>
                                <w:i/>
                                <w:color w:val="000000"/>
                                <w:sz w:val="22"/>
                              </w:rPr>
                              <w:t>“The AER has found there is no material disparity between the RIS and the contingent project application for the costing of specific items. However, we have found</w:t>
                            </w:r>
                            <w:r>
                              <w:rPr>
                                <w:i/>
                                <w:color w:val="000000"/>
                                <w:spacing w:val="-3"/>
                                <w:sz w:val="22"/>
                              </w:rPr>
                              <w:t> </w:t>
                            </w:r>
                            <w:r>
                              <w:rPr>
                                <w:i/>
                                <w:color w:val="000000"/>
                                <w:sz w:val="22"/>
                              </w:rPr>
                              <w:t>that</w:t>
                            </w:r>
                            <w:r>
                              <w:rPr>
                                <w:i/>
                                <w:color w:val="000000"/>
                                <w:spacing w:val="-2"/>
                                <w:sz w:val="22"/>
                              </w:rPr>
                              <w:t> </w:t>
                            </w:r>
                            <w:r>
                              <w:rPr>
                                <w:i/>
                                <w:color w:val="000000"/>
                                <w:sz w:val="22"/>
                              </w:rPr>
                              <w:t>there</w:t>
                            </w:r>
                            <w:r>
                              <w:rPr>
                                <w:i/>
                                <w:color w:val="000000"/>
                                <w:spacing w:val="-1"/>
                                <w:sz w:val="22"/>
                              </w:rPr>
                              <w:t> </w:t>
                            </w:r>
                            <w:r>
                              <w:rPr>
                                <w:i/>
                                <w:color w:val="000000"/>
                                <w:sz w:val="22"/>
                              </w:rPr>
                              <w:t>are</w:t>
                            </w:r>
                            <w:r>
                              <w:rPr>
                                <w:i/>
                                <w:color w:val="000000"/>
                                <w:spacing w:val="-1"/>
                                <w:sz w:val="22"/>
                              </w:rPr>
                              <w:t> </w:t>
                            </w:r>
                            <w:r>
                              <w:rPr>
                                <w:i/>
                                <w:color w:val="000000"/>
                                <w:sz w:val="22"/>
                              </w:rPr>
                              <w:t>departures</w:t>
                            </w:r>
                            <w:r>
                              <w:rPr>
                                <w:i/>
                                <w:color w:val="000000"/>
                                <w:spacing w:val="-1"/>
                                <w:sz w:val="22"/>
                              </w:rPr>
                              <w:t> </w:t>
                            </w:r>
                            <w:r>
                              <w:rPr>
                                <w:i/>
                                <w:color w:val="000000"/>
                                <w:sz w:val="22"/>
                              </w:rPr>
                              <w:t>in</w:t>
                            </w:r>
                            <w:r>
                              <w:rPr>
                                <w:i/>
                                <w:color w:val="000000"/>
                                <w:spacing w:val="-3"/>
                                <w:sz w:val="22"/>
                              </w:rPr>
                              <w:t> </w:t>
                            </w:r>
                            <w:r>
                              <w:rPr>
                                <w:i/>
                                <w:color w:val="000000"/>
                                <w:sz w:val="22"/>
                              </w:rPr>
                              <w:t>the</w:t>
                            </w:r>
                            <w:r>
                              <w:rPr>
                                <w:i/>
                                <w:color w:val="000000"/>
                                <w:spacing w:val="-3"/>
                                <w:sz w:val="22"/>
                              </w:rPr>
                              <w:t> </w:t>
                            </w:r>
                            <w:r>
                              <w:rPr>
                                <w:i/>
                                <w:color w:val="000000"/>
                                <w:sz w:val="22"/>
                              </w:rPr>
                              <w:t>volumes</w:t>
                            </w:r>
                            <w:r>
                              <w:rPr>
                                <w:i/>
                                <w:color w:val="000000"/>
                                <w:spacing w:val="-3"/>
                                <w:sz w:val="22"/>
                              </w:rPr>
                              <w:t> </w:t>
                            </w:r>
                            <w:r>
                              <w:rPr>
                                <w:i/>
                                <w:color w:val="000000"/>
                                <w:sz w:val="22"/>
                              </w:rPr>
                              <w:t>of</w:t>
                            </w:r>
                            <w:r>
                              <w:rPr>
                                <w:i/>
                                <w:color w:val="000000"/>
                                <w:spacing w:val="-2"/>
                                <w:sz w:val="22"/>
                              </w:rPr>
                              <w:t> </w:t>
                            </w:r>
                            <w:r>
                              <w:rPr>
                                <w:i/>
                                <w:color w:val="000000"/>
                                <w:sz w:val="22"/>
                              </w:rPr>
                              <w:t>work</w:t>
                            </w:r>
                            <w:r>
                              <w:rPr>
                                <w:i/>
                                <w:color w:val="000000"/>
                                <w:spacing w:val="-3"/>
                                <w:sz w:val="22"/>
                              </w:rPr>
                              <w:t> </w:t>
                            </w:r>
                            <w:r>
                              <w:rPr>
                                <w:i/>
                                <w:color w:val="000000"/>
                                <w:sz w:val="22"/>
                              </w:rPr>
                              <w:t>associated</w:t>
                            </w:r>
                            <w:r>
                              <w:rPr>
                                <w:i/>
                                <w:color w:val="000000"/>
                                <w:spacing w:val="-5"/>
                                <w:sz w:val="22"/>
                              </w:rPr>
                              <w:t> </w:t>
                            </w:r>
                            <w:r>
                              <w:rPr>
                                <w:i/>
                                <w:color w:val="000000"/>
                                <w:sz w:val="22"/>
                              </w:rPr>
                              <w:t>with</w:t>
                            </w:r>
                            <w:r>
                              <w:rPr>
                                <w:i/>
                                <w:color w:val="000000"/>
                                <w:spacing w:val="-1"/>
                                <w:sz w:val="22"/>
                              </w:rPr>
                              <w:t> </w:t>
                            </w:r>
                            <w:r>
                              <w:rPr>
                                <w:i/>
                                <w:color w:val="000000"/>
                                <w:sz w:val="22"/>
                              </w:rPr>
                              <w:t>a</w:t>
                            </w:r>
                            <w:r>
                              <w:rPr>
                                <w:i/>
                                <w:color w:val="000000"/>
                                <w:spacing w:val="-5"/>
                                <w:sz w:val="22"/>
                              </w:rPr>
                              <w:t> </w:t>
                            </w:r>
                            <w:r>
                              <w:rPr>
                                <w:i/>
                                <w:color w:val="000000"/>
                                <w:sz w:val="22"/>
                              </w:rPr>
                              <w:t>number</w:t>
                            </w:r>
                            <w:r>
                              <w:rPr>
                                <w:i/>
                                <w:color w:val="000000"/>
                                <w:spacing w:val="-2"/>
                                <w:sz w:val="22"/>
                              </w:rPr>
                              <w:t> </w:t>
                            </w:r>
                            <w:r>
                              <w:rPr>
                                <w:i/>
                                <w:color w:val="000000"/>
                                <w:sz w:val="22"/>
                              </w:rPr>
                              <w:t>of items, which has significantly affected costs.” </w:t>
                            </w:r>
                            <w:r>
                              <w:rPr>
                                <w:color w:val="000000"/>
                                <w:sz w:val="22"/>
                              </w:rPr>
                              <w:t>(AER, 2017, p. 16)</w:t>
                            </w:r>
                          </w:p>
                          <w:p>
                            <w:pPr>
                              <w:pStyle w:val="BodyText"/>
                              <w:spacing w:before="10"/>
                              <w:rPr>
                                <w:color w:val="000000"/>
                                <w:sz w:val="20"/>
                              </w:rPr>
                            </w:pPr>
                          </w:p>
                          <w:p>
                            <w:pPr>
                              <w:pStyle w:val="BodyText"/>
                              <w:ind w:left="112"/>
                              <w:rPr>
                                <w:color w:val="000000"/>
                              </w:rPr>
                            </w:pPr>
                            <w:r>
                              <w:rPr>
                                <w:color w:val="000000"/>
                              </w:rPr>
                              <w:t>The</w:t>
                            </w:r>
                            <w:r>
                              <w:rPr>
                                <w:color w:val="000000"/>
                                <w:spacing w:val="-8"/>
                              </w:rPr>
                              <w:t> </w:t>
                            </w:r>
                            <w:r>
                              <w:rPr>
                                <w:color w:val="000000"/>
                              </w:rPr>
                              <w:t>AER</w:t>
                            </w:r>
                            <w:r>
                              <w:rPr>
                                <w:color w:val="000000"/>
                                <w:spacing w:val="-6"/>
                              </w:rPr>
                              <w:t> </w:t>
                            </w:r>
                            <w:r>
                              <w:rPr>
                                <w:color w:val="000000"/>
                              </w:rPr>
                              <w:t>approved</w:t>
                            </w:r>
                            <w:r>
                              <w:rPr>
                                <w:color w:val="000000"/>
                                <w:spacing w:val="-7"/>
                              </w:rPr>
                              <w:t> </w:t>
                            </w:r>
                            <w:r>
                              <w:rPr>
                                <w:color w:val="000000"/>
                              </w:rPr>
                              <w:t>AusNet</w:t>
                            </w:r>
                            <w:r>
                              <w:rPr>
                                <w:color w:val="000000"/>
                                <w:spacing w:val="-5"/>
                              </w:rPr>
                              <w:t> </w:t>
                            </w:r>
                            <w:r>
                              <w:rPr>
                                <w:color w:val="000000"/>
                              </w:rPr>
                              <w:t>Services</w:t>
                            </w:r>
                            <w:r>
                              <w:rPr>
                                <w:color w:val="000000"/>
                                <w:spacing w:val="-6"/>
                              </w:rPr>
                              <w:t> </w:t>
                            </w:r>
                            <w:r>
                              <w:rPr>
                                <w:color w:val="000000"/>
                              </w:rPr>
                              <w:t>and</w:t>
                            </w:r>
                            <w:r>
                              <w:rPr>
                                <w:color w:val="000000"/>
                                <w:spacing w:val="-6"/>
                              </w:rPr>
                              <w:t> </w:t>
                            </w:r>
                            <w:r>
                              <w:rPr>
                                <w:color w:val="000000"/>
                              </w:rPr>
                              <w:t>Powercor’s</w:t>
                            </w:r>
                            <w:r>
                              <w:rPr>
                                <w:color w:val="000000"/>
                                <w:spacing w:val="-6"/>
                              </w:rPr>
                              <w:t> </w:t>
                            </w:r>
                            <w:r>
                              <w:rPr>
                                <w:color w:val="000000"/>
                              </w:rPr>
                              <w:t>contingent</w:t>
                            </w:r>
                            <w:r>
                              <w:rPr>
                                <w:color w:val="000000"/>
                                <w:spacing w:val="-4"/>
                              </w:rPr>
                              <w:t> </w:t>
                            </w:r>
                            <w:r>
                              <w:rPr>
                                <w:color w:val="000000"/>
                              </w:rPr>
                              <w:t>project</w:t>
                            </w:r>
                            <w:r>
                              <w:rPr>
                                <w:color w:val="000000"/>
                                <w:spacing w:val="-4"/>
                              </w:rPr>
                              <w:t> </w:t>
                            </w:r>
                            <w:r>
                              <w:rPr>
                                <w:color w:val="000000"/>
                              </w:rPr>
                              <w:t>application</w:t>
                            </w:r>
                            <w:r>
                              <w:rPr>
                                <w:color w:val="000000"/>
                                <w:spacing w:val="-6"/>
                              </w:rPr>
                              <w:t> </w:t>
                            </w:r>
                            <w:r>
                              <w:rPr>
                                <w:color w:val="000000"/>
                                <w:spacing w:val="-2"/>
                              </w:rPr>
                              <w:t>subject</w:t>
                            </w:r>
                          </w:p>
                        </w:txbxContent>
                      </wps:txbx>
                      <wps:bodyPr wrap="square" lIns="0" tIns="0" rIns="0" bIns="0" rtlCol="0">
                        <a:noAutofit/>
                      </wps:bodyPr>
                    </wps:wsp>
                  </a:graphicData>
                </a:graphic>
              </wp:anchor>
            </w:drawing>
          </mc:Choice>
          <mc:Fallback>
            <w:pict>
              <v:shape style="position:absolute;margin-left:56.639999pt;margin-top:12.003988pt;width:462.25pt;height:221.1pt;mso-position-horizontal-relative:page;mso-position-vertical-relative:paragraph;z-index:-15672320;mso-wrap-distance-left:0;mso-wrap-distance-right:0" type="#_x0000_t202" id="docshape152" filled="true" fillcolor="#cdebeb" stroked="false">
                <v:textbox inset="0,0,0,0">
                  <w:txbxContent>
                    <w:p>
                      <w:pPr>
                        <w:spacing w:line="288" w:lineRule="auto" w:before="60"/>
                        <w:ind w:left="112" w:right="0" w:firstLine="0"/>
                        <w:jc w:val="left"/>
                        <w:rPr>
                          <w:b/>
                          <w:color w:val="000000"/>
                          <w:sz w:val="22"/>
                        </w:rPr>
                      </w:pPr>
                      <w:r>
                        <w:rPr>
                          <w:b/>
                          <w:color w:val="000000"/>
                          <w:sz w:val="22"/>
                        </w:rPr>
                        <w:t>Box</w:t>
                      </w:r>
                      <w:r>
                        <w:rPr>
                          <w:b/>
                          <w:color w:val="000000"/>
                          <w:spacing w:val="-3"/>
                          <w:sz w:val="22"/>
                        </w:rPr>
                        <w:t> </w:t>
                      </w:r>
                      <w:r>
                        <w:rPr>
                          <w:b/>
                          <w:color w:val="000000"/>
                          <w:sz w:val="22"/>
                        </w:rPr>
                        <w:t>18: AER</w:t>
                      </w:r>
                      <w:r>
                        <w:rPr>
                          <w:b/>
                          <w:color w:val="000000"/>
                          <w:spacing w:val="-4"/>
                          <w:sz w:val="22"/>
                        </w:rPr>
                        <w:t> </w:t>
                      </w:r>
                      <w:r>
                        <w:rPr>
                          <w:b/>
                          <w:color w:val="000000"/>
                          <w:sz w:val="22"/>
                        </w:rPr>
                        <w:t>response</w:t>
                      </w:r>
                      <w:r>
                        <w:rPr>
                          <w:b/>
                          <w:color w:val="000000"/>
                          <w:spacing w:val="-4"/>
                          <w:sz w:val="22"/>
                        </w:rPr>
                        <w:t> </w:t>
                      </w:r>
                      <w:r>
                        <w:rPr>
                          <w:b/>
                          <w:color w:val="000000"/>
                          <w:sz w:val="22"/>
                        </w:rPr>
                        <w:t>to</w:t>
                      </w:r>
                      <w:r>
                        <w:rPr>
                          <w:b/>
                          <w:color w:val="000000"/>
                          <w:spacing w:val="-4"/>
                          <w:sz w:val="22"/>
                        </w:rPr>
                        <w:t> </w:t>
                      </w:r>
                      <w:r>
                        <w:rPr>
                          <w:b/>
                          <w:color w:val="000000"/>
                          <w:sz w:val="22"/>
                        </w:rPr>
                        <w:t>the</w:t>
                      </w:r>
                      <w:r>
                        <w:rPr>
                          <w:b/>
                          <w:color w:val="000000"/>
                          <w:spacing w:val="-4"/>
                          <w:sz w:val="22"/>
                        </w:rPr>
                        <w:t> </w:t>
                      </w:r>
                      <w:r>
                        <w:rPr>
                          <w:b/>
                          <w:color w:val="000000"/>
                          <w:sz w:val="22"/>
                        </w:rPr>
                        <w:t>AusNet</w:t>
                      </w:r>
                      <w:r>
                        <w:rPr>
                          <w:b/>
                          <w:color w:val="000000"/>
                          <w:spacing w:val="-3"/>
                          <w:sz w:val="22"/>
                        </w:rPr>
                        <w:t> </w:t>
                      </w:r>
                      <w:r>
                        <w:rPr>
                          <w:b/>
                          <w:color w:val="000000"/>
                          <w:sz w:val="22"/>
                        </w:rPr>
                        <w:t>Services</w:t>
                      </w:r>
                      <w:r>
                        <w:rPr>
                          <w:b/>
                          <w:color w:val="000000"/>
                          <w:spacing w:val="-2"/>
                          <w:sz w:val="22"/>
                        </w:rPr>
                        <w:t> </w:t>
                      </w:r>
                      <w:r>
                        <w:rPr>
                          <w:b/>
                          <w:color w:val="000000"/>
                          <w:sz w:val="22"/>
                        </w:rPr>
                        <w:t>and</w:t>
                      </w:r>
                      <w:r>
                        <w:rPr>
                          <w:b/>
                          <w:color w:val="000000"/>
                          <w:spacing w:val="-4"/>
                          <w:sz w:val="22"/>
                        </w:rPr>
                        <w:t> </w:t>
                      </w:r>
                      <w:r>
                        <w:rPr>
                          <w:b/>
                          <w:color w:val="000000"/>
                          <w:sz w:val="22"/>
                        </w:rPr>
                        <w:t>Powercor</w:t>
                      </w:r>
                      <w:r>
                        <w:rPr>
                          <w:b/>
                          <w:color w:val="000000"/>
                          <w:spacing w:val="-5"/>
                          <w:sz w:val="22"/>
                        </w:rPr>
                        <w:t> </w:t>
                      </w:r>
                      <w:r>
                        <w:rPr>
                          <w:b/>
                          <w:color w:val="000000"/>
                          <w:sz w:val="22"/>
                        </w:rPr>
                        <w:t>contingent</w:t>
                      </w:r>
                      <w:r>
                        <w:rPr>
                          <w:b/>
                          <w:color w:val="000000"/>
                          <w:spacing w:val="-3"/>
                          <w:sz w:val="22"/>
                        </w:rPr>
                        <w:t> </w:t>
                      </w:r>
                      <w:r>
                        <w:rPr>
                          <w:b/>
                          <w:color w:val="000000"/>
                          <w:sz w:val="22"/>
                        </w:rPr>
                        <w:t>project </w:t>
                      </w:r>
                      <w:r>
                        <w:rPr>
                          <w:b/>
                          <w:color w:val="000000"/>
                          <w:spacing w:val="-2"/>
                          <w:sz w:val="22"/>
                        </w:rPr>
                        <w:t>application</w:t>
                      </w:r>
                    </w:p>
                    <w:p>
                      <w:pPr>
                        <w:pStyle w:val="BodyText"/>
                        <w:spacing w:before="10"/>
                        <w:rPr>
                          <w:b/>
                          <w:color w:val="000000"/>
                          <w:sz w:val="20"/>
                        </w:rPr>
                      </w:pPr>
                    </w:p>
                    <w:p>
                      <w:pPr>
                        <w:pStyle w:val="BodyText"/>
                        <w:spacing w:line="288" w:lineRule="auto"/>
                        <w:ind w:left="112" w:right="177"/>
                        <w:rPr>
                          <w:color w:val="000000"/>
                        </w:rPr>
                      </w:pPr>
                      <w:r>
                        <w:rPr>
                          <w:color w:val="000000"/>
                        </w:rPr>
                        <w:t>In 2017, AusNet Services and Powercor submitted contingent project applications to the AER for funding to install the first tranche of REFCLs. In its response, the AER identified points</w:t>
                      </w:r>
                      <w:r>
                        <w:rPr>
                          <w:color w:val="000000"/>
                          <w:spacing w:val="-2"/>
                        </w:rPr>
                        <w:t> </w:t>
                      </w:r>
                      <w:r>
                        <w:rPr>
                          <w:color w:val="000000"/>
                        </w:rPr>
                        <w:t>of</w:t>
                      </w:r>
                      <w:r>
                        <w:rPr>
                          <w:color w:val="000000"/>
                          <w:spacing w:val="-1"/>
                        </w:rPr>
                        <w:t> </w:t>
                      </w:r>
                      <w:r>
                        <w:rPr>
                          <w:color w:val="000000"/>
                        </w:rPr>
                        <w:t>difference</w:t>
                      </w:r>
                      <w:r>
                        <w:rPr>
                          <w:color w:val="000000"/>
                          <w:spacing w:val="-5"/>
                        </w:rPr>
                        <w:t> </w:t>
                      </w:r>
                      <w:r>
                        <w:rPr>
                          <w:color w:val="000000"/>
                        </w:rPr>
                        <w:t>between</w:t>
                      </w:r>
                      <w:r>
                        <w:rPr>
                          <w:color w:val="000000"/>
                          <w:spacing w:val="-3"/>
                        </w:rPr>
                        <w:t> </w:t>
                      </w:r>
                      <w:r>
                        <w:rPr>
                          <w:color w:val="000000"/>
                        </w:rPr>
                        <w:t>their</w:t>
                      </w:r>
                      <w:r>
                        <w:rPr>
                          <w:color w:val="000000"/>
                          <w:spacing w:val="-4"/>
                        </w:rPr>
                        <w:t> </w:t>
                      </w:r>
                      <w:r>
                        <w:rPr>
                          <w:color w:val="000000"/>
                        </w:rPr>
                        <w:t>cost</w:t>
                      </w:r>
                      <w:r>
                        <w:rPr>
                          <w:color w:val="000000"/>
                          <w:spacing w:val="-1"/>
                        </w:rPr>
                        <w:t> </w:t>
                      </w:r>
                      <w:r>
                        <w:rPr>
                          <w:color w:val="000000"/>
                        </w:rPr>
                        <w:t>estimations</w:t>
                      </w:r>
                      <w:r>
                        <w:rPr>
                          <w:color w:val="000000"/>
                          <w:spacing w:val="-2"/>
                        </w:rPr>
                        <w:t> </w:t>
                      </w:r>
                      <w:r>
                        <w:rPr>
                          <w:color w:val="000000"/>
                        </w:rPr>
                        <w:t>and</w:t>
                      </w:r>
                      <w:r>
                        <w:rPr>
                          <w:color w:val="000000"/>
                          <w:spacing w:val="-5"/>
                        </w:rPr>
                        <w:t> </w:t>
                      </w:r>
                      <w:r>
                        <w:rPr>
                          <w:color w:val="000000"/>
                        </w:rPr>
                        <w:t>the</w:t>
                      </w:r>
                      <w:r>
                        <w:rPr>
                          <w:color w:val="000000"/>
                          <w:spacing w:val="-3"/>
                        </w:rPr>
                        <w:t> </w:t>
                      </w:r>
                      <w:r>
                        <w:rPr>
                          <w:color w:val="000000"/>
                        </w:rPr>
                        <w:t>RIS</w:t>
                      </w:r>
                      <w:r>
                        <w:rPr>
                          <w:color w:val="000000"/>
                          <w:spacing w:val="-3"/>
                        </w:rPr>
                        <w:t> </w:t>
                      </w:r>
                      <w:r>
                        <w:rPr>
                          <w:color w:val="000000"/>
                        </w:rPr>
                        <w:t>conducted</w:t>
                      </w:r>
                      <w:r>
                        <w:rPr>
                          <w:color w:val="000000"/>
                          <w:spacing w:val="-5"/>
                        </w:rPr>
                        <w:t> </w:t>
                      </w:r>
                      <w:r>
                        <w:rPr>
                          <w:color w:val="000000"/>
                        </w:rPr>
                        <w:t>by</w:t>
                      </w:r>
                      <w:r>
                        <w:rPr>
                          <w:color w:val="000000"/>
                          <w:spacing w:val="-5"/>
                        </w:rPr>
                        <w:t> </w:t>
                      </w:r>
                      <w:r>
                        <w:rPr>
                          <w:color w:val="000000"/>
                        </w:rPr>
                        <w:t>ACIL</w:t>
                      </w:r>
                      <w:r>
                        <w:rPr>
                          <w:color w:val="000000"/>
                          <w:spacing w:val="-3"/>
                        </w:rPr>
                        <w:t> </w:t>
                      </w:r>
                      <w:r>
                        <w:rPr>
                          <w:color w:val="000000"/>
                        </w:rPr>
                        <w:t>Allen</w:t>
                      </w:r>
                      <w:r>
                        <w:rPr>
                          <w:color w:val="000000"/>
                          <w:spacing w:val="-3"/>
                        </w:rPr>
                        <w:t> </w:t>
                      </w:r>
                      <w:r>
                        <w:rPr>
                          <w:color w:val="000000"/>
                        </w:rPr>
                        <w:t>in 2015. The AER found there was no disparity between item costs, but there were notable differences in the amount of work required to the network to accommodate the REFCL:</w:t>
                      </w:r>
                    </w:p>
                    <w:p>
                      <w:pPr>
                        <w:pStyle w:val="BodyText"/>
                        <w:spacing w:before="9"/>
                        <w:rPr>
                          <w:color w:val="000000"/>
                          <w:sz w:val="20"/>
                        </w:rPr>
                      </w:pPr>
                    </w:p>
                    <w:p>
                      <w:pPr>
                        <w:spacing w:line="288" w:lineRule="auto" w:before="0"/>
                        <w:ind w:left="566" w:right="395" w:firstLine="0"/>
                        <w:jc w:val="left"/>
                        <w:rPr>
                          <w:color w:val="000000"/>
                          <w:sz w:val="22"/>
                        </w:rPr>
                      </w:pPr>
                      <w:r>
                        <w:rPr>
                          <w:i/>
                          <w:color w:val="000000"/>
                          <w:sz w:val="22"/>
                        </w:rPr>
                        <w:t>“The AER has found there is no material disparity between the RIS and the contingent project application for the costing of specific items. However, we have found</w:t>
                      </w:r>
                      <w:r>
                        <w:rPr>
                          <w:i/>
                          <w:color w:val="000000"/>
                          <w:spacing w:val="-3"/>
                          <w:sz w:val="22"/>
                        </w:rPr>
                        <w:t> </w:t>
                      </w:r>
                      <w:r>
                        <w:rPr>
                          <w:i/>
                          <w:color w:val="000000"/>
                          <w:sz w:val="22"/>
                        </w:rPr>
                        <w:t>that</w:t>
                      </w:r>
                      <w:r>
                        <w:rPr>
                          <w:i/>
                          <w:color w:val="000000"/>
                          <w:spacing w:val="-2"/>
                          <w:sz w:val="22"/>
                        </w:rPr>
                        <w:t> </w:t>
                      </w:r>
                      <w:r>
                        <w:rPr>
                          <w:i/>
                          <w:color w:val="000000"/>
                          <w:sz w:val="22"/>
                        </w:rPr>
                        <w:t>there</w:t>
                      </w:r>
                      <w:r>
                        <w:rPr>
                          <w:i/>
                          <w:color w:val="000000"/>
                          <w:spacing w:val="-1"/>
                          <w:sz w:val="22"/>
                        </w:rPr>
                        <w:t> </w:t>
                      </w:r>
                      <w:r>
                        <w:rPr>
                          <w:i/>
                          <w:color w:val="000000"/>
                          <w:sz w:val="22"/>
                        </w:rPr>
                        <w:t>are</w:t>
                      </w:r>
                      <w:r>
                        <w:rPr>
                          <w:i/>
                          <w:color w:val="000000"/>
                          <w:spacing w:val="-1"/>
                          <w:sz w:val="22"/>
                        </w:rPr>
                        <w:t> </w:t>
                      </w:r>
                      <w:r>
                        <w:rPr>
                          <w:i/>
                          <w:color w:val="000000"/>
                          <w:sz w:val="22"/>
                        </w:rPr>
                        <w:t>departures</w:t>
                      </w:r>
                      <w:r>
                        <w:rPr>
                          <w:i/>
                          <w:color w:val="000000"/>
                          <w:spacing w:val="-1"/>
                          <w:sz w:val="22"/>
                        </w:rPr>
                        <w:t> </w:t>
                      </w:r>
                      <w:r>
                        <w:rPr>
                          <w:i/>
                          <w:color w:val="000000"/>
                          <w:sz w:val="22"/>
                        </w:rPr>
                        <w:t>in</w:t>
                      </w:r>
                      <w:r>
                        <w:rPr>
                          <w:i/>
                          <w:color w:val="000000"/>
                          <w:spacing w:val="-3"/>
                          <w:sz w:val="22"/>
                        </w:rPr>
                        <w:t> </w:t>
                      </w:r>
                      <w:r>
                        <w:rPr>
                          <w:i/>
                          <w:color w:val="000000"/>
                          <w:sz w:val="22"/>
                        </w:rPr>
                        <w:t>the</w:t>
                      </w:r>
                      <w:r>
                        <w:rPr>
                          <w:i/>
                          <w:color w:val="000000"/>
                          <w:spacing w:val="-3"/>
                          <w:sz w:val="22"/>
                        </w:rPr>
                        <w:t> </w:t>
                      </w:r>
                      <w:r>
                        <w:rPr>
                          <w:i/>
                          <w:color w:val="000000"/>
                          <w:sz w:val="22"/>
                        </w:rPr>
                        <w:t>volumes</w:t>
                      </w:r>
                      <w:r>
                        <w:rPr>
                          <w:i/>
                          <w:color w:val="000000"/>
                          <w:spacing w:val="-3"/>
                          <w:sz w:val="22"/>
                        </w:rPr>
                        <w:t> </w:t>
                      </w:r>
                      <w:r>
                        <w:rPr>
                          <w:i/>
                          <w:color w:val="000000"/>
                          <w:sz w:val="22"/>
                        </w:rPr>
                        <w:t>of</w:t>
                      </w:r>
                      <w:r>
                        <w:rPr>
                          <w:i/>
                          <w:color w:val="000000"/>
                          <w:spacing w:val="-2"/>
                          <w:sz w:val="22"/>
                        </w:rPr>
                        <w:t> </w:t>
                      </w:r>
                      <w:r>
                        <w:rPr>
                          <w:i/>
                          <w:color w:val="000000"/>
                          <w:sz w:val="22"/>
                        </w:rPr>
                        <w:t>work</w:t>
                      </w:r>
                      <w:r>
                        <w:rPr>
                          <w:i/>
                          <w:color w:val="000000"/>
                          <w:spacing w:val="-3"/>
                          <w:sz w:val="22"/>
                        </w:rPr>
                        <w:t> </w:t>
                      </w:r>
                      <w:r>
                        <w:rPr>
                          <w:i/>
                          <w:color w:val="000000"/>
                          <w:sz w:val="22"/>
                        </w:rPr>
                        <w:t>associated</w:t>
                      </w:r>
                      <w:r>
                        <w:rPr>
                          <w:i/>
                          <w:color w:val="000000"/>
                          <w:spacing w:val="-5"/>
                          <w:sz w:val="22"/>
                        </w:rPr>
                        <w:t> </w:t>
                      </w:r>
                      <w:r>
                        <w:rPr>
                          <w:i/>
                          <w:color w:val="000000"/>
                          <w:sz w:val="22"/>
                        </w:rPr>
                        <w:t>with</w:t>
                      </w:r>
                      <w:r>
                        <w:rPr>
                          <w:i/>
                          <w:color w:val="000000"/>
                          <w:spacing w:val="-1"/>
                          <w:sz w:val="22"/>
                        </w:rPr>
                        <w:t> </w:t>
                      </w:r>
                      <w:r>
                        <w:rPr>
                          <w:i/>
                          <w:color w:val="000000"/>
                          <w:sz w:val="22"/>
                        </w:rPr>
                        <w:t>a</w:t>
                      </w:r>
                      <w:r>
                        <w:rPr>
                          <w:i/>
                          <w:color w:val="000000"/>
                          <w:spacing w:val="-5"/>
                          <w:sz w:val="22"/>
                        </w:rPr>
                        <w:t> </w:t>
                      </w:r>
                      <w:r>
                        <w:rPr>
                          <w:i/>
                          <w:color w:val="000000"/>
                          <w:sz w:val="22"/>
                        </w:rPr>
                        <w:t>number</w:t>
                      </w:r>
                      <w:r>
                        <w:rPr>
                          <w:i/>
                          <w:color w:val="000000"/>
                          <w:spacing w:val="-2"/>
                          <w:sz w:val="22"/>
                        </w:rPr>
                        <w:t> </w:t>
                      </w:r>
                      <w:r>
                        <w:rPr>
                          <w:i/>
                          <w:color w:val="000000"/>
                          <w:sz w:val="22"/>
                        </w:rPr>
                        <w:t>of items, which has significantly affected costs.” </w:t>
                      </w:r>
                      <w:r>
                        <w:rPr>
                          <w:color w:val="000000"/>
                          <w:sz w:val="22"/>
                        </w:rPr>
                        <w:t>(AER, 2017, p. 16)</w:t>
                      </w:r>
                    </w:p>
                    <w:p>
                      <w:pPr>
                        <w:pStyle w:val="BodyText"/>
                        <w:spacing w:before="10"/>
                        <w:rPr>
                          <w:color w:val="000000"/>
                          <w:sz w:val="20"/>
                        </w:rPr>
                      </w:pPr>
                    </w:p>
                    <w:p>
                      <w:pPr>
                        <w:pStyle w:val="BodyText"/>
                        <w:ind w:left="112"/>
                        <w:rPr>
                          <w:color w:val="000000"/>
                        </w:rPr>
                      </w:pPr>
                      <w:r>
                        <w:rPr>
                          <w:color w:val="000000"/>
                        </w:rPr>
                        <w:t>The</w:t>
                      </w:r>
                      <w:r>
                        <w:rPr>
                          <w:color w:val="000000"/>
                          <w:spacing w:val="-8"/>
                        </w:rPr>
                        <w:t> </w:t>
                      </w:r>
                      <w:r>
                        <w:rPr>
                          <w:color w:val="000000"/>
                        </w:rPr>
                        <w:t>AER</w:t>
                      </w:r>
                      <w:r>
                        <w:rPr>
                          <w:color w:val="000000"/>
                          <w:spacing w:val="-6"/>
                        </w:rPr>
                        <w:t> </w:t>
                      </w:r>
                      <w:r>
                        <w:rPr>
                          <w:color w:val="000000"/>
                        </w:rPr>
                        <w:t>approved</w:t>
                      </w:r>
                      <w:r>
                        <w:rPr>
                          <w:color w:val="000000"/>
                          <w:spacing w:val="-7"/>
                        </w:rPr>
                        <w:t> </w:t>
                      </w:r>
                      <w:r>
                        <w:rPr>
                          <w:color w:val="000000"/>
                        </w:rPr>
                        <w:t>AusNet</w:t>
                      </w:r>
                      <w:r>
                        <w:rPr>
                          <w:color w:val="000000"/>
                          <w:spacing w:val="-5"/>
                        </w:rPr>
                        <w:t> </w:t>
                      </w:r>
                      <w:r>
                        <w:rPr>
                          <w:color w:val="000000"/>
                        </w:rPr>
                        <w:t>Services</w:t>
                      </w:r>
                      <w:r>
                        <w:rPr>
                          <w:color w:val="000000"/>
                          <w:spacing w:val="-6"/>
                        </w:rPr>
                        <w:t> </w:t>
                      </w:r>
                      <w:r>
                        <w:rPr>
                          <w:color w:val="000000"/>
                        </w:rPr>
                        <w:t>and</w:t>
                      </w:r>
                      <w:r>
                        <w:rPr>
                          <w:color w:val="000000"/>
                          <w:spacing w:val="-6"/>
                        </w:rPr>
                        <w:t> </w:t>
                      </w:r>
                      <w:r>
                        <w:rPr>
                          <w:color w:val="000000"/>
                        </w:rPr>
                        <w:t>Powercor’s</w:t>
                      </w:r>
                      <w:r>
                        <w:rPr>
                          <w:color w:val="000000"/>
                          <w:spacing w:val="-6"/>
                        </w:rPr>
                        <w:t> </w:t>
                      </w:r>
                      <w:r>
                        <w:rPr>
                          <w:color w:val="000000"/>
                        </w:rPr>
                        <w:t>contingent</w:t>
                      </w:r>
                      <w:r>
                        <w:rPr>
                          <w:color w:val="000000"/>
                          <w:spacing w:val="-4"/>
                        </w:rPr>
                        <w:t> </w:t>
                      </w:r>
                      <w:r>
                        <w:rPr>
                          <w:color w:val="000000"/>
                        </w:rPr>
                        <w:t>project</w:t>
                      </w:r>
                      <w:r>
                        <w:rPr>
                          <w:color w:val="000000"/>
                          <w:spacing w:val="-4"/>
                        </w:rPr>
                        <w:t> </w:t>
                      </w:r>
                      <w:r>
                        <w:rPr>
                          <w:color w:val="000000"/>
                        </w:rPr>
                        <w:t>application</w:t>
                      </w:r>
                      <w:r>
                        <w:rPr>
                          <w:color w:val="000000"/>
                          <w:spacing w:val="-6"/>
                        </w:rPr>
                        <w:t> </w:t>
                      </w:r>
                      <w:r>
                        <w:rPr>
                          <w:color w:val="000000"/>
                          <w:spacing w:val="-2"/>
                        </w:rPr>
                        <w:t>subject</w:t>
                      </w:r>
                    </w:p>
                  </w:txbxContent>
                </v:textbox>
                <v:fill type="solid"/>
                <w10:wrap type="topAndBottom"/>
              </v:shape>
            </w:pict>
          </mc:Fallback>
        </mc:AlternateContent>
      </w:r>
    </w:p>
    <w:p>
      <w:pPr>
        <w:spacing w:after="0"/>
        <w:rPr>
          <w:sz w:val="18"/>
        </w:rPr>
        <w:sectPr>
          <w:pgSz w:w="11910" w:h="16850"/>
          <w:pgMar w:header="220" w:footer="678" w:top="420" w:bottom="860" w:left="900" w:right="840"/>
        </w:sectPr>
      </w:pPr>
    </w:p>
    <w:p>
      <w:pPr>
        <w:pStyle w:val="BodyText"/>
        <w:rPr>
          <w:sz w:val="20"/>
        </w:rPr>
      </w:pPr>
    </w:p>
    <w:p>
      <w:pPr>
        <w:pStyle w:val="BodyText"/>
        <w:spacing w:before="4"/>
        <w:rPr>
          <w:sz w:val="27"/>
        </w:rPr>
      </w:pPr>
    </w:p>
    <w:p>
      <w:pPr>
        <w:pStyle w:val="BodyText"/>
        <w:ind w:left="232"/>
        <w:rPr>
          <w:sz w:val="20"/>
        </w:rPr>
      </w:pPr>
      <w:r>
        <w:rPr>
          <w:sz w:val="20"/>
        </w:rPr>
        <mc:AlternateContent>
          <mc:Choice Requires="wps">
            <w:drawing>
              <wp:inline distT="0" distB="0" distL="0" distR="0">
                <wp:extent cx="5870575" cy="1654175"/>
                <wp:effectExtent l="0" t="0" r="0" b="0"/>
                <wp:docPr id="174" name="Textbox 174"/>
                <wp:cNvGraphicFramePr>
                  <a:graphicFrameLocks/>
                </wp:cNvGraphicFramePr>
                <a:graphic>
                  <a:graphicData uri="http://schemas.microsoft.com/office/word/2010/wordprocessingShape">
                    <wps:wsp>
                      <wps:cNvPr id="174" name="Textbox 174"/>
                      <wps:cNvSpPr txBox="1"/>
                      <wps:spPr>
                        <a:xfrm>
                          <a:off x="0" y="0"/>
                          <a:ext cx="5870575" cy="1654175"/>
                        </a:xfrm>
                        <a:prstGeom prst="rect">
                          <a:avLst/>
                        </a:prstGeom>
                        <a:solidFill>
                          <a:srgbClr val="CDEBEB"/>
                        </a:solidFill>
                      </wps:spPr>
                      <wps:txbx>
                        <w:txbxContent>
                          <w:p>
                            <w:pPr>
                              <w:pStyle w:val="BodyText"/>
                              <w:ind w:left="112"/>
                              <w:rPr>
                                <w:color w:val="000000"/>
                              </w:rPr>
                            </w:pPr>
                            <w:r>
                              <w:rPr>
                                <w:color w:val="000000"/>
                              </w:rPr>
                              <w:t>to</w:t>
                            </w:r>
                            <w:r>
                              <w:rPr>
                                <w:color w:val="000000"/>
                                <w:spacing w:val="-5"/>
                              </w:rPr>
                              <w:t> </w:t>
                            </w:r>
                            <w:r>
                              <w:rPr>
                                <w:color w:val="000000"/>
                              </w:rPr>
                              <w:t>some</w:t>
                            </w:r>
                            <w:r>
                              <w:rPr>
                                <w:color w:val="000000"/>
                                <w:spacing w:val="-4"/>
                              </w:rPr>
                              <w:t> </w:t>
                            </w:r>
                            <w:r>
                              <w:rPr>
                                <w:color w:val="000000"/>
                              </w:rPr>
                              <w:t>adjustments</w:t>
                            </w:r>
                            <w:r>
                              <w:rPr>
                                <w:color w:val="000000"/>
                                <w:spacing w:val="-6"/>
                              </w:rPr>
                              <w:t> </w:t>
                            </w:r>
                            <w:r>
                              <w:rPr>
                                <w:color w:val="000000"/>
                              </w:rPr>
                              <w:t>to</w:t>
                            </w:r>
                            <w:r>
                              <w:rPr>
                                <w:color w:val="000000"/>
                                <w:spacing w:val="-9"/>
                              </w:rPr>
                              <w:t> </w:t>
                            </w:r>
                            <w:r>
                              <w:rPr>
                                <w:color w:val="000000"/>
                              </w:rPr>
                              <w:t>amounts</w:t>
                            </w:r>
                            <w:r>
                              <w:rPr>
                                <w:color w:val="000000"/>
                                <w:spacing w:val="-5"/>
                              </w:rPr>
                              <w:t> </w:t>
                            </w:r>
                            <w:r>
                              <w:rPr>
                                <w:color w:val="000000"/>
                              </w:rPr>
                              <w:t>sought,</w:t>
                            </w:r>
                            <w:r>
                              <w:rPr>
                                <w:color w:val="000000"/>
                                <w:spacing w:val="-5"/>
                              </w:rPr>
                              <w:t> </w:t>
                            </w:r>
                            <w:r>
                              <w:rPr>
                                <w:color w:val="000000"/>
                              </w:rPr>
                              <w:t>noting</w:t>
                            </w:r>
                            <w:r>
                              <w:rPr>
                                <w:color w:val="000000"/>
                                <w:spacing w:val="-4"/>
                              </w:rPr>
                              <w:t> </w:t>
                            </w:r>
                            <w:r>
                              <w:rPr>
                                <w:color w:val="000000"/>
                                <w:spacing w:val="-2"/>
                              </w:rPr>
                              <w:t>that:</w:t>
                            </w:r>
                          </w:p>
                          <w:p>
                            <w:pPr>
                              <w:pStyle w:val="BodyText"/>
                              <w:spacing w:before="1"/>
                              <w:rPr>
                                <w:color w:val="000000"/>
                                <w:sz w:val="25"/>
                              </w:rPr>
                            </w:pPr>
                          </w:p>
                          <w:p>
                            <w:pPr>
                              <w:spacing w:line="288" w:lineRule="auto" w:before="1"/>
                              <w:ind w:left="566" w:right="603" w:firstLine="0"/>
                              <w:jc w:val="left"/>
                              <w:rPr>
                                <w:color w:val="000000"/>
                                <w:sz w:val="22"/>
                              </w:rPr>
                            </w:pPr>
                            <w:r>
                              <w:rPr>
                                <w:i/>
                                <w:color w:val="000000"/>
                                <w:sz w:val="22"/>
                              </w:rPr>
                              <w:t>“…</w:t>
                            </w:r>
                            <w:r>
                              <w:rPr>
                                <w:i/>
                                <w:color w:val="000000"/>
                                <w:spacing w:val="-4"/>
                                <w:sz w:val="22"/>
                              </w:rPr>
                              <w:t> </w:t>
                            </w:r>
                            <w:r>
                              <w:rPr>
                                <w:i/>
                                <w:color w:val="000000"/>
                                <w:sz w:val="22"/>
                              </w:rPr>
                              <w:t>the</w:t>
                            </w:r>
                            <w:r>
                              <w:rPr>
                                <w:i/>
                                <w:color w:val="000000"/>
                                <w:spacing w:val="-3"/>
                                <w:sz w:val="22"/>
                              </w:rPr>
                              <w:t> </w:t>
                            </w:r>
                            <w:r>
                              <w:rPr>
                                <w:i/>
                                <w:color w:val="000000"/>
                                <w:sz w:val="22"/>
                              </w:rPr>
                              <w:t>RIS</w:t>
                            </w:r>
                            <w:r>
                              <w:rPr>
                                <w:i/>
                                <w:color w:val="000000"/>
                                <w:spacing w:val="-4"/>
                                <w:sz w:val="22"/>
                              </w:rPr>
                              <w:t> </w:t>
                            </w:r>
                            <w:r>
                              <w:rPr>
                                <w:i/>
                                <w:color w:val="000000"/>
                                <w:sz w:val="22"/>
                              </w:rPr>
                              <w:t>was</w:t>
                            </w:r>
                            <w:r>
                              <w:rPr>
                                <w:i/>
                                <w:color w:val="000000"/>
                                <w:spacing w:val="-5"/>
                                <w:sz w:val="22"/>
                              </w:rPr>
                              <w:t> </w:t>
                            </w:r>
                            <w:r>
                              <w:rPr>
                                <w:i/>
                                <w:color w:val="000000"/>
                                <w:sz w:val="22"/>
                              </w:rPr>
                              <w:t>prepared</w:t>
                            </w:r>
                            <w:r>
                              <w:rPr>
                                <w:i/>
                                <w:color w:val="000000"/>
                                <w:spacing w:val="-3"/>
                                <w:sz w:val="22"/>
                              </w:rPr>
                              <w:t> </w:t>
                            </w:r>
                            <w:r>
                              <w:rPr>
                                <w:i/>
                                <w:color w:val="000000"/>
                                <w:sz w:val="22"/>
                              </w:rPr>
                              <w:t>in</w:t>
                            </w:r>
                            <w:r>
                              <w:rPr>
                                <w:i/>
                                <w:color w:val="000000"/>
                                <w:spacing w:val="-3"/>
                                <w:sz w:val="22"/>
                              </w:rPr>
                              <w:t> </w:t>
                            </w:r>
                            <w:r>
                              <w:rPr>
                                <w:i/>
                                <w:color w:val="000000"/>
                                <w:sz w:val="22"/>
                              </w:rPr>
                              <w:t>2015</w:t>
                            </w:r>
                            <w:r>
                              <w:rPr>
                                <w:i/>
                                <w:color w:val="000000"/>
                                <w:spacing w:val="-3"/>
                                <w:sz w:val="22"/>
                              </w:rPr>
                              <w:t> </w:t>
                            </w:r>
                            <w:r>
                              <w:rPr>
                                <w:i/>
                                <w:color w:val="000000"/>
                                <w:sz w:val="22"/>
                              </w:rPr>
                              <w:t>largely</w:t>
                            </w:r>
                            <w:r>
                              <w:rPr>
                                <w:i/>
                                <w:color w:val="000000"/>
                                <w:spacing w:val="-4"/>
                                <w:sz w:val="22"/>
                              </w:rPr>
                              <w:t> </w:t>
                            </w:r>
                            <w:r>
                              <w:rPr>
                                <w:i/>
                                <w:color w:val="000000"/>
                                <w:sz w:val="22"/>
                              </w:rPr>
                              <w:t>based</w:t>
                            </w:r>
                            <w:r>
                              <w:rPr>
                                <w:i/>
                                <w:color w:val="000000"/>
                                <w:spacing w:val="-7"/>
                                <w:sz w:val="22"/>
                              </w:rPr>
                              <w:t> </w:t>
                            </w:r>
                            <w:r>
                              <w:rPr>
                                <w:i/>
                                <w:color w:val="000000"/>
                                <w:sz w:val="22"/>
                              </w:rPr>
                              <w:t>on</w:t>
                            </w:r>
                            <w:r>
                              <w:rPr>
                                <w:i/>
                                <w:color w:val="000000"/>
                                <w:spacing w:val="-3"/>
                                <w:sz w:val="22"/>
                              </w:rPr>
                              <w:t> </w:t>
                            </w:r>
                            <w:r>
                              <w:rPr>
                                <w:i/>
                                <w:color w:val="000000"/>
                                <w:sz w:val="22"/>
                              </w:rPr>
                              <w:t>preliminary</w:t>
                            </w:r>
                            <w:r>
                              <w:rPr>
                                <w:i/>
                                <w:color w:val="000000"/>
                                <w:spacing w:val="-4"/>
                                <w:sz w:val="22"/>
                              </w:rPr>
                              <w:t> </w:t>
                            </w:r>
                            <w:r>
                              <w:rPr>
                                <w:i/>
                                <w:color w:val="000000"/>
                                <w:sz w:val="22"/>
                              </w:rPr>
                              <w:t>costing</w:t>
                            </w:r>
                            <w:r>
                              <w:rPr>
                                <w:i/>
                                <w:color w:val="000000"/>
                                <w:spacing w:val="-3"/>
                                <w:sz w:val="22"/>
                              </w:rPr>
                              <w:t> </w:t>
                            </w:r>
                            <w:r>
                              <w:rPr>
                                <w:i/>
                                <w:color w:val="000000"/>
                                <w:sz w:val="22"/>
                              </w:rPr>
                              <w:t>information provided by the DNSPs [Distribution Network Service Providers]. We have investigated the reasons for the differences between the preliminary costing and the more detailed scope of works assessments which are now available. We are satisfied that the increased volumes of work are well substantiated and should be accepted.” </w:t>
                            </w:r>
                            <w:r>
                              <w:rPr>
                                <w:color w:val="000000"/>
                                <w:sz w:val="22"/>
                              </w:rPr>
                              <w:t>(AER, 2017, p. 17)</w:t>
                            </w:r>
                          </w:p>
                        </w:txbxContent>
                      </wps:txbx>
                      <wps:bodyPr wrap="square" lIns="0" tIns="0" rIns="0" bIns="0" rtlCol="0">
                        <a:noAutofit/>
                      </wps:bodyPr>
                    </wps:wsp>
                  </a:graphicData>
                </a:graphic>
              </wp:inline>
            </w:drawing>
          </mc:Choice>
          <mc:Fallback>
            <w:pict>
              <v:shape style="width:462.25pt;height:130.25pt;mso-position-horizontal-relative:char;mso-position-vertical-relative:line" type="#_x0000_t202" id="docshape153" filled="true" fillcolor="#cdebeb" stroked="false">
                <w10:anchorlock/>
                <v:textbox inset="0,0,0,0">
                  <w:txbxContent>
                    <w:p>
                      <w:pPr>
                        <w:pStyle w:val="BodyText"/>
                        <w:ind w:left="112"/>
                        <w:rPr>
                          <w:color w:val="000000"/>
                        </w:rPr>
                      </w:pPr>
                      <w:r>
                        <w:rPr>
                          <w:color w:val="000000"/>
                        </w:rPr>
                        <w:t>to</w:t>
                      </w:r>
                      <w:r>
                        <w:rPr>
                          <w:color w:val="000000"/>
                          <w:spacing w:val="-5"/>
                        </w:rPr>
                        <w:t> </w:t>
                      </w:r>
                      <w:r>
                        <w:rPr>
                          <w:color w:val="000000"/>
                        </w:rPr>
                        <w:t>some</w:t>
                      </w:r>
                      <w:r>
                        <w:rPr>
                          <w:color w:val="000000"/>
                          <w:spacing w:val="-4"/>
                        </w:rPr>
                        <w:t> </w:t>
                      </w:r>
                      <w:r>
                        <w:rPr>
                          <w:color w:val="000000"/>
                        </w:rPr>
                        <w:t>adjustments</w:t>
                      </w:r>
                      <w:r>
                        <w:rPr>
                          <w:color w:val="000000"/>
                          <w:spacing w:val="-6"/>
                        </w:rPr>
                        <w:t> </w:t>
                      </w:r>
                      <w:r>
                        <w:rPr>
                          <w:color w:val="000000"/>
                        </w:rPr>
                        <w:t>to</w:t>
                      </w:r>
                      <w:r>
                        <w:rPr>
                          <w:color w:val="000000"/>
                          <w:spacing w:val="-9"/>
                        </w:rPr>
                        <w:t> </w:t>
                      </w:r>
                      <w:r>
                        <w:rPr>
                          <w:color w:val="000000"/>
                        </w:rPr>
                        <w:t>amounts</w:t>
                      </w:r>
                      <w:r>
                        <w:rPr>
                          <w:color w:val="000000"/>
                          <w:spacing w:val="-5"/>
                        </w:rPr>
                        <w:t> </w:t>
                      </w:r>
                      <w:r>
                        <w:rPr>
                          <w:color w:val="000000"/>
                        </w:rPr>
                        <w:t>sought,</w:t>
                      </w:r>
                      <w:r>
                        <w:rPr>
                          <w:color w:val="000000"/>
                          <w:spacing w:val="-5"/>
                        </w:rPr>
                        <w:t> </w:t>
                      </w:r>
                      <w:r>
                        <w:rPr>
                          <w:color w:val="000000"/>
                        </w:rPr>
                        <w:t>noting</w:t>
                      </w:r>
                      <w:r>
                        <w:rPr>
                          <w:color w:val="000000"/>
                          <w:spacing w:val="-4"/>
                        </w:rPr>
                        <w:t> </w:t>
                      </w:r>
                      <w:r>
                        <w:rPr>
                          <w:color w:val="000000"/>
                          <w:spacing w:val="-2"/>
                        </w:rPr>
                        <w:t>that:</w:t>
                      </w:r>
                    </w:p>
                    <w:p>
                      <w:pPr>
                        <w:pStyle w:val="BodyText"/>
                        <w:spacing w:before="1"/>
                        <w:rPr>
                          <w:color w:val="000000"/>
                          <w:sz w:val="25"/>
                        </w:rPr>
                      </w:pPr>
                    </w:p>
                    <w:p>
                      <w:pPr>
                        <w:spacing w:line="288" w:lineRule="auto" w:before="1"/>
                        <w:ind w:left="566" w:right="603" w:firstLine="0"/>
                        <w:jc w:val="left"/>
                        <w:rPr>
                          <w:color w:val="000000"/>
                          <w:sz w:val="22"/>
                        </w:rPr>
                      </w:pPr>
                      <w:r>
                        <w:rPr>
                          <w:i/>
                          <w:color w:val="000000"/>
                          <w:sz w:val="22"/>
                        </w:rPr>
                        <w:t>“…</w:t>
                      </w:r>
                      <w:r>
                        <w:rPr>
                          <w:i/>
                          <w:color w:val="000000"/>
                          <w:spacing w:val="-4"/>
                          <w:sz w:val="22"/>
                        </w:rPr>
                        <w:t> </w:t>
                      </w:r>
                      <w:r>
                        <w:rPr>
                          <w:i/>
                          <w:color w:val="000000"/>
                          <w:sz w:val="22"/>
                        </w:rPr>
                        <w:t>the</w:t>
                      </w:r>
                      <w:r>
                        <w:rPr>
                          <w:i/>
                          <w:color w:val="000000"/>
                          <w:spacing w:val="-3"/>
                          <w:sz w:val="22"/>
                        </w:rPr>
                        <w:t> </w:t>
                      </w:r>
                      <w:r>
                        <w:rPr>
                          <w:i/>
                          <w:color w:val="000000"/>
                          <w:sz w:val="22"/>
                        </w:rPr>
                        <w:t>RIS</w:t>
                      </w:r>
                      <w:r>
                        <w:rPr>
                          <w:i/>
                          <w:color w:val="000000"/>
                          <w:spacing w:val="-4"/>
                          <w:sz w:val="22"/>
                        </w:rPr>
                        <w:t> </w:t>
                      </w:r>
                      <w:r>
                        <w:rPr>
                          <w:i/>
                          <w:color w:val="000000"/>
                          <w:sz w:val="22"/>
                        </w:rPr>
                        <w:t>was</w:t>
                      </w:r>
                      <w:r>
                        <w:rPr>
                          <w:i/>
                          <w:color w:val="000000"/>
                          <w:spacing w:val="-5"/>
                          <w:sz w:val="22"/>
                        </w:rPr>
                        <w:t> </w:t>
                      </w:r>
                      <w:r>
                        <w:rPr>
                          <w:i/>
                          <w:color w:val="000000"/>
                          <w:sz w:val="22"/>
                        </w:rPr>
                        <w:t>prepared</w:t>
                      </w:r>
                      <w:r>
                        <w:rPr>
                          <w:i/>
                          <w:color w:val="000000"/>
                          <w:spacing w:val="-3"/>
                          <w:sz w:val="22"/>
                        </w:rPr>
                        <w:t> </w:t>
                      </w:r>
                      <w:r>
                        <w:rPr>
                          <w:i/>
                          <w:color w:val="000000"/>
                          <w:sz w:val="22"/>
                        </w:rPr>
                        <w:t>in</w:t>
                      </w:r>
                      <w:r>
                        <w:rPr>
                          <w:i/>
                          <w:color w:val="000000"/>
                          <w:spacing w:val="-3"/>
                          <w:sz w:val="22"/>
                        </w:rPr>
                        <w:t> </w:t>
                      </w:r>
                      <w:r>
                        <w:rPr>
                          <w:i/>
                          <w:color w:val="000000"/>
                          <w:sz w:val="22"/>
                        </w:rPr>
                        <w:t>2015</w:t>
                      </w:r>
                      <w:r>
                        <w:rPr>
                          <w:i/>
                          <w:color w:val="000000"/>
                          <w:spacing w:val="-3"/>
                          <w:sz w:val="22"/>
                        </w:rPr>
                        <w:t> </w:t>
                      </w:r>
                      <w:r>
                        <w:rPr>
                          <w:i/>
                          <w:color w:val="000000"/>
                          <w:sz w:val="22"/>
                        </w:rPr>
                        <w:t>largely</w:t>
                      </w:r>
                      <w:r>
                        <w:rPr>
                          <w:i/>
                          <w:color w:val="000000"/>
                          <w:spacing w:val="-4"/>
                          <w:sz w:val="22"/>
                        </w:rPr>
                        <w:t> </w:t>
                      </w:r>
                      <w:r>
                        <w:rPr>
                          <w:i/>
                          <w:color w:val="000000"/>
                          <w:sz w:val="22"/>
                        </w:rPr>
                        <w:t>based</w:t>
                      </w:r>
                      <w:r>
                        <w:rPr>
                          <w:i/>
                          <w:color w:val="000000"/>
                          <w:spacing w:val="-7"/>
                          <w:sz w:val="22"/>
                        </w:rPr>
                        <w:t> </w:t>
                      </w:r>
                      <w:r>
                        <w:rPr>
                          <w:i/>
                          <w:color w:val="000000"/>
                          <w:sz w:val="22"/>
                        </w:rPr>
                        <w:t>on</w:t>
                      </w:r>
                      <w:r>
                        <w:rPr>
                          <w:i/>
                          <w:color w:val="000000"/>
                          <w:spacing w:val="-3"/>
                          <w:sz w:val="22"/>
                        </w:rPr>
                        <w:t> </w:t>
                      </w:r>
                      <w:r>
                        <w:rPr>
                          <w:i/>
                          <w:color w:val="000000"/>
                          <w:sz w:val="22"/>
                        </w:rPr>
                        <w:t>preliminary</w:t>
                      </w:r>
                      <w:r>
                        <w:rPr>
                          <w:i/>
                          <w:color w:val="000000"/>
                          <w:spacing w:val="-4"/>
                          <w:sz w:val="22"/>
                        </w:rPr>
                        <w:t> </w:t>
                      </w:r>
                      <w:r>
                        <w:rPr>
                          <w:i/>
                          <w:color w:val="000000"/>
                          <w:sz w:val="22"/>
                        </w:rPr>
                        <w:t>costing</w:t>
                      </w:r>
                      <w:r>
                        <w:rPr>
                          <w:i/>
                          <w:color w:val="000000"/>
                          <w:spacing w:val="-3"/>
                          <w:sz w:val="22"/>
                        </w:rPr>
                        <w:t> </w:t>
                      </w:r>
                      <w:r>
                        <w:rPr>
                          <w:i/>
                          <w:color w:val="000000"/>
                          <w:sz w:val="22"/>
                        </w:rPr>
                        <w:t>information provided by the DNSPs [Distribution Network Service Providers]. We have investigated the reasons for the differences between the preliminary costing and the more detailed scope of works assessments which are now available. We are satisfied that the increased volumes of work are well substantiated and should be accepted.” </w:t>
                      </w:r>
                      <w:r>
                        <w:rPr>
                          <w:color w:val="000000"/>
                          <w:sz w:val="22"/>
                        </w:rPr>
                        <w:t>(AER, 2017, p. 17)</w:t>
                      </w:r>
                    </w:p>
                  </w:txbxContent>
                </v:textbox>
                <v:fill type="solid"/>
              </v:shape>
            </w:pict>
          </mc:Fallback>
        </mc:AlternateContent>
      </w:r>
      <w:r>
        <w:rPr>
          <w:sz w:val="20"/>
        </w:rPr>
      </w:r>
    </w:p>
    <w:p>
      <w:pPr>
        <w:pStyle w:val="BodyText"/>
        <w:rPr>
          <w:sz w:val="20"/>
        </w:rPr>
      </w:pPr>
    </w:p>
    <w:p>
      <w:pPr>
        <w:pStyle w:val="BodyText"/>
      </w:pPr>
    </w:p>
    <w:p>
      <w:pPr>
        <w:pStyle w:val="BodyText"/>
        <w:spacing w:line="288" w:lineRule="auto"/>
        <w:ind w:left="232" w:right="363"/>
      </w:pPr>
      <w:r>
        <w:rPr/>
        <w:t>Extrapolating the current estimated costs, the deployment of REFCLs would now have marginally higher</w:t>
      </w:r>
      <w:r>
        <w:rPr>
          <w:spacing w:val="-3"/>
        </w:rPr>
        <w:t> </w:t>
      </w:r>
      <w:r>
        <w:rPr/>
        <w:t>estimated</w:t>
      </w:r>
      <w:r>
        <w:rPr>
          <w:spacing w:val="-4"/>
        </w:rPr>
        <w:t> </w:t>
      </w:r>
      <w:r>
        <w:rPr/>
        <w:t>costs</w:t>
      </w:r>
      <w:r>
        <w:rPr>
          <w:spacing w:val="-4"/>
        </w:rPr>
        <w:t> </w:t>
      </w:r>
      <w:r>
        <w:rPr/>
        <w:t>than</w:t>
      </w:r>
      <w:r>
        <w:rPr>
          <w:spacing w:val="-2"/>
        </w:rPr>
        <w:t> </w:t>
      </w:r>
      <w:r>
        <w:rPr/>
        <w:t>estimated</w:t>
      </w:r>
      <w:r>
        <w:rPr>
          <w:spacing w:val="-4"/>
        </w:rPr>
        <w:t> </w:t>
      </w:r>
      <w:r>
        <w:rPr/>
        <w:t>benefits,</w:t>
      </w:r>
      <w:r>
        <w:rPr>
          <w:spacing w:val="-3"/>
        </w:rPr>
        <w:t> </w:t>
      </w:r>
      <w:r>
        <w:rPr/>
        <w:t>assuming</w:t>
      </w:r>
      <w:r>
        <w:rPr>
          <w:spacing w:val="-2"/>
        </w:rPr>
        <w:t> </w:t>
      </w:r>
      <w:r>
        <w:rPr/>
        <w:t>no</w:t>
      </w:r>
      <w:r>
        <w:rPr>
          <w:spacing w:val="-4"/>
        </w:rPr>
        <w:t> </w:t>
      </w:r>
      <w:r>
        <w:rPr/>
        <w:t>changes</w:t>
      </w:r>
      <w:r>
        <w:rPr>
          <w:spacing w:val="-4"/>
        </w:rPr>
        <w:t> </w:t>
      </w:r>
      <w:r>
        <w:rPr/>
        <w:t>in</w:t>
      </w:r>
      <w:r>
        <w:rPr>
          <w:spacing w:val="-2"/>
        </w:rPr>
        <w:t> </w:t>
      </w:r>
      <w:r>
        <w:rPr/>
        <w:t>any</w:t>
      </w:r>
      <w:r>
        <w:rPr>
          <w:spacing w:val="-4"/>
        </w:rPr>
        <w:t> </w:t>
      </w:r>
      <w:r>
        <w:rPr/>
        <w:t>of</w:t>
      </w:r>
      <w:r>
        <w:rPr>
          <w:spacing w:val="-1"/>
        </w:rPr>
        <w:t> </w:t>
      </w:r>
      <w:r>
        <w:rPr/>
        <w:t>the</w:t>
      </w:r>
      <w:r>
        <w:rPr>
          <w:spacing w:val="-4"/>
        </w:rPr>
        <w:t> </w:t>
      </w:r>
      <w:r>
        <w:rPr/>
        <w:t>other</w:t>
      </w:r>
      <w:r>
        <w:rPr>
          <w:spacing w:val="-1"/>
        </w:rPr>
        <w:t> </w:t>
      </w:r>
      <w:r>
        <w:rPr/>
        <w:t>elements of the ACIL Allen methodology. However, a more complete analysis would be required to fully determine the best estimated cost-benefit ratio at this time, noting also that it is inherently difficult to develop precise quantitative estimates of the benefits of lower risk to the community.</w:t>
      </w:r>
    </w:p>
    <w:p>
      <w:pPr>
        <w:pStyle w:val="BodyText"/>
        <w:spacing w:before="5"/>
        <w:rPr>
          <w:sz w:val="31"/>
        </w:rPr>
      </w:pPr>
    </w:p>
    <w:p>
      <w:pPr>
        <w:pStyle w:val="Heading4"/>
        <w:spacing w:line="288" w:lineRule="auto" w:before="0"/>
      </w:pPr>
      <w:r>
        <w:rPr>
          <w:color w:val="585858"/>
        </w:rPr>
        <w:t>Introducing</w:t>
      </w:r>
      <w:r>
        <w:rPr>
          <w:color w:val="585858"/>
          <w:spacing w:val="-8"/>
        </w:rPr>
        <w:t> </w:t>
      </w:r>
      <w:r>
        <w:rPr>
          <w:color w:val="585858"/>
        </w:rPr>
        <w:t>legislation</w:t>
      </w:r>
      <w:r>
        <w:rPr>
          <w:color w:val="585858"/>
          <w:spacing w:val="-8"/>
        </w:rPr>
        <w:t> </w:t>
      </w:r>
      <w:r>
        <w:rPr>
          <w:color w:val="585858"/>
        </w:rPr>
        <w:t>to</w:t>
      </w:r>
      <w:r>
        <w:rPr>
          <w:color w:val="585858"/>
          <w:spacing w:val="-8"/>
        </w:rPr>
        <w:t> </w:t>
      </w:r>
      <w:r>
        <w:rPr>
          <w:color w:val="585858"/>
        </w:rPr>
        <w:t>mandate</w:t>
      </w:r>
      <w:r>
        <w:rPr>
          <w:color w:val="585858"/>
          <w:spacing w:val="-5"/>
        </w:rPr>
        <w:t> </w:t>
      </w:r>
      <w:r>
        <w:rPr>
          <w:color w:val="585858"/>
        </w:rPr>
        <w:t>specific</w:t>
      </w:r>
      <w:r>
        <w:rPr>
          <w:color w:val="585858"/>
          <w:spacing w:val="-6"/>
        </w:rPr>
        <w:t> </w:t>
      </w:r>
      <w:r>
        <w:rPr>
          <w:color w:val="585858"/>
        </w:rPr>
        <w:t>bushfire</w:t>
      </w:r>
      <w:r>
        <w:rPr>
          <w:color w:val="585858"/>
          <w:spacing w:val="-5"/>
        </w:rPr>
        <w:t> </w:t>
      </w:r>
      <w:r>
        <w:rPr>
          <w:color w:val="585858"/>
        </w:rPr>
        <w:t>mitigation </w:t>
      </w:r>
      <w:r>
        <w:rPr>
          <w:color w:val="585858"/>
          <w:spacing w:val="-2"/>
        </w:rPr>
        <w:t>measures</w:t>
      </w:r>
    </w:p>
    <w:p>
      <w:pPr>
        <w:pStyle w:val="BodyText"/>
        <w:spacing w:line="288" w:lineRule="auto" w:before="241"/>
        <w:ind w:left="232" w:right="319"/>
      </w:pPr>
      <w:r>
        <w:rPr/>
        <w:t>The PBSP has advised that all measures that have been, and are yet to be, introduced to implement VBRC Recommendation 27, will result in a relative reduction of over 60 per cent in powerline-related</w:t>
      </w:r>
      <w:r>
        <w:rPr>
          <w:spacing w:val="-3"/>
        </w:rPr>
        <w:t> </w:t>
      </w:r>
      <w:r>
        <w:rPr/>
        <w:t>bushfire</w:t>
      </w:r>
      <w:r>
        <w:rPr>
          <w:spacing w:val="-3"/>
        </w:rPr>
        <w:t> </w:t>
      </w:r>
      <w:r>
        <w:rPr/>
        <w:t>risk.</w:t>
      </w:r>
      <w:r>
        <w:rPr>
          <w:spacing w:val="-1"/>
        </w:rPr>
        <w:t> </w:t>
      </w:r>
      <w:r>
        <w:rPr/>
        <w:t>Approximately</w:t>
      </w:r>
      <w:r>
        <w:rPr>
          <w:spacing w:val="-5"/>
        </w:rPr>
        <w:t> </w:t>
      </w:r>
      <w:r>
        <w:rPr/>
        <w:t>two-thirds</w:t>
      </w:r>
      <w:r>
        <w:rPr>
          <w:spacing w:val="-5"/>
        </w:rPr>
        <w:t> </w:t>
      </w:r>
      <w:r>
        <w:rPr/>
        <w:t>of</w:t>
      </w:r>
      <w:r>
        <w:rPr>
          <w:spacing w:val="-1"/>
        </w:rPr>
        <w:t> </w:t>
      </w:r>
      <w:r>
        <w:rPr/>
        <w:t>this</w:t>
      </w:r>
      <w:r>
        <w:rPr>
          <w:spacing w:val="-5"/>
        </w:rPr>
        <w:t> </w:t>
      </w:r>
      <w:r>
        <w:rPr/>
        <w:t>safety</w:t>
      </w:r>
      <w:r>
        <w:rPr>
          <w:spacing w:val="-4"/>
        </w:rPr>
        <w:t> </w:t>
      </w:r>
      <w:r>
        <w:rPr/>
        <w:t>benefit</w:t>
      </w:r>
      <w:r>
        <w:rPr>
          <w:spacing w:val="-1"/>
        </w:rPr>
        <w:t> </w:t>
      </w:r>
      <w:r>
        <w:rPr/>
        <w:t>is</w:t>
      </w:r>
      <w:r>
        <w:rPr>
          <w:spacing w:val="-5"/>
        </w:rPr>
        <w:t> </w:t>
      </w:r>
      <w:r>
        <w:rPr/>
        <w:t>directly</w:t>
      </w:r>
      <w:r>
        <w:rPr>
          <w:spacing w:val="-5"/>
        </w:rPr>
        <w:t> </w:t>
      </w:r>
      <w:r>
        <w:rPr/>
        <w:t>attributable to REFCL protection.</w:t>
      </w:r>
    </w:p>
    <w:p>
      <w:pPr>
        <w:pStyle w:val="BodyText"/>
        <w:spacing w:before="7"/>
        <w:rPr>
          <w:sz w:val="20"/>
        </w:rPr>
      </w:pPr>
    </w:p>
    <w:p>
      <w:pPr>
        <w:pStyle w:val="BodyText"/>
        <w:spacing w:line="290" w:lineRule="auto"/>
        <w:ind w:left="232"/>
      </w:pPr>
      <w:r>
        <w:rPr/>
        <w:t>To</w:t>
      </w:r>
      <w:r>
        <w:rPr>
          <w:spacing w:val="-4"/>
        </w:rPr>
        <w:t> </w:t>
      </w:r>
      <w:r>
        <w:rPr/>
        <w:t>ensure</w:t>
      </w:r>
      <w:r>
        <w:rPr>
          <w:spacing w:val="-4"/>
        </w:rPr>
        <w:t> </w:t>
      </w:r>
      <w:r>
        <w:rPr/>
        <w:t>this</w:t>
      </w:r>
      <w:r>
        <w:rPr>
          <w:spacing w:val="-4"/>
        </w:rPr>
        <w:t> </w:t>
      </w:r>
      <w:r>
        <w:rPr/>
        <w:t>safety</w:t>
      </w:r>
      <w:r>
        <w:rPr>
          <w:spacing w:val="-4"/>
        </w:rPr>
        <w:t> </w:t>
      </w:r>
      <w:r>
        <w:rPr/>
        <w:t>benefit is</w:t>
      </w:r>
      <w:r>
        <w:rPr>
          <w:spacing w:val="-4"/>
        </w:rPr>
        <w:t> </w:t>
      </w:r>
      <w:r>
        <w:rPr/>
        <w:t>delivered</w:t>
      </w:r>
      <w:r>
        <w:rPr>
          <w:spacing w:val="-2"/>
        </w:rPr>
        <w:t> </w:t>
      </w:r>
      <w:r>
        <w:rPr/>
        <w:t>to</w:t>
      </w:r>
      <w:r>
        <w:rPr>
          <w:spacing w:val="-2"/>
        </w:rPr>
        <w:t> </w:t>
      </w:r>
      <w:r>
        <w:rPr/>
        <w:t>its</w:t>
      </w:r>
      <w:r>
        <w:rPr>
          <w:spacing w:val="-5"/>
        </w:rPr>
        <w:t> </w:t>
      </w:r>
      <w:r>
        <w:rPr/>
        <w:t>full</w:t>
      </w:r>
      <w:r>
        <w:rPr>
          <w:spacing w:val="-2"/>
        </w:rPr>
        <w:t> </w:t>
      </w:r>
      <w:r>
        <w:rPr/>
        <w:t>extent and</w:t>
      </w:r>
      <w:r>
        <w:rPr>
          <w:spacing w:val="-4"/>
        </w:rPr>
        <w:t> </w:t>
      </w:r>
      <w:r>
        <w:rPr/>
        <w:t>in</w:t>
      </w:r>
      <w:r>
        <w:rPr>
          <w:spacing w:val="-2"/>
        </w:rPr>
        <w:t> </w:t>
      </w:r>
      <w:r>
        <w:rPr/>
        <w:t>a</w:t>
      </w:r>
      <w:r>
        <w:rPr>
          <w:spacing w:val="-3"/>
        </w:rPr>
        <w:t> </w:t>
      </w:r>
      <w:r>
        <w:rPr/>
        <w:t>timely</w:t>
      </w:r>
      <w:r>
        <w:rPr>
          <w:spacing w:val="-4"/>
        </w:rPr>
        <w:t> </w:t>
      </w:r>
      <w:r>
        <w:rPr/>
        <w:t>manner,</w:t>
      </w:r>
      <w:r>
        <w:rPr>
          <w:spacing w:val="-3"/>
        </w:rPr>
        <w:t> </w:t>
      </w:r>
      <w:r>
        <w:rPr/>
        <w:t>the</w:t>
      </w:r>
      <w:r>
        <w:rPr>
          <w:spacing w:val="-4"/>
        </w:rPr>
        <w:t> </w:t>
      </w:r>
      <w:r>
        <w:rPr/>
        <w:t>Victorian Government has enshrined new powerline safety standards in law.</w:t>
      </w:r>
    </w:p>
    <w:p>
      <w:pPr>
        <w:pStyle w:val="BodyText"/>
        <w:spacing w:before="6"/>
        <w:rPr>
          <w:sz w:val="20"/>
        </w:rPr>
      </w:pPr>
    </w:p>
    <w:p>
      <w:pPr>
        <w:pStyle w:val="BodyText"/>
        <w:spacing w:line="288" w:lineRule="auto"/>
        <w:ind w:left="232" w:right="374"/>
      </w:pPr>
      <w:r>
        <w:rPr/>
        <w:t>On 1 May 2016, the performance standard requirements that effectively require REFCLs to be adopted,</w:t>
      </w:r>
      <w:r>
        <w:rPr>
          <w:spacing w:val="-4"/>
        </w:rPr>
        <w:t> </w:t>
      </w:r>
      <w:r>
        <w:rPr/>
        <w:t>were</w:t>
      </w:r>
      <w:r>
        <w:rPr>
          <w:spacing w:val="-2"/>
        </w:rPr>
        <w:t> </w:t>
      </w:r>
      <w:r>
        <w:rPr/>
        <w:t>prescribed</w:t>
      </w:r>
      <w:r>
        <w:rPr>
          <w:spacing w:val="-3"/>
        </w:rPr>
        <w:t> </w:t>
      </w:r>
      <w:r>
        <w:rPr/>
        <w:t>within</w:t>
      </w:r>
      <w:r>
        <w:rPr>
          <w:spacing w:val="-3"/>
        </w:rPr>
        <w:t> </w:t>
      </w:r>
      <w:r>
        <w:rPr/>
        <w:t>the</w:t>
      </w:r>
      <w:r>
        <w:rPr>
          <w:spacing w:val="-2"/>
        </w:rPr>
        <w:t> </w:t>
      </w:r>
      <w:r>
        <w:rPr/>
        <w:t>amended</w:t>
      </w:r>
      <w:r>
        <w:rPr>
          <w:spacing w:val="-3"/>
        </w:rPr>
        <w:t> </w:t>
      </w:r>
      <w:r>
        <w:rPr>
          <w:i/>
        </w:rPr>
        <w:t>Electricity</w:t>
      </w:r>
      <w:r>
        <w:rPr>
          <w:i/>
          <w:spacing w:val="-5"/>
        </w:rPr>
        <w:t> </w:t>
      </w:r>
      <w:r>
        <w:rPr>
          <w:i/>
        </w:rPr>
        <w:t>Safety</w:t>
      </w:r>
      <w:r>
        <w:rPr>
          <w:i/>
          <w:spacing w:val="-5"/>
        </w:rPr>
        <w:t> </w:t>
      </w:r>
      <w:r>
        <w:rPr>
          <w:i/>
        </w:rPr>
        <w:t>(Bushfire</w:t>
      </w:r>
      <w:r>
        <w:rPr>
          <w:i/>
          <w:spacing w:val="-5"/>
        </w:rPr>
        <w:t> </w:t>
      </w:r>
      <w:r>
        <w:rPr>
          <w:i/>
        </w:rPr>
        <w:t>Mitigation)</w:t>
      </w:r>
      <w:r>
        <w:rPr>
          <w:i/>
          <w:spacing w:val="-2"/>
        </w:rPr>
        <w:t> </w:t>
      </w:r>
      <w:r>
        <w:rPr>
          <w:i/>
        </w:rPr>
        <w:t>Regulations 2013 </w:t>
      </w:r>
      <w:r>
        <w:rPr/>
        <w:t>for 22 kV polyphase powerlines emanating from 45 targeted zone sub-stations identified across rural and regional Victoria to protect high-risk bushfire areas.</w:t>
      </w:r>
    </w:p>
    <w:p>
      <w:pPr>
        <w:pStyle w:val="BodyText"/>
        <w:spacing w:before="10"/>
        <w:rPr>
          <w:sz w:val="20"/>
        </w:rPr>
      </w:pPr>
    </w:p>
    <w:p>
      <w:pPr>
        <w:pStyle w:val="BodyText"/>
        <w:spacing w:line="288" w:lineRule="auto"/>
        <w:ind w:left="232" w:right="374"/>
      </w:pPr>
      <w:r>
        <w:rPr/>
        <w:t>Electricity distribution businesses operating in high risk bushfire areas, are required to meet a defined quota of zone substations with operational REFCLs by 1 May 2019, with an additional quota</w:t>
      </w:r>
      <w:r>
        <w:rPr>
          <w:spacing w:val="-4"/>
        </w:rPr>
        <w:t> </w:t>
      </w:r>
      <w:r>
        <w:rPr/>
        <w:t>to</w:t>
      </w:r>
      <w:r>
        <w:rPr>
          <w:spacing w:val="-2"/>
        </w:rPr>
        <w:t> </w:t>
      </w:r>
      <w:r>
        <w:rPr/>
        <w:t>be</w:t>
      </w:r>
      <w:r>
        <w:rPr>
          <w:spacing w:val="-4"/>
        </w:rPr>
        <w:t> </w:t>
      </w:r>
      <w:r>
        <w:rPr/>
        <w:t>operational</w:t>
      </w:r>
      <w:r>
        <w:rPr>
          <w:spacing w:val="-3"/>
        </w:rPr>
        <w:t> </w:t>
      </w:r>
      <w:r>
        <w:rPr/>
        <w:t>by</w:t>
      </w:r>
      <w:r>
        <w:rPr>
          <w:spacing w:val="-2"/>
        </w:rPr>
        <w:t> </w:t>
      </w:r>
      <w:r>
        <w:rPr/>
        <w:t>1</w:t>
      </w:r>
      <w:r>
        <w:rPr>
          <w:spacing w:val="-2"/>
        </w:rPr>
        <w:t> </w:t>
      </w:r>
      <w:r>
        <w:rPr/>
        <w:t>May</w:t>
      </w:r>
      <w:r>
        <w:rPr>
          <w:spacing w:val="-4"/>
        </w:rPr>
        <w:t> </w:t>
      </w:r>
      <w:r>
        <w:rPr/>
        <w:t>2021, and</w:t>
      </w:r>
      <w:r>
        <w:rPr>
          <w:spacing w:val="-4"/>
        </w:rPr>
        <w:t> </w:t>
      </w:r>
      <w:r>
        <w:rPr/>
        <w:t>the</w:t>
      </w:r>
      <w:r>
        <w:rPr>
          <w:spacing w:val="-4"/>
        </w:rPr>
        <w:t> </w:t>
      </w:r>
      <w:r>
        <w:rPr/>
        <w:t>remaining</w:t>
      </w:r>
      <w:r>
        <w:rPr>
          <w:spacing w:val="-2"/>
        </w:rPr>
        <w:t> </w:t>
      </w:r>
      <w:r>
        <w:rPr/>
        <w:t>designated</w:t>
      </w:r>
      <w:r>
        <w:rPr>
          <w:spacing w:val="-2"/>
        </w:rPr>
        <w:t> </w:t>
      </w:r>
      <w:r>
        <w:rPr/>
        <w:t>zone</w:t>
      </w:r>
      <w:r>
        <w:rPr>
          <w:spacing w:val="-4"/>
        </w:rPr>
        <w:t> </w:t>
      </w:r>
      <w:r>
        <w:rPr/>
        <w:t>substations</w:t>
      </w:r>
      <w:r>
        <w:rPr>
          <w:spacing w:val="-4"/>
        </w:rPr>
        <w:t> </w:t>
      </w:r>
      <w:r>
        <w:rPr/>
        <w:t>fitted</w:t>
      </w:r>
      <w:r>
        <w:rPr>
          <w:spacing w:val="-2"/>
        </w:rPr>
        <w:t> </w:t>
      </w:r>
      <w:r>
        <w:rPr/>
        <w:t>with REFCLs by 1 May 2023.</w:t>
      </w:r>
    </w:p>
    <w:p>
      <w:pPr>
        <w:pStyle w:val="BodyText"/>
        <w:spacing w:before="11"/>
        <w:rPr>
          <w:sz w:val="20"/>
        </w:rPr>
      </w:pPr>
    </w:p>
    <w:p>
      <w:pPr>
        <w:spacing w:line="288" w:lineRule="auto" w:before="0"/>
        <w:ind w:left="232" w:right="374" w:firstLine="0"/>
        <w:jc w:val="left"/>
        <w:rPr>
          <w:sz w:val="22"/>
        </w:rPr>
      </w:pPr>
      <w:r>
        <w:rPr>
          <w:sz w:val="22"/>
        </w:rPr>
        <w:t>Section 7 of the </w:t>
      </w:r>
      <w:r>
        <w:rPr>
          <w:i/>
          <w:sz w:val="22"/>
        </w:rPr>
        <w:t>Electricity Safety (Bushfire Mitigation) Regulations 2013 </w:t>
      </w:r>
      <w:r>
        <w:rPr>
          <w:sz w:val="22"/>
        </w:rPr>
        <w:t>does not specifically mention</w:t>
      </w:r>
      <w:r>
        <w:rPr>
          <w:spacing w:val="-3"/>
          <w:sz w:val="22"/>
        </w:rPr>
        <w:t> </w:t>
      </w:r>
      <w:r>
        <w:rPr>
          <w:sz w:val="22"/>
        </w:rPr>
        <w:t>REFCLs,</w:t>
      </w:r>
      <w:r>
        <w:rPr>
          <w:spacing w:val="-1"/>
          <w:sz w:val="22"/>
        </w:rPr>
        <w:t> </w:t>
      </w:r>
      <w:r>
        <w:rPr>
          <w:sz w:val="22"/>
        </w:rPr>
        <w:t>but</w:t>
      </w:r>
      <w:r>
        <w:rPr>
          <w:spacing w:val="-2"/>
          <w:sz w:val="22"/>
        </w:rPr>
        <w:t> </w:t>
      </w:r>
      <w:r>
        <w:rPr>
          <w:sz w:val="22"/>
        </w:rPr>
        <w:t>rather</w:t>
      </w:r>
      <w:r>
        <w:rPr>
          <w:spacing w:val="-2"/>
          <w:sz w:val="22"/>
        </w:rPr>
        <w:t> </w:t>
      </w:r>
      <w:r>
        <w:rPr>
          <w:sz w:val="22"/>
        </w:rPr>
        <w:t>prescribes</w:t>
      </w:r>
      <w:r>
        <w:rPr>
          <w:spacing w:val="-4"/>
          <w:sz w:val="22"/>
        </w:rPr>
        <w:t> </w:t>
      </w:r>
      <w:r>
        <w:rPr>
          <w:sz w:val="22"/>
        </w:rPr>
        <w:t>that</w:t>
      </w:r>
      <w:r>
        <w:rPr>
          <w:spacing w:val="-1"/>
          <w:sz w:val="22"/>
        </w:rPr>
        <w:t> </w:t>
      </w:r>
      <w:r>
        <w:rPr>
          <w:sz w:val="22"/>
        </w:rPr>
        <w:t>each</w:t>
      </w:r>
      <w:r>
        <w:rPr>
          <w:spacing w:val="-5"/>
          <w:sz w:val="22"/>
        </w:rPr>
        <w:t> </w:t>
      </w:r>
      <w:r>
        <w:rPr>
          <w:sz w:val="22"/>
        </w:rPr>
        <w:t>polyphase</w:t>
      </w:r>
      <w:r>
        <w:rPr>
          <w:spacing w:val="-3"/>
          <w:sz w:val="22"/>
        </w:rPr>
        <w:t> </w:t>
      </w:r>
      <w:r>
        <w:rPr>
          <w:sz w:val="22"/>
        </w:rPr>
        <w:t>electric</w:t>
      </w:r>
      <w:r>
        <w:rPr>
          <w:spacing w:val="-2"/>
          <w:sz w:val="22"/>
        </w:rPr>
        <w:t> </w:t>
      </w:r>
      <w:r>
        <w:rPr>
          <w:sz w:val="22"/>
        </w:rPr>
        <w:t>line</w:t>
      </w:r>
      <w:r>
        <w:rPr>
          <w:spacing w:val="-3"/>
          <w:sz w:val="22"/>
        </w:rPr>
        <w:t> </w:t>
      </w:r>
      <w:r>
        <w:rPr>
          <w:sz w:val="22"/>
        </w:rPr>
        <w:t>originating</w:t>
      </w:r>
      <w:r>
        <w:rPr>
          <w:spacing w:val="-3"/>
          <w:sz w:val="22"/>
        </w:rPr>
        <w:t> </w:t>
      </w:r>
      <w:r>
        <w:rPr>
          <w:sz w:val="22"/>
        </w:rPr>
        <w:t>from</w:t>
      </w:r>
      <w:r>
        <w:rPr>
          <w:spacing w:val="-1"/>
          <w:sz w:val="22"/>
        </w:rPr>
        <w:t> </w:t>
      </w:r>
      <w:r>
        <w:rPr>
          <w:sz w:val="22"/>
        </w:rPr>
        <w:t>the</w:t>
      </w:r>
      <w:r>
        <w:rPr>
          <w:spacing w:val="-3"/>
          <w:sz w:val="22"/>
        </w:rPr>
        <w:t> </w:t>
      </w:r>
      <w:r>
        <w:rPr>
          <w:sz w:val="22"/>
        </w:rPr>
        <w:t>list</w:t>
      </w:r>
      <w:r>
        <w:rPr>
          <w:spacing w:val="-4"/>
          <w:sz w:val="22"/>
        </w:rPr>
        <w:t> </w:t>
      </w:r>
      <w:r>
        <w:rPr>
          <w:sz w:val="22"/>
        </w:rPr>
        <w:t>of selected zone substation must have the following </w:t>
      </w:r>
      <w:r>
        <w:rPr>
          <w:b/>
          <w:sz w:val="22"/>
        </w:rPr>
        <w:t>required capacity </w:t>
      </w:r>
      <w:r>
        <w:rPr>
          <w:sz w:val="22"/>
        </w:rPr>
        <w:t>in the event of a phase-to- ground fault.</w:t>
      </w:r>
    </w:p>
    <w:p>
      <w:pPr>
        <w:spacing w:after="0" w:line="288" w:lineRule="auto"/>
        <w:jc w:val="left"/>
        <w:rPr>
          <w:sz w:val="22"/>
        </w:rPr>
        <w:sectPr>
          <w:pgSz w:w="11910" w:h="16850"/>
          <w:pgMar w:header="220" w:footer="678" w:top="420" w:bottom="860" w:left="900" w:right="840"/>
        </w:sectPr>
      </w:pPr>
    </w:p>
    <w:p>
      <w:pPr>
        <w:pStyle w:val="BodyText"/>
        <w:rPr>
          <w:sz w:val="20"/>
        </w:rPr>
      </w:pPr>
    </w:p>
    <w:p>
      <w:pPr>
        <w:pStyle w:val="BodyText"/>
        <w:spacing w:before="9"/>
        <w:rPr>
          <w:sz w:val="18"/>
        </w:rPr>
      </w:pPr>
    </w:p>
    <w:p>
      <w:pPr>
        <w:pStyle w:val="ListParagraph"/>
        <w:numPr>
          <w:ilvl w:val="1"/>
          <w:numId w:val="68"/>
        </w:numPr>
        <w:tabs>
          <w:tab w:pos="734" w:val="left" w:leader="none"/>
        </w:tabs>
        <w:spacing w:line="285" w:lineRule="auto" w:before="115" w:after="0"/>
        <w:ind w:left="734" w:right="350" w:hanging="361"/>
        <w:jc w:val="left"/>
        <w:rPr>
          <w:sz w:val="22"/>
        </w:rPr>
      </w:pPr>
      <w:r>
        <w:rPr>
          <w:sz w:val="22"/>
        </w:rPr>
        <w:t>To</w:t>
      </w:r>
      <w:r>
        <w:rPr>
          <w:spacing w:val="-3"/>
          <w:sz w:val="22"/>
        </w:rPr>
        <w:t> </w:t>
      </w:r>
      <w:r>
        <w:rPr>
          <w:sz w:val="22"/>
        </w:rPr>
        <w:t>reduce</w:t>
      </w:r>
      <w:r>
        <w:rPr>
          <w:spacing w:val="-3"/>
          <w:sz w:val="22"/>
        </w:rPr>
        <w:t> </w:t>
      </w:r>
      <w:r>
        <w:rPr>
          <w:sz w:val="22"/>
        </w:rPr>
        <w:t>the</w:t>
      </w:r>
      <w:r>
        <w:rPr>
          <w:spacing w:val="-3"/>
          <w:sz w:val="22"/>
        </w:rPr>
        <w:t> </w:t>
      </w:r>
      <w:r>
        <w:rPr>
          <w:sz w:val="22"/>
        </w:rPr>
        <w:t>voltage</w:t>
      </w:r>
      <w:r>
        <w:rPr>
          <w:spacing w:val="-3"/>
          <w:sz w:val="22"/>
        </w:rPr>
        <w:t> </w:t>
      </w:r>
      <w:r>
        <w:rPr>
          <w:sz w:val="22"/>
        </w:rPr>
        <w:t>on</w:t>
      </w:r>
      <w:r>
        <w:rPr>
          <w:spacing w:val="-3"/>
          <w:sz w:val="22"/>
        </w:rPr>
        <w:t> </w:t>
      </w:r>
      <w:r>
        <w:rPr>
          <w:sz w:val="22"/>
        </w:rPr>
        <w:t>the</w:t>
      </w:r>
      <w:r>
        <w:rPr>
          <w:spacing w:val="-6"/>
          <w:sz w:val="22"/>
        </w:rPr>
        <w:t> </w:t>
      </w:r>
      <w:r>
        <w:rPr>
          <w:sz w:val="22"/>
        </w:rPr>
        <w:t>faulted</w:t>
      </w:r>
      <w:r>
        <w:rPr>
          <w:spacing w:val="-3"/>
          <w:sz w:val="22"/>
        </w:rPr>
        <w:t> </w:t>
      </w:r>
      <w:r>
        <w:rPr>
          <w:sz w:val="22"/>
        </w:rPr>
        <w:t>conductor</w:t>
      </w:r>
      <w:r>
        <w:rPr>
          <w:spacing w:val="-2"/>
          <w:sz w:val="22"/>
        </w:rPr>
        <w:t> </w:t>
      </w:r>
      <w:r>
        <w:rPr>
          <w:sz w:val="22"/>
        </w:rPr>
        <w:t>in</w:t>
      </w:r>
      <w:r>
        <w:rPr>
          <w:spacing w:val="-3"/>
          <w:sz w:val="22"/>
        </w:rPr>
        <w:t> </w:t>
      </w:r>
      <w:r>
        <w:rPr>
          <w:sz w:val="22"/>
        </w:rPr>
        <w:t>relation</w:t>
      </w:r>
      <w:r>
        <w:rPr>
          <w:spacing w:val="-1"/>
          <w:sz w:val="22"/>
        </w:rPr>
        <w:t> </w:t>
      </w:r>
      <w:r>
        <w:rPr>
          <w:sz w:val="22"/>
        </w:rPr>
        <w:t>to</w:t>
      </w:r>
      <w:r>
        <w:rPr>
          <w:spacing w:val="-3"/>
          <w:sz w:val="22"/>
        </w:rPr>
        <w:t> </w:t>
      </w:r>
      <w:r>
        <w:rPr>
          <w:sz w:val="22"/>
        </w:rPr>
        <w:t>the</w:t>
      </w:r>
      <w:r>
        <w:rPr>
          <w:spacing w:val="-3"/>
          <w:sz w:val="22"/>
        </w:rPr>
        <w:t> </w:t>
      </w:r>
      <w:r>
        <w:rPr>
          <w:sz w:val="22"/>
        </w:rPr>
        <w:t>station</w:t>
      </w:r>
      <w:r>
        <w:rPr>
          <w:spacing w:val="-1"/>
          <w:sz w:val="22"/>
        </w:rPr>
        <w:t> </w:t>
      </w:r>
      <w:r>
        <w:rPr>
          <w:sz w:val="22"/>
        </w:rPr>
        <w:t>earth</w:t>
      </w:r>
      <w:r>
        <w:rPr>
          <w:spacing w:val="-1"/>
          <w:sz w:val="22"/>
        </w:rPr>
        <w:t> </w:t>
      </w:r>
      <w:r>
        <w:rPr>
          <w:sz w:val="22"/>
        </w:rPr>
        <w:t>when measured at the corresponding zone substation for </w:t>
      </w:r>
      <w:r>
        <w:rPr>
          <w:b/>
          <w:sz w:val="22"/>
        </w:rPr>
        <w:t>high impedance </w:t>
      </w:r>
      <w:r>
        <w:rPr>
          <w:sz w:val="22"/>
        </w:rPr>
        <w:t>faults to:</w:t>
      </w:r>
    </w:p>
    <w:p>
      <w:pPr>
        <w:pStyle w:val="BodyText"/>
        <w:spacing w:before="2"/>
        <w:rPr>
          <w:sz w:val="21"/>
        </w:rPr>
      </w:pPr>
    </w:p>
    <w:p>
      <w:pPr>
        <w:pStyle w:val="ListParagraph"/>
        <w:numPr>
          <w:ilvl w:val="2"/>
          <w:numId w:val="68"/>
        </w:numPr>
        <w:tabs>
          <w:tab w:pos="801" w:val="left" w:leader="none"/>
        </w:tabs>
        <w:spacing w:line="240" w:lineRule="auto" w:before="0" w:after="0"/>
        <w:ind w:left="801" w:right="0" w:hanging="285"/>
        <w:jc w:val="left"/>
        <w:rPr>
          <w:sz w:val="22"/>
        </w:rPr>
      </w:pPr>
      <w:r>
        <w:rPr>
          <w:sz w:val="22"/>
        </w:rPr>
        <w:t>250</w:t>
      </w:r>
      <w:r>
        <w:rPr>
          <w:spacing w:val="-6"/>
          <w:sz w:val="22"/>
        </w:rPr>
        <w:t> </w:t>
      </w:r>
      <w:r>
        <w:rPr>
          <w:sz w:val="22"/>
        </w:rPr>
        <w:t>volts</w:t>
      </w:r>
      <w:r>
        <w:rPr>
          <w:spacing w:val="-2"/>
          <w:sz w:val="22"/>
        </w:rPr>
        <w:t> </w:t>
      </w:r>
      <w:r>
        <w:rPr>
          <w:sz w:val="22"/>
        </w:rPr>
        <w:t>within</w:t>
      </w:r>
      <w:r>
        <w:rPr>
          <w:spacing w:val="-4"/>
          <w:sz w:val="22"/>
        </w:rPr>
        <w:t> </w:t>
      </w:r>
      <w:r>
        <w:rPr>
          <w:sz w:val="22"/>
        </w:rPr>
        <w:t>2</w:t>
      </w:r>
      <w:r>
        <w:rPr>
          <w:spacing w:val="-2"/>
          <w:sz w:val="22"/>
        </w:rPr>
        <w:t> </w:t>
      </w:r>
      <w:r>
        <w:rPr>
          <w:sz w:val="22"/>
        </w:rPr>
        <w:t>seconds</w:t>
      </w:r>
      <w:r>
        <w:rPr>
          <w:spacing w:val="-3"/>
          <w:sz w:val="22"/>
        </w:rPr>
        <w:t> </w:t>
      </w:r>
      <w:r>
        <w:rPr>
          <w:sz w:val="22"/>
        </w:rPr>
        <w:t>of</w:t>
      </w:r>
      <w:r>
        <w:rPr>
          <w:spacing w:val="-4"/>
          <w:sz w:val="22"/>
        </w:rPr>
        <w:t> </w:t>
      </w:r>
      <w:r>
        <w:rPr>
          <w:sz w:val="22"/>
        </w:rPr>
        <w:t>fault</w:t>
      </w:r>
      <w:r>
        <w:rPr>
          <w:spacing w:val="-2"/>
          <w:sz w:val="22"/>
        </w:rPr>
        <w:t> </w:t>
      </w:r>
      <w:r>
        <w:rPr>
          <w:sz w:val="22"/>
        </w:rPr>
        <w:t>occurrence</w:t>
      </w:r>
      <w:r>
        <w:rPr>
          <w:spacing w:val="-3"/>
          <w:sz w:val="22"/>
        </w:rPr>
        <w:t> </w:t>
      </w:r>
      <w:r>
        <w:rPr>
          <w:sz w:val="22"/>
        </w:rPr>
        <w:t>and</w:t>
      </w:r>
      <w:r>
        <w:rPr>
          <w:spacing w:val="-6"/>
          <w:sz w:val="22"/>
        </w:rPr>
        <w:t> </w:t>
      </w:r>
      <w:r>
        <w:rPr>
          <w:sz w:val="22"/>
        </w:rPr>
        <w:t>for</w:t>
      </w:r>
      <w:r>
        <w:rPr>
          <w:spacing w:val="-2"/>
          <w:sz w:val="22"/>
        </w:rPr>
        <w:t> </w:t>
      </w:r>
      <w:r>
        <w:rPr>
          <w:sz w:val="22"/>
        </w:rPr>
        <w:t>as</w:t>
      </w:r>
      <w:r>
        <w:rPr>
          <w:spacing w:val="-6"/>
          <w:sz w:val="22"/>
        </w:rPr>
        <w:t> </w:t>
      </w:r>
      <w:r>
        <w:rPr>
          <w:sz w:val="22"/>
        </w:rPr>
        <w:t>long</w:t>
      </w:r>
      <w:r>
        <w:rPr>
          <w:spacing w:val="-3"/>
          <w:sz w:val="22"/>
        </w:rPr>
        <w:t> </w:t>
      </w:r>
      <w:r>
        <w:rPr>
          <w:sz w:val="22"/>
        </w:rPr>
        <w:t>as</w:t>
      </w:r>
      <w:r>
        <w:rPr>
          <w:spacing w:val="-5"/>
          <w:sz w:val="22"/>
        </w:rPr>
        <w:t> </w:t>
      </w:r>
      <w:r>
        <w:rPr>
          <w:sz w:val="22"/>
        </w:rPr>
        <w:t>the</w:t>
      </w:r>
      <w:r>
        <w:rPr>
          <w:spacing w:val="-9"/>
          <w:sz w:val="22"/>
        </w:rPr>
        <w:t> </w:t>
      </w:r>
      <w:r>
        <w:rPr>
          <w:sz w:val="22"/>
        </w:rPr>
        <w:t>fault</w:t>
      </w:r>
      <w:r>
        <w:rPr>
          <w:spacing w:val="-4"/>
          <w:sz w:val="22"/>
        </w:rPr>
        <w:t> </w:t>
      </w:r>
      <w:r>
        <w:rPr>
          <w:sz w:val="22"/>
        </w:rPr>
        <w:t>is</w:t>
      </w:r>
      <w:r>
        <w:rPr>
          <w:spacing w:val="-2"/>
          <w:sz w:val="22"/>
        </w:rPr>
        <w:t> present.</w:t>
      </w:r>
      <w:r>
        <w:rPr>
          <w:spacing w:val="-2"/>
          <w:sz w:val="22"/>
          <w:vertAlign w:val="superscript"/>
        </w:rPr>
        <w:t>11</w:t>
      </w:r>
    </w:p>
    <w:p>
      <w:pPr>
        <w:pStyle w:val="BodyText"/>
        <w:spacing w:before="11"/>
        <w:rPr>
          <w:sz w:val="24"/>
        </w:rPr>
      </w:pPr>
    </w:p>
    <w:p>
      <w:pPr>
        <w:pStyle w:val="ListParagraph"/>
        <w:numPr>
          <w:ilvl w:val="1"/>
          <w:numId w:val="68"/>
        </w:numPr>
        <w:tabs>
          <w:tab w:pos="734" w:val="left" w:leader="none"/>
        </w:tabs>
        <w:spacing w:line="288" w:lineRule="auto" w:before="0" w:after="0"/>
        <w:ind w:left="734" w:right="378" w:hanging="361"/>
        <w:jc w:val="left"/>
        <w:rPr>
          <w:sz w:val="22"/>
        </w:rPr>
      </w:pPr>
      <w:r>
        <w:rPr>
          <w:sz w:val="22"/>
        </w:rPr>
        <w:t>When</w:t>
      </w:r>
      <w:r>
        <w:rPr>
          <w:spacing w:val="-2"/>
          <w:sz w:val="22"/>
        </w:rPr>
        <w:t> </w:t>
      </w:r>
      <w:r>
        <w:rPr>
          <w:sz w:val="22"/>
        </w:rPr>
        <w:t>conducting diagnostic</w:t>
      </w:r>
      <w:r>
        <w:rPr>
          <w:spacing w:val="-4"/>
          <w:sz w:val="22"/>
        </w:rPr>
        <w:t> </w:t>
      </w:r>
      <w:r>
        <w:rPr>
          <w:sz w:val="22"/>
        </w:rPr>
        <w:t>tests</w:t>
      </w:r>
      <w:r>
        <w:rPr>
          <w:spacing w:val="-3"/>
          <w:sz w:val="22"/>
        </w:rPr>
        <w:t> </w:t>
      </w:r>
      <w:r>
        <w:rPr>
          <w:sz w:val="22"/>
        </w:rPr>
        <w:t>to</w:t>
      </w:r>
      <w:r>
        <w:rPr>
          <w:spacing w:val="-4"/>
          <w:sz w:val="22"/>
        </w:rPr>
        <w:t> </w:t>
      </w:r>
      <w:r>
        <w:rPr>
          <w:sz w:val="22"/>
        </w:rPr>
        <w:t>confirm</w:t>
      </w:r>
      <w:r>
        <w:rPr>
          <w:spacing w:val="-3"/>
          <w:sz w:val="22"/>
        </w:rPr>
        <w:t> </w:t>
      </w:r>
      <w:r>
        <w:rPr>
          <w:sz w:val="22"/>
        </w:rPr>
        <w:t>if the</w:t>
      </w:r>
      <w:r>
        <w:rPr>
          <w:spacing w:val="-7"/>
          <w:sz w:val="22"/>
        </w:rPr>
        <w:t> </w:t>
      </w:r>
      <w:r>
        <w:rPr>
          <w:sz w:val="22"/>
        </w:rPr>
        <w:t>fault</w:t>
      </w:r>
      <w:r>
        <w:rPr>
          <w:spacing w:val="-3"/>
          <w:sz w:val="22"/>
        </w:rPr>
        <w:t> </w:t>
      </w:r>
      <w:r>
        <w:rPr>
          <w:sz w:val="22"/>
        </w:rPr>
        <w:t>is</w:t>
      </w:r>
      <w:r>
        <w:rPr>
          <w:spacing w:val="-1"/>
          <w:sz w:val="22"/>
        </w:rPr>
        <w:t> </w:t>
      </w:r>
      <w:r>
        <w:rPr>
          <w:sz w:val="22"/>
        </w:rPr>
        <w:t>sustained</w:t>
      </w:r>
      <w:r>
        <w:rPr>
          <w:spacing w:val="-2"/>
          <w:sz w:val="22"/>
        </w:rPr>
        <w:t> </w:t>
      </w:r>
      <w:r>
        <w:rPr>
          <w:sz w:val="22"/>
        </w:rPr>
        <w:t>or not</w:t>
      </w:r>
      <w:r>
        <w:rPr>
          <w:spacing w:val="-3"/>
          <w:sz w:val="22"/>
        </w:rPr>
        <w:t> </w:t>
      </w:r>
      <w:r>
        <w:rPr>
          <w:sz w:val="22"/>
        </w:rPr>
        <w:t>or</w:t>
      </w:r>
      <w:r>
        <w:rPr>
          <w:spacing w:val="-3"/>
          <w:sz w:val="22"/>
        </w:rPr>
        <w:t> </w:t>
      </w:r>
      <w:r>
        <w:rPr>
          <w:sz w:val="22"/>
        </w:rPr>
        <w:t>to</w:t>
      </w:r>
      <w:r>
        <w:rPr>
          <w:spacing w:val="-2"/>
          <w:sz w:val="22"/>
        </w:rPr>
        <w:t> </w:t>
      </w:r>
      <w:r>
        <w:rPr>
          <w:sz w:val="22"/>
        </w:rPr>
        <w:t>identify</w:t>
      </w:r>
      <w:r>
        <w:rPr>
          <w:spacing w:val="-4"/>
          <w:sz w:val="22"/>
        </w:rPr>
        <w:t> </w:t>
      </w:r>
      <w:r>
        <w:rPr>
          <w:sz w:val="22"/>
        </w:rPr>
        <w:t>which powerline is on to:</w:t>
      </w:r>
    </w:p>
    <w:p>
      <w:pPr>
        <w:pStyle w:val="BodyText"/>
        <w:spacing w:before="7"/>
        <w:rPr>
          <w:sz w:val="20"/>
        </w:rPr>
      </w:pPr>
    </w:p>
    <w:p>
      <w:pPr>
        <w:pStyle w:val="ListParagraph"/>
        <w:numPr>
          <w:ilvl w:val="2"/>
          <w:numId w:val="68"/>
        </w:numPr>
        <w:tabs>
          <w:tab w:pos="801" w:val="left" w:leader="none"/>
        </w:tabs>
        <w:spacing w:line="240" w:lineRule="auto" w:before="0" w:after="0"/>
        <w:ind w:left="801" w:right="0" w:hanging="285"/>
        <w:jc w:val="left"/>
        <w:rPr>
          <w:sz w:val="22"/>
        </w:rPr>
      </w:pPr>
      <w:r>
        <w:rPr>
          <w:sz w:val="22"/>
        </w:rPr>
        <w:t>limit</w:t>
      </w:r>
      <w:r>
        <w:rPr>
          <w:spacing w:val="-1"/>
          <w:sz w:val="22"/>
        </w:rPr>
        <w:t> </w:t>
      </w:r>
      <w:r>
        <w:rPr>
          <w:sz w:val="22"/>
        </w:rPr>
        <w:t>the</w:t>
      </w:r>
      <w:r>
        <w:rPr>
          <w:spacing w:val="-8"/>
          <w:sz w:val="22"/>
        </w:rPr>
        <w:t> </w:t>
      </w:r>
      <w:r>
        <w:rPr>
          <w:sz w:val="22"/>
        </w:rPr>
        <w:t>fault</w:t>
      </w:r>
      <w:r>
        <w:rPr>
          <w:spacing w:val="-4"/>
          <w:sz w:val="22"/>
        </w:rPr>
        <w:t> </w:t>
      </w:r>
      <w:r>
        <w:rPr>
          <w:sz w:val="22"/>
        </w:rPr>
        <w:t>current</w:t>
      </w:r>
      <w:r>
        <w:rPr>
          <w:spacing w:val="-4"/>
          <w:sz w:val="22"/>
        </w:rPr>
        <w:t> </w:t>
      </w:r>
      <w:r>
        <w:rPr>
          <w:sz w:val="22"/>
        </w:rPr>
        <w:t>to</w:t>
      </w:r>
      <w:r>
        <w:rPr>
          <w:spacing w:val="-2"/>
          <w:sz w:val="22"/>
        </w:rPr>
        <w:t> </w:t>
      </w:r>
      <w:r>
        <w:rPr>
          <w:sz w:val="22"/>
        </w:rPr>
        <w:t>less</w:t>
      </w:r>
      <w:r>
        <w:rPr>
          <w:spacing w:val="-3"/>
          <w:sz w:val="22"/>
        </w:rPr>
        <w:t> </w:t>
      </w:r>
      <w:r>
        <w:rPr>
          <w:sz w:val="22"/>
        </w:rPr>
        <w:t>than</w:t>
      </w:r>
      <w:r>
        <w:rPr>
          <w:spacing w:val="-5"/>
          <w:sz w:val="22"/>
        </w:rPr>
        <w:t> </w:t>
      </w:r>
      <w:r>
        <w:rPr>
          <w:sz w:val="22"/>
        </w:rPr>
        <w:t>0.5</w:t>
      </w:r>
      <w:r>
        <w:rPr>
          <w:spacing w:val="-3"/>
          <w:sz w:val="22"/>
        </w:rPr>
        <w:t> </w:t>
      </w:r>
      <w:r>
        <w:rPr>
          <w:sz w:val="22"/>
        </w:rPr>
        <w:t>amps;</w:t>
      </w:r>
      <w:r>
        <w:rPr>
          <w:spacing w:val="-3"/>
          <w:sz w:val="22"/>
        </w:rPr>
        <w:t> </w:t>
      </w:r>
      <w:r>
        <w:rPr>
          <w:spacing w:val="-5"/>
          <w:sz w:val="22"/>
        </w:rPr>
        <w:t>and</w:t>
      </w:r>
    </w:p>
    <w:p>
      <w:pPr>
        <w:pStyle w:val="ListParagraph"/>
        <w:numPr>
          <w:ilvl w:val="2"/>
          <w:numId w:val="68"/>
        </w:numPr>
        <w:tabs>
          <w:tab w:pos="801" w:val="left" w:leader="none"/>
        </w:tabs>
        <w:spacing w:line="240" w:lineRule="auto" w:before="33" w:after="0"/>
        <w:ind w:left="801" w:right="0" w:hanging="285"/>
        <w:jc w:val="left"/>
        <w:rPr>
          <w:sz w:val="22"/>
        </w:rPr>
      </w:pPr>
      <w:r>
        <w:rPr>
          <w:sz w:val="22"/>
        </w:rPr>
        <w:t>limit</w:t>
      </w:r>
      <w:r>
        <w:rPr>
          <w:spacing w:val="-2"/>
          <w:sz w:val="22"/>
        </w:rPr>
        <w:t> </w:t>
      </w:r>
      <w:r>
        <w:rPr>
          <w:sz w:val="22"/>
        </w:rPr>
        <w:t>the</w:t>
      </w:r>
      <w:r>
        <w:rPr>
          <w:spacing w:val="-5"/>
          <w:sz w:val="22"/>
        </w:rPr>
        <w:t> </w:t>
      </w:r>
      <w:r>
        <w:rPr>
          <w:sz w:val="22"/>
        </w:rPr>
        <w:t>thermal</w:t>
      </w:r>
      <w:r>
        <w:rPr>
          <w:spacing w:val="-5"/>
          <w:sz w:val="22"/>
        </w:rPr>
        <w:t> </w:t>
      </w:r>
      <w:r>
        <w:rPr>
          <w:sz w:val="22"/>
        </w:rPr>
        <w:t>energy</w:t>
      </w:r>
      <w:r>
        <w:rPr>
          <w:spacing w:val="-5"/>
          <w:sz w:val="22"/>
        </w:rPr>
        <w:t> </w:t>
      </w:r>
      <w:r>
        <w:rPr>
          <w:sz w:val="22"/>
        </w:rPr>
        <w:t>to</w:t>
      </w:r>
      <w:r>
        <w:rPr>
          <w:spacing w:val="-1"/>
          <w:sz w:val="22"/>
        </w:rPr>
        <w:t> </w:t>
      </w:r>
      <w:r>
        <w:rPr>
          <w:sz w:val="22"/>
        </w:rPr>
        <w:t>a</w:t>
      </w:r>
      <w:r>
        <w:rPr>
          <w:spacing w:val="-5"/>
          <w:sz w:val="22"/>
        </w:rPr>
        <w:t> </w:t>
      </w:r>
      <w:r>
        <w:rPr>
          <w:sz w:val="22"/>
        </w:rPr>
        <w:t>maximum</w:t>
      </w:r>
      <w:r>
        <w:rPr>
          <w:spacing w:val="-4"/>
          <w:sz w:val="22"/>
        </w:rPr>
        <w:t> </w:t>
      </w:r>
      <w:r>
        <w:rPr>
          <w:sz w:val="22"/>
        </w:rPr>
        <w:t>I2t</w:t>
      </w:r>
      <w:r>
        <w:rPr>
          <w:spacing w:val="-4"/>
          <w:sz w:val="22"/>
        </w:rPr>
        <w:t> </w:t>
      </w:r>
      <w:r>
        <w:rPr>
          <w:sz w:val="22"/>
        </w:rPr>
        <w:t>value</w:t>
      </w:r>
      <w:r>
        <w:rPr>
          <w:spacing w:val="-3"/>
          <w:sz w:val="22"/>
        </w:rPr>
        <w:t> </w:t>
      </w:r>
      <w:r>
        <w:rPr>
          <w:sz w:val="22"/>
        </w:rPr>
        <w:t>of</w:t>
      </w:r>
      <w:r>
        <w:rPr>
          <w:spacing w:val="-2"/>
          <w:sz w:val="22"/>
        </w:rPr>
        <w:t> 0·10.</w:t>
      </w:r>
      <w:r>
        <w:rPr>
          <w:spacing w:val="-2"/>
          <w:sz w:val="22"/>
          <w:vertAlign w:val="superscript"/>
        </w:rPr>
        <w:t>12</w:t>
      </w:r>
    </w:p>
    <w:p>
      <w:pPr>
        <w:pStyle w:val="BodyText"/>
        <w:spacing w:before="10"/>
        <w:rPr>
          <w:sz w:val="24"/>
        </w:rPr>
      </w:pPr>
    </w:p>
    <w:p>
      <w:pPr>
        <w:pStyle w:val="ListParagraph"/>
        <w:numPr>
          <w:ilvl w:val="1"/>
          <w:numId w:val="68"/>
        </w:numPr>
        <w:tabs>
          <w:tab w:pos="734" w:val="left" w:leader="none"/>
        </w:tabs>
        <w:spacing w:line="288" w:lineRule="auto" w:before="1" w:after="0"/>
        <w:ind w:left="734" w:right="350" w:hanging="361"/>
        <w:jc w:val="left"/>
        <w:rPr>
          <w:sz w:val="22"/>
        </w:rPr>
      </w:pPr>
      <w:r>
        <w:rPr>
          <w:sz w:val="22"/>
        </w:rPr>
        <w:t>To</w:t>
      </w:r>
      <w:r>
        <w:rPr>
          <w:spacing w:val="-3"/>
          <w:sz w:val="22"/>
        </w:rPr>
        <w:t> </w:t>
      </w:r>
      <w:r>
        <w:rPr>
          <w:sz w:val="22"/>
        </w:rPr>
        <w:t>reduce</w:t>
      </w:r>
      <w:r>
        <w:rPr>
          <w:spacing w:val="-3"/>
          <w:sz w:val="22"/>
        </w:rPr>
        <w:t> </w:t>
      </w:r>
      <w:r>
        <w:rPr>
          <w:sz w:val="22"/>
        </w:rPr>
        <w:t>the</w:t>
      </w:r>
      <w:r>
        <w:rPr>
          <w:spacing w:val="-3"/>
          <w:sz w:val="22"/>
        </w:rPr>
        <w:t> </w:t>
      </w:r>
      <w:r>
        <w:rPr>
          <w:sz w:val="22"/>
        </w:rPr>
        <w:t>voltage</w:t>
      </w:r>
      <w:r>
        <w:rPr>
          <w:spacing w:val="-3"/>
          <w:sz w:val="22"/>
        </w:rPr>
        <w:t> </w:t>
      </w:r>
      <w:r>
        <w:rPr>
          <w:sz w:val="22"/>
        </w:rPr>
        <w:t>on</w:t>
      </w:r>
      <w:r>
        <w:rPr>
          <w:spacing w:val="-3"/>
          <w:sz w:val="22"/>
        </w:rPr>
        <w:t> </w:t>
      </w:r>
      <w:r>
        <w:rPr>
          <w:sz w:val="22"/>
        </w:rPr>
        <w:t>the</w:t>
      </w:r>
      <w:r>
        <w:rPr>
          <w:spacing w:val="-6"/>
          <w:sz w:val="22"/>
        </w:rPr>
        <w:t> </w:t>
      </w:r>
      <w:r>
        <w:rPr>
          <w:sz w:val="22"/>
        </w:rPr>
        <w:t>faulted</w:t>
      </w:r>
      <w:r>
        <w:rPr>
          <w:spacing w:val="-3"/>
          <w:sz w:val="22"/>
        </w:rPr>
        <w:t> </w:t>
      </w:r>
      <w:r>
        <w:rPr>
          <w:sz w:val="22"/>
        </w:rPr>
        <w:t>conductor</w:t>
      </w:r>
      <w:r>
        <w:rPr>
          <w:spacing w:val="-2"/>
          <w:sz w:val="22"/>
        </w:rPr>
        <w:t> </w:t>
      </w:r>
      <w:r>
        <w:rPr>
          <w:sz w:val="22"/>
        </w:rPr>
        <w:t>in</w:t>
      </w:r>
      <w:r>
        <w:rPr>
          <w:spacing w:val="-3"/>
          <w:sz w:val="22"/>
        </w:rPr>
        <w:t> </w:t>
      </w:r>
      <w:r>
        <w:rPr>
          <w:sz w:val="22"/>
        </w:rPr>
        <w:t>relation</w:t>
      </w:r>
      <w:r>
        <w:rPr>
          <w:spacing w:val="-1"/>
          <w:sz w:val="22"/>
        </w:rPr>
        <w:t> </w:t>
      </w:r>
      <w:r>
        <w:rPr>
          <w:sz w:val="22"/>
        </w:rPr>
        <w:t>to</w:t>
      </w:r>
      <w:r>
        <w:rPr>
          <w:spacing w:val="-3"/>
          <w:sz w:val="22"/>
        </w:rPr>
        <w:t> </w:t>
      </w:r>
      <w:r>
        <w:rPr>
          <w:sz w:val="22"/>
        </w:rPr>
        <w:t>the</w:t>
      </w:r>
      <w:r>
        <w:rPr>
          <w:spacing w:val="-3"/>
          <w:sz w:val="22"/>
        </w:rPr>
        <w:t> </w:t>
      </w:r>
      <w:r>
        <w:rPr>
          <w:sz w:val="22"/>
        </w:rPr>
        <w:t>station</w:t>
      </w:r>
      <w:r>
        <w:rPr>
          <w:spacing w:val="-1"/>
          <w:sz w:val="22"/>
        </w:rPr>
        <w:t> </w:t>
      </w:r>
      <w:r>
        <w:rPr>
          <w:sz w:val="22"/>
        </w:rPr>
        <w:t>earth</w:t>
      </w:r>
      <w:r>
        <w:rPr>
          <w:spacing w:val="-1"/>
          <w:sz w:val="22"/>
        </w:rPr>
        <w:t> </w:t>
      </w:r>
      <w:r>
        <w:rPr>
          <w:sz w:val="22"/>
        </w:rPr>
        <w:t>when measured at the corresponding zone substation for </w:t>
      </w:r>
      <w:r>
        <w:rPr>
          <w:b/>
          <w:sz w:val="22"/>
        </w:rPr>
        <w:t>low impedance </w:t>
      </w:r>
      <w:r>
        <w:rPr>
          <w:sz w:val="22"/>
        </w:rPr>
        <w:t>faults to:</w:t>
      </w:r>
    </w:p>
    <w:p>
      <w:pPr>
        <w:pStyle w:val="BodyText"/>
        <w:spacing w:before="10"/>
        <w:rPr>
          <w:sz w:val="20"/>
        </w:rPr>
      </w:pPr>
    </w:p>
    <w:p>
      <w:pPr>
        <w:pStyle w:val="ListParagraph"/>
        <w:numPr>
          <w:ilvl w:val="2"/>
          <w:numId w:val="68"/>
        </w:numPr>
        <w:tabs>
          <w:tab w:pos="801" w:val="left" w:leader="none"/>
        </w:tabs>
        <w:spacing w:line="240" w:lineRule="auto" w:before="0" w:after="0"/>
        <w:ind w:left="801" w:right="0" w:hanging="285"/>
        <w:jc w:val="left"/>
        <w:rPr>
          <w:sz w:val="22"/>
        </w:rPr>
      </w:pPr>
      <w:r>
        <w:rPr>
          <w:sz w:val="22"/>
        </w:rPr>
        <w:t>1900</w:t>
      </w:r>
      <w:r>
        <w:rPr>
          <w:spacing w:val="-6"/>
          <w:sz w:val="22"/>
        </w:rPr>
        <w:t> </w:t>
      </w:r>
      <w:r>
        <w:rPr>
          <w:sz w:val="22"/>
        </w:rPr>
        <w:t>volts</w:t>
      </w:r>
      <w:r>
        <w:rPr>
          <w:spacing w:val="-4"/>
          <w:sz w:val="22"/>
        </w:rPr>
        <w:t> </w:t>
      </w:r>
      <w:r>
        <w:rPr>
          <w:sz w:val="22"/>
        </w:rPr>
        <w:t>within</w:t>
      </w:r>
      <w:r>
        <w:rPr>
          <w:spacing w:val="-5"/>
          <w:sz w:val="22"/>
        </w:rPr>
        <w:t> </w:t>
      </w:r>
      <w:r>
        <w:rPr>
          <w:sz w:val="22"/>
        </w:rPr>
        <w:t>85</w:t>
      </w:r>
      <w:r>
        <w:rPr>
          <w:spacing w:val="-6"/>
          <w:sz w:val="22"/>
        </w:rPr>
        <w:t> </w:t>
      </w:r>
      <w:r>
        <w:rPr>
          <w:sz w:val="22"/>
        </w:rPr>
        <w:t>milliseconds</w:t>
      </w:r>
      <w:r>
        <w:rPr>
          <w:spacing w:val="-3"/>
          <w:sz w:val="22"/>
        </w:rPr>
        <w:t> </w:t>
      </w:r>
      <w:r>
        <w:rPr>
          <w:sz w:val="22"/>
        </w:rPr>
        <w:t>of</w:t>
      </w:r>
      <w:r>
        <w:rPr>
          <w:spacing w:val="-6"/>
          <w:sz w:val="22"/>
        </w:rPr>
        <w:t> </w:t>
      </w:r>
      <w:r>
        <w:rPr>
          <w:sz w:val="22"/>
        </w:rPr>
        <w:t>fault</w:t>
      </w:r>
      <w:r>
        <w:rPr>
          <w:spacing w:val="-3"/>
          <w:sz w:val="22"/>
        </w:rPr>
        <w:t> </w:t>
      </w:r>
      <w:r>
        <w:rPr>
          <w:spacing w:val="-2"/>
          <w:sz w:val="22"/>
        </w:rPr>
        <w:t>occurrence;</w:t>
      </w:r>
    </w:p>
    <w:p>
      <w:pPr>
        <w:pStyle w:val="ListParagraph"/>
        <w:numPr>
          <w:ilvl w:val="2"/>
          <w:numId w:val="68"/>
        </w:numPr>
        <w:tabs>
          <w:tab w:pos="801" w:val="left" w:leader="none"/>
        </w:tabs>
        <w:spacing w:line="240" w:lineRule="auto" w:before="30" w:after="0"/>
        <w:ind w:left="801" w:right="0" w:hanging="285"/>
        <w:jc w:val="left"/>
        <w:rPr>
          <w:sz w:val="22"/>
        </w:rPr>
      </w:pPr>
      <w:r>
        <w:rPr>
          <w:sz w:val="22"/>
        </w:rPr>
        <w:t>750</w:t>
      </w:r>
      <w:r>
        <w:rPr>
          <w:spacing w:val="-8"/>
          <w:sz w:val="22"/>
        </w:rPr>
        <w:t> </w:t>
      </w:r>
      <w:r>
        <w:rPr>
          <w:sz w:val="22"/>
        </w:rPr>
        <w:t>volts</w:t>
      </w:r>
      <w:r>
        <w:rPr>
          <w:spacing w:val="-5"/>
          <w:sz w:val="22"/>
        </w:rPr>
        <w:t> </w:t>
      </w:r>
      <w:r>
        <w:rPr>
          <w:sz w:val="22"/>
        </w:rPr>
        <w:t>within</w:t>
      </w:r>
      <w:r>
        <w:rPr>
          <w:spacing w:val="-5"/>
          <w:sz w:val="22"/>
        </w:rPr>
        <w:t> </w:t>
      </w:r>
      <w:r>
        <w:rPr>
          <w:sz w:val="22"/>
        </w:rPr>
        <w:t>500</w:t>
      </w:r>
      <w:r>
        <w:rPr>
          <w:spacing w:val="-6"/>
          <w:sz w:val="22"/>
        </w:rPr>
        <w:t> </w:t>
      </w:r>
      <w:r>
        <w:rPr>
          <w:sz w:val="22"/>
        </w:rPr>
        <w:t>milliseconds</w:t>
      </w:r>
      <w:r>
        <w:rPr>
          <w:spacing w:val="-4"/>
          <w:sz w:val="22"/>
        </w:rPr>
        <w:t> </w:t>
      </w:r>
      <w:r>
        <w:rPr>
          <w:sz w:val="22"/>
        </w:rPr>
        <w:t>of</w:t>
      </w:r>
      <w:r>
        <w:rPr>
          <w:spacing w:val="-6"/>
          <w:sz w:val="22"/>
        </w:rPr>
        <w:t> </w:t>
      </w:r>
      <w:r>
        <w:rPr>
          <w:sz w:val="22"/>
        </w:rPr>
        <w:t>fault</w:t>
      </w:r>
      <w:r>
        <w:rPr>
          <w:spacing w:val="-4"/>
          <w:sz w:val="22"/>
        </w:rPr>
        <w:t> </w:t>
      </w:r>
      <w:r>
        <w:rPr>
          <w:sz w:val="22"/>
        </w:rPr>
        <w:t>occurrence;</w:t>
      </w:r>
      <w:r>
        <w:rPr>
          <w:spacing w:val="-3"/>
          <w:sz w:val="22"/>
        </w:rPr>
        <w:t> </w:t>
      </w:r>
      <w:r>
        <w:rPr>
          <w:spacing w:val="-5"/>
          <w:sz w:val="22"/>
        </w:rPr>
        <w:t>and</w:t>
      </w:r>
    </w:p>
    <w:p>
      <w:pPr>
        <w:pStyle w:val="ListParagraph"/>
        <w:numPr>
          <w:ilvl w:val="2"/>
          <w:numId w:val="68"/>
        </w:numPr>
        <w:tabs>
          <w:tab w:pos="801" w:val="left" w:leader="none"/>
        </w:tabs>
        <w:spacing w:line="240" w:lineRule="auto" w:before="33" w:after="0"/>
        <w:ind w:left="801" w:right="0" w:hanging="285"/>
        <w:jc w:val="left"/>
        <w:rPr>
          <w:sz w:val="22"/>
        </w:rPr>
      </w:pPr>
      <w:r>
        <w:rPr>
          <w:sz w:val="22"/>
        </w:rPr>
        <w:t>250</w:t>
      </w:r>
      <w:r>
        <w:rPr>
          <w:spacing w:val="-6"/>
          <w:sz w:val="22"/>
        </w:rPr>
        <w:t> </w:t>
      </w:r>
      <w:r>
        <w:rPr>
          <w:sz w:val="22"/>
        </w:rPr>
        <w:t>volts</w:t>
      </w:r>
      <w:r>
        <w:rPr>
          <w:spacing w:val="-3"/>
          <w:sz w:val="22"/>
        </w:rPr>
        <w:t> </w:t>
      </w:r>
      <w:r>
        <w:rPr>
          <w:sz w:val="22"/>
        </w:rPr>
        <w:t>within</w:t>
      </w:r>
      <w:r>
        <w:rPr>
          <w:spacing w:val="-2"/>
          <w:sz w:val="22"/>
        </w:rPr>
        <w:t> </w:t>
      </w:r>
      <w:r>
        <w:rPr>
          <w:sz w:val="22"/>
        </w:rPr>
        <w:t>two</w:t>
      </w:r>
      <w:r>
        <w:rPr>
          <w:spacing w:val="-4"/>
          <w:sz w:val="22"/>
        </w:rPr>
        <w:t> </w:t>
      </w:r>
      <w:r>
        <w:rPr>
          <w:sz w:val="22"/>
        </w:rPr>
        <w:t>seconds</w:t>
      </w:r>
      <w:r>
        <w:rPr>
          <w:spacing w:val="-3"/>
          <w:sz w:val="22"/>
        </w:rPr>
        <w:t> </w:t>
      </w:r>
      <w:r>
        <w:rPr>
          <w:sz w:val="22"/>
        </w:rPr>
        <w:t>of</w:t>
      </w:r>
      <w:r>
        <w:rPr>
          <w:spacing w:val="-4"/>
          <w:sz w:val="22"/>
        </w:rPr>
        <w:t> </w:t>
      </w:r>
      <w:r>
        <w:rPr>
          <w:sz w:val="22"/>
        </w:rPr>
        <w:t>fault</w:t>
      </w:r>
      <w:r>
        <w:rPr>
          <w:spacing w:val="-2"/>
          <w:sz w:val="22"/>
        </w:rPr>
        <w:t> </w:t>
      </w:r>
      <w:r>
        <w:rPr>
          <w:sz w:val="22"/>
        </w:rPr>
        <w:t>occurrence</w:t>
      </w:r>
      <w:r>
        <w:rPr>
          <w:spacing w:val="-4"/>
          <w:sz w:val="22"/>
        </w:rPr>
        <w:t> </w:t>
      </w:r>
      <w:r>
        <w:rPr>
          <w:sz w:val="22"/>
        </w:rPr>
        <w:t>and</w:t>
      </w:r>
      <w:r>
        <w:rPr>
          <w:spacing w:val="-5"/>
          <w:sz w:val="22"/>
        </w:rPr>
        <w:t> </w:t>
      </w:r>
      <w:r>
        <w:rPr>
          <w:sz w:val="22"/>
        </w:rPr>
        <w:t>for</w:t>
      </w:r>
      <w:r>
        <w:rPr>
          <w:spacing w:val="-3"/>
          <w:sz w:val="22"/>
        </w:rPr>
        <w:t> </w:t>
      </w:r>
      <w:r>
        <w:rPr>
          <w:sz w:val="22"/>
        </w:rPr>
        <w:t>as</w:t>
      </w:r>
      <w:r>
        <w:rPr>
          <w:spacing w:val="-5"/>
          <w:sz w:val="22"/>
        </w:rPr>
        <w:t> </w:t>
      </w:r>
      <w:r>
        <w:rPr>
          <w:sz w:val="22"/>
        </w:rPr>
        <w:t>long</w:t>
      </w:r>
      <w:r>
        <w:rPr>
          <w:spacing w:val="-4"/>
          <w:sz w:val="22"/>
        </w:rPr>
        <w:t> </w:t>
      </w:r>
      <w:r>
        <w:rPr>
          <w:sz w:val="22"/>
        </w:rPr>
        <w:t>as</w:t>
      </w:r>
      <w:r>
        <w:rPr>
          <w:spacing w:val="-3"/>
          <w:sz w:val="22"/>
        </w:rPr>
        <w:t> </w:t>
      </w:r>
      <w:r>
        <w:rPr>
          <w:sz w:val="22"/>
        </w:rPr>
        <w:t>the</w:t>
      </w:r>
      <w:r>
        <w:rPr>
          <w:spacing w:val="-8"/>
          <w:sz w:val="22"/>
        </w:rPr>
        <w:t> </w:t>
      </w:r>
      <w:r>
        <w:rPr>
          <w:sz w:val="22"/>
        </w:rPr>
        <w:t>fault</w:t>
      </w:r>
      <w:r>
        <w:rPr>
          <w:spacing w:val="-2"/>
          <w:sz w:val="22"/>
        </w:rPr>
        <w:t> </w:t>
      </w:r>
      <w:r>
        <w:rPr>
          <w:sz w:val="22"/>
        </w:rPr>
        <w:t>is</w:t>
      </w:r>
      <w:r>
        <w:rPr>
          <w:spacing w:val="-2"/>
          <w:sz w:val="22"/>
        </w:rPr>
        <w:t> present.</w:t>
      </w:r>
      <w:r>
        <w:rPr>
          <w:spacing w:val="-2"/>
          <w:sz w:val="22"/>
          <w:vertAlign w:val="superscript"/>
        </w:rPr>
        <w:t>13</w:t>
      </w:r>
    </w:p>
    <w:p>
      <w:pPr>
        <w:pStyle w:val="BodyText"/>
        <w:spacing w:before="5"/>
        <w:rPr>
          <w:sz w:val="23"/>
        </w:rPr>
      </w:pPr>
    </w:p>
    <w:p>
      <w:pPr>
        <w:pStyle w:val="BodyText"/>
        <w:spacing w:line="288" w:lineRule="auto"/>
        <w:ind w:left="232" w:right="374"/>
      </w:pPr>
      <w:r>
        <w:rPr/>
        <w:t>Other</w:t>
      </w:r>
      <w:r>
        <w:rPr>
          <w:spacing w:val="-2"/>
        </w:rPr>
        <w:t> </w:t>
      </w:r>
      <w:r>
        <w:rPr/>
        <w:t>obligations</w:t>
      </w:r>
      <w:r>
        <w:rPr>
          <w:spacing w:val="-3"/>
        </w:rPr>
        <w:t> </w:t>
      </w:r>
      <w:r>
        <w:rPr/>
        <w:t>placed</w:t>
      </w:r>
      <w:r>
        <w:rPr>
          <w:spacing w:val="-7"/>
        </w:rPr>
        <w:t> </w:t>
      </w:r>
      <w:r>
        <w:rPr/>
        <w:t>on</w:t>
      </w:r>
      <w:r>
        <w:rPr>
          <w:spacing w:val="-3"/>
        </w:rPr>
        <w:t> </w:t>
      </w:r>
      <w:r>
        <w:rPr/>
        <w:t>the</w:t>
      </w:r>
      <w:r>
        <w:rPr>
          <w:spacing w:val="-5"/>
        </w:rPr>
        <w:t> </w:t>
      </w:r>
      <w:r>
        <w:rPr/>
        <w:t>network businesses</w:t>
      </w:r>
      <w:r>
        <w:rPr>
          <w:spacing w:val="-3"/>
        </w:rPr>
        <w:t> </w:t>
      </w:r>
      <w:r>
        <w:rPr/>
        <w:t>operating</w:t>
      </w:r>
      <w:r>
        <w:rPr>
          <w:spacing w:val="-3"/>
        </w:rPr>
        <w:t> </w:t>
      </w:r>
      <w:r>
        <w:rPr/>
        <w:t>in</w:t>
      </w:r>
      <w:r>
        <w:rPr>
          <w:spacing w:val="-3"/>
        </w:rPr>
        <w:t> </w:t>
      </w:r>
      <w:r>
        <w:rPr/>
        <w:t>high-risk</w:t>
      </w:r>
      <w:r>
        <w:rPr>
          <w:spacing w:val="-2"/>
        </w:rPr>
        <w:t> </w:t>
      </w:r>
      <w:r>
        <w:rPr/>
        <w:t>bushfire</w:t>
      </w:r>
      <w:r>
        <w:rPr>
          <w:spacing w:val="-3"/>
        </w:rPr>
        <w:t> </w:t>
      </w:r>
      <w:r>
        <w:rPr/>
        <w:t>areas, introduced by these 2016 amendments, included:</w:t>
      </w:r>
    </w:p>
    <w:p>
      <w:pPr>
        <w:pStyle w:val="BodyText"/>
        <w:spacing w:before="4"/>
      </w:pPr>
    </w:p>
    <w:p>
      <w:pPr>
        <w:pStyle w:val="ListParagraph"/>
        <w:numPr>
          <w:ilvl w:val="1"/>
          <w:numId w:val="68"/>
        </w:numPr>
        <w:tabs>
          <w:tab w:pos="734" w:val="left" w:leader="none"/>
        </w:tabs>
        <w:spacing w:line="288" w:lineRule="auto" w:before="0" w:after="0"/>
        <w:ind w:left="734" w:right="867" w:hanging="361"/>
        <w:jc w:val="left"/>
        <w:rPr>
          <w:sz w:val="22"/>
        </w:rPr>
      </w:pPr>
      <w:r>
        <w:rPr>
          <w:sz w:val="22"/>
        </w:rPr>
        <w:t>each</w:t>
      </w:r>
      <w:r>
        <w:rPr>
          <w:spacing w:val="-1"/>
          <w:sz w:val="22"/>
        </w:rPr>
        <w:t> </w:t>
      </w:r>
      <w:r>
        <w:rPr>
          <w:sz w:val="22"/>
        </w:rPr>
        <w:t>new</w:t>
      </w:r>
      <w:r>
        <w:rPr>
          <w:spacing w:val="-4"/>
          <w:sz w:val="22"/>
        </w:rPr>
        <w:t> </w:t>
      </w:r>
      <w:r>
        <w:rPr>
          <w:sz w:val="22"/>
        </w:rPr>
        <w:t>or</w:t>
      </w:r>
      <w:r>
        <w:rPr>
          <w:spacing w:val="-2"/>
          <w:sz w:val="22"/>
        </w:rPr>
        <w:t> </w:t>
      </w:r>
      <w:r>
        <w:rPr>
          <w:sz w:val="22"/>
        </w:rPr>
        <w:t>replaced line</w:t>
      </w:r>
      <w:r>
        <w:rPr>
          <w:spacing w:val="-1"/>
          <w:sz w:val="22"/>
        </w:rPr>
        <w:t> </w:t>
      </w:r>
      <w:r>
        <w:rPr>
          <w:sz w:val="22"/>
        </w:rPr>
        <w:t>with</w:t>
      </w:r>
      <w:r>
        <w:rPr>
          <w:spacing w:val="-1"/>
          <w:sz w:val="22"/>
        </w:rPr>
        <w:t> </w:t>
      </w:r>
      <w:r>
        <w:rPr>
          <w:sz w:val="22"/>
        </w:rPr>
        <w:t>a nominal</w:t>
      </w:r>
      <w:r>
        <w:rPr>
          <w:spacing w:val="-1"/>
          <w:sz w:val="22"/>
        </w:rPr>
        <w:t> </w:t>
      </w:r>
      <w:r>
        <w:rPr>
          <w:sz w:val="22"/>
        </w:rPr>
        <w:t>voltage</w:t>
      </w:r>
      <w:r>
        <w:rPr>
          <w:spacing w:val="-5"/>
          <w:sz w:val="22"/>
        </w:rPr>
        <w:t> </w:t>
      </w:r>
      <w:r>
        <w:rPr>
          <w:sz w:val="22"/>
        </w:rPr>
        <w:t>from 1</w:t>
      </w:r>
      <w:r>
        <w:rPr>
          <w:spacing w:val="-5"/>
          <w:sz w:val="22"/>
        </w:rPr>
        <w:t> </w:t>
      </w:r>
      <w:r>
        <w:rPr>
          <w:sz w:val="22"/>
        </w:rPr>
        <w:t>kV</w:t>
      </w:r>
      <w:r>
        <w:rPr>
          <w:spacing w:val="-3"/>
          <w:sz w:val="22"/>
        </w:rPr>
        <w:t> </w:t>
      </w:r>
      <w:r>
        <w:rPr>
          <w:sz w:val="22"/>
        </w:rPr>
        <w:t>to</w:t>
      </w:r>
      <w:r>
        <w:rPr>
          <w:spacing w:val="-1"/>
          <w:sz w:val="22"/>
        </w:rPr>
        <w:t> </w:t>
      </w:r>
      <w:r>
        <w:rPr>
          <w:sz w:val="22"/>
        </w:rPr>
        <w:t>22</w:t>
      </w:r>
      <w:r>
        <w:rPr>
          <w:spacing w:val="-5"/>
          <w:sz w:val="22"/>
        </w:rPr>
        <w:t> </w:t>
      </w:r>
      <w:r>
        <w:rPr>
          <w:sz w:val="22"/>
        </w:rPr>
        <w:t>kV</w:t>
      </w:r>
      <w:r>
        <w:rPr>
          <w:spacing w:val="-3"/>
          <w:sz w:val="22"/>
        </w:rPr>
        <w:t> </w:t>
      </w:r>
      <w:r>
        <w:rPr>
          <w:sz w:val="22"/>
        </w:rPr>
        <w:t>must</w:t>
      </w:r>
      <w:r>
        <w:rPr>
          <w:spacing w:val="-2"/>
          <w:sz w:val="22"/>
        </w:rPr>
        <w:t> </w:t>
      </w:r>
      <w:r>
        <w:rPr>
          <w:sz w:val="22"/>
        </w:rPr>
        <w:t>be</w:t>
      </w:r>
      <w:r>
        <w:rPr>
          <w:spacing w:val="-1"/>
          <w:sz w:val="22"/>
        </w:rPr>
        <w:t> </w:t>
      </w:r>
      <w:r>
        <w:rPr>
          <w:sz w:val="22"/>
        </w:rPr>
        <w:t>covered</w:t>
      </w:r>
      <w:r>
        <w:rPr>
          <w:spacing w:val="-1"/>
          <w:sz w:val="22"/>
        </w:rPr>
        <w:t> </w:t>
      </w:r>
      <w:r>
        <w:rPr>
          <w:sz w:val="22"/>
        </w:rPr>
        <w:t>or undergrounded from 1 May 2016 in 33 prescribed electric line construction areas;</w:t>
      </w:r>
    </w:p>
    <w:p>
      <w:pPr>
        <w:pStyle w:val="BodyText"/>
        <w:spacing w:before="1"/>
      </w:pPr>
    </w:p>
    <w:p>
      <w:pPr>
        <w:pStyle w:val="ListParagraph"/>
        <w:numPr>
          <w:ilvl w:val="1"/>
          <w:numId w:val="68"/>
        </w:numPr>
        <w:tabs>
          <w:tab w:pos="734" w:val="left" w:leader="none"/>
        </w:tabs>
        <w:spacing w:line="240" w:lineRule="auto" w:before="1" w:after="0"/>
        <w:ind w:left="734" w:right="0" w:hanging="360"/>
        <w:jc w:val="left"/>
        <w:rPr>
          <w:sz w:val="22"/>
        </w:rPr>
      </w:pPr>
      <w:r>
        <w:rPr>
          <w:sz w:val="22"/>
        </w:rPr>
        <w:t>each</w:t>
      </w:r>
      <w:r>
        <w:rPr>
          <w:spacing w:val="-6"/>
          <w:sz w:val="22"/>
        </w:rPr>
        <w:t> </w:t>
      </w:r>
      <w:r>
        <w:rPr>
          <w:sz w:val="22"/>
        </w:rPr>
        <w:t>SWER</w:t>
      </w:r>
      <w:r>
        <w:rPr>
          <w:spacing w:val="-3"/>
          <w:sz w:val="22"/>
        </w:rPr>
        <w:t> </w:t>
      </w:r>
      <w:r>
        <w:rPr>
          <w:sz w:val="22"/>
        </w:rPr>
        <w:t>line</w:t>
      </w:r>
      <w:r>
        <w:rPr>
          <w:spacing w:val="-5"/>
          <w:sz w:val="22"/>
        </w:rPr>
        <w:t> </w:t>
      </w:r>
      <w:r>
        <w:rPr>
          <w:sz w:val="22"/>
        </w:rPr>
        <w:t>must</w:t>
      </w:r>
      <w:r>
        <w:rPr>
          <w:spacing w:val="-4"/>
          <w:sz w:val="22"/>
        </w:rPr>
        <w:t> </w:t>
      </w:r>
      <w:r>
        <w:rPr>
          <w:sz w:val="22"/>
        </w:rPr>
        <w:t>have</w:t>
      </w:r>
      <w:r>
        <w:rPr>
          <w:spacing w:val="-3"/>
          <w:sz w:val="22"/>
        </w:rPr>
        <w:t> </w:t>
      </w:r>
      <w:r>
        <w:rPr>
          <w:sz w:val="22"/>
        </w:rPr>
        <w:t>an</w:t>
      </w:r>
      <w:r>
        <w:rPr>
          <w:spacing w:val="-2"/>
          <w:sz w:val="22"/>
        </w:rPr>
        <w:t> </w:t>
      </w:r>
      <w:r>
        <w:rPr>
          <w:sz w:val="22"/>
        </w:rPr>
        <w:t>ACR</w:t>
      </w:r>
      <w:r>
        <w:rPr>
          <w:spacing w:val="-3"/>
          <w:sz w:val="22"/>
        </w:rPr>
        <w:t> </w:t>
      </w:r>
      <w:r>
        <w:rPr>
          <w:sz w:val="22"/>
        </w:rPr>
        <w:t>installed</w:t>
      </w:r>
      <w:r>
        <w:rPr>
          <w:spacing w:val="-3"/>
          <w:sz w:val="22"/>
        </w:rPr>
        <w:t> </w:t>
      </w:r>
      <w:r>
        <w:rPr>
          <w:sz w:val="22"/>
        </w:rPr>
        <w:t>by</w:t>
      </w:r>
      <w:r>
        <w:rPr>
          <w:spacing w:val="-5"/>
          <w:sz w:val="22"/>
        </w:rPr>
        <w:t> </w:t>
      </w:r>
      <w:r>
        <w:rPr>
          <w:sz w:val="22"/>
        </w:rPr>
        <w:t>1</w:t>
      </w:r>
      <w:r>
        <w:rPr>
          <w:spacing w:val="-3"/>
          <w:sz w:val="22"/>
        </w:rPr>
        <w:t> </w:t>
      </w:r>
      <w:r>
        <w:rPr>
          <w:sz w:val="22"/>
        </w:rPr>
        <w:t>May</w:t>
      </w:r>
      <w:r>
        <w:rPr>
          <w:spacing w:val="-5"/>
          <w:sz w:val="22"/>
        </w:rPr>
        <w:t> </w:t>
      </w:r>
      <w:r>
        <w:rPr>
          <w:spacing w:val="-2"/>
          <w:sz w:val="22"/>
        </w:rPr>
        <w:t>2023.</w:t>
      </w:r>
    </w:p>
    <w:p>
      <w:pPr>
        <w:pStyle w:val="BodyText"/>
        <w:spacing w:before="1"/>
        <w:rPr>
          <w:sz w:val="25"/>
        </w:rPr>
      </w:pPr>
    </w:p>
    <w:p>
      <w:pPr>
        <w:pStyle w:val="BodyText"/>
        <w:spacing w:line="288" w:lineRule="auto"/>
        <w:ind w:left="232" w:right="374"/>
      </w:pPr>
      <w:r>
        <w:rPr/>
        <w:t>Civil</w:t>
      </w:r>
      <w:r>
        <w:rPr>
          <w:spacing w:val="-3"/>
        </w:rPr>
        <w:t> </w:t>
      </w:r>
      <w:r>
        <w:rPr/>
        <w:t>penalty</w:t>
      </w:r>
      <w:r>
        <w:rPr>
          <w:spacing w:val="-5"/>
        </w:rPr>
        <w:t> </w:t>
      </w:r>
      <w:r>
        <w:rPr/>
        <w:t>provisions</w:t>
      </w:r>
      <w:r>
        <w:rPr>
          <w:spacing w:val="-2"/>
        </w:rPr>
        <w:t> </w:t>
      </w:r>
      <w:r>
        <w:rPr/>
        <w:t>were</w:t>
      </w:r>
      <w:r>
        <w:rPr>
          <w:spacing w:val="-2"/>
        </w:rPr>
        <w:t> </w:t>
      </w:r>
      <w:r>
        <w:rPr/>
        <w:t>introduced</w:t>
      </w:r>
      <w:r>
        <w:rPr>
          <w:spacing w:val="-3"/>
        </w:rPr>
        <w:t> </w:t>
      </w:r>
      <w:r>
        <w:rPr/>
        <w:t>into</w:t>
      </w:r>
      <w:r>
        <w:rPr>
          <w:spacing w:val="-7"/>
        </w:rPr>
        <w:t> </w:t>
      </w:r>
      <w:r>
        <w:rPr/>
        <w:t>the</w:t>
      </w:r>
      <w:r>
        <w:rPr>
          <w:spacing w:val="-3"/>
        </w:rPr>
        <w:t> </w:t>
      </w:r>
      <w:r>
        <w:rPr>
          <w:i/>
        </w:rPr>
        <w:t>Electricity</w:t>
      </w:r>
      <w:r>
        <w:rPr>
          <w:i/>
          <w:spacing w:val="-2"/>
        </w:rPr>
        <w:t> </w:t>
      </w:r>
      <w:r>
        <w:rPr>
          <w:i/>
        </w:rPr>
        <w:t>Safety</w:t>
      </w:r>
      <w:r>
        <w:rPr>
          <w:i/>
          <w:spacing w:val="-4"/>
        </w:rPr>
        <w:t> </w:t>
      </w:r>
      <w:r>
        <w:rPr>
          <w:i/>
        </w:rPr>
        <w:t>Act</w:t>
      </w:r>
      <w:r>
        <w:rPr>
          <w:i/>
          <w:spacing w:val="-1"/>
        </w:rPr>
        <w:t> </w:t>
      </w:r>
      <w:r>
        <w:rPr>
          <w:i/>
        </w:rPr>
        <w:t>1998</w:t>
      </w:r>
      <w:r>
        <w:rPr>
          <w:i/>
          <w:spacing w:val="-1"/>
        </w:rPr>
        <w:t> </w:t>
      </w:r>
      <w:r>
        <w:rPr/>
        <w:t>in</w:t>
      </w:r>
      <w:r>
        <w:rPr>
          <w:spacing w:val="-3"/>
        </w:rPr>
        <w:t> </w:t>
      </w:r>
      <w:r>
        <w:rPr/>
        <w:t>September</w:t>
      </w:r>
      <w:r>
        <w:rPr>
          <w:spacing w:val="-4"/>
        </w:rPr>
        <w:t> </w:t>
      </w:r>
      <w:r>
        <w:rPr/>
        <w:t>2017. This means that electricity network businesses can now face penalties under a civil penalties scheme for contraventions to the required capacity standards.</w:t>
      </w:r>
    </w:p>
    <w:p>
      <w:pPr>
        <w:pStyle w:val="BodyText"/>
        <w:spacing w:before="10"/>
        <w:rPr>
          <w:sz w:val="20"/>
        </w:rPr>
      </w:pPr>
    </w:p>
    <w:p>
      <w:pPr>
        <w:pStyle w:val="BodyText"/>
        <w:spacing w:line="288" w:lineRule="auto"/>
        <w:ind w:left="232" w:right="374"/>
      </w:pPr>
      <w:r>
        <w:rPr/>
        <w:t>To date, the only available technological solution that is capable of meeting the required performance standard specified in the regulations is Swedish Neutral’s REFCL. Electricity distribution</w:t>
      </w:r>
      <w:r>
        <w:rPr>
          <w:spacing w:val="-7"/>
        </w:rPr>
        <w:t> </w:t>
      </w:r>
      <w:r>
        <w:rPr/>
        <w:t>businesses</w:t>
      </w:r>
      <w:r>
        <w:rPr>
          <w:spacing w:val="-8"/>
        </w:rPr>
        <w:t> </w:t>
      </w:r>
      <w:r>
        <w:rPr/>
        <w:t>have</w:t>
      </w:r>
      <w:r>
        <w:rPr>
          <w:spacing w:val="-8"/>
        </w:rPr>
        <w:t> </w:t>
      </w:r>
      <w:r>
        <w:rPr/>
        <w:t>expressed</w:t>
      </w:r>
      <w:r>
        <w:rPr>
          <w:spacing w:val="-9"/>
        </w:rPr>
        <w:t> </w:t>
      </w:r>
      <w:r>
        <w:rPr/>
        <w:t>a</w:t>
      </w:r>
      <w:r>
        <w:rPr>
          <w:spacing w:val="-8"/>
        </w:rPr>
        <w:t> </w:t>
      </w:r>
      <w:r>
        <w:rPr/>
        <w:t>concern</w:t>
      </w:r>
      <w:r>
        <w:rPr>
          <w:spacing w:val="-10"/>
        </w:rPr>
        <w:t> </w:t>
      </w:r>
      <w:r>
        <w:rPr/>
        <w:t>that</w:t>
      </w:r>
      <w:r>
        <w:rPr>
          <w:spacing w:val="-9"/>
        </w:rPr>
        <w:t> </w:t>
      </w:r>
      <w:r>
        <w:rPr/>
        <w:t>this</w:t>
      </w:r>
      <w:r>
        <w:rPr>
          <w:spacing w:val="-10"/>
        </w:rPr>
        <w:t> </w:t>
      </w:r>
      <w:r>
        <w:rPr/>
        <w:t>may</w:t>
      </w:r>
      <w:r>
        <w:rPr>
          <w:spacing w:val="-10"/>
        </w:rPr>
        <w:t> </w:t>
      </w:r>
      <w:r>
        <w:rPr/>
        <w:t>expose</w:t>
      </w:r>
      <w:r>
        <w:rPr>
          <w:spacing w:val="-8"/>
        </w:rPr>
        <w:t> </w:t>
      </w:r>
      <w:r>
        <w:rPr/>
        <w:t>them</w:t>
      </w:r>
      <w:r>
        <w:rPr>
          <w:spacing w:val="-9"/>
        </w:rPr>
        <w:t> </w:t>
      </w:r>
      <w:r>
        <w:rPr/>
        <w:t>to</w:t>
      </w:r>
      <w:r>
        <w:rPr>
          <w:spacing w:val="-10"/>
        </w:rPr>
        <w:t> </w:t>
      </w:r>
      <w:r>
        <w:rPr/>
        <w:t>risks</w:t>
      </w:r>
      <w:r>
        <w:rPr>
          <w:spacing w:val="-8"/>
        </w:rPr>
        <w:t> </w:t>
      </w:r>
      <w:r>
        <w:rPr/>
        <w:t>associated with</w:t>
      </w:r>
      <w:r>
        <w:rPr>
          <w:spacing w:val="-13"/>
        </w:rPr>
        <w:t> </w:t>
      </w:r>
      <w:r>
        <w:rPr/>
        <w:t>having</w:t>
      </w:r>
      <w:r>
        <w:rPr>
          <w:spacing w:val="-11"/>
        </w:rPr>
        <w:t> </w:t>
      </w:r>
      <w:r>
        <w:rPr/>
        <w:t>a</w:t>
      </w:r>
      <w:r>
        <w:rPr>
          <w:spacing w:val="-14"/>
        </w:rPr>
        <w:t> </w:t>
      </w:r>
      <w:r>
        <w:rPr/>
        <w:t>monopolistic</w:t>
      </w:r>
      <w:r>
        <w:rPr>
          <w:spacing w:val="-13"/>
        </w:rPr>
        <w:t> </w:t>
      </w:r>
      <w:r>
        <w:rPr/>
        <w:t>supplier.</w:t>
      </w:r>
      <w:r>
        <w:rPr>
          <w:spacing w:val="-12"/>
        </w:rPr>
        <w:t> </w:t>
      </w:r>
      <w:r>
        <w:rPr/>
        <w:t>For</w:t>
      </w:r>
      <w:r>
        <w:rPr>
          <w:spacing w:val="-14"/>
        </w:rPr>
        <w:t> </w:t>
      </w:r>
      <w:r>
        <w:rPr/>
        <w:t>example,</w:t>
      </w:r>
      <w:r>
        <w:rPr>
          <w:spacing w:val="-13"/>
        </w:rPr>
        <w:t> </w:t>
      </w:r>
      <w:r>
        <w:rPr/>
        <w:t>CitiPower</w:t>
      </w:r>
      <w:r>
        <w:rPr>
          <w:spacing w:val="-15"/>
        </w:rPr>
        <w:t> </w:t>
      </w:r>
      <w:r>
        <w:rPr/>
        <w:t>and</w:t>
      </w:r>
      <w:r>
        <w:rPr>
          <w:spacing w:val="-11"/>
        </w:rPr>
        <w:t> </w:t>
      </w:r>
      <w:r>
        <w:rPr/>
        <w:t>Powercor</w:t>
      </w:r>
      <w:r>
        <w:rPr>
          <w:spacing w:val="-13"/>
        </w:rPr>
        <w:t> </w:t>
      </w:r>
      <w:r>
        <w:rPr/>
        <w:t>Australia</w:t>
      </w:r>
      <w:r>
        <w:rPr>
          <w:spacing w:val="-13"/>
        </w:rPr>
        <w:t> </w:t>
      </w:r>
      <w:r>
        <w:rPr/>
        <w:t>have</w:t>
      </w:r>
      <w:r>
        <w:rPr>
          <w:spacing w:val="-11"/>
        </w:rPr>
        <w:t> </w:t>
      </w:r>
      <w:r>
        <w:rPr>
          <w:spacing w:val="-2"/>
        </w:rPr>
        <w:t>noted:</w:t>
      </w:r>
    </w:p>
    <w:p>
      <w:pPr>
        <w:pStyle w:val="BodyText"/>
        <w:spacing w:before="10"/>
        <w:rPr>
          <w:sz w:val="20"/>
        </w:rPr>
      </w:pPr>
    </w:p>
    <w:p>
      <w:pPr>
        <w:spacing w:line="288" w:lineRule="auto" w:before="0"/>
        <w:ind w:left="799" w:right="868" w:firstLine="0"/>
        <w:jc w:val="left"/>
        <w:rPr>
          <w:sz w:val="22"/>
        </w:rPr>
      </w:pPr>
      <w:r>
        <w:rPr>
          <w:i/>
          <w:sz w:val="22"/>
        </w:rPr>
        <w:t>“… the REFCLs technology is provided by a single supplier globally. The prescriptive regulation requires us to only use this technology. This exposes us to risks associated with</w:t>
      </w:r>
      <w:r>
        <w:rPr>
          <w:i/>
          <w:spacing w:val="-5"/>
          <w:sz w:val="22"/>
        </w:rPr>
        <w:t> </w:t>
      </w:r>
      <w:r>
        <w:rPr>
          <w:i/>
          <w:sz w:val="22"/>
        </w:rPr>
        <w:t>relying</w:t>
      </w:r>
      <w:r>
        <w:rPr>
          <w:i/>
          <w:spacing w:val="-3"/>
          <w:sz w:val="22"/>
        </w:rPr>
        <w:t> </w:t>
      </w:r>
      <w:r>
        <w:rPr>
          <w:i/>
          <w:sz w:val="22"/>
        </w:rPr>
        <w:t>on</w:t>
      </w:r>
      <w:r>
        <w:rPr>
          <w:i/>
          <w:spacing w:val="-5"/>
          <w:sz w:val="22"/>
        </w:rPr>
        <w:t> </w:t>
      </w:r>
      <w:r>
        <w:rPr>
          <w:i/>
          <w:sz w:val="22"/>
        </w:rPr>
        <w:t>a</w:t>
      </w:r>
      <w:r>
        <w:rPr>
          <w:i/>
          <w:spacing w:val="-5"/>
          <w:sz w:val="22"/>
        </w:rPr>
        <w:t> </w:t>
      </w:r>
      <w:r>
        <w:rPr>
          <w:i/>
          <w:sz w:val="22"/>
        </w:rPr>
        <w:t>monopolistic</w:t>
      </w:r>
      <w:r>
        <w:rPr>
          <w:i/>
          <w:spacing w:val="-2"/>
          <w:sz w:val="22"/>
        </w:rPr>
        <w:t> </w:t>
      </w:r>
      <w:r>
        <w:rPr>
          <w:i/>
          <w:sz w:val="22"/>
        </w:rPr>
        <w:t>supplier,</w:t>
      </w:r>
      <w:r>
        <w:rPr>
          <w:i/>
          <w:spacing w:val="-1"/>
          <w:sz w:val="22"/>
        </w:rPr>
        <w:t> </w:t>
      </w:r>
      <w:r>
        <w:rPr>
          <w:i/>
          <w:sz w:val="22"/>
        </w:rPr>
        <w:t>including</w:t>
      </w:r>
      <w:r>
        <w:rPr>
          <w:i/>
          <w:spacing w:val="-3"/>
          <w:sz w:val="22"/>
        </w:rPr>
        <w:t> </w:t>
      </w:r>
      <w:r>
        <w:rPr>
          <w:i/>
          <w:sz w:val="22"/>
        </w:rPr>
        <w:t>potential</w:t>
      </w:r>
      <w:r>
        <w:rPr>
          <w:i/>
          <w:spacing w:val="-4"/>
          <w:sz w:val="22"/>
        </w:rPr>
        <w:t> </w:t>
      </w:r>
      <w:r>
        <w:rPr>
          <w:i/>
          <w:sz w:val="22"/>
        </w:rPr>
        <w:t>extortions</w:t>
      </w:r>
      <w:r>
        <w:rPr>
          <w:i/>
          <w:spacing w:val="-2"/>
          <w:sz w:val="22"/>
        </w:rPr>
        <w:t> </w:t>
      </w:r>
      <w:r>
        <w:rPr>
          <w:i/>
          <w:sz w:val="22"/>
        </w:rPr>
        <w:t>in</w:t>
      </w:r>
      <w:r>
        <w:rPr>
          <w:i/>
          <w:spacing w:val="-3"/>
          <w:sz w:val="22"/>
        </w:rPr>
        <w:t> </w:t>
      </w:r>
      <w:r>
        <w:rPr>
          <w:i/>
          <w:sz w:val="22"/>
        </w:rPr>
        <w:t>price</w:t>
      </w:r>
      <w:r>
        <w:rPr>
          <w:i/>
          <w:spacing w:val="-3"/>
          <w:sz w:val="22"/>
        </w:rPr>
        <w:t> </w:t>
      </w:r>
      <w:r>
        <w:rPr>
          <w:i/>
          <w:sz w:val="22"/>
        </w:rPr>
        <w:t>and</w:t>
      </w:r>
      <w:r>
        <w:rPr>
          <w:i/>
          <w:spacing w:val="-3"/>
          <w:sz w:val="22"/>
        </w:rPr>
        <w:t> </w:t>
      </w:r>
      <w:r>
        <w:rPr>
          <w:i/>
          <w:sz w:val="22"/>
        </w:rPr>
        <w:t>quality of products and services provided.” </w:t>
      </w:r>
      <w:r>
        <w:rPr>
          <w:sz w:val="22"/>
        </w:rPr>
        <w:t>(CitiPower &amp; Powercor Australia, 2017, p. 15)</w:t>
      </w:r>
    </w:p>
    <w:p>
      <w:pPr>
        <w:pStyle w:val="BodyText"/>
        <w:rPr>
          <w:sz w:val="20"/>
        </w:rPr>
      </w:pPr>
    </w:p>
    <w:p>
      <w:pPr>
        <w:pStyle w:val="BodyText"/>
        <w:rPr>
          <w:sz w:val="20"/>
        </w:rPr>
      </w:pPr>
    </w:p>
    <w:p>
      <w:pPr>
        <w:pStyle w:val="BodyText"/>
        <w:spacing w:before="5"/>
        <w:rPr>
          <w:sz w:val="26"/>
        </w:rPr>
      </w:pPr>
      <w:r>
        <w:rPr/>
        <mc:AlternateContent>
          <mc:Choice Requires="wps">
            <w:drawing>
              <wp:anchor distT="0" distB="0" distL="0" distR="0" allowOverlap="1" layoutInCell="1" locked="0" behindDoc="1" simplePos="0" relativeHeight="487645184">
                <wp:simplePos x="0" y="0"/>
                <wp:positionH relativeFrom="page">
                  <wp:posOffset>701040</wp:posOffset>
                </wp:positionH>
                <wp:positionV relativeFrom="paragraph">
                  <wp:posOffset>208345</wp:posOffset>
                </wp:positionV>
                <wp:extent cx="6158230" cy="1270"/>
                <wp:effectExtent l="0" t="0" r="0" b="0"/>
                <wp:wrapTopAndBottom/>
                <wp:docPr id="175" name="Graphic 175"/>
                <wp:cNvGraphicFramePr>
                  <a:graphicFrameLocks/>
                </wp:cNvGraphicFramePr>
                <a:graphic>
                  <a:graphicData uri="http://schemas.microsoft.com/office/word/2010/wordprocessingShape">
                    <wps:wsp>
                      <wps:cNvPr id="175" name="Graphic 175"/>
                      <wps:cNvSpPr/>
                      <wps:spPr>
                        <a:xfrm>
                          <a:off x="0" y="0"/>
                          <a:ext cx="6158230" cy="1270"/>
                        </a:xfrm>
                        <a:custGeom>
                          <a:avLst/>
                          <a:gdLst/>
                          <a:ahLst/>
                          <a:cxnLst/>
                          <a:rect l="l" t="t" r="r" b="b"/>
                          <a:pathLst>
                            <a:path w="6158230" h="0">
                              <a:moveTo>
                                <a:pt x="0" y="0"/>
                              </a:moveTo>
                              <a:lnTo>
                                <a:pt x="6158230" y="0"/>
                              </a:lnTo>
                            </a:path>
                          </a:pathLst>
                        </a:custGeom>
                        <a:ln w="12192">
                          <a:solidFill>
                            <a:srgbClr val="000000"/>
                          </a:solidFill>
                          <a:prstDash val="sysDot"/>
                        </a:ln>
                      </wps:spPr>
                      <wps:bodyPr wrap="square" lIns="0" tIns="0" rIns="0" bIns="0" rtlCol="0">
                        <a:prstTxWarp prst="textNoShape">
                          <a:avLst/>
                        </a:prstTxWarp>
                        <a:noAutofit/>
                      </wps:bodyPr>
                    </wps:wsp>
                  </a:graphicData>
                </a:graphic>
              </wp:anchor>
            </w:drawing>
          </mc:Choice>
          <mc:Fallback>
            <w:pict>
              <v:shape style="position:absolute;margin-left:55.200001pt;margin-top:16.405136pt;width:484.9pt;height:.1pt;mso-position-horizontal-relative:page;mso-position-vertical-relative:paragraph;z-index:-15671296;mso-wrap-distance-left:0;mso-wrap-distance-right:0" id="docshape154" coordorigin="1104,328" coordsize="9698,0" path="m1104,328l10802,328e" filled="false" stroked="true" strokeweight=".96pt" strokecolor="#000000">
                <v:path arrowok="t"/>
                <v:stroke dashstyle="shortdot"/>
                <w10:wrap type="topAndBottom"/>
              </v:shape>
            </w:pict>
          </mc:Fallback>
        </mc:AlternateContent>
      </w:r>
    </w:p>
    <w:p>
      <w:pPr>
        <w:pStyle w:val="BodyText"/>
        <w:spacing w:before="1"/>
        <w:rPr>
          <w:sz w:val="23"/>
        </w:rPr>
      </w:pPr>
    </w:p>
    <w:p>
      <w:pPr>
        <w:spacing w:before="95"/>
        <w:ind w:left="374" w:right="408" w:hanging="142"/>
        <w:jc w:val="left"/>
        <w:rPr>
          <w:i/>
          <w:sz w:val="16"/>
        </w:rPr>
      </w:pPr>
      <w:r>
        <w:rPr>
          <w:position w:val="5"/>
          <w:sz w:val="9"/>
        </w:rPr>
        <w:t>11</w:t>
      </w:r>
      <w:r>
        <w:rPr>
          <w:spacing w:val="12"/>
          <w:position w:val="5"/>
          <w:sz w:val="9"/>
        </w:rPr>
        <w:t> </w:t>
      </w:r>
      <w:r>
        <w:rPr>
          <w:sz w:val="16"/>
        </w:rPr>
        <w:t>These</w:t>
      </w:r>
      <w:r>
        <w:rPr>
          <w:spacing w:val="-2"/>
          <w:sz w:val="16"/>
        </w:rPr>
        <w:t> </w:t>
      </w:r>
      <w:r>
        <w:rPr>
          <w:sz w:val="16"/>
        </w:rPr>
        <w:t>performance</w:t>
      </w:r>
      <w:r>
        <w:rPr>
          <w:spacing w:val="-2"/>
          <w:sz w:val="16"/>
        </w:rPr>
        <w:t> </w:t>
      </w:r>
      <w:r>
        <w:rPr>
          <w:sz w:val="16"/>
        </w:rPr>
        <w:t>requirements</w:t>
      </w:r>
      <w:r>
        <w:rPr>
          <w:spacing w:val="-4"/>
          <w:sz w:val="16"/>
        </w:rPr>
        <w:t> </w:t>
      </w:r>
      <w:r>
        <w:rPr>
          <w:sz w:val="16"/>
        </w:rPr>
        <w:t>are</w:t>
      </w:r>
      <w:r>
        <w:rPr>
          <w:spacing w:val="-2"/>
          <w:sz w:val="16"/>
        </w:rPr>
        <w:t> </w:t>
      </w:r>
      <w:r>
        <w:rPr>
          <w:sz w:val="16"/>
        </w:rPr>
        <w:t>specified</w:t>
      </w:r>
      <w:r>
        <w:rPr>
          <w:spacing w:val="-4"/>
          <w:sz w:val="16"/>
        </w:rPr>
        <w:t> </w:t>
      </w:r>
      <w:r>
        <w:rPr>
          <w:sz w:val="16"/>
        </w:rPr>
        <w:t>in</w:t>
      </w:r>
      <w:r>
        <w:rPr>
          <w:spacing w:val="-3"/>
          <w:sz w:val="16"/>
        </w:rPr>
        <w:t> </w:t>
      </w:r>
      <w:r>
        <w:rPr>
          <w:sz w:val="16"/>
        </w:rPr>
        <w:t>the</w:t>
      </w:r>
      <w:r>
        <w:rPr>
          <w:spacing w:val="-2"/>
          <w:sz w:val="16"/>
        </w:rPr>
        <w:t> </w:t>
      </w:r>
      <w:r>
        <w:rPr>
          <w:sz w:val="16"/>
        </w:rPr>
        <w:t>definition</w:t>
      </w:r>
      <w:r>
        <w:rPr>
          <w:spacing w:val="-2"/>
          <w:sz w:val="16"/>
        </w:rPr>
        <w:t> </w:t>
      </w:r>
      <w:r>
        <w:rPr>
          <w:sz w:val="16"/>
        </w:rPr>
        <w:t>of</w:t>
      </w:r>
      <w:r>
        <w:rPr>
          <w:spacing w:val="-1"/>
          <w:sz w:val="16"/>
        </w:rPr>
        <w:t> </w:t>
      </w:r>
      <w:r>
        <w:rPr>
          <w:sz w:val="16"/>
        </w:rPr>
        <w:t>‘required</w:t>
      </w:r>
      <w:r>
        <w:rPr>
          <w:spacing w:val="-2"/>
          <w:sz w:val="16"/>
        </w:rPr>
        <w:t> </w:t>
      </w:r>
      <w:r>
        <w:rPr>
          <w:sz w:val="16"/>
        </w:rPr>
        <w:t>capacity’</w:t>
      </w:r>
      <w:r>
        <w:rPr>
          <w:spacing w:val="-7"/>
          <w:sz w:val="16"/>
        </w:rPr>
        <w:t> </w:t>
      </w:r>
      <w:r>
        <w:rPr>
          <w:sz w:val="16"/>
        </w:rPr>
        <w:t>in</w:t>
      </w:r>
      <w:r>
        <w:rPr>
          <w:spacing w:val="-3"/>
          <w:sz w:val="16"/>
        </w:rPr>
        <w:t> </w:t>
      </w:r>
      <w:r>
        <w:rPr>
          <w:sz w:val="16"/>
        </w:rPr>
        <w:t>the </w:t>
      </w:r>
      <w:r>
        <w:rPr>
          <w:i/>
          <w:sz w:val="16"/>
        </w:rPr>
        <w:t>Electricity</w:t>
      </w:r>
      <w:r>
        <w:rPr>
          <w:i/>
          <w:spacing w:val="-3"/>
          <w:sz w:val="16"/>
        </w:rPr>
        <w:t> </w:t>
      </w:r>
      <w:r>
        <w:rPr>
          <w:i/>
          <w:sz w:val="16"/>
        </w:rPr>
        <w:t>Safety</w:t>
      </w:r>
      <w:r>
        <w:rPr>
          <w:i/>
          <w:spacing w:val="-3"/>
          <w:sz w:val="16"/>
        </w:rPr>
        <w:t> </w:t>
      </w:r>
      <w:r>
        <w:rPr>
          <w:i/>
          <w:sz w:val="16"/>
        </w:rPr>
        <w:t>(Bushfire</w:t>
      </w:r>
      <w:r>
        <w:rPr>
          <w:i/>
          <w:spacing w:val="-4"/>
          <w:sz w:val="16"/>
        </w:rPr>
        <w:t> </w:t>
      </w:r>
      <w:r>
        <w:rPr>
          <w:i/>
          <w:sz w:val="16"/>
        </w:rPr>
        <w:t>Mitigation) Amendment Regulations 2016.</w:t>
      </w:r>
    </w:p>
    <w:p>
      <w:pPr>
        <w:spacing w:before="60"/>
        <w:ind w:left="374" w:right="408" w:hanging="142"/>
        <w:jc w:val="left"/>
        <w:rPr>
          <w:i/>
          <w:sz w:val="16"/>
        </w:rPr>
      </w:pPr>
      <w:r>
        <w:rPr>
          <w:sz w:val="16"/>
          <w:vertAlign w:val="superscript"/>
        </w:rPr>
        <w:t>12</w:t>
      </w:r>
      <w:r>
        <w:rPr>
          <w:spacing w:val="-5"/>
          <w:sz w:val="16"/>
          <w:vertAlign w:val="baseline"/>
        </w:rPr>
        <w:t> </w:t>
      </w:r>
      <w:r>
        <w:rPr>
          <w:sz w:val="16"/>
          <w:vertAlign w:val="baseline"/>
        </w:rPr>
        <w:t>These</w:t>
      </w:r>
      <w:r>
        <w:rPr>
          <w:spacing w:val="-5"/>
          <w:sz w:val="16"/>
          <w:vertAlign w:val="baseline"/>
        </w:rPr>
        <w:t> </w:t>
      </w:r>
      <w:r>
        <w:rPr>
          <w:sz w:val="16"/>
          <w:vertAlign w:val="baseline"/>
        </w:rPr>
        <w:t>performance</w:t>
      </w:r>
      <w:r>
        <w:rPr>
          <w:spacing w:val="-2"/>
          <w:sz w:val="16"/>
          <w:vertAlign w:val="baseline"/>
        </w:rPr>
        <w:t> </w:t>
      </w:r>
      <w:r>
        <w:rPr>
          <w:sz w:val="16"/>
          <w:vertAlign w:val="baseline"/>
        </w:rPr>
        <w:t>requirements</w:t>
      </w:r>
      <w:r>
        <w:rPr>
          <w:spacing w:val="-3"/>
          <w:sz w:val="16"/>
          <w:vertAlign w:val="baseline"/>
        </w:rPr>
        <w:t> </w:t>
      </w:r>
      <w:r>
        <w:rPr>
          <w:sz w:val="16"/>
          <w:vertAlign w:val="baseline"/>
        </w:rPr>
        <w:t>are</w:t>
      </w:r>
      <w:r>
        <w:rPr>
          <w:spacing w:val="-2"/>
          <w:sz w:val="16"/>
          <w:vertAlign w:val="baseline"/>
        </w:rPr>
        <w:t> </w:t>
      </w:r>
      <w:r>
        <w:rPr>
          <w:sz w:val="16"/>
          <w:vertAlign w:val="baseline"/>
        </w:rPr>
        <w:t>specified</w:t>
      </w:r>
      <w:r>
        <w:rPr>
          <w:spacing w:val="-5"/>
          <w:sz w:val="16"/>
          <w:vertAlign w:val="baseline"/>
        </w:rPr>
        <w:t> </w:t>
      </w:r>
      <w:r>
        <w:rPr>
          <w:sz w:val="16"/>
          <w:vertAlign w:val="baseline"/>
        </w:rPr>
        <w:t>in</w:t>
      </w:r>
      <w:r>
        <w:rPr>
          <w:spacing w:val="-4"/>
          <w:sz w:val="16"/>
          <w:vertAlign w:val="baseline"/>
        </w:rPr>
        <w:t> </w:t>
      </w:r>
      <w:r>
        <w:rPr>
          <w:sz w:val="16"/>
          <w:vertAlign w:val="baseline"/>
        </w:rPr>
        <w:t>the</w:t>
      </w:r>
      <w:r>
        <w:rPr>
          <w:spacing w:val="-2"/>
          <w:sz w:val="16"/>
          <w:vertAlign w:val="baseline"/>
        </w:rPr>
        <w:t> </w:t>
      </w:r>
      <w:r>
        <w:rPr>
          <w:sz w:val="16"/>
          <w:vertAlign w:val="baseline"/>
        </w:rPr>
        <w:t>definition</w:t>
      </w:r>
      <w:r>
        <w:rPr>
          <w:spacing w:val="-2"/>
          <w:sz w:val="16"/>
          <w:vertAlign w:val="baseline"/>
        </w:rPr>
        <w:t> </w:t>
      </w:r>
      <w:r>
        <w:rPr>
          <w:sz w:val="16"/>
          <w:vertAlign w:val="baseline"/>
        </w:rPr>
        <w:t>of</w:t>
      </w:r>
      <w:r>
        <w:rPr>
          <w:spacing w:val="-1"/>
          <w:sz w:val="16"/>
          <w:vertAlign w:val="baseline"/>
        </w:rPr>
        <w:t> </w:t>
      </w:r>
      <w:r>
        <w:rPr>
          <w:sz w:val="16"/>
          <w:vertAlign w:val="baseline"/>
        </w:rPr>
        <w:t>‘required</w:t>
      </w:r>
      <w:r>
        <w:rPr>
          <w:spacing w:val="-2"/>
          <w:sz w:val="16"/>
          <w:vertAlign w:val="baseline"/>
        </w:rPr>
        <w:t> </w:t>
      </w:r>
      <w:r>
        <w:rPr>
          <w:sz w:val="16"/>
          <w:vertAlign w:val="baseline"/>
        </w:rPr>
        <w:t>capacity’</w:t>
      </w:r>
      <w:r>
        <w:rPr>
          <w:spacing w:val="-7"/>
          <w:sz w:val="16"/>
          <w:vertAlign w:val="baseline"/>
        </w:rPr>
        <w:t> </w:t>
      </w:r>
      <w:r>
        <w:rPr>
          <w:sz w:val="16"/>
          <w:vertAlign w:val="baseline"/>
        </w:rPr>
        <w:t>in</w:t>
      </w:r>
      <w:r>
        <w:rPr>
          <w:spacing w:val="-4"/>
          <w:sz w:val="16"/>
          <w:vertAlign w:val="baseline"/>
        </w:rPr>
        <w:t> </w:t>
      </w:r>
      <w:r>
        <w:rPr>
          <w:sz w:val="16"/>
          <w:vertAlign w:val="baseline"/>
        </w:rPr>
        <w:t>the </w:t>
      </w:r>
      <w:r>
        <w:rPr>
          <w:i/>
          <w:sz w:val="16"/>
          <w:vertAlign w:val="baseline"/>
        </w:rPr>
        <w:t>Electricity</w:t>
      </w:r>
      <w:r>
        <w:rPr>
          <w:i/>
          <w:spacing w:val="-2"/>
          <w:sz w:val="16"/>
          <w:vertAlign w:val="baseline"/>
        </w:rPr>
        <w:t> </w:t>
      </w:r>
      <w:r>
        <w:rPr>
          <w:i/>
          <w:sz w:val="16"/>
          <w:vertAlign w:val="baseline"/>
        </w:rPr>
        <w:t>Safety</w:t>
      </w:r>
      <w:r>
        <w:rPr>
          <w:i/>
          <w:spacing w:val="-3"/>
          <w:sz w:val="16"/>
          <w:vertAlign w:val="baseline"/>
        </w:rPr>
        <w:t> </w:t>
      </w:r>
      <w:r>
        <w:rPr>
          <w:i/>
          <w:sz w:val="16"/>
          <w:vertAlign w:val="baseline"/>
        </w:rPr>
        <w:t>(Bushfire</w:t>
      </w:r>
      <w:r>
        <w:rPr>
          <w:i/>
          <w:spacing w:val="-5"/>
          <w:sz w:val="16"/>
          <w:vertAlign w:val="baseline"/>
        </w:rPr>
        <w:t> </w:t>
      </w:r>
      <w:r>
        <w:rPr>
          <w:i/>
          <w:sz w:val="16"/>
          <w:vertAlign w:val="baseline"/>
        </w:rPr>
        <w:t>Mitigation) Amendment Regulations 2016.</w:t>
      </w:r>
    </w:p>
    <w:p>
      <w:pPr>
        <w:spacing w:before="61"/>
        <w:ind w:left="374" w:right="408" w:hanging="142"/>
        <w:jc w:val="left"/>
        <w:rPr>
          <w:i/>
          <w:sz w:val="16"/>
        </w:rPr>
      </w:pPr>
      <w:r>
        <w:rPr>
          <w:sz w:val="16"/>
          <w:vertAlign w:val="superscript"/>
        </w:rPr>
        <w:t>13</w:t>
      </w:r>
      <w:r>
        <w:rPr>
          <w:spacing w:val="-4"/>
          <w:sz w:val="16"/>
          <w:vertAlign w:val="baseline"/>
        </w:rPr>
        <w:t> </w:t>
      </w:r>
      <w:r>
        <w:rPr>
          <w:sz w:val="16"/>
          <w:vertAlign w:val="baseline"/>
        </w:rPr>
        <w:t>These</w:t>
      </w:r>
      <w:r>
        <w:rPr>
          <w:spacing w:val="-4"/>
          <w:sz w:val="16"/>
          <w:vertAlign w:val="baseline"/>
        </w:rPr>
        <w:t> </w:t>
      </w:r>
      <w:r>
        <w:rPr>
          <w:sz w:val="16"/>
          <w:vertAlign w:val="baseline"/>
        </w:rPr>
        <w:t>performance</w:t>
      </w:r>
      <w:r>
        <w:rPr>
          <w:spacing w:val="-2"/>
          <w:sz w:val="16"/>
          <w:vertAlign w:val="baseline"/>
        </w:rPr>
        <w:t> </w:t>
      </w:r>
      <w:r>
        <w:rPr>
          <w:sz w:val="16"/>
          <w:vertAlign w:val="baseline"/>
        </w:rPr>
        <w:t>requirements</w:t>
      </w:r>
      <w:r>
        <w:rPr>
          <w:spacing w:val="-3"/>
          <w:sz w:val="16"/>
          <w:vertAlign w:val="baseline"/>
        </w:rPr>
        <w:t> </w:t>
      </w:r>
      <w:r>
        <w:rPr>
          <w:sz w:val="16"/>
          <w:vertAlign w:val="baseline"/>
        </w:rPr>
        <w:t>are</w:t>
      </w:r>
      <w:r>
        <w:rPr>
          <w:spacing w:val="-2"/>
          <w:sz w:val="16"/>
          <w:vertAlign w:val="baseline"/>
        </w:rPr>
        <w:t> </w:t>
      </w:r>
      <w:r>
        <w:rPr>
          <w:sz w:val="16"/>
          <w:vertAlign w:val="baseline"/>
        </w:rPr>
        <w:t>specified</w:t>
      </w:r>
      <w:r>
        <w:rPr>
          <w:spacing w:val="-4"/>
          <w:sz w:val="16"/>
          <w:vertAlign w:val="baseline"/>
        </w:rPr>
        <w:t> </w:t>
      </w:r>
      <w:r>
        <w:rPr>
          <w:sz w:val="16"/>
          <w:vertAlign w:val="baseline"/>
        </w:rPr>
        <w:t>in</w:t>
      </w:r>
      <w:r>
        <w:rPr>
          <w:spacing w:val="-4"/>
          <w:sz w:val="16"/>
          <w:vertAlign w:val="baseline"/>
        </w:rPr>
        <w:t> </w:t>
      </w:r>
      <w:r>
        <w:rPr>
          <w:sz w:val="16"/>
          <w:vertAlign w:val="baseline"/>
        </w:rPr>
        <w:t>the</w:t>
      </w:r>
      <w:r>
        <w:rPr>
          <w:spacing w:val="-2"/>
          <w:sz w:val="16"/>
          <w:vertAlign w:val="baseline"/>
        </w:rPr>
        <w:t> </w:t>
      </w:r>
      <w:r>
        <w:rPr>
          <w:sz w:val="16"/>
          <w:vertAlign w:val="baseline"/>
        </w:rPr>
        <w:t>definition</w:t>
      </w:r>
      <w:r>
        <w:rPr>
          <w:spacing w:val="-2"/>
          <w:sz w:val="16"/>
          <w:vertAlign w:val="baseline"/>
        </w:rPr>
        <w:t> </w:t>
      </w:r>
      <w:r>
        <w:rPr>
          <w:sz w:val="16"/>
          <w:vertAlign w:val="baseline"/>
        </w:rPr>
        <w:t>of</w:t>
      </w:r>
      <w:r>
        <w:rPr>
          <w:spacing w:val="-1"/>
          <w:sz w:val="16"/>
          <w:vertAlign w:val="baseline"/>
        </w:rPr>
        <w:t> </w:t>
      </w:r>
      <w:r>
        <w:rPr>
          <w:sz w:val="16"/>
          <w:vertAlign w:val="baseline"/>
        </w:rPr>
        <w:t>‘required</w:t>
      </w:r>
      <w:r>
        <w:rPr>
          <w:spacing w:val="-2"/>
          <w:sz w:val="16"/>
          <w:vertAlign w:val="baseline"/>
        </w:rPr>
        <w:t> </w:t>
      </w:r>
      <w:r>
        <w:rPr>
          <w:sz w:val="16"/>
          <w:vertAlign w:val="baseline"/>
        </w:rPr>
        <w:t>capacity’</w:t>
      </w:r>
      <w:r>
        <w:rPr>
          <w:spacing w:val="-7"/>
          <w:sz w:val="16"/>
          <w:vertAlign w:val="baseline"/>
        </w:rPr>
        <w:t> </w:t>
      </w:r>
      <w:r>
        <w:rPr>
          <w:sz w:val="16"/>
          <w:vertAlign w:val="baseline"/>
        </w:rPr>
        <w:t>in</w:t>
      </w:r>
      <w:r>
        <w:rPr>
          <w:spacing w:val="-4"/>
          <w:sz w:val="16"/>
          <w:vertAlign w:val="baseline"/>
        </w:rPr>
        <w:t> </w:t>
      </w:r>
      <w:r>
        <w:rPr>
          <w:sz w:val="16"/>
          <w:vertAlign w:val="baseline"/>
        </w:rPr>
        <w:t>the </w:t>
      </w:r>
      <w:r>
        <w:rPr>
          <w:i/>
          <w:sz w:val="16"/>
          <w:vertAlign w:val="baseline"/>
        </w:rPr>
        <w:t>Electricity</w:t>
      </w:r>
      <w:r>
        <w:rPr>
          <w:i/>
          <w:spacing w:val="-3"/>
          <w:sz w:val="16"/>
          <w:vertAlign w:val="baseline"/>
        </w:rPr>
        <w:t> </w:t>
      </w:r>
      <w:r>
        <w:rPr>
          <w:i/>
          <w:sz w:val="16"/>
          <w:vertAlign w:val="baseline"/>
        </w:rPr>
        <w:t>Safety</w:t>
      </w:r>
      <w:r>
        <w:rPr>
          <w:i/>
          <w:spacing w:val="-3"/>
          <w:sz w:val="16"/>
          <w:vertAlign w:val="baseline"/>
        </w:rPr>
        <w:t> </w:t>
      </w:r>
      <w:r>
        <w:rPr>
          <w:i/>
          <w:sz w:val="16"/>
          <w:vertAlign w:val="baseline"/>
        </w:rPr>
        <w:t>(Bushfire</w:t>
      </w:r>
      <w:r>
        <w:rPr>
          <w:i/>
          <w:spacing w:val="-4"/>
          <w:sz w:val="16"/>
          <w:vertAlign w:val="baseline"/>
        </w:rPr>
        <w:t> </w:t>
      </w:r>
      <w:r>
        <w:rPr>
          <w:i/>
          <w:sz w:val="16"/>
          <w:vertAlign w:val="baseline"/>
        </w:rPr>
        <w:t>Mitigation) Amendment Regulations 2016.</w:t>
      </w:r>
    </w:p>
    <w:p>
      <w:pPr>
        <w:spacing w:after="0"/>
        <w:jc w:val="left"/>
        <w:rPr>
          <w:sz w:val="16"/>
        </w:rPr>
        <w:sectPr>
          <w:pgSz w:w="11910" w:h="16850"/>
          <w:pgMar w:header="220" w:footer="678" w:top="420" w:bottom="860" w:left="900" w:right="840"/>
        </w:sectPr>
      </w:pPr>
    </w:p>
    <w:p>
      <w:pPr>
        <w:pStyle w:val="BodyText"/>
        <w:rPr>
          <w:i/>
          <w:sz w:val="20"/>
        </w:rPr>
      </w:pPr>
    </w:p>
    <w:p>
      <w:pPr>
        <w:pStyle w:val="BodyText"/>
        <w:spacing w:before="2"/>
        <w:rPr>
          <w:i/>
          <w:sz w:val="19"/>
        </w:rPr>
      </w:pPr>
    </w:p>
    <w:p>
      <w:pPr>
        <w:pStyle w:val="BodyText"/>
        <w:spacing w:line="288" w:lineRule="auto" w:before="94"/>
        <w:ind w:left="232" w:right="369"/>
      </w:pPr>
      <w:r>
        <w:rPr/>
        <w:t>Electricity distribution businesses have also expressed concern that the technical challenges associated with installing REFCLs within existing zone substation infrastructure were not sufficiently addressed for the seven-year rollout timeframe. Network businesses in their discussions</w:t>
      </w:r>
      <w:r>
        <w:rPr>
          <w:spacing w:val="-1"/>
        </w:rPr>
        <w:t> </w:t>
      </w:r>
      <w:r>
        <w:rPr/>
        <w:t>with</w:t>
      </w:r>
      <w:r>
        <w:rPr>
          <w:spacing w:val="-2"/>
        </w:rPr>
        <w:t> </w:t>
      </w:r>
      <w:r>
        <w:rPr/>
        <w:t>the</w:t>
      </w:r>
      <w:r>
        <w:rPr>
          <w:spacing w:val="-2"/>
        </w:rPr>
        <w:t> </w:t>
      </w:r>
      <w:r>
        <w:rPr/>
        <w:t>Review,</w:t>
      </w:r>
      <w:r>
        <w:rPr>
          <w:spacing w:val="-1"/>
        </w:rPr>
        <w:t> </w:t>
      </w:r>
      <w:r>
        <w:rPr/>
        <w:t>noted</w:t>
      </w:r>
      <w:r>
        <w:rPr>
          <w:spacing w:val="-4"/>
        </w:rPr>
        <w:t> </w:t>
      </w:r>
      <w:r>
        <w:rPr/>
        <w:t>that</w:t>
      </w:r>
      <w:r>
        <w:rPr>
          <w:spacing w:val="-1"/>
        </w:rPr>
        <w:t> </w:t>
      </w:r>
      <w:r>
        <w:rPr/>
        <w:t>zone</w:t>
      </w:r>
      <w:r>
        <w:rPr>
          <w:spacing w:val="-2"/>
        </w:rPr>
        <w:t> </w:t>
      </w:r>
      <w:r>
        <w:rPr/>
        <w:t>substations</w:t>
      </w:r>
      <w:r>
        <w:rPr>
          <w:spacing w:val="-1"/>
        </w:rPr>
        <w:t> </w:t>
      </w:r>
      <w:r>
        <w:rPr/>
        <w:t>serving</w:t>
      </w:r>
      <w:r>
        <w:rPr>
          <w:spacing w:val="-2"/>
        </w:rPr>
        <w:t> </w:t>
      </w:r>
      <w:r>
        <w:rPr/>
        <w:t>large</w:t>
      </w:r>
      <w:r>
        <w:rPr>
          <w:spacing w:val="-3"/>
        </w:rPr>
        <w:t> </w:t>
      </w:r>
      <w:r>
        <w:rPr/>
        <w:t>rural</w:t>
      </w:r>
      <w:r>
        <w:rPr>
          <w:spacing w:val="-3"/>
        </w:rPr>
        <w:t> </w:t>
      </w:r>
      <w:r>
        <w:rPr/>
        <w:t>networks</w:t>
      </w:r>
      <w:r>
        <w:rPr>
          <w:spacing w:val="-6"/>
        </w:rPr>
        <w:t> </w:t>
      </w:r>
      <w:r>
        <w:rPr/>
        <w:t>may</w:t>
      </w:r>
      <w:r>
        <w:rPr>
          <w:spacing w:val="-4"/>
        </w:rPr>
        <w:t> </w:t>
      </w:r>
      <w:r>
        <w:rPr/>
        <w:t>require installation of more than one REFCL unit to meet the required standard.</w:t>
      </w:r>
    </w:p>
    <w:p>
      <w:pPr>
        <w:pStyle w:val="BodyText"/>
        <w:spacing w:before="9"/>
        <w:rPr>
          <w:sz w:val="20"/>
        </w:rPr>
      </w:pPr>
    </w:p>
    <w:p>
      <w:pPr>
        <w:pStyle w:val="BodyText"/>
        <w:spacing w:line="288" w:lineRule="auto"/>
        <w:ind w:left="232" w:right="374"/>
      </w:pPr>
      <w:r>
        <w:rPr/>
        <w:t>AusNet</w:t>
      </w:r>
      <w:r>
        <w:rPr>
          <w:spacing w:val="-2"/>
        </w:rPr>
        <w:t> </w:t>
      </w:r>
      <w:r>
        <w:rPr/>
        <w:t>Services,</w:t>
      </w:r>
      <w:r>
        <w:rPr>
          <w:spacing w:val="-2"/>
        </w:rPr>
        <w:t> </w:t>
      </w:r>
      <w:r>
        <w:rPr/>
        <w:t>in</w:t>
      </w:r>
      <w:r>
        <w:rPr>
          <w:spacing w:val="-5"/>
        </w:rPr>
        <w:t> </w:t>
      </w:r>
      <w:r>
        <w:rPr/>
        <w:t>its</w:t>
      </w:r>
      <w:r>
        <w:rPr>
          <w:spacing w:val="-1"/>
        </w:rPr>
        <w:t> </w:t>
      </w:r>
      <w:r>
        <w:rPr>
          <w:i/>
        </w:rPr>
        <w:t>Notice</w:t>
      </w:r>
      <w:r>
        <w:rPr>
          <w:i/>
          <w:spacing w:val="-3"/>
        </w:rPr>
        <w:t> </w:t>
      </w:r>
      <w:r>
        <w:rPr>
          <w:i/>
        </w:rPr>
        <w:t>of</w:t>
      </w:r>
      <w:r>
        <w:rPr>
          <w:i/>
          <w:spacing w:val="-4"/>
        </w:rPr>
        <w:t> </w:t>
      </w:r>
      <w:r>
        <w:rPr>
          <w:i/>
        </w:rPr>
        <w:t>Determination</w:t>
      </w:r>
      <w:r>
        <w:rPr>
          <w:i/>
          <w:spacing w:val="-1"/>
        </w:rPr>
        <w:t> </w:t>
      </w:r>
      <w:r>
        <w:rPr/>
        <w:t>in</w:t>
      </w:r>
      <w:r>
        <w:rPr>
          <w:spacing w:val="-5"/>
        </w:rPr>
        <w:t> </w:t>
      </w:r>
      <w:r>
        <w:rPr/>
        <w:t>response</w:t>
      </w:r>
      <w:r>
        <w:rPr>
          <w:spacing w:val="-5"/>
        </w:rPr>
        <w:t> </w:t>
      </w:r>
      <w:r>
        <w:rPr/>
        <w:t>to</w:t>
      </w:r>
      <w:r>
        <w:rPr>
          <w:spacing w:val="-4"/>
        </w:rPr>
        <w:t> </w:t>
      </w:r>
      <w:r>
        <w:rPr/>
        <w:t>complying with</w:t>
      </w:r>
      <w:r>
        <w:rPr>
          <w:spacing w:val="-3"/>
        </w:rPr>
        <w:t> </w:t>
      </w:r>
      <w:r>
        <w:rPr/>
        <w:t>these</w:t>
      </w:r>
      <w:r>
        <w:rPr>
          <w:spacing w:val="-5"/>
        </w:rPr>
        <w:t> </w:t>
      </w:r>
      <w:r>
        <w:rPr/>
        <w:t>amendments, sees the program as a commercial risk that can result in higher costs to consumers:</w:t>
      </w:r>
    </w:p>
    <w:p>
      <w:pPr>
        <w:pStyle w:val="BodyText"/>
        <w:spacing w:before="10"/>
        <w:rPr>
          <w:sz w:val="20"/>
        </w:rPr>
      </w:pPr>
    </w:p>
    <w:p>
      <w:pPr>
        <w:spacing w:line="288" w:lineRule="auto" w:before="0"/>
        <w:ind w:left="799" w:right="903" w:firstLine="0"/>
        <w:jc w:val="left"/>
        <w:rPr>
          <w:sz w:val="22"/>
        </w:rPr>
      </w:pPr>
      <w:r>
        <w:rPr>
          <w:i/>
          <w:sz w:val="22"/>
        </w:rPr>
        <w:t>“AusNet</w:t>
      </w:r>
      <w:r>
        <w:rPr>
          <w:i/>
          <w:spacing w:val="-2"/>
          <w:sz w:val="22"/>
        </w:rPr>
        <w:t> </w:t>
      </w:r>
      <w:r>
        <w:rPr>
          <w:i/>
          <w:sz w:val="22"/>
        </w:rPr>
        <w:t>Services</w:t>
      </w:r>
      <w:r>
        <w:rPr>
          <w:i/>
          <w:spacing w:val="-3"/>
          <w:sz w:val="22"/>
        </w:rPr>
        <w:t> </w:t>
      </w:r>
      <w:r>
        <w:rPr>
          <w:i/>
          <w:sz w:val="22"/>
        </w:rPr>
        <w:t>has</w:t>
      </w:r>
      <w:r>
        <w:rPr>
          <w:i/>
          <w:spacing w:val="-2"/>
          <w:sz w:val="22"/>
        </w:rPr>
        <w:t> </w:t>
      </w:r>
      <w:r>
        <w:rPr>
          <w:i/>
          <w:sz w:val="22"/>
        </w:rPr>
        <w:t>advised</w:t>
      </w:r>
      <w:r>
        <w:rPr>
          <w:i/>
          <w:spacing w:val="-3"/>
          <w:sz w:val="22"/>
        </w:rPr>
        <w:t> </w:t>
      </w:r>
      <w:r>
        <w:rPr>
          <w:i/>
          <w:sz w:val="22"/>
        </w:rPr>
        <w:t>the</w:t>
      </w:r>
      <w:r>
        <w:rPr>
          <w:i/>
          <w:spacing w:val="-5"/>
          <w:sz w:val="22"/>
        </w:rPr>
        <w:t> </w:t>
      </w:r>
      <w:r>
        <w:rPr>
          <w:i/>
          <w:sz w:val="22"/>
        </w:rPr>
        <w:t>Government</w:t>
      </w:r>
      <w:r>
        <w:rPr>
          <w:i/>
          <w:spacing w:val="-4"/>
          <w:sz w:val="22"/>
        </w:rPr>
        <w:t> </w:t>
      </w:r>
      <w:r>
        <w:rPr>
          <w:i/>
          <w:sz w:val="22"/>
        </w:rPr>
        <w:t>on</w:t>
      </w:r>
      <w:r>
        <w:rPr>
          <w:i/>
          <w:spacing w:val="-3"/>
          <w:sz w:val="22"/>
        </w:rPr>
        <w:t> </w:t>
      </w:r>
      <w:r>
        <w:rPr>
          <w:i/>
          <w:sz w:val="22"/>
        </w:rPr>
        <w:t>numerous</w:t>
      </w:r>
      <w:r>
        <w:rPr>
          <w:i/>
          <w:spacing w:val="-2"/>
          <w:sz w:val="22"/>
        </w:rPr>
        <w:t> </w:t>
      </w:r>
      <w:r>
        <w:rPr>
          <w:i/>
          <w:sz w:val="22"/>
        </w:rPr>
        <w:t>occasions</w:t>
      </w:r>
      <w:r>
        <w:rPr>
          <w:i/>
          <w:spacing w:val="-5"/>
          <w:sz w:val="22"/>
        </w:rPr>
        <w:t> </w:t>
      </w:r>
      <w:r>
        <w:rPr>
          <w:i/>
          <w:sz w:val="22"/>
        </w:rPr>
        <w:t>that</w:t>
      </w:r>
      <w:r>
        <w:rPr>
          <w:i/>
          <w:spacing w:val="-4"/>
          <w:sz w:val="22"/>
        </w:rPr>
        <w:t> </w:t>
      </w:r>
      <w:r>
        <w:rPr>
          <w:i/>
          <w:sz w:val="22"/>
        </w:rPr>
        <w:t>the</w:t>
      </w:r>
      <w:r>
        <w:rPr>
          <w:i/>
          <w:spacing w:val="-3"/>
          <w:sz w:val="22"/>
        </w:rPr>
        <w:t> </w:t>
      </w:r>
      <w:r>
        <w:rPr>
          <w:i/>
          <w:sz w:val="22"/>
        </w:rPr>
        <w:t>hugely ambitious REFCL timeframe and performance standard are inconsistent with the technological, operational and commercial challenges that exist in relation to the REFCL program and the likely outcome will be higher costs to consumers.” </w:t>
      </w:r>
      <w:r>
        <w:rPr>
          <w:sz w:val="22"/>
        </w:rPr>
        <w:t>(AER, 2017, p. 16)</w:t>
      </w:r>
    </w:p>
    <w:p>
      <w:pPr>
        <w:pStyle w:val="BodyText"/>
        <w:spacing w:before="1"/>
        <w:rPr>
          <w:sz w:val="21"/>
        </w:rPr>
      </w:pPr>
    </w:p>
    <w:p>
      <w:pPr>
        <w:pStyle w:val="BodyText"/>
        <w:spacing w:line="288" w:lineRule="auto"/>
        <w:ind w:left="232" w:right="320"/>
      </w:pPr>
      <w:r>
        <w:rPr/>
        <w:t>In</w:t>
      </w:r>
      <w:r>
        <w:rPr>
          <w:spacing w:val="-3"/>
        </w:rPr>
        <w:t> </w:t>
      </w:r>
      <w:r>
        <w:rPr/>
        <w:t>identifying</w:t>
      </w:r>
      <w:r>
        <w:rPr>
          <w:spacing w:val="-3"/>
        </w:rPr>
        <w:t> </w:t>
      </w:r>
      <w:r>
        <w:rPr/>
        <w:t>a</w:t>
      </w:r>
      <w:r>
        <w:rPr>
          <w:spacing w:val="-3"/>
        </w:rPr>
        <w:t> </w:t>
      </w:r>
      <w:r>
        <w:rPr/>
        <w:t>way</w:t>
      </w:r>
      <w:r>
        <w:rPr>
          <w:spacing w:val="-5"/>
        </w:rPr>
        <w:t> </w:t>
      </w:r>
      <w:r>
        <w:rPr/>
        <w:t>forward,</w:t>
      </w:r>
      <w:r>
        <w:rPr>
          <w:spacing w:val="-4"/>
        </w:rPr>
        <w:t> </w:t>
      </w:r>
      <w:r>
        <w:rPr/>
        <w:t>AusNet</w:t>
      </w:r>
      <w:r>
        <w:rPr>
          <w:spacing w:val="-2"/>
        </w:rPr>
        <w:t> </w:t>
      </w:r>
      <w:r>
        <w:rPr/>
        <w:t>Services</w:t>
      </w:r>
      <w:r>
        <w:rPr>
          <w:spacing w:val="-3"/>
        </w:rPr>
        <w:t> </w:t>
      </w:r>
      <w:r>
        <w:rPr/>
        <w:t>has</w:t>
      </w:r>
      <w:r>
        <w:rPr>
          <w:spacing w:val="-2"/>
        </w:rPr>
        <w:t> </w:t>
      </w:r>
      <w:r>
        <w:rPr/>
        <w:t>proposed</w:t>
      </w:r>
      <w:r>
        <w:rPr>
          <w:spacing w:val="-5"/>
        </w:rPr>
        <w:t> </w:t>
      </w:r>
      <w:r>
        <w:rPr/>
        <w:t>that</w:t>
      </w:r>
      <w:r>
        <w:rPr>
          <w:spacing w:val="-4"/>
        </w:rPr>
        <w:t> </w:t>
      </w:r>
      <w:r>
        <w:rPr/>
        <w:t>DELWP</w:t>
      </w:r>
      <w:r>
        <w:rPr>
          <w:spacing w:val="-7"/>
        </w:rPr>
        <w:t> </w:t>
      </w:r>
      <w:r>
        <w:rPr/>
        <w:t>work closely</w:t>
      </w:r>
      <w:r>
        <w:rPr>
          <w:spacing w:val="-5"/>
        </w:rPr>
        <w:t> </w:t>
      </w:r>
      <w:r>
        <w:rPr/>
        <w:t>with</w:t>
      </w:r>
      <w:r>
        <w:rPr>
          <w:spacing w:val="-3"/>
        </w:rPr>
        <w:t> </w:t>
      </w:r>
      <w:r>
        <w:rPr/>
        <w:t>industry to draw on their experience in rollout of new technology such as REFCLs:</w:t>
      </w:r>
    </w:p>
    <w:p>
      <w:pPr>
        <w:pStyle w:val="BodyText"/>
        <w:spacing w:before="10"/>
        <w:rPr>
          <w:sz w:val="20"/>
        </w:rPr>
      </w:pPr>
    </w:p>
    <w:p>
      <w:pPr>
        <w:spacing w:line="288" w:lineRule="auto" w:before="0"/>
        <w:ind w:left="799" w:right="868" w:firstLine="0"/>
        <w:jc w:val="left"/>
        <w:rPr>
          <w:sz w:val="22"/>
        </w:rPr>
      </w:pPr>
      <w:r>
        <w:rPr>
          <w:i/>
          <w:sz w:val="22"/>
        </w:rPr>
        <w:t>“… we would encourage the Department to work even more closely with distributors drawing on their considerable experience on the implementation of these often quite complex initiatives and strong record of delivering performance improvement cost effectively. For example, while consulting on new obligations with respect to the installation</w:t>
      </w:r>
      <w:r>
        <w:rPr>
          <w:i/>
          <w:spacing w:val="-5"/>
          <w:sz w:val="22"/>
        </w:rPr>
        <w:t> </w:t>
      </w:r>
      <w:r>
        <w:rPr>
          <w:i/>
          <w:sz w:val="22"/>
        </w:rPr>
        <w:t>of</w:t>
      </w:r>
      <w:r>
        <w:rPr>
          <w:i/>
          <w:spacing w:val="-3"/>
          <w:sz w:val="22"/>
        </w:rPr>
        <w:t> </w:t>
      </w:r>
      <w:r>
        <w:rPr>
          <w:i/>
          <w:sz w:val="22"/>
        </w:rPr>
        <w:t>REFCLs,</w:t>
      </w:r>
      <w:r>
        <w:rPr>
          <w:i/>
          <w:spacing w:val="-6"/>
          <w:sz w:val="22"/>
        </w:rPr>
        <w:t> </w:t>
      </w:r>
      <w:r>
        <w:rPr>
          <w:i/>
          <w:sz w:val="22"/>
        </w:rPr>
        <w:t>the</w:t>
      </w:r>
      <w:r>
        <w:rPr>
          <w:i/>
          <w:spacing w:val="-5"/>
          <w:sz w:val="22"/>
        </w:rPr>
        <w:t> </w:t>
      </w:r>
      <w:r>
        <w:rPr>
          <w:i/>
          <w:sz w:val="22"/>
        </w:rPr>
        <w:t>genuine</w:t>
      </w:r>
      <w:r>
        <w:rPr>
          <w:i/>
          <w:spacing w:val="-4"/>
          <w:sz w:val="22"/>
        </w:rPr>
        <w:t> </w:t>
      </w:r>
      <w:r>
        <w:rPr>
          <w:i/>
          <w:sz w:val="22"/>
        </w:rPr>
        <w:t>implementation</w:t>
      </w:r>
      <w:r>
        <w:rPr>
          <w:i/>
          <w:spacing w:val="-5"/>
          <w:sz w:val="22"/>
        </w:rPr>
        <w:t> </w:t>
      </w:r>
      <w:r>
        <w:rPr>
          <w:i/>
          <w:sz w:val="22"/>
        </w:rPr>
        <w:t>concerns</w:t>
      </w:r>
      <w:r>
        <w:rPr>
          <w:i/>
          <w:spacing w:val="-4"/>
          <w:sz w:val="22"/>
        </w:rPr>
        <w:t> </w:t>
      </w:r>
      <w:r>
        <w:rPr>
          <w:i/>
          <w:sz w:val="22"/>
        </w:rPr>
        <w:t>of</w:t>
      </w:r>
      <w:r>
        <w:rPr>
          <w:i/>
          <w:spacing w:val="-3"/>
          <w:sz w:val="22"/>
        </w:rPr>
        <w:t> </w:t>
      </w:r>
      <w:r>
        <w:rPr>
          <w:i/>
          <w:sz w:val="22"/>
        </w:rPr>
        <w:t>distribution</w:t>
      </w:r>
      <w:r>
        <w:rPr>
          <w:i/>
          <w:spacing w:val="-5"/>
          <w:sz w:val="22"/>
        </w:rPr>
        <w:t> </w:t>
      </w:r>
      <w:r>
        <w:rPr>
          <w:i/>
          <w:sz w:val="22"/>
        </w:rPr>
        <w:t>businesses have been [too] easily dismissed despite valuable lessons learned being readily available from previous new technology roll outs. By ignoring these concerns, higher costs will be borne by the community.” </w:t>
      </w:r>
      <w:r>
        <w:rPr>
          <w:sz w:val="22"/>
        </w:rPr>
        <w:t>(AusNet Services, 2017, p. 11)</w:t>
      </w:r>
    </w:p>
    <w:p>
      <w:pPr>
        <w:pStyle w:val="BodyText"/>
        <w:spacing w:before="8"/>
        <w:rPr>
          <w:sz w:val="20"/>
        </w:rPr>
      </w:pPr>
    </w:p>
    <w:p>
      <w:pPr>
        <w:pStyle w:val="BodyText"/>
        <w:spacing w:line="288" w:lineRule="auto"/>
        <w:ind w:left="232" w:right="374"/>
      </w:pPr>
      <w:r>
        <w:rPr/>
        <w:t>On 29 June 2012, ESV accepted changes to the Electricity Safety Management Scheme of SP Ausnet,</w:t>
      </w:r>
      <w:r>
        <w:rPr>
          <w:spacing w:val="-2"/>
        </w:rPr>
        <w:t> </w:t>
      </w:r>
      <w:r>
        <w:rPr/>
        <w:t>which</w:t>
      </w:r>
      <w:r>
        <w:rPr>
          <w:spacing w:val="-1"/>
        </w:rPr>
        <w:t> </w:t>
      </w:r>
      <w:r>
        <w:rPr/>
        <w:t>included</w:t>
      </w:r>
      <w:r>
        <w:rPr>
          <w:spacing w:val="-1"/>
        </w:rPr>
        <w:t> </w:t>
      </w:r>
      <w:r>
        <w:rPr/>
        <w:t>the</w:t>
      </w:r>
      <w:r>
        <w:rPr>
          <w:spacing w:val="-1"/>
        </w:rPr>
        <w:t> </w:t>
      </w:r>
      <w:r>
        <w:rPr/>
        <w:t>plan</w:t>
      </w:r>
      <w:r>
        <w:rPr>
          <w:spacing w:val="-1"/>
        </w:rPr>
        <w:t> </w:t>
      </w:r>
      <w:r>
        <w:rPr/>
        <w:t>to</w:t>
      </w:r>
      <w:r>
        <w:rPr>
          <w:spacing w:val="-3"/>
        </w:rPr>
        <w:t> </w:t>
      </w:r>
      <w:r>
        <w:rPr/>
        <w:t>install</w:t>
      </w:r>
      <w:r>
        <w:rPr>
          <w:spacing w:val="-1"/>
        </w:rPr>
        <w:t> </w:t>
      </w:r>
      <w:r>
        <w:rPr/>
        <w:t>a</w:t>
      </w:r>
      <w:r>
        <w:rPr>
          <w:spacing w:val="-3"/>
        </w:rPr>
        <w:t> </w:t>
      </w:r>
      <w:r>
        <w:rPr/>
        <w:t>REFCL</w:t>
      </w:r>
      <w:r>
        <w:rPr>
          <w:spacing w:val="-1"/>
        </w:rPr>
        <w:t> </w:t>
      </w:r>
      <w:r>
        <w:rPr/>
        <w:t>at</w:t>
      </w:r>
      <w:r>
        <w:rPr>
          <w:spacing w:val="-6"/>
        </w:rPr>
        <w:t> </w:t>
      </w:r>
      <w:r>
        <w:rPr/>
        <w:t>Woori</w:t>
      </w:r>
      <w:r>
        <w:rPr>
          <w:spacing w:val="-1"/>
        </w:rPr>
        <w:t> </w:t>
      </w:r>
      <w:r>
        <w:rPr/>
        <w:t>Yallock,</w:t>
      </w:r>
      <w:r>
        <w:rPr>
          <w:spacing w:val="-2"/>
        </w:rPr>
        <w:t> </w:t>
      </w:r>
      <w:r>
        <w:rPr/>
        <w:t>making</w:t>
      </w:r>
      <w:r>
        <w:rPr>
          <w:spacing w:val="-1"/>
        </w:rPr>
        <w:t> </w:t>
      </w:r>
      <w:r>
        <w:rPr/>
        <w:t>the</w:t>
      </w:r>
      <w:r>
        <w:rPr>
          <w:spacing w:val="-3"/>
        </w:rPr>
        <w:t> </w:t>
      </w:r>
      <w:r>
        <w:rPr/>
        <w:t>installation</w:t>
      </w:r>
      <w:r>
        <w:rPr>
          <w:spacing w:val="-1"/>
        </w:rPr>
        <w:t> </w:t>
      </w:r>
      <w:r>
        <w:rPr/>
        <w:t>of</w:t>
      </w:r>
      <w:r>
        <w:rPr>
          <w:spacing w:val="-2"/>
        </w:rPr>
        <w:t> </w:t>
      </w:r>
      <w:r>
        <w:rPr/>
        <w:t>this REFCL subject to regulatory oversight.</w:t>
      </w:r>
    </w:p>
    <w:p>
      <w:pPr>
        <w:spacing w:after="0" w:line="288" w:lineRule="auto"/>
        <w:sectPr>
          <w:pgSz w:w="11910" w:h="16850"/>
          <w:pgMar w:header="220" w:footer="678" w:top="420" w:bottom="860" w:left="900" w:right="840"/>
        </w:sectPr>
      </w:pPr>
    </w:p>
    <w:p>
      <w:pPr>
        <w:pStyle w:val="BodyText"/>
        <w:rPr>
          <w:sz w:val="20"/>
        </w:rPr>
      </w:pPr>
    </w:p>
    <w:p>
      <w:pPr>
        <w:pStyle w:val="BodyText"/>
        <w:rPr>
          <w:sz w:val="20"/>
        </w:rPr>
      </w:pPr>
    </w:p>
    <w:p>
      <w:pPr>
        <w:pStyle w:val="BodyText"/>
        <w:spacing w:before="1"/>
        <w:rPr>
          <w:sz w:val="20"/>
        </w:rPr>
      </w:pPr>
    </w:p>
    <w:p>
      <w:pPr>
        <w:pStyle w:val="Heading7"/>
        <w:spacing w:before="94"/>
        <w:ind w:left="372"/>
      </w:pPr>
      <w:r>
        <w:rPr/>
        <mc:AlternateContent>
          <mc:Choice Requires="wps">
            <w:drawing>
              <wp:anchor distT="0" distB="0" distL="0" distR="0" allowOverlap="1" layoutInCell="1" locked="0" behindDoc="1" simplePos="0" relativeHeight="482736640">
                <wp:simplePos x="0" y="0"/>
                <wp:positionH relativeFrom="page">
                  <wp:posOffset>697991</wp:posOffset>
                </wp:positionH>
                <wp:positionV relativeFrom="paragraph">
                  <wp:posOffset>-92737</wp:posOffset>
                </wp:positionV>
                <wp:extent cx="5891530" cy="4730115"/>
                <wp:effectExtent l="0" t="0" r="0" b="0"/>
                <wp:wrapNone/>
                <wp:docPr id="176" name="Graphic 176"/>
                <wp:cNvGraphicFramePr>
                  <a:graphicFrameLocks/>
                </wp:cNvGraphicFramePr>
                <a:graphic>
                  <a:graphicData uri="http://schemas.microsoft.com/office/word/2010/wordprocessingShape">
                    <wps:wsp>
                      <wps:cNvPr id="176" name="Graphic 176"/>
                      <wps:cNvSpPr/>
                      <wps:spPr>
                        <a:xfrm>
                          <a:off x="0" y="0"/>
                          <a:ext cx="5891530" cy="4730115"/>
                        </a:xfrm>
                        <a:custGeom>
                          <a:avLst/>
                          <a:gdLst/>
                          <a:ahLst/>
                          <a:cxnLst/>
                          <a:rect l="l" t="t" r="r" b="b"/>
                          <a:pathLst>
                            <a:path w="5891530" h="4730115">
                              <a:moveTo>
                                <a:pt x="5891530" y="0"/>
                              </a:moveTo>
                              <a:lnTo>
                                <a:pt x="0" y="0"/>
                              </a:lnTo>
                              <a:lnTo>
                                <a:pt x="0" y="4729607"/>
                              </a:lnTo>
                              <a:lnTo>
                                <a:pt x="5891530" y="4729607"/>
                              </a:lnTo>
                              <a:lnTo>
                                <a:pt x="5891530" y="0"/>
                              </a:lnTo>
                              <a:close/>
                            </a:path>
                          </a:pathLst>
                        </a:custGeom>
                        <a:solidFill>
                          <a:srgbClr val="CDEBEB"/>
                        </a:solidFill>
                      </wps:spPr>
                      <wps:bodyPr wrap="square" lIns="0" tIns="0" rIns="0" bIns="0" rtlCol="0">
                        <a:prstTxWarp prst="textNoShape">
                          <a:avLst/>
                        </a:prstTxWarp>
                        <a:noAutofit/>
                      </wps:bodyPr>
                    </wps:wsp>
                  </a:graphicData>
                </a:graphic>
              </wp:anchor>
            </w:drawing>
          </mc:Choice>
          <mc:Fallback>
            <w:pict>
              <v:rect style="position:absolute;margin-left:54.959999pt;margin-top:-7.302148pt;width:463.9pt;height:372.41pt;mso-position-horizontal-relative:page;mso-position-vertical-relative:paragraph;z-index:-20579840" id="docshape155" filled="true" fillcolor="#cdebeb" stroked="false">
                <v:fill type="solid"/>
                <w10:wrap type="none"/>
              </v:rect>
            </w:pict>
          </mc:Fallback>
        </mc:AlternateContent>
      </w:r>
      <w:r>
        <w:rPr/>
        <w:t>Box</w:t>
      </w:r>
      <w:r>
        <w:rPr>
          <w:spacing w:val="-5"/>
        </w:rPr>
        <w:t> </w:t>
      </w:r>
      <w:r>
        <w:rPr/>
        <w:t>19:</w:t>
      </w:r>
      <w:r>
        <w:rPr>
          <w:spacing w:val="-2"/>
        </w:rPr>
        <w:t> </w:t>
      </w:r>
      <w:r>
        <w:rPr/>
        <w:t>Network</w:t>
      </w:r>
      <w:r>
        <w:rPr>
          <w:spacing w:val="-6"/>
        </w:rPr>
        <w:t> </w:t>
      </w:r>
      <w:r>
        <w:rPr/>
        <w:t>requirements</w:t>
      </w:r>
      <w:r>
        <w:rPr>
          <w:spacing w:val="-5"/>
        </w:rPr>
        <w:t> </w:t>
      </w:r>
      <w:r>
        <w:rPr/>
        <w:t>to</w:t>
      </w:r>
      <w:r>
        <w:rPr>
          <w:spacing w:val="-6"/>
        </w:rPr>
        <w:t> </w:t>
      </w:r>
      <w:r>
        <w:rPr/>
        <w:t>install</w:t>
      </w:r>
      <w:r>
        <w:rPr>
          <w:spacing w:val="-2"/>
        </w:rPr>
        <w:t> REFCLs</w:t>
      </w:r>
    </w:p>
    <w:p>
      <w:pPr>
        <w:pStyle w:val="BodyText"/>
        <w:spacing w:before="2"/>
        <w:rPr>
          <w:b/>
          <w:sz w:val="25"/>
        </w:rPr>
      </w:pPr>
    </w:p>
    <w:p>
      <w:pPr>
        <w:pStyle w:val="ListParagraph"/>
        <w:numPr>
          <w:ilvl w:val="0"/>
          <w:numId w:val="70"/>
        </w:numPr>
        <w:tabs>
          <w:tab w:pos="653" w:val="left" w:leader="none"/>
          <w:tab w:pos="655" w:val="left" w:leader="none"/>
        </w:tabs>
        <w:spacing w:line="288" w:lineRule="auto" w:before="0" w:after="0"/>
        <w:ind w:left="655" w:right="873" w:hanging="284"/>
        <w:jc w:val="left"/>
        <w:rPr>
          <w:sz w:val="22"/>
        </w:rPr>
      </w:pPr>
      <w:r>
        <w:rPr>
          <w:b/>
          <w:sz w:val="22"/>
        </w:rPr>
        <w:t>Network compatibility: </w:t>
      </w:r>
      <w:r>
        <w:rPr>
          <w:sz w:val="22"/>
        </w:rPr>
        <w:t>With a REFCL operational, the high voltage system has a floating earth</w:t>
      </w:r>
      <w:r>
        <w:rPr>
          <w:spacing w:val="-2"/>
          <w:sz w:val="22"/>
        </w:rPr>
        <w:t> </w:t>
      </w:r>
      <w:r>
        <w:rPr>
          <w:sz w:val="22"/>
        </w:rPr>
        <w:t>rather</w:t>
      </w:r>
      <w:r>
        <w:rPr>
          <w:spacing w:val="-1"/>
          <w:sz w:val="22"/>
        </w:rPr>
        <w:t> </w:t>
      </w:r>
      <w:r>
        <w:rPr>
          <w:sz w:val="22"/>
        </w:rPr>
        <w:t>than</w:t>
      </w:r>
      <w:r>
        <w:rPr>
          <w:spacing w:val="-2"/>
          <w:sz w:val="22"/>
        </w:rPr>
        <w:t> </w:t>
      </w:r>
      <w:r>
        <w:rPr>
          <w:sz w:val="22"/>
        </w:rPr>
        <w:t>a solid earth. For</w:t>
      </w:r>
      <w:r>
        <w:rPr>
          <w:spacing w:val="-1"/>
          <w:sz w:val="22"/>
        </w:rPr>
        <w:t> </w:t>
      </w:r>
      <w:r>
        <w:rPr>
          <w:sz w:val="22"/>
        </w:rPr>
        <w:t>the earth</w:t>
      </w:r>
      <w:r>
        <w:rPr>
          <w:spacing w:val="-4"/>
          <w:sz w:val="22"/>
        </w:rPr>
        <w:t> </w:t>
      </w:r>
      <w:r>
        <w:rPr>
          <w:sz w:val="22"/>
        </w:rPr>
        <w:t>fault</w:t>
      </w:r>
      <w:r>
        <w:rPr>
          <w:spacing w:val="-1"/>
          <w:sz w:val="22"/>
        </w:rPr>
        <w:t> </w:t>
      </w:r>
      <w:r>
        <w:rPr>
          <w:sz w:val="22"/>
        </w:rPr>
        <w:t>protection to</w:t>
      </w:r>
      <w:r>
        <w:rPr>
          <w:spacing w:val="-2"/>
          <w:sz w:val="22"/>
        </w:rPr>
        <w:t> </w:t>
      </w:r>
      <w:r>
        <w:rPr>
          <w:sz w:val="22"/>
        </w:rPr>
        <w:t>operate, all earths on the same high voltage system as the REFCL will need to have a floating earth, which will</w:t>
      </w:r>
      <w:r>
        <w:rPr>
          <w:spacing w:val="-3"/>
          <w:sz w:val="22"/>
        </w:rPr>
        <w:t> </w:t>
      </w:r>
      <w:r>
        <w:rPr>
          <w:sz w:val="22"/>
        </w:rPr>
        <w:t>require</w:t>
      </w:r>
      <w:r>
        <w:rPr>
          <w:spacing w:val="-5"/>
          <w:sz w:val="22"/>
        </w:rPr>
        <w:t> </w:t>
      </w:r>
      <w:r>
        <w:rPr>
          <w:sz w:val="22"/>
        </w:rPr>
        <w:t>the</w:t>
      </w:r>
      <w:r>
        <w:rPr>
          <w:spacing w:val="-4"/>
          <w:sz w:val="22"/>
        </w:rPr>
        <w:t> </w:t>
      </w:r>
      <w:r>
        <w:rPr>
          <w:sz w:val="22"/>
        </w:rPr>
        <w:t>replacement</w:t>
      </w:r>
      <w:r>
        <w:rPr>
          <w:spacing w:val="-1"/>
          <w:sz w:val="22"/>
        </w:rPr>
        <w:t> </w:t>
      </w:r>
      <w:r>
        <w:rPr>
          <w:sz w:val="22"/>
        </w:rPr>
        <w:t>of</w:t>
      </w:r>
      <w:r>
        <w:rPr>
          <w:spacing w:val="-1"/>
          <w:sz w:val="22"/>
        </w:rPr>
        <w:t> </w:t>
      </w:r>
      <w:r>
        <w:rPr>
          <w:sz w:val="22"/>
        </w:rPr>
        <w:t>some</w:t>
      </w:r>
      <w:r>
        <w:rPr>
          <w:spacing w:val="-5"/>
          <w:sz w:val="22"/>
        </w:rPr>
        <w:t> </w:t>
      </w:r>
      <w:r>
        <w:rPr>
          <w:sz w:val="22"/>
        </w:rPr>
        <w:t>existing</w:t>
      </w:r>
      <w:r>
        <w:rPr>
          <w:spacing w:val="-1"/>
          <w:sz w:val="22"/>
        </w:rPr>
        <w:t> </w:t>
      </w:r>
      <w:r>
        <w:rPr>
          <w:sz w:val="22"/>
        </w:rPr>
        <w:t>protection</w:t>
      </w:r>
      <w:r>
        <w:rPr>
          <w:spacing w:val="-3"/>
          <w:sz w:val="22"/>
        </w:rPr>
        <w:t> </w:t>
      </w:r>
      <w:r>
        <w:rPr>
          <w:sz w:val="22"/>
        </w:rPr>
        <w:t>devices</w:t>
      </w:r>
      <w:r>
        <w:rPr>
          <w:spacing w:val="-3"/>
          <w:sz w:val="22"/>
        </w:rPr>
        <w:t> </w:t>
      </w:r>
      <w:r>
        <w:rPr>
          <w:sz w:val="22"/>
        </w:rPr>
        <w:t>and</w:t>
      </w:r>
      <w:r>
        <w:rPr>
          <w:spacing w:val="-3"/>
          <w:sz w:val="22"/>
        </w:rPr>
        <w:t> </w:t>
      </w:r>
      <w:r>
        <w:rPr>
          <w:sz w:val="22"/>
        </w:rPr>
        <w:t>additional</w:t>
      </w:r>
      <w:r>
        <w:rPr>
          <w:spacing w:val="-4"/>
          <w:sz w:val="22"/>
        </w:rPr>
        <w:t> </w:t>
      </w:r>
      <w:r>
        <w:rPr>
          <w:sz w:val="22"/>
        </w:rPr>
        <w:t>protection </w:t>
      </w:r>
      <w:r>
        <w:rPr>
          <w:spacing w:val="-2"/>
          <w:sz w:val="22"/>
        </w:rPr>
        <w:t>devices.</w:t>
      </w:r>
    </w:p>
    <w:p>
      <w:pPr>
        <w:pStyle w:val="BodyText"/>
        <w:rPr>
          <w:sz w:val="21"/>
        </w:rPr>
      </w:pPr>
    </w:p>
    <w:p>
      <w:pPr>
        <w:pStyle w:val="ListParagraph"/>
        <w:numPr>
          <w:ilvl w:val="0"/>
          <w:numId w:val="70"/>
        </w:numPr>
        <w:tabs>
          <w:tab w:pos="653" w:val="left" w:leader="none"/>
          <w:tab w:pos="655" w:val="left" w:leader="none"/>
        </w:tabs>
        <w:spacing w:line="288" w:lineRule="auto" w:before="0" w:after="0"/>
        <w:ind w:left="655" w:right="1055" w:hanging="284"/>
        <w:jc w:val="left"/>
        <w:rPr>
          <w:sz w:val="22"/>
        </w:rPr>
      </w:pPr>
      <w:r>
        <w:rPr>
          <w:b/>
          <w:sz w:val="22"/>
        </w:rPr>
        <w:t>Network hardening: </w:t>
      </w:r>
      <w:r>
        <w:rPr>
          <w:sz w:val="22"/>
        </w:rPr>
        <w:t>When a REFCL operates, the voltage on the healthy phases will increase.</w:t>
      </w:r>
      <w:r>
        <w:rPr>
          <w:spacing w:val="-3"/>
          <w:sz w:val="22"/>
        </w:rPr>
        <w:t> </w:t>
      </w:r>
      <w:r>
        <w:rPr>
          <w:sz w:val="22"/>
        </w:rPr>
        <w:t>Some</w:t>
      </w:r>
      <w:r>
        <w:rPr>
          <w:spacing w:val="-4"/>
          <w:sz w:val="22"/>
        </w:rPr>
        <w:t> </w:t>
      </w:r>
      <w:r>
        <w:rPr>
          <w:sz w:val="22"/>
        </w:rPr>
        <w:t>network</w:t>
      </w:r>
      <w:r>
        <w:rPr>
          <w:spacing w:val="-1"/>
          <w:sz w:val="22"/>
        </w:rPr>
        <w:t> </w:t>
      </w:r>
      <w:r>
        <w:rPr>
          <w:sz w:val="22"/>
        </w:rPr>
        <w:t>equipment will</w:t>
      </w:r>
      <w:r>
        <w:rPr>
          <w:spacing w:val="-2"/>
          <w:sz w:val="22"/>
        </w:rPr>
        <w:t> </w:t>
      </w:r>
      <w:r>
        <w:rPr>
          <w:sz w:val="22"/>
        </w:rPr>
        <w:t>need</w:t>
      </w:r>
      <w:r>
        <w:rPr>
          <w:spacing w:val="-2"/>
          <w:sz w:val="22"/>
        </w:rPr>
        <w:t> </w:t>
      </w:r>
      <w:r>
        <w:rPr>
          <w:sz w:val="22"/>
        </w:rPr>
        <w:t>to</w:t>
      </w:r>
      <w:r>
        <w:rPr>
          <w:spacing w:val="-2"/>
          <w:sz w:val="22"/>
        </w:rPr>
        <w:t> </w:t>
      </w:r>
      <w:r>
        <w:rPr>
          <w:sz w:val="22"/>
        </w:rPr>
        <w:t>be</w:t>
      </w:r>
      <w:r>
        <w:rPr>
          <w:spacing w:val="-2"/>
          <w:sz w:val="22"/>
        </w:rPr>
        <w:t> </w:t>
      </w:r>
      <w:r>
        <w:rPr>
          <w:sz w:val="22"/>
        </w:rPr>
        <w:t>replaced</w:t>
      </w:r>
      <w:r>
        <w:rPr>
          <w:spacing w:val="-4"/>
          <w:sz w:val="22"/>
        </w:rPr>
        <w:t> </w:t>
      </w:r>
      <w:r>
        <w:rPr>
          <w:sz w:val="22"/>
        </w:rPr>
        <w:t>to</w:t>
      </w:r>
      <w:r>
        <w:rPr>
          <w:spacing w:val="-4"/>
          <w:sz w:val="22"/>
        </w:rPr>
        <w:t> </w:t>
      </w:r>
      <w:r>
        <w:rPr>
          <w:sz w:val="22"/>
        </w:rPr>
        <w:t>be</w:t>
      </w:r>
      <w:r>
        <w:rPr>
          <w:spacing w:val="-2"/>
          <w:sz w:val="22"/>
        </w:rPr>
        <w:t> </w:t>
      </w:r>
      <w:r>
        <w:rPr>
          <w:sz w:val="22"/>
        </w:rPr>
        <w:t>able</w:t>
      </w:r>
      <w:r>
        <w:rPr>
          <w:spacing w:val="-4"/>
          <w:sz w:val="22"/>
        </w:rPr>
        <w:t> </w:t>
      </w:r>
      <w:r>
        <w:rPr>
          <w:sz w:val="22"/>
        </w:rPr>
        <w:t>to</w:t>
      </w:r>
      <w:r>
        <w:rPr>
          <w:spacing w:val="-4"/>
          <w:sz w:val="22"/>
        </w:rPr>
        <w:t> </w:t>
      </w:r>
      <w:r>
        <w:rPr>
          <w:sz w:val="22"/>
        </w:rPr>
        <w:t>withstand</w:t>
      </w:r>
      <w:r>
        <w:rPr>
          <w:spacing w:val="-4"/>
          <w:sz w:val="22"/>
        </w:rPr>
        <w:t> </w:t>
      </w:r>
      <w:r>
        <w:rPr>
          <w:sz w:val="22"/>
        </w:rPr>
        <w:t>the increased voltages expected.</w:t>
      </w:r>
    </w:p>
    <w:p>
      <w:pPr>
        <w:pStyle w:val="BodyText"/>
        <w:spacing w:before="9"/>
        <w:rPr>
          <w:sz w:val="20"/>
        </w:rPr>
      </w:pPr>
    </w:p>
    <w:p>
      <w:pPr>
        <w:pStyle w:val="ListParagraph"/>
        <w:numPr>
          <w:ilvl w:val="0"/>
          <w:numId w:val="70"/>
        </w:numPr>
        <w:tabs>
          <w:tab w:pos="653" w:val="left" w:leader="none"/>
          <w:tab w:pos="655" w:val="left" w:leader="none"/>
        </w:tabs>
        <w:spacing w:line="288" w:lineRule="auto" w:before="0" w:after="0"/>
        <w:ind w:left="655" w:right="921" w:hanging="284"/>
        <w:jc w:val="left"/>
        <w:rPr>
          <w:sz w:val="22"/>
        </w:rPr>
      </w:pPr>
      <w:r>
        <w:rPr>
          <w:b/>
          <w:sz w:val="22"/>
        </w:rPr>
        <w:t>Network balancing. </w:t>
      </w:r>
      <w:r>
        <w:rPr>
          <w:sz w:val="22"/>
        </w:rPr>
        <w:t>The operation of the REFCL will be most effective where the three phases</w:t>
      </w:r>
      <w:r>
        <w:rPr>
          <w:spacing w:val="-2"/>
          <w:sz w:val="22"/>
        </w:rPr>
        <w:t> </w:t>
      </w:r>
      <w:r>
        <w:rPr>
          <w:sz w:val="22"/>
        </w:rPr>
        <w:t>are</w:t>
      </w:r>
      <w:r>
        <w:rPr>
          <w:spacing w:val="-5"/>
          <w:sz w:val="22"/>
        </w:rPr>
        <w:t> </w:t>
      </w:r>
      <w:r>
        <w:rPr>
          <w:sz w:val="22"/>
        </w:rPr>
        <w:t>balanced</w:t>
      </w:r>
      <w:r>
        <w:rPr>
          <w:spacing w:val="-3"/>
          <w:sz w:val="22"/>
        </w:rPr>
        <w:t> </w:t>
      </w:r>
      <w:r>
        <w:rPr>
          <w:sz w:val="22"/>
        </w:rPr>
        <w:t>with</w:t>
      </w:r>
      <w:r>
        <w:rPr>
          <w:spacing w:val="-3"/>
          <w:sz w:val="22"/>
        </w:rPr>
        <w:t> </w:t>
      </w:r>
      <w:r>
        <w:rPr>
          <w:sz w:val="22"/>
        </w:rPr>
        <w:t>respect</w:t>
      </w:r>
      <w:r>
        <w:rPr>
          <w:spacing w:val="-4"/>
          <w:sz w:val="22"/>
        </w:rPr>
        <w:t> </w:t>
      </w:r>
      <w:r>
        <w:rPr>
          <w:sz w:val="22"/>
        </w:rPr>
        <w:t>to</w:t>
      </w:r>
      <w:r>
        <w:rPr>
          <w:spacing w:val="-5"/>
          <w:sz w:val="22"/>
        </w:rPr>
        <w:t> </w:t>
      </w:r>
      <w:r>
        <w:rPr>
          <w:sz w:val="22"/>
        </w:rPr>
        <w:t>load</w:t>
      </w:r>
      <w:r>
        <w:rPr>
          <w:spacing w:val="-3"/>
          <w:sz w:val="22"/>
        </w:rPr>
        <w:t> </w:t>
      </w:r>
      <w:r>
        <w:rPr>
          <w:sz w:val="22"/>
        </w:rPr>
        <w:t>and</w:t>
      </w:r>
      <w:r>
        <w:rPr>
          <w:spacing w:val="-3"/>
          <w:sz w:val="22"/>
        </w:rPr>
        <w:t> </w:t>
      </w:r>
      <w:r>
        <w:rPr>
          <w:sz w:val="22"/>
        </w:rPr>
        <w:t>capacitive</w:t>
      </w:r>
      <w:r>
        <w:rPr>
          <w:spacing w:val="-3"/>
          <w:sz w:val="22"/>
        </w:rPr>
        <w:t> </w:t>
      </w:r>
      <w:r>
        <w:rPr>
          <w:sz w:val="22"/>
        </w:rPr>
        <w:t>current.</w:t>
      </w:r>
      <w:r>
        <w:rPr>
          <w:spacing w:val="-1"/>
          <w:sz w:val="22"/>
        </w:rPr>
        <w:t> </w:t>
      </w:r>
      <w:r>
        <w:rPr>
          <w:sz w:val="22"/>
        </w:rPr>
        <w:t>Some</w:t>
      </w:r>
      <w:r>
        <w:rPr>
          <w:spacing w:val="-5"/>
          <w:sz w:val="22"/>
        </w:rPr>
        <w:t> </w:t>
      </w:r>
      <w:r>
        <w:rPr>
          <w:sz w:val="22"/>
        </w:rPr>
        <w:t>rebalancing</w:t>
      </w:r>
      <w:r>
        <w:rPr>
          <w:spacing w:val="-3"/>
          <w:sz w:val="22"/>
        </w:rPr>
        <w:t> </w:t>
      </w:r>
      <w:r>
        <w:rPr>
          <w:sz w:val="22"/>
        </w:rPr>
        <w:t>may be required to optimise the operation of the REFCL.</w:t>
      </w:r>
    </w:p>
    <w:p>
      <w:pPr>
        <w:pStyle w:val="BodyText"/>
        <w:rPr>
          <w:sz w:val="21"/>
        </w:rPr>
      </w:pPr>
    </w:p>
    <w:p>
      <w:pPr>
        <w:pStyle w:val="ListParagraph"/>
        <w:numPr>
          <w:ilvl w:val="0"/>
          <w:numId w:val="70"/>
        </w:numPr>
        <w:tabs>
          <w:tab w:pos="653" w:val="left" w:leader="none"/>
          <w:tab w:pos="655" w:val="left" w:leader="none"/>
        </w:tabs>
        <w:spacing w:line="288" w:lineRule="auto" w:before="0" w:after="0"/>
        <w:ind w:left="655" w:right="1119" w:hanging="284"/>
        <w:jc w:val="both"/>
        <w:rPr>
          <w:sz w:val="22"/>
        </w:rPr>
      </w:pPr>
      <w:r>
        <w:rPr>
          <w:b/>
          <w:sz w:val="22"/>
        </w:rPr>
        <w:t>Fault</w:t>
      </w:r>
      <w:r>
        <w:rPr>
          <w:b/>
          <w:spacing w:val="-1"/>
          <w:sz w:val="22"/>
        </w:rPr>
        <w:t> </w:t>
      </w:r>
      <w:r>
        <w:rPr>
          <w:b/>
          <w:sz w:val="22"/>
        </w:rPr>
        <w:t>identification</w:t>
      </w:r>
      <w:r>
        <w:rPr>
          <w:b/>
          <w:spacing w:val="-4"/>
          <w:sz w:val="22"/>
        </w:rPr>
        <w:t> </w:t>
      </w:r>
      <w:r>
        <w:rPr>
          <w:b/>
          <w:sz w:val="22"/>
        </w:rPr>
        <w:t>and</w:t>
      </w:r>
      <w:r>
        <w:rPr>
          <w:b/>
          <w:spacing w:val="-3"/>
          <w:sz w:val="22"/>
        </w:rPr>
        <w:t> </w:t>
      </w:r>
      <w:r>
        <w:rPr>
          <w:b/>
          <w:sz w:val="22"/>
        </w:rPr>
        <w:t>reliability. </w:t>
      </w:r>
      <w:r>
        <w:rPr>
          <w:sz w:val="22"/>
        </w:rPr>
        <w:t>The</w:t>
      </w:r>
      <w:r>
        <w:rPr>
          <w:spacing w:val="-3"/>
          <w:sz w:val="22"/>
        </w:rPr>
        <w:t> </w:t>
      </w:r>
      <w:r>
        <w:rPr>
          <w:sz w:val="22"/>
        </w:rPr>
        <w:t>REFCL</w:t>
      </w:r>
      <w:r>
        <w:rPr>
          <w:spacing w:val="-1"/>
          <w:sz w:val="22"/>
        </w:rPr>
        <w:t> </w:t>
      </w:r>
      <w:r>
        <w:rPr>
          <w:sz w:val="22"/>
        </w:rPr>
        <w:t>is</w:t>
      </w:r>
      <w:r>
        <w:rPr>
          <w:spacing w:val="-1"/>
          <w:sz w:val="22"/>
        </w:rPr>
        <w:t> </w:t>
      </w:r>
      <w:r>
        <w:rPr>
          <w:sz w:val="22"/>
        </w:rPr>
        <w:t>very</w:t>
      </w:r>
      <w:r>
        <w:rPr>
          <w:spacing w:val="-2"/>
          <w:sz w:val="22"/>
        </w:rPr>
        <w:t> </w:t>
      </w:r>
      <w:r>
        <w:rPr>
          <w:sz w:val="22"/>
        </w:rPr>
        <w:t>sensitive</w:t>
      </w:r>
      <w:r>
        <w:rPr>
          <w:spacing w:val="-1"/>
          <w:sz w:val="22"/>
        </w:rPr>
        <w:t> </w:t>
      </w:r>
      <w:r>
        <w:rPr>
          <w:sz w:val="22"/>
        </w:rPr>
        <w:t>and</w:t>
      </w:r>
      <w:r>
        <w:rPr>
          <w:spacing w:val="-1"/>
          <w:sz w:val="22"/>
        </w:rPr>
        <w:t> </w:t>
      </w:r>
      <w:r>
        <w:rPr>
          <w:sz w:val="22"/>
        </w:rPr>
        <w:t>will</w:t>
      </w:r>
      <w:r>
        <w:rPr>
          <w:spacing w:val="-1"/>
          <w:sz w:val="22"/>
        </w:rPr>
        <w:t> </w:t>
      </w:r>
      <w:r>
        <w:rPr>
          <w:sz w:val="22"/>
        </w:rPr>
        <w:t>detect</w:t>
      </w:r>
      <w:r>
        <w:rPr>
          <w:spacing w:val="-4"/>
          <w:sz w:val="22"/>
        </w:rPr>
        <w:t> </w:t>
      </w:r>
      <w:r>
        <w:rPr>
          <w:sz w:val="22"/>
        </w:rPr>
        <w:t>faults that</w:t>
      </w:r>
      <w:r>
        <w:rPr>
          <w:spacing w:val="-3"/>
          <w:sz w:val="22"/>
        </w:rPr>
        <w:t> </w:t>
      </w:r>
      <w:r>
        <w:rPr>
          <w:sz w:val="22"/>
        </w:rPr>
        <w:t>other</w:t>
      </w:r>
      <w:r>
        <w:rPr>
          <w:spacing w:val="-1"/>
          <w:sz w:val="22"/>
        </w:rPr>
        <w:t> </w:t>
      </w:r>
      <w:r>
        <w:rPr>
          <w:sz w:val="22"/>
        </w:rPr>
        <w:t>protection</w:t>
      </w:r>
      <w:r>
        <w:rPr>
          <w:spacing w:val="-2"/>
          <w:sz w:val="22"/>
        </w:rPr>
        <w:t> </w:t>
      </w:r>
      <w:r>
        <w:rPr>
          <w:sz w:val="22"/>
        </w:rPr>
        <w:t>devices</w:t>
      </w:r>
      <w:r>
        <w:rPr>
          <w:spacing w:val="-2"/>
          <w:sz w:val="22"/>
        </w:rPr>
        <w:t> </w:t>
      </w:r>
      <w:r>
        <w:rPr>
          <w:sz w:val="22"/>
        </w:rPr>
        <w:t>do</w:t>
      </w:r>
      <w:r>
        <w:rPr>
          <w:spacing w:val="-2"/>
          <w:sz w:val="22"/>
        </w:rPr>
        <w:t> </w:t>
      </w:r>
      <w:r>
        <w:rPr>
          <w:sz w:val="22"/>
        </w:rPr>
        <w:t>not.</w:t>
      </w:r>
      <w:r>
        <w:rPr>
          <w:spacing w:val="-3"/>
          <w:sz w:val="22"/>
        </w:rPr>
        <w:t> </w:t>
      </w:r>
      <w:r>
        <w:rPr>
          <w:sz w:val="22"/>
        </w:rPr>
        <w:t>The</w:t>
      </w:r>
      <w:r>
        <w:rPr>
          <w:spacing w:val="-4"/>
          <w:sz w:val="22"/>
        </w:rPr>
        <w:t> </w:t>
      </w:r>
      <w:r>
        <w:rPr>
          <w:sz w:val="22"/>
        </w:rPr>
        <w:t>number</w:t>
      </w:r>
      <w:r>
        <w:rPr>
          <w:spacing w:val="-3"/>
          <w:sz w:val="22"/>
        </w:rPr>
        <w:t> </w:t>
      </w:r>
      <w:r>
        <w:rPr>
          <w:sz w:val="22"/>
        </w:rPr>
        <w:t>of faults</w:t>
      </w:r>
      <w:r>
        <w:rPr>
          <w:spacing w:val="-4"/>
          <w:sz w:val="22"/>
        </w:rPr>
        <w:t> </w:t>
      </w:r>
      <w:r>
        <w:rPr>
          <w:sz w:val="22"/>
        </w:rPr>
        <w:t>detected</w:t>
      </w:r>
      <w:r>
        <w:rPr>
          <w:spacing w:val="-2"/>
          <w:sz w:val="22"/>
        </w:rPr>
        <w:t> </w:t>
      </w:r>
      <w:r>
        <w:rPr>
          <w:sz w:val="22"/>
        </w:rPr>
        <w:t>is</w:t>
      </w:r>
      <w:r>
        <w:rPr>
          <w:spacing w:val="-4"/>
          <w:sz w:val="22"/>
        </w:rPr>
        <w:t> </w:t>
      </w:r>
      <w:r>
        <w:rPr>
          <w:sz w:val="22"/>
        </w:rPr>
        <w:t>likely</w:t>
      </w:r>
      <w:r>
        <w:rPr>
          <w:spacing w:val="-4"/>
          <w:sz w:val="22"/>
        </w:rPr>
        <w:t> </w:t>
      </w:r>
      <w:r>
        <w:rPr>
          <w:sz w:val="22"/>
        </w:rPr>
        <w:t>to</w:t>
      </w:r>
      <w:r>
        <w:rPr>
          <w:spacing w:val="-4"/>
          <w:sz w:val="22"/>
        </w:rPr>
        <w:t> </w:t>
      </w:r>
      <w:r>
        <w:rPr>
          <w:sz w:val="22"/>
        </w:rPr>
        <w:t>increase and it may be difficult to identify where those faults have occurred.</w:t>
      </w:r>
    </w:p>
    <w:p>
      <w:pPr>
        <w:pStyle w:val="BodyText"/>
        <w:spacing w:before="9"/>
        <w:rPr>
          <w:sz w:val="20"/>
        </w:rPr>
      </w:pPr>
    </w:p>
    <w:p>
      <w:pPr>
        <w:pStyle w:val="ListParagraph"/>
        <w:numPr>
          <w:ilvl w:val="0"/>
          <w:numId w:val="70"/>
        </w:numPr>
        <w:tabs>
          <w:tab w:pos="653" w:val="left" w:leader="none"/>
          <w:tab w:pos="655" w:val="left" w:leader="none"/>
        </w:tabs>
        <w:spacing w:line="288" w:lineRule="auto" w:before="0" w:after="0"/>
        <w:ind w:left="655" w:right="836" w:hanging="284"/>
        <w:jc w:val="left"/>
        <w:rPr>
          <w:sz w:val="22"/>
        </w:rPr>
      </w:pPr>
      <w:r>
        <w:rPr>
          <w:b/>
          <w:sz w:val="22"/>
        </w:rPr>
        <w:t>Changes</w:t>
      </w:r>
      <w:r>
        <w:rPr>
          <w:b/>
          <w:spacing w:val="-2"/>
          <w:sz w:val="22"/>
        </w:rPr>
        <w:t> </w:t>
      </w:r>
      <w:r>
        <w:rPr>
          <w:b/>
          <w:sz w:val="22"/>
        </w:rPr>
        <w:t>of</w:t>
      </w:r>
      <w:r>
        <w:rPr>
          <w:b/>
          <w:spacing w:val="-6"/>
          <w:sz w:val="22"/>
        </w:rPr>
        <w:t> </w:t>
      </w:r>
      <w:r>
        <w:rPr>
          <w:b/>
          <w:sz w:val="22"/>
        </w:rPr>
        <w:t>work</w:t>
      </w:r>
      <w:r>
        <w:rPr>
          <w:b/>
          <w:spacing w:val="-3"/>
          <w:sz w:val="22"/>
        </w:rPr>
        <w:t> </w:t>
      </w:r>
      <w:r>
        <w:rPr>
          <w:b/>
          <w:sz w:val="22"/>
        </w:rPr>
        <w:t>practices.</w:t>
      </w:r>
      <w:r>
        <w:rPr>
          <w:b/>
          <w:spacing w:val="-2"/>
          <w:sz w:val="22"/>
        </w:rPr>
        <w:t> </w:t>
      </w:r>
      <w:r>
        <w:rPr>
          <w:sz w:val="22"/>
        </w:rPr>
        <w:t>The</w:t>
      </w:r>
      <w:r>
        <w:rPr>
          <w:spacing w:val="-4"/>
          <w:sz w:val="22"/>
        </w:rPr>
        <w:t> </w:t>
      </w:r>
      <w:r>
        <w:rPr>
          <w:sz w:val="22"/>
        </w:rPr>
        <w:t>installation</w:t>
      </w:r>
      <w:r>
        <w:rPr>
          <w:spacing w:val="-2"/>
          <w:sz w:val="22"/>
        </w:rPr>
        <w:t> </w:t>
      </w:r>
      <w:r>
        <w:rPr>
          <w:sz w:val="22"/>
        </w:rPr>
        <w:t>of a</w:t>
      </w:r>
      <w:r>
        <w:rPr>
          <w:spacing w:val="-4"/>
          <w:sz w:val="22"/>
        </w:rPr>
        <w:t> </w:t>
      </w:r>
      <w:r>
        <w:rPr>
          <w:sz w:val="22"/>
        </w:rPr>
        <w:t>REFCL</w:t>
      </w:r>
      <w:r>
        <w:rPr>
          <w:spacing w:val="-2"/>
          <w:sz w:val="22"/>
        </w:rPr>
        <w:t> </w:t>
      </w:r>
      <w:r>
        <w:rPr>
          <w:sz w:val="22"/>
        </w:rPr>
        <w:t>is</w:t>
      </w:r>
      <w:r>
        <w:rPr>
          <w:spacing w:val="-2"/>
          <w:sz w:val="22"/>
        </w:rPr>
        <w:t> </w:t>
      </w:r>
      <w:r>
        <w:rPr>
          <w:sz w:val="22"/>
        </w:rPr>
        <w:t>a</w:t>
      </w:r>
      <w:r>
        <w:rPr>
          <w:spacing w:val="-3"/>
          <w:sz w:val="22"/>
        </w:rPr>
        <w:t> </w:t>
      </w:r>
      <w:r>
        <w:rPr>
          <w:sz w:val="22"/>
        </w:rPr>
        <w:t>fundamental</w:t>
      </w:r>
      <w:r>
        <w:rPr>
          <w:spacing w:val="-2"/>
          <w:sz w:val="22"/>
        </w:rPr>
        <w:t> </w:t>
      </w:r>
      <w:r>
        <w:rPr>
          <w:sz w:val="22"/>
        </w:rPr>
        <w:t>change</w:t>
      </w:r>
      <w:r>
        <w:rPr>
          <w:spacing w:val="-4"/>
          <w:sz w:val="22"/>
        </w:rPr>
        <w:t> </w:t>
      </w:r>
      <w:r>
        <w:rPr>
          <w:sz w:val="22"/>
        </w:rPr>
        <w:t>in</w:t>
      </w:r>
      <w:r>
        <w:rPr>
          <w:spacing w:val="-4"/>
          <w:sz w:val="22"/>
        </w:rPr>
        <w:t> </w:t>
      </w:r>
      <w:r>
        <w:rPr>
          <w:sz w:val="22"/>
        </w:rPr>
        <w:t>the way in which the network is protected and controlled. It will require changes to operational procedures, and training and change management of staff (ACIL Allen Consulting, 2015, p. 31).</w:t>
      </w:r>
    </w:p>
    <w:p>
      <w:pPr>
        <w:pStyle w:val="BodyText"/>
        <w:rPr>
          <w:sz w:val="24"/>
        </w:rPr>
      </w:pPr>
    </w:p>
    <w:p>
      <w:pPr>
        <w:pStyle w:val="BodyText"/>
        <w:rPr>
          <w:sz w:val="24"/>
        </w:rPr>
      </w:pPr>
    </w:p>
    <w:p>
      <w:pPr>
        <w:spacing w:line="288" w:lineRule="auto" w:before="171"/>
        <w:ind w:left="232" w:right="296" w:firstLine="0"/>
        <w:jc w:val="left"/>
        <w:rPr>
          <w:sz w:val="22"/>
        </w:rPr>
      </w:pPr>
      <w:r>
        <w:rPr>
          <w:sz w:val="22"/>
        </w:rPr>
        <w:t>CitiPower and Powercor Australia have expressed a view that some level of flexibility should be allowed</w:t>
      </w:r>
      <w:r>
        <w:rPr>
          <w:spacing w:val="-3"/>
          <w:sz w:val="22"/>
        </w:rPr>
        <w:t> </w:t>
      </w:r>
      <w:r>
        <w:rPr>
          <w:sz w:val="22"/>
        </w:rPr>
        <w:t>for</w:t>
      </w:r>
      <w:r>
        <w:rPr>
          <w:spacing w:val="-2"/>
          <w:sz w:val="22"/>
        </w:rPr>
        <w:t> </w:t>
      </w:r>
      <w:r>
        <w:rPr>
          <w:sz w:val="22"/>
        </w:rPr>
        <w:t>businesses</w:t>
      </w:r>
      <w:r>
        <w:rPr>
          <w:spacing w:val="-5"/>
          <w:sz w:val="22"/>
        </w:rPr>
        <w:t> </w:t>
      </w:r>
      <w:r>
        <w:rPr>
          <w:sz w:val="22"/>
        </w:rPr>
        <w:t>to</w:t>
      </w:r>
      <w:r>
        <w:rPr>
          <w:spacing w:val="-3"/>
          <w:sz w:val="22"/>
        </w:rPr>
        <w:t> </w:t>
      </w:r>
      <w:r>
        <w:rPr>
          <w:sz w:val="22"/>
        </w:rPr>
        <w:t>seek exemptions</w:t>
      </w:r>
      <w:r>
        <w:rPr>
          <w:spacing w:val="-2"/>
          <w:sz w:val="22"/>
        </w:rPr>
        <w:t> </w:t>
      </w:r>
      <w:r>
        <w:rPr>
          <w:sz w:val="22"/>
        </w:rPr>
        <w:t>from</w:t>
      </w:r>
      <w:r>
        <w:rPr>
          <w:spacing w:val="-4"/>
          <w:sz w:val="22"/>
        </w:rPr>
        <w:t> </w:t>
      </w:r>
      <w:r>
        <w:rPr>
          <w:sz w:val="22"/>
        </w:rPr>
        <w:t>the</w:t>
      </w:r>
      <w:r>
        <w:rPr>
          <w:spacing w:val="-5"/>
          <w:sz w:val="22"/>
        </w:rPr>
        <w:t> </w:t>
      </w:r>
      <w:r>
        <w:rPr>
          <w:sz w:val="22"/>
        </w:rPr>
        <w:t>requirements</w:t>
      </w:r>
      <w:r>
        <w:rPr>
          <w:spacing w:val="-5"/>
          <w:sz w:val="22"/>
        </w:rPr>
        <w:t> </w:t>
      </w:r>
      <w:r>
        <w:rPr>
          <w:sz w:val="22"/>
        </w:rPr>
        <w:t>of</w:t>
      </w:r>
      <w:r>
        <w:rPr>
          <w:spacing w:val="-1"/>
          <w:sz w:val="22"/>
        </w:rPr>
        <w:t> </w:t>
      </w:r>
      <w:r>
        <w:rPr>
          <w:sz w:val="22"/>
        </w:rPr>
        <w:t>the</w:t>
      </w:r>
      <w:r>
        <w:rPr>
          <w:spacing w:val="-5"/>
          <w:sz w:val="22"/>
        </w:rPr>
        <w:t> </w:t>
      </w:r>
      <w:r>
        <w:rPr>
          <w:i/>
          <w:sz w:val="22"/>
        </w:rPr>
        <w:t>Electricity</w:t>
      </w:r>
      <w:r>
        <w:rPr>
          <w:i/>
          <w:spacing w:val="-2"/>
          <w:sz w:val="22"/>
        </w:rPr>
        <w:t> </w:t>
      </w:r>
      <w:r>
        <w:rPr>
          <w:i/>
          <w:sz w:val="22"/>
        </w:rPr>
        <w:t>Safety</w:t>
      </w:r>
      <w:r>
        <w:rPr>
          <w:i/>
          <w:spacing w:val="-4"/>
          <w:sz w:val="22"/>
        </w:rPr>
        <w:t> </w:t>
      </w:r>
      <w:r>
        <w:rPr>
          <w:i/>
          <w:sz w:val="22"/>
        </w:rPr>
        <w:t>(Bushfire Mitigation) Regulations 2013</w:t>
      </w:r>
      <w:r>
        <w:rPr>
          <w:sz w:val="22"/>
        </w:rPr>
        <w:t>:</w:t>
      </w:r>
    </w:p>
    <w:p>
      <w:pPr>
        <w:pStyle w:val="BodyText"/>
        <w:rPr>
          <w:sz w:val="21"/>
        </w:rPr>
      </w:pPr>
    </w:p>
    <w:p>
      <w:pPr>
        <w:spacing w:line="288" w:lineRule="auto" w:before="0"/>
        <w:ind w:left="799" w:right="868" w:firstLine="0"/>
        <w:jc w:val="left"/>
        <w:rPr>
          <w:sz w:val="22"/>
        </w:rPr>
      </w:pPr>
      <w:r>
        <w:rPr>
          <w:i/>
          <w:sz w:val="22"/>
        </w:rPr>
        <w:t>“…</w:t>
      </w:r>
      <w:r>
        <w:rPr>
          <w:i/>
          <w:spacing w:val="-2"/>
          <w:sz w:val="22"/>
        </w:rPr>
        <w:t> </w:t>
      </w:r>
      <w:r>
        <w:rPr>
          <w:i/>
          <w:sz w:val="22"/>
        </w:rPr>
        <w:t>if</w:t>
      </w:r>
      <w:r>
        <w:rPr>
          <w:i/>
          <w:spacing w:val="-4"/>
          <w:sz w:val="22"/>
        </w:rPr>
        <w:t> </w:t>
      </w:r>
      <w:r>
        <w:rPr>
          <w:i/>
          <w:sz w:val="22"/>
        </w:rPr>
        <w:t>prescription-based</w:t>
      </w:r>
      <w:r>
        <w:rPr>
          <w:i/>
          <w:spacing w:val="-5"/>
          <w:sz w:val="22"/>
        </w:rPr>
        <w:t> </w:t>
      </w:r>
      <w:r>
        <w:rPr>
          <w:i/>
          <w:sz w:val="22"/>
        </w:rPr>
        <w:t>approaches</w:t>
      </w:r>
      <w:r>
        <w:rPr>
          <w:i/>
          <w:spacing w:val="-2"/>
          <w:sz w:val="22"/>
        </w:rPr>
        <w:t> </w:t>
      </w:r>
      <w:r>
        <w:rPr>
          <w:i/>
          <w:sz w:val="22"/>
        </w:rPr>
        <w:t>are</w:t>
      </w:r>
      <w:r>
        <w:rPr>
          <w:i/>
          <w:spacing w:val="-3"/>
          <w:sz w:val="22"/>
        </w:rPr>
        <w:t> </w:t>
      </w:r>
      <w:r>
        <w:rPr>
          <w:i/>
          <w:sz w:val="22"/>
        </w:rPr>
        <w:t>employed</w:t>
      </w:r>
      <w:r>
        <w:rPr>
          <w:i/>
          <w:spacing w:val="-3"/>
          <w:sz w:val="22"/>
        </w:rPr>
        <w:t> </w:t>
      </w:r>
      <w:r>
        <w:rPr>
          <w:i/>
          <w:sz w:val="22"/>
        </w:rPr>
        <w:t>it</w:t>
      </w:r>
      <w:r>
        <w:rPr>
          <w:i/>
          <w:spacing w:val="-2"/>
          <w:sz w:val="22"/>
        </w:rPr>
        <w:t> </w:t>
      </w:r>
      <w:r>
        <w:rPr>
          <w:i/>
          <w:sz w:val="22"/>
        </w:rPr>
        <w:t>is</w:t>
      </w:r>
      <w:r>
        <w:rPr>
          <w:i/>
          <w:spacing w:val="-5"/>
          <w:sz w:val="22"/>
        </w:rPr>
        <w:t> </w:t>
      </w:r>
      <w:r>
        <w:rPr>
          <w:i/>
          <w:sz w:val="22"/>
        </w:rPr>
        <w:t>crucial</w:t>
      </w:r>
      <w:r>
        <w:rPr>
          <w:i/>
          <w:spacing w:val="-4"/>
          <w:sz w:val="22"/>
        </w:rPr>
        <w:t> </w:t>
      </w:r>
      <w:r>
        <w:rPr>
          <w:i/>
          <w:sz w:val="22"/>
        </w:rPr>
        <w:t>some</w:t>
      </w:r>
      <w:r>
        <w:rPr>
          <w:i/>
          <w:spacing w:val="-5"/>
          <w:sz w:val="22"/>
        </w:rPr>
        <w:t> </w:t>
      </w:r>
      <w:r>
        <w:rPr>
          <w:i/>
          <w:sz w:val="22"/>
        </w:rPr>
        <w:t>level</w:t>
      </w:r>
      <w:r>
        <w:rPr>
          <w:i/>
          <w:spacing w:val="-6"/>
          <w:sz w:val="22"/>
        </w:rPr>
        <w:t> </w:t>
      </w:r>
      <w:r>
        <w:rPr>
          <w:i/>
          <w:sz w:val="22"/>
        </w:rPr>
        <w:t>of</w:t>
      </w:r>
      <w:r>
        <w:rPr>
          <w:i/>
          <w:spacing w:val="-4"/>
          <w:sz w:val="22"/>
        </w:rPr>
        <w:t> </w:t>
      </w:r>
      <w:r>
        <w:rPr>
          <w:i/>
          <w:sz w:val="22"/>
        </w:rPr>
        <w:t>flexibility</w:t>
      </w:r>
      <w:r>
        <w:rPr>
          <w:i/>
          <w:spacing w:val="-2"/>
          <w:sz w:val="22"/>
        </w:rPr>
        <w:t> </w:t>
      </w:r>
      <w:r>
        <w:rPr>
          <w:i/>
          <w:sz w:val="22"/>
        </w:rPr>
        <w:t>is provided for NSPs [Network Service Providers] to seek deviations from the specific requirements through exemptions. The safety regulator should be empowered to provide exemptions where NSPs can demonstrate the same level of safety outcomes can be achieved at a lower cost to customers or where NSPs face unforseen challenges in implementation which present no additional performance risk. This</w:t>
      </w:r>
      <w:r>
        <w:rPr>
          <w:i/>
          <w:spacing w:val="40"/>
          <w:sz w:val="22"/>
        </w:rPr>
        <w:t> </w:t>
      </w:r>
      <w:r>
        <w:rPr>
          <w:i/>
          <w:sz w:val="22"/>
        </w:rPr>
        <w:t>should be the case particularly when severe penalties of non-compliance apply, such as the proposed Bushfire Mitigation Civil Penalties Scheme. The procedure of</w:t>
      </w:r>
      <w:r>
        <w:rPr>
          <w:i/>
          <w:spacing w:val="40"/>
          <w:sz w:val="22"/>
        </w:rPr>
        <w:t> </w:t>
      </w:r>
      <w:r>
        <w:rPr>
          <w:i/>
          <w:sz w:val="22"/>
        </w:rPr>
        <w:t>obtaining an exemption should be reasonably straightforward, to minimise the associated</w:t>
      </w:r>
      <w:r>
        <w:rPr>
          <w:i/>
          <w:spacing w:val="-1"/>
          <w:sz w:val="22"/>
        </w:rPr>
        <w:t> </w:t>
      </w:r>
      <w:r>
        <w:rPr>
          <w:i/>
          <w:sz w:val="22"/>
        </w:rPr>
        <w:t>administrative</w:t>
      </w:r>
      <w:r>
        <w:rPr>
          <w:i/>
          <w:spacing w:val="-1"/>
          <w:sz w:val="22"/>
        </w:rPr>
        <w:t> </w:t>
      </w:r>
      <w:r>
        <w:rPr>
          <w:i/>
          <w:sz w:val="22"/>
        </w:rPr>
        <w:t>and</w:t>
      </w:r>
      <w:r>
        <w:rPr>
          <w:i/>
          <w:spacing w:val="-3"/>
          <w:sz w:val="22"/>
        </w:rPr>
        <w:t> </w:t>
      </w:r>
      <w:r>
        <w:rPr>
          <w:i/>
          <w:sz w:val="22"/>
        </w:rPr>
        <w:t>financial</w:t>
      </w:r>
      <w:r>
        <w:rPr>
          <w:i/>
          <w:spacing w:val="-2"/>
          <w:sz w:val="22"/>
        </w:rPr>
        <w:t> </w:t>
      </w:r>
      <w:r>
        <w:rPr>
          <w:i/>
          <w:sz w:val="22"/>
        </w:rPr>
        <w:t>cost.”</w:t>
      </w:r>
      <w:r>
        <w:rPr>
          <w:i/>
          <w:spacing w:val="-7"/>
          <w:sz w:val="22"/>
        </w:rPr>
        <w:t> </w:t>
      </w:r>
      <w:r>
        <w:rPr>
          <w:sz w:val="22"/>
        </w:rPr>
        <w:t>(CitiPower &amp;</w:t>
      </w:r>
      <w:r>
        <w:rPr>
          <w:spacing w:val="-1"/>
          <w:sz w:val="22"/>
        </w:rPr>
        <w:t> </w:t>
      </w:r>
      <w:r>
        <w:rPr>
          <w:sz w:val="22"/>
        </w:rPr>
        <w:t>Powercor Australia, 2017, p. </w:t>
      </w:r>
      <w:r>
        <w:rPr>
          <w:spacing w:val="-4"/>
          <w:sz w:val="22"/>
        </w:rPr>
        <w:t>14)</w:t>
      </w:r>
    </w:p>
    <w:p>
      <w:pPr>
        <w:pStyle w:val="BodyText"/>
        <w:spacing w:before="9"/>
        <w:rPr>
          <w:sz w:val="20"/>
        </w:rPr>
      </w:pPr>
    </w:p>
    <w:p>
      <w:pPr>
        <w:pStyle w:val="BodyText"/>
        <w:spacing w:line="288" w:lineRule="auto"/>
        <w:ind w:left="232" w:right="374"/>
        <w:rPr>
          <w:i/>
        </w:rPr>
      </w:pPr>
      <w:r>
        <w:rPr/>
        <w:t>In</w:t>
      </w:r>
      <w:r>
        <w:rPr>
          <w:spacing w:val="-4"/>
        </w:rPr>
        <w:t> </w:t>
      </w:r>
      <w:r>
        <w:rPr/>
        <w:t>recognition</w:t>
      </w:r>
      <w:r>
        <w:rPr>
          <w:spacing w:val="-2"/>
        </w:rPr>
        <w:t> </w:t>
      </w:r>
      <w:r>
        <w:rPr/>
        <w:t>of</w:t>
      </w:r>
      <w:r>
        <w:rPr>
          <w:spacing w:val="-3"/>
        </w:rPr>
        <w:t> </w:t>
      </w:r>
      <w:r>
        <w:rPr/>
        <w:t>the</w:t>
      </w:r>
      <w:r>
        <w:rPr>
          <w:spacing w:val="-4"/>
        </w:rPr>
        <w:t> </w:t>
      </w:r>
      <w:r>
        <w:rPr/>
        <w:t>fact</w:t>
      </w:r>
      <w:r>
        <w:rPr>
          <w:spacing w:val="-3"/>
        </w:rPr>
        <w:t> </w:t>
      </w:r>
      <w:r>
        <w:rPr/>
        <w:t>that</w:t>
      </w:r>
      <w:r>
        <w:rPr>
          <w:spacing w:val="-3"/>
        </w:rPr>
        <w:t> </w:t>
      </w:r>
      <w:r>
        <w:rPr/>
        <w:t>the</w:t>
      </w:r>
      <w:r>
        <w:rPr>
          <w:spacing w:val="-4"/>
        </w:rPr>
        <w:t> </w:t>
      </w:r>
      <w:r>
        <w:rPr/>
        <w:t>initial</w:t>
      </w:r>
      <w:r>
        <w:rPr>
          <w:spacing w:val="-3"/>
        </w:rPr>
        <w:t> </w:t>
      </w:r>
      <w:r>
        <w:rPr/>
        <w:t>achievement</w:t>
      </w:r>
      <w:r>
        <w:rPr>
          <w:spacing w:val="-1"/>
        </w:rPr>
        <w:t> </w:t>
      </w:r>
      <w:r>
        <w:rPr/>
        <w:t>of</w:t>
      </w:r>
      <w:r>
        <w:rPr>
          <w:spacing w:val="-3"/>
        </w:rPr>
        <w:t> </w:t>
      </w:r>
      <w:r>
        <w:rPr/>
        <w:t>full</w:t>
      </w:r>
      <w:r>
        <w:rPr>
          <w:spacing w:val="-5"/>
        </w:rPr>
        <w:t> </w:t>
      </w:r>
      <w:r>
        <w:rPr/>
        <w:t>fault</w:t>
      </w:r>
      <w:r>
        <w:rPr>
          <w:spacing w:val="-3"/>
        </w:rPr>
        <w:t> </w:t>
      </w:r>
      <w:r>
        <w:rPr/>
        <w:t>detection</w:t>
      </w:r>
      <w:r>
        <w:rPr>
          <w:spacing w:val="-2"/>
        </w:rPr>
        <w:t> </w:t>
      </w:r>
      <w:r>
        <w:rPr/>
        <w:t>capability</w:t>
      </w:r>
      <w:r>
        <w:rPr>
          <w:spacing w:val="-4"/>
        </w:rPr>
        <w:t> </w:t>
      </w:r>
      <w:r>
        <w:rPr/>
        <w:t>in</w:t>
      </w:r>
      <w:r>
        <w:rPr>
          <w:spacing w:val="-2"/>
        </w:rPr>
        <w:t> </w:t>
      </w:r>
      <w:r>
        <w:rPr/>
        <w:t>certain</w:t>
      </w:r>
      <w:r>
        <w:rPr>
          <w:spacing w:val="-2"/>
        </w:rPr>
        <w:t> </w:t>
      </w:r>
      <w:r>
        <w:rPr/>
        <w:t>zone substations</w:t>
      </w:r>
      <w:r>
        <w:rPr>
          <w:spacing w:val="-1"/>
        </w:rPr>
        <w:t> </w:t>
      </w:r>
      <w:r>
        <w:rPr/>
        <w:t>may</w:t>
      </w:r>
      <w:r>
        <w:rPr>
          <w:spacing w:val="-1"/>
        </w:rPr>
        <w:t> </w:t>
      </w:r>
      <w:r>
        <w:rPr/>
        <w:t>be</w:t>
      </w:r>
      <w:r>
        <w:rPr>
          <w:spacing w:val="-1"/>
        </w:rPr>
        <w:t> </w:t>
      </w:r>
      <w:r>
        <w:rPr/>
        <w:t>technically</w:t>
      </w:r>
      <w:r>
        <w:rPr>
          <w:spacing w:val="-1"/>
        </w:rPr>
        <w:t> </w:t>
      </w:r>
      <w:r>
        <w:rPr/>
        <w:t>challenging,</w:t>
      </w:r>
      <w:r>
        <w:rPr>
          <w:spacing w:val="-2"/>
        </w:rPr>
        <w:t> </w:t>
      </w:r>
      <w:r>
        <w:rPr/>
        <w:t>the Victorian Government has</w:t>
      </w:r>
      <w:r>
        <w:rPr>
          <w:spacing w:val="-1"/>
        </w:rPr>
        <w:t> </w:t>
      </w:r>
      <w:r>
        <w:rPr/>
        <w:t>provided a mechanism for exemptions and timeline variations from the scheduled prescribed powerline bushfire safety standards by including provisions in the Civil Penalties Scheme in the 2017 amendments to the </w:t>
      </w:r>
      <w:r>
        <w:rPr>
          <w:i/>
        </w:rPr>
        <w:t>Electricity Safety Act 1998.</w:t>
      </w:r>
    </w:p>
    <w:p>
      <w:pPr>
        <w:spacing w:after="0" w:line="288" w:lineRule="auto"/>
        <w:sectPr>
          <w:pgSz w:w="11910" w:h="16850"/>
          <w:pgMar w:header="220" w:footer="678" w:top="420" w:bottom="860" w:left="900" w:right="840"/>
        </w:sectPr>
      </w:pPr>
    </w:p>
    <w:p>
      <w:pPr>
        <w:pStyle w:val="BodyText"/>
        <w:rPr>
          <w:i/>
          <w:sz w:val="20"/>
        </w:rPr>
      </w:pPr>
    </w:p>
    <w:p>
      <w:pPr>
        <w:pStyle w:val="BodyText"/>
        <w:spacing w:before="2"/>
        <w:rPr>
          <w:i/>
          <w:sz w:val="19"/>
        </w:rPr>
      </w:pPr>
    </w:p>
    <w:p>
      <w:pPr>
        <w:spacing w:line="288" w:lineRule="auto" w:before="94"/>
        <w:ind w:left="232" w:right="374" w:firstLine="0"/>
        <w:jc w:val="left"/>
        <w:rPr>
          <w:sz w:val="22"/>
        </w:rPr>
      </w:pPr>
      <w:r>
        <w:rPr>
          <w:sz w:val="22"/>
        </w:rPr>
        <w:t>Section</w:t>
      </w:r>
      <w:r>
        <w:rPr>
          <w:spacing w:val="-3"/>
          <w:sz w:val="22"/>
        </w:rPr>
        <w:t> </w:t>
      </w:r>
      <w:r>
        <w:rPr>
          <w:sz w:val="22"/>
        </w:rPr>
        <w:t>120W of</w:t>
      </w:r>
      <w:r>
        <w:rPr>
          <w:spacing w:val="-1"/>
          <w:sz w:val="22"/>
        </w:rPr>
        <w:t> </w:t>
      </w:r>
      <w:r>
        <w:rPr>
          <w:sz w:val="22"/>
        </w:rPr>
        <w:t>the</w:t>
      </w:r>
      <w:r>
        <w:rPr>
          <w:spacing w:val="-4"/>
          <w:sz w:val="22"/>
        </w:rPr>
        <w:t> </w:t>
      </w:r>
      <w:r>
        <w:rPr>
          <w:i/>
          <w:sz w:val="22"/>
        </w:rPr>
        <w:t>Electricity</w:t>
      </w:r>
      <w:r>
        <w:rPr>
          <w:i/>
          <w:spacing w:val="-5"/>
          <w:sz w:val="22"/>
        </w:rPr>
        <w:t> </w:t>
      </w:r>
      <w:r>
        <w:rPr>
          <w:i/>
          <w:sz w:val="22"/>
        </w:rPr>
        <w:t>Safety</w:t>
      </w:r>
      <w:r>
        <w:rPr>
          <w:i/>
          <w:spacing w:val="-2"/>
          <w:sz w:val="22"/>
        </w:rPr>
        <w:t> </w:t>
      </w:r>
      <w:r>
        <w:rPr>
          <w:i/>
          <w:sz w:val="22"/>
        </w:rPr>
        <w:t>Act</w:t>
      </w:r>
      <w:r>
        <w:rPr>
          <w:i/>
          <w:spacing w:val="-4"/>
          <w:sz w:val="22"/>
        </w:rPr>
        <w:t> </w:t>
      </w:r>
      <w:r>
        <w:rPr>
          <w:i/>
          <w:sz w:val="22"/>
        </w:rPr>
        <w:t>1998</w:t>
      </w:r>
      <w:r>
        <w:rPr>
          <w:i/>
          <w:spacing w:val="-1"/>
          <w:sz w:val="22"/>
        </w:rPr>
        <w:t> </w:t>
      </w:r>
      <w:r>
        <w:rPr>
          <w:sz w:val="22"/>
        </w:rPr>
        <w:t>allows</w:t>
      </w:r>
      <w:r>
        <w:rPr>
          <w:spacing w:val="-2"/>
          <w:sz w:val="22"/>
        </w:rPr>
        <w:t> </w:t>
      </w:r>
      <w:r>
        <w:rPr>
          <w:sz w:val="22"/>
        </w:rPr>
        <w:t>recommendations</w:t>
      </w:r>
      <w:r>
        <w:rPr>
          <w:spacing w:val="-7"/>
          <w:sz w:val="22"/>
        </w:rPr>
        <w:t> </w:t>
      </w:r>
      <w:r>
        <w:rPr>
          <w:sz w:val="22"/>
        </w:rPr>
        <w:t>for</w:t>
      </w:r>
      <w:r>
        <w:rPr>
          <w:spacing w:val="-4"/>
          <w:sz w:val="22"/>
        </w:rPr>
        <w:t> </w:t>
      </w:r>
      <w:r>
        <w:rPr>
          <w:sz w:val="22"/>
        </w:rPr>
        <w:t>technical</w:t>
      </w:r>
      <w:r>
        <w:rPr>
          <w:spacing w:val="-4"/>
          <w:sz w:val="22"/>
        </w:rPr>
        <w:t> </w:t>
      </w:r>
      <w:r>
        <w:rPr>
          <w:sz w:val="22"/>
        </w:rPr>
        <w:t>exemptions from the </w:t>
      </w:r>
      <w:r>
        <w:rPr>
          <w:i/>
          <w:sz w:val="22"/>
        </w:rPr>
        <w:t>Electricity Safety (Bushfire Mitigation) Regulations 2013 </w:t>
      </w:r>
      <w:r>
        <w:rPr>
          <w:sz w:val="22"/>
        </w:rPr>
        <w:t>to be made by the Minister for Energy, Environment and Climate Change to the Governor in Council.</w:t>
      </w:r>
    </w:p>
    <w:p>
      <w:pPr>
        <w:pStyle w:val="BodyText"/>
        <w:spacing w:before="9"/>
        <w:rPr>
          <w:sz w:val="20"/>
        </w:rPr>
      </w:pPr>
    </w:p>
    <w:p>
      <w:pPr>
        <w:pStyle w:val="BodyText"/>
        <w:spacing w:line="288" w:lineRule="auto"/>
        <w:ind w:left="232" w:right="374"/>
      </w:pPr>
      <w:r>
        <w:rPr/>
        <w:t>Section 120X of the </w:t>
      </w:r>
      <w:r>
        <w:rPr>
          <w:i/>
        </w:rPr>
        <w:t>Electricity Safety Act 1998 </w:t>
      </w:r>
      <w:r>
        <w:rPr/>
        <w:t>allows ESV in consultation with the Minister, to grant timeline variations for the installation of REFCLs against milestone dates specified in the legislation.</w:t>
      </w:r>
      <w:r>
        <w:rPr>
          <w:spacing w:val="-1"/>
        </w:rPr>
        <w:t> </w:t>
      </w:r>
      <w:r>
        <w:rPr/>
        <w:t>Under</w:t>
      </w:r>
      <w:r>
        <w:rPr>
          <w:spacing w:val="-1"/>
        </w:rPr>
        <w:t> </w:t>
      </w:r>
      <w:r>
        <w:rPr/>
        <w:t>section</w:t>
      </w:r>
      <w:r>
        <w:rPr>
          <w:spacing w:val="-2"/>
        </w:rPr>
        <w:t> </w:t>
      </w:r>
      <w:r>
        <w:rPr/>
        <w:t>13</w:t>
      </w:r>
      <w:r>
        <w:rPr>
          <w:spacing w:val="-2"/>
        </w:rPr>
        <w:t> </w:t>
      </w:r>
      <w:r>
        <w:rPr/>
        <w:t>of</w:t>
      </w:r>
      <w:r>
        <w:rPr>
          <w:spacing w:val="-2"/>
        </w:rPr>
        <w:t> </w:t>
      </w:r>
      <w:r>
        <w:rPr/>
        <w:t>the </w:t>
      </w:r>
      <w:r>
        <w:rPr>
          <w:i/>
        </w:rPr>
        <w:t>Electricity</w:t>
      </w:r>
      <w:r>
        <w:rPr>
          <w:i/>
          <w:spacing w:val="-3"/>
        </w:rPr>
        <w:t> </w:t>
      </w:r>
      <w:r>
        <w:rPr>
          <w:i/>
        </w:rPr>
        <w:t>Safety</w:t>
      </w:r>
      <w:r>
        <w:rPr>
          <w:i/>
          <w:spacing w:val="-2"/>
        </w:rPr>
        <w:t> </w:t>
      </w:r>
      <w:r>
        <w:rPr>
          <w:i/>
        </w:rPr>
        <w:t>(Bushfire</w:t>
      </w:r>
      <w:r>
        <w:rPr>
          <w:i/>
          <w:spacing w:val="-3"/>
        </w:rPr>
        <w:t> </w:t>
      </w:r>
      <w:r>
        <w:rPr>
          <w:i/>
        </w:rPr>
        <w:t>Mitigation)</w:t>
      </w:r>
      <w:r>
        <w:rPr>
          <w:i/>
          <w:spacing w:val="-4"/>
        </w:rPr>
        <w:t> </w:t>
      </w:r>
      <w:r>
        <w:rPr>
          <w:i/>
        </w:rPr>
        <w:t>Regulations 2013, </w:t>
      </w:r>
      <w:r>
        <w:rPr/>
        <w:t>ESV may also provide exemptions from the bushfire mitigation activities prescribed in these Regulations.</w:t>
      </w:r>
      <w:r>
        <w:rPr>
          <w:spacing w:val="-5"/>
        </w:rPr>
        <w:t> </w:t>
      </w:r>
      <w:r>
        <w:rPr/>
        <w:t>The</w:t>
      </w:r>
      <w:r>
        <w:rPr>
          <w:spacing w:val="-4"/>
        </w:rPr>
        <w:t> </w:t>
      </w:r>
      <w:r>
        <w:rPr/>
        <w:t>capacity</w:t>
      </w:r>
      <w:r>
        <w:rPr>
          <w:spacing w:val="-4"/>
        </w:rPr>
        <w:t> </w:t>
      </w:r>
      <w:r>
        <w:rPr/>
        <w:t>to</w:t>
      </w:r>
      <w:r>
        <w:rPr>
          <w:spacing w:val="-2"/>
        </w:rPr>
        <w:t> </w:t>
      </w:r>
      <w:r>
        <w:rPr/>
        <w:t>provide</w:t>
      </w:r>
      <w:r>
        <w:rPr>
          <w:spacing w:val="-2"/>
        </w:rPr>
        <w:t> </w:t>
      </w:r>
      <w:r>
        <w:rPr/>
        <w:t>these</w:t>
      </w:r>
      <w:r>
        <w:rPr>
          <w:spacing w:val="-4"/>
        </w:rPr>
        <w:t> </w:t>
      </w:r>
      <w:r>
        <w:rPr/>
        <w:t>exemptions</w:t>
      </w:r>
      <w:r>
        <w:rPr>
          <w:spacing w:val="-2"/>
        </w:rPr>
        <w:t> </w:t>
      </w:r>
      <w:r>
        <w:rPr/>
        <w:t>already</w:t>
      </w:r>
      <w:r>
        <w:rPr>
          <w:spacing w:val="-4"/>
        </w:rPr>
        <w:t> </w:t>
      </w:r>
      <w:r>
        <w:rPr/>
        <w:t>existed</w:t>
      </w:r>
      <w:r>
        <w:rPr>
          <w:spacing w:val="-2"/>
        </w:rPr>
        <w:t> </w:t>
      </w:r>
      <w:r>
        <w:rPr/>
        <w:t>prior</w:t>
      </w:r>
      <w:r>
        <w:rPr>
          <w:spacing w:val="-3"/>
        </w:rPr>
        <w:t> </w:t>
      </w:r>
      <w:r>
        <w:rPr/>
        <w:t>to</w:t>
      </w:r>
      <w:r>
        <w:rPr>
          <w:spacing w:val="-4"/>
        </w:rPr>
        <w:t> </w:t>
      </w:r>
      <w:r>
        <w:rPr/>
        <w:t>the</w:t>
      </w:r>
      <w:r>
        <w:rPr>
          <w:spacing w:val="-2"/>
        </w:rPr>
        <w:t> </w:t>
      </w:r>
      <w:r>
        <w:rPr/>
        <w:t>introduction</w:t>
      </w:r>
      <w:r>
        <w:rPr>
          <w:spacing w:val="-2"/>
        </w:rPr>
        <w:t> </w:t>
      </w:r>
      <w:r>
        <w:rPr/>
        <w:t>of the Civil Penalties Scheme (Department of Environment, Land, Water and Planning, 2016).</w:t>
      </w:r>
    </w:p>
    <w:p>
      <w:pPr>
        <w:pStyle w:val="BodyText"/>
        <w:spacing w:before="10"/>
        <w:rPr>
          <w:sz w:val="20"/>
        </w:rPr>
      </w:pPr>
    </w:p>
    <w:p>
      <w:pPr>
        <w:pStyle w:val="BodyText"/>
        <w:spacing w:before="1"/>
        <w:ind w:left="232"/>
      </w:pPr>
      <w:r>
        <w:rPr/>
        <w:t>Technical</w:t>
      </w:r>
      <w:r>
        <w:rPr>
          <w:spacing w:val="-9"/>
        </w:rPr>
        <w:t> </w:t>
      </w:r>
      <w:r>
        <w:rPr/>
        <w:t>exemptions</w:t>
      </w:r>
      <w:r>
        <w:rPr>
          <w:spacing w:val="-5"/>
        </w:rPr>
        <w:t> </w:t>
      </w:r>
      <w:r>
        <w:rPr/>
        <w:t>are</w:t>
      </w:r>
      <w:r>
        <w:rPr>
          <w:spacing w:val="-6"/>
        </w:rPr>
        <w:t> </w:t>
      </w:r>
      <w:r>
        <w:rPr/>
        <w:t>intended</w:t>
      </w:r>
      <w:r>
        <w:rPr>
          <w:spacing w:val="-8"/>
        </w:rPr>
        <w:t> </w:t>
      </w:r>
      <w:r>
        <w:rPr/>
        <w:t>to</w:t>
      </w:r>
      <w:r>
        <w:rPr>
          <w:spacing w:val="-8"/>
        </w:rPr>
        <w:t> </w:t>
      </w:r>
      <w:r>
        <w:rPr/>
        <w:t>cover</w:t>
      </w:r>
      <w:r>
        <w:rPr>
          <w:spacing w:val="-5"/>
        </w:rPr>
        <w:t> </w:t>
      </w:r>
      <w:r>
        <w:rPr/>
        <w:t>circumstances</w:t>
      </w:r>
      <w:r>
        <w:rPr>
          <w:spacing w:val="-6"/>
        </w:rPr>
        <w:t> </w:t>
      </w:r>
      <w:r>
        <w:rPr/>
        <w:t>where</w:t>
      </w:r>
      <w:r>
        <w:rPr>
          <w:spacing w:val="-6"/>
        </w:rPr>
        <w:t> </w:t>
      </w:r>
      <w:r>
        <w:rPr/>
        <w:t>a</w:t>
      </w:r>
      <w:r>
        <w:rPr>
          <w:spacing w:val="-8"/>
        </w:rPr>
        <w:t> </w:t>
      </w:r>
      <w:r>
        <w:rPr/>
        <w:t>distribution</w:t>
      </w:r>
      <w:r>
        <w:rPr>
          <w:spacing w:val="-5"/>
        </w:rPr>
        <w:t> </w:t>
      </w:r>
      <w:r>
        <w:rPr>
          <w:spacing w:val="-2"/>
        </w:rPr>
        <w:t>business:</w:t>
      </w:r>
    </w:p>
    <w:p>
      <w:pPr>
        <w:pStyle w:val="ListParagraph"/>
        <w:numPr>
          <w:ilvl w:val="0"/>
          <w:numId w:val="71"/>
        </w:numPr>
        <w:tabs>
          <w:tab w:pos="734" w:val="left" w:leader="none"/>
        </w:tabs>
        <w:spacing w:line="285" w:lineRule="auto" w:before="68" w:after="0"/>
        <w:ind w:left="734" w:right="579" w:hanging="361"/>
        <w:jc w:val="left"/>
        <w:rPr>
          <w:sz w:val="22"/>
        </w:rPr>
      </w:pPr>
      <w:r>
        <w:rPr>
          <w:sz w:val="22"/>
        </w:rPr>
        <w:t>demonstrates</w:t>
      </w:r>
      <w:r>
        <w:rPr>
          <w:spacing w:val="-3"/>
          <w:sz w:val="22"/>
        </w:rPr>
        <w:t> </w:t>
      </w:r>
      <w:r>
        <w:rPr>
          <w:sz w:val="22"/>
        </w:rPr>
        <w:t>practical</w:t>
      </w:r>
      <w:r>
        <w:rPr>
          <w:spacing w:val="-4"/>
          <w:sz w:val="22"/>
        </w:rPr>
        <w:t> </w:t>
      </w:r>
      <w:r>
        <w:rPr>
          <w:sz w:val="22"/>
        </w:rPr>
        <w:t>impossibility</w:t>
      </w:r>
      <w:r>
        <w:rPr>
          <w:spacing w:val="-5"/>
          <w:sz w:val="22"/>
        </w:rPr>
        <w:t> </w:t>
      </w:r>
      <w:r>
        <w:rPr>
          <w:sz w:val="22"/>
        </w:rPr>
        <w:t>of</w:t>
      </w:r>
      <w:r>
        <w:rPr>
          <w:spacing w:val="-3"/>
          <w:sz w:val="22"/>
        </w:rPr>
        <w:t> </w:t>
      </w:r>
      <w:r>
        <w:rPr>
          <w:sz w:val="22"/>
        </w:rPr>
        <w:t>meeting</w:t>
      </w:r>
      <w:r>
        <w:rPr>
          <w:spacing w:val="-4"/>
          <w:sz w:val="22"/>
        </w:rPr>
        <w:t> </w:t>
      </w:r>
      <w:r>
        <w:rPr>
          <w:sz w:val="22"/>
        </w:rPr>
        <w:t>the</w:t>
      </w:r>
      <w:r>
        <w:rPr>
          <w:spacing w:val="-4"/>
          <w:sz w:val="22"/>
        </w:rPr>
        <w:t> </w:t>
      </w:r>
      <w:r>
        <w:rPr>
          <w:sz w:val="22"/>
        </w:rPr>
        <w:t>stated</w:t>
      </w:r>
      <w:r>
        <w:rPr>
          <w:spacing w:val="-5"/>
          <w:sz w:val="22"/>
        </w:rPr>
        <w:t> </w:t>
      </w:r>
      <w:r>
        <w:rPr>
          <w:sz w:val="22"/>
        </w:rPr>
        <w:t>requirements</w:t>
      </w:r>
      <w:r>
        <w:rPr>
          <w:spacing w:val="-5"/>
          <w:sz w:val="22"/>
        </w:rPr>
        <w:t> </w:t>
      </w:r>
      <w:r>
        <w:rPr>
          <w:sz w:val="22"/>
        </w:rPr>
        <w:t>at</w:t>
      </w:r>
      <w:r>
        <w:rPr>
          <w:spacing w:val="-2"/>
          <w:sz w:val="22"/>
        </w:rPr>
        <w:t> </w:t>
      </w:r>
      <w:r>
        <w:rPr>
          <w:sz w:val="22"/>
        </w:rPr>
        <w:t>a</w:t>
      </w:r>
      <w:r>
        <w:rPr>
          <w:spacing w:val="-5"/>
          <w:sz w:val="22"/>
        </w:rPr>
        <w:t> </w:t>
      </w:r>
      <w:r>
        <w:rPr>
          <w:sz w:val="22"/>
        </w:rPr>
        <w:t>particular</w:t>
      </w:r>
      <w:r>
        <w:rPr>
          <w:spacing w:val="-3"/>
          <w:sz w:val="22"/>
        </w:rPr>
        <w:t> </w:t>
      </w:r>
      <w:r>
        <w:rPr>
          <w:sz w:val="22"/>
        </w:rPr>
        <w:t>zone </w:t>
      </w:r>
      <w:r>
        <w:rPr>
          <w:spacing w:val="-2"/>
          <w:sz w:val="22"/>
        </w:rPr>
        <w:t>substation;</w:t>
      </w:r>
    </w:p>
    <w:p>
      <w:pPr>
        <w:pStyle w:val="ListParagraph"/>
        <w:numPr>
          <w:ilvl w:val="0"/>
          <w:numId w:val="71"/>
        </w:numPr>
        <w:tabs>
          <w:tab w:pos="734" w:val="left" w:leader="none"/>
        </w:tabs>
        <w:spacing w:line="285" w:lineRule="auto" w:before="20" w:after="0"/>
        <w:ind w:left="734" w:right="451" w:hanging="361"/>
        <w:jc w:val="left"/>
        <w:rPr>
          <w:sz w:val="22"/>
        </w:rPr>
      </w:pPr>
      <w:r>
        <w:rPr>
          <w:sz w:val="22"/>
        </w:rPr>
        <w:t>demonstrates</w:t>
      </w:r>
      <w:r>
        <w:rPr>
          <w:spacing w:val="-1"/>
          <w:sz w:val="22"/>
        </w:rPr>
        <w:t> </w:t>
      </w:r>
      <w:r>
        <w:rPr>
          <w:sz w:val="22"/>
        </w:rPr>
        <w:t>any</w:t>
      </w:r>
      <w:r>
        <w:rPr>
          <w:spacing w:val="-4"/>
          <w:sz w:val="22"/>
        </w:rPr>
        <w:t> </w:t>
      </w:r>
      <w:r>
        <w:rPr>
          <w:sz w:val="22"/>
        </w:rPr>
        <w:t>zone</w:t>
      </w:r>
      <w:r>
        <w:rPr>
          <w:spacing w:val="-4"/>
          <w:sz w:val="22"/>
        </w:rPr>
        <w:t> </w:t>
      </w:r>
      <w:r>
        <w:rPr>
          <w:sz w:val="22"/>
        </w:rPr>
        <w:t>substation</w:t>
      </w:r>
      <w:r>
        <w:rPr>
          <w:spacing w:val="-4"/>
          <w:sz w:val="22"/>
        </w:rPr>
        <w:t> </w:t>
      </w:r>
      <w:r>
        <w:rPr>
          <w:sz w:val="22"/>
        </w:rPr>
        <w:t>that is</w:t>
      </w:r>
      <w:r>
        <w:rPr>
          <w:spacing w:val="-4"/>
          <w:sz w:val="22"/>
        </w:rPr>
        <w:t> </w:t>
      </w:r>
      <w:r>
        <w:rPr>
          <w:sz w:val="22"/>
        </w:rPr>
        <w:t>not</w:t>
      </w:r>
      <w:r>
        <w:rPr>
          <w:spacing w:val="-5"/>
          <w:sz w:val="22"/>
        </w:rPr>
        <w:t> </w:t>
      </w:r>
      <w:r>
        <w:rPr>
          <w:sz w:val="22"/>
        </w:rPr>
        <w:t>fully</w:t>
      </w:r>
      <w:r>
        <w:rPr>
          <w:spacing w:val="-4"/>
          <w:sz w:val="22"/>
        </w:rPr>
        <w:t> </w:t>
      </w:r>
      <w:r>
        <w:rPr>
          <w:sz w:val="22"/>
        </w:rPr>
        <w:t>compliant has</w:t>
      </w:r>
      <w:r>
        <w:rPr>
          <w:spacing w:val="-4"/>
          <w:sz w:val="22"/>
        </w:rPr>
        <w:t> </w:t>
      </w:r>
      <w:r>
        <w:rPr>
          <w:sz w:val="22"/>
        </w:rPr>
        <w:t>reached</w:t>
      </w:r>
      <w:r>
        <w:rPr>
          <w:spacing w:val="-6"/>
          <w:sz w:val="22"/>
        </w:rPr>
        <w:t> </w:t>
      </w:r>
      <w:r>
        <w:rPr>
          <w:sz w:val="22"/>
        </w:rPr>
        <w:t>its</w:t>
      </w:r>
      <w:r>
        <w:rPr>
          <w:spacing w:val="-1"/>
          <w:sz w:val="22"/>
        </w:rPr>
        <w:t> </w:t>
      </w:r>
      <w:r>
        <w:rPr>
          <w:sz w:val="22"/>
        </w:rPr>
        <w:t>best practicable level of fault detection;</w:t>
      </w:r>
    </w:p>
    <w:p>
      <w:pPr>
        <w:pStyle w:val="ListParagraph"/>
        <w:numPr>
          <w:ilvl w:val="0"/>
          <w:numId w:val="71"/>
        </w:numPr>
        <w:tabs>
          <w:tab w:pos="734" w:val="left" w:leader="none"/>
        </w:tabs>
        <w:spacing w:line="288" w:lineRule="auto" w:before="20" w:after="0"/>
        <w:ind w:left="734" w:right="580" w:hanging="361"/>
        <w:jc w:val="left"/>
        <w:rPr>
          <w:sz w:val="22"/>
        </w:rPr>
      </w:pPr>
      <w:r>
        <w:rPr>
          <w:sz w:val="22"/>
        </w:rPr>
        <w:t>provides</w:t>
      </w:r>
      <w:r>
        <w:rPr>
          <w:spacing w:val="-2"/>
          <w:sz w:val="22"/>
        </w:rPr>
        <w:t> </w:t>
      </w:r>
      <w:r>
        <w:rPr>
          <w:sz w:val="22"/>
        </w:rPr>
        <w:t>a</w:t>
      </w:r>
      <w:r>
        <w:rPr>
          <w:spacing w:val="-3"/>
          <w:sz w:val="22"/>
        </w:rPr>
        <w:t> </w:t>
      </w:r>
      <w:r>
        <w:rPr>
          <w:sz w:val="22"/>
        </w:rPr>
        <w:t>written</w:t>
      </w:r>
      <w:r>
        <w:rPr>
          <w:spacing w:val="-3"/>
          <w:sz w:val="22"/>
        </w:rPr>
        <w:t> </w:t>
      </w:r>
      <w:r>
        <w:rPr>
          <w:sz w:val="22"/>
        </w:rPr>
        <w:t>undertaking</w:t>
      </w:r>
      <w:r>
        <w:rPr>
          <w:spacing w:val="-1"/>
          <w:sz w:val="22"/>
        </w:rPr>
        <w:t> </w:t>
      </w:r>
      <w:r>
        <w:rPr>
          <w:sz w:val="22"/>
        </w:rPr>
        <w:t>as</w:t>
      </w:r>
      <w:r>
        <w:rPr>
          <w:spacing w:val="-5"/>
          <w:sz w:val="22"/>
        </w:rPr>
        <w:t> </w:t>
      </w:r>
      <w:r>
        <w:rPr>
          <w:sz w:val="22"/>
        </w:rPr>
        <w:t>to</w:t>
      </w:r>
      <w:r>
        <w:rPr>
          <w:spacing w:val="-3"/>
          <w:sz w:val="22"/>
        </w:rPr>
        <w:t> </w:t>
      </w:r>
      <w:r>
        <w:rPr>
          <w:sz w:val="22"/>
        </w:rPr>
        <w:t>how</w:t>
      </w:r>
      <w:r>
        <w:rPr>
          <w:spacing w:val="-6"/>
          <w:sz w:val="22"/>
        </w:rPr>
        <w:t> </w:t>
      </w:r>
      <w:r>
        <w:rPr>
          <w:sz w:val="22"/>
        </w:rPr>
        <w:t>it</w:t>
      </w:r>
      <w:r>
        <w:rPr>
          <w:spacing w:val="-1"/>
          <w:sz w:val="22"/>
        </w:rPr>
        <w:t> </w:t>
      </w:r>
      <w:r>
        <w:rPr>
          <w:sz w:val="22"/>
        </w:rPr>
        <w:t>will</w:t>
      </w:r>
      <w:r>
        <w:rPr>
          <w:spacing w:val="-3"/>
          <w:sz w:val="22"/>
        </w:rPr>
        <w:t> </w:t>
      </w:r>
      <w:r>
        <w:rPr>
          <w:sz w:val="22"/>
        </w:rPr>
        <w:t>achieve</w:t>
      </w:r>
      <w:r>
        <w:rPr>
          <w:spacing w:val="-3"/>
          <w:sz w:val="22"/>
        </w:rPr>
        <w:t> </w:t>
      </w:r>
      <w:r>
        <w:rPr>
          <w:sz w:val="22"/>
        </w:rPr>
        <w:t>full</w:t>
      </w:r>
      <w:r>
        <w:rPr>
          <w:spacing w:val="-3"/>
          <w:sz w:val="22"/>
        </w:rPr>
        <w:t> </w:t>
      </w:r>
      <w:r>
        <w:rPr>
          <w:sz w:val="22"/>
        </w:rPr>
        <w:t>compliance</w:t>
      </w:r>
      <w:r>
        <w:rPr>
          <w:spacing w:val="-3"/>
          <w:sz w:val="22"/>
        </w:rPr>
        <w:t> </w:t>
      </w:r>
      <w:r>
        <w:rPr>
          <w:sz w:val="22"/>
        </w:rPr>
        <w:t>with</w:t>
      </w:r>
      <w:r>
        <w:rPr>
          <w:spacing w:val="-3"/>
          <w:sz w:val="22"/>
        </w:rPr>
        <w:t> </w:t>
      </w:r>
      <w:r>
        <w:rPr>
          <w:sz w:val="22"/>
        </w:rPr>
        <w:t>the</w:t>
      </w:r>
      <w:r>
        <w:rPr>
          <w:spacing w:val="-5"/>
          <w:sz w:val="22"/>
        </w:rPr>
        <w:t> </w:t>
      </w:r>
      <w:r>
        <w:rPr>
          <w:sz w:val="22"/>
        </w:rPr>
        <w:t>Regulations within a defined period; and</w:t>
      </w:r>
    </w:p>
    <w:p>
      <w:pPr>
        <w:pStyle w:val="ListParagraph"/>
        <w:numPr>
          <w:ilvl w:val="0"/>
          <w:numId w:val="71"/>
        </w:numPr>
        <w:tabs>
          <w:tab w:pos="734" w:val="left" w:leader="none"/>
        </w:tabs>
        <w:spacing w:line="288" w:lineRule="auto" w:before="14" w:after="0"/>
        <w:ind w:left="734" w:right="365" w:hanging="361"/>
        <w:jc w:val="left"/>
        <w:rPr>
          <w:sz w:val="22"/>
        </w:rPr>
      </w:pPr>
      <w:r>
        <w:rPr>
          <w:sz w:val="22"/>
        </w:rPr>
        <w:t>provides</w:t>
      </w:r>
      <w:r>
        <w:rPr>
          <w:spacing w:val="-2"/>
          <w:sz w:val="22"/>
        </w:rPr>
        <w:t> </w:t>
      </w:r>
      <w:r>
        <w:rPr>
          <w:sz w:val="22"/>
        </w:rPr>
        <w:t>these</w:t>
      </w:r>
      <w:r>
        <w:rPr>
          <w:spacing w:val="-3"/>
          <w:sz w:val="22"/>
        </w:rPr>
        <w:t> </w:t>
      </w:r>
      <w:r>
        <w:rPr>
          <w:sz w:val="22"/>
        </w:rPr>
        <w:t>details</w:t>
      </w:r>
      <w:r>
        <w:rPr>
          <w:spacing w:val="-2"/>
          <w:sz w:val="22"/>
        </w:rPr>
        <w:t> </w:t>
      </w:r>
      <w:r>
        <w:rPr>
          <w:sz w:val="22"/>
        </w:rPr>
        <w:t>in</w:t>
      </w:r>
      <w:r>
        <w:rPr>
          <w:spacing w:val="-5"/>
          <w:sz w:val="22"/>
        </w:rPr>
        <w:t> </w:t>
      </w:r>
      <w:r>
        <w:rPr>
          <w:sz w:val="22"/>
        </w:rPr>
        <w:t>a</w:t>
      </w:r>
      <w:r>
        <w:rPr>
          <w:spacing w:val="-3"/>
          <w:sz w:val="22"/>
        </w:rPr>
        <w:t> </w:t>
      </w:r>
      <w:r>
        <w:rPr>
          <w:sz w:val="22"/>
        </w:rPr>
        <w:t>Bushfire</w:t>
      </w:r>
      <w:r>
        <w:rPr>
          <w:spacing w:val="-5"/>
          <w:sz w:val="22"/>
        </w:rPr>
        <w:t> </w:t>
      </w:r>
      <w:r>
        <w:rPr>
          <w:sz w:val="22"/>
        </w:rPr>
        <w:t>Mitigation</w:t>
      </w:r>
      <w:r>
        <w:rPr>
          <w:spacing w:val="-3"/>
          <w:sz w:val="22"/>
        </w:rPr>
        <w:t> </w:t>
      </w:r>
      <w:r>
        <w:rPr>
          <w:sz w:val="22"/>
        </w:rPr>
        <w:t>Plan (Department</w:t>
      </w:r>
      <w:r>
        <w:rPr>
          <w:spacing w:val="-4"/>
          <w:sz w:val="22"/>
        </w:rPr>
        <w:t> </w:t>
      </w:r>
      <w:r>
        <w:rPr>
          <w:sz w:val="22"/>
        </w:rPr>
        <w:t>of</w:t>
      </w:r>
      <w:r>
        <w:rPr>
          <w:spacing w:val="-1"/>
          <w:sz w:val="22"/>
        </w:rPr>
        <w:t> </w:t>
      </w:r>
      <w:r>
        <w:rPr>
          <w:sz w:val="22"/>
        </w:rPr>
        <w:t>Environment,</w:t>
      </w:r>
      <w:r>
        <w:rPr>
          <w:spacing w:val="-1"/>
          <w:sz w:val="22"/>
        </w:rPr>
        <w:t> </w:t>
      </w:r>
      <w:r>
        <w:rPr>
          <w:sz w:val="22"/>
        </w:rPr>
        <w:t>Land,</w:t>
      </w:r>
      <w:r>
        <w:rPr>
          <w:spacing w:val="-9"/>
          <w:sz w:val="22"/>
        </w:rPr>
        <w:t> </w:t>
      </w:r>
      <w:r>
        <w:rPr>
          <w:sz w:val="22"/>
        </w:rPr>
        <w:t>Water and Planning, 2016).</w:t>
      </w:r>
    </w:p>
    <w:p>
      <w:pPr>
        <w:pStyle w:val="BodyText"/>
        <w:spacing w:before="8"/>
        <w:rPr>
          <w:sz w:val="20"/>
        </w:rPr>
      </w:pPr>
    </w:p>
    <w:p>
      <w:pPr>
        <w:pStyle w:val="BodyText"/>
        <w:spacing w:line="288" w:lineRule="auto"/>
        <w:ind w:left="232" w:right="374"/>
      </w:pPr>
      <w:r>
        <w:rPr/>
        <w:t>ESV</w:t>
      </w:r>
      <w:r>
        <w:rPr>
          <w:spacing w:val="-2"/>
        </w:rPr>
        <w:t> </w:t>
      </w:r>
      <w:r>
        <w:rPr/>
        <w:t>may</w:t>
      </w:r>
      <w:r>
        <w:rPr>
          <w:spacing w:val="-4"/>
        </w:rPr>
        <w:t> </w:t>
      </w:r>
      <w:r>
        <w:rPr/>
        <w:t>refer</w:t>
      </w:r>
      <w:r>
        <w:rPr>
          <w:spacing w:val="-3"/>
        </w:rPr>
        <w:t> </w:t>
      </w:r>
      <w:r>
        <w:rPr/>
        <w:t>requests</w:t>
      </w:r>
      <w:r>
        <w:rPr>
          <w:spacing w:val="-4"/>
        </w:rPr>
        <w:t> </w:t>
      </w:r>
      <w:r>
        <w:rPr/>
        <w:t>for</w:t>
      </w:r>
      <w:r>
        <w:rPr>
          <w:spacing w:val="-3"/>
        </w:rPr>
        <w:t> </w:t>
      </w:r>
      <w:r>
        <w:rPr/>
        <w:t>extensions</w:t>
      </w:r>
      <w:r>
        <w:rPr>
          <w:spacing w:val="-1"/>
        </w:rPr>
        <w:t> </w:t>
      </w:r>
      <w:r>
        <w:rPr/>
        <w:t>or</w:t>
      </w:r>
      <w:r>
        <w:rPr>
          <w:spacing w:val="-3"/>
        </w:rPr>
        <w:t> </w:t>
      </w:r>
      <w:r>
        <w:rPr/>
        <w:t>exemptions</w:t>
      </w:r>
      <w:r>
        <w:rPr>
          <w:spacing w:val="-1"/>
        </w:rPr>
        <w:t> </w:t>
      </w:r>
      <w:r>
        <w:rPr/>
        <w:t>to</w:t>
      </w:r>
      <w:r>
        <w:rPr>
          <w:spacing w:val="-4"/>
        </w:rPr>
        <w:t> </w:t>
      </w:r>
      <w:r>
        <w:rPr/>
        <w:t>the</w:t>
      </w:r>
      <w:r>
        <w:rPr>
          <w:spacing w:val="-4"/>
        </w:rPr>
        <w:t> </w:t>
      </w:r>
      <w:r>
        <w:rPr/>
        <w:t>Powerline</w:t>
      </w:r>
      <w:r>
        <w:rPr>
          <w:spacing w:val="-2"/>
        </w:rPr>
        <w:t> </w:t>
      </w:r>
      <w:r>
        <w:rPr/>
        <w:t>Bushfire</w:t>
      </w:r>
      <w:r>
        <w:rPr>
          <w:spacing w:val="-2"/>
        </w:rPr>
        <w:t> </w:t>
      </w:r>
      <w:r>
        <w:rPr/>
        <w:t>Safety</w:t>
      </w:r>
      <w:r>
        <w:rPr>
          <w:spacing w:val="-3"/>
        </w:rPr>
        <w:t> </w:t>
      </w:r>
      <w:r>
        <w:rPr/>
        <w:t>Committee to inform its judgements.</w:t>
      </w:r>
    </w:p>
    <w:p>
      <w:pPr>
        <w:pStyle w:val="BodyText"/>
        <w:spacing w:before="3"/>
        <w:rPr>
          <w:sz w:val="31"/>
        </w:rPr>
      </w:pPr>
    </w:p>
    <w:p>
      <w:pPr>
        <w:pStyle w:val="Heading4"/>
        <w:spacing w:line="288" w:lineRule="auto" w:before="0"/>
        <w:ind w:right="374"/>
      </w:pPr>
      <w:r>
        <w:rPr>
          <w:color w:val="585858"/>
        </w:rPr>
        <w:t>Approach</w:t>
      </w:r>
      <w:r>
        <w:rPr>
          <w:color w:val="585858"/>
          <w:spacing w:val="-5"/>
        </w:rPr>
        <w:t> </w:t>
      </w:r>
      <w:r>
        <w:rPr>
          <w:color w:val="585858"/>
        </w:rPr>
        <w:t>to</w:t>
      </w:r>
      <w:r>
        <w:rPr>
          <w:color w:val="585858"/>
          <w:spacing w:val="-6"/>
        </w:rPr>
        <w:t> </w:t>
      </w:r>
      <w:r>
        <w:rPr>
          <w:color w:val="585858"/>
        </w:rPr>
        <w:t>further</w:t>
      </w:r>
      <w:r>
        <w:rPr>
          <w:color w:val="585858"/>
          <w:spacing w:val="-4"/>
        </w:rPr>
        <w:t> </w:t>
      </w:r>
      <w:r>
        <w:rPr>
          <w:color w:val="585858"/>
        </w:rPr>
        <w:t>implementation</w:t>
      </w:r>
      <w:r>
        <w:rPr>
          <w:color w:val="585858"/>
          <w:spacing w:val="-7"/>
        </w:rPr>
        <w:t> </w:t>
      </w:r>
      <w:r>
        <w:rPr>
          <w:color w:val="585858"/>
        </w:rPr>
        <w:t>and</w:t>
      </w:r>
      <w:r>
        <w:rPr>
          <w:color w:val="585858"/>
          <w:spacing w:val="-7"/>
        </w:rPr>
        <w:t> </w:t>
      </w:r>
      <w:r>
        <w:rPr>
          <w:color w:val="585858"/>
        </w:rPr>
        <w:t>evaluation</w:t>
      </w:r>
      <w:r>
        <w:rPr>
          <w:color w:val="585858"/>
          <w:spacing w:val="-7"/>
        </w:rPr>
        <w:t> </w:t>
      </w:r>
      <w:r>
        <w:rPr>
          <w:color w:val="585858"/>
        </w:rPr>
        <w:t>of</w:t>
      </w:r>
      <w:r>
        <w:rPr>
          <w:color w:val="585858"/>
          <w:spacing w:val="-1"/>
        </w:rPr>
        <w:t> </w:t>
      </w:r>
      <w:r>
        <w:rPr>
          <w:color w:val="585858"/>
        </w:rPr>
        <w:t>the REFCL program</w:t>
      </w:r>
    </w:p>
    <w:p>
      <w:pPr>
        <w:pStyle w:val="BodyText"/>
        <w:spacing w:line="288" w:lineRule="auto" w:before="241"/>
        <w:ind w:left="232" w:right="408"/>
      </w:pPr>
      <w:r>
        <w:rPr/>
        <w:t>The</w:t>
      </w:r>
      <w:r>
        <w:rPr>
          <w:spacing w:val="-5"/>
        </w:rPr>
        <w:t> </w:t>
      </w:r>
      <w:r>
        <w:rPr/>
        <w:t>deployment</w:t>
      </w:r>
      <w:r>
        <w:rPr>
          <w:spacing w:val="-1"/>
        </w:rPr>
        <w:t> </w:t>
      </w:r>
      <w:r>
        <w:rPr/>
        <w:t>of REFCLs</w:t>
      </w:r>
      <w:r>
        <w:rPr>
          <w:spacing w:val="-3"/>
        </w:rPr>
        <w:t> </w:t>
      </w:r>
      <w:r>
        <w:rPr/>
        <w:t>has</w:t>
      </w:r>
      <w:r>
        <w:rPr>
          <w:spacing w:val="-3"/>
        </w:rPr>
        <w:t> </w:t>
      </w:r>
      <w:r>
        <w:rPr/>
        <w:t>been</w:t>
      </w:r>
      <w:r>
        <w:rPr>
          <w:spacing w:val="-5"/>
        </w:rPr>
        <w:t> </w:t>
      </w:r>
      <w:r>
        <w:rPr/>
        <w:t>a</w:t>
      </w:r>
      <w:r>
        <w:rPr>
          <w:spacing w:val="-3"/>
        </w:rPr>
        <w:t> </w:t>
      </w:r>
      <w:r>
        <w:rPr/>
        <w:t>long-term</w:t>
      </w:r>
      <w:r>
        <w:rPr>
          <w:spacing w:val="-2"/>
        </w:rPr>
        <w:t> </w:t>
      </w:r>
      <w:r>
        <w:rPr/>
        <w:t>policy</w:t>
      </w:r>
      <w:r>
        <w:rPr>
          <w:spacing w:val="-5"/>
        </w:rPr>
        <w:t> </w:t>
      </w:r>
      <w:r>
        <w:rPr/>
        <w:t>commitment</w:t>
      </w:r>
      <w:r>
        <w:rPr>
          <w:spacing w:val="-4"/>
        </w:rPr>
        <w:t> </w:t>
      </w:r>
      <w:r>
        <w:rPr/>
        <w:t>of</w:t>
      </w:r>
      <w:r>
        <w:rPr>
          <w:spacing w:val="-4"/>
        </w:rPr>
        <w:t> </w:t>
      </w:r>
      <w:r>
        <w:rPr/>
        <w:t>successive</w:t>
      </w:r>
      <w:r>
        <w:rPr>
          <w:spacing w:val="-3"/>
        </w:rPr>
        <w:t> </w:t>
      </w:r>
      <w:r>
        <w:rPr/>
        <w:t>governments following the Powerline Bushfire Safety Taskforce’s advice on the best way to respond to a core recommendation of the Victorian Bushfires Royal Commission. The best available information continues</w:t>
      </w:r>
      <w:r>
        <w:rPr>
          <w:spacing w:val="-1"/>
        </w:rPr>
        <w:t> </w:t>
      </w:r>
      <w:r>
        <w:rPr/>
        <w:t>to show</w:t>
      </w:r>
      <w:r>
        <w:rPr>
          <w:spacing w:val="-2"/>
        </w:rPr>
        <w:t> </w:t>
      </w:r>
      <w:r>
        <w:rPr/>
        <w:t>that the installation of REFCLs</w:t>
      </w:r>
      <w:r>
        <w:rPr>
          <w:spacing w:val="-1"/>
        </w:rPr>
        <w:t> </w:t>
      </w:r>
      <w:r>
        <w:rPr/>
        <w:t>will have a material impact on</w:t>
      </w:r>
      <w:r>
        <w:rPr>
          <w:spacing w:val="-1"/>
        </w:rPr>
        <w:t> </w:t>
      </w:r>
      <w:r>
        <w:rPr/>
        <w:t>bushfire</w:t>
      </w:r>
      <w:r>
        <w:rPr>
          <w:spacing w:val="-1"/>
        </w:rPr>
        <w:t> </w:t>
      </w:r>
      <w:r>
        <w:rPr/>
        <w:t>risk in a state that faces some of the highest risks in the world.</w:t>
      </w:r>
    </w:p>
    <w:p>
      <w:pPr>
        <w:pStyle w:val="BodyText"/>
        <w:rPr>
          <w:sz w:val="21"/>
        </w:rPr>
      </w:pPr>
    </w:p>
    <w:p>
      <w:pPr>
        <w:pStyle w:val="BodyText"/>
        <w:spacing w:line="288" w:lineRule="auto"/>
        <w:ind w:left="232" w:right="320"/>
      </w:pPr>
      <w:r>
        <w:rPr/>
        <w:t>In responding to the high risks, Victoria is leading the way internationally, with the attendant costs and</w:t>
      </w:r>
      <w:r>
        <w:rPr>
          <w:spacing w:val="-2"/>
        </w:rPr>
        <w:t> </w:t>
      </w:r>
      <w:r>
        <w:rPr/>
        <w:t>challenges</w:t>
      </w:r>
      <w:r>
        <w:rPr>
          <w:spacing w:val="-4"/>
        </w:rPr>
        <w:t> </w:t>
      </w:r>
      <w:r>
        <w:rPr/>
        <w:t>that</w:t>
      </w:r>
      <w:r>
        <w:rPr>
          <w:spacing w:val="-3"/>
        </w:rPr>
        <w:t> </w:t>
      </w:r>
      <w:r>
        <w:rPr/>
        <w:t>come</w:t>
      </w:r>
      <w:r>
        <w:rPr>
          <w:spacing w:val="-2"/>
        </w:rPr>
        <w:t> </w:t>
      </w:r>
      <w:r>
        <w:rPr/>
        <w:t>with</w:t>
      </w:r>
      <w:r>
        <w:rPr>
          <w:spacing w:val="-2"/>
        </w:rPr>
        <w:t> </w:t>
      </w:r>
      <w:r>
        <w:rPr/>
        <w:t>being</w:t>
      </w:r>
      <w:r>
        <w:rPr>
          <w:spacing w:val="-2"/>
        </w:rPr>
        <w:t> </w:t>
      </w:r>
      <w:r>
        <w:rPr/>
        <w:t>the</w:t>
      </w:r>
      <w:r>
        <w:rPr>
          <w:spacing w:val="-2"/>
        </w:rPr>
        <w:t> </w:t>
      </w:r>
      <w:r>
        <w:rPr/>
        <w:t>world</w:t>
      </w:r>
      <w:r>
        <w:rPr>
          <w:spacing w:val="-2"/>
        </w:rPr>
        <w:t> </w:t>
      </w:r>
      <w:r>
        <w:rPr/>
        <w:t>leader</w:t>
      </w:r>
      <w:r>
        <w:rPr>
          <w:spacing w:val="-1"/>
        </w:rPr>
        <w:t> </w:t>
      </w:r>
      <w:r>
        <w:rPr/>
        <w:t>in</w:t>
      </w:r>
      <w:r>
        <w:rPr>
          <w:spacing w:val="-2"/>
        </w:rPr>
        <w:t> </w:t>
      </w:r>
      <w:r>
        <w:rPr/>
        <w:t>deploying a</w:t>
      </w:r>
      <w:r>
        <w:rPr>
          <w:spacing w:val="-4"/>
        </w:rPr>
        <w:t> </w:t>
      </w:r>
      <w:r>
        <w:rPr/>
        <w:t>new</w:t>
      </w:r>
      <w:r>
        <w:rPr>
          <w:spacing w:val="-5"/>
        </w:rPr>
        <w:t> </w:t>
      </w:r>
      <w:r>
        <w:rPr/>
        <w:t>approach</w:t>
      </w:r>
      <w:r>
        <w:rPr>
          <w:spacing w:val="-4"/>
        </w:rPr>
        <w:t> </w:t>
      </w:r>
      <w:r>
        <w:rPr/>
        <w:t>to</w:t>
      </w:r>
      <w:r>
        <w:rPr>
          <w:spacing w:val="-2"/>
        </w:rPr>
        <w:t> </w:t>
      </w:r>
      <w:r>
        <w:rPr/>
        <w:t>bushfire</w:t>
      </w:r>
      <w:r>
        <w:rPr>
          <w:spacing w:val="-4"/>
        </w:rPr>
        <w:t> </w:t>
      </w:r>
      <w:r>
        <w:rPr/>
        <w:t>risk.</w:t>
      </w:r>
    </w:p>
    <w:p>
      <w:pPr>
        <w:pStyle w:val="BodyText"/>
        <w:spacing w:before="10"/>
        <w:rPr>
          <w:sz w:val="20"/>
        </w:rPr>
      </w:pPr>
    </w:p>
    <w:p>
      <w:pPr>
        <w:pStyle w:val="BodyText"/>
        <w:spacing w:line="288" w:lineRule="auto"/>
        <w:ind w:left="232" w:right="320"/>
      </w:pPr>
      <w:r>
        <w:rPr/>
        <w:t>In its Interim Report, the Review indicated that a measured approach should be adopted to the implementation of REFCLs, allowing policy settings to be considered with the benefit of greater experience</w:t>
      </w:r>
      <w:r>
        <w:rPr>
          <w:spacing w:val="-3"/>
        </w:rPr>
        <w:t> </w:t>
      </w:r>
      <w:r>
        <w:rPr/>
        <w:t>and</w:t>
      </w:r>
      <w:r>
        <w:rPr>
          <w:spacing w:val="-3"/>
        </w:rPr>
        <w:t> </w:t>
      </w:r>
      <w:r>
        <w:rPr/>
        <w:t>information.</w:t>
      </w:r>
      <w:r>
        <w:rPr>
          <w:spacing w:val="-1"/>
        </w:rPr>
        <w:t> </w:t>
      </w:r>
      <w:r>
        <w:rPr/>
        <w:t>As</w:t>
      </w:r>
      <w:r>
        <w:rPr>
          <w:spacing w:val="-5"/>
        </w:rPr>
        <w:t> </w:t>
      </w:r>
      <w:r>
        <w:rPr/>
        <w:t>a</w:t>
      </w:r>
      <w:r>
        <w:rPr>
          <w:spacing w:val="-3"/>
        </w:rPr>
        <w:t> </w:t>
      </w:r>
      <w:r>
        <w:rPr/>
        <w:t>draft</w:t>
      </w:r>
      <w:r>
        <w:rPr>
          <w:spacing w:val="-4"/>
        </w:rPr>
        <w:t> </w:t>
      </w:r>
      <w:r>
        <w:rPr/>
        <w:t>recommendation,</w:t>
      </w:r>
      <w:r>
        <w:rPr>
          <w:spacing w:val="-4"/>
        </w:rPr>
        <w:t> </w:t>
      </w:r>
      <w:r>
        <w:rPr/>
        <w:t>the</w:t>
      </w:r>
      <w:r>
        <w:rPr>
          <w:spacing w:val="-3"/>
        </w:rPr>
        <w:t> </w:t>
      </w:r>
      <w:r>
        <w:rPr/>
        <w:t>Review</w:t>
      </w:r>
      <w:r>
        <w:rPr>
          <w:spacing w:val="-6"/>
        </w:rPr>
        <w:t> </w:t>
      </w:r>
      <w:r>
        <w:rPr/>
        <w:t>proposed</w:t>
      </w:r>
      <w:r>
        <w:rPr>
          <w:spacing w:val="-3"/>
        </w:rPr>
        <w:t> </w:t>
      </w:r>
      <w:r>
        <w:rPr/>
        <w:t>that</w:t>
      </w:r>
      <w:r>
        <w:rPr>
          <w:spacing w:val="-4"/>
        </w:rPr>
        <w:t> </w:t>
      </w:r>
      <w:r>
        <w:rPr/>
        <w:t>the</w:t>
      </w:r>
      <w:r>
        <w:rPr>
          <w:spacing w:val="-3"/>
        </w:rPr>
        <w:t> </w:t>
      </w:r>
      <w:r>
        <w:rPr/>
        <w:t>deployment of REFCL technology to satisfy the </w:t>
      </w:r>
      <w:r>
        <w:rPr>
          <w:i/>
        </w:rPr>
        <w:t>Electricity Safety Act 1998 </w:t>
      </w:r>
      <w:r>
        <w:rPr/>
        <w:t>and the </w:t>
      </w:r>
      <w:r>
        <w:rPr>
          <w:i/>
        </w:rPr>
        <w:t>Electricity Safety (Bushfire Mitigation) Regulations 2013 </w:t>
      </w:r>
      <w:r>
        <w:rPr/>
        <w:t>be subject to review prior to each tranche by an independent expert panel appointed by the Minister.</w:t>
      </w:r>
    </w:p>
    <w:p>
      <w:pPr>
        <w:pStyle w:val="BodyText"/>
        <w:spacing w:before="8"/>
        <w:rPr>
          <w:sz w:val="20"/>
        </w:rPr>
      </w:pPr>
    </w:p>
    <w:p>
      <w:pPr>
        <w:pStyle w:val="BodyText"/>
        <w:spacing w:line="288" w:lineRule="auto"/>
        <w:ind w:left="232" w:right="320"/>
      </w:pPr>
      <w:r>
        <w:rPr/>
        <w:t>Submissions</w:t>
      </w:r>
      <w:r>
        <w:rPr>
          <w:spacing w:val="-2"/>
        </w:rPr>
        <w:t> </w:t>
      </w:r>
      <w:r>
        <w:rPr/>
        <w:t>in</w:t>
      </w:r>
      <w:r>
        <w:rPr>
          <w:spacing w:val="-2"/>
        </w:rPr>
        <w:t> </w:t>
      </w:r>
      <w:r>
        <w:rPr/>
        <w:t>response</w:t>
      </w:r>
      <w:r>
        <w:rPr>
          <w:spacing w:val="-4"/>
        </w:rPr>
        <w:t> </w:t>
      </w:r>
      <w:r>
        <w:rPr/>
        <w:t>to</w:t>
      </w:r>
      <w:r>
        <w:rPr>
          <w:spacing w:val="-4"/>
        </w:rPr>
        <w:t> </w:t>
      </w:r>
      <w:r>
        <w:rPr/>
        <w:t>the</w:t>
      </w:r>
      <w:r>
        <w:rPr>
          <w:spacing w:val="-4"/>
        </w:rPr>
        <w:t> </w:t>
      </w:r>
      <w:r>
        <w:rPr/>
        <w:t>Interim</w:t>
      </w:r>
      <w:r>
        <w:rPr>
          <w:spacing w:val="-2"/>
        </w:rPr>
        <w:t> </w:t>
      </w:r>
      <w:r>
        <w:rPr/>
        <w:t>Report</w:t>
      </w:r>
      <w:r>
        <w:rPr>
          <w:spacing w:val="-1"/>
        </w:rPr>
        <w:t> </w:t>
      </w:r>
      <w:r>
        <w:rPr/>
        <w:t>and</w:t>
      </w:r>
      <w:r>
        <w:rPr>
          <w:spacing w:val="-4"/>
        </w:rPr>
        <w:t> </w:t>
      </w:r>
      <w:r>
        <w:rPr/>
        <w:t>further</w:t>
      </w:r>
      <w:r>
        <w:rPr>
          <w:spacing w:val="-2"/>
        </w:rPr>
        <w:t> </w:t>
      </w:r>
      <w:r>
        <w:rPr/>
        <w:t>consultations</w:t>
      </w:r>
      <w:r>
        <w:rPr>
          <w:spacing w:val="-4"/>
        </w:rPr>
        <w:t> </w:t>
      </w:r>
      <w:r>
        <w:rPr/>
        <w:t>undertaken</w:t>
      </w:r>
      <w:r>
        <w:rPr>
          <w:spacing w:val="-4"/>
        </w:rPr>
        <w:t> </w:t>
      </w:r>
      <w:r>
        <w:rPr/>
        <w:t>by</w:t>
      </w:r>
      <w:r>
        <w:rPr>
          <w:spacing w:val="-4"/>
        </w:rPr>
        <w:t> </w:t>
      </w:r>
      <w:r>
        <w:rPr/>
        <w:t>the</w:t>
      </w:r>
      <w:r>
        <w:rPr>
          <w:spacing w:val="-4"/>
        </w:rPr>
        <w:t> </w:t>
      </w:r>
      <w:r>
        <w:rPr/>
        <w:t>Review have drawn out practical difficulties with the implementation of the draft recommendation as originally presented. In practice, there would be substantial challenges in assembling a suitably equipped independent expert panel with a sufficient understanding of the technical issues in a timely fashion. In addition, the current scheduling of the regulatory requirements involves</w:t>
      </w:r>
    </w:p>
    <w:p>
      <w:pPr>
        <w:spacing w:after="0" w:line="288" w:lineRule="auto"/>
        <w:sectPr>
          <w:pgSz w:w="11910" w:h="16850"/>
          <w:pgMar w:header="220" w:footer="678" w:top="420" w:bottom="860" w:left="900" w:right="840"/>
        </w:sectPr>
      </w:pPr>
    </w:p>
    <w:p>
      <w:pPr>
        <w:pStyle w:val="BodyText"/>
        <w:rPr>
          <w:sz w:val="20"/>
        </w:rPr>
      </w:pPr>
    </w:p>
    <w:p>
      <w:pPr>
        <w:pStyle w:val="BodyText"/>
        <w:spacing w:before="2"/>
        <w:rPr>
          <w:sz w:val="19"/>
        </w:rPr>
      </w:pPr>
    </w:p>
    <w:p>
      <w:pPr>
        <w:pStyle w:val="BodyText"/>
        <w:spacing w:line="288" w:lineRule="auto" w:before="94"/>
        <w:ind w:left="232" w:right="374"/>
      </w:pPr>
      <w:r>
        <w:rPr/>
        <w:t>considerable overlaps between the tranches, and the distribution businesses have advised that planning</w:t>
      </w:r>
      <w:r>
        <w:rPr>
          <w:spacing w:val="-2"/>
        </w:rPr>
        <w:t> </w:t>
      </w:r>
      <w:r>
        <w:rPr/>
        <w:t>for</w:t>
      </w:r>
      <w:r>
        <w:rPr>
          <w:spacing w:val="-3"/>
        </w:rPr>
        <w:t> </w:t>
      </w:r>
      <w:r>
        <w:rPr/>
        <w:t>the</w:t>
      </w:r>
      <w:r>
        <w:rPr>
          <w:spacing w:val="-4"/>
        </w:rPr>
        <w:t> </w:t>
      </w:r>
      <w:r>
        <w:rPr/>
        <w:t>second</w:t>
      </w:r>
      <w:r>
        <w:rPr>
          <w:spacing w:val="-4"/>
        </w:rPr>
        <w:t> </w:t>
      </w:r>
      <w:r>
        <w:rPr/>
        <w:t>tranche</w:t>
      </w:r>
      <w:r>
        <w:rPr>
          <w:spacing w:val="-2"/>
        </w:rPr>
        <w:t> </w:t>
      </w:r>
      <w:r>
        <w:rPr/>
        <w:t>is</w:t>
      </w:r>
      <w:r>
        <w:rPr>
          <w:spacing w:val="-4"/>
        </w:rPr>
        <w:t> </w:t>
      </w:r>
      <w:r>
        <w:rPr/>
        <w:t>already</w:t>
      </w:r>
      <w:r>
        <w:rPr>
          <w:spacing w:val="-4"/>
        </w:rPr>
        <w:t> </w:t>
      </w:r>
      <w:r>
        <w:rPr/>
        <w:t>well</w:t>
      </w:r>
      <w:r>
        <w:rPr>
          <w:spacing w:val="-2"/>
        </w:rPr>
        <w:t> </w:t>
      </w:r>
      <w:r>
        <w:rPr/>
        <w:t>advanced. In</w:t>
      </w:r>
      <w:r>
        <w:rPr>
          <w:spacing w:val="-4"/>
        </w:rPr>
        <w:t> </w:t>
      </w:r>
      <w:r>
        <w:rPr/>
        <w:t>their</w:t>
      </w:r>
      <w:r>
        <w:rPr>
          <w:spacing w:val="-3"/>
        </w:rPr>
        <w:t> </w:t>
      </w:r>
      <w:r>
        <w:rPr/>
        <w:t>submissions</w:t>
      </w:r>
      <w:r>
        <w:rPr>
          <w:spacing w:val="-1"/>
        </w:rPr>
        <w:t> </w:t>
      </w:r>
      <w:r>
        <w:rPr/>
        <w:t>responding</w:t>
      </w:r>
      <w:r>
        <w:rPr>
          <w:spacing w:val="-2"/>
        </w:rPr>
        <w:t> </w:t>
      </w:r>
      <w:r>
        <w:rPr/>
        <w:t>to</w:t>
      </w:r>
      <w:r>
        <w:rPr>
          <w:spacing w:val="-4"/>
        </w:rPr>
        <w:t> </w:t>
      </w:r>
      <w:r>
        <w:rPr/>
        <w:t>the Interim Report, AusNet Services and Powercor have indicated that they consider a full program review could not be completed without 'stopping the clock' on the implementation of the second </w:t>
      </w:r>
      <w:r>
        <w:rPr>
          <w:spacing w:val="-2"/>
        </w:rPr>
        <w:t>tranche.</w:t>
      </w:r>
    </w:p>
    <w:p>
      <w:pPr>
        <w:pStyle w:val="BodyText"/>
        <w:spacing w:before="9"/>
        <w:rPr>
          <w:sz w:val="20"/>
        </w:rPr>
      </w:pPr>
    </w:p>
    <w:p>
      <w:pPr>
        <w:pStyle w:val="BodyText"/>
        <w:spacing w:line="288" w:lineRule="auto"/>
        <w:ind w:left="232" w:right="337"/>
      </w:pPr>
      <w:r>
        <w:rPr/>
        <w:t>While an</w:t>
      </w:r>
      <w:r>
        <w:rPr>
          <w:spacing w:val="-1"/>
        </w:rPr>
        <w:t> </w:t>
      </w:r>
      <w:r>
        <w:rPr/>
        <w:t>independent review</w:t>
      </w:r>
      <w:r>
        <w:rPr>
          <w:spacing w:val="-2"/>
        </w:rPr>
        <w:t> </w:t>
      </w:r>
      <w:r>
        <w:rPr/>
        <w:t>of the</w:t>
      </w:r>
      <w:r>
        <w:rPr>
          <w:spacing w:val="-1"/>
        </w:rPr>
        <w:t> </w:t>
      </w:r>
      <w:r>
        <w:rPr/>
        <w:t>kind originally proposed</w:t>
      </w:r>
      <w:r>
        <w:rPr>
          <w:spacing w:val="-1"/>
        </w:rPr>
        <w:t> </w:t>
      </w:r>
      <w:r>
        <w:rPr/>
        <w:t>in the Review's draft recommendation may not be feasible without substantial delays to the program roll-out, it is important that a careful approach to implementation is taken and that program settings can be adjusted in a measured fashion when justified. This requires consideration around the technical feasibility of the deployment and</w:t>
      </w:r>
      <w:r>
        <w:rPr>
          <w:spacing w:val="-4"/>
        </w:rPr>
        <w:t> </w:t>
      </w:r>
      <w:r>
        <w:rPr/>
        <w:t>the</w:t>
      </w:r>
      <w:r>
        <w:rPr>
          <w:spacing w:val="-2"/>
        </w:rPr>
        <w:t> </w:t>
      </w:r>
      <w:r>
        <w:rPr/>
        <w:t>cost</w:t>
      </w:r>
      <w:r>
        <w:rPr>
          <w:spacing w:val="-3"/>
        </w:rPr>
        <w:t> </w:t>
      </w:r>
      <w:r>
        <w:rPr/>
        <w:t>to</w:t>
      </w:r>
      <w:r>
        <w:rPr>
          <w:spacing w:val="-4"/>
        </w:rPr>
        <w:t> </w:t>
      </w:r>
      <w:r>
        <w:rPr/>
        <w:t>consumers</w:t>
      </w:r>
      <w:r>
        <w:rPr>
          <w:spacing w:val="-3"/>
        </w:rPr>
        <w:t> </w:t>
      </w:r>
      <w:r>
        <w:rPr/>
        <w:t>together</w:t>
      </w:r>
      <w:r>
        <w:rPr>
          <w:spacing w:val="-5"/>
        </w:rPr>
        <w:t> </w:t>
      </w:r>
      <w:r>
        <w:rPr/>
        <w:t>with</w:t>
      </w:r>
      <w:r>
        <w:rPr>
          <w:spacing w:val="-2"/>
        </w:rPr>
        <w:t> </w:t>
      </w:r>
      <w:r>
        <w:rPr/>
        <w:t>core</w:t>
      </w:r>
      <w:r>
        <w:rPr>
          <w:spacing w:val="-4"/>
        </w:rPr>
        <w:t> </w:t>
      </w:r>
      <w:r>
        <w:rPr/>
        <w:t>policy</w:t>
      </w:r>
      <w:r>
        <w:rPr>
          <w:spacing w:val="-4"/>
        </w:rPr>
        <w:t> </w:t>
      </w:r>
      <w:r>
        <w:rPr/>
        <w:t>objectives</w:t>
      </w:r>
      <w:r>
        <w:rPr>
          <w:spacing w:val="-2"/>
        </w:rPr>
        <w:t> </w:t>
      </w:r>
      <w:r>
        <w:rPr/>
        <w:t>to</w:t>
      </w:r>
      <w:r>
        <w:rPr>
          <w:spacing w:val="-4"/>
        </w:rPr>
        <w:t> </w:t>
      </w:r>
      <w:r>
        <w:rPr/>
        <w:t>reduce</w:t>
      </w:r>
      <w:r>
        <w:rPr>
          <w:spacing w:val="-4"/>
        </w:rPr>
        <w:t> </w:t>
      </w:r>
      <w:r>
        <w:rPr/>
        <w:t>bushfire</w:t>
      </w:r>
      <w:r>
        <w:rPr>
          <w:spacing w:val="-4"/>
        </w:rPr>
        <w:t> </w:t>
      </w:r>
      <w:r>
        <w:rPr/>
        <w:t>risks to Victorians as quickly as possible.</w:t>
      </w:r>
    </w:p>
    <w:p>
      <w:pPr>
        <w:pStyle w:val="BodyText"/>
        <w:spacing w:before="10"/>
        <w:rPr>
          <w:sz w:val="20"/>
        </w:rPr>
      </w:pPr>
    </w:p>
    <w:p>
      <w:pPr>
        <w:pStyle w:val="BodyText"/>
        <w:spacing w:line="288" w:lineRule="auto" w:before="1"/>
        <w:ind w:left="232" w:right="374"/>
      </w:pPr>
      <w:r>
        <w:rPr/>
        <w:t>The Review proposes that the current Powerline Bushfire Safety Committee be tasked with preparing annual implementation reports to the Minister for Energy, Environment and Climate Change. The reports should provide information on the costs and risk reduction benefits of the program</w:t>
      </w:r>
      <w:r>
        <w:rPr>
          <w:spacing w:val="-3"/>
        </w:rPr>
        <w:t> </w:t>
      </w:r>
      <w:r>
        <w:rPr/>
        <w:t>in</w:t>
      </w:r>
      <w:r>
        <w:rPr>
          <w:spacing w:val="-4"/>
        </w:rPr>
        <w:t> </w:t>
      </w:r>
      <w:r>
        <w:rPr/>
        <w:t>light</w:t>
      </w:r>
      <w:r>
        <w:rPr>
          <w:spacing w:val="-5"/>
        </w:rPr>
        <w:t> </w:t>
      </w:r>
      <w:r>
        <w:rPr/>
        <w:t>of</w:t>
      </w:r>
      <w:r>
        <w:rPr>
          <w:spacing w:val="-2"/>
        </w:rPr>
        <w:t> </w:t>
      </w:r>
      <w:r>
        <w:rPr/>
        <w:t>practical</w:t>
      </w:r>
      <w:r>
        <w:rPr>
          <w:spacing w:val="-5"/>
        </w:rPr>
        <w:t> </w:t>
      </w:r>
      <w:r>
        <w:rPr/>
        <w:t>implementation</w:t>
      </w:r>
      <w:r>
        <w:rPr>
          <w:spacing w:val="-4"/>
        </w:rPr>
        <w:t> </w:t>
      </w:r>
      <w:r>
        <w:rPr/>
        <w:t>experience,</w:t>
      </w:r>
      <w:r>
        <w:rPr>
          <w:spacing w:val="-3"/>
        </w:rPr>
        <w:t> </w:t>
      </w:r>
      <w:r>
        <w:rPr/>
        <w:t>and</w:t>
      </w:r>
      <w:r>
        <w:rPr>
          <w:spacing w:val="-4"/>
        </w:rPr>
        <w:t> </w:t>
      </w:r>
      <w:r>
        <w:rPr/>
        <w:t>an</w:t>
      </w:r>
      <w:r>
        <w:rPr>
          <w:spacing w:val="-4"/>
        </w:rPr>
        <w:t> </w:t>
      </w:r>
      <w:r>
        <w:rPr/>
        <w:t>assessment</w:t>
      </w:r>
      <w:r>
        <w:rPr>
          <w:spacing w:val="-3"/>
        </w:rPr>
        <w:t> </w:t>
      </w:r>
      <w:r>
        <w:rPr/>
        <w:t>of</w:t>
      </w:r>
      <w:r>
        <w:rPr>
          <w:spacing w:val="-2"/>
        </w:rPr>
        <w:t> </w:t>
      </w:r>
      <w:r>
        <w:rPr/>
        <w:t>emerging</w:t>
      </w:r>
      <w:r>
        <w:rPr>
          <w:spacing w:val="-2"/>
        </w:rPr>
        <w:t> </w:t>
      </w:r>
      <w:r>
        <w:rPr/>
        <w:t>issues that may require adjustments to program timing or technical</w:t>
      </w:r>
      <w:r>
        <w:rPr>
          <w:spacing w:val="-1"/>
        </w:rPr>
        <w:t> </w:t>
      </w:r>
      <w:r>
        <w:rPr/>
        <w:t>requirements (such as exemptions from requirements on certain feeder lines where risks can be</w:t>
      </w:r>
      <w:r>
        <w:rPr>
          <w:spacing w:val="-2"/>
        </w:rPr>
        <w:t> </w:t>
      </w:r>
      <w:r>
        <w:rPr/>
        <w:t>more cost effectively met through alternative mechanisms other than REFCLs).</w:t>
      </w:r>
    </w:p>
    <w:p>
      <w:pPr>
        <w:pStyle w:val="BodyText"/>
        <w:spacing w:before="9"/>
        <w:rPr>
          <w:sz w:val="20"/>
        </w:rPr>
      </w:pPr>
    </w:p>
    <w:p>
      <w:pPr>
        <w:pStyle w:val="BodyText"/>
        <w:spacing w:line="288" w:lineRule="auto"/>
        <w:ind w:left="232" w:right="374"/>
      </w:pPr>
      <w:r>
        <w:rPr/>
        <w:t>The</w:t>
      </w:r>
      <w:r>
        <w:rPr>
          <w:spacing w:val="-7"/>
        </w:rPr>
        <w:t> </w:t>
      </w:r>
      <w:r>
        <w:rPr/>
        <w:t>first</w:t>
      </w:r>
      <w:r>
        <w:rPr>
          <w:spacing w:val="-3"/>
        </w:rPr>
        <w:t> </w:t>
      </w:r>
      <w:r>
        <w:rPr/>
        <w:t>report</w:t>
      </w:r>
      <w:r>
        <w:rPr>
          <w:spacing w:val="-3"/>
        </w:rPr>
        <w:t> </w:t>
      </w:r>
      <w:r>
        <w:rPr/>
        <w:t>should</w:t>
      </w:r>
      <w:r>
        <w:rPr>
          <w:spacing w:val="-2"/>
        </w:rPr>
        <w:t> </w:t>
      </w:r>
      <w:r>
        <w:rPr/>
        <w:t>be</w:t>
      </w:r>
      <w:r>
        <w:rPr>
          <w:spacing w:val="-4"/>
        </w:rPr>
        <w:t> </w:t>
      </w:r>
      <w:r>
        <w:rPr/>
        <w:t>provided</w:t>
      </w:r>
      <w:r>
        <w:rPr>
          <w:spacing w:val="-2"/>
        </w:rPr>
        <w:t> </w:t>
      </w:r>
      <w:r>
        <w:rPr/>
        <w:t>by</w:t>
      </w:r>
      <w:r>
        <w:rPr>
          <w:spacing w:val="-4"/>
        </w:rPr>
        <w:t> </w:t>
      </w:r>
      <w:r>
        <w:rPr/>
        <w:t>May</w:t>
      </w:r>
      <w:r>
        <w:rPr>
          <w:spacing w:val="-4"/>
        </w:rPr>
        <w:t> </w:t>
      </w:r>
      <w:r>
        <w:rPr/>
        <w:t>2018.</w:t>
      </w:r>
      <w:r>
        <w:rPr>
          <w:spacing w:val="-3"/>
        </w:rPr>
        <w:t> </w:t>
      </w:r>
      <w:r>
        <w:rPr/>
        <w:t>While</w:t>
      </w:r>
      <w:r>
        <w:rPr>
          <w:spacing w:val="-2"/>
        </w:rPr>
        <w:t> </w:t>
      </w:r>
      <w:r>
        <w:rPr/>
        <w:t>it</w:t>
      </w:r>
      <w:r>
        <w:rPr>
          <w:spacing w:val="-3"/>
        </w:rPr>
        <w:t> </w:t>
      </w:r>
      <w:r>
        <w:rPr/>
        <w:t>is</w:t>
      </w:r>
      <w:r>
        <w:rPr>
          <w:spacing w:val="-1"/>
        </w:rPr>
        <w:t> </w:t>
      </w:r>
      <w:r>
        <w:rPr/>
        <w:t>expected</w:t>
      </w:r>
      <w:r>
        <w:rPr>
          <w:spacing w:val="-4"/>
        </w:rPr>
        <w:t> </w:t>
      </w:r>
      <w:r>
        <w:rPr/>
        <w:t>that</w:t>
      </w:r>
      <w:r>
        <w:rPr>
          <w:spacing w:val="-3"/>
        </w:rPr>
        <w:t> </w:t>
      </w:r>
      <w:r>
        <w:rPr/>
        <w:t>this</w:t>
      </w:r>
      <w:r>
        <w:rPr>
          <w:spacing w:val="-1"/>
        </w:rPr>
        <w:t> </w:t>
      </w:r>
      <w:r>
        <w:rPr/>
        <w:t>report would</w:t>
      </w:r>
      <w:r>
        <w:rPr>
          <w:spacing w:val="-2"/>
        </w:rPr>
        <w:t> </w:t>
      </w:r>
      <w:r>
        <w:rPr/>
        <w:t>inform implementation of the already commenced first tranche and the forthcoming second tranche, it should not delay the presentation of contingent project applications to the AER.</w:t>
      </w:r>
    </w:p>
    <w:p>
      <w:pPr>
        <w:pStyle w:val="BodyText"/>
        <w:rPr>
          <w:sz w:val="20"/>
        </w:rPr>
      </w:pPr>
    </w:p>
    <w:p>
      <w:pPr>
        <w:pStyle w:val="BodyText"/>
        <w:spacing w:before="2"/>
        <w:rPr>
          <w:sz w:val="25"/>
        </w:rPr>
      </w:pPr>
      <w:r>
        <w:rPr/>
        <mc:AlternateContent>
          <mc:Choice Requires="wps">
            <w:drawing>
              <wp:anchor distT="0" distB="0" distL="0" distR="0" allowOverlap="1" layoutInCell="1" locked="0" behindDoc="1" simplePos="0" relativeHeight="487646208">
                <wp:simplePos x="0" y="0"/>
                <wp:positionH relativeFrom="page">
                  <wp:posOffset>719327</wp:posOffset>
                </wp:positionH>
                <wp:positionV relativeFrom="paragraph">
                  <wp:posOffset>199490</wp:posOffset>
                </wp:positionV>
                <wp:extent cx="5870575" cy="2231390"/>
                <wp:effectExtent l="0" t="0" r="0" b="0"/>
                <wp:wrapTopAndBottom/>
                <wp:docPr id="177" name="Textbox 177"/>
                <wp:cNvGraphicFramePr>
                  <a:graphicFrameLocks/>
                </wp:cNvGraphicFramePr>
                <a:graphic>
                  <a:graphicData uri="http://schemas.microsoft.com/office/word/2010/wordprocessingShape">
                    <wps:wsp>
                      <wps:cNvPr id="177" name="Textbox 177"/>
                      <wps:cNvSpPr txBox="1"/>
                      <wps:spPr>
                        <a:xfrm>
                          <a:off x="0" y="0"/>
                          <a:ext cx="5870575" cy="2231390"/>
                        </a:xfrm>
                        <a:prstGeom prst="rect">
                          <a:avLst/>
                        </a:prstGeom>
                        <a:solidFill>
                          <a:srgbClr val="D9D9D9"/>
                        </a:solidFill>
                      </wps:spPr>
                      <wps:txbx>
                        <w:txbxContent>
                          <w:p>
                            <w:pPr>
                              <w:pStyle w:val="BodyText"/>
                              <w:rPr>
                                <w:color w:val="000000"/>
                                <w:sz w:val="24"/>
                              </w:rPr>
                            </w:pPr>
                          </w:p>
                          <w:p>
                            <w:pPr>
                              <w:spacing w:before="144"/>
                              <w:ind w:left="62" w:right="0" w:firstLine="0"/>
                              <w:jc w:val="left"/>
                              <w:rPr>
                                <w:b/>
                                <w:color w:val="000000"/>
                                <w:sz w:val="22"/>
                              </w:rPr>
                            </w:pPr>
                            <w:r>
                              <w:rPr>
                                <w:b/>
                                <w:color w:val="000000"/>
                                <w:sz w:val="22"/>
                              </w:rPr>
                              <w:t>Recommendation</w:t>
                            </w:r>
                            <w:r>
                              <w:rPr>
                                <w:b/>
                                <w:color w:val="000000"/>
                                <w:spacing w:val="-10"/>
                                <w:sz w:val="22"/>
                              </w:rPr>
                              <w:t> </w:t>
                            </w:r>
                            <w:r>
                              <w:rPr>
                                <w:b/>
                                <w:color w:val="000000"/>
                                <w:spacing w:val="-5"/>
                                <w:sz w:val="22"/>
                              </w:rPr>
                              <w:t>27</w:t>
                            </w:r>
                          </w:p>
                          <w:p>
                            <w:pPr>
                              <w:pStyle w:val="BodyText"/>
                              <w:spacing w:line="288" w:lineRule="auto" w:before="172"/>
                              <w:ind w:left="112" w:right="177"/>
                              <w:rPr>
                                <w:color w:val="000000"/>
                              </w:rPr>
                            </w:pPr>
                            <w:r>
                              <w:rPr>
                                <w:color w:val="000000"/>
                              </w:rPr>
                              <w:t>The mandate of the Powerline Bushfire Safety Committee should be expanded to require it to</w:t>
                            </w:r>
                            <w:r>
                              <w:rPr>
                                <w:color w:val="000000"/>
                                <w:spacing w:val="-3"/>
                              </w:rPr>
                              <w:t> </w:t>
                            </w:r>
                            <w:r>
                              <w:rPr>
                                <w:color w:val="000000"/>
                              </w:rPr>
                              <w:t>provide</w:t>
                            </w:r>
                            <w:r>
                              <w:rPr>
                                <w:color w:val="000000"/>
                                <w:spacing w:val="-3"/>
                              </w:rPr>
                              <w:t> </w:t>
                            </w:r>
                            <w:r>
                              <w:rPr>
                                <w:color w:val="000000"/>
                              </w:rPr>
                              <w:t>annual</w:t>
                            </w:r>
                            <w:r>
                              <w:rPr>
                                <w:color w:val="000000"/>
                                <w:spacing w:val="-4"/>
                              </w:rPr>
                              <w:t> </w:t>
                            </w:r>
                            <w:r>
                              <w:rPr>
                                <w:color w:val="000000"/>
                              </w:rPr>
                              <w:t>implementation</w:t>
                            </w:r>
                            <w:r>
                              <w:rPr>
                                <w:color w:val="000000"/>
                                <w:spacing w:val="-2"/>
                              </w:rPr>
                              <w:t> </w:t>
                            </w:r>
                            <w:r>
                              <w:rPr>
                                <w:color w:val="000000"/>
                              </w:rPr>
                              <w:t>reports</w:t>
                            </w:r>
                            <w:r>
                              <w:rPr>
                                <w:color w:val="000000"/>
                                <w:spacing w:val="-2"/>
                              </w:rPr>
                              <w:t> </w:t>
                            </w:r>
                            <w:r>
                              <w:rPr>
                                <w:color w:val="000000"/>
                              </w:rPr>
                              <w:t>on</w:t>
                            </w:r>
                            <w:r>
                              <w:rPr>
                                <w:color w:val="000000"/>
                                <w:spacing w:val="-5"/>
                              </w:rPr>
                              <w:t> </w:t>
                            </w:r>
                            <w:r>
                              <w:rPr>
                                <w:color w:val="000000"/>
                              </w:rPr>
                              <w:t>the</w:t>
                            </w:r>
                            <w:r>
                              <w:rPr>
                                <w:color w:val="000000"/>
                                <w:spacing w:val="-8"/>
                              </w:rPr>
                              <w:t> </w:t>
                            </w:r>
                            <w:r>
                              <w:rPr>
                                <w:color w:val="000000"/>
                              </w:rPr>
                              <w:t>deployment</w:t>
                            </w:r>
                            <w:r>
                              <w:rPr>
                                <w:color w:val="000000"/>
                                <w:spacing w:val="-1"/>
                              </w:rPr>
                              <w:t> </w:t>
                            </w:r>
                            <w:r>
                              <w:rPr>
                                <w:color w:val="000000"/>
                              </w:rPr>
                              <w:t>of</w:t>
                            </w:r>
                            <w:r>
                              <w:rPr>
                                <w:color w:val="000000"/>
                                <w:spacing w:val="-1"/>
                              </w:rPr>
                              <w:t> </w:t>
                            </w:r>
                            <w:r>
                              <w:rPr>
                                <w:color w:val="000000"/>
                              </w:rPr>
                              <w:t>REFCL</w:t>
                            </w:r>
                            <w:r>
                              <w:rPr>
                                <w:color w:val="000000"/>
                                <w:spacing w:val="-3"/>
                              </w:rPr>
                              <w:t> </w:t>
                            </w:r>
                            <w:r>
                              <w:rPr>
                                <w:color w:val="000000"/>
                              </w:rPr>
                              <w:t>technology</w:t>
                            </w:r>
                            <w:r>
                              <w:rPr>
                                <w:color w:val="000000"/>
                                <w:spacing w:val="-5"/>
                              </w:rPr>
                              <w:t> </w:t>
                            </w:r>
                            <w:r>
                              <w:rPr>
                                <w:color w:val="000000"/>
                              </w:rPr>
                              <w:t>to</w:t>
                            </w:r>
                            <w:r>
                              <w:rPr>
                                <w:color w:val="000000"/>
                                <w:spacing w:val="-2"/>
                              </w:rPr>
                              <w:t> </w:t>
                            </w:r>
                            <w:r>
                              <w:rPr>
                                <w:color w:val="000000"/>
                              </w:rPr>
                              <w:t>satisfy the </w:t>
                            </w:r>
                            <w:r>
                              <w:rPr>
                                <w:i/>
                                <w:color w:val="000000"/>
                              </w:rPr>
                              <w:t>Electricity Safety (Bushfire Mitigation) Regulations 2013</w:t>
                            </w:r>
                            <w:r>
                              <w:rPr>
                                <w:color w:val="000000"/>
                              </w:rPr>
                              <w:t>. The implementation reports should include information on the costs and risk reduction benefits in light of actual experience, and an assessment of emerging issues that may require adjustments to program timing or technical requirements. The first report should be provided through the Director of Energy Safety to the Minister for Energy, Environment and Climate Change by May 2018.</w:t>
                            </w:r>
                          </w:p>
                        </w:txbxContent>
                      </wps:txbx>
                      <wps:bodyPr wrap="square" lIns="0" tIns="0" rIns="0" bIns="0" rtlCol="0">
                        <a:noAutofit/>
                      </wps:bodyPr>
                    </wps:wsp>
                  </a:graphicData>
                </a:graphic>
              </wp:anchor>
            </w:drawing>
          </mc:Choice>
          <mc:Fallback>
            <w:pict>
              <v:shape style="position:absolute;margin-left:56.639999pt;margin-top:15.707881pt;width:462.25pt;height:175.7pt;mso-position-horizontal-relative:page;mso-position-vertical-relative:paragraph;z-index:-15670272;mso-wrap-distance-left:0;mso-wrap-distance-right:0" type="#_x0000_t202" id="docshape156" filled="true" fillcolor="#d9d9d9" stroked="false">
                <v:textbox inset="0,0,0,0">
                  <w:txbxContent>
                    <w:p>
                      <w:pPr>
                        <w:pStyle w:val="BodyText"/>
                        <w:rPr>
                          <w:color w:val="000000"/>
                          <w:sz w:val="24"/>
                        </w:rPr>
                      </w:pPr>
                    </w:p>
                    <w:p>
                      <w:pPr>
                        <w:spacing w:before="144"/>
                        <w:ind w:left="62" w:right="0" w:firstLine="0"/>
                        <w:jc w:val="left"/>
                        <w:rPr>
                          <w:b/>
                          <w:color w:val="000000"/>
                          <w:sz w:val="22"/>
                        </w:rPr>
                      </w:pPr>
                      <w:r>
                        <w:rPr>
                          <w:b/>
                          <w:color w:val="000000"/>
                          <w:sz w:val="22"/>
                        </w:rPr>
                        <w:t>Recommendation</w:t>
                      </w:r>
                      <w:r>
                        <w:rPr>
                          <w:b/>
                          <w:color w:val="000000"/>
                          <w:spacing w:val="-10"/>
                          <w:sz w:val="22"/>
                        </w:rPr>
                        <w:t> </w:t>
                      </w:r>
                      <w:r>
                        <w:rPr>
                          <w:b/>
                          <w:color w:val="000000"/>
                          <w:spacing w:val="-5"/>
                          <w:sz w:val="22"/>
                        </w:rPr>
                        <w:t>27</w:t>
                      </w:r>
                    </w:p>
                    <w:p>
                      <w:pPr>
                        <w:pStyle w:val="BodyText"/>
                        <w:spacing w:line="288" w:lineRule="auto" w:before="172"/>
                        <w:ind w:left="112" w:right="177"/>
                        <w:rPr>
                          <w:color w:val="000000"/>
                        </w:rPr>
                      </w:pPr>
                      <w:r>
                        <w:rPr>
                          <w:color w:val="000000"/>
                        </w:rPr>
                        <w:t>The mandate of the Powerline Bushfire Safety Committee should be expanded to require it to</w:t>
                      </w:r>
                      <w:r>
                        <w:rPr>
                          <w:color w:val="000000"/>
                          <w:spacing w:val="-3"/>
                        </w:rPr>
                        <w:t> </w:t>
                      </w:r>
                      <w:r>
                        <w:rPr>
                          <w:color w:val="000000"/>
                        </w:rPr>
                        <w:t>provide</w:t>
                      </w:r>
                      <w:r>
                        <w:rPr>
                          <w:color w:val="000000"/>
                          <w:spacing w:val="-3"/>
                        </w:rPr>
                        <w:t> </w:t>
                      </w:r>
                      <w:r>
                        <w:rPr>
                          <w:color w:val="000000"/>
                        </w:rPr>
                        <w:t>annual</w:t>
                      </w:r>
                      <w:r>
                        <w:rPr>
                          <w:color w:val="000000"/>
                          <w:spacing w:val="-4"/>
                        </w:rPr>
                        <w:t> </w:t>
                      </w:r>
                      <w:r>
                        <w:rPr>
                          <w:color w:val="000000"/>
                        </w:rPr>
                        <w:t>implementation</w:t>
                      </w:r>
                      <w:r>
                        <w:rPr>
                          <w:color w:val="000000"/>
                          <w:spacing w:val="-2"/>
                        </w:rPr>
                        <w:t> </w:t>
                      </w:r>
                      <w:r>
                        <w:rPr>
                          <w:color w:val="000000"/>
                        </w:rPr>
                        <w:t>reports</w:t>
                      </w:r>
                      <w:r>
                        <w:rPr>
                          <w:color w:val="000000"/>
                          <w:spacing w:val="-2"/>
                        </w:rPr>
                        <w:t> </w:t>
                      </w:r>
                      <w:r>
                        <w:rPr>
                          <w:color w:val="000000"/>
                        </w:rPr>
                        <w:t>on</w:t>
                      </w:r>
                      <w:r>
                        <w:rPr>
                          <w:color w:val="000000"/>
                          <w:spacing w:val="-5"/>
                        </w:rPr>
                        <w:t> </w:t>
                      </w:r>
                      <w:r>
                        <w:rPr>
                          <w:color w:val="000000"/>
                        </w:rPr>
                        <w:t>the</w:t>
                      </w:r>
                      <w:r>
                        <w:rPr>
                          <w:color w:val="000000"/>
                          <w:spacing w:val="-8"/>
                        </w:rPr>
                        <w:t> </w:t>
                      </w:r>
                      <w:r>
                        <w:rPr>
                          <w:color w:val="000000"/>
                        </w:rPr>
                        <w:t>deployment</w:t>
                      </w:r>
                      <w:r>
                        <w:rPr>
                          <w:color w:val="000000"/>
                          <w:spacing w:val="-1"/>
                        </w:rPr>
                        <w:t> </w:t>
                      </w:r>
                      <w:r>
                        <w:rPr>
                          <w:color w:val="000000"/>
                        </w:rPr>
                        <w:t>of</w:t>
                      </w:r>
                      <w:r>
                        <w:rPr>
                          <w:color w:val="000000"/>
                          <w:spacing w:val="-1"/>
                        </w:rPr>
                        <w:t> </w:t>
                      </w:r>
                      <w:r>
                        <w:rPr>
                          <w:color w:val="000000"/>
                        </w:rPr>
                        <w:t>REFCL</w:t>
                      </w:r>
                      <w:r>
                        <w:rPr>
                          <w:color w:val="000000"/>
                          <w:spacing w:val="-3"/>
                        </w:rPr>
                        <w:t> </w:t>
                      </w:r>
                      <w:r>
                        <w:rPr>
                          <w:color w:val="000000"/>
                        </w:rPr>
                        <w:t>technology</w:t>
                      </w:r>
                      <w:r>
                        <w:rPr>
                          <w:color w:val="000000"/>
                          <w:spacing w:val="-5"/>
                        </w:rPr>
                        <w:t> </w:t>
                      </w:r>
                      <w:r>
                        <w:rPr>
                          <w:color w:val="000000"/>
                        </w:rPr>
                        <w:t>to</w:t>
                      </w:r>
                      <w:r>
                        <w:rPr>
                          <w:color w:val="000000"/>
                          <w:spacing w:val="-2"/>
                        </w:rPr>
                        <w:t> </w:t>
                      </w:r>
                      <w:r>
                        <w:rPr>
                          <w:color w:val="000000"/>
                        </w:rPr>
                        <w:t>satisfy the </w:t>
                      </w:r>
                      <w:r>
                        <w:rPr>
                          <w:i/>
                          <w:color w:val="000000"/>
                        </w:rPr>
                        <w:t>Electricity Safety (Bushfire Mitigation) Regulations 2013</w:t>
                      </w:r>
                      <w:r>
                        <w:rPr>
                          <w:color w:val="000000"/>
                        </w:rPr>
                        <w:t>. The implementation reports should include information on the costs and risk reduction benefits in light of actual experience, and an assessment of emerging issues that may require adjustments to program timing or technical requirements. The first report should be provided through the Director of Energy Safety to the Minister for Energy, Environment and Climate Change by May 2018.</w:t>
                      </w:r>
                    </w:p>
                  </w:txbxContent>
                </v:textbox>
                <v:fill type="solid"/>
                <w10:wrap type="topAndBottom"/>
              </v:shape>
            </w:pict>
          </mc:Fallback>
        </mc:AlternateContent>
      </w:r>
    </w:p>
    <w:p>
      <w:pPr>
        <w:pStyle w:val="BodyText"/>
        <w:rPr>
          <w:sz w:val="20"/>
        </w:rPr>
      </w:pPr>
    </w:p>
    <w:p>
      <w:pPr>
        <w:pStyle w:val="BodyText"/>
        <w:spacing w:before="1"/>
        <w:rPr>
          <w:sz w:val="25"/>
        </w:rPr>
      </w:pPr>
      <w:r>
        <w:rPr/>
        <mc:AlternateContent>
          <mc:Choice Requires="wps">
            <w:drawing>
              <wp:anchor distT="0" distB="0" distL="0" distR="0" allowOverlap="1" layoutInCell="1" locked="0" behindDoc="1" simplePos="0" relativeHeight="487646720">
                <wp:simplePos x="0" y="0"/>
                <wp:positionH relativeFrom="page">
                  <wp:posOffset>719327</wp:posOffset>
                </wp:positionH>
                <wp:positionV relativeFrom="paragraph">
                  <wp:posOffset>198421</wp:posOffset>
                </wp:positionV>
                <wp:extent cx="5870575" cy="1460500"/>
                <wp:effectExtent l="0" t="0" r="0" b="0"/>
                <wp:wrapTopAndBottom/>
                <wp:docPr id="178" name="Textbox 178"/>
                <wp:cNvGraphicFramePr>
                  <a:graphicFrameLocks/>
                </wp:cNvGraphicFramePr>
                <a:graphic>
                  <a:graphicData uri="http://schemas.microsoft.com/office/word/2010/wordprocessingShape">
                    <wps:wsp>
                      <wps:cNvPr id="178" name="Textbox 178"/>
                      <wps:cNvSpPr txBox="1"/>
                      <wps:spPr>
                        <a:xfrm>
                          <a:off x="0" y="0"/>
                          <a:ext cx="5870575" cy="1460500"/>
                        </a:xfrm>
                        <a:prstGeom prst="rect">
                          <a:avLst/>
                        </a:prstGeom>
                        <a:solidFill>
                          <a:srgbClr val="D9D9D9"/>
                        </a:solidFill>
                      </wps:spPr>
                      <wps:txbx>
                        <w:txbxContent>
                          <w:p>
                            <w:pPr>
                              <w:pStyle w:val="BodyText"/>
                              <w:rPr>
                                <w:color w:val="000000"/>
                                <w:sz w:val="24"/>
                              </w:rPr>
                            </w:pPr>
                          </w:p>
                          <w:p>
                            <w:pPr>
                              <w:spacing w:before="144"/>
                              <w:ind w:left="62" w:right="0" w:firstLine="0"/>
                              <w:jc w:val="left"/>
                              <w:rPr>
                                <w:b/>
                                <w:color w:val="000000"/>
                                <w:sz w:val="22"/>
                              </w:rPr>
                            </w:pPr>
                            <w:r>
                              <w:rPr>
                                <w:b/>
                                <w:color w:val="000000"/>
                                <w:sz w:val="22"/>
                              </w:rPr>
                              <w:t>Recommendation</w:t>
                            </w:r>
                            <w:r>
                              <w:rPr>
                                <w:b/>
                                <w:color w:val="000000"/>
                                <w:spacing w:val="-9"/>
                                <w:sz w:val="22"/>
                              </w:rPr>
                              <w:t> </w:t>
                            </w:r>
                            <w:r>
                              <w:rPr>
                                <w:b/>
                                <w:color w:val="000000"/>
                                <w:spacing w:val="-5"/>
                                <w:sz w:val="22"/>
                              </w:rPr>
                              <w:t>28</w:t>
                            </w:r>
                          </w:p>
                          <w:p>
                            <w:pPr>
                              <w:pStyle w:val="BodyText"/>
                              <w:spacing w:line="288" w:lineRule="auto" w:before="172"/>
                              <w:ind w:left="112"/>
                              <w:rPr>
                                <w:i/>
                                <w:color w:val="000000"/>
                              </w:rPr>
                            </w:pPr>
                            <w:r>
                              <w:rPr>
                                <w:color w:val="000000"/>
                              </w:rPr>
                              <w:t>ESV should continue to work closely with distribution businesses, and with the assistance of the</w:t>
                            </w:r>
                            <w:r>
                              <w:rPr>
                                <w:color w:val="000000"/>
                                <w:spacing w:val="-3"/>
                              </w:rPr>
                              <w:t> </w:t>
                            </w:r>
                            <w:r>
                              <w:rPr>
                                <w:color w:val="000000"/>
                              </w:rPr>
                              <w:t>Powerline</w:t>
                            </w:r>
                            <w:r>
                              <w:rPr>
                                <w:color w:val="000000"/>
                                <w:spacing w:val="-3"/>
                              </w:rPr>
                              <w:t> </w:t>
                            </w:r>
                            <w:r>
                              <w:rPr>
                                <w:color w:val="000000"/>
                              </w:rPr>
                              <w:t>Bushfire</w:t>
                            </w:r>
                            <w:r>
                              <w:rPr>
                                <w:color w:val="000000"/>
                                <w:spacing w:val="-3"/>
                              </w:rPr>
                              <w:t> </w:t>
                            </w:r>
                            <w:r>
                              <w:rPr>
                                <w:color w:val="000000"/>
                              </w:rPr>
                              <w:t>Safety</w:t>
                            </w:r>
                            <w:r>
                              <w:rPr>
                                <w:color w:val="000000"/>
                                <w:spacing w:val="-4"/>
                              </w:rPr>
                              <w:t> </w:t>
                            </w:r>
                            <w:r>
                              <w:rPr>
                                <w:color w:val="000000"/>
                              </w:rPr>
                              <w:t>Committee,</w:t>
                            </w:r>
                            <w:r>
                              <w:rPr>
                                <w:color w:val="000000"/>
                                <w:spacing w:val="-4"/>
                              </w:rPr>
                              <w:t> </w:t>
                            </w:r>
                            <w:r>
                              <w:rPr>
                                <w:color w:val="000000"/>
                              </w:rPr>
                              <w:t>to</w:t>
                            </w:r>
                            <w:r>
                              <w:rPr>
                                <w:color w:val="000000"/>
                                <w:spacing w:val="-5"/>
                              </w:rPr>
                              <w:t> </w:t>
                            </w:r>
                            <w:r>
                              <w:rPr>
                                <w:color w:val="000000"/>
                              </w:rPr>
                              <w:t>provide</w:t>
                            </w:r>
                            <w:r>
                              <w:rPr>
                                <w:color w:val="000000"/>
                                <w:spacing w:val="-3"/>
                              </w:rPr>
                              <w:t> </w:t>
                            </w:r>
                            <w:r>
                              <w:rPr>
                                <w:color w:val="000000"/>
                              </w:rPr>
                              <w:t>timely</w:t>
                            </w:r>
                            <w:r>
                              <w:rPr>
                                <w:color w:val="000000"/>
                                <w:spacing w:val="-5"/>
                              </w:rPr>
                              <w:t> </w:t>
                            </w:r>
                            <w:r>
                              <w:rPr>
                                <w:color w:val="000000"/>
                              </w:rPr>
                              <w:t>advice</w:t>
                            </w:r>
                            <w:r>
                              <w:rPr>
                                <w:color w:val="000000"/>
                                <w:spacing w:val="-3"/>
                              </w:rPr>
                              <w:t> </w:t>
                            </w:r>
                            <w:r>
                              <w:rPr>
                                <w:color w:val="000000"/>
                              </w:rPr>
                              <w:t>to</w:t>
                            </w:r>
                            <w:r>
                              <w:rPr>
                                <w:color w:val="000000"/>
                                <w:spacing w:val="-5"/>
                              </w:rPr>
                              <w:t> </w:t>
                            </w:r>
                            <w:r>
                              <w:rPr>
                                <w:color w:val="000000"/>
                              </w:rPr>
                              <w:t>the</w:t>
                            </w:r>
                            <w:r>
                              <w:rPr>
                                <w:color w:val="000000"/>
                                <w:spacing w:val="-3"/>
                              </w:rPr>
                              <w:t> </w:t>
                            </w:r>
                            <w:r>
                              <w:rPr>
                                <w:color w:val="000000"/>
                              </w:rPr>
                              <w:t>Minister</w:t>
                            </w:r>
                            <w:r>
                              <w:rPr>
                                <w:color w:val="000000"/>
                                <w:spacing w:val="-4"/>
                              </w:rPr>
                              <w:t> </w:t>
                            </w:r>
                            <w:r>
                              <w:rPr>
                                <w:color w:val="000000"/>
                              </w:rPr>
                              <w:t>for</w:t>
                            </w:r>
                            <w:r>
                              <w:rPr>
                                <w:color w:val="000000"/>
                                <w:spacing w:val="-4"/>
                              </w:rPr>
                              <w:t> </w:t>
                            </w:r>
                            <w:r>
                              <w:rPr>
                                <w:color w:val="000000"/>
                              </w:rPr>
                              <w:t>Energy, Environment and Climate Change on the need for any exemptions from the performance standards contained in the </w:t>
                            </w:r>
                            <w:r>
                              <w:rPr>
                                <w:i/>
                                <w:color w:val="000000"/>
                              </w:rPr>
                              <w:t>Electricity Safety (Bushfire Mitigation) Regulations 2013.</w:t>
                            </w:r>
                          </w:p>
                        </w:txbxContent>
                      </wps:txbx>
                      <wps:bodyPr wrap="square" lIns="0" tIns="0" rIns="0" bIns="0" rtlCol="0">
                        <a:noAutofit/>
                      </wps:bodyPr>
                    </wps:wsp>
                  </a:graphicData>
                </a:graphic>
              </wp:anchor>
            </w:drawing>
          </mc:Choice>
          <mc:Fallback>
            <w:pict>
              <v:shape style="position:absolute;margin-left:56.639999pt;margin-top:15.623779pt;width:462.25pt;height:115pt;mso-position-horizontal-relative:page;mso-position-vertical-relative:paragraph;z-index:-15669760;mso-wrap-distance-left:0;mso-wrap-distance-right:0" type="#_x0000_t202" id="docshape157" filled="true" fillcolor="#d9d9d9" stroked="false">
                <v:textbox inset="0,0,0,0">
                  <w:txbxContent>
                    <w:p>
                      <w:pPr>
                        <w:pStyle w:val="BodyText"/>
                        <w:rPr>
                          <w:color w:val="000000"/>
                          <w:sz w:val="24"/>
                        </w:rPr>
                      </w:pPr>
                    </w:p>
                    <w:p>
                      <w:pPr>
                        <w:spacing w:before="144"/>
                        <w:ind w:left="62" w:right="0" w:firstLine="0"/>
                        <w:jc w:val="left"/>
                        <w:rPr>
                          <w:b/>
                          <w:color w:val="000000"/>
                          <w:sz w:val="22"/>
                        </w:rPr>
                      </w:pPr>
                      <w:r>
                        <w:rPr>
                          <w:b/>
                          <w:color w:val="000000"/>
                          <w:sz w:val="22"/>
                        </w:rPr>
                        <w:t>Recommendation</w:t>
                      </w:r>
                      <w:r>
                        <w:rPr>
                          <w:b/>
                          <w:color w:val="000000"/>
                          <w:spacing w:val="-9"/>
                          <w:sz w:val="22"/>
                        </w:rPr>
                        <w:t> </w:t>
                      </w:r>
                      <w:r>
                        <w:rPr>
                          <w:b/>
                          <w:color w:val="000000"/>
                          <w:spacing w:val="-5"/>
                          <w:sz w:val="22"/>
                        </w:rPr>
                        <w:t>28</w:t>
                      </w:r>
                    </w:p>
                    <w:p>
                      <w:pPr>
                        <w:pStyle w:val="BodyText"/>
                        <w:spacing w:line="288" w:lineRule="auto" w:before="172"/>
                        <w:ind w:left="112"/>
                        <w:rPr>
                          <w:i/>
                          <w:color w:val="000000"/>
                        </w:rPr>
                      </w:pPr>
                      <w:r>
                        <w:rPr>
                          <w:color w:val="000000"/>
                        </w:rPr>
                        <w:t>ESV should continue to work closely with distribution businesses, and with the assistance of the</w:t>
                      </w:r>
                      <w:r>
                        <w:rPr>
                          <w:color w:val="000000"/>
                          <w:spacing w:val="-3"/>
                        </w:rPr>
                        <w:t> </w:t>
                      </w:r>
                      <w:r>
                        <w:rPr>
                          <w:color w:val="000000"/>
                        </w:rPr>
                        <w:t>Powerline</w:t>
                      </w:r>
                      <w:r>
                        <w:rPr>
                          <w:color w:val="000000"/>
                          <w:spacing w:val="-3"/>
                        </w:rPr>
                        <w:t> </w:t>
                      </w:r>
                      <w:r>
                        <w:rPr>
                          <w:color w:val="000000"/>
                        </w:rPr>
                        <w:t>Bushfire</w:t>
                      </w:r>
                      <w:r>
                        <w:rPr>
                          <w:color w:val="000000"/>
                          <w:spacing w:val="-3"/>
                        </w:rPr>
                        <w:t> </w:t>
                      </w:r>
                      <w:r>
                        <w:rPr>
                          <w:color w:val="000000"/>
                        </w:rPr>
                        <w:t>Safety</w:t>
                      </w:r>
                      <w:r>
                        <w:rPr>
                          <w:color w:val="000000"/>
                          <w:spacing w:val="-4"/>
                        </w:rPr>
                        <w:t> </w:t>
                      </w:r>
                      <w:r>
                        <w:rPr>
                          <w:color w:val="000000"/>
                        </w:rPr>
                        <w:t>Committee,</w:t>
                      </w:r>
                      <w:r>
                        <w:rPr>
                          <w:color w:val="000000"/>
                          <w:spacing w:val="-4"/>
                        </w:rPr>
                        <w:t> </w:t>
                      </w:r>
                      <w:r>
                        <w:rPr>
                          <w:color w:val="000000"/>
                        </w:rPr>
                        <w:t>to</w:t>
                      </w:r>
                      <w:r>
                        <w:rPr>
                          <w:color w:val="000000"/>
                          <w:spacing w:val="-5"/>
                        </w:rPr>
                        <w:t> </w:t>
                      </w:r>
                      <w:r>
                        <w:rPr>
                          <w:color w:val="000000"/>
                        </w:rPr>
                        <w:t>provide</w:t>
                      </w:r>
                      <w:r>
                        <w:rPr>
                          <w:color w:val="000000"/>
                          <w:spacing w:val="-3"/>
                        </w:rPr>
                        <w:t> </w:t>
                      </w:r>
                      <w:r>
                        <w:rPr>
                          <w:color w:val="000000"/>
                        </w:rPr>
                        <w:t>timely</w:t>
                      </w:r>
                      <w:r>
                        <w:rPr>
                          <w:color w:val="000000"/>
                          <w:spacing w:val="-5"/>
                        </w:rPr>
                        <w:t> </w:t>
                      </w:r>
                      <w:r>
                        <w:rPr>
                          <w:color w:val="000000"/>
                        </w:rPr>
                        <w:t>advice</w:t>
                      </w:r>
                      <w:r>
                        <w:rPr>
                          <w:color w:val="000000"/>
                          <w:spacing w:val="-3"/>
                        </w:rPr>
                        <w:t> </w:t>
                      </w:r>
                      <w:r>
                        <w:rPr>
                          <w:color w:val="000000"/>
                        </w:rPr>
                        <w:t>to</w:t>
                      </w:r>
                      <w:r>
                        <w:rPr>
                          <w:color w:val="000000"/>
                          <w:spacing w:val="-5"/>
                        </w:rPr>
                        <w:t> </w:t>
                      </w:r>
                      <w:r>
                        <w:rPr>
                          <w:color w:val="000000"/>
                        </w:rPr>
                        <w:t>the</w:t>
                      </w:r>
                      <w:r>
                        <w:rPr>
                          <w:color w:val="000000"/>
                          <w:spacing w:val="-3"/>
                        </w:rPr>
                        <w:t> </w:t>
                      </w:r>
                      <w:r>
                        <w:rPr>
                          <w:color w:val="000000"/>
                        </w:rPr>
                        <w:t>Minister</w:t>
                      </w:r>
                      <w:r>
                        <w:rPr>
                          <w:color w:val="000000"/>
                          <w:spacing w:val="-4"/>
                        </w:rPr>
                        <w:t> </w:t>
                      </w:r>
                      <w:r>
                        <w:rPr>
                          <w:color w:val="000000"/>
                        </w:rPr>
                        <w:t>for</w:t>
                      </w:r>
                      <w:r>
                        <w:rPr>
                          <w:color w:val="000000"/>
                          <w:spacing w:val="-4"/>
                        </w:rPr>
                        <w:t> </w:t>
                      </w:r>
                      <w:r>
                        <w:rPr>
                          <w:color w:val="000000"/>
                        </w:rPr>
                        <w:t>Energy, Environment and Climate Change on the need for any exemptions from the performance standards contained in the </w:t>
                      </w:r>
                      <w:r>
                        <w:rPr>
                          <w:i/>
                          <w:color w:val="000000"/>
                        </w:rPr>
                        <w:t>Electricity Safety (Bushfire Mitigation) Regulations 2013.</w:t>
                      </w:r>
                    </w:p>
                  </w:txbxContent>
                </v:textbox>
                <v:fill type="solid"/>
                <w10:wrap type="topAndBottom"/>
              </v:shape>
            </w:pict>
          </mc:Fallback>
        </mc:AlternateContent>
      </w:r>
    </w:p>
    <w:p>
      <w:pPr>
        <w:spacing w:after="0"/>
        <w:rPr>
          <w:sz w:val="25"/>
        </w:rPr>
        <w:sectPr>
          <w:pgSz w:w="11910" w:h="16850"/>
          <w:pgMar w:header="220" w:footer="678" w:top="420" w:bottom="860" w:left="900" w:right="840"/>
        </w:sectPr>
      </w:pPr>
    </w:p>
    <w:p>
      <w:pPr>
        <w:pStyle w:val="BodyText"/>
        <w:rPr>
          <w:sz w:val="20"/>
        </w:rPr>
      </w:pPr>
    </w:p>
    <w:p>
      <w:pPr>
        <w:pStyle w:val="BodyText"/>
        <w:spacing w:before="7"/>
        <w:rPr>
          <w:sz w:val="19"/>
        </w:rPr>
      </w:pPr>
    </w:p>
    <w:p>
      <w:pPr>
        <w:spacing w:before="89"/>
        <w:ind w:left="232" w:right="0" w:firstLine="0"/>
        <w:jc w:val="left"/>
        <w:rPr>
          <w:rFonts w:ascii="Arial-BoldItalicMT"/>
          <w:b/>
          <w:i/>
          <w:sz w:val="32"/>
        </w:rPr>
      </w:pPr>
      <w:r>
        <w:rPr>
          <w:b/>
          <w:color w:val="585858"/>
          <w:sz w:val="32"/>
        </w:rPr>
        <w:t>Inconsistencies</w:t>
      </w:r>
      <w:r>
        <w:rPr>
          <w:b/>
          <w:color w:val="585858"/>
          <w:spacing w:val="-15"/>
          <w:sz w:val="32"/>
        </w:rPr>
        <w:t> </w:t>
      </w:r>
      <w:r>
        <w:rPr>
          <w:b/>
          <w:color w:val="585858"/>
          <w:sz w:val="32"/>
        </w:rPr>
        <w:t>with</w:t>
      </w:r>
      <w:r>
        <w:rPr>
          <w:b/>
          <w:color w:val="585858"/>
          <w:spacing w:val="-16"/>
          <w:sz w:val="32"/>
        </w:rPr>
        <w:t> </w:t>
      </w:r>
      <w:r>
        <w:rPr>
          <w:b/>
          <w:color w:val="585858"/>
          <w:sz w:val="32"/>
        </w:rPr>
        <w:t>the</w:t>
      </w:r>
      <w:r>
        <w:rPr>
          <w:b/>
          <w:color w:val="585858"/>
          <w:spacing w:val="-15"/>
          <w:sz w:val="32"/>
        </w:rPr>
        <w:t> </w:t>
      </w:r>
      <w:r>
        <w:rPr>
          <w:rFonts w:ascii="Arial-BoldItalicMT"/>
          <w:b/>
          <w:i/>
          <w:color w:val="585858"/>
          <w:sz w:val="32"/>
        </w:rPr>
        <w:t>Electricity</w:t>
      </w:r>
      <w:r>
        <w:rPr>
          <w:rFonts w:ascii="Arial-BoldItalicMT"/>
          <w:b/>
          <w:i/>
          <w:color w:val="585858"/>
          <w:spacing w:val="-15"/>
          <w:sz w:val="32"/>
        </w:rPr>
        <w:t> </w:t>
      </w:r>
      <w:r>
        <w:rPr>
          <w:rFonts w:ascii="Arial-BoldItalicMT"/>
          <w:b/>
          <w:i/>
          <w:color w:val="585858"/>
          <w:sz w:val="32"/>
        </w:rPr>
        <w:t>Distribution</w:t>
      </w:r>
      <w:r>
        <w:rPr>
          <w:rFonts w:ascii="Arial-BoldItalicMT"/>
          <w:b/>
          <w:i/>
          <w:color w:val="585858"/>
          <w:spacing w:val="-14"/>
          <w:sz w:val="32"/>
        </w:rPr>
        <w:t> </w:t>
      </w:r>
      <w:r>
        <w:rPr>
          <w:rFonts w:ascii="Arial-BoldItalicMT"/>
          <w:b/>
          <w:i/>
          <w:color w:val="585858"/>
          <w:spacing w:val="-4"/>
          <w:sz w:val="32"/>
        </w:rPr>
        <w:t>Code</w:t>
      </w:r>
    </w:p>
    <w:p>
      <w:pPr>
        <w:spacing w:line="288" w:lineRule="auto" w:before="314"/>
        <w:ind w:left="232" w:right="320" w:firstLine="0"/>
        <w:jc w:val="left"/>
        <w:rPr>
          <w:i/>
          <w:sz w:val="22"/>
        </w:rPr>
      </w:pPr>
      <w:r>
        <w:rPr>
          <w:sz w:val="22"/>
        </w:rPr>
        <w:t>A number of submissions to the Review have raised concerns that the requirements of the </w:t>
      </w:r>
      <w:r>
        <w:rPr>
          <w:i/>
          <w:sz w:val="22"/>
        </w:rPr>
        <w:t>Electricity</w:t>
      </w:r>
      <w:r>
        <w:rPr>
          <w:i/>
          <w:spacing w:val="-2"/>
          <w:sz w:val="22"/>
        </w:rPr>
        <w:t> </w:t>
      </w:r>
      <w:r>
        <w:rPr>
          <w:i/>
          <w:sz w:val="22"/>
        </w:rPr>
        <w:t>Safety</w:t>
      </w:r>
      <w:r>
        <w:rPr>
          <w:i/>
          <w:spacing w:val="-4"/>
          <w:sz w:val="22"/>
        </w:rPr>
        <w:t> </w:t>
      </w:r>
      <w:r>
        <w:rPr>
          <w:i/>
          <w:sz w:val="22"/>
        </w:rPr>
        <w:t>(Bushfire</w:t>
      </w:r>
      <w:r>
        <w:rPr>
          <w:i/>
          <w:spacing w:val="-3"/>
          <w:sz w:val="22"/>
        </w:rPr>
        <w:t> </w:t>
      </w:r>
      <w:r>
        <w:rPr>
          <w:i/>
          <w:sz w:val="22"/>
        </w:rPr>
        <w:t>Mitigation)</w:t>
      </w:r>
      <w:r>
        <w:rPr>
          <w:i/>
          <w:spacing w:val="-2"/>
          <w:sz w:val="22"/>
        </w:rPr>
        <w:t> </w:t>
      </w:r>
      <w:r>
        <w:rPr>
          <w:i/>
          <w:sz w:val="22"/>
        </w:rPr>
        <w:t>Regulations</w:t>
      </w:r>
      <w:r>
        <w:rPr>
          <w:i/>
          <w:spacing w:val="-2"/>
          <w:sz w:val="22"/>
        </w:rPr>
        <w:t> </w:t>
      </w:r>
      <w:r>
        <w:rPr>
          <w:i/>
          <w:sz w:val="22"/>
        </w:rPr>
        <w:t>2013</w:t>
      </w:r>
      <w:r>
        <w:rPr>
          <w:sz w:val="22"/>
        </w:rPr>
        <w:t>,</w:t>
      </w:r>
      <w:r>
        <w:rPr>
          <w:spacing w:val="-4"/>
          <w:sz w:val="22"/>
        </w:rPr>
        <w:t> </w:t>
      </w:r>
      <w:r>
        <w:rPr>
          <w:sz w:val="22"/>
        </w:rPr>
        <w:t>which</w:t>
      </w:r>
      <w:r>
        <w:rPr>
          <w:spacing w:val="-3"/>
          <w:sz w:val="22"/>
        </w:rPr>
        <w:t> </w:t>
      </w:r>
      <w:r>
        <w:rPr>
          <w:sz w:val="22"/>
        </w:rPr>
        <w:t>effectively</w:t>
      </w:r>
      <w:r>
        <w:rPr>
          <w:spacing w:val="-5"/>
          <w:sz w:val="22"/>
        </w:rPr>
        <w:t> </w:t>
      </w:r>
      <w:r>
        <w:rPr>
          <w:sz w:val="22"/>
        </w:rPr>
        <w:t>mandate</w:t>
      </w:r>
      <w:r>
        <w:rPr>
          <w:spacing w:val="-5"/>
          <w:sz w:val="22"/>
        </w:rPr>
        <w:t> </w:t>
      </w:r>
      <w:r>
        <w:rPr>
          <w:sz w:val="22"/>
        </w:rPr>
        <w:t>the</w:t>
      </w:r>
      <w:r>
        <w:rPr>
          <w:spacing w:val="-5"/>
          <w:sz w:val="22"/>
        </w:rPr>
        <w:t> </w:t>
      </w:r>
      <w:r>
        <w:rPr>
          <w:sz w:val="22"/>
        </w:rPr>
        <w:t>adoption</w:t>
      </w:r>
      <w:r>
        <w:rPr>
          <w:spacing w:val="-5"/>
          <w:sz w:val="22"/>
        </w:rPr>
        <w:t> </w:t>
      </w:r>
      <w:r>
        <w:rPr>
          <w:sz w:val="22"/>
        </w:rPr>
        <w:t>of REFCLs, will cause them to breach some of the provisions of the </w:t>
      </w:r>
      <w:r>
        <w:rPr>
          <w:i/>
          <w:sz w:val="22"/>
        </w:rPr>
        <w:t>Electricity Distribution Code.</w:t>
      </w:r>
    </w:p>
    <w:p>
      <w:pPr>
        <w:pStyle w:val="BodyText"/>
        <w:spacing w:before="9"/>
        <w:rPr>
          <w:i/>
          <w:sz w:val="20"/>
        </w:rPr>
      </w:pPr>
    </w:p>
    <w:p>
      <w:pPr>
        <w:pStyle w:val="BodyText"/>
        <w:spacing w:line="288" w:lineRule="auto"/>
        <w:ind w:left="232" w:right="296"/>
      </w:pPr>
      <w:r>
        <w:rPr/>
        <w:t>The</w:t>
      </w:r>
      <w:r>
        <w:rPr>
          <w:spacing w:val="-4"/>
        </w:rPr>
        <w:t> </w:t>
      </w:r>
      <w:r>
        <w:rPr/>
        <w:t>potential</w:t>
      </w:r>
      <w:r>
        <w:rPr>
          <w:spacing w:val="-3"/>
        </w:rPr>
        <w:t> </w:t>
      </w:r>
      <w:r>
        <w:rPr/>
        <w:t>inconsistency</w:t>
      </w:r>
      <w:r>
        <w:rPr>
          <w:spacing w:val="-4"/>
        </w:rPr>
        <w:t> </w:t>
      </w:r>
      <w:r>
        <w:rPr/>
        <w:t>between</w:t>
      </w:r>
      <w:r>
        <w:rPr>
          <w:spacing w:val="-2"/>
        </w:rPr>
        <w:t> </w:t>
      </w:r>
      <w:r>
        <w:rPr/>
        <w:t>the</w:t>
      </w:r>
      <w:r>
        <w:rPr>
          <w:spacing w:val="-2"/>
        </w:rPr>
        <w:t> </w:t>
      </w:r>
      <w:r>
        <w:rPr/>
        <w:t>regulatory</w:t>
      </w:r>
      <w:r>
        <w:rPr>
          <w:spacing w:val="-4"/>
        </w:rPr>
        <w:t> </w:t>
      </w:r>
      <w:r>
        <w:rPr/>
        <w:t>requirements</w:t>
      </w:r>
      <w:r>
        <w:rPr>
          <w:spacing w:val="-1"/>
        </w:rPr>
        <w:t> </w:t>
      </w:r>
      <w:r>
        <w:rPr/>
        <w:t>arises</w:t>
      </w:r>
      <w:r>
        <w:rPr>
          <w:spacing w:val="-2"/>
        </w:rPr>
        <w:t> </w:t>
      </w:r>
      <w:r>
        <w:rPr/>
        <w:t>because</w:t>
      </w:r>
      <w:r>
        <w:rPr>
          <w:spacing w:val="-2"/>
        </w:rPr>
        <w:t> </w:t>
      </w:r>
      <w:r>
        <w:rPr/>
        <w:t>the</w:t>
      </w:r>
      <w:r>
        <w:rPr>
          <w:spacing w:val="-4"/>
        </w:rPr>
        <w:t> </w:t>
      </w:r>
      <w:r>
        <w:rPr/>
        <w:t>operation</w:t>
      </w:r>
      <w:r>
        <w:rPr>
          <w:spacing w:val="-2"/>
        </w:rPr>
        <w:t> </w:t>
      </w:r>
      <w:r>
        <w:rPr/>
        <w:t>of a REFCL</w:t>
      </w:r>
      <w:r>
        <w:rPr>
          <w:spacing w:val="-3"/>
        </w:rPr>
        <w:t> </w:t>
      </w:r>
      <w:r>
        <w:rPr/>
        <w:t>following a</w:t>
      </w:r>
      <w:r>
        <w:rPr>
          <w:spacing w:val="-3"/>
        </w:rPr>
        <w:t> </w:t>
      </w:r>
      <w:r>
        <w:rPr/>
        <w:t>single-phase</w:t>
      </w:r>
      <w:r>
        <w:rPr>
          <w:spacing w:val="-3"/>
        </w:rPr>
        <w:t> </w:t>
      </w:r>
      <w:r>
        <w:rPr/>
        <w:t>fault leads</w:t>
      </w:r>
      <w:r>
        <w:rPr>
          <w:spacing w:val="-3"/>
        </w:rPr>
        <w:t> </w:t>
      </w:r>
      <w:r>
        <w:rPr/>
        <w:t>to</w:t>
      </w:r>
      <w:r>
        <w:rPr>
          <w:spacing w:val="-3"/>
        </w:rPr>
        <w:t> </w:t>
      </w:r>
      <w:r>
        <w:rPr/>
        <w:t>an</w:t>
      </w:r>
      <w:r>
        <w:rPr>
          <w:spacing w:val="-3"/>
        </w:rPr>
        <w:t> </w:t>
      </w:r>
      <w:r>
        <w:rPr/>
        <w:t>increase</w:t>
      </w:r>
      <w:r>
        <w:rPr>
          <w:spacing w:val="-3"/>
        </w:rPr>
        <w:t> </w:t>
      </w:r>
      <w:r>
        <w:rPr/>
        <w:t>in</w:t>
      </w:r>
      <w:r>
        <w:rPr>
          <w:spacing w:val="-1"/>
        </w:rPr>
        <w:t> </w:t>
      </w:r>
      <w:r>
        <w:rPr/>
        <w:t>voltage</w:t>
      </w:r>
      <w:r>
        <w:rPr>
          <w:spacing w:val="-3"/>
        </w:rPr>
        <w:t> </w:t>
      </w:r>
      <w:r>
        <w:rPr/>
        <w:t>levels at</w:t>
      </w:r>
      <w:r>
        <w:rPr>
          <w:spacing w:val="-2"/>
        </w:rPr>
        <w:t> </w:t>
      </w:r>
      <w:r>
        <w:rPr/>
        <w:t>the</w:t>
      </w:r>
      <w:r>
        <w:rPr>
          <w:spacing w:val="-3"/>
        </w:rPr>
        <w:t> </w:t>
      </w:r>
      <w:r>
        <w:rPr/>
        <w:t>point</w:t>
      </w:r>
      <w:r>
        <w:rPr>
          <w:spacing w:val="-2"/>
        </w:rPr>
        <w:t> </w:t>
      </w:r>
      <w:r>
        <w:rPr/>
        <w:t>of supply</w:t>
      </w:r>
      <w:r>
        <w:rPr>
          <w:spacing w:val="-3"/>
        </w:rPr>
        <w:t> </w:t>
      </w:r>
      <w:r>
        <w:rPr/>
        <w:t>to high voltage customers that exceeds the permissible level as specified in Clause 4.2.2 of the </w:t>
      </w:r>
      <w:r>
        <w:rPr>
          <w:i/>
        </w:rPr>
        <w:t>Electricity Distribution Code</w:t>
      </w:r>
      <w:r>
        <w:rPr/>
        <w:t>. The Essential Services Commission has committed to review the voltage variation standards outlined in Clause 4.2.2 of the code to ensure they are fit-for-purpose and support network businesses in meeting the requirements of the </w:t>
      </w:r>
      <w:r>
        <w:rPr>
          <w:i/>
        </w:rPr>
        <w:t>Electricity Safety (Bushfire Mitigation) Regulations 2013</w:t>
      </w:r>
      <w:r>
        <w:rPr/>
        <w:t>.</w:t>
      </w:r>
    </w:p>
    <w:p>
      <w:pPr>
        <w:pStyle w:val="BodyText"/>
        <w:spacing w:before="5"/>
        <w:rPr>
          <w:sz w:val="31"/>
        </w:rPr>
      </w:pPr>
    </w:p>
    <w:p>
      <w:pPr>
        <w:pStyle w:val="Heading4"/>
        <w:spacing w:before="0"/>
      </w:pPr>
      <w:r>
        <w:rPr>
          <w:color w:val="585858"/>
        </w:rPr>
        <w:t>Ongoing</w:t>
      </w:r>
      <w:r>
        <w:rPr>
          <w:color w:val="585858"/>
          <w:spacing w:val="-13"/>
        </w:rPr>
        <w:t> </w:t>
      </w:r>
      <w:r>
        <w:rPr>
          <w:color w:val="585858"/>
        </w:rPr>
        <w:t>research</w:t>
      </w:r>
      <w:r>
        <w:rPr>
          <w:color w:val="585858"/>
          <w:spacing w:val="-12"/>
        </w:rPr>
        <w:t> </w:t>
      </w:r>
      <w:r>
        <w:rPr>
          <w:color w:val="585858"/>
        </w:rPr>
        <w:t>and</w:t>
      </w:r>
      <w:r>
        <w:rPr>
          <w:color w:val="585858"/>
          <w:spacing w:val="-10"/>
        </w:rPr>
        <w:t> </w:t>
      </w:r>
      <w:r>
        <w:rPr>
          <w:color w:val="585858"/>
          <w:spacing w:val="-2"/>
        </w:rPr>
        <w:t>development</w:t>
      </w:r>
    </w:p>
    <w:p>
      <w:pPr>
        <w:pStyle w:val="BodyText"/>
        <w:spacing w:line="288" w:lineRule="auto" w:before="314"/>
        <w:ind w:left="232" w:right="374"/>
      </w:pPr>
      <w:r>
        <w:rPr/>
        <w:t>Although the PBSP’s research and development work on REFCLs has now</w:t>
      </w:r>
      <w:r>
        <w:rPr>
          <w:spacing w:val="-1"/>
        </w:rPr>
        <w:t> </w:t>
      </w:r>
      <w:r>
        <w:rPr/>
        <w:t>ended, further research and development will be required to ensure that the most efficient and effective technologies</w:t>
      </w:r>
      <w:r>
        <w:rPr>
          <w:spacing w:val="-4"/>
        </w:rPr>
        <w:t> </w:t>
      </w:r>
      <w:r>
        <w:rPr/>
        <w:t>are</w:t>
      </w:r>
      <w:r>
        <w:rPr>
          <w:spacing w:val="-4"/>
        </w:rPr>
        <w:t> </w:t>
      </w:r>
      <w:r>
        <w:rPr/>
        <w:t>adopted</w:t>
      </w:r>
      <w:r>
        <w:rPr>
          <w:spacing w:val="-2"/>
        </w:rPr>
        <w:t> </w:t>
      </w:r>
      <w:r>
        <w:rPr/>
        <w:t>to</w:t>
      </w:r>
      <w:r>
        <w:rPr>
          <w:spacing w:val="-4"/>
        </w:rPr>
        <w:t> </w:t>
      </w:r>
      <w:r>
        <w:rPr/>
        <w:t>reduce</w:t>
      </w:r>
      <w:r>
        <w:rPr>
          <w:spacing w:val="-4"/>
        </w:rPr>
        <w:t> </w:t>
      </w:r>
      <w:r>
        <w:rPr/>
        <w:t>the</w:t>
      </w:r>
      <w:r>
        <w:rPr>
          <w:spacing w:val="-4"/>
        </w:rPr>
        <w:t> </w:t>
      </w:r>
      <w:r>
        <w:rPr/>
        <w:t>risk</w:t>
      </w:r>
      <w:r>
        <w:rPr>
          <w:spacing w:val="-1"/>
        </w:rPr>
        <w:t> </w:t>
      </w:r>
      <w:r>
        <w:rPr/>
        <w:t>of</w:t>
      </w:r>
      <w:r>
        <w:rPr>
          <w:spacing w:val="-3"/>
        </w:rPr>
        <w:t> </w:t>
      </w:r>
      <w:r>
        <w:rPr/>
        <w:t>fires</w:t>
      </w:r>
      <w:r>
        <w:rPr>
          <w:spacing w:val="-2"/>
        </w:rPr>
        <w:t> </w:t>
      </w:r>
      <w:r>
        <w:rPr/>
        <w:t>starting</w:t>
      </w:r>
      <w:r>
        <w:rPr>
          <w:spacing w:val="-4"/>
        </w:rPr>
        <w:t> </w:t>
      </w:r>
      <w:r>
        <w:rPr/>
        <w:t>from</w:t>
      </w:r>
      <w:r>
        <w:rPr>
          <w:spacing w:val="-3"/>
        </w:rPr>
        <w:t> </w:t>
      </w:r>
      <w:r>
        <w:rPr/>
        <w:t>powerlines</w:t>
      </w:r>
      <w:r>
        <w:rPr>
          <w:spacing w:val="-2"/>
        </w:rPr>
        <w:t> </w:t>
      </w:r>
      <w:r>
        <w:rPr/>
        <w:t>into</w:t>
      </w:r>
      <w:r>
        <w:rPr>
          <w:spacing w:val="-4"/>
        </w:rPr>
        <w:t> </w:t>
      </w:r>
      <w:r>
        <w:rPr/>
        <w:t>the</w:t>
      </w:r>
      <w:r>
        <w:rPr>
          <w:spacing w:val="-7"/>
        </w:rPr>
        <w:t> </w:t>
      </w:r>
      <w:r>
        <w:rPr/>
        <w:t>future.</w:t>
      </w:r>
    </w:p>
    <w:p>
      <w:pPr>
        <w:pStyle w:val="BodyText"/>
        <w:spacing w:before="9"/>
        <w:rPr>
          <w:sz w:val="20"/>
        </w:rPr>
      </w:pPr>
    </w:p>
    <w:p>
      <w:pPr>
        <w:pStyle w:val="BodyText"/>
        <w:spacing w:line="288" w:lineRule="auto"/>
        <w:ind w:left="232" w:right="408"/>
      </w:pPr>
      <w:r>
        <w:rPr/>
        <w:t>Technological advancements, particularly in relation to line monitoring and remote sensing, are likely to open up further opportunities to cost-effectively manage bushfire risk. For example, Attentis</w:t>
      </w:r>
      <w:r>
        <w:rPr>
          <w:spacing w:val="-6"/>
        </w:rPr>
        <w:t> </w:t>
      </w:r>
      <w:r>
        <w:rPr/>
        <w:t>Technologies,</w:t>
      </w:r>
      <w:r>
        <w:rPr>
          <w:spacing w:val="-3"/>
        </w:rPr>
        <w:t> </w:t>
      </w:r>
      <w:r>
        <w:rPr/>
        <w:t>in</w:t>
      </w:r>
      <w:r>
        <w:rPr>
          <w:spacing w:val="-2"/>
        </w:rPr>
        <w:t> </w:t>
      </w:r>
      <w:r>
        <w:rPr/>
        <w:t>its</w:t>
      </w:r>
      <w:r>
        <w:rPr>
          <w:spacing w:val="-3"/>
        </w:rPr>
        <w:t> </w:t>
      </w:r>
      <w:r>
        <w:rPr/>
        <w:t>submission</w:t>
      </w:r>
      <w:r>
        <w:rPr>
          <w:spacing w:val="-4"/>
        </w:rPr>
        <w:t> </w:t>
      </w:r>
      <w:r>
        <w:rPr/>
        <w:t>to</w:t>
      </w:r>
      <w:r>
        <w:rPr>
          <w:spacing w:val="-4"/>
        </w:rPr>
        <w:t> </w:t>
      </w:r>
      <w:r>
        <w:rPr/>
        <w:t>the</w:t>
      </w:r>
      <w:r>
        <w:rPr>
          <w:spacing w:val="-3"/>
        </w:rPr>
        <w:t> </w:t>
      </w:r>
      <w:r>
        <w:rPr/>
        <w:t>Review, has</w:t>
      </w:r>
      <w:r>
        <w:rPr>
          <w:spacing w:val="-1"/>
        </w:rPr>
        <w:t> </w:t>
      </w:r>
      <w:r>
        <w:rPr/>
        <w:t>noted</w:t>
      </w:r>
      <w:r>
        <w:rPr>
          <w:spacing w:val="-4"/>
        </w:rPr>
        <w:t> </w:t>
      </w:r>
      <w:r>
        <w:rPr/>
        <w:t>the</w:t>
      </w:r>
      <w:r>
        <w:rPr>
          <w:spacing w:val="-4"/>
        </w:rPr>
        <w:t> </w:t>
      </w:r>
      <w:r>
        <w:rPr/>
        <w:t>contribution</w:t>
      </w:r>
      <w:r>
        <w:rPr>
          <w:spacing w:val="-2"/>
        </w:rPr>
        <w:t> </w:t>
      </w:r>
      <w:r>
        <w:rPr/>
        <w:t>that</w:t>
      </w:r>
      <w:r>
        <w:rPr>
          <w:spacing w:val="-5"/>
        </w:rPr>
        <w:t> </w:t>
      </w:r>
      <w:r>
        <w:rPr/>
        <w:t>monitoring and detection technologies may make:</w:t>
      </w:r>
    </w:p>
    <w:p>
      <w:pPr>
        <w:pStyle w:val="BodyText"/>
        <w:spacing w:before="10"/>
        <w:rPr>
          <w:sz w:val="20"/>
        </w:rPr>
      </w:pPr>
    </w:p>
    <w:p>
      <w:pPr>
        <w:spacing w:line="288" w:lineRule="auto" w:before="0"/>
        <w:ind w:left="799" w:right="951" w:firstLine="0"/>
        <w:jc w:val="left"/>
        <w:rPr>
          <w:sz w:val="22"/>
        </w:rPr>
      </w:pPr>
      <w:r>
        <w:rPr>
          <w:i/>
          <w:sz w:val="22"/>
        </w:rPr>
        <w:t>“Installing components (REFCL/ACR) on existing networks still fails to address the issue of visibility. In the event of a line contact with the ground, it is still unknown whether a fire start has occurred – the entire point of installing REFCL/ACR technology. Remote monitoring, combining detection (thermal, arc, smoke) visibility and</w:t>
      </w:r>
      <w:r>
        <w:rPr>
          <w:i/>
          <w:spacing w:val="-1"/>
          <w:sz w:val="22"/>
        </w:rPr>
        <w:t> </w:t>
      </w:r>
      <w:r>
        <w:rPr>
          <w:i/>
          <w:sz w:val="22"/>
        </w:rPr>
        <w:t>live</w:t>
      </w:r>
      <w:r>
        <w:rPr>
          <w:i/>
          <w:spacing w:val="-1"/>
          <w:sz w:val="22"/>
        </w:rPr>
        <w:t> </w:t>
      </w:r>
      <w:r>
        <w:rPr>
          <w:i/>
          <w:sz w:val="22"/>
        </w:rPr>
        <w:t>conditions needs to</w:t>
      </w:r>
      <w:r>
        <w:rPr>
          <w:i/>
          <w:spacing w:val="-3"/>
          <w:sz w:val="22"/>
        </w:rPr>
        <w:t> </w:t>
      </w:r>
      <w:r>
        <w:rPr>
          <w:i/>
          <w:sz w:val="22"/>
        </w:rPr>
        <w:t>be</w:t>
      </w:r>
      <w:r>
        <w:rPr>
          <w:i/>
          <w:spacing w:val="-1"/>
          <w:sz w:val="22"/>
        </w:rPr>
        <w:t> </w:t>
      </w:r>
      <w:r>
        <w:rPr>
          <w:i/>
          <w:sz w:val="22"/>
        </w:rPr>
        <w:t>incorporated</w:t>
      </w:r>
      <w:r>
        <w:rPr>
          <w:i/>
          <w:spacing w:val="-3"/>
          <w:sz w:val="22"/>
        </w:rPr>
        <w:t> </w:t>
      </w:r>
      <w:r>
        <w:rPr>
          <w:i/>
          <w:sz w:val="22"/>
        </w:rPr>
        <w:t>to</w:t>
      </w:r>
      <w:r>
        <w:rPr>
          <w:i/>
          <w:spacing w:val="-1"/>
          <w:sz w:val="22"/>
        </w:rPr>
        <w:t> </w:t>
      </w:r>
      <w:r>
        <w:rPr>
          <w:i/>
          <w:sz w:val="22"/>
        </w:rPr>
        <w:t>provide</w:t>
      </w:r>
      <w:r>
        <w:rPr>
          <w:i/>
          <w:spacing w:val="-1"/>
          <w:sz w:val="22"/>
        </w:rPr>
        <w:t> </w:t>
      </w:r>
      <w:r>
        <w:rPr>
          <w:i/>
          <w:sz w:val="22"/>
        </w:rPr>
        <w:t>a</w:t>
      </w:r>
      <w:r>
        <w:rPr>
          <w:i/>
          <w:spacing w:val="-1"/>
          <w:sz w:val="22"/>
        </w:rPr>
        <w:t> </w:t>
      </w:r>
      <w:r>
        <w:rPr>
          <w:i/>
          <w:sz w:val="22"/>
        </w:rPr>
        <w:t>level</w:t>
      </w:r>
      <w:r>
        <w:rPr>
          <w:i/>
          <w:spacing w:val="-2"/>
          <w:sz w:val="22"/>
        </w:rPr>
        <w:t> </w:t>
      </w:r>
      <w:r>
        <w:rPr>
          <w:i/>
          <w:sz w:val="22"/>
        </w:rPr>
        <w:t>of</w:t>
      </w:r>
      <w:r>
        <w:rPr>
          <w:i/>
          <w:spacing w:val="-2"/>
          <w:sz w:val="22"/>
        </w:rPr>
        <w:t> </w:t>
      </w:r>
      <w:r>
        <w:rPr>
          <w:i/>
          <w:sz w:val="22"/>
        </w:rPr>
        <w:t>intelligence</w:t>
      </w:r>
      <w:r>
        <w:rPr>
          <w:i/>
          <w:spacing w:val="-1"/>
          <w:sz w:val="22"/>
        </w:rPr>
        <w:t> </w:t>
      </w:r>
      <w:r>
        <w:rPr>
          <w:i/>
          <w:sz w:val="22"/>
        </w:rPr>
        <w:t>to</w:t>
      </w:r>
      <w:r>
        <w:rPr>
          <w:i/>
          <w:spacing w:val="-3"/>
          <w:sz w:val="22"/>
        </w:rPr>
        <w:t> </w:t>
      </w:r>
      <w:r>
        <w:rPr>
          <w:i/>
          <w:sz w:val="22"/>
        </w:rPr>
        <w:t>make informed</w:t>
      </w:r>
      <w:r>
        <w:rPr>
          <w:i/>
          <w:spacing w:val="-5"/>
          <w:sz w:val="22"/>
        </w:rPr>
        <w:t> </w:t>
      </w:r>
      <w:r>
        <w:rPr>
          <w:i/>
          <w:sz w:val="22"/>
        </w:rPr>
        <w:t>response</w:t>
      </w:r>
      <w:r>
        <w:rPr>
          <w:i/>
          <w:spacing w:val="-5"/>
          <w:sz w:val="22"/>
        </w:rPr>
        <w:t> </w:t>
      </w:r>
      <w:r>
        <w:rPr>
          <w:i/>
          <w:sz w:val="22"/>
        </w:rPr>
        <w:t>to</w:t>
      </w:r>
      <w:r>
        <w:rPr>
          <w:i/>
          <w:spacing w:val="-3"/>
          <w:sz w:val="22"/>
        </w:rPr>
        <w:t> </w:t>
      </w:r>
      <w:r>
        <w:rPr>
          <w:i/>
          <w:sz w:val="22"/>
        </w:rPr>
        <w:t>REFCL/ACR</w:t>
      </w:r>
      <w:r>
        <w:rPr>
          <w:i/>
          <w:spacing w:val="-3"/>
          <w:sz w:val="22"/>
        </w:rPr>
        <w:t> </w:t>
      </w:r>
      <w:r>
        <w:rPr>
          <w:i/>
          <w:sz w:val="22"/>
        </w:rPr>
        <w:t>technology</w:t>
      </w:r>
      <w:r>
        <w:rPr>
          <w:i/>
          <w:spacing w:val="-2"/>
          <w:sz w:val="22"/>
        </w:rPr>
        <w:t> </w:t>
      </w:r>
      <w:r>
        <w:rPr>
          <w:i/>
          <w:sz w:val="22"/>
        </w:rPr>
        <w:t>being</w:t>
      </w:r>
      <w:r>
        <w:rPr>
          <w:i/>
          <w:spacing w:val="-3"/>
          <w:sz w:val="22"/>
        </w:rPr>
        <w:t> </w:t>
      </w:r>
      <w:r>
        <w:rPr>
          <w:i/>
          <w:sz w:val="22"/>
        </w:rPr>
        <w:t>activated.”</w:t>
      </w:r>
      <w:r>
        <w:rPr>
          <w:i/>
          <w:spacing w:val="-9"/>
          <w:sz w:val="22"/>
        </w:rPr>
        <w:t> </w:t>
      </w:r>
      <w:r>
        <w:rPr>
          <w:sz w:val="22"/>
        </w:rPr>
        <w:t>(Attentis</w:t>
      </w:r>
      <w:r>
        <w:rPr>
          <w:spacing w:val="-5"/>
          <w:sz w:val="22"/>
        </w:rPr>
        <w:t> </w:t>
      </w:r>
      <w:r>
        <w:rPr>
          <w:sz w:val="22"/>
        </w:rPr>
        <w:t>Technology, 2017, p. 3)</w:t>
      </w:r>
    </w:p>
    <w:p>
      <w:pPr>
        <w:pStyle w:val="BodyText"/>
        <w:spacing w:before="9"/>
        <w:rPr>
          <w:sz w:val="20"/>
        </w:rPr>
      </w:pPr>
    </w:p>
    <w:p>
      <w:pPr>
        <w:pStyle w:val="BodyText"/>
        <w:spacing w:line="288" w:lineRule="auto" w:before="1"/>
        <w:ind w:left="232" w:right="320"/>
      </w:pPr>
      <w:r>
        <w:rPr/>
        <w:t>AusNet</w:t>
      </w:r>
      <w:r>
        <w:rPr>
          <w:spacing w:val="-1"/>
        </w:rPr>
        <w:t> </w:t>
      </w:r>
      <w:r>
        <w:rPr/>
        <w:t>Services</w:t>
      </w:r>
      <w:r>
        <w:rPr>
          <w:spacing w:val="-2"/>
        </w:rPr>
        <w:t> </w:t>
      </w:r>
      <w:r>
        <w:rPr/>
        <w:t>in</w:t>
      </w:r>
      <w:r>
        <w:rPr>
          <w:spacing w:val="-2"/>
        </w:rPr>
        <w:t> </w:t>
      </w:r>
      <w:r>
        <w:rPr/>
        <w:t>its</w:t>
      </w:r>
      <w:r>
        <w:rPr>
          <w:spacing w:val="-4"/>
        </w:rPr>
        <w:t> </w:t>
      </w:r>
      <w:r>
        <w:rPr/>
        <w:t>submission</w:t>
      </w:r>
      <w:r>
        <w:rPr>
          <w:spacing w:val="-2"/>
        </w:rPr>
        <w:t> </w:t>
      </w:r>
      <w:r>
        <w:rPr/>
        <w:t>to</w:t>
      </w:r>
      <w:r>
        <w:rPr>
          <w:spacing w:val="-2"/>
        </w:rPr>
        <w:t> </w:t>
      </w:r>
      <w:r>
        <w:rPr/>
        <w:t>the</w:t>
      </w:r>
      <w:r>
        <w:rPr>
          <w:spacing w:val="-4"/>
        </w:rPr>
        <w:t> </w:t>
      </w:r>
      <w:r>
        <w:rPr/>
        <w:t>Review, has</w:t>
      </w:r>
      <w:r>
        <w:rPr>
          <w:spacing w:val="-1"/>
        </w:rPr>
        <w:t> </w:t>
      </w:r>
      <w:r>
        <w:rPr/>
        <w:t>highlighted</w:t>
      </w:r>
      <w:r>
        <w:rPr>
          <w:spacing w:val="-3"/>
        </w:rPr>
        <w:t> </w:t>
      </w:r>
      <w:r>
        <w:rPr/>
        <w:t>the</w:t>
      </w:r>
      <w:r>
        <w:rPr>
          <w:spacing w:val="-7"/>
        </w:rPr>
        <w:t> </w:t>
      </w:r>
      <w:r>
        <w:rPr/>
        <w:t>key</w:t>
      </w:r>
      <w:r>
        <w:rPr>
          <w:spacing w:val="-4"/>
        </w:rPr>
        <w:t> </w:t>
      </w:r>
      <w:r>
        <w:rPr/>
        <w:t>role</w:t>
      </w:r>
      <w:r>
        <w:rPr>
          <w:spacing w:val="-2"/>
        </w:rPr>
        <w:t> </w:t>
      </w:r>
      <w:r>
        <w:rPr/>
        <w:t>that</w:t>
      </w:r>
      <w:r>
        <w:rPr>
          <w:spacing w:val="-4"/>
        </w:rPr>
        <w:t> </w:t>
      </w:r>
      <w:r>
        <w:rPr/>
        <w:t>government can play in helping to fund innovative solutions to enhance community safety:</w:t>
      </w:r>
    </w:p>
    <w:p>
      <w:pPr>
        <w:pStyle w:val="BodyText"/>
        <w:spacing w:before="9"/>
        <w:rPr>
          <w:sz w:val="20"/>
        </w:rPr>
      </w:pPr>
    </w:p>
    <w:p>
      <w:pPr>
        <w:spacing w:line="288" w:lineRule="auto" w:before="1"/>
        <w:ind w:left="799" w:right="951" w:firstLine="0"/>
        <w:jc w:val="left"/>
        <w:rPr>
          <w:sz w:val="22"/>
        </w:rPr>
      </w:pPr>
      <w:r>
        <w:rPr>
          <w:i/>
          <w:sz w:val="22"/>
        </w:rPr>
        <w:t>“New network technology also offers the potential for step change improvements to community safety, the</w:t>
      </w:r>
      <w:r>
        <w:rPr>
          <w:i/>
          <w:spacing w:val="-2"/>
          <w:sz w:val="22"/>
        </w:rPr>
        <w:t> </w:t>
      </w:r>
      <w:r>
        <w:rPr>
          <w:i/>
          <w:sz w:val="22"/>
        </w:rPr>
        <w:t>most recent example being the research into and development of</w:t>
      </w:r>
      <w:r>
        <w:rPr>
          <w:i/>
          <w:spacing w:val="-2"/>
          <w:sz w:val="22"/>
        </w:rPr>
        <w:t> </w:t>
      </w:r>
      <w:r>
        <w:rPr>
          <w:i/>
          <w:sz w:val="22"/>
        </w:rPr>
        <w:t>REFCL</w:t>
      </w:r>
      <w:r>
        <w:rPr>
          <w:i/>
          <w:spacing w:val="-4"/>
          <w:sz w:val="22"/>
        </w:rPr>
        <w:t> </w:t>
      </w:r>
      <w:r>
        <w:rPr>
          <w:i/>
          <w:sz w:val="22"/>
        </w:rPr>
        <w:t>technology</w:t>
      </w:r>
      <w:r>
        <w:rPr>
          <w:i/>
          <w:spacing w:val="-4"/>
          <w:sz w:val="22"/>
        </w:rPr>
        <w:t> </w:t>
      </w:r>
      <w:r>
        <w:rPr>
          <w:i/>
          <w:sz w:val="22"/>
        </w:rPr>
        <w:t>for</w:t>
      </w:r>
      <w:r>
        <w:rPr>
          <w:i/>
          <w:spacing w:val="-3"/>
          <w:sz w:val="22"/>
        </w:rPr>
        <w:t> </w:t>
      </w:r>
      <w:r>
        <w:rPr>
          <w:i/>
          <w:sz w:val="22"/>
        </w:rPr>
        <w:t>its</w:t>
      </w:r>
      <w:r>
        <w:rPr>
          <w:i/>
          <w:spacing w:val="-2"/>
          <w:sz w:val="22"/>
        </w:rPr>
        <w:t> </w:t>
      </w:r>
      <w:r>
        <w:rPr>
          <w:i/>
          <w:sz w:val="22"/>
        </w:rPr>
        <w:t>bushfire</w:t>
      </w:r>
      <w:r>
        <w:rPr>
          <w:i/>
          <w:spacing w:val="-4"/>
          <w:sz w:val="22"/>
        </w:rPr>
        <w:t> </w:t>
      </w:r>
      <w:r>
        <w:rPr>
          <w:i/>
          <w:sz w:val="22"/>
        </w:rPr>
        <w:t>mitigation</w:t>
      </w:r>
      <w:r>
        <w:rPr>
          <w:i/>
          <w:spacing w:val="-3"/>
          <w:sz w:val="22"/>
        </w:rPr>
        <w:t> </w:t>
      </w:r>
      <w:r>
        <w:rPr>
          <w:i/>
          <w:sz w:val="22"/>
        </w:rPr>
        <w:t>potential…</w:t>
      </w:r>
      <w:r>
        <w:rPr>
          <w:i/>
          <w:spacing w:val="-4"/>
          <w:sz w:val="22"/>
        </w:rPr>
        <w:t> </w:t>
      </w:r>
      <w:r>
        <w:rPr>
          <w:i/>
          <w:sz w:val="22"/>
        </w:rPr>
        <w:t>Government</w:t>
      </w:r>
      <w:r>
        <w:rPr>
          <w:i/>
          <w:spacing w:val="-1"/>
          <w:sz w:val="22"/>
        </w:rPr>
        <w:t> </w:t>
      </w:r>
      <w:r>
        <w:rPr>
          <w:i/>
          <w:sz w:val="22"/>
        </w:rPr>
        <w:t>has</w:t>
      </w:r>
      <w:r>
        <w:rPr>
          <w:i/>
          <w:spacing w:val="-2"/>
          <w:sz w:val="22"/>
        </w:rPr>
        <w:t> </w:t>
      </w:r>
      <w:r>
        <w:rPr>
          <w:i/>
          <w:sz w:val="22"/>
        </w:rPr>
        <w:t>a</w:t>
      </w:r>
      <w:r>
        <w:rPr>
          <w:i/>
          <w:spacing w:val="-3"/>
          <w:sz w:val="22"/>
        </w:rPr>
        <w:t> </w:t>
      </w:r>
      <w:r>
        <w:rPr>
          <w:i/>
          <w:sz w:val="22"/>
        </w:rPr>
        <w:t>key</w:t>
      </w:r>
      <w:r>
        <w:rPr>
          <w:i/>
          <w:spacing w:val="-4"/>
          <w:sz w:val="22"/>
        </w:rPr>
        <w:t> </w:t>
      </w:r>
      <w:r>
        <w:rPr>
          <w:i/>
          <w:sz w:val="22"/>
        </w:rPr>
        <w:t>role in encouraging and helping to fund safety innovation and R&amp;D as the economic regulatory regime does not provide funding.” </w:t>
      </w:r>
      <w:r>
        <w:rPr>
          <w:sz w:val="22"/>
        </w:rPr>
        <w:t>(AusNet Services, 2017, p. 14)</w:t>
      </w:r>
    </w:p>
    <w:p>
      <w:pPr>
        <w:pStyle w:val="BodyText"/>
        <w:rPr>
          <w:sz w:val="21"/>
        </w:rPr>
      </w:pPr>
    </w:p>
    <w:p>
      <w:pPr>
        <w:pStyle w:val="BodyText"/>
        <w:spacing w:line="288" w:lineRule="auto"/>
        <w:ind w:left="232" w:right="374"/>
      </w:pPr>
      <w:r>
        <w:rPr/>
        <w:t>The $10 million funding for research and development provided through the PBSP has helped drive</w:t>
      </w:r>
      <w:r>
        <w:rPr>
          <w:spacing w:val="-1"/>
        </w:rPr>
        <w:t> </w:t>
      </w:r>
      <w:r>
        <w:rPr/>
        <w:t>innovations</w:t>
      </w:r>
      <w:r>
        <w:rPr>
          <w:spacing w:val="-1"/>
        </w:rPr>
        <w:t> </w:t>
      </w:r>
      <w:r>
        <w:rPr/>
        <w:t>that have</w:t>
      </w:r>
      <w:r>
        <w:rPr>
          <w:spacing w:val="-1"/>
        </w:rPr>
        <w:t> </w:t>
      </w:r>
      <w:r>
        <w:rPr/>
        <w:t>placed</w:t>
      </w:r>
      <w:r>
        <w:rPr>
          <w:spacing w:val="-1"/>
        </w:rPr>
        <w:t> </w:t>
      </w:r>
      <w:r>
        <w:rPr/>
        <w:t>Victoria</w:t>
      </w:r>
      <w:r>
        <w:rPr>
          <w:spacing w:val="-1"/>
        </w:rPr>
        <w:t> </w:t>
      </w:r>
      <w:r>
        <w:rPr/>
        <w:t>at</w:t>
      </w:r>
      <w:r>
        <w:rPr>
          <w:spacing w:val="-4"/>
        </w:rPr>
        <w:t> </w:t>
      </w:r>
      <w:r>
        <w:rPr/>
        <w:t>the</w:t>
      </w:r>
      <w:r>
        <w:rPr>
          <w:spacing w:val="-3"/>
        </w:rPr>
        <w:t> </w:t>
      </w:r>
      <w:r>
        <w:rPr/>
        <w:t>forefront of new</w:t>
      </w:r>
      <w:r>
        <w:rPr>
          <w:spacing w:val="-4"/>
        </w:rPr>
        <w:t> </w:t>
      </w:r>
      <w:r>
        <w:rPr/>
        <w:t>approaches to</w:t>
      </w:r>
      <w:r>
        <w:rPr>
          <w:spacing w:val="-3"/>
        </w:rPr>
        <w:t> </w:t>
      </w:r>
      <w:r>
        <w:rPr/>
        <w:t>the</w:t>
      </w:r>
      <w:r>
        <w:rPr>
          <w:spacing w:val="-6"/>
        </w:rPr>
        <w:t> </w:t>
      </w:r>
      <w:r>
        <w:rPr/>
        <w:t>management of bushfire</w:t>
      </w:r>
      <w:r>
        <w:rPr>
          <w:spacing w:val="-3"/>
        </w:rPr>
        <w:t> </w:t>
      </w:r>
      <w:r>
        <w:rPr/>
        <w:t>risk.</w:t>
      </w:r>
      <w:r>
        <w:rPr>
          <w:spacing w:val="-6"/>
        </w:rPr>
        <w:t> </w:t>
      </w:r>
      <w:r>
        <w:rPr/>
        <w:t>With</w:t>
      </w:r>
      <w:r>
        <w:rPr>
          <w:spacing w:val="-3"/>
        </w:rPr>
        <w:t> </w:t>
      </w:r>
      <w:r>
        <w:rPr/>
        <w:t>this Program</w:t>
      </w:r>
      <w:r>
        <w:rPr>
          <w:spacing w:val="-2"/>
        </w:rPr>
        <w:t> </w:t>
      </w:r>
      <w:r>
        <w:rPr/>
        <w:t>now</w:t>
      </w:r>
      <w:r>
        <w:rPr>
          <w:spacing w:val="-4"/>
        </w:rPr>
        <w:t> </w:t>
      </w:r>
      <w:r>
        <w:rPr/>
        <w:t>largely</w:t>
      </w:r>
      <w:r>
        <w:rPr>
          <w:spacing w:val="-3"/>
        </w:rPr>
        <w:t> </w:t>
      </w:r>
      <w:r>
        <w:rPr/>
        <w:t>complete,</w:t>
      </w:r>
      <w:r>
        <w:rPr>
          <w:spacing w:val="-1"/>
        </w:rPr>
        <w:t> </w:t>
      </w:r>
      <w:r>
        <w:rPr/>
        <w:t>it</w:t>
      </w:r>
      <w:r>
        <w:rPr>
          <w:spacing w:val="-2"/>
        </w:rPr>
        <w:t> </w:t>
      </w:r>
      <w:r>
        <w:rPr/>
        <w:t>is timely</w:t>
      </w:r>
      <w:r>
        <w:rPr>
          <w:spacing w:val="-3"/>
        </w:rPr>
        <w:t> </w:t>
      </w:r>
      <w:r>
        <w:rPr/>
        <w:t>to</w:t>
      </w:r>
      <w:r>
        <w:rPr>
          <w:spacing w:val="-1"/>
        </w:rPr>
        <w:t> </w:t>
      </w:r>
      <w:r>
        <w:rPr/>
        <w:t>ask whether there</w:t>
      </w:r>
      <w:r>
        <w:rPr>
          <w:spacing w:val="-1"/>
        </w:rPr>
        <w:t> </w:t>
      </w:r>
      <w:r>
        <w:rPr/>
        <w:t>is</w:t>
      </w:r>
      <w:r>
        <w:rPr>
          <w:spacing w:val="-3"/>
        </w:rPr>
        <w:t> </w:t>
      </w:r>
      <w:r>
        <w:rPr/>
        <w:t>a</w:t>
      </w:r>
      <w:r>
        <w:rPr>
          <w:spacing w:val="-3"/>
        </w:rPr>
        <w:t> </w:t>
      </w:r>
      <w:r>
        <w:rPr/>
        <w:t>case for continued research and development funding by the Victorian Government.</w:t>
      </w:r>
    </w:p>
    <w:p>
      <w:pPr>
        <w:spacing w:after="0" w:line="288" w:lineRule="auto"/>
        <w:sectPr>
          <w:pgSz w:w="11910" w:h="16850"/>
          <w:pgMar w:header="220" w:footer="678" w:top="420" w:bottom="860" w:left="900" w:right="840"/>
        </w:sectPr>
      </w:pPr>
    </w:p>
    <w:p>
      <w:pPr>
        <w:pStyle w:val="BodyText"/>
        <w:rPr>
          <w:sz w:val="20"/>
        </w:rPr>
      </w:pPr>
    </w:p>
    <w:p>
      <w:pPr>
        <w:pStyle w:val="BodyText"/>
        <w:spacing w:before="2"/>
        <w:rPr>
          <w:sz w:val="19"/>
        </w:rPr>
      </w:pPr>
    </w:p>
    <w:p>
      <w:pPr>
        <w:pStyle w:val="BodyText"/>
        <w:spacing w:before="94"/>
        <w:ind w:left="232"/>
      </w:pPr>
      <w:r>
        <w:rPr/>
        <w:t>There</w:t>
      </w:r>
      <w:r>
        <w:rPr>
          <w:spacing w:val="-5"/>
        </w:rPr>
        <w:t> </w:t>
      </w:r>
      <w:r>
        <w:rPr/>
        <w:t>are</w:t>
      </w:r>
      <w:r>
        <w:rPr>
          <w:spacing w:val="-5"/>
        </w:rPr>
        <w:t> </w:t>
      </w:r>
      <w:r>
        <w:rPr/>
        <w:t>several</w:t>
      </w:r>
      <w:r>
        <w:rPr>
          <w:spacing w:val="-7"/>
        </w:rPr>
        <w:t> </w:t>
      </w:r>
      <w:r>
        <w:rPr/>
        <w:t>relevant</w:t>
      </w:r>
      <w:r>
        <w:rPr>
          <w:spacing w:val="-4"/>
        </w:rPr>
        <w:t> </w:t>
      </w:r>
      <w:r>
        <w:rPr/>
        <w:t>considerations</w:t>
      </w:r>
      <w:r>
        <w:rPr>
          <w:spacing w:val="-6"/>
        </w:rPr>
        <w:t> </w:t>
      </w:r>
      <w:r>
        <w:rPr/>
        <w:t>to</w:t>
      </w:r>
      <w:r>
        <w:rPr>
          <w:spacing w:val="-7"/>
        </w:rPr>
        <w:t> </w:t>
      </w:r>
      <w:r>
        <w:rPr/>
        <w:t>take</w:t>
      </w:r>
      <w:r>
        <w:rPr>
          <w:spacing w:val="-9"/>
        </w:rPr>
        <w:t> </w:t>
      </w:r>
      <w:r>
        <w:rPr/>
        <w:t>into</w:t>
      </w:r>
      <w:r>
        <w:rPr>
          <w:spacing w:val="-3"/>
        </w:rPr>
        <w:t> </w:t>
      </w:r>
      <w:r>
        <w:rPr>
          <w:spacing w:val="-2"/>
        </w:rPr>
        <w:t>account:</w:t>
      </w:r>
    </w:p>
    <w:p>
      <w:pPr>
        <w:pStyle w:val="BodyText"/>
        <w:spacing w:before="7"/>
        <w:rPr>
          <w:sz w:val="26"/>
        </w:rPr>
      </w:pPr>
    </w:p>
    <w:p>
      <w:pPr>
        <w:pStyle w:val="ListParagraph"/>
        <w:numPr>
          <w:ilvl w:val="0"/>
          <w:numId w:val="72"/>
        </w:numPr>
        <w:tabs>
          <w:tab w:pos="590" w:val="left" w:leader="none"/>
        </w:tabs>
        <w:spacing w:line="240" w:lineRule="auto" w:before="0" w:after="0"/>
        <w:ind w:left="590" w:right="0" w:hanging="358"/>
        <w:jc w:val="left"/>
        <w:rPr>
          <w:sz w:val="22"/>
        </w:rPr>
      </w:pPr>
      <w:r>
        <w:rPr>
          <w:sz w:val="22"/>
        </w:rPr>
        <w:t>Firstly,</w:t>
      </w:r>
      <w:r>
        <w:rPr>
          <w:spacing w:val="-6"/>
          <w:sz w:val="22"/>
        </w:rPr>
        <w:t> </w:t>
      </w:r>
      <w:r>
        <w:rPr>
          <w:sz w:val="22"/>
        </w:rPr>
        <w:t>is</w:t>
      </w:r>
      <w:r>
        <w:rPr>
          <w:spacing w:val="-7"/>
          <w:sz w:val="22"/>
        </w:rPr>
        <w:t> </w:t>
      </w:r>
      <w:r>
        <w:rPr>
          <w:sz w:val="22"/>
        </w:rPr>
        <w:t>there</w:t>
      </w:r>
      <w:r>
        <w:rPr>
          <w:spacing w:val="-7"/>
          <w:sz w:val="22"/>
        </w:rPr>
        <w:t> </w:t>
      </w:r>
      <w:r>
        <w:rPr>
          <w:sz w:val="22"/>
        </w:rPr>
        <w:t>scope</w:t>
      </w:r>
      <w:r>
        <w:rPr>
          <w:spacing w:val="-6"/>
          <w:sz w:val="22"/>
        </w:rPr>
        <w:t> </w:t>
      </w:r>
      <w:r>
        <w:rPr>
          <w:sz w:val="22"/>
        </w:rPr>
        <w:t>for</w:t>
      </w:r>
      <w:r>
        <w:rPr>
          <w:spacing w:val="-9"/>
          <w:sz w:val="22"/>
        </w:rPr>
        <w:t> </w:t>
      </w:r>
      <w:r>
        <w:rPr>
          <w:sz w:val="22"/>
        </w:rPr>
        <w:t>further</w:t>
      </w:r>
      <w:r>
        <w:rPr>
          <w:spacing w:val="-6"/>
          <w:sz w:val="22"/>
        </w:rPr>
        <w:t> </w:t>
      </w:r>
      <w:r>
        <w:rPr>
          <w:sz w:val="22"/>
        </w:rPr>
        <w:t>technological</w:t>
      </w:r>
      <w:r>
        <w:rPr>
          <w:spacing w:val="-6"/>
          <w:sz w:val="22"/>
        </w:rPr>
        <w:t> </w:t>
      </w:r>
      <w:r>
        <w:rPr>
          <w:sz w:val="22"/>
        </w:rPr>
        <w:t>innovation</w:t>
      </w:r>
      <w:r>
        <w:rPr>
          <w:spacing w:val="-5"/>
          <w:sz w:val="22"/>
        </w:rPr>
        <w:t> </w:t>
      </w:r>
      <w:r>
        <w:rPr>
          <w:sz w:val="22"/>
        </w:rPr>
        <w:t>to</w:t>
      </w:r>
      <w:r>
        <w:rPr>
          <w:spacing w:val="-5"/>
          <w:sz w:val="22"/>
        </w:rPr>
        <w:t> </w:t>
      </w:r>
      <w:r>
        <w:rPr>
          <w:sz w:val="22"/>
        </w:rPr>
        <w:t>address</w:t>
      </w:r>
      <w:r>
        <w:rPr>
          <w:spacing w:val="-5"/>
          <w:sz w:val="22"/>
        </w:rPr>
        <w:t> </w:t>
      </w:r>
      <w:r>
        <w:rPr>
          <w:sz w:val="22"/>
        </w:rPr>
        <w:t>bushfire</w:t>
      </w:r>
      <w:r>
        <w:rPr>
          <w:spacing w:val="-5"/>
          <w:sz w:val="22"/>
        </w:rPr>
        <w:t> </w:t>
      </w:r>
      <w:r>
        <w:rPr>
          <w:spacing w:val="-2"/>
          <w:sz w:val="22"/>
        </w:rPr>
        <w:t>risk?</w:t>
      </w:r>
    </w:p>
    <w:p>
      <w:pPr>
        <w:pStyle w:val="ListParagraph"/>
        <w:numPr>
          <w:ilvl w:val="0"/>
          <w:numId w:val="72"/>
        </w:numPr>
        <w:tabs>
          <w:tab w:pos="590" w:val="left" w:leader="none"/>
        </w:tabs>
        <w:spacing w:line="285" w:lineRule="auto" w:before="67" w:after="0"/>
        <w:ind w:left="590" w:right="371" w:hanging="359"/>
        <w:jc w:val="left"/>
        <w:rPr>
          <w:sz w:val="22"/>
        </w:rPr>
      </w:pPr>
      <w:r>
        <w:rPr>
          <w:sz w:val="22"/>
        </w:rPr>
        <w:t>Secondly,</w:t>
      </w:r>
      <w:r>
        <w:rPr>
          <w:spacing w:val="-1"/>
          <w:sz w:val="22"/>
        </w:rPr>
        <w:t> </w:t>
      </w:r>
      <w:r>
        <w:rPr>
          <w:sz w:val="22"/>
        </w:rPr>
        <w:t>would</w:t>
      </w:r>
      <w:r>
        <w:rPr>
          <w:spacing w:val="-3"/>
          <w:sz w:val="22"/>
        </w:rPr>
        <w:t> </w:t>
      </w:r>
      <w:r>
        <w:rPr>
          <w:sz w:val="22"/>
        </w:rPr>
        <w:t>further</w:t>
      </w:r>
      <w:r>
        <w:rPr>
          <w:spacing w:val="-4"/>
          <w:sz w:val="22"/>
        </w:rPr>
        <w:t> </w:t>
      </w:r>
      <w:r>
        <w:rPr>
          <w:sz w:val="22"/>
        </w:rPr>
        <w:t>research</w:t>
      </w:r>
      <w:r>
        <w:rPr>
          <w:spacing w:val="-2"/>
          <w:sz w:val="22"/>
        </w:rPr>
        <w:t> </w:t>
      </w:r>
      <w:r>
        <w:rPr>
          <w:sz w:val="22"/>
        </w:rPr>
        <w:t>and</w:t>
      </w:r>
      <w:r>
        <w:rPr>
          <w:spacing w:val="-5"/>
          <w:sz w:val="22"/>
        </w:rPr>
        <w:t> </w:t>
      </w:r>
      <w:r>
        <w:rPr>
          <w:sz w:val="22"/>
        </w:rPr>
        <w:t>development</w:t>
      </w:r>
      <w:r>
        <w:rPr>
          <w:spacing w:val="-1"/>
          <w:sz w:val="22"/>
        </w:rPr>
        <w:t> </w:t>
      </w:r>
      <w:r>
        <w:rPr>
          <w:sz w:val="22"/>
        </w:rPr>
        <w:t>have</w:t>
      </w:r>
      <w:r>
        <w:rPr>
          <w:spacing w:val="-3"/>
          <w:sz w:val="22"/>
        </w:rPr>
        <w:t> </w:t>
      </w:r>
      <w:r>
        <w:rPr>
          <w:sz w:val="22"/>
        </w:rPr>
        <w:t>a</w:t>
      </w:r>
      <w:r>
        <w:rPr>
          <w:spacing w:val="-4"/>
          <w:sz w:val="22"/>
        </w:rPr>
        <w:t> </w:t>
      </w:r>
      <w:r>
        <w:rPr>
          <w:sz w:val="22"/>
        </w:rPr>
        <w:t>sufficient</w:t>
      </w:r>
      <w:r>
        <w:rPr>
          <w:spacing w:val="-1"/>
          <w:sz w:val="22"/>
        </w:rPr>
        <w:t> </w:t>
      </w:r>
      <w:r>
        <w:rPr>
          <w:sz w:val="22"/>
        </w:rPr>
        <w:t>public</w:t>
      </w:r>
      <w:r>
        <w:rPr>
          <w:spacing w:val="-5"/>
          <w:sz w:val="22"/>
        </w:rPr>
        <w:t> </w:t>
      </w:r>
      <w:r>
        <w:rPr>
          <w:sz w:val="22"/>
        </w:rPr>
        <w:t>good</w:t>
      </w:r>
      <w:r>
        <w:rPr>
          <w:spacing w:val="-3"/>
          <w:sz w:val="22"/>
        </w:rPr>
        <w:t> </w:t>
      </w:r>
      <w:r>
        <w:rPr>
          <w:sz w:val="22"/>
        </w:rPr>
        <w:t>component</w:t>
      </w:r>
      <w:r>
        <w:rPr>
          <w:spacing w:val="-4"/>
          <w:sz w:val="22"/>
        </w:rPr>
        <w:t> </w:t>
      </w:r>
      <w:r>
        <w:rPr>
          <w:sz w:val="22"/>
        </w:rPr>
        <w:t>to warrant government funding?</w:t>
      </w:r>
    </w:p>
    <w:p>
      <w:pPr>
        <w:pStyle w:val="ListParagraph"/>
        <w:numPr>
          <w:ilvl w:val="0"/>
          <w:numId w:val="72"/>
        </w:numPr>
        <w:tabs>
          <w:tab w:pos="590" w:val="left" w:leader="none"/>
        </w:tabs>
        <w:spacing w:line="288" w:lineRule="auto" w:before="19" w:after="0"/>
        <w:ind w:left="590" w:right="656" w:hanging="359"/>
        <w:jc w:val="left"/>
        <w:rPr>
          <w:sz w:val="22"/>
        </w:rPr>
      </w:pPr>
      <w:r>
        <w:rPr>
          <w:sz w:val="22"/>
        </w:rPr>
        <w:t>Thirdly,</w:t>
      </w:r>
      <w:r>
        <w:rPr>
          <w:spacing w:val="-2"/>
          <w:sz w:val="22"/>
        </w:rPr>
        <w:t> </w:t>
      </w:r>
      <w:r>
        <w:rPr>
          <w:sz w:val="22"/>
        </w:rPr>
        <w:t>what</w:t>
      </w:r>
      <w:r>
        <w:rPr>
          <w:spacing w:val="-2"/>
          <w:sz w:val="22"/>
        </w:rPr>
        <w:t> </w:t>
      </w:r>
      <w:r>
        <w:rPr>
          <w:sz w:val="22"/>
        </w:rPr>
        <w:t>arrangements</w:t>
      </w:r>
      <w:r>
        <w:rPr>
          <w:spacing w:val="-3"/>
          <w:sz w:val="22"/>
        </w:rPr>
        <w:t> </w:t>
      </w:r>
      <w:r>
        <w:rPr>
          <w:sz w:val="22"/>
        </w:rPr>
        <w:t>should</w:t>
      </w:r>
      <w:r>
        <w:rPr>
          <w:spacing w:val="-6"/>
          <w:sz w:val="22"/>
        </w:rPr>
        <w:t> </w:t>
      </w:r>
      <w:r>
        <w:rPr>
          <w:sz w:val="22"/>
        </w:rPr>
        <w:t>be</w:t>
      </w:r>
      <w:r>
        <w:rPr>
          <w:spacing w:val="-4"/>
          <w:sz w:val="22"/>
        </w:rPr>
        <w:t> </w:t>
      </w:r>
      <w:r>
        <w:rPr>
          <w:sz w:val="22"/>
        </w:rPr>
        <w:t>considered</w:t>
      </w:r>
      <w:r>
        <w:rPr>
          <w:spacing w:val="-6"/>
          <w:sz w:val="22"/>
        </w:rPr>
        <w:t> </w:t>
      </w:r>
      <w:r>
        <w:rPr>
          <w:sz w:val="22"/>
        </w:rPr>
        <w:t>to</w:t>
      </w:r>
      <w:r>
        <w:rPr>
          <w:spacing w:val="-6"/>
          <w:sz w:val="22"/>
        </w:rPr>
        <w:t> </w:t>
      </w:r>
      <w:r>
        <w:rPr>
          <w:sz w:val="22"/>
        </w:rPr>
        <w:t>maximise</w:t>
      </w:r>
      <w:r>
        <w:rPr>
          <w:spacing w:val="-4"/>
          <w:sz w:val="22"/>
        </w:rPr>
        <w:t> </w:t>
      </w:r>
      <w:r>
        <w:rPr>
          <w:sz w:val="22"/>
        </w:rPr>
        <w:t>involvement</w:t>
      </w:r>
      <w:r>
        <w:rPr>
          <w:spacing w:val="-5"/>
          <w:sz w:val="22"/>
        </w:rPr>
        <w:t> </w:t>
      </w:r>
      <w:r>
        <w:rPr>
          <w:sz w:val="22"/>
        </w:rPr>
        <w:t>from distribution </w:t>
      </w:r>
      <w:r>
        <w:rPr>
          <w:spacing w:val="-2"/>
          <w:sz w:val="22"/>
        </w:rPr>
        <w:t>businesses?</w:t>
      </w:r>
    </w:p>
    <w:p>
      <w:pPr>
        <w:pStyle w:val="BodyText"/>
        <w:spacing w:before="8"/>
        <w:rPr>
          <w:sz w:val="20"/>
        </w:rPr>
      </w:pPr>
    </w:p>
    <w:p>
      <w:pPr>
        <w:pStyle w:val="BodyText"/>
        <w:spacing w:line="288" w:lineRule="auto"/>
        <w:ind w:left="232" w:right="374"/>
      </w:pPr>
      <w:r>
        <w:rPr/>
        <w:t>The information that has been provided to the Review indicates that the potential for technical innovation</w:t>
      </w:r>
      <w:r>
        <w:rPr>
          <w:spacing w:val="-3"/>
        </w:rPr>
        <w:t> </w:t>
      </w:r>
      <w:r>
        <w:rPr/>
        <w:t>to</w:t>
      </w:r>
      <w:r>
        <w:rPr>
          <w:spacing w:val="-3"/>
        </w:rPr>
        <w:t> </w:t>
      </w:r>
      <w:r>
        <w:rPr/>
        <w:t>achieve</w:t>
      </w:r>
      <w:r>
        <w:rPr>
          <w:spacing w:val="-3"/>
        </w:rPr>
        <w:t> </w:t>
      </w:r>
      <w:r>
        <w:rPr/>
        <w:t>greater</w:t>
      </w:r>
      <w:r>
        <w:rPr>
          <w:spacing w:val="-4"/>
        </w:rPr>
        <w:t> </w:t>
      </w:r>
      <w:r>
        <w:rPr/>
        <w:t>safety</w:t>
      </w:r>
      <w:r>
        <w:rPr>
          <w:spacing w:val="-5"/>
        </w:rPr>
        <w:t> </w:t>
      </w:r>
      <w:r>
        <w:rPr/>
        <w:t>has</w:t>
      </w:r>
      <w:r>
        <w:rPr>
          <w:spacing w:val="-2"/>
        </w:rPr>
        <w:t> </w:t>
      </w:r>
      <w:r>
        <w:rPr/>
        <w:t>not</w:t>
      </w:r>
      <w:r>
        <w:rPr>
          <w:spacing w:val="-1"/>
        </w:rPr>
        <w:t> </w:t>
      </w:r>
      <w:r>
        <w:rPr/>
        <w:t>been</w:t>
      </w:r>
      <w:r>
        <w:rPr>
          <w:spacing w:val="-7"/>
        </w:rPr>
        <w:t> </w:t>
      </w:r>
      <w:r>
        <w:rPr/>
        <w:t>exhausted.</w:t>
      </w:r>
      <w:r>
        <w:rPr>
          <w:spacing w:val="-2"/>
        </w:rPr>
        <w:t> </w:t>
      </w:r>
      <w:r>
        <w:rPr/>
        <w:t>Moreover,</w:t>
      </w:r>
      <w:r>
        <w:rPr>
          <w:spacing w:val="-1"/>
        </w:rPr>
        <w:t> </w:t>
      </w:r>
      <w:r>
        <w:rPr/>
        <w:t>research</w:t>
      </w:r>
      <w:r>
        <w:rPr>
          <w:spacing w:val="-3"/>
        </w:rPr>
        <w:t> </w:t>
      </w:r>
      <w:r>
        <w:rPr/>
        <w:t>in</w:t>
      </w:r>
      <w:r>
        <w:rPr>
          <w:spacing w:val="-5"/>
        </w:rPr>
        <w:t> </w:t>
      </w:r>
      <w:r>
        <w:rPr/>
        <w:t>this</w:t>
      </w:r>
      <w:r>
        <w:rPr>
          <w:spacing w:val="-2"/>
        </w:rPr>
        <w:t> </w:t>
      </w:r>
      <w:r>
        <w:rPr/>
        <w:t>area</w:t>
      </w:r>
      <w:r>
        <w:rPr>
          <w:spacing w:val="-3"/>
        </w:rPr>
        <w:t> </w:t>
      </w:r>
      <w:r>
        <w:rPr/>
        <w:t>is likely to involve clear public good dimensions that would justify government funding.</w:t>
      </w:r>
    </w:p>
    <w:p>
      <w:pPr>
        <w:pStyle w:val="BodyText"/>
        <w:rPr>
          <w:sz w:val="21"/>
        </w:rPr>
      </w:pPr>
    </w:p>
    <w:p>
      <w:pPr>
        <w:pStyle w:val="BodyText"/>
        <w:spacing w:line="288" w:lineRule="auto"/>
        <w:ind w:left="232" w:right="286"/>
      </w:pPr>
      <w:r>
        <w:rPr/>
        <w:t>It is, however, very difficult to</w:t>
      </w:r>
      <w:r>
        <w:rPr>
          <w:spacing w:val="-1"/>
        </w:rPr>
        <w:t> </w:t>
      </w:r>
      <w:r>
        <w:rPr/>
        <w:t>be definitive in any</w:t>
      </w:r>
      <w:r>
        <w:rPr>
          <w:spacing w:val="-1"/>
        </w:rPr>
        <w:t> </w:t>
      </w:r>
      <w:r>
        <w:rPr/>
        <w:t>way</w:t>
      </w:r>
      <w:r>
        <w:rPr>
          <w:spacing w:val="-1"/>
        </w:rPr>
        <w:t> </w:t>
      </w:r>
      <w:r>
        <w:rPr/>
        <w:t>as to how</w:t>
      </w:r>
      <w:r>
        <w:rPr>
          <w:spacing w:val="-2"/>
        </w:rPr>
        <w:t> </w:t>
      </w:r>
      <w:r>
        <w:rPr/>
        <w:t>much</w:t>
      </w:r>
      <w:r>
        <w:rPr>
          <w:spacing w:val="-4"/>
        </w:rPr>
        <w:t> </w:t>
      </w:r>
      <w:r>
        <w:rPr/>
        <w:t>funding might be</w:t>
      </w:r>
      <w:r>
        <w:rPr>
          <w:spacing w:val="-1"/>
        </w:rPr>
        <w:t> </w:t>
      </w:r>
      <w:r>
        <w:rPr/>
        <w:t>justified, at least given the available information. As a broad judgement, the Review would suggest a modest program of around $1 million per annum may be sufficient to continue focused areas of research, including</w:t>
      </w:r>
      <w:r>
        <w:rPr>
          <w:spacing w:val="-2"/>
        </w:rPr>
        <w:t> </w:t>
      </w:r>
      <w:r>
        <w:rPr/>
        <w:t>through</w:t>
      </w:r>
      <w:r>
        <w:rPr>
          <w:spacing w:val="-4"/>
        </w:rPr>
        <w:t> </w:t>
      </w:r>
      <w:r>
        <w:rPr/>
        <w:t>university</w:t>
      </w:r>
      <w:r>
        <w:rPr>
          <w:spacing w:val="-6"/>
        </w:rPr>
        <w:t> </w:t>
      </w:r>
      <w:r>
        <w:rPr/>
        <w:t>researchers and,</w:t>
      </w:r>
      <w:r>
        <w:rPr>
          <w:spacing w:val="-2"/>
        </w:rPr>
        <w:t> </w:t>
      </w:r>
      <w:r>
        <w:rPr/>
        <w:t>where</w:t>
      </w:r>
      <w:r>
        <w:rPr>
          <w:spacing w:val="-4"/>
        </w:rPr>
        <w:t> </w:t>
      </w:r>
      <w:r>
        <w:rPr/>
        <w:t>appropriate,</w:t>
      </w:r>
      <w:r>
        <w:rPr>
          <w:spacing w:val="-2"/>
        </w:rPr>
        <w:t> </w:t>
      </w:r>
      <w:r>
        <w:rPr/>
        <w:t>areas</w:t>
      </w:r>
      <w:r>
        <w:rPr>
          <w:spacing w:val="-6"/>
        </w:rPr>
        <w:t> </w:t>
      </w:r>
      <w:r>
        <w:rPr/>
        <w:t>of</w:t>
      </w:r>
      <w:r>
        <w:rPr>
          <w:spacing w:val="-2"/>
        </w:rPr>
        <w:t> </w:t>
      </w:r>
      <w:r>
        <w:rPr/>
        <w:t>research</w:t>
      </w:r>
      <w:r>
        <w:rPr>
          <w:spacing w:val="-3"/>
        </w:rPr>
        <w:t> </w:t>
      </w:r>
      <w:r>
        <w:rPr/>
        <w:t>by</w:t>
      </w:r>
      <w:r>
        <w:rPr>
          <w:spacing w:val="-6"/>
        </w:rPr>
        <w:t> </w:t>
      </w:r>
      <w:r>
        <w:rPr/>
        <w:t>other</w:t>
      </w:r>
      <w:r>
        <w:rPr>
          <w:spacing w:val="-5"/>
        </w:rPr>
        <w:t> </w:t>
      </w:r>
      <w:r>
        <w:rPr/>
        <w:t>parties with expertise such as equipment suppliers. If such a program were to be maintained, it should be undertaken jointly with distribution companies, and on the basis that government funding would be more than matched by contributions from distribution companies. The research and development fund should be technology neutral to allow the entry of emergent technologies in the future, or to facilitate improvements to existing technologies. ESV may be well placed to manage this program following the closure of the PBSP.</w:t>
      </w:r>
    </w:p>
    <w:p>
      <w:pPr>
        <w:pStyle w:val="BodyText"/>
        <w:rPr>
          <w:sz w:val="20"/>
        </w:rPr>
      </w:pPr>
    </w:p>
    <w:p>
      <w:pPr>
        <w:pStyle w:val="BodyText"/>
        <w:spacing w:before="1"/>
        <w:rPr>
          <w:sz w:val="25"/>
        </w:rPr>
      </w:pPr>
      <w:r>
        <w:rPr/>
        <mc:AlternateContent>
          <mc:Choice Requires="wps">
            <w:drawing>
              <wp:anchor distT="0" distB="0" distL="0" distR="0" allowOverlap="1" layoutInCell="1" locked="0" behindDoc="1" simplePos="0" relativeHeight="487647232">
                <wp:simplePos x="0" y="0"/>
                <wp:positionH relativeFrom="page">
                  <wp:posOffset>719327</wp:posOffset>
                </wp:positionH>
                <wp:positionV relativeFrom="paragraph">
                  <wp:posOffset>198421</wp:posOffset>
                </wp:positionV>
                <wp:extent cx="5870575" cy="2038350"/>
                <wp:effectExtent l="0" t="0" r="0" b="0"/>
                <wp:wrapTopAndBottom/>
                <wp:docPr id="179" name="Textbox 179"/>
                <wp:cNvGraphicFramePr>
                  <a:graphicFrameLocks/>
                </wp:cNvGraphicFramePr>
                <a:graphic>
                  <a:graphicData uri="http://schemas.microsoft.com/office/word/2010/wordprocessingShape">
                    <wps:wsp>
                      <wps:cNvPr id="179" name="Textbox 179"/>
                      <wps:cNvSpPr txBox="1"/>
                      <wps:spPr>
                        <a:xfrm>
                          <a:off x="0" y="0"/>
                          <a:ext cx="5870575" cy="2038350"/>
                        </a:xfrm>
                        <a:prstGeom prst="rect">
                          <a:avLst/>
                        </a:prstGeom>
                        <a:solidFill>
                          <a:srgbClr val="D9D9D9"/>
                        </a:solidFill>
                      </wps:spPr>
                      <wps:txbx>
                        <w:txbxContent>
                          <w:p>
                            <w:pPr>
                              <w:pStyle w:val="BodyText"/>
                              <w:rPr>
                                <w:color w:val="000000"/>
                                <w:sz w:val="24"/>
                              </w:rPr>
                            </w:pPr>
                          </w:p>
                          <w:p>
                            <w:pPr>
                              <w:spacing w:before="144"/>
                              <w:ind w:left="141" w:right="0" w:firstLine="0"/>
                              <w:jc w:val="left"/>
                              <w:rPr>
                                <w:b/>
                                <w:color w:val="000000"/>
                                <w:sz w:val="22"/>
                              </w:rPr>
                            </w:pPr>
                            <w:r>
                              <w:rPr>
                                <w:b/>
                                <w:color w:val="000000"/>
                                <w:sz w:val="22"/>
                              </w:rPr>
                              <w:t>Recommendation</w:t>
                            </w:r>
                            <w:r>
                              <w:rPr>
                                <w:b/>
                                <w:color w:val="000000"/>
                                <w:spacing w:val="-6"/>
                                <w:sz w:val="22"/>
                              </w:rPr>
                              <w:t> </w:t>
                            </w:r>
                            <w:r>
                              <w:rPr>
                                <w:b/>
                                <w:color w:val="000000"/>
                                <w:spacing w:val="-5"/>
                                <w:sz w:val="22"/>
                              </w:rPr>
                              <w:t>29</w:t>
                            </w:r>
                          </w:p>
                          <w:p>
                            <w:pPr>
                              <w:pStyle w:val="BodyText"/>
                              <w:spacing w:line="288" w:lineRule="auto" w:before="170"/>
                              <w:ind w:left="112" w:right="395"/>
                              <w:rPr>
                                <w:color w:val="000000"/>
                              </w:rPr>
                            </w:pPr>
                            <w:r>
                              <w:rPr>
                                <w:color w:val="000000"/>
                              </w:rPr>
                              <w:t>The Victorian Government should provide ongoing funding for further research and development into new technology to manage the bushfire risk from electric lines. Any funding</w:t>
                            </w:r>
                            <w:r>
                              <w:rPr>
                                <w:color w:val="000000"/>
                                <w:spacing w:val="-3"/>
                              </w:rPr>
                              <w:t> </w:t>
                            </w:r>
                            <w:r>
                              <w:rPr>
                                <w:color w:val="000000"/>
                              </w:rPr>
                              <w:t>should</w:t>
                            </w:r>
                            <w:r>
                              <w:rPr>
                                <w:color w:val="000000"/>
                                <w:spacing w:val="-3"/>
                              </w:rPr>
                              <w:t> </w:t>
                            </w:r>
                            <w:r>
                              <w:rPr>
                                <w:color w:val="000000"/>
                              </w:rPr>
                              <w:t>be</w:t>
                            </w:r>
                            <w:r>
                              <w:rPr>
                                <w:color w:val="000000"/>
                                <w:spacing w:val="-4"/>
                              </w:rPr>
                              <w:t> </w:t>
                            </w:r>
                            <w:r>
                              <w:rPr>
                                <w:color w:val="000000"/>
                              </w:rPr>
                              <w:t>contingent</w:t>
                            </w:r>
                            <w:r>
                              <w:rPr>
                                <w:color w:val="000000"/>
                                <w:spacing w:val="-1"/>
                              </w:rPr>
                              <w:t> </w:t>
                            </w:r>
                            <w:r>
                              <w:rPr>
                                <w:color w:val="000000"/>
                              </w:rPr>
                              <w:t>on</w:t>
                            </w:r>
                            <w:r>
                              <w:rPr>
                                <w:color w:val="000000"/>
                                <w:spacing w:val="-4"/>
                              </w:rPr>
                              <w:t> </w:t>
                            </w:r>
                            <w:r>
                              <w:rPr>
                                <w:color w:val="000000"/>
                              </w:rPr>
                              <w:t>being</w:t>
                            </w:r>
                            <w:r>
                              <w:rPr>
                                <w:color w:val="000000"/>
                                <w:spacing w:val="-3"/>
                              </w:rPr>
                              <w:t> </w:t>
                            </w:r>
                            <w:r>
                              <w:rPr>
                                <w:color w:val="000000"/>
                              </w:rPr>
                              <w:t>at</w:t>
                            </w:r>
                            <w:r>
                              <w:rPr>
                                <w:color w:val="000000"/>
                                <w:spacing w:val="-4"/>
                              </w:rPr>
                              <w:t> </w:t>
                            </w:r>
                            <w:r>
                              <w:rPr>
                                <w:color w:val="000000"/>
                              </w:rPr>
                              <w:t>least</w:t>
                            </w:r>
                            <w:r>
                              <w:rPr>
                                <w:color w:val="000000"/>
                                <w:spacing w:val="-4"/>
                              </w:rPr>
                              <w:t> </w:t>
                            </w:r>
                            <w:r>
                              <w:rPr>
                                <w:color w:val="000000"/>
                              </w:rPr>
                              <w:t>matched</w:t>
                            </w:r>
                            <w:r>
                              <w:rPr>
                                <w:color w:val="000000"/>
                                <w:spacing w:val="-3"/>
                              </w:rPr>
                              <w:t> </w:t>
                            </w:r>
                            <w:r>
                              <w:rPr>
                                <w:color w:val="000000"/>
                              </w:rPr>
                              <w:t>by</w:t>
                            </w:r>
                            <w:r>
                              <w:rPr>
                                <w:color w:val="000000"/>
                                <w:spacing w:val="-4"/>
                              </w:rPr>
                              <w:t> </w:t>
                            </w:r>
                            <w:r>
                              <w:rPr>
                                <w:color w:val="000000"/>
                              </w:rPr>
                              <w:t>contributions</w:t>
                            </w:r>
                            <w:r>
                              <w:rPr>
                                <w:color w:val="000000"/>
                                <w:spacing w:val="-6"/>
                              </w:rPr>
                              <w:t> </w:t>
                            </w:r>
                            <w:r>
                              <w:rPr>
                                <w:color w:val="000000"/>
                              </w:rPr>
                              <w:t>from</w:t>
                            </w:r>
                            <w:r>
                              <w:rPr>
                                <w:color w:val="000000"/>
                                <w:spacing w:val="-4"/>
                              </w:rPr>
                              <w:t> </w:t>
                            </w:r>
                            <w:r>
                              <w:rPr>
                                <w:color w:val="000000"/>
                              </w:rPr>
                              <w:t>distribution companies.</w:t>
                            </w:r>
                            <w:r>
                              <w:rPr>
                                <w:color w:val="000000"/>
                                <w:spacing w:val="-5"/>
                              </w:rPr>
                              <w:t> </w:t>
                            </w:r>
                            <w:r>
                              <w:rPr>
                                <w:color w:val="000000"/>
                              </w:rPr>
                              <w:t>The</w:t>
                            </w:r>
                            <w:r>
                              <w:rPr>
                                <w:color w:val="000000"/>
                                <w:spacing w:val="-2"/>
                              </w:rPr>
                              <w:t> </w:t>
                            </w:r>
                            <w:r>
                              <w:rPr>
                                <w:color w:val="000000"/>
                              </w:rPr>
                              <w:t>ongoing</w:t>
                            </w:r>
                            <w:r>
                              <w:rPr>
                                <w:color w:val="000000"/>
                                <w:spacing w:val="-2"/>
                              </w:rPr>
                              <w:t> </w:t>
                            </w:r>
                            <w:r>
                              <w:rPr>
                                <w:color w:val="000000"/>
                              </w:rPr>
                              <w:t>program</w:t>
                            </w:r>
                            <w:r>
                              <w:rPr>
                                <w:color w:val="000000"/>
                                <w:spacing w:val="-3"/>
                              </w:rPr>
                              <w:t> </w:t>
                            </w:r>
                            <w:r>
                              <w:rPr>
                                <w:color w:val="000000"/>
                              </w:rPr>
                              <w:t>should</w:t>
                            </w:r>
                            <w:r>
                              <w:rPr>
                                <w:color w:val="000000"/>
                                <w:spacing w:val="-2"/>
                              </w:rPr>
                              <w:t> </w:t>
                            </w:r>
                            <w:r>
                              <w:rPr>
                                <w:color w:val="000000"/>
                              </w:rPr>
                              <w:t>be</w:t>
                            </w:r>
                            <w:r>
                              <w:rPr>
                                <w:color w:val="000000"/>
                                <w:spacing w:val="-4"/>
                              </w:rPr>
                              <w:t> </w:t>
                            </w:r>
                            <w:r>
                              <w:rPr>
                                <w:color w:val="000000"/>
                              </w:rPr>
                              <w:t>managed</w:t>
                            </w:r>
                            <w:r>
                              <w:rPr>
                                <w:color w:val="000000"/>
                                <w:spacing w:val="-4"/>
                              </w:rPr>
                              <w:t> </w:t>
                            </w:r>
                            <w:r>
                              <w:rPr>
                                <w:color w:val="000000"/>
                              </w:rPr>
                              <w:t>jointly</w:t>
                            </w:r>
                            <w:r>
                              <w:rPr>
                                <w:color w:val="000000"/>
                                <w:spacing w:val="-4"/>
                              </w:rPr>
                              <w:t> </w:t>
                            </w:r>
                            <w:r>
                              <w:rPr>
                                <w:color w:val="000000"/>
                              </w:rPr>
                              <w:t>with</w:t>
                            </w:r>
                            <w:r>
                              <w:rPr>
                                <w:color w:val="000000"/>
                                <w:spacing w:val="-2"/>
                              </w:rPr>
                              <w:t> </w:t>
                            </w:r>
                            <w:r>
                              <w:rPr>
                                <w:color w:val="000000"/>
                              </w:rPr>
                              <w:t>distribution</w:t>
                            </w:r>
                            <w:r>
                              <w:rPr>
                                <w:color w:val="000000"/>
                                <w:spacing w:val="-2"/>
                              </w:rPr>
                              <w:t> </w:t>
                            </w:r>
                            <w:r>
                              <w:rPr>
                                <w:color w:val="000000"/>
                              </w:rPr>
                              <w:t>companies and involve input from university researchers. It should be subject to evaluation at least every four years, with the continued provision of public funding to be contingent on satisfactory research performance.</w:t>
                            </w:r>
                          </w:p>
                        </w:txbxContent>
                      </wps:txbx>
                      <wps:bodyPr wrap="square" lIns="0" tIns="0" rIns="0" bIns="0" rtlCol="0">
                        <a:noAutofit/>
                      </wps:bodyPr>
                    </wps:wsp>
                  </a:graphicData>
                </a:graphic>
              </wp:anchor>
            </w:drawing>
          </mc:Choice>
          <mc:Fallback>
            <w:pict>
              <v:shape style="position:absolute;margin-left:56.639999pt;margin-top:15.623779pt;width:462.25pt;height:160.5pt;mso-position-horizontal-relative:page;mso-position-vertical-relative:paragraph;z-index:-15669248;mso-wrap-distance-left:0;mso-wrap-distance-right:0" type="#_x0000_t202" id="docshape158" filled="true" fillcolor="#d9d9d9" stroked="false">
                <v:textbox inset="0,0,0,0">
                  <w:txbxContent>
                    <w:p>
                      <w:pPr>
                        <w:pStyle w:val="BodyText"/>
                        <w:rPr>
                          <w:color w:val="000000"/>
                          <w:sz w:val="24"/>
                        </w:rPr>
                      </w:pPr>
                    </w:p>
                    <w:p>
                      <w:pPr>
                        <w:spacing w:before="144"/>
                        <w:ind w:left="141" w:right="0" w:firstLine="0"/>
                        <w:jc w:val="left"/>
                        <w:rPr>
                          <w:b/>
                          <w:color w:val="000000"/>
                          <w:sz w:val="22"/>
                        </w:rPr>
                      </w:pPr>
                      <w:r>
                        <w:rPr>
                          <w:b/>
                          <w:color w:val="000000"/>
                          <w:sz w:val="22"/>
                        </w:rPr>
                        <w:t>Recommendation</w:t>
                      </w:r>
                      <w:r>
                        <w:rPr>
                          <w:b/>
                          <w:color w:val="000000"/>
                          <w:spacing w:val="-6"/>
                          <w:sz w:val="22"/>
                        </w:rPr>
                        <w:t> </w:t>
                      </w:r>
                      <w:r>
                        <w:rPr>
                          <w:b/>
                          <w:color w:val="000000"/>
                          <w:spacing w:val="-5"/>
                          <w:sz w:val="22"/>
                        </w:rPr>
                        <w:t>29</w:t>
                      </w:r>
                    </w:p>
                    <w:p>
                      <w:pPr>
                        <w:pStyle w:val="BodyText"/>
                        <w:spacing w:line="288" w:lineRule="auto" w:before="170"/>
                        <w:ind w:left="112" w:right="395"/>
                        <w:rPr>
                          <w:color w:val="000000"/>
                        </w:rPr>
                      </w:pPr>
                      <w:r>
                        <w:rPr>
                          <w:color w:val="000000"/>
                        </w:rPr>
                        <w:t>The Victorian Government should provide ongoing funding for further research and development into new technology to manage the bushfire risk from electric lines. Any funding</w:t>
                      </w:r>
                      <w:r>
                        <w:rPr>
                          <w:color w:val="000000"/>
                          <w:spacing w:val="-3"/>
                        </w:rPr>
                        <w:t> </w:t>
                      </w:r>
                      <w:r>
                        <w:rPr>
                          <w:color w:val="000000"/>
                        </w:rPr>
                        <w:t>should</w:t>
                      </w:r>
                      <w:r>
                        <w:rPr>
                          <w:color w:val="000000"/>
                          <w:spacing w:val="-3"/>
                        </w:rPr>
                        <w:t> </w:t>
                      </w:r>
                      <w:r>
                        <w:rPr>
                          <w:color w:val="000000"/>
                        </w:rPr>
                        <w:t>be</w:t>
                      </w:r>
                      <w:r>
                        <w:rPr>
                          <w:color w:val="000000"/>
                          <w:spacing w:val="-4"/>
                        </w:rPr>
                        <w:t> </w:t>
                      </w:r>
                      <w:r>
                        <w:rPr>
                          <w:color w:val="000000"/>
                        </w:rPr>
                        <w:t>contingent</w:t>
                      </w:r>
                      <w:r>
                        <w:rPr>
                          <w:color w:val="000000"/>
                          <w:spacing w:val="-1"/>
                        </w:rPr>
                        <w:t> </w:t>
                      </w:r>
                      <w:r>
                        <w:rPr>
                          <w:color w:val="000000"/>
                        </w:rPr>
                        <w:t>on</w:t>
                      </w:r>
                      <w:r>
                        <w:rPr>
                          <w:color w:val="000000"/>
                          <w:spacing w:val="-4"/>
                        </w:rPr>
                        <w:t> </w:t>
                      </w:r>
                      <w:r>
                        <w:rPr>
                          <w:color w:val="000000"/>
                        </w:rPr>
                        <w:t>being</w:t>
                      </w:r>
                      <w:r>
                        <w:rPr>
                          <w:color w:val="000000"/>
                          <w:spacing w:val="-3"/>
                        </w:rPr>
                        <w:t> </w:t>
                      </w:r>
                      <w:r>
                        <w:rPr>
                          <w:color w:val="000000"/>
                        </w:rPr>
                        <w:t>at</w:t>
                      </w:r>
                      <w:r>
                        <w:rPr>
                          <w:color w:val="000000"/>
                          <w:spacing w:val="-4"/>
                        </w:rPr>
                        <w:t> </w:t>
                      </w:r>
                      <w:r>
                        <w:rPr>
                          <w:color w:val="000000"/>
                        </w:rPr>
                        <w:t>least</w:t>
                      </w:r>
                      <w:r>
                        <w:rPr>
                          <w:color w:val="000000"/>
                          <w:spacing w:val="-4"/>
                        </w:rPr>
                        <w:t> </w:t>
                      </w:r>
                      <w:r>
                        <w:rPr>
                          <w:color w:val="000000"/>
                        </w:rPr>
                        <w:t>matched</w:t>
                      </w:r>
                      <w:r>
                        <w:rPr>
                          <w:color w:val="000000"/>
                          <w:spacing w:val="-3"/>
                        </w:rPr>
                        <w:t> </w:t>
                      </w:r>
                      <w:r>
                        <w:rPr>
                          <w:color w:val="000000"/>
                        </w:rPr>
                        <w:t>by</w:t>
                      </w:r>
                      <w:r>
                        <w:rPr>
                          <w:color w:val="000000"/>
                          <w:spacing w:val="-4"/>
                        </w:rPr>
                        <w:t> </w:t>
                      </w:r>
                      <w:r>
                        <w:rPr>
                          <w:color w:val="000000"/>
                        </w:rPr>
                        <w:t>contributions</w:t>
                      </w:r>
                      <w:r>
                        <w:rPr>
                          <w:color w:val="000000"/>
                          <w:spacing w:val="-6"/>
                        </w:rPr>
                        <w:t> </w:t>
                      </w:r>
                      <w:r>
                        <w:rPr>
                          <w:color w:val="000000"/>
                        </w:rPr>
                        <w:t>from</w:t>
                      </w:r>
                      <w:r>
                        <w:rPr>
                          <w:color w:val="000000"/>
                          <w:spacing w:val="-4"/>
                        </w:rPr>
                        <w:t> </w:t>
                      </w:r>
                      <w:r>
                        <w:rPr>
                          <w:color w:val="000000"/>
                        </w:rPr>
                        <w:t>distribution companies.</w:t>
                      </w:r>
                      <w:r>
                        <w:rPr>
                          <w:color w:val="000000"/>
                          <w:spacing w:val="-5"/>
                        </w:rPr>
                        <w:t> </w:t>
                      </w:r>
                      <w:r>
                        <w:rPr>
                          <w:color w:val="000000"/>
                        </w:rPr>
                        <w:t>The</w:t>
                      </w:r>
                      <w:r>
                        <w:rPr>
                          <w:color w:val="000000"/>
                          <w:spacing w:val="-2"/>
                        </w:rPr>
                        <w:t> </w:t>
                      </w:r>
                      <w:r>
                        <w:rPr>
                          <w:color w:val="000000"/>
                        </w:rPr>
                        <w:t>ongoing</w:t>
                      </w:r>
                      <w:r>
                        <w:rPr>
                          <w:color w:val="000000"/>
                          <w:spacing w:val="-2"/>
                        </w:rPr>
                        <w:t> </w:t>
                      </w:r>
                      <w:r>
                        <w:rPr>
                          <w:color w:val="000000"/>
                        </w:rPr>
                        <w:t>program</w:t>
                      </w:r>
                      <w:r>
                        <w:rPr>
                          <w:color w:val="000000"/>
                          <w:spacing w:val="-3"/>
                        </w:rPr>
                        <w:t> </w:t>
                      </w:r>
                      <w:r>
                        <w:rPr>
                          <w:color w:val="000000"/>
                        </w:rPr>
                        <w:t>should</w:t>
                      </w:r>
                      <w:r>
                        <w:rPr>
                          <w:color w:val="000000"/>
                          <w:spacing w:val="-2"/>
                        </w:rPr>
                        <w:t> </w:t>
                      </w:r>
                      <w:r>
                        <w:rPr>
                          <w:color w:val="000000"/>
                        </w:rPr>
                        <w:t>be</w:t>
                      </w:r>
                      <w:r>
                        <w:rPr>
                          <w:color w:val="000000"/>
                          <w:spacing w:val="-4"/>
                        </w:rPr>
                        <w:t> </w:t>
                      </w:r>
                      <w:r>
                        <w:rPr>
                          <w:color w:val="000000"/>
                        </w:rPr>
                        <w:t>managed</w:t>
                      </w:r>
                      <w:r>
                        <w:rPr>
                          <w:color w:val="000000"/>
                          <w:spacing w:val="-4"/>
                        </w:rPr>
                        <w:t> </w:t>
                      </w:r>
                      <w:r>
                        <w:rPr>
                          <w:color w:val="000000"/>
                        </w:rPr>
                        <w:t>jointly</w:t>
                      </w:r>
                      <w:r>
                        <w:rPr>
                          <w:color w:val="000000"/>
                          <w:spacing w:val="-4"/>
                        </w:rPr>
                        <w:t> </w:t>
                      </w:r>
                      <w:r>
                        <w:rPr>
                          <w:color w:val="000000"/>
                        </w:rPr>
                        <w:t>with</w:t>
                      </w:r>
                      <w:r>
                        <w:rPr>
                          <w:color w:val="000000"/>
                          <w:spacing w:val="-2"/>
                        </w:rPr>
                        <w:t> </w:t>
                      </w:r>
                      <w:r>
                        <w:rPr>
                          <w:color w:val="000000"/>
                        </w:rPr>
                        <w:t>distribution</w:t>
                      </w:r>
                      <w:r>
                        <w:rPr>
                          <w:color w:val="000000"/>
                          <w:spacing w:val="-2"/>
                        </w:rPr>
                        <w:t> </w:t>
                      </w:r>
                      <w:r>
                        <w:rPr>
                          <w:color w:val="000000"/>
                        </w:rPr>
                        <w:t>companies and involve input from university researchers. It should be subject to evaluation at least every four years, with the continued provision of public funding to be contingent on satisfactory research performance.</w:t>
                      </w:r>
                    </w:p>
                  </w:txbxContent>
                </v:textbox>
                <v:fill type="solid"/>
                <w10:wrap type="topAndBottom"/>
              </v:shape>
            </w:pict>
          </mc:Fallback>
        </mc:AlternateContent>
      </w:r>
    </w:p>
    <w:p>
      <w:pPr>
        <w:spacing w:after="0"/>
        <w:rPr>
          <w:sz w:val="25"/>
        </w:rPr>
        <w:sectPr>
          <w:pgSz w:w="11910" w:h="16850"/>
          <w:pgMar w:header="220" w:footer="678" w:top="420" w:bottom="860" w:left="900" w:right="840"/>
        </w:sectPr>
      </w:pPr>
    </w:p>
    <w:p>
      <w:pPr>
        <w:pStyle w:val="BodyText"/>
        <w:rPr>
          <w:sz w:val="20"/>
        </w:rPr>
      </w:pPr>
    </w:p>
    <w:p>
      <w:pPr>
        <w:pStyle w:val="BodyText"/>
        <w:spacing w:before="4"/>
        <w:rPr>
          <w:sz w:val="19"/>
        </w:rPr>
      </w:pPr>
    </w:p>
    <w:p>
      <w:pPr>
        <w:pStyle w:val="Heading4"/>
      </w:pPr>
      <w:r>
        <w:rPr>
          <w:color w:val="585858"/>
          <w:spacing w:val="-2"/>
        </w:rPr>
        <w:t>References</w:t>
      </w:r>
    </w:p>
    <w:p>
      <w:pPr>
        <w:spacing w:before="186"/>
        <w:ind w:left="232" w:right="0" w:firstLine="0"/>
        <w:jc w:val="left"/>
        <w:rPr>
          <w:sz w:val="18"/>
        </w:rPr>
      </w:pPr>
      <w:r>
        <w:rPr>
          <w:sz w:val="18"/>
        </w:rPr>
        <w:t>2009</w:t>
      </w:r>
      <w:r>
        <w:rPr>
          <w:spacing w:val="-6"/>
          <w:sz w:val="18"/>
        </w:rPr>
        <w:t> </w:t>
      </w:r>
      <w:r>
        <w:rPr>
          <w:sz w:val="18"/>
        </w:rPr>
        <w:t>Victorian</w:t>
      </w:r>
      <w:r>
        <w:rPr>
          <w:spacing w:val="-8"/>
          <w:sz w:val="18"/>
        </w:rPr>
        <w:t> </w:t>
      </w:r>
      <w:r>
        <w:rPr>
          <w:sz w:val="18"/>
        </w:rPr>
        <w:t>Bushfires</w:t>
      </w:r>
      <w:r>
        <w:rPr>
          <w:spacing w:val="-5"/>
          <w:sz w:val="18"/>
        </w:rPr>
        <w:t> </w:t>
      </w:r>
      <w:r>
        <w:rPr>
          <w:sz w:val="18"/>
        </w:rPr>
        <w:t>Royal</w:t>
      </w:r>
      <w:r>
        <w:rPr>
          <w:spacing w:val="-6"/>
          <w:sz w:val="18"/>
        </w:rPr>
        <w:t> </w:t>
      </w:r>
      <w:r>
        <w:rPr>
          <w:sz w:val="18"/>
        </w:rPr>
        <w:t>Commission,</w:t>
      </w:r>
      <w:r>
        <w:rPr>
          <w:spacing w:val="-5"/>
          <w:sz w:val="18"/>
        </w:rPr>
        <w:t> </w:t>
      </w:r>
      <w:r>
        <w:rPr>
          <w:sz w:val="18"/>
        </w:rPr>
        <w:t>2010.</w:t>
      </w:r>
      <w:r>
        <w:rPr>
          <w:spacing w:val="-2"/>
          <w:sz w:val="18"/>
        </w:rPr>
        <w:t> </w:t>
      </w:r>
      <w:r>
        <w:rPr>
          <w:i/>
          <w:sz w:val="18"/>
        </w:rPr>
        <w:t>Final</w:t>
      </w:r>
      <w:r>
        <w:rPr>
          <w:i/>
          <w:spacing w:val="-6"/>
          <w:sz w:val="18"/>
        </w:rPr>
        <w:t> </w:t>
      </w:r>
      <w:r>
        <w:rPr>
          <w:i/>
          <w:sz w:val="18"/>
        </w:rPr>
        <w:t>Report:</w:t>
      </w:r>
      <w:r>
        <w:rPr>
          <w:i/>
          <w:spacing w:val="-5"/>
          <w:sz w:val="18"/>
        </w:rPr>
        <w:t> </w:t>
      </w:r>
      <w:r>
        <w:rPr>
          <w:i/>
          <w:spacing w:val="-2"/>
          <w:sz w:val="18"/>
        </w:rPr>
        <w:t>Summary</w:t>
      </w:r>
      <w:r>
        <w:rPr>
          <w:spacing w:val="-2"/>
          <w:sz w:val="18"/>
        </w:rPr>
        <w:t>.</w:t>
      </w:r>
    </w:p>
    <w:p>
      <w:pPr>
        <w:spacing w:line="360" w:lineRule="auto" w:before="103"/>
        <w:ind w:left="232" w:right="1516" w:firstLine="0"/>
        <w:jc w:val="left"/>
        <w:rPr>
          <w:sz w:val="18"/>
        </w:rPr>
      </w:pPr>
      <w:r>
        <w:rPr>
          <w:sz w:val="18"/>
        </w:rPr>
        <w:t>ACIL</w:t>
      </w:r>
      <w:r>
        <w:rPr>
          <w:spacing w:val="-3"/>
          <w:sz w:val="18"/>
        </w:rPr>
        <w:t> </w:t>
      </w:r>
      <w:r>
        <w:rPr>
          <w:sz w:val="18"/>
        </w:rPr>
        <w:t>Allen</w:t>
      </w:r>
      <w:r>
        <w:rPr>
          <w:spacing w:val="-3"/>
          <w:sz w:val="18"/>
        </w:rPr>
        <w:t> </w:t>
      </w:r>
      <w:r>
        <w:rPr>
          <w:sz w:val="18"/>
        </w:rPr>
        <w:t>Consulting,</w:t>
      </w:r>
      <w:r>
        <w:rPr>
          <w:spacing w:val="-3"/>
          <w:sz w:val="18"/>
        </w:rPr>
        <w:t> </w:t>
      </w:r>
      <w:r>
        <w:rPr>
          <w:sz w:val="18"/>
        </w:rPr>
        <w:t>2015.</w:t>
      </w:r>
      <w:r>
        <w:rPr>
          <w:spacing w:val="-3"/>
          <w:sz w:val="18"/>
        </w:rPr>
        <w:t> </w:t>
      </w:r>
      <w:r>
        <w:rPr>
          <w:i/>
          <w:sz w:val="18"/>
        </w:rPr>
        <w:t>Regulatory</w:t>
      </w:r>
      <w:r>
        <w:rPr>
          <w:i/>
          <w:spacing w:val="-4"/>
          <w:sz w:val="18"/>
        </w:rPr>
        <w:t> </w:t>
      </w:r>
      <w:r>
        <w:rPr>
          <w:i/>
          <w:sz w:val="18"/>
        </w:rPr>
        <w:t>Impact</w:t>
      </w:r>
      <w:r>
        <w:rPr>
          <w:i/>
          <w:spacing w:val="-5"/>
          <w:sz w:val="18"/>
        </w:rPr>
        <w:t> </w:t>
      </w:r>
      <w:r>
        <w:rPr>
          <w:i/>
          <w:sz w:val="18"/>
        </w:rPr>
        <w:t>Statement:</w:t>
      </w:r>
      <w:r>
        <w:rPr>
          <w:i/>
          <w:spacing w:val="-5"/>
          <w:sz w:val="18"/>
        </w:rPr>
        <w:t> </w:t>
      </w:r>
      <w:r>
        <w:rPr>
          <w:i/>
          <w:sz w:val="18"/>
        </w:rPr>
        <w:t>Bushfire</w:t>
      </w:r>
      <w:r>
        <w:rPr>
          <w:i/>
          <w:spacing w:val="-3"/>
          <w:sz w:val="18"/>
        </w:rPr>
        <w:t> </w:t>
      </w:r>
      <w:r>
        <w:rPr>
          <w:i/>
          <w:sz w:val="18"/>
        </w:rPr>
        <w:t>Mitigation</w:t>
      </w:r>
      <w:r>
        <w:rPr>
          <w:i/>
          <w:spacing w:val="-3"/>
          <w:sz w:val="18"/>
        </w:rPr>
        <w:t> </w:t>
      </w:r>
      <w:r>
        <w:rPr>
          <w:i/>
          <w:sz w:val="18"/>
        </w:rPr>
        <w:t>Regulations</w:t>
      </w:r>
      <w:r>
        <w:rPr>
          <w:i/>
          <w:spacing w:val="-2"/>
          <w:sz w:val="18"/>
        </w:rPr>
        <w:t> </w:t>
      </w:r>
      <w:r>
        <w:rPr>
          <w:i/>
          <w:sz w:val="18"/>
        </w:rPr>
        <w:t>Amendment</w:t>
      </w:r>
      <w:r>
        <w:rPr>
          <w:sz w:val="18"/>
        </w:rPr>
        <w:t>. AER, 2016. </w:t>
      </w:r>
      <w:r>
        <w:rPr>
          <w:i/>
          <w:sz w:val="18"/>
        </w:rPr>
        <w:t>AER Statement of intent 2016-17, </w:t>
      </w:r>
      <w:r>
        <w:rPr>
          <w:sz w:val="18"/>
        </w:rPr>
        <w:t>Canberra.</w:t>
      </w:r>
    </w:p>
    <w:p>
      <w:pPr>
        <w:spacing w:line="360" w:lineRule="auto" w:before="1"/>
        <w:ind w:left="232" w:right="374" w:firstLine="0"/>
        <w:jc w:val="left"/>
        <w:rPr>
          <w:sz w:val="18"/>
        </w:rPr>
      </w:pPr>
      <w:r>
        <w:rPr>
          <w:sz w:val="18"/>
        </w:rPr>
        <w:t>AER,</w:t>
      </w:r>
      <w:r>
        <w:rPr>
          <w:spacing w:val="-3"/>
          <w:sz w:val="18"/>
        </w:rPr>
        <w:t> </w:t>
      </w:r>
      <w:r>
        <w:rPr>
          <w:sz w:val="18"/>
        </w:rPr>
        <w:t>2017.</w:t>
      </w:r>
      <w:r>
        <w:rPr>
          <w:spacing w:val="-4"/>
          <w:sz w:val="18"/>
        </w:rPr>
        <w:t> </w:t>
      </w:r>
      <w:r>
        <w:rPr>
          <w:i/>
          <w:sz w:val="18"/>
        </w:rPr>
        <w:t>FINAL</w:t>
      </w:r>
      <w:r>
        <w:rPr>
          <w:i/>
          <w:spacing w:val="-3"/>
          <w:sz w:val="18"/>
        </w:rPr>
        <w:t> </w:t>
      </w:r>
      <w:r>
        <w:rPr>
          <w:i/>
          <w:sz w:val="18"/>
        </w:rPr>
        <w:t>Decision</w:t>
      </w:r>
      <w:r>
        <w:rPr>
          <w:i/>
          <w:spacing w:val="-2"/>
          <w:sz w:val="18"/>
        </w:rPr>
        <w:t> </w:t>
      </w:r>
      <w:r>
        <w:rPr>
          <w:i/>
          <w:sz w:val="18"/>
        </w:rPr>
        <w:t>AusNet</w:t>
      </w:r>
      <w:r>
        <w:rPr>
          <w:i/>
          <w:spacing w:val="-3"/>
          <w:sz w:val="18"/>
        </w:rPr>
        <w:t> </w:t>
      </w:r>
      <w:r>
        <w:rPr>
          <w:i/>
          <w:sz w:val="18"/>
        </w:rPr>
        <w:t>Services</w:t>
      </w:r>
      <w:r>
        <w:rPr>
          <w:i/>
          <w:spacing w:val="-2"/>
          <w:sz w:val="18"/>
        </w:rPr>
        <w:t> </w:t>
      </w:r>
      <w:r>
        <w:rPr>
          <w:i/>
          <w:sz w:val="18"/>
        </w:rPr>
        <w:t>Contingent</w:t>
      </w:r>
      <w:r>
        <w:rPr>
          <w:i/>
          <w:spacing w:val="-3"/>
          <w:sz w:val="18"/>
        </w:rPr>
        <w:t> </w:t>
      </w:r>
      <w:r>
        <w:rPr>
          <w:i/>
          <w:sz w:val="18"/>
        </w:rPr>
        <w:t>Project:</w:t>
      </w:r>
      <w:r>
        <w:rPr>
          <w:i/>
          <w:spacing w:val="-3"/>
          <w:sz w:val="18"/>
        </w:rPr>
        <w:t> </w:t>
      </w:r>
      <w:r>
        <w:rPr>
          <w:i/>
          <w:sz w:val="18"/>
        </w:rPr>
        <w:t>Installation</w:t>
      </w:r>
      <w:r>
        <w:rPr>
          <w:i/>
          <w:spacing w:val="-5"/>
          <w:sz w:val="18"/>
        </w:rPr>
        <w:t> </w:t>
      </w:r>
      <w:r>
        <w:rPr>
          <w:i/>
          <w:sz w:val="18"/>
        </w:rPr>
        <w:t>of</w:t>
      </w:r>
      <w:r>
        <w:rPr>
          <w:i/>
          <w:spacing w:val="-3"/>
          <w:sz w:val="18"/>
        </w:rPr>
        <w:t> </w:t>
      </w:r>
      <w:r>
        <w:rPr>
          <w:i/>
          <w:sz w:val="18"/>
        </w:rPr>
        <w:t>Rapid</w:t>
      </w:r>
      <w:r>
        <w:rPr>
          <w:i/>
          <w:spacing w:val="-3"/>
          <w:sz w:val="18"/>
        </w:rPr>
        <w:t> </w:t>
      </w:r>
      <w:r>
        <w:rPr>
          <w:i/>
          <w:sz w:val="18"/>
        </w:rPr>
        <w:t>Earth</w:t>
      </w:r>
      <w:r>
        <w:rPr>
          <w:i/>
          <w:spacing w:val="-3"/>
          <w:sz w:val="18"/>
        </w:rPr>
        <w:t> </w:t>
      </w:r>
      <w:r>
        <w:rPr>
          <w:i/>
          <w:sz w:val="18"/>
        </w:rPr>
        <w:t>Fault</w:t>
      </w:r>
      <w:r>
        <w:rPr>
          <w:i/>
          <w:spacing w:val="-3"/>
          <w:sz w:val="18"/>
        </w:rPr>
        <w:t> </w:t>
      </w:r>
      <w:r>
        <w:rPr>
          <w:i/>
          <w:sz w:val="18"/>
        </w:rPr>
        <w:t>Current</w:t>
      </w:r>
      <w:r>
        <w:rPr>
          <w:i/>
          <w:spacing w:val="-3"/>
          <w:sz w:val="18"/>
        </w:rPr>
        <w:t> </w:t>
      </w:r>
      <w:r>
        <w:rPr>
          <w:i/>
          <w:sz w:val="18"/>
        </w:rPr>
        <w:t>Limiters (REFCLs)– Tranche 1</w:t>
      </w:r>
      <w:r>
        <w:rPr>
          <w:sz w:val="18"/>
        </w:rPr>
        <w:t>.</w:t>
      </w:r>
    </w:p>
    <w:p>
      <w:pPr>
        <w:spacing w:line="362" w:lineRule="auto" w:before="0"/>
        <w:ind w:left="232" w:right="374" w:firstLine="0"/>
        <w:jc w:val="left"/>
        <w:rPr>
          <w:sz w:val="18"/>
        </w:rPr>
      </w:pPr>
      <w:r>
        <w:rPr>
          <w:sz w:val="18"/>
        </w:rPr>
        <w:t>AER,</w:t>
      </w:r>
      <w:r>
        <w:rPr>
          <w:spacing w:val="-3"/>
          <w:sz w:val="18"/>
        </w:rPr>
        <w:t> </w:t>
      </w:r>
      <w:r>
        <w:rPr>
          <w:sz w:val="18"/>
        </w:rPr>
        <w:t>2017.</w:t>
      </w:r>
      <w:r>
        <w:rPr>
          <w:spacing w:val="-4"/>
          <w:sz w:val="18"/>
        </w:rPr>
        <w:t> </w:t>
      </w:r>
      <w:r>
        <w:rPr>
          <w:i/>
          <w:sz w:val="18"/>
        </w:rPr>
        <w:t>Final</w:t>
      </w:r>
      <w:r>
        <w:rPr>
          <w:i/>
          <w:spacing w:val="-3"/>
          <w:sz w:val="18"/>
        </w:rPr>
        <w:t> </w:t>
      </w:r>
      <w:r>
        <w:rPr>
          <w:i/>
          <w:sz w:val="18"/>
        </w:rPr>
        <w:t>Decision</w:t>
      </w:r>
      <w:r>
        <w:rPr>
          <w:i/>
          <w:spacing w:val="-3"/>
          <w:sz w:val="18"/>
        </w:rPr>
        <w:t> </w:t>
      </w:r>
      <w:r>
        <w:rPr>
          <w:i/>
          <w:sz w:val="18"/>
        </w:rPr>
        <w:t>Powercor</w:t>
      </w:r>
      <w:r>
        <w:rPr>
          <w:i/>
          <w:spacing w:val="-3"/>
          <w:sz w:val="18"/>
        </w:rPr>
        <w:t> </w:t>
      </w:r>
      <w:r>
        <w:rPr>
          <w:i/>
          <w:sz w:val="18"/>
        </w:rPr>
        <w:t>Australia</w:t>
      </w:r>
      <w:r>
        <w:rPr>
          <w:i/>
          <w:spacing w:val="-3"/>
          <w:sz w:val="18"/>
        </w:rPr>
        <w:t> </w:t>
      </w:r>
      <w:r>
        <w:rPr>
          <w:i/>
          <w:sz w:val="18"/>
        </w:rPr>
        <w:t>Contingent</w:t>
      </w:r>
      <w:r>
        <w:rPr>
          <w:i/>
          <w:spacing w:val="-3"/>
          <w:sz w:val="18"/>
        </w:rPr>
        <w:t> </w:t>
      </w:r>
      <w:r>
        <w:rPr>
          <w:i/>
          <w:sz w:val="18"/>
        </w:rPr>
        <w:t>Project:</w:t>
      </w:r>
      <w:r>
        <w:rPr>
          <w:i/>
          <w:spacing w:val="-3"/>
          <w:sz w:val="18"/>
        </w:rPr>
        <w:t> </w:t>
      </w:r>
      <w:r>
        <w:rPr>
          <w:i/>
          <w:sz w:val="18"/>
        </w:rPr>
        <w:t>Installation</w:t>
      </w:r>
      <w:r>
        <w:rPr>
          <w:i/>
          <w:spacing w:val="-5"/>
          <w:sz w:val="18"/>
        </w:rPr>
        <w:t> </w:t>
      </w:r>
      <w:r>
        <w:rPr>
          <w:i/>
          <w:sz w:val="18"/>
        </w:rPr>
        <w:t>of</w:t>
      </w:r>
      <w:r>
        <w:rPr>
          <w:i/>
          <w:spacing w:val="-3"/>
          <w:sz w:val="18"/>
        </w:rPr>
        <w:t> </w:t>
      </w:r>
      <w:r>
        <w:rPr>
          <w:i/>
          <w:sz w:val="18"/>
        </w:rPr>
        <w:t>Rapid</w:t>
      </w:r>
      <w:r>
        <w:rPr>
          <w:i/>
          <w:spacing w:val="-3"/>
          <w:sz w:val="18"/>
        </w:rPr>
        <w:t> </w:t>
      </w:r>
      <w:r>
        <w:rPr>
          <w:i/>
          <w:sz w:val="18"/>
        </w:rPr>
        <w:t>Earth</w:t>
      </w:r>
      <w:r>
        <w:rPr>
          <w:i/>
          <w:spacing w:val="-3"/>
          <w:sz w:val="18"/>
        </w:rPr>
        <w:t> </w:t>
      </w:r>
      <w:r>
        <w:rPr>
          <w:i/>
          <w:sz w:val="18"/>
        </w:rPr>
        <w:t>Fault</w:t>
      </w:r>
      <w:r>
        <w:rPr>
          <w:i/>
          <w:spacing w:val="-3"/>
          <w:sz w:val="18"/>
        </w:rPr>
        <w:t> </w:t>
      </w:r>
      <w:r>
        <w:rPr>
          <w:i/>
          <w:sz w:val="18"/>
        </w:rPr>
        <w:t>Current</w:t>
      </w:r>
      <w:r>
        <w:rPr>
          <w:i/>
          <w:spacing w:val="-3"/>
          <w:sz w:val="18"/>
        </w:rPr>
        <w:t> </w:t>
      </w:r>
      <w:r>
        <w:rPr>
          <w:i/>
          <w:sz w:val="18"/>
        </w:rPr>
        <w:t>Limiters (REFCLs) – Tranche 1</w:t>
      </w:r>
      <w:r>
        <w:rPr>
          <w:sz w:val="18"/>
        </w:rPr>
        <w:t>.</w:t>
      </w:r>
    </w:p>
    <w:p>
      <w:pPr>
        <w:spacing w:line="362" w:lineRule="auto" w:before="0"/>
        <w:ind w:left="232" w:right="1191" w:firstLine="0"/>
        <w:jc w:val="left"/>
        <w:rPr>
          <w:sz w:val="18"/>
        </w:rPr>
      </w:pPr>
      <w:r>
        <w:rPr>
          <w:sz w:val="18"/>
        </w:rPr>
        <w:t>Attentis</w:t>
      </w:r>
      <w:r>
        <w:rPr>
          <w:spacing w:val="-2"/>
          <w:sz w:val="18"/>
        </w:rPr>
        <w:t> </w:t>
      </w:r>
      <w:r>
        <w:rPr>
          <w:sz w:val="18"/>
        </w:rPr>
        <w:t>Technology,</w:t>
      </w:r>
      <w:r>
        <w:rPr>
          <w:spacing w:val="-3"/>
          <w:sz w:val="18"/>
        </w:rPr>
        <w:t> </w:t>
      </w:r>
      <w:r>
        <w:rPr>
          <w:sz w:val="18"/>
        </w:rPr>
        <w:t>2017.</w:t>
      </w:r>
      <w:r>
        <w:rPr>
          <w:spacing w:val="-1"/>
          <w:sz w:val="18"/>
        </w:rPr>
        <w:t> </w:t>
      </w:r>
      <w:r>
        <w:rPr>
          <w:i/>
          <w:sz w:val="18"/>
        </w:rPr>
        <w:t>Submission</w:t>
      </w:r>
      <w:r>
        <w:rPr>
          <w:i/>
          <w:spacing w:val="-3"/>
          <w:sz w:val="18"/>
        </w:rPr>
        <w:t> </w:t>
      </w:r>
      <w:r>
        <w:rPr>
          <w:i/>
          <w:sz w:val="18"/>
        </w:rPr>
        <w:t>to</w:t>
      </w:r>
      <w:r>
        <w:rPr>
          <w:i/>
          <w:spacing w:val="-3"/>
          <w:sz w:val="18"/>
        </w:rPr>
        <w:t> </w:t>
      </w:r>
      <w:r>
        <w:rPr>
          <w:i/>
          <w:sz w:val="18"/>
        </w:rPr>
        <w:t>the</w:t>
      </w:r>
      <w:r>
        <w:rPr>
          <w:i/>
          <w:spacing w:val="-3"/>
          <w:sz w:val="18"/>
        </w:rPr>
        <w:t> </w:t>
      </w:r>
      <w:r>
        <w:rPr>
          <w:i/>
          <w:sz w:val="18"/>
        </w:rPr>
        <w:t>Review</w:t>
      </w:r>
      <w:r>
        <w:rPr>
          <w:i/>
          <w:spacing w:val="-3"/>
          <w:sz w:val="18"/>
        </w:rPr>
        <w:t> </w:t>
      </w:r>
      <w:r>
        <w:rPr>
          <w:i/>
          <w:sz w:val="18"/>
        </w:rPr>
        <w:t>of</w:t>
      </w:r>
      <w:r>
        <w:rPr>
          <w:i/>
          <w:spacing w:val="-5"/>
          <w:sz w:val="18"/>
        </w:rPr>
        <w:t> </w:t>
      </w:r>
      <w:r>
        <w:rPr>
          <w:i/>
          <w:sz w:val="18"/>
        </w:rPr>
        <w:t>Victoria’s</w:t>
      </w:r>
      <w:r>
        <w:rPr>
          <w:i/>
          <w:spacing w:val="-2"/>
          <w:sz w:val="18"/>
        </w:rPr>
        <w:t> </w:t>
      </w:r>
      <w:r>
        <w:rPr>
          <w:i/>
          <w:sz w:val="18"/>
        </w:rPr>
        <w:t>Electricity</w:t>
      </w:r>
      <w:r>
        <w:rPr>
          <w:i/>
          <w:spacing w:val="-2"/>
          <w:sz w:val="18"/>
        </w:rPr>
        <w:t> </w:t>
      </w:r>
      <w:r>
        <w:rPr>
          <w:i/>
          <w:sz w:val="18"/>
        </w:rPr>
        <w:t>Network</w:t>
      </w:r>
      <w:r>
        <w:rPr>
          <w:i/>
          <w:spacing w:val="-2"/>
          <w:sz w:val="18"/>
        </w:rPr>
        <w:t> </w:t>
      </w:r>
      <w:r>
        <w:rPr>
          <w:i/>
          <w:sz w:val="18"/>
        </w:rPr>
        <w:t>Safety</w:t>
      </w:r>
      <w:r>
        <w:rPr>
          <w:i/>
          <w:spacing w:val="-2"/>
          <w:sz w:val="18"/>
        </w:rPr>
        <w:t> </w:t>
      </w:r>
      <w:r>
        <w:rPr>
          <w:i/>
          <w:sz w:val="18"/>
        </w:rPr>
        <w:t>Framework</w:t>
      </w:r>
      <w:r>
        <w:rPr>
          <w:sz w:val="18"/>
        </w:rPr>
        <w:t>. AusNet Services, 2017. </w:t>
      </w:r>
      <w:r>
        <w:rPr>
          <w:i/>
          <w:sz w:val="18"/>
        </w:rPr>
        <w:t>Safety Review Submission</w:t>
      </w:r>
      <w:r>
        <w:rPr>
          <w:sz w:val="18"/>
        </w:rPr>
        <w:t>.</w:t>
      </w:r>
    </w:p>
    <w:p>
      <w:pPr>
        <w:spacing w:line="360" w:lineRule="auto" w:before="0"/>
        <w:ind w:left="232" w:right="374" w:firstLine="0"/>
        <w:jc w:val="left"/>
        <w:rPr>
          <w:sz w:val="18"/>
        </w:rPr>
      </w:pPr>
      <w:r>
        <w:rPr>
          <w:sz w:val="18"/>
        </w:rPr>
        <w:t>CitiPower</w:t>
      </w:r>
      <w:r>
        <w:rPr>
          <w:spacing w:val="-3"/>
          <w:sz w:val="18"/>
        </w:rPr>
        <w:t> </w:t>
      </w:r>
      <w:r>
        <w:rPr>
          <w:sz w:val="18"/>
        </w:rPr>
        <w:t>&amp;</w:t>
      </w:r>
      <w:r>
        <w:rPr>
          <w:spacing w:val="-3"/>
          <w:sz w:val="18"/>
        </w:rPr>
        <w:t> </w:t>
      </w:r>
      <w:r>
        <w:rPr>
          <w:sz w:val="18"/>
        </w:rPr>
        <w:t>Powercor</w:t>
      </w:r>
      <w:r>
        <w:rPr>
          <w:spacing w:val="-3"/>
          <w:sz w:val="18"/>
        </w:rPr>
        <w:t> </w:t>
      </w:r>
      <w:r>
        <w:rPr>
          <w:sz w:val="18"/>
        </w:rPr>
        <w:t>Australia,</w:t>
      </w:r>
      <w:r>
        <w:rPr>
          <w:spacing w:val="-3"/>
          <w:sz w:val="18"/>
        </w:rPr>
        <w:t> </w:t>
      </w:r>
      <w:r>
        <w:rPr>
          <w:sz w:val="18"/>
        </w:rPr>
        <w:t>2017. </w:t>
      </w:r>
      <w:r>
        <w:rPr>
          <w:i/>
          <w:sz w:val="18"/>
        </w:rPr>
        <w:t>Additional</w:t>
      </w:r>
      <w:r>
        <w:rPr>
          <w:i/>
          <w:spacing w:val="-3"/>
          <w:sz w:val="18"/>
        </w:rPr>
        <w:t> </w:t>
      </w:r>
      <w:r>
        <w:rPr>
          <w:i/>
          <w:sz w:val="18"/>
        </w:rPr>
        <w:t>Information</w:t>
      </w:r>
      <w:r>
        <w:rPr>
          <w:i/>
          <w:spacing w:val="-5"/>
          <w:sz w:val="18"/>
        </w:rPr>
        <w:t> </w:t>
      </w:r>
      <w:r>
        <w:rPr>
          <w:i/>
          <w:sz w:val="18"/>
        </w:rPr>
        <w:t>to</w:t>
      </w:r>
      <w:r>
        <w:rPr>
          <w:i/>
          <w:spacing w:val="-3"/>
          <w:sz w:val="18"/>
        </w:rPr>
        <w:t> </w:t>
      </w:r>
      <w:r>
        <w:rPr>
          <w:i/>
          <w:sz w:val="18"/>
        </w:rPr>
        <w:t>Support</w:t>
      </w:r>
      <w:r>
        <w:rPr>
          <w:i/>
          <w:spacing w:val="-3"/>
          <w:sz w:val="18"/>
        </w:rPr>
        <w:t> </w:t>
      </w:r>
      <w:r>
        <w:rPr>
          <w:i/>
          <w:sz w:val="18"/>
        </w:rPr>
        <w:t>the</w:t>
      </w:r>
      <w:r>
        <w:rPr>
          <w:i/>
          <w:spacing w:val="-3"/>
          <w:sz w:val="18"/>
        </w:rPr>
        <w:t> </w:t>
      </w:r>
      <w:r>
        <w:rPr>
          <w:i/>
          <w:sz w:val="18"/>
        </w:rPr>
        <w:t>Review</w:t>
      </w:r>
      <w:r>
        <w:rPr>
          <w:i/>
          <w:spacing w:val="-5"/>
          <w:sz w:val="18"/>
        </w:rPr>
        <w:t> </w:t>
      </w:r>
      <w:r>
        <w:rPr>
          <w:i/>
          <w:sz w:val="18"/>
        </w:rPr>
        <w:t>of</w:t>
      </w:r>
      <w:r>
        <w:rPr>
          <w:i/>
          <w:spacing w:val="-3"/>
          <w:sz w:val="18"/>
        </w:rPr>
        <w:t> </w:t>
      </w:r>
      <w:r>
        <w:rPr>
          <w:i/>
          <w:sz w:val="18"/>
        </w:rPr>
        <w:t>Victoria's</w:t>
      </w:r>
      <w:r>
        <w:rPr>
          <w:i/>
          <w:spacing w:val="-2"/>
          <w:sz w:val="18"/>
        </w:rPr>
        <w:t> </w:t>
      </w:r>
      <w:r>
        <w:rPr>
          <w:i/>
          <w:sz w:val="18"/>
        </w:rPr>
        <w:t>Electricity</w:t>
      </w:r>
      <w:r>
        <w:rPr>
          <w:i/>
          <w:spacing w:val="-4"/>
          <w:sz w:val="18"/>
        </w:rPr>
        <w:t> </w:t>
      </w:r>
      <w:r>
        <w:rPr>
          <w:i/>
          <w:sz w:val="18"/>
        </w:rPr>
        <w:t>Network Safety Framework</w:t>
      </w:r>
      <w:r>
        <w:rPr>
          <w:sz w:val="18"/>
        </w:rPr>
        <w:t>.</w:t>
      </w:r>
    </w:p>
    <w:p>
      <w:pPr>
        <w:spacing w:line="360" w:lineRule="auto" w:before="0"/>
        <w:ind w:left="232" w:right="374" w:firstLine="0"/>
        <w:jc w:val="left"/>
        <w:rPr>
          <w:sz w:val="18"/>
        </w:rPr>
      </w:pPr>
      <w:r>
        <w:rPr>
          <w:sz w:val="18"/>
        </w:rPr>
        <w:t>Department</w:t>
      </w:r>
      <w:r>
        <w:rPr>
          <w:spacing w:val="-5"/>
          <w:sz w:val="18"/>
        </w:rPr>
        <w:t> </w:t>
      </w:r>
      <w:r>
        <w:rPr>
          <w:sz w:val="18"/>
        </w:rPr>
        <w:t>of</w:t>
      </w:r>
      <w:r>
        <w:rPr>
          <w:spacing w:val="-3"/>
          <w:sz w:val="18"/>
        </w:rPr>
        <w:t> </w:t>
      </w:r>
      <w:r>
        <w:rPr>
          <w:sz w:val="18"/>
        </w:rPr>
        <w:t>Environment,</w:t>
      </w:r>
      <w:r>
        <w:rPr>
          <w:spacing w:val="-3"/>
          <w:sz w:val="18"/>
        </w:rPr>
        <w:t> </w:t>
      </w:r>
      <w:r>
        <w:rPr>
          <w:sz w:val="18"/>
        </w:rPr>
        <w:t>Land,</w:t>
      </w:r>
      <w:r>
        <w:rPr>
          <w:spacing w:val="-8"/>
          <w:sz w:val="18"/>
        </w:rPr>
        <w:t> </w:t>
      </w:r>
      <w:r>
        <w:rPr>
          <w:sz w:val="18"/>
        </w:rPr>
        <w:t>Water</w:t>
      </w:r>
      <w:r>
        <w:rPr>
          <w:spacing w:val="-5"/>
          <w:sz w:val="18"/>
        </w:rPr>
        <w:t> </w:t>
      </w:r>
      <w:r>
        <w:rPr>
          <w:sz w:val="18"/>
        </w:rPr>
        <w:t>and</w:t>
      </w:r>
      <w:r>
        <w:rPr>
          <w:spacing w:val="-3"/>
          <w:sz w:val="18"/>
        </w:rPr>
        <w:t> </w:t>
      </w:r>
      <w:r>
        <w:rPr>
          <w:sz w:val="18"/>
        </w:rPr>
        <w:t>Planning,</w:t>
      </w:r>
      <w:r>
        <w:rPr>
          <w:spacing w:val="-3"/>
          <w:sz w:val="18"/>
        </w:rPr>
        <w:t> </w:t>
      </w:r>
      <w:r>
        <w:rPr>
          <w:sz w:val="18"/>
        </w:rPr>
        <w:t>2016. </w:t>
      </w:r>
      <w:r>
        <w:rPr>
          <w:i/>
          <w:sz w:val="18"/>
        </w:rPr>
        <w:t>Electricity</w:t>
      </w:r>
      <w:r>
        <w:rPr>
          <w:i/>
          <w:spacing w:val="-2"/>
          <w:sz w:val="18"/>
        </w:rPr>
        <w:t> </w:t>
      </w:r>
      <w:r>
        <w:rPr>
          <w:i/>
          <w:sz w:val="18"/>
        </w:rPr>
        <w:t>Safety</w:t>
      </w:r>
      <w:r>
        <w:rPr>
          <w:i/>
          <w:spacing w:val="-2"/>
          <w:sz w:val="18"/>
        </w:rPr>
        <w:t> </w:t>
      </w:r>
      <w:r>
        <w:rPr>
          <w:i/>
          <w:sz w:val="18"/>
        </w:rPr>
        <w:t>(Bushfire</w:t>
      </w:r>
      <w:r>
        <w:rPr>
          <w:i/>
          <w:spacing w:val="-5"/>
          <w:sz w:val="18"/>
        </w:rPr>
        <w:t> </w:t>
      </w:r>
      <w:r>
        <w:rPr>
          <w:i/>
          <w:sz w:val="18"/>
        </w:rPr>
        <w:t>Mitigation)</w:t>
      </w:r>
      <w:r>
        <w:rPr>
          <w:i/>
          <w:spacing w:val="-3"/>
          <w:sz w:val="18"/>
        </w:rPr>
        <w:t> </w:t>
      </w:r>
      <w:r>
        <w:rPr>
          <w:i/>
          <w:sz w:val="18"/>
        </w:rPr>
        <w:t>Amendment Regulations 2016: Statement of Reasons for Decision to Make Regulations</w:t>
      </w:r>
      <w:r>
        <w:rPr>
          <w:sz w:val="18"/>
        </w:rPr>
        <w:t>.</w:t>
      </w:r>
    </w:p>
    <w:p>
      <w:pPr>
        <w:spacing w:line="362" w:lineRule="auto" w:before="0"/>
        <w:ind w:left="232" w:right="374" w:firstLine="0"/>
        <w:jc w:val="left"/>
        <w:rPr>
          <w:sz w:val="18"/>
        </w:rPr>
      </w:pPr>
      <w:r>
        <w:rPr>
          <w:sz w:val="18"/>
        </w:rPr>
        <w:t>Department</w:t>
      </w:r>
      <w:r>
        <w:rPr>
          <w:spacing w:val="-5"/>
          <w:sz w:val="18"/>
        </w:rPr>
        <w:t> </w:t>
      </w:r>
      <w:r>
        <w:rPr>
          <w:sz w:val="18"/>
        </w:rPr>
        <w:t>of</w:t>
      </w:r>
      <w:r>
        <w:rPr>
          <w:spacing w:val="-3"/>
          <w:sz w:val="18"/>
        </w:rPr>
        <w:t> </w:t>
      </w:r>
      <w:r>
        <w:rPr>
          <w:sz w:val="18"/>
        </w:rPr>
        <w:t>Treasury</w:t>
      </w:r>
      <w:r>
        <w:rPr>
          <w:spacing w:val="-5"/>
          <w:sz w:val="18"/>
        </w:rPr>
        <w:t> </w:t>
      </w:r>
      <w:r>
        <w:rPr>
          <w:sz w:val="18"/>
        </w:rPr>
        <w:t>and</w:t>
      </w:r>
      <w:r>
        <w:rPr>
          <w:spacing w:val="-3"/>
          <w:sz w:val="18"/>
        </w:rPr>
        <w:t> </w:t>
      </w:r>
      <w:r>
        <w:rPr>
          <w:sz w:val="18"/>
        </w:rPr>
        <w:t>Finance,</w:t>
      </w:r>
      <w:r>
        <w:rPr>
          <w:spacing w:val="-3"/>
          <w:sz w:val="18"/>
        </w:rPr>
        <w:t> </w:t>
      </w:r>
      <w:r>
        <w:rPr>
          <w:sz w:val="18"/>
        </w:rPr>
        <w:t>2016. </w:t>
      </w:r>
      <w:r>
        <w:rPr>
          <w:i/>
          <w:sz w:val="18"/>
        </w:rPr>
        <w:t>Gateway</w:t>
      </w:r>
      <w:r>
        <w:rPr>
          <w:i/>
          <w:spacing w:val="-4"/>
          <w:sz w:val="18"/>
        </w:rPr>
        <w:t> </w:t>
      </w:r>
      <w:r>
        <w:rPr>
          <w:i/>
          <w:sz w:val="18"/>
        </w:rPr>
        <w:t>Review</w:t>
      </w:r>
      <w:r>
        <w:rPr>
          <w:i/>
          <w:spacing w:val="-6"/>
          <w:sz w:val="18"/>
        </w:rPr>
        <w:t> </w:t>
      </w:r>
      <w:r>
        <w:rPr>
          <w:i/>
          <w:sz w:val="18"/>
        </w:rPr>
        <w:t>Process</w:t>
      </w:r>
      <w:r>
        <w:rPr>
          <w:i/>
          <w:spacing w:val="-2"/>
          <w:sz w:val="18"/>
        </w:rPr>
        <w:t> </w:t>
      </w:r>
      <w:r>
        <w:rPr>
          <w:i/>
          <w:sz w:val="18"/>
        </w:rPr>
        <w:t>Program</w:t>
      </w:r>
      <w:r>
        <w:rPr>
          <w:i/>
          <w:spacing w:val="-5"/>
          <w:sz w:val="18"/>
        </w:rPr>
        <w:t> </w:t>
      </w:r>
      <w:r>
        <w:rPr>
          <w:i/>
          <w:sz w:val="18"/>
        </w:rPr>
        <w:t>Review:</w:t>
      </w:r>
      <w:r>
        <w:rPr>
          <w:i/>
          <w:spacing w:val="-3"/>
          <w:sz w:val="18"/>
        </w:rPr>
        <w:t> </w:t>
      </w:r>
      <w:r>
        <w:rPr>
          <w:i/>
          <w:sz w:val="18"/>
        </w:rPr>
        <w:t>Powerlines</w:t>
      </w:r>
      <w:r>
        <w:rPr>
          <w:i/>
          <w:spacing w:val="-2"/>
          <w:sz w:val="18"/>
        </w:rPr>
        <w:t> </w:t>
      </w:r>
      <w:r>
        <w:rPr>
          <w:i/>
          <w:sz w:val="18"/>
        </w:rPr>
        <w:t>Bushfire</w:t>
      </w:r>
      <w:r>
        <w:rPr>
          <w:i/>
          <w:spacing w:val="-3"/>
          <w:sz w:val="18"/>
        </w:rPr>
        <w:t> </w:t>
      </w:r>
      <w:r>
        <w:rPr>
          <w:i/>
          <w:sz w:val="18"/>
        </w:rPr>
        <w:t>Safety </w:t>
      </w:r>
      <w:r>
        <w:rPr>
          <w:i/>
          <w:spacing w:val="-2"/>
          <w:sz w:val="18"/>
        </w:rPr>
        <w:t>Program</w:t>
      </w:r>
      <w:r>
        <w:rPr>
          <w:spacing w:val="-2"/>
          <w:sz w:val="18"/>
        </w:rPr>
        <w:t>.</w:t>
      </w:r>
    </w:p>
    <w:p>
      <w:pPr>
        <w:spacing w:line="360" w:lineRule="auto" w:before="0"/>
        <w:ind w:left="232" w:right="374" w:firstLine="0"/>
        <w:jc w:val="left"/>
        <w:rPr>
          <w:sz w:val="18"/>
        </w:rPr>
      </w:pPr>
      <w:r>
        <w:rPr>
          <w:sz w:val="18"/>
        </w:rPr>
        <w:t>Government</w:t>
      </w:r>
      <w:r>
        <w:rPr>
          <w:spacing w:val="-5"/>
          <w:sz w:val="18"/>
        </w:rPr>
        <w:t> </w:t>
      </w:r>
      <w:r>
        <w:rPr>
          <w:sz w:val="18"/>
        </w:rPr>
        <w:t>of</w:t>
      </w:r>
      <w:r>
        <w:rPr>
          <w:spacing w:val="-3"/>
          <w:sz w:val="18"/>
        </w:rPr>
        <w:t> </w:t>
      </w:r>
      <w:r>
        <w:rPr>
          <w:sz w:val="18"/>
        </w:rPr>
        <w:t>Victoria,</w:t>
      </w:r>
      <w:r>
        <w:rPr>
          <w:spacing w:val="-5"/>
          <w:sz w:val="18"/>
        </w:rPr>
        <w:t> </w:t>
      </w:r>
      <w:r>
        <w:rPr>
          <w:sz w:val="18"/>
        </w:rPr>
        <w:t>2011.</w:t>
      </w:r>
      <w:r>
        <w:rPr>
          <w:spacing w:val="-2"/>
          <w:sz w:val="18"/>
        </w:rPr>
        <w:t> </w:t>
      </w:r>
      <w:r>
        <w:rPr>
          <w:i/>
          <w:sz w:val="18"/>
        </w:rPr>
        <w:t>Power</w:t>
      </w:r>
      <w:r>
        <w:rPr>
          <w:i/>
          <w:spacing w:val="-3"/>
          <w:sz w:val="18"/>
        </w:rPr>
        <w:t> </w:t>
      </w:r>
      <w:r>
        <w:rPr>
          <w:i/>
          <w:sz w:val="18"/>
        </w:rPr>
        <w:t>Line</w:t>
      </w:r>
      <w:r>
        <w:rPr>
          <w:i/>
          <w:spacing w:val="-3"/>
          <w:sz w:val="18"/>
        </w:rPr>
        <w:t> </w:t>
      </w:r>
      <w:r>
        <w:rPr>
          <w:i/>
          <w:sz w:val="18"/>
        </w:rPr>
        <w:t>Bushfire</w:t>
      </w:r>
      <w:r>
        <w:rPr>
          <w:i/>
          <w:spacing w:val="-3"/>
          <w:sz w:val="18"/>
        </w:rPr>
        <w:t> </w:t>
      </w:r>
      <w:r>
        <w:rPr>
          <w:i/>
          <w:sz w:val="18"/>
        </w:rPr>
        <w:t>Safety:</w:t>
      </w:r>
      <w:r>
        <w:rPr>
          <w:i/>
          <w:spacing w:val="-5"/>
          <w:sz w:val="18"/>
        </w:rPr>
        <w:t> </w:t>
      </w:r>
      <w:r>
        <w:rPr>
          <w:i/>
          <w:sz w:val="18"/>
        </w:rPr>
        <w:t>Victorian</w:t>
      </w:r>
      <w:r>
        <w:rPr>
          <w:i/>
          <w:spacing w:val="-3"/>
          <w:sz w:val="18"/>
        </w:rPr>
        <w:t> </w:t>
      </w:r>
      <w:r>
        <w:rPr>
          <w:i/>
          <w:sz w:val="18"/>
        </w:rPr>
        <w:t>Government</w:t>
      </w:r>
      <w:r>
        <w:rPr>
          <w:i/>
          <w:spacing w:val="-3"/>
          <w:sz w:val="18"/>
        </w:rPr>
        <w:t> </w:t>
      </w:r>
      <w:r>
        <w:rPr>
          <w:i/>
          <w:sz w:val="18"/>
        </w:rPr>
        <w:t>Response</w:t>
      </w:r>
      <w:r>
        <w:rPr>
          <w:i/>
          <w:spacing w:val="-5"/>
          <w:sz w:val="18"/>
        </w:rPr>
        <w:t> </w:t>
      </w:r>
      <w:r>
        <w:rPr>
          <w:i/>
          <w:sz w:val="18"/>
        </w:rPr>
        <w:t>to</w:t>
      </w:r>
      <w:r>
        <w:rPr>
          <w:i/>
          <w:spacing w:val="-3"/>
          <w:sz w:val="18"/>
        </w:rPr>
        <w:t> </w:t>
      </w:r>
      <w:r>
        <w:rPr>
          <w:i/>
          <w:sz w:val="18"/>
        </w:rPr>
        <w:t>The</w:t>
      </w:r>
      <w:r>
        <w:rPr>
          <w:i/>
          <w:spacing w:val="-3"/>
          <w:sz w:val="18"/>
        </w:rPr>
        <w:t> </w:t>
      </w:r>
      <w:r>
        <w:rPr>
          <w:i/>
          <w:sz w:val="18"/>
        </w:rPr>
        <w:t>Victorian</w:t>
      </w:r>
      <w:r>
        <w:rPr>
          <w:i/>
          <w:spacing w:val="-3"/>
          <w:sz w:val="18"/>
        </w:rPr>
        <w:t> </w:t>
      </w:r>
      <w:r>
        <w:rPr>
          <w:i/>
          <w:sz w:val="18"/>
        </w:rPr>
        <w:t>Bushfires Royal Commission Recommendations 27 and 32</w:t>
      </w:r>
      <w:r>
        <w:rPr>
          <w:sz w:val="18"/>
        </w:rPr>
        <w:t>.</w:t>
      </w:r>
    </w:p>
    <w:p>
      <w:pPr>
        <w:spacing w:line="360" w:lineRule="auto" w:before="0"/>
        <w:ind w:left="232" w:right="0" w:firstLine="0"/>
        <w:jc w:val="left"/>
        <w:rPr>
          <w:sz w:val="18"/>
        </w:rPr>
      </w:pPr>
      <w:r>
        <w:rPr>
          <w:sz w:val="18"/>
        </w:rPr>
        <w:t>IGEM,</w:t>
      </w:r>
      <w:r>
        <w:rPr>
          <w:spacing w:val="-3"/>
          <w:sz w:val="18"/>
        </w:rPr>
        <w:t> </w:t>
      </w:r>
      <w:r>
        <w:rPr>
          <w:sz w:val="18"/>
        </w:rPr>
        <w:t>2016.</w:t>
      </w:r>
      <w:r>
        <w:rPr>
          <w:spacing w:val="-1"/>
          <w:sz w:val="18"/>
        </w:rPr>
        <w:t> </w:t>
      </w:r>
      <w:r>
        <w:rPr>
          <w:i/>
          <w:sz w:val="18"/>
        </w:rPr>
        <w:t>Progress</w:t>
      </w:r>
      <w:r>
        <w:rPr>
          <w:i/>
          <w:spacing w:val="-2"/>
          <w:sz w:val="18"/>
        </w:rPr>
        <w:t> </w:t>
      </w:r>
      <w:r>
        <w:rPr>
          <w:i/>
          <w:sz w:val="18"/>
        </w:rPr>
        <w:t>Report</w:t>
      </w:r>
      <w:r>
        <w:rPr>
          <w:i/>
          <w:spacing w:val="-5"/>
          <w:sz w:val="18"/>
        </w:rPr>
        <w:t> </w:t>
      </w:r>
      <w:r>
        <w:rPr>
          <w:i/>
          <w:sz w:val="18"/>
        </w:rPr>
        <w:t>Victorian</w:t>
      </w:r>
      <w:r>
        <w:rPr>
          <w:i/>
          <w:spacing w:val="-3"/>
          <w:sz w:val="18"/>
        </w:rPr>
        <w:t> </w:t>
      </w:r>
      <w:r>
        <w:rPr>
          <w:i/>
          <w:sz w:val="18"/>
        </w:rPr>
        <w:t>Bushfires</w:t>
      </w:r>
      <w:r>
        <w:rPr>
          <w:i/>
          <w:spacing w:val="-2"/>
          <w:sz w:val="18"/>
        </w:rPr>
        <w:t> </w:t>
      </w:r>
      <w:r>
        <w:rPr>
          <w:i/>
          <w:sz w:val="18"/>
        </w:rPr>
        <w:t>Royal</w:t>
      </w:r>
      <w:r>
        <w:rPr>
          <w:i/>
          <w:spacing w:val="-3"/>
          <w:sz w:val="18"/>
        </w:rPr>
        <w:t> </w:t>
      </w:r>
      <w:r>
        <w:rPr>
          <w:i/>
          <w:sz w:val="18"/>
        </w:rPr>
        <w:t>Commission:</w:t>
      </w:r>
      <w:r>
        <w:rPr>
          <w:i/>
          <w:spacing w:val="-3"/>
          <w:sz w:val="18"/>
        </w:rPr>
        <w:t> </w:t>
      </w:r>
      <w:r>
        <w:rPr>
          <w:i/>
          <w:sz w:val="18"/>
        </w:rPr>
        <w:t>Implementation</w:t>
      </w:r>
      <w:r>
        <w:rPr>
          <w:i/>
          <w:spacing w:val="-5"/>
          <w:sz w:val="18"/>
        </w:rPr>
        <w:t> </w:t>
      </w:r>
      <w:r>
        <w:rPr>
          <w:i/>
          <w:sz w:val="18"/>
        </w:rPr>
        <w:t>of</w:t>
      </w:r>
      <w:r>
        <w:rPr>
          <w:i/>
          <w:spacing w:val="-3"/>
          <w:sz w:val="18"/>
        </w:rPr>
        <w:t> </w:t>
      </w:r>
      <w:r>
        <w:rPr>
          <w:i/>
          <w:sz w:val="18"/>
        </w:rPr>
        <w:t>recommendations</w:t>
      </w:r>
      <w:r>
        <w:rPr>
          <w:i/>
          <w:spacing w:val="-2"/>
          <w:sz w:val="18"/>
        </w:rPr>
        <w:t> </w:t>
      </w:r>
      <w:r>
        <w:rPr>
          <w:i/>
          <w:sz w:val="18"/>
        </w:rPr>
        <w:t>and</w:t>
      </w:r>
      <w:r>
        <w:rPr>
          <w:i/>
          <w:spacing w:val="-3"/>
          <w:sz w:val="18"/>
        </w:rPr>
        <w:t> </w:t>
      </w:r>
      <w:r>
        <w:rPr>
          <w:i/>
          <w:sz w:val="18"/>
        </w:rPr>
        <w:t>actions</w:t>
      </w:r>
      <w:r>
        <w:rPr>
          <w:sz w:val="18"/>
        </w:rPr>
        <w:t>. Marxsen Consulting, 2015. </w:t>
      </w:r>
      <w:r>
        <w:rPr>
          <w:i/>
          <w:sz w:val="18"/>
        </w:rPr>
        <w:t>REFCL Technologies Test Program Final Report</w:t>
      </w:r>
      <w:r>
        <w:rPr>
          <w:sz w:val="18"/>
        </w:rPr>
        <w:t>.</w:t>
      </w:r>
    </w:p>
    <w:p>
      <w:pPr>
        <w:spacing w:line="360" w:lineRule="auto" w:before="0"/>
        <w:ind w:left="232" w:right="374" w:firstLine="0"/>
        <w:jc w:val="left"/>
        <w:rPr>
          <w:sz w:val="18"/>
        </w:rPr>
      </w:pPr>
      <w:r>
        <w:rPr>
          <w:sz w:val="18"/>
        </w:rPr>
        <w:t>Minister</w:t>
      </w:r>
      <w:r>
        <w:rPr>
          <w:spacing w:val="-3"/>
          <w:sz w:val="18"/>
        </w:rPr>
        <w:t> </w:t>
      </w:r>
      <w:r>
        <w:rPr>
          <w:sz w:val="18"/>
        </w:rPr>
        <w:t>for</w:t>
      </w:r>
      <w:r>
        <w:rPr>
          <w:spacing w:val="-3"/>
          <w:sz w:val="18"/>
        </w:rPr>
        <w:t> </w:t>
      </w:r>
      <w:r>
        <w:rPr>
          <w:sz w:val="18"/>
        </w:rPr>
        <w:t>Energy,</w:t>
      </w:r>
      <w:r>
        <w:rPr>
          <w:spacing w:val="-3"/>
          <w:sz w:val="18"/>
        </w:rPr>
        <w:t> </w:t>
      </w:r>
      <w:r>
        <w:rPr>
          <w:sz w:val="18"/>
        </w:rPr>
        <w:t>Environment</w:t>
      </w:r>
      <w:r>
        <w:rPr>
          <w:spacing w:val="-3"/>
          <w:sz w:val="18"/>
        </w:rPr>
        <w:t> </w:t>
      </w:r>
      <w:r>
        <w:rPr>
          <w:sz w:val="18"/>
        </w:rPr>
        <w:t>and</w:t>
      </w:r>
      <w:r>
        <w:rPr>
          <w:spacing w:val="-3"/>
          <w:sz w:val="18"/>
        </w:rPr>
        <w:t> </w:t>
      </w:r>
      <w:r>
        <w:rPr>
          <w:sz w:val="18"/>
        </w:rPr>
        <w:t>Climate</w:t>
      </w:r>
      <w:r>
        <w:rPr>
          <w:spacing w:val="-3"/>
          <w:sz w:val="18"/>
        </w:rPr>
        <w:t> </w:t>
      </w:r>
      <w:r>
        <w:rPr>
          <w:sz w:val="18"/>
        </w:rPr>
        <w:t>Change,</w:t>
      </w:r>
      <w:r>
        <w:rPr>
          <w:spacing w:val="-5"/>
          <w:sz w:val="18"/>
        </w:rPr>
        <w:t> </w:t>
      </w:r>
      <w:r>
        <w:rPr>
          <w:sz w:val="18"/>
        </w:rPr>
        <w:t>2017. </w:t>
      </w:r>
      <w:r>
        <w:rPr>
          <w:i/>
          <w:sz w:val="18"/>
        </w:rPr>
        <w:t>Contingent</w:t>
      </w:r>
      <w:r>
        <w:rPr>
          <w:i/>
          <w:spacing w:val="-3"/>
          <w:sz w:val="18"/>
        </w:rPr>
        <w:t> </w:t>
      </w:r>
      <w:r>
        <w:rPr>
          <w:i/>
          <w:sz w:val="18"/>
        </w:rPr>
        <w:t>Projects-</w:t>
      </w:r>
      <w:r>
        <w:rPr>
          <w:i/>
          <w:spacing w:val="-3"/>
          <w:sz w:val="18"/>
        </w:rPr>
        <w:t> </w:t>
      </w:r>
      <w:r>
        <w:rPr>
          <w:i/>
          <w:sz w:val="18"/>
        </w:rPr>
        <w:t>Installation</w:t>
      </w:r>
      <w:r>
        <w:rPr>
          <w:i/>
          <w:spacing w:val="-3"/>
          <w:sz w:val="18"/>
        </w:rPr>
        <w:t> </w:t>
      </w:r>
      <w:r>
        <w:rPr>
          <w:i/>
          <w:sz w:val="18"/>
        </w:rPr>
        <w:t>of</w:t>
      </w:r>
      <w:r>
        <w:rPr>
          <w:i/>
          <w:spacing w:val="-3"/>
          <w:sz w:val="18"/>
        </w:rPr>
        <w:t> </w:t>
      </w:r>
      <w:r>
        <w:rPr>
          <w:i/>
          <w:sz w:val="18"/>
        </w:rPr>
        <w:t>Rapid</w:t>
      </w:r>
      <w:r>
        <w:rPr>
          <w:i/>
          <w:spacing w:val="-3"/>
          <w:sz w:val="18"/>
        </w:rPr>
        <w:t> </w:t>
      </w:r>
      <w:r>
        <w:rPr>
          <w:i/>
          <w:sz w:val="18"/>
        </w:rPr>
        <w:t>Earth</w:t>
      </w:r>
      <w:r>
        <w:rPr>
          <w:i/>
          <w:spacing w:val="-5"/>
          <w:sz w:val="18"/>
        </w:rPr>
        <w:t> </w:t>
      </w:r>
      <w:r>
        <w:rPr>
          <w:i/>
          <w:sz w:val="18"/>
        </w:rPr>
        <w:t>Fault Current Limiters- Tranche 1</w:t>
      </w:r>
      <w:r>
        <w:rPr>
          <w:sz w:val="18"/>
        </w:rPr>
        <w:t>.</w:t>
      </w:r>
    </w:p>
    <w:p>
      <w:pPr>
        <w:spacing w:line="362" w:lineRule="auto" w:before="0"/>
        <w:ind w:left="232" w:right="4350" w:firstLine="0"/>
        <w:jc w:val="left"/>
        <w:rPr>
          <w:sz w:val="18"/>
        </w:rPr>
      </w:pPr>
      <w:r>
        <w:rPr>
          <w:sz w:val="18"/>
        </w:rPr>
        <w:t>PBSP,</w:t>
      </w:r>
      <w:r>
        <w:rPr>
          <w:spacing w:val="-5"/>
          <w:sz w:val="18"/>
        </w:rPr>
        <w:t> </w:t>
      </w:r>
      <w:r>
        <w:rPr>
          <w:sz w:val="18"/>
        </w:rPr>
        <w:t>2011.</w:t>
      </w:r>
      <w:r>
        <w:rPr>
          <w:spacing w:val="-4"/>
          <w:sz w:val="18"/>
        </w:rPr>
        <w:t> </w:t>
      </w:r>
      <w:r>
        <w:rPr>
          <w:i/>
          <w:sz w:val="18"/>
        </w:rPr>
        <w:t>Powerline</w:t>
      </w:r>
      <w:r>
        <w:rPr>
          <w:i/>
          <w:spacing w:val="-5"/>
          <w:sz w:val="18"/>
        </w:rPr>
        <w:t> </w:t>
      </w:r>
      <w:r>
        <w:rPr>
          <w:i/>
          <w:sz w:val="18"/>
        </w:rPr>
        <w:t>Bushfire</w:t>
      </w:r>
      <w:r>
        <w:rPr>
          <w:i/>
          <w:spacing w:val="-5"/>
          <w:sz w:val="18"/>
        </w:rPr>
        <w:t> </w:t>
      </w:r>
      <w:r>
        <w:rPr>
          <w:i/>
          <w:sz w:val="18"/>
        </w:rPr>
        <w:t>Safety</w:t>
      </w:r>
      <w:r>
        <w:rPr>
          <w:i/>
          <w:spacing w:val="-4"/>
          <w:sz w:val="18"/>
        </w:rPr>
        <w:t> </w:t>
      </w:r>
      <w:r>
        <w:rPr>
          <w:i/>
          <w:sz w:val="18"/>
        </w:rPr>
        <w:t>Taskforce:</w:t>
      </w:r>
      <w:r>
        <w:rPr>
          <w:i/>
          <w:spacing w:val="-5"/>
          <w:sz w:val="18"/>
        </w:rPr>
        <w:t> </w:t>
      </w:r>
      <w:r>
        <w:rPr>
          <w:i/>
          <w:sz w:val="18"/>
        </w:rPr>
        <w:t>Final</w:t>
      </w:r>
      <w:r>
        <w:rPr>
          <w:i/>
          <w:spacing w:val="-7"/>
          <w:sz w:val="18"/>
        </w:rPr>
        <w:t> </w:t>
      </w:r>
      <w:r>
        <w:rPr>
          <w:i/>
          <w:sz w:val="18"/>
        </w:rPr>
        <w:t>Report</w:t>
      </w:r>
      <w:r>
        <w:rPr>
          <w:sz w:val="18"/>
        </w:rPr>
        <w:t>. PBSP, 2015. </w:t>
      </w:r>
      <w:r>
        <w:rPr>
          <w:i/>
          <w:sz w:val="18"/>
        </w:rPr>
        <w:t>2014-15 Annual Performance Report</w:t>
      </w:r>
      <w:r>
        <w:rPr>
          <w:sz w:val="18"/>
        </w:rPr>
        <w:t>.</w:t>
      </w:r>
    </w:p>
    <w:p>
      <w:pPr>
        <w:spacing w:line="360" w:lineRule="auto" w:before="0"/>
        <w:ind w:left="232" w:right="374" w:firstLine="0"/>
        <w:jc w:val="left"/>
        <w:rPr>
          <w:sz w:val="18"/>
        </w:rPr>
      </w:pPr>
      <w:r>
        <w:rPr>
          <w:sz w:val="18"/>
        </w:rPr>
        <w:t>PBSP, 2015. </w:t>
      </w:r>
      <w:r>
        <w:rPr>
          <w:i/>
          <w:sz w:val="18"/>
        </w:rPr>
        <w:t>Research &amp; Development Project- Investing in new technology, research and development. </w:t>
      </w:r>
      <w:r>
        <w:rPr>
          <w:sz w:val="18"/>
        </w:rPr>
        <w:t>[Online] Available</w:t>
      </w:r>
      <w:r>
        <w:rPr>
          <w:spacing w:val="-15"/>
          <w:sz w:val="18"/>
        </w:rPr>
        <w:t> </w:t>
      </w:r>
      <w:r>
        <w:rPr>
          <w:sz w:val="18"/>
        </w:rPr>
        <w:t>at:</w:t>
      </w:r>
      <w:r>
        <w:rPr>
          <w:spacing w:val="-12"/>
          <w:sz w:val="18"/>
        </w:rPr>
        <w:t> </w:t>
      </w:r>
      <w:r>
        <w:rPr>
          <w:sz w:val="18"/>
          <w:u w:val="single"/>
        </w:rPr>
        <w:t>https:/</w:t>
      </w:r>
      <w:hyperlink r:id="rId88">
        <w:r>
          <w:rPr>
            <w:sz w:val="18"/>
            <w:u w:val="single"/>
          </w:rPr>
          <w:t>/www.e</w:t>
        </w:r>
      </w:hyperlink>
      <w:r>
        <w:rPr>
          <w:sz w:val="18"/>
          <w:u w:val="single"/>
        </w:rPr>
        <w:t>n</w:t>
      </w:r>
      <w:hyperlink r:id="rId88">
        <w:r>
          <w:rPr>
            <w:sz w:val="18"/>
            <w:u w:val="single"/>
          </w:rPr>
          <w:t>ergy.vic.gov.au/safety-and-emergencies/powerline-bushfire-safety-program/research-and-</w:t>
        </w:r>
      </w:hyperlink>
      <w:r>
        <w:rPr>
          <w:sz w:val="18"/>
        </w:rPr>
        <w:t> </w:t>
      </w:r>
      <w:r>
        <w:rPr>
          <w:spacing w:val="-2"/>
          <w:sz w:val="18"/>
          <w:u w:val="single"/>
        </w:rPr>
        <w:t>development</w:t>
      </w:r>
    </w:p>
    <w:p>
      <w:pPr>
        <w:spacing w:before="0"/>
        <w:ind w:left="232" w:right="0" w:firstLine="0"/>
        <w:jc w:val="left"/>
        <w:rPr>
          <w:sz w:val="18"/>
        </w:rPr>
      </w:pPr>
      <w:r>
        <w:rPr>
          <w:sz w:val="18"/>
        </w:rPr>
        <w:t>PBSP,</w:t>
      </w:r>
      <w:r>
        <w:rPr>
          <w:spacing w:val="-4"/>
          <w:sz w:val="18"/>
        </w:rPr>
        <w:t> </w:t>
      </w:r>
      <w:r>
        <w:rPr>
          <w:sz w:val="18"/>
        </w:rPr>
        <w:t>2017.</w:t>
      </w:r>
      <w:r>
        <w:rPr>
          <w:spacing w:val="-2"/>
          <w:sz w:val="18"/>
        </w:rPr>
        <w:t> </w:t>
      </w:r>
      <w:r>
        <w:rPr>
          <w:i/>
          <w:sz w:val="18"/>
        </w:rPr>
        <w:t>2016</w:t>
      </w:r>
      <w:r>
        <w:rPr>
          <w:i/>
          <w:spacing w:val="-4"/>
          <w:sz w:val="18"/>
        </w:rPr>
        <w:t> </w:t>
      </w:r>
      <w:r>
        <w:rPr>
          <w:i/>
          <w:sz w:val="18"/>
        </w:rPr>
        <w:t>Mid-Cycle</w:t>
      </w:r>
      <w:r>
        <w:rPr>
          <w:i/>
          <w:spacing w:val="-5"/>
          <w:sz w:val="18"/>
        </w:rPr>
        <w:t> </w:t>
      </w:r>
      <w:r>
        <w:rPr>
          <w:i/>
          <w:sz w:val="18"/>
        </w:rPr>
        <w:t>Gateway</w:t>
      </w:r>
      <w:r>
        <w:rPr>
          <w:i/>
          <w:spacing w:val="-3"/>
          <w:sz w:val="18"/>
        </w:rPr>
        <w:t> </w:t>
      </w:r>
      <w:r>
        <w:rPr>
          <w:i/>
          <w:sz w:val="18"/>
        </w:rPr>
        <w:t>Review:</w:t>
      </w:r>
      <w:r>
        <w:rPr>
          <w:i/>
          <w:spacing w:val="-6"/>
          <w:sz w:val="18"/>
        </w:rPr>
        <w:t> </w:t>
      </w:r>
      <w:r>
        <w:rPr>
          <w:i/>
          <w:sz w:val="18"/>
        </w:rPr>
        <w:t>Response</w:t>
      </w:r>
      <w:r>
        <w:rPr>
          <w:i/>
          <w:spacing w:val="-3"/>
          <w:sz w:val="18"/>
        </w:rPr>
        <w:t> </w:t>
      </w:r>
      <w:r>
        <w:rPr>
          <w:i/>
          <w:sz w:val="18"/>
        </w:rPr>
        <w:t>to</w:t>
      </w:r>
      <w:r>
        <w:rPr>
          <w:i/>
          <w:spacing w:val="-4"/>
          <w:sz w:val="18"/>
        </w:rPr>
        <w:t> </w:t>
      </w:r>
      <w:r>
        <w:rPr>
          <w:i/>
          <w:sz w:val="18"/>
        </w:rPr>
        <w:t>Gateway</w:t>
      </w:r>
      <w:r>
        <w:rPr>
          <w:i/>
          <w:spacing w:val="-4"/>
          <w:sz w:val="18"/>
        </w:rPr>
        <w:t> </w:t>
      </w:r>
      <w:r>
        <w:rPr>
          <w:i/>
          <w:spacing w:val="-2"/>
          <w:sz w:val="18"/>
        </w:rPr>
        <w:t>Report</w:t>
      </w:r>
      <w:r>
        <w:rPr>
          <w:spacing w:val="-2"/>
          <w:sz w:val="18"/>
        </w:rPr>
        <w:t>.</w:t>
      </w:r>
    </w:p>
    <w:p>
      <w:pPr>
        <w:spacing w:before="86"/>
        <w:ind w:left="232" w:right="0" w:firstLine="0"/>
        <w:jc w:val="left"/>
        <w:rPr>
          <w:sz w:val="18"/>
        </w:rPr>
      </w:pPr>
      <w:r>
        <w:rPr>
          <w:sz w:val="18"/>
        </w:rPr>
        <w:t>SP</w:t>
      </w:r>
      <w:r>
        <w:rPr>
          <w:spacing w:val="-6"/>
          <w:sz w:val="18"/>
        </w:rPr>
        <w:t> </w:t>
      </w:r>
      <w:r>
        <w:rPr>
          <w:sz w:val="18"/>
        </w:rPr>
        <w:t>AusNet,</w:t>
      </w:r>
      <w:r>
        <w:rPr>
          <w:spacing w:val="-7"/>
          <w:sz w:val="18"/>
        </w:rPr>
        <w:t> </w:t>
      </w:r>
      <w:r>
        <w:rPr>
          <w:sz w:val="18"/>
        </w:rPr>
        <w:t>2012.</w:t>
      </w:r>
      <w:r>
        <w:rPr>
          <w:spacing w:val="-4"/>
          <w:sz w:val="18"/>
        </w:rPr>
        <w:t> </w:t>
      </w:r>
      <w:r>
        <w:rPr>
          <w:i/>
          <w:sz w:val="18"/>
        </w:rPr>
        <w:t>AMS-</w:t>
      </w:r>
      <w:r>
        <w:rPr>
          <w:i/>
          <w:spacing w:val="-6"/>
          <w:sz w:val="18"/>
        </w:rPr>
        <w:t> </w:t>
      </w:r>
      <w:r>
        <w:rPr>
          <w:i/>
          <w:sz w:val="18"/>
        </w:rPr>
        <w:t>Electricity</w:t>
      </w:r>
      <w:r>
        <w:rPr>
          <w:i/>
          <w:spacing w:val="-4"/>
          <w:sz w:val="18"/>
        </w:rPr>
        <w:t> </w:t>
      </w:r>
      <w:r>
        <w:rPr>
          <w:i/>
          <w:sz w:val="18"/>
        </w:rPr>
        <w:t>Distribution</w:t>
      </w:r>
      <w:r>
        <w:rPr>
          <w:i/>
          <w:spacing w:val="-5"/>
          <w:sz w:val="18"/>
        </w:rPr>
        <w:t> </w:t>
      </w:r>
      <w:r>
        <w:rPr>
          <w:i/>
          <w:sz w:val="18"/>
        </w:rPr>
        <w:t>Network:</w:t>
      </w:r>
      <w:r>
        <w:rPr>
          <w:i/>
          <w:spacing w:val="-2"/>
          <w:sz w:val="18"/>
        </w:rPr>
        <w:t> </w:t>
      </w:r>
      <w:r>
        <w:rPr>
          <w:i/>
          <w:sz w:val="18"/>
        </w:rPr>
        <w:t>Enhanced</w:t>
      </w:r>
      <w:r>
        <w:rPr>
          <w:i/>
          <w:spacing w:val="-5"/>
          <w:sz w:val="18"/>
        </w:rPr>
        <w:t> </w:t>
      </w:r>
      <w:r>
        <w:rPr>
          <w:i/>
          <w:sz w:val="18"/>
        </w:rPr>
        <w:t>Network</w:t>
      </w:r>
      <w:r>
        <w:rPr>
          <w:i/>
          <w:spacing w:val="-5"/>
          <w:sz w:val="18"/>
        </w:rPr>
        <w:t> </w:t>
      </w:r>
      <w:r>
        <w:rPr>
          <w:i/>
          <w:spacing w:val="-2"/>
          <w:sz w:val="18"/>
        </w:rPr>
        <w:t>Safety.</w:t>
      </w:r>
      <w:r>
        <w:rPr>
          <w:spacing w:val="-2"/>
          <w:sz w:val="18"/>
        </w:rPr>
        <w:t>.</w:t>
      </w:r>
    </w:p>
    <w:p>
      <w:pPr>
        <w:spacing w:after="0"/>
        <w:jc w:val="left"/>
        <w:rPr>
          <w:sz w:val="18"/>
        </w:rPr>
        <w:sectPr>
          <w:pgSz w:w="11910" w:h="16850"/>
          <w:pgMar w:header="220" w:footer="678" w:top="420" w:bottom="860" w:left="900" w:right="840"/>
        </w:sectPr>
      </w:pPr>
    </w:p>
    <w:p>
      <w:pPr>
        <w:pStyle w:val="BodyText"/>
        <w:rPr>
          <w:sz w:val="20"/>
        </w:rPr>
      </w:pPr>
    </w:p>
    <w:p>
      <w:pPr>
        <w:pStyle w:val="BodyText"/>
        <w:spacing w:before="10"/>
        <w:rPr>
          <w:sz w:val="19"/>
        </w:rPr>
      </w:pPr>
    </w:p>
    <w:p>
      <w:pPr>
        <w:pStyle w:val="Heading3"/>
        <w:spacing w:line="288" w:lineRule="auto"/>
        <w:ind w:right="951"/>
      </w:pPr>
      <w:bookmarkStart w:name="_bookmark13" w:id="14"/>
      <w:bookmarkEnd w:id="14"/>
      <w:r>
        <w:rPr>
          <w:b w:val="0"/>
        </w:rPr>
      </w:r>
      <w:r>
        <w:rPr>
          <w:color w:val="00B1A9"/>
        </w:rPr>
        <w:t>Chapter</w:t>
      </w:r>
      <w:r>
        <w:rPr>
          <w:color w:val="00B1A9"/>
          <w:spacing w:val="-7"/>
        </w:rPr>
        <w:t> </w:t>
      </w:r>
      <w:r>
        <w:rPr>
          <w:color w:val="00B1A9"/>
        </w:rPr>
        <w:t>7:</w:t>
      </w:r>
      <w:r>
        <w:rPr>
          <w:color w:val="00B1A9"/>
          <w:spacing w:val="-7"/>
        </w:rPr>
        <w:t> </w:t>
      </w:r>
      <w:r>
        <w:rPr>
          <w:color w:val="00B1A9"/>
        </w:rPr>
        <w:t>Regulating</w:t>
      </w:r>
      <w:r>
        <w:rPr>
          <w:color w:val="00B1A9"/>
          <w:spacing w:val="-10"/>
        </w:rPr>
        <w:t> </w:t>
      </w:r>
      <w:r>
        <w:rPr>
          <w:color w:val="00B1A9"/>
        </w:rPr>
        <w:t>Underground</w:t>
      </w:r>
      <w:r>
        <w:rPr>
          <w:color w:val="00B1A9"/>
          <w:spacing w:val="-7"/>
        </w:rPr>
        <w:t> </w:t>
      </w:r>
      <w:r>
        <w:rPr>
          <w:color w:val="00B1A9"/>
        </w:rPr>
        <w:t>Energy </w:t>
      </w:r>
      <w:r>
        <w:rPr>
          <w:color w:val="00B1A9"/>
          <w:spacing w:val="-2"/>
        </w:rPr>
        <w:t>Assets</w:t>
      </w:r>
    </w:p>
    <w:p>
      <w:pPr>
        <w:pStyle w:val="BodyText"/>
        <w:rPr>
          <w:b/>
          <w:sz w:val="20"/>
        </w:rPr>
      </w:pPr>
    </w:p>
    <w:p>
      <w:pPr>
        <w:pStyle w:val="Heading4"/>
        <w:spacing w:before="248"/>
        <w:ind w:left="374"/>
      </w:pPr>
      <w:r>
        <w:rPr/>
        <mc:AlternateContent>
          <mc:Choice Requires="wps">
            <w:drawing>
              <wp:anchor distT="0" distB="0" distL="0" distR="0" allowOverlap="1" layoutInCell="1" locked="0" behindDoc="1" simplePos="0" relativeHeight="482738688">
                <wp:simplePos x="0" y="0"/>
                <wp:positionH relativeFrom="page">
                  <wp:posOffset>719327</wp:posOffset>
                </wp:positionH>
                <wp:positionV relativeFrom="paragraph">
                  <wp:posOffset>5306</wp:posOffset>
                </wp:positionV>
                <wp:extent cx="5870575" cy="6471920"/>
                <wp:effectExtent l="0" t="0" r="0" b="0"/>
                <wp:wrapNone/>
                <wp:docPr id="180" name="Graphic 180"/>
                <wp:cNvGraphicFramePr>
                  <a:graphicFrameLocks/>
                </wp:cNvGraphicFramePr>
                <a:graphic>
                  <a:graphicData uri="http://schemas.microsoft.com/office/word/2010/wordprocessingShape">
                    <wps:wsp>
                      <wps:cNvPr id="180" name="Graphic 180"/>
                      <wps:cNvSpPr/>
                      <wps:spPr>
                        <a:xfrm>
                          <a:off x="0" y="0"/>
                          <a:ext cx="5870575" cy="6471920"/>
                        </a:xfrm>
                        <a:custGeom>
                          <a:avLst/>
                          <a:gdLst/>
                          <a:ahLst/>
                          <a:cxnLst/>
                          <a:rect l="l" t="t" r="r" b="b"/>
                          <a:pathLst>
                            <a:path w="5870575" h="6471920">
                              <a:moveTo>
                                <a:pt x="5870194" y="0"/>
                              </a:moveTo>
                              <a:lnTo>
                                <a:pt x="0" y="0"/>
                              </a:lnTo>
                              <a:lnTo>
                                <a:pt x="0" y="6471792"/>
                              </a:lnTo>
                              <a:lnTo>
                                <a:pt x="5870194" y="6471792"/>
                              </a:lnTo>
                              <a:lnTo>
                                <a:pt x="5870194"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56.639999pt;margin-top:.41783pt;width:462.22pt;height:509.59pt;mso-position-horizontal-relative:page;mso-position-vertical-relative:paragraph;z-index:-20577792" id="docshape159" filled="true" fillcolor="#d9d9d9" stroked="false">
                <v:fill type="solid"/>
                <w10:wrap type="none"/>
              </v:rect>
            </w:pict>
          </mc:Fallback>
        </mc:AlternateContent>
      </w:r>
      <w:r>
        <w:rPr>
          <w:color w:val="585858"/>
          <w:spacing w:val="-2"/>
        </w:rPr>
        <w:t>Summary</w:t>
      </w:r>
    </w:p>
    <w:p>
      <w:pPr>
        <w:pStyle w:val="BodyText"/>
        <w:spacing w:line="288" w:lineRule="auto" w:before="314"/>
        <w:ind w:left="345" w:right="951"/>
      </w:pPr>
      <w:r>
        <w:rPr/>
        <w:t>Throughout</w:t>
      </w:r>
      <w:r>
        <w:rPr>
          <w:spacing w:val="-4"/>
        </w:rPr>
        <w:t> </w:t>
      </w:r>
      <w:r>
        <w:rPr/>
        <w:t>Victoria,</w:t>
      </w:r>
      <w:r>
        <w:rPr>
          <w:spacing w:val="-5"/>
        </w:rPr>
        <w:t> </w:t>
      </w:r>
      <w:r>
        <w:rPr/>
        <w:t>there</w:t>
      </w:r>
      <w:r>
        <w:rPr>
          <w:spacing w:val="-3"/>
        </w:rPr>
        <w:t> </w:t>
      </w:r>
      <w:r>
        <w:rPr/>
        <w:t>are</w:t>
      </w:r>
      <w:r>
        <w:rPr>
          <w:spacing w:val="-5"/>
        </w:rPr>
        <w:t> </w:t>
      </w:r>
      <w:r>
        <w:rPr/>
        <w:t>numerous</w:t>
      </w:r>
      <w:r>
        <w:rPr>
          <w:spacing w:val="-2"/>
        </w:rPr>
        <w:t> </w:t>
      </w:r>
      <w:r>
        <w:rPr/>
        <w:t>underground</w:t>
      </w:r>
      <w:r>
        <w:rPr>
          <w:spacing w:val="-3"/>
        </w:rPr>
        <w:t> </w:t>
      </w:r>
      <w:r>
        <w:rPr/>
        <w:t>electricity</w:t>
      </w:r>
      <w:r>
        <w:rPr>
          <w:spacing w:val="-5"/>
        </w:rPr>
        <w:t> </w:t>
      </w:r>
      <w:r>
        <w:rPr/>
        <w:t>and</w:t>
      </w:r>
      <w:r>
        <w:rPr>
          <w:spacing w:val="-6"/>
        </w:rPr>
        <w:t> </w:t>
      </w:r>
      <w:r>
        <w:rPr/>
        <w:t>gas</w:t>
      </w:r>
      <w:r>
        <w:rPr>
          <w:spacing w:val="-5"/>
        </w:rPr>
        <w:t> </w:t>
      </w:r>
      <w:r>
        <w:rPr/>
        <w:t>network</w:t>
      </w:r>
      <w:r>
        <w:rPr>
          <w:spacing w:val="-2"/>
        </w:rPr>
        <w:t> </w:t>
      </w:r>
      <w:r>
        <w:rPr/>
        <w:t>assets that are critical to the functioning of the State.</w:t>
      </w:r>
    </w:p>
    <w:p>
      <w:pPr>
        <w:pStyle w:val="BodyText"/>
        <w:spacing w:before="10"/>
        <w:rPr>
          <w:sz w:val="20"/>
        </w:rPr>
      </w:pPr>
    </w:p>
    <w:p>
      <w:pPr>
        <w:pStyle w:val="BodyText"/>
        <w:spacing w:line="288" w:lineRule="auto"/>
        <w:ind w:left="345" w:right="951"/>
      </w:pPr>
      <w:r>
        <w:rPr/>
        <w:t>Victoria has never suffered a large-scale pipeline incident, but there have been many smaller</w:t>
      </w:r>
      <w:r>
        <w:rPr>
          <w:spacing w:val="-3"/>
        </w:rPr>
        <w:t> </w:t>
      </w:r>
      <w:r>
        <w:rPr/>
        <w:t>scale</w:t>
      </w:r>
      <w:r>
        <w:rPr>
          <w:spacing w:val="-6"/>
        </w:rPr>
        <w:t> </w:t>
      </w:r>
      <w:r>
        <w:rPr/>
        <w:t>incidents,</w:t>
      </w:r>
      <w:r>
        <w:rPr>
          <w:spacing w:val="-4"/>
        </w:rPr>
        <w:t> </w:t>
      </w:r>
      <w:r>
        <w:rPr/>
        <w:t>some</w:t>
      </w:r>
      <w:r>
        <w:rPr>
          <w:spacing w:val="-3"/>
        </w:rPr>
        <w:t> </w:t>
      </w:r>
      <w:r>
        <w:rPr/>
        <w:t>with</w:t>
      </w:r>
      <w:r>
        <w:rPr>
          <w:spacing w:val="-4"/>
        </w:rPr>
        <w:t> </w:t>
      </w:r>
      <w:r>
        <w:rPr/>
        <w:t>more</w:t>
      </w:r>
      <w:r>
        <w:rPr>
          <w:spacing w:val="-6"/>
        </w:rPr>
        <w:t> </w:t>
      </w:r>
      <w:r>
        <w:rPr/>
        <w:t>serious</w:t>
      </w:r>
      <w:r>
        <w:rPr>
          <w:spacing w:val="-6"/>
        </w:rPr>
        <w:t> </w:t>
      </w:r>
      <w:r>
        <w:rPr/>
        <w:t>consequences</w:t>
      </w:r>
      <w:r>
        <w:rPr>
          <w:spacing w:val="-3"/>
        </w:rPr>
        <w:t> </w:t>
      </w:r>
      <w:r>
        <w:rPr/>
        <w:t>or</w:t>
      </w:r>
      <w:r>
        <w:rPr>
          <w:spacing w:val="-3"/>
        </w:rPr>
        <w:t> </w:t>
      </w:r>
      <w:r>
        <w:rPr/>
        <w:t>potential</w:t>
      </w:r>
      <w:r>
        <w:rPr>
          <w:spacing w:val="-4"/>
        </w:rPr>
        <w:t> </w:t>
      </w:r>
      <w:r>
        <w:rPr/>
        <w:t>consequences. Third party interference</w:t>
      </w:r>
      <w:r>
        <w:rPr>
          <w:spacing w:val="-2"/>
        </w:rPr>
        <w:t> </w:t>
      </w:r>
      <w:r>
        <w:rPr/>
        <w:t>with pipelines remains one of the biggest threats</w:t>
      </w:r>
      <w:r>
        <w:rPr>
          <w:spacing w:val="-1"/>
        </w:rPr>
        <w:t> </w:t>
      </w:r>
      <w:r>
        <w:rPr/>
        <w:t>to pipeline safety and has the potential to cause highly serious incidents.</w:t>
      </w:r>
    </w:p>
    <w:p>
      <w:pPr>
        <w:pStyle w:val="BodyText"/>
        <w:spacing w:before="11"/>
        <w:rPr>
          <w:sz w:val="20"/>
        </w:rPr>
      </w:pPr>
    </w:p>
    <w:p>
      <w:pPr>
        <w:pStyle w:val="BodyText"/>
        <w:spacing w:line="288" w:lineRule="auto"/>
        <w:ind w:left="345" w:right="951"/>
      </w:pPr>
      <w:r>
        <w:rPr/>
        <w:t>Physical encroachment on these assets due to changes in the land use surrounding easements</w:t>
      </w:r>
      <w:r>
        <w:rPr>
          <w:spacing w:val="-6"/>
        </w:rPr>
        <w:t> </w:t>
      </w:r>
      <w:r>
        <w:rPr/>
        <w:t>can</w:t>
      </w:r>
      <w:r>
        <w:rPr>
          <w:spacing w:val="-5"/>
        </w:rPr>
        <w:t> </w:t>
      </w:r>
      <w:r>
        <w:rPr/>
        <w:t>exacerbate</w:t>
      </w:r>
      <w:r>
        <w:rPr>
          <w:spacing w:val="-5"/>
        </w:rPr>
        <w:t> </w:t>
      </w:r>
      <w:r>
        <w:rPr/>
        <w:t>the</w:t>
      </w:r>
      <w:r>
        <w:rPr>
          <w:spacing w:val="-6"/>
        </w:rPr>
        <w:t> </w:t>
      </w:r>
      <w:r>
        <w:rPr/>
        <w:t>risk</w:t>
      </w:r>
      <w:r>
        <w:rPr>
          <w:spacing w:val="-1"/>
        </w:rPr>
        <w:t> </w:t>
      </w:r>
      <w:r>
        <w:rPr/>
        <w:t>of</w:t>
      </w:r>
      <w:r>
        <w:rPr>
          <w:spacing w:val="-2"/>
        </w:rPr>
        <w:t> </w:t>
      </w:r>
      <w:r>
        <w:rPr/>
        <w:t>accidental</w:t>
      </w:r>
      <w:r>
        <w:rPr>
          <w:spacing w:val="-6"/>
        </w:rPr>
        <w:t> </w:t>
      </w:r>
      <w:r>
        <w:rPr/>
        <w:t>damage</w:t>
      </w:r>
      <w:r>
        <w:rPr>
          <w:spacing w:val="-6"/>
        </w:rPr>
        <w:t> </w:t>
      </w:r>
      <w:r>
        <w:rPr/>
        <w:t>to</w:t>
      </w:r>
      <w:r>
        <w:rPr>
          <w:spacing w:val="-6"/>
        </w:rPr>
        <w:t> </w:t>
      </w:r>
      <w:r>
        <w:rPr/>
        <w:t>the</w:t>
      </w:r>
      <w:r>
        <w:rPr>
          <w:spacing w:val="-4"/>
        </w:rPr>
        <w:t> </w:t>
      </w:r>
      <w:r>
        <w:rPr/>
        <w:t>asset</w:t>
      </w:r>
      <w:r>
        <w:rPr>
          <w:spacing w:val="-7"/>
        </w:rPr>
        <w:t> </w:t>
      </w:r>
      <w:r>
        <w:rPr/>
        <w:t>from</w:t>
      </w:r>
      <w:r>
        <w:rPr>
          <w:spacing w:val="-5"/>
        </w:rPr>
        <w:t> </w:t>
      </w:r>
      <w:r>
        <w:rPr/>
        <w:t>third</w:t>
      </w:r>
      <w:r>
        <w:rPr>
          <w:spacing w:val="-3"/>
        </w:rPr>
        <w:t> </w:t>
      </w:r>
      <w:r>
        <w:rPr>
          <w:spacing w:val="-2"/>
        </w:rPr>
        <w:t>parties.</w:t>
      </w:r>
    </w:p>
    <w:p>
      <w:pPr>
        <w:pStyle w:val="BodyText"/>
        <w:spacing w:before="10"/>
        <w:rPr>
          <w:sz w:val="20"/>
        </w:rPr>
      </w:pPr>
    </w:p>
    <w:p>
      <w:pPr>
        <w:pStyle w:val="BodyText"/>
        <w:spacing w:line="288" w:lineRule="auto"/>
        <w:ind w:left="345" w:right="439"/>
      </w:pPr>
      <w:r>
        <w:rPr/>
        <w:t>Energy Safe Victoria (ESV) should continue to take the lead in promoting awareness for underground energy assets, including by requiring asset owners to ensure their assets are clearly</w:t>
      </w:r>
      <w:r>
        <w:rPr>
          <w:spacing w:val="-4"/>
        </w:rPr>
        <w:t> </w:t>
      </w:r>
      <w:r>
        <w:rPr/>
        <w:t>marked</w:t>
      </w:r>
      <w:r>
        <w:rPr>
          <w:spacing w:val="-2"/>
        </w:rPr>
        <w:t> </w:t>
      </w:r>
      <w:r>
        <w:rPr/>
        <w:t>and</w:t>
      </w:r>
      <w:r>
        <w:rPr>
          <w:spacing w:val="-2"/>
        </w:rPr>
        <w:t> </w:t>
      </w:r>
      <w:r>
        <w:rPr/>
        <w:t>able</w:t>
      </w:r>
      <w:r>
        <w:rPr>
          <w:spacing w:val="-4"/>
        </w:rPr>
        <w:t> </w:t>
      </w:r>
      <w:r>
        <w:rPr/>
        <w:t>to</w:t>
      </w:r>
      <w:r>
        <w:rPr>
          <w:spacing w:val="-2"/>
        </w:rPr>
        <w:t> </w:t>
      </w:r>
      <w:r>
        <w:rPr/>
        <w:t>be</w:t>
      </w:r>
      <w:r>
        <w:rPr>
          <w:spacing w:val="-4"/>
        </w:rPr>
        <w:t> </w:t>
      </w:r>
      <w:r>
        <w:rPr/>
        <w:t>located</w:t>
      </w:r>
      <w:r>
        <w:rPr>
          <w:spacing w:val="-4"/>
        </w:rPr>
        <w:t> </w:t>
      </w:r>
      <w:r>
        <w:rPr/>
        <w:t>when</w:t>
      </w:r>
      <w:r>
        <w:rPr>
          <w:spacing w:val="-2"/>
        </w:rPr>
        <w:t> </w:t>
      </w:r>
      <w:r>
        <w:rPr/>
        <w:t>required.</w:t>
      </w:r>
      <w:r>
        <w:rPr>
          <w:spacing w:val="-1"/>
        </w:rPr>
        <w:t> </w:t>
      </w:r>
      <w:r>
        <w:rPr/>
        <w:t>Strong</w:t>
      </w:r>
      <w:r>
        <w:rPr>
          <w:spacing w:val="-2"/>
        </w:rPr>
        <w:t> </w:t>
      </w:r>
      <w:r>
        <w:rPr/>
        <w:t>compliance</w:t>
      </w:r>
      <w:r>
        <w:rPr>
          <w:spacing w:val="-2"/>
        </w:rPr>
        <w:t> </w:t>
      </w:r>
      <w:r>
        <w:rPr/>
        <w:t>and</w:t>
      </w:r>
      <w:r>
        <w:rPr>
          <w:spacing w:val="-2"/>
        </w:rPr>
        <w:t> </w:t>
      </w:r>
      <w:r>
        <w:rPr/>
        <w:t>enforcement</w:t>
      </w:r>
      <w:r>
        <w:rPr>
          <w:spacing w:val="-3"/>
        </w:rPr>
        <w:t> </w:t>
      </w:r>
      <w:r>
        <w:rPr/>
        <w:t>is necessary. This extends to the enforcement of regulation on third parties that interfere with network assets.</w:t>
      </w:r>
    </w:p>
    <w:p>
      <w:pPr>
        <w:pStyle w:val="BodyText"/>
        <w:spacing w:before="9"/>
        <w:rPr>
          <w:sz w:val="20"/>
        </w:rPr>
      </w:pPr>
    </w:p>
    <w:p>
      <w:pPr>
        <w:pStyle w:val="BodyText"/>
        <w:spacing w:line="288" w:lineRule="auto"/>
        <w:ind w:left="345" w:right="951"/>
      </w:pPr>
      <w:r>
        <w:rPr/>
        <w:t>A</w:t>
      </w:r>
      <w:r>
        <w:rPr>
          <w:spacing w:val="-3"/>
        </w:rPr>
        <w:t> </w:t>
      </w:r>
      <w:r>
        <w:rPr/>
        <w:t>report</w:t>
      </w:r>
      <w:r>
        <w:rPr>
          <w:spacing w:val="-1"/>
        </w:rPr>
        <w:t> </w:t>
      </w:r>
      <w:r>
        <w:rPr/>
        <w:t>into</w:t>
      </w:r>
      <w:r>
        <w:rPr>
          <w:spacing w:val="-5"/>
        </w:rPr>
        <w:t> </w:t>
      </w:r>
      <w:r>
        <w:rPr/>
        <w:t>the</w:t>
      </w:r>
      <w:r>
        <w:rPr>
          <w:spacing w:val="-3"/>
        </w:rPr>
        <w:t> </w:t>
      </w:r>
      <w:r>
        <w:rPr/>
        <w:t>land</w:t>
      </w:r>
      <w:r>
        <w:rPr>
          <w:spacing w:val="-3"/>
        </w:rPr>
        <w:t> </w:t>
      </w:r>
      <w:r>
        <w:rPr/>
        <w:t>use</w:t>
      </w:r>
      <w:r>
        <w:rPr>
          <w:spacing w:val="-3"/>
        </w:rPr>
        <w:t> </w:t>
      </w:r>
      <w:r>
        <w:rPr/>
        <w:t>buffers</w:t>
      </w:r>
      <w:r>
        <w:rPr>
          <w:spacing w:val="-4"/>
        </w:rPr>
        <w:t> </w:t>
      </w:r>
      <w:r>
        <w:rPr/>
        <w:t>around</w:t>
      </w:r>
      <w:r>
        <w:rPr>
          <w:spacing w:val="-6"/>
        </w:rPr>
        <w:t> </w:t>
      </w:r>
      <w:r>
        <w:rPr/>
        <w:t>Major</w:t>
      </w:r>
      <w:r>
        <w:rPr>
          <w:spacing w:val="-2"/>
        </w:rPr>
        <w:t> </w:t>
      </w:r>
      <w:r>
        <w:rPr/>
        <w:t>Hazard</w:t>
      </w:r>
      <w:r>
        <w:rPr>
          <w:spacing w:val="-2"/>
        </w:rPr>
        <w:t> </w:t>
      </w:r>
      <w:r>
        <w:rPr/>
        <w:t>Facilities,</w:t>
      </w:r>
      <w:r>
        <w:rPr>
          <w:spacing w:val="-2"/>
        </w:rPr>
        <w:t> </w:t>
      </w:r>
      <w:r>
        <w:rPr/>
        <w:t>conducted</w:t>
      </w:r>
      <w:r>
        <w:rPr>
          <w:spacing w:val="-3"/>
        </w:rPr>
        <w:t> </w:t>
      </w:r>
      <w:r>
        <w:rPr/>
        <w:t>in</w:t>
      </w:r>
      <w:r>
        <w:rPr>
          <w:spacing w:val="-3"/>
        </w:rPr>
        <w:t> </w:t>
      </w:r>
      <w:r>
        <w:rPr/>
        <w:t>2015,</w:t>
      </w:r>
      <w:r>
        <w:rPr>
          <w:spacing w:val="-6"/>
        </w:rPr>
        <w:t> </w:t>
      </w:r>
      <w:r>
        <w:rPr/>
        <w:t>found that </w:t>
      </w:r>
      <w:r>
        <w:rPr>
          <w:color w:val="252B2F"/>
        </w:rPr>
        <w:t>planning issues relating to </w:t>
      </w:r>
      <w:r>
        <w:rPr/>
        <w:t>residential and other sensitive-use encroachment on Major Hazard Facilities, also applied to high pressure pipelines.</w:t>
      </w:r>
    </w:p>
    <w:p>
      <w:pPr>
        <w:pStyle w:val="BodyText"/>
        <w:spacing w:before="9"/>
        <w:rPr>
          <w:sz w:val="20"/>
        </w:rPr>
      </w:pPr>
    </w:p>
    <w:p>
      <w:pPr>
        <w:pStyle w:val="BodyText"/>
        <w:spacing w:line="288" w:lineRule="auto"/>
        <w:ind w:left="345" w:right="868"/>
      </w:pPr>
      <w:r>
        <w:rPr/>
        <w:t>The report included recommendations to formalise the membership and operation of the </w:t>
      </w:r>
      <w:r>
        <w:rPr>
          <w:i/>
        </w:rPr>
        <w:t>Land Development Around Pipelines Working Group </w:t>
      </w:r>
      <w:r>
        <w:rPr/>
        <w:t>and to task the working group with providing advice to government to improve planning around high pressure gas pipelines (</w:t>
      </w:r>
      <w:r>
        <w:rPr>
          <w:b/>
        </w:rPr>
        <w:t>Recommendation</w:t>
      </w:r>
      <w:r>
        <w:rPr>
          <w:b/>
          <w:spacing w:val="-5"/>
        </w:rPr>
        <w:t> </w:t>
      </w:r>
      <w:r>
        <w:rPr>
          <w:b/>
        </w:rPr>
        <w:t>30</w:t>
      </w:r>
      <w:r>
        <w:rPr/>
        <w:t>)</w:t>
      </w:r>
      <w:r>
        <w:rPr>
          <w:i/>
        </w:rPr>
        <w:t>.</w:t>
      </w:r>
      <w:r>
        <w:rPr>
          <w:i/>
          <w:spacing w:val="-3"/>
        </w:rPr>
        <w:t> </w:t>
      </w:r>
      <w:r>
        <w:rPr/>
        <w:t>These</w:t>
      </w:r>
      <w:r>
        <w:rPr>
          <w:spacing w:val="-4"/>
        </w:rPr>
        <w:t> </w:t>
      </w:r>
      <w:r>
        <w:rPr/>
        <w:t>recommendations</w:t>
      </w:r>
      <w:r>
        <w:rPr>
          <w:spacing w:val="-4"/>
        </w:rPr>
        <w:t> </w:t>
      </w:r>
      <w:r>
        <w:rPr/>
        <w:t>would</w:t>
      </w:r>
      <w:r>
        <w:rPr>
          <w:spacing w:val="-3"/>
        </w:rPr>
        <w:t> </w:t>
      </w:r>
      <w:r>
        <w:rPr/>
        <w:t>provide</w:t>
      </w:r>
      <w:r>
        <w:rPr>
          <w:spacing w:val="-3"/>
        </w:rPr>
        <w:t> </w:t>
      </w:r>
      <w:r>
        <w:rPr/>
        <w:t>a</w:t>
      </w:r>
      <w:r>
        <w:rPr>
          <w:spacing w:val="-3"/>
        </w:rPr>
        <w:t> </w:t>
      </w:r>
      <w:r>
        <w:rPr/>
        <w:t>mechanism</w:t>
      </w:r>
      <w:r>
        <w:rPr>
          <w:spacing w:val="-3"/>
        </w:rPr>
        <w:t> </w:t>
      </w:r>
      <w:r>
        <w:rPr/>
        <w:t>for</w:t>
      </w:r>
      <w:r>
        <w:rPr>
          <w:spacing w:val="-4"/>
        </w:rPr>
        <w:t> </w:t>
      </w:r>
      <w:r>
        <w:rPr/>
        <w:t>the</w:t>
      </w:r>
      <w:r>
        <w:rPr>
          <w:spacing w:val="-4"/>
        </w:rPr>
        <w:t> </w:t>
      </w:r>
      <w:r>
        <w:rPr/>
        <w:t>more effective consideration of pipelines in planning decisions.</w:t>
      </w:r>
    </w:p>
    <w:p>
      <w:pPr>
        <w:pStyle w:val="BodyText"/>
        <w:rPr>
          <w:sz w:val="21"/>
        </w:rPr>
      </w:pPr>
    </w:p>
    <w:p>
      <w:pPr>
        <w:pStyle w:val="BodyText"/>
        <w:spacing w:line="288" w:lineRule="auto"/>
        <w:ind w:left="345" w:right="784"/>
        <w:rPr>
          <w:i/>
        </w:rPr>
      </w:pPr>
      <w:r>
        <w:rPr/>
        <w:t>The</w:t>
      </w:r>
      <w:r>
        <w:rPr>
          <w:spacing w:val="-4"/>
        </w:rPr>
        <w:t> </w:t>
      </w:r>
      <w:r>
        <w:rPr>
          <w:i/>
        </w:rPr>
        <w:t>Dial</w:t>
      </w:r>
      <w:r>
        <w:rPr>
          <w:i/>
          <w:spacing w:val="-3"/>
        </w:rPr>
        <w:t> </w:t>
      </w:r>
      <w:r>
        <w:rPr>
          <w:i/>
        </w:rPr>
        <w:t>Before</w:t>
      </w:r>
      <w:r>
        <w:rPr>
          <w:i/>
          <w:spacing w:val="-4"/>
        </w:rPr>
        <w:t> </w:t>
      </w:r>
      <w:r>
        <w:rPr>
          <w:i/>
        </w:rPr>
        <w:t>You</w:t>
      </w:r>
      <w:r>
        <w:rPr>
          <w:i/>
          <w:spacing w:val="-2"/>
        </w:rPr>
        <w:t> </w:t>
      </w:r>
      <w:r>
        <w:rPr>
          <w:i/>
        </w:rPr>
        <w:t>Dig</w:t>
      </w:r>
      <w:r>
        <w:rPr>
          <w:i/>
          <w:spacing w:val="-3"/>
        </w:rPr>
        <w:t> </w:t>
      </w:r>
      <w:r>
        <w:rPr/>
        <w:t>referral</w:t>
      </w:r>
      <w:r>
        <w:rPr>
          <w:spacing w:val="-3"/>
        </w:rPr>
        <w:t> </w:t>
      </w:r>
      <w:r>
        <w:rPr/>
        <w:t>service</w:t>
      </w:r>
      <w:r>
        <w:rPr>
          <w:spacing w:val="-2"/>
        </w:rPr>
        <w:t> </w:t>
      </w:r>
      <w:r>
        <w:rPr/>
        <w:t>or equivalent should</w:t>
      </w:r>
      <w:r>
        <w:rPr>
          <w:spacing w:val="-2"/>
        </w:rPr>
        <w:t> </w:t>
      </w:r>
      <w:r>
        <w:rPr/>
        <w:t>be</w:t>
      </w:r>
      <w:r>
        <w:rPr>
          <w:spacing w:val="-4"/>
        </w:rPr>
        <w:t> </w:t>
      </w:r>
      <w:r>
        <w:rPr/>
        <w:t>made</w:t>
      </w:r>
      <w:r>
        <w:rPr>
          <w:spacing w:val="-6"/>
        </w:rPr>
        <w:t> </w:t>
      </w:r>
      <w:r>
        <w:rPr/>
        <w:t>mandatory, subject</w:t>
      </w:r>
      <w:r>
        <w:rPr>
          <w:spacing w:val="-3"/>
        </w:rPr>
        <w:t> </w:t>
      </w:r>
      <w:r>
        <w:rPr/>
        <w:t>to a positive regulatory impact assessment. This proposal would bring Victoria into line with current arrangements applying under electricity and gas legislation in New South Wales (</w:t>
      </w:r>
      <w:r>
        <w:rPr>
          <w:b/>
        </w:rPr>
        <w:t>Recommendation 31</w:t>
      </w:r>
      <w:r>
        <w:rPr/>
        <w:t>)</w:t>
      </w:r>
      <w:r>
        <w:rPr>
          <w:i/>
        </w:rPr>
        <w:t>.</w:t>
      </w:r>
    </w:p>
    <w:p>
      <w:pPr>
        <w:spacing w:after="0" w:line="288" w:lineRule="auto"/>
        <w:sectPr>
          <w:pgSz w:w="11910" w:h="16850"/>
          <w:pgMar w:header="220" w:footer="678" w:top="420" w:bottom="860" w:left="900" w:right="840"/>
        </w:sectPr>
      </w:pPr>
    </w:p>
    <w:p>
      <w:pPr>
        <w:pStyle w:val="BodyText"/>
        <w:rPr>
          <w:i/>
          <w:sz w:val="20"/>
        </w:rPr>
      </w:pPr>
    </w:p>
    <w:p>
      <w:pPr>
        <w:pStyle w:val="BodyText"/>
        <w:spacing w:before="7"/>
        <w:rPr>
          <w:i/>
          <w:sz w:val="19"/>
        </w:rPr>
      </w:pPr>
    </w:p>
    <w:p>
      <w:pPr>
        <w:pStyle w:val="Heading4"/>
      </w:pPr>
      <w:r>
        <w:rPr>
          <w:color w:val="585858"/>
        </w:rPr>
        <w:t>Principles</w:t>
      </w:r>
      <w:r>
        <w:rPr>
          <w:color w:val="585858"/>
          <w:spacing w:val="-12"/>
        </w:rPr>
        <w:t> </w:t>
      </w:r>
      <w:r>
        <w:rPr>
          <w:color w:val="585858"/>
        </w:rPr>
        <w:t>for</w:t>
      </w:r>
      <w:r>
        <w:rPr>
          <w:color w:val="585858"/>
          <w:spacing w:val="-14"/>
        </w:rPr>
        <w:t> </w:t>
      </w:r>
      <w:r>
        <w:rPr>
          <w:color w:val="585858"/>
        </w:rPr>
        <w:t>safeguarding</w:t>
      </w:r>
      <w:r>
        <w:rPr>
          <w:color w:val="585858"/>
          <w:spacing w:val="-14"/>
        </w:rPr>
        <w:t> </w:t>
      </w:r>
      <w:r>
        <w:rPr>
          <w:color w:val="585858"/>
        </w:rPr>
        <w:t>underground</w:t>
      </w:r>
      <w:r>
        <w:rPr>
          <w:color w:val="585858"/>
          <w:spacing w:val="-14"/>
        </w:rPr>
        <w:t> </w:t>
      </w:r>
      <w:r>
        <w:rPr>
          <w:color w:val="585858"/>
        </w:rPr>
        <w:t>energy</w:t>
      </w:r>
      <w:r>
        <w:rPr>
          <w:color w:val="585858"/>
          <w:spacing w:val="-18"/>
        </w:rPr>
        <w:t> </w:t>
      </w:r>
      <w:r>
        <w:rPr>
          <w:color w:val="585858"/>
          <w:spacing w:val="-2"/>
        </w:rPr>
        <w:t>assets</w:t>
      </w:r>
    </w:p>
    <w:p>
      <w:pPr>
        <w:pStyle w:val="BodyText"/>
        <w:spacing w:line="288" w:lineRule="auto" w:before="314"/>
        <w:ind w:left="232" w:right="374"/>
      </w:pPr>
      <w:r>
        <w:rPr/>
        <w:t>Underground assets can present a danger to the public or workers when excavation work is undertaken</w:t>
      </w:r>
      <w:r>
        <w:rPr>
          <w:spacing w:val="-5"/>
        </w:rPr>
        <w:t> </w:t>
      </w:r>
      <w:r>
        <w:rPr/>
        <w:t>in</w:t>
      </w:r>
      <w:r>
        <w:rPr>
          <w:spacing w:val="-5"/>
        </w:rPr>
        <w:t> </w:t>
      </w:r>
      <w:r>
        <w:rPr/>
        <w:t>their</w:t>
      </w:r>
      <w:r>
        <w:rPr>
          <w:spacing w:val="-2"/>
        </w:rPr>
        <w:t> </w:t>
      </w:r>
      <w:r>
        <w:rPr/>
        <w:t>vicinity.</w:t>
      </w:r>
      <w:r>
        <w:rPr>
          <w:spacing w:val="-1"/>
        </w:rPr>
        <w:t> </w:t>
      </w:r>
      <w:r>
        <w:rPr/>
        <w:t>Accidental</w:t>
      </w:r>
      <w:r>
        <w:rPr>
          <w:spacing w:val="-3"/>
        </w:rPr>
        <w:t> </w:t>
      </w:r>
      <w:r>
        <w:rPr/>
        <w:t>contact</w:t>
      </w:r>
      <w:r>
        <w:rPr>
          <w:spacing w:val="-4"/>
        </w:rPr>
        <w:t> </w:t>
      </w:r>
      <w:r>
        <w:rPr/>
        <w:t>with</w:t>
      </w:r>
      <w:r>
        <w:rPr>
          <w:spacing w:val="-3"/>
        </w:rPr>
        <w:t> </w:t>
      </w:r>
      <w:r>
        <w:rPr/>
        <w:t>an</w:t>
      </w:r>
      <w:r>
        <w:rPr>
          <w:spacing w:val="-3"/>
        </w:rPr>
        <w:t> </w:t>
      </w:r>
      <w:r>
        <w:rPr/>
        <w:t>electrical</w:t>
      </w:r>
      <w:r>
        <w:rPr>
          <w:spacing w:val="-4"/>
        </w:rPr>
        <w:t> </w:t>
      </w:r>
      <w:r>
        <w:rPr/>
        <w:t>asset</w:t>
      </w:r>
      <w:r>
        <w:rPr>
          <w:spacing w:val="-1"/>
        </w:rPr>
        <w:t> </w:t>
      </w:r>
      <w:r>
        <w:rPr/>
        <w:t>can</w:t>
      </w:r>
      <w:r>
        <w:rPr>
          <w:spacing w:val="-5"/>
        </w:rPr>
        <w:t> </w:t>
      </w:r>
      <w:r>
        <w:rPr/>
        <w:t>lead</w:t>
      </w:r>
      <w:r>
        <w:rPr>
          <w:spacing w:val="-3"/>
        </w:rPr>
        <w:t> </w:t>
      </w:r>
      <w:r>
        <w:rPr/>
        <w:t>to</w:t>
      </w:r>
      <w:r>
        <w:rPr>
          <w:spacing w:val="-3"/>
        </w:rPr>
        <w:t> </w:t>
      </w:r>
      <w:r>
        <w:rPr/>
        <w:t>electrocution, while a strike to a gas pipeline has potential to cause a gas leak or explosion.</w:t>
      </w:r>
    </w:p>
    <w:p>
      <w:pPr>
        <w:pStyle w:val="BodyText"/>
        <w:spacing w:before="9"/>
        <w:rPr>
          <w:sz w:val="20"/>
        </w:rPr>
      </w:pPr>
    </w:p>
    <w:p>
      <w:pPr>
        <w:pStyle w:val="BodyText"/>
        <w:spacing w:line="288" w:lineRule="auto"/>
        <w:ind w:left="232"/>
      </w:pPr>
      <w:r>
        <w:rPr/>
        <w:t>To ensure these risks are minimised as far as is reasonably practicable, ESV as the energy safety regulator, needs to ensure that network businesses are active in promoting awareness of their underground</w:t>
      </w:r>
      <w:r>
        <w:rPr>
          <w:spacing w:val="-4"/>
        </w:rPr>
        <w:t> </w:t>
      </w:r>
      <w:r>
        <w:rPr/>
        <w:t>assets.</w:t>
      </w:r>
      <w:r>
        <w:rPr>
          <w:spacing w:val="-5"/>
        </w:rPr>
        <w:t> </w:t>
      </w:r>
      <w:r>
        <w:rPr/>
        <w:t>To</w:t>
      </w:r>
      <w:r>
        <w:rPr>
          <w:spacing w:val="-4"/>
        </w:rPr>
        <w:t> </w:t>
      </w:r>
      <w:r>
        <w:rPr/>
        <w:t>ensure</w:t>
      </w:r>
      <w:r>
        <w:rPr>
          <w:spacing w:val="-1"/>
        </w:rPr>
        <w:t> </w:t>
      </w:r>
      <w:r>
        <w:rPr/>
        <w:t>safety,</w:t>
      </w:r>
      <w:r>
        <w:rPr>
          <w:spacing w:val="-3"/>
        </w:rPr>
        <w:t> </w:t>
      </w:r>
      <w:r>
        <w:rPr/>
        <w:t>these</w:t>
      </w:r>
      <w:r>
        <w:rPr>
          <w:spacing w:val="-4"/>
        </w:rPr>
        <w:t> </w:t>
      </w:r>
      <w:r>
        <w:rPr/>
        <w:t>assets</w:t>
      </w:r>
      <w:r>
        <w:rPr>
          <w:spacing w:val="-3"/>
        </w:rPr>
        <w:t> </w:t>
      </w:r>
      <w:r>
        <w:rPr/>
        <w:t>must be</w:t>
      </w:r>
      <w:r>
        <w:rPr>
          <w:spacing w:val="-4"/>
        </w:rPr>
        <w:t> </w:t>
      </w:r>
      <w:r>
        <w:rPr/>
        <w:t>clearly</w:t>
      </w:r>
      <w:r>
        <w:rPr>
          <w:spacing w:val="-4"/>
        </w:rPr>
        <w:t> </w:t>
      </w:r>
      <w:r>
        <w:rPr/>
        <w:t>marked</w:t>
      </w:r>
      <w:r>
        <w:rPr>
          <w:spacing w:val="-2"/>
        </w:rPr>
        <w:t> </w:t>
      </w:r>
      <w:r>
        <w:rPr/>
        <w:t>and</w:t>
      </w:r>
      <w:r>
        <w:rPr>
          <w:spacing w:val="-2"/>
        </w:rPr>
        <w:t> </w:t>
      </w:r>
      <w:r>
        <w:rPr/>
        <w:t>linked</w:t>
      </w:r>
      <w:r>
        <w:rPr>
          <w:spacing w:val="-4"/>
        </w:rPr>
        <w:t> </w:t>
      </w:r>
      <w:r>
        <w:rPr/>
        <w:t>to</w:t>
      </w:r>
      <w:r>
        <w:rPr>
          <w:spacing w:val="-2"/>
        </w:rPr>
        <w:t> </w:t>
      </w:r>
      <w:r>
        <w:rPr/>
        <w:t>accurate location data that can be accessible to third parties when required.</w:t>
      </w:r>
    </w:p>
    <w:p>
      <w:pPr>
        <w:pStyle w:val="BodyText"/>
        <w:spacing w:before="10"/>
        <w:rPr>
          <w:sz w:val="20"/>
        </w:rPr>
      </w:pPr>
    </w:p>
    <w:p>
      <w:pPr>
        <w:pStyle w:val="BodyText"/>
        <w:spacing w:line="288" w:lineRule="auto"/>
        <w:ind w:left="232" w:right="374"/>
      </w:pPr>
      <w:r>
        <w:rPr/>
        <w:t>Within Australia, there is a </w:t>
      </w:r>
      <w:r>
        <w:rPr>
          <w:i/>
        </w:rPr>
        <w:t>Dial Before You Dig </w:t>
      </w:r>
      <w:r>
        <w:rPr/>
        <w:t>one-call referral service available for locating underground</w:t>
      </w:r>
      <w:r>
        <w:rPr>
          <w:spacing w:val="-4"/>
        </w:rPr>
        <w:t> </w:t>
      </w:r>
      <w:r>
        <w:rPr/>
        <w:t>utilities</w:t>
      </w:r>
      <w:r>
        <w:rPr>
          <w:spacing w:val="-3"/>
        </w:rPr>
        <w:t> </w:t>
      </w:r>
      <w:r>
        <w:rPr/>
        <w:t>including</w:t>
      </w:r>
      <w:r>
        <w:rPr>
          <w:spacing w:val="-1"/>
        </w:rPr>
        <w:t> </w:t>
      </w:r>
      <w:r>
        <w:rPr/>
        <w:t>energy</w:t>
      </w:r>
      <w:r>
        <w:rPr>
          <w:spacing w:val="-4"/>
        </w:rPr>
        <w:t> </w:t>
      </w:r>
      <w:r>
        <w:rPr/>
        <w:t>assets.</w:t>
      </w:r>
      <w:r>
        <w:rPr>
          <w:spacing w:val="-5"/>
        </w:rPr>
        <w:t> </w:t>
      </w:r>
      <w:r>
        <w:rPr/>
        <w:t>Third</w:t>
      </w:r>
      <w:r>
        <w:rPr>
          <w:spacing w:val="-3"/>
        </w:rPr>
        <w:t> </w:t>
      </w:r>
      <w:r>
        <w:rPr/>
        <w:t>party</w:t>
      </w:r>
      <w:r>
        <w:rPr>
          <w:spacing w:val="-4"/>
        </w:rPr>
        <w:t> </w:t>
      </w:r>
      <w:r>
        <w:rPr/>
        <w:t>contractors</w:t>
      </w:r>
      <w:r>
        <w:rPr>
          <w:spacing w:val="-4"/>
        </w:rPr>
        <w:t> </w:t>
      </w:r>
      <w:r>
        <w:rPr/>
        <w:t>planning</w:t>
      </w:r>
      <w:r>
        <w:rPr>
          <w:spacing w:val="-3"/>
        </w:rPr>
        <w:t> </w:t>
      </w:r>
      <w:r>
        <w:rPr/>
        <w:t>to</w:t>
      </w:r>
      <w:r>
        <w:rPr>
          <w:spacing w:val="-3"/>
        </w:rPr>
        <w:t> </w:t>
      </w:r>
      <w:r>
        <w:rPr/>
        <w:t>excavate</w:t>
      </w:r>
      <w:r>
        <w:rPr>
          <w:spacing w:val="-2"/>
        </w:rPr>
        <w:t> </w:t>
      </w:r>
      <w:r>
        <w:rPr/>
        <w:t>in</w:t>
      </w:r>
      <w:r>
        <w:rPr>
          <w:spacing w:val="-4"/>
        </w:rPr>
        <w:t> </w:t>
      </w:r>
      <w:r>
        <w:rPr/>
        <w:t>the vicinity of these assets should utilise this service prior to commencing works, but the current system operates</w:t>
      </w:r>
      <w:r>
        <w:rPr>
          <w:spacing w:val="-2"/>
        </w:rPr>
        <w:t> </w:t>
      </w:r>
      <w:r>
        <w:rPr/>
        <w:t>on</w:t>
      </w:r>
      <w:r>
        <w:rPr>
          <w:spacing w:val="-2"/>
        </w:rPr>
        <w:t> </w:t>
      </w:r>
      <w:r>
        <w:rPr/>
        <w:t>a voluntary</w:t>
      </w:r>
      <w:r>
        <w:rPr>
          <w:spacing w:val="-1"/>
        </w:rPr>
        <w:t> </w:t>
      </w:r>
      <w:r>
        <w:rPr/>
        <w:t>basis in Victoria.</w:t>
      </w:r>
      <w:r>
        <w:rPr>
          <w:spacing w:val="-3"/>
        </w:rPr>
        <w:t> </w:t>
      </w:r>
      <w:r>
        <w:rPr/>
        <w:t>New</w:t>
      </w:r>
      <w:r>
        <w:rPr>
          <w:spacing w:val="-3"/>
        </w:rPr>
        <w:t> </w:t>
      </w:r>
      <w:r>
        <w:rPr/>
        <w:t>South</w:t>
      </w:r>
      <w:r>
        <w:rPr>
          <w:spacing w:val="-4"/>
        </w:rPr>
        <w:t> </w:t>
      </w:r>
      <w:r>
        <w:rPr/>
        <w:t>Wales, in</w:t>
      </w:r>
      <w:r>
        <w:rPr>
          <w:spacing w:val="-2"/>
        </w:rPr>
        <w:t> </w:t>
      </w:r>
      <w:r>
        <w:rPr/>
        <w:t>contrast,</w:t>
      </w:r>
      <w:r>
        <w:rPr>
          <w:spacing w:val="-1"/>
        </w:rPr>
        <w:t> </w:t>
      </w:r>
      <w:r>
        <w:rPr/>
        <w:t>has</w:t>
      </w:r>
      <w:r>
        <w:rPr>
          <w:spacing w:val="-2"/>
        </w:rPr>
        <w:t> </w:t>
      </w:r>
      <w:r>
        <w:rPr/>
        <w:t>legislated</w:t>
      </w:r>
      <w:r>
        <w:rPr>
          <w:spacing w:val="-2"/>
        </w:rPr>
        <w:t> </w:t>
      </w:r>
      <w:r>
        <w:rPr/>
        <w:t>a mandatory requirement to utilise </w:t>
      </w:r>
      <w:r>
        <w:rPr>
          <w:i/>
        </w:rPr>
        <w:t>Dial Before You Dig </w:t>
      </w:r>
      <w:r>
        <w:rPr/>
        <w:t>since 2010.</w:t>
      </w:r>
    </w:p>
    <w:p>
      <w:pPr>
        <w:pStyle w:val="BodyText"/>
        <w:spacing w:before="5"/>
        <w:rPr>
          <w:sz w:val="31"/>
        </w:rPr>
      </w:pPr>
    </w:p>
    <w:p>
      <w:pPr>
        <w:pStyle w:val="Heading4"/>
        <w:spacing w:before="0"/>
      </w:pPr>
      <w:r>
        <w:rPr>
          <w:color w:val="585858"/>
        </w:rPr>
        <w:t>The</w:t>
      </w:r>
      <w:r>
        <w:rPr>
          <w:color w:val="585858"/>
          <w:spacing w:val="-14"/>
        </w:rPr>
        <w:t> </w:t>
      </w:r>
      <w:r>
        <w:rPr>
          <w:color w:val="585858"/>
        </w:rPr>
        <w:t>risks</w:t>
      </w:r>
      <w:r>
        <w:rPr>
          <w:color w:val="585858"/>
          <w:spacing w:val="-13"/>
        </w:rPr>
        <w:t> </w:t>
      </w:r>
      <w:r>
        <w:rPr>
          <w:color w:val="585858"/>
        </w:rPr>
        <w:t>presented</w:t>
      </w:r>
      <w:r>
        <w:rPr>
          <w:color w:val="585858"/>
          <w:spacing w:val="-11"/>
        </w:rPr>
        <w:t> </w:t>
      </w:r>
      <w:r>
        <w:rPr>
          <w:color w:val="585858"/>
        </w:rPr>
        <w:t>by</w:t>
      </w:r>
      <w:r>
        <w:rPr>
          <w:color w:val="585858"/>
          <w:spacing w:val="-15"/>
        </w:rPr>
        <w:t> </w:t>
      </w:r>
      <w:r>
        <w:rPr>
          <w:color w:val="585858"/>
        </w:rPr>
        <w:t>underground</w:t>
      </w:r>
      <w:r>
        <w:rPr>
          <w:color w:val="585858"/>
          <w:spacing w:val="-13"/>
        </w:rPr>
        <w:t> </w:t>
      </w:r>
      <w:r>
        <w:rPr>
          <w:color w:val="585858"/>
        </w:rPr>
        <w:t>electrical</w:t>
      </w:r>
      <w:r>
        <w:rPr>
          <w:color w:val="585858"/>
          <w:spacing w:val="-10"/>
        </w:rPr>
        <w:t> </w:t>
      </w:r>
      <w:r>
        <w:rPr>
          <w:color w:val="585858"/>
          <w:spacing w:val="-2"/>
        </w:rPr>
        <w:t>assets</w:t>
      </w:r>
    </w:p>
    <w:p>
      <w:pPr>
        <w:pStyle w:val="BodyText"/>
        <w:spacing w:line="288" w:lineRule="auto" w:before="314"/>
        <w:ind w:left="232"/>
      </w:pPr>
      <w:r>
        <w:rPr/>
        <w:t>Submissions to the Review highlighted the dangers to third parties working in the vicinity of underground</w:t>
      </w:r>
      <w:r>
        <w:rPr>
          <w:spacing w:val="-5"/>
        </w:rPr>
        <w:t> </w:t>
      </w:r>
      <w:r>
        <w:rPr/>
        <w:t>powerlines.</w:t>
      </w:r>
      <w:r>
        <w:rPr>
          <w:spacing w:val="-1"/>
        </w:rPr>
        <w:t> </w:t>
      </w:r>
      <w:r>
        <w:rPr/>
        <w:t>CitiPower</w:t>
      </w:r>
      <w:r>
        <w:rPr>
          <w:spacing w:val="-2"/>
        </w:rPr>
        <w:t> </w:t>
      </w:r>
      <w:r>
        <w:rPr/>
        <w:t>and</w:t>
      </w:r>
      <w:r>
        <w:rPr>
          <w:spacing w:val="-3"/>
        </w:rPr>
        <w:t> </w:t>
      </w:r>
      <w:r>
        <w:rPr/>
        <w:t>Powercor Australia</w:t>
      </w:r>
      <w:r>
        <w:rPr>
          <w:spacing w:val="-2"/>
        </w:rPr>
        <w:t> </w:t>
      </w:r>
      <w:r>
        <w:rPr/>
        <w:t>identified</w:t>
      </w:r>
      <w:r>
        <w:rPr>
          <w:spacing w:val="-3"/>
        </w:rPr>
        <w:t> </w:t>
      </w:r>
      <w:r>
        <w:rPr/>
        <w:t>this</w:t>
      </w:r>
      <w:r>
        <w:rPr>
          <w:spacing w:val="-2"/>
        </w:rPr>
        <w:t> </w:t>
      </w:r>
      <w:r>
        <w:rPr/>
        <w:t>as</w:t>
      </w:r>
      <w:r>
        <w:rPr>
          <w:spacing w:val="-2"/>
        </w:rPr>
        <w:t> </w:t>
      </w:r>
      <w:r>
        <w:rPr/>
        <w:t>one</w:t>
      </w:r>
      <w:r>
        <w:rPr>
          <w:spacing w:val="-3"/>
        </w:rPr>
        <w:t> </w:t>
      </w:r>
      <w:r>
        <w:rPr/>
        <w:t>of</w:t>
      </w:r>
      <w:r>
        <w:rPr>
          <w:spacing w:val="-4"/>
        </w:rPr>
        <w:t> </w:t>
      </w:r>
      <w:r>
        <w:rPr/>
        <w:t>their</w:t>
      </w:r>
      <w:r>
        <w:rPr>
          <w:spacing w:val="-6"/>
        </w:rPr>
        <w:t> </w:t>
      </w:r>
      <w:r>
        <w:rPr/>
        <w:t>greatest </w:t>
      </w:r>
      <w:r>
        <w:rPr>
          <w:spacing w:val="-2"/>
        </w:rPr>
        <w:t>concerns:</w:t>
      </w:r>
    </w:p>
    <w:p>
      <w:pPr>
        <w:pStyle w:val="BodyText"/>
        <w:spacing w:before="9"/>
        <w:rPr>
          <w:sz w:val="20"/>
        </w:rPr>
      </w:pPr>
    </w:p>
    <w:p>
      <w:pPr>
        <w:spacing w:line="288" w:lineRule="auto" w:before="0"/>
        <w:ind w:left="799" w:right="951" w:firstLine="0"/>
        <w:jc w:val="left"/>
        <w:rPr>
          <w:sz w:val="22"/>
        </w:rPr>
      </w:pPr>
      <w:r>
        <w:rPr>
          <w:i/>
          <w:sz w:val="22"/>
        </w:rPr>
        <w:t>“It is</w:t>
      </w:r>
      <w:r>
        <w:rPr>
          <w:i/>
          <w:spacing w:val="-4"/>
          <w:sz w:val="22"/>
        </w:rPr>
        <w:t> </w:t>
      </w:r>
      <w:r>
        <w:rPr>
          <w:i/>
          <w:sz w:val="22"/>
        </w:rPr>
        <w:t>this</w:t>
      </w:r>
      <w:r>
        <w:rPr>
          <w:i/>
          <w:spacing w:val="-1"/>
          <w:sz w:val="22"/>
        </w:rPr>
        <w:t> </w:t>
      </w:r>
      <w:r>
        <w:rPr>
          <w:i/>
          <w:sz w:val="22"/>
        </w:rPr>
        <w:t>network</w:t>
      </w:r>
      <w:r>
        <w:rPr>
          <w:i/>
          <w:spacing w:val="-3"/>
          <w:sz w:val="22"/>
        </w:rPr>
        <w:t> </w:t>
      </w:r>
      <w:r>
        <w:rPr>
          <w:i/>
          <w:sz w:val="22"/>
        </w:rPr>
        <w:t>interaction</w:t>
      </w:r>
      <w:r>
        <w:rPr>
          <w:i/>
          <w:spacing w:val="-2"/>
          <w:sz w:val="22"/>
        </w:rPr>
        <w:t> </w:t>
      </w:r>
      <w:r>
        <w:rPr>
          <w:i/>
          <w:sz w:val="22"/>
        </w:rPr>
        <w:t>with</w:t>
      </w:r>
      <w:r>
        <w:rPr>
          <w:i/>
          <w:spacing w:val="-4"/>
          <w:sz w:val="22"/>
        </w:rPr>
        <w:t> </w:t>
      </w:r>
      <w:r>
        <w:rPr>
          <w:i/>
          <w:sz w:val="22"/>
        </w:rPr>
        <w:t>third</w:t>
      </w:r>
      <w:r>
        <w:rPr>
          <w:i/>
          <w:spacing w:val="-4"/>
          <w:sz w:val="22"/>
        </w:rPr>
        <w:t> </w:t>
      </w:r>
      <w:r>
        <w:rPr>
          <w:i/>
          <w:sz w:val="22"/>
        </w:rPr>
        <w:t>parties</w:t>
      </w:r>
      <w:r>
        <w:rPr>
          <w:i/>
          <w:spacing w:val="-4"/>
          <w:sz w:val="22"/>
        </w:rPr>
        <w:t> </w:t>
      </w:r>
      <w:r>
        <w:rPr>
          <w:i/>
          <w:sz w:val="22"/>
        </w:rPr>
        <w:t>that</w:t>
      </w:r>
      <w:r>
        <w:rPr>
          <w:i/>
          <w:spacing w:val="-5"/>
          <w:sz w:val="22"/>
        </w:rPr>
        <w:t> </w:t>
      </w:r>
      <w:r>
        <w:rPr>
          <w:i/>
          <w:sz w:val="22"/>
        </w:rPr>
        <w:t>we</w:t>
      </w:r>
      <w:r>
        <w:rPr>
          <w:i/>
          <w:spacing w:val="-4"/>
          <w:sz w:val="22"/>
        </w:rPr>
        <w:t> </w:t>
      </w:r>
      <w:r>
        <w:rPr>
          <w:i/>
          <w:sz w:val="22"/>
        </w:rPr>
        <w:t>recommend</w:t>
      </w:r>
      <w:r>
        <w:rPr>
          <w:i/>
          <w:spacing w:val="-4"/>
          <w:sz w:val="22"/>
        </w:rPr>
        <w:t> </w:t>
      </w:r>
      <w:r>
        <w:rPr>
          <w:i/>
          <w:sz w:val="22"/>
        </w:rPr>
        <w:t>ESV, and</w:t>
      </w:r>
      <w:r>
        <w:rPr>
          <w:i/>
          <w:spacing w:val="-2"/>
          <w:sz w:val="22"/>
        </w:rPr>
        <w:t> </w:t>
      </w:r>
      <w:r>
        <w:rPr>
          <w:i/>
          <w:sz w:val="22"/>
        </w:rPr>
        <w:t>the</w:t>
      </w:r>
      <w:r>
        <w:rPr>
          <w:i/>
          <w:spacing w:val="-4"/>
          <w:sz w:val="22"/>
        </w:rPr>
        <w:t> </w:t>
      </w:r>
      <w:r>
        <w:rPr>
          <w:i/>
          <w:sz w:val="22"/>
        </w:rPr>
        <w:t>safety framework, should focus on in order to improve community safety outcomes.” </w:t>
      </w:r>
      <w:r>
        <w:rPr>
          <w:sz w:val="22"/>
        </w:rPr>
        <w:t>(CitiPower &amp; Powercor Australia, 2017, p. 7)</w:t>
      </w:r>
    </w:p>
    <w:p>
      <w:pPr>
        <w:pStyle w:val="BodyText"/>
        <w:spacing w:before="9"/>
        <w:rPr>
          <w:sz w:val="20"/>
        </w:rPr>
      </w:pPr>
    </w:p>
    <w:p>
      <w:pPr>
        <w:pStyle w:val="BodyText"/>
        <w:spacing w:line="288" w:lineRule="auto"/>
        <w:ind w:left="232" w:right="318"/>
      </w:pPr>
      <w:r>
        <w:rPr/>
        <w:t>As part of this submission, CitiPower and Powercor Australia presented data showing an</w:t>
      </w:r>
      <w:r>
        <w:rPr/>
        <w:t> increasing trend in construction-related incidents. This is particularly related to excavation equipment</w:t>
      </w:r>
      <w:r>
        <w:rPr>
          <w:spacing w:val="-3"/>
        </w:rPr>
        <w:t> </w:t>
      </w:r>
      <w:r>
        <w:rPr/>
        <w:t>making</w:t>
      </w:r>
      <w:r>
        <w:rPr>
          <w:spacing w:val="-2"/>
        </w:rPr>
        <w:t> </w:t>
      </w:r>
      <w:r>
        <w:rPr/>
        <w:t>contact with</w:t>
      </w:r>
      <w:r>
        <w:rPr>
          <w:spacing w:val="-2"/>
        </w:rPr>
        <w:t> </w:t>
      </w:r>
      <w:r>
        <w:rPr/>
        <w:t>the</w:t>
      </w:r>
      <w:r>
        <w:rPr>
          <w:spacing w:val="-4"/>
        </w:rPr>
        <w:t> </w:t>
      </w:r>
      <w:r>
        <w:rPr/>
        <w:t>hidden</w:t>
      </w:r>
      <w:r>
        <w:rPr>
          <w:spacing w:val="-2"/>
        </w:rPr>
        <w:t> </w:t>
      </w:r>
      <w:r>
        <w:rPr/>
        <w:t>underground</w:t>
      </w:r>
      <w:r>
        <w:rPr>
          <w:spacing w:val="-2"/>
        </w:rPr>
        <w:t> </w:t>
      </w:r>
      <w:r>
        <w:rPr/>
        <w:t>electrical</w:t>
      </w:r>
      <w:r>
        <w:rPr>
          <w:spacing w:val="-3"/>
        </w:rPr>
        <w:t> </w:t>
      </w:r>
      <w:r>
        <w:rPr/>
        <w:t>assets</w:t>
      </w:r>
      <w:r>
        <w:rPr>
          <w:spacing w:val="-4"/>
        </w:rPr>
        <w:t> </w:t>
      </w:r>
      <w:r>
        <w:rPr/>
        <w:t>as</w:t>
      </w:r>
      <w:r>
        <w:rPr>
          <w:spacing w:val="-2"/>
        </w:rPr>
        <w:t> </w:t>
      </w:r>
      <w:r>
        <w:rPr/>
        <w:t>is</w:t>
      </w:r>
      <w:r>
        <w:rPr>
          <w:spacing w:val="-2"/>
        </w:rPr>
        <w:t> </w:t>
      </w:r>
      <w:r>
        <w:rPr/>
        <w:t>evident</w:t>
      </w:r>
      <w:r>
        <w:rPr>
          <w:spacing w:val="-1"/>
        </w:rPr>
        <w:t> </w:t>
      </w:r>
      <w:r>
        <w:rPr/>
        <w:t>in</w:t>
      </w:r>
      <w:r>
        <w:rPr>
          <w:spacing w:val="-2"/>
        </w:rPr>
        <w:t> </w:t>
      </w:r>
      <w:r>
        <w:rPr/>
        <w:t>Figure</w:t>
      </w:r>
      <w:r>
        <w:rPr>
          <w:spacing w:val="-4"/>
        </w:rPr>
        <w:t> </w:t>
      </w:r>
      <w:r>
        <w:rPr/>
        <w:t>17.</w:t>
      </w:r>
    </w:p>
    <w:p>
      <w:pPr>
        <w:pStyle w:val="BodyText"/>
        <w:spacing w:before="5"/>
        <w:rPr>
          <w:sz w:val="31"/>
        </w:rPr>
      </w:pPr>
    </w:p>
    <w:p>
      <w:pPr>
        <w:pStyle w:val="Heading7"/>
        <w:ind w:left="232"/>
      </w:pPr>
      <w:r>
        <w:rPr/>
        <w:t>Figure</w:t>
      </w:r>
      <w:r>
        <w:rPr>
          <w:spacing w:val="-10"/>
        </w:rPr>
        <w:t> </w:t>
      </w:r>
      <w:r>
        <w:rPr/>
        <w:t>17:</w:t>
      </w:r>
      <w:r>
        <w:rPr>
          <w:spacing w:val="-6"/>
        </w:rPr>
        <w:t> </w:t>
      </w:r>
      <w:r>
        <w:rPr/>
        <w:t>Backhoe/excavator</w:t>
      </w:r>
      <w:r>
        <w:rPr>
          <w:spacing w:val="-6"/>
        </w:rPr>
        <w:t> </w:t>
      </w:r>
      <w:r>
        <w:rPr/>
        <w:t>contacts</w:t>
      </w:r>
      <w:r>
        <w:rPr>
          <w:spacing w:val="-13"/>
        </w:rPr>
        <w:t> </w:t>
      </w:r>
      <w:r>
        <w:rPr/>
        <w:t>with</w:t>
      </w:r>
      <w:r>
        <w:rPr>
          <w:spacing w:val="-7"/>
        </w:rPr>
        <w:t> </w:t>
      </w:r>
      <w:r>
        <w:rPr/>
        <w:t>underground</w:t>
      </w:r>
      <w:r>
        <w:rPr>
          <w:spacing w:val="-7"/>
        </w:rPr>
        <w:t> </w:t>
      </w:r>
      <w:r>
        <w:rPr/>
        <w:t>electrical</w:t>
      </w:r>
      <w:r>
        <w:rPr>
          <w:spacing w:val="-5"/>
        </w:rPr>
        <w:t> </w:t>
      </w:r>
      <w:r>
        <w:rPr/>
        <w:t>assets,</w:t>
      </w:r>
      <w:r>
        <w:rPr>
          <w:spacing w:val="-8"/>
        </w:rPr>
        <w:t> </w:t>
      </w:r>
      <w:r>
        <w:rPr>
          <w:spacing w:val="-2"/>
        </w:rPr>
        <w:t>2004–2016</w:t>
      </w:r>
    </w:p>
    <w:p>
      <w:pPr>
        <w:pStyle w:val="BodyText"/>
        <w:rPr>
          <w:b/>
          <w:sz w:val="20"/>
        </w:rPr>
      </w:pPr>
    </w:p>
    <w:p>
      <w:pPr>
        <w:pStyle w:val="BodyText"/>
        <w:spacing w:before="4"/>
        <w:rPr>
          <w:b/>
          <w:sz w:val="15"/>
        </w:rPr>
      </w:pPr>
      <w:r>
        <w:rPr/>
        <w:drawing>
          <wp:anchor distT="0" distB="0" distL="0" distR="0" allowOverlap="1" layoutInCell="1" locked="0" behindDoc="1" simplePos="0" relativeHeight="487648256">
            <wp:simplePos x="0" y="0"/>
            <wp:positionH relativeFrom="page">
              <wp:posOffset>1008400</wp:posOffset>
            </wp:positionH>
            <wp:positionV relativeFrom="paragraph">
              <wp:posOffset>127881</wp:posOffset>
            </wp:positionV>
            <wp:extent cx="5519144" cy="2279904"/>
            <wp:effectExtent l="0" t="0" r="0" b="0"/>
            <wp:wrapTopAndBottom/>
            <wp:docPr id="181" name="Image 181" descr="C:\Users\rb2f\AppData\Local\Microsoft\Windows\Temporary Internet Files\Content.Word\Fig17.jpg"/>
            <wp:cNvGraphicFramePr>
              <a:graphicFrameLocks/>
            </wp:cNvGraphicFramePr>
            <a:graphic>
              <a:graphicData uri="http://schemas.openxmlformats.org/drawingml/2006/picture">
                <pic:pic>
                  <pic:nvPicPr>
                    <pic:cNvPr id="181" name="Image 181" descr="C:\Users\rb2f\AppData\Local\Microsoft\Windows\Temporary Internet Files\Content.Word\Fig17.jpg"/>
                    <pic:cNvPicPr/>
                  </pic:nvPicPr>
                  <pic:blipFill>
                    <a:blip r:embed="rId89" cstate="print"/>
                    <a:stretch>
                      <a:fillRect/>
                    </a:stretch>
                  </pic:blipFill>
                  <pic:spPr>
                    <a:xfrm>
                      <a:off x="0" y="0"/>
                      <a:ext cx="5519144" cy="2279904"/>
                    </a:xfrm>
                    <a:prstGeom prst="rect">
                      <a:avLst/>
                    </a:prstGeom>
                  </pic:spPr>
                </pic:pic>
              </a:graphicData>
            </a:graphic>
          </wp:anchor>
        </w:drawing>
      </w:r>
    </w:p>
    <w:p>
      <w:pPr>
        <w:pStyle w:val="BodyText"/>
        <w:rPr>
          <w:b/>
          <w:sz w:val="24"/>
        </w:rPr>
      </w:pPr>
    </w:p>
    <w:p>
      <w:pPr>
        <w:pStyle w:val="BodyText"/>
        <w:spacing w:before="8"/>
        <w:rPr>
          <w:b/>
          <w:sz w:val="23"/>
        </w:rPr>
      </w:pPr>
    </w:p>
    <w:p>
      <w:pPr>
        <w:spacing w:before="1"/>
        <w:ind w:left="232" w:right="0" w:firstLine="0"/>
        <w:jc w:val="left"/>
        <w:rPr>
          <w:sz w:val="18"/>
        </w:rPr>
      </w:pPr>
      <w:r>
        <w:rPr>
          <w:sz w:val="18"/>
        </w:rPr>
        <w:t>Source:</w:t>
      </w:r>
      <w:r>
        <w:rPr>
          <w:spacing w:val="-3"/>
          <w:sz w:val="18"/>
        </w:rPr>
        <w:t> </w:t>
      </w:r>
      <w:r>
        <w:rPr>
          <w:sz w:val="18"/>
        </w:rPr>
        <w:t>Adapted</w:t>
      </w:r>
      <w:r>
        <w:rPr>
          <w:spacing w:val="-5"/>
          <w:sz w:val="18"/>
        </w:rPr>
        <w:t> </w:t>
      </w:r>
      <w:r>
        <w:rPr>
          <w:sz w:val="18"/>
        </w:rPr>
        <w:t>from</w:t>
      </w:r>
      <w:r>
        <w:rPr>
          <w:spacing w:val="-3"/>
          <w:sz w:val="18"/>
        </w:rPr>
        <w:t> </w:t>
      </w:r>
      <w:r>
        <w:rPr>
          <w:sz w:val="18"/>
        </w:rPr>
        <w:t>CitiPower</w:t>
      </w:r>
      <w:r>
        <w:rPr>
          <w:spacing w:val="-4"/>
          <w:sz w:val="18"/>
        </w:rPr>
        <w:t> </w:t>
      </w:r>
      <w:r>
        <w:rPr>
          <w:sz w:val="18"/>
        </w:rPr>
        <w:t>&amp;</w:t>
      </w:r>
      <w:r>
        <w:rPr>
          <w:spacing w:val="-3"/>
          <w:sz w:val="18"/>
        </w:rPr>
        <w:t> </w:t>
      </w:r>
      <w:r>
        <w:rPr>
          <w:sz w:val="18"/>
        </w:rPr>
        <w:t>Powercor</w:t>
      </w:r>
      <w:r>
        <w:rPr>
          <w:spacing w:val="-3"/>
          <w:sz w:val="18"/>
        </w:rPr>
        <w:t> </w:t>
      </w:r>
      <w:r>
        <w:rPr>
          <w:sz w:val="18"/>
        </w:rPr>
        <w:t>Australia</w:t>
      </w:r>
      <w:r>
        <w:rPr>
          <w:spacing w:val="-4"/>
          <w:sz w:val="18"/>
        </w:rPr>
        <w:t> </w:t>
      </w:r>
      <w:r>
        <w:rPr>
          <w:spacing w:val="-2"/>
          <w:sz w:val="18"/>
        </w:rPr>
        <w:t>(2017)</w:t>
      </w:r>
    </w:p>
    <w:p>
      <w:pPr>
        <w:spacing w:after="0"/>
        <w:jc w:val="left"/>
        <w:rPr>
          <w:sz w:val="18"/>
        </w:rPr>
        <w:sectPr>
          <w:pgSz w:w="11910" w:h="16850"/>
          <w:pgMar w:header="220" w:footer="678" w:top="420" w:bottom="860" w:left="900" w:right="840"/>
        </w:sectPr>
      </w:pPr>
    </w:p>
    <w:p>
      <w:pPr>
        <w:pStyle w:val="BodyText"/>
        <w:rPr>
          <w:sz w:val="20"/>
        </w:rPr>
      </w:pPr>
    </w:p>
    <w:p>
      <w:pPr>
        <w:pStyle w:val="BodyText"/>
        <w:spacing w:before="7"/>
        <w:rPr>
          <w:sz w:val="19"/>
        </w:rPr>
      </w:pPr>
    </w:p>
    <w:p>
      <w:pPr>
        <w:pStyle w:val="Heading4"/>
      </w:pPr>
      <w:r>
        <w:rPr>
          <w:color w:val="585858"/>
        </w:rPr>
        <w:t>The</w:t>
      </w:r>
      <w:r>
        <w:rPr>
          <w:color w:val="585858"/>
          <w:spacing w:val="-12"/>
        </w:rPr>
        <w:t> </w:t>
      </w:r>
      <w:r>
        <w:rPr>
          <w:color w:val="585858"/>
        </w:rPr>
        <w:t>risks</w:t>
      </w:r>
      <w:r>
        <w:rPr>
          <w:color w:val="585858"/>
          <w:spacing w:val="-10"/>
        </w:rPr>
        <w:t> </w:t>
      </w:r>
      <w:r>
        <w:rPr>
          <w:color w:val="585858"/>
        </w:rPr>
        <w:t>presented</w:t>
      </w:r>
      <w:r>
        <w:rPr>
          <w:color w:val="585858"/>
          <w:spacing w:val="-9"/>
        </w:rPr>
        <w:t> </w:t>
      </w:r>
      <w:r>
        <w:rPr>
          <w:color w:val="585858"/>
        </w:rPr>
        <w:t>by</w:t>
      </w:r>
      <w:r>
        <w:rPr>
          <w:color w:val="585858"/>
          <w:spacing w:val="-13"/>
        </w:rPr>
        <w:t> </w:t>
      </w:r>
      <w:r>
        <w:rPr>
          <w:color w:val="585858"/>
        </w:rPr>
        <w:t>underground</w:t>
      </w:r>
      <w:r>
        <w:rPr>
          <w:color w:val="585858"/>
          <w:spacing w:val="-12"/>
        </w:rPr>
        <w:t> </w:t>
      </w:r>
      <w:r>
        <w:rPr>
          <w:color w:val="585858"/>
        </w:rPr>
        <w:t>gas</w:t>
      </w:r>
      <w:r>
        <w:rPr>
          <w:color w:val="585858"/>
          <w:spacing w:val="-11"/>
        </w:rPr>
        <w:t> </w:t>
      </w:r>
      <w:r>
        <w:rPr>
          <w:color w:val="585858"/>
          <w:spacing w:val="-2"/>
        </w:rPr>
        <w:t>pipelines</w:t>
      </w:r>
    </w:p>
    <w:p>
      <w:pPr>
        <w:pStyle w:val="BodyText"/>
        <w:spacing w:line="288" w:lineRule="auto" w:before="314"/>
        <w:ind w:left="232" w:right="374"/>
      </w:pPr>
      <w:r>
        <w:rPr/>
        <w:t>In</w:t>
      </w:r>
      <w:r>
        <w:rPr>
          <w:spacing w:val="-4"/>
        </w:rPr>
        <w:t> </w:t>
      </w:r>
      <w:r>
        <w:rPr/>
        <w:t>the</w:t>
      </w:r>
      <w:r>
        <w:rPr>
          <w:spacing w:val="-4"/>
        </w:rPr>
        <w:t> </w:t>
      </w:r>
      <w:r>
        <w:rPr/>
        <w:t>gas</w:t>
      </w:r>
      <w:r>
        <w:rPr>
          <w:spacing w:val="-4"/>
        </w:rPr>
        <w:t> </w:t>
      </w:r>
      <w:r>
        <w:rPr/>
        <w:t>industry, third</w:t>
      </w:r>
      <w:r>
        <w:rPr>
          <w:spacing w:val="-4"/>
        </w:rPr>
        <w:t> </w:t>
      </w:r>
      <w:r>
        <w:rPr/>
        <w:t>party</w:t>
      </w:r>
      <w:r>
        <w:rPr>
          <w:spacing w:val="-4"/>
        </w:rPr>
        <w:t> </w:t>
      </w:r>
      <w:r>
        <w:rPr/>
        <w:t>damage</w:t>
      </w:r>
      <w:r>
        <w:rPr>
          <w:spacing w:val="-4"/>
        </w:rPr>
        <w:t> </w:t>
      </w:r>
      <w:r>
        <w:rPr/>
        <w:t>to</w:t>
      </w:r>
      <w:r>
        <w:rPr>
          <w:spacing w:val="-2"/>
        </w:rPr>
        <w:t> </w:t>
      </w:r>
      <w:r>
        <w:rPr/>
        <w:t>pipelines</w:t>
      </w:r>
      <w:r>
        <w:rPr>
          <w:spacing w:val="-1"/>
        </w:rPr>
        <w:t> </w:t>
      </w:r>
      <w:r>
        <w:rPr/>
        <w:t>remains</w:t>
      </w:r>
      <w:r>
        <w:rPr>
          <w:spacing w:val="-2"/>
        </w:rPr>
        <w:t> </w:t>
      </w:r>
      <w:r>
        <w:rPr/>
        <w:t>one</w:t>
      </w:r>
      <w:r>
        <w:rPr>
          <w:spacing w:val="-4"/>
        </w:rPr>
        <w:t> </w:t>
      </w:r>
      <w:r>
        <w:rPr/>
        <w:t>of the</w:t>
      </w:r>
      <w:r>
        <w:rPr>
          <w:spacing w:val="-4"/>
        </w:rPr>
        <w:t> </w:t>
      </w:r>
      <w:r>
        <w:rPr/>
        <w:t>biggest</w:t>
      </w:r>
      <w:r>
        <w:rPr>
          <w:spacing w:val="-3"/>
        </w:rPr>
        <w:t> </w:t>
      </w:r>
      <w:r>
        <w:rPr/>
        <w:t>threats</w:t>
      </w:r>
      <w:r>
        <w:rPr>
          <w:spacing w:val="-4"/>
        </w:rPr>
        <w:t> </w:t>
      </w:r>
      <w:r>
        <w:rPr/>
        <w:t>to</w:t>
      </w:r>
      <w:r>
        <w:rPr>
          <w:spacing w:val="-4"/>
        </w:rPr>
        <w:t> </w:t>
      </w:r>
      <w:r>
        <w:rPr/>
        <w:t>pipeline safety and has the potential to cause high consequence events involving death and significant supply interruption.</w:t>
      </w:r>
    </w:p>
    <w:p>
      <w:pPr>
        <w:pStyle w:val="BodyText"/>
        <w:spacing w:before="9"/>
        <w:rPr>
          <w:sz w:val="20"/>
        </w:rPr>
      </w:pPr>
    </w:p>
    <w:p>
      <w:pPr>
        <w:pStyle w:val="BodyText"/>
        <w:spacing w:line="288" w:lineRule="auto"/>
        <w:ind w:left="232" w:right="374"/>
      </w:pPr>
      <w:r>
        <w:rPr/>
        <w:t>Unlike other countries, there has never been a death from a high pressure gas pipeline strike in Australia.</w:t>
      </w:r>
      <w:r>
        <w:rPr>
          <w:spacing w:val="-2"/>
        </w:rPr>
        <w:t> </w:t>
      </w:r>
      <w:r>
        <w:rPr/>
        <w:t>Yet</w:t>
      </w:r>
      <w:r>
        <w:rPr>
          <w:spacing w:val="-1"/>
        </w:rPr>
        <w:t> </w:t>
      </w:r>
      <w:r>
        <w:rPr/>
        <w:t>external</w:t>
      </w:r>
      <w:r>
        <w:rPr>
          <w:spacing w:val="-3"/>
        </w:rPr>
        <w:t> </w:t>
      </w:r>
      <w:r>
        <w:rPr/>
        <w:t>interference</w:t>
      </w:r>
      <w:r>
        <w:rPr>
          <w:spacing w:val="-3"/>
        </w:rPr>
        <w:t> </w:t>
      </w:r>
      <w:r>
        <w:rPr/>
        <w:t>due</w:t>
      </w:r>
      <w:r>
        <w:rPr>
          <w:spacing w:val="-5"/>
        </w:rPr>
        <w:t> </w:t>
      </w:r>
      <w:r>
        <w:rPr/>
        <w:t>to</w:t>
      </w:r>
      <w:r>
        <w:rPr>
          <w:spacing w:val="-5"/>
        </w:rPr>
        <w:t> </w:t>
      </w:r>
      <w:r>
        <w:rPr/>
        <w:t>third</w:t>
      </w:r>
      <w:r>
        <w:rPr>
          <w:spacing w:val="-3"/>
        </w:rPr>
        <w:t> </w:t>
      </w:r>
      <w:r>
        <w:rPr/>
        <w:t>parties</w:t>
      </w:r>
      <w:r>
        <w:rPr>
          <w:spacing w:val="-3"/>
        </w:rPr>
        <w:t> </w:t>
      </w:r>
      <w:r>
        <w:rPr/>
        <w:t>building</w:t>
      </w:r>
      <w:r>
        <w:rPr>
          <w:spacing w:val="-3"/>
        </w:rPr>
        <w:t> </w:t>
      </w:r>
      <w:r>
        <w:rPr/>
        <w:t>or</w:t>
      </w:r>
      <w:r>
        <w:rPr>
          <w:spacing w:val="-7"/>
        </w:rPr>
        <w:t> </w:t>
      </w:r>
      <w:r>
        <w:rPr/>
        <w:t>maintaining</w:t>
      </w:r>
      <w:r>
        <w:rPr>
          <w:spacing w:val="-3"/>
        </w:rPr>
        <w:t> </w:t>
      </w:r>
      <w:r>
        <w:rPr/>
        <w:t>infrastructure</w:t>
      </w:r>
      <w:r>
        <w:rPr>
          <w:spacing w:val="-3"/>
        </w:rPr>
        <w:t> </w:t>
      </w:r>
      <w:r>
        <w:rPr/>
        <w:t>such as roads, water pipelines, electricity or telecommunications cabling, continues to be the most common cause of pipeline damage despite the range of technical and legislative measures in place (McDermott &amp; Hayes, 2016).</w:t>
      </w:r>
    </w:p>
    <w:p>
      <w:pPr>
        <w:pStyle w:val="BodyText"/>
        <w:rPr>
          <w:sz w:val="21"/>
        </w:rPr>
      </w:pPr>
    </w:p>
    <w:p>
      <w:pPr>
        <w:pStyle w:val="BodyText"/>
        <w:spacing w:line="288" w:lineRule="auto"/>
        <w:ind w:left="232" w:right="573"/>
        <w:jc w:val="both"/>
      </w:pPr>
      <w:r>
        <w:rPr/>
        <w:t>High</w:t>
      </w:r>
      <w:r>
        <w:rPr>
          <w:spacing w:val="-2"/>
        </w:rPr>
        <w:t> </w:t>
      </w:r>
      <w:r>
        <w:rPr/>
        <w:t>pressure</w:t>
      </w:r>
      <w:r>
        <w:rPr>
          <w:spacing w:val="-2"/>
        </w:rPr>
        <w:t> </w:t>
      </w:r>
      <w:r>
        <w:rPr/>
        <w:t>natural</w:t>
      </w:r>
      <w:r>
        <w:rPr>
          <w:spacing w:val="-5"/>
        </w:rPr>
        <w:t> </w:t>
      </w:r>
      <w:r>
        <w:rPr/>
        <w:t>gas</w:t>
      </w:r>
      <w:r>
        <w:rPr>
          <w:spacing w:val="-1"/>
        </w:rPr>
        <w:t> </w:t>
      </w:r>
      <w:r>
        <w:rPr/>
        <w:t>pipelines</w:t>
      </w:r>
      <w:r>
        <w:rPr>
          <w:spacing w:val="-1"/>
        </w:rPr>
        <w:t> </w:t>
      </w:r>
      <w:r>
        <w:rPr/>
        <w:t>are</w:t>
      </w:r>
      <w:r>
        <w:rPr>
          <w:spacing w:val="-1"/>
        </w:rPr>
        <w:t> </w:t>
      </w:r>
      <w:r>
        <w:rPr/>
        <w:t>present in</w:t>
      </w:r>
      <w:r>
        <w:rPr>
          <w:spacing w:val="-4"/>
        </w:rPr>
        <w:t> </w:t>
      </w:r>
      <w:r>
        <w:rPr/>
        <w:t>many</w:t>
      </w:r>
      <w:r>
        <w:rPr>
          <w:spacing w:val="-4"/>
        </w:rPr>
        <w:t> </w:t>
      </w:r>
      <w:r>
        <w:rPr/>
        <w:t>urban</w:t>
      </w:r>
      <w:r>
        <w:rPr>
          <w:spacing w:val="-4"/>
        </w:rPr>
        <w:t> </w:t>
      </w:r>
      <w:r>
        <w:rPr/>
        <w:t>and</w:t>
      </w:r>
      <w:r>
        <w:rPr>
          <w:spacing w:val="-4"/>
        </w:rPr>
        <w:t> </w:t>
      </w:r>
      <w:r>
        <w:rPr/>
        <w:t>suburban</w:t>
      </w:r>
      <w:r>
        <w:rPr>
          <w:spacing w:val="-2"/>
        </w:rPr>
        <w:t> </w:t>
      </w:r>
      <w:r>
        <w:rPr/>
        <w:t>areas</w:t>
      </w:r>
      <w:r>
        <w:rPr>
          <w:spacing w:val="-4"/>
        </w:rPr>
        <w:t> </w:t>
      </w:r>
      <w:r>
        <w:rPr/>
        <w:t>but</w:t>
      </w:r>
      <w:r>
        <w:rPr>
          <w:spacing w:val="-3"/>
        </w:rPr>
        <w:t> </w:t>
      </w:r>
      <w:r>
        <w:rPr/>
        <w:t>because they</w:t>
      </w:r>
      <w:r>
        <w:rPr>
          <w:spacing w:val="-3"/>
        </w:rPr>
        <w:t> </w:t>
      </w:r>
      <w:r>
        <w:rPr/>
        <w:t>are buried</w:t>
      </w:r>
      <w:r>
        <w:rPr>
          <w:spacing w:val="-1"/>
        </w:rPr>
        <w:t> </w:t>
      </w:r>
      <w:r>
        <w:rPr/>
        <w:t>and</w:t>
      </w:r>
      <w:r>
        <w:rPr>
          <w:spacing w:val="-3"/>
        </w:rPr>
        <w:t> </w:t>
      </w:r>
      <w:r>
        <w:rPr/>
        <w:t>there</w:t>
      </w:r>
      <w:r>
        <w:rPr>
          <w:spacing w:val="-1"/>
        </w:rPr>
        <w:t> </w:t>
      </w:r>
      <w:r>
        <w:rPr/>
        <w:t>has</w:t>
      </w:r>
      <w:r>
        <w:rPr>
          <w:spacing w:val="-1"/>
        </w:rPr>
        <w:t> </w:t>
      </w:r>
      <w:r>
        <w:rPr/>
        <w:t>never been</w:t>
      </w:r>
      <w:r>
        <w:rPr>
          <w:spacing w:val="-1"/>
        </w:rPr>
        <w:t> </w:t>
      </w:r>
      <w:r>
        <w:rPr/>
        <w:t>a</w:t>
      </w:r>
      <w:r>
        <w:rPr>
          <w:spacing w:val="-3"/>
        </w:rPr>
        <w:t> </w:t>
      </w:r>
      <w:r>
        <w:rPr/>
        <w:t>death</w:t>
      </w:r>
      <w:r>
        <w:rPr>
          <w:spacing w:val="-1"/>
        </w:rPr>
        <w:t> </w:t>
      </w:r>
      <w:r>
        <w:rPr/>
        <w:t>or</w:t>
      </w:r>
      <w:r>
        <w:rPr>
          <w:spacing w:val="-2"/>
        </w:rPr>
        <w:t> </w:t>
      </w:r>
      <w:r>
        <w:rPr/>
        <w:t>serious</w:t>
      </w:r>
      <w:r>
        <w:rPr>
          <w:spacing w:val="-3"/>
        </w:rPr>
        <w:t> </w:t>
      </w:r>
      <w:r>
        <w:rPr/>
        <w:t>injury</w:t>
      </w:r>
      <w:r>
        <w:rPr>
          <w:spacing w:val="-2"/>
        </w:rPr>
        <w:t> </w:t>
      </w:r>
      <w:r>
        <w:rPr/>
        <w:t>as</w:t>
      </w:r>
      <w:r>
        <w:rPr>
          <w:spacing w:val="-3"/>
        </w:rPr>
        <w:t> </w:t>
      </w:r>
      <w:r>
        <w:rPr/>
        <w:t>a</w:t>
      </w:r>
      <w:r>
        <w:rPr>
          <w:spacing w:val="-3"/>
        </w:rPr>
        <w:t> </w:t>
      </w:r>
      <w:r>
        <w:rPr/>
        <w:t>result of a high</w:t>
      </w:r>
      <w:r>
        <w:rPr>
          <w:spacing w:val="-3"/>
        </w:rPr>
        <w:t> </w:t>
      </w:r>
      <w:r>
        <w:rPr/>
        <w:t>pressure gas pipeline leak in Australia, public awareness is low (McDermott &amp; Hayes, 2016).</w:t>
      </w:r>
    </w:p>
    <w:p>
      <w:pPr>
        <w:pStyle w:val="BodyText"/>
        <w:spacing w:before="9"/>
        <w:rPr>
          <w:sz w:val="20"/>
        </w:rPr>
      </w:pPr>
    </w:p>
    <w:p>
      <w:pPr>
        <w:pStyle w:val="BodyText"/>
        <w:spacing w:line="288" w:lineRule="auto"/>
        <w:ind w:left="232" w:right="374"/>
      </w:pPr>
      <w:r>
        <w:rPr/>
        <w:t>While there have not been deadly events occurring to high pressure pipelines in Australia historically, there have been numerous incidents of third party damage to low pressure gas distribution</w:t>
      </w:r>
      <w:r>
        <w:rPr>
          <w:spacing w:val="-2"/>
        </w:rPr>
        <w:t> </w:t>
      </w:r>
      <w:r>
        <w:rPr/>
        <w:t>pipelines. ESV</w:t>
      </w:r>
      <w:r>
        <w:rPr>
          <w:spacing w:val="-2"/>
        </w:rPr>
        <w:t> </w:t>
      </w:r>
      <w:r>
        <w:rPr/>
        <w:t>in</w:t>
      </w:r>
      <w:r>
        <w:rPr>
          <w:spacing w:val="-2"/>
        </w:rPr>
        <w:t> </w:t>
      </w:r>
      <w:r>
        <w:rPr/>
        <w:t>its </w:t>
      </w:r>
      <w:r>
        <w:rPr>
          <w:i/>
        </w:rPr>
        <w:t>Annual</w:t>
      </w:r>
      <w:r>
        <w:rPr>
          <w:i/>
          <w:spacing w:val="-2"/>
        </w:rPr>
        <w:t> </w:t>
      </w:r>
      <w:r>
        <w:rPr>
          <w:i/>
        </w:rPr>
        <w:t>Report</w:t>
      </w:r>
      <w:r>
        <w:rPr>
          <w:i/>
          <w:spacing w:val="-3"/>
        </w:rPr>
        <w:t> </w:t>
      </w:r>
      <w:r>
        <w:rPr>
          <w:i/>
        </w:rPr>
        <w:t>2015–16</w:t>
      </w:r>
      <w:r>
        <w:rPr/>
        <w:t>,</w:t>
      </w:r>
      <w:r>
        <w:rPr>
          <w:spacing w:val="-3"/>
        </w:rPr>
        <w:t> </w:t>
      </w:r>
      <w:r>
        <w:rPr/>
        <w:t>reported</w:t>
      </w:r>
      <w:r>
        <w:rPr>
          <w:spacing w:val="-4"/>
        </w:rPr>
        <w:t> </w:t>
      </w:r>
      <w:r>
        <w:rPr/>
        <w:t>that</w:t>
      </w:r>
      <w:r>
        <w:rPr>
          <w:spacing w:val="-3"/>
        </w:rPr>
        <w:t> </w:t>
      </w:r>
      <w:r>
        <w:rPr/>
        <w:t>in</w:t>
      </w:r>
      <w:r>
        <w:rPr>
          <w:spacing w:val="-2"/>
        </w:rPr>
        <w:t> </w:t>
      </w:r>
      <w:r>
        <w:rPr/>
        <w:t>Victoria,</w:t>
      </w:r>
      <w:r>
        <w:rPr>
          <w:spacing w:val="-3"/>
        </w:rPr>
        <w:t> </w:t>
      </w:r>
      <w:r>
        <w:rPr/>
        <w:t>219</w:t>
      </w:r>
      <w:r>
        <w:rPr>
          <w:spacing w:val="-4"/>
        </w:rPr>
        <w:t> </w:t>
      </w:r>
      <w:r>
        <w:rPr/>
        <w:t>gas</w:t>
      </w:r>
      <w:r>
        <w:rPr>
          <w:spacing w:val="-4"/>
        </w:rPr>
        <w:t> </w:t>
      </w:r>
      <w:r>
        <w:rPr/>
        <w:t>mains were damaged and 2,828 gas services damaged in 2015–16 compared with 227 and 2,996 respectively from the 2014–15 reporting period (ESV, 2016a).</w:t>
      </w:r>
    </w:p>
    <w:p>
      <w:pPr>
        <w:pStyle w:val="BodyText"/>
        <w:spacing w:before="3"/>
        <w:rPr>
          <w:sz w:val="31"/>
        </w:rPr>
      </w:pPr>
    </w:p>
    <w:p>
      <w:pPr>
        <w:pStyle w:val="Heading7"/>
        <w:ind w:left="232"/>
        <w:jc w:val="both"/>
      </w:pPr>
      <w:r>
        <w:rPr/>
        <w:t>Figure</w:t>
      </w:r>
      <w:r>
        <w:rPr>
          <w:spacing w:val="-5"/>
        </w:rPr>
        <w:t> </w:t>
      </w:r>
      <w:r>
        <w:rPr/>
        <w:t>18:</w:t>
      </w:r>
      <w:r>
        <w:rPr>
          <w:spacing w:val="-3"/>
        </w:rPr>
        <w:t> </w:t>
      </w:r>
      <w:r>
        <w:rPr/>
        <w:t>Damaged</w:t>
      </w:r>
      <w:r>
        <w:rPr>
          <w:spacing w:val="-7"/>
        </w:rPr>
        <w:t> </w:t>
      </w:r>
      <w:r>
        <w:rPr/>
        <w:t>mains</w:t>
      </w:r>
      <w:r>
        <w:rPr>
          <w:spacing w:val="-6"/>
        </w:rPr>
        <w:t> </w:t>
      </w:r>
      <w:r>
        <w:rPr/>
        <w:t>(less</w:t>
      </w:r>
      <w:r>
        <w:rPr>
          <w:spacing w:val="-6"/>
        </w:rPr>
        <w:t> </w:t>
      </w:r>
      <w:r>
        <w:rPr/>
        <w:t>than</w:t>
      </w:r>
      <w:r>
        <w:rPr>
          <w:spacing w:val="-6"/>
        </w:rPr>
        <w:t> </w:t>
      </w:r>
      <w:r>
        <w:rPr/>
        <w:t>1,050</w:t>
      </w:r>
      <w:r>
        <w:rPr>
          <w:spacing w:val="-7"/>
        </w:rPr>
        <w:t> </w:t>
      </w:r>
      <w:r>
        <w:rPr/>
        <w:t>kPa)</w:t>
      </w:r>
      <w:r>
        <w:rPr>
          <w:spacing w:val="-3"/>
        </w:rPr>
        <w:t> </w:t>
      </w:r>
      <w:r>
        <w:rPr/>
        <w:t>since</w:t>
      </w:r>
      <w:r>
        <w:rPr>
          <w:spacing w:val="-6"/>
        </w:rPr>
        <w:t> </w:t>
      </w:r>
      <w:r>
        <w:rPr>
          <w:spacing w:val="-2"/>
        </w:rPr>
        <w:t>2012–13</w:t>
      </w:r>
    </w:p>
    <w:p>
      <w:pPr>
        <w:pStyle w:val="BodyText"/>
        <w:rPr>
          <w:b/>
          <w:sz w:val="20"/>
        </w:rPr>
      </w:pPr>
    </w:p>
    <w:p>
      <w:pPr>
        <w:pStyle w:val="BodyText"/>
        <w:spacing w:before="11"/>
        <w:rPr>
          <w:b/>
          <w:sz w:val="19"/>
        </w:rPr>
      </w:pPr>
      <w:r>
        <w:rPr/>
        <w:drawing>
          <wp:anchor distT="0" distB="0" distL="0" distR="0" allowOverlap="1" layoutInCell="1" locked="0" behindDoc="1" simplePos="0" relativeHeight="487648768">
            <wp:simplePos x="0" y="0"/>
            <wp:positionH relativeFrom="page">
              <wp:posOffset>753290</wp:posOffset>
            </wp:positionH>
            <wp:positionV relativeFrom="paragraph">
              <wp:posOffset>161099</wp:posOffset>
            </wp:positionV>
            <wp:extent cx="5652272" cy="2490216"/>
            <wp:effectExtent l="0" t="0" r="0" b="0"/>
            <wp:wrapTopAndBottom/>
            <wp:docPr id="182" name="Image 182" descr="C:\Users\rb2f\AppData\Local\Microsoft\Windows\Temporary Internet Files\Content.Word\Fig18DamagedMains.jpg"/>
            <wp:cNvGraphicFramePr>
              <a:graphicFrameLocks/>
            </wp:cNvGraphicFramePr>
            <a:graphic>
              <a:graphicData uri="http://schemas.openxmlformats.org/drawingml/2006/picture">
                <pic:pic>
                  <pic:nvPicPr>
                    <pic:cNvPr id="182" name="Image 182" descr="C:\Users\rb2f\AppData\Local\Microsoft\Windows\Temporary Internet Files\Content.Word\Fig18DamagedMains.jpg"/>
                    <pic:cNvPicPr/>
                  </pic:nvPicPr>
                  <pic:blipFill>
                    <a:blip r:embed="rId90" cstate="print"/>
                    <a:stretch>
                      <a:fillRect/>
                    </a:stretch>
                  </pic:blipFill>
                  <pic:spPr>
                    <a:xfrm>
                      <a:off x="0" y="0"/>
                      <a:ext cx="5652272" cy="2490216"/>
                    </a:xfrm>
                    <a:prstGeom prst="rect">
                      <a:avLst/>
                    </a:prstGeom>
                  </pic:spPr>
                </pic:pic>
              </a:graphicData>
            </a:graphic>
          </wp:anchor>
        </w:drawing>
      </w:r>
    </w:p>
    <w:p>
      <w:pPr>
        <w:pStyle w:val="BodyText"/>
        <w:rPr>
          <w:b/>
          <w:sz w:val="29"/>
        </w:rPr>
      </w:pPr>
    </w:p>
    <w:p>
      <w:pPr>
        <w:spacing w:before="0"/>
        <w:ind w:left="232" w:right="0" w:firstLine="0"/>
        <w:jc w:val="both"/>
        <w:rPr>
          <w:sz w:val="18"/>
        </w:rPr>
      </w:pPr>
      <w:r>
        <w:rPr>
          <w:sz w:val="18"/>
        </w:rPr>
        <w:t>Source:</w:t>
      </w:r>
      <w:r>
        <w:rPr>
          <w:spacing w:val="-2"/>
          <w:sz w:val="18"/>
        </w:rPr>
        <w:t> </w:t>
      </w:r>
      <w:r>
        <w:rPr>
          <w:sz w:val="18"/>
        </w:rPr>
        <w:t>Adapted</w:t>
      </w:r>
      <w:r>
        <w:rPr>
          <w:spacing w:val="-5"/>
          <w:sz w:val="18"/>
        </w:rPr>
        <w:t> </w:t>
      </w:r>
      <w:r>
        <w:rPr>
          <w:sz w:val="18"/>
        </w:rPr>
        <w:t>from</w:t>
      </w:r>
      <w:r>
        <w:rPr>
          <w:spacing w:val="-3"/>
          <w:sz w:val="18"/>
        </w:rPr>
        <w:t> </w:t>
      </w:r>
      <w:r>
        <w:rPr>
          <w:sz w:val="18"/>
        </w:rPr>
        <w:t>ESV</w:t>
      </w:r>
      <w:r>
        <w:rPr>
          <w:spacing w:val="-3"/>
          <w:sz w:val="18"/>
        </w:rPr>
        <w:t> </w:t>
      </w:r>
      <w:r>
        <w:rPr>
          <w:sz w:val="18"/>
        </w:rPr>
        <w:t>(2016,</w:t>
      </w:r>
      <w:r>
        <w:rPr>
          <w:spacing w:val="-2"/>
          <w:sz w:val="18"/>
        </w:rPr>
        <w:t> </w:t>
      </w:r>
      <w:r>
        <w:rPr>
          <w:sz w:val="18"/>
        </w:rPr>
        <w:t>p.</w:t>
      </w:r>
      <w:r>
        <w:rPr>
          <w:spacing w:val="-3"/>
          <w:sz w:val="18"/>
        </w:rPr>
        <w:t> </w:t>
      </w:r>
      <w:r>
        <w:rPr>
          <w:spacing w:val="-5"/>
          <w:sz w:val="18"/>
        </w:rPr>
        <w:t>61)</w:t>
      </w:r>
    </w:p>
    <w:p>
      <w:pPr>
        <w:spacing w:after="0"/>
        <w:jc w:val="both"/>
        <w:rPr>
          <w:sz w:val="18"/>
        </w:rPr>
        <w:sectPr>
          <w:pgSz w:w="11910" w:h="16850"/>
          <w:pgMar w:header="220" w:footer="678" w:top="420" w:bottom="860" w:left="900" w:right="840"/>
        </w:sectPr>
      </w:pPr>
    </w:p>
    <w:p>
      <w:pPr>
        <w:pStyle w:val="BodyText"/>
        <w:rPr>
          <w:sz w:val="20"/>
        </w:rPr>
      </w:pPr>
    </w:p>
    <w:p>
      <w:pPr>
        <w:pStyle w:val="BodyText"/>
        <w:spacing w:before="2"/>
        <w:rPr>
          <w:sz w:val="19"/>
        </w:rPr>
      </w:pPr>
    </w:p>
    <w:p>
      <w:pPr>
        <w:pStyle w:val="Heading7"/>
        <w:spacing w:before="94"/>
        <w:ind w:left="232"/>
        <w:jc w:val="both"/>
      </w:pPr>
      <w:r>
        <w:rPr/>
        <w:t>Figure</w:t>
      </w:r>
      <w:r>
        <w:rPr>
          <w:spacing w:val="-5"/>
        </w:rPr>
        <w:t> </w:t>
      </w:r>
      <w:r>
        <w:rPr/>
        <w:t>19:</w:t>
      </w:r>
      <w:r>
        <w:rPr>
          <w:spacing w:val="-4"/>
        </w:rPr>
        <w:t> </w:t>
      </w:r>
      <w:r>
        <w:rPr/>
        <w:t>Damaged</w:t>
      </w:r>
      <w:r>
        <w:rPr>
          <w:spacing w:val="-4"/>
        </w:rPr>
        <w:t> </w:t>
      </w:r>
      <w:r>
        <w:rPr/>
        <w:t>services</w:t>
      </w:r>
      <w:r>
        <w:rPr>
          <w:spacing w:val="-5"/>
        </w:rPr>
        <w:t> </w:t>
      </w:r>
      <w:r>
        <w:rPr/>
        <w:t>(less</w:t>
      </w:r>
      <w:r>
        <w:rPr>
          <w:spacing w:val="-6"/>
        </w:rPr>
        <w:t> </w:t>
      </w:r>
      <w:r>
        <w:rPr/>
        <w:t>than</w:t>
      </w:r>
      <w:r>
        <w:rPr>
          <w:spacing w:val="-5"/>
        </w:rPr>
        <w:t> </w:t>
      </w:r>
      <w:r>
        <w:rPr/>
        <w:t>1,050</w:t>
      </w:r>
      <w:r>
        <w:rPr>
          <w:spacing w:val="-6"/>
        </w:rPr>
        <w:t> </w:t>
      </w:r>
      <w:r>
        <w:rPr/>
        <w:t>kPa)</w:t>
      </w:r>
      <w:r>
        <w:rPr>
          <w:spacing w:val="-4"/>
        </w:rPr>
        <w:t> </w:t>
      </w:r>
      <w:r>
        <w:rPr/>
        <w:t>since</w:t>
      </w:r>
      <w:r>
        <w:rPr>
          <w:spacing w:val="-3"/>
        </w:rPr>
        <w:t> </w:t>
      </w:r>
      <w:r>
        <w:rPr>
          <w:spacing w:val="-2"/>
        </w:rPr>
        <w:t>2012–13</w:t>
      </w:r>
    </w:p>
    <w:p>
      <w:pPr>
        <w:pStyle w:val="BodyText"/>
        <w:rPr>
          <w:b/>
          <w:sz w:val="20"/>
        </w:rPr>
      </w:pPr>
    </w:p>
    <w:p>
      <w:pPr>
        <w:pStyle w:val="BodyText"/>
        <w:spacing w:before="5"/>
        <w:rPr>
          <w:b/>
          <w:sz w:val="15"/>
        </w:rPr>
      </w:pPr>
      <w:r>
        <w:rPr/>
        <w:drawing>
          <wp:anchor distT="0" distB="0" distL="0" distR="0" allowOverlap="1" layoutInCell="1" locked="0" behindDoc="1" simplePos="0" relativeHeight="487649280">
            <wp:simplePos x="0" y="0"/>
            <wp:positionH relativeFrom="page">
              <wp:posOffset>1113211</wp:posOffset>
            </wp:positionH>
            <wp:positionV relativeFrom="paragraph">
              <wp:posOffset>128209</wp:posOffset>
            </wp:positionV>
            <wp:extent cx="5359305" cy="2648712"/>
            <wp:effectExtent l="0" t="0" r="0" b="0"/>
            <wp:wrapTopAndBottom/>
            <wp:docPr id="183" name="Image 183" descr="C:\Users\rb2f\AppData\Local\Microsoft\Windows\Temporary Internet Files\Content.Word\Fig19DamagedServices.jpg"/>
            <wp:cNvGraphicFramePr>
              <a:graphicFrameLocks/>
            </wp:cNvGraphicFramePr>
            <a:graphic>
              <a:graphicData uri="http://schemas.openxmlformats.org/drawingml/2006/picture">
                <pic:pic>
                  <pic:nvPicPr>
                    <pic:cNvPr id="183" name="Image 183" descr="C:\Users\rb2f\AppData\Local\Microsoft\Windows\Temporary Internet Files\Content.Word\Fig19DamagedServices.jpg"/>
                    <pic:cNvPicPr/>
                  </pic:nvPicPr>
                  <pic:blipFill>
                    <a:blip r:embed="rId91" cstate="print"/>
                    <a:stretch>
                      <a:fillRect/>
                    </a:stretch>
                  </pic:blipFill>
                  <pic:spPr>
                    <a:xfrm>
                      <a:off x="0" y="0"/>
                      <a:ext cx="5359305" cy="2648712"/>
                    </a:xfrm>
                    <a:prstGeom prst="rect">
                      <a:avLst/>
                    </a:prstGeom>
                  </pic:spPr>
                </pic:pic>
              </a:graphicData>
            </a:graphic>
          </wp:anchor>
        </w:drawing>
      </w:r>
    </w:p>
    <w:p>
      <w:pPr>
        <w:pStyle w:val="BodyText"/>
        <w:rPr>
          <w:b/>
          <w:sz w:val="24"/>
        </w:rPr>
      </w:pPr>
    </w:p>
    <w:p>
      <w:pPr>
        <w:pStyle w:val="BodyText"/>
        <w:spacing w:before="8"/>
        <w:rPr>
          <w:b/>
        </w:rPr>
      </w:pPr>
    </w:p>
    <w:p>
      <w:pPr>
        <w:spacing w:before="0"/>
        <w:ind w:left="232" w:right="0" w:firstLine="0"/>
        <w:jc w:val="both"/>
        <w:rPr>
          <w:sz w:val="18"/>
        </w:rPr>
      </w:pPr>
      <w:r>
        <w:rPr>
          <w:sz w:val="18"/>
        </w:rPr>
        <w:t>Source:</w:t>
      </w:r>
      <w:r>
        <w:rPr>
          <w:spacing w:val="-2"/>
          <w:sz w:val="18"/>
        </w:rPr>
        <w:t> </w:t>
      </w:r>
      <w:r>
        <w:rPr>
          <w:sz w:val="18"/>
        </w:rPr>
        <w:t>Adapted</w:t>
      </w:r>
      <w:r>
        <w:rPr>
          <w:spacing w:val="-5"/>
          <w:sz w:val="18"/>
        </w:rPr>
        <w:t> </w:t>
      </w:r>
      <w:r>
        <w:rPr>
          <w:sz w:val="18"/>
        </w:rPr>
        <w:t>from</w:t>
      </w:r>
      <w:r>
        <w:rPr>
          <w:spacing w:val="-3"/>
          <w:sz w:val="18"/>
        </w:rPr>
        <w:t> </w:t>
      </w:r>
      <w:r>
        <w:rPr>
          <w:sz w:val="18"/>
        </w:rPr>
        <w:t>ESV</w:t>
      </w:r>
      <w:r>
        <w:rPr>
          <w:spacing w:val="-3"/>
          <w:sz w:val="18"/>
        </w:rPr>
        <w:t> </w:t>
      </w:r>
      <w:r>
        <w:rPr>
          <w:sz w:val="18"/>
        </w:rPr>
        <w:t>(2016,</w:t>
      </w:r>
      <w:r>
        <w:rPr>
          <w:spacing w:val="-2"/>
          <w:sz w:val="18"/>
        </w:rPr>
        <w:t> </w:t>
      </w:r>
      <w:r>
        <w:rPr>
          <w:sz w:val="18"/>
        </w:rPr>
        <w:t>p.</w:t>
      </w:r>
      <w:r>
        <w:rPr>
          <w:spacing w:val="-3"/>
          <w:sz w:val="18"/>
        </w:rPr>
        <w:t> </w:t>
      </w:r>
      <w:r>
        <w:rPr>
          <w:spacing w:val="-5"/>
          <w:sz w:val="18"/>
        </w:rPr>
        <w:t>61)</w:t>
      </w:r>
    </w:p>
    <w:p>
      <w:pPr>
        <w:pStyle w:val="BodyText"/>
        <w:spacing w:before="7"/>
        <w:rPr>
          <w:sz w:val="24"/>
        </w:rPr>
      </w:pPr>
    </w:p>
    <w:p>
      <w:pPr>
        <w:pStyle w:val="BodyText"/>
        <w:spacing w:line="288" w:lineRule="auto" w:before="1"/>
        <w:ind w:left="232" w:right="665"/>
        <w:jc w:val="both"/>
      </w:pPr>
      <w:r>
        <w:rPr/>
        <w:t>There</w:t>
      </w:r>
      <w:r>
        <w:rPr>
          <w:spacing w:val="-2"/>
        </w:rPr>
        <w:t> </w:t>
      </w:r>
      <w:r>
        <w:rPr/>
        <w:t>has</w:t>
      </w:r>
      <w:r>
        <w:rPr>
          <w:spacing w:val="-4"/>
        </w:rPr>
        <w:t> </w:t>
      </w:r>
      <w:r>
        <w:rPr/>
        <w:t>been</w:t>
      </w:r>
      <w:r>
        <w:rPr>
          <w:spacing w:val="-2"/>
        </w:rPr>
        <w:t> </w:t>
      </w:r>
      <w:r>
        <w:rPr/>
        <w:t>little</w:t>
      </w:r>
      <w:r>
        <w:rPr>
          <w:spacing w:val="-2"/>
        </w:rPr>
        <w:t> </w:t>
      </w:r>
      <w:r>
        <w:rPr/>
        <w:t>change</w:t>
      </w:r>
      <w:r>
        <w:rPr>
          <w:spacing w:val="-4"/>
        </w:rPr>
        <w:t> </w:t>
      </w:r>
      <w:r>
        <w:rPr/>
        <w:t>in</w:t>
      </w:r>
      <w:r>
        <w:rPr>
          <w:spacing w:val="-2"/>
        </w:rPr>
        <w:t> </w:t>
      </w:r>
      <w:r>
        <w:rPr/>
        <w:t>the</w:t>
      </w:r>
      <w:r>
        <w:rPr>
          <w:spacing w:val="-4"/>
        </w:rPr>
        <w:t> </w:t>
      </w:r>
      <w:r>
        <w:rPr/>
        <w:t>incidence</w:t>
      </w:r>
      <w:r>
        <w:rPr>
          <w:spacing w:val="-2"/>
        </w:rPr>
        <w:t> </w:t>
      </w:r>
      <w:r>
        <w:rPr/>
        <w:t>of pipeline</w:t>
      </w:r>
      <w:r>
        <w:rPr>
          <w:spacing w:val="-2"/>
        </w:rPr>
        <w:t> </w:t>
      </w:r>
      <w:r>
        <w:rPr/>
        <w:t>strikes</w:t>
      </w:r>
      <w:r>
        <w:rPr>
          <w:spacing w:val="-4"/>
        </w:rPr>
        <w:t> </w:t>
      </w:r>
      <w:r>
        <w:rPr/>
        <w:t>in</w:t>
      </w:r>
      <w:r>
        <w:rPr>
          <w:spacing w:val="-2"/>
        </w:rPr>
        <w:t> </w:t>
      </w:r>
      <w:r>
        <w:rPr/>
        <w:t>the</w:t>
      </w:r>
      <w:r>
        <w:rPr>
          <w:spacing w:val="-4"/>
        </w:rPr>
        <w:t> </w:t>
      </w:r>
      <w:r>
        <w:rPr/>
        <w:t>past</w:t>
      </w:r>
      <w:r>
        <w:rPr>
          <w:spacing w:val="-3"/>
        </w:rPr>
        <w:t> </w:t>
      </w:r>
      <w:r>
        <w:rPr/>
        <w:t>few</w:t>
      </w:r>
      <w:r>
        <w:rPr>
          <w:spacing w:val="-5"/>
        </w:rPr>
        <w:t> </w:t>
      </w:r>
      <w:r>
        <w:rPr/>
        <w:t>years</w:t>
      </w:r>
      <w:r>
        <w:rPr>
          <w:spacing w:val="-1"/>
        </w:rPr>
        <w:t> </w:t>
      </w:r>
      <w:r>
        <w:rPr/>
        <w:t>that</w:t>
      </w:r>
      <w:r>
        <w:rPr>
          <w:spacing w:val="-3"/>
        </w:rPr>
        <w:t> </w:t>
      </w:r>
      <w:r>
        <w:rPr/>
        <w:t>would indicate any</w:t>
      </w:r>
      <w:r>
        <w:rPr>
          <w:spacing w:val="-2"/>
        </w:rPr>
        <w:t> </w:t>
      </w:r>
      <w:r>
        <w:rPr/>
        <w:t>real</w:t>
      </w:r>
      <w:r>
        <w:rPr>
          <w:spacing w:val="-1"/>
        </w:rPr>
        <w:t> </w:t>
      </w:r>
      <w:r>
        <w:rPr/>
        <w:t>improvement</w:t>
      </w:r>
      <w:r>
        <w:rPr>
          <w:spacing w:val="-1"/>
        </w:rPr>
        <w:t> </w:t>
      </w:r>
      <w:r>
        <w:rPr/>
        <w:t>in</w:t>
      </w:r>
      <w:r>
        <w:rPr>
          <w:spacing w:val="-1"/>
        </w:rPr>
        <w:t> </w:t>
      </w:r>
      <w:r>
        <w:rPr/>
        <w:t>the</w:t>
      </w:r>
      <w:r>
        <w:rPr>
          <w:spacing w:val="-5"/>
        </w:rPr>
        <w:t> </w:t>
      </w:r>
      <w:r>
        <w:rPr/>
        <w:t>management</w:t>
      </w:r>
      <w:r>
        <w:rPr>
          <w:spacing w:val="-2"/>
        </w:rPr>
        <w:t> </w:t>
      </w:r>
      <w:r>
        <w:rPr/>
        <w:t>of these</w:t>
      </w:r>
      <w:r>
        <w:rPr>
          <w:spacing w:val="-2"/>
        </w:rPr>
        <w:t> </w:t>
      </w:r>
      <w:r>
        <w:rPr/>
        <w:t>risks,</w:t>
      </w:r>
      <w:r>
        <w:rPr>
          <w:spacing w:val="-2"/>
        </w:rPr>
        <w:t> </w:t>
      </w:r>
      <w:r>
        <w:rPr/>
        <w:t>and</w:t>
      </w:r>
      <w:r>
        <w:rPr>
          <w:spacing w:val="-2"/>
        </w:rPr>
        <w:t> </w:t>
      </w:r>
      <w:r>
        <w:rPr/>
        <w:t>the</w:t>
      </w:r>
      <w:r>
        <w:rPr>
          <w:spacing w:val="-1"/>
        </w:rPr>
        <w:t> </w:t>
      </w:r>
      <w:r>
        <w:rPr/>
        <w:t>number</w:t>
      </w:r>
      <w:r>
        <w:rPr>
          <w:spacing w:val="-1"/>
        </w:rPr>
        <w:t> </w:t>
      </w:r>
      <w:r>
        <w:rPr/>
        <w:t>of hits</w:t>
      </w:r>
      <w:r>
        <w:rPr>
          <w:spacing w:val="-2"/>
        </w:rPr>
        <w:t> </w:t>
      </w:r>
      <w:r>
        <w:rPr/>
        <w:t>on</w:t>
      </w:r>
      <w:r>
        <w:rPr>
          <w:spacing w:val="-1"/>
        </w:rPr>
        <w:t> </w:t>
      </w:r>
      <w:r>
        <w:rPr/>
        <w:t>low pressure gas mains and services remains high (ESV, 2016b).</w:t>
      </w:r>
    </w:p>
    <w:p>
      <w:pPr>
        <w:pStyle w:val="BodyText"/>
        <w:spacing w:before="8"/>
        <w:rPr>
          <w:sz w:val="20"/>
        </w:rPr>
      </w:pPr>
    </w:p>
    <w:p>
      <w:pPr>
        <w:pStyle w:val="BodyText"/>
        <w:spacing w:line="288" w:lineRule="auto"/>
        <w:ind w:left="232" w:right="374"/>
      </w:pPr>
      <w:r>
        <w:rPr/>
        <w:t>In its </w:t>
      </w:r>
      <w:r>
        <w:rPr>
          <w:i/>
        </w:rPr>
        <w:t>Annual Report 2015–16</w:t>
      </w:r>
      <w:r>
        <w:rPr/>
        <w:t>, ESV reported an increase in unauthorised excavation within three metres</w:t>
      </w:r>
      <w:r>
        <w:rPr>
          <w:spacing w:val="-2"/>
        </w:rPr>
        <w:t> </w:t>
      </w:r>
      <w:r>
        <w:rPr/>
        <w:t>of</w:t>
      </w:r>
      <w:r>
        <w:rPr>
          <w:spacing w:val="-1"/>
        </w:rPr>
        <w:t> </w:t>
      </w:r>
      <w:r>
        <w:rPr/>
        <w:t>licensed</w:t>
      </w:r>
      <w:r>
        <w:rPr>
          <w:spacing w:val="-3"/>
        </w:rPr>
        <w:t> </w:t>
      </w:r>
      <w:r>
        <w:rPr/>
        <w:t>high</w:t>
      </w:r>
      <w:r>
        <w:rPr>
          <w:spacing w:val="-4"/>
        </w:rPr>
        <w:t> </w:t>
      </w:r>
      <w:r>
        <w:rPr/>
        <w:t>pressure</w:t>
      </w:r>
      <w:r>
        <w:rPr>
          <w:spacing w:val="-2"/>
        </w:rPr>
        <w:t> </w:t>
      </w:r>
      <w:r>
        <w:rPr/>
        <w:t>transmission</w:t>
      </w:r>
      <w:r>
        <w:rPr>
          <w:spacing w:val="-2"/>
        </w:rPr>
        <w:t> </w:t>
      </w:r>
      <w:r>
        <w:rPr/>
        <w:t>pipelines</w:t>
      </w:r>
      <w:r>
        <w:rPr>
          <w:spacing w:val="-1"/>
        </w:rPr>
        <w:t> </w:t>
      </w:r>
      <w:r>
        <w:rPr/>
        <w:t>–</w:t>
      </w:r>
      <w:r>
        <w:rPr>
          <w:spacing w:val="-1"/>
        </w:rPr>
        <w:t> </w:t>
      </w:r>
      <w:r>
        <w:rPr/>
        <w:t>an</w:t>
      </w:r>
      <w:r>
        <w:rPr>
          <w:spacing w:val="-2"/>
        </w:rPr>
        <w:t> </w:t>
      </w:r>
      <w:r>
        <w:rPr/>
        <w:t>offence</w:t>
      </w:r>
      <w:r>
        <w:rPr>
          <w:spacing w:val="-4"/>
        </w:rPr>
        <w:t> </w:t>
      </w:r>
      <w:r>
        <w:rPr/>
        <w:t>under</w:t>
      </w:r>
      <w:r>
        <w:rPr>
          <w:spacing w:val="-3"/>
        </w:rPr>
        <w:t> </w:t>
      </w:r>
      <w:r>
        <w:rPr/>
        <w:t>the</w:t>
      </w:r>
      <w:r>
        <w:rPr>
          <w:spacing w:val="-1"/>
        </w:rPr>
        <w:t> </w:t>
      </w:r>
      <w:r>
        <w:rPr>
          <w:i/>
        </w:rPr>
        <w:t>Pipelines</w:t>
      </w:r>
      <w:r>
        <w:rPr>
          <w:i/>
          <w:spacing w:val="-1"/>
        </w:rPr>
        <w:t> </w:t>
      </w:r>
      <w:r>
        <w:rPr>
          <w:i/>
        </w:rPr>
        <w:t>Act</w:t>
      </w:r>
      <w:r>
        <w:rPr>
          <w:i/>
          <w:spacing w:val="-3"/>
        </w:rPr>
        <w:t> </w:t>
      </w:r>
      <w:r>
        <w:rPr>
          <w:i/>
        </w:rPr>
        <w:t>2005 </w:t>
      </w:r>
      <w:r>
        <w:rPr/>
        <w:t>(Major Hazard Facilities Advisory Committee, 2016)</w:t>
      </w:r>
      <w:r>
        <w:rPr>
          <w:i/>
        </w:rPr>
        <w:t>. </w:t>
      </w:r>
      <w:r>
        <w:rPr/>
        <w:t>AEMO also expressed concern in its submission to the Review that the frequency of incidents appears to be increasing (AEMO, 2017, p. 7), and it remains a major concern:</w:t>
      </w:r>
    </w:p>
    <w:p>
      <w:pPr>
        <w:pStyle w:val="BodyText"/>
        <w:rPr>
          <w:sz w:val="21"/>
        </w:rPr>
      </w:pPr>
    </w:p>
    <w:p>
      <w:pPr>
        <w:spacing w:line="288" w:lineRule="auto" w:before="1"/>
        <w:ind w:left="799" w:right="951" w:firstLine="0"/>
        <w:jc w:val="left"/>
        <w:rPr>
          <w:sz w:val="22"/>
        </w:rPr>
      </w:pPr>
      <w:r>
        <w:rPr>
          <w:i/>
          <w:sz w:val="22"/>
        </w:rPr>
        <w:t>“…</w:t>
      </w:r>
      <w:r>
        <w:rPr>
          <w:i/>
          <w:spacing w:val="-2"/>
          <w:sz w:val="22"/>
        </w:rPr>
        <w:t> </w:t>
      </w:r>
      <w:r>
        <w:rPr>
          <w:i/>
          <w:sz w:val="22"/>
        </w:rPr>
        <w:t>impacts</w:t>
      </w:r>
      <w:r>
        <w:rPr>
          <w:i/>
          <w:spacing w:val="-5"/>
          <w:sz w:val="22"/>
        </w:rPr>
        <w:t> </w:t>
      </w:r>
      <w:r>
        <w:rPr>
          <w:i/>
          <w:sz w:val="22"/>
        </w:rPr>
        <w:t>on</w:t>
      </w:r>
      <w:r>
        <w:rPr>
          <w:i/>
          <w:spacing w:val="-5"/>
          <w:sz w:val="22"/>
        </w:rPr>
        <w:t> </w:t>
      </w:r>
      <w:r>
        <w:rPr>
          <w:i/>
          <w:sz w:val="22"/>
        </w:rPr>
        <w:t>buried</w:t>
      </w:r>
      <w:r>
        <w:rPr>
          <w:i/>
          <w:spacing w:val="-3"/>
          <w:sz w:val="22"/>
        </w:rPr>
        <w:t> </w:t>
      </w:r>
      <w:r>
        <w:rPr>
          <w:i/>
          <w:sz w:val="22"/>
        </w:rPr>
        <w:t>gas</w:t>
      </w:r>
      <w:r>
        <w:rPr>
          <w:i/>
          <w:spacing w:val="-2"/>
          <w:sz w:val="22"/>
        </w:rPr>
        <w:t> </w:t>
      </w:r>
      <w:r>
        <w:rPr>
          <w:i/>
          <w:sz w:val="22"/>
        </w:rPr>
        <w:t>pipelines</w:t>
      </w:r>
      <w:r>
        <w:rPr>
          <w:i/>
          <w:spacing w:val="-2"/>
          <w:sz w:val="22"/>
        </w:rPr>
        <w:t> </w:t>
      </w:r>
      <w:r>
        <w:rPr>
          <w:i/>
          <w:sz w:val="22"/>
        </w:rPr>
        <w:t>due</w:t>
      </w:r>
      <w:r>
        <w:rPr>
          <w:i/>
          <w:spacing w:val="-3"/>
          <w:sz w:val="22"/>
        </w:rPr>
        <w:t> </w:t>
      </w:r>
      <w:r>
        <w:rPr>
          <w:i/>
          <w:sz w:val="22"/>
        </w:rPr>
        <w:t>to</w:t>
      </w:r>
      <w:r>
        <w:rPr>
          <w:i/>
          <w:spacing w:val="-5"/>
          <w:sz w:val="22"/>
        </w:rPr>
        <w:t> </w:t>
      </w:r>
      <w:r>
        <w:rPr>
          <w:i/>
          <w:sz w:val="22"/>
        </w:rPr>
        <w:t>unauthorised</w:t>
      </w:r>
      <w:r>
        <w:rPr>
          <w:i/>
          <w:spacing w:val="-3"/>
          <w:sz w:val="22"/>
        </w:rPr>
        <w:t> </w:t>
      </w:r>
      <w:r>
        <w:rPr>
          <w:i/>
          <w:sz w:val="22"/>
        </w:rPr>
        <w:t>excavation</w:t>
      </w:r>
      <w:r>
        <w:rPr>
          <w:i/>
          <w:spacing w:val="-3"/>
          <w:sz w:val="22"/>
        </w:rPr>
        <w:t> </w:t>
      </w:r>
      <w:r>
        <w:rPr>
          <w:i/>
          <w:sz w:val="22"/>
        </w:rPr>
        <w:t>or</w:t>
      </w:r>
      <w:r>
        <w:rPr>
          <w:i/>
          <w:spacing w:val="-2"/>
          <w:sz w:val="22"/>
        </w:rPr>
        <w:t> </w:t>
      </w:r>
      <w:r>
        <w:rPr>
          <w:i/>
          <w:sz w:val="22"/>
        </w:rPr>
        <w:t>boring</w:t>
      </w:r>
      <w:r>
        <w:rPr>
          <w:i/>
          <w:spacing w:val="-3"/>
          <w:sz w:val="22"/>
        </w:rPr>
        <w:t> </w:t>
      </w:r>
      <w:r>
        <w:rPr>
          <w:i/>
          <w:sz w:val="22"/>
        </w:rPr>
        <w:t>presents a high risk to public safety, both in terms of the immediate danger to people in the vicinity of a pipeline rupture and gas customers whose gas supply may be interrupted as a result.” </w:t>
      </w:r>
      <w:r>
        <w:rPr>
          <w:sz w:val="22"/>
        </w:rPr>
        <w:t>(AEMO, 2017, p. 6)</w:t>
      </w:r>
    </w:p>
    <w:p>
      <w:pPr>
        <w:pStyle w:val="BodyText"/>
        <w:spacing w:before="10"/>
        <w:rPr>
          <w:sz w:val="20"/>
        </w:rPr>
      </w:pPr>
    </w:p>
    <w:p>
      <w:pPr>
        <w:pStyle w:val="BodyText"/>
        <w:ind w:left="232"/>
      </w:pPr>
      <w:r>
        <w:rPr/>
        <w:t>AusNet</w:t>
      </w:r>
      <w:r>
        <w:rPr>
          <w:spacing w:val="-5"/>
        </w:rPr>
        <w:t> </w:t>
      </w:r>
      <w:r>
        <w:rPr/>
        <w:t>Services</w:t>
      </w:r>
      <w:r>
        <w:rPr>
          <w:spacing w:val="-4"/>
        </w:rPr>
        <w:t> </w:t>
      </w:r>
      <w:r>
        <w:rPr/>
        <w:t>in</w:t>
      </w:r>
      <w:r>
        <w:rPr>
          <w:spacing w:val="-4"/>
        </w:rPr>
        <w:t> </w:t>
      </w:r>
      <w:r>
        <w:rPr/>
        <w:t>its</w:t>
      </w:r>
      <w:r>
        <w:rPr>
          <w:spacing w:val="-5"/>
        </w:rPr>
        <w:t> </w:t>
      </w:r>
      <w:r>
        <w:rPr/>
        <w:t>submission</w:t>
      </w:r>
      <w:r>
        <w:rPr>
          <w:spacing w:val="-4"/>
        </w:rPr>
        <w:t> </w:t>
      </w:r>
      <w:r>
        <w:rPr/>
        <w:t>to</w:t>
      </w:r>
      <w:r>
        <w:rPr>
          <w:spacing w:val="-5"/>
        </w:rPr>
        <w:t> </w:t>
      </w:r>
      <w:r>
        <w:rPr/>
        <w:t>the</w:t>
      </w:r>
      <w:r>
        <w:rPr>
          <w:spacing w:val="-6"/>
        </w:rPr>
        <w:t> </w:t>
      </w:r>
      <w:r>
        <w:rPr/>
        <w:t>Review,</w:t>
      </w:r>
      <w:r>
        <w:rPr>
          <w:spacing w:val="-2"/>
        </w:rPr>
        <w:t> </w:t>
      </w:r>
      <w:r>
        <w:rPr/>
        <w:t>has</w:t>
      </w:r>
      <w:r>
        <w:rPr>
          <w:spacing w:val="-3"/>
        </w:rPr>
        <w:t> </w:t>
      </w:r>
      <w:r>
        <w:rPr/>
        <w:t>made</w:t>
      </w:r>
      <w:r>
        <w:rPr>
          <w:spacing w:val="-5"/>
        </w:rPr>
        <w:t> </w:t>
      </w:r>
      <w:r>
        <w:rPr/>
        <w:t>a</w:t>
      </w:r>
      <w:r>
        <w:rPr>
          <w:spacing w:val="-6"/>
        </w:rPr>
        <w:t> </w:t>
      </w:r>
      <w:r>
        <w:rPr/>
        <w:t>similar</w:t>
      </w:r>
      <w:r>
        <w:rPr>
          <w:spacing w:val="-2"/>
        </w:rPr>
        <w:t> point:</w:t>
      </w:r>
    </w:p>
    <w:p>
      <w:pPr>
        <w:pStyle w:val="BodyText"/>
        <w:spacing w:before="2"/>
        <w:rPr>
          <w:sz w:val="25"/>
        </w:rPr>
      </w:pPr>
    </w:p>
    <w:p>
      <w:pPr>
        <w:spacing w:line="288" w:lineRule="auto" w:before="0"/>
        <w:ind w:left="799" w:right="911" w:firstLine="0"/>
        <w:jc w:val="both"/>
        <w:rPr>
          <w:i/>
          <w:sz w:val="22"/>
        </w:rPr>
      </w:pPr>
      <w:r>
        <w:rPr>
          <w:i/>
          <w:sz w:val="22"/>
        </w:rPr>
        <w:t>“Gas</w:t>
      </w:r>
      <w:r>
        <w:rPr>
          <w:i/>
          <w:spacing w:val="-4"/>
          <w:sz w:val="22"/>
        </w:rPr>
        <w:t> </w:t>
      </w:r>
      <w:r>
        <w:rPr>
          <w:i/>
          <w:sz w:val="22"/>
        </w:rPr>
        <w:t>leaks</w:t>
      </w:r>
      <w:r>
        <w:rPr>
          <w:i/>
          <w:spacing w:val="-1"/>
          <w:sz w:val="22"/>
        </w:rPr>
        <w:t> </w:t>
      </w:r>
      <w:r>
        <w:rPr>
          <w:i/>
          <w:sz w:val="22"/>
        </w:rPr>
        <w:t>also</w:t>
      </w:r>
      <w:r>
        <w:rPr>
          <w:i/>
          <w:spacing w:val="-4"/>
          <w:sz w:val="22"/>
        </w:rPr>
        <w:t> </w:t>
      </w:r>
      <w:r>
        <w:rPr>
          <w:i/>
          <w:sz w:val="22"/>
        </w:rPr>
        <w:t>occur</w:t>
      </w:r>
      <w:r>
        <w:rPr>
          <w:i/>
          <w:spacing w:val="-3"/>
          <w:sz w:val="22"/>
        </w:rPr>
        <w:t> </w:t>
      </w:r>
      <w:r>
        <w:rPr>
          <w:i/>
          <w:sz w:val="22"/>
        </w:rPr>
        <w:t>when</w:t>
      </w:r>
      <w:r>
        <w:rPr>
          <w:i/>
          <w:spacing w:val="-2"/>
          <w:sz w:val="22"/>
        </w:rPr>
        <w:t> </w:t>
      </w:r>
      <w:r>
        <w:rPr>
          <w:i/>
          <w:sz w:val="22"/>
        </w:rPr>
        <w:t>third-parties</w:t>
      </w:r>
      <w:r>
        <w:rPr>
          <w:i/>
          <w:spacing w:val="-2"/>
          <w:sz w:val="22"/>
        </w:rPr>
        <w:t> </w:t>
      </w:r>
      <w:r>
        <w:rPr>
          <w:i/>
          <w:sz w:val="22"/>
        </w:rPr>
        <w:t>encroach</w:t>
      </w:r>
      <w:r>
        <w:rPr>
          <w:i/>
          <w:spacing w:val="-2"/>
          <w:sz w:val="22"/>
        </w:rPr>
        <w:t> </w:t>
      </w:r>
      <w:r>
        <w:rPr>
          <w:i/>
          <w:sz w:val="22"/>
        </w:rPr>
        <w:t>and</w:t>
      </w:r>
      <w:r>
        <w:rPr>
          <w:i/>
          <w:spacing w:val="-4"/>
          <w:sz w:val="22"/>
        </w:rPr>
        <w:t> </w:t>
      </w:r>
      <w:r>
        <w:rPr>
          <w:i/>
          <w:sz w:val="22"/>
        </w:rPr>
        <w:t>make</w:t>
      </w:r>
      <w:r>
        <w:rPr>
          <w:i/>
          <w:spacing w:val="-4"/>
          <w:sz w:val="22"/>
        </w:rPr>
        <w:t> </w:t>
      </w:r>
      <w:r>
        <w:rPr>
          <w:i/>
          <w:sz w:val="22"/>
        </w:rPr>
        <w:t>contact</w:t>
      </w:r>
      <w:r>
        <w:rPr>
          <w:i/>
          <w:spacing w:val="-3"/>
          <w:sz w:val="22"/>
        </w:rPr>
        <w:t> </w:t>
      </w:r>
      <w:r>
        <w:rPr>
          <w:i/>
          <w:sz w:val="22"/>
        </w:rPr>
        <w:t>with</w:t>
      </w:r>
      <w:r>
        <w:rPr>
          <w:i/>
          <w:spacing w:val="-6"/>
          <w:sz w:val="22"/>
        </w:rPr>
        <w:t> </w:t>
      </w:r>
      <w:r>
        <w:rPr>
          <w:i/>
          <w:sz w:val="22"/>
        </w:rPr>
        <w:t>underground mains</w:t>
      </w:r>
      <w:r>
        <w:rPr>
          <w:i/>
          <w:spacing w:val="-2"/>
          <w:sz w:val="22"/>
        </w:rPr>
        <w:t> </w:t>
      </w:r>
      <w:r>
        <w:rPr>
          <w:i/>
          <w:sz w:val="22"/>
        </w:rPr>
        <w:t>or</w:t>
      </w:r>
      <w:r>
        <w:rPr>
          <w:i/>
          <w:spacing w:val="-3"/>
          <w:sz w:val="22"/>
        </w:rPr>
        <w:t> </w:t>
      </w:r>
      <w:r>
        <w:rPr>
          <w:i/>
          <w:sz w:val="22"/>
        </w:rPr>
        <w:t>services.</w:t>
      </w:r>
      <w:r>
        <w:rPr>
          <w:i/>
          <w:spacing w:val="-3"/>
          <w:sz w:val="22"/>
        </w:rPr>
        <w:t> </w:t>
      </w:r>
      <w:r>
        <w:rPr>
          <w:i/>
          <w:sz w:val="22"/>
        </w:rPr>
        <w:t>This</w:t>
      </w:r>
      <w:r>
        <w:rPr>
          <w:i/>
          <w:spacing w:val="-1"/>
          <w:sz w:val="22"/>
        </w:rPr>
        <w:t> </w:t>
      </w:r>
      <w:r>
        <w:rPr>
          <w:i/>
          <w:sz w:val="22"/>
        </w:rPr>
        <w:t>is</w:t>
      </w:r>
      <w:r>
        <w:rPr>
          <w:i/>
          <w:spacing w:val="-1"/>
          <w:sz w:val="22"/>
        </w:rPr>
        <w:t> </w:t>
      </w:r>
      <w:r>
        <w:rPr>
          <w:i/>
          <w:sz w:val="22"/>
        </w:rPr>
        <w:t>usually</w:t>
      </w:r>
      <w:r>
        <w:rPr>
          <w:i/>
          <w:spacing w:val="-1"/>
          <w:sz w:val="22"/>
        </w:rPr>
        <w:t> </w:t>
      </w:r>
      <w:r>
        <w:rPr>
          <w:i/>
          <w:sz w:val="22"/>
        </w:rPr>
        <w:t>due</w:t>
      </w:r>
      <w:r>
        <w:rPr>
          <w:i/>
          <w:spacing w:val="-4"/>
          <w:sz w:val="22"/>
        </w:rPr>
        <w:t> </w:t>
      </w:r>
      <w:r>
        <w:rPr>
          <w:i/>
          <w:sz w:val="22"/>
        </w:rPr>
        <w:t>to</w:t>
      </w:r>
      <w:r>
        <w:rPr>
          <w:i/>
          <w:spacing w:val="-4"/>
          <w:sz w:val="22"/>
        </w:rPr>
        <w:t> </w:t>
      </w:r>
      <w:r>
        <w:rPr>
          <w:i/>
          <w:sz w:val="22"/>
        </w:rPr>
        <w:t>contractors</w:t>
      </w:r>
      <w:r>
        <w:rPr>
          <w:i/>
          <w:spacing w:val="-1"/>
          <w:sz w:val="22"/>
        </w:rPr>
        <w:t> </w:t>
      </w:r>
      <w:r>
        <w:rPr>
          <w:i/>
          <w:sz w:val="22"/>
        </w:rPr>
        <w:t>performing</w:t>
      </w:r>
      <w:r>
        <w:rPr>
          <w:i/>
          <w:spacing w:val="-4"/>
          <w:sz w:val="22"/>
        </w:rPr>
        <w:t> </w:t>
      </w:r>
      <w:r>
        <w:rPr>
          <w:i/>
          <w:sz w:val="22"/>
        </w:rPr>
        <w:t>works</w:t>
      </w:r>
      <w:r>
        <w:rPr>
          <w:i/>
          <w:spacing w:val="-4"/>
          <w:sz w:val="22"/>
        </w:rPr>
        <w:t> </w:t>
      </w:r>
      <w:r>
        <w:rPr>
          <w:i/>
          <w:sz w:val="22"/>
        </w:rPr>
        <w:t>failing</w:t>
      </w:r>
      <w:r>
        <w:rPr>
          <w:i/>
          <w:spacing w:val="-2"/>
          <w:sz w:val="22"/>
        </w:rPr>
        <w:t> </w:t>
      </w:r>
      <w:r>
        <w:rPr>
          <w:i/>
          <w:sz w:val="22"/>
        </w:rPr>
        <w:t>to</w:t>
      </w:r>
      <w:r>
        <w:rPr>
          <w:i/>
          <w:spacing w:val="-4"/>
          <w:sz w:val="22"/>
        </w:rPr>
        <w:t> </w:t>
      </w:r>
      <w:r>
        <w:rPr>
          <w:i/>
          <w:sz w:val="22"/>
        </w:rPr>
        <w:t>make</w:t>
      </w:r>
      <w:r>
        <w:rPr>
          <w:i/>
          <w:spacing w:val="-4"/>
          <w:sz w:val="22"/>
        </w:rPr>
        <w:t> </w:t>
      </w:r>
      <w:r>
        <w:rPr>
          <w:i/>
          <w:sz w:val="22"/>
        </w:rPr>
        <w:t>a dial-before-you-dig enquiry, or making the enquiry and not proving the actual location</w:t>
      </w:r>
    </w:p>
    <w:p>
      <w:pPr>
        <w:spacing w:before="2"/>
        <w:ind w:left="799" w:right="0" w:firstLine="0"/>
        <w:jc w:val="both"/>
        <w:rPr>
          <w:sz w:val="22"/>
        </w:rPr>
      </w:pPr>
      <w:r>
        <w:rPr>
          <w:i/>
          <w:sz w:val="22"/>
        </w:rPr>
        <w:t>of</w:t>
      </w:r>
      <w:r>
        <w:rPr>
          <w:i/>
          <w:spacing w:val="-4"/>
          <w:sz w:val="22"/>
        </w:rPr>
        <w:t> </w:t>
      </w:r>
      <w:r>
        <w:rPr>
          <w:i/>
          <w:sz w:val="22"/>
        </w:rPr>
        <w:t>the</w:t>
      </w:r>
      <w:r>
        <w:rPr>
          <w:i/>
          <w:spacing w:val="-2"/>
          <w:sz w:val="22"/>
        </w:rPr>
        <w:t> </w:t>
      </w:r>
      <w:r>
        <w:rPr>
          <w:i/>
          <w:sz w:val="22"/>
        </w:rPr>
        <w:t>assets</w:t>
      </w:r>
      <w:r>
        <w:rPr>
          <w:i/>
          <w:spacing w:val="-3"/>
          <w:sz w:val="22"/>
        </w:rPr>
        <w:t> </w:t>
      </w:r>
      <w:r>
        <w:rPr>
          <w:i/>
          <w:sz w:val="22"/>
        </w:rPr>
        <w:t>on</w:t>
      </w:r>
      <w:r>
        <w:rPr>
          <w:i/>
          <w:spacing w:val="-2"/>
          <w:sz w:val="22"/>
        </w:rPr>
        <w:t> </w:t>
      </w:r>
      <w:r>
        <w:rPr>
          <w:i/>
          <w:sz w:val="22"/>
        </w:rPr>
        <w:t>site.”</w:t>
      </w:r>
      <w:r>
        <w:rPr>
          <w:i/>
          <w:spacing w:val="-8"/>
          <w:sz w:val="22"/>
        </w:rPr>
        <w:t> </w:t>
      </w:r>
      <w:r>
        <w:rPr>
          <w:sz w:val="22"/>
        </w:rPr>
        <w:t>(AusNet</w:t>
      </w:r>
      <w:r>
        <w:rPr>
          <w:spacing w:val="-1"/>
          <w:sz w:val="22"/>
        </w:rPr>
        <w:t> </w:t>
      </w:r>
      <w:r>
        <w:rPr>
          <w:sz w:val="22"/>
        </w:rPr>
        <w:t>Services,</w:t>
      </w:r>
      <w:r>
        <w:rPr>
          <w:spacing w:val="-3"/>
          <w:sz w:val="22"/>
        </w:rPr>
        <w:t> </w:t>
      </w:r>
      <w:r>
        <w:rPr>
          <w:sz w:val="22"/>
        </w:rPr>
        <w:t>2017,</w:t>
      </w:r>
      <w:r>
        <w:rPr>
          <w:spacing w:val="-3"/>
          <w:sz w:val="22"/>
        </w:rPr>
        <w:t> </w:t>
      </w:r>
      <w:r>
        <w:rPr>
          <w:sz w:val="22"/>
        </w:rPr>
        <w:t>p.</w:t>
      </w:r>
      <w:r>
        <w:rPr>
          <w:spacing w:val="-3"/>
          <w:sz w:val="22"/>
        </w:rPr>
        <w:t> </w:t>
      </w:r>
      <w:r>
        <w:rPr>
          <w:spacing w:val="-5"/>
          <w:sz w:val="22"/>
        </w:rPr>
        <w:t>3)</w:t>
      </w:r>
    </w:p>
    <w:p>
      <w:pPr>
        <w:pStyle w:val="BodyText"/>
        <w:spacing w:before="1"/>
        <w:rPr>
          <w:sz w:val="25"/>
        </w:rPr>
      </w:pPr>
    </w:p>
    <w:p>
      <w:pPr>
        <w:pStyle w:val="BodyText"/>
        <w:spacing w:line="288" w:lineRule="auto" w:before="1"/>
        <w:ind w:left="232" w:right="296"/>
      </w:pPr>
      <w:r>
        <w:rPr/>
        <w:t>Discussions with stakeholders and public submissions to the Review’s Supplementary Issues Paper, identified a number of causal factors contributing to third party interference, the risk and consequences of which are exacerbated by encroachment of pipeline easements. An encroachment</w:t>
      </w:r>
      <w:r>
        <w:rPr>
          <w:spacing w:val="-3"/>
        </w:rPr>
        <w:t> </w:t>
      </w:r>
      <w:r>
        <w:rPr/>
        <w:t>can</w:t>
      </w:r>
      <w:r>
        <w:rPr>
          <w:spacing w:val="-2"/>
        </w:rPr>
        <w:t> </w:t>
      </w:r>
      <w:r>
        <w:rPr/>
        <w:t>involve</w:t>
      </w:r>
      <w:r>
        <w:rPr>
          <w:spacing w:val="-2"/>
        </w:rPr>
        <w:t> </w:t>
      </w:r>
      <w:r>
        <w:rPr/>
        <w:t>a</w:t>
      </w:r>
      <w:r>
        <w:rPr>
          <w:spacing w:val="-1"/>
        </w:rPr>
        <w:t> </w:t>
      </w:r>
      <w:r>
        <w:rPr/>
        <w:t>change</w:t>
      </w:r>
      <w:r>
        <w:rPr>
          <w:spacing w:val="-4"/>
        </w:rPr>
        <w:t> </w:t>
      </w:r>
      <w:r>
        <w:rPr/>
        <w:t>in</w:t>
      </w:r>
      <w:r>
        <w:rPr>
          <w:spacing w:val="-4"/>
        </w:rPr>
        <w:t> </w:t>
      </w:r>
      <w:r>
        <w:rPr/>
        <w:t>the</w:t>
      </w:r>
      <w:r>
        <w:rPr>
          <w:spacing w:val="-2"/>
        </w:rPr>
        <w:t> </w:t>
      </w:r>
      <w:r>
        <w:rPr/>
        <w:t>land</w:t>
      </w:r>
      <w:r>
        <w:rPr>
          <w:spacing w:val="-2"/>
        </w:rPr>
        <w:t> </w:t>
      </w:r>
      <w:r>
        <w:rPr/>
        <w:t>use</w:t>
      </w:r>
      <w:r>
        <w:rPr>
          <w:spacing w:val="-2"/>
        </w:rPr>
        <w:t> </w:t>
      </w:r>
      <w:r>
        <w:rPr/>
        <w:t>surrounding a</w:t>
      </w:r>
      <w:r>
        <w:rPr>
          <w:spacing w:val="-4"/>
        </w:rPr>
        <w:t> </w:t>
      </w:r>
      <w:r>
        <w:rPr/>
        <w:t>pipeline</w:t>
      </w:r>
      <w:r>
        <w:rPr>
          <w:spacing w:val="-2"/>
        </w:rPr>
        <w:t> </w:t>
      </w:r>
      <w:r>
        <w:rPr/>
        <w:t>easement,</w:t>
      </w:r>
      <w:r>
        <w:rPr>
          <w:spacing w:val="-3"/>
        </w:rPr>
        <w:t> </w:t>
      </w:r>
      <w:r>
        <w:rPr/>
        <w:t>leading</w:t>
      </w:r>
      <w:r>
        <w:rPr>
          <w:spacing w:val="-2"/>
        </w:rPr>
        <w:t> </w:t>
      </w:r>
      <w:r>
        <w:rPr/>
        <w:t>to</w:t>
      </w:r>
      <w:r>
        <w:rPr>
          <w:spacing w:val="-4"/>
        </w:rPr>
        <w:t> </w:t>
      </w:r>
      <w:r>
        <w:rPr/>
        <w:t>a physical intrusion of a structure, or item into the land subject to a pipeline easement.</w:t>
      </w:r>
    </w:p>
    <w:p>
      <w:pPr>
        <w:pStyle w:val="BodyText"/>
        <w:spacing w:before="8"/>
        <w:rPr>
          <w:sz w:val="20"/>
        </w:rPr>
      </w:pPr>
    </w:p>
    <w:p>
      <w:pPr>
        <w:pStyle w:val="BodyText"/>
        <w:spacing w:line="288" w:lineRule="auto"/>
        <w:ind w:left="232" w:right="374"/>
      </w:pPr>
      <w:r>
        <w:rPr/>
        <w:t>The</w:t>
      </w:r>
      <w:r>
        <w:rPr>
          <w:spacing w:val="-7"/>
        </w:rPr>
        <w:t> </w:t>
      </w:r>
      <w:r>
        <w:rPr/>
        <w:t>factors</w:t>
      </w:r>
      <w:r>
        <w:rPr>
          <w:spacing w:val="-3"/>
        </w:rPr>
        <w:t> </w:t>
      </w:r>
      <w:r>
        <w:rPr/>
        <w:t>identified</w:t>
      </w:r>
      <w:r>
        <w:rPr>
          <w:spacing w:val="-4"/>
        </w:rPr>
        <w:t> </w:t>
      </w:r>
      <w:r>
        <w:rPr/>
        <w:t>as</w:t>
      </w:r>
      <w:r>
        <w:rPr>
          <w:spacing w:val="-4"/>
        </w:rPr>
        <w:t> </w:t>
      </w:r>
      <w:r>
        <w:rPr/>
        <w:t>making</w:t>
      </w:r>
      <w:r>
        <w:rPr>
          <w:spacing w:val="-4"/>
        </w:rPr>
        <w:t> </w:t>
      </w:r>
      <w:r>
        <w:rPr/>
        <w:t>gas</w:t>
      </w:r>
      <w:r>
        <w:rPr>
          <w:spacing w:val="-4"/>
        </w:rPr>
        <w:t> </w:t>
      </w:r>
      <w:r>
        <w:rPr/>
        <w:t>pipelines</w:t>
      </w:r>
      <w:r>
        <w:rPr>
          <w:spacing w:val="-1"/>
        </w:rPr>
        <w:t> </w:t>
      </w:r>
      <w:r>
        <w:rPr/>
        <w:t>more</w:t>
      </w:r>
      <w:r>
        <w:rPr>
          <w:spacing w:val="-2"/>
        </w:rPr>
        <w:t> </w:t>
      </w:r>
      <w:r>
        <w:rPr/>
        <w:t>susceptible</w:t>
      </w:r>
      <w:r>
        <w:rPr>
          <w:spacing w:val="-2"/>
        </w:rPr>
        <w:t> </w:t>
      </w:r>
      <w:r>
        <w:rPr/>
        <w:t>to</w:t>
      </w:r>
      <w:r>
        <w:rPr>
          <w:spacing w:val="-4"/>
        </w:rPr>
        <w:t> </w:t>
      </w:r>
      <w:r>
        <w:rPr/>
        <w:t>damage</w:t>
      </w:r>
      <w:r>
        <w:rPr>
          <w:spacing w:val="-4"/>
        </w:rPr>
        <w:t> </w:t>
      </w:r>
      <w:r>
        <w:rPr/>
        <w:t>from</w:t>
      </w:r>
      <w:r>
        <w:rPr>
          <w:spacing w:val="-3"/>
        </w:rPr>
        <w:t> </w:t>
      </w:r>
      <w:r>
        <w:rPr/>
        <w:t>third</w:t>
      </w:r>
      <w:r>
        <w:rPr>
          <w:spacing w:val="-4"/>
        </w:rPr>
        <w:t> </w:t>
      </w:r>
      <w:r>
        <w:rPr/>
        <w:t>parties included encroachment on pipeline easements and difficulties locating gas pipelines due to:</w:t>
      </w:r>
    </w:p>
    <w:p>
      <w:pPr>
        <w:spacing w:after="0" w:line="288" w:lineRule="auto"/>
        <w:sectPr>
          <w:pgSz w:w="11910" w:h="16850"/>
          <w:pgMar w:header="220" w:footer="678" w:top="420" w:bottom="860" w:left="900" w:right="840"/>
        </w:sectPr>
      </w:pPr>
    </w:p>
    <w:p>
      <w:pPr>
        <w:pStyle w:val="BodyText"/>
        <w:rPr>
          <w:sz w:val="20"/>
        </w:rPr>
      </w:pPr>
    </w:p>
    <w:p>
      <w:pPr>
        <w:pStyle w:val="BodyText"/>
        <w:spacing w:before="9"/>
        <w:rPr>
          <w:sz w:val="18"/>
        </w:rPr>
      </w:pPr>
    </w:p>
    <w:p>
      <w:pPr>
        <w:pStyle w:val="ListParagraph"/>
        <w:numPr>
          <w:ilvl w:val="0"/>
          <w:numId w:val="73"/>
        </w:numPr>
        <w:tabs>
          <w:tab w:pos="590" w:val="left" w:leader="none"/>
        </w:tabs>
        <w:spacing w:line="240" w:lineRule="auto" w:before="115" w:after="0"/>
        <w:ind w:left="590" w:right="0" w:hanging="358"/>
        <w:jc w:val="left"/>
        <w:rPr>
          <w:sz w:val="22"/>
        </w:rPr>
      </w:pPr>
      <w:r>
        <w:rPr>
          <w:sz w:val="22"/>
        </w:rPr>
        <w:t>absence</w:t>
      </w:r>
      <w:r>
        <w:rPr>
          <w:spacing w:val="-6"/>
          <w:sz w:val="22"/>
        </w:rPr>
        <w:t> </w:t>
      </w:r>
      <w:r>
        <w:rPr>
          <w:sz w:val="22"/>
        </w:rPr>
        <w:t>of</w:t>
      </w:r>
      <w:r>
        <w:rPr>
          <w:spacing w:val="-5"/>
          <w:sz w:val="22"/>
        </w:rPr>
        <w:t> </w:t>
      </w:r>
      <w:r>
        <w:rPr>
          <w:sz w:val="22"/>
        </w:rPr>
        <w:t>accurate</w:t>
      </w:r>
      <w:r>
        <w:rPr>
          <w:spacing w:val="-7"/>
          <w:sz w:val="22"/>
        </w:rPr>
        <w:t> </w:t>
      </w:r>
      <w:r>
        <w:rPr>
          <w:sz w:val="22"/>
        </w:rPr>
        <w:t>plans</w:t>
      </w:r>
      <w:r>
        <w:rPr>
          <w:spacing w:val="-6"/>
          <w:sz w:val="22"/>
        </w:rPr>
        <w:t> </w:t>
      </w:r>
      <w:r>
        <w:rPr>
          <w:sz w:val="22"/>
        </w:rPr>
        <w:t>identifying</w:t>
      </w:r>
      <w:r>
        <w:rPr>
          <w:spacing w:val="-6"/>
          <w:sz w:val="22"/>
        </w:rPr>
        <w:t> </w:t>
      </w:r>
      <w:r>
        <w:rPr>
          <w:sz w:val="22"/>
        </w:rPr>
        <w:t>the</w:t>
      </w:r>
      <w:r>
        <w:rPr>
          <w:spacing w:val="-8"/>
          <w:sz w:val="22"/>
        </w:rPr>
        <w:t> </w:t>
      </w:r>
      <w:r>
        <w:rPr>
          <w:sz w:val="22"/>
        </w:rPr>
        <w:t>location</w:t>
      </w:r>
      <w:r>
        <w:rPr>
          <w:spacing w:val="-6"/>
          <w:sz w:val="22"/>
        </w:rPr>
        <w:t> </w:t>
      </w:r>
      <w:r>
        <w:rPr>
          <w:sz w:val="22"/>
        </w:rPr>
        <w:t>of</w:t>
      </w:r>
      <w:r>
        <w:rPr>
          <w:spacing w:val="-4"/>
          <w:sz w:val="22"/>
        </w:rPr>
        <w:t> </w:t>
      </w:r>
      <w:r>
        <w:rPr>
          <w:spacing w:val="-2"/>
          <w:sz w:val="22"/>
        </w:rPr>
        <w:t>pipes;</w:t>
      </w:r>
    </w:p>
    <w:p>
      <w:pPr>
        <w:pStyle w:val="ListParagraph"/>
        <w:numPr>
          <w:ilvl w:val="0"/>
          <w:numId w:val="73"/>
        </w:numPr>
        <w:tabs>
          <w:tab w:pos="590" w:val="left" w:leader="none"/>
        </w:tabs>
        <w:spacing w:line="240" w:lineRule="auto" w:before="64" w:after="0"/>
        <w:ind w:left="590" w:right="0" w:hanging="358"/>
        <w:jc w:val="left"/>
        <w:rPr>
          <w:sz w:val="22"/>
        </w:rPr>
      </w:pPr>
      <w:r>
        <w:rPr>
          <w:sz w:val="22"/>
        </w:rPr>
        <w:t>difficulty</w:t>
      </w:r>
      <w:r>
        <w:rPr>
          <w:spacing w:val="-8"/>
          <w:sz w:val="22"/>
        </w:rPr>
        <w:t> </w:t>
      </w:r>
      <w:r>
        <w:rPr>
          <w:sz w:val="22"/>
        </w:rPr>
        <w:t>obtaining</w:t>
      </w:r>
      <w:r>
        <w:rPr>
          <w:spacing w:val="-6"/>
          <w:sz w:val="22"/>
        </w:rPr>
        <w:t> </w:t>
      </w:r>
      <w:r>
        <w:rPr>
          <w:sz w:val="22"/>
        </w:rPr>
        <w:t>timely</w:t>
      </w:r>
      <w:r>
        <w:rPr>
          <w:spacing w:val="-7"/>
          <w:sz w:val="22"/>
        </w:rPr>
        <w:t> </w:t>
      </w:r>
      <w:r>
        <w:rPr>
          <w:sz w:val="22"/>
        </w:rPr>
        <w:t>confirmation</w:t>
      </w:r>
      <w:r>
        <w:rPr>
          <w:spacing w:val="-8"/>
          <w:sz w:val="22"/>
        </w:rPr>
        <w:t> </w:t>
      </w:r>
      <w:r>
        <w:rPr>
          <w:sz w:val="22"/>
        </w:rPr>
        <w:t>from</w:t>
      </w:r>
      <w:r>
        <w:rPr>
          <w:spacing w:val="-5"/>
          <w:sz w:val="22"/>
        </w:rPr>
        <w:t> </w:t>
      </w:r>
      <w:r>
        <w:rPr>
          <w:sz w:val="22"/>
        </w:rPr>
        <w:t>asset</w:t>
      </w:r>
      <w:r>
        <w:rPr>
          <w:spacing w:val="-8"/>
          <w:sz w:val="22"/>
        </w:rPr>
        <w:t> </w:t>
      </w:r>
      <w:r>
        <w:rPr>
          <w:sz w:val="22"/>
        </w:rPr>
        <w:t>owners</w:t>
      </w:r>
      <w:r>
        <w:rPr>
          <w:spacing w:val="-5"/>
          <w:sz w:val="22"/>
        </w:rPr>
        <w:t> </w:t>
      </w:r>
      <w:r>
        <w:rPr>
          <w:sz w:val="22"/>
        </w:rPr>
        <w:t>about</w:t>
      </w:r>
      <w:r>
        <w:rPr>
          <w:spacing w:val="-7"/>
          <w:sz w:val="22"/>
        </w:rPr>
        <w:t> </w:t>
      </w:r>
      <w:r>
        <w:rPr>
          <w:sz w:val="22"/>
        </w:rPr>
        <w:t>the</w:t>
      </w:r>
      <w:r>
        <w:rPr>
          <w:spacing w:val="-5"/>
          <w:sz w:val="22"/>
        </w:rPr>
        <w:t> </w:t>
      </w:r>
      <w:r>
        <w:rPr>
          <w:sz w:val="22"/>
        </w:rPr>
        <w:t>location</w:t>
      </w:r>
      <w:r>
        <w:rPr>
          <w:spacing w:val="-6"/>
          <w:sz w:val="22"/>
        </w:rPr>
        <w:t> </w:t>
      </w:r>
      <w:r>
        <w:rPr>
          <w:sz w:val="22"/>
        </w:rPr>
        <w:t>of</w:t>
      </w:r>
      <w:r>
        <w:rPr>
          <w:spacing w:val="-4"/>
          <w:sz w:val="22"/>
        </w:rPr>
        <w:t> </w:t>
      </w:r>
      <w:r>
        <w:rPr>
          <w:sz w:val="22"/>
        </w:rPr>
        <w:t>the</w:t>
      </w:r>
      <w:r>
        <w:rPr>
          <w:spacing w:val="-7"/>
          <w:sz w:val="22"/>
        </w:rPr>
        <w:t> </w:t>
      </w:r>
      <w:r>
        <w:rPr>
          <w:spacing w:val="-2"/>
          <w:sz w:val="22"/>
        </w:rPr>
        <w:t>assets;</w:t>
      </w:r>
    </w:p>
    <w:p>
      <w:pPr>
        <w:pStyle w:val="ListParagraph"/>
        <w:numPr>
          <w:ilvl w:val="0"/>
          <w:numId w:val="73"/>
        </w:numPr>
        <w:tabs>
          <w:tab w:pos="590" w:val="left" w:leader="none"/>
        </w:tabs>
        <w:spacing w:line="288" w:lineRule="auto" w:before="67" w:after="0"/>
        <w:ind w:left="590" w:right="746" w:hanging="359"/>
        <w:jc w:val="left"/>
        <w:rPr>
          <w:sz w:val="22"/>
        </w:rPr>
      </w:pPr>
      <w:r>
        <w:rPr>
          <w:sz w:val="22"/>
        </w:rPr>
        <w:t>the</w:t>
      </w:r>
      <w:r>
        <w:rPr>
          <w:spacing w:val="-3"/>
          <w:sz w:val="22"/>
        </w:rPr>
        <w:t> </w:t>
      </w:r>
      <w:r>
        <w:rPr>
          <w:sz w:val="22"/>
        </w:rPr>
        <w:t>practice</w:t>
      </w:r>
      <w:r>
        <w:rPr>
          <w:spacing w:val="-5"/>
          <w:sz w:val="22"/>
        </w:rPr>
        <w:t> </w:t>
      </w:r>
      <w:r>
        <w:rPr>
          <w:sz w:val="22"/>
        </w:rPr>
        <w:t>of</w:t>
      </w:r>
      <w:r>
        <w:rPr>
          <w:spacing w:val="-1"/>
          <w:sz w:val="22"/>
        </w:rPr>
        <w:t> </w:t>
      </w:r>
      <w:r>
        <w:rPr>
          <w:sz w:val="22"/>
        </w:rPr>
        <w:t>using</w:t>
      </w:r>
      <w:r>
        <w:rPr>
          <w:spacing w:val="-1"/>
          <w:sz w:val="22"/>
        </w:rPr>
        <w:t> </w:t>
      </w:r>
      <w:r>
        <w:rPr>
          <w:sz w:val="22"/>
        </w:rPr>
        <w:t>polyethylene</w:t>
      </w:r>
      <w:r>
        <w:rPr>
          <w:spacing w:val="-3"/>
          <w:sz w:val="22"/>
        </w:rPr>
        <w:t> </w:t>
      </w:r>
      <w:r>
        <w:rPr>
          <w:sz w:val="22"/>
        </w:rPr>
        <w:t>pipes</w:t>
      </w:r>
      <w:r>
        <w:rPr>
          <w:spacing w:val="-2"/>
          <w:sz w:val="22"/>
        </w:rPr>
        <w:t> </w:t>
      </w:r>
      <w:r>
        <w:rPr>
          <w:sz w:val="22"/>
        </w:rPr>
        <w:t>with</w:t>
      </w:r>
      <w:r>
        <w:rPr>
          <w:spacing w:val="-3"/>
          <w:sz w:val="22"/>
        </w:rPr>
        <w:t> </w:t>
      </w:r>
      <w:r>
        <w:rPr>
          <w:sz w:val="22"/>
        </w:rPr>
        <w:t>no</w:t>
      </w:r>
      <w:r>
        <w:rPr>
          <w:spacing w:val="-3"/>
          <w:sz w:val="22"/>
        </w:rPr>
        <w:t> </w:t>
      </w:r>
      <w:r>
        <w:rPr>
          <w:sz w:val="22"/>
        </w:rPr>
        <w:t>metal</w:t>
      </w:r>
      <w:r>
        <w:rPr>
          <w:spacing w:val="-3"/>
          <w:sz w:val="22"/>
        </w:rPr>
        <w:t> </w:t>
      </w:r>
      <w:r>
        <w:rPr>
          <w:sz w:val="22"/>
        </w:rPr>
        <w:t>tracer</w:t>
      </w:r>
      <w:r>
        <w:rPr>
          <w:spacing w:val="-4"/>
          <w:sz w:val="22"/>
        </w:rPr>
        <w:t> </w:t>
      </w:r>
      <w:r>
        <w:rPr>
          <w:sz w:val="22"/>
        </w:rPr>
        <w:t>wire,</w:t>
      </w:r>
      <w:r>
        <w:rPr>
          <w:spacing w:val="-4"/>
          <w:sz w:val="22"/>
        </w:rPr>
        <w:t> </w:t>
      </w:r>
      <w:r>
        <w:rPr>
          <w:sz w:val="22"/>
        </w:rPr>
        <w:t>making</w:t>
      </w:r>
      <w:r>
        <w:rPr>
          <w:spacing w:val="-5"/>
          <w:sz w:val="22"/>
        </w:rPr>
        <w:t> </w:t>
      </w:r>
      <w:r>
        <w:rPr>
          <w:sz w:val="22"/>
        </w:rPr>
        <w:t>detection</w:t>
      </w:r>
      <w:r>
        <w:rPr>
          <w:spacing w:val="-3"/>
          <w:sz w:val="22"/>
        </w:rPr>
        <w:t> </w:t>
      </w:r>
      <w:r>
        <w:rPr>
          <w:sz w:val="22"/>
        </w:rPr>
        <w:t>difficult using traditional underground asset-locating devices;</w:t>
      </w:r>
    </w:p>
    <w:p>
      <w:pPr>
        <w:pStyle w:val="ListParagraph"/>
        <w:numPr>
          <w:ilvl w:val="0"/>
          <w:numId w:val="73"/>
        </w:numPr>
        <w:tabs>
          <w:tab w:pos="590" w:val="left" w:leader="none"/>
        </w:tabs>
        <w:spacing w:line="240" w:lineRule="auto" w:before="14" w:after="0"/>
        <w:ind w:left="590" w:right="0" w:hanging="358"/>
        <w:jc w:val="left"/>
        <w:rPr>
          <w:sz w:val="22"/>
        </w:rPr>
      </w:pPr>
      <w:r>
        <w:rPr>
          <w:sz w:val="22"/>
        </w:rPr>
        <w:t>a</w:t>
      </w:r>
      <w:r>
        <w:rPr>
          <w:spacing w:val="-6"/>
          <w:sz w:val="22"/>
        </w:rPr>
        <w:t> </w:t>
      </w:r>
      <w:r>
        <w:rPr>
          <w:sz w:val="22"/>
        </w:rPr>
        <w:t>lack</w:t>
      </w:r>
      <w:r>
        <w:rPr>
          <w:spacing w:val="-1"/>
          <w:sz w:val="22"/>
        </w:rPr>
        <w:t> </w:t>
      </w:r>
      <w:r>
        <w:rPr>
          <w:sz w:val="22"/>
        </w:rPr>
        <w:t>of</w:t>
      </w:r>
      <w:r>
        <w:rPr>
          <w:spacing w:val="-2"/>
          <w:sz w:val="22"/>
        </w:rPr>
        <w:t> </w:t>
      </w:r>
      <w:r>
        <w:rPr>
          <w:sz w:val="22"/>
        </w:rPr>
        <w:t>hand</w:t>
      </w:r>
      <w:r>
        <w:rPr>
          <w:spacing w:val="-6"/>
          <w:sz w:val="22"/>
        </w:rPr>
        <w:t> </w:t>
      </w:r>
      <w:r>
        <w:rPr>
          <w:sz w:val="22"/>
        </w:rPr>
        <w:t>digging</w:t>
      </w:r>
      <w:r>
        <w:rPr>
          <w:spacing w:val="-4"/>
          <w:sz w:val="22"/>
        </w:rPr>
        <w:t> </w:t>
      </w:r>
      <w:r>
        <w:rPr>
          <w:sz w:val="22"/>
        </w:rPr>
        <w:t>to</w:t>
      </w:r>
      <w:r>
        <w:rPr>
          <w:spacing w:val="-7"/>
          <w:sz w:val="22"/>
        </w:rPr>
        <w:t> </w:t>
      </w:r>
      <w:r>
        <w:rPr>
          <w:sz w:val="22"/>
        </w:rPr>
        <w:t>confirm</w:t>
      </w:r>
      <w:r>
        <w:rPr>
          <w:spacing w:val="-7"/>
          <w:sz w:val="22"/>
        </w:rPr>
        <w:t> </w:t>
      </w:r>
      <w:r>
        <w:rPr>
          <w:sz w:val="22"/>
        </w:rPr>
        <w:t>the</w:t>
      </w:r>
      <w:r>
        <w:rPr>
          <w:spacing w:val="-3"/>
          <w:sz w:val="22"/>
        </w:rPr>
        <w:t> </w:t>
      </w:r>
      <w:r>
        <w:rPr>
          <w:sz w:val="22"/>
        </w:rPr>
        <w:t>exact</w:t>
      </w:r>
      <w:r>
        <w:rPr>
          <w:spacing w:val="-5"/>
          <w:sz w:val="22"/>
        </w:rPr>
        <w:t> </w:t>
      </w:r>
      <w:r>
        <w:rPr>
          <w:sz w:val="22"/>
        </w:rPr>
        <w:t>location</w:t>
      </w:r>
      <w:r>
        <w:rPr>
          <w:spacing w:val="-4"/>
          <w:sz w:val="22"/>
        </w:rPr>
        <w:t> </w:t>
      </w:r>
      <w:r>
        <w:rPr>
          <w:sz w:val="22"/>
        </w:rPr>
        <w:t>of</w:t>
      </w:r>
      <w:r>
        <w:rPr>
          <w:spacing w:val="-2"/>
          <w:sz w:val="22"/>
        </w:rPr>
        <w:t> </w:t>
      </w:r>
      <w:r>
        <w:rPr>
          <w:sz w:val="22"/>
        </w:rPr>
        <w:t>pipes;</w:t>
      </w:r>
      <w:r>
        <w:rPr>
          <w:spacing w:val="-4"/>
          <w:sz w:val="22"/>
        </w:rPr>
        <w:t> </w:t>
      </w:r>
      <w:r>
        <w:rPr>
          <w:spacing w:val="-5"/>
          <w:sz w:val="22"/>
        </w:rPr>
        <w:t>and</w:t>
      </w:r>
    </w:p>
    <w:p>
      <w:pPr>
        <w:pStyle w:val="ListParagraph"/>
        <w:numPr>
          <w:ilvl w:val="0"/>
          <w:numId w:val="73"/>
        </w:numPr>
        <w:tabs>
          <w:tab w:pos="590" w:val="left" w:leader="none"/>
        </w:tabs>
        <w:spacing w:line="240" w:lineRule="auto" w:before="66" w:after="0"/>
        <w:ind w:left="590" w:right="0" w:hanging="358"/>
        <w:jc w:val="left"/>
        <w:rPr>
          <w:sz w:val="22"/>
        </w:rPr>
      </w:pPr>
      <w:r>
        <w:rPr>
          <w:sz w:val="22"/>
        </w:rPr>
        <w:t>pipes</w:t>
      </w:r>
      <w:r>
        <w:rPr>
          <w:spacing w:val="-7"/>
          <w:sz w:val="22"/>
        </w:rPr>
        <w:t> </w:t>
      </w:r>
      <w:r>
        <w:rPr>
          <w:sz w:val="22"/>
        </w:rPr>
        <w:t>not</w:t>
      </w:r>
      <w:r>
        <w:rPr>
          <w:spacing w:val="-3"/>
          <w:sz w:val="22"/>
        </w:rPr>
        <w:t> </w:t>
      </w:r>
      <w:r>
        <w:rPr>
          <w:sz w:val="22"/>
        </w:rPr>
        <w:t>being</w:t>
      </w:r>
      <w:r>
        <w:rPr>
          <w:spacing w:val="-6"/>
          <w:sz w:val="22"/>
        </w:rPr>
        <w:t> </w:t>
      </w:r>
      <w:r>
        <w:rPr>
          <w:sz w:val="22"/>
        </w:rPr>
        <w:t>installed</w:t>
      </w:r>
      <w:r>
        <w:rPr>
          <w:spacing w:val="-7"/>
          <w:sz w:val="22"/>
        </w:rPr>
        <w:t> </w:t>
      </w:r>
      <w:r>
        <w:rPr>
          <w:sz w:val="22"/>
        </w:rPr>
        <w:t>in</w:t>
      </w:r>
      <w:r>
        <w:rPr>
          <w:spacing w:val="-5"/>
          <w:sz w:val="22"/>
        </w:rPr>
        <w:t> </w:t>
      </w:r>
      <w:r>
        <w:rPr>
          <w:sz w:val="22"/>
        </w:rPr>
        <w:t>accordance</w:t>
      </w:r>
      <w:r>
        <w:rPr>
          <w:spacing w:val="-7"/>
          <w:sz w:val="22"/>
        </w:rPr>
        <w:t> </w:t>
      </w:r>
      <w:r>
        <w:rPr>
          <w:sz w:val="22"/>
        </w:rPr>
        <w:t>with</w:t>
      </w:r>
      <w:r>
        <w:rPr>
          <w:spacing w:val="-5"/>
          <w:sz w:val="22"/>
        </w:rPr>
        <w:t> </w:t>
      </w:r>
      <w:r>
        <w:rPr>
          <w:sz w:val="22"/>
        </w:rPr>
        <w:t>Australian</w:t>
      </w:r>
      <w:r>
        <w:rPr>
          <w:spacing w:val="-5"/>
          <w:sz w:val="22"/>
        </w:rPr>
        <w:t> </w:t>
      </w:r>
      <w:r>
        <w:rPr>
          <w:spacing w:val="-2"/>
          <w:sz w:val="22"/>
        </w:rPr>
        <w:t>Standards.</w:t>
      </w:r>
    </w:p>
    <w:p>
      <w:pPr>
        <w:pStyle w:val="BodyText"/>
        <w:rPr>
          <w:sz w:val="25"/>
        </w:rPr>
      </w:pPr>
    </w:p>
    <w:p>
      <w:pPr>
        <w:spacing w:line="288" w:lineRule="auto" w:before="0"/>
        <w:ind w:left="232" w:right="0" w:firstLine="0"/>
        <w:jc w:val="left"/>
        <w:rPr>
          <w:sz w:val="22"/>
        </w:rPr>
      </w:pPr>
      <w:r>
        <w:rPr>
          <w:sz w:val="22"/>
        </w:rPr>
        <w:t>The</w:t>
      </w:r>
      <w:r>
        <w:rPr>
          <w:spacing w:val="-4"/>
          <w:sz w:val="22"/>
        </w:rPr>
        <w:t> </w:t>
      </w:r>
      <w:r>
        <w:rPr>
          <w:sz w:val="22"/>
        </w:rPr>
        <w:t>Australian</w:t>
      </w:r>
      <w:r>
        <w:rPr>
          <w:spacing w:val="-2"/>
          <w:sz w:val="22"/>
        </w:rPr>
        <w:t> </w:t>
      </w:r>
      <w:r>
        <w:rPr>
          <w:sz w:val="22"/>
        </w:rPr>
        <w:t>Standards –</w:t>
      </w:r>
      <w:r>
        <w:rPr>
          <w:spacing w:val="-2"/>
          <w:sz w:val="22"/>
        </w:rPr>
        <w:t> </w:t>
      </w:r>
      <w:r>
        <w:rPr>
          <w:i/>
          <w:sz w:val="22"/>
        </w:rPr>
        <w:t>AS</w:t>
      </w:r>
      <w:r>
        <w:rPr>
          <w:i/>
          <w:spacing w:val="-2"/>
          <w:sz w:val="22"/>
        </w:rPr>
        <w:t> </w:t>
      </w:r>
      <w:r>
        <w:rPr>
          <w:i/>
          <w:sz w:val="22"/>
        </w:rPr>
        <w:t>2885:</w:t>
      </w:r>
      <w:r>
        <w:rPr>
          <w:i/>
          <w:spacing w:val="-3"/>
          <w:sz w:val="22"/>
        </w:rPr>
        <w:t> </w:t>
      </w:r>
      <w:r>
        <w:rPr>
          <w:i/>
          <w:sz w:val="22"/>
        </w:rPr>
        <w:t>Pipelines –</w:t>
      </w:r>
      <w:r>
        <w:rPr>
          <w:i/>
          <w:spacing w:val="-2"/>
          <w:sz w:val="22"/>
        </w:rPr>
        <w:t> </w:t>
      </w:r>
      <w:r>
        <w:rPr>
          <w:i/>
          <w:sz w:val="22"/>
        </w:rPr>
        <w:t>Gas</w:t>
      </w:r>
      <w:r>
        <w:rPr>
          <w:i/>
          <w:spacing w:val="-4"/>
          <w:sz w:val="22"/>
        </w:rPr>
        <w:t> </w:t>
      </w:r>
      <w:r>
        <w:rPr>
          <w:i/>
          <w:sz w:val="22"/>
        </w:rPr>
        <w:t>and</w:t>
      </w:r>
      <w:r>
        <w:rPr>
          <w:i/>
          <w:spacing w:val="-4"/>
          <w:sz w:val="22"/>
        </w:rPr>
        <w:t> </w:t>
      </w:r>
      <w:r>
        <w:rPr>
          <w:i/>
          <w:sz w:val="22"/>
        </w:rPr>
        <w:t>liquid</w:t>
      </w:r>
      <w:r>
        <w:rPr>
          <w:i/>
          <w:spacing w:val="-2"/>
          <w:sz w:val="22"/>
        </w:rPr>
        <w:t> </w:t>
      </w:r>
      <w:r>
        <w:rPr>
          <w:i/>
          <w:sz w:val="22"/>
        </w:rPr>
        <w:t>petroleum</w:t>
      </w:r>
      <w:r>
        <w:rPr>
          <w:i/>
          <w:spacing w:val="-1"/>
          <w:sz w:val="22"/>
        </w:rPr>
        <w:t> </w:t>
      </w:r>
      <w:r>
        <w:rPr>
          <w:sz w:val="22"/>
        </w:rPr>
        <w:t>for</w:t>
      </w:r>
      <w:r>
        <w:rPr>
          <w:spacing w:val="-3"/>
          <w:sz w:val="22"/>
        </w:rPr>
        <w:t> </w:t>
      </w:r>
      <w:r>
        <w:rPr>
          <w:sz w:val="22"/>
        </w:rPr>
        <w:t>high</w:t>
      </w:r>
      <w:r>
        <w:rPr>
          <w:spacing w:val="-4"/>
          <w:sz w:val="22"/>
        </w:rPr>
        <w:t> </w:t>
      </w:r>
      <w:r>
        <w:rPr>
          <w:sz w:val="22"/>
        </w:rPr>
        <w:t>pressure</w:t>
      </w:r>
      <w:r>
        <w:rPr>
          <w:spacing w:val="-5"/>
          <w:sz w:val="22"/>
        </w:rPr>
        <w:t> </w:t>
      </w:r>
      <w:r>
        <w:rPr>
          <w:sz w:val="22"/>
        </w:rPr>
        <w:t>gas pipelines and </w:t>
      </w:r>
      <w:r>
        <w:rPr>
          <w:i/>
          <w:sz w:val="22"/>
        </w:rPr>
        <w:t>AS 4645: Gas distribution networks </w:t>
      </w:r>
      <w:r>
        <w:rPr>
          <w:sz w:val="22"/>
        </w:rPr>
        <w:t>for low pressure gas pipelines – prescribe:</w:t>
      </w:r>
    </w:p>
    <w:p>
      <w:pPr>
        <w:pStyle w:val="BodyText"/>
        <w:spacing w:before="4"/>
      </w:pPr>
    </w:p>
    <w:p>
      <w:pPr>
        <w:pStyle w:val="ListParagraph"/>
        <w:numPr>
          <w:ilvl w:val="0"/>
          <w:numId w:val="73"/>
        </w:numPr>
        <w:tabs>
          <w:tab w:pos="590" w:val="left" w:leader="none"/>
        </w:tabs>
        <w:spacing w:line="240" w:lineRule="auto" w:before="0" w:after="0"/>
        <w:ind w:left="590" w:right="0" w:hanging="358"/>
        <w:jc w:val="left"/>
        <w:rPr>
          <w:sz w:val="22"/>
        </w:rPr>
      </w:pPr>
      <w:r>
        <w:rPr>
          <w:sz w:val="22"/>
        </w:rPr>
        <w:t>minimum</w:t>
      </w:r>
      <w:r>
        <w:rPr>
          <w:spacing w:val="-8"/>
          <w:sz w:val="22"/>
        </w:rPr>
        <w:t> </w:t>
      </w:r>
      <w:r>
        <w:rPr>
          <w:sz w:val="22"/>
        </w:rPr>
        <w:t>separation</w:t>
      </w:r>
      <w:r>
        <w:rPr>
          <w:spacing w:val="-5"/>
          <w:sz w:val="22"/>
        </w:rPr>
        <w:t> </w:t>
      </w:r>
      <w:r>
        <w:rPr>
          <w:sz w:val="22"/>
        </w:rPr>
        <w:t>distances</w:t>
      </w:r>
      <w:r>
        <w:rPr>
          <w:spacing w:val="-5"/>
          <w:sz w:val="22"/>
        </w:rPr>
        <w:t> </w:t>
      </w:r>
      <w:r>
        <w:rPr>
          <w:sz w:val="22"/>
        </w:rPr>
        <w:t>or</w:t>
      </w:r>
      <w:r>
        <w:rPr>
          <w:spacing w:val="-6"/>
          <w:sz w:val="22"/>
        </w:rPr>
        <w:t> </w:t>
      </w:r>
      <w:r>
        <w:rPr>
          <w:sz w:val="22"/>
        </w:rPr>
        <w:t>the</w:t>
      </w:r>
      <w:r>
        <w:rPr>
          <w:spacing w:val="-7"/>
          <w:sz w:val="22"/>
        </w:rPr>
        <w:t> </w:t>
      </w:r>
      <w:r>
        <w:rPr>
          <w:sz w:val="22"/>
        </w:rPr>
        <w:t>use</w:t>
      </w:r>
      <w:r>
        <w:rPr>
          <w:spacing w:val="-6"/>
          <w:sz w:val="22"/>
        </w:rPr>
        <w:t> </w:t>
      </w:r>
      <w:r>
        <w:rPr>
          <w:sz w:val="22"/>
        </w:rPr>
        <w:t>of</w:t>
      </w:r>
      <w:r>
        <w:rPr>
          <w:spacing w:val="-3"/>
          <w:sz w:val="22"/>
        </w:rPr>
        <w:t> </w:t>
      </w:r>
      <w:r>
        <w:rPr>
          <w:sz w:val="22"/>
        </w:rPr>
        <w:t>protection</w:t>
      </w:r>
      <w:r>
        <w:rPr>
          <w:spacing w:val="-7"/>
          <w:sz w:val="22"/>
        </w:rPr>
        <w:t> </w:t>
      </w:r>
      <w:r>
        <w:rPr>
          <w:sz w:val="22"/>
        </w:rPr>
        <w:t>measures,</w:t>
      </w:r>
      <w:r>
        <w:rPr>
          <w:spacing w:val="-6"/>
          <w:sz w:val="22"/>
        </w:rPr>
        <w:t> </w:t>
      </w:r>
      <w:r>
        <w:rPr>
          <w:sz w:val="22"/>
        </w:rPr>
        <w:t>from</w:t>
      </w:r>
      <w:r>
        <w:rPr>
          <w:spacing w:val="-6"/>
          <w:sz w:val="22"/>
        </w:rPr>
        <w:t> </w:t>
      </w:r>
      <w:r>
        <w:rPr>
          <w:sz w:val="22"/>
        </w:rPr>
        <w:t>other</w:t>
      </w:r>
      <w:r>
        <w:rPr>
          <w:spacing w:val="-3"/>
          <w:sz w:val="22"/>
        </w:rPr>
        <w:t> </w:t>
      </w:r>
      <w:r>
        <w:rPr>
          <w:spacing w:val="-2"/>
          <w:sz w:val="22"/>
        </w:rPr>
        <w:t>utilities;</w:t>
      </w:r>
    </w:p>
    <w:p>
      <w:pPr>
        <w:pStyle w:val="ListParagraph"/>
        <w:numPr>
          <w:ilvl w:val="0"/>
          <w:numId w:val="73"/>
        </w:numPr>
        <w:tabs>
          <w:tab w:pos="590" w:val="left" w:leader="none"/>
        </w:tabs>
        <w:spacing w:line="240" w:lineRule="auto" w:before="66" w:after="0"/>
        <w:ind w:left="590" w:right="0" w:hanging="358"/>
        <w:jc w:val="left"/>
        <w:rPr>
          <w:sz w:val="22"/>
        </w:rPr>
      </w:pPr>
      <w:r>
        <w:rPr>
          <w:sz w:val="22"/>
        </w:rPr>
        <w:t>minimum</w:t>
      </w:r>
      <w:r>
        <w:rPr>
          <w:spacing w:val="-11"/>
          <w:sz w:val="22"/>
        </w:rPr>
        <w:t> </w:t>
      </w:r>
      <w:r>
        <w:rPr>
          <w:sz w:val="22"/>
        </w:rPr>
        <w:t>requirements</w:t>
      </w:r>
      <w:r>
        <w:rPr>
          <w:spacing w:val="-9"/>
          <w:sz w:val="22"/>
        </w:rPr>
        <w:t> </w:t>
      </w:r>
      <w:r>
        <w:rPr>
          <w:sz w:val="22"/>
        </w:rPr>
        <w:t>for</w:t>
      </w:r>
      <w:r>
        <w:rPr>
          <w:spacing w:val="-6"/>
          <w:sz w:val="22"/>
        </w:rPr>
        <w:t> </w:t>
      </w:r>
      <w:r>
        <w:rPr>
          <w:sz w:val="22"/>
        </w:rPr>
        <w:t>ensuring</w:t>
      </w:r>
      <w:r>
        <w:rPr>
          <w:spacing w:val="-8"/>
          <w:sz w:val="22"/>
        </w:rPr>
        <w:t> </w:t>
      </w:r>
      <w:r>
        <w:rPr>
          <w:sz w:val="22"/>
        </w:rPr>
        <w:t>pipelines</w:t>
      </w:r>
      <w:r>
        <w:rPr>
          <w:spacing w:val="-6"/>
          <w:sz w:val="22"/>
        </w:rPr>
        <w:t> </w:t>
      </w:r>
      <w:r>
        <w:rPr>
          <w:sz w:val="22"/>
        </w:rPr>
        <w:t>are</w:t>
      </w:r>
      <w:r>
        <w:rPr>
          <w:spacing w:val="-9"/>
          <w:sz w:val="22"/>
        </w:rPr>
        <w:t> </w:t>
      </w:r>
      <w:r>
        <w:rPr>
          <w:sz w:val="22"/>
        </w:rPr>
        <w:t>visibly</w:t>
      </w:r>
      <w:r>
        <w:rPr>
          <w:spacing w:val="-9"/>
          <w:sz w:val="22"/>
        </w:rPr>
        <w:t> </w:t>
      </w:r>
      <w:r>
        <w:rPr>
          <w:spacing w:val="-2"/>
          <w:sz w:val="22"/>
        </w:rPr>
        <w:t>marked;</w:t>
      </w:r>
    </w:p>
    <w:p>
      <w:pPr>
        <w:pStyle w:val="ListParagraph"/>
        <w:numPr>
          <w:ilvl w:val="0"/>
          <w:numId w:val="73"/>
        </w:numPr>
        <w:tabs>
          <w:tab w:pos="590" w:val="left" w:leader="none"/>
        </w:tabs>
        <w:spacing w:line="285" w:lineRule="auto" w:before="66" w:after="0"/>
        <w:ind w:left="590" w:right="459" w:hanging="359"/>
        <w:jc w:val="left"/>
        <w:rPr>
          <w:sz w:val="22"/>
        </w:rPr>
      </w:pPr>
      <w:r>
        <w:rPr>
          <w:sz w:val="22"/>
        </w:rPr>
        <w:t>consideration</w:t>
      </w:r>
      <w:r>
        <w:rPr>
          <w:spacing w:val="-3"/>
          <w:sz w:val="22"/>
        </w:rPr>
        <w:t> </w:t>
      </w:r>
      <w:r>
        <w:rPr>
          <w:sz w:val="22"/>
        </w:rPr>
        <w:t>of</w:t>
      </w:r>
      <w:r>
        <w:rPr>
          <w:spacing w:val="-1"/>
          <w:sz w:val="22"/>
        </w:rPr>
        <w:t> </w:t>
      </w:r>
      <w:r>
        <w:rPr>
          <w:sz w:val="22"/>
        </w:rPr>
        <w:t>participation</w:t>
      </w:r>
      <w:r>
        <w:rPr>
          <w:spacing w:val="-3"/>
          <w:sz w:val="22"/>
        </w:rPr>
        <w:t> </w:t>
      </w:r>
      <w:r>
        <w:rPr>
          <w:sz w:val="22"/>
        </w:rPr>
        <w:t>in</w:t>
      </w:r>
      <w:r>
        <w:rPr>
          <w:spacing w:val="-3"/>
          <w:sz w:val="22"/>
        </w:rPr>
        <w:t> </w:t>
      </w:r>
      <w:r>
        <w:rPr>
          <w:sz w:val="22"/>
        </w:rPr>
        <w:t>a</w:t>
      </w:r>
      <w:r>
        <w:rPr>
          <w:spacing w:val="-2"/>
          <w:sz w:val="22"/>
        </w:rPr>
        <w:t> </w:t>
      </w:r>
      <w:r>
        <w:rPr>
          <w:sz w:val="22"/>
        </w:rPr>
        <w:t>one-call</w:t>
      </w:r>
      <w:r>
        <w:rPr>
          <w:spacing w:val="-3"/>
          <w:sz w:val="22"/>
        </w:rPr>
        <w:t> </w:t>
      </w:r>
      <w:r>
        <w:rPr>
          <w:sz w:val="22"/>
        </w:rPr>
        <w:t>service</w:t>
      </w:r>
      <w:r>
        <w:rPr>
          <w:spacing w:val="-3"/>
          <w:sz w:val="22"/>
        </w:rPr>
        <w:t> </w:t>
      </w:r>
      <w:r>
        <w:rPr>
          <w:sz w:val="22"/>
        </w:rPr>
        <w:t>such</w:t>
      </w:r>
      <w:r>
        <w:rPr>
          <w:spacing w:val="-3"/>
          <w:sz w:val="22"/>
        </w:rPr>
        <w:t> </w:t>
      </w:r>
      <w:r>
        <w:rPr>
          <w:sz w:val="22"/>
        </w:rPr>
        <w:t>as</w:t>
      </w:r>
      <w:r>
        <w:rPr>
          <w:spacing w:val="-4"/>
          <w:sz w:val="22"/>
        </w:rPr>
        <w:t> </w:t>
      </w:r>
      <w:r>
        <w:rPr>
          <w:i/>
          <w:sz w:val="22"/>
        </w:rPr>
        <w:t>Dial</w:t>
      </w:r>
      <w:r>
        <w:rPr>
          <w:i/>
          <w:spacing w:val="-4"/>
          <w:sz w:val="22"/>
        </w:rPr>
        <w:t> </w:t>
      </w:r>
      <w:r>
        <w:rPr>
          <w:i/>
          <w:sz w:val="22"/>
        </w:rPr>
        <w:t>Before</w:t>
      </w:r>
      <w:r>
        <w:rPr>
          <w:i/>
          <w:spacing w:val="-5"/>
          <w:sz w:val="22"/>
        </w:rPr>
        <w:t> </w:t>
      </w:r>
      <w:r>
        <w:rPr>
          <w:i/>
          <w:sz w:val="22"/>
        </w:rPr>
        <w:t>You</w:t>
      </w:r>
      <w:r>
        <w:rPr>
          <w:i/>
          <w:spacing w:val="-5"/>
          <w:sz w:val="22"/>
        </w:rPr>
        <w:t> </w:t>
      </w:r>
      <w:r>
        <w:rPr>
          <w:i/>
          <w:sz w:val="22"/>
        </w:rPr>
        <w:t>Dig</w:t>
      </w:r>
      <w:r>
        <w:rPr>
          <w:i/>
          <w:spacing w:val="-2"/>
          <w:sz w:val="22"/>
        </w:rPr>
        <w:t> </w:t>
      </w:r>
      <w:r>
        <w:rPr>
          <w:sz w:val="22"/>
        </w:rPr>
        <w:t>(Australia/New Zealand Standard, 2008) (Australian Standard, 2008).</w:t>
      </w:r>
    </w:p>
    <w:p>
      <w:pPr>
        <w:pStyle w:val="BodyText"/>
        <w:spacing w:before="2"/>
        <w:rPr>
          <w:sz w:val="21"/>
        </w:rPr>
      </w:pPr>
    </w:p>
    <w:p>
      <w:pPr>
        <w:pStyle w:val="BodyText"/>
        <w:spacing w:line="288" w:lineRule="auto"/>
        <w:ind w:left="232" w:right="374"/>
      </w:pPr>
      <w:r>
        <w:rPr/>
        <w:t>Additionally</w:t>
      </w:r>
      <w:r>
        <w:rPr>
          <w:i/>
        </w:rPr>
        <w:t>, </w:t>
      </w:r>
      <w:r>
        <w:rPr/>
        <w:t>AS 4645 prescribes the use of an appropriate marker or tracer wire to enable detection of plastic pipes, while AS 2885 prescribes consideration of land use and approved developments</w:t>
      </w:r>
      <w:r>
        <w:rPr>
          <w:spacing w:val="-2"/>
        </w:rPr>
        <w:t> </w:t>
      </w:r>
      <w:r>
        <w:rPr/>
        <w:t>along</w:t>
      </w:r>
      <w:r>
        <w:rPr>
          <w:spacing w:val="-5"/>
        </w:rPr>
        <w:t> </w:t>
      </w:r>
      <w:r>
        <w:rPr/>
        <w:t>the</w:t>
      </w:r>
      <w:r>
        <w:rPr>
          <w:spacing w:val="-5"/>
        </w:rPr>
        <w:t> </w:t>
      </w:r>
      <w:r>
        <w:rPr/>
        <w:t>route</w:t>
      </w:r>
      <w:r>
        <w:rPr>
          <w:spacing w:val="-5"/>
        </w:rPr>
        <w:t> </w:t>
      </w:r>
      <w:r>
        <w:rPr/>
        <w:t>when</w:t>
      </w:r>
      <w:r>
        <w:rPr>
          <w:spacing w:val="-3"/>
        </w:rPr>
        <w:t> </w:t>
      </w:r>
      <w:r>
        <w:rPr/>
        <w:t>determining</w:t>
      </w:r>
      <w:r>
        <w:rPr>
          <w:spacing w:val="-3"/>
        </w:rPr>
        <w:t> </w:t>
      </w:r>
      <w:r>
        <w:rPr/>
        <w:t>pipe</w:t>
      </w:r>
      <w:r>
        <w:rPr>
          <w:spacing w:val="-3"/>
        </w:rPr>
        <w:t> </w:t>
      </w:r>
      <w:r>
        <w:rPr/>
        <w:t>route</w:t>
      </w:r>
      <w:r>
        <w:rPr>
          <w:spacing w:val="-2"/>
        </w:rPr>
        <w:t> </w:t>
      </w:r>
      <w:r>
        <w:rPr/>
        <w:t>(Australia/New</w:t>
      </w:r>
      <w:r>
        <w:rPr>
          <w:spacing w:val="-6"/>
        </w:rPr>
        <w:t> </w:t>
      </w:r>
      <w:r>
        <w:rPr/>
        <w:t>Zealand</w:t>
      </w:r>
      <w:r>
        <w:rPr>
          <w:spacing w:val="-3"/>
        </w:rPr>
        <w:t> </w:t>
      </w:r>
      <w:r>
        <w:rPr/>
        <w:t>Standard, 2008) (Australian Standard, 2008).</w:t>
      </w:r>
    </w:p>
    <w:p>
      <w:pPr>
        <w:pStyle w:val="BodyText"/>
        <w:spacing w:before="10"/>
        <w:rPr>
          <w:sz w:val="20"/>
        </w:rPr>
      </w:pPr>
    </w:p>
    <w:p>
      <w:pPr>
        <w:pStyle w:val="BodyText"/>
        <w:spacing w:line="288" w:lineRule="auto"/>
        <w:ind w:left="232" w:right="639"/>
        <w:jc w:val="both"/>
      </w:pPr>
      <w:r>
        <w:rPr/>
        <w:t>Situations where these standards</w:t>
      </w:r>
      <w:r>
        <w:rPr>
          <w:spacing w:val="-1"/>
        </w:rPr>
        <w:t> </w:t>
      </w:r>
      <w:r>
        <w:rPr/>
        <w:t>have not been</w:t>
      </w:r>
      <w:r>
        <w:rPr>
          <w:spacing w:val="-1"/>
        </w:rPr>
        <w:t> </w:t>
      </w:r>
      <w:r>
        <w:rPr/>
        <w:t>adhered</w:t>
      </w:r>
      <w:r>
        <w:rPr>
          <w:spacing w:val="-1"/>
        </w:rPr>
        <w:t> </w:t>
      </w:r>
      <w:r>
        <w:rPr/>
        <w:t>to, can increase</w:t>
      </w:r>
      <w:r>
        <w:rPr>
          <w:spacing w:val="-1"/>
        </w:rPr>
        <w:t> </w:t>
      </w:r>
      <w:r>
        <w:rPr/>
        <w:t>the</w:t>
      </w:r>
      <w:r>
        <w:rPr>
          <w:spacing w:val="-1"/>
        </w:rPr>
        <w:t> </w:t>
      </w:r>
      <w:r>
        <w:rPr/>
        <w:t>risk of third</w:t>
      </w:r>
      <w:r>
        <w:rPr>
          <w:spacing w:val="-1"/>
        </w:rPr>
        <w:t> </w:t>
      </w:r>
      <w:r>
        <w:rPr/>
        <w:t>party contractor</w:t>
      </w:r>
      <w:r>
        <w:rPr>
          <w:spacing w:val="-4"/>
        </w:rPr>
        <w:t> </w:t>
      </w:r>
      <w:r>
        <w:rPr/>
        <w:t>interference,</w:t>
      </w:r>
      <w:r>
        <w:rPr>
          <w:spacing w:val="-4"/>
        </w:rPr>
        <w:t> </w:t>
      </w:r>
      <w:r>
        <w:rPr/>
        <w:t>particularly</w:t>
      </w:r>
      <w:r>
        <w:rPr>
          <w:spacing w:val="-5"/>
        </w:rPr>
        <w:t> </w:t>
      </w:r>
      <w:r>
        <w:rPr/>
        <w:t>if</w:t>
      </w:r>
      <w:r>
        <w:rPr>
          <w:spacing w:val="-1"/>
        </w:rPr>
        <w:t> </w:t>
      </w:r>
      <w:r>
        <w:rPr/>
        <w:t>pipes</w:t>
      </w:r>
      <w:r>
        <w:rPr>
          <w:spacing w:val="-2"/>
        </w:rPr>
        <w:t> </w:t>
      </w:r>
      <w:r>
        <w:rPr/>
        <w:t>are</w:t>
      </w:r>
      <w:r>
        <w:rPr>
          <w:spacing w:val="-3"/>
        </w:rPr>
        <w:t> </w:t>
      </w:r>
      <w:r>
        <w:rPr/>
        <w:t>difficult</w:t>
      </w:r>
      <w:r>
        <w:rPr>
          <w:spacing w:val="-1"/>
        </w:rPr>
        <w:t> </w:t>
      </w:r>
      <w:r>
        <w:rPr/>
        <w:t>to</w:t>
      </w:r>
      <w:r>
        <w:rPr>
          <w:spacing w:val="-5"/>
        </w:rPr>
        <w:t> </w:t>
      </w:r>
      <w:r>
        <w:rPr/>
        <w:t>locate,</w:t>
      </w:r>
      <w:r>
        <w:rPr>
          <w:spacing w:val="-4"/>
        </w:rPr>
        <w:t> </w:t>
      </w:r>
      <w:r>
        <w:rPr/>
        <w:t>not</w:t>
      </w:r>
      <w:r>
        <w:rPr>
          <w:spacing w:val="-1"/>
        </w:rPr>
        <w:t> </w:t>
      </w:r>
      <w:r>
        <w:rPr/>
        <w:t>located</w:t>
      </w:r>
      <w:r>
        <w:rPr>
          <w:spacing w:val="-3"/>
        </w:rPr>
        <w:t> </w:t>
      </w:r>
      <w:r>
        <w:rPr/>
        <w:t>where</w:t>
      </w:r>
      <w:r>
        <w:rPr>
          <w:spacing w:val="-3"/>
        </w:rPr>
        <w:t> </w:t>
      </w:r>
      <w:r>
        <w:rPr/>
        <w:t>expected,</w:t>
      </w:r>
      <w:r>
        <w:rPr>
          <w:spacing w:val="-1"/>
        </w:rPr>
        <w:t> </w:t>
      </w:r>
      <w:r>
        <w:rPr/>
        <w:t>or laid in very close contact to other utility service cables or pipes.</w:t>
      </w:r>
    </w:p>
    <w:p>
      <w:pPr>
        <w:pStyle w:val="BodyText"/>
        <w:spacing w:before="2"/>
        <w:rPr>
          <w:sz w:val="31"/>
        </w:rPr>
      </w:pPr>
    </w:p>
    <w:p>
      <w:pPr>
        <w:pStyle w:val="Heading4"/>
        <w:spacing w:before="1"/>
        <w:jc w:val="both"/>
      </w:pPr>
      <w:r>
        <w:rPr>
          <w:color w:val="585858"/>
        </w:rPr>
        <w:t>The</w:t>
      </w:r>
      <w:r>
        <w:rPr>
          <w:color w:val="585858"/>
          <w:spacing w:val="-10"/>
        </w:rPr>
        <w:t> </w:t>
      </w:r>
      <w:r>
        <w:rPr>
          <w:color w:val="585858"/>
        </w:rPr>
        <w:t>impact</w:t>
      </w:r>
      <w:r>
        <w:rPr>
          <w:color w:val="585858"/>
          <w:spacing w:val="-9"/>
        </w:rPr>
        <w:t> </w:t>
      </w:r>
      <w:r>
        <w:rPr>
          <w:color w:val="585858"/>
        </w:rPr>
        <w:t>of</w:t>
      </w:r>
      <w:r>
        <w:rPr>
          <w:color w:val="585858"/>
          <w:spacing w:val="-10"/>
        </w:rPr>
        <w:t> </w:t>
      </w:r>
      <w:r>
        <w:rPr>
          <w:color w:val="585858"/>
        </w:rPr>
        <w:t>planning</w:t>
      </w:r>
      <w:r>
        <w:rPr>
          <w:color w:val="585858"/>
          <w:spacing w:val="-8"/>
        </w:rPr>
        <w:t> </w:t>
      </w:r>
      <w:r>
        <w:rPr>
          <w:color w:val="585858"/>
        </w:rPr>
        <w:t>on</w:t>
      </w:r>
      <w:r>
        <w:rPr>
          <w:color w:val="585858"/>
          <w:spacing w:val="-11"/>
        </w:rPr>
        <w:t> </w:t>
      </w:r>
      <w:r>
        <w:rPr>
          <w:color w:val="585858"/>
        </w:rPr>
        <w:t>underground</w:t>
      </w:r>
      <w:r>
        <w:rPr>
          <w:color w:val="585858"/>
          <w:spacing w:val="-10"/>
        </w:rPr>
        <w:t> </w:t>
      </w:r>
      <w:r>
        <w:rPr>
          <w:color w:val="585858"/>
        </w:rPr>
        <w:t>assets</w:t>
      </w:r>
      <w:r>
        <w:rPr>
          <w:color w:val="585858"/>
          <w:spacing w:val="-8"/>
        </w:rPr>
        <w:t> </w:t>
      </w:r>
      <w:r>
        <w:rPr>
          <w:color w:val="585858"/>
          <w:spacing w:val="-2"/>
        </w:rPr>
        <w:t>easements</w:t>
      </w:r>
    </w:p>
    <w:p>
      <w:pPr>
        <w:pStyle w:val="BodyText"/>
        <w:spacing w:line="288" w:lineRule="auto" w:before="314"/>
        <w:ind w:left="232" w:right="374"/>
      </w:pPr>
      <w:r>
        <w:rPr/>
        <w:t>As Victoria’s population continues to grow, there has been a shift in land use, with urban development increasingly occurring in areas close to existing hazardous facilities and high pressure</w:t>
      </w:r>
      <w:r>
        <w:rPr>
          <w:spacing w:val="-3"/>
        </w:rPr>
        <w:t> </w:t>
      </w:r>
      <w:r>
        <w:rPr/>
        <w:t>gas</w:t>
      </w:r>
      <w:r>
        <w:rPr>
          <w:spacing w:val="-1"/>
        </w:rPr>
        <w:t> </w:t>
      </w:r>
      <w:r>
        <w:rPr/>
        <w:t>pipelines. Gas pipelines are long-term assets that can</w:t>
      </w:r>
      <w:r>
        <w:rPr>
          <w:spacing w:val="-1"/>
        </w:rPr>
        <w:t> </w:t>
      </w:r>
      <w:r>
        <w:rPr/>
        <w:t>have a lifespan of more</w:t>
      </w:r>
      <w:r>
        <w:rPr>
          <w:spacing w:val="-1"/>
        </w:rPr>
        <w:t> </w:t>
      </w:r>
      <w:r>
        <w:rPr/>
        <w:t>than 60 years. The safety of their operation can be affected by land use changes and intensification after</w:t>
      </w:r>
      <w:r>
        <w:rPr>
          <w:spacing w:val="-4"/>
        </w:rPr>
        <w:t> </w:t>
      </w:r>
      <w:r>
        <w:rPr/>
        <w:t>their</w:t>
      </w:r>
      <w:r>
        <w:rPr>
          <w:spacing w:val="-2"/>
        </w:rPr>
        <w:t> </w:t>
      </w:r>
      <w:r>
        <w:rPr/>
        <w:t>construction.</w:t>
      </w:r>
      <w:r>
        <w:rPr>
          <w:spacing w:val="-4"/>
        </w:rPr>
        <w:t> </w:t>
      </w:r>
      <w:r>
        <w:rPr/>
        <w:t>Changing</w:t>
      </w:r>
      <w:r>
        <w:rPr>
          <w:spacing w:val="-1"/>
        </w:rPr>
        <w:t> </w:t>
      </w:r>
      <w:r>
        <w:rPr/>
        <w:t>land</w:t>
      </w:r>
      <w:r>
        <w:rPr>
          <w:spacing w:val="-3"/>
        </w:rPr>
        <w:t> </w:t>
      </w:r>
      <w:r>
        <w:rPr/>
        <w:t>use</w:t>
      </w:r>
      <w:r>
        <w:rPr>
          <w:spacing w:val="-6"/>
        </w:rPr>
        <w:t> </w:t>
      </w:r>
      <w:r>
        <w:rPr/>
        <w:t>may</w:t>
      </w:r>
      <w:r>
        <w:rPr>
          <w:spacing w:val="-5"/>
        </w:rPr>
        <w:t> </w:t>
      </w:r>
      <w:r>
        <w:rPr/>
        <w:t>also</w:t>
      </w:r>
      <w:r>
        <w:rPr>
          <w:spacing w:val="-3"/>
        </w:rPr>
        <w:t> </w:t>
      </w:r>
      <w:r>
        <w:rPr/>
        <w:t>affect</w:t>
      </w:r>
      <w:r>
        <w:rPr>
          <w:spacing w:val="-4"/>
        </w:rPr>
        <w:t> </w:t>
      </w:r>
      <w:r>
        <w:rPr/>
        <w:t>the</w:t>
      </w:r>
      <w:r>
        <w:rPr>
          <w:spacing w:val="-5"/>
        </w:rPr>
        <w:t> </w:t>
      </w:r>
      <w:r>
        <w:rPr/>
        <w:t>strategic</w:t>
      </w:r>
      <w:r>
        <w:rPr>
          <w:spacing w:val="-5"/>
        </w:rPr>
        <w:t> </w:t>
      </w:r>
      <w:r>
        <w:rPr/>
        <w:t>planning</w:t>
      </w:r>
      <w:r>
        <w:rPr>
          <w:spacing w:val="-1"/>
        </w:rPr>
        <w:t> </w:t>
      </w:r>
      <w:r>
        <w:rPr/>
        <w:t>of</w:t>
      </w:r>
      <w:r>
        <w:rPr>
          <w:spacing w:val="-1"/>
        </w:rPr>
        <w:t> </w:t>
      </w:r>
      <w:r>
        <w:rPr/>
        <w:t>pipeline</w:t>
      </w:r>
      <w:r>
        <w:rPr>
          <w:spacing w:val="-3"/>
        </w:rPr>
        <w:t> </w:t>
      </w:r>
      <w:r>
        <w:rPr/>
        <w:t>route options for the Victorian high pressure gas pipeline network.</w:t>
      </w:r>
    </w:p>
    <w:p>
      <w:pPr>
        <w:spacing w:after="0" w:line="288" w:lineRule="auto"/>
        <w:sectPr>
          <w:pgSz w:w="11910" w:h="16850"/>
          <w:pgMar w:header="220" w:footer="678" w:top="420" w:bottom="860" w:left="900" w:right="840"/>
        </w:sectPr>
      </w:pPr>
    </w:p>
    <w:p>
      <w:pPr>
        <w:pStyle w:val="BodyText"/>
        <w:rPr>
          <w:sz w:val="20"/>
        </w:rPr>
      </w:pPr>
    </w:p>
    <w:p>
      <w:pPr>
        <w:pStyle w:val="BodyText"/>
        <w:spacing w:before="2"/>
        <w:rPr>
          <w:sz w:val="19"/>
        </w:rPr>
      </w:pPr>
    </w:p>
    <w:p>
      <w:pPr>
        <w:pStyle w:val="Heading7"/>
        <w:spacing w:before="94"/>
        <w:ind w:left="232"/>
      </w:pPr>
      <w:r>
        <w:rPr/>
        <w:t>Figur</w:t>
      </w:r>
      <w:r>
        <w:rPr>
          <w:b w:val="0"/>
        </w:rPr>
        <w:t>e</w:t>
      </w:r>
      <w:r>
        <w:rPr>
          <w:b w:val="0"/>
          <w:spacing w:val="-8"/>
        </w:rPr>
        <w:t> </w:t>
      </w:r>
      <w:r>
        <w:rPr/>
        <w:t>20:</w:t>
      </w:r>
      <w:r>
        <w:rPr>
          <w:spacing w:val="-6"/>
        </w:rPr>
        <w:t> </w:t>
      </w:r>
      <w:r>
        <w:rPr/>
        <w:t>Melbourne</w:t>
      </w:r>
      <w:r>
        <w:rPr>
          <w:spacing w:val="-8"/>
        </w:rPr>
        <w:t> </w:t>
      </w:r>
      <w:r>
        <w:rPr/>
        <w:t>residential</w:t>
      </w:r>
      <w:r>
        <w:rPr>
          <w:spacing w:val="-6"/>
        </w:rPr>
        <w:t> </w:t>
      </w:r>
      <w:r>
        <w:rPr/>
        <w:t>growth</w:t>
      </w:r>
      <w:r>
        <w:rPr>
          <w:spacing w:val="-8"/>
        </w:rPr>
        <w:t> </w:t>
      </w:r>
      <w:r>
        <w:rPr/>
        <w:t>corridors</w:t>
      </w:r>
      <w:r>
        <w:rPr>
          <w:spacing w:val="-4"/>
        </w:rPr>
        <w:t> </w:t>
      </w:r>
      <w:r>
        <w:rPr/>
        <w:t>showing</w:t>
      </w:r>
      <w:r>
        <w:rPr>
          <w:spacing w:val="-9"/>
        </w:rPr>
        <w:t> </w:t>
      </w:r>
      <w:r>
        <w:rPr/>
        <w:t>major</w:t>
      </w:r>
      <w:r>
        <w:rPr>
          <w:spacing w:val="-7"/>
        </w:rPr>
        <w:t> </w:t>
      </w:r>
      <w:r>
        <w:rPr/>
        <w:t>gas</w:t>
      </w:r>
      <w:r>
        <w:rPr>
          <w:spacing w:val="-5"/>
        </w:rPr>
        <w:t> </w:t>
      </w:r>
      <w:r>
        <w:rPr>
          <w:spacing w:val="-2"/>
        </w:rPr>
        <w:t>pipelines</w:t>
      </w:r>
    </w:p>
    <w:p>
      <w:pPr>
        <w:pStyle w:val="BodyText"/>
        <w:spacing w:before="8"/>
        <w:rPr>
          <w:b/>
          <w:sz w:val="12"/>
        </w:rPr>
      </w:pPr>
      <w:r>
        <w:rPr/>
        <w:drawing>
          <wp:anchor distT="0" distB="0" distL="0" distR="0" allowOverlap="1" layoutInCell="1" locked="0" behindDoc="1" simplePos="0" relativeHeight="487649792">
            <wp:simplePos x="0" y="0"/>
            <wp:positionH relativeFrom="page">
              <wp:posOffset>720090</wp:posOffset>
            </wp:positionH>
            <wp:positionV relativeFrom="paragraph">
              <wp:posOffset>108123</wp:posOffset>
            </wp:positionV>
            <wp:extent cx="6210769" cy="3834384"/>
            <wp:effectExtent l="0" t="0" r="0" b="0"/>
            <wp:wrapTopAndBottom/>
            <wp:docPr id="184" name="Image 184"/>
            <wp:cNvGraphicFramePr>
              <a:graphicFrameLocks/>
            </wp:cNvGraphicFramePr>
            <a:graphic>
              <a:graphicData uri="http://schemas.openxmlformats.org/drawingml/2006/picture">
                <pic:pic>
                  <pic:nvPicPr>
                    <pic:cNvPr id="184" name="Image 184"/>
                    <pic:cNvPicPr/>
                  </pic:nvPicPr>
                  <pic:blipFill>
                    <a:blip r:embed="rId92" cstate="print"/>
                    <a:stretch>
                      <a:fillRect/>
                    </a:stretch>
                  </pic:blipFill>
                  <pic:spPr>
                    <a:xfrm>
                      <a:off x="0" y="0"/>
                      <a:ext cx="6210769" cy="3834384"/>
                    </a:xfrm>
                    <a:prstGeom prst="rect">
                      <a:avLst/>
                    </a:prstGeom>
                  </pic:spPr>
                </pic:pic>
              </a:graphicData>
            </a:graphic>
          </wp:anchor>
        </w:drawing>
      </w:r>
    </w:p>
    <w:p>
      <w:pPr>
        <w:pStyle w:val="BodyText"/>
        <w:spacing w:before="1"/>
        <w:rPr>
          <w:b/>
          <w:sz w:val="33"/>
        </w:rPr>
      </w:pPr>
    </w:p>
    <w:p>
      <w:pPr>
        <w:spacing w:before="0"/>
        <w:ind w:left="232" w:right="0" w:firstLine="0"/>
        <w:jc w:val="left"/>
        <w:rPr>
          <w:sz w:val="18"/>
        </w:rPr>
      </w:pPr>
      <w:r>
        <w:rPr>
          <w:sz w:val="18"/>
        </w:rPr>
        <w:t>Source:</w:t>
      </w:r>
      <w:r>
        <w:rPr>
          <w:spacing w:val="-3"/>
          <w:sz w:val="18"/>
        </w:rPr>
        <w:t> </w:t>
      </w:r>
      <w:r>
        <w:rPr>
          <w:sz w:val="18"/>
        </w:rPr>
        <w:t>AEMO</w:t>
      </w:r>
      <w:r>
        <w:rPr>
          <w:spacing w:val="-3"/>
          <w:sz w:val="18"/>
        </w:rPr>
        <w:t> </w:t>
      </w:r>
      <w:r>
        <w:rPr>
          <w:sz w:val="18"/>
        </w:rPr>
        <w:t>submission</w:t>
      </w:r>
      <w:r>
        <w:rPr>
          <w:spacing w:val="-3"/>
          <w:sz w:val="18"/>
        </w:rPr>
        <w:t> </w:t>
      </w:r>
      <w:r>
        <w:rPr>
          <w:sz w:val="18"/>
        </w:rPr>
        <w:t>to</w:t>
      </w:r>
      <w:r>
        <w:rPr>
          <w:spacing w:val="-4"/>
          <w:sz w:val="18"/>
        </w:rPr>
        <w:t> </w:t>
      </w:r>
      <w:r>
        <w:rPr>
          <w:sz w:val="18"/>
        </w:rPr>
        <w:t>the</w:t>
      </w:r>
      <w:r>
        <w:rPr>
          <w:spacing w:val="-3"/>
          <w:sz w:val="18"/>
        </w:rPr>
        <w:t> </w:t>
      </w:r>
      <w:r>
        <w:rPr>
          <w:sz w:val="18"/>
        </w:rPr>
        <w:t>Review</w:t>
      </w:r>
      <w:r>
        <w:rPr>
          <w:spacing w:val="-5"/>
          <w:sz w:val="18"/>
        </w:rPr>
        <w:t> </w:t>
      </w:r>
      <w:r>
        <w:rPr>
          <w:spacing w:val="-2"/>
          <w:sz w:val="18"/>
        </w:rPr>
        <w:t>(2017)</w:t>
      </w:r>
    </w:p>
    <w:p>
      <w:pPr>
        <w:pStyle w:val="BodyText"/>
        <w:rPr>
          <w:sz w:val="20"/>
        </w:rPr>
      </w:pPr>
    </w:p>
    <w:p>
      <w:pPr>
        <w:pStyle w:val="BodyText"/>
        <w:spacing w:line="288" w:lineRule="auto" w:before="174"/>
        <w:ind w:left="232"/>
      </w:pPr>
      <w:r>
        <w:rPr/>
        <w:t>Clause 19.03-6 of the Victoria Planning Provisions provides guidance for developing pipeline infrastructure</w:t>
      </w:r>
      <w:r>
        <w:rPr>
          <w:spacing w:val="-4"/>
        </w:rPr>
        <w:t> </w:t>
      </w:r>
      <w:r>
        <w:rPr/>
        <w:t>subject</w:t>
      </w:r>
      <w:r>
        <w:rPr>
          <w:spacing w:val="-3"/>
        </w:rPr>
        <w:t> </w:t>
      </w:r>
      <w:r>
        <w:rPr/>
        <w:t>to</w:t>
      </w:r>
      <w:r>
        <w:rPr>
          <w:spacing w:val="-4"/>
        </w:rPr>
        <w:t> </w:t>
      </w:r>
      <w:r>
        <w:rPr/>
        <w:t>the </w:t>
      </w:r>
      <w:r>
        <w:rPr>
          <w:i/>
        </w:rPr>
        <w:t>Pipelines</w:t>
      </w:r>
      <w:r>
        <w:rPr>
          <w:i/>
          <w:spacing w:val="-1"/>
        </w:rPr>
        <w:t> </w:t>
      </w:r>
      <w:r>
        <w:rPr>
          <w:i/>
        </w:rPr>
        <w:t>Act 2005</w:t>
      </w:r>
      <w:r>
        <w:rPr>
          <w:i/>
          <w:spacing w:val="-3"/>
        </w:rPr>
        <w:t> </w:t>
      </w:r>
      <w:r>
        <w:rPr/>
        <w:t>to</w:t>
      </w:r>
      <w:r>
        <w:rPr>
          <w:spacing w:val="-6"/>
        </w:rPr>
        <w:t> </w:t>
      </w:r>
      <w:r>
        <w:rPr/>
        <w:t>ensure</w:t>
      </w:r>
      <w:r>
        <w:rPr>
          <w:spacing w:val="-4"/>
        </w:rPr>
        <w:t> </w:t>
      </w:r>
      <w:r>
        <w:rPr/>
        <w:t>that</w:t>
      </w:r>
      <w:r>
        <w:rPr>
          <w:spacing w:val="-5"/>
        </w:rPr>
        <w:t> </w:t>
      </w:r>
      <w:r>
        <w:rPr/>
        <w:t>gas</w:t>
      </w:r>
      <w:r>
        <w:rPr>
          <w:spacing w:val="-4"/>
        </w:rPr>
        <w:t> </w:t>
      </w:r>
      <w:r>
        <w:rPr/>
        <w:t>is</w:t>
      </w:r>
      <w:r>
        <w:rPr>
          <w:spacing w:val="-1"/>
        </w:rPr>
        <w:t> </w:t>
      </w:r>
      <w:r>
        <w:rPr/>
        <w:t>safely</w:t>
      </w:r>
      <w:r>
        <w:rPr>
          <w:spacing w:val="-4"/>
        </w:rPr>
        <w:t> </w:t>
      </w:r>
      <w:r>
        <w:rPr/>
        <w:t>delivered</w:t>
      </w:r>
      <w:r>
        <w:rPr>
          <w:spacing w:val="-2"/>
        </w:rPr>
        <w:t> </w:t>
      </w:r>
      <w:r>
        <w:rPr/>
        <w:t>at</w:t>
      </w:r>
      <w:r>
        <w:rPr>
          <w:spacing w:val="-3"/>
        </w:rPr>
        <w:t> </w:t>
      </w:r>
      <w:r>
        <w:rPr/>
        <w:t>minimal</w:t>
      </w:r>
      <w:r>
        <w:rPr>
          <w:spacing w:val="-5"/>
        </w:rPr>
        <w:t> </w:t>
      </w:r>
      <w:r>
        <w:rPr/>
        <w:t>risk (Victorian Planning Provisions, 2010).</w:t>
      </w:r>
    </w:p>
    <w:p>
      <w:pPr>
        <w:pStyle w:val="BodyText"/>
        <w:spacing w:before="9"/>
        <w:rPr>
          <w:sz w:val="20"/>
        </w:rPr>
      </w:pPr>
    </w:p>
    <w:p>
      <w:pPr>
        <w:pStyle w:val="BodyText"/>
        <w:ind w:left="232"/>
      </w:pPr>
      <w:r>
        <w:rPr/>
        <w:t>The</w:t>
      </w:r>
      <w:r>
        <w:rPr>
          <w:spacing w:val="-9"/>
        </w:rPr>
        <w:t> </w:t>
      </w:r>
      <w:r>
        <w:rPr/>
        <w:t>Victoria</w:t>
      </w:r>
      <w:r>
        <w:rPr>
          <w:spacing w:val="-7"/>
        </w:rPr>
        <w:t> </w:t>
      </w:r>
      <w:r>
        <w:rPr/>
        <w:t>Planning</w:t>
      </w:r>
      <w:r>
        <w:rPr>
          <w:spacing w:val="-5"/>
        </w:rPr>
        <w:t> </w:t>
      </w:r>
      <w:r>
        <w:rPr/>
        <w:t>Provisions</w:t>
      </w:r>
      <w:r>
        <w:rPr>
          <w:spacing w:val="-6"/>
        </w:rPr>
        <w:t> </w:t>
      </w:r>
      <w:r>
        <w:rPr/>
        <w:t>detail</w:t>
      </w:r>
      <w:r>
        <w:rPr>
          <w:spacing w:val="-7"/>
        </w:rPr>
        <w:t> </w:t>
      </w:r>
      <w:r>
        <w:rPr/>
        <w:t>strategies</w:t>
      </w:r>
      <w:r>
        <w:rPr>
          <w:spacing w:val="-8"/>
        </w:rPr>
        <w:t> </w:t>
      </w:r>
      <w:r>
        <w:rPr>
          <w:spacing w:val="-5"/>
        </w:rPr>
        <w:t>to:</w:t>
      </w:r>
    </w:p>
    <w:p>
      <w:pPr>
        <w:pStyle w:val="BodyText"/>
        <w:spacing w:before="10"/>
        <w:rPr>
          <w:sz w:val="26"/>
        </w:rPr>
      </w:pPr>
    </w:p>
    <w:p>
      <w:pPr>
        <w:pStyle w:val="ListParagraph"/>
        <w:numPr>
          <w:ilvl w:val="0"/>
          <w:numId w:val="74"/>
        </w:numPr>
        <w:tabs>
          <w:tab w:pos="734" w:val="left" w:leader="none"/>
        </w:tabs>
        <w:spacing w:line="288" w:lineRule="auto" w:before="0" w:after="0"/>
        <w:ind w:left="734" w:right="290" w:hanging="361"/>
        <w:jc w:val="both"/>
        <w:rPr>
          <w:sz w:val="22"/>
        </w:rPr>
      </w:pPr>
      <w:r>
        <w:rPr>
          <w:sz w:val="22"/>
        </w:rPr>
        <w:t>“</w:t>
      </w:r>
      <w:r>
        <w:rPr>
          <w:i/>
          <w:sz w:val="22"/>
        </w:rPr>
        <w:t>recognise</w:t>
      </w:r>
      <w:r>
        <w:rPr>
          <w:i/>
          <w:spacing w:val="-5"/>
          <w:sz w:val="22"/>
        </w:rPr>
        <w:t> </w:t>
      </w:r>
      <w:r>
        <w:rPr>
          <w:i/>
          <w:sz w:val="22"/>
        </w:rPr>
        <w:t>existing</w:t>
      </w:r>
      <w:r>
        <w:rPr>
          <w:i/>
          <w:spacing w:val="-5"/>
          <w:sz w:val="22"/>
        </w:rPr>
        <w:t> </w:t>
      </w:r>
      <w:r>
        <w:rPr>
          <w:i/>
          <w:sz w:val="22"/>
        </w:rPr>
        <w:t>transmission-pressure</w:t>
      </w:r>
      <w:r>
        <w:rPr>
          <w:i/>
          <w:spacing w:val="-5"/>
          <w:sz w:val="22"/>
        </w:rPr>
        <w:t> </w:t>
      </w:r>
      <w:r>
        <w:rPr>
          <w:i/>
          <w:sz w:val="22"/>
        </w:rPr>
        <w:t>gas</w:t>
      </w:r>
      <w:r>
        <w:rPr>
          <w:i/>
          <w:spacing w:val="-2"/>
          <w:sz w:val="22"/>
        </w:rPr>
        <w:t> </w:t>
      </w:r>
      <w:r>
        <w:rPr>
          <w:i/>
          <w:sz w:val="22"/>
        </w:rPr>
        <w:t>pipelines</w:t>
      </w:r>
      <w:r>
        <w:rPr>
          <w:i/>
          <w:spacing w:val="-2"/>
          <w:sz w:val="22"/>
        </w:rPr>
        <w:t> </w:t>
      </w:r>
      <w:r>
        <w:rPr>
          <w:i/>
          <w:sz w:val="22"/>
        </w:rPr>
        <w:t>in</w:t>
      </w:r>
      <w:r>
        <w:rPr>
          <w:i/>
          <w:spacing w:val="-3"/>
          <w:sz w:val="22"/>
        </w:rPr>
        <w:t> </w:t>
      </w:r>
      <w:r>
        <w:rPr>
          <w:i/>
          <w:sz w:val="22"/>
        </w:rPr>
        <w:t>planning</w:t>
      </w:r>
      <w:r>
        <w:rPr>
          <w:i/>
          <w:spacing w:val="-3"/>
          <w:sz w:val="22"/>
        </w:rPr>
        <w:t> </w:t>
      </w:r>
      <w:r>
        <w:rPr>
          <w:i/>
          <w:sz w:val="22"/>
        </w:rPr>
        <w:t>schemes</w:t>
      </w:r>
      <w:r>
        <w:rPr>
          <w:i/>
          <w:spacing w:val="-3"/>
          <w:sz w:val="22"/>
        </w:rPr>
        <w:t> </w:t>
      </w:r>
      <w:r>
        <w:rPr>
          <w:i/>
          <w:sz w:val="22"/>
        </w:rPr>
        <w:t>and</w:t>
      </w:r>
      <w:r>
        <w:rPr>
          <w:i/>
          <w:spacing w:val="-3"/>
          <w:sz w:val="22"/>
        </w:rPr>
        <w:t> </w:t>
      </w:r>
      <w:r>
        <w:rPr>
          <w:i/>
          <w:sz w:val="22"/>
        </w:rPr>
        <w:t>protect</w:t>
      </w:r>
      <w:r>
        <w:rPr>
          <w:i/>
          <w:spacing w:val="-4"/>
          <w:sz w:val="22"/>
        </w:rPr>
        <w:t> </w:t>
      </w:r>
      <w:r>
        <w:rPr>
          <w:i/>
          <w:sz w:val="22"/>
        </w:rPr>
        <w:t>from further encroachment by</w:t>
      </w:r>
      <w:r>
        <w:rPr>
          <w:i/>
          <w:spacing w:val="-2"/>
          <w:sz w:val="22"/>
        </w:rPr>
        <w:t> </w:t>
      </w:r>
      <w:r>
        <w:rPr>
          <w:i/>
          <w:sz w:val="22"/>
        </w:rPr>
        <w:t>residential development or other sensitive land uses, unless suitable additional protection of pipelines is provided</w:t>
      </w:r>
      <w:r>
        <w:rPr>
          <w:sz w:val="22"/>
        </w:rPr>
        <w:t>;</w:t>
      </w:r>
    </w:p>
    <w:p>
      <w:pPr>
        <w:pStyle w:val="BodyText"/>
      </w:pPr>
    </w:p>
    <w:p>
      <w:pPr>
        <w:pStyle w:val="ListParagraph"/>
        <w:numPr>
          <w:ilvl w:val="0"/>
          <w:numId w:val="74"/>
        </w:numPr>
        <w:tabs>
          <w:tab w:pos="734" w:val="left" w:leader="none"/>
        </w:tabs>
        <w:spacing w:line="288" w:lineRule="auto" w:before="0" w:after="0"/>
        <w:ind w:left="734" w:right="546" w:hanging="361"/>
        <w:jc w:val="left"/>
        <w:rPr>
          <w:sz w:val="22"/>
        </w:rPr>
      </w:pPr>
      <w:r>
        <w:rPr>
          <w:i/>
          <w:sz w:val="22"/>
        </w:rPr>
        <w:t>plan</w:t>
      </w:r>
      <w:r>
        <w:rPr>
          <w:i/>
          <w:spacing w:val="-3"/>
          <w:sz w:val="22"/>
        </w:rPr>
        <w:t> </w:t>
      </w:r>
      <w:r>
        <w:rPr>
          <w:i/>
          <w:sz w:val="22"/>
        </w:rPr>
        <w:t>new</w:t>
      </w:r>
      <w:r>
        <w:rPr>
          <w:i/>
          <w:spacing w:val="-3"/>
          <w:sz w:val="22"/>
        </w:rPr>
        <w:t> </w:t>
      </w:r>
      <w:r>
        <w:rPr>
          <w:i/>
          <w:sz w:val="22"/>
        </w:rPr>
        <w:t>pipelines</w:t>
      </w:r>
      <w:r>
        <w:rPr>
          <w:i/>
          <w:spacing w:val="-2"/>
          <w:sz w:val="22"/>
        </w:rPr>
        <w:t> </w:t>
      </w:r>
      <w:r>
        <w:rPr>
          <w:i/>
          <w:sz w:val="22"/>
        </w:rPr>
        <w:t>along</w:t>
      </w:r>
      <w:r>
        <w:rPr>
          <w:i/>
          <w:spacing w:val="-3"/>
          <w:sz w:val="22"/>
        </w:rPr>
        <w:t> </w:t>
      </w:r>
      <w:r>
        <w:rPr>
          <w:i/>
          <w:sz w:val="22"/>
        </w:rPr>
        <w:t>routes</w:t>
      </w:r>
      <w:r>
        <w:rPr>
          <w:i/>
          <w:spacing w:val="-5"/>
          <w:sz w:val="22"/>
        </w:rPr>
        <w:t> </w:t>
      </w:r>
      <w:r>
        <w:rPr>
          <w:i/>
          <w:sz w:val="22"/>
        </w:rPr>
        <w:t>with</w:t>
      </w:r>
      <w:r>
        <w:rPr>
          <w:i/>
          <w:spacing w:val="-5"/>
          <w:sz w:val="22"/>
        </w:rPr>
        <w:t> </w:t>
      </w:r>
      <w:r>
        <w:rPr>
          <w:i/>
          <w:sz w:val="22"/>
        </w:rPr>
        <w:t>adequate</w:t>
      </w:r>
      <w:r>
        <w:rPr>
          <w:i/>
          <w:spacing w:val="-5"/>
          <w:sz w:val="22"/>
        </w:rPr>
        <w:t> </w:t>
      </w:r>
      <w:r>
        <w:rPr>
          <w:i/>
          <w:sz w:val="22"/>
        </w:rPr>
        <w:t>buffers</w:t>
      </w:r>
      <w:r>
        <w:rPr>
          <w:i/>
          <w:spacing w:val="-5"/>
          <w:sz w:val="22"/>
        </w:rPr>
        <w:t> </w:t>
      </w:r>
      <w:r>
        <w:rPr>
          <w:i/>
          <w:sz w:val="22"/>
        </w:rPr>
        <w:t>to</w:t>
      </w:r>
      <w:r>
        <w:rPr>
          <w:i/>
          <w:spacing w:val="-5"/>
          <w:sz w:val="22"/>
        </w:rPr>
        <w:t> </w:t>
      </w:r>
      <w:r>
        <w:rPr>
          <w:i/>
          <w:sz w:val="22"/>
        </w:rPr>
        <w:t>residences, zoned</w:t>
      </w:r>
      <w:r>
        <w:rPr>
          <w:i/>
          <w:spacing w:val="-3"/>
          <w:sz w:val="22"/>
        </w:rPr>
        <w:t> </w:t>
      </w:r>
      <w:r>
        <w:rPr>
          <w:i/>
          <w:sz w:val="22"/>
        </w:rPr>
        <w:t>residential</w:t>
      </w:r>
      <w:r>
        <w:rPr>
          <w:i/>
          <w:spacing w:val="-3"/>
          <w:sz w:val="22"/>
        </w:rPr>
        <w:t> </w:t>
      </w:r>
      <w:r>
        <w:rPr>
          <w:i/>
          <w:sz w:val="22"/>
        </w:rPr>
        <w:t>land and other sensitive land uses.</w:t>
      </w:r>
      <w:r>
        <w:rPr>
          <w:sz w:val="22"/>
        </w:rPr>
        <w:t>” (Victorian Planning Provisions, 2010, p. 6)</w:t>
      </w:r>
    </w:p>
    <w:p>
      <w:pPr>
        <w:pStyle w:val="BodyText"/>
        <w:spacing w:before="10"/>
        <w:rPr>
          <w:sz w:val="20"/>
        </w:rPr>
      </w:pPr>
    </w:p>
    <w:p>
      <w:pPr>
        <w:pStyle w:val="BodyText"/>
        <w:spacing w:line="288" w:lineRule="auto"/>
        <w:ind w:left="232" w:right="320"/>
      </w:pPr>
      <w:r>
        <w:rPr/>
        <w:t>However, there have been examples where existing gas infrastructure has been encroached by new housing developments. Photos provided by AEMO in its submission to the Review, show an example</w:t>
      </w:r>
      <w:r>
        <w:rPr>
          <w:spacing w:val="-3"/>
        </w:rPr>
        <w:t> </w:t>
      </w:r>
      <w:r>
        <w:rPr/>
        <w:t>where</w:t>
      </w:r>
      <w:r>
        <w:rPr>
          <w:spacing w:val="-3"/>
        </w:rPr>
        <w:t> </w:t>
      </w:r>
      <w:r>
        <w:rPr/>
        <w:t>encroachment</w:t>
      </w:r>
      <w:r>
        <w:rPr>
          <w:spacing w:val="-4"/>
        </w:rPr>
        <w:t> </w:t>
      </w:r>
      <w:r>
        <w:rPr/>
        <w:t>has</w:t>
      </w:r>
      <w:r>
        <w:rPr>
          <w:spacing w:val="-2"/>
        </w:rPr>
        <w:t> </w:t>
      </w:r>
      <w:r>
        <w:rPr/>
        <w:t>occurred</w:t>
      </w:r>
      <w:r>
        <w:rPr>
          <w:spacing w:val="-3"/>
        </w:rPr>
        <w:t> </w:t>
      </w:r>
      <w:r>
        <w:rPr/>
        <w:t>and</w:t>
      </w:r>
      <w:r>
        <w:rPr>
          <w:spacing w:val="-7"/>
        </w:rPr>
        <w:t> </w:t>
      </w:r>
      <w:r>
        <w:rPr/>
        <w:t>another</w:t>
      </w:r>
      <w:r>
        <w:rPr>
          <w:spacing w:val="-4"/>
        </w:rPr>
        <w:t> </w:t>
      </w:r>
      <w:r>
        <w:rPr/>
        <w:t>example</w:t>
      </w:r>
      <w:r>
        <w:rPr>
          <w:spacing w:val="-3"/>
        </w:rPr>
        <w:t> </w:t>
      </w:r>
      <w:r>
        <w:rPr/>
        <w:t>where</w:t>
      </w:r>
      <w:r>
        <w:rPr>
          <w:spacing w:val="-3"/>
        </w:rPr>
        <w:t> </w:t>
      </w:r>
      <w:r>
        <w:rPr/>
        <w:t>an</w:t>
      </w:r>
      <w:r>
        <w:rPr>
          <w:spacing w:val="-3"/>
        </w:rPr>
        <w:t> </w:t>
      </w:r>
      <w:r>
        <w:rPr/>
        <w:t>appropriate</w:t>
      </w:r>
      <w:r>
        <w:rPr>
          <w:spacing w:val="-2"/>
        </w:rPr>
        <w:t> </w:t>
      </w:r>
      <w:r>
        <w:rPr/>
        <w:t>easement has been maintained (see Figures 21 and 22).</w:t>
      </w:r>
    </w:p>
    <w:p>
      <w:pPr>
        <w:spacing w:after="0" w:line="288" w:lineRule="auto"/>
        <w:sectPr>
          <w:pgSz w:w="11910" w:h="16850"/>
          <w:pgMar w:header="220" w:footer="678" w:top="420" w:bottom="860" w:left="900" w:right="840"/>
        </w:sectPr>
      </w:pPr>
    </w:p>
    <w:p>
      <w:pPr>
        <w:pStyle w:val="BodyText"/>
        <w:rPr>
          <w:sz w:val="20"/>
        </w:rPr>
      </w:pPr>
    </w:p>
    <w:p>
      <w:pPr>
        <w:pStyle w:val="BodyText"/>
        <w:spacing w:before="2"/>
        <w:rPr>
          <w:sz w:val="19"/>
        </w:rPr>
      </w:pPr>
    </w:p>
    <w:p>
      <w:pPr>
        <w:pStyle w:val="Heading7"/>
        <w:spacing w:line="288" w:lineRule="auto" w:before="94"/>
        <w:ind w:left="232" w:right="320"/>
      </w:pPr>
      <w:r>
        <w:rPr/>
        <w:t>Figure 21: A new residential development along the Longford to Melbourne pipeline easement</w:t>
      </w:r>
      <w:r>
        <w:rPr>
          <w:spacing w:val="-3"/>
        </w:rPr>
        <w:t> </w:t>
      </w:r>
      <w:r>
        <w:rPr/>
        <w:t>in</w:t>
      </w:r>
      <w:r>
        <w:rPr>
          <w:spacing w:val="-3"/>
        </w:rPr>
        <w:t> </w:t>
      </w:r>
      <w:r>
        <w:rPr/>
        <w:t>Pakenham. This</w:t>
      </w:r>
      <w:r>
        <w:rPr>
          <w:spacing w:val="-4"/>
        </w:rPr>
        <w:t> </w:t>
      </w:r>
      <w:r>
        <w:rPr/>
        <w:t>major</w:t>
      </w:r>
      <w:r>
        <w:rPr>
          <w:spacing w:val="-1"/>
        </w:rPr>
        <w:t> </w:t>
      </w:r>
      <w:r>
        <w:rPr/>
        <w:t>pipeline</w:t>
      </w:r>
      <w:r>
        <w:rPr>
          <w:spacing w:val="-4"/>
        </w:rPr>
        <w:t> </w:t>
      </w:r>
      <w:r>
        <w:rPr/>
        <w:t>runs</w:t>
      </w:r>
      <w:r>
        <w:rPr>
          <w:spacing w:val="-2"/>
        </w:rPr>
        <w:t> </w:t>
      </w:r>
      <w:r>
        <w:rPr/>
        <w:t>along</w:t>
      </w:r>
      <w:r>
        <w:rPr>
          <w:spacing w:val="-5"/>
        </w:rPr>
        <w:t> </w:t>
      </w:r>
      <w:r>
        <w:rPr/>
        <w:t>a</w:t>
      </w:r>
      <w:r>
        <w:rPr>
          <w:spacing w:val="-2"/>
        </w:rPr>
        <w:t> </w:t>
      </w:r>
      <w:r>
        <w:rPr/>
        <w:t>residential street</w:t>
      </w:r>
      <w:r>
        <w:rPr>
          <w:spacing w:val="-8"/>
        </w:rPr>
        <w:t> </w:t>
      </w:r>
      <w:r>
        <w:rPr/>
        <w:t>with</w:t>
      </w:r>
      <w:r>
        <w:rPr>
          <w:spacing w:val="-2"/>
        </w:rPr>
        <w:t> </w:t>
      </w:r>
      <w:r>
        <w:rPr/>
        <w:t>houses</w:t>
      </w:r>
      <w:r>
        <w:rPr>
          <w:spacing w:val="-4"/>
        </w:rPr>
        <w:t> </w:t>
      </w:r>
      <w:r>
        <w:rPr/>
        <w:t>built up against the easement.</w:t>
      </w:r>
    </w:p>
    <w:p>
      <w:pPr>
        <w:pStyle w:val="BodyText"/>
        <w:spacing w:before="3"/>
        <w:rPr>
          <w:b/>
          <w:sz w:val="8"/>
        </w:rPr>
      </w:pPr>
      <w:r>
        <w:rPr/>
        <w:drawing>
          <wp:anchor distT="0" distB="0" distL="0" distR="0" allowOverlap="1" layoutInCell="1" locked="0" behindDoc="1" simplePos="0" relativeHeight="487650304">
            <wp:simplePos x="0" y="0"/>
            <wp:positionH relativeFrom="page">
              <wp:posOffset>720090</wp:posOffset>
            </wp:positionH>
            <wp:positionV relativeFrom="paragraph">
              <wp:posOffset>76105</wp:posOffset>
            </wp:positionV>
            <wp:extent cx="5706526" cy="2888361"/>
            <wp:effectExtent l="0" t="0" r="0" b="0"/>
            <wp:wrapTopAndBottom/>
            <wp:docPr id="185" name="Image 185"/>
            <wp:cNvGraphicFramePr>
              <a:graphicFrameLocks/>
            </wp:cNvGraphicFramePr>
            <a:graphic>
              <a:graphicData uri="http://schemas.openxmlformats.org/drawingml/2006/picture">
                <pic:pic>
                  <pic:nvPicPr>
                    <pic:cNvPr id="185" name="Image 185"/>
                    <pic:cNvPicPr/>
                  </pic:nvPicPr>
                  <pic:blipFill>
                    <a:blip r:embed="rId93" cstate="print"/>
                    <a:stretch>
                      <a:fillRect/>
                    </a:stretch>
                  </pic:blipFill>
                  <pic:spPr>
                    <a:xfrm>
                      <a:off x="0" y="0"/>
                      <a:ext cx="5706526" cy="2888361"/>
                    </a:xfrm>
                    <a:prstGeom prst="rect">
                      <a:avLst/>
                    </a:prstGeom>
                  </pic:spPr>
                </pic:pic>
              </a:graphicData>
            </a:graphic>
          </wp:anchor>
        </w:drawing>
      </w:r>
    </w:p>
    <w:p>
      <w:pPr>
        <w:pStyle w:val="BodyText"/>
        <w:spacing w:before="9"/>
        <w:rPr>
          <w:b/>
          <w:sz w:val="26"/>
        </w:rPr>
      </w:pPr>
    </w:p>
    <w:p>
      <w:pPr>
        <w:spacing w:before="0"/>
        <w:ind w:left="232" w:right="0" w:firstLine="0"/>
        <w:jc w:val="left"/>
        <w:rPr>
          <w:sz w:val="18"/>
        </w:rPr>
      </w:pPr>
      <w:r>
        <w:rPr>
          <w:sz w:val="18"/>
        </w:rPr>
        <w:t>Source:</w:t>
      </w:r>
      <w:r>
        <w:rPr>
          <w:spacing w:val="-4"/>
          <w:sz w:val="18"/>
        </w:rPr>
        <w:t> </w:t>
      </w:r>
      <w:r>
        <w:rPr>
          <w:sz w:val="18"/>
        </w:rPr>
        <w:t>AEMO</w:t>
      </w:r>
      <w:r>
        <w:rPr>
          <w:spacing w:val="-4"/>
          <w:sz w:val="18"/>
        </w:rPr>
        <w:t> </w:t>
      </w:r>
      <w:r>
        <w:rPr>
          <w:sz w:val="18"/>
        </w:rPr>
        <w:t>submission</w:t>
      </w:r>
      <w:r>
        <w:rPr>
          <w:spacing w:val="-4"/>
          <w:sz w:val="18"/>
        </w:rPr>
        <w:t> </w:t>
      </w:r>
      <w:r>
        <w:rPr>
          <w:sz w:val="18"/>
        </w:rPr>
        <w:t>(2017);</w:t>
      </w:r>
      <w:r>
        <w:rPr>
          <w:spacing w:val="-3"/>
          <w:sz w:val="18"/>
        </w:rPr>
        <w:t> </w:t>
      </w:r>
      <w:r>
        <w:rPr>
          <w:spacing w:val="-2"/>
          <w:sz w:val="18"/>
        </w:rPr>
        <w:t>Google</w:t>
      </w:r>
    </w:p>
    <w:p>
      <w:pPr>
        <w:pStyle w:val="BodyText"/>
        <w:rPr>
          <w:sz w:val="20"/>
        </w:rPr>
      </w:pPr>
    </w:p>
    <w:p>
      <w:pPr>
        <w:pStyle w:val="Heading7"/>
        <w:spacing w:line="288" w:lineRule="auto" w:before="174"/>
        <w:ind w:left="232" w:right="951"/>
      </w:pPr>
      <w:r>
        <w:rPr/>
        <w:t>Figure</w:t>
      </w:r>
      <w:r>
        <w:rPr>
          <w:spacing w:val="-1"/>
        </w:rPr>
        <w:t> </w:t>
      </w:r>
      <w:r>
        <w:rPr/>
        <w:t>22:</w:t>
      </w:r>
      <w:r>
        <w:rPr>
          <w:spacing w:val="-1"/>
        </w:rPr>
        <w:t> </w:t>
      </w:r>
      <w:r>
        <w:rPr/>
        <w:t>Easement</w:t>
      </w:r>
      <w:r>
        <w:rPr>
          <w:spacing w:val="-3"/>
        </w:rPr>
        <w:t> </w:t>
      </w:r>
      <w:r>
        <w:rPr/>
        <w:t>development</w:t>
      </w:r>
      <w:r>
        <w:rPr>
          <w:spacing w:val="-1"/>
        </w:rPr>
        <w:t> </w:t>
      </w:r>
      <w:r>
        <w:rPr/>
        <w:t>along</w:t>
      </w:r>
      <w:r>
        <w:rPr>
          <w:spacing w:val="-4"/>
        </w:rPr>
        <w:t> </w:t>
      </w:r>
      <w:r>
        <w:rPr/>
        <w:t>the</w:t>
      </w:r>
      <w:r>
        <w:rPr>
          <w:spacing w:val="-4"/>
        </w:rPr>
        <w:t> </w:t>
      </w:r>
      <w:r>
        <w:rPr/>
        <w:t>Outer</w:t>
      </w:r>
      <w:r>
        <w:rPr>
          <w:spacing w:val="-1"/>
        </w:rPr>
        <w:t> </w:t>
      </w:r>
      <w:r>
        <w:rPr/>
        <w:t>Ring</w:t>
      </w:r>
      <w:r>
        <w:rPr>
          <w:spacing w:val="-7"/>
        </w:rPr>
        <w:t> </w:t>
      </w:r>
      <w:r>
        <w:rPr/>
        <w:t>Main</w:t>
      </w:r>
      <w:r>
        <w:rPr>
          <w:spacing w:val="-4"/>
        </w:rPr>
        <w:t> </w:t>
      </w:r>
      <w:r>
        <w:rPr/>
        <w:t>(Pakenham</w:t>
      </w:r>
      <w:r>
        <w:rPr>
          <w:spacing w:val="-4"/>
        </w:rPr>
        <w:t> </w:t>
      </w:r>
      <w:r>
        <w:rPr/>
        <w:t>to</w:t>
      </w:r>
      <w:r>
        <w:rPr>
          <w:spacing w:val="-4"/>
        </w:rPr>
        <w:t> </w:t>
      </w:r>
      <w:r>
        <w:rPr/>
        <w:t>Wollert pipeline) in Doreen.</w:t>
      </w:r>
    </w:p>
    <w:p>
      <w:pPr>
        <w:pStyle w:val="BodyText"/>
        <w:ind w:left="234"/>
        <w:rPr>
          <w:sz w:val="20"/>
        </w:rPr>
      </w:pPr>
      <w:r>
        <w:rPr>
          <w:sz w:val="20"/>
        </w:rPr>
        <w:drawing>
          <wp:inline distT="0" distB="0" distL="0" distR="0">
            <wp:extent cx="5689367" cy="3332987"/>
            <wp:effectExtent l="0" t="0" r="0" b="0"/>
            <wp:docPr id="186" name="Image 186"/>
            <wp:cNvGraphicFramePr>
              <a:graphicFrameLocks/>
            </wp:cNvGraphicFramePr>
            <a:graphic>
              <a:graphicData uri="http://schemas.openxmlformats.org/drawingml/2006/picture">
                <pic:pic>
                  <pic:nvPicPr>
                    <pic:cNvPr id="186" name="Image 186"/>
                    <pic:cNvPicPr/>
                  </pic:nvPicPr>
                  <pic:blipFill>
                    <a:blip r:embed="rId94" cstate="print"/>
                    <a:stretch>
                      <a:fillRect/>
                    </a:stretch>
                  </pic:blipFill>
                  <pic:spPr>
                    <a:xfrm>
                      <a:off x="0" y="0"/>
                      <a:ext cx="5689367" cy="3332987"/>
                    </a:xfrm>
                    <a:prstGeom prst="rect">
                      <a:avLst/>
                    </a:prstGeom>
                  </pic:spPr>
                </pic:pic>
              </a:graphicData>
            </a:graphic>
          </wp:inline>
        </w:drawing>
      </w:r>
      <w:r>
        <w:rPr>
          <w:sz w:val="20"/>
        </w:rPr>
      </w:r>
    </w:p>
    <w:p>
      <w:pPr>
        <w:spacing w:before="209"/>
        <w:ind w:left="232" w:right="0" w:firstLine="0"/>
        <w:jc w:val="left"/>
        <w:rPr>
          <w:sz w:val="18"/>
        </w:rPr>
      </w:pPr>
      <w:r>
        <w:rPr>
          <w:sz w:val="18"/>
        </w:rPr>
        <w:t>Source:</w:t>
      </w:r>
      <w:r>
        <w:rPr>
          <w:spacing w:val="-3"/>
          <w:sz w:val="18"/>
        </w:rPr>
        <w:t> </w:t>
      </w:r>
      <w:r>
        <w:rPr>
          <w:sz w:val="18"/>
        </w:rPr>
        <w:t>AEMO</w:t>
      </w:r>
      <w:r>
        <w:rPr>
          <w:spacing w:val="-4"/>
          <w:sz w:val="18"/>
        </w:rPr>
        <w:t> </w:t>
      </w:r>
      <w:r>
        <w:rPr>
          <w:sz w:val="18"/>
        </w:rPr>
        <w:t>submission</w:t>
      </w:r>
      <w:r>
        <w:rPr>
          <w:spacing w:val="-4"/>
          <w:sz w:val="18"/>
        </w:rPr>
        <w:t> </w:t>
      </w:r>
      <w:r>
        <w:rPr>
          <w:sz w:val="18"/>
        </w:rPr>
        <w:t>(2017);</w:t>
      </w:r>
      <w:r>
        <w:rPr>
          <w:spacing w:val="-3"/>
          <w:sz w:val="18"/>
        </w:rPr>
        <w:t> </w:t>
      </w:r>
      <w:r>
        <w:rPr>
          <w:spacing w:val="-2"/>
          <w:sz w:val="18"/>
        </w:rPr>
        <w:t>Google</w:t>
      </w:r>
    </w:p>
    <w:p>
      <w:pPr>
        <w:spacing w:after="0"/>
        <w:jc w:val="left"/>
        <w:rPr>
          <w:sz w:val="18"/>
        </w:rPr>
        <w:sectPr>
          <w:pgSz w:w="11910" w:h="16850"/>
          <w:pgMar w:header="220" w:footer="678" w:top="420" w:bottom="860" w:left="900" w:right="840"/>
        </w:sectPr>
      </w:pPr>
    </w:p>
    <w:p>
      <w:pPr>
        <w:pStyle w:val="BodyText"/>
        <w:rPr>
          <w:sz w:val="20"/>
        </w:rPr>
      </w:pPr>
    </w:p>
    <w:p>
      <w:pPr>
        <w:pStyle w:val="BodyText"/>
        <w:spacing w:before="7"/>
        <w:rPr>
          <w:sz w:val="19"/>
        </w:rPr>
      </w:pPr>
    </w:p>
    <w:p>
      <w:pPr>
        <w:pStyle w:val="Heading4"/>
        <w:spacing w:line="288" w:lineRule="auto"/>
      </w:pPr>
      <w:r>
        <w:rPr>
          <w:color w:val="585858"/>
        </w:rPr>
        <w:t>Review of</w:t>
      </w:r>
      <w:r>
        <w:rPr>
          <w:color w:val="585858"/>
          <w:spacing w:val="-7"/>
        </w:rPr>
        <w:t> </w:t>
      </w:r>
      <w:r>
        <w:rPr>
          <w:color w:val="585858"/>
        </w:rPr>
        <w:t>land</w:t>
      </w:r>
      <w:r>
        <w:rPr>
          <w:color w:val="585858"/>
          <w:spacing w:val="-4"/>
        </w:rPr>
        <w:t> </w:t>
      </w:r>
      <w:r>
        <w:rPr>
          <w:color w:val="585858"/>
        </w:rPr>
        <w:t>use</w:t>
      </w:r>
      <w:r>
        <w:rPr>
          <w:color w:val="585858"/>
          <w:spacing w:val="-6"/>
        </w:rPr>
        <w:t> </w:t>
      </w:r>
      <w:r>
        <w:rPr>
          <w:color w:val="585858"/>
        </w:rPr>
        <w:t>around</w:t>
      </w:r>
      <w:r>
        <w:rPr>
          <w:color w:val="585858"/>
          <w:spacing w:val="-6"/>
        </w:rPr>
        <w:t> </w:t>
      </w:r>
      <w:r>
        <w:rPr>
          <w:color w:val="585858"/>
        </w:rPr>
        <w:t>Major</w:t>
      </w:r>
      <w:r>
        <w:rPr>
          <w:color w:val="585858"/>
          <w:spacing w:val="-6"/>
        </w:rPr>
        <w:t> </w:t>
      </w:r>
      <w:r>
        <w:rPr>
          <w:color w:val="585858"/>
        </w:rPr>
        <w:t>Hazard</w:t>
      </w:r>
      <w:r>
        <w:rPr>
          <w:color w:val="585858"/>
          <w:spacing w:val="-3"/>
        </w:rPr>
        <w:t> </w:t>
      </w:r>
      <w:r>
        <w:rPr>
          <w:color w:val="585858"/>
        </w:rPr>
        <w:t>Facilities</w:t>
      </w:r>
      <w:r>
        <w:rPr>
          <w:color w:val="585858"/>
          <w:spacing w:val="-6"/>
        </w:rPr>
        <w:t> </w:t>
      </w:r>
      <w:r>
        <w:rPr>
          <w:color w:val="585858"/>
        </w:rPr>
        <w:t>and</w:t>
      </w:r>
      <w:r>
        <w:rPr>
          <w:color w:val="585858"/>
          <w:spacing w:val="-2"/>
        </w:rPr>
        <w:t> </w:t>
      </w:r>
      <w:r>
        <w:rPr>
          <w:color w:val="585858"/>
        </w:rPr>
        <w:t>high pressure pipelines</w:t>
      </w:r>
    </w:p>
    <w:p>
      <w:pPr>
        <w:pStyle w:val="BodyText"/>
        <w:spacing w:line="288" w:lineRule="auto" w:before="241"/>
        <w:ind w:left="232" w:right="354"/>
      </w:pPr>
      <w:r>
        <w:rPr/>
        <w:t>In 2015, the Minister for Planning appointed an Advisory Committee under Section 151 of the </w:t>
      </w:r>
      <w:r>
        <w:rPr>
          <w:i/>
        </w:rPr>
        <w:t>Planning</w:t>
      </w:r>
      <w:r>
        <w:rPr>
          <w:i/>
          <w:spacing w:val="-2"/>
        </w:rPr>
        <w:t> </w:t>
      </w:r>
      <w:r>
        <w:rPr>
          <w:i/>
        </w:rPr>
        <w:t>and</w:t>
      </w:r>
      <w:r>
        <w:rPr>
          <w:i/>
          <w:spacing w:val="-2"/>
        </w:rPr>
        <w:t> </w:t>
      </w:r>
      <w:r>
        <w:rPr>
          <w:i/>
        </w:rPr>
        <w:t>Environment</w:t>
      </w:r>
      <w:r>
        <w:rPr>
          <w:i/>
          <w:spacing w:val="-1"/>
        </w:rPr>
        <w:t> </w:t>
      </w:r>
      <w:r>
        <w:rPr>
          <w:i/>
        </w:rPr>
        <w:t>Act 1987</w:t>
      </w:r>
      <w:r>
        <w:rPr>
          <w:i/>
          <w:spacing w:val="-3"/>
        </w:rPr>
        <w:t> </w:t>
      </w:r>
      <w:r>
        <w:rPr/>
        <w:t>to</w:t>
      </w:r>
      <w:r>
        <w:rPr>
          <w:spacing w:val="-4"/>
        </w:rPr>
        <w:t> </w:t>
      </w:r>
      <w:r>
        <w:rPr/>
        <w:t>report</w:t>
      </w:r>
      <w:r>
        <w:rPr>
          <w:spacing w:val="-3"/>
        </w:rPr>
        <w:t> </w:t>
      </w:r>
      <w:r>
        <w:rPr/>
        <w:t>on</w:t>
      </w:r>
      <w:r>
        <w:rPr>
          <w:spacing w:val="-2"/>
        </w:rPr>
        <w:t> </w:t>
      </w:r>
      <w:r>
        <w:rPr/>
        <w:t>improvements</w:t>
      </w:r>
      <w:r>
        <w:rPr>
          <w:spacing w:val="-4"/>
        </w:rPr>
        <w:t> </w:t>
      </w:r>
      <w:r>
        <w:rPr/>
        <w:t>to</w:t>
      </w:r>
      <w:r>
        <w:rPr>
          <w:spacing w:val="-4"/>
        </w:rPr>
        <w:t> </w:t>
      </w:r>
      <w:r>
        <w:rPr/>
        <w:t>the</w:t>
      </w:r>
      <w:r>
        <w:rPr>
          <w:spacing w:val="-2"/>
        </w:rPr>
        <w:t> </w:t>
      </w:r>
      <w:r>
        <w:rPr/>
        <w:t>way</w:t>
      </w:r>
      <w:r>
        <w:rPr>
          <w:spacing w:val="-2"/>
        </w:rPr>
        <w:t> </w:t>
      </w:r>
      <w:r>
        <w:rPr/>
        <w:t>land</w:t>
      </w:r>
      <w:r>
        <w:rPr>
          <w:spacing w:val="-2"/>
        </w:rPr>
        <w:t> </w:t>
      </w:r>
      <w:r>
        <w:rPr/>
        <w:t>use</w:t>
      </w:r>
      <w:r>
        <w:rPr>
          <w:spacing w:val="-2"/>
        </w:rPr>
        <w:t> </w:t>
      </w:r>
      <w:r>
        <w:rPr/>
        <w:t>buffers</w:t>
      </w:r>
      <w:r>
        <w:rPr>
          <w:spacing w:val="-3"/>
        </w:rPr>
        <w:t> </w:t>
      </w:r>
      <w:r>
        <w:rPr/>
        <w:t>around Major Hazard Facilities are determined and implemented</w:t>
      </w:r>
      <w:r>
        <w:rPr>
          <w:color w:val="252B2F"/>
        </w:rPr>
        <w:t>. The Advisory Committee found that planning issues relating to </w:t>
      </w:r>
      <w:r>
        <w:rPr/>
        <w:t>residential and other sensitive-use encroachment on Major Hazard Facilities, also applied to high pressure pipelines. The Advisory Committee, therefore extended its consideration to include the risks surrounding high pressure pipelines and how planning tools can better protect pipeline assets and communities (Major Hazard Facilities Advisory Committee, </w:t>
      </w:r>
      <w:r>
        <w:rPr>
          <w:spacing w:val="-2"/>
        </w:rPr>
        <w:t>2016).</w:t>
      </w:r>
    </w:p>
    <w:p>
      <w:pPr>
        <w:pStyle w:val="BodyText"/>
        <w:spacing w:before="10"/>
        <w:rPr>
          <w:sz w:val="20"/>
        </w:rPr>
      </w:pPr>
    </w:p>
    <w:p>
      <w:pPr>
        <w:pStyle w:val="BodyText"/>
        <w:spacing w:line="288" w:lineRule="auto"/>
        <w:ind w:left="232" w:right="374"/>
      </w:pPr>
      <w:r>
        <w:rPr/>
        <w:t>Submissions</w:t>
      </w:r>
      <w:r>
        <w:rPr>
          <w:spacing w:val="-2"/>
        </w:rPr>
        <w:t> </w:t>
      </w:r>
      <w:r>
        <w:rPr/>
        <w:t>to</w:t>
      </w:r>
      <w:r>
        <w:rPr>
          <w:spacing w:val="-4"/>
        </w:rPr>
        <w:t> </w:t>
      </w:r>
      <w:r>
        <w:rPr/>
        <w:t>the</w:t>
      </w:r>
      <w:r>
        <w:rPr>
          <w:spacing w:val="-4"/>
        </w:rPr>
        <w:t> </w:t>
      </w:r>
      <w:r>
        <w:rPr/>
        <w:t>Advisory</w:t>
      </w:r>
      <w:r>
        <w:rPr>
          <w:spacing w:val="-3"/>
        </w:rPr>
        <w:t> </w:t>
      </w:r>
      <w:r>
        <w:rPr/>
        <w:t>Committee</w:t>
      </w:r>
      <w:r>
        <w:rPr>
          <w:spacing w:val="-4"/>
        </w:rPr>
        <w:t> </w:t>
      </w:r>
      <w:r>
        <w:rPr/>
        <w:t>noted</w:t>
      </w:r>
      <w:r>
        <w:rPr>
          <w:spacing w:val="-4"/>
        </w:rPr>
        <w:t> </w:t>
      </w:r>
      <w:r>
        <w:rPr/>
        <w:t>that</w:t>
      </w:r>
      <w:r>
        <w:rPr>
          <w:spacing w:val="-2"/>
        </w:rPr>
        <w:t> </w:t>
      </w:r>
      <w:r>
        <w:rPr/>
        <w:t>existing</w:t>
      </w:r>
      <w:r>
        <w:rPr>
          <w:spacing w:val="-3"/>
        </w:rPr>
        <w:t> </w:t>
      </w:r>
      <w:r>
        <w:rPr/>
        <w:t>policy</w:t>
      </w:r>
      <w:r>
        <w:rPr>
          <w:spacing w:val="-4"/>
        </w:rPr>
        <w:t> </w:t>
      </w:r>
      <w:r>
        <w:rPr/>
        <w:t>measures</w:t>
      </w:r>
      <w:r>
        <w:rPr>
          <w:spacing w:val="-3"/>
        </w:rPr>
        <w:t> </w:t>
      </w:r>
      <w:r>
        <w:rPr/>
        <w:t>relating</w:t>
      </w:r>
      <w:r>
        <w:rPr>
          <w:spacing w:val="-3"/>
        </w:rPr>
        <w:t> </w:t>
      </w:r>
      <w:r>
        <w:rPr/>
        <w:t>to</w:t>
      </w:r>
      <w:r>
        <w:rPr>
          <w:spacing w:val="-4"/>
        </w:rPr>
        <w:t> </w:t>
      </w:r>
      <w:r>
        <w:rPr/>
        <w:t>residential and other sensitive-use encroachment on Major Hazard Facilities and high pressure pipelines, were inadequate or inconsistently applied. Three of the recommendations made by the Advisory Committee, proposed improvements to land use planning for areas surrounding high pressure pipelines. A response to the recommendations is currently being considered by the Victorian </w:t>
      </w:r>
      <w:r>
        <w:rPr>
          <w:spacing w:val="-2"/>
        </w:rPr>
        <w:t>Government.</w:t>
      </w:r>
    </w:p>
    <w:p>
      <w:pPr>
        <w:spacing w:after="0" w:line="288" w:lineRule="auto"/>
        <w:sectPr>
          <w:pgSz w:w="11910" w:h="16850"/>
          <w:pgMar w:header="220" w:footer="678" w:top="420" w:bottom="860" w:left="900" w:right="840"/>
        </w:sectPr>
      </w:pPr>
    </w:p>
    <w:p>
      <w:pPr>
        <w:pStyle w:val="BodyText"/>
        <w:rPr>
          <w:sz w:val="20"/>
        </w:rPr>
      </w:pPr>
      <w:r>
        <w:rPr/>
        <mc:AlternateContent>
          <mc:Choice Requires="wps">
            <w:drawing>
              <wp:anchor distT="0" distB="0" distL="0" distR="0" allowOverlap="1" layoutInCell="1" locked="0" behindDoc="1" simplePos="0" relativeHeight="482741760">
                <wp:simplePos x="0" y="0"/>
                <wp:positionH relativeFrom="page">
                  <wp:posOffset>719327</wp:posOffset>
                </wp:positionH>
                <wp:positionV relativeFrom="page">
                  <wp:posOffset>612596</wp:posOffset>
                </wp:positionV>
                <wp:extent cx="5870575" cy="8849995"/>
                <wp:effectExtent l="0" t="0" r="0" b="0"/>
                <wp:wrapNone/>
                <wp:docPr id="187" name="Graphic 187"/>
                <wp:cNvGraphicFramePr>
                  <a:graphicFrameLocks/>
                </wp:cNvGraphicFramePr>
                <a:graphic>
                  <a:graphicData uri="http://schemas.microsoft.com/office/word/2010/wordprocessingShape">
                    <wps:wsp>
                      <wps:cNvPr id="187" name="Graphic 187"/>
                      <wps:cNvSpPr/>
                      <wps:spPr>
                        <a:xfrm>
                          <a:off x="0" y="0"/>
                          <a:ext cx="5870575" cy="8849995"/>
                        </a:xfrm>
                        <a:custGeom>
                          <a:avLst/>
                          <a:gdLst/>
                          <a:ahLst/>
                          <a:cxnLst/>
                          <a:rect l="l" t="t" r="r" b="b"/>
                          <a:pathLst>
                            <a:path w="5870575" h="8849995">
                              <a:moveTo>
                                <a:pt x="5870194" y="0"/>
                              </a:moveTo>
                              <a:lnTo>
                                <a:pt x="0" y="0"/>
                              </a:lnTo>
                              <a:lnTo>
                                <a:pt x="0" y="8849614"/>
                              </a:lnTo>
                              <a:lnTo>
                                <a:pt x="5870194" y="8849614"/>
                              </a:lnTo>
                              <a:lnTo>
                                <a:pt x="5870194" y="0"/>
                              </a:lnTo>
                              <a:close/>
                            </a:path>
                          </a:pathLst>
                        </a:custGeom>
                        <a:solidFill>
                          <a:srgbClr val="CDEBEB"/>
                        </a:solidFill>
                      </wps:spPr>
                      <wps:bodyPr wrap="square" lIns="0" tIns="0" rIns="0" bIns="0" rtlCol="0">
                        <a:prstTxWarp prst="textNoShape">
                          <a:avLst/>
                        </a:prstTxWarp>
                        <a:noAutofit/>
                      </wps:bodyPr>
                    </wps:wsp>
                  </a:graphicData>
                </a:graphic>
              </wp:anchor>
            </w:drawing>
          </mc:Choice>
          <mc:Fallback>
            <w:pict>
              <v:rect style="position:absolute;margin-left:56.639999pt;margin-top:48.235977pt;width:462.22pt;height:696.82pt;mso-position-horizontal-relative:page;mso-position-vertical-relative:page;z-index:-20574720" id="docshape160" filled="true" fillcolor="#cdebeb" stroked="false">
                <v:fill type="solid"/>
                <w10:wrap type="none"/>
              </v:rect>
            </w:pict>
          </mc:Fallback>
        </mc:AlternateContent>
      </w:r>
    </w:p>
    <w:p>
      <w:pPr>
        <w:pStyle w:val="BodyText"/>
        <w:rPr>
          <w:sz w:val="20"/>
        </w:rPr>
      </w:pPr>
    </w:p>
    <w:p>
      <w:pPr>
        <w:pStyle w:val="BodyText"/>
        <w:spacing w:before="1"/>
        <w:rPr>
          <w:sz w:val="20"/>
        </w:rPr>
      </w:pPr>
    </w:p>
    <w:p>
      <w:pPr>
        <w:spacing w:line="288" w:lineRule="auto" w:before="94"/>
        <w:ind w:left="295" w:right="868" w:firstLine="0"/>
        <w:jc w:val="left"/>
        <w:rPr>
          <w:b/>
          <w:sz w:val="22"/>
        </w:rPr>
      </w:pPr>
      <w:r>
        <w:rPr>
          <w:b/>
          <w:sz w:val="22"/>
        </w:rPr>
        <w:t>Box</w:t>
      </w:r>
      <w:r>
        <w:rPr>
          <w:b/>
          <w:spacing w:val="-3"/>
          <w:sz w:val="22"/>
        </w:rPr>
        <w:t> </w:t>
      </w:r>
      <w:r>
        <w:rPr>
          <w:b/>
          <w:sz w:val="22"/>
        </w:rPr>
        <w:t>20:</w:t>
      </w:r>
      <w:r>
        <w:rPr>
          <w:b/>
          <w:spacing w:val="-4"/>
          <w:sz w:val="22"/>
        </w:rPr>
        <w:t> </w:t>
      </w:r>
      <w:r>
        <w:rPr>
          <w:b/>
          <w:sz w:val="22"/>
        </w:rPr>
        <w:t>Recommendations</w:t>
      </w:r>
      <w:r>
        <w:rPr>
          <w:b/>
          <w:spacing w:val="-3"/>
          <w:sz w:val="22"/>
        </w:rPr>
        <w:t> </w:t>
      </w:r>
      <w:r>
        <w:rPr>
          <w:b/>
          <w:sz w:val="22"/>
        </w:rPr>
        <w:t>15–17</w:t>
      </w:r>
      <w:r>
        <w:rPr>
          <w:b/>
          <w:spacing w:val="-5"/>
          <w:sz w:val="22"/>
        </w:rPr>
        <w:t> </w:t>
      </w:r>
      <w:r>
        <w:rPr>
          <w:b/>
          <w:sz w:val="22"/>
        </w:rPr>
        <w:t>of</w:t>
      </w:r>
      <w:r>
        <w:rPr>
          <w:b/>
          <w:spacing w:val="-4"/>
          <w:sz w:val="22"/>
        </w:rPr>
        <w:t> </w:t>
      </w:r>
      <w:r>
        <w:rPr>
          <w:b/>
          <w:sz w:val="22"/>
        </w:rPr>
        <w:t>the</w:t>
      </w:r>
      <w:r>
        <w:rPr>
          <w:b/>
          <w:spacing w:val="-6"/>
          <w:sz w:val="22"/>
        </w:rPr>
        <w:t> </w:t>
      </w:r>
      <w:r>
        <w:rPr>
          <w:b/>
          <w:sz w:val="22"/>
        </w:rPr>
        <w:t>Major</w:t>
      </w:r>
      <w:r>
        <w:rPr>
          <w:b/>
          <w:spacing w:val="-5"/>
          <w:sz w:val="22"/>
        </w:rPr>
        <w:t> </w:t>
      </w:r>
      <w:r>
        <w:rPr>
          <w:b/>
          <w:sz w:val="22"/>
        </w:rPr>
        <w:t>Hazard</w:t>
      </w:r>
      <w:r>
        <w:rPr>
          <w:b/>
          <w:spacing w:val="-2"/>
          <w:sz w:val="22"/>
        </w:rPr>
        <w:t> </w:t>
      </w:r>
      <w:r>
        <w:rPr>
          <w:b/>
          <w:sz w:val="22"/>
        </w:rPr>
        <w:t>Facilities</w:t>
      </w:r>
      <w:r>
        <w:rPr>
          <w:b/>
          <w:spacing w:val="-3"/>
          <w:sz w:val="22"/>
        </w:rPr>
        <w:t> </w:t>
      </w:r>
      <w:r>
        <w:rPr>
          <w:b/>
          <w:sz w:val="22"/>
        </w:rPr>
        <w:t>Advisory</w:t>
      </w:r>
      <w:r>
        <w:rPr>
          <w:b/>
          <w:spacing w:val="-7"/>
          <w:sz w:val="22"/>
        </w:rPr>
        <w:t> </w:t>
      </w:r>
      <w:r>
        <w:rPr>
          <w:b/>
          <w:sz w:val="22"/>
        </w:rPr>
        <w:t>Committee’s Final Report</w:t>
      </w:r>
    </w:p>
    <w:p>
      <w:pPr>
        <w:pStyle w:val="BodyText"/>
        <w:rPr>
          <w:b/>
          <w:sz w:val="24"/>
        </w:rPr>
      </w:pPr>
    </w:p>
    <w:p>
      <w:pPr>
        <w:pStyle w:val="Heading6"/>
        <w:spacing w:before="145"/>
        <w:ind w:left="300"/>
      </w:pPr>
      <w:r>
        <w:rPr>
          <w:spacing w:val="-2"/>
        </w:rPr>
        <w:t>Recommendation</w:t>
      </w:r>
      <w:r>
        <w:rPr/>
        <w:t> </w:t>
      </w:r>
      <w:r>
        <w:rPr>
          <w:spacing w:val="-5"/>
        </w:rPr>
        <w:t>15</w:t>
      </w:r>
    </w:p>
    <w:p>
      <w:pPr>
        <w:spacing w:line="288" w:lineRule="auto" w:before="174"/>
        <w:ind w:left="345" w:right="951" w:firstLine="0"/>
        <w:jc w:val="left"/>
        <w:rPr>
          <w:sz w:val="22"/>
        </w:rPr>
      </w:pPr>
      <w:r>
        <w:rPr>
          <w:sz w:val="22"/>
        </w:rPr>
        <w:t>The</w:t>
      </w:r>
      <w:r>
        <w:rPr>
          <w:spacing w:val="-5"/>
          <w:sz w:val="22"/>
        </w:rPr>
        <w:t> </w:t>
      </w:r>
      <w:r>
        <w:rPr>
          <w:i/>
          <w:sz w:val="22"/>
        </w:rPr>
        <w:t>Land</w:t>
      </w:r>
      <w:r>
        <w:rPr>
          <w:i/>
          <w:spacing w:val="-3"/>
          <w:sz w:val="22"/>
        </w:rPr>
        <w:t> </w:t>
      </w:r>
      <w:r>
        <w:rPr>
          <w:i/>
          <w:sz w:val="22"/>
        </w:rPr>
        <w:t>Development</w:t>
      </w:r>
      <w:r>
        <w:rPr>
          <w:i/>
          <w:spacing w:val="-6"/>
          <w:sz w:val="22"/>
        </w:rPr>
        <w:t> </w:t>
      </w:r>
      <w:r>
        <w:rPr>
          <w:i/>
          <w:sz w:val="22"/>
        </w:rPr>
        <w:t>Around</w:t>
      </w:r>
      <w:r>
        <w:rPr>
          <w:i/>
          <w:spacing w:val="-3"/>
          <w:sz w:val="22"/>
        </w:rPr>
        <w:t> </w:t>
      </w:r>
      <w:r>
        <w:rPr>
          <w:i/>
          <w:sz w:val="22"/>
        </w:rPr>
        <w:t>Pipelines</w:t>
      </w:r>
      <w:r>
        <w:rPr>
          <w:i/>
          <w:spacing w:val="-5"/>
          <w:sz w:val="22"/>
        </w:rPr>
        <w:t> </w:t>
      </w:r>
      <w:r>
        <w:rPr>
          <w:i/>
          <w:sz w:val="22"/>
        </w:rPr>
        <w:t>Working</w:t>
      </w:r>
      <w:r>
        <w:rPr>
          <w:i/>
          <w:spacing w:val="-3"/>
          <w:sz w:val="22"/>
        </w:rPr>
        <w:t> </w:t>
      </w:r>
      <w:r>
        <w:rPr>
          <w:i/>
          <w:sz w:val="22"/>
        </w:rPr>
        <w:t>Group</w:t>
      </w:r>
      <w:r>
        <w:rPr>
          <w:i/>
          <w:spacing w:val="-1"/>
          <w:sz w:val="22"/>
        </w:rPr>
        <w:t> </w:t>
      </w:r>
      <w:r>
        <w:rPr>
          <w:sz w:val="22"/>
        </w:rPr>
        <w:t>nominate</w:t>
      </w:r>
      <w:r>
        <w:rPr>
          <w:spacing w:val="-5"/>
          <w:sz w:val="22"/>
        </w:rPr>
        <w:t> </w:t>
      </w:r>
      <w:r>
        <w:rPr>
          <w:sz w:val="22"/>
        </w:rPr>
        <w:t>essential</w:t>
      </w:r>
      <w:r>
        <w:rPr>
          <w:spacing w:val="-3"/>
          <w:sz w:val="22"/>
        </w:rPr>
        <w:t> </w:t>
      </w:r>
      <w:r>
        <w:rPr>
          <w:sz w:val="22"/>
        </w:rPr>
        <w:t>high</w:t>
      </w:r>
      <w:r>
        <w:rPr>
          <w:spacing w:val="-5"/>
          <w:sz w:val="22"/>
        </w:rPr>
        <w:t> </w:t>
      </w:r>
      <w:r>
        <w:rPr>
          <w:sz w:val="22"/>
        </w:rPr>
        <w:t>pressure gas and liquid hydrocarbon pipelines and consider recognising them in the State Planning Policy Framework as being of State significance.</w:t>
      </w:r>
    </w:p>
    <w:p>
      <w:pPr>
        <w:pStyle w:val="BodyText"/>
        <w:rPr>
          <w:sz w:val="24"/>
        </w:rPr>
      </w:pPr>
    </w:p>
    <w:p>
      <w:pPr>
        <w:pStyle w:val="Heading6"/>
        <w:spacing w:before="144"/>
        <w:ind w:left="300"/>
      </w:pPr>
      <w:r>
        <w:rPr>
          <w:spacing w:val="-2"/>
        </w:rPr>
        <w:t>Recommendation</w:t>
      </w:r>
      <w:r>
        <w:rPr/>
        <w:t> </w:t>
      </w:r>
      <w:r>
        <w:rPr>
          <w:spacing w:val="-5"/>
        </w:rPr>
        <w:t>16</w:t>
      </w:r>
    </w:p>
    <w:p>
      <w:pPr>
        <w:spacing w:line="288" w:lineRule="auto" w:before="174"/>
        <w:ind w:left="345" w:right="951" w:firstLine="0"/>
        <w:jc w:val="left"/>
        <w:rPr>
          <w:sz w:val="22"/>
        </w:rPr>
      </w:pPr>
      <w:r>
        <w:rPr>
          <w:sz w:val="22"/>
        </w:rPr>
        <w:t>Refer</w:t>
      </w:r>
      <w:r>
        <w:rPr>
          <w:spacing w:val="-4"/>
          <w:sz w:val="22"/>
        </w:rPr>
        <w:t> </w:t>
      </w:r>
      <w:r>
        <w:rPr>
          <w:sz w:val="22"/>
        </w:rPr>
        <w:t>the</w:t>
      </w:r>
      <w:r>
        <w:rPr>
          <w:spacing w:val="-5"/>
          <w:sz w:val="22"/>
        </w:rPr>
        <w:t> </w:t>
      </w:r>
      <w:r>
        <w:rPr>
          <w:sz w:val="22"/>
        </w:rPr>
        <w:t>following</w:t>
      </w:r>
      <w:r>
        <w:rPr>
          <w:spacing w:val="-1"/>
          <w:sz w:val="22"/>
        </w:rPr>
        <w:t> </w:t>
      </w:r>
      <w:r>
        <w:rPr>
          <w:sz w:val="22"/>
        </w:rPr>
        <w:t>issues</w:t>
      </w:r>
      <w:r>
        <w:rPr>
          <w:spacing w:val="-2"/>
          <w:sz w:val="22"/>
        </w:rPr>
        <w:t> </w:t>
      </w:r>
      <w:r>
        <w:rPr>
          <w:sz w:val="22"/>
        </w:rPr>
        <w:t>to</w:t>
      </w:r>
      <w:r>
        <w:rPr>
          <w:spacing w:val="-5"/>
          <w:sz w:val="22"/>
        </w:rPr>
        <w:t> </w:t>
      </w:r>
      <w:r>
        <w:rPr>
          <w:sz w:val="22"/>
        </w:rPr>
        <w:t>the</w:t>
      </w:r>
      <w:r>
        <w:rPr>
          <w:spacing w:val="-5"/>
          <w:sz w:val="22"/>
        </w:rPr>
        <w:t> </w:t>
      </w:r>
      <w:r>
        <w:rPr>
          <w:sz w:val="22"/>
        </w:rPr>
        <w:t>revised </w:t>
      </w:r>
      <w:r>
        <w:rPr>
          <w:i/>
          <w:sz w:val="22"/>
        </w:rPr>
        <w:t>Land</w:t>
      </w:r>
      <w:r>
        <w:rPr>
          <w:i/>
          <w:spacing w:val="-3"/>
          <w:sz w:val="22"/>
        </w:rPr>
        <w:t> </w:t>
      </w:r>
      <w:r>
        <w:rPr>
          <w:i/>
          <w:sz w:val="22"/>
        </w:rPr>
        <w:t>Development</w:t>
      </w:r>
      <w:r>
        <w:rPr>
          <w:i/>
          <w:spacing w:val="-4"/>
          <w:sz w:val="22"/>
        </w:rPr>
        <w:t> </w:t>
      </w:r>
      <w:r>
        <w:rPr>
          <w:i/>
          <w:sz w:val="22"/>
        </w:rPr>
        <w:t>Around</w:t>
      </w:r>
      <w:r>
        <w:rPr>
          <w:i/>
          <w:spacing w:val="-3"/>
          <w:sz w:val="22"/>
        </w:rPr>
        <w:t> </w:t>
      </w:r>
      <w:r>
        <w:rPr>
          <w:i/>
          <w:sz w:val="22"/>
        </w:rPr>
        <w:t>Pipelines</w:t>
      </w:r>
      <w:r>
        <w:rPr>
          <w:i/>
          <w:spacing w:val="-5"/>
          <w:sz w:val="22"/>
        </w:rPr>
        <w:t> </w:t>
      </w:r>
      <w:r>
        <w:rPr>
          <w:i/>
          <w:sz w:val="22"/>
        </w:rPr>
        <w:t>Working Group </w:t>
      </w:r>
      <w:r>
        <w:rPr>
          <w:sz w:val="22"/>
        </w:rPr>
        <w:t>for consideration:</w:t>
      </w:r>
    </w:p>
    <w:p>
      <w:pPr>
        <w:pStyle w:val="BodyText"/>
        <w:spacing w:before="5"/>
      </w:pPr>
    </w:p>
    <w:p>
      <w:pPr>
        <w:pStyle w:val="ListParagraph"/>
        <w:numPr>
          <w:ilvl w:val="0"/>
          <w:numId w:val="75"/>
        </w:numPr>
        <w:tabs>
          <w:tab w:pos="734" w:val="left" w:leader="none"/>
        </w:tabs>
        <w:spacing w:line="288" w:lineRule="auto" w:before="0" w:after="0"/>
        <w:ind w:left="734" w:right="1122" w:hanging="361"/>
        <w:jc w:val="left"/>
        <w:rPr>
          <w:sz w:val="22"/>
        </w:rPr>
      </w:pPr>
      <w:r>
        <w:rPr>
          <w:sz w:val="22"/>
        </w:rPr>
        <w:t>Clause</w:t>
      </w:r>
      <w:r>
        <w:rPr>
          <w:spacing w:val="-2"/>
          <w:sz w:val="22"/>
        </w:rPr>
        <w:t> </w:t>
      </w:r>
      <w:r>
        <w:rPr>
          <w:sz w:val="22"/>
        </w:rPr>
        <w:t>66.01</w:t>
      </w:r>
      <w:r>
        <w:rPr>
          <w:spacing w:val="-2"/>
          <w:sz w:val="22"/>
        </w:rPr>
        <w:t> </w:t>
      </w:r>
      <w:r>
        <w:rPr>
          <w:sz w:val="22"/>
        </w:rPr>
        <w:t>subdivision</w:t>
      </w:r>
      <w:r>
        <w:rPr>
          <w:spacing w:val="-2"/>
          <w:sz w:val="22"/>
        </w:rPr>
        <w:t> </w:t>
      </w:r>
      <w:r>
        <w:rPr>
          <w:sz w:val="22"/>
        </w:rPr>
        <w:t>referrals</w:t>
      </w:r>
      <w:r>
        <w:rPr>
          <w:spacing w:val="-1"/>
          <w:sz w:val="22"/>
        </w:rPr>
        <w:t> </w:t>
      </w:r>
      <w:r>
        <w:rPr>
          <w:sz w:val="22"/>
        </w:rPr>
        <w:t>be</w:t>
      </w:r>
      <w:r>
        <w:rPr>
          <w:spacing w:val="-2"/>
          <w:sz w:val="22"/>
        </w:rPr>
        <w:t> </w:t>
      </w:r>
      <w:r>
        <w:rPr>
          <w:sz w:val="22"/>
        </w:rPr>
        <w:t>amended</w:t>
      </w:r>
      <w:r>
        <w:rPr>
          <w:spacing w:val="-4"/>
          <w:sz w:val="22"/>
        </w:rPr>
        <w:t> </w:t>
      </w:r>
      <w:r>
        <w:rPr>
          <w:sz w:val="22"/>
        </w:rPr>
        <w:t>to</w:t>
      </w:r>
      <w:r>
        <w:rPr>
          <w:spacing w:val="-4"/>
          <w:sz w:val="22"/>
        </w:rPr>
        <w:t> </w:t>
      </w:r>
      <w:r>
        <w:rPr>
          <w:sz w:val="22"/>
        </w:rPr>
        <w:t>replace</w:t>
      </w:r>
      <w:r>
        <w:rPr>
          <w:spacing w:val="-4"/>
          <w:sz w:val="22"/>
        </w:rPr>
        <w:t> </w:t>
      </w:r>
      <w:r>
        <w:rPr>
          <w:sz w:val="22"/>
        </w:rPr>
        <w:t>the</w:t>
      </w:r>
      <w:r>
        <w:rPr>
          <w:spacing w:val="-4"/>
          <w:sz w:val="22"/>
        </w:rPr>
        <w:t> </w:t>
      </w:r>
      <w:r>
        <w:rPr>
          <w:sz w:val="22"/>
        </w:rPr>
        <w:t>gas supply</w:t>
      </w:r>
      <w:r>
        <w:rPr>
          <w:spacing w:val="-4"/>
          <w:sz w:val="22"/>
        </w:rPr>
        <w:t> </w:t>
      </w:r>
      <w:r>
        <w:rPr>
          <w:sz w:val="22"/>
        </w:rPr>
        <w:t>authority</w:t>
      </w:r>
      <w:r>
        <w:rPr>
          <w:spacing w:val="-4"/>
          <w:sz w:val="22"/>
        </w:rPr>
        <w:t> </w:t>
      </w:r>
      <w:r>
        <w:rPr>
          <w:sz w:val="22"/>
        </w:rPr>
        <w:t>as the determining referral authority for proposals to subdivide land crossed by a gas transmission pipeline or a gas transmission easement with ESV as the determining referral authority.</w:t>
      </w:r>
    </w:p>
    <w:p>
      <w:pPr>
        <w:pStyle w:val="BodyText"/>
        <w:spacing w:before="1"/>
      </w:pPr>
    </w:p>
    <w:p>
      <w:pPr>
        <w:pStyle w:val="ListParagraph"/>
        <w:numPr>
          <w:ilvl w:val="0"/>
          <w:numId w:val="75"/>
        </w:numPr>
        <w:tabs>
          <w:tab w:pos="734" w:val="left" w:leader="none"/>
        </w:tabs>
        <w:spacing w:line="240" w:lineRule="auto" w:before="0" w:after="0"/>
        <w:ind w:left="734" w:right="0" w:hanging="360"/>
        <w:jc w:val="left"/>
        <w:rPr>
          <w:sz w:val="22"/>
        </w:rPr>
      </w:pPr>
      <w:r>
        <w:rPr>
          <w:sz w:val="22"/>
        </w:rPr>
        <w:t>For</w:t>
      </w:r>
      <w:r>
        <w:rPr>
          <w:spacing w:val="-7"/>
          <w:sz w:val="22"/>
        </w:rPr>
        <w:t> </w:t>
      </w:r>
      <w:r>
        <w:rPr>
          <w:sz w:val="22"/>
        </w:rPr>
        <w:t>lower</w:t>
      </w:r>
      <w:r>
        <w:rPr>
          <w:spacing w:val="-4"/>
          <w:sz w:val="22"/>
        </w:rPr>
        <w:t> </w:t>
      </w:r>
      <w:r>
        <w:rPr>
          <w:sz w:val="22"/>
        </w:rPr>
        <w:t>risk</w:t>
      </w:r>
      <w:r>
        <w:rPr>
          <w:spacing w:val="-3"/>
          <w:sz w:val="22"/>
        </w:rPr>
        <w:t> </w:t>
      </w:r>
      <w:r>
        <w:rPr>
          <w:sz w:val="22"/>
        </w:rPr>
        <w:t>pipelines</w:t>
      </w:r>
      <w:r>
        <w:rPr>
          <w:spacing w:val="-5"/>
          <w:sz w:val="22"/>
        </w:rPr>
        <w:t> </w:t>
      </w:r>
      <w:r>
        <w:rPr>
          <w:sz w:val="22"/>
        </w:rPr>
        <w:t>consider</w:t>
      </w:r>
      <w:r>
        <w:rPr>
          <w:spacing w:val="-4"/>
          <w:sz w:val="22"/>
        </w:rPr>
        <w:t> </w:t>
      </w:r>
      <w:r>
        <w:rPr>
          <w:sz w:val="22"/>
        </w:rPr>
        <w:t>including</w:t>
      </w:r>
      <w:r>
        <w:rPr>
          <w:spacing w:val="-5"/>
          <w:sz w:val="22"/>
        </w:rPr>
        <w:t> </w:t>
      </w:r>
      <w:r>
        <w:rPr>
          <w:sz w:val="22"/>
        </w:rPr>
        <w:t>a</w:t>
      </w:r>
      <w:r>
        <w:rPr>
          <w:spacing w:val="-8"/>
          <w:sz w:val="22"/>
        </w:rPr>
        <w:t> </w:t>
      </w:r>
      <w:r>
        <w:rPr>
          <w:sz w:val="22"/>
        </w:rPr>
        <w:t>referral</w:t>
      </w:r>
      <w:r>
        <w:rPr>
          <w:spacing w:val="-6"/>
          <w:sz w:val="22"/>
        </w:rPr>
        <w:t> </w:t>
      </w:r>
      <w:r>
        <w:rPr>
          <w:sz w:val="22"/>
        </w:rPr>
        <w:t>to</w:t>
      </w:r>
      <w:r>
        <w:rPr>
          <w:spacing w:val="-7"/>
          <w:sz w:val="22"/>
        </w:rPr>
        <w:t> </w:t>
      </w:r>
      <w:r>
        <w:rPr>
          <w:sz w:val="22"/>
        </w:rPr>
        <w:t>the</w:t>
      </w:r>
      <w:r>
        <w:rPr>
          <w:spacing w:val="-5"/>
          <w:sz w:val="22"/>
        </w:rPr>
        <w:t> </w:t>
      </w:r>
      <w:r>
        <w:rPr>
          <w:sz w:val="22"/>
        </w:rPr>
        <w:t>pipeline</w:t>
      </w:r>
      <w:r>
        <w:rPr>
          <w:spacing w:val="-6"/>
          <w:sz w:val="22"/>
        </w:rPr>
        <w:t> </w:t>
      </w:r>
      <w:r>
        <w:rPr>
          <w:sz w:val="22"/>
        </w:rPr>
        <w:t>licensee</w:t>
      </w:r>
      <w:r>
        <w:rPr>
          <w:spacing w:val="-5"/>
          <w:sz w:val="22"/>
        </w:rPr>
        <w:t> </w:t>
      </w:r>
      <w:r>
        <w:rPr>
          <w:sz w:val="22"/>
        </w:rPr>
        <w:t>in</w:t>
      </w:r>
      <w:r>
        <w:rPr>
          <w:spacing w:val="-5"/>
          <w:sz w:val="22"/>
        </w:rPr>
        <w:t> </w:t>
      </w:r>
      <w:r>
        <w:rPr>
          <w:spacing w:val="-2"/>
          <w:sz w:val="22"/>
        </w:rPr>
        <w:t>Clause</w:t>
      </w:r>
    </w:p>
    <w:p>
      <w:pPr>
        <w:pStyle w:val="BodyText"/>
        <w:spacing w:before="50"/>
        <w:ind w:left="734"/>
      </w:pPr>
      <w:r>
        <w:rPr/>
        <w:t>66.02</w:t>
      </w:r>
      <w:r>
        <w:rPr>
          <w:spacing w:val="-10"/>
        </w:rPr>
        <w:t> </w:t>
      </w:r>
      <w:r>
        <w:rPr/>
        <w:t>for</w:t>
      </w:r>
      <w:r>
        <w:rPr>
          <w:spacing w:val="-6"/>
        </w:rPr>
        <w:t> </w:t>
      </w:r>
      <w:r>
        <w:rPr/>
        <w:t>building</w:t>
      </w:r>
      <w:r>
        <w:rPr>
          <w:spacing w:val="-4"/>
        </w:rPr>
        <w:t> </w:t>
      </w:r>
      <w:r>
        <w:rPr/>
        <w:t>and</w:t>
      </w:r>
      <w:r>
        <w:rPr>
          <w:spacing w:val="-7"/>
        </w:rPr>
        <w:t> </w:t>
      </w:r>
      <w:r>
        <w:rPr/>
        <w:t>works</w:t>
      </w:r>
      <w:r>
        <w:rPr>
          <w:spacing w:val="-5"/>
        </w:rPr>
        <w:t> </w:t>
      </w:r>
      <w:r>
        <w:rPr/>
        <w:t>within</w:t>
      </w:r>
      <w:r>
        <w:rPr>
          <w:spacing w:val="-5"/>
        </w:rPr>
        <w:t> </w:t>
      </w:r>
      <w:r>
        <w:rPr/>
        <w:t>the</w:t>
      </w:r>
      <w:r>
        <w:rPr>
          <w:spacing w:val="-7"/>
        </w:rPr>
        <w:t> </w:t>
      </w:r>
      <w:r>
        <w:rPr/>
        <w:t>pipeline</w:t>
      </w:r>
      <w:r>
        <w:rPr>
          <w:spacing w:val="-6"/>
        </w:rPr>
        <w:t> </w:t>
      </w:r>
      <w:r>
        <w:rPr/>
        <w:t>measurement</w:t>
      </w:r>
      <w:r>
        <w:rPr>
          <w:spacing w:val="-3"/>
        </w:rPr>
        <w:t> </w:t>
      </w:r>
      <w:r>
        <w:rPr>
          <w:spacing w:val="-2"/>
        </w:rPr>
        <w:t>length.</w:t>
      </w:r>
    </w:p>
    <w:p>
      <w:pPr>
        <w:pStyle w:val="BodyText"/>
        <w:rPr>
          <w:sz w:val="24"/>
        </w:rPr>
      </w:pPr>
    </w:p>
    <w:p>
      <w:pPr>
        <w:pStyle w:val="Heading6"/>
        <w:spacing w:before="194"/>
        <w:ind w:left="300"/>
      </w:pPr>
      <w:r>
        <w:rPr>
          <w:spacing w:val="-2"/>
        </w:rPr>
        <w:t>Recommendation</w:t>
      </w:r>
      <w:r>
        <w:rPr/>
        <w:t> </w:t>
      </w:r>
      <w:r>
        <w:rPr>
          <w:spacing w:val="-5"/>
        </w:rPr>
        <w:t>17</w:t>
      </w:r>
    </w:p>
    <w:p>
      <w:pPr>
        <w:spacing w:line="288" w:lineRule="auto" w:before="175"/>
        <w:ind w:left="345" w:right="374" w:firstLine="0"/>
        <w:jc w:val="left"/>
        <w:rPr>
          <w:sz w:val="22"/>
        </w:rPr>
      </w:pPr>
      <w:r>
        <w:rPr>
          <w:sz w:val="22"/>
        </w:rPr>
        <w:t>Refer</w:t>
      </w:r>
      <w:r>
        <w:rPr>
          <w:spacing w:val="-4"/>
          <w:sz w:val="22"/>
        </w:rPr>
        <w:t> </w:t>
      </w:r>
      <w:r>
        <w:rPr>
          <w:sz w:val="22"/>
        </w:rPr>
        <w:t>the</w:t>
      </w:r>
      <w:r>
        <w:rPr>
          <w:spacing w:val="-5"/>
          <w:sz w:val="22"/>
        </w:rPr>
        <w:t> </w:t>
      </w:r>
      <w:r>
        <w:rPr>
          <w:sz w:val="22"/>
        </w:rPr>
        <w:t>following</w:t>
      </w:r>
      <w:r>
        <w:rPr>
          <w:spacing w:val="-1"/>
          <w:sz w:val="22"/>
        </w:rPr>
        <w:t> </w:t>
      </w:r>
      <w:r>
        <w:rPr>
          <w:sz w:val="22"/>
        </w:rPr>
        <w:t>potential</w:t>
      </w:r>
      <w:r>
        <w:rPr>
          <w:spacing w:val="-4"/>
          <w:sz w:val="22"/>
        </w:rPr>
        <w:t> </w:t>
      </w:r>
      <w:r>
        <w:rPr>
          <w:sz w:val="22"/>
        </w:rPr>
        <w:t>planning</w:t>
      </w:r>
      <w:r>
        <w:rPr>
          <w:spacing w:val="-3"/>
          <w:sz w:val="22"/>
        </w:rPr>
        <w:t> </w:t>
      </w:r>
      <w:r>
        <w:rPr>
          <w:sz w:val="22"/>
        </w:rPr>
        <w:t>responses</w:t>
      </w:r>
      <w:r>
        <w:rPr>
          <w:spacing w:val="-5"/>
          <w:sz w:val="22"/>
        </w:rPr>
        <w:t> </w:t>
      </w:r>
      <w:r>
        <w:rPr>
          <w:sz w:val="22"/>
        </w:rPr>
        <w:t>to</w:t>
      </w:r>
      <w:r>
        <w:rPr>
          <w:spacing w:val="-3"/>
          <w:sz w:val="22"/>
        </w:rPr>
        <w:t> </w:t>
      </w:r>
      <w:r>
        <w:rPr>
          <w:sz w:val="22"/>
        </w:rPr>
        <w:t>the</w:t>
      </w:r>
      <w:r>
        <w:rPr>
          <w:spacing w:val="-5"/>
          <w:sz w:val="22"/>
        </w:rPr>
        <w:t> </w:t>
      </w:r>
      <w:r>
        <w:rPr>
          <w:sz w:val="22"/>
        </w:rPr>
        <w:t>revised </w:t>
      </w:r>
      <w:r>
        <w:rPr>
          <w:i/>
          <w:sz w:val="22"/>
        </w:rPr>
        <w:t>Land</w:t>
      </w:r>
      <w:r>
        <w:rPr>
          <w:i/>
          <w:spacing w:val="-3"/>
          <w:sz w:val="22"/>
        </w:rPr>
        <w:t> </w:t>
      </w:r>
      <w:r>
        <w:rPr>
          <w:i/>
          <w:sz w:val="22"/>
        </w:rPr>
        <w:t>Development</w:t>
      </w:r>
      <w:r>
        <w:rPr>
          <w:i/>
          <w:spacing w:val="-4"/>
          <w:sz w:val="22"/>
        </w:rPr>
        <w:t> </w:t>
      </w:r>
      <w:r>
        <w:rPr>
          <w:i/>
          <w:sz w:val="22"/>
        </w:rPr>
        <w:t>Around Pipelines Working Group </w:t>
      </w:r>
      <w:r>
        <w:rPr>
          <w:sz w:val="22"/>
        </w:rPr>
        <w:t>for consideration:</w:t>
      </w:r>
    </w:p>
    <w:p>
      <w:pPr>
        <w:pStyle w:val="BodyText"/>
        <w:spacing w:before="4"/>
      </w:pPr>
    </w:p>
    <w:p>
      <w:pPr>
        <w:pStyle w:val="ListParagraph"/>
        <w:numPr>
          <w:ilvl w:val="0"/>
          <w:numId w:val="75"/>
        </w:numPr>
        <w:tabs>
          <w:tab w:pos="734" w:val="left" w:leader="none"/>
        </w:tabs>
        <w:spacing w:line="288" w:lineRule="auto" w:before="0" w:after="0"/>
        <w:ind w:left="734" w:right="892" w:hanging="361"/>
        <w:jc w:val="left"/>
        <w:rPr>
          <w:sz w:val="22"/>
        </w:rPr>
      </w:pPr>
      <w:r>
        <w:rPr>
          <w:sz w:val="22"/>
        </w:rPr>
        <w:t>The</w:t>
      </w:r>
      <w:r>
        <w:rPr>
          <w:spacing w:val="-5"/>
          <w:sz w:val="22"/>
        </w:rPr>
        <w:t> </w:t>
      </w:r>
      <w:r>
        <w:rPr>
          <w:sz w:val="22"/>
        </w:rPr>
        <w:t>development</w:t>
      </w:r>
      <w:r>
        <w:rPr>
          <w:spacing w:val="-1"/>
          <w:sz w:val="22"/>
        </w:rPr>
        <w:t> </w:t>
      </w:r>
      <w:r>
        <w:rPr>
          <w:sz w:val="22"/>
        </w:rPr>
        <w:t>of</w:t>
      </w:r>
      <w:r>
        <w:rPr>
          <w:spacing w:val="-2"/>
          <w:sz w:val="22"/>
        </w:rPr>
        <w:t> </w:t>
      </w:r>
      <w:r>
        <w:rPr>
          <w:sz w:val="22"/>
        </w:rPr>
        <w:t>Environmental</w:t>
      </w:r>
      <w:r>
        <w:rPr>
          <w:spacing w:val="-4"/>
          <w:sz w:val="22"/>
        </w:rPr>
        <w:t> </w:t>
      </w:r>
      <w:r>
        <w:rPr>
          <w:sz w:val="22"/>
        </w:rPr>
        <w:t>Significance</w:t>
      </w:r>
      <w:r>
        <w:rPr>
          <w:spacing w:val="-5"/>
          <w:sz w:val="22"/>
        </w:rPr>
        <w:t> </w:t>
      </w:r>
      <w:r>
        <w:rPr>
          <w:sz w:val="22"/>
        </w:rPr>
        <w:t>Overlay</w:t>
      </w:r>
      <w:r>
        <w:rPr>
          <w:spacing w:val="-5"/>
          <w:sz w:val="22"/>
        </w:rPr>
        <w:t> </w:t>
      </w:r>
      <w:r>
        <w:rPr>
          <w:sz w:val="22"/>
        </w:rPr>
        <w:t>schedules</w:t>
      </w:r>
      <w:r>
        <w:rPr>
          <w:spacing w:val="-5"/>
          <w:sz w:val="22"/>
        </w:rPr>
        <w:t> </w:t>
      </w:r>
      <w:r>
        <w:rPr>
          <w:sz w:val="22"/>
        </w:rPr>
        <w:t>for</w:t>
      </w:r>
      <w:r>
        <w:rPr>
          <w:spacing w:val="-4"/>
          <w:sz w:val="22"/>
        </w:rPr>
        <w:t> </w:t>
      </w:r>
      <w:r>
        <w:rPr>
          <w:sz w:val="22"/>
        </w:rPr>
        <w:t>urban</w:t>
      </w:r>
      <w:r>
        <w:rPr>
          <w:spacing w:val="-3"/>
          <w:sz w:val="22"/>
        </w:rPr>
        <w:t> </w:t>
      </w:r>
      <w:r>
        <w:rPr>
          <w:sz w:val="22"/>
        </w:rPr>
        <w:t>residential areas and rural areas to reflect a more responsive approach to manage the balance between development control and “at pipeline” protection.</w:t>
      </w:r>
    </w:p>
    <w:p>
      <w:pPr>
        <w:pStyle w:val="BodyText"/>
        <w:spacing w:before="2"/>
      </w:pPr>
    </w:p>
    <w:p>
      <w:pPr>
        <w:pStyle w:val="ListParagraph"/>
        <w:numPr>
          <w:ilvl w:val="0"/>
          <w:numId w:val="75"/>
        </w:numPr>
        <w:tabs>
          <w:tab w:pos="734" w:val="left" w:leader="none"/>
        </w:tabs>
        <w:spacing w:line="288" w:lineRule="auto" w:before="0" w:after="0"/>
        <w:ind w:left="734" w:right="1712" w:hanging="361"/>
        <w:jc w:val="left"/>
        <w:rPr>
          <w:sz w:val="22"/>
        </w:rPr>
      </w:pPr>
      <w:r>
        <w:rPr>
          <w:sz w:val="22"/>
        </w:rPr>
        <w:t>The</w:t>
      </w:r>
      <w:r>
        <w:rPr>
          <w:spacing w:val="-5"/>
          <w:sz w:val="22"/>
        </w:rPr>
        <w:t> </w:t>
      </w:r>
      <w:r>
        <w:rPr>
          <w:sz w:val="22"/>
        </w:rPr>
        <w:t>Environmental</w:t>
      </w:r>
      <w:r>
        <w:rPr>
          <w:spacing w:val="-4"/>
          <w:sz w:val="22"/>
        </w:rPr>
        <w:t> </w:t>
      </w:r>
      <w:r>
        <w:rPr>
          <w:sz w:val="22"/>
        </w:rPr>
        <w:t>Significance</w:t>
      </w:r>
      <w:r>
        <w:rPr>
          <w:spacing w:val="-5"/>
          <w:sz w:val="22"/>
        </w:rPr>
        <w:t> </w:t>
      </w:r>
      <w:r>
        <w:rPr>
          <w:sz w:val="22"/>
        </w:rPr>
        <w:t>Overlay</w:t>
      </w:r>
      <w:r>
        <w:rPr>
          <w:spacing w:val="-5"/>
          <w:sz w:val="22"/>
        </w:rPr>
        <w:t> </w:t>
      </w:r>
      <w:r>
        <w:rPr>
          <w:sz w:val="22"/>
        </w:rPr>
        <w:t>schedules</w:t>
      </w:r>
      <w:r>
        <w:rPr>
          <w:spacing w:val="-3"/>
          <w:sz w:val="22"/>
        </w:rPr>
        <w:t> </w:t>
      </w:r>
      <w:r>
        <w:rPr>
          <w:sz w:val="22"/>
        </w:rPr>
        <w:t>include</w:t>
      </w:r>
      <w:r>
        <w:rPr>
          <w:spacing w:val="-3"/>
          <w:sz w:val="22"/>
        </w:rPr>
        <w:t> </w:t>
      </w:r>
      <w:r>
        <w:rPr>
          <w:sz w:val="22"/>
        </w:rPr>
        <w:t>sensitive</w:t>
      </w:r>
      <w:r>
        <w:rPr>
          <w:spacing w:val="-3"/>
          <w:sz w:val="22"/>
        </w:rPr>
        <w:t> </w:t>
      </w:r>
      <w:r>
        <w:rPr>
          <w:sz w:val="22"/>
        </w:rPr>
        <w:t>uses</w:t>
      </w:r>
      <w:r>
        <w:rPr>
          <w:spacing w:val="-5"/>
          <w:sz w:val="22"/>
        </w:rPr>
        <w:t> </w:t>
      </w:r>
      <w:r>
        <w:rPr>
          <w:sz w:val="22"/>
        </w:rPr>
        <w:t>to</w:t>
      </w:r>
      <w:r>
        <w:rPr>
          <w:spacing w:val="-5"/>
          <w:sz w:val="22"/>
        </w:rPr>
        <w:t> </w:t>
      </w:r>
      <w:r>
        <w:rPr>
          <w:sz w:val="22"/>
        </w:rPr>
        <w:t>be protected including as a minimum the sensitive uses identified in AS 2885.</w:t>
      </w:r>
    </w:p>
    <w:p>
      <w:pPr>
        <w:pStyle w:val="BodyText"/>
        <w:spacing w:before="2"/>
      </w:pPr>
    </w:p>
    <w:p>
      <w:pPr>
        <w:pStyle w:val="ListParagraph"/>
        <w:numPr>
          <w:ilvl w:val="0"/>
          <w:numId w:val="75"/>
        </w:numPr>
        <w:tabs>
          <w:tab w:pos="734" w:val="left" w:leader="none"/>
        </w:tabs>
        <w:spacing w:line="288" w:lineRule="auto" w:before="0" w:after="0"/>
        <w:ind w:left="734" w:right="1345" w:hanging="361"/>
        <w:jc w:val="left"/>
        <w:rPr>
          <w:sz w:val="22"/>
        </w:rPr>
      </w:pPr>
      <w:r>
        <w:rPr>
          <w:sz w:val="22"/>
        </w:rPr>
        <w:t>The</w:t>
      </w:r>
      <w:r>
        <w:rPr>
          <w:spacing w:val="-5"/>
          <w:sz w:val="22"/>
        </w:rPr>
        <w:t> </w:t>
      </w:r>
      <w:r>
        <w:rPr>
          <w:sz w:val="22"/>
        </w:rPr>
        <w:t>Environmental</w:t>
      </w:r>
      <w:r>
        <w:rPr>
          <w:spacing w:val="-4"/>
          <w:sz w:val="22"/>
        </w:rPr>
        <w:t> </w:t>
      </w:r>
      <w:r>
        <w:rPr>
          <w:sz w:val="22"/>
        </w:rPr>
        <w:t>Significance</w:t>
      </w:r>
      <w:r>
        <w:rPr>
          <w:spacing w:val="-5"/>
          <w:sz w:val="22"/>
        </w:rPr>
        <w:t> </w:t>
      </w:r>
      <w:r>
        <w:rPr>
          <w:sz w:val="22"/>
        </w:rPr>
        <w:t>Overlay</w:t>
      </w:r>
      <w:r>
        <w:rPr>
          <w:spacing w:val="-5"/>
          <w:sz w:val="22"/>
        </w:rPr>
        <w:t> </w:t>
      </w:r>
      <w:r>
        <w:rPr>
          <w:sz w:val="22"/>
        </w:rPr>
        <w:t>schedules</w:t>
      </w:r>
      <w:r>
        <w:rPr>
          <w:spacing w:val="-3"/>
          <w:sz w:val="22"/>
        </w:rPr>
        <w:t> </w:t>
      </w:r>
      <w:r>
        <w:rPr>
          <w:sz w:val="22"/>
        </w:rPr>
        <w:t>include</w:t>
      </w:r>
      <w:r>
        <w:rPr>
          <w:spacing w:val="-3"/>
          <w:sz w:val="22"/>
        </w:rPr>
        <w:t> </w:t>
      </w:r>
      <w:r>
        <w:rPr>
          <w:sz w:val="22"/>
        </w:rPr>
        <w:t>application,</w:t>
      </w:r>
      <w:r>
        <w:rPr>
          <w:spacing w:val="-4"/>
          <w:sz w:val="22"/>
        </w:rPr>
        <w:t> </w:t>
      </w:r>
      <w:r>
        <w:rPr>
          <w:sz w:val="22"/>
        </w:rPr>
        <w:t>referral</w:t>
      </w:r>
      <w:r>
        <w:rPr>
          <w:spacing w:val="-4"/>
          <w:sz w:val="22"/>
        </w:rPr>
        <w:t> </w:t>
      </w:r>
      <w:r>
        <w:rPr>
          <w:sz w:val="22"/>
        </w:rPr>
        <w:t>and notice requirements to ESV and the pipeline operator/owner as relevant.</w:t>
      </w:r>
    </w:p>
    <w:p>
      <w:pPr>
        <w:pStyle w:val="BodyText"/>
        <w:spacing w:before="1"/>
      </w:pPr>
    </w:p>
    <w:p>
      <w:pPr>
        <w:pStyle w:val="ListParagraph"/>
        <w:numPr>
          <w:ilvl w:val="0"/>
          <w:numId w:val="75"/>
        </w:numPr>
        <w:tabs>
          <w:tab w:pos="734" w:val="left" w:leader="none"/>
        </w:tabs>
        <w:spacing w:line="288" w:lineRule="auto" w:before="0" w:after="0"/>
        <w:ind w:left="734" w:right="1006" w:hanging="361"/>
        <w:jc w:val="left"/>
        <w:rPr>
          <w:sz w:val="22"/>
        </w:rPr>
      </w:pPr>
      <w:r>
        <w:rPr>
          <w:sz w:val="22"/>
        </w:rPr>
        <w:t>The</w:t>
      </w:r>
      <w:r>
        <w:rPr>
          <w:spacing w:val="-5"/>
          <w:sz w:val="22"/>
        </w:rPr>
        <w:t> </w:t>
      </w:r>
      <w:r>
        <w:rPr>
          <w:sz w:val="22"/>
        </w:rPr>
        <w:t>Environmental</w:t>
      </w:r>
      <w:r>
        <w:rPr>
          <w:spacing w:val="-4"/>
          <w:sz w:val="22"/>
        </w:rPr>
        <w:t> </w:t>
      </w:r>
      <w:r>
        <w:rPr>
          <w:sz w:val="22"/>
        </w:rPr>
        <w:t>Significance</w:t>
      </w:r>
      <w:r>
        <w:rPr>
          <w:spacing w:val="-5"/>
          <w:sz w:val="22"/>
        </w:rPr>
        <w:t> </w:t>
      </w:r>
      <w:r>
        <w:rPr>
          <w:sz w:val="22"/>
        </w:rPr>
        <w:t>Overlay</w:t>
      </w:r>
      <w:r>
        <w:rPr>
          <w:spacing w:val="-5"/>
          <w:sz w:val="22"/>
        </w:rPr>
        <w:t> </w:t>
      </w:r>
      <w:r>
        <w:rPr>
          <w:sz w:val="22"/>
        </w:rPr>
        <w:t>schedules</w:t>
      </w:r>
      <w:r>
        <w:rPr>
          <w:spacing w:val="-3"/>
          <w:sz w:val="22"/>
        </w:rPr>
        <w:t> </w:t>
      </w:r>
      <w:r>
        <w:rPr>
          <w:sz w:val="22"/>
        </w:rPr>
        <w:t>be</w:t>
      </w:r>
      <w:r>
        <w:rPr>
          <w:spacing w:val="-5"/>
          <w:sz w:val="22"/>
        </w:rPr>
        <w:t> </w:t>
      </w:r>
      <w:r>
        <w:rPr>
          <w:sz w:val="22"/>
        </w:rPr>
        <w:t>mapped</w:t>
      </w:r>
      <w:r>
        <w:rPr>
          <w:spacing w:val="-5"/>
          <w:sz w:val="22"/>
        </w:rPr>
        <w:t> </w:t>
      </w:r>
      <w:r>
        <w:rPr>
          <w:sz w:val="22"/>
        </w:rPr>
        <w:t>on</w:t>
      </w:r>
      <w:r>
        <w:rPr>
          <w:spacing w:val="-3"/>
          <w:sz w:val="22"/>
        </w:rPr>
        <w:t> </w:t>
      </w:r>
      <w:r>
        <w:rPr>
          <w:sz w:val="22"/>
        </w:rPr>
        <w:t>a</w:t>
      </w:r>
      <w:r>
        <w:rPr>
          <w:spacing w:val="-5"/>
          <w:sz w:val="22"/>
        </w:rPr>
        <w:t> </w:t>
      </w:r>
      <w:r>
        <w:rPr>
          <w:sz w:val="22"/>
        </w:rPr>
        <w:t>priority</w:t>
      </w:r>
      <w:r>
        <w:rPr>
          <w:spacing w:val="-5"/>
          <w:sz w:val="22"/>
        </w:rPr>
        <w:t> </w:t>
      </w:r>
      <w:r>
        <w:rPr>
          <w:sz w:val="22"/>
        </w:rPr>
        <w:t>basis,</w:t>
      </w:r>
      <w:r>
        <w:rPr>
          <w:spacing w:val="-1"/>
          <w:sz w:val="22"/>
        </w:rPr>
        <w:t> </w:t>
      </w:r>
      <w:r>
        <w:rPr>
          <w:sz w:val="22"/>
        </w:rPr>
        <w:t>with the pipeline measurement length being the starting point for the relevant area to be </w:t>
      </w:r>
      <w:r>
        <w:rPr>
          <w:spacing w:val="-2"/>
          <w:sz w:val="22"/>
        </w:rPr>
        <w:t>mapped.</w:t>
      </w:r>
    </w:p>
    <w:p>
      <w:pPr>
        <w:pStyle w:val="BodyText"/>
        <w:spacing w:before="4"/>
      </w:pPr>
    </w:p>
    <w:p>
      <w:pPr>
        <w:pStyle w:val="ListParagraph"/>
        <w:numPr>
          <w:ilvl w:val="0"/>
          <w:numId w:val="75"/>
        </w:numPr>
        <w:tabs>
          <w:tab w:pos="734" w:val="left" w:leader="none"/>
        </w:tabs>
        <w:spacing w:line="288" w:lineRule="auto" w:before="0" w:after="0"/>
        <w:ind w:left="734" w:right="829" w:hanging="361"/>
        <w:jc w:val="left"/>
        <w:rPr>
          <w:sz w:val="22"/>
        </w:rPr>
      </w:pPr>
      <w:r>
        <w:rPr>
          <w:sz w:val="22"/>
        </w:rPr>
        <w:t>The</w:t>
      </w:r>
      <w:r>
        <w:rPr>
          <w:spacing w:val="-4"/>
          <w:sz w:val="22"/>
        </w:rPr>
        <w:t> </w:t>
      </w:r>
      <w:r>
        <w:rPr>
          <w:sz w:val="22"/>
        </w:rPr>
        <w:t>application</w:t>
      </w:r>
      <w:r>
        <w:rPr>
          <w:spacing w:val="-2"/>
          <w:sz w:val="22"/>
        </w:rPr>
        <w:t> </w:t>
      </w:r>
      <w:r>
        <w:rPr>
          <w:sz w:val="22"/>
        </w:rPr>
        <w:t>of the</w:t>
      </w:r>
      <w:r>
        <w:rPr>
          <w:spacing w:val="-4"/>
          <w:sz w:val="22"/>
        </w:rPr>
        <w:t> </w:t>
      </w:r>
      <w:r>
        <w:rPr>
          <w:sz w:val="22"/>
        </w:rPr>
        <w:t>Environmental</w:t>
      </w:r>
      <w:r>
        <w:rPr>
          <w:spacing w:val="-3"/>
          <w:sz w:val="22"/>
        </w:rPr>
        <w:t> </w:t>
      </w:r>
      <w:r>
        <w:rPr>
          <w:sz w:val="22"/>
        </w:rPr>
        <w:t>Significance</w:t>
      </w:r>
      <w:r>
        <w:rPr>
          <w:spacing w:val="-6"/>
          <w:sz w:val="22"/>
        </w:rPr>
        <w:t> </w:t>
      </w:r>
      <w:r>
        <w:rPr>
          <w:sz w:val="22"/>
        </w:rPr>
        <w:t>Overlay</w:t>
      </w:r>
      <w:r>
        <w:rPr>
          <w:spacing w:val="-4"/>
          <w:sz w:val="22"/>
        </w:rPr>
        <w:t> </w:t>
      </w:r>
      <w:r>
        <w:rPr>
          <w:sz w:val="22"/>
        </w:rPr>
        <w:t>schedules</w:t>
      </w:r>
      <w:r>
        <w:rPr>
          <w:spacing w:val="-2"/>
          <w:sz w:val="22"/>
        </w:rPr>
        <w:t> </w:t>
      </w:r>
      <w:r>
        <w:rPr>
          <w:sz w:val="22"/>
        </w:rPr>
        <w:t>to</w:t>
      </w:r>
      <w:r>
        <w:rPr>
          <w:spacing w:val="-4"/>
          <w:sz w:val="22"/>
        </w:rPr>
        <w:t> </w:t>
      </w:r>
      <w:r>
        <w:rPr>
          <w:sz w:val="22"/>
        </w:rPr>
        <w:t>pipelines</w:t>
      </w:r>
      <w:r>
        <w:rPr>
          <w:spacing w:val="-1"/>
          <w:sz w:val="22"/>
        </w:rPr>
        <w:t> </w:t>
      </w:r>
      <w:r>
        <w:rPr>
          <w:sz w:val="22"/>
        </w:rPr>
        <w:t>that</w:t>
      </w:r>
      <w:r>
        <w:rPr>
          <w:spacing w:val="-3"/>
          <w:sz w:val="22"/>
        </w:rPr>
        <w:t> </w:t>
      </w:r>
      <w:r>
        <w:rPr>
          <w:sz w:val="22"/>
        </w:rPr>
        <w:t>do not meet the High Density T2 rating as defined in AS 2885.</w:t>
      </w:r>
    </w:p>
    <w:p>
      <w:pPr>
        <w:pStyle w:val="BodyText"/>
        <w:spacing w:before="1"/>
      </w:pPr>
    </w:p>
    <w:p>
      <w:pPr>
        <w:pStyle w:val="ListParagraph"/>
        <w:numPr>
          <w:ilvl w:val="0"/>
          <w:numId w:val="75"/>
        </w:numPr>
        <w:tabs>
          <w:tab w:pos="734" w:val="left" w:leader="none"/>
        </w:tabs>
        <w:spacing w:line="288" w:lineRule="auto" w:before="0" w:after="0"/>
        <w:ind w:left="734" w:right="1580" w:hanging="361"/>
        <w:jc w:val="left"/>
        <w:rPr>
          <w:sz w:val="22"/>
        </w:rPr>
      </w:pPr>
      <w:r>
        <w:rPr>
          <w:sz w:val="22"/>
        </w:rPr>
        <w:t>The</w:t>
      </w:r>
      <w:r>
        <w:rPr>
          <w:spacing w:val="-5"/>
          <w:sz w:val="22"/>
        </w:rPr>
        <w:t> </w:t>
      </w:r>
      <w:r>
        <w:rPr>
          <w:sz w:val="22"/>
        </w:rPr>
        <w:t>preparation</w:t>
      </w:r>
      <w:r>
        <w:rPr>
          <w:spacing w:val="-3"/>
          <w:sz w:val="22"/>
        </w:rPr>
        <w:t> </w:t>
      </w:r>
      <w:r>
        <w:rPr>
          <w:sz w:val="22"/>
        </w:rPr>
        <w:t>of</w:t>
      </w:r>
      <w:r>
        <w:rPr>
          <w:spacing w:val="-1"/>
          <w:sz w:val="22"/>
        </w:rPr>
        <w:t> </w:t>
      </w:r>
      <w:r>
        <w:rPr>
          <w:sz w:val="22"/>
        </w:rPr>
        <w:t>a</w:t>
      </w:r>
      <w:r>
        <w:rPr>
          <w:spacing w:val="-5"/>
          <w:sz w:val="22"/>
        </w:rPr>
        <w:t> </w:t>
      </w:r>
      <w:r>
        <w:rPr>
          <w:sz w:val="22"/>
        </w:rPr>
        <w:t>Planning</w:t>
      </w:r>
      <w:r>
        <w:rPr>
          <w:spacing w:val="-1"/>
          <w:sz w:val="22"/>
        </w:rPr>
        <w:t> </w:t>
      </w:r>
      <w:r>
        <w:rPr>
          <w:sz w:val="22"/>
        </w:rPr>
        <w:t>Practice</w:t>
      </w:r>
      <w:r>
        <w:rPr>
          <w:spacing w:val="-5"/>
          <w:sz w:val="22"/>
        </w:rPr>
        <w:t> </w:t>
      </w:r>
      <w:r>
        <w:rPr>
          <w:sz w:val="22"/>
        </w:rPr>
        <w:t>Note</w:t>
      </w:r>
      <w:r>
        <w:rPr>
          <w:spacing w:val="-4"/>
          <w:sz w:val="22"/>
        </w:rPr>
        <w:t> </w:t>
      </w:r>
      <w:r>
        <w:rPr>
          <w:sz w:val="22"/>
        </w:rPr>
        <w:t>to</w:t>
      </w:r>
      <w:r>
        <w:rPr>
          <w:spacing w:val="-5"/>
          <w:sz w:val="22"/>
        </w:rPr>
        <w:t> </w:t>
      </w:r>
      <w:r>
        <w:rPr>
          <w:sz w:val="22"/>
        </w:rPr>
        <w:t>assist</w:t>
      </w:r>
      <w:r>
        <w:rPr>
          <w:spacing w:val="-1"/>
          <w:sz w:val="22"/>
        </w:rPr>
        <w:t> </w:t>
      </w:r>
      <w:r>
        <w:rPr>
          <w:sz w:val="22"/>
        </w:rPr>
        <w:t>in</w:t>
      </w:r>
      <w:r>
        <w:rPr>
          <w:spacing w:val="-5"/>
          <w:sz w:val="22"/>
        </w:rPr>
        <w:t> </w:t>
      </w:r>
      <w:r>
        <w:rPr>
          <w:sz w:val="22"/>
        </w:rPr>
        <w:t>the</w:t>
      </w:r>
      <w:r>
        <w:rPr>
          <w:spacing w:val="-3"/>
          <w:sz w:val="22"/>
        </w:rPr>
        <w:t> </w:t>
      </w:r>
      <w:r>
        <w:rPr>
          <w:sz w:val="22"/>
        </w:rPr>
        <w:t>implementation</w:t>
      </w:r>
      <w:r>
        <w:rPr>
          <w:spacing w:val="-3"/>
          <w:sz w:val="22"/>
        </w:rPr>
        <w:t> </w:t>
      </w:r>
      <w:r>
        <w:rPr>
          <w:sz w:val="22"/>
        </w:rPr>
        <w:t>of</w:t>
      </w:r>
      <w:r>
        <w:rPr>
          <w:spacing w:val="-1"/>
          <w:sz w:val="22"/>
        </w:rPr>
        <w:t> </w:t>
      </w:r>
      <w:r>
        <w:rPr>
          <w:sz w:val="22"/>
        </w:rPr>
        <w:t>an improved planning process.</w:t>
      </w:r>
    </w:p>
    <w:p>
      <w:pPr>
        <w:spacing w:after="0" w:line="288" w:lineRule="auto"/>
        <w:jc w:val="left"/>
        <w:rPr>
          <w:sz w:val="22"/>
        </w:rPr>
        <w:sectPr>
          <w:pgSz w:w="11910" w:h="16850"/>
          <w:pgMar w:header="220" w:footer="678" w:top="420" w:bottom="860" w:left="900" w:right="840"/>
        </w:sectPr>
      </w:pPr>
    </w:p>
    <w:p>
      <w:pPr>
        <w:pStyle w:val="BodyText"/>
        <w:rPr>
          <w:sz w:val="20"/>
        </w:rPr>
      </w:pPr>
    </w:p>
    <w:p>
      <w:pPr>
        <w:pStyle w:val="BodyText"/>
        <w:spacing w:before="2"/>
        <w:rPr>
          <w:sz w:val="19"/>
        </w:rPr>
      </w:pPr>
    </w:p>
    <w:p>
      <w:pPr>
        <w:pStyle w:val="BodyText"/>
        <w:spacing w:line="288" w:lineRule="auto" w:before="94"/>
        <w:ind w:left="232"/>
      </w:pPr>
      <w:r>
        <w:rPr/>
        <w:t>The</w:t>
      </w:r>
      <w:r>
        <w:rPr>
          <w:spacing w:val="-4"/>
        </w:rPr>
        <w:t> </w:t>
      </w:r>
      <w:r>
        <w:rPr/>
        <w:t>Advisory</w:t>
      </w:r>
      <w:r>
        <w:rPr>
          <w:spacing w:val="-3"/>
        </w:rPr>
        <w:t> </w:t>
      </w:r>
      <w:r>
        <w:rPr/>
        <w:t>Committee</w:t>
      </w:r>
      <w:r>
        <w:rPr>
          <w:spacing w:val="-4"/>
        </w:rPr>
        <w:t> </w:t>
      </w:r>
      <w:r>
        <w:rPr/>
        <w:t>concluded</w:t>
      </w:r>
      <w:r>
        <w:rPr>
          <w:spacing w:val="-4"/>
        </w:rPr>
        <w:t> </w:t>
      </w:r>
      <w:r>
        <w:rPr/>
        <w:t>that</w:t>
      </w:r>
      <w:r>
        <w:rPr>
          <w:spacing w:val="-3"/>
        </w:rPr>
        <w:t> </w:t>
      </w:r>
      <w:r>
        <w:rPr/>
        <w:t>the</w:t>
      </w:r>
      <w:r>
        <w:rPr>
          <w:spacing w:val="-4"/>
        </w:rPr>
        <w:t> </w:t>
      </w:r>
      <w:r>
        <w:rPr/>
        <w:t>Victorian</w:t>
      </w:r>
      <w:r>
        <w:rPr>
          <w:spacing w:val="-2"/>
        </w:rPr>
        <w:t> </w:t>
      </w:r>
      <w:r>
        <w:rPr/>
        <w:t>planning</w:t>
      </w:r>
      <w:r>
        <w:rPr>
          <w:spacing w:val="-2"/>
        </w:rPr>
        <w:t> </w:t>
      </w:r>
      <w:r>
        <w:rPr/>
        <w:t>system</w:t>
      </w:r>
      <w:r>
        <w:rPr>
          <w:spacing w:val="-3"/>
        </w:rPr>
        <w:t> </w:t>
      </w:r>
      <w:r>
        <w:rPr/>
        <w:t>does</w:t>
      </w:r>
      <w:r>
        <w:rPr>
          <w:spacing w:val="-1"/>
        </w:rPr>
        <w:t> </w:t>
      </w:r>
      <w:r>
        <w:rPr/>
        <w:t>not</w:t>
      </w:r>
      <w:r>
        <w:rPr>
          <w:spacing w:val="-3"/>
        </w:rPr>
        <w:t> </w:t>
      </w:r>
      <w:r>
        <w:rPr/>
        <w:t>always</w:t>
      </w:r>
      <w:r>
        <w:rPr>
          <w:spacing w:val="-1"/>
        </w:rPr>
        <w:t> </w:t>
      </w:r>
      <w:r>
        <w:rPr/>
        <w:t>adequately address land use planning for areas around underground assets such as gas pipelines, and noted some instances where pipeline easements had already been encroached upon.</w:t>
      </w:r>
      <w:r>
        <w:rPr>
          <w:spacing w:val="-15"/>
        </w:rPr>
        <w:t> </w:t>
      </w:r>
      <w:r>
        <w:rPr/>
        <w:t>The Lara Precinct Structure Plan listed below highlights an example where this occurred (Major Hazard Facilities Advisory Committee, 2015, p. 59).</w:t>
      </w:r>
    </w:p>
    <w:p>
      <w:pPr>
        <w:pStyle w:val="BodyText"/>
        <w:spacing w:before="8"/>
        <w:rPr>
          <w:sz w:val="18"/>
        </w:rPr>
      </w:pPr>
      <w:r>
        <w:rPr/>
        <mc:AlternateContent>
          <mc:Choice Requires="wps">
            <w:drawing>
              <wp:anchor distT="0" distB="0" distL="0" distR="0" allowOverlap="1" layoutInCell="1" locked="0" behindDoc="1" simplePos="0" relativeHeight="487651328">
                <wp:simplePos x="0" y="0"/>
                <wp:positionH relativeFrom="page">
                  <wp:posOffset>652272</wp:posOffset>
                </wp:positionH>
                <wp:positionV relativeFrom="paragraph">
                  <wp:posOffset>152315</wp:posOffset>
                </wp:positionV>
                <wp:extent cx="6100445" cy="3806190"/>
                <wp:effectExtent l="0" t="0" r="0" b="0"/>
                <wp:wrapTopAndBottom/>
                <wp:docPr id="188" name="Textbox 188"/>
                <wp:cNvGraphicFramePr>
                  <a:graphicFrameLocks/>
                </wp:cNvGraphicFramePr>
                <a:graphic>
                  <a:graphicData uri="http://schemas.microsoft.com/office/word/2010/wordprocessingShape">
                    <wps:wsp>
                      <wps:cNvPr id="188" name="Textbox 188"/>
                      <wps:cNvSpPr txBox="1"/>
                      <wps:spPr>
                        <a:xfrm>
                          <a:off x="0" y="0"/>
                          <a:ext cx="6100445" cy="3806190"/>
                        </a:xfrm>
                        <a:prstGeom prst="rect">
                          <a:avLst/>
                        </a:prstGeom>
                        <a:solidFill>
                          <a:srgbClr val="CDEBEB"/>
                        </a:solidFill>
                      </wps:spPr>
                      <wps:txbx>
                        <w:txbxContent>
                          <w:p>
                            <w:pPr>
                              <w:pStyle w:val="BodyText"/>
                              <w:spacing w:before="9"/>
                              <w:rPr>
                                <w:color w:val="000000"/>
                                <w:sz w:val="20"/>
                              </w:rPr>
                            </w:pPr>
                          </w:p>
                          <w:p>
                            <w:pPr>
                              <w:spacing w:line="288" w:lineRule="auto" w:before="1"/>
                              <w:ind w:left="105" w:right="226" w:firstLine="0"/>
                              <w:jc w:val="left"/>
                              <w:rPr>
                                <w:b/>
                                <w:color w:val="000000"/>
                                <w:sz w:val="22"/>
                              </w:rPr>
                            </w:pPr>
                            <w:r>
                              <w:rPr>
                                <w:b/>
                                <w:color w:val="000000"/>
                                <w:sz w:val="22"/>
                              </w:rPr>
                              <w:t>Box</w:t>
                            </w:r>
                            <w:r>
                              <w:rPr>
                                <w:b/>
                                <w:color w:val="000000"/>
                                <w:spacing w:val="-3"/>
                                <w:sz w:val="22"/>
                              </w:rPr>
                              <w:t> </w:t>
                            </w:r>
                            <w:r>
                              <w:rPr>
                                <w:b/>
                                <w:color w:val="000000"/>
                                <w:sz w:val="22"/>
                              </w:rPr>
                              <w:t>21:</w:t>
                            </w:r>
                            <w:r>
                              <w:rPr>
                                <w:b/>
                                <w:color w:val="000000"/>
                                <w:spacing w:val="-2"/>
                                <w:sz w:val="22"/>
                              </w:rPr>
                              <w:t> </w:t>
                            </w:r>
                            <w:r>
                              <w:rPr>
                                <w:b/>
                                <w:color w:val="000000"/>
                                <w:sz w:val="22"/>
                              </w:rPr>
                              <w:t>Lara</w:t>
                            </w:r>
                            <w:r>
                              <w:rPr>
                                <w:b/>
                                <w:color w:val="000000"/>
                                <w:spacing w:val="-5"/>
                                <w:sz w:val="22"/>
                              </w:rPr>
                              <w:t> </w:t>
                            </w:r>
                            <w:r>
                              <w:rPr>
                                <w:b/>
                                <w:color w:val="000000"/>
                                <w:sz w:val="22"/>
                              </w:rPr>
                              <w:t>West</w:t>
                            </w:r>
                            <w:r>
                              <w:rPr>
                                <w:b/>
                                <w:color w:val="000000"/>
                                <w:spacing w:val="-4"/>
                                <w:sz w:val="22"/>
                              </w:rPr>
                              <w:t> </w:t>
                            </w:r>
                            <w:r>
                              <w:rPr>
                                <w:b/>
                                <w:color w:val="000000"/>
                                <w:sz w:val="22"/>
                              </w:rPr>
                              <w:t>Precinct</w:t>
                            </w:r>
                            <w:r>
                              <w:rPr>
                                <w:b/>
                                <w:color w:val="000000"/>
                                <w:spacing w:val="-4"/>
                                <w:sz w:val="22"/>
                              </w:rPr>
                              <w:t> </w:t>
                            </w:r>
                            <w:r>
                              <w:rPr>
                                <w:b/>
                                <w:color w:val="000000"/>
                                <w:sz w:val="22"/>
                              </w:rPr>
                              <w:t>Structure</w:t>
                            </w:r>
                            <w:r>
                              <w:rPr>
                                <w:b/>
                                <w:color w:val="000000"/>
                                <w:spacing w:val="-5"/>
                                <w:sz w:val="22"/>
                              </w:rPr>
                              <w:t> </w:t>
                            </w:r>
                            <w:r>
                              <w:rPr>
                                <w:b/>
                                <w:color w:val="000000"/>
                                <w:sz w:val="22"/>
                              </w:rPr>
                              <w:t>Plan,</w:t>
                            </w:r>
                            <w:r>
                              <w:rPr>
                                <w:b/>
                                <w:color w:val="000000"/>
                                <w:spacing w:val="-6"/>
                                <w:sz w:val="22"/>
                              </w:rPr>
                              <w:t> </w:t>
                            </w:r>
                            <w:r>
                              <w:rPr>
                                <w:b/>
                                <w:color w:val="000000"/>
                                <w:sz w:val="22"/>
                              </w:rPr>
                              <w:t>Greater</w:t>
                            </w:r>
                            <w:r>
                              <w:rPr>
                                <w:b/>
                                <w:color w:val="000000"/>
                                <w:spacing w:val="-5"/>
                                <w:sz w:val="22"/>
                              </w:rPr>
                              <w:t> </w:t>
                            </w:r>
                            <w:r>
                              <w:rPr>
                                <w:b/>
                                <w:color w:val="000000"/>
                                <w:sz w:val="22"/>
                              </w:rPr>
                              <w:t>Geelong</w:t>
                            </w:r>
                            <w:r>
                              <w:rPr>
                                <w:b/>
                                <w:color w:val="000000"/>
                                <w:spacing w:val="-3"/>
                                <w:sz w:val="22"/>
                              </w:rPr>
                              <w:t> </w:t>
                            </w:r>
                            <w:r>
                              <w:rPr>
                                <w:b/>
                                <w:color w:val="000000"/>
                                <w:sz w:val="22"/>
                              </w:rPr>
                              <w:t>Planning</w:t>
                            </w:r>
                            <w:r>
                              <w:rPr>
                                <w:b/>
                                <w:color w:val="000000"/>
                                <w:spacing w:val="-3"/>
                                <w:sz w:val="22"/>
                              </w:rPr>
                              <w:t> </w:t>
                            </w:r>
                            <w:r>
                              <w:rPr>
                                <w:b/>
                                <w:color w:val="000000"/>
                                <w:sz w:val="22"/>
                              </w:rPr>
                              <w:t>Scheme Amendment C246</w:t>
                            </w:r>
                          </w:p>
                          <w:p>
                            <w:pPr>
                              <w:pStyle w:val="BodyText"/>
                              <w:spacing w:before="9"/>
                              <w:rPr>
                                <w:b/>
                                <w:color w:val="000000"/>
                                <w:sz w:val="20"/>
                              </w:rPr>
                            </w:pPr>
                          </w:p>
                          <w:p>
                            <w:pPr>
                              <w:pStyle w:val="BodyText"/>
                              <w:spacing w:line="288" w:lineRule="auto" w:before="1"/>
                              <w:ind w:left="105" w:right="226"/>
                              <w:rPr>
                                <w:color w:val="000000"/>
                              </w:rPr>
                            </w:pPr>
                            <w:r>
                              <w:rPr>
                                <w:color w:val="000000"/>
                              </w:rPr>
                              <w:t>The</w:t>
                            </w:r>
                            <w:r>
                              <w:rPr>
                                <w:color w:val="000000"/>
                                <w:spacing w:val="-5"/>
                              </w:rPr>
                              <w:t> </w:t>
                            </w:r>
                            <w:r>
                              <w:rPr>
                                <w:color w:val="000000"/>
                              </w:rPr>
                              <w:t>presence</w:t>
                            </w:r>
                            <w:r>
                              <w:rPr>
                                <w:color w:val="000000"/>
                                <w:spacing w:val="-6"/>
                              </w:rPr>
                              <w:t> </w:t>
                            </w:r>
                            <w:r>
                              <w:rPr>
                                <w:color w:val="000000"/>
                              </w:rPr>
                              <w:t>of</w:t>
                            </w:r>
                            <w:r>
                              <w:rPr>
                                <w:color w:val="000000"/>
                                <w:spacing w:val="-1"/>
                              </w:rPr>
                              <w:t> </w:t>
                            </w:r>
                            <w:r>
                              <w:rPr>
                                <w:color w:val="000000"/>
                              </w:rPr>
                              <w:t>a</w:t>
                            </w:r>
                            <w:r>
                              <w:rPr>
                                <w:color w:val="000000"/>
                                <w:spacing w:val="-5"/>
                              </w:rPr>
                              <w:t> </w:t>
                            </w:r>
                            <w:r>
                              <w:rPr>
                                <w:color w:val="000000"/>
                              </w:rPr>
                              <w:t>significant high</w:t>
                            </w:r>
                            <w:r>
                              <w:rPr>
                                <w:color w:val="000000"/>
                                <w:spacing w:val="-3"/>
                              </w:rPr>
                              <w:t> </w:t>
                            </w:r>
                            <w:r>
                              <w:rPr>
                                <w:color w:val="000000"/>
                              </w:rPr>
                              <w:t>pressure</w:t>
                            </w:r>
                            <w:r>
                              <w:rPr>
                                <w:color w:val="000000"/>
                                <w:spacing w:val="-4"/>
                              </w:rPr>
                              <w:t> </w:t>
                            </w:r>
                            <w:r>
                              <w:rPr>
                                <w:color w:val="000000"/>
                              </w:rPr>
                              <w:t>gas</w:t>
                            </w:r>
                            <w:r>
                              <w:rPr>
                                <w:color w:val="000000"/>
                                <w:spacing w:val="-2"/>
                              </w:rPr>
                              <w:t> </w:t>
                            </w:r>
                            <w:r>
                              <w:rPr>
                                <w:color w:val="000000"/>
                              </w:rPr>
                              <w:t>pipeline</w:t>
                            </w:r>
                            <w:r>
                              <w:rPr>
                                <w:color w:val="000000"/>
                                <w:spacing w:val="-3"/>
                              </w:rPr>
                              <w:t> </w:t>
                            </w:r>
                            <w:r>
                              <w:rPr>
                                <w:color w:val="000000"/>
                              </w:rPr>
                              <w:t>only</w:t>
                            </w:r>
                            <w:r>
                              <w:rPr>
                                <w:color w:val="000000"/>
                                <w:spacing w:val="-5"/>
                              </w:rPr>
                              <w:t> </w:t>
                            </w:r>
                            <w:r>
                              <w:rPr>
                                <w:color w:val="000000"/>
                              </w:rPr>
                              <w:t>emerged</w:t>
                            </w:r>
                            <w:r>
                              <w:rPr>
                                <w:color w:val="000000"/>
                                <w:spacing w:val="-5"/>
                              </w:rPr>
                              <w:t> </w:t>
                            </w:r>
                            <w:r>
                              <w:rPr>
                                <w:color w:val="000000"/>
                              </w:rPr>
                              <w:t>in</w:t>
                            </w:r>
                            <w:r>
                              <w:rPr>
                                <w:color w:val="000000"/>
                                <w:spacing w:val="-3"/>
                              </w:rPr>
                              <w:t> </w:t>
                            </w:r>
                            <w:r>
                              <w:rPr>
                                <w:color w:val="000000"/>
                              </w:rPr>
                              <w:t>the</w:t>
                            </w:r>
                            <w:r>
                              <w:rPr>
                                <w:color w:val="000000"/>
                                <w:spacing w:val="-3"/>
                              </w:rPr>
                              <w:t> </w:t>
                            </w:r>
                            <w:r>
                              <w:rPr>
                                <w:color w:val="000000"/>
                              </w:rPr>
                              <w:t>period</w:t>
                            </w:r>
                            <w:r>
                              <w:rPr>
                                <w:color w:val="000000"/>
                                <w:spacing w:val="-3"/>
                              </w:rPr>
                              <w:t> </w:t>
                            </w:r>
                            <w:r>
                              <w:rPr>
                                <w:color w:val="000000"/>
                              </w:rPr>
                              <w:t>after Council had already adopted the Lara West Structure Plan in 2011.</w:t>
                            </w:r>
                          </w:p>
                          <w:p>
                            <w:pPr>
                              <w:pStyle w:val="BodyText"/>
                              <w:spacing w:before="10"/>
                              <w:rPr>
                                <w:color w:val="000000"/>
                                <w:sz w:val="20"/>
                              </w:rPr>
                            </w:pPr>
                          </w:p>
                          <w:p>
                            <w:pPr>
                              <w:pStyle w:val="BodyText"/>
                              <w:spacing w:line="288" w:lineRule="auto"/>
                              <w:ind w:left="105" w:right="7"/>
                              <w:rPr>
                                <w:color w:val="000000"/>
                              </w:rPr>
                            </w:pPr>
                            <w:r>
                              <w:rPr>
                                <w:color w:val="000000"/>
                              </w:rPr>
                              <w:t>The pipeline concerned was completed in 1999, only a little more than a decade prior to the Council’s</w:t>
                            </w:r>
                            <w:r>
                              <w:rPr>
                                <w:color w:val="000000"/>
                                <w:spacing w:val="-2"/>
                              </w:rPr>
                              <w:t> </w:t>
                            </w:r>
                            <w:r>
                              <w:rPr>
                                <w:color w:val="000000"/>
                              </w:rPr>
                              <w:t>consideration</w:t>
                            </w:r>
                            <w:r>
                              <w:rPr>
                                <w:color w:val="000000"/>
                                <w:spacing w:val="-3"/>
                              </w:rPr>
                              <w:t> </w:t>
                            </w:r>
                            <w:r>
                              <w:rPr>
                                <w:color w:val="000000"/>
                              </w:rPr>
                              <w:t>of</w:t>
                            </w:r>
                            <w:r>
                              <w:rPr>
                                <w:color w:val="000000"/>
                                <w:spacing w:val="-4"/>
                              </w:rPr>
                              <w:t> </w:t>
                            </w:r>
                            <w:r>
                              <w:rPr>
                                <w:color w:val="000000"/>
                              </w:rPr>
                              <w:t>the</w:t>
                            </w:r>
                            <w:r>
                              <w:rPr>
                                <w:color w:val="000000"/>
                                <w:spacing w:val="-3"/>
                              </w:rPr>
                              <w:t> </w:t>
                            </w:r>
                            <w:r>
                              <w:rPr>
                                <w:color w:val="000000"/>
                              </w:rPr>
                              <w:t>structure</w:t>
                            </w:r>
                            <w:r>
                              <w:rPr>
                                <w:color w:val="000000"/>
                                <w:spacing w:val="-3"/>
                              </w:rPr>
                              <w:t> </w:t>
                            </w:r>
                            <w:r>
                              <w:rPr>
                                <w:color w:val="000000"/>
                              </w:rPr>
                              <w:t>plan,</w:t>
                            </w:r>
                            <w:r>
                              <w:rPr>
                                <w:color w:val="000000"/>
                                <w:spacing w:val="-4"/>
                              </w:rPr>
                              <w:t> </w:t>
                            </w:r>
                            <w:r>
                              <w:rPr>
                                <w:color w:val="000000"/>
                              </w:rPr>
                              <w:t>and</w:t>
                            </w:r>
                            <w:r>
                              <w:rPr>
                                <w:color w:val="000000"/>
                                <w:spacing w:val="-2"/>
                              </w:rPr>
                              <w:t> </w:t>
                            </w:r>
                            <w:r>
                              <w:rPr>
                                <w:color w:val="000000"/>
                              </w:rPr>
                              <w:t>one</w:t>
                            </w:r>
                            <w:r>
                              <w:rPr>
                                <w:color w:val="000000"/>
                                <w:spacing w:val="-3"/>
                              </w:rPr>
                              <w:t> </w:t>
                            </w:r>
                            <w:r>
                              <w:rPr>
                                <w:color w:val="000000"/>
                              </w:rPr>
                              <w:t>of</w:t>
                            </w:r>
                            <w:r>
                              <w:rPr>
                                <w:color w:val="000000"/>
                                <w:spacing w:val="-1"/>
                              </w:rPr>
                              <w:t> </w:t>
                            </w:r>
                            <w:r>
                              <w:rPr>
                                <w:color w:val="000000"/>
                              </w:rPr>
                              <w:t>main</w:t>
                            </w:r>
                            <w:r>
                              <w:rPr>
                                <w:color w:val="000000"/>
                                <w:spacing w:val="-3"/>
                              </w:rPr>
                              <w:t> </w:t>
                            </w:r>
                            <w:r>
                              <w:rPr>
                                <w:color w:val="000000"/>
                              </w:rPr>
                              <w:t>natural</w:t>
                            </w:r>
                            <w:r>
                              <w:rPr>
                                <w:color w:val="000000"/>
                                <w:spacing w:val="-6"/>
                              </w:rPr>
                              <w:t> </w:t>
                            </w:r>
                            <w:r>
                              <w:rPr>
                                <w:color w:val="000000"/>
                              </w:rPr>
                              <w:t>gas</w:t>
                            </w:r>
                            <w:r>
                              <w:rPr>
                                <w:color w:val="000000"/>
                                <w:spacing w:val="-5"/>
                              </w:rPr>
                              <w:t> </w:t>
                            </w:r>
                            <w:r>
                              <w:rPr>
                                <w:color w:val="000000"/>
                              </w:rPr>
                              <w:t>transmission</w:t>
                            </w:r>
                            <w:r>
                              <w:rPr>
                                <w:color w:val="000000"/>
                                <w:spacing w:val="-3"/>
                              </w:rPr>
                              <w:t> </w:t>
                            </w:r>
                            <w:r>
                              <w:rPr>
                                <w:color w:val="000000"/>
                              </w:rPr>
                              <w:t>pipelines supplying Melbourne. The safety buffer required for this pipeline is considerable due to its size and pressure – a radial distance of up to 554 metres.</w:t>
                            </w:r>
                          </w:p>
                          <w:p>
                            <w:pPr>
                              <w:pStyle w:val="BodyText"/>
                              <w:spacing w:before="10"/>
                              <w:rPr>
                                <w:color w:val="000000"/>
                                <w:sz w:val="20"/>
                              </w:rPr>
                            </w:pPr>
                          </w:p>
                          <w:p>
                            <w:pPr>
                              <w:pStyle w:val="BodyText"/>
                              <w:spacing w:line="288" w:lineRule="auto"/>
                              <w:ind w:left="105" w:right="226"/>
                              <w:rPr>
                                <w:color w:val="000000"/>
                              </w:rPr>
                            </w:pPr>
                            <w:r>
                              <w:rPr>
                                <w:color w:val="000000"/>
                              </w:rPr>
                              <w:t>If a full rupture of this pipeline occurred, the effect of exposure within this 554 metres zone would</w:t>
                            </w:r>
                            <w:r>
                              <w:rPr>
                                <w:color w:val="000000"/>
                                <w:spacing w:val="-2"/>
                              </w:rPr>
                              <w:t> </w:t>
                            </w:r>
                            <w:r>
                              <w:rPr>
                                <w:color w:val="000000"/>
                              </w:rPr>
                              <w:t>be</w:t>
                            </w:r>
                            <w:r>
                              <w:rPr>
                                <w:color w:val="000000"/>
                                <w:spacing w:val="-2"/>
                              </w:rPr>
                              <w:t> </w:t>
                            </w:r>
                            <w:r>
                              <w:rPr>
                                <w:color w:val="000000"/>
                              </w:rPr>
                              <w:t>likely</w:t>
                            </w:r>
                            <w:r>
                              <w:rPr>
                                <w:color w:val="000000"/>
                                <w:spacing w:val="-4"/>
                              </w:rPr>
                              <w:t> </w:t>
                            </w:r>
                            <w:r>
                              <w:rPr>
                                <w:color w:val="000000"/>
                              </w:rPr>
                              <w:t>to</w:t>
                            </w:r>
                            <w:r>
                              <w:rPr>
                                <w:color w:val="000000"/>
                                <w:spacing w:val="-4"/>
                              </w:rPr>
                              <w:t> </w:t>
                            </w:r>
                            <w:r>
                              <w:rPr>
                                <w:color w:val="000000"/>
                              </w:rPr>
                              <w:t>cause</w:t>
                            </w:r>
                            <w:r>
                              <w:rPr>
                                <w:color w:val="000000"/>
                                <w:spacing w:val="-2"/>
                              </w:rPr>
                              <w:t> </w:t>
                            </w:r>
                            <w:r>
                              <w:rPr>
                                <w:color w:val="000000"/>
                              </w:rPr>
                              <w:t>injury</w:t>
                            </w:r>
                            <w:r>
                              <w:rPr>
                                <w:color w:val="000000"/>
                                <w:spacing w:val="-3"/>
                              </w:rPr>
                              <w:t> </w:t>
                            </w:r>
                            <w:r>
                              <w:rPr>
                                <w:color w:val="000000"/>
                              </w:rPr>
                              <w:t>and</w:t>
                            </w:r>
                            <w:r>
                              <w:rPr>
                                <w:color w:val="000000"/>
                                <w:spacing w:val="-2"/>
                              </w:rPr>
                              <w:t> </w:t>
                            </w:r>
                            <w:r>
                              <w:rPr>
                                <w:color w:val="000000"/>
                              </w:rPr>
                              <w:t>burns.</w:t>
                            </w:r>
                            <w:r>
                              <w:rPr>
                                <w:color w:val="000000"/>
                                <w:spacing w:val="-8"/>
                              </w:rPr>
                              <w:t> </w:t>
                            </w:r>
                            <w:r>
                              <w:rPr>
                                <w:color w:val="000000"/>
                              </w:rPr>
                              <w:t>Within</w:t>
                            </w:r>
                            <w:r>
                              <w:rPr>
                                <w:color w:val="000000"/>
                                <w:spacing w:val="-2"/>
                              </w:rPr>
                              <w:t> </w:t>
                            </w:r>
                            <w:r>
                              <w:rPr>
                                <w:color w:val="000000"/>
                              </w:rPr>
                              <w:t>324</w:t>
                            </w:r>
                            <w:r>
                              <w:rPr>
                                <w:color w:val="000000"/>
                                <w:spacing w:val="-2"/>
                              </w:rPr>
                              <w:t> </w:t>
                            </w:r>
                            <w:r>
                              <w:rPr>
                                <w:color w:val="000000"/>
                              </w:rPr>
                              <w:t>metres</w:t>
                            </w:r>
                            <w:r>
                              <w:rPr>
                                <w:color w:val="000000"/>
                                <w:spacing w:val="-4"/>
                              </w:rPr>
                              <w:t> </w:t>
                            </w:r>
                            <w:r>
                              <w:rPr>
                                <w:color w:val="000000"/>
                              </w:rPr>
                              <w:t>of</w:t>
                            </w:r>
                            <w:r>
                              <w:rPr>
                                <w:color w:val="000000"/>
                                <w:spacing w:val="-3"/>
                              </w:rPr>
                              <w:t> </w:t>
                            </w:r>
                            <w:r>
                              <w:rPr>
                                <w:color w:val="000000"/>
                              </w:rPr>
                              <w:t>the</w:t>
                            </w:r>
                            <w:r>
                              <w:rPr>
                                <w:color w:val="000000"/>
                                <w:spacing w:val="-2"/>
                              </w:rPr>
                              <w:t> </w:t>
                            </w:r>
                            <w:r>
                              <w:rPr>
                                <w:color w:val="000000"/>
                              </w:rPr>
                              <w:t>pipeline,</w:t>
                            </w:r>
                            <w:r>
                              <w:rPr>
                                <w:color w:val="000000"/>
                                <w:spacing w:val="-3"/>
                              </w:rPr>
                              <w:t> </w:t>
                            </w:r>
                            <w:r>
                              <w:rPr>
                                <w:color w:val="000000"/>
                              </w:rPr>
                              <w:t>there</w:t>
                            </w:r>
                            <w:r>
                              <w:rPr>
                                <w:color w:val="000000"/>
                                <w:spacing w:val="-4"/>
                              </w:rPr>
                              <w:t> </w:t>
                            </w:r>
                            <w:r>
                              <w:rPr>
                                <w:color w:val="000000"/>
                              </w:rPr>
                              <w:t>would</w:t>
                            </w:r>
                            <w:r>
                              <w:rPr>
                                <w:color w:val="000000"/>
                                <w:spacing w:val="-2"/>
                              </w:rPr>
                              <w:t> </w:t>
                            </w:r>
                            <w:r>
                              <w:rPr>
                                <w:color w:val="000000"/>
                              </w:rPr>
                              <w:t>be</w:t>
                            </w:r>
                            <w:r>
                              <w:rPr>
                                <w:color w:val="000000"/>
                                <w:spacing w:val="-2"/>
                              </w:rPr>
                              <w:t> </w:t>
                            </w:r>
                            <w:r>
                              <w:rPr>
                                <w:color w:val="000000"/>
                              </w:rPr>
                              <w:t>a significant chance of a fatality and a high chance of injury if the pipeline ruptured.</w:t>
                            </w:r>
                          </w:p>
                          <w:p>
                            <w:pPr>
                              <w:pStyle w:val="BodyText"/>
                              <w:spacing w:before="9"/>
                              <w:rPr>
                                <w:color w:val="000000"/>
                                <w:sz w:val="20"/>
                              </w:rPr>
                            </w:pPr>
                          </w:p>
                          <w:p>
                            <w:pPr>
                              <w:pStyle w:val="BodyText"/>
                              <w:spacing w:line="288" w:lineRule="auto"/>
                              <w:ind w:left="105" w:right="226"/>
                              <w:rPr>
                                <w:color w:val="000000"/>
                              </w:rPr>
                            </w:pPr>
                            <w:r>
                              <w:rPr>
                                <w:color w:val="000000"/>
                              </w:rPr>
                              <w:t>The</w:t>
                            </w:r>
                            <w:r>
                              <w:rPr>
                                <w:color w:val="000000"/>
                                <w:spacing w:val="-3"/>
                              </w:rPr>
                              <w:t> </w:t>
                            </w:r>
                            <w:r>
                              <w:rPr>
                                <w:color w:val="000000"/>
                              </w:rPr>
                              <w:t>Advisory</w:t>
                            </w:r>
                            <w:r>
                              <w:rPr>
                                <w:color w:val="000000"/>
                                <w:spacing w:val="-2"/>
                              </w:rPr>
                              <w:t> </w:t>
                            </w:r>
                            <w:r>
                              <w:rPr>
                                <w:color w:val="000000"/>
                              </w:rPr>
                              <w:t>Committee</w:t>
                            </w:r>
                            <w:r>
                              <w:rPr>
                                <w:color w:val="000000"/>
                                <w:spacing w:val="-3"/>
                              </w:rPr>
                              <w:t> </w:t>
                            </w:r>
                            <w:r>
                              <w:rPr>
                                <w:color w:val="000000"/>
                              </w:rPr>
                              <w:t>noted</w:t>
                            </w:r>
                            <w:r>
                              <w:rPr>
                                <w:color w:val="000000"/>
                                <w:spacing w:val="-3"/>
                              </w:rPr>
                              <w:t> </w:t>
                            </w:r>
                            <w:r>
                              <w:rPr>
                                <w:color w:val="000000"/>
                              </w:rPr>
                              <w:t>that there</w:t>
                            </w:r>
                            <w:r>
                              <w:rPr>
                                <w:color w:val="000000"/>
                                <w:spacing w:val="-3"/>
                              </w:rPr>
                              <w:t> </w:t>
                            </w:r>
                            <w:r>
                              <w:rPr>
                                <w:color w:val="000000"/>
                              </w:rPr>
                              <w:t>is no</w:t>
                            </w:r>
                            <w:r>
                              <w:rPr>
                                <w:color w:val="000000"/>
                                <w:spacing w:val="-3"/>
                              </w:rPr>
                              <w:t> </w:t>
                            </w:r>
                            <w:r>
                              <w:rPr>
                                <w:color w:val="000000"/>
                              </w:rPr>
                              <w:t>reference</w:t>
                            </w:r>
                            <w:r>
                              <w:rPr>
                                <w:color w:val="000000"/>
                                <w:spacing w:val="-3"/>
                              </w:rPr>
                              <w:t> </w:t>
                            </w:r>
                            <w:r>
                              <w:rPr>
                                <w:color w:val="000000"/>
                              </w:rPr>
                              <w:t>to</w:t>
                            </w:r>
                            <w:r>
                              <w:rPr>
                                <w:color w:val="000000"/>
                                <w:spacing w:val="-3"/>
                              </w:rPr>
                              <w:t> </w:t>
                            </w:r>
                            <w:r>
                              <w:rPr>
                                <w:color w:val="000000"/>
                              </w:rPr>
                              <w:t>this pipeline</w:t>
                            </w:r>
                            <w:r>
                              <w:rPr>
                                <w:color w:val="000000"/>
                                <w:spacing w:val="-1"/>
                              </w:rPr>
                              <w:t> </w:t>
                            </w:r>
                            <w:r>
                              <w:rPr>
                                <w:color w:val="000000"/>
                              </w:rPr>
                              <w:t>in</w:t>
                            </w:r>
                            <w:r>
                              <w:rPr>
                                <w:color w:val="000000"/>
                                <w:spacing w:val="-3"/>
                              </w:rPr>
                              <w:t> </w:t>
                            </w:r>
                            <w:r>
                              <w:rPr>
                                <w:color w:val="000000"/>
                              </w:rPr>
                              <w:t>the</w:t>
                            </w:r>
                            <w:r>
                              <w:rPr>
                                <w:color w:val="000000"/>
                                <w:spacing w:val="-3"/>
                              </w:rPr>
                              <w:t> </w:t>
                            </w:r>
                            <w:r>
                              <w:rPr>
                                <w:color w:val="000000"/>
                              </w:rPr>
                              <w:t>relevant section of the Structure Plan in the Greater Geelong Planning Scheme and the presence of this gas pipeline</w:t>
                            </w:r>
                            <w:r>
                              <w:rPr>
                                <w:color w:val="000000"/>
                                <w:spacing w:val="-4"/>
                              </w:rPr>
                              <w:t> </w:t>
                            </w:r>
                            <w:r>
                              <w:rPr>
                                <w:color w:val="000000"/>
                              </w:rPr>
                              <w:t>had</w:t>
                            </w:r>
                            <w:r>
                              <w:rPr>
                                <w:color w:val="000000"/>
                                <w:spacing w:val="-4"/>
                              </w:rPr>
                              <w:t> </w:t>
                            </w:r>
                            <w:r>
                              <w:rPr>
                                <w:color w:val="000000"/>
                              </w:rPr>
                              <w:t>not</w:t>
                            </w:r>
                            <w:r>
                              <w:rPr>
                                <w:color w:val="000000"/>
                                <w:spacing w:val="-3"/>
                              </w:rPr>
                              <w:t> </w:t>
                            </w:r>
                            <w:r>
                              <w:rPr>
                                <w:color w:val="000000"/>
                              </w:rPr>
                              <w:t>been</w:t>
                            </w:r>
                            <w:r>
                              <w:rPr>
                                <w:color w:val="000000"/>
                                <w:spacing w:val="-6"/>
                              </w:rPr>
                              <w:t> </w:t>
                            </w:r>
                            <w:r>
                              <w:rPr>
                                <w:color w:val="000000"/>
                              </w:rPr>
                              <w:t>considered</w:t>
                            </w:r>
                            <w:r>
                              <w:rPr>
                                <w:color w:val="000000"/>
                                <w:spacing w:val="-4"/>
                              </w:rPr>
                              <w:t> </w:t>
                            </w:r>
                            <w:r>
                              <w:rPr>
                                <w:color w:val="000000"/>
                              </w:rPr>
                              <w:t>previously</w:t>
                            </w:r>
                            <w:r>
                              <w:rPr>
                                <w:color w:val="000000"/>
                                <w:spacing w:val="-4"/>
                              </w:rPr>
                              <w:t> </w:t>
                            </w:r>
                            <w:r>
                              <w:rPr>
                                <w:color w:val="000000"/>
                              </w:rPr>
                              <w:t>when</w:t>
                            </w:r>
                            <w:r>
                              <w:rPr>
                                <w:color w:val="000000"/>
                                <w:spacing w:val="-4"/>
                              </w:rPr>
                              <w:t> </w:t>
                            </w:r>
                            <w:r>
                              <w:rPr>
                                <w:color w:val="000000"/>
                              </w:rPr>
                              <w:t>considering</w:t>
                            </w:r>
                            <w:r>
                              <w:rPr>
                                <w:color w:val="000000"/>
                                <w:spacing w:val="-2"/>
                              </w:rPr>
                              <w:t> </w:t>
                            </w:r>
                            <w:r>
                              <w:rPr>
                                <w:color w:val="000000"/>
                              </w:rPr>
                              <w:t>Planning</w:t>
                            </w:r>
                            <w:r>
                              <w:rPr>
                                <w:color w:val="000000"/>
                                <w:spacing w:val="-4"/>
                              </w:rPr>
                              <w:t> </w:t>
                            </w:r>
                            <w:r>
                              <w:rPr>
                                <w:color w:val="000000"/>
                              </w:rPr>
                              <w:t>Scheme</w:t>
                            </w:r>
                            <w:r>
                              <w:rPr>
                                <w:color w:val="000000"/>
                                <w:spacing w:val="-4"/>
                              </w:rPr>
                              <w:t> </w:t>
                            </w:r>
                            <w:r>
                              <w:rPr>
                                <w:color w:val="000000"/>
                              </w:rPr>
                              <w:t>Amendments for the Lara area.</w:t>
                            </w:r>
                          </w:p>
                        </w:txbxContent>
                      </wps:txbx>
                      <wps:bodyPr wrap="square" lIns="0" tIns="0" rIns="0" bIns="0" rtlCol="0">
                        <a:noAutofit/>
                      </wps:bodyPr>
                    </wps:wsp>
                  </a:graphicData>
                </a:graphic>
              </wp:anchor>
            </w:drawing>
          </mc:Choice>
          <mc:Fallback>
            <w:pict>
              <v:shape style="position:absolute;margin-left:51.360001pt;margin-top:11.99335pt;width:480.35pt;height:299.7pt;mso-position-horizontal-relative:page;mso-position-vertical-relative:paragraph;z-index:-15665152;mso-wrap-distance-left:0;mso-wrap-distance-right:0" type="#_x0000_t202" id="docshape161" filled="true" fillcolor="#cdebeb" stroked="false">
                <v:textbox inset="0,0,0,0">
                  <w:txbxContent>
                    <w:p>
                      <w:pPr>
                        <w:pStyle w:val="BodyText"/>
                        <w:spacing w:before="9"/>
                        <w:rPr>
                          <w:color w:val="000000"/>
                          <w:sz w:val="20"/>
                        </w:rPr>
                      </w:pPr>
                    </w:p>
                    <w:p>
                      <w:pPr>
                        <w:spacing w:line="288" w:lineRule="auto" w:before="1"/>
                        <w:ind w:left="105" w:right="226" w:firstLine="0"/>
                        <w:jc w:val="left"/>
                        <w:rPr>
                          <w:b/>
                          <w:color w:val="000000"/>
                          <w:sz w:val="22"/>
                        </w:rPr>
                      </w:pPr>
                      <w:r>
                        <w:rPr>
                          <w:b/>
                          <w:color w:val="000000"/>
                          <w:sz w:val="22"/>
                        </w:rPr>
                        <w:t>Box</w:t>
                      </w:r>
                      <w:r>
                        <w:rPr>
                          <w:b/>
                          <w:color w:val="000000"/>
                          <w:spacing w:val="-3"/>
                          <w:sz w:val="22"/>
                        </w:rPr>
                        <w:t> </w:t>
                      </w:r>
                      <w:r>
                        <w:rPr>
                          <w:b/>
                          <w:color w:val="000000"/>
                          <w:sz w:val="22"/>
                        </w:rPr>
                        <w:t>21:</w:t>
                      </w:r>
                      <w:r>
                        <w:rPr>
                          <w:b/>
                          <w:color w:val="000000"/>
                          <w:spacing w:val="-2"/>
                          <w:sz w:val="22"/>
                        </w:rPr>
                        <w:t> </w:t>
                      </w:r>
                      <w:r>
                        <w:rPr>
                          <w:b/>
                          <w:color w:val="000000"/>
                          <w:sz w:val="22"/>
                        </w:rPr>
                        <w:t>Lara</w:t>
                      </w:r>
                      <w:r>
                        <w:rPr>
                          <w:b/>
                          <w:color w:val="000000"/>
                          <w:spacing w:val="-5"/>
                          <w:sz w:val="22"/>
                        </w:rPr>
                        <w:t> </w:t>
                      </w:r>
                      <w:r>
                        <w:rPr>
                          <w:b/>
                          <w:color w:val="000000"/>
                          <w:sz w:val="22"/>
                        </w:rPr>
                        <w:t>West</w:t>
                      </w:r>
                      <w:r>
                        <w:rPr>
                          <w:b/>
                          <w:color w:val="000000"/>
                          <w:spacing w:val="-4"/>
                          <w:sz w:val="22"/>
                        </w:rPr>
                        <w:t> </w:t>
                      </w:r>
                      <w:r>
                        <w:rPr>
                          <w:b/>
                          <w:color w:val="000000"/>
                          <w:sz w:val="22"/>
                        </w:rPr>
                        <w:t>Precinct</w:t>
                      </w:r>
                      <w:r>
                        <w:rPr>
                          <w:b/>
                          <w:color w:val="000000"/>
                          <w:spacing w:val="-4"/>
                          <w:sz w:val="22"/>
                        </w:rPr>
                        <w:t> </w:t>
                      </w:r>
                      <w:r>
                        <w:rPr>
                          <w:b/>
                          <w:color w:val="000000"/>
                          <w:sz w:val="22"/>
                        </w:rPr>
                        <w:t>Structure</w:t>
                      </w:r>
                      <w:r>
                        <w:rPr>
                          <w:b/>
                          <w:color w:val="000000"/>
                          <w:spacing w:val="-5"/>
                          <w:sz w:val="22"/>
                        </w:rPr>
                        <w:t> </w:t>
                      </w:r>
                      <w:r>
                        <w:rPr>
                          <w:b/>
                          <w:color w:val="000000"/>
                          <w:sz w:val="22"/>
                        </w:rPr>
                        <w:t>Plan,</w:t>
                      </w:r>
                      <w:r>
                        <w:rPr>
                          <w:b/>
                          <w:color w:val="000000"/>
                          <w:spacing w:val="-6"/>
                          <w:sz w:val="22"/>
                        </w:rPr>
                        <w:t> </w:t>
                      </w:r>
                      <w:r>
                        <w:rPr>
                          <w:b/>
                          <w:color w:val="000000"/>
                          <w:sz w:val="22"/>
                        </w:rPr>
                        <w:t>Greater</w:t>
                      </w:r>
                      <w:r>
                        <w:rPr>
                          <w:b/>
                          <w:color w:val="000000"/>
                          <w:spacing w:val="-5"/>
                          <w:sz w:val="22"/>
                        </w:rPr>
                        <w:t> </w:t>
                      </w:r>
                      <w:r>
                        <w:rPr>
                          <w:b/>
                          <w:color w:val="000000"/>
                          <w:sz w:val="22"/>
                        </w:rPr>
                        <w:t>Geelong</w:t>
                      </w:r>
                      <w:r>
                        <w:rPr>
                          <w:b/>
                          <w:color w:val="000000"/>
                          <w:spacing w:val="-3"/>
                          <w:sz w:val="22"/>
                        </w:rPr>
                        <w:t> </w:t>
                      </w:r>
                      <w:r>
                        <w:rPr>
                          <w:b/>
                          <w:color w:val="000000"/>
                          <w:sz w:val="22"/>
                        </w:rPr>
                        <w:t>Planning</w:t>
                      </w:r>
                      <w:r>
                        <w:rPr>
                          <w:b/>
                          <w:color w:val="000000"/>
                          <w:spacing w:val="-3"/>
                          <w:sz w:val="22"/>
                        </w:rPr>
                        <w:t> </w:t>
                      </w:r>
                      <w:r>
                        <w:rPr>
                          <w:b/>
                          <w:color w:val="000000"/>
                          <w:sz w:val="22"/>
                        </w:rPr>
                        <w:t>Scheme Amendment C246</w:t>
                      </w:r>
                    </w:p>
                    <w:p>
                      <w:pPr>
                        <w:pStyle w:val="BodyText"/>
                        <w:spacing w:before="9"/>
                        <w:rPr>
                          <w:b/>
                          <w:color w:val="000000"/>
                          <w:sz w:val="20"/>
                        </w:rPr>
                      </w:pPr>
                    </w:p>
                    <w:p>
                      <w:pPr>
                        <w:pStyle w:val="BodyText"/>
                        <w:spacing w:line="288" w:lineRule="auto" w:before="1"/>
                        <w:ind w:left="105" w:right="226"/>
                        <w:rPr>
                          <w:color w:val="000000"/>
                        </w:rPr>
                      </w:pPr>
                      <w:r>
                        <w:rPr>
                          <w:color w:val="000000"/>
                        </w:rPr>
                        <w:t>The</w:t>
                      </w:r>
                      <w:r>
                        <w:rPr>
                          <w:color w:val="000000"/>
                          <w:spacing w:val="-5"/>
                        </w:rPr>
                        <w:t> </w:t>
                      </w:r>
                      <w:r>
                        <w:rPr>
                          <w:color w:val="000000"/>
                        </w:rPr>
                        <w:t>presence</w:t>
                      </w:r>
                      <w:r>
                        <w:rPr>
                          <w:color w:val="000000"/>
                          <w:spacing w:val="-6"/>
                        </w:rPr>
                        <w:t> </w:t>
                      </w:r>
                      <w:r>
                        <w:rPr>
                          <w:color w:val="000000"/>
                        </w:rPr>
                        <w:t>of</w:t>
                      </w:r>
                      <w:r>
                        <w:rPr>
                          <w:color w:val="000000"/>
                          <w:spacing w:val="-1"/>
                        </w:rPr>
                        <w:t> </w:t>
                      </w:r>
                      <w:r>
                        <w:rPr>
                          <w:color w:val="000000"/>
                        </w:rPr>
                        <w:t>a</w:t>
                      </w:r>
                      <w:r>
                        <w:rPr>
                          <w:color w:val="000000"/>
                          <w:spacing w:val="-5"/>
                        </w:rPr>
                        <w:t> </w:t>
                      </w:r>
                      <w:r>
                        <w:rPr>
                          <w:color w:val="000000"/>
                        </w:rPr>
                        <w:t>significant high</w:t>
                      </w:r>
                      <w:r>
                        <w:rPr>
                          <w:color w:val="000000"/>
                          <w:spacing w:val="-3"/>
                        </w:rPr>
                        <w:t> </w:t>
                      </w:r>
                      <w:r>
                        <w:rPr>
                          <w:color w:val="000000"/>
                        </w:rPr>
                        <w:t>pressure</w:t>
                      </w:r>
                      <w:r>
                        <w:rPr>
                          <w:color w:val="000000"/>
                          <w:spacing w:val="-4"/>
                        </w:rPr>
                        <w:t> </w:t>
                      </w:r>
                      <w:r>
                        <w:rPr>
                          <w:color w:val="000000"/>
                        </w:rPr>
                        <w:t>gas</w:t>
                      </w:r>
                      <w:r>
                        <w:rPr>
                          <w:color w:val="000000"/>
                          <w:spacing w:val="-2"/>
                        </w:rPr>
                        <w:t> </w:t>
                      </w:r>
                      <w:r>
                        <w:rPr>
                          <w:color w:val="000000"/>
                        </w:rPr>
                        <w:t>pipeline</w:t>
                      </w:r>
                      <w:r>
                        <w:rPr>
                          <w:color w:val="000000"/>
                          <w:spacing w:val="-3"/>
                        </w:rPr>
                        <w:t> </w:t>
                      </w:r>
                      <w:r>
                        <w:rPr>
                          <w:color w:val="000000"/>
                        </w:rPr>
                        <w:t>only</w:t>
                      </w:r>
                      <w:r>
                        <w:rPr>
                          <w:color w:val="000000"/>
                          <w:spacing w:val="-5"/>
                        </w:rPr>
                        <w:t> </w:t>
                      </w:r>
                      <w:r>
                        <w:rPr>
                          <w:color w:val="000000"/>
                        </w:rPr>
                        <w:t>emerged</w:t>
                      </w:r>
                      <w:r>
                        <w:rPr>
                          <w:color w:val="000000"/>
                          <w:spacing w:val="-5"/>
                        </w:rPr>
                        <w:t> </w:t>
                      </w:r>
                      <w:r>
                        <w:rPr>
                          <w:color w:val="000000"/>
                        </w:rPr>
                        <w:t>in</w:t>
                      </w:r>
                      <w:r>
                        <w:rPr>
                          <w:color w:val="000000"/>
                          <w:spacing w:val="-3"/>
                        </w:rPr>
                        <w:t> </w:t>
                      </w:r>
                      <w:r>
                        <w:rPr>
                          <w:color w:val="000000"/>
                        </w:rPr>
                        <w:t>the</w:t>
                      </w:r>
                      <w:r>
                        <w:rPr>
                          <w:color w:val="000000"/>
                          <w:spacing w:val="-3"/>
                        </w:rPr>
                        <w:t> </w:t>
                      </w:r>
                      <w:r>
                        <w:rPr>
                          <w:color w:val="000000"/>
                        </w:rPr>
                        <w:t>period</w:t>
                      </w:r>
                      <w:r>
                        <w:rPr>
                          <w:color w:val="000000"/>
                          <w:spacing w:val="-3"/>
                        </w:rPr>
                        <w:t> </w:t>
                      </w:r>
                      <w:r>
                        <w:rPr>
                          <w:color w:val="000000"/>
                        </w:rPr>
                        <w:t>after Council had already adopted the Lara West Structure Plan in 2011.</w:t>
                      </w:r>
                    </w:p>
                    <w:p>
                      <w:pPr>
                        <w:pStyle w:val="BodyText"/>
                        <w:spacing w:before="10"/>
                        <w:rPr>
                          <w:color w:val="000000"/>
                          <w:sz w:val="20"/>
                        </w:rPr>
                      </w:pPr>
                    </w:p>
                    <w:p>
                      <w:pPr>
                        <w:pStyle w:val="BodyText"/>
                        <w:spacing w:line="288" w:lineRule="auto"/>
                        <w:ind w:left="105" w:right="7"/>
                        <w:rPr>
                          <w:color w:val="000000"/>
                        </w:rPr>
                      </w:pPr>
                      <w:r>
                        <w:rPr>
                          <w:color w:val="000000"/>
                        </w:rPr>
                        <w:t>The pipeline concerned was completed in 1999, only a little more than a decade prior to the Council’s</w:t>
                      </w:r>
                      <w:r>
                        <w:rPr>
                          <w:color w:val="000000"/>
                          <w:spacing w:val="-2"/>
                        </w:rPr>
                        <w:t> </w:t>
                      </w:r>
                      <w:r>
                        <w:rPr>
                          <w:color w:val="000000"/>
                        </w:rPr>
                        <w:t>consideration</w:t>
                      </w:r>
                      <w:r>
                        <w:rPr>
                          <w:color w:val="000000"/>
                          <w:spacing w:val="-3"/>
                        </w:rPr>
                        <w:t> </w:t>
                      </w:r>
                      <w:r>
                        <w:rPr>
                          <w:color w:val="000000"/>
                        </w:rPr>
                        <w:t>of</w:t>
                      </w:r>
                      <w:r>
                        <w:rPr>
                          <w:color w:val="000000"/>
                          <w:spacing w:val="-4"/>
                        </w:rPr>
                        <w:t> </w:t>
                      </w:r>
                      <w:r>
                        <w:rPr>
                          <w:color w:val="000000"/>
                        </w:rPr>
                        <w:t>the</w:t>
                      </w:r>
                      <w:r>
                        <w:rPr>
                          <w:color w:val="000000"/>
                          <w:spacing w:val="-3"/>
                        </w:rPr>
                        <w:t> </w:t>
                      </w:r>
                      <w:r>
                        <w:rPr>
                          <w:color w:val="000000"/>
                        </w:rPr>
                        <w:t>structure</w:t>
                      </w:r>
                      <w:r>
                        <w:rPr>
                          <w:color w:val="000000"/>
                          <w:spacing w:val="-3"/>
                        </w:rPr>
                        <w:t> </w:t>
                      </w:r>
                      <w:r>
                        <w:rPr>
                          <w:color w:val="000000"/>
                        </w:rPr>
                        <w:t>plan,</w:t>
                      </w:r>
                      <w:r>
                        <w:rPr>
                          <w:color w:val="000000"/>
                          <w:spacing w:val="-4"/>
                        </w:rPr>
                        <w:t> </w:t>
                      </w:r>
                      <w:r>
                        <w:rPr>
                          <w:color w:val="000000"/>
                        </w:rPr>
                        <w:t>and</w:t>
                      </w:r>
                      <w:r>
                        <w:rPr>
                          <w:color w:val="000000"/>
                          <w:spacing w:val="-2"/>
                        </w:rPr>
                        <w:t> </w:t>
                      </w:r>
                      <w:r>
                        <w:rPr>
                          <w:color w:val="000000"/>
                        </w:rPr>
                        <w:t>one</w:t>
                      </w:r>
                      <w:r>
                        <w:rPr>
                          <w:color w:val="000000"/>
                          <w:spacing w:val="-3"/>
                        </w:rPr>
                        <w:t> </w:t>
                      </w:r>
                      <w:r>
                        <w:rPr>
                          <w:color w:val="000000"/>
                        </w:rPr>
                        <w:t>of</w:t>
                      </w:r>
                      <w:r>
                        <w:rPr>
                          <w:color w:val="000000"/>
                          <w:spacing w:val="-1"/>
                        </w:rPr>
                        <w:t> </w:t>
                      </w:r>
                      <w:r>
                        <w:rPr>
                          <w:color w:val="000000"/>
                        </w:rPr>
                        <w:t>main</w:t>
                      </w:r>
                      <w:r>
                        <w:rPr>
                          <w:color w:val="000000"/>
                          <w:spacing w:val="-3"/>
                        </w:rPr>
                        <w:t> </w:t>
                      </w:r>
                      <w:r>
                        <w:rPr>
                          <w:color w:val="000000"/>
                        </w:rPr>
                        <w:t>natural</w:t>
                      </w:r>
                      <w:r>
                        <w:rPr>
                          <w:color w:val="000000"/>
                          <w:spacing w:val="-6"/>
                        </w:rPr>
                        <w:t> </w:t>
                      </w:r>
                      <w:r>
                        <w:rPr>
                          <w:color w:val="000000"/>
                        </w:rPr>
                        <w:t>gas</w:t>
                      </w:r>
                      <w:r>
                        <w:rPr>
                          <w:color w:val="000000"/>
                          <w:spacing w:val="-5"/>
                        </w:rPr>
                        <w:t> </w:t>
                      </w:r>
                      <w:r>
                        <w:rPr>
                          <w:color w:val="000000"/>
                        </w:rPr>
                        <w:t>transmission</w:t>
                      </w:r>
                      <w:r>
                        <w:rPr>
                          <w:color w:val="000000"/>
                          <w:spacing w:val="-3"/>
                        </w:rPr>
                        <w:t> </w:t>
                      </w:r>
                      <w:r>
                        <w:rPr>
                          <w:color w:val="000000"/>
                        </w:rPr>
                        <w:t>pipelines supplying Melbourne. The safety buffer required for this pipeline is considerable due to its size and pressure – a radial distance of up to 554 metres.</w:t>
                      </w:r>
                    </w:p>
                    <w:p>
                      <w:pPr>
                        <w:pStyle w:val="BodyText"/>
                        <w:spacing w:before="10"/>
                        <w:rPr>
                          <w:color w:val="000000"/>
                          <w:sz w:val="20"/>
                        </w:rPr>
                      </w:pPr>
                    </w:p>
                    <w:p>
                      <w:pPr>
                        <w:pStyle w:val="BodyText"/>
                        <w:spacing w:line="288" w:lineRule="auto"/>
                        <w:ind w:left="105" w:right="226"/>
                        <w:rPr>
                          <w:color w:val="000000"/>
                        </w:rPr>
                      </w:pPr>
                      <w:r>
                        <w:rPr>
                          <w:color w:val="000000"/>
                        </w:rPr>
                        <w:t>If a full rupture of this pipeline occurred, the effect of exposure within this 554 metres zone would</w:t>
                      </w:r>
                      <w:r>
                        <w:rPr>
                          <w:color w:val="000000"/>
                          <w:spacing w:val="-2"/>
                        </w:rPr>
                        <w:t> </w:t>
                      </w:r>
                      <w:r>
                        <w:rPr>
                          <w:color w:val="000000"/>
                        </w:rPr>
                        <w:t>be</w:t>
                      </w:r>
                      <w:r>
                        <w:rPr>
                          <w:color w:val="000000"/>
                          <w:spacing w:val="-2"/>
                        </w:rPr>
                        <w:t> </w:t>
                      </w:r>
                      <w:r>
                        <w:rPr>
                          <w:color w:val="000000"/>
                        </w:rPr>
                        <w:t>likely</w:t>
                      </w:r>
                      <w:r>
                        <w:rPr>
                          <w:color w:val="000000"/>
                          <w:spacing w:val="-4"/>
                        </w:rPr>
                        <w:t> </w:t>
                      </w:r>
                      <w:r>
                        <w:rPr>
                          <w:color w:val="000000"/>
                        </w:rPr>
                        <w:t>to</w:t>
                      </w:r>
                      <w:r>
                        <w:rPr>
                          <w:color w:val="000000"/>
                          <w:spacing w:val="-4"/>
                        </w:rPr>
                        <w:t> </w:t>
                      </w:r>
                      <w:r>
                        <w:rPr>
                          <w:color w:val="000000"/>
                        </w:rPr>
                        <w:t>cause</w:t>
                      </w:r>
                      <w:r>
                        <w:rPr>
                          <w:color w:val="000000"/>
                          <w:spacing w:val="-2"/>
                        </w:rPr>
                        <w:t> </w:t>
                      </w:r>
                      <w:r>
                        <w:rPr>
                          <w:color w:val="000000"/>
                        </w:rPr>
                        <w:t>injury</w:t>
                      </w:r>
                      <w:r>
                        <w:rPr>
                          <w:color w:val="000000"/>
                          <w:spacing w:val="-3"/>
                        </w:rPr>
                        <w:t> </w:t>
                      </w:r>
                      <w:r>
                        <w:rPr>
                          <w:color w:val="000000"/>
                        </w:rPr>
                        <w:t>and</w:t>
                      </w:r>
                      <w:r>
                        <w:rPr>
                          <w:color w:val="000000"/>
                          <w:spacing w:val="-2"/>
                        </w:rPr>
                        <w:t> </w:t>
                      </w:r>
                      <w:r>
                        <w:rPr>
                          <w:color w:val="000000"/>
                        </w:rPr>
                        <w:t>burns.</w:t>
                      </w:r>
                      <w:r>
                        <w:rPr>
                          <w:color w:val="000000"/>
                          <w:spacing w:val="-8"/>
                        </w:rPr>
                        <w:t> </w:t>
                      </w:r>
                      <w:r>
                        <w:rPr>
                          <w:color w:val="000000"/>
                        </w:rPr>
                        <w:t>Within</w:t>
                      </w:r>
                      <w:r>
                        <w:rPr>
                          <w:color w:val="000000"/>
                          <w:spacing w:val="-2"/>
                        </w:rPr>
                        <w:t> </w:t>
                      </w:r>
                      <w:r>
                        <w:rPr>
                          <w:color w:val="000000"/>
                        </w:rPr>
                        <w:t>324</w:t>
                      </w:r>
                      <w:r>
                        <w:rPr>
                          <w:color w:val="000000"/>
                          <w:spacing w:val="-2"/>
                        </w:rPr>
                        <w:t> </w:t>
                      </w:r>
                      <w:r>
                        <w:rPr>
                          <w:color w:val="000000"/>
                        </w:rPr>
                        <w:t>metres</w:t>
                      </w:r>
                      <w:r>
                        <w:rPr>
                          <w:color w:val="000000"/>
                          <w:spacing w:val="-4"/>
                        </w:rPr>
                        <w:t> </w:t>
                      </w:r>
                      <w:r>
                        <w:rPr>
                          <w:color w:val="000000"/>
                        </w:rPr>
                        <w:t>of</w:t>
                      </w:r>
                      <w:r>
                        <w:rPr>
                          <w:color w:val="000000"/>
                          <w:spacing w:val="-3"/>
                        </w:rPr>
                        <w:t> </w:t>
                      </w:r>
                      <w:r>
                        <w:rPr>
                          <w:color w:val="000000"/>
                        </w:rPr>
                        <w:t>the</w:t>
                      </w:r>
                      <w:r>
                        <w:rPr>
                          <w:color w:val="000000"/>
                          <w:spacing w:val="-2"/>
                        </w:rPr>
                        <w:t> </w:t>
                      </w:r>
                      <w:r>
                        <w:rPr>
                          <w:color w:val="000000"/>
                        </w:rPr>
                        <w:t>pipeline,</w:t>
                      </w:r>
                      <w:r>
                        <w:rPr>
                          <w:color w:val="000000"/>
                          <w:spacing w:val="-3"/>
                        </w:rPr>
                        <w:t> </w:t>
                      </w:r>
                      <w:r>
                        <w:rPr>
                          <w:color w:val="000000"/>
                        </w:rPr>
                        <w:t>there</w:t>
                      </w:r>
                      <w:r>
                        <w:rPr>
                          <w:color w:val="000000"/>
                          <w:spacing w:val="-4"/>
                        </w:rPr>
                        <w:t> </w:t>
                      </w:r>
                      <w:r>
                        <w:rPr>
                          <w:color w:val="000000"/>
                        </w:rPr>
                        <w:t>would</w:t>
                      </w:r>
                      <w:r>
                        <w:rPr>
                          <w:color w:val="000000"/>
                          <w:spacing w:val="-2"/>
                        </w:rPr>
                        <w:t> </w:t>
                      </w:r>
                      <w:r>
                        <w:rPr>
                          <w:color w:val="000000"/>
                        </w:rPr>
                        <w:t>be</w:t>
                      </w:r>
                      <w:r>
                        <w:rPr>
                          <w:color w:val="000000"/>
                          <w:spacing w:val="-2"/>
                        </w:rPr>
                        <w:t> </w:t>
                      </w:r>
                      <w:r>
                        <w:rPr>
                          <w:color w:val="000000"/>
                        </w:rPr>
                        <w:t>a significant chance of a fatality and a high chance of injury if the pipeline ruptured.</w:t>
                      </w:r>
                    </w:p>
                    <w:p>
                      <w:pPr>
                        <w:pStyle w:val="BodyText"/>
                        <w:spacing w:before="9"/>
                        <w:rPr>
                          <w:color w:val="000000"/>
                          <w:sz w:val="20"/>
                        </w:rPr>
                      </w:pPr>
                    </w:p>
                    <w:p>
                      <w:pPr>
                        <w:pStyle w:val="BodyText"/>
                        <w:spacing w:line="288" w:lineRule="auto"/>
                        <w:ind w:left="105" w:right="226"/>
                        <w:rPr>
                          <w:color w:val="000000"/>
                        </w:rPr>
                      </w:pPr>
                      <w:r>
                        <w:rPr>
                          <w:color w:val="000000"/>
                        </w:rPr>
                        <w:t>The</w:t>
                      </w:r>
                      <w:r>
                        <w:rPr>
                          <w:color w:val="000000"/>
                          <w:spacing w:val="-3"/>
                        </w:rPr>
                        <w:t> </w:t>
                      </w:r>
                      <w:r>
                        <w:rPr>
                          <w:color w:val="000000"/>
                        </w:rPr>
                        <w:t>Advisory</w:t>
                      </w:r>
                      <w:r>
                        <w:rPr>
                          <w:color w:val="000000"/>
                          <w:spacing w:val="-2"/>
                        </w:rPr>
                        <w:t> </w:t>
                      </w:r>
                      <w:r>
                        <w:rPr>
                          <w:color w:val="000000"/>
                        </w:rPr>
                        <w:t>Committee</w:t>
                      </w:r>
                      <w:r>
                        <w:rPr>
                          <w:color w:val="000000"/>
                          <w:spacing w:val="-3"/>
                        </w:rPr>
                        <w:t> </w:t>
                      </w:r>
                      <w:r>
                        <w:rPr>
                          <w:color w:val="000000"/>
                        </w:rPr>
                        <w:t>noted</w:t>
                      </w:r>
                      <w:r>
                        <w:rPr>
                          <w:color w:val="000000"/>
                          <w:spacing w:val="-3"/>
                        </w:rPr>
                        <w:t> </w:t>
                      </w:r>
                      <w:r>
                        <w:rPr>
                          <w:color w:val="000000"/>
                        </w:rPr>
                        <w:t>that there</w:t>
                      </w:r>
                      <w:r>
                        <w:rPr>
                          <w:color w:val="000000"/>
                          <w:spacing w:val="-3"/>
                        </w:rPr>
                        <w:t> </w:t>
                      </w:r>
                      <w:r>
                        <w:rPr>
                          <w:color w:val="000000"/>
                        </w:rPr>
                        <w:t>is no</w:t>
                      </w:r>
                      <w:r>
                        <w:rPr>
                          <w:color w:val="000000"/>
                          <w:spacing w:val="-3"/>
                        </w:rPr>
                        <w:t> </w:t>
                      </w:r>
                      <w:r>
                        <w:rPr>
                          <w:color w:val="000000"/>
                        </w:rPr>
                        <w:t>reference</w:t>
                      </w:r>
                      <w:r>
                        <w:rPr>
                          <w:color w:val="000000"/>
                          <w:spacing w:val="-3"/>
                        </w:rPr>
                        <w:t> </w:t>
                      </w:r>
                      <w:r>
                        <w:rPr>
                          <w:color w:val="000000"/>
                        </w:rPr>
                        <w:t>to</w:t>
                      </w:r>
                      <w:r>
                        <w:rPr>
                          <w:color w:val="000000"/>
                          <w:spacing w:val="-3"/>
                        </w:rPr>
                        <w:t> </w:t>
                      </w:r>
                      <w:r>
                        <w:rPr>
                          <w:color w:val="000000"/>
                        </w:rPr>
                        <w:t>this pipeline</w:t>
                      </w:r>
                      <w:r>
                        <w:rPr>
                          <w:color w:val="000000"/>
                          <w:spacing w:val="-1"/>
                        </w:rPr>
                        <w:t> </w:t>
                      </w:r>
                      <w:r>
                        <w:rPr>
                          <w:color w:val="000000"/>
                        </w:rPr>
                        <w:t>in</w:t>
                      </w:r>
                      <w:r>
                        <w:rPr>
                          <w:color w:val="000000"/>
                          <w:spacing w:val="-3"/>
                        </w:rPr>
                        <w:t> </w:t>
                      </w:r>
                      <w:r>
                        <w:rPr>
                          <w:color w:val="000000"/>
                        </w:rPr>
                        <w:t>the</w:t>
                      </w:r>
                      <w:r>
                        <w:rPr>
                          <w:color w:val="000000"/>
                          <w:spacing w:val="-3"/>
                        </w:rPr>
                        <w:t> </w:t>
                      </w:r>
                      <w:r>
                        <w:rPr>
                          <w:color w:val="000000"/>
                        </w:rPr>
                        <w:t>relevant section of the Structure Plan in the Greater Geelong Planning Scheme and the presence of this gas pipeline</w:t>
                      </w:r>
                      <w:r>
                        <w:rPr>
                          <w:color w:val="000000"/>
                          <w:spacing w:val="-4"/>
                        </w:rPr>
                        <w:t> </w:t>
                      </w:r>
                      <w:r>
                        <w:rPr>
                          <w:color w:val="000000"/>
                        </w:rPr>
                        <w:t>had</w:t>
                      </w:r>
                      <w:r>
                        <w:rPr>
                          <w:color w:val="000000"/>
                          <w:spacing w:val="-4"/>
                        </w:rPr>
                        <w:t> </w:t>
                      </w:r>
                      <w:r>
                        <w:rPr>
                          <w:color w:val="000000"/>
                        </w:rPr>
                        <w:t>not</w:t>
                      </w:r>
                      <w:r>
                        <w:rPr>
                          <w:color w:val="000000"/>
                          <w:spacing w:val="-3"/>
                        </w:rPr>
                        <w:t> </w:t>
                      </w:r>
                      <w:r>
                        <w:rPr>
                          <w:color w:val="000000"/>
                        </w:rPr>
                        <w:t>been</w:t>
                      </w:r>
                      <w:r>
                        <w:rPr>
                          <w:color w:val="000000"/>
                          <w:spacing w:val="-6"/>
                        </w:rPr>
                        <w:t> </w:t>
                      </w:r>
                      <w:r>
                        <w:rPr>
                          <w:color w:val="000000"/>
                        </w:rPr>
                        <w:t>considered</w:t>
                      </w:r>
                      <w:r>
                        <w:rPr>
                          <w:color w:val="000000"/>
                          <w:spacing w:val="-4"/>
                        </w:rPr>
                        <w:t> </w:t>
                      </w:r>
                      <w:r>
                        <w:rPr>
                          <w:color w:val="000000"/>
                        </w:rPr>
                        <w:t>previously</w:t>
                      </w:r>
                      <w:r>
                        <w:rPr>
                          <w:color w:val="000000"/>
                          <w:spacing w:val="-4"/>
                        </w:rPr>
                        <w:t> </w:t>
                      </w:r>
                      <w:r>
                        <w:rPr>
                          <w:color w:val="000000"/>
                        </w:rPr>
                        <w:t>when</w:t>
                      </w:r>
                      <w:r>
                        <w:rPr>
                          <w:color w:val="000000"/>
                          <w:spacing w:val="-4"/>
                        </w:rPr>
                        <w:t> </w:t>
                      </w:r>
                      <w:r>
                        <w:rPr>
                          <w:color w:val="000000"/>
                        </w:rPr>
                        <w:t>considering</w:t>
                      </w:r>
                      <w:r>
                        <w:rPr>
                          <w:color w:val="000000"/>
                          <w:spacing w:val="-2"/>
                        </w:rPr>
                        <w:t> </w:t>
                      </w:r>
                      <w:r>
                        <w:rPr>
                          <w:color w:val="000000"/>
                        </w:rPr>
                        <w:t>Planning</w:t>
                      </w:r>
                      <w:r>
                        <w:rPr>
                          <w:color w:val="000000"/>
                          <w:spacing w:val="-4"/>
                        </w:rPr>
                        <w:t> </w:t>
                      </w:r>
                      <w:r>
                        <w:rPr>
                          <w:color w:val="000000"/>
                        </w:rPr>
                        <w:t>Scheme</w:t>
                      </w:r>
                      <w:r>
                        <w:rPr>
                          <w:color w:val="000000"/>
                          <w:spacing w:val="-4"/>
                        </w:rPr>
                        <w:t> </w:t>
                      </w:r>
                      <w:r>
                        <w:rPr>
                          <w:color w:val="000000"/>
                        </w:rPr>
                        <w:t>Amendments for the Lara area.</w:t>
                      </w:r>
                    </w:p>
                  </w:txbxContent>
                </v:textbox>
                <v:fill type="solid"/>
                <w10:wrap type="topAndBottom"/>
              </v:shape>
            </w:pict>
          </mc:Fallback>
        </mc:AlternateContent>
      </w:r>
    </w:p>
    <w:p>
      <w:pPr>
        <w:pStyle w:val="BodyText"/>
        <w:spacing w:before="4"/>
        <w:rPr>
          <w:sz w:val="18"/>
        </w:rPr>
      </w:pPr>
    </w:p>
    <w:p>
      <w:pPr>
        <w:pStyle w:val="BodyText"/>
        <w:spacing w:line="288" w:lineRule="auto" w:before="94"/>
        <w:ind w:left="232" w:right="325"/>
      </w:pPr>
      <w:r>
        <w:rPr/>
        <w:t>There is limited interaction between the </w:t>
      </w:r>
      <w:r>
        <w:rPr>
          <w:i/>
        </w:rPr>
        <w:t>Pipelines Act 2005 </w:t>
      </w:r>
      <w:r>
        <w:rPr/>
        <w:t>and the </w:t>
      </w:r>
      <w:r>
        <w:rPr>
          <w:i/>
        </w:rPr>
        <w:t>Planning and Environment Act 1987 </w:t>
      </w:r>
      <w:r>
        <w:rPr/>
        <w:t>to ensure changes in land use around a pipeline are communicated to the pipeline licensee.</w:t>
      </w:r>
      <w:r>
        <w:rPr/>
        <w:t> A background report was prepared by external consultants, Spiire, in February 2016 to assist ESV in</w:t>
      </w:r>
      <w:r>
        <w:rPr>
          <w:spacing w:val="-2"/>
        </w:rPr>
        <w:t> </w:t>
      </w:r>
      <w:r>
        <w:rPr/>
        <w:t>its</w:t>
      </w:r>
      <w:r>
        <w:rPr>
          <w:spacing w:val="-1"/>
        </w:rPr>
        <w:t> </w:t>
      </w:r>
      <w:r>
        <w:rPr/>
        <w:t>preparation</w:t>
      </w:r>
      <w:r>
        <w:rPr>
          <w:spacing w:val="-2"/>
        </w:rPr>
        <w:t> </w:t>
      </w:r>
      <w:r>
        <w:rPr/>
        <w:t>of a</w:t>
      </w:r>
      <w:r>
        <w:rPr>
          <w:spacing w:val="-4"/>
        </w:rPr>
        <w:t> </w:t>
      </w:r>
      <w:r>
        <w:rPr/>
        <w:t>submission</w:t>
      </w:r>
      <w:r>
        <w:rPr>
          <w:spacing w:val="-2"/>
        </w:rPr>
        <w:t> </w:t>
      </w:r>
      <w:r>
        <w:rPr/>
        <w:t>to</w:t>
      </w:r>
      <w:r>
        <w:rPr>
          <w:spacing w:val="-4"/>
        </w:rPr>
        <w:t> </w:t>
      </w:r>
      <w:r>
        <w:rPr/>
        <w:t>the</w:t>
      </w:r>
      <w:r>
        <w:rPr>
          <w:spacing w:val="-4"/>
        </w:rPr>
        <w:t> </w:t>
      </w:r>
      <w:r>
        <w:rPr/>
        <w:t>Advisory</w:t>
      </w:r>
      <w:r>
        <w:rPr>
          <w:spacing w:val="-3"/>
        </w:rPr>
        <w:t> </w:t>
      </w:r>
      <w:r>
        <w:rPr/>
        <w:t>Committee.</w:t>
      </w:r>
      <w:r>
        <w:rPr>
          <w:spacing w:val="-5"/>
        </w:rPr>
        <w:t> </w:t>
      </w:r>
      <w:r>
        <w:rPr/>
        <w:t>The</w:t>
      </w:r>
      <w:r>
        <w:rPr>
          <w:spacing w:val="-2"/>
        </w:rPr>
        <w:t> </w:t>
      </w:r>
      <w:r>
        <w:rPr/>
        <w:t>background</w:t>
      </w:r>
      <w:r>
        <w:rPr>
          <w:spacing w:val="-2"/>
        </w:rPr>
        <w:t> </w:t>
      </w:r>
      <w:r>
        <w:rPr/>
        <w:t>report</w:t>
      </w:r>
      <w:r>
        <w:rPr>
          <w:spacing w:val="-5"/>
        </w:rPr>
        <w:t> </w:t>
      </w:r>
      <w:r>
        <w:rPr/>
        <w:t>found</w:t>
      </w:r>
      <w:r>
        <w:rPr>
          <w:spacing w:val="-4"/>
        </w:rPr>
        <w:t> </w:t>
      </w:r>
      <w:r>
        <w:rPr/>
        <w:t>that</w:t>
      </w:r>
      <w:r>
        <w:rPr>
          <w:spacing w:val="-3"/>
        </w:rPr>
        <w:t> </w:t>
      </w:r>
      <w:r>
        <w:rPr/>
        <w:t>the changing nature of cities and towns presents challenges for the pipeline industry in meeting their legislative and regulatory obligations to assess risk.</w:t>
      </w:r>
    </w:p>
    <w:p>
      <w:pPr>
        <w:pStyle w:val="BodyText"/>
        <w:spacing w:before="10"/>
        <w:rPr>
          <w:sz w:val="20"/>
        </w:rPr>
      </w:pPr>
    </w:p>
    <w:p>
      <w:pPr>
        <w:pStyle w:val="BodyText"/>
        <w:ind w:left="232"/>
      </w:pPr>
      <w:r>
        <w:rPr/>
        <w:t>Spiire</w:t>
      </w:r>
      <w:r>
        <w:rPr>
          <w:spacing w:val="-6"/>
        </w:rPr>
        <w:t> </w:t>
      </w:r>
      <w:r>
        <w:rPr>
          <w:spacing w:val="-2"/>
        </w:rPr>
        <w:t>identified:</w:t>
      </w:r>
    </w:p>
    <w:p>
      <w:pPr>
        <w:pStyle w:val="BodyText"/>
        <w:spacing w:before="2"/>
        <w:rPr>
          <w:sz w:val="25"/>
        </w:rPr>
      </w:pPr>
    </w:p>
    <w:p>
      <w:pPr>
        <w:spacing w:line="288" w:lineRule="auto" w:before="0"/>
        <w:ind w:left="799" w:right="920" w:firstLine="0"/>
        <w:jc w:val="left"/>
        <w:rPr>
          <w:sz w:val="22"/>
        </w:rPr>
      </w:pPr>
      <w:r>
        <w:rPr>
          <w:i/>
          <w:sz w:val="22"/>
        </w:rPr>
        <w:t>“The current land use planning system provides little direction in relation to development around pipelines, and there is no requirement for planning authorities to either consult with or refer applications to relevant licensees. The Pipelines Act 2005 and AS2885 similarly fail to recognise the planning system, using terminology that is not only</w:t>
      </w:r>
      <w:r>
        <w:rPr>
          <w:i/>
          <w:spacing w:val="-1"/>
          <w:sz w:val="22"/>
        </w:rPr>
        <w:t> </w:t>
      </w:r>
      <w:r>
        <w:rPr>
          <w:i/>
          <w:sz w:val="22"/>
        </w:rPr>
        <w:t>inconsistent</w:t>
      </w:r>
      <w:r>
        <w:rPr>
          <w:i/>
          <w:spacing w:val="-5"/>
          <w:sz w:val="22"/>
        </w:rPr>
        <w:t> </w:t>
      </w:r>
      <w:r>
        <w:rPr>
          <w:i/>
          <w:sz w:val="22"/>
        </w:rPr>
        <w:t>with</w:t>
      </w:r>
      <w:r>
        <w:rPr>
          <w:i/>
          <w:spacing w:val="-4"/>
          <w:sz w:val="22"/>
        </w:rPr>
        <w:t> </w:t>
      </w:r>
      <w:r>
        <w:rPr>
          <w:i/>
          <w:sz w:val="22"/>
        </w:rPr>
        <w:t>the</w:t>
      </w:r>
      <w:r>
        <w:rPr>
          <w:i/>
          <w:spacing w:val="-4"/>
          <w:sz w:val="22"/>
        </w:rPr>
        <w:t> </w:t>
      </w:r>
      <w:r>
        <w:rPr>
          <w:i/>
          <w:sz w:val="22"/>
        </w:rPr>
        <w:t>planning</w:t>
      </w:r>
      <w:r>
        <w:rPr>
          <w:i/>
          <w:spacing w:val="-2"/>
          <w:sz w:val="22"/>
        </w:rPr>
        <w:t> </w:t>
      </w:r>
      <w:r>
        <w:rPr>
          <w:i/>
          <w:sz w:val="22"/>
        </w:rPr>
        <w:t>system</w:t>
      </w:r>
      <w:r>
        <w:rPr>
          <w:i/>
          <w:spacing w:val="-3"/>
          <w:sz w:val="22"/>
        </w:rPr>
        <w:t> </w:t>
      </w:r>
      <w:r>
        <w:rPr>
          <w:i/>
          <w:sz w:val="22"/>
        </w:rPr>
        <w:t>but</w:t>
      </w:r>
      <w:r>
        <w:rPr>
          <w:i/>
          <w:spacing w:val="-5"/>
          <w:sz w:val="22"/>
        </w:rPr>
        <w:t> </w:t>
      </w:r>
      <w:r>
        <w:rPr>
          <w:i/>
          <w:sz w:val="22"/>
        </w:rPr>
        <w:t>also</w:t>
      </w:r>
      <w:r>
        <w:rPr>
          <w:i/>
          <w:spacing w:val="-2"/>
          <w:sz w:val="22"/>
        </w:rPr>
        <w:t> </w:t>
      </w:r>
      <w:r>
        <w:rPr>
          <w:i/>
          <w:sz w:val="22"/>
        </w:rPr>
        <w:t>contrary</w:t>
      </w:r>
      <w:r>
        <w:rPr>
          <w:i/>
          <w:spacing w:val="-3"/>
          <w:sz w:val="22"/>
        </w:rPr>
        <w:t> </w:t>
      </w:r>
      <w:r>
        <w:rPr>
          <w:i/>
          <w:sz w:val="22"/>
        </w:rPr>
        <w:t>to</w:t>
      </w:r>
      <w:r>
        <w:rPr>
          <w:i/>
          <w:spacing w:val="-4"/>
          <w:sz w:val="22"/>
        </w:rPr>
        <w:t> </w:t>
      </w:r>
      <w:r>
        <w:rPr>
          <w:i/>
          <w:sz w:val="22"/>
        </w:rPr>
        <w:t>it.”</w:t>
      </w:r>
      <w:r>
        <w:rPr>
          <w:i/>
          <w:spacing w:val="-4"/>
          <w:sz w:val="22"/>
        </w:rPr>
        <w:t> </w:t>
      </w:r>
      <w:r>
        <w:rPr>
          <w:sz w:val="22"/>
        </w:rPr>
        <w:t>(Spiire,</w:t>
      </w:r>
      <w:r>
        <w:rPr>
          <w:spacing w:val="-1"/>
          <w:sz w:val="22"/>
        </w:rPr>
        <w:t> </w:t>
      </w:r>
      <w:r>
        <w:rPr>
          <w:sz w:val="22"/>
        </w:rPr>
        <w:t>2016b, p. </w:t>
      </w:r>
      <w:r>
        <w:rPr>
          <w:spacing w:val="-6"/>
          <w:sz w:val="22"/>
        </w:rPr>
        <w:t>4)</w:t>
      </w:r>
    </w:p>
    <w:p>
      <w:pPr>
        <w:pStyle w:val="BodyText"/>
        <w:spacing w:before="11"/>
        <w:rPr>
          <w:sz w:val="20"/>
        </w:rPr>
      </w:pPr>
    </w:p>
    <w:p>
      <w:pPr>
        <w:pStyle w:val="BodyText"/>
        <w:spacing w:line="288" w:lineRule="auto"/>
        <w:ind w:left="232" w:right="588"/>
        <w:jc w:val="both"/>
      </w:pPr>
      <w:r>
        <w:rPr/>
        <w:t>In its submission to</w:t>
      </w:r>
      <w:r>
        <w:rPr>
          <w:spacing w:val="-3"/>
        </w:rPr>
        <w:t> </w:t>
      </w:r>
      <w:r>
        <w:rPr/>
        <w:t>the</w:t>
      </w:r>
      <w:r>
        <w:rPr>
          <w:spacing w:val="-1"/>
        </w:rPr>
        <w:t> </w:t>
      </w:r>
      <w:r>
        <w:rPr/>
        <w:t>Review, AusNet Services noted</w:t>
      </w:r>
      <w:r>
        <w:rPr>
          <w:spacing w:val="-1"/>
        </w:rPr>
        <w:t> </w:t>
      </w:r>
      <w:r>
        <w:rPr/>
        <w:t>that the</w:t>
      </w:r>
      <w:r>
        <w:rPr>
          <w:spacing w:val="-1"/>
        </w:rPr>
        <w:t> </w:t>
      </w:r>
      <w:r>
        <w:rPr/>
        <w:t>process</w:t>
      </w:r>
      <w:r>
        <w:rPr>
          <w:spacing w:val="-1"/>
        </w:rPr>
        <w:t> </w:t>
      </w:r>
      <w:r>
        <w:rPr/>
        <w:t>for planning authorities and</w:t>
      </w:r>
      <w:r>
        <w:rPr>
          <w:spacing w:val="-2"/>
        </w:rPr>
        <w:t> </w:t>
      </w:r>
      <w:r>
        <w:rPr/>
        <w:t>land</w:t>
      </w:r>
      <w:r>
        <w:rPr>
          <w:spacing w:val="-2"/>
        </w:rPr>
        <w:t> </w:t>
      </w:r>
      <w:r>
        <w:rPr/>
        <w:t>developers</w:t>
      </w:r>
      <w:r>
        <w:rPr>
          <w:spacing w:val="-1"/>
        </w:rPr>
        <w:t> </w:t>
      </w:r>
      <w:r>
        <w:rPr/>
        <w:t>who</w:t>
      </w:r>
      <w:r>
        <w:rPr>
          <w:spacing w:val="-2"/>
        </w:rPr>
        <w:t> </w:t>
      </w:r>
      <w:r>
        <w:rPr/>
        <w:t>wish</w:t>
      </w:r>
      <w:r>
        <w:rPr>
          <w:spacing w:val="-2"/>
        </w:rPr>
        <w:t> </w:t>
      </w:r>
      <w:r>
        <w:rPr/>
        <w:t>to</w:t>
      </w:r>
      <w:r>
        <w:rPr>
          <w:spacing w:val="-2"/>
        </w:rPr>
        <w:t> </w:t>
      </w:r>
      <w:r>
        <w:rPr/>
        <w:t>develop</w:t>
      </w:r>
      <w:r>
        <w:rPr>
          <w:spacing w:val="-2"/>
        </w:rPr>
        <w:t> </w:t>
      </w:r>
      <w:r>
        <w:rPr/>
        <w:t>in</w:t>
      </w:r>
      <w:r>
        <w:rPr>
          <w:spacing w:val="-2"/>
        </w:rPr>
        <w:t> </w:t>
      </w:r>
      <w:r>
        <w:rPr/>
        <w:t>the</w:t>
      </w:r>
      <w:r>
        <w:rPr>
          <w:spacing w:val="-2"/>
        </w:rPr>
        <w:t> </w:t>
      </w:r>
      <w:r>
        <w:rPr/>
        <w:t>vicinity</w:t>
      </w:r>
      <w:r>
        <w:rPr>
          <w:spacing w:val="-4"/>
        </w:rPr>
        <w:t> </w:t>
      </w:r>
      <w:r>
        <w:rPr/>
        <w:t>of</w:t>
      </w:r>
      <w:r>
        <w:rPr>
          <w:spacing w:val="-1"/>
        </w:rPr>
        <w:t> </w:t>
      </w:r>
      <w:r>
        <w:rPr/>
        <w:t>licenced</w:t>
      </w:r>
      <w:r>
        <w:rPr>
          <w:spacing w:val="-2"/>
        </w:rPr>
        <w:t> </w:t>
      </w:r>
      <w:r>
        <w:rPr/>
        <w:t>or</w:t>
      </w:r>
      <w:r>
        <w:rPr>
          <w:spacing w:val="-3"/>
        </w:rPr>
        <w:t> </w:t>
      </w:r>
      <w:r>
        <w:rPr/>
        <w:t>transmission</w:t>
      </w:r>
      <w:r>
        <w:rPr>
          <w:spacing w:val="-4"/>
        </w:rPr>
        <w:t> </w:t>
      </w:r>
      <w:r>
        <w:rPr/>
        <w:t>gas</w:t>
      </w:r>
      <w:r>
        <w:rPr>
          <w:spacing w:val="-4"/>
        </w:rPr>
        <w:t> </w:t>
      </w:r>
      <w:r>
        <w:rPr/>
        <w:t>assets</w:t>
      </w:r>
      <w:r>
        <w:rPr>
          <w:spacing w:val="-1"/>
        </w:rPr>
        <w:t> </w:t>
      </w:r>
      <w:r>
        <w:rPr/>
        <w:t>is </w:t>
      </w:r>
      <w:r>
        <w:rPr>
          <w:spacing w:val="-2"/>
        </w:rPr>
        <w:t>confusing:</w:t>
      </w:r>
    </w:p>
    <w:p>
      <w:pPr>
        <w:pStyle w:val="BodyText"/>
        <w:spacing w:before="11"/>
        <w:rPr>
          <w:sz w:val="20"/>
        </w:rPr>
      </w:pPr>
    </w:p>
    <w:p>
      <w:pPr>
        <w:spacing w:line="288" w:lineRule="auto" w:before="0"/>
        <w:ind w:left="799" w:right="374" w:firstLine="0"/>
        <w:jc w:val="left"/>
        <w:rPr>
          <w:i/>
          <w:sz w:val="22"/>
        </w:rPr>
      </w:pPr>
      <w:r>
        <w:rPr>
          <w:i/>
          <w:sz w:val="22"/>
        </w:rPr>
        <w:t>“Currently, referrals come to AusNet Services from ESV, from councils and some notifications</w:t>
      </w:r>
      <w:r>
        <w:rPr>
          <w:i/>
          <w:spacing w:val="-5"/>
          <w:sz w:val="22"/>
        </w:rPr>
        <w:t> </w:t>
      </w:r>
      <w:r>
        <w:rPr>
          <w:i/>
          <w:sz w:val="22"/>
        </w:rPr>
        <w:t>come</w:t>
      </w:r>
      <w:r>
        <w:rPr>
          <w:i/>
          <w:spacing w:val="-5"/>
          <w:sz w:val="22"/>
        </w:rPr>
        <w:t> </w:t>
      </w:r>
      <w:r>
        <w:rPr>
          <w:i/>
          <w:sz w:val="22"/>
        </w:rPr>
        <w:t>through</w:t>
      </w:r>
      <w:r>
        <w:rPr>
          <w:i/>
          <w:spacing w:val="-4"/>
          <w:sz w:val="22"/>
        </w:rPr>
        <w:t> </w:t>
      </w:r>
      <w:r>
        <w:rPr>
          <w:i/>
          <w:sz w:val="22"/>
        </w:rPr>
        <w:t>from</w:t>
      </w:r>
      <w:r>
        <w:rPr>
          <w:i/>
          <w:spacing w:val="-4"/>
          <w:sz w:val="22"/>
        </w:rPr>
        <w:t> </w:t>
      </w:r>
      <w:r>
        <w:rPr>
          <w:i/>
          <w:sz w:val="22"/>
        </w:rPr>
        <w:t>DELWP</w:t>
      </w:r>
      <w:r>
        <w:rPr>
          <w:i/>
          <w:spacing w:val="-5"/>
          <w:sz w:val="22"/>
        </w:rPr>
        <w:t> </w:t>
      </w:r>
      <w:r>
        <w:rPr>
          <w:i/>
          <w:sz w:val="22"/>
        </w:rPr>
        <w:t>[Department</w:t>
      </w:r>
      <w:r>
        <w:rPr>
          <w:i/>
          <w:spacing w:val="-2"/>
          <w:sz w:val="22"/>
        </w:rPr>
        <w:t> </w:t>
      </w:r>
      <w:r>
        <w:rPr>
          <w:i/>
          <w:sz w:val="22"/>
        </w:rPr>
        <w:t>of</w:t>
      </w:r>
      <w:r>
        <w:rPr>
          <w:i/>
          <w:spacing w:val="-2"/>
          <w:sz w:val="22"/>
        </w:rPr>
        <w:t> </w:t>
      </w:r>
      <w:r>
        <w:rPr>
          <w:i/>
          <w:sz w:val="22"/>
        </w:rPr>
        <w:t>Environment,</w:t>
      </w:r>
      <w:r>
        <w:rPr>
          <w:i/>
          <w:spacing w:val="-4"/>
          <w:sz w:val="22"/>
        </w:rPr>
        <w:t> </w:t>
      </w:r>
      <w:r>
        <w:rPr>
          <w:i/>
          <w:sz w:val="22"/>
        </w:rPr>
        <w:t>Land,</w:t>
      </w:r>
      <w:r>
        <w:rPr>
          <w:i/>
          <w:spacing w:val="-4"/>
          <w:sz w:val="22"/>
        </w:rPr>
        <w:t> </w:t>
      </w:r>
      <w:r>
        <w:rPr>
          <w:i/>
          <w:sz w:val="22"/>
        </w:rPr>
        <w:t>Water</w:t>
      </w:r>
      <w:r>
        <w:rPr>
          <w:i/>
          <w:spacing w:val="-3"/>
          <w:sz w:val="22"/>
        </w:rPr>
        <w:t> </w:t>
      </w:r>
      <w:r>
        <w:rPr>
          <w:i/>
          <w:sz w:val="22"/>
        </w:rPr>
        <w:t>and</w:t>
      </w:r>
    </w:p>
    <w:p>
      <w:pPr>
        <w:spacing w:after="0" w:line="288" w:lineRule="auto"/>
        <w:jc w:val="left"/>
        <w:rPr>
          <w:sz w:val="22"/>
        </w:rPr>
        <w:sectPr>
          <w:pgSz w:w="11910" w:h="16850"/>
          <w:pgMar w:header="220" w:footer="678" w:top="420" w:bottom="860" w:left="900" w:right="840"/>
        </w:sectPr>
      </w:pPr>
    </w:p>
    <w:p>
      <w:pPr>
        <w:pStyle w:val="BodyText"/>
        <w:rPr>
          <w:i/>
          <w:sz w:val="20"/>
        </w:rPr>
      </w:pPr>
    </w:p>
    <w:p>
      <w:pPr>
        <w:pStyle w:val="BodyText"/>
        <w:spacing w:before="2"/>
        <w:rPr>
          <w:i/>
          <w:sz w:val="19"/>
        </w:rPr>
      </w:pPr>
    </w:p>
    <w:p>
      <w:pPr>
        <w:spacing w:line="288" w:lineRule="auto" w:before="94"/>
        <w:ind w:left="799" w:right="374" w:firstLine="0"/>
        <w:jc w:val="left"/>
        <w:rPr>
          <w:sz w:val="22"/>
        </w:rPr>
      </w:pPr>
      <w:r>
        <w:rPr>
          <w:i/>
          <w:sz w:val="22"/>
        </w:rPr>
        <w:t>Planning].</w:t>
      </w:r>
      <w:r>
        <w:rPr>
          <w:i/>
          <w:spacing w:val="-1"/>
          <w:sz w:val="22"/>
        </w:rPr>
        <w:t> </w:t>
      </w:r>
      <w:r>
        <w:rPr>
          <w:i/>
          <w:sz w:val="22"/>
        </w:rPr>
        <w:t>AusNet</w:t>
      </w:r>
      <w:r>
        <w:rPr>
          <w:i/>
          <w:spacing w:val="-4"/>
          <w:sz w:val="22"/>
        </w:rPr>
        <w:t> </w:t>
      </w:r>
      <w:r>
        <w:rPr>
          <w:i/>
          <w:sz w:val="22"/>
        </w:rPr>
        <w:t>Services</w:t>
      </w:r>
      <w:r>
        <w:rPr>
          <w:i/>
          <w:spacing w:val="-3"/>
          <w:sz w:val="22"/>
        </w:rPr>
        <w:t> </w:t>
      </w:r>
      <w:r>
        <w:rPr>
          <w:i/>
          <w:sz w:val="22"/>
        </w:rPr>
        <w:t>suggests</w:t>
      </w:r>
      <w:r>
        <w:rPr>
          <w:i/>
          <w:spacing w:val="-5"/>
          <w:sz w:val="22"/>
        </w:rPr>
        <w:t> </w:t>
      </w:r>
      <w:r>
        <w:rPr>
          <w:i/>
          <w:sz w:val="22"/>
        </w:rPr>
        <w:t>there</w:t>
      </w:r>
      <w:r>
        <w:rPr>
          <w:i/>
          <w:spacing w:val="-5"/>
          <w:sz w:val="22"/>
        </w:rPr>
        <w:t> </w:t>
      </w:r>
      <w:r>
        <w:rPr>
          <w:i/>
          <w:sz w:val="22"/>
        </w:rPr>
        <w:t>should</w:t>
      </w:r>
      <w:r>
        <w:rPr>
          <w:i/>
          <w:spacing w:val="-5"/>
          <w:sz w:val="22"/>
        </w:rPr>
        <w:t> </w:t>
      </w:r>
      <w:r>
        <w:rPr>
          <w:i/>
          <w:sz w:val="22"/>
        </w:rPr>
        <w:t>be</w:t>
      </w:r>
      <w:r>
        <w:rPr>
          <w:i/>
          <w:spacing w:val="-3"/>
          <w:sz w:val="22"/>
        </w:rPr>
        <w:t> </w:t>
      </w:r>
      <w:r>
        <w:rPr>
          <w:i/>
          <w:sz w:val="22"/>
        </w:rPr>
        <w:t>one</w:t>
      </w:r>
      <w:r>
        <w:rPr>
          <w:i/>
          <w:spacing w:val="-5"/>
          <w:sz w:val="22"/>
        </w:rPr>
        <w:t> </w:t>
      </w:r>
      <w:r>
        <w:rPr>
          <w:i/>
          <w:sz w:val="22"/>
        </w:rPr>
        <w:t>centralised</w:t>
      </w:r>
      <w:r>
        <w:rPr>
          <w:i/>
          <w:spacing w:val="-3"/>
          <w:sz w:val="22"/>
        </w:rPr>
        <w:t> </w:t>
      </w:r>
      <w:r>
        <w:rPr>
          <w:i/>
          <w:sz w:val="22"/>
        </w:rPr>
        <w:t>organisation</w:t>
      </w:r>
      <w:r>
        <w:rPr>
          <w:i/>
          <w:spacing w:val="-3"/>
          <w:sz w:val="22"/>
        </w:rPr>
        <w:t> </w:t>
      </w:r>
      <w:r>
        <w:rPr>
          <w:i/>
          <w:sz w:val="22"/>
        </w:rPr>
        <w:t>for developers to submit plans.” </w:t>
      </w:r>
      <w:r>
        <w:rPr>
          <w:sz w:val="22"/>
        </w:rPr>
        <w:t>(AusNet Services, 2017, p. 4)</w:t>
      </w:r>
    </w:p>
    <w:p>
      <w:pPr>
        <w:pStyle w:val="BodyText"/>
        <w:spacing w:before="10"/>
        <w:rPr>
          <w:sz w:val="20"/>
        </w:rPr>
      </w:pPr>
    </w:p>
    <w:p>
      <w:pPr>
        <w:pStyle w:val="BodyText"/>
        <w:spacing w:line="288" w:lineRule="auto" w:before="1"/>
        <w:ind w:left="232" w:right="374"/>
      </w:pPr>
      <w:r>
        <w:rPr/>
        <w:t>Spiire noted that that there appeared to be a lack of awareness and understanding within the planning industry around the presence of high pressure gas pipeline infrastructure and the potential</w:t>
      </w:r>
      <w:r>
        <w:rPr>
          <w:spacing w:val="-3"/>
        </w:rPr>
        <w:t> </w:t>
      </w:r>
      <w:r>
        <w:rPr/>
        <w:t>impacts</w:t>
      </w:r>
      <w:r>
        <w:rPr>
          <w:spacing w:val="-4"/>
        </w:rPr>
        <w:t> </w:t>
      </w:r>
      <w:r>
        <w:rPr/>
        <w:t>that development around</w:t>
      </w:r>
      <w:r>
        <w:rPr>
          <w:spacing w:val="-5"/>
        </w:rPr>
        <w:t> </w:t>
      </w:r>
      <w:r>
        <w:rPr/>
        <w:t>pipelines</w:t>
      </w:r>
      <w:r>
        <w:rPr>
          <w:spacing w:val="-1"/>
        </w:rPr>
        <w:t> </w:t>
      </w:r>
      <w:r>
        <w:rPr/>
        <w:t>can</w:t>
      </w:r>
      <w:r>
        <w:rPr>
          <w:spacing w:val="-2"/>
        </w:rPr>
        <w:t> </w:t>
      </w:r>
      <w:r>
        <w:rPr/>
        <w:t>have</w:t>
      </w:r>
      <w:r>
        <w:rPr>
          <w:spacing w:val="-2"/>
        </w:rPr>
        <w:t> </w:t>
      </w:r>
      <w:r>
        <w:rPr/>
        <w:t>on</w:t>
      </w:r>
      <w:r>
        <w:rPr>
          <w:spacing w:val="-4"/>
        </w:rPr>
        <w:t> </w:t>
      </w:r>
      <w:r>
        <w:rPr/>
        <w:t>the</w:t>
      </w:r>
      <w:r>
        <w:rPr>
          <w:spacing w:val="-4"/>
        </w:rPr>
        <w:t> </w:t>
      </w:r>
      <w:r>
        <w:rPr/>
        <w:t>community</w:t>
      </w:r>
      <w:r>
        <w:rPr>
          <w:spacing w:val="-4"/>
        </w:rPr>
        <w:t> </w:t>
      </w:r>
      <w:r>
        <w:rPr/>
        <w:t>and</w:t>
      </w:r>
      <w:r>
        <w:rPr>
          <w:spacing w:val="-4"/>
        </w:rPr>
        <w:t> </w:t>
      </w:r>
      <w:r>
        <w:rPr/>
        <w:t>the</w:t>
      </w:r>
      <w:r>
        <w:rPr>
          <w:spacing w:val="-4"/>
        </w:rPr>
        <w:t> </w:t>
      </w:r>
      <w:r>
        <w:rPr/>
        <w:t>pipeline. Likewise, there are inconsistencies in the understanding of the potential risks across state and local government and an inconsistent approach adopted by different local councils and State government departments</w:t>
      </w:r>
      <w:r>
        <w:rPr>
          <w:spacing w:val="-3"/>
        </w:rPr>
        <w:t> </w:t>
      </w:r>
      <w:r>
        <w:rPr/>
        <w:t>concerning</w:t>
      </w:r>
      <w:r>
        <w:rPr>
          <w:spacing w:val="-1"/>
        </w:rPr>
        <w:t> </w:t>
      </w:r>
      <w:r>
        <w:rPr/>
        <w:t>appropriate land</w:t>
      </w:r>
      <w:r>
        <w:rPr>
          <w:spacing w:val="-1"/>
        </w:rPr>
        <w:t> </w:t>
      </w:r>
      <w:r>
        <w:rPr/>
        <w:t>use</w:t>
      </w:r>
      <w:r>
        <w:rPr>
          <w:spacing w:val="-1"/>
        </w:rPr>
        <w:t> </w:t>
      </w:r>
      <w:r>
        <w:rPr/>
        <w:t>around</w:t>
      </w:r>
      <w:r>
        <w:rPr>
          <w:spacing w:val="-1"/>
        </w:rPr>
        <w:t> </w:t>
      </w:r>
      <w:r>
        <w:rPr/>
        <w:t>high</w:t>
      </w:r>
      <w:r>
        <w:rPr>
          <w:spacing w:val="-3"/>
        </w:rPr>
        <w:t> </w:t>
      </w:r>
      <w:r>
        <w:rPr/>
        <w:t>pressure pipelines (Spiire, </w:t>
      </w:r>
      <w:r>
        <w:rPr>
          <w:spacing w:val="-2"/>
        </w:rPr>
        <w:t>2016a).</w:t>
      </w:r>
    </w:p>
    <w:p>
      <w:pPr>
        <w:pStyle w:val="BodyText"/>
        <w:spacing w:before="8"/>
        <w:rPr>
          <w:sz w:val="20"/>
        </w:rPr>
      </w:pPr>
    </w:p>
    <w:p>
      <w:pPr>
        <w:pStyle w:val="BodyText"/>
        <w:spacing w:line="288" w:lineRule="auto" w:before="1"/>
        <w:ind w:left="232" w:right="374"/>
      </w:pPr>
      <w:r>
        <w:rPr/>
        <w:t>In</w:t>
      </w:r>
      <w:r>
        <w:rPr>
          <w:spacing w:val="-3"/>
        </w:rPr>
        <w:t> </w:t>
      </w:r>
      <w:r>
        <w:rPr/>
        <w:t>its</w:t>
      </w:r>
      <w:r>
        <w:rPr>
          <w:spacing w:val="-4"/>
        </w:rPr>
        <w:t> </w:t>
      </w:r>
      <w:r>
        <w:rPr/>
        <w:t>submission</w:t>
      </w:r>
      <w:r>
        <w:rPr>
          <w:spacing w:val="-3"/>
        </w:rPr>
        <w:t> </w:t>
      </w:r>
      <w:r>
        <w:rPr/>
        <w:t>to</w:t>
      </w:r>
      <w:r>
        <w:rPr>
          <w:spacing w:val="-6"/>
        </w:rPr>
        <w:t> </w:t>
      </w:r>
      <w:r>
        <w:rPr/>
        <w:t>the</w:t>
      </w:r>
      <w:r>
        <w:rPr>
          <w:spacing w:val="-4"/>
        </w:rPr>
        <w:t> </w:t>
      </w:r>
      <w:r>
        <w:rPr/>
        <w:t>Review,</w:t>
      </w:r>
      <w:r>
        <w:rPr>
          <w:spacing w:val="-1"/>
        </w:rPr>
        <w:t> </w:t>
      </w:r>
      <w:r>
        <w:rPr/>
        <w:t>Jemena</w:t>
      </w:r>
      <w:r>
        <w:rPr>
          <w:spacing w:val="-3"/>
        </w:rPr>
        <w:t> </w:t>
      </w:r>
      <w:r>
        <w:rPr/>
        <w:t>recommended</w:t>
      </w:r>
      <w:r>
        <w:rPr>
          <w:spacing w:val="-4"/>
        </w:rPr>
        <w:t> </w:t>
      </w:r>
      <w:r>
        <w:rPr/>
        <w:t>that</w:t>
      </w:r>
      <w:r>
        <w:rPr>
          <w:spacing w:val="-4"/>
        </w:rPr>
        <w:t> </w:t>
      </w:r>
      <w:r>
        <w:rPr/>
        <w:t>potential</w:t>
      </w:r>
      <w:r>
        <w:rPr>
          <w:spacing w:val="-4"/>
        </w:rPr>
        <w:t> </w:t>
      </w:r>
      <w:r>
        <w:rPr/>
        <w:t>encroachment</w:t>
      </w:r>
      <w:r>
        <w:rPr>
          <w:spacing w:val="-4"/>
        </w:rPr>
        <w:t> </w:t>
      </w:r>
      <w:r>
        <w:rPr/>
        <w:t>on</w:t>
      </w:r>
      <w:r>
        <w:rPr>
          <w:spacing w:val="-3"/>
        </w:rPr>
        <w:t> </w:t>
      </w:r>
      <w:r>
        <w:rPr/>
        <w:t>pipelines could be addressed by better engagement between asset owners and government:</w:t>
      </w:r>
    </w:p>
    <w:p>
      <w:pPr>
        <w:pStyle w:val="BodyText"/>
        <w:spacing w:before="9"/>
        <w:rPr>
          <w:sz w:val="20"/>
        </w:rPr>
      </w:pPr>
    </w:p>
    <w:p>
      <w:pPr>
        <w:spacing w:line="288" w:lineRule="auto" w:before="1"/>
        <w:ind w:left="799" w:right="951" w:firstLine="0"/>
        <w:jc w:val="left"/>
        <w:rPr>
          <w:sz w:val="22"/>
        </w:rPr>
      </w:pPr>
      <w:r>
        <w:rPr>
          <w:i/>
          <w:sz w:val="22"/>
        </w:rPr>
        <w:t>“Tightening up of interactions between asset owners and planning departments / governments and municipal councils would be welcomed. For example, when taking into consideration land-use planning in the</w:t>
      </w:r>
      <w:r>
        <w:rPr>
          <w:i/>
          <w:spacing w:val="-1"/>
          <w:sz w:val="22"/>
        </w:rPr>
        <w:t> </w:t>
      </w:r>
      <w:r>
        <w:rPr>
          <w:i/>
          <w:sz w:val="22"/>
        </w:rPr>
        <w:t>vicinity</w:t>
      </w:r>
      <w:r>
        <w:rPr>
          <w:i/>
          <w:spacing w:val="-1"/>
          <w:sz w:val="22"/>
        </w:rPr>
        <w:t> </w:t>
      </w:r>
      <w:r>
        <w:rPr>
          <w:i/>
          <w:sz w:val="22"/>
        </w:rPr>
        <w:t>of pipelines, local councils may</w:t>
      </w:r>
      <w:r>
        <w:rPr>
          <w:i/>
          <w:spacing w:val="-1"/>
          <w:sz w:val="22"/>
        </w:rPr>
        <w:t> </w:t>
      </w:r>
      <w:r>
        <w:rPr>
          <w:i/>
          <w:sz w:val="22"/>
        </w:rPr>
        <w:t>not fully</w:t>
      </w:r>
      <w:r>
        <w:rPr>
          <w:i/>
          <w:spacing w:val="-2"/>
          <w:sz w:val="22"/>
        </w:rPr>
        <w:t> </w:t>
      </w:r>
      <w:r>
        <w:rPr>
          <w:i/>
          <w:sz w:val="22"/>
        </w:rPr>
        <w:t>consider</w:t>
      </w:r>
      <w:r>
        <w:rPr>
          <w:i/>
          <w:spacing w:val="-4"/>
          <w:sz w:val="22"/>
        </w:rPr>
        <w:t> </w:t>
      </w:r>
      <w:r>
        <w:rPr>
          <w:i/>
          <w:sz w:val="22"/>
        </w:rPr>
        <w:t>the</w:t>
      </w:r>
      <w:r>
        <w:rPr>
          <w:i/>
          <w:spacing w:val="-5"/>
          <w:sz w:val="22"/>
        </w:rPr>
        <w:t> </w:t>
      </w:r>
      <w:r>
        <w:rPr>
          <w:i/>
          <w:sz w:val="22"/>
        </w:rPr>
        <w:t>dangers</w:t>
      </w:r>
      <w:r>
        <w:rPr>
          <w:i/>
          <w:spacing w:val="-2"/>
          <w:sz w:val="22"/>
        </w:rPr>
        <w:t> </w:t>
      </w:r>
      <w:r>
        <w:rPr>
          <w:i/>
          <w:sz w:val="22"/>
        </w:rPr>
        <w:t>of</w:t>
      </w:r>
      <w:r>
        <w:rPr>
          <w:i/>
          <w:spacing w:val="-4"/>
          <w:sz w:val="22"/>
        </w:rPr>
        <w:t> </w:t>
      </w:r>
      <w:r>
        <w:rPr>
          <w:i/>
          <w:sz w:val="22"/>
        </w:rPr>
        <w:t>high</w:t>
      </w:r>
      <w:r>
        <w:rPr>
          <w:i/>
          <w:spacing w:val="-3"/>
          <w:sz w:val="22"/>
        </w:rPr>
        <w:t> </w:t>
      </w:r>
      <w:r>
        <w:rPr>
          <w:i/>
          <w:sz w:val="22"/>
        </w:rPr>
        <w:t>pressure</w:t>
      </w:r>
      <w:r>
        <w:rPr>
          <w:i/>
          <w:spacing w:val="-5"/>
          <w:sz w:val="22"/>
        </w:rPr>
        <w:t> </w:t>
      </w:r>
      <w:r>
        <w:rPr>
          <w:i/>
          <w:sz w:val="22"/>
        </w:rPr>
        <w:t>gas</w:t>
      </w:r>
      <w:r>
        <w:rPr>
          <w:i/>
          <w:spacing w:val="-5"/>
          <w:sz w:val="22"/>
        </w:rPr>
        <w:t> </w:t>
      </w:r>
      <w:r>
        <w:rPr>
          <w:i/>
          <w:sz w:val="22"/>
        </w:rPr>
        <w:t>release</w:t>
      </w:r>
      <w:r>
        <w:rPr>
          <w:i/>
          <w:spacing w:val="-3"/>
          <w:sz w:val="22"/>
        </w:rPr>
        <w:t> </w:t>
      </w:r>
      <w:r>
        <w:rPr>
          <w:i/>
          <w:sz w:val="22"/>
        </w:rPr>
        <w:t>and</w:t>
      </w:r>
      <w:r>
        <w:rPr>
          <w:i/>
          <w:spacing w:val="-3"/>
          <w:sz w:val="22"/>
        </w:rPr>
        <w:t> </w:t>
      </w:r>
      <w:r>
        <w:rPr>
          <w:i/>
          <w:sz w:val="22"/>
        </w:rPr>
        <w:t>associated</w:t>
      </w:r>
      <w:r>
        <w:rPr>
          <w:i/>
          <w:spacing w:val="-3"/>
          <w:sz w:val="22"/>
        </w:rPr>
        <w:t> </w:t>
      </w:r>
      <w:r>
        <w:rPr>
          <w:i/>
          <w:sz w:val="22"/>
        </w:rPr>
        <w:t>encroachment issues.” </w:t>
      </w:r>
      <w:r>
        <w:rPr>
          <w:sz w:val="22"/>
        </w:rPr>
        <w:t>(Jemena, 2017, p. 3)</w:t>
      </w:r>
    </w:p>
    <w:p>
      <w:pPr>
        <w:pStyle w:val="BodyText"/>
        <w:spacing w:before="9"/>
        <w:rPr>
          <w:sz w:val="20"/>
        </w:rPr>
      </w:pPr>
    </w:p>
    <w:p>
      <w:pPr>
        <w:pStyle w:val="BodyText"/>
        <w:spacing w:line="288" w:lineRule="auto"/>
        <w:ind w:left="232"/>
      </w:pPr>
      <w:r>
        <w:rPr/>
        <w:t>APA</w:t>
      </w:r>
      <w:r>
        <w:rPr>
          <w:spacing w:val="-3"/>
        </w:rPr>
        <w:t> </w:t>
      </w:r>
      <w:r>
        <w:rPr/>
        <w:t>VTS</w:t>
      </w:r>
      <w:r>
        <w:rPr>
          <w:spacing w:val="-3"/>
        </w:rPr>
        <w:t> </w:t>
      </w:r>
      <w:r>
        <w:rPr/>
        <w:t>in</w:t>
      </w:r>
      <w:r>
        <w:rPr>
          <w:spacing w:val="-5"/>
        </w:rPr>
        <w:t> </w:t>
      </w:r>
      <w:r>
        <w:rPr/>
        <w:t>its</w:t>
      </w:r>
      <w:r>
        <w:rPr>
          <w:spacing w:val="-5"/>
        </w:rPr>
        <w:t> </w:t>
      </w:r>
      <w:r>
        <w:rPr/>
        <w:t>submission</w:t>
      </w:r>
      <w:r>
        <w:rPr>
          <w:spacing w:val="-3"/>
        </w:rPr>
        <w:t> </w:t>
      </w:r>
      <w:r>
        <w:rPr/>
        <w:t>to</w:t>
      </w:r>
      <w:r>
        <w:rPr>
          <w:spacing w:val="-5"/>
        </w:rPr>
        <w:t> </w:t>
      </w:r>
      <w:r>
        <w:rPr/>
        <w:t>the</w:t>
      </w:r>
      <w:r>
        <w:rPr>
          <w:spacing w:val="-5"/>
        </w:rPr>
        <w:t> </w:t>
      </w:r>
      <w:r>
        <w:rPr/>
        <w:t>Review</w:t>
      </w:r>
      <w:r>
        <w:rPr>
          <w:spacing w:val="-6"/>
        </w:rPr>
        <w:t> </w:t>
      </w:r>
      <w:r>
        <w:rPr/>
        <w:t>observed</w:t>
      </w:r>
      <w:r>
        <w:rPr>
          <w:spacing w:val="-3"/>
        </w:rPr>
        <w:t> </w:t>
      </w:r>
      <w:r>
        <w:rPr/>
        <w:t>that</w:t>
      </w:r>
      <w:r>
        <w:rPr>
          <w:spacing w:val="-1"/>
        </w:rPr>
        <w:t> </w:t>
      </w:r>
      <w:r>
        <w:rPr/>
        <w:t>protection</w:t>
      </w:r>
      <w:r>
        <w:rPr>
          <w:spacing w:val="-3"/>
        </w:rPr>
        <w:t> </w:t>
      </w:r>
      <w:r>
        <w:rPr/>
        <w:t>of</w:t>
      </w:r>
      <w:r>
        <w:rPr>
          <w:spacing w:val="-1"/>
        </w:rPr>
        <w:t> </w:t>
      </w:r>
      <w:r>
        <w:rPr/>
        <w:t>pipelines</w:t>
      </w:r>
      <w:r>
        <w:rPr>
          <w:spacing w:val="-5"/>
        </w:rPr>
        <w:t> </w:t>
      </w:r>
      <w:r>
        <w:rPr/>
        <w:t>from</w:t>
      </w:r>
      <w:r>
        <w:rPr>
          <w:spacing w:val="-2"/>
        </w:rPr>
        <w:t> </w:t>
      </w:r>
      <w:r>
        <w:rPr/>
        <w:t>encroachment should be enshrined in planning legislation:</w:t>
      </w:r>
    </w:p>
    <w:p>
      <w:pPr>
        <w:pStyle w:val="BodyText"/>
        <w:spacing w:before="10"/>
        <w:rPr>
          <w:sz w:val="20"/>
        </w:rPr>
      </w:pPr>
    </w:p>
    <w:p>
      <w:pPr>
        <w:spacing w:line="288" w:lineRule="auto" w:before="0"/>
        <w:ind w:left="799" w:right="951" w:firstLine="0"/>
        <w:jc w:val="left"/>
        <w:rPr>
          <w:sz w:val="22"/>
        </w:rPr>
      </w:pPr>
      <w:r>
        <w:rPr>
          <w:i/>
          <w:sz w:val="22"/>
        </w:rPr>
        <w:t>“Until there is protection enshrined within planning legislation and planning schemes the issue of pipeline safety will continue to escalate in relation to new precincts being developed</w:t>
      </w:r>
      <w:r>
        <w:rPr>
          <w:i/>
          <w:spacing w:val="-3"/>
          <w:sz w:val="22"/>
        </w:rPr>
        <w:t> </w:t>
      </w:r>
      <w:r>
        <w:rPr>
          <w:i/>
          <w:sz w:val="22"/>
        </w:rPr>
        <w:t>within</w:t>
      </w:r>
      <w:r>
        <w:rPr>
          <w:i/>
          <w:spacing w:val="-5"/>
          <w:sz w:val="22"/>
        </w:rPr>
        <w:t> </w:t>
      </w:r>
      <w:r>
        <w:rPr>
          <w:i/>
          <w:sz w:val="22"/>
        </w:rPr>
        <w:t>close</w:t>
      </w:r>
      <w:r>
        <w:rPr>
          <w:i/>
          <w:spacing w:val="-3"/>
          <w:sz w:val="22"/>
        </w:rPr>
        <w:t> </w:t>
      </w:r>
      <w:r>
        <w:rPr>
          <w:i/>
          <w:sz w:val="22"/>
        </w:rPr>
        <w:t>proximity</w:t>
      </w:r>
      <w:r>
        <w:rPr>
          <w:i/>
          <w:spacing w:val="-5"/>
          <w:sz w:val="22"/>
        </w:rPr>
        <w:t> </w:t>
      </w:r>
      <w:r>
        <w:rPr>
          <w:i/>
          <w:sz w:val="22"/>
        </w:rPr>
        <w:t>to</w:t>
      </w:r>
      <w:r>
        <w:rPr>
          <w:i/>
          <w:spacing w:val="-5"/>
          <w:sz w:val="22"/>
        </w:rPr>
        <w:t> </w:t>
      </w:r>
      <w:r>
        <w:rPr>
          <w:i/>
          <w:sz w:val="22"/>
        </w:rPr>
        <w:t>pipeline</w:t>
      </w:r>
      <w:r>
        <w:rPr>
          <w:i/>
          <w:spacing w:val="-3"/>
          <w:sz w:val="22"/>
        </w:rPr>
        <w:t> </w:t>
      </w:r>
      <w:r>
        <w:rPr>
          <w:i/>
          <w:sz w:val="22"/>
        </w:rPr>
        <w:t>easements</w:t>
      </w:r>
      <w:r>
        <w:rPr>
          <w:i/>
          <w:spacing w:val="-5"/>
          <w:sz w:val="22"/>
        </w:rPr>
        <w:t> </w:t>
      </w:r>
      <w:r>
        <w:rPr>
          <w:i/>
          <w:sz w:val="22"/>
        </w:rPr>
        <w:t>and</w:t>
      </w:r>
      <w:r>
        <w:rPr>
          <w:i/>
          <w:spacing w:val="-5"/>
          <w:sz w:val="22"/>
        </w:rPr>
        <w:t> </w:t>
      </w:r>
      <w:r>
        <w:rPr>
          <w:i/>
          <w:sz w:val="22"/>
        </w:rPr>
        <w:t>routes.”</w:t>
      </w:r>
      <w:r>
        <w:rPr>
          <w:i/>
          <w:spacing w:val="-4"/>
          <w:sz w:val="22"/>
        </w:rPr>
        <w:t> </w:t>
      </w:r>
      <w:r>
        <w:rPr>
          <w:sz w:val="22"/>
        </w:rPr>
        <w:t>(APA</w:t>
      </w:r>
      <w:r>
        <w:rPr>
          <w:spacing w:val="-1"/>
          <w:sz w:val="22"/>
        </w:rPr>
        <w:t> </w:t>
      </w:r>
      <w:r>
        <w:rPr>
          <w:sz w:val="22"/>
        </w:rPr>
        <w:t>VTS,</w:t>
      </w:r>
      <w:r>
        <w:rPr>
          <w:spacing w:val="-1"/>
          <w:sz w:val="22"/>
        </w:rPr>
        <w:t> </w:t>
      </w:r>
      <w:r>
        <w:rPr>
          <w:sz w:val="22"/>
        </w:rPr>
        <w:t>2017, p. 5)</w:t>
      </w:r>
    </w:p>
    <w:p>
      <w:pPr>
        <w:pStyle w:val="BodyText"/>
        <w:spacing w:before="11"/>
        <w:rPr>
          <w:sz w:val="20"/>
        </w:rPr>
      </w:pPr>
    </w:p>
    <w:p>
      <w:pPr>
        <w:pStyle w:val="BodyText"/>
        <w:spacing w:line="288" w:lineRule="auto"/>
        <w:ind w:left="232" w:right="296"/>
      </w:pPr>
      <w:r>
        <w:rPr/>
        <w:t>This recognition of the increasing risk posed by pipelines to new communities and areas of urban renewal, and the need for strong engagement between industry and government, led to the establishment</w:t>
      </w:r>
      <w:r>
        <w:rPr>
          <w:spacing w:val="-4"/>
        </w:rPr>
        <w:t> </w:t>
      </w:r>
      <w:r>
        <w:rPr/>
        <w:t>of</w:t>
      </w:r>
      <w:r>
        <w:rPr>
          <w:spacing w:val="-1"/>
        </w:rPr>
        <w:t> </w:t>
      </w:r>
      <w:r>
        <w:rPr/>
        <w:t>a</w:t>
      </w:r>
      <w:r>
        <w:rPr>
          <w:spacing w:val="-5"/>
        </w:rPr>
        <w:t> </w:t>
      </w:r>
      <w:r>
        <w:rPr/>
        <w:t>voluntary</w:t>
      </w:r>
      <w:r>
        <w:rPr>
          <w:spacing w:val="-3"/>
        </w:rPr>
        <w:t> </w:t>
      </w:r>
      <w:r>
        <w:rPr>
          <w:i/>
        </w:rPr>
        <w:t>Land</w:t>
      </w:r>
      <w:r>
        <w:rPr>
          <w:i/>
          <w:spacing w:val="-3"/>
        </w:rPr>
        <w:t> </w:t>
      </w:r>
      <w:r>
        <w:rPr>
          <w:i/>
        </w:rPr>
        <w:t>Development</w:t>
      </w:r>
      <w:r>
        <w:rPr>
          <w:i/>
          <w:spacing w:val="-1"/>
        </w:rPr>
        <w:t> </w:t>
      </w:r>
      <w:r>
        <w:rPr>
          <w:i/>
        </w:rPr>
        <w:t>Around</w:t>
      </w:r>
      <w:r>
        <w:rPr>
          <w:i/>
          <w:spacing w:val="-3"/>
        </w:rPr>
        <w:t> </w:t>
      </w:r>
      <w:r>
        <w:rPr>
          <w:i/>
        </w:rPr>
        <w:t>Pipelines</w:t>
      </w:r>
      <w:r>
        <w:rPr>
          <w:i/>
          <w:spacing w:val="-5"/>
        </w:rPr>
        <w:t> </w:t>
      </w:r>
      <w:r>
        <w:rPr>
          <w:i/>
        </w:rPr>
        <w:t>Working</w:t>
      </w:r>
      <w:r>
        <w:rPr>
          <w:i/>
          <w:spacing w:val="-5"/>
        </w:rPr>
        <w:t> </w:t>
      </w:r>
      <w:r>
        <w:rPr>
          <w:i/>
        </w:rPr>
        <w:t>Group</w:t>
      </w:r>
      <w:r>
        <w:rPr>
          <w:i/>
          <w:spacing w:val="-2"/>
        </w:rPr>
        <w:t> </w:t>
      </w:r>
      <w:r>
        <w:rPr/>
        <w:t>which</w:t>
      </w:r>
      <w:r>
        <w:rPr>
          <w:spacing w:val="-3"/>
        </w:rPr>
        <w:t> </w:t>
      </w:r>
      <w:r>
        <w:rPr/>
        <w:t>comprises officers</w:t>
      </w:r>
      <w:r>
        <w:rPr>
          <w:spacing w:val="-5"/>
        </w:rPr>
        <w:t> </w:t>
      </w:r>
      <w:r>
        <w:rPr/>
        <w:t>from</w:t>
      </w:r>
      <w:r>
        <w:rPr>
          <w:spacing w:val="-2"/>
        </w:rPr>
        <w:t> </w:t>
      </w:r>
      <w:r>
        <w:rPr/>
        <w:t>ESV,</w:t>
      </w:r>
      <w:r>
        <w:rPr>
          <w:spacing w:val="-4"/>
        </w:rPr>
        <w:t> </w:t>
      </w:r>
      <w:r>
        <w:rPr/>
        <w:t>the</w:t>
      </w:r>
      <w:r>
        <w:rPr>
          <w:spacing w:val="-5"/>
        </w:rPr>
        <w:t> </w:t>
      </w:r>
      <w:r>
        <w:rPr/>
        <w:t>Metropolitan</w:t>
      </w:r>
      <w:r>
        <w:rPr>
          <w:spacing w:val="-3"/>
        </w:rPr>
        <w:t> </w:t>
      </w:r>
      <w:r>
        <w:rPr/>
        <w:t>Planning</w:t>
      </w:r>
      <w:r>
        <w:rPr>
          <w:spacing w:val="-1"/>
        </w:rPr>
        <w:t> </w:t>
      </w:r>
      <w:r>
        <w:rPr/>
        <w:t>Authority</w:t>
      </w:r>
      <w:r>
        <w:rPr>
          <w:spacing w:val="-5"/>
        </w:rPr>
        <w:t> </w:t>
      </w:r>
      <w:r>
        <w:rPr/>
        <w:t>(now</w:t>
      </w:r>
      <w:r>
        <w:rPr>
          <w:spacing w:val="-6"/>
        </w:rPr>
        <w:t> </w:t>
      </w:r>
      <w:r>
        <w:rPr/>
        <w:t>Victorian</w:t>
      </w:r>
      <w:r>
        <w:rPr>
          <w:spacing w:val="-3"/>
        </w:rPr>
        <w:t> </w:t>
      </w:r>
      <w:r>
        <w:rPr/>
        <w:t>Planning</w:t>
      </w:r>
      <w:r>
        <w:rPr>
          <w:spacing w:val="-1"/>
        </w:rPr>
        <w:t> </w:t>
      </w:r>
      <w:r>
        <w:rPr/>
        <w:t>Authority),</w:t>
      </w:r>
      <w:r>
        <w:rPr>
          <w:spacing w:val="-4"/>
        </w:rPr>
        <w:t> </w:t>
      </w:r>
      <w:r>
        <w:rPr/>
        <w:t>DELWP, the Department of Economic Development, Jobs, Transport and Resources (DEDJTR) and the Australian Pipelines and Gas Association (the peak body representing Australasia’s pipeline infrastructure industry in 2013). The Working Group aims to identify improvements to the way pipelines and surrounding land are identified and managed, but has not met since the Advisory Committee handed down the Major Hazard Facilities Final Report.</w:t>
      </w:r>
    </w:p>
    <w:p>
      <w:pPr>
        <w:pStyle w:val="BodyText"/>
        <w:rPr>
          <w:sz w:val="21"/>
        </w:rPr>
      </w:pPr>
    </w:p>
    <w:p>
      <w:pPr>
        <w:pStyle w:val="BodyText"/>
        <w:spacing w:line="288" w:lineRule="auto"/>
        <w:ind w:left="232" w:right="374"/>
      </w:pPr>
      <w:r>
        <w:rPr/>
        <w:t>In its recommendations, the Advisory Committee recommended that this working group be formalised</w:t>
      </w:r>
      <w:r>
        <w:rPr>
          <w:spacing w:val="-3"/>
        </w:rPr>
        <w:t> </w:t>
      </w:r>
      <w:r>
        <w:rPr/>
        <w:t>and</w:t>
      </w:r>
      <w:r>
        <w:rPr>
          <w:spacing w:val="-5"/>
        </w:rPr>
        <w:t> </w:t>
      </w:r>
      <w:r>
        <w:rPr/>
        <w:t>tasked</w:t>
      </w:r>
      <w:r>
        <w:rPr>
          <w:spacing w:val="-5"/>
        </w:rPr>
        <w:t> </w:t>
      </w:r>
      <w:r>
        <w:rPr/>
        <w:t>with</w:t>
      </w:r>
      <w:r>
        <w:rPr>
          <w:spacing w:val="-3"/>
        </w:rPr>
        <w:t> </w:t>
      </w:r>
      <w:r>
        <w:rPr/>
        <w:t>providing</w:t>
      </w:r>
      <w:r>
        <w:rPr>
          <w:spacing w:val="-1"/>
        </w:rPr>
        <w:t> </w:t>
      </w:r>
      <w:r>
        <w:rPr/>
        <w:t>advice</w:t>
      </w:r>
      <w:r>
        <w:rPr>
          <w:spacing w:val="-3"/>
        </w:rPr>
        <w:t> </w:t>
      </w:r>
      <w:r>
        <w:rPr/>
        <w:t>to</w:t>
      </w:r>
      <w:r>
        <w:rPr>
          <w:spacing w:val="-5"/>
        </w:rPr>
        <w:t> </w:t>
      </w:r>
      <w:r>
        <w:rPr/>
        <w:t>the</w:t>
      </w:r>
      <w:r>
        <w:rPr>
          <w:spacing w:val="-2"/>
        </w:rPr>
        <w:t> </w:t>
      </w:r>
      <w:r>
        <w:rPr/>
        <w:t>Victorian</w:t>
      </w:r>
      <w:r>
        <w:rPr>
          <w:spacing w:val="-4"/>
        </w:rPr>
        <w:t> </w:t>
      </w:r>
      <w:r>
        <w:rPr/>
        <w:t>Government</w:t>
      </w:r>
      <w:r>
        <w:rPr>
          <w:spacing w:val="-4"/>
        </w:rPr>
        <w:t> </w:t>
      </w:r>
      <w:r>
        <w:rPr/>
        <w:t>on</w:t>
      </w:r>
      <w:r>
        <w:rPr>
          <w:spacing w:val="-3"/>
        </w:rPr>
        <w:t> </w:t>
      </w:r>
      <w:r>
        <w:rPr/>
        <w:t>improving</w:t>
      </w:r>
      <w:r>
        <w:rPr>
          <w:spacing w:val="-3"/>
        </w:rPr>
        <w:t> </w:t>
      </w:r>
      <w:r>
        <w:rPr/>
        <w:t>planning around high pressure gas pipelines:</w:t>
      </w:r>
    </w:p>
    <w:p>
      <w:pPr>
        <w:pStyle w:val="BodyText"/>
        <w:spacing w:before="9"/>
        <w:rPr>
          <w:sz w:val="20"/>
        </w:rPr>
      </w:pPr>
    </w:p>
    <w:p>
      <w:pPr>
        <w:spacing w:line="288" w:lineRule="auto" w:before="0"/>
        <w:ind w:left="799" w:right="864" w:firstLine="0"/>
        <w:jc w:val="left"/>
        <w:rPr>
          <w:sz w:val="22"/>
        </w:rPr>
      </w:pPr>
      <w:r>
        <w:rPr>
          <w:i/>
          <w:sz w:val="22"/>
        </w:rPr>
        <w:t>“The Minister for Planning consult with the Minister for Energy with a view to</w:t>
      </w:r>
      <w:r>
        <w:rPr>
          <w:i/>
          <w:spacing w:val="40"/>
          <w:sz w:val="22"/>
        </w:rPr>
        <w:t> </w:t>
      </w:r>
      <w:r>
        <w:rPr>
          <w:i/>
          <w:sz w:val="22"/>
        </w:rPr>
        <w:t>formalising the membership and operation of the Land Development Around Pipelines Working</w:t>
      </w:r>
      <w:r>
        <w:rPr>
          <w:i/>
          <w:spacing w:val="-5"/>
          <w:sz w:val="22"/>
        </w:rPr>
        <w:t> </w:t>
      </w:r>
      <w:r>
        <w:rPr>
          <w:i/>
          <w:sz w:val="22"/>
        </w:rPr>
        <w:t>Group</w:t>
      </w:r>
      <w:r>
        <w:rPr>
          <w:i/>
          <w:spacing w:val="-3"/>
          <w:sz w:val="22"/>
        </w:rPr>
        <w:t> </w:t>
      </w:r>
      <w:r>
        <w:rPr>
          <w:i/>
          <w:sz w:val="22"/>
        </w:rPr>
        <w:t>as</w:t>
      </w:r>
      <w:r>
        <w:rPr>
          <w:i/>
          <w:spacing w:val="-5"/>
          <w:sz w:val="22"/>
        </w:rPr>
        <w:t> </w:t>
      </w:r>
      <w:r>
        <w:rPr>
          <w:i/>
          <w:sz w:val="22"/>
        </w:rPr>
        <w:t>a</w:t>
      </w:r>
      <w:r>
        <w:rPr>
          <w:i/>
          <w:spacing w:val="-3"/>
          <w:sz w:val="22"/>
        </w:rPr>
        <w:t> </w:t>
      </w:r>
      <w:r>
        <w:rPr>
          <w:i/>
          <w:sz w:val="22"/>
        </w:rPr>
        <w:t>Section</w:t>
      </w:r>
      <w:r>
        <w:rPr>
          <w:i/>
          <w:spacing w:val="-3"/>
          <w:sz w:val="22"/>
        </w:rPr>
        <w:t> </w:t>
      </w:r>
      <w:r>
        <w:rPr>
          <w:i/>
          <w:sz w:val="22"/>
        </w:rPr>
        <w:t>151</w:t>
      </w:r>
      <w:r>
        <w:rPr>
          <w:i/>
          <w:spacing w:val="-3"/>
          <w:sz w:val="22"/>
        </w:rPr>
        <w:t> </w:t>
      </w:r>
      <w:r>
        <w:rPr>
          <w:i/>
          <w:sz w:val="22"/>
        </w:rPr>
        <w:t>Advisory</w:t>
      </w:r>
      <w:r>
        <w:rPr>
          <w:i/>
          <w:spacing w:val="-2"/>
          <w:sz w:val="22"/>
        </w:rPr>
        <w:t> </w:t>
      </w:r>
      <w:r>
        <w:rPr>
          <w:i/>
          <w:sz w:val="22"/>
        </w:rPr>
        <w:t>Committee</w:t>
      </w:r>
      <w:r>
        <w:rPr>
          <w:i/>
          <w:spacing w:val="-5"/>
          <w:sz w:val="22"/>
        </w:rPr>
        <w:t> </w:t>
      </w:r>
      <w:r>
        <w:rPr>
          <w:i/>
          <w:sz w:val="22"/>
        </w:rPr>
        <w:t>with</w:t>
      </w:r>
      <w:r>
        <w:rPr>
          <w:i/>
          <w:spacing w:val="-3"/>
          <w:sz w:val="22"/>
        </w:rPr>
        <w:t> </w:t>
      </w:r>
      <w:r>
        <w:rPr>
          <w:i/>
          <w:sz w:val="22"/>
        </w:rPr>
        <w:t>an</w:t>
      </w:r>
      <w:r>
        <w:rPr>
          <w:i/>
          <w:spacing w:val="-5"/>
          <w:sz w:val="22"/>
        </w:rPr>
        <w:t> </w:t>
      </w:r>
      <w:r>
        <w:rPr>
          <w:i/>
          <w:sz w:val="22"/>
        </w:rPr>
        <w:t>independent</w:t>
      </w:r>
      <w:r>
        <w:rPr>
          <w:i/>
          <w:spacing w:val="-4"/>
          <w:sz w:val="22"/>
        </w:rPr>
        <w:t> </w:t>
      </w:r>
      <w:r>
        <w:rPr>
          <w:i/>
          <w:sz w:val="22"/>
        </w:rPr>
        <w:t>Chairperson under the Planning and Environment Act 1987; and for this group to advise on improving planning around high pressure gas and liquid hydrocarbon pipelines.” </w:t>
      </w:r>
      <w:r>
        <w:rPr>
          <w:sz w:val="22"/>
        </w:rPr>
        <w:t>(Major Hazard Facilities Advisory Committee, 2016, p. 59)</w:t>
      </w:r>
    </w:p>
    <w:p>
      <w:pPr>
        <w:spacing w:after="0" w:line="288" w:lineRule="auto"/>
        <w:jc w:val="left"/>
        <w:rPr>
          <w:sz w:val="22"/>
        </w:rPr>
        <w:sectPr>
          <w:pgSz w:w="11910" w:h="16850"/>
          <w:pgMar w:header="220" w:footer="678" w:top="420" w:bottom="860" w:left="900" w:right="840"/>
        </w:sectPr>
      </w:pPr>
    </w:p>
    <w:p>
      <w:pPr>
        <w:pStyle w:val="BodyText"/>
        <w:rPr>
          <w:sz w:val="20"/>
        </w:rPr>
      </w:pPr>
    </w:p>
    <w:p>
      <w:pPr>
        <w:pStyle w:val="BodyText"/>
        <w:spacing w:before="2"/>
        <w:rPr>
          <w:sz w:val="19"/>
        </w:rPr>
      </w:pPr>
    </w:p>
    <w:p>
      <w:pPr>
        <w:pStyle w:val="BodyText"/>
        <w:spacing w:line="288" w:lineRule="auto" w:before="94"/>
        <w:ind w:left="232" w:right="374"/>
      </w:pPr>
      <w:r>
        <w:rPr/>
        <w:t>The key to identifying and minimising safety risks associated with pipelines and planning is early coordination between the licensee, planning authorities and the energy safety regulator. The Review</w:t>
      </w:r>
      <w:r>
        <w:rPr>
          <w:spacing w:val="-6"/>
        </w:rPr>
        <w:t> </w:t>
      </w:r>
      <w:r>
        <w:rPr/>
        <w:t>supports</w:t>
      </w:r>
      <w:r>
        <w:rPr>
          <w:spacing w:val="-2"/>
        </w:rPr>
        <w:t> </w:t>
      </w:r>
      <w:r>
        <w:rPr/>
        <w:t>the</w:t>
      </w:r>
      <w:r>
        <w:rPr>
          <w:spacing w:val="-5"/>
        </w:rPr>
        <w:t> </w:t>
      </w:r>
      <w:r>
        <w:rPr/>
        <w:t>Advisory</w:t>
      </w:r>
      <w:r>
        <w:rPr>
          <w:spacing w:val="-4"/>
        </w:rPr>
        <w:t> </w:t>
      </w:r>
      <w:r>
        <w:rPr/>
        <w:t>Committee’s</w:t>
      </w:r>
      <w:r>
        <w:rPr>
          <w:spacing w:val="-5"/>
        </w:rPr>
        <w:t> </w:t>
      </w:r>
      <w:r>
        <w:rPr/>
        <w:t>(2016)</w:t>
      </w:r>
      <w:r>
        <w:rPr>
          <w:spacing w:val="-4"/>
        </w:rPr>
        <w:t> </w:t>
      </w:r>
      <w:r>
        <w:rPr/>
        <w:t>recommendations</w:t>
      </w:r>
      <w:r>
        <w:rPr>
          <w:spacing w:val="-5"/>
        </w:rPr>
        <w:t> </w:t>
      </w:r>
      <w:r>
        <w:rPr/>
        <w:t>to</w:t>
      </w:r>
      <w:r>
        <w:rPr>
          <w:spacing w:val="-5"/>
        </w:rPr>
        <w:t> </w:t>
      </w:r>
      <w:r>
        <w:rPr/>
        <w:t>formalise</w:t>
      </w:r>
      <w:r>
        <w:rPr>
          <w:spacing w:val="-3"/>
        </w:rPr>
        <w:t> </w:t>
      </w:r>
      <w:r>
        <w:rPr/>
        <w:t>the</w:t>
      </w:r>
      <w:r>
        <w:rPr>
          <w:spacing w:val="-5"/>
        </w:rPr>
        <w:t> </w:t>
      </w:r>
      <w:r>
        <w:rPr/>
        <w:t>membership and operation of the </w:t>
      </w:r>
      <w:r>
        <w:rPr>
          <w:i/>
        </w:rPr>
        <w:t>Land Development Around</w:t>
      </w:r>
      <w:r>
        <w:rPr>
          <w:i/>
          <w:spacing w:val="-2"/>
        </w:rPr>
        <w:t> </w:t>
      </w:r>
      <w:r>
        <w:rPr>
          <w:i/>
        </w:rPr>
        <w:t>Pipelines Working Group </w:t>
      </w:r>
      <w:r>
        <w:rPr/>
        <w:t>and to task the working group with providing advice to the government on improving planning around high pressure gas </w:t>
      </w:r>
      <w:r>
        <w:rPr>
          <w:spacing w:val="-2"/>
        </w:rPr>
        <w:t>pipelines.</w:t>
      </w:r>
    </w:p>
    <w:p>
      <w:pPr>
        <w:pStyle w:val="BodyText"/>
        <w:spacing w:before="10"/>
        <w:rPr>
          <w:sz w:val="18"/>
        </w:rPr>
      </w:pPr>
      <w:r>
        <w:rPr/>
        <mc:AlternateContent>
          <mc:Choice Requires="wps">
            <w:drawing>
              <wp:anchor distT="0" distB="0" distL="0" distR="0" allowOverlap="1" layoutInCell="1" locked="0" behindDoc="1" simplePos="0" relativeHeight="487651840">
                <wp:simplePos x="0" y="0"/>
                <wp:positionH relativeFrom="page">
                  <wp:posOffset>719327</wp:posOffset>
                </wp:positionH>
                <wp:positionV relativeFrom="paragraph">
                  <wp:posOffset>153093</wp:posOffset>
                </wp:positionV>
                <wp:extent cx="5870575" cy="1477010"/>
                <wp:effectExtent l="0" t="0" r="0" b="0"/>
                <wp:wrapTopAndBottom/>
                <wp:docPr id="189" name="Textbox 189"/>
                <wp:cNvGraphicFramePr>
                  <a:graphicFrameLocks/>
                </wp:cNvGraphicFramePr>
                <a:graphic>
                  <a:graphicData uri="http://schemas.microsoft.com/office/word/2010/wordprocessingShape">
                    <wps:wsp>
                      <wps:cNvPr id="189" name="Textbox 189"/>
                      <wps:cNvSpPr txBox="1"/>
                      <wps:spPr>
                        <a:xfrm>
                          <a:off x="0" y="0"/>
                          <a:ext cx="5870575" cy="1477010"/>
                        </a:xfrm>
                        <a:prstGeom prst="rect">
                          <a:avLst/>
                        </a:prstGeom>
                        <a:solidFill>
                          <a:srgbClr val="D9D9D9"/>
                        </a:solidFill>
                      </wps:spPr>
                      <wps:txbx>
                        <w:txbxContent>
                          <w:p>
                            <w:pPr>
                              <w:pStyle w:val="BodyText"/>
                              <w:spacing w:before="6"/>
                              <w:rPr>
                                <w:color w:val="000000"/>
                                <w:sz w:val="36"/>
                              </w:rPr>
                            </w:pPr>
                          </w:p>
                          <w:p>
                            <w:pPr>
                              <w:spacing w:before="0"/>
                              <w:ind w:left="141" w:right="0" w:firstLine="0"/>
                              <w:jc w:val="left"/>
                              <w:rPr>
                                <w:b/>
                                <w:color w:val="000000"/>
                                <w:sz w:val="24"/>
                              </w:rPr>
                            </w:pPr>
                            <w:r>
                              <w:rPr>
                                <w:b/>
                                <w:color w:val="000000"/>
                                <w:spacing w:val="-2"/>
                                <w:sz w:val="24"/>
                              </w:rPr>
                              <w:t>Recommendation</w:t>
                            </w:r>
                            <w:r>
                              <w:rPr>
                                <w:b/>
                                <w:color w:val="000000"/>
                                <w:sz w:val="24"/>
                              </w:rPr>
                              <w:t> </w:t>
                            </w:r>
                            <w:r>
                              <w:rPr>
                                <w:b/>
                                <w:color w:val="000000"/>
                                <w:spacing w:val="-5"/>
                                <w:sz w:val="24"/>
                              </w:rPr>
                              <w:t>30</w:t>
                            </w:r>
                          </w:p>
                          <w:p>
                            <w:pPr>
                              <w:pStyle w:val="BodyText"/>
                              <w:spacing w:line="288" w:lineRule="auto" w:before="175"/>
                              <w:ind w:left="112"/>
                              <w:rPr>
                                <w:color w:val="000000"/>
                              </w:rPr>
                            </w:pPr>
                            <w:r>
                              <w:rPr>
                                <w:color w:val="000000"/>
                              </w:rPr>
                              <w:t>The</w:t>
                            </w:r>
                            <w:r>
                              <w:rPr>
                                <w:color w:val="000000"/>
                                <w:spacing w:val="-5"/>
                              </w:rPr>
                              <w:t> </w:t>
                            </w:r>
                            <w:r>
                              <w:rPr>
                                <w:color w:val="000000"/>
                              </w:rPr>
                              <w:t>Victorian</w:t>
                            </w:r>
                            <w:r>
                              <w:rPr>
                                <w:color w:val="000000"/>
                                <w:spacing w:val="-5"/>
                              </w:rPr>
                              <w:t> </w:t>
                            </w:r>
                            <w:r>
                              <w:rPr>
                                <w:color w:val="000000"/>
                              </w:rPr>
                              <w:t>Government</w:t>
                            </w:r>
                            <w:r>
                              <w:rPr>
                                <w:color w:val="000000"/>
                                <w:spacing w:val="-2"/>
                              </w:rPr>
                              <w:t> </w:t>
                            </w:r>
                            <w:r>
                              <w:rPr>
                                <w:color w:val="000000"/>
                              </w:rPr>
                              <w:t>should</w:t>
                            </w:r>
                            <w:r>
                              <w:rPr>
                                <w:color w:val="000000"/>
                                <w:spacing w:val="-3"/>
                              </w:rPr>
                              <w:t> </w:t>
                            </w:r>
                            <w:r>
                              <w:rPr>
                                <w:color w:val="000000"/>
                              </w:rPr>
                              <w:t>note</w:t>
                            </w:r>
                            <w:r>
                              <w:rPr>
                                <w:color w:val="000000"/>
                                <w:spacing w:val="-5"/>
                              </w:rPr>
                              <w:t> </w:t>
                            </w:r>
                            <w:r>
                              <w:rPr>
                                <w:color w:val="000000"/>
                              </w:rPr>
                              <w:t>the</w:t>
                            </w:r>
                            <w:r>
                              <w:rPr>
                                <w:color w:val="000000"/>
                                <w:spacing w:val="-5"/>
                              </w:rPr>
                              <w:t> </w:t>
                            </w:r>
                            <w:r>
                              <w:rPr>
                                <w:color w:val="000000"/>
                              </w:rPr>
                              <w:t>Review’s</w:t>
                            </w:r>
                            <w:r>
                              <w:rPr>
                                <w:color w:val="000000"/>
                                <w:spacing w:val="-2"/>
                              </w:rPr>
                              <w:t> </w:t>
                            </w:r>
                            <w:r>
                              <w:rPr>
                                <w:color w:val="000000"/>
                              </w:rPr>
                              <w:t>support</w:t>
                            </w:r>
                            <w:r>
                              <w:rPr>
                                <w:color w:val="000000"/>
                                <w:spacing w:val="-6"/>
                              </w:rPr>
                              <w:t> </w:t>
                            </w:r>
                            <w:r>
                              <w:rPr>
                                <w:color w:val="000000"/>
                              </w:rPr>
                              <w:t>for</w:t>
                            </w:r>
                            <w:r>
                              <w:rPr>
                                <w:color w:val="000000"/>
                                <w:spacing w:val="-4"/>
                              </w:rPr>
                              <w:t> </w:t>
                            </w:r>
                            <w:r>
                              <w:rPr>
                                <w:color w:val="000000"/>
                              </w:rPr>
                              <w:t>the</w:t>
                            </w:r>
                            <w:r>
                              <w:rPr>
                                <w:color w:val="000000"/>
                                <w:spacing w:val="-5"/>
                              </w:rPr>
                              <w:t> </w:t>
                            </w:r>
                            <w:r>
                              <w:rPr>
                                <w:color w:val="000000"/>
                              </w:rPr>
                              <w:t>Major</w:t>
                            </w:r>
                            <w:r>
                              <w:rPr>
                                <w:color w:val="000000"/>
                                <w:spacing w:val="-2"/>
                              </w:rPr>
                              <w:t> </w:t>
                            </w:r>
                            <w:r>
                              <w:rPr>
                                <w:color w:val="000000"/>
                              </w:rPr>
                              <w:t>Hazard</w:t>
                            </w:r>
                            <w:r>
                              <w:rPr>
                                <w:color w:val="000000"/>
                                <w:spacing w:val="-2"/>
                              </w:rPr>
                              <w:t> </w:t>
                            </w:r>
                            <w:r>
                              <w:rPr>
                                <w:color w:val="000000"/>
                              </w:rPr>
                              <w:t>Facilities Advisory Committee’s recommendations to formalise the membership and operation of the </w:t>
                            </w:r>
                            <w:r>
                              <w:rPr>
                                <w:i/>
                                <w:color w:val="000000"/>
                              </w:rPr>
                              <w:t>Land Development Around Pipelines Working Group </w:t>
                            </w:r>
                            <w:r>
                              <w:rPr>
                                <w:color w:val="000000"/>
                              </w:rPr>
                              <w:t>and to task the working group with providing advice to government to improve planning around high pressure gas pipelines.</w:t>
                            </w:r>
                          </w:p>
                        </w:txbxContent>
                      </wps:txbx>
                      <wps:bodyPr wrap="square" lIns="0" tIns="0" rIns="0" bIns="0" rtlCol="0">
                        <a:noAutofit/>
                      </wps:bodyPr>
                    </wps:wsp>
                  </a:graphicData>
                </a:graphic>
              </wp:anchor>
            </w:drawing>
          </mc:Choice>
          <mc:Fallback>
            <w:pict>
              <v:shape style="position:absolute;margin-left:56.639999pt;margin-top:12.054639pt;width:462.25pt;height:116.3pt;mso-position-horizontal-relative:page;mso-position-vertical-relative:paragraph;z-index:-15664640;mso-wrap-distance-left:0;mso-wrap-distance-right:0" type="#_x0000_t202" id="docshape162" filled="true" fillcolor="#d9d9d9" stroked="false">
                <v:textbox inset="0,0,0,0">
                  <w:txbxContent>
                    <w:p>
                      <w:pPr>
                        <w:pStyle w:val="BodyText"/>
                        <w:spacing w:before="6"/>
                        <w:rPr>
                          <w:color w:val="000000"/>
                          <w:sz w:val="36"/>
                        </w:rPr>
                      </w:pPr>
                    </w:p>
                    <w:p>
                      <w:pPr>
                        <w:spacing w:before="0"/>
                        <w:ind w:left="141" w:right="0" w:firstLine="0"/>
                        <w:jc w:val="left"/>
                        <w:rPr>
                          <w:b/>
                          <w:color w:val="000000"/>
                          <w:sz w:val="24"/>
                        </w:rPr>
                      </w:pPr>
                      <w:r>
                        <w:rPr>
                          <w:b/>
                          <w:color w:val="000000"/>
                          <w:spacing w:val="-2"/>
                          <w:sz w:val="24"/>
                        </w:rPr>
                        <w:t>Recommendation</w:t>
                      </w:r>
                      <w:r>
                        <w:rPr>
                          <w:b/>
                          <w:color w:val="000000"/>
                          <w:sz w:val="24"/>
                        </w:rPr>
                        <w:t> </w:t>
                      </w:r>
                      <w:r>
                        <w:rPr>
                          <w:b/>
                          <w:color w:val="000000"/>
                          <w:spacing w:val="-5"/>
                          <w:sz w:val="24"/>
                        </w:rPr>
                        <w:t>30</w:t>
                      </w:r>
                    </w:p>
                    <w:p>
                      <w:pPr>
                        <w:pStyle w:val="BodyText"/>
                        <w:spacing w:line="288" w:lineRule="auto" w:before="175"/>
                        <w:ind w:left="112"/>
                        <w:rPr>
                          <w:color w:val="000000"/>
                        </w:rPr>
                      </w:pPr>
                      <w:r>
                        <w:rPr>
                          <w:color w:val="000000"/>
                        </w:rPr>
                        <w:t>The</w:t>
                      </w:r>
                      <w:r>
                        <w:rPr>
                          <w:color w:val="000000"/>
                          <w:spacing w:val="-5"/>
                        </w:rPr>
                        <w:t> </w:t>
                      </w:r>
                      <w:r>
                        <w:rPr>
                          <w:color w:val="000000"/>
                        </w:rPr>
                        <w:t>Victorian</w:t>
                      </w:r>
                      <w:r>
                        <w:rPr>
                          <w:color w:val="000000"/>
                          <w:spacing w:val="-5"/>
                        </w:rPr>
                        <w:t> </w:t>
                      </w:r>
                      <w:r>
                        <w:rPr>
                          <w:color w:val="000000"/>
                        </w:rPr>
                        <w:t>Government</w:t>
                      </w:r>
                      <w:r>
                        <w:rPr>
                          <w:color w:val="000000"/>
                          <w:spacing w:val="-2"/>
                        </w:rPr>
                        <w:t> </w:t>
                      </w:r>
                      <w:r>
                        <w:rPr>
                          <w:color w:val="000000"/>
                        </w:rPr>
                        <w:t>should</w:t>
                      </w:r>
                      <w:r>
                        <w:rPr>
                          <w:color w:val="000000"/>
                          <w:spacing w:val="-3"/>
                        </w:rPr>
                        <w:t> </w:t>
                      </w:r>
                      <w:r>
                        <w:rPr>
                          <w:color w:val="000000"/>
                        </w:rPr>
                        <w:t>note</w:t>
                      </w:r>
                      <w:r>
                        <w:rPr>
                          <w:color w:val="000000"/>
                          <w:spacing w:val="-5"/>
                        </w:rPr>
                        <w:t> </w:t>
                      </w:r>
                      <w:r>
                        <w:rPr>
                          <w:color w:val="000000"/>
                        </w:rPr>
                        <w:t>the</w:t>
                      </w:r>
                      <w:r>
                        <w:rPr>
                          <w:color w:val="000000"/>
                          <w:spacing w:val="-5"/>
                        </w:rPr>
                        <w:t> </w:t>
                      </w:r>
                      <w:r>
                        <w:rPr>
                          <w:color w:val="000000"/>
                        </w:rPr>
                        <w:t>Review’s</w:t>
                      </w:r>
                      <w:r>
                        <w:rPr>
                          <w:color w:val="000000"/>
                          <w:spacing w:val="-2"/>
                        </w:rPr>
                        <w:t> </w:t>
                      </w:r>
                      <w:r>
                        <w:rPr>
                          <w:color w:val="000000"/>
                        </w:rPr>
                        <w:t>support</w:t>
                      </w:r>
                      <w:r>
                        <w:rPr>
                          <w:color w:val="000000"/>
                          <w:spacing w:val="-6"/>
                        </w:rPr>
                        <w:t> </w:t>
                      </w:r>
                      <w:r>
                        <w:rPr>
                          <w:color w:val="000000"/>
                        </w:rPr>
                        <w:t>for</w:t>
                      </w:r>
                      <w:r>
                        <w:rPr>
                          <w:color w:val="000000"/>
                          <w:spacing w:val="-4"/>
                        </w:rPr>
                        <w:t> </w:t>
                      </w:r>
                      <w:r>
                        <w:rPr>
                          <w:color w:val="000000"/>
                        </w:rPr>
                        <w:t>the</w:t>
                      </w:r>
                      <w:r>
                        <w:rPr>
                          <w:color w:val="000000"/>
                          <w:spacing w:val="-5"/>
                        </w:rPr>
                        <w:t> </w:t>
                      </w:r>
                      <w:r>
                        <w:rPr>
                          <w:color w:val="000000"/>
                        </w:rPr>
                        <w:t>Major</w:t>
                      </w:r>
                      <w:r>
                        <w:rPr>
                          <w:color w:val="000000"/>
                          <w:spacing w:val="-2"/>
                        </w:rPr>
                        <w:t> </w:t>
                      </w:r>
                      <w:r>
                        <w:rPr>
                          <w:color w:val="000000"/>
                        </w:rPr>
                        <w:t>Hazard</w:t>
                      </w:r>
                      <w:r>
                        <w:rPr>
                          <w:color w:val="000000"/>
                          <w:spacing w:val="-2"/>
                        </w:rPr>
                        <w:t> </w:t>
                      </w:r>
                      <w:r>
                        <w:rPr>
                          <w:color w:val="000000"/>
                        </w:rPr>
                        <w:t>Facilities Advisory Committee’s recommendations to formalise the membership and operation of the </w:t>
                      </w:r>
                      <w:r>
                        <w:rPr>
                          <w:i/>
                          <w:color w:val="000000"/>
                        </w:rPr>
                        <w:t>Land Development Around Pipelines Working Group </w:t>
                      </w:r>
                      <w:r>
                        <w:rPr>
                          <w:color w:val="000000"/>
                        </w:rPr>
                        <w:t>and to task the working group with providing advice to government to improve planning around high pressure gas pipelines.</w:t>
                      </w:r>
                    </w:p>
                  </w:txbxContent>
                </v:textbox>
                <v:fill type="solid"/>
                <w10:wrap type="topAndBottom"/>
              </v:shape>
            </w:pict>
          </mc:Fallback>
        </mc:AlternateContent>
      </w:r>
    </w:p>
    <w:p>
      <w:pPr>
        <w:pStyle w:val="BodyText"/>
        <w:spacing w:before="6"/>
        <w:rPr>
          <w:sz w:val="23"/>
        </w:rPr>
      </w:pPr>
    </w:p>
    <w:p>
      <w:pPr>
        <w:pStyle w:val="Heading4"/>
      </w:pPr>
      <w:r>
        <w:rPr>
          <w:color w:val="585858"/>
        </w:rPr>
        <w:t>Legislation</w:t>
      </w:r>
      <w:r>
        <w:rPr>
          <w:color w:val="585858"/>
          <w:spacing w:val="-14"/>
        </w:rPr>
        <w:t> </w:t>
      </w:r>
      <w:r>
        <w:rPr>
          <w:color w:val="585858"/>
        </w:rPr>
        <w:t>to</w:t>
      </w:r>
      <w:r>
        <w:rPr>
          <w:color w:val="585858"/>
          <w:spacing w:val="-13"/>
        </w:rPr>
        <w:t> </w:t>
      </w:r>
      <w:r>
        <w:rPr>
          <w:color w:val="585858"/>
        </w:rPr>
        <w:t>protect</w:t>
      </w:r>
      <w:r>
        <w:rPr>
          <w:color w:val="585858"/>
          <w:spacing w:val="-13"/>
        </w:rPr>
        <w:t> </w:t>
      </w:r>
      <w:r>
        <w:rPr>
          <w:color w:val="585858"/>
        </w:rPr>
        <w:t>underground</w:t>
      </w:r>
      <w:r>
        <w:rPr>
          <w:color w:val="585858"/>
          <w:spacing w:val="-12"/>
        </w:rPr>
        <w:t> </w:t>
      </w:r>
      <w:r>
        <w:rPr>
          <w:color w:val="585858"/>
        </w:rPr>
        <w:t>energy</w:t>
      </w:r>
      <w:r>
        <w:rPr>
          <w:color w:val="585858"/>
          <w:spacing w:val="-17"/>
        </w:rPr>
        <w:t> </w:t>
      </w:r>
      <w:r>
        <w:rPr>
          <w:color w:val="585858"/>
          <w:spacing w:val="-2"/>
        </w:rPr>
        <w:t>assets</w:t>
      </w:r>
    </w:p>
    <w:p>
      <w:pPr>
        <w:pStyle w:val="BodyText"/>
        <w:spacing w:line="288" w:lineRule="auto" w:before="314"/>
        <w:ind w:left="232" w:right="320"/>
      </w:pPr>
      <w:r>
        <w:rPr/>
        <w:t>Any construction project, irrespective of size, has the potential to damage assets located around the</w:t>
      </w:r>
      <w:r>
        <w:rPr>
          <w:spacing w:val="-2"/>
        </w:rPr>
        <w:t> </w:t>
      </w:r>
      <w:r>
        <w:rPr/>
        <w:t>work site, leading</w:t>
      </w:r>
      <w:r>
        <w:rPr>
          <w:spacing w:val="-2"/>
        </w:rPr>
        <w:t> </w:t>
      </w:r>
      <w:r>
        <w:rPr/>
        <w:t>to</w:t>
      </w:r>
      <w:r>
        <w:rPr>
          <w:spacing w:val="-4"/>
        </w:rPr>
        <w:t> </w:t>
      </w:r>
      <w:r>
        <w:rPr/>
        <w:t>service</w:t>
      </w:r>
      <w:r>
        <w:rPr>
          <w:spacing w:val="-2"/>
        </w:rPr>
        <w:t> </w:t>
      </w:r>
      <w:r>
        <w:rPr/>
        <w:t>interruptions,</w:t>
      </w:r>
      <w:r>
        <w:rPr>
          <w:spacing w:val="-3"/>
        </w:rPr>
        <w:t> </w:t>
      </w:r>
      <w:r>
        <w:rPr/>
        <w:t>delays, costly</w:t>
      </w:r>
      <w:r>
        <w:rPr>
          <w:spacing w:val="-4"/>
        </w:rPr>
        <w:t> </w:t>
      </w:r>
      <w:r>
        <w:rPr/>
        <w:t>repairs</w:t>
      </w:r>
      <w:r>
        <w:rPr>
          <w:spacing w:val="-4"/>
        </w:rPr>
        <w:t> </w:t>
      </w:r>
      <w:r>
        <w:rPr/>
        <w:t>and</w:t>
      </w:r>
      <w:r>
        <w:rPr>
          <w:spacing w:val="-2"/>
        </w:rPr>
        <w:t> </w:t>
      </w:r>
      <w:r>
        <w:rPr/>
        <w:t>in</w:t>
      </w:r>
      <w:r>
        <w:rPr>
          <w:spacing w:val="-4"/>
        </w:rPr>
        <w:t> </w:t>
      </w:r>
      <w:r>
        <w:rPr/>
        <w:t>the</w:t>
      </w:r>
      <w:r>
        <w:rPr>
          <w:spacing w:val="-4"/>
        </w:rPr>
        <w:t> </w:t>
      </w:r>
      <w:r>
        <w:rPr/>
        <w:t>worst case</w:t>
      </w:r>
      <w:r>
        <w:rPr>
          <w:spacing w:val="-4"/>
        </w:rPr>
        <w:t> </w:t>
      </w:r>
      <w:r>
        <w:rPr/>
        <w:t>scenario, injury or death. When excavating near underground assets, information on the exact location of these assets is crucial for avoiding accidental damage by third parties. Existing legislation under the </w:t>
      </w:r>
      <w:r>
        <w:rPr>
          <w:i/>
        </w:rPr>
        <w:t>Electricity Safety Act 1998, Gas Safety Act 1997 </w:t>
      </w:r>
      <w:r>
        <w:rPr/>
        <w:t>and the </w:t>
      </w:r>
      <w:r>
        <w:rPr>
          <w:i/>
        </w:rPr>
        <w:t>Pipelines Act 2005</w:t>
      </w:r>
      <w:r>
        <w:rPr/>
        <w:t>, has provisions in place to ensure that network businesses maintain a register of the locations of their underground assets.</w:t>
      </w:r>
      <w:r>
        <w:rPr>
          <w:spacing w:val="-1"/>
        </w:rPr>
        <w:t> </w:t>
      </w:r>
      <w:r>
        <w:rPr/>
        <w:t>These</w:t>
      </w:r>
      <w:r>
        <w:rPr>
          <w:spacing w:val="-2"/>
        </w:rPr>
        <w:t> </w:t>
      </w:r>
      <w:r>
        <w:rPr/>
        <w:t>Acts also</w:t>
      </w:r>
      <w:r>
        <w:rPr>
          <w:spacing w:val="-2"/>
        </w:rPr>
        <w:t> </w:t>
      </w:r>
      <w:r>
        <w:rPr/>
        <w:t>contain provisions to allow</w:t>
      </w:r>
      <w:r>
        <w:rPr>
          <w:spacing w:val="-3"/>
        </w:rPr>
        <w:t> </w:t>
      </w:r>
      <w:r>
        <w:rPr/>
        <w:t>ESV to apply</w:t>
      </w:r>
      <w:r>
        <w:rPr>
          <w:spacing w:val="-2"/>
        </w:rPr>
        <w:t> </w:t>
      </w:r>
      <w:r>
        <w:rPr/>
        <w:t>penalties</w:t>
      </w:r>
      <w:r>
        <w:rPr>
          <w:spacing w:val="-2"/>
        </w:rPr>
        <w:t> </w:t>
      </w:r>
      <w:r>
        <w:rPr/>
        <w:t>for damage</w:t>
      </w:r>
      <w:r>
        <w:rPr>
          <w:spacing w:val="-2"/>
        </w:rPr>
        <w:t> </w:t>
      </w:r>
      <w:r>
        <w:rPr/>
        <w:t>to assets</w:t>
      </w:r>
      <w:r>
        <w:rPr>
          <w:spacing w:val="-3"/>
        </w:rPr>
        <w:t> </w:t>
      </w:r>
      <w:r>
        <w:rPr/>
        <w:t>to deter third parties from interfering with underground assets.</w:t>
      </w:r>
    </w:p>
    <w:p>
      <w:pPr>
        <w:pStyle w:val="BodyText"/>
        <w:spacing w:before="8"/>
        <w:rPr>
          <w:sz w:val="20"/>
        </w:rPr>
      </w:pPr>
    </w:p>
    <w:p>
      <w:pPr>
        <w:pStyle w:val="BodyText"/>
        <w:spacing w:line="288" w:lineRule="auto"/>
        <w:ind w:left="232" w:right="320"/>
      </w:pPr>
      <w:r>
        <w:rPr/>
        <w:t>The</w:t>
      </w:r>
      <w:r>
        <w:rPr>
          <w:spacing w:val="-4"/>
        </w:rPr>
        <w:t> </w:t>
      </w:r>
      <w:r>
        <w:rPr/>
        <w:t>national</w:t>
      </w:r>
      <w:r>
        <w:rPr>
          <w:spacing w:val="-2"/>
        </w:rPr>
        <w:t> </w:t>
      </w:r>
      <w:r>
        <w:rPr>
          <w:i/>
        </w:rPr>
        <w:t>Dial</w:t>
      </w:r>
      <w:r>
        <w:rPr>
          <w:i/>
          <w:spacing w:val="-3"/>
        </w:rPr>
        <w:t> </w:t>
      </w:r>
      <w:r>
        <w:rPr>
          <w:i/>
        </w:rPr>
        <w:t>Before</w:t>
      </w:r>
      <w:r>
        <w:rPr>
          <w:i/>
          <w:spacing w:val="-6"/>
        </w:rPr>
        <w:t> </w:t>
      </w:r>
      <w:r>
        <w:rPr>
          <w:i/>
        </w:rPr>
        <w:t>You</w:t>
      </w:r>
      <w:r>
        <w:rPr>
          <w:i/>
          <w:spacing w:val="-2"/>
        </w:rPr>
        <w:t> </w:t>
      </w:r>
      <w:r>
        <w:rPr>
          <w:i/>
        </w:rPr>
        <w:t>Dig </w:t>
      </w:r>
      <w:r>
        <w:rPr/>
        <w:t>scheme</w:t>
      </w:r>
      <w:r>
        <w:rPr>
          <w:spacing w:val="-4"/>
        </w:rPr>
        <w:t> </w:t>
      </w:r>
      <w:r>
        <w:rPr/>
        <w:t>is</w:t>
      </w:r>
      <w:r>
        <w:rPr>
          <w:spacing w:val="-1"/>
        </w:rPr>
        <w:t> </w:t>
      </w:r>
      <w:r>
        <w:rPr/>
        <w:t>designed</w:t>
      </w:r>
      <w:r>
        <w:rPr>
          <w:spacing w:val="-2"/>
        </w:rPr>
        <w:t> </w:t>
      </w:r>
      <w:r>
        <w:rPr/>
        <w:t>to</w:t>
      </w:r>
      <w:r>
        <w:rPr>
          <w:spacing w:val="-4"/>
        </w:rPr>
        <w:t> </w:t>
      </w:r>
      <w:r>
        <w:rPr/>
        <w:t>prevent damage</w:t>
      </w:r>
      <w:r>
        <w:rPr>
          <w:spacing w:val="-4"/>
        </w:rPr>
        <w:t> </w:t>
      </w:r>
      <w:r>
        <w:rPr/>
        <w:t>to</w:t>
      </w:r>
      <w:r>
        <w:rPr>
          <w:spacing w:val="-2"/>
        </w:rPr>
        <w:t> </w:t>
      </w:r>
      <w:r>
        <w:rPr/>
        <w:t>underground</w:t>
      </w:r>
      <w:r>
        <w:rPr>
          <w:spacing w:val="-2"/>
        </w:rPr>
        <w:t> </w:t>
      </w:r>
      <w:r>
        <w:rPr/>
        <w:t>pipe</w:t>
      </w:r>
      <w:r>
        <w:rPr>
          <w:spacing w:val="-2"/>
        </w:rPr>
        <w:t> </w:t>
      </w:r>
      <w:r>
        <w:rPr/>
        <w:t>and cable networks which provide Australia with essential services, such as electricity, gas, communications or water. </w:t>
      </w:r>
      <w:r>
        <w:rPr>
          <w:i/>
        </w:rPr>
        <w:t>Dial</w:t>
      </w:r>
      <w:r>
        <w:rPr>
          <w:i/>
          <w:spacing w:val="-2"/>
        </w:rPr>
        <w:t> </w:t>
      </w:r>
      <w:r>
        <w:rPr>
          <w:i/>
        </w:rPr>
        <w:t>Before</w:t>
      </w:r>
      <w:r>
        <w:rPr>
          <w:i/>
          <w:spacing w:val="-1"/>
        </w:rPr>
        <w:t> </w:t>
      </w:r>
      <w:r>
        <w:rPr>
          <w:i/>
        </w:rPr>
        <w:t>You</w:t>
      </w:r>
      <w:r>
        <w:rPr>
          <w:i/>
          <w:spacing w:val="-4"/>
        </w:rPr>
        <w:t> </w:t>
      </w:r>
      <w:r>
        <w:rPr>
          <w:i/>
        </w:rPr>
        <w:t>Dig </w:t>
      </w:r>
      <w:r>
        <w:rPr/>
        <w:t>is</w:t>
      </w:r>
      <w:r>
        <w:rPr>
          <w:spacing w:val="-3"/>
        </w:rPr>
        <w:t> </w:t>
      </w:r>
      <w:r>
        <w:rPr/>
        <w:t>a</w:t>
      </w:r>
      <w:r>
        <w:rPr>
          <w:spacing w:val="-1"/>
        </w:rPr>
        <w:t> </w:t>
      </w:r>
      <w:r>
        <w:rPr/>
        <w:t>not</w:t>
      </w:r>
      <w:r>
        <w:rPr>
          <w:spacing w:val="-4"/>
        </w:rPr>
        <w:t> </w:t>
      </w:r>
      <w:r>
        <w:rPr/>
        <w:t>for profit</w:t>
      </w:r>
      <w:r>
        <w:rPr>
          <w:spacing w:val="-2"/>
        </w:rPr>
        <w:t> </w:t>
      </w:r>
      <w:r>
        <w:rPr/>
        <w:t>organisation</w:t>
      </w:r>
      <w:r>
        <w:rPr>
          <w:spacing w:val="-1"/>
        </w:rPr>
        <w:t> </w:t>
      </w:r>
      <w:r>
        <w:rPr/>
        <w:t>consisting of</w:t>
      </w:r>
      <w:r>
        <w:rPr>
          <w:spacing w:val="-2"/>
        </w:rPr>
        <w:t> </w:t>
      </w:r>
      <w:r>
        <w:rPr/>
        <w:t>member organisations who own or operate these networks. In 1999, the Association of Australian </w:t>
      </w:r>
      <w:r>
        <w:rPr>
          <w:i/>
        </w:rPr>
        <w:t>Dial Before You Dig Services Ltd </w:t>
      </w:r>
      <w:r>
        <w:rPr/>
        <w:t>(AADBYDS Ltd) was established to ensure a consistent national approach to the provision of the </w:t>
      </w:r>
      <w:r>
        <w:rPr>
          <w:i/>
        </w:rPr>
        <w:t>Dial Before You Dig </w:t>
      </w:r>
      <w:r>
        <w:rPr/>
        <w:t>service.</w:t>
      </w:r>
    </w:p>
    <w:p>
      <w:pPr>
        <w:pStyle w:val="BodyText"/>
        <w:spacing w:before="10"/>
        <w:rPr>
          <w:sz w:val="20"/>
        </w:rPr>
      </w:pPr>
    </w:p>
    <w:p>
      <w:pPr>
        <w:pStyle w:val="BodyText"/>
        <w:spacing w:line="288" w:lineRule="auto"/>
        <w:ind w:left="232" w:right="332"/>
        <w:jc w:val="both"/>
      </w:pPr>
      <w:r>
        <w:rPr>
          <w:i/>
        </w:rPr>
        <w:t>Dial</w:t>
      </w:r>
      <w:r>
        <w:rPr>
          <w:i/>
          <w:spacing w:val="-3"/>
        </w:rPr>
        <w:t> </w:t>
      </w:r>
      <w:r>
        <w:rPr>
          <w:i/>
        </w:rPr>
        <w:t>Before</w:t>
      </w:r>
      <w:r>
        <w:rPr>
          <w:i/>
          <w:spacing w:val="-2"/>
        </w:rPr>
        <w:t> </w:t>
      </w:r>
      <w:r>
        <w:rPr>
          <w:i/>
        </w:rPr>
        <w:t>You</w:t>
      </w:r>
      <w:r>
        <w:rPr>
          <w:i/>
          <w:spacing w:val="-2"/>
        </w:rPr>
        <w:t> </w:t>
      </w:r>
      <w:r>
        <w:rPr>
          <w:i/>
        </w:rPr>
        <w:t>Dig</w:t>
      </w:r>
      <w:r>
        <w:rPr>
          <w:i/>
          <w:spacing w:val="-1"/>
        </w:rPr>
        <w:t> </w:t>
      </w:r>
      <w:r>
        <w:rPr/>
        <w:t>aims</w:t>
      </w:r>
      <w:r>
        <w:rPr>
          <w:spacing w:val="-1"/>
        </w:rPr>
        <w:t> </w:t>
      </w:r>
      <w:r>
        <w:rPr/>
        <w:t>to</w:t>
      </w:r>
      <w:r>
        <w:rPr>
          <w:spacing w:val="-4"/>
        </w:rPr>
        <w:t> </w:t>
      </w:r>
      <w:r>
        <w:rPr/>
        <w:t>promote</w:t>
      </w:r>
      <w:r>
        <w:rPr>
          <w:spacing w:val="-6"/>
        </w:rPr>
        <w:t> </w:t>
      </w:r>
      <w:r>
        <w:rPr/>
        <w:t>the</w:t>
      </w:r>
      <w:r>
        <w:rPr>
          <w:spacing w:val="-2"/>
        </w:rPr>
        <w:t> </w:t>
      </w:r>
      <w:r>
        <w:rPr/>
        <w:t>importance</w:t>
      </w:r>
      <w:r>
        <w:rPr>
          <w:spacing w:val="-2"/>
        </w:rPr>
        <w:t> </w:t>
      </w:r>
      <w:r>
        <w:rPr/>
        <w:t>of</w:t>
      </w:r>
      <w:r>
        <w:rPr>
          <w:spacing w:val="-1"/>
        </w:rPr>
        <w:t> </w:t>
      </w:r>
      <w:r>
        <w:rPr/>
        <w:t>safe</w:t>
      </w:r>
      <w:r>
        <w:rPr>
          <w:spacing w:val="-2"/>
        </w:rPr>
        <w:t> </w:t>
      </w:r>
      <w:r>
        <w:rPr/>
        <w:t>digging</w:t>
      </w:r>
      <w:r>
        <w:rPr>
          <w:spacing w:val="-2"/>
        </w:rPr>
        <w:t> </w:t>
      </w:r>
      <w:r>
        <w:rPr/>
        <w:t>practices</w:t>
      </w:r>
      <w:r>
        <w:rPr>
          <w:spacing w:val="-2"/>
        </w:rPr>
        <w:t> </w:t>
      </w:r>
      <w:r>
        <w:rPr/>
        <w:t>by</w:t>
      </w:r>
      <w:r>
        <w:rPr>
          <w:spacing w:val="-6"/>
        </w:rPr>
        <w:t> </w:t>
      </w:r>
      <w:r>
        <w:rPr/>
        <w:t>facilitating</w:t>
      </w:r>
      <w:r>
        <w:rPr>
          <w:spacing w:val="-1"/>
        </w:rPr>
        <w:t> </w:t>
      </w:r>
      <w:r>
        <w:rPr/>
        <w:t>access by</w:t>
      </w:r>
      <w:r>
        <w:rPr>
          <w:spacing w:val="-2"/>
        </w:rPr>
        <w:t> </w:t>
      </w:r>
      <w:r>
        <w:rPr/>
        <w:t>all people working in</w:t>
      </w:r>
      <w:r>
        <w:rPr>
          <w:spacing w:val="-4"/>
        </w:rPr>
        <w:t> </w:t>
      </w:r>
      <w:r>
        <w:rPr/>
        <w:t>and around</w:t>
      </w:r>
      <w:r>
        <w:rPr>
          <w:spacing w:val="-2"/>
        </w:rPr>
        <w:t> </w:t>
      </w:r>
      <w:r>
        <w:rPr/>
        <w:t>buried infrastructure,</w:t>
      </w:r>
      <w:r>
        <w:rPr>
          <w:spacing w:val="-1"/>
        </w:rPr>
        <w:t> </w:t>
      </w:r>
      <w:r>
        <w:rPr/>
        <w:t>to</w:t>
      </w:r>
      <w:r>
        <w:rPr>
          <w:spacing w:val="-2"/>
        </w:rPr>
        <w:t> </w:t>
      </w:r>
      <w:r>
        <w:rPr/>
        <w:t>plans and</w:t>
      </w:r>
      <w:r>
        <w:rPr>
          <w:spacing w:val="-2"/>
        </w:rPr>
        <w:t> </w:t>
      </w:r>
      <w:r>
        <w:rPr/>
        <w:t>information directly</w:t>
      </w:r>
      <w:r>
        <w:rPr>
          <w:spacing w:val="-4"/>
        </w:rPr>
        <w:t> </w:t>
      </w:r>
      <w:r>
        <w:rPr/>
        <w:t>from</w:t>
      </w:r>
      <w:r>
        <w:rPr>
          <w:spacing w:val="-1"/>
        </w:rPr>
        <w:t> </w:t>
      </w:r>
      <w:r>
        <w:rPr/>
        <w:t>the asset owners. Enquires can be lodged for free via its website, iPhone app or phone call.</w:t>
      </w:r>
    </w:p>
    <w:p>
      <w:pPr>
        <w:pStyle w:val="BodyText"/>
        <w:spacing w:before="1"/>
        <w:rPr>
          <w:sz w:val="21"/>
        </w:rPr>
      </w:pPr>
    </w:p>
    <w:p>
      <w:pPr>
        <w:pStyle w:val="BodyText"/>
        <w:spacing w:line="288" w:lineRule="auto"/>
        <w:ind w:left="232" w:right="374"/>
      </w:pPr>
      <w:r>
        <w:rPr/>
        <w:t>While</w:t>
      </w:r>
      <w:r>
        <w:rPr>
          <w:spacing w:val="-5"/>
        </w:rPr>
        <w:t> </w:t>
      </w:r>
      <w:r>
        <w:rPr/>
        <w:t>most</w:t>
      </w:r>
      <w:r>
        <w:rPr>
          <w:spacing w:val="-1"/>
        </w:rPr>
        <w:t> </w:t>
      </w:r>
      <w:r>
        <w:rPr/>
        <w:t>of</w:t>
      </w:r>
      <w:r>
        <w:rPr>
          <w:spacing w:val="-1"/>
        </w:rPr>
        <w:t> </w:t>
      </w:r>
      <w:r>
        <w:rPr/>
        <w:t>Australia’s</w:t>
      </w:r>
      <w:r>
        <w:rPr>
          <w:spacing w:val="-2"/>
        </w:rPr>
        <w:t> </w:t>
      </w:r>
      <w:r>
        <w:rPr/>
        <w:t>major</w:t>
      </w:r>
      <w:r>
        <w:rPr>
          <w:spacing w:val="-4"/>
        </w:rPr>
        <w:t> </w:t>
      </w:r>
      <w:r>
        <w:rPr/>
        <w:t>infrastructure</w:t>
      </w:r>
      <w:r>
        <w:rPr>
          <w:spacing w:val="-3"/>
        </w:rPr>
        <w:t> </w:t>
      </w:r>
      <w:r>
        <w:rPr/>
        <w:t>asset</w:t>
      </w:r>
      <w:r>
        <w:rPr>
          <w:spacing w:val="-2"/>
        </w:rPr>
        <w:t> </w:t>
      </w:r>
      <w:r>
        <w:rPr/>
        <w:t>owners</w:t>
      </w:r>
      <w:r>
        <w:rPr>
          <w:spacing w:val="-2"/>
        </w:rPr>
        <w:t> </w:t>
      </w:r>
      <w:r>
        <w:rPr/>
        <w:t>are</w:t>
      </w:r>
      <w:r>
        <w:rPr>
          <w:spacing w:val="-5"/>
        </w:rPr>
        <w:t> </w:t>
      </w:r>
      <w:r>
        <w:rPr/>
        <w:t>members</w:t>
      </w:r>
      <w:r>
        <w:rPr>
          <w:spacing w:val="-7"/>
        </w:rPr>
        <w:t> </w:t>
      </w:r>
      <w:r>
        <w:rPr/>
        <w:t>of </w:t>
      </w:r>
      <w:r>
        <w:rPr>
          <w:i/>
        </w:rPr>
        <w:t>Dial</w:t>
      </w:r>
      <w:r>
        <w:rPr>
          <w:i/>
          <w:spacing w:val="-4"/>
        </w:rPr>
        <w:t> </w:t>
      </w:r>
      <w:r>
        <w:rPr>
          <w:i/>
        </w:rPr>
        <w:t>Before</w:t>
      </w:r>
      <w:r>
        <w:rPr>
          <w:i/>
          <w:spacing w:val="-3"/>
        </w:rPr>
        <w:t> </w:t>
      </w:r>
      <w:r>
        <w:rPr>
          <w:i/>
        </w:rPr>
        <w:t>You</w:t>
      </w:r>
      <w:r>
        <w:rPr>
          <w:i/>
          <w:spacing w:val="-6"/>
        </w:rPr>
        <w:t> </w:t>
      </w:r>
      <w:r>
        <w:rPr>
          <w:i/>
        </w:rPr>
        <w:t>Dig</w:t>
      </w:r>
      <w:r>
        <w:rPr/>
        <w:t>, not all organisations with underground assets are members. For example, VicRoads is not a member, but has underground services for traffic lights and cameras.</w:t>
      </w:r>
    </w:p>
    <w:p>
      <w:pPr>
        <w:pStyle w:val="BodyText"/>
        <w:spacing w:before="8"/>
        <w:rPr>
          <w:sz w:val="20"/>
        </w:rPr>
      </w:pPr>
    </w:p>
    <w:p>
      <w:pPr>
        <w:pStyle w:val="BodyText"/>
        <w:spacing w:line="288" w:lineRule="auto" w:before="1"/>
        <w:ind w:left="232" w:right="320"/>
      </w:pPr>
      <w:r>
        <w:rPr/>
        <w:t>Once an enquiry is lodged, details including the location, date and type of work being carried out are</w:t>
      </w:r>
      <w:r>
        <w:rPr>
          <w:spacing w:val="-4"/>
        </w:rPr>
        <w:t> </w:t>
      </w:r>
      <w:r>
        <w:rPr/>
        <w:t>then</w:t>
      </w:r>
      <w:r>
        <w:rPr>
          <w:spacing w:val="-2"/>
        </w:rPr>
        <w:t> </w:t>
      </w:r>
      <w:r>
        <w:rPr/>
        <w:t>sent</w:t>
      </w:r>
      <w:r>
        <w:rPr>
          <w:spacing w:val="-3"/>
        </w:rPr>
        <w:t> </w:t>
      </w:r>
      <w:r>
        <w:rPr/>
        <w:t>to</w:t>
      </w:r>
      <w:r>
        <w:rPr>
          <w:spacing w:val="-2"/>
        </w:rPr>
        <w:t> </w:t>
      </w:r>
      <w:r>
        <w:rPr/>
        <w:t>all</w:t>
      </w:r>
      <w:r>
        <w:rPr>
          <w:spacing w:val="-2"/>
        </w:rPr>
        <w:t> </w:t>
      </w:r>
      <w:r>
        <w:rPr/>
        <w:t>listed</w:t>
      </w:r>
      <w:r>
        <w:rPr>
          <w:spacing w:val="-7"/>
        </w:rPr>
        <w:t> </w:t>
      </w:r>
      <w:r>
        <w:rPr/>
        <w:t>infrastructure</w:t>
      </w:r>
      <w:r>
        <w:rPr>
          <w:spacing w:val="-4"/>
        </w:rPr>
        <w:t> </w:t>
      </w:r>
      <w:r>
        <w:rPr/>
        <w:t>owners</w:t>
      </w:r>
      <w:r>
        <w:rPr>
          <w:spacing w:val="-1"/>
        </w:rPr>
        <w:t> </w:t>
      </w:r>
      <w:r>
        <w:rPr/>
        <w:t>or</w:t>
      </w:r>
      <w:r>
        <w:rPr>
          <w:spacing w:val="-6"/>
        </w:rPr>
        <w:t> </w:t>
      </w:r>
      <w:r>
        <w:rPr/>
        <w:t>operators</w:t>
      </w:r>
      <w:r>
        <w:rPr>
          <w:spacing w:val="-1"/>
        </w:rPr>
        <w:t> </w:t>
      </w:r>
      <w:r>
        <w:rPr/>
        <w:t>with</w:t>
      </w:r>
      <w:r>
        <w:rPr>
          <w:spacing w:val="-2"/>
        </w:rPr>
        <w:t> </w:t>
      </w:r>
      <w:r>
        <w:rPr/>
        <w:t>assets</w:t>
      </w:r>
      <w:r>
        <w:rPr>
          <w:spacing w:val="-1"/>
        </w:rPr>
        <w:t> </w:t>
      </w:r>
      <w:r>
        <w:rPr/>
        <w:t>in</w:t>
      </w:r>
      <w:r>
        <w:rPr>
          <w:spacing w:val="-4"/>
        </w:rPr>
        <w:t> </w:t>
      </w:r>
      <w:r>
        <w:rPr/>
        <w:t>the</w:t>
      </w:r>
      <w:r>
        <w:rPr>
          <w:spacing w:val="-2"/>
        </w:rPr>
        <w:t> </w:t>
      </w:r>
      <w:r>
        <w:rPr/>
        <w:t>vicinity</w:t>
      </w:r>
      <w:r>
        <w:rPr>
          <w:spacing w:val="-4"/>
        </w:rPr>
        <w:t> </w:t>
      </w:r>
      <w:r>
        <w:rPr/>
        <w:t>of the</w:t>
      </w:r>
      <w:r>
        <w:rPr>
          <w:spacing w:val="-2"/>
        </w:rPr>
        <w:t> </w:t>
      </w:r>
      <w:r>
        <w:rPr/>
        <w:t>project. The</w:t>
      </w:r>
      <w:r>
        <w:rPr>
          <w:spacing w:val="-3"/>
        </w:rPr>
        <w:t> </w:t>
      </w:r>
      <w:r>
        <w:rPr/>
        <w:t>network asset</w:t>
      </w:r>
      <w:r>
        <w:rPr>
          <w:spacing w:val="-2"/>
        </w:rPr>
        <w:t> </w:t>
      </w:r>
      <w:r>
        <w:rPr/>
        <w:t>businesses</w:t>
      </w:r>
      <w:r>
        <w:rPr>
          <w:spacing w:val="-1"/>
        </w:rPr>
        <w:t> </w:t>
      </w:r>
      <w:r>
        <w:rPr/>
        <w:t>will then</w:t>
      </w:r>
      <w:r>
        <w:rPr>
          <w:spacing w:val="-1"/>
        </w:rPr>
        <w:t> </w:t>
      </w:r>
      <w:r>
        <w:rPr/>
        <w:t>respond</w:t>
      </w:r>
      <w:r>
        <w:rPr>
          <w:spacing w:val="-5"/>
        </w:rPr>
        <w:t> </w:t>
      </w:r>
      <w:r>
        <w:rPr/>
        <w:t>directly</w:t>
      </w:r>
      <w:r>
        <w:rPr>
          <w:spacing w:val="-3"/>
        </w:rPr>
        <w:t> </w:t>
      </w:r>
      <w:r>
        <w:rPr/>
        <w:t>to</w:t>
      </w:r>
      <w:r>
        <w:rPr>
          <w:spacing w:val="-3"/>
        </w:rPr>
        <w:t> </w:t>
      </w:r>
      <w:r>
        <w:rPr/>
        <w:t>the</w:t>
      </w:r>
      <w:r>
        <w:rPr>
          <w:spacing w:val="-1"/>
        </w:rPr>
        <w:t> </w:t>
      </w:r>
      <w:r>
        <w:rPr/>
        <w:t>individual</w:t>
      </w:r>
      <w:r>
        <w:rPr>
          <w:spacing w:val="-2"/>
        </w:rPr>
        <w:t> </w:t>
      </w:r>
      <w:r>
        <w:rPr/>
        <w:t>enquiring with</w:t>
      </w:r>
      <w:r>
        <w:rPr>
          <w:spacing w:val="-1"/>
        </w:rPr>
        <w:t> </w:t>
      </w:r>
      <w:r>
        <w:rPr/>
        <w:t>information on the location of their infrastructure assets. This information is normally provided in the form of plans and</w:t>
      </w:r>
      <w:r>
        <w:rPr>
          <w:spacing w:val="-1"/>
        </w:rPr>
        <w:t> </w:t>
      </w:r>
      <w:r>
        <w:rPr/>
        <w:t>is</w:t>
      </w:r>
      <w:r>
        <w:rPr>
          <w:spacing w:val="-3"/>
        </w:rPr>
        <w:t> </w:t>
      </w:r>
      <w:r>
        <w:rPr/>
        <w:t>required</w:t>
      </w:r>
      <w:r>
        <w:rPr>
          <w:spacing w:val="-3"/>
        </w:rPr>
        <w:t> </w:t>
      </w:r>
      <w:r>
        <w:rPr/>
        <w:t>to</w:t>
      </w:r>
      <w:r>
        <w:rPr>
          <w:spacing w:val="-5"/>
        </w:rPr>
        <w:t> </w:t>
      </w:r>
      <w:r>
        <w:rPr/>
        <w:t>be</w:t>
      </w:r>
      <w:r>
        <w:rPr>
          <w:spacing w:val="-1"/>
        </w:rPr>
        <w:t> </w:t>
      </w:r>
      <w:r>
        <w:rPr/>
        <w:t>on</w:t>
      </w:r>
      <w:r>
        <w:rPr>
          <w:spacing w:val="-1"/>
        </w:rPr>
        <w:t> </w:t>
      </w:r>
      <w:r>
        <w:rPr/>
        <w:t>site</w:t>
      </w:r>
      <w:r>
        <w:rPr>
          <w:spacing w:val="-5"/>
        </w:rPr>
        <w:t> </w:t>
      </w:r>
      <w:r>
        <w:rPr/>
        <w:t>to</w:t>
      </w:r>
      <w:r>
        <w:rPr>
          <w:spacing w:val="-1"/>
        </w:rPr>
        <w:t> </w:t>
      </w:r>
      <w:r>
        <w:rPr/>
        <w:t>ensure</w:t>
      </w:r>
      <w:r>
        <w:rPr>
          <w:spacing w:val="-3"/>
        </w:rPr>
        <w:t> </w:t>
      </w:r>
      <w:r>
        <w:rPr/>
        <w:t>the</w:t>
      </w:r>
      <w:r>
        <w:rPr>
          <w:spacing w:val="-3"/>
        </w:rPr>
        <w:t> </w:t>
      </w:r>
      <w:r>
        <w:rPr/>
        <w:t>right</w:t>
      </w:r>
      <w:r>
        <w:rPr>
          <w:spacing w:val="-2"/>
        </w:rPr>
        <w:t> </w:t>
      </w:r>
      <w:r>
        <w:rPr/>
        <w:t>information</w:t>
      </w:r>
      <w:r>
        <w:rPr>
          <w:spacing w:val="-1"/>
        </w:rPr>
        <w:t> </w:t>
      </w:r>
      <w:r>
        <w:rPr/>
        <w:t>is available</w:t>
      </w:r>
      <w:r>
        <w:rPr>
          <w:spacing w:val="-1"/>
        </w:rPr>
        <w:t> </w:t>
      </w:r>
      <w:r>
        <w:rPr/>
        <w:t>before the</w:t>
      </w:r>
      <w:r>
        <w:rPr>
          <w:spacing w:val="-3"/>
        </w:rPr>
        <w:t> </w:t>
      </w:r>
      <w:r>
        <w:rPr/>
        <w:t>excavation commences. Member organisations of </w:t>
      </w:r>
      <w:r>
        <w:rPr>
          <w:i/>
        </w:rPr>
        <w:t>Dial Before You Dig </w:t>
      </w:r>
      <w:r>
        <w:rPr/>
        <w:t>are required to pay membership fees.</w:t>
      </w:r>
    </w:p>
    <w:p>
      <w:pPr>
        <w:spacing w:after="0" w:line="288" w:lineRule="auto"/>
        <w:sectPr>
          <w:pgSz w:w="11910" w:h="16850"/>
          <w:pgMar w:header="220" w:footer="678" w:top="420" w:bottom="860" w:left="900" w:right="840"/>
        </w:sectPr>
      </w:pPr>
    </w:p>
    <w:p>
      <w:pPr>
        <w:pStyle w:val="BodyText"/>
        <w:rPr>
          <w:sz w:val="20"/>
        </w:rPr>
      </w:pPr>
    </w:p>
    <w:p>
      <w:pPr>
        <w:pStyle w:val="BodyText"/>
        <w:spacing w:before="4"/>
        <w:rPr>
          <w:sz w:val="27"/>
        </w:rPr>
      </w:pPr>
    </w:p>
    <w:p>
      <w:pPr>
        <w:pStyle w:val="BodyText"/>
        <w:ind w:left="127"/>
        <w:rPr>
          <w:sz w:val="20"/>
        </w:rPr>
      </w:pPr>
      <w:r>
        <w:rPr>
          <w:sz w:val="20"/>
        </w:rPr>
        <mc:AlternateContent>
          <mc:Choice Requires="wps">
            <w:drawing>
              <wp:inline distT="0" distB="0" distL="0" distR="0">
                <wp:extent cx="6222365" cy="3309620"/>
                <wp:effectExtent l="0" t="0" r="0" b="0"/>
                <wp:docPr id="190" name="Textbox 190"/>
                <wp:cNvGraphicFramePr>
                  <a:graphicFrameLocks/>
                </wp:cNvGraphicFramePr>
                <a:graphic>
                  <a:graphicData uri="http://schemas.microsoft.com/office/word/2010/wordprocessingShape">
                    <wps:wsp>
                      <wps:cNvPr id="190" name="Textbox 190"/>
                      <wps:cNvSpPr txBox="1"/>
                      <wps:spPr>
                        <a:xfrm>
                          <a:off x="0" y="0"/>
                          <a:ext cx="6222365" cy="3309620"/>
                        </a:xfrm>
                        <a:prstGeom prst="rect">
                          <a:avLst/>
                        </a:prstGeom>
                        <a:solidFill>
                          <a:srgbClr val="CDEBEB"/>
                        </a:solidFill>
                      </wps:spPr>
                      <wps:txbx>
                        <w:txbxContent>
                          <w:p>
                            <w:pPr>
                              <w:pStyle w:val="BodyText"/>
                              <w:spacing w:before="10"/>
                              <w:rPr>
                                <w:color w:val="000000"/>
                                <w:sz w:val="20"/>
                              </w:rPr>
                            </w:pPr>
                          </w:p>
                          <w:p>
                            <w:pPr>
                              <w:spacing w:before="0"/>
                              <w:ind w:left="105" w:right="0" w:firstLine="0"/>
                              <w:jc w:val="left"/>
                              <w:rPr>
                                <w:b/>
                                <w:color w:val="000000"/>
                                <w:sz w:val="22"/>
                              </w:rPr>
                            </w:pPr>
                            <w:r>
                              <w:rPr>
                                <w:b/>
                                <w:color w:val="000000"/>
                                <w:sz w:val="22"/>
                              </w:rPr>
                              <w:t>Box</w:t>
                            </w:r>
                            <w:r>
                              <w:rPr>
                                <w:b/>
                                <w:color w:val="000000"/>
                                <w:spacing w:val="-5"/>
                                <w:sz w:val="22"/>
                              </w:rPr>
                              <w:t> </w:t>
                            </w:r>
                            <w:r>
                              <w:rPr>
                                <w:b/>
                                <w:color w:val="000000"/>
                                <w:sz w:val="22"/>
                              </w:rPr>
                              <w:t>22:</w:t>
                            </w:r>
                            <w:r>
                              <w:rPr>
                                <w:b/>
                                <w:color w:val="000000"/>
                                <w:spacing w:val="-4"/>
                                <w:sz w:val="22"/>
                              </w:rPr>
                              <w:t> </w:t>
                            </w:r>
                            <w:r>
                              <w:rPr>
                                <w:b/>
                                <w:color w:val="000000"/>
                                <w:sz w:val="22"/>
                              </w:rPr>
                              <w:t>Locating</w:t>
                            </w:r>
                            <w:r>
                              <w:rPr>
                                <w:b/>
                                <w:color w:val="000000"/>
                                <w:spacing w:val="-8"/>
                                <w:sz w:val="22"/>
                              </w:rPr>
                              <w:t> </w:t>
                            </w:r>
                            <w:r>
                              <w:rPr>
                                <w:b/>
                                <w:color w:val="000000"/>
                                <w:sz w:val="22"/>
                              </w:rPr>
                              <w:t>underground</w:t>
                            </w:r>
                            <w:r>
                              <w:rPr>
                                <w:b/>
                                <w:color w:val="000000"/>
                                <w:spacing w:val="-5"/>
                                <w:sz w:val="22"/>
                              </w:rPr>
                              <w:t> </w:t>
                            </w:r>
                            <w:r>
                              <w:rPr>
                                <w:b/>
                                <w:color w:val="000000"/>
                                <w:sz w:val="22"/>
                              </w:rPr>
                              <w:t>energy</w:t>
                            </w:r>
                            <w:r>
                              <w:rPr>
                                <w:b/>
                                <w:color w:val="000000"/>
                                <w:spacing w:val="-9"/>
                                <w:sz w:val="22"/>
                              </w:rPr>
                              <w:t> </w:t>
                            </w:r>
                            <w:r>
                              <w:rPr>
                                <w:b/>
                                <w:color w:val="000000"/>
                                <w:spacing w:val="-2"/>
                                <w:sz w:val="22"/>
                              </w:rPr>
                              <w:t>assets</w:t>
                            </w:r>
                          </w:p>
                          <w:p>
                            <w:pPr>
                              <w:pStyle w:val="BodyText"/>
                              <w:spacing w:before="2"/>
                              <w:rPr>
                                <w:b/>
                                <w:color w:val="000000"/>
                                <w:sz w:val="25"/>
                              </w:rPr>
                            </w:pPr>
                          </w:p>
                          <w:p>
                            <w:pPr>
                              <w:pStyle w:val="BodyText"/>
                              <w:spacing w:line="288" w:lineRule="auto"/>
                              <w:ind w:left="105" w:right="187"/>
                              <w:rPr>
                                <w:color w:val="000000"/>
                              </w:rPr>
                            </w:pPr>
                            <w:r>
                              <w:rPr>
                                <w:color w:val="000000"/>
                              </w:rPr>
                              <w:t>Excavators have a duty of care to find what assets are on site and to verify their location if they are</w:t>
                            </w:r>
                            <w:r>
                              <w:rPr>
                                <w:color w:val="000000"/>
                                <w:spacing w:val="-1"/>
                              </w:rPr>
                              <w:t> </w:t>
                            </w:r>
                            <w:r>
                              <w:rPr>
                                <w:color w:val="000000"/>
                              </w:rPr>
                              <w:t>in</w:t>
                            </w:r>
                            <w:r>
                              <w:rPr>
                                <w:color w:val="000000"/>
                                <w:spacing w:val="-2"/>
                              </w:rPr>
                              <w:t> </w:t>
                            </w:r>
                            <w:r>
                              <w:rPr>
                                <w:color w:val="000000"/>
                              </w:rPr>
                              <w:t>close</w:t>
                            </w:r>
                            <w:r>
                              <w:rPr>
                                <w:color w:val="000000"/>
                                <w:spacing w:val="-4"/>
                              </w:rPr>
                              <w:t> </w:t>
                            </w:r>
                            <w:r>
                              <w:rPr>
                                <w:color w:val="000000"/>
                              </w:rPr>
                              <w:t>proximity</w:t>
                            </w:r>
                            <w:r>
                              <w:rPr>
                                <w:color w:val="000000"/>
                                <w:spacing w:val="-4"/>
                              </w:rPr>
                              <w:t> </w:t>
                            </w:r>
                            <w:r>
                              <w:rPr>
                                <w:color w:val="000000"/>
                              </w:rPr>
                              <w:t>to</w:t>
                            </w:r>
                            <w:r>
                              <w:rPr>
                                <w:color w:val="000000"/>
                                <w:spacing w:val="-6"/>
                              </w:rPr>
                              <w:t> </w:t>
                            </w:r>
                            <w:r>
                              <w:rPr>
                                <w:color w:val="000000"/>
                              </w:rPr>
                              <w:t>where</w:t>
                            </w:r>
                            <w:r>
                              <w:rPr>
                                <w:color w:val="000000"/>
                                <w:spacing w:val="-2"/>
                              </w:rPr>
                              <w:t> </w:t>
                            </w:r>
                            <w:r>
                              <w:rPr>
                                <w:color w:val="000000"/>
                              </w:rPr>
                              <w:t>they</w:t>
                            </w:r>
                            <w:r>
                              <w:rPr>
                                <w:color w:val="000000"/>
                                <w:spacing w:val="-4"/>
                              </w:rPr>
                              <w:t> </w:t>
                            </w:r>
                            <w:r>
                              <w:rPr>
                                <w:color w:val="000000"/>
                              </w:rPr>
                              <w:t>are</w:t>
                            </w:r>
                            <w:r>
                              <w:rPr>
                                <w:color w:val="000000"/>
                                <w:spacing w:val="-1"/>
                              </w:rPr>
                              <w:t> </w:t>
                            </w:r>
                            <w:r>
                              <w:rPr>
                                <w:color w:val="000000"/>
                              </w:rPr>
                              <w:t>excavating.</w:t>
                            </w:r>
                            <w:r>
                              <w:rPr>
                                <w:color w:val="000000"/>
                                <w:spacing w:val="-1"/>
                              </w:rPr>
                              <w:t> </w:t>
                            </w:r>
                            <w:r>
                              <w:rPr>
                                <w:color w:val="000000"/>
                              </w:rPr>
                              <w:t>Underground</w:t>
                            </w:r>
                            <w:r>
                              <w:rPr>
                                <w:color w:val="000000"/>
                                <w:spacing w:val="-2"/>
                              </w:rPr>
                              <w:t> </w:t>
                            </w:r>
                            <w:r>
                              <w:rPr>
                                <w:color w:val="000000"/>
                              </w:rPr>
                              <w:t>asset-locating</w:t>
                            </w:r>
                            <w:r>
                              <w:rPr>
                                <w:color w:val="000000"/>
                                <w:spacing w:val="-2"/>
                              </w:rPr>
                              <w:t> </w:t>
                            </w:r>
                            <w:r>
                              <w:rPr>
                                <w:color w:val="000000"/>
                              </w:rPr>
                              <w:t>devices</w:t>
                            </w:r>
                            <w:r>
                              <w:rPr>
                                <w:color w:val="000000"/>
                                <w:spacing w:val="-2"/>
                              </w:rPr>
                              <w:t> </w:t>
                            </w:r>
                            <w:r>
                              <w:rPr>
                                <w:color w:val="000000"/>
                              </w:rPr>
                              <w:t>are</w:t>
                            </w:r>
                            <w:r>
                              <w:rPr>
                                <w:color w:val="000000"/>
                                <w:spacing w:val="-4"/>
                              </w:rPr>
                              <w:t> </w:t>
                            </w:r>
                            <w:r>
                              <w:rPr>
                                <w:color w:val="000000"/>
                              </w:rPr>
                              <w:t>used to determine the location and depth of underground assets, but can only find assets that conduct and reflect electro-magnetic signals used by the locating device. Many gas pipes now are made from polyethylene, which does</w:t>
                            </w:r>
                            <w:r>
                              <w:rPr>
                                <w:color w:val="000000"/>
                                <w:spacing w:val="-1"/>
                              </w:rPr>
                              <w:t> </w:t>
                            </w:r>
                            <w:r>
                              <w:rPr>
                                <w:color w:val="000000"/>
                              </w:rPr>
                              <w:t>not</w:t>
                            </w:r>
                            <w:r>
                              <w:rPr>
                                <w:color w:val="000000"/>
                                <w:spacing w:val="-2"/>
                              </w:rPr>
                              <w:t> </w:t>
                            </w:r>
                            <w:r>
                              <w:rPr>
                                <w:color w:val="000000"/>
                              </w:rPr>
                              <w:t>contain</w:t>
                            </w:r>
                            <w:r>
                              <w:rPr>
                                <w:color w:val="000000"/>
                                <w:spacing w:val="-3"/>
                              </w:rPr>
                              <w:t> </w:t>
                            </w:r>
                            <w:r>
                              <w:rPr>
                                <w:color w:val="000000"/>
                              </w:rPr>
                              <w:t>metal</w:t>
                            </w:r>
                            <w:r>
                              <w:rPr>
                                <w:color w:val="000000"/>
                                <w:spacing w:val="-6"/>
                              </w:rPr>
                              <w:t> </w:t>
                            </w:r>
                            <w:r>
                              <w:rPr>
                                <w:color w:val="000000"/>
                              </w:rPr>
                              <w:t>and</w:t>
                            </w:r>
                            <w:r>
                              <w:rPr>
                                <w:color w:val="000000"/>
                                <w:spacing w:val="-1"/>
                              </w:rPr>
                              <w:t> </w:t>
                            </w:r>
                            <w:r>
                              <w:rPr>
                                <w:color w:val="000000"/>
                              </w:rPr>
                              <w:t>therefore</w:t>
                            </w:r>
                            <w:r>
                              <w:rPr>
                                <w:color w:val="000000"/>
                                <w:spacing w:val="-1"/>
                              </w:rPr>
                              <w:t> </w:t>
                            </w:r>
                            <w:r>
                              <w:rPr>
                                <w:color w:val="000000"/>
                              </w:rPr>
                              <w:t>cannot be</w:t>
                            </w:r>
                            <w:r>
                              <w:rPr>
                                <w:color w:val="000000"/>
                                <w:spacing w:val="-1"/>
                              </w:rPr>
                              <w:t> </w:t>
                            </w:r>
                            <w:r>
                              <w:rPr>
                                <w:color w:val="000000"/>
                              </w:rPr>
                              <w:t>located</w:t>
                            </w:r>
                            <w:r>
                              <w:rPr>
                                <w:color w:val="000000"/>
                                <w:spacing w:val="-1"/>
                              </w:rPr>
                              <w:t> </w:t>
                            </w:r>
                            <w:r>
                              <w:rPr>
                                <w:color w:val="000000"/>
                              </w:rPr>
                              <w:t>using</w:t>
                            </w:r>
                            <w:r>
                              <w:rPr>
                                <w:color w:val="000000"/>
                                <w:spacing w:val="-1"/>
                              </w:rPr>
                              <w:t> </w:t>
                            </w:r>
                            <w:r>
                              <w:rPr>
                                <w:color w:val="000000"/>
                              </w:rPr>
                              <w:t>traditional asset location devices. In the past, pipes had contained tracer wire, which provided a conducive surface that allows location by these devices. For non-conductive assets, a radar-based method like ground-penetrating radar must be used.</w:t>
                            </w:r>
                          </w:p>
                          <w:p>
                            <w:pPr>
                              <w:pStyle w:val="BodyText"/>
                              <w:spacing w:before="10"/>
                              <w:rPr>
                                <w:color w:val="000000"/>
                                <w:sz w:val="20"/>
                              </w:rPr>
                            </w:pPr>
                          </w:p>
                          <w:p>
                            <w:pPr>
                              <w:pStyle w:val="BodyText"/>
                              <w:spacing w:line="288" w:lineRule="auto"/>
                              <w:ind w:left="105"/>
                              <w:rPr>
                                <w:color w:val="000000"/>
                              </w:rPr>
                            </w:pPr>
                            <w:r>
                              <w:rPr>
                                <w:i/>
                                <w:color w:val="000000"/>
                              </w:rPr>
                              <w:t>Dial Before You Dig </w:t>
                            </w:r>
                            <w:r>
                              <w:rPr>
                                <w:color w:val="000000"/>
                              </w:rPr>
                              <w:t>recognises that pipelines are not always built in a straight line, mainly due to obstacles</w:t>
                            </w:r>
                            <w:r>
                              <w:rPr>
                                <w:color w:val="000000"/>
                                <w:spacing w:val="-4"/>
                              </w:rPr>
                              <w:t> </w:t>
                            </w:r>
                            <w:r>
                              <w:rPr>
                                <w:color w:val="000000"/>
                              </w:rPr>
                              <w:t>that</w:t>
                            </w:r>
                            <w:r>
                              <w:rPr>
                                <w:color w:val="000000"/>
                                <w:spacing w:val="-3"/>
                              </w:rPr>
                              <w:t> </w:t>
                            </w:r>
                            <w:r>
                              <w:rPr>
                                <w:color w:val="000000"/>
                              </w:rPr>
                              <w:t>may</w:t>
                            </w:r>
                            <w:r>
                              <w:rPr>
                                <w:color w:val="000000"/>
                                <w:spacing w:val="-4"/>
                              </w:rPr>
                              <w:t> </w:t>
                            </w:r>
                            <w:r>
                              <w:rPr>
                                <w:color w:val="000000"/>
                              </w:rPr>
                              <w:t>have</w:t>
                            </w:r>
                            <w:r>
                              <w:rPr>
                                <w:color w:val="000000"/>
                                <w:spacing w:val="-2"/>
                              </w:rPr>
                              <w:t> </w:t>
                            </w:r>
                            <w:r>
                              <w:rPr>
                                <w:color w:val="000000"/>
                              </w:rPr>
                              <w:t>been</w:t>
                            </w:r>
                            <w:r>
                              <w:rPr>
                                <w:color w:val="000000"/>
                                <w:spacing w:val="-2"/>
                              </w:rPr>
                              <w:t> </w:t>
                            </w:r>
                            <w:r>
                              <w:rPr>
                                <w:color w:val="000000"/>
                              </w:rPr>
                              <w:t>in</w:t>
                            </w:r>
                            <w:r>
                              <w:rPr>
                                <w:color w:val="000000"/>
                                <w:spacing w:val="-2"/>
                              </w:rPr>
                              <w:t> </w:t>
                            </w:r>
                            <w:r>
                              <w:rPr>
                                <w:color w:val="000000"/>
                              </w:rPr>
                              <w:t>the</w:t>
                            </w:r>
                            <w:r>
                              <w:rPr>
                                <w:color w:val="000000"/>
                                <w:spacing w:val="-4"/>
                              </w:rPr>
                              <w:t> </w:t>
                            </w:r>
                            <w:r>
                              <w:rPr>
                                <w:color w:val="000000"/>
                              </w:rPr>
                              <w:t>vicinity</w:t>
                            </w:r>
                            <w:r>
                              <w:rPr>
                                <w:color w:val="000000"/>
                                <w:spacing w:val="-2"/>
                              </w:rPr>
                              <w:t> </w:t>
                            </w:r>
                            <w:r>
                              <w:rPr>
                                <w:color w:val="000000"/>
                              </w:rPr>
                              <w:t>when the</w:t>
                            </w:r>
                            <w:r>
                              <w:rPr>
                                <w:color w:val="000000"/>
                                <w:spacing w:val="-4"/>
                              </w:rPr>
                              <w:t> </w:t>
                            </w:r>
                            <w:r>
                              <w:rPr>
                                <w:color w:val="000000"/>
                              </w:rPr>
                              <w:t>pipes</w:t>
                            </w:r>
                            <w:r>
                              <w:rPr>
                                <w:color w:val="000000"/>
                                <w:spacing w:val="-1"/>
                              </w:rPr>
                              <w:t> </w:t>
                            </w:r>
                            <w:r>
                              <w:rPr>
                                <w:color w:val="000000"/>
                              </w:rPr>
                              <w:t>were</w:t>
                            </w:r>
                            <w:r>
                              <w:rPr>
                                <w:color w:val="000000"/>
                                <w:spacing w:val="-1"/>
                              </w:rPr>
                              <w:t> </w:t>
                            </w:r>
                            <w:r>
                              <w:rPr>
                                <w:color w:val="000000"/>
                              </w:rPr>
                              <w:t>installed.</w:t>
                            </w:r>
                            <w:r>
                              <w:rPr>
                                <w:color w:val="000000"/>
                                <w:spacing w:val="-3"/>
                              </w:rPr>
                              <w:t> </w:t>
                            </w:r>
                            <w:r>
                              <w:rPr>
                                <w:color w:val="000000"/>
                              </w:rPr>
                              <w:t>It also</w:t>
                            </w:r>
                            <w:r>
                              <w:rPr>
                                <w:color w:val="000000"/>
                                <w:spacing w:val="-2"/>
                              </w:rPr>
                              <w:t> </w:t>
                            </w:r>
                            <w:r>
                              <w:rPr>
                                <w:color w:val="000000"/>
                              </w:rPr>
                              <w:t>advises</w:t>
                            </w:r>
                            <w:r>
                              <w:rPr>
                                <w:color w:val="000000"/>
                                <w:spacing w:val="-2"/>
                              </w:rPr>
                              <w:t> </w:t>
                            </w:r>
                            <w:r>
                              <w:rPr>
                                <w:color w:val="000000"/>
                              </w:rPr>
                              <w:t>that</w:t>
                            </w:r>
                            <w:r>
                              <w:rPr>
                                <w:color w:val="000000"/>
                                <w:spacing w:val="-3"/>
                              </w:rPr>
                              <w:t> </w:t>
                            </w:r>
                            <w:r>
                              <w:rPr>
                                <w:color w:val="000000"/>
                              </w:rPr>
                              <w:t>the depth or alignment of pipes</w:t>
                            </w:r>
                            <w:r>
                              <w:rPr>
                                <w:color w:val="000000"/>
                                <w:spacing w:val="-1"/>
                              </w:rPr>
                              <w:t> </w:t>
                            </w:r>
                            <w:r>
                              <w:rPr>
                                <w:color w:val="000000"/>
                              </w:rPr>
                              <w:t>is</w:t>
                            </w:r>
                            <w:r>
                              <w:rPr>
                                <w:color w:val="000000"/>
                                <w:spacing w:val="-1"/>
                              </w:rPr>
                              <w:t> </w:t>
                            </w:r>
                            <w:r>
                              <w:rPr>
                                <w:color w:val="000000"/>
                              </w:rPr>
                              <w:t>not consistent</w:t>
                            </w:r>
                            <w:r>
                              <w:rPr>
                                <w:color w:val="000000"/>
                                <w:spacing w:val="-2"/>
                              </w:rPr>
                              <w:t> </w:t>
                            </w:r>
                            <w:r>
                              <w:rPr>
                                <w:color w:val="000000"/>
                              </w:rPr>
                              <w:t>and</w:t>
                            </w:r>
                            <w:r>
                              <w:rPr>
                                <w:color w:val="000000"/>
                                <w:spacing w:val="-3"/>
                              </w:rPr>
                              <w:t> </w:t>
                            </w:r>
                            <w:r>
                              <w:rPr>
                                <w:color w:val="000000"/>
                              </w:rPr>
                              <w:t>therefore</w:t>
                            </w:r>
                            <w:r>
                              <w:rPr>
                                <w:color w:val="000000"/>
                                <w:spacing w:val="-3"/>
                              </w:rPr>
                              <w:t> </w:t>
                            </w:r>
                            <w:r>
                              <w:rPr>
                                <w:color w:val="000000"/>
                              </w:rPr>
                              <w:t>manual</w:t>
                            </w:r>
                            <w:r>
                              <w:rPr>
                                <w:color w:val="000000"/>
                                <w:spacing w:val="-1"/>
                              </w:rPr>
                              <w:t> </w:t>
                            </w:r>
                            <w:r>
                              <w:rPr>
                                <w:color w:val="000000"/>
                              </w:rPr>
                              <w:t>excavation</w:t>
                            </w:r>
                            <w:r>
                              <w:rPr>
                                <w:color w:val="000000"/>
                                <w:spacing w:val="-1"/>
                              </w:rPr>
                              <w:t> </w:t>
                            </w:r>
                            <w:r>
                              <w:rPr>
                                <w:color w:val="000000"/>
                              </w:rPr>
                              <w:t>(if instructed</w:t>
                            </w:r>
                            <w:r>
                              <w:rPr>
                                <w:color w:val="000000"/>
                                <w:spacing w:val="-1"/>
                              </w:rPr>
                              <w:t> </w:t>
                            </w:r>
                            <w:r>
                              <w:rPr>
                                <w:color w:val="000000"/>
                              </w:rPr>
                              <w:t>by</w:t>
                            </w:r>
                            <w:r>
                              <w:rPr>
                                <w:color w:val="000000"/>
                                <w:spacing w:val="-5"/>
                              </w:rPr>
                              <w:t> </w:t>
                            </w:r>
                            <w:r>
                              <w:rPr>
                                <w:color w:val="000000"/>
                              </w:rPr>
                              <w:t>the asset owner)</w:t>
                            </w:r>
                            <w:r>
                              <w:rPr>
                                <w:color w:val="000000"/>
                                <w:spacing w:val="-3"/>
                              </w:rPr>
                              <w:t> </w:t>
                            </w:r>
                            <w:r>
                              <w:rPr>
                                <w:color w:val="000000"/>
                              </w:rPr>
                              <w:t>may</w:t>
                            </w:r>
                            <w:r>
                              <w:rPr>
                                <w:color w:val="000000"/>
                                <w:spacing w:val="-4"/>
                              </w:rPr>
                              <w:t> </w:t>
                            </w:r>
                            <w:r>
                              <w:rPr>
                                <w:color w:val="000000"/>
                              </w:rPr>
                              <w:t>be</w:t>
                            </w:r>
                            <w:r>
                              <w:rPr>
                                <w:color w:val="000000"/>
                                <w:spacing w:val="-4"/>
                              </w:rPr>
                              <w:t> </w:t>
                            </w:r>
                            <w:r>
                              <w:rPr>
                                <w:color w:val="000000"/>
                              </w:rPr>
                              <w:t>required</w:t>
                            </w:r>
                            <w:r>
                              <w:rPr>
                                <w:color w:val="000000"/>
                                <w:spacing w:val="-2"/>
                              </w:rPr>
                              <w:t> </w:t>
                            </w:r>
                            <w:r>
                              <w:rPr>
                                <w:color w:val="000000"/>
                              </w:rPr>
                              <w:t>to</w:t>
                            </w:r>
                            <w:r>
                              <w:rPr>
                                <w:color w:val="000000"/>
                                <w:spacing w:val="-4"/>
                              </w:rPr>
                              <w:t> </w:t>
                            </w:r>
                            <w:r>
                              <w:rPr>
                                <w:color w:val="000000"/>
                              </w:rPr>
                              <w:t>determine</w:t>
                            </w:r>
                            <w:r>
                              <w:rPr>
                                <w:color w:val="000000"/>
                                <w:spacing w:val="-4"/>
                              </w:rPr>
                              <w:t> </w:t>
                            </w:r>
                            <w:r>
                              <w:rPr>
                                <w:color w:val="000000"/>
                              </w:rPr>
                              <w:t>the</w:t>
                            </w:r>
                            <w:r>
                              <w:rPr>
                                <w:color w:val="000000"/>
                                <w:spacing w:val="-4"/>
                              </w:rPr>
                              <w:t> </w:t>
                            </w:r>
                            <w:r>
                              <w:rPr>
                                <w:color w:val="000000"/>
                              </w:rPr>
                              <w:t>exact</w:t>
                            </w:r>
                            <w:r>
                              <w:rPr>
                                <w:color w:val="000000"/>
                                <w:spacing w:val="-1"/>
                              </w:rPr>
                              <w:t> </w:t>
                            </w:r>
                            <w:r>
                              <w:rPr>
                                <w:color w:val="000000"/>
                              </w:rPr>
                              <w:t>location</w:t>
                            </w:r>
                            <w:r>
                              <w:rPr>
                                <w:color w:val="000000"/>
                                <w:spacing w:val="-2"/>
                              </w:rPr>
                              <w:t> </w:t>
                            </w:r>
                            <w:r>
                              <w:rPr>
                                <w:color w:val="000000"/>
                              </w:rPr>
                              <w:t>of infrastructure</w:t>
                            </w:r>
                            <w:r>
                              <w:rPr>
                                <w:color w:val="000000"/>
                                <w:spacing w:val="-1"/>
                              </w:rPr>
                              <w:t> </w:t>
                            </w:r>
                            <w:r>
                              <w:rPr>
                                <w:color w:val="000000"/>
                              </w:rPr>
                              <w:t>assets</w:t>
                            </w:r>
                            <w:r>
                              <w:rPr>
                                <w:color w:val="000000"/>
                                <w:spacing w:val="-4"/>
                              </w:rPr>
                              <w:t> </w:t>
                            </w:r>
                            <w:r>
                              <w:rPr>
                                <w:color w:val="000000"/>
                              </w:rPr>
                              <w:t>to</w:t>
                            </w:r>
                            <w:r>
                              <w:rPr>
                                <w:color w:val="000000"/>
                                <w:spacing w:val="-4"/>
                              </w:rPr>
                              <w:t> </w:t>
                            </w:r>
                            <w:r>
                              <w:rPr>
                                <w:color w:val="000000"/>
                              </w:rPr>
                              <w:t>avoid</w:t>
                            </w:r>
                            <w:r>
                              <w:rPr>
                                <w:color w:val="000000"/>
                                <w:spacing w:val="-2"/>
                              </w:rPr>
                              <w:t> </w:t>
                            </w:r>
                            <w:r>
                              <w:rPr>
                                <w:color w:val="000000"/>
                              </w:rPr>
                              <w:t>any mishaps (Dial Before You Dig, 2017).</w:t>
                            </w:r>
                          </w:p>
                        </w:txbxContent>
                      </wps:txbx>
                      <wps:bodyPr wrap="square" lIns="0" tIns="0" rIns="0" bIns="0" rtlCol="0">
                        <a:noAutofit/>
                      </wps:bodyPr>
                    </wps:wsp>
                  </a:graphicData>
                </a:graphic>
              </wp:inline>
            </w:drawing>
          </mc:Choice>
          <mc:Fallback>
            <w:pict>
              <v:shape style="width:489.95pt;height:260.6pt;mso-position-horizontal-relative:char;mso-position-vertical-relative:line" type="#_x0000_t202" id="docshape163" filled="true" fillcolor="#cdebeb" stroked="false">
                <w10:anchorlock/>
                <v:textbox inset="0,0,0,0">
                  <w:txbxContent>
                    <w:p>
                      <w:pPr>
                        <w:pStyle w:val="BodyText"/>
                        <w:spacing w:before="10"/>
                        <w:rPr>
                          <w:color w:val="000000"/>
                          <w:sz w:val="20"/>
                        </w:rPr>
                      </w:pPr>
                    </w:p>
                    <w:p>
                      <w:pPr>
                        <w:spacing w:before="0"/>
                        <w:ind w:left="105" w:right="0" w:firstLine="0"/>
                        <w:jc w:val="left"/>
                        <w:rPr>
                          <w:b/>
                          <w:color w:val="000000"/>
                          <w:sz w:val="22"/>
                        </w:rPr>
                      </w:pPr>
                      <w:r>
                        <w:rPr>
                          <w:b/>
                          <w:color w:val="000000"/>
                          <w:sz w:val="22"/>
                        </w:rPr>
                        <w:t>Box</w:t>
                      </w:r>
                      <w:r>
                        <w:rPr>
                          <w:b/>
                          <w:color w:val="000000"/>
                          <w:spacing w:val="-5"/>
                          <w:sz w:val="22"/>
                        </w:rPr>
                        <w:t> </w:t>
                      </w:r>
                      <w:r>
                        <w:rPr>
                          <w:b/>
                          <w:color w:val="000000"/>
                          <w:sz w:val="22"/>
                        </w:rPr>
                        <w:t>22:</w:t>
                      </w:r>
                      <w:r>
                        <w:rPr>
                          <w:b/>
                          <w:color w:val="000000"/>
                          <w:spacing w:val="-4"/>
                          <w:sz w:val="22"/>
                        </w:rPr>
                        <w:t> </w:t>
                      </w:r>
                      <w:r>
                        <w:rPr>
                          <w:b/>
                          <w:color w:val="000000"/>
                          <w:sz w:val="22"/>
                        </w:rPr>
                        <w:t>Locating</w:t>
                      </w:r>
                      <w:r>
                        <w:rPr>
                          <w:b/>
                          <w:color w:val="000000"/>
                          <w:spacing w:val="-8"/>
                          <w:sz w:val="22"/>
                        </w:rPr>
                        <w:t> </w:t>
                      </w:r>
                      <w:r>
                        <w:rPr>
                          <w:b/>
                          <w:color w:val="000000"/>
                          <w:sz w:val="22"/>
                        </w:rPr>
                        <w:t>underground</w:t>
                      </w:r>
                      <w:r>
                        <w:rPr>
                          <w:b/>
                          <w:color w:val="000000"/>
                          <w:spacing w:val="-5"/>
                          <w:sz w:val="22"/>
                        </w:rPr>
                        <w:t> </w:t>
                      </w:r>
                      <w:r>
                        <w:rPr>
                          <w:b/>
                          <w:color w:val="000000"/>
                          <w:sz w:val="22"/>
                        </w:rPr>
                        <w:t>energy</w:t>
                      </w:r>
                      <w:r>
                        <w:rPr>
                          <w:b/>
                          <w:color w:val="000000"/>
                          <w:spacing w:val="-9"/>
                          <w:sz w:val="22"/>
                        </w:rPr>
                        <w:t> </w:t>
                      </w:r>
                      <w:r>
                        <w:rPr>
                          <w:b/>
                          <w:color w:val="000000"/>
                          <w:spacing w:val="-2"/>
                          <w:sz w:val="22"/>
                        </w:rPr>
                        <w:t>assets</w:t>
                      </w:r>
                    </w:p>
                    <w:p>
                      <w:pPr>
                        <w:pStyle w:val="BodyText"/>
                        <w:spacing w:before="2"/>
                        <w:rPr>
                          <w:b/>
                          <w:color w:val="000000"/>
                          <w:sz w:val="25"/>
                        </w:rPr>
                      </w:pPr>
                    </w:p>
                    <w:p>
                      <w:pPr>
                        <w:pStyle w:val="BodyText"/>
                        <w:spacing w:line="288" w:lineRule="auto"/>
                        <w:ind w:left="105" w:right="187"/>
                        <w:rPr>
                          <w:color w:val="000000"/>
                        </w:rPr>
                      </w:pPr>
                      <w:r>
                        <w:rPr>
                          <w:color w:val="000000"/>
                        </w:rPr>
                        <w:t>Excavators have a duty of care to find what assets are on site and to verify their location if they are</w:t>
                      </w:r>
                      <w:r>
                        <w:rPr>
                          <w:color w:val="000000"/>
                          <w:spacing w:val="-1"/>
                        </w:rPr>
                        <w:t> </w:t>
                      </w:r>
                      <w:r>
                        <w:rPr>
                          <w:color w:val="000000"/>
                        </w:rPr>
                        <w:t>in</w:t>
                      </w:r>
                      <w:r>
                        <w:rPr>
                          <w:color w:val="000000"/>
                          <w:spacing w:val="-2"/>
                        </w:rPr>
                        <w:t> </w:t>
                      </w:r>
                      <w:r>
                        <w:rPr>
                          <w:color w:val="000000"/>
                        </w:rPr>
                        <w:t>close</w:t>
                      </w:r>
                      <w:r>
                        <w:rPr>
                          <w:color w:val="000000"/>
                          <w:spacing w:val="-4"/>
                        </w:rPr>
                        <w:t> </w:t>
                      </w:r>
                      <w:r>
                        <w:rPr>
                          <w:color w:val="000000"/>
                        </w:rPr>
                        <w:t>proximity</w:t>
                      </w:r>
                      <w:r>
                        <w:rPr>
                          <w:color w:val="000000"/>
                          <w:spacing w:val="-4"/>
                        </w:rPr>
                        <w:t> </w:t>
                      </w:r>
                      <w:r>
                        <w:rPr>
                          <w:color w:val="000000"/>
                        </w:rPr>
                        <w:t>to</w:t>
                      </w:r>
                      <w:r>
                        <w:rPr>
                          <w:color w:val="000000"/>
                          <w:spacing w:val="-6"/>
                        </w:rPr>
                        <w:t> </w:t>
                      </w:r>
                      <w:r>
                        <w:rPr>
                          <w:color w:val="000000"/>
                        </w:rPr>
                        <w:t>where</w:t>
                      </w:r>
                      <w:r>
                        <w:rPr>
                          <w:color w:val="000000"/>
                          <w:spacing w:val="-2"/>
                        </w:rPr>
                        <w:t> </w:t>
                      </w:r>
                      <w:r>
                        <w:rPr>
                          <w:color w:val="000000"/>
                        </w:rPr>
                        <w:t>they</w:t>
                      </w:r>
                      <w:r>
                        <w:rPr>
                          <w:color w:val="000000"/>
                          <w:spacing w:val="-4"/>
                        </w:rPr>
                        <w:t> </w:t>
                      </w:r>
                      <w:r>
                        <w:rPr>
                          <w:color w:val="000000"/>
                        </w:rPr>
                        <w:t>are</w:t>
                      </w:r>
                      <w:r>
                        <w:rPr>
                          <w:color w:val="000000"/>
                          <w:spacing w:val="-1"/>
                        </w:rPr>
                        <w:t> </w:t>
                      </w:r>
                      <w:r>
                        <w:rPr>
                          <w:color w:val="000000"/>
                        </w:rPr>
                        <w:t>excavating.</w:t>
                      </w:r>
                      <w:r>
                        <w:rPr>
                          <w:color w:val="000000"/>
                          <w:spacing w:val="-1"/>
                        </w:rPr>
                        <w:t> </w:t>
                      </w:r>
                      <w:r>
                        <w:rPr>
                          <w:color w:val="000000"/>
                        </w:rPr>
                        <w:t>Underground</w:t>
                      </w:r>
                      <w:r>
                        <w:rPr>
                          <w:color w:val="000000"/>
                          <w:spacing w:val="-2"/>
                        </w:rPr>
                        <w:t> </w:t>
                      </w:r>
                      <w:r>
                        <w:rPr>
                          <w:color w:val="000000"/>
                        </w:rPr>
                        <w:t>asset-locating</w:t>
                      </w:r>
                      <w:r>
                        <w:rPr>
                          <w:color w:val="000000"/>
                          <w:spacing w:val="-2"/>
                        </w:rPr>
                        <w:t> </w:t>
                      </w:r>
                      <w:r>
                        <w:rPr>
                          <w:color w:val="000000"/>
                        </w:rPr>
                        <w:t>devices</w:t>
                      </w:r>
                      <w:r>
                        <w:rPr>
                          <w:color w:val="000000"/>
                          <w:spacing w:val="-2"/>
                        </w:rPr>
                        <w:t> </w:t>
                      </w:r>
                      <w:r>
                        <w:rPr>
                          <w:color w:val="000000"/>
                        </w:rPr>
                        <w:t>are</w:t>
                      </w:r>
                      <w:r>
                        <w:rPr>
                          <w:color w:val="000000"/>
                          <w:spacing w:val="-4"/>
                        </w:rPr>
                        <w:t> </w:t>
                      </w:r>
                      <w:r>
                        <w:rPr>
                          <w:color w:val="000000"/>
                        </w:rPr>
                        <w:t>used to determine the location and depth of underground assets, but can only find assets that conduct and reflect electro-magnetic signals used by the locating device. Many gas pipes now are made from polyethylene, which does</w:t>
                      </w:r>
                      <w:r>
                        <w:rPr>
                          <w:color w:val="000000"/>
                          <w:spacing w:val="-1"/>
                        </w:rPr>
                        <w:t> </w:t>
                      </w:r>
                      <w:r>
                        <w:rPr>
                          <w:color w:val="000000"/>
                        </w:rPr>
                        <w:t>not</w:t>
                      </w:r>
                      <w:r>
                        <w:rPr>
                          <w:color w:val="000000"/>
                          <w:spacing w:val="-2"/>
                        </w:rPr>
                        <w:t> </w:t>
                      </w:r>
                      <w:r>
                        <w:rPr>
                          <w:color w:val="000000"/>
                        </w:rPr>
                        <w:t>contain</w:t>
                      </w:r>
                      <w:r>
                        <w:rPr>
                          <w:color w:val="000000"/>
                          <w:spacing w:val="-3"/>
                        </w:rPr>
                        <w:t> </w:t>
                      </w:r>
                      <w:r>
                        <w:rPr>
                          <w:color w:val="000000"/>
                        </w:rPr>
                        <w:t>metal</w:t>
                      </w:r>
                      <w:r>
                        <w:rPr>
                          <w:color w:val="000000"/>
                          <w:spacing w:val="-6"/>
                        </w:rPr>
                        <w:t> </w:t>
                      </w:r>
                      <w:r>
                        <w:rPr>
                          <w:color w:val="000000"/>
                        </w:rPr>
                        <w:t>and</w:t>
                      </w:r>
                      <w:r>
                        <w:rPr>
                          <w:color w:val="000000"/>
                          <w:spacing w:val="-1"/>
                        </w:rPr>
                        <w:t> </w:t>
                      </w:r>
                      <w:r>
                        <w:rPr>
                          <w:color w:val="000000"/>
                        </w:rPr>
                        <w:t>therefore</w:t>
                      </w:r>
                      <w:r>
                        <w:rPr>
                          <w:color w:val="000000"/>
                          <w:spacing w:val="-1"/>
                        </w:rPr>
                        <w:t> </w:t>
                      </w:r>
                      <w:r>
                        <w:rPr>
                          <w:color w:val="000000"/>
                        </w:rPr>
                        <w:t>cannot be</w:t>
                      </w:r>
                      <w:r>
                        <w:rPr>
                          <w:color w:val="000000"/>
                          <w:spacing w:val="-1"/>
                        </w:rPr>
                        <w:t> </w:t>
                      </w:r>
                      <w:r>
                        <w:rPr>
                          <w:color w:val="000000"/>
                        </w:rPr>
                        <w:t>located</w:t>
                      </w:r>
                      <w:r>
                        <w:rPr>
                          <w:color w:val="000000"/>
                          <w:spacing w:val="-1"/>
                        </w:rPr>
                        <w:t> </w:t>
                      </w:r>
                      <w:r>
                        <w:rPr>
                          <w:color w:val="000000"/>
                        </w:rPr>
                        <w:t>using</w:t>
                      </w:r>
                      <w:r>
                        <w:rPr>
                          <w:color w:val="000000"/>
                          <w:spacing w:val="-1"/>
                        </w:rPr>
                        <w:t> </w:t>
                      </w:r>
                      <w:r>
                        <w:rPr>
                          <w:color w:val="000000"/>
                        </w:rPr>
                        <w:t>traditional asset location devices. In the past, pipes had contained tracer wire, which provided a conducive surface that allows location by these devices. For non-conductive assets, a radar-based method like ground-penetrating radar must be used.</w:t>
                      </w:r>
                    </w:p>
                    <w:p>
                      <w:pPr>
                        <w:pStyle w:val="BodyText"/>
                        <w:spacing w:before="10"/>
                        <w:rPr>
                          <w:color w:val="000000"/>
                          <w:sz w:val="20"/>
                        </w:rPr>
                      </w:pPr>
                    </w:p>
                    <w:p>
                      <w:pPr>
                        <w:pStyle w:val="BodyText"/>
                        <w:spacing w:line="288" w:lineRule="auto"/>
                        <w:ind w:left="105"/>
                        <w:rPr>
                          <w:color w:val="000000"/>
                        </w:rPr>
                      </w:pPr>
                      <w:r>
                        <w:rPr>
                          <w:i/>
                          <w:color w:val="000000"/>
                        </w:rPr>
                        <w:t>Dial Before You Dig </w:t>
                      </w:r>
                      <w:r>
                        <w:rPr>
                          <w:color w:val="000000"/>
                        </w:rPr>
                        <w:t>recognises that pipelines are not always built in a straight line, mainly due to obstacles</w:t>
                      </w:r>
                      <w:r>
                        <w:rPr>
                          <w:color w:val="000000"/>
                          <w:spacing w:val="-4"/>
                        </w:rPr>
                        <w:t> </w:t>
                      </w:r>
                      <w:r>
                        <w:rPr>
                          <w:color w:val="000000"/>
                        </w:rPr>
                        <w:t>that</w:t>
                      </w:r>
                      <w:r>
                        <w:rPr>
                          <w:color w:val="000000"/>
                          <w:spacing w:val="-3"/>
                        </w:rPr>
                        <w:t> </w:t>
                      </w:r>
                      <w:r>
                        <w:rPr>
                          <w:color w:val="000000"/>
                        </w:rPr>
                        <w:t>may</w:t>
                      </w:r>
                      <w:r>
                        <w:rPr>
                          <w:color w:val="000000"/>
                          <w:spacing w:val="-4"/>
                        </w:rPr>
                        <w:t> </w:t>
                      </w:r>
                      <w:r>
                        <w:rPr>
                          <w:color w:val="000000"/>
                        </w:rPr>
                        <w:t>have</w:t>
                      </w:r>
                      <w:r>
                        <w:rPr>
                          <w:color w:val="000000"/>
                          <w:spacing w:val="-2"/>
                        </w:rPr>
                        <w:t> </w:t>
                      </w:r>
                      <w:r>
                        <w:rPr>
                          <w:color w:val="000000"/>
                        </w:rPr>
                        <w:t>been</w:t>
                      </w:r>
                      <w:r>
                        <w:rPr>
                          <w:color w:val="000000"/>
                          <w:spacing w:val="-2"/>
                        </w:rPr>
                        <w:t> </w:t>
                      </w:r>
                      <w:r>
                        <w:rPr>
                          <w:color w:val="000000"/>
                        </w:rPr>
                        <w:t>in</w:t>
                      </w:r>
                      <w:r>
                        <w:rPr>
                          <w:color w:val="000000"/>
                          <w:spacing w:val="-2"/>
                        </w:rPr>
                        <w:t> </w:t>
                      </w:r>
                      <w:r>
                        <w:rPr>
                          <w:color w:val="000000"/>
                        </w:rPr>
                        <w:t>the</w:t>
                      </w:r>
                      <w:r>
                        <w:rPr>
                          <w:color w:val="000000"/>
                          <w:spacing w:val="-4"/>
                        </w:rPr>
                        <w:t> </w:t>
                      </w:r>
                      <w:r>
                        <w:rPr>
                          <w:color w:val="000000"/>
                        </w:rPr>
                        <w:t>vicinity</w:t>
                      </w:r>
                      <w:r>
                        <w:rPr>
                          <w:color w:val="000000"/>
                          <w:spacing w:val="-2"/>
                        </w:rPr>
                        <w:t> </w:t>
                      </w:r>
                      <w:r>
                        <w:rPr>
                          <w:color w:val="000000"/>
                        </w:rPr>
                        <w:t>when the</w:t>
                      </w:r>
                      <w:r>
                        <w:rPr>
                          <w:color w:val="000000"/>
                          <w:spacing w:val="-4"/>
                        </w:rPr>
                        <w:t> </w:t>
                      </w:r>
                      <w:r>
                        <w:rPr>
                          <w:color w:val="000000"/>
                        </w:rPr>
                        <w:t>pipes</w:t>
                      </w:r>
                      <w:r>
                        <w:rPr>
                          <w:color w:val="000000"/>
                          <w:spacing w:val="-1"/>
                        </w:rPr>
                        <w:t> </w:t>
                      </w:r>
                      <w:r>
                        <w:rPr>
                          <w:color w:val="000000"/>
                        </w:rPr>
                        <w:t>were</w:t>
                      </w:r>
                      <w:r>
                        <w:rPr>
                          <w:color w:val="000000"/>
                          <w:spacing w:val="-1"/>
                        </w:rPr>
                        <w:t> </w:t>
                      </w:r>
                      <w:r>
                        <w:rPr>
                          <w:color w:val="000000"/>
                        </w:rPr>
                        <w:t>installed.</w:t>
                      </w:r>
                      <w:r>
                        <w:rPr>
                          <w:color w:val="000000"/>
                          <w:spacing w:val="-3"/>
                        </w:rPr>
                        <w:t> </w:t>
                      </w:r>
                      <w:r>
                        <w:rPr>
                          <w:color w:val="000000"/>
                        </w:rPr>
                        <w:t>It also</w:t>
                      </w:r>
                      <w:r>
                        <w:rPr>
                          <w:color w:val="000000"/>
                          <w:spacing w:val="-2"/>
                        </w:rPr>
                        <w:t> </w:t>
                      </w:r>
                      <w:r>
                        <w:rPr>
                          <w:color w:val="000000"/>
                        </w:rPr>
                        <w:t>advises</w:t>
                      </w:r>
                      <w:r>
                        <w:rPr>
                          <w:color w:val="000000"/>
                          <w:spacing w:val="-2"/>
                        </w:rPr>
                        <w:t> </w:t>
                      </w:r>
                      <w:r>
                        <w:rPr>
                          <w:color w:val="000000"/>
                        </w:rPr>
                        <w:t>that</w:t>
                      </w:r>
                      <w:r>
                        <w:rPr>
                          <w:color w:val="000000"/>
                          <w:spacing w:val="-3"/>
                        </w:rPr>
                        <w:t> </w:t>
                      </w:r>
                      <w:r>
                        <w:rPr>
                          <w:color w:val="000000"/>
                        </w:rPr>
                        <w:t>the depth or alignment of pipes</w:t>
                      </w:r>
                      <w:r>
                        <w:rPr>
                          <w:color w:val="000000"/>
                          <w:spacing w:val="-1"/>
                        </w:rPr>
                        <w:t> </w:t>
                      </w:r>
                      <w:r>
                        <w:rPr>
                          <w:color w:val="000000"/>
                        </w:rPr>
                        <w:t>is</w:t>
                      </w:r>
                      <w:r>
                        <w:rPr>
                          <w:color w:val="000000"/>
                          <w:spacing w:val="-1"/>
                        </w:rPr>
                        <w:t> </w:t>
                      </w:r>
                      <w:r>
                        <w:rPr>
                          <w:color w:val="000000"/>
                        </w:rPr>
                        <w:t>not consistent</w:t>
                      </w:r>
                      <w:r>
                        <w:rPr>
                          <w:color w:val="000000"/>
                          <w:spacing w:val="-2"/>
                        </w:rPr>
                        <w:t> </w:t>
                      </w:r>
                      <w:r>
                        <w:rPr>
                          <w:color w:val="000000"/>
                        </w:rPr>
                        <w:t>and</w:t>
                      </w:r>
                      <w:r>
                        <w:rPr>
                          <w:color w:val="000000"/>
                          <w:spacing w:val="-3"/>
                        </w:rPr>
                        <w:t> </w:t>
                      </w:r>
                      <w:r>
                        <w:rPr>
                          <w:color w:val="000000"/>
                        </w:rPr>
                        <w:t>therefore</w:t>
                      </w:r>
                      <w:r>
                        <w:rPr>
                          <w:color w:val="000000"/>
                          <w:spacing w:val="-3"/>
                        </w:rPr>
                        <w:t> </w:t>
                      </w:r>
                      <w:r>
                        <w:rPr>
                          <w:color w:val="000000"/>
                        </w:rPr>
                        <w:t>manual</w:t>
                      </w:r>
                      <w:r>
                        <w:rPr>
                          <w:color w:val="000000"/>
                          <w:spacing w:val="-1"/>
                        </w:rPr>
                        <w:t> </w:t>
                      </w:r>
                      <w:r>
                        <w:rPr>
                          <w:color w:val="000000"/>
                        </w:rPr>
                        <w:t>excavation</w:t>
                      </w:r>
                      <w:r>
                        <w:rPr>
                          <w:color w:val="000000"/>
                          <w:spacing w:val="-1"/>
                        </w:rPr>
                        <w:t> </w:t>
                      </w:r>
                      <w:r>
                        <w:rPr>
                          <w:color w:val="000000"/>
                        </w:rPr>
                        <w:t>(if instructed</w:t>
                      </w:r>
                      <w:r>
                        <w:rPr>
                          <w:color w:val="000000"/>
                          <w:spacing w:val="-1"/>
                        </w:rPr>
                        <w:t> </w:t>
                      </w:r>
                      <w:r>
                        <w:rPr>
                          <w:color w:val="000000"/>
                        </w:rPr>
                        <w:t>by</w:t>
                      </w:r>
                      <w:r>
                        <w:rPr>
                          <w:color w:val="000000"/>
                          <w:spacing w:val="-5"/>
                        </w:rPr>
                        <w:t> </w:t>
                      </w:r>
                      <w:r>
                        <w:rPr>
                          <w:color w:val="000000"/>
                        </w:rPr>
                        <w:t>the asset owner)</w:t>
                      </w:r>
                      <w:r>
                        <w:rPr>
                          <w:color w:val="000000"/>
                          <w:spacing w:val="-3"/>
                        </w:rPr>
                        <w:t> </w:t>
                      </w:r>
                      <w:r>
                        <w:rPr>
                          <w:color w:val="000000"/>
                        </w:rPr>
                        <w:t>may</w:t>
                      </w:r>
                      <w:r>
                        <w:rPr>
                          <w:color w:val="000000"/>
                          <w:spacing w:val="-4"/>
                        </w:rPr>
                        <w:t> </w:t>
                      </w:r>
                      <w:r>
                        <w:rPr>
                          <w:color w:val="000000"/>
                        </w:rPr>
                        <w:t>be</w:t>
                      </w:r>
                      <w:r>
                        <w:rPr>
                          <w:color w:val="000000"/>
                          <w:spacing w:val="-4"/>
                        </w:rPr>
                        <w:t> </w:t>
                      </w:r>
                      <w:r>
                        <w:rPr>
                          <w:color w:val="000000"/>
                        </w:rPr>
                        <w:t>required</w:t>
                      </w:r>
                      <w:r>
                        <w:rPr>
                          <w:color w:val="000000"/>
                          <w:spacing w:val="-2"/>
                        </w:rPr>
                        <w:t> </w:t>
                      </w:r>
                      <w:r>
                        <w:rPr>
                          <w:color w:val="000000"/>
                        </w:rPr>
                        <w:t>to</w:t>
                      </w:r>
                      <w:r>
                        <w:rPr>
                          <w:color w:val="000000"/>
                          <w:spacing w:val="-4"/>
                        </w:rPr>
                        <w:t> </w:t>
                      </w:r>
                      <w:r>
                        <w:rPr>
                          <w:color w:val="000000"/>
                        </w:rPr>
                        <w:t>determine</w:t>
                      </w:r>
                      <w:r>
                        <w:rPr>
                          <w:color w:val="000000"/>
                          <w:spacing w:val="-4"/>
                        </w:rPr>
                        <w:t> </w:t>
                      </w:r>
                      <w:r>
                        <w:rPr>
                          <w:color w:val="000000"/>
                        </w:rPr>
                        <w:t>the</w:t>
                      </w:r>
                      <w:r>
                        <w:rPr>
                          <w:color w:val="000000"/>
                          <w:spacing w:val="-4"/>
                        </w:rPr>
                        <w:t> </w:t>
                      </w:r>
                      <w:r>
                        <w:rPr>
                          <w:color w:val="000000"/>
                        </w:rPr>
                        <w:t>exact</w:t>
                      </w:r>
                      <w:r>
                        <w:rPr>
                          <w:color w:val="000000"/>
                          <w:spacing w:val="-1"/>
                        </w:rPr>
                        <w:t> </w:t>
                      </w:r>
                      <w:r>
                        <w:rPr>
                          <w:color w:val="000000"/>
                        </w:rPr>
                        <w:t>location</w:t>
                      </w:r>
                      <w:r>
                        <w:rPr>
                          <w:color w:val="000000"/>
                          <w:spacing w:val="-2"/>
                        </w:rPr>
                        <w:t> </w:t>
                      </w:r>
                      <w:r>
                        <w:rPr>
                          <w:color w:val="000000"/>
                        </w:rPr>
                        <w:t>of infrastructure</w:t>
                      </w:r>
                      <w:r>
                        <w:rPr>
                          <w:color w:val="000000"/>
                          <w:spacing w:val="-1"/>
                        </w:rPr>
                        <w:t> </w:t>
                      </w:r>
                      <w:r>
                        <w:rPr>
                          <w:color w:val="000000"/>
                        </w:rPr>
                        <w:t>assets</w:t>
                      </w:r>
                      <w:r>
                        <w:rPr>
                          <w:color w:val="000000"/>
                          <w:spacing w:val="-4"/>
                        </w:rPr>
                        <w:t> </w:t>
                      </w:r>
                      <w:r>
                        <w:rPr>
                          <w:color w:val="000000"/>
                        </w:rPr>
                        <w:t>to</w:t>
                      </w:r>
                      <w:r>
                        <w:rPr>
                          <w:color w:val="000000"/>
                          <w:spacing w:val="-4"/>
                        </w:rPr>
                        <w:t> </w:t>
                      </w:r>
                      <w:r>
                        <w:rPr>
                          <w:color w:val="000000"/>
                        </w:rPr>
                        <w:t>avoid</w:t>
                      </w:r>
                      <w:r>
                        <w:rPr>
                          <w:color w:val="000000"/>
                          <w:spacing w:val="-2"/>
                        </w:rPr>
                        <w:t> </w:t>
                      </w:r>
                      <w:r>
                        <w:rPr>
                          <w:color w:val="000000"/>
                        </w:rPr>
                        <w:t>any mishaps (Dial Before You Dig, 2017).</w:t>
                      </w:r>
                    </w:p>
                  </w:txbxContent>
                </v:textbox>
                <v:fill type="solid"/>
              </v:shape>
            </w:pict>
          </mc:Fallback>
        </mc:AlternateContent>
      </w:r>
      <w:r>
        <w:rPr>
          <w:sz w:val="20"/>
        </w:rPr>
      </w:r>
    </w:p>
    <w:p>
      <w:pPr>
        <w:pStyle w:val="BodyText"/>
        <w:spacing w:before="1"/>
        <w:rPr>
          <w:sz w:val="16"/>
        </w:rPr>
      </w:pPr>
    </w:p>
    <w:p>
      <w:pPr>
        <w:spacing w:line="288" w:lineRule="auto" w:before="94"/>
        <w:ind w:left="232" w:right="354" w:firstLine="0"/>
        <w:jc w:val="left"/>
        <w:rPr>
          <w:i/>
          <w:sz w:val="22"/>
        </w:rPr>
      </w:pPr>
      <w:r>
        <w:rPr>
          <w:sz w:val="22"/>
        </w:rPr>
        <w:t>Unlike in NSW,</w:t>
      </w:r>
      <w:r>
        <w:rPr>
          <w:spacing w:val="-3"/>
          <w:sz w:val="22"/>
        </w:rPr>
        <w:t> </w:t>
      </w:r>
      <w:r>
        <w:rPr>
          <w:sz w:val="22"/>
        </w:rPr>
        <w:t>the use</w:t>
      </w:r>
      <w:r>
        <w:rPr>
          <w:spacing w:val="-2"/>
          <w:sz w:val="22"/>
        </w:rPr>
        <w:t> </w:t>
      </w:r>
      <w:r>
        <w:rPr>
          <w:sz w:val="22"/>
        </w:rPr>
        <w:t>of </w:t>
      </w:r>
      <w:r>
        <w:rPr>
          <w:i/>
          <w:sz w:val="22"/>
        </w:rPr>
        <w:t>Dial</w:t>
      </w:r>
      <w:r>
        <w:rPr>
          <w:i/>
          <w:spacing w:val="-1"/>
          <w:sz w:val="22"/>
        </w:rPr>
        <w:t> </w:t>
      </w:r>
      <w:r>
        <w:rPr>
          <w:i/>
          <w:sz w:val="22"/>
        </w:rPr>
        <w:t>Before You</w:t>
      </w:r>
      <w:r>
        <w:rPr>
          <w:i/>
          <w:spacing w:val="-3"/>
          <w:sz w:val="22"/>
        </w:rPr>
        <w:t> </w:t>
      </w:r>
      <w:r>
        <w:rPr>
          <w:i/>
          <w:sz w:val="22"/>
        </w:rPr>
        <w:t>Dig </w:t>
      </w:r>
      <w:r>
        <w:rPr>
          <w:sz w:val="22"/>
        </w:rPr>
        <w:t>is</w:t>
      </w:r>
      <w:r>
        <w:rPr>
          <w:spacing w:val="-2"/>
          <w:sz w:val="22"/>
        </w:rPr>
        <w:t> </w:t>
      </w:r>
      <w:r>
        <w:rPr>
          <w:sz w:val="22"/>
        </w:rPr>
        <w:t>not</w:t>
      </w:r>
      <w:r>
        <w:rPr>
          <w:spacing w:val="-1"/>
          <w:sz w:val="22"/>
        </w:rPr>
        <w:t> </w:t>
      </w:r>
      <w:r>
        <w:rPr>
          <w:sz w:val="22"/>
        </w:rPr>
        <w:t>mandatory</w:t>
      </w:r>
      <w:r>
        <w:rPr>
          <w:spacing w:val="-2"/>
          <w:sz w:val="22"/>
        </w:rPr>
        <w:t> </w:t>
      </w:r>
      <w:r>
        <w:rPr>
          <w:sz w:val="22"/>
        </w:rPr>
        <w:t>in Victoria</w:t>
      </w:r>
      <w:r>
        <w:rPr>
          <w:i/>
          <w:sz w:val="22"/>
        </w:rPr>
        <w:t>. </w:t>
      </w:r>
      <w:r>
        <w:rPr>
          <w:sz w:val="22"/>
        </w:rPr>
        <w:t>Since July</w:t>
      </w:r>
      <w:r>
        <w:rPr>
          <w:spacing w:val="-2"/>
          <w:sz w:val="22"/>
        </w:rPr>
        <w:t> </w:t>
      </w:r>
      <w:r>
        <w:rPr>
          <w:sz w:val="22"/>
        </w:rPr>
        <w:t>2010,</w:t>
      </w:r>
      <w:r>
        <w:rPr>
          <w:spacing w:val="-1"/>
          <w:sz w:val="22"/>
        </w:rPr>
        <w:t> </w:t>
      </w:r>
      <w:r>
        <w:rPr>
          <w:sz w:val="22"/>
        </w:rPr>
        <w:t>it</w:t>
      </w:r>
      <w:r>
        <w:rPr>
          <w:spacing w:val="-1"/>
          <w:sz w:val="22"/>
        </w:rPr>
        <w:t> </w:t>
      </w:r>
      <w:r>
        <w:rPr>
          <w:sz w:val="22"/>
        </w:rPr>
        <w:t>has been compulsory in NSW to notify the “designated information provider” such as </w:t>
      </w:r>
      <w:r>
        <w:rPr>
          <w:i/>
          <w:sz w:val="22"/>
        </w:rPr>
        <w:t>Dial Before You Dig, </w:t>
      </w:r>
      <w:r>
        <w:rPr>
          <w:sz w:val="22"/>
        </w:rPr>
        <w:t>of the time and place of work no more than thirty days before the work starts. Amendments were made to the NSW </w:t>
      </w:r>
      <w:r>
        <w:rPr>
          <w:i/>
          <w:sz w:val="22"/>
        </w:rPr>
        <w:t>Electricity Supply Act 1995 </w:t>
      </w:r>
      <w:r>
        <w:rPr>
          <w:sz w:val="22"/>
        </w:rPr>
        <w:t>and </w:t>
      </w:r>
      <w:r>
        <w:rPr>
          <w:i/>
          <w:sz w:val="22"/>
        </w:rPr>
        <w:t>Gas Supply Act 1996 </w:t>
      </w:r>
      <w:r>
        <w:rPr>
          <w:sz w:val="22"/>
        </w:rPr>
        <w:t>which were passed in</w:t>
      </w:r>
      <w:r>
        <w:rPr>
          <w:spacing w:val="-4"/>
          <w:sz w:val="22"/>
        </w:rPr>
        <w:t> </w:t>
      </w:r>
      <w:r>
        <w:rPr>
          <w:sz w:val="22"/>
        </w:rPr>
        <w:t>the</w:t>
      </w:r>
      <w:r>
        <w:rPr>
          <w:spacing w:val="-4"/>
          <w:sz w:val="22"/>
        </w:rPr>
        <w:t> </w:t>
      </w:r>
      <w:r>
        <w:rPr>
          <w:sz w:val="22"/>
        </w:rPr>
        <w:t>NSW</w:t>
      </w:r>
      <w:r>
        <w:rPr>
          <w:spacing w:val="-1"/>
          <w:sz w:val="22"/>
        </w:rPr>
        <w:t> </w:t>
      </w:r>
      <w:r>
        <w:rPr>
          <w:sz w:val="22"/>
        </w:rPr>
        <w:t>parliament</w:t>
      </w:r>
      <w:r>
        <w:rPr>
          <w:spacing w:val="-2"/>
          <w:sz w:val="22"/>
        </w:rPr>
        <w:t> </w:t>
      </w:r>
      <w:r>
        <w:rPr>
          <w:sz w:val="22"/>
        </w:rPr>
        <w:t>via</w:t>
      </w:r>
      <w:r>
        <w:rPr>
          <w:spacing w:val="-4"/>
          <w:sz w:val="22"/>
        </w:rPr>
        <w:t> </w:t>
      </w:r>
      <w:r>
        <w:rPr>
          <w:sz w:val="22"/>
        </w:rPr>
        <w:t>the</w:t>
      </w:r>
      <w:r>
        <w:rPr>
          <w:spacing w:val="-4"/>
          <w:sz w:val="22"/>
        </w:rPr>
        <w:t> </w:t>
      </w:r>
      <w:r>
        <w:rPr>
          <w:i/>
          <w:sz w:val="22"/>
        </w:rPr>
        <w:t>Energy</w:t>
      </w:r>
      <w:r>
        <w:rPr>
          <w:i/>
          <w:spacing w:val="-5"/>
          <w:sz w:val="22"/>
        </w:rPr>
        <w:t> </w:t>
      </w:r>
      <w:r>
        <w:rPr>
          <w:i/>
          <w:sz w:val="22"/>
        </w:rPr>
        <w:t>Legislation</w:t>
      </w:r>
      <w:r>
        <w:rPr>
          <w:i/>
          <w:spacing w:val="-5"/>
          <w:sz w:val="22"/>
        </w:rPr>
        <w:t> </w:t>
      </w:r>
      <w:r>
        <w:rPr>
          <w:i/>
          <w:sz w:val="22"/>
        </w:rPr>
        <w:t>Amendment</w:t>
      </w:r>
      <w:r>
        <w:rPr>
          <w:i/>
          <w:spacing w:val="-4"/>
          <w:sz w:val="22"/>
        </w:rPr>
        <w:t> </w:t>
      </w:r>
      <w:r>
        <w:rPr>
          <w:i/>
          <w:sz w:val="22"/>
        </w:rPr>
        <w:t>(Infrastructure</w:t>
      </w:r>
      <w:r>
        <w:rPr>
          <w:i/>
          <w:spacing w:val="-1"/>
          <w:sz w:val="22"/>
        </w:rPr>
        <w:t> </w:t>
      </w:r>
      <w:r>
        <w:rPr>
          <w:i/>
          <w:sz w:val="22"/>
        </w:rPr>
        <w:t>Protection)</w:t>
      </w:r>
      <w:r>
        <w:rPr>
          <w:i/>
          <w:spacing w:val="-3"/>
          <w:sz w:val="22"/>
        </w:rPr>
        <w:t> </w:t>
      </w:r>
      <w:r>
        <w:rPr>
          <w:i/>
          <w:sz w:val="22"/>
        </w:rPr>
        <w:t>Act</w:t>
      </w:r>
      <w:r>
        <w:rPr>
          <w:i/>
          <w:spacing w:val="-2"/>
          <w:sz w:val="22"/>
        </w:rPr>
        <w:t> </w:t>
      </w:r>
      <w:r>
        <w:rPr>
          <w:i/>
          <w:sz w:val="22"/>
        </w:rPr>
        <w:t>2009.</w:t>
      </w:r>
    </w:p>
    <w:p>
      <w:pPr>
        <w:pStyle w:val="BodyText"/>
        <w:spacing w:before="8"/>
        <w:rPr>
          <w:i/>
          <w:sz w:val="20"/>
        </w:rPr>
      </w:pPr>
    </w:p>
    <w:p>
      <w:pPr>
        <w:pStyle w:val="BodyText"/>
        <w:spacing w:line="288" w:lineRule="auto" w:before="1"/>
        <w:ind w:left="232" w:right="374"/>
      </w:pPr>
      <w:r>
        <w:rPr/>
        <w:t>These amendments made it a condition of a network business’s licence to be a member of </w:t>
      </w:r>
      <w:r>
        <w:rPr>
          <w:i/>
        </w:rPr>
        <w:t>Dial Before</w:t>
      </w:r>
      <w:r>
        <w:rPr>
          <w:i/>
          <w:spacing w:val="-2"/>
        </w:rPr>
        <w:t> </w:t>
      </w:r>
      <w:r>
        <w:rPr>
          <w:i/>
        </w:rPr>
        <w:t>You</w:t>
      </w:r>
      <w:r>
        <w:rPr>
          <w:i/>
          <w:spacing w:val="-5"/>
        </w:rPr>
        <w:t> </w:t>
      </w:r>
      <w:r>
        <w:rPr>
          <w:i/>
        </w:rPr>
        <w:t>Dig</w:t>
      </w:r>
      <w:r>
        <w:rPr>
          <w:i/>
          <w:spacing w:val="-1"/>
        </w:rPr>
        <w:t> </w:t>
      </w:r>
      <w:r>
        <w:rPr/>
        <w:t>and</w:t>
      </w:r>
      <w:r>
        <w:rPr>
          <w:spacing w:val="-4"/>
        </w:rPr>
        <w:t> </w:t>
      </w:r>
      <w:r>
        <w:rPr/>
        <w:t>comply</w:t>
      </w:r>
      <w:r>
        <w:rPr>
          <w:spacing w:val="-2"/>
        </w:rPr>
        <w:t> </w:t>
      </w:r>
      <w:r>
        <w:rPr/>
        <w:t>with</w:t>
      </w:r>
      <w:r>
        <w:rPr>
          <w:spacing w:val="-2"/>
        </w:rPr>
        <w:t> </w:t>
      </w:r>
      <w:r>
        <w:rPr/>
        <w:t>its</w:t>
      </w:r>
      <w:r>
        <w:rPr>
          <w:spacing w:val="-1"/>
        </w:rPr>
        <w:t> </w:t>
      </w:r>
      <w:r>
        <w:rPr/>
        <w:t>obligations</w:t>
      </w:r>
      <w:r>
        <w:rPr>
          <w:spacing w:val="-1"/>
        </w:rPr>
        <w:t> </w:t>
      </w:r>
      <w:r>
        <w:rPr/>
        <w:t>to</w:t>
      </w:r>
      <w:r>
        <w:rPr>
          <w:spacing w:val="-6"/>
        </w:rPr>
        <w:t> </w:t>
      </w:r>
      <w:r>
        <w:rPr/>
        <w:t>provide</w:t>
      </w:r>
      <w:r>
        <w:rPr>
          <w:spacing w:val="-2"/>
        </w:rPr>
        <w:t> </w:t>
      </w:r>
      <w:r>
        <w:rPr/>
        <w:t>the</w:t>
      </w:r>
      <w:r>
        <w:rPr>
          <w:spacing w:val="-2"/>
        </w:rPr>
        <w:t> </w:t>
      </w:r>
      <w:r>
        <w:rPr/>
        <w:t>relevant information</w:t>
      </w:r>
      <w:r>
        <w:rPr>
          <w:spacing w:val="-2"/>
        </w:rPr>
        <w:t> </w:t>
      </w:r>
      <w:r>
        <w:rPr/>
        <w:t>on</w:t>
      </w:r>
      <w:r>
        <w:rPr>
          <w:spacing w:val="-4"/>
        </w:rPr>
        <w:t> </w:t>
      </w:r>
      <w:r>
        <w:rPr/>
        <w:t>underground assets when requested by people intending to carry out excavation works. The NSW legislation also mandates the requirement for persons to contact </w:t>
      </w:r>
      <w:r>
        <w:rPr>
          <w:i/>
        </w:rPr>
        <w:t>Dial Before You Dig </w:t>
      </w:r>
      <w:r>
        <w:rPr/>
        <w:t>and allow reasonable time to receive the information prior to commencing any excavation work.</w:t>
      </w:r>
    </w:p>
    <w:p>
      <w:pPr>
        <w:pStyle w:val="BodyText"/>
        <w:rPr>
          <w:sz w:val="21"/>
        </w:rPr>
      </w:pPr>
    </w:p>
    <w:p>
      <w:pPr>
        <w:spacing w:before="0"/>
        <w:ind w:left="232" w:right="0" w:firstLine="0"/>
        <w:jc w:val="left"/>
        <w:rPr>
          <w:i/>
          <w:sz w:val="22"/>
        </w:rPr>
      </w:pPr>
      <w:r>
        <w:rPr>
          <w:sz w:val="22"/>
        </w:rPr>
        <w:t>In</w:t>
      </w:r>
      <w:r>
        <w:rPr>
          <w:spacing w:val="-4"/>
          <w:sz w:val="22"/>
        </w:rPr>
        <w:t> </w:t>
      </w:r>
      <w:r>
        <w:rPr>
          <w:sz w:val="22"/>
        </w:rPr>
        <w:t>its</w:t>
      </w:r>
      <w:r>
        <w:rPr>
          <w:spacing w:val="-5"/>
          <w:sz w:val="22"/>
        </w:rPr>
        <w:t> </w:t>
      </w:r>
      <w:r>
        <w:rPr>
          <w:sz w:val="22"/>
        </w:rPr>
        <w:t>submission</w:t>
      </w:r>
      <w:r>
        <w:rPr>
          <w:spacing w:val="-3"/>
          <w:sz w:val="22"/>
        </w:rPr>
        <w:t> </w:t>
      </w:r>
      <w:r>
        <w:rPr>
          <w:sz w:val="22"/>
        </w:rPr>
        <w:t>to</w:t>
      </w:r>
      <w:r>
        <w:rPr>
          <w:spacing w:val="-8"/>
          <w:sz w:val="22"/>
        </w:rPr>
        <w:t> </w:t>
      </w:r>
      <w:r>
        <w:rPr>
          <w:sz w:val="22"/>
        </w:rPr>
        <w:t>the</w:t>
      </w:r>
      <w:r>
        <w:rPr>
          <w:spacing w:val="-5"/>
          <w:sz w:val="22"/>
        </w:rPr>
        <w:t> </w:t>
      </w:r>
      <w:r>
        <w:rPr>
          <w:sz w:val="22"/>
        </w:rPr>
        <w:t>Review,</w:t>
      </w:r>
      <w:r>
        <w:rPr>
          <w:spacing w:val="-2"/>
          <w:sz w:val="22"/>
        </w:rPr>
        <w:t> </w:t>
      </w:r>
      <w:r>
        <w:rPr>
          <w:sz w:val="22"/>
        </w:rPr>
        <w:t>Jemena</w:t>
      </w:r>
      <w:r>
        <w:rPr>
          <w:spacing w:val="-4"/>
          <w:sz w:val="22"/>
        </w:rPr>
        <w:t> </w:t>
      </w:r>
      <w:r>
        <w:rPr>
          <w:sz w:val="22"/>
        </w:rPr>
        <w:t>expressed</w:t>
      </w:r>
      <w:r>
        <w:rPr>
          <w:spacing w:val="-4"/>
          <w:sz w:val="22"/>
        </w:rPr>
        <w:t> </w:t>
      </w:r>
      <w:r>
        <w:rPr>
          <w:sz w:val="22"/>
        </w:rPr>
        <w:t>a</w:t>
      </w:r>
      <w:r>
        <w:rPr>
          <w:spacing w:val="-4"/>
          <w:sz w:val="22"/>
        </w:rPr>
        <w:t> </w:t>
      </w:r>
      <w:r>
        <w:rPr>
          <w:sz w:val="22"/>
        </w:rPr>
        <w:t>view</w:t>
      </w:r>
      <w:r>
        <w:rPr>
          <w:spacing w:val="-7"/>
          <w:sz w:val="22"/>
        </w:rPr>
        <w:t> </w:t>
      </w:r>
      <w:r>
        <w:rPr>
          <w:sz w:val="22"/>
        </w:rPr>
        <w:t>that</w:t>
      </w:r>
      <w:r>
        <w:rPr>
          <w:spacing w:val="-2"/>
          <w:sz w:val="22"/>
        </w:rPr>
        <w:t> </w:t>
      </w:r>
      <w:r>
        <w:rPr>
          <w:sz w:val="22"/>
        </w:rPr>
        <w:t>a</w:t>
      </w:r>
      <w:r>
        <w:rPr>
          <w:spacing w:val="-5"/>
          <w:sz w:val="22"/>
        </w:rPr>
        <w:t> </w:t>
      </w:r>
      <w:r>
        <w:rPr>
          <w:sz w:val="22"/>
        </w:rPr>
        <w:t>mandatory</w:t>
      </w:r>
      <w:r>
        <w:rPr>
          <w:spacing w:val="-2"/>
          <w:sz w:val="22"/>
        </w:rPr>
        <w:t> </w:t>
      </w:r>
      <w:r>
        <w:rPr>
          <w:i/>
          <w:sz w:val="22"/>
        </w:rPr>
        <w:t>Dial</w:t>
      </w:r>
      <w:r>
        <w:rPr>
          <w:i/>
          <w:spacing w:val="-5"/>
          <w:sz w:val="22"/>
        </w:rPr>
        <w:t> </w:t>
      </w:r>
      <w:r>
        <w:rPr>
          <w:i/>
          <w:sz w:val="22"/>
        </w:rPr>
        <w:t>Before</w:t>
      </w:r>
      <w:r>
        <w:rPr>
          <w:i/>
          <w:spacing w:val="-4"/>
          <w:sz w:val="22"/>
        </w:rPr>
        <w:t> </w:t>
      </w:r>
      <w:r>
        <w:rPr>
          <w:i/>
          <w:sz w:val="22"/>
        </w:rPr>
        <w:t>You</w:t>
      </w:r>
      <w:r>
        <w:rPr>
          <w:i/>
          <w:spacing w:val="-6"/>
          <w:sz w:val="22"/>
        </w:rPr>
        <w:t> </w:t>
      </w:r>
      <w:r>
        <w:rPr>
          <w:i/>
          <w:spacing w:val="-5"/>
          <w:sz w:val="22"/>
        </w:rPr>
        <w:t>Dig</w:t>
      </w:r>
    </w:p>
    <w:p>
      <w:pPr>
        <w:pStyle w:val="BodyText"/>
        <w:spacing w:before="49"/>
        <w:ind w:left="232"/>
      </w:pPr>
      <w:r>
        <w:rPr/>
        <w:t>requirement</w:t>
      </w:r>
      <w:r>
        <w:rPr>
          <w:spacing w:val="-4"/>
        </w:rPr>
        <w:t> </w:t>
      </w:r>
      <w:r>
        <w:rPr/>
        <w:t>in</w:t>
      </w:r>
      <w:r>
        <w:rPr>
          <w:spacing w:val="-8"/>
        </w:rPr>
        <w:t> </w:t>
      </w:r>
      <w:r>
        <w:rPr/>
        <w:t>Victoria</w:t>
      </w:r>
      <w:r>
        <w:rPr>
          <w:spacing w:val="-7"/>
        </w:rPr>
        <w:t> </w:t>
      </w:r>
      <w:r>
        <w:rPr/>
        <w:t>should</w:t>
      </w:r>
      <w:r>
        <w:rPr>
          <w:spacing w:val="-6"/>
        </w:rPr>
        <w:t> </w:t>
      </w:r>
      <w:r>
        <w:rPr/>
        <w:t>be</w:t>
      </w:r>
      <w:r>
        <w:rPr>
          <w:spacing w:val="-5"/>
        </w:rPr>
        <w:t> </w:t>
      </w:r>
      <w:r>
        <w:rPr>
          <w:spacing w:val="-2"/>
        </w:rPr>
        <w:t>adopted:</w:t>
      </w:r>
    </w:p>
    <w:p>
      <w:pPr>
        <w:pStyle w:val="BodyText"/>
        <w:spacing w:before="4"/>
        <w:rPr>
          <w:sz w:val="25"/>
        </w:rPr>
      </w:pPr>
    </w:p>
    <w:p>
      <w:pPr>
        <w:spacing w:line="288" w:lineRule="auto" w:before="1"/>
        <w:ind w:left="799" w:right="928" w:firstLine="0"/>
        <w:jc w:val="left"/>
        <w:rPr>
          <w:sz w:val="22"/>
        </w:rPr>
      </w:pPr>
      <w:r>
        <w:rPr>
          <w:i/>
          <w:sz w:val="22"/>
        </w:rPr>
        <w:t>“There is no legislative requirement in Victoria for civil contractors and some other construction companies to obtain Dial Before You Dig details prior to commencement of</w:t>
      </w:r>
      <w:r>
        <w:rPr>
          <w:i/>
          <w:spacing w:val="-3"/>
          <w:sz w:val="22"/>
        </w:rPr>
        <w:t> </w:t>
      </w:r>
      <w:r>
        <w:rPr>
          <w:i/>
          <w:sz w:val="22"/>
        </w:rPr>
        <w:t>works</w:t>
      </w:r>
      <w:r>
        <w:rPr>
          <w:i/>
          <w:spacing w:val="-4"/>
          <w:sz w:val="22"/>
        </w:rPr>
        <w:t> </w:t>
      </w:r>
      <w:r>
        <w:rPr>
          <w:i/>
          <w:sz w:val="22"/>
        </w:rPr>
        <w:t>whereas</w:t>
      </w:r>
      <w:r>
        <w:rPr>
          <w:i/>
          <w:spacing w:val="-4"/>
          <w:sz w:val="22"/>
        </w:rPr>
        <w:t> </w:t>
      </w:r>
      <w:r>
        <w:rPr>
          <w:i/>
          <w:sz w:val="22"/>
        </w:rPr>
        <w:t>this</w:t>
      </w:r>
      <w:r>
        <w:rPr>
          <w:i/>
          <w:spacing w:val="-1"/>
          <w:sz w:val="22"/>
        </w:rPr>
        <w:t> </w:t>
      </w:r>
      <w:r>
        <w:rPr>
          <w:i/>
          <w:sz w:val="22"/>
        </w:rPr>
        <w:t>is</w:t>
      </w:r>
      <w:r>
        <w:rPr>
          <w:i/>
          <w:spacing w:val="-4"/>
          <w:sz w:val="22"/>
        </w:rPr>
        <w:t> </w:t>
      </w:r>
      <w:r>
        <w:rPr>
          <w:i/>
          <w:sz w:val="22"/>
        </w:rPr>
        <w:t>mandatory</w:t>
      </w:r>
      <w:r>
        <w:rPr>
          <w:i/>
          <w:spacing w:val="-1"/>
          <w:sz w:val="22"/>
        </w:rPr>
        <w:t> </w:t>
      </w:r>
      <w:r>
        <w:rPr>
          <w:i/>
          <w:sz w:val="22"/>
        </w:rPr>
        <w:t>in</w:t>
      </w:r>
      <w:r>
        <w:rPr>
          <w:i/>
          <w:spacing w:val="-4"/>
          <w:sz w:val="22"/>
        </w:rPr>
        <w:t> </w:t>
      </w:r>
      <w:r>
        <w:rPr>
          <w:i/>
          <w:sz w:val="22"/>
        </w:rPr>
        <w:t>NSW.</w:t>
      </w:r>
      <w:r>
        <w:rPr>
          <w:i/>
          <w:spacing w:val="-3"/>
          <w:sz w:val="22"/>
        </w:rPr>
        <w:t> </w:t>
      </w:r>
      <w:r>
        <w:rPr>
          <w:i/>
          <w:sz w:val="22"/>
        </w:rPr>
        <w:t>This</w:t>
      </w:r>
      <w:r>
        <w:rPr>
          <w:i/>
          <w:spacing w:val="-4"/>
          <w:sz w:val="22"/>
        </w:rPr>
        <w:t> </w:t>
      </w:r>
      <w:r>
        <w:rPr>
          <w:i/>
          <w:sz w:val="22"/>
        </w:rPr>
        <w:t>would</w:t>
      </w:r>
      <w:r>
        <w:rPr>
          <w:i/>
          <w:spacing w:val="-2"/>
          <w:sz w:val="22"/>
        </w:rPr>
        <w:t> </w:t>
      </w:r>
      <w:r>
        <w:rPr>
          <w:i/>
          <w:sz w:val="22"/>
        </w:rPr>
        <w:t>lead</w:t>
      </w:r>
      <w:r>
        <w:rPr>
          <w:i/>
          <w:spacing w:val="-4"/>
          <w:sz w:val="22"/>
        </w:rPr>
        <w:t> </w:t>
      </w:r>
      <w:r>
        <w:rPr>
          <w:i/>
          <w:sz w:val="22"/>
        </w:rPr>
        <w:t>to</w:t>
      </w:r>
      <w:r>
        <w:rPr>
          <w:i/>
          <w:spacing w:val="-2"/>
          <w:sz w:val="22"/>
        </w:rPr>
        <w:t> </w:t>
      </w:r>
      <w:r>
        <w:rPr>
          <w:i/>
          <w:sz w:val="22"/>
        </w:rPr>
        <w:t>better</w:t>
      </w:r>
      <w:r>
        <w:rPr>
          <w:i/>
          <w:spacing w:val="-3"/>
          <w:sz w:val="22"/>
        </w:rPr>
        <w:t> </w:t>
      </w:r>
      <w:r>
        <w:rPr>
          <w:i/>
          <w:sz w:val="22"/>
        </w:rPr>
        <w:t>safety</w:t>
      </w:r>
      <w:r>
        <w:rPr>
          <w:i/>
          <w:spacing w:val="-1"/>
          <w:sz w:val="22"/>
        </w:rPr>
        <w:t> </w:t>
      </w:r>
      <w:r>
        <w:rPr>
          <w:i/>
          <w:sz w:val="22"/>
        </w:rPr>
        <w:t>outcomes and should be adopted in Victoria.” </w:t>
      </w:r>
      <w:r>
        <w:rPr>
          <w:sz w:val="22"/>
        </w:rPr>
        <w:t>(Jemena, 2017, p. 3)</w:t>
      </w:r>
    </w:p>
    <w:p>
      <w:pPr>
        <w:pStyle w:val="BodyText"/>
        <w:spacing w:before="10"/>
        <w:rPr>
          <w:sz w:val="20"/>
        </w:rPr>
      </w:pPr>
    </w:p>
    <w:p>
      <w:pPr>
        <w:spacing w:before="0"/>
        <w:ind w:left="232" w:right="0" w:firstLine="0"/>
        <w:jc w:val="left"/>
        <w:rPr>
          <w:sz w:val="22"/>
        </w:rPr>
      </w:pPr>
      <w:r>
        <w:rPr>
          <w:sz w:val="22"/>
        </w:rPr>
        <w:t>APA</w:t>
      </w:r>
      <w:r>
        <w:rPr>
          <w:spacing w:val="-6"/>
          <w:sz w:val="22"/>
        </w:rPr>
        <w:t> </w:t>
      </w:r>
      <w:r>
        <w:rPr>
          <w:sz w:val="22"/>
        </w:rPr>
        <w:t>VTS</w:t>
      </w:r>
      <w:r>
        <w:rPr>
          <w:spacing w:val="-4"/>
          <w:sz w:val="22"/>
        </w:rPr>
        <w:t> </w:t>
      </w:r>
      <w:r>
        <w:rPr>
          <w:sz w:val="22"/>
        </w:rPr>
        <w:t>also</w:t>
      </w:r>
      <w:r>
        <w:rPr>
          <w:spacing w:val="-5"/>
          <w:sz w:val="22"/>
        </w:rPr>
        <w:t> </w:t>
      </w:r>
      <w:r>
        <w:rPr>
          <w:sz w:val="22"/>
        </w:rPr>
        <w:t>advocates</w:t>
      </w:r>
      <w:r>
        <w:rPr>
          <w:spacing w:val="-6"/>
          <w:sz w:val="22"/>
        </w:rPr>
        <w:t> </w:t>
      </w:r>
      <w:r>
        <w:rPr>
          <w:sz w:val="22"/>
        </w:rPr>
        <w:t>for</w:t>
      </w:r>
      <w:r>
        <w:rPr>
          <w:spacing w:val="-2"/>
          <w:sz w:val="22"/>
        </w:rPr>
        <w:t> </w:t>
      </w:r>
      <w:r>
        <w:rPr>
          <w:sz w:val="22"/>
        </w:rPr>
        <w:t>a</w:t>
      </w:r>
      <w:r>
        <w:rPr>
          <w:spacing w:val="-6"/>
          <w:sz w:val="22"/>
        </w:rPr>
        <w:t> </w:t>
      </w:r>
      <w:r>
        <w:rPr>
          <w:sz w:val="22"/>
        </w:rPr>
        <w:t>mandatory</w:t>
      </w:r>
      <w:r>
        <w:rPr>
          <w:spacing w:val="-1"/>
          <w:sz w:val="22"/>
        </w:rPr>
        <w:t> </w:t>
      </w:r>
      <w:r>
        <w:rPr>
          <w:i/>
          <w:sz w:val="22"/>
        </w:rPr>
        <w:t>Dial</w:t>
      </w:r>
      <w:r>
        <w:rPr>
          <w:i/>
          <w:spacing w:val="-5"/>
          <w:sz w:val="22"/>
        </w:rPr>
        <w:t> </w:t>
      </w:r>
      <w:r>
        <w:rPr>
          <w:i/>
          <w:sz w:val="22"/>
        </w:rPr>
        <w:t>Before</w:t>
      </w:r>
      <w:r>
        <w:rPr>
          <w:i/>
          <w:spacing w:val="-5"/>
          <w:sz w:val="22"/>
        </w:rPr>
        <w:t> </w:t>
      </w:r>
      <w:r>
        <w:rPr>
          <w:i/>
          <w:sz w:val="22"/>
        </w:rPr>
        <w:t>You</w:t>
      </w:r>
      <w:r>
        <w:rPr>
          <w:i/>
          <w:spacing w:val="-4"/>
          <w:sz w:val="22"/>
        </w:rPr>
        <w:t> </w:t>
      </w:r>
      <w:r>
        <w:rPr>
          <w:i/>
          <w:sz w:val="22"/>
        </w:rPr>
        <w:t>Dig</w:t>
      </w:r>
      <w:r>
        <w:rPr>
          <w:i/>
          <w:spacing w:val="-1"/>
          <w:sz w:val="22"/>
        </w:rPr>
        <w:t> </w:t>
      </w:r>
      <w:r>
        <w:rPr>
          <w:spacing w:val="-2"/>
          <w:sz w:val="22"/>
        </w:rPr>
        <w:t>requirement:</w:t>
      </w:r>
    </w:p>
    <w:p>
      <w:pPr>
        <w:pStyle w:val="BodyText"/>
        <w:spacing w:before="2"/>
        <w:rPr>
          <w:sz w:val="25"/>
        </w:rPr>
      </w:pPr>
    </w:p>
    <w:p>
      <w:pPr>
        <w:spacing w:line="288" w:lineRule="auto" w:before="0"/>
        <w:ind w:left="799" w:right="868" w:firstLine="0"/>
        <w:jc w:val="left"/>
        <w:rPr>
          <w:sz w:val="22"/>
        </w:rPr>
      </w:pPr>
      <w:r>
        <w:rPr>
          <w:i/>
          <w:sz w:val="22"/>
        </w:rPr>
        <w:t>“We also advocate that the use of ‘Dial Before You Dig’ by third parties undertaking excavation</w:t>
      </w:r>
      <w:r>
        <w:rPr>
          <w:i/>
          <w:spacing w:val="-4"/>
          <w:sz w:val="22"/>
        </w:rPr>
        <w:t> </w:t>
      </w:r>
      <w:r>
        <w:rPr>
          <w:i/>
          <w:sz w:val="22"/>
        </w:rPr>
        <w:t>works</w:t>
      </w:r>
      <w:r>
        <w:rPr>
          <w:i/>
          <w:spacing w:val="-4"/>
          <w:sz w:val="22"/>
        </w:rPr>
        <w:t> </w:t>
      </w:r>
      <w:r>
        <w:rPr>
          <w:i/>
          <w:sz w:val="22"/>
        </w:rPr>
        <w:t>should</w:t>
      </w:r>
      <w:r>
        <w:rPr>
          <w:i/>
          <w:spacing w:val="-2"/>
          <w:sz w:val="22"/>
        </w:rPr>
        <w:t> </w:t>
      </w:r>
      <w:r>
        <w:rPr>
          <w:i/>
          <w:sz w:val="22"/>
        </w:rPr>
        <w:t>be</w:t>
      </w:r>
      <w:r>
        <w:rPr>
          <w:i/>
          <w:spacing w:val="-4"/>
          <w:sz w:val="22"/>
        </w:rPr>
        <w:t> </w:t>
      </w:r>
      <w:r>
        <w:rPr>
          <w:i/>
          <w:sz w:val="22"/>
        </w:rPr>
        <w:t>mandated</w:t>
      </w:r>
      <w:r>
        <w:rPr>
          <w:i/>
          <w:spacing w:val="-4"/>
          <w:sz w:val="22"/>
        </w:rPr>
        <w:t> </w:t>
      </w:r>
      <w:r>
        <w:rPr>
          <w:i/>
          <w:sz w:val="22"/>
        </w:rPr>
        <w:t>in</w:t>
      </w:r>
      <w:r>
        <w:rPr>
          <w:i/>
          <w:spacing w:val="-2"/>
          <w:sz w:val="22"/>
        </w:rPr>
        <w:t> </w:t>
      </w:r>
      <w:r>
        <w:rPr>
          <w:i/>
          <w:sz w:val="22"/>
        </w:rPr>
        <w:t>legislation,</w:t>
      </w:r>
      <w:r>
        <w:rPr>
          <w:i/>
          <w:spacing w:val="-1"/>
          <w:sz w:val="22"/>
        </w:rPr>
        <w:t> </w:t>
      </w:r>
      <w:r>
        <w:rPr>
          <w:i/>
          <w:sz w:val="22"/>
        </w:rPr>
        <w:t>as</w:t>
      </w:r>
      <w:r>
        <w:rPr>
          <w:i/>
          <w:spacing w:val="-4"/>
          <w:sz w:val="22"/>
        </w:rPr>
        <w:t> </w:t>
      </w:r>
      <w:r>
        <w:rPr>
          <w:i/>
          <w:sz w:val="22"/>
        </w:rPr>
        <w:t>it is</w:t>
      </w:r>
      <w:r>
        <w:rPr>
          <w:i/>
          <w:spacing w:val="-4"/>
          <w:sz w:val="22"/>
        </w:rPr>
        <w:t> </w:t>
      </w:r>
      <w:r>
        <w:rPr>
          <w:i/>
          <w:sz w:val="22"/>
        </w:rPr>
        <w:t>in</w:t>
      </w:r>
      <w:r>
        <w:rPr>
          <w:i/>
          <w:spacing w:val="-2"/>
          <w:sz w:val="22"/>
        </w:rPr>
        <w:t> </w:t>
      </w:r>
      <w:r>
        <w:rPr>
          <w:i/>
          <w:sz w:val="22"/>
        </w:rPr>
        <w:t>NSW.”</w:t>
      </w:r>
      <w:r>
        <w:rPr>
          <w:i/>
          <w:spacing w:val="-5"/>
          <w:sz w:val="22"/>
        </w:rPr>
        <w:t> </w:t>
      </w:r>
      <w:r>
        <w:rPr>
          <w:sz w:val="22"/>
        </w:rPr>
        <w:t>(APA</w:t>
      </w:r>
      <w:r>
        <w:rPr>
          <w:spacing w:val="-2"/>
          <w:sz w:val="22"/>
        </w:rPr>
        <w:t> </w:t>
      </w:r>
      <w:r>
        <w:rPr>
          <w:sz w:val="22"/>
        </w:rPr>
        <w:t>VTS, 2017, p. 5)</w:t>
      </w:r>
    </w:p>
    <w:p>
      <w:pPr>
        <w:pStyle w:val="BodyText"/>
        <w:rPr>
          <w:sz w:val="21"/>
        </w:rPr>
      </w:pPr>
    </w:p>
    <w:p>
      <w:pPr>
        <w:pStyle w:val="BodyText"/>
        <w:spacing w:line="288" w:lineRule="auto"/>
        <w:ind w:left="232"/>
      </w:pPr>
      <w:r>
        <w:rPr/>
        <w:t>Making </w:t>
      </w:r>
      <w:r>
        <w:rPr>
          <w:i/>
        </w:rPr>
        <w:t>Dial Before You Dig </w:t>
      </w:r>
      <w:r>
        <w:rPr/>
        <w:t>mandatory in Victoria would help prevent unauthorised contact with underground assets, by strengthening the requirements on asset owners to provide accurate information</w:t>
      </w:r>
      <w:r>
        <w:rPr>
          <w:spacing w:val="-4"/>
        </w:rPr>
        <w:t> </w:t>
      </w:r>
      <w:r>
        <w:rPr/>
        <w:t>to</w:t>
      </w:r>
      <w:r>
        <w:rPr>
          <w:spacing w:val="-4"/>
        </w:rPr>
        <w:t> </w:t>
      </w:r>
      <w:r>
        <w:rPr/>
        <w:t>third</w:t>
      </w:r>
      <w:r>
        <w:rPr>
          <w:spacing w:val="-2"/>
        </w:rPr>
        <w:t> </w:t>
      </w:r>
      <w:r>
        <w:rPr/>
        <w:t>parties</w:t>
      </w:r>
      <w:r>
        <w:rPr>
          <w:spacing w:val="-1"/>
        </w:rPr>
        <w:t> </w:t>
      </w:r>
      <w:r>
        <w:rPr/>
        <w:t>in</w:t>
      </w:r>
      <w:r>
        <w:rPr>
          <w:spacing w:val="-2"/>
        </w:rPr>
        <w:t> </w:t>
      </w:r>
      <w:r>
        <w:rPr/>
        <w:t>a</w:t>
      </w:r>
      <w:r>
        <w:rPr>
          <w:spacing w:val="-3"/>
        </w:rPr>
        <w:t> </w:t>
      </w:r>
      <w:r>
        <w:rPr/>
        <w:t>timely</w:t>
      </w:r>
      <w:r>
        <w:rPr>
          <w:spacing w:val="-4"/>
        </w:rPr>
        <w:t> </w:t>
      </w:r>
      <w:r>
        <w:rPr/>
        <w:t>manner,</w:t>
      </w:r>
      <w:r>
        <w:rPr>
          <w:spacing w:val="-3"/>
        </w:rPr>
        <w:t> </w:t>
      </w:r>
      <w:r>
        <w:rPr/>
        <w:t>and</w:t>
      </w:r>
      <w:r>
        <w:rPr>
          <w:spacing w:val="-4"/>
        </w:rPr>
        <w:t> </w:t>
      </w:r>
      <w:r>
        <w:rPr/>
        <w:t>for</w:t>
      </w:r>
      <w:r>
        <w:rPr>
          <w:spacing w:val="-3"/>
        </w:rPr>
        <w:t> </w:t>
      </w:r>
      <w:r>
        <w:rPr/>
        <w:t>third</w:t>
      </w:r>
      <w:r>
        <w:rPr>
          <w:spacing w:val="-2"/>
        </w:rPr>
        <w:t> </w:t>
      </w:r>
      <w:r>
        <w:rPr/>
        <w:t>parties</w:t>
      </w:r>
      <w:r>
        <w:rPr>
          <w:spacing w:val="-4"/>
        </w:rPr>
        <w:t> </w:t>
      </w:r>
      <w:r>
        <w:rPr/>
        <w:t>conducting</w:t>
      </w:r>
      <w:r>
        <w:rPr>
          <w:spacing w:val="-2"/>
        </w:rPr>
        <w:t> </w:t>
      </w:r>
      <w:r>
        <w:rPr/>
        <w:t>excavations</w:t>
      </w:r>
      <w:r>
        <w:rPr>
          <w:spacing w:val="-2"/>
        </w:rPr>
        <w:t> </w:t>
      </w:r>
      <w:r>
        <w:rPr/>
        <w:t>to</w:t>
      </w:r>
      <w:r>
        <w:rPr>
          <w:spacing w:val="-2"/>
        </w:rPr>
        <w:t> </w:t>
      </w:r>
      <w:r>
        <w:rPr/>
        <w:t>seek information from asset owners prior to any work commencing.</w:t>
      </w:r>
    </w:p>
    <w:p>
      <w:pPr>
        <w:spacing w:after="0" w:line="288" w:lineRule="auto"/>
        <w:sectPr>
          <w:pgSz w:w="11910" w:h="16850"/>
          <w:pgMar w:header="220" w:footer="678" w:top="420" w:bottom="860" w:left="900" w:right="840"/>
        </w:sectPr>
      </w:pPr>
    </w:p>
    <w:p>
      <w:pPr>
        <w:pStyle w:val="BodyText"/>
        <w:rPr>
          <w:sz w:val="20"/>
        </w:rPr>
      </w:pPr>
    </w:p>
    <w:p>
      <w:pPr>
        <w:pStyle w:val="BodyText"/>
        <w:spacing w:before="2"/>
        <w:rPr>
          <w:sz w:val="19"/>
        </w:rPr>
      </w:pPr>
    </w:p>
    <w:p>
      <w:pPr>
        <w:pStyle w:val="BodyText"/>
        <w:spacing w:line="288" w:lineRule="auto" w:before="94"/>
        <w:ind w:left="232" w:right="374"/>
      </w:pPr>
      <w:r>
        <w:rPr/>
        <w:t>A mandatory scheme would involve compliance costs and would involve implementation details requiring</w:t>
      </w:r>
      <w:r>
        <w:rPr>
          <w:spacing w:val="-6"/>
        </w:rPr>
        <w:t> </w:t>
      </w:r>
      <w:r>
        <w:rPr/>
        <w:t>further</w:t>
      </w:r>
      <w:r>
        <w:rPr>
          <w:spacing w:val="-5"/>
        </w:rPr>
        <w:t> </w:t>
      </w:r>
      <w:r>
        <w:rPr/>
        <w:t>consideration.</w:t>
      </w:r>
      <w:r>
        <w:rPr>
          <w:spacing w:val="-3"/>
        </w:rPr>
        <w:t> </w:t>
      </w:r>
      <w:r>
        <w:rPr/>
        <w:t>Accordingly,</w:t>
      </w:r>
      <w:r>
        <w:rPr>
          <w:spacing w:val="-2"/>
        </w:rPr>
        <w:t> </w:t>
      </w:r>
      <w:r>
        <w:rPr/>
        <w:t>the</w:t>
      </w:r>
      <w:r>
        <w:rPr>
          <w:spacing w:val="-6"/>
        </w:rPr>
        <w:t> </w:t>
      </w:r>
      <w:r>
        <w:rPr/>
        <w:t>implementation</w:t>
      </w:r>
      <w:r>
        <w:rPr>
          <w:spacing w:val="-4"/>
        </w:rPr>
        <w:t> </w:t>
      </w:r>
      <w:r>
        <w:rPr/>
        <w:t>of</w:t>
      </w:r>
      <w:r>
        <w:rPr>
          <w:spacing w:val="-2"/>
        </w:rPr>
        <w:t> </w:t>
      </w:r>
      <w:r>
        <w:rPr/>
        <w:t>a</w:t>
      </w:r>
      <w:r>
        <w:rPr>
          <w:spacing w:val="-6"/>
        </w:rPr>
        <w:t> </w:t>
      </w:r>
      <w:r>
        <w:rPr/>
        <w:t>mandatory</w:t>
      </w:r>
      <w:r>
        <w:rPr>
          <w:spacing w:val="-5"/>
        </w:rPr>
        <w:t> </w:t>
      </w:r>
      <w:r>
        <w:rPr/>
        <w:t>scheme</w:t>
      </w:r>
      <w:r>
        <w:rPr>
          <w:spacing w:val="-4"/>
        </w:rPr>
        <w:t> </w:t>
      </w:r>
      <w:r>
        <w:rPr/>
        <w:t>in</w:t>
      </w:r>
      <w:r>
        <w:rPr>
          <w:spacing w:val="-4"/>
        </w:rPr>
        <w:t> </w:t>
      </w:r>
      <w:r>
        <w:rPr/>
        <w:t>Victoria through legislation should be contingent on a full regulation impact assessment, including a suitable cost-benefit assessment.</w:t>
      </w:r>
    </w:p>
    <w:p>
      <w:pPr>
        <w:pStyle w:val="BodyText"/>
        <w:spacing w:before="9"/>
        <w:rPr>
          <w:sz w:val="18"/>
        </w:rPr>
      </w:pPr>
      <w:r>
        <w:rPr/>
        <mc:AlternateContent>
          <mc:Choice Requires="wps">
            <w:drawing>
              <wp:anchor distT="0" distB="0" distL="0" distR="0" allowOverlap="1" layoutInCell="1" locked="0" behindDoc="1" simplePos="0" relativeHeight="487652864">
                <wp:simplePos x="0" y="0"/>
                <wp:positionH relativeFrom="page">
                  <wp:posOffset>719327</wp:posOffset>
                </wp:positionH>
                <wp:positionV relativeFrom="paragraph">
                  <wp:posOffset>152388</wp:posOffset>
                </wp:positionV>
                <wp:extent cx="5870575" cy="1283335"/>
                <wp:effectExtent l="0" t="0" r="0" b="0"/>
                <wp:wrapTopAndBottom/>
                <wp:docPr id="191" name="Textbox 191"/>
                <wp:cNvGraphicFramePr>
                  <a:graphicFrameLocks/>
                </wp:cNvGraphicFramePr>
                <a:graphic>
                  <a:graphicData uri="http://schemas.microsoft.com/office/word/2010/wordprocessingShape">
                    <wps:wsp>
                      <wps:cNvPr id="191" name="Textbox 191"/>
                      <wps:cNvSpPr txBox="1"/>
                      <wps:spPr>
                        <a:xfrm>
                          <a:off x="0" y="0"/>
                          <a:ext cx="5870575" cy="1283335"/>
                        </a:xfrm>
                        <a:prstGeom prst="rect">
                          <a:avLst/>
                        </a:prstGeom>
                        <a:solidFill>
                          <a:srgbClr val="D9D9D9"/>
                        </a:solidFill>
                      </wps:spPr>
                      <wps:txbx>
                        <w:txbxContent>
                          <w:p>
                            <w:pPr>
                              <w:pStyle w:val="BodyText"/>
                              <w:spacing w:before="6"/>
                              <w:rPr>
                                <w:color w:val="000000"/>
                                <w:sz w:val="36"/>
                              </w:rPr>
                            </w:pPr>
                          </w:p>
                          <w:p>
                            <w:pPr>
                              <w:spacing w:before="0"/>
                              <w:ind w:left="141" w:right="0" w:firstLine="0"/>
                              <w:jc w:val="left"/>
                              <w:rPr>
                                <w:b/>
                                <w:color w:val="000000"/>
                                <w:sz w:val="24"/>
                              </w:rPr>
                            </w:pPr>
                            <w:r>
                              <w:rPr>
                                <w:b/>
                                <w:color w:val="000000"/>
                                <w:spacing w:val="-2"/>
                                <w:sz w:val="24"/>
                              </w:rPr>
                              <w:t>Recommendation</w:t>
                            </w:r>
                            <w:r>
                              <w:rPr>
                                <w:b/>
                                <w:color w:val="000000"/>
                                <w:sz w:val="24"/>
                              </w:rPr>
                              <w:t> </w:t>
                            </w:r>
                            <w:r>
                              <w:rPr>
                                <w:b/>
                                <w:color w:val="000000"/>
                                <w:spacing w:val="-5"/>
                                <w:sz w:val="24"/>
                              </w:rPr>
                              <w:t>31</w:t>
                            </w:r>
                          </w:p>
                          <w:p>
                            <w:pPr>
                              <w:pStyle w:val="BodyText"/>
                              <w:spacing w:line="288" w:lineRule="auto" w:before="175"/>
                              <w:ind w:left="112"/>
                              <w:rPr>
                                <w:color w:val="000000"/>
                              </w:rPr>
                            </w:pPr>
                            <w:r>
                              <w:rPr>
                                <w:color w:val="000000"/>
                              </w:rPr>
                              <w:t>Subject to the completion of a positive regulation impact assessment, </w:t>
                            </w:r>
                            <w:r>
                              <w:rPr>
                                <w:i/>
                                <w:color w:val="000000"/>
                              </w:rPr>
                              <w:t>Dial Before You Dig </w:t>
                            </w:r>
                            <w:r>
                              <w:rPr>
                                <w:color w:val="000000"/>
                              </w:rPr>
                              <w:t>should</w:t>
                            </w:r>
                            <w:r>
                              <w:rPr>
                                <w:color w:val="000000"/>
                                <w:spacing w:val="-2"/>
                              </w:rPr>
                              <w:t> </w:t>
                            </w:r>
                            <w:r>
                              <w:rPr>
                                <w:color w:val="000000"/>
                              </w:rPr>
                              <w:t>be</w:t>
                            </w:r>
                            <w:r>
                              <w:rPr>
                                <w:color w:val="000000"/>
                                <w:spacing w:val="-4"/>
                              </w:rPr>
                              <w:t> </w:t>
                            </w:r>
                            <w:r>
                              <w:rPr>
                                <w:color w:val="000000"/>
                              </w:rPr>
                              <w:t>made</w:t>
                            </w:r>
                            <w:r>
                              <w:rPr>
                                <w:color w:val="000000"/>
                                <w:spacing w:val="-4"/>
                              </w:rPr>
                              <w:t> </w:t>
                            </w:r>
                            <w:r>
                              <w:rPr>
                                <w:color w:val="000000"/>
                              </w:rPr>
                              <w:t>mandatory</w:t>
                            </w:r>
                            <w:r>
                              <w:rPr>
                                <w:color w:val="000000"/>
                                <w:spacing w:val="-3"/>
                              </w:rPr>
                              <w:t> </w:t>
                            </w:r>
                            <w:r>
                              <w:rPr>
                                <w:color w:val="000000"/>
                              </w:rPr>
                              <w:t>in</w:t>
                            </w:r>
                            <w:r>
                              <w:rPr>
                                <w:color w:val="000000"/>
                                <w:spacing w:val="-2"/>
                              </w:rPr>
                              <w:t> </w:t>
                            </w:r>
                            <w:r>
                              <w:rPr>
                                <w:color w:val="000000"/>
                              </w:rPr>
                              <w:t>Victoria</w:t>
                            </w:r>
                            <w:r>
                              <w:rPr>
                                <w:color w:val="000000"/>
                                <w:spacing w:val="-4"/>
                              </w:rPr>
                              <w:t> </w:t>
                            </w:r>
                            <w:r>
                              <w:rPr>
                                <w:color w:val="000000"/>
                              </w:rPr>
                              <w:t>following</w:t>
                            </w:r>
                            <w:r>
                              <w:rPr>
                                <w:color w:val="000000"/>
                                <w:spacing w:val="-2"/>
                              </w:rPr>
                              <w:t> </w:t>
                            </w:r>
                            <w:r>
                              <w:rPr>
                                <w:color w:val="000000"/>
                              </w:rPr>
                              <w:t>the</w:t>
                            </w:r>
                            <w:r>
                              <w:rPr>
                                <w:color w:val="000000"/>
                                <w:spacing w:val="-2"/>
                              </w:rPr>
                              <w:t> </w:t>
                            </w:r>
                            <w:r>
                              <w:rPr>
                                <w:color w:val="000000"/>
                              </w:rPr>
                              <w:t>approach</w:t>
                            </w:r>
                            <w:r>
                              <w:rPr>
                                <w:color w:val="000000"/>
                                <w:spacing w:val="-4"/>
                              </w:rPr>
                              <w:t> </w:t>
                            </w:r>
                            <w:r>
                              <w:rPr>
                                <w:color w:val="000000"/>
                              </w:rPr>
                              <w:t>that has</w:t>
                            </w:r>
                            <w:r>
                              <w:rPr>
                                <w:color w:val="000000"/>
                                <w:spacing w:val="-1"/>
                              </w:rPr>
                              <w:t> </w:t>
                            </w:r>
                            <w:r>
                              <w:rPr>
                                <w:color w:val="000000"/>
                              </w:rPr>
                              <w:t>been</w:t>
                            </w:r>
                            <w:r>
                              <w:rPr>
                                <w:color w:val="000000"/>
                                <w:spacing w:val="-2"/>
                              </w:rPr>
                              <w:t> </w:t>
                            </w:r>
                            <w:r>
                              <w:rPr>
                                <w:color w:val="000000"/>
                              </w:rPr>
                              <w:t>adopted</w:t>
                            </w:r>
                            <w:r>
                              <w:rPr>
                                <w:color w:val="000000"/>
                                <w:spacing w:val="-1"/>
                              </w:rPr>
                              <w:t> </w:t>
                            </w:r>
                            <w:r>
                              <w:rPr>
                                <w:color w:val="000000"/>
                              </w:rPr>
                              <w:t>in</w:t>
                            </w:r>
                            <w:r>
                              <w:rPr>
                                <w:color w:val="000000"/>
                                <w:spacing w:val="-2"/>
                              </w:rPr>
                              <w:t> </w:t>
                            </w:r>
                            <w:r>
                              <w:rPr>
                                <w:color w:val="000000"/>
                              </w:rPr>
                              <w:t>New South Wales.</w:t>
                            </w:r>
                          </w:p>
                        </w:txbxContent>
                      </wps:txbx>
                      <wps:bodyPr wrap="square" lIns="0" tIns="0" rIns="0" bIns="0" rtlCol="0">
                        <a:noAutofit/>
                      </wps:bodyPr>
                    </wps:wsp>
                  </a:graphicData>
                </a:graphic>
              </wp:anchor>
            </w:drawing>
          </mc:Choice>
          <mc:Fallback>
            <w:pict>
              <v:shape style="position:absolute;margin-left:56.639999pt;margin-top:11.999121pt;width:462.25pt;height:101.05pt;mso-position-horizontal-relative:page;mso-position-vertical-relative:paragraph;z-index:-15663616;mso-wrap-distance-left:0;mso-wrap-distance-right:0" type="#_x0000_t202" id="docshape164" filled="true" fillcolor="#d9d9d9" stroked="false">
                <v:textbox inset="0,0,0,0">
                  <w:txbxContent>
                    <w:p>
                      <w:pPr>
                        <w:pStyle w:val="BodyText"/>
                        <w:spacing w:before="6"/>
                        <w:rPr>
                          <w:color w:val="000000"/>
                          <w:sz w:val="36"/>
                        </w:rPr>
                      </w:pPr>
                    </w:p>
                    <w:p>
                      <w:pPr>
                        <w:spacing w:before="0"/>
                        <w:ind w:left="141" w:right="0" w:firstLine="0"/>
                        <w:jc w:val="left"/>
                        <w:rPr>
                          <w:b/>
                          <w:color w:val="000000"/>
                          <w:sz w:val="24"/>
                        </w:rPr>
                      </w:pPr>
                      <w:r>
                        <w:rPr>
                          <w:b/>
                          <w:color w:val="000000"/>
                          <w:spacing w:val="-2"/>
                          <w:sz w:val="24"/>
                        </w:rPr>
                        <w:t>Recommendation</w:t>
                      </w:r>
                      <w:r>
                        <w:rPr>
                          <w:b/>
                          <w:color w:val="000000"/>
                          <w:sz w:val="24"/>
                        </w:rPr>
                        <w:t> </w:t>
                      </w:r>
                      <w:r>
                        <w:rPr>
                          <w:b/>
                          <w:color w:val="000000"/>
                          <w:spacing w:val="-5"/>
                          <w:sz w:val="24"/>
                        </w:rPr>
                        <w:t>31</w:t>
                      </w:r>
                    </w:p>
                    <w:p>
                      <w:pPr>
                        <w:pStyle w:val="BodyText"/>
                        <w:spacing w:line="288" w:lineRule="auto" w:before="175"/>
                        <w:ind w:left="112"/>
                        <w:rPr>
                          <w:color w:val="000000"/>
                        </w:rPr>
                      </w:pPr>
                      <w:r>
                        <w:rPr>
                          <w:color w:val="000000"/>
                        </w:rPr>
                        <w:t>Subject to the completion of a positive regulation impact assessment, </w:t>
                      </w:r>
                      <w:r>
                        <w:rPr>
                          <w:i/>
                          <w:color w:val="000000"/>
                        </w:rPr>
                        <w:t>Dial Before You Dig </w:t>
                      </w:r>
                      <w:r>
                        <w:rPr>
                          <w:color w:val="000000"/>
                        </w:rPr>
                        <w:t>should</w:t>
                      </w:r>
                      <w:r>
                        <w:rPr>
                          <w:color w:val="000000"/>
                          <w:spacing w:val="-2"/>
                        </w:rPr>
                        <w:t> </w:t>
                      </w:r>
                      <w:r>
                        <w:rPr>
                          <w:color w:val="000000"/>
                        </w:rPr>
                        <w:t>be</w:t>
                      </w:r>
                      <w:r>
                        <w:rPr>
                          <w:color w:val="000000"/>
                          <w:spacing w:val="-4"/>
                        </w:rPr>
                        <w:t> </w:t>
                      </w:r>
                      <w:r>
                        <w:rPr>
                          <w:color w:val="000000"/>
                        </w:rPr>
                        <w:t>made</w:t>
                      </w:r>
                      <w:r>
                        <w:rPr>
                          <w:color w:val="000000"/>
                          <w:spacing w:val="-4"/>
                        </w:rPr>
                        <w:t> </w:t>
                      </w:r>
                      <w:r>
                        <w:rPr>
                          <w:color w:val="000000"/>
                        </w:rPr>
                        <w:t>mandatory</w:t>
                      </w:r>
                      <w:r>
                        <w:rPr>
                          <w:color w:val="000000"/>
                          <w:spacing w:val="-3"/>
                        </w:rPr>
                        <w:t> </w:t>
                      </w:r>
                      <w:r>
                        <w:rPr>
                          <w:color w:val="000000"/>
                        </w:rPr>
                        <w:t>in</w:t>
                      </w:r>
                      <w:r>
                        <w:rPr>
                          <w:color w:val="000000"/>
                          <w:spacing w:val="-2"/>
                        </w:rPr>
                        <w:t> </w:t>
                      </w:r>
                      <w:r>
                        <w:rPr>
                          <w:color w:val="000000"/>
                        </w:rPr>
                        <w:t>Victoria</w:t>
                      </w:r>
                      <w:r>
                        <w:rPr>
                          <w:color w:val="000000"/>
                          <w:spacing w:val="-4"/>
                        </w:rPr>
                        <w:t> </w:t>
                      </w:r>
                      <w:r>
                        <w:rPr>
                          <w:color w:val="000000"/>
                        </w:rPr>
                        <w:t>following</w:t>
                      </w:r>
                      <w:r>
                        <w:rPr>
                          <w:color w:val="000000"/>
                          <w:spacing w:val="-2"/>
                        </w:rPr>
                        <w:t> </w:t>
                      </w:r>
                      <w:r>
                        <w:rPr>
                          <w:color w:val="000000"/>
                        </w:rPr>
                        <w:t>the</w:t>
                      </w:r>
                      <w:r>
                        <w:rPr>
                          <w:color w:val="000000"/>
                          <w:spacing w:val="-2"/>
                        </w:rPr>
                        <w:t> </w:t>
                      </w:r>
                      <w:r>
                        <w:rPr>
                          <w:color w:val="000000"/>
                        </w:rPr>
                        <w:t>approach</w:t>
                      </w:r>
                      <w:r>
                        <w:rPr>
                          <w:color w:val="000000"/>
                          <w:spacing w:val="-4"/>
                        </w:rPr>
                        <w:t> </w:t>
                      </w:r>
                      <w:r>
                        <w:rPr>
                          <w:color w:val="000000"/>
                        </w:rPr>
                        <w:t>that has</w:t>
                      </w:r>
                      <w:r>
                        <w:rPr>
                          <w:color w:val="000000"/>
                          <w:spacing w:val="-1"/>
                        </w:rPr>
                        <w:t> </w:t>
                      </w:r>
                      <w:r>
                        <w:rPr>
                          <w:color w:val="000000"/>
                        </w:rPr>
                        <w:t>been</w:t>
                      </w:r>
                      <w:r>
                        <w:rPr>
                          <w:color w:val="000000"/>
                          <w:spacing w:val="-2"/>
                        </w:rPr>
                        <w:t> </w:t>
                      </w:r>
                      <w:r>
                        <w:rPr>
                          <w:color w:val="000000"/>
                        </w:rPr>
                        <w:t>adopted</w:t>
                      </w:r>
                      <w:r>
                        <w:rPr>
                          <w:color w:val="000000"/>
                          <w:spacing w:val="-1"/>
                        </w:rPr>
                        <w:t> </w:t>
                      </w:r>
                      <w:r>
                        <w:rPr>
                          <w:color w:val="000000"/>
                        </w:rPr>
                        <w:t>in</w:t>
                      </w:r>
                      <w:r>
                        <w:rPr>
                          <w:color w:val="000000"/>
                          <w:spacing w:val="-2"/>
                        </w:rPr>
                        <w:t> </w:t>
                      </w:r>
                      <w:r>
                        <w:rPr>
                          <w:color w:val="000000"/>
                        </w:rPr>
                        <w:t>New South Wales.</w:t>
                      </w:r>
                    </w:p>
                  </w:txbxContent>
                </v:textbox>
                <v:fill type="solid"/>
                <w10:wrap type="topAndBottom"/>
              </v:shape>
            </w:pict>
          </mc:Fallback>
        </mc:AlternateContent>
      </w:r>
    </w:p>
    <w:p>
      <w:pPr>
        <w:spacing w:after="0"/>
        <w:rPr>
          <w:sz w:val="18"/>
        </w:rPr>
        <w:sectPr>
          <w:pgSz w:w="11910" w:h="16850"/>
          <w:pgMar w:header="220" w:footer="678" w:top="420" w:bottom="860" w:left="900" w:right="840"/>
        </w:sectPr>
      </w:pPr>
    </w:p>
    <w:p>
      <w:pPr>
        <w:pStyle w:val="BodyText"/>
        <w:rPr>
          <w:sz w:val="20"/>
        </w:rPr>
      </w:pPr>
    </w:p>
    <w:p>
      <w:pPr>
        <w:pStyle w:val="BodyText"/>
        <w:spacing w:before="7"/>
        <w:rPr>
          <w:sz w:val="19"/>
        </w:rPr>
      </w:pPr>
    </w:p>
    <w:p>
      <w:pPr>
        <w:pStyle w:val="Heading4"/>
      </w:pPr>
      <w:r>
        <w:rPr>
          <w:color w:val="585858"/>
          <w:spacing w:val="-2"/>
        </w:rPr>
        <w:t>References</w:t>
      </w:r>
    </w:p>
    <w:p>
      <w:pPr>
        <w:spacing w:line="285" w:lineRule="auto" w:before="313"/>
        <w:ind w:left="232" w:right="951" w:firstLine="0"/>
        <w:jc w:val="left"/>
        <w:rPr>
          <w:sz w:val="18"/>
        </w:rPr>
      </w:pPr>
      <w:r>
        <w:rPr>
          <w:sz w:val="18"/>
        </w:rPr>
        <w:t>Major</w:t>
      </w:r>
      <w:r>
        <w:rPr>
          <w:spacing w:val="-3"/>
          <w:sz w:val="18"/>
        </w:rPr>
        <w:t> </w:t>
      </w:r>
      <w:r>
        <w:rPr>
          <w:sz w:val="18"/>
        </w:rPr>
        <w:t>Hazard</w:t>
      </w:r>
      <w:r>
        <w:rPr>
          <w:spacing w:val="-3"/>
          <w:sz w:val="18"/>
        </w:rPr>
        <w:t> </w:t>
      </w:r>
      <w:r>
        <w:rPr>
          <w:sz w:val="18"/>
        </w:rPr>
        <w:t>Facilities Advisory</w:t>
      </w:r>
      <w:r>
        <w:rPr>
          <w:spacing w:val="-5"/>
          <w:sz w:val="18"/>
        </w:rPr>
        <w:t> </w:t>
      </w:r>
      <w:r>
        <w:rPr>
          <w:sz w:val="18"/>
        </w:rPr>
        <w:t>Committee,</w:t>
      </w:r>
      <w:r>
        <w:rPr>
          <w:spacing w:val="-5"/>
          <w:sz w:val="18"/>
        </w:rPr>
        <w:t> </w:t>
      </w:r>
      <w:r>
        <w:rPr>
          <w:sz w:val="18"/>
        </w:rPr>
        <w:t>2015. </w:t>
      </w:r>
      <w:r>
        <w:rPr>
          <w:i/>
          <w:sz w:val="18"/>
        </w:rPr>
        <w:t>Planning</w:t>
      </w:r>
      <w:r>
        <w:rPr>
          <w:i/>
          <w:spacing w:val="-5"/>
          <w:sz w:val="18"/>
        </w:rPr>
        <w:t> </w:t>
      </w:r>
      <w:r>
        <w:rPr>
          <w:i/>
          <w:sz w:val="18"/>
        </w:rPr>
        <w:t>and</w:t>
      </w:r>
      <w:r>
        <w:rPr>
          <w:i/>
          <w:spacing w:val="-3"/>
          <w:sz w:val="18"/>
        </w:rPr>
        <w:t> </w:t>
      </w:r>
      <w:r>
        <w:rPr>
          <w:i/>
          <w:sz w:val="18"/>
        </w:rPr>
        <w:t>Environment</w:t>
      </w:r>
      <w:r>
        <w:rPr>
          <w:i/>
          <w:spacing w:val="-3"/>
          <w:sz w:val="18"/>
        </w:rPr>
        <w:t> </w:t>
      </w:r>
      <w:r>
        <w:rPr>
          <w:i/>
          <w:sz w:val="18"/>
        </w:rPr>
        <w:t>Act</w:t>
      </w:r>
      <w:r>
        <w:rPr>
          <w:i/>
          <w:spacing w:val="-3"/>
          <w:sz w:val="18"/>
        </w:rPr>
        <w:t> </w:t>
      </w:r>
      <w:r>
        <w:rPr>
          <w:i/>
          <w:sz w:val="18"/>
        </w:rPr>
        <w:t>1987 -</w:t>
      </w:r>
      <w:r>
        <w:rPr>
          <w:i/>
          <w:spacing w:val="-3"/>
          <w:sz w:val="18"/>
        </w:rPr>
        <w:t> </w:t>
      </w:r>
      <w:r>
        <w:rPr>
          <w:i/>
          <w:sz w:val="18"/>
        </w:rPr>
        <w:t>Advisory</w:t>
      </w:r>
      <w:r>
        <w:rPr>
          <w:i/>
          <w:spacing w:val="-5"/>
          <w:sz w:val="18"/>
        </w:rPr>
        <w:t> </w:t>
      </w:r>
      <w:r>
        <w:rPr>
          <w:i/>
          <w:sz w:val="18"/>
        </w:rPr>
        <w:t>Committee Discussion Paper: Major Hazard Facilities</w:t>
      </w:r>
      <w:r>
        <w:rPr>
          <w:sz w:val="18"/>
        </w:rPr>
        <w:t>.</w:t>
      </w:r>
    </w:p>
    <w:p>
      <w:pPr>
        <w:spacing w:line="285" w:lineRule="auto" w:before="84"/>
        <w:ind w:left="232" w:right="374" w:firstLine="0"/>
        <w:jc w:val="left"/>
        <w:rPr>
          <w:sz w:val="18"/>
        </w:rPr>
      </w:pPr>
      <w:r>
        <w:rPr>
          <w:sz w:val="18"/>
        </w:rPr>
        <w:t>Major</w:t>
      </w:r>
      <w:r>
        <w:rPr>
          <w:spacing w:val="-3"/>
          <w:sz w:val="18"/>
        </w:rPr>
        <w:t> </w:t>
      </w:r>
      <w:r>
        <w:rPr>
          <w:sz w:val="18"/>
        </w:rPr>
        <w:t>Hazard</w:t>
      </w:r>
      <w:r>
        <w:rPr>
          <w:spacing w:val="-3"/>
          <w:sz w:val="18"/>
        </w:rPr>
        <w:t> </w:t>
      </w:r>
      <w:r>
        <w:rPr>
          <w:sz w:val="18"/>
        </w:rPr>
        <w:t>Facilities Advisory</w:t>
      </w:r>
      <w:r>
        <w:rPr>
          <w:spacing w:val="-5"/>
          <w:sz w:val="18"/>
        </w:rPr>
        <w:t> </w:t>
      </w:r>
      <w:r>
        <w:rPr>
          <w:sz w:val="18"/>
        </w:rPr>
        <w:t>Committee,</w:t>
      </w:r>
      <w:r>
        <w:rPr>
          <w:spacing w:val="-5"/>
          <w:sz w:val="18"/>
        </w:rPr>
        <w:t> </w:t>
      </w:r>
      <w:r>
        <w:rPr>
          <w:sz w:val="18"/>
        </w:rPr>
        <w:t>2016. </w:t>
      </w:r>
      <w:r>
        <w:rPr>
          <w:i/>
          <w:sz w:val="18"/>
        </w:rPr>
        <w:t>Planning</w:t>
      </w:r>
      <w:r>
        <w:rPr>
          <w:i/>
          <w:spacing w:val="-5"/>
          <w:sz w:val="18"/>
        </w:rPr>
        <w:t> </w:t>
      </w:r>
      <w:r>
        <w:rPr>
          <w:i/>
          <w:sz w:val="18"/>
        </w:rPr>
        <w:t>and</w:t>
      </w:r>
      <w:r>
        <w:rPr>
          <w:i/>
          <w:spacing w:val="-3"/>
          <w:sz w:val="18"/>
        </w:rPr>
        <w:t> </w:t>
      </w:r>
      <w:r>
        <w:rPr>
          <w:i/>
          <w:sz w:val="18"/>
        </w:rPr>
        <w:t>Environment Act</w:t>
      </w:r>
      <w:r>
        <w:rPr>
          <w:i/>
          <w:spacing w:val="-3"/>
          <w:sz w:val="18"/>
        </w:rPr>
        <w:t> </w:t>
      </w:r>
      <w:r>
        <w:rPr>
          <w:i/>
          <w:sz w:val="18"/>
        </w:rPr>
        <w:t>1987</w:t>
      </w:r>
      <w:r>
        <w:rPr>
          <w:i/>
          <w:spacing w:val="-3"/>
          <w:sz w:val="18"/>
        </w:rPr>
        <w:t> </w:t>
      </w:r>
      <w:r>
        <w:rPr>
          <w:i/>
          <w:sz w:val="18"/>
        </w:rPr>
        <w:t>Advisory</w:t>
      </w:r>
      <w:r>
        <w:rPr>
          <w:i/>
          <w:spacing w:val="-2"/>
          <w:sz w:val="18"/>
        </w:rPr>
        <w:t> </w:t>
      </w:r>
      <w:r>
        <w:rPr>
          <w:i/>
          <w:sz w:val="18"/>
        </w:rPr>
        <w:t>Committee</w:t>
      </w:r>
      <w:r>
        <w:rPr>
          <w:i/>
          <w:spacing w:val="-3"/>
          <w:sz w:val="18"/>
        </w:rPr>
        <w:t> </w:t>
      </w:r>
      <w:r>
        <w:rPr>
          <w:i/>
          <w:sz w:val="18"/>
        </w:rPr>
        <w:t>Final Report: Major Hazard Facilities</w:t>
      </w:r>
      <w:r>
        <w:rPr>
          <w:sz w:val="18"/>
        </w:rPr>
        <w:t>.</w:t>
      </w:r>
    </w:p>
    <w:p>
      <w:pPr>
        <w:spacing w:before="83"/>
        <w:ind w:left="232" w:right="0" w:firstLine="0"/>
        <w:jc w:val="left"/>
        <w:rPr>
          <w:sz w:val="18"/>
        </w:rPr>
      </w:pPr>
      <w:r>
        <w:rPr>
          <w:sz w:val="18"/>
        </w:rPr>
        <w:t>AEMO,</w:t>
      </w:r>
      <w:r>
        <w:rPr>
          <w:spacing w:val="-5"/>
          <w:sz w:val="18"/>
        </w:rPr>
        <w:t> </w:t>
      </w:r>
      <w:r>
        <w:rPr>
          <w:sz w:val="18"/>
        </w:rPr>
        <w:t>2017.</w:t>
      </w:r>
      <w:r>
        <w:rPr>
          <w:spacing w:val="-1"/>
          <w:sz w:val="18"/>
        </w:rPr>
        <w:t> </w:t>
      </w:r>
      <w:r>
        <w:rPr>
          <w:i/>
          <w:sz w:val="18"/>
        </w:rPr>
        <w:t>AEMO</w:t>
      </w:r>
      <w:r>
        <w:rPr>
          <w:i/>
          <w:spacing w:val="-4"/>
          <w:sz w:val="18"/>
        </w:rPr>
        <w:t> </w:t>
      </w:r>
      <w:r>
        <w:rPr>
          <w:i/>
          <w:sz w:val="18"/>
        </w:rPr>
        <w:t>Submission</w:t>
      </w:r>
      <w:r>
        <w:rPr>
          <w:i/>
          <w:spacing w:val="-2"/>
          <w:sz w:val="18"/>
        </w:rPr>
        <w:t> </w:t>
      </w:r>
      <w:r>
        <w:rPr>
          <w:i/>
          <w:sz w:val="18"/>
        </w:rPr>
        <w:t>on</w:t>
      </w:r>
      <w:r>
        <w:rPr>
          <w:i/>
          <w:spacing w:val="-3"/>
          <w:sz w:val="18"/>
        </w:rPr>
        <w:t> </w:t>
      </w:r>
      <w:r>
        <w:rPr>
          <w:i/>
          <w:sz w:val="18"/>
        </w:rPr>
        <w:t>Victorian</w:t>
      </w:r>
      <w:r>
        <w:rPr>
          <w:i/>
          <w:spacing w:val="-3"/>
          <w:sz w:val="18"/>
        </w:rPr>
        <w:t> </w:t>
      </w:r>
      <w:r>
        <w:rPr>
          <w:i/>
          <w:sz w:val="18"/>
        </w:rPr>
        <w:t>Gas</w:t>
      </w:r>
      <w:r>
        <w:rPr>
          <w:i/>
          <w:spacing w:val="-2"/>
          <w:sz w:val="18"/>
        </w:rPr>
        <w:t> </w:t>
      </w:r>
      <w:r>
        <w:rPr>
          <w:i/>
          <w:sz w:val="18"/>
        </w:rPr>
        <w:t>Network</w:t>
      </w:r>
      <w:r>
        <w:rPr>
          <w:i/>
          <w:spacing w:val="-3"/>
          <w:sz w:val="18"/>
        </w:rPr>
        <w:t> </w:t>
      </w:r>
      <w:r>
        <w:rPr>
          <w:i/>
          <w:sz w:val="18"/>
        </w:rPr>
        <w:t>Safety</w:t>
      </w:r>
      <w:r>
        <w:rPr>
          <w:i/>
          <w:spacing w:val="-4"/>
          <w:sz w:val="18"/>
        </w:rPr>
        <w:t> </w:t>
      </w:r>
      <w:r>
        <w:rPr>
          <w:i/>
          <w:sz w:val="18"/>
        </w:rPr>
        <w:t>Framework</w:t>
      </w:r>
      <w:r>
        <w:rPr>
          <w:i/>
          <w:spacing w:val="-3"/>
          <w:sz w:val="18"/>
        </w:rPr>
        <w:t> </w:t>
      </w:r>
      <w:r>
        <w:rPr>
          <w:i/>
          <w:spacing w:val="-2"/>
          <w:sz w:val="18"/>
        </w:rPr>
        <w:t>Review</w:t>
      </w:r>
      <w:r>
        <w:rPr>
          <w:spacing w:val="-2"/>
          <w:sz w:val="18"/>
        </w:rPr>
        <w:t>.</w:t>
      </w:r>
    </w:p>
    <w:p>
      <w:pPr>
        <w:spacing w:line="381" w:lineRule="auto" w:before="122"/>
        <w:ind w:left="232" w:right="525" w:firstLine="0"/>
        <w:jc w:val="left"/>
        <w:rPr>
          <w:sz w:val="18"/>
        </w:rPr>
      </w:pPr>
      <w:r>
        <w:rPr>
          <w:sz w:val="18"/>
        </w:rPr>
        <w:t>APA</w:t>
      </w:r>
      <w:r>
        <w:rPr>
          <w:spacing w:val="-3"/>
          <w:sz w:val="18"/>
        </w:rPr>
        <w:t> </w:t>
      </w:r>
      <w:r>
        <w:rPr>
          <w:sz w:val="18"/>
        </w:rPr>
        <w:t>VTS,</w:t>
      </w:r>
      <w:r>
        <w:rPr>
          <w:spacing w:val="-3"/>
          <w:sz w:val="18"/>
        </w:rPr>
        <w:t> </w:t>
      </w:r>
      <w:r>
        <w:rPr>
          <w:sz w:val="18"/>
        </w:rPr>
        <w:t>2017.</w:t>
      </w:r>
      <w:r>
        <w:rPr>
          <w:spacing w:val="-2"/>
          <w:sz w:val="18"/>
        </w:rPr>
        <w:t> </w:t>
      </w:r>
      <w:r>
        <w:rPr>
          <w:i/>
          <w:sz w:val="18"/>
        </w:rPr>
        <w:t>Review</w:t>
      </w:r>
      <w:r>
        <w:rPr>
          <w:i/>
          <w:spacing w:val="-6"/>
          <w:sz w:val="18"/>
        </w:rPr>
        <w:t> </w:t>
      </w:r>
      <w:r>
        <w:rPr>
          <w:i/>
          <w:sz w:val="18"/>
        </w:rPr>
        <w:t>of</w:t>
      </w:r>
      <w:r>
        <w:rPr>
          <w:i/>
          <w:spacing w:val="-3"/>
          <w:sz w:val="18"/>
        </w:rPr>
        <w:t> </w:t>
      </w:r>
      <w:r>
        <w:rPr>
          <w:i/>
          <w:sz w:val="18"/>
        </w:rPr>
        <w:t>Victoria’s</w:t>
      </w:r>
      <w:r>
        <w:rPr>
          <w:i/>
          <w:spacing w:val="-2"/>
          <w:sz w:val="18"/>
        </w:rPr>
        <w:t> </w:t>
      </w:r>
      <w:r>
        <w:rPr>
          <w:i/>
          <w:sz w:val="18"/>
        </w:rPr>
        <w:t>Electricity</w:t>
      </w:r>
      <w:r>
        <w:rPr>
          <w:i/>
          <w:spacing w:val="-4"/>
          <w:sz w:val="18"/>
        </w:rPr>
        <w:t> </w:t>
      </w:r>
      <w:r>
        <w:rPr>
          <w:i/>
          <w:sz w:val="18"/>
        </w:rPr>
        <w:t>and</w:t>
      </w:r>
      <w:r>
        <w:rPr>
          <w:i/>
          <w:spacing w:val="-3"/>
          <w:sz w:val="18"/>
        </w:rPr>
        <w:t> </w:t>
      </w:r>
      <w:r>
        <w:rPr>
          <w:i/>
          <w:sz w:val="18"/>
        </w:rPr>
        <w:t>Gas</w:t>
      </w:r>
      <w:r>
        <w:rPr>
          <w:i/>
          <w:spacing w:val="-2"/>
          <w:sz w:val="18"/>
        </w:rPr>
        <w:t> </w:t>
      </w:r>
      <w:r>
        <w:rPr>
          <w:i/>
          <w:sz w:val="18"/>
        </w:rPr>
        <w:t>Network</w:t>
      </w:r>
      <w:r>
        <w:rPr>
          <w:i/>
          <w:spacing w:val="-2"/>
          <w:sz w:val="18"/>
        </w:rPr>
        <w:t> </w:t>
      </w:r>
      <w:r>
        <w:rPr>
          <w:i/>
          <w:sz w:val="18"/>
        </w:rPr>
        <w:t>Safety</w:t>
      </w:r>
      <w:r>
        <w:rPr>
          <w:i/>
          <w:spacing w:val="-4"/>
          <w:sz w:val="18"/>
        </w:rPr>
        <w:t> </w:t>
      </w:r>
      <w:r>
        <w:rPr>
          <w:i/>
          <w:sz w:val="18"/>
        </w:rPr>
        <w:t>Framework -</w:t>
      </w:r>
      <w:r>
        <w:rPr>
          <w:i/>
          <w:spacing w:val="-5"/>
          <w:sz w:val="18"/>
        </w:rPr>
        <w:t> </w:t>
      </w:r>
      <w:r>
        <w:rPr>
          <w:i/>
          <w:sz w:val="18"/>
        </w:rPr>
        <w:t>Supplementary</w:t>
      </w:r>
      <w:r>
        <w:rPr>
          <w:i/>
          <w:spacing w:val="-2"/>
          <w:sz w:val="18"/>
        </w:rPr>
        <w:t> </w:t>
      </w:r>
      <w:r>
        <w:rPr>
          <w:i/>
          <w:sz w:val="18"/>
        </w:rPr>
        <w:t>Issues</w:t>
      </w:r>
      <w:r>
        <w:rPr>
          <w:i/>
          <w:spacing w:val="-5"/>
          <w:sz w:val="18"/>
        </w:rPr>
        <w:t> </w:t>
      </w:r>
      <w:r>
        <w:rPr>
          <w:i/>
          <w:sz w:val="18"/>
        </w:rPr>
        <w:t>Paper: APA VTS Operations (Australia) Pty Ltd Submission</w:t>
      </w:r>
      <w:r>
        <w:rPr>
          <w:sz w:val="18"/>
        </w:rPr>
        <w:t>.</w:t>
      </w:r>
    </w:p>
    <w:p>
      <w:pPr>
        <w:spacing w:line="206" w:lineRule="exact" w:before="0"/>
        <w:ind w:left="232" w:right="0" w:firstLine="0"/>
        <w:jc w:val="left"/>
        <w:rPr>
          <w:sz w:val="18"/>
        </w:rPr>
      </w:pPr>
      <w:r>
        <w:rPr>
          <w:sz w:val="18"/>
        </w:rPr>
        <w:t>AusNet</w:t>
      </w:r>
      <w:r>
        <w:rPr>
          <w:spacing w:val="-3"/>
          <w:sz w:val="18"/>
        </w:rPr>
        <w:t> </w:t>
      </w:r>
      <w:r>
        <w:rPr>
          <w:sz w:val="18"/>
        </w:rPr>
        <w:t>Services,</w:t>
      </w:r>
      <w:r>
        <w:rPr>
          <w:spacing w:val="-3"/>
          <w:sz w:val="18"/>
        </w:rPr>
        <w:t> </w:t>
      </w:r>
      <w:r>
        <w:rPr>
          <w:sz w:val="18"/>
        </w:rPr>
        <w:t>2017.</w:t>
      </w:r>
      <w:r>
        <w:rPr>
          <w:spacing w:val="-2"/>
          <w:sz w:val="18"/>
        </w:rPr>
        <w:t> </w:t>
      </w:r>
      <w:r>
        <w:rPr>
          <w:i/>
          <w:sz w:val="18"/>
        </w:rPr>
        <w:t>Safety</w:t>
      </w:r>
      <w:r>
        <w:rPr>
          <w:i/>
          <w:spacing w:val="-4"/>
          <w:sz w:val="18"/>
        </w:rPr>
        <w:t> </w:t>
      </w:r>
      <w:r>
        <w:rPr>
          <w:i/>
          <w:sz w:val="18"/>
        </w:rPr>
        <w:t>Review</w:t>
      </w:r>
      <w:r>
        <w:rPr>
          <w:i/>
          <w:spacing w:val="-3"/>
          <w:sz w:val="18"/>
        </w:rPr>
        <w:t> </w:t>
      </w:r>
      <w:r>
        <w:rPr>
          <w:i/>
          <w:sz w:val="18"/>
        </w:rPr>
        <w:t>Submission-</w:t>
      </w:r>
      <w:r>
        <w:rPr>
          <w:i/>
          <w:spacing w:val="-3"/>
          <w:sz w:val="18"/>
        </w:rPr>
        <w:t> </w:t>
      </w:r>
      <w:r>
        <w:rPr>
          <w:i/>
          <w:spacing w:val="-4"/>
          <w:sz w:val="18"/>
        </w:rPr>
        <w:t>Gas</w:t>
      </w:r>
      <w:r>
        <w:rPr>
          <w:spacing w:val="-4"/>
          <w:sz w:val="18"/>
        </w:rPr>
        <w:t>.</w:t>
      </w:r>
    </w:p>
    <w:p>
      <w:pPr>
        <w:spacing w:line="379" w:lineRule="auto" w:before="122"/>
        <w:ind w:left="232" w:right="3058" w:firstLine="0"/>
        <w:jc w:val="left"/>
        <w:rPr>
          <w:sz w:val="18"/>
        </w:rPr>
      </w:pPr>
      <w:r>
        <w:rPr>
          <w:sz w:val="18"/>
        </w:rPr>
        <w:t>Australia/New</w:t>
      </w:r>
      <w:r>
        <w:rPr>
          <w:spacing w:val="-7"/>
          <w:sz w:val="18"/>
        </w:rPr>
        <w:t> </w:t>
      </w:r>
      <w:r>
        <w:rPr>
          <w:sz w:val="18"/>
        </w:rPr>
        <w:t>Zealand</w:t>
      </w:r>
      <w:r>
        <w:rPr>
          <w:spacing w:val="-6"/>
          <w:sz w:val="18"/>
        </w:rPr>
        <w:t> </w:t>
      </w:r>
      <w:r>
        <w:rPr>
          <w:sz w:val="18"/>
        </w:rPr>
        <w:t>Standard,</w:t>
      </w:r>
      <w:r>
        <w:rPr>
          <w:spacing w:val="-4"/>
          <w:sz w:val="18"/>
        </w:rPr>
        <w:t> </w:t>
      </w:r>
      <w:r>
        <w:rPr>
          <w:sz w:val="18"/>
        </w:rPr>
        <w:t>2008.</w:t>
      </w:r>
      <w:r>
        <w:rPr>
          <w:spacing w:val="-1"/>
          <w:sz w:val="18"/>
        </w:rPr>
        <w:t> </w:t>
      </w:r>
      <w:r>
        <w:rPr>
          <w:i/>
          <w:sz w:val="18"/>
        </w:rPr>
        <w:t>Gas</w:t>
      </w:r>
      <w:r>
        <w:rPr>
          <w:i/>
          <w:spacing w:val="-3"/>
          <w:sz w:val="18"/>
        </w:rPr>
        <w:t> </w:t>
      </w:r>
      <w:r>
        <w:rPr>
          <w:i/>
          <w:sz w:val="18"/>
        </w:rPr>
        <w:t>distribution</w:t>
      </w:r>
      <w:r>
        <w:rPr>
          <w:i/>
          <w:spacing w:val="-4"/>
          <w:sz w:val="18"/>
        </w:rPr>
        <w:t> </w:t>
      </w:r>
      <w:r>
        <w:rPr>
          <w:i/>
          <w:sz w:val="18"/>
        </w:rPr>
        <w:t>networks:</w:t>
      </w:r>
      <w:r>
        <w:rPr>
          <w:i/>
          <w:spacing w:val="-6"/>
          <w:sz w:val="18"/>
        </w:rPr>
        <w:t> </w:t>
      </w:r>
      <w:r>
        <w:rPr>
          <w:i/>
          <w:sz w:val="18"/>
        </w:rPr>
        <w:t>AS/NZS</w:t>
      </w:r>
      <w:r>
        <w:rPr>
          <w:i/>
          <w:spacing w:val="-4"/>
          <w:sz w:val="18"/>
        </w:rPr>
        <w:t> </w:t>
      </w:r>
      <w:r>
        <w:rPr>
          <w:i/>
          <w:sz w:val="18"/>
        </w:rPr>
        <w:t>4645</w:t>
      </w:r>
      <w:r>
        <w:rPr>
          <w:sz w:val="18"/>
        </w:rPr>
        <w:t>. Australian Standard, 2008. </w:t>
      </w:r>
      <w:r>
        <w:rPr>
          <w:i/>
          <w:sz w:val="18"/>
        </w:rPr>
        <w:t>Pipelines- Gas and liquid petroleum: AS 2885</w:t>
      </w:r>
      <w:r>
        <w:rPr>
          <w:sz w:val="18"/>
        </w:rPr>
        <w:t>.</w:t>
      </w:r>
    </w:p>
    <w:p>
      <w:pPr>
        <w:spacing w:line="290" w:lineRule="auto" w:before="1"/>
        <w:ind w:left="232" w:right="374" w:firstLine="0"/>
        <w:jc w:val="left"/>
        <w:rPr>
          <w:sz w:val="18"/>
        </w:rPr>
      </w:pPr>
      <w:r>
        <w:rPr>
          <w:sz w:val="18"/>
        </w:rPr>
        <w:t>CitiPower</w:t>
      </w:r>
      <w:r>
        <w:rPr>
          <w:spacing w:val="-3"/>
          <w:sz w:val="18"/>
        </w:rPr>
        <w:t> </w:t>
      </w:r>
      <w:r>
        <w:rPr>
          <w:sz w:val="18"/>
        </w:rPr>
        <w:t>&amp;</w:t>
      </w:r>
      <w:r>
        <w:rPr>
          <w:spacing w:val="-3"/>
          <w:sz w:val="18"/>
        </w:rPr>
        <w:t> </w:t>
      </w:r>
      <w:r>
        <w:rPr>
          <w:sz w:val="18"/>
        </w:rPr>
        <w:t>Powercor</w:t>
      </w:r>
      <w:r>
        <w:rPr>
          <w:spacing w:val="-3"/>
          <w:sz w:val="18"/>
        </w:rPr>
        <w:t> </w:t>
      </w:r>
      <w:r>
        <w:rPr>
          <w:sz w:val="18"/>
        </w:rPr>
        <w:t>Australia,</w:t>
      </w:r>
      <w:r>
        <w:rPr>
          <w:spacing w:val="-3"/>
          <w:sz w:val="18"/>
        </w:rPr>
        <w:t> </w:t>
      </w:r>
      <w:r>
        <w:rPr>
          <w:sz w:val="18"/>
        </w:rPr>
        <w:t>2017. </w:t>
      </w:r>
      <w:r>
        <w:rPr>
          <w:i/>
          <w:sz w:val="18"/>
        </w:rPr>
        <w:t>Additional</w:t>
      </w:r>
      <w:r>
        <w:rPr>
          <w:i/>
          <w:spacing w:val="-3"/>
          <w:sz w:val="18"/>
        </w:rPr>
        <w:t> </w:t>
      </w:r>
      <w:r>
        <w:rPr>
          <w:i/>
          <w:sz w:val="18"/>
        </w:rPr>
        <w:t>Information</w:t>
      </w:r>
      <w:r>
        <w:rPr>
          <w:i/>
          <w:spacing w:val="-5"/>
          <w:sz w:val="18"/>
        </w:rPr>
        <w:t> </w:t>
      </w:r>
      <w:r>
        <w:rPr>
          <w:i/>
          <w:sz w:val="18"/>
        </w:rPr>
        <w:t>to</w:t>
      </w:r>
      <w:r>
        <w:rPr>
          <w:i/>
          <w:spacing w:val="-3"/>
          <w:sz w:val="18"/>
        </w:rPr>
        <w:t> </w:t>
      </w:r>
      <w:r>
        <w:rPr>
          <w:i/>
          <w:sz w:val="18"/>
        </w:rPr>
        <w:t>Support</w:t>
      </w:r>
      <w:r>
        <w:rPr>
          <w:i/>
          <w:spacing w:val="-3"/>
          <w:sz w:val="18"/>
        </w:rPr>
        <w:t> </w:t>
      </w:r>
      <w:r>
        <w:rPr>
          <w:i/>
          <w:sz w:val="18"/>
        </w:rPr>
        <w:t>the</w:t>
      </w:r>
      <w:r>
        <w:rPr>
          <w:i/>
          <w:spacing w:val="-3"/>
          <w:sz w:val="18"/>
        </w:rPr>
        <w:t> </w:t>
      </w:r>
      <w:r>
        <w:rPr>
          <w:i/>
          <w:sz w:val="18"/>
        </w:rPr>
        <w:t>Review</w:t>
      </w:r>
      <w:r>
        <w:rPr>
          <w:i/>
          <w:spacing w:val="-6"/>
          <w:sz w:val="18"/>
        </w:rPr>
        <w:t> </w:t>
      </w:r>
      <w:r>
        <w:rPr>
          <w:i/>
          <w:sz w:val="18"/>
        </w:rPr>
        <w:t>of</w:t>
      </w:r>
      <w:r>
        <w:rPr>
          <w:i/>
          <w:spacing w:val="-3"/>
          <w:sz w:val="18"/>
        </w:rPr>
        <w:t> </w:t>
      </w:r>
      <w:r>
        <w:rPr>
          <w:i/>
          <w:sz w:val="18"/>
        </w:rPr>
        <w:t>Victoria's</w:t>
      </w:r>
      <w:r>
        <w:rPr>
          <w:i/>
          <w:spacing w:val="-2"/>
          <w:sz w:val="18"/>
        </w:rPr>
        <w:t> </w:t>
      </w:r>
      <w:r>
        <w:rPr>
          <w:i/>
          <w:sz w:val="18"/>
        </w:rPr>
        <w:t>Electricity</w:t>
      </w:r>
      <w:r>
        <w:rPr>
          <w:i/>
          <w:spacing w:val="-4"/>
          <w:sz w:val="18"/>
        </w:rPr>
        <w:t> </w:t>
      </w:r>
      <w:r>
        <w:rPr>
          <w:i/>
          <w:sz w:val="18"/>
        </w:rPr>
        <w:t>Network Safety Framework</w:t>
      </w:r>
      <w:r>
        <w:rPr>
          <w:sz w:val="18"/>
        </w:rPr>
        <w:t>.</w:t>
      </w:r>
    </w:p>
    <w:p>
      <w:pPr>
        <w:spacing w:line="379" w:lineRule="auto" w:before="78"/>
        <w:ind w:left="232" w:right="3058" w:firstLine="0"/>
        <w:jc w:val="left"/>
        <w:rPr>
          <w:sz w:val="18"/>
        </w:rPr>
      </w:pPr>
      <w:r>
        <w:rPr>
          <w:i/>
          <w:sz w:val="18"/>
        </w:rPr>
        <w:t>Dial</w:t>
      </w:r>
      <w:r>
        <w:rPr>
          <w:i/>
          <w:spacing w:val="-3"/>
          <w:sz w:val="18"/>
        </w:rPr>
        <w:t> </w:t>
      </w:r>
      <w:r>
        <w:rPr>
          <w:i/>
          <w:sz w:val="18"/>
        </w:rPr>
        <w:t>Before</w:t>
      </w:r>
      <w:r>
        <w:rPr>
          <w:i/>
          <w:spacing w:val="-3"/>
          <w:sz w:val="18"/>
        </w:rPr>
        <w:t> </w:t>
      </w:r>
      <w:r>
        <w:rPr>
          <w:i/>
          <w:sz w:val="18"/>
        </w:rPr>
        <w:t>You</w:t>
      </w:r>
      <w:r>
        <w:rPr>
          <w:i/>
          <w:spacing w:val="-3"/>
          <w:sz w:val="18"/>
        </w:rPr>
        <w:t> </w:t>
      </w:r>
      <w:r>
        <w:rPr>
          <w:i/>
          <w:sz w:val="18"/>
        </w:rPr>
        <w:t>Dig</w:t>
      </w:r>
      <w:r>
        <w:rPr>
          <w:sz w:val="18"/>
        </w:rPr>
        <w:t>,</w:t>
      </w:r>
      <w:r>
        <w:rPr>
          <w:spacing w:val="-5"/>
          <w:sz w:val="18"/>
        </w:rPr>
        <w:t> </w:t>
      </w:r>
      <w:r>
        <w:rPr>
          <w:sz w:val="18"/>
        </w:rPr>
        <w:t>2017.</w:t>
      </w:r>
      <w:r>
        <w:rPr>
          <w:spacing w:val="-2"/>
          <w:sz w:val="18"/>
        </w:rPr>
        <w:t> </w:t>
      </w:r>
      <w:r>
        <w:rPr>
          <w:i/>
          <w:sz w:val="18"/>
        </w:rPr>
        <w:t>Best</w:t>
      </w:r>
      <w:r>
        <w:rPr>
          <w:i/>
          <w:spacing w:val="-3"/>
          <w:sz w:val="18"/>
        </w:rPr>
        <w:t> </w:t>
      </w:r>
      <w:r>
        <w:rPr>
          <w:i/>
          <w:sz w:val="18"/>
        </w:rPr>
        <w:t>Practice</w:t>
      </w:r>
      <w:r>
        <w:rPr>
          <w:i/>
          <w:spacing w:val="-3"/>
          <w:sz w:val="18"/>
        </w:rPr>
        <w:t> </w:t>
      </w:r>
      <w:r>
        <w:rPr>
          <w:i/>
          <w:sz w:val="18"/>
        </w:rPr>
        <w:t>Guide</w:t>
      </w:r>
      <w:r>
        <w:rPr>
          <w:i/>
          <w:spacing w:val="-3"/>
          <w:sz w:val="18"/>
        </w:rPr>
        <w:t> </w:t>
      </w:r>
      <w:r>
        <w:rPr>
          <w:i/>
          <w:sz w:val="18"/>
        </w:rPr>
        <w:t>for</w:t>
      </w:r>
      <w:r>
        <w:rPr>
          <w:i/>
          <w:spacing w:val="-3"/>
          <w:sz w:val="18"/>
        </w:rPr>
        <w:t> </w:t>
      </w:r>
      <w:r>
        <w:rPr>
          <w:i/>
          <w:sz w:val="18"/>
        </w:rPr>
        <w:t>Locating</w:t>
      </w:r>
      <w:r>
        <w:rPr>
          <w:i/>
          <w:spacing w:val="-5"/>
          <w:sz w:val="18"/>
        </w:rPr>
        <w:t> </w:t>
      </w:r>
      <w:r>
        <w:rPr>
          <w:i/>
          <w:sz w:val="18"/>
        </w:rPr>
        <w:t>Underground</w:t>
      </w:r>
      <w:r>
        <w:rPr>
          <w:i/>
          <w:spacing w:val="-3"/>
          <w:sz w:val="18"/>
        </w:rPr>
        <w:t> </w:t>
      </w:r>
      <w:r>
        <w:rPr>
          <w:i/>
          <w:sz w:val="18"/>
        </w:rPr>
        <w:t>Services</w:t>
      </w:r>
      <w:r>
        <w:rPr>
          <w:sz w:val="18"/>
        </w:rPr>
        <w:t>. ESV, 2016a. </w:t>
      </w:r>
      <w:r>
        <w:rPr>
          <w:i/>
          <w:sz w:val="18"/>
        </w:rPr>
        <w:t>Energy Safe Victoria Annual Report 2015-16</w:t>
      </w:r>
      <w:r>
        <w:rPr>
          <w:sz w:val="18"/>
        </w:rPr>
        <w:t>.</w:t>
      </w:r>
    </w:p>
    <w:p>
      <w:pPr>
        <w:spacing w:before="1"/>
        <w:ind w:left="232" w:right="0" w:firstLine="0"/>
        <w:jc w:val="left"/>
        <w:rPr>
          <w:sz w:val="18"/>
        </w:rPr>
      </w:pPr>
      <w:r>
        <w:rPr>
          <w:sz w:val="18"/>
        </w:rPr>
        <w:t>ESV,</w:t>
      </w:r>
      <w:r>
        <w:rPr>
          <w:spacing w:val="-6"/>
          <w:sz w:val="18"/>
        </w:rPr>
        <w:t> </w:t>
      </w:r>
      <w:r>
        <w:rPr>
          <w:sz w:val="18"/>
        </w:rPr>
        <w:t>2016b.</w:t>
      </w:r>
      <w:r>
        <w:rPr>
          <w:spacing w:val="-2"/>
          <w:sz w:val="18"/>
        </w:rPr>
        <w:t> </w:t>
      </w:r>
      <w:r>
        <w:rPr>
          <w:i/>
          <w:sz w:val="18"/>
        </w:rPr>
        <w:t>GPI</w:t>
      </w:r>
      <w:r>
        <w:rPr>
          <w:i/>
          <w:spacing w:val="-3"/>
          <w:sz w:val="18"/>
        </w:rPr>
        <w:t> </w:t>
      </w:r>
      <w:r>
        <w:rPr>
          <w:i/>
          <w:sz w:val="18"/>
        </w:rPr>
        <w:t>Safety</w:t>
      </w:r>
      <w:r>
        <w:rPr>
          <w:i/>
          <w:spacing w:val="-2"/>
          <w:sz w:val="18"/>
        </w:rPr>
        <w:t> </w:t>
      </w:r>
      <w:r>
        <w:rPr>
          <w:i/>
          <w:sz w:val="18"/>
        </w:rPr>
        <w:t>Management</w:t>
      </w:r>
      <w:r>
        <w:rPr>
          <w:i/>
          <w:spacing w:val="-3"/>
          <w:sz w:val="18"/>
        </w:rPr>
        <w:t> </w:t>
      </w:r>
      <w:r>
        <w:rPr>
          <w:i/>
          <w:sz w:val="18"/>
        </w:rPr>
        <w:t>Report</w:t>
      </w:r>
      <w:r>
        <w:rPr>
          <w:i/>
          <w:spacing w:val="-3"/>
          <w:sz w:val="18"/>
        </w:rPr>
        <w:t> </w:t>
      </w:r>
      <w:r>
        <w:rPr>
          <w:i/>
          <w:sz w:val="18"/>
        </w:rPr>
        <w:t>2014/15-</w:t>
      </w:r>
      <w:r>
        <w:rPr>
          <w:i/>
          <w:spacing w:val="-3"/>
          <w:sz w:val="18"/>
        </w:rPr>
        <w:t> </w:t>
      </w:r>
      <w:r>
        <w:rPr>
          <w:i/>
          <w:sz w:val="18"/>
        </w:rPr>
        <w:t>Executive</w:t>
      </w:r>
      <w:r>
        <w:rPr>
          <w:i/>
          <w:spacing w:val="-3"/>
          <w:sz w:val="18"/>
        </w:rPr>
        <w:t> </w:t>
      </w:r>
      <w:r>
        <w:rPr>
          <w:i/>
          <w:spacing w:val="-2"/>
          <w:sz w:val="18"/>
        </w:rPr>
        <w:t>Briefing</w:t>
      </w:r>
      <w:r>
        <w:rPr>
          <w:spacing w:val="-2"/>
          <w:sz w:val="18"/>
        </w:rPr>
        <w:t>.</w:t>
      </w:r>
    </w:p>
    <w:p>
      <w:pPr>
        <w:spacing w:line="290" w:lineRule="auto" w:before="122"/>
        <w:ind w:left="232" w:right="0" w:firstLine="0"/>
        <w:jc w:val="left"/>
        <w:rPr>
          <w:sz w:val="18"/>
        </w:rPr>
      </w:pPr>
      <w:r>
        <w:rPr>
          <w:sz w:val="18"/>
        </w:rPr>
        <w:t>Hayes,</w:t>
      </w:r>
      <w:r>
        <w:rPr>
          <w:spacing w:val="-2"/>
          <w:sz w:val="18"/>
        </w:rPr>
        <w:t> </w:t>
      </w:r>
      <w:r>
        <w:rPr>
          <w:sz w:val="18"/>
        </w:rPr>
        <w:t>J.</w:t>
      </w:r>
      <w:r>
        <w:rPr>
          <w:spacing w:val="-4"/>
          <w:sz w:val="18"/>
        </w:rPr>
        <w:t> </w:t>
      </w:r>
      <w:r>
        <w:rPr>
          <w:sz w:val="18"/>
        </w:rPr>
        <w:t>&amp;</w:t>
      </w:r>
      <w:r>
        <w:rPr>
          <w:spacing w:val="-2"/>
          <w:sz w:val="18"/>
        </w:rPr>
        <w:t> </w:t>
      </w:r>
      <w:r>
        <w:rPr>
          <w:sz w:val="18"/>
        </w:rPr>
        <w:t>McDermott,</w:t>
      </w:r>
      <w:r>
        <w:rPr>
          <w:spacing w:val="-2"/>
          <w:sz w:val="18"/>
        </w:rPr>
        <w:t> </w:t>
      </w:r>
      <w:r>
        <w:rPr>
          <w:sz w:val="18"/>
        </w:rPr>
        <w:t>V.,</w:t>
      </w:r>
      <w:r>
        <w:rPr>
          <w:spacing w:val="-2"/>
          <w:sz w:val="18"/>
        </w:rPr>
        <w:t> </w:t>
      </w:r>
      <w:r>
        <w:rPr>
          <w:sz w:val="18"/>
        </w:rPr>
        <w:t>2016. </w:t>
      </w:r>
      <w:r>
        <w:rPr>
          <w:i/>
          <w:sz w:val="18"/>
        </w:rPr>
        <w:t>'We're</w:t>
      </w:r>
      <w:r>
        <w:rPr>
          <w:i/>
          <w:spacing w:val="-4"/>
          <w:sz w:val="18"/>
        </w:rPr>
        <w:t> </w:t>
      </w:r>
      <w:r>
        <w:rPr>
          <w:i/>
          <w:sz w:val="18"/>
        </w:rPr>
        <w:t>still</w:t>
      </w:r>
      <w:r>
        <w:rPr>
          <w:i/>
          <w:spacing w:val="-2"/>
          <w:sz w:val="18"/>
        </w:rPr>
        <w:t> </w:t>
      </w:r>
      <w:r>
        <w:rPr>
          <w:i/>
          <w:sz w:val="18"/>
        </w:rPr>
        <w:t>hitting</w:t>
      </w:r>
      <w:r>
        <w:rPr>
          <w:i/>
          <w:spacing w:val="-2"/>
          <w:sz w:val="18"/>
        </w:rPr>
        <w:t> </w:t>
      </w:r>
      <w:r>
        <w:rPr>
          <w:i/>
          <w:sz w:val="18"/>
        </w:rPr>
        <w:t>things':</w:t>
      </w:r>
      <w:r>
        <w:rPr>
          <w:i/>
          <w:spacing w:val="-2"/>
          <w:sz w:val="18"/>
        </w:rPr>
        <w:t> </w:t>
      </w:r>
      <w:r>
        <w:rPr>
          <w:i/>
          <w:sz w:val="18"/>
        </w:rPr>
        <w:t>The</w:t>
      </w:r>
      <w:r>
        <w:rPr>
          <w:i/>
          <w:spacing w:val="-2"/>
          <w:sz w:val="18"/>
        </w:rPr>
        <w:t> </w:t>
      </w:r>
      <w:r>
        <w:rPr>
          <w:i/>
          <w:sz w:val="18"/>
        </w:rPr>
        <w:t>effectiveness</w:t>
      </w:r>
      <w:r>
        <w:rPr>
          <w:i/>
          <w:spacing w:val="-1"/>
          <w:sz w:val="18"/>
        </w:rPr>
        <w:t> </w:t>
      </w:r>
      <w:r>
        <w:rPr>
          <w:i/>
          <w:sz w:val="18"/>
        </w:rPr>
        <w:t>of</w:t>
      </w:r>
      <w:r>
        <w:rPr>
          <w:i/>
          <w:spacing w:val="-2"/>
          <w:sz w:val="18"/>
        </w:rPr>
        <w:t> </w:t>
      </w:r>
      <w:r>
        <w:rPr>
          <w:i/>
          <w:sz w:val="18"/>
        </w:rPr>
        <w:t>third</w:t>
      </w:r>
      <w:r>
        <w:rPr>
          <w:i/>
          <w:spacing w:val="-2"/>
          <w:sz w:val="18"/>
        </w:rPr>
        <w:t> </w:t>
      </w:r>
      <w:r>
        <w:rPr>
          <w:i/>
          <w:sz w:val="18"/>
        </w:rPr>
        <w:t>party</w:t>
      </w:r>
      <w:r>
        <w:rPr>
          <w:i/>
          <w:spacing w:val="-3"/>
          <w:sz w:val="18"/>
        </w:rPr>
        <w:t> </w:t>
      </w:r>
      <w:r>
        <w:rPr>
          <w:i/>
          <w:sz w:val="18"/>
        </w:rPr>
        <w:t>processes</w:t>
      </w:r>
      <w:r>
        <w:rPr>
          <w:i/>
          <w:spacing w:val="-1"/>
          <w:sz w:val="18"/>
        </w:rPr>
        <w:t> </w:t>
      </w:r>
      <w:r>
        <w:rPr>
          <w:i/>
          <w:sz w:val="18"/>
        </w:rPr>
        <w:t>for</w:t>
      </w:r>
      <w:r>
        <w:rPr>
          <w:i/>
          <w:spacing w:val="-2"/>
          <w:sz w:val="18"/>
        </w:rPr>
        <w:t> </w:t>
      </w:r>
      <w:r>
        <w:rPr>
          <w:i/>
          <w:sz w:val="18"/>
        </w:rPr>
        <w:t>pipeline</w:t>
      </w:r>
      <w:r>
        <w:rPr>
          <w:i/>
          <w:spacing w:val="-4"/>
          <w:sz w:val="18"/>
        </w:rPr>
        <w:t> </w:t>
      </w:r>
      <w:r>
        <w:rPr>
          <w:i/>
          <w:sz w:val="18"/>
        </w:rPr>
        <w:t>strike prevention. </w:t>
      </w:r>
      <w:r>
        <w:rPr>
          <w:sz w:val="18"/>
        </w:rPr>
        <w:t>New York, American Society of Mechanical Engineers, pp. 1-10.</w:t>
      </w:r>
    </w:p>
    <w:p>
      <w:pPr>
        <w:spacing w:line="381" w:lineRule="auto" w:before="75"/>
        <w:ind w:left="232" w:right="3058" w:firstLine="0"/>
        <w:jc w:val="left"/>
        <w:rPr>
          <w:sz w:val="18"/>
        </w:rPr>
      </w:pPr>
      <w:r>
        <w:rPr>
          <w:sz w:val="18"/>
        </w:rPr>
        <w:t>Jemena,</w:t>
      </w:r>
      <w:r>
        <w:rPr>
          <w:spacing w:val="-6"/>
          <w:sz w:val="18"/>
        </w:rPr>
        <w:t> </w:t>
      </w:r>
      <w:r>
        <w:rPr>
          <w:sz w:val="18"/>
        </w:rPr>
        <w:t>2017.</w:t>
      </w:r>
      <w:r>
        <w:rPr>
          <w:spacing w:val="-2"/>
          <w:sz w:val="18"/>
        </w:rPr>
        <w:t> </w:t>
      </w:r>
      <w:r>
        <w:rPr>
          <w:i/>
          <w:sz w:val="18"/>
        </w:rPr>
        <w:t>Submission-</w:t>
      </w:r>
      <w:r>
        <w:rPr>
          <w:i/>
          <w:spacing w:val="-4"/>
          <w:sz w:val="18"/>
        </w:rPr>
        <w:t> </w:t>
      </w:r>
      <w:r>
        <w:rPr>
          <w:i/>
          <w:sz w:val="18"/>
        </w:rPr>
        <w:t>Review</w:t>
      </w:r>
      <w:r>
        <w:rPr>
          <w:i/>
          <w:spacing w:val="-7"/>
          <w:sz w:val="18"/>
        </w:rPr>
        <w:t> </w:t>
      </w:r>
      <w:r>
        <w:rPr>
          <w:i/>
          <w:sz w:val="18"/>
        </w:rPr>
        <w:t>of</w:t>
      </w:r>
      <w:r>
        <w:rPr>
          <w:i/>
          <w:spacing w:val="-4"/>
          <w:sz w:val="18"/>
        </w:rPr>
        <w:t> </w:t>
      </w:r>
      <w:r>
        <w:rPr>
          <w:i/>
          <w:sz w:val="18"/>
        </w:rPr>
        <w:t>Victoria’s</w:t>
      </w:r>
      <w:r>
        <w:rPr>
          <w:i/>
          <w:spacing w:val="-3"/>
          <w:sz w:val="18"/>
        </w:rPr>
        <w:t> </w:t>
      </w:r>
      <w:r>
        <w:rPr>
          <w:i/>
          <w:sz w:val="18"/>
        </w:rPr>
        <w:t>Gas</w:t>
      </w:r>
      <w:r>
        <w:rPr>
          <w:i/>
          <w:spacing w:val="-3"/>
          <w:sz w:val="18"/>
        </w:rPr>
        <w:t> </w:t>
      </w:r>
      <w:r>
        <w:rPr>
          <w:i/>
          <w:sz w:val="18"/>
        </w:rPr>
        <w:t>Network</w:t>
      </w:r>
      <w:r>
        <w:rPr>
          <w:i/>
          <w:spacing w:val="-3"/>
          <w:sz w:val="18"/>
        </w:rPr>
        <w:t> </w:t>
      </w:r>
      <w:r>
        <w:rPr>
          <w:i/>
          <w:sz w:val="18"/>
        </w:rPr>
        <w:t>Safety</w:t>
      </w:r>
      <w:r>
        <w:rPr>
          <w:i/>
          <w:spacing w:val="-3"/>
          <w:sz w:val="18"/>
        </w:rPr>
        <w:t> </w:t>
      </w:r>
      <w:r>
        <w:rPr>
          <w:i/>
          <w:sz w:val="18"/>
        </w:rPr>
        <w:t>Framework</w:t>
      </w:r>
      <w:r>
        <w:rPr>
          <w:sz w:val="18"/>
        </w:rPr>
        <w:t>. Spiire, 2016a. </w:t>
      </w:r>
      <w:r>
        <w:rPr>
          <w:i/>
          <w:sz w:val="18"/>
        </w:rPr>
        <w:t>Land Development around Pipelines: Background Report</w:t>
      </w:r>
      <w:r>
        <w:rPr>
          <w:sz w:val="18"/>
        </w:rPr>
        <w:t>.</w:t>
      </w:r>
    </w:p>
    <w:p>
      <w:pPr>
        <w:spacing w:line="206" w:lineRule="exact" w:before="0"/>
        <w:ind w:left="232" w:right="0" w:firstLine="0"/>
        <w:jc w:val="left"/>
        <w:rPr>
          <w:sz w:val="18"/>
        </w:rPr>
      </w:pPr>
      <w:r>
        <w:rPr>
          <w:sz w:val="18"/>
        </w:rPr>
        <w:t>Spiire,</w:t>
      </w:r>
      <w:r>
        <w:rPr>
          <w:spacing w:val="-8"/>
          <w:sz w:val="18"/>
        </w:rPr>
        <w:t> </w:t>
      </w:r>
      <w:r>
        <w:rPr>
          <w:sz w:val="18"/>
        </w:rPr>
        <w:t>2016b.</w:t>
      </w:r>
      <w:r>
        <w:rPr>
          <w:spacing w:val="-3"/>
          <w:sz w:val="18"/>
        </w:rPr>
        <w:t> </w:t>
      </w:r>
      <w:r>
        <w:rPr>
          <w:i/>
          <w:sz w:val="18"/>
        </w:rPr>
        <w:t>Land</w:t>
      </w:r>
      <w:r>
        <w:rPr>
          <w:i/>
          <w:spacing w:val="-5"/>
          <w:sz w:val="18"/>
        </w:rPr>
        <w:t> </w:t>
      </w:r>
      <w:r>
        <w:rPr>
          <w:i/>
          <w:sz w:val="18"/>
        </w:rPr>
        <w:t>Development</w:t>
      </w:r>
      <w:r>
        <w:rPr>
          <w:i/>
          <w:spacing w:val="-4"/>
          <w:sz w:val="18"/>
        </w:rPr>
        <w:t> </w:t>
      </w:r>
      <w:r>
        <w:rPr>
          <w:i/>
          <w:sz w:val="18"/>
        </w:rPr>
        <w:t>around</w:t>
      </w:r>
      <w:r>
        <w:rPr>
          <w:i/>
          <w:spacing w:val="-2"/>
          <w:sz w:val="18"/>
        </w:rPr>
        <w:t> </w:t>
      </w:r>
      <w:r>
        <w:rPr>
          <w:i/>
          <w:sz w:val="18"/>
        </w:rPr>
        <w:t>Pipelines:</w:t>
      </w:r>
      <w:r>
        <w:rPr>
          <w:i/>
          <w:spacing w:val="-3"/>
          <w:sz w:val="18"/>
        </w:rPr>
        <w:t> </w:t>
      </w:r>
      <w:r>
        <w:rPr>
          <w:i/>
          <w:sz w:val="18"/>
        </w:rPr>
        <w:t>Options</w:t>
      </w:r>
      <w:r>
        <w:rPr>
          <w:i/>
          <w:spacing w:val="-4"/>
          <w:sz w:val="18"/>
        </w:rPr>
        <w:t> </w:t>
      </w:r>
      <w:r>
        <w:rPr>
          <w:i/>
          <w:spacing w:val="-2"/>
          <w:sz w:val="18"/>
        </w:rPr>
        <w:t>Report</w:t>
      </w:r>
      <w:r>
        <w:rPr>
          <w:spacing w:val="-2"/>
          <w:sz w:val="18"/>
        </w:rPr>
        <w:t>.</w:t>
      </w:r>
    </w:p>
    <w:p>
      <w:pPr>
        <w:spacing w:line="285" w:lineRule="auto" w:before="122"/>
        <w:ind w:left="232" w:right="0" w:firstLine="0"/>
        <w:jc w:val="left"/>
        <w:rPr>
          <w:sz w:val="18"/>
        </w:rPr>
      </w:pPr>
      <w:r>
        <w:rPr>
          <w:sz w:val="18"/>
        </w:rPr>
        <w:t>Victorian Planning Provisions, 2010. </w:t>
      </w:r>
      <w:r>
        <w:rPr>
          <w:i/>
          <w:sz w:val="18"/>
        </w:rPr>
        <w:t>Clause 19.03-6. </w:t>
      </w:r>
      <w:r>
        <w:rPr>
          <w:sz w:val="18"/>
        </w:rPr>
        <w:t>[Online]</w:t>
      </w:r>
      <w:r>
        <w:rPr>
          <w:spacing w:val="40"/>
          <w:sz w:val="18"/>
        </w:rPr>
        <w:t> </w:t>
      </w:r>
      <w:r>
        <w:rPr>
          <w:sz w:val="18"/>
        </w:rPr>
        <w:t>Available at: </w:t>
      </w:r>
      <w:hyperlink r:id="rId95">
        <w:r>
          <w:rPr>
            <w:sz w:val="18"/>
            <w:u w:val="single"/>
          </w:rPr>
          <w:t>http://planningschemes.dpcd.vic.gov.au/schemes/vpps.</w:t>
        </w:r>
      </w:hyperlink>
      <w:r>
        <w:rPr>
          <w:spacing w:val="-5"/>
          <w:sz w:val="18"/>
        </w:rPr>
        <w:t> </w:t>
      </w:r>
      <w:r>
        <w:rPr>
          <w:sz w:val="18"/>
        </w:rPr>
        <w:t>[Accessed</w:t>
      </w:r>
      <w:r>
        <w:rPr>
          <w:spacing w:val="-10"/>
          <w:sz w:val="18"/>
        </w:rPr>
        <w:t> </w:t>
      </w:r>
      <w:r>
        <w:rPr>
          <w:sz w:val="18"/>
        </w:rPr>
        <w:t>31</w:t>
      </w:r>
      <w:r>
        <w:rPr>
          <w:spacing w:val="-10"/>
          <w:sz w:val="18"/>
        </w:rPr>
        <w:t> </w:t>
      </w:r>
      <w:r>
        <w:rPr>
          <w:sz w:val="18"/>
        </w:rPr>
        <w:t>August</w:t>
      </w:r>
      <w:r>
        <w:rPr>
          <w:spacing w:val="-11"/>
          <w:sz w:val="18"/>
        </w:rPr>
        <w:t> </w:t>
      </w:r>
      <w:r>
        <w:rPr>
          <w:sz w:val="18"/>
        </w:rPr>
        <w:t>2017].</w:t>
      </w:r>
    </w:p>
    <w:p>
      <w:pPr>
        <w:spacing w:after="0" w:line="285" w:lineRule="auto"/>
        <w:jc w:val="left"/>
        <w:rPr>
          <w:sz w:val="18"/>
        </w:rPr>
        <w:sectPr>
          <w:pgSz w:w="11910" w:h="16850"/>
          <w:pgMar w:header="220" w:footer="678" w:top="420" w:bottom="860" w:left="900" w:right="840"/>
        </w:sectPr>
      </w:pPr>
    </w:p>
    <w:p>
      <w:pPr>
        <w:pStyle w:val="BodyText"/>
        <w:rPr>
          <w:sz w:val="20"/>
        </w:rPr>
      </w:pPr>
    </w:p>
    <w:p>
      <w:pPr>
        <w:pStyle w:val="BodyText"/>
        <w:spacing w:before="10"/>
        <w:rPr>
          <w:sz w:val="19"/>
        </w:rPr>
      </w:pPr>
    </w:p>
    <w:p>
      <w:pPr>
        <w:pStyle w:val="Heading3"/>
      </w:pPr>
      <w:bookmarkStart w:name="_bookmark14" w:id="15"/>
      <w:bookmarkEnd w:id="15"/>
      <w:r>
        <w:rPr>
          <w:b w:val="0"/>
        </w:rPr>
      </w:r>
      <w:r>
        <w:rPr>
          <w:color w:val="00B1A9"/>
        </w:rPr>
        <w:t>Chapter</w:t>
      </w:r>
      <w:r>
        <w:rPr>
          <w:color w:val="00B1A9"/>
          <w:spacing w:val="-6"/>
        </w:rPr>
        <w:t> </w:t>
      </w:r>
      <w:r>
        <w:rPr>
          <w:color w:val="00B1A9"/>
        </w:rPr>
        <w:t>8:</w:t>
      </w:r>
      <w:r>
        <w:rPr>
          <w:color w:val="00B1A9"/>
          <w:spacing w:val="-4"/>
        </w:rPr>
        <w:t> </w:t>
      </w:r>
      <w:r>
        <w:rPr>
          <w:color w:val="00B1A9"/>
        </w:rPr>
        <w:t>Regulating</w:t>
      </w:r>
      <w:r>
        <w:rPr>
          <w:color w:val="00B1A9"/>
          <w:spacing w:val="-5"/>
        </w:rPr>
        <w:t> </w:t>
      </w:r>
      <w:r>
        <w:rPr>
          <w:color w:val="00B1A9"/>
        </w:rPr>
        <w:t>the</w:t>
      </w:r>
      <w:r>
        <w:rPr>
          <w:color w:val="00B1A9"/>
          <w:spacing w:val="-4"/>
        </w:rPr>
        <w:t> </w:t>
      </w:r>
      <w:r>
        <w:rPr>
          <w:color w:val="00B1A9"/>
        </w:rPr>
        <w:t>Networks</w:t>
      </w:r>
      <w:r>
        <w:rPr>
          <w:color w:val="00B1A9"/>
          <w:spacing w:val="-3"/>
        </w:rPr>
        <w:t> </w:t>
      </w:r>
      <w:r>
        <w:rPr>
          <w:color w:val="00B1A9"/>
        </w:rPr>
        <w:t>of</w:t>
      </w:r>
      <w:r>
        <w:rPr>
          <w:color w:val="00B1A9"/>
          <w:spacing w:val="-4"/>
        </w:rPr>
        <w:t> </w:t>
      </w:r>
      <w:r>
        <w:rPr>
          <w:color w:val="00B1A9"/>
        </w:rPr>
        <w:t>the</w:t>
      </w:r>
      <w:r>
        <w:rPr>
          <w:color w:val="00B1A9"/>
          <w:spacing w:val="-3"/>
        </w:rPr>
        <w:t> </w:t>
      </w:r>
      <w:r>
        <w:rPr>
          <w:color w:val="00B1A9"/>
          <w:spacing w:val="-2"/>
        </w:rPr>
        <w:t>Future</w:t>
      </w:r>
    </w:p>
    <w:p>
      <w:pPr>
        <w:pStyle w:val="BodyText"/>
        <w:rPr>
          <w:b/>
          <w:sz w:val="20"/>
        </w:rPr>
      </w:pPr>
    </w:p>
    <w:p>
      <w:pPr>
        <w:pStyle w:val="BodyText"/>
        <w:spacing w:before="10"/>
        <w:rPr>
          <w:b/>
          <w:sz w:val="21"/>
        </w:rPr>
      </w:pPr>
    </w:p>
    <w:p>
      <w:pPr>
        <w:pStyle w:val="Heading4"/>
        <w:ind w:left="374"/>
      </w:pPr>
      <w:r>
        <w:rPr/>
        <mc:AlternateContent>
          <mc:Choice Requires="wps">
            <w:drawing>
              <wp:anchor distT="0" distB="0" distL="0" distR="0" allowOverlap="1" layoutInCell="1" locked="0" behindDoc="1" simplePos="0" relativeHeight="482744320">
                <wp:simplePos x="0" y="0"/>
                <wp:positionH relativeFrom="page">
                  <wp:posOffset>719327</wp:posOffset>
                </wp:positionH>
                <wp:positionV relativeFrom="paragraph">
                  <wp:posOffset>-96039</wp:posOffset>
                </wp:positionV>
                <wp:extent cx="5870575" cy="7333615"/>
                <wp:effectExtent l="0" t="0" r="0" b="0"/>
                <wp:wrapNone/>
                <wp:docPr id="192" name="Graphic 192"/>
                <wp:cNvGraphicFramePr>
                  <a:graphicFrameLocks/>
                </wp:cNvGraphicFramePr>
                <a:graphic>
                  <a:graphicData uri="http://schemas.microsoft.com/office/word/2010/wordprocessingShape">
                    <wps:wsp>
                      <wps:cNvPr id="192" name="Graphic 192"/>
                      <wps:cNvSpPr/>
                      <wps:spPr>
                        <a:xfrm>
                          <a:off x="0" y="0"/>
                          <a:ext cx="5870575" cy="7333615"/>
                        </a:xfrm>
                        <a:custGeom>
                          <a:avLst/>
                          <a:gdLst/>
                          <a:ahLst/>
                          <a:cxnLst/>
                          <a:rect l="l" t="t" r="r" b="b"/>
                          <a:pathLst>
                            <a:path w="5870575" h="7333615">
                              <a:moveTo>
                                <a:pt x="5870194" y="0"/>
                              </a:moveTo>
                              <a:lnTo>
                                <a:pt x="0" y="0"/>
                              </a:lnTo>
                              <a:lnTo>
                                <a:pt x="0" y="7333233"/>
                              </a:lnTo>
                              <a:lnTo>
                                <a:pt x="5870194" y="7333233"/>
                              </a:lnTo>
                              <a:lnTo>
                                <a:pt x="5870194"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56.639999pt;margin-top:-7.562195pt;width:462.22pt;height:577.420pt;mso-position-horizontal-relative:page;mso-position-vertical-relative:paragraph;z-index:-20572160" id="docshape165" filled="true" fillcolor="#d9d9d9" stroked="false">
                <v:fill type="solid"/>
                <w10:wrap type="none"/>
              </v:rect>
            </w:pict>
          </mc:Fallback>
        </mc:AlternateContent>
      </w:r>
      <w:r>
        <w:rPr>
          <w:color w:val="585858"/>
          <w:spacing w:val="-2"/>
        </w:rPr>
        <w:t>Summary</w:t>
      </w:r>
    </w:p>
    <w:p>
      <w:pPr>
        <w:pStyle w:val="BodyText"/>
        <w:spacing w:line="288" w:lineRule="auto" w:before="314"/>
        <w:ind w:left="345" w:right="868"/>
      </w:pPr>
      <w:r>
        <w:rPr/>
        <w:t>Traditionally,</w:t>
      </w:r>
      <w:r>
        <w:rPr>
          <w:spacing w:val="-1"/>
        </w:rPr>
        <w:t> </w:t>
      </w:r>
      <w:r>
        <w:rPr/>
        <w:t>the</w:t>
      </w:r>
      <w:r>
        <w:rPr>
          <w:spacing w:val="-3"/>
        </w:rPr>
        <w:t> </w:t>
      </w:r>
      <w:r>
        <w:rPr/>
        <w:t>role</w:t>
      </w:r>
      <w:r>
        <w:rPr>
          <w:spacing w:val="-5"/>
        </w:rPr>
        <w:t> </w:t>
      </w:r>
      <w:r>
        <w:rPr/>
        <w:t>of</w:t>
      </w:r>
      <w:r>
        <w:rPr>
          <w:spacing w:val="-1"/>
        </w:rPr>
        <w:t> </w:t>
      </w:r>
      <w:r>
        <w:rPr/>
        <w:t>transmission</w:t>
      </w:r>
      <w:r>
        <w:rPr>
          <w:spacing w:val="-3"/>
        </w:rPr>
        <w:t> </w:t>
      </w:r>
      <w:r>
        <w:rPr/>
        <w:t>and</w:t>
      </w:r>
      <w:r>
        <w:rPr>
          <w:spacing w:val="-5"/>
        </w:rPr>
        <w:t> </w:t>
      </w:r>
      <w:r>
        <w:rPr/>
        <w:t>distribution</w:t>
      </w:r>
      <w:r>
        <w:rPr>
          <w:spacing w:val="-3"/>
        </w:rPr>
        <w:t> </w:t>
      </w:r>
      <w:r>
        <w:rPr/>
        <w:t>networks</w:t>
      </w:r>
      <w:r>
        <w:rPr>
          <w:spacing w:val="-5"/>
        </w:rPr>
        <w:t> </w:t>
      </w:r>
      <w:r>
        <w:rPr/>
        <w:t>has</w:t>
      </w:r>
      <w:r>
        <w:rPr>
          <w:spacing w:val="-5"/>
        </w:rPr>
        <w:t> </w:t>
      </w:r>
      <w:r>
        <w:rPr/>
        <w:t>been</w:t>
      </w:r>
      <w:r>
        <w:rPr>
          <w:spacing w:val="-5"/>
        </w:rPr>
        <w:t> </w:t>
      </w:r>
      <w:r>
        <w:rPr/>
        <w:t>to</w:t>
      </w:r>
      <w:r>
        <w:rPr>
          <w:spacing w:val="-5"/>
        </w:rPr>
        <w:t> </w:t>
      </w:r>
      <w:r>
        <w:rPr/>
        <w:t>transport</w:t>
      </w:r>
      <w:r>
        <w:rPr>
          <w:spacing w:val="-1"/>
        </w:rPr>
        <w:t> </w:t>
      </w:r>
      <w:r>
        <w:rPr/>
        <w:t>energy in one direction, from large centralised power stations and gas production facilities to consumers. The shift toward a cleaner energy future will see dramatic changes in the operation of the networks in coming decades.</w:t>
      </w:r>
    </w:p>
    <w:p>
      <w:pPr>
        <w:pStyle w:val="BodyText"/>
        <w:spacing w:before="10"/>
        <w:rPr>
          <w:sz w:val="20"/>
        </w:rPr>
      </w:pPr>
    </w:p>
    <w:p>
      <w:pPr>
        <w:pStyle w:val="BodyText"/>
        <w:spacing w:line="288" w:lineRule="auto"/>
        <w:ind w:left="345" w:right="951"/>
      </w:pPr>
      <w:r>
        <w:rPr/>
        <w:t>The</w:t>
      </w:r>
      <w:r>
        <w:rPr>
          <w:spacing w:val="-5"/>
        </w:rPr>
        <w:t> </w:t>
      </w:r>
      <w:r>
        <w:rPr/>
        <w:t>technological</w:t>
      </w:r>
      <w:r>
        <w:rPr>
          <w:spacing w:val="-4"/>
        </w:rPr>
        <w:t> </w:t>
      </w:r>
      <w:r>
        <w:rPr/>
        <w:t>transformation</w:t>
      </w:r>
      <w:r>
        <w:rPr>
          <w:spacing w:val="-3"/>
        </w:rPr>
        <w:t> </w:t>
      </w:r>
      <w:r>
        <w:rPr/>
        <w:t>creates</w:t>
      </w:r>
      <w:r>
        <w:rPr>
          <w:spacing w:val="-5"/>
        </w:rPr>
        <w:t> </w:t>
      </w:r>
      <w:r>
        <w:rPr/>
        <w:t>new</w:t>
      </w:r>
      <w:r>
        <w:rPr>
          <w:spacing w:val="-6"/>
        </w:rPr>
        <w:t> </w:t>
      </w:r>
      <w:r>
        <w:rPr/>
        <w:t>opportunities</w:t>
      </w:r>
      <w:r>
        <w:rPr>
          <w:spacing w:val="-5"/>
        </w:rPr>
        <w:t> </w:t>
      </w:r>
      <w:r>
        <w:rPr/>
        <w:t>to</w:t>
      </w:r>
      <w:r>
        <w:rPr>
          <w:spacing w:val="-5"/>
        </w:rPr>
        <w:t> </w:t>
      </w:r>
      <w:r>
        <w:rPr/>
        <w:t>manage</w:t>
      </w:r>
      <w:r>
        <w:rPr>
          <w:spacing w:val="-5"/>
        </w:rPr>
        <w:t> </w:t>
      </w:r>
      <w:r>
        <w:rPr/>
        <w:t>safety.</w:t>
      </w:r>
      <w:r>
        <w:rPr>
          <w:spacing w:val="-4"/>
        </w:rPr>
        <w:t> </w:t>
      </w:r>
      <w:r>
        <w:rPr/>
        <w:t>It</w:t>
      </w:r>
      <w:r>
        <w:rPr>
          <w:spacing w:val="-4"/>
        </w:rPr>
        <w:t> </w:t>
      </w:r>
      <w:r>
        <w:rPr/>
        <w:t>also</w:t>
      </w:r>
      <w:r>
        <w:rPr>
          <w:spacing w:val="-3"/>
        </w:rPr>
        <w:t> </w:t>
      </w:r>
      <w:r>
        <w:rPr/>
        <w:t>will bring new safety risks and greater network complexity.</w:t>
      </w:r>
    </w:p>
    <w:p>
      <w:pPr>
        <w:pStyle w:val="BodyText"/>
        <w:spacing w:before="10"/>
        <w:rPr>
          <w:sz w:val="20"/>
        </w:rPr>
      </w:pPr>
    </w:p>
    <w:p>
      <w:pPr>
        <w:spacing w:line="288" w:lineRule="auto" w:before="0"/>
        <w:ind w:left="345" w:right="784" w:firstLine="0"/>
        <w:jc w:val="left"/>
        <w:rPr>
          <w:sz w:val="22"/>
        </w:rPr>
      </w:pPr>
      <w:r>
        <w:rPr>
          <w:sz w:val="22"/>
        </w:rPr>
        <w:t>The</w:t>
      </w:r>
      <w:r>
        <w:rPr>
          <w:spacing w:val="-5"/>
          <w:sz w:val="22"/>
        </w:rPr>
        <w:t> </w:t>
      </w:r>
      <w:r>
        <w:rPr>
          <w:sz w:val="22"/>
        </w:rPr>
        <w:t>energy</w:t>
      </w:r>
      <w:r>
        <w:rPr>
          <w:spacing w:val="-5"/>
          <w:sz w:val="22"/>
        </w:rPr>
        <w:t> </w:t>
      </w:r>
      <w:r>
        <w:rPr>
          <w:sz w:val="22"/>
        </w:rPr>
        <w:t>network industry</w:t>
      </w:r>
      <w:r>
        <w:rPr>
          <w:spacing w:val="-5"/>
          <w:sz w:val="22"/>
        </w:rPr>
        <w:t> </w:t>
      </w:r>
      <w:r>
        <w:rPr>
          <w:sz w:val="22"/>
        </w:rPr>
        <w:t>has</w:t>
      </w:r>
      <w:r>
        <w:rPr>
          <w:spacing w:val="-5"/>
          <w:sz w:val="22"/>
        </w:rPr>
        <w:t> </w:t>
      </w:r>
      <w:r>
        <w:rPr>
          <w:sz w:val="22"/>
        </w:rPr>
        <w:t>been</w:t>
      </w:r>
      <w:r>
        <w:rPr>
          <w:spacing w:val="-3"/>
          <w:sz w:val="22"/>
        </w:rPr>
        <w:t> </w:t>
      </w:r>
      <w:r>
        <w:rPr>
          <w:sz w:val="22"/>
        </w:rPr>
        <w:t>highly</w:t>
      </w:r>
      <w:r>
        <w:rPr>
          <w:spacing w:val="-5"/>
          <w:sz w:val="22"/>
        </w:rPr>
        <w:t> </w:t>
      </w:r>
      <w:r>
        <w:rPr>
          <w:sz w:val="22"/>
        </w:rPr>
        <w:t>active in</w:t>
      </w:r>
      <w:r>
        <w:rPr>
          <w:spacing w:val="-3"/>
          <w:sz w:val="22"/>
        </w:rPr>
        <w:t> </w:t>
      </w:r>
      <w:r>
        <w:rPr>
          <w:sz w:val="22"/>
        </w:rPr>
        <w:t>mapping</w:t>
      </w:r>
      <w:r>
        <w:rPr>
          <w:spacing w:val="-3"/>
          <w:sz w:val="22"/>
        </w:rPr>
        <w:t> </w:t>
      </w:r>
      <w:r>
        <w:rPr>
          <w:sz w:val="22"/>
        </w:rPr>
        <w:t>out</w:t>
      </w:r>
      <w:r>
        <w:rPr>
          <w:spacing w:val="-4"/>
          <w:sz w:val="22"/>
        </w:rPr>
        <w:t> </w:t>
      </w:r>
      <w:r>
        <w:rPr>
          <w:sz w:val="22"/>
        </w:rPr>
        <w:t>the</w:t>
      </w:r>
      <w:r>
        <w:rPr>
          <w:spacing w:val="-5"/>
          <w:sz w:val="22"/>
        </w:rPr>
        <w:t> </w:t>
      </w:r>
      <w:r>
        <w:rPr>
          <w:sz w:val="22"/>
        </w:rPr>
        <w:t>emerging</w:t>
      </w:r>
      <w:r>
        <w:rPr>
          <w:spacing w:val="-1"/>
          <w:sz w:val="22"/>
        </w:rPr>
        <w:t> </w:t>
      </w:r>
      <w:r>
        <w:rPr>
          <w:sz w:val="22"/>
        </w:rPr>
        <w:t>challenges and opportunities, including through </w:t>
      </w:r>
      <w:r>
        <w:rPr>
          <w:i/>
          <w:sz w:val="22"/>
        </w:rPr>
        <w:t>Gas Vision 2050 </w:t>
      </w:r>
      <w:r>
        <w:rPr>
          <w:sz w:val="22"/>
        </w:rPr>
        <w:t>and the </w:t>
      </w:r>
      <w:r>
        <w:rPr>
          <w:i/>
          <w:sz w:val="22"/>
        </w:rPr>
        <w:t>Electricity Network Transformation</w:t>
      </w:r>
      <w:r>
        <w:rPr>
          <w:i/>
          <w:spacing w:val="-1"/>
          <w:sz w:val="22"/>
        </w:rPr>
        <w:t> </w:t>
      </w:r>
      <w:r>
        <w:rPr>
          <w:i/>
          <w:sz w:val="22"/>
        </w:rPr>
        <w:t>Roadmap </w:t>
      </w:r>
      <w:r>
        <w:rPr>
          <w:sz w:val="22"/>
        </w:rPr>
        <w:t>developed</w:t>
      </w:r>
      <w:r>
        <w:rPr>
          <w:spacing w:val="-1"/>
          <w:sz w:val="22"/>
        </w:rPr>
        <w:t> </w:t>
      </w:r>
      <w:r>
        <w:rPr>
          <w:sz w:val="22"/>
        </w:rPr>
        <w:t>by</w:t>
      </w:r>
      <w:r>
        <w:rPr>
          <w:spacing w:val="-3"/>
          <w:sz w:val="22"/>
        </w:rPr>
        <w:t> </w:t>
      </w:r>
      <w:r>
        <w:rPr>
          <w:sz w:val="22"/>
        </w:rPr>
        <w:t>Energy</w:t>
      </w:r>
      <w:r>
        <w:rPr>
          <w:spacing w:val="-5"/>
          <w:sz w:val="22"/>
        </w:rPr>
        <w:t> </w:t>
      </w:r>
      <w:r>
        <w:rPr>
          <w:sz w:val="22"/>
        </w:rPr>
        <w:t>Networks Australia</w:t>
      </w:r>
      <w:r>
        <w:rPr>
          <w:spacing w:val="-1"/>
          <w:sz w:val="22"/>
        </w:rPr>
        <w:t> </w:t>
      </w:r>
      <w:r>
        <w:rPr>
          <w:sz w:val="22"/>
        </w:rPr>
        <w:t>(2017a) and</w:t>
      </w:r>
      <w:r>
        <w:rPr>
          <w:spacing w:val="-3"/>
          <w:sz w:val="22"/>
        </w:rPr>
        <w:t> </w:t>
      </w:r>
      <w:r>
        <w:rPr>
          <w:sz w:val="22"/>
        </w:rPr>
        <w:t>the</w:t>
      </w:r>
      <w:r>
        <w:rPr>
          <w:spacing w:val="-3"/>
          <w:sz w:val="22"/>
        </w:rPr>
        <w:t> </w:t>
      </w:r>
      <w:r>
        <w:rPr>
          <w:sz w:val="22"/>
        </w:rPr>
        <w:t>CSIRO.</w:t>
      </w:r>
    </w:p>
    <w:p>
      <w:pPr>
        <w:pStyle w:val="BodyText"/>
        <w:spacing w:before="9"/>
        <w:rPr>
          <w:sz w:val="20"/>
        </w:rPr>
      </w:pPr>
    </w:p>
    <w:p>
      <w:pPr>
        <w:pStyle w:val="BodyText"/>
        <w:spacing w:line="288" w:lineRule="auto"/>
        <w:ind w:left="345" w:right="951"/>
      </w:pPr>
      <w:r>
        <w:rPr/>
        <w:t>Energy Safe Victoria (ESV) has also been active in horizon-scanning and identifying emerging</w:t>
      </w:r>
      <w:r>
        <w:rPr>
          <w:spacing w:val="-1"/>
        </w:rPr>
        <w:t> </w:t>
      </w:r>
      <w:r>
        <w:rPr/>
        <w:t>issues</w:t>
      </w:r>
      <w:r>
        <w:rPr>
          <w:spacing w:val="-5"/>
        </w:rPr>
        <w:t> </w:t>
      </w:r>
      <w:r>
        <w:rPr/>
        <w:t>and</w:t>
      </w:r>
      <w:r>
        <w:rPr>
          <w:spacing w:val="-5"/>
        </w:rPr>
        <w:t> </w:t>
      </w:r>
      <w:r>
        <w:rPr/>
        <w:t>challenges</w:t>
      </w:r>
      <w:r>
        <w:rPr>
          <w:spacing w:val="-3"/>
        </w:rPr>
        <w:t> </w:t>
      </w:r>
      <w:r>
        <w:rPr/>
        <w:t>as</w:t>
      </w:r>
      <w:r>
        <w:rPr>
          <w:spacing w:val="-5"/>
        </w:rPr>
        <w:t> </w:t>
      </w:r>
      <w:r>
        <w:rPr/>
        <w:t>they</w:t>
      </w:r>
      <w:r>
        <w:rPr>
          <w:spacing w:val="-5"/>
        </w:rPr>
        <w:t> </w:t>
      </w:r>
      <w:r>
        <w:rPr/>
        <w:t>relate</w:t>
      </w:r>
      <w:r>
        <w:rPr>
          <w:spacing w:val="-5"/>
        </w:rPr>
        <w:t> </w:t>
      </w:r>
      <w:r>
        <w:rPr/>
        <w:t>to</w:t>
      </w:r>
      <w:r>
        <w:rPr>
          <w:spacing w:val="-5"/>
        </w:rPr>
        <w:t> </w:t>
      </w:r>
      <w:r>
        <w:rPr/>
        <w:t>network</w:t>
      </w:r>
      <w:r>
        <w:rPr>
          <w:spacing w:val="-2"/>
        </w:rPr>
        <w:t> </w:t>
      </w:r>
      <w:r>
        <w:rPr/>
        <w:t>safety</w:t>
      </w:r>
      <w:r>
        <w:rPr>
          <w:spacing w:val="-5"/>
        </w:rPr>
        <w:t> </w:t>
      </w:r>
      <w:r>
        <w:rPr/>
        <w:t>specifically,</w:t>
      </w:r>
      <w:r>
        <w:rPr>
          <w:spacing w:val="-1"/>
        </w:rPr>
        <w:t> </w:t>
      </w:r>
      <w:r>
        <w:rPr/>
        <w:t>including through a major commissioned report in 2016, </w:t>
      </w:r>
      <w:r>
        <w:rPr>
          <w:i/>
        </w:rPr>
        <w:t>Potential Impacts of New Energy</w:t>
      </w:r>
      <w:r>
        <w:rPr/>
        <w:t>.</w:t>
      </w:r>
    </w:p>
    <w:p>
      <w:pPr>
        <w:pStyle w:val="BodyText"/>
        <w:rPr>
          <w:sz w:val="21"/>
        </w:rPr>
      </w:pPr>
    </w:p>
    <w:p>
      <w:pPr>
        <w:pStyle w:val="BodyText"/>
        <w:spacing w:line="288" w:lineRule="auto"/>
        <w:ind w:left="345" w:right="951"/>
      </w:pPr>
      <w:r>
        <w:rPr/>
        <w:t>Looking ahead, strong engagement between ESV and industry stakeholders will be necessary. Emerging</w:t>
      </w:r>
      <w:r>
        <w:rPr>
          <w:spacing w:val="-2"/>
        </w:rPr>
        <w:t> </w:t>
      </w:r>
      <w:r>
        <w:rPr/>
        <w:t>risks</w:t>
      </w:r>
      <w:r>
        <w:rPr>
          <w:spacing w:val="-4"/>
        </w:rPr>
        <w:t> </w:t>
      </w:r>
      <w:r>
        <w:rPr/>
        <w:t>need</w:t>
      </w:r>
      <w:r>
        <w:rPr>
          <w:spacing w:val="-4"/>
        </w:rPr>
        <w:t> </w:t>
      </w:r>
      <w:r>
        <w:rPr/>
        <w:t>to</w:t>
      </w:r>
      <w:r>
        <w:rPr>
          <w:spacing w:val="-4"/>
        </w:rPr>
        <w:t> </w:t>
      </w:r>
      <w:r>
        <w:rPr/>
        <w:t>be</w:t>
      </w:r>
      <w:r>
        <w:rPr>
          <w:spacing w:val="-2"/>
        </w:rPr>
        <w:t> </w:t>
      </w:r>
      <w:r>
        <w:rPr/>
        <w:t>identified</w:t>
      </w:r>
      <w:r>
        <w:rPr>
          <w:spacing w:val="-4"/>
        </w:rPr>
        <w:t> </w:t>
      </w:r>
      <w:r>
        <w:rPr/>
        <w:t>early</w:t>
      </w:r>
      <w:r>
        <w:rPr>
          <w:spacing w:val="-4"/>
        </w:rPr>
        <w:t> </w:t>
      </w:r>
      <w:r>
        <w:rPr/>
        <w:t>to</w:t>
      </w:r>
      <w:r>
        <w:rPr>
          <w:spacing w:val="-4"/>
        </w:rPr>
        <w:t> </w:t>
      </w:r>
      <w:r>
        <w:rPr/>
        <w:t>facilitate</w:t>
      </w:r>
      <w:r>
        <w:rPr>
          <w:spacing w:val="-3"/>
        </w:rPr>
        <w:t> </w:t>
      </w:r>
      <w:r>
        <w:rPr/>
        <w:t>the</w:t>
      </w:r>
      <w:r>
        <w:rPr>
          <w:spacing w:val="-2"/>
        </w:rPr>
        <w:t> </w:t>
      </w:r>
      <w:r>
        <w:rPr/>
        <w:t>safe</w:t>
      </w:r>
      <w:r>
        <w:rPr>
          <w:spacing w:val="-4"/>
        </w:rPr>
        <w:t> </w:t>
      </w:r>
      <w:r>
        <w:rPr/>
        <w:t>adoption</w:t>
      </w:r>
      <w:r>
        <w:rPr>
          <w:spacing w:val="-2"/>
        </w:rPr>
        <w:t> </w:t>
      </w:r>
      <w:r>
        <w:rPr/>
        <w:t>of new </w:t>
      </w:r>
      <w:r>
        <w:rPr>
          <w:spacing w:val="-2"/>
        </w:rPr>
        <w:t>technologies.</w:t>
      </w:r>
    </w:p>
    <w:p>
      <w:pPr>
        <w:pStyle w:val="BodyText"/>
        <w:spacing w:before="9"/>
        <w:rPr>
          <w:sz w:val="20"/>
        </w:rPr>
      </w:pPr>
    </w:p>
    <w:p>
      <w:pPr>
        <w:pStyle w:val="BodyText"/>
        <w:spacing w:line="288" w:lineRule="auto"/>
        <w:ind w:left="345" w:right="951"/>
      </w:pPr>
      <w:r>
        <w:rPr/>
        <w:t>If a sufficiently proactive approach is not maintained, new risks may arise without being properly</w:t>
      </w:r>
      <w:r>
        <w:rPr>
          <w:spacing w:val="-4"/>
        </w:rPr>
        <w:t> </w:t>
      </w:r>
      <w:r>
        <w:rPr/>
        <w:t>addressed, or</w:t>
      </w:r>
      <w:r>
        <w:rPr>
          <w:spacing w:val="-3"/>
        </w:rPr>
        <w:t> </w:t>
      </w:r>
      <w:r>
        <w:rPr/>
        <w:t>they</w:t>
      </w:r>
      <w:r>
        <w:rPr>
          <w:spacing w:val="-4"/>
        </w:rPr>
        <w:t> </w:t>
      </w:r>
      <w:r>
        <w:rPr/>
        <w:t>may</w:t>
      </w:r>
      <w:r>
        <w:rPr>
          <w:spacing w:val="-4"/>
        </w:rPr>
        <w:t> </w:t>
      </w:r>
      <w:r>
        <w:rPr/>
        <w:t>not be</w:t>
      </w:r>
      <w:r>
        <w:rPr>
          <w:spacing w:val="-4"/>
        </w:rPr>
        <w:t> </w:t>
      </w:r>
      <w:r>
        <w:rPr/>
        <w:t>addressed</w:t>
      </w:r>
      <w:r>
        <w:rPr>
          <w:spacing w:val="-2"/>
        </w:rPr>
        <w:t> </w:t>
      </w:r>
      <w:r>
        <w:rPr/>
        <w:t>in</w:t>
      </w:r>
      <w:r>
        <w:rPr>
          <w:spacing w:val="-2"/>
        </w:rPr>
        <w:t> </w:t>
      </w:r>
      <w:r>
        <w:rPr/>
        <w:t>a</w:t>
      </w:r>
      <w:r>
        <w:rPr>
          <w:spacing w:val="-4"/>
        </w:rPr>
        <w:t> </w:t>
      </w:r>
      <w:r>
        <w:rPr/>
        <w:t>timely</w:t>
      </w:r>
      <w:r>
        <w:rPr>
          <w:spacing w:val="-6"/>
        </w:rPr>
        <w:t> </w:t>
      </w:r>
      <w:r>
        <w:rPr/>
        <w:t>fashion –</w:t>
      </w:r>
      <w:r>
        <w:rPr>
          <w:spacing w:val="-4"/>
        </w:rPr>
        <w:t> </w:t>
      </w:r>
      <w:r>
        <w:rPr/>
        <w:t>potentially</w:t>
      </w:r>
      <w:r>
        <w:rPr>
          <w:spacing w:val="-4"/>
        </w:rPr>
        <w:t> </w:t>
      </w:r>
      <w:r>
        <w:rPr/>
        <w:t>adding unnecessary costs and barriers to the introduction of new forms of energy generation, storage and distribution.</w:t>
      </w:r>
    </w:p>
    <w:p>
      <w:pPr>
        <w:pStyle w:val="BodyText"/>
        <w:spacing w:before="10"/>
        <w:rPr>
          <w:sz w:val="20"/>
        </w:rPr>
      </w:pPr>
    </w:p>
    <w:p>
      <w:pPr>
        <w:pStyle w:val="BodyText"/>
        <w:spacing w:before="1"/>
        <w:ind w:left="345"/>
      </w:pPr>
      <w:r>
        <w:rPr/>
        <w:t>Building</w:t>
      </w:r>
      <w:r>
        <w:rPr>
          <w:spacing w:val="-3"/>
        </w:rPr>
        <w:t> </w:t>
      </w:r>
      <w:r>
        <w:rPr/>
        <w:t>on</w:t>
      </w:r>
      <w:r>
        <w:rPr>
          <w:spacing w:val="-5"/>
        </w:rPr>
        <w:t> </w:t>
      </w:r>
      <w:r>
        <w:rPr/>
        <w:t>its</w:t>
      </w:r>
      <w:r>
        <w:rPr>
          <w:spacing w:val="-6"/>
        </w:rPr>
        <w:t> </w:t>
      </w:r>
      <w:r>
        <w:rPr/>
        <w:t>existing</w:t>
      </w:r>
      <w:r>
        <w:rPr>
          <w:spacing w:val="-3"/>
        </w:rPr>
        <w:t> </w:t>
      </w:r>
      <w:r>
        <w:rPr/>
        <w:t>work,</w:t>
      </w:r>
      <w:r>
        <w:rPr>
          <w:spacing w:val="-5"/>
        </w:rPr>
        <w:t> </w:t>
      </w:r>
      <w:r>
        <w:rPr/>
        <w:t>ESV</w:t>
      </w:r>
      <w:r>
        <w:rPr>
          <w:spacing w:val="-4"/>
        </w:rPr>
        <w:t> </w:t>
      </w:r>
      <w:r>
        <w:rPr>
          <w:spacing w:val="-2"/>
        </w:rPr>
        <w:t>should:</w:t>
      </w:r>
    </w:p>
    <w:p>
      <w:pPr>
        <w:pStyle w:val="BodyText"/>
        <w:spacing w:before="7"/>
        <w:rPr>
          <w:sz w:val="26"/>
        </w:rPr>
      </w:pPr>
    </w:p>
    <w:p>
      <w:pPr>
        <w:pStyle w:val="ListParagraph"/>
        <w:numPr>
          <w:ilvl w:val="0"/>
          <w:numId w:val="76"/>
        </w:numPr>
        <w:tabs>
          <w:tab w:pos="734" w:val="left" w:leader="none"/>
        </w:tabs>
        <w:spacing w:line="288" w:lineRule="auto" w:before="0" w:after="0"/>
        <w:ind w:left="734" w:right="941" w:hanging="361"/>
        <w:jc w:val="left"/>
        <w:rPr>
          <w:sz w:val="22"/>
        </w:rPr>
      </w:pPr>
      <w:r>
        <w:rPr>
          <w:sz w:val="22"/>
        </w:rPr>
        <w:t>Establish</w:t>
      </w:r>
      <w:r>
        <w:rPr>
          <w:spacing w:val="-2"/>
          <w:sz w:val="22"/>
        </w:rPr>
        <w:t> </w:t>
      </w:r>
      <w:r>
        <w:rPr>
          <w:sz w:val="22"/>
        </w:rPr>
        <w:t>an</w:t>
      </w:r>
      <w:r>
        <w:rPr>
          <w:spacing w:val="-2"/>
          <w:sz w:val="22"/>
        </w:rPr>
        <w:t> </w:t>
      </w:r>
      <w:r>
        <w:rPr>
          <w:sz w:val="22"/>
        </w:rPr>
        <w:t>expert</w:t>
      </w:r>
      <w:r>
        <w:rPr>
          <w:spacing w:val="-3"/>
          <w:sz w:val="22"/>
        </w:rPr>
        <w:t> </w:t>
      </w:r>
      <w:r>
        <w:rPr>
          <w:sz w:val="22"/>
        </w:rPr>
        <w:t>advisory</w:t>
      </w:r>
      <w:r>
        <w:rPr>
          <w:spacing w:val="-3"/>
          <w:sz w:val="22"/>
        </w:rPr>
        <w:t> </w:t>
      </w:r>
      <w:r>
        <w:rPr>
          <w:sz w:val="22"/>
        </w:rPr>
        <w:t>committee</w:t>
      </w:r>
      <w:r>
        <w:rPr>
          <w:spacing w:val="-2"/>
          <w:sz w:val="22"/>
        </w:rPr>
        <w:t> </w:t>
      </w:r>
      <w:r>
        <w:rPr>
          <w:sz w:val="22"/>
        </w:rPr>
        <w:t>under</w:t>
      </w:r>
      <w:r>
        <w:rPr>
          <w:spacing w:val="-3"/>
          <w:sz w:val="22"/>
        </w:rPr>
        <w:t> </w:t>
      </w:r>
      <w:r>
        <w:rPr>
          <w:sz w:val="22"/>
        </w:rPr>
        <w:t>Section</w:t>
      </w:r>
      <w:r>
        <w:rPr>
          <w:spacing w:val="-2"/>
          <w:sz w:val="22"/>
        </w:rPr>
        <w:t> </w:t>
      </w:r>
      <w:r>
        <w:rPr>
          <w:sz w:val="22"/>
        </w:rPr>
        <w:t>8</w:t>
      </w:r>
      <w:r>
        <w:rPr>
          <w:spacing w:val="-2"/>
          <w:sz w:val="22"/>
        </w:rPr>
        <w:t> </w:t>
      </w:r>
      <w:r>
        <w:rPr>
          <w:sz w:val="22"/>
        </w:rPr>
        <w:t>of</w:t>
      </w:r>
      <w:r>
        <w:rPr>
          <w:spacing w:val="-3"/>
          <w:sz w:val="22"/>
        </w:rPr>
        <w:t> </w:t>
      </w:r>
      <w:r>
        <w:rPr>
          <w:sz w:val="22"/>
        </w:rPr>
        <w:t>the</w:t>
      </w:r>
      <w:r>
        <w:rPr>
          <w:spacing w:val="-1"/>
          <w:sz w:val="22"/>
        </w:rPr>
        <w:t> </w:t>
      </w:r>
      <w:r>
        <w:rPr>
          <w:i/>
          <w:sz w:val="22"/>
        </w:rPr>
        <w:t>Energy</w:t>
      </w:r>
      <w:r>
        <w:rPr>
          <w:i/>
          <w:spacing w:val="-4"/>
          <w:sz w:val="22"/>
        </w:rPr>
        <w:t> </w:t>
      </w:r>
      <w:r>
        <w:rPr>
          <w:i/>
          <w:sz w:val="22"/>
        </w:rPr>
        <w:t>Safe</w:t>
      </w:r>
      <w:r>
        <w:rPr>
          <w:i/>
          <w:spacing w:val="-4"/>
          <w:sz w:val="22"/>
        </w:rPr>
        <w:t> </w:t>
      </w:r>
      <w:r>
        <w:rPr>
          <w:i/>
          <w:sz w:val="22"/>
        </w:rPr>
        <w:t>Victoria</w:t>
      </w:r>
      <w:r>
        <w:rPr>
          <w:i/>
          <w:spacing w:val="-2"/>
          <w:sz w:val="22"/>
        </w:rPr>
        <w:t> </w:t>
      </w:r>
      <w:r>
        <w:rPr>
          <w:i/>
          <w:sz w:val="22"/>
        </w:rPr>
        <w:t>Act 2005 </w:t>
      </w:r>
      <w:r>
        <w:rPr>
          <w:sz w:val="22"/>
        </w:rPr>
        <w:t>(</w:t>
      </w:r>
      <w:r>
        <w:rPr>
          <w:b/>
          <w:sz w:val="22"/>
        </w:rPr>
        <w:t>Recommendation 32</w:t>
      </w:r>
      <w:r>
        <w:rPr>
          <w:sz w:val="22"/>
        </w:rPr>
        <w:t>).</w:t>
      </w:r>
    </w:p>
    <w:p>
      <w:pPr>
        <w:pStyle w:val="BodyText"/>
        <w:spacing w:before="4"/>
      </w:pPr>
    </w:p>
    <w:p>
      <w:pPr>
        <w:pStyle w:val="ListParagraph"/>
        <w:numPr>
          <w:ilvl w:val="0"/>
          <w:numId w:val="76"/>
        </w:numPr>
        <w:tabs>
          <w:tab w:pos="734" w:val="left" w:leader="none"/>
        </w:tabs>
        <w:spacing w:line="285" w:lineRule="auto" w:before="0" w:after="0"/>
        <w:ind w:left="734" w:right="969" w:hanging="361"/>
        <w:jc w:val="left"/>
        <w:rPr>
          <w:sz w:val="22"/>
        </w:rPr>
      </w:pPr>
      <w:r>
        <w:rPr>
          <w:sz w:val="22"/>
        </w:rPr>
        <w:t>Develop</w:t>
      </w:r>
      <w:r>
        <w:rPr>
          <w:spacing w:val="-3"/>
          <w:sz w:val="22"/>
        </w:rPr>
        <w:t> </w:t>
      </w:r>
      <w:r>
        <w:rPr>
          <w:sz w:val="22"/>
        </w:rPr>
        <w:t>a</w:t>
      </w:r>
      <w:r>
        <w:rPr>
          <w:spacing w:val="-3"/>
          <w:sz w:val="22"/>
        </w:rPr>
        <w:t> </w:t>
      </w:r>
      <w:r>
        <w:rPr>
          <w:sz w:val="22"/>
        </w:rPr>
        <w:t>roadmap</w:t>
      </w:r>
      <w:r>
        <w:rPr>
          <w:spacing w:val="-5"/>
          <w:sz w:val="22"/>
        </w:rPr>
        <w:t> </w:t>
      </w:r>
      <w:r>
        <w:rPr>
          <w:sz w:val="22"/>
        </w:rPr>
        <w:t>that</w:t>
      </w:r>
      <w:r>
        <w:rPr>
          <w:spacing w:val="-4"/>
          <w:sz w:val="22"/>
        </w:rPr>
        <w:t> </w:t>
      </w:r>
      <w:r>
        <w:rPr>
          <w:sz w:val="22"/>
        </w:rPr>
        <w:t>identifies</w:t>
      </w:r>
      <w:r>
        <w:rPr>
          <w:spacing w:val="-5"/>
          <w:sz w:val="22"/>
        </w:rPr>
        <w:t> </w:t>
      </w:r>
      <w:r>
        <w:rPr>
          <w:sz w:val="22"/>
        </w:rPr>
        <w:t>emerging</w:t>
      </w:r>
      <w:r>
        <w:rPr>
          <w:spacing w:val="-1"/>
          <w:sz w:val="22"/>
        </w:rPr>
        <w:t> </w:t>
      </w:r>
      <w:r>
        <w:rPr>
          <w:sz w:val="22"/>
        </w:rPr>
        <w:t>issues</w:t>
      </w:r>
      <w:r>
        <w:rPr>
          <w:spacing w:val="-5"/>
          <w:sz w:val="22"/>
        </w:rPr>
        <w:t> </w:t>
      </w:r>
      <w:r>
        <w:rPr>
          <w:sz w:val="22"/>
        </w:rPr>
        <w:t>from</w:t>
      </w:r>
      <w:r>
        <w:rPr>
          <w:spacing w:val="-4"/>
          <w:sz w:val="22"/>
        </w:rPr>
        <w:t> </w:t>
      </w:r>
      <w:r>
        <w:rPr>
          <w:sz w:val="22"/>
        </w:rPr>
        <w:t>new</w:t>
      </w:r>
      <w:r>
        <w:rPr>
          <w:spacing w:val="-6"/>
          <w:sz w:val="22"/>
        </w:rPr>
        <w:t> </w:t>
      </w:r>
      <w:r>
        <w:rPr>
          <w:sz w:val="22"/>
        </w:rPr>
        <w:t>technologies</w:t>
      </w:r>
      <w:r>
        <w:rPr>
          <w:spacing w:val="-5"/>
          <w:sz w:val="22"/>
        </w:rPr>
        <w:t> </w:t>
      </w:r>
      <w:r>
        <w:rPr>
          <w:sz w:val="22"/>
        </w:rPr>
        <w:t>and</w:t>
      </w:r>
      <w:r>
        <w:rPr>
          <w:spacing w:val="-3"/>
          <w:sz w:val="22"/>
        </w:rPr>
        <w:t> </w:t>
      </w:r>
      <w:r>
        <w:rPr>
          <w:sz w:val="22"/>
        </w:rPr>
        <w:t>network structures and proposed actions in response (</w:t>
      </w:r>
      <w:r>
        <w:rPr>
          <w:b/>
          <w:sz w:val="22"/>
        </w:rPr>
        <w:t>Recommendation 33</w:t>
      </w:r>
      <w:r>
        <w:rPr>
          <w:sz w:val="22"/>
        </w:rPr>
        <w:t>).</w:t>
      </w:r>
    </w:p>
    <w:p>
      <w:pPr>
        <w:pStyle w:val="BodyText"/>
        <w:spacing w:before="1"/>
        <w:rPr>
          <w:sz w:val="21"/>
        </w:rPr>
      </w:pPr>
    </w:p>
    <w:p>
      <w:pPr>
        <w:pStyle w:val="BodyText"/>
        <w:spacing w:line="288" w:lineRule="auto"/>
        <w:ind w:left="345" w:right="374"/>
      </w:pPr>
      <w:r>
        <w:rPr/>
        <w:t>ESV</w:t>
      </w:r>
      <w:r>
        <w:rPr>
          <w:spacing w:val="-2"/>
        </w:rPr>
        <w:t> </w:t>
      </w:r>
      <w:r>
        <w:rPr/>
        <w:t>should</w:t>
      </w:r>
      <w:r>
        <w:rPr>
          <w:spacing w:val="-2"/>
        </w:rPr>
        <w:t> </w:t>
      </w:r>
      <w:r>
        <w:rPr/>
        <w:t>also</w:t>
      </w:r>
      <w:r>
        <w:rPr>
          <w:spacing w:val="-2"/>
        </w:rPr>
        <w:t> </w:t>
      </w:r>
      <w:r>
        <w:rPr/>
        <w:t>take</w:t>
      </w:r>
      <w:r>
        <w:rPr>
          <w:spacing w:val="-2"/>
        </w:rPr>
        <w:t> </w:t>
      </w:r>
      <w:r>
        <w:rPr/>
        <w:t>a</w:t>
      </w:r>
      <w:r>
        <w:rPr>
          <w:spacing w:val="-6"/>
        </w:rPr>
        <w:t> </w:t>
      </w:r>
      <w:r>
        <w:rPr/>
        <w:t>national</w:t>
      </w:r>
      <w:r>
        <w:rPr>
          <w:spacing w:val="-3"/>
        </w:rPr>
        <w:t> </w:t>
      </w:r>
      <w:r>
        <w:rPr/>
        <w:t>leadership</w:t>
      </w:r>
      <w:r>
        <w:rPr>
          <w:spacing w:val="-2"/>
        </w:rPr>
        <w:t> </w:t>
      </w:r>
      <w:r>
        <w:rPr/>
        <w:t>role</w:t>
      </w:r>
      <w:r>
        <w:rPr>
          <w:spacing w:val="-4"/>
        </w:rPr>
        <w:t> </w:t>
      </w:r>
      <w:r>
        <w:rPr/>
        <w:t>in</w:t>
      </w:r>
      <w:r>
        <w:rPr>
          <w:spacing w:val="-2"/>
        </w:rPr>
        <w:t> </w:t>
      </w:r>
      <w:r>
        <w:rPr/>
        <w:t>considering</w:t>
      </w:r>
      <w:r>
        <w:rPr>
          <w:spacing w:val="-2"/>
        </w:rPr>
        <w:t> </w:t>
      </w:r>
      <w:r>
        <w:rPr/>
        <w:t>regulatory</w:t>
      </w:r>
      <w:r>
        <w:rPr>
          <w:spacing w:val="-6"/>
        </w:rPr>
        <w:t> </w:t>
      </w:r>
      <w:r>
        <w:rPr/>
        <w:t>responses</w:t>
      </w:r>
      <w:r>
        <w:rPr>
          <w:spacing w:val="-4"/>
        </w:rPr>
        <w:t> </w:t>
      </w:r>
      <w:r>
        <w:rPr/>
        <w:t>to</w:t>
      </w:r>
      <w:r>
        <w:rPr>
          <w:spacing w:val="-4"/>
        </w:rPr>
        <w:t> </w:t>
      </w:r>
      <w:r>
        <w:rPr/>
        <w:t>new technologies and network structures through the relevant national bodies – the Electrical Regulatory Authorities Council and the Gas Technical Regulators Committee.</w:t>
      </w:r>
    </w:p>
    <w:p>
      <w:pPr>
        <w:spacing w:after="0" w:line="288" w:lineRule="auto"/>
        <w:sectPr>
          <w:pgSz w:w="11910" w:h="16850"/>
          <w:pgMar w:header="220" w:footer="678" w:top="420" w:bottom="860" w:left="900" w:right="840"/>
        </w:sectPr>
      </w:pPr>
    </w:p>
    <w:p>
      <w:pPr>
        <w:pStyle w:val="BodyText"/>
        <w:rPr>
          <w:sz w:val="20"/>
        </w:rPr>
      </w:pPr>
    </w:p>
    <w:p>
      <w:pPr>
        <w:pStyle w:val="BodyText"/>
        <w:spacing w:before="7"/>
        <w:rPr>
          <w:sz w:val="19"/>
        </w:rPr>
      </w:pPr>
    </w:p>
    <w:p>
      <w:pPr>
        <w:pStyle w:val="Heading4"/>
      </w:pPr>
      <w:r>
        <w:rPr>
          <w:color w:val="585858"/>
        </w:rPr>
        <w:t>The</w:t>
      </w:r>
      <w:r>
        <w:rPr>
          <w:color w:val="585858"/>
          <w:spacing w:val="-9"/>
        </w:rPr>
        <w:t> </w:t>
      </w:r>
      <w:r>
        <w:rPr>
          <w:color w:val="585858"/>
        </w:rPr>
        <w:t>evolving</w:t>
      </w:r>
      <w:r>
        <w:rPr>
          <w:color w:val="585858"/>
          <w:spacing w:val="-10"/>
        </w:rPr>
        <w:t> </w:t>
      </w:r>
      <w:r>
        <w:rPr>
          <w:color w:val="585858"/>
        </w:rPr>
        <w:t>energy</w:t>
      </w:r>
      <w:r>
        <w:rPr>
          <w:color w:val="585858"/>
          <w:spacing w:val="-13"/>
        </w:rPr>
        <w:t> </w:t>
      </w:r>
      <w:r>
        <w:rPr>
          <w:color w:val="585858"/>
          <w:spacing w:val="-2"/>
        </w:rPr>
        <w:t>sector</w:t>
      </w:r>
    </w:p>
    <w:p>
      <w:pPr>
        <w:pStyle w:val="BodyText"/>
        <w:spacing w:line="288" w:lineRule="auto" w:before="314"/>
        <w:ind w:left="232" w:right="374"/>
      </w:pPr>
      <w:r>
        <w:rPr/>
        <w:t>The introduction of new energy technologies, changing consumer patterns and a trend towards cleaner energy is transforming the energy sector. Traditionally, the role of transmission and distribution</w:t>
      </w:r>
      <w:r>
        <w:rPr>
          <w:spacing w:val="-2"/>
        </w:rPr>
        <w:t> </w:t>
      </w:r>
      <w:r>
        <w:rPr/>
        <w:t>networks</w:t>
      </w:r>
      <w:r>
        <w:rPr>
          <w:spacing w:val="-4"/>
        </w:rPr>
        <w:t> </w:t>
      </w:r>
      <w:r>
        <w:rPr/>
        <w:t>has</w:t>
      </w:r>
      <w:r>
        <w:rPr>
          <w:spacing w:val="-4"/>
        </w:rPr>
        <w:t> </w:t>
      </w:r>
      <w:r>
        <w:rPr/>
        <w:t>been</w:t>
      </w:r>
      <w:r>
        <w:rPr>
          <w:spacing w:val="-4"/>
        </w:rPr>
        <w:t> </w:t>
      </w:r>
      <w:r>
        <w:rPr/>
        <w:t>to</w:t>
      </w:r>
      <w:r>
        <w:rPr>
          <w:spacing w:val="-4"/>
        </w:rPr>
        <w:t> </w:t>
      </w:r>
      <w:r>
        <w:rPr/>
        <w:t>transport</w:t>
      </w:r>
      <w:r>
        <w:rPr>
          <w:spacing w:val="-3"/>
        </w:rPr>
        <w:t> </w:t>
      </w:r>
      <w:r>
        <w:rPr/>
        <w:t>energy</w:t>
      </w:r>
      <w:r>
        <w:rPr>
          <w:spacing w:val="-4"/>
        </w:rPr>
        <w:t> </w:t>
      </w:r>
      <w:r>
        <w:rPr/>
        <w:t>in</w:t>
      </w:r>
      <w:r>
        <w:rPr>
          <w:spacing w:val="-2"/>
        </w:rPr>
        <w:t> </w:t>
      </w:r>
      <w:r>
        <w:rPr/>
        <w:t>one</w:t>
      </w:r>
      <w:r>
        <w:rPr>
          <w:spacing w:val="-2"/>
        </w:rPr>
        <w:t> </w:t>
      </w:r>
      <w:r>
        <w:rPr/>
        <w:t>direction,</w:t>
      </w:r>
      <w:r>
        <w:rPr>
          <w:spacing w:val="-5"/>
        </w:rPr>
        <w:t> </w:t>
      </w:r>
      <w:r>
        <w:rPr/>
        <w:t>from</w:t>
      </w:r>
      <w:r>
        <w:rPr>
          <w:spacing w:val="-1"/>
        </w:rPr>
        <w:t> </w:t>
      </w:r>
      <w:r>
        <w:rPr/>
        <w:t>large</w:t>
      </w:r>
      <w:r>
        <w:rPr>
          <w:spacing w:val="-2"/>
        </w:rPr>
        <w:t> </w:t>
      </w:r>
      <w:r>
        <w:rPr/>
        <w:t>centralised</w:t>
      </w:r>
      <w:r>
        <w:rPr>
          <w:spacing w:val="-2"/>
        </w:rPr>
        <w:t> </w:t>
      </w:r>
      <w:r>
        <w:rPr/>
        <w:t>power stations</w:t>
      </w:r>
      <w:r>
        <w:rPr>
          <w:spacing w:val="-4"/>
        </w:rPr>
        <w:t> </w:t>
      </w:r>
      <w:r>
        <w:rPr/>
        <w:t>or</w:t>
      </w:r>
      <w:r>
        <w:rPr>
          <w:spacing w:val="-6"/>
        </w:rPr>
        <w:t> </w:t>
      </w:r>
      <w:r>
        <w:rPr/>
        <w:t>gas</w:t>
      </w:r>
      <w:r>
        <w:rPr>
          <w:spacing w:val="-2"/>
        </w:rPr>
        <w:t> </w:t>
      </w:r>
      <w:r>
        <w:rPr/>
        <w:t>production</w:t>
      </w:r>
      <w:r>
        <w:rPr>
          <w:spacing w:val="-4"/>
        </w:rPr>
        <w:t> </w:t>
      </w:r>
      <w:r>
        <w:rPr/>
        <w:t>facilities</w:t>
      </w:r>
      <w:r>
        <w:rPr>
          <w:spacing w:val="-4"/>
        </w:rPr>
        <w:t> </w:t>
      </w:r>
      <w:r>
        <w:rPr/>
        <w:t>to</w:t>
      </w:r>
      <w:r>
        <w:rPr>
          <w:spacing w:val="-2"/>
        </w:rPr>
        <w:t> </w:t>
      </w:r>
      <w:r>
        <w:rPr/>
        <w:t>consumers.</w:t>
      </w:r>
      <w:r>
        <w:rPr>
          <w:spacing w:val="-3"/>
        </w:rPr>
        <w:t> </w:t>
      </w:r>
      <w:r>
        <w:rPr/>
        <w:t>Energy</w:t>
      </w:r>
      <w:r>
        <w:rPr>
          <w:spacing w:val="-4"/>
        </w:rPr>
        <w:t> </w:t>
      </w:r>
      <w:r>
        <w:rPr/>
        <w:t>legislation</w:t>
      </w:r>
      <w:r>
        <w:rPr>
          <w:spacing w:val="-2"/>
        </w:rPr>
        <w:t> </w:t>
      </w:r>
      <w:r>
        <w:rPr/>
        <w:t>and</w:t>
      </w:r>
      <w:r>
        <w:rPr>
          <w:spacing w:val="-6"/>
        </w:rPr>
        <w:t> </w:t>
      </w:r>
      <w:r>
        <w:rPr/>
        <w:t>the</w:t>
      </w:r>
      <w:r>
        <w:rPr>
          <w:spacing w:val="-2"/>
        </w:rPr>
        <w:t> </w:t>
      </w:r>
      <w:r>
        <w:rPr/>
        <w:t>network business</w:t>
      </w:r>
      <w:r>
        <w:rPr>
          <w:spacing w:val="-4"/>
        </w:rPr>
        <w:t> </w:t>
      </w:r>
      <w:r>
        <w:rPr/>
        <w:t>it applies to, evolved to facilitate this one-way model of energy transfer.</w:t>
      </w:r>
    </w:p>
    <w:p>
      <w:pPr>
        <w:pStyle w:val="BodyText"/>
        <w:spacing w:before="9"/>
        <w:rPr>
          <w:sz w:val="20"/>
        </w:rPr>
      </w:pPr>
    </w:p>
    <w:p>
      <w:pPr>
        <w:pStyle w:val="BodyText"/>
        <w:spacing w:line="288" w:lineRule="auto"/>
        <w:ind w:left="232" w:right="312"/>
      </w:pPr>
      <w:r>
        <w:rPr/>
        <w:t>The past decade, however, has seen Victorian energy customers take more control over how they generate and consume energy. Victoria has seen a rapid uptake of distributed energy resources, new energy efficient products and the increasing use of information technology to enable consumers</w:t>
      </w:r>
      <w:r>
        <w:rPr>
          <w:spacing w:val="-5"/>
        </w:rPr>
        <w:t> </w:t>
      </w:r>
      <w:r>
        <w:rPr/>
        <w:t>to</w:t>
      </w:r>
      <w:r>
        <w:rPr>
          <w:spacing w:val="-3"/>
        </w:rPr>
        <w:t> </w:t>
      </w:r>
      <w:r>
        <w:rPr/>
        <w:t>control</w:t>
      </w:r>
      <w:r>
        <w:rPr>
          <w:spacing w:val="-6"/>
        </w:rPr>
        <w:t> </w:t>
      </w:r>
      <w:r>
        <w:rPr/>
        <w:t>their</w:t>
      </w:r>
      <w:r>
        <w:rPr>
          <w:spacing w:val="-2"/>
        </w:rPr>
        <w:t> </w:t>
      </w:r>
      <w:r>
        <w:rPr/>
        <w:t>own</w:t>
      </w:r>
      <w:r>
        <w:rPr>
          <w:spacing w:val="-3"/>
        </w:rPr>
        <w:t> </w:t>
      </w:r>
      <w:r>
        <w:rPr/>
        <w:t>energy</w:t>
      </w:r>
      <w:r>
        <w:rPr>
          <w:spacing w:val="-5"/>
        </w:rPr>
        <w:t> </w:t>
      </w:r>
      <w:r>
        <w:rPr/>
        <w:t>use.</w:t>
      </w:r>
      <w:r>
        <w:rPr>
          <w:spacing w:val="-1"/>
        </w:rPr>
        <w:t> </w:t>
      </w:r>
      <w:r>
        <w:rPr/>
        <w:t>Similarly,</w:t>
      </w:r>
      <w:r>
        <w:rPr>
          <w:spacing w:val="-1"/>
        </w:rPr>
        <w:t> </w:t>
      </w:r>
      <w:r>
        <w:rPr/>
        <w:t>network</w:t>
      </w:r>
      <w:r>
        <w:rPr>
          <w:spacing w:val="-2"/>
        </w:rPr>
        <w:t> </w:t>
      </w:r>
      <w:r>
        <w:rPr/>
        <w:t>providers</w:t>
      </w:r>
      <w:r>
        <w:rPr>
          <w:spacing w:val="-2"/>
        </w:rPr>
        <w:t> </w:t>
      </w:r>
      <w:r>
        <w:rPr/>
        <w:t>are</w:t>
      </w:r>
      <w:r>
        <w:rPr>
          <w:spacing w:val="-3"/>
        </w:rPr>
        <w:t> </w:t>
      </w:r>
      <w:r>
        <w:rPr/>
        <w:t>increasingly</w:t>
      </w:r>
      <w:r>
        <w:rPr>
          <w:spacing w:val="-5"/>
        </w:rPr>
        <w:t> </w:t>
      </w:r>
      <w:r>
        <w:rPr/>
        <w:t>employing new technologies to enhance the safety and efficacy of their transmission and distribution</w:t>
      </w:r>
      <w:r>
        <w:rPr>
          <w:spacing w:val="40"/>
        </w:rPr>
        <w:t> </w:t>
      </w:r>
      <w:r>
        <w:rPr>
          <w:spacing w:val="-2"/>
        </w:rPr>
        <w:t>networks.</w:t>
      </w:r>
    </w:p>
    <w:p>
      <w:pPr>
        <w:pStyle w:val="BodyText"/>
        <w:spacing w:before="11"/>
        <w:rPr>
          <w:sz w:val="20"/>
        </w:rPr>
      </w:pPr>
    </w:p>
    <w:p>
      <w:pPr>
        <w:pStyle w:val="BodyText"/>
        <w:spacing w:line="288" w:lineRule="auto"/>
        <w:ind w:left="232" w:right="374"/>
      </w:pPr>
      <w:r>
        <w:rPr/>
        <w:t>Recognising</w:t>
      </w:r>
      <w:r>
        <w:rPr>
          <w:spacing w:val="-3"/>
        </w:rPr>
        <w:t> </w:t>
      </w:r>
      <w:r>
        <w:rPr/>
        <w:t>the</w:t>
      </w:r>
      <w:r>
        <w:rPr>
          <w:spacing w:val="-1"/>
        </w:rPr>
        <w:t> </w:t>
      </w:r>
      <w:r>
        <w:rPr/>
        <w:t>potential</w:t>
      </w:r>
      <w:r>
        <w:rPr>
          <w:spacing w:val="-4"/>
        </w:rPr>
        <w:t> </w:t>
      </w:r>
      <w:r>
        <w:rPr/>
        <w:t>for</w:t>
      </w:r>
      <w:r>
        <w:rPr>
          <w:spacing w:val="-2"/>
        </w:rPr>
        <w:t> </w:t>
      </w:r>
      <w:r>
        <w:rPr/>
        <w:t>these</w:t>
      </w:r>
      <w:r>
        <w:rPr>
          <w:spacing w:val="-3"/>
        </w:rPr>
        <w:t> </w:t>
      </w:r>
      <w:r>
        <w:rPr/>
        <w:t>changes</w:t>
      </w:r>
      <w:r>
        <w:rPr>
          <w:spacing w:val="-3"/>
        </w:rPr>
        <w:t> </w:t>
      </w:r>
      <w:r>
        <w:rPr/>
        <w:t>to</w:t>
      </w:r>
      <w:r>
        <w:rPr>
          <w:spacing w:val="-3"/>
        </w:rPr>
        <w:t> </w:t>
      </w:r>
      <w:r>
        <w:rPr/>
        <w:t>create</w:t>
      </w:r>
      <w:r>
        <w:rPr>
          <w:spacing w:val="-1"/>
        </w:rPr>
        <w:t> </w:t>
      </w:r>
      <w:r>
        <w:rPr/>
        <w:t>new</w:t>
      </w:r>
      <w:r>
        <w:rPr>
          <w:spacing w:val="-4"/>
        </w:rPr>
        <w:t> </w:t>
      </w:r>
      <w:r>
        <w:rPr/>
        <w:t>safety</w:t>
      </w:r>
      <w:r>
        <w:rPr>
          <w:spacing w:val="-3"/>
        </w:rPr>
        <w:t> </w:t>
      </w:r>
      <w:r>
        <w:rPr/>
        <w:t>risks, ESV</w:t>
      </w:r>
      <w:r>
        <w:rPr>
          <w:spacing w:val="-1"/>
        </w:rPr>
        <w:t> </w:t>
      </w:r>
      <w:r>
        <w:rPr/>
        <w:t>commissioned</w:t>
      </w:r>
      <w:r>
        <w:rPr>
          <w:spacing w:val="-1"/>
        </w:rPr>
        <w:t> </w:t>
      </w:r>
      <w:r>
        <w:rPr/>
        <w:t>the consulting firm, Advisian, to report on the potential impacts of new energy in 2016. Advisian’s report for ESV on the </w:t>
      </w:r>
      <w:r>
        <w:rPr>
          <w:i/>
        </w:rPr>
        <w:t>Potential Impacts of New Energy </w:t>
      </w:r>
      <w:r>
        <w:rPr/>
        <w:t>found that continuing advancements in energy technologies and new business models over the next decade will likely include:</w:t>
      </w:r>
    </w:p>
    <w:p>
      <w:pPr>
        <w:pStyle w:val="BodyText"/>
        <w:spacing w:before="4"/>
      </w:pPr>
    </w:p>
    <w:p>
      <w:pPr>
        <w:pStyle w:val="ListParagraph"/>
        <w:numPr>
          <w:ilvl w:val="0"/>
          <w:numId w:val="77"/>
        </w:numPr>
        <w:tabs>
          <w:tab w:pos="590" w:val="left" w:leader="none"/>
        </w:tabs>
        <w:spacing w:line="240" w:lineRule="auto" w:before="0" w:after="0"/>
        <w:ind w:left="590" w:right="0" w:hanging="358"/>
        <w:jc w:val="left"/>
        <w:rPr>
          <w:sz w:val="22"/>
        </w:rPr>
      </w:pPr>
      <w:r>
        <w:rPr>
          <w:sz w:val="22"/>
        </w:rPr>
        <w:t>significant</w:t>
      </w:r>
      <w:r>
        <w:rPr>
          <w:spacing w:val="-9"/>
          <w:sz w:val="22"/>
        </w:rPr>
        <w:t> </w:t>
      </w:r>
      <w:r>
        <w:rPr>
          <w:sz w:val="22"/>
        </w:rPr>
        <w:t>uptake</w:t>
      </w:r>
      <w:r>
        <w:rPr>
          <w:spacing w:val="-5"/>
          <w:sz w:val="22"/>
        </w:rPr>
        <w:t> </w:t>
      </w:r>
      <w:r>
        <w:rPr>
          <w:sz w:val="22"/>
        </w:rPr>
        <w:t>of</w:t>
      </w:r>
      <w:r>
        <w:rPr>
          <w:spacing w:val="-4"/>
          <w:sz w:val="22"/>
        </w:rPr>
        <w:t> </w:t>
      </w:r>
      <w:r>
        <w:rPr>
          <w:sz w:val="22"/>
        </w:rPr>
        <w:t>energy</w:t>
      </w:r>
      <w:r>
        <w:rPr>
          <w:spacing w:val="-7"/>
          <w:sz w:val="22"/>
        </w:rPr>
        <w:t> </w:t>
      </w:r>
      <w:r>
        <w:rPr>
          <w:sz w:val="22"/>
        </w:rPr>
        <w:t>storage</w:t>
      </w:r>
      <w:r>
        <w:rPr>
          <w:spacing w:val="-8"/>
          <w:sz w:val="22"/>
        </w:rPr>
        <w:t> </w:t>
      </w:r>
      <w:r>
        <w:rPr>
          <w:sz w:val="22"/>
        </w:rPr>
        <w:t>technologies</w:t>
      </w:r>
      <w:r>
        <w:rPr>
          <w:spacing w:val="-7"/>
          <w:sz w:val="22"/>
        </w:rPr>
        <w:t> </w:t>
      </w:r>
      <w:r>
        <w:rPr>
          <w:sz w:val="22"/>
        </w:rPr>
        <w:t>such</w:t>
      </w:r>
      <w:r>
        <w:rPr>
          <w:spacing w:val="-6"/>
          <w:sz w:val="22"/>
        </w:rPr>
        <w:t> </w:t>
      </w:r>
      <w:r>
        <w:rPr>
          <w:sz w:val="22"/>
        </w:rPr>
        <w:t>as</w:t>
      </w:r>
      <w:r>
        <w:rPr>
          <w:spacing w:val="-7"/>
          <w:sz w:val="22"/>
        </w:rPr>
        <w:t> </w:t>
      </w:r>
      <w:r>
        <w:rPr>
          <w:sz w:val="22"/>
        </w:rPr>
        <w:t>battery</w:t>
      </w:r>
      <w:r>
        <w:rPr>
          <w:spacing w:val="-6"/>
          <w:sz w:val="22"/>
        </w:rPr>
        <w:t> </w:t>
      </w:r>
      <w:r>
        <w:rPr>
          <w:sz w:val="22"/>
        </w:rPr>
        <w:t>storage</w:t>
      </w:r>
      <w:r>
        <w:rPr>
          <w:spacing w:val="-9"/>
          <w:sz w:val="22"/>
        </w:rPr>
        <w:t> </w:t>
      </w:r>
      <w:r>
        <w:rPr>
          <w:spacing w:val="-2"/>
          <w:sz w:val="22"/>
        </w:rPr>
        <w:t>systems;</w:t>
      </w:r>
    </w:p>
    <w:p>
      <w:pPr>
        <w:pStyle w:val="ListParagraph"/>
        <w:numPr>
          <w:ilvl w:val="0"/>
          <w:numId w:val="77"/>
        </w:numPr>
        <w:tabs>
          <w:tab w:pos="590" w:val="left" w:leader="none"/>
        </w:tabs>
        <w:spacing w:line="240" w:lineRule="auto" w:before="66" w:after="0"/>
        <w:ind w:left="590" w:right="0" w:hanging="358"/>
        <w:jc w:val="left"/>
        <w:rPr>
          <w:sz w:val="22"/>
        </w:rPr>
      </w:pPr>
      <w:r>
        <w:rPr>
          <w:sz w:val="22"/>
        </w:rPr>
        <w:t>continuing</w:t>
      </w:r>
      <w:r>
        <w:rPr>
          <w:spacing w:val="-6"/>
          <w:sz w:val="22"/>
        </w:rPr>
        <w:t> </w:t>
      </w:r>
      <w:r>
        <w:rPr>
          <w:sz w:val="22"/>
        </w:rPr>
        <w:t>adoption</w:t>
      </w:r>
      <w:r>
        <w:rPr>
          <w:spacing w:val="-5"/>
          <w:sz w:val="22"/>
        </w:rPr>
        <w:t> </w:t>
      </w:r>
      <w:r>
        <w:rPr>
          <w:sz w:val="22"/>
        </w:rPr>
        <w:t>of</w:t>
      </w:r>
      <w:r>
        <w:rPr>
          <w:spacing w:val="-4"/>
          <w:sz w:val="22"/>
        </w:rPr>
        <w:t> </w:t>
      </w:r>
      <w:r>
        <w:rPr>
          <w:sz w:val="22"/>
        </w:rPr>
        <w:t>distributed</w:t>
      </w:r>
      <w:r>
        <w:rPr>
          <w:spacing w:val="-7"/>
          <w:sz w:val="22"/>
        </w:rPr>
        <w:t> </w:t>
      </w:r>
      <w:r>
        <w:rPr>
          <w:sz w:val="22"/>
        </w:rPr>
        <w:t>energy</w:t>
      </w:r>
      <w:r>
        <w:rPr>
          <w:spacing w:val="-9"/>
          <w:sz w:val="22"/>
        </w:rPr>
        <w:t> </w:t>
      </w:r>
      <w:r>
        <w:rPr>
          <w:sz w:val="22"/>
        </w:rPr>
        <w:t>resources</w:t>
      </w:r>
      <w:r>
        <w:rPr>
          <w:spacing w:val="-5"/>
          <w:sz w:val="22"/>
        </w:rPr>
        <w:t> </w:t>
      </w:r>
      <w:r>
        <w:rPr>
          <w:sz w:val="22"/>
        </w:rPr>
        <w:t>such</w:t>
      </w:r>
      <w:r>
        <w:rPr>
          <w:spacing w:val="-7"/>
          <w:sz w:val="22"/>
        </w:rPr>
        <w:t> </w:t>
      </w:r>
      <w:r>
        <w:rPr>
          <w:sz w:val="22"/>
        </w:rPr>
        <w:t>as</w:t>
      </w:r>
      <w:r>
        <w:rPr>
          <w:spacing w:val="-7"/>
          <w:sz w:val="22"/>
        </w:rPr>
        <w:t> </w:t>
      </w:r>
      <w:r>
        <w:rPr>
          <w:sz w:val="22"/>
        </w:rPr>
        <w:t>rooftop</w:t>
      </w:r>
      <w:r>
        <w:rPr>
          <w:spacing w:val="-7"/>
          <w:sz w:val="22"/>
        </w:rPr>
        <w:t> </w:t>
      </w:r>
      <w:r>
        <w:rPr>
          <w:spacing w:val="-2"/>
          <w:sz w:val="22"/>
        </w:rPr>
        <w:t>solar;</w:t>
      </w:r>
    </w:p>
    <w:p>
      <w:pPr>
        <w:pStyle w:val="ListParagraph"/>
        <w:numPr>
          <w:ilvl w:val="0"/>
          <w:numId w:val="77"/>
        </w:numPr>
        <w:tabs>
          <w:tab w:pos="590" w:val="left" w:leader="none"/>
        </w:tabs>
        <w:spacing w:line="240" w:lineRule="auto" w:before="64" w:after="0"/>
        <w:ind w:left="590" w:right="0" w:hanging="358"/>
        <w:jc w:val="left"/>
        <w:rPr>
          <w:sz w:val="22"/>
        </w:rPr>
      </w:pPr>
      <w:r>
        <w:rPr>
          <w:sz w:val="22"/>
        </w:rPr>
        <w:t>continuing</w:t>
      </w:r>
      <w:r>
        <w:rPr>
          <w:spacing w:val="-9"/>
          <w:sz w:val="22"/>
        </w:rPr>
        <w:t> </w:t>
      </w:r>
      <w:r>
        <w:rPr>
          <w:sz w:val="22"/>
        </w:rPr>
        <w:t>deployment</w:t>
      </w:r>
      <w:r>
        <w:rPr>
          <w:spacing w:val="-6"/>
          <w:sz w:val="22"/>
        </w:rPr>
        <w:t> </w:t>
      </w:r>
      <w:r>
        <w:rPr>
          <w:sz w:val="22"/>
        </w:rPr>
        <w:t>of</w:t>
      </w:r>
      <w:r>
        <w:rPr>
          <w:spacing w:val="-9"/>
          <w:sz w:val="22"/>
        </w:rPr>
        <w:t> </w:t>
      </w:r>
      <w:r>
        <w:rPr>
          <w:sz w:val="22"/>
        </w:rPr>
        <w:t>large-scale</w:t>
      </w:r>
      <w:r>
        <w:rPr>
          <w:spacing w:val="-10"/>
          <w:sz w:val="22"/>
        </w:rPr>
        <w:t> </w:t>
      </w:r>
      <w:r>
        <w:rPr>
          <w:sz w:val="22"/>
        </w:rPr>
        <w:t>renewable</w:t>
      </w:r>
      <w:r>
        <w:rPr>
          <w:spacing w:val="-8"/>
          <w:sz w:val="22"/>
        </w:rPr>
        <w:t> </w:t>
      </w:r>
      <w:r>
        <w:rPr>
          <w:spacing w:val="-2"/>
          <w:sz w:val="22"/>
        </w:rPr>
        <w:t>generation;</w:t>
      </w:r>
    </w:p>
    <w:p>
      <w:pPr>
        <w:pStyle w:val="ListParagraph"/>
        <w:numPr>
          <w:ilvl w:val="0"/>
          <w:numId w:val="77"/>
        </w:numPr>
        <w:tabs>
          <w:tab w:pos="590" w:val="left" w:leader="none"/>
        </w:tabs>
        <w:spacing w:line="240" w:lineRule="auto" w:before="66" w:after="0"/>
        <w:ind w:left="590" w:right="0" w:hanging="358"/>
        <w:jc w:val="left"/>
        <w:rPr>
          <w:sz w:val="22"/>
        </w:rPr>
      </w:pPr>
      <w:r>
        <w:rPr>
          <w:sz w:val="22"/>
        </w:rPr>
        <w:t>adoption</w:t>
      </w:r>
      <w:r>
        <w:rPr>
          <w:spacing w:val="-7"/>
          <w:sz w:val="22"/>
        </w:rPr>
        <w:t> </w:t>
      </w:r>
      <w:r>
        <w:rPr>
          <w:sz w:val="22"/>
        </w:rPr>
        <w:t>of</w:t>
      </w:r>
      <w:r>
        <w:rPr>
          <w:spacing w:val="-4"/>
          <w:sz w:val="22"/>
        </w:rPr>
        <w:t> </w:t>
      </w:r>
      <w:r>
        <w:rPr>
          <w:sz w:val="22"/>
        </w:rPr>
        <w:t>low</w:t>
      </w:r>
      <w:r>
        <w:rPr>
          <w:spacing w:val="-9"/>
          <w:sz w:val="22"/>
        </w:rPr>
        <w:t> </w:t>
      </w:r>
      <w:r>
        <w:rPr>
          <w:sz w:val="22"/>
        </w:rPr>
        <w:t>emission</w:t>
      </w:r>
      <w:r>
        <w:rPr>
          <w:spacing w:val="-6"/>
          <w:sz w:val="22"/>
        </w:rPr>
        <w:t> </w:t>
      </w:r>
      <w:r>
        <w:rPr>
          <w:sz w:val="22"/>
        </w:rPr>
        <w:t>technologies</w:t>
      </w:r>
      <w:r>
        <w:rPr>
          <w:spacing w:val="-6"/>
          <w:sz w:val="22"/>
        </w:rPr>
        <w:t> </w:t>
      </w:r>
      <w:r>
        <w:rPr>
          <w:sz w:val="22"/>
        </w:rPr>
        <w:t>including</w:t>
      </w:r>
      <w:r>
        <w:rPr>
          <w:spacing w:val="-8"/>
          <w:sz w:val="22"/>
        </w:rPr>
        <w:t> </w:t>
      </w:r>
      <w:r>
        <w:rPr>
          <w:sz w:val="22"/>
        </w:rPr>
        <w:t>fuel</w:t>
      </w:r>
      <w:r>
        <w:rPr>
          <w:spacing w:val="-6"/>
          <w:sz w:val="22"/>
        </w:rPr>
        <w:t> </w:t>
      </w:r>
      <w:r>
        <w:rPr>
          <w:spacing w:val="-2"/>
          <w:sz w:val="22"/>
        </w:rPr>
        <w:t>cells;</w:t>
      </w:r>
    </w:p>
    <w:p>
      <w:pPr>
        <w:pStyle w:val="ListParagraph"/>
        <w:numPr>
          <w:ilvl w:val="0"/>
          <w:numId w:val="77"/>
        </w:numPr>
        <w:tabs>
          <w:tab w:pos="590" w:val="left" w:leader="none"/>
        </w:tabs>
        <w:spacing w:line="240" w:lineRule="auto" w:before="66" w:after="0"/>
        <w:ind w:left="590" w:right="0" w:hanging="358"/>
        <w:jc w:val="left"/>
        <w:rPr>
          <w:sz w:val="22"/>
        </w:rPr>
      </w:pPr>
      <w:r>
        <w:rPr>
          <w:sz w:val="22"/>
        </w:rPr>
        <w:t>development</w:t>
      </w:r>
      <w:r>
        <w:rPr>
          <w:spacing w:val="-7"/>
          <w:sz w:val="22"/>
        </w:rPr>
        <w:t> </w:t>
      </w:r>
      <w:r>
        <w:rPr>
          <w:sz w:val="22"/>
        </w:rPr>
        <w:t>of</w:t>
      </w:r>
      <w:r>
        <w:rPr>
          <w:spacing w:val="-5"/>
          <w:sz w:val="22"/>
        </w:rPr>
        <w:t> </w:t>
      </w:r>
      <w:r>
        <w:rPr>
          <w:sz w:val="22"/>
        </w:rPr>
        <w:t>microgrids</w:t>
      </w:r>
      <w:r>
        <w:rPr>
          <w:spacing w:val="-6"/>
          <w:sz w:val="22"/>
        </w:rPr>
        <w:t> </w:t>
      </w:r>
      <w:r>
        <w:rPr>
          <w:sz w:val="22"/>
        </w:rPr>
        <w:t>as</w:t>
      </w:r>
      <w:r>
        <w:rPr>
          <w:spacing w:val="-6"/>
          <w:sz w:val="22"/>
        </w:rPr>
        <w:t> </w:t>
      </w:r>
      <w:r>
        <w:rPr>
          <w:sz w:val="22"/>
        </w:rPr>
        <w:t>an</w:t>
      </w:r>
      <w:r>
        <w:rPr>
          <w:spacing w:val="-8"/>
          <w:sz w:val="22"/>
        </w:rPr>
        <w:t> </w:t>
      </w:r>
      <w:r>
        <w:rPr>
          <w:sz w:val="22"/>
        </w:rPr>
        <w:t>alternative</w:t>
      </w:r>
      <w:r>
        <w:rPr>
          <w:spacing w:val="-7"/>
          <w:sz w:val="22"/>
        </w:rPr>
        <w:t> </w:t>
      </w:r>
      <w:r>
        <w:rPr>
          <w:sz w:val="22"/>
        </w:rPr>
        <w:t>to</w:t>
      </w:r>
      <w:r>
        <w:rPr>
          <w:spacing w:val="-8"/>
          <w:sz w:val="22"/>
        </w:rPr>
        <w:t> </w:t>
      </w:r>
      <w:r>
        <w:rPr>
          <w:sz w:val="22"/>
        </w:rPr>
        <w:t>traditional</w:t>
      </w:r>
      <w:r>
        <w:rPr>
          <w:spacing w:val="-7"/>
          <w:sz w:val="22"/>
        </w:rPr>
        <w:t> </w:t>
      </w:r>
      <w:r>
        <w:rPr>
          <w:spacing w:val="-2"/>
          <w:sz w:val="22"/>
        </w:rPr>
        <w:t>networks;</w:t>
      </w:r>
    </w:p>
    <w:p>
      <w:pPr>
        <w:pStyle w:val="ListParagraph"/>
        <w:numPr>
          <w:ilvl w:val="0"/>
          <w:numId w:val="77"/>
        </w:numPr>
        <w:tabs>
          <w:tab w:pos="590" w:val="left" w:leader="none"/>
        </w:tabs>
        <w:spacing w:line="288" w:lineRule="auto" w:before="64" w:after="0"/>
        <w:ind w:left="590" w:right="473" w:hanging="359"/>
        <w:jc w:val="left"/>
        <w:rPr>
          <w:sz w:val="22"/>
        </w:rPr>
      </w:pPr>
      <w:r>
        <w:rPr>
          <w:sz w:val="22"/>
        </w:rPr>
        <w:t>adoption</w:t>
      </w:r>
      <w:r>
        <w:rPr>
          <w:spacing w:val="-2"/>
          <w:sz w:val="22"/>
        </w:rPr>
        <w:t> </w:t>
      </w:r>
      <w:r>
        <w:rPr>
          <w:sz w:val="22"/>
        </w:rPr>
        <w:t>of innovative</w:t>
      </w:r>
      <w:r>
        <w:rPr>
          <w:spacing w:val="-2"/>
          <w:sz w:val="22"/>
        </w:rPr>
        <w:t> </w:t>
      </w:r>
      <w:r>
        <w:rPr>
          <w:sz w:val="22"/>
        </w:rPr>
        <w:t>solutions</w:t>
      </w:r>
      <w:r>
        <w:rPr>
          <w:spacing w:val="-2"/>
          <w:sz w:val="22"/>
        </w:rPr>
        <w:t> </w:t>
      </w:r>
      <w:r>
        <w:rPr>
          <w:sz w:val="22"/>
        </w:rPr>
        <w:t>to</w:t>
      </w:r>
      <w:r>
        <w:rPr>
          <w:spacing w:val="-4"/>
          <w:sz w:val="22"/>
        </w:rPr>
        <w:t> </w:t>
      </w:r>
      <w:r>
        <w:rPr>
          <w:sz w:val="22"/>
        </w:rPr>
        <w:t>allow</w:t>
      </w:r>
      <w:r>
        <w:rPr>
          <w:spacing w:val="-5"/>
          <w:sz w:val="22"/>
        </w:rPr>
        <w:t> </w:t>
      </w:r>
      <w:r>
        <w:rPr>
          <w:sz w:val="22"/>
        </w:rPr>
        <w:t>more</w:t>
      </w:r>
      <w:r>
        <w:rPr>
          <w:spacing w:val="-4"/>
          <w:sz w:val="22"/>
        </w:rPr>
        <w:t> </w:t>
      </w:r>
      <w:r>
        <w:rPr>
          <w:sz w:val="22"/>
        </w:rPr>
        <w:t>gas</w:t>
      </w:r>
      <w:r>
        <w:rPr>
          <w:spacing w:val="-4"/>
          <w:sz w:val="22"/>
        </w:rPr>
        <w:t> </w:t>
      </w:r>
      <w:r>
        <w:rPr>
          <w:sz w:val="22"/>
        </w:rPr>
        <w:t>to</w:t>
      </w:r>
      <w:r>
        <w:rPr>
          <w:spacing w:val="-4"/>
          <w:sz w:val="22"/>
        </w:rPr>
        <w:t> </w:t>
      </w:r>
      <w:r>
        <w:rPr>
          <w:sz w:val="22"/>
        </w:rPr>
        <w:t>be</w:t>
      </w:r>
      <w:r>
        <w:rPr>
          <w:spacing w:val="-2"/>
          <w:sz w:val="22"/>
        </w:rPr>
        <w:t> </w:t>
      </w:r>
      <w:r>
        <w:rPr>
          <w:sz w:val="22"/>
        </w:rPr>
        <w:t>supplied</w:t>
      </w:r>
      <w:r>
        <w:rPr>
          <w:spacing w:val="-4"/>
          <w:sz w:val="22"/>
        </w:rPr>
        <w:t> </w:t>
      </w:r>
      <w:r>
        <w:rPr>
          <w:sz w:val="22"/>
        </w:rPr>
        <w:t>to</w:t>
      </w:r>
      <w:r>
        <w:rPr>
          <w:spacing w:val="-4"/>
          <w:sz w:val="22"/>
        </w:rPr>
        <w:t> </w:t>
      </w:r>
      <w:r>
        <w:rPr>
          <w:sz w:val="22"/>
        </w:rPr>
        <w:t>the</w:t>
      </w:r>
      <w:r>
        <w:rPr>
          <w:spacing w:val="-2"/>
          <w:sz w:val="22"/>
        </w:rPr>
        <w:t> </w:t>
      </w:r>
      <w:r>
        <w:rPr>
          <w:sz w:val="22"/>
        </w:rPr>
        <w:t>domestic</w:t>
      </w:r>
      <w:r>
        <w:rPr>
          <w:spacing w:val="-4"/>
          <w:sz w:val="22"/>
        </w:rPr>
        <w:t> </w:t>
      </w:r>
      <w:r>
        <w:rPr>
          <w:sz w:val="22"/>
        </w:rPr>
        <w:t>market such as the use of biogas or hydrogen to complement natural gas supply using existing gas </w:t>
      </w:r>
      <w:r>
        <w:rPr>
          <w:spacing w:val="-2"/>
          <w:sz w:val="22"/>
        </w:rPr>
        <w:t>infrastructure;</w:t>
      </w:r>
    </w:p>
    <w:p>
      <w:pPr>
        <w:pStyle w:val="ListParagraph"/>
        <w:numPr>
          <w:ilvl w:val="0"/>
          <w:numId w:val="77"/>
        </w:numPr>
        <w:tabs>
          <w:tab w:pos="590" w:val="left" w:leader="none"/>
        </w:tabs>
        <w:spacing w:line="240" w:lineRule="auto" w:before="16" w:after="0"/>
        <w:ind w:left="590" w:right="0" w:hanging="358"/>
        <w:jc w:val="left"/>
        <w:rPr>
          <w:sz w:val="22"/>
        </w:rPr>
      </w:pPr>
      <w:r>
        <w:rPr>
          <w:sz w:val="22"/>
        </w:rPr>
        <w:t>further</w:t>
      </w:r>
      <w:r>
        <w:rPr>
          <w:spacing w:val="-8"/>
          <w:sz w:val="22"/>
        </w:rPr>
        <w:t> </w:t>
      </w:r>
      <w:r>
        <w:rPr>
          <w:sz w:val="22"/>
        </w:rPr>
        <w:t>advancements</w:t>
      </w:r>
      <w:r>
        <w:rPr>
          <w:spacing w:val="-6"/>
          <w:sz w:val="22"/>
        </w:rPr>
        <w:t> </w:t>
      </w:r>
      <w:r>
        <w:rPr>
          <w:sz w:val="22"/>
        </w:rPr>
        <w:t>in</w:t>
      </w:r>
      <w:r>
        <w:rPr>
          <w:spacing w:val="-6"/>
          <w:sz w:val="22"/>
        </w:rPr>
        <w:t> </w:t>
      </w:r>
      <w:r>
        <w:rPr>
          <w:sz w:val="22"/>
        </w:rPr>
        <w:t>the</w:t>
      </w:r>
      <w:r>
        <w:rPr>
          <w:spacing w:val="-4"/>
          <w:sz w:val="22"/>
        </w:rPr>
        <w:t> </w:t>
      </w:r>
      <w:r>
        <w:rPr>
          <w:sz w:val="22"/>
        </w:rPr>
        <w:t>use</w:t>
      </w:r>
      <w:r>
        <w:rPr>
          <w:spacing w:val="-6"/>
          <w:sz w:val="22"/>
        </w:rPr>
        <w:t> </w:t>
      </w:r>
      <w:r>
        <w:rPr>
          <w:sz w:val="22"/>
        </w:rPr>
        <w:t>of</w:t>
      </w:r>
      <w:r>
        <w:rPr>
          <w:spacing w:val="-3"/>
          <w:sz w:val="22"/>
        </w:rPr>
        <w:t> </w:t>
      </w:r>
      <w:r>
        <w:rPr>
          <w:sz w:val="22"/>
        </w:rPr>
        <w:t>information</w:t>
      </w:r>
      <w:r>
        <w:rPr>
          <w:spacing w:val="-4"/>
          <w:sz w:val="22"/>
        </w:rPr>
        <w:t> </w:t>
      </w:r>
      <w:r>
        <w:rPr>
          <w:sz w:val="22"/>
        </w:rPr>
        <w:t>technology</w:t>
      </w:r>
      <w:r>
        <w:rPr>
          <w:spacing w:val="-6"/>
          <w:sz w:val="22"/>
        </w:rPr>
        <w:t> </w:t>
      </w:r>
      <w:r>
        <w:rPr>
          <w:sz w:val="22"/>
        </w:rPr>
        <w:t>in</w:t>
      </w:r>
      <w:r>
        <w:rPr>
          <w:spacing w:val="-4"/>
          <w:sz w:val="22"/>
        </w:rPr>
        <w:t> </w:t>
      </w:r>
      <w:r>
        <w:rPr>
          <w:sz w:val="22"/>
        </w:rPr>
        <w:t>energy</w:t>
      </w:r>
      <w:r>
        <w:rPr>
          <w:spacing w:val="-6"/>
          <w:sz w:val="22"/>
        </w:rPr>
        <w:t> </w:t>
      </w:r>
      <w:r>
        <w:rPr>
          <w:spacing w:val="-2"/>
          <w:sz w:val="22"/>
        </w:rPr>
        <w:t>networks;</w:t>
      </w:r>
    </w:p>
    <w:p>
      <w:pPr>
        <w:pStyle w:val="ListParagraph"/>
        <w:numPr>
          <w:ilvl w:val="0"/>
          <w:numId w:val="77"/>
        </w:numPr>
        <w:tabs>
          <w:tab w:pos="590" w:val="left" w:leader="none"/>
        </w:tabs>
        <w:spacing w:line="240" w:lineRule="auto" w:before="66" w:after="0"/>
        <w:ind w:left="590" w:right="0" w:hanging="358"/>
        <w:jc w:val="left"/>
        <w:rPr>
          <w:sz w:val="22"/>
        </w:rPr>
      </w:pPr>
      <w:r>
        <w:rPr>
          <w:sz w:val="22"/>
        </w:rPr>
        <w:t>new</w:t>
      </w:r>
      <w:r>
        <w:rPr>
          <w:spacing w:val="-10"/>
          <w:sz w:val="22"/>
        </w:rPr>
        <w:t> </w:t>
      </w:r>
      <w:r>
        <w:rPr>
          <w:sz w:val="22"/>
        </w:rPr>
        <w:t>market</w:t>
      </w:r>
      <w:r>
        <w:rPr>
          <w:spacing w:val="-6"/>
          <w:sz w:val="22"/>
        </w:rPr>
        <w:t> </w:t>
      </w:r>
      <w:r>
        <w:rPr>
          <w:sz w:val="22"/>
        </w:rPr>
        <w:t>entrants</w:t>
      </w:r>
      <w:r>
        <w:rPr>
          <w:spacing w:val="-7"/>
          <w:sz w:val="22"/>
        </w:rPr>
        <w:t> </w:t>
      </w:r>
      <w:r>
        <w:rPr>
          <w:sz w:val="22"/>
        </w:rPr>
        <w:t>offering</w:t>
      </w:r>
      <w:r>
        <w:rPr>
          <w:spacing w:val="-4"/>
          <w:sz w:val="22"/>
        </w:rPr>
        <w:t> </w:t>
      </w:r>
      <w:r>
        <w:rPr>
          <w:sz w:val="22"/>
        </w:rPr>
        <w:t>new</w:t>
      </w:r>
      <w:r>
        <w:rPr>
          <w:spacing w:val="-8"/>
          <w:sz w:val="22"/>
        </w:rPr>
        <w:t> </w:t>
      </w:r>
      <w:r>
        <w:rPr>
          <w:sz w:val="22"/>
        </w:rPr>
        <w:t>business</w:t>
      </w:r>
      <w:r>
        <w:rPr>
          <w:spacing w:val="-4"/>
          <w:sz w:val="22"/>
        </w:rPr>
        <w:t> </w:t>
      </w:r>
      <w:r>
        <w:rPr>
          <w:sz w:val="22"/>
        </w:rPr>
        <w:t>models</w:t>
      </w:r>
      <w:r>
        <w:rPr>
          <w:spacing w:val="-4"/>
          <w:sz w:val="22"/>
        </w:rPr>
        <w:t> </w:t>
      </w:r>
      <w:r>
        <w:rPr>
          <w:sz w:val="22"/>
        </w:rPr>
        <w:t>of</w:t>
      </w:r>
      <w:r>
        <w:rPr>
          <w:spacing w:val="-3"/>
          <w:sz w:val="22"/>
        </w:rPr>
        <w:t> </w:t>
      </w:r>
      <w:r>
        <w:rPr>
          <w:sz w:val="22"/>
        </w:rPr>
        <w:t>energy</w:t>
      </w:r>
      <w:r>
        <w:rPr>
          <w:spacing w:val="-6"/>
          <w:sz w:val="22"/>
        </w:rPr>
        <w:t> </w:t>
      </w:r>
      <w:r>
        <w:rPr>
          <w:sz w:val="22"/>
        </w:rPr>
        <w:t>supply;</w:t>
      </w:r>
      <w:r>
        <w:rPr>
          <w:spacing w:val="-3"/>
          <w:sz w:val="22"/>
        </w:rPr>
        <w:t> </w:t>
      </w:r>
      <w:r>
        <w:rPr>
          <w:spacing w:val="-5"/>
          <w:sz w:val="22"/>
        </w:rPr>
        <w:t>and</w:t>
      </w:r>
    </w:p>
    <w:p>
      <w:pPr>
        <w:pStyle w:val="ListParagraph"/>
        <w:numPr>
          <w:ilvl w:val="0"/>
          <w:numId w:val="77"/>
        </w:numPr>
        <w:tabs>
          <w:tab w:pos="590" w:val="left" w:leader="none"/>
        </w:tabs>
        <w:spacing w:line="240" w:lineRule="auto" w:before="64" w:after="0"/>
        <w:ind w:left="590" w:right="0" w:hanging="358"/>
        <w:jc w:val="left"/>
        <w:rPr>
          <w:sz w:val="22"/>
        </w:rPr>
      </w:pPr>
      <w:r>
        <w:rPr>
          <w:sz w:val="22"/>
        </w:rPr>
        <w:t>more</w:t>
      </w:r>
      <w:r>
        <w:rPr>
          <w:spacing w:val="-10"/>
          <w:sz w:val="22"/>
        </w:rPr>
        <w:t> </w:t>
      </w:r>
      <w:r>
        <w:rPr>
          <w:sz w:val="22"/>
        </w:rPr>
        <w:t>widespread</w:t>
      </w:r>
      <w:r>
        <w:rPr>
          <w:spacing w:val="-6"/>
          <w:sz w:val="22"/>
        </w:rPr>
        <w:t> </w:t>
      </w:r>
      <w:r>
        <w:rPr>
          <w:sz w:val="22"/>
        </w:rPr>
        <w:t>uptake</w:t>
      </w:r>
      <w:r>
        <w:rPr>
          <w:spacing w:val="-8"/>
          <w:sz w:val="22"/>
        </w:rPr>
        <w:t> </w:t>
      </w:r>
      <w:r>
        <w:rPr>
          <w:sz w:val="22"/>
        </w:rPr>
        <w:t>of</w:t>
      </w:r>
      <w:r>
        <w:rPr>
          <w:spacing w:val="-4"/>
          <w:sz w:val="22"/>
        </w:rPr>
        <w:t> </w:t>
      </w:r>
      <w:r>
        <w:rPr>
          <w:sz w:val="22"/>
        </w:rPr>
        <w:t>electric</w:t>
      </w:r>
      <w:r>
        <w:rPr>
          <w:spacing w:val="-7"/>
          <w:sz w:val="22"/>
        </w:rPr>
        <w:t> </w:t>
      </w:r>
      <w:r>
        <w:rPr>
          <w:sz w:val="22"/>
        </w:rPr>
        <w:t>vehicles</w:t>
      </w:r>
      <w:r>
        <w:rPr>
          <w:spacing w:val="-3"/>
          <w:sz w:val="22"/>
        </w:rPr>
        <w:t> </w:t>
      </w:r>
      <w:r>
        <w:rPr>
          <w:sz w:val="22"/>
        </w:rPr>
        <w:t>(Advisian,</w:t>
      </w:r>
      <w:r>
        <w:rPr>
          <w:spacing w:val="-4"/>
          <w:sz w:val="22"/>
        </w:rPr>
        <w:t> </w:t>
      </w:r>
      <w:r>
        <w:rPr>
          <w:spacing w:val="-2"/>
          <w:sz w:val="22"/>
        </w:rPr>
        <w:t>2016a).</w:t>
      </w:r>
    </w:p>
    <w:p>
      <w:pPr>
        <w:pStyle w:val="BodyText"/>
        <w:spacing w:before="2"/>
        <w:rPr>
          <w:sz w:val="25"/>
        </w:rPr>
      </w:pPr>
    </w:p>
    <w:p>
      <w:pPr>
        <w:pStyle w:val="BodyText"/>
        <w:spacing w:line="288" w:lineRule="auto"/>
        <w:ind w:left="232" w:right="286"/>
      </w:pPr>
      <w:r>
        <w:rPr/>
        <w:t>Distributed energy resources and energy storage have many potential applications ranging from being employed by</w:t>
      </w:r>
      <w:r>
        <w:rPr>
          <w:spacing w:val="-2"/>
        </w:rPr>
        <w:t> </w:t>
      </w:r>
      <w:r>
        <w:rPr/>
        <w:t>individuals in isolation, shared</w:t>
      </w:r>
      <w:r>
        <w:rPr>
          <w:spacing w:val="-2"/>
        </w:rPr>
        <w:t> </w:t>
      </w:r>
      <w:r>
        <w:rPr/>
        <w:t>with neighbours</w:t>
      </w:r>
      <w:r>
        <w:rPr>
          <w:spacing w:val="-2"/>
        </w:rPr>
        <w:t> </w:t>
      </w:r>
      <w:r>
        <w:rPr/>
        <w:t>to</w:t>
      </w:r>
      <w:r>
        <w:rPr>
          <w:spacing w:val="-4"/>
        </w:rPr>
        <w:t> </w:t>
      </w:r>
      <w:r>
        <w:rPr/>
        <w:t>form</w:t>
      </w:r>
      <w:r>
        <w:rPr>
          <w:spacing w:val="-1"/>
        </w:rPr>
        <w:t> </w:t>
      </w:r>
      <w:r>
        <w:rPr/>
        <w:t>a microgrid,</w:t>
      </w:r>
      <w:r>
        <w:rPr>
          <w:spacing w:val="-1"/>
        </w:rPr>
        <w:t> </w:t>
      </w:r>
      <w:r>
        <w:rPr/>
        <w:t>or</w:t>
      </w:r>
      <w:r>
        <w:rPr>
          <w:spacing w:val="-1"/>
        </w:rPr>
        <w:t> </w:t>
      </w:r>
      <w:r>
        <w:rPr/>
        <w:t>deployed on a large scale to manage the intermittency of renewables in the national electricity market (CSIRO, 2015).</w:t>
      </w:r>
      <w:r>
        <w:rPr>
          <w:spacing w:val="-5"/>
        </w:rPr>
        <w:t> </w:t>
      </w:r>
      <w:r>
        <w:rPr/>
        <w:t>They</w:t>
      </w:r>
      <w:r>
        <w:rPr>
          <w:spacing w:val="-4"/>
        </w:rPr>
        <w:t> </w:t>
      </w:r>
      <w:r>
        <w:rPr/>
        <w:t>can</w:t>
      </w:r>
      <w:r>
        <w:rPr>
          <w:spacing w:val="-2"/>
        </w:rPr>
        <w:t> </w:t>
      </w:r>
      <w:r>
        <w:rPr/>
        <w:t>be</w:t>
      </w:r>
      <w:r>
        <w:rPr>
          <w:spacing w:val="-2"/>
        </w:rPr>
        <w:t> </w:t>
      </w:r>
      <w:r>
        <w:rPr/>
        <w:t>utilised</w:t>
      </w:r>
      <w:r>
        <w:rPr>
          <w:spacing w:val="-2"/>
        </w:rPr>
        <w:t> </w:t>
      </w:r>
      <w:r>
        <w:rPr/>
        <w:t>as</w:t>
      </w:r>
      <w:r>
        <w:rPr>
          <w:spacing w:val="-2"/>
        </w:rPr>
        <w:t> </w:t>
      </w:r>
      <w:r>
        <w:rPr/>
        <w:t>an</w:t>
      </w:r>
      <w:r>
        <w:rPr>
          <w:spacing w:val="-4"/>
        </w:rPr>
        <w:t> </w:t>
      </w:r>
      <w:r>
        <w:rPr/>
        <w:t>alternative</w:t>
      </w:r>
      <w:r>
        <w:rPr>
          <w:spacing w:val="-2"/>
        </w:rPr>
        <w:t> </w:t>
      </w:r>
      <w:r>
        <w:rPr/>
        <w:t>to</w:t>
      </w:r>
      <w:r>
        <w:rPr>
          <w:spacing w:val="-4"/>
        </w:rPr>
        <w:t> </w:t>
      </w:r>
      <w:r>
        <w:rPr/>
        <w:t>grid</w:t>
      </w:r>
      <w:r>
        <w:rPr>
          <w:spacing w:val="-4"/>
        </w:rPr>
        <w:t> </w:t>
      </w:r>
      <w:r>
        <w:rPr/>
        <w:t>augmentation</w:t>
      </w:r>
      <w:r>
        <w:rPr>
          <w:spacing w:val="-4"/>
        </w:rPr>
        <w:t> </w:t>
      </w:r>
      <w:r>
        <w:rPr/>
        <w:t>for</w:t>
      </w:r>
      <w:r>
        <w:rPr>
          <w:spacing w:val="-1"/>
        </w:rPr>
        <w:t> </w:t>
      </w:r>
      <w:r>
        <w:rPr/>
        <w:t>a</w:t>
      </w:r>
      <w:r>
        <w:rPr>
          <w:spacing w:val="-4"/>
        </w:rPr>
        <w:t> </w:t>
      </w:r>
      <w:r>
        <w:rPr/>
        <w:t>single</w:t>
      </w:r>
      <w:r>
        <w:rPr>
          <w:spacing w:val="-4"/>
        </w:rPr>
        <w:t> </w:t>
      </w:r>
      <w:r>
        <w:rPr/>
        <w:t>customer</w:t>
      </w:r>
      <w:r>
        <w:rPr>
          <w:spacing w:val="-1"/>
        </w:rPr>
        <w:t> </w:t>
      </w:r>
      <w:r>
        <w:rPr/>
        <w:t>or small group of customers located at the edge of the grid, or to supplement the existing grid where there is insufficient network capacity.</w:t>
      </w:r>
    </w:p>
    <w:p>
      <w:pPr>
        <w:pStyle w:val="BodyText"/>
        <w:spacing w:before="11"/>
        <w:rPr>
          <w:sz w:val="20"/>
        </w:rPr>
      </w:pPr>
    </w:p>
    <w:p>
      <w:pPr>
        <w:pStyle w:val="BodyText"/>
        <w:spacing w:line="288" w:lineRule="auto"/>
        <w:ind w:left="232" w:right="374"/>
      </w:pPr>
      <w:r>
        <w:rPr/>
        <w:t>However</w:t>
      </w:r>
      <w:r>
        <w:rPr>
          <w:spacing w:val="-3"/>
        </w:rPr>
        <w:t> </w:t>
      </w:r>
      <w:r>
        <w:rPr/>
        <w:t>applied,</w:t>
      </w:r>
      <w:r>
        <w:rPr>
          <w:spacing w:val="-2"/>
        </w:rPr>
        <w:t> </w:t>
      </w:r>
      <w:r>
        <w:rPr/>
        <w:t>the</w:t>
      </w:r>
      <w:r>
        <w:rPr>
          <w:spacing w:val="-3"/>
        </w:rPr>
        <w:t> </w:t>
      </w:r>
      <w:r>
        <w:rPr/>
        <w:t>connection</w:t>
      </w:r>
      <w:r>
        <w:rPr>
          <w:spacing w:val="-3"/>
        </w:rPr>
        <w:t> </w:t>
      </w:r>
      <w:r>
        <w:rPr/>
        <w:t>of</w:t>
      </w:r>
      <w:r>
        <w:rPr>
          <w:spacing w:val="-2"/>
        </w:rPr>
        <w:t> </w:t>
      </w:r>
      <w:r>
        <w:rPr/>
        <w:t>large</w:t>
      </w:r>
      <w:r>
        <w:rPr>
          <w:spacing w:val="-5"/>
        </w:rPr>
        <w:t> </w:t>
      </w:r>
      <w:r>
        <w:rPr/>
        <w:t>numbers</w:t>
      </w:r>
      <w:r>
        <w:rPr>
          <w:spacing w:val="-3"/>
        </w:rPr>
        <w:t> </w:t>
      </w:r>
      <w:r>
        <w:rPr/>
        <w:t>of</w:t>
      </w:r>
      <w:r>
        <w:rPr>
          <w:spacing w:val="-2"/>
        </w:rPr>
        <w:t> </w:t>
      </w:r>
      <w:r>
        <w:rPr/>
        <w:t>distributed</w:t>
      </w:r>
      <w:r>
        <w:rPr>
          <w:spacing w:val="-5"/>
        </w:rPr>
        <w:t> </w:t>
      </w:r>
      <w:r>
        <w:rPr/>
        <w:t>generation</w:t>
      </w:r>
      <w:r>
        <w:rPr>
          <w:spacing w:val="-3"/>
        </w:rPr>
        <w:t> </w:t>
      </w:r>
      <w:r>
        <w:rPr/>
        <w:t>and</w:t>
      </w:r>
      <w:r>
        <w:rPr>
          <w:spacing w:val="-3"/>
        </w:rPr>
        <w:t> </w:t>
      </w:r>
      <w:r>
        <w:rPr/>
        <w:t>storage</w:t>
      </w:r>
      <w:r>
        <w:rPr>
          <w:spacing w:val="-5"/>
        </w:rPr>
        <w:t> </w:t>
      </w:r>
      <w:r>
        <w:rPr/>
        <w:t>systems add to the complexity of the energy networks. Networks need to adapt and change their role to facilitate two-way flows of energy both to and from consumers, while integrating a range of new decentralised energy resources (AEMC, 2016a).</w:t>
      </w:r>
    </w:p>
    <w:p>
      <w:pPr>
        <w:pStyle w:val="BodyText"/>
        <w:spacing w:before="10"/>
        <w:rPr>
          <w:sz w:val="20"/>
        </w:rPr>
      </w:pPr>
    </w:p>
    <w:p>
      <w:pPr>
        <w:pStyle w:val="BodyText"/>
        <w:spacing w:line="288" w:lineRule="auto"/>
        <w:ind w:left="232" w:right="330"/>
      </w:pPr>
      <w:r>
        <w:rPr/>
        <w:t>New ways of supplying energy bring new challenges and potential safety risks. Advisian’s report</w:t>
      </w:r>
      <w:r>
        <w:rPr>
          <w:spacing w:val="40"/>
        </w:rPr>
        <w:t> </w:t>
      </w:r>
      <w:r>
        <w:rPr/>
        <w:t>for ESV on the </w:t>
      </w:r>
      <w:r>
        <w:rPr>
          <w:i/>
        </w:rPr>
        <w:t>Potential Impacts of New Energy </w:t>
      </w:r>
      <w:r>
        <w:rPr/>
        <w:t>highlighted the safety issues that can arise from new</w:t>
      </w:r>
      <w:r>
        <w:rPr>
          <w:spacing w:val="-5"/>
        </w:rPr>
        <w:t> </w:t>
      </w:r>
      <w:r>
        <w:rPr/>
        <w:t>technologies</w:t>
      </w:r>
      <w:r>
        <w:rPr>
          <w:spacing w:val="-2"/>
        </w:rPr>
        <w:t> </w:t>
      </w:r>
      <w:r>
        <w:rPr/>
        <w:t>and</w:t>
      </w:r>
      <w:r>
        <w:rPr>
          <w:spacing w:val="-4"/>
        </w:rPr>
        <w:t> </w:t>
      </w:r>
      <w:r>
        <w:rPr/>
        <w:t>provided</w:t>
      </w:r>
      <w:r>
        <w:rPr>
          <w:spacing w:val="-2"/>
        </w:rPr>
        <w:t> </w:t>
      </w:r>
      <w:r>
        <w:rPr/>
        <w:t>examples</w:t>
      </w:r>
      <w:r>
        <w:rPr>
          <w:spacing w:val="-2"/>
        </w:rPr>
        <w:t> </w:t>
      </w:r>
      <w:r>
        <w:rPr/>
        <w:t>of some</w:t>
      </w:r>
      <w:r>
        <w:rPr>
          <w:spacing w:val="-2"/>
        </w:rPr>
        <w:t> </w:t>
      </w:r>
      <w:r>
        <w:rPr/>
        <w:t>of the</w:t>
      </w:r>
      <w:r>
        <w:rPr>
          <w:spacing w:val="-4"/>
        </w:rPr>
        <w:t> </w:t>
      </w:r>
      <w:r>
        <w:rPr/>
        <w:t>challenges</w:t>
      </w:r>
      <w:r>
        <w:rPr>
          <w:spacing w:val="-4"/>
        </w:rPr>
        <w:t> </w:t>
      </w:r>
      <w:r>
        <w:rPr/>
        <w:t>the</w:t>
      </w:r>
      <w:r>
        <w:rPr>
          <w:spacing w:val="-4"/>
        </w:rPr>
        <w:t> </w:t>
      </w:r>
      <w:r>
        <w:rPr/>
        <w:t>sector</w:t>
      </w:r>
      <w:r>
        <w:rPr>
          <w:spacing w:val="-3"/>
        </w:rPr>
        <w:t> </w:t>
      </w:r>
      <w:r>
        <w:rPr/>
        <w:t>is</w:t>
      </w:r>
      <w:r>
        <w:rPr>
          <w:spacing w:val="-1"/>
        </w:rPr>
        <w:t> </w:t>
      </w:r>
      <w:r>
        <w:rPr/>
        <w:t>seeing,</w:t>
      </w:r>
      <w:r>
        <w:rPr>
          <w:spacing w:val="-3"/>
        </w:rPr>
        <w:t> </w:t>
      </w:r>
      <w:r>
        <w:rPr/>
        <w:t>including:</w:t>
      </w:r>
    </w:p>
    <w:p>
      <w:pPr>
        <w:spacing w:after="0" w:line="288" w:lineRule="auto"/>
        <w:sectPr>
          <w:pgSz w:w="11910" w:h="16850"/>
          <w:pgMar w:header="220" w:footer="678" w:top="420" w:bottom="860" w:left="900" w:right="840"/>
        </w:sectPr>
      </w:pPr>
    </w:p>
    <w:p>
      <w:pPr>
        <w:pStyle w:val="BodyText"/>
        <w:rPr>
          <w:sz w:val="20"/>
        </w:rPr>
      </w:pPr>
    </w:p>
    <w:p>
      <w:pPr>
        <w:pStyle w:val="BodyText"/>
        <w:spacing w:before="9"/>
        <w:rPr>
          <w:sz w:val="18"/>
        </w:rPr>
      </w:pPr>
    </w:p>
    <w:p>
      <w:pPr>
        <w:pStyle w:val="ListParagraph"/>
        <w:numPr>
          <w:ilvl w:val="1"/>
          <w:numId w:val="77"/>
        </w:numPr>
        <w:tabs>
          <w:tab w:pos="734" w:val="left" w:leader="none"/>
        </w:tabs>
        <w:spacing w:line="285" w:lineRule="auto" w:before="115" w:after="0"/>
        <w:ind w:left="734" w:right="943" w:hanging="361"/>
        <w:jc w:val="left"/>
        <w:rPr>
          <w:sz w:val="22"/>
        </w:rPr>
      </w:pPr>
      <w:r>
        <w:rPr>
          <w:sz w:val="22"/>
        </w:rPr>
        <w:t>shocks</w:t>
      </w:r>
      <w:r>
        <w:rPr>
          <w:spacing w:val="-4"/>
          <w:sz w:val="22"/>
        </w:rPr>
        <w:t> </w:t>
      </w:r>
      <w:r>
        <w:rPr>
          <w:sz w:val="22"/>
        </w:rPr>
        <w:t>to</w:t>
      </w:r>
      <w:r>
        <w:rPr>
          <w:spacing w:val="-2"/>
          <w:sz w:val="22"/>
        </w:rPr>
        <w:t> </w:t>
      </w:r>
      <w:r>
        <w:rPr>
          <w:sz w:val="22"/>
        </w:rPr>
        <w:t>linesmen</w:t>
      </w:r>
      <w:r>
        <w:rPr>
          <w:spacing w:val="-4"/>
          <w:sz w:val="22"/>
        </w:rPr>
        <w:t> </w:t>
      </w:r>
      <w:r>
        <w:rPr>
          <w:sz w:val="22"/>
        </w:rPr>
        <w:t>due</w:t>
      </w:r>
      <w:r>
        <w:rPr>
          <w:spacing w:val="-4"/>
          <w:sz w:val="22"/>
        </w:rPr>
        <w:t> </w:t>
      </w:r>
      <w:r>
        <w:rPr>
          <w:sz w:val="22"/>
        </w:rPr>
        <w:t>to</w:t>
      </w:r>
      <w:r>
        <w:rPr>
          <w:spacing w:val="-2"/>
          <w:sz w:val="22"/>
        </w:rPr>
        <w:t> </w:t>
      </w:r>
      <w:r>
        <w:rPr>
          <w:sz w:val="22"/>
        </w:rPr>
        <w:t>back energisation</w:t>
      </w:r>
      <w:r>
        <w:rPr>
          <w:spacing w:val="-4"/>
          <w:sz w:val="22"/>
        </w:rPr>
        <w:t> </w:t>
      </w:r>
      <w:r>
        <w:rPr>
          <w:sz w:val="22"/>
        </w:rPr>
        <w:t>of the</w:t>
      </w:r>
      <w:r>
        <w:rPr>
          <w:spacing w:val="-4"/>
          <w:sz w:val="22"/>
        </w:rPr>
        <w:t> </w:t>
      </w:r>
      <w:r>
        <w:rPr>
          <w:sz w:val="22"/>
        </w:rPr>
        <w:t>grid</w:t>
      </w:r>
      <w:r>
        <w:rPr>
          <w:spacing w:val="-4"/>
          <w:sz w:val="22"/>
        </w:rPr>
        <w:t> </w:t>
      </w:r>
      <w:r>
        <w:rPr>
          <w:sz w:val="22"/>
        </w:rPr>
        <w:t>from</w:t>
      </w:r>
      <w:r>
        <w:rPr>
          <w:spacing w:val="-3"/>
          <w:sz w:val="22"/>
        </w:rPr>
        <w:t> </w:t>
      </w:r>
      <w:r>
        <w:rPr>
          <w:sz w:val="22"/>
        </w:rPr>
        <w:t>residential</w:t>
      </w:r>
      <w:r>
        <w:rPr>
          <w:spacing w:val="-2"/>
          <w:sz w:val="22"/>
        </w:rPr>
        <w:t> </w:t>
      </w:r>
      <w:r>
        <w:rPr>
          <w:sz w:val="22"/>
        </w:rPr>
        <w:t>based</w:t>
      </w:r>
      <w:r>
        <w:rPr>
          <w:spacing w:val="-2"/>
          <w:sz w:val="22"/>
        </w:rPr>
        <w:t> </w:t>
      </w:r>
      <w:r>
        <w:rPr>
          <w:sz w:val="22"/>
        </w:rPr>
        <w:t>solar</w:t>
      </w:r>
      <w:r>
        <w:rPr>
          <w:spacing w:val="-3"/>
          <w:sz w:val="22"/>
        </w:rPr>
        <w:t> </w:t>
      </w:r>
      <w:r>
        <w:rPr>
          <w:sz w:val="22"/>
        </w:rPr>
        <w:t>PV </w:t>
      </w:r>
      <w:r>
        <w:rPr>
          <w:spacing w:val="-2"/>
          <w:sz w:val="22"/>
        </w:rPr>
        <w:t>systems;</w:t>
      </w:r>
    </w:p>
    <w:p>
      <w:pPr>
        <w:pStyle w:val="BodyText"/>
        <w:spacing w:before="7"/>
      </w:pPr>
    </w:p>
    <w:p>
      <w:pPr>
        <w:pStyle w:val="ListParagraph"/>
        <w:numPr>
          <w:ilvl w:val="1"/>
          <w:numId w:val="77"/>
        </w:numPr>
        <w:tabs>
          <w:tab w:pos="734" w:val="left" w:leader="none"/>
        </w:tabs>
        <w:spacing w:line="288" w:lineRule="auto" w:before="0" w:after="0"/>
        <w:ind w:left="734" w:right="394" w:hanging="361"/>
        <w:jc w:val="left"/>
        <w:rPr>
          <w:sz w:val="22"/>
        </w:rPr>
      </w:pPr>
      <w:r>
        <w:rPr>
          <w:sz w:val="22"/>
        </w:rPr>
        <w:t>voltage</w:t>
      </w:r>
      <w:r>
        <w:rPr>
          <w:spacing w:val="-2"/>
          <w:sz w:val="22"/>
        </w:rPr>
        <w:t> </w:t>
      </w:r>
      <w:r>
        <w:rPr>
          <w:sz w:val="22"/>
        </w:rPr>
        <w:t>regulation</w:t>
      </w:r>
      <w:r>
        <w:rPr>
          <w:spacing w:val="-3"/>
          <w:sz w:val="22"/>
        </w:rPr>
        <w:t> </w:t>
      </w:r>
      <w:r>
        <w:rPr>
          <w:sz w:val="22"/>
        </w:rPr>
        <w:t>and</w:t>
      </w:r>
      <w:r>
        <w:rPr>
          <w:spacing w:val="-5"/>
          <w:sz w:val="22"/>
        </w:rPr>
        <w:t> </w:t>
      </w:r>
      <w:r>
        <w:rPr>
          <w:sz w:val="22"/>
        </w:rPr>
        <w:t>control</w:t>
      </w:r>
      <w:r>
        <w:rPr>
          <w:spacing w:val="-2"/>
          <w:sz w:val="22"/>
        </w:rPr>
        <w:t> </w:t>
      </w:r>
      <w:r>
        <w:rPr>
          <w:sz w:val="22"/>
        </w:rPr>
        <w:t>–</w:t>
      </w:r>
      <w:r>
        <w:rPr>
          <w:spacing w:val="-5"/>
          <w:sz w:val="22"/>
        </w:rPr>
        <w:t> </w:t>
      </w:r>
      <w:r>
        <w:rPr>
          <w:sz w:val="22"/>
        </w:rPr>
        <w:t>current</w:t>
      </w:r>
      <w:r>
        <w:rPr>
          <w:spacing w:val="-4"/>
          <w:sz w:val="22"/>
        </w:rPr>
        <w:t> </w:t>
      </w:r>
      <w:r>
        <w:rPr>
          <w:sz w:val="22"/>
        </w:rPr>
        <w:t>practices</w:t>
      </w:r>
      <w:r>
        <w:rPr>
          <w:spacing w:val="-5"/>
          <w:sz w:val="22"/>
        </w:rPr>
        <w:t> </w:t>
      </w:r>
      <w:r>
        <w:rPr>
          <w:sz w:val="22"/>
        </w:rPr>
        <w:t>of</w:t>
      </w:r>
      <w:r>
        <w:rPr>
          <w:spacing w:val="-4"/>
          <w:sz w:val="22"/>
        </w:rPr>
        <w:t> </w:t>
      </w:r>
      <w:r>
        <w:rPr>
          <w:sz w:val="22"/>
        </w:rPr>
        <w:t>grid</w:t>
      </w:r>
      <w:r>
        <w:rPr>
          <w:spacing w:val="-3"/>
          <w:sz w:val="22"/>
        </w:rPr>
        <w:t> </w:t>
      </w:r>
      <w:r>
        <w:rPr>
          <w:sz w:val="22"/>
        </w:rPr>
        <w:t>voltage</w:t>
      </w:r>
      <w:r>
        <w:rPr>
          <w:spacing w:val="-5"/>
          <w:sz w:val="22"/>
        </w:rPr>
        <w:t> </w:t>
      </w:r>
      <w:r>
        <w:rPr>
          <w:sz w:val="22"/>
        </w:rPr>
        <w:t>regulation</w:t>
      </w:r>
      <w:r>
        <w:rPr>
          <w:spacing w:val="-3"/>
          <w:sz w:val="22"/>
        </w:rPr>
        <w:t> </w:t>
      </w:r>
      <w:r>
        <w:rPr>
          <w:sz w:val="22"/>
        </w:rPr>
        <w:t>requiring</w:t>
      </w:r>
      <w:r>
        <w:rPr>
          <w:spacing w:val="-3"/>
          <w:sz w:val="22"/>
        </w:rPr>
        <w:t> </w:t>
      </w:r>
      <w:r>
        <w:rPr>
          <w:sz w:val="22"/>
        </w:rPr>
        <w:t>changes to avoid over or under voltage conditions that present a possible hazard to personnel and </w:t>
      </w:r>
      <w:r>
        <w:rPr>
          <w:spacing w:val="-2"/>
          <w:sz w:val="22"/>
        </w:rPr>
        <w:t>equipment;</w:t>
      </w:r>
    </w:p>
    <w:p>
      <w:pPr>
        <w:pStyle w:val="BodyText"/>
      </w:pPr>
    </w:p>
    <w:p>
      <w:pPr>
        <w:pStyle w:val="ListParagraph"/>
        <w:numPr>
          <w:ilvl w:val="1"/>
          <w:numId w:val="77"/>
        </w:numPr>
        <w:tabs>
          <w:tab w:pos="734" w:val="left" w:leader="none"/>
        </w:tabs>
        <w:spacing w:line="288" w:lineRule="auto" w:before="1" w:after="0"/>
        <w:ind w:left="734" w:right="748" w:hanging="361"/>
        <w:jc w:val="left"/>
        <w:rPr>
          <w:sz w:val="22"/>
        </w:rPr>
      </w:pPr>
      <w:r>
        <w:rPr>
          <w:sz w:val="22"/>
        </w:rPr>
        <w:t>power</w:t>
      </w:r>
      <w:r>
        <w:rPr>
          <w:spacing w:val="-1"/>
          <w:sz w:val="22"/>
        </w:rPr>
        <w:t> </w:t>
      </w:r>
      <w:r>
        <w:rPr>
          <w:sz w:val="22"/>
        </w:rPr>
        <w:t>quality</w:t>
      </w:r>
      <w:r>
        <w:rPr>
          <w:spacing w:val="-3"/>
          <w:sz w:val="22"/>
        </w:rPr>
        <w:t> </w:t>
      </w:r>
      <w:r>
        <w:rPr>
          <w:sz w:val="22"/>
        </w:rPr>
        <w:t>–</w:t>
      </w:r>
      <w:r>
        <w:rPr>
          <w:spacing w:val="-2"/>
          <w:sz w:val="22"/>
        </w:rPr>
        <w:t> </w:t>
      </w:r>
      <w:r>
        <w:rPr>
          <w:sz w:val="22"/>
        </w:rPr>
        <w:t>poor</w:t>
      </w:r>
      <w:r>
        <w:rPr>
          <w:spacing w:val="-3"/>
          <w:sz w:val="22"/>
        </w:rPr>
        <w:t> </w:t>
      </w:r>
      <w:r>
        <w:rPr>
          <w:sz w:val="22"/>
        </w:rPr>
        <w:t>power</w:t>
      </w:r>
      <w:r>
        <w:rPr>
          <w:spacing w:val="-3"/>
          <w:sz w:val="22"/>
        </w:rPr>
        <w:t> </w:t>
      </w:r>
      <w:r>
        <w:rPr>
          <w:sz w:val="22"/>
        </w:rPr>
        <w:t>quality</w:t>
      </w:r>
      <w:r>
        <w:rPr>
          <w:spacing w:val="-6"/>
          <w:sz w:val="22"/>
        </w:rPr>
        <w:t> </w:t>
      </w:r>
      <w:r>
        <w:rPr>
          <w:sz w:val="22"/>
        </w:rPr>
        <w:t>from</w:t>
      </w:r>
      <w:r>
        <w:rPr>
          <w:spacing w:val="-3"/>
          <w:sz w:val="22"/>
        </w:rPr>
        <w:t> </w:t>
      </w:r>
      <w:r>
        <w:rPr>
          <w:sz w:val="22"/>
        </w:rPr>
        <w:t>the</w:t>
      </w:r>
      <w:r>
        <w:rPr>
          <w:spacing w:val="-4"/>
          <w:sz w:val="22"/>
        </w:rPr>
        <w:t> </w:t>
      </w:r>
      <w:r>
        <w:rPr>
          <w:sz w:val="22"/>
        </w:rPr>
        <w:t>increased</w:t>
      </w:r>
      <w:r>
        <w:rPr>
          <w:spacing w:val="-2"/>
          <w:sz w:val="22"/>
        </w:rPr>
        <w:t> </w:t>
      </w:r>
      <w:r>
        <w:rPr>
          <w:sz w:val="22"/>
        </w:rPr>
        <w:t>number</w:t>
      </w:r>
      <w:r>
        <w:rPr>
          <w:spacing w:val="-1"/>
          <w:sz w:val="22"/>
        </w:rPr>
        <w:t> </w:t>
      </w:r>
      <w:r>
        <w:rPr>
          <w:sz w:val="22"/>
        </w:rPr>
        <w:t>of inverters</w:t>
      </w:r>
      <w:r>
        <w:rPr>
          <w:spacing w:val="-6"/>
          <w:sz w:val="22"/>
        </w:rPr>
        <w:t> </w:t>
      </w:r>
      <w:r>
        <w:rPr>
          <w:sz w:val="22"/>
        </w:rPr>
        <w:t>on</w:t>
      </w:r>
      <w:r>
        <w:rPr>
          <w:spacing w:val="-2"/>
          <w:sz w:val="22"/>
        </w:rPr>
        <w:t> </w:t>
      </w:r>
      <w:r>
        <w:rPr>
          <w:sz w:val="22"/>
        </w:rPr>
        <w:t>the</w:t>
      </w:r>
      <w:r>
        <w:rPr>
          <w:spacing w:val="-4"/>
          <w:sz w:val="22"/>
        </w:rPr>
        <w:t> </w:t>
      </w:r>
      <w:r>
        <w:rPr>
          <w:sz w:val="22"/>
        </w:rPr>
        <w:t>network potentially leading to equipment malfunctions, failures and fires;</w:t>
      </w:r>
    </w:p>
    <w:p>
      <w:pPr>
        <w:pStyle w:val="BodyText"/>
        <w:spacing w:before="3"/>
      </w:pPr>
    </w:p>
    <w:p>
      <w:pPr>
        <w:pStyle w:val="ListParagraph"/>
        <w:numPr>
          <w:ilvl w:val="1"/>
          <w:numId w:val="77"/>
        </w:numPr>
        <w:tabs>
          <w:tab w:pos="734" w:val="left" w:leader="none"/>
        </w:tabs>
        <w:spacing w:line="285" w:lineRule="auto" w:before="0" w:after="0"/>
        <w:ind w:left="734" w:right="608" w:hanging="361"/>
        <w:jc w:val="left"/>
        <w:rPr>
          <w:sz w:val="22"/>
        </w:rPr>
      </w:pPr>
      <w:r>
        <w:rPr>
          <w:sz w:val="22"/>
        </w:rPr>
        <w:t>overloading</w:t>
      </w:r>
      <w:r>
        <w:rPr>
          <w:spacing w:val="-1"/>
          <w:sz w:val="22"/>
        </w:rPr>
        <w:t> </w:t>
      </w:r>
      <w:r>
        <w:rPr>
          <w:sz w:val="22"/>
        </w:rPr>
        <w:t>of</w:t>
      </w:r>
      <w:r>
        <w:rPr>
          <w:spacing w:val="-1"/>
          <w:sz w:val="22"/>
        </w:rPr>
        <w:t> </w:t>
      </w:r>
      <w:r>
        <w:rPr>
          <w:sz w:val="22"/>
        </w:rPr>
        <w:t>networks</w:t>
      </w:r>
      <w:r>
        <w:rPr>
          <w:spacing w:val="-3"/>
          <w:sz w:val="22"/>
        </w:rPr>
        <w:t> </w:t>
      </w:r>
      <w:r>
        <w:rPr>
          <w:sz w:val="22"/>
        </w:rPr>
        <w:t>–</w:t>
      </w:r>
      <w:r>
        <w:rPr>
          <w:spacing w:val="-3"/>
          <w:sz w:val="22"/>
        </w:rPr>
        <w:t> </w:t>
      </w:r>
      <w:r>
        <w:rPr>
          <w:sz w:val="22"/>
        </w:rPr>
        <w:t>wide-scale</w:t>
      </w:r>
      <w:r>
        <w:rPr>
          <w:spacing w:val="-3"/>
          <w:sz w:val="22"/>
        </w:rPr>
        <w:t> </w:t>
      </w:r>
      <w:r>
        <w:rPr>
          <w:sz w:val="22"/>
        </w:rPr>
        <w:t>embedded</w:t>
      </w:r>
      <w:r>
        <w:rPr>
          <w:spacing w:val="-5"/>
          <w:sz w:val="22"/>
        </w:rPr>
        <w:t> </w:t>
      </w:r>
      <w:r>
        <w:rPr>
          <w:sz w:val="22"/>
        </w:rPr>
        <w:t>generation,</w:t>
      </w:r>
      <w:r>
        <w:rPr>
          <w:spacing w:val="-4"/>
          <w:sz w:val="22"/>
        </w:rPr>
        <w:t> </w:t>
      </w:r>
      <w:r>
        <w:rPr>
          <w:sz w:val="22"/>
        </w:rPr>
        <w:t>combined</w:t>
      </w:r>
      <w:r>
        <w:rPr>
          <w:spacing w:val="-3"/>
          <w:sz w:val="22"/>
        </w:rPr>
        <w:t> </w:t>
      </w:r>
      <w:r>
        <w:rPr>
          <w:sz w:val="22"/>
        </w:rPr>
        <w:t>with</w:t>
      </w:r>
      <w:r>
        <w:rPr>
          <w:spacing w:val="-3"/>
          <w:sz w:val="22"/>
        </w:rPr>
        <w:t> </w:t>
      </w:r>
      <w:r>
        <w:rPr>
          <w:sz w:val="22"/>
        </w:rPr>
        <w:t>larger</w:t>
      </w:r>
      <w:r>
        <w:rPr>
          <w:spacing w:val="-4"/>
          <w:sz w:val="22"/>
        </w:rPr>
        <w:t> </w:t>
      </w:r>
      <w:r>
        <w:rPr>
          <w:sz w:val="22"/>
        </w:rPr>
        <w:t>load,</w:t>
      </w:r>
      <w:r>
        <w:rPr>
          <w:spacing w:val="-4"/>
          <w:sz w:val="22"/>
        </w:rPr>
        <w:t> </w:t>
      </w:r>
      <w:r>
        <w:rPr>
          <w:sz w:val="22"/>
        </w:rPr>
        <w:t>for example, due to electric vehicles, may overload local power networks;</w:t>
      </w:r>
    </w:p>
    <w:p>
      <w:pPr>
        <w:pStyle w:val="BodyText"/>
        <w:spacing w:before="7"/>
      </w:pPr>
    </w:p>
    <w:p>
      <w:pPr>
        <w:pStyle w:val="ListParagraph"/>
        <w:numPr>
          <w:ilvl w:val="1"/>
          <w:numId w:val="77"/>
        </w:numPr>
        <w:tabs>
          <w:tab w:pos="734" w:val="left" w:leader="none"/>
        </w:tabs>
        <w:spacing w:line="288" w:lineRule="auto" w:before="0" w:after="0"/>
        <w:ind w:left="734" w:right="646" w:hanging="361"/>
        <w:jc w:val="left"/>
        <w:rPr>
          <w:sz w:val="22"/>
        </w:rPr>
      </w:pPr>
      <w:r>
        <w:rPr>
          <w:sz w:val="22"/>
        </w:rPr>
        <w:t>poor</w:t>
      </w:r>
      <w:r>
        <w:rPr>
          <w:spacing w:val="-2"/>
          <w:sz w:val="22"/>
        </w:rPr>
        <w:t> </w:t>
      </w:r>
      <w:r>
        <w:rPr>
          <w:sz w:val="22"/>
        </w:rPr>
        <w:t>installation</w:t>
      </w:r>
      <w:r>
        <w:rPr>
          <w:spacing w:val="-3"/>
          <w:sz w:val="22"/>
        </w:rPr>
        <w:t> </w:t>
      </w:r>
      <w:r>
        <w:rPr>
          <w:sz w:val="22"/>
        </w:rPr>
        <w:t>practices</w:t>
      </w:r>
      <w:r>
        <w:rPr>
          <w:spacing w:val="-1"/>
          <w:sz w:val="22"/>
        </w:rPr>
        <w:t> </w:t>
      </w:r>
      <w:r>
        <w:rPr>
          <w:sz w:val="22"/>
        </w:rPr>
        <w:t>–</w:t>
      </w:r>
      <w:r>
        <w:rPr>
          <w:spacing w:val="-5"/>
          <w:sz w:val="22"/>
        </w:rPr>
        <w:t> </w:t>
      </w:r>
      <w:r>
        <w:rPr>
          <w:sz w:val="22"/>
        </w:rPr>
        <w:t>the</w:t>
      </w:r>
      <w:r>
        <w:rPr>
          <w:spacing w:val="-3"/>
          <w:sz w:val="22"/>
        </w:rPr>
        <w:t> </w:t>
      </w:r>
      <w:r>
        <w:rPr>
          <w:sz w:val="22"/>
        </w:rPr>
        <w:t>larger</w:t>
      </w:r>
      <w:r>
        <w:rPr>
          <w:spacing w:val="-2"/>
          <w:sz w:val="22"/>
        </w:rPr>
        <w:t> </w:t>
      </w:r>
      <w:r>
        <w:rPr>
          <w:sz w:val="22"/>
        </w:rPr>
        <w:t>number</w:t>
      </w:r>
      <w:r>
        <w:rPr>
          <w:spacing w:val="-2"/>
          <w:sz w:val="22"/>
        </w:rPr>
        <w:t> </w:t>
      </w:r>
      <w:r>
        <w:rPr>
          <w:sz w:val="22"/>
        </w:rPr>
        <w:t>of</w:t>
      </w:r>
      <w:r>
        <w:rPr>
          <w:spacing w:val="-4"/>
          <w:sz w:val="22"/>
        </w:rPr>
        <w:t> </w:t>
      </w:r>
      <w:r>
        <w:rPr>
          <w:sz w:val="22"/>
        </w:rPr>
        <w:t>companies</w:t>
      </w:r>
      <w:r>
        <w:rPr>
          <w:spacing w:val="-5"/>
          <w:sz w:val="22"/>
        </w:rPr>
        <w:t> </w:t>
      </w:r>
      <w:r>
        <w:rPr>
          <w:sz w:val="22"/>
        </w:rPr>
        <w:t>that</w:t>
      </w:r>
      <w:r>
        <w:rPr>
          <w:spacing w:val="-4"/>
          <w:sz w:val="22"/>
        </w:rPr>
        <w:t> </w:t>
      </w:r>
      <w:r>
        <w:rPr>
          <w:sz w:val="22"/>
        </w:rPr>
        <w:t>supply</w:t>
      </w:r>
      <w:r>
        <w:rPr>
          <w:spacing w:val="-5"/>
          <w:sz w:val="22"/>
        </w:rPr>
        <w:t> </w:t>
      </w:r>
      <w:r>
        <w:rPr>
          <w:sz w:val="22"/>
        </w:rPr>
        <w:t>and</w:t>
      </w:r>
      <w:r>
        <w:rPr>
          <w:spacing w:val="-3"/>
          <w:sz w:val="22"/>
        </w:rPr>
        <w:t> </w:t>
      </w:r>
      <w:r>
        <w:rPr>
          <w:sz w:val="22"/>
        </w:rPr>
        <w:t>install</w:t>
      </w:r>
      <w:r>
        <w:rPr>
          <w:spacing w:val="-3"/>
          <w:sz w:val="22"/>
        </w:rPr>
        <w:t> </w:t>
      </w:r>
      <w:r>
        <w:rPr>
          <w:sz w:val="22"/>
        </w:rPr>
        <w:t>various new energy products is likely to lead to a greater variation in equipment and installation standards. Poor quality of installations has already caused safety problems in solar PV </w:t>
      </w:r>
      <w:r>
        <w:rPr>
          <w:spacing w:val="-2"/>
          <w:sz w:val="22"/>
        </w:rPr>
        <w:t>installations;</w:t>
      </w:r>
    </w:p>
    <w:p>
      <w:pPr>
        <w:pStyle w:val="BodyText"/>
        <w:spacing w:before="2"/>
      </w:pPr>
    </w:p>
    <w:p>
      <w:pPr>
        <w:pStyle w:val="ListParagraph"/>
        <w:numPr>
          <w:ilvl w:val="1"/>
          <w:numId w:val="77"/>
        </w:numPr>
        <w:tabs>
          <w:tab w:pos="734" w:val="left" w:leader="none"/>
        </w:tabs>
        <w:spacing w:line="288" w:lineRule="auto" w:before="0" w:after="0"/>
        <w:ind w:left="734" w:right="638" w:hanging="361"/>
        <w:jc w:val="left"/>
        <w:rPr>
          <w:sz w:val="22"/>
        </w:rPr>
      </w:pPr>
      <w:r>
        <w:rPr>
          <w:sz w:val="22"/>
        </w:rPr>
        <w:t>poor</w:t>
      </w:r>
      <w:r>
        <w:rPr>
          <w:spacing w:val="-3"/>
          <w:sz w:val="22"/>
        </w:rPr>
        <w:t> </w:t>
      </w:r>
      <w:r>
        <w:rPr>
          <w:sz w:val="22"/>
        </w:rPr>
        <w:t>maintenance</w:t>
      </w:r>
      <w:r>
        <w:rPr>
          <w:spacing w:val="-4"/>
          <w:sz w:val="22"/>
        </w:rPr>
        <w:t> </w:t>
      </w:r>
      <w:r>
        <w:rPr>
          <w:sz w:val="22"/>
        </w:rPr>
        <w:t>practices</w:t>
      </w:r>
      <w:r>
        <w:rPr>
          <w:spacing w:val="-1"/>
          <w:sz w:val="22"/>
        </w:rPr>
        <w:t> </w:t>
      </w:r>
      <w:r>
        <w:rPr>
          <w:sz w:val="22"/>
        </w:rPr>
        <w:t>–</w:t>
      </w:r>
      <w:r>
        <w:rPr>
          <w:spacing w:val="-3"/>
          <w:sz w:val="22"/>
        </w:rPr>
        <w:t> </w:t>
      </w:r>
      <w:r>
        <w:rPr>
          <w:sz w:val="22"/>
        </w:rPr>
        <w:t>new</w:t>
      </w:r>
      <w:r>
        <w:rPr>
          <w:spacing w:val="-5"/>
          <w:sz w:val="22"/>
        </w:rPr>
        <w:t> </w:t>
      </w:r>
      <w:r>
        <w:rPr>
          <w:sz w:val="22"/>
        </w:rPr>
        <w:t>technologies</w:t>
      </w:r>
      <w:r>
        <w:rPr>
          <w:spacing w:val="-6"/>
          <w:sz w:val="22"/>
        </w:rPr>
        <w:t> </w:t>
      </w:r>
      <w:r>
        <w:rPr>
          <w:sz w:val="22"/>
        </w:rPr>
        <w:t>are</w:t>
      </w:r>
      <w:r>
        <w:rPr>
          <w:spacing w:val="-2"/>
          <w:sz w:val="22"/>
        </w:rPr>
        <w:t> </w:t>
      </w:r>
      <w:r>
        <w:rPr>
          <w:sz w:val="22"/>
        </w:rPr>
        <w:t>likely</w:t>
      </w:r>
      <w:r>
        <w:rPr>
          <w:spacing w:val="-4"/>
          <w:sz w:val="22"/>
        </w:rPr>
        <w:t> </w:t>
      </w:r>
      <w:r>
        <w:rPr>
          <w:sz w:val="22"/>
        </w:rPr>
        <w:t>to</w:t>
      </w:r>
      <w:r>
        <w:rPr>
          <w:spacing w:val="-4"/>
          <w:sz w:val="22"/>
        </w:rPr>
        <w:t> </w:t>
      </w:r>
      <w:r>
        <w:rPr>
          <w:sz w:val="22"/>
        </w:rPr>
        <w:t>require</w:t>
      </w:r>
      <w:r>
        <w:rPr>
          <w:spacing w:val="-4"/>
          <w:sz w:val="22"/>
        </w:rPr>
        <w:t> </w:t>
      </w:r>
      <w:r>
        <w:rPr>
          <w:sz w:val="22"/>
        </w:rPr>
        <w:t>maintenance</w:t>
      </w:r>
      <w:r>
        <w:rPr>
          <w:spacing w:val="-3"/>
          <w:sz w:val="22"/>
        </w:rPr>
        <w:t> </w:t>
      </w:r>
      <w:r>
        <w:rPr>
          <w:sz w:val="22"/>
        </w:rPr>
        <w:t>activities that householders are often not equipped to identify and undertake; and</w:t>
      </w:r>
    </w:p>
    <w:p>
      <w:pPr>
        <w:pStyle w:val="BodyText"/>
        <w:spacing w:before="1"/>
      </w:pPr>
    </w:p>
    <w:p>
      <w:pPr>
        <w:pStyle w:val="ListParagraph"/>
        <w:numPr>
          <w:ilvl w:val="1"/>
          <w:numId w:val="77"/>
        </w:numPr>
        <w:tabs>
          <w:tab w:pos="734" w:val="left" w:leader="none"/>
        </w:tabs>
        <w:spacing w:line="288" w:lineRule="auto" w:before="1" w:after="0"/>
        <w:ind w:left="734" w:right="674" w:hanging="361"/>
        <w:jc w:val="left"/>
        <w:rPr>
          <w:sz w:val="22"/>
        </w:rPr>
      </w:pPr>
      <w:r>
        <w:rPr>
          <w:sz w:val="22"/>
        </w:rPr>
        <w:t>network analysis, planning and design – traditional methods of analysing power system networks,</w:t>
      </w:r>
      <w:r>
        <w:rPr>
          <w:spacing w:val="-1"/>
          <w:sz w:val="22"/>
        </w:rPr>
        <w:t> </w:t>
      </w:r>
      <w:r>
        <w:rPr>
          <w:sz w:val="22"/>
        </w:rPr>
        <w:t>planning</w:t>
      </w:r>
      <w:r>
        <w:rPr>
          <w:spacing w:val="-1"/>
          <w:sz w:val="22"/>
        </w:rPr>
        <w:t> </w:t>
      </w:r>
      <w:r>
        <w:rPr>
          <w:sz w:val="22"/>
        </w:rPr>
        <w:t>and</w:t>
      </w:r>
      <w:r>
        <w:rPr>
          <w:spacing w:val="-5"/>
          <w:sz w:val="22"/>
        </w:rPr>
        <w:t> </w:t>
      </w:r>
      <w:r>
        <w:rPr>
          <w:sz w:val="22"/>
        </w:rPr>
        <w:t>design</w:t>
      </w:r>
      <w:r>
        <w:rPr>
          <w:spacing w:val="-3"/>
          <w:sz w:val="22"/>
        </w:rPr>
        <w:t> </w:t>
      </w:r>
      <w:r>
        <w:rPr>
          <w:sz w:val="22"/>
        </w:rPr>
        <w:t>do</w:t>
      </w:r>
      <w:r>
        <w:rPr>
          <w:spacing w:val="-5"/>
          <w:sz w:val="22"/>
        </w:rPr>
        <w:t> </w:t>
      </w:r>
      <w:r>
        <w:rPr>
          <w:sz w:val="22"/>
        </w:rPr>
        <w:t>not</w:t>
      </w:r>
      <w:r>
        <w:rPr>
          <w:spacing w:val="-4"/>
          <w:sz w:val="22"/>
        </w:rPr>
        <w:t> </w:t>
      </w:r>
      <w:r>
        <w:rPr>
          <w:sz w:val="22"/>
        </w:rPr>
        <w:t>consider</w:t>
      </w:r>
      <w:r>
        <w:rPr>
          <w:spacing w:val="-4"/>
          <w:sz w:val="22"/>
        </w:rPr>
        <w:t> </w:t>
      </w:r>
      <w:r>
        <w:rPr>
          <w:sz w:val="22"/>
        </w:rPr>
        <w:t>the</w:t>
      </w:r>
      <w:r>
        <w:rPr>
          <w:spacing w:val="-3"/>
          <w:sz w:val="22"/>
        </w:rPr>
        <w:t> </w:t>
      </w:r>
      <w:r>
        <w:rPr>
          <w:sz w:val="22"/>
        </w:rPr>
        <w:t>impacts</w:t>
      </w:r>
      <w:r>
        <w:rPr>
          <w:spacing w:val="-2"/>
          <w:sz w:val="22"/>
        </w:rPr>
        <w:t> </w:t>
      </w:r>
      <w:r>
        <w:rPr>
          <w:sz w:val="22"/>
        </w:rPr>
        <w:t>of</w:t>
      </w:r>
      <w:r>
        <w:rPr>
          <w:spacing w:val="-1"/>
          <w:sz w:val="22"/>
        </w:rPr>
        <w:t> </w:t>
      </w:r>
      <w:r>
        <w:rPr>
          <w:sz w:val="22"/>
        </w:rPr>
        <w:t>new</w:t>
      </w:r>
      <w:r>
        <w:rPr>
          <w:spacing w:val="-6"/>
          <w:sz w:val="22"/>
        </w:rPr>
        <w:t> </w:t>
      </w:r>
      <w:r>
        <w:rPr>
          <w:sz w:val="22"/>
        </w:rPr>
        <w:t>technologies</w:t>
      </w:r>
      <w:r>
        <w:rPr>
          <w:spacing w:val="-1"/>
          <w:sz w:val="22"/>
        </w:rPr>
        <w:t> </w:t>
      </w:r>
      <w:r>
        <w:rPr>
          <w:sz w:val="22"/>
        </w:rPr>
        <w:t>(Advisian, </w:t>
      </w:r>
      <w:r>
        <w:rPr>
          <w:spacing w:val="-2"/>
          <w:sz w:val="22"/>
        </w:rPr>
        <w:t>2016b).</w:t>
      </w:r>
    </w:p>
    <w:p>
      <w:pPr>
        <w:pStyle w:val="BodyText"/>
        <w:spacing w:before="8"/>
        <w:rPr>
          <w:sz w:val="20"/>
        </w:rPr>
      </w:pPr>
    </w:p>
    <w:p>
      <w:pPr>
        <w:pStyle w:val="BodyText"/>
        <w:spacing w:line="288" w:lineRule="auto" w:before="1"/>
        <w:ind w:left="232" w:right="320"/>
      </w:pPr>
      <w:r>
        <w:rPr/>
        <w:t>The Advisian report noted the emerging regulatory challenges that the development of smaller microgrids owned by private networks may present to a current regulatory system designed for interconnected distribution networks owned and operated by large distribution businesses. It concluded that changes might need to be made to safety regulation to ensure that the safety management</w:t>
      </w:r>
      <w:r>
        <w:rPr>
          <w:spacing w:val="-4"/>
        </w:rPr>
        <w:t> </w:t>
      </w:r>
      <w:r>
        <w:rPr/>
        <w:t>standards</w:t>
      </w:r>
      <w:r>
        <w:rPr>
          <w:spacing w:val="-5"/>
        </w:rPr>
        <w:t> </w:t>
      </w:r>
      <w:r>
        <w:rPr/>
        <w:t>that currently</w:t>
      </w:r>
      <w:r>
        <w:rPr>
          <w:spacing w:val="-5"/>
        </w:rPr>
        <w:t> </w:t>
      </w:r>
      <w:r>
        <w:rPr/>
        <w:t>apply</w:t>
      </w:r>
      <w:r>
        <w:rPr>
          <w:spacing w:val="-5"/>
        </w:rPr>
        <w:t> </w:t>
      </w:r>
      <w:r>
        <w:rPr/>
        <w:t>to</w:t>
      </w:r>
      <w:r>
        <w:rPr>
          <w:spacing w:val="-3"/>
        </w:rPr>
        <w:t> </w:t>
      </w:r>
      <w:r>
        <w:rPr/>
        <w:t>large</w:t>
      </w:r>
      <w:r>
        <w:rPr>
          <w:spacing w:val="-5"/>
        </w:rPr>
        <w:t> </w:t>
      </w:r>
      <w:r>
        <w:rPr/>
        <w:t>distribution</w:t>
      </w:r>
      <w:r>
        <w:rPr>
          <w:spacing w:val="-3"/>
        </w:rPr>
        <w:t> </w:t>
      </w:r>
      <w:r>
        <w:rPr/>
        <w:t>businesses</w:t>
      </w:r>
      <w:r>
        <w:rPr>
          <w:spacing w:val="-2"/>
        </w:rPr>
        <w:t> </w:t>
      </w:r>
      <w:r>
        <w:rPr/>
        <w:t>also</w:t>
      </w:r>
      <w:r>
        <w:rPr>
          <w:spacing w:val="-3"/>
        </w:rPr>
        <w:t> </w:t>
      </w:r>
      <w:r>
        <w:rPr/>
        <w:t>apply</w:t>
      </w:r>
      <w:r>
        <w:rPr>
          <w:spacing w:val="-5"/>
        </w:rPr>
        <w:t> </w:t>
      </w:r>
      <w:r>
        <w:rPr/>
        <w:t>to</w:t>
      </w:r>
      <w:r>
        <w:rPr>
          <w:spacing w:val="-5"/>
        </w:rPr>
        <w:t> </w:t>
      </w:r>
      <w:r>
        <w:rPr/>
        <w:t>microgrid operators (Advisian, 2016b).</w:t>
      </w:r>
    </w:p>
    <w:p>
      <w:pPr>
        <w:pStyle w:val="BodyText"/>
        <w:spacing w:before="10"/>
        <w:rPr>
          <w:sz w:val="20"/>
        </w:rPr>
      </w:pPr>
    </w:p>
    <w:p>
      <w:pPr>
        <w:pStyle w:val="BodyText"/>
        <w:spacing w:line="288" w:lineRule="auto"/>
        <w:ind w:left="232"/>
      </w:pPr>
      <w:r>
        <w:rPr/>
        <w:t>ESV</w:t>
      </w:r>
      <w:r>
        <w:rPr>
          <w:spacing w:val="-3"/>
        </w:rPr>
        <w:t> </w:t>
      </w:r>
      <w:r>
        <w:rPr/>
        <w:t>has</w:t>
      </w:r>
      <w:r>
        <w:rPr>
          <w:spacing w:val="-2"/>
        </w:rPr>
        <w:t> </w:t>
      </w:r>
      <w:r>
        <w:rPr/>
        <w:t>recognised</w:t>
      </w:r>
      <w:r>
        <w:rPr>
          <w:spacing w:val="-3"/>
        </w:rPr>
        <w:t> </w:t>
      </w:r>
      <w:r>
        <w:rPr/>
        <w:t>these</w:t>
      </w:r>
      <w:r>
        <w:rPr>
          <w:spacing w:val="-3"/>
        </w:rPr>
        <w:t> </w:t>
      </w:r>
      <w:r>
        <w:rPr/>
        <w:t>challenges</w:t>
      </w:r>
      <w:r>
        <w:rPr>
          <w:spacing w:val="-5"/>
        </w:rPr>
        <w:t> </w:t>
      </w:r>
      <w:r>
        <w:rPr/>
        <w:t>surrounding</w:t>
      </w:r>
      <w:r>
        <w:rPr>
          <w:spacing w:val="-3"/>
        </w:rPr>
        <w:t> </w:t>
      </w:r>
      <w:r>
        <w:rPr/>
        <w:t>energy</w:t>
      </w:r>
      <w:r>
        <w:rPr>
          <w:spacing w:val="-5"/>
        </w:rPr>
        <w:t> </w:t>
      </w:r>
      <w:r>
        <w:rPr/>
        <w:t>systems</w:t>
      </w:r>
      <w:r>
        <w:rPr>
          <w:spacing w:val="-2"/>
        </w:rPr>
        <w:t> </w:t>
      </w:r>
      <w:r>
        <w:rPr/>
        <w:t>supplied</w:t>
      </w:r>
      <w:r>
        <w:rPr>
          <w:spacing w:val="-3"/>
        </w:rPr>
        <w:t> </w:t>
      </w:r>
      <w:r>
        <w:rPr/>
        <w:t>by</w:t>
      </w:r>
      <w:r>
        <w:rPr>
          <w:spacing w:val="-5"/>
        </w:rPr>
        <w:t> </w:t>
      </w:r>
      <w:r>
        <w:rPr/>
        <w:t>non-traditional participants noting in its </w:t>
      </w:r>
      <w:r>
        <w:rPr>
          <w:i/>
        </w:rPr>
        <w:t>Corporate Plan 2017–2020</w:t>
      </w:r>
      <w:r>
        <w:rPr/>
        <w:t>:</w:t>
      </w:r>
    </w:p>
    <w:p>
      <w:pPr>
        <w:pStyle w:val="BodyText"/>
        <w:spacing w:before="10"/>
        <w:rPr>
          <w:sz w:val="20"/>
        </w:rPr>
      </w:pPr>
    </w:p>
    <w:p>
      <w:pPr>
        <w:spacing w:line="288" w:lineRule="auto" w:before="0"/>
        <w:ind w:left="799" w:right="868" w:firstLine="0"/>
        <w:jc w:val="left"/>
        <w:rPr>
          <w:sz w:val="22"/>
        </w:rPr>
      </w:pPr>
      <w:r>
        <w:rPr>
          <w:i/>
          <w:sz w:val="22"/>
        </w:rPr>
        <w:t>“The</w:t>
      </w:r>
      <w:r>
        <w:rPr>
          <w:i/>
          <w:spacing w:val="-4"/>
          <w:sz w:val="22"/>
        </w:rPr>
        <w:t> </w:t>
      </w:r>
      <w:r>
        <w:rPr>
          <w:i/>
          <w:sz w:val="22"/>
        </w:rPr>
        <w:t>creation</w:t>
      </w:r>
      <w:r>
        <w:rPr>
          <w:i/>
          <w:spacing w:val="-4"/>
          <w:sz w:val="22"/>
        </w:rPr>
        <w:t> </w:t>
      </w:r>
      <w:r>
        <w:rPr>
          <w:i/>
          <w:sz w:val="22"/>
        </w:rPr>
        <w:t>of</w:t>
      </w:r>
      <w:r>
        <w:rPr>
          <w:i/>
          <w:spacing w:val="-2"/>
          <w:sz w:val="22"/>
        </w:rPr>
        <w:t> </w:t>
      </w:r>
      <w:r>
        <w:rPr>
          <w:i/>
          <w:sz w:val="22"/>
        </w:rPr>
        <w:t>interconnected</w:t>
      </w:r>
      <w:r>
        <w:rPr>
          <w:i/>
          <w:spacing w:val="-4"/>
          <w:sz w:val="22"/>
        </w:rPr>
        <w:t> </w:t>
      </w:r>
      <w:r>
        <w:rPr>
          <w:i/>
          <w:sz w:val="22"/>
        </w:rPr>
        <w:t>power</w:t>
      </w:r>
      <w:r>
        <w:rPr>
          <w:i/>
          <w:spacing w:val="-3"/>
          <w:sz w:val="22"/>
        </w:rPr>
        <w:t> </w:t>
      </w:r>
      <w:r>
        <w:rPr>
          <w:i/>
          <w:sz w:val="22"/>
        </w:rPr>
        <w:t>systems</w:t>
      </w:r>
      <w:r>
        <w:rPr>
          <w:i/>
          <w:spacing w:val="-6"/>
          <w:sz w:val="22"/>
        </w:rPr>
        <w:t> </w:t>
      </w:r>
      <w:r>
        <w:rPr>
          <w:i/>
          <w:sz w:val="22"/>
        </w:rPr>
        <w:t>that</w:t>
      </w:r>
      <w:r>
        <w:rPr>
          <w:i/>
          <w:spacing w:val="-3"/>
          <w:sz w:val="22"/>
        </w:rPr>
        <w:t> </w:t>
      </w:r>
      <w:r>
        <w:rPr>
          <w:i/>
          <w:sz w:val="22"/>
        </w:rPr>
        <w:t>include</w:t>
      </w:r>
      <w:r>
        <w:rPr>
          <w:i/>
          <w:spacing w:val="-4"/>
          <w:sz w:val="22"/>
        </w:rPr>
        <w:t> </w:t>
      </w:r>
      <w:r>
        <w:rPr>
          <w:i/>
          <w:sz w:val="22"/>
        </w:rPr>
        <w:t>energy</w:t>
      </w:r>
      <w:r>
        <w:rPr>
          <w:i/>
          <w:spacing w:val="-4"/>
          <w:sz w:val="22"/>
        </w:rPr>
        <w:t> </w:t>
      </w:r>
      <w:r>
        <w:rPr>
          <w:i/>
          <w:sz w:val="22"/>
        </w:rPr>
        <w:t>contributions</w:t>
      </w:r>
      <w:r>
        <w:rPr>
          <w:i/>
          <w:spacing w:val="-3"/>
          <w:sz w:val="22"/>
        </w:rPr>
        <w:t> </w:t>
      </w:r>
      <w:r>
        <w:rPr>
          <w:i/>
          <w:sz w:val="22"/>
        </w:rPr>
        <w:t>from</w:t>
      </w:r>
      <w:r>
        <w:rPr>
          <w:i/>
          <w:spacing w:val="-3"/>
          <w:sz w:val="22"/>
        </w:rPr>
        <w:t> </w:t>
      </w:r>
      <w:r>
        <w:rPr>
          <w:i/>
          <w:sz w:val="22"/>
        </w:rPr>
        <w:t>a range of the non-traditional participants is leading to non-linear and complex power demand and generation dynamics that may destabilise the power networks. In addition some participants may not be adequately covered by the regulatory regimes.” </w:t>
      </w:r>
      <w:r>
        <w:rPr>
          <w:sz w:val="22"/>
        </w:rPr>
        <w:t>(ESV, 2017, p. 13)</w:t>
      </w:r>
    </w:p>
    <w:p>
      <w:pPr>
        <w:pStyle w:val="BodyText"/>
        <w:spacing w:before="10"/>
        <w:rPr>
          <w:sz w:val="20"/>
        </w:rPr>
      </w:pPr>
    </w:p>
    <w:p>
      <w:pPr>
        <w:pStyle w:val="BodyText"/>
        <w:spacing w:line="288" w:lineRule="auto"/>
        <w:ind w:left="232" w:right="296"/>
      </w:pPr>
      <w:r>
        <w:rPr/>
        <w:t>ESV and the businesses it regulates must have the capabilities to understand and manage the emerging</w:t>
      </w:r>
      <w:r>
        <w:rPr>
          <w:spacing w:val="-1"/>
        </w:rPr>
        <w:t> </w:t>
      </w:r>
      <w:r>
        <w:rPr/>
        <w:t>risks.</w:t>
      </w:r>
      <w:r>
        <w:rPr>
          <w:spacing w:val="-4"/>
        </w:rPr>
        <w:t> </w:t>
      </w:r>
      <w:r>
        <w:rPr/>
        <w:t>They</w:t>
      </w:r>
      <w:r>
        <w:rPr>
          <w:spacing w:val="-3"/>
        </w:rPr>
        <w:t> </w:t>
      </w:r>
      <w:r>
        <w:rPr/>
        <w:t>must be</w:t>
      </w:r>
      <w:r>
        <w:rPr>
          <w:spacing w:val="-3"/>
        </w:rPr>
        <w:t> </w:t>
      </w:r>
      <w:r>
        <w:rPr/>
        <w:t>supported</w:t>
      </w:r>
      <w:r>
        <w:rPr>
          <w:spacing w:val="-3"/>
        </w:rPr>
        <w:t> </w:t>
      </w:r>
      <w:r>
        <w:rPr/>
        <w:t>by</w:t>
      </w:r>
      <w:r>
        <w:rPr>
          <w:spacing w:val="-3"/>
        </w:rPr>
        <w:t> </w:t>
      </w:r>
      <w:r>
        <w:rPr/>
        <w:t>a</w:t>
      </w:r>
      <w:r>
        <w:rPr>
          <w:spacing w:val="-1"/>
        </w:rPr>
        <w:t> </w:t>
      </w:r>
      <w:r>
        <w:rPr/>
        <w:t>safety</w:t>
      </w:r>
      <w:r>
        <w:rPr>
          <w:spacing w:val="-4"/>
        </w:rPr>
        <w:t> </w:t>
      </w:r>
      <w:r>
        <w:rPr/>
        <w:t>framework that</w:t>
      </w:r>
      <w:r>
        <w:rPr>
          <w:spacing w:val="-2"/>
        </w:rPr>
        <w:t> </w:t>
      </w:r>
      <w:r>
        <w:rPr/>
        <w:t>is</w:t>
      </w:r>
      <w:r>
        <w:rPr>
          <w:spacing w:val="-3"/>
        </w:rPr>
        <w:t> </w:t>
      </w:r>
      <w:r>
        <w:rPr/>
        <w:t>flexible enough</w:t>
      </w:r>
      <w:r>
        <w:rPr>
          <w:spacing w:val="-3"/>
        </w:rPr>
        <w:t> </w:t>
      </w:r>
      <w:r>
        <w:rPr/>
        <w:t>to</w:t>
      </w:r>
      <w:r>
        <w:rPr>
          <w:spacing w:val="-3"/>
        </w:rPr>
        <w:t> </w:t>
      </w:r>
      <w:r>
        <w:rPr/>
        <w:t>allow</w:t>
      </w:r>
      <w:r>
        <w:rPr>
          <w:spacing w:val="-4"/>
        </w:rPr>
        <w:t> </w:t>
      </w:r>
      <w:r>
        <w:rPr/>
        <w:t>new opportunities to be fostered through innovation, whilst ensuring emerging risks are identified early and managed efficiently. Good engagement is key to anticipating and managing the challenges posed by new technologies as they emerge.</w:t>
      </w:r>
    </w:p>
    <w:p>
      <w:pPr>
        <w:pStyle w:val="BodyText"/>
        <w:spacing w:before="4"/>
        <w:rPr>
          <w:sz w:val="26"/>
        </w:rPr>
      </w:pPr>
    </w:p>
    <w:p>
      <w:pPr>
        <w:pStyle w:val="BodyText"/>
        <w:spacing w:line="288" w:lineRule="auto"/>
        <w:ind w:left="232" w:right="408"/>
      </w:pPr>
      <w:r>
        <w:rPr/>
        <w:t>ESV</w:t>
      </w:r>
      <w:r>
        <w:rPr>
          <w:spacing w:val="-2"/>
        </w:rPr>
        <w:t> </w:t>
      </w:r>
      <w:r>
        <w:rPr/>
        <w:t>has</w:t>
      </w:r>
      <w:r>
        <w:rPr>
          <w:spacing w:val="-1"/>
        </w:rPr>
        <w:t> </w:t>
      </w:r>
      <w:r>
        <w:rPr/>
        <w:t>noted</w:t>
      </w:r>
      <w:r>
        <w:rPr>
          <w:spacing w:val="-4"/>
        </w:rPr>
        <w:t> </w:t>
      </w:r>
      <w:r>
        <w:rPr/>
        <w:t>in</w:t>
      </w:r>
      <w:r>
        <w:rPr>
          <w:spacing w:val="-2"/>
        </w:rPr>
        <w:t> </w:t>
      </w:r>
      <w:r>
        <w:rPr/>
        <w:t>its</w:t>
      </w:r>
      <w:r>
        <w:rPr>
          <w:spacing w:val="-2"/>
        </w:rPr>
        <w:t> </w:t>
      </w:r>
      <w:r>
        <w:rPr>
          <w:i/>
        </w:rPr>
        <w:t>Corporate</w:t>
      </w:r>
      <w:r>
        <w:rPr>
          <w:i/>
          <w:spacing w:val="-4"/>
        </w:rPr>
        <w:t> </w:t>
      </w:r>
      <w:r>
        <w:rPr>
          <w:i/>
        </w:rPr>
        <w:t>Plan</w:t>
      </w:r>
      <w:r>
        <w:rPr>
          <w:i/>
          <w:spacing w:val="-2"/>
        </w:rPr>
        <w:t> </w:t>
      </w:r>
      <w:r>
        <w:rPr>
          <w:i/>
        </w:rPr>
        <w:t>2017–2020</w:t>
      </w:r>
      <w:r>
        <w:rPr>
          <w:i/>
          <w:spacing w:val="-4"/>
        </w:rPr>
        <w:t> </w:t>
      </w:r>
      <w:r>
        <w:rPr/>
        <w:t>that it</w:t>
      </w:r>
      <w:r>
        <w:rPr>
          <w:spacing w:val="-3"/>
        </w:rPr>
        <w:t> </w:t>
      </w:r>
      <w:r>
        <w:rPr/>
        <w:t>has</w:t>
      </w:r>
      <w:r>
        <w:rPr>
          <w:spacing w:val="-4"/>
        </w:rPr>
        <w:t> </w:t>
      </w:r>
      <w:r>
        <w:rPr/>
        <w:t>a</w:t>
      </w:r>
      <w:r>
        <w:rPr>
          <w:spacing w:val="-4"/>
        </w:rPr>
        <w:t> </w:t>
      </w:r>
      <w:r>
        <w:rPr/>
        <w:t>role</w:t>
      </w:r>
      <w:r>
        <w:rPr>
          <w:spacing w:val="-2"/>
        </w:rPr>
        <w:t> </w:t>
      </w:r>
      <w:r>
        <w:rPr/>
        <w:t>in</w:t>
      </w:r>
      <w:r>
        <w:rPr>
          <w:spacing w:val="-2"/>
        </w:rPr>
        <w:t> </w:t>
      </w:r>
      <w:r>
        <w:rPr/>
        <w:t>identifying and</w:t>
      </w:r>
      <w:r>
        <w:rPr>
          <w:spacing w:val="-4"/>
        </w:rPr>
        <w:t> </w:t>
      </w:r>
      <w:r>
        <w:rPr/>
        <w:t>monitoring emerging risks and sector trends:</w:t>
      </w:r>
    </w:p>
    <w:p>
      <w:pPr>
        <w:spacing w:after="0" w:line="288" w:lineRule="auto"/>
        <w:sectPr>
          <w:pgSz w:w="11910" w:h="16850"/>
          <w:pgMar w:header="220" w:footer="678" w:top="420" w:bottom="860" w:left="900" w:right="840"/>
        </w:sectPr>
      </w:pPr>
    </w:p>
    <w:p>
      <w:pPr>
        <w:pStyle w:val="BodyText"/>
        <w:rPr>
          <w:sz w:val="20"/>
        </w:rPr>
      </w:pPr>
    </w:p>
    <w:p>
      <w:pPr>
        <w:pStyle w:val="BodyText"/>
        <w:spacing w:before="2"/>
        <w:rPr>
          <w:sz w:val="19"/>
        </w:rPr>
      </w:pPr>
    </w:p>
    <w:p>
      <w:pPr>
        <w:spacing w:line="288" w:lineRule="auto" w:before="94"/>
        <w:ind w:left="799" w:right="374" w:firstLine="0"/>
        <w:jc w:val="left"/>
        <w:rPr>
          <w:sz w:val="22"/>
        </w:rPr>
      </w:pPr>
      <w:r>
        <w:rPr>
          <w:sz w:val="22"/>
        </w:rPr>
        <w:t>“</w:t>
      </w:r>
      <w:r>
        <w:rPr>
          <w:i/>
          <w:sz w:val="22"/>
        </w:rPr>
        <w:t>ESV</w:t>
      </w:r>
      <w:r>
        <w:rPr>
          <w:i/>
          <w:spacing w:val="-2"/>
          <w:sz w:val="22"/>
        </w:rPr>
        <w:t> </w:t>
      </w:r>
      <w:r>
        <w:rPr>
          <w:i/>
          <w:sz w:val="22"/>
        </w:rPr>
        <w:t>will</w:t>
      </w:r>
      <w:r>
        <w:rPr>
          <w:i/>
          <w:spacing w:val="-2"/>
          <w:sz w:val="22"/>
        </w:rPr>
        <w:t> </w:t>
      </w:r>
      <w:r>
        <w:rPr>
          <w:i/>
          <w:sz w:val="22"/>
        </w:rPr>
        <w:t>need</w:t>
      </w:r>
      <w:r>
        <w:rPr>
          <w:i/>
          <w:spacing w:val="-4"/>
          <w:sz w:val="22"/>
        </w:rPr>
        <w:t> </w:t>
      </w:r>
      <w:r>
        <w:rPr>
          <w:i/>
          <w:sz w:val="22"/>
        </w:rPr>
        <w:t>to</w:t>
      </w:r>
      <w:r>
        <w:rPr>
          <w:i/>
          <w:spacing w:val="-2"/>
          <w:sz w:val="22"/>
        </w:rPr>
        <w:t> </w:t>
      </w:r>
      <w:r>
        <w:rPr>
          <w:i/>
          <w:sz w:val="22"/>
        </w:rPr>
        <w:t>apply</w:t>
      </w:r>
      <w:r>
        <w:rPr>
          <w:i/>
          <w:spacing w:val="-1"/>
          <w:sz w:val="22"/>
        </w:rPr>
        <w:t> </w:t>
      </w:r>
      <w:r>
        <w:rPr>
          <w:i/>
          <w:sz w:val="22"/>
        </w:rPr>
        <w:t>expert</w:t>
      </w:r>
      <w:r>
        <w:rPr>
          <w:i/>
          <w:spacing w:val="-3"/>
          <w:sz w:val="22"/>
        </w:rPr>
        <w:t> </w:t>
      </w:r>
      <w:r>
        <w:rPr>
          <w:i/>
          <w:sz w:val="22"/>
        </w:rPr>
        <w:t>judgment</w:t>
      </w:r>
      <w:r>
        <w:rPr>
          <w:i/>
          <w:spacing w:val="-3"/>
          <w:sz w:val="22"/>
        </w:rPr>
        <w:t> </w:t>
      </w:r>
      <w:r>
        <w:rPr>
          <w:i/>
          <w:sz w:val="22"/>
        </w:rPr>
        <w:t>to</w:t>
      </w:r>
      <w:r>
        <w:rPr>
          <w:i/>
          <w:spacing w:val="-2"/>
          <w:sz w:val="22"/>
        </w:rPr>
        <w:t> </w:t>
      </w:r>
      <w:r>
        <w:rPr>
          <w:i/>
          <w:sz w:val="22"/>
        </w:rPr>
        <w:t>establish</w:t>
      </w:r>
      <w:r>
        <w:rPr>
          <w:i/>
          <w:spacing w:val="-4"/>
          <w:sz w:val="22"/>
        </w:rPr>
        <w:t> </w:t>
      </w:r>
      <w:r>
        <w:rPr>
          <w:i/>
          <w:sz w:val="22"/>
        </w:rPr>
        <w:t>what</w:t>
      </w:r>
      <w:r>
        <w:rPr>
          <w:i/>
          <w:spacing w:val="-3"/>
          <w:sz w:val="22"/>
        </w:rPr>
        <w:t> </w:t>
      </w:r>
      <w:r>
        <w:rPr>
          <w:i/>
          <w:sz w:val="22"/>
        </w:rPr>
        <w:t>‘acceptably</w:t>
      </w:r>
      <w:r>
        <w:rPr>
          <w:i/>
          <w:spacing w:val="-1"/>
          <w:sz w:val="22"/>
        </w:rPr>
        <w:t> </w:t>
      </w:r>
      <w:r>
        <w:rPr>
          <w:i/>
          <w:sz w:val="22"/>
        </w:rPr>
        <w:t>safe’</w:t>
      </w:r>
      <w:r>
        <w:rPr>
          <w:i/>
          <w:spacing w:val="-4"/>
          <w:sz w:val="22"/>
        </w:rPr>
        <w:t> </w:t>
      </w:r>
      <w:r>
        <w:rPr>
          <w:i/>
          <w:sz w:val="22"/>
        </w:rPr>
        <w:t>looks</w:t>
      </w:r>
      <w:r>
        <w:rPr>
          <w:i/>
          <w:spacing w:val="-1"/>
          <w:sz w:val="22"/>
        </w:rPr>
        <w:t> </w:t>
      </w:r>
      <w:r>
        <w:rPr>
          <w:i/>
          <w:sz w:val="22"/>
        </w:rPr>
        <w:t>like</w:t>
      </w:r>
      <w:r>
        <w:rPr>
          <w:i/>
          <w:spacing w:val="-2"/>
          <w:sz w:val="22"/>
        </w:rPr>
        <w:t> </w:t>
      </w:r>
      <w:r>
        <w:rPr>
          <w:i/>
          <w:sz w:val="22"/>
        </w:rPr>
        <w:t>due</w:t>
      </w:r>
      <w:r>
        <w:rPr>
          <w:i/>
          <w:spacing w:val="-4"/>
          <w:sz w:val="22"/>
        </w:rPr>
        <w:t> </w:t>
      </w:r>
      <w:r>
        <w:rPr>
          <w:i/>
          <w:sz w:val="22"/>
        </w:rPr>
        <w:t>to gaps between new technology/applications and the currency of Australian standards. This may apply to the emergence of new asset classes such as microgrids, domestic battery storage, new technology large-scale renewables (e.g. solar collectors), and experimental biogas and carbon dioxide capture/storage systems.” </w:t>
      </w:r>
      <w:r>
        <w:rPr>
          <w:sz w:val="22"/>
        </w:rPr>
        <w:t>(ESV, 2017, p. 19)</w:t>
      </w:r>
    </w:p>
    <w:p>
      <w:pPr>
        <w:pStyle w:val="BodyText"/>
        <w:spacing w:before="9"/>
        <w:rPr>
          <w:sz w:val="20"/>
        </w:rPr>
      </w:pPr>
    </w:p>
    <w:p>
      <w:pPr>
        <w:pStyle w:val="BodyText"/>
        <w:spacing w:line="288" w:lineRule="auto"/>
        <w:ind w:left="232"/>
      </w:pPr>
      <w:r>
        <w:rPr/>
        <w:t>Submissions</w:t>
      </w:r>
      <w:r>
        <w:rPr>
          <w:spacing w:val="-2"/>
        </w:rPr>
        <w:t> </w:t>
      </w:r>
      <w:r>
        <w:rPr/>
        <w:t>to</w:t>
      </w:r>
      <w:r>
        <w:rPr>
          <w:spacing w:val="-5"/>
        </w:rPr>
        <w:t> </w:t>
      </w:r>
      <w:r>
        <w:rPr/>
        <w:t>the</w:t>
      </w:r>
      <w:r>
        <w:rPr>
          <w:spacing w:val="-5"/>
        </w:rPr>
        <w:t> </w:t>
      </w:r>
      <w:r>
        <w:rPr/>
        <w:t>Review</w:t>
      </w:r>
      <w:r>
        <w:rPr>
          <w:spacing w:val="-6"/>
        </w:rPr>
        <w:t> </w:t>
      </w:r>
      <w:r>
        <w:rPr/>
        <w:t>have</w:t>
      </w:r>
      <w:r>
        <w:rPr>
          <w:spacing w:val="-3"/>
        </w:rPr>
        <w:t> </w:t>
      </w:r>
      <w:r>
        <w:rPr/>
        <w:t>noted</w:t>
      </w:r>
      <w:r>
        <w:rPr>
          <w:spacing w:val="-3"/>
        </w:rPr>
        <w:t> </w:t>
      </w:r>
      <w:r>
        <w:rPr/>
        <w:t>the</w:t>
      </w:r>
      <w:r>
        <w:rPr>
          <w:spacing w:val="-3"/>
        </w:rPr>
        <w:t> </w:t>
      </w:r>
      <w:r>
        <w:rPr/>
        <w:t>importance</w:t>
      </w:r>
      <w:r>
        <w:rPr>
          <w:spacing w:val="-3"/>
        </w:rPr>
        <w:t> </w:t>
      </w:r>
      <w:r>
        <w:rPr/>
        <w:t>of</w:t>
      </w:r>
      <w:r>
        <w:rPr>
          <w:spacing w:val="-1"/>
        </w:rPr>
        <w:t> </w:t>
      </w:r>
      <w:r>
        <w:rPr/>
        <w:t>effective</w:t>
      </w:r>
      <w:r>
        <w:rPr>
          <w:spacing w:val="-3"/>
        </w:rPr>
        <w:t> </w:t>
      </w:r>
      <w:r>
        <w:rPr/>
        <w:t>collaboration</w:t>
      </w:r>
      <w:r>
        <w:rPr>
          <w:spacing w:val="-3"/>
        </w:rPr>
        <w:t> </w:t>
      </w:r>
      <w:r>
        <w:rPr/>
        <w:t>between</w:t>
      </w:r>
      <w:r>
        <w:rPr>
          <w:spacing w:val="-3"/>
        </w:rPr>
        <w:t> </w:t>
      </w:r>
      <w:r>
        <w:rPr/>
        <w:t>safety regulators such as ESV and industry:</w:t>
      </w:r>
    </w:p>
    <w:p>
      <w:pPr>
        <w:pStyle w:val="BodyText"/>
        <w:spacing w:before="10"/>
        <w:rPr>
          <w:sz w:val="20"/>
        </w:rPr>
      </w:pPr>
    </w:p>
    <w:p>
      <w:pPr>
        <w:spacing w:line="288" w:lineRule="auto" w:before="0"/>
        <w:ind w:left="799" w:right="951" w:firstLine="0"/>
        <w:jc w:val="left"/>
        <w:rPr>
          <w:sz w:val="22"/>
        </w:rPr>
      </w:pPr>
      <w:r>
        <w:rPr>
          <w:i/>
          <w:sz w:val="22"/>
        </w:rPr>
        <w:t>“Emerging technologies are both an opportunity and a risk for gas networks. Care needs</w:t>
      </w:r>
      <w:r>
        <w:rPr>
          <w:i/>
          <w:spacing w:val="-1"/>
          <w:sz w:val="22"/>
        </w:rPr>
        <w:t> </w:t>
      </w:r>
      <w:r>
        <w:rPr>
          <w:i/>
          <w:sz w:val="22"/>
        </w:rPr>
        <w:t>to</w:t>
      </w:r>
      <w:r>
        <w:rPr>
          <w:i/>
          <w:spacing w:val="-4"/>
          <w:sz w:val="22"/>
        </w:rPr>
        <w:t> </w:t>
      </w:r>
      <w:r>
        <w:rPr>
          <w:i/>
          <w:sz w:val="22"/>
        </w:rPr>
        <w:t>be</w:t>
      </w:r>
      <w:r>
        <w:rPr>
          <w:i/>
          <w:spacing w:val="-4"/>
          <w:sz w:val="22"/>
        </w:rPr>
        <w:t> </w:t>
      </w:r>
      <w:r>
        <w:rPr>
          <w:i/>
          <w:sz w:val="22"/>
        </w:rPr>
        <w:t>taken</w:t>
      </w:r>
      <w:r>
        <w:rPr>
          <w:i/>
          <w:spacing w:val="-4"/>
          <w:sz w:val="22"/>
        </w:rPr>
        <w:t> </w:t>
      </w:r>
      <w:r>
        <w:rPr>
          <w:i/>
          <w:sz w:val="22"/>
        </w:rPr>
        <w:t>to</w:t>
      </w:r>
      <w:r>
        <w:rPr>
          <w:i/>
          <w:spacing w:val="-4"/>
          <w:sz w:val="22"/>
        </w:rPr>
        <w:t> </w:t>
      </w:r>
      <w:r>
        <w:rPr>
          <w:i/>
          <w:sz w:val="22"/>
        </w:rPr>
        <w:t>ensure</w:t>
      </w:r>
      <w:r>
        <w:rPr>
          <w:i/>
          <w:spacing w:val="-4"/>
          <w:sz w:val="22"/>
        </w:rPr>
        <w:t> </w:t>
      </w:r>
      <w:r>
        <w:rPr>
          <w:i/>
          <w:sz w:val="22"/>
        </w:rPr>
        <w:t>that</w:t>
      </w:r>
      <w:r>
        <w:rPr>
          <w:i/>
          <w:spacing w:val="-3"/>
          <w:sz w:val="22"/>
        </w:rPr>
        <w:t> </w:t>
      </w:r>
      <w:r>
        <w:rPr>
          <w:i/>
          <w:sz w:val="22"/>
        </w:rPr>
        <w:t>legislation</w:t>
      </w:r>
      <w:r>
        <w:rPr>
          <w:i/>
          <w:spacing w:val="-2"/>
          <w:sz w:val="22"/>
        </w:rPr>
        <w:t> </w:t>
      </w:r>
      <w:r>
        <w:rPr>
          <w:i/>
          <w:sz w:val="22"/>
        </w:rPr>
        <w:t>does</w:t>
      </w:r>
      <w:r>
        <w:rPr>
          <w:i/>
          <w:spacing w:val="-4"/>
          <w:sz w:val="22"/>
        </w:rPr>
        <w:t> </w:t>
      </w:r>
      <w:r>
        <w:rPr>
          <w:i/>
          <w:sz w:val="22"/>
        </w:rPr>
        <w:t>not impede</w:t>
      </w:r>
      <w:r>
        <w:rPr>
          <w:i/>
          <w:spacing w:val="-4"/>
          <w:sz w:val="22"/>
        </w:rPr>
        <w:t> </w:t>
      </w:r>
      <w:r>
        <w:rPr>
          <w:i/>
          <w:sz w:val="22"/>
        </w:rPr>
        <w:t>the</w:t>
      </w:r>
      <w:r>
        <w:rPr>
          <w:i/>
          <w:spacing w:val="-2"/>
          <w:sz w:val="22"/>
        </w:rPr>
        <w:t> </w:t>
      </w:r>
      <w:r>
        <w:rPr>
          <w:i/>
          <w:sz w:val="22"/>
        </w:rPr>
        <w:t>development</w:t>
      </w:r>
      <w:r>
        <w:rPr>
          <w:i/>
          <w:spacing w:val="-3"/>
          <w:sz w:val="22"/>
        </w:rPr>
        <w:t> </w:t>
      </w:r>
      <w:r>
        <w:rPr>
          <w:i/>
          <w:sz w:val="22"/>
        </w:rPr>
        <w:t>and introduction of these technologies. Implementation of the new technology is best facilitated by the Gas Distribution Networks and ESV working closely together.” </w:t>
      </w:r>
      <w:r>
        <w:rPr>
          <w:sz w:val="22"/>
        </w:rPr>
        <w:t>(Multinet Gas, 2017, p. 6)</w:t>
      </w:r>
    </w:p>
    <w:p>
      <w:pPr>
        <w:pStyle w:val="BodyText"/>
        <w:spacing w:before="1"/>
        <w:rPr>
          <w:sz w:val="21"/>
        </w:rPr>
      </w:pPr>
    </w:p>
    <w:p>
      <w:pPr>
        <w:pStyle w:val="BodyText"/>
        <w:spacing w:line="288" w:lineRule="auto"/>
        <w:ind w:left="232" w:right="374"/>
      </w:pPr>
      <w:r>
        <w:rPr/>
        <w:t>APA</w:t>
      </w:r>
      <w:r>
        <w:rPr>
          <w:spacing w:val="-3"/>
        </w:rPr>
        <w:t> </w:t>
      </w:r>
      <w:r>
        <w:rPr/>
        <w:t>VTS</w:t>
      </w:r>
      <w:r>
        <w:rPr>
          <w:spacing w:val="-4"/>
        </w:rPr>
        <w:t> </w:t>
      </w:r>
      <w:r>
        <w:rPr/>
        <w:t>(Victorian</w:t>
      </w:r>
      <w:r>
        <w:rPr>
          <w:spacing w:val="-6"/>
        </w:rPr>
        <w:t> </w:t>
      </w:r>
      <w:r>
        <w:rPr/>
        <w:t>Transmission</w:t>
      </w:r>
      <w:r>
        <w:rPr>
          <w:spacing w:val="-3"/>
        </w:rPr>
        <w:t> </w:t>
      </w:r>
      <w:r>
        <w:rPr/>
        <w:t>System)</w:t>
      </w:r>
      <w:r>
        <w:rPr>
          <w:spacing w:val="-2"/>
        </w:rPr>
        <w:t> </w:t>
      </w:r>
      <w:r>
        <w:rPr/>
        <w:t>has</w:t>
      </w:r>
      <w:r>
        <w:rPr>
          <w:spacing w:val="-2"/>
        </w:rPr>
        <w:t> </w:t>
      </w:r>
      <w:r>
        <w:rPr/>
        <w:t>also</w:t>
      </w:r>
      <w:r>
        <w:rPr>
          <w:spacing w:val="-3"/>
        </w:rPr>
        <w:t> </w:t>
      </w:r>
      <w:r>
        <w:rPr/>
        <w:t>recognised</w:t>
      </w:r>
      <w:r>
        <w:rPr>
          <w:spacing w:val="-4"/>
        </w:rPr>
        <w:t> </w:t>
      </w:r>
      <w:r>
        <w:rPr/>
        <w:t>the</w:t>
      </w:r>
      <w:r>
        <w:rPr>
          <w:spacing w:val="-4"/>
        </w:rPr>
        <w:t> </w:t>
      </w:r>
      <w:r>
        <w:rPr/>
        <w:t>importance</w:t>
      </w:r>
      <w:r>
        <w:rPr>
          <w:spacing w:val="-3"/>
        </w:rPr>
        <w:t> </w:t>
      </w:r>
      <w:r>
        <w:rPr/>
        <w:t>of</w:t>
      </w:r>
      <w:r>
        <w:rPr>
          <w:spacing w:val="-1"/>
        </w:rPr>
        <w:t> </w:t>
      </w:r>
      <w:r>
        <w:rPr/>
        <w:t>collaboration between the industry and government to ensure the safety framework can cater for new </w:t>
      </w:r>
      <w:r>
        <w:rPr>
          <w:spacing w:val="-2"/>
        </w:rPr>
        <w:t>technologies:</w:t>
      </w:r>
    </w:p>
    <w:p>
      <w:pPr>
        <w:pStyle w:val="BodyText"/>
        <w:spacing w:before="9"/>
        <w:rPr>
          <w:sz w:val="20"/>
        </w:rPr>
      </w:pPr>
    </w:p>
    <w:p>
      <w:pPr>
        <w:spacing w:line="288" w:lineRule="auto" w:before="0"/>
        <w:ind w:left="799" w:right="868" w:firstLine="62"/>
        <w:jc w:val="left"/>
        <w:rPr>
          <w:sz w:val="22"/>
        </w:rPr>
      </w:pPr>
      <w:r>
        <w:rPr>
          <w:i/>
          <w:sz w:val="22"/>
        </w:rPr>
        <w:t>“…industry</w:t>
      </w:r>
      <w:r>
        <w:rPr>
          <w:i/>
          <w:spacing w:val="-5"/>
          <w:sz w:val="22"/>
        </w:rPr>
        <w:t> </w:t>
      </w:r>
      <w:r>
        <w:rPr>
          <w:i/>
          <w:sz w:val="22"/>
        </w:rPr>
        <w:t>and</w:t>
      </w:r>
      <w:r>
        <w:rPr>
          <w:i/>
          <w:spacing w:val="-5"/>
          <w:sz w:val="22"/>
        </w:rPr>
        <w:t> </w:t>
      </w:r>
      <w:r>
        <w:rPr>
          <w:i/>
          <w:sz w:val="22"/>
        </w:rPr>
        <w:t>Government</w:t>
      </w:r>
      <w:r>
        <w:rPr>
          <w:i/>
          <w:spacing w:val="-4"/>
          <w:sz w:val="22"/>
        </w:rPr>
        <w:t> </w:t>
      </w:r>
      <w:r>
        <w:rPr>
          <w:i/>
          <w:sz w:val="22"/>
        </w:rPr>
        <w:t>shall</w:t>
      </w:r>
      <w:r>
        <w:rPr>
          <w:i/>
          <w:spacing w:val="-3"/>
          <w:sz w:val="22"/>
        </w:rPr>
        <w:t> </w:t>
      </w:r>
      <w:r>
        <w:rPr>
          <w:i/>
          <w:sz w:val="22"/>
        </w:rPr>
        <w:t>need</w:t>
      </w:r>
      <w:r>
        <w:rPr>
          <w:i/>
          <w:spacing w:val="-5"/>
          <w:sz w:val="22"/>
        </w:rPr>
        <w:t> </w:t>
      </w:r>
      <w:r>
        <w:rPr>
          <w:i/>
          <w:sz w:val="22"/>
        </w:rPr>
        <w:t>to</w:t>
      </w:r>
      <w:r>
        <w:rPr>
          <w:i/>
          <w:spacing w:val="-5"/>
          <w:sz w:val="22"/>
        </w:rPr>
        <w:t> </w:t>
      </w:r>
      <w:r>
        <w:rPr>
          <w:i/>
          <w:sz w:val="22"/>
        </w:rPr>
        <w:t>work</w:t>
      </w:r>
      <w:r>
        <w:rPr>
          <w:i/>
          <w:spacing w:val="-2"/>
          <w:sz w:val="22"/>
        </w:rPr>
        <w:t> </w:t>
      </w:r>
      <w:r>
        <w:rPr>
          <w:i/>
          <w:sz w:val="22"/>
        </w:rPr>
        <w:t>on</w:t>
      </w:r>
      <w:r>
        <w:rPr>
          <w:i/>
          <w:spacing w:val="-3"/>
          <w:sz w:val="22"/>
        </w:rPr>
        <w:t> </w:t>
      </w:r>
      <w:r>
        <w:rPr>
          <w:i/>
          <w:sz w:val="22"/>
        </w:rPr>
        <w:t>collaboratively</w:t>
      </w:r>
      <w:r>
        <w:rPr>
          <w:i/>
          <w:spacing w:val="-2"/>
          <w:sz w:val="22"/>
        </w:rPr>
        <w:t> </w:t>
      </w:r>
      <w:r>
        <w:rPr>
          <w:i/>
          <w:sz w:val="22"/>
        </w:rPr>
        <w:t>as</w:t>
      </w:r>
      <w:r>
        <w:rPr>
          <w:i/>
          <w:spacing w:val="-5"/>
          <w:sz w:val="22"/>
        </w:rPr>
        <w:t> </w:t>
      </w:r>
      <w:r>
        <w:rPr>
          <w:i/>
          <w:sz w:val="22"/>
        </w:rPr>
        <w:t>new</w:t>
      </w:r>
      <w:r>
        <w:rPr>
          <w:i/>
          <w:spacing w:val="-3"/>
          <w:sz w:val="22"/>
        </w:rPr>
        <w:t> </w:t>
      </w:r>
      <w:r>
        <w:rPr>
          <w:i/>
          <w:sz w:val="22"/>
        </w:rPr>
        <w:t>technologies emerge. The safety aspects of emerging technology will need proper assessment and flexibility to adjust regulatory frameworks to cater for the new technology.” </w:t>
      </w:r>
      <w:r>
        <w:rPr>
          <w:sz w:val="22"/>
        </w:rPr>
        <w:t>(APA VTS, 2017, p. 9)</w:t>
      </w:r>
    </w:p>
    <w:p>
      <w:pPr>
        <w:pStyle w:val="BodyText"/>
        <w:spacing w:before="3"/>
        <w:rPr>
          <w:sz w:val="31"/>
        </w:rPr>
      </w:pPr>
    </w:p>
    <w:p>
      <w:pPr>
        <w:pStyle w:val="Heading4"/>
        <w:spacing w:before="0"/>
      </w:pPr>
      <w:r>
        <w:rPr>
          <w:color w:val="585858"/>
        </w:rPr>
        <w:t>The</w:t>
      </w:r>
      <w:r>
        <w:rPr>
          <w:color w:val="585858"/>
          <w:spacing w:val="-8"/>
        </w:rPr>
        <w:t> </w:t>
      </w:r>
      <w:r>
        <w:rPr>
          <w:color w:val="585858"/>
        </w:rPr>
        <w:t>potential</w:t>
      </w:r>
      <w:r>
        <w:rPr>
          <w:color w:val="585858"/>
          <w:spacing w:val="-10"/>
        </w:rPr>
        <w:t> </w:t>
      </w:r>
      <w:r>
        <w:rPr>
          <w:color w:val="585858"/>
        </w:rPr>
        <w:t>impacts</w:t>
      </w:r>
      <w:r>
        <w:rPr>
          <w:color w:val="585858"/>
          <w:spacing w:val="-7"/>
        </w:rPr>
        <w:t> </w:t>
      </w:r>
      <w:r>
        <w:rPr>
          <w:color w:val="585858"/>
        </w:rPr>
        <w:t>of</w:t>
      </w:r>
      <w:r>
        <w:rPr>
          <w:color w:val="585858"/>
          <w:spacing w:val="-11"/>
        </w:rPr>
        <w:t> </w:t>
      </w:r>
      <w:r>
        <w:rPr>
          <w:color w:val="585858"/>
        </w:rPr>
        <w:t>a</w:t>
      </w:r>
      <w:r>
        <w:rPr>
          <w:color w:val="585858"/>
          <w:spacing w:val="-8"/>
        </w:rPr>
        <w:t> </w:t>
      </w:r>
      <w:r>
        <w:rPr>
          <w:color w:val="585858"/>
        </w:rPr>
        <w:t>changing</w:t>
      </w:r>
      <w:r>
        <w:rPr>
          <w:color w:val="585858"/>
          <w:spacing w:val="-4"/>
        </w:rPr>
        <w:t> </w:t>
      </w:r>
      <w:r>
        <w:rPr>
          <w:color w:val="585858"/>
        </w:rPr>
        <w:t>energy</w:t>
      </w:r>
      <w:r>
        <w:rPr>
          <w:color w:val="585858"/>
          <w:spacing w:val="-14"/>
        </w:rPr>
        <w:t> </w:t>
      </w:r>
      <w:r>
        <w:rPr>
          <w:color w:val="585858"/>
          <w:spacing w:val="-2"/>
        </w:rPr>
        <w:t>sector</w:t>
      </w:r>
    </w:p>
    <w:p>
      <w:pPr>
        <w:pStyle w:val="BodyText"/>
        <w:spacing w:line="288" w:lineRule="auto" w:before="315"/>
        <w:ind w:left="232" w:right="408"/>
      </w:pPr>
      <w:r>
        <w:rPr/>
        <w:t>The</w:t>
      </w:r>
      <w:r>
        <w:rPr>
          <w:spacing w:val="-5"/>
        </w:rPr>
        <w:t> </w:t>
      </w:r>
      <w:r>
        <w:rPr/>
        <w:t>transformation</w:t>
      </w:r>
      <w:r>
        <w:rPr>
          <w:spacing w:val="-3"/>
        </w:rPr>
        <w:t> </w:t>
      </w:r>
      <w:r>
        <w:rPr/>
        <w:t>occurring</w:t>
      </w:r>
      <w:r>
        <w:rPr>
          <w:spacing w:val="-3"/>
        </w:rPr>
        <w:t> </w:t>
      </w:r>
      <w:r>
        <w:rPr/>
        <w:t>in</w:t>
      </w:r>
      <w:r>
        <w:rPr>
          <w:spacing w:val="-3"/>
        </w:rPr>
        <w:t> </w:t>
      </w:r>
      <w:r>
        <w:rPr/>
        <w:t>the</w:t>
      </w:r>
      <w:r>
        <w:rPr>
          <w:spacing w:val="-5"/>
        </w:rPr>
        <w:t> </w:t>
      </w:r>
      <w:r>
        <w:rPr/>
        <w:t>energy</w:t>
      </w:r>
      <w:r>
        <w:rPr>
          <w:spacing w:val="-5"/>
        </w:rPr>
        <w:t> </w:t>
      </w:r>
      <w:r>
        <w:rPr/>
        <w:t>sector</w:t>
      </w:r>
      <w:r>
        <w:rPr>
          <w:spacing w:val="-4"/>
        </w:rPr>
        <w:t> </w:t>
      </w:r>
      <w:r>
        <w:rPr/>
        <w:t>is</w:t>
      </w:r>
      <w:r>
        <w:rPr>
          <w:spacing w:val="-2"/>
        </w:rPr>
        <w:t> </w:t>
      </w:r>
      <w:r>
        <w:rPr/>
        <w:t>altering</w:t>
      </w:r>
      <w:r>
        <w:rPr>
          <w:spacing w:val="-3"/>
        </w:rPr>
        <w:t> </w:t>
      </w:r>
      <w:r>
        <w:rPr/>
        <w:t>the</w:t>
      </w:r>
      <w:r>
        <w:rPr>
          <w:spacing w:val="-3"/>
        </w:rPr>
        <w:t> </w:t>
      </w:r>
      <w:r>
        <w:rPr/>
        <w:t>operating</w:t>
      </w:r>
      <w:r>
        <w:rPr>
          <w:spacing w:val="-5"/>
        </w:rPr>
        <w:t> </w:t>
      </w:r>
      <w:r>
        <w:rPr/>
        <w:t>dynamics</w:t>
      </w:r>
      <w:r>
        <w:rPr>
          <w:spacing w:val="-2"/>
        </w:rPr>
        <w:t> </w:t>
      </w:r>
      <w:r>
        <w:rPr/>
        <w:t>of both</w:t>
      </w:r>
      <w:r>
        <w:rPr>
          <w:spacing w:val="-5"/>
        </w:rPr>
        <w:t> </w:t>
      </w:r>
      <w:r>
        <w:rPr/>
        <w:t>the electricity and gas networks. Some of these technologies and their implications for safety regulation are summarised in further detail below.</w:t>
      </w:r>
    </w:p>
    <w:p>
      <w:pPr>
        <w:pStyle w:val="BodyText"/>
        <w:rPr>
          <w:sz w:val="24"/>
        </w:rPr>
      </w:pPr>
    </w:p>
    <w:p>
      <w:pPr>
        <w:pStyle w:val="Heading6"/>
        <w:spacing w:before="143"/>
        <w:ind w:left="232"/>
      </w:pPr>
      <w:r>
        <w:rPr/>
        <w:t>Distributed</w:t>
      </w:r>
      <w:r>
        <w:rPr>
          <w:spacing w:val="-2"/>
        </w:rPr>
        <w:t> </w:t>
      </w:r>
      <w:r>
        <w:rPr/>
        <w:t>energy</w:t>
      </w:r>
      <w:r>
        <w:rPr>
          <w:spacing w:val="-8"/>
        </w:rPr>
        <w:t> </w:t>
      </w:r>
      <w:r>
        <w:rPr/>
        <w:t>resources</w:t>
      </w:r>
      <w:r>
        <w:rPr>
          <w:spacing w:val="-4"/>
        </w:rPr>
        <w:t> </w:t>
      </w:r>
      <w:r>
        <w:rPr/>
        <w:t>and</w:t>
      </w:r>
      <w:r>
        <w:rPr>
          <w:spacing w:val="-1"/>
        </w:rPr>
        <w:t> </w:t>
      </w:r>
      <w:r>
        <w:rPr>
          <w:spacing w:val="-2"/>
        </w:rPr>
        <w:t>storage</w:t>
      </w:r>
    </w:p>
    <w:p>
      <w:pPr>
        <w:pStyle w:val="BodyText"/>
        <w:spacing w:line="288" w:lineRule="auto" w:before="175"/>
        <w:ind w:left="232" w:right="488"/>
      </w:pPr>
      <w:r>
        <w:rPr/>
        <w:t>As new</w:t>
      </w:r>
      <w:r>
        <w:rPr>
          <w:spacing w:val="-4"/>
        </w:rPr>
        <w:t> </w:t>
      </w:r>
      <w:r>
        <w:rPr/>
        <w:t>forms of distributed</w:t>
      </w:r>
      <w:r>
        <w:rPr>
          <w:spacing w:val="-3"/>
        </w:rPr>
        <w:t> </w:t>
      </w:r>
      <w:r>
        <w:rPr/>
        <w:t>generation</w:t>
      </w:r>
      <w:r>
        <w:rPr>
          <w:spacing w:val="-1"/>
        </w:rPr>
        <w:t> </w:t>
      </w:r>
      <w:r>
        <w:rPr/>
        <w:t>become</w:t>
      </w:r>
      <w:r>
        <w:rPr>
          <w:spacing w:val="-1"/>
        </w:rPr>
        <w:t> </w:t>
      </w:r>
      <w:r>
        <w:rPr/>
        <w:t>cheaper and</w:t>
      </w:r>
      <w:r>
        <w:rPr>
          <w:spacing w:val="-3"/>
        </w:rPr>
        <w:t> </w:t>
      </w:r>
      <w:r>
        <w:rPr/>
        <w:t>therefore</w:t>
      </w:r>
      <w:r>
        <w:rPr>
          <w:spacing w:val="-3"/>
        </w:rPr>
        <w:t> </w:t>
      </w:r>
      <w:r>
        <w:rPr/>
        <w:t>more</w:t>
      </w:r>
      <w:r>
        <w:rPr>
          <w:spacing w:val="-1"/>
        </w:rPr>
        <w:t> </w:t>
      </w:r>
      <w:r>
        <w:rPr/>
        <w:t>viable</w:t>
      </w:r>
      <w:r>
        <w:rPr>
          <w:spacing w:val="-1"/>
        </w:rPr>
        <w:t> </w:t>
      </w:r>
      <w:r>
        <w:rPr/>
        <w:t>to</w:t>
      </w:r>
      <w:r>
        <w:rPr>
          <w:spacing w:val="-1"/>
        </w:rPr>
        <w:t> </w:t>
      </w:r>
      <w:r>
        <w:rPr/>
        <w:t>install,</w:t>
      </w:r>
      <w:r>
        <w:rPr>
          <w:spacing w:val="-2"/>
        </w:rPr>
        <w:t> </w:t>
      </w:r>
      <w:r>
        <w:rPr/>
        <w:t>they will become more widespread. Over the past ten years, there has been a rapid increase in the uptake of rooftop solar, much of it in residential settings. Between 2009 and 2015, the installed capacity</w:t>
      </w:r>
      <w:r>
        <w:rPr>
          <w:spacing w:val="-5"/>
        </w:rPr>
        <w:t> </w:t>
      </w:r>
      <w:r>
        <w:rPr/>
        <w:t>of small-scale</w:t>
      </w:r>
      <w:r>
        <w:rPr>
          <w:spacing w:val="-5"/>
        </w:rPr>
        <w:t> </w:t>
      </w:r>
      <w:r>
        <w:rPr/>
        <w:t>solar</w:t>
      </w:r>
      <w:r>
        <w:rPr>
          <w:spacing w:val="-2"/>
        </w:rPr>
        <w:t> </w:t>
      </w:r>
      <w:r>
        <w:rPr/>
        <w:t>PV</w:t>
      </w:r>
      <w:r>
        <w:rPr>
          <w:spacing w:val="-3"/>
        </w:rPr>
        <w:t> </w:t>
      </w:r>
      <w:r>
        <w:rPr/>
        <w:t>in</w:t>
      </w:r>
      <w:r>
        <w:rPr>
          <w:spacing w:val="-5"/>
        </w:rPr>
        <w:t> </w:t>
      </w:r>
      <w:r>
        <w:rPr/>
        <w:t>the</w:t>
      </w:r>
      <w:r>
        <w:rPr>
          <w:spacing w:val="-3"/>
        </w:rPr>
        <w:t> </w:t>
      </w:r>
      <w:r>
        <w:rPr/>
        <w:t>National</w:t>
      </w:r>
      <w:r>
        <w:rPr>
          <w:spacing w:val="-4"/>
        </w:rPr>
        <w:t> </w:t>
      </w:r>
      <w:r>
        <w:rPr/>
        <w:t>Electricity</w:t>
      </w:r>
      <w:r>
        <w:rPr>
          <w:spacing w:val="-5"/>
        </w:rPr>
        <w:t> </w:t>
      </w:r>
      <w:r>
        <w:rPr/>
        <w:t>Market</w:t>
      </w:r>
      <w:r>
        <w:rPr>
          <w:spacing w:val="-4"/>
        </w:rPr>
        <w:t> </w:t>
      </w:r>
      <w:r>
        <w:rPr/>
        <w:t>(NEM)</w:t>
      </w:r>
      <w:r>
        <w:rPr>
          <w:spacing w:val="-2"/>
        </w:rPr>
        <w:t> </w:t>
      </w:r>
      <w:r>
        <w:rPr/>
        <w:t>increased</w:t>
      </w:r>
      <w:r>
        <w:rPr>
          <w:spacing w:val="-5"/>
        </w:rPr>
        <w:t> </w:t>
      </w:r>
      <w:r>
        <w:rPr/>
        <w:t>from</w:t>
      </w:r>
      <w:r>
        <w:rPr>
          <w:spacing w:val="-4"/>
        </w:rPr>
        <w:t> </w:t>
      </w:r>
      <w:r>
        <w:rPr/>
        <w:t>0.14</w:t>
      </w:r>
      <w:r>
        <w:rPr>
          <w:spacing w:val="-5"/>
        </w:rPr>
        <w:t> </w:t>
      </w:r>
      <w:r>
        <w:rPr/>
        <w:t>GW to 4.24</w:t>
      </w:r>
      <w:r>
        <w:rPr>
          <w:spacing w:val="-1"/>
        </w:rPr>
        <w:t> </w:t>
      </w:r>
      <w:r>
        <w:rPr/>
        <w:t>GW – a</w:t>
      </w:r>
      <w:r>
        <w:rPr>
          <w:spacing w:val="-3"/>
        </w:rPr>
        <w:t> </w:t>
      </w:r>
      <w:r>
        <w:rPr/>
        <w:t>more</w:t>
      </w:r>
      <w:r>
        <w:rPr>
          <w:spacing w:val="-1"/>
        </w:rPr>
        <w:t> </w:t>
      </w:r>
      <w:r>
        <w:rPr/>
        <w:t>than thirty-fold increase</w:t>
      </w:r>
      <w:r>
        <w:rPr>
          <w:spacing w:val="-1"/>
        </w:rPr>
        <w:t> </w:t>
      </w:r>
      <w:r>
        <w:rPr/>
        <w:t>(AEMC, 2017a). The</w:t>
      </w:r>
      <w:r>
        <w:rPr>
          <w:spacing w:val="-1"/>
        </w:rPr>
        <w:t> </w:t>
      </w:r>
      <w:r>
        <w:rPr/>
        <w:t>CSIRO and Energy</w:t>
      </w:r>
      <w:r>
        <w:rPr>
          <w:spacing w:val="-1"/>
        </w:rPr>
        <w:t> </w:t>
      </w:r>
      <w:r>
        <w:rPr/>
        <w:t>Networks Australia estimate</w:t>
      </w:r>
      <w:r>
        <w:rPr>
          <w:spacing w:val="-2"/>
        </w:rPr>
        <w:t> </w:t>
      </w:r>
      <w:r>
        <w:rPr/>
        <w:t>that</w:t>
      </w:r>
      <w:r>
        <w:rPr>
          <w:spacing w:val="-1"/>
        </w:rPr>
        <w:t> </w:t>
      </w:r>
      <w:r>
        <w:rPr/>
        <w:t>30 to</w:t>
      </w:r>
      <w:r>
        <w:rPr>
          <w:spacing w:val="-2"/>
        </w:rPr>
        <w:t> </w:t>
      </w:r>
      <w:r>
        <w:rPr/>
        <w:t>45 per cent of</w:t>
      </w:r>
      <w:r>
        <w:rPr>
          <w:spacing w:val="-1"/>
        </w:rPr>
        <w:t> </w:t>
      </w:r>
      <w:r>
        <w:rPr/>
        <w:t>annual electricity</w:t>
      </w:r>
      <w:r>
        <w:rPr>
          <w:spacing w:val="-2"/>
        </w:rPr>
        <w:t> </w:t>
      </w:r>
      <w:r>
        <w:rPr/>
        <w:t>consumption</w:t>
      </w:r>
      <w:r>
        <w:rPr>
          <w:spacing w:val="-2"/>
        </w:rPr>
        <w:t> </w:t>
      </w:r>
      <w:r>
        <w:rPr/>
        <w:t>could be supplied</w:t>
      </w:r>
      <w:r>
        <w:rPr>
          <w:spacing w:val="-2"/>
        </w:rPr>
        <w:t> </w:t>
      </w:r>
      <w:r>
        <w:rPr/>
        <w:t>from consumer-owned generators by 2050 (CSIRO &amp; Energy Networks Australia, 2017).</w:t>
      </w:r>
    </w:p>
    <w:p>
      <w:pPr>
        <w:spacing w:after="0" w:line="288" w:lineRule="auto"/>
        <w:sectPr>
          <w:pgSz w:w="11910" w:h="16850"/>
          <w:pgMar w:header="220" w:footer="678" w:top="420" w:bottom="860" w:left="900" w:right="840"/>
        </w:sectPr>
      </w:pPr>
    </w:p>
    <w:p>
      <w:pPr>
        <w:pStyle w:val="BodyText"/>
        <w:rPr>
          <w:sz w:val="20"/>
        </w:rPr>
      </w:pPr>
    </w:p>
    <w:p>
      <w:pPr>
        <w:pStyle w:val="BodyText"/>
        <w:spacing w:before="2"/>
        <w:rPr>
          <w:sz w:val="19"/>
        </w:rPr>
      </w:pPr>
    </w:p>
    <w:p>
      <w:pPr>
        <w:pStyle w:val="Heading7"/>
        <w:spacing w:before="94"/>
        <w:ind w:left="232"/>
      </w:pPr>
      <w:r>
        <w:rPr/>
        <w:t>Figure</w:t>
      </w:r>
      <w:r>
        <w:rPr>
          <w:spacing w:val="-3"/>
        </w:rPr>
        <w:t> </w:t>
      </w:r>
      <w:r>
        <w:rPr/>
        <w:t>23:</w:t>
      </w:r>
      <w:r>
        <w:rPr>
          <w:spacing w:val="-2"/>
        </w:rPr>
        <w:t> </w:t>
      </w:r>
      <w:r>
        <w:rPr/>
        <w:t>Total</w:t>
      </w:r>
      <w:r>
        <w:rPr>
          <w:spacing w:val="-4"/>
        </w:rPr>
        <w:t> </w:t>
      </w:r>
      <w:r>
        <w:rPr/>
        <w:t>solar</w:t>
      </w:r>
      <w:r>
        <w:rPr>
          <w:spacing w:val="-2"/>
        </w:rPr>
        <w:t> </w:t>
      </w:r>
      <w:r>
        <w:rPr/>
        <w:t>PV</w:t>
      </w:r>
      <w:r>
        <w:rPr>
          <w:spacing w:val="-3"/>
        </w:rPr>
        <w:t> </w:t>
      </w:r>
      <w:r>
        <w:rPr/>
        <w:t>in</w:t>
      </w:r>
      <w:r>
        <w:rPr>
          <w:spacing w:val="-5"/>
        </w:rPr>
        <w:t> </w:t>
      </w:r>
      <w:r>
        <w:rPr/>
        <w:t>the</w:t>
      </w:r>
      <w:r>
        <w:rPr>
          <w:spacing w:val="-3"/>
        </w:rPr>
        <w:t> </w:t>
      </w:r>
      <w:r>
        <w:rPr>
          <w:spacing w:val="-5"/>
        </w:rPr>
        <w:t>NEM</w:t>
      </w:r>
    </w:p>
    <w:p>
      <w:pPr>
        <w:pStyle w:val="BodyText"/>
        <w:rPr>
          <w:b/>
          <w:sz w:val="20"/>
        </w:rPr>
      </w:pPr>
    </w:p>
    <w:p>
      <w:pPr>
        <w:pStyle w:val="BodyText"/>
        <w:spacing w:before="5"/>
        <w:rPr>
          <w:b/>
          <w:sz w:val="15"/>
        </w:rPr>
      </w:pPr>
      <w:r>
        <w:rPr/>
        <w:drawing>
          <wp:anchor distT="0" distB="0" distL="0" distR="0" allowOverlap="1" layoutInCell="1" locked="0" behindDoc="1" simplePos="0" relativeHeight="487653888">
            <wp:simplePos x="0" y="0"/>
            <wp:positionH relativeFrom="page">
              <wp:posOffset>848873</wp:posOffset>
            </wp:positionH>
            <wp:positionV relativeFrom="paragraph">
              <wp:posOffset>128165</wp:posOffset>
            </wp:positionV>
            <wp:extent cx="5864818" cy="2849879"/>
            <wp:effectExtent l="0" t="0" r="0" b="0"/>
            <wp:wrapTopAndBottom/>
            <wp:docPr id="193" name="Image 193" descr="C:\Users\rb2f\AppData\Local\Microsoft\Windows\Temporary Internet Files\Content.Word\Fig23.TotalSolarPVNEM2.jpg"/>
            <wp:cNvGraphicFramePr>
              <a:graphicFrameLocks/>
            </wp:cNvGraphicFramePr>
            <a:graphic>
              <a:graphicData uri="http://schemas.openxmlformats.org/drawingml/2006/picture">
                <pic:pic>
                  <pic:nvPicPr>
                    <pic:cNvPr id="193" name="Image 193" descr="C:\Users\rb2f\AppData\Local\Microsoft\Windows\Temporary Internet Files\Content.Word\Fig23.TotalSolarPVNEM2.jpg"/>
                    <pic:cNvPicPr/>
                  </pic:nvPicPr>
                  <pic:blipFill>
                    <a:blip r:embed="rId96" cstate="print"/>
                    <a:stretch>
                      <a:fillRect/>
                    </a:stretch>
                  </pic:blipFill>
                  <pic:spPr>
                    <a:xfrm>
                      <a:off x="0" y="0"/>
                      <a:ext cx="5864818" cy="2849879"/>
                    </a:xfrm>
                    <a:prstGeom prst="rect">
                      <a:avLst/>
                    </a:prstGeom>
                  </pic:spPr>
                </pic:pic>
              </a:graphicData>
            </a:graphic>
          </wp:anchor>
        </w:drawing>
      </w:r>
    </w:p>
    <w:p>
      <w:pPr>
        <w:pStyle w:val="BodyText"/>
        <w:rPr>
          <w:b/>
          <w:sz w:val="24"/>
        </w:rPr>
      </w:pPr>
    </w:p>
    <w:p>
      <w:pPr>
        <w:pStyle w:val="BodyText"/>
        <w:spacing w:before="3"/>
        <w:rPr>
          <w:b/>
          <w:sz w:val="21"/>
        </w:rPr>
      </w:pPr>
    </w:p>
    <w:p>
      <w:pPr>
        <w:spacing w:before="0"/>
        <w:ind w:left="232" w:right="0" w:firstLine="0"/>
        <w:jc w:val="left"/>
        <w:rPr>
          <w:sz w:val="18"/>
        </w:rPr>
      </w:pPr>
      <w:r>
        <w:rPr>
          <w:sz w:val="18"/>
        </w:rPr>
        <w:t>Source:</w:t>
      </w:r>
      <w:r>
        <w:rPr>
          <w:spacing w:val="-4"/>
          <w:sz w:val="18"/>
        </w:rPr>
        <w:t> </w:t>
      </w:r>
      <w:r>
        <w:rPr>
          <w:sz w:val="18"/>
        </w:rPr>
        <w:t>Adapted</w:t>
      </w:r>
      <w:r>
        <w:rPr>
          <w:spacing w:val="-7"/>
          <w:sz w:val="18"/>
        </w:rPr>
        <w:t> </w:t>
      </w:r>
      <w:r>
        <w:rPr>
          <w:sz w:val="18"/>
        </w:rPr>
        <w:t>from</w:t>
      </w:r>
      <w:r>
        <w:rPr>
          <w:spacing w:val="-4"/>
          <w:sz w:val="18"/>
        </w:rPr>
        <w:t> </w:t>
      </w:r>
      <w:r>
        <w:rPr>
          <w:sz w:val="18"/>
        </w:rPr>
        <w:t>Electricity</w:t>
      </w:r>
      <w:r>
        <w:rPr>
          <w:spacing w:val="-5"/>
          <w:sz w:val="18"/>
        </w:rPr>
        <w:t> </w:t>
      </w:r>
      <w:r>
        <w:rPr>
          <w:sz w:val="18"/>
        </w:rPr>
        <w:t>Network</w:t>
      </w:r>
      <w:r>
        <w:rPr>
          <w:spacing w:val="-4"/>
          <w:sz w:val="18"/>
        </w:rPr>
        <w:t> </w:t>
      </w:r>
      <w:r>
        <w:rPr>
          <w:sz w:val="18"/>
        </w:rPr>
        <w:t>Economic</w:t>
      </w:r>
      <w:r>
        <w:rPr>
          <w:spacing w:val="-3"/>
          <w:sz w:val="18"/>
        </w:rPr>
        <w:t> </w:t>
      </w:r>
      <w:r>
        <w:rPr>
          <w:sz w:val="18"/>
        </w:rPr>
        <w:t>Regulatory</w:t>
      </w:r>
      <w:r>
        <w:rPr>
          <w:spacing w:val="-7"/>
          <w:sz w:val="18"/>
        </w:rPr>
        <w:t> </w:t>
      </w:r>
      <w:r>
        <w:rPr>
          <w:sz w:val="18"/>
        </w:rPr>
        <w:t>Framework</w:t>
      </w:r>
      <w:r>
        <w:rPr>
          <w:spacing w:val="-3"/>
          <w:sz w:val="18"/>
        </w:rPr>
        <w:t> </w:t>
      </w:r>
      <w:r>
        <w:rPr>
          <w:sz w:val="18"/>
        </w:rPr>
        <w:t>Review,</w:t>
      </w:r>
      <w:r>
        <w:rPr>
          <w:spacing w:val="-5"/>
          <w:sz w:val="18"/>
        </w:rPr>
        <w:t> </w:t>
      </w:r>
      <w:r>
        <w:rPr>
          <w:sz w:val="18"/>
        </w:rPr>
        <w:t>(AEMC</w:t>
      </w:r>
      <w:r>
        <w:rPr>
          <w:spacing w:val="-5"/>
          <w:sz w:val="18"/>
        </w:rPr>
        <w:t> </w:t>
      </w:r>
      <w:r>
        <w:rPr>
          <w:sz w:val="18"/>
        </w:rPr>
        <w:t>2017a,</w:t>
      </w:r>
      <w:r>
        <w:rPr>
          <w:spacing w:val="-4"/>
          <w:sz w:val="18"/>
        </w:rPr>
        <w:t> </w:t>
      </w:r>
      <w:r>
        <w:rPr>
          <w:spacing w:val="-2"/>
          <w:sz w:val="18"/>
        </w:rPr>
        <w:t>p.74)</w:t>
      </w:r>
    </w:p>
    <w:p>
      <w:pPr>
        <w:pStyle w:val="BodyText"/>
        <w:rPr>
          <w:sz w:val="20"/>
        </w:rPr>
      </w:pPr>
    </w:p>
    <w:p>
      <w:pPr>
        <w:pStyle w:val="BodyText"/>
        <w:spacing w:line="288" w:lineRule="auto" w:before="173"/>
        <w:ind w:left="232" w:right="325"/>
      </w:pPr>
      <w:r>
        <w:rPr/>
        <w:t>Storage</w:t>
      </w:r>
      <w:r>
        <w:rPr>
          <w:spacing w:val="-3"/>
        </w:rPr>
        <w:t> </w:t>
      </w:r>
      <w:r>
        <w:rPr/>
        <w:t>of</w:t>
      </w:r>
      <w:r>
        <w:rPr>
          <w:spacing w:val="-4"/>
        </w:rPr>
        <w:t> </w:t>
      </w:r>
      <w:r>
        <w:rPr/>
        <w:t>energy</w:t>
      </w:r>
      <w:r>
        <w:rPr>
          <w:spacing w:val="-4"/>
        </w:rPr>
        <w:t> </w:t>
      </w:r>
      <w:r>
        <w:rPr/>
        <w:t>allows system</w:t>
      </w:r>
      <w:r>
        <w:rPr>
          <w:spacing w:val="-6"/>
        </w:rPr>
        <w:t> </w:t>
      </w:r>
      <w:r>
        <w:rPr/>
        <w:t>flexibility</w:t>
      </w:r>
      <w:r>
        <w:rPr>
          <w:spacing w:val="-4"/>
        </w:rPr>
        <w:t> </w:t>
      </w:r>
      <w:r>
        <w:rPr/>
        <w:t>and</w:t>
      </w:r>
      <w:r>
        <w:rPr>
          <w:spacing w:val="-3"/>
        </w:rPr>
        <w:t> </w:t>
      </w:r>
      <w:r>
        <w:rPr/>
        <w:t>can</w:t>
      </w:r>
      <w:r>
        <w:rPr>
          <w:spacing w:val="-3"/>
        </w:rPr>
        <w:t> </w:t>
      </w:r>
      <w:r>
        <w:rPr/>
        <w:t>be</w:t>
      </w:r>
      <w:r>
        <w:rPr>
          <w:spacing w:val="-3"/>
        </w:rPr>
        <w:t> </w:t>
      </w:r>
      <w:r>
        <w:rPr/>
        <w:t>utilised</w:t>
      </w:r>
      <w:r>
        <w:rPr>
          <w:spacing w:val="-3"/>
        </w:rPr>
        <w:t> </w:t>
      </w:r>
      <w:r>
        <w:rPr/>
        <w:t>to</w:t>
      </w:r>
      <w:r>
        <w:rPr>
          <w:spacing w:val="-3"/>
        </w:rPr>
        <w:t> </w:t>
      </w:r>
      <w:r>
        <w:rPr/>
        <w:t>enhance</w:t>
      </w:r>
      <w:r>
        <w:rPr>
          <w:spacing w:val="-4"/>
        </w:rPr>
        <w:t> </w:t>
      </w:r>
      <w:r>
        <w:rPr/>
        <w:t>system</w:t>
      </w:r>
      <w:r>
        <w:rPr>
          <w:spacing w:val="-4"/>
        </w:rPr>
        <w:t> </w:t>
      </w:r>
      <w:r>
        <w:rPr/>
        <w:t>reliability.</w:t>
      </w:r>
      <w:r>
        <w:rPr>
          <w:spacing w:val="-1"/>
        </w:rPr>
        <w:t> </w:t>
      </w:r>
      <w:r>
        <w:rPr/>
        <w:t>Energy storage comes in many forms, including battery technologies that convert chemical energy into electrical energy, thermal storage, hydrogen fuels and pumped hydro that can be used at residential, commercial and grid scale. Batteries can contain a variety of chemicals including lead- acid, nickel metal hydride or lithium ion. Lithium ion batteries are also being used in electric vehicles (CSIRO, 2015).</w:t>
      </w:r>
    </w:p>
    <w:p>
      <w:pPr>
        <w:pStyle w:val="BodyText"/>
        <w:spacing w:before="11"/>
        <w:rPr>
          <w:sz w:val="20"/>
        </w:rPr>
      </w:pPr>
    </w:p>
    <w:p>
      <w:pPr>
        <w:pStyle w:val="BodyText"/>
        <w:spacing w:line="288" w:lineRule="auto"/>
        <w:ind w:left="232"/>
      </w:pPr>
      <w:r>
        <w:rPr/>
        <w:t>While</w:t>
      </w:r>
      <w:r>
        <w:rPr>
          <w:spacing w:val="-3"/>
        </w:rPr>
        <w:t> </w:t>
      </w:r>
      <w:r>
        <w:rPr/>
        <w:t>less</w:t>
      </w:r>
      <w:r>
        <w:rPr>
          <w:spacing w:val="-5"/>
        </w:rPr>
        <w:t> </w:t>
      </w:r>
      <w:r>
        <w:rPr/>
        <w:t>than</w:t>
      </w:r>
      <w:r>
        <w:rPr>
          <w:spacing w:val="-5"/>
        </w:rPr>
        <w:t> </w:t>
      </w:r>
      <w:r>
        <w:rPr/>
        <w:t>200MW capacity</w:t>
      </w:r>
      <w:r>
        <w:rPr>
          <w:spacing w:val="-5"/>
        </w:rPr>
        <w:t> </w:t>
      </w:r>
      <w:r>
        <w:rPr/>
        <w:t>of battery</w:t>
      </w:r>
      <w:r>
        <w:rPr>
          <w:spacing w:val="-5"/>
        </w:rPr>
        <w:t> </w:t>
      </w:r>
      <w:r>
        <w:rPr/>
        <w:t>storage</w:t>
      </w:r>
      <w:r>
        <w:rPr>
          <w:spacing w:val="-5"/>
        </w:rPr>
        <w:t> </w:t>
      </w:r>
      <w:r>
        <w:rPr/>
        <w:t>is</w:t>
      </w:r>
      <w:r>
        <w:rPr>
          <w:spacing w:val="-2"/>
        </w:rPr>
        <w:t> </w:t>
      </w:r>
      <w:r>
        <w:rPr/>
        <w:t>currently</w:t>
      </w:r>
      <w:r>
        <w:rPr>
          <w:spacing w:val="-5"/>
        </w:rPr>
        <w:t> </w:t>
      </w:r>
      <w:r>
        <w:rPr/>
        <w:t>installed</w:t>
      </w:r>
      <w:r>
        <w:rPr>
          <w:spacing w:val="-3"/>
        </w:rPr>
        <w:t> </w:t>
      </w:r>
      <w:r>
        <w:rPr/>
        <w:t>in</w:t>
      </w:r>
      <w:r>
        <w:rPr>
          <w:spacing w:val="-3"/>
        </w:rPr>
        <w:t> </w:t>
      </w:r>
      <w:r>
        <w:rPr/>
        <w:t>Australia,</w:t>
      </w:r>
      <w:r>
        <w:rPr>
          <w:spacing w:val="-2"/>
        </w:rPr>
        <w:t> </w:t>
      </w:r>
      <w:r>
        <w:rPr/>
        <w:t>its</w:t>
      </w:r>
      <w:r>
        <w:rPr>
          <w:spacing w:val="-5"/>
        </w:rPr>
        <w:t> </w:t>
      </w:r>
      <w:r>
        <w:rPr/>
        <w:t>uptake</w:t>
      </w:r>
      <w:r>
        <w:rPr>
          <w:spacing w:val="-3"/>
        </w:rPr>
        <w:t> </w:t>
      </w:r>
      <w:r>
        <w:rPr/>
        <w:t>is expected to increase rapidly in the future as costs decrease.</w:t>
      </w:r>
    </w:p>
    <w:p>
      <w:pPr>
        <w:pStyle w:val="BodyText"/>
        <w:spacing w:before="3"/>
        <w:rPr>
          <w:sz w:val="31"/>
        </w:rPr>
      </w:pPr>
    </w:p>
    <w:p>
      <w:pPr>
        <w:pStyle w:val="Heading7"/>
        <w:ind w:left="232"/>
      </w:pPr>
      <w:r>
        <w:rPr/>
        <w:t>Figure</w:t>
      </w:r>
      <w:r>
        <w:rPr>
          <w:spacing w:val="-5"/>
        </w:rPr>
        <w:t> </w:t>
      </w:r>
      <w:r>
        <w:rPr/>
        <w:t>24:</w:t>
      </w:r>
      <w:r>
        <w:rPr>
          <w:spacing w:val="-4"/>
        </w:rPr>
        <w:t> </w:t>
      </w:r>
      <w:r>
        <w:rPr/>
        <w:t>Projected</w:t>
      </w:r>
      <w:r>
        <w:rPr>
          <w:spacing w:val="-6"/>
        </w:rPr>
        <w:t> </w:t>
      </w:r>
      <w:r>
        <w:rPr/>
        <w:t>installations</w:t>
      </w:r>
      <w:r>
        <w:rPr>
          <w:spacing w:val="-5"/>
        </w:rPr>
        <w:t> </w:t>
      </w:r>
      <w:r>
        <w:rPr/>
        <w:t>of</w:t>
      </w:r>
      <w:r>
        <w:rPr>
          <w:spacing w:val="-4"/>
        </w:rPr>
        <w:t> </w:t>
      </w:r>
      <w:r>
        <w:rPr/>
        <w:t>on-site</w:t>
      </w:r>
      <w:r>
        <w:rPr>
          <w:spacing w:val="-5"/>
        </w:rPr>
        <w:t> </w:t>
      </w:r>
      <w:r>
        <w:rPr/>
        <w:t>battery</w:t>
      </w:r>
      <w:r>
        <w:rPr>
          <w:spacing w:val="-9"/>
        </w:rPr>
        <w:t> </w:t>
      </w:r>
      <w:r>
        <w:rPr/>
        <w:t>storage</w:t>
      </w:r>
      <w:r>
        <w:rPr>
          <w:spacing w:val="-5"/>
        </w:rPr>
        <w:t> </w:t>
      </w:r>
      <w:r>
        <w:rPr/>
        <w:t>by</w:t>
      </w:r>
      <w:r>
        <w:rPr>
          <w:spacing w:val="-9"/>
        </w:rPr>
        <w:t> </w:t>
      </w:r>
      <w:r>
        <w:rPr>
          <w:spacing w:val="-2"/>
        </w:rPr>
        <w:t>state</w:t>
      </w:r>
    </w:p>
    <w:p>
      <w:pPr>
        <w:pStyle w:val="BodyText"/>
        <w:rPr>
          <w:b/>
          <w:sz w:val="20"/>
        </w:rPr>
      </w:pPr>
    </w:p>
    <w:p>
      <w:pPr>
        <w:pStyle w:val="BodyText"/>
        <w:spacing w:before="4"/>
        <w:rPr>
          <w:b/>
          <w:sz w:val="15"/>
        </w:rPr>
      </w:pPr>
      <w:r>
        <w:rPr/>
        <w:drawing>
          <wp:anchor distT="0" distB="0" distL="0" distR="0" allowOverlap="1" layoutInCell="1" locked="0" behindDoc="1" simplePos="0" relativeHeight="487654400">
            <wp:simplePos x="0" y="0"/>
            <wp:positionH relativeFrom="page">
              <wp:posOffset>783817</wp:posOffset>
            </wp:positionH>
            <wp:positionV relativeFrom="paragraph">
              <wp:posOffset>127455</wp:posOffset>
            </wp:positionV>
            <wp:extent cx="5972536" cy="2179319"/>
            <wp:effectExtent l="0" t="0" r="0" b="0"/>
            <wp:wrapTopAndBottom/>
            <wp:docPr id="194" name="Image 194" descr="C:\Users\rb2f\AppData\Local\Microsoft\Windows\Temporary Internet Files\Content.Word\Fig24.jpg"/>
            <wp:cNvGraphicFramePr>
              <a:graphicFrameLocks/>
            </wp:cNvGraphicFramePr>
            <a:graphic>
              <a:graphicData uri="http://schemas.openxmlformats.org/drawingml/2006/picture">
                <pic:pic>
                  <pic:nvPicPr>
                    <pic:cNvPr id="194" name="Image 194" descr="C:\Users\rb2f\AppData\Local\Microsoft\Windows\Temporary Internet Files\Content.Word\Fig24.jpg"/>
                    <pic:cNvPicPr/>
                  </pic:nvPicPr>
                  <pic:blipFill>
                    <a:blip r:embed="rId97" cstate="print"/>
                    <a:stretch>
                      <a:fillRect/>
                    </a:stretch>
                  </pic:blipFill>
                  <pic:spPr>
                    <a:xfrm>
                      <a:off x="0" y="0"/>
                      <a:ext cx="5972536" cy="2179319"/>
                    </a:xfrm>
                    <a:prstGeom prst="rect">
                      <a:avLst/>
                    </a:prstGeom>
                  </pic:spPr>
                </pic:pic>
              </a:graphicData>
            </a:graphic>
          </wp:anchor>
        </w:drawing>
      </w:r>
    </w:p>
    <w:p>
      <w:pPr>
        <w:pStyle w:val="BodyText"/>
        <w:spacing w:before="8"/>
        <w:rPr>
          <w:b/>
          <w:sz w:val="25"/>
        </w:rPr>
      </w:pPr>
    </w:p>
    <w:p>
      <w:pPr>
        <w:spacing w:before="0"/>
        <w:ind w:left="232" w:right="0" w:firstLine="0"/>
        <w:jc w:val="left"/>
        <w:rPr>
          <w:sz w:val="18"/>
        </w:rPr>
      </w:pPr>
      <w:r>
        <w:rPr>
          <w:sz w:val="18"/>
        </w:rPr>
        <w:t>Source:</w:t>
      </w:r>
      <w:r>
        <w:rPr>
          <w:spacing w:val="-3"/>
          <w:sz w:val="18"/>
        </w:rPr>
        <w:t> </w:t>
      </w:r>
      <w:r>
        <w:rPr>
          <w:sz w:val="18"/>
        </w:rPr>
        <w:t>Adapted</w:t>
      </w:r>
      <w:r>
        <w:rPr>
          <w:spacing w:val="-6"/>
          <w:sz w:val="18"/>
        </w:rPr>
        <w:t> </w:t>
      </w:r>
      <w:r>
        <w:rPr>
          <w:sz w:val="18"/>
        </w:rPr>
        <w:t>from</w:t>
      </w:r>
      <w:r>
        <w:rPr>
          <w:spacing w:val="-3"/>
          <w:sz w:val="18"/>
        </w:rPr>
        <w:t> </w:t>
      </w:r>
      <w:r>
        <w:rPr>
          <w:sz w:val="18"/>
        </w:rPr>
        <w:t>Electricity</w:t>
      </w:r>
      <w:r>
        <w:rPr>
          <w:spacing w:val="-5"/>
          <w:sz w:val="18"/>
        </w:rPr>
        <w:t> </w:t>
      </w:r>
      <w:r>
        <w:rPr>
          <w:sz w:val="18"/>
        </w:rPr>
        <w:t>Network</w:t>
      </w:r>
      <w:r>
        <w:rPr>
          <w:spacing w:val="-2"/>
          <w:sz w:val="18"/>
        </w:rPr>
        <w:t> </w:t>
      </w:r>
      <w:r>
        <w:rPr>
          <w:sz w:val="18"/>
        </w:rPr>
        <w:t>Transformation</w:t>
      </w:r>
      <w:r>
        <w:rPr>
          <w:spacing w:val="-4"/>
          <w:sz w:val="18"/>
        </w:rPr>
        <w:t> </w:t>
      </w:r>
      <w:r>
        <w:rPr>
          <w:sz w:val="18"/>
        </w:rPr>
        <w:t>Roadmap</w:t>
      </w:r>
      <w:r>
        <w:rPr>
          <w:spacing w:val="-3"/>
          <w:sz w:val="18"/>
        </w:rPr>
        <w:t> </w:t>
      </w:r>
      <w:r>
        <w:rPr>
          <w:sz w:val="18"/>
        </w:rPr>
        <w:t>(ENA</w:t>
      </w:r>
      <w:r>
        <w:rPr>
          <w:spacing w:val="-4"/>
          <w:sz w:val="18"/>
        </w:rPr>
        <w:t> </w:t>
      </w:r>
      <w:r>
        <w:rPr>
          <w:sz w:val="18"/>
        </w:rPr>
        <w:t>&amp;</w:t>
      </w:r>
      <w:r>
        <w:rPr>
          <w:spacing w:val="-4"/>
          <w:sz w:val="18"/>
        </w:rPr>
        <w:t> </w:t>
      </w:r>
      <w:r>
        <w:rPr>
          <w:sz w:val="18"/>
        </w:rPr>
        <w:t>CSIRO,</w:t>
      </w:r>
      <w:r>
        <w:rPr>
          <w:spacing w:val="-3"/>
          <w:sz w:val="18"/>
        </w:rPr>
        <w:t> </w:t>
      </w:r>
      <w:r>
        <w:rPr>
          <w:sz w:val="18"/>
        </w:rPr>
        <w:t>2017,</w:t>
      </w:r>
      <w:r>
        <w:rPr>
          <w:spacing w:val="-6"/>
          <w:sz w:val="18"/>
        </w:rPr>
        <w:t> </w:t>
      </w:r>
      <w:r>
        <w:rPr>
          <w:sz w:val="18"/>
        </w:rPr>
        <w:t>p.</w:t>
      </w:r>
      <w:r>
        <w:rPr>
          <w:spacing w:val="-3"/>
          <w:sz w:val="18"/>
        </w:rPr>
        <w:t> </w:t>
      </w:r>
      <w:r>
        <w:rPr>
          <w:spacing w:val="-4"/>
          <w:sz w:val="18"/>
        </w:rPr>
        <w:t>102)</w:t>
      </w:r>
    </w:p>
    <w:p>
      <w:pPr>
        <w:spacing w:after="0"/>
        <w:jc w:val="left"/>
        <w:rPr>
          <w:sz w:val="18"/>
        </w:rPr>
        <w:sectPr>
          <w:pgSz w:w="11910" w:h="16850"/>
          <w:pgMar w:header="220" w:footer="678" w:top="420" w:bottom="860" w:left="900" w:right="840"/>
        </w:sectPr>
      </w:pPr>
    </w:p>
    <w:p>
      <w:pPr>
        <w:pStyle w:val="BodyText"/>
        <w:rPr>
          <w:sz w:val="20"/>
        </w:rPr>
      </w:pPr>
    </w:p>
    <w:p>
      <w:pPr>
        <w:pStyle w:val="BodyText"/>
        <w:spacing w:before="2"/>
        <w:rPr>
          <w:sz w:val="19"/>
        </w:rPr>
      </w:pPr>
    </w:p>
    <w:p>
      <w:pPr>
        <w:pStyle w:val="BodyText"/>
        <w:spacing w:line="288" w:lineRule="auto" w:before="94"/>
        <w:ind w:left="232" w:right="374"/>
      </w:pPr>
      <w:r>
        <w:rPr/>
        <w:t>In addition to being utilised by individual customers, solar photovoltaics coupled with battery storage</w:t>
      </w:r>
      <w:r>
        <w:rPr>
          <w:spacing w:val="-4"/>
        </w:rPr>
        <w:t> </w:t>
      </w:r>
      <w:r>
        <w:rPr/>
        <w:t>can</w:t>
      </w:r>
      <w:r>
        <w:rPr>
          <w:spacing w:val="-2"/>
        </w:rPr>
        <w:t> </w:t>
      </w:r>
      <w:r>
        <w:rPr/>
        <w:t>be</w:t>
      </w:r>
      <w:r>
        <w:rPr>
          <w:spacing w:val="-2"/>
        </w:rPr>
        <w:t> </w:t>
      </w:r>
      <w:r>
        <w:rPr/>
        <w:t>utilised</w:t>
      </w:r>
      <w:r>
        <w:rPr>
          <w:spacing w:val="-2"/>
        </w:rPr>
        <w:t> </w:t>
      </w:r>
      <w:r>
        <w:rPr/>
        <w:t>by</w:t>
      </w:r>
      <w:r>
        <w:rPr>
          <w:spacing w:val="-4"/>
        </w:rPr>
        <w:t> </w:t>
      </w:r>
      <w:r>
        <w:rPr/>
        <w:t>a group</w:t>
      </w:r>
      <w:r>
        <w:rPr>
          <w:spacing w:val="-2"/>
        </w:rPr>
        <w:t> </w:t>
      </w:r>
      <w:r>
        <w:rPr/>
        <w:t>of</w:t>
      </w:r>
      <w:r>
        <w:rPr>
          <w:spacing w:val="-3"/>
        </w:rPr>
        <w:t> </w:t>
      </w:r>
      <w:r>
        <w:rPr/>
        <w:t>customers</w:t>
      </w:r>
      <w:r>
        <w:rPr>
          <w:spacing w:val="-4"/>
        </w:rPr>
        <w:t> </w:t>
      </w:r>
      <w:r>
        <w:rPr/>
        <w:t>forming</w:t>
      </w:r>
      <w:r>
        <w:rPr>
          <w:spacing w:val="-2"/>
        </w:rPr>
        <w:t> </w:t>
      </w:r>
      <w:r>
        <w:rPr/>
        <w:t>their</w:t>
      </w:r>
      <w:r>
        <w:rPr>
          <w:spacing w:val="-3"/>
        </w:rPr>
        <w:t> </w:t>
      </w:r>
      <w:r>
        <w:rPr/>
        <w:t>own</w:t>
      </w:r>
      <w:r>
        <w:rPr>
          <w:spacing w:val="-2"/>
        </w:rPr>
        <w:t> </w:t>
      </w:r>
      <w:r>
        <w:rPr/>
        <w:t>microgrid</w:t>
      </w:r>
      <w:r>
        <w:rPr>
          <w:spacing w:val="-2"/>
        </w:rPr>
        <w:t> </w:t>
      </w:r>
      <w:r>
        <w:rPr/>
        <w:t>and</w:t>
      </w:r>
      <w:r>
        <w:rPr>
          <w:spacing w:val="-2"/>
        </w:rPr>
        <w:t> </w:t>
      </w:r>
      <w:r>
        <w:rPr/>
        <w:t>can</w:t>
      </w:r>
      <w:r>
        <w:rPr>
          <w:spacing w:val="-2"/>
        </w:rPr>
        <w:t> </w:t>
      </w:r>
      <w:r>
        <w:rPr/>
        <w:t>be</w:t>
      </w:r>
      <w:r>
        <w:rPr>
          <w:spacing w:val="-4"/>
        </w:rPr>
        <w:t> </w:t>
      </w:r>
      <w:r>
        <w:rPr/>
        <w:t>grid- connected or independent from the main electricity network.</w:t>
      </w:r>
    </w:p>
    <w:p>
      <w:pPr>
        <w:pStyle w:val="BodyText"/>
        <w:rPr>
          <w:sz w:val="24"/>
        </w:rPr>
      </w:pPr>
    </w:p>
    <w:p>
      <w:pPr>
        <w:pStyle w:val="Heading6"/>
        <w:spacing w:before="144"/>
        <w:ind w:left="232"/>
      </w:pPr>
      <w:r>
        <w:rPr/>
        <w:t>The</w:t>
      </w:r>
      <w:r>
        <w:rPr>
          <w:spacing w:val="-3"/>
        </w:rPr>
        <w:t> </w:t>
      </w:r>
      <w:r>
        <w:rPr/>
        <w:t>benefits</w:t>
      </w:r>
      <w:r>
        <w:rPr>
          <w:spacing w:val="-2"/>
        </w:rPr>
        <w:t> </w:t>
      </w:r>
      <w:r>
        <w:rPr/>
        <w:t>of</w:t>
      </w:r>
      <w:r>
        <w:rPr>
          <w:spacing w:val="-2"/>
        </w:rPr>
        <w:t> </w:t>
      </w:r>
      <w:r>
        <w:rPr/>
        <w:t>distributed</w:t>
      </w:r>
      <w:r>
        <w:rPr>
          <w:spacing w:val="-2"/>
        </w:rPr>
        <w:t> </w:t>
      </w:r>
      <w:r>
        <w:rPr/>
        <w:t>energy</w:t>
      </w:r>
      <w:r>
        <w:rPr>
          <w:spacing w:val="-8"/>
        </w:rPr>
        <w:t> </w:t>
      </w:r>
      <w:r>
        <w:rPr/>
        <w:t>resources</w:t>
      </w:r>
      <w:r>
        <w:rPr>
          <w:spacing w:val="-3"/>
        </w:rPr>
        <w:t> </w:t>
      </w:r>
      <w:r>
        <w:rPr/>
        <w:t>and</w:t>
      </w:r>
      <w:r>
        <w:rPr>
          <w:spacing w:val="-4"/>
        </w:rPr>
        <w:t> </w:t>
      </w:r>
      <w:r>
        <w:rPr>
          <w:spacing w:val="-2"/>
        </w:rPr>
        <w:t>storage</w:t>
      </w:r>
    </w:p>
    <w:p>
      <w:pPr>
        <w:pStyle w:val="BodyText"/>
        <w:spacing w:line="288" w:lineRule="auto" w:before="175"/>
        <w:ind w:left="232" w:right="296"/>
      </w:pPr>
      <w:r>
        <w:rPr/>
        <w:t>Battery</w:t>
      </w:r>
      <w:r>
        <w:rPr>
          <w:spacing w:val="-2"/>
        </w:rPr>
        <w:t> </w:t>
      </w:r>
      <w:r>
        <w:rPr/>
        <w:t>storage</w:t>
      </w:r>
      <w:r>
        <w:rPr>
          <w:spacing w:val="-3"/>
        </w:rPr>
        <w:t> </w:t>
      </w:r>
      <w:r>
        <w:rPr/>
        <w:t>has</w:t>
      </w:r>
      <w:r>
        <w:rPr>
          <w:spacing w:val="-3"/>
        </w:rPr>
        <w:t> </w:t>
      </w:r>
      <w:r>
        <w:rPr/>
        <w:t>many</w:t>
      </w:r>
      <w:r>
        <w:rPr>
          <w:spacing w:val="-3"/>
        </w:rPr>
        <w:t> </w:t>
      </w:r>
      <w:r>
        <w:rPr/>
        <w:t>potential</w:t>
      </w:r>
      <w:r>
        <w:rPr>
          <w:spacing w:val="-2"/>
        </w:rPr>
        <w:t> </w:t>
      </w:r>
      <w:r>
        <w:rPr/>
        <w:t>benefits.</w:t>
      </w:r>
      <w:r>
        <w:rPr>
          <w:spacing w:val="-6"/>
        </w:rPr>
        <w:t> </w:t>
      </w:r>
      <w:r>
        <w:rPr/>
        <w:t>When</w:t>
      </w:r>
      <w:r>
        <w:rPr>
          <w:spacing w:val="-1"/>
        </w:rPr>
        <w:t> </w:t>
      </w:r>
      <w:r>
        <w:rPr/>
        <w:t>deployed</w:t>
      </w:r>
      <w:r>
        <w:rPr>
          <w:spacing w:val="-1"/>
        </w:rPr>
        <w:t> </w:t>
      </w:r>
      <w:r>
        <w:rPr/>
        <w:t>at scale</w:t>
      </w:r>
      <w:r>
        <w:rPr>
          <w:spacing w:val="-3"/>
        </w:rPr>
        <w:t> </w:t>
      </w:r>
      <w:r>
        <w:rPr/>
        <w:t>and</w:t>
      </w:r>
      <w:r>
        <w:rPr>
          <w:spacing w:val="-1"/>
        </w:rPr>
        <w:t> </w:t>
      </w:r>
      <w:r>
        <w:rPr/>
        <w:t>in</w:t>
      </w:r>
      <w:r>
        <w:rPr>
          <w:spacing w:val="-1"/>
        </w:rPr>
        <w:t> </w:t>
      </w:r>
      <w:r>
        <w:rPr/>
        <w:t>a coordinated</w:t>
      </w:r>
      <w:r>
        <w:rPr>
          <w:spacing w:val="-3"/>
        </w:rPr>
        <w:t> </w:t>
      </w:r>
      <w:r>
        <w:rPr/>
        <w:t>manner, battery</w:t>
      </w:r>
      <w:r>
        <w:rPr>
          <w:spacing w:val="-4"/>
        </w:rPr>
        <w:t> </w:t>
      </w:r>
      <w:r>
        <w:rPr/>
        <w:t>storage</w:t>
      </w:r>
      <w:r>
        <w:rPr>
          <w:spacing w:val="-5"/>
        </w:rPr>
        <w:t> </w:t>
      </w:r>
      <w:r>
        <w:rPr/>
        <w:t>can</w:t>
      </w:r>
      <w:r>
        <w:rPr>
          <w:spacing w:val="-4"/>
        </w:rPr>
        <w:t> </w:t>
      </w:r>
      <w:r>
        <w:rPr/>
        <w:t>play</w:t>
      </w:r>
      <w:r>
        <w:rPr>
          <w:spacing w:val="-5"/>
        </w:rPr>
        <w:t> </w:t>
      </w:r>
      <w:r>
        <w:rPr/>
        <w:t>a</w:t>
      </w:r>
      <w:r>
        <w:rPr>
          <w:spacing w:val="-3"/>
        </w:rPr>
        <w:t> </w:t>
      </w:r>
      <w:r>
        <w:rPr/>
        <w:t>significant</w:t>
      </w:r>
      <w:r>
        <w:rPr>
          <w:spacing w:val="-4"/>
        </w:rPr>
        <w:t> </w:t>
      </w:r>
      <w:r>
        <w:rPr/>
        <w:t>role</w:t>
      </w:r>
      <w:r>
        <w:rPr>
          <w:spacing w:val="-3"/>
        </w:rPr>
        <w:t> </w:t>
      </w:r>
      <w:r>
        <w:rPr/>
        <w:t>in</w:t>
      </w:r>
      <w:r>
        <w:rPr>
          <w:spacing w:val="-3"/>
        </w:rPr>
        <w:t> </w:t>
      </w:r>
      <w:r>
        <w:rPr/>
        <w:t>improving</w:t>
      </w:r>
      <w:r>
        <w:rPr>
          <w:spacing w:val="-1"/>
        </w:rPr>
        <w:t> </w:t>
      </w:r>
      <w:r>
        <w:rPr/>
        <w:t>grid</w:t>
      </w:r>
      <w:r>
        <w:rPr>
          <w:spacing w:val="-3"/>
        </w:rPr>
        <w:t> </w:t>
      </w:r>
      <w:r>
        <w:rPr/>
        <w:t>stability. Large-scale</w:t>
      </w:r>
      <w:r>
        <w:rPr>
          <w:spacing w:val="-3"/>
        </w:rPr>
        <w:t> </w:t>
      </w:r>
      <w:r>
        <w:rPr/>
        <w:t>battery</w:t>
      </w:r>
      <w:r>
        <w:rPr>
          <w:spacing w:val="-4"/>
        </w:rPr>
        <w:t> </w:t>
      </w:r>
      <w:r>
        <w:rPr/>
        <w:t>storage</w:t>
      </w:r>
      <w:r>
        <w:rPr>
          <w:spacing w:val="-4"/>
        </w:rPr>
        <w:t> </w:t>
      </w:r>
      <w:r>
        <w:rPr/>
        <w:t>will have an increasing role in better integrating renewable energy generation and improving system reliability. The Victorian Government has committed to build two 20 MW battery storage</w:t>
      </w:r>
      <w:r>
        <w:rPr>
          <w:spacing w:val="-2"/>
        </w:rPr>
        <w:t> </w:t>
      </w:r>
      <w:r>
        <w:rPr/>
        <w:t>facilities in western Victoria by the end of 2018 to help improve grid reliability.</w:t>
      </w:r>
    </w:p>
    <w:p>
      <w:pPr>
        <w:pStyle w:val="BodyText"/>
        <w:spacing w:before="4"/>
        <w:rPr>
          <w:sz w:val="26"/>
        </w:rPr>
      </w:pPr>
    </w:p>
    <w:p>
      <w:pPr>
        <w:pStyle w:val="BodyText"/>
        <w:spacing w:line="288" w:lineRule="auto"/>
        <w:ind w:left="232" w:right="363"/>
      </w:pPr>
      <w:r>
        <w:rPr/>
        <w:t>Battery storage can also be utilised as an alternative option to grid augmentation or to the replacement of single wire earth</w:t>
      </w:r>
      <w:r>
        <w:rPr>
          <w:spacing w:val="-2"/>
        </w:rPr>
        <w:t> </w:t>
      </w:r>
      <w:r>
        <w:rPr/>
        <w:t>return</w:t>
      </w:r>
      <w:r>
        <w:rPr>
          <w:spacing w:val="-2"/>
        </w:rPr>
        <w:t> </w:t>
      </w:r>
      <w:r>
        <w:rPr/>
        <w:t>(SWER)</w:t>
      </w:r>
      <w:r>
        <w:rPr>
          <w:spacing w:val="-1"/>
        </w:rPr>
        <w:t> </w:t>
      </w:r>
      <w:r>
        <w:rPr/>
        <w:t>lines. SWER</w:t>
      </w:r>
      <w:r>
        <w:rPr>
          <w:spacing w:val="-3"/>
        </w:rPr>
        <w:t> </w:t>
      </w:r>
      <w:r>
        <w:rPr/>
        <w:t>lines are</w:t>
      </w:r>
      <w:r>
        <w:rPr>
          <w:spacing w:val="-2"/>
        </w:rPr>
        <w:t> </w:t>
      </w:r>
      <w:r>
        <w:rPr/>
        <w:t>typically</w:t>
      </w:r>
      <w:r>
        <w:rPr>
          <w:spacing w:val="-2"/>
        </w:rPr>
        <w:t> </w:t>
      </w:r>
      <w:r>
        <w:rPr/>
        <w:t>used in rural areas in Victoria and operate using the ground as a return path for electrical current. The Victorian Bushfires Royal Commission’s Recommendation 27 recommended that the State amend the Regulations</w:t>
      </w:r>
      <w:r>
        <w:rPr>
          <w:spacing w:val="-2"/>
        </w:rPr>
        <w:t> </w:t>
      </w:r>
      <w:r>
        <w:rPr/>
        <w:t>under</w:t>
      </w:r>
      <w:r>
        <w:rPr>
          <w:spacing w:val="-3"/>
        </w:rPr>
        <w:t> </w:t>
      </w:r>
      <w:r>
        <w:rPr/>
        <w:t>the</w:t>
      </w:r>
      <w:r>
        <w:rPr>
          <w:spacing w:val="-3"/>
        </w:rPr>
        <w:t> </w:t>
      </w:r>
      <w:r>
        <w:rPr>
          <w:i/>
        </w:rPr>
        <w:t>Electricity</w:t>
      </w:r>
      <w:r>
        <w:rPr>
          <w:i/>
          <w:spacing w:val="-4"/>
        </w:rPr>
        <w:t> </w:t>
      </w:r>
      <w:r>
        <w:rPr>
          <w:i/>
        </w:rPr>
        <w:t>Safety</w:t>
      </w:r>
      <w:r>
        <w:rPr>
          <w:i/>
          <w:spacing w:val="-1"/>
        </w:rPr>
        <w:t> </w:t>
      </w:r>
      <w:r>
        <w:rPr>
          <w:i/>
        </w:rPr>
        <w:t>Act</w:t>
      </w:r>
      <w:r>
        <w:rPr>
          <w:i/>
          <w:spacing w:val="-3"/>
        </w:rPr>
        <w:t> </w:t>
      </w:r>
      <w:r>
        <w:rPr>
          <w:i/>
        </w:rPr>
        <w:t>1998</w:t>
      </w:r>
      <w:r>
        <w:rPr>
          <w:i/>
          <w:spacing w:val="-2"/>
        </w:rPr>
        <w:t> </w:t>
      </w:r>
      <w:r>
        <w:rPr/>
        <w:t>to</w:t>
      </w:r>
      <w:r>
        <w:rPr>
          <w:spacing w:val="-2"/>
        </w:rPr>
        <w:t> </w:t>
      </w:r>
      <w:r>
        <w:rPr/>
        <w:t>progressively</w:t>
      </w:r>
      <w:r>
        <w:rPr>
          <w:spacing w:val="-4"/>
        </w:rPr>
        <w:t> </w:t>
      </w:r>
      <w:r>
        <w:rPr/>
        <w:t>replace</w:t>
      </w:r>
      <w:r>
        <w:rPr>
          <w:spacing w:val="-2"/>
        </w:rPr>
        <w:t> </w:t>
      </w:r>
      <w:r>
        <w:rPr/>
        <w:t>all</w:t>
      </w:r>
      <w:r>
        <w:rPr>
          <w:spacing w:val="-2"/>
        </w:rPr>
        <w:t> </w:t>
      </w:r>
      <w:r>
        <w:rPr/>
        <w:t>bare-wire</w:t>
      </w:r>
      <w:r>
        <w:rPr>
          <w:spacing w:val="-2"/>
        </w:rPr>
        <w:t> </w:t>
      </w:r>
      <w:r>
        <w:rPr/>
        <w:t>SWER</w:t>
      </w:r>
      <w:r>
        <w:rPr>
          <w:spacing w:val="-5"/>
        </w:rPr>
        <w:t> </w:t>
      </w:r>
      <w:r>
        <w:rPr/>
        <w:t>and 22 kilovolt powerlines with new technologies to reduce bushfire risk (Victorian Bushfires Royal Commission, 2010). In cases where grid augmentation is required or where SWER lines need to be replaced, battery storage could be a safer, cheaper option.</w:t>
      </w:r>
    </w:p>
    <w:p>
      <w:pPr>
        <w:pStyle w:val="BodyText"/>
        <w:rPr>
          <w:sz w:val="24"/>
        </w:rPr>
      </w:pPr>
    </w:p>
    <w:p>
      <w:pPr>
        <w:pStyle w:val="Heading6"/>
        <w:spacing w:before="146"/>
        <w:ind w:left="232"/>
      </w:pPr>
      <w:r>
        <w:rPr/>
        <w:t>The</w:t>
      </w:r>
      <w:r>
        <w:rPr>
          <w:spacing w:val="-5"/>
        </w:rPr>
        <w:t> </w:t>
      </w:r>
      <w:r>
        <w:rPr/>
        <w:t>challenges</w:t>
      </w:r>
      <w:r>
        <w:rPr>
          <w:spacing w:val="-3"/>
        </w:rPr>
        <w:t> </w:t>
      </w:r>
      <w:r>
        <w:rPr/>
        <w:t>of</w:t>
      </w:r>
      <w:r>
        <w:rPr>
          <w:spacing w:val="-2"/>
        </w:rPr>
        <w:t> </w:t>
      </w:r>
      <w:r>
        <w:rPr/>
        <w:t>distributed</w:t>
      </w:r>
      <w:r>
        <w:rPr>
          <w:spacing w:val="-2"/>
        </w:rPr>
        <w:t> </w:t>
      </w:r>
      <w:r>
        <w:rPr/>
        <w:t>energy</w:t>
      </w:r>
      <w:r>
        <w:rPr>
          <w:spacing w:val="-9"/>
        </w:rPr>
        <w:t> </w:t>
      </w:r>
      <w:r>
        <w:rPr/>
        <w:t>resources</w:t>
      </w:r>
      <w:r>
        <w:rPr>
          <w:spacing w:val="-4"/>
        </w:rPr>
        <w:t> </w:t>
      </w:r>
      <w:r>
        <w:rPr/>
        <w:t>and</w:t>
      </w:r>
      <w:r>
        <w:rPr>
          <w:spacing w:val="-3"/>
        </w:rPr>
        <w:t> </w:t>
      </w:r>
      <w:r>
        <w:rPr/>
        <w:t>battery</w:t>
      </w:r>
      <w:r>
        <w:rPr>
          <w:spacing w:val="-8"/>
        </w:rPr>
        <w:t> </w:t>
      </w:r>
      <w:r>
        <w:rPr>
          <w:spacing w:val="-2"/>
        </w:rPr>
        <w:t>storage</w:t>
      </w:r>
    </w:p>
    <w:p>
      <w:pPr>
        <w:pStyle w:val="BodyText"/>
        <w:spacing w:line="288" w:lineRule="auto" w:before="174"/>
        <w:ind w:left="232" w:right="374"/>
      </w:pPr>
      <w:r>
        <w:rPr/>
        <w:t>Consumers</w:t>
      </w:r>
      <w:r>
        <w:rPr>
          <w:spacing w:val="-4"/>
        </w:rPr>
        <w:t> </w:t>
      </w:r>
      <w:r>
        <w:rPr/>
        <w:t>need</w:t>
      </w:r>
      <w:r>
        <w:rPr>
          <w:spacing w:val="-4"/>
        </w:rPr>
        <w:t> </w:t>
      </w:r>
      <w:r>
        <w:rPr/>
        <w:t>to</w:t>
      </w:r>
      <w:r>
        <w:rPr>
          <w:spacing w:val="-4"/>
        </w:rPr>
        <w:t> </w:t>
      </w:r>
      <w:r>
        <w:rPr/>
        <w:t>be</w:t>
      </w:r>
      <w:r>
        <w:rPr>
          <w:spacing w:val="-2"/>
        </w:rPr>
        <w:t> </w:t>
      </w:r>
      <w:r>
        <w:rPr/>
        <w:t>educated</w:t>
      </w:r>
      <w:r>
        <w:rPr>
          <w:spacing w:val="-4"/>
        </w:rPr>
        <w:t> </w:t>
      </w:r>
      <w:r>
        <w:rPr/>
        <w:t>regarding</w:t>
      </w:r>
      <w:r>
        <w:rPr>
          <w:spacing w:val="-2"/>
        </w:rPr>
        <w:t> </w:t>
      </w:r>
      <w:r>
        <w:rPr/>
        <w:t>the</w:t>
      </w:r>
      <w:r>
        <w:rPr>
          <w:spacing w:val="-4"/>
        </w:rPr>
        <w:t> </w:t>
      </w:r>
      <w:r>
        <w:rPr/>
        <w:t>installation</w:t>
      </w:r>
      <w:r>
        <w:rPr>
          <w:spacing w:val="-2"/>
        </w:rPr>
        <w:t> </w:t>
      </w:r>
      <w:r>
        <w:rPr/>
        <w:t>and</w:t>
      </w:r>
      <w:r>
        <w:rPr>
          <w:spacing w:val="-2"/>
        </w:rPr>
        <w:t> </w:t>
      </w:r>
      <w:r>
        <w:rPr/>
        <w:t>operation</w:t>
      </w:r>
      <w:r>
        <w:rPr>
          <w:spacing w:val="-6"/>
        </w:rPr>
        <w:t> </w:t>
      </w:r>
      <w:r>
        <w:rPr/>
        <w:t>of these</w:t>
      </w:r>
      <w:r>
        <w:rPr>
          <w:spacing w:val="-2"/>
        </w:rPr>
        <w:t> </w:t>
      </w:r>
      <w:r>
        <w:rPr/>
        <w:t>new </w:t>
      </w:r>
      <w:r>
        <w:rPr>
          <w:spacing w:val="-2"/>
        </w:rPr>
        <w:t>technologies.</w:t>
      </w:r>
    </w:p>
    <w:p>
      <w:pPr>
        <w:pStyle w:val="BodyText"/>
        <w:spacing w:before="11"/>
        <w:rPr>
          <w:sz w:val="20"/>
        </w:rPr>
      </w:pPr>
    </w:p>
    <w:p>
      <w:pPr>
        <w:pStyle w:val="BodyText"/>
        <w:spacing w:line="288" w:lineRule="auto"/>
        <w:ind w:left="232" w:right="374"/>
      </w:pPr>
      <w:r>
        <w:rPr/>
        <w:t>Emergency</w:t>
      </w:r>
      <w:r>
        <w:rPr>
          <w:spacing w:val="-4"/>
        </w:rPr>
        <w:t> </w:t>
      </w:r>
      <w:r>
        <w:rPr/>
        <w:t>services,</w:t>
      </w:r>
      <w:r>
        <w:rPr>
          <w:spacing w:val="-1"/>
        </w:rPr>
        <w:t> </w:t>
      </w:r>
      <w:r>
        <w:rPr/>
        <w:t>including</w:t>
      </w:r>
      <w:r>
        <w:rPr>
          <w:spacing w:val="-2"/>
        </w:rPr>
        <w:t> </w:t>
      </w:r>
      <w:r>
        <w:rPr/>
        <w:t>fire-fighting</w:t>
      </w:r>
      <w:r>
        <w:rPr>
          <w:spacing w:val="-1"/>
        </w:rPr>
        <w:t> </w:t>
      </w:r>
      <w:r>
        <w:rPr/>
        <w:t>services,</w:t>
      </w:r>
      <w:r>
        <w:rPr>
          <w:spacing w:val="-1"/>
        </w:rPr>
        <w:t> </w:t>
      </w:r>
      <w:r>
        <w:rPr/>
        <w:t>need</w:t>
      </w:r>
      <w:r>
        <w:rPr>
          <w:spacing w:val="-7"/>
        </w:rPr>
        <w:t> </w:t>
      </w:r>
      <w:r>
        <w:rPr/>
        <w:t>good</w:t>
      </w:r>
      <w:r>
        <w:rPr>
          <w:spacing w:val="-2"/>
        </w:rPr>
        <w:t> </w:t>
      </w:r>
      <w:r>
        <w:rPr/>
        <w:t>information</w:t>
      </w:r>
      <w:r>
        <w:rPr>
          <w:spacing w:val="-4"/>
        </w:rPr>
        <w:t> </w:t>
      </w:r>
      <w:r>
        <w:rPr/>
        <w:t>to</w:t>
      </w:r>
      <w:r>
        <w:rPr>
          <w:spacing w:val="-4"/>
        </w:rPr>
        <w:t> </w:t>
      </w:r>
      <w:r>
        <w:rPr/>
        <w:t>deal</w:t>
      </w:r>
      <w:r>
        <w:rPr>
          <w:spacing w:val="-3"/>
        </w:rPr>
        <w:t> </w:t>
      </w:r>
      <w:r>
        <w:rPr/>
        <w:t>with</w:t>
      </w:r>
      <w:r>
        <w:rPr>
          <w:spacing w:val="-4"/>
        </w:rPr>
        <w:t> </w:t>
      </w:r>
      <w:r>
        <w:rPr/>
        <w:t>fire</w:t>
      </w:r>
      <w:r>
        <w:rPr>
          <w:spacing w:val="-2"/>
        </w:rPr>
        <w:t> </w:t>
      </w:r>
      <w:r>
        <w:rPr/>
        <w:t>when battery storage is present. At the same time, they need to be engaged in the development of standards for these emerging technologies (Advisian, 2016b).</w:t>
      </w:r>
    </w:p>
    <w:p>
      <w:pPr>
        <w:pStyle w:val="BodyText"/>
        <w:spacing w:before="9"/>
        <w:rPr>
          <w:sz w:val="20"/>
        </w:rPr>
      </w:pPr>
    </w:p>
    <w:p>
      <w:pPr>
        <w:pStyle w:val="BodyText"/>
        <w:spacing w:line="288" w:lineRule="auto"/>
        <w:ind w:left="232" w:right="329"/>
      </w:pPr>
      <w:r>
        <w:rPr/>
        <w:t>There</w:t>
      </w:r>
      <w:r>
        <w:rPr>
          <w:spacing w:val="-3"/>
        </w:rPr>
        <w:t> </w:t>
      </w:r>
      <w:r>
        <w:rPr/>
        <w:t>have</w:t>
      </w:r>
      <w:r>
        <w:rPr>
          <w:spacing w:val="-3"/>
        </w:rPr>
        <w:t> </w:t>
      </w:r>
      <w:r>
        <w:rPr/>
        <w:t>already</w:t>
      </w:r>
      <w:r>
        <w:rPr>
          <w:spacing w:val="-5"/>
        </w:rPr>
        <w:t> </w:t>
      </w:r>
      <w:r>
        <w:rPr/>
        <w:t>been</w:t>
      </w:r>
      <w:r>
        <w:rPr>
          <w:spacing w:val="-5"/>
        </w:rPr>
        <w:t> </w:t>
      </w:r>
      <w:r>
        <w:rPr/>
        <w:t>cases</w:t>
      </w:r>
      <w:r>
        <w:rPr>
          <w:spacing w:val="-5"/>
        </w:rPr>
        <w:t> </w:t>
      </w:r>
      <w:r>
        <w:rPr/>
        <w:t>of</w:t>
      </w:r>
      <w:r>
        <w:rPr>
          <w:spacing w:val="-1"/>
        </w:rPr>
        <w:t> </w:t>
      </w:r>
      <w:r>
        <w:rPr/>
        <w:t>linesmen</w:t>
      </w:r>
      <w:r>
        <w:rPr>
          <w:spacing w:val="-3"/>
        </w:rPr>
        <w:t> </w:t>
      </w:r>
      <w:r>
        <w:rPr/>
        <w:t>experiencing</w:t>
      </w:r>
      <w:r>
        <w:rPr>
          <w:spacing w:val="-1"/>
        </w:rPr>
        <w:t> </w:t>
      </w:r>
      <w:r>
        <w:rPr/>
        <w:t>electric</w:t>
      </w:r>
      <w:r>
        <w:rPr>
          <w:spacing w:val="-2"/>
        </w:rPr>
        <w:t> </w:t>
      </w:r>
      <w:r>
        <w:rPr/>
        <w:t>shocks</w:t>
      </w:r>
      <w:r>
        <w:rPr>
          <w:spacing w:val="-2"/>
        </w:rPr>
        <w:t> </w:t>
      </w:r>
      <w:r>
        <w:rPr/>
        <w:t>due</w:t>
      </w:r>
      <w:r>
        <w:rPr>
          <w:spacing w:val="-3"/>
        </w:rPr>
        <w:t> </w:t>
      </w:r>
      <w:r>
        <w:rPr/>
        <w:t>to</w:t>
      </w:r>
      <w:r>
        <w:rPr>
          <w:spacing w:val="-5"/>
        </w:rPr>
        <w:t> </w:t>
      </w:r>
      <w:r>
        <w:rPr/>
        <w:t>energisation</w:t>
      </w:r>
      <w:r>
        <w:rPr>
          <w:spacing w:val="-3"/>
        </w:rPr>
        <w:t> </w:t>
      </w:r>
      <w:r>
        <w:rPr/>
        <w:t>of</w:t>
      </w:r>
      <w:r>
        <w:rPr>
          <w:spacing w:val="-1"/>
        </w:rPr>
        <w:t> </w:t>
      </w:r>
      <w:r>
        <w:rPr/>
        <w:t>the grid</w:t>
      </w:r>
      <w:r>
        <w:rPr>
          <w:spacing w:val="-5"/>
        </w:rPr>
        <w:t> </w:t>
      </w:r>
      <w:r>
        <w:rPr/>
        <w:t>from</w:t>
      </w:r>
      <w:r>
        <w:rPr>
          <w:spacing w:val="-3"/>
        </w:rPr>
        <w:t> </w:t>
      </w:r>
      <w:r>
        <w:rPr/>
        <w:t>residential</w:t>
      </w:r>
      <w:r>
        <w:rPr>
          <w:spacing w:val="-3"/>
        </w:rPr>
        <w:t> </w:t>
      </w:r>
      <w:r>
        <w:rPr/>
        <w:t>based</w:t>
      </w:r>
      <w:r>
        <w:rPr>
          <w:spacing w:val="-2"/>
        </w:rPr>
        <w:t> </w:t>
      </w:r>
      <w:r>
        <w:rPr/>
        <w:t>solar</w:t>
      </w:r>
      <w:r>
        <w:rPr>
          <w:spacing w:val="-1"/>
        </w:rPr>
        <w:t> </w:t>
      </w:r>
      <w:r>
        <w:rPr/>
        <w:t>PV</w:t>
      </w:r>
      <w:r>
        <w:rPr>
          <w:spacing w:val="-4"/>
        </w:rPr>
        <w:t> </w:t>
      </w:r>
      <w:r>
        <w:rPr/>
        <w:t>systems (Advisian, 2016b).</w:t>
      </w:r>
      <w:r>
        <w:rPr>
          <w:spacing w:val="-3"/>
        </w:rPr>
        <w:t> </w:t>
      </w:r>
      <w:r>
        <w:rPr/>
        <w:t>The</w:t>
      </w:r>
      <w:r>
        <w:rPr>
          <w:spacing w:val="-4"/>
        </w:rPr>
        <w:t> </w:t>
      </w:r>
      <w:r>
        <w:rPr/>
        <w:t>dangers</w:t>
      </w:r>
      <w:r>
        <w:rPr>
          <w:spacing w:val="-1"/>
        </w:rPr>
        <w:t> </w:t>
      </w:r>
      <w:r>
        <w:rPr/>
        <w:t>of solar</w:t>
      </w:r>
      <w:r>
        <w:rPr>
          <w:spacing w:val="-1"/>
        </w:rPr>
        <w:t> </w:t>
      </w:r>
      <w:r>
        <w:rPr/>
        <w:t>photovoltaics during bushfires were highlighted in the December 2015 Wye River–Jamieson Track fire, in which live cables attached to domestic solar power units remained a threat to emergency services even though the power had been cut to the area. ESV subsequently published an information sheet</w:t>
      </w:r>
      <w:r>
        <w:rPr>
          <w:spacing w:val="40"/>
        </w:rPr>
        <w:t> </w:t>
      </w:r>
      <w:r>
        <w:rPr/>
        <w:t>titled </w:t>
      </w:r>
      <w:r>
        <w:rPr>
          <w:i/>
        </w:rPr>
        <w:t>Working safely around electricity and alternative power sources, </w:t>
      </w:r>
      <w:r>
        <w:rPr/>
        <w:t>which provides emergency service workers with information on how to safely work around distributed generation including solar photovoltaics and battery storage technologies (Energy Safe Victoria, 2016).</w:t>
      </w:r>
    </w:p>
    <w:p>
      <w:pPr>
        <w:pStyle w:val="BodyText"/>
        <w:spacing w:before="10"/>
        <w:rPr>
          <w:sz w:val="20"/>
        </w:rPr>
      </w:pPr>
    </w:p>
    <w:p>
      <w:pPr>
        <w:pStyle w:val="BodyText"/>
        <w:spacing w:line="288" w:lineRule="auto" w:before="1"/>
        <w:ind w:left="232" w:right="374"/>
      </w:pPr>
      <w:r>
        <w:rPr/>
        <w:t>Batteries have a characteristic voltage range in which the desired chemical reactions occur. Working outside these ranges (i.e. overcharging/discharging) results in unwanted chemical changes</w:t>
      </w:r>
      <w:r>
        <w:rPr>
          <w:spacing w:val="-4"/>
        </w:rPr>
        <w:t> </w:t>
      </w:r>
      <w:r>
        <w:rPr/>
        <w:t>and</w:t>
      </w:r>
      <w:r>
        <w:rPr>
          <w:spacing w:val="-4"/>
        </w:rPr>
        <w:t> </w:t>
      </w:r>
      <w:r>
        <w:rPr/>
        <w:t>a</w:t>
      </w:r>
      <w:r>
        <w:rPr>
          <w:spacing w:val="-4"/>
        </w:rPr>
        <w:t> </w:t>
      </w:r>
      <w:r>
        <w:rPr/>
        <w:t>reduced</w:t>
      </w:r>
      <w:r>
        <w:rPr>
          <w:spacing w:val="-2"/>
        </w:rPr>
        <w:t> </w:t>
      </w:r>
      <w:r>
        <w:rPr/>
        <w:t>lifetime. For</w:t>
      </w:r>
      <w:r>
        <w:rPr>
          <w:spacing w:val="-1"/>
        </w:rPr>
        <w:t> </w:t>
      </w:r>
      <w:r>
        <w:rPr/>
        <w:t>some</w:t>
      </w:r>
      <w:r>
        <w:rPr>
          <w:spacing w:val="-4"/>
        </w:rPr>
        <w:t> </w:t>
      </w:r>
      <w:r>
        <w:rPr/>
        <w:t>technologies,</w:t>
      </w:r>
      <w:r>
        <w:rPr>
          <w:spacing w:val="-3"/>
        </w:rPr>
        <w:t> </w:t>
      </w:r>
      <w:r>
        <w:rPr/>
        <w:t>such</w:t>
      </w:r>
      <w:r>
        <w:rPr>
          <w:spacing w:val="-2"/>
        </w:rPr>
        <w:t> </w:t>
      </w:r>
      <w:r>
        <w:rPr/>
        <w:t>as</w:t>
      </w:r>
      <w:r>
        <w:rPr>
          <w:spacing w:val="-1"/>
        </w:rPr>
        <w:t> </w:t>
      </w:r>
      <w:r>
        <w:rPr/>
        <w:t>lithium</w:t>
      </w:r>
      <w:r>
        <w:rPr>
          <w:spacing w:val="-3"/>
        </w:rPr>
        <w:t> </w:t>
      </w:r>
      <w:r>
        <w:rPr/>
        <w:t>ion,</w:t>
      </w:r>
      <w:r>
        <w:rPr>
          <w:spacing w:val="-3"/>
        </w:rPr>
        <w:t> </w:t>
      </w:r>
      <w:r>
        <w:rPr/>
        <w:t>these</w:t>
      </w:r>
      <w:r>
        <w:rPr>
          <w:spacing w:val="-2"/>
        </w:rPr>
        <w:t> </w:t>
      </w:r>
      <w:r>
        <w:rPr/>
        <w:t>unwanted reactions</w:t>
      </w:r>
      <w:r>
        <w:rPr>
          <w:spacing w:val="-1"/>
        </w:rPr>
        <w:t> </w:t>
      </w:r>
      <w:r>
        <w:rPr/>
        <w:t>can cause a</w:t>
      </w:r>
      <w:r>
        <w:rPr>
          <w:spacing w:val="-3"/>
        </w:rPr>
        <w:t> </w:t>
      </w:r>
      <w:r>
        <w:rPr/>
        <w:t>fire or explosion if the</w:t>
      </w:r>
      <w:r>
        <w:rPr>
          <w:spacing w:val="-1"/>
        </w:rPr>
        <w:t> </w:t>
      </w:r>
      <w:r>
        <w:rPr/>
        <w:t>limits are</w:t>
      </w:r>
      <w:r>
        <w:rPr>
          <w:spacing w:val="-1"/>
        </w:rPr>
        <w:t> </w:t>
      </w:r>
      <w:r>
        <w:rPr/>
        <w:t>not strictly</w:t>
      </w:r>
      <w:r>
        <w:rPr>
          <w:spacing w:val="-1"/>
        </w:rPr>
        <w:t> </w:t>
      </w:r>
      <w:r>
        <w:rPr/>
        <w:t>adhered</w:t>
      </w:r>
      <w:r>
        <w:rPr>
          <w:spacing w:val="-1"/>
        </w:rPr>
        <w:t> </w:t>
      </w:r>
      <w:r>
        <w:rPr/>
        <w:t>to (CSIRO, 2015).</w:t>
      </w:r>
    </w:p>
    <w:p>
      <w:pPr>
        <w:pStyle w:val="BodyText"/>
        <w:spacing w:before="10"/>
        <w:rPr>
          <w:sz w:val="20"/>
        </w:rPr>
      </w:pPr>
    </w:p>
    <w:p>
      <w:pPr>
        <w:pStyle w:val="BodyText"/>
        <w:spacing w:line="288" w:lineRule="auto"/>
        <w:ind w:left="232"/>
      </w:pPr>
      <w:r>
        <w:rPr/>
        <w:t>As penetration rates of distributed energy and energy storage increase, the aggregate impact on distribution networks and the potential safety implications affecting energy consumers and workers may</w:t>
      </w:r>
      <w:r>
        <w:rPr>
          <w:spacing w:val="-4"/>
        </w:rPr>
        <w:t> </w:t>
      </w:r>
      <w:r>
        <w:rPr/>
        <w:t>also</w:t>
      </w:r>
      <w:r>
        <w:rPr>
          <w:spacing w:val="-2"/>
        </w:rPr>
        <w:t> </w:t>
      </w:r>
      <w:r>
        <w:rPr/>
        <w:t>increase. Significant reverse</w:t>
      </w:r>
      <w:r>
        <w:rPr>
          <w:spacing w:val="-4"/>
        </w:rPr>
        <w:t> </w:t>
      </w:r>
      <w:r>
        <w:rPr/>
        <w:t>power</w:t>
      </w:r>
      <w:r>
        <w:rPr>
          <w:spacing w:val="-3"/>
        </w:rPr>
        <w:t> </w:t>
      </w:r>
      <w:r>
        <w:rPr/>
        <w:t>flow</w:t>
      </w:r>
      <w:r>
        <w:rPr>
          <w:spacing w:val="-5"/>
        </w:rPr>
        <w:t> </w:t>
      </w:r>
      <w:r>
        <w:rPr/>
        <w:t>in</w:t>
      </w:r>
      <w:r>
        <w:rPr>
          <w:spacing w:val="-2"/>
        </w:rPr>
        <w:t> </w:t>
      </w:r>
      <w:r>
        <w:rPr/>
        <w:t>the</w:t>
      </w:r>
      <w:r>
        <w:rPr>
          <w:spacing w:val="-2"/>
        </w:rPr>
        <w:t> </w:t>
      </w:r>
      <w:r>
        <w:rPr/>
        <w:t>distribution</w:t>
      </w:r>
      <w:r>
        <w:rPr>
          <w:spacing w:val="-4"/>
        </w:rPr>
        <w:t> </w:t>
      </w:r>
      <w:r>
        <w:rPr/>
        <w:t>grid</w:t>
      </w:r>
      <w:r>
        <w:rPr>
          <w:spacing w:val="-2"/>
        </w:rPr>
        <w:t> </w:t>
      </w:r>
      <w:r>
        <w:rPr/>
        <w:t>could</w:t>
      </w:r>
      <w:r>
        <w:rPr>
          <w:spacing w:val="-2"/>
        </w:rPr>
        <w:t> </w:t>
      </w:r>
      <w:r>
        <w:rPr/>
        <w:t>potentially</w:t>
      </w:r>
      <w:r>
        <w:rPr>
          <w:spacing w:val="-4"/>
        </w:rPr>
        <w:t> </w:t>
      </w:r>
      <w:r>
        <w:rPr/>
        <w:t>impact on existing protection and voltage control schemes (CSIRO, 2015).</w:t>
      </w:r>
    </w:p>
    <w:p>
      <w:pPr>
        <w:spacing w:after="0" w:line="288" w:lineRule="auto"/>
        <w:sectPr>
          <w:pgSz w:w="11910" w:h="16850"/>
          <w:pgMar w:header="220" w:footer="678" w:top="420" w:bottom="860" w:left="900" w:right="840"/>
        </w:sectPr>
      </w:pPr>
    </w:p>
    <w:p>
      <w:pPr>
        <w:pStyle w:val="BodyText"/>
        <w:rPr>
          <w:sz w:val="20"/>
        </w:rPr>
      </w:pPr>
    </w:p>
    <w:p>
      <w:pPr>
        <w:pStyle w:val="BodyText"/>
        <w:spacing w:before="2"/>
        <w:rPr>
          <w:sz w:val="19"/>
        </w:rPr>
      </w:pPr>
    </w:p>
    <w:p>
      <w:pPr>
        <w:pStyle w:val="BodyText"/>
        <w:spacing w:line="288" w:lineRule="auto" w:before="94"/>
        <w:ind w:left="232" w:right="374"/>
      </w:pPr>
      <w:r>
        <w:rPr/>
        <w:t>United</w:t>
      </w:r>
      <w:r>
        <w:rPr>
          <w:spacing w:val="-2"/>
        </w:rPr>
        <w:t> </w:t>
      </w:r>
      <w:r>
        <w:rPr/>
        <w:t>Energy</w:t>
      </w:r>
      <w:r>
        <w:rPr>
          <w:spacing w:val="-4"/>
        </w:rPr>
        <w:t> </w:t>
      </w:r>
      <w:r>
        <w:rPr/>
        <w:t>in</w:t>
      </w:r>
      <w:r>
        <w:rPr>
          <w:spacing w:val="-2"/>
        </w:rPr>
        <w:t> </w:t>
      </w:r>
      <w:r>
        <w:rPr/>
        <w:t>its</w:t>
      </w:r>
      <w:r>
        <w:rPr>
          <w:spacing w:val="-3"/>
        </w:rPr>
        <w:t> </w:t>
      </w:r>
      <w:r>
        <w:rPr/>
        <w:t>submission</w:t>
      </w:r>
      <w:r>
        <w:rPr>
          <w:spacing w:val="-2"/>
        </w:rPr>
        <w:t> </w:t>
      </w:r>
      <w:r>
        <w:rPr/>
        <w:t>to</w:t>
      </w:r>
      <w:r>
        <w:rPr>
          <w:spacing w:val="-4"/>
        </w:rPr>
        <w:t> </w:t>
      </w:r>
      <w:r>
        <w:rPr/>
        <w:t>the</w:t>
      </w:r>
      <w:r>
        <w:rPr>
          <w:spacing w:val="-1"/>
        </w:rPr>
        <w:t> </w:t>
      </w:r>
      <w:r>
        <w:rPr/>
        <w:t>review, has</w:t>
      </w:r>
      <w:r>
        <w:rPr>
          <w:spacing w:val="-1"/>
        </w:rPr>
        <w:t> </w:t>
      </w:r>
      <w:r>
        <w:rPr/>
        <w:t>outlined</w:t>
      </w:r>
      <w:r>
        <w:rPr>
          <w:spacing w:val="-4"/>
        </w:rPr>
        <w:t> </w:t>
      </w:r>
      <w:r>
        <w:rPr/>
        <w:t>the</w:t>
      </w:r>
      <w:r>
        <w:rPr>
          <w:spacing w:val="-2"/>
        </w:rPr>
        <w:t> </w:t>
      </w:r>
      <w:r>
        <w:rPr/>
        <w:t>impacts</w:t>
      </w:r>
      <w:r>
        <w:rPr>
          <w:spacing w:val="-4"/>
        </w:rPr>
        <w:t> </w:t>
      </w:r>
      <w:r>
        <w:rPr/>
        <w:t>that</w:t>
      </w:r>
      <w:r>
        <w:rPr>
          <w:spacing w:val="-3"/>
        </w:rPr>
        <w:t> </w:t>
      </w:r>
      <w:r>
        <w:rPr/>
        <w:t>the</w:t>
      </w:r>
      <w:r>
        <w:rPr>
          <w:spacing w:val="-2"/>
        </w:rPr>
        <w:t> </w:t>
      </w:r>
      <w:r>
        <w:rPr/>
        <w:t>increasing deployment of solar and battery storage can have on the network:</w:t>
      </w:r>
    </w:p>
    <w:p>
      <w:pPr>
        <w:pStyle w:val="BodyText"/>
        <w:spacing w:before="10"/>
        <w:rPr>
          <w:sz w:val="20"/>
        </w:rPr>
      </w:pPr>
    </w:p>
    <w:p>
      <w:pPr>
        <w:spacing w:line="288" w:lineRule="auto" w:before="1"/>
        <w:ind w:left="799" w:right="951" w:firstLine="0"/>
        <w:jc w:val="left"/>
        <w:rPr>
          <w:sz w:val="22"/>
        </w:rPr>
      </w:pPr>
      <w:r>
        <w:rPr>
          <w:i/>
          <w:sz w:val="22"/>
        </w:rPr>
        <w:t>“The increasing penetration of customers’ PV and battery storage technologies presents an opportunity and a challenge for the operation of the network. DNSPs (Distribution</w:t>
      </w:r>
      <w:r>
        <w:rPr>
          <w:i/>
          <w:spacing w:val="-2"/>
          <w:sz w:val="22"/>
        </w:rPr>
        <w:t> </w:t>
      </w:r>
      <w:r>
        <w:rPr>
          <w:i/>
          <w:sz w:val="22"/>
        </w:rPr>
        <w:t>Network</w:t>
      </w:r>
      <w:r>
        <w:rPr>
          <w:i/>
          <w:spacing w:val="-3"/>
          <w:sz w:val="22"/>
        </w:rPr>
        <w:t> </w:t>
      </w:r>
      <w:r>
        <w:rPr>
          <w:i/>
          <w:sz w:val="22"/>
        </w:rPr>
        <w:t>Service</w:t>
      </w:r>
      <w:r>
        <w:rPr>
          <w:i/>
          <w:spacing w:val="-2"/>
          <w:sz w:val="22"/>
        </w:rPr>
        <w:t> </w:t>
      </w:r>
      <w:r>
        <w:rPr>
          <w:i/>
          <w:sz w:val="22"/>
        </w:rPr>
        <w:t>Providers)</w:t>
      </w:r>
      <w:r>
        <w:rPr>
          <w:i/>
          <w:spacing w:val="-1"/>
          <w:sz w:val="22"/>
        </w:rPr>
        <w:t> </w:t>
      </w:r>
      <w:r>
        <w:rPr>
          <w:i/>
          <w:sz w:val="22"/>
        </w:rPr>
        <w:t>need</w:t>
      </w:r>
      <w:r>
        <w:rPr>
          <w:i/>
          <w:spacing w:val="-4"/>
          <w:sz w:val="22"/>
        </w:rPr>
        <w:t> </w:t>
      </w:r>
      <w:r>
        <w:rPr>
          <w:i/>
          <w:sz w:val="22"/>
        </w:rPr>
        <w:t>to</w:t>
      </w:r>
      <w:r>
        <w:rPr>
          <w:i/>
          <w:spacing w:val="-5"/>
          <w:sz w:val="22"/>
        </w:rPr>
        <w:t> </w:t>
      </w:r>
      <w:r>
        <w:rPr>
          <w:i/>
          <w:sz w:val="22"/>
        </w:rPr>
        <w:t>manage</w:t>
      </w:r>
      <w:r>
        <w:rPr>
          <w:i/>
          <w:spacing w:val="-4"/>
          <w:sz w:val="22"/>
        </w:rPr>
        <w:t> </w:t>
      </w:r>
      <w:r>
        <w:rPr>
          <w:i/>
          <w:sz w:val="22"/>
        </w:rPr>
        <w:t>reverse</w:t>
      </w:r>
      <w:r>
        <w:rPr>
          <w:i/>
          <w:spacing w:val="-2"/>
          <w:sz w:val="22"/>
        </w:rPr>
        <w:t> </w:t>
      </w:r>
      <w:r>
        <w:rPr>
          <w:i/>
          <w:sz w:val="22"/>
        </w:rPr>
        <w:t>energy</w:t>
      </w:r>
      <w:r>
        <w:rPr>
          <w:i/>
          <w:spacing w:val="-4"/>
          <w:sz w:val="22"/>
        </w:rPr>
        <w:t> </w:t>
      </w:r>
      <w:r>
        <w:rPr>
          <w:i/>
          <w:sz w:val="22"/>
        </w:rPr>
        <w:t>flow,</w:t>
      </w:r>
      <w:r>
        <w:rPr>
          <w:i/>
          <w:spacing w:val="-3"/>
          <w:sz w:val="22"/>
        </w:rPr>
        <w:t> </w:t>
      </w:r>
      <w:r>
        <w:rPr>
          <w:i/>
          <w:sz w:val="22"/>
        </w:rPr>
        <w:t>supply quality,</w:t>
      </w:r>
      <w:r>
        <w:rPr>
          <w:i/>
          <w:spacing w:val="-2"/>
          <w:sz w:val="22"/>
        </w:rPr>
        <w:t> </w:t>
      </w:r>
      <w:r>
        <w:rPr>
          <w:i/>
          <w:sz w:val="22"/>
        </w:rPr>
        <w:t>protection</w:t>
      </w:r>
      <w:r>
        <w:rPr>
          <w:i/>
          <w:spacing w:val="-4"/>
          <w:sz w:val="22"/>
        </w:rPr>
        <w:t> </w:t>
      </w:r>
      <w:r>
        <w:rPr>
          <w:i/>
          <w:sz w:val="22"/>
        </w:rPr>
        <w:t>coordination,</w:t>
      </w:r>
      <w:r>
        <w:rPr>
          <w:i/>
          <w:spacing w:val="-2"/>
          <w:sz w:val="22"/>
        </w:rPr>
        <w:t> </w:t>
      </w:r>
      <w:r>
        <w:rPr>
          <w:i/>
          <w:sz w:val="22"/>
        </w:rPr>
        <w:t>and</w:t>
      </w:r>
      <w:r>
        <w:rPr>
          <w:i/>
          <w:spacing w:val="-6"/>
          <w:sz w:val="22"/>
        </w:rPr>
        <w:t> </w:t>
      </w:r>
      <w:r>
        <w:rPr>
          <w:i/>
          <w:sz w:val="22"/>
        </w:rPr>
        <w:t>stability</w:t>
      </w:r>
      <w:r>
        <w:rPr>
          <w:i/>
          <w:spacing w:val="-3"/>
          <w:sz w:val="22"/>
        </w:rPr>
        <w:t> </w:t>
      </w:r>
      <w:r>
        <w:rPr>
          <w:i/>
          <w:sz w:val="22"/>
        </w:rPr>
        <w:t>of</w:t>
      </w:r>
      <w:r>
        <w:rPr>
          <w:i/>
          <w:spacing w:val="-5"/>
          <w:sz w:val="22"/>
        </w:rPr>
        <w:t> </w:t>
      </w:r>
      <w:r>
        <w:rPr>
          <w:i/>
          <w:sz w:val="22"/>
        </w:rPr>
        <w:t>networks</w:t>
      </w:r>
      <w:r>
        <w:rPr>
          <w:i/>
          <w:spacing w:val="-6"/>
          <w:sz w:val="22"/>
        </w:rPr>
        <w:t> </w:t>
      </w:r>
      <w:r>
        <w:rPr>
          <w:i/>
          <w:sz w:val="22"/>
        </w:rPr>
        <w:t>that</w:t>
      </w:r>
      <w:r>
        <w:rPr>
          <w:i/>
          <w:spacing w:val="-5"/>
          <w:sz w:val="22"/>
        </w:rPr>
        <w:t> </w:t>
      </w:r>
      <w:r>
        <w:rPr>
          <w:i/>
          <w:sz w:val="22"/>
        </w:rPr>
        <w:t>were</w:t>
      </w:r>
      <w:r>
        <w:rPr>
          <w:i/>
          <w:spacing w:val="-4"/>
          <w:sz w:val="22"/>
        </w:rPr>
        <w:t> </w:t>
      </w:r>
      <w:r>
        <w:rPr>
          <w:i/>
          <w:sz w:val="22"/>
        </w:rPr>
        <w:t>originally</w:t>
      </w:r>
      <w:r>
        <w:rPr>
          <w:i/>
          <w:spacing w:val="-3"/>
          <w:sz w:val="22"/>
        </w:rPr>
        <w:t> </w:t>
      </w:r>
      <w:r>
        <w:rPr>
          <w:i/>
          <w:sz w:val="22"/>
        </w:rPr>
        <w:t>designed for one way energy flow from a remote power station.” </w:t>
      </w:r>
      <w:r>
        <w:rPr>
          <w:sz w:val="22"/>
        </w:rPr>
        <w:t>(United Energy, 2017, p. 14)</w:t>
      </w:r>
    </w:p>
    <w:p>
      <w:pPr>
        <w:pStyle w:val="BodyText"/>
        <w:spacing w:before="8"/>
        <w:rPr>
          <w:sz w:val="20"/>
        </w:rPr>
      </w:pPr>
    </w:p>
    <w:p>
      <w:pPr>
        <w:pStyle w:val="BodyText"/>
        <w:spacing w:line="288" w:lineRule="auto"/>
        <w:ind w:left="232" w:right="374"/>
      </w:pPr>
      <w:r>
        <w:rPr/>
        <w:t>AusNet</w:t>
      </w:r>
      <w:r>
        <w:rPr>
          <w:spacing w:val="-1"/>
        </w:rPr>
        <w:t> </w:t>
      </w:r>
      <w:r>
        <w:rPr/>
        <w:t>Services</w:t>
      </w:r>
      <w:r>
        <w:rPr>
          <w:spacing w:val="-2"/>
        </w:rPr>
        <w:t> </w:t>
      </w:r>
      <w:r>
        <w:rPr/>
        <w:t>has</w:t>
      </w:r>
      <w:r>
        <w:rPr>
          <w:spacing w:val="-4"/>
        </w:rPr>
        <w:t> </w:t>
      </w:r>
      <w:r>
        <w:rPr/>
        <w:t>noted</w:t>
      </w:r>
      <w:r>
        <w:rPr>
          <w:spacing w:val="-2"/>
        </w:rPr>
        <w:t> </w:t>
      </w:r>
      <w:r>
        <w:rPr/>
        <w:t>the</w:t>
      </w:r>
      <w:r>
        <w:rPr>
          <w:spacing w:val="-4"/>
        </w:rPr>
        <w:t> </w:t>
      </w:r>
      <w:r>
        <w:rPr/>
        <w:t>positive</w:t>
      </w:r>
      <w:r>
        <w:rPr>
          <w:spacing w:val="-2"/>
        </w:rPr>
        <w:t> </w:t>
      </w:r>
      <w:r>
        <w:rPr/>
        <w:t>contribution</w:t>
      </w:r>
      <w:r>
        <w:rPr>
          <w:spacing w:val="-2"/>
        </w:rPr>
        <w:t> </w:t>
      </w:r>
      <w:r>
        <w:rPr/>
        <w:t>new</w:t>
      </w:r>
      <w:r>
        <w:rPr>
          <w:spacing w:val="-5"/>
        </w:rPr>
        <w:t> </w:t>
      </w:r>
      <w:r>
        <w:rPr/>
        <w:t>technologies</w:t>
      </w:r>
      <w:r>
        <w:rPr>
          <w:spacing w:val="-4"/>
        </w:rPr>
        <w:t> </w:t>
      </w:r>
      <w:r>
        <w:rPr/>
        <w:t>can</w:t>
      </w:r>
      <w:r>
        <w:rPr>
          <w:spacing w:val="-4"/>
        </w:rPr>
        <w:t> </w:t>
      </w:r>
      <w:r>
        <w:rPr/>
        <w:t>make</w:t>
      </w:r>
      <w:r>
        <w:rPr>
          <w:spacing w:val="-4"/>
        </w:rPr>
        <w:t> </w:t>
      </w:r>
      <w:r>
        <w:rPr/>
        <w:t>to</w:t>
      </w:r>
      <w:r>
        <w:rPr>
          <w:spacing w:val="-4"/>
        </w:rPr>
        <w:t> </w:t>
      </w:r>
      <w:r>
        <w:rPr/>
        <w:t>the</w:t>
      </w:r>
      <w:r>
        <w:rPr>
          <w:spacing w:val="-2"/>
        </w:rPr>
        <w:t> </w:t>
      </w:r>
      <w:r>
        <w:rPr/>
        <w:t>network</w:t>
      </w:r>
      <w:r>
        <w:rPr>
          <w:spacing w:val="-1"/>
        </w:rPr>
        <w:t> </w:t>
      </w:r>
      <w:r>
        <w:rPr/>
        <w:t>if their integration is well-managed:</w:t>
      </w:r>
    </w:p>
    <w:p>
      <w:pPr>
        <w:pStyle w:val="BodyText"/>
        <w:spacing w:before="10"/>
        <w:rPr>
          <w:sz w:val="20"/>
        </w:rPr>
      </w:pPr>
    </w:p>
    <w:p>
      <w:pPr>
        <w:spacing w:line="288" w:lineRule="auto" w:before="1"/>
        <w:ind w:left="799" w:right="951" w:firstLine="0"/>
        <w:jc w:val="left"/>
        <w:rPr>
          <w:sz w:val="22"/>
        </w:rPr>
      </w:pPr>
      <w:r>
        <w:rPr>
          <w:i/>
          <w:sz w:val="22"/>
        </w:rPr>
        <w:t>“If</w:t>
      </w:r>
      <w:r>
        <w:rPr>
          <w:i/>
          <w:spacing w:val="-3"/>
          <w:sz w:val="22"/>
        </w:rPr>
        <w:t> </w:t>
      </w:r>
      <w:r>
        <w:rPr>
          <w:i/>
          <w:sz w:val="22"/>
        </w:rPr>
        <w:t>the</w:t>
      </w:r>
      <w:r>
        <w:rPr>
          <w:i/>
          <w:spacing w:val="-3"/>
          <w:sz w:val="22"/>
        </w:rPr>
        <w:t> </w:t>
      </w:r>
      <w:r>
        <w:rPr>
          <w:i/>
          <w:sz w:val="22"/>
        </w:rPr>
        <w:t>integration</w:t>
      </w:r>
      <w:r>
        <w:rPr>
          <w:i/>
          <w:spacing w:val="-4"/>
          <w:sz w:val="22"/>
        </w:rPr>
        <w:t> </w:t>
      </w:r>
      <w:r>
        <w:rPr>
          <w:i/>
          <w:sz w:val="22"/>
        </w:rPr>
        <w:t>is</w:t>
      </w:r>
      <w:r>
        <w:rPr>
          <w:i/>
          <w:spacing w:val="-4"/>
          <w:sz w:val="22"/>
        </w:rPr>
        <w:t> </w:t>
      </w:r>
      <w:r>
        <w:rPr>
          <w:i/>
          <w:sz w:val="22"/>
        </w:rPr>
        <w:t>managed</w:t>
      </w:r>
      <w:r>
        <w:rPr>
          <w:i/>
          <w:spacing w:val="-3"/>
          <w:sz w:val="22"/>
        </w:rPr>
        <w:t> </w:t>
      </w:r>
      <w:r>
        <w:rPr>
          <w:i/>
          <w:sz w:val="22"/>
        </w:rPr>
        <w:t>well,</w:t>
      </w:r>
      <w:r>
        <w:rPr>
          <w:i/>
          <w:spacing w:val="-3"/>
          <w:sz w:val="22"/>
        </w:rPr>
        <w:t> </w:t>
      </w:r>
      <w:r>
        <w:rPr>
          <w:i/>
          <w:sz w:val="22"/>
        </w:rPr>
        <w:t>these</w:t>
      </w:r>
      <w:r>
        <w:rPr>
          <w:i/>
          <w:spacing w:val="-4"/>
          <w:sz w:val="22"/>
        </w:rPr>
        <w:t> </w:t>
      </w:r>
      <w:r>
        <w:rPr>
          <w:i/>
          <w:sz w:val="22"/>
        </w:rPr>
        <w:t>new</w:t>
      </w:r>
      <w:r>
        <w:rPr>
          <w:i/>
          <w:spacing w:val="-3"/>
          <w:sz w:val="22"/>
        </w:rPr>
        <w:t> </w:t>
      </w:r>
      <w:r>
        <w:rPr>
          <w:i/>
          <w:sz w:val="22"/>
        </w:rPr>
        <w:t>technologies</w:t>
      </w:r>
      <w:r>
        <w:rPr>
          <w:i/>
          <w:spacing w:val="-3"/>
          <w:sz w:val="22"/>
        </w:rPr>
        <w:t> </w:t>
      </w:r>
      <w:r>
        <w:rPr>
          <w:i/>
          <w:sz w:val="22"/>
        </w:rPr>
        <w:t>can</w:t>
      </w:r>
      <w:r>
        <w:rPr>
          <w:i/>
          <w:spacing w:val="-3"/>
          <w:sz w:val="22"/>
        </w:rPr>
        <w:t> </w:t>
      </w:r>
      <w:r>
        <w:rPr>
          <w:i/>
          <w:sz w:val="22"/>
        </w:rPr>
        <w:t>contribute</w:t>
      </w:r>
      <w:r>
        <w:rPr>
          <w:i/>
          <w:spacing w:val="-6"/>
          <w:sz w:val="22"/>
        </w:rPr>
        <w:t> </w:t>
      </w:r>
      <w:r>
        <w:rPr>
          <w:i/>
          <w:sz w:val="22"/>
        </w:rPr>
        <w:t>positively</w:t>
      </w:r>
      <w:r>
        <w:rPr>
          <w:i/>
          <w:spacing w:val="-2"/>
          <w:sz w:val="22"/>
        </w:rPr>
        <w:t> </w:t>
      </w:r>
      <w:r>
        <w:rPr>
          <w:i/>
          <w:sz w:val="22"/>
        </w:rPr>
        <w:t>to system reliability and security without compromising safety. The crucial component in maximising the community benefits will be getting the network integration right.” </w:t>
      </w:r>
      <w:r>
        <w:rPr>
          <w:sz w:val="22"/>
        </w:rPr>
        <w:t>(AusNet Services, 2017a, p. 14)</w:t>
      </w:r>
    </w:p>
    <w:p>
      <w:pPr>
        <w:pStyle w:val="BodyText"/>
        <w:spacing w:before="10"/>
        <w:rPr>
          <w:sz w:val="20"/>
        </w:rPr>
      </w:pPr>
    </w:p>
    <w:p>
      <w:pPr>
        <w:pStyle w:val="BodyText"/>
        <w:spacing w:line="288" w:lineRule="auto"/>
        <w:ind w:left="232" w:right="525"/>
      </w:pPr>
      <w:r>
        <w:rPr/>
        <w:t>The </w:t>
      </w:r>
      <w:r>
        <w:rPr>
          <w:i/>
        </w:rPr>
        <w:t>Independent Review into the Future Security of the National Electricity Market </w:t>
      </w:r>
      <w:r>
        <w:rPr/>
        <w:t>noted the importance of a good framework for proof of concept testing of new technologies and their integration into the market (Finkel, 2017). Under the Commonwealth’s </w:t>
      </w:r>
      <w:r>
        <w:rPr>
          <w:i/>
        </w:rPr>
        <w:t>Australian Renewable Energy Agency Act 2011, </w:t>
      </w:r>
      <w:r>
        <w:rPr/>
        <w:t>the Australian Renewable Energy Agency (ARENA) is required to promote the sharing of information and knowledge about renewable energy technologies where appropriate.</w:t>
      </w:r>
      <w:r>
        <w:rPr>
          <w:spacing w:val="-1"/>
        </w:rPr>
        <w:t> </w:t>
      </w:r>
      <w:r>
        <w:rPr/>
        <w:t>Distributed</w:t>
      </w:r>
      <w:r>
        <w:rPr>
          <w:spacing w:val="-8"/>
        </w:rPr>
        <w:t> </w:t>
      </w:r>
      <w:r>
        <w:rPr/>
        <w:t>energy</w:t>
      </w:r>
      <w:r>
        <w:rPr>
          <w:spacing w:val="-5"/>
        </w:rPr>
        <w:t> </w:t>
      </w:r>
      <w:r>
        <w:rPr/>
        <w:t>resource</w:t>
      </w:r>
      <w:r>
        <w:rPr>
          <w:spacing w:val="-3"/>
        </w:rPr>
        <w:t> </w:t>
      </w:r>
      <w:r>
        <w:rPr/>
        <w:t>and</w:t>
      </w:r>
      <w:r>
        <w:rPr>
          <w:spacing w:val="-5"/>
        </w:rPr>
        <w:t> </w:t>
      </w:r>
      <w:r>
        <w:rPr/>
        <w:t>energy</w:t>
      </w:r>
      <w:r>
        <w:rPr>
          <w:spacing w:val="-5"/>
        </w:rPr>
        <w:t> </w:t>
      </w:r>
      <w:r>
        <w:rPr/>
        <w:t>storage</w:t>
      </w:r>
      <w:r>
        <w:rPr>
          <w:spacing w:val="-5"/>
        </w:rPr>
        <w:t> </w:t>
      </w:r>
      <w:r>
        <w:rPr/>
        <w:t>pilot</w:t>
      </w:r>
      <w:r>
        <w:rPr>
          <w:spacing w:val="-2"/>
        </w:rPr>
        <w:t> </w:t>
      </w:r>
      <w:r>
        <w:rPr/>
        <w:t>demonstration</w:t>
      </w:r>
      <w:r>
        <w:rPr>
          <w:spacing w:val="-3"/>
        </w:rPr>
        <w:t> </w:t>
      </w:r>
      <w:r>
        <w:rPr/>
        <w:t>projects</w:t>
      </w:r>
      <w:r>
        <w:rPr>
          <w:spacing w:val="-5"/>
        </w:rPr>
        <w:t> </w:t>
      </w:r>
      <w:r>
        <w:rPr/>
        <w:t>funded by</w:t>
      </w:r>
      <w:r>
        <w:rPr>
          <w:spacing w:val="-2"/>
        </w:rPr>
        <w:t> </w:t>
      </w:r>
      <w:r>
        <w:rPr/>
        <w:t>ARENA or the</w:t>
      </w:r>
      <w:r>
        <w:rPr>
          <w:spacing w:val="-2"/>
        </w:rPr>
        <w:t> </w:t>
      </w:r>
      <w:r>
        <w:rPr/>
        <w:t>Clean</w:t>
      </w:r>
      <w:r>
        <w:rPr>
          <w:spacing w:val="-2"/>
        </w:rPr>
        <w:t> </w:t>
      </w:r>
      <w:r>
        <w:rPr/>
        <w:t>Energy</w:t>
      </w:r>
      <w:r>
        <w:rPr>
          <w:spacing w:val="-2"/>
        </w:rPr>
        <w:t> </w:t>
      </w:r>
      <w:r>
        <w:rPr/>
        <w:t>Finance Corporation can play</w:t>
      </w:r>
      <w:r>
        <w:rPr>
          <w:spacing w:val="-2"/>
        </w:rPr>
        <w:t> </w:t>
      </w:r>
      <w:r>
        <w:rPr/>
        <w:t>an important</w:t>
      </w:r>
      <w:r>
        <w:rPr>
          <w:spacing w:val="-1"/>
        </w:rPr>
        <w:t> </w:t>
      </w:r>
      <w:r>
        <w:rPr/>
        <w:t>role in</w:t>
      </w:r>
      <w:r>
        <w:rPr>
          <w:spacing w:val="-2"/>
        </w:rPr>
        <w:t> </w:t>
      </w:r>
      <w:r>
        <w:rPr/>
        <w:t>facilitating the sharing of learning obtained through these demonstration projects. The identification of any regulatory barriers, requirement for network related standards or learning on performance, reliability and safety can be shared to the benefit of all energy market participants.</w:t>
      </w:r>
    </w:p>
    <w:p>
      <w:pPr>
        <w:pStyle w:val="BodyText"/>
        <w:rPr>
          <w:sz w:val="24"/>
        </w:rPr>
      </w:pPr>
    </w:p>
    <w:p>
      <w:pPr>
        <w:pStyle w:val="Heading6"/>
        <w:spacing w:before="145"/>
        <w:ind w:left="232"/>
      </w:pPr>
      <w:r>
        <w:rPr/>
        <w:t>The</w:t>
      </w:r>
      <w:r>
        <w:rPr>
          <w:spacing w:val="-5"/>
        </w:rPr>
        <w:t> </w:t>
      </w:r>
      <w:r>
        <w:rPr/>
        <w:t>importance</w:t>
      </w:r>
      <w:r>
        <w:rPr>
          <w:spacing w:val="-4"/>
        </w:rPr>
        <w:t> </w:t>
      </w:r>
      <w:r>
        <w:rPr/>
        <w:t>of</w:t>
      </w:r>
      <w:r>
        <w:rPr>
          <w:spacing w:val="-2"/>
        </w:rPr>
        <w:t> </w:t>
      </w:r>
      <w:r>
        <w:rPr/>
        <w:t>design</w:t>
      </w:r>
      <w:r>
        <w:rPr>
          <w:spacing w:val="-2"/>
        </w:rPr>
        <w:t> </w:t>
      </w:r>
      <w:r>
        <w:rPr/>
        <w:t>and</w:t>
      </w:r>
      <w:r>
        <w:rPr>
          <w:spacing w:val="-2"/>
        </w:rPr>
        <w:t> </w:t>
      </w:r>
      <w:r>
        <w:rPr/>
        <w:t>installation</w:t>
      </w:r>
      <w:r>
        <w:rPr>
          <w:spacing w:val="-5"/>
        </w:rPr>
        <w:t> </w:t>
      </w:r>
      <w:r>
        <w:rPr>
          <w:spacing w:val="-2"/>
        </w:rPr>
        <w:t>standards</w:t>
      </w:r>
    </w:p>
    <w:p>
      <w:pPr>
        <w:pStyle w:val="BodyText"/>
        <w:spacing w:line="288" w:lineRule="auto" w:before="175"/>
        <w:ind w:left="232" w:right="286"/>
      </w:pPr>
      <w:r>
        <w:rPr/>
        <w:t>Submissions to the Review have highlighted the need for effective regulation and installation standards</w:t>
      </w:r>
      <w:r>
        <w:rPr>
          <w:spacing w:val="-6"/>
        </w:rPr>
        <w:t> </w:t>
      </w:r>
      <w:r>
        <w:rPr/>
        <w:t>for</w:t>
      </w:r>
      <w:r>
        <w:rPr>
          <w:spacing w:val="-1"/>
        </w:rPr>
        <w:t> </w:t>
      </w:r>
      <w:r>
        <w:rPr/>
        <w:t>distributed</w:t>
      </w:r>
      <w:r>
        <w:rPr>
          <w:spacing w:val="-4"/>
        </w:rPr>
        <w:t> </w:t>
      </w:r>
      <w:r>
        <w:rPr/>
        <w:t>energy</w:t>
      </w:r>
      <w:r>
        <w:rPr>
          <w:spacing w:val="-4"/>
        </w:rPr>
        <w:t> </w:t>
      </w:r>
      <w:r>
        <w:rPr/>
        <w:t>and</w:t>
      </w:r>
      <w:r>
        <w:rPr>
          <w:spacing w:val="-2"/>
        </w:rPr>
        <w:t> </w:t>
      </w:r>
      <w:r>
        <w:rPr/>
        <w:t>storage.</w:t>
      </w:r>
      <w:r>
        <w:rPr>
          <w:spacing w:val="-3"/>
        </w:rPr>
        <w:t> </w:t>
      </w:r>
      <w:r>
        <w:rPr/>
        <w:t>The</w:t>
      </w:r>
      <w:r>
        <w:rPr>
          <w:spacing w:val="-4"/>
        </w:rPr>
        <w:t> </w:t>
      </w:r>
      <w:r>
        <w:rPr/>
        <w:t>establishment of</w:t>
      </w:r>
      <w:r>
        <w:rPr>
          <w:spacing w:val="-3"/>
        </w:rPr>
        <w:t> </w:t>
      </w:r>
      <w:r>
        <w:rPr/>
        <w:t>safety</w:t>
      </w:r>
      <w:r>
        <w:rPr>
          <w:spacing w:val="-4"/>
        </w:rPr>
        <w:t> </w:t>
      </w:r>
      <w:r>
        <w:rPr/>
        <w:t>standards</w:t>
      </w:r>
      <w:r>
        <w:rPr>
          <w:spacing w:val="-4"/>
        </w:rPr>
        <w:t> </w:t>
      </w:r>
      <w:r>
        <w:rPr/>
        <w:t>and</w:t>
      </w:r>
      <w:r>
        <w:rPr>
          <w:spacing w:val="-6"/>
        </w:rPr>
        <w:t> </w:t>
      </w:r>
      <w:r>
        <w:rPr/>
        <w:t>guidelines are required to provide greater consistency in installation practices and manage the potential risks associated with distributed energy resources and battery technologies.</w:t>
      </w:r>
    </w:p>
    <w:p>
      <w:pPr>
        <w:pStyle w:val="BodyText"/>
        <w:spacing w:before="10"/>
        <w:rPr>
          <w:sz w:val="20"/>
        </w:rPr>
      </w:pPr>
    </w:p>
    <w:p>
      <w:pPr>
        <w:pStyle w:val="BodyText"/>
        <w:spacing w:line="288" w:lineRule="auto"/>
        <w:ind w:left="232" w:right="374"/>
      </w:pPr>
      <w:r>
        <w:rPr/>
        <w:t>The National Electrical and Communications Association (NECA) has highlighted the need for regulations and</w:t>
      </w:r>
      <w:r>
        <w:rPr>
          <w:spacing w:val="-2"/>
        </w:rPr>
        <w:t> </w:t>
      </w:r>
      <w:r>
        <w:rPr/>
        <w:t>training to</w:t>
      </w:r>
      <w:r>
        <w:rPr>
          <w:spacing w:val="-2"/>
        </w:rPr>
        <w:t> </w:t>
      </w:r>
      <w:r>
        <w:rPr/>
        <w:t>keep pace</w:t>
      </w:r>
      <w:r>
        <w:rPr>
          <w:spacing w:val="-2"/>
        </w:rPr>
        <w:t> </w:t>
      </w:r>
      <w:r>
        <w:rPr/>
        <w:t>with the</w:t>
      </w:r>
      <w:r>
        <w:rPr>
          <w:spacing w:val="-2"/>
        </w:rPr>
        <w:t> </w:t>
      </w:r>
      <w:r>
        <w:rPr/>
        <w:t>changing market</w:t>
      </w:r>
      <w:r>
        <w:rPr>
          <w:spacing w:val="-1"/>
        </w:rPr>
        <w:t> </w:t>
      </w:r>
      <w:r>
        <w:rPr/>
        <w:t>trends,</w:t>
      </w:r>
      <w:r>
        <w:rPr>
          <w:spacing w:val="-1"/>
        </w:rPr>
        <w:t> </w:t>
      </w:r>
      <w:r>
        <w:rPr/>
        <w:t>drawing attention to</w:t>
      </w:r>
      <w:r>
        <w:rPr>
          <w:spacing w:val="-2"/>
        </w:rPr>
        <w:t> </w:t>
      </w:r>
      <w:r>
        <w:rPr/>
        <w:t>the danger</w:t>
      </w:r>
      <w:r>
        <w:rPr>
          <w:spacing w:val="-6"/>
        </w:rPr>
        <w:t> </w:t>
      </w:r>
      <w:r>
        <w:rPr/>
        <w:t>of</w:t>
      </w:r>
      <w:r>
        <w:rPr>
          <w:spacing w:val="-3"/>
        </w:rPr>
        <w:t> </w:t>
      </w:r>
      <w:r>
        <w:rPr/>
        <w:t>batteries</w:t>
      </w:r>
      <w:r>
        <w:rPr>
          <w:spacing w:val="-4"/>
        </w:rPr>
        <w:t> </w:t>
      </w:r>
      <w:r>
        <w:rPr/>
        <w:t>being</w:t>
      </w:r>
      <w:r>
        <w:rPr>
          <w:spacing w:val="-5"/>
        </w:rPr>
        <w:t> </w:t>
      </w:r>
      <w:r>
        <w:rPr/>
        <w:t>installed</w:t>
      </w:r>
      <w:r>
        <w:rPr>
          <w:spacing w:val="-5"/>
        </w:rPr>
        <w:t> </w:t>
      </w:r>
      <w:r>
        <w:rPr/>
        <w:t>in</w:t>
      </w:r>
      <w:r>
        <w:rPr>
          <w:spacing w:val="-4"/>
        </w:rPr>
        <w:t> </w:t>
      </w:r>
      <w:r>
        <w:rPr/>
        <w:t>rural</w:t>
      </w:r>
      <w:r>
        <w:rPr>
          <w:spacing w:val="-6"/>
        </w:rPr>
        <w:t> </w:t>
      </w:r>
      <w:r>
        <w:rPr/>
        <w:t>areas</w:t>
      </w:r>
      <w:r>
        <w:rPr>
          <w:spacing w:val="-3"/>
        </w:rPr>
        <w:t> </w:t>
      </w:r>
      <w:r>
        <w:rPr/>
        <w:t>causing</w:t>
      </w:r>
      <w:r>
        <w:rPr>
          <w:spacing w:val="-3"/>
        </w:rPr>
        <w:t> </w:t>
      </w:r>
      <w:r>
        <w:rPr/>
        <w:t>a</w:t>
      </w:r>
      <w:r>
        <w:rPr>
          <w:spacing w:val="-8"/>
        </w:rPr>
        <w:t> </w:t>
      </w:r>
      <w:r>
        <w:rPr/>
        <w:t>fire</w:t>
      </w:r>
      <w:r>
        <w:rPr>
          <w:spacing w:val="-5"/>
        </w:rPr>
        <w:t> </w:t>
      </w:r>
      <w:r>
        <w:rPr/>
        <w:t>if</w:t>
      </w:r>
      <w:r>
        <w:rPr>
          <w:spacing w:val="-3"/>
        </w:rPr>
        <w:t> </w:t>
      </w:r>
      <w:r>
        <w:rPr/>
        <w:t>they</w:t>
      </w:r>
      <w:r>
        <w:rPr>
          <w:spacing w:val="-6"/>
        </w:rPr>
        <w:t> </w:t>
      </w:r>
      <w:r>
        <w:rPr/>
        <w:t>are</w:t>
      </w:r>
      <w:r>
        <w:rPr>
          <w:spacing w:val="-5"/>
        </w:rPr>
        <w:t> </w:t>
      </w:r>
      <w:r>
        <w:rPr/>
        <w:t>not</w:t>
      </w:r>
      <w:r>
        <w:rPr>
          <w:spacing w:val="2"/>
        </w:rPr>
        <w:t> </w:t>
      </w:r>
      <w:r>
        <w:rPr/>
        <w:t>installed</w:t>
      </w:r>
      <w:r>
        <w:rPr>
          <w:spacing w:val="-4"/>
        </w:rPr>
        <w:t> </w:t>
      </w:r>
      <w:r>
        <w:rPr>
          <w:spacing w:val="-2"/>
        </w:rPr>
        <w:t>correctly:</w:t>
      </w:r>
    </w:p>
    <w:p>
      <w:pPr>
        <w:pStyle w:val="BodyText"/>
        <w:spacing w:before="10"/>
        <w:rPr>
          <w:sz w:val="20"/>
        </w:rPr>
      </w:pPr>
    </w:p>
    <w:p>
      <w:pPr>
        <w:spacing w:line="288" w:lineRule="auto" w:before="0"/>
        <w:ind w:left="799" w:right="903" w:firstLine="0"/>
        <w:jc w:val="left"/>
        <w:rPr>
          <w:sz w:val="22"/>
        </w:rPr>
      </w:pPr>
      <w:r>
        <w:rPr>
          <w:i/>
          <w:sz w:val="22"/>
        </w:rPr>
        <w:t>“We are concerned the regulations and training concerned with these are lagging the market and people are making best effort … Rural property owners face</w:t>
      </w:r>
      <w:r>
        <w:rPr>
          <w:i/>
          <w:spacing w:val="-2"/>
          <w:sz w:val="22"/>
        </w:rPr>
        <w:t> </w:t>
      </w:r>
      <w:r>
        <w:rPr>
          <w:i/>
          <w:sz w:val="22"/>
        </w:rPr>
        <w:t>the tyranny of long distances and are seeking a more affordable solution and are turning to renewables as a potential solution. We are concerned much of this installation work is being</w:t>
      </w:r>
      <w:r>
        <w:rPr>
          <w:i/>
          <w:spacing w:val="-2"/>
          <w:sz w:val="22"/>
        </w:rPr>
        <w:t> </w:t>
      </w:r>
      <w:r>
        <w:rPr>
          <w:i/>
          <w:sz w:val="22"/>
        </w:rPr>
        <w:t>done</w:t>
      </w:r>
      <w:r>
        <w:rPr>
          <w:i/>
          <w:spacing w:val="-2"/>
          <w:sz w:val="22"/>
        </w:rPr>
        <w:t> </w:t>
      </w:r>
      <w:r>
        <w:rPr>
          <w:i/>
          <w:sz w:val="22"/>
        </w:rPr>
        <w:t>under</w:t>
      </w:r>
      <w:r>
        <w:rPr>
          <w:i/>
          <w:spacing w:val="-3"/>
          <w:sz w:val="22"/>
        </w:rPr>
        <w:t> </w:t>
      </w:r>
      <w:r>
        <w:rPr>
          <w:i/>
          <w:sz w:val="22"/>
        </w:rPr>
        <w:t>the</w:t>
      </w:r>
      <w:r>
        <w:rPr>
          <w:i/>
          <w:spacing w:val="-4"/>
          <w:sz w:val="22"/>
        </w:rPr>
        <w:t> </w:t>
      </w:r>
      <w:r>
        <w:rPr>
          <w:i/>
          <w:sz w:val="22"/>
        </w:rPr>
        <w:t>auspice</w:t>
      </w:r>
      <w:r>
        <w:rPr>
          <w:i/>
          <w:spacing w:val="-2"/>
          <w:sz w:val="22"/>
        </w:rPr>
        <w:t> </w:t>
      </w:r>
      <w:r>
        <w:rPr>
          <w:i/>
          <w:sz w:val="22"/>
        </w:rPr>
        <w:t>of</w:t>
      </w:r>
      <w:r>
        <w:rPr>
          <w:i/>
          <w:spacing w:val="-2"/>
          <w:sz w:val="22"/>
        </w:rPr>
        <w:t> </w:t>
      </w:r>
      <w:r>
        <w:rPr>
          <w:i/>
          <w:sz w:val="22"/>
        </w:rPr>
        <w:t>the</w:t>
      </w:r>
      <w:r>
        <w:rPr>
          <w:i/>
          <w:spacing w:val="-4"/>
          <w:sz w:val="22"/>
        </w:rPr>
        <w:t> </w:t>
      </w:r>
      <w:r>
        <w:rPr>
          <w:i/>
          <w:sz w:val="22"/>
        </w:rPr>
        <w:t>handyman</w:t>
      </w:r>
      <w:r>
        <w:rPr>
          <w:i/>
          <w:spacing w:val="-2"/>
          <w:sz w:val="22"/>
        </w:rPr>
        <w:t> </w:t>
      </w:r>
      <w:r>
        <w:rPr>
          <w:i/>
          <w:sz w:val="22"/>
        </w:rPr>
        <w:t>as</w:t>
      </w:r>
      <w:r>
        <w:rPr>
          <w:i/>
          <w:spacing w:val="-1"/>
          <w:sz w:val="22"/>
        </w:rPr>
        <w:t> </w:t>
      </w:r>
      <w:r>
        <w:rPr>
          <w:i/>
          <w:sz w:val="22"/>
        </w:rPr>
        <w:t>it is</w:t>
      </w:r>
      <w:r>
        <w:rPr>
          <w:i/>
          <w:spacing w:val="-4"/>
          <w:sz w:val="22"/>
        </w:rPr>
        <w:t> </w:t>
      </w:r>
      <w:r>
        <w:rPr>
          <w:i/>
          <w:sz w:val="22"/>
        </w:rPr>
        <w:t>considered</w:t>
      </w:r>
      <w:r>
        <w:rPr>
          <w:i/>
          <w:spacing w:val="-4"/>
          <w:sz w:val="22"/>
        </w:rPr>
        <w:t> </w:t>
      </w:r>
      <w:r>
        <w:rPr>
          <w:i/>
          <w:sz w:val="22"/>
        </w:rPr>
        <w:t>low</w:t>
      </w:r>
      <w:r>
        <w:rPr>
          <w:i/>
          <w:spacing w:val="-3"/>
          <w:sz w:val="22"/>
        </w:rPr>
        <w:t> </w:t>
      </w:r>
      <w:r>
        <w:rPr>
          <w:i/>
          <w:sz w:val="22"/>
        </w:rPr>
        <w:t>voltage.</w:t>
      </w:r>
      <w:r>
        <w:rPr>
          <w:i/>
          <w:spacing w:val="-3"/>
          <w:sz w:val="22"/>
        </w:rPr>
        <w:t> </w:t>
      </w:r>
      <w:r>
        <w:rPr>
          <w:i/>
          <w:sz w:val="22"/>
        </w:rPr>
        <w:t>Without the correct installation method these microgeneration plants (solar and battery) could be a source of danger to the people and further to the community in the event the installation initiates a fire situation.” </w:t>
      </w:r>
      <w:r>
        <w:rPr>
          <w:sz w:val="22"/>
        </w:rPr>
        <w:t>(NECA, 2017, p. 1)</w:t>
      </w:r>
    </w:p>
    <w:p>
      <w:pPr>
        <w:pStyle w:val="BodyText"/>
        <w:spacing w:before="10"/>
        <w:rPr>
          <w:sz w:val="20"/>
        </w:rPr>
      </w:pPr>
    </w:p>
    <w:p>
      <w:pPr>
        <w:pStyle w:val="BodyText"/>
        <w:spacing w:line="288" w:lineRule="auto"/>
        <w:ind w:left="232"/>
      </w:pPr>
      <w:r>
        <w:rPr/>
        <w:t>Advisian</w:t>
      </w:r>
      <w:r>
        <w:rPr>
          <w:spacing w:val="-2"/>
        </w:rPr>
        <w:t> </w:t>
      </w:r>
      <w:r>
        <w:rPr/>
        <w:t>noted</w:t>
      </w:r>
      <w:r>
        <w:rPr>
          <w:spacing w:val="-2"/>
        </w:rPr>
        <w:t> </w:t>
      </w:r>
      <w:r>
        <w:rPr/>
        <w:t>in</w:t>
      </w:r>
      <w:r>
        <w:rPr>
          <w:spacing w:val="-2"/>
        </w:rPr>
        <w:t> </w:t>
      </w:r>
      <w:r>
        <w:rPr/>
        <w:t>its</w:t>
      </w:r>
      <w:r>
        <w:rPr>
          <w:spacing w:val="-4"/>
        </w:rPr>
        <w:t> </w:t>
      </w:r>
      <w:r>
        <w:rPr/>
        <w:t>report</w:t>
      </w:r>
      <w:r>
        <w:rPr>
          <w:spacing w:val="-2"/>
        </w:rPr>
        <w:t> </w:t>
      </w:r>
      <w:r>
        <w:rPr/>
        <w:t>that</w:t>
      </w:r>
      <w:r>
        <w:rPr>
          <w:spacing w:val="-3"/>
        </w:rPr>
        <w:t> </w:t>
      </w:r>
      <w:r>
        <w:rPr/>
        <w:t>the</w:t>
      </w:r>
      <w:r>
        <w:rPr>
          <w:spacing w:val="-2"/>
        </w:rPr>
        <w:t> </w:t>
      </w:r>
      <w:r>
        <w:rPr/>
        <w:t>absence</w:t>
      </w:r>
      <w:r>
        <w:rPr>
          <w:spacing w:val="-2"/>
        </w:rPr>
        <w:t> </w:t>
      </w:r>
      <w:r>
        <w:rPr/>
        <w:t>of storage</w:t>
      </w:r>
      <w:r>
        <w:rPr>
          <w:spacing w:val="-2"/>
        </w:rPr>
        <w:t> </w:t>
      </w:r>
      <w:r>
        <w:rPr/>
        <w:t>design</w:t>
      </w:r>
      <w:r>
        <w:rPr>
          <w:spacing w:val="-2"/>
        </w:rPr>
        <w:t> </w:t>
      </w:r>
      <w:r>
        <w:rPr/>
        <w:t>and</w:t>
      </w:r>
      <w:r>
        <w:rPr>
          <w:spacing w:val="-4"/>
        </w:rPr>
        <w:t> </w:t>
      </w:r>
      <w:r>
        <w:rPr/>
        <w:t>installation</w:t>
      </w:r>
      <w:r>
        <w:rPr>
          <w:spacing w:val="-2"/>
        </w:rPr>
        <w:t> </w:t>
      </w:r>
      <w:r>
        <w:rPr/>
        <w:t>standards</w:t>
      </w:r>
      <w:r>
        <w:rPr>
          <w:spacing w:val="-4"/>
        </w:rPr>
        <w:t> </w:t>
      </w:r>
      <w:r>
        <w:rPr/>
        <w:t>has</w:t>
      </w:r>
      <w:r>
        <w:rPr>
          <w:spacing w:val="-1"/>
        </w:rPr>
        <w:t> </w:t>
      </w:r>
      <w:r>
        <w:rPr/>
        <w:t>led</w:t>
      </w:r>
      <w:r>
        <w:rPr>
          <w:spacing w:val="-4"/>
        </w:rPr>
        <w:t> </w:t>
      </w:r>
      <w:r>
        <w:rPr/>
        <w:t>to differing design and installation practices presenting a potential risk to safety:</w:t>
      </w:r>
    </w:p>
    <w:p>
      <w:pPr>
        <w:spacing w:after="0" w:line="288" w:lineRule="auto"/>
        <w:sectPr>
          <w:pgSz w:w="11910" w:h="16850"/>
          <w:pgMar w:header="220" w:footer="678" w:top="420" w:bottom="860" w:left="900" w:right="840"/>
        </w:sectPr>
      </w:pPr>
    </w:p>
    <w:p>
      <w:pPr>
        <w:pStyle w:val="BodyText"/>
        <w:rPr>
          <w:sz w:val="20"/>
        </w:rPr>
      </w:pPr>
    </w:p>
    <w:p>
      <w:pPr>
        <w:pStyle w:val="BodyText"/>
        <w:spacing w:before="2"/>
        <w:rPr>
          <w:sz w:val="19"/>
        </w:rPr>
      </w:pPr>
    </w:p>
    <w:p>
      <w:pPr>
        <w:spacing w:line="288" w:lineRule="auto" w:before="94"/>
        <w:ind w:left="799" w:right="870" w:firstLine="0"/>
        <w:jc w:val="both"/>
        <w:rPr>
          <w:sz w:val="22"/>
        </w:rPr>
      </w:pPr>
      <w:r>
        <w:rPr>
          <w:i/>
          <w:sz w:val="22"/>
        </w:rPr>
        <w:t>“…there is</w:t>
      </w:r>
      <w:r>
        <w:rPr>
          <w:i/>
          <w:spacing w:val="-2"/>
          <w:sz w:val="22"/>
        </w:rPr>
        <w:t> </w:t>
      </w:r>
      <w:r>
        <w:rPr>
          <w:i/>
          <w:sz w:val="22"/>
        </w:rPr>
        <w:t>now also a</w:t>
      </w:r>
      <w:r>
        <w:rPr>
          <w:i/>
          <w:spacing w:val="-2"/>
          <w:sz w:val="22"/>
        </w:rPr>
        <w:t> </w:t>
      </w:r>
      <w:r>
        <w:rPr>
          <w:i/>
          <w:sz w:val="22"/>
        </w:rPr>
        <w:t>significant diversity of</w:t>
      </w:r>
      <w:r>
        <w:rPr>
          <w:i/>
          <w:spacing w:val="-1"/>
          <w:sz w:val="22"/>
        </w:rPr>
        <w:t> </w:t>
      </w:r>
      <w:r>
        <w:rPr>
          <w:i/>
          <w:sz w:val="22"/>
        </w:rPr>
        <w:t>construction and</w:t>
      </w:r>
      <w:r>
        <w:rPr>
          <w:i/>
          <w:spacing w:val="-2"/>
          <w:sz w:val="22"/>
        </w:rPr>
        <w:t> </w:t>
      </w:r>
      <w:r>
        <w:rPr>
          <w:i/>
          <w:sz w:val="22"/>
        </w:rPr>
        <w:t>design practices,</w:t>
      </w:r>
      <w:r>
        <w:rPr>
          <w:i/>
          <w:spacing w:val="-1"/>
          <w:sz w:val="22"/>
        </w:rPr>
        <w:t> </w:t>
      </w:r>
      <w:r>
        <w:rPr>
          <w:i/>
          <w:sz w:val="22"/>
        </w:rPr>
        <w:t>product quality and installation quality in the</w:t>
      </w:r>
      <w:r>
        <w:rPr>
          <w:i/>
          <w:spacing w:val="-1"/>
          <w:sz w:val="22"/>
        </w:rPr>
        <w:t> </w:t>
      </w:r>
      <w:r>
        <w:rPr>
          <w:i/>
          <w:sz w:val="22"/>
        </w:rPr>
        <w:t>industry. This variation</w:t>
      </w:r>
      <w:r>
        <w:rPr>
          <w:i/>
          <w:spacing w:val="-1"/>
          <w:sz w:val="22"/>
        </w:rPr>
        <w:t> </w:t>
      </w:r>
      <w:r>
        <w:rPr>
          <w:i/>
          <w:sz w:val="22"/>
        </w:rPr>
        <w:t>will be a potential source</w:t>
      </w:r>
      <w:r>
        <w:rPr>
          <w:i/>
          <w:spacing w:val="-1"/>
          <w:sz w:val="22"/>
        </w:rPr>
        <w:t> </w:t>
      </w:r>
      <w:r>
        <w:rPr>
          <w:i/>
          <w:sz w:val="22"/>
        </w:rPr>
        <w:t>of risk</w:t>
      </w:r>
      <w:r>
        <w:rPr>
          <w:i/>
          <w:spacing w:val="-1"/>
          <w:sz w:val="22"/>
        </w:rPr>
        <w:t> </w:t>
      </w:r>
      <w:r>
        <w:rPr>
          <w:i/>
          <w:sz w:val="22"/>
        </w:rPr>
        <w:t>to</w:t>
      </w:r>
      <w:r>
        <w:rPr>
          <w:i/>
          <w:spacing w:val="-2"/>
          <w:sz w:val="22"/>
        </w:rPr>
        <w:t> </w:t>
      </w:r>
      <w:r>
        <w:rPr>
          <w:i/>
          <w:sz w:val="22"/>
        </w:rPr>
        <w:t>personnel</w:t>
      </w:r>
      <w:r>
        <w:rPr>
          <w:i/>
          <w:spacing w:val="-2"/>
          <w:sz w:val="22"/>
        </w:rPr>
        <w:t> </w:t>
      </w:r>
      <w:r>
        <w:rPr>
          <w:i/>
          <w:sz w:val="22"/>
        </w:rPr>
        <w:t>and</w:t>
      </w:r>
      <w:r>
        <w:rPr>
          <w:i/>
          <w:spacing w:val="-4"/>
          <w:sz w:val="22"/>
        </w:rPr>
        <w:t> </w:t>
      </w:r>
      <w:r>
        <w:rPr>
          <w:i/>
          <w:sz w:val="22"/>
        </w:rPr>
        <w:t>property</w:t>
      </w:r>
      <w:r>
        <w:rPr>
          <w:i/>
          <w:spacing w:val="-4"/>
          <w:sz w:val="22"/>
        </w:rPr>
        <w:t> </w:t>
      </w:r>
      <w:r>
        <w:rPr>
          <w:i/>
          <w:sz w:val="22"/>
        </w:rPr>
        <w:t>health</w:t>
      </w:r>
      <w:r>
        <w:rPr>
          <w:i/>
          <w:spacing w:val="-2"/>
          <w:sz w:val="22"/>
        </w:rPr>
        <w:t> </w:t>
      </w:r>
      <w:r>
        <w:rPr>
          <w:i/>
          <w:sz w:val="22"/>
        </w:rPr>
        <w:t>and</w:t>
      </w:r>
      <w:r>
        <w:rPr>
          <w:i/>
          <w:spacing w:val="-2"/>
          <w:sz w:val="22"/>
        </w:rPr>
        <w:t> </w:t>
      </w:r>
      <w:r>
        <w:rPr>
          <w:i/>
          <w:sz w:val="22"/>
        </w:rPr>
        <w:t>safety</w:t>
      </w:r>
      <w:r>
        <w:rPr>
          <w:i/>
          <w:spacing w:val="-3"/>
          <w:sz w:val="22"/>
        </w:rPr>
        <w:t> </w:t>
      </w:r>
      <w:r>
        <w:rPr>
          <w:i/>
          <w:sz w:val="22"/>
        </w:rPr>
        <w:t>until</w:t>
      </w:r>
      <w:r>
        <w:rPr>
          <w:i/>
          <w:spacing w:val="-3"/>
          <w:sz w:val="22"/>
        </w:rPr>
        <w:t> </w:t>
      </w:r>
      <w:r>
        <w:rPr>
          <w:i/>
          <w:sz w:val="22"/>
        </w:rPr>
        <w:t>a</w:t>
      </w:r>
      <w:r>
        <w:rPr>
          <w:i/>
          <w:spacing w:val="-4"/>
          <w:sz w:val="22"/>
        </w:rPr>
        <w:t> </w:t>
      </w:r>
      <w:r>
        <w:rPr>
          <w:i/>
          <w:sz w:val="22"/>
        </w:rPr>
        <w:t>more</w:t>
      </w:r>
      <w:r>
        <w:rPr>
          <w:i/>
          <w:spacing w:val="-4"/>
          <w:sz w:val="22"/>
        </w:rPr>
        <w:t> </w:t>
      </w:r>
      <w:r>
        <w:rPr>
          <w:i/>
          <w:sz w:val="22"/>
        </w:rPr>
        <w:t>mature</w:t>
      </w:r>
      <w:r>
        <w:rPr>
          <w:i/>
          <w:spacing w:val="-4"/>
          <w:sz w:val="22"/>
        </w:rPr>
        <w:t> </w:t>
      </w:r>
      <w:r>
        <w:rPr>
          <w:i/>
          <w:sz w:val="22"/>
        </w:rPr>
        <w:t>industry</w:t>
      </w:r>
      <w:r>
        <w:rPr>
          <w:i/>
          <w:spacing w:val="-1"/>
          <w:sz w:val="22"/>
        </w:rPr>
        <w:t> </w:t>
      </w:r>
      <w:r>
        <w:rPr>
          <w:i/>
          <w:sz w:val="22"/>
        </w:rPr>
        <w:t>emerges</w:t>
      </w:r>
      <w:r>
        <w:rPr>
          <w:sz w:val="22"/>
        </w:rPr>
        <w:t>.</w:t>
      </w:r>
      <w:r>
        <w:rPr>
          <w:i/>
          <w:sz w:val="22"/>
        </w:rPr>
        <w:t>” </w:t>
      </w:r>
      <w:r>
        <w:rPr>
          <w:sz w:val="22"/>
        </w:rPr>
        <w:t>(Advisian, 2016a, p. 9)</w:t>
      </w:r>
    </w:p>
    <w:p>
      <w:pPr>
        <w:pStyle w:val="BodyText"/>
        <w:spacing w:before="10"/>
        <w:rPr>
          <w:sz w:val="20"/>
        </w:rPr>
      </w:pPr>
    </w:p>
    <w:p>
      <w:pPr>
        <w:spacing w:line="288" w:lineRule="auto" w:before="1"/>
        <w:ind w:left="232" w:right="408" w:firstLine="0"/>
        <w:jc w:val="left"/>
        <w:rPr>
          <w:sz w:val="22"/>
        </w:rPr>
      </w:pPr>
      <w:r>
        <w:rPr>
          <w:sz w:val="22"/>
        </w:rPr>
        <w:t>While</w:t>
      </w:r>
      <w:r>
        <w:rPr>
          <w:spacing w:val="-4"/>
          <w:sz w:val="22"/>
        </w:rPr>
        <w:t> </w:t>
      </w:r>
      <w:r>
        <w:rPr>
          <w:sz w:val="22"/>
        </w:rPr>
        <w:t>there</w:t>
      </w:r>
      <w:r>
        <w:rPr>
          <w:spacing w:val="-4"/>
          <w:sz w:val="22"/>
        </w:rPr>
        <w:t> </w:t>
      </w:r>
      <w:r>
        <w:rPr>
          <w:sz w:val="22"/>
        </w:rPr>
        <w:t>is</w:t>
      </w:r>
      <w:r>
        <w:rPr>
          <w:spacing w:val="-1"/>
          <w:sz w:val="22"/>
        </w:rPr>
        <w:t> </w:t>
      </w:r>
      <w:r>
        <w:rPr>
          <w:sz w:val="22"/>
        </w:rPr>
        <w:t>currently</w:t>
      </w:r>
      <w:r>
        <w:rPr>
          <w:spacing w:val="-4"/>
          <w:sz w:val="22"/>
        </w:rPr>
        <w:t> </w:t>
      </w:r>
      <w:r>
        <w:rPr>
          <w:sz w:val="22"/>
        </w:rPr>
        <w:t>no</w:t>
      </w:r>
      <w:r>
        <w:rPr>
          <w:spacing w:val="-2"/>
          <w:sz w:val="22"/>
        </w:rPr>
        <w:t> </w:t>
      </w:r>
      <w:r>
        <w:rPr>
          <w:sz w:val="22"/>
        </w:rPr>
        <w:t>existing Australian</w:t>
      </w:r>
      <w:r>
        <w:rPr>
          <w:spacing w:val="-2"/>
          <w:sz w:val="22"/>
        </w:rPr>
        <w:t> </w:t>
      </w:r>
      <w:r>
        <w:rPr>
          <w:sz w:val="22"/>
        </w:rPr>
        <w:t>standard</w:t>
      </w:r>
      <w:r>
        <w:rPr>
          <w:spacing w:val="-2"/>
          <w:sz w:val="22"/>
        </w:rPr>
        <w:t> </w:t>
      </w:r>
      <w:r>
        <w:rPr>
          <w:sz w:val="22"/>
        </w:rPr>
        <w:t>setting</w:t>
      </w:r>
      <w:r>
        <w:rPr>
          <w:spacing w:val="-2"/>
          <w:sz w:val="22"/>
        </w:rPr>
        <w:t> </w:t>
      </w:r>
      <w:r>
        <w:rPr>
          <w:sz w:val="22"/>
        </w:rPr>
        <w:t>the</w:t>
      </w:r>
      <w:r>
        <w:rPr>
          <w:spacing w:val="-4"/>
          <w:sz w:val="22"/>
        </w:rPr>
        <w:t> </w:t>
      </w:r>
      <w:r>
        <w:rPr>
          <w:sz w:val="22"/>
        </w:rPr>
        <w:t>rules</w:t>
      </w:r>
      <w:r>
        <w:rPr>
          <w:spacing w:val="-2"/>
          <w:sz w:val="22"/>
        </w:rPr>
        <w:t> </w:t>
      </w:r>
      <w:r>
        <w:rPr>
          <w:sz w:val="22"/>
        </w:rPr>
        <w:t>and</w:t>
      </w:r>
      <w:r>
        <w:rPr>
          <w:spacing w:val="-4"/>
          <w:sz w:val="22"/>
        </w:rPr>
        <w:t> </w:t>
      </w:r>
      <w:r>
        <w:rPr>
          <w:sz w:val="22"/>
        </w:rPr>
        <w:t>guidelines</w:t>
      </w:r>
      <w:r>
        <w:rPr>
          <w:spacing w:val="-4"/>
          <w:sz w:val="22"/>
        </w:rPr>
        <w:t> </w:t>
      </w:r>
      <w:r>
        <w:rPr>
          <w:sz w:val="22"/>
        </w:rPr>
        <w:t>for</w:t>
      </w:r>
      <w:r>
        <w:rPr>
          <w:spacing w:val="-3"/>
          <w:sz w:val="22"/>
        </w:rPr>
        <w:t> </w:t>
      </w:r>
      <w:r>
        <w:rPr>
          <w:sz w:val="22"/>
        </w:rPr>
        <w:t>battery storage in Australia, Standards Australia has been drafting a new Australian Standard 5139:201 </w:t>
      </w:r>
      <w:r>
        <w:rPr>
          <w:i/>
          <w:sz w:val="22"/>
        </w:rPr>
        <w:t>Electrical installations – safety of battery systems for use with power conversion equipment</w:t>
      </w:r>
      <w:r>
        <w:rPr>
          <w:sz w:val="22"/>
        </w:rPr>
        <w:t>, to enable the safe installation of battery energy storage systems.</w:t>
      </w:r>
    </w:p>
    <w:p>
      <w:pPr>
        <w:pStyle w:val="BodyText"/>
        <w:spacing w:before="10"/>
        <w:rPr>
          <w:sz w:val="20"/>
        </w:rPr>
      </w:pPr>
    </w:p>
    <w:p>
      <w:pPr>
        <w:pStyle w:val="BodyText"/>
        <w:spacing w:line="288" w:lineRule="auto"/>
        <w:ind w:left="232" w:right="374"/>
      </w:pPr>
      <w:r>
        <w:rPr/>
        <w:t>Standards Australia released the draft standard for public consultation in June this year. Submissions closed in August 2017 and over 3000 comments were received, many raising public policy issues related to public safety, clean energy and minimum residential construction requirements. Standards Australia has stated that given the significant response to the draft standard, along with the fact that this is a new building technology with limited existing direction from</w:t>
      </w:r>
      <w:r>
        <w:rPr>
          <w:spacing w:val="-3"/>
        </w:rPr>
        <w:t> </w:t>
      </w:r>
      <w:r>
        <w:rPr/>
        <w:t>governments, its</w:t>
      </w:r>
      <w:r>
        <w:rPr>
          <w:spacing w:val="-4"/>
        </w:rPr>
        <w:t> </w:t>
      </w:r>
      <w:r>
        <w:rPr/>
        <w:t>technical</w:t>
      </w:r>
      <w:r>
        <w:rPr>
          <w:spacing w:val="-3"/>
        </w:rPr>
        <w:t> </w:t>
      </w:r>
      <w:r>
        <w:rPr/>
        <w:t>committee</w:t>
      </w:r>
      <w:r>
        <w:rPr>
          <w:spacing w:val="-4"/>
        </w:rPr>
        <w:t> </w:t>
      </w:r>
      <w:r>
        <w:rPr/>
        <w:t>is</w:t>
      </w:r>
      <w:r>
        <w:rPr>
          <w:spacing w:val="-1"/>
        </w:rPr>
        <w:t> </w:t>
      </w:r>
      <w:r>
        <w:rPr/>
        <w:t>not</w:t>
      </w:r>
      <w:r>
        <w:rPr>
          <w:spacing w:val="-3"/>
        </w:rPr>
        <w:t> </w:t>
      </w:r>
      <w:r>
        <w:rPr/>
        <w:t>the</w:t>
      </w:r>
      <w:r>
        <w:rPr>
          <w:spacing w:val="-2"/>
        </w:rPr>
        <w:t> </w:t>
      </w:r>
      <w:r>
        <w:rPr/>
        <w:t>appropriate</w:t>
      </w:r>
      <w:r>
        <w:rPr>
          <w:spacing w:val="-1"/>
        </w:rPr>
        <w:t> </w:t>
      </w:r>
      <w:r>
        <w:rPr/>
        <w:t>forum</w:t>
      </w:r>
      <w:r>
        <w:rPr>
          <w:spacing w:val="-3"/>
        </w:rPr>
        <w:t> </w:t>
      </w:r>
      <w:r>
        <w:rPr/>
        <w:t>to</w:t>
      </w:r>
      <w:r>
        <w:rPr>
          <w:spacing w:val="-4"/>
        </w:rPr>
        <w:t> </w:t>
      </w:r>
      <w:r>
        <w:rPr/>
        <w:t>resolve</w:t>
      </w:r>
      <w:r>
        <w:rPr>
          <w:spacing w:val="-2"/>
        </w:rPr>
        <w:t> </w:t>
      </w:r>
      <w:r>
        <w:rPr/>
        <w:t>the</w:t>
      </w:r>
      <w:r>
        <w:rPr>
          <w:spacing w:val="-2"/>
        </w:rPr>
        <w:t> </w:t>
      </w:r>
      <w:r>
        <w:rPr/>
        <w:t>public</w:t>
      </w:r>
      <w:r>
        <w:rPr>
          <w:spacing w:val="-1"/>
        </w:rPr>
        <w:t> </w:t>
      </w:r>
      <w:r>
        <w:rPr/>
        <w:t>policy tensions</w:t>
      </w:r>
      <w:r>
        <w:rPr>
          <w:spacing w:val="-4"/>
        </w:rPr>
        <w:t> </w:t>
      </w:r>
      <w:r>
        <w:rPr/>
        <w:t>raised.</w:t>
      </w:r>
      <w:r>
        <w:rPr>
          <w:spacing w:val="-3"/>
        </w:rPr>
        <w:t> </w:t>
      </w:r>
      <w:r>
        <w:rPr/>
        <w:t>It has</w:t>
      </w:r>
      <w:r>
        <w:rPr>
          <w:spacing w:val="-4"/>
        </w:rPr>
        <w:t> </w:t>
      </w:r>
      <w:r>
        <w:rPr/>
        <w:t>offered</w:t>
      </w:r>
      <w:r>
        <w:rPr>
          <w:spacing w:val="-4"/>
        </w:rPr>
        <w:t> </w:t>
      </w:r>
      <w:r>
        <w:rPr/>
        <w:t>to</w:t>
      </w:r>
      <w:r>
        <w:rPr>
          <w:spacing w:val="-2"/>
        </w:rPr>
        <w:t> </w:t>
      </w:r>
      <w:r>
        <w:rPr/>
        <w:t>bring</w:t>
      </w:r>
      <w:r>
        <w:rPr>
          <w:spacing w:val="-4"/>
        </w:rPr>
        <w:t> </w:t>
      </w:r>
      <w:r>
        <w:rPr/>
        <w:t>key</w:t>
      </w:r>
      <w:r>
        <w:rPr>
          <w:spacing w:val="-4"/>
        </w:rPr>
        <w:t> </w:t>
      </w:r>
      <w:r>
        <w:rPr/>
        <w:t>stakeholders</w:t>
      </w:r>
      <w:r>
        <w:rPr>
          <w:spacing w:val="-1"/>
        </w:rPr>
        <w:t> </w:t>
      </w:r>
      <w:r>
        <w:rPr/>
        <w:t>together</w:t>
      </w:r>
      <w:r>
        <w:rPr>
          <w:spacing w:val="-5"/>
        </w:rPr>
        <w:t> </w:t>
      </w:r>
      <w:r>
        <w:rPr/>
        <w:t>to</w:t>
      </w:r>
      <w:r>
        <w:rPr>
          <w:spacing w:val="-2"/>
        </w:rPr>
        <w:t> </w:t>
      </w:r>
      <w:r>
        <w:rPr/>
        <w:t>establish</w:t>
      </w:r>
      <w:r>
        <w:rPr>
          <w:spacing w:val="-2"/>
        </w:rPr>
        <w:t> </w:t>
      </w:r>
      <w:r>
        <w:rPr/>
        <w:t>a</w:t>
      </w:r>
      <w:r>
        <w:rPr>
          <w:spacing w:val="-3"/>
        </w:rPr>
        <w:t> </w:t>
      </w:r>
      <w:r>
        <w:rPr/>
        <w:t>framework</w:t>
      </w:r>
      <w:r>
        <w:rPr>
          <w:spacing w:val="-1"/>
        </w:rPr>
        <w:t> </w:t>
      </w:r>
      <w:r>
        <w:rPr/>
        <w:t>through which these public policy tensions can be addressed (Standards Australia, 2017).</w:t>
      </w:r>
    </w:p>
    <w:p>
      <w:pPr>
        <w:pStyle w:val="BodyText"/>
        <w:spacing w:before="8"/>
        <w:rPr>
          <w:sz w:val="20"/>
        </w:rPr>
      </w:pPr>
    </w:p>
    <w:p>
      <w:pPr>
        <w:pStyle w:val="BodyText"/>
        <w:spacing w:line="288" w:lineRule="auto"/>
        <w:ind w:left="232" w:right="408"/>
      </w:pPr>
      <w:r>
        <w:rPr/>
        <w:t>The Clean Energy Council (CEC) accredits designers and installers of solar PV systems and battery storage systems to ensure systems meet industry best practice. The CEC advocates for reforms to protect the safety of consumers with battery storage systems including that state government</w:t>
      </w:r>
      <w:r>
        <w:rPr>
          <w:spacing w:val="-1"/>
        </w:rPr>
        <w:t> </w:t>
      </w:r>
      <w:r>
        <w:rPr/>
        <w:t>safety</w:t>
      </w:r>
      <w:r>
        <w:rPr>
          <w:spacing w:val="-2"/>
        </w:rPr>
        <w:t> </w:t>
      </w:r>
      <w:r>
        <w:rPr/>
        <w:t>regulators</w:t>
      </w:r>
      <w:r>
        <w:rPr>
          <w:spacing w:val="-2"/>
        </w:rPr>
        <w:t> </w:t>
      </w:r>
      <w:r>
        <w:rPr/>
        <w:t>should</w:t>
      </w:r>
      <w:r>
        <w:rPr>
          <w:spacing w:val="-2"/>
        </w:rPr>
        <w:t> </w:t>
      </w:r>
      <w:r>
        <w:rPr/>
        <w:t>require</w:t>
      </w:r>
      <w:r>
        <w:rPr>
          <w:spacing w:val="-2"/>
        </w:rPr>
        <w:t> </w:t>
      </w:r>
      <w:r>
        <w:rPr/>
        <w:t>that</w:t>
      </w:r>
      <w:r>
        <w:rPr>
          <w:spacing w:val="-3"/>
        </w:rPr>
        <w:t> </w:t>
      </w:r>
      <w:r>
        <w:rPr/>
        <w:t>all battery</w:t>
      </w:r>
      <w:r>
        <w:rPr>
          <w:spacing w:val="-1"/>
        </w:rPr>
        <w:t> </w:t>
      </w:r>
      <w:r>
        <w:rPr/>
        <w:t>installations</w:t>
      </w:r>
      <w:r>
        <w:rPr>
          <w:spacing w:val="-2"/>
        </w:rPr>
        <w:t> </w:t>
      </w:r>
      <w:r>
        <w:rPr/>
        <w:t>must be</w:t>
      </w:r>
      <w:r>
        <w:rPr>
          <w:spacing w:val="-2"/>
        </w:rPr>
        <w:t> </w:t>
      </w:r>
      <w:r>
        <w:rPr/>
        <w:t>performed</w:t>
      </w:r>
      <w:r>
        <w:rPr>
          <w:spacing w:val="-2"/>
        </w:rPr>
        <w:t> </w:t>
      </w:r>
      <w:r>
        <w:rPr/>
        <w:t>by</w:t>
      </w:r>
      <w:r>
        <w:rPr>
          <w:spacing w:val="-2"/>
        </w:rPr>
        <w:t> </w:t>
      </w:r>
      <w:r>
        <w:rPr/>
        <w:t>a qualified</w:t>
      </w:r>
      <w:r>
        <w:rPr>
          <w:spacing w:val="-3"/>
        </w:rPr>
        <w:t> </w:t>
      </w:r>
      <w:r>
        <w:rPr/>
        <w:t>installer</w:t>
      </w:r>
      <w:r>
        <w:rPr>
          <w:spacing w:val="-4"/>
        </w:rPr>
        <w:t> </w:t>
      </w:r>
      <w:r>
        <w:rPr/>
        <w:t>with</w:t>
      </w:r>
      <w:r>
        <w:rPr>
          <w:spacing w:val="-3"/>
        </w:rPr>
        <w:t> </w:t>
      </w:r>
      <w:r>
        <w:rPr/>
        <w:t>demonstrated</w:t>
      </w:r>
      <w:r>
        <w:rPr>
          <w:spacing w:val="-5"/>
        </w:rPr>
        <w:t> </w:t>
      </w:r>
      <w:r>
        <w:rPr/>
        <w:t>competency</w:t>
      </w:r>
      <w:r>
        <w:rPr>
          <w:spacing w:val="-5"/>
        </w:rPr>
        <w:t> </w:t>
      </w:r>
      <w:r>
        <w:rPr/>
        <w:t>in</w:t>
      </w:r>
      <w:r>
        <w:rPr>
          <w:spacing w:val="-3"/>
        </w:rPr>
        <w:t> </w:t>
      </w:r>
      <w:r>
        <w:rPr/>
        <w:t>battery</w:t>
      </w:r>
      <w:r>
        <w:rPr>
          <w:spacing w:val="-5"/>
        </w:rPr>
        <w:t> </w:t>
      </w:r>
      <w:r>
        <w:rPr/>
        <w:t>installation,</w:t>
      </w:r>
      <w:r>
        <w:rPr>
          <w:spacing w:val="-4"/>
        </w:rPr>
        <w:t> </w:t>
      </w:r>
      <w:r>
        <w:rPr/>
        <w:t>such</w:t>
      </w:r>
      <w:r>
        <w:rPr>
          <w:spacing w:val="-3"/>
        </w:rPr>
        <w:t> </w:t>
      </w:r>
      <w:r>
        <w:rPr/>
        <w:t>as</w:t>
      </w:r>
      <w:r>
        <w:rPr>
          <w:spacing w:val="-4"/>
        </w:rPr>
        <w:t> </w:t>
      </w:r>
      <w:r>
        <w:rPr/>
        <w:t>those</w:t>
      </w:r>
      <w:r>
        <w:rPr>
          <w:spacing w:val="-5"/>
        </w:rPr>
        <w:t> </w:t>
      </w:r>
      <w:r>
        <w:rPr/>
        <w:t>accredited for battery installation under the CEC’s accreditation scheme (Clean Energy Council, 2017).</w:t>
      </w:r>
    </w:p>
    <w:p>
      <w:pPr>
        <w:pStyle w:val="BodyText"/>
        <w:rPr>
          <w:sz w:val="24"/>
        </w:rPr>
      </w:pPr>
    </w:p>
    <w:p>
      <w:pPr>
        <w:pStyle w:val="Heading6"/>
        <w:spacing w:before="145"/>
        <w:ind w:left="232"/>
      </w:pPr>
      <w:r>
        <w:rPr/>
        <w:t>Gas</w:t>
      </w:r>
      <w:r>
        <w:rPr>
          <w:spacing w:val="-2"/>
        </w:rPr>
        <w:t> networks</w:t>
      </w:r>
    </w:p>
    <w:p>
      <w:pPr>
        <w:pStyle w:val="BodyText"/>
        <w:spacing w:line="288" w:lineRule="auto" w:before="175"/>
        <w:ind w:left="232"/>
      </w:pPr>
      <w:r>
        <w:rPr/>
        <w:t>The initial structure of the gas networks were based on transporting gas directly from production facilities</w:t>
      </w:r>
      <w:r>
        <w:rPr>
          <w:spacing w:val="-3"/>
        </w:rPr>
        <w:t> </w:t>
      </w:r>
      <w:r>
        <w:rPr/>
        <w:t>located</w:t>
      </w:r>
      <w:r>
        <w:rPr>
          <w:spacing w:val="-3"/>
        </w:rPr>
        <w:t> </w:t>
      </w:r>
      <w:r>
        <w:rPr/>
        <w:t>in</w:t>
      </w:r>
      <w:r>
        <w:rPr>
          <w:spacing w:val="-5"/>
        </w:rPr>
        <w:t> </w:t>
      </w:r>
      <w:r>
        <w:rPr/>
        <w:t>Gippsland</w:t>
      </w:r>
      <w:r>
        <w:rPr>
          <w:spacing w:val="-3"/>
        </w:rPr>
        <w:t> </w:t>
      </w:r>
      <w:r>
        <w:rPr/>
        <w:t>to</w:t>
      </w:r>
      <w:r>
        <w:rPr>
          <w:spacing w:val="-3"/>
        </w:rPr>
        <w:t> </w:t>
      </w:r>
      <w:r>
        <w:rPr/>
        <w:t>Victorian</w:t>
      </w:r>
      <w:r>
        <w:rPr>
          <w:spacing w:val="-3"/>
        </w:rPr>
        <w:t> </w:t>
      </w:r>
      <w:r>
        <w:rPr/>
        <w:t>based</w:t>
      </w:r>
      <w:r>
        <w:rPr>
          <w:spacing w:val="-5"/>
        </w:rPr>
        <w:t> </w:t>
      </w:r>
      <w:r>
        <w:rPr/>
        <w:t>consumers</w:t>
      </w:r>
      <w:r>
        <w:rPr>
          <w:spacing w:val="-5"/>
        </w:rPr>
        <w:t> </w:t>
      </w:r>
      <w:r>
        <w:rPr/>
        <w:t>via</w:t>
      </w:r>
      <w:r>
        <w:rPr>
          <w:spacing w:val="-3"/>
        </w:rPr>
        <w:t> </w:t>
      </w:r>
      <w:r>
        <w:rPr/>
        <w:t>continuous</w:t>
      </w:r>
      <w:r>
        <w:rPr>
          <w:spacing w:val="-5"/>
        </w:rPr>
        <w:t> </w:t>
      </w:r>
      <w:r>
        <w:rPr/>
        <w:t>pipelines.</w:t>
      </w:r>
      <w:r>
        <w:rPr>
          <w:spacing w:val="-1"/>
        </w:rPr>
        <w:t> </w:t>
      </w:r>
      <w:r>
        <w:rPr/>
        <w:t>However,</w:t>
      </w:r>
      <w:r>
        <w:rPr>
          <w:spacing w:val="-1"/>
        </w:rPr>
        <w:t> </w:t>
      </w:r>
      <w:r>
        <w:rPr/>
        <w:t>the increase in connectivity through fixed pipelines, two-way flow of gas between states and the deployment of embedded gas networks, can have impacts on the network for which the safety framework must be able to accommodate.</w:t>
      </w:r>
    </w:p>
    <w:p>
      <w:pPr>
        <w:pStyle w:val="BodyText"/>
        <w:rPr>
          <w:sz w:val="21"/>
        </w:rPr>
      </w:pPr>
    </w:p>
    <w:p>
      <w:pPr>
        <w:pStyle w:val="BodyText"/>
        <w:spacing w:line="288" w:lineRule="auto"/>
        <w:ind w:left="232" w:right="408"/>
      </w:pPr>
      <w:r>
        <w:rPr/>
        <w:t>The</w:t>
      </w:r>
      <w:r>
        <w:rPr>
          <w:spacing w:val="-3"/>
        </w:rPr>
        <w:t> </w:t>
      </w:r>
      <w:r>
        <w:rPr/>
        <w:t>regulatory</w:t>
      </w:r>
      <w:r>
        <w:rPr>
          <w:spacing w:val="-5"/>
        </w:rPr>
        <w:t> </w:t>
      </w:r>
      <w:r>
        <w:rPr/>
        <w:t>framework must</w:t>
      </w:r>
      <w:r>
        <w:rPr>
          <w:spacing w:val="-2"/>
        </w:rPr>
        <w:t> </w:t>
      </w:r>
      <w:r>
        <w:rPr/>
        <w:t>be</w:t>
      </w:r>
      <w:r>
        <w:rPr>
          <w:spacing w:val="-1"/>
        </w:rPr>
        <w:t> </w:t>
      </w:r>
      <w:r>
        <w:rPr/>
        <w:t>able</w:t>
      </w:r>
      <w:r>
        <w:rPr>
          <w:spacing w:val="-3"/>
        </w:rPr>
        <w:t> </w:t>
      </w:r>
      <w:r>
        <w:rPr/>
        <w:t>to</w:t>
      </w:r>
      <w:r>
        <w:rPr>
          <w:spacing w:val="-1"/>
        </w:rPr>
        <w:t> </w:t>
      </w:r>
      <w:r>
        <w:rPr/>
        <w:t>adapt</w:t>
      </w:r>
      <w:r>
        <w:rPr>
          <w:spacing w:val="-2"/>
        </w:rPr>
        <w:t> </w:t>
      </w:r>
      <w:r>
        <w:rPr/>
        <w:t>to</w:t>
      </w:r>
      <w:r>
        <w:rPr>
          <w:spacing w:val="-1"/>
        </w:rPr>
        <w:t> </w:t>
      </w:r>
      <w:r>
        <w:rPr/>
        <w:t>changes</w:t>
      </w:r>
      <w:r>
        <w:rPr>
          <w:spacing w:val="-1"/>
        </w:rPr>
        <w:t> </w:t>
      </w:r>
      <w:r>
        <w:rPr/>
        <w:t>in</w:t>
      </w:r>
      <w:r>
        <w:rPr>
          <w:spacing w:val="-3"/>
        </w:rPr>
        <w:t> </w:t>
      </w:r>
      <w:r>
        <w:rPr/>
        <w:t>the mix</w:t>
      </w:r>
      <w:r>
        <w:rPr>
          <w:spacing w:val="-3"/>
        </w:rPr>
        <w:t> </w:t>
      </w:r>
      <w:r>
        <w:rPr/>
        <w:t>and</w:t>
      </w:r>
      <w:r>
        <w:rPr>
          <w:spacing w:val="-3"/>
        </w:rPr>
        <w:t> </w:t>
      </w:r>
      <w:r>
        <w:rPr/>
        <w:t>type</w:t>
      </w:r>
      <w:r>
        <w:rPr>
          <w:spacing w:val="-1"/>
        </w:rPr>
        <w:t> </w:t>
      </w:r>
      <w:r>
        <w:rPr/>
        <w:t>of</w:t>
      </w:r>
      <w:r>
        <w:rPr>
          <w:spacing w:val="-2"/>
        </w:rPr>
        <w:t> </w:t>
      </w:r>
      <w:r>
        <w:rPr/>
        <w:t>gas</w:t>
      </w:r>
      <w:r>
        <w:rPr>
          <w:spacing w:val="-3"/>
        </w:rPr>
        <w:t> </w:t>
      </w:r>
      <w:r>
        <w:rPr/>
        <w:t>supplied and the way gas products are delivered to consumers.</w:t>
      </w:r>
    </w:p>
    <w:p>
      <w:pPr>
        <w:pStyle w:val="BodyText"/>
        <w:spacing w:before="10"/>
        <w:rPr>
          <w:sz w:val="20"/>
        </w:rPr>
      </w:pPr>
    </w:p>
    <w:p>
      <w:pPr>
        <w:pStyle w:val="BodyText"/>
        <w:spacing w:line="288" w:lineRule="auto"/>
        <w:ind w:left="232"/>
      </w:pPr>
      <w:r>
        <w:rPr/>
        <w:t>Among</w:t>
      </w:r>
      <w:r>
        <w:rPr>
          <w:spacing w:val="-1"/>
        </w:rPr>
        <w:t> </w:t>
      </w:r>
      <w:r>
        <w:rPr/>
        <w:t>other</w:t>
      </w:r>
      <w:r>
        <w:rPr>
          <w:spacing w:val="-4"/>
        </w:rPr>
        <w:t> </w:t>
      </w:r>
      <w:r>
        <w:rPr/>
        <w:t>things,</w:t>
      </w:r>
      <w:r>
        <w:rPr>
          <w:spacing w:val="-4"/>
        </w:rPr>
        <w:t> </w:t>
      </w:r>
      <w:r>
        <w:rPr/>
        <w:t>the</w:t>
      </w:r>
      <w:r>
        <w:rPr>
          <w:spacing w:val="-5"/>
        </w:rPr>
        <w:t> </w:t>
      </w:r>
      <w:r>
        <w:rPr/>
        <w:t>Regional</w:t>
      </w:r>
      <w:r>
        <w:rPr>
          <w:spacing w:val="-4"/>
        </w:rPr>
        <w:t> </w:t>
      </w:r>
      <w:r>
        <w:rPr/>
        <w:t>Gas</w:t>
      </w:r>
      <w:r>
        <w:rPr>
          <w:spacing w:val="-5"/>
        </w:rPr>
        <w:t> </w:t>
      </w:r>
      <w:r>
        <w:rPr/>
        <w:t>Infrastructure</w:t>
      </w:r>
      <w:r>
        <w:rPr>
          <w:spacing w:val="-2"/>
        </w:rPr>
        <w:t> </w:t>
      </w:r>
      <w:r>
        <w:rPr/>
        <w:t>Program</w:t>
      </w:r>
      <w:r>
        <w:rPr>
          <w:spacing w:val="-2"/>
        </w:rPr>
        <w:t> </w:t>
      </w:r>
      <w:r>
        <w:rPr/>
        <w:t>will</w:t>
      </w:r>
      <w:r>
        <w:rPr>
          <w:spacing w:val="-3"/>
        </w:rPr>
        <w:t> </w:t>
      </w:r>
      <w:r>
        <w:rPr/>
        <w:t>supply</w:t>
      </w:r>
      <w:r>
        <w:rPr>
          <w:spacing w:val="-5"/>
        </w:rPr>
        <w:t> </w:t>
      </w:r>
      <w:r>
        <w:rPr/>
        <w:t>reticulated</w:t>
      </w:r>
      <w:r>
        <w:rPr>
          <w:spacing w:val="-3"/>
        </w:rPr>
        <w:t> </w:t>
      </w:r>
      <w:r>
        <w:rPr/>
        <w:t>natural</w:t>
      </w:r>
      <w:r>
        <w:rPr>
          <w:spacing w:val="-5"/>
        </w:rPr>
        <w:t> </w:t>
      </w:r>
      <w:r>
        <w:rPr/>
        <w:t>gas</w:t>
      </w:r>
      <w:r>
        <w:rPr>
          <w:spacing w:val="-5"/>
        </w:rPr>
        <w:t> </w:t>
      </w:r>
      <w:r>
        <w:rPr/>
        <w:t>to eleven regional towns in Victoria via a compressed natural gas delivery system, which involves compressing natural gas in compressor stations in regional and metro locations, trucking the compressed gas to the outskirts of each town where the gas is stored, depressurised and in turn reticulated via pipes to homes and businesses within each town (Regional Development Victoria, </w:t>
      </w:r>
      <w:r>
        <w:rPr>
          <w:spacing w:val="-2"/>
        </w:rPr>
        <w:t>2017).</w:t>
      </w:r>
    </w:p>
    <w:p>
      <w:pPr>
        <w:pStyle w:val="BodyText"/>
        <w:spacing w:before="10"/>
        <w:rPr>
          <w:sz w:val="20"/>
        </w:rPr>
      </w:pPr>
    </w:p>
    <w:p>
      <w:pPr>
        <w:pStyle w:val="BodyText"/>
        <w:spacing w:line="288" w:lineRule="auto" w:before="1"/>
        <w:ind w:left="232"/>
      </w:pPr>
      <w:r>
        <w:rPr/>
        <w:t>Australian</w:t>
      </w:r>
      <w:r>
        <w:rPr>
          <w:spacing w:val="-4"/>
        </w:rPr>
        <w:t> </w:t>
      </w:r>
      <w:r>
        <w:rPr/>
        <w:t>Gas</w:t>
      </w:r>
      <w:r>
        <w:rPr>
          <w:spacing w:val="-2"/>
        </w:rPr>
        <w:t> </w:t>
      </w:r>
      <w:r>
        <w:rPr/>
        <w:t>Networks</w:t>
      </w:r>
      <w:r>
        <w:rPr>
          <w:spacing w:val="-4"/>
        </w:rPr>
        <w:t> </w:t>
      </w:r>
      <w:r>
        <w:rPr/>
        <w:t>in</w:t>
      </w:r>
      <w:r>
        <w:rPr>
          <w:spacing w:val="-2"/>
        </w:rPr>
        <w:t> </w:t>
      </w:r>
      <w:r>
        <w:rPr/>
        <w:t>its</w:t>
      </w:r>
      <w:r>
        <w:rPr>
          <w:spacing w:val="-3"/>
        </w:rPr>
        <w:t> </w:t>
      </w:r>
      <w:r>
        <w:rPr/>
        <w:t>submission</w:t>
      </w:r>
      <w:r>
        <w:rPr>
          <w:spacing w:val="-4"/>
        </w:rPr>
        <w:t> </w:t>
      </w:r>
      <w:r>
        <w:rPr/>
        <w:t>to</w:t>
      </w:r>
      <w:r>
        <w:rPr>
          <w:spacing w:val="-4"/>
        </w:rPr>
        <w:t> </w:t>
      </w:r>
      <w:r>
        <w:rPr/>
        <w:t>the</w:t>
      </w:r>
      <w:r>
        <w:rPr>
          <w:spacing w:val="-7"/>
        </w:rPr>
        <w:t> </w:t>
      </w:r>
      <w:r>
        <w:rPr/>
        <w:t>Review, has</w:t>
      </w:r>
      <w:r>
        <w:rPr>
          <w:spacing w:val="-1"/>
        </w:rPr>
        <w:t> </w:t>
      </w:r>
      <w:r>
        <w:rPr/>
        <w:t>identified</w:t>
      </w:r>
      <w:r>
        <w:rPr>
          <w:spacing w:val="-2"/>
        </w:rPr>
        <w:t> </w:t>
      </w:r>
      <w:r>
        <w:rPr/>
        <w:t>the</w:t>
      </w:r>
      <w:r>
        <w:rPr>
          <w:spacing w:val="-2"/>
        </w:rPr>
        <w:t> </w:t>
      </w:r>
      <w:r>
        <w:rPr/>
        <w:t>need</w:t>
      </w:r>
      <w:r>
        <w:rPr>
          <w:spacing w:val="-4"/>
        </w:rPr>
        <w:t> </w:t>
      </w:r>
      <w:r>
        <w:rPr/>
        <w:t>for</w:t>
      </w:r>
      <w:r>
        <w:rPr>
          <w:spacing w:val="-3"/>
        </w:rPr>
        <w:t> </w:t>
      </w:r>
      <w:r>
        <w:rPr/>
        <w:t>the</w:t>
      </w:r>
      <w:r>
        <w:rPr>
          <w:spacing w:val="-4"/>
        </w:rPr>
        <w:t> </w:t>
      </w:r>
      <w:r>
        <w:rPr/>
        <w:t>safety framework to adapt to the change in the way energy products are delivered:</w:t>
      </w:r>
    </w:p>
    <w:p>
      <w:pPr>
        <w:pStyle w:val="BodyText"/>
        <w:spacing w:before="9"/>
        <w:rPr>
          <w:sz w:val="20"/>
        </w:rPr>
      </w:pPr>
    </w:p>
    <w:p>
      <w:pPr>
        <w:spacing w:line="288" w:lineRule="auto" w:before="1"/>
        <w:ind w:left="799" w:right="889" w:firstLine="0"/>
        <w:jc w:val="both"/>
        <w:rPr>
          <w:i/>
          <w:sz w:val="22"/>
        </w:rPr>
      </w:pPr>
      <w:r>
        <w:rPr>
          <w:i/>
          <w:sz w:val="22"/>
        </w:rPr>
        <w:t>“An</w:t>
      </w:r>
      <w:r>
        <w:rPr>
          <w:i/>
          <w:spacing w:val="-2"/>
          <w:sz w:val="22"/>
        </w:rPr>
        <w:t> </w:t>
      </w:r>
      <w:r>
        <w:rPr>
          <w:i/>
          <w:sz w:val="22"/>
        </w:rPr>
        <w:t>emerging</w:t>
      </w:r>
      <w:r>
        <w:rPr>
          <w:i/>
          <w:spacing w:val="-4"/>
          <w:sz w:val="22"/>
        </w:rPr>
        <w:t> </w:t>
      </w:r>
      <w:r>
        <w:rPr>
          <w:i/>
          <w:sz w:val="22"/>
        </w:rPr>
        <w:t>trend</w:t>
      </w:r>
      <w:r>
        <w:rPr>
          <w:i/>
          <w:spacing w:val="-4"/>
          <w:sz w:val="22"/>
        </w:rPr>
        <w:t> </w:t>
      </w:r>
      <w:r>
        <w:rPr>
          <w:i/>
          <w:sz w:val="22"/>
        </w:rPr>
        <w:t>that</w:t>
      </w:r>
      <w:r>
        <w:rPr>
          <w:i/>
          <w:spacing w:val="-3"/>
          <w:sz w:val="22"/>
        </w:rPr>
        <w:t> </w:t>
      </w:r>
      <w:r>
        <w:rPr>
          <w:i/>
          <w:sz w:val="22"/>
        </w:rPr>
        <w:t>the regulatory</w:t>
      </w:r>
      <w:r>
        <w:rPr>
          <w:i/>
          <w:spacing w:val="-4"/>
          <w:sz w:val="22"/>
        </w:rPr>
        <w:t> </w:t>
      </w:r>
      <w:r>
        <w:rPr>
          <w:i/>
          <w:sz w:val="22"/>
        </w:rPr>
        <w:t>framework</w:t>
      </w:r>
      <w:r>
        <w:rPr>
          <w:i/>
          <w:spacing w:val="-4"/>
          <w:sz w:val="22"/>
        </w:rPr>
        <w:t> </w:t>
      </w:r>
      <w:r>
        <w:rPr>
          <w:i/>
          <w:sz w:val="22"/>
        </w:rPr>
        <w:t>may</w:t>
      </w:r>
      <w:r>
        <w:rPr>
          <w:i/>
          <w:spacing w:val="-2"/>
          <w:sz w:val="22"/>
        </w:rPr>
        <w:t> </w:t>
      </w:r>
      <w:r>
        <w:rPr>
          <w:i/>
          <w:sz w:val="22"/>
        </w:rPr>
        <w:t>need</w:t>
      </w:r>
      <w:r>
        <w:rPr>
          <w:i/>
          <w:spacing w:val="-5"/>
          <w:sz w:val="22"/>
        </w:rPr>
        <w:t> </w:t>
      </w:r>
      <w:r>
        <w:rPr>
          <w:i/>
          <w:sz w:val="22"/>
        </w:rPr>
        <w:t>to</w:t>
      </w:r>
      <w:r>
        <w:rPr>
          <w:i/>
          <w:spacing w:val="-4"/>
          <w:sz w:val="22"/>
        </w:rPr>
        <w:t> </w:t>
      </w:r>
      <w:r>
        <w:rPr>
          <w:i/>
          <w:sz w:val="22"/>
        </w:rPr>
        <w:t>consider</w:t>
      </w:r>
      <w:r>
        <w:rPr>
          <w:i/>
          <w:spacing w:val="-1"/>
          <w:sz w:val="22"/>
        </w:rPr>
        <w:t> </w:t>
      </w:r>
      <w:r>
        <w:rPr>
          <w:i/>
          <w:sz w:val="22"/>
        </w:rPr>
        <w:t>are</w:t>
      </w:r>
      <w:r>
        <w:rPr>
          <w:i/>
          <w:spacing w:val="-2"/>
          <w:sz w:val="22"/>
        </w:rPr>
        <w:t> </w:t>
      </w:r>
      <w:r>
        <w:rPr>
          <w:i/>
          <w:sz w:val="22"/>
        </w:rPr>
        <w:t>changes</w:t>
      </w:r>
      <w:r>
        <w:rPr>
          <w:i/>
          <w:spacing w:val="-2"/>
          <w:sz w:val="22"/>
        </w:rPr>
        <w:t> </w:t>
      </w:r>
      <w:r>
        <w:rPr>
          <w:i/>
          <w:sz w:val="22"/>
        </w:rPr>
        <w:t>in the way energy products are delivered to consumer groups, for example larger</w:t>
      </w:r>
    </w:p>
    <w:p>
      <w:pPr>
        <w:spacing w:after="0" w:line="288" w:lineRule="auto"/>
        <w:jc w:val="both"/>
        <w:rPr>
          <w:sz w:val="22"/>
        </w:rPr>
        <w:sectPr>
          <w:pgSz w:w="11910" w:h="16850"/>
          <w:pgMar w:header="220" w:footer="678" w:top="420" w:bottom="860" w:left="900" w:right="840"/>
        </w:sectPr>
      </w:pPr>
    </w:p>
    <w:p>
      <w:pPr>
        <w:pStyle w:val="BodyText"/>
        <w:rPr>
          <w:i/>
          <w:sz w:val="20"/>
        </w:rPr>
      </w:pPr>
    </w:p>
    <w:p>
      <w:pPr>
        <w:pStyle w:val="BodyText"/>
        <w:spacing w:before="2"/>
        <w:rPr>
          <w:i/>
          <w:sz w:val="19"/>
        </w:rPr>
      </w:pPr>
    </w:p>
    <w:p>
      <w:pPr>
        <w:spacing w:line="288" w:lineRule="auto" w:before="94"/>
        <w:ind w:left="799" w:right="951" w:firstLine="0"/>
        <w:jc w:val="left"/>
        <w:rPr>
          <w:sz w:val="22"/>
        </w:rPr>
      </w:pPr>
      <w:r>
        <w:rPr>
          <w:i/>
          <w:sz w:val="22"/>
        </w:rPr>
        <w:t>embedded</w:t>
      </w:r>
      <w:r>
        <w:rPr>
          <w:i/>
          <w:spacing w:val="-2"/>
          <w:sz w:val="22"/>
        </w:rPr>
        <w:t> </w:t>
      </w:r>
      <w:r>
        <w:rPr>
          <w:i/>
          <w:sz w:val="22"/>
        </w:rPr>
        <w:t>networks</w:t>
      </w:r>
      <w:r>
        <w:rPr>
          <w:i/>
          <w:spacing w:val="-3"/>
          <w:sz w:val="22"/>
        </w:rPr>
        <w:t> </w:t>
      </w:r>
      <w:r>
        <w:rPr>
          <w:i/>
          <w:sz w:val="22"/>
        </w:rPr>
        <w:t>and</w:t>
      </w:r>
      <w:r>
        <w:rPr>
          <w:i/>
          <w:spacing w:val="-4"/>
          <w:sz w:val="22"/>
        </w:rPr>
        <w:t> </w:t>
      </w:r>
      <w:r>
        <w:rPr>
          <w:i/>
          <w:sz w:val="22"/>
        </w:rPr>
        <w:t>associated</w:t>
      </w:r>
      <w:r>
        <w:rPr>
          <w:i/>
          <w:spacing w:val="-4"/>
          <w:sz w:val="22"/>
        </w:rPr>
        <w:t> </w:t>
      </w:r>
      <w:r>
        <w:rPr>
          <w:i/>
          <w:sz w:val="22"/>
        </w:rPr>
        <w:t>participants</w:t>
      </w:r>
      <w:r>
        <w:rPr>
          <w:i/>
          <w:spacing w:val="-5"/>
          <w:sz w:val="22"/>
        </w:rPr>
        <w:t> </w:t>
      </w:r>
      <w:r>
        <w:rPr>
          <w:i/>
          <w:sz w:val="22"/>
        </w:rPr>
        <w:t>offering</w:t>
      </w:r>
      <w:r>
        <w:rPr>
          <w:i/>
          <w:spacing w:val="-2"/>
          <w:sz w:val="22"/>
        </w:rPr>
        <w:t> </w:t>
      </w:r>
      <w:r>
        <w:rPr>
          <w:i/>
          <w:sz w:val="22"/>
        </w:rPr>
        <w:t>a</w:t>
      </w:r>
      <w:r>
        <w:rPr>
          <w:i/>
          <w:spacing w:val="-2"/>
          <w:sz w:val="22"/>
        </w:rPr>
        <w:t> </w:t>
      </w:r>
      <w:r>
        <w:rPr>
          <w:i/>
          <w:sz w:val="22"/>
        </w:rPr>
        <w:t>new</w:t>
      </w:r>
      <w:r>
        <w:rPr>
          <w:i/>
          <w:spacing w:val="-2"/>
          <w:sz w:val="22"/>
        </w:rPr>
        <w:t> </w:t>
      </w:r>
      <w:r>
        <w:rPr>
          <w:i/>
          <w:sz w:val="22"/>
        </w:rPr>
        <w:t>range</w:t>
      </w:r>
      <w:r>
        <w:rPr>
          <w:i/>
          <w:spacing w:val="-4"/>
          <w:sz w:val="22"/>
        </w:rPr>
        <w:t> </w:t>
      </w:r>
      <w:r>
        <w:rPr>
          <w:i/>
          <w:sz w:val="22"/>
        </w:rPr>
        <w:t>of</w:t>
      </w:r>
      <w:r>
        <w:rPr>
          <w:i/>
          <w:spacing w:val="-3"/>
          <w:sz w:val="22"/>
        </w:rPr>
        <w:t> </w:t>
      </w:r>
      <w:r>
        <w:rPr>
          <w:i/>
          <w:sz w:val="22"/>
        </w:rPr>
        <w:t>services</w:t>
      </w:r>
      <w:r>
        <w:rPr>
          <w:i/>
          <w:spacing w:val="-4"/>
          <w:sz w:val="22"/>
        </w:rPr>
        <w:t> </w:t>
      </w:r>
      <w:r>
        <w:rPr>
          <w:i/>
          <w:sz w:val="22"/>
        </w:rPr>
        <w:t>for such networks.” </w:t>
      </w:r>
      <w:r>
        <w:rPr>
          <w:sz w:val="22"/>
        </w:rPr>
        <w:t>(Australian Gas Networks, 2017, p. 6)</w:t>
      </w:r>
    </w:p>
    <w:p>
      <w:pPr>
        <w:pStyle w:val="BodyText"/>
        <w:spacing w:before="10"/>
        <w:rPr>
          <w:sz w:val="20"/>
        </w:rPr>
      </w:pPr>
    </w:p>
    <w:p>
      <w:pPr>
        <w:pStyle w:val="BodyText"/>
        <w:spacing w:before="1"/>
        <w:ind w:left="232"/>
      </w:pPr>
      <w:r>
        <w:rPr/>
        <w:t>AusNet</w:t>
      </w:r>
      <w:r>
        <w:rPr>
          <w:spacing w:val="-4"/>
        </w:rPr>
        <w:t> </w:t>
      </w:r>
      <w:r>
        <w:rPr/>
        <w:t>Services</w:t>
      </w:r>
      <w:r>
        <w:rPr>
          <w:spacing w:val="-5"/>
        </w:rPr>
        <w:t> </w:t>
      </w:r>
      <w:r>
        <w:rPr/>
        <w:t>has</w:t>
      </w:r>
      <w:r>
        <w:rPr>
          <w:spacing w:val="-7"/>
        </w:rPr>
        <w:t> </w:t>
      </w:r>
      <w:r>
        <w:rPr/>
        <w:t>noted</w:t>
      </w:r>
      <w:r>
        <w:rPr>
          <w:spacing w:val="-5"/>
        </w:rPr>
        <w:t> </w:t>
      </w:r>
      <w:r>
        <w:rPr/>
        <w:t>that</w:t>
      </w:r>
      <w:r>
        <w:rPr>
          <w:spacing w:val="-3"/>
        </w:rPr>
        <w:t> </w:t>
      </w:r>
      <w:r>
        <w:rPr/>
        <w:t>businesses</w:t>
      </w:r>
      <w:r>
        <w:rPr>
          <w:spacing w:val="-4"/>
        </w:rPr>
        <w:t> </w:t>
      </w:r>
      <w:r>
        <w:rPr/>
        <w:t>are</w:t>
      </w:r>
      <w:r>
        <w:rPr>
          <w:spacing w:val="-4"/>
        </w:rPr>
        <w:t> </w:t>
      </w:r>
      <w:r>
        <w:rPr/>
        <w:t>already</w:t>
      </w:r>
      <w:r>
        <w:rPr>
          <w:spacing w:val="-7"/>
        </w:rPr>
        <w:t> </w:t>
      </w:r>
      <w:r>
        <w:rPr/>
        <w:t>acting</w:t>
      </w:r>
      <w:r>
        <w:rPr>
          <w:spacing w:val="-3"/>
        </w:rPr>
        <w:t> </w:t>
      </w:r>
      <w:r>
        <w:rPr/>
        <w:t>in</w:t>
      </w:r>
      <w:r>
        <w:rPr>
          <w:spacing w:val="-7"/>
        </w:rPr>
        <w:t> </w:t>
      </w:r>
      <w:r>
        <w:rPr/>
        <w:t>this</w:t>
      </w:r>
      <w:r>
        <w:rPr>
          <w:spacing w:val="-3"/>
        </w:rPr>
        <w:t> </w:t>
      </w:r>
      <w:r>
        <w:rPr>
          <w:spacing w:val="-2"/>
        </w:rPr>
        <w:t>space:</w:t>
      </w:r>
    </w:p>
    <w:p>
      <w:pPr>
        <w:pStyle w:val="BodyText"/>
        <w:spacing w:before="1"/>
        <w:rPr>
          <w:sz w:val="25"/>
        </w:rPr>
      </w:pPr>
    </w:p>
    <w:p>
      <w:pPr>
        <w:spacing w:line="288" w:lineRule="auto" w:before="0"/>
        <w:ind w:left="799" w:right="1191" w:firstLine="0"/>
        <w:jc w:val="left"/>
        <w:rPr>
          <w:sz w:val="22"/>
        </w:rPr>
      </w:pPr>
      <w:r>
        <w:rPr>
          <w:i/>
          <w:sz w:val="22"/>
        </w:rPr>
        <w:t>“As governments move toward fulfilling their global carbon emissions reduction obligations</w:t>
      </w:r>
      <w:r>
        <w:rPr>
          <w:i/>
          <w:spacing w:val="-2"/>
          <w:sz w:val="22"/>
        </w:rPr>
        <w:t> </w:t>
      </w:r>
      <w:r>
        <w:rPr>
          <w:i/>
          <w:sz w:val="22"/>
        </w:rPr>
        <w:t>and</w:t>
      </w:r>
      <w:r>
        <w:rPr>
          <w:i/>
          <w:spacing w:val="-3"/>
          <w:sz w:val="22"/>
        </w:rPr>
        <w:t> </w:t>
      </w:r>
      <w:r>
        <w:rPr>
          <w:i/>
          <w:sz w:val="22"/>
        </w:rPr>
        <w:t>consumer</w:t>
      </w:r>
      <w:r>
        <w:rPr>
          <w:i/>
          <w:spacing w:val="-2"/>
          <w:sz w:val="22"/>
        </w:rPr>
        <w:t> </w:t>
      </w:r>
      <w:r>
        <w:rPr>
          <w:i/>
          <w:sz w:val="22"/>
        </w:rPr>
        <w:t>demand</w:t>
      </w:r>
      <w:r>
        <w:rPr>
          <w:i/>
          <w:spacing w:val="-3"/>
          <w:sz w:val="22"/>
        </w:rPr>
        <w:t> </w:t>
      </w:r>
      <w:r>
        <w:rPr>
          <w:i/>
          <w:sz w:val="22"/>
        </w:rPr>
        <w:t>habits</w:t>
      </w:r>
      <w:r>
        <w:rPr>
          <w:i/>
          <w:spacing w:val="-2"/>
          <w:sz w:val="22"/>
        </w:rPr>
        <w:t> </w:t>
      </w:r>
      <w:r>
        <w:rPr>
          <w:i/>
          <w:sz w:val="22"/>
        </w:rPr>
        <w:t>evolve,</w:t>
      </w:r>
      <w:r>
        <w:rPr>
          <w:i/>
          <w:spacing w:val="-4"/>
          <w:sz w:val="22"/>
        </w:rPr>
        <w:t> </w:t>
      </w:r>
      <w:r>
        <w:rPr>
          <w:i/>
          <w:sz w:val="22"/>
        </w:rPr>
        <w:t>gas</w:t>
      </w:r>
      <w:r>
        <w:rPr>
          <w:i/>
          <w:spacing w:val="-2"/>
          <w:sz w:val="22"/>
        </w:rPr>
        <w:t> </w:t>
      </w:r>
      <w:r>
        <w:rPr>
          <w:i/>
          <w:sz w:val="22"/>
        </w:rPr>
        <w:t>networks</w:t>
      </w:r>
      <w:r>
        <w:rPr>
          <w:i/>
          <w:spacing w:val="-5"/>
          <w:sz w:val="22"/>
        </w:rPr>
        <w:t> </w:t>
      </w:r>
      <w:r>
        <w:rPr>
          <w:i/>
          <w:sz w:val="22"/>
        </w:rPr>
        <w:t>will</w:t>
      </w:r>
      <w:r>
        <w:rPr>
          <w:i/>
          <w:spacing w:val="-3"/>
          <w:sz w:val="22"/>
        </w:rPr>
        <w:t> </w:t>
      </w:r>
      <w:r>
        <w:rPr>
          <w:i/>
          <w:sz w:val="22"/>
        </w:rPr>
        <w:t>look</w:t>
      </w:r>
      <w:r>
        <w:rPr>
          <w:i/>
          <w:spacing w:val="-5"/>
          <w:sz w:val="22"/>
        </w:rPr>
        <w:t> </w:t>
      </w:r>
      <w:r>
        <w:rPr>
          <w:i/>
          <w:sz w:val="22"/>
        </w:rPr>
        <w:t>to</w:t>
      </w:r>
      <w:r>
        <w:rPr>
          <w:i/>
          <w:spacing w:val="-5"/>
          <w:sz w:val="22"/>
        </w:rPr>
        <w:t> </w:t>
      </w:r>
      <w:r>
        <w:rPr>
          <w:i/>
          <w:sz w:val="22"/>
        </w:rPr>
        <w:t>innovate and adapt; some gas distribution businesses are already in this space.” </w:t>
      </w:r>
      <w:r>
        <w:rPr>
          <w:sz w:val="22"/>
        </w:rPr>
        <w:t>(AusNet Services, 2017b, p. 5)</w:t>
      </w:r>
    </w:p>
    <w:p>
      <w:pPr>
        <w:pStyle w:val="BodyText"/>
        <w:spacing w:before="10"/>
        <w:rPr>
          <w:sz w:val="20"/>
        </w:rPr>
      </w:pPr>
    </w:p>
    <w:p>
      <w:pPr>
        <w:pStyle w:val="BodyText"/>
        <w:spacing w:line="288" w:lineRule="auto" w:before="1"/>
        <w:ind w:left="232" w:right="325"/>
      </w:pPr>
      <w:r>
        <w:rPr/>
        <w:t>In the future, gas suppliers may incorporate new technologies such as the blending of renewable gases including bio-methane and hydrogen with natural gas into the existing natural gas</w:t>
      </w:r>
      <w:r>
        <w:rPr/>
        <w:t> distribution network. Existing gas infrastructure can tolerate a percentage of hydrogen content without</w:t>
      </w:r>
      <w:r>
        <w:rPr>
          <w:spacing w:val="-4"/>
        </w:rPr>
        <w:t> </w:t>
      </w:r>
      <w:r>
        <w:rPr/>
        <w:t>requiring</w:t>
      </w:r>
      <w:r>
        <w:rPr>
          <w:spacing w:val="-3"/>
        </w:rPr>
        <w:t> </w:t>
      </w:r>
      <w:r>
        <w:rPr/>
        <w:t>pipeline</w:t>
      </w:r>
      <w:r>
        <w:rPr>
          <w:spacing w:val="-3"/>
        </w:rPr>
        <w:t> </w:t>
      </w:r>
      <w:r>
        <w:rPr/>
        <w:t>upgrades,</w:t>
      </w:r>
      <w:r>
        <w:rPr>
          <w:spacing w:val="-4"/>
        </w:rPr>
        <w:t> </w:t>
      </w:r>
      <w:r>
        <w:rPr/>
        <w:t>therefore</w:t>
      </w:r>
      <w:r>
        <w:rPr>
          <w:spacing w:val="-5"/>
        </w:rPr>
        <w:t> </w:t>
      </w:r>
      <w:r>
        <w:rPr/>
        <w:t>small amounts</w:t>
      </w:r>
      <w:r>
        <w:rPr>
          <w:spacing w:val="-4"/>
        </w:rPr>
        <w:t> </w:t>
      </w:r>
      <w:r>
        <w:rPr/>
        <w:t>of</w:t>
      </w:r>
      <w:r>
        <w:rPr>
          <w:spacing w:val="-1"/>
        </w:rPr>
        <w:t> </w:t>
      </w:r>
      <w:r>
        <w:rPr/>
        <w:t>hydrogen</w:t>
      </w:r>
      <w:r>
        <w:rPr>
          <w:spacing w:val="-5"/>
        </w:rPr>
        <w:t> </w:t>
      </w:r>
      <w:r>
        <w:rPr/>
        <w:t>could</w:t>
      </w:r>
      <w:r>
        <w:rPr>
          <w:spacing w:val="-3"/>
        </w:rPr>
        <w:t> </w:t>
      </w:r>
      <w:r>
        <w:rPr/>
        <w:t>be</w:t>
      </w:r>
      <w:r>
        <w:rPr>
          <w:spacing w:val="-3"/>
        </w:rPr>
        <w:t> </w:t>
      </w:r>
      <w:r>
        <w:rPr/>
        <w:t>injected</w:t>
      </w:r>
      <w:r>
        <w:rPr>
          <w:spacing w:val="-3"/>
        </w:rPr>
        <w:t> </w:t>
      </w:r>
      <w:r>
        <w:rPr/>
        <w:t>into</w:t>
      </w:r>
      <w:r>
        <w:rPr>
          <w:spacing w:val="-5"/>
        </w:rPr>
        <w:t> </w:t>
      </w:r>
      <w:r>
        <w:rPr/>
        <w:t>the natural gas distribution network (Finkel, 2017).</w:t>
      </w:r>
    </w:p>
    <w:p>
      <w:pPr>
        <w:pStyle w:val="BodyText"/>
        <w:rPr>
          <w:sz w:val="21"/>
        </w:rPr>
      </w:pPr>
    </w:p>
    <w:p>
      <w:pPr>
        <w:pStyle w:val="BodyText"/>
        <w:spacing w:line="288" w:lineRule="auto"/>
        <w:ind w:left="232" w:right="320"/>
      </w:pPr>
      <w:r>
        <w:rPr/>
        <w:t>ActewAGL, an</w:t>
      </w:r>
      <w:r>
        <w:rPr>
          <w:spacing w:val="-3"/>
        </w:rPr>
        <w:t> </w:t>
      </w:r>
      <w:r>
        <w:rPr/>
        <w:t>electricity</w:t>
      </w:r>
      <w:r>
        <w:rPr>
          <w:spacing w:val="-5"/>
        </w:rPr>
        <w:t> </w:t>
      </w:r>
      <w:r>
        <w:rPr/>
        <w:t>and</w:t>
      </w:r>
      <w:r>
        <w:rPr>
          <w:spacing w:val="-3"/>
        </w:rPr>
        <w:t> </w:t>
      </w:r>
      <w:r>
        <w:rPr/>
        <w:t>gas</w:t>
      </w:r>
      <w:r>
        <w:rPr>
          <w:spacing w:val="-3"/>
        </w:rPr>
        <w:t> </w:t>
      </w:r>
      <w:r>
        <w:rPr/>
        <w:t>retailer</w:t>
      </w:r>
      <w:r>
        <w:rPr>
          <w:spacing w:val="-2"/>
        </w:rPr>
        <w:t> </w:t>
      </w:r>
      <w:r>
        <w:rPr/>
        <w:t>and</w:t>
      </w:r>
      <w:r>
        <w:rPr>
          <w:spacing w:val="-1"/>
        </w:rPr>
        <w:t> </w:t>
      </w:r>
      <w:r>
        <w:rPr/>
        <w:t>distributer based</w:t>
      </w:r>
      <w:r>
        <w:rPr>
          <w:spacing w:val="-3"/>
        </w:rPr>
        <w:t> </w:t>
      </w:r>
      <w:r>
        <w:rPr/>
        <w:t>in</w:t>
      </w:r>
      <w:r>
        <w:rPr>
          <w:spacing w:val="-3"/>
        </w:rPr>
        <w:t> </w:t>
      </w:r>
      <w:r>
        <w:rPr/>
        <w:t>the</w:t>
      </w:r>
      <w:r>
        <w:rPr>
          <w:spacing w:val="-1"/>
        </w:rPr>
        <w:t> </w:t>
      </w:r>
      <w:r>
        <w:rPr/>
        <w:t>Canberra, is working</w:t>
      </w:r>
      <w:r>
        <w:rPr>
          <w:spacing w:val="-1"/>
        </w:rPr>
        <w:t> </w:t>
      </w:r>
      <w:r>
        <w:rPr/>
        <w:t>with</w:t>
      </w:r>
      <w:r>
        <w:rPr>
          <w:spacing w:val="-1"/>
        </w:rPr>
        <w:t> </w:t>
      </w:r>
      <w:r>
        <w:rPr/>
        <w:t>the Australian National University on a research initiative producing hydrogen from renewable energy that can be injected into the Australian Capital Territory gas distribution system (Energy Networks Australia, 2017b).</w:t>
      </w:r>
      <w:r>
        <w:rPr>
          <w:spacing w:val="40"/>
        </w:rPr>
        <w:t> </w:t>
      </w:r>
      <w:r>
        <w:rPr/>
        <w:t>A business case</w:t>
      </w:r>
      <w:r>
        <w:rPr>
          <w:spacing w:val="-2"/>
        </w:rPr>
        <w:t> </w:t>
      </w:r>
      <w:r>
        <w:rPr/>
        <w:t>for</w:t>
      </w:r>
      <w:r>
        <w:rPr>
          <w:spacing w:val="-1"/>
        </w:rPr>
        <w:t> </w:t>
      </w:r>
      <w:r>
        <w:rPr/>
        <w:t>a</w:t>
      </w:r>
      <w:r>
        <w:rPr>
          <w:spacing w:val="-2"/>
        </w:rPr>
        <w:t> </w:t>
      </w:r>
      <w:r>
        <w:rPr/>
        <w:t>pilot scheme is</w:t>
      </w:r>
      <w:r>
        <w:rPr>
          <w:spacing w:val="-2"/>
        </w:rPr>
        <w:t> </w:t>
      </w:r>
      <w:r>
        <w:rPr/>
        <w:t>being developed.</w:t>
      </w:r>
      <w:r>
        <w:rPr>
          <w:spacing w:val="-1"/>
        </w:rPr>
        <w:t> </w:t>
      </w:r>
      <w:r>
        <w:rPr/>
        <w:t>Jemena is</w:t>
      </w:r>
      <w:r>
        <w:rPr>
          <w:spacing w:val="-2"/>
        </w:rPr>
        <w:t> </w:t>
      </w:r>
      <w:r>
        <w:rPr/>
        <w:t>also working on</w:t>
      </w:r>
      <w:r>
        <w:rPr>
          <w:spacing w:val="-1"/>
        </w:rPr>
        <w:t> </w:t>
      </w:r>
      <w:r>
        <w:rPr/>
        <w:t>a</w:t>
      </w:r>
      <w:r>
        <w:rPr>
          <w:spacing w:val="-3"/>
        </w:rPr>
        <w:t> </w:t>
      </w:r>
      <w:r>
        <w:rPr/>
        <w:t>trial</w:t>
      </w:r>
      <w:r>
        <w:rPr>
          <w:spacing w:val="-2"/>
        </w:rPr>
        <w:t> </w:t>
      </w:r>
      <w:r>
        <w:rPr/>
        <w:t>to</w:t>
      </w:r>
      <w:r>
        <w:rPr>
          <w:spacing w:val="-3"/>
        </w:rPr>
        <w:t> </w:t>
      </w:r>
      <w:r>
        <w:rPr/>
        <w:t>demonstrate</w:t>
      </w:r>
      <w:r>
        <w:rPr>
          <w:spacing w:val="-5"/>
        </w:rPr>
        <w:t> </w:t>
      </w:r>
      <w:r>
        <w:rPr/>
        <w:t>how</w:t>
      </w:r>
      <w:r>
        <w:rPr>
          <w:spacing w:val="-4"/>
        </w:rPr>
        <w:t> </w:t>
      </w:r>
      <w:r>
        <w:rPr/>
        <w:t>excess</w:t>
      </w:r>
      <w:r>
        <w:rPr>
          <w:spacing w:val="-1"/>
        </w:rPr>
        <w:t> </w:t>
      </w:r>
      <w:r>
        <w:rPr/>
        <w:t>renewable</w:t>
      </w:r>
      <w:r>
        <w:rPr>
          <w:spacing w:val="-1"/>
        </w:rPr>
        <w:t> </w:t>
      </w:r>
      <w:r>
        <w:rPr/>
        <w:t>energy</w:t>
      </w:r>
      <w:r>
        <w:rPr>
          <w:spacing w:val="-3"/>
        </w:rPr>
        <w:t> </w:t>
      </w:r>
      <w:r>
        <w:rPr/>
        <w:t>can</w:t>
      </w:r>
      <w:r>
        <w:rPr>
          <w:spacing w:val="-1"/>
        </w:rPr>
        <w:t> </w:t>
      </w:r>
      <w:r>
        <w:rPr/>
        <w:t>be</w:t>
      </w:r>
      <w:r>
        <w:rPr>
          <w:spacing w:val="-3"/>
        </w:rPr>
        <w:t> </w:t>
      </w:r>
      <w:r>
        <w:rPr/>
        <w:t>converted</w:t>
      </w:r>
      <w:r>
        <w:rPr>
          <w:spacing w:val="-3"/>
        </w:rPr>
        <w:t> </w:t>
      </w:r>
      <w:r>
        <w:rPr/>
        <w:t>to</w:t>
      </w:r>
      <w:r>
        <w:rPr>
          <w:spacing w:val="-1"/>
        </w:rPr>
        <w:t> </w:t>
      </w:r>
      <w:r>
        <w:rPr/>
        <w:t>hydrogen</w:t>
      </w:r>
      <w:r>
        <w:rPr>
          <w:spacing w:val="-3"/>
        </w:rPr>
        <w:t> </w:t>
      </w:r>
      <w:r>
        <w:rPr/>
        <w:t>to</w:t>
      </w:r>
      <w:r>
        <w:rPr>
          <w:spacing w:val="-3"/>
        </w:rPr>
        <w:t> </w:t>
      </w:r>
      <w:r>
        <w:rPr/>
        <w:t>be</w:t>
      </w:r>
      <w:r>
        <w:rPr>
          <w:spacing w:val="-3"/>
        </w:rPr>
        <w:t> </w:t>
      </w:r>
      <w:r>
        <w:rPr/>
        <w:t>stored in gas pipelines.</w:t>
      </w:r>
    </w:p>
    <w:p>
      <w:pPr>
        <w:pStyle w:val="BodyText"/>
        <w:spacing w:before="8"/>
        <w:rPr>
          <w:sz w:val="20"/>
        </w:rPr>
      </w:pPr>
    </w:p>
    <w:p>
      <w:pPr>
        <w:pStyle w:val="BodyText"/>
        <w:spacing w:line="288" w:lineRule="auto"/>
        <w:ind w:left="232"/>
      </w:pPr>
      <w:r>
        <w:rPr/>
        <w:t>Australian</w:t>
      </w:r>
      <w:r>
        <w:rPr>
          <w:spacing w:val="-4"/>
        </w:rPr>
        <w:t> </w:t>
      </w:r>
      <w:r>
        <w:rPr/>
        <w:t>Gas</w:t>
      </w:r>
      <w:r>
        <w:rPr>
          <w:spacing w:val="-2"/>
        </w:rPr>
        <w:t> </w:t>
      </w:r>
      <w:r>
        <w:rPr/>
        <w:t>Networks</w:t>
      </w:r>
      <w:r>
        <w:rPr>
          <w:spacing w:val="-4"/>
        </w:rPr>
        <w:t> </w:t>
      </w:r>
      <w:r>
        <w:rPr/>
        <w:t>will</w:t>
      </w:r>
      <w:r>
        <w:rPr>
          <w:spacing w:val="-2"/>
        </w:rPr>
        <w:t> </w:t>
      </w:r>
      <w:r>
        <w:rPr/>
        <w:t>soon</w:t>
      </w:r>
      <w:r>
        <w:rPr>
          <w:spacing w:val="-2"/>
        </w:rPr>
        <w:t> </w:t>
      </w:r>
      <w:r>
        <w:rPr/>
        <w:t>inject</w:t>
      </w:r>
      <w:r>
        <w:rPr>
          <w:spacing w:val="-3"/>
        </w:rPr>
        <w:t> </w:t>
      </w:r>
      <w:r>
        <w:rPr/>
        <w:t>hydrogen</w:t>
      </w:r>
      <w:r>
        <w:rPr>
          <w:spacing w:val="-2"/>
        </w:rPr>
        <w:t> </w:t>
      </w:r>
      <w:r>
        <w:rPr/>
        <w:t>into</w:t>
      </w:r>
      <w:r>
        <w:rPr>
          <w:spacing w:val="-2"/>
        </w:rPr>
        <w:t> </w:t>
      </w:r>
      <w:r>
        <w:rPr/>
        <w:t>its</w:t>
      </w:r>
      <w:r>
        <w:rPr>
          <w:spacing w:val="-4"/>
        </w:rPr>
        <w:t> </w:t>
      </w:r>
      <w:r>
        <w:rPr/>
        <w:t>gas</w:t>
      </w:r>
      <w:r>
        <w:rPr>
          <w:spacing w:val="-4"/>
        </w:rPr>
        <w:t> </w:t>
      </w:r>
      <w:r>
        <w:rPr/>
        <w:t>network in</w:t>
      </w:r>
      <w:r>
        <w:rPr>
          <w:spacing w:val="-6"/>
        </w:rPr>
        <w:t> </w:t>
      </w:r>
      <w:r>
        <w:rPr/>
        <w:t>Adelaide</w:t>
      </w:r>
      <w:r>
        <w:rPr>
          <w:spacing w:val="-2"/>
        </w:rPr>
        <w:t> </w:t>
      </w:r>
      <w:r>
        <w:rPr/>
        <w:t>backed</w:t>
      </w:r>
      <w:r>
        <w:rPr>
          <w:spacing w:val="-4"/>
        </w:rPr>
        <w:t> </w:t>
      </w:r>
      <w:r>
        <w:rPr/>
        <w:t>by</w:t>
      </w:r>
      <w:r>
        <w:rPr>
          <w:spacing w:val="-4"/>
        </w:rPr>
        <w:t> </w:t>
      </w:r>
      <w:r>
        <w:rPr/>
        <w:t>a</w:t>
      </w:r>
      <w:r>
        <w:rPr>
          <w:spacing w:val="-2"/>
        </w:rPr>
        <w:t> </w:t>
      </w:r>
      <w:r>
        <w:rPr/>
        <w:t>$5 million grant from ARENA.</w:t>
      </w:r>
    </w:p>
    <w:p>
      <w:pPr>
        <w:pStyle w:val="BodyText"/>
        <w:spacing w:before="10"/>
        <w:rPr>
          <w:sz w:val="20"/>
        </w:rPr>
      </w:pPr>
    </w:p>
    <w:p>
      <w:pPr>
        <w:pStyle w:val="BodyText"/>
        <w:spacing w:line="290" w:lineRule="auto"/>
        <w:ind w:left="232"/>
      </w:pPr>
      <w:r>
        <w:rPr/>
        <w:t>The</w:t>
      </w:r>
      <w:r>
        <w:rPr>
          <w:spacing w:val="-4"/>
        </w:rPr>
        <w:t> </w:t>
      </w:r>
      <w:r>
        <w:rPr/>
        <w:t>potential</w:t>
      </w:r>
      <w:r>
        <w:rPr>
          <w:spacing w:val="-3"/>
        </w:rPr>
        <w:t> </w:t>
      </w:r>
      <w:r>
        <w:rPr/>
        <w:t>safety</w:t>
      </w:r>
      <w:r>
        <w:rPr>
          <w:spacing w:val="-4"/>
        </w:rPr>
        <w:t> </w:t>
      </w:r>
      <w:r>
        <w:rPr/>
        <w:t>impacts</w:t>
      </w:r>
      <w:r>
        <w:rPr>
          <w:spacing w:val="-1"/>
        </w:rPr>
        <w:t> </w:t>
      </w:r>
      <w:r>
        <w:rPr/>
        <w:t>of</w:t>
      </w:r>
      <w:r>
        <w:rPr>
          <w:spacing w:val="-1"/>
        </w:rPr>
        <w:t> </w:t>
      </w:r>
      <w:r>
        <w:rPr/>
        <w:t>blending</w:t>
      </w:r>
      <w:r>
        <w:rPr>
          <w:spacing w:val="-2"/>
        </w:rPr>
        <w:t> </w:t>
      </w:r>
      <w:r>
        <w:rPr/>
        <w:t>renewable</w:t>
      </w:r>
      <w:r>
        <w:rPr>
          <w:spacing w:val="-2"/>
        </w:rPr>
        <w:t> </w:t>
      </w:r>
      <w:r>
        <w:rPr/>
        <w:t>gas</w:t>
      </w:r>
      <w:r>
        <w:rPr>
          <w:spacing w:val="-4"/>
        </w:rPr>
        <w:t> </w:t>
      </w:r>
      <w:r>
        <w:rPr/>
        <w:t>into</w:t>
      </w:r>
      <w:r>
        <w:rPr>
          <w:spacing w:val="-4"/>
        </w:rPr>
        <w:t> </w:t>
      </w:r>
      <w:r>
        <w:rPr/>
        <w:t>distribution</w:t>
      </w:r>
      <w:r>
        <w:rPr>
          <w:spacing w:val="-2"/>
        </w:rPr>
        <w:t> </w:t>
      </w:r>
      <w:r>
        <w:rPr/>
        <w:t>networks</w:t>
      </w:r>
      <w:r>
        <w:rPr>
          <w:spacing w:val="-4"/>
        </w:rPr>
        <w:t> </w:t>
      </w:r>
      <w:r>
        <w:rPr/>
        <w:t>will</w:t>
      </w:r>
      <w:r>
        <w:rPr>
          <w:spacing w:val="-2"/>
        </w:rPr>
        <w:t> </w:t>
      </w:r>
      <w:r>
        <w:rPr/>
        <w:t>need</w:t>
      </w:r>
      <w:r>
        <w:rPr>
          <w:spacing w:val="-2"/>
        </w:rPr>
        <w:t> </w:t>
      </w:r>
      <w:r>
        <w:rPr/>
        <w:t>to</w:t>
      </w:r>
      <w:r>
        <w:rPr>
          <w:spacing w:val="-4"/>
        </w:rPr>
        <w:t> </w:t>
      </w:r>
      <w:r>
        <w:rPr/>
        <w:t>be considered by ESV to ensure there are no adverse impacts on safety.</w:t>
      </w:r>
    </w:p>
    <w:p>
      <w:pPr>
        <w:pStyle w:val="BodyText"/>
        <w:spacing w:before="5"/>
        <w:rPr>
          <w:sz w:val="20"/>
        </w:rPr>
      </w:pPr>
    </w:p>
    <w:p>
      <w:pPr>
        <w:pStyle w:val="BodyText"/>
        <w:spacing w:line="288" w:lineRule="auto"/>
        <w:ind w:left="232" w:right="296"/>
      </w:pPr>
      <w:r>
        <w:rPr/>
        <w:t>AusNet Services in its submission to the Review has highlighted the importance of good collaboration</w:t>
      </w:r>
      <w:r>
        <w:rPr>
          <w:spacing w:val="-3"/>
        </w:rPr>
        <w:t> </w:t>
      </w:r>
      <w:r>
        <w:rPr/>
        <w:t>between</w:t>
      </w:r>
      <w:r>
        <w:rPr>
          <w:spacing w:val="-3"/>
        </w:rPr>
        <w:t> </w:t>
      </w:r>
      <w:r>
        <w:rPr/>
        <w:t>regulators,</w:t>
      </w:r>
      <w:r>
        <w:rPr>
          <w:spacing w:val="-4"/>
        </w:rPr>
        <w:t> </w:t>
      </w:r>
      <w:r>
        <w:rPr/>
        <w:t>industry</w:t>
      </w:r>
      <w:r>
        <w:rPr>
          <w:spacing w:val="-5"/>
        </w:rPr>
        <w:t> </w:t>
      </w:r>
      <w:r>
        <w:rPr/>
        <w:t>and</w:t>
      </w:r>
      <w:r>
        <w:rPr>
          <w:spacing w:val="-3"/>
        </w:rPr>
        <w:t> </w:t>
      </w:r>
      <w:r>
        <w:rPr/>
        <w:t>other</w:t>
      </w:r>
      <w:r>
        <w:rPr>
          <w:spacing w:val="-2"/>
        </w:rPr>
        <w:t> </w:t>
      </w:r>
      <w:r>
        <w:rPr/>
        <w:t>stakeholders</w:t>
      </w:r>
      <w:r>
        <w:rPr>
          <w:spacing w:val="-5"/>
        </w:rPr>
        <w:t> </w:t>
      </w:r>
      <w:r>
        <w:rPr/>
        <w:t>to</w:t>
      </w:r>
      <w:r>
        <w:rPr>
          <w:spacing w:val="-5"/>
        </w:rPr>
        <w:t> </w:t>
      </w:r>
      <w:r>
        <w:rPr/>
        <w:t>ensure</w:t>
      </w:r>
      <w:r>
        <w:rPr>
          <w:spacing w:val="-5"/>
        </w:rPr>
        <w:t> </w:t>
      </w:r>
      <w:r>
        <w:rPr/>
        <w:t>the</w:t>
      </w:r>
      <w:r>
        <w:rPr>
          <w:spacing w:val="-3"/>
        </w:rPr>
        <w:t> </w:t>
      </w:r>
      <w:r>
        <w:rPr/>
        <w:t>safety</w:t>
      </w:r>
      <w:r>
        <w:rPr>
          <w:spacing w:val="-4"/>
        </w:rPr>
        <w:t> </w:t>
      </w:r>
      <w:r>
        <w:rPr/>
        <w:t>and</w:t>
      </w:r>
      <w:r>
        <w:rPr>
          <w:spacing w:val="-5"/>
        </w:rPr>
        <w:t> </w:t>
      </w:r>
      <w:r>
        <w:rPr/>
        <w:t>integrity of gas network infrastructure is maintained:</w:t>
      </w:r>
    </w:p>
    <w:p>
      <w:pPr>
        <w:pStyle w:val="BodyText"/>
        <w:rPr>
          <w:sz w:val="21"/>
        </w:rPr>
      </w:pPr>
    </w:p>
    <w:p>
      <w:pPr>
        <w:spacing w:line="288" w:lineRule="auto" w:before="0"/>
        <w:ind w:left="799" w:right="951" w:firstLine="0"/>
        <w:jc w:val="left"/>
        <w:rPr>
          <w:sz w:val="22"/>
        </w:rPr>
      </w:pPr>
      <w:r>
        <w:rPr>
          <w:i/>
          <w:sz w:val="22"/>
        </w:rPr>
        <w:t>“Trials</w:t>
      </w:r>
      <w:r>
        <w:rPr>
          <w:i/>
          <w:spacing w:val="-1"/>
          <w:sz w:val="22"/>
        </w:rPr>
        <w:t> </w:t>
      </w:r>
      <w:r>
        <w:rPr>
          <w:i/>
          <w:sz w:val="22"/>
        </w:rPr>
        <w:t>of</w:t>
      </w:r>
      <w:r>
        <w:rPr>
          <w:i/>
          <w:spacing w:val="-5"/>
          <w:sz w:val="22"/>
        </w:rPr>
        <w:t> </w:t>
      </w:r>
      <w:r>
        <w:rPr>
          <w:i/>
          <w:sz w:val="22"/>
        </w:rPr>
        <w:t>the</w:t>
      </w:r>
      <w:r>
        <w:rPr>
          <w:i/>
          <w:spacing w:val="-2"/>
          <w:sz w:val="22"/>
        </w:rPr>
        <w:t> </w:t>
      </w:r>
      <w:r>
        <w:rPr>
          <w:i/>
          <w:sz w:val="22"/>
        </w:rPr>
        <w:t>introduction</w:t>
      </w:r>
      <w:r>
        <w:rPr>
          <w:i/>
          <w:spacing w:val="-4"/>
          <w:sz w:val="22"/>
        </w:rPr>
        <w:t> </w:t>
      </w:r>
      <w:r>
        <w:rPr>
          <w:i/>
          <w:sz w:val="22"/>
        </w:rPr>
        <w:t>of</w:t>
      </w:r>
      <w:r>
        <w:rPr>
          <w:i/>
          <w:spacing w:val="-3"/>
          <w:sz w:val="22"/>
        </w:rPr>
        <w:t> </w:t>
      </w:r>
      <w:r>
        <w:rPr>
          <w:i/>
          <w:sz w:val="22"/>
        </w:rPr>
        <w:t>gases</w:t>
      </w:r>
      <w:r>
        <w:rPr>
          <w:i/>
          <w:spacing w:val="-4"/>
          <w:sz w:val="22"/>
        </w:rPr>
        <w:t> </w:t>
      </w:r>
      <w:r>
        <w:rPr>
          <w:i/>
          <w:sz w:val="22"/>
        </w:rPr>
        <w:t>other</w:t>
      </w:r>
      <w:r>
        <w:rPr>
          <w:i/>
          <w:spacing w:val="-3"/>
          <w:sz w:val="22"/>
        </w:rPr>
        <w:t> </w:t>
      </w:r>
      <w:r>
        <w:rPr>
          <w:i/>
          <w:sz w:val="22"/>
        </w:rPr>
        <w:t>than</w:t>
      </w:r>
      <w:r>
        <w:rPr>
          <w:i/>
          <w:spacing w:val="-4"/>
          <w:sz w:val="22"/>
        </w:rPr>
        <w:t> </w:t>
      </w:r>
      <w:r>
        <w:rPr>
          <w:i/>
          <w:sz w:val="22"/>
        </w:rPr>
        <w:t>methane</w:t>
      </w:r>
      <w:r>
        <w:rPr>
          <w:i/>
          <w:spacing w:val="-2"/>
          <w:sz w:val="22"/>
        </w:rPr>
        <w:t> </w:t>
      </w:r>
      <w:r>
        <w:rPr>
          <w:i/>
          <w:sz w:val="22"/>
        </w:rPr>
        <w:t>into</w:t>
      </w:r>
      <w:r>
        <w:rPr>
          <w:i/>
          <w:spacing w:val="-1"/>
          <w:sz w:val="22"/>
        </w:rPr>
        <w:t> </w:t>
      </w:r>
      <w:r>
        <w:rPr>
          <w:i/>
          <w:sz w:val="22"/>
        </w:rPr>
        <w:t>distribution</w:t>
      </w:r>
      <w:r>
        <w:rPr>
          <w:i/>
          <w:spacing w:val="-4"/>
          <w:sz w:val="22"/>
        </w:rPr>
        <w:t> </w:t>
      </w:r>
      <w:r>
        <w:rPr>
          <w:i/>
          <w:sz w:val="22"/>
        </w:rPr>
        <w:t>networks</w:t>
      </w:r>
      <w:r>
        <w:rPr>
          <w:i/>
          <w:spacing w:val="-4"/>
          <w:sz w:val="22"/>
        </w:rPr>
        <w:t> </w:t>
      </w:r>
      <w:r>
        <w:rPr>
          <w:i/>
          <w:sz w:val="22"/>
        </w:rPr>
        <w:t>will require collaboration between network businesses, regulators and stakeholders in developing</w:t>
      </w:r>
      <w:r>
        <w:rPr>
          <w:i/>
          <w:spacing w:val="-2"/>
          <w:sz w:val="22"/>
        </w:rPr>
        <w:t> </w:t>
      </w:r>
      <w:r>
        <w:rPr>
          <w:i/>
          <w:sz w:val="22"/>
        </w:rPr>
        <w:t>common</w:t>
      </w:r>
      <w:r>
        <w:rPr>
          <w:i/>
          <w:spacing w:val="-2"/>
          <w:sz w:val="22"/>
        </w:rPr>
        <w:t> </w:t>
      </w:r>
      <w:r>
        <w:rPr>
          <w:i/>
          <w:sz w:val="22"/>
        </w:rPr>
        <w:t>understandings</w:t>
      </w:r>
      <w:r>
        <w:rPr>
          <w:i/>
          <w:spacing w:val="-4"/>
          <w:sz w:val="22"/>
        </w:rPr>
        <w:t> </w:t>
      </w:r>
      <w:r>
        <w:rPr>
          <w:i/>
          <w:sz w:val="22"/>
        </w:rPr>
        <w:t>of</w:t>
      </w:r>
      <w:r>
        <w:rPr>
          <w:i/>
          <w:spacing w:val="-3"/>
          <w:sz w:val="22"/>
        </w:rPr>
        <w:t> </w:t>
      </w:r>
      <w:r>
        <w:rPr>
          <w:i/>
          <w:sz w:val="22"/>
        </w:rPr>
        <w:t>the</w:t>
      </w:r>
      <w:r>
        <w:rPr>
          <w:i/>
          <w:spacing w:val="-4"/>
          <w:sz w:val="22"/>
        </w:rPr>
        <w:t> </w:t>
      </w:r>
      <w:r>
        <w:rPr>
          <w:i/>
          <w:sz w:val="22"/>
        </w:rPr>
        <w:t>drivers</w:t>
      </w:r>
      <w:r>
        <w:rPr>
          <w:i/>
          <w:spacing w:val="-1"/>
          <w:sz w:val="22"/>
        </w:rPr>
        <w:t> </w:t>
      </w:r>
      <w:r>
        <w:rPr>
          <w:i/>
          <w:sz w:val="22"/>
        </w:rPr>
        <w:t>and</w:t>
      </w:r>
      <w:r>
        <w:rPr>
          <w:i/>
          <w:spacing w:val="-2"/>
          <w:sz w:val="22"/>
        </w:rPr>
        <w:t> </w:t>
      </w:r>
      <w:r>
        <w:rPr>
          <w:i/>
          <w:sz w:val="22"/>
        </w:rPr>
        <w:t>consequences</w:t>
      </w:r>
      <w:r>
        <w:rPr>
          <w:i/>
          <w:spacing w:val="-4"/>
          <w:sz w:val="22"/>
        </w:rPr>
        <w:t> </w:t>
      </w:r>
      <w:r>
        <w:rPr>
          <w:i/>
          <w:sz w:val="22"/>
        </w:rPr>
        <w:t>to</w:t>
      </w:r>
      <w:r>
        <w:rPr>
          <w:i/>
          <w:spacing w:val="-4"/>
          <w:sz w:val="22"/>
        </w:rPr>
        <w:t> </w:t>
      </w:r>
      <w:r>
        <w:rPr>
          <w:i/>
          <w:sz w:val="22"/>
        </w:rPr>
        <w:t>ensure</w:t>
      </w:r>
      <w:r>
        <w:rPr>
          <w:i/>
          <w:spacing w:val="-4"/>
          <w:sz w:val="22"/>
        </w:rPr>
        <w:t> </w:t>
      </w:r>
      <w:r>
        <w:rPr>
          <w:i/>
          <w:sz w:val="22"/>
        </w:rPr>
        <w:t>the safety and integrity of gas network infrastructure and installations are maintained.” </w:t>
      </w:r>
      <w:r>
        <w:rPr>
          <w:sz w:val="22"/>
        </w:rPr>
        <w:t>(AusNet Services, 2017b, p. 5)</w:t>
      </w:r>
    </w:p>
    <w:p>
      <w:pPr>
        <w:pStyle w:val="BodyText"/>
        <w:rPr>
          <w:sz w:val="24"/>
        </w:rPr>
      </w:pPr>
    </w:p>
    <w:p>
      <w:pPr>
        <w:pStyle w:val="Heading6"/>
        <w:spacing w:before="144"/>
        <w:ind w:left="232"/>
      </w:pPr>
      <w:r>
        <w:rPr/>
        <w:t>Information</w:t>
      </w:r>
      <w:r>
        <w:rPr>
          <w:spacing w:val="-7"/>
        </w:rPr>
        <w:t> </w:t>
      </w:r>
      <w:r>
        <w:rPr/>
        <w:t>and</w:t>
      </w:r>
      <w:r>
        <w:rPr>
          <w:spacing w:val="-6"/>
        </w:rPr>
        <w:t> </w:t>
      </w:r>
      <w:r>
        <w:rPr/>
        <w:t>communications</w:t>
      </w:r>
      <w:r>
        <w:rPr>
          <w:spacing w:val="-6"/>
        </w:rPr>
        <w:t> </w:t>
      </w:r>
      <w:r>
        <w:rPr/>
        <w:t>technology</w:t>
      </w:r>
      <w:r>
        <w:rPr>
          <w:spacing w:val="-9"/>
        </w:rPr>
        <w:t> </w:t>
      </w:r>
      <w:r>
        <w:rPr>
          <w:spacing w:val="-2"/>
        </w:rPr>
        <w:t>(ICT)</w:t>
      </w:r>
    </w:p>
    <w:p>
      <w:pPr>
        <w:pStyle w:val="BodyText"/>
        <w:spacing w:line="288" w:lineRule="auto" w:before="175"/>
        <w:ind w:left="232" w:right="408"/>
      </w:pPr>
      <w:r>
        <w:rPr/>
        <w:t>Integrated communications and interoperability will be fundamental to the performance of the electricity</w:t>
      </w:r>
      <w:r>
        <w:rPr>
          <w:spacing w:val="-4"/>
        </w:rPr>
        <w:t> </w:t>
      </w:r>
      <w:r>
        <w:rPr/>
        <w:t>grid</w:t>
      </w:r>
      <w:r>
        <w:rPr>
          <w:spacing w:val="-2"/>
        </w:rPr>
        <w:t> </w:t>
      </w:r>
      <w:r>
        <w:rPr/>
        <w:t>of</w:t>
      </w:r>
      <w:r>
        <w:rPr>
          <w:spacing w:val="-3"/>
        </w:rPr>
        <w:t> </w:t>
      </w:r>
      <w:r>
        <w:rPr/>
        <w:t>the</w:t>
      </w:r>
      <w:r>
        <w:rPr>
          <w:spacing w:val="-4"/>
        </w:rPr>
        <w:t> </w:t>
      </w:r>
      <w:r>
        <w:rPr/>
        <w:t>future.</w:t>
      </w:r>
      <w:r>
        <w:rPr>
          <w:spacing w:val="-5"/>
        </w:rPr>
        <w:t> </w:t>
      </w:r>
      <w:r>
        <w:rPr/>
        <w:t>The</w:t>
      </w:r>
      <w:r>
        <w:rPr>
          <w:spacing w:val="-2"/>
        </w:rPr>
        <w:t> </w:t>
      </w:r>
      <w:r>
        <w:rPr/>
        <w:t>Energy</w:t>
      </w:r>
      <w:r>
        <w:rPr>
          <w:spacing w:val="-4"/>
        </w:rPr>
        <w:t> </w:t>
      </w:r>
      <w:r>
        <w:rPr/>
        <w:t>Networks</w:t>
      </w:r>
      <w:r>
        <w:rPr>
          <w:spacing w:val="-4"/>
        </w:rPr>
        <w:t> </w:t>
      </w:r>
      <w:r>
        <w:rPr/>
        <w:t>Australia</w:t>
      </w:r>
      <w:r>
        <w:rPr>
          <w:spacing w:val="-2"/>
        </w:rPr>
        <w:t> </w:t>
      </w:r>
      <w:r>
        <w:rPr/>
        <w:t>and</w:t>
      </w:r>
      <w:r>
        <w:rPr>
          <w:spacing w:val="-2"/>
        </w:rPr>
        <w:t> </w:t>
      </w:r>
      <w:r>
        <w:rPr/>
        <w:t>CSIRO</w:t>
      </w:r>
      <w:r>
        <w:rPr>
          <w:spacing w:val="-3"/>
        </w:rPr>
        <w:t> </w:t>
      </w:r>
      <w:r>
        <w:rPr/>
        <w:t>(2017) </w:t>
      </w:r>
      <w:r>
        <w:rPr>
          <w:i/>
        </w:rPr>
        <w:t>Electricity</w:t>
      </w:r>
      <w:r>
        <w:rPr>
          <w:i/>
          <w:spacing w:val="-1"/>
        </w:rPr>
        <w:t> </w:t>
      </w:r>
      <w:r>
        <w:rPr>
          <w:i/>
        </w:rPr>
        <w:t>Network Transformation Roadmap </w:t>
      </w:r>
      <w:r>
        <w:rPr/>
        <w:t>has identified key gaps in standards required to enable the future requirements of the electricity system. These include areas such as system interoperability, communications systems, data protocols and cyber security. The roadmap supports a significant enhancement of monitoring and control functionality to provide for the robust connection of distributed energy resources and an enhanced level of communication and data exchange on distribution substations and on the low voltage network.</w:t>
      </w:r>
    </w:p>
    <w:p>
      <w:pPr>
        <w:spacing w:after="0" w:line="288" w:lineRule="auto"/>
        <w:sectPr>
          <w:pgSz w:w="11910" w:h="16850"/>
          <w:pgMar w:header="220" w:footer="678" w:top="420" w:bottom="860" w:left="900" w:right="840"/>
        </w:sectPr>
      </w:pPr>
    </w:p>
    <w:p>
      <w:pPr>
        <w:pStyle w:val="BodyText"/>
        <w:rPr>
          <w:sz w:val="20"/>
        </w:rPr>
      </w:pPr>
    </w:p>
    <w:p>
      <w:pPr>
        <w:pStyle w:val="BodyText"/>
        <w:spacing w:before="2"/>
        <w:rPr>
          <w:sz w:val="19"/>
        </w:rPr>
      </w:pPr>
    </w:p>
    <w:p>
      <w:pPr>
        <w:pStyle w:val="BodyText"/>
        <w:spacing w:line="288" w:lineRule="auto" w:before="94"/>
        <w:ind w:left="232" w:right="337"/>
      </w:pPr>
      <w:r>
        <w:rPr/>
        <w:t>Increasing connectivity and integration of ICT can make networks more vulnerable to the risk of cyber-attacks.</w:t>
      </w:r>
      <w:r>
        <w:rPr>
          <w:spacing w:val="-6"/>
        </w:rPr>
        <w:t> </w:t>
      </w:r>
      <w:r>
        <w:rPr/>
        <w:t>While</w:t>
      </w:r>
      <w:r>
        <w:rPr>
          <w:spacing w:val="-3"/>
        </w:rPr>
        <w:t> </w:t>
      </w:r>
      <w:r>
        <w:rPr/>
        <w:t>the</w:t>
      </w:r>
      <w:r>
        <w:rPr>
          <w:spacing w:val="-3"/>
        </w:rPr>
        <w:t> </w:t>
      </w:r>
      <w:r>
        <w:rPr/>
        <w:t>NEM</w:t>
      </w:r>
      <w:r>
        <w:rPr>
          <w:spacing w:val="-4"/>
        </w:rPr>
        <w:t> </w:t>
      </w:r>
      <w:r>
        <w:rPr/>
        <w:t>has not</w:t>
      </w:r>
      <w:r>
        <w:rPr>
          <w:spacing w:val="-2"/>
        </w:rPr>
        <w:t> </w:t>
      </w:r>
      <w:r>
        <w:rPr/>
        <w:t>suffered</w:t>
      </w:r>
      <w:r>
        <w:rPr>
          <w:spacing w:val="-3"/>
        </w:rPr>
        <w:t> </w:t>
      </w:r>
      <w:r>
        <w:rPr/>
        <w:t>a</w:t>
      </w:r>
      <w:r>
        <w:rPr>
          <w:spacing w:val="-3"/>
        </w:rPr>
        <w:t> </w:t>
      </w:r>
      <w:r>
        <w:rPr/>
        <w:t>successful</w:t>
      </w:r>
      <w:r>
        <w:rPr>
          <w:spacing w:val="-4"/>
        </w:rPr>
        <w:t> </w:t>
      </w:r>
      <w:r>
        <w:rPr/>
        <w:t>cyber-attack,</w:t>
      </w:r>
      <w:r>
        <w:rPr>
          <w:spacing w:val="-2"/>
        </w:rPr>
        <w:t> </w:t>
      </w:r>
      <w:r>
        <w:rPr/>
        <w:t>there</w:t>
      </w:r>
      <w:r>
        <w:rPr>
          <w:spacing w:val="-3"/>
        </w:rPr>
        <w:t> </w:t>
      </w:r>
      <w:r>
        <w:rPr/>
        <w:t>is</w:t>
      </w:r>
      <w:r>
        <w:rPr>
          <w:spacing w:val="-3"/>
        </w:rPr>
        <w:t> </w:t>
      </w:r>
      <w:r>
        <w:rPr/>
        <w:t>growing</w:t>
      </w:r>
      <w:r>
        <w:rPr>
          <w:spacing w:val="-1"/>
        </w:rPr>
        <w:t> </w:t>
      </w:r>
      <w:r>
        <w:rPr/>
        <w:t>concern about</w:t>
      </w:r>
      <w:r>
        <w:rPr>
          <w:spacing w:val="-3"/>
        </w:rPr>
        <w:t> </w:t>
      </w:r>
      <w:r>
        <w:rPr/>
        <w:t>the</w:t>
      </w:r>
      <w:r>
        <w:rPr>
          <w:spacing w:val="-2"/>
        </w:rPr>
        <w:t> </w:t>
      </w:r>
      <w:r>
        <w:rPr/>
        <w:t>cyber</w:t>
      </w:r>
      <w:r>
        <w:rPr>
          <w:spacing w:val="-3"/>
        </w:rPr>
        <w:t> </w:t>
      </w:r>
      <w:r>
        <w:rPr/>
        <w:t>security</w:t>
      </w:r>
      <w:r>
        <w:rPr>
          <w:spacing w:val="-4"/>
        </w:rPr>
        <w:t> </w:t>
      </w:r>
      <w:r>
        <w:rPr/>
        <w:t>of Australia’s</w:t>
      </w:r>
      <w:r>
        <w:rPr>
          <w:spacing w:val="-1"/>
        </w:rPr>
        <w:t> </w:t>
      </w:r>
      <w:r>
        <w:rPr/>
        <w:t>critical</w:t>
      </w:r>
      <w:r>
        <w:rPr>
          <w:spacing w:val="-3"/>
        </w:rPr>
        <w:t> </w:t>
      </w:r>
      <w:r>
        <w:rPr/>
        <w:t>infrastructure (Finkel,</w:t>
      </w:r>
      <w:r>
        <w:rPr>
          <w:spacing w:val="-3"/>
        </w:rPr>
        <w:t> </w:t>
      </w:r>
      <w:r>
        <w:rPr/>
        <w:t>2017).</w:t>
      </w:r>
      <w:r>
        <w:rPr>
          <w:spacing w:val="-3"/>
        </w:rPr>
        <w:t> </w:t>
      </w:r>
      <w:r>
        <w:rPr/>
        <w:t>In</w:t>
      </w:r>
      <w:r>
        <w:rPr>
          <w:spacing w:val="-2"/>
        </w:rPr>
        <w:t> </w:t>
      </w:r>
      <w:r>
        <w:rPr/>
        <w:t>2014,</w:t>
      </w:r>
      <w:r>
        <w:rPr>
          <w:spacing w:val="-3"/>
        </w:rPr>
        <w:t> </w:t>
      </w:r>
      <w:r>
        <w:rPr/>
        <w:t>CERT</w:t>
      </w:r>
      <w:r>
        <w:rPr>
          <w:spacing w:val="-2"/>
        </w:rPr>
        <w:t> </w:t>
      </w:r>
      <w:r>
        <w:rPr/>
        <w:t>Australia issued a warning that some malicious cyber activity was specifically targeting organisations in the energy sector (Australian Cyber Security Centre, 2015).</w:t>
      </w:r>
    </w:p>
    <w:p>
      <w:pPr>
        <w:pStyle w:val="BodyText"/>
        <w:rPr>
          <w:sz w:val="20"/>
        </w:rPr>
      </w:pPr>
    </w:p>
    <w:p>
      <w:pPr>
        <w:pStyle w:val="BodyText"/>
        <w:spacing w:before="8"/>
        <w:rPr>
          <w:sz w:val="21"/>
        </w:rPr>
      </w:pPr>
    </w:p>
    <w:p>
      <w:pPr>
        <w:pStyle w:val="Heading7"/>
        <w:ind w:left="374"/>
      </w:pPr>
      <w:r>
        <w:rPr/>
        <mc:AlternateContent>
          <mc:Choice Requires="wps">
            <w:drawing>
              <wp:anchor distT="0" distB="0" distL="0" distR="0" allowOverlap="1" layoutInCell="1" locked="0" behindDoc="1" simplePos="0" relativeHeight="482745856">
                <wp:simplePos x="0" y="0"/>
                <wp:positionH relativeFrom="page">
                  <wp:posOffset>719327</wp:posOffset>
                </wp:positionH>
                <wp:positionV relativeFrom="paragraph">
                  <wp:posOffset>-152427</wp:posOffset>
                </wp:positionV>
                <wp:extent cx="5870575" cy="6076950"/>
                <wp:effectExtent l="0" t="0" r="0" b="0"/>
                <wp:wrapNone/>
                <wp:docPr id="195" name="Graphic 195"/>
                <wp:cNvGraphicFramePr>
                  <a:graphicFrameLocks/>
                </wp:cNvGraphicFramePr>
                <a:graphic>
                  <a:graphicData uri="http://schemas.microsoft.com/office/word/2010/wordprocessingShape">
                    <wps:wsp>
                      <wps:cNvPr id="195" name="Graphic 195"/>
                      <wps:cNvSpPr/>
                      <wps:spPr>
                        <a:xfrm>
                          <a:off x="0" y="0"/>
                          <a:ext cx="5870575" cy="6076950"/>
                        </a:xfrm>
                        <a:custGeom>
                          <a:avLst/>
                          <a:gdLst/>
                          <a:ahLst/>
                          <a:cxnLst/>
                          <a:rect l="l" t="t" r="r" b="b"/>
                          <a:pathLst>
                            <a:path w="5870575" h="6076950">
                              <a:moveTo>
                                <a:pt x="5870194" y="0"/>
                              </a:moveTo>
                              <a:lnTo>
                                <a:pt x="0" y="0"/>
                              </a:lnTo>
                              <a:lnTo>
                                <a:pt x="0" y="6076823"/>
                              </a:lnTo>
                              <a:lnTo>
                                <a:pt x="5870194" y="6076823"/>
                              </a:lnTo>
                              <a:lnTo>
                                <a:pt x="5870194" y="0"/>
                              </a:lnTo>
                              <a:close/>
                            </a:path>
                          </a:pathLst>
                        </a:custGeom>
                        <a:solidFill>
                          <a:srgbClr val="CEEBEB"/>
                        </a:solidFill>
                      </wps:spPr>
                      <wps:bodyPr wrap="square" lIns="0" tIns="0" rIns="0" bIns="0" rtlCol="0">
                        <a:prstTxWarp prst="textNoShape">
                          <a:avLst/>
                        </a:prstTxWarp>
                        <a:noAutofit/>
                      </wps:bodyPr>
                    </wps:wsp>
                  </a:graphicData>
                </a:graphic>
              </wp:anchor>
            </w:drawing>
          </mc:Choice>
          <mc:Fallback>
            <w:pict>
              <v:rect style="position:absolute;margin-left:56.639999pt;margin-top:-12.002133pt;width:462.22pt;height:478.49pt;mso-position-horizontal-relative:page;mso-position-vertical-relative:paragraph;z-index:-20570624" id="docshape166" filled="true" fillcolor="#ceebeb" stroked="false">
                <v:fill type="solid"/>
                <w10:wrap type="none"/>
              </v:rect>
            </w:pict>
          </mc:Fallback>
        </mc:AlternateContent>
      </w:r>
      <w:r>
        <w:rPr/>
        <w:t>Box</w:t>
      </w:r>
      <w:r>
        <w:rPr>
          <w:spacing w:val="-3"/>
        </w:rPr>
        <w:t> </w:t>
      </w:r>
      <w:r>
        <w:rPr/>
        <w:t>23:</w:t>
      </w:r>
      <w:r>
        <w:rPr>
          <w:spacing w:val="-3"/>
        </w:rPr>
        <w:t> </w:t>
      </w:r>
      <w:r>
        <w:rPr/>
        <w:t>CERT</w:t>
      </w:r>
      <w:r>
        <w:rPr>
          <w:spacing w:val="-2"/>
        </w:rPr>
        <w:t> Australia</w:t>
      </w:r>
    </w:p>
    <w:p>
      <w:pPr>
        <w:pStyle w:val="BodyText"/>
        <w:spacing w:before="4"/>
        <w:rPr>
          <w:b/>
          <w:sz w:val="25"/>
        </w:rPr>
      </w:pPr>
    </w:p>
    <w:p>
      <w:pPr>
        <w:pStyle w:val="BodyText"/>
        <w:spacing w:line="288" w:lineRule="auto"/>
        <w:ind w:left="345" w:right="784"/>
      </w:pPr>
      <w:r>
        <w:rPr/>
        <w:t>CERT Australia provides advice and support on cyber threats and vulnerabilities to the owners and operators of Australia’s critical infrastructure and provides businesses with strategies</w:t>
      </w:r>
      <w:r>
        <w:rPr>
          <w:spacing w:val="-5"/>
        </w:rPr>
        <w:t> </w:t>
      </w:r>
      <w:r>
        <w:rPr/>
        <w:t>to</w:t>
      </w:r>
      <w:r>
        <w:rPr>
          <w:spacing w:val="-5"/>
        </w:rPr>
        <w:t> </w:t>
      </w:r>
      <w:r>
        <w:rPr/>
        <w:t>mitigate</w:t>
      </w:r>
      <w:r>
        <w:rPr>
          <w:spacing w:val="-5"/>
        </w:rPr>
        <w:t> </w:t>
      </w:r>
      <w:r>
        <w:rPr/>
        <w:t>cyber</w:t>
      </w:r>
      <w:r>
        <w:rPr>
          <w:spacing w:val="-2"/>
        </w:rPr>
        <w:t> </w:t>
      </w:r>
      <w:r>
        <w:rPr/>
        <w:t>security</w:t>
      </w:r>
      <w:r>
        <w:rPr>
          <w:spacing w:val="-5"/>
        </w:rPr>
        <w:t> </w:t>
      </w:r>
      <w:r>
        <w:rPr/>
        <w:t>incidents</w:t>
      </w:r>
      <w:r>
        <w:rPr>
          <w:spacing w:val="-4"/>
        </w:rPr>
        <w:t> </w:t>
      </w:r>
      <w:r>
        <w:rPr/>
        <w:t>(CERT</w:t>
      </w:r>
      <w:r>
        <w:rPr>
          <w:spacing w:val="-1"/>
        </w:rPr>
        <w:t> </w:t>
      </w:r>
      <w:r>
        <w:rPr/>
        <w:t>Australia,</w:t>
      </w:r>
      <w:r>
        <w:rPr>
          <w:spacing w:val="-4"/>
        </w:rPr>
        <w:t> </w:t>
      </w:r>
      <w:r>
        <w:rPr/>
        <w:t>2017).</w:t>
      </w:r>
      <w:r>
        <w:rPr>
          <w:spacing w:val="-1"/>
        </w:rPr>
        <w:t> </w:t>
      </w:r>
      <w:r>
        <w:rPr/>
        <w:t>CERT</w:t>
      </w:r>
      <w:r>
        <w:rPr>
          <w:spacing w:val="-1"/>
        </w:rPr>
        <w:t> </w:t>
      </w:r>
      <w:r>
        <w:rPr/>
        <w:t>Australia</w:t>
      </w:r>
      <w:r>
        <w:rPr>
          <w:spacing w:val="-3"/>
        </w:rPr>
        <w:t> </w:t>
      </w:r>
      <w:r>
        <w:rPr/>
        <w:t>is</w:t>
      </w:r>
      <w:r>
        <w:rPr>
          <w:spacing w:val="-5"/>
        </w:rPr>
        <w:t> </w:t>
      </w:r>
      <w:r>
        <w:rPr/>
        <w:t>part of the Federal Attorney-General’s Department and is a key element in the Australian Cyber Security Centre, sharing information and working closely with the Australian Security Intelligence Organisation, the Australian Federal Police, the Australian Signals Directorate, the Defence Intelligence Organisation and the Australian Criminal Intelligence Commission (Australian Signals Directorate, 2017).</w:t>
      </w:r>
    </w:p>
    <w:p>
      <w:pPr>
        <w:pStyle w:val="BodyText"/>
        <w:spacing w:before="11"/>
        <w:rPr>
          <w:sz w:val="20"/>
        </w:rPr>
      </w:pPr>
    </w:p>
    <w:p>
      <w:pPr>
        <w:pStyle w:val="BodyText"/>
        <w:spacing w:line="288" w:lineRule="auto"/>
        <w:ind w:left="345" w:right="951"/>
      </w:pPr>
      <w:r>
        <w:rPr/>
        <w:t>The Finkel review noted the threat posed by cyber-attacks and recommended an annual report be developed by a newly formed Energy Security Board, in consultation with the Australian</w:t>
      </w:r>
      <w:r>
        <w:rPr>
          <w:spacing w:val="-3"/>
        </w:rPr>
        <w:t> </w:t>
      </w:r>
      <w:r>
        <w:rPr/>
        <w:t>Cyber</w:t>
      </w:r>
      <w:r>
        <w:rPr>
          <w:spacing w:val="-2"/>
        </w:rPr>
        <w:t> </w:t>
      </w:r>
      <w:r>
        <w:rPr/>
        <w:t>Security</w:t>
      </w:r>
      <w:r>
        <w:rPr>
          <w:spacing w:val="-5"/>
        </w:rPr>
        <w:t> </w:t>
      </w:r>
      <w:r>
        <w:rPr/>
        <w:t>Centre</w:t>
      </w:r>
      <w:r>
        <w:rPr>
          <w:spacing w:val="-3"/>
        </w:rPr>
        <w:t> </w:t>
      </w:r>
      <w:r>
        <w:rPr/>
        <w:t>and</w:t>
      </w:r>
      <w:r>
        <w:rPr>
          <w:spacing w:val="-5"/>
        </w:rPr>
        <w:t> </w:t>
      </w:r>
      <w:r>
        <w:rPr/>
        <w:t>the</w:t>
      </w:r>
      <w:r>
        <w:rPr>
          <w:spacing w:val="-5"/>
        </w:rPr>
        <w:t> </w:t>
      </w:r>
      <w:r>
        <w:rPr/>
        <w:t>Secretary</w:t>
      </w:r>
      <w:r>
        <w:rPr>
          <w:spacing w:val="-5"/>
        </w:rPr>
        <w:t> </w:t>
      </w:r>
      <w:r>
        <w:rPr/>
        <w:t>of</w:t>
      </w:r>
      <w:r>
        <w:rPr>
          <w:spacing w:val="-1"/>
        </w:rPr>
        <w:t> </w:t>
      </w:r>
      <w:r>
        <w:rPr/>
        <w:t>the</w:t>
      </w:r>
      <w:r>
        <w:rPr>
          <w:spacing w:val="-3"/>
        </w:rPr>
        <w:t> </w:t>
      </w:r>
      <w:r>
        <w:rPr/>
        <w:t>Commonwealth</w:t>
      </w:r>
      <w:r>
        <w:rPr>
          <w:spacing w:val="-5"/>
        </w:rPr>
        <w:t> </w:t>
      </w:r>
      <w:r>
        <w:rPr/>
        <w:t>Department</w:t>
      </w:r>
      <w:r>
        <w:rPr>
          <w:spacing w:val="-4"/>
        </w:rPr>
        <w:t> </w:t>
      </w:r>
      <w:r>
        <w:rPr/>
        <w:t>of the Environment and Energy (Finkel, 2017). The report would include:</w:t>
      </w:r>
    </w:p>
    <w:p>
      <w:pPr>
        <w:pStyle w:val="BodyText"/>
        <w:spacing w:before="1"/>
      </w:pPr>
    </w:p>
    <w:p>
      <w:pPr>
        <w:pStyle w:val="ListParagraph"/>
        <w:numPr>
          <w:ilvl w:val="0"/>
          <w:numId w:val="78"/>
        </w:numPr>
        <w:tabs>
          <w:tab w:pos="734" w:val="left" w:leader="none"/>
        </w:tabs>
        <w:spacing w:line="240" w:lineRule="auto" w:before="1" w:after="0"/>
        <w:ind w:left="734" w:right="0" w:hanging="360"/>
        <w:jc w:val="left"/>
        <w:rPr>
          <w:sz w:val="22"/>
        </w:rPr>
      </w:pPr>
      <w:r>
        <w:rPr>
          <w:sz w:val="22"/>
        </w:rPr>
        <w:t>an</w:t>
      </w:r>
      <w:r>
        <w:rPr>
          <w:spacing w:val="-6"/>
          <w:sz w:val="22"/>
        </w:rPr>
        <w:t> </w:t>
      </w:r>
      <w:r>
        <w:rPr>
          <w:sz w:val="22"/>
        </w:rPr>
        <w:t>assessment</w:t>
      </w:r>
      <w:r>
        <w:rPr>
          <w:spacing w:val="-5"/>
          <w:sz w:val="22"/>
        </w:rPr>
        <w:t> </w:t>
      </w:r>
      <w:r>
        <w:rPr>
          <w:sz w:val="22"/>
        </w:rPr>
        <w:t>of</w:t>
      </w:r>
      <w:r>
        <w:rPr>
          <w:spacing w:val="-5"/>
          <w:sz w:val="22"/>
        </w:rPr>
        <w:t> </w:t>
      </w:r>
      <w:r>
        <w:rPr>
          <w:sz w:val="22"/>
        </w:rPr>
        <w:t>the</w:t>
      </w:r>
      <w:r>
        <w:rPr>
          <w:spacing w:val="-4"/>
          <w:sz w:val="22"/>
        </w:rPr>
        <w:t> </w:t>
      </w:r>
      <w:r>
        <w:rPr>
          <w:sz w:val="22"/>
        </w:rPr>
        <w:t>cyber</w:t>
      </w:r>
      <w:r>
        <w:rPr>
          <w:spacing w:val="-4"/>
          <w:sz w:val="22"/>
        </w:rPr>
        <w:t> </w:t>
      </w:r>
      <w:r>
        <w:rPr>
          <w:sz w:val="22"/>
        </w:rPr>
        <w:t>maturity</w:t>
      </w:r>
      <w:r>
        <w:rPr>
          <w:spacing w:val="-6"/>
          <w:sz w:val="22"/>
        </w:rPr>
        <w:t> </w:t>
      </w:r>
      <w:r>
        <w:rPr>
          <w:sz w:val="22"/>
        </w:rPr>
        <w:t>of</w:t>
      </w:r>
      <w:r>
        <w:rPr>
          <w:spacing w:val="-2"/>
          <w:sz w:val="22"/>
        </w:rPr>
        <w:t> </w:t>
      </w:r>
      <w:r>
        <w:rPr>
          <w:sz w:val="22"/>
        </w:rPr>
        <w:t>energy</w:t>
      </w:r>
      <w:r>
        <w:rPr>
          <w:spacing w:val="-6"/>
          <w:sz w:val="22"/>
        </w:rPr>
        <w:t> </w:t>
      </w:r>
      <w:r>
        <w:rPr>
          <w:sz w:val="22"/>
        </w:rPr>
        <w:t>market</w:t>
      </w:r>
      <w:r>
        <w:rPr>
          <w:spacing w:val="-4"/>
          <w:sz w:val="22"/>
        </w:rPr>
        <w:t> </w:t>
      </w:r>
      <w:r>
        <w:rPr>
          <w:spacing w:val="-2"/>
          <w:sz w:val="22"/>
        </w:rPr>
        <w:t>participants;</w:t>
      </w:r>
    </w:p>
    <w:p>
      <w:pPr>
        <w:pStyle w:val="BodyText"/>
        <w:spacing w:before="7"/>
        <w:rPr>
          <w:sz w:val="26"/>
        </w:rPr>
      </w:pPr>
    </w:p>
    <w:p>
      <w:pPr>
        <w:pStyle w:val="ListParagraph"/>
        <w:numPr>
          <w:ilvl w:val="0"/>
          <w:numId w:val="78"/>
        </w:numPr>
        <w:tabs>
          <w:tab w:pos="734" w:val="left" w:leader="none"/>
        </w:tabs>
        <w:spacing w:line="288" w:lineRule="auto" w:before="0" w:after="0"/>
        <w:ind w:left="734" w:right="1446" w:hanging="361"/>
        <w:jc w:val="left"/>
        <w:rPr>
          <w:sz w:val="22"/>
        </w:rPr>
      </w:pPr>
      <w:r>
        <w:rPr>
          <w:sz w:val="22"/>
        </w:rPr>
        <w:t>an</w:t>
      </w:r>
      <w:r>
        <w:rPr>
          <w:spacing w:val="-3"/>
          <w:sz w:val="22"/>
        </w:rPr>
        <w:t> </w:t>
      </w:r>
      <w:r>
        <w:rPr>
          <w:sz w:val="22"/>
        </w:rPr>
        <w:t>assessment</w:t>
      </w:r>
      <w:r>
        <w:rPr>
          <w:spacing w:val="-4"/>
          <w:sz w:val="22"/>
        </w:rPr>
        <w:t> </w:t>
      </w:r>
      <w:r>
        <w:rPr>
          <w:sz w:val="22"/>
        </w:rPr>
        <w:t>of</w:t>
      </w:r>
      <w:r>
        <w:rPr>
          <w:spacing w:val="-4"/>
          <w:sz w:val="22"/>
        </w:rPr>
        <w:t> </w:t>
      </w:r>
      <w:r>
        <w:rPr>
          <w:sz w:val="22"/>
        </w:rPr>
        <w:t>the</w:t>
      </w:r>
      <w:r>
        <w:rPr>
          <w:spacing w:val="-3"/>
          <w:sz w:val="22"/>
        </w:rPr>
        <w:t> </w:t>
      </w:r>
      <w:r>
        <w:rPr>
          <w:sz w:val="22"/>
        </w:rPr>
        <w:t>Australian</w:t>
      </w:r>
      <w:r>
        <w:rPr>
          <w:spacing w:val="-3"/>
          <w:sz w:val="22"/>
        </w:rPr>
        <w:t> </w:t>
      </w:r>
      <w:r>
        <w:rPr>
          <w:sz w:val="22"/>
        </w:rPr>
        <w:t>Energy</w:t>
      </w:r>
      <w:r>
        <w:rPr>
          <w:spacing w:val="-5"/>
          <w:sz w:val="22"/>
        </w:rPr>
        <w:t> </w:t>
      </w:r>
      <w:r>
        <w:rPr>
          <w:sz w:val="22"/>
        </w:rPr>
        <w:t>Market</w:t>
      </w:r>
      <w:r>
        <w:rPr>
          <w:spacing w:val="-4"/>
          <w:sz w:val="22"/>
        </w:rPr>
        <w:t> </w:t>
      </w:r>
      <w:r>
        <w:rPr>
          <w:sz w:val="22"/>
        </w:rPr>
        <w:t>Operator’s</w:t>
      </w:r>
      <w:r>
        <w:rPr>
          <w:spacing w:val="-2"/>
          <w:sz w:val="22"/>
        </w:rPr>
        <w:t> </w:t>
      </w:r>
      <w:r>
        <w:rPr>
          <w:sz w:val="22"/>
        </w:rPr>
        <w:t>(AEMO)</w:t>
      </w:r>
      <w:r>
        <w:rPr>
          <w:spacing w:val="-4"/>
          <w:sz w:val="22"/>
        </w:rPr>
        <w:t> </w:t>
      </w:r>
      <w:r>
        <w:rPr>
          <w:sz w:val="22"/>
        </w:rPr>
        <w:t>cyber</w:t>
      </w:r>
      <w:r>
        <w:rPr>
          <w:spacing w:val="-4"/>
          <w:sz w:val="22"/>
        </w:rPr>
        <w:t> </w:t>
      </w:r>
      <w:r>
        <w:rPr>
          <w:sz w:val="22"/>
        </w:rPr>
        <w:t>security </w:t>
      </w:r>
      <w:r>
        <w:rPr>
          <w:spacing w:val="-2"/>
          <w:sz w:val="22"/>
        </w:rPr>
        <w:t>capabilities;</w:t>
      </w:r>
    </w:p>
    <w:p>
      <w:pPr>
        <w:pStyle w:val="BodyText"/>
        <w:spacing w:before="2"/>
      </w:pPr>
    </w:p>
    <w:p>
      <w:pPr>
        <w:pStyle w:val="ListParagraph"/>
        <w:numPr>
          <w:ilvl w:val="0"/>
          <w:numId w:val="78"/>
        </w:numPr>
        <w:tabs>
          <w:tab w:pos="734" w:val="left" w:leader="none"/>
        </w:tabs>
        <w:spacing w:line="288" w:lineRule="auto" w:before="0" w:after="0"/>
        <w:ind w:left="734" w:right="1184" w:hanging="361"/>
        <w:jc w:val="left"/>
        <w:rPr>
          <w:sz w:val="22"/>
        </w:rPr>
      </w:pPr>
      <w:r>
        <w:rPr>
          <w:sz w:val="22"/>
        </w:rPr>
        <w:t>a</w:t>
      </w:r>
      <w:r>
        <w:rPr>
          <w:spacing w:val="-2"/>
          <w:sz w:val="22"/>
        </w:rPr>
        <w:t> </w:t>
      </w:r>
      <w:r>
        <w:rPr>
          <w:sz w:val="22"/>
        </w:rPr>
        <w:t>stocktake</w:t>
      </w:r>
      <w:r>
        <w:rPr>
          <w:spacing w:val="-4"/>
          <w:sz w:val="22"/>
        </w:rPr>
        <w:t> </w:t>
      </w:r>
      <w:r>
        <w:rPr>
          <w:sz w:val="22"/>
        </w:rPr>
        <w:t>of current</w:t>
      </w:r>
      <w:r>
        <w:rPr>
          <w:spacing w:val="-3"/>
          <w:sz w:val="22"/>
        </w:rPr>
        <w:t> </w:t>
      </w:r>
      <w:r>
        <w:rPr>
          <w:sz w:val="22"/>
        </w:rPr>
        <w:t>regulatory</w:t>
      </w:r>
      <w:r>
        <w:rPr>
          <w:spacing w:val="-4"/>
          <w:sz w:val="22"/>
        </w:rPr>
        <w:t> </w:t>
      </w:r>
      <w:r>
        <w:rPr>
          <w:sz w:val="22"/>
        </w:rPr>
        <w:t>procedures</w:t>
      </w:r>
      <w:r>
        <w:rPr>
          <w:spacing w:val="-4"/>
          <w:sz w:val="22"/>
        </w:rPr>
        <w:t> </w:t>
      </w:r>
      <w:r>
        <w:rPr>
          <w:sz w:val="22"/>
        </w:rPr>
        <w:t>to</w:t>
      </w:r>
      <w:r>
        <w:rPr>
          <w:spacing w:val="-2"/>
          <w:sz w:val="22"/>
        </w:rPr>
        <w:t> </w:t>
      </w:r>
      <w:r>
        <w:rPr>
          <w:sz w:val="22"/>
        </w:rPr>
        <w:t>ensure</w:t>
      </w:r>
      <w:r>
        <w:rPr>
          <w:spacing w:val="-4"/>
          <w:sz w:val="22"/>
        </w:rPr>
        <w:t> </w:t>
      </w:r>
      <w:r>
        <w:rPr>
          <w:sz w:val="22"/>
        </w:rPr>
        <w:t>they</w:t>
      </w:r>
      <w:r>
        <w:rPr>
          <w:spacing w:val="-4"/>
          <w:sz w:val="22"/>
        </w:rPr>
        <w:t> </w:t>
      </w:r>
      <w:r>
        <w:rPr>
          <w:sz w:val="22"/>
        </w:rPr>
        <w:t>are</w:t>
      </w:r>
      <w:r>
        <w:rPr>
          <w:spacing w:val="-4"/>
          <w:sz w:val="22"/>
        </w:rPr>
        <w:t> </w:t>
      </w:r>
      <w:r>
        <w:rPr>
          <w:sz w:val="22"/>
        </w:rPr>
        <w:t>sufficient</w:t>
      </w:r>
      <w:r>
        <w:rPr>
          <w:spacing w:val="-3"/>
          <w:sz w:val="22"/>
        </w:rPr>
        <w:t> </w:t>
      </w:r>
      <w:r>
        <w:rPr>
          <w:sz w:val="22"/>
        </w:rPr>
        <w:t>to</w:t>
      </w:r>
      <w:r>
        <w:rPr>
          <w:spacing w:val="-2"/>
          <w:sz w:val="22"/>
        </w:rPr>
        <w:t> </w:t>
      </w:r>
      <w:r>
        <w:rPr>
          <w:sz w:val="22"/>
        </w:rPr>
        <w:t>deal</w:t>
      </w:r>
      <w:r>
        <w:rPr>
          <w:spacing w:val="-3"/>
          <w:sz w:val="22"/>
        </w:rPr>
        <w:t> </w:t>
      </w:r>
      <w:r>
        <w:rPr>
          <w:sz w:val="22"/>
        </w:rPr>
        <w:t>with any potential cyber incidents in the NEM;</w:t>
      </w:r>
    </w:p>
    <w:p>
      <w:pPr>
        <w:pStyle w:val="BodyText"/>
        <w:spacing w:before="1"/>
      </w:pPr>
    </w:p>
    <w:p>
      <w:pPr>
        <w:pStyle w:val="ListParagraph"/>
        <w:numPr>
          <w:ilvl w:val="0"/>
          <w:numId w:val="78"/>
        </w:numPr>
        <w:tabs>
          <w:tab w:pos="734" w:val="left" w:leader="none"/>
        </w:tabs>
        <w:spacing w:line="288" w:lineRule="auto" w:before="0" w:after="0"/>
        <w:ind w:left="734" w:right="921" w:hanging="361"/>
        <w:jc w:val="left"/>
        <w:rPr>
          <w:sz w:val="22"/>
        </w:rPr>
      </w:pPr>
      <w:r>
        <w:rPr>
          <w:sz w:val="22"/>
        </w:rPr>
        <w:t>an update from energy market participants on how they undertake testing and assessment</w:t>
      </w:r>
      <w:r>
        <w:rPr>
          <w:spacing w:val="-2"/>
          <w:sz w:val="22"/>
        </w:rPr>
        <w:t> </w:t>
      </w:r>
      <w:r>
        <w:rPr>
          <w:sz w:val="22"/>
        </w:rPr>
        <w:t>of</w:t>
      </w:r>
      <w:r>
        <w:rPr>
          <w:spacing w:val="-5"/>
          <w:sz w:val="22"/>
        </w:rPr>
        <w:t> </w:t>
      </w:r>
      <w:r>
        <w:rPr>
          <w:sz w:val="22"/>
        </w:rPr>
        <w:t>cyber</w:t>
      </w:r>
      <w:r>
        <w:rPr>
          <w:spacing w:val="-3"/>
          <w:sz w:val="22"/>
        </w:rPr>
        <w:t> </w:t>
      </w:r>
      <w:r>
        <w:rPr>
          <w:sz w:val="22"/>
        </w:rPr>
        <w:t>security</w:t>
      </w:r>
      <w:r>
        <w:rPr>
          <w:spacing w:val="-5"/>
          <w:sz w:val="22"/>
        </w:rPr>
        <w:t> </w:t>
      </w:r>
      <w:r>
        <w:rPr>
          <w:sz w:val="22"/>
        </w:rPr>
        <w:t>awareness</w:t>
      </w:r>
      <w:r>
        <w:rPr>
          <w:spacing w:val="-4"/>
          <w:sz w:val="22"/>
        </w:rPr>
        <w:t> </w:t>
      </w:r>
      <w:r>
        <w:rPr>
          <w:sz w:val="22"/>
        </w:rPr>
        <w:t>and</w:t>
      </w:r>
      <w:r>
        <w:rPr>
          <w:spacing w:val="-4"/>
          <w:sz w:val="22"/>
        </w:rPr>
        <w:t> </w:t>
      </w:r>
      <w:r>
        <w:rPr>
          <w:sz w:val="22"/>
        </w:rPr>
        <w:t>detection,</w:t>
      </w:r>
      <w:r>
        <w:rPr>
          <w:spacing w:val="-3"/>
          <w:sz w:val="22"/>
        </w:rPr>
        <w:t> </w:t>
      </w:r>
      <w:r>
        <w:rPr>
          <w:sz w:val="22"/>
        </w:rPr>
        <w:t>and</w:t>
      </w:r>
      <w:r>
        <w:rPr>
          <w:spacing w:val="-6"/>
          <w:sz w:val="22"/>
        </w:rPr>
        <w:t> </w:t>
      </w:r>
      <w:r>
        <w:rPr>
          <w:sz w:val="22"/>
        </w:rPr>
        <w:t>requirements</w:t>
      </w:r>
      <w:r>
        <w:rPr>
          <w:spacing w:val="-8"/>
          <w:sz w:val="22"/>
        </w:rPr>
        <w:t> </w:t>
      </w:r>
      <w:r>
        <w:rPr>
          <w:sz w:val="22"/>
        </w:rPr>
        <w:t>for</w:t>
      </w:r>
      <w:r>
        <w:rPr>
          <w:spacing w:val="-3"/>
          <w:sz w:val="22"/>
        </w:rPr>
        <w:t> </w:t>
      </w:r>
      <w:r>
        <w:rPr>
          <w:sz w:val="22"/>
        </w:rPr>
        <w:t>employee </w:t>
      </w:r>
      <w:r>
        <w:rPr>
          <w:spacing w:val="-2"/>
          <w:sz w:val="22"/>
        </w:rPr>
        <w:t>training.</w:t>
      </w:r>
    </w:p>
    <w:p>
      <w:pPr>
        <w:pStyle w:val="BodyText"/>
        <w:spacing w:before="9"/>
        <w:rPr>
          <w:sz w:val="20"/>
        </w:rPr>
      </w:pPr>
    </w:p>
    <w:p>
      <w:pPr>
        <w:spacing w:line="288" w:lineRule="auto" w:before="0"/>
        <w:ind w:left="345" w:right="868" w:firstLine="0"/>
        <w:jc w:val="left"/>
        <w:rPr>
          <w:sz w:val="22"/>
        </w:rPr>
      </w:pPr>
      <w:r>
        <w:rPr>
          <w:sz w:val="22"/>
        </w:rPr>
        <w:t>The</w:t>
      </w:r>
      <w:r>
        <w:rPr>
          <w:spacing w:val="-4"/>
          <w:sz w:val="22"/>
        </w:rPr>
        <w:t> </w:t>
      </w:r>
      <w:r>
        <w:rPr>
          <w:i/>
          <w:sz w:val="22"/>
        </w:rPr>
        <w:t>Electricity</w:t>
      </w:r>
      <w:r>
        <w:rPr>
          <w:i/>
          <w:spacing w:val="-4"/>
          <w:sz w:val="22"/>
        </w:rPr>
        <w:t> </w:t>
      </w:r>
      <w:r>
        <w:rPr>
          <w:i/>
          <w:sz w:val="22"/>
        </w:rPr>
        <w:t>Network</w:t>
      </w:r>
      <w:r>
        <w:rPr>
          <w:i/>
          <w:spacing w:val="-2"/>
          <w:sz w:val="22"/>
        </w:rPr>
        <w:t> </w:t>
      </w:r>
      <w:r>
        <w:rPr>
          <w:i/>
          <w:sz w:val="22"/>
        </w:rPr>
        <w:t>Transformation</w:t>
      </w:r>
      <w:r>
        <w:rPr>
          <w:i/>
          <w:spacing w:val="-2"/>
          <w:sz w:val="22"/>
        </w:rPr>
        <w:t> </w:t>
      </w:r>
      <w:r>
        <w:rPr>
          <w:i/>
          <w:sz w:val="22"/>
        </w:rPr>
        <w:t>Roadmap</w:t>
      </w:r>
      <w:r>
        <w:rPr>
          <w:i/>
          <w:spacing w:val="-4"/>
          <w:sz w:val="22"/>
        </w:rPr>
        <w:t> </w:t>
      </w:r>
      <w:r>
        <w:rPr>
          <w:sz w:val="22"/>
        </w:rPr>
        <w:t>noted</w:t>
      </w:r>
      <w:r>
        <w:rPr>
          <w:spacing w:val="-4"/>
          <w:sz w:val="22"/>
        </w:rPr>
        <w:t> </w:t>
      </w:r>
      <w:r>
        <w:rPr>
          <w:sz w:val="22"/>
        </w:rPr>
        <w:t>that</w:t>
      </w:r>
      <w:r>
        <w:rPr>
          <w:spacing w:val="-3"/>
          <w:sz w:val="22"/>
        </w:rPr>
        <w:t> </w:t>
      </w:r>
      <w:r>
        <w:rPr>
          <w:sz w:val="22"/>
        </w:rPr>
        <w:t>cyber</w:t>
      </w:r>
      <w:r>
        <w:rPr>
          <w:spacing w:val="-2"/>
          <w:sz w:val="22"/>
        </w:rPr>
        <w:t> </w:t>
      </w:r>
      <w:r>
        <w:rPr>
          <w:sz w:val="22"/>
        </w:rPr>
        <w:t>security</w:t>
      </w:r>
      <w:r>
        <w:rPr>
          <w:spacing w:val="-4"/>
          <w:sz w:val="22"/>
        </w:rPr>
        <w:t> </w:t>
      </w:r>
      <w:r>
        <w:rPr>
          <w:sz w:val="22"/>
        </w:rPr>
        <w:t>strategies</w:t>
      </w:r>
      <w:r>
        <w:rPr>
          <w:spacing w:val="-4"/>
          <w:sz w:val="22"/>
        </w:rPr>
        <w:t> </w:t>
      </w:r>
      <w:r>
        <w:rPr>
          <w:sz w:val="22"/>
        </w:rPr>
        <w:t>will</w:t>
      </w:r>
      <w:r>
        <w:rPr>
          <w:spacing w:val="-2"/>
          <w:sz w:val="22"/>
        </w:rPr>
        <w:t> </w:t>
      </w:r>
      <w:r>
        <w:rPr>
          <w:sz w:val="22"/>
        </w:rPr>
        <w:t>be essential to mitigate the risks of damage as a result of cyber-attacks (CSIRO &amp; Energy Networks Australia, 2017).</w:t>
      </w:r>
    </w:p>
    <w:p>
      <w:pPr>
        <w:pStyle w:val="BodyText"/>
        <w:rPr>
          <w:sz w:val="24"/>
        </w:rPr>
      </w:pPr>
    </w:p>
    <w:p>
      <w:pPr>
        <w:pStyle w:val="BodyText"/>
        <w:rPr>
          <w:sz w:val="24"/>
        </w:rPr>
      </w:pPr>
    </w:p>
    <w:p>
      <w:pPr>
        <w:pStyle w:val="BodyText"/>
        <w:rPr>
          <w:sz w:val="24"/>
        </w:rPr>
      </w:pPr>
    </w:p>
    <w:p>
      <w:pPr>
        <w:pStyle w:val="Heading6"/>
        <w:spacing w:before="202"/>
        <w:ind w:left="232"/>
      </w:pPr>
      <w:r>
        <w:rPr/>
        <w:t>The</w:t>
      </w:r>
      <w:r>
        <w:rPr>
          <w:spacing w:val="-1"/>
        </w:rPr>
        <w:t> </w:t>
      </w:r>
      <w:r>
        <w:rPr/>
        <w:t>changing</w:t>
      </w:r>
      <w:r>
        <w:rPr>
          <w:spacing w:val="-4"/>
        </w:rPr>
        <w:t> </w:t>
      </w:r>
      <w:r>
        <w:rPr/>
        <w:t>way</w:t>
      </w:r>
      <w:r>
        <w:rPr>
          <w:spacing w:val="-8"/>
        </w:rPr>
        <w:t> </w:t>
      </w:r>
      <w:r>
        <w:rPr/>
        <w:t>services</w:t>
      </w:r>
      <w:r>
        <w:rPr>
          <w:spacing w:val="-1"/>
        </w:rPr>
        <w:t> </w:t>
      </w:r>
      <w:r>
        <w:rPr/>
        <w:t>are </w:t>
      </w:r>
      <w:r>
        <w:rPr>
          <w:spacing w:val="-2"/>
        </w:rPr>
        <w:t>provided</w:t>
      </w:r>
    </w:p>
    <w:p>
      <w:pPr>
        <w:pStyle w:val="BodyText"/>
        <w:spacing w:line="288" w:lineRule="auto" w:before="175"/>
        <w:ind w:left="232" w:right="374"/>
      </w:pPr>
      <w:r>
        <w:rPr/>
        <w:t>In addition</w:t>
      </w:r>
      <w:r>
        <w:rPr>
          <w:spacing w:val="-1"/>
        </w:rPr>
        <w:t> </w:t>
      </w:r>
      <w:r>
        <w:rPr/>
        <w:t>to</w:t>
      </w:r>
      <w:r>
        <w:rPr>
          <w:spacing w:val="-1"/>
        </w:rPr>
        <w:t> </w:t>
      </w:r>
      <w:r>
        <w:rPr/>
        <w:t>the</w:t>
      </w:r>
      <w:r>
        <w:rPr>
          <w:spacing w:val="-1"/>
        </w:rPr>
        <w:t> </w:t>
      </w:r>
      <w:r>
        <w:rPr/>
        <w:t>emergence of new technologies, the</w:t>
      </w:r>
      <w:r>
        <w:rPr>
          <w:spacing w:val="-1"/>
        </w:rPr>
        <w:t> </w:t>
      </w:r>
      <w:r>
        <w:rPr/>
        <w:t>way</w:t>
      </w:r>
      <w:r>
        <w:rPr>
          <w:spacing w:val="-1"/>
        </w:rPr>
        <w:t> </w:t>
      </w:r>
      <w:r>
        <w:rPr/>
        <w:t>services are provided to consumers</w:t>
      </w:r>
      <w:r>
        <w:rPr>
          <w:spacing w:val="-1"/>
        </w:rPr>
        <w:t> </w:t>
      </w:r>
      <w:r>
        <w:rPr/>
        <w:t>is changing</w:t>
      </w:r>
      <w:r>
        <w:rPr>
          <w:spacing w:val="-2"/>
        </w:rPr>
        <w:t> </w:t>
      </w:r>
      <w:r>
        <w:rPr/>
        <w:t>rapidly, allowing</w:t>
      </w:r>
      <w:r>
        <w:rPr>
          <w:spacing w:val="-2"/>
        </w:rPr>
        <w:t> </w:t>
      </w:r>
      <w:r>
        <w:rPr/>
        <w:t>new</w:t>
      </w:r>
      <w:r>
        <w:rPr>
          <w:spacing w:val="-5"/>
        </w:rPr>
        <w:t> </w:t>
      </w:r>
      <w:r>
        <w:rPr/>
        <w:t>entrants</w:t>
      </w:r>
      <w:r>
        <w:rPr>
          <w:spacing w:val="-4"/>
        </w:rPr>
        <w:t> </w:t>
      </w:r>
      <w:r>
        <w:rPr/>
        <w:t>to</w:t>
      </w:r>
      <w:r>
        <w:rPr>
          <w:spacing w:val="-2"/>
        </w:rPr>
        <w:t> </w:t>
      </w:r>
      <w:r>
        <w:rPr/>
        <w:t>enter</w:t>
      </w:r>
      <w:r>
        <w:rPr>
          <w:spacing w:val="-3"/>
        </w:rPr>
        <w:t> </w:t>
      </w:r>
      <w:r>
        <w:rPr/>
        <w:t>the</w:t>
      </w:r>
      <w:r>
        <w:rPr>
          <w:spacing w:val="-2"/>
        </w:rPr>
        <w:t> </w:t>
      </w:r>
      <w:r>
        <w:rPr/>
        <w:t>market</w:t>
      </w:r>
      <w:r>
        <w:rPr>
          <w:spacing w:val="-3"/>
        </w:rPr>
        <w:t> </w:t>
      </w:r>
      <w:r>
        <w:rPr/>
        <w:t>offering</w:t>
      </w:r>
      <w:r>
        <w:rPr>
          <w:spacing w:val="-2"/>
        </w:rPr>
        <w:t> </w:t>
      </w:r>
      <w:r>
        <w:rPr/>
        <w:t>a</w:t>
      </w:r>
      <w:r>
        <w:rPr>
          <w:spacing w:val="-1"/>
        </w:rPr>
        <w:t> </w:t>
      </w:r>
      <w:r>
        <w:rPr/>
        <w:t>new</w:t>
      </w:r>
      <w:r>
        <w:rPr>
          <w:spacing w:val="-5"/>
        </w:rPr>
        <w:t> </w:t>
      </w:r>
      <w:r>
        <w:rPr/>
        <w:t>range</w:t>
      </w:r>
      <w:r>
        <w:rPr>
          <w:spacing w:val="-4"/>
        </w:rPr>
        <w:t> </w:t>
      </w:r>
      <w:r>
        <w:rPr/>
        <w:t>of electricity</w:t>
      </w:r>
      <w:r>
        <w:rPr>
          <w:spacing w:val="-4"/>
        </w:rPr>
        <w:t> </w:t>
      </w:r>
      <w:r>
        <w:rPr/>
        <w:t>and gas</w:t>
      </w:r>
      <w:r>
        <w:rPr>
          <w:spacing w:val="-2"/>
        </w:rPr>
        <w:t> </w:t>
      </w:r>
      <w:r>
        <w:rPr/>
        <w:t>services</w:t>
      </w:r>
      <w:r>
        <w:rPr>
          <w:spacing w:val="-2"/>
        </w:rPr>
        <w:t> </w:t>
      </w:r>
      <w:r>
        <w:rPr/>
        <w:t>to consumers.</w:t>
      </w:r>
      <w:r>
        <w:rPr>
          <w:spacing w:val="-3"/>
        </w:rPr>
        <w:t> </w:t>
      </w:r>
      <w:r>
        <w:rPr/>
        <w:t>The Australian Energy Market Commission</w:t>
      </w:r>
      <w:r>
        <w:rPr>
          <w:spacing w:val="-2"/>
        </w:rPr>
        <w:t> </w:t>
      </w:r>
      <w:r>
        <w:rPr/>
        <w:t>(AEMC) Power of Choice reforms are designed to encourage this transition by encouraging competition in the market and promoting contestable arrangements for services, such as metering and distributed energy resources</w:t>
      </w:r>
      <w:r>
        <w:rPr>
          <w:spacing w:val="-2"/>
        </w:rPr>
        <w:t> </w:t>
      </w:r>
      <w:r>
        <w:rPr/>
        <w:t>(AEMC, 2012). Consistent</w:t>
      </w:r>
      <w:r>
        <w:rPr>
          <w:spacing w:val="-2"/>
        </w:rPr>
        <w:t> </w:t>
      </w:r>
      <w:r>
        <w:rPr/>
        <w:t>regulation</w:t>
      </w:r>
      <w:r>
        <w:rPr>
          <w:spacing w:val="-1"/>
        </w:rPr>
        <w:t> </w:t>
      </w:r>
      <w:r>
        <w:rPr/>
        <w:t>and</w:t>
      </w:r>
      <w:r>
        <w:rPr>
          <w:spacing w:val="-1"/>
        </w:rPr>
        <w:t> </w:t>
      </w:r>
      <w:r>
        <w:rPr/>
        <w:t>standards</w:t>
      </w:r>
      <w:r>
        <w:rPr>
          <w:spacing w:val="-3"/>
        </w:rPr>
        <w:t> </w:t>
      </w:r>
      <w:r>
        <w:rPr/>
        <w:t>must apply</w:t>
      </w:r>
      <w:r>
        <w:rPr>
          <w:spacing w:val="-3"/>
        </w:rPr>
        <w:t> </w:t>
      </w:r>
      <w:r>
        <w:rPr/>
        <w:t>to</w:t>
      </w:r>
      <w:r>
        <w:rPr>
          <w:spacing w:val="-3"/>
        </w:rPr>
        <w:t> </w:t>
      </w:r>
      <w:r>
        <w:rPr/>
        <w:t>all service</w:t>
      </w:r>
      <w:r>
        <w:rPr>
          <w:spacing w:val="-1"/>
        </w:rPr>
        <w:t> </w:t>
      </w:r>
      <w:r>
        <w:rPr/>
        <w:t>providers to ensure safety is a priority for all businesses.</w:t>
      </w:r>
    </w:p>
    <w:p>
      <w:pPr>
        <w:spacing w:after="0" w:line="288" w:lineRule="auto"/>
        <w:sectPr>
          <w:pgSz w:w="11910" w:h="16850"/>
          <w:pgMar w:header="220" w:footer="678" w:top="420" w:bottom="860" w:left="900" w:right="840"/>
        </w:sectPr>
      </w:pPr>
    </w:p>
    <w:p>
      <w:pPr>
        <w:pStyle w:val="BodyText"/>
        <w:rPr>
          <w:sz w:val="20"/>
        </w:rPr>
      </w:pPr>
    </w:p>
    <w:p>
      <w:pPr>
        <w:pStyle w:val="BodyText"/>
        <w:spacing w:before="2"/>
        <w:rPr>
          <w:sz w:val="19"/>
        </w:rPr>
      </w:pPr>
    </w:p>
    <w:p>
      <w:pPr>
        <w:pStyle w:val="BodyText"/>
        <w:spacing w:line="288" w:lineRule="auto" w:before="94"/>
        <w:ind w:left="232" w:right="408"/>
      </w:pPr>
      <w:r>
        <w:rPr/>
        <w:t>In</w:t>
      </w:r>
      <w:r>
        <w:rPr>
          <w:spacing w:val="-2"/>
        </w:rPr>
        <w:t> </w:t>
      </w:r>
      <w:r>
        <w:rPr/>
        <w:t>its</w:t>
      </w:r>
      <w:r>
        <w:rPr>
          <w:spacing w:val="-3"/>
        </w:rPr>
        <w:t> </w:t>
      </w:r>
      <w:r>
        <w:rPr/>
        <w:t>submission</w:t>
      </w:r>
      <w:r>
        <w:rPr>
          <w:spacing w:val="-2"/>
        </w:rPr>
        <w:t> </w:t>
      </w:r>
      <w:r>
        <w:rPr/>
        <w:t>to</w:t>
      </w:r>
      <w:r>
        <w:rPr>
          <w:spacing w:val="-6"/>
        </w:rPr>
        <w:t> </w:t>
      </w:r>
      <w:r>
        <w:rPr/>
        <w:t>the</w:t>
      </w:r>
      <w:r>
        <w:rPr>
          <w:spacing w:val="-4"/>
        </w:rPr>
        <w:t> </w:t>
      </w:r>
      <w:r>
        <w:rPr/>
        <w:t>review, CitiPower</w:t>
      </w:r>
      <w:r>
        <w:rPr>
          <w:spacing w:val="-1"/>
        </w:rPr>
        <w:t> </w:t>
      </w:r>
      <w:r>
        <w:rPr/>
        <w:t>and</w:t>
      </w:r>
      <w:r>
        <w:rPr>
          <w:spacing w:val="-2"/>
        </w:rPr>
        <w:t> </w:t>
      </w:r>
      <w:r>
        <w:rPr/>
        <w:t>Powercor Australia</w:t>
      </w:r>
      <w:r>
        <w:rPr>
          <w:spacing w:val="-1"/>
        </w:rPr>
        <w:t> </w:t>
      </w:r>
      <w:r>
        <w:rPr/>
        <w:t>highlighted</w:t>
      </w:r>
      <w:r>
        <w:rPr>
          <w:spacing w:val="-4"/>
        </w:rPr>
        <w:t> </w:t>
      </w:r>
      <w:r>
        <w:rPr/>
        <w:t>the</w:t>
      </w:r>
      <w:r>
        <w:rPr>
          <w:spacing w:val="-2"/>
        </w:rPr>
        <w:t> </w:t>
      </w:r>
      <w:r>
        <w:rPr/>
        <w:t>necessity</w:t>
      </w:r>
      <w:r>
        <w:rPr>
          <w:spacing w:val="-6"/>
        </w:rPr>
        <w:t> </w:t>
      </w:r>
      <w:r>
        <w:rPr/>
        <w:t>for</w:t>
      </w:r>
      <w:r>
        <w:rPr>
          <w:spacing w:val="-3"/>
        </w:rPr>
        <w:t> </w:t>
      </w:r>
      <w:r>
        <w:rPr/>
        <w:t>the same level of safety regulation to apply to all network service providers:</w:t>
      </w:r>
    </w:p>
    <w:p>
      <w:pPr>
        <w:pStyle w:val="BodyText"/>
        <w:spacing w:before="10"/>
        <w:rPr>
          <w:sz w:val="20"/>
        </w:rPr>
      </w:pPr>
    </w:p>
    <w:p>
      <w:pPr>
        <w:spacing w:line="288" w:lineRule="auto" w:before="1"/>
        <w:ind w:left="799" w:right="887" w:firstLine="0"/>
        <w:jc w:val="left"/>
        <w:rPr>
          <w:i/>
          <w:sz w:val="22"/>
        </w:rPr>
      </w:pPr>
      <w:r>
        <w:rPr>
          <w:i/>
          <w:sz w:val="22"/>
        </w:rPr>
        <w:t>“Contestable services such as the installation and operation of distributed energy resources and metering services have serious electrical safety risks, particularly through</w:t>
      </w:r>
      <w:r>
        <w:rPr>
          <w:i/>
          <w:spacing w:val="-5"/>
          <w:sz w:val="22"/>
        </w:rPr>
        <w:t> </w:t>
      </w:r>
      <w:r>
        <w:rPr>
          <w:i/>
          <w:sz w:val="22"/>
        </w:rPr>
        <w:t>their</w:t>
      </w:r>
      <w:r>
        <w:rPr>
          <w:i/>
          <w:spacing w:val="-3"/>
          <w:sz w:val="22"/>
        </w:rPr>
        <w:t> </w:t>
      </w:r>
      <w:r>
        <w:rPr>
          <w:i/>
          <w:sz w:val="22"/>
        </w:rPr>
        <w:t>interaction</w:t>
      </w:r>
      <w:r>
        <w:rPr>
          <w:i/>
          <w:spacing w:val="-4"/>
          <w:sz w:val="22"/>
        </w:rPr>
        <w:t> </w:t>
      </w:r>
      <w:r>
        <w:rPr>
          <w:i/>
          <w:sz w:val="22"/>
        </w:rPr>
        <w:t>with</w:t>
      </w:r>
      <w:r>
        <w:rPr>
          <w:i/>
          <w:spacing w:val="-4"/>
          <w:sz w:val="22"/>
        </w:rPr>
        <w:t> </w:t>
      </w:r>
      <w:r>
        <w:rPr>
          <w:i/>
          <w:sz w:val="22"/>
        </w:rPr>
        <w:t>the</w:t>
      </w:r>
      <w:r>
        <w:rPr>
          <w:i/>
          <w:spacing w:val="-4"/>
          <w:sz w:val="22"/>
        </w:rPr>
        <w:t> </w:t>
      </w:r>
      <w:r>
        <w:rPr>
          <w:i/>
          <w:sz w:val="22"/>
        </w:rPr>
        <w:t>distribution</w:t>
      </w:r>
      <w:r>
        <w:rPr>
          <w:i/>
          <w:spacing w:val="-2"/>
          <w:sz w:val="22"/>
        </w:rPr>
        <w:t> </w:t>
      </w:r>
      <w:r>
        <w:rPr>
          <w:i/>
          <w:sz w:val="22"/>
        </w:rPr>
        <w:t>network.</w:t>
      </w:r>
      <w:r>
        <w:rPr>
          <w:i/>
          <w:spacing w:val="-2"/>
          <w:sz w:val="22"/>
        </w:rPr>
        <w:t> </w:t>
      </w:r>
      <w:r>
        <w:rPr>
          <w:i/>
          <w:sz w:val="22"/>
        </w:rPr>
        <w:t>It is</w:t>
      </w:r>
      <w:r>
        <w:rPr>
          <w:i/>
          <w:spacing w:val="-4"/>
          <w:sz w:val="22"/>
        </w:rPr>
        <w:t> </w:t>
      </w:r>
      <w:r>
        <w:rPr>
          <w:i/>
          <w:sz w:val="22"/>
        </w:rPr>
        <w:t>important</w:t>
      </w:r>
      <w:r>
        <w:rPr>
          <w:i/>
          <w:spacing w:val="-5"/>
          <w:sz w:val="22"/>
        </w:rPr>
        <w:t> </w:t>
      </w:r>
      <w:r>
        <w:rPr>
          <w:i/>
          <w:sz w:val="22"/>
        </w:rPr>
        <w:t>that</w:t>
      </w:r>
      <w:r>
        <w:rPr>
          <w:i/>
          <w:spacing w:val="-3"/>
          <w:sz w:val="22"/>
        </w:rPr>
        <w:t> </w:t>
      </w:r>
      <w:r>
        <w:rPr>
          <w:i/>
          <w:sz w:val="22"/>
        </w:rPr>
        <w:t>the</w:t>
      </w:r>
      <w:r>
        <w:rPr>
          <w:i/>
          <w:spacing w:val="-2"/>
          <w:sz w:val="22"/>
        </w:rPr>
        <w:t> </w:t>
      </w:r>
      <w:r>
        <w:rPr>
          <w:i/>
          <w:sz w:val="22"/>
        </w:rPr>
        <w:t>same</w:t>
      </w:r>
      <w:r>
        <w:rPr>
          <w:i/>
          <w:spacing w:val="-4"/>
          <w:sz w:val="22"/>
        </w:rPr>
        <w:t> </w:t>
      </w:r>
      <w:r>
        <w:rPr>
          <w:i/>
          <w:sz w:val="22"/>
        </w:rPr>
        <w:t>level of safety regulation applied to NSPs is also applied to contestable service providers.</w:t>
      </w:r>
    </w:p>
    <w:p>
      <w:pPr>
        <w:spacing w:line="288" w:lineRule="auto" w:before="0"/>
        <w:ind w:left="799" w:right="951" w:firstLine="0"/>
        <w:jc w:val="left"/>
        <w:rPr>
          <w:sz w:val="22"/>
        </w:rPr>
      </w:pPr>
      <w:r>
        <w:rPr>
          <w:i/>
          <w:sz w:val="22"/>
        </w:rPr>
        <w:t>The policy objective should be to achieve a certain level of safety outcomes irrespective</w:t>
      </w:r>
      <w:r>
        <w:rPr>
          <w:i/>
          <w:spacing w:val="-5"/>
          <w:sz w:val="22"/>
        </w:rPr>
        <w:t> </w:t>
      </w:r>
      <w:r>
        <w:rPr>
          <w:i/>
          <w:sz w:val="22"/>
        </w:rPr>
        <w:t>of</w:t>
      </w:r>
      <w:r>
        <w:rPr>
          <w:i/>
          <w:spacing w:val="-4"/>
          <w:sz w:val="22"/>
        </w:rPr>
        <w:t> </w:t>
      </w:r>
      <w:r>
        <w:rPr>
          <w:i/>
          <w:sz w:val="22"/>
        </w:rPr>
        <w:t>the</w:t>
      </w:r>
      <w:r>
        <w:rPr>
          <w:i/>
          <w:spacing w:val="-5"/>
          <w:sz w:val="22"/>
        </w:rPr>
        <w:t> </w:t>
      </w:r>
      <w:r>
        <w:rPr>
          <w:i/>
          <w:sz w:val="22"/>
        </w:rPr>
        <w:t>party</w:t>
      </w:r>
      <w:r>
        <w:rPr>
          <w:i/>
          <w:spacing w:val="-6"/>
          <w:sz w:val="22"/>
        </w:rPr>
        <w:t> </w:t>
      </w:r>
      <w:r>
        <w:rPr>
          <w:i/>
          <w:sz w:val="22"/>
        </w:rPr>
        <w:t>providing</w:t>
      </w:r>
      <w:r>
        <w:rPr>
          <w:i/>
          <w:spacing w:val="-3"/>
          <w:sz w:val="22"/>
        </w:rPr>
        <w:t> </w:t>
      </w:r>
      <w:r>
        <w:rPr>
          <w:i/>
          <w:sz w:val="22"/>
        </w:rPr>
        <w:t>the</w:t>
      </w:r>
      <w:r>
        <w:rPr>
          <w:i/>
          <w:spacing w:val="-5"/>
          <w:sz w:val="22"/>
        </w:rPr>
        <w:t> </w:t>
      </w:r>
      <w:r>
        <w:rPr>
          <w:i/>
          <w:sz w:val="22"/>
        </w:rPr>
        <w:t>service.”</w:t>
      </w:r>
      <w:r>
        <w:rPr>
          <w:i/>
          <w:spacing w:val="-5"/>
          <w:sz w:val="22"/>
        </w:rPr>
        <w:t> </w:t>
      </w:r>
      <w:r>
        <w:rPr>
          <w:sz w:val="22"/>
        </w:rPr>
        <w:t>(CitiPower</w:t>
      </w:r>
      <w:r>
        <w:rPr>
          <w:spacing w:val="-2"/>
          <w:sz w:val="22"/>
        </w:rPr>
        <w:t> </w:t>
      </w:r>
      <w:r>
        <w:rPr>
          <w:sz w:val="22"/>
        </w:rPr>
        <w:t>&amp;</w:t>
      </w:r>
      <w:r>
        <w:rPr>
          <w:spacing w:val="-3"/>
          <w:sz w:val="22"/>
        </w:rPr>
        <w:t> </w:t>
      </w:r>
      <w:r>
        <w:rPr>
          <w:sz w:val="22"/>
        </w:rPr>
        <w:t>Powercor</w:t>
      </w:r>
      <w:r>
        <w:rPr>
          <w:spacing w:val="-1"/>
          <w:sz w:val="22"/>
        </w:rPr>
        <w:t> </w:t>
      </w:r>
      <w:r>
        <w:rPr>
          <w:sz w:val="22"/>
        </w:rPr>
        <w:t>Australia,</w:t>
      </w:r>
      <w:r>
        <w:rPr>
          <w:spacing w:val="-2"/>
          <w:sz w:val="22"/>
        </w:rPr>
        <w:t> </w:t>
      </w:r>
      <w:r>
        <w:rPr>
          <w:sz w:val="22"/>
        </w:rPr>
        <w:t>2017, p. 18)</w:t>
      </w:r>
    </w:p>
    <w:p>
      <w:pPr>
        <w:pStyle w:val="BodyText"/>
        <w:spacing w:before="8"/>
        <w:rPr>
          <w:sz w:val="20"/>
        </w:rPr>
      </w:pPr>
    </w:p>
    <w:p>
      <w:pPr>
        <w:pStyle w:val="BodyText"/>
        <w:spacing w:line="288" w:lineRule="auto" w:before="1"/>
        <w:ind w:left="232" w:right="374"/>
      </w:pPr>
      <w:r>
        <w:rPr/>
        <w:t>As discussed earlier in this chapter, ESV must be proactive to ensure that safety regulations and standards</w:t>
      </w:r>
      <w:r>
        <w:rPr>
          <w:spacing w:val="-4"/>
        </w:rPr>
        <w:t> </w:t>
      </w:r>
      <w:r>
        <w:rPr/>
        <w:t>apply</w:t>
      </w:r>
      <w:r>
        <w:rPr>
          <w:spacing w:val="-4"/>
        </w:rPr>
        <w:t> </w:t>
      </w:r>
      <w:r>
        <w:rPr/>
        <w:t>to</w:t>
      </w:r>
      <w:r>
        <w:rPr>
          <w:spacing w:val="-1"/>
        </w:rPr>
        <w:t> </w:t>
      </w:r>
      <w:r>
        <w:rPr/>
        <w:t>all</w:t>
      </w:r>
      <w:r>
        <w:rPr>
          <w:spacing w:val="-2"/>
        </w:rPr>
        <w:t> </w:t>
      </w:r>
      <w:r>
        <w:rPr/>
        <w:t>network operators and</w:t>
      </w:r>
      <w:r>
        <w:rPr>
          <w:spacing w:val="-4"/>
        </w:rPr>
        <w:t> </w:t>
      </w:r>
      <w:r>
        <w:rPr/>
        <w:t>service</w:t>
      </w:r>
      <w:r>
        <w:rPr>
          <w:spacing w:val="-2"/>
        </w:rPr>
        <w:t> </w:t>
      </w:r>
      <w:r>
        <w:rPr/>
        <w:t>providers.</w:t>
      </w:r>
      <w:r>
        <w:rPr>
          <w:spacing w:val="-5"/>
        </w:rPr>
        <w:t> </w:t>
      </w:r>
      <w:r>
        <w:rPr/>
        <w:t>This</w:t>
      </w:r>
      <w:r>
        <w:rPr>
          <w:spacing w:val="-1"/>
        </w:rPr>
        <w:t> </w:t>
      </w:r>
      <w:r>
        <w:rPr/>
        <w:t>includes</w:t>
      </w:r>
      <w:r>
        <w:rPr>
          <w:spacing w:val="-1"/>
        </w:rPr>
        <w:t> </w:t>
      </w:r>
      <w:r>
        <w:rPr/>
        <w:t>third</w:t>
      </w:r>
      <w:r>
        <w:rPr>
          <w:spacing w:val="-4"/>
        </w:rPr>
        <w:t> </w:t>
      </w:r>
      <w:r>
        <w:rPr/>
        <w:t>party</w:t>
      </w:r>
      <w:r>
        <w:rPr>
          <w:spacing w:val="-4"/>
        </w:rPr>
        <w:t> </w:t>
      </w:r>
      <w:r>
        <w:rPr/>
        <w:t>operators and</w:t>
      </w:r>
      <w:r>
        <w:rPr>
          <w:spacing w:val="-2"/>
        </w:rPr>
        <w:t> </w:t>
      </w:r>
      <w:r>
        <w:rPr/>
        <w:t>microgrids</w:t>
      </w:r>
      <w:r>
        <w:rPr>
          <w:spacing w:val="-2"/>
        </w:rPr>
        <w:t> </w:t>
      </w:r>
      <w:r>
        <w:rPr/>
        <w:t>owned</w:t>
      </w:r>
      <w:r>
        <w:rPr>
          <w:spacing w:val="-3"/>
        </w:rPr>
        <w:t> </w:t>
      </w:r>
      <w:r>
        <w:rPr/>
        <w:t>by</w:t>
      </w:r>
      <w:r>
        <w:rPr>
          <w:spacing w:val="-5"/>
        </w:rPr>
        <w:t> </w:t>
      </w:r>
      <w:r>
        <w:rPr/>
        <w:t>private</w:t>
      </w:r>
      <w:r>
        <w:rPr>
          <w:spacing w:val="-2"/>
        </w:rPr>
        <w:t> </w:t>
      </w:r>
      <w:r>
        <w:rPr/>
        <w:t>networks,</w:t>
      </w:r>
      <w:r>
        <w:rPr>
          <w:spacing w:val="-1"/>
        </w:rPr>
        <w:t> </w:t>
      </w:r>
      <w:r>
        <w:rPr/>
        <w:t>particularly</w:t>
      </w:r>
      <w:r>
        <w:rPr>
          <w:spacing w:val="-5"/>
        </w:rPr>
        <w:t> </w:t>
      </w:r>
      <w:r>
        <w:rPr/>
        <w:t>in</w:t>
      </w:r>
      <w:r>
        <w:rPr>
          <w:spacing w:val="-3"/>
        </w:rPr>
        <w:t> </w:t>
      </w:r>
      <w:r>
        <w:rPr/>
        <w:t>regard</w:t>
      </w:r>
      <w:r>
        <w:rPr>
          <w:spacing w:val="-5"/>
        </w:rPr>
        <w:t> </w:t>
      </w:r>
      <w:r>
        <w:rPr/>
        <w:t>to</w:t>
      </w:r>
      <w:r>
        <w:rPr>
          <w:spacing w:val="-3"/>
        </w:rPr>
        <w:t> </w:t>
      </w:r>
      <w:r>
        <w:rPr/>
        <w:t>electricity</w:t>
      </w:r>
      <w:r>
        <w:rPr>
          <w:spacing w:val="-5"/>
        </w:rPr>
        <w:t> </w:t>
      </w:r>
      <w:r>
        <w:rPr/>
        <w:t>safety</w:t>
      </w:r>
      <w:r>
        <w:rPr>
          <w:spacing w:val="-5"/>
        </w:rPr>
        <w:t> </w:t>
      </w:r>
      <w:r>
        <w:rPr/>
        <w:t>management, electric line clearance and bushfire mitigation (Advisian, 2016b).</w:t>
      </w:r>
    </w:p>
    <w:p>
      <w:pPr>
        <w:pStyle w:val="BodyText"/>
        <w:rPr>
          <w:sz w:val="24"/>
        </w:rPr>
      </w:pPr>
    </w:p>
    <w:p>
      <w:pPr>
        <w:pStyle w:val="Heading6"/>
        <w:spacing w:before="145"/>
        <w:ind w:left="232"/>
      </w:pPr>
      <w:r>
        <w:rPr/>
        <w:t>Energy</w:t>
      </w:r>
      <w:r>
        <w:rPr>
          <w:spacing w:val="-8"/>
        </w:rPr>
        <w:t> </w:t>
      </w:r>
      <w:r>
        <w:rPr/>
        <w:t>system</w:t>
      </w:r>
      <w:r>
        <w:rPr>
          <w:spacing w:val="-1"/>
        </w:rPr>
        <w:t> </w:t>
      </w:r>
      <w:r>
        <w:rPr/>
        <w:t>security</w:t>
      </w:r>
      <w:r>
        <w:rPr>
          <w:spacing w:val="-8"/>
        </w:rPr>
        <w:t> </w:t>
      </w:r>
      <w:r>
        <w:rPr/>
        <w:t>and</w:t>
      </w:r>
      <w:r>
        <w:rPr>
          <w:spacing w:val="-1"/>
        </w:rPr>
        <w:t> </w:t>
      </w:r>
      <w:r>
        <w:rPr>
          <w:spacing w:val="-2"/>
        </w:rPr>
        <w:t>reliability</w:t>
      </w:r>
    </w:p>
    <w:p>
      <w:pPr>
        <w:pStyle w:val="BodyText"/>
        <w:spacing w:line="288" w:lineRule="auto" w:before="175"/>
        <w:ind w:left="232" w:right="408"/>
      </w:pPr>
      <w:r>
        <w:rPr/>
        <w:t>Interruptions to the supply of energy have a direct impact on the safety and wellbeing of the community.</w:t>
      </w:r>
      <w:r>
        <w:rPr>
          <w:spacing w:val="-4"/>
        </w:rPr>
        <w:t> </w:t>
      </w:r>
      <w:r>
        <w:rPr/>
        <w:t>The</w:t>
      </w:r>
      <w:r>
        <w:rPr>
          <w:spacing w:val="-2"/>
        </w:rPr>
        <w:t> </w:t>
      </w:r>
      <w:r>
        <w:rPr>
          <w:i/>
        </w:rPr>
        <w:t>System</w:t>
      </w:r>
      <w:r>
        <w:rPr>
          <w:i/>
          <w:spacing w:val="-4"/>
        </w:rPr>
        <w:t> </w:t>
      </w:r>
      <w:r>
        <w:rPr>
          <w:i/>
        </w:rPr>
        <w:t>Security</w:t>
      </w:r>
      <w:r>
        <w:rPr>
          <w:i/>
          <w:spacing w:val="-2"/>
        </w:rPr>
        <w:t> </w:t>
      </w:r>
      <w:r>
        <w:rPr>
          <w:i/>
        </w:rPr>
        <w:t>Market</w:t>
      </w:r>
      <w:r>
        <w:rPr>
          <w:i/>
          <w:spacing w:val="-4"/>
        </w:rPr>
        <w:t> </w:t>
      </w:r>
      <w:r>
        <w:rPr>
          <w:i/>
        </w:rPr>
        <w:t>Frameworks</w:t>
      </w:r>
      <w:r>
        <w:rPr>
          <w:i/>
          <w:spacing w:val="-2"/>
        </w:rPr>
        <w:t> </w:t>
      </w:r>
      <w:r>
        <w:rPr>
          <w:i/>
        </w:rPr>
        <w:t>Review </w:t>
      </w:r>
      <w:r>
        <w:rPr/>
        <w:t>was</w:t>
      </w:r>
      <w:r>
        <w:rPr>
          <w:spacing w:val="-3"/>
        </w:rPr>
        <w:t> </w:t>
      </w:r>
      <w:r>
        <w:rPr/>
        <w:t>initiated</w:t>
      </w:r>
      <w:r>
        <w:rPr>
          <w:spacing w:val="-3"/>
        </w:rPr>
        <w:t> </w:t>
      </w:r>
      <w:r>
        <w:rPr/>
        <w:t>by</w:t>
      </w:r>
      <w:r>
        <w:rPr>
          <w:spacing w:val="-5"/>
        </w:rPr>
        <w:t> </w:t>
      </w:r>
      <w:r>
        <w:rPr/>
        <w:t>the</w:t>
      </w:r>
      <w:r>
        <w:rPr>
          <w:spacing w:val="-3"/>
        </w:rPr>
        <w:t> </w:t>
      </w:r>
      <w:r>
        <w:rPr/>
        <w:t>AEMC</w:t>
      </w:r>
      <w:r>
        <w:rPr>
          <w:spacing w:val="-3"/>
        </w:rPr>
        <w:t> </w:t>
      </w:r>
      <w:r>
        <w:rPr/>
        <w:t>in</w:t>
      </w:r>
      <w:r>
        <w:rPr>
          <w:spacing w:val="-3"/>
        </w:rPr>
        <w:t> </w:t>
      </w:r>
      <w:r>
        <w:rPr/>
        <w:t>July 2016 to consider changes to the regulatory frameworks to support security and reliability in the current shift towards new forms of generation in the National Electricity Market (NEM) (AEMC, </w:t>
      </w:r>
      <w:r>
        <w:rPr>
          <w:spacing w:val="-2"/>
        </w:rPr>
        <w:t>2017b).</w:t>
      </w:r>
    </w:p>
    <w:p>
      <w:pPr>
        <w:pStyle w:val="BodyText"/>
        <w:spacing w:before="2"/>
        <w:rPr>
          <w:sz w:val="31"/>
        </w:rPr>
      </w:pPr>
    </w:p>
    <w:p>
      <w:pPr>
        <w:pStyle w:val="Heading7"/>
        <w:ind w:left="232"/>
      </w:pPr>
      <w:r>
        <w:rPr/>
        <w:t>Figure</w:t>
      </w:r>
      <w:r>
        <w:rPr>
          <w:spacing w:val="-6"/>
        </w:rPr>
        <w:t> </w:t>
      </w:r>
      <w:r>
        <w:rPr/>
        <w:t>25:</w:t>
      </w:r>
      <w:r>
        <w:rPr>
          <w:spacing w:val="-4"/>
        </w:rPr>
        <w:t> </w:t>
      </w:r>
      <w:r>
        <w:rPr/>
        <w:t>Components</w:t>
      </w:r>
      <w:r>
        <w:rPr>
          <w:spacing w:val="-4"/>
        </w:rPr>
        <w:t> </w:t>
      </w:r>
      <w:r>
        <w:rPr/>
        <w:t>of</w:t>
      </w:r>
      <w:r>
        <w:rPr>
          <w:spacing w:val="-6"/>
        </w:rPr>
        <w:t> </w:t>
      </w:r>
      <w:r>
        <w:rPr/>
        <w:t>system</w:t>
      </w:r>
      <w:r>
        <w:rPr>
          <w:spacing w:val="-4"/>
        </w:rPr>
        <w:t> </w:t>
      </w:r>
      <w:r>
        <w:rPr/>
        <w:t>security</w:t>
      </w:r>
      <w:r>
        <w:rPr>
          <w:spacing w:val="-8"/>
        </w:rPr>
        <w:t> </w:t>
      </w:r>
      <w:r>
        <w:rPr/>
        <w:t>and</w:t>
      </w:r>
      <w:r>
        <w:rPr>
          <w:spacing w:val="-4"/>
        </w:rPr>
        <w:t> </w:t>
      </w:r>
      <w:r>
        <w:rPr>
          <w:spacing w:val="-2"/>
        </w:rPr>
        <w:t>reliability</w:t>
      </w:r>
    </w:p>
    <w:p>
      <w:pPr>
        <w:pStyle w:val="BodyText"/>
        <w:rPr>
          <w:b/>
          <w:sz w:val="20"/>
        </w:rPr>
      </w:pPr>
    </w:p>
    <w:p>
      <w:pPr>
        <w:pStyle w:val="BodyText"/>
        <w:rPr>
          <w:b/>
          <w:sz w:val="20"/>
        </w:rPr>
      </w:pPr>
    </w:p>
    <w:p>
      <w:pPr>
        <w:pStyle w:val="BodyText"/>
        <w:spacing w:before="5"/>
        <w:rPr>
          <w:b/>
          <w:sz w:val="23"/>
        </w:rPr>
      </w:pPr>
      <w:r>
        <w:rPr/>
        <w:drawing>
          <wp:anchor distT="0" distB="0" distL="0" distR="0" allowOverlap="1" layoutInCell="1" locked="0" behindDoc="1" simplePos="0" relativeHeight="487655424">
            <wp:simplePos x="0" y="0"/>
            <wp:positionH relativeFrom="page">
              <wp:posOffset>870303</wp:posOffset>
            </wp:positionH>
            <wp:positionV relativeFrom="paragraph">
              <wp:posOffset>186806</wp:posOffset>
            </wp:positionV>
            <wp:extent cx="5831251" cy="1789842"/>
            <wp:effectExtent l="0" t="0" r="0" b="0"/>
            <wp:wrapTopAndBottom/>
            <wp:docPr id="196" name="Image 196" descr="C:\Users\rb2f\AppData\Local\Microsoft\Windows\Temporary Internet Files\Content.Word\Fig25.SystemSecReliability.jpg"/>
            <wp:cNvGraphicFramePr>
              <a:graphicFrameLocks/>
            </wp:cNvGraphicFramePr>
            <a:graphic>
              <a:graphicData uri="http://schemas.openxmlformats.org/drawingml/2006/picture">
                <pic:pic>
                  <pic:nvPicPr>
                    <pic:cNvPr id="196" name="Image 196" descr="C:\Users\rb2f\AppData\Local\Microsoft\Windows\Temporary Internet Files\Content.Word\Fig25.SystemSecReliability.jpg"/>
                    <pic:cNvPicPr/>
                  </pic:nvPicPr>
                  <pic:blipFill>
                    <a:blip r:embed="rId98" cstate="print"/>
                    <a:stretch>
                      <a:fillRect/>
                    </a:stretch>
                  </pic:blipFill>
                  <pic:spPr>
                    <a:xfrm>
                      <a:off x="0" y="0"/>
                      <a:ext cx="5831251" cy="1789842"/>
                    </a:xfrm>
                    <a:prstGeom prst="rect">
                      <a:avLst/>
                    </a:prstGeom>
                  </pic:spPr>
                </pic:pic>
              </a:graphicData>
            </a:graphic>
          </wp:anchor>
        </w:drawing>
      </w:r>
    </w:p>
    <w:p>
      <w:pPr>
        <w:pStyle w:val="BodyText"/>
        <w:rPr>
          <w:b/>
          <w:sz w:val="24"/>
        </w:rPr>
      </w:pPr>
    </w:p>
    <w:p>
      <w:pPr>
        <w:pStyle w:val="BodyText"/>
        <w:spacing w:before="10"/>
        <w:rPr>
          <w:b/>
          <w:sz w:val="34"/>
        </w:rPr>
      </w:pPr>
    </w:p>
    <w:p>
      <w:pPr>
        <w:spacing w:before="0"/>
        <w:ind w:left="232" w:right="0" w:firstLine="0"/>
        <w:jc w:val="left"/>
        <w:rPr>
          <w:sz w:val="18"/>
        </w:rPr>
      </w:pPr>
      <w:r>
        <w:rPr>
          <w:sz w:val="18"/>
        </w:rPr>
        <w:t>Source:</w:t>
      </w:r>
      <w:r>
        <w:rPr>
          <w:spacing w:val="-3"/>
          <w:sz w:val="18"/>
        </w:rPr>
        <w:t> </w:t>
      </w:r>
      <w:r>
        <w:rPr>
          <w:sz w:val="18"/>
        </w:rPr>
        <w:t>Adapted</w:t>
      </w:r>
      <w:r>
        <w:rPr>
          <w:spacing w:val="-5"/>
          <w:sz w:val="18"/>
        </w:rPr>
        <w:t> </w:t>
      </w:r>
      <w:r>
        <w:rPr>
          <w:sz w:val="18"/>
        </w:rPr>
        <w:t>from</w:t>
      </w:r>
      <w:r>
        <w:rPr>
          <w:spacing w:val="-4"/>
          <w:sz w:val="18"/>
        </w:rPr>
        <w:t> </w:t>
      </w:r>
      <w:r>
        <w:rPr>
          <w:sz w:val="18"/>
        </w:rPr>
        <w:t>System</w:t>
      </w:r>
      <w:r>
        <w:rPr>
          <w:spacing w:val="-7"/>
          <w:sz w:val="18"/>
        </w:rPr>
        <w:t> </w:t>
      </w:r>
      <w:r>
        <w:rPr>
          <w:sz w:val="18"/>
        </w:rPr>
        <w:t>Security</w:t>
      </w:r>
      <w:r>
        <w:rPr>
          <w:spacing w:val="-4"/>
          <w:sz w:val="18"/>
        </w:rPr>
        <w:t> </w:t>
      </w:r>
      <w:r>
        <w:rPr>
          <w:sz w:val="18"/>
        </w:rPr>
        <w:t>Market</w:t>
      </w:r>
      <w:r>
        <w:rPr>
          <w:spacing w:val="-3"/>
          <w:sz w:val="18"/>
        </w:rPr>
        <w:t> </w:t>
      </w:r>
      <w:r>
        <w:rPr>
          <w:sz w:val="18"/>
        </w:rPr>
        <w:t>Frameworks</w:t>
      </w:r>
      <w:r>
        <w:rPr>
          <w:spacing w:val="-5"/>
          <w:sz w:val="18"/>
        </w:rPr>
        <w:t> </w:t>
      </w:r>
      <w:r>
        <w:rPr>
          <w:sz w:val="18"/>
        </w:rPr>
        <w:t>Review:</w:t>
      </w:r>
      <w:r>
        <w:rPr>
          <w:spacing w:val="-3"/>
          <w:sz w:val="18"/>
        </w:rPr>
        <w:t> </w:t>
      </w:r>
      <w:r>
        <w:rPr>
          <w:sz w:val="18"/>
        </w:rPr>
        <w:t>Interim</w:t>
      </w:r>
      <w:r>
        <w:rPr>
          <w:spacing w:val="-2"/>
          <w:sz w:val="18"/>
        </w:rPr>
        <w:t> </w:t>
      </w:r>
      <w:r>
        <w:rPr>
          <w:sz w:val="18"/>
        </w:rPr>
        <w:t>Report</w:t>
      </w:r>
      <w:r>
        <w:rPr>
          <w:spacing w:val="-4"/>
          <w:sz w:val="18"/>
        </w:rPr>
        <w:t> </w:t>
      </w:r>
      <w:r>
        <w:rPr>
          <w:sz w:val="18"/>
        </w:rPr>
        <w:t>(AEMC,</w:t>
      </w:r>
      <w:r>
        <w:rPr>
          <w:spacing w:val="-3"/>
          <w:sz w:val="18"/>
        </w:rPr>
        <w:t> </w:t>
      </w:r>
      <w:r>
        <w:rPr>
          <w:sz w:val="18"/>
        </w:rPr>
        <w:t>2016b,</w:t>
      </w:r>
      <w:r>
        <w:rPr>
          <w:spacing w:val="-4"/>
          <w:sz w:val="18"/>
        </w:rPr>
        <w:t> </w:t>
      </w:r>
      <w:r>
        <w:rPr>
          <w:sz w:val="18"/>
        </w:rPr>
        <w:t>p.</w:t>
      </w:r>
      <w:r>
        <w:rPr>
          <w:spacing w:val="-5"/>
          <w:sz w:val="18"/>
        </w:rPr>
        <w:t> 10)</w:t>
      </w:r>
    </w:p>
    <w:p>
      <w:pPr>
        <w:pStyle w:val="BodyText"/>
        <w:rPr>
          <w:sz w:val="20"/>
        </w:rPr>
      </w:pPr>
    </w:p>
    <w:p>
      <w:pPr>
        <w:pStyle w:val="BodyText"/>
        <w:spacing w:line="288" w:lineRule="auto" w:before="173"/>
        <w:ind w:left="232" w:right="408"/>
      </w:pPr>
      <w:r>
        <w:rPr/>
        <w:t>The Finkel review acknowledged the transition that Australia’s energy market is currently undergoing,</w:t>
      </w:r>
      <w:r>
        <w:rPr>
          <w:spacing w:val="-4"/>
        </w:rPr>
        <w:t> </w:t>
      </w:r>
      <w:r>
        <w:rPr/>
        <w:t>making</w:t>
      </w:r>
      <w:r>
        <w:rPr>
          <w:spacing w:val="-3"/>
        </w:rPr>
        <w:t> </w:t>
      </w:r>
      <w:r>
        <w:rPr/>
        <w:t>recommended</w:t>
      </w:r>
      <w:r>
        <w:rPr>
          <w:spacing w:val="-5"/>
        </w:rPr>
        <w:t> </w:t>
      </w:r>
      <w:r>
        <w:rPr/>
        <w:t>enhancements</w:t>
      </w:r>
      <w:r>
        <w:rPr>
          <w:spacing w:val="-2"/>
        </w:rPr>
        <w:t> </w:t>
      </w:r>
      <w:r>
        <w:rPr/>
        <w:t>to</w:t>
      </w:r>
      <w:r>
        <w:rPr>
          <w:spacing w:val="-5"/>
        </w:rPr>
        <w:t> </w:t>
      </w:r>
      <w:r>
        <w:rPr/>
        <w:t>the</w:t>
      </w:r>
      <w:r>
        <w:rPr>
          <w:spacing w:val="-5"/>
        </w:rPr>
        <w:t> </w:t>
      </w:r>
      <w:r>
        <w:rPr/>
        <w:t>NEM</w:t>
      </w:r>
      <w:r>
        <w:rPr>
          <w:spacing w:val="-6"/>
        </w:rPr>
        <w:t> </w:t>
      </w:r>
      <w:r>
        <w:rPr/>
        <w:t>to</w:t>
      </w:r>
      <w:r>
        <w:rPr>
          <w:spacing w:val="-3"/>
        </w:rPr>
        <w:t> </w:t>
      </w:r>
      <w:r>
        <w:rPr/>
        <w:t>optimise</w:t>
      </w:r>
      <w:r>
        <w:rPr>
          <w:spacing w:val="-3"/>
        </w:rPr>
        <w:t> </w:t>
      </w:r>
      <w:r>
        <w:rPr/>
        <w:t>security</w:t>
      </w:r>
      <w:r>
        <w:rPr>
          <w:spacing w:val="-5"/>
        </w:rPr>
        <w:t> </w:t>
      </w:r>
      <w:r>
        <w:rPr/>
        <w:t>and</w:t>
      </w:r>
      <w:r>
        <w:rPr>
          <w:spacing w:val="-3"/>
        </w:rPr>
        <w:t> </w:t>
      </w:r>
      <w:r>
        <w:rPr/>
        <w:t>reliability: the review recognised that whilst this transition presents significant opportunities, there are also challenges presented by new and emerging generation technologies connecting to a system not designed for them:</w:t>
      </w:r>
    </w:p>
    <w:p>
      <w:pPr>
        <w:spacing w:after="0" w:line="288" w:lineRule="auto"/>
        <w:sectPr>
          <w:pgSz w:w="11910" w:h="16850"/>
          <w:pgMar w:header="220" w:footer="678" w:top="420" w:bottom="860" w:left="900" w:right="840"/>
        </w:sectPr>
      </w:pPr>
    </w:p>
    <w:p>
      <w:pPr>
        <w:pStyle w:val="BodyText"/>
        <w:rPr>
          <w:sz w:val="20"/>
        </w:rPr>
      </w:pPr>
    </w:p>
    <w:p>
      <w:pPr>
        <w:pStyle w:val="BodyText"/>
        <w:spacing w:before="2"/>
        <w:rPr>
          <w:sz w:val="19"/>
        </w:rPr>
      </w:pPr>
    </w:p>
    <w:p>
      <w:pPr>
        <w:spacing w:line="288" w:lineRule="auto" w:before="94"/>
        <w:ind w:left="799" w:right="868" w:firstLine="0"/>
        <w:jc w:val="left"/>
        <w:rPr>
          <w:sz w:val="22"/>
        </w:rPr>
      </w:pPr>
      <w:r>
        <w:rPr>
          <w:i/>
          <w:sz w:val="22"/>
        </w:rPr>
        <w:t>“The deployment of new technologies and improved integration of variable renewable electricity</w:t>
      </w:r>
      <w:r>
        <w:rPr>
          <w:i/>
          <w:spacing w:val="-2"/>
          <w:sz w:val="22"/>
        </w:rPr>
        <w:t> </w:t>
      </w:r>
      <w:r>
        <w:rPr>
          <w:i/>
          <w:sz w:val="22"/>
        </w:rPr>
        <w:t>generators</w:t>
      </w:r>
      <w:r>
        <w:rPr>
          <w:i/>
          <w:spacing w:val="-4"/>
          <w:sz w:val="22"/>
        </w:rPr>
        <w:t> </w:t>
      </w:r>
      <w:r>
        <w:rPr>
          <w:i/>
          <w:sz w:val="22"/>
        </w:rPr>
        <w:t>needs</w:t>
      </w:r>
      <w:r>
        <w:rPr>
          <w:i/>
          <w:spacing w:val="-2"/>
          <w:sz w:val="22"/>
        </w:rPr>
        <w:t> </w:t>
      </w:r>
      <w:r>
        <w:rPr>
          <w:i/>
          <w:sz w:val="22"/>
        </w:rPr>
        <w:t>to</w:t>
      </w:r>
      <w:r>
        <w:rPr>
          <w:i/>
          <w:spacing w:val="-5"/>
          <w:sz w:val="22"/>
        </w:rPr>
        <w:t> </w:t>
      </w:r>
      <w:r>
        <w:rPr>
          <w:i/>
          <w:sz w:val="22"/>
        </w:rPr>
        <w:t>be</w:t>
      </w:r>
      <w:r>
        <w:rPr>
          <w:i/>
          <w:spacing w:val="-5"/>
          <w:sz w:val="22"/>
        </w:rPr>
        <w:t> </w:t>
      </w:r>
      <w:r>
        <w:rPr>
          <w:i/>
          <w:sz w:val="22"/>
        </w:rPr>
        <w:t>supported</w:t>
      </w:r>
      <w:r>
        <w:rPr>
          <w:i/>
          <w:spacing w:val="-3"/>
          <w:sz w:val="22"/>
        </w:rPr>
        <w:t> </w:t>
      </w:r>
      <w:r>
        <w:rPr>
          <w:i/>
          <w:sz w:val="22"/>
        </w:rPr>
        <w:t>by</w:t>
      </w:r>
      <w:r>
        <w:rPr>
          <w:i/>
          <w:spacing w:val="-5"/>
          <w:sz w:val="22"/>
        </w:rPr>
        <w:t> </w:t>
      </w:r>
      <w:r>
        <w:rPr>
          <w:i/>
          <w:sz w:val="22"/>
        </w:rPr>
        <w:t>better</w:t>
      </w:r>
      <w:r>
        <w:rPr>
          <w:i/>
          <w:spacing w:val="-2"/>
          <w:sz w:val="22"/>
        </w:rPr>
        <w:t> </w:t>
      </w:r>
      <w:r>
        <w:rPr>
          <w:i/>
          <w:sz w:val="22"/>
        </w:rPr>
        <w:t>data,</w:t>
      </w:r>
      <w:r>
        <w:rPr>
          <w:i/>
          <w:spacing w:val="-4"/>
          <w:sz w:val="22"/>
        </w:rPr>
        <w:t> </w:t>
      </w:r>
      <w:r>
        <w:rPr>
          <w:i/>
          <w:sz w:val="22"/>
        </w:rPr>
        <w:t>early</w:t>
      </w:r>
      <w:r>
        <w:rPr>
          <w:i/>
          <w:spacing w:val="-5"/>
          <w:sz w:val="22"/>
        </w:rPr>
        <w:t> </w:t>
      </w:r>
      <w:r>
        <w:rPr>
          <w:i/>
          <w:sz w:val="22"/>
        </w:rPr>
        <w:t>testing</w:t>
      </w:r>
      <w:r>
        <w:rPr>
          <w:i/>
          <w:spacing w:val="-3"/>
          <w:sz w:val="22"/>
        </w:rPr>
        <w:t> </w:t>
      </w:r>
      <w:r>
        <w:rPr>
          <w:i/>
          <w:sz w:val="22"/>
        </w:rPr>
        <w:t>of</w:t>
      </w:r>
      <w:r>
        <w:rPr>
          <w:i/>
          <w:spacing w:val="-4"/>
          <w:sz w:val="22"/>
        </w:rPr>
        <w:t> </w:t>
      </w:r>
      <w:r>
        <w:rPr>
          <w:i/>
          <w:sz w:val="22"/>
        </w:rPr>
        <w:t>technology, cyber threat awareness and workforce preparedness.” </w:t>
      </w:r>
      <w:r>
        <w:rPr>
          <w:sz w:val="22"/>
        </w:rPr>
        <w:t>(Finkel, 2017, p. 5)</w:t>
      </w:r>
    </w:p>
    <w:p>
      <w:pPr>
        <w:pStyle w:val="BodyText"/>
        <w:spacing w:before="9"/>
        <w:rPr>
          <w:sz w:val="20"/>
        </w:rPr>
      </w:pPr>
    </w:p>
    <w:p>
      <w:pPr>
        <w:pStyle w:val="BodyText"/>
        <w:spacing w:line="288" w:lineRule="auto"/>
        <w:ind w:left="232" w:right="374"/>
      </w:pPr>
      <w:r>
        <w:rPr/>
        <w:t>The Finkel review also recognised the need for government and industry to strengthen their capabilities</w:t>
      </w:r>
      <w:r>
        <w:rPr>
          <w:spacing w:val="-3"/>
        </w:rPr>
        <w:t> </w:t>
      </w:r>
      <w:r>
        <w:rPr/>
        <w:t>to</w:t>
      </w:r>
      <w:r>
        <w:rPr>
          <w:spacing w:val="-3"/>
        </w:rPr>
        <w:t> </w:t>
      </w:r>
      <w:r>
        <w:rPr/>
        <w:t>understand</w:t>
      </w:r>
      <w:r>
        <w:rPr>
          <w:spacing w:val="-3"/>
        </w:rPr>
        <w:t> </w:t>
      </w:r>
      <w:r>
        <w:rPr/>
        <w:t>the</w:t>
      </w:r>
      <w:r>
        <w:rPr>
          <w:spacing w:val="-5"/>
        </w:rPr>
        <w:t> </w:t>
      </w:r>
      <w:r>
        <w:rPr/>
        <w:t>emerging</w:t>
      </w:r>
      <w:r>
        <w:rPr>
          <w:spacing w:val="-3"/>
        </w:rPr>
        <w:t> </w:t>
      </w:r>
      <w:r>
        <w:rPr/>
        <w:t>risks</w:t>
      </w:r>
      <w:r>
        <w:rPr>
          <w:spacing w:val="-2"/>
        </w:rPr>
        <w:t> </w:t>
      </w:r>
      <w:r>
        <w:rPr/>
        <w:t>and</w:t>
      </w:r>
      <w:r>
        <w:rPr>
          <w:spacing w:val="-5"/>
        </w:rPr>
        <w:t> </w:t>
      </w:r>
      <w:r>
        <w:rPr/>
        <w:t>ensure</w:t>
      </w:r>
      <w:r>
        <w:rPr>
          <w:spacing w:val="-5"/>
        </w:rPr>
        <w:t> </w:t>
      </w:r>
      <w:r>
        <w:rPr/>
        <w:t>appropriate</w:t>
      </w:r>
      <w:r>
        <w:rPr>
          <w:spacing w:val="-5"/>
        </w:rPr>
        <w:t> </w:t>
      </w:r>
      <w:r>
        <w:rPr/>
        <w:t>risk</w:t>
      </w:r>
      <w:r>
        <w:rPr>
          <w:spacing w:val="-2"/>
        </w:rPr>
        <w:t> </w:t>
      </w:r>
      <w:r>
        <w:rPr/>
        <w:t>management</w:t>
      </w:r>
      <w:r>
        <w:rPr>
          <w:spacing w:val="-4"/>
        </w:rPr>
        <w:t> </w:t>
      </w:r>
      <w:r>
        <w:rPr/>
        <w:t>strategies are in place:</w:t>
      </w:r>
    </w:p>
    <w:p>
      <w:pPr>
        <w:pStyle w:val="BodyText"/>
        <w:rPr>
          <w:sz w:val="21"/>
        </w:rPr>
      </w:pPr>
    </w:p>
    <w:p>
      <w:pPr>
        <w:spacing w:line="288" w:lineRule="auto" w:before="0"/>
        <w:ind w:left="799" w:right="868" w:firstLine="62"/>
        <w:jc w:val="left"/>
        <w:rPr>
          <w:sz w:val="22"/>
        </w:rPr>
      </w:pPr>
      <w:r>
        <w:rPr>
          <w:i/>
          <w:sz w:val="22"/>
        </w:rPr>
        <w:t>“… emerging risks may not be as predictable or as amenable to traditional risk management strategies. It is crucial for governments, energy market bodies and the electricity industry to enhance their engineering, technical and ICT capabilities. In addition,</w:t>
      </w:r>
      <w:r>
        <w:rPr>
          <w:i/>
          <w:spacing w:val="-2"/>
          <w:sz w:val="22"/>
        </w:rPr>
        <w:t> </w:t>
      </w:r>
      <w:r>
        <w:rPr>
          <w:i/>
          <w:sz w:val="22"/>
        </w:rPr>
        <w:t>ensuring</w:t>
      </w:r>
      <w:r>
        <w:rPr>
          <w:i/>
          <w:spacing w:val="-3"/>
          <w:sz w:val="22"/>
        </w:rPr>
        <w:t> </w:t>
      </w:r>
      <w:r>
        <w:rPr>
          <w:i/>
          <w:sz w:val="22"/>
        </w:rPr>
        <w:t>appropriate</w:t>
      </w:r>
      <w:r>
        <w:rPr>
          <w:i/>
          <w:spacing w:val="-5"/>
          <w:sz w:val="22"/>
        </w:rPr>
        <w:t> </w:t>
      </w:r>
      <w:r>
        <w:rPr>
          <w:i/>
          <w:sz w:val="22"/>
        </w:rPr>
        <w:t>risk</w:t>
      </w:r>
      <w:r>
        <w:rPr>
          <w:i/>
          <w:spacing w:val="-5"/>
          <w:sz w:val="22"/>
        </w:rPr>
        <w:t> </w:t>
      </w:r>
      <w:r>
        <w:rPr>
          <w:i/>
          <w:sz w:val="22"/>
        </w:rPr>
        <w:t>management</w:t>
      </w:r>
      <w:r>
        <w:rPr>
          <w:i/>
          <w:spacing w:val="-6"/>
          <w:sz w:val="22"/>
        </w:rPr>
        <w:t> </w:t>
      </w:r>
      <w:r>
        <w:rPr>
          <w:i/>
          <w:sz w:val="22"/>
        </w:rPr>
        <w:t>strategies</w:t>
      </w:r>
      <w:r>
        <w:rPr>
          <w:i/>
          <w:spacing w:val="-3"/>
          <w:sz w:val="22"/>
        </w:rPr>
        <w:t> </w:t>
      </w:r>
      <w:r>
        <w:rPr>
          <w:i/>
          <w:sz w:val="22"/>
        </w:rPr>
        <w:t>are</w:t>
      </w:r>
      <w:r>
        <w:rPr>
          <w:i/>
          <w:spacing w:val="-3"/>
          <w:sz w:val="22"/>
        </w:rPr>
        <w:t> </w:t>
      </w:r>
      <w:r>
        <w:rPr>
          <w:i/>
          <w:sz w:val="22"/>
        </w:rPr>
        <w:t>in</w:t>
      </w:r>
      <w:r>
        <w:rPr>
          <w:i/>
          <w:spacing w:val="-3"/>
          <w:sz w:val="22"/>
        </w:rPr>
        <w:t> </w:t>
      </w:r>
      <w:r>
        <w:rPr>
          <w:i/>
          <w:sz w:val="22"/>
        </w:rPr>
        <w:t>place</w:t>
      </w:r>
      <w:r>
        <w:rPr>
          <w:i/>
          <w:spacing w:val="-5"/>
          <w:sz w:val="22"/>
        </w:rPr>
        <w:t> </w:t>
      </w:r>
      <w:r>
        <w:rPr>
          <w:i/>
          <w:sz w:val="22"/>
        </w:rPr>
        <w:t>will</w:t>
      </w:r>
      <w:r>
        <w:rPr>
          <w:i/>
          <w:spacing w:val="-3"/>
          <w:sz w:val="22"/>
        </w:rPr>
        <w:t> </w:t>
      </w:r>
      <w:r>
        <w:rPr>
          <w:i/>
          <w:sz w:val="22"/>
        </w:rPr>
        <w:t>improve</w:t>
      </w:r>
      <w:r>
        <w:rPr>
          <w:i/>
          <w:spacing w:val="-5"/>
          <w:sz w:val="22"/>
        </w:rPr>
        <w:t> </w:t>
      </w:r>
      <w:r>
        <w:rPr>
          <w:i/>
          <w:sz w:val="22"/>
        </w:rPr>
        <w:t>the resilience of the NEM.” </w:t>
      </w:r>
      <w:r>
        <w:rPr>
          <w:sz w:val="22"/>
        </w:rPr>
        <w:t>(Finkel, 2017, p. 50)</w:t>
      </w:r>
    </w:p>
    <w:p>
      <w:pPr>
        <w:pStyle w:val="BodyText"/>
        <w:spacing w:before="9"/>
        <w:rPr>
          <w:sz w:val="20"/>
        </w:rPr>
      </w:pPr>
    </w:p>
    <w:p>
      <w:pPr>
        <w:pStyle w:val="BodyText"/>
        <w:spacing w:line="288" w:lineRule="auto"/>
        <w:ind w:left="232" w:right="408"/>
      </w:pPr>
      <w:r>
        <w:rPr/>
        <w:t>ESV has recognised the importance of applying its capabilities to monitor and analyse the emerging</w:t>
      </w:r>
      <w:r>
        <w:rPr>
          <w:spacing w:val="-3"/>
        </w:rPr>
        <w:t> </w:t>
      </w:r>
      <w:r>
        <w:rPr/>
        <w:t>trends</w:t>
      </w:r>
      <w:r>
        <w:rPr>
          <w:spacing w:val="-2"/>
        </w:rPr>
        <w:t> </w:t>
      </w:r>
      <w:r>
        <w:rPr/>
        <w:t>occurring</w:t>
      </w:r>
      <w:r>
        <w:rPr>
          <w:spacing w:val="-3"/>
        </w:rPr>
        <w:t> </w:t>
      </w:r>
      <w:r>
        <w:rPr/>
        <w:t>in</w:t>
      </w:r>
      <w:r>
        <w:rPr>
          <w:spacing w:val="-3"/>
        </w:rPr>
        <w:t> </w:t>
      </w:r>
      <w:r>
        <w:rPr/>
        <w:t>the</w:t>
      </w:r>
      <w:r>
        <w:rPr>
          <w:spacing w:val="-5"/>
        </w:rPr>
        <w:t> </w:t>
      </w:r>
      <w:r>
        <w:rPr/>
        <w:t>network</w:t>
      </w:r>
      <w:r>
        <w:rPr>
          <w:spacing w:val="-2"/>
        </w:rPr>
        <w:t> </w:t>
      </w:r>
      <w:r>
        <w:rPr/>
        <w:t>to</w:t>
      </w:r>
      <w:r>
        <w:rPr>
          <w:spacing w:val="-3"/>
        </w:rPr>
        <w:t> </w:t>
      </w:r>
      <w:r>
        <w:rPr/>
        <w:t>ensure</w:t>
      </w:r>
      <w:r>
        <w:rPr>
          <w:spacing w:val="-3"/>
        </w:rPr>
        <w:t> </w:t>
      </w:r>
      <w:r>
        <w:rPr/>
        <w:t>network safety,</w:t>
      </w:r>
      <w:r>
        <w:rPr>
          <w:spacing w:val="-6"/>
        </w:rPr>
        <w:t> </w:t>
      </w:r>
      <w:r>
        <w:rPr/>
        <w:t>functional</w:t>
      </w:r>
      <w:r>
        <w:rPr>
          <w:spacing w:val="-4"/>
        </w:rPr>
        <w:t> </w:t>
      </w:r>
      <w:r>
        <w:rPr/>
        <w:t>performance</w:t>
      </w:r>
      <w:r>
        <w:rPr>
          <w:spacing w:val="-3"/>
        </w:rPr>
        <w:t> </w:t>
      </w:r>
      <w:r>
        <w:rPr/>
        <w:t>and supply security is maintained, noting in its </w:t>
      </w:r>
      <w:r>
        <w:rPr>
          <w:i/>
        </w:rPr>
        <w:t>Corporate Plan 2017–2020</w:t>
      </w:r>
      <w:r>
        <w:rPr/>
        <w:t>:</w:t>
      </w:r>
    </w:p>
    <w:p>
      <w:pPr>
        <w:pStyle w:val="BodyText"/>
        <w:rPr>
          <w:sz w:val="21"/>
        </w:rPr>
      </w:pPr>
    </w:p>
    <w:p>
      <w:pPr>
        <w:spacing w:line="288" w:lineRule="auto" w:before="1"/>
        <w:ind w:left="799" w:right="951" w:firstLine="0"/>
        <w:jc w:val="left"/>
        <w:rPr>
          <w:sz w:val="22"/>
        </w:rPr>
      </w:pPr>
      <w:r>
        <w:rPr>
          <w:i/>
          <w:sz w:val="22"/>
        </w:rPr>
        <w:t>“ESV</w:t>
      </w:r>
      <w:r>
        <w:rPr>
          <w:i/>
          <w:spacing w:val="-2"/>
          <w:sz w:val="22"/>
        </w:rPr>
        <w:t> </w:t>
      </w:r>
      <w:r>
        <w:rPr>
          <w:i/>
          <w:sz w:val="22"/>
        </w:rPr>
        <w:t>will</w:t>
      </w:r>
      <w:r>
        <w:rPr>
          <w:i/>
          <w:spacing w:val="-2"/>
          <w:sz w:val="22"/>
        </w:rPr>
        <w:t> </w:t>
      </w:r>
      <w:r>
        <w:rPr>
          <w:i/>
          <w:sz w:val="22"/>
        </w:rPr>
        <w:t>need</w:t>
      </w:r>
      <w:r>
        <w:rPr>
          <w:i/>
          <w:spacing w:val="-4"/>
          <w:sz w:val="22"/>
        </w:rPr>
        <w:t> </w:t>
      </w:r>
      <w:r>
        <w:rPr>
          <w:i/>
          <w:sz w:val="22"/>
        </w:rPr>
        <w:t>to</w:t>
      </w:r>
      <w:r>
        <w:rPr>
          <w:i/>
          <w:spacing w:val="-4"/>
          <w:sz w:val="22"/>
        </w:rPr>
        <w:t> </w:t>
      </w:r>
      <w:r>
        <w:rPr>
          <w:i/>
          <w:sz w:val="22"/>
        </w:rPr>
        <w:t>monitor</w:t>
      </w:r>
      <w:r>
        <w:rPr>
          <w:i/>
          <w:spacing w:val="-3"/>
          <w:sz w:val="22"/>
        </w:rPr>
        <w:t> </w:t>
      </w:r>
      <w:r>
        <w:rPr>
          <w:i/>
          <w:sz w:val="22"/>
        </w:rPr>
        <w:t>the</w:t>
      </w:r>
      <w:r>
        <w:rPr>
          <w:i/>
          <w:spacing w:val="-4"/>
          <w:sz w:val="22"/>
        </w:rPr>
        <w:t> </w:t>
      </w:r>
      <w:r>
        <w:rPr>
          <w:i/>
          <w:sz w:val="22"/>
        </w:rPr>
        <w:t>technical</w:t>
      </w:r>
      <w:r>
        <w:rPr>
          <w:i/>
          <w:spacing w:val="-3"/>
          <w:sz w:val="22"/>
        </w:rPr>
        <w:t> </w:t>
      </w:r>
      <w:r>
        <w:rPr>
          <w:i/>
          <w:sz w:val="22"/>
        </w:rPr>
        <w:t>and</w:t>
      </w:r>
      <w:r>
        <w:rPr>
          <w:i/>
          <w:spacing w:val="-4"/>
          <w:sz w:val="22"/>
        </w:rPr>
        <w:t> </w:t>
      </w:r>
      <w:r>
        <w:rPr>
          <w:i/>
          <w:sz w:val="22"/>
        </w:rPr>
        <w:t>risk</w:t>
      </w:r>
      <w:r>
        <w:rPr>
          <w:i/>
          <w:spacing w:val="-4"/>
          <w:sz w:val="22"/>
        </w:rPr>
        <w:t> </w:t>
      </w:r>
      <w:r>
        <w:rPr>
          <w:i/>
          <w:sz w:val="22"/>
        </w:rPr>
        <w:t>management</w:t>
      </w:r>
      <w:r>
        <w:rPr>
          <w:i/>
          <w:spacing w:val="-3"/>
          <w:sz w:val="22"/>
        </w:rPr>
        <w:t> </w:t>
      </w:r>
      <w:r>
        <w:rPr>
          <w:i/>
          <w:sz w:val="22"/>
        </w:rPr>
        <w:t>[strategies]</w:t>
      </w:r>
      <w:r>
        <w:rPr>
          <w:i/>
          <w:spacing w:val="-3"/>
          <w:sz w:val="22"/>
        </w:rPr>
        <w:t> </w:t>
      </w:r>
      <w:r>
        <w:rPr>
          <w:i/>
          <w:sz w:val="22"/>
        </w:rPr>
        <w:t>of energy networks, and apply its technical capability and resources with respect to network functional performance and supply security.” </w:t>
      </w:r>
      <w:r>
        <w:rPr>
          <w:sz w:val="22"/>
        </w:rPr>
        <w:t>(ESV, 2017, p. 13)</w:t>
      </w:r>
    </w:p>
    <w:p>
      <w:pPr>
        <w:pStyle w:val="BodyText"/>
        <w:rPr>
          <w:sz w:val="24"/>
        </w:rPr>
      </w:pPr>
    </w:p>
    <w:p>
      <w:pPr>
        <w:pStyle w:val="Heading6"/>
        <w:spacing w:before="143"/>
        <w:ind w:left="232"/>
      </w:pPr>
      <w:r>
        <w:rPr/>
        <w:t>Electric</w:t>
      </w:r>
      <w:r>
        <w:rPr>
          <w:spacing w:val="-3"/>
        </w:rPr>
        <w:t> </w:t>
      </w:r>
      <w:r>
        <w:rPr>
          <w:spacing w:val="-2"/>
        </w:rPr>
        <w:t>vehicles</w:t>
      </w:r>
    </w:p>
    <w:p>
      <w:pPr>
        <w:pStyle w:val="BodyText"/>
        <w:spacing w:line="288" w:lineRule="auto" w:before="175"/>
        <w:ind w:left="232" w:right="320"/>
      </w:pPr>
      <w:r>
        <w:rPr/>
        <w:t>A</w:t>
      </w:r>
      <w:r>
        <w:rPr>
          <w:spacing w:val="-2"/>
        </w:rPr>
        <w:t> </w:t>
      </w:r>
      <w:r>
        <w:rPr/>
        <w:t>significant increase</w:t>
      </w:r>
      <w:r>
        <w:rPr>
          <w:spacing w:val="-2"/>
        </w:rPr>
        <w:t> </w:t>
      </w:r>
      <w:r>
        <w:rPr/>
        <w:t>in</w:t>
      </w:r>
      <w:r>
        <w:rPr>
          <w:spacing w:val="-4"/>
        </w:rPr>
        <w:t> </w:t>
      </w:r>
      <w:r>
        <w:rPr/>
        <w:t>the</w:t>
      </w:r>
      <w:r>
        <w:rPr>
          <w:spacing w:val="-2"/>
        </w:rPr>
        <w:t> </w:t>
      </w:r>
      <w:r>
        <w:rPr/>
        <w:t>uptake</w:t>
      </w:r>
      <w:r>
        <w:rPr>
          <w:spacing w:val="-4"/>
        </w:rPr>
        <w:t> </w:t>
      </w:r>
      <w:r>
        <w:rPr/>
        <w:t>of electric</w:t>
      </w:r>
      <w:r>
        <w:rPr>
          <w:spacing w:val="-1"/>
        </w:rPr>
        <w:t> </w:t>
      </w:r>
      <w:r>
        <w:rPr/>
        <w:t>vehicles</w:t>
      </w:r>
      <w:r>
        <w:rPr>
          <w:spacing w:val="-2"/>
        </w:rPr>
        <w:t> </w:t>
      </w:r>
      <w:r>
        <w:rPr/>
        <w:t>could</w:t>
      </w:r>
      <w:r>
        <w:rPr>
          <w:spacing w:val="-2"/>
        </w:rPr>
        <w:t> </w:t>
      </w:r>
      <w:r>
        <w:rPr/>
        <w:t>have</w:t>
      </w:r>
      <w:r>
        <w:rPr>
          <w:spacing w:val="-2"/>
        </w:rPr>
        <w:t> </w:t>
      </w:r>
      <w:r>
        <w:rPr/>
        <w:t>a</w:t>
      </w:r>
      <w:r>
        <w:rPr>
          <w:spacing w:val="-1"/>
        </w:rPr>
        <w:t> </w:t>
      </w:r>
      <w:r>
        <w:rPr/>
        <w:t>significant impact</w:t>
      </w:r>
      <w:r>
        <w:rPr>
          <w:spacing w:val="-3"/>
        </w:rPr>
        <w:t> </w:t>
      </w:r>
      <w:r>
        <w:rPr/>
        <w:t>on</w:t>
      </w:r>
      <w:r>
        <w:rPr>
          <w:spacing w:val="-2"/>
        </w:rPr>
        <w:t> </w:t>
      </w:r>
      <w:r>
        <w:rPr/>
        <w:t>electricity demand profiles in Victoria. To avoid detrimental effects on the electricity grid, re-charging would need to be managed carefully to ensure vehicles were not all charged at the same time. Managed properly, electric</w:t>
      </w:r>
      <w:r>
        <w:rPr>
          <w:spacing w:val="-1"/>
        </w:rPr>
        <w:t> </w:t>
      </w:r>
      <w:r>
        <w:rPr/>
        <w:t>vehicles</w:t>
      </w:r>
      <w:r>
        <w:rPr>
          <w:spacing w:val="-2"/>
        </w:rPr>
        <w:t> </w:t>
      </w:r>
      <w:r>
        <w:rPr/>
        <w:t>could</w:t>
      </w:r>
      <w:r>
        <w:rPr>
          <w:spacing w:val="-2"/>
        </w:rPr>
        <w:t> </w:t>
      </w:r>
      <w:r>
        <w:rPr/>
        <w:t>benefit</w:t>
      </w:r>
      <w:r>
        <w:rPr>
          <w:spacing w:val="-3"/>
        </w:rPr>
        <w:t> </w:t>
      </w:r>
      <w:r>
        <w:rPr/>
        <w:t>the</w:t>
      </w:r>
      <w:r>
        <w:rPr>
          <w:spacing w:val="-4"/>
        </w:rPr>
        <w:t> </w:t>
      </w:r>
      <w:r>
        <w:rPr/>
        <w:t>grid</w:t>
      </w:r>
      <w:r>
        <w:rPr>
          <w:spacing w:val="-2"/>
        </w:rPr>
        <w:t> </w:t>
      </w:r>
      <w:r>
        <w:rPr/>
        <w:t>by</w:t>
      </w:r>
      <w:r>
        <w:rPr>
          <w:spacing w:val="-4"/>
        </w:rPr>
        <w:t> </w:t>
      </w:r>
      <w:r>
        <w:rPr/>
        <w:t>acting</w:t>
      </w:r>
      <w:r>
        <w:rPr>
          <w:spacing w:val="-2"/>
        </w:rPr>
        <w:t> </w:t>
      </w:r>
      <w:r>
        <w:rPr/>
        <w:t>as</w:t>
      </w:r>
      <w:r>
        <w:rPr>
          <w:spacing w:val="-1"/>
        </w:rPr>
        <w:t> </w:t>
      </w:r>
      <w:r>
        <w:rPr/>
        <w:t>energy</w:t>
      </w:r>
      <w:r>
        <w:rPr>
          <w:spacing w:val="-4"/>
        </w:rPr>
        <w:t> </w:t>
      </w:r>
      <w:r>
        <w:rPr/>
        <w:t>storage</w:t>
      </w:r>
      <w:r>
        <w:rPr>
          <w:spacing w:val="-4"/>
        </w:rPr>
        <w:t> </w:t>
      </w:r>
      <w:r>
        <w:rPr/>
        <w:t>to</w:t>
      </w:r>
      <w:r>
        <w:rPr>
          <w:spacing w:val="-4"/>
        </w:rPr>
        <w:t> </w:t>
      </w:r>
      <w:r>
        <w:rPr/>
        <w:t>aid</w:t>
      </w:r>
      <w:r>
        <w:rPr>
          <w:spacing w:val="-4"/>
        </w:rPr>
        <w:t> </w:t>
      </w:r>
      <w:r>
        <w:rPr/>
        <w:t>grid</w:t>
      </w:r>
      <w:r>
        <w:rPr>
          <w:spacing w:val="-4"/>
        </w:rPr>
        <w:t> </w:t>
      </w:r>
      <w:r>
        <w:rPr/>
        <w:t>security</w:t>
      </w:r>
      <w:r>
        <w:rPr>
          <w:spacing w:val="-4"/>
        </w:rPr>
        <w:t> </w:t>
      </w:r>
      <w:r>
        <w:rPr/>
        <w:t>and reliability. A coordinated plan of action would be required to facilitate this. Safety standards will be required, particularly in relation to the safety of batteries while driving and when charging.</w:t>
      </w:r>
    </w:p>
    <w:p>
      <w:pPr>
        <w:pStyle w:val="BodyText"/>
        <w:spacing w:before="4"/>
        <w:rPr>
          <w:sz w:val="31"/>
        </w:rPr>
      </w:pPr>
    </w:p>
    <w:p>
      <w:pPr>
        <w:pStyle w:val="Heading7"/>
        <w:ind w:left="232"/>
      </w:pPr>
      <w:r>
        <w:rPr/>
        <w:t>Figure</w:t>
      </w:r>
      <w:r>
        <w:rPr>
          <w:spacing w:val="-6"/>
        </w:rPr>
        <w:t> </w:t>
      </w:r>
      <w:r>
        <w:rPr/>
        <w:t>26:</w:t>
      </w:r>
      <w:r>
        <w:rPr>
          <w:spacing w:val="-3"/>
        </w:rPr>
        <w:t> </w:t>
      </w:r>
      <w:r>
        <w:rPr/>
        <w:t>Projected</w:t>
      </w:r>
      <w:r>
        <w:rPr>
          <w:spacing w:val="-4"/>
        </w:rPr>
        <w:t> </w:t>
      </w:r>
      <w:r>
        <w:rPr/>
        <w:t>share</w:t>
      </w:r>
      <w:r>
        <w:rPr>
          <w:spacing w:val="-5"/>
        </w:rPr>
        <w:t> </w:t>
      </w:r>
      <w:r>
        <w:rPr/>
        <w:t>of</w:t>
      </w:r>
      <w:r>
        <w:rPr>
          <w:spacing w:val="-5"/>
        </w:rPr>
        <w:t> </w:t>
      </w:r>
      <w:r>
        <w:rPr/>
        <w:t>electric</w:t>
      </w:r>
      <w:r>
        <w:rPr>
          <w:spacing w:val="-4"/>
        </w:rPr>
        <w:t> </w:t>
      </w:r>
      <w:r>
        <w:rPr/>
        <w:t>vehicles</w:t>
      </w:r>
      <w:r>
        <w:rPr>
          <w:spacing w:val="-9"/>
        </w:rPr>
        <w:t> </w:t>
      </w:r>
      <w:r>
        <w:rPr/>
        <w:t>in</w:t>
      </w:r>
      <w:r>
        <w:rPr>
          <w:spacing w:val="-6"/>
        </w:rPr>
        <w:t> </w:t>
      </w:r>
      <w:r>
        <w:rPr/>
        <w:t>light</w:t>
      </w:r>
      <w:r>
        <w:rPr>
          <w:spacing w:val="-3"/>
        </w:rPr>
        <w:t> </w:t>
      </w:r>
      <w:r>
        <w:rPr/>
        <w:t>vehicle</w:t>
      </w:r>
      <w:r>
        <w:rPr>
          <w:spacing w:val="-6"/>
        </w:rPr>
        <w:t> </w:t>
      </w:r>
      <w:r>
        <w:rPr/>
        <w:t>road</w:t>
      </w:r>
      <w:r>
        <w:rPr>
          <w:spacing w:val="-7"/>
        </w:rPr>
        <w:t> </w:t>
      </w:r>
      <w:r>
        <w:rPr>
          <w:spacing w:val="-2"/>
        </w:rPr>
        <w:t>transport</w:t>
      </w:r>
    </w:p>
    <w:p>
      <w:pPr>
        <w:pStyle w:val="BodyText"/>
        <w:rPr>
          <w:b/>
          <w:sz w:val="20"/>
        </w:rPr>
      </w:pPr>
    </w:p>
    <w:p>
      <w:pPr>
        <w:pStyle w:val="BodyText"/>
        <w:spacing w:before="3"/>
        <w:rPr>
          <w:b/>
          <w:sz w:val="15"/>
        </w:rPr>
      </w:pPr>
      <w:r>
        <w:rPr/>
        <w:drawing>
          <wp:anchor distT="0" distB="0" distL="0" distR="0" allowOverlap="1" layoutInCell="1" locked="0" behindDoc="1" simplePos="0" relativeHeight="487655936">
            <wp:simplePos x="0" y="0"/>
            <wp:positionH relativeFrom="page">
              <wp:posOffset>786520</wp:posOffset>
            </wp:positionH>
            <wp:positionV relativeFrom="paragraph">
              <wp:posOffset>127291</wp:posOffset>
            </wp:positionV>
            <wp:extent cx="5164622" cy="2682240"/>
            <wp:effectExtent l="0" t="0" r="0" b="0"/>
            <wp:wrapTopAndBottom/>
            <wp:docPr id="197" name="Image 197" descr="C:\Users\rb2f\AppData\Local\Microsoft\Windows\Temporary Internet Files\Content.Word\Fig26.ProjectedhareElectricVehicles.jpg"/>
            <wp:cNvGraphicFramePr>
              <a:graphicFrameLocks/>
            </wp:cNvGraphicFramePr>
            <a:graphic>
              <a:graphicData uri="http://schemas.openxmlformats.org/drawingml/2006/picture">
                <pic:pic>
                  <pic:nvPicPr>
                    <pic:cNvPr id="197" name="Image 197" descr="C:\Users\rb2f\AppData\Local\Microsoft\Windows\Temporary Internet Files\Content.Word\Fig26.ProjectedhareElectricVehicles.jpg"/>
                    <pic:cNvPicPr/>
                  </pic:nvPicPr>
                  <pic:blipFill>
                    <a:blip r:embed="rId99" cstate="print"/>
                    <a:stretch>
                      <a:fillRect/>
                    </a:stretch>
                  </pic:blipFill>
                  <pic:spPr>
                    <a:xfrm>
                      <a:off x="0" y="0"/>
                      <a:ext cx="5164622" cy="2682240"/>
                    </a:xfrm>
                    <a:prstGeom prst="rect">
                      <a:avLst/>
                    </a:prstGeom>
                  </pic:spPr>
                </pic:pic>
              </a:graphicData>
            </a:graphic>
          </wp:anchor>
        </w:drawing>
      </w:r>
    </w:p>
    <w:p>
      <w:pPr>
        <w:pStyle w:val="BodyText"/>
        <w:spacing w:before="11"/>
        <w:rPr>
          <w:b/>
          <w:sz w:val="32"/>
        </w:rPr>
      </w:pPr>
    </w:p>
    <w:p>
      <w:pPr>
        <w:spacing w:before="0"/>
        <w:ind w:left="232" w:right="0" w:firstLine="0"/>
        <w:jc w:val="left"/>
        <w:rPr>
          <w:sz w:val="18"/>
        </w:rPr>
      </w:pPr>
      <w:r>
        <w:rPr>
          <w:sz w:val="18"/>
        </w:rPr>
        <w:t>Source:</w:t>
      </w:r>
      <w:r>
        <w:rPr>
          <w:spacing w:val="-3"/>
          <w:sz w:val="18"/>
        </w:rPr>
        <w:t> </w:t>
      </w:r>
      <w:r>
        <w:rPr>
          <w:sz w:val="18"/>
        </w:rPr>
        <w:t>Adapted</w:t>
      </w:r>
      <w:r>
        <w:rPr>
          <w:spacing w:val="-6"/>
          <w:sz w:val="18"/>
        </w:rPr>
        <w:t> </w:t>
      </w:r>
      <w:r>
        <w:rPr>
          <w:sz w:val="18"/>
        </w:rPr>
        <w:t>from</w:t>
      </w:r>
      <w:r>
        <w:rPr>
          <w:spacing w:val="-3"/>
          <w:sz w:val="18"/>
        </w:rPr>
        <w:t> </w:t>
      </w:r>
      <w:r>
        <w:rPr>
          <w:sz w:val="18"/>
        </w:rPr>
        <w:t>Electricity</w:t>
      </w:r>
      <w:r>
        <w:rPr>
          <w:spacing w:val="-5"/>
          <w:sz w:val="18"/>
        </w:rPr>
        <w:t> </w:t>
      </w:r>
      <w:r>
        <w:rPr>
          <w:sz w:val="18"/>
        </w:rPr>
        <w:t>Network</w:t>
      </w:r>
      <w:r>
        <w:rPr>
          <w:spacing w:val="-2"/>
          <w:sz w:val="18"/>
        </w:rPr>
        <w:t> </w:t>
      </w:r>
      <w:r>
        <w:rPr>
          <w:sz w:val="18"/>
        </w:rPr>
        <w:t>Transformation</w:t>
      </w:r>
      <w:r>
        <w:rPr>
          <w:spacing w:val="-4"/>
          <w:sz w:val="18"/>
        </w:rPr>
        <w:t> </w:t>
      </w:r>
      <w:r>
        <w:rPr>
          <w:sz w:val="18"/>
        </w:rPr>
        <w:t>Roadmap</w:t>
      </w:r>
      <w:r>
        <w:rPr>
          <w:spacing w:val="-3"/>
          <w:sz w:val="18"/>
        </w:rPr>
        <w:t> </w:t>
      </w:r>
      <w:r>
        <w:rPr>
          <w:sz w:val="18"/>
        </w:rPr>
        <w:t>(ENA</w:t>
      </w:r>
      <w:r>
        <w:rPr>
          <w:spacing w:val="-4"/>
          <w:sz w:val="18"/>
        </w:rPr>
        <w:t> </w:t>
      </w:r>
      <w:r>
        <w:rPr>
          <w:sz w:val="18"/>
        </w:rPr>
        <w:t>&amp;</w:t>
      </w:r>
      <w:r>
        <w:rPr>
          <w:spacing w:val="-4"/>
          <w:sz w:val="18"/>
        </w:rPr>
        <w:t> </w:t>
      </w:r>
      <w:r>
        <w:rPr>
          <w:sz w:val="18"/>
        </w:rPr>
        <w:t>CSIRO,</w:t>
      </w:r>
      <w:r>
        <w:rPr>
          <w:spacing w:val="-3"/>
          <w:sz w:val="18"/>
        </w:rPr>
        <w:t> </w:t>
      </w:r>
      <w:r>
        <w:rPr>
          <w:sz w:val="18"/>
        </w:rPr>
        <w:t>2017,</w:t>
      </w:r>
      <w:r>
        <w:rPr>
          <w:spacing w:val="-6"/>
          <w:sz w:val="18"/>
        </w:rPr>
        <w:t> </w:t>
      </w:r>
      <w:r>
        <w:rPr>
          <w:sz w:val="18"/>
        </w:rPr>
        <w:t>p.</w:t>
      </w:r>
      <w:r>
        <w:rPr>
          <w:spacing w:val="-3"/>
          <w:sz w:val="18"/>
        </w:rPr>
        <w:t> </w:t>
      </w:r>
      <w:r>
        <w:rPr>
          <w:spacing w:val="-5"/>
          <w:sz w:val="18"/>
        </w:rPr>
        <w:t>33)</w:t>
      </w:r>
    </w:p>
    <w:p>
      <w:pPr>
        <w:spacing w:after="0"/>
        <w:jc w:val="left"/>
        <w:rPr>
          <w:sz w:val="18"/>
        </w:rPr>
        <w:sectPr>
          <w:pgSz w:w="11910" w:h="16850"/>
          <w:pgMar w:header="220" w:footer="678" w:top="420" w:bottom="860" w:left="900" w:right="840"/>
        </w:sectPr>
      </w:pPr>
    </w:p>
    <w:p>
      <w:pPr>
        <w:pStyle w:val="BodyText"/>
        <w:rPr>
          <w:sz w:val="20"/>
        </w:rPr>
      </w:pPr>
    </w:p>
    <w:p>
      <w:pPr>
        <w:pStyle w:val="BodyText"/>
        <w:spacing w:before="7"/>
        <w:rPr>
          <w:sz w:val="19"/>
        </w:rPr>
      </w:pPr>
    </w:p>
    <w:p>
      <w:pPr>
        <w:pStyle w:val="Heading4"/>
        <w:spacing w:line="288" w:lineRule="auto"/>
      </w:pPr>
      <w:r>
        <w:rPr>
          <w:color w:val="585858"/>
        </w:rPr>
        <w:t>Strengthening</w:t>
      </w:r>
      <w:r>
        <w:rPr>
          <w:color w:val="585858"/>
          <w:spacing w:val="-5"/>
        </w:rPr>
        <w:t> </w:t>
      </w:r>
      <w:r>
        <w:rPr>
          <w:color w:val="585858"/>
        </w:rPr>
        <w:t>the</w:t>
      </w:r>
      <w:r>
        <w:rPr>
          <w:color w:val="585858"/>
          <w:spacing w:val="-5"/>
        </w:rPr>
        <w:t> </w:t>
      </w:r>
      <w:r>
        <w:rPr>
          <w:color w:val="585858"/>
        </w:rPr>
        <w:t>safety</w:t>
      </w:r>
      <w:r>
        <w:rPr>
          <w:color w:val="585858"/>
          <w:spacing w:val="-7"/>
        </w:rPr>
        <w:t> </w:t>
      </w:r>
      <w:r>
        <w:rPr>
          <w:color w:val="585858"/>
        </w:rPr>
        <w:t>framework</w:t>
      </w:r>
      <w:r>
        <w:rPr>
          <w:color w:val="585858"/>
          <w:spacing w:val="-5"/>
        </w:rPr>
        <w:t> </w:t>
      </w:r>
      <w:r>
        <w:rPr>
          <w:color w:val="585858"/>
        </w:rPr>
        <w:t>to</w:t>
      </w:r>
      <w:r>
        <w:rPr>
          <w:color w:val="585858"/>
          <w:spacing w:val="-5"/>
        </w:rPr>
        <w:t> </w:t>
      </w:r>
      <w:r>
        <w:rPr>
          <w:color w:val="585858"/>
        </w:rPr>
        <w:t>regulate</w:t>
      </w:r>
      <w:r>
        <w:rPr>
          <w:color w:val="585858"/>
          <w:spacing w:val="-5"/>
        </w:rPr>
        <w:t> </w:t>
      </w:r>
      <w:r>
        <w:rPr>
          <w:color w:val="585858"/>
        </w:rPr>
        <w:t>the</w:t>
      </w:r>
      <w:r>
        <w:rPr>
          <w:color w:val="585858"/>
          <w:spacing w:val="-2"/>
        </w:rPr>
        <w:t> </w:t>
      </w:r>
      <w:r>
        <w:rPr>
          <w:color w:val="585858"/>
        </w:rPr>
        <w:t>networks</w:t>
      </w:r>
      <w:r>
        <w:rPr>
          <w:color w:val="585858"/>
          <w:spacing w:val="-5"/>
        </w:rPr>
        <w:t> </w:t>
      </w:r>
      <w:r>
        <w:rPr>
          <w:color w:val="585858"/>
        </w:rPr>
        <w:t>of the future</w:t>
      </w:r>
    </w:p>
    <w:p>
      <w:pPr>
        <w:pStyle w:val="BodyText"/>
        <w:spacing w:line="288" w:lineRule="auto" w:before="241"/>
        <w:ind w:left="232" w:right="374"/>
      </w:pPr>
      <w:r>
        <w:rPr/>
        <w:t>As noted earlier, network operators need to manage challenges arising from bi-directional electricity flows, voltage fluctuations, frequency changes and any potential impacts on supply quality</w:t>
      </w:r>
      <w:r>
        <w:rPr>
          <w:spacing w:val="-4"/>
        </w:rPr>
        <w:t> </w:t>
      </w:r>
      <w:r>
        <w:rPr/>
        <w:t>and</w:t>
      </w:r>
      <w:r>
        <w:rPr>
          <w:spacing w:val="-2"/>
        </w:rPr>
        <w:t> </w:t>
      </w:r>
      <w:r>
        <w:rPr/>
        <w:t>stability</w:t>
      </w:r>
      <w:r>
        <w:rPr>
          <w:spacing w:val="-4"/>
        </w:rPr>
        <w:t> </w:t>
      </w:r>
      <w:r>
        <w:rPr/>
        <w:t>on</w:t>
      </w:r>
      <w:r>
        <w:rPr>
          <w:spacing w:val="-2"/>
        </w:rPr>
        <w:t> </w:t>
      </w:r>
      <w:r>
        <w:rPr/>
        <w:t>networks</w:t>
      </w:r>
      <w:r>
        <w:rPr>
          <w:spacing w:val="-4"/>
        </w:rPr>
        <w:t> </w:t>
      </w:r>
      <w:r>
        <w:rPr/>
        <w:t>traditionally</w:t>
      </w:r>
      <w:r>
        <w:rPr>
          <w:spacing w:val="-4"/>
        </w:rPr>
        <w:t> </w:t>
      </w:r>
      <w:r>
        <w:rPr/>
        <w:t>designed</w:t>
      </w:r>
      <w:r>
        <w:rPr>
          <w:spacing w:val="-6"/>
        </w:rPr>
        <w:t> </w:t>
      </w:r>
      <w:r>
        <w:rPr/>
        <w:t>for</w:t>
      </w:r>
      <w:r>
        <w:rPr>
          <w:spacing w:val="-1"/>
        </w:rPr>
        <w:t> </w:t>
      </w:r>
      <w:r>
        <w:rPr/>
        <w:t>one</w:t>
      </w:r>
      <w:r>
        <w:rPr>
          <w:spacing w:val="-4"/>
        </w:rPr>
        <w:t> </w:t>
      </w:r>
      <w:r>
        <w:rPr/>
        <w:t>way</w:t>
      </w:r>
      <w:r>
        <w:rPr>
          <w:spacing w:val="-4"/>
        </w:rPr>
        <w:t> </w:t>
      </w:r>
      <w:r>
        <w:rPr/>
        <w:t>energy</w:t>
      </w:r>
      <w:r>
        <w:rPr>
          <w:spacing w:val="-6"/>
        </w:rPr>
        <w:t> </w:t>
      </w:r>
      <w:r>
        <w:rPr/>
        <w:t>flows</w:t>
      </w:r>
      <w:r>
        <w:rPr>
          <w:spacing w:val="-1"/>
        </w:rPr>
        <w:t> </w:t>
      </w:r>
      <w:r>
        <w:rPr/>
        <w:t>and,</w:t>
      </w:r>
      <w:r>
        <w:rPr>
          <w:spacing w:val="-1"/>
        </w:rPr>
        <w:t> </w:t>
      </w:r>
      <w:r>
        <w:rPr/>
        <w:t>large,</w:t>
      </w:r>
      <w:r>
        <w:rPr>
          <w:spacing w:val="-3"/>
        </w:rPr>
        <w:t> </w:t>
      </w:r>
      <w:r>
        <w:rPr/>
        <w:t>stable energy generation sources.</w:t>
      </w:r>
    </w:p>
    <w:p>
      <w:pPr>
        <w:pStyle w:val="BodyText"/>
        <w:spacing w:before="9"/>
        <w:rPr>
          <w:sz w:val="20"/>
        </w:rPr>
      </w:pPr>
    </w:p>
    <w:p>
      <w:pPr>
        <w:pStyle w:val="BodyText"/>
        <w:spacing w:line="288" w:lineRule="auto" w:before="1"/>
        <w:ind w:left="232" w:right="286"/>
      </w:pPr>
      <w:r>
        <w:rPr/>
        <w:t>Advanced network planning and active management of the energy network is required, aided by greater</w:t>
      </w:r>
      <w:r>
        <w:rPr>
          <w:spacing w:val="-3"/>
        </w:rPr>
        <w:t> </w:t>
      </w:r>
      <w:r>
        <w:rPr/>
        <w:t>levels</w:t>
      </w:r>
      <w:r>
        <w:rPr>
          <w:spacing w:val="-3"/>
        </w:rPr>
        <w:t> </w:t>
      </w:r>
      <w:r>
        <w:rPr/>
        <w:t>of</w:t>
      </w:r>
      <w:r>
        <w:rPr>
          <w:spacing w:val="-2"/>
        </w:rPr>
        <w:t> </w:t>
      </w:r>
      <w:r>
        <w:rPr/>
        <w:t>monitoring.</w:t>
      </w:r>
      <w:r>
        <w:rPr>
          <w:spacing w:val="-2"/>
        </w:rPr>
        <w:t> </w:t>
      </w:r>
      <w:r>
        <w:rPr/>
        <w:t>Visibility</w:t>
      </w:r>
      <w:r>
        <w:rPr>
          <w:spacing w:val="-6"/>
        </w:rPr>
        <w:t> </w:t>
      </w:r>
      <w:r>
        <w:rPr/>
        <w:t>of</w:t>
      </w:r>
      <w:r>
        <w:rPr>
          <w:spacing w:val="-3"/>
        </w:rPr>
        <w:t> </w:t>
      </w:r>
      <w:r>
        <w:rPr/>
        <w:t>network</w:t>
      </w:r>
      <w:r>
        <w:rPr>
          <w:spacing w:val="-1"/>
        </w:rPr>
        <w:t> </w:t>
      </w:r>
      <w:r>
        <w:rPr/>
        <w:t>data</w:t>
      </w:r>
      <w:r>
        <w:rPr>
          <w:spacing w:val="-3"/>
        </w:rPr>
        <w:t> </w:t>
      </w:r>
      <w:r>
        <w:rPr/>
        <w:t>and</w:t>
      </w:r>
      <w:r>
        <w:rPr>
          <w:spacing w:val="-6"/>
        </w:rPr>
        <w:t> </w:t>
      </w:r>
      <w:r>
        <w:rPr/>
        <w:t>an</w:t>
      </w:r>
      <w:r>
        <w:rPr>
          <w:spacing w:val="-4"/>
        </w:rPr>
        <w:t> </w:t>
      </w:r>
      <w:r>
        <w:rPr/>
        <w:t>understanding</w:t>
      </w:r>
      <w:r>
        <w:rPr>
          <w:spacing w:val="-4"/>
        </w:rPr>
        <w:t> </w:t>
      </w:r>
      <w:r>
        <w:rPr/>
        <w:t>of</w:t>
      </w:r>
      <w:r>
        <w:rPr>
          <w:spacing w:val="-2"/>
        </w:rPr>
        <w:t> </w:t>
      </w:r>
      <w:r>
        <w:rPr/>
        <w:t>consumer</w:t>
      </w:r>
      <w:r>
        <w:rPr>
          <w:spacing w:val="-5"/>
        </w:rPr>
        <w:t> </w:t>
      </w:r>
      <w:r>
        <w:rPr/>
        <w:t>behaviour is essential.</w:t>
      </w:r>
    </w:p>
    <w:p>
      <w:pPr>
        <w:pStyle w:val="BodyText"/>
        <w:spacing w:before="8"/>
        <w:rPr>
          <w:sz w:val="20"/>
        </w:rPr>
      </w:pPr>
    </w:p>
    <w:p>
      <w:pPr>
        <w:pStyle w:val="BodyText"/>
        <w:spacing w:line="288" w:lineRule="auto" w:before="1"/>
        <w:ind w:left="232" w:right="374"/>
      </w:pPr>
      <w:r>
        <w:rPr/>
        <w:t>ESV</w:t>
      </w:r>
      <w:r>
        <w:rPr>
          <w:spacing w:val="-2"/>
        </w:rPr>
        <w:t> </w:t>
      </w:r>
      <w:r>
        <w:rPr/>
        <w:t>already</w:t>
      </w:r>
      <w:r>
        <w:rPr>
          <w:spacing w:val="-4"/>
        </w:rPr>
        <w:t> </w:t>
      </w:r>
      <w:r>
        <w:rPr/>
        <w:t>plays</w:t>
      </w:r>
      <w:r>
        <w:rPr>
          <w:spacing w:val="-1"/>
        </w:rPr>
        <w:t> </w:t>
      </w:r>
      <w:r>
        <w:rPr/>
        <w:t>a</w:t>
      </w:r>
      <w:r>
        <w:rPr>
          <w:spacing w:val="-2"/>
        </w:rPr>
        <w:t> </w:t>
      </w:r>
      <w:r>
        <w:rPr/>
        <w:t>key</w:t>
      </w:r>
      <w:r>
        <w:rPr>
          <w:spacing w:val="-6"/>
        </w:rPr>
        <w:t> </w:t>
      </w:r>
      <w:r>
        <w:rPr/>
        <w:t>role</w:t>
      </w:r>
      <w:r>
        <w:rPr>
          <w:spacing w:val="-2"/>
        </w:rPr>
        <w:t> </w:t>
      </w:r>
      <w:r>
        <w:rPr/>
        <w:t>in</w:t>
      </w:r>
      <w:r>
        <w:rPr>
          <w:spacing w:val="-4"/>
        </w:rPr>
        <w:t> </w:t>
      </w:r>
      <w:r>
        <w:rPr/>
        <w:t>facilitating</w:t>
      </w:r>
      <w:r>
        <w:rPr>
          <w:spacing w:val="-2"/>
        </w:rPr>
        <w:t> </w:t>
      </w:r>
      <w:r>
        <w:rPr/>
        <w:t>discussions</w:t>
      </w:r>
      <w:r>
        <w:rPr>
          <w:spacing w:val="-1"/>
        </w:rPr>
        <w:t> </w:t>
      </w:r>
      <w:r>
        <w:rPr/>
        <w:t>with</w:t>
      </w:r>
      <w:r>
        <w:rPr>
          <w:spacing w:val="-2"/>
        </w:rPr>
        <w:t> </w:t>
      </w:r>
      <w:r>
        <w:rPr/>
        <w:t>industry</w:t>
      </w:r>
      <w:r>
        <w:rPr>
          <w:spacing w:val="-4"/>
        </w:rPr>
        <w:t> </w:t>
      </w:r>
      <w:r>
        <w:rPr/>
        <w:t>and</w:t>
      </w:r>
      <w:r>
        <w:rPr>
          <w:spacing w:val="-4"/>
        </w:rPr>
        <w:t> </w:t>
      </w:r>
      <w:r>
        <w:rPr/>
        <w:t>the Victorian</w:t>
      </w:r>
      <w:r>
        <w:rPr>
          <w:spacing w:val="-4"/>
        </w:rPr>
        <w:t> </w:t>
      </w:r>
      <w:r>
        <w:rPr/>
        <w:t>Government to ensure the safety of consumers is protected.</w:t>
      </w:r>
    </w:p>
    <w:p>
      <w:pPr>
        <w:pStyle w:val="BodyText"/>
        <w:spacing w:before="10"/>
        <w:rPr>
          <w:sz w:val="20"/>
        </w:rPr>
      </w:pPr>
    </w:p>
    <w:p>
      <w:pPr>
        <w:pStyle w:val="BodyText"/>
        <w:spacing w:line="288" w:lineRule="auto"/>
        <w:ind w:left="232" w:right="374"/>
      </w:pPr>
      <w:r>
        <w:rPr/>
        <w:t>As the sector evolves rapidly and new technologies and trends emerge, the need for the regulator to ensure the safety framework can effectively regulate the networks of the future becomes more paramount.</w:t>
      </w:r>
      <w:r>
        <w:rPr>
          <w:spacing w:val="-1"/>
        </w:rPr>
        <w:t> </w:t>
      </w:r>
      <w:r>
        <w:rPr/>
        <w:t>ESV has</w:t>
      </w:r>
      <w:r>
        <w:rPr>
          <w:spacing w:val="-2"/>
        </w:rPr>
        <w:t> </w:t>
      </w:r>
      <w:r>
        <w:rPr/>
        <w:t>provided leadership in the development of a new</w:t>
      </w:r>
      <w:r>
        <w:rPr>
          <w:spacing w:val="-3"/>
        </w:rPr>
        <w:t> </w:t>
      </w:r>
      <w:r>
        <w:rPr/>
        <w:t>standard</w:t>
      </w:r>
      <w:r>
        <w:rPr>
          <w:spacing w:val="-2"/>
        </w:rPr>
        <w:t> </w:t>
      </w:r>
      <w:r>
        <w:rPr/>
        <w:t>for</w:t>
      </w:r>
      <w:r>
        <w:rPr>
          <w:spacing w:val="-1"/>
        </w:rPr>
        <w:t> </w:t>
      </w:r>
      <w:r>
        <w:rPr/>
        <w:t>the</w:t>
      </w:r>
      <w:r>
        <w:rPr>
          <w:spacing w:val="-2"/>
        </w:rPr>
        <w:t> </w:t>
      </w:r>
      <w:r>
        <w:rPr/>
        <w:t>installation of battery</w:t>
      </w:r>
      <w:r>
        <w:rPr>
          <w:spacing w:val="-4"/>
        </w:rPr>
        <w:t> </w:t>
      </w:r>
      <w:r>
        <w:rPr/>
        <w:t>storage</w:t>
      </w:r>
      <w:r>
        <w:rPr>
          <w:spacing w:val="-2"/>
        </w:rPr>
        <w:t> </w:t>
      </w:r>
      <w:r>
        <w:rPr/>
        <w:t>systems</w:t>
      </w:r>
      <w:r>
        <w:rPr>
          <w:spacing w:val="-4"/>
        </w:rPr>
        <w:t> </w:t>
      </w:r>
      <w:r>
        <w:rPr/>
        <w:t>for</w:t>
      </w:r>
      <w:r>
        <w:rPr>
          <w:spacing w:val="-3"/>
        </w:rPr>
        <w:t> </w:t>
      </w:r>
      <w:r>
        <w:rPr/>
        <w:t>use</w:t>
      </w:r>
      <w:r>
        <w:rPr>
          <w:spacing w:val="-4"/>
        </w:rPr>
        <w:t> </w:t>
      </w:r>
      <w:r>
        <w:rPr/>
        <w:t>with</w:t>
      </w:r>
      <w:r>
        <w:rPr>
          <w:spacing w:val="-2"/>
        </w:rPr>
        <w:t> </w:t>
      </w:r>
      <w:r>
        <w:rPr/>
        <w:t>solar</w:t>
      </w:r>
      <w:r>
        <w:rPr>
          <w:spacing w:val="-2"/>
        </w:rPr>
        <w:t> </w:t>
      </w:r>
      <w:r>
        <w:rPr/>
        <w:t>installations.</w:t>
      </w:r>
      <w:r>
        <w:rPr>
          <w:spacing w:val="-2"/>
        </w:rPr>
        <w:t> </w:t>
      </w:r>
      <w:r>
        <w:rPr/>
        <w:t>As</w:t>
      </w:r>
      <w:r>
        <w:rPr>
          <w:spacing w:val="-4"/>
        </w:rPr>
        <w:t> </w:t>
      </w:r>
      <w:r>
        <w:rPr/>
        <w:t>the</w:t>
      </w:r>
      <w:r>
        <w:rPr>
          <w:spacing w:val="-4"/>
        </w:rPr>
        <w:t> </w:t>
      </w:r>
      <w:r>
        <w:rPr/>
        <w:t>technical</w:t>
      </w:r>
      <w:r>
        <w:rPr>
          <w:spacing w:val="-2"/>
        </w:rPr>
        <w:t> </w:t>
      </w:r>
      <w:r>
        <w:rPr/>
        <w:t>energy</w:t>
      </w:r>
      <w:r>
        <w:rPr>
          <w:spacing w:val="-4"/>
        </w:rPr>
        <w:t> </w:t>
      </w:r>
      <w:r>
        <w:rPr/>
        <w:t>safety</w:t>
      </w:r>
      <w:r>
        <w:rPr>
          <w:spacing w:val="-4"/>
        </w:rPr>
        <w:t> </w:t>
      </w:r>
      <w:r>
        <w:rPr/>
        <w:t>regulator, it is well-positioned to educate the Victorian public about emerging safety risks and to lead the industry and other regulators in embracing the reforms required to effectively regulate the energy networks of the future.</w:t>
      </w:r>
    </w:p>
    <w:p>
      <w:pPr>
        <w:pStyle w:val="BodyText"/>
        <w:spacing w:before="9"/>
        <w:rPr>
          <w:sz w:val="20"/>
        </w:rPr>
      </w:pPr>
    </w:p>
    <w:p>
      <w:pPr>
        <w:pStyle w:val="BodyText"/>
        <w:spacing w:line="288" w:lineRule="auto"/>
        <w:ind w:left="232" w:right="374"/>
      </w:pPr>
      <w:r>
        <w:rPr/>
        <w:t>Looking ahead, the pace of change is not likely to diminish. To assist ESV to develop effective regulatory responses to the emerging challenges, it would be beneficial for it to establish more formal and enduring consultative and advisory mechanisms. Among other things, the establishment of an advisory committee under Section 8 of the </w:t>
      </w:r>
      <w:r>
        <w:rPr>
          <w:i/>
        </w:rPr>
        <w:t>Energy Safe Victoria Act 2005 </w:t>
      </w:r>
      <w:r>
        <w:rPr/>
        <w:t>would formalise and strengthen ESV’s ongoing engagement. The committee should consist of members</w:t>
      </w:r>
      <w:r>
        <w:rPr>
          <w:spacing w:val="-2"/>
        </w:rPr>
        <w:t> </w:t>
      </w:r>
      <w:r>
        <w:rPr/>
        <w:t>with</w:t>
      </w:r>
      <w:r>
        <w:rPr>
          <w:spacing w:val="-3"/>
        </w:rPr>
        <w:t> </w:t>
      </w:r>
      <w:r>
        <w:rPr/>
        <w:t>relevant</w:t>
      </w:r>
      <w:r>
        <w:rPr>
          <w:spacing w:val="-1"/>
        </w:rPr>
        <w:t> </w:t>
      </w:r>
      <w:r>
        <w:rPr/>
        <w:t>experience</w:t>
      </w:r>
      <w:r>
        <w:rPr>
          <w:spacing w:val="-3"/>
        </w:rPr>
        <w:t> </w:t>
      </w:r>
      <w:r>
        <w:rPr/>
        <w:t>and</w:t>
      </w:r>
      <w:r>
        <w:rPr>
          <w:spacing w:val="-3"/>
        </w:rPr>
        <w:t> </w:t>
      </w:r>
      <w:r>
        <w:rPr/>
        <w:t>expertise</w:t>
      </w:r>
      <w:r>
        <w:rPr>
          <w:spacing w:val="-3"/>
        </w:rPr>
        <w:t> </w:t>
      </w:r>
      <w:r>
        <w:rPr/>
        <w:t>in</w:t>
      </w:r>
      <w:r>
        <w:rPr>
          <w:spacing w:val="-3"/>
        </w:rPr>
        <w:t> </w:t>
      </w:r>
      <w:r>
        <w:rPr/>
        <w:t>energy</w:t>
      </w:r>
      <w:r>
        <w:rPr>
          <w:spacing w:val="-5"/>
        </w:rPr>
        <w:t> </w:t>
      </w:r>
      <w:r>
        <w:rPr/>
        <w:t>networks</w:t>
      </w:r>
      <w:r>
        <w:rPr>
          <w:spacing w:val="-2"/>
        </w:rPr>
        <w:t> </w:t>
      </w:r>
      <w:r>
        <w:rPr/>
        <w:t>and</w:t>
      </w:r>
      <w:r>
        <w:rPr>
          <w:spacing w:val="-3"/>
        </w:rPr>
        <w:t> </w:t>
      </w:r>
      <w:r>
        <w:rPr/>
        <w:t>an</w:t>
      </w:r>
      <w:r>
        <w:rPr>
          <w:spacing w:val="-3"/>
        </w:rPr>
        <w:t> </w:t>
      </w:r>
      <w:r>
        <w:rPr/>
        <w:t>understanding</w:t>
      </w:r>
      <w:r>
        <w:rPr>
          <w:spacing w:val="-3"/>
        </w:rPr>
        <w:t> </w:t>
      </w:r>
      <w:r>
        <w:rPr/>
        <w:t>of</w:t>
      </w:r>
      <w:r>
        <w:rPr>
          <w:spacing w:val="-4"/>
        </w:rPr>
        <w:t> </w:t>
      </w:r>
      <w:r>
        <w:rPr/>
        <w:t>the future challenges arising from a changing energy sector. Representatives from government and other relevant stakeholders should also participate.</w:t>
      </w:r>
    </w:p>
    <w:p>
      <w:pPr>
        <w:pStyle w:val="BodyText"/>
        <w:spacing w:before="10"/>
        <w:rPr>
          <w:sz w:val="18"/>
        </w:rPr>
      </w:pPr>
      <w:r>
        <w:rPr/>
        <mc:AlternateContent>
          <mc:Choice Requires="wps">
            <w:drawing>
              <wp:anchor distT="0" distB="0" distL="0" distR="0" allowOverlap="1" layoutInCell="1" locked="0" behindDoc="1" simplePos="0" relativeHeight="487656448">
                <wp:simplePos x="0" y="0"/>
                <wp:positionH relativeFrom="page">
                  <wp:posOffset>719327</wp:posOffset>
                </wp:positionH>
                <wp:positionV relativeFrom="paragraph">
                  <wp:posOffset>153231</wp:posOffset>
                </wp:positionV>
                <wp:extent cx="5870575" cy="1477010"/>
                <wp:effectExtent l="0" t="0" r="0" b="0"/>
                <wp:wrapTopAndBottom/>
                <wp:docPr id="198" name="Textbox 198"/>
                <wp:cNvGraphicFramePr>
                  <a:graphicFrameLocks/>
                </wp:cNvGraphicFramePr>
                <a:graphic>
                  <a:graphicData uri="http://schemas.microsoft.com/office/word/2010/wordprocessingShape">
                    <wps:wsp>
                      <wps:cNvPr id="198" name="Textbox 198"/>
                      <wps:cNvSpPr txBox="1"/>
                      <wps:spPr>
                        <a:xfrm>
                          <a:off x="0" y="0"/>
                          <a:ext cx="5870575" cy="1477010"/>
                        </a:xfrm>
                        <a:prstGeom prst="rect">
                          <a:avLst/>
                        </a:prstGeom>
                        <a:solidFill>
                          <a:srgbClr val="D9D9D9"/>
                        </a:solidFill>
                      </wps:spPr>
                      <wps:txbx>
                        <w:txbxContent>
                          <w:p>
                            <w:pPr>
                              <w:pStyle w:val="BodyText"/>
                              <w:spacing w:before="6"/>
                              <w:rPr>
                                <w:color w:val="000000"/>
                                <w:sz w:val="36"/>
                              </w:rPr>
                            </w:pPr>
                          </w:p>
                          <w:p>
                            <w:pPr>
                              <w:spacing w:before="0"/>
                              <w:ind w:left="141" w:right="0" w:firstLine="0"/>
                              <w:jc w:val="left"/>
                              <w:rPr>
                                <w:b/>
                                <w:color w:val="000000"/>
                                <w:sz w:val="24"/>
                              </w:rPr>
                            </w:pPr>
                            <w:r>
                              <w:rPr>
                                <w:b/>
                                <w:color w:val="000000"/>
                                <w:spacing w:val="-2"/>
                                <w:sz w:val="24"/>
                              </w:rPr>
                              <w:t>Recommendation</w:t>
                            </w:r>
                            <w:r>
                              <w:rPr>
                                <w:b/>
                                <w:color w:val="000000"/>
                                <w:sz w:val="24"/>
                              </w:rPr>
                              <w:t> </w:t>
                            </w:r>
                            <w:r>
                              <w:rPr>
                                <w:b/>
                                <w:color w:val="000000"/>
                                <w:spacing w:val="-5"/>
                                <w:sz w:val="24"/>
                              </w:rPr>
                              <w:t>32</w:t>
                            </w:r>
                          </w:p>
                          <w:p>
                            <w:pPr>
                              <w:pStyle w:val="BodyText"/>
                              <w:spacing w:line="288" w:lineRule="auto" w:before="175"/>
                              <w:ind w:left="112" w:right="177"/>
                              <w:rPr>
                                <w:color w:val="000000"/>
                              </w:rPr>
                            </w:pPr>
                            <w:r>
                              <w:rPr>
                                <w:color w:val="000000"/>
                              </w:rPr>
                              <w:t>ESV should establish an expert advisory committee under Section 8 of the </w:t>
                            </w:r>
                            <w:r>
                              <w:rPr>
                                <w:i/>
                                <w:color w:val="000000"/>
                              </w:rPr>
                              <w:t>Energy Safe Victoria</w:t>
                            </w:r>
                            <w:r>
                              <w:rPr>
                                <w:i/>
                                <w:color w:val="000000"/>
                                <w:spacing w:val="-1"/>
                              </w:rPr>
                              <w:t> </w:t>
                            </w:r>
                            <w:r>
                              <w:rPr>
                                <w:i/>
                                <w:color w:val="000000"/>
                              </w:rPr>
                              <w:t>Act</w:t>
                            </w:r>
                            <w:r>
                              <w:rPr>
                                <w:i/>
                                <w:color w:val="000000"/>
                                <w:spacing w:val="-2"/>
                              </w:rPr>
                              <w:t> </w:t>
                            </w:r>
                            <w:r>
                              <w:rPr>
                                <w:i/>
                                <w:color w:val="000000"/>
                              </w:rPr>
                              <w:t>2005</w:t>
                            </w:r>
                            <w:r>
                              <w:rPr>
                                <w:i/>
                                <w:color w:val="000000"/>
                                <w:spacing w:val="-3"/>
                              </w:rPr>
                              <w:t> </w:t>
                            </w:r>
                            <w:r>
                              <w:rPr>
                                <w:color w:val="000000"/>
                              </w:rPr>
                              <w:t>to</w:t>
                            </w:r>
                            <w:r>
                              <w:rPr>
                                <w:color w:val="000000"/>
                                <w:spacing w:val="-3"/>
                              </w:rPr>
                              <w:t> </w:t>
                            </w:r>
                            <w:r>
                              <w:rPr>
                                <w:color w:val="000000"/>
                              </w:rPr>
                              <w:t>advise</w:t>
                            </w:r>
                            <w:r>
                              <w:rPr>
                                <w:color w:val="000000"/>
                                <w:spacing w:val="-1"/>
                              </w:rPr>
                              <w:t> </w:t>
                            </w:r>
                            <w:r>
                              <w:rPr>
                                <w:color w:val="000000"/>
                              </w:rPr>
                              <w:t>on</w:t>
                            </w:r>
                            <w:r>
                              <w:rPr>
                                <w:color w:val="000000"/>
                                <w:spacing w:val="-1"/>
                              </w:rPr>
                              <w:t> </w:t>
                            </w:r>
                            <w:r>
                              <w:rPr>
                                <w:color w:val="000000"/>
                              </w:rPr>
                              <w:t>emerging</w:t>
                            </w:r>
                            <w:r>
                              <w:rPr>
                                <w:color w:val="000000"/>
                                <w:spacing w:val="-1"/>
                              </w:rPr>
                              <w:t> </w:t>
                            </w:r>
                            <w:r>
                              <w:rPr>
                                <w:color w:val="000000"/>
                              </w:rPr>
                              <w:t>trends</w:t>
                            </w:r>
                            <w:r>
                              <w:rPr>
                                <w:color w:val="000000"/>
                                <w:spacing w:val="-1"/>
                              </w:rPr>
                              <w:t> </w:t>
                            </w:r>
                            <w:r>
                              <w:rPr>
                                <w:color w:val="000000"/>
                              </w:rPr>
                              <w:t>in</w:t>
                            </w:r>
                            <w:r>
                              <w:rPr>
                                <w:color w:val="000000"/>
                                <w:spacing w:val="-3"/>
                              </w:rPr>
                              <w:t> </w:t>
                            </w:r>
                            <w:r>
                              <w:rPr>
                                <w:color w:val="000000"/>
                              </w:rPr>
                              <w:t>electricity</w:t>
                            </w:r>
                            <w:r>
                              <w:rPr>
                                <w:color w:val="000000"/>
                                <w:spacing w:val="-3"/>
                              </w:rPr>
                              <w:t> </w:t>
                            </w:r>
                            <w:r>
                              <w:rPr>
                                <w:color w:val="000000"/>
                              </w:rPr>
                              <w:t>and</w:t>
                            </w:r>
                            <w:r>
                              <w:rPr>
                                <w:color w:val="000000"/>
                                <w:spacing w:val="-5"/>
                              </w:rPr>
                              <w:t> </w:t>
                            </w:r>
                            <w:r>
                              <w:rPr>
                                <w:color w:val="000000"/>
                              </w:rPr>
                              <w:t>gas</w:t>
                            </w:r>
                            <w:r>
                              <w:rPr>
                                <w:color w:val="000000"/>
                                <w:spacing w:val="-1"/>
                              </w:rPr>
                              <w:t> </w:t>
                            </w:r>
                            <w:r>
                              <w:rPr>
                                <w:color w:val="000000"/>
                              </w:rPr>
                              <w:t>networks and</w:t>
                            </w:r>
                            <w:r>
                              <w:rPr>
                                <w:color w:val="000000"/>
                                <w:spacing w:val="-3"/>
                              </w:rPr>
                              <w:t> </w:t>
                            </w:r>
                            <w:r>
                              <w:rPr>
                                <w:color w:val="000000"/>
                              </w:rPr>
                              <w:t>possible changes</w:t>
                            </w:r>
                            <w:r>
                              <w:rPr>
                                <w:color w:val="000000"/>
                                <w:spacing w:val="-4"/>
                              </w:rPr>
                              <w:t> </w:t>
                            </w:r>
                            <w:r>
                              <w:rPr>
                                <w:color w:val="000000"/>
                              </w:rPr>
                              <w:t>to</w:t>
                            </w:r>
                            <w:r>
                              <w:rPr>
                                <w:color w:val="000000"/>
                                <w:spacing w:val="-4"/>
                              </w:rPr>
                              <w:t> </w:t>
                            </w:r>
                            <w:r>
                              <w:rPr>
                                <w:color w:val="000000"/>
                              </w:rPr>
                              <w:t>regulatory</w:t>
                            </w:r>
                            <w:r>
                              <w:rPr>
                                <w:color w:val="000000"/>
                                <w:spacing w:val="-4"/>
                              </w:rPr>
                              <w:t> </w:t>
                            </w:r>
                            <w:r>
                              <w:rPr>
                                <w:color w:val="000000"/>
                              </w:rPr>
                              <w:t>settings</w:t>
                            </w:r>
                            <w:r>
                              <w:rPr>
                                <w:color w:val="000000"/>
                                <w:spacing w:val="-4"/>
                              </w:rPr>
                              <w:t> </w:t>
                            </w:r>
                            <w:r>
                              <w:rPr>
                                <w:color w:val="000000"/>
                              </w:rPr>
                              <w:t>that</w:t>
                            </w:r>
                            <w:r>
                              <w:rPr>
                                <w:color w:val="000000"/>
                                <w:spacing w:val="-3"/>
                              </w:rPr>
                              <w:t> </w:t>
                            </w:r>
                            <w:r>
                              <w:rPr>
                                <w:color w:val="000000"/>
                              </w:rPr>
                              <w:t>might be</w:t>
                            </w:r>
                            <w:r>
                              <w:rPr>
                                <w:color w:val="000000"/>
                                <w:spacing w:val="-4"/>
                              </w:rPr>
                              <w:t> </w:t>
                            </w:r>
                            <w:r>
                              <w:rPr>
                                <w:color w:val="000000"/>
                              </w:rPr>
                              <w:t>considered</w:t>
                            </w:r>
                            <w:r>
                              <w:rPr>
                                <w:color w:val="000000"/>
                                <w:spacing w:val="-2"/>
                              </w:rPr>
                              <w:t> </w:t>
                            </w:r>
                            <w:r>
                              <w:rPr>
                                <w:color w:val="000000"/>
                              </w:rPr>
                              <w:t>necessary</w:t>
                            </w:r>
                            <w:r>
                              <w:rPr>
                                <w:color w:val="000000"/>
                                <w:spacing w:val="-3"/>
                              </w:rPr>
                              <w:t> </w:t>
                            </w:r>
                            <w:r>
                              <w:rPr>
                                <w:color w:val="000000"/>
                              </w:rPr>
                              <w:t>to</w:t>
                            </w:r>
                            <w:r>
                              <w:rPr>
                                <w:color w:val="000000"/>
                                <w:spacing w:val="-4"/>
                              </w:rPr>
                              <w:t> </w:t>
                            </w:r>
                            <w:r>
                              <w:rPr>
                                <w:color w:val="000000"/>
                              </w:rPr>
                              <w:t>manage</w:t>
                            </w:r>
                            <w:r>
                              <w:rPr>
                                <w:color w:val="000000"/>
                                <w:spacing w:val="-4"/>
                              </w:rPr>
                              <w:t> </w:t>
                            </w:r>
                            <w:r>
                              <w:rPr>
                                <w:color w:val="000000"/>
                              </w:rPr>
                              <w:t>new</w:t>
                            </w:r>
                            <w:r>
                              <w:rPr>
                                <w:color w:val="000000"/>
                                <w:spacing w:val="-5"/>
                              </w:rPr>
                              <w:t> </w:t>
                            </w:r>
                            <w:r>
                              <w:rPr>
                                <w:color w:val="000000"/>
                              </w:rPr>
                              <w:t>sources of safety risk.</w:t>
                            </w:r>
                          </w:p>
                        </w:txbxContent>
                      </wps:txbx>
                      <wps:bodyPr wrap="square" lIns="0" tIns="0" rIns="0" bIns="0" rtlCol="0">
                        <a:noAutofit/>
                      </wps:bodyPr>
                    </wps:wsp>
                  </a:graphicData>
                </a:graphic>
              </wp:anchor>
            </w:drawing>
          </mc:Choice>
          <mc:Fallback>
            <w:pict>
              <v:shape style="position:absolute;margin-left:56.639999pt;margin-top:12.065498pt;width:462.25pt;height:116.3pt;mso-position-horizontal-relative:page;mso-position-vertical-relative:paragraph;z-index:-15660032;mso-wrap-distance-left:0;mso-wrap-distance-right:0" type="#_x0000_t202" id="docshape167" filled="true" fillcolor="#d9d9d9" stroked="false">
                <v:textbox inset="0,0,0,0">
                  <w:txbxContent>
                    <w:p>
                      <w:pPr>
                        <w:pStyle w:val="BodyText"/>
                        <w:spacing w:before="6"/>
                        <w:rPr>
                          <w:color w:val="000000"/>
                          <w:sz w:val="36"/>
                        </w:rPr>
                      </w:pPr>
                    </w:p>
                    <w:p>
                      <w:pPr>
                        <w:spacing w:before="0"/>
                        <w:ind w:left="141" w:right="0" w:firstLine="0"/>
                        <w:jc w:val="left"/>
                        <w:rPr>
                          <w:b/>
                          <w:color w:val="000000"/>
                          <w:sz w:val="24"/>
                        </w:rPr>
                      </w:pPr>
                      <w:r>
                        <w:rPr>
                          <w:b/>
                          <w:color w:val="000000"/>
                          <w:spacing w:val="-2"/>
                          <w:sz w:val="24"/>
                        </w:rPr>
                        <w:t>Recommendation</w:t>
                      </w:r>
                      <w:r>
                        <w:rPr>
                          <w:b/>
                          <w:color w:val="000000"/>
                          <w:sz w:val="24"/>
                        </w:rPr>
                        <w:t> </w:t>
                      </w:r>
                      <w:r>
                        <w:rPr>
                          <w:b/>
                          <w:color w:val="000000"/>
                          <w:spacing w:val="-5"/>
                          <w:sz w:val="24"/>
                        </w:rPr>
                        <w:t>32</w:t>
                      </w:r>
                    </w:p>
                    <w:p>
                      <w:pPr>
                        <w:pStyle w:val="BodyText"/>
                        <w:spacing w:line="288" w:lineRule="auto" w:before="175"/>
                        <w:ind w:left="112" w:right="177"/>
                        <w:rPr>
                          <w:color w:val="000000"/>
                        </w:rPr>
                      </w:pPr>
                      <w:r>
                        <w:rPr>
                          <w:color w:val="000000"/>
                        </w:rPr>
                        <w:t>ESV should establish an expert advisory committee under Section 8 of the </w:t>
                      </w:r>
                      <w:r>
                        <w:rPr>
                          <w:i/>
                          <w:color w:val="000000"/>
                        </w:rPr>
                        <w:t>Energy Safe Victoria</w:t>
                      </w:r>
                      <w:r>
                        <w:rPr>
                          <w:i/>
                          <w:color w:val="000000"/>
                          <w:spacing w:val="-1"/>
                        </w:rPr>
                        <w:t> </w:t>
                      </w:r>
                      <w:r>
                        <w:rPr>
                          <w:i/>
                          <w:color w:val="000000"/>
                        </w:rPr>
                        <w:t>Act</w:t>
                      </w:r>
                      <w:r>
                        <w:rPr>
                          <w:i/>
                          <w:color w:val="000000"/>
                          <w:spacing w:val="-2"/>
                        </w:rPr>
                        <w:t> </w:t>
                      </w:r>
                      <w:r>
                        <w:rPr>
                          <w:i/>
                          <w:color w:val="000000"/>
                        </w:rPr>
                        <w:t>2005</w:t>
                      </w:r>
                      <w:r>
                        <w:rPr>
                          <w:i/>
                          <w:color w:val="000000"/>
                          <w:spacing w:val="-3"/>
                        </w:rPr>
                        <w:t> </w:t>
                      </w:r>
                      <w:r>
                        <w:rPr>
                          <w:color w:val="000000"/>
                        </w:rPr>
                        <w:t>to</w:t>
                      </w:r>
                      <w:r>
                        <w:rPr>
                          <w:color w:val="000000"/>
                          <w:spacing w:val="-3"/>
                        </w:rPr>
                        <w:t> </w:t>
                      </w:r>
                      <w:r>
                        <w:rPr>
                          <w:color w:val="000000"/>
                        </w:rPr>
                        <w:t>advise</w:t>
                      </w:r>
                      <w:r>
                        <w:rPr>
                          <w:color w:val="000000"/>
                          <w:spacing w:val="-1"/>
                        </w:rPr>
                        <w:t> </w:t>
                      </w:r>
                      <w:r>
                        <w:rPr>
                          <w:color w:val="000000"/>
                        </w:rPr>
                        <w:t>on</w:t>
                      </w:r>
                      <w:r>
                        <w:rPr>
                          <w:color w:val="000000"/>
                          <w:spacing w:val="-1"/>
                        </w:rPr>
                        <w:t> </w:t>
                      </w:r>
                      <w:r>
                        <w:rPr>
                          <w:color w:val="000000"/>
                        </w:rPr>
                        <w:t>emerging</w:t>
                      </w:r>
                      <w:r>
                        <w:rPr>
                          <w:color w:val="000000"/>
                          <w:spacing w:val="-1"/>
                        </w:rPr>
                        <w:t> </w:t>
                      </w:r>
                      <w:r>
                        <w:rPr>
                          <w:color w:val="000000"/>
                        </w:rPr>
                        <w:t>trends</w:t>
                      </w:r>
                      <w:r>
                        <w:rPr>
                          <w:color w:val="000000"/>
                          <w:spacing w:val="-1"/>
                        </w:rPr>
                        <w:t> </w:t>
                      </w:r>
                      <w:r>
                        <w:rPr>
                          <w:color w:val="000000"/>
                        </w:rPr>
                        <w:t>in</w:t>
                      </w:r>
                      <w:r>
                        <w:rPr>
                          <w:color w:val="000000"/>
                          <w:spacing w:val="-3"/>
                        </w:rPr>
                        <w:t> </w:t>
                      </w:r>
                      <w:r>
                        <w:rPr>
                          <w:color w:val="000000"/>
                        </w:rPr>
                        <w:t>electricity</w:t>
                      </w:r>
                      <w:r>
                        <w:rPr>
                          <w:color w:val="000000"/>
                          <w:spacing w:val="-3"/>
                        </w:rPr>
                        <w:t> </w:t>
                      </w:r>
                      <w:r>
                        <w:rPr>
                          <w:color w:val="000000"/>
                        </w:rPr>
                        <w:t>and</w:t>
                      </w:r>
                      <w:r>
                        <w:rPr>
                          <w:color w:val="000000"/>
                          <w:spacing w:val="-5"/>
                        </w:rPr>
                        <w:t> </w:t>
                      </w:r>
                      <w:r>
                        <w:rPr>
                          <w:color w:val="000000"/>
                        </w:rPr>
                        <w:t>gas</w:t>
                      </w:r>
                      <w:r>
                        <w:rPr>
                          <w:color w:val="000000"/>
                          <w:spacing w:val="-1"/>
                        </w:rPr>
                        <w:t> </w:t>
                      </w:r>
                      <w:r>
                        <w:rPr>
                          <w:color w:val="000000"/>
                        </w:rPr>
                        <w:t>networks and</w:t>
                      </w:r>
                      <w:r>
                        <w:rPr>
                          <w:color w:val="000000"/>
                          <w:spacing w:val="-3"/>
                        </w:rPr>
                        <w:t> </w:t>
                      </w:r>
                      <w:r>
                        <w:rPr>
                          <w:color w:val="000000"/>
                        </w:rPr>
                        <w:t>possible changes</w:t>
                      </w:r>
                      <w:r>
                        <w:rPr>
                          <w:color w:val="000000"/>
                          <w:spacing w:val="-4"/>
                        </w:rPr>
                        <w:t> </w:t>
                      </w:r>
                      <w:r>
                        <w:rPr>
                          <w:color w:val="000000"/>
                        </w:rPr>
                        <w:t>to</w:t>
                      </w:r>
                      <w:r>
                        <w:rPr>
                          <w:color w:val="000000"/>
                          <w:spacing w:val="-4"/>
                        </w:rPr>
                        <w:t> </w:t>
                      </w:r>
                      <w:r>
                        <w:rPr>
                          <w:color w:val="000000"/>
                        </w:rPr>
                        <w:t>regulatory</w:t>
                      </w:r>
                      <w:r>
                        <w:rPr>
                          <w:color w:val="000000"/>
                          <w:spacing w:val="-4"/>
                        </w:rPr>
                        <w:t> </w:t>
                      </w:r>
                      <w:r>
                        <w:rPr>
                          <w:color w:val="000000"/>
                        </w:rPr>
                        <w:t>settings</w:t>
                      </w:r>
                      <w:r>
                        <w:rPr>
                          <w:color w:val="000000"/>
                          <w:spacing w:val="-4"/>
                        </w:rPr>
                        <w:t> </w:t>
                      </w:r>
                      <w:r>
                        <w:rPr>
                          <w:color w:val="000000"/>
                        </w:rPr>
                        <w:t>that</w:t>
                      </w:r>
                      <w:r>
                        <w:rPr>
                          <w:color w:val="000000"/>
                          <w:spacing w:val="-3"/>
                        </w:rPr>
                        <w:t> </w:t>
                      </w:r>
                      <w:r>
                        <w:rPr>
                          <w:color w:val="000000"/>
                        </w:rPr>
                        <w:t>might be</w:t>
                      </w:r>
                      <w:r>
                        <w:rPr>
                          <w:color w:val="000000"/>
                          <w:spacing w:val="-4"/>
                        </w:rPr>
                        <w:t> </w:t>
                      </w:r>
                      <w:r>
                        <w:rPr>
                          <w:color w:val="000000"/>
                        </w:rPr>
                        <w:t>considered</w:t>
                      </w:r>
                      <w:r>
                        <w:rPr>
                          <w:color w:val="000000"/>
                          <w:spacing w:val="-2"/>
                        </w:rPr>
                        <w:t> </w:t>
                      </w:r>
                      <w:r>
                        <w:rPr>
                          <w:color w:val="000000"/>
                        </w:rPr>
                        <w:t>necessary</w:t>
                      </w:r>
                      <w:r>
                        <w:rPr>
                          <w:color w:val="000000"/>
                          <w:spacing w:val="-3"/>
                        </w:rPr>
                        <w:t> </w:t>
                      </w:r>
                      <w:r>
                        <w:rPr>
                          <w:color w:val="000000"/>
                        </w:rPr>
                        <w:t>to</w:t>
                      </w:r>
                      <w:r>
                        <w:rPr>
                          <w:color w:val="000000"/>
                          <w:spacing w:val="-4"/>
                        </w:rPr>
                        <w:t> </w:t>
                      </w:r>
                      <w:r>
                        <w:rPr>
                          <w:color w:val="000000"/>
                        </w:rPr>
                        <w:t>manage</w:t>
                      </w:r>
                      <w:r>
                        <w:rPr>
                          <w:color w:val="000000"/>
                          <w:spacing w:val="-4"/>
                        </w:rPr>
                        <w:t> </w:t>
                      </w:r>
                      <w:r>
                        <w:rPr>
                          <w:color w:val="000000"/>
                        </w:rPr>
                        <w:t>new</w:t>
                      </w:r>
                      <w:r>
                        <w:rPr>
                          <w:color w:val="000000"/>
                          <w:spacing w:val="-5"/>
                        </w:rPr>
                        <w:t> </w:t>
                      </w:r>
                      <w:r>
                        <w:rPr>
                          <w:color w:val="000000"/>
                        </w:rPr>
                        <w:t>sources of safety risk.</w:t>
                      </w:r>
                    </w:p>
                  </w:txbxContent>
                </v:textbox>
                <v:fill type="solid"/>
                <w10:wrap type="topAndBottom"/>
              </v:shape>
            </w:pict>
          </mc:Fallback>
        </mc:AlternateContent>
      </w:r>
    </w:p>
    <w:p>
      <w:pPr>
        <w:pStyle w:val="BodyText"/>
        <w:spacing w:before="4"/>
        <w:rPr>
          <w:sz w:val="18"/>
        </w:rPr>
      </w:pPr>
    </w:p>
    <w:p>
      <w:pPr>
        <w:pStyle w:val="BodyText"/>
        <w:spacing w:line="288" w:lineRule="auto" w:before="94"/>
        <w:ind w:left="232" w:right="374"/>
      </w:pPr>
      <w:r>
        <w:rPr/>
        <w:t>The development of a roadmap that clearly sets out what actions ESV needs to undertake to effectively</w:t>
      </w:r>
      <w:r>
        <w:rPr>
          <w:spacing w:val="-4"/>
        </w:rPr>
        <w:t> </w:t>
      </w:r>
      <w:r>
        <w:rPr/>
        <w:t>respond</w:t>
      </w:r>
      <w:r>
        <w:rPr>
          <w:spacing w:val="-4"/>
        </w:rPr>
        <w:t> </w:t>
      </w:r>
      <w:r>
        <w:rPr/>
        <w:t>to</w:t>
      </w:r>
      <w:r>
        <w:rPr>
          <w:spacing w:val="-4"/>
        </w:rPr>
        <w:t> </w:t>
      </w:r>
      <w:r>
        <w:rPr/>
        <w:t>the</w:t>
      </w:r>
      <w:r>
        <w:rPr>
          <w:spacing w:val="-4"/>
        </w:rPr>
        <w:t> </w:t>
      </w:r>
      <w:r>
        <w:rPr/>
        <w:t>emergence</w:t>
      </w:r>
      <w:r>
        <w:rPr>
          <w:spacing w:val="-2"/>
        </w:rPr>
        <w:t> </w:t>
      </w:r>
      <w:r>
        <w:rPr/>
        <w:t>of</w:t>
      </w:r>
      <w:r>
        <w:rPr>
          <w:spacing w:val="-3"/>
        </w:rPr>
        <w:t> </w:t>
      </w:r>
      <w:r>
        <w:rPr/>
        <w:t>new</w:t>
      </w:r>
      <w:r>
        <w:rPr>
          <w:spacing w:val="-5"/>
        </w:rPr>
        <w:t> </w:t>
      </w:r>
      <w:r>
        <w:rPr/>
        <w:t>networks</w:t>
      </w:r>
      <w:r>
        <w:rPr>
          <w:spacing w:val="-1"/>
        </w:rPr>
        <w:t> </w:t>
      </w:r>
      <w:r>
        <w:rPr/>
        <w:t>and</w:t>
      </w:r>
      <w:r>
        <w:rPr>
          <w:spacing w:val="-4"/>
        </w:rPr>
        <w:t> </w:t>
      </w:r>
      <w:r>
        <w:rPr/>
        <w:t>the</w:t>
      </w:r>
      <w:r>
        <w:rPr>
          <w:spacing w:val="-4"/>
        </w:rPr>
        <w:t> </w:t>
      </w:r>
      <w:r>
        <w:rPr/>
        <w:t>introduction</w:t>
      </w:r>
      <w:r>
        <w:rPr>
          <w:spacing w:val="-4"/>
        </w:rPr>
        <w:t> </w:t>
      </w:r>
      <w:r>
        <w:rPr/>
        <w:t>of new</w:t>
      </w:r>
      <w:r>
        <w:rPr>
          <w:spacing w:val="-5"/>
        </w:rPr>
        <w:t> </w:t>
      </w:r>
      <w:r>
        <w:rPr/>
        <w:t>technologies, would assist ESV to be ready to meet the challenges. Regular reporting would also assist in informing stakeholders, including potential new entrants to the energy market, about emerging issues and the regulatory responses that may be required.</w:t>
      </w:r>
    </w:p>
    <w:p>
      <w:pPr>
        <w:spacing w:after="0" w:line="288" w:lineRule="auto"/>
        <w:sectPr>
          <w:pgSz w:w="11910" w:h="16850"/>
          <w:pgMar w:header="220" w:footer="678" w:top="420" w:bottom="860" w:left="900" w:right="840"/>
        </w:sectPr>
      </w:pPr>
    </w:p>
    <w:p>
      <w:pPr>
        <w:pStyle w:val="BodyText"/>
        <w:rPr>
          <w:sz w:val="20"/>
        </w:rPr>
      </w:pPr>
    </w:p>
    <w:p>
      <w:pPr>
        <w:pStyle w:val="BodyText"/>
        <w:spacing w:before="4"/>
        <w:rPr>
          <w:sz w:val="27"/>
        </w:rPr>
      </w:pPr>
    </w:p>
    <w:p>
      <w:pPr>
        <w:pStyle w:val="BodyText"/>
        <w:ind w:left="232"/>
        <w:rPr>
          <w:sz w:val="20"/>
        </w:rPr>
      </w:pPr>
      <w:r>
        <w:rPr>
          <w:sz w:val="20"/>
        </w:rPr>
        <mc:AlternateContent>
          <mc:Choice Requires="wps">
            <w:drawing>
              <wp:inline distT="0" distB="0" distL="0" distR="0">
                <wp:extent cx="5870575" cy="1477010"/>
                <wp:effectExtent l="0" t="0" r="0" b="0"/>
                <wp:docPr id="199" name="Textbox 199"/>
                <wp:cNvGraphicFramePr>
                  <a:graphicFrameLocks/>
                </wp:cNvGraphicFramePr>
                <a:graphic>
                  <a:graphicData uri="http://schemas.microsoft.com/office/word/2010/wordprocessingShape">
                    <wps:wsp>
                      <wps:cNvPr id="199" name="Textbox 199"/>
                      <wps:cNvSpPr txBox="1"/>
                      <wps:spPr>
                        <a:xfrm>
                          <a:off x="0" y="0"/>
                          <a:ext cx="5870575" cy="1477010"/>
                        </a:xfrm>
                        <a:prstGeom prst="rect">
                          <a:avLst/>
                        </a:prstGeom>
                        <a:solidFill>
                          <a:srgbClr val="D9D9D9"/>
                        </a:solidFill>
                      </wps:spPr>
                      <wps:txbx>
                        <w:txbxContent>
                          <w:p>
                            <w:pPr>
                              <w:pStyle w:val="BodyText"/>
                              <w:spacing w:before="6"/>
                              <w:rPr>
                                <w:color w:val="000000"/>
                                <w:sz w:val="36"/>
                              </w:rPr>
                            </w:pPr>
                          </w:p>
                          <w:p>
                            <w:pPr>
                              <w:spacing w:before="0"/>
                              <w:ind w:left="141" w:right="0" w:firstLine="0"/>
                              <w:jc w:val="left"/>
                              <w:rPr>
                                <w:b/>
                                <w:color w:val="000000"/>
                                <w:sz w:val="24"/>
                              </w:rPr>
                            </w:pPr>
                            <w:r>
                              <w:rPr>
                                <w:b/>
                                <w:color w:val="000000"/>
                                <w:spacing w:val="-2"/>
                                <w:sz w:val="24"/>
                              </w:rPr>
                              <w:t>Recommendation</w:t>
                            </w:r>
                            <w:r>
                              <w:rPr>
                                <w:b/>
                                <w:color w:val="000000"/>
                                <w:sz w:val="24"/>
                              </w:rPr>
                              <w:t> </w:t>
                            </w:r>
                            <w:r>
                              <w:rPr>
                                <w:b/>
                                <w:color w:val="000000"/>
                                <w:spacing w:val="-5"/>
                                <w:sz w:val="24"/>
                              </w:rPr>
                              <w:t>33</w:t>
                            </w:r>
                          </w:p>
                          <w:p>
                            <w:pPr>
                              <w:pStyle w:val="BodyText"/>
                              <w:spacing w:line="288" w:lineRule="auto" w:before="175"/>
                              <w:ind w:left="112" w:right="140"/>
                              <w:rPr>
                                <w:color w:val="000000"/>
                              </w:rPr>
                            </w:pPr>
                            <w:r>
                              <w:rPr>
                                <w:color w:val="000000"/>
                              </w:rPr>
                              <w:t>ESV should develop a roadmap of emerging issues and proposed actions to ensure the safety risks arising from</w:t>
                            </w:r>
                            <w:r>
                              <w:rPr>
                                <w:color w:val="000000"/>
                                <w:spacing w:val="-2"/>
                              </w:rPr>
                              <w:t> </w:t>
                            </w:r>
                            <w:r>
                              <w:rPr>
                                <w:color w:val="000000"/>
                              </w:rPr>
                              <w:t>new</w:t>
                            </w:r>
                            <w:r>
                              <w:rPr>
                                <w:color w:val="000000"/>
                                <w:spacing w:val="-1"/>
                              </w:rPr>
                              <w:t> </w:t>
                            </w:r>
                            <w:r>
                              <w:rPr>
                                <w:color w:val="000000"/>
                              </w:rPr>
                              <w:t>technologies and network structures are identified early and managed</w:t>
                            </w:r>
                            <w:r>
                              <w:rPr>
                                <w:color w:val="000000"/>
                                <w:spacing w:val="-4"/>
                              </w:rPr>
                              <w:t> </w:t>
                            </w:r>
                            <w:r>
                              <w:rPr>
                                <w:color w:val="000000"/>
                              </w:rPr>
                              <w:t>effectively.</w:t>
                            </w:r>
                            <w:r>
                              <w:rPr>
                                <w:color w:val="000000"/>
                                <w:spacing w:val="-2"/>
                              </w:rPr>
                              <w:t> </w:t>
                            </w:r>
                            <w:r>
                              <w:rPr>
                                <w:color w:val="000000"/>
                              </w:rPr>
                              <w:t>Progress</w:t>
                            </w:r>
                            <w:r>
                              <w:rPr>
                                <w:color w:val="000000"/>
                                <w:spacing w:val="-4"/>
                              </w:rPr>
                              <w:t> </w:t>
                            </w:r>
                            <w:r>
                              <w:rPr>
                                <w:color w:val="000000"/>
                              </w:rPr>
                              <w:t>against</w:t>
                            </w:r>
                            <w:r>
                              <w:rPr>
                                <w:color w:val="000000"/>
                                <w:spacing w:val="-5"/>
                              </w:rPr>
                              <w:t> </w:t>
                            </w:r>
                            <w:r>
                              <w:rPr>
                                <w:color w:val="000000"/>
                              </w:rPr>
                              <w:t>the</w:t>
                            </w:r>
                            <w:r>
                              <w:rPr>
                                <w:color w:val="000000"/>
                                <w:spacing w:val="-6"/>
                              </w:rPr>
                              <w:t> </w:t>
                            </w:r>
                            <w:r>
                              <w:rPr>
                                <w:color w:val="000000"/>
                              </w:rPr>
                              <w:t>roadmap</w:t>
                            </w:r>
                            <w:r>
                              <w:rPr>
                                <w:color w:val="000000"/>
                                <w:spacing w:val="-4"/>
                              </w:rPr>
                              <w:t> </w:t>
                            </w:r>
                            <w:r>
                              <w:rPr>
                                <w:color w:val="000000"/>
                              </w:rPr>
                              <w:t>should</w:t>
                            </w:r>
                            <w:r>
                              <w:rPr>
                                <w:color w:val="000000"/>
                                <w:spacing w:val="-4"/>
                              </w:rPr>
                              <w:t> </w:t>
                            </w:r>
                            <w:r>
                              <w:rPr>
                                <w:color w:val="000000"/>
                              </w:rPr>
                              <w:t>be</w:t>
                            </w:r>
                            <w:r>
                              <w:rPr>
                                <w:color w:val="000000"/>
                                <w:spacing w:val="-6"/>
                              </w:rPr>
                              <w:t> </w:t>
                            </w:r>
                            <w:r>
                              <w:rPr>
                                <w:color w:val="000000"/>
                              </w:rPr>
                              <w:t>reported</w:t>
                            </w:r>
                            <w:r>
                              <w:rPr>
                                <w:color w:val="000000"/>
                                <w:spacing w:val="-6"/>
                              </w:rPr>
                              <w:t> </w:t>
                            </w:r>
                            <w:r>
                              <w:rPr>
                                <w:color w:val="000000"/>
                              </w:rPr>
                              <w:t>annually</w:t>
                            </w:r>
                            <w:r>
                              <w:rPr>
                                <w:color w:val="000000"/>
                                <w:spacing w:val="-6"/>
                              </w:rPr>
                              <w:t> </w:t>
                            </w:r>
                            <w:r>
                              <w:rPr>
                                <w:color w:val="000000"/>
                              </w:rPr>
                              <w:t>in</w:t>
                            </w:r>
                            <w:r>
                              <w:rPr>
                                <w:color w:val="000000"/>
                                <w:spacing w:val="-4"/>
                              </w:rPr>
                              <w:t> </w:t>
                            </w:r>
                            <w:r>
                              <w:rPr>
                                <w:color w:val="000000"/>
                              </w:rPr>
                              <w:t>ESV’s Annual Report and network safety performance reports.</w:t>
                            </w:r>
                          </w:p>
                        </w:txbxContent>
                      </wps:txbx>
                      <wps:bodyPr wrap="square" lIns="0" tIns="0" rIns="0" bIns="0" rtlCol="0">
                        <a:noAutofit/>
                      </wps:bodyPr>
                    </wps:wsp>
                  </a:graphicData>
                </a:graphic>
              </wp:inline>
            </w:drawing>
          </mc:Choice>
          <mc:Fallback>
            <w:pict>
              <v:shape style="width:462.25pt;height:116.3pt;mso-position-horizontal-relative:char;mso-position-vertical-relative:line" type="#_x0000_t202" id="docshape168" filled="true" fillcolor="#d9d9d9" stroked="false">
                <w10:anchorlock/>
                <v:textbox inset="0,0,0,0">
                  <w:txbxContent>
                    <w:p>
                      <w:pPr>
                        <w:pStyle w:val="BodyText"/>
                        <w:spacing w:before="6"/>
                        <w:rPr>
                          <w:color w:val="000000"/>
                          <w:sz w:val="36"/>
                        </w:rPr>
                      </w:pPr>
                    </w:p>
                    <w:p>
                      <w:pPr>
                        <w:spacing w:before="0"/>
                        <w:ind w:left="141" w:right="0" w:firstLine="0"/>
                        <w:jc w:val="left"/>
                        <w:rPr>
                          <w:b/>
                          <w:color w:val="000000"/>
                          <w:sz w:val="24"/>
                        </w:rPr>
                      </w:pPr>
                      <w:r>
                        <w:rPr>
                          <w:b/>
                          <w:color w:val="000000"/>
                          <w:spacing w:val="-2"/>
                          <w:sz w:val="24"/>
                        </w:rPr>
                        <w:t>Recommendation</w:t>
                      </w:r>
                      <w:r>
                        <w:rPr>
                          <w:b/>
                          <w:color w:val="000000"/>
                          <w:sz w:val="24"/>
                        </w:rPr>
                        <w:t> </w:t>
                      </w:r>
                      <w:r>
                        <w:rPr>
                          <w:b/>
                          <w:color w:val="000000"/>
                          <w:spacing w:val="-5"/>
                          <w:sz w:val="24"/>
                        </w:rPr>
                        <w:t>33</w:t>
                      </w:r>
                    </w:p>
                    <w:p>
                      <w:pPr>
                        <w:pStyle w:val="BodyText"/>
                        <w:spacing w:line="288" w:lineRule="auto" w:before="175"/>
                        <w:ind w:left="112" w:right="140"/>
                        <w:rPr>
                          <w:color w:val="000000"/>
                        </w:rPr>
                      </w:pPr>
                      <w:r>
                        <w:rPr>
                          <w:color w:val="000000"/>
                        </w:rPr>
                        <w:t>ESV should develop a roadmap of emerging issues and proposed actions to ensure the safety risks arising from</w:t>
                      </w:r>
                      <w:r>
                        <w:rPr>
                          <w:color w:val="000000"/>
                          <w:spacing w:val="-2"/>
                        </w:rPr>
                        <w:t> </w:t>
                      </w:r>
                      <w:r>
                        <w:rPr>
                          <w:color w:val="000000"/>
                        </w:rPr>
                        <w:t>new</w:t>
                      </w:r>
                      <w:r>
                        <w:rPr>
                          <w:color w:val="000000"/>
                          <w:spacing w:val="-1"/>
                        </w:rPr>
                        <w:t> </w:t>
                      </w:r>
                      <w:r>
                        <w:rPr>
                          <w:color w:val="000000"/>
                        </w:rPr>
                        <w:t>technologies and network structures are identified early and managed</w:t>
                      </w:r>
                      <w:r>
                        <w:rPr>
                          <w:color w:val="000000"/>
                          <w:spacing w:val="-4"/>
                        </w:rPr>
                        <w:t> </w:t>
                      </w:r>
                      <w:r>
                        <w:rPr>
                          <w:color w:val="000000"/>
                        </w:rPr>
                        <w:t>effectively.</w:t>
                      </w:r>
                      <w:r>
                        <w:rPr>
                          <w:color w:val="000000"/>
                          <w:spacing w:val="-2"/>
                        </w:rPr>
                        <w:t> </w:t>
                      </w:r>
                      <w:r>
                        <w:rPr>
                          <w:color w:val="000000"/>
                        </w:rPr>
                        <w:t>Progress</w:t>
                      </w:r>
                      <w:r>
                        <w:rPr>
                          <w:color w:val="000000"/>
                          <w:spacing w:val="-4"/>
                        </w:rPr>
                        <w:t> </w:t>
                      </w:r>
                      <w:r>
                        <w:rPr>
                          <w:color w:val="000000"/>
                        </w:rPr>
                        <w:t>against</w:t>
                      </w:r>
                      <w:r>
                        <w:rPr>
                          <w:color w:val="000000"/>
                          <w:spacing w:val="-5"/>
                        </w:rPr>
                        <w:t> </w:t>
                      </w:r>
                      <w:r>
                        <w:rPr>
                          <w:color w:val="000000"/>
                        </w:rPr>
                        <w:t>the</w:t>
                      </w:r>
                      <w:r>
                        <w:rPr>
                          <w:color w:val="000000"/>
                          <w:spacing w:val="-6"/>
                        </w:rPr>
                        <w:t> </w:t>
                      </w:r>
                      <w:r>
                        <w:rPr>
                          <w:color w:val="000000"/>
                        </w:rPr>
                        <w:t>roadmap</w:t>
                      </w:r>
                      <w:r>
                        <w:rPr>
                          <w:color w:val="000000"/>
                          <w:spacing w:val="-4"/>
                        </w:rPr>
                        <w:t> </w:t>
                      </w:r>
                      <w:r>
                        <w:rPr>
                          <w:color w:val="000000"/>
                        </w:rPr>
                        <w:t>should</w:t>
                      </w:r>
                      <w:r>
                        <w:rPr>
                          <w:color w:val="000000"/>
                          <w:spacing w:val="-4"/>
                        </w:rPr>
                        <w:t> </w:t>
                      </w:r>
                      <w:r>
                        <w:rPr>
                          <w:color w:val="000000"/>
                        </w:rPr>
                        <w:t>be</w:t>
                      </w:r>
                      <w:r>
                        <w:rPr>
                          <w:color w:val="000000"/>
                          <w:spacing w:val="-6"/>
                        </w:rPr>
                        <w:t> </w:t>
                      </w:r>
                      <w:r>
                        <w:rPr>
                          <w:color w:val="000000"/>
                        </w:rPr>
                        <w:t>reported</w:t>
                      </w:r>
                      <w:r>
                        <w:rPr>
                          <w:color w:val="000000"/>
                          <w:spacing w:val="-6"/>
                        </w:rPr>
                        <w:t> </w:t>
                      </w:r>
                      <w:r>
                        <w:rPr>
                          <w:color w:val="000000"/>
                        </w:rPr>
                        <w:t>annually</w:t>
                      </w:r>
                      <w:r>
                        <w:rPr>
                          <w:color w:val="000000"/>
                          <w:spacing w:val="-6"/>
                        </w:rPr>
                        <w:t> </w:t>
                      </w:r>
                      <w:r>
                        <w:rPr>
                          <w:color w:val="000000"/>
                        </w:rPr>
                        <w:t>in</w:t>
                      </w:r>
                      <w:r>
                        <w:rPr>
                          <w:color w:val="000000"/>
                          <w:spacing w:val="-4"/>
                        </w:rPr>
                        <w:t> </w:t>
                      </w:r>
                      <w:r>
                        <w:rPr>
                          <w:color w:val="000000"/>
                        </w:rPr>
                        <w:t>ESV’s Annual Report and network safety performance reports.</w:t>
                      </w:r>
                    </w:p>
                  </w:txbxContent>
                </v:textbox>
                <v:fill type="solid"/>
              </v:shape>
            </w:pict>
          </mc:Fallback>
        </mc:AlternateContent>
      </w:r>
      <w:r>
        <w:rPr>
          <w:sz w:val="20"/>
        </w:rPr>
      </w:r>
    </w:p>
    <w:p>
      <w:pPr>
        <w:pStyle w:val="BodyText"/>
        <w:rPr>
          <w:sz w:val="21"/>
        </w:rPr>
      </w:pPr>
    </w:p>
    <w:p>
      <w:pPr>
        <w:pStyle w:val="Heading4"/>
        <w:spacing w:line="288" w:lineRule="auto"/>
      </w:pPr>
      <w:r>
        <w:rPr>
          <w:color w:val="585858"/>
        </w:rPr>
        <w:t>Leading</w:t>
      </w:r>
      <w:r>
        <w:rPr>
          <w:color w:val="585858"/>
          <w:spacing w:val="-5"/>
        </w:rPr>
        <w:t> </w:t>
      </w:r>
      <w:r>
        <w:rPr>
          <w:color w:val="585858"/>
        </w:rPr>
        <w:t>the</w:t>
      </w:r>
      <w:r>
        <w:rPr>
          <w:color w:val="585858"/>
          <w:spacing w:val="-6"/>
        </w:rPr>
        <w:t> </w:t>
      </w:r>
      <w:r>
        <w:rPr>
          <w:color w:val="585858"/>
        </w:rPr>
        <w:t>engagement</w:t>
      </w:r>
      <w:r>
        <w:rPr>
          <w:color w:val="585858"/>
          <w:spacing w:val="-9"/>
        </w:rPr>
        <w:t> </w:t>
      </w:r>
      <w:r>
        <w:rPr>
          <w:color w:val="585858"/>
        </w:rPr>
        <w:t>with</w:t>
      </w:r>
      <w:r>
        <w:rPr>
          <w:color w:val="585858"/>
          <w:spacing w:val="-7"/>
        </w:rPr>
        <w:t> </w:t>
      </w:r>
      <w:r>
        <w:rPr>
          <w:color w:val="585858"/>
        </w:rPr>
        <w:t>other</w:t>
      </w:r>
      <w:r>
        <w:rPr>
          <w:color w:val="585858"/>
          <w:spacing w:val="-6"/>
        </w:rPr>
        <w:t> </w:t>
      </w:r>
      <w:r>
        <w:rPr>
          <w:color w:val="585858"/>
        </w:rPr>
        <w:t>jurisdictional</w:t>
      </w:r>
      <w:r>
        <w:rPr>
          <w:color w:val="585858"/>
          <w:spacing w:val="-6"/>
        </w:rPr>
        <w:t> </w:t>
      </w:r>
      <w:r>
        <w:rPr>
          <w:color w:val="585858"/>
        </w:rPr>
        <w:t>regulators</w:t>
      </w:r>
      <w:r>
        <w:rPr>
          <w:color w:val="585858"/>
          <w:spacing w:val="-3"/>
        </w:rPr>
        <w:t> </w:t>
      </w:r>
      <w:r>
        <w:rPr>
          <w:color w:val="585858"/>
        </w:rPr>
        <w:t>on emerging technologies and trends</w:t>
      </w:r>
    </w:p>
    <w:p>
      <w:pPr>
        <w:pStyle w:val="BodyText"/>
        <w:spacing w:line="288" w:lineRule="auto" w:before="240"/>
        <w:ind w:left="232" w:right="296"/>
      </w:pPr>
      <w:r>
        <w:rPr/>
        <w:t>New types of energy technologies may be subject to overlapping jurisdictions and differing regulatory</w:t>
      </w:r>
      <w:r>
        <w:rPr>
          <w:spacing w:val="-5"/>
        </w:rPr>
        <w:t> </w:t>
      </w:r>
      <w:r>
        <w:rPr/>
        <w:t>oversight</w:t>
      </w:r>
      <w:r>
        <w:rPr>
          <w:spacing w:val="-4"/>
        </w:rPr>
        <w:t> </w:t>
      </w:r>
      <w:r>
        <w:rPr/>
        <w:t>requiring</w:t>
      </w:r>
      <w:r>
        <w:rPr>
          <w:spacing w:val="-1"/>
        </w:rPr>
        <w:t> </w:t>
      </w:r>
      <w:r>
        <w:rPr/>
        <w:t>engagement</w:t>
      </w:r>
      <w:r>
        <w:rPr>
          <w:spacing w:val="-1"/>
        </w:rPr>
        <w:t> </w:t>
      </w:r>
      <w:r>
        <w:rPr/>
        <w:t>and</w:t>
      </w:r>
      <w:r>
        <w:rPr>
          <w:spacing w:val="-5"/>
        </w:rPr>
        <w:t> </w:t>
      </w:r>
      <w:r>
        <w:rPr/>
        <w:t>coordinated</w:t>
      </w:r>
      <w:r>
        <w:rPr>
          <w:spacing w:val="-5"/>
        </w:rPr>
        <w:t> </w:t>
      </w:r>
      <w:r>
        <w:rPr/>
        <w:t>thinking</w:t>
      </w:r>
      <w:r>
        <w:rPr>
          <w:spacing w:val="-5"/>
        </w:rPr>
        <w:t> </w:t>
      </w:r>
      <w:r>
        <w:rPr/>
        <w:t>from</w:t>
      </w:r>
      <w:r>
        <w:rPr>
          <w:spacing w:val="-4"/>
        </w:rPr>
        <w:t> </w:t>
      </w:r>
      <w:r>
        <w:rPr/>
        <w:t>a</w:t>
      </w:r>
      <w:r>
        <w:rPr>
          <w:spacing w:val="-5"/>
        </w:rPr>
        <w:t> </w:t>
      </w:r>
      <w:r>
        <w:rPr/>
        <w:t>range</w:t>
      </w:r>
      <w:r>
        <w:rPr>
          <w:spacing w:val="-5"/>
        </w:rPr>
        <w:t> </w:t>
      </w:r>
      <w:r>
        <w:rPr/>
        <w:t>of</w:t>
      </w:r>
      <w:r>
        <w:rPr>
          <w:spacing w:val="-1"/>
        </w:rPr>
        <w:t> </w:t>
      </w:r>
      <w:r>
        <w:rPr/>
        <w:t>regulators</w:t>
      </w:r>
      <w:r>
        <w:rPr>
          <w:spacing w:val="-5"/>
        </w:rPr>
        <w:t> </w:t>
      </w:r>
      <w:r>
        <w:rPr/>
        <w:t>and industry participants.</w:t>
      </w:r>
    </w:p>
    <w:p>
      <w:pPr>
        <w:pStyle w:val="BodyText"/>
        <w:spacing w:before="10"/>
        <w:rPr>
          <w:sz w:val="20"/>
        </w:rPr>
      </w:pPr>
    </w:p>
    <w:p>
      <w:pPr>
        <w:pStyle w:val="BodyText"/>
        <w:spacing w:line="288" w:lineRule="auto"/>
        <w:ind w:left="232" w:right="374"/>
      </w:pPr>
      <w:r>
        <w:rPr/>
        <w:t>ESV</w:t>
      </w:r>
      <w:r>
        <w:rPr>
          <w:spacing w:val="-3"/>
        </w:rPr>
        <w:t> </w:t>
      </w:r>
      <w:r>
        <w:rPr/>
        <w:t>acknowledges</w:t>
      </w:r>
      <w:r>
        <w:rPr>
          <w:spacing w:val="-5"/>
        </w:rPr>
        <w:t> </w:t>
      </w:r>
      <w:r>
        <w:rPr/>
        <w:t>the</w:t>
      </w:r>
      <w:r>
        <w:rPr>
          <w:spacing w:val="-5"/>
        </w:rPr>
        <w:t> </w:t>
      </w:r>
      <w:r>
        <w:rPr/>
        <w:t>need</w:t>
      </w:r>
      <w:r>
        <w:rPr>
          <w:spacing w:val="-4"/>
        </w:rPr>
        <w:t> </w:t>
      </w:r>
      <w:r>
        <w:rPr/>
        <w:t>for</w:t>
      </w:r>
      <w:r>
        <w:rPr>
          <w:spacing w:val="-2"/>
        </w:rPr>
        <w:t> </w:t>
      </w:r>
      <w:r>
        <w:rPr/>
        <w:t>inter-agency</w:t>
      </w:r>
      <w:r>
        <w:rPr>
          <w:spacing w:val="-5"/>
        </w:rPr>
        <w:t> </w:t>
      </w:r>
      <w:r>
        <w:rPr/>
        <w:t>and</w:t>
      </w:r>
      <w:r>
        <w:rPr>
          <w:spacing w:val="-7"/>
        </w:rPr>
        <w:t> </w:t>
      </w:r>
      <w:r>
        <w:rPr/>
        <w:t>cross-jurisdictional</w:t>
      </w:r>
      <w:r>
        <w:rPr>
          <w:spacing w:val="-4"/>
        </w:rPr>
        <w:t> </w:t>
      </w:r>
      <w:r>
        <w:rPr/>
        <w:t>engagement</w:t>
      </w:r>
      <w:r>
        <w:rPr>
          <w:spacing w:val="-4"/>
        </w:rPr>
        <w:t> </w:t>
      </w:r>
      <w:r>
        <w:rPr/>
        <w:t>in</w:t>
      </w:r>
      <w:r>
        <w:rPr>
          <w:spacing w:val="-3"/>
        </w:rPr>
        <w:t> </w:t>
      </w:r>
      <w:r>
        <w:rPr/>
        <w:t>regulating new technologies in its </w:t>
      </w:r>
      <w:r>
        <w:rPr>
          <w:i/>
        </w:rPr>
        <w:t>Corporate Plan 2017-2020</w:t>
      </w:r>
      <w:r>
        <w:rPr/>
        <w:t>:</w:t>
      </w:r>
    </w:p>
    <w:p>
      <w:pPr>
        <w:pStyle w:val="BodyText"/>
        <w:spacing w:before="10"/>
        <w:rPr>
          <w:sz w:val="20"/>
        </w:rPr>
      </w:pPr>
    </w:p>
    <w:p>
      <w:pPr>
        <w:spacing w:line="288" w:lineRule="auto" w:before="0"/>
        <w:ind w:left="799" w:right="951" w:firstLine="0"/>
        <w:jc w:val="left"/>
        <w:rPr>
          <w:sz w:val="22"/>
        </w:rPr>
      </w:pPr>
      <w:r>
        <w:rPr>
          <w:i/>
          <w:sz w:val="22"/>
        </w:rPr>
        <w:t>“New forms of large-scale renewables with novel technology (e.g. solar collectors, battery storage farms) may be subject to overlapping jurisdictions and differing regulatory</w:t>
      </w:r>
      <w:r>
        <w:rPr>
          <w:i/>
          <w:spacing w:val="-2"/>
          <w:sz w:val="22"/>
        </w:rPr>
        <w:t> </w:t>
      </w:r>
      <w:r>
        <w:rPr>
          <w:i/>
          <w:sz w:val="22"/>
        </w:rPr>
        <w:t>oversight.</w:t>
      </w:r>
      <w:r>
        <w:rPr>
          <w:i/>
          <w:spacing w:val="-1"/>
          <w:sz w:val="22"/>
        </w:rPr>
        <w:t> </w:t>
      </w:r>
      <w:r>
        <w:rPr>
          <w:i/>
          <w:sz w:val="22"/>
        </w:rPr>
        <w:t>It</w:t>
      </w:r>
      <w:r>
        <w:rPr>
          <w:i/>
          <w:spacing w:val="-1"/>
          <w:sz w:val="22"/>
        </w:rPr>
        <w:t> </w:t>
      </w:r>
      <w:r>
        <w:rPr>
          <w:i/>
          <w:sz w:val="22"/>
        </w:rPr>
        <w:t>may be</w:t>
      </w:r>
      <w:r>
        <w:rPr>
          <w:i/>
          <w:spacing w:val="-2"/>
          <w:sz w:val="22"/>
        </w:rPr>
        <w:t> </w:t>
      </w:r>
      <w:r>
        <w:rPr>
          <w:i/>
          <w:sz w:val="22"/>
        </w:rPr>
        <w:t>that</w:t>
      </w:r>
      <w:r>
        <w:rPr>
          <w:i/>
          <w:spacing w:val="-1"/>
          <w:sz w:val="22"/>
        </w:rPr>
        <w:t> </w:t>
      </w:r>
      <w:r>
        <w:rPr>
          <w:i/>
          <w:sz w:val="22"/>
        </w:rPr>
        <w:t>no</w:t>
      </w:r>
      <w:r>
        <w:rPr>
          <w:i/>
          <w:spacing w:val="-2"/>
          <w:sz w:val="22"/>
        </w:rPr>
        <w:t> </w:t>
      </w:r>
      <w:r>
        <w:rPr>
          <w:i/>
          <w:sz w:val="22"/>
        </w:rPr>
        <w:t>single government agency</w:t>
      </w:r>
      <w:r>
        <w:rPr>
          <w:i/>
          <w:spacing w:val="-2"/>
          <w:sz w:val="22"/>
        </w:rPr>
        <w:t> </w:t>
      </w:r>
      <w:r>
        <w:rPr>
          <w:i/>
          <w:sz w:val="22"/>
        </w:rPr>
        <w:t>will have</w:t>
      </w:r>
      <w:r>
        <w:rPr>
          <w:i/>
          <w:spacing w:val="-2"/>
          <w:sz w:val="22"/>
        </w:rPr>
        <w:t> </w:t>
      </w:r>
      <w:r>
        <w:rPr>
          <w:i/>
          <w:sz w:val="22"/>
        </w:rPr>
        <w:t>an ‘end to end’</w:t>
      </w:r>
      <w:r>
        <w:rPr>
          <w:i/>
          <w:spacing w:val="-7"/>
          <w:sz w:val="22"/>
        </w:rPr>
        <w:t> </w:t>
      </w:r>
      <w:r>
        <w:rPr>
          <w:i/>
          <w:sz w:val="22"/>
        </w:rPr>
        <w:t>view</w:t>
      </w:r>
      <w:r>
        <w:rPr>
          <w:i/>
          <w:spacing w:val="-1"/>
          <w:sz w:val="22"/>
        </w:rPr>
        <w:t> </w:t>
      </w:r>
      <w:r>
        <w:rPr>
          <w:i/>
          <w:sz w:val="22"/>
        </w:rPr>
        <w:t>of</w:t>
      </w:r>
      <w:r>
        <w:rPr>
          <w:i/>
          <w:spacing w:val="-3"/>
          <w:sz w:val="22"/>
        </w:rPr>
        <w:t> </w:t>
      </w:r>
      <w:r>
        <w:rPr>
          <w:i/>
          <w:sz w:val="22"/>
        </w:rPr>
        <w:t>safety</w:t>
      </w:r>
      <w:r>
        <w:rPr>
          <w:i/>
          <w:spacing w:val="-1"/>
          <w:sz w:val="22"/>
        </w:rPr>
        <w:t> </w:t>
      </w:r>
      <w:r>
        <w:rPr>
          <w:i/>
          <w:sz w:val="22"/>
        </w:rPr>
        <w:t>across</w:t>
      </w:r>
      <w:r>
        <w:rPr>
          <w:i/>
          <w:spacing w:val="-1"/>
          <w:sz w:val="22"/>
        </w:rPr>
        <w:t> </w:t>
      </w:r>
      <w:r>
        <w:rPr>
          <w:i/>
          <w:sz w:val="22"/>
        </w:rPr>
        <w:t>the</w:t>
      </w:r>
      <w:r>
        <w:rPr>
          <w:i/>
          <w:spacing w:val="-4"/>
          <w:sz w:val="22"/>
        </w:rPr>
        <w:t> </w:t>
      </w:r>
      <w:r>
        <w:rPr>
          <w:i/>
          <w:sz w:val="22"/>
        </w:rPr>
        <w:t>entire</w:t>
      </w:r>
      <w:r>
        <w:rPr>
          <w:i/>
          <w:spacing w:val="-4"/>
          <w:sz w:val="22"/>
        </w:rPr>
        <w:t> </w:t>
      </w:r>
      <w:r>
        <w:rPr>
          <w:i/>
          <w:sz w:val="22"/>
        </w:rPr>
        <w:t>energy</w:t>
      </w:r>
      <w:r>
        <w:rPr>
          <w:i/>
          <w:spacing w:val="-2"/>
          <w:sz w:val="22"/>
        </w:rPr>
        <w:t> </w:t>
      </w:r>
      <w:r>
        <w:rPr>
          <w:i/>
          <w:sz w:val="22"/>
        </w:rPr>
        <w:t>supply</w:t>
      </w:r>
      <w:r>
        <w:rPr>
          <w:i/>
          <w:spacing w:val="-1"/>
          <w:sz w:val="22"/>
        </w:rPr>
        <w:t> </w:t>
      </w:r>
      <w:r>
        <w:rPr>
          <w:i/>
          <w:sz w:val="22"/>
        </w:rPr>
        <w:t>chain,</w:t>
      </w:r>
      <w:r>
        <w:rPr>
          <w:i/>
          <w:spacing w:val="-3"/>
          <w:sz w:val="22"/>
        </w:rPr>
        <w:t> </w:t>
      </w:r>
      <w:r>
        <w:rPr>
          <w:i/>
          <w:sz w:val="22"/>
        </w:rPr>
        <w:t>requiring</w:t>
      </w:r>
      <w:r>
        <w:rPr>
          <w:i/>
          <w:spacing w:val="-4"/>
          <w:sz w:val="22"/>
        </w:rPr>
        <w:t> </w:t>
      </w:r>
      <w:r>
        <w:rPr>
          <w:i/>
          <w:sz w:val="22"/>
        </w:rPr>
        <w:t>the</w:t>
      </w:r>
      <w:r>
        <w:rPr>
          <w:i/>
          <w:spacing w:val="-4"/>
          <w:sz w:val="22"/>
        </w:rPr>
        <w:t> </w:t>
      </w:r>
      <w:r>
        <w:rPr>
          <w:i/>
          <w:sz w:val="22"/>
        </w:rPr>
        <w:t>establishment and execution of inter-agency regulatory strategies.” </w:t>
      </w:r>
      <w:r>
        <w:rPr>
          <w:sz w:val="22"/>
        </w:rPr>
        <w:t>(ESV, 2017, p. 13)</w:t>
      </w:r>
    </w:p>
    <w:p>
      <w:pPr>
        <w:pStyle w:val="BodyText"/>
        <w:spacing w:before="9"/>
        <w:rPr>
          <w:sz w:val="20"/>
        </w:rPr>
      </w:pPr>
    </w:p>
    <w:p>
      <w:pPr>
        <w:pStyle w:val="BodyText"/>
        <w:spacing w:line="288" w:lineRule="auto"/>
        <w:ind w:left="232" w:right="374"/>
      </w:pPr>
      <w:r>
        <w:rPr/>
        <w:t>ESV</w:t>
      </w:r>
      <w:r>
        <w:rPr>
          <w:spacing w:val="-4"/>
        </w:rPr>
        <w:t> </w:t>
      </w:r>
      <w:r>
        <w:rPr/>
        <w:t>chairs</w:t>
      </w:r>
      <w:r>
        <w:rPr>
          <w:spacing w:val="-5"/>
        </w:rPr>
        <w:t> </w:t>
      </w:r>
      <w:r>
        <w:rPr/>
        <w:t>the</w:t>
      </w:r>
      <w:r>
        <w:rPr>
          <w:spacing w:val="-4"/>
        </w:rPr>
        <w:t> </w:t>
      </w:r>
      <w:r>
        <w:rPr/>
        <w:t>Electrical</w:t>
      </w:r>
      <w:r>
        <w:rPr>
          <w:spacing w:val="-5"/>
        </w:rPr>
        <w:t> </w:t>
      </w:r>
      <w:r>
        <w:rPr/>
        <w:t>Regulatory</w:t>
      </w:r>
      <w:r>
        <w:rPr>
          <w:spacing w:val="-5"/>
        </w:rPr>
        <w:t> </w:t>
      </w:r>
      <w:r>
        <w:rPr/>
        <w:t>Authorities</w:t>
      </w:r>
      <w:r>
        <w:rPr>
          <w:spacing w:val="-4"/>
        </w:rPr>
        <w:t> </w:t>
      </w:r>
      <w:r>
        <w:rPr/>
        <w:t>Council</w:t>
      </w:r>
      <w:r>
        <w:rPr>
          <w:spacing w:val="-4"/>
        </w:rPr>
        <w:t> </w:t>
      </w:r>
      <w:r>
        <w:rPr/>
        <w:t>(ERAC)</w:t>
      </w:r>
      <w:r>
        <w:rPr>
          <w:spacing w:val="-3"/>
        </w:rPr>
        <w:t> </w:t>
      </w:r>
      <w:r>
        <w:rPr/>
        <w:t>which</w:t>
      </w:r>
      <w:r>
        <w:rPr>
          <w:spacing w:val="-4"/>
        </w:rPr>
        <w:t> </w:t>
      </w:r>
      <w:r>
        <w:rPr/>
        <w:t>comprises</w:t>
      </w:r>
      <w:r>
        <w:rPr>
          <w:spacing w:val="-5"/>
        </w:rPr>
        <w:t> </w:t>
      </w:r>
      <w:r>
        <w:rPr/>
        <w:t>representatives of the regulatory authorities responsible for electrical safety, supply and energy efficiency in New Zealand and the Australian states, territories and the Commonwealth. ERAC meets twice a year and corresponds both internally and with industry</w:t>
      </w:r>
      <w:r>
        <w:rPr>
          <w:spacing w:val="-1"/>
        </w:rPr>
        <w:t> </w:t>
      </w:r>
      <w:r>
        <w:rPr/>
        <w:t>on regulatory issues related to electrical safety. ERAC coordinates the electrical regulatory strategies, policies and ongoing reform activities </w:t>
      </w:r>
      <w:r>
        <w:rPr>
          <w:spacing w:val="-2"/>
        </w:rPr>
        <w:t>including:</w:t>
      </w:r>
    </w:p>
    <w:p>
      <w:pPr>
        <w:pStyle w:val="BodyText"/>
        <w:spacing w:before="4"/>
      </w:pPr>
    </w:p>
    <w:p>
      <w:pPr>
        <w:pStyle w:val="ListParagraph"/>
        <w:numPr>
          <w:ilvl w:val="0"/>
          <w:numId w:val="79"/>
        </w:numPr>
        <w:tabs>
          <w:tab w:pos="590" w:val="left" w:leader="none"/>
        </w:tabs>
        <w:spacing w:line="240" w:lineRule="auto" w:before="0" w:after="0"/>
        <w:ind w:left="590" w:right="0" w:hanging="358"/>
        <w:jc w:val="left"/>
        <w:rPr>
          <w:sz w:val="22"/>
        </w:rPr>
      </w:pPr>
      <w:r>
        <w:rPr>
          <w:sz w:val="22"/>
        </w:rPr>
        <w:t>legislation</w:t>
      </w:r>
      <w:r>
        <w:rPr>
          <w:spacing w:val="-7"/>
          <w:sz w:val="22"/>
        </w:rPr>
        <w:t> </w:t>
      </w:r>
      <w:r>
        <w:rPr>
          <w:sz w:val="22"/>
        </w:rPr>
        <w:t>and</w:t>
      </w:r>
      <w:r>
        <w:rPr>
          <w:spacing w:val="-8"/>
          <w:sz w:val="22"/>
        </w:rPr>
        <w:t> </w:t>
      </w:r>
      <w:r>
        <w:rPr>
          <w:spacing w:val="-2"/>
          <w:sz w:val="22"/>
        </w:rPr>
        <w:t>regulations;</w:t>
      </w:r>
    </w:p>
    <w:p>
      <w:pPr>
        <w:pStyle w:val="ListParagraph"/>
        <w:numPr>
          <w:ilvl w:val="0"/>
          <w:numId w:val="79"/>
        </w:numPr>
        <w:tabs>
          <w:tab w:pos="590" w:val="left" w:leader="none"/>
        </w:tabs>
        <w:spacing w:line="240" w:lineRule="auto" w:before="66" w:after="0"/>
        <w:ind w:left="590" w:right="0" w:hanging="358"/>
        <w:jc w:val="left"/>
        <w:rPr>
          <w:sz w:val="22"/>
        </w:rPr>
      </w:pPr>
      <w:r>
        <w:rPr>
          <w:sz w:val="22"/>
        </w:rPr>
        <w:t>general</w:t>
      </w:r>
      <w:r>
        <w:rPr>
          <w:spacing w:val="-7"/>
          <w:sz w:val="22"/>
        </w:rPr>
        <w:t> </w:t>
      </w:r>
      <w:r>
        <w:rPr>
          <w:sz w:val="22"/>
        </w:rPr>
        <w:t>safety</w:t>
      </w:r>
      <w:r>
        <w:rPr>
          <w:spacing w:val="-8"/>
          <w:sz w:val="22"/>
        </w:rPr>
        <w:t> </w:t>
      </w:r>
      <w:r>
        <w:rPr>
          <w:sz w:val="22"/>
        </w:rPr>
        <w:t>promotion</w:t>
      </w:r>
      <w:r>
        <w:rPr>
          <w:spacing w:val="-8"/>
          <w:sz w:val="22"/>
        </w:rPr>
        <w:t> </w:t>
      </w:r>
      <w:r>
        <w:rPr>
          <w:sz w:val="22"/>
        </w:rPr>
        <w:t>and</w:t>
      </w:r>
      <w:r>
        <w:rPr>
          <w:spacing w:val="-5"/>
          <w:sz w:val="22"/>
        </w:rPr>
        <w:t> </w:t>
      </w:r>
      <w:r>
        <w:rPr>
          <w:sz w:val="22"/>
        </w:rPr>
        <w:t>accident</w:t>
      </w:r>
      <w:r>
        <w:rPr>
          <w:spacing w:val="-4"/>
          <w:sz w:val="22"/>
        </w:rPr>
        <w:t> </w:t>
      </w:r>
      <w:r>
        <w:rPr>
          <w:spacing w:val="-2"/>
          <w:sz w:val="22"/>
        </w:rPr>
        <w:t>prevention;</w:t>
      </w:r>
    </w:p>
    <w:p>
      <w:pPr>
        <w:pStyle w:val="ListParagraph"/>
        <w:numPr>
          <w:ilvl w:val="0"/>
          <w:numId w:val="79"/>
        </w:numPr>
        <w:tabs>
          <w:tab w:pos="590" w:val="left" w:leader="none"/>
        </w:tabs>
        <w:spacing w:line="240" w:lineRule="auto" w:before="67" w:after="0"/>
        <w:ind w:left="590" w:right="0" w:hanging="358"/>
        <w:jc w:val="left"/>
        <w:rPr>
          <w:sz w:val="22"/>
        </w:rPr>
      </w:pPr>
      <w:r>
        <w:rPr>
          <w:sz w:val="22"/>
        </w:rPr>
        <w:t>safety</w:t>
      </w:r>
      <w:r>
        <w:rPr>
          <w:spacing w:val="-8"/>
          <w:sz w:val="22"/>
        </w:rPr>
        <w:t> </w:t>
      </w:r>
      <w:r>
        <w:rPr>
          <w:sz w:val="22"/>
        </w:rPr>
        <w:t>of</w:t>
      </w:r>
      <w:r>
        <w:rPr>
          <w:spacing w:val="-4"/>
          <w:sz w:val="22"/>
        </w:rPr>
        <w:t> </w:t>
      </w:r>
      <w:r>
        <w:rPr>
          <w:sz w:val="22"/>
        </w:rPr>
        <w:t>electrical</w:t>
      </w:r>
      <w:r>
        <w:rPr>
          <w:spacing w:val="-7"/>
          <w:sz w:val="22"/>
        </w:rPr>
        <w:t> </w:t>
      </w:r>
      <w:r>
        <w:rPr>
          <w:sz w:val="22"/>
        </w:rPr>
        <w:t>installations</w:t>
      </w:r>
      <w:r>
        <w:rPr>
          <w:spacing w:val="-7"/>
          <w:sz w:val="22"/>
        </w:rPr>
        <w:t> </w:t>
      </w:r>
      <w:r>
        <w:rPr>
          <w:sz w:val="22"/>
        </w:rPr>
        <w:t>and</w:t>
      </w:r>
      <w:r>
        <w:rPr>
          <w:spacing w:val="-6"/>
          <w:sz w:val="22"/>
        </w:rPr>
        <w:t> </w:t>
      </w:r>
      <w:r>
        <w:rPr>
          <w:sz w:val="22"/>
        </w:rPr>
        <w:t>electricity</w:t>
      </w:r>
      <w:r>
        <w:rPr>
          <w:spacing w:val="-10"/>
          <w:sz w:val="22"/>
        </w:rPr>
        <w:t> </w:t>
      </w:r>
      <w:r>
        <w:rPr>
          <w:sz w:val="22"/>
        </w:rPr>
        <w:t>generation</w:t>
      </w:r>
      <w:r>
        <w:rPr>
          <w:spacing w:val="-6"/>
          <w:sz w:val="22"/>
        </w:rPr>
        <w:t> </w:t>
      </w:r>
      <w:r>
        <w:rPr>
          <w:sz w:val="22"/>
        </w:rPr>
        <w:t>and</w:t>
      </w:r>
      <w:r>
        <w:rPr>
          <w:spacing w:val="-8"/>
          <w:sz w:val="22"/>
        </w:rPr>
        <w:t> </w:t>
      </w:r>
      <w:r>
        <w:rPr>
          <w:sz w:val="22"/>
        </w:rPr>
        <w:t>supply;</w:t>
      </w:r>
      <w:r>
        <w:rPr>
          <w:spacing w:val="-4"/>
          <w:sz w:val="22"/>
        </w:rPr>
        <w:t> </w:t>
      </w:r>
      <w:r>
        <w:rPr>
          <w:spacing w:val="-5"/>
          <w:sz w:val="22"/>
        </w:rPr>
        <w:t>and</w:t>
      </w:r>
    </w:p>
    <w:p>
      <w:pPr>
        <w:pStyle w:val="ListParagraph"/>
        <w:numPr>
          <w:ilvl w:val="0"/>
          <w:numId w:val="79"/>
        </w:numPr>
        <w:tabs>
          <w:tab w:pos="590" w:val="left" w:leader="none"/>
        </w:tabs>
        <w:spacing w:line="288" w:lineRule="auto" w:before="63" w:after="0"/>
        <w:ind w:left="590" w:right="424" w:hanging="359"/>
        <w:jc w:val="left"/>
        <w:rPr>
          <w:sz w:val="22"/>
        </w:rPr>
      </w:pPr>
      <w:r>
        <w:rPr>
          <w:sz w:val="22"/>
        </w:rPr>
        <w:t>licensing</w:t>
      </w:r>
      <w:r>
        <w:rPr>
          <w:spacing w:val="-1"/>
          <w:sz w:val="22"/>
        </w:rPr>
        <w:t> </w:t>
      </w:r>
      <w:r>
        <w:rPr>
          <w:sz w:val="22"/>
        </w:rPr>
        <w:t>of</w:t>
      </w:r>
      <w:r>
        <w:rPr>
          <w:spacing w:val="-1"/>
          <w:sz w:val="22"/>
        </w:rPr>
        <w:t> </w:t>
      </w:r>
      <w:r>
        <w:rPr>
          <w:sz w:val="22"/>
        </w:rPr>
        <w:t>electrical</w:t>
      </w:r>
      <w:r>
        <w:rPr>
          <w:spacing w:val="-4"/>
          <w:sz w:val="22"/>
        </w:rPr>
        <w:t> </w:t>
      </w:r>
      <w:r>
        <w:rPr>
          <w:sz w:val="22"/>
        </w:rPr>
        <w:t>workers</w:t>
      </w:r>
      <w:r>
        <w:rPr>
          <w:spacing w:val="-2"/>
          <w:sz w:val="22"/>
        </w:rPr>
        <w:t> </w:t>
      </w:r>
      <w:r>
        <w:rPr>
          <w:sz w:val="22"/>
        </w:rPr>
        <w:t>and</w:t>
      </w:r>
      <w:r>
        <w:rPr>
          <w:spacing w:val="-5"/>
          <w:sz w:val="22"/>
        </w:rPr>
        <w:t> </w:t>
      </w:r>
      <w:r>
        <w:rPr>
          <w:sz w:val="22"/>
        </w:rPr>
        <w:t>safety</w:t>
      </w:r>
      <w:r>
        <w:rPr>
          <w:spacing w:val="-4"/>
          <w:sz w:val="22"/>
        </w:rPr>
        <w:t> </w:t>
      </w:r>
      <w:r>
        <w:rPr>
          <w:sz w:val="22"/>
        </w:rPr>
        <w:t>and</w:t>
      </w:r>
      <w:r>
        <w:rPr>
          <w:spacing w:val="-3"/>
          <w:sz w:val="22"/>
        </w:rPr>
        <w:t> </w:t>
      </w:r>
      <w:r>
        <w:rPr>
          <w:sz w:val="22"/>
        </w:rPr>
        <w:t>energy</w:t>
      </w:r>
      <w:r>
        <w:rPr>
          <w:spacing w:val="-5"/>
          <w:sz w:val="22"/>
        </w:rPr>
        <w:t> </w:t>
      </w:r>
      <w:r>
        <w:rPr>
          <w:sz w:val="22"/>
        </w:rPr>
        <w:t>efficiency</w:t>
      </w:r>
      <w:r>
        <w:rPr>
          <w:spacing w:val="-5"/>
          <w:sz w:val="22"/>
        </w:rPr>
        <w:t> </w:t>
      </w:r>
      <w:r>
        <w:rPr>
          <w:sz w:val="22"/>
        </w:rPr>
        <w:t>of electrical</w:t>
      </w:r>
      <w:r>
        <w:rPr>
          <w:spacing w:val="-6"/>
          <w:sz w:val="22"/>
        </w:rPr>
        <w:t> </w:t>
      </w:r>
      <w:r>
        <w:rPr>
          <w:sz w:val="22"/>
        </w:rPr>
        <w:t>equipment</w:t>
      </w:r>
      <w:r>
        <w:rPr>
          <w:spacing w:val="-2"/>
          <w:sz w:val="22"/>
        </w:rPr>
        <w:t> </w:t>
      </w:r>
      <w:r>
        <w:rPr>
          <w:sz w:val="22"/>
        </w:rPr>
        <w:t>(ERAC, </w:t>
      </w:r>
      <w:r>
        <w:rPr>
          <w:spacing w:val="-2"/>
          <w:sz w:val="22"/>
        </w:rPr>
        <w:t>2017).</w:t>
      </w:r>
    </w:p>
    <w:p>
      <w:pPr>
        <w:pStyle w:val="BodyText"/>
        <w:spacing w:before="11"/>
        <w:rPr>
          <w:sz w:val="20"/>
        </w:rPr>
      </w:pPr>
    </w:p>
    <w:p>
      <w:pPr>
        <w:pStyle w:val="BodyText"/>
        <w:spacing w:line="288" w:lineRule="auto"/>
        <w:ind w:left="232" w:right="408"/>
      </w:pPr>
      <w:r>
        <w:rPr/>
        <w:t>ESV also chairs the Gas Technical Regulators Committee (GTRC), which is an association of government agencies</w:t>
      </w:r>
      <w:r>
        <w:rPr>
          <w:spacing w:val="-2"/>
        </w:rPr>
        <w:t> </w:t>
      </w:r>
      <w:r>
        <w:rPr/>
        <w:t>responsible</w:t>
      </w:r>
      <w:r>
        <w:rPr>
          <w:spacing w:val="-4"/>
        </w:rPr>
        <w:t> </w:t>
      </w:r>
      <w:r>
        <w:rPr/>
        <w:t>for</w:t>
      </w:r>
      <w:r>
        <w:rPr>
          <w:spacing w:val="-6"/>
        </w:rPr>
        <w:t> </w:t>
      </w:r>
      <w:r>
        <w:rPr/>
        <w:t>gas</w:t>
      </w:r>
      <w:r>
        <w:rPr>
          <w:spacing w:val="-4"/>
        </w:rPr>
        <w:t> </w:t>
      </w:r>
      <w:r>
        <w:rPr/>
        <w:t>safety</w:t>
      </w:r>
      <w:r>
        <w:rPr>
          <w:spacing w:val="-4"/>
        </w:rPr>
        <w:t> </w:t>
      </w:r>
      <w:r>
        <w:rPr/>
        <w:t>and</w:t>
      </w:r>
      <w:r>
        <w:rPr>
          <w:spacing w:val="-2"/>
        </w:rPr>
        <w:t> </w:t>
      </w:r>
      <w:r>
        <w:rPr/>
        <w:t>supply</w:t>
      </w:r>
      <w:r>
        <w:rPr>
          <w:spacing w:val="-4"/>
        </w:rPr>
        <w:t> </w:t>
      </w:r>
      <w:r>
        <w:rPr/>
        <w:t>with</w:t>
      </w:r>
      <w:r>
        <w:rPr>
          <w:spacing w:val="-2"/>
        </w:rPr>
        <w:t> </w:t>
      </w:r>
      <w:r>
        <w:rPr/>
        <w:t>representatives</w:t>
      </w:r>
      <w:r>
        <w:rPr>
          <w:spacing w:val="-4"/>
        </w:rPr>
        <w:t> </w:t>
      </w:r>
      <w:r>
        <w:rPr/>
        <w:t>from</w:t>
      </w:r>
      <w:r>
        <w:rPr>
          <w:spacing w:val="-3"/>
        </w:rPr>
        <w:t> </w:t>
      </w:r>
      <w:r>
        <w:rPr/>
        <w:t>each</w:t>
      </w:r>
      <w:r>
        <w:rPr>
          <w:spacing w:val="-4"/>
        </w:rPr>
        <w:t> </w:t>
      </w:r>
      <w:r>
        <w:rPr/>
        <w:t>state and territory in Australia and New Zealand (GTRC, 2017).</w:t>
      </w:r>
    </w:p>
    <w:p>
      <w:pPr>
        <w:pStyle w:val="BodyText"/>
        <w:spacing w:before="9"/>
        <w:rPr>
          <w:sz w:val="20"/>
        </w:rPr>
      </w:pPr>
    </w:p>
    <w:p>
      <w:pPr>
        <w:pStyle w:val="BodyText"/>
        <w:spacing w:line="288" w:lineRule="auto"/>
        <w:ind w:left="232" w:right="296"/>
      </w:pPr>
      <w:r>
        <w:rPr/>
        <w:t>Consistent with the national leadership role that ESV has traditionally played, it would be well placed</w:t>
      </w:r>
      <w:r>
        <w:rPr>
          <w:spacing w:val="-2"/>
        </w:rPr>
        <w:t> </w:t>
      </w:r>
      <w:r>
        <w:rPr/>
        <w:t>to</w:t>
      </w:r>
      <w:r>
        <w:rPr>
          <w:spacing w:val="-2"/>
        </w:rPr>
        <w:t> </w:t>
      </w:r>
      <w:r>
        <w:rPr/>
        <w:t>lead</w:t>
      </w:r>
      <w:r>
        <w:rPr>
          <w:spacing w:val="-4"/>
        </w:rPr>
        <w:t> </w:t>
      </w:r>
      <w:r>
        <w:rPr/>
        <w:t>national</w:t>
      </w:r>
      <w:r>
        <w:rPr>
          <w:spacing w:val="-5"/>
        </w:rPr>
        <w:t> </w:t>
      </w:r>
      <w:r>
        <w:rPr/>
        <w:t>responses</w:t>
      </w:r>
      <w:r>
        <w:rPr>
          <w:spacing w:val="-4"/>
        </w:rPr>
        <w:t> </w:t>
      </w:r>
      <w:r>
        <w:rPr/>
        <w:t>to</w:t>
      </w:r>
      <w:r>
        <w:rPr>
          <w:spacing w:val="-2"/>
        </w:rPr>
        <w:t> </w:t>
      </w:r>
      <w:r>
        <w:rPr/>
        <w:t>emerging</w:t>
      </w:r>
      <w:r>
        <w:rPr>
          <w:spacing w:val="-2"/>
        </w:rPr>
        <w:t> </w:t>
      </w:r>
      <w:r>
        <w:rPr/>
        <w:t>technologies</w:t>
      </w:r>
      <w:r>
        <w:rPr>
          <w:spacing w:val="-4"/>
        </w:rPr>
        <w:t> </w:t>
      </w:r>
      <w:r>
        <w:rPr/>
        <w:t>through</w:t>
      </w:r>
      <w:r>
        <w:rPr>
          <w:spacing w:val="-4"/>
        </w:rPr>
        <w:t> </w:t>
      </w:r>
      <w:r>
        <w:rPr/>
        <w:t>ERAC</w:t>
      </w:r>
      <w:r>
        <w:rPr>
          <w:spacing w:val="-2"/>
        </w:rPr>
        <w:t> </w:t>
      </w:r>
      <w:r>
        <w:rPr/>
        <w:t>and</w:t>
      </w:r>
      <w:r>
        <w:rPr>
          <w:spacing w:val="-4"/>
        </w:rPr>
        <w:t> </w:t>
      </w:r>
      <w:r>
        <w:rPr/>
        <w:t>GTRC.</w:t>
      </w:r>
      <w:r>
        <w:rPr>
          <w:spacing w:val="-3"/>
        </w:rPr>
        <w:t> </w:t>
      </w:r>
      <w:r>
        <w:rPr/>
        <w:t>This</w:t>
      </w:r>
      <w:r>
        <w:rPr>
          <w:spacing w:val="-4"/>
        </w:rPr>
        <w:t> </w:t>
      </w:r>
      <w:r>
        <w:rPr/>
        <w:t>would, however, require expanding the focus of both committees to give greater emphasis to network regulatory issues.</w:t>
      </w:r>
    </w:p>
    <w:p>
      <w:pPr>
        <w:spacing w:after="0" w:line="288" w:lineRule="auto"/>
        <w:sectPr>
          <w:pgSz w:w="11910" w:h="16850"/>
          <w:pgMar w:header="220" w:footer="678" w:top="420" w:bottom="860" w:left="900" w:right="840"/>
        </w:sectPr>
      </w:pPr>
    </w:p>
    <w:p>
      <w:pPr>
        <w:pStyle w:val="BodyText"/>
        <w:rPr>
          <w:sz w:val="20"/>
        </w:rPr>
      </w:pPr>
    </w:p>
    <w:p>
      <w:pPr>
        <w:pStyle w:val="BodyText"/>
        <w:spacing w:before="7"/>
        <w:rPr>
          <w:sz w:val="19"/>
        </w:rPr>
      </w:pPr>
    </w:p>
    <w:p>
      <w:pPr>
        <w:pStyle w:val="Heading4"/>
      </w:pPr>
      <w:r>
        <w:rPr>
          <w:color w:val="585858"/>
          <w:spacing w:val="-2"/>
        </w:rPr>
        <w:t>References</w:t>
      </w:r>
    </w:p>
    <w:p>
      <w:pPr>
        <w:spacing w:line="379" w:lineRule="auto" w:before="313"/>
        <w:ind w:left="232" w:right="868" w:firstLine="0"/>
        <w:jc w:val="left"/>
        <w:rPr>
          <w:sz w:val="18"/>
        </w:rPr>
      </w:pPr>
      <w:r>
        <w:rPr>
          <w:sz w:val="18"/>
        </w:rPr>
        <w:t>Advisian, 2016a. </w:t>
      </w:r>
      <w:r>
        <w:rPr>
          <w:i/>
          <w:sz w:val="18"/>
        </w:rPr>
        <w:t>Potential Impacts of New Energy: Stage 1 Report- The New Energy Landscape</w:t>
      </w:r>
      <w:r>
        <w:rPr>
          <w:sz w:val="18"/>
        </w:rPr>
        <w:t>, Melbourne. Advisian,</w:t>
      </w:r>
      <w:r>
        <w:rPr>
          <w:spacing w:val="-3"/>
          <w:sz w:val="18"/>
        </w:rPr>
        <w:t> </w:t>
      </w:r>
      <w:r>
        <w:rPr>
          <w:sz w:val="18"/>
        </w:rPr>
        <w:t>2016b.</w:t>
      </w:r>
      <w:r>
        <w:rPr>
          <w:spacing w:val="-3"/>
          <w:sz w:val="18"/>
        </w:rPr>
        <w:t> </w:t>
      </w:r>
      <w:r>
        <w:rPr>
          <w:i/>
          <w:sz w:val="18"/>
        </w:rPr>
        <w:t>Potential</w:t>
      </w:r>
      <w:r>
        <w:rPr>
          <w:i/>
          <w:spacing w:val="-3"/>
          <w:sz w:val="18"/>
        </w:rPr>
        <w:t> </w:t>
      </w:r>
      <w:r>
        <w:rPr>
          <w:i/>
          <w:sz w:val="18"/>
        </w:rPr>
        <w:t>Impacts</w:t>
      </w:r>
      <w:r>
        <w:rPr>
          <w:i/>
          <w:spacing w:val="-4"/>
          <w:sz w:val="18"/>
        </w:rPr>
        <w:t> </w:t>
      </w:r>
      <w:r>
        <w:rPr>
          <w:i/>
          <w:sz w:val="18"/>
        </w:rPr>
        <w:t>of</w:t>
      </w:r>
      <w:r>
        <w:rPr>
          <w:i/>
          <w:spacing w:val="-3"/>
          <w:sz w:val="18"/>
        </w:rPr>
        <w:t> </w:t>
      </w:r>
      <w:r>
        <w:rPr>
          <w:i/>
          <w:sz w:val="18"/>
        </w:rPr>
        <w:t>New</w:t>
      </w:r>
      <w:r>
        <w:rPr>
          <w:i/>
          <w:spacing w:val="-3"/>
          <w:sz w:val="18"/>
        </w:rPr>
        <w:t> </w:t>
      </w:r>
      <w:r>
        <w:rPr>
          <w:i/>
          <w:sz w:val="18"/>
        </w:rPr>
        <w:t>Energy:</w:t>
      </w:r>
      <w:r>
        <w:rPr>
          <w:i/>
          <w:spacing w:val="-3"/>
          <w:sz w:val="18"/>
        </w:rPr>
        <w:t> </w:t>
      </w:r>
      <w:r>
        <w:rPr>
          <w:i/>
          <w:sz w:val="18"/>
        </w:rPr>
        <w:t>Stage</w:t>
      </w:r>
      <w:r>
        <w:rPr>
          <w:i/>
          <w:spacing w:val="-3"/>
          <w:sz w:val="18"/>
        </w:rPr>
        <w:t> </w:t>
      </w:r>
      <w:r>
        <w:rPr>
          <w:i/>
          <w:sz w:val="18"/>
        </w:rPr>
        <w:t>2</w:t>
      </w:r>
      <w:r>
        <w:rPr>
          <w:i/>
          <w:spacing w:val="-6"/>
          <w:sz w:val="18"/>
        </w:rPr>
        <w:t> </w:t>
      </w:r>
      <w:r>
        <w:rPr>
          <w:i/>
          <w:sz w:val="18"/>
        </w:rPr>
        <w:t>Report-</w:t>
      </w:r>
      <w:r>
        <w:rPr>
          <w:i/>
          <w:spacing w:val="-3"/>
          <w:sz w:val="18"/>
        </w:rPr>
        <w:t> </w:t>
      </w:r>
      <w:r>
        <w:rPr>
          <w:i/>
          <w:sz w:val="18"/>
        </w:rPr>
        <w:t>Electricity</w:t>
      </w:r>
      <w:r>
        <w:rPr>
          <w:i/>
          <w:spacing w:val="-2"/>
          <w:sz w:val="18"/>
        </w:rPr>
        <w:t> </w:t>
      </w:r>
      <w:r>
        <w:rPr>
          <w:i/>
          <w:sz w:val="18"/>
        </w:rPr>
        <w:t>Network</w:t>
      </w:r>
      <w:r>
        <w:rPr>
          <w:i/>
          <w:spacing w:val="-2"/>
          <w:sz w:val="18"/>
        </w:rPr>
        <w:t> </w:t>
      </w:r>
      <w:r>
        <w:rPr>
          <w:i/>
          <w:sz w:val="18"/>
        </w:rPr>
        <w:t>Safety</w:t>
      </w:r>
      <w:r>
        <w:rPr>
          <w:i/>
          <w:spacing w:val="-2"/>
          <w:sz w:val="18"/>
        </w:rPr>
        <w:t> </w:t>
      </w:r>
      <w:r>
        <w:rPr>
          <w:i/>
          <w:sz w:val="18"/>
        </w:rPr>
        <w:t>Issues,</w:t>
      </w:r>
      <w:r>
        <w:rPr>
          <w:i/>
          <w:spacing w:val="-2"/>
          <w:sz w:val="18"/>
        </w:rPr>
        <w:t> </w:t>
      </w:r>
      <w:r>
        <w:rPr>
          <w:sz w:val="18"/>
        </w:rPr>
        <w:t>Melbourne. AEMC, 2012. </w:t>
      </w:r>
      <w:r>
        <w:rPr>
          <w:i/>
          <w:sz w:val="18"/>
        </w:rPr>
        <w:t>Power of choice review - giving consumers, Final Report, </w:t>
      </w:r>
      <w:r>
        <w:rPr>
          <w:sz w:val="18"/>
        </w:rPr>
        <w:t>Sydney.</w:t>
      </w:r>
    </w:p>
    <w:p>
      <w:pPr>
        <w:spacing w:line="381" w:lineRule="auto" w:before="3"/>
        <w:ind w:left="232" w:right="1916" w:firstLine="0"/>
        <w:jc w:val="left"/>
        <w:rPr>
          <w:sz w:val="18"/>
        </w:rPr>
      </w:pPr>
      <w:r>
        <w:rPr>
          <w:sz w:val="18"/>
        </w:rPr>
        <w:t>AEMC,</w:t>
      </w:r>
      <w:r>
        <w:rPr>
          <w:spacing w:val="-4"/>
          <w:sz w:val="18"/>
        </w:rPr>
        <w:t> </w:t>
      </w:r>
      <w:r>
        <w:rPr>
          <w:sz w:val="18"/>
        </w:rPr>
        <w:t>2016a.</w:t>
      </w:r>
      <w:r>
        <w:rPr>
          <w:spacing w:val="-2"/>
          <w:sz w:val="18"/>
        </w:rPr>
        <w:t> </w:t>
      </w:r>
      <w:r>
        <w:rPr>
          <w:i/>
          <w:sz w:val="18"/>
        </w:rPr>
        <w:t>Electricity</w:t>
      </w:r>
      <w:r>
        <w:rPr>
          <w:i/>
          <w:spacing w:val="-5"/>
          <w:sz w:val="18"/>
        </w:rPr>
        <w:t> </w:t>
      </w:r>
      <w:r>
        <w:rPr>
          <w:i/>
          <w:sz w:val="18"/>
        </w:rPr>
        <w:t>Network</w:t>
      </w:r>
      <w:r>
        <w:rPr>
          <w:i/>
          <w:spacing w:val="-3"/>
          <w:sz w:val="18"/>
        </w:rPr>
        <w:t> </w:t>
      </w:r>
      <w:r>
        <w:rPr>
          <w:i/>
          <w:sz w:val="18"/>
        </w:rPr>
        <w:t>Economic</w:t>
      </w:r>
      <w:r>
        <w:rPr>
          <w:i/>
          <w:spacing w:val="-3"/>
          <w:sz w:val="18"/>
        </w:rPr>
        <w:t> </w:t>
      </w:r>
      <w:r>
        <w:rPr>
          <w:i/>
          <w:sz w:val="18"/>
        </w:rPr>
        <w:t>Regulatory</w:t>
      </w:r>
      <w:r>
        <w:rPr>
          <w:i/>
          <w:spacing w:val="-3"/>
          <w:sz w:val="18"/>
        </w:rPr>
        <w:t> </w:t>
      </w:r>
      <w:r>
        <w:rPr>
          <w:i/>
          <w:sz w:val="18"/>
        </w:rPr>
        <w:t>Framework</w:t>
      </w:r>
      <w:r>
        <w:rPr>
          <w:i/>
          <w:spacing w:val="-3"/>
          <w:sz w:val="18"/>
        </w:rPr>
        <w:t> </w:t>
      </w:r>
      <w:r>
        <w:rPr>
          <w:i/>
          <w:sz w:val="18"/>
        </w:rPr>
        <w:t>Review:</w:t>
      </w:r>
      <w:r>
        <w:rPr>
          <w:i/>
          <w:spacing w:val="-4"/>
          <w:sz w:val="18"/>
        </w:rPr>
        <w:t> </w:t>
      </w:r>
      <w:r>
        <w:rPr>
          <w:i/>
          <w:sz w:val="18"/>
        </w:rPr>
        <w:t>Approach</w:t>
      </w:r>
      <w:r>
        <w:rPr>
          <w:i/>
          <w:spacing w:val="-4"/>
          <w:sz w:val="18"/>
        </w:rPr>
        <w:t> </w:t>
      </w:r>
      <w:r>
        <w:rPr>
          <w:i/>
          <w:sz w:val="18"/>
        </w:rPr>
        <w:t>Paper</w:t>
      </w:r>
      <w:r>
        <w:rPr>
          <w:sz w:val="18"/>
        </w:rPr>
        <w:t>. AEMC, 2016b. </w:t>
      </w:r>
      <w:r>
        <w:rPr>
          <w:i/>
          <w:sz w:val="18"/>
        </w:rPr>
        <w:t>System Security Market Frameworks Review: Interim Report</w:t>
      </w:r>
      <w:r>
        <w:rPr>
          <w:sz w:val="18"/>
        </w:rPr>
        <w:t>.</w:t>
      </w:r>
    </w:p>
    <w:p>
      <w:pPr>
        <w:spacing w:line="381" w:lineRule="auto" w:before="0"/>
        <w:ind w:left="232" w:right="1720" w:firstLine="0"/>
        <w:jc w:val="left"/>
        <w:rPr>
          <w:sz w:val="18"/>
        </w:rPr>
      </w:pPr>
      <w:r>
        <w:rPr>
          <w:sz w:val="18"/>
        </w:rPr>
        <w:t>AEMC,</w:t>
      </w:r>
      <w:r>
        <w:rPr>
          <w:spacing w:val="-4"/>
          <w:sz w:val="18"/>
        </w:rPr>
        <w:t> </w:t>
      </w:r>
      <w:r>
        <w:rPr>
          <w:sz w:val="18"/>
        </w:rPr>
        <w:t>2017a.</w:t>
      </w:r>
      <w:r>
        <w:rPr>
          <w:spacing w:val="-4"/>
          <w:sz w:val="18"/>
        </w:rPr>
        <w:t> </w:t>
      </w:r>
      <w:r>
        <w:rPr>
          <w:i/>
          <w:sz w:val="18"/>
        </w:rPr>
        <w:t>Electricity</w:t>
      </w:r>
      <w:r>
        <w:rPr>
          <w:i/>
          <w:spacing w:val="-5"/>
          <w:sz w:val="18"/>
        </w:rPr>
        <w:t> </w:t>
      </w:r>
      <w:r>
        <w:rPr>
          <w:i/>
          <w:sz w:val="18"/>
        </w:rPr>
        <w:t>Network</w:t>
      </w:r>
      <w:r>
        <w:rPr>
          <w:i/>
          <w:spacing w:val="-3"/>
          <w:sz w:val="18"/>
        </w:rPr>
        <w:t> </w:t>
      </w:r>
      <w:r>
        <w:rPr>
          <w:i/>
          <w:sz w:val="18"/>
        </w:rPr>
        <w:t>Economic</w:t>
      </w:r>
      <w:r>
        <w:rPr>
          <w:i/>
          <w:spacing w:val="-3"/>
          <w:sz w:val="18"/>
        </w:rPr>
        <w:t> </w:t>
      </w:r>
      <w:r>
        <w:rPr>
          <w:i/>
          <w:sz w:val="18"/>
        </w:rPr>
        <w:t>Regulatory</w:t>
      </w:r>
      <w:r>
        <w:rPr>
          <w:i/>
          <w:spacing w:val="-3"/>
          <w:sz w:val="18"/>
        </w:rPr>
        <w:t> </w:t>
      </w:r>
      <w:r>
        <w:rPr>
          <w:i/>
          <w:sz w:val="18"/>
        </w:rPr>
        <w:t>Framework</w:t>
      </w:r>
      <w:r>
        <w:rPr>
          <w:i/>
          <w:spacing w:val="-3"/>
          <w:sz w:val="18"/>
        </w:rPr>
        <w:t> </w:t>
      </w:r>
      <w:r>
        <w:rPr>
          <w:i/>
          <w:sz w:val="18"/>
        </w:rPr>
        <w:t>Review,</w:t>
      </w:r>
      <w:r>
        <w:rPr>
          <w:i/>
          <w:spacing w:val="-4"/>
          <w:sz w:val="18"/>
        </w:rPr>
        <w:t> </w:t>
      </w:r>
      <w:r>
        <w:rPr>
          <w:i/>
          <w:sz w:val="18"/>
        </w:rPr>
        <w:t>2017</w:t>
      </w:r>
      <w:r>
        <w:rPr>
          <w:i/>
          <w:spacing w:val="-4"/>
          <w:sz w:val="18"/>
        </w:rPr>
        <w:t> </w:t>
      </w:r>
      <w:r>
        <w:rPr>
          <w:i/>
          <w:sz w:val="18"/>
        </w:rPr>
        <w:t>Report</w:t>
      </w:r>
      <w:r>
        <w:rPr>
          <w:i/>
          <w:spacing w:val="-6"/>
          <w:sz w:val="18"/>
        </w:rPr>
        <w:t> </w:t>
      </w:r>
      <w:r>
        <w:rPr>
          <w:i/>
          <w:sz w:val="18"/>
        </w:rPr>
        <w:t>, </w:t>
      </w:r>
      <w:r>
        <w:rPr>
          <w:sz w:val="18"/>
        </w:rPr>
        <w:t>Sydney. AEMC, 2017b. </w:t>
      </w:r>
      <w:r>
        <w:rPr>
          <w:i/>
          <w:sz w:val="18"/>
        </w:rPr>
        <w:t>System Security Market Frameworks Review: Final Report</w:t>
      </w:r>
      <w:r>
        <w:rPr>
          <w:sz w:val="18"/>
        </w:rPr>
        <w:t>.</w:t>
      </w:r>
    </w:p>
    <w:p>
      <w:pPr>
        <w:spacing w:line="381" w:lineRule="auto" w:before="0"/>
        <w:ind w:left="232" w:right="2675" w:firstLine="0"/>
        <w:jc w:val="left"/>
        <w:rPr>
          <w:sz w:val="18"/>
        </w:rPr>
      </w:pPr>
      <w:r>
        <w:rPr>
          <w:sz w:val="18"/>
        </w:rPr>
        <w:t>AEMO,</w:t>
      </w:r>
      <w:r>
        <w:rPr>
          <w:spacing w:val="-3"/>
          <w:sz w:val="18"/>
        </w:rPr>
        <w:t> </w:t>
      </w:r>
      <w:r>
        <w:rPr>
          <w:sz w:val="18"/>
        </w:rPr>
        <w:t>2017.</w:t>
      </w:r>
      <w:r>
        <w:rPr>
          <w:spacing w:val="-1"/>
          <w:sz w:val="18"/>
        </w:rPr>
        <w:t> </w:t>
      </w:r>
      <w:r>
        <w:rPr>
          <w:i/>
          <w:sz w:val="18"/>
        </w:rPr>
        <w:t>Gas</w:t>
      </w:r>
      <w:r>
        <w:rPr>
          <w:i/>
          <w:spacing w:val="-5"/>
          <w:sz w:val="18"/>
        </w:rPr>
        <w:t> </w:t>
      </w:r>
      <w:r>
        <w:rPr>
          <w:i/>
          <w:sz w:val="18"/>
        </w:rPr>
        <w:t>Statement</w:t>
      </w:r>
      <w:r>
        <w:rPr>
          <w:i/>
          <w:spacing w:val="-5"/>
          <w:sz w:val="18"/>
        </w:rPr>
        <w:t> </w:t>
      </w:r>
      <w:r>
        <w:rPr>
          <w:i/>
          <w:sz w:val="18"/>
        </w:rPr>
        <w:t>of</w:t>
      </w:r>
      <w:r>
        <w:rPr>
          <w:i/>
          <w:spacing w:val="-3"/>
          <w:sz w:val="18"/>
        </w:rPr>
        <w:t> </w:t>
      </w:r>
      <w:r>
        <w:rPr>
          <w:i/>
          <w:sz w:val="18"/>
        </w:rPr>
        <w:t>Opportunities:</w:t>
      </w:r>
      <w:r>
        <w:rPr>
          <w:i/>
          <w:spacing w:val="-3"/>
          <w:sz w:val="18"/>
        </w:rPr>
        <w:t> </w:t>
      </w:r>
      <w:r>
        <w:rPr>
          <w:i/>
          <w:sz w:val="18"/>
        </w:rPr>
        <w:t>For</w:t>
      </w:r>
      <w:r>
        <w:rPr>
          <w:i/>
          <w:spacing w:val="-3"/>
          <w:sz w:val="18"/>
        </w:rPr>
        <w:t> </w:t>
      </w:r>
      <w:r>
        <w:rPr>
          <w:i/>
          <w:sz w:val="18"/>
        </w:rPr>
        <w:t>Eastern</w:t>
      </w:r>
      <w:r>
        <w:rPr>
          <w:i/>
          <w:spacing w:val="-5"/>
          <w:sz w:val="18"/>
        </w:rPr>
        <w:t> </w:t>
      </w:r>
      <w:r>
        <w:rPr>
          <w:i/>
          <w:sz w:val="18"/>
        </w:rPr>
        <w:t>and</w:t>
      </w:r>
      <w:r>
        <w:rPr>
          <w:i/>
          <w:spacing w:val="-3"/>
          <w:sz w:val="18"/>
        </w:rPr>
        <w:t> </w:t>
      </w:r>
      <w:r>
        <w:rPr>
          <w:i/>
          <w:sz w:val="18"/>
        </w:rPr>
        <w:t>South-Eastern</w:t>
      </w:r>
      <w:r>
        <w:rPr>
          <w:i/>
          <w:spacing w:val="-3"/>
          <w:sz w:val="18"/>
        </w:rPr>
        <w:t> </w:t>
      </w:r>
      <w:r>
        <w:rPr>
          <w:i/>
          <w:sz w:val="18"/>
        </w:rPr>
        <w:t>Australia</w:t>
      </w:r>
      <w:r>
        <w:rPr>
          <w:sz w:val="18"/>
        </w:rPr>
        <w:t>. Austalian Gas Networks 2017. </w:t>
      </w:r>
      <w:r>
        <w:rPr>
          <w:i/>
          <w:sz w:val="18"/>
        </w:rPr>
        <w:t>Review of Victoria's Gas Network Safety Framework</w:t>
      </w:r>
      <w:r>
        <w:rPr>
          <w:sz w:val="18"/>
        </w:rPr>
        <w:t>.</w:t>
      </w:r>
    </w:p>
    <w:p>
      <w:pPr>
        <w:spacing w:line="381" w:lineRule="auto" w:before="0"/>
        <w:ind w:left="232" w:right="439" w:firstLine="0"/>
        <w:jc w:val="left"/>
        <w:rPr>
          <w:sz w:val="18"/>
        </w:rPr>
      </w:pPr>
      <w:r>
        <w:rPr>
          <w:sz w:val="18"/>
        </w:rPr>
        <w:t>APA</w:t>
      </w:r>
      <w:r>
        <w:rPr>
          <w:spacing w:val="-3"/>
          <w:sz w:val="18"/>
        </w:rPr>
        <w:t> </w:t>
      </w:r>
      <w:r>
        <w:rPr>
          <w:sz w:val="18"/>
        </w:rPr>
        <w:t>VTS,</w:t>
      </w:r>
      <w:r>
        <w:rPr>
          <w:spacing w:val="-3"/>
          <w:sz w:val="18"/>
        </w:rPr>
        <w:t> </w:t>
      </w:r>
      <w:r>
        <w:rPr>
          <w:sz w:val="18"/>
        </w:rPr>
        <w:t>2017.</w:t>
      </w:r>
      <w:r>
        <w:rPr>
          <w:spacing w:val="-2"/>
          <w:sz w:val="18"/>
        </w:rPr>
        <w:t> </w:t>
      </w:r>
      <w:r>
        <w:rPr>
          <w:i/>
          <w:sz w:val="18"/>
        </w:rPr>
        <w:t>Review</w:t>
      </w:r>
      <w:r>
        <w:rPr>
          <w:i/>
          <w:spacing w:val="-6"/>
          <w:sz w:val="18"/>
        </w:rPr>
        <w:t> </w:t>
      </w:r>
      <w:r>
        <w:rPr>
          <w:i/>
          <w:sz w:val="18"/>
        </w:rPr>
        <w:t>of</w:t>
      </w:r>
      <w:r>
        <w:rPr>
          <w:i/>
          <w:spacing w:val="-3"/>
          <w:sz w:val="18"/>
        </w:rPr>
        <w:t> </w:t>
      </w:r>
      <w:r>
        <w:rPr>
          <w:i/>
          <w:sz w:val="18"/>
        </w:rPr>
        <w:t>Victoria's Electricity</w:t>
      </w:r>
      <w:r>
        <w:rPr>
          <w:i/>
          <w:spacing w:val="-2"/>
          <w:sz w:val="18"/>
        </w:rPr>
        <w:t> </w:t>
      </w:r>
      <w:r>
        <w:rPr>
          <w:i/>
          <w:sz w:val="18"/>
        </w:rPr>
        <w:t>and</w:t>
      </w:r>
      <w:r>
        <w:rPr>
          <w:i/>
          <w:spacing w:val="-2"/>
          <w:sz w:val="18"/>
        </w:rPr>
        <w:t> </w:t>
      </w:r>
      <w:r>
        <w:rPr>
          <w:i/>
          <w:sz w:val="18"/>
        </w:rPr>
        <w:t>Gas</w:t>
      </w:r>
      <w:r>
        <w:rPr>
          <w:i/>
          <w:spacing w:val="-2"/>
          <w:sz w:val="18"/>
        </w:rPr>
        <w:t> </w:t>
      </w:r>
      <w:r>
        <w:rPr>
          <w:i/>
          <w:sz w:val="18"/>
        </w:rPr>
        <w:t>Network</w:t>
      </w:r>
      <w:r>
        <w:rPr>
          <w:i/>
          <w:spacing w:val="-2"/>
          <w:sz w:val="18"/>
        </w:rPr>
        <w:t> </w:t>
      </w:r>
      <w:r>
        <w:rPr>
          <w:i/>
          <w:sz w:val="18"/>
        </w:rPr>
        <w:t>Safety</w:t>
      </w:r>
      <w:r>
        <w:rPr>
          <w:i/>
          <w:spacing w:val="-4"/>
          <w:sz w:val="18"/>
        </w:rPr>
        <w:t> </w:t>
      </w:r>
      <w:r>
        <w:rPr>
          <w:i/>
          <w:sz w:val="18"/>
        </w:rPr>
        <w:t>Framework -</w:t>
      </w:r>
      <w:r>
        <w:rPr>
          <w:i/>
          <w:spacing w:val="-5"/>
          <w:sz w:val="18"/>
        </w:rPr>
        <w:t> </w:t>
      </w:r>
      <w:r>
        <w:rPr>
          <w:i/>
          <w:sz w:val="18"/>
        </w:rPr>
        <w:t>Supplementary</w:t>
      </w:r>
      <w:r>
        <w:rPr>
          <w:i/>
          <w:spacing w:val="-2"/>
          <w:sz w:val="18"/>
        </w:rPr>
        <w:t> </w:t>
      </w:r>
      <w:r>
        <w:rPr>
          <w:i/>
          <w:sz w:val="18"/>
        </w:rPr>
        <w:t>Issues</w:t>
      </w:r>
      <w:r>
        <w:rPr>
          <w:i/>
          <w:spacing w:val="-5"/>
          <w:sz w:val="18"/>
        </w:rPr>
        <w:t> </w:t>
      </w:r>
      <w:r>
        <w:rPr>
          <w:i/>
          <w:sz w:val="18"/>
        </w:rPr>
        <w:t>Paper: APA VTS Operations (Australia) Pty Ltd Submission</w:t>
      </w:r>
      <w:r>
        <w:rPr>
          <w:sz w:val="18"/>
        </w:rPr>
        <w:t>.</w:t>
      </w:r>
    </w:p>
    <w:p>
      <w:pPr>
        <w:spacing w:line="381" w:lineRule="auto" w:before="0"/>
        <w:ind w:left="232" w:right="5155" w:firstLine="0"/>
        <w:jc w:val="left"/>
        <w:rPr>
          <w:sz w:val="18"/>
        </w:rPr>
      </w:pPr>
      <w:r>
        <w:rPr>
          <w:sz w:val="18"/>
        </w:rPr>
        <w:t>AusNet Services, 2017a. </w:t>
      </w:r>
      <w:r>
        <w:rPr>
          <w:i/>
          <w:sz w:val="18"/>
        </w:rPr>
        <w:t>Safety Review Submission</w:t>
      </w:r>
      <w:r>
        <w:rPr>
          <w:sz w:val="18"/>
        </w:rPr>
        <w:t>. AusNet</w:t>
      </w:r>
      <w:r>
        <w:rPr>
          <w:spacing w:val="-5"/>
          <w:sz w:val="18"/>
        </w:rPr>
        <w:t> </w:t>
      </w:r>
      <w:r>
        <w:rPr>
          <w:sz w:val="18"/>
        </w:rPr>
        <w:t>Services,</w:t>
      </w:r>
      <w:r>
        <w:rPr>
          <w:spacing w:val="-5"/>
          <w:sz w:val="18"/>
        </w:rPr>
        <w:t> </w:t>
      </w:r>
      <w:r>
        <w:rPr>
          <w:sz w:val="18"/>
        </w:rPr>
        <w:t>2017b.</w:t>
      </w:r>
      <w:r>
        <w:rPr>
          <w:spacing w:val="-5"/>
          <w:sz w:val="18"/>
        </w:rPr>
        <w:t> </w:t>
      </w:r>
      <w:r>
        <w:rPr>
          <w:i/>
          <w:sz w:val="18"/>
        </w:rPr>
        <w:t>Safety</w:t>
      </w:r>
      <w:r>
        <w:rPr>
          <w:i/>
          <w:spacing w:val="-4"/>
          <w:sz w:val="18"/>
        </w:rPr>
        <w:t> </w:t>
      </w:r>
      <w:r>
        <w:rPr>
          <w:i/>
          <w:sz w:val="18"/>
        </w:rPr>
        <w:t>Review</w:t>
      </w:r>
      <w:r>
        <w:rPr>
          <w:i/>
          <w:spacing w:val="-5"/>
          <w:sz w:val="18"/>
        </w:rPr>
        <w:t> </w:t>
      </w:r>
      <w:r>
        <w:rPr>
          <w:i/>
          <w:sz w:val="18"/>
        </w:rPr>
        <w:t>Submission</w:t>
      </w:r>
      <w:r>
        <w:rPr>
          <w:i/>
          <w:spacing w:val="-2"/>
          <w:sz w:val="18"/>
        </w:rPr>
        <w:t> </w:t>
      </w:r>
      <w:r>
        <w:rPr>
          <w:i/>
          <w:sz w:val="18"/>
        </w:rPr>
        <w:t>-</w:t>
      </w:r>
      <w:r>
        <w:rPr>
          <w:i/>
          <w:spacing w:val="-7"/>
          <w:sz w:val="18"/>
        </w:rPr>
        <w:t> </w:t>
      </w:r>
      <w:r>
        <w:rPr>
          <w:i/>
          <w:sz w:val="18"/>
        </w:rPr>
        <w:t>Gas</w:t>
      </w:r>
      <w:r>
        <w:rPr>
          <w:sz w:val="18"/>
        </w:rPr>
        <w:t>.</w:t>
      </w:r>
    </w:p>
    <w:p>
      <w:pPr>
        <w:spacing w:line="204" w:lineRule="exact" w:before="0"/>
        <w:ind w:left="232" w:right="0" w:firstLine="0"/>
        <w:jc w:val="left"/>
        <w:rPr>
          <w:sz w:val="18"/>
        </w:rPr>
      </w:pPr>
      <w:r>
        <w:rPr>
          <w:sz w:val="18"/>
        </w:rPr>
        <w:t>Australian</w:t>
      </w:r>
      <w:r>
        <w:rPr>
          <w:spacing w:val="-7"/>
          <w:sz w:val="18"/>
        </w:rPr>
        <w:t> </w:t>
      </w:r>
      <w:r>
        <w:rPr>
          <w:sz w:val="18"/>
        </w:rPr>
        <w:t>Cyber</w:t>
      </w:r>
      <w:r>
        <w:rPr>
          <w:spacing w:val="-6"/>
          <w:sz w:val="18"/>
        </w:rPr>
        <w:t> </w:t>
      </w:r>
      <w:r>
        <w:rPr>
          <w:sz w:val="18"/>
        </w:rPr>
        <w:t>Security</w:t>
      </w:r>
      <w:r>
        <w:rPr>
          <w:spacing w:val="-6"/>
          <w:sz w:val="18"/>
        </w:rPr>
        <w:t> </w:t>
      </w:r>
      <w:r>
        <w:rPr>
          <w:sz w:val="18"/>
        </w:rPr>
        <w:t>Centre,</w:t>
      </w:r>
      <w:r>
        <w:rPr>
          <w:spacing w:val="-5"/>
          <w:sz w:val="18"/>
        </w:rPr>
        <w:t> </w:t>
      </w:r>
      <w:r>
        <w:rPr>
          <w:sz w:val="18"/>
        </w:rPr>
        <w:t>2015.</w:t>
      </w:r>
      <w:r>
        <w:rPr>
          <w:spacing w:val="-1"/>
          <w:sz w:val="18"/>
        </w:rPr>
        <w:t> </w:t>
      </w:r>
      <w:r>
        <w:rPr>
          <w:i/>
          <w:sz w:val="18"/>
        </w:rPr>
        <w:t>ACSC</w:t>
      </w:r>
      <w:r>
        <w:rPr>
          <w:i/>
          <w:spacing w:val="-6"/>
          <w:sz w:val="18"/>
        </w:rPr>
        <w:t> </w:t>
      </w:r>
      <w:r>
        <w:rPr>
          <w:i/>
          <w:sz w:val="18"/>
        </w:rPr>
        <w:t>2015</w:t>
      </w:r>
      <w:r>
        <w:rPr>
          <w:i/>
          <w:spacing w:val="-7"/>
          <w:sz w:val="18"/>
        </w:rPr>
        <w:t> </w:t>
      </w:r>
      <w:r>
        <w:rPr>
          <w:i/>
          <w:sz w:val="18"/>
        </w:rPr>
        <w:t>Threat</w:t>
      </w:r>
      <w:r>
        <w:rPr>
          <w:i/>
          <w:spacing w:val="-7"/>
          <w:sz w:val="18"/>
        </w:rPr>
        <w:t> </w:t>
      </w:r>
      <w:r>
        <w:rPr>
          <w:i/>
          <w:spacing w:val="-2"/>
          <w:sz w:val="18"/>
        </w:rPr>
        <w:t>Report</w:t>
      </w:r>
      <w:r>
        <w:rPr>
          <w:spacing w:val="-2"/>
          <w:sz w:val="18"/>
        </w:rPr>
        <w:t>.</w:t>
      </w:r>
    </w:p>
    <w:p>
      <w:pPr>
        <w:spacing w:before="118"/>
        <w:ind w:left="232" w:right="0" w:firstLine="0"/>
        <w:jc w:val="left"/>
        <w:rPr>
          <w:i/>
          <w:sz w:val="18"/>
        </w:rPr>
      </w:pPr>
      <w:r>
        <w:rPr>
          <w:sz w:val="18"/>
        </w:rPr>
        <w:t>Australian</w:t>
      </w:r>
      <w:r>
        <w:rPr>
          <w:spacing w:val="-6"/>
          <w:sz w:val="18"/>
        </w:rPr>
        <w:t> </w:t>
      </w:r>
      <w:r>
        <w:rPr>
          <w:sz w:val="18"/>
        </w:rPr>
        <w:t>Signals</w:t>
      </w:r>
      <w:r>
        <w:rPr>
          <w:spacing w:val="-3"/>
          <w:sz w:val="18"/>
        </w:rPr>
        <w:t> </w:t>
      </w:r>
      <w:r>
        <w:rPr>
          <w:sz w:val="18"/>
        </w:rPr>
        <w:t>Directorate,</w:t>
      </w:r>
      <w:r>
        <w:rPr>
          <w:spacing w:val="-6"/>
          <w:sz w:val="18"/>
        </w:rPr>
        <w:t> </w:t>
      </w:r>
      <w:r>
        <w:rPr>
          <w:sz w:val="18"/>
        </w:rPr>
        <w:t>2017.</w:t>
      </w:r>
      <w:r>
        <w:rPr>
          <w:spacing w:val="-2"/>
          <w:sz w:val="18"/>
        </w:rPr>
        <w:t> </w:t>
      </w:r>
      <w:r>
        <w:rPr>
          <w:i/>
          <w:sz w:val="18"/>
        </w:rPr>
        <w:t>Strategies</w:t>
      </w:r>
      <w:r>
        <w:rPr>
          <w:i/>
          <w:spacing w:val="-3"/>
          <w:sz w:val="18"/>
        </w:rPr>
        <w:t> </w:t>
      </w:r>
      <w:r>
        <w:rPr>
          <w:i/>
          <w:sz w:val="18"/>
        </w:rPr>
        <w:t>to</w:t>
      </w:r>
      <w:r>
        <w:rPr>
          <w:i/>
          <w:spacing w:val="-4"/>
          <w:sz w:val="18"/>
        </w:rPr>
        <w:t> </w:t>
      </w:r>
      <w:r>
        <w:rPr>
          <w:i/>
          <w:sz w:val="18"/>
        </w:rPr>
        <w:t>Mitigate</w:t>
      </w:r>
      <w:r>
        <w:rPr>
          <w:i/>
          <w:spacing w:val="-4"/>
          <w:sz w:val="18"/>
        </w:rPr>
        <w:t> </w:t>
      </w:r>
      <w:r>
        <w:rPr>
          <w:i/>
          <w:sz w:val="18"/>
        </w:rPr>
        <w:t>Cyber</w:t>
      </w:r>
      <w:r>
        <w:rPr>
          <w:i/>
          <w:spacing w:val="-4"/>
          <w:sz w:val="18"/>
        </w:rPr>
        <w:t> </w:t>
      </w:r>
      <w:r>
        <w:rPr>
          <w:i/>
          <w:sz w:val="18"/>
        </w:rPr>
        <w:t>Security</w:t>
      </w:r>
      <w:r>
        <w:rPr>
          <w:i/>
          <w:spacing w:val="-5"/>
          <w:sz w:val="18"/>
        </w:rPr>
        <w:t> </w:t>
      </w:r>
      <w:r>
        <w:rPr>
          <w:i/>
          <w:sz w:val="18"/>
        </w:rPr>
        <w:t>Incidents:</w:t>
      </w:r>
      <w:r>
        <w:rPr>
          <w:i/>
          <w:spacing w:val="-6"/>
          <w:sz w:val="18"/>
        </w:rPr>
        <w:t> </w:t>
      </w:r>
      <w:r>
        <w:rPr>
          <w:i/>
          <w:sz w:val="18"/>
        </w:rPr>
        <w:t>A</w:t>
      </w:r>
      <w:r>
        <w:rPr>
          <w:i/>
          <w:spacing w:val="-4"/>
          <w:sz w:val="18"/>
        </w:rPr>
        <w:t> </w:t>
      </w:r>
      <w:r>
        <w:rPr>
          <w:i/>
          <w:sz w:val="18"/>
        </w:rPr>
        <w:t>New</w:t>
      </w:r>
      <w:r>
        <w:rPr>
          <w:i/>
          <w:spacing w:val="-7"/>
          <w:sz w:val="18"/>
        </w:rPr>
        <w:t> </w:t>
      </w:r>
      <w:r>
        <w:rPr>
          <w:i/>
          <w:sz w:val="18"/>
        </w:rPr>
        <w:t>Cyber</w:t>
      </w:r>
      <w:r>
        <w:rPr>
          <w:i/>
          <w:spacing w:val="-4"/>
          <w:sz w:val="18"/>
        </w:rPr>
        <w:t> </w:t>
      </w:r>
      <w:r>
        <w:rPr>
          <w:i/>
          <w:sz w:val="18"/>
        </w:rPr>
        <w:t>Security</w:t>
      </w:r>
      <w:r>
        <w:rPr>
          <w:i/>
          <w:spacing w:val="-3"/>
          <w:sz w:val="18"/>
        </w:rPr>
        <w:t> </w:t>
      </w:r>
      <w:r>
        <w:rPr>
          <w:i/>
          <w:spacing w:val="-2"/>
          <w:sz w:val="18"/>
        </w:rPr>
        <w:t>Baseline.</w:t>
      </w:r>
    </w:p>
    <w:p>
      <w:pPr>
        <w:spacing w:before="42"/>
        <w:ind w:left="232" w:right="0" w:firstLine="0"/>
        <w:jc w:val="left"/>
        <w:rPr>
          <w:sz w:val="18"/>
        </w:rPr>
      </w:pPr>
      <w:r>
        <w:rPr>
          <w:sz w:val="18"/>
        </w:rPr>
        <w:t>[Online]</w:t>
      </w:r>
      <w:r>
        <w:rPr>
          <w:spacing w:val="37"/>
          <w:sz w:val="18"/>
        </w:rPr>
        <w:t> </w:t>
      </w:r>
      <w:r>
        <w:rPr>
          <w:sz w:val="18"/>
        </w:rPr>
        <w:t>Available</w:t>
      </w:r>
      <w:r>
        <w:rPr>
          <w:spacing w:val="-8"/>
          <w:sz w:val="18"/>
        </w:rPr>
        <w:t> </w:t>
      </w:r>
      <w:r>
        <w:rPr>
          <w:sz w:val="18"/>
        </w:rPr>
        <w:t>at:</w:t>
      </w:r>
      <w:r>
        <w:rPr>
          <w:spacing w:val="-7"/>
          <w:sz w:val="18"/>
        </w:rPr>
        <w:t> </w:t>
      </w:r>
      <w:hyperlink r:id="rId100">
        <w:r>
          <w:rPr>
            <w:sz w:val="18"/>
            <w:u w:val="single"/>
          </w:rPr>
          <w:t>https://www.asd.gov.au/infosec/mitigationstrategies.htm</w:t>
        </w:r>
      </w:hyperlink>
      <w:r>
        <w:rPr>
          <w:sz w:val="18"/>
        </w:rPr>
        <w:t> [Accessed</w:t>
      </w:r>
      <w:r>
        <w:rPr>
          <w:spacing w:val="-7"/>
          <w:sz w:val="18"/>
        </w:rPr>
        <w:t> </w:t>
      </w:r>
      <w:r>
        <w:rPr>
          <w:sz w:val="18"/>
        </w:rPr>
        <w:t>28</w:t>
      </w:r>
      <w:r>
        <w:rPr>
          <w:spacing w:val="-6"/>
          <w:sz w:val="18"/>
        </w:rPr>
        <w:t> </w:t>
      </w:r>
      <w:r>
        <w:rPr>
          <w:sz w:val="18"/>
        </w:rPr>
        <w:t>August</w:t>
      </w:r>
      <w:r>
        <w:rPr>
          <w:spacing w:val="-6"/>
          <w:sz w:val="18"/>
        </w:rPr>
        <w:t> </w:t>
      </w:r>
      <w:r>
        <w:rPr>
          <w:spacing w:val="-2"/>
          <w:sz w:val="18"/>
        </w:rPr>
        <w:t>2017].</w:t>
      </w:r>
    </w:p>
    <w:p>
      <w:pPr>
        <w:spacing w:line="285" w:lineRule="auto" w:before="122"/>
        <w:ind w:left="232" w:right="374" w:firstLine="0"/>
        <w:jc w:val="left"/>
        <w:rPr>
          <w:sz w:val="18"/>
        </w:rPr>
      </w:pPr>
      <w:r>
        <w:rPr>
          <w:sz w:val="18"/>
        </w:rPr>
        <w:t>CERT</w:t>
      </w:r>
      <w:r>
        <w:rPr>
          <w:spacing w:val="-5"/>
          <w:sz w:val="18"/>
        </w:rPr>
        <w:t> </w:t>
      </w:r>
      <w:r>
        <w:rPr>
          <w:sz w:val="18"/>
        </w:rPr>
        <w:t>Australia,</w:t>
      </w:r>
      <w:r>
        <w:rPr>
          <w:spacing w:val="-5"/>
          <w:sz w:val="18"/>
        </w:rPr>
        <w:t> </w:t>
      </w:r>
      <w:r>
        <w:rPr>
          <w:sz w:val="18"/>
        </w:rPr>
        <w:t>2017.</w:t>
      </w:r>
      <w:r>
        <w:rPr>
          <w:spacing w:val="-1"/>
          <w:sz w:val="18"/>
        </w:rPr>
        <w:t> </w:t>
      </w:r>
      <w:r>
        <w:rPr>
          <w:i/>
          <w:sz w:val="18"/>
        </w:rPr>
        <w:t>Advice:</w:t>
      </w:r>
      <w:r>
        <w:rPr>
          <w:i/>
          <w:spacing w:val="-5"/>
          <w:sz w:val="18"/>
        </w:rPr>
        <w:t> </w:t>
      </w:r>
      <w:r>
        <w:rPr>
          <w:i/>
          <w:sz w:val="18"/>
        </w:rPr>
        <w:t>CERT</w:t>
      </w:r>
      <w:r>
        <w:rPr>
          <w:i/>
          <w:spacing w:val="-3"/>
          <w:sz w:val="18"/>
        </w:rPr>
        <w:t> </w:t>
      </w:r>
      <w:r>
        <w:rPr>
          <w:i/>
          <w:sz w:val="18"/>
        </w:rPr>
        <w:t>Australia.</w:t>
      </w:r>
      <w:r>
        <w:rPr>
          <w:i/>
          <w:spacing w:val="-3"/>
          <w:sz w:val="18"/>
        </w:rPr>
        <w:t> </w:t>
      </w:r>
      <w:r>
        <w:rPr>
          <w:sz w:val="18"/>
        </w:rPr>
        <w:t>[Online]</w:t>
      </w:r>
      <w:r>
        <w:rPr>
          <w:spacing w:val="40"/>
          <w:sz w:val="18"/>
        </w:rPr>
        <w:t> </w:t>
      </w:r>
      <w:r>
        <w:rPr>
          <w:sz w:val="18"/>
        </w:rPr>
        <w:t>Available</w:t>
      </w:r>
      <w:r>
        <w:rPr>
          <w:spacing w:val="-3"/>
          <w:sz w:val="18"/>
        </w:rPr>
        <w:t> </w:t>
      </w:r>
      <w:r>
        <w:rPr>
          <w:sz w:val="18"/>
        </w:rPr>
        <w:t>at:</w:t>
      </w:r>
      <w:r>
        <w:rPr>
          <w:spacing w:val="-1"/>
          <w:sz w:val="18"/>
        </w:rPr>
        <w:t> </w:t>
      </w:r>
      <w:hyperlink r:id="rId101">
        <w:r>
          <w:rPr>
            <w:sz w:val="18"/>
            <w:u w:val="single"/>
          </w:rPr>
          <w:t>https://www.cert.gov.au/advice</w:t>
        </w:r>
      </w:hyperlink>
      <w:r>
        <w:rPr>
          <w:sz w:val="18"/>
        </w:rPr>
        <w:t> [Accessed</w:t>
      </w:r>
      <w:r>
        <w:rPr>
          <w:spacing w:val="-5"/>
          <w:sz w:val="18"/>
        </w:rPr>
        <w:t> </w:t>
      </w:r>
      <w:r>
        <w:rPr>
          <w:sz w:val="18"/>
        </w:rPr>
        <w:t>28 August 2017].</w:t>
      </w:r>
    </w:p>
    <w:p>
      <w:pPr>
        <w:spacing w:line="285" w:lineRule="auto" w:before="84"/>
        <w:ind w:left="232" w:right="408" w:firstLine="0"/>
        <w:jc w:val="left"/>
        <w:rPr>
          <w:sz w:val="18"/>
        </w:rPr>
      </w:pPr>
      <w:r>
        <w:rPr>
          <w:sz w:val="18"/>
        </w:rPr>
        <w:t>CitiPower</w:t>
      </w:r>
      <w:r>
        <w:rPr>
          <w:spacing w:val="-3"/>
          <w:sz w:val="18"/>
        </w:rPr>
        <w:t> </w:t>
      </w:r>
      <w:r>
        <w:rPr>
          <w:sz w:val="18"/>
        </w:rPr>
        <w:t>&amp;</w:t>
      </w:r>
      <w:r>
        <w:rPr>
          <w:spacing w:val="-3"/>
          <w:sz w:val="18"/>
        </w:rPr>
        <w:t> </w:t>
      </w:r>
      <w:r>
        <w:rPr>
          <w:sz w:val="18"/>
        </w:rPr>
        <w:t>Powercor</w:t>
      </w:r>
      <w:r>
        <w:rPr>
          <w:spacing w:val="-3"/>
          <w:sz w:val="18"/>
        </w:rPr>
        <w:t> </w:t>
      </w:r>
      <w:r>
        <w:rPr>
          <w:sz w:val="18"/>
        </w:rPr>
        <w:t>Australia,</w:t>
      </w:r>
      <w:r>
        <w:rPr>
          <w:spacing w:val="-3"/>
          <w:sz w:val="18"/>
        </w:rPr>
        <w:t> </w:t>
      </w:r>
      <w:r>
        <w:rPr>
          <w:sz w:val="18"/>
        </w:rPr>
        <w:t>2017. </w:t>
      </w:r>
      <w:r>
        <w:rPr>
          <w:i/>
          <w:sz w:val="18"/>
        </w:rPr>
        <w:t>Additional</w:t>
      </w:r>
      <w:r>
        <w:rPr>
          <w:i/>
          <w:spacing w:val="-3"/>
          <w:sz w:val="18"/>
        </w:rPr>
        <w:t> </w:t>
      </w:r>
      <w:r>
        <w:rPr>
          <w:i/>
          <w:sz w:val="18"/>
        </w:rPr>
        <w:t>Information</w:t>
      </w:r>
      <w:r>
        <w:rPr>
          <w:i/>
          <w:spacing w:val="-5"/>
          <w:sz w:val="18"/>
        </w:rPr>
        <w:t> </w:t>
      </w:r>
      <w:r>
        <w:rPr>
          <w:i/>
          <w:sz w:val="18"/>
        </w:rPr>
        <w:t>to</w:t>
      </w:r>
      <w:r>
        <w:rPr>
          <w:i/>
          <w:spacing w:val="-3"/>
          <w:sz w:val="18"/>
        </w:rPr>
        <w:t> </w:t>
      </w:r>
      <w:r>
        <w:rPr>
          <w:i/>
          <w:sz w:val="18"/>
        </w:rPr>
        <w:t>Support</w:t>
      </w:r>
      <w:r>
        <w:rPr>
          <w:i/>
          <w:spacing w:val="-3"/>
          <w:sz w:val="18"/>
        </w:rPr>
        <w:t> </w:t>
      </w:r>
      <w:r>
        <w:rPr>
          <w:i/>
          <w:sz w:val="18"/>
        </w:rPr>
        <w:t>the</w:t>
      </w:r>
      <w:r>
        <w:rPr>
          <w:i/>
          <w:spacing w:val="-3"/>
          <w:sz w:val="18"/>
        </w:rPr>
        <w:t> </w:t>
      </w:r>
      <w:r>
        <w:rPr>
          <w:i/>
          <w:sz w:val="18"/>
        </w:rPr>
        <w:t>Review</w:t>
      </w:r>
      <w:r>
        <w:rPr>
          <w:i/>
          <w:spacing w:val="-6"/>
          <w:sz w:val="18"/>
        </w:rPr>
        <w:t> </w:t>
      </w:r>
      <w:r>
        <w:rPr>
          <w:i/>
          <w:sz w:val="18"/>
        </w:rPr>
        <w:t>of</w:t>
      </w:r>
      <w:r>
        <w:rPr>
          <w:i/>
          <w:spacing w:val="-3"/>
          <w:sz w:val="18"/>
        </w:rPr>
        <w:t> </w:t>
      </w:r>
      <w:r>
        <w:rPr>
          <w:i/>
          <w:sz w:val="18"/>
        </w:rPr>
        <w:t>Victoria’s</w:t>
      </w:r>
      <w:r>
        <w:rPr>
          <w:i/>
          <w:spacing w:val="-2"/>
          <w:sz w:val="18"/>
        </w:rPr>
        <w:t> </w:t>
      </w:r>
      <w:r>
        <w:rPr>
          <w:i/>
          <w:sz w:val="18"/>
        </w:rPr>
        <w:t>Electricity</w:t>
      </w:r>
      <w:r>
        <w:rPr>
          <w:i/>
          <w:spacing w:val="-2"/>
          <w:sz w:val="18"/>
        </w:rPr>
        <w:t> </w:t>
      </w:r>
      <w:r>
        <w:rPr>
          <w:i/>
          <w:sz w:val="18"/>
        </w:rPr>
        <w:t>Network Safety Framework</w:t>
      </w:r>
      <w:r>
        <w:rPr>
          <w:sz w:val="18"/>
        </w:rPr>
        <w:t>.</w:t>
      </w:r>
    </w:p>
    <w:p>
      <w:pPr>
        <w:spacing w:line="290" w:lineRule="auto" w:before="83"/>
        <w:ind w:left="232" w:right="374" w:firstLine="0"/>
        <w:jc w:val="left"/>
        <w:rPr>
          <w:sz w:val="18"/>
        </w:rPr>
      </w:pPr>
      <w:r>
        <w:rPr>
          <w:sz w:val="18"/>
        </w:rPr>
        <w:t>Clean</w:t>
      </w:r>
      <w:r>
        <w:rPr>
          <w:spacing w:val="-3"/>
          <w:sz w:val="18"/>
        </w:rPr>
        <w:t> </w:t>
      </w:r>
      <w:r>
        <w:rPr>
          <w:sz w:val="18"/>
        </w:rPr>
        <w:t>Energy</w:t>
      </w:r>
      <w:r>
        <w:rPr>
          <w:spacing w:val="-5"/>
          <w:sz w:val="18"/>
        </w:rPr>
        <w:t> </w:t>
      </w:r>
      <w:r>
        <w:rPr>
          <w:sz w:val="18"/>
        </w:rPr>
        <w:t>Council,</w:t>
      </w:r>
      <w:r>
        <w:rPr>
          <w:spacing w:val="-3"/>
          <w:sz w:val="18"/>
        </w:rPr>
        <w:t> </w:t>
      </w:r>
      <w:r>
        <w:rPr>
          <w:sz w:val="18"/>
        </w:rPr>
        <w:t>2017.</w:t>
      </w:r>
      <w:r>
        <w:rPr>
          <w:spacing w:val="-2"/>
          <w:sz w:val="18"/>
        </w:rPr>
        <w:t> </w:t>
      </w:r>
      <w:r>
        <w:rPr>
          <w:i/>
          <w:sz w:val="18"/>
        </w:rPr>
        <w:t>Charging</w:t>
      </w:r>
      <w:r>
        <w:rPr>
          <w:i/>
          <w:spacing w:val="-3"/>
          <w:sz w:val="18"/>
        </w:rPr>
        <w:t> </w:t>
      </w:r>
      <w:r>
        <w:rPr>
          <w:i/>
          <w:sz w:val="18"/>
        </w:rPr>
        <w:t>Forward:</w:t>
      </w:r>
      <w:r>
        <w:rPr>
          <w:i/>
          <w:spacing w:val="-3"/>
          <w:sz w:val="18"/>
        </w:rPr>
        <w:t> </w:t>
      </w:r>
      <w:r>
        <w:rPr>
          <w:i/>
          <w:sz w:val="18"/>
        </w:rPr>
        <w:t>Policy</w:t>
      </w:r>
      <w:r>
        <w:rPr>
          <w:i/>
          <w:spacing w:val="-2"/>
          <w:sz w:val="18"/>
        </w:rPr>
        <w:t> </w:t>
      </w:r>
      <w:r>
        <w:rPr>
          <w:i/>
          <w:sz w:val="18"/>
        </w:rPr>
        <w:t>and</w:t>
      </w:r>
      <w:r>
        <w:rPr>
          <w:i/>
          <w:spacing w:val="-5"/>
          <w:sz w:val="18"/>
        </w:rPr>
        <w:t> </w:t>
      </w:r>
      <w:r>
        <w:rPr>
          <w:i/>
          <w:sz w:val="18"/>
        </w:rPr>
        <w:t>Regulatory</w:t>
      </w:r>
      <w:r>
        <w:rPr>
          <w:i/>
          <w:spacing w:val="-2"/>
          <w:sz w:val="18"/>
        </w:rPr>
        <w:t> </w:t>
      </w:r>
      <w:r>
        <w:rPr>
          <w:i/>
          <w:sz w:val="18"/>
        </w:rPr>
        <w:t>Reforms</w:t>
      </w:r>
      <w:r>
        <w:rPr>
          <w:i/>
          <w:spacing w:val="-2"/>
          <w:sz w:val="18"/>
        </w:rPr>
        <w:t> </w:t>
      </w:r>
      <w:r>
        <w:rPr>
          <w:i/>
          <w:sz w:val="18"/>
        </w:rPr>
        <w:t>to</w:t>
      </w:r>
      <w:r>
        <w:rPr>
          <w:i/>
          <w:spacing w:val="-3"/>
          <w:sz w:val="18"/>
        </w:rPr>
        <w:t> </w:t>
      </w:r>
      <w:r>
        <w:rPr>
          <w:i/>
          <w:sz w:val="18"/>
        </w:rPr>
        <w:t>Unlock</w:t>
      </w:r>
      <w:r>
        <w:rPr>
          <w:i/>
          <w:spacing w:val="-4"/>
          <w:sz w:val="18"/>
        </w:rPr>
        <w:t> </w:t>
      </w:r>
      <w:r>
        <w:rPr>
          <w:i/>
          <w:sz w:val="18"/>
        </w:rPr>
        <w:t>the</w:t>
      </w:r>
      <w:r>
        <w:rPr>
          <w:i/>
          <w:spacing w:val="-3"/>
          <w:sz w:val="18"/>
        </w:rPr>
        <w:t> </w:t>
      </w:r>
      <w:r>
        <w:rPr>
          <w:i/>
          <w:sz w:val="18"/>
        </w:rPr>
        <w:t>Potential</w:t>
      </w:r>
      <w:r>
        <w:rPr>
          <w:i/>
          <w:spacing w:val="-3"/>
          <w:sz w:val="18"/>
        </w:rPr>
        <w:t> </w:t>
      </w:r>
      <w:r>
        <w:rPr>
          <w:i/>
          <w:sz w:val="18"/>
        </w:rPr>
        <w:t>of</w:t>
      </w:r>
      <w:r>
        <w:rPr>
          <w:i/>
          <w:spacing w:val="-3"/>
          <w:sz w:val="18"/>
        </w:rPr>
        <w:t> </w:t>
      </w:r>
      <w:r>
        <w:rPr>
          <w:i/>
          <w:sz w:val="18"/>
        </w:rPr>
        <w:t>Energy Storage in Australia</w:t>
      </w:r>
      <w:r>
        <w:rPr>
          <w:sz w:val="18"/>
        </w:rPr>
        <w:t>.</w:t>
      </w:r>
    </w:p>
    <w:p>
      <w:pPr>
        <w:spacing w:before="75"/>
        <w:ind w:left="232" w:right="0" w:firstLine="0"/>
        <w:jc w:val="left"/>
        <w:rPr>
          <w:sz w:val="18"/>
        </w:rPr>
      </w:pPr>
      <w:r>
        <w:rPr>
          <w:sz w:val="18"/>
        </w:rPr>
        <w:t>CSIRO,</w:t>
      </w:r>
      <w:r>
        <w:rPr>
          <w:spacing w:val="-7"/>
          <w:sz w:val="18"/>
        </w:rPr>
        <w:t> </w:t>
      </w:r>
      <w:r>
        <w:rPr>
          <w:sz w:val="18"/>
        </w:rPr>
        <w:t>2015.</w:t>
      </w:r>
      <w:r>
        <w:rPr>
          <w:spacing w:val="-2"/>
          <w:sz w:val="18"/>
        </w:rPr>
        <w:t> </w:t>
      </w:r>
      <w:r>
        <w:rPr>
          <w:i/>
          <w:sz w:val="18"/>
        </w:rPr>
        <w:t>Electrical</w:t>
      </w:r>
      <w:r>
        <w:rPr>
          <w:i/>
          <w:spacing w:val="-4"/>
          <w:sz w:val="18"/>
        </w:rPr>
        <w:t> </w:t>
      </w:r>
      <w:r>
        <w:rPr>
          <w:i/>
          <w:sz w:val="18"/>
        </w:rPr>
        <w:t>Energy</w:t>
      </w:r>
      <w:r>
        <w:rPr>
          <w:i/>
          <w:spacing w:val="-4"/>
          <w:sz w:val="18"/>
        </w:rPr>
        <w:t> </w:t>
      </w:r>
      <w:r>
        <w:rPr>
          <w:i/>
          <w:sz w:val="18"/>
        </w:rPr>
        <w:t>Storage:</w:t>
      </w:r>
      <w:r>
        <w:rPr>
          <w:i/>
          <w:spacing w:val="-4"/>
          <w:sz w:val="18"/>
        </w:rPr>
        <w:t> </w:t>
      </w:r>
      <w:r>
        <w:rPr>
          <w:i/>
          <w:sz w:val="18"/>
        </w:rPr>
        <w:t>Technology</w:t>
      </w:r>
      <w:r>
        <w:rPr>
          <w:i/>
          <w:spacing w:val="-3"/>
          <w:sz w:val="18"/>
        </w:rPr>
        <w:t> </w:t>
      </w:r>
      <w:r>
        <w:rPr>
          <w:i/>
          <w:sz w:val="18"/>
        </w:rPr>
        <w:t>Overview</w:t>
      </w:r>
      <w:r>
        <w:rPr>
          <w:i/>
          <w:spacing w:val="-4"/>
          <w:sz w:val="18"/>
        </w:rPr>
        <w:t> </w:t>
      </w:r>
      <w:r>
        <w:rPr>
          <w:i/>
          <w:sz w:val="18"/>
        </w:rPr>
        <w:t>and</w:t>
      </w:r>
      <w:r>
        <w:rPr>
          <w:i/>
          <w:spacing w:val="-4"/>
          <w:sz w:val="18"/>
        </w:rPr>
        <w:t> </w:t>
      </w:r>
      <w:r>
        <w:rPr>
          <w:i/>
          <w:spacing w:val="-2"/>
          <w:sz w:val="18"/>
        </w:rPr>
        <w:t>Applications</w:t>
      </w:r>
      <w:r>
        <w:rPr>
          <w:spacing w:val="-2"/>
          <w:sz w:val="18"/>
        </w:rPr>
        <w:t>.</w:t>
      </w:r>
    </w:p>
    <w:p>
      <w:pPr>
        <w:spacing w:before="122"/>
        <w:ind w:left="232" w:right="0" w:firstLine="0"/>
        <w:jc w:val="left"/>
        <w:rPr>
          <w:sz w:val="18"/>
        </w:rPr>
      </w:pPr>
      <w:r>
        <w:rPr>
          <w:sz w:val="18"/>
        </w:rPr>
        <w:t>CSIRO</w:t>
      </w:r>
      <w:r>
        <w:rPr>
          <w:spacing w:val="-7"/>
          <w:sz w:val="18"/>
        </w:rPr>
        <w:t> </w:t>
      </w:r>
      <w:r>
        <w:rPr>
          <w:sz w:val="18"/>
        </w:rPr>
        <w:t>&amp;</w:t>
      </w:r>
      <w:r>
        <w:rPr>
          <w:spacing w:val="-4"/>
          <w:sz w:val="18"/>
        </w:rPr>
        <w:t> </w:t>
      </w:r>
      <w:r>
        <w:rPr>
          <w:sz w:val="18"/>
        </w:rPr>
        <w:t>Energy</w:t>
      </w:r>
      <w:r>
        <w:rPr>
          <w:spacing w:val="-7"/>
          <w:sz w:val="18"/>
        </w:rPr>
        <w:t> </w:t>
      </w:r>
      <w:r>
        <w:rPr>
          <w:sz w:val="18"/>
        </w:rPr>
        <w:t>Networks</w:t>
      </w:r>
      <w:r>
        <w:rPr>
          <w:spacing w:val="-3"/>
          <w:sz w:val="18"/>
        </w:rPr>
        <w:t> </w:t>
      </w:r>
      <w:r>
        <w:rPr>
          <w:sz w:val="18"/>
        </w:rPr>
        <w:t>Australia,</w:t>
      </w:r>
      <w:r>
        <w:rPr>
          <w:spacing w:val="-7"/>
          <w:sz w:val="18"/>
        </w:rPr>
        <w:t> </w:t>
      </w:r>
      <w:r>
        <w:rPr>
          <w:sz w:val="18"/>
        </w:rPr>
        <w:t>2017.</w:t>
      </w:r>
      <w:r>
        <w:rPr>
          <w:spacing w:val="-1"/>
          <w:sz w:val="18"/>
        </w:rPr>
        <w:t> </w:t>
      </w:r>
      <w:r>
        <w:rPr>
          <w:i/>
          <w:sz w:val="18"/>
        </w:rPr>
        <w:t>Electricity</w:t>
      </w:r>
      <w:r>
        <w:rPr>
          <w:i/>
          <w:spacing w:val="-3"/>
          <w:sz w:val="18"/>
        </w:rPr>
        <w:t> </w:t>
      </w:r>
      <w:r>
        <w:rPr>
          <w:i/>
          <w:sz w:val="18"/>
        </w:rPr>
        <w:t>Network</w:t>
      </w:r>
      <w:r>
        <w:rPr>
          <w:i/>
          <w:spacing w:val="-4"/>
          <w:sz w:val="18"/>
        </w:rPr>
        <w:t> </w:t>
      </w:r>
      <w:r>
        <w:rPr>
          <w:i/>
          <w:sz w:val="18"/>
        </w:rPr>
        <w:t>Transformation</w:t>
      </w:r>
      <w:r>
        <w:rPr>
          <w:i/>
          <w:spacing w:val="-4"/>
          <w:sz w:val="18"/>
        </w:rPr>
        <w:t> </w:t>
      </w:r>
      <w:r>
        <w:rPr>
          <w:i/>
          <w:sz w:val="18"/>
        </w:rPr>
        <w:t>Roadmap:</w:t>
      </w:r>
      <w:r>
        <w:rPr>
          <w:i/>
          <w:spacing w:val="-7"/>
          <w:sz w:val="18"/>
        </w:rPr>
        <w:t> </w:t>
      </w:r>
      <w:r>
        <w:rPr>
          <w:i/>
          <w:sz w:val="18"/>
        </w:rPr>
        <w:t>Final</w:t>
      </w:r>
      <w:r>
        <w:rPr>
          <w:i/>
          <w:spacing w:val="-4"/>
          <w:sz w:val="18"/>
        </w:rPr>
        <w:t> </w:t>
      </w:r>
      <w:r>
        <w:rPr>
          <w:i/>
          <w:spacing w:val="-2"/>
          <w:sz w:val="18"/>
        </w:rPr>
        <w:t>Report</w:t>
      </w:r>
      <w:r>
        <w:rPr>
          <w:spacing w:val="-2"/>
          <w:sz w:val="18"/>
        </w:rPr>
        <w:t>.</w:t>
      </w:r>
    </w:p>
    <w:p>
      <w:pPr>
        <w:spacing w:line="381" w:lineRule="auto" w:before="122"/>
        <w:ind w:left="232" w:right="374" w:firstLine="0"/>
        <w:jc w:val="left"/>
        <w:rPr>
          <w:sz w:val="18"/>
        </w:rPr>
      </w:pPr>
      <w:r>
        <w:rPr>
          <w:sz w:val="18"/>
        </w:rPr>
        <w:t>Energy</w:t>
      </w:r>
      <w:r>
        <w:rPr>
          <w:spacing w:val="-4"/>
          <w:sz w:val="18"/>
        </w:rPr>
        <w:t> </w:t>
      </w:r>
      <w:r>
        <w:rPr>
          <w:sz w:val="18"/>
        </w:rPr>
        <w:t>Networks</w:t>
      </w:r>
      <w:r>
        <w:rPr>
          <w:spacing w:val="-1"/>
          <w:sz w:val="18"/>
        </w:rPr>
        <w:t> </w:t>
      </w:r>
      <w:r>
        <w:rPr>
          <w:sz w:val="18"/>
        </w:rPr>
        <w:t>Australia,</w:t>
      </w:r>
      <w:r>
        <w:rPr>
          <w:spacing w:val="-4"/>
          <w:sz w:val="18"/>
        </w:rPr>
        <w:t> </w:t>
      </w:r>
      <w:r>
        <w:rPr>
          <w:sz w:val="18"/>
        </w:rPr>
        <w:t>2017a. </w:t>
      </w:r>
      <w:r>
        <w:rPr>
          <w:i/>
          <w:sz w:val="18"/>
        </w:rPr>
        <w:t>Gas</w:t>
      </w:r>
      <w:r>
        <w:rPr>
          <w:i/>
          <w:spacing w:val="-1"/>
          <w:sz w:val="18"/>
        </w:rPr>
        <w:t> </w:t>
      </w:r>
      <w:r>
        <w:rPr>
          <w:i/>
          <w:sz w:val="18"/>
        </w:rPr>
        <w:t>Vision</w:t>
      </w:r>
      <w:r>
        <w:rPr>
          <w:i/>
          <w:spacing w:val="-4"/>
          <w:sz w:val="18"/>
        </w:rPr>
        <w:t> </w:t>
      </w:r>
      <w:r>
        <w:rPr>
          <w:i/>
          <w:sz w:val="18"/>
        </w:rPr>
        <w:t>2050:</w:t>
      </w:r>
      <w:r>
        <w:rPr>
          <w:i/>
          <w:spacing w:val="-2"/>
          <w:sz w:val="18"/>
        </w:rPr>
        <w:t> </w:t>
      </w:r>
      <w:r>
        <w:rPr>
          <w:i/>
          <w:sz w:val="18"/>
        </w:rPr>
        <w:t>Reliable,</w:t>
      </w:r>
      <w:r>
        <w:rPr>
          <w:i/>
          <w:spacing w:val="-2"/>
          <w:sz w:val="18"/>
        </w:rPr>
        <w:t> </w:t>
      </w:r>
      <w:r>
        <w:rPr>
          <w:i/>
          <w:sz w:val="18"/>
        </w:rPr>
        <w:t>Secure</w:t>
      </w:r>
      <w:r>
        <w:rPr>
          <w:i/>
          <w:spacing w:val="-2"/>
          <w:sz w:val="18"/>
        </w:rPr>
        <w:t> </w:t>
      </w:r>
      <w:r>
        <w:rPr>
          <w:i/>
          <w:sz w:val="18"/>
        </w:rPr>
        <w:t>Energy</w:t>
      </w:r>
      <w:r>
        <w:rPr>
          <w:i/>
          <w:spacing w:val="-4"/>
          <w:sz w:val="18"/>
        </w:rPr>
        <w:t> </w:t>
      </w:r>
      <w:r>
        <w:rPr>
          <w:i/>
          <w:sz w:val="18"/>
        </w:rPr>
        <w:t>and</w:t>
      </w:r>
      <w:r>
        <w:rPr>
          <w:i/>
          <w:spacing w:val="-4"/>
          <w:sz w:val="18"/>
        </w:rPr>
        <w:t> </w:t>
      </w:r>
      <w:r>
        <w:rPr>
          <w:i/>
          <w:sz w:val="18"/>
        </w:rPr>
        <w:t>Cost-Effective</w:t>
      </w:r>
      <w:r>
        <w:rPr>
          <w:i/>
          <w:spacing w:val="-2"/>
          <w:sz w:val="18"/>
        </w:rPr>
        <w:t> </w:t>
      </w:r>
      <w:r>
        <w:rPr>
          <w:i/>
          <w:sz w:val="18"/>
        </w:rPr>
        <w:t>Carbon</w:t>
      </w:r>
      <w:r>
        <w:rPr>
          <w:i/>
          <w:spacing w:val="-2"/>
          <w:sz w:val="18"/>
        </w:rPr>
        <w:t> </w:t>
      </w:r>
      <w:r>
        <w:rPr>
          <w:i/>
          <w:sz w:val="18"/>
        </w:rPr>
        <w:t>Reduction</w:t>
      </w:r>
      <w:r>
        <w:rPr>
          <w:sz w:val="18"/>
        </w:rPr>
        <w:t>. Energy Networks Australia, 2017b. </w:t>
      </w:r>
      <w:r>
        <w:rPr>
          <w:i/>
          <w:sz w:val="18"/>
        </w:rPr>
        <w:t>Media Release: Gas industry to capture carbon-free fuels</w:t>
      </w:r>
      <w:r>
        <w:rPr>
          <w:sz w:val="18"/>
        </w:rPr>
        <w:t>.</w:t>
      </w:r>
    </w:p>
    <w:p>
      <w:pPr>
        <w:spacing w:line="285" w:lineRule="auto" w:before="0"/>
        <w:ind w:left="232" w:right="0" w:firstLine="0"/>
        <w:jc w:val="left"/>
        <w:rPr>
          <w:sz w:val="18"/>
        </w:rPr>
      </w:pPr>
      <w:r>
        <w:rPr>
          <w:sz w:val="18"/>
        </w:rPr>
        <w:t>Energy</w:t>
      </w:r>
      <w:r>
        <w:rPr>
          <w:spacing w:val="-5"/>
          <w:sz w:val="18"/>
        </w:rPr>
        <w:t> </w:t>
      </w:r>
      <w:r>
        <w:rPr>
          <w:sz w:val="18"/>
        </w:rPr>
        <w:t>Safe</w:t>
      </w:r>
      <w:r>
        <w:rPr>
          <w:spacing w:val="-3"/>
          <w:sz w:val="18"/>
        </w:rPr>
        <w:t> </w:t>
      </w:r>
      <w:r>
        <w:rPr>
          <w:sz w:val="18"/>
        </w:rPr>
        <w:t>Victoria,</w:t>
      </w:r>
      <w:r>
        <w:rPr>
          <w:spacing w:val="-5"/>
          <w:sz w:val="18"/>
        </w:rPr>
        <w:t> </w:t>
      </w:r>
      <w:r>
        <w:rPr>
          <w:sz w:val="18"/>
        </w:rPr>
        <w:t>2016.</w:t>
      </w:r>
      <w:r>
        <w:rPr>
          <w:spacing w:val="-2"/>
          <w:sz w:val="18"/>
        </w:rPr>
        <w:t> </w:t>
      </w:r>
      <w:r>
        <w:rPr>
          <w:i/>
          <w:sz w:val="18"/>
        </w:rPr>
        <w:t>Working</w:t>
      </w:r>
      <w:r>
        <w:rPr>
          <w:i/>
          <w:spacing w:val="-3"/>
          <w:sz w:val="18"/>
        </w:rPr>
        <w:t> </w:t>
      </w:r>
      <w:r>
        <w:rPr>
          <w:i/>
          <w:sz w:val="18"/>
        </w:rPr>
        <w:t>safely</w:t>
      </w:r>
      <w:r>
        <w:rPr>
          <w:i/>
          <w:spacing w:val="-2"/>
          <w:sz w:val="18"/>
        </w:rPr>
        <w:t> </w:t>
      </w:r>
      <w:r>
        <w:rPr>
          <w:i/>
          <w:sz w:val="18"/>
        </w:rPr>
        <w:t>around</w:t>
      </w:r>
      <w:r>
        <w:rPr>
          <w:i/>
          <w:spacing w:val="-3"/>
          <w:sz w:val="18"/>
        </w:rPr>
        <w:t> </w:t>
      </w:r>
      <w:r>
        <w:rPr>
          <w:i/>
          <w:sz w:val="18"/>
        </w:rPr>
        <w:t>electricity</w:t>
      </w:r>
      <w:r>
        <w:rPr>
          <w:i/>
          <w:spacing w:val="-4"/>
          <w:sz w:val="18"/>
        </w:rPr>
        <w:t> </w:t>
      </w:r>
      <w:r>
        <w:rPr>
          <w:i/>
          <w:sz w:val="18"/>
        </w:rPr>
        <w:t>and</w:t>
      </w:r>
      <w:r>
        <w:rPr>
          <w:i/>
          <w:spacing w:val="-3"/>
          <w:sz w:val="18"/>
        </w:rPr>
        <w:t> </w:t>
      </w:r>
      <w:r>
        <w:rPr>
          <w:i/>
          <w:sz w:val="18"/>
        </w:rPr>
        <w:t>alternative</w:t>
      </w:r>
      <w:r>
        <w:rPr>
          <w:i/>
          <w:spacing w:val="-5"/>
          <w:sz w:val="18"/>
        </w:rPr>
        <w:t> </w:t>
      </w:r>
      <w:r>
        <w:rPr>
          <w:i/>
          <w:sz w:val="18"/>
        </w:rPr>
        <w:t>power</w:t>
      </w:r>
      <w:r>
        <w:rPr>
          <w:i/>
          <w:spacing w:val="-5"/>
          <w:sz w:val="18"/>
        </w:rPr>
        <w:t> </w:t>
      </w:r>
      <w:r>
        <w:rPr>
          <w:i/>
          <w:sz w:val="18"/>
        </w:rPr>
        <w:t>sources:</w:t>
      </w:r>
      <w:r>
        <w:rPr>
          <w:i/>
          <w:spacing w:val="-3"/>
          <w:sz w:val="18"/>
        </w:rPr>
        <w:t> </w:t>
      </w:r>
      <w:r>
        <w:rPr>
          <w:i/>
          <w:sz w:val="18"/>
        </w:rPr>
        <w:t>Information</w:t>
      </w:r>
      <w:r>
        <w:rPr>
          <w:i/>
          <w:spacing w:val="-3"/>
          <w:sz w:val="18"/>
        </w:rPr>
        <w:t> </w:t>
      </w:r>
      <w:r>
        <w:rPr>
          <w:i/>
          <w:sz w:val="18"/>
        </w:rPr>
        <w:t>for</w:t>
      </w:r>
      <w:r>
        <w:rPr>
          <w:i/>
          <w:spacing w:val="-3"/>
          <w:sz w:val="18"/>
        </w:rPr>
        <w:t> </w:t>
      </w:r>
      <w:r>
        <w:rPr>
          <w:i/>
          <w:sz w:val="18"/>
        </w:rPr>
        <w:t>emergency services, </w:t>
      </w:r>
      <w:r>
        <w:rPr>
          <w:sz w:val="18"/>
        </w:rPr>
        <w:t>Melbourne.</w:t>
      </w:r>
    </w:p>
    <w:p>
      <w:pPr>
        <w:spacing w:line="290" w:lineRule="auto" w:before="83"/>
        <w:ind w:left="232" w:right="0" w:firstLine="0"/>
        <w:jc w:val="left"/>
        <w:rPr>
          <w:sz w:val="18"/>
        </w:rPr>
      </w:pPr>
      <w:r>
        <w:rPr>
          <w:sz w:val="18"/>
        </w:rPr>
        <w:t>ERAC, 2017. </w:t>
      </w:r>
      <w:r>
        <w:rPr>
          <w:i/>
          <w:sz w:val="18"/>
        </w:rPr>
        <w:t>ERAC- What is ERAC?. </w:t>
      </w:r>
      <w:r>
        <w:rPr>
          <w:sz w:val="18"/>
        </w:rPr>
        <w:t>[Online]</w:t>
      </w:r>
      <w:r>
        <w:rPr>
          <w:spacing w:val="40"/>
          <w:sz w:val="18"/>
        </w:rPr>
        <w:t> </w:t>
      </w:r>
      <w:r>
        <w:rPr>
          <w:sz w:val="18"/>
        </w:rPr>
        <w:t>Available at: </w:t>
      </w:r>
      <w:hyperlink r:id="rId102">
        <w:r>
          <w:rPr>
            <w:sz w:val="18"/>
            <w:u w:val="single"/>
          </w:rPr>
          <w:t>http://www.erac.gov.au/index.php?option=com_content&amp;view=article&amp;id=68&amp;Itemid=472</w:t>
        </w:r>
      </w:hyperlink>
      <w:r>
        <w:rPr>
          <w:spacing w:val="-3"/>
          <w:sz w:val="18"/>
        </w:rPr>
        <w:t> </w:t>
      </w:r>
      <w:r>
        <w:rPr>
          <w:sz w:val="18"/>
        </w:rPr>
        <w:t>[Accessed</w:t>
      </w:r>
      <w:r>
        <w:rPr>
          <w:spacing w:val="-10"/>
          <w:sz w:val="18"/>
        </w:rPr>
        <w:t> </w:t>
      </w:r>
      <w:r>
        <w:rPr>
          <w:sz w:val="18"/>
        </w:rPr>
        <w:t>5</w:t>
      </w:r>
      <w:r>
        <w:rPr>
          <w:spacing w:val="-10"/>
          <w:sz w:val="18"/>
        </w:rPr>
        <w:t> </w:t>
      </w:r>
      <w:r>
        <w:rPr>
          <w:sz w:val="18"/>
        </w:rPr>
        <w:t>September</w:t>
      </w:r>
      <w:r>
        <w:rPr>
          <w:spacing w:val="-10"/>
          <w:sz w:val="18"/>
        </w:rPr>
        <w:t> </w:t>
      </w:r>
      <w:r>
        <w:rPr>
          <w:sz w:val="18"/>
        </w:rPr>
        <w:t>2017].</w:t>
      </w:r>
    </w:p>
    <w:p>
      <w:pPr>
        <w:spacing w:before="75"/>
        <w:ind w:left="232" w:right="0" w:firstLine="0"/>
        <w:jc w:val="left"/>
        <w:rPr>
          <w:sz w:val="18"/>
        </w:rPr>
      </w:pPr>
      <w:r>
        <w:rPr>
          <w:sz w:val="18"/>
        </w:rPr>
        <w:t>ESV,</w:t>
      </w:r>
      <w:r>
        <w:rPr>
          <w:spacing w:val="-5"/>
          <w:sz w:val="18"/>
        </w:rPr>
        <w:t> </w:t>
      </w:r>
      <w:r>
        <w:rPr>
          <w:sz w:val="18"/>
        </w:rPr>
        <w:t>2017.</w:t>
      </w:r>
      <w:r>
        <w:rPr>
          <w:spacing w:val="-4"/>
          <w:sz w:val="18"/>
        </w:rPr>
        <w:t> </w:t>
      </w:r>
      <w:r>
        <w:rPr>
          <w:i/>
          <w:sz w:val="18"/>
        </w:rPr>
        <w:t>Energy</w:t>
      </w:r>
      <w:r>
        <w:rPr>
          <w:i/>
          <w:spacing w:val="-4"/>
          <w:sz w:val="18"/>
        </w:rPr>
        <w:t> </w:t>
      </w:r>
      <w:r>
        <w:rPr>
          <w:i/>
          <w:sz w:val="18"/>
        </w:rPr>
        <w:t>Safe</w:t>
      </w:r>
      <w:r>
        <w:rPr>
          <w:i/>
          <w:spacing w:val="-5"/>
          <w:sz w:val="18"/>
        </w:rPr>
        <w:t> </w:t>
      </w:r>
      <w:r>
        <w:rPr>
          <w:i/>
          <w:sz w:val="18"/>
        </w:rPr>
        <w:t>Victoria</w:t>
      </w:r>
      <w:r>
        <w:rPr>
          <w:i/>
          <w:spacing w:val="-5"/>
          <w:sz w:val="18"/>
        </w:rPr>
        <w:t> </w:t>
      </w:r>
      <w:r>
        <w:rPr>
          <w:i/>
          <w:sz w:val="18"/>
        </w:rPr>
        <w:t>Corporate</w:t>
      </w:r>
      <w:r>
        <w:rPr>
          <w:i/>
          <w:spacing w:val="-5"/>
          <w:sz w:val="18"/>
        </w:rPr>
        <w:t> </w:t>
      </w:r>
      <w:r>
        <w:rPr>
          <w:i/>
          <w:sz w:val="18"/>
        </w:rPr>
        <w:t>Plan</w:t>
      </w:r>
      <w:r>
        <w:rPr>
          <w:i/>
          <w:spacing w:val="-6"/>
          <w:sz w:val="18"/>
        </w:rPr>
        <w:t> </w:t>
      </w:r>
      <w:r>
        <w:rPr>
          <w:i/>
          <w:sz w:val="18"/>
        </w:rPr>
        <w:t>2017-</w:t>
      </w:r>
      <w:r>
        <w:rPr>
          <w:i/>
          <w:spacing w:val="-4"/>
          <w:sz w:val="18"/>
        </w:rPr>
        <w:t>2020</w:t>
      </w:r>
      <w:r>
        <w:rPr>
          <w:spacing w:val="-4"/>
          <w:sz w:val="18"/>
        </w:rPr>
        <w:t>.</w:t>
      </w:r>
    </w:p>
    <w:p>
      <w:pPr>
        <w:spacing w:before="122"/>
        <w:ind w:left="232" w:right="0" w:firstLine="0"/>
        <w:jc w:val="left"/>
        <w:rPr>
          <w:sz w:val="18"/>
        </w:rPr>
      </w:pPr>
      <w:r>
        <w:rPr>
          <w:sz w:val="18"/>
        </w:rPr>
        <w:t>Finkel,</w:t>
      </w:r>
      <w:r>
        <w:rPr>
          <w:spacing w:val="-4"/>
          <w:sz w:val="18"/>
        </w:rPr>
        <w:t> </w:t>
      </w:r>
      <w:r>
        <w:rPr>
          <w:sz w:val="18"/>
        </w:rPr>
        <w:t>A.,</w:t>
      </w:r>
      <w:r>
        <w:rPr>
          <w:spacing w:val="-3"/>
          <w:sz w:val="18"/>
        </w:rPr>
        <w:t> </w:t>
      </w:r>
      <w:r>
        <w:rPr>
          <w:sz w:val="18"/>
        </w:rPr>
        <w:t>2017.</w:t>
      </w:r>
      <w:r>
        <w:rPr>
          <w:spacing w:val="-2"/>
          <w:sz w:val="18"/>
        </w:rPr>
        <w:t> </w:t>
      </w:r>
      <w:r>
        <w:rPr>
          <w:i/>
          <w:sz w:val="18"/>
        </w:rPr>
        <w:t>Independent</w:t>
      </w:r>
      <w:r>
        <w:rPr>
          <w:i/>
          <w:spacing w:val="-5"/>
          <w:sz w:val="18"/>
        </w:rPr>
        <w:t> </w:t>
      </w:r>
      <w:r>
        <w:rPr>
          <w:i/>
          <w:sz w:val="18"/>
        </w:rPr>
        <w:t>Review</w:t>
      </w:r>
      <w:r>
        <w:rPr>
          <w:i/>
          <w:spacing w:val="-6"/>
          <w:sz w:val="18"/>
        </w:rPr>
        <w:t> </w:t>
      </w:r>
      <w:r>
        <w:rPr>
          <w:i/>
          <w:sz w:val="18"/>
        </w:rPr>
        <w:t>into</w:t>
      </w:r>
      <w:r>
        <w:rPr>
          <w:i/>
          <w:spacing w:val="-6"/>
          <w:sz w:val="18"/>
        </w:rPr>
        <w:t> </w:t>
      </w:r>
      <w:r>
        <w:rPr>
          <w:i/>
          <w:sz w:val="18"/>
        </w:rPr>
        <w:t>the</w:t>
      </w:r>
      <w:r>
        <w:rPr>
          <w:i/>
          <w:spacing w:val="-5"/>
          <w:sz w:val="18"/>
        </w:rPr>
        <w:t> </w:t>
      </w:r>
      <w:r>
        <w:rPr>
          <w:i/>
          <w:sz w:val="18"/>
        </w:rPr>
        <w:t>Future</w:t>
      </w:r>
      <w:r>
        <w:rPr>
          <w:i/>
          <w:spacing w:val="-3"/>
          <w:sz w:val="18"/>
        </w:rPr>
        <w:t> </w:t>
      </w:r>
      <w:r>
        <w:rPr>
          <w:i/>
          <w:sz w:val="18"/>
        </w:rPr>
        <w:t>Security</w:t>
      </w:r>
      <w:r>
        <w:rPr>
          <w:i/>
          <w:spacing w:val="-3"/>
          <w:sz w:val="18"/>
        </w:rPr>
        <w:t> </w:t>
      </w:r>
      <w:r>
        <w:rPr>
          <w:i/>
          <w:sz w:val="18"/>
        </w:rPr>
        <w:t>of</w:t>
      </w:r>
      <w:r>
        <w:rPr>
          <w:i/>
          <w:spacing w:val="-3"/>
          <w:sz w:val="18"/>
        </w:rPr>
        <w:t> </w:t>
      </w:r>
      <w:r>
        <w:rPr>
          <w:i/>
          <w:sz w:val="18"/>
        </w:rPr>
        <w:t>the</w:t>
      </w:r>
      <w:r>
        <w:rPr>
          <w:i/>
          <w:spacing w:val="-4"/>
          <w:sz w:val="18"/>
        </w:rPr>
        <w:t> </w:t>
      </w:r>
      <w:r>
        <w:rPr>
          <w:i/>
          <w:sz w:val="18"/>
        </w:rPr>
        <w:t>National</w:t>
      </w:r>
      <w:r>
        <w:rPr>
          <w:i/>
          <w:spacing w:val="-3"/>
          <w:sz w:val="18"/>
        </w:rPr>
        <w:t> </w:t>
      </w:r>
      <w:r>
        <w:rPr>
          <w:i/>
          <w:sz w:val="18"/>
        </w:rPr>
        <w:t>Electricity</w:t>
      </w:r>
      <w:r>
        <w:rPr>
          <w:i/>
          <w:spacing w:val="-3"/>
          <w:sz w:val="18"/>
        </w:rPr>
        <w:t> </w:t>
      </w:r>
      <w:r>
        <w:rPr>
          <w:i/>
          <w:spacing w:val="-2"/>
          <w:sz w:val="18"/>
        </w:rPr>
        <w:t>Market</w:t>
      </w:r>
      <w:r>
        <w:rPr>
          <w:spacing w:val="-2"/>
          <w:sz w:val="18"/>
        </w:rPr>
        <w:t>.</w:t>
      </w:r>
    </w:p>
    <w:p>
      <w:pPr>
        <w:spacing w:line="290" w:lineRule="auto" w:before="122"/>
        <w:ind w:left="232" w:right="374" w:firstLine="0"/>
        <w:jc w:val="left"/>
        <w:rPr>
          <w:sz w:val="18"/>
        </w:rPr>
      </w:pPr>
      <w:r>
        <w:rPr>
          <w:sz w:val="18"/>
        </w:rPr>
        <w:t>GTRC,</w:t>
      </w:r>
      <w:r>
        <w:rPr>
          <w:spacing w:val="-3"/>
          <w:sz w:val="18"/>
        </w:rPr>
        <w:t> </w:t>
      </w:r>
      <w:r>
        <w:rPr>
          <w:sz w:val="18"/>
        </w:rPr>
        <w:t>2017.</w:t>
      </w:r>
      <w:r>
        <w:rPr>
          <w:spacing w:val="-1"/>
          <w:sz w:val="18"/>
        </w:rPr>
        <w:t> </w:t>
      </w:r>
      <w:r>
        <w:rPr>
          <w:i/>
          <w:sz w:val="18"/>
        </w:rPr>
        <w:t>National</w:t>
      </w:r>
      <w:r>
        <w:rPr>
          <w:i/>
          <w:spacing w:val="-3"/>
          <w:sz w:val="18"/>
        </w:rPr>
        <w:t> </w:t>
      </w:r>
      <w:r>
        <w:rPr>
          <w:i/>
          <w:sz w:val="18"/>
        </w:rPr>
        <w:t>Database</w:t>
      </w:r>
      <w:r>
        <w:rPr>
          <w:i/>
          <w:spacing w:val="-3"/>
          <w:sz w:val="18"/>
        </w:rPr>
        <w:t> </w:t>
      </w:r>
      <w:r>
        <w:rPr>
          <w:i/>
          <w:sz w:val="18"/>
        </w:rPr>
        <w:t>of</w:t>
      </w:r>
      <w:r>
        <w:rPr>
          <w:i/>
          <w:spacing w:val="-5"/>
          <w:sz w:val="18"/>
        </w:rPr>
        <w:t> </w:t>
      </w:r>
      <w:r>
        <w:rPr>
          <w:i/>
          <w:sz w:val="18"/>
        </w:rPr>
        <w:t>Certified</w:t>
      </w:r>
      <w:r>
        <w:rPr>
          <w:i/>
          <w:spacing w:val="-3"/>
          <w:sz w:val="18"/>
        </w:rPr>
        <w:t> </w:t>
      </w:r>
      <w:r>
        <w:rPr>
          <w:i/>
          <w:sz w:val="18"/>
        </w:rPr>
        <w:t>Gas</w:t>
      </w:r>
      <w:r>
        <w:rPr>
          <w:i/>
          <w:spacing w:val="-2"/>
          <w:sz w:val="18"/>
        </w:rPr>
        <w:t> </w:t>
      </w:r>
      <w:r>
        <w:rPr>
          <w:i/>
          <w:sz w:val="18"/>
        </w:rPr>
        <w:t>Appliances</w:t>
      </w:r>
      <w:r>
        <w:rPr>
          <w:i/>
          <w:spacing w:val="-5"/>
          <w:sz w:val="18"/>
        </w:rPr>
        <w:t> </w:t>
      </w:r>
      <w:r>
        <w:rPr>
          <w:i/>
          <w:sz w:val="18"/>
        </w:rPr>
        <w:t>and</w:t>
      </w:r>
      <w:r>
        <w:rPr>
          <w:i/>
          <w:spacing w:val="-3"/>
          <w:sz w:val="18"/>
        </w:rPr>
        <w:t> </w:t>
      </w:r>
      <w:r>
        <w:rPr>
          <w:i/>
          <w:sz w:val="18"/>
        </w:rPr>
        <w:t>Components. </w:t>
      </w:r>
      <w:r>
        <w:rPr>
          <w:sz w:val="18"/>
        </w:rPr>
        <w:t>[Online]</w:t>
      </w:r>
      <w:r>
        <w:rPr>
          <w:spacing w:val="40"/>
          <w:sz w:val="18"/>
        </w:rPr>
        <w:t> </w:t>
      </w:r>
      <w:r>
        <w:rPr>
          <w:sz w:val="18"/>
        </w:rPr>
        <w:t>Available</w:t>
      </w:r>
      <w:r>
        <w:rPr>
          <w:spacing w:val="-5"/>
          <w:sz w:val="18"/>
        </w:rPr>
        <w:t> </w:t>
      </w:r>
      <w:r>
        <w:rPr>
          <w:sz w:val="18"/>
        </w:rPr>
        <w:t>at: </w:t>
      </w:r>
      <w:hyperlink r:id="rId103">
        <w:r>
          <w:rPr>
            <w:sz w:val="18"/>
            <w:u w:val="single"/>
          </w:rPr>
          <w:t>http://www.gtrc.gov.au/</w:t>
        </w:r>
      </w:hyperlink>
      <w:r>
        <w:rPr>
          <w:sz w:val="18"/>
        </w:rPr>
        <w:t> [Accessed 05 September 2017].</w:t>
      </w:r>
    </w:p>
    <w:p>
      <w:pPr>
        <w:spacing w:line="290" w:lineRule="auto" w:before="75"/>
        <w:ind w:left="232" w:right="0" w:firstLine="0"/>
        <w:jc w:val="left"/>
        <w:rPr>
          <w:sz w:val="18"/>
        </w:rPr>
      </w:pPr>
      <w:r>
        <w:rPr>
          <w:sz w:val="18"/>
        </w:rPr>
        <w:t>Minister</w:t>
      </w:r>
      <w:r>
        <w:rPr>
          <w:spacing w:val="-3"/>
          <w:sz w:val="18"/>
        </w:rPr>
        <w:t> </w:t>
      </w:r>
      <w:r>
        <w:rPr>
          <w:sz w:val="18"/>
        </w:rPr>
        <w:t>for</w:t>
      </w:r>
      <w:r>
        <w:rPr>
          <w:spacing w:val="-3"/>
          <w:sz w:val="18"/>
        </w:rPr>
        <w:t> </w:t>
      </w:r>
      <w:r>
        <w:rPr>
          <w:sz w:val="18"/>
        </w:rPr>
        <w:t>Energy,</w:t>
      </w:r>
      <w:r>
        <w:rPr>
          <w:spacing w:val="-3"/>
          <w:sz w:val="18"/>
        </w:rPr>
        <w:t> </w:t>
      </w:r>
      <w:r>
        <w:rPr>
          <w:sz w:val="18"/>
        </w:rPr>
        <w:t>Environment</w:t>
      </w:r>
      <w:r>
        <w:rPr>
          <w:spacing w:val="-3"/>
          <w:sz w:val="18"/>
        </w:rPr>
        <w:t> </w:t>
      </w:r>
      <w:r>
        <w:rPr>
          <w:sz w:val="18"/>
        </w:rPr>
        <w:t>&amp;</w:t>
      </w:r>
      <w:r>
        <w:rPr>
          <w:spacing w:val="-3"/>
          <w:sz w:val="18"/>
        </w:rPr>
        <w:t> </w:t>
      </w:r>
      <w:r>
        <w:rPr>
          <w:sz w:val="18"/>
        </w:rPr>
        <w:t>Climate</w:t>
      </w:r>
      <w:r>
        <w:rPr>
          <w:spacing w:val="-3"/>
          <w:sz w:val="18"/>
        </w:rPr>
        <w:t> </w:t>
      </w:r>
      <w:r>
        <w:rPr>
          <w:sz w:val="18"/>
        </w:rPr>
        <w:t>Change,</w:t>
      </w:r>
      <w:r>
        <w:rPr>
          <w:spacing w:val="-4"/>
          <w:sz w:val="18"/>
        </w:rPr>
        <w:t> </w:t>
      </w:r>
      <w:r>
        <w:rPr>
          <w:sz w:val="18"/>
        </w:rPr>
        <w:t>2017. </w:t>
      </w:r>
      <w:r>
        <w:rPr>
          <w:i/>
          <w:sz w:val="18"/>
        </w:rPr>
        <w:t>Australia’s</w:t>
      </w:r>
      <w:r>
        <w:rPr>
          <w:i/>
          <w:spacing w:val="-2"/>
          <w:sz w:val="18"/>
        </w:rPr>
        <w:t> </w:t>
      </w:r>
      <w:r>
        <w:rPr>
          <w:i/>
          <w:sz w:val="18"/>
        </w:rPr>
        <w:t>Largest</w:t>
      </w:r>
      <w:r>
        <w:rPr>
          <w:i/>
          <w:spacing w:val="-3"/>
          <w:sz w:val="18"/>
        </w:rPr>
        <w:t> </w:t>
      </w:r>
      <w:r>
        <w:rPr>
          <w:i/>
          <w:sz w:val="18"/>
        </w:rPr>
        <w:t>Battery</w:t>
      </w:r>
      <w:r>
        <w:rPr>
          <w:i/>
          <w:spacing w:val="-2"/>
          <w:sz w:val="18"/>
        </w:rPr>
        <w:t> </w:t>
      </w:r>
      <w:r>
        <w:rPr>
          <w:i/>
          <w:sz w:val="18"/>
        </w:rPr>
        <w:t>To</w:t>
      </w:r>
      <w:r>
        <w:rPr>
          <w:i/>
          <w:spacing w:val="-4"/>
          <w:sz w:val="18"/>
        </w:rPr>
        <w:t> </w:t>
      </w:r>
      <w:r>
        <w:rPr>
          <w:i/>
          <w:sz w:val="18"/>
        </w:rPr>
        <w:t>Be</w:t>
      </w:r>
      <w:r>
        <w:rPr>
          <w:i/>
          <w:spacing w:val="-3"/>
          <w:sz w:val="18"/>
        </w:rPr>
        <w:t> </w:t>
      </w:r>
      <w:r>
        <w:rPr>
          <w:i/>
          <w:sz w:val="18"/>
        </w:rPr>
        <w:t>Built</w:t>
      </w:r>
      <w:r>
        <w:rPr>
          <w:i/>
          <w:spacing w:val="-3"/>
          <w:sz w:val="18"/>
        </w:rPr>
        <w:t> </w:t>
      </w:r>
      <w:r>
        <w:rPr>
          <w:i/>
          <w:sz w:val="18"/>
        </w:rPr>
        <w:t>In</w:t>
      </w:r>
      <w:r>
        <w:rPr>
          <w:i/>
          <w:spacing w:val="-3"/>
          <w:sz w:val="18"/>
        </w:rPr>
        <w:t> </w:t>
      </w:r>
      <w:r>
        <w:rPr>
          <w:i/>
          <w:sz w:val="18"/>
        </w:rPr>
        <w:t>Victoria. </w:t>
      </w:r>
      <w:r>
        <w:rPr>
          <w:sz w:val="18"/>
        </w:rPr>
        <w:t>[Online] Available at: </w:t>
      </w:r>
      <w:hyperlink r:id="rId104">
        <w:r>
          <w:rPr>
            <w:sz w:val="18"/>
            <w:u w:val="single"/>
          </w:rPr>
          <w:t>http://www.premier.vic.gov.au/australias-largest-battery-to-be-built-in-victoria/</w:t>
        </w:r>
      </w:hyperlink>
    </w:p>
    <w:p>
      <w:pPr>
        <w:spacing w:line="288" w:lineRule="auto" w:before="78"/>
        <w:ind w:left="232" w:right="363" w:firstLine="0"/>
        <w:jc w:val="left"/>
        <w:rPr>
          <w:sz w:val="18"/>
        </w:rPr>
      </w:pPr>
      <w:r>
        <w:rPr>
          <w:sz w:val="18"/>
        </w:rPr>
        <w:t>Minister for Energy, Environment and Climate Change, 2016. </w:t>
      </w:r>
      <w:r>
        <w:rPr>
          <w:i/>
          <w:sz w:val="18"/>
        </w:rPr>
        <w:t>Energy Safe Victoria- Reissue of Statement of Expectations</w:t>
      </w:r>
      <w:r>
        <w:rPr>
          <w:i/>
          <w:spacing w:val="-5"/>
          <w:sz w:val="18"/>
        </w:rPr>
        <w:t> </w:t>
      </w:r>
      <w:r>
        <w:rPr>
          <w:i/>
          <w:sz w:val="18"/>
        </w:rPr>
        <w:t>2016.</w:t>
      </w:r>
      <w:r>
        <w:rPr>
          <w:i/>
          <w:spacing w:val="-4"/>
          <w:sz w:val="18"/>
        </w:rPr>
        <w:t> </w:t>
      </w:r>
      <w:r>
        <w:rPr>
          <w:sz w:val="18"/>
        </w:rPr>
        <w:t>[Online]</w:t>
      </w:r>
      <w:r>
        <w:rPr>
          <w:spacing w:val="38"/>
          <w:sz w:val="18"/>
        </w:rPr>
        <w:t> </w:t>
      </w:r>
      <w:r>
        <w:rPr>
          <w:sz w:val="18"/>
        </w:rPr>
        <w:t>Available</w:t>
      </w:r>
      <w:r>
        <w:rPr>
          <w:spacing w:val="-6"/>
          <w:sz w:val="18"/>
        </w:rPr>
        <w:t> </w:t>
      </w:r>
      <w:r>
        <w:rPr>
          <w:sz w:val="18"/>
        </w:rPr>
        <w:t>at:</w:t>
      </w:r>
      <w:r>
        <w:rPr>
          <w:spacing w:val="-5"/>
          <w:sz w:val="18"/>
        </w:rPr>
        <w:t> </w:t>
      </w:r>
      <w:hyperlink r:id="rId105">
        <w:r>
          <w:rPr>
            <w:sz w:val="18"/>
            <w:u w:val="single"/>
          </w:rPr>
          <w:t>http://www.esv.vic.gov.au/wp-content/uploads/2017/03/Ministers-statement-of-</w:t>
        </w:r>
      </w:hyperlink>
      <w:r>
        <w:rPr>
          <w:sz w:val="18"/>
        </w:rPr>
        <w:t> </w:t>
      </w:r>
      <w:hyperlink r:id="rId105">
        <w:r>
          <w:rPr>
            <w:sz w:val="18"/>
            <w:u w:val="single"/>
          </w:rPr>
          <w:t>expectations-1-July-2016.pdf</w:t>
        </w:r>
      </w:hyperlink>
      <w:r>
        <w:rPr>
          <w:sz w:val="18"/>
        </w:rPr>
        <w:t> [Accessed 05 October 2017].</w:t>
      </w:r>
    </w:p>
    <w:p>
      <w:pPr>
        <w:spacing w:line="381" w:lineRule="auto" w:before="78"/>
        <w:ind w:left="232" w:right="1720" w:firstLine="0"/>
        <w:jc w:val="left"/>
        <w:rPr>
          <w:sz w:val="18"/>
        </w:rPr>
      </w:pPr>
      <w:r>
        <w:rPr>
          <w:sz w:val="18"/>
        </w:rPr>
        <w:t>Multinet</w:t>
      </w:r>
      <w:r>
        <w:rPr>
          <w:spacing w:val="-3"/>
          <w:sz w:val="18"/>
        </w:rPr>
        <w:t> </w:t>
      </w:r>
      <w:r>
        <w:rPr>
          <w:sz w:val="18"/>
        </w:rPr>
        <w:t>Gas,</w:t>
      </w:r>
      <w:r>
        <w:rPr>
          <w:spacing w:val="-4"/>
          <w:sz w:val="18"/>
        </w:rPr>
        <w:t> </w:t>
      </w:r>
      <w:r>
        <w:rPr>
          <w:sz w:val="18"/>
        </w:rPr>
        <w:t>2017. </w:t>
      </w:r>
      <w:r>
        <w:rPr>
          <w:i/>
          <w:sz w:val="18"/>
        </w:rPr>
        <w:t>Review</w:t>
      </w:r>
      <w:r>
        <w:rPr>
          <w:i/>
          <w:spacing w:val="-3"/>
          <w:sz w:val="18"/>
        </w:rPr>
        <w:t> </w:t>
      </w:r>
      <w:r>
        <w:rPr>
          <w:i/>
          <w:sz w:val="18"/>
        </w:rPr>
        <w:t>of</w:t>
      </w:r>
      <w:r>
        <w:rPr>
          <w:i/>
          <w:spacing w:val="-6"/>
          <w:sz w:val="18"/>
        </w:rPr>
        <w:t> </w:t>
      </w:r>
      <w:r>
        <w:rPr>
          <w:i/>
          <w:sz w:val="18"/>
        </w:rPr>
        <w:t>Victoria’s</w:t>
      </w:r>
      <w:r>
        <w:rPr>
          <w:i/>
          <w:spacing w:val="-2"/>
          <w:sz w:val="18"/>
        </w:rPr>
        <w:t> </w:t>
      </w:r>
      <w:r>
        <w:rPr>
          <w:i/>
          <w:sz w:val="18"/>
        </w:rPr>
        <w:t>Gas</w:t>
      </w:r>
      <w:r>
        <w:rPr>
          <w:i/>
          <w:spacing w:val="-2"/>
          <w:sz w:val="18"/>
        </w:rPr>
        <w:t> </w:t>
      </w:r>
      <w:r>
        <w:rPr>
          <w:i/>
          <w:sz w:val="18"/>
        </w:rPr>
        <w:t>Network</w:t>
      </w:r>
      <w:r>
        <w:rPr>
          <w:i/>
          <w:spacing w:val="-4"/>
          <w:sz w:val="18"/>
        </w:rPr>
        <w:t> </w:t>
      </w:r>
      <w:r>
        <w:rPr>
          <w:i/>
          <w:sz w:val="18"/>
        </w:rPr>
        <w:t>Safety</w:t>
      </w:r>
      <w:r>
        <w:rPr>
          <w:i/>
          <w:spacing w:val="-4"/>
          <w:sz w:val="18"/>
        </w:rPr>
        <w:t> </w:t>
      </w:r>
      <w:r>
        <w:rPr>
          <w:i/>
          <w:sz w:val="18"/>
        </w:rPr>
        <w:t>Framework:</w:t>
      </w:r>
      <w:r>
        <w:rPr>
          <w:i/>
          <w:spacing w:val="-3"/>
          <w:sz w:val="18"/>
        </w:rPr>
        <w:t> </w:t>
      </w:r>
      <w:r>
        <w:rPr>
          <w:i/>
          <w:sz w:val="18"/>
        </w:rPr>
        <w:t>Issues</w:t>
      </w:r>
      <w:r>
        <w:rPr>
          <w:i/>
          <w:spacing w:val="-4"/>
          <w:sz w:val="18"/>
        </w:rPr>
        <w:t> </w:t>
      </w:r>
      <w:r>
        <w:rPr>
          <w:i/>
          <w:sz w:val="18"/>
        </w:rPr>
        <w:t>for</w:t>
      </w:r>
      <w:r>
        <w:rPr>
          <w:i/>
          <w:spacing w:val="-3"/>
          <w:sz w:val="18"/>
        </w:rPr>
        <w:t> </w:t>
      </w:r>
      <w:r>
        <w:rPr>
          <w:i/>
          <w:sz w:val="18"/>
        </w:rPr>
        <w:t>Consideration</w:t>
      </w:r>
      <w:r>
        <w:rPr>
          <w:sz w:val="18"/>
        </w:rPr>
        <w:t>. NECA, 2017. </w:t>
      </w:r>
      <w:r>
        <w:rPr>
          <w:i/>
          <w:sz w:val="18"/>
        </w:rPr>
        <w:t>NECA submission to the Safety Review</w:t>
      </w:r>
      <w:r>
        <w:rPr>
          <w:sz w:val="18"/>
        </w:rPr>
        <w:t>.</w:t>
      </w:r>
    </w:p>
    <w:p>
      <w:pPr>
        <w:spacing w:line="290" w:lineRule="auto" w:before="0"/>
        <w:ind w:left="232" w:right="1607" w:firstLine="0"/>
        <w:jc w:val="left"/>
        <w:rPr>
          <w:sz w:val="18"/>
        </w:rPr>
      </w:pPr>
      <w:r>
        <w:rPr>
          <w:sz w:val="18"/>
        </w:rPr>
        <w:t>Regional Development Victoria, 2017. </w:t>
      </w:r>
      <w:r>
        <w:rPr>
          <w:i/>
          <w:sz w:val="18"/>
        </w:rPr>
        <w:t>Regional Gas Infrastructure program. </w:t>
      </w:r>
      <w:r>
        <w:rPr>
          <w:sz w:val="18"/>
        </w:rPr>
        <w:t>[Online]</w:t>
      </w:r>
      <w:r>
        <w:rPr>
          <w:spacing w:val="40"/>
          <w:sz w:val="18"/>
        </w:rPr>
        <w:t> </w:t>
      </w:r>
      <w:r>
        <w:rPr>
          <w:sz w:val="18"/>
        </w:rPr>
        <w:t>Available at: </w:t>
      </w:r>
      <w:hyperlink r:id="rId106">
        <w:r>
          <w:rPr>
            <w:sz w:val="18"/>
            <w:u w:val="single"/>
          </w:rPr>
          <w:t>http://www.rdv.vic.gov.au/regional-projects/regional-gas-infrastructure#CNG</w:t>
        </w:r>
      </w:hyperlink>
      <w:r>
        <w:rPr>
          <w:spacing w:val="-7"/>
          <w:sz w:val="18"/>
        </w:rPr>
        <w:t> </w:t>
      </w:r>
      <w:r>
        <w:rPr>
          <w:sz w:val="18"/>
        </w:rPr>
        <w:t>[Accessed</w:t>
      </w:r>
      <w:r>
        <w:rPr>
          <w:spacing w:val="-8"/>
          <w:sz w:val="18"/>
        </w:rPr>
        <w:t> </w:t>
      </w:r>
      <w:r>
        <w:rPr>
          <w:sz w:val="18"/>
        </w:rPr>
        <w:t>28</w:t>
      </w:r>
      <w:r>
        <w:rPr>
          <w:spacing w:val="-10"/>
          <w:sz w:val="18"/>
        </w:rPr>
        <w:t> </w:t>
      </w:r>
      <w:r>
        <w:rPr>
          <w:sz w:val="18"/>
        </w:rPr>
        <w:t>August</w:t>
      </w:r>
      <w:r>
        <w:rPr>
          <w:spacing w:val="-10"/>
          <w:sz w:val="18"/>
        </w:rPr>
        <w:t> </w:t>
      </w:r>
      <w:r>
        <w:rPr>
          <w:sz w:val="18"/>
        </w:rPr>
        <w:t>2017].</w:t>
      </w:r>
    </w:p>
    <w:p>
      <w:pPr>
        <w:spacing w:line="288" w:lineRule="auto" w:before="74"/>
        <w:ind w:left="232" w:right="0" w:firstLine="0"/>
        <w:jc w:val="left"/>
        <w:rPr>
          <w:sz w:val="18"/>
        </w:rPr>
      </w:pPr>
      <w:r>
        <w:rPr>
          <w:sz w:val="18"/>
        </w:rPr>
        <w:t>Standards</w:t>
      </w:r>
      <w:r>
        <w:rPr>
          <w:spacing w:val="-2"/>
          <w:sz w:val="18"/>
        </w:rPr>
        <w:t> </w:t>
      </w:r>
      <w:r>
        <w:rPr>
          <w:sz w:val="18"/>
        </w:rPr>
        <w:t>Australia,</w:t>
      </w:r>
      <w:r>
        <w:rPr>
          <w:spacing w:val="-3"/>
          <w:sz w:val="18"/>
        </w:rPr>
        <w:t> </w:t>
      </w:r>
      <w:r>
        <w:rPr>
          <w:sz w:val="18"/>
        </w:rPr>
        <w:t>2017. </w:t>
      </w:r>
      <w:r>
        <w:rPr>
          <w:i/>
          <w:sz w:val="18"/>
        </w:rPr>
        <w:t>Media</w:t>
      </w:r>
      <w:r>
        <w:rPr>
          <w:i/>
          <w:spacing w:val="-3"/>
          <w:sz w:val="18"/>
        </w:rPr>
        <w:t> </w:t>
      </w:r>
      <w:r>
        <w:rPr>
          <w:i/>
          <w:sz w:val="18"/>
        </w:rPr>
        <w:t>Release:</w:t>
      </w:r>
      <w:r>
        <w:rPr>
          <w:i/>
          <w:spacing w:val="-3"/>
          <w:sz w:val="18"/>
        </w:rPr>
        <w:t> </w:t>
      </w:r>
      <w:r>
        <w:rPr>
          <w:i/>
          <w:sz w:val="18"/>
        </w:rPr>
        <w:t>Consultation</w:t>
      </w:r>
      <w:r>
        <w:rPr>
          <w:i/>
          <w:spacing w:val="-4"/>
          <w:sz w:val="18"/>
        </w:rPr>
        <w:t> </w:t>
      </w:r>
      <w:r>
        <w:rPr>
          <w:i/>
          <w:sz w:val="18"/>
        </w:rPr>
        <w:t>commences</w:t>
      </w:r>
      <w:r>
        <w:rPr>
          <w:i/>
          <w:spacing w:val="-4"/>
          <w:sz w:val="18"/>
        </w:rPr>
        <w:t> </w:t>
      </w:r>
      <w:r>
        <w:rPr>
          <w:i/>
          <w:sz w:val="18"/>
        </w:rPr>
        <w:t>on</w:t>
      </w:r>
      <w:r>
        <w:rPr>
          <w:i/>
          <w:spacing w:val="-4"/>
          <w:sz w:val="18"/>
        </w:rPr>
        <w:t> </w:t>
      </w:r>
      <w:r>
        <w:rPr>
          <w:i/>
          <w:sz w:val="18"/>
        </w:rPr>
        <w:t>new</w:t>
      </w:r>
      <w:r>
        <w:rPr>
          <w:i/>
          <w:spacing w:val="-3"/>
          <w:sz w:val="18"/>
        </w:rPr>
        <w:t> </w:t>
      </w:r>
      <w:r>
        <w:rPr>
          <w:i/>
          <w:sz w:val="18"/>
        </w:rPr>
        <w:t>draft</w:t>
      </w:r>
      <w:r>
        <w:rPr>
          <w:i/>
          <w:spacing w:val="-3"/>
          <w:sz w:val="18"/>
        </w:rPr>
        <w:t> </w:t>
      </w:r>
      <w:r>
        <w:rPr>
          <w:i/>
          <w:sz w:val="18"/>
        </w:rPr>
        <w:t>standard</w:t>
      </w:r>
      <w:r>
        <w:rPr>
          <w:i/>
          <w:spacing w:val="-4"/>
          <w:sz w:val="18"/>
        </w:rPr>
        <w:t> </w:t>
      </w:r>
      <w:r>
        <w:rPr>
          <w:i/>
          <w:sz w:val="18"/>
        </w:rPr>
        <w:t>for</w:t>
      </w:r>
      <w:r>
        <w:rPr>
          <w:i/>
          <w:spacing w:val="-3"/>
          <w:sz w:val="18"/>
        </w:rPr>
        <w:t> </w:t>
      </w:r>
      <w:r>
        <w:rPr>
          <w:i/>
          <w:sz w:val="18"/>
        </w:rPr>
        <w:t>On-Site</w:t>
      </w:r>
      <w:r>
        <w:rPr>
          <w:i/>
          <w:spacing w:val="-3"/>
          <w:sz w:val="18"/>
        </w:rPr>
        <w:t> </w:t>
      </w:r>
      <w:r>
        <w:rPr>
          <w:i/>
          <w:sz w:val="18"/>
        </w:rPr>
        <w:t>Battery Systems</w:t>
      </w:r>
      <w:r>
        <w:rPr>
          <w:sz w:val="18"/>
        </w:rPr>
        <w:t>.United Energy, 2017. </w:t>
      </w:r>
      <w:r>
        <w:rPr>
          <w:i/>
          <w:sz w:val="18"/>
        </w:rPr>
        <w:t>United Energy Submission on Review of Victoria’s Electricity Network Safety Framework.</w:t>
      </w:r>
      <w:r>
        <w:rPr>
          <w:sz w:val="18"/>
        </w:rPr>
        <w:t>Victorian Bushfires Royal Commission, 2010. </w:t>
      </w:r>
      <w:r>
        <w:rPr>
          <w:i/>
          <w:sz w:val="18"/>
        </w:rPr>
        <w:t>Final Report</w:t>
      </w:r>
      <w:r>
        <w:rPr>
          <w:sz w:val="18"/>
        </w:rPr>
        <w:t>.</w:t>
      </w:r>
    </w:p>
    <w:p>
      <w:pPr>
        <w:spacing w:after="0" w:line="288" w:lineRule="auto"/>
        <w:jc w:val="left"/>
        <w:rPr>
          <w:sz w:val="18"/>
        </w:rPr>
        <w:sectPr>
          <w:pgSz w:w="11910" w:h="16850"/>
          <w:pgMar w:header="220" w:footer="678" w:top="420" w:bottom="860" w:left="900" w:right="840"/>
        </w:sectPr>
      </w:pPr>
    </w:p>
    <w:p>
      <w:pPr>
        <w:pStyle w:val="BodyText"/>
        <w:rPr>
          <w:sz w:val="20"/>
        </w:rPr>
      </w:pPr>
    </w:p>
    <w:p>
      <w:pPr>
        <w:pStyle w:val="BodyText"/>
        <w:spacing w:before="7"/>
        <w:rPr>
          <w:sz w:val="19"/>
        </w:rPr>
      </w:pPr>
    </w:p>
    <w:p>
      <w:pPr>
        <w:pStyle w:val="Heading3"/>
        <w:spacing w:line="290" w:lineRule="auto"/>
        <w:ind w:right="374"/>
      </w:pPr>
      <w:bookmarkStart w:name="_bookmark15" w:id="16"/>
      <w:bookmarkEnd w:id="16"/>
      <w:r>
        <w:rPr>
          <w:b w:val="0"/>
        </w:rPr>
      </w:r>
      <w:r>
        <w:rPr>
          <w:color w:val="00B1A9"/>
        </w:rPr>
        <w:t>Chapter</w:t>
      </w:r>
      <w:r>
        <w:rPr>
          <w:color w:val="00B1A9"/>
          <w:spacing w:val="-6"/>
        </w:rPr>
        <w:t> </w:t>
      </w:r>
      <w:r>
        <w:rPr>
          <w:color w:val="00B1A9"/>
        </w:rPr>
        <w:t>9:</w:t>
      </w:r>
      <w:r>
        <w:rPr>
          <w:color w:val="00B1A9"/>
          <w:spacing w:val="-5"/>
        </w:rPr>
        <w:t> </w:t>
      </w:r>
      <w:r>
        <w:rPr>
          <w:color w:val="00B1A9"/>
        </w:rPr>
        <w:t>Strengthening</w:t>
      </w:r>
      <w:r>
        <w:rPr>
          <w:color w:val="00B1A9"/>
          <w:spacing w:val="-9"/>
        </w:rPr>
        <w:t> </w:t>
      </w:r>
      <w:r>
        <w:rPr>
          <w:color w:val="00B1A9"/>
        </w:rPr>
        <w:t>the</w:t>
      </w:r>
      <w:r>
        <w:rPr>
          <w:color w:val="00B1A9"/>
          <w:spacing w:val="-6"/>
        </w:rPr>
        <w:t> </w:t>
      </w:r>
      <w:r>
        <w:rPr>
          <w:color w:val="00B1A9"/>
        </w:rPr>
        <w:t>Foundations</w:t>
      </w:r>
      <w:r>
        <w:rPr>
          <w:color w:val="00B1A9"/>
          <w:spacing w:val="-7"/>
        </w:rPr>
        <w:t> </w:t>
      </w:r>
      <w:r>
        <w:rPr>
          <w:color w:val="00B1A9"/>
        </w:rPr>
        <w:t>for Future Network Safety Regulation</w:t>
      </w:r>
    </w:p>
    <w:p>
      <w:pPr>
        <w:pStyle w:val="BodyText"/>
        <w:rPr>
          <w:b/>
          <w:sz w:val="20"/>
        </w:rPr>
      </w:pPr>
    </w:p>
    <w:p>
      <w:pPr>
        <w:pStyle w:val="Heading4"/>
        <w:spacing w:before="242"/>
        <w:ind w:left="374"/>
      </w:pPr>
      <w:r>
        <w:rPr/>
        <mc:AlternateContent>
          <mc:Choice Requires="wps">
            <w:drawing>
              <wp:anchor distT="0" distB="0" distL="0" distR="0" allowOverlap="1" layoutInCell="1" locked="0" behindDoc="1" simplePos="0" relativeHeight="482748416">
                <wp:simplePos x="0" y="0"/>
                <wp:positionH relativeFrom="page">
                  <wp:posOffset>719327</wp:posOffset>
                </wp:positionH>
                <wp:positionV relativeFrom="paragraph">
                  <wp:posOffset>1496</wp:posOffset>
                </wp:positionV>
                <wp:extent cx="5870575" cy="7747634"/>
                <wp:effectExtent l="0" t="0" r="0" b="0"/>
                <wp:wrapNone/>
                <wp:docPr id="200" name="Graphic 200"/>
                <wp:cNvGraphicFramePr>
                  <a:graphicFrameLocks/>
                </wp:cNvGraphicFramePr>
                <a:graphic>
                  <a:graphicData uri="http://schemas.microsoft.com/office/word/2010/wordprocessingShape">
                    <wps:wsp>
                      <wps:cNvPr id="200" name="Graphic 200"/>
                      <wps:cNvSpPr/>
                      <wps:spPr>
                        <a:xfrm>
                          <a:off x="0" y="0"/>
                          <a:ext cx="5870575" cy="7747634"/>
                        </a:xfrm>
                        <a:custGeom>
                          <a:avLst/>
                          <a:gdLst/>
                          <a:ahLst/>
                          <a:cxnLst/>
                          <a:rect l="l" t="t" r="r" b="b"/>
                          <a:pathLst>
                            <a:path w="5870575" h="7747634">
                              <a:moveTo>
                                <a:pt x="5870194" y="0"/>
                              </a:moveTo>
                              <a:lnTo>
                                <a:pt x="0" y="0"/>
                              </a:lnTo>
                              <a:lnTo>
                                <a:pt x="0" y="7747381"/>
                              </a:lnTo>
                              <a:lnTo>
                                <a:pt x="5870194" y="7747381"/>
                              </a:lnTo>
                              <a:lnTo>
                                <a:pt x="5870194"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56.639999pt;margin-top:.11783pt;width:462.22pt;height:610.03pt;mso-position-horizontal-relative:page;mso-position-vertical-relative:paragraph;z-index:-20568064" id="docshape169" filled="true" fillcolor="#d9d9d9" stroked="false">
                <v:fill type="solid"/>
                <w10:wrap type="none"/>
              </v:rect>
            </w:pict>
          </mc:Fallback>
        </mc:AlternateContent>
      </w:r>
      <w:r>
        <w:rPr>
          <w:color w:val="585858"/>
          <w:spacing w:val="-2"/>
        </w:rPr>
        <w:t>Summary</w:t>
      </w:r>
    </w:p>
    <w:p>
      <w:pPr>
        <w:pStyle w:val="BodyText"/>
        <w:spacing w:line="288" w:lineRule="auto" w:before="314"/>
        <w:ind w:left="345" w:right="951"/>
      </w:pPr>
      <w:r>
        <w:rPr/>
        <w:t>The</w:t>
      </w:r>
      <w:r>
        <w:rPr>
          <w:spacing w:val="-4"/>
        </w:rPr>
        <w:t> </w:t>
      </w:r>
      <w:r>
        <w:rPr/>
        <w:t>integrated</w:t>
      </w:r>
      <w:r>
        <w:rPr>
          <w:spacing w:val="-2"/>
        </w:rPr>
        <w:t> </w:t>
      </w:r>
      <w:r>
        <w:rPr/>
        <w:t>package</w:t>
      </w:r>
      <w:r>
        <w:rPr>
          <w:spacing w:val="-4"/>
        </w:rPr>
        <w:t> </w:t>
      </w:r>
      <w:r>
        <w:rPr/>
        <w:t>of measures</w:t>
      </w:r>
      <w:r>
        <w:rPr>
          <w:spacing w:val="-1"/>
        </w:rPr>
        <w:t> </w:t>
      </w:r>
      <w:r>
        <w:rPr/>
        <w:t>presented</w:t>
      </w:r>
      <w:r>
        <w:rPr>
          <w:spacing w:val="-4"/>
        </w:rPr>
        <w:t> </w:t>
      </w:r>
      <w:r>
        <w:rPr/>
        <w:t>by</w:t>
      </w:r>
      <w:r>
        <w:rPr>
          <w:spacing w:val="-4"/>
        </w:rPr>
        <w:t> </w:t>
      </w:r>
      <w:r>
        <w:rPr/>
        <w:t>the</w:t>
      </w:r>
      <w:r>
        <w:rPr>
          <w:spacing w:val="-2"/>
        </w:rPr>
        <w:t> </w:t>
      </w:r>
      <w:r>
        <w:rPr/>
        <w:t>Review</w:t>
      </w:r>
      <w:r>
        <w:rPr>
          <w:spacing w:val="-5"/>
        </w:rPr>
        <w:t> </w:t>
      </w:r>
      <w:r>
        <w:rPr/>
        <w:t>would</w:t>
      </w:r>
      <w:r>
        <w:rPr>
          <w:spacing w:val="-2"/>
        </w:rPr>
        <w:t> </w:t>
      </w:r>
      <w:r>
        <w:rPr/>
        <w:t>place</w:t>
      </w:r>
      <w:r>
        <w:rPr>
          <w:spacing w:val="-2"/>
        </w:rPr>
        <w:t> </w:t>
      </w:r>
      <w:r>
        <w:rPr/>
        <w:t>Victoria</w:t>
      </w:r>
      <w:r>
        <w:rPr>
          <w:spacing w:val="-2"/>
        </w:rPr>
        <w:t> </w:t>
      </w:r>
      <w:r>
        <w:rPr/>
        <w:t>at</w:t>
      </w:r>
      <w:r>
        <w:rPr>
          <w:spacing w:val="-3"/>
        </w:rPr>
        <w:t> </w:t>
      </w:r>
      <w:r>
        <w:rPr/>
        <w:t>the very forefront of the safety regulation of electricity and gas networks internationally.</w:t>
      </w:r>
    </w:p>
    <w:p>
      <w:pPr>
        <w:pStyle w:val="BodyText"/>
        <w:spacing w:before="10"/>
        <w:rPr>
          <w:sz w:val="20"/>
        </w:rPr>
      </w:pPr>
    </w:p>
    <w:p>
      <w:pPr>
        <w:pStyle w:val="BodyText"/>
        <w:spacing w:line="288" w:lineRule="auto"/>
        <w:ind w:left="345" w:right="951"/>
      </w:pPr>
      <w:r>
        <w:rPr/>
        <w:t>A</w:t>
      </w:r>
      <w:r>
        <w:rPr>
          <w:spacing w:val="-3"/>
        </w:rPr>
        <w:t> </w:t>
      </w:r>
      <w:r>
        <w:rPr/>
        <w:t>single</w:t>
      </w:r>
      <w:r>
        <w:rPr>
          <w:spacing w:val="-5"/>
        </w:rPr>
        <w:t> </w:t>
      </w:r>
      <w:r>
        <w:rPr/>
        <w:t>consolidated</w:t>
      </w:r>
      <w:r>
        <w:rPr>
          <w:spacing w:val="-3"/>
        </w:rPr>
        <w:t> </w:t>
      </w:r>
      <w:r>
        <w:rPr/>
        <w:t>law</w:t>
      </w:r>
      <w:r>
        <w:rPr>
          <w:spacing w:val="-6"/>
        </w:rPr>
        <w:t> </w:t>
      </w:r>
      <w:r>
        <w:rPr/>
        <w:t>that</w:t>
      </w:r>
      <w:r>
        <w:rPr>
          <w:spacing w:val="-1"/>
        </w:rPr>
        <w:t> </w:t>
      </w:r>
      <w:r>
        <w:rPr/>
        <w:t>supports</w:t>
      </w:r>
      <w:r>
        <w:rPr>
          <w:spacing w:val="-5"/>
        </w:rPr>
        <w:t> </w:t>
      </w:r>
      <w:r>
        <w:rPr/>
        <w:t>risk-based</w:t>
      </w:r>
      <w:r>
        <w:rPr>
          <w:spacing w:val="-3"/>
        </w:rPr>
        <w:t> </w:t>
      </w:r>
      <w:r>
        <w:rPr/>
        <w:t>regulation</w:t>
      </w:r>
      <w:r>
        <w:rPr>
          <w:spacing w:val="-3"/>
        </w:rPr>
        <w:t> </w:t>
      </w:r>
      <w:r>
        <w:rPr/>
        <w:t>would</w:t>
      </w:r>
      <w:r>
        <w:rPr>
          <w:spacing w:val="-3"/>
        </w:rPr>
        <w:t> </w:t>
      </w:r>
      <w:r>
        <w:rPr/>
        <w:t>strengthen</w:t>
      </w:r>
      <w:r>
        <w:rPr>
          <w:spacing w:val="-5"/>
        </w:rPr>
        <w:t> </w:t>
      </w:r>
      <w:r>
        <w:rPr/>
        <w:t>the foundations for effective network safety regulation.</w:t>
      </w:r>
    </w:p>
    <w:p>
      <w:pPr>
        <w:pStyle w:val="BodyText"/>
        <w:spacing w:before="10"/>
        <w:rPr>
          <w:sz w:val="20"/>
        </w:rPr>
      </w:pPr>
    </w:p>
    <w:p>
      <w:pPr>
        <w:spacing w:line="288" w:lineRule="auto" w:before="0"/>
        <w:ind w:left="345" w:right="784" w:firstLine="0"/>
        <w:jc w:val="left"/>
        <w:rPr>
          <w:i/>
          <w:sz w:val="22"/>
        </w:rPr>
      </w:pPr>
      <w:r>
        <w:rPr>
          <w:sz w:val="22"/>
        </w:rPr>
        <w:t>The </w:t>
      </w:r>
      <w:r>
        <w:rPr>
          <w:i/>
          <w:sz w:val="22"/>
        </w:rPr>
        <w:t>Gas Safety Act 1997</w:t>
      </w:r>
      <w:r>
        <w:rPr>
          <w:sz w:val="22"/>
        </w:rPr>
        <w:t>, </w:t>
      </w:r>
      <w:r>
        <w:rPr>
          <w:i/>
          <w:sz w:val="22"/>
        </w:rPr>
        <w:t>Electricity Safety Act 1998, </w:t>
      </w:r>
      <w:r>
        <w:rPr>
          <w:sz w:val="22"/>
        </w:rPr>
        <w:t>the safety provisions of the </w:t>
      </w:r>
      <w:r>
        <w:rPr>
          <w:i/>
          <w:sz w:val="22"/>
        </w:rPr>
        <w:t>Pipelines Act 2005</w:t>
      </w:r>
      <w:r>
        <w:rPr>
          <w:i/>
          <w:spacing w:val="-4"/>
          <w:sz w:val="22"/>
        </w:rPr>
        <w:t> </w:t>
      </w:r>
      <w:r>
        <w:rPr>
          <w:sz w:val="22"/>
        </w:rPr>
        <w:t>and</w:t>
      </w:r>
      <w:r>
        <w:rPr>
          <w:spacing w:val="-4"/>
          <w:sz w:val="22"/>
        </w:rPr>
        <w:t> </w:t>
      </w:r>
      <w:r>
        <w:rPr>
          <w:sz w:val="22"/>
        </w:rPr>
        <w:t>the</w:t>
      </w:r>
      <w:r>
        <w:rPr>
          <w:spacing w:val="-2"/>
          <w:sz w:val="22"/>
        </w:rPr>
        <w:t> </w:t>
      </w:r>
      <w:r>
        <w:rPr>
          <w:i/>
          <w:sz w:val="22"/>
        </w:rPr>
        <w:t>Energy</w:t>
      </w:r>
      <w:r>
        <w:rPr>
          <w:i/>
          <w:spacing w:val="-4"/>
          <w:sz w:val="22"/>
        </w:rPr>
        <w:t> </w:t>
      </w:r>
      <w:r>
        <w:rPr>
          <w:i/>
          <w:sz w:val="22"/>
        </w:rPr>
        <w:t>Safe</w:t>
      </w:r>
      <w:r>
        <w:rPr>
          <w:i/>
          <w:spacing w:val="-1"/>
          <w:sz w:val="22"/>
        </w:rPr>
        <w:t> </w:t>
      </w:r>
      <w:r>
        <w:rPr>
          <w:i/>
          <w:sz w:val="22"/>
        </w:rPr>
        <w:t>Victoria</w:t>
      </w:r>
      <w:r>
        <w:rPr>
          <w:i/>
          <w:spacing w:val="-2"/>
          <w:sz w:val="22"/>
        </w:rPr>
        <w:t> </w:t>
      </w:r>
      <w:r>
        <w:rPr>
          <w:i/>
          <w:sz w:val="22"/>
        </w:rPr>
        <w:t>Act 2005</w:t>
      </w:r>
      <w:r>
        <w:rPr>
          <w:i/>
          <w:spacing w:val="-2"/>
          <w:sz w:val="22"/>
        </w:rPr>
        <w:t> </w:t>
      </w:r>
      <w:r>
        <w:rPr>
          <w:sz w:val="22"/>
        </w:rPr>
        <w:t>should</w:t>
      </w:r>
      <w:r>
        <w:rPr>
          <w:spacing w:val="-2"/>
          <w:sz w:val="22"/>
        </w:rPr>
        <w:t> </w:t>
      </w:r>
      <w:r>
        <w:rPr>
          <w:sz w:val="22"/>
        </w:rPr>
        <w:t>be</w:t>
      </w:r>
      <w:r>
        <w:rPr>
          <w:spacing w:val="-2"/>
          <w:sz w:val="22"/>
        </w:rPr>
        <w:t> </w:t>
      </w:r>
      <w:r>
        <w:rPr>
          <w:sz w:val="22"/>
        </w:rPr>
        <w:t>consolidated</w:t>
      </w:r>
      <w:r>
        <w:rPr>
          <w:spacing w:val="-4"/>
          <w:sz w:val="22"/>
        </w:rPr>
        <w:t> </w:t>
      </w:r>
      <w:r>
        <w:rPr>
          <w:sz w:val="22"/>
        </w:rPr>
        <w:t>under</w:t>
      </w:r>
      <w:r>
        <w:rPr>
          <w:spacing w:val="-1"/>
          <w:sz w:val="22"/>
        </w:rPr>
        <w:t> </w:t>
      </w:r>
      <w:r>
        <w:rPr>
          <w:sz w:val="22"/>
        </w:rPr>
        <w:t>a</w:t>
      </w:r>
      <w:r>
        <w:rPr>
          <w:spacing w:val="-4"/>
          <w:sz w:val="22"/>
        </w:rPr>
        <w:t> </w:t>
      </w:r>
      <w:r>
        <w:rPr>
          <w:sz w:val="22"/>
        </w:rPr>
        <w:t>new</w:t>
      </w:r>
      <w:r>
        <w:rPr>
          <w:spacing w:val="-5"/>
          <w:sz w:val="22"/>
        </w:rPr>
        <w:t> </w:t>
      </w:r>
      <w:r>
        <w:rPr>
          <w:sz w:val="22"/>
        </w:rPr>
        <w:t>energy safety Act (</w:t>
      </w:r>
      <w:r>
        <w:rPr>
          <w:b/>
          <w:sz w:val="22"/>
        </w:rPr>
        <w:t>Recommendation 34</w:t>
      </w:r>
      <w:r>
        <w:rPr>
          <w:sz w:val="22"/>
        </w:rPr>
        <w:t>)</w:t>
      </w:r>
      <w:r>
        <w:rPr>
          <w:i/>
          <w:sz w:val="22"/>
        </w:rPr>
        <w:t>.</w:t>
      </w:r>
    </w:p>
    <w:p>
      <w:pPr>
        <w:pStyle w:val="BodyText"/>
        <w:spacing w:before="9"/>
        <w:rPr>
          <w:i/>
          <w:sz w:val="20"/>
        </w:rPr>
      </w:pPr>
    </w:p>
    <w:p>
      <w:pPr>
        <w:pStyle w:val="BodyText"/>
        <w:spacing w:before="1"/>
        <w:ind w:left="345"/>
      </w:pPr>
      <w:r>
        <w:rPr/>
        <w:t>The</w:t>
      </w:r>
      <w:r>
        <w:rPr>
          <w:spacing w:val="-8"/>
        </w:rPr>
        <w:t> </w:t>
      </w:r>
      <w:r>
        <w:rPr/>
        <w:t>development</w:t>
      </w:r>
      <w:r>
        <w:rPr>
          <w:spacing w:val="-2"/>
        </w:rPr>
        <w:t> </w:t>
      </w:r>
      <w:r>
        <w:rPr/>
        <w:t>of</w:t>
      </w:r>
      <w:r>
        <w:rPr>
          <w:spacing w:val="-2"/>
        </w:rPr>
        <w:t> </w:t>
      </w:r>
      <w:r>
        <w:rPr/>
        <w:t>a</w:t>
      </w:r>
      <w:r>
        <w:rPr>
          <w:spacing w:val="-6"/>
        </w:rPr>
        <w:t> </w:t>
      </w:r>
      <w:r>
        <w:rPr/>
        <w:t>new</w:t>
      </w:r>
      <w:r>
        <w:rPr>
          <w:spacing w:val="-7"/>
        </w:rPr>
        <w:t> </w:t>
      </w:r>
      <w:r>
        <w:rPr/>
        <w:t>consolidated</w:t>
      </w:r>
      <w:r>
        <w:rPr>
          <w:spacing w:val="-4"/>
        </w:rPr>
        <w:t> </w:t>
      </w:r>
      <w:r>
        <w:rPr/>
        <w:t>energy</w:t>
      </w:r>
      <w:r>
        <w:rPr>
          <w:spacing w:val="-6"/>
        </w:rPr>
        <w:t> </w:t>
      </w:r>
      <w:r>
        <w:rPr/>
        <w:t>safety</w:t>
      </w:r>
      <w:r>
        <w:rPr>
          <w:spacing w:val="-5"/>
        </w:rPr>
        <w:t> </w:t>
      </w:r>
      <w:r>
        <w:rPr/>
        <w:t>Act</w:t>
      </w:r>
      <w:r>
        <w:rPr>
          <w:spacing w:val="-4"/>
        </w:rPr>
        <w:t> </w:t>
      </w:r>
      <w:r>
        <w:rPr>
          <w:spacing w:val="-2"/>
        </w:rPr>
        <w:t>would:</w:t>
      </w:r>
    </w:p>
    <w:p>
      <w:pPr>
        <w:pStyle w:val="BodyText"/>
        <w:spacing w:before="9"/>
        <w:rPr>
          <w:sz w:val="26"/>
        </w:rPr>
      </w:pPr>
    </w:p>
    <w:p>
      <w:pPr>
        <w:pStyle w:val="ListParagraph"/>
        <w:numPr>
          <w:ilvl w:val="0"/>
          <w:numId w:val="80"/>
        </w:numPr>
        <w:tabs>
          <w:tab w:pos="588" w:val="left" w:leader="none"/>
          <w:tab w:pos="590" w:val="left" w:leader="none"/>
        </w:tabs>
        <w:spacing w:line="285" w:lineRule="auto" w:before="0" w:after="0"/>
        <w:ind w:left="590" w:right="955" w:hanging="217"/>
        <w:jc w:val="left"/>
        <w:rPr>
          <w:sz w:val="22"/>
        </w:rPr>
      </w:pPr>
      <w:r>
        <w:rPr>
          <w:sz w:val="22"/>
        </w:rPr>
        <w:t>facilitate</w:t>
      </w:r>
      <w:r>
        <w:rPr>
          <w:spacing w:val="-2"/>
          <w:sz w:val="22"/>
        </w:rPr>
        <w:t> </w:t>
      </w:r>
      <w:r>
        <w:rPr>
          <w:sz w:val="22"/>
        </w:rPr>
        <w:t>consistency</w:t>
      </w:r>
      <w:r>
        <w:rPr>
          <w:spacing w:val="-5"/>
          <w:sz w:val="22"/>
        </w:rPr>
        <w:t> </w:t>
      </w:r>
      <w:r>
        <w:rPr>
          <w:sz w:val="22"/>
        </w:rPr>
        <w:t>in</w:t>
      </w:r>
      <w:r>
        <w:rPr>
          <w:spacing w:val="-5"/>
          <w:sz w:val="22"/>
        </w:rPr>
        <w:t> </w:t>
      </w:r>
      <w:r>
        <w:rPr>
          <w:sz w:val="22"/>
        </w:rPr>
        <w:t>the</w:t>
      </w:r>
      <w:r>
        <w:rPr>
          <w:spacing w:val="-3"/>
          <w:sz w:val="22"/>
        </w:rPr>
        <w:t> </w:t>
      </w:r>
      <w:r>
        <w:rPr>
          <w:sz w:val="22"/>
        </w:rPr>
        <w:t>broad</w:t>
      </w:r>
      <w:r>
        <w:rPr>
          <w:spacing w:val="-5"/>
          <w:sz w:val="22"/>
        </w:rPr>
        <w:t> </w:t>
      </w:r>
      <w:r>
        <w:rPr>
          <w:sz w:val="22"/>
        </w:rPr>
        <w:t>regulatory</w:t>
      </w:r>
      <w:r>
        <w:rPr>
          <w:spacing w:val="-5"/>
          <w:sz w:val="22"/>
        </w:rPr>
        <w:t> </w:t>
      </w:r>
      <w:r>
        <w:rPr>
          <w:sz w:val="22"/>
        </w:rPr>
        <w:t>approach</w:t>
      </w:r>
      <w:r>
        <w:rPr>
          <w:spacing w:val="-3"/>
          <w:sz w:val="22"/>
        </w:rPr>
        <w:t> </w:t>
      </w:r>
      <w:r>
        <w:rPr>
          <w:sz w:val="22"/>
        </w:rPr>
        <w:t>across</w:t>
      </w:r>
      <w:r>
        <w:rPr>
          <w:spacing w:val="-2"/>
          <w:sz w:val="22"/>
        </w:rPr>
        <w:t> </w:t>
      </w:r>
      <w:r>
        <w:rPr>
          <w:sz w:val="22"/>
        </w:rPr>
        <w:t>electricity</w:t>
      </w:r>
      <w:r>
        <w:rPr>
          <w:spacing w:val="-5"/>
          <w:sz w:val="22"/>
        </w:rPr>
        <w:t> </w:t>
      </w:r>
      <w:r>
        <w:rPr>
          <w:sz w:val="22"/>
        </w:rPr>
        <w:t>and</w:t>
      </w:r>
      <w:r>
        <w:rPr>
          <w:spacing w:val="-5"/>
          <w:sz w:val="22"/>
        </w:rPr>
        <w:t> </w:t>
      </w:r>
      <w:r>
        <w:rPr>
          <w:sz w:val="22"/>
        </w:rPr>
        <w:t>gas</w:t>
      </w:r>
      <w:r>
        <w:rPr>
          <w:spacing w:val="-3"/>
          <w:sz w:val="22"/>
        </w:rPr>
        <w:t> </w:t>
      </w:r>
      <w:r>
        <w:rPr>
          <w:sz w:val="22"/>
        </w:rPr>
        <w:t>sectors, including general safety duties;</w:t>
      </w:r>
    </w:p>
    <w:p>
      <w:pPr>
        <w:pStyle w:val="ListParagraph"/>
        <w:numPr>
          <w:ilvl w:val="0"/>
          <w:numId w:val="80"/>
        </w:numPr>
        <w:tabs>
          <w:tab w:pos="589" w:val="left" w:leader="none"/>
        </w:tabs>
        <w:spacing w:line="240" w:lineRule="auto" w:before="20" w:after="0"/>
        <w:ind w:left="589" w:right="0" w:hanging="215"/>
        <w:jc w:val="left"/>
        <w:rPr>
          <w:sz w:val="22"/>
        </w:rPr>
      </w:pPr>
      <w:r>
        <w:rPr>
          <w:sz w:val="22"/>
        </w:rPr>
        <w:t>promote</w:t>
      </w:r>
      <w:r>
        <w:rPr>
          <w:spacing w:val="-6"/>
          <w:sz w:val="22"/>
        </w:rPr>
        <w:t> </w:t>
      </w:r>
      <w:r>
        <w:rPr>
          <w:sz w:val="22"/>
        </w:rPr>
        <w:t>clarity</w:t>
      </w:r>
      <w:r>
        <w:rPr>
          <w:spacing w:val="-6"/>
          <w:sz w:val="22"/>
        </w:rPr>
        <w:t> </w:t>
      </w:r>
      <w:r>
        <w:rPr>
          <w:sz w:val="22"/>
        </w:rPr>
        <w:t>around</w:t>
      </w:r>
      <w:r>
        <w:rPr>
          <w:spacing w:val="-6"/>
          <w:sz w:val="22"/>
        </w:rPr>
        <w:t> </w:t>
      </w:r>
      <w:r>
        <w:rPr>
          <w:sz w:val="22"/>
        </w:rPr>
        <w:t>objectives</w:t>
      </w:r>
      <w:r>
        <w:rPr>
          <w:spacing w:val="-5"/>
          <w:sz w:val="22"/>
        </w:rPr>
        <w:t> </w:t>
      </w:r>
      <w:r>
        <w:rPr>
          <w:sz w:val="22"/>
        </w:rPr>
        <w:t>and</w:t>
      </w:r>
      <w:r>
        <w:rPr>
          <w:spacing w:val="-6"/>
          <w:sz w:val="22"/>
        </w:rPr>
        <w:t> </w:t>
      </w:r>
      <w:r>
        <w:rPr>
          <w:spacing w:val="-2"/>
          <w:sz w:val="22"/>
        </w:rPr>
        <w:t>functions;</w:t>
      </w:r>
    </w:p>
    <w:p>
      <w:pPr>
        <w:pStyle w:val="ListParagraph"/>
        <w:numPr>
          <w:ilvl w:val="0"/>
          <w:numId w:val="80"/>
        </w:numPr>
        <w:tabs>
          <w:tab w:pos="589" w:val="left" w:leader="none"/>
        </w:tabs>
        <w:spacing w:line="240" w:lineRule="auto" w:before="64" w:after="0"/>
        <w:ind w:left="589" w:right="0" w:hanging="215"/>
        <w:jc w:val="left"/>
        <w:rPr>
          <w:sz w:val="22"/>
        </w:rPr>
      </w:pPr>
      <w:r>
        <w:rPr>
          <w:sz w:val="22"/>
        </w:rPr>
        <w:t>provide</w:t>
      </w:r>
      <w:r>
        <w:rPr>
          <w:spacing w:val="-6"/>
          <w:sz w:val="22"/>
        </w:rPr>
        <w:t> </w:t>
      </w:r>
      <w:r>
        <w:rPr>
          <w:sz w:val="22"/>
        </w:rPr>
        <w:t>for</w:t>
      </w:r>
      <w:r>
        <w:rPr>
          <w:spacing w:val="-5"/>
          <w:sz w:val="22"/>
        </w:rPr>
        <w:t> </w:t>
      </w:r>
      <w:r>
        <w:rPr>
          <w:sz w:val="22"/>
        </w:rPr>
        <w:t>the</w:t>
      </w:r>
      <w:r>
        <w:rPr>
          <w:spacing w:val="-6"/>
          <w:sz w:val="22"/>
        </w:rPr>
        <w:t> </w:t>
      </w:r>
      <w:r>
        <w:rPr>
          <w:sz w:val="22"/>
        </w:rPr>
        <w:t>more</w:t>
      </w:r>
      <w:r>
        <w:rPr>
          <w:spacing w:val="-4"/>
          <w:sz w:val="22"/>
        </w:rPr>
        <w:t> </w:t>
      </w:r>
      <w:r>
        <w:rPr>
          <w:sz w:val="22"/>
        </w:rPr>
        <w:t>effective</w:t>
      </w:r>
      <w:r>
        <w:rPr>
          <w:spacing w:val="-3"/>
          <w:sz w:val="22"/>
        </w:rPr>
        <w:t> </w:t>
      </w:r>
      <w:r>
        <w:rPr>
          <w:sz w:val="22"/>
        </w:rPr>
        <w:t>implementation</w:t>
      </w:r>
      <w:r>
        <w:rPr>
          <w:spacing w:val="-4"/>
          <w:sz w:val="22"/>
        </w:rPr>
        <w:t> </w:t>
      </w:r>
      <w:r>
        <w:rPr>
          <w:sz w:val="22"/>
        </w:rPr>
        <w:t>of</w:t>
      </w:r>
      <w:r>
        <w:rPr>
          <w:spacing w:val="-2"/>
          <w:sz w:val="22"/>
        </w:rPr>
        <w:t> </w:t>
      </w:r>
      <w:r>
        <w:rPr>
          <w:sz w:val="22"/>
        </w:rPr>
        <w:t>safety</w:t>
      </w:r>
      <w:r>
        <w:rPr>
          <w:spacing w:val="-5"/>
          <w:sz w:val="22"/>
        </w:rPr>
        <w:t> </w:t>
      </w:r>
      <w:r>
        <w:rPr>
          <w:sz w:val="22"/>
        </w:rPr>
        <w:t>case</w:t>
      </w:r>
      <w:r>
        <w:rPr>
          <w:spacing w:val="-6"/>
          <w:sz w:val="22"/>
        </w:rPr>
        <w:t> </w:t>
      </w:r>
      <w:r>
        <w:rPr>
          <w:sz w:val="22"/>
        </w:rPr>
        <w:t>based</w:t>
      </w:r>
      <w:r>
        <w:rPr>
          <w:spacing w:val="-5"/>
          <w:sz w:val="22"/>
        </w:rPr>
        <w:t> </w:t>
      </w:r>
      <w:r>
        <w:rPr>
          <w:spacing w:val="-2"/>
          <w:sz w:val="22"/>
        </w:rPr>
        <w:t>regulation;</w:t>
      </w:r>
    </w:p>
    <w:p>
      <w:pPr>
        <w:pStyle w:val="ListParagraph"/>
        <w:numPr>
          <w:ilvl w:val="0"/>
          <w:numId w:val="80"/>
        </w:numPr>
        <w:tabs>
          <w:tab w:pos="589" w:val="left" w:leader="none"/>
        </w:tabs>
        <w:spacing w:line="240" w:lineRule="auto" w:before="66" w:after="0"/>
        <w:ind w:left="589" w:right="0" w:hanging="215"/>
        <w:jc w:val="left"/>
        <w:rPr>
          <w:sz w:val="22"/>
        </w:rPr>
      </w:pPr>
      <w:r>
        <w:rPr>
          <w:sz w:val="22"/>
        </w:rPr>
        <w:t>promote</w:t>
      </w:r>
      <w:r>
        <w:rPr>
          <w:spacing w:val="-8"/>
          <w:sz w:val="22"/>
        </w:rPr>
        <w:t> </w:t>
      </w:r>
      <w:r>
        <w:rPr>
          <w:sz w:val="22"/>
        </w:rPr>
        <w:t>greater</w:t>
      </w:r>
      <w:r>
        <w:rPr>
          <w:spacing w:val="-4"/>
          <w:sz w:val="22"/>
        </w:rPr>
        <w:t> </w:t>
      </w:r>
      <w:r>
        <w:rPr>
          <w:sz w:val="22"/>
        </w:rPr>
        <w:t>consistency</w:t>
      </w:r>
      <w:r>
        <w:rPr>
          <w:spacing w:val="-7"/>
          <w:sz w:val="22"/>
        </w:rPr>
        <w:t> </w:t>
      </w:r>
      <w:r>
        <w:rPr>
          <w:sz w:val="22"/>
        </w:rPr>
        <w:t>in</w:t>
      </w:r>
      <w:r>
        <w:rPr>
          <w:spacing w:val="-3"/>
          <w:sz w:val="22"/>
        </w:rPr>
        <w:t> </w:t>
      </w:r>
      <w:r>
        <w:rPr>
          <w:sz w:val="22"/>
        </w:rPr>
        <w:t>Energy</w:t>
      </w:r>
      <w:r>
        <w:rPr>
          <w:spacing w:val="-7"/>
          <w:sz w:val="22"/>
        </w:rPr>
        <w:t> </w:t>
      </w:r>
      <w:r>
        <w:rPr>
          <w:sz w:val="22"/>
        </w:rPr>
        <w:t>Safe</w:t>
      </w:r>
      <w:r>
        <w:rPr>
          <w:spacing w:val="-6"/>
          <w:sz w:val="22"/>
        </w:rPr>
        <w:t> </w:t>
      </w:r>
      <w:r>
        <w:rPr>
          <w:sz w:val="22"/>
        </w:rPr>
        <w:t>Victoria’s</w:t>
      </w:r>
      <w:r>
        <w:rPr>
          <w:spacing w:val="-4"/>
          <w:sz w:val="22"/>
        </w:rPr>
        <w:t> </w:t>
      </w:r>
      <w:r>
        <w:rPr>
          <w:sz w:val="22"/>
        </w:rPr>
        <w:t>(ESV)</w:t>
      </w:r>
      <w:r>
        <w:rPr>
          <w:spacing w:val="-4"/>
          <w:sz w:val="22"/>
        </w:rPr>
        <w:t> </w:t>
      </w:r>
      <w:r>
        <w:rPr>
          <w:sz w:val="22"/>
        </w:rPr>
        <w:t>regulatory</w:t>
      </w:r>
      <w:r>
        <w:rPr>
          <w:spacing w:val="-7"/>
          <w:sz w:val="22"/>
        </w:rPr>
        <w:t> </w:t>
      </w:r>
      <w:r>
        <w:rPr>
          <w:sz w:val="22"/>
        </w:rPr>
        <w:t>approach;</w:t>
      </w:r>
      <w:r>
        <w:rPr>
          <w:spacing w:val="-6"/>
          <w:sz w:val="22"/>
        </w:rPr>
        <w:t> </w:t>
      </w:r>
      <w:r>
        <w:rPr>
          <w:spacing w:val="-5"/>
          <w:sz w:val="22"/>
        </w:rPr>
        <w:t>and</w:t>
      </w:r>
    </w:p>
    <w:p>
      <w:pPr>
        <w:pStyle w:val="ListParagraph"/>
        <w:numPr>
          <w:ilvl w:val="0"/>
          <w:numId w:val="80"/>
        </w:numPr>
        <w:tabs>
          <w:tab w:pos="589" w:val="left" w:leader="none"/>
        </w:tabs>
        <w:spacing w:line="240" w:lineRule="auto" w:before="66" w:after="0"/>
        <w:ind w:left="589" w:right="0" w:hanging="215"/>
        <w:jc w:val="left"/>
        <w:rPr>
          <w:sz w:val="22"/>
        </w:rPr>
      </w:pPr>
      <w:r>
        <w:rPr>
          <w:sz w:val="22"/>
        </w:rPr>
        <w:t>provide</w:t>
      </w:r>
      <w:r>
        <w:rPr>
          <w:spacing w:val="-5"/>
          <w:sz w:val="22"/>
        </w:rPr>
        <w:t> </w:t>
      </w:r>
      <w:r>
        <w:rPr>
          <w:sz w:val="22"/>
        </w:rPr>
        <w:t>ESV</w:t>
      </w:r>
      <w:r>
        <w:rPr>
          <w:spacing w:val="-4"/>
          <w:sz w:val="22"/>
        </w:rPr>
        <w:t> </w:t>
      </w:r>
      <w:r>
        <w:rPr>
          <w:sz w:val="22"/>
        </w:rPr>
        <w:t>with</w:t>
      </w:r>
      <w:r>
        <w:rPr>
          <w:spacing w:val="-4"/>
          <w:sz w:val="22"/>
        </w:rPr>
        <w:t> </w:t>
      </w:r>
      <w:r>
        <w:rPr>
          <w:sz w:val="22"/>
        </w:rPr>
        <w:t>a</w:t>
      </w:r>
      <w:r>
        <w:rPr>
          <w:spacing w:val="-3"/>
          <w:sz w:val="22"/>
        </w:rPr>
        <w:t> </w:t>
      </w:r>
      <w:r>
        <w:rPr>
          <w:sz w:val="22"/>
        </w:rPr>
        <w:t>broader</w:t>
      </w:r>
      <w:r>
        <w:rPr>
          <w:spacing w:val="-5"/>
          <w:sz w:val="22"/>
        </w:rPr>
        <w:t> </w:t>
      </w:r>
      <w:r>
        <w:rPr>
          <w:sz w:val="22"/>
        </w:rPr>
        <w:t>range</w:t>
      </w:r>
      <w:r>
        <w:rPr>
          <w:spacing w:val="-4"/>
          <w:sz w:val="22"/>
        </w:rPr>
        <w:t> </w:t>
      </w:r>
      <w:r>
        <w:rPr>
          <w:sz w:val="22"/>
        </w:rPr>
        <w:t>of</w:t>
      </w:r>
      <w:r>
        <w:rPr>
          <w:spacing w:val="-6"/>
          <w:sz w:val="22"/>
        </w:rPr>
        <w:t> </w:t>
      </w:r>
      <w:r>
        <w:rPr>
          <w:sz w:val="22"/>
        </w:rPr>
        <w:t>regulatory</w:t>
      </w:r>
      <w:r>
        <w:rPr>
          <w:spacing w:val="-7"/>
          <w:sz w:val="22"/>
        </w:rPr>
        <w:t> </w:t>
      </w:r>
      <w:r>
        <w:rPr>
          <w:spacing w:val="-2"/>
          <w:sz w:val="22"/>
        </w:rPr>
        <w:t>tools.</w:t>
      </w:r>
    </w:p>
    <w:p>
      <w:pPr>
        <w:pStyle w:val="BodyText"/>
        <w:rPr>
          <w:sz w:val="25"/>
        </w:rPr>
      </w:pPr>
    </w:p>
    <w:p>
      <w:pPr>
        <w:pStyle w:val="BodyText"/>
        <w:spacing w:line="288" w:lineRule="auto"/>
        <w:ind w:left="345" w:right="951"/>
      </w:pPr>
      <w:r>
        <w:rPr/>
        <w:t>The foundations of the safety case based approach should be supported by further development</w:t>
      </w:r>
      <w:r>
        <w:rPr>
          <w:spacing w:val="-1"/>
        </w:rPr>
        <w:t> </w:t>
      </w:r>
      <w:r>
        <w:rPr/>
        <w:t>of</w:t>
      </w:r>
      <w:r>
        <w:rPr>
          <w:spacing w:val="-4"/>
        </w:rPr>
        <w:t> </w:t>
      </w:r>
      <w:r>
        <w:rPr/>
        <w:t>guidance</w:t>
      </w:r>
      <w:r>
        <w:rPr>
          <w:spacing w:val="-5"/>
        </w:rPr>
        <w:t> </w:t>
      </w:r>
      <w:r>
        <w:rPr/>
        <w:t>from</w:t>
      </w:r>
      <w:r>
        <w:rPr>
          <w:spacing w:val="-4"/>
        </w:rPr>
        <w:t> </w:t>
      </w:r>
      <w:r>
        <w:rPr/>
        <w:t>ESV</w:t>
      </w:r>
      <w:r>
        <w:rPr>
          <w:spacing w:val="-3"/>
        </w:rPr>
        <w:t> </w:t>
      </w:r>
      <w:r>
        <w:rPr/>
        <w:t>to</w:t>
      </w:r>
      <w:r>
        <w:rPr>
          <w:spacing w:val="-5"/>
        </w:rPr>
        <w:t> </w:t>
      </w:r>
      <w:r>
        <w:rPr/>
        <w:t>assist</w:t>
      </w:r>
      <w:r>
        <w:rPr>
          <w:spacing w:val="-1"/>
        </w:rPr>
        <w:t> </w:t>
      </w:r>
      <w:r>
        <w:rPr/>
        <w:t>network businesses</w:t>
      </w:r>
      <w:r>
        <w:rPr>
          <w:spacing w:val="-5"/>
        </w:rPr>
        <w:t> </w:t>
      </w:r>
      <w:r>
        <w:rPr/>
        <w:t>to</w:t>
      </w:r>
      <w:r>
        <w:rPr>
          <w:spacing w:val="-5"/>
        </w:rPr>
        <w:t> </w:t>
      </w:r>
      <w:r>
        <w:rPr/>
        <w:t>efficiently</w:t>
      </w:r>
      <w:r>
        <w:rPr>
          <w:spacing w:val="-5"/>
        </w:rPr>
        <w:t> </w:t>
      </w:r>
      <w:r>
        <w:rPr/>
        <w:t>comply</w:t>
      </w:r>
      <w:r>
        <w:rPr>
          <w:spacing w:val="-5"/>
        </w:rPr>
        <w:t> </w:t>
      </w:r>
      <w:r>
        <w:rPr/>
        <w:t>with their obligations (</w:t>
      </w:r>
      <w:r>
        <w:rPr>
          <w:b/>
        </w:rPr>
        <w:t>Recommendation 42</w:t>
      </w:r>
      <w:r>
        <w:rPr/>
        <w:t>).</w:t>
      </w:r>
    </w:p>
    <w:p>
      <w:pPr>
        <w:pStyle w:val="BodyText"/>
        <w:rPr>
          <w:sz w:val="21"/>
        </w:rPr>
      </w:pPr>
    </w:p>
    <w:p>
      <w:pPr>
        <w:pStyle w:val="BodyText"/>
        <w:spacing w:line="288" w:lineRule="auto"/>
        <w:ind w:left="345" w:right="374"/>
      </w:pPr>
      <w:r>
        <w:rPr/>
        <w:t>ESV</w:t>
      </w:r>
      <w:r>
        <w:rPr>
          <w:spacing w:val="-3"/>
        </w:rPr>
        <w:t> </w:t>
      </w:r>
      <w:r>
        <w:rPr/>
        <w:t>should</w:t>
      </w:r>
      <w:r>
        <w:rPr>
          <w:spacing w:val="-3"/>
        </w:rPr>
        <w:t> </w:t>
      </w:r>
      <w:r>
        <w:rPr/>
        <w:t>work</w:t>
      </w:r>
      <w:r>
        <w:rPr>
          <w:spacing w:val="-2"/>
        </w:rPr>
        <w:t> </w:t>
      </w:r>
      <w:r>
        <w:rPr/>
        <w:t>closely</w:t>
      </w:r>
      <w:r>
        <w:rPr>
          <w:spacing w:val="-2"/>
        </w:rPr>
        <w:t> </w:t>
      </w:r>
      <w:r>
        <w:rPr/>
        <w:t>with</w:t>
      </w:r>
      <w:r>
        <w:rPr>
          <w:spacing w:val="-3"/>
        </w:rPr>
        <w:t> </w:t>
      </w:r>
      <w:r>
        <w:rPr/>
        <w:t>regulated</w:t>
      </w:r>
      <w:r>
        <w:rPr>
          <w:spacing w:val="-3"/>
        </w:rPr>
        <w:t> </w:t>
      </w:r>
      <w:r>
        <w:rPr/>
        <w:t>network businesses</w:t>
      </w:r>
      <w:r>
        <w:rPr>
          <w:spacing w:val="-3"/>
        </w:rPr>
        <w:t> </w:t>
      </w:r>
      <w:r>
        <w:rPr/>
        <w:t>as</w:t>
      </w:r>
      <w:r>
        <w:rPr>
          <w:spacing w:val="-5"/>
        </w:rPr>
        <w:t> </w:t>
      </w:r>
      <w:r>
        <w:rPr/>
        <w:t>it</w:t>
      </w:r>
      <w:r>
        <w:rPr>
          <w:spacing w:val="-1"/>
        </w:rPr>
        <w:t> </w:t>
      </w:r>
      <w:r>
        <w:rPr/>
        <w:t>continues</w:t>
      </w:r>
      <w:r>
        <w:rPr>
          <w:spacing w:val="-5"/>
        </w:rPr>
        <w:t> </w:t>
      </w:r>
      <w:r>
        <w:rPr/>
        <w:t>to</w:t>
      </w:r>
      <w:r>
        <w:rPr>
          <w:spacing w:val="-5"/>
        </w:rPr>
        <w:t> </w:t>
      </w:r>
      <w:r>
        <w:rPr/>
        <w:t>strengthen</w:t>
      </w:r>
      <w:r>
        <w:rPr>
          <w:spacing w:val="-5"/>
        </w:rPr>
        <w:t> </w:t>
      </w:r>
      <w:r>
        <w:rPr/>
        <w:t>its approach to safety case based regulation. Effective safety cases must be underpinned by rigorous underlying systems, procedures and processes adopted by network business.</w:t>
      </w:r>
    </w:p>
    <w:p>
      <w:pPr>
        <w:pStyle w:val="BodyText"/>
        <w:spacing w:before="9"/>
        <w:rPr>
          <w:sz w:val="20"/>
        </w:rPr>
      </w:pPr>
    </w:p>
    <w:p>
      <w:pPr>
        <w:pStyle w:val="BodyText"/>
        <w:spacing w:line="288" w:lineRule="auto"/>
        <w:ind w:left="345" w:right="951"/>
      </w:pPr>
      <w:r>
        <w:rPr/>
        <w:t>If safety cases are to form an effective basis for robust regulation, it is essential that the legislation</w:t>
      </w:r>
      <w:r>
        <w:rPr>
          <w:spacing w:val="-2"/>
        </w:rPr>
        <w:t> </w:t>
      </w:r>
      <w:r>
        <w:rPr/>
        <w:t>supports</w:t>
      </w:r>
      <w:r>
        <w:rPr>
          <w:spacing w:val="-4"/>
        </w:rPr>
        <w:t> </w:t>
      </w:r>
      <w:r>
        <w:rPr/>
        <w:t>the</w:t>
      </w:r>
      <w:r>
        <w:rPr>
          <w:spacing w:val="-4"/>
        </w:rPr>
        <w:t> </w:t>
      </w:r>
      <w:r>
        <w:rPr/>
        <w:t>safety</w:t>
      </w:r>
      <w:r>
        <w:rPr>
          <w:spacing w:val="-3"/>
        </w:rPr>
        <w:t> </w:t>
      </w:r>
      <w:r>
        <w:rPr/>
        <w:t>case</w:t>
      </w:r>
      <w:r>
        <w:rPr>
          <w:spacing w:val="-7"/>
        </w:rPr>
        <w:t> </w:t>
      </w:r>
      <w:r>
        <w:rPr/>
        <w:t>framework so</w:t>
      </w:r>
      <w:r>
        <w:rPr>
          <w:spacing w:val="-6"/>
        </w:rPr>
        <w:t> </w:t>
      </w:r>
      <w:r>
        <w:rPr/>
        <w:t>that</w:t>
      </w:r>
      <w:r>
        <w:rPr>
          <w:spacing w:val="-3"/>
        </w:rPr>
        <w:t> </w:t>
      </w:r>
      <w:r>
        <w:rPr/>
        <w:t>the</w:t>
      </w:r>
      <w:r>
        <w:rPr>
          <w:spacing w:val="-4"/>
        </w:rPr>
        <w:t> </w:t>
      </w:r>
      <w:r>
        <w:rPr/>
        <w:t>regulator</w:t>
      </w:r>
      <w:r>
        <w:rPr>
          <w:spacing w:val="-3"/>
        </w:rPr>
        <w:t> </w:t>
      </w:r>
      <w:r>
        <w:rPr/>
        <w:t>can</w:t>
      </w:r>
      <w:r>
        <w:rPr>
          <w:spacing w:val="-2"/>
        </w:rPr>
        <w:t> </w:t>
      </w:r>
      <w:r>
        <w:rPr/>
        <w:t>use</w:t>
      </w:r>
      <w:r>
        <w:rPr>
          <w:spacing w:val="-2"/>
        </w:rPr>
        <w:t> </w:t>
      </w:r>
      <w:r>
        <w:rPr/>
        <w:t>it</w:t>
      </w:r>
      <w:r>
        <w:rPr>
          <w:spacing w:val="-1"/>
        </w:rPr>
        <w:t> </w:t>
      </w:r>
      <w:r>
        <w:rPr/>
        <w:t>confidently and efficiently to protect safety – including through legal prosecution if necessary.</w:t>
      </w:r>
    </w:p>
    <w:p>
      <w:pPr>
        <w:pStyle w:val="BodyText"/>
        <w:spacing w:before="11"/>
        <w:rPr>
          <w:sz w:val="20"/>
        </w:rPr>
      </w:pPr>
    </w:p>
    <w:p>
      <w:pPr>
        <w:pStyle w:val="BodyText"/>
        <w:spacing w:line="288" w:lineRule="auto"/>
        <w:ind w:left="345" w:right="784"/>
      </w:pPr>
      <w:r>
        <w:rPr/>
        <w:t>The longer-term aspiration should be to increase the emphasis on outcomes-based approaches</w:t>
      </w:r>
      <w:r>
        <w:rPr>
          <w:spacing w:val="-4"/>
        </w:rPr>
        <w:t> </w:t>
      </w:r>
      <w:r>
        <w:rPr/>
        <w:t>to</w:t>
      </w:r>
      <w:r>
        <w:rPr>
          <w:spacing w:val="-4"/>
        </w:rPr>
        <w:t> </w:t>
      </w:r>
      <w:r>
        <w:rPr/>
        <w:t>safety</w:t>
      </w:r>
      <w:r>
        <w:rPr>
          <w:spacing w:val="-4"/>
        </w:rPr>
        <w:t> </w:t>
      </w:r>
      <w:r>
        <w:rPr/>
        <w:t>regulation</w:t>
      </w:r>
      <w:r>
        <w:rPr>
          <w:spacing w:val="-3"/>
        </w:rPr>
        <w:t> </w:t>
      </w:r>
      <w:r>
        <w:rPr/>
        <w:t>governed</w:t>
      </w:r>
      <w:r>
        <w:rPr>
          <w:spacing w:val="-4"/>
        </w:rPr>
        <w:t> </w:t>
      </w:r>
      <w:r>
        <w:rPr/>
        <w:t>by</w:t>
      </w:r>
      <w:r>
        <w:rPr>
          <w:spacing w:val="-4"/>
        </w:rPr>
        <w:t> </w:t>
      </w:r>
      <w:r>
        <w:rPr/>
        <w:t>strong</w:t>
      </w:r>
      <w:r>
        <w:rPr>
          <w:spacing w:val="-3"/>
        </w:rPr>
        <w:t> </w:t>
      </w:r>
      <w:r>
        <w:rPr/>
        <w:t>safety</w:t>
      </w:r>
      <w:r>
        <w:rPr>
          <w:spacing w:val="-4"/>
        </w:rPr>
        <w:t> </w:t>
      </w:r>
      <w:r>
        <w:rPr/>
        <w:t>cases,</w:t>
      </w:r>
      <w:r>
        <w:rPr>
          <w:spacing w:val="-1"/>
        </w:rPr>
        <w:t> </w:t>
      </w:r>
      <w:r>
        <w:rPr/>
        <w:t>and</w:t>
      </w:r>
      <w:r>
        <w:rPr>
          <w:spacing w:val="-4"/>
        </w:rPr>
        <w:t> </w:t>
      </w:r>
      <w:r>
        <w:rPr/>
        <w:t>with</w:t>
      </w:r>
      <w:r>
        <w:rPr>
          <w:spacing w:val="-3"/>
        </w:rPr>
        <w:t> </w:t>
      </w:r>
      <w:r>
        <w:rPr/>
        <w:t>less</w:t>
      </w:r>
      <w:r>
        <w:rPr>
          <w:spacing w:val="-2"/>
        </w:rPr>
        <w:t> </w:t>
      </w:r>
      <w:r>
        <w:rPr/>
        <w:t>emphasis</w:t>
      </w:r>
      <w:r>
        <w:rPr>
          <w:spacing w:val="-2"/>
        </w:rPr>
        <w:t> </w:t>
      </w:r>
      <w:r>
        <w:rPr/>
        <w:t>on statutory prescription. This shift should only occur when deep confidence has been built in safety case based systems and ESV’s regulation.</w:t>
      </w:r>
    </w:p>
    <w:p>
      <w:pPr>
        <w:pStyle w:val="BodyText"/>
        <w:spacing w:before="11"/>
        <w:rPr>
          <w:sz w:val="20"/>
        </w:rPr>
      </w:pPr>
    </w:p>
    <w:p>
      <w:pPr>
        <w:pStyle w:val="BodyText"/>
        <w:spacing w:line="288" w:lineRule="auto"/>
        <w:ind w:left="345" w:right="951"/>
      </w:pPr>
      <w:r>
        <w:rPr/>
        <w:t>The</w:t>
      </w:r>
      <w:r>
        <w:rPr>
          <w:spacing w:val="-4"/>
        </w:rPr>
        <w:t> </w:t>
      </w:r>
      <w:r>
        <w:rPr/>
        <w:t>onus</w:t>
      </w:r>
      <w:r>
        <w:rPr>
          <w:spacing w:val="-2"/>
        </w:rPr>
        <w:t> </w:t>
      </w:r>
      <w:r>
        <w:rPr/>
        <w:t>is</w:t>
      </w:r>
      <w:r>
        <w:rPr>
          <w:spacing w:val="-4"/>
        </w:rPr>
        <w:t> </w:t>
      </w:r>
      <w:r>
        <w:rPr/>
        <w:t>on</w:t>
      </w:r>
      <w:r>
        <w:rPr>
          <w:spacing w:val="-2"/>
        </w:rPr>
        <w:t> </w:t>
      </w:r>
      <w:r>
        <w:rPr/>
        <w:t>network</w:t>
      </w:r>
      <w:r>
        <w:rPr>
          <w:spacing w:val="-3"/>
        </w:rPr>
        <w:t> </w:t>
      </w:r>
      <w:r>
        <w:rPr/>
        <w:t>businesses</w:t>
      </w:r>
      <w:r>
        <w:rPr>
          <w:spacing w:val="-2"/>
        </w:rPr>
        <w:t> </w:t>
      </w:r>
      <w:r>
        <w:rPr/>
        <w:t>and</w:t>
      </w:r>
      <w:r>
        <w:rPr>
          <w:spacing w:val="-2"/>
        </w:rPr>
        <w:t> </w:t>
      </w:r>
      <w:r>
        <w:rPr/>
        <w:t>ESV</w:t>
      </w:r>
      <w:r>
        <w:rPr>
          <w:spacing w:val="-5"/>
        </w:rPr>
        <w:t> </w:t>
      </w:r>
      <w:r>
        <w:rPr/>
        <w:t>collectively</w:t>
      </w:r>
      <w:r>
        <w:rPr>
          <w:spacing w:val="-4"/>
        </w:rPr>
        <w:t> </w:t>
      </w:r>
      <w:r>
        <w:rPr/>
        <w:t>to</w:t>
      </w:r>
      <w:r>
        <w:rPr>
          <w:spacing w:val="-2"/>
        </w:rPr>
        <w:t> </w:t>
      </w:r>
      <w:r>
        <w:rPr/>
        <w:t>build</w:t>
      </w:r>
      <w:r>
        <w:rPr>
          <w:spacing w:val="-2"/>
        </w:rPr>
        <w:t> </w:t>
      </w:r>
      <w:r>
        <w:rPr/>
        <w:t>this</w:t>
      </w:r>
      <w:r>
        <w:rPr>
          <w:spacing w:val="-4"/>
        </w:rPr>
        <w:t> </w:t>
      </w:r>
      <w:r>
        <w:rPr/>
        <w:t>confidence. This</w:t>
      </w:r>
      <w:r>
        <w:rPr>
          <w:spacing w:val="-4"/>
        </w:rPr>
        <w:t> </w:t>
      </w:r>
      <w:r>
        <w:rPr/>
        <w:t>will require sustained high performance over several years.</w:t>
      </w:r>
    </w:p>
    <w:p>
      <w:pPr>
        <w:spacing w:after="0" w:line="288" w:lineRule="auto"/>
        <w:sectPr>
          <w:pgSz w:w="11910" w:h="16850"/>
          <w:pgMar w:header="220" w:footer="678" w:top="420" w:bottom="860" w:left="900" w:right="840"/>
        </w:sectPr>
      </w:pPr>
    </w:p>
    <w:p>
      <w:pPr>
        <w:pStyle w:val="BodyText"/>
        <w:rPr>
          <w:sz w:val="20"/>
        </w:rPr>
      </w:pPr>
    </w:p>
    <w:p>
      <w:pPr>
        <w:pStyle w:val="BodyText"/>
        <w:spacing w:before="7"/>
        <w:rPr>
          <w:sz w:val="19"/>
        </w:rPr>
      </w:pPr>
    </w:p>
    <w:p>
      <w:pPr>
        <w:pStyle w:val="Heading4"/>
        <w:spacing w:line="288" w:lineRule="auto"/>
        <w:ind w:right="408"/>
      </w:pPr>
      <w:r>
        <w:rPr>
          <w:color w:val="585858"/>
        </w:rPr>
        <w:t>The</w:t>
      </w:r>
      <w:r>
        <w:rPr>
          <w:color w:val="585858"/>
          <w:spacing w:val="-5"/>
        </w:rPr>
        <w:t> </w:t>
      </w:r>
      <w:r>
        <w:rPr>
          <w:color w:val="585858"/>
        </w:rPr>
        <w:t>current</w:t>
      </w:r>
      <w:r>
        <w:rPr>
          <w:color w:val="585858"/>
          <w:spacing w:val="-5"/>
        </w:rPr>
        <w:t> </w:t>
      </w:r>
      <w:r>
        <w:rPr>
          <w:color w:val="585858"/>
        </w:rPr>
        <w:t>framework</w:t>
      </w:r>
      <w:r>
        <w:rPr>
          <w:color w:val="585858"/>
          <w:spacing w:val="-3"/>
        </w:rPr>
        <w:t> </w:t>
      </w:r>
      <w:r>
        <w:rPr>
          <w:color w:val="585858"/>
        </w:rPr>
        <w:t>–</w:t>
      </w:r>
      <w:r>
        <w:rPr>
          <w:color w:val="585858"/>
          <w:spacing w:val="-5"/>
        </w:rPr>
        <w:t> </w:t>
      </w:r>
      <w:r>
        <w:rPr>
          <w:color w:val="585858"/>
        </w:rPr>
        <w:t>separate</w:t>
      </w:r>
      <w:r>
        <w:rPr>
          <w:color w:val="585858"/>
          <w:spacing w:val="-5"/>
        </w:rPr>
        <w:t> </w:t>
      </w:r>
      <w:r>
        <w:rPr>
          <w:color w:val="585858"/>
        </w:rPr>
        <w:t>safety</w:t>
      </w:r>
      <w:r>
        <w:rPr>
          <w:color w:val="585858"/>
          <w:spacing w:val="-8"/>
        </w:rPr>
        <w:t> </w:t>
      </w:r>
      <w:r>
        <w:rPr>
          <w:color w:val="585858"/>
        </w:rPr>
        <w:t>legislation</w:t>
      </w:r>
      <w:r>
        <w:rPr>
          <w:color w:val="585858"/>
          <w:spacing w:val="-5"/>
        </w:rPr>
        <w:t> </w:t>
      </w:r>
      <w:r>
        <w:rPr>
          <w:color w:val="585858"/>
        </w:rPr>
        <w:t>based</w:t>
      </w:r>
      <w:r>
        <w:rPr>
          <w:color w:val="585858"/>
          <w:spacing w:val="-5"/>
        </w:rPr>
        <w:t> </w:t>
      </w:r>
      <w:r>
        <w:rPr>
          <w:color w:val="585858"/>
        </w:rPr>
        <w:t>on </w:t>
      </w:r>
      <w:r>
        <w:rPr>
          <w:color w:val="585858"/>
          <w:spacing w:val="-2"/>
        </w:rPr>
        <w:t>sector</w:t>
      </w:r>
    </w:p>
    <w:p>
      <w:pPr>
        <w:spacing w:line="288" w:lineRule="auto" w:before="241"/>
        <w:ind w:left="232" w:right="374" w:firstLine="0"/>
        <w:jc w:val="left"/>
        <w:rPr>
          <w:sz w:val="22"/>
        </w:rPr>
      </w:pPr>
      <w:r>
        <w:rPr>
          <w:sz w:val="22"/>
        </w:rPr>
        <w:t>The</w:t>
      </w:r>
      <w:r>
        <w:rPr>
          <w:spacing w:val="-4"/>
          <w:sz w:val="22"/>
        </w:rPr>
        <w:t> </w:t>
      </w:r>
      <w:r>
        <w:rPr>
          <w:sz w:val="22"/>
        </w:rPr>
        <w:t>safety</w:t>
      </w:r>
      <w:r>
        <w:rPr>
          <w:spacing w:val="-4"/>
          <w:sz w:val="22"/>
        </w:rPr>
        <w:t> </w:t>
      </w:r>
      <w:r>
        <w:rPr>
          <w:sz w:val="22"/>
        </w:rPr>
        <w:t>of the</w:t>
      </w:r>
      <w:r>
        <w:rPr>
          <w:spacing w:val="-4"/>
          <w:sz w:val="22"/>
        </w:rPr>
        <w:t> </w:t>
      </w:r>
      <w:r>
        <w:rPr>
          <w:sz w:val="22"/>
        </w:rPr>
        <w:t>electricity</w:t>
      </w:r>
      <w:r>
        <w:rPr>
          <w:spacing w:val="-4"/>
          <w:sz w:val="22"/>
        </w:rPr>
        <w:t> </w:t>
      </w:r>
      <w:r>
        <w:rPr>
          <w:sz w:val="22"/>
        </w:rPr>
        <w:t>and</w:t>
      </w:r>
      <w:r>
        <w:rPr>
          <w:spacing w:val="-4"/>
          <w:sz w:val="22"/>
        </w:rPr>
        <w:t> </w:t>
      </w:r>
      <w:r>
        <w:rPr>
          <w:sz w:val="22"/>
        </w:rPr>
        <w:t>gas</w:t>
      </w:r>
      <w:r>
        <w:rPr>
          <w:spacing w:val="-4"/>
          <w:sz w:val="22"/>
        </w:rPr>
        <w:t> </w:t>
      </w:r>
      <w:r>
        <w:rPr>
          <w:sz w:val="22"/>
        </w:rPr>
        <w:t>sectors</w:t>
      </w:r>
      <w:r>
        <w:rPr>
          <w:spacing w:val="-4"/>
          <w:sz w:val="22"/>
        </w:rPr>
        <w:t> </w:t>
      </w:r>
      <w:r>
        <w:rPr>
          <w:sz w:val="22"/>
        </w:rPr>
        <w:t>in</w:t>
      </w:r>
      <w:r>
        <w:rPr>
          <w:spacing w:val="-2"/>
          <w:sz w:val="22"/>
        </w:rPr>
        <w:t> </w:t>
      </w:r>
      <w:r>
        <w:rPr>
          <w:sz w:val="22"/>
        </w:rPr>
        <w:t>Victoria</w:t>
      </w:r>
      <w:r>
        <w:rPr>
          <w:spacing w:val="-2"/>
          <w:sz w:val="22"/>
        </w:rPr>
        <w:t> </w:t>
      </w:r>
      <w:r>
        <w:rPr>
          <w:sz w:val="22"/>
        </w:rPr>
        <w:t>is</w:t>
      </w:r>
      <w:r>
        <w:rPr>
          <w:spacing w:val="-1"/>
          <w:sz w:val="22"/>
        </w:rPr>
        <w:t> </w:t>
      </w:r>
      <w:r>
        <w:rPr>
          <w:sz w:val="22"/>
        </w:rPr>
        <w:t>regulated</w:t>
      </w:r>
      <w:r>
        <w:rPr>
          <w:spacing w:val="-2"/>
          <w:sz w:val="22"/>
        </w:rPr>
        <w:t> </w:t>
      </w:r>
      <w:r>
        <w:rPr>
          <w:sz w:val="22"/>
        </w:rPr>
        <w:t>under</w:t>
      </w:r>
      <w:r>
        <w:rPr>
          <w:spacing w:val="-3"/>
          <w:sz w:val="22"/>
        </w:rPr>
        <w:t> </w:t>
      </w:r>
      <w:r>
        <w:rPr>
          <w:sz w:val="22"/>
        </w:rPr>
        <w:t>three</w:t>
      </w:r>
      <w:r>
        <w:rPr>
          <w:spacing w:val="-2"/>
          <w:sz w:val="22"/>
        </w:rPr>
        <w:t> </w:t>
      </w:r>
      <w:r>
        <w:rPr>
          <w:sz w:val="22"/>
        </w:rPr>
        <w:t>separate</w:t>
      </w:r>
      <w:r>
        <w:rPr>
          <w:spacing w:val="-4"/>
          <w:sz w:val="22"/>
        </w:rPr>
        <w:t> </w:t>
      </w:r>
      <w:r>
        <w:rPr>
          <w:sz w:val="22"/>
        </w:rPr>
        <w:t>pieces</w:t>
      </w:r>
      <w:r>
        <w:rPr>
          <w:spacing w:val="-1"/>
          <w:sz w:val="22"/>
        </w:rPr>
        <w:t> </w:t>
      </w:r>
      <w:r>
        <w:rPr>
          <w:sz w:val="22"/>
        </w:rPr>
        <w:t>of primary legislation – the </w:t>
      </w:r>
      <w:r>
        <w:rPr>
          <w:i/>
          <w:sz w:val="22"/>
        </w:rPr>
        <w:t>Gas Safety Act 1997</w:t>
      </w:r>
      <w:r>
        <w:rPr>
          <w:sz w:val="22"/>
        </w:rPr>
        <w:t>, </w:t>
      </w:r>
      <w:r>
        <w:rPr>
          <w:i/>
          <w:sz w:val="22"/>
        </w:rPr>
        <w:t>Electricity Safety Act 1998 </w:t>
      </w:r>
      <w:r>
        <w:rPr>
          <w:sz w:val="22"/>
        </w:rPr>
        <w:t>and the </w:t>
      </w:r>
      <w:r>
        <w:rPr>
          <w:i/>
          <w:sz w:val="22"/>
        </w:rPr>
        <w:t>Pipelines Act </w:t>
      </w:r>
      <w:r>
        <w:rPr>
          <w:i/>
          <w:spacing w:val="-2"/>
          <w:sz w:val="22"/>
        </w:rPr>
        <w:t>2005</w:t>
      </w:r>
      <w:r>
        <w:rPr>
          <w:spacing w:val="-2"/>
          <w:sz w:val="22"/>
        </w:rPr>
        <w:t>.</w:t>
      </w:r>
    </w:p>
    <w:p>
      <w:pPr>
        <w:pStyle w:val="BodyText"/>
        <w:spacing w:before="8"/>
        <w:rPr>
          <w:sz w:val="20"/>
        </w:rPr>
      </w:pPr>
    </w:p>
    <w:p>
      <w:pPr>
        <w:pStyle w:val="BodyText"/>
        <w:spacing w:line="288" w:lineRule="auto"/>
        <w:ind w:left="232" w:right="374"/>
      </w:pPr>
      <w:r>
        <w:rPr/>
        <w:t>Following privatisation of the networks, the 2004 review of Victoria’s energy safety regulators recommended</w:t>
      </w:r>
      <w:r>
        <w:rPr>
          <w:spacing w:val="-4"/>
        </w:rPr>
        <w:t> </w:t>
      </w:r>
      <w:r>
        <w:rPr/>
        <w:t>a</w:t>
      </w:r>
      <w:r>
        <w:rPr>
          <w:spacing w:val="-4"/>
        </w:rPr>
        <w:t> </w:t>
      </w:r>
      <w:r>
        <w:rPr/>
        <w:t>merger</w:t>
      </w:r>
      <w:r>
        <w:rPr>
          <w:spacing w:val="-3"/>
        </w:rPr>
        <w:t> </w:t>
      </w:r>
      <w:r>
        <w:rPr/>
        <w:t>of the</w:t>
      </w:r>
      <w:r>
        <w:rPr>
          <w:spacing w:val="-4"/>
        </w:rPr>
        <w:t> </w:t>
      </w:r>
      <w:r>
        <w:rPr/>
        <w:t>Office</w:t>
      </w:r>
      <w:r>
        <w:rPr>
          <w:spacing w:val="-2"/>
        </w:rPr>
        <w:t> </w:t>
      </w:r>
      <w:r>
        <w:rPr/>
        <w:t>of</w:t>
      </w:r>
      <w:r>
        <w:rPr>
          <w:spacing w:val="-3"/>
        </w:rPr>
        <w:t> </w:t>
      </w:r>
      <w:r>
        <w:rPr/>
        <w:t>the</w:t>
      </w:r>
      <w:r>
        <w:rPr>
          <w:spacing w:val="-2"/>
        </w:rPr>
        <w:t> </w:t>
      </w:r>
      <w:r>
        <w:rPr/>
        <w:t>Chief</w:t>
      </w:r>
      <w:r>
        <w:rPr>
          <w:spacing w:val="-3"/>
        </w:rPr>
        <w:t> </w:t>
      </w:r>
      <w:r>
        <w:rPr/>
        <w:t>Electrical</w:t>
      </w:r>
      <w:r>
        <w:rPr>
          <w:spacing w:val="-3"/>
        </w:rPr>
        <w:t> </w:t>
      </w:r>
      <w:r>
        <w:rPr/>
        <w:t>Inspector</w:t>
      </w:r>
      <w:r>
        <w:rPr>
          <w:spacing w:val="-1"/>
        </w:rPr>
        <w:t> </w:t>
      </w:r>
      <w:r>
        <w:rPr/>
        <w:t>and</w:t>
      </w:r>
      <w:r>
        <w:rPr>
          <w:spacing w:val="-4"/>
        </w:rPr>
        <w:t> </w:t>
      </w:r>
      <w:r>
        <w:rPr/>
        <w:t>the</w:t>
      </w:r>
      <w:r>
        <w:rPr>
          <w:spacing w:val="-2"/>
        </w:rPr>
        <w:t> </w:t>
      </w:r>
      <w:r>
        <w:rPr/>
        <w:t>Office</w:t>
      </w:r>
      <w:r>
        <w:rPr>
          <w:spacing w:val="-4"/>
        </w:rPr>
        <w:t> </w:t>
      </w:r>
      <w:r>
        <w:rPr/>
        <w:t>of Gas</w:t>
      </w:r>
      <w:r>
        <w:rPr>
          <w:spacing w:val="-1"/>
        </w:rPr>
        <w:t> </w:t>
      </w:r>
      <w:r>
        <w:rPr/>
        <w:t>Safety to establish a single, integrated electricity and gas safety regulator. However, the three Acts remained separate. While there have been amendments to align the legislation over time, unnecessary inconsistencies in their application and interpretation remain.</w:t>
      </w:r>
    </w:p>
    <w:p>
      <w:pPr>
        <w:pStyle w:val="BodyText"/>
        <w:spacing w:before="6"/>
        <w:rPr>
          <w:sz w:val="31"/>
        </w:rPr>
      </w:pPr>
    </w:p>
    <w:p>
      <w:pPr>
        <w:pStyle w:val="Heading4"/>
        <w:spacing w:before="0"/>
      </w:pPr>
      <w:r>
        <w:rPr>
          <w:color w:val="585858"/>
        </w:rPr>
        <w:t>A</w:t>
      </w:r>
      <w:r>
        <w:rPr>
          <w:color w:val="585858"/>
          <w:spacing w:val="-22"/>
        </w:rPr>
        <w:t> </w:t>
      </w:r>
      <w:r>
        <w:rPr>
          <w:color w:val="585858"/>
        </w:rPr>
        <w:t>maturing</w:t>
      </w:r>
      <w:r>
        <w:rPr>
          <w:color w:val="585858"/>
          <w:spacing w:val="-9"/>
        </w:rPr>
        <w:t> </w:t>
      </w:r>
      <w:r>
        <w:rPr>
          <w:color w:val="585858"/>
        </w:rPr>
        <w:t>safety</w:t>
      </w:r>
      <w:r>
        <w:rPr>
          <w:color w:val="585858"/>
          <w:spacing w:val="-12"/>
        </w:rPr>
        <w:t> </w:t>
      </w:r>
      <w:r>
        <w:rPr>
          <w:color w:val="585858"/>
        </w:rPr>
        <w:t>case</w:t>
      </w:r>
      <w:r>
        <w:rPr>
          <w:color w:val="585858"/>
          <w:spacing w:val="-9"/>
        </w:rPr>
        <w:t> </w:t>
      </w:r>
      <w:r>
        <w:rPr>
          <w:color w:val="585858"/>
          <w:spacing w:val="-2"/>
        </w:rPr>
        <w:t>regime</w:t>
      </w:r>
    </w:p>
    <w:p>
      <w:pPr>
        <w:pStyle w:val="BodyText"/>
        <w:spacing w:line="288" w:lineRule="auto" w:before="314"/>
        <w:ind w:left="232" w:right="408"/>
      </w:pPr>
      <w:r>
        <w:rPr/>
        <w:t>As</w:t>
      </w:r>
      <w:r>
        <w:rPr>
          <w:spacing w:val="-1"/>
        </w:rPr>
        <w:t> </w:t>
      </w:r>
      <w:r>
        <w:rPr/>
        <w:t>discussed</w:t>
      </w:r>
      <w:r>
        <w:rPr>
          <w:spacing w:val="-2"/>
        </w:rPr>
        <w:t> </w:t>
      </w:r>
      <w:r>
        <w:rPr/>
        <w:t>in</w:t>
      </w:r>
      <w:r>
        <w:rPr>
          <w:spacing w:val="-4"/>
        </w:rPr>
        <w:t> </w:t>
      </w:r>
      <w:r>
        <w:rPr>
          <w:i/>
        </w:rPr>
        <w:t>Part</w:t>
      </w:r>
      <w:r>
        <w:rPr>
          <w:i/>
          <w:spacing w:val="-2"/>
        </w:rPr>
        <w:t> </w:t>
      </w:r>
      <w:r>
        <w:rPr>
          <w:i/>
        </w:rPr>
        <w:t>C:</w:t>
      </w:r>
      <w:r>
        <w:rPr>
          <w:i/>
          <w:spacing w:val="-5"/>
        </w:rPr>
        <w:t> </w:t>
      </w:r>
      <w:r>
        <w:rPr>
          <w:i/>
        </w:rPr>
        <w:t>Leading</w:t>
      </w:r>
      <w:r>
        <w:rPr>
          <w:i/>
          <w:spacing w:val="-2"/>
        </w:rPr>
        <w:t> </w:t>
      </w:r>
      <w:r>
        <w:rPr>
          <w:i/>
        </w:rPr>
        <w:t>Practice</w:t>
      </w:r>
      <w:r>
        <w:rPr>
          <w:i/>
          <w:spacing w:val="-4"/>
        </w:rPr>
        <w:t> </w:t>
      </w:r>
      <w:r>
        <w:rPr>
          <w:i/>
        </w:rPr>
        <w:t>and</w:t>
      </w:r>
      <w:r>
        <w:rPr>
          <w:i/>
          <w:spacing w:val="-2"/>
        </w:rPr>
        <w:t> </w:t>
      </w:r>
      <w:r>
        <w:rPr>
          <w:i/>
        </w:rPr>
        <w:t>Network</w:t>
      </w:r>
      <w:r>
        <w:rPr>
          <w:i/>
          <w:spacing w:val="-4"/>
        </w:rPr>
        <w:t> </w:t>
      </w:r>
      <w:r>
        <w:rPr>
          <w:i/>
        </w:rPr>
        <w:t>Safety</w:t>
      </w:r>
      <w:r>
        <w:rPr>
          <w:i/>
          <w:spacing w:val="-1"/>
        </w:rPr>
        <w:t> </w:t>
      </w:r>
      <w:r>
        <w:rPr>
          <w:i/>
        </w:rPr>
        <w:t>Regulation</w:t>
      </w:r>
      <w:r>
        <w:rPr/>
        <w:t>,</w:t>
      </w:r>
      <w:r>
        <w:rPr>
          <w:spacing w:val="-5"/>
        </w:rPr>
        <w:t> </w:t>
      </w:r>
      <w:r>
        <w:rPr/>
        <w:t>an</w:t>
      </w:r>
      <w:r>
        <w:rPr>
          <w:spacing w:val="-2"/>
        </w:rPr>
        <w:t> </w:t>
      </w:r>
      <w:r>
        <w:rPr/>
        <w:t>outcomes-based approach to regulating network safety is common to the three Acts. Network businesses are required to identify hazards, assess risk, and identify controls and management systems, demonstrating how they will meet their safety duties and any other prescribed matters. The businesses must document and submit these plans to ESV.</w:t>
      </w:r>
    </w:p>
    <w:p>
      <w:pPr>
        <w:pStyle w:val="BodyText"/>
        <w:spacing w:before="8"/>
        <w:rPr>
          <w:sz w:val="20"/>
        </w:rPr>
      </w:pPr>
    </w:p>
    <w:p>
      <w:pPr>
        <w:pStyle w:val="BodyText"/>
        <w:spacing w:line="288" w:lineRule="auto"/>
        <w:ind w:left="232"/>
      </w:pPr>
      <w:r>
        <w:rPr/>
        <w:t>Once</w:t>
      </w:r>
      <w:r>
        <w:rPr>
          <w:spacing w:val="-4"/>
        </w:rPr>
        <w:t> </w:t>
      </w:r>
      <w:r>
        <w:rPr/>
        <w:t>formally</w:t>
      </w:r>
      <w:r>
        <w:rPr>
          <w:spacing w:val="-4"/>
        </w:rPr>
        <w:t> </w:t>
      </w:r>
      <w:r>
        <w:rPr/>
        <w:t>accepted</w:t>
      </w:r>
      <w:r>
        <w:rPr>
          <w:spacing w:val="-6"/>
        </w:rPr>
        <w:t> </w:t>
      </w:r>
      <w:r>
        <w:rPr/>
        <w:t>by</w:t>
      </w:r>
      <w:r>
        <w:rPr>
          <w:spacing w:val="-4"/>
        </w:rPr>
        <w:t> </w:t>
      </w:r>
      <w:r>
        <w:rPr/>
        <w:t>ESV, businesses</w:t>
      </w:r>
      <w:r>
        <w:rPr>
          <w:spacing w:val="-4"/>
        </w:rPr>
        <w:t> </w:t>
      </w:r>
      <w:r>
        <w:rPr/>
        <w:t>must comply</w:t>
      </w:r>
      <w:r>
        <w:rPr>
          <w:spacing w:val="-4"/>
        </w:rPr>
        <w:t> </w:t>
      </w:r>
      <w:r>
        <w:rPr/>
        <w:t>with</w:t>
      </w:r>
      <w:r>
        <w:rPr>
          <w:spacing w:val="-2"/>
        </w:rPr>
        <w:t> </w:t>
      </w:r>
      <w:r>
        <w:rPr/>
        <w:t>these</w:t>
      </w:r>
      <w:r>
        <w:rPr>
          <w:spacing w:val="-2"/>
        </w:rPr>
        <w:t> </w:t>
      </w:r>
      <w:r>
        <w:rPr/>
        <w:t>documents.</w:t>
      </w:r>
      <w:r>
        <w:rPr>
          <w:spacing w:val="-3"/>
        </w:rPr>
        <w:t> </w:t>
      </w:r>
      <w:r>
        <w:rPr/>
        <w:t>The</w:t>
      </w:r>
      <w:r>
        <w:rPr>
          <w:spacing w:val="-4"/>
        </w:rPr>
        <w:t> </w:t>
      </w:r>
      <w:r>
        <w:rPr/>
        <w:t>legislation provides for major five yearly revisions.</w:t>
      </w:r>
    </w:p>
    <w:p>
      <w:pPr>
        <w:pStyle w:val="BodyText"/>
        <w:spacing w:before="10"/>
        <w:rPr>
          <w:sz w:val="20"/>
        </w:rPr>
      </w:pPr>
    </w:p>
    <w:p>
      <w:pPr>
        <w:pStyle w:val="BodyText"/>
        <w:spacing w:line="288" w:lineRule="auto" w:before="1"/>
        <w:ind w:left="232" w:right="296"/>
      </w:pPr>
      <w:r>
        <w:rPr/>
        <w:t>Although this approach is applied in both the gas and electricity sectors, there are some differences.</w:t>
      </w:r>
      <w:r>
        <w:rPr>
          <w:spacing w:val="-2"/>
        </w:rPr>
        <w:t> </w:t>
      </w:r>
      <w:r>
        <w:rPr/>
        <w:t>For</w:t>
      </w:r>
      <w:r>
        <w:rPr>
          <w:spacing w:val="-2"/>
        </w:rPr>
        <w:t> </w:t>
      </w:r>
      <w:r>
        <w:rPr/>
        <w:t>the</w:t>
      </w:r>
      <w:r>
        <w:rPr>
          <w:spacing w:val="-6"/>
        </w:rPr>
        <w:t> </w:t>
      </w:r>
      <w:r>
        <w:rPr/>
        <w:t>gas</w:t>
      </w:r>
      <w:r>
        <w:rPr>
          <w:spacing w:val="-3"/>
        </w:rPr>
        <w:t> </w:t>
      </w:r>
      <w:r>
        <w:rPr/>
        <w:t>sector, ‘Safety</w:t>
      </w:r>
      <w:r>
        <w:rPr>
          <w:spacing w:val="-3"/>
        </w:rPr>
        <w:t> </w:t>
      </w:r>
      <w:r>
        <w:rPr/>
        <w:t>Cases’ were</w:t>
      </w:r>
      <w:r>
        <w:rPr>
          <w:spacing w:val="-3"/>
        </w:rPr>
        <w:t> </w:t>
      </w:r>
      <w:r>
        <w:rPr/>
        <w:t>mandated</w:t>
      </w:r>
      <w:r>
        <w:rPr>
          <w:spacing w:val="-6"/>
        </w:rPr>
        <w:t> </w:t>
      </w:r>
      <w:r>
        <w:rPr/>
        <w:t>from</w:t>
      </w:r>
      <w:r>
        <w:rPr>
          <w:spacing w:val="-2"/>
        </w:rPr>
        <w:t> </w:t>
      </w:r>
      <w:r>
        <w:rPr/>
        <w:t>1997</w:t>
      </w:r>
      <w:r>
        <w:rPr>
          <w:spacing w:val="-2"/>
        </w:rPr>
        <w:t> </w:t>
      </w:r>
      <w:r>
        <w:rPr/>
        <w:t>and</w:t>
      </w:r>
      <w:r>
        <w:rPr>
          <w:spacing w:val="-3"/>
        </w:rPr>
        <w:t> </w:t>
      </w:r>
      <w:r>
        <w:rPr/>
        <w:t>the</w:t>
      </w:r>
      <w:r>
        <w:rPr>
          <w:spacing w:val="-1"/>
        </w:rPr>
        <w:t> </w:t>
      </w:r>
      <w:r>
        <w:rPr/>
        <w:t>current</w:t>
      </w:r>
      <w:r>
        <w:rPr>
          <w:spacing w:val="-2"/>
        </w:rPr>
        <w:t> </w:t>
      </w:r>
      <w:r>
        <w:rPr/>
        <w:t>round</w:t>
      </w:r>
      <w:r>
        <w:rPr>
          <w:spacing w:val="-1"/>
        </w:rPr>
        <w:t> </w:t>
      </w:r>
      <w:r>
        <w:rPr/>
        <w:t>of submissions represent the fourth revision cycle.</w:t>
      </w:r>
    </w:p>
    <w:p>
      <w:pPr>
        <w:pStyle w:val="BodyText"/>
        <w:spacing w:before="9"/>
        <w:rPr>
          <w:sz w:val="20"/>
        </w:rPr>
      </w:pPr>
    </w:p>
    <w:p>
      <w:pPr>
        <w:pStyle w:val="BodyText"/>
        <w:spacing w:line="288" w:lineRule="auto"/>
        <w:ind w:left="232" w:right="374"/>
      </w:pPr>
      <w:r>
        <w:rPr/>
        <w:t>For the electricity sector, from the introduction of the </w:t>
      </w:r>
      <w:r>
        <w:rPr>
          <w:i/>
        </w:rPr>
        <w:t>Electricity Safety Act 1998</w:t>
      </w:r>
      <w:r>
        <w:rPr/>
        <w:t>, companies could apply for exemptions from prescriptive regulations if they elected to have a voluntary Electricity Safety</w:t>
      </w:r>
      <w:r>
        <w:rPr>
          <w:spacing w:val="-4"/>
        </w:rPr>
        <w:t> </w:t>
      </w:r>
      <w:r>
        <w:rPr/>
        <w:t>Management Scheme.</w:t>
      </w:r>
      <w:r>
        <w:rPr>
          <w:spacing w:val="-4"/>
        </w:rPr>
        <w:t> </w:t>
      </w:r>
      <w:r>
        <w:rPr/>
        <w:t>The</w:t>
      </w:r>
      <w:r>
        <w:rPr>
          <w:spacing w:val="-2"/>
        </w:rPr>
        <w:t> </w:t>
      </w:r>
      <w:r>
        <w:rPr/>
        <w:t>electricity</w:t>
      </w:r>
      <w:r>
        <w:rPr>
          <w:spacing w:val="-4"/>
        </w:rPr>
        <w:t> </w:t>
      </w:r>
      <w:r>
        <w:rPr/>
        <w:t>distribution</w:t>
      </w:r>
      <w:r>
        <w:rPr>
          <w:spacing w:val="-2"/>
        </w:rPr>
        <w:t> </w:t>
      </w:r>
      <w:r>
        <w:rPr/>
        <w:t>businesses</w:t>
      </w:r>
      <w:r>
        <w:rPr>
          <w:spacing w:val="-4"/>
        </w:rPr>
        <w:t> </w:t>
      </w:r>
      <w:r>
        <w:rPr/>
        <w:t>made</w:t>
      </w:r>
      <w:r>
        <w:rPr>
          <w:spacing w:val="-6"/>
        </w:rPr>
        <w:t> </w:t>
      </w:r>
      <w:r>
        <w:rPr/>
        <w:t>use</w:t>
      </w:r>
      <w:r>
        <w:rPr>
          <w:spacing w:val="-2"/>
        </w:rPr>
        <w:t> </w:t>
      </w:r>
      <w:r>
        <w:rPr/>
        <w:t>of this</w:t>
      </w:r>
      <w:r>
        <w:rPr>
          <w:spacing w:val="-4"/>
        </w:rPr>
        <w:t> </w:t>
      </w:r>
      <w:r>
        <w:rPr/>
        <w:t>option,</w:t>
      </w:r>
      <w:r>
        <w:rPr>
          <w:spacing w:val="-3"/>
        </w:rPr>
        <w:t> </w:t>
      </w:r>
      <w:r>
        <w:rPr/>
        <w:t>each developing voluntary Electricity Safety Management Schemes which were approved by the Governor in Council in 2003 (AusNet Services, 2017c). From December 2009 Electricity Safety Management Schemes became mandatory for major electricity companies. ESV is currently partway through the second cycle of Electricity Safety Management Scheme (and Safety Case) acceptance processes since they became compulsory.</w:t>
      </w:r>
    </w:p>
    <w:p>
      <w:pPr>
        <w:pStyle w:val="BodyText"/>
        <w:spacing w:before="10"/>
        <w:rPr>
          <w:sz w:val="20"/>
        </w:rPr>
      </w:pPr>
    </w:p>
    <w:p>
      <w:pPr>
        <w:pStyle w:val="BodyText"/>
        <w:spacing w:line="288" w:lineRule="auto"/>
        <w:ind w:left="232" w:right="374"/>
      </w:pPr>
      <w:r>
        <w:rPr/>
        <w:t>ESV has continued to learn and adapt its approach as the regime has developed. In recent years, it has required the demonstration of safety obligations by businesses to be of a higher standard. The two reviews that ESV commissioned by the consulting firm Advisian, both included findings and recommendations in relation to ESV’s approach to safety case based regulation. These are summarised</w:t>
      </w:r>
      <w:r>
        <w:rPr>
          <w:spacing w:val="-2"/>
        </w:rPr>
        <w:t> </w:t>
      </w:r>
      <w:r>
        <w:rPr/>
        <w:t>in</w:t>
      </w:r>
      <w:r>
        <w:rPr>
          <w:spacing w:val="-2"/>
        </w:rPr>
        <w:t> </w:t>
      </w:r>
      <w:r>
        <w:rPr/>
        <w:t>Box</w:t>
      </w:r>
      <w:r>
        <w:rPr>
          <w:spacing w:val="-4"/>
        </w:rPr>
        <w:t> </w:t>
      </w:r>
      <w:r>
        <w:rPr/>
        <w:t>24. Leading up</w:t>
      </w:r>
      <w:r>
        <w:rPr>
          <w:spacing w:val="-4"/>
        </w:rPr>
        <w:t> </w:t>
      </w:r>
      <w:r>
        <w:rPr/>
        <w:t>to, and</w:t>
      </w:r>
      <w:r>
        <w:rPr>
          <w:spacing w:val="-6"/>
        </w:rPr>
        <w:t> </w:t>
      </w:r>
      <w:r>
        <w:rPr/>
        <w:t>following,</w:t>
      </w:r>
      <w:r>
        <w:rPr>
          <w:spacing w:val="-3"/>
        </w:rPr>
        <w:t> </w:t>
      </w:r>
      <w:r>
        <w:rPr/>
        <w:t>these</w:t>
      </w:r>
      <w:r>
        <w:rPr>
          <w:spacing w:val="-4"/>
        </w:rPr>
        <w:t> </w:t>
      </w:r>
      <w:r>
        <w:rPr/>
        <w:t>reviews ESV</w:t>
      </w:r>
      <w:r>
        <w:rPr>
          <w:spacing w:val="-2"/>
        </w:rPr>
        <w:t> </w:t>
      </w:r>
      <w:r>
        <w:rPr/>
        <w:t>has</w:t>
      </w:r>
      <w:r>
        <w:rPr>
          <w:spacing w:val="-1"/>
        </w:rPr>
        <w:t> </w:t>
      </w:r>
      <w:r>
        <w:rPr/>
        <w:t>implemented</w:t>
      </w:r>
      <w:r>
        <w:rPr>
          <w:spacing w:val="-4"/>
        </w:rPr>
        <w:t> </w:t>
      </w:r>
      <w:r>
        <w:rPr/>
        <w:t>reforms to lift its regulatory performance, discussed further below.</w:t>
      </w:r>
    </w:p>
    <w:p>
      <w:pPr>
        <w:spacing w:after="0" w:line="288" w:lineRule="auto"/>
        <w:sectPr>
          <w:pgSz w:w="11910" w:h="16850"/>
          <w:pgMar w:header="220" w:footer="678" w:top="420" w:bottom="860" w:left="900" w:right="840"/>
        </w:sectPr>
      </w:pPr>
    </w:p>
    <w:p>
      <w:pPr>
        <w:pStyle w:val="BodyText"/>
        <w:rPr>
          <w:sz w:val="20"/>
        </w:rPr>
      </w:pPr>
      <w:r>
        <w:rPr/>
        <mc:AlternateContent>
          <mc:Choice Requires="wps">
            <w:drawing>
              <wp:anchor distT="0" distB="0" distL="0" distR="0" allowOverlap="1" layoutInCell="1" locked="0" behindDoc="1" simplePos="0" relativeHeight="482748928">
                <wp:simplePos x="0" y="0"/>
                <wp:positionH relativeFrom="page">
                  <wp:posOffset>719327</wp:posOffset>
                </wp:positionH>
                <wp:positionV relativeFrom="page">
                  <wp:posOffset>612596</wp:posOffset>
                </wp:positionV>
                <wp:extent cx="5870575" cy="9128760"/>
                <wp:effectExtent l="0" t="0" r="0" b="0"/>
                <wp:wrapNone/>
                <wp:docPr id="201" name="Graphic 201"/>
                <wp:cNvGraphicFramePr>
                  <a:graphicFrameLocks/>
                </wp:cNvGraphicFramePr>
                <a:graphic>
                  <a:graphicData uri="http://schemas.microsoft.com/office/word/2010/wordprocessingShape">
                    <wps:wsp>
                      <wps:cNvPr id="201" name="Graphic 201"/>
                      <wps:cNvSpPr/>
                      <wps:spPr>
                        <a:xfrm>
                          <a:off x="0" y="0"/>
                          <a:ext cx="5870575" cy="9128760"/>
                        </a:xfrm>
                        <a:custGeom>
                          <a:avLst/>
                          <a:gdLst/>
                          <a:ahLst/>
                          <a:cxnLst/>
                          <a:rect l="l" t="t" r="r" b="b"/>
                          <a:pathLst>
                            <a:path w="5870575" h="9128760">
                              <a:moveTo>
                                <a:pt x="5870194" y="0"/>
                              </a:moveTo>
                              <a:lnTo>
                                <a:pt x="0" y="0"/>
                              </a:lnTo>
                              <a:lnTo>
                                <a:pt x="0" y="9128506"/>
                              </a:lnTo>
                              <a:lnTo>
                                <a:pt x="5870194" y="9128506"/>
                              </a:lnTo>
                              <a:lnTo>
                                <a:pt x="5870194" y="0"/>
                              </a:lnTo>
                              <a:close/>
                            </a:path>
                          </a:pathLst>
                        </a:custGeom>
                        <a:solidFill>
                          <a:srgbClr val="CDEBEB"/>
                        </a:solidFill>
                      </wps:spPr>
                      <wps:bodyPr wrap="square" lIns="0" tIns="0" rIns="0" bIns="0" rtlCol="0">
                        <a:prstTxWarp prst="textNoShape">
                          <a:avLst/>
                        </a:prstTxWarp>
                        <a:noAutofit/>
                      </wps:bodyPr>
                    </wps:wsp>
                  </a:graphicData>
                </a:graphic>
              </wp:anchor>
            </w:drawing>
          </mc:Choice>
          <mc:Fallback>
            <w:pict>
              <v:rect style="position:absolute;margin-left:56.639999pt;margin-top:48.235977pt;width:462.22pt;height:718.78pt;mso-position-horizontal-relative:page;mso-position-vertical-relative:page;z-index:-20567552" id="docshape170" filled="true" fillcolor="#cdebeb" stroked="false">
                <v:fill type="solid"/>
                <w10:wrap type="none"/>
              </v:rect>
            </w:pict>
          </mc:Fallback>
        </mc:AlternateContent>
      </w:r>
    </w:p>
    <w:p>
      <w:pPr>
        <w:pStyle w:val="BodyText"/>
        <w:rPr>
          <w:sz w:val="20"/>
        </w:rPr>
      </w:pPr>
    </w:p>
    <w:p>
      <w:pPr>
        <w:pStyle w:val="BodyText"/>
        <w:spacing w:before="1"/>
        <w:rPr>
          <w:sz w:val="20"/>
        </w:rPr>
      </w:pPr>
    </w:p>
    <w:p>
      <w:pPr>
        <w:pStyle w:val="Heading7"/>
        <w:spacing w:line="288" w:lineRule="auto" w:before="94"/>
        <w:ind w:left="345" w:right="951"/>
      </w:pPr>
      <w:r>
        <w:rPr/>
        <w:t>Box</w:t>
      </w:r>
      <w:r>
        <w:rPr>
          <w:spacing w:val="-3"/>
        </w:rPr>
        <w:t> </w:t>
      </w:r>
      <w:r>
        <w:rPr/>
        <w:t>24:</w:t>
      </w:r>
      <w:r>
        <w:rPr>
          <w:spacing w:val="-2"/>
        </w:rPr>
        <w:t> </w:t>
      </w:r>
      <w:r>
        <w:rPr/>
        <w:t>Summary</w:t>
      </w:r>
      <w:r>
        <w:rPr>
          <w:spacing w:val="-7"/>
        </w:rPr>
        <w:t> </w:t>
      </w:r>
      <w:r>
        <w:rPr/>
        <w:t>of Advisian</w:t>
      </w:r>
      <w:r>
        <w:rPr>
          <w:spacing w:val="-3"/>
        </w:rPr>
        <w:t> </w:t>
      </w:r>
      <w:r>
        <w:rPr/>
        <w:t>findings</w:t>
      </w:r>
      <w:r>
        <w:rPr>
          <w:spacing w:val="-5"/>
        </w:rPr>
        <w:t> </w:t>
      </w:r>
      <w:r>
        <w:rPr/>
        <w:t>and</w:t>
      </w:r>
      <w:r>
        <w:rPr>
          <w:spacing w:val="-5"/>
        </w:rPr>
        <w:t> </w:t>
      </w:r>
      <w:r>
        <w:rPr/>
        <w:t>recommendations</w:t>
      </w:r>
      <w:r>
        <w:rPr>
          <w:spacing w:val="-5"/>
        </w:rPr>
        <w:t> </w:t>
      </w:r>
      <w:r>
        <w:rPr/>
        <w:t>on</w:t>
      </w:r>
      <w:r>
        <w:rPr>
          <w:spacing w:val="-3"/>
        </w:rPr>
        <w:t> </w:t>
      </w:r>
      <w:r>
        <w:rPr/>
        <w:t>ESV’s</w:t>
      </w:r>
      <w:r>
        <w:rPr>
          <w:spacing w:val="-3"/>
        </w:rPr>
        <w:t> </w:t>
      </w:r>
      <w:r>
        <w:rPr/>
        <w:t>approach</w:t>
      </w:r>
      <w:r>
        <w:rPr>
          <w:spacing w:val="-5"/>
        </w:rPr>
        <w:t> </w:t>
      </w:r>
      <w:r>
        <w:rPr/>
        <w:t>to safety case based regulation.</w:t>
      </w:r>
    </w:p>
    <w:p>
      <w:pPr>
        <w:pStyle w:val="BodyText"/>
        <w:spacing w:before="10"/>
        <w:rPr>
          <w:b/>
          <w:sz w:val="20"/>
        </w:rPr>
      </w:pPr>
    </w:p>
    <w:p>
      <w:pPr>
        <w:pStyle w:val="BodyText"/>
        <w:spacing w:line="288" w:lineRule="auto"/>
        <w:ind w:left="345" w:right="951"/>
      </w:pPr>
      <w:r>
        <w:rPr/>
        <w:t>In</w:t>
      </w:r>
      <w:r>
        <w:rPr>
          <w:spacing w:val="-3"/>
        </w:rPr>
        <w:t> </w:t>
      </w:r>
      <w:r>
        <w:rPr/>
        <w:t>2015,</w:t>
      </w:r>
      <w:r>
        <w:rPr>
          <w:spacing w:val="-1"/>
        </w:rPr>
        <w:t> </w:t>
      </w:r>
      <w:r>
        <w:rPr/>
        <w:t>ESV</w:t>
      </w:r>
      <w:r>
        <w:rPr>
          <w:spacing w:val="-3"/>
        </w:rPr>
        <w:t> </w:t>
      </w:r>
      <w:r>
        <w:rPr/>
        <w:t>engaged</w:t>
      </w:r>
      <w:r>
        <w:rPr>
          <w:spacing w:val="-5"/>
        </w:rPr>
        <w:t> </w:t>
      </w:r>
      <w:r>
        <w:rPr/>
        <w:t>Advisian</w:t>
      </w:r>
      <w:r>
        <w:rPr>
          <w:spacing w:val="-1"/>
        </w:rPr>
        <w:t> </w:t>
      </w:r>
      <w:r>
        <w:rPr/>
        <w:t>for</w:t>
      </w:r>
      <w:r>
        <w:rPr>
          <w:spacing w:val="-4"/>
        </w:rPr>
        <w:t> </w:t>
      </w:r>
      <w:r>
        <w:rPr/>
        <w:t>advice,</w:t>
      </w:r>
      <w:r>
        <w:rPr>
          <w:spacing w:val="-2"/>
        </w:rPr>
        <w:t> </w:t>
      </w:r>
      <w:r>
        <w:rPr/>
        <w:t>including</w:t>
      </w:r>
      <w:r>
        <w:rPr>
          <w:spacing w:val="-2"/>
        </w:rPr>
        <w:t> </w:t>
      </w:r>
      <w:r>
        <w:rPr/>
        <w:t>on</w:t>
      </w:r>
      <w:r>
        <w:rPr>
          <w:spacing w:val="-5"/>
        </w:rPr>
        <w:t> </w:t>
      </w:r>
      <w:r>
        <w:rPr/>
        <w:t>good</w:t>
      </w:r>
      <w:r>
        <w:rPr>
          <w:spacing w:val="-5"/>
        </w:rPr>
        <w:t> </w:t>
      </w:r>
      <w:r>
        <w:rPr/>
        <w:t>practices</w:t>
      </w:r>
      <w:r>
        <w:rPr>
          <w:spacing w:val="-5"/>
        </w:rPr>
        <w:t> </w:t>
      </w:r>
      <w:r>
        <w:rPr/>
        <w:t>that</w:t>
      </w:r>
      <w:r>
        <w:rPr>
          <w:spacing w:val="-1"/>
        </w:rPr>
        <w:t> </w:t>
      </w:r>
      <w:r>
        <w:rPr/>
        <w:t>could</w:t>
      </w:r>
      <w:r>
        <w:rPr>
          <w:spacing w:val="-3"/>
        </w:rPr>
        <w:t> </w:t>
      </w:r>
      <w:r>
        <w:rPr/>
        <w:t>be adopted in Electricity Safety Management Scheme assessments. Advisian made recommendations, including that ESV:</w:t>
      </w:r>
    </w:p>
    <w:p>
      <w:pPr>
        <w:pStyle w:val="BodyText"/>
        <w:spacing w:before="3"/>
      </w:pPr>
    </w:p>
    <w:p>
      <w:pPr>
        <w:pStyle w:val="ListParagraph"/>
        <w:numPr>
          <w:ilvl w:val="0"/>
          <w:numId w:val="81"/>
        </w:numPr>
        <w:tabs>
          <w:tab w:pos="732" w:val="left" w:leader="none"/>
          <w:tab w:pos="734" w:val="left" w:leader="none"/>
        </w:tabs>
        <w:spacing w:line="288" w:lineRule="auto" w:before="0" w:after="0"/>
        <w:ind w:left="734" w:right="910" w:hanging="219"/>
        <w:jc w:val="left"/>
        <w:rPr>
          <w:sz w:val="22"/>
        </w:rPr>
      </w:pPr>
      <w:r>
        <w:rPr>
          <w:sz w:val="22"/>
        </w:rPr>
        <w:t>Establish</w:t>
      </w:r>
      <w:r>
        <w:rPr>
          <w:spacing w:val="-3"/>
          <w:sz w:val="22"/>
        </w:rPr>
        <w:t> </w:t>
      </w:r>
      <w:r>
        <w:rPr>
          <w:sz w:val="22"/>
        </w:rPr>
        <w:t>a</w:t>
      </w:r>
      <w:r>
        <w:rPr>
          <w:spacing w:val="-2"/>
          <w:sz w:val="22"/>
        </w:rPr>
        <w:t> </w:t>
      </w:r>
      <w:r>
        <w:rPr>
          <w:sz w:val="22"/>
        </w:rPr>
        <w:t>sufficiently</w:t>
      </w:r>
      <w:r>
        <w:rPr>
          <w:spacing w:val="-5"/>
          <w:sz w:val="22"/>
        </w:rPr>
        <w:t> </w:t>
      </w:r>
      <w:r>
        <w:rPr>
          <w:sz w:val="22"/>
        </w:rPr>
        <w:t>detailed</w:t>
      </w:r>
      <w:r>
        <w:rPr>
          <w:spacing w:val="-3"/>
          <w:sz w:val="22"/>
        </w:rPr>
        <w:t> </w:t>
      </w:r>
      <w:r>
        <w:rPr>
          <w:sz w:val="22"/>
        </w:rPr>
        <w:t>requirement</w:t>
      </w:r>
      <w:r>
        <w:rPr>
          <w:spacing w:val="-4"/>
          <w:sz w:val="22"/>
        </w:rPr>
        <w:t> </w:t>
      </w:r>
      <w:r>
        <w:rPr>
          <w:sz w:val="22"/>
        </w:rPr>
        <w:t>to</w:t>
      </w:r>
      <w:r>
        <w:rPr>
          <w:spacing w:val="-7"/>
          <w:sz w:val="22"/>
        </w:rPr>
        <w:t> </w:t>
      </w:r>
      <w:r>
        <w:rPr>
          <w:sz w:val="22"/>
        </w:rPr>
        <w:t>guide</w:t>
      </w:r>
      <w:r>
        <w:rPr>
          <w:spacing w:val="-3"/>
          <w:sz w:val="22"/>
        </w:rPr>
        <w:t> </w:t>
      </w:r>
      <w:r>
        <w:rPr>
          <w:sz w:val="22"/>
        </w:rPr>
        <w:t>businesses</w:t>
      </w:r>
      <w:r>
        <w:rPr>
          <w:spacing w:val="-3"/>
          <w:sz w:val="22"/>
        </w:rPr>
        <w:t> </w:t>
      </w:r>
      <w:r>
        <w:rPr>
          <w:sz w:val="22"/>
        </w:rPr>
        <w:t>in</w:t>
      </w:r>
      <w:r>
        <w:rPr>
          <w:spacing w:val="-5"/>
          <w:sz w:val="22"/>
        </w:rPr>
        <w:t> </w:t>
      </w:r>
      <w:r>
        <w:rPr>
          <w:sz w:val="22"/>
        </w:rPr>
        <w:t>making</w:t>
      </w:r>
      <w:r>
        <w:rPr>
          <w:spacing w:val="-3"/>
          <w:sz w:val="22"/>
        </w:rPr>
        <w:t> </w:t>
      </w:r>
      <w:r>
        <w:rPr>
          <w:sz w:val="22"/>
        </w:rPr>
        <w:t>a</w:t>
      </w:r>
      <w:r>
        <w:rPr>
          <w:spacing w:val="-2"/>
          <w:sz w:val="22"/>
        </w:rPr>
        <w:t> </w:t>
      </w:r>
      <w:r>
        <w:rPr>
          <w:sz w:val="22"/>
        </w:rPr>
        <w:t>convincing safety case when requesting Electricity Safety Management Scheme reacceptance. Advisian found that ESV had not required businesses to provide a clear and structured </w:t>
      </w:r>
      <w:r>
        <w:rPr>
          <w:spacing w:val="-2"/>
          <w:sz w:val="22"/>
        </w:rPr>
        <w:t>argument.</w:t>
      </w:r>
    </w:p>
    <w:p>
      <w:pPr>
        <w:pStyle w:val="BodyText"/>
        <w:spacing w:before="1"/>
      </w:pPr>
    </w:p>
    <w:p>
      <w:pPr>
        <w:pStyle w:val="ListParagraph"/>
        <w:numPr>
          <w:ilvl w:val="0"/>
          <w:numId w:val="81"/>
        </w:numPr>
        <w:tabs>
          <w:tab w:pos="732" w:val="left" w:leader="none"/>
          <w:tab w:pos="734" w:val="left" w:leader="none"/>
        </w:tabs>
        <w:spacing w:line="288" w:lineRule="auto" w:before="0" w:after="0"/>
        <w:ind w:left="734" w:right="895" w:hanging="219"/>
        <w:jc w:val="left"/>
        <w:rPr>
          <w:sz w:val="22"/>
        </w:rPr>
      </w:pPr>
      <w:r>
        <w:rPr>
          <w:sz w:val="22"/>
        </w:rPr>
        <w:t>Develop internal guidance on approval requirements and performance/competency standards</w:t>
      </w:r>
      <w:r>
        <w:rPr>
          <w:spacing w:val="-7"/>
          <w:sz w:val="22"/>
        </w:rPr>
        <w:t> </w:t>
      </w:r>
      <w:r>
        <w:rPr>
          <w:sz w:val="22"/>
        </w:rPr>
        <w:t>for</w:t>
      </w:r>
      <w:r>
        <w:rPr>
          <w:spacing w:val="-4"/>
          <w:sz w:val="22"/>
        </w:rPr>
        <w:t> </w:t>
      </w:r>
      <w:r>
        <w:rPr>
          <w:sz w:val="22"/>
        </w:rPr>
        <w:t>renewals,</w:t>
      </w:r>
      <w:r>
        <w:rPr>
          <w:spacing w:val="-4"/>
          <w:sz w:val="22"/>
        </w:rPr>
        <w:t> </w:t>
      </w:r>
      <w:r>
        <w:rPr>
          <w:sz w:val="22"/>
        </w:rPr>
        <w:t>providing</w:t>
      </w:r>
      <w:r>
        <w:rPr>
          <w:spacing w:val="-1"/>
          <w:sz w:val="22"/>
        </w:rPr>
        <w:t> </w:t>
      </w:r>
      <w:r>
        <w:rPr>
          <w:sz w:val="22"/>
        </w:rPr>
        <w:t>clarity</w:t>
      </w:r>
      <w:r>
        <w:rPr>
          <w:spacing w:val="-4"/>
          <w:sz w:val="22"/>
        </w:rPr>
        <w:t> </w:t>
      </w:r>
      <w:r>
        <w:rPr>
          <w:sz w:val="22"/>
        </w:rPr>
        <w:t>on</w:t>
      </w:r>
      <w:r>
        <w:rPr>
          <w:spacing w:val="-5"/>
          <w:sz w:val="22"/>
        </w:rPr>
        <w:t> </w:t>
      </w:r>
      <w:r>
        <w:rPr>
          <w:sz w:val="22"/>
        </w:rPr>
        <w:t>matters</w:t>
      </w:r>
      <w:r>
        <w:rPr>
          <w:spacing w:val="-2"/>
          <w:sz w:val="22"/>
        </w:rPr>
        <w:t> </w:t>
      </w:r>
      <w:r>
        <w:rPr>
          <w:sz w:val="22"/>
        </w:rPr>
        <w:t>including</w:t>
      </w:r>
      <w:r>
        <w:rPr>
          <w:spacing w:val="-3"/>
          <w:sz w:val="22"/>
        </w:rPr>
        <w:t> </w:t>
      </w:r>
      <w:r>
        <w:rPr>
          <w:sz w:val="22"/>
        </w:rPr>
        <w:t>safety</w:t>
      </w:r>
      <w:r>
        <w:rPr>
          <w:spacing w:val="-4"/>
          <w:sz w:val="22"/>
        </w:rPr>
        <w:t> </w:t>
      </w:r>
      <w:r>
        <w:rPr>
          <w:sz w:val="22"/>
        </w:rPr>
        <w:t>case</w:t>
      </w:r>
      <w:r>
        <w:rPr>
          <w:spacing w:val="-8"/>
          <w:sz w:val="22"/>
        </w:rPr>
        <w:t> </w:t>
      </w:r>
      <w:r>
        <w:rPr>
          <w:sz w:val="22"/>
        </w:rPr>
        <w:t>demonstration requirements and risk-based asset management approaches that represent acceptable compliance with safety legislation.</w:t>
      </w:r>
    </w:p>
    <w:p>
      <w:pPr>
        <w:pStyle w:val="BodyText"/>
        <w:spacing w:before="2"/>
      </w:pPr>
    </w:p>
    <w:p>
      <w:pPr>
        <w:pStyle w:val="ListParagraph"/>
        <w:numPr>
          <w:ilvl w:val="0"/>
          <w:numId w:val="81"/>
        </w:numPr>
        <w:tabs>
          <w:tab w:pos="732" w:val="left" w:leader="none"/>
          <w:tab w:pos="734" w:val="left" w:leader="none"/>
        </w:tabs>
        <w:spacing w:line="288" w:lineRule="auto" w:before="0" w:after="0"/>
        <w:ind w:left="734" w:right="1116" w:hanging="219"/>
        <w:jc w:val="left"/>
        <w:rPr>
          <w:sz w:val="22"/>
        </w:rPr>
      </w:pPr>
      <w:r>
        <w:rPr>
          <w:sz w:val="22"/>
        </w:rPr>
        <w:t>Formalise</w:t>
      </w:r>
      <w:r>
        <w:rPr>
          <w:spacing w:val="-5"/>
          <w:sz w:val="22"/>
        </w:rPr>
        <w:t> </w:t>
      </w:r>
      <w:r>
        <w:rPr>
          <w:sz w:val="22"/>
        </w:rPr>
        <w:t>team</w:t>
      </w:r>
      <w:r>
        <w:rPr>
          <w:spacing w:val="-4"/>
          <w:sz w:val="22"/>
        </w:rPr>
        <w:t> </w:t>
      </w:r>
      <w:r>
        <w:rPr>
          <w:sz w:val="22"/>
        </w:rPr>
        <w:t>decision</w:t>
      </w:r>
      <w:r>
        <w:rPr>
          <w:spacing w:val="-4"/>
          <w:sz w:val="22"/>
        </w:rPr>
        <w:t> </w:t>
      </w:r>
      <w:r>
        <w:rPr>
          <w:sz w:val="22"/>
        </w:rPr>
        <w:t>making</w:t>
      </w:r>
      <w:r>
        <w:rPr>
          <w:spacing w:val="-3"/>
          <w:sz w:val="22"/>
        </w:rPr>
        <w:t> </w:t>
      </w:r>
      <w:r>
        <w:rPr>
          <w:sz w:val="22"/>
        </w:rPr>
        <w:t>practices</w:t>
      </w:r>
      <w:r>
        <w:rPr>
          <w:spacing w:val="-7"/>
          <w:sz w:val="22"/>
        </w:rPr>
        <w:t> </w:t>
      </w:r>
      <w:r>
        <w:rPr>
          <w:sz w:val="22"/>
        </w:rPr>
        <w:t>for</w:t>
      </w:r>
      <w:r>
        <w:rPr>
          <w:spacing w:val="-2"/>
          <w:sz w:val="22"/>
        </w:rPr>
        <w:t> </w:t>
      </w:r>
      <w:r>
        <w:rPr>
          <w:sz w:val="22"/>
        </w:rPr>
        <w:t>Electricity</w:t>
      </w:r>
      <w:r>
        <w:rPr>
          <w:spacing w:val="-5"/>
          <w:sz w:val="22"/>
        </w:rPr>
        <w:t> </w:t>
      </w:r>
      <w:r>
        <w:rPr>
          <w:sz w:val="22"/>
        </w:rPr>
        <w:t>Safety</w:t>
      </w:r>
      <w:r>
        <w:rPr>
          <w:spacing w:val="-5"/>
          <w:sz w:val="22"/>
        </w:rPr>
        <w:t> </w:t>
      </w:r>
      <w:r>
        <w:rPr>
          <w:sz w:val="22"/>
        </w:rPr>
        <w:t>Management</w:t>
      </w:r>
      <w:r>
        <w:rPr>
          <w:spacing w:val="-1"/>
          <w:sz w:val="22"/>
        </w:rPr>
        <w:t> </w:t>
      </w:r>
      <w:r>
        <w:rPr>
          <w:sz w:val="22"/>
        </w:rPr>
        <w:t>Scheme acceptances and enforcement decisions. (Advisian, 2015)</w:t>
      </w:r>
    </w:p>
    <w:p>
      <w:pPr>
        <w:pStyle w:val="BodyText"/>
        <w:spacing w:before="10"/>
        <w:rPr>
          <w:sz w:val="20"/>
        </w:rPr>
      </w:pPr>
    </w:p>
    <w:p>
      <w:pPr>
        <w:pStyle w:val="BodyText"/>
        <w:spacing w:line="288" w:lineRule="auto"/>
        <w:ind w:left="345" w:right="374"/>
      </w:pPr>
      <w:r>
        <w:rPr/>
        <w:t>In 2016, ESV engaged Advisian to further assess factors influencing gas Safety Case and pipeline Safety Management Plan production and acceptance cycles. Advisian found that requirements</w:t>
      </w:r>
      <w:r>
        <w:rPr>
          <w:spacing w:val="-6"/>
        </w:rPr>
        <w:t> </w:t>
      </w:r>
      <w:r>
        <w:rPr/>
        <w:t>for</w:t>
      </w:r>
      <w:r>
        <w:rPr>
          <w:spacing w:val="-1"/>
        </w:rPr>
        <w:t> </w:t>
      </w:r>
      <w:r>
        <w:rPr/>
        <w:t>Safety</w:t>
      </w:r>
      <w:r>
        <w:rPr>
          <w:spacing w:val="-6"/>
        </w:rPr>
        <w:t> </w:t>
      </w:r>
      <w:r>
        <w:rPr/>
        <w:t>Cases</w:t>
      </w:r>
      <w:r>
        <w:rPr>
          <w:spacing w:val="-1"/>
        </w:rPr>
        <w:t> </w:t>
      </w:r>
      <w:r>
        <w:rPr/>
        <w:t>and</w:t>
      </w:r>
      <w:r>
        <w:rPr>
          <w:spacing w:val="-2"/>
        </w:rPr>
        <w:t> </w:t>
      </w:r>
      <w:r>
        <w:rPr/>
        <w:t>Safety</w:t>
      </w:r>
      <w:r>
        <w:rPr>
          <w:spacing w:val="-3"/>
        </w:rPr>
        <w:t> </w:t>
      </w:r>
      <w:r>
        <w:rPr/>
        <w:t>Management</w:t>
      </w:r>
      <w:r>
        <w:rPr>
          <w:spacing w:val="-3"/>
        </w:rPr>
        <w:t> </w:t>
      </w:r>
      <w:r>
        <w:rPr/>
        <w:t>Plans</w:t>
      </w:r>
      <w:r>
        <w:rPr>
          <w:spacing w:val="-1"/>
        </w:rPr>
        <w:t> </w:t>
      </w:r>
      <w:r>
        <w:rPr/>
        <w:t>were</w:t>
      </w:r>
      <w:r>
        <w:rPr>
          <w:spacing w:val="-1"/>
        </w:rPr>
        <w:t> </w:t>
      </w:r>
      <w:r>
        <w:rPr/>
        <w:t>not</w:t>
      </w:r>
      <w:r>
        <w:rPr>
          <w:spacing w:val="-3"/>
        </w:rPr>
        <w:t> </w:t>
      </w:r>
      <w:r>
        <w:rPr/>
        <w:t>understood</w:t>
      </w:r>
      <w:r>
        <w:rPr>
          <w:spacing w:val="-4"/>
        </w:rPr>
        <w:t> </w:t>
      </w:r>
      <w:r>
        <w:rPr/>
        <w:t>due</w:t>
      </w:r>
      <w:r>
        <w:rPr>
          <w:spacing w:val="-4"/>
        </w:rPr>
        <w:t> </w:t>
      </w:r>
      <w:r>
        <w:rPr/>
        <w:t>to</w:t>
      </w:r>
      <w:r>
        <w:rPr>
          <w:spacing w:val="-2"/>
        </w:rPr>
        <w:t> </w:t>
      </w:r>
      <w:r>
        <w:rPr/>
        <w:t>a range of factors including:</w:t>
      </w:r>
    </w:p>
    <w:p>
      <w:pPr>
        <w:pStyle w:val="BodyText"/>
        <w:spacing w:before="2"/>
      </w:pPr>
    </w:p>
    <w:p>
      <w:pPr>
        <w:pStyle w:val="ListParagraph"/>
        <w:numPr>
          <w:ilvl w:val="0"/>
          <w:numId w:val="81"/>
        </w:numPr>
        <w:tabs>
          <w:tab w:pos="876" w:val="left" w:leader="none"/>
        </w:tabs>
        <w:spacing w:line="288" w:lineRule="auto" w:before="0" w:after="0"/>
        <w:ind w:left="876" w:right="1059" w:hanging="360"/>
        <w:jc w:val="left"/>
        <w:rPr>
          <w:sz w:val="22"/>
        </w:rPr>
      </w:pPr>
      <w:r>
        <w:rPr>
          <w:sz w:val="22"/>
        </w:rPr>
        <w:t>ESV’s expectations, expert knowledge and policy interpretation to evaluate Safety Cases</w:t>
      </w:r>
      <w:r>
        <w:rPr>
          <w:spacing w:val="-3"/>
          <w:sz w:val="22"/>
        </w:rPr>
        <w:t> </w:t>
      </w:r>
      <w:r>
        <w:rPr>
          <w:sz w:val="22"/>
        </w:rPr>
        <w:t>and</w:t>
      </w:r>
      <w:r>
        <w:rPr>
          <w:spacing w:val="-4"/>
          <w:sz w:val="22"/>
        </w:rPr>
        <w:t> </w:t>
      </w:r>
      <w:r>
        <w:rPr>
          <w:sz w:val="22"/>
        </w:rPr>
        <w:t>Safety</w:t>
      </w:r>
      <w:r>
        <w:rPr>
          <w:spacing w:val="-5"/>
          <w:sz w:val="22"/>
        </w:rPr>
        <w:t> </w:t>
      </w:r>
      <w:r>
        <w:rPr>
          <w:sz w:val="22"/>
        </w:rPr>
        <w:t>Management</w:t>
      </w:r>
      <w:r>
        <w:rPr>
          <w:spacing w:val="-5"/>
          <w:sz w:val="22"/>
        </w:rPr>
        <w:t> </w:t>
      </w:r>
      <w:r>
        <w:rPr>
          <w:sz w:val="22"/>
        </w:rPr>
        <w:t>Plans</w:t>
      </w:r>
      <w:r>
        <w:rPr>
          <w:spacing w:val="-3"/>
          <w:sz w:val="22"/>
        </w:rPr>
        <w:t> </w:t>
      </w:r>
      <w:r>
        <w:rPr>
          <w:sz w:val="22"/>
        </w:rPr>
        <w:t>were</w:t>
      </w:r>
      <w:r>
        <w:rPr>
          <w:spacing w:val="-3"/>
          <w:sz w:val="22"/>
        </w:rPr>
        <w:t> </w:t>
      </w:r>
      <w:r>
        <w:rPr>
          <w:sz w:val="22"/>
        </w:rPr>
        <w:t>not</w:t>
      </w:r>
      <w:r>
        <w:rPr>
          <w:spacing w:val="-5"/>
          <w:sz w:val="22"/>
        </w:rPr>
        <w:t> </w:t>
      </w:r>
      <w:r>
        <w:rPr>
          <w:sz w:val="22"/>
        </w:rPr>
        <w:t>documented</w:t>
      </w:r>
      <w:r>
        <w:rPr>
          <w:spacing w:val="-6"/>
          <w:sz w:val="22"/>
        </w:rPr>
        <w:t> </w:t>
      </w:r>
      <w:r>
        <w:rPr>
          <w:sz w:val="22"/>
        </w:rPr>
        <w:t>within</w:t>
      </w:r>
      <w:r>
        <w:rPr>
          <w:spacing w:val="-4"/>
          <w:sz w:val="22"/>
        </w:rPr>
        <w:t> </w:t>
      </w:r>
      <w:r>
        <w:rPr>
          <w:sz w:val="22"/>
        </w:rPr>
        <w:t>ESV</w:t>
      </w:r>
      <w:r>
        <w:rPr>
          <w:spacing w:val="-4"/>
          <w:sz w:val="22"/>
        </w:rPr>
        <w:t> </w:t>
      </w:r>
      <w:r>
        <w:rPr>
          <w:sz w:val="22"/>
        </w:rPr>
        <w:t>nor</w:t>
      </w:r>
      <w:r>
        <w:rPr>
          <w:spacing w:val="-3"/>
          <w:sz w:val="22"/>
        </w:rPr>
        <w:t> </w:t>
      </w:r>
      <w:r>
        <w:rPr>
          <w:sz w:val="22"/>
        </w:rPr>
        <w:t>publicly;</w:t>
      </w:r>
    </w:p>
    <w:p>
      <w:pPr>
        <w:pStyle w:val="BodyText"/>
        <w:spacing w:before="4"/>
      </w:pPr>
    </w:p>
    <w:p>
      <w:pPr>
        <w:pStyle w:val="ListParagraph"/>
        <w:numPr>
          <w:ilvl w:val="0"/>
          <w:numId w:val="81"/>
        </w:numPr>
        <w:tabs>
          <w:tab w:pos="876" w:val="left" w:leader="none"/>
        </w:tabs>
        <w:spacing w:line="240" w:lineRule="auto" w:before="0" w:after="0"/>
        <w:ind w:left="876" w:right="0" w:hanging="360"/>
        <w:jc w:val="left"/>
        <w:rPr>
          <w:sz w:val="22"/>
        </w:rPr>
      </w:pPr>
      <w:r>
        <w:rPr>
          <w:sz w:val="22"/>
        </w:rPr>
        <w:t>strategic</w:t>
      </w:r>
      <w:r>
        <w:rPr>
          <w:spacing w:val="-5"/>
          <w:sz w:val="22"/>
        </w:rPr>
        <w:t> </w:t>
      </w:r>
      <w:r>
        <w:rPr>
          <w:sz w:val="22"/>
        </w:rPr>
        <w:t>safety</w:t>
      </w:r>
      <w:r>
        <w:rPr>
          <w:spacing w:val="-6"/>
          <w:sz w:val="22"/>
        </w:rPr>
        <w:t> </w:t>
      </w:r>
      <w:r>
        <w:rPr>
          <w:sz w:val="22"/>
        </w:rPr>
        <w:t>priorities</w:t>
      </w:r>
      <w:r>
        <w:rPr>
          <w:spacing w:val="-8"/>
          <w:sz w:val="22"/>
        </w:rPr>
        <w:t> </w:t>
      </w:r>
      <w:r>
        <w:rPr>
          <w:sz w:val="22"/>
        </w:rPr>
        <w:t>or</w:t>
      </w:r>
      <w:r>
        <w:rPr>
          <w:spacing w:val="-4"/>
          <w:sz w:val="22"/>
        </w:rPr>
        <w:t> </w:t>
      </w:r>
      <w:r>
        <w:rPr>
          <w:sz w:val="22"/>
        </w:rPr>
        <w:t>objectives</w:t>
      </w:r>
      <w:r>
        <w:rPr>
          <w:spacing w:val="-5"/>
          <w:sz w:val="22"/>
        </w:rPr>
        <w:t> </w:t>
      </w:r>
      <w:r>
        <w:rPr>
          <w:sz w:val="22"/>
        </w:rPr>
        <w:t>were</w:t>
      </w:r>
      <w:r>
        <w:rPr>
          <w:spacing w:val="-5"/>
          <w:sz w:val="22"/>
        </w:rPr>
        <w:t> </w:t>
      </w:r>
      <w:r>
        <w:rPr>
          <w:sz w:val="22"/>
        </w:rPr>
        <w:t>not</w:t>
      </w:r>
      <w:r>
        <w:rPr>
          <w:spacing w:val="-6"/>
          <w:sz w:val="22"/>
        </w:rPr>
        <w:t> </w:t>
      </w:r>
      <w:r>
        <w:rPr>
          <w:sz w:val="22"/>
        </w:rPr>
        <w:t>widely</w:t>
      </w:r>
      <w:r>
        <w:rPr>
          <w:spacing w:val="-7"/>
          <w:sz w:val="22"/>
        </w:rPr>
        <w:t> </w:t>
      </w:r>
      <w:r>
        <w:rPr>
          <w:spacing w:val="-2"/>
          <w:sz w:val="22"/>
        </w:rPr>
        <w:t>known;</w:t>
      </w:r>
    </w:p>
    <w:p>
      <w:pPr>
        <w:pStyle w:val="BodyText"/>
        <w:spacing w:before="5"/>
        <w:rPr>
          <w:sz w:val="26"/>
        </w:rPr>
      </w:pPr>
    </w:p>
    <w:p>
      <w:pPr>
        <w:pStyle w:val="ListParagraph"/>
        <w:numPr>
          <w:ilvl w:val="0"/>
          <w:numId w:val="81"/>
        </w:numPr>
        <w:tabs>
          <w:tab w:pos="876" w:val="left" w:leader="none"/>
        </w:tabs>
        <w:spacing w:line="240" w:lineRule="auto" w:before="0" w:after="0"/>
        <w:ind w:left="876" w:right="0" w:hanging="360"/>
        <w:jc w:val="left"/>
        <w:rPr>
          <w:sz w:val="22"/>
        </w:rPr>
      </w:pPr>
      <w:r>
        <w:rPr>
          <w:sz w:val="22"/>
        </w:rPr>
        <w:t>feedback</w:t>
      </w:r>
      <w:r>
        <w:rPr>
          <w:spacing w:val="-4"/>
          <w:sz w:val="22"/>
        </w:rPr>
        <w:t> </w:t>
      </w:r>
      <w:r>
        <w:rPr>
          <w:sz w:val="22"/>
        </w:rPr>
        <w:t>was</w:t>
      </w:r>
      <w:r>
        <w:rPr>
          <w:spacing w:val="-7"/>
          <w:sz w:val="22"/>
        </w:rPr>
        <w:t> </w:t>
      </w:r>
      <w:r>
        <w:rPr>
          <w:sz w:val="22"/>
        </w:rPr>
        <w:t>usually</w:t>
      </w:r>
      <w:r>
        <w:rPr>
          <w:spacing w:val="-8"/>
          <w:sz w:val="22"/>
        </w:rPr>
        <w:t> </w:t>
      </w:r>
      <w:r>
        <w:rPr>
          <w:sz w:val="22"/>
        </w:rPr>
        <w:t>directly</w:t>
      </w:r>
      <w:r>
        <w:rPr>
          <w:spacing w:val="-8"/>
          <w:sz w:val="22"/>
        </w:rPr>
        <w:t> </w:t>
      </w:r>
      <w:r>
        <w:rPr>
          <w:sz w:val="22"/>
        </w:rPr>
        <w:t>verbal</w:t>
      </w:r>
      <w:r>
        <w:rPr>
          <w:spacing w:val="-7"/>
          <w:sz w:val="22"/>
        </w:rPr>
        <w:t> </w:t>
      </w:r>
      <w:r>
        <w:rPr>
          <w:sz w:val="22"/>
        </w:rPr>
        <w:t>with</w:t>
      </w:r>
      <w:r>
        <w:rPr>
          <w:spacing w:val="-6"/>
          <w:sz w:val="22"/>
        </w:rPr>
        <w:t> </w:t>
      </w:r>
      <w:r>
        <w:rPr>
          <w:sz w:val="22"/>
        </w:rPr>
        <w:t>individuals</w:t>
      </w:r>
      <w:r>
        <w:rPr>
          <w:spacing w:val="-9"/>
          <w:sz w:val="22"/>
        </w:rPr>
        <w:t> </w:t>
      </w:r>
      <w:r>
        <w:rPr>
          <w:sz w:val="22"/>
        </w:rPr>
        <w:t>from</w:t>
      </w:r>
      <w:r>
        <w:rPr>
          <w:spacing w:val="-7"/>
          <w:sz w:val="22"/>
        </w:rPr>
        <w:t> </w:t>
      </w:r>
      <w:r>
        <w:rPr>
          <w:sz w:val="22"/>
        </w:rPr>
        <w:t>companies;</w:t>
      </w:r>
      <w:r>
        <w:rPr>
          <w:spacing w:val="-4"/>
          <w:sz w:val="22"/>
        </w:rPr>
        <w:t> </w:t>
      </w:r>
      <w:r>
        <w:rPr>
          <w:spacing w:val="-5"/>
          <w:sz w:val="22"/>
        </w:rPr>
        <w:t>and</w:t>
      </w:r>
    </w:p>
    <w:p>
      <w:pPr>
        <w:pStyle w:val="BodyText"/>
        <w:spacing w:before="7"/>
        <w:rPr>
          <w:sz w:val="26"/>
        </w:rPr>
      </w:pPr>
    </w:p>
    <w:p>
      <w:pPr>
        <w:pStyle w:val="ListParagraph"/>
        <w:numPr>
          <w:ilvl w:val="0"/>
          <w:numId w:val="81"/>
        </w:numPr>
        <w:tabs>
          <w:tab w:pos="876" w:val="left" w:leader="none"/>
        </w:tabs>
        <w:spacing w:line="288" w:lineRule="auto" w:before="0" w:after="0"/>
        <w:ind w:left="876" w:right="946" w:hanging="360"/>
        <w:jc w:val="left"/>
        <w:rPr>
          <w:sz w:val="22"/>
        </w:rPr>
      </w:pPr>
      <w:r>
        <w:rPr>
          <w:sz w:val="22"/>
        </w:rPr>
        <w:t>the</w:t>
      </w:r>
      <w:r>
        <w:rPr>
          <w:spacing w:val="-3"/>
          <w:sz w:val="22"/>
        </w:rPr>
        <w:t> </w:t>
      </w:r>
      <w:r>
        <w:rPr>
          <w:sz w:val="22"/>
        </w:rPr>
        <w:t>Safety</w:t>
      </w:r>
      <w:r>
        <w:rPr>
          <w:spacing w:val="-4"/>
          <w:sz w:val="22"/>
        </w:rPr>
        <w:t> </w:t>
      </w:r>
      <w:r>
        <w:rPr>
          <w:sz w:val="22"/>
        </w:rPr>
        <w:t>Case</w:t>
      </w:r>
      <w:r>
        <w:rPr>
          <w:spacing w:val="-3"/>
          <w:sz w:val="22"/>
        </w:rPr>
        <w:t> </w:t>
      </w:r>
      <w:r>
        <w:rPr>
          <w:sz w:val="22"/>
        </w:rPr>
        <w:t>and</w:t>
      </w:r>
      <w:r>
        <w:rPr>
          <w:spacing w:val="-5"/>
          <w:sz w:val="22"/>
        </w:rPr>
        <w:t> </w:t>
      </w:r>
      <w:r>
        <w:rPr>
          <w:sz w:val="22"/>
        </w:rPr>
        <w:t>Safety</w:t>
      </w:r>
      <w:r>
        <w:rPr>
          <w:spacing w:val="-4"/>
          <w:sz w:val="22"/>
        </w:rPr>
        <w:t> </w:t>
      </w:r>
      <w:r>
        <w:rPr>
          <w:sz w:val="22"/>
        </w:rPr>
        <w:t>Management</w:t>
      </w:r>
      <w:r>
        <w:rPr>
          <w:spacing w:val="-4"/>
          <w:sz w:val="22"/>
        </w:rPr>
        <w:t> </w:t>
      </w:r>
      <w:r>
        <w:rPr>
          <w:sz w:val="22"/>
        </w:rPr>
        <w:t>Plan</w:t>
      </w:r>
      <w:r>
        <w:rPr>
          <w:spacing w:val="-3"/>
          <w:sz w:val="22"/>
        </w:rPr>
        <w:t> </w:t>
      </w:r>
      <w:r>
        <w:rPr>
          <w:sz w:val="22"/>
        </w:rPr>
        <w:t>evaluation</w:t>
      </w:r>
      <w:r>
        <w:rPr>
          <w:spacing w:val="-3"/>
          <w:sz w:val="22"/>
        </w:rPr>
        <w:t> </w:t>
      </w:r>
      <w:r>
        <w:rPr>
          <w:sz w:val="22"/>
        </w:rPr>
        <w:t>process</w:t>
      </w:r>
      <w:r>
        <w:rPr>
          <w:spacing w:val="-5"/>
          <w:sz w:val="22"/>
        </w:rPr>
        <w:t> </w:t>
      </w:r>
      <w:r>
        <w:rPr>
          <w:sz w:val="22"/>
        </w:rPr>
        <w:t>was</w:t>
      </w:r>
      <w:r>
        <w:rPr>
          <w:spacing w:val="-3"/>
          <w:sz w:val="22"/>
        </w:rPr>
        <w:t> </w:t>
      </w:r>
      <w:r>
        <w:rPr>
          <w:sz w:val="22"/>
        </w:rPr>
        <w:t>not</w:t>
      </w:r>
      <w:r>
        <w:rPr>
          <w:spacing w:val="-4"/>
          <w:sz w:val="22"/>
        </w:rPr>
        <w:t> </w:t>
      </w:r>
      <w:r>
        <w:rPr>
          <w:sz w:val="22"/>
        </w:rPr>
        <w:t>structured, relying on a small group of specialists and with limited governance and quality </w:t>
      </w:r>
      <w:r>
        <w:rPr>
          <w:spacing w:val="-2"/>
          <w:sz w:val="22"/>
        </w:rPr>
        <w:t>assurance.</w:t>
      </w:r>
    </w:p>
    <w:p>
      <w:pPr>
        <w:pStyle w:val="BodyText"/>
        <w:spacing w:before="9"/>
        <w:rPr>
          <w:sz w:val="20"/>
        </w:rPr>
      </w:pPr>
    </w:p>
    <w:p>
      <w:pPr>
        <w:pStyle w:val="BodyText"/>
        <w:spacing w:line="288" w:lineRule="auto"/>
        <w:ind w:left="345" w:right="868"/>
      </w:pPr>
      <w:r>
        <w:rPr/>
        <w:t>Advisian recommended ESV develop revised guidance materials including industry safety priorities</w:t>
      </w:r>
      <w:r>
        <w:rPr>
          <w:spacing w:val="-2"/>
        </w:rPr>
        <w:t> </w:t>
      </w:r>
      <w:r>
        <w:rPr/>
        <w:t>and</w:t>
      </w:r>
      <w:r>
        <w:rPr>
          <w:spacing w:val="-4"/>
        </w:rPr>
        <w:t> </w:t>
      </w:r>
      <w:r>
        <w:rPr/>
        <w:t>safety</w:t>
      </w:r>
      <w:r>
        <w:rPr>
          <w:spacing w:val="-4"/>
        </w:rPr>
        <w:t> </w:t>
      </w:r>
      <w:r>
        <w:rPr/>
        <w:t>case</w:t>
      </w:r>
      <w:r>
        <w:rPr>
          <w:spacing w:val="-4"/>
        </w:rPr>
        <w:t> </w:t>
      </w:r>
      <w:r>
        <w:rPr/>
        <w:t>requirements,</w:t>
      </w:r>
      <w:r>
        <w:rPr>
          <w:spacing w:val="-3"/>
        </w:rPr>
        <w:t> </w:t>
      </w:r>
      <w:r>
        <w:rPr/>
        <w:t>and</w:t>
      </w:r>
      <w:r>
        <w:rPr>
          <w:spacing w:val="-2"/>
        </w:rPr>
        <w:t> </w:t>
      </w:r>
      <w:r>
        <w:rPr/>
        <w:t>provide</w:t>
      </w:r>
      <w:r>
        <w:rPr>
          <w:spacing w:val="-2"/>
        </w:rPr>
        <w:t> </w:t>
      </w:r>
      <w:r>
        <w:rPr/>
        <w:t>these</w:t>
      </w:r>
      <w:r>
        <w:rPr>
          <w:spacing w:val="-4"/>
        </w:rPr>
        <w:t> </w:t>
      </w:r>
      <w:r>
        <w:rPr/>
        <w:t>to</w:t>
      </w:r>
      <w:r>
        <w:rPr>
          <w:spacing w:val="-4"/>
        </w:rPr>
        <w:t> </w:t>
      </w:r>
      <w:r>
        <w:rPr/>
        <w:t>industry</w:t>
      </w:r>
      <w:r>
        <w:rPr>
          <w:spacing w:val="-4"/>
        </w:rPr>
        <w:t> </w:t>
      </w:r>
      <w:r>
        <w:rPr/>
        <w:t>before</w:t>
      </w:r>
      <w:r>
        <w:rPr>
          <w:spacing w:val="-2"/>
        </w:rPr>
        <w:t> </w:t>
      </w:r>
      <w:r>
        <w:rPr/>
        <w:t>starting</w:t>
      </w:r>
      <w:r>
        <w:rPr>
          <w:spacing w:val="-2"/>
        </w:rPr>
        <w:t> </w:t>
      </w:r>
      <w:r>
        <w:rPr/>
        <w:t>Safety Case and Safety Management Plan development. Other recommendations included:</w:t>
      </w:r>
    </w:p>
    <w:p>
      <w:pPr>
        <w:pStyle w:val="BodyText"/>
        <w:spacing w:before="3"/>
      </w:pPr>
    </w:p>
    <w:p>
      <w:pPr>
        <w:pStyle w:val="ListParagraph"/>
        <w:numPr>
          <w:ilvl w:val="0"/>
          <w:numId w:val="81"/>
        </w:numPr>
        <w:tabs>
          <w:tab w:pos="732" w:val="left" w:leader="none"/>
          <w:tab w:pos="734" w:val="left" w:leader="none"/>
        </w:tabs>
        <w:spacing w:line="288" w:lineRule="auto" w:before="1" w:after="0"/>
        <w:ind w:left="734" w:right="1098" w:hanging="219"/>
        <w:jc w:val="left"/>
        <w:rPr>
          <w:sz w:val="22"/>
        </w:rPr>
      </w:pPr>
      <w:r>
        <w:rPr>
          <w:sz w:val="22"/>
        </w:rPr>
        <w:t>documenting</w:t>
      </w:r>
      <w:r>
        <w:rPr>
          <w:spacing w:val="-4"/>
          <w:sz w:val="22"/>
        </w:rPr>
        <w:t> </w:t>
      </w:r>
      <w:r>
        <w:rPr>
          <w:sz w:val="22"/>
        </w:rPr>
        <w:t>formal</w:t>
      </w:r>
      <w:r>
        <w:rPr>
          <w:spacing w:val="-3"/>
          <w:sz w:val="22"/>
        </w:rPr>
        <w:t> </w:t>
      </w:r>
      <w:r>
        <w:rPr>
          <w:sz w:val="22"/>
        </w:rPr>
        <w:t>evaluation</w:t>
      </w:r>
      <w:r>
        <w:rPr>
          <w:spacing w:val="-2"/>
          <w:sz w:val="22"/>
        </w:rPr>
        <w:t> </w:t>
      </w:r>
      <w:r>
        <w:rPr>
          <w:sz w:val="22"/>
        </w:rPr>
        <w:t>methods</w:t>
      </w:r>
      <w:r>
        <w:rPr>
          <w:spacing w:val="-4"/>
          <w:sz w:val="22"/>
        </w:rPr>
        <w:t> </w:t>
      </w:r>
      <w:r>
        <w:rPr>
          <w:sz w:val="22"/>
        </w:rPr>
        <w:t>and</w:t>
      </w:r>
      <w:r>
        <w:rPr>
          <w:spacing w:val="-2"/>
          <w:sz w:val="22"/>
        </w:rPr>
        <w:t> </w:t>
      </w:r>
      <w:r>
        <w:rPr>
          <w:sz w:val="22"/>
        </w:rPr>
        <w:t>a</w:t>
      </w:r>
      <w:r>
        <w:rPr>
          <w:spacing w:val="-4"/>
          <w:sz w:val="22"/>
        </w:rPr>
        <w:t> </w:t>
      </w:r>
      <w:r>
        <w:rPr>
          <w:sz w:val="22"/>
        </w:rPr>
        <w:t>structured</w:t>
      </w:r>
      <w:r>
        <w:rPr>
          <w:spacing w:val="-4"/>
          <w:sz w:val="22"/>
        </w:rPr>
        <w:t> </w:t>
      </w:r>
      <w:r>
        <w:rPr>
          <w:sz w:val="22"/>
        </w:rPr>
        <w:t>approach</w:t>
      </w:r>
      <w:r>
        <w:rPr>
          <w:spacing w:val="-7"/>
          <w:sz w:val="22"/>
        </w:rPr>
        <w:t> </w:t>
      </w:r>
      <w:r>
        <w:rPr>
          <w:sz w:val="22"/>
        </w:rPr>
        <w:t>to</w:t>
      </w:r>
      <w:r>
        <w:rPr>
          <w:spacing w:val="-2"/>
          <w:sz w:val="22"/>
        </w:rPr>
        <w:t> </w:t>
      </w:r>
      <w:r>
        <w:rPr>
          <w:sz w:val="22"/>
        </w:rPr>
        <w:t>developing and providing feedback;</w:t>
      </w:r>
    </w:p>
    <w:p>
      <w:pPr>
        <w:pStyle w:val="BodyText"/>
        <w:spacing w:before="1"/>
      </w:pPr>
    </w:p>
    <w:p>
      <w:pPr>
        <w:pStyle w:val="ListParagraph"/>
        <w:numPr>
          <w:ilvl w:val="0"/>
          <w:numId w:val="81"/>
        </w:numPr>
        <w:tabs>
          <w:tab w:pos="733" w:val="left" w:leader="none"/>
        </w:tabs>
        <w:spacing w:line="240" w:lineRule="auto" w:before="0" w:after="0"/>
        <w:ind w:left="733" w:right="0" w:hanging="217"/>
        <w:jc w:val="left"/>
        <w:rPr>
          <w:sz w:val="22"/>
        </w:rPr>
      </w:pPr>
      <w:r>
        <w:rPr>
          <w:sz w:val="22"/>
        </w:rPr>
        <w:t>guidance</w:t>
      </w:r>
      <w:r>
        <w:rPr>
          <w:spacing w:val="-5"/>
          <w:sz w:val="22"/>
        </w:rPr>
        <w:t> </w:t>
      </w:r>
      <w:r>
        <w:rPr>
          <w:sz w:val="22"/>
        </w:rPr>
        <w:t>on</w:t>
      </w:r>
      <w:r>
        <w:rPr>
          <w:spacing w:val="-6"/>
          <w:sz w:val="22"/>
        </w:rPr>
        <w:t> </w:t>
      </w:r>
      <w:r>
        <w:rPr>
          <w:sz w:val="22"/>
        </w:rPr>
        <w:t>what</w:t>
      </w:r>
      <w:r>
        <w:rPr>
          <w:spacing w:val="-3"/>
          <w:sz w:val="22"/>
        </w:rPr>
        <w:t> </w:t>
      </w:r>
      <w:r>
        <w:rPr>
          <w:sz w:val="22"/>
        </w:rPr>
        <w:t>“triggers”</w:t>
      </w:r>
      <w:r>
        <w:rPr>
          <w:spacing w:val="-5"/>
          <w:sz w:val="22"/>
        </w:rPr>
        <w:t> </w:t>
      </w:r>
      <w:r>
        <w:rPr>
          <w:sz w:val="22"/>
        </w:rPr>
        <w:t>a</w:t>
      </w:r>
      <w:r>
        <w:rPr>
          <w:spacing w:val="-5"/>
          <w:sz w:val="22"/>
        </w:rPr>
        <w:t> </w:t>
      </w:r>
      <w:r>
        <w:rPr>
          <w:sz w:val="22"/>
        </w:rPr>
        <w:t>notification</w:t>
      </w:r>
      <w:r>
        <w:rPr>
          <w:spacing w:val="-4"/>
          <w:sz w:val="22"/>
        </w:rPr>
        <w:t> </w:t>
      </w:r>
      <w:r>
        <w:rPr>
          <w:sz w:val="22"/>
        </w:rPr>
        <w:t>of</w:t>
      </w:r>
      <w:r>
        <w:rPr>
          <w:spacing w:val="-3"/>
          <w:sz w:val="22"/>
        </w:rPr>
        <w:t> </w:t>
      </w:r>
      <w:r>
        <w:rPr>
          <w:sz w:val="22"/>
        </w:rPr>
        <w:t>Safety</w:t>
      </w:r>
      <w:r>
        <w:rPr>
          <w:spacing w:val="-6"/>
          <w:sz w:val="22"/>
        </w:rPr>
        <w:t> </w:t>
      </w:r>
      <w:r>
        <w:rPr>
          <w:sz w:val="22"/>
        </w:rPr>
        <w:t>Case</w:t>
      </w:r>
      <w:r>
        <w:rPr>
          <w:spacing w:val="-4"/>
          <w:sz w:val="22"/>
        </w:rPr>
        <w:t> </w:t>
      </w:r>
      <w:r>
        <w:rPr>
          <w:sz w:val="22"/>
        </w:rPr>
        <w:t>changes</w:t>
      </w:r>
      <w:r>
        <w:rPr>
          <w:spacing w:val="-7"/>
          <w:sz w:val="22"/>
        </w:rPr>
        <w:t> </w:t>
      </w:r>
      <w:r>
        <w:rPr>
          <w:sz w:val="22"/>
        </w:rPr>
        <w:t>to</w:t>
      </w:r>
      <w:r>
        <w:rPr>
          <w:spacing w:val="-4"/>
          <w:sz w:val="22"/>
        </w:rPr>
        <w:t> </w:t>
      </w:r>
      <w:r>
        <w:rPr>
          <w:sz w:val="22"/>
        </w:rPr>
        <w:t>ESV;</w:t>
      </w:r>
      <w:r>
        <w:rPr>
          <w:spacing w:val="-7"/>
          <w:sz w:val="22"/>
        </w:rPr>
        <w:t> </w:t>
      </w:r>
      <w:r>
        <w:rPr>
          <w:spacing w:val="-5"/>
          <w:sz w:val="22"/>
        </w:rPr>
        <w:t>and</w:t>
      </w:r>
    </w:p>
    <w:p>
      <w:pPr>
        <w:pStyle w:val="BodyText"/>
        <w:spacing w:before="7"/>
        <w:rPr>
          <w:sz w:val="26"/>
        </w:rPr>
      </w:pPr>
    </w:p>
    <w:p>
      <w:pPr>
        <w:pStyle w:val="ListParagraph"/>
        <w:numPr>
          <w:ilvl w:val="0"/>
          <w:numId w:val="81"/>
        </w:numPr>
        <w:tabs>
          <w:tab w:pos="732" w:val="left" w:leader="none"/>
          <w:tab w:pos="734" w:val="left" w:leader="none"/>
        </w:tabs>
        <w:spacing w:line="288" w:lineRule="auto" w:before="0" w:after="0"/>
        <w:ind w:left="734" w:right="1066" w:hanging="219"/>
        <w:jc w:val="both"/>
        <w:rPr>
          <w:sz w:val="22"/>
        </w:rPr>
      </w:pPr>
      <w:r>
        <w:rPr>
          <w:sz w:val="22"/>
        </w:rPr>
        <w:t>establishing</w:t>
      </w:r>
      <w:r>
        <w:rPr>
          <w:spacing w:val="-2"/>
          <w:sz w:val="22"/>
        </w:rPr>
        <w:t> </w:t>
      </w:r>
      <w:r>
        <w:rPr>
          <w:sz w:val="22"/>
        </w:rPr>
        <w:t>procedures</w:t>
      </w:r>
      <w:r>
        <w:rPr>
          <w:spacing w:val="-6"/>
          <w:sz w:val="22"/>
        </w:rPr>
        <w:t> </w:t>
      </w:r>
      <w:r>
        <w:rPr>
          <w:sz w:val="22"/>
        </w:rPr>
        <w:t>that</w:t>
      </w:r>
      <w:r>
        <w:rPr>
          <w:spacing w:val="-2"/>
          <w:sz w:val="22"/>
        </w:rPr>
        <w:t> </w:t>
      </w:r>
      <w:r>
        <w:rPr>
          <w:sz w:val="22"/>
        </w:rPr>
        <w:t>ensure</w:t>
      </w:r>
      <w:r>
        <w:rPr>
          <w:spacing w:val="-4"/>
          <w:sz w:val="22"/>
        </w:rPr>
        <w:t> </w:t>
      </w:r>
      <w:r>
        <w:rPr>
          <w:sz w:val="22"/>
        </w:rPr>
        <w:t>evaluation</w:t>
      </w:r>
      <w:r>
        <w:rPr>
          <w:spacing w:val="-4"/>
          <w:sz w:val="22"/>
        </w:rPr>
        <w:t> </w:t>
      </w:r>
      <w:r>
        <w:rPr>
          <w:sz w:val="22"/>
        </w:rPr>
        <w:t>outputs</w:t>
      </w:r>
      <w:r>
        <w:rPr>
          <w:spacing w:val="-6"/>
          <w:sz w:val="22"/>
        </w:rPr>
        <w:t> </w:t>
      </w:r>
      <w:r>
        <w:rPr>
          <w:sz w:val="22"/>
        </w:rPr>
        <w:t>(for</w:t>
      </w:r>
      <w:r>
        <w:rPr>
          <w:spacing w:val="-5"/>
          <w:sz w:val="22"/>
        </w:rPr>
        <w:t> </w:t>
      </w:r>
      <w:r>
        <w:rPr>
          <w:sz w:val="22"/>
        </w:rPr>
        <w:t>example</w:t>
      </w:r>
      <w:r>
        <w:rPr>
          <w:spacing w:val="-4"/>
          <w:sz w:val="22"/>
        </w:rPr>
        <w:t> </w:t>
      </w:r>
      <w:r>
        <w:rPr>
          <w:sz w:val="22"/>
        </w:rPr>
        <w:t>risk</w:t>
      </w:r>
      <w:r>
        <w:rPr>
          <w:spacing w:val="-3"/>
          <w:sz w:val="22"/>
        </w:rPr>
        <w:t> </w:t>
      </w:r>
      <w:r>
        <w:rPr>
          <w:sz w:val="22"/>
        </w:rPr>
        <w:t>assessments and safety</w:t>
      </w:r>
      <w:r>
        <w:rPr>
          <w:spacing w:val="-2"/>
          <w:sz w:val="22"/>
        </w:rPr>
        <w:t> </w:t>
      </w:r>
      <w:r>
        <w:rPr>
          <w:sz w:val="22"/>
        </w:rPr>
        <w:t>priorities) directly</w:t>
      </w:r>
      <w:r>
        <w:rPr>
          <w:spacing w:val="-2"/>
          <w:sz w:val="22"/>
        </w:rPr>
        <w:t> </w:t>
      </w:r>
      <w:r>
        <w:rPr>
          <w:sz w:val="22"/>
        </w:rPr>
        <w:t>inform</w:t>
      </w:r>
      <w:r>
        <w:rPr>
          <w:spacing w:val="-1"/>
          <w:sz w:val="22"/>
        </w:rPr>
        <w:t> </w:t>
      </w:r>
      <w:r>
        <w:rPr>
          <w:sz w:val="22"/>
        </w:rPr>
        <w:t>ongoing surveillance activities after</w:t>
      </w:r>
      <w:r>
        <w:rPr>
          <w:spacing w:val="-1"/>
          <w:sz w:val="22"/>
        </w:rPr>
        <w:t> </w:t>
      </w:r>
      <w:r>
        <w:rPr>
          <w:sz w:val="22"/>
        </w:rPr>
        <w:t>a Safety</w:t>
      </w:r>
      <w:r>
        <w:rPr>
          <w:spacing w:val="-1"/>
          <w:sz w:val="22"/>
        </w:rPr>
        <w:t> </w:t>
      </w:r>
      <w:r>
        <w:rPr>
          <w:sz w:val="22"/>
        </w:rPr>
        <w:t>Case has been accepted. (Advisian, 2016)</w:t>
      </w:r>
    </w:p>
    <w:p>
      <w:pPr>
        <w:spacing w:after="0" w:line="288" w:lineRule="auto"/>
        <w:jc w:val="both"/>
        <w:rPr>
          <w:sz w:val="22"/>
        </w:rPr>
        <w:sectPr>
          <w:pgSz w:w="11910" w:h="16850"/>
          <w:pgMar w:header="220" w:footer="678" w:top="420" w:bottom="860" w:left="900" w:right="840"/>
        </w:sectPr>
      </w:pPr>
    </w:p>
    <w:p>
      <w:pPr>
        <w:pStyle w:val="BodyText"/>
        <w:rPr>
          <w:sz w:val="20"/>
        </w:rPr>
      </w:pPr>
    </w:p>
    <w:p>
      <w:pPr>
        <w:pStyle w:val="BodyText"/>
        <w:spacing w:before="7"/>
        <w:rPr>
          <w:sz w:val="19"/>
        </w:rPr>
      </w:pPr>
    </w:p>
    <w:p>
      <w:pPr>
        <w:pStyle w:val="Heading4"/>
      </w:pPr>
      <w:r>
        <w:rPr>
          <w:color w:val="585858"/>
        </w:rPr>
        <w:t>Consolidating</w:t>
      </w:r>
      <w:r>
        <w:rPr>
          <w:color w:val="585858"/>
          <w:spacing w:val="-21"/>
        </w:rPr>
        <w:t> </w:t>
      </w:r>
      <w:r>
        <w:rPr>
          <w:color w:val="585858"/>
          <w:spacing w:val="-2"/>
        </w:rPr>
        <w:t>legislation</w:t>
      </w:r>
    </w:p>
    <w:p>
      <w:pPr>
        <w:pStyle w:val="BodyText"/>
        <w:spacing w:line="288" w:lineRule="auto" w:before="314"/>
        <w:ind w:left="232" w:right="374"/>
      </w:pPr>
      <w:r>
        <w:rPr/>
        <w:t>The</w:t>
      </w:r>
      <w:r>
        <w:rPr>
          <w:spacing w:val="-4"/>
        </w:rPr>
        <w:t> </w:t>
      </w:r>
      <w:r>
        <w:rPr/>
        <w:t>Review</w:t>
      </w:r>
      <w:r>
        <w:rPr>
          <w:spacing w:val="-5"/>
        </w:rPr>
        <w:t> </w:t>
      </w:r>
      <w:r>
        <w:rPr/>
        <w:t>proposes</w:t>
      </w:r>
      <w:r>
        <w:rPr>
          <w:spacing w:val="-1"/>
        </w:rPr>
        <w:t> </w:t>
      </w:r>
      <w:r>
        <w:rPr/>
        <w:t>that</w:t>
      </w:r>
      <w:r>
        <w:rPr>
          <w:spacing w:val="-3"/>
        </w:rPr>
        <w:t> </w:t>
      </w:r>
      <w:r>
        <w:rPr/>
        <w:t>the</w:t>
      </w:r>
      <w:r>
        <w:rPr>
          <w:spacing w:val="-2"/>
        </w:rPr>
        <w:t> </w:t>
      </w:r>
      <w:r>
        <w:rPr/>
        <w:t>safety</w:t>
      </w:r>
      <w:r>
        <w:rPr>
          <w:spacing w:val="-3"/>
        </w:rPr>
        <w:t> </w:t>
      </w:r>
      <w:r>
        <w:rPr/>
        <w:t>legislation</w:t>
      </w:r>
      <w:r>
        <w:rPr>
          <w:spacing w:val="-2"/>
        </w:rPr>
        <w:t> </w:t>
      </w:r>
      <w:r>
        <w:rPr/>
        <w:t>applying</w:t>
      </w:r>
      <w:r>
        <w:rPr>
          <w:spacing w:val="-2"/>
        </w:rPr>
        <w:t> </w:t>
      </w:r>
      <w:r>
        <w:rPr/>
        <w:t>to</w:t>
      </w:r>
      <w:r>
        <w:rPr>
          <w:spacing w:val="-2"/>
        </w:rPr>
        <w:t> </w:t>
      </w:r>
      <w:r>
        <w:rPr/>
        <w:t>electricity</w:t>
      </w:r>
      <w:r>
        <w:rPr>
          <w:spacing w:val="-4"/>
        </w:rPr>
        <w:t> </w:t>
      </w:r>
      <w:r>
        <w:rPr/>
        <w:t>and</w:t>
      </w:r>
      <w:r>
        <w:rPr>
          <w:spacing w:val="-4"/>
        </w:rPr>
        <w:t> </w:t>
      </w:r>
      <w:r>
        <w:rPr/>
        <w:t>gas</w:t>
      </w:r>
      <w:r>
        <w:rPr>
          <w:spacing w:val="-4"/>
        </w:rPr>
        <w:t> </w:t>
      </w:r>
      <w:r>
        <w:rPr/>
        <w:t>safety</w:t>
      </w:r>
      <w:r>
        <w:rPr>
          <w:spacing w:val="-4"/>
        </w:rPr>
        <w:t> </w:t>
      </w:r>
      <w:r>
        <w:rPr/>
        <w:t>in</w:t>
      </w:r>
      <w:r>
        <w:rPr>
          <w:spacing w:val="-2"/>
        </w:rPr>
        <w:t> </w:t>
      </w:r>
      <w:r>
        <w:rPr/>
        <w:t>Victoria should be consolidated in a single Act.</w:t>
      </w:r>
    </w:p>
    <w:p>
      <w:pPr>
        <w:pStyle w:val="BodyText"/>
        <w:spacing w:before="10"/>
        <w:rPr>
          <w:sz w:val="20"/>
        </w:rPr>
      </w:pPr>
    </w:p>
    <w:p>
      <w:pPr>
        <w:pStyle w:val="BodyText"/>
        <w:spacing w:line="288" w:lineRule="auto"/>
        <w:ind w:left="232" w:right="374"/>
      </w:pPr>
      <w:r>
        <w:rPr/>
        <w:t>The current legislative framework is fragmented and could be better structured to support strong safety</w:t>
      </w:r>
      <w:r>
        <w:rPr>
          <w:spacing w:val="-2"/>
        </w:rPr>
        <w:t> </w:t>
      </w:r>
      <w:r>
        <w:rPr/>
        <w:t>case</w:t>
      </w:r>
      <w:r>
        <w:rPr>
          <w:spacing w:val="-3"/>
        </w:rPr>
        <w:t> </w:t>
      </w:r>
      <w:r>
        <w:rPr/>
        <w:t>based</w:t>
      </w:r>
      <w:r>
        <w:rPr>
          <w:spacing w:val="-3"/>
        </w:rPr>
        <w:t> </w:t>
      </w:r>
      <w:r>
        <w:rPr/>
        <w:t>regulation.</w:t>
      </w:r>
      <w:r>
        <w:rPr>
          <w:spacing w:val="-2"/>
        </w:rPr>
        <w:t> </w:t>
      </w:r>
      <w:r>
        <w:rPr/>
        <w:t>The</w:t>
      </w:r>
      <w:r>
        <w:rPr>
          <w:spacing w:val="-3"/>
        </w:rPr>
        <w:t> </w:t>
      </w:r>
      <w:r>
        <w:rPr/>
        <w:t>current</w:t>
      </w:r>
      <w:r>
        <w:rPr>
          <w:spacing w:val="-4"/>
        </w:rPr>
        <w:t> </w:t>
      </w:r>
      <w:r>
        <w:rPr/>
        <w:t>multiple</w:t>
      </w:r>
      <w:r>
        <w:rPr>
          <w:spacing w:val="-1"/>
        </w:rPr>
        <w:t> </w:t>
      </w:r>
      <w:r>
        <w:rPr/>
        <w:t>Acts</w:t>
      </w:r>
      <w:r>
        <w:rPr>
          <w:spacing w:val="-2"/>
        </w:rPr>
        <w:t> </w:t>
      </w:r>
      <w:r>
        <w:rPr/>
        <w:t>have</w:t>
      </w:r>
      <w:r>
        <w:rPr>
          <w:spacing w:val="-1"/>
        </w:rPr>
        <w:t> </w:t>
      </w:r>
      <w:r>
        <w:rPr/>
        <w:t>evolved</w:t>
      </w:r>
      <w:r>
        <w:rPr>
          <w:spacing w:val="-1"/>
        </w:rPr>
        <w:t> </w:t>
      </w:r>
      <w:r>
        <w:rPr/>
        <w:t>separately; have</w:t>
      </w:r>
      <w:r>
        <w:rPr>
          <w:spacing w:val="-1"/>
        </w:rPr>
        <w:t> </w:t>
      </w:r>
      <w:r>
        <w:rPr/>
        <w:t>undergone ad</w:t>
      </w:r>
      <w:r>
        <w:rPr>
          <w:spacing w:val="-7"/>
        </w:rPr>
        <w:t> </w:t>
      </w:r>
      <w:r>
        <w:rPr/>
        <w:t>hoc</w:t>
      </w:r>
      <w:r>
        <w:rPr>
          <w:spacing w:val="-3"/>
        </w:rPr>
        <w:t> </w:t>
      </w:r>
      <w:r>
        <w:rPr/>
        <w:t>amendments</w:t>
      </w:r>
      <w:r>
        <w:rPr>
          <w:spacing w:val="-6"/>
        </w:rPr>
        <w:t> </w:t>
      </w:r>
      <w:r>
        <w:rPr/>
        <w:t>over</w:t>
      </w:r>
      <w:r>
        <w:rPr>
          <w:spacing w:val="-6"/>
        </w:rPr>
        <w:t> </w:t>
      </w:r>
      <w:r>
        <w:rPr/>
        <w:t>time;</w:t>
      </w:r>
      <w:r>
        <w:rPr>
          <w:spacing w:val="-5"/>
        </w:rPr>
        <w:t> </w:t>
      </w:r>
      <w:r>
        <w:rPr/>
        <w:t>are</w:t>
      </w:r>
      <w:r>
        <w:rPr>
          <w:spacing w:val="-6"/>
        </w:rPr>
        <w:t> </w:t>
      </w:r>
      <w:r>
        <w:rPr/>
        <w:t>duplicative</w:t>
      </w:r>
      <w:r>
        <w:rPr>
          <w:spacing w:val="-5"/>
        </w:rPr>
        <w:t> </w:t>
      </w:r>
      <w:r>
        <w:rPr/>
        <w:t>in</w:t>
      </w:r>
      <w:r>
        <w:rPr>
          <w:spacing w:val="-4"/>
        </w:rPr>
        <w:t> </w:t>
      </w:r>
      <w:r>
        <w:rPr/>
        <w:t>parts;</w:t>
      </w:r>
      <w:r>
        <w:rPr>
          <w:spacing w:val="-2"/>
        </w:rPr>
        <w:t> </w:t>
      </w:r>
      <w:r>
        <w:rPr/>
        <w:t>and</w:t>
      </w:r>
      <w:r>
        <w:rPr>
          <w:spacing w:val="-7"/>
        </w:rPr>
        <w:t> </w:t>
      </w:r>
      <w:r>
        <w:rPr/>
        <w:t>also</w:t>
      </w:r>
      <w:r>
        <w:rPr>
          <w:spacing w:val="-4"/>
        </w:rPr>
        <w:t> </w:t>
      </w:r>
      <w:r>
        <w:rPr/>
        <w:t>contain</w:t>
      </w:r>
      <w:r>
        <w:rPr>
          <w:spacing w:val="-4"/>
        </w:rPr>
        <w:t> </w:t>
      </w:r>
      <w:r>
        <w:rPr/>
        <w:t>unnecessary</w:t>
      </w:r>
      <w:r>
        <w:rPr>
          <w:spacing w:val="-5"/>
        </w:rPr>
        <w:t> </w:t>
      </w:r>
      <w:r>
        <w:rPr>
          <w:spacing w:val="-2"/>
        </w:rPr>
        <w:t>differences.</w:t>
      </w:r>
    </w:p>
    <w:p>
      <w:pPr>
        <w:pStyle w:val="BodyText"/>
        <w:spacing w:before="9"/>
        <w:rPr>
          <w:sz w:val="20"/>
        </w:rPr>
      </w:pPr>
    </w:p>
    <w:p>
      <w:pPr>
        <w:pStyle w:val="BodyText"/>
        <w:ind w:left="232"/>
      </w:pPr>
      <w:r>
        <w:rPr/>
        <w:t>The</w:t>
      </w:r>
      <w:r>
        <w:rPr>
          <w:spacing w:val="-7"/>
        </w:rPr>
        <w:t> </w:t>
      </w:r>
      <w:r>
        <w:rPr/>
        <w:t>benefits</w:t>
      </w:r>
      <w:r>
        <w:rPr>
          <w:spacing w:val="-7"/>
        </w:rPr>
        <w:t> </w:t>
      </w:r>
      <w:r>
        <w:rPr/>
        <w:t>of</w:t>
      </w:r>
      <w:r>
        <w:rPr>
          <w:spacing w:val="-2"/>
        </w:rPr>
        <w:t> </w:t>
      </w:r>
      <w:r>
        <w:rPr/>
        <w:t>a</w:t>
      </w:r>
      <w:r>
        <w:rPr>
          <w:spacing w:val="-7"/>
        </w:rPr>
        <w:t> </w:t>
      </w:r>
      <w:r>
        <w:rPr/>
        <w:t>single</w:t>
      </w:r>
      <w:r>
        <w:rPr>
          <w:spacing w:val="-6"/>
        </w:rPr>
        <w:t> </w:t>
      </w:r>
      <w:r>
        <w:rPr/>
        <w:t>consolidated</w:t>
      </w:r>
      <w:r>
        <w:rPr>
          <w:spacing w:val="-5"/>
        </w:rPr>
        <w:t> </w:t>
      </w:r>
      <w:r>
        <w:rPr/>
        <w:t>Act</w:t>
      </w:r>
      <w:r>
        <w:rPr>
          <w:spacing w:val="-6"/>
        </w:rPr>
        <w:t> </w:t>
      </w:r>
      <w:r>
        <w:rPr/>
        <w:t>would</w:t>
      </w:r>
      <w:r>
        <w:rPr>
          <w:spacing w:val="-4"/>
        </w:rPr>
        <w:t> </w:t>
      </w:r>
      <w:r>
        <w:rPr>
          <w:spacing w:val="-2"/>
        </w:rPr>
        <w:t>include:</w:t>
      </w:r>
    </w:p>
    <w:p>
      <w:pPr>
        <w:pStyle w:val="BodyText"/>
        <w:spacing w:before="10"/>
        <w:rPr>
          <w:sz w:val="26"/>
        </w:rPr>
      </w:pPr>
    </w:p>
    <w:p>
      <w:pPr>
        <w:pStyle w:val="ListParagraph"/>
        <w:numPr>
          <w:ilvl w:val="0"/>
          <w:numId w:val="82"/>
        </w:numPr>
        <w:tabs>
          <w:tab w:pos="734" w:val="left" w:leader="none"/>
        </w:tabs>
        <w:spacing w:line="285" w:lineRule="auto" w:before="0" w:after="0"/>
        <w:ind w:left="734" w:right="962" w:hanging="361"/>
        <w:jc w:val="left"/>
        <w:rPr>
          <w:sz w:val="22"/>
        </w:rPr>
      </w:pPr>
      <w:r>
        <w:rPr>
          <w:sz w:val="22"/>
        </w:rPr>
        <w:t>promoting</w:t>
      </w:r>
      <w:r>
        <w:rPr>
          <w:spacing w:val="-6"/>
          <w:sz w:val="22"/>
        </w:rPr>
        <w:t> </w:t>
      </w:r>
      <w:r>
        <w:rPr>
          <w:sz w:val="22"/>
        </w:rPr>
        <w:t>greater</w:t>
      </w:r>
      <w:r>
        <w:rPr>
          <w:spacing w:val="-5"/>
          <w:sz w:val="22"/>
        </w:rPr>
        <w:t> </w:t>
      </w:r>
      <w:r>
        <w:rPr>
          <w:sz w:val="22"/>
        </w:rPr>
        <w:t>consistency</w:t>
      </w:r>
      <w:r>
        <w:rPr>
          <w:spacing w:val="-6"/>
          <w:sz w:val="22"/>
        </w:rPr>
        <w:t> </w:t>
      </w:r>
      <w:r>
        <w:rPr>
          <w:sz w:val="22"/>
        </w:rPr>
        <w:t>in</w:t>
      </w:r>
      <w:r>
        <w:rPr>
          <w:spacing w:val="-4"/>
          <w:sz w:val="22"/>
        </w:rPr>
        <w:t> </w:t>
      </w:r>
      <w:r>
        <w:rPr>
          <w:sz w:val="22"/>
        </w:rPr>
        <w:t>regulatory</w:t>
      </w:r>
      <w:r>
        <w:rPr>
          <w:spacing w:val="-6"/>
          <w:sz w:val="22"/>
        </w:rPr>
        <w:t> </w:t>
      </w:r>
      <w:r>
        <w:rPr>
          <w:sz w:val="22"/>
        </w:rPr>
        <w:t>approach, supporting</w:t>
      </w:r>
      <w:r>
        <w:rPr>
          <w:spacing w:val="-4"/>
          <w:sz w:val="22"/>
        </w:rPr>
        <w:t> </w:t>
      </w:r>
      <w:r>
        <w:rPr>
          <w:sz w:val="22"/>
        </w:rPr>
        <w:t>ESV’s</w:t>
      </w:r>
      <w:r>
        <w:rPr>
          <w:spacing w:val="-3"/>
          <w:sz w:val="22"/>
        </w:rPr>
        <w:t> </w:t>
      </w:r>
      <w:r>
        <w:rPr>
          <w:sz w:val="22"/>
        </w:rPr>
        <w:t>recent</w:t>
      </w:r>
      <w:r>
        <w:rPr>
          <w:spacing w:val="-1"/>
          <w:sz w:val="22"/>
        </w:rPr>
        <w:t> </w:t>
      </w:r>
      <w:r>
        <w:rPr>
          <w:sz w:val="22"/>
        </w:rPr>
        <w:t>internal governance changes to reduce siloed operational areas;</w:t>
      </w:r>
    </w:p>
    <w:p>
      <w:pPr>
        <w:pStyle w:val="BodyText"/>
        <w:spacing w:before="6"/>
      </w:pPr>
    </w:p>
    <w:p>
      <w:pPr>
        <w:pStyle w:val="ListParagraph"/>
        <w:numPr>
          <w:ilvl w:val="0"/>
          <w:numId w:val="82"/>
        </w:numPr>
        <w:tabs>
          <w:tab w:pos="734" w:val="left" w:leader="none"/>
        </w:tabs>
        <w:spacing w:line="240" w:lineRule="auto" w:before="0" w:after="0"/>
        <w:ind w:left="734" w:right="0" w:hanging="360"/>
        <w:jc w:val="left"/>
        <w:rPr>
          <w:sz w:val="22"/>
        </w:rPr>
      </w:pPr>
      <w:r>
        <w:rPr>
          <w:sz w:val="22"/>
        </w:rPr>
        <w:t>providing</w:t>
      </w:r>
      <w:r>
        <w:rPr>
          <w:spacing w:val="-6"/>
          <w:sz w:val="22"/>
        </w:rPr>
        <w:t> </w:t>
      </w:r>
      <w:r>
        <w:rPr>
          <w:sz w:val="22"/>
        </w:rPr>
        <w:t>a</w:t>
      </w:r>
      <w:r>
        <w:rPr>
          <w:spacing w:val="-8"/>
          <w:sz w:val="22"/>
        </w:rPr>
        <w:t> </w:t>
      </w:r>
      <w:r>
        <w:rPr>
          <w:sz w:val="22"/>
        </w:rPr>
        <w:t>more</w:t>
      </w:r>
      <w:r>
        <w:rPr>
          <w:spacing w:val="-7"/>
          <w:sz w:val="22"/>
        </w:rPr>
        <w:t> </w:t>
      </w:r>
      <w:r>
        <w:rPr>
          <w:sz w:val="22"/>
        </w:rPr>
        <w:t>consistent</w:t>
      </w:r>
      <w:r>
        <w:rPr>
          <w:spacing w:val="-6"/>
          <w:sz w:val="22"/>
        </w:rPr>
        <w:t> </w:t>
      </w:r>
      <w:r>
        <w:rPr>
          <w:sz w:val="22"/>
        </w:rPr>
        <w:t>framework</w:t>
      </w:r>
      <w:r>
        <w:rPr>
          <w:spacing w:val="-7"/>
          <w:sz w:val="22"/>
        </w:rPr>
        <w:t> </w:t>
      </w:r>
      <w:r>
        <w:rPr>
          <w:sz w:val="22"/>
        </w:rPr>
        <w:t>for</w:t>
      </w:r>
      <w:r>
        <w:rPr>
          <w:spacing w:val="-4"/>
          <w:sz w:val="22"/>
        </w:rPr>
        <w:t> </w:t>
      </w:r>
      <w:r>
        <w:rPr>
          <w:sz w:val="22"/>
        </w:rPr>
        <w:t>businesses</w:t>
      </w:r>
      <w:r>
        <w:rPr>
          <w:spacing w:val="-6"/>
          <w:sz w:val="22"/>
        </w:rPr>
        <w:t> </w:t>
      </w:r>
      <w:r>
        <w:rPr>
          <w:sz w:val="22"/>
        </w:rPr>
        <w:t>operating</w:t>
      </w:r>
      <w:r>
        <w:rPr>
          <w:spacing w:val="-4"/>
          <w:sz w:val="22"/>
        </w:rPr>
        <w:t> </w:t>
      </w:r>
      <w:r>
        <w:rPr>
          <w:sz w:val="22"/>
        </w:rPr>
        <w:t>in</w:t>
      </w:r>
      <w:r>
        <w:rPr>
          <w:spacing w:val="-5"/>
          <w:sz w:val="22"/>
        </w:rPr>
        <w:t> </w:t>
      </w:r>
      <w:r>
        <w:rPr>
          <w:sz w:val="22"/>
        </w:rPr>
        <w:t>both</w:t>
      </w:r>
      <w:r>
        <w:rPr>
          <w:spacing w:val="-7"/>
          <w:sz w:val="22"/>
        </w:rPr>
        <w:t> </w:t>
      </w:r>
      <w:r>
        <w:rPr>
          <w:spacing w:val="-2"/>
          <w:sz w:val="22"/>
        </w:rPr>
        <w:t>sectors;</w:t>
      </w:r>
    </w:p>
    <w:p>
      <w:pPr>
        <w:pStyle w:val="BodyText"/>
        <w:spacing w:before="6"/>
        <w:rPr>
          <w:sz w:val="26"/>
        </w:rPr>
      </w:pPr>
    </w:p>
    <w:p>
      <w:pPr>
        <w:pStyle w:val="ListParagraph"/>
        <w:numPr>
          <w:ilvl w:val="0"/>
          <w:numId w:val="82"/>
        </w:numPr>
        <w:tabs>
          <w:tab w:pos="734" w:val="left" w:leader="none"/>
        </w:tabs>
        <w:spacing w:line="288" w:lineRule="auto" w:before="0" w:after="0"/>
        <w:ind w:left="734" w:right="380" w:hanging="361"/>
        <w:jc w:val="left"/>
        <w:rPr>
          <w:sz w:val="22"/>
        </w:rPr>
      </w:pPr>
      <w:r>
        <w:rPr>
          <w:sz w:val="22"/>
        </w:rPr>
        <w:t>providing</w:t>
      </w:r>
      <w:r>
        <w:rPr>
          <w:spacing w:val="-2"/>
          <w:sz w:val="22"/>
        </w:rPr>
        <w:t> </w:t>
      </w:r>
      <w:r>
        <w:rPr>
          <w:sz w:val="22"/>
        </w:rPr>
        <w:t>greater</w:t>
      </w:r>
      <w:r>
        <w:rPr>
          <w:spacing w:val="-3"/>
          <w:sz w:val="22"/>
        </w:rPr>
        <w:t> </w:t>
      </w:r>
      <w:r>
        <w:rPr>
          <w:sz w:val="22"/>
        </w:rPr>
        <w:t>clarity</w:t>
      </w:r>
      <w:r>
        <w:rPr>
          <w:spacing w:val="-6"/>
          <w:sz w:val="22"/>
        </w:rPr>
        <w:t> </w:t>
      </w:r>
      <w:r>
        <w:rPr>
          <w:sz w:val="22"/>
        </w:rPr>
        <w:t>of obligations</w:t>
      </w:r>
      <w:r>
        <w:rPr>
          <w:spacing w:val="-4"/>
          <w:sz w:val="22"/>
        </w:rPr>
        <w:t> </w:t>
      </w:r>
      <w:r>
        <w:rPr>
          <w:sz w:val="22"/>
        </w:rPr>
        <w:t>for</w:t>
      </w:r>
      <w:r>
        <w:rPr>
          <w:spacing w:val="-6"/>
          <w:sz w:val="22"/>
        </w:rPr>
        <w:t> </w:t>
      </w:r>
      <w:r>
        <w:rPr>
          <w:sz w:val="22"/>
        </w:rPr>
        <w:t>gas</w:t>
      </w:r>
      <w:r>
        <w:rPr>
          <w:spacing w:val="-4"/>
          <w:sz w:val="22"/>
        </w:rPr>
        <w:t> </w:t>
      </w:r>
      <w:r>
        <w:rPr>
          <w:sz w:val="22"/>
        </w:rPr>
        <w:t>network businesses</w:t>
      </w:r>
      <w:r>
        <w:rPr>
          <w:spacing w:val="-4"/>
          <w:sz w:val="22"/>
        </w:rPr>
        <w:t> </w:t>
      </w:r>
      <w:r>
        <w:rPr>
          <w:sz w:val="22"/>
        </w:rPr>
        <w:t>with</w:t>
      </w:r>
      <w:r>
        <w:rPr>
          <w:spacing w:val="-2"/>
          <w:sz w:val="22"/>
        </w:rPr>
        <w:t> </w:t>
      </w:r>
      <w:r>
        <w:rPr>
          <w:sz w:val="22"/>
        </w:rPr>
        <w:t>obligations</w:t>
      </w:r>
      <w:r>
        <w:rPr>
          <w:spacing w:val="-4"/>
          <w:sz w:val="22"/>
        </w:rPr>
        <w:t> </w:t>
      </w:r>
      <w:r>
        <w:rPr>
          <w:sz w:val="22"/>
        </w:rPr>
        <w:t>under</w:t>
      </w:r>
      <w:r>
        <w:rPr>
          <w:spacing w:val="-3"/>
          <w:sz w:val="22"/>
        </w:rPr>
        <w:t> </w:t>
      </w:r>
      <w:r>
        <w:rPr>
          <w:sz w:val="22"/>
        </w:rPr>
        <w:t>both the </w:t>
      </w:r>
      <w:r>
        <w:rPr>
          <w:i/>
          <w:sz w:val="22"/>
        </w:rPr>
        <w:t>Pipelines Act 2005 </w:t>
      </w:r>
      <w:r>
        <w:rPr>
          <w:sz w:val="22"/>
        </w:rPr>
        <w:t>and the </w:t>
      </w:r>
      <w:r>
        <w:rPr>
          <w:i/>
          <w:sz w:val="22"/>
        </w:rPr>
        <w:t>Gas Safety Act 1997</w:t>
      </w:r>
      <w:r>
        <w:rPr>
          <w:sz w:val="22"/>
        </w:rPr>
        <w:t>;</w:t>
      </w:r>
    </w:p>
    <w:p>
      <w:pPr>
        <w:pStyle w:val="BodyText"/>
        <w:spacing w:before="3"/>
      </w:pPr>
    </w:p>
    <w:p>
      <w:pPr>
        <w:pStyle w:val="ListParagraph"/>
        <w:numPr>
          <w:ilvl w:val="0"/>
          <w:numId w:val="82"/>
        </w:numPr>
        <w:tabs>
          <w:tab w:pos="734" w:val="left" w:leader="none"/>
        </w:tabs>
        <w:spacing w:line="285" w:lineRule="auto" w:before="1" w:after="0"/>
        <w:ind w:left="734" w:right="412" w:hanging="361"/>
        <w:jc w:val="left"/>
        <w:rPr>
          <w:sz w:val="22"/>
        </w:rPr>
      </w:pPr>
      <w:r>
        <w:rPr>
          <w:sz w:val="22"/>
        </w:rPr>
        <w:t>facilitating</w:t>
      </w:r>
      <w:r>
        <w:rPr>
          <w:spacing w:val="-3"/>
          <w:sz w:val="22"/>
        </w:rPr>
        <w:t> </w:t>
      </w:r>
      <w:r>
        <w:rPr>
          <w:sz w:val="22"/>
        </w:rPr>
        <w:t>better</w:t>
      </w:r>
      <w:r>
        <w:rPr>
          <w:spacing w:val="-4"/>
          <w:sz w:val="22"/>
        </w:rPr>
        <w:t> </w:t>
      </w:r>
      <w:r>
        <w:rPr>
          <w:sz w:val="22"/>
        </w:rPr>
        <w:t>communication</w:t>
      </w:r>
      <w:r>
        <w:rPr>
          <w:spacing w:val="-3"/>
          <w:sz w:val="22"/>
        </w:rPr>
        <w:t> </w:t>
      </w:r>
      <w:r>
        <w:rPr>
          <w:sz w:val="22"/>
        </w:rPr>
        <w:t>of</w:t>
      </w:r>
      <w:r>
        <w:rPr>
          <w:spacing w:val="-2"/>
          <w:sz w:val="22"/>
        </w:rPr>
        <w:t> </w:t>
      </w:r>
      <w:r>
        <w:rPr>
          <w:sz w:val="22"/>
        </w:rPr>
        <w:t>Victoria’s</w:t>
      </w:r>
      <w:r>
        <w:rPr>
          <w:spacing w:val="-2"/>
          <w:sz w:val="22"/>
        </w:rPr>
        <w:t> </w:t>
      </w:r>
      <w:r>
        <w:rPr>
          <w:sz w:val="22"/>
        </w:rPr>
        <w:t>energy</w:t>
      </w:r>
      <w:r>
        <w:rPr>
          <w:spacing w:val="-5"/>
          <w:sz w:val="22"/>
        </w:rPr>
        <w:t> </w:t>
      </w:r>
      <w:r>
        <w:rPr>
          <w:sz w:val="22"/>
        </w:rPr>
        <w:t>network</w:t>
      </w:r>
      <w:r>
        <w:rPr>
          <w:spacing w:val="-2"/>
          <w:sz w:val="22"/>
        </w:rPr>
        <w:t> </w:t>
      </w:r>
      <w:r>
        <w:rPr>
          <w:sz w:val="22"/>
        </w:rPr>
        <w:t>safety</w:t>
      </w:r>
      <w:r>
        <w:rPr>
          <w:spacing w:val="-5"/>
          <w:sz w:val="22"/>
        </w:rPr>
        <w:t> </w:t>
      </w:r>
      <w:r>
        <w:rPr>
          <w:sz w:val="22"/>
        </w:rPr>
        <w:t>regulation</w:t>
      </w:r>
      <w:r>
        <w:rPr>
          <w:spacing w:val="-3"/>
          <w:sz w:val="22"/>
        </w:rPr>
        <w:t> </w:t>
      </w:r>
      <w:r>
        <w:rPr>
          <w:sz w:val="22"/>
        </w:rPr>
        <w:t>as a</w:t>
      </w:r>
      <w:r>
        <w:rPr>
          <w:spacing w:val="-5"/>
          <w:sz w:val="22"/>
        </w:rPr>
        <w:t> </w:t>
      </w:r>
      <w:r>
        <w:rPr>
          <w:sz w:val="22"/>
        </w:rPr>
        <w:t>complete package; and</w:t>
      </w:r>
    </w:p>
    <w:p>
      <w:pPr>
        <w:pStyle w:val="BodyText"/>
        <w:spacing w:before="6"/>
      </w:pPr>
    </w:p>
    <w:p>
      <w:pPr>
        <w:pStyle w:val="ListParagraph"/>
        <w:numPr>
          <w:ilvl w:val="0"/>
          <w:numId w:val="82"/>
        </w:numPr>
        <w:tabs>
          <w:tab w:pos="734" w:val="left" w:leader="none"/>
        </w:tabs>
        <w:spacing w:line="285" w:lineRule="auto" w:before="0" w:after="0"/>
        <w:ind w:left="734" w:right="816" w:hanging="361"/>
        <w:jc w:val="left"/>
        <w:rPr>
          <w:sz w:val="22"/>
        </w:rPr>
      </w:pPr>
      <w:r>
        <w:rPr>
          <w:sz w:val="22"/>
        </w:rPr>
        <w:t>assisting</w:t>
      </w:r>
      <w:r>
        <w:rPr>
          <w:spacing w:val="-3"/>
          <w:sz w:val="22"/>
        </w:rPr>
        <w:t> </w:t>
      </w:r>
      <w:r>
        <w:rPr>
          <w:sz w:val="22"/>
        </w:rPr>
        <w:t>with</w:t>
      </w:r>
      <w:r>
        <w:rPr>
          <w:spacing w:val="-2"/>
          <w:sz w:val="22"/>
        </w:rPr>
        <w:t> </w:t>
      </w:r>
      <w:r>
        <w:rPr>
          <w:sz w:val="22"/>
        </w:rPr>
        <w:t>ongoing</w:t>
      </w:r>
      <w:r>
        <w:rPr>
          <w:spacing w:val="-3"/>
          <w:sz w:val="22"/>
        </w:rPr>
        <w:t> </w:t>
      </w:r>
      <w:r>
        <w:rPr>
          <w:sz w:val="22"/>
        </w:rPr>
        <w:t>consistency</w:t>
      </w:r>
      <w:r>
        <w:rPr>
          <w:spacing w:val="-5"/>
          <w:sz w:val="22"/>
        </w:rPr>
        <w:t> </w:t>
      </w:r>
      <w:r>
        <w:rPr>
          <w:sz w:val="22"/>
        </w:rPr>
        <w:t>when</w:t>
      </w:r>
      <w:r>
        <w:rPr>
          <w:spacing w:val="-3"/>
          <w:sz w:val="22"/>
        </w:rPr>
        <w:t> </w:t>
      </w:r>
      <w:r>
        <w:rPr>
          <w:sz w:val="22"/>
        </w:rPr>
        <w:t>future</w:t>
      </w:r>
      <w:r>
        <w:rPr>
          <w:spacing w:val="-5"/>
          <w:sz w:val="22"/>
        </w:rPr>
        <w:t> </w:t>
      </w:r>
      <w:r>
        <w:rPr>
          <w:sz w:val="22"/>
        </w:rPr>
        <w:t>legislative</w:t>
      </w:r>
      <w:r>
        <w:rPr>
          <w:spacing w:val="-3"/>
          <w:sz w:val="22"/>
        </w:rPr>
        <w:t> </w:t>
      </w:r>
      <w:r>
        <w:rPr>
          <w:sz w:val="22"/>
        </w:rPr>
        <w:t>or</w:t>
      </w:r>
      <w:r>
        <w:rPr>
          <w:spacing w:val="-4"/>
          <w:sz w:val="22"/>
        </w:rPr>
        <w:t> </w:t>
      </w:r>
      <w:r>
        <w:rPr>
          <w:sz w:val="22"/>
        </w:rPr>
        <w:t>regulatory</w:t>
      </w:r>
      <w:r>
        <w:rPr>
          <w:spacing w:val="-5"/>
          <w:sz w:val="22"/>
        </w:rPr>
        <w:t> </w:t>
      </w:r>
      <w:r>
        <w:rPr>
          <w:sz w:val="22"/>
        </w:rPr>
        <w:t>amendments are </w:t>
      </w:r>
      <w:r>
        <w:rPr>
          <w:spacing w:val="-2"/>
          <w:sz w:val="22"/>
        </w:rPr>
        <w:t>made.</w:t>
      </w:r>
    </w:p>
    <w:p>
      <w:pPr>
        <w:pStyle w:val="BodyText"/>
        <w:spacing w:before="1"/>
        <w:rPr>
          <w:sz w:val="21"/>
        </w:rPr>
      </w:pPr>
    </w:p>
    <w:p>
      <w:pPr>
        <w:spacing w:line="288" w:lineRule="auto" w:before="0"/>
        <w:ind w:left="232" w:right="374" w:firstLine="0"/>
        <w:jc w:val="left"/>
        <w:rPr>
          <w:sz w:val="22"/>
        </w:rPr>
      </w:pPr>
      <w:r>
        <w:rPr>
          <w:sz w:val="22"/>
        </w:rPr>
        <w:t>The</w:t>
      </w:r>
      <w:r>
        <w:rPr>
          <w:spacing w:val="-3"/>
          <w:sz w:val="22"/>
        </w:rPr>
        <w:t> </w:t>
      </w:r>
      <w:r>
        <w:rPr>
          <w:i/>
          <w:sz w:val="22"/>
        </w:rPr>
        <w:t>Energy</w:t>
      </w:r>
      <w:r>
        <w:rPr>
          <w:i/>
          <w:spacing w:val="-3"/>
          <w:sz w:val="22"/>
        </w:rPr>
        <w:t> </w:t>
      </w:r>
      <w:r>
        <w:rPr>
          <w:i/>
          <w:sz w:val="22"/>
        </w:rPr>
        <w:t>Safe</w:t>
      </w:r>
      <w:r>
        <w:rPr>
          <w:i/>
          <w:spacing w:val="-3"/>
          <w:sz w:val="22"/>
        </w:rPr>
        <w:t> </w:t>
      </w:r>
      <w:r>
        <w:rPr>
          <w:i/>
          <w:sz w:val="22"/>
        </w:rPr>
        <w:t>Victoria</w:t>
      </w:r>
      <w:r>
        <w:rPr>
          <w:i/>
          <w:spacing w:val="-4"/>
          <w:sz w:val="22"/>
        </w:rPr>
        <w:t> </w:t>
      </w:r>
      <w:r>
        <w:rPr>
          <w:i/>
          <w:sz w:val="22"/>
        </w:rPr>
        <w:t>Act</w:t>
      </w:r>
      <w:r>
        <w:rPr>
          <w:i/>
          <w:spacing w:val="-2"/>
          <w:sz w:val="22"/>
        </w:rPr>
        <w:t> </w:t>
      </w:r>
      <w:r>
        <w:rPr>
          <w:i/>
          <w:sz w:val="22"/>
        </w:rPr>
        <w:t>2005 </w:t>
      </w:r>
      <w:r>
        <w:rPr>
          <w:sz w:val="22"/>
        </w:rPr>
        <w:t>could</w:t>
      </w:r>
      <w:r>
        <w:rPr>
          <w:spacing w:val="-3"/>
          <w:sz w:val="22"/>
        </w:rPr>
        <w:t> </w:t>
      </w:r>
      <w:r>
        <w:rPr>
          <w:sz w:val="22"/>
        </w:rPr>
        <w:t>also</w:t>
      </w:r>
      <w:r>
        <w:rPr>
          <w:spacing w:val="-1"/>
          <w:sz w:val="22"/>
        </w:rPr>
        <w:t> </w:t>
      </w:r>
      <w:r>
        <w:rPr>
          <w:sz w:val="22"/>
        </w:rPr>
        <w:t>be</w:t>
      </w:r>
      <w:r>
        <w:rPr>
          <w:spacing w:val="-1"/>
          <w:sz w:val="22"/>
        </w:rPr>
        <w:t> </w:t>
      </w:r>
      <w:r>
        <w:rPr>
          <w:sz w:val="22"/>
        </w:rPr>
        <w:t>incorporated</w:t>
      </w:r>
      <w:r>
        <w:rPr>
          <w:spacing w:val="-1"/>
          <w:sz w:val="22"/>
        </w:rPr>
        <w:t> </w:t>
      </w:r>
      <w:r>
        <w:rPr>
          <w:sz w:val="22"/>
        </w:rPr>
        <w:t>into</w:t>
      </w:r>
      <w:r>
        <w:rPr>
          <w:spacing w:val="-5"/>
          <w:sz w:val="22"/>
        </w:rPr>
        <w:t> </w:t>
      </w:r>
      <w:r>
        <w:rPr>
          <w:sz w:val="22"/>
        </w:rPr>
        <w:t>the</w:t>
      </w:r>
      <w:r>
        <w:rPr>
          <w:spacing w:val="-1"/>
          <w:sz w:val="22"/>
        </w:rPr>
        <w:t> </w:t>
      </w:r>
      <w:r>
        <w:rPr>
          <w:sz w:val="22"/>
        </w:rPr>
        <w:t>consolidated</w:t>
      </w:r>
      <w:r>
        <w:rPr>
          <w:spacing w:val="-1"/>
          <w:sz w:val="22"/>
        </w:rPr>
        <w:t> </w:t>
      </w:r>
      <w:r>
        <w:rPr>
          <w:sz w:val="22"/>
        </w:rPr>
        <w:t>Act</w:t>
      </w:r>
      <w:r>
        <w:rPr>
          <w:spacing w:val="-2"/>
          <w:sz w:val="22"/>
        </w:rPr>
        <w:t> </w:t>
      </w:r>
      <w:r>
        <w:rPr>
          <w:sz w:val="22"/>
        </w:rPr>
        <w:t>as</w:t>
      </w:r>
      <w:r>
        <w:rPr>
          <w:spacing w:val="-1"/>
          <w:sz w:val="22"/>
        </w:rPr>
        <w:t> </w:t>
      </w:r>
      <w:r>
        <w:rPr>
          <w:sz w:val="22"/>
        </w:rPr>
        <w:t>ESV would be the sole responsible regulator.</w:t>
      </w:r>
      <w:r>
        <w:rPr>
          <w:sz w:val="22"/>
          <w:vertAlign w:val="superscript"/>
        </w:rPr>
        <w:t>14</w:t>
      </w:r>
    </w:p>
    <w:p>
      <w:pPr>
        <w:pStyle w:val="BodyText"/>
        <w:spacing w:before="11"/>
        <w:rPr>
          <w:sz w:val="20"/>
        </w:rPr>
      </w:pPr>
    </w:p>
    <w:p>
      <w:pPr>
        <w:pStyle w:val="BodyText"/>
        <w:spacing w:line="288" w:lineRule="auto"/>
        <w:ind w:left="232" w:right="374"/>
      </w:pPr>
      <w:r>
        <w:rPr/>
        <w:t>The</w:t>
      </w:r>
      <w:r>
        <w:rPr>
          <w:spacing w:val="-5"/>
        </w:rPr>
        <w:t> </w:t>
      </w:r>
      <w:r>
        <w:rPr/>
        <w:t>consolidated</w:t>
      </w:r>
      <w:r>
        <w:rPr>
          <w:spacing w:val="-3"/>
        </w:rPr>
        <w:t> </w:t>
      </w:r>
      <w:r>
        <w:rPr/>
        <w:t>legislation</w:t>
      </w:r>
      <w:r>
        <w:rPr>
          <w:spacing w:val="-3"/>
        </w:rPr>
        <w:t> </w:t>
      </w:r>
      <w:r>
        <w:rPr/>
        <w:t>would</w:t>
      </w:r>
      <w:r>
        <w:rPr>
          <w:spacing w:val="-3"/>
        </w:rPr>
        <w:t> </w:t>
      </w:r>
      <w:r>
        <w:rPr/>
        <w:t>involve</w:t>
      </w:r>
      <w:r>
        <w:rPr>
          <w:spacing w:val="-3"/>
        </w:rPr>
        <w:t> </w:t>
      </w:r>
      <w:r>
        <w:rPr/>
        <w:t>incorporating</w:t>
      </w:r>
      <w:r>
        <w:rPr>
          <w:spacing w:val="-1"/>
        </w:rPr>
        <w:t> </w:t>
      </w:r>
      <w:r>
        <w:rPr/>
        <w:t>all</w:t>
      </w:r>
      <w:r>
        <w:rPr>
          <w:spacing w:val="-3"/>
        </w:rPr>
        <w:t> </w:t>
      </w:r>
      <w:r>
        <w:rPr/>
        <w:t>other</w:t>
      </w:r>
      <w:r>
        <w:rPr>
          <w:spacing w:val="-4"/>
        </w:rPr>
        <w:t> </w:t>
      </w:r>
      <w:r>
        <w:rPr/>
        <w:t>areas</w:t>
      </w:r>
      <w:r>
        <w:rPr>
          <w:spacing w:val="-5"/>
        </w:rPr>
        <w:t> </w:t>
      </w:r>
      <w:r>
        <w:rPr/>
        <w:t>of</w:t>
      </w:r>
      <w:r>
        <w:rPr>
          <w:spacing w:val="-4"/>
        </w:rPr>
        <w:t> </w:t>
      </w:r>
      <w:r>
        <w:rPr/>
        <w:t>energy</w:t>
      </w:r>
      <w:r>
        <w:rPr>
          <w:spacing w:val="-5"/>
        </w:rPr>
        <w:t> </w:t>
      </w:r>
      <w:r>
        <w:rPr/>
        <w:t>safety currently provided for separately under the three Acts, for example, appliances and conveyed substances other than natural gas.</w:t>
      </w:r>
    </w:p>
    <w:p>
      <w:pPr>
        <w:pStyle w:val="BodyText"/>
        <w:spacing w:before="9"/>
        <w:rPr>
          <w:sz w:val="20"/>
        </w:rPr>
      </w:pPr>
    </w:p>
    <w:p>
      <w:pPr>
        <w:pStyle w:val="BodyText"/>
        <w:spacing w:line="288" w:lineRule="auto"/>
        <w:ind w:left="232" w:right="374"/>
      </w:pPr>
      <w:r>
        <w:rPr/>
        <w:t>The</w:t>
      </w:r>
      <w:r>
        <w:rPr>
          <w:spacing w:val="-4"/>
        </w:rPr>
        <w:t> </w:t>
      </w:r>
      <w:r>
        <w:rPr>
          <w:i/>
        </w:rPr>
        <w:t>Pipelines</w:t>
      </w:r>
      <w:r>
        <w:rPr>
          <w:i/>
          <w:spacing w:val="-2"/>
        </w:rPr>
        <w:t> </w:t>
      </w:r>
      <w:r>
        <w:rPr>
          <w:i/>
        </w:rPr>
        <w:t>Act</w:t>
      </w:r>
      <w:r>
        <w:rPr>
          <w:i/>
          <w:spacing w:val="-1"/>
        </w:rPr>
        <w:t> </w:t>
      </w:r>
      <w:r>
        <w:rPr>
          <w:i/>
        </w:rPr>
        <w:t>2005</w:t>
      </w:r>
      <w:r>
        <w:rPr>
          <w:i/>
          <w:spacing w:val="-6"/>
        </w:rPr>
        <w:t> </w:t>
      </w:r>
      <w:r>
        <w:rPr/>
        <w:t>would</w:t>
      </w:r>
      <w:r>
        <w:rPr>
          <w:spacing w:val="-3"/>
        </w:rPr>
        <w:t> </w:t>
      </w:r>
      <w:r>
        <w:rPr/>
        <w:t>retain</w:t>
      </w:r>
      <w:r>
        <w:rPr>
          <w:spacing w:val="-4"/>
        </w:rPr>
        <w:t> </w:t>
      </w:r>
      <w:r>
        <w:rPr/>
        <w:t>the</w:t>
      </w:r>
      <w:r>
        <w:rPr>
          <w:spacing w:val="-3"/>
        </w:rPr>
        <w:t> </w:t>
      </w:r>
      <w:r>
        <w:rPr/>
        <w:t>planning</w:t>
      </w:r>
      <w:r>
        <w:rPr>
          <w:spacing w:val="-3"/>
        </w:rPr>
        <w:t> </w:t>
      </w:r>
      <w:r>
        <w:rPr/>
        <w:t>and</w:t>
      </w:r>
      <w:r>
        <w:rPr>
          <w:spacing w:val="-3"/>
        </w:rPr>
        <w:t> </w:t>
      </w:r>
      <w:r>
        <w:rPr/>
        <w:t>environment</w:t>
      </w:r>
      <w:r>
        <w:rPr>
          <w:spacing w:val="-1"/>
        </w:rPr>
        <w:t> </w:t>
      </w:r>
      <w:r>
        <w:rPr/>
        <w:t>provisions</w:t>
      </w:r>
      <w:r>
        <w:rPr>
          <w:spacing w:val="-2"/>
        </w:rPr>
        <w:t> </w:t>
      </w:r>
      <w:r>
        <w:rPr/>
        <w:t>administered</w:t>
      </w:r>
      <w:r>
        <w:rPr>
          <w:spacing w:val="-3"/>
        </w:rPr>
        <w:t> </w:t>
      </w:r>
      <w:r>
        <w:rPr/>
        <w:t>by</w:t>
      </w:r>
      <w:r>
        <w:rPr>
          <w:spacing w:val="-6"/>
        </w:rPr>
        <w:t> </w:t>
      </w:r>
      <w:r>
        <w:rPr/>
        <w:t>the Department of Environment, Land, Water and Planning (DELWP). This would include the provisions relating to licensing and environment management plans.</w:t>
      </w:r>
    </w:p>
    <w:p>
      <w:pPr>
        <w:pStyle w:val="BodyText"/>
        <w:spacing w:before="10"/>
        <w:rPr>
          <w:sz w:val="18"/>
        </w:rPr>
      </w:pPr>
      <w:r>
        <w:rPr/>
        <mc:AlternateContent>
          <mc:Choice Requires="wps">
            <w:drawing>
              <wp:anchor distT="0" distB="0" distL="0" distR="0" allowOverlap="1" layoutInCell="1" locked="0" behindDoc="1" simplePos="0" relativeHeight="487658496">
                <wp:simplePos x="0" y="0"/>
                <wp:positionH relativeFrom="page">
                  <wp:posOffset>719327</wp:posOffset>
                </wp:positionH>
                <wp:positionV relativeFrom="paragraph">
                  <wp:posOffset>153267</wp:posOffset>
                </wp:positionV>
                <wp:extent cx="5870575" cy="1228725"/>
                <wp:effectExtent l="0" t="0" r="0" b="0"/>
                <wp:wrapTopAndBottom/>
                <wp:docPr id="202" name="Textbox 202"/>
                <wp:cNvGraphicFramePr>
                  <a:graphicFrameLocks/>
                </wp:cNvGraphicFramePr>
                <a:graphic>
                  <a:graphicData uri="http://schemas.microsoft.com/office/word/2010/wordprocessingShape">
                    <wps:wsp>
                      <wps:cNvPr id="202" name="Textbox 202"/>
                      <wps:cNvSpPr txBox="1"/>
                      <wps:spPr>
                        <a:xfrm>
                          <a:off x="0" y="0"/>
                          <a:ext cx="5870575" cy="1228725"/>
                        </a:xfrm>
                        <a:prstGeom prst="rect">
                          <a:avLst/>
                        </a:prstGeom>
                        <a:solidFill>
                          <a:srgbClr val="D9D9D9"/>
                        </a:solidFill>
                      </wps:spPr>
                      <wps:txbx>
                        <w:txbxContent>
                          <w:p>
                            <w:pPr>
                              <w:pStyle w:val="BodyText"/>
                              <w:spacing w:before="9"/>
                              <w:rPr>
                                <w:color w:val="000000"/>
                                <w:sz w:val="20"/>
                              </w:rPr>
                            </w:pPr>
                          </w:p>
                          <w:p>
                            <w:pPr>
                              <w:spacing w:before="1"/>
                              <w:ind w:left="112" w:right="0" w:firstLine="0"/>
                              <w:jc w:val="left"/>
                              <w:rPr>
                                <w:b/>
                                <w:color w:val="000000"/>
                                <w:sz w:val="22"/>
                              </w:rPr>
                            </w:pPr>
                            <w:r>
                              <w:rPr>
                                <w:b/>
                                <w:color w:val="000000"/>
                                <w:sz w:val="22"/>
                              </w:rPr>
                              <w:t>Recommendation</w:t>
                            </w:r>
                            <w:r>
                              <w:rPr>
                                <w:b/>
                                <w:color w:val="000000"/>
                                <w:spacing w:val="-6"/>
                                <w:sz w:val="22"/>
                              </w:rPr>
                              <w:t> </w:t>
                            </w:r>
                            <w:r>
                              <w:rPr>
                                <w:b/>
                                <w:color w:val="000000"/>
                                <w:spacing w:val="-5"/>
                                <w:sz w:val="22"/>
                              </w:rPr>
                              <w:t>34</w:t>
                            </w:r>
                          </w:p>
                          <w:p>
                            <w:pPr>
                              <w:pStyle w:val="BodyText"/>
                              <w:spacing w:before="1"/>
                              <w:rPr>
                                <w:b/>
                                <w:color w:val="000000"/>
                                <w:sz w:val="25"/>
                              </w:rPr>
                            </w:pPr>
                          </w:p>
                          <w:p>
                            <w:pPr>
                              <w:spacing w:line="288" w:lineRule="auto" w:before="1"/>
                              <w:ind w:left="112" w:right="140" w:firstLine="0"/>
                              <w:jc w:val="left"/>
                              <w:rPr>
                                <w:color w:val="000000"/>
                                <w:sz w:val="22"/>
                              </w:rPr>
                            </w:pPr>
                            <w:r>
                              <w:rPr>
                                <w:color w:val="000000"/>
                                <w:sz w:val="22"/>
                              </w:rPr>
                              <w:t>All</w:t>
                            </w:r>
                            <w:r>
                              <w:rPr>
                                <w:color w:val="000000"/>
                                <w:spacing w:val="-2"/>
                                <w:sz w:val="22"/>
                              </w:rPr>
                              <w:t> </w:t>
                            </w:r>
                            <w:r>
                              <w:rPr>
                                <w:color w:val="000000"/>
                                <w:sz w:val="22"/>
                              </w:rPr>
                              <w:t>energy</w:t>
                            </w:r>
                            <w:r>
                              <w:rPr>
                                <w:color w:val="000000"/>
                                <w:spacing w:val="-3"/>
                                <w:sz w:val="22"/>
                              </w:rPr>
                              <w:t> </w:t>
                            </w:r>
                            <w:r>
                              <w:rPr>
                                <w:color w:val="000000"/>
                                <w:sz w:val="22"/>
                              </w:rPr>
                              <w:t>safety</w:t>
                            </w:r>
                            <w:r>
                              <w:rPr>
                                <w:color w:val="000000"/>
                                <w:spacing w:val="-3"/>
                                <w:sz w:val="22"/>
                              </w:rPr>
                              <w:t> </w:t>
                            </w:r>
                            <w:r>
                              <w:rPr>
                                <w:color w:val="000000"/>
                                <w:sz w:val="22"/>
                              </w:rPr>
                              <w:t>legislation</w:t>
                            </w:r>
                            <w:r>
                              <w:rPr>
                                <w:color w:val="000000"/>
                                <w:spacing w:val="-2"/>
                                <w:sz w:val="22"/>
                              </w:rPr>
                              <w:t> </w:t>
                            </w:r>
                            <w:r>
                              <w:rPr>
                                <w:color w:val="000000"/>
                                <w:sz w:val="22"/>
                              </w:rPr>
                              <w:t>should</w:t>
                            </w:r>
                            <w:r>
                              <w:rPr>
                                <w:color w:val="000000"/>
                                <w:spacing w:val="-2"/>
                                <w:sz w:val="22"/>
                              </w:rPr>
                              <w:t> </w:t>
                            </w:r>
                            <w:r>
                              <w:rPr>
                                <w:color w:val="000000"/>
                                <w:sz w:val="22"/>
                              </w:rPr>
                              <w:t>be</w:t>
                            </w:r>
                            <w:r>
                              <w:rPr>
                                <w:color w:val="000000"/>
                                <w:spacing w:val="-4"/>
                                <w:sz w:val="22"/>
                              </w:rPr>
                              <w:t> </w:t>
                            </w:r>
                            <w:r>
                              <w:rPr>
                                <w:color w:val="000000"/>
                                <w:sz w:val="22"/>
                              </w:rPr>
                              <w:t>consolidated</w:t>
                            </w:r>
                            <w:r>
                              <w:rPr>
                                <w:color w:val="000000"/>
                                <w:spacing w:val="-2"/>
                                <w:sz w:val="22"/>
                              </w:rPr>
                              <w:t> </w:t>
                            </w:r>
                            <w:r>
                              <w:rPr>
                                <w:color w:val="000000"/>
                                <w:sz w:val="22"/>
                              </w:rPr>
                              <w:t>in</w:t>
                            </w:r>
                            <w:r>
                              <w:rPr>
                                <w:color w:val="000000"/>
                                <w:spacing w:val="-2"/>
                                <w:sz w:val="22"/>
                              </w:rPr>
                              <w:t> </w:t>
                            </w:r>
                            <w:r>
                              <w:rPr>
                                <w:color w:val="000000"/>
                                <w:sz w:val="22"/>
                              </w:rPr>
                              <w:t>a</w:t>
                            </w:r>
                            <w:r>
                              <w:rPr>
                                <w:color w:val="000000"/>
                                <w:spacing w:val="-2"/>
                                <w:sz w:val="22"/>
                              </w:rPr>
                              <w:t> </w:t>
                            </w:r>
                            <w:r>
                              <w:rPr>
                                <w:color w:val="000000"/>
                                <w:sz w:val="22"/>
                              </w:rPr>
                              <w:t>single</w:t>
                            </w:r>
                            <w:r>
                              <w:rPr>
                                <w:color w:val="000000"/>
                                <w:spacing w:val="-2"/>
                                <w:sz w:val="22"/>
                              </w:rPr>
                              <w:t> </w:t>
                            </w:r>
                            <w:r>
                              <w:rPr>
                                <w:color w:val="000000"/>
                                <w:sz w:val="22"/>
                              </w:rPr>
                              <w:t>new</w:t>
                            </w:r>
                            <w:r>
                              <w:rPr>
                                <w:color w:val="000000"/>
                                <w:spacing w:val="-5"/>
                                <w:sz w:val="22"/>
                              </w:rPr>
                              <w:t> </w:t>
                            </w:r>
                            <w:r>
                              <w:rPr>
                                <w:color w:val="000000"/>
                                <w:sz w:val="22"/>
                              </w:rPr>
                              <w:t>energy</w:t>
                            </w:r>
                            <w:r>
                              <w:rPr>
                                <w:color w:val="000000"/>
                                <w:spacing w:val="-6"/>
                                <w:sz w:val="22"/>
                              </w:rPr>
                              <w:t> </w:t>
                            </w:r>
                            <w:r>
                              <w:rPr>
                                <w:color w:val="000000"/>
                                <w:sz w:val="22"/>
                              </w:rPr>
                              <w:t>safety</w:t>
                            </w:r>
                            <w:r>
                              <w:rPr>
                                <w:color w:val="000000"/>
                                <w:spacing w:val="-3"/>
                                <w:sz w:val="22"/>
                              </w:rPr>
                              <w:t> </w:t>
                            </w:r>
                            <w:r>
                              <w:rPr>
                                <w:color w:val="000000"/>
                                <w:sz w:val="22"/>
                              </w:rPr>
                              <w:t>Act, replacing the </w:t>
                            </w:r>
                            <w:r>
                              <w:rPr>
                                <w:i/>
                                <w:color w:val="000000"/>
                                <w:sz w:val="22"/>
                              </w:rPr>
                              <w:t>Gas Safety Act 1997</w:t>
                            </w:r>
                            <w:r>
                              <w:rPr>
                                <w:color w:val="000000"/>
                                <w:sz w:val="22"/>
                              </w:rPr>
                              <w:t>, </w:t>
                            </w:r>
                            <w:r>
                              <w:rPr>
                                <w:i/>
                                <w:color w:val="000000"/>
                                <w:sz w:val="22"/>
                              </w:rPr>
                              <w:t>Electricity Safety Act 1998</w:t>
                            </w:r>
                            <w:r>
                              <w:rPr>
                                <w:color w:val="000000"/>
                                <w:sz w:val="22"/>
                              </w:rPr>
                              <w:t>, those elements of the </w:t>
                            </w:r>
                            <w:r>
                              <w:rPr>
                                <w:i/>
                                <w:color w:val="000000"/>
                                <w:sz w:val="22"/>
                              </w:rPr>
                              <w:t>Pipelines Act 2005 </w:t>
                            </w:r>
                            <w:r>
                              <w:rPr>
                                <w:color w:val="000000"/>
                                <w:sz w:val="22"/>
                              </w:rPr>
                              <w:t>that relate to safety, and the </w:t>
                            </w:r>
                            <w:r>
                              <w:rPr>
                                <w:i/>
                                <w:color w:val="000000"/>
                                <w:sz w:val="22"/>
                              </w:rPr>
                              <w:t>Energy Safe Victoria Act 2005</w:t>
                            </w:r>
                            <w:r>
                              <w:rPr>
                                <w:color w:val="000000"/>
                                <w:sz w:val="22"/>
                              </w:rPr>
                              <w:t>.</w:t>
                            </w:r>
                          </w:p>
                        </w:txbxContent>
                      </wps:txbx>
                      <wps:bodyPr wrap="square" lIns="0" tIns="0" rIns="0" bIns="0" rtlCol="0">
                        <a:noAutofit/>
                      </wps:bodyPr>
                    </wps:wsp>
                  </a:graphicData>
                </a:graphic>
              </wp:anchor>
            </w:drawing>
          </mc:Choice>
          <mc:Fallback>
            <w:pict>
              <v:shape style="position:absolute;margin-left:56.639999pt;margin-top:12.068315pt;width:462.25pt;height:96.75pt;mso-position-horizontal-relative:page;mso-position-vertical-relative:paragraph;z-index:-15657984;mso-wrap-distance-left:0;mso-wrap-distance-right:0" type="#_x0000_t202" id="docshape171" filled="true" fillcolor="#d9d9d9" stroked="false">
                <v:textbox inset="0,0,0,0">
                  <w:txbxContent>
                    <w:p>
                      <w:pPr>
                        <w:pStyle w:val="BodyText"/>
                        <w:spacing w:before="9"/>
                        <w:rPr>
                          <w:color w:val="000000"/>
                          <w:sz w:val="20"/>
                        </w:rPr>
                      </w:pPr>
                    </w:p>
                    <w:p>
                      <w:pPr>
                        <w:spacing w:before="1"/>
                        <w:ind w:left="112" w:right="0" w:firstLine="0"/>
                        <w:jc w:val="left"/>
                        <w:rPr>
                          <w:b/>
                          <w:color w:val="000000"/>
                          <w:sz w:val="22"/>
                        </w:rPr>
                      </w:pPr>
                      <w:r>
                        <w:rPr>
                          <w:b/>
                          <w:color w:val="000000"/>
                          <w:sz w:val="22"/>
                        </w:rPr>
                        <w:t>Recommendation</w:t>
                      </w:r>
                      <w:r>
                        <w:rPr>
                          <w:b/>
                          <w:color w:val="000000"/>
                          <w:spacing w:val="-6"/>
                          <w:sz w:val="22"/>
                        </w:rPr>
                        <w:t> </w:t>
                      </w:r>
                      <w:r>
                        <w:rPr>
                          <w:b/>
                          <w:color w:val="000000"/>
                          <w:spacing w:val="-5"/>
                          <w:sz w:val="22"/>
                        </w:rPr>
                        <w:t>34</w:t>
                      </w:r>
                    </w:p>
                    <w:p>
                      <w:pPr>
                        <w:pStyle w:val="BodyText"/>
                        <w:spacing w:before="1"/>
                        <w:rPr>
                          <w:b/>
                          <w:color w:val="000000"/>
                          <w:sz w:val="25"/>
                        </w:rPr>
                      </w:pPr>
                    </w:p>
                    <w:p>
                      <w:pPr>
                        <w:spacing w:line="288" w:lineRule="auto" w:before="1"/>
                        <w:ind w:left="112" w:right="140" w:firstLine="0"/>
                        <w:jc w:val="left"/>
                        <w:rPr>
                          <w:color w:val="000000"/>
                          <w:sz w:val="22"/>
                        </w:rPr>
                      </w:pPr>
                      <w:r>
                        <w:rPr>
                          <w:color w:val="000000"/>
                          <w:sz w:val="22"/>
                        </w:rPr>
                        <w:t>All</w:t>
                      </w:r>
                      <w:r>
                        <w:rPr>
                          <w:color w:val="000000"/>
                          <w:spacing w:val="-2"/>
                          <w:sz w:val="22"/>
                        </w:rPr>
                        <w:t> </w:t>
                      </w:r>
                      <w:r>
                        <w:rPr>
                          <w:color w:val="000000"/>
                          <w:sz w:val="22"/>
                        </w:rPr>
                        <w:t>energy</w:t>
                      </w:r>
                      <w:r>
                        <w:rPr>
                          <w:color w:val="000000"/>
                          <w:spacing w:val="-3"/>
                          <w:sz w:val="22"/>
                        </w:rPr>
                        <w:t> </w:t>
                      </w:r>
                      <w:r>
                        <w:rPr>
                          <w:color w:val="000000"/>
                          <w:sz w:val="22"/>
                        </w:rPr>
                        <w:t>safety</w:t>
                      </w:r>
                      <w:r>
                        <w:rPr>
                          <w:color w:val="000000"/>
                          <w:spacing w:val="-3"/>
                          <w:sz w:val="22"/>
                        </w:rPr>
                        <w:t> </w:t>
                      </w:r>
                      <w:r>
                        <w:rPr>
                          <w:color w:val="000000"/>
                          <w:sz w:val="22"/>
                        </w:rPr>
                        <w:t>legislation</w:t>
                      </w:r>
                      <w:r>
                        <w:rPr>
                          <w:color w:val="000000"/>
                          <w:spacing w:val="-2"/>
                          <w:sz w:val="22"/>
                        </w:rPr>
                        <w:t> </w:t>
                      </w:r>
                      <w:r>
                        <w:rPr>
                          <w:color w:val="000000"/>
                          <w:sz w:val="22"/>
                        </w:rPr>
                        <w:t>should</w:t>
                      </w:r>
                      <w:r>
                        <w:rPr>
                          <w:color w:val="000000"/>
                          <w:spacing w:val="-2"/>
                          <w:sz w:val="22"/>
                        </w:rPr>
                        <w:t> </w:t>
                      </w:r>
                      <w:r>
                        <w:rPr>
                          <w:color w:val="000000"/>
                          <w:sz w:val="22"/>
                        </w:rPr>
                        <w:t>be</w:t>
                      </w:r>
                      <w:r>
                        <w:rPr>
                          <w:color w:val="000000"/>
                          <w:spacing w:val="-4"/>
                          <w:sz w:val="22"/>
                        </w:rPr>
                        <w:t> </w:t>
                      </w:r>
                      <w:r>
                        <w:rPr>
                          <w:color w:val="000000"/>
                          <w:sz w:val="22"/>
                        </w:rPr>
                        <w:t>consolidated</w:t>
                      </w:r>
                      <w:r>
                        <w:rPr>
                          <w:color w:val="000000"/>
                          <w:spacing w:val="-2"/>
                          <w:sz w:val="22"/>
                        </w:rPr>
                        <w:t> </w:t>
                      </w:r>
                      <w:r>
                        <w:rPr>
                          <w:color w:val="000000"/>
                          <w:sz w:val="22"/>
                        </w:rPr>
                        <w:t>in</w:t>
                      </w:r>
                      <w:r>
                        <w:rPr>
                          <w:color w:val="000000"/>
                          <w:spacing w:val="-2"/>
                          <w:sz w:val="22"/>
                        </w:rPr>
                        <w:t> </w:t>
                      </w:r>
                      <w:r>
                        <w:rPr>
                          <w:color w:val="000000"/>
                          <w:sz w:val="22"/>
                        </w:rPr>
                        <w:t>a</w:t>
                      </w:r>
                      <w:r>
                        <w:rPr>
                          <w:color w:val="000000"/>
                          <w:spacing w:val="-2"/>
                          <w:sz w:val="22"/>
                        </w:rPr>
                        <w:t> </w:t>
                      </w:r>
                      <w:r>
                        <w:rPr>
                          <w:color w:val="000000"/>
                          <w:sz w:val="22"/>
                        </w:rPr>
                        <w:t>single</w:t>
                      </w:r>
                      <w:r>
                        <w:rPr>
                          <w:color w:val="000000"/>
                          <w:spacing w:val="-2"/>
                          <w:sz w:val="22"/>
                        </w:rPr>
                        <w:t> </w:t>
                      </w:r>
                      <w:r>
                        <w:rPr>
                          <w:color w:val="000000"/>
                          <w:sz w:val="22"/>
                        </w:rPr>
                        <w:t>new</w:t>
                      </w:r>
                      <w:r>
                        <w:rPr>
                          <w:color w:val="000000"/>
                          <w:spacing w:val="-5"/>
                          <w:sz w:val="22"/>
                        </w:rPr>
                        <w:t> </w:t>
                      </w:r>
                      <w:r>
                        <w:rPr>
                          <w:color w:val="000000"/>
                          <w:sz w:val="22"/>
                        </w:rPr>
                        <w:t>energy</w:t>
                      </w:r>
                      <w:r>
                        <w:rPr>
                          <w:color w:val="000000"/>
                          <w:spacing w:val="-6"/>
                          <w:sz w:val="22"/>
                        </w:rPr>
                        <w:t> </w:t>
                      </w:r>
                      <w:r>
                        <w:rPr>
                          <w:color w:val="000000"/>
                          <w:sz w:val="22"/>
                        </w:rPr>
                        <w:t>safety</w:t>
                      </w:r>
                      <w:r>
                        <w:rPr>
                          <w:color w:val="000000"/>
                          <w:spacing w:val="-3"/>
                          <w:sz w:val="22"/>
                        </w:rPr>
                        <w:t> </w:t>
                      </w:r>
                      <w:r>
                        <w:rPr>
                          <w:color w:val="000000"/>
                          <w:sz w:val="22"/>
                        </w:rPr>
                        <w:t>Act, replacing the </w:t>
                      </w:r>
                      <w:r>
                        <w:rPr>
                          <w:i/>
                          <w:color w:val="000000"/>
                          <w:sz w:val="22"/>
                        </w:rPr>
                        <w:t>Gas Safety Act 1997</w:t>
                      </w:r>
                      <w:r>
                        <w:rPr>
                          <w:color w:val="000000"/>
                          <w:sz w:val="22"/>
                        </w:rPr>
                        <w:t>, </w:t>
                      </w:r>
                      <w:r>
                        <w:rPr>
                          <w:i/>
                          <w:color w:val="000000"/>
                          <w:sz w:val="22"/>
                        </w:rPr>
                        <w:t>Electricity Safety Act 1998</w:t>
                      </w:r>
                      <w:r>
                        <w:rPr>
                          <w:color w:val="000000"/>
                          <w:sz w:val="22"/>
                        </w:rPr>
                        <w:t>, those elements of the </w:t>
                      </w:r>
                      <w:r>
                        <w:rPr>
                          <w:i/>
                          <w:color w:val="000000"/>
                          <w:sz w:val="22"/>
                        </w:rPr>
                        <w:t>Pipelines Act 2005 </w:t>
                      </w:r>
                      <w:r>
                        <w:rPr>
                          <w:color w:val="000000"/>
                          <w:sz w:val="22"/>
                        </w:rPr>
                        <w:t>that relate to safety, and the </w:t>
                      </w:r>
                      <w:r>
                        <w:rPr>
                          <w:i/>
                          <w:color w:val="000000"/>
                          <w:sz w:val="22"/>
                        </w:rPr>
                        <w:t>Energy Safe Victoria Act 2005</w:t>
                      </w:r>
                      <w:r>
                        <w:rPr>
                          <w:color w:val="000000"/>
                          <w:sz w:val="22"/>
                        </w:rPr>
                        <w:t>.</w:t>
                      </w:r>
                    </w:p>
                  </w:txbxContent>
                </v:textbox>
                <v:fill type="solid"/>
                <w10:wrap type="topAndBottom"/>
              </v:shape>
            </w:pict>
          </mc:Fallback>
        </mc:AlternateContent>
      </w:r>
    </w:p>
    <w:p>
      <w:pPr>
        <w:pStyle w:val="BodyText"/>
        <w:rPr>
          <w:sz w:val="20"/>
        </w:rPr>
      </w:pPr>
    </w:p>
    <w:p>
      <w:pPr>
        <w:pStyle w:val="BodyText"/>
        <w:spacing w:before="3"/>
        <w:rPr>
          <w:sz w:val="25"/>
        </w:rPr>
      </w:pPr>
      <w:r>
        <w:rPr/>
        <mc:AlternateContent>
          <mc:Choice Requires="wps">
            <w:drawing>
              <wp:anchor distT="0" distB="0" distL="0" distR="0" allowOverlap="1" layoutInCell="1" locked="0" behindDoc="1" simplePos="0" relativeHeight="487659008">
                <wp:simplePos x="0" y="0"/>
                <wp:positionH relativeFrom="page">
                  <wp:posOffset>701040</wp:posOffset>
                </wp:positionH>
                <wp:positionV relativeFrom="paragraph">
                  <wp:posOffset>199910</wp:posOffset>
                </wp:positionV>
                <wp:extent cx="6158230" cy="1270"/>
                <wp:effectExtent l="0" t="0" r="0" b="0"/>
                <wp:wrapTopAndBottom/>
                <wp:docPr id="203" name="Graphic 203"/>
                <wp:cNvGraphicFramePr>
                  <a:graphicFrameLocks/>
                </wp:cNvGraphicFramePr>
                <a:graphic>
                  <a:graphicData uri="http://schemas.microsoft.com/office/word/2010/wordprocessingShape">
                    <wps:wsp>
                      <wps:cNvPr id="203" name="Graphic 203"/>
                      <wps:cNvSpPr/>
                      <wps:spPr>
                        <a:xfrm>
                          <a:off x="0" y="0"/>
                          <a:ext cx="6158230" cy="1270"/>
                        </a:xfrm>
                        <a:custGeom>
                          <a:avLst/>
                          <a:gdLst/>
                          <a:ahLst/>
                          <a:cxnLst/>
                          <a:rect l="l" t="t" r="r" b="b"/>
                          <a:pathLst>
                            <a:path w="6158230" h="0">
                              <a:moveTo>
                                <a:pt x="0" y="0"/>
                              </a:moveTo>
                              <a:lnTo>
                                <a:pt x="6158230" y="0"/>
                              </a:lnTo>
                            </a:path>
                          </a:pathLst>
                        </a:custGeom>
                        <a:ln w="12192">
                          <a:solidFill>
                            <a:srgbClr val="000000"/>
                          </a:solidFill>
                          <a:prstDash val="sysDot"/>
                        </a:ln>
                      </wps:spPr>
                      <wps:bodyPr wrap="square" lIns="0" tIns="0" rIns="0" bIns="0" rtlCol="0">
                        <a:prstTxWarp prst="textNoShape">
                          <a:avLst/>
                        </a:prstTxWarp>
                        <a:noAutofit/>
                      </wps:bodyPr>
                    </wps:wsp>
                  </a:graphicData>
                </a:graphic>
              </wp:anchor>
            </w:drawing>
          </mc:Choice>
          <mc:Fallback>
            <w:pict>
              <v:shape style="position:absolute;margin-left:55.200001pt;margin-top:15.740976pt;width:484.9pt;height:.1pt;mso-position-horizontal-relative:page;mso-position-vertical-relative:paragraph;z-index:-15657472;mso-wrap-distance-left:0;mso-wrap-distance-right:0" id="docshape172" coordorigin="1104,315" coordsize="9698,0" path="m1104,315l10802,315e" filled="false" stroked="true" strokeweight=".96pt" strokecolor="#000000">
                <v:path arrowok="t"/>
                <v:stroke dashstyle="shortdot"/>
                <w10:wrap type="topAndBottom"/>
              </v:shape>
            </w:pict>
          </mc:Fallback>
        </mc:AlternateContent>
      </w:r>
    </w:p>
    <w:p>
      <w:pPr>
        <w:pStyle w:val="BodyText"/>
        <w:spacing w:before="1"/>
        <w:rPr>
          <w:sz w:val="23"/>
        </w:rPr>
      </w:pPr>
    </w:p>
    <w:p>
      <w:pPr>
        <w:spacing w:before="95"/>
        <w:ind w:left="374" w:right="408" w:hanging="142"/>
        <w:jc w:val="left"/>
        <w:rPr>
          <w:sz w:val="16"/>
        </w:rPr>
      </w:pPr>
      <w:r>
        <w:rPr>
          <w:position w:val="5"/>
          <w:sz w:val="9"/>
        </w:rPr>
        <w:t>14</w:t>
      </w:r>
      <w:r>
        <w:rPr>
          <w:spacing w:val="10"/>
          <w:position w:val="5"/>
          <w:sz w:val="9"/>
        </w:rPr>
        <w:t> </w:t>
      </w:r>
      <w:r>
        <w:rPr>
          <w:sz w:val="16"/>
        </w:rPr>
        <w:t>Other</w:t>
      </w:r>
      <w:r>
        <w:rPr>
          <w:spacing w:val="-3"/>
          <w:sz w:val="16"/>
        </w:rPr>
        <w:t> </w:t>
      </w:r>
      <w:r>
        <w:rPr>
          <w:sz w:val="16"/>
        </w:rPr>
        <w:t>legislation</w:t>
      </w:r>
      <w:r>
        <w:rPr>
          <w:spacing w:val="-6"/>
          <w:sz w:val="16"/>
        </w:rPr>
        <w:t> </w:t>
      </w:r>
      <w:r>
        <w:rPr>
          <w:sz w:val="16"/>
        </w:rPr>
        <w:t>that</w:t>
      </w:r>
      <w:r>
        <w:rPr>
          <w:spacing w:val="-4"/>
          <w:sz w:val="16"/>
        </w:rPr>
        <w:t> </w:t>
      </w:r>
      <w:r>
        <w:rPr>
          <w:sz w:val="16"/>
        </w:rPr>
        <w:t>houses</w:t>
      </w:r>
      <w:r>
        <w:rPr>
          <w:spacing w:val="-1"/>
          <w:sz w:val="16"/>
        </w:rPr>
        <w:t> </w:t>
      </w:r>
      <w:r>
        <w:rPr>
          <w:sz w:val="16"/>
        </w:rPr>
        <w:t>provisions</w:t>
      </w:r>
      <w:r>
        <w:rPr>
          <w:spacing w:val="-1"/>
          <w:sz w:val="16"/>
        </w:rPr>
        <w:t> </w:t>
      </w:r>
      <w:r>
        <w:rPr>
          <w:sz w:val="16"/>
        </w:rPr>
        <w:t>establishing</w:t>
      </w:r>
      <w:r>
        <w:rPr>
          <w:spacing w:val="-6"/>
          <w:sz w:val="16"/>
        </w:rPr>
        <w:t> </w:t>
      </w:r>
      <w:r>
        <w:rPr>
          <w:sz w:val="16"/>
        </w:rPr>
        <w:t>the</w:t>
      </w:r>
      <w:r>
        <w:rPr>
          <w:spacing w:val="-3"/>
          <w:sz w:val="16"/>
        </w:rPr>
        <w:t> </w:t>
      </w:r>
      <w:r>
        <w:rPr>
          <w:sz w:val="16"/>
        </w:rPr>
        <w:t>relevant</w:t>
      </w:r>
      <w:r>
        <w:rPr>
          <w:spacing w:val="-2"/>
          <w:sz w:val="16"/>
        </w:rPr>
        <w:t> </w:t>
      </w:r>
      <w:r>
        <w:rPr>
          <w:sz w:val="16"/>
        </w:rPr>
        <w:t>authority</w:t>
      </w:r>
      <w:r>
        <w:rPr>
          <w:spacing w:val="-4"/>
          <w:sz w:val="16"/>
        </w:rPr>
        <w:t> </w:t>
      </w:r>
      <w:r>
        <w:rPr>
          <w:sz w:val="16"/>
        </w:rPr>
        <w:t>within</w:t>
      </w:r>
      <w:r>
        <w:rPr>
          <w:spacing w:val="-3"/>
          <w:sz w:val="16"/>
        </w:rPr>
        <w:t> </w:t>
      </w:r>
      <w:r>
        <w:rPr>
          <w:sz w:val="16"/>
        </w:rPr>
        <w:t>the</w:t>
      </w:r>
      <w:r>
        <w:rPr>
          <w:spacing w:val="-3"/>
          <w:sz w:val="16"/>
        </w:rPr>
        <w:t> </w:t>
      </w:r>
      <w:r>
        <w:rPr>
          <w:sz w:val="16"/>
        </w:rPr>
        <w:t>operational</w:t>
      </w:r>
      <w:r>
        <w:rPr>
          <w:spacing w:val="-5"/>
          <w:sz w:val="16"/>
        </w:rPr>
        <w:t> </w:t>
      </w:r>
      <w:r>
        <w:rPr>
          <w:sz w:val="16"/>
        </w:rPr>
        <w:t>legislation,</w:t>
      </w:r>
      <w:r>
        <w:rPr>
          <w:spacing w:val="-2"/>
          <w:sz w:val="16"/>
        </w:rPr>
        <w:t> </w:t>
      </w:r>
      <w:r>
        <w:rPr>
          <w:sz w:val="16"/>
        </w:rPr>
        <w:t>rather</w:t>
      </w:r>
      <w:r>
        <w:rPr>
          <w:spacing w:val="-3"/>
          <w:sz w:val="16"/>
        </w:rPr>
        <w:t> </w:t>
      </w:r>
      <w:r>
        <w:rPr>
          <w:sz w:val="16"/>
        </w:rPr>
        <w:t>than</w:t>
      </w:r>
      <w:r>
        <w:rPr>
          <w:spacing w:val="-5"/>
          <w:sz w:val="16"/>
        </w:rPr>
        <w:t> </w:t>
      </w:r>
      <w:r>
        <w:rPr>
          <w:sz w:val="16"/>
        </w:rPr>
        <w:t>separately, includes the </w:t>
      </w:r>
      <w:r>
        <w:rPr>
          <w:i/>
          <w:sz w:val="16"/>
        </w:rPr>
        <w:t>Offshore Petroleum and Greenhouse Gas Storage</w:t>
      </w:r>
      <w:r>
        <w:rPr>
          <w:i/>
          <w:spacing w:val="-2"/>
          <w:sz w:val="16"/>
        </w:rPr>
        <w:t> </w:t>
      </w:r>
      <w:r>
        <w:rPr>
          <w:i/>
          <w:sz w:val="16"/>
        </w:rPr>
        <w:t>Act 2006 </w:t>
      </w:r>
      <w:r>
        <w:rPr>
          <w:sz w:val="16"/>
        </w:rPr>
        <w:t>(Cth) and the </w:t>
      </w:r>
      <w:r>
        <w:rPr>
          <w:i/>
          <w:sz w:val="16"/>
        </w:rPr>
        <w:t>Building</w:t>
      </w:r>
      <w:r>
        <w:rPr>
          <w:i/>
          <w:spacing w:val="-3"/>
          <w:sz w:val="16"/>
        </w:rPr>
        <w:t> </w:t>
      </w:r>
      <w:r>
        <w:rPr>
          <w:i/>
          <w:sz w:val="16"/>
        </w:rPr>
        <w:t>Act 1993 </w:t>
      </w:r>
      <w:r>
        <w:rPr>
          <w:sz w:val="16"/>
        </w:rPr>
        <w:t>(Vic).</w:t>
      </w:r>
    </w:p>
    <w:p>
      <w:pPr>
        <w:spacing w:after="0"/>
        <w:jc w:val="left"/>
        <w:rPr>
          <w:sz w:val="16"/>
        </w:rPr>
        <w:sectPr>
          <w:pgSz w:w="11910" w:h="16850"/>
          <w:pgMar w:header="220" w:footer="678" w:top="420" w:bottom="860" w:left="900" w:right="840"/>
        </w:sectPr>
      </w:pPr>
    </w:p>
    <w:p>
      <w:pPr>
        <w:pStyle w:val="BodyText"/>
        <w:rPr>
          <w:sz w:val="20"/>
        </w:rPr>
      </w:pPr>
    </w:p>
    <w:p>
      <w:pPr>
        <w:pStyle w:val="BodyText"/>
        <w:spacing w:before="7"/>
        <w:rPr>
          <w:sz w:val="19"/>
        </w:rPr>
      </w:pPr>
    </w:p>
    <w:p>
      <w:pPr>
        <w:pStyle w:val="Heading4"/>
      </w:pPr>
      <w:r>
        <w:rPr>
          <w:color w:val="585858"/>
        </w:rPr>
        <w:t>Consistent</w:t>
      </w:r>
      <w:r>
        <w:rPr>
          <w:color w:val="585858"/>
          <w:spacing w:val="-13"/>
        </w:rPr>
        <w:t> </w:t>
      </w:r>
      <w:r>
        <w:rPr>
          <w:color w:val="585858"/>
        </w:rPr>
        <w:t>application</w:t>
      </w:r>
      <w:r>
        <w:rPr>
          <w:color w:val="585858"/>
          <w:spacing w:val="-11"/>
        </w:rPr>
        <w:t> </w:t>
      </w:r>
      <w:r>
        <w:rPr>
          <w:color w:val="585858"/>
        </w:rPr>
        <w:t>of</w:t>
      </w:r>
      <w:r>
        <w:rPr>
          <w:color w:val="585858"/>
          <w:spacing w:val="-12"/>
        </w:rPr>
        <w:t> </w:t>
      </w:r>
      <w:r>
        <w:rPr>
          <w:color w:val="585858"/>
        </w:rPr>
        <w:t>general</w:t>
      </w:r>
      <w:r>
        <w:rPr>
          <w:color w:val="585858"/>
          <w:spacing w:val="-11"/>
        </w:rPr>
        <w:t> </w:t>
      </w:r>
      <w:r>
        <w:rPr>
          <w:color w:val="585858"/>
          <w:spacing w:val="-2"/>
        </w:rPr>
        <w:t>duties</w:t>
      </w:r>
    </w:p>
    <w:p>
      <w:pPr>
        <w:pStyle w:val="BodyText"/>
        <w:spacing w:line="288" w:lineRule="auto" w:before="314"/>
        <w:ind w:left="232" w:right="320"/>
      </w:pPr>
      <w:r>
        <w:rPr/>
        <w:t>There are inconsistencies across the existing Acts and regulations in relation to the</w:t>
      </w:r>
      <w:r>
        <w:rPr>
          <w:spacing w:val="-2"/>
        </w:rPr>
        <w:t> </w:t>
      </w:r>
      <w:r>
        <w:rPr/>
        <w:t>general duties underpinning the regulatory regime. This includes provisions that specify how businesses must minimise</w:t>
      </w:r>
      <w:r>
        <w:rPr>
          <w:spacing w:val="-1"/>
        </w:rPr>
        <w:t> </w:t>
      </w:r>
      <w:r>
        <w:rPr/>
        <w:t>risks</w:t>
      </w:r>
      <w:r>
        <w:rPr>
          <w:spacing w:val="-3"/>
        </w:rPr>
        <w:t> </w:t>
      </w:r>
      <w:r>
        <w:rPr/>
        <w:t>as</w:t>
      </w:r>
      <w:r>
        <w:rPr>
          <w:spacing w:val="-5"/>
        </w:rPr>
        <w:t> </w:t>
      </w:r>
      <w:r>
        <w:rPr/>
        <w:t>far as</w:t>
      </w:r>
      <w:r>
        <w:rPr>
          <w:spacing w:val="-3"/>
        </w:rPr>
        <w:t> </w:t>
      </w:r>
      <w:r>
        <w:rPr/>
        <w:t>reasonably</w:t>
      </w:r>
      <w:r>
        <w:rPr>
          <w:spacing w:val="-3"/>
        </w:rPr>
        <w:t> </w:t>
      </w:r>
      <w:r>
        <w:rPr/>
        <w:t>practicable in</w:t>
      </w:r>
      <w:r>
        <w:rPr>
          <w:spacing w:val="-3"/>
        </w:rPr>
        <w:t> </w:t>
      </w:r>
      <w:r>
        <w:rPr/>
        <w:t>order</w:t>
      </w:r>
      <w:r>
        <w:rPr>
          <w:spacing w:val="-2"/>
        </w:rPr>
        <w:t> </w:t>
      </w:r>
      <w:r>
        <w:rPr/>
        <w:t>to</w:t>
      </w:r>
      <w:r>
        <w:rPr>
          <w:spacing w:val="-3"/>
        </w:rPr>
        <w:t> </w:t>
      </w:r>
      <w:r>
        <w:rPr/>
        <w:t>satisfy</w:t>
      </w:r>
      <w:r>
        <w:rPr>
          <w:spacing w:val="-5"/>
        </w:rPr>
        <w:t> </w:t>
      </w:r>
      <w:r>
        <w:rPr/>
        <w:t>their</w:t>
      </w:r>
      <w:r>
        <w:rPr>
          <w:spacing w:val="-4"/>
        </w:rPr>
        <w:t> </w:t>
      </w:r>
      <w:r>
        <w:rPr/>
        <w:t>general</w:t>
      </w:r>
      <w:r>
        <w:rPr>
          <w:spacing w:val="-1"/>
        </w:rPr>
        <w:t> </w:t>
      </w:r>
      <w:r>
        <w:rPr/>
        <w:t>safety</w:t>
      </w:r>
      <w:r>
        <w:rPr>
          <w:spacing w:val="-3"/>
        </w:rPr>
        <w:t> </w:t>
      </w:r>
      <w:r>
        <w:rPr/>
        <w:t>duties.</w:t>
      </w:r>
      <w:r>
        <w:rPr>
          <w:spacing w:val="-2"/>
        </w:rPr>
        <w:t> </w:t>
      </w:r>
      <w:r>
        <w:rPr/>
        <w:t>These inconsistencies extend to the Australian Standards and other legislation businesses have duties under, as noted by United Energy in its submission:</w:t>
      </w:r>
    </w:p>
    <w:p>
      <w:pPr>
        <w:pStyle w:val="BodyText"/>
        <w:spacing w:before="9"/>
        <w:rPr>
          <w:sz w:val="20"/>
        </w:rPr>
      </w:pPr>
    </w:p>
    <w:p>
      <w:pPr>
        <w:spacing w:line="288" w:lineRule="auto" w:before="0"/>
        <w:ind w:left="799" w:right="951" w:firstLine="62"/>
        <w:jc w:val="left"/>
        <w:rPr>
          <w:sz w:val="22"/>
        </w:rPr>
      </w:pPr>
      <w:r>
        <w:rPr>
          <w:i/>
          <w:sz w:val="22"/>
        </w:rPr>
        <w:t>“Some conflicting requirements of the various legislation should be addressed. The OHS Act refers to SFAIRP ‘so far as is reasonably practicable’, the ESA refers to MAFAP ‘minimise as far as practicable’, and the Electricity Safety (Management) Regulations</w:t>
      </w:r>
      <w:r>
        <w:rPr>
          <w:i/>
          <w:spacing w:val="-3"/>
          <w:sz w:val="22"/>
        </w:rPr>
        <w:t> </w:t>
      </w:r>
      <w:r>
        <w:rPr>
          <w:i/>
          <w:sz w:val="22"/>
        </w:rPr>
        <w:t>(AS</w:t>
      </w:r>
      <w:r>
        <w:rPr>
          <w:i/>
          <w:spacing w:val="-3"/>
          <w:sz w:val="22"/>
        </w:rPr>
        <w:t> </w:t>
      </w:r>
      <w:r>
        <w:rPr>
          <w:i/>
          <w:sz w:val="22"/>
        </w:rPr>
        <w:t>5577)</w:t>
      </w:r>
      <w:r>
        <w:rPr>
          <w:i/>
          <w:spacing w:val="-4"/>
          <w:sz w:val="22"/>
        </w:rPr>
        <w:t> </w:t>
      </w:r>
      <w:r>
        <w:rPr>
          <w:i/>
          <w:sz w:val="22"/>
        </w:rPr>
        <w:t>refer</w:t>
      </w:r>
      <w:r>
        <w:rPr>
          <w:i/>
          <w:spacing w:val="-4"/>
          <w:sz w:val="22"/>
        </w:rPr>
        <w:t> </w:t>
      </w:r>
      <w:r>
        <w:rPr>
          <w:i/>
          <w:sz w:val="22"/>
        </w:rPr>
        <w:t>to</w:t>
      </w:r>
      <w:r>
        <w:rPr>
          <w:i/>
          <w:spacing w:val="-5"/>
          <w:sz w:val="22"/>
        </w:rPr>
        <w:t> </w:t>
      </w:r>
      <w:r>
        <w:rPr>
          <w:i/>
          <w:sz w:val="22"/>
        </w:rPr>
        <w:t>ALARP</w:t>
      </w:r>
      <w:r>
        <w:rPr>
          <w:i/>
          <w:spacing w:val="-1"/>
          <w:sz w:val="22"/>
        </w:rPr>
        <w:t> </w:t>
      </w:r>
      <w:r>
        <w:rPr>
          <w:i/>
          <w:sz w:val="22"/>
        </w:rPr>
        <w:t>‘as</w:t>
      </w:r>
      <w:r>
        <w:rPr>
          <w:i/>
          <w:spacing w:val="-3"/>
          <w:sz w:val="22"/>
        </w:rPr>
        <w:t> </w:t>
      </w:r>
      <w:r>
        <w:rPr>
          <w:i/>
          <w:sz w:val="22"/>
        </w:rPr>
        <w:t>low</w:t>
      </w:r>
      <w:r>
        <w:rPr>
          <w:i/>
          <w:spacing w:val="-1"/>
          <w:sz w:val="22"/>
        </w:rPr>
        <w:t> </w:t>
      </w:r>
      <w:r>
        <w:rPr>
          <w:i/>
          <w:sz w:val="22"/>
        </w:rPr>
        <w:t>as</w:t>
      </w:r>
      <w:r>
        <w:rPr>
          <w:i/>
          <w:spacing w:val="-5"/>
          <w:sz w:val="22"/>
        </w:rPr>
        <w:t> </w:t>
      </w:r>
      <w:r>
        <w:rPr>
          <w:i/>
          <w:sz w:val="22"/>
        </w:rPr>
        <w:t>is</w:t>
      </w:r>
      <w:r>
        <w:rPr>
          <w:i/>
          <w:spacing w:val="-2"/>
          <w:sz w:val="22"/>
        </w:rPr>
        <w:t> </w:t>
      </w:r>
      <w:r>
        <w:rPr>
          <w:i/>
          <w:sz w:val="22"/>
        </w:rPr>
        <w:t>reasonably</w:t>
      </w:r>
      <w:r>
        <w:rPr>
          <w:i/>
          <w:spacing w:val="-1"/>
          <w:sz w:val="22"/>
        </w:rPr>
        <w:t> </w:t>
      </w:r>
      <w:r>
        <w:rPr>
          <w:i/>
          <w:sz w:val="22"/>
        </w:rPr>
        <w:t>practicable’.”</w:t>
      </w:r>
      <w:r>
        <w:rPr>
          <w:i/>
          <w:spacing w:val="-6"/>
          <w:sz w:val="22"/>
        </w:rPr>
        <w:t> </w:t>
      </w:r>
      <w:r>
        <w:rPr>
          <w:sz w:val="22"/>
        </w:rPr>
        <w:t>(United Energy, 2017, p. 13)</w:t>
      </w:r>
    </w:p>
    <w:p>
      <w:pPr>
        <w:pStyle w:val="BodyText"/>
        <w:rPr>
          <w:sz w:val="21"/>
        </w:rPr>
      </w:pPr>
    </w:p>
    <w:p>
      <w:pPr>
        <w:spacing w:line="288" w:lineRule="auto" w:before="1"/>
        <w:ind w:left="232" w:right="374" w:firstLine="0"/>
        <w:jc w:val="left"/>
        <w:rPr>
          <w:sz w:val="22"/>
        </w:rPr>
      </w:pPr>
      <w:r>
        <w:rPr>
          <w:sz w:val="22"/>
        </w:rPr>
        <w:t>The differences apparent in the legislation may be due to drafting based on other legislation in force at the time. Some of these differences are listed in Box 25. The </w:t>
      </w:r>
      <w:r>
        <w:rPr>
          <w:i/>
          <w:sz w:val="22"/>
        </w:rPr>
        <w:t>Pipelines Act 2005 </w:t>
      </w:r>
      <w:r>
        <w:rPr>
          <w:sz w:val="22"/>
        </w:rPr>
        <w:t>is more similarly worded to the current </w:t>
      </w:r>
      <w:r>
        <w:rPr>
          <w:i/>
          <w:sz w:val="22"/>
        </w:rPr>
        <w:t>Occupational Health and Safety Act 2004</w:t>
      </w:r>
      <w:r>
        <w:rPr>
          <w:sz w:val="22"/>
        </w:rPr>
        <w:t>. Consistency with the language</w:t>
      </w:r>
      <w:r>
        <w:rPr>
          <w:spacing w:val="-2"/>
          <w:sz w:val="22"/>
        </w:rPr>
        <w:t> </w:t>
      </w:r>
      <w:r>
        <w:rPr>
          <w:sz w:val="22"/>
        </w:rPr>
        <w:t>used</w:t>
      </w:r>
      <w:r>
        <w:rPr>
          <w:spacing w:val="-4"/>
          <w:sz w:val="22"/>
        </w:rPr>
        <w:t> </w:t>
      </w:r>
      <w:r>
        <w:rPr>
          <w:sz w:val="22"/>
        </w:rPr>
        <w:t>in</w:t>
      </w:r>
      <w:r>
        <w:rPr>
          <w:spacing w:val="-4"/>
          <w:sz w:val="22"/>
        </w:rPr>
        <w:t> </w:t>
      </w:r>
      <w:r>
        <w:rPr>
          <w:sz w:val="22"/>
        </w:rPr>
        <w:t>the</w:t>
      </w:r>
      <w:r>
        <w:rPr>
          <w:spacing w:val="-3"/>
          <w:sz w:val="22"/>
        </w:rPr>
        <w:t> </w:t>
      </w:r>
      <w:r>
        <w:rPr>
          <w:i/>
          <w:sz w:val="22"/>
        </w:rPr>
        <w:t>Occupational</w:t>
      </w:r>
      <w:r>
        <w:rPr>
          <w:i/>
          <w:spacing w:val="-2"/>
          <w:sz w:val="22"/>
        </w:rPr>
        <w:t> </w:t>
      </w:r>
      <w:r>
        <w:rPr>
          <w:i/>
          <w:sz w:val="22"/>
        </w:rPr>
        <w:t>Health</w:t>
      </w:r>
      <w:r>
        <w:rPr>
          <w:i/>
          <w:spacing w:val="-2"/>
          <w:sz w:val="22"/>
        </w:rPr>
        <w:t> </w:t>
      </w:r>
      <w:r>
        <w:rPr>
          <w:i/>
          <w:sz w:val="22"/>
        </w:rPr>
        <w:t>and</w:t>
      </w:r>
      <w:r>
        <w:rPr>
          <w:i/>
          <w:spacing w:val="-4"/>
          <w:sz w:val="22"/>
        </w:rPr>
        <w:t> </w:t>
      </w:r>
      <w:r>
        <w:rPr>
          <w:i/>
          <w:sz w:val="22"/>
        </w:rPr>
        <w:t>Safety</w:t>
      </w:r>
      <w:r>
        <w:rPr>
          <w:i/>
          <w:spacing w:val="-4"/>
          <w:sz w:val="22"/>
        </w:rPr>
        <w:t> </w:t>
      </w:r>
      <w:r>
        <w:rPr>
          <w:i/>
          <w:sz w:val="22"/>
        </w:rPr>
        <w:t>Act</w:t>
      </w:r>
      <w:r>
        <w:rPr>
          <w:i/>
          <w:spacing w:val="-3"/>
          <w:sz w:val="22"/>
        </w:rPr>
        <w:t> </w:t>
      </w:r>
      <w:r>
        <w:rPr>
          <w:i/>
          <w:sz w:val="22"/>
        </w:rPr>
        <w:t>2004 </w:t>
      </w:r>
      <w:r>
        <w:rPr>
          <w:sz w:val="22"/>
        </w:rPr>
        <w:t>is</w:t>
      </w:r>
      <w:r>
        <w:rPr>
          <w:spacing w:val="-4"/>
          <w:sz w:val="22"/>
        </w:rPr>
        <w:t> </w:t>
      </w:r>
      <w:r>
        <w:rPr>
          <w:sz w:val="22"/>
        </w:rPr>
        <w:t>preferred</w:t>
      </w:r>
      <w:r>
        <w:rPr>
          <w:spacing w:val="-2"/>
          <w:sz w:val="22"/>
        </w:rPr>
        <w:t> </w:t>
      </w:r>
      <w:r>
        <w:rPr>
          <w:sz w:val="22"/>
        </w:rPr>
        <w:t>to</w:t>
      </w:r>
      <w:r>
        <w:rPr>
          <w:spacing w:val="-4"/>
          <w:sz w:val="22"/>
        </w:rPr>
        <w:t> </w:t>
      </w:r>
      <w:r>
        <w:rPr>
          <w:sz w:val="22"/>
        </w:rPr>
        <w:t>the</w:t>
      </w:r>
      <w:r>
        <w:rPr>
          <w:spacing w:val="-4"/>
          <w:sz w:val="22"/>
        </w:rPr>
        <w:t> </w:t>
      </w:r>
      <w:r>
        <w:rPr>
          <w:sz w:val="22"/>
        </w:rPr>
        <w:t>extent</w:t>
      </w:r>
      <w:r>
        <w:rPr>
          <w:spacing w:val="-3"/>
          <w:sz w:val="22"/>
        </w:rPr>
        <w:t> </w:t>
      </w:r>
      <w:r>
        <w:rPr>
          <w:sz w:val="22"/>
        </w:rPr>
        <w:t>that</w:t>
      </w:r>
      <w:r>
        <w:rPr>
          <w:spacing w:val="-3"/>
          <w:sz w:val="22"/>
        </w:rPr>
        <w:t> </w:t>
      </w:r>
      <w:r>
        <w:rPr>
          <w:sz w:val="22"/>
        </w:rPr>
        <w:t>there is no reason for inconsistency.</w:t>
      </w:r>
    </w:p>
    <w:p>
      <w:pPr>
        <w:pStyle w:val="BodyText"/>
        <w:spacing w:before="7"/>
        <w:rPr>
          <w:sz w:val="18"/>
        </w:rPr>
      </w:pPr>
      <w:r>
        <w:rPr/>
        <mc:AlternateContent>
          <mc:Choice Requires="wps">
            <w:drawing>
              <wp:anchor distT="0" distB="0" distL="0" distR="0" allowOverlap="1" layoutInCell="1" locked="0" behindDoc="1" simplePos="0" relativeHeight="487659520">
                <wp:simplePos x="0" y="0"/>
                <wp:positionH relativeFrom="page">
                  <wp:posOffset>719327</wp:posOffset>
                </wp:positionH>
                <wp:positionV relativeFrom="paragraph">
                  <wp:posOffset>151572</wp:posOffset>
                </wp:positionV>
                <wp:extent cx="5870575" cy="4037965"/>
                <wp:effectExtent l="0" t="0" r="0" b="0"/>
                <wp:wrapTopAndBottom/>
                <wp:docPr id="204" name="Textbox 204"/>
                <wp:cNvGraphicFramePr>
                  <a:graphicFrameLocks/>
                </wp:cNvGraphicFramePr>
                <a:graphic>
                  <a:graphicData uri="http://schemas.microsoft.com/office/word/2010/wordprocessingShape">
                    <wps:wsp>
                      <wps:cNvPr id="204" name="Textbox 204"/>
                      <wps:cNvSpPr txBox="1"/>
                      <wps:spPr>
                        <a:xfrm>
                          <a:off x="0" y="0"/>
                          <a:ext cx="5870575" cy="4037965"/>
                        </a:xfrm>
                        <a:prstGeom prst="rect">
                          <a:avLst/>
                        </a:prstGeom>
                        <a:solidFill>
                          <a:srgbClr val="CDEBEB"/>
                        </a:solidFill>
                      </wps:spPr>
                      <wps:txbx>
                        <w:txbxContent>
                          <w:p>
                            <w:pPr>
                              <w:pStyle w:val="BodyText"/>
                              <w:spacing w:before="10"/>
                              <w:rPr>
                                <w:color w:val="000000"/>
                                <w:sz w:val="20"/>
                              </w:rPr>
                            </w:pPr>
                          </w:p>
                          <w:p>
                            <w:pPr>
                              <w:spacing w:before="0"/>
                              <w:ind w:left="112" w:right="0" w:firstLine="0"/>
                              <w:jc w:val="left"/>
                              <w:rPr>
                                <w:b/>
                                <w:color w:val="000000"/>
                                <w:sz w:val="22"/>
                              </w:rPr>
                            </w:pPr>
                            <w:r>
                              <w:rPr>
                                <w:b/>
                                <w:color w:val="000000"/>
                                <w:sz w:val="22"/>
                              </w:rPr>
                              <w:t>Box</w:t>
                            </w:r>
                            <w:r>
                              <w:rPr>
                                <w:b/>
                                <w:color w:val="000000"/>
                                <w:spacing w:val="-6"/>
                                <w:sz w:val="22"/>
                              </w:rPr>
                              <w:t> </w:t>
                            </w:r>
                            <w:r>
                              <w:rPr>
                                <w:b/>
                                <w:color w:val="000000"/>
                                <w:sz w:val="22"/>
                              </w:rPr>
                              <w:t>25:</w:t>
                            </w:r>
                            <w:r>
                              <w:rPr>
                                <w:b/>
                                <w:color w:val="000000"/>
                                <w:spacing w:val="-6"/>
                                <w:sz w:val="22"/>
                              </w:rPr>
                              <w:t> </w:t>
                            </w:r>
                            <w:r>
                              <w:rPr>
                                <w:b/>
                                <w:color w:val="000000"/>
                                <w:sz w:val="22"/>
                              </w:rPr>
                              <w:t>Inconsistencies</w:t>
                            </w:r>
                            <w:r>
                              <w:rPr>
                                <w:b/>
                                <w:color w:val="000000"/>
                                <w:spacing w:val="-5"/>
                                <w:sz w:val="22"/>
                              </w:rPr>
                              <w:t> </w:t>
                            </w:r>
                            <w:r>
                              <w:rPr>
                                <w:b/>
                                <w:color w:val="000000"/>
                                <w:sz w:val="22"/>
                              </w:rPr>
                              <w:t>in</w:t>
                            </w:r>
                            <w:r>
                              <w:rPr>
                                <w:b/>
                                <w:color w:val="000000"/>
                                <w:spacing w:val="-7"/>
                                <w:sz w:val="22"/>
                              </w:rPr>
                              <w:t> </w:t>
                            </w:r>
                            <w:r>
                              <w:rPr>
                                <w:b/>
                                <w:color w:val="000000"/>
                                <w:sz w:val="22"/>
                              </w:rPr>
                              <w:t>defining</w:t>
                            </w:r>
                            <w:r>
                              <w:rPr>
                                <w:b/>
                                <w:color w:val="000000"/>
                                <w:spacing w:val="-8"/>
                                <w:sz w:val="22"/>
                              </w:rPr>
                              <w:t> </w:t>
                            </w:r>
                            <w:r>
                              <w:rPr>
                                <w:b/>
                                <w:color w:val="000000"/>
                                <w:sz w:val="22"/>
                              </w:rPr>
                              <w:t>the</w:t>
                            </w:r>
                            <w:r>
                              <w:rPr>
                                <w:b/>
                                <w:color w:val="000000"/>
                                <w:spacing w:val="-8"/>
                                <w:sz w:val="22"/>
                              </w:rPr>
                              <w:t> </w:t>
                            </w:r>
                            <w:r>
                              <w:rPr>
                                <w:b/>
                                <w:color w:val="000000"/>
                                <w:sz w:val="22"/>
                              </w:rPr>
                              <w:t>precaution-based</w:t>
                            </w:r>
                            <w:r>
                              <w:rPr>
                                <w:b/>
                                <w:color w:val="000000"/>
                                <w:spacing w:val="-5"/>
                                <w:sz w:val="22"/>
                              </w:rPr>
                              <w:t> </w:t>
                            </w:r>
                            <w:r>
                              <w:rPr>
                                <w:b/>
                                <w:color w:val="000000"/>
                                <w:spacing w:val="-2"/>
                                <w:sz w:val="22"/>
                              </w:rPr>
                              <w:t>approach</w:t>
                            </w:r>
                          </w:p>
                          <w:p>
                            <w:pPr>
                              <w:pStyle w:val="BodyText"/>
                              <w:spacing w:before="2"/>
                              <w:rPr>
                                <w:b/>
                                <w:color w:val="000000"/>
                                <w:sz w:val="25"/>
                              </w:rPr>
                            </w:pPr>
                          </w:p>
                          <w:p>
                            <w:pPr>
                              <w:pStyle w:val="BodyText"/>
                              <w:spacing w:line="288" w:lineRule="auto"/>
                              <w:ind w:left="112" w:right="212"/>
                              <w:rPr>
                                <w:color w:val="000000"/>
                              </w:rPr>
                            </w:pPr>
                            <w:r>
                              <w:rPr>
                                <w:color w:val="000000"/>
                              </w:rPr>
                              <w:t>There</w:t>
                            </w:r>
                            <w:r>
                              <w:rPr>
                                <w:color w:val="000000"/>
                                <w:spacing w:val="-3"/>
                              </w:rPr>
                              <w:t> </w:t>
                            </w:r>
                            <w:r>
                              <w:rPr>
                                <w:color w:val="000000"/>
                              </w:rPr>
                              <w:t>are</w:t>
                            </w:r>
                            <w:r>
                              <w:rPr>
                                <w:color w:val="000000"/>
                                <w:spacing w:val="-3"/>
                              </w:rPr>
                              <w:t> </w:t>
                            </w:r>
                            <w:r>
                              <w:rPr>
                                <w:color w:val="000000"/>
                              </w:rPr>
                              <w:t>differences</w:t>
                            </w:r>
                            <w:r>
                              <w:rPr>
                                <w:color w:val="000000"/>
                                <w:spacing w:val="-2"/>
                              </w:rPr>
                              <w:t> </w:t>
                            </w:r>
                            <w:r>
                              <w:rPr>
                                <w:color w:val="000000"/>
                              </w:rPr>
                              <w:t>in</w:t>
                            </w:r>
                            <w:r>
                              <w:rPr>
                                <w:color w:val="000000"/>
                                <w:spacing w:val="-5"/>
                              </w:rPr>
                              <w:t> </w:t>
                            </w:r>
                            <w:r>
                              <w:rPr>
                                <w:color w:val="000000"/>
                              </w:rPr>
                              <w:t>drafting</w:t>
                            </w:r>
                            <w:r>
                              <w:rPr>
                                <w:color w:val="000000"/>
                                <w:spacing w:val="-3"/>
                              </w:rPr>
                              <w:t> </w:t>
                            </w:r>
                            <w:r>
                              <w:rPr>
                                <w:color w:val="000000"/>
                              </w:rPr>
                              <w:t>across</w:t>
                            </w:r>
                            <w:r>
                              <w:rPr>
                                <w:color w:val="000000"/>
                                <w:spacing w:val="-5"/>
                              </w:rPr>
                              <w:t> </w:t>
                            </w:r>
                            <w:r>
                              <w:rPr>
                                <w:color w:val="000000"/>
                              </w:rPr>
                              <w:t>the</w:t>
                            </w:r>
                            <w:r>
                              <w:rPr>
                                <w:color w:val="000000"/>
                                <w:spacing w:val="-3"/>
                              </w:rPr>
                              <w:t> </w:t>
                            </w:r>
                            <w:r>
                              <w:rPr>
                                <w:color w:val="000000"/>
                              </w:rPr>
                              <w:t>various</w:t>
                            </w:r>
                            <w:r>
                              <w:rPr>
                                <w:color w:val="000000"/>
                                <w:spacing w:val="-3"/>
                              </w:rPr>
                              <w:t> </w:t>
                            </w:r>
                            <w:r>
                              <w:rPr>
                                <w:color w:val="000000"/>
                              </w:rPr>
                              <w:t>safety</w:t>
                            </w:r>
                            <w:r>
                              <w:rPr>
                                <w:color w:val="000000"/>
                                <w:spacing w:val="-5"/>
                              </w:rPr>
                              <w:t> </w:t>
                            </w:r>
                            <w:r>
                              <w:rPr>
                                <w:color w:val="000000"/>
                              </w:rPr>
                              <w:t>Acts</w:t>
                            </w:r>
                            <w:r>
                              <w:rPr>
                                <w:color w:val="000000"/>
                                <w:spacing w:val="-5"/>
                              </w:rPr>
                              <w:t> </w:t>
                            </w:r>
                            <w:r>
                              <w:rPr>
                                <w:color w:val="000000"/>
                              </w:rPr>
                              <w:t>dealing</w:t>
                            </w:r>
                            <w:r>
                              <w:rPr>
                                <w:color w:val="000000"/>
                                <w:spacing w:val="-3"/>
                              </w:rPr>
                              <w:t> </w:t>
                            </w:r>
                            <w:r>
                              <w:rPr>
                                <w:color w:val="000000"/>
                              </w:rPr>
                              <w:t>with</w:t>
                            </w:r>
                            <w:r>
                              <w:rPr>
                                <w:color w:val="000000"/>
                                <w:spacing w:val="-5"/>
                              </w:rPr>
                              <w:t> </w:t>
                            </w:r>
                            <w:r>
                              <w:rPr>
                                <w:color w:val="000000"/>
                              </w:rPr>
                              <w:t>the</w:t>
                            </w:r>
                            <w:r>
                              <w:rPr>
                                <w:color w:val="000000"/>
                                <w:spacing w:val="-3"/>
                              </w:rPr>
                              <w:t> </w:t>
                            </w:r>
                            <w:r>
                              <w:rPr>
                                <w:color w:val="000000"/>
                              </w:rPr>
                              <w:t>application of the precaution-based approach to reducing risks:</w:t>
                            </w:r>
                          </w:p>
                          <w:p>
                            <w:pPr>
                              <w:pStyle w:val="BodyText"/>
                              <w:spacing w:before="3"/>
                              <w:rPr>
                                <w:color w:val="000000"/>
                              </w:rPr>
                            </w:pPr>
                          </w:p>
                          <w:p>
                            <w:pPr>
                              <w:numPr>
                                <w:ilvl w:val="0"/>
                                <w:numId w:val="83"/>
                              </w:numPr>
                              <w:tabs>
                                <w:tab w:pos="502" w:val="left" w:leader="none"/>
                              </w:tabs>
                              <w:spacing w:line="288" w:lineRule="auto" w:before="1"/>
                              <w:ind w:left="502" w:right="259" w:hanging="361"/>
                              <w:jc w:val="left"/>
                              <w:rPr>
                                <w:color w:val="000000"/>
                                <w:sz w:val="22"/>
                              </w:rPr>
                            </w:pPr>
                            <w:r>
                              <w:rPr>
                                <w:color w:val="000000"/>
                                <w:sz w:val="22"/>
                              </w:rPr>
                              <w:t>Duties under the </w:t>
                            </w:r>
                            <w:r>
                              <w:rPr>
                                <w:i/>
                                <w:color w:val="000000"/>
                                <w:sz w:val="22"/>
                              </w:rPr>
                              <w:t>Gas Safety Act 1997 </w:t>
                            </w:r>
                            <w:r>
                              <w:rPr>
                                <w:color w:val="000000"/>
                                <w:sz w:val="22"/>
                              </w:rPr>
                              <w:t>and </w:t>
                            </w:r>
                            <w:r>
                              <w:rPr>
                                <w:i/>
                                <w:color w:val="000000"/>
                                <w:sz w:val="22"/>
                              </w:rPr>
                              <w:t>Electricity Safety Act 1998 </w:t>
                            </w:r>
                            <w:r>
                              <w:rPr>
                                <w:color w:val="000000"/>
                                <w:sz w:val="22"/>
                              </w:rPr>
                              <w:t>require hazards and</w:t>
                            </w:r>
                            <w:r>
                              <w:rPr>
                                <w:color w:val="000000"/>
                                <w:spacing w:val="-2"/>
                                <w:sz w:val="22"/>
                              </w:rPr>
                              <w:t> </w:t>
                            </w:r>
                            <w:r>
                              <w:rPr>
                                <w:color w:val="000000"/>
                                <w:sz w:val="22"/>
                              </w:rPr>
                              <w:t>risks</w:t>
                            </w:r>
                            <w:r>
                              <w:rPr>
                                <w:color w:val="000000"/>
                                <w:spacing w:val="-4"/>
                                <w:sz w:val="22"/>
                              </w:rPr>
                              <w:t> </w:t>
                            </w:r>
                            <w:r>
                              <w:rPr>
                                <w:color w:val="000000"/>
                                <w:sz w:val="22"/>
                              </w:rPr>
                              <w:t>to</w:t>
                            </w:r>
                            <w:r>
                              <w:rPr>
                                <w:color w:val="000000"/>
                                <w:spacing w:val="-4"/>
                                <w:sz w:val="22"/>
                              </w:rPr>
                              <w:t> </w:t>
                            </w:r>
                            <w:r>
                              <w:rPr>
                                <w:color w:val="000000"/>
                                <w:sz w:val="22"/>
                              </w:rPr>
                              <w:t>safety</w:t>
                            </w:r>
                            <w:r>
                              <w:rPr>
                                <w:color w:val="000000"/>
                                <w:spacing w:val="-4"/>
                                <w:sz w:val="22"/>
                              </w:rPr>
                              <w:t> </w:t>
                            </w:r>
                            <w:r>
                              <w:rPr>
                                <w:color w:val="000000"/>
                                <w:sz w:val="22"/>
                              </w:rPr>
                              <w:t>to</w:t>
                            </w:r>
                            <w:r>
                              <w:rPr>
                                <w:color w:val="000000"/>
                                <w:spacing w:val="-4"/>
                                <w:sz w:val="22"/>
                              </w:rPr>
                              <w:t> </w:t>
                            </w:r>
                            <w:r>
                              <w:rPr>
                                <w:color w:val="000000"/>
                                <w:sz w:val="22"/>
                              </w:rPr>
                              <w:t>be</w:t>
                            </w:r>
                            <w:r>
                              <w:rPr>
                                <w:color w:val="000000"/>
                                <w:spacing w:val="-4"/>
                                <w:sz w:val="22"/>
                              </w:rPr>
                              <w:t> </w:t>
                            </w:r>
                            <w:r>
                              <w:rPr>
                                <w:color w:val="000000"/>
                                <w:sz w:val="22"/>
                              </w:rPr>
                              <w:t>minimised</w:t>
                            </w:r>
                            <w:r>
                              <w:rPr>
                                <w:color w:val="000000"/>
                                <w:spacing w:val="-2"/>
                                <w:sz w:val="22"/>
                              </w:rPr>
                              <w:t> </w:t>
                            </w:r>
                            <w:r>
                              <w:rPr>
                                <w:color w:val="000000"/>
                                <w:sz w:val="22"/>
                              </w:rPr>
                              <w:t>“as</w:t>
                            </w:r>
                            <w:r>
                              <w:rPr>
                                <w:color w:val="000000"/>
                                <w:spacing w:val="-4"/>
                                <w:sz w:val="22"/>
                              </w:rPr>
                              <w:t> </w:t>
                            </w:r>
                            <w:r>
                              <w:rPr>
                                <w:color w:val="000000"/>
                                <w:sz w:val="22"/>
                              </w:rPr>
                              <w:t>far</w:t>
                            </w:r>
                            <w:r>
                              <w:rPr>
                                <w:color w:val="000000"/>
                                <w:spacing w:val="-3"/>
                                <w:sz w:val="22"/>
                              </w:rPr>
                              <w:t> </w:t>
                            </w:r>
                            <w:r>
                              <w:rPr>
                                <w:color w:val="000000"/>
                                <w:sz w:val="22"/>
                              </w:rPr>
                              <w:t>as</w:t>
                            </w:r>
                            <w:r>
                              <w:rPr>
                                <w:color w:val="000000"/>
                                <w:spacing w:val="-2"/>
                                <w:sz w:val="22"/>
                              </w:rPr>
                              <w:t> </w:t>
                            </w:r>
                            <w:r>
                              <w:rPr>
                                <w:color w:val="000000"/>
                                <w:sz w:val="22"/>
                              </w:rPr>
                              <w:t>practicable”,</w:t>
                            </w:r>
                            <w:r>
                              <w:rPr>
                                <w:color w:val="000000"/>
                                <w:spacing w:val="-2"/>
                                <w:sz w:val="22"/>
                              </w:rPr>
                              <w:t> </w:t>
                            </w:r>
                            <w:r>
                              <w:rPr>
                                <w:color w:val="000000"/>
                                <w:sz w:val="22"/>
                              </w:rPr>
                              <w:t>whilst the </w:t>
                            </w:r>
                            <w:r>
                              <w:rPr>
                                <w:i/>
                                <w:color w:val="000000"/>
                                <w:sz w:val="22"/>
                              </w:rPr>
                              <w:t>Pipelines</w:t>
                            </w:r>
                            <w:r>
                              <w:rPr>
                                <w:i/>
                                <w:color w:val="000000"/>
                                <w:spacing w:val="-1"/>
                                <w:sz w:val="22"/>
                              </w:rPr>
                              <w:t> </w:t>
                            </w:r>
                            <w:r>
                              <w:rPr>
                                <w:i/>
                                <w:color w:val="000000"/>
                                <w:sz w:val="22"/>
                              </w:rPr>
                              <w:t>Act 2005 </w:t>
                            </w:r>
                            <w:r>
                              <w:rPr>
                                <w:color w:val="000000"/>
                                <w:sz w:val="22"/>
                              </w:rPr>
                              <w:t>requires them to be minimised “as far as is reasonably practicable”.</w:t>
                            </w:r>
                            <w:r>
                              <w:rPr>
                                <w:color w:val="000000"/>
                                <w:sz w:val="22"/>
                                <w:vertAlign w:val="superscript"/>
                              </w:rPr>
                              <w:t>15</w:t>
                            </w:r>
                          </w:p>
                          <w:p>
                            <w:pPr>
                              <w:pStyle w:val="BodyText"/>
                              <w:spacing w:before="2"/>
                              <w:rPr>
                                <w:color w:val="000000"/>
                              </w:rPr>
                            </w:pPr>
                          </w:p>
                          <w:p>
                            <w:pPr>
                              <w:numPr>
                                <w:ilvl w:val="0"/>
                                <w:numId w:val="83"/>
                              </w:numPr>
                              <w:tabs>
                                <w:tab w:pos="502" w:val="left" w:leader="none"/>
                              </w:tabs>
                              <w:spacing w:line="288" w:lineRule="auto" w:before="1"/>
                              <w:ind w:left="502" w:right="264" w:hanging="361"/>
                              <w:jc w:val="left"/>
                              <w:rPr>
                                <w:color w:val="000000"/>
                                <w:sz w:val="22"/>
                              </w:rPr>
                            </w:pPr>
                            <w:r>
                              <w:rPr>
                                <w:color w:val="000000"/>
                                <w:sz w:val="22"/>
                              </w:rPr>
                              <w:t>The explanations of “practicable” under the </w:t>
                            </w:r>
                            <w:r>
                              <w:rPr>
                                <w:i/>
                                <w:color w:val="000000"/>
                                <w:sz w:val="22"/>
                              </w:rPr>
                              <w:t>Gas Safety Act 1997 </w:t>
                            </w:r>
                            <w:r>
                              <w:rPr>
                                <w:color w:val="000000"/>
                                <w:sz w:val="22"/>
                              </w:rPr>
                              <w:t>and </w:t>
                            </w:r>
                            <w:r>
                              <w:rPr>
                                <w:i/>
                                <w:color w:val="000000"/>
                                <w:sz w:val="22"/>
                              </w:rPr>
                              <w:t>Electricity Safety Act</w:t>
                            </w:r>
                            <w:r>
                              <w:rPr>
                                <w:i/>
                                <w:color w:val="000000"/>
                                <w:spacing w:val="-1"/>
                                <w:sz w:val="22"/>
                              </w:rPr>
                              <w:t> </w:t>
                            </w:r>
                            <w:r>
                              <w:rPr>
                                <w:i/>
                                <w:color w:val="000000"/>
                                <w:sz w:val="22"/>
                              </w:rPr>
                              <w:t>1998</w:t>
                            </w:r>
                            <w:r>
                              <w:rPr>
                                <w:i/>
                                <w:color w:val="000000"/>
                                <w:spacing w:val="-5"/>
                                <w:sz w:val="22"/>
                              </w:rPr>
                              <w:t> </w:t>
                            </w:r>
                            <w:r>
                              <w:rPr>
                                <w:color w:val="000000"/>
                                <w:sz w:val="22"/>
                              </w:rPr>
                              <w:t>require</w:t>
                            </w:r>
                            <w:r>
                              <w:rPr>
                                <w:color w:val="000000"/>
                                <w:spacing w:val="-5"/>
                                <w:sz w:val="22"/>
                              </w:rPr>
                              <w:t> </w:t>
                            </w:r>
                            <w:r>
                              <w:rPr>
                                <w:color w:val="000000"/>
                                <w:sz w:val="22"/>
                              </w:rPr>
                              <w:t>businesses</w:t>
                            </w:r>
                            <w:r>
                              <w:rPr>
                                <w:color w:val="000000"/>
                                <w:spacing w:val="-3"/>
                                <w:sz w:val="22"/>
                              </w:rPr>
                              <w:t> </w:t>
                            </w:r>
                            <w:r>
                              <w:rPr>
                                <w:color w:val="000000"/>
                                <w:sz w:val="22"/>
                              </w:rPr>
                              <w:t>to</w:t>
                            </w:r>
                            <w:r>
                              <w:rPr>
                                <w:color w:val="000000"/>
                                <w:spacing w:val="-5"/>
                                <w:sz w:val="22"/>
                              </w:rPr>
                              <w:t> </w:t>
                            </w:r>
                            <w:r>
                              <w:rPr>
                                <w:color w:val="000000"/>
                                <w:sz w:val="22"/>
                              </w:rPr>
                              <w:t>“remove</w:t>
                            </w:r>
                            <w:r>
                              <w:rPr>
                                <w:color w:val="000000"/>
                                <w:spacing w:val="-3"/>
                                <w:sz w:val="22"/>
                              </w:rPr>
                              <w:t> </w:t>
                            </w:r>
                            <w:r>
                              <w:rPr>
                                <w:color w:val="000000"/>
                                <w:sz w:val="22"/>
                              </w:rPr>
                              <w:t>or</w:t>
                            </w:r>
                            <w:r>
                              <w:rPr>
                                <w:color w:val="000000"/>
                                <w:spacing w:val="-4"/>
                                <w:sz w:val="22"/>
                              </w:rPr>
                              <w:t> </w:t>
                            </w:r>
                            <w:r>
                              <w:rPr>
                                <w:color w:val="000000"/>
                                <w:sz w:val="22"/>
                              </w:rPr>
                              <w:t>mitigate”</w:t>
                            </w:r>
                            <w:r>
                              <w:rPr>
                                <w:color w:val="000000"/>
                                <w:spacing w:val="-4"/>
                                <w:sz w:val="22"/>
                              </w:rPr>
                              <w:t> </w:t>
                            </w:r>
                            <w:r>
                              <w:rPr>
                                <w:color w:val="000000"/>
                                <w:sz w:val="22"/>
                              </w:rPr>
                              <w:t>the</w:t>
                            </w:r>
                            <w:r>
                              <w:rPr>
                                <w:color w:val="000000"/>
                                <w:spacing w:val="-3"/>
                                <w:sz w:val="22"/>
                              </w:rPr>
                              <w:t> </w:t>
                            </w:r>
                            <w:r>
                              <w:rPr>
                                <w:color w:val="000000"/>
                                <w:sz w:val="22"/>
                              </w:rPr>
                              <w:t>hazard</w:t>
                            </w:r>
                            <w:r>
                              <w:rPr>
                                <w:color w:val="000000"/>
                                <w:spacing w:val="-2"/>
                                <w:sz w:val="22"/>
                              </w:rPr>
                              <w:t> </w:t>
                            </w:r>
                            <w:r>
                              <w:rPr>
                                <w:color w:val="000000"/>
                                <w:sz w:val="22"/>
                              </w:rPr>
                              <w:t>or</w:t>
                            </w:r>
                            <w:r>
                              <w:rPr>
                                <w:color w:val="000000"/>
                                <w:spacing w:val="-4"/>
                                <w:sz w:val="22"/>
                              </w:rPr>
                              <w:t> </w:t>
                            </w:r>
                            <w:r>
                              <w:rPr>
                                <w:color w:val="000000"/>
                                <w:sz w:val="22"/>
                              </w:rPr>
                              <w:t>risk,</w:t>
                            </w:r>
                            <w:r>
                              <w:rPr>
                                <w:color w:val="000000"/>
                                <w:spacing w:val="-4"/>
                                <w:sz w:val="22"/>
                              </w:rPr>
                              <w:t> </w:t>
                            </w:r>
                            <w:r>
                              <w:rPr>
                                <w:color w:val="000000"/>
                                <w:sz w:val="22"/>
                              </w:rPr>
                              <w:t>whilst</w:t>
                            </w:r>
                            <w:r>
                              <w:rPr>
                                <w:color w:val="000000"/>
                                <w:spacing w:val="-1"/>
                                <w:sz w:val="22"/>
                              </w:rPr>
                              <w:t> </w:t>
                            </w:r>
                            <w:r>
                              <w:rPr>
                                <w:color w:val="000000"/>
                                <w:sz w:val="22"/>
                              </w:rPr>
                              <w:t>under</w:t>
                            </w:r>
                            <w:r>
                              <w:rPr>
                                <w:color w:val="000000"/>
                                <w:spacing w:val="-4"/>
                                <w:sz w:val="22"/>
                              </w:rPr>
                              <w:t> </w:t>
                            </w:r>
                            <w:r>
                              <w:rPr>
                                <w:color w:val="000000"/>
                                <w:sz w:val="22"/>
                              </w:rPr>
                              <w:t>the </w:t>
                            </w:r>
                            <w:r>
                              <w:rPr>
                                <w:i/>
                                <w:color w:val="000000"/>
                                <w:sz w:val="22"/>
                              </w:rPr>
                              <w:t>Pipelines Act 2005 </w:t>
                            </w:r>
                            <w:r>
                              <w:rPr>
                                <w:color w:val="000000"/>
                                <w:sz w:val="22"/>
                              </w:rPr>
                              <w:t>they must “eliminate or reduce” the hazard or risk.</w:t>
                            </w:r>
                          </w:p>
                          <w:p>
                            <w:pPr>
                              <w:pStyle w:val="BodyText"/>
                              <w:spacing w:before="2"/>
                              <w:rPr>
                                <w:color w:val="000000"/>
                              </w:rPr>
                            </w:pPr>
                          </w:p>
                          <w:p>
                            <w:pPr>
                              <w:numPr>
                                <w:ilvl w:val="0"/>
                                <w:numId w:val="83"/>
                              </w:numPr>
                              <w:tabs>
                                <w:tab w:pos="502" w:val="left" w:leader="none"/>
                              </w:tabs>
                              <w:spacing w:line="288" w:lineRule="auto" w:before="0"/>
                              <w:ind w:left="502" w:right="382" w:hanging="361"/>
                              <w:jc w:val="left"/>
                              <w:rPr>
                                <w:color w:val="000000"/>
                                <w:sz w:val="22"/>
                              </w:rPr>
                            </w:pPr>
                            <w:r>
                              <w:rPr>
                                <w:color w:val="000000"/>
                                <w:sz w:val="22"/>
                              </w:rPr>
                              <w:t>The</w:t>
                            </w:r>
                            <w:r>
                              <w:rPr>
                                <w:color w:val="000000"/>
                                <w:spacing w:val="-4"/>
                                <w:sz w:val="22"/>
                              </w:rPr>
                              <w:t> </w:t>
                            </w:r>
                            <w:r>
                              <w:rPr>
                                <w:color w:val="000000"/>
                                <w:sz w:val="22"/>
                              </w:rPr>
                              <w:t>explanations</w:t>
                            </w:r>
                            <w:r>
                              <w:rPr>
                                <w:color w:val="000000"/>
                                <w:spacing w:val="-2"/>
                                <w:sz w:val="22"/>
                              </w:rPr>
                              <w:t> </w:t>
                            </w:r>
                            <w:r>
                              <w:rPr>
                                <w:color w:val="000000"/>
                                <w:sz w:val="22"/>
                              </w:rPr>
                              <w:t>of</w:t>
                            </w:r>
                            <w:r>
                              <w:rPr>
                                <w:color w:val="000000"/>
                                <w:spacing w:val="-1"/>
                                <w:sz w:val="22"/>
                              </w:rPr>
                              <w:t> </w:t>
                            </w:r>
                            <w:r>
                              <w:rPr>
                                <w:color w:val="000000"/>
                                <w:sz w:val="22"/>
                              </w:rPr>
                              <w:t>“practicable”</w:t>
                            </w:r>
                            <w:r>
                              <w:rPr>
                                <w:color w:val="000000"/>
                                <w:spacing w:val="-1"/>
                                <w:sz w:val="22"/>
                              </w:rPr>
                              <w:t> </w:t>
                            </w:r>
                            <w:r>
                              <w:rPr>
                                <w:color w:val="000000"/>
                                <w:sz w:val="22"/>
                              </w:rPr>
                              <w:t>are</w:t>
                            </w:r>
                            <w:r>
                              <w:rPr>
                                <w:color w:val="000000"/>
                                <w:spacing w:val="-4"/>
                                <w:sz w:val="22"/>
                              </w:rPr>
                              <w:t> </w:t>
                            </w:r>
                            <w:r>
                              <w:rPr>
                                <w:color w:val="000000"/>
                                <w:sz w:val="22"/>
                              </w:rPr>
                              <w:t>found</w:t>
                            </w:r>
                            <w:r>
                              <w:rPr>
                                <w:color w:val="000000"/>
                                <w:spacing w:val="-2"/>
                                <w:sz w:val="22"/>
                              </w:rPr>
                              <w:t> </w:t>
                            </w:r>
                            <w:r>
                              <w:rPr>
                                <w:color w:val="000000"/>
                                <w:sz w:val="22"/>
                              </w:rPr>
                              <w:t>in</w:t>
                            </w:r>
                            <w:r>
                              <w:rPr>
                                <w:color w:val="000000"/>
                                <w:spacing w:val="-4"/>
                                <w:sz w:val="22"/>
                              </w:rPr>
                              <w:t> </w:t>
                            </w:r>
                            <w:r>
                              <w:rPr>
                                <w:color w:val="000000"/>
                                <w:sz w:val="22"/>
                              </w:rPr>
                              <w:t>the</w:t>
                            </w:r>
                            <w:r>
                              <w:rPr>
                                <w:color w:val="000000"/>
                                <w:spacing w:val="-4"/>
                                <w:sz w:val="22"/>
                              </w:rPr>
                              <w:t> </w:t>
                            </w:r>
                            <w:r>
                              <w:rPr>
                                <w:color w:val="000000"/>
                                <w:sz w:val="22"/>
                              </w:rPr>
                              <w:t>definitions</w:t>
                            </w:r>
                            <w:r>
                              <w:rPr>
                                <w:color w:val="000000"/>
                                <w:spacing w:val="-2"/>
                                <w:sz w:val="22"/>
                              </w:rPr>
                              <w:t> </w:t>
                            </w:r>
                            <w:r>
                              <w:rPr>
                                <w:color w:val="000000"/>
                                <w:sz w:val="22"/>
                              </w:rPr>
                              <w:t>section</w:t>
                            </w:r>
                            <w:r>
                              <w:rPr>
                                <w:color w:val="000000"/>
                                <w:spacing w:val="-2"/>
                                <w:sz w:val="22"/>
                              </w:rPr>
                              <w:t> </w:t>
                            </w:r>
                            <w:r>
                              <w:rPr>
                                <w:color w:val="000000"/>
                                <w:sz w:val="22"/>
                              </w:rPr>
                              <w:t>of</w:t>
                            </w:r>
                            <w:r>
                              <w:rPr>
                                <w:color w:val="000000"/>
                                <w:spacing w:val="-3"/>
                                <w:sz w:val="22"/>
                              </w:rPr>
                              <w:t> </w:t>
                            </w:r>
                            <w:r>
                              <w:rPr>
                                <w:color w:val="000000"/>
                                <w:sz w:val="22"/>
                              </w:rPr>
                              <w:t>the</w:t>
                            </w:r>
                            <w:r>
                              <w:rPr>
                                <w:color w:val="000000"/>
                                <w:spacing w:val="-2"/>
                                <w:sz w:val="22"/>
                              </w:rPr>
                              <w:t> </w:t>
                            </w:r>
                            <w:r>
                              <w:rPr>
                                <w:i/>
                                <w:color w:val="000000"/>
                                <w:sz w:val="22"/>
                              </w:rPr>
                              <w:t>Gas</w:t>
                            </w:r>
                            <w:r>
                              <w:rPr>
                                <w:i/>
                                <w:color w:val="000000"/>
                                <w:spacing w:val="-4"/>
                                <w:sz w:val="22"/>
                              </w:rPr>
                              <w:t> </w:t>
                            </w:r>
                            <w:r>
                              <w:rPr>
                                <w:i/>
                                <w:color w:val="000000"/>
                                <w:sz w:val="22"/>
                              </w:rPr>
                              <w:t>Safety Act 1997 </w:t>
                            </w:r>
                            <w:r>
                              <w:rPr>
                                <w:color w:val="000000"/>
                                <w:sz w:val="22"/>
                              </w:rPr>
                              <w:t>and </w:t>
                            </w:r>
                            <w:r>
                              <w:rPr>
                                <w:i/>
                                <w:color w:val="000000"/>
                                <w:sz w:val="22"/>
                              </w:rPr>
                              <w:t>Electricity Safety Act 1998</w:t>
                            </w:r>
                            <w:r>
                              <w:rPr>
                                <w:color w:val="000000"/>
                                <w:sz w:val="22"/>
                              </w:rPr>
                              <w:t>, but in the </w:t>
                            </w:r>
                            <w:r>
                              <w:rPr>
                                <w:i/>
                                <w:color w:val="000000"/>
                                <w:sz w:val="22"/>
                              </w:rPr>
                              <w:t>Pipelines Act 2005 </w:t>
                            </w:r>
                            <w:r>
                              <w:rPr>
                                <w:color w:val="000000"/>
                                <w:sz w:val="22"/>
                              </w:rPr>
                              <w:t>“reasonably practicable” is defined following the general duty provision.</w:t>
                            </w:r>
                            <w:r>
                              <w:rPr>
                                <w:color w:val="000000"/>
                                <w:sz w:val="22"/>
                                <w:vertAlign w:val="superscript"/>
                              </w:rPr>
                              <w:t>16</w:t>
                            </w:r>
                          </w:p>
                          <w:p>
                            <w:pPr>
                              <w:pStyle w:val="BodyText"/>
                              <w:rPr>
                                <w:color w:val="000000"/>
                              </w:rPr>
                            </w:pPr>
                          </w:p>
                          <w:p>
                            <w:pPr>
                              <w:pStyle w:val="BodyText"/>
                              <w:numPr>
                                <w:ilvl w:val="0"/>
                                <w:numId w:val="83"/>
                              </w:numPr>
                              <w:tabs>
                                <w:tab w:pos="502" w:val="left" w:leader="none"/>
                              </w:tabs>
                              <w:spacing w:line="288" w:lineRule="auto" w:before="1" w:after="0"/>
                              <w:ind w:left="502" w:right="237" w:hanging="361"/>
                              <w:jc w:val="left"/>
                              <w:rPr>
                                <w:color w:val="000000"/>
                              </w:rPr>
                            </w:pPr>
                            <w:r>
                              <w:rPr>
                                <w:color w:val="000000"/>
                              </w:rPr>
                              <w:t>Compared</w:t>
                            </w:r>
                            <w:r>
                              <w:rPr>
                                <w:color w:val="000000"/>
                                <w:spacing w:val="-4"/>
                              </w:rPr>
                              <w:t> </w:t>
                            </w:r>
                            <w:r>
                              <w:rPr>
                                <w:color w:val="000000"/>
                              </w:rPr>
                              <w:t>to</w:t>
                            </w:r>
                            <w:r>
                              <w:rPr>
                                <w:color w:val="000000"/>
                                <w:spacing w:val="-4"/>
                              </w:rPr>
                              <w:t> </w:t>
                            </w:r>
                            <w:r>
                              <w:rPr>
                                <w:color w:val="000000"/>
                              </w:rPr>
                              <w:t>the</w:t>
                            </w:r>
                            <w:r>
                              <w:rPr>
                                <w:color w:val="000000"/>
                                <w:spacing w:val="-4"/>
                              </w:rPr>
                              <w:t> </w:t>
                            </w:r>
                            <w:r>
                              <w:rPr>
                                <w:i/>
                                <w:color w:val="000000"/>
                              </w:rPr>
                              <w:t>Occupational</w:t>
                            </w:r>
                            <w:r>
                              <w:rPr>
                                <w:i/>
                                <w:color w:val="000000"/>
                                <w:spacing w:val="-2"/>
                              </w:rPr>
                              <w:t> </w:t>
                            </w:r>
                            <w:r>
                              <w:rPr>
                                <w:i/>
                                <w:color w:val="000000"/>
                              </w:rPr>
                              <w:t>Health</w:t>
                            </w:r>
                            <w:r>
                              <w:rPr>
                                <w:i/>
                                <w:color w:val="000000"/>
                                <w:spacing w:val="-2"/>
                              </w:rPr>
                              <w:t> </w:t>
                            </w:r>
                            <w:r>
                              <w:rPr>
                                <w:i/>
                                <w:color w:val="000000"/>
                              </w:rPr>
                              <w:t>and</w:t>
                            </w:r>
                            <w:r>
                              <w:rPr>
                                <w:i/>
                                <w:color w:val="000000"/>
                                <w:spacing w:val="-2"/>
                              </w:rPr>
                              <w:t> </w:t>
                            </w:r>
                            <w:r>
                              <w:rPr>
                                <w:i/>
                                <w:color w:val="000000"/>
                              </w:rPr>
                              <w:t>Safety</w:t>
                            </w:r>
                            <w:r>
                              <w:rPr>
                                <w:i/>
                                <w:color w:val="000000"/>
                                <w:spacing w:val="-1"/>
                              </w:rPr>
                              <w:t> </w:t>
                            </w:r>
                            <w:r>
                              <w:rPr>
                                <w:i/>
                                <w:color w:val="000000"/>
                              </w:rPr>
                              <w:t>Act</w:t>
                            </w:r>
                            <w:r>
                              <w:rPr>
                                <w:i/>
                                <w:color w:val="000000"/>
                                <w:spacing w:val="-3"/>
                              </w:rPr>
                              <w:t> </w:t>
                            </w:r>
                            <w:r>
                              <w:rPr>
                                <w:i/>
                                <w:color w:val="000000"/>
                              </w:rPr>
                              <w:t>2004</w:t>
                            </w:r>
                            <w:r>
                              <w:rPr>
                                <w:color w:val="000000"/>
                              </w:rPr>
                              <w:t>,</w:t>
                            </w:r>
                            <w:r>
                              <w:rPr>
                                <w:color w:val="000000"/>
                                <w:spacing w:val="-3"/>
                              </w:rPr>
                              <w:t> </w:t>
                            </w:r>
                            <w:r>
                              <w:rPr>
                                <w:color w:val="000000"/>
                              </w:rPr>
                              <w:t>it</w:t>
                            </w:r>
                            <w:r>
                              <w:rPr>
                                <w:color w:val="000000"/>
                                <w:spacing w:val="-3"/>
                              </w:rPr>
                              <w:t> </w:t>
                            </w:r>
                            <w:r>
                              <w:rPr>
                                <w:color w:val="000000"/>
                              </w:rPr>
                              <w:t>is</w:t>
                            </w:r>
                            <w:r>
                              <w:rPr>
                                <w:color w:val="000000"/>
                                <w:spacing w:val="-1"/>
                              </w:rPr>
                              <w:t> </w:t>
                            </w:r>
                            <w:r>
                              <w:rPr>
                                <w:color w:val="000000"/>
                              </w:rPr>
                              <w:t>less</w:t>
                            </w:r>
                            <w:r>
                              <w:rPr>
                                <w:color w:val="000000"/>
                                <w:spacing w:val="-4"/>
                              </w:rPr>
                              <w:t> </w:t>
                            </w:r>
                            <w:r>
                              <w:rPr>
                                <w:color w:val="000000"/>
                              </w:rPr>
                              <w:t>clear</w:t>
                            </w:r>
                            <w:r>
                              <w:rPr>
                                <w:color w:val="000000"/>
                                <w:spacing w:val="-1"/>
                              </w:rPr>
                              <w:t> </w:t>
                            </w:r>
                            <w:r>
                              <w:rPr>
                                <w:color w:val="000000"/>
                              </w:rPr>
                              <w:t>in</w:t>
                            </w:r>
                            <w:r>
                              <w:rPr>
                                <w:color w:val="000000"/>
                                <w:spacing w:val="-4"/>
                              </w:rPr>
                              <w:t> </w:t>
                            </w:r>
                            <w:r>
                              <w:rPr>
                                <w:color w:val="000000"/>
                              </w:rPr>
                              <w:t>the</w:t>
                            </w:r>
                            <w:r>
                              <w:rPr>
                                <w:color w:val="000000"/>
                                <w:spacing w:val="-2"/>
                              </w:rPr>
                              <w:t> </w:t>
                            </w:r>
                            <w:r>
                              <w:rPr>
                                <w:color w:val="000000"/>
                              </w:rPr>
                              <w:t>energy safety legislation that the highest level of protection that is reasonably practicable is required – specifically, that a duty holder must eliminate risk so far as is reasonably practicable,</w:t>
                            </w:r>
                            <w:r>
                              <w:rPr>
                                <w:color w:val="000000"/>
                                <w:spacing w:val="-2"/>
                              </w:rPr>
                              <w:t> </w:t>
                            </w:r>
                            <w:r>
                              <w:rPr>
                                <w:color w:val="000000"/>
                              </w:rPr>
                              <w:t>or</w:t>
                            </w:r>
                            <w:r>
                              <w:rPr>
                                <w:color w:val="000000"/>
                                <w:spacing w:val="-2"/>
                              </w:rPr>
                              <w:t> </w:t>
                            </w:r>
                            <w:r>
                              <w:rPr>
                                <w:color w:val="000000"/>
                              </w:rPr>
                              <w:t>if it is not</w:t>
                            </w:r>
                            <w:r>
                              <w:rPr>
                                <w:color w:val="000000"/>
                                <w:spacing w:val="-2"/>
                              </w:rPr>
                              <w:t> </w:t>
                            </w:r>
                            <w:r>
                              <w:rPr>
                                <w:color w:val="000000"/>
                              </w:rPr>
                              <w:t>reasonably</w:t>
                            </w:r>
                            <w:r>
                              <w:rPr>
                                <w:color w:val="000000"/>
                                <w:spacing w:val="-3"/>
                              </w:rPr>
                              <w:t> </w:t>
                            </w:r>
                            <w:r>
                              <w:rPr>
                                <w:color w:val="000000"/>
                              </w:rPr>
                              <w:t>practicable</w:t>
                            </w:r>
                            <w:r>
                              <w:rPr>
                                <w:color w:val="000000"/>
                                <w:spacing w:val="-1"/>
                              </w:rPr>
                              <w:t> </w:t>
                            </w:r>
                            <w:r>
                              <w:rPr>
                                <w:color w:val="000000"/>
                              </w:rPr>
                              <w:t>to</w:t>
                            </w:r>
                            <w:r>
                              <w:rPr>
                                <w:color w:val="000000"/>
                                <w:spacing w:val="-5"/>
                              </w:rPr>
                              <w:t> </w:t>
                            </w:r>
                            <w:r>
                              <w:rPr>
                                <w:color w:val="000000"/>
                              </w:rPr>
                              <w:t>eliminate</w:t>
                            </w:r>
                            <w:r>
                              <w:rPr>
                                <w:color w:val="000000"/>
                                <w:spacing w:val="-1"/>
                              </w:rPr>
                              <w:t> </w:t>
                            </w:r>
                            <w:r>
                              <w:rPr>
                                <w:color w:val="000000"/>
                              </w:rPr>
                              <w:t>risks,</w:t>
                            </w:r>
                            <w:r>
                              <w:rPr>
                                <w:color w:val="000000"/>
                                <w:spacing w:val="-2"/>
                              </w:rPr>
                              <w:t> </w:t>
                            </w:r>
                            <w:r>
                              <w:rPr>
                                <w:color w:val="000000"/>
                              </w:rPr>
                              <w:t>to</w:t>
                            </w:r>
                            <w:r>
                              <w:rPr>
                                <w:color w:val="000000"/>
                                <w:spacing w:val="-3"/>
                              </w:rPr>
                              <w:t> </w:t>
                            </w:r>
                            <w:r>
                              <w:rPr>
                                <w:color w:val="000000"/>
                              </w:rPr>
                              <w:t>reduce</w:t>
                            </w:r>
                            <w:r>
                              <w:rPr>
                                <w:color w:val="000000"/>
                                <w:spacing w:val="-3"/>
                              </w:rPr>
                              <w:t> </w:t>
                            </w:r>
                            <w:r>
                              <w:rPr>
                                <w:color w:val="000000"/>
                              </w:rPr>
                              <w:t>them so</w:t>
                            </w:r>
                            <w:r>
                              <w:rPr>
                                <w:color w:val="000000"/>
                                <w:spacing w:val="-5"/>
                              </w:rPr>
                              <w:t> </w:t>
                            </w:r>
                            <w:r>
                              <w:rPr>
                                <w:color w:val="000000"/>
                              </w:rPr>
                              <w:t>far</w:t>
                            </w:r>
                          </w:p>
                        </w:txbxContent>
                      </wps:txbx>
                      <wps:bodyPr wrap="square" lIns="0" tIns="0" rIns="0" bIns="0" rtlCol="0">
                        <a:noAutofit/>
                      </wps:bodyPr>
                    </wps:wsp>
                  </a:graphicData>
                </a:graphic>
              </wp:anchor>
            </w:drawing>
          </mc:Choice>
          <mc:Fallback>
            <w:pict>
              <v:shape style="position:absolute;margin-left:56.639999pt;margin-top:11.934805pt;width:462.25pt;height:317.95pt;mso-position-horizontal-relative:page;mso-position-vertical-relative:paragraph;z-index:-15656960;mso-wrap-distance-left:0;mso-wrap-distance-right:0" type="#_x0000_t202" id="docshape173" filled="true" fillcolor="#cdebeb" stroked="false">
                <v:textbox inset="0,0,0,0">
                  <w:txbxContent>
                    <w:p>
                      <w:pPr>
                        <w:pStyle w:val="BodyText"/>
                        <w:spacing w:before="10"/>
                        <w:rPr>
                          <w:color w:val="000000"/>
                          <w:sz w:val="20"/>
                        </w:rPr>
                      </w:pPr>
                    </w:p>
                    <w:p>
                      <w:pPr>
                        <w:spacing w:before="0"/>
                        <w:ind w:left="112" w:right="0" w:firstLine="0"/>
                        <w:jc w:val="left"/>
                        <w:rPr>
                          <w:b/>
                          <w:color w:val="000000"/>
                          <w:sz w:val="22"/>
                        </w:rPr>
                      </w:pPr>
                      <w:r>
                        <w:rPr>
                          <w:b/>
                          <w:color w:val="000000"/>
                          <w:sz w:val="22"/>
                        </w:rPr>
                        <w:t>Box</w:t>
                      </w:r>
                      <w:r>
                        <w:rPr>
                          <w:b/>
                          <w:color w:val="000000"/>
                          <w:spacing w:val="-6"/>
                          <w:sz w:val="22"/>
                        </w:rPr>
                        <w:t> </w:t>
                      </w:r>
                      <w:r>
                        <w:rPr>
                          <w:b/>
                          <w:color w:val="000000"/>
                          <w:sz w:val="22"/>
                        </w:rPr>
                        <w:t>25:</w:t>
                      </w:r>
                      <w:r>
                        <w:rPr>
                          <w:b/>
                          <w:color w:val="000000"/>
                          <w:spacing w:val="-6"/>
                          <w:sz w:val="22"/>
                        </w:rPr>
                        <w:t> </w:t>
                      </w:r>
                      <w:r>
                        <w:rPr>
                          <w:b/>
                          <w:color w:val="000000"/>
                          <w:sz w:val="22"/>
                        </w:rPr>
                        <w:t>Inconsistencies</w:t>
                      </w:r>
                      <w:r>
                        <w:rPr>
                          <w:b/>
                          <w:color w:val="000000"/>
                          <w:spacing w:val="-5"/>
                          <w:sz w:val="22"/>
                        </w:rPr>
                        <w:t> </w:t>
                      </w:r>
                      <w:r>
                        <w:rPr>
                          <w:b/>
                          <w:color w:val="000000"/>
                          <w:sz w:val="22"/>
                        </w:rPr>
                        <w:t>in</w:t>
                      </w:r>
                      <w:r>
                        <w:rPr>
                          <w:b/>
                          <w:color w:val="000000"/>
                          <w:spacing w:val="-7"/>
                          <w:sz w:val="22"/>
                        </w:rPr>
                        <w:t> </w:t>
                      </w:r>
                      <w:r>
                        <w:rPr>
                          <w:b/>
                          <w:color w:val="000000"/>
                          <w:sz w:val="22"/>
                        </w:rPr>
                        <w:t>defining</w:t>
                      </w:r>
                      <w:r>
                        <w:rPr>
                          <w:b/>
                          <w:color w:val="000000"/>
                          <w:spacing w:val="-8"/>
                          <w:sz w:val="22"/>
                        </w:rPr>
                        <w:t> </w:t>
                      </w:r>
                      <w:r>
                        <w:rPr>
                          <w:b/>
                          <w:color w:val="000000"/>
                          <w:sz w:val="22"/>
                        </w:rPr>
                        <w:t>the</w:t>
                      </w:r>
                      <w:r>
                        <w:rPr>
                          <w:b/>
                          <w:color w:val="000000"/>
                          <w:spacing w:val="-8"/>
                          <w:sz w:val="22"/>
                        </w:rPr>
                        <w:t> </w:t>
                      </w:r>
                      <w:r>
                        <w:rPr>
                          <w:b/>
                          <w:color w:val="000000"/>
                          <w:sz w:val="22"/>
                        </w:rPr>
                        <w:t>precaution-based</w:t>
                      </w:r>
                      <w:r>
                        <w:rPr>
                          <w:b/>
                          <w:color w:val="000000"/>
                          <w:spacing w:val="-5"/>
                          <w:sz w:val="22"/>
                        </w:rPr>
                        <w:t> </w:t>
                      </w:r>
                      <w:r>
                        <w:rPr>
                          <w:b/>
                          <w:color w:val="000000"/>
                          <w:spacing w:val="-2"/>
                          <w:sz w:val="22"/>
                        </w:rPr>
                        <w:t>approach</w:t>
                      </w:r>
                    </w:p>
                    <w:p>
                      <w:pPr>
                        <w:pStyle w:val="BodyText"/>
                        <w:spacing w:before="2"/>
                        <w:rPr>
                          <w:b/>
                          <w:color w:val="000000"/>
                          <w:sz w:val="25"/>
                        </w:rPr>
                      </w:pPr>
                    </w:p>
                    <w:p>
                      <w:pPr>
                        <w:pStyle w:val="BodyText"/>
                        <w:spacing w:line="288" w:lineRule="auto"/>
                        <w:ind w:left="112" w:right="212"/>
                        <w:rPr>
                          <w:color w:val="000000"/>
                        </w:rPr>
                      </w:pPr>
                      <w:r>
                        <w:rPr>
                          <w:color w:val="000000"/>
                        </w:rPr>
                        <w:t>There</w:t>
                      </w:r>
                      <w:r>
                        <w:rPr>
                          <w:color w:val="000000"/>
                          <w:spacing w:val="-3"/>
                        </w:rPr>
                        <w:t> </w:t>
                      </w:r>
                      <w:r>
                        <w:rPr>
                          <w:color w:val="000000"/>
                        </w:rPr>
                        <w:t>are</w:t>
                      </w:r>
                      <w:r>
                        <w:rPr>
                          <w:color w:val="000000"/>
                          <w:spacing w:val="-3"/>
                        </w:rPr>
                        <w:t> </w:t>
                      </w:r>
                      <w:r>
                        <w:rPr>
                          <w:color w:val="000000"/>
                        </w:rPr>
                        <w:t>differences</w:t>
                      </w:r>
                      <w:r>
                        <w:rPr>
                          <w:color w:val="000000"/>
                          <w:spacing w:val="-2"/>
                        </w:rPr>
                        <w:t> </w:t>
                      </w:r>
                      <w:r>
                        <w:rPr>
                          <w:color w:val="000000"/>
                        </w:rPr>
                        <w:t>in</w:t>
                      </w:r>
                      <w:r>
                        <w:rPr>
                          <w:color w:val="000000"/>
                          <w:spacing w:val="-5"/>
                        </w:rPr>
                        <w:t> </w:t>
                      </w:r>
                      <w:r>
                        <w:rPr>
                          <w:color w:val="000000"/>
                        </w:rPr>
                        <w:t>drafting</w:t>
                      </w:r>
                      <w:r>
                        <w:rPr>
                          <w:color w:val="000000"/>
                          <w:spacing w:val="-3"/>
                        </w:rPr>
                        <w:t> </w:t>
                      </w:r>
                      <w:r>
                        <w:rPr>
                          <w:color w:val="000000"/>
                        </w:rPr>
                        <w:t>across</w:t>
                      </w:r>
                      <w:r>
                        <w:rPr>
                          <w:color w:val="000000"/>
                          <w:spacing w:val="-5"/>
                        </w:rPr>
                        <w:t> </w:t>
                      </w:r>
                      <w:r>
                        <w:rPr>
                          <w:color w:val="000000"/>
                        </w:rPr>
                        <w:t>the</w:t>
                      </w:r>
                      <w:r>
                        <w:rPr>
                          <w:color w:val="000000"/>
                          <w:spacing w:val="-3"/>
                        </w:rPr>
                        <w:t> </w:t>
                      </w:r>
                      <w:r>
                        <w:rPr>
                          <w:color w:val="000000"/>
                        </w:rPr>
                        <w:t>various</w:t>
                      </w:r>
                      <w:r>
                        <w:rPr>
                          <w:color w:val="000000"/>
                          <w:spacing w:val="-3"/>
                        </w:rPr>
                        <w:t> </w:t>
                      </w:r>
                      <w:r>
                        <w:rPr>
                          <w:color w:val="000000"/>
                        </w:rPr>
                        <w:t>safety</w:t>
                      </w:r>
                      <w:r>
                        <w:rPr>
                          <w:color w:val="000000"/>
                          <w:spacing w:val="-5"/>
                        </w:rPr>
                        <w:t> </w:t>
                      </w:r>
                      <w:r>
                        <w:rPr>
                          <w:color w:val="000000"/>
                        </w:rPr>
                        <w:t>Acts</w:t>
                      </w:r>
                      <w:r>
                        <w:rPr>
                          <w:color w:val="000000"/>
                          <w:spacing w:val="-5"/>
                        </w:rPr>
                        <w:t> </w:t>
                      </w:r>
                      <w:r>
                        <w:rPr>
                          <w:color w:val="000000"/>
                        </w:rPr>
                        <w:t>dealing</w:t>
                      </w:r>
                      <w:r>
                        <w:rPr>
                          <w:color w:val="000000"/>
                          <w:spacing w:val="-3"/>
                        </w:rPr>
                        <w:t> </w:t>
                      </w:r>
                      <w:r>
                        <w:rPr>
                          <w:color w:val="000000"/>
                        </w:rPr>
                        <w:t>with</w:t>
                      </w:r>
                      <w:r>
                        <w:rPr>
                          <w:color w:val="000000"/>
                          <w:spacing w:val="-5"/>
                        </w:rPr>
                        <w:t> </w:t>
                      </w:r>
                      <w:r>
                        <w:rPr>
                          <w:color w:val="000000"/>
                        </w:rPr>
                        <w:t>the</w:t>
                      </w:r>
                      <w:r>
                        <w:rPr>
                          <w:color w:val="000000"/>
                          <w:spacing w:val="-3"/>
                        </w:rPr>
                        <w:t> </w:t>
                      </w:r>
                      <w:r>
                        <w:rPr>
                          <w:color w:val="000000"/>
                        </w:rPr>
                        <w:t>application of the precaution-based approach to reducing risks:</w:t>
                      </w:r>
                    </w:p>
                    <w:p>
                      <w:pPr>
                        <w:pStyle w:val="BodyText"/>
                        <w:spacing w:before="3"/>
                        <w:rPr>
                          <w:color w:val="000000"/>
                        </w:rPr>
                      </w:pPr>
                    </w:p>
                    <w:p>
                      <w:pPr>
                        <w:numPr>
                          <w:ilvl w:val="0"/>
                          <w:numId w:val="83"/>
                        </w:numPr>
                        <w:tabs>
                          <w:tab w:pos="502" w:val="left" w:leader="none"/>
                        </w:tabs>
                        <w:spacing w:line="288" w:lineRule="auto" w:before="1"/>
                        <w:ind w:left="502" w:right="259" w:hanging="361"/>
                        <w:jc w:val="left"/>
                        <w:rPr>
                          <w:color w:val="000000"/>
                          <w:sz w:val="22"/>
                        </w:rPr>
                      </w:pPr>
                      <w:r>
                        <w:rPr>
                          <w:color w:val="000000"/>
                          <w:sz w:val="22"/>
                        </w:rPr>
                        <w:t>Duties under the </w:t>
                      </w:r>
                      <w:r>
                        <w:rPr>
                          <w:i/>
                          <w:color w:val="000000"/>
                          <w:sz w:val="22"/>
                        </w:rPr>
                        <w:t>Gas Safety Act 1997 </w:t>
                      </w:r>
                      <w:r>
                        <w:rPr>
                          <w:color w:val="000000"/>
                          <w:sz w:val="22"/>
                        </w:rPr>
                        <w:t>and </w:t>
                      </w:r>
                      <w:r>
                        <w:rPr>
                          <w:i/>
                          <w:color w:val="000000"/>
                          <w:sz w:val="22"/>
                        </w:rPr>
                        <w:t>Electricity Safety Act 1998 </w:t>
                      </w:r>
                      <w:r>
                        <w:rPr>
                          <w:color w:val="000000"/>
                          <w:sz w:val="22"/>
                        </w:rPr>
                        <w:t>require hazards and</w:t>
                      </w:r>
                      <w:r>
                        <w:rPr>
                          <w:color w:val="000000"/>
                          <w:spacing w:val="-2"/>
                          <w:sz w:val="22"/>
                        </w:rPr>
                        <w:t> </w:t>
                      </w:r>
                      <w:r>
                        <w:rPr>
                          <w:color w:val="000000"/>
                          <w:sz w:val="22"/>
                        </w:rPr>
                        <w:t>risks</w:t>
                      </w:r>
                      <w:r>
                        <w:rPr>
                          <w:color w:val="000000"/>
                          <w:spacing w:val="-4"/>
                          <w:sz w:val="22"/>
                        </w:rPr>
                        <w:t> </w:t>
                      </w:r>
                      <w:r>
                        <w:rPr>
                          <w:color w:val="000000"/>
                          <w:sz w:val="22"/>
                        </w:rPr>
                        <w:t>to</w:t>
                      </w:r>
                      <w:r>
                        <w:rPr>
                          <w:color w:val="000000"/>
                          <w:spacing w:val="-4"/>
                          <w:sz w:val="22"/>
                        </w:rPr>
                        <w:t> </w:t>
                      </w:r>
                      <w:r>
                        <w:rPr>
                          <w:color w:val="000000"/>
                          <w:sz w:val="22"/>
                        </w:rPr>
                        <w:t>safety</w:t>
                      </w:r>
                      <w:r>
                        <w:rPr>
                          <w:color w:val="000000"/>
                          <w:spacing w:val="-4"/>
                          <w:sz w:val="22"/>
                        </w:rPr>
                        <w:t> </w:t>
                      </w:r>
                      <w:r>
                        <w:rPr>
                          <w:color w:val="000000"/>
                          <w:sz w:val="22"/>
                        </w:rPr>
                        <w:t>to</w:t>
                      </w:r>
                      <w:r>
                        <w:rPr>
                          <w:color w:val="000000"/>
                          <w:spacing w:val="-4"/>
                          <w:sz w:val="22"/>
                        </w:rPr>
                        <w:t> </w:t>
                      </w:r>
                      <w:r>
                        <w:rPr>
                          <w:color w:val="000000"/>
                          <w:sz w:val="22"/>
                        </w:rPr>
                        <w:t>be</w:t>
                      </w:r>
                      <w:r>
                        <w:rPr>
                          <w:color w:val="000000"/>
                          <w:spacing w:val="-4"/>
                          <w:sz w:val="22"/>
                        </w:rPr>
                        <w:t> </w:t>
                      </w:r>
                      <w:r>
                        <w:rPr>
                          <w:color w:val="000000"/>
                          <w:sz w:val="22"/>
                        </w:rPr>
                        <w:t>minimised</w:t>
                      </w:r>
                      <w:r>
                        <w:rPr>
                          <w:color w:val="000000"/>
                          <w:spacing w:val="-2"/>
                          <w:sz w:val="22"/>
                        </w:rPr>
                        <w:t> </w:t>
                      </w:r>
                      <w:r>
                        <w:rPr>
                          <w:color w:val="000000"/>
                          <w:sz w:val="22"/>
                        </w:rPr>
                        <w:t>“as</w:t>
                      </w:r>
                      <w:r>
                        <w:rPr>
                          <w:color w:val="000000"/>
                          <w:spacing w:val="-4"/>
                          <w:sz w:val="22"/>
                        </w:rPr>
                        <w:t> </w:t>
                      </w:r>
                      <w:r>
                        <w:rPr>
                          <w:color w:val="000000"/>
                          <w:sz w:val="22"/>
                        </w:rPr>
                        <w:t>far</w:t>
                      </w:r>
                      <w:r>
                        <w:rPr>
                          <w:color w:val="000000"/>
                          <w:spacing w:val="-3"/>
                          <w:sz w:val="22"/>
                        </w:rPr>
                        <w:t> </w:t>
                      </w:r>
                      <w:r>
                        <w:rPr>
                          <w:color w:val="000000"/>
                          <w:sz w:val="22"/>
                        </w:rPr>
                        <w:t>as</w:t>
                      </w:r>
                      <w:r>
                        <w:rPr>
                          <w:color w:val="000000"/>
                          <w:spacing w:val="-2"/>
                          <w:sz w:val="22"/>
                        </w:rPr>
                        <w:t> </w:t>
                      </w:r>
                      <w:r>
                        <w:rPr>
                          <w:color w:val="000000"/>
                          <w:sz w:val="22"/>
                        </w:rPr>
                        <w:t>practicable”,</w:t>
                      </w:r>
                      <w:r>
                        <w:rPr>
                          <w:color w:val="000000"/>
                          <w:spacing w:val="-2"/>
                          <w:sz w:val="22"/>
                        </w:rPr>
                        <w:t> </w:t>
                      </w:r>
                      <w:r>
                        <w:rPr>
                          <w:color w:val="000000"/>
                          <w:sz w:val="22"/>
                        </w:rPr>
                        <w:t>whilst the </w:t>
                      </w:r>
                      <w:r>
                        <w:rPr>
                          <w:i/>
                          <w:color w:val="000000"/>
                          <w:sz w:val="22"/>
                        </w:rPr>
                        <w:t>Pipelines</w:t>
                      </w:r>
                      <w:r>
                        <w:rPr>
                          <w:i/>
                          <w:color w:val="000000"/>
                          <w:spacing w:val="-1"/>
                          <w:sz w:val="22"/>
                        </w:rPr>
                        <w:t> </w:t>
                      </w:r>
                      <w:r>
                        <w:rPr>
                          <w:i/>
                          <w:color w:val="000000"/>
                          <w:sz w:val="22"/>
                        </w:rPr>
                        <w:t>Act 2005 </w:t>
                      </w:r>
                      <w:r>
                        <w:rPr>
                          <w:color w:val="000000"/>
                          <w:sz w:val="22"/>
                        </w:rPr>
                        <w:t>requires them to be minimised “as far as is reasonably practicable”.</w:t>
                      </w:r>
                      <w:r>
                        <w:rPr>
                          <w:color w:val="000000"/>
                          <w:sz w:val="22"/>
                          <w:vertAlign w:val="superscript"/>
                        </w:rPr>
                        <w:t>15</w:t>
                      </w:r>
                    </w:p>
                    <w:p>
                      <w:pPr>
                        <w:pStyle w:val="BodyText"/>
                        <w:spacing w:before="2"/>
                        <w:rPr>
                          <w:color w:val="000000"/>
                        </w:rPr>
                      </w:pPr>
                    </w:p>
                    <w:p>
                      <w:pPr>
                        <w:numPr>
                          <w:ilvl w:val="0"/>
                          <w:numId w:val="83"/>
                        </w:numPr>
                        <w:tabs>
                          <w:tab w:pos="502" w:val="left" w:leader="none"/>
                        </w:tabs>
                        <w:spacing w:line="288" w:lineRule="auto" w:before="1"/>
                        <w:ind w:left="502" w:right="264" w:hanging="361"/>
                        <w:jc w:val="left"/>
                        <w:rPr>
                          <w:color w:val="000000"/>
                          <w:sz w:val="22"/>
                        </w:rPr>
                      </w:pPr>
                      <w:r>
                        <w:rPr>
                          <w:color w:val="000000"/>
                          <w:sz w:val="22"/>
                        </w:rPr>
                        <w:t>The explanations of “practicable” under the </w:t>
                      </w:r>
                      <w:r>
                        <w:rPr>
                          <w:i/>
                          <w:color w:val="000000"/>
                          <w:sz w:val="22"/>
                        </w:rPr>
                        <w:t>Gas Safety Act 1997 </w:t>
                      </w:r>
                      <w:r>
                        <w:rPr>
                          <w:color w:val="000000"/>
                          <w:sz w:val="22"/>
                        </w:rPr>
                        <w:t>and </w:t>
                      </w:r>
                      <w:r>
                        <w:rPr>
                          <w:i/>
                          <w:color w:val="000000"/>
                          <w:sz w:val="22"/>
                        </w:rPr>
                        <w:t>Electricity Safety Act</w:t>
                      </w:r>
                      <w:r>
                        <w:rPr>
                          <w:i/>
                          <w:color w:val="000000"/>
                          <w:spacing w:val="-1"/>
                          <w:sz w:val="22"/>
                        </w:rPr>
                        <w:t> </w:t>
                      </w:r>
                      <w:r>
                        <w:rPr>
                          <w:i/>
                          <w:color w:val="000000"/>
                          <w:sz w:val="22"/>
                        </w:rPr>
                        <w:t>1998</w:t>
                      </w:r>
                      <w:r>
                        <w:rPr>
                          <w:i/>
                          <w:color w:val="000000"/>
                          <w:spacing w:val="-5"/>
                          <w:sz w:val="22"/>
                        </w:rPr>
                        <w:t> </w:t>
                      </w:r>
                      <w:r>
                        <w:rPr>
                          <w:color w:val="000000"/>
                          <w:sz w:val="22"/>
                        </w:rPr>
                        <w:t>require</w:t>
                      </w:r>
                      <w:r>
                        <w:rPr>
                          <w:color w:val="000000"/>
                          <w:spacing w:val="-5"/>
                          <w:sz w:val="22"/>
                        </w:rPr>
                        <w:t> </w:t>
                      </w:r>
                      <w:r>
                        <w:rPr>
                          <w:color w:val="000000"/>
                          <w:sz w:val="22"/>
                        </w:rPr>
                        <w:t>businesses</w:t>
                      </w:r>
                      <w:r>
                        <w:rPr>
                          <w:color w:val="000000"/>
                          <w:spacing w:val="-3"/>
                          <w:sz w:val="22"/>
                        </w:rPr>
                        <w:t> </w:t>
                      </w:r>
                      <w:r>
                        <w:rPr>
                          <w:color w:val="000000"/>
                          <w:sz w:val="22"/>
                        </w:rPr>
                        <w:t>to</w:t>
                      </w:r>
                      <w:r>
                        <w:rPr>
                          <w:color w:val="000000"/>
                          <w:spacing w:val="-5"/>
                          <w:sz w:val="22"/>
                        </w:rPr>
                        <w:t> </w:t>
                      </w:r>
                      <w:r>
                        <w:rPr>
                          <w:color w:val="000000"/>
                          <w:sz w:val="22"/>
                        </w:rPr>
                        <w:t>“remove</w:t>
                      </w:r>
                      <w:r>
                        <w:rPr>
                          <w:color w:val="000000"/>
                          <w:spacing w:val="-3"/>
                          <w:sz w:val="22"/>
                        </w:rPr>
                        <w:t> </w:t>
                      </w:r>
                      <w:r>
                        <w:rPr>
                          <w:color w:val="000000"/>
                          <w:sz w:val="22"/>
                        </w:rPr>
                        <w:t>or</w:t>
                      </w:r>
                      <w:r>
                        <w:rPr>
                          <w:color w:val="000000"/>
                          <w:spacing w:val="-4"/>
                          <w:sz w:val="22"/>
                        </w:rPr>
                        <w:t> </w:t>
                      </w:r>
                      <w:r>
                        <w:rPr>
                          <w:color w:val="000000"/>
                          <w:sz w:val="22"/>
                        </w:rPr>
                        <w:t>mitigate”</w:t>
                      </w:r>
                      <w:r>
                        <w:rPr>
                          <w:color w:val="000000"/>
                          <w:spacing w:val="-4"/>
                          <w:sz w:val="22"/>
                        </w:rPr>
                        <w:t> </w:t>
                      </w:r>
                      <w:r>
                        <w:rPr>
                          <w:color w:val="000000"/>
                          <w:sz w:val="22"/>
                        </w:rPr>
                        <w:t>the</w:t>
                      </w:r>
                      <w:r>
                        <w:rPr>
                          <w:color w:val="000000"/>
                          <w:spacing w:val="-3"/>
                          <w:sz w:val="22"/>
                        </w:rPr>
                        <w:t> </w:t>
                      </w:r>
                      <w:r>
                        <w:rPr>
                          <w:color w:val="000000"/>
                          <w:sz w:val="22"/>
                        </w:rPr>
                        <w:t>hazard</w:t>
                      </w:r>
                      <w:r>
                        <w:rPr>
                          <w:color w:val="000000"/>
                          <w:spacing w:val="-2"/>
                          <w:sz w:val="22"/>
                        </w:rPr>
                        <w:t> </w:t>
                      </w:r>
                      <w:r>
                        <w:rPr>
                          <w:color w:val="000000"/>
                          <w:sz w:val="22"/>
                        </w:rPr>
                        <w:t>or</w:t>
                      </w:r>
                      <w:r>
                        <w:rPr>
                          <w:color w:val="000000"/>
                          <w:spacing w:val="-4"/>
                          <w:sz w:val="22"/>
                        </w:rPr>
                        <w:t> </w:t>
                      </w:r>
                      <w:r>
                        <w:rPr>
                          <w:color w:val="000000"/>
                          <w:sz w:val="22"/>
                        </w:rPr>
                        <w:t>risk,</w:t>
                      </w:r>
                      <w:r>
                        <w:rPr>
                          <w:color w:val="000000"/>
                          <w:spacing w:val="-4"/>
                          <w:sz w:val="22"/>
                        </w:rPr>
                        <w:t> </w:t>
                      </w:r>
                      <w:r>
                        <w:rPr>
                          <w:color w:val="000000"/>
                          <w:sz w:val="22"/>
                        </w:rPr>
                        <w:t>whilst</w:t>
                      </w:r>
                      <w:r>
                        <w:rPr>
                          <w:color w:val="000000"/>
                          <w:spacing w:val="-1"/>
                          <w:sz w:val="22"/>
                        </w:rPr>
                        <w:t> </w:t>
                      </w:r>
                      <w:r>
                        <w:rPr>
                          <w:color w:val="000000"/>
                          <w:sz w:val="22"/>
                        </w:rPr>
                        <w:t>under</w:t>
                      </w:r>
                      <w:r>
                        <w:rPr>
                          <w:color w:val="000000"/>
                          <w:spacing w:val="-4"/>
                          <w:sz w:val="22"/>
                        </w:rPr>
                        <w:t> </w:t>
                      </w:r>
                      <w:r>
                        <w:rPr>
                          <w:color w:val="000000"/>
                          <w:sz w:val="22"/>
                        </w:rPr>
                        <w:t>the </w:t>
                      </w:r>
                      <w:r>
                        <w:rPr>
                          <w:i/>
                          <w:color w:val="000000"/>
                          <w:sz w:val="22"/>
                        </w:rPr>
                        <w:t>Pipelines Act 2005 </w:t>
                      </w:r>
                      <w:r>
                        <w:rPr>
                          <w:color w:val="000000"/>
                          <w:sz w:val="22"/>
                        </w:rPr>
                        <w:t>they must “eliminate or reduce” the hazard or risk.</w:t>
                      </w:r>
                    </w:p>
                    <w:p>
                      <w:pPr>
                        <w:pStyle w:val="BodyText"/>
                        <w:spacing w:before="2"/>
                        <w:rPr>
                          <w:color w:val="000000"/>
                        </w:rPr>
                      </w:pPr>
                    </w:p>
                    <w:p>
                      <w:pPr>
                        <w:numPr>
                          <w:ilvl w:val="0"/>
                          <w:numId w:val="83"/>
                        </w:numPr>
                        <w:tabs>
                          <w:tab w:pos="502" w:val="left" w:leader="none"/>
                        </w:tabs>
                        <w:spacing w:line="288" w:lineRule="auto" w:before="0"/>
                        <w:ind w:left="502" w:right="382" w:hanging="361"/>
                        <w:jc w:val="left"/>
                        <w:rPr>
                          <w:color w:val="000000"/>
                          <w:sz w:val="22"/>
                        </w:rPr>
                      </w:pPr>
                      <w:r>
                        <w:rPr>
                          <w:color w:val="000000"/>
                          <w:sz w:val="22"/>
                        </w:rPr>
                        <w:t>The</w:t>
                      </w:r>
                      <w:r>
                        <w:rPr>
                          <w:color w:val="000000"/>
                          <w:spacing w:val="-4"/>
                          <w:sz w:val="22"/>
                        </w:rPr>
                        <w:t> </w:t>
                      </w:r>
                      <w:r>
                        <w:rPr>
                          <w:color w:val="000000"/>
                          <w:sz w:val="22"/>
                        </w:rPr>
                        <w:t>explanations</w:t>
                      </w:r>
                      <w:r>
                        <w:rPr>
                          <w:color w:val="000000"/>
                          <w:spacing w:val="-2"/>
                          <w:sz w:val="22"/>
                        </w:rPr>
                        <w:t> </w:t>
                      </w:r>
                      <w:r>
                        <w:rPr>
                          <w:color w:val="000000"/>
                          <w:sz w:val="22"/>
                        </w:rPr>
                        <w:t>of</w:t>
                      </w:r>
                      <w:r>
                        <w:rPr>
                          <w:color w:val="000000"/>
                          <w:spacing w:val="-1"/>
                          <w:sz w:val="22"/>
                        </w:rPr>
                        <w:t> </w:t>
                      </w:r>
                      <w:r>
                        <w:rPr>
                          <w:color w:val="000000"/>
                          <w:sz w:val="22"/>
                        </w:rPr>
                        <w:t>“practicable”</w:t>
                      </w:r>
                      <w:r>
                        <w:rPr>
                          <w:color w:val="000000"/>
                          <w:spacing w:val="-1"/>
                          <w:sz w:val="22"/>
                        </w:rPr>
                        <w:t> </w:t>
                      </w:r>
                      <w:r>
                        <w:rPr>
                          <w:color w:val="000000"/>
                          <w:sz w:val="22"/>
                        </w:rPr>
                        <w:t>are</w:t>
                      </w:r>
                      <w:r>
                        <w:rPr>
                          <w:color w:val="000000"/>
                          <w:spacing w:val="-4"/>
                          <w:sz w:val="22"/>
                        </w:rPr>
                        <w:t> </w:t>
                      </w:r>
                      <w:r>
                        <w:rPr>
                          <w:color w:val="000000"/>
                          <w:sz w:val="22"/>
                        </w:rPr>
                        <w:t>found</w:t>
                      </w:r>
                      <w:r>
                        <w:rPr>
                          <w:color w:val="000000"/>
                          <w:spacing w:val="-2"/>
                          <w:sz w:val="22"/>
                        </w:rPr>
                        <w:t> </w:t>
                      </w:r>
                      <w:r>
                        <w:rPr>
                          <w:color w:val="000000"/>
                          <w:sz w:val="22"/>
                        </w:rPr>
                        <w:t>in</w:t>
                      </w:r>
                      <w:r>
                        <w:rPr>
                          <w:color w:val="000000"/>
                          <w:spacing w:val="-4"/>
                          <w:sz w:val="22"/>
                        </w:rPr>
                        <w:t> </w:t>
                      </w:r>
                      <w:r>
                        <w:rPr>
                          <w:color w:val="000000"/>
                          <w:sz w:val="22"/>
                        </w:rPr>
                        <w:t>the</w:t>
                      </w:r>
                      <w:r>
                        <w:rPr>
                          <w:color w:val="000000"/>
                          <w:spacing w:val="-4"/>
                          <w:sz w:val="22"/>
                        </w:rPr>
                        <w:t> </w:t>
                      </w:r>
                      <w:r>
                        <w:rPr>
                          <w:color w:val="000000"/>
                          <w:sz w:val="22"/>
                        </w:rPr>
                        <w:t>definitions</w:t>
                      </w:r>
                      <w:r>
                        <w:rPr>
                          <w:color w:val="000000"/>
                          <w:spacing w:val="-2"/>
                          <w:sz w:val="22"/>
                        </w:rPr>
                        <w:t> </w:t>
                      </w:r>
                      <w:r>
                        <w:rPr>
                          <w:color w:val="000000"/>
                          <w:sz w:val="22"/>
                        </w:rPr>
                        <w:t>section</w:t>
                      </w:r>
                      <w:r>
                        <w:rPr>
                          <w:color w:val="000000"/>
                          <w:spacing w:val="-2"/>
                          <w:sz w:val="22"/>
                        </w:rPr>
                        <w:t> </w:t>
                      </w:r>
                      <w:r>
                        <w:rPr>
                          <w:color w:val="000000"/>
                          <w:sz w:val="22"/>
                        </w:rPr>
                        <w:t>of</w:t>
                      </w:r>
                      <w:r>
                        <w:rPr>
                          <w:color w:val="000000"/>
                          <w:spacing w:val="-3"/>
                          <w:sz w:val="22"/>
                        </w:rPr>
                        <w:t> </w:t>
                      </w:r>
                      <w:r>
                        <w:rPr>
                          <w:color w:val="000000"/>
                          <w:sz w:val="22"/>
                        </w:rPr>
                        <w:t>the</w:t>
                      </w:r>
                      <w:r>
                        <w:rPr>
                          <w:color w:val="000000"/>
                          <w:spacing w:val="-2"/>
                          <w:sz w:val="22"/>
                        </w:rPr>
                        <w:t> </w:t>
                      </w:r>
                      <w:r>
                        <w:rPr>
                          <w:i/>
                          <w:color w:val="000000"/>
                          <w:sz w:val="22"/>
                        </w:rPr>
                        <w:t>Gas</w:t>
                      </w:r>
                      <w:r>
                        <w:rPr>
                          <w:i/>
                          <w:color w:val="000000"/>
                          <w:spacing w:val="-4"/>
                          <w:sz w:val="22"/>
                        </w:rPr>
                        <w:t> </w:t>
                      </w:r>
                      <w:r>
                        <w:rPr>
                          <w:i/>
                          <w:color w:val="000000"/>
                          <w:sz w:val="22"/>
                        </w:rPr>
                        <w:t>Safety Act 1997 </w:t>
                      </w:r>
                      <w:r>
                        <w:rPr>
                          <w:color w:val="000000"/>
                          <w:sz w:val="22"/>
                        </w:rPr>
                        <w:t>and </w:t>
                      </w:r>
                      <w:r>
                        <w:rPr>
                          <w:i/>
                          <w:color w:val="000000"/>
                          <w:sz w:val="22"/>
                        </w:rPr>
                        <w:t>Electricity Safety Act 1998</w:t>
                      </w:r>
                      <w:r>
                        <w:rPr>
                          <w:color w:val="000000"/>
                          <w:sz w:val="22"/>
                        </w:rPr>
                        <w:t>, but in the </w:t>
                      </w:r>
                      <w:r>
                        <w:rPr>
                          <w:i/>
                          <w:color w:val="000000"/>
                          <w:sz w:val="22"/>
                        </w:rPr>
                        <w:t>Pipelines Act 2005 </w:t>
                      </w:r>
                      <w:r>
                        <w:rPr>
                          <w:color w:val="000000"/>
                          <w:sz w:val="22"/>
                        </w:rPr>
                        <w:t>“reasonably practicable” is defined following the general duty provision.</w:t>
                      </w:r>
                      <w:r>
                        <w:rPr>
                          <w:color w:val="000000"/>
                          <w:sz w:val="22"/>
                          <w:vertAlign w:val="superscript"/>
                        </w:rPr>
                        <w:t>16</w:t>
                      </w:r>
                    </w:p>
                    <w:p>
                      <w:pPr>
                        <w:pStyle w:val="BodyText"/>
                        <w:rPr>
                          <w:color w:val="000000"/>
                        </w:rPr>
                      </w:pPr>
                    </w:p>
                    <w:p>
                      <w:pPr>
                        <w:pStyle w:val="BodyText"/>
                        <w:numPr>
                          <w:ilvl w:val="0"/>
                          <w:numId w:val="83"/>
                        </w:numPr>
                        <w:tabs>
                          <w:tab w:pos="502" w:val="left" w:leader="none"/>
                        </w:tabs>
                        <w:spacing w:line="288" w:lineRule="auto" w:before="1" w:after="0"/>
                        <w:ind w:left="502" w:right="237" w:hanging="361"/>
                        <w:jc w:val="left"/>
                        <w:rPr>
                          <w:color w:val="000000"/>
                        </w:rPr>
                      </w:pPr>
                      <w:r>
                        <w:rPr>
                          <w:color w:val="000000"/>
                        </w:rPr>
                        <w:t>Compared</w:t>
                      </w:r>
                      <w:r>
                        <w:rPr>
                          <w:color w:val="000000"/>
                          <w:spacing w:val="-4"/>
                        </w:rPr>
                        <w:t> </w:t>
                      </w:r>
                      <w:r>
                        <w:rPr>
                          <w:color w:val="000000"/>
                        </w:rPr>
                        <w:t>to</w:t>
                      </w:r>
                      <w:r>
                        <w:rPr>
                          <w:color w:val="000000"/>
                          <w:spacing w:val="-4"/>
                        </w:rPr>
                        <w:t> </w:t>
                      </w:r>
                      <w:r>
                        <w:rPr>
                          <w:color w:val="000000"/>
                        </w:rPr>
                        <w:t>the</w:t>
                      </w:r>
                      <w:r>
                        <w:rPr>
                          <w:color w:val="000000"/>
                          <w:spacing w:val="-4"/>
                        </w:rPr>
                        <w:t> </w:t>
                      </w:r>
                      <w:r>
                        <w:rPr>
                          <w:i/>
                          <w:color w:val="000000"/>
                        </w:rPr>
                        <w:t>Occupational</w:t>
                      </w:r>
                      <w:r>
                        <w:rPr>
                          <w:i/>
                          <w:color w:val="000000"/>
                          <w:spacing w:val="-2"/>
                        </w:rPr>
                        <w:t> </w:t>
                      </w:r>
                      <w:r>
                        <w:rPr>
                          <w:i/>
                          <w:color w:val="000000"/>
                        </w:rPr>
                        <w:t>Health</w:t>
                      </w:r>
                      <w:r>
                        <w:rPr>
                          <w:i/>
                          <w:color w:val="000000"/>
                          <w:spacing w:val="-2"/>
                        </w:rPr>
                        <w:t> </w:t>
                      </w:r>
                      <w:r>
                        <w:rPr>
                          <w:i/>
                          <w:color w:val="000000"/>
                        </w:rPr>
                        <w:t>and</w:t>
                      </w:r>
                      <w:r>
                        <w:rPr>
                          <w:i/>
                          <w:color w:val="000000"/>
                          <w:spacing w:val="-2"/>
                        </w:rPr>
                        <w:t> </w:t>
                      </w:r>
                      <w:r>
                        <w:rPr>
                          <w:i/>
                          <w:color w:val="000000"/>
                        </w:rPr>
                        <w:t>Safety</w:t>
                      </w:r>
                      <w:r>
                        <w:rPr>
                          <w:i/>
                          <w:color w:val="000000"/>
                          <w:spacing w:val="-1"/>
                        </w:rPr>
                        <w:t> </w:t>
                      </w:r>
                      <w:r>
                        <w:rPr>
                          <w:i/>
                          <w:color w:val="000000"/>
                        </w:rPr>
                        <w:t>Act</w:t>
                      </w:r>
                      <w:r>
                        <w:rPr>
                          <w:i/>
                          <w:color w:val="000000"/>
                          <w:spacing w:val="-3"/>
                        </w:rPr>
                        <w:t> </w:t>
                      </w:r>
                      <w:r>
                        <w:rPr>
                          <w:i/>
                          <w:color w:val="000000"/>
                        </w:rPr>
                        <w:t>2004</w:t>
                      </w:r>
                      <w:r>
                        <w:rPr>
                          <w:color w:val="000000"/>
                        </w:rPr>
                        <w:t>,</w:t>
                      </w:r>
                      <w:r>
                        <w:rPr>
                          <w:color w:val="000000"/>
                          <w:spacing w:val="-3"/>
                        </w:rPr>
                        <w:t> </w:t>
                      </w:r>
                      <w:r>
                        <w:rPr>
                          <w:color w:val="000000"/>
                        </w:rPr>
                        <w:t>it</w:t>
                      </w:r>
                      <w:r>
                        <w:rPr>
                          <w:color w:val="000000"/>
                          <w:spacing w:val="-3"/>
                        </w:rPr>
                        <w:t> </w:t>
                      </w:r>
                      <w:r>
                        <w:rPr>
                          <w:color w:val="000000"/>
                        </w:rPr>
                        <w:t>is</w:t>
                      </w:r>
                      <w:r>
                        <w:rPr>
                          <w:color w:val="000000"/>
                          <w:spacing w:val="-1"/>
                        </w:rPr>
                        <w:t> </w:t>
                      </w:r>
                      <w:r>
                        <w:rPr>
                          <w:color w:val="000000"/>
                        </w:rPr>
                        <w:t>less</w:t>
                      </w:r>
                      <w:r>
                        <w:rPr>
                          <w:color w:val="000000"/>
                          <w:spacing w:val="-4"/>
                        </w:rPr>
                        <w:t> </w:t>
                      </w:r>
                      <w:r>
                        <w:rPr>
                          <w:color w:val="000000"/>
                        </w:rPr>
                        <w:t>clear</w:t>
                      </w:r>
                      <w:r>
                        <w:rPr>
                          <w:color w:val="000000"/>
                          <w:spacing w:val="-1"/>
                        </w:rPr>
                        <w:t> </w:t>
                      </w:r>
                      <w:r>
                        <w:rPr>
                          <w:color w:val="000000"/>
                        </w:rPr>
                        <w:t>in</w:t>
                      </w:r>
                      <w:r>
                        <w:rPr>
                          <w:color w:val="000000"/>
                          <w:spacing w:val="-4"/>
                        </w:rPr>
                        <w:t> </w:t>
                      </w:r>
                      <w:r>
                        <w:rPr>
                          <w:color w:val="000000"/>
                        </w:rPr>
                        <w:t>the</w:t>
                      </w:r>
                      <w:r>
                        <w:rPr>
                          <w:color w:val="000000"/>
                          <w:spacing w:val="-2"/>
                        </w:rPr>
                        <w:t> </w:t>
                      </w:r>
                      <w:r>
                        <w:rPr>
                          <w:color w:val="000000"/>
                        </w:rPr>
                        <w:t>energy safety legislation that the highest level of protection that is reasonably practicable is required – specifically, that a duty holder must eliminate risk so far as is reasonably practicable,</w:t>
                      </w:r>
                      <w:r>
                        <w:rPr>
                          <w:color w:val="000000"/>
                          <w:spacing w:val="-2"/>
                        </w:rPr>
                        <w:t> </w:t>
                      </w:r>
                      <w:r>
                        <w:rPr>
                          <w:color w:val="000000"/>
                        </w:rPr>
                        <w:t>or</w:t>
                      </w:r>
                      <w:r>
                        <w:rPr>
                          <w:color w:val="000000"/>
                          <w:spacing w:val="-2"/>
                        </w:rPr>
                        <w:t> </w:t>
                      </w:r>
                      <w:r>
                        <w:rPr>
                          <w:color w:val="000000"/>
                        </w:rPr>
                        <w:t>if it is not</w:t>
                      </w:r>
                      <w:r>
                        <w:rPr>
                          <w:color w:val="000000"/>
                          <w:spacing w:val="-2"/>
                        </w:rPr>
                        <w:t> </w:t>
                      </w:r>
                      <w:r>
                        <w:rPr>
                          <w:color w:val="000000"/>
                        </w:rPr>
                        <w:t>reasonably</w:t>
                      </w:r>
                      <w:r>
                        <w:rPr>
                          <w:color w:val="000000"/>
                          <w:spacing w:val="-3"/>
                        </w:rPr>
                        <w:t> </w:t>
                      </w:r>
                      <w:r>
                        <w:rPr>
                          <w:color w:val="000000"/>
                        </w:rPr>
                        <w:t>practicable</w:t>
                      </w:r>
                      <w:r>
                        <w:rPr>
                          <w:color w:val="000000"/>
                          <w:spacing w:val="-1"/>
                        </w:rPr>
                        <w:t> </w:t>
                      </w:r>
                      <w:r>
                        <w:rPr>
                          <w:color w:val="000000"/>
                        </w:rPr>
                        <w:t>to</w:t>
                      </w:r>
                      <w:r>
                        <w:rPr>
                          <w:color w:val="000000"/>
                          <w:spacing w:val="-5"/>
                        </w:rPr>
                        <w:t> </w:t>
                      </w:r>
                      <w:r>
                        <w:rPr>
                          <w:color w:val="000000"/>
                        </w:rPr>
                        <w:t>eliminate</w:t>
                      </w:r>
                      <w:r>
                        <w:rPr>
                          <w:color w:val="000000"/>
                          <w:spacing w:val="-1"/>
                        </w:rPr>
                        <w:t> </w:t>
                      </w:r>
                      <w:r>
                        <w:rPr>
                          <w:color w:val="000000"/>
                        </w:rPr>
                        <w:t>risks,</w:t>
                      </w:r>
                      <w:r>
                        <w:rPr>
                          <w:color w:val="000000"/>
                          <w:spacing w:val="-2"/>
                        </w:rPr>
                        <w:t> </w:t>
                      </w:r>
                      <w:r>
                        <w:rPr>
                          <w:color w:val="000000"/>
                        </w:rPr>
                        <w:t>to</w:t>
                      </w:r>
                      <w:r>
                        <w:rPr>
                          <w:color w:val="000000"/>
                          <w:spacing w:val="-3"/>
                        </w:rPr>
                        <w:t> </w:t>
                      </w:r>
                      <w:r>
                        <w:rPr>
                          <w:color w:val="000000"/>
                        </w:rPr>
                        <w:t>reduce</w:t>
                      </w:r>
                      <w:r>
                        <w:rPr>
                          <w:color w:val="000000"/>
                          <w:spacing w:val="-3"/>
                        </w:rPr>
                        <w:t> </w:t>
                      </w:r>
                      <w:r>
                        <w:rPr>
                          <w:color w:val="000000"/>
                        </w:rPr>
                        <w:t>them so</w:t>
                      </w:r>
                      <w:r>
                        <w:rPr>
                          <w:color w:val="000000"/>
                          <w:spacing w:val="-5"/>
                        </w:rPr>
                        <w:t> </w:t>
                      </w:r>
                      <w:r>
                        <w:rPr>
                          <w:color w:val="000000"/>
                        </w:rPr>
                        <w:t>far</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60032">
                <wp:simplePos x="0" y="0"/>
                <wp:positionH relativeFrom="page">
                  <wp:posOffset>701040</wp:posOffset>
                </wp:positionH>
                <wp:positionV relativeFrom="paragraph">
                  <wp:posOffset>4300535</wp:posOffset>
                </wp:positionV>
                <wp:extent cx="6158230" cy="1270"/>
                <wp:effectExtent l="0" t="0" r="0" b="0"/>
                <wp:wrapTopAndBottom/>
                <wp:docPr id="205" name="Graphic 205"/>
                <wp:cNvGraphicFramePr>
                  <a:graphicFrameLocks/>
                </wp:cNvGraphicFramePr>
                <a:graphic>
                  <a:graphicData uri="http://schemas.microsoft.com/office/word/2010/wordprocessingShape">
                    <wps:wsp>
                      <wps:cNvPr id="205" name="Graphic 205"/>
                      <wps:cNvSpPr/>
                      <wps:spPr>
                        <a:xfrm>
                          <a:off x="0" y="0"/>
                          <a:ext cx="6158230" cy="1270"/>
                        </a:xfrm>
                        <a:custGeom>
                          <a:avLst/>
                          <a:gdLst/>
                          <a:ahLst/>
                          <a:cxnLst/>
                          <a:rect l="l" t="t" r="r" b="b"/>
                          <a:pathLst>
                            <a:path w="6158230" h="0">
                              <a:moveTo>
                                <a:pt x="0" y="0"/>
                              </a:moveTo>
                              <a:lnTo>
                                <a:pt x="6158230" y="0"/>
                              </a:lnTo>
                            </a:path>
                          </a:pathLst>
                        </a:custGeom>
                        <a:ln w="12192">
                          <a:solidFill>
                            <a:srgbClr val="000000"/>
                          </a:solidFill>
                          <a:prstDash val="sysDot"/>
                        </a:ln>
                      </wps:spPr>
                      <wps:bodyPr wrap="square" lIns="0" tIns="0" rIns="0" bIns="0" rtlCol="0">
                        <a:prstTxWarp prst="textNoShape">
                          <a:avLst/>
                        </a:prstTxWarp>
                        <a:noAutofit/>
                      </wps:bodyPr>
                    </wps:wsp>
                  </a:graphicData>
                </a:graphic>
              </wp:anchor>
            </w:drawing>
          </mc:Choice>
          <mc:Fallback>
            <w:pict>
              <v:shape style="position:absolute;margin-left:55.200001pt;margin-top:338.624817pt;width:484.9pt;height:.1pt;mso-position-horizontal-relative:page;mso-position-vertical-relative:paragraph;z-index:-15656448;mso-wrap-distance-left:0;mso-wrap-distance-right:0" id="docshape174" coordorigin="1104,6772" coordsize="9698,0" path="m1104,6772l10802,6772e" filled="false" stroked="true" strokeweight=".96pt" strokecolor="#000000">
                <v:path arrowok="t"/>
                <v:stroke dashstyle="shortdot"/>
                <w10:wrap type="topAndBottom"/>
              </v:shape>
            </w:pict>
          </mc:Fallback>
        </mc:AlternateContent>
      </w:r>
    </w:p>
    <w:p>
      <w:pPr>
        <w:pStyle w:val="BodyText"/>
        <w:spacing w:before="1"/>
        <w:rPr>
          <w:sz w:val="13"/>
        </w:rPr>
      </w:pPr>
    </w:p>
    <w:p>
      <w:pPr>
        <w:pStyle w:val="BodyText"/>
        <w:spacing w:before="1"/>
        <w:rPr>
          <w:sz w:val="23"/>
        </w:rPr>
      </w:pPr>
    </w:p>
    <w:p>
      <w:pPr>
        <w:spacing w:before="95"/>
        <w:ind w:left="516" w:right="0" w:hanging="284"/>
        <w:jc w:val="left"/>
        <w:rPr>
          <w:sz w:val="16"/>
        </w:rPr>
      </w:pPr>
      <w:r>
        <w:rPr>
          <w:position w:val="5"/>
          <w:sz w:val="9"/>
        </w:rPr>
        <w:t>15</w:t>
      </w:r>
      <w:r>
        <w:rPr>
          <w:spacing w:val="11"/>
          <w:position w:val="5"/>
          <w:sz w:val="9"/>
        </w:rPr>
        <w:t> </w:t>
      </w:r>
      <w:r>
        <w:rPr>
          <w:sz w:val="16"/>
        </w:rPr>
        <w:t>In</w:t>
      </w:r>
      <w:r>
        <w:rPr>
          <w:spacing w:val="-2"/>
          <w:sz w:val="16"/>
        </w:rPr>
        <w:t> </w:t>
      </w:r>
      <w:r>
        <w:rPr>
          <w:sz w:val="16"/>
        </w:rPr>
        <w:t>the</w:t>
      </w:r>
      <w:r>
        <w:rPr>
          <w:spacing w:val="-2"/>
          <w:sz w:val="16"/>
        </w:rPr>
        <w:t> </w:t>
      </w:r>
      <w:r>
        <w:rPr>
          <w:sz w:val="16"/>
        </w:rPr>
        <w:t>2004</w:t>
      </w:r>
      <w:r>
        <w:rPr>
          <w:spacing w:val="-3"/>
          <w:sz w:val="16"/>
        </w:rPr>
        <w:t> </w:t>
      </w:r>
      <w:r>
        <w:rPr>
          <w:i/>
          <w:sz w:val="16"/>
        </w:rPr>
        <w:t>Occupational</w:t>
      </w:r>
      <w:r>
        <w:rPr>
          <w:i/>
          <w:spacing w:val="-1"/>
          <w:sz w:val="16"/>
        </w:rPr>
        <w:t> </w:t>
      </w:r>
      <w:r>
        <w:rPr>
          <w:i/>
          <w:sz w:val="16"/>
        </w:rPr>
        <w:t>Health</w:t>
      </w:r>
      <w:r>
        <w:rPr>
          <w:i/>
          <w:spacing w:val="-7"/>
          <w:sz w:val="16"/>
        </w:rPr>
        <w:t> </w:t>
      </w:r>
      <w:r>
        <w:rPr>
          <w:i/>
          <w:sz w:val="16"/>
        </w:rPr>
        <w:t>and</w:t>
      </w:r>
      <w:r>
        <w:rPr>
          <w:i/>
          <w:spacing w:val="-2"/>
          <w:sz w:val="16"/>
        </w:rPr>
        <w:t> </w:t>
      </w:r>
      <w:r>
        <w:rPr>
          <w:i/>
          <w:sz w:val="16"/>
        </w:rPr>
        <w:t>Safety</w:t>
      </w:r>
      <w:r>
        <w:rPr>
          <w:i/>
          <w:spacing w:val="-8"/>
          <w:sz w:val="16"/>
        </w:rPr>
        <w:t> </w:t>
      </w:r>
      <w:r>
        <w:rPr>
          <w:i/>
          <w:sz w:val="16"/>
        </w:rPr>
        <w:t>Act</w:t>
      </w:r>
      <w:r>
        <w:rPr>
          <w:i/>
          <w:spacing w:val="-1"/>
          <w:sz w:val="16"/>
        </w:rPr>
        <w:t> </w:t>
      </w:r>
      <w:r>
        <w:rPr>
          <w:i/>
          <w:sz w:val="16"/>
        </w:rPr>
        <w:t>Review</w:t>
      </w:r>
      <w:r>
        <w:rPr>
          <w:sz w:val="16"/>
        </w:rPr>
        <w:t>,</w:t>
      </w:r>
      <w:r>
        <w:rPr>
          <w:spacing w:val="-3"/>
          <w:sz w:val="16"/>
        </w:rPr>
        <w:t> </w:t>
      </w:r>
      <w:r>
        <w:rPr>
          <w:sz w:val="16"/>
        </w:rPr>
        <w:t>Maxwell</w:t>
      </w:r>
      <w:r>
        <w:rPr>
          <w:spacing w:val="-1"/>
          <w:sz w:val="16"/>
        </w:rPr>
        <w:t> </w:t>
      </w:r>
      <w:r>
        <w:rPr>
          <w:sz w:val="16"/>
        </w:rPr>
        <w:t>QC</w:t>
      </w:r>
      <w:r>
        <w:rPr>
          <w:spacing w:val="-3"/>
          <w:sz w:val="16"/>
        </w:rPr>
        <w:t> </w:t>
      </w:r>
      <w:r>
        <w:rPr>
          <w:sz w:val="16"/>
        </w:rPr>
        <w:t>considered</w:t>
      </w:r>
      <w:r>
        <w:rPr>
          <w:spacing w:val="-2"/>
          <w:sz w:val="16"/>
        </w:rPr>
        <w:t> </w:t>
      </w:r>
      <w:r>
        <w:rPr>
          <w:sz w:val="16"/>
        </w:rPr>
        <w:t>it</w:t>
      </w:r>
      <w:r>
        <w:rPr>
          <w:spacing w:val="-3"/>
          <w:sz w:val="16"/>
        </w:rPr>
        <w:t> </w:t>
      </w:r>
      <w:r>
        <w:rPr>
          <w:sz w:val="16"/>
        </w:rPr>
        <w:t>is difficult</w:t>
      </w:r>
      <w:r>
        <w:rPr>
          <w:spacing w:val="-3"/>
          <w:sz w:val="16"/>
        </w:rPr>
        <w:t> </w:t>
      </w:r>
      <w:r>
        <w:rPr>
          <w:sz w:val="16"/>
        </w:rPr>
        <w:t>to</w:t>
      </w:r>
      <w:r>
        <w:rPr>
          <w:spacing w:val="-2"/>
          <w:sz w:val="16"/>
        </w:rPr>
        <w:t> </w:t>
      </w:r>
      <w:r>
        <w:rPr>
          <w:sz w:val="16"/>
        </w:rPr>
        <w:t>reconcile</w:t>
      </w:r>
      <w:r>
        <w:rPr>
          <w:spacing w:val="-4"/>
          <w:sz w:val="16"/>
        </w:rPr>
        <w:t> </w:t>
      </w:r>
      <w:r>
        <w:rPr>
          <w:sz w:val="16"/>
        </w:rPr>
        <w:t>the</w:t>
      </w:r>
      <w:r>
        <w:rPr>
          <w:spacing w:val="-4"/>
          <w:sz w:val="16"/>
        </w:rPr>
        <w:t> </w:t>
      </w:r>
      <w:r>
        <w:rPr>
          <w:sz w:val="16"/>
        </w:rPr>
        <w:t>term “practicable”</w:t>
      </w:r>
      <w:r>
        <w:rPr>
          <w:spacing w:val="-3"/>
          <w:sz w:val="16"/>
        </w:rPr>
        <w:t> </w:t>
      </w:r>
      <w:r>
        <w:rPr>
          <w:sz w:val="16"/>
        </w:rPr>
        <w:t>with qualifications, and that “reasonably practicable” is therefore preferable should qualifications such as severity and cost remain.</w:t>
      </w:r>
    </w:p>
    <w:p>
      <w:pPr>
        <w:spacing w:before="62"/>
        <w:ind w:left="232" w:right="0" w:firstLine="0"/>
        <w:jc w:val="left"/>
        <w:rPr>
          <w:sz w:val="16"/>
        </w:rPr>
      </w:pPr>
      <w:r>
        <w:rPr>
          <w:sz w:val="16"/>
          <w:vertAlign w:val="superscript"/>
        </w:rPr>
        <w:t>16</w:t>
      </w:r>
      <w:r>
        <w:rPr>
          <w:spacing w:val="-2"/>
          <w:sz w:val="16"/>
          <w:vertAlign w:val="baseline"/>
        </w:rPr>
        <w:t> </w:t>
      </w:r>
      <w:r>
        <w:rPr>
          <w:sz w:val="16"/>
          <w:vertAlign w:val="baseline"/>
        </w:rPr>
        <w:t>In</w:t>
      </w:r>
      <w:r>
        <w:rPr>
          <w:spacing w:val="-3"/>
          <w:sz w:val="16"/>
          <w:vertAlign w:val="baseline"/>
        </w:rPr>
        <w:t> </w:t>
      </w:r>
      <w:r>
        <w:rPr>
          <w:sz w:val="16"/>
          <w:vertAlign w:val="baseline"/>
        </w:rPr>
        <w:t>the</w:t>
      </w:r>
      <w:r>
        <w:rPr>
          <w:spacing w:val="-2"/>
          <w:sz w:val="16"/>
          <w:vertAlign w:val="baseline"/>
        </w:rPr>
        <w:t> </w:t>
      </w:r>
      <w:r>
        <w:rPr>
          <w:sz w:val="16"/>
          <w:vertAlign w:val="baseline"/>
        </w:rPr>
        <w:t>2004</w:t>
      </w:r>
      <w:r>
        <w:rPr>
          <w:spacing w:val="-1"/>
          <w:sz w:val="16"/>
          <w:vertAlign w:val="baseline"/>
        </w:rPr>
        <w:t> </w:t>
      </w:r>
      <w:r>
        <w:rPr>
          <w:i/>
          <w:sz w:val="16"/>
          <w:vertAlign w:val="baseline"/>
        </w:rPr>
        <w:t>Occupational</w:t>
      </w:r>
      <w:r>
        <w:rPr>
          <w:i/>
          <w:spacing w:val="-3"/>
          <w:sz w:val="16"/>
          <w:vertAlign w:val="baseline"/>
        </w:rPr>
        <w:t> </w:t>
      </w:r>
      <w:r>
        <w:rPr>
          <w:i/>
          <w:sz w:val="16"/>
          <w:vertAlign w:val="baseline"/>
        </w:rPr>
        <w:t>Health</w:t>
      </w:r>
      <w:r>
        <w:rPr>
          <w:i/>
          <w:spacing w:val="-3"/>
          <w:sz w:val="16"/>
          <w:vertAlign w:val="baseline"/>
        </w:rPr>
        <w:t> </w:t>
      </w:r>
      <w:r>
        <w:rPr>
          <w:i/>
          <w:sz w:val="16"/>
          <w:vertAlign w:val="baseline"/>
        </w:rPr>
        <w:t>and</w:t>
      </w:r>
      <w:r>
        <w:rPr>
          <w:i/>
          <w:spacing w:val="-2"/>
          <w:sz w:val="16"/>
          <w:vertAlign w:val="baseline"/>
        </w:rPr>
        <w:t> </w:t>
      </w:r>
      <w:r>
        <w:rPr>
          <w:i/>
          <w:sz w:val="16"/>
          <w:vertAlign w:val="baseline"/>
        </w:rPr>
        <w:t>Safety</w:t>
      </w:r>
      <w:r>
        <w:rPr>
          <w:i/>
          <w:spacing w:val="-2"/>
          <w:sz w:val="16"/>
          <w:vertAlign w:val="baseline"/>
        </w:rPr>
        <w:t> </w:t>
      </w:r>
      <w:r>
        <w:rPr>
          <w:i/>
          <w:sz w:val="16"/>
          <w:vertAlign w:val="baseline"/>
        </w:rPr>
        <w:t>Act</w:t>
      </w:r>
      <w:r>
        <w:rPr>
          <w:i/>
          <w:spacing w:val="-2"/>
          <w:sz w:val="16"/>
          <w:vertAlign w:val="baseline"/>
        </w:rPr>
        <w:t> </w:t>
      </w:r>
      <w:r>
        <w:rPr>
          <w:i/>
          <w:sz w:val="16"/>
          <w:vertAlign w:val="baseline"/>
        </w:rPr>
        <w:t>Review</w:t>
      </w:r>
      <w:r>
        <w:rPr>
          <w:sz w:val="16"/>
          <w:vertAlign w:val="baseline"/>
        </w:rPr>
        <w:t>,</w:t>
      </w:r>
      <w:r>
        <w:rPr>
          <w:spacing w:val="-1"/>
          <w:sz w:val="16"/>
          <w:vertAlign w:val="baseline"/>
        </w:rPr>
        <w:t> </w:t>
      </w:r>
      <w:r>
        <w:rPr>
          <w:sz w:val="16"/>
          <w:vertAlign w:val="baseline"/>
        </w:rPr>
        <w:t>Maxwell</w:t>
      </w:r>
      <w:r>
        <w:rPr>
          <w:spacing w:val="-1"/>
          <w:sz w:val="16"/>
          <w:vertAlign w:val="baseline"/>
        </w:rPr>
        <w:t> </w:t>
      </w:r>
      <w:r>
        <w:rPr>
          <w:sz w:val="16"/>
          <w:vertAlign w:val="baseline"/>
        </w:rPr>
        <w:t>QC</w:t>
      </w:r>
      <w:r>
        <w:rPr>
          <w:spacing w:val="-2"/>
          <w:sz w:val="16"/>
          <w:vertAlign w:val="baseline"/>
        </w:rPr>
        <w:t> </w:t>
      </w:r>
      <w:r>
        <w:rPr>
          <w:sz w:val="16"/>
          <w:vertAlign w:val="baseline"/>
        </w:rPr>
        <w:t>recommended</w:t>
      </w:r>
      <w:r>
        <w:rPr>
          <w:spacing w:val="-4"/>
          <w:sz w:val="16"/>
          <w:vertAlign w:val="baseline"/>
        </w:rPr>
        <w:t> </w:t>
      </w:r>
      <w:r>
        <w:rPr>
          <w:sz w:val="16"/>
          <w:vertAlign w:val="baseline"/>
        </w:rPr>
        <w:t>that</w:t>
      </w:r>
      <w:r>
        <w:rPr>
          <w:spacing w:val="-2"/>
          <w:sz w:val="16"/>
          <w:vertAlign w:val="baseline"/>
        </w:rPr>
        <w:t> </w:t>
      </w:r>
      <w:r>
        <w:rPr>
          <w:sz w:val="16"/>
          <w:vertAlign w:val="baseline"/>
        </w:rPr>
        <w:t>qualifiers</w:t>
      </w:r>
      <w:r>
        <w:rPr>
          <w:spacing w:val="-2"/>
          <w:sz w:val="16"/>
          <w:vertAlign w:val="baseline"/>
        </w:rPr>
        <w:t> </w:t>
      </w:r>
      <w:r>
        <w:rPr>
          <w:sz w:val="16"/>
          <w:vertAlign w:val="baseline"/>
        </w:rPr>
        <w:t>be</w:t>
      </w:r>
      <w:r>
        <w:rPr>
          <w:spacing w:val="-3"/>
          <w:sz w:val="16"/>
          <w:vertAlign w:val="baseline"/>
        </w:rPr>
        <w:t> </w:t>
      </w:r>
      <w:r>
        <w:rPr>
          <w:sz w:val="16"/>
          <w:vertAlign w:val="baseline"/>
        </w:rPr>
        <w:t>listed</w:t>
      </w:r>
      <w:r>
        <w:rPr>
          <w:spacing w:val="-2"/>
          <w:sz w:val="16"/>
          <w:vertAlign w:val="baseline"/>
        </w:rPr>
        <w:t> </w:t>
      </w:r>
      <w:r>
        <w:rPr>
          <w:sz w:val="16"/>
          <w:vertAlign w:val="baseline"/>
        </w:rPr>
        <w:t>where</w:t>
      </w:r>
      <w:r>
        <w:rPr>
          <w:spacing w:val="-2"/>
          <w:sz w:val="16"/>
          <w:vertAlign w:val="baseline"/>
        </w:rPr>
        <w:t> </w:t>
      </w:r>
      <w:r>
        <w:rPr>
          <w:sz w:val="16"/>
          <w:vertAlign w:val="baseline"/>
        </w:rPr>
        <w:t>the</w:t>
      </w:r>
      <w:r>
        <w:rPr>
          <w:spacing w:val="-2"/>
          <w:sz w:val="16"/>
          <w:vertAlign w:val="baseline"/>
        </w:rPr>
        <w:t> </w:t>
      </w:r>
      <w:r>
        <w:rPr>
          <w:sz w:val="16"/>
          <w:vertAlign w:val="baseline"/>
        </w:rPr>
        <w:t>general</w:t>
      </w:r>
      <w:r>
        <w:rPr>
          <w:spacing w:val="-1"/>
          <w:sz w:val="16"/>
          <w:vertAlign w:val="baseline"/>
        </w:rPr>
        <w:t> </w:t>
      </w:r>
      <w:r>
        <w:rPr>
          <w:sz w:val="16"/>
          <w:vertAlign w:val="baseline"/>
        </w:rPr>
        <w:t>duty provisions are positioned in the legislation.</w:t>
      </w:r>
    </w:p>
    <w:p>
      <w:pPr>
        <w:spacing w:after="0"/>
        <w:jc w:val="left"/>
        <w:rPr>
          <w:sz w:val="16"/>
        </w:rPr>
        <w:sectPr>
          <w:pgSz w:w="11910" w:h="16850"/>
          <w:pgMar w:header="220" w:footer="678" w:top="420" w:bottom="860" w:left="900" w:right="840"/>
        </w:sectPr>
      </w:pPr>
    </w:p>
    <w:p>
      <w:pPr>
        <w:pStyle w:val="BodyText"/>
        <w:rPr>
          <w:sz w:val="20"/>
        </w:rPr>
      </w:pPr>
    </w:p>
    <w:p>
      <w:pPr>
        <w:pStyle w:val="BodyText"/>
        <w:spacing w:before="4"/>
        <w:rPr>
          <w:sz w:val="27"/>
        </w:rPr>
      </w:pPr>
    </w:p>
    <w:p>
      <w:pPr>
        <w:pStyle w:val="BodyText"/>
        <w:ind w:left="232"/>
        <w:rPr>
          <w:sz w:val="20"/>
        </w:rPr>
      </w:pPr>
      <w:r>
        <w:rPr>
          <w:sz w:val="20"/>
        </w:rPr>
        <mc:AlternateContent>
          <mc:Choice Requires="wps">
            <w:drawing>
              <wp:inline distT="0" distB="0" distL="0" distR="0">
                <wp:extent cx="5870575" cy="1815464"/>
                <wp:effectExtent l="0" t="0" r="0" b="0"/>
                <wp:docPr id="206" name="Textbox 206"/>
                <wp:cNvGraphicFramePr>
                  <a:graphicFrameLocks/>
                </wp:cNvGraphicFramePr>
                <a:graphic>
                  <a:graphicData uri="http://schemas.microsoft.com/office/word/2010/wordprocessingShape">
                    <wps:wsp>
                      <wps:cNvPr id="206" name="Textbox 206"/>
                      <wps:cNvSpPr txBox="1"/>
                      <wps:spPr>
                        <a:xfrm>
                          <a:off x="0" y="0"/>
                          <a:ext cx="5870575" cy="1815464"/>
                        </a:xfrm>
                        <a:prstGeom prst="rect">
                          <a:avLst/>
                        </a:prstGeom>
                        <a:solidFill>
                          <a:srgbClr val="CDEBEB"/>
                        </a:solidFill>
                      </wps:spPr>
                      <wps:txbx>
                        <w:txbxContent>
                          <w:p>
                            <w:pPr>
                              <w:pStyle w:val="BodyText"/>
                              <w:ind w:left="502"/>
                              <w:rPr>
                                <w:color w:val="000000"/>
                              </w:rPr>
                            </w:pPr>
                            <w:r>
                              <w:rPr>
                                <w:color w:val="000000"/>
                              </w:rPr>
                              <w:t>as</w:t>
                            </w:r>
                            <w:r>
                              <w:rPr>
                                <w:color w:val="000000"/>
                                <w:spacing w:val="-7"/>
                              </w:rPr>
                              <w:t> </w:t>
                            </w:r>
                            <w:r>
                              <w:rPr>
                                <w:color w:val="000000"/>
                              </w:rPr>
                              <w:t>is</w:t>
                            </w:r>
                            <w:r>
                              <w:rPr>
                                <w:color w:val="000000"/>
                                <w:spacing w:val="-7"/>
                              </w:rPr>
                              <w:t> </w:t>
                            </w:r>
                            <w:r>
                              <w:rPr>
                                <w:color w:val="000000"/>
                              </w:rPr>
                              <w:t>reasonably</w:t>
                            </w:r>
                            <w:r>
                              <w:rPr>
                                <w:color w:val="000000"/>
                                <w:spacing w:val="-6"/>
                              </w:rPr>
                              <w:t> </w:t>
                            </w:r>
                            <w:r>
                              <w:rPr>
                                <w:color w:val="000000"/>
                              </w:rPr>
                              <w:t>practicable</w:t>
                            </w:r>
                            <w:r>
                              <w:rPr>
                                <w:color w:val="000000"/>
                                <w:spacing w:val="-5"/>
                              </w:rPr>
                              <w:t> </w:t>
                            </w:r>
                            <w:r>
                              <w:rPr>
                                <w:color w:val="000000"/>
                              </w:rPr>
                              <w:t>(this</w:t>
                            </w:r>
                            <w:r>
                              <w:rPr>
                                <w:color w:val="000000"/>
                                <w:spacing w:val="-7"/>
                              </w:rPr>
                              <w:t> </w:t>
                            </w:r>
                            <w:r>
                              <w:rPr>
                                <w:color w:val="000000"/>
                              </w:rPr>
                              <w:t>is,</w:t>
                            </w:r>
                            <w:r>
                              <w:rPr>
                                <w:color w:val="000000"/>
                                <w:spacing w:val="-2"/>
                              </w:rPr>
                              <w:t> </w:t>
                            </w:r>
                            <w:r>
                              <w:rPr>
                                <w:color w:val="000000"/>
                              </w:rPr>
                              <w:t>however,</w:t>
                            </w:r>
                            <w:r>
                              <w:rPr>
                                <w:color w:val="000000"/>
                                <w:spacing w:val="-3"/>
                              </w:rPr>
                              <w:t> </w:t>
                            </w:r>
                            <w:r>
                              <w:rPr>
                                <w:color w:val="000000"/>
                              </w:rPr>
                              <w:t>stated</w:t>
                            </w:r>
                            <w:r>
                              <w:rPr>
                                <w:color w:val="000000"/>
                                <w:spacing w:val="-5"/>
                              </w:rPr>
                              <w:t> </w:t>
                            </w:r>
                            <w:r>
                              <w:rPr>
                                <w:color w:val="000000"/>
                              </w:rPr>
                              <w:t>in</w:t>
                            </w:r>
                            <w:r>
                              <w:rPr>
                                <w:color w:val="000000"/>
                                <w:spacing w:val="-5"/>
                              </w:rPr>
                              <w:t> </w:t>
                            </w:r>
                            <w:r>
                              <w:rPr>
                                <w:color w:val="000000"/>
                              </w:rPr>
                              <w:t>Australian</w:t>
                            </w:r>
                            <w:r>
                              <w:rPr>
                                <w:color w:val="000000"/>
                                <w:spacing w:val="-4"/>
                              </w:rPr>
                              <w:t> </w:t>
                            </w:r>
                            <w:r>
                              <w:rPr>
                                <w:color w:val="000000"/>
                                <w:spacing w:val="-2"/>
                              </w:rPr>
                              <w:t>Standards).</w:t>
                            </w:r>
                            <w:r>
                              <w:rPr>
                                <w:color w:val="000000"/>
                                <w:spacing w:val="-2"/>
                                <w:vertAlign w:val="superscript"/>
                              </w:rPr>
                              <w:t>17</w:t>
                            </w:r>
                          </w:p>
                          <w:p>
                            <w:pPr>
                              <w:pStyle w:val="BodyText"/>
                              <w:spacing w:before="7"/>
                              <w:rPr>
                                <w:color w:val="000000"/>
                                <w:sz w:val="26"/>
                              </w:rPr>
                            </w:pPr>
                          </w:p>
                          <w:p>
                            <w:pPr>
                              <w:pStyle w:val="BodyText"/>
                              <w:numPr>
                                <w:ilvl w:val="0"/>
                                <w:numId w:val="84"/>
                              </w:numPr>
                              <w:tabs>
                                <w:tab w:pos="502" w:val="left" w:leader="none"/>
                              </w:tabs>
                              <w:spacing w:line="288" w:lineRule="auto" w:before="0" w:after="0"/>
                              <w:ind w:left="502" w:right="175" w:hanging="361"/>
                              <w:jc w:val="both"/>
                              <w:rPr>
                                <w:color w:val="000000"/>
                              </w:rPr>
                            </w:pPr>
                            <w:r>
                              <w:rPr>
                                <w:color w:val="000000"/>
                              </w:rPr>
                              <w:t>Under</w:t>
                            </w:r>
                            <w:r>
                              <w:rPr>
                                <w:color w:val="000000"/>
                                <w:spacing w:val="-1"/>
                              </w:rPr>
                              <w:t> </w:t>
                            </w:r>
                            <w:r>
                              <w:rPr>
                                <w:color w:val="000000"/>
                              </w:rPr>
                              <w:t>the</w:t>
                            </w:r>
                            <w:r>
                              <w:rPr>
                                <w:color w:val="000000"/>
                                <w:spacing w:val="-7"/>
                              </w:rPr>
                              <w:t> </w:t>
                            </w:r>
                            <w:r>
                              <w:rPr>
                                <w:i/>
                                <w:color w:val="000000"/>
                              </w:rPr>
                              <w:t>Occupational</w:t>
                            </w:r>
                            <w:r>
                              <w:rPr>
                                <w:i/>
                                <w:color w:val="000000"/>
                                <w:spacing w:val="-3"/>
                              </w:rPr>
                              <w:t> </w:t>
                            </w:r>
                            <w:r>
                              <w:rPr>
                                <w:i/>
                                <w:color w:val="000000"/>
                              </w:rPr>
                              <w:t>Health</w:t>
                            </w:r>
                            <w:r>
                              <w:rPr>
                                <w:i/>
                                <w:color w:val="000000"/>
                                <w:spacing w:val="-2"/>
                              </w:rPr>
                              <w:t> </w:t>
                            </w:r>
                            <w:r>
                              <w:rPr>
                                <w:i/>
                                <w:color w:val="000000"/>
                              </w:rPr>
                              <w:t>and</w:t>
                            </w:r>
                            <w:r>
                              <w:rPr>
                                <w:i/>
                                <w:color w:val="000000"/>
                                <w:spacing w:val="-2"/>
                              </w:rPr>
                              <w:t> </w:t>
                            </w:r>
                            <w:r>
                              <w:rPr>
                                <w:i/>
                                <w:color w:val="000000"/>
                              </w:rPr>
                              <w:t>Safety</w:t>
                            </w:r>
                            <w:r>
                              <w:rPr>
                                <w:i/>
                                <w:color w:val="000000"/>
                                <w:spacing w:val="-3"/>
                              </w:rPr>
                              <w:t> </w:t>
                            </w:r>
                            <w:r>
                              <w:rPr>
                                <w:i/>
                                <w:color w:val="000000"/>
                              </w:rPr>
                              <w:t>Act</w:t>
                            </w:r>
                            <w:r>
                              <w:rPr>
                                <w:i/>
                                <w:color w:val="000000"/>
                                <w:spacing w:val="-3"/>
                              </w:rPr>
                              <w:t> </w:t>
                            </w:r>
                            <w:r>
                              <w:rPr>
                                <w:i/>
                                <w:color w:val="000000"/>
                              </w:rPr>
                              <w:t>2004 </w:t>
                            </w:r>
                            <w:r>
                              <w:rPr>
                                <w:color w:val="000000"/>
                              </w:rPr>
                              <w:t>the</w:t>
                            </w:r>
                            <w:r>
                              <w:rPr>
                                <w:color w:val="000000"/>
                                <w:spacing w:val="-4"/>
                              </w:rPr>
                              <w:t> </w:t>
                            </w:r>
                            <w:r>
                              <w:rPr>
                                <w:color w:val="000000"/>
                              </w:rPr>
                              <w:t>duties</w:t>
                            </w:r>
                            <w:r>
                              <w:rPr>
                                <w:color w:val="000000"/>
                                <w:spacing w:val="-4"/>
                              </w:rPr>
                              <w:t> </w:t>
                            </w:r>
                            <w:r>
                              <w:rPr>
                                <w:color w:val="000000"/>
                              </w:rPr>
                              <w:t>incorporate</w:t>
                            </w:r>
                            <w:r>
                              <w:rPr>
                                <w:color w:val="000000"/>
                                <w:spacing w:val="-4"/>
                              </w:rPr>
                              <w:t> </w:t>
                            </w:r>
                            <w:r>
                              <w:rPr>
                                <w:color w:val="000000"/>
                              </w:rPr>
                              <w:t>the</w:t>
                            </w:r>
                            <w:r>
                              <w:rPr>
                                <w:color w:val="000000"/>
                                <w:spacing w:val="-4"/>
                              </w:rPr>
                              <w:t> </w:t>
                            </w:r>
                            <w:r>
                              <w:rPr>
                                <w:color w:val="000000"/>
                              </w:rPr>
                              <w:t>language “so far as is” reasonably practicable, whilst the energy safety legislation uses “as</w:t>
                            </w:r>
                            <w:r>
                              <w:rPr>
                                <w:color w:val="000000"/>
                                <w:spacing w:val="-2"/>
                              </w:rPr>
                              <w:t> </w:t>
                            </w:r>
                            <w:r>
                              <w:rPr>
                                <w:color w:val="000000"/>
                              </w:rPr>
                              <w:t>far as” practicable/reasonably practicable.</w:t>
                            </w:r>
                          </w:p>
                          <w:p>
                            <w:pPr>
                              <w:pStyle w:val="BodyText"/>
                              <w:spacing w:before="9"/>
                              <w:rPr>
                                <w:color w:val="000000"/>
                                <w:sz w:val="20"/>
                              </w:rPr>
                            </w:pPr>
                          </w:p>
                          <w:p>
                            <w:pPr>
                              <w:pStyle w:val="BodyText"/>
                              <w:spacing w:line="288" w:lineRule="auto"/>
                              <w:ind w:left="112" w:right="140"/>
                              <w:rPr>
                                <w:color w:val="000000"/>
                              </w:rPr>
                            </w:pPr>
                            <w:r>
                              <w:rPr>
                                <w:color w:val="000000"/>
                              </w:rPr>
                              <w:t>It</w:t>
                            </w:r>
                            <w:r>
                              <w:rPr>
                                <w:color w:val="000000"/>
                                <w:spacing w:val="-3"/>
                              </w:rPr>
                              <w:t> </w:t>
                            </w:r>
                            <w:r>
                              <w:rPr>
                                <w:color w:val="000000"/>
                              </w:rPr>
                              <w:t>may</w:t>
                            </w:r>
                            <w:r>
                              <w:rPr>
                                <w:color w:val="000000"/>
                                <w:spacing w:val="-4"/>
                              </w:rPr>
                              <w:t> </w:t>
                            </w:r>
                            <w:r>
                              <w:rPr>
                                <w:color w:val="000000"/>
                              </w:rPr>
                              <w:t>be</w:t>
                            </w:r>
                            <w:r>
                              <w:rPr>
                                <w:color w:val="000000"/>
                                <w:spacing w:val="-4"/>
                              </w:rPr>
                              <w:t> </w:t>
                            </w:r>
                            <w:r>
                              <w:rPr>
                                <w:color w:val="000000"/>
                              </w:rPr>
                              <w:t>that</w:t>
                            </w:r>
                            <w:r>
                              <w:rPr>
                                <w:color w:val="000000"/>
                                <w:spacing w:val="-3"/>
                              </w:rPr>
                              <w:t> </w:t>
                            </w:r>
                            <w:r>
                              <w:rPr>
                                <w:color w:val="000000"/>
                              </w:rPr>
                              <w:t>the</w:t>
                            </w:r>
                            <w:r>
                              <w:rPr>
                                <w:color w:val="000000"/>
                                <w:spacing w:val="-2"/>
                              </w:rPr>
                              <w:t> </w:t>
                            </w:r>
                            <w:r>
                              <w:rPr>
                                <w:color w:val="000000"/>
                              </w:rPr>
                              <w:t>intention</w:t>
                            </w:r>
                            <w:r>
                              <w:rPr>
                                <w:color w:val="000000"/>
                                <w:spacing w:val="-2"/>
                              </w:rPr>
                              <w:t> </w:t>
                            </w:r>
                            <w:r>
                              <w:rPr>
                                <w:color w:val="000000"/>
                              </w:rPr>
                              <w:t>is</w:t>
                            </w:r>
                            <w:r>
                              <w:rPr>
                                <w:color w:val="000000"/>
                                <w:spacing w:val="-1"/>
                              </w:rPr>
                              <w:t> </w:t>
                            </w:r>
                            <w:r>
                              <w:rPr>
                                <w:color w:val="000000"/>
                              </w:rPr>
                              <w:t>to</w:t>
                            </w:r>
                            <w:r>
                              <w:rPr>
                                <w:color w:val="000000"/>
                                <w:spacing w:val="-4"/>
                              </w:rPr>
                              <w:t> </w:t>
                            </w:r>
                            <w:r>
                              <w:rPr>
                                <w:color w:val="000000"/>
                              </w:rPr>
                              <w:t>achieve</w:t>
                            </w:r>
                            <w:r>
                              <w:rPr>
                                <w:color w:val="000000"/>
                                <w:spacing w:val="-2"/>
                              </w:rPr>
                              <w:t> </w:t>
                            </w:r>
                            <w:r>
                              <w:rPr>
                                <w:color w:val="000000"/>
                              </w:rPr>
                              <w:t>the</w:t>
                            </w:r>
                            <w:r>
                              <w:rPr>
                                <w:color w:val="000000"/>
                                <w:spacing w:val="-4"/>
                              </w:rPr>
                              <w:t> </w:t>
                            </w:r>
                            <w:r>
                              <w:rPr>
                                <w:color w:val="000000"/>
                              </w:rPr>
                              <w:t>same</w:t>
                            </w:r>
                            <w:r>
                              <w:rPr>
                                <w:color w:val="000000"/>
                                <w:spacing w:val="-2"/>
                              </w:rPr>
                              <w:t> </w:t>
                            </w:r>
                            <w:r>
                              <w:rPr>
                                <w:color w:val="000000"/>
                              </w:rPr>
                              <w:t>outcomes</w:t>
                            </w:r>
                            <w:r>
                              <w:rPr>
                                <w:color w:val="000000"/>
                                <w:spacing w:val="-4"/>
                              </w:rPr>
                              <w:t> </w:t>
                            </w:r>
                            <w:r>
                              <w:rPr>
                                <w:color w:val="000000"/>
                              </w:rPr>
                              <w:t>under</w:t>
                            </w:r>
                            <w:r>
                              <w:rPr>
                                <w:color w:val="000000"/>
                                <w:spacing w:val="-3"/>
                              </w:rPr>
                              <w:t> </w:t>
                            </w:r>
                            <w:r>
                              <w:rPr>
                                <w:color w:val="000000"/>
                              </w:rPr>
                              <w:t>the</w:t>
                            </w:r>
                            <w:r>
                              <w:rPr>
                                <w:color w:val="000000"/>
                                <w:spacing w:val="-4"/>
                              </w:rPr>
                              <w:t> </w:t>
                            </w:r>
                            <w:r>
                              <w:rPr>
                                <w:color w:val="000000"/>
                              </w:rPr>
                              <w:t>Acts.</w:t>
                            </w:r>
                            <w:r>
                              <w:rPr>
                                <w:color w:val="000000"/>
                                <w:spacing w:val="-3"/>
                              </w:rPr>
                              <w:t> </w:t>
                            </w:r>
                            <w:r>
                              <w:rPr>
                                <w:color w:val="000000"/>
                              </w:rPr>
                              <w:t>However, the persistence of inconsistencies in drafting across the Acts is unlikely to help promote a common understanding of obligations.</w:t>
                            </w:r>
                          </w:p>
                        </w:txbxContent>
                      </wps:txbx>
                      <wps:bodyPr wrap="square" lIns="0" tIns="0" rIns="0" bIns="0" rtlCol="0">
                        <a:noAutofit/>
                      </wps:bodyPr>
                    </wps:wsp>
                  </a:graphicData>
                </a:graphic>
              </wp:inline>
            </w:drawing>
          </mc:Choice>
          <mc:Fallback>
            <w:pict>
              <v:shape style="width:462.25pt;height:142.950pt;mso-position-horizontal-relative:char;mso-position-vertical-relative:line" type="#_x0000_t202" id="docshape175" filled="true" fillcolor="#cdebeb" stroked="false">
                <w10:anchorlock/>
                <v:textbox inset="0,0,0,0">
                  <w:txbxContent>
                    <w:p>
                      <w:pPr>
                        <w:pStyle w:val="BodyText"/>
                        <w:ind w:left="502"/>
                        <w:rPr>
                          <w:color w:val="000000"/>
                        </w:rPr>
                      </w:pPr>
                      <w:r>
                        <w:rPr>
                          <w:color w:val="000000"/>
                        </w:rPr>
                        <w:t>as</w:t>
                      </w:r>
                      <w:r>
                        <w:rPr>
                          <w:color w:val="000000"/>
                          <w:spacing w:val="-7"/>
                        </w:rPr>
                        <w:t> </w:t>
                      </w:r>
                      <w:r>
                        <w:rPr>
                          <w:color w:val="000000"/>
                        </w:rPr>
                        <w:t>is</w:t>
                      </w:r>
                      <w:r>
                        <w:rPr>
                          <w:color w:val="000000"/>
                          <w:spacing w:val="-7"/>
                        </w:rPr>
                        <w:t> </w:t>
                      </w:r>
                      <w:r>
                        <w:rPr>
                          <w:color w:val="000000"/>
                        </w:rPr>
                        <w:t>reasonably</w:t>
                      </w:r>
                      <w:r>
                        <w:rPr>
                          <w:color w:val="000000"/>
                          <w:spacing w:val="-6"/>
                        </w:rPr>
                        <w:t> </w:t>
                      </w:r>
                      <w:r>
                        <w:rPr>
                          <w:color w:val="000000"/>
                        </w:rPr>
                        <w:t>practicable</w:t>
                      </w:r>
                      <w:r>
                        <w:rPr>
                          <w:color w:val="000000"/>
                          <w:spacing w:val="-5"/>
                        </w:rPr>
                        <w:t> </w:t>
                      </w:r>
                      <w:r>
                        <w:rPr>
                          <w:color w:val="000000"/>
                        </w:rPr>
                        <w:t>(this</w:t>
                      </w:r>
                      <w:r>
                        <w:rPr>
                          <w:color w:val="000000"/>
                          <w:spacing w:val="-7"/>
                        </w:rPr>
                        <w:t> </w:t>
                      </w:r>
                      <w:r>
                        <w:rPr>
                          <w:color w:val="000000"/>
                        </w:rPr>
                        <w:t>is,</w:t>
                      </w:r>
                      <w:r>
                        <w:rPr>
                          <w:color w:val="000000"/>
                          <w:spacing w:val="-2"/>
                        </w:rPr>
                        <w:t> </w:t>
                      </w:r>
                      <w:r>
                        <w:rPr>
                          <w:color w:val="000000"/>
                        </w:rPr>
                        <w:t>however,</w:t>
                      </w:r>
                      <w:r>
                        <w:rPr>
                          <w:color w:val="000000"/>
                          <w:spacing w:val="-3"/>
                        </w:rPr>
                        <w:t> </w:t>
                      </w:r>
                      <w:r>
                        <w:rPr>
                          <w:color w:val="000000"/>
                        </w:rPr>
                        <w:t>stated</w:t>
                      </w:r>
                      <w:r>
                        <w:rPr>
                          <w:color w:val="000000"/>
                          <w:spacing w:val="-5"/>
                        </w:rPr>
                        <w:t> </w:t>
                      </w:r>
                      <w:r>
                        <w:rPr>
                          <w:color w:val="000000"/>
                        </w:rPr>
                        <w:t>in</w:t>
                      </w:r>
                      <w:r>
                        <w:rPr>
                          <w:color w:val="000000"/>
                          <w:spacing w:val="-5"/>
                        </w:rPr>
                        <w:t> </w:t>
                      </w:r>
                      <w:r>
                        <w:rPr>
                          <w:color w:val="000000"/>
                        </w:rPr>
                        <w:t>Australian</w:t>
                      </w:r>
                      <w:r>
                        <w:rPr>
                          <w:color w:val="000000"/>
                          <w:spacing w:val="-4"/>
                        </w:rPr>
                        <w:t> </w:t>
                      </w:r>
                      <w:r>
                        <w:rPr>
                          <w:color w:val="000000"/>
                          <w:spacing w:val="-2"/>
                        </w:rPr>
                        <w:t>Standards).</w:t>
                      </w:r>
                      <w:r>
                        <w:rPr>
                          <w:color w:val="000000"/>
                          <w:spacing w:val="-2"/>
                          <w:vertAlign w:val="superscript"/>
                        </w:rPr>
                        <w:t>17</w:t>
                      </w:r>
                    </w:p>
                    <w:p>
                      <w:pPr>
                        <w:pStyle w:val="BodyText"/>
                        <w:spacing w:before="7"/>
                        <w:rPr>
                          <w:color w:val="000000"/>
                          <w:sz w:val="26"/>
                        </w:rPr>
                      </w:pPr>
                    </w:p>
                    <w:p>
                      <w:pPr>
                        <w:pStyle w:val="BodyText"/>
                        <w:numPr>
                          <w:ilvl w:val="0"/>
                          <w:numId w:val="84"/>
                        </w:numPr>
                        <w:tabs>
                          <w:tab w:pos="502" w:val="left" w:leader="none"/>
                        </w:tabs>
                        <w:spacing w:line="288" w:lineRule="auto" w:before="0" w:after="0"/>
                        <w:ind w:left="502" w:right="175" w:hanging="361"/>
                        <w:jc w:val="both"/>
                        <w:rPr>
                          <w:color w:val="000000"/>
                        </w:rPr>
                      </w:pPr>
                      <w:r>
                        <w:rPr>
                          <w:color w:val="000000"/>
                        </w:rPr>
                        <w:t>Under</w:t>
                      </w:r>
                      <w:r>
                        <w:rPr>
                          <w:color w:val="000000"/>
                          <w:spacing w:val="-1"/>
                        </w:rPr>
                        <w:t> </w:t>
                      </w:r>
                      <w:r>
                        <w:rPr>
                          <w:color w:val="000000"/>
                        </w:rPr>
                        <w:t>the</w:t>
                      </w:r>
                      <w:r>
                        <w:rPr>
                          <w:color w:val="000000"/>
                          <w:spacing w:val="-7"/>
                        </w:rPr>
                        <w:t> </w:t>
                      </w:r>
                      <w:r>
                        <w:rPr>
                          <w:i/>
                          <w:color w:val="000000"/>
                        </w:rPr>
                        <w:t>Occupational</w:t>
                      </w:r>
                      <w:r>
                        <w:rPr>
                          <w:i/>
                          <w:color w:val="000000"/>
                          <w:spacing w:val="-3"/>
                        </w:rPr>
                        <w:t> </w:t>
                      </w:r>
                      <w:r>
                        <w:rPr>
                          <w:i/>
                          <w:color w:val="000000"/>
                        </w:rPr>
                        <w:t>Health</w:t>
                      </w:r>
                      <w:r>
                        <w:rPr>
                          <w:i/>
                          <w:color w:val="000000"/>
                          <w:spacing w:val="-2"/>
                        </w:rPr>
                        <w:t> </w:t>
                      </w:r>
                      <w:r>
                        <w:rPr>
                          <w:i/>
                          <w:color w:val="000000"/>
                        </w:rPr>
                        <w:t>and</w:t>
                      </w:r>
                      <w:r>
                        <w:rPr>
                          <w:i/>
                          <w:color w:val="000000"/>
                          <w:spacing w:val="-2"/>
                        </w:rPr>
                        <w:t> </w:t>
                      </w:r>
                      <w:r>
                        <w:rPr>
                          <w:i/>
                          <w:color w:val="000000"/>
                        </w:rPr>
                        <w:t>Safety</w:t>
                      </w:r>
                      <w:r>
                        <w:rPr>
                          <w:i/>
                          <w:color w:val="000000"/>
                          <w:spacing w:val="-3"/>
                        </w:rPr>
                        <w:t> </w:t>
                      </w:r>
                      <w:r>
                        <w:rPr>
                          <w:i/>
                          <w:color w:val="000000"/>
                        </w:rPr>
                        <w:t>Act</w:t>
                      </w:r>
                      <w:r>
                        <w:rPr>
                          <w:i/>
                          <w:color w:val="000000"/>
                          <w:spacing w:val="-3"/>
                        </w:rPr>
                        <w:t> </w:t>
                      </w:r>
                      <w:r>
                        <w:rPr>
                          <w:i/>
                          <w:color w:val="000000"/>
                        </w:rPr>
                        <w:t>2004 </w:t>
                      </w:r>
                      <w:r>
                        <w:rPr>
                          <w:color w:val="000000"/>
                        </w:rPr>
                        <w:t>the</w:t>
                      </w:r>
                      <w:r>
                        <w:rPr>
                          <w:color w:val="000000"/>
                          <w:spacing w:val="-4"/>
                        </w:rPr>
                        <w:t> </w:t>
                      </w:r>
                      <w:r>
                        <w:rPr>
                          <w:color w:val="000000"/>
                        </w:rPr>
                        <w:t>duties</w:t>
                      </w:r>
                      <w:r>
                        <w:rPr>
                          <w:color w:val="000000"/>
                          <w:spacing w:val="-4"/>
                        </w:rPr>
                        <w:t> </w:t>
                      </w:r>
                      <w:r>
                        <w:rPr>
                          <w:color w:val="000000"/>
                        </w:rPr>
                        <w:t>incorporate</w:t>
                      </w:r>
                      <w:r>
                        <w:rPr>
                          <w:color w:val="000000"/>
                          <w:spacing w:val="-4"/>
                        </w:rPr>
                        <w:t> </w:t>
                      </w:r>
                      <w:r>
                        <w:rPr>
                          <w:color w:val="000000"/>
                        </w:rPr>
                        <w:t>the</w:t>
                      </w:r>
                      <w:r>
                        <w:rPr>
                          <w:color w:val="000000"/>
                          <w:spacing w:val="-4"/>
                        </w:rPr>
                        <w:t> </w:t>
                      </w:r>
                      <w:r>
                        <w:rPr>
                          <w:color w:val="000000"/>
                        </w:rPr>
                        <w:t>language “so far as is” reasonably practicable, whilst the energy safety legislation uses “as</w:t>
                      </w:r>
                      <w:r>
                        <w:rPr>
                          <w:color w:val="000000"/>
                          <w:spacing w:val="-2"/>
                        </w:rPr>
                        <w:t> </w:t>
                      </w:r>
                      <w:r>
                        <w:rPr>
                          <w:color w:val="000000"/>
                        </w:rPr>
                        <w:t>far as” practicable/reasonably practicable.</w:t>
                      </w:r>
                    </w:p>
                    <w:p>
                      <w:pPr>
                        <w:pStyle w:val="BodyText"/>
                        <w:spacing w:before="9"/>
                        <w:rPr>
                          <w:color w:val="000000"/>
                          <w:sz w:val="20"/>
                        </w:rPr>
                      </w:pPr>
                    </w:p>
                    <w:p>
                      <w:pPr>
                        <w:pStyle w:val="BodyText"/>
                        <w:spacing w:line="288" w:lineRule="auto"/>
                        <w:ind w:left="112" w:right="140"/>
                        <w:rPr>
                          <w:color w:val="000000"/>
                        </w:rPr>
                      </w:pPr>
                      <w:r>
                        <w:rPr>
                          <w:color w:val="000000"/>
                        </w:rPr>
                        <w:t>It</w:t>
                      </w:r>
                      <w:r>
                        <w:rPr>
                          <w:color w:val="000000"/>
                          <w:spacing w:val="-3"/>
                        </w:rPr>
                        <w:t> </w:t>
                      </w:r>
                      <w:r>
                        <w:rPr>
                          <w:color w:val="000000"/>
                        </w:rPr>
                        <w:t>may</w:t>
                      </w:r>
                      <w:r>
                        <w:rPr>
                          <w:color w:val="000000"/>
                          <w:spacing w:val="-4"/>
                        </w:rPr>
                        <w:t> </w:t>
                      </w:r>
                      <w:r>
                        <w:rPr>
                          <w:color w:val="000000"/>
                        </w:rPr>
                        <w:t>be</w:t>
                      </w:r>
                      <w:r>
                        <w:rPr>
                          <w:color w:val="000000"/>
                          <w:spacing w:val="-4"/>
                        </w:rPr>
                        <w:t> </w:t>
                      </w:r>
                      <w:r>
                        <w:rPr>
                          <w:color w:val="000000"/>
                        </w:rPr>
                        <w:t>that</w:t>
                      </w:r>
                      <w:r>
                        <w:rPr>
                          <w:color w:val="000000"/>
                          <w:spacing w:val="-3"/>
                        </w:rPr>
                        <w:t> </w:t>
                      </w:r>
                      <w:r>
                        <w:rPr>
                          <w:color w:val="000000"/>
                        </w:rPr>
                        <w:t>the</w:t>
                      </w:r>
                      <w:r>
                        <w:rPr>
                          <w:color w:val="000000"/>
                          <w:spacing w:val="-2"/>
                        </w:rPr>
                        <w:t> </w:t>
                      </w:r>
                      <w:r>
                        <w:rPr>
                          <w:color w:val="000000"/>
                        </w:rPr>
                        <w:t>intention</w:t>
                      </w:r>
                      <w:r>
                        <w:rPr>
                          <w:color w:val="000000"/>
                          <w:spacing w:val="-2"/>
                        </w:rPr>
                        <w:t> </w:t>
                      </w:r>
                      <w:r>
                        <w:rPr>
                          <w:color w:val="000000"/>
                        </w:rPr>
                        <w:t>is</w:t>
                      </w:r>
                      <w:r>
                        <w:rPr>
                          <w:color w:val="000000"/>
                          <w:spacing w:val="-1"/>
                        </w:rPr>
                        <w:t> </w:t>
                      </w:r>
                      <w:r>
                        <w:rPr>
                          <w:color w:val="000000"/>
                        </w:rPr>
                        <w:t>to</w:t>
                      </w:r>
                      <w:r>
                        <w:rPr>
                          <w:color w:val="000000"/>
                          <w:spacing w:val="-4"/>
                        </w:rPr>
                        <w:t> </w:t>
                      </w:r>
                      <w:r>
                        <w:rPr>
                          <w:color w:val="000000"/>
                        </w:rPr>
                        <w:t>achieve</w:t>
                      </w:r>
                      <w:r>
                        <w:rPr>
                          <w:color w:val="000000"/>
                          <w:spacing w:val="-2"/>
                        </w:rPr>
                        <w:t> </w:t>
                      </w:r>
                      <w:r>
                        <w:rPr>
                          <w:color w:val="000000"/>
                        </w:rPr>
                        <w:t>the</w:t>
                      </w:r>
                      <w:r>
                        <w:rPr>
                          <w:color w:val="000000"/>
                          <w:spacing w:val="-4"/>
                        </w:rPr>
                        <w:t> </w:t>
                      </w:r>
                      <w:r>
                        <w:rPr>
                          <w:color w:val="000000"/>
                        </w:rPr>
                        <w:t>same</w:t>
                      </w:r>
                      <w:r>
                        <w:rPr>
                          <w:color w:val="000000"/>
                          <w:spacing w:val="-2"/>
                        </w:rPr>
                        <w:t> </w:t>
                      </w:r>
                      <w:r>
                        <w:rPr>
                          <w:color w:val="000000"/>
                        </w:rPr>
                        <w:t>outcomes</w:t>
                      </w:r>
                      <w:r>
                        <w:rPr>
                          <w:color w:val="000000"/>
                          <w:spacing w:val="-4"/>
                        </w:rPr>
                        <w:t> </w:t>
                      </w:r>
                      <w:r>
                        <w:rPr>
                          <w:color w:val="000000"/>
                        </w:rPr>
                        <w:t>under</w:t>
                      </w:r>
                      <w:r>
                        <w:rPr>
                          <w:color w:val="000000"/>
                          <w:spacing w:val="-3"/>
                        </w:rPr>
                        <w:t> </w:t>
                      </w:r>
                      <w:r>
                        <w:rPr>
                          <w:color w:val="000000"/>
                        </w:rPr>
                        <w:t>the</w:t>
                      </w:r>
                      <w:r>
                        <w:rPr>
                          <w:color w:val="000000"/>
                          <w:spacing w:val="-4"/>
                        </w:rPr>
                        <w:t> </w:t>
                      </w:r>
                      <w:r>
                        <w:rPr>
                          <w:color w:val="000000"/>
                        </w:rPr>
                        <w:t>Acts.</w:t>
                      </w:r>
                      <w:r>
                        <w:rPr>
                          <w:color w:val="000000"/>
                          <w:spacing w:val="-3"/>
                        </w:rPr>
                        <w:t> </w:t>
                      </w:r>
                      <w:r>
                        <w:rPr>
                          <w:color w:val="000000"/>
                        </w:rPr>
                        <w:t>However, the persistence of inconsistencies in drafting across the Acts is unlikely to help promote a common understanding of obligations.</w:t>
                      </w:r>
                    </w:p>
                  </w:txbxContent>
                </v:textbox>
                <v:fill type="solid"/>
              </v:shape>
            </w:pict>
          </mc:Fallback>
        </mc:AlternateContent>
      </w:r>
      <w:r>
        <w:rPr>
          <w:sz w:val="20"/>
        </w:rPr>
      </w:r>
    </w:p>
    <w:p>
      <w:pPr>
        <w:pStyle w:val="BodyText"/>
        <w:spacing w:before="8"/>
        <w:rPr>
          <w:sz w:val="20"/>
        </w:rPr>
      </w:pPr>
    </w:p>
    <w:p>
      <w:pPr>
        <w:pStyle w:val="BodyText"/>
        <w:spacing w:line="288" w:lineRule="auto" w:before="93"/>
        <w:ind w:left="232" w:right="320"/>
      </w:pPr>
      <w:r>
        <w:rPr/>
        <w:t>The general duty provisions should be based around a consistent application of the principle that risks should be reduced as far as reasonably practicable. The Review considers that the definition of “reasonably practicable” and the language around it should align with the approach of the </w:t>
      </w:r>
      <w:r>
        <w:rPr>
          <w:i/>
        </w:rPr>
        <w:t>Occupational Health and Safety Act 2004</w:t>
      </w:r>
      <w:r>
        <w:rPr/>
        <w:t>. This would ensure consistency across the safety obligations</w:t>
      </w:r>
      <w:r>
        <w:rPr>
          <w:spacing w:val="-2"/>
        </w:rPr>
        <w:t> </w:t>
      </w:r>
      <w:r>
        <w:rPr/>
        <w:t>of</w:t>
      </w:r>
      <w:r>
        <w:rPr>
          <w:spacing w:val="-3"/>
        </w:rPr>
        <w:t> </w:t>
      </w:r>
      <w:r>
        <w:rPr/>
        <w:t>regulated</w:t>
      </w:r>
      <w:r>
        <w:rPr>
          <w:spacing w:val="-6"/>
        </w:rPr>
        <w:t> </w:t>
      </w:r>
      <w:r>
        <w:rPr/>
        <w:t>businesses, whether</w:t>
      </w:r>
      <w:r>
        <w:rPr>
          <w:spacing w:val="-3"/>
        </w:rPr>
        <w:t> </w:t>
      </w:r>
      <w:r>
        <w:rPr/>
        <w:t>it</w:t>
      </w:r>
      <w:r>
        <w:rPr>
          <w:spacing w:val="-3"/>
        </w:rPr>
        <w:t> </w:t>
      </w:r>
      <w:r>
        <w:rPr/>
        <w:t>be</w:t>
      </w:r>
      <w:r>
        <w:rPr>
          <w:spacing w:val="-2"/>
        </w:rPr>
        <w:t> </w:t>
      </w:r>
      <w:r>
        <w:rPr/>
        <w:t>in</w:t>
      </w:r>
      <w:r>
        <w:rPr>
          <w:spacing w:val="-2"/>
        </w:rPr>
        <w:t> </w:t>
      </w:r>
      <w:r>
        <w:rPr/>
        <w:t>relation</w:t>
      </w:r>
      <w:r>
        <w:rPr>
          <w:spacing w:val="-4"/>
        </w:rPr>
        <w:t> </w:t>
      </w:r>
      <w:r>
        <w:rPr/>
        <w:t>to</w:t>
      </w:r>
      <w:r>
        <w:rPr>
          <w:spacing w:val="-4"/>
        </w:rPr>
        <w:t> </w:t>
      </w:r>
      <w:r>
        <w:rPr/>
        <w:t>their</w:t>
      </w:r>
      <w:r>
        <w:rPr>
          <w:spacing w:val="-3"/>
        </w:rPr>
        <w:t> </w:t>
      </w:r>
      <w:r>
        <w:rPr/>
        <w:t>occupational</w:t>
      </w:r>
      <w:r>
        <w:rPr>
          <w:spacing w:val="-3"/>
        </w:rPr>
        <w:t> </w:t>
      </w:r>
      <w:r>
        <w:rPr/>
        <w:t>health</w:t>
      </w:r>
      <w:r>
        <w:rPr>
          <w:spacing w:val="-2"/>
        </w:rPr>
        <w:t> </w:t>
      </w:r>
      <w:r>
        <w:rPr/>
        <w:t>and</w:t>
      </w:r>
      <w:r>
        <w:rPr>
          <w:spacing w:val="-4"/>
        </w:rPr>
        <w:t> </w:t>
      </w:r>
      <w:r>
        <w:rPr/>
        <w:t>safety obligations or their network safety obligations. It would also ensure consistency with the approach taken to the regulation of Major Hazard Facilities.</w:t>
      </w:r>
    </w:p>
    <w:p>
      <w:pPr>
        <w:pStyle w:val="BodyText"/>
        <w:spacing w:before="10"/>
        <w:rPr>
          <w:sz w:val="20"/>
        </w:rPr>
      </w:pPr>
    </w:p>
    <w:p>
      <w:pPr>
        <w:spacing w:before="0"/>
        <w:ind w:left="232" w:right="0" w:firstLine="0"/>
        <w:jc w:val="left"/>
        <w:rPr>
          <w:sz w:val="22"/>
        </w:rPr>
      </w:pPr>
      <w:r>
        <w:rPr>
          <w:sz w:val="22"/>
        </w:rPr>
        <w:t>The</w:t>
      </w:r>
      <w:r>
        <w:rPr>
          <w:spacing w:val="-9"/>
          <w:sz w:val="22"/>
        </w:rPr>
        <w:t> </w:t>
      </w:r>
      <w:r>
        <w:rPr>
          <w:sz w:val="22"/>
        </w:rPr>
        <w:t>definition</w:t>
      </w:r>
      <w:r>
        <w:rPr>
          <w:spacing w:val="-4"/>
          <w:sz w:val="22"/>
        </w:rPr>
        <w:t> </w:t>
      </w:r>
      <w:r>
        <w:rPr>
          <w:sz w:val="22"/>
        </w:rPr>
        <w:t>in</w:t>
      </w:r>
      <w:r>
        <w:rPr>
          <w:spacing w:val="-5"/>
          <w:sz w:val="22"/>
        </w:rPr>
        <w:t> </w:t>
      </w:r>
      <w:r>
        <w:rPr>
          <w:sz w:val="22"/>
        </w:rPr>
        <w:t>section</w:t>
      </w:r>
      <w:r>
        <w:rPr>
          <w:spacing w:val="-6"/>
          <w:sz w:val="22"/>
        </w:rPr>
        <w:t> </w:t>
      </w:r>
      <w:r>
        <w:rPr>
          <w:sz w:val="22"/>
        </w:rPr>
        <w:t>20(2)</w:t>
      </w:r>
      <w:r>
        <w:rPr>
          <w:spacing w:val="-5"/>
          <w:sz w:val="22"/>
        </w:rPr>
        <w:t> </w:t>
      </w:r>
      <w:r>
        <w:rPr>
          <w:sz w:val="22"/>
        </w:rPr>
        <w:t>of</w:t>
      </w:r>
      <w:r>
        <w:rPr>
          <w:spacing w:val="-3"/>
          <w:sz w:val="22"/>
        </w:rPr>
        <w:t> </w:t>
      </w:r>
      <w:r>
        <w:rPr>
          <w:sz w:val="22"/>
        </w:rPr>
        <w:t>the</w:t>
      </w:r>
      <w:r>
        <w:rPr>
          <w:spacing w:val="-3"/>
          <w:sz w:val="22"/>
        </w:rPr>
        <w:t> </w:t>
      </w:r>
      <w:r>
        <w:rPr>
          <w:i/>
          <w:sz w:val="22"/>
        </w:rPr>
        <w:t>Occupational</w:t>
      </w:r>
      <w:r>
        <w:rPr>
          <w:i/>
          <w:spacing w:val="-5"/>
          <w:sz w:val="22"/>
        </w:rPr>
        <w:t> </w:t>
      </w:r>
      <w:r>
        <w:rPr>
          <w:i/>
          <w:sz w:val="22"/>
        </w:rPr>
        <w:t>Health</w:t>
      </w:r>
      <w:r>
        <w:rPr>
          <w:i/>
          <w:spacing w:val="-4"/>
          <w:sz w:val="22"/>
        </w:rPr>
        <w:t> </w:t>
      </w:r>
      <w:r>
        <w:rPr>
          <w:i/>
          <w:sz w:val="22"/>
        </w:rPr>
        <w:t>and</w:t>
      </w:r>
      <w:r>
        <w:rPr>
          <w:i/>
          <w:spacing w:val="-4"/>
          <w:sz w:val="22"/>
        </w:rPr>
        <w:t> </w:t>
      </w:r>
      <w:r>
        <w:rPr>
          <w:i/>
          <w:sz w:val="22"/>
        </w:rPr>
        <w:t>Safety</w:t>
      </w:r>
      <w:r>
        <w:rPr>
          <w:i/>
          <w:spacing w:val="-6"/>
          <w:sz w:val="22"/>
        </w:rPr>
        <w:t> </w:t>
      </w:r>
      <w:r>
        <w:rPr>
          <w:i/>
          <w:sz w:val="22"/>
        </w:rPr>
        <w:t>Act</w:t>
      </w:r>
      <w:r>
        <w:rPr>
          <w:i/>
          <w:spacing w:val="-5"/>
          <w:sz w:val="22"/>
        </w:rPr>
        <w:t> </w:t>
      </w:r>
      <w:r>
        <w:rPr>
          <w:i/>
          <w:sz w:val="22"/>
        </w:rPr>
        <w:t>2004</w:t>
      </w:r>
      <w:r>
        <w:rPr>
          <w:i/>
          <w:spacing w:val="-2"/>
          <w:sz w:val="22"/>
        </w:rPr>
        <w:t> </w:t>
      </w:r>
      <w:r>
        <w:rPr>
          <w:spacing w:val="-5"/>
          <w:sz w:val="22"/>
        </w:rPr>
        <w:t>is:</w:t>
      </w:r>
    </w:p>
    <w:p>
      <w:pPr>
        <w:pStyle w:val="BodyText"/>
        <w:spacing w:before="4"/>
        <w:rPr>
          <w:sz w:val="25"/>
        </w:rPr>
      </w:pPr>
    </w:p>
    <w:p>
      <w:pPr>
        <w:spacing w:line="288" w:lineRule="auto" w:before="0"/>
        <w:ind w:left="799" w:right="1048" w:firstLine="0"/>
        <w:jc w:val="both"/>
        <w:rPr>
          <w:i/>
          <w:sz w:val="22"/>
        </w:rPr>
      </w:pPr>
      <w:r>
        <w:rPr>
          <w:i/>
          <w:sz w:val="22"/>
        </w:rPr>
        <w:t>“To</w:t>
      </w:r>
      <w:r>
        <w:rPr>
          <w:i/>
          <w:spacing w:val="-2"/>
          <w:sz w:val="22"/>
        </w:rPr>
        <w:t> </w:t>
      </w:r>
      <w:r>
        <w:rPr>
          <w:i/>
          <w:sz w:val="22"/>
        </w:rPr>
        <w:t>avoid</w:t>
      </w:r>
      <w:r>
        <w:rPr>
          <w:i/>
          <w:spacing w:val="-2"/>
          <w:sz w:val="22"/>
        </w:rPr>
        <w:t> </w:t>
      </w:r>
      <w:r>
        <w:rPr>
          <w:i/>
          <w:sz w:val="22"/>
        </w:rPr>
        <w:t>doubt,</w:t>
      </w:r>
      <w:r>
        <w:rPr>
          <w:i/>
          <w:spacing w:val="-3"/>
          <w:sz w:val="22"/>
        </w:rPr>
        <w:t> </w:t>
      </w:r>
      <w:r>
        <w:rPr>
          <w:i/>
          <w:sz w:val="22"/>
        </w:rPr>
        <w:t>for</w:t>
      </w:r>
      <w:r>
        <w:rPr>
          <w:i/>
          <w:spacing w:val="-3"/>
          <w:sz w:val="22"/>
        </w:rPr>
        <w:t> </w:t>
      </w:r>
      <w:r>
        <w:rPr>
          <w:i/>
          <w:sz w:val="22"/>
        </w:rPr>
        <w:t>the</w:t>
      </w:r>
      <w:r>
        <w:rPr>
          <w:i/>
          <w:spacing w:val="-6"/>
          <w:sz w:val="22"/>
        </w:rPr>
        <w:t> </w:t>
      </w:r>
      <w:r>
        <w:rPr>
          <w:i/>
          <w:sz w:val="22"/>
        </w:rPr>
        <w:t>purposes</w:t>
      </w:r>
      <w:r>
        <w:rPr>
          <w:i/>
          <w:spacing w:val="-2"/>
          <w:sz w:val="22"/>
        </w:rPr>
        <w:t> </w:t>
      </w:r>
      <w:r>
        <w:rPr>
          <w:i/>
          <w:sz w:val="22"/>
        </w:rPr>
        <w:t>of</w:t>
      </w:r>
      <w:r>
        <w:rPr>
          <w:i/>
          <w:spacing w:val="-3"/>
          <w:sz w:val="22"/>
        </w:rPr>
        <w:t> </w:t>
      </w:r>
      <w:r>
        <w:rPr>
          <w:i/>
          <w:sz w:val="22"/>
        </w:rPr>
        <w:t>this</w:t>
      </w:r>
      <w:r>
        <w:rPr>
          <w:i/>
          <w:spacing w:val="-1"/>
          <w:sz w:val="22"/>
        </w:rPr>
        <w:t> </w:t>
      </w:r>
      <w:r>
        <w:rPr>
          <w:i/>
          <w:sz w:val="22"/>
        </w:rPr>
        <w:t>Part</w:t>
      </w:r>
      <w:r>
        <w:rPr>
          <w:i/>
          <w:spacing w:val="-3"/>
          <w:sz w:val="22"/>
        </w:rPr>
        <w:t> </w:t>
      </w:r>
      <w:r>
        <w:rPr>
          <w:i/>
          <w:sz w:val="22"/>
        </w:rPr>
        <w:t>and</w:t>
      </w:r>
      <w:r>
        <w:rPr>
          <w:i/>
          <w:spacing w:val="-3"/>
          <w:sz w:val="22"/>
        </w:rPr>
        <w:t> </w:t>
      </w:r>
      <w:r>
        <w:rPr>
          <w:i/>
          <w:sz w:val="22"/>
        </w:rPr>
        <w:t>the</w:t>
      </w:r>
      <w:r>
        <w:rPr>
          <w:i/>
          <w:spacing w:val="-3"/>
          <w:sz w:val="22"/>
        </w:rPr>
        <w:t> </w:t>
      </w:r>
      <w:r>
        <w:rPr>
          <w:i/>
          <w:sz w:val="22"/>
        </w:rPr>
        <w:t>regulations,</w:t>
      </w:r>
      <w:r>
        <w:rPr>
          <w:i/>
          <w:spacing w:val="-3"/>
          <w:sz w:val="22"/>
        </w:rPr>
        <w:t> </w:t>
      </w:r>
      <w:r>
        <w:rPr>
          <w:i/>
          <w:sz w:val="22"/>
        </w:rPr>
        <w:t>regard</w:t>
      </w:r>
      <w:r>
        <w:rPr>
          <w:i/>
          <w:spacing w:val="-5"/>
          <w:sz w:val="22"/>
        </w:rPr>
        <w:t> </w:t>
      </w:r>
      <w:r>
        <w:rPr>
          <w:i/>
          <w:sz w:val="22"/>
        </w:rPr>
        <w:t>must</w:t>
      </w:r>
      <w:r>
        <w:rPr>
          <w:i/>
          <w:spacing w:val="-3"/>
          <w:sz w:val="22"/>
        </w:rPr>
        <w:t> </w:t>
      </w:r>
      <w:r>
        <w:rPr>
          <w:i/>
          <w:sz w:val="22"/>
        </w:rPr>
        <w:t>be</w:t>
      </w:r>
      <w:r>
        <w:rPr>
          <w:i/>
          <w:spacing w:val="-2"/>
          <w:sz w:val="22"/>
        </w:rPr>
        <w:t> </w:t>
      </w:r>
      <w:r>
        <w:rPr>
          <w:i/>
          <w:sz w:val="22"/>
        </w:rPr>
        <w:t>had to</w:t>
      </w:r>
      <w:r>
        <w:rPr>
          <w:i/>
          <w:spacing w:val="-4"/>
          <w:sz w:val="22"/>
        </w:rPr>
        <w:t> </w:t>
      </w:r>
      <w:r>
        <w:rPr>
          <w:i/>
          <w:sz w:val="22"/>
        </w:rPr>
        <w:t>the</w:t>
      </w:r>
      <w:r>
        <w:rPr>
          <w:i/>
          <w:spacing w:val="-4"/>
          <w:sz w:val="22"/>
        </w:rPr>
        <w:t> </w:t>
      </w:r>
      <w:r>
        <w:rPr>
          <w:i/>
          <w:sz w:val="22"/>
        </w:rPr>
        <w:t>following</w:t>
      </w:r>
      <w:r>
        <w:rPr>
          <w:i/>
          <w:spacing w:val="-4"/>
          <w:sz w:val="22"/>
        </w:rPr>
        <w:t> </w:t>
      </w:r>
      <w:r>
        <w:rPr>
          <w:i/>
          <w:sz w:val="22"/>
        </w:rPr>
        <w:t>matters</w:t>
      </w:r>
      <w:r>
        <w:rPr>
          <w:i/>
          <w:spacing w:val="-3"/>
          <w:sz w:val="22"/>
        </w:rPr>
        <w:t> </w:t>
      </w:r>
      <w:r>
        <w:rPr>
          <w:i/>
          <w:sz w:val="22"/>
        </w:rPr>
        <w:t>in</w:t>
      </w:r>
      <w:r>
        <w:rPr>
          <w:i/>
          <w:spacing w:val="-2"/>
          <w:sz w:val="22"/>
        </w:rPr>
        <w:t> </w:t>
      </w:r>
      <w:r>
        <w:rPr>
          <w:i/>
          <w:sz w:val="22"/>
        </w:rPr>
        <w:t>determining</w:t>
      </w:r>
      <w:r>
        <w:rPr>
          <w:i/>
          <w:spacing w:val="-4"/>
          <w:sz w:val="22"/>
        </w:rPr>
        <w:t> </w:t>
      </w:r>
      <w:r>
        <w:rPr>
          <w:i/>
          <w:sz w:val="22"/>
        </w:rPr>
        <w:t>what</w:t>
      </w:r>
      <w:r>
        <w:rPr>
          <w:i/>
          <w:spacing w:val="-3"/>
          <w:sz w:val="22"/>
        </w:rPr>
        <w:t> </w:t>
      </w:r>
      <w:r>
        <w:rPr>
          <w:i/>
          <w:sz w:val="22"/>
        </w:rPr>
        <w:t>is</w:t>
      </w:r>
      <w:r>
        <w:rPr>
          <w:i/>
          <w:spacing w:val="-4"/>
          <w:sz w:val="22"/>
        </w:rPr>
        <w:t> </w:t>
      </w:r>
      <w:r>
        <w:rPr>
          <w:i/>
          <w:sz w:val="22"/>
        </w:rPr>
        <w:t>(or</w:t>
      </w:r>
      <w:r>
        <w:rPr>
          <w:i/>
          <w:spacing w:val="-3"/>
          <w:sz w:val="22"/>
        </w:rPr>
        <w:t> </w:t>
      </w:r>
      <w:r>
        <w:rPr>
          <w:i/>
          <w:sz w:val="22"/>
        </w:rPr>
        <w:t>was</w:t>
      </w:r>
      <w:r>
        <w:rPr>
          <w:i/>
          <w:spacing w:val="-1"/>
          <w:sz w:val="22"/>
        </w:rPr>
        <w:t> </w:t>
      </w:r>
      <w:r>
        <w:rPr>
          <w:i/>
          <w:sz w:val="22"/>
        </w:rPr>
        <w:t>at a</w:t>
      </w:r>
      <w:r>
        <w:rPr>
          <w:i/>
          <w:spacing w:val="-4"/>
          <w:sz w:val="22"/>
        </w:rPr>
        <w:t> </w:t>
      </w:r>
      <w:r>
        <w:rPr>
          <w:i/>
          <w:sz w:val="22"/>
        </w:rPr>
        <w:t>particular</w:t>
      </w:r>
      <w:r>
        <w:rPr>
          <w:i/>
          <w:spacing w:val="-3"/>
          <w:sz w:val="22"/>
        </w:rPr>
        <w:t> </w:t>
      </w:r>
      <w:r>
        <w:rPr>
          <w:i/>
          <w:sz w:val="22"/>
        </w:rPr>
        <w:t>time)</w:t>
      </w:r>
      <w:r>
        <w:rPr>
          <w:i/>
          <w:spacing w:val="-3"/>
          <w:sz w:val="22"/>
        </w:rPr>
        <w:t> </w:t>
      </w:r>
      <w:r>
        <w:rPr>
          <w:i/>
          <w:sz w:val="22"/>
        </w:rPr>
        <w:t>reasonably practicable in relation to ensuring health and safety–</w:t>
      </w:r>
    </w:p>
    <w:p>
      <w:pPr>
        <w:pStyle w:val="BodyText"/>
        <w:spacing w:before="9"/>
        <w:rPr>
          <w:i/>
          <w:sz w:val="20"/>
        </w:rPr>
      </w:pPr>
    </w:p>
    <w:p>
      <w:pPr>
        <w:pStyle w:val="ListParagraph"/>
        <w:numPr>
          <w:ilvl w:val="0"/>
          <w:numId w:val="85"/>
        </w:numPr>
        <w:tabs>
          <w:tab w:pos="1154" w:val="left" w:leader="none"/>
        </w:tabs>
        <w:spacing w:line="240" w:lineRule="auto" w:before="0" w:after="0"/>
        <w:ind w:left="1154" w:right="0" w:hanging="355"/>
        <w:jc w:val="left"/>
        <w:rPr>
          <w:i/>
          <w:sz w:val="22"/>
        </w:rPr>
      </w:pPr>
      <w:r>
        <w:rPr>
          <w:i/>
          <w:sz w:val="22"/>
        </w:rPr>
        <w:t>the</w:t>
      </w:r>
      <w:r>
        <w:rPr>
          <w:i/>
          <w:spacing w:val="-5"/>
          <w:sz w:val="22"/>
        </w:rPr>
        <w:t> </w:t>
      </w:r>
      <w:r>
        <w:rPr>
          <w:i/>
          <w:sz w:val="22"/>
        </w:rPr>
        <w:t>likelihood</w:t>
      </w:r>
      <w:r>
        <w:rPr>
          <w:i/>
          <w:spacing w:val="-5"/>
          <w:sz w:val="22"/>
        </w:rPr>
        <w:t> </w:t>
      </w:r>
      <w:r>
        <w:rPr>
          <w:i/>
          <w:sz w:val="22"/>
        </w:rPr>
        <w:t>of</w:t>
      </w:r>
      <w:r>
        <w:rPr>
          <w:i/>
          <w:spacing w:val="-5"/>
          <w:sz w:val="22"/>
        </w:rPr>
        <w:t> </w:t>
      </w:r>
      <w:r>
        <w:rPr>
          <w:i/>
          <w:sz w:val="22"/>
        </w:rPr>
        <w:t>the</w:t>
      </w:r>
      <w:r>
        <w:rPr>
          <w:i/>
          <w:spacing w:val="-6"/>
          <w:sz w:val="22"/>
        </w:rPr>
        <w:t> </w:t>
      </w:r>
      <w:r>
        <w:rPr>
          <w:i/>
          <w:sz w:val="22"/>
        </w:rPr>
        <w:t>hazard</w:t>
      </w:r>
      <w:r>
        <w:rPr>
          <w:i/>
          <w:spacing w:val="-5"/>
          <w:sz w:val="22"/>
        </w:rPr>
        <w:t> </w:t>
      </w:r>
      <w:r>
        <w:rPr>
          <w:i/>
          <w:sz w:val="22"/>
        </w:rPr>
        <w:t>or</w:t>
      </w:r>
      <w:r>
        <w:rPr>
          <w:i/>
          <w:spacing w:val="-5"/>
          <w:sz w:val="22"/>
        </w:rPr>
        <w:t> </w:t>
      </w:r>
      <w:r>
        <w:rPr>
          <w:i/>
          <w:sz w:val="22"/>
        </w:rPr>
        <w:t>risk</w:t>
      </w:r>
      <w:r>
        <w:rPr>
          <w:i/>
          <w:spacing w:val="-4"/>
          <w:sz w:val="22"/>
        </w:rPr>
        <w:t> </w:t>
      </w:r>
      <w:r>
        <w:rPr>
          <w:i/>
          <w:sz w:val="22"/>
        </w:rPr>
        <w:t>concerned</w:t>
      </w:r>
      <w:r>
        <w:rPr>
          <w:i/>
          <w:spacing w:val="-4"/>
          <w:sz w:val="22"/>
        </w:rPr>
        <w:t> </w:t>
      </w:r>
      <w:r>
        <w:rPr>
          <w:i/>
          <w:spacing w:val="-2"/>
          <w:sz w:val="22"/>
        </w:rPr>
        <w:t>eventuating;</w:t>
      </w:r>
    </w:p>
    <w:p>
      <w:pPr>
        <w:pStyle w:val="ListParagraph"/>
        <w:numPr>
          <w:ilvl w:val="0"/>
          <w:numId w:val="85"/>
        </w:numPr>
        <w:tabs>
          <w:tab w:pos="1154" w:val="left" w:leader="none"/>
        </w:tabs>
        <w:spacing w:line="240" w:lineRule="auto" w:before="52" w:after="0"/>
        <w:ind w:left="1154" w:right="0" w:hanging="355"/>
        <w:jc w:val="left"/>
        <w:rPr>
          <w:i/>
          <w:sz w:val="22"/>
        </w:rPr>
      </w:pPr>
      <w:r>
        <w:rPr>
          <w:i/>
          <w:sz w:val="22"/>
        </w:rPr>
        <w:t>the</w:t>
      </w:r>
      <w:r>
        <w:rPr>
          <w:i/>
          <w:spacing w:val="-6"/>
          <w:sz w:val="22"/>
        </w:rPr>
        <w:t> </w:t>
      </w:r>
      <w:r>
        <w:rPr>
          <w:i/>
          <w:sz w:val="22"/>
        </w:rPr>
        <w:t>degree</w:t>
      </w:r>
      <w:r>
        <w:rPr>
          <w:i/>
          <w:spacing w:val="-4"/>
          <w:sz w:val="22"/>
        </w:rPr>
        <w:t> </w:t>
      </w:r>
      <w:r>
        <w:rPr>
          <w:i/>
          <w:sz w:val="22"/>
        </w:rPr>
        <w:t>of</w:t>
      </w:r>
      <w:r>
        <w:rPr>
          <w:i/>
          <w:spacing w:val="-2"/>
          <w:sz w:val="22"/>
        </w:rPr>
        <w:t> </w:t>
      </w:r>
      <w:r>
        <w:rPr>
          <w:i/>
          <w:sz w:val="22"/>
        </w:rPr>
        <w:t>harm</w:t>
      </w:r>
      <w:r>
        <w:rPr>
          <w:i/>
          <w:spacing w:val="-5"/>
          <w:sz w:val="22"/>
        </w:rPr>
        <w:t> </w:t>
      </w:r>
      <w:r>
        <w:rPr>
          <w:i/>
          <w:sz w:val="22"/>
        </w:rPr>
        <w:t>that</w:t>
      </w:r>
      <w:r>
        <w:rPr>
          <w:i/>
          <w:spacing w:val="-7"/>
          <w:sz w:val="22"/>
        </w:rPr>
        <w:t> </w:t>
      </w:r>
      <w:r>
        <w:rPr>
          <w:i/>
          <w:sz w:val="22"/>
        </w:rPr>
        <w:t>would</w:t>
      </w:r>
      <w:r>
        <w:rPr>
          <w:i/>
          <w:spacing w:val="-3"/>
          <w:sz w:val="22"/>
        </w:rPr>
        <w:t> </w:t>
      </w:r>
      <w:r>
        <w:rPr>
          <w:i/>
          <w:sz w:val="22"/>
        </w:rPr>
        <w:t>result</w:t>
      </w:r>
      <w:r>
        <w:rPr>
          <w:i/>
          <w:spacing w:val="-2"/>
          <w:sz w:val="22"/>
        </w:rPr>
        <w:t> </w:t>
      </w:r>
      <w:r>
        <w:rPr>
          <w:i/>
          <w:sz w:val="22"/>
        </w:rPr>
        <w:t>if</w:t>
      </w:r>
      <w:r>
        <w:rPr>
          <w:i/>
          <w:spacing w:val="-5"/>
          <w:sz w:val="22"/>
        </w:rPr>
        <w:t> </w:t>
      </w:r>
      <w:r>
        <w:rPr>
          <w:i/>
          <w:sz w:val="22"/>
        </w:rPr>
        <w:t>the</w:t>
      </w:r>
      <w:r>
        <w:rPr>
          <w:i/>
          <w:spacing w:val="-4"/>
          <w:sz w:val="22"/>
        </w:rPr>
        <w:t> </w:t>
      </w:r>
      <w:r>
        <w:rPr>
          <w:i/>
          <w:sz w:val="22"/>
        </w:rPr>
        <w:t>hazard</w:t>
      </w:r>
      <w:r>
        <w:rPr>
          <w:i/>
          <w:spacing w:val="-3"/>
          <w:sz w:val="22"/>
        </w:rPr>
        <w:t> </w:t>
      </w:r>
      <w:r>
        <w:rPr>
          <w:i/>
          <w:sz w:val="22"/>
        </w:rPr>
        <w:t>or</w:t>
      </w:r>
      <w:r>
        <w:rPr>
          <w:i/>
          <w:spacing w:val="-5"/>
          <w:sz w:val="22"/>
        </w:rPr>
        <w:t> </w:t>
      </w:r>
      <w:r>
        <w:rPr>
          <w:i/>
          <w:sz w:val="22"/>
        </w:rPr>
        <w:t>risk</w:t>
      </w:r>
      <w:r>
        <w:rPr>
          <w:i/>
          <w:spacing w:val="-5"/>
          <w:sz w:val="22"/>
        </w:rPr>
        <w:t> </w:t>
      </w:r>
      <w:r>
        <w:rPr>
          <w:i/>
          <w:spacing w:val="-2"/>
          <w:sz w:val="22"/>
        </w:rPr>
        <w:t>eventuated;</w:t>
      </w:r>
    </w:p>
    <w:p>
      <w:pPr>
        <w:pStyle w:val="ListParagraph"/>
        <w:numPr>
          <w:ilvl w:val="0"/>
          <w:numId w:val="85"/>
        </w:numPr>
        <w:tabs>
          <w:tab w:pos="1155" w:val="left" w:leader="none"/>
          <w:tab w:pos="1157" w:val="left" w:leader="none"/>
        </w:tabs>
        <w:spacing w:line="288" w:lineRule="auto" w:before="50" w:after="0"/>
        <w:ind w:left="1157" w:right="1012" w:hanging="358"/>
        <w:jc w:val="left"/>
        <w:rPr>
          <w:i/>
          <w:sz w:val="22"/>
        </w:rPr>
      </w:pPr>
      <w:r>
        <w:rPr>
          <w:i/>
          <w:sz w:val="22"/>
        </w:rPr>
        <w:t>what</w:t>
      </w:r>
      <w:r>
        <w:rPr>
          <w:i/>
          <w:spacing w:val="-4"/>
          <w:sz w:val="22"/>
        </w:rPr>
        <w:t> </w:t>
      </w:r>
      <w:r>
        <w:rPr>
          <w:i/>
          <w:sz w:val="22"/>
        </w:rPr>
        <w:t>the</w:t>
      </w:r>
      <w:r>
        <w:rPr>
          <w:i/>
          <w:spacing w:val="-5"/>
          <w:sz w:val="22"/>
        </w:rPr>
        <w:t> </w:t>
      </w:r>
      <w:r>
        <w:rPr>
          <w:i/>
          <w:sz w:val="22"/>
        </w:rPr>
        <w:t>person</w:t>
      </w:r>
      <w:r>
        <w:rPr>
          <w:i/>
          <w:spacing w:val="-3"/>
          <w:sz w:val="22"/>
        </w:rPr>
        <w:t> </w:t>
      </w:r>
      <w:r>
        <w:rPr>
          <w:i/>
          <w:sz w:val="22"/>
        </w:rPr>
        <w:t>concerned</w:t>
      </w:r>
      <w:r>
        <w:rPr>
          <w:i/>
          <w:spacing w:val="-3"/>
          <w:sz w:val="22"/>
        </w:rPr>
        <w:t> </w:t>
      </w:r>
      <w:r>
        <w:rPr>
          <w:i/>
          <w:sz w:val="22"/>
        </w:rPr>
        <w:t>knows,</w:t>
      </w:r>
      <w:r>
        <w:rPr>
          <w:i/>
          <w:spacing w:val="-4"/>
          <w:sz w:val="22"/>
        </w:rPr>
        <w:t> </w:t>
      </w:r>
      <w:r>
        <w:rPr>
          <w:i/>
          <w:sz w:val="22"/>
        </w:rPr>
        <w:t>or</w:t>
      </w:r>
      <w:r>
        <w:rPr>
          <w:i/>
          <w:spacing w:val="-4"/>
          <w:sz w:val="22"/>
        </w:rPr>
        <w:t> </w:t>
      </w:r>
      <w:r>
        <w:rPr>
          <w:i/>
          <w:sz w:val="22"/>
        </w:rPr>
        <w:t>ought</w:t>
      </w:r>
      <w:r>
        <w:rPr>
          <w:i/>
          <w:spacing w:val="-4"/>
          <w:sz w:val="22"/>
        </w:rPr>
        <w:t> </w:t>
      </w:r>
      <w:r>
        <w:rPr>
          <w:i/>
          <w:sz w:val="22"/>
        </w:rPr>
        <w:t>reasonably</w:t>
      </w:r>
      <w:r>
        <w:rPr>
          <w:i/>
          <w:spacing w:val="-2"/>
          <w:sz w:val="22"/>
        </w:rPr>
        <w:t> </w:t>
      </w:r>
      <w:r>
        <w:rPr>
          <w:i/>
          <w:sz w:val="22"/>
        </w:rPr>
        <w:t>to</w:t>
      </w:r>
      <w:r>
        <w:rPr>
          <w:i/>
          <w:spacing w:val="-5"/>
          <w:sz w:val="22"/>
        </w:rPr>
        <w:t> </w:t>
      </w:r>
      <w:r>
        <w:rPr>
          <w:i/>
          <w:sz w:val="22"/>
        </w:rPr>
        <w:t>know,</w:t>
      </w:r>
      <w:r>
        <w:rPr>
          <w:i/>
          <w:spacing w:val="-4"/>
          <w:sz w:val="22"/>
        </w:rPr>
        <w:t> </w:t>
      </w:r>
      <w:r>
        <w:rPr>
          <w:i/>
          <w:sz w:val="22"/>
        </w:rPr>
        <w:t>about</w:t>
      </w:r>
      <w:r>
        <w:rPr>
          <w:i/>
          <w:spacing w:val="-4"/>
          <w:sz w:val="22"/>
        </w:rPr>
        <w:t> </w:t>
      </w:r>
      <w:r>
        <w:rPr>
          <w:i/>
          <w:sz w:val="22"/>
        </w:rPr>
        <w:t>the</w:t>
      </w:r>
      <w:r>
        <w:rPr>
          <w:i/>
          <w:spacing w:val="-3"/>
          <w:sz w:val="22"/>
        </w:rPr>
        <w:t> </w:t>
      </w:r>
      <w:r>
        <w:rPr>
          <w:i/>
          <w:sz w:val="22"/>
        </w:rPr>
        <w:t>hazard or risk and any ways of eliminating or reducing the hazard or risk;</w:t>
      </w:r>
    </w:p>
    <w:p>
      <w:pPr>
        <w:pStyle w:val="ListParagraph"/>
        <w:numPr>
          <w:ilvl w:val="0"/>
          <w:numId w:val="85"/>
        </w:numPr>
        <w:tabs>
          <w:tab w:pos="1154" w:val="left" w:leader="none"/>
        </w:tabs>
        <w:spacing w:line="240" w:lineRule="auto" w:before="0" w:after="0"/>
        <w:ind w:left="1154" w:right="0" w:hanging="355"/>
        <w:jc w:val="left"/>
        <w:rPr>
          <w:i/>
          <w:sz w:val="22"/>
        </w:rPr>
      </w:pPr>
      <w:r>
        <w:rPr>
          <w:i/>
          <w:sz w:val="22"/>
        </w:rPr>
        <w:t>the</w:t>
      </w:r>
      <w:r>
        <w:rPr>
          <w:i/>
          <w:spacing w:val="-5"/>
          <w:sz w:val="22"/>
        </w:rPr>
        <w:t> </w:t>
      </w:r>
      <w:r>
        <w:rPr>
          <w:i/>
          <w:sz w:val="22"/>
        </w:rPr>
        <w:t>availability</w:t>
      </w:r>
      <w:r>
        <w:rPr>
          <w:i/>
          <w:spacing w:val="-3"/>
          <w:sz w:val="22"/>
        </w:rPr>
        <w:t> </w:t>
      </w:r>
      <w:r>
        <w:rPr>
          <w:i/>
          <w:sz w:val="22"/>
        </w:rPr>
        <w:t>and</w:t>
      </w:r>
      <w:r>
        <w:rPr>
          <w:i/>
          <w:spacing w:val="-5"/>
          <w:sz w:val="22"/>
        </w:rPr>
        <w:t> </w:t>
      </w:r>
      <w:r>
        <w:rPr>
          <w:i/>
          <w:sz w:val="22"/>
        </w:rPr>
        <w:t>suitability</w:t>
      </w:r>
      <w:r>
        <w:rPr>
          <w:i/>
          <w:spacing w:val="-3"/>
          <w:sz w:val="22"/>
        </w:rPr>
        <w:t> </w:t>
      </w:r>
      <w:r>
        <w:rPr>
          <w:i/>
          <w:sz w:val="22"/>
        </w:rPr>
        <w:t>of</w:t>
      </w:r>
      <w:r>
        <w:rPr>
          <w:i/>
          <w:spacing w:val="-6"/>
          <w:sz w:val="22"/>
        </w:rPr>
        <w:t> </w:t>
      </w:r>
      <w:r>
        <w:rPr>
          <w:i/>
          <w:sz w:val="22"/>
        </w:rPr>
        <w:t>ways</w:t>
      </w:r>
      <w:r>
        <w:rPr>
          <w:i/>
          <w:spacing w:val="-6"/>
          <w:sz w:val="22"/>
        </w:rPr>
        <w:t> </w:t>
      </w:r>
      <w:r>
        <w:rPr>
          <w:i/>
          <w:sz w:val="22"/>
        </w:rPr>
        <w:t>to</w:t>
      </w:r>
      <w:r>
        <w:rPr>
          <w:i/>
          <w:spacing w:val="-6"/>
          <w:sz w:val="22"/>
        </w:rPr>
        <w:t> </w:t>
      </w:r>
      <w:r>
        <w:rPr>
          <w:i/>
          <w:sz w:val="22"/>
        </w:rPr>
        <w:t>eliminate</w:t>
      </w:r>
      <w:r>
        <w:rPr>
          <w:i/>
          <w:spacing w:val="-7"/>
          <w:sz w:val="22"/>
        </w:rPr>
        <w:t> </w:t>
      </w:r>
      <w:r>
        <w:rPr>
          <w:i/>
          <w:sz w:val="22"/>
        </w:rPr>
        <w:t>or</w:t>
      </w:r>
      <w:r>
        <w:rPr>
          <w:i/>
          <w:spacing w:val="-5"/>
          <w:sz w:val="22"/>
        </w:rPr>
        <w:t> </w:t>
      </w:r>
      <w:r>
        <w:rPr>
          <w:i/>
          <w:sz w:val="22"/>
        </w:rPr>
        <w:t>reduce</w:t>
      </w:r>
      <w:r>
        <w:rPr>
          <w:i/>
          <w:spacing w:val="-6"/>
          <w:sz w:val="22"/>
        </w:rPr>
        <w:t> </w:t>
      </w:r>
      <w:r>
        <w:rPr>
          <w:i/>
          <w:sz w:val="22"/>
        </w:rPr>
        <w:t>the</w:t>
      </w:r>
      <w:r>
        <w:rPr>
          <w:i/>
          <w:spacing w:val="-7"/>
          <w:sz w:val="22"/>
        </w:rPr>
        <w:t> </w:t>
      </w:r>
      <w:r>
        <w:rPr>
          <w:i/>
          <w:sz w:val="22"/>
        </w:rPr>
        <w:t>hazard</w:t>
      </w:r>
      <w:r>
        <w:rPr>
          <w:i/>
          <w:spacing w:val="-3"/>
          <w:sz w:val="22"/>
        </w:rPr>
        <w:t> </w:t>
      </w:r>
      <w:r>
        <w:rPr>
          <w:i/>
          <w:sz w:val="22"/>
        </w:rPr>
        <w:t>or</w:t>
      </w:r>
      <w:r>
        <w:rPr>
          <w:i/>
          <w:spacing w:val="-5"/>
          <w:sz w:val="22"/>
        </w:rPr>
        <w:t> </w:t>
      </w:r>
      <w:r>
        <w:rPr>
          <w:i/>
          <w:spacing w:val="-2"/>
          <w:sz w:val="22"/>
        </w:rPr>
        <w:t>risk;</w:t>
      </w:r>
    </w:p>
    <w:p>
      <w:pPr>
        <w:pStyle w:val="ListParagraph"/>
        <w:numPr>
          <w:ilvl w:val="0"/>
          <w:numId w:val="85"/>
        </w:numPr>
        <w:tabs>
          <w:tab w:pos="1157" w:val="left" w:leader="none"/>
        </w:tabs>
        <w:spacing w:line="240" w:lineRule="auto" w:before="52" w:after="0"/>
        <w:ind w:left="1157" w:right="0" w:hanging="358"/>
        <w:jc w:val="left"/>
        <w:rPr>
          <w:i/>
          <w:sz w:val="22"/>
        </w:rPr>
      </w:pPr>
      <w:r>
        <w:rPr>
          <w:i/>
          <w:sz w:val="22"/>
        </w:rPr>
        <w:t>the</w:t>
      </w:r>
      <w:r>
        <w:rPr>
          <w:i/>
          <w:spacing w:val="-4"/>
          <w:sz w:val="22"/>
        </w:rPr>
        <w:t> </w:t>
      </w:r>
      <w:r>
        <w:rPr>
          <w:i/>
          <w:sz w:val="22"/>
        </w:rPr>
        <w:t>cost</w:t>
      </w:r>
      <w:r>
        <w:rPr>
          <w:i/>
          <w:spacing w:val="-5"/>
          <w:sz w:val="22"/>
        </w:rPr>
        <w:t> </w:t>
      </w:r>
      <w:r>
        <w:rPr>
          <w:i/>
          <w:sz w:val="22"/>
        </w:rPr>
        <w:t>of</w:t>
      </w:r>
      <w:r>
        <w:rPr>
          <w:i/>
          <w:spacing w:val="-5"/>
          <w:sz w:val="22"/>
        </w:rPr>
        <w:t> </w:t>
      </w:r>
      <w:r>
        <w:rPr>
          <w:i/>
          <w:sz w:val="22"/>
        </w:rPr>
        <w:t>eliminating</w:t>
      </w:r>
      <w:r>
        <w:rPr>
          <w:i/>
          <w:spacing w:val="-4"/>
          <w:sz w:val="22"/>
        </w:rPr>
        <w:t> </w:t>
      </w:r>
      <w:r>
        <w:rPr>
          <w:i/>
          <w:sz w:val="22"/>
        </w:rPr>
        <w:t>or</w:t>
      </w:r>
      <w:r>
        <w:rPr>
          <w:i/>
          <w:spacing w:val="-7"/>
          <w:sz w:val="22"/>
        </w:rPr>
        <w:t> </w:t>
      </w:r>
      <w:r>
        <w:rPr>
          <w:i/>
          <w:sz w:val="22"/>
        </w:rPr>
        <w:t>reducing</w:t>
      </w:r>
      <w:r>
        <w:rPr>
          <w:i/>
          <w:spacing w:val="-4"/>
          <w:sz w:val="22"/>
        </w:rPr>
        <w:t> </w:t>
      </w:r>
      <w:r>
        <w:rPr>
          <w:i/>
          <w:sz w:val="22"/>
        </w:rPr>
        <w:t>the</w:t>
      </w:r>
      <w:r>
        <w:rPr>
          <w:i/>
          <w:spacing w:val="-6"/>
          <w:sz w:val="22"/>
        </w:rPr>
        <w:t> </w:t>
      </w:r>
      <w:r>
        <w:rPr>
          <w:i/>
          <w:sz w:val="22"/>
        </w:rPr>
        <w:t>hazard</w:t>
      </w:r>
      <w:r>
        <w:rPr>
          <w:i/>
          <w:spacing w:val="-3"/>
          <w:sz w:val="22"/>
        </w:rPr>
        <w:t> </w:t>
      </w:r>
      <w:r>
        <w:rPr>
          <w:i/>
          <w:sz w:val="22"/>
        </w:rPr>
        <w:t>or</w:t>
      </w:r>
      <w:r>
        <w:rPr>
          <w:i/>
          <w:spacing w:val="-4"/>
          <w:sz w:val="22"/>
        </w:rPr>
        <w:t> </w:t>
      </w:r>
      <w:r>
        <w:rPr>
          <w:i/>
          <w:spacing w:val="-2"/>
          <w:sz w:val="22"/>
        </w:rPr>
        <w:t>risk.”</w:t>
      </w:r>
    </w:p>
    <w:p>
      <w:pPr>
        <w:pStyle w:val="BodyText"/>
        <w:spacing w:before="1"/>
        <w:rPr>
          <w:i/>
          <w:sz w:val="23"/>
        </w:rPr>
      </w:pPr>
      <w:r>
        <w:rPr/>
        <mc:AlternateContent>
          <mc:Choice Requires="wps">
            <w:drawing>
              <wp:anchor distT="0" distB="0" distL="0" distR="0" allowOverlap="1" layoutInCell="1" locked="0" behindDoc="1" simplePos="0" relativeHeight="487661056">
                <wp:simplePos x="0" y="0"/>
                <wp:positionH relativeFrom="page">
                  <wp:posOffset>719327</wp:posOffset>
                </wp:positionH>
                <wp:positionV relativeFrom="paragraph">
                  <wp:posOffset>183895</wp:posOffset>
                </wp:positionV>
                <wp:extent cx="5870575" cy="1422400"/>
                <wp:effectExtent l="0" t="0" r="0" b="0"/>
                <wp:wrapTopAndBottom/>
                <wp:docPr id="207" name="Textbox 207"/>
                <wp:cNvGraphicFramePr>
                  <a:graphicFrameLocks/>
                </wp:cNvGraphicFramePr>
                <a:graphic>
                  <a:graphicData uri="http://schemas.microsoft.com/office/word/2010/wordprocessingShape">
                    <wps:wsp>
                      <wps:cNvPr id="207" name="Textbox 207"/>
                      <wps:cNvSpPr txBox="1"/>
                      <wps:spPr>
                        <a:xfrm>
                          <a:off x="0" y="0"/>
                          <a:ext cx="5870575" cy="1422400"/>
                        </a:xfrm>
                        <a:prstGeom prst="rect">
                          <a:avLst/>
                        </a:prstGeom>
                        <a:solidFill>
                          <a:srgbClr val="D9D9D9"/>
                        </a:solidFill>
                      </wps:spPr>
                      <wps:txbx>
                        <w:txbxContent>
                          <w:p>
                            <w:pPr>
                              <w:pStyle w:val="BodyText"/>
                              <w:spacing w:before="9"/>
                              <w:rPr>
                                <w:i/>
                                <w:color w:val="000000"/>
                                <w:sz w:val="20"/>
                              </w:rPr>
                            </w:pPr>
                          </w:p>
                          <w:p>
                            <w:pPr>
                              <w:spacing w:before="1"/>
                              <w:ind w:left="112" w:right="0" w:firstLine="0"/>
                              <w:jc w:val="left"/>
                              <w:rPr>
                                <w:b/>
                                <w:color w:val="000000"/>
                                <w:sz w:val="22"/>
                              </w:rPr>
                            </w:pPr>
                            <w:r>
                              <w:rPr>
                                <w:b/>
                                <w:color w:val="000000"/>
                                <w:sz w:val="22"/>
                              </w:rPr>
                              <w:t>Recommendation</w:t>
                            </w:r>
                            <w:r>
                              <w:rPr>
                                <w:b/>
                                <w:color w:val="000000"/>
                                <w:spacing w:val="-7"/>
                                <w:sz w:val="22"/>
                              </w:rPr>
                              <w:t> </w:t>
                            </w:r>
                            <w:r>
                              <w:rPr>
                                <w:b/>
                                <w:color w:val="000000"/>
                                <w:spacing w:val="-5"/>
                                <w:sz w:val="22"/>
                              </w:rPr>
                              <w:t>35</w:t>
                            </w:r>
                          </w:p>
                          <w:p>
                            <w:pPr>
                              <w:pStyle w:val="BodyText"/>
                              <w:spacing w:before="4"/>
                              <w:rPr>
                                <w:b/>
                                <w:color w:val="000000"/>
                                <w:sz w:val="25"/>
                              </w:rPr>
                            </w:pPr>
                          </w:p>
                          <w:p>
                            <w:pPr>
                              <w:pStyle w:val="BodyText"/>
                              <w:spacing w:line="288" w:lineRule="auto"/>
                              <w:ind w:left="112" w:right="140"/>
                              <w:rPr>
                                <w:color w:val="000000"/>
                              </w:rPr>
                            </w:pPr>
                            <w:r>
                              <w:rPr>
                                <w:color w:val="000000"/>
                              </w:rPr>
                              <w:t>The general safety duties within the new consolidated energy safety legislation should be based</w:t>
                            </w:r>
                            <w:r>
                              <w:rPr>
                                <w:color w:val="000000"/>
                                <w:spacing w:val="-2"/>
                              </w:rPr>
                              <w:t> </w:t>
                            </w:r>
                            <w:r>
                              <w:rPr>
                                <w:color w:val="000000"/>
                              </w:rPr>
                              <w:t>around</w:t>
                            </w:r>
                            <w:r>
                              <w:rPr>
                                <w:color w:val="000000"/>
                                <w:spacing w:val="-5"/>
                              </w:rPr>
                              <w:t> </w:t>
                            </w:r>
                            <w:r>
                              <w:rPr>
                                <w:color w:val="000000"/>
                              </w:rPr>
                              <w:t>a</w:t>
                            </w:r>
                            <w:r>
                              <w:rPr>
                                <w:color w:val="000000"/>
                                <w:spacing w:val="-4"/>
                              </w:rPr>
                              <w:t> </w:t>
                            </w:r>
                            <w:r>
                              <w:rPr>
                                <w:color w:val="000000"/>
                              </w:rPr>
                              <w:t>consistent</w:t>
                            </w:r>
                            <w:r>
                              <w:rPr>
                                <w:color w:val="000000"/>
                                <w:spacing w:val="-1"/>
                              </w:rPr>
                              <w:t> </w:t>
                            </w:r>
                            <w:r>
                              <w:rPr>
                                <w:color w:val="000000"/>
                              </w:rPr>
                              <w:t>application</w:t>
                            </w:r>
                            <w:r>
                              <w:rPr>
                                <w:color w:val="000000"/>
                                <w:spacing w:val="-2"/>
                              </w:rPr>
                              <w:t> </w:t>
                            </w:r>
                            <w:r>
                              <w:rPr>
                                <w:color w:val="000000"/>
                              </w:rPr>
                              <w:t>of</w:t>
                            </w:r>
                            <w:r>
                              <w:rPr>
                                <w:color w:val="000000"/>
                                <w:spacing w:val="-3"/>
                              </w:rPr>
                              <w:t> </w:t>
                            </w:r>
                            <w:r>
                              <w:rPr>
                                <w:color w:val="000000"/>
                              </w:rPr>
                              <w:t>the</w:t>
                            </w:r>
                            <w:r>
                              <w:rPr>
                                <w:color w:val="000000"/>
                                <w:spacing w:val="-2"/>
                              </w:rPr>
                              <w:t> </w:t>
                            </w:r>
                            <w:r>
                              <w:rPr>
                                <w:color w:val="000000"/>
                              </w:rPr>
                              <w:t>principle</w:t>
                            </w:r>
                            <w:r>
                              <w:rPr>
                                <w:color w:val="000000"/>
                                <w:spacing w:val="-2"/>
                              </w:rPr>
                              <w:t> </w:t>
                            </w:r>
                            <w:r>
                              <w:rPr>
                                <w:color w:val="000000"/>
                              </w:rPr>
                              <w:t>that</w:t>
                            </w:r>
                            <w:r>
                              <w:rPr>
                                <w:color w:val="000000"/>
                                <w:spacing w:val="-3"/>
                              </w:rPr>
                              <w:t> </w:t>
                            </w:r>
                            <w:r>
                              <w:rPr>
                                <w:color w:val="000000"/>
                              </w:rPr>
                              <w:t>risks</w:t>
                            </w:r>
                            <w:r>
                              <w:rPr>
                                <w:color w:val="000000"/>
                                <w:spacing w:val="-4"/>
                              </w:rPr>
                              <w:t> </w:t>
                            </w:r>
                            <w:r>
                              <w:rPr>
                                <w:color w:val="000000"/>
                              </w:rPr>
                              <w:t>should</w:t>
                            </w:r>
                            <w:r>
                              <w:rPr>
                                <w:color w:val="000000"/>
                                <w:spacing w:val="-2"/>
                              </w:rPr>
                              <w:t> </w:t>
                            </w:r>
                            <w:r>
                              <w:rPr>
                                <w:color w:val="000000"/>
                              </w:rPr>
                              <w:t>be</w:t>
                            </w:r>
                            <w:r>
                              <w:rPr>
                                <w:color w:val="000000"/>
                                <w:spacing w:val="-4"/>
                              </w:rPr>
                              <w:t> </w:t>
                            </w:r>
                            <w:r>
                              <w:rPr>
                                <w:color w:val="000000"/>
                              </w:rPr>
                              <w:t>reduced so</w:t>
                            </w:r>
                            <w:r>
                              <w:rPr>
                                <w:color w:val="000000"/>
                                <w:spacing w:val="-4"/>
                              </w:rPr>
                              <w:t> </w:t>
                            </w:r>
                            <w:r>
                              <w:rPr>
                                <w:color w:val="000000"/>
                              </w:rPr>
                              <w:t>far</w:t>
                            </w:r>
                            <w:r>
                              <w:rPr>
                                <w:color w:val="000000"/>
                                <w:spacing w:val="-3"/>
                              </w:rPr>
                              <w:t> </w:t>
                            </w:r>
                            <w:r>
                              <w:rPr>
                                <w:color w:val="000000"/>
                              </w:rPr>
                              <w:t>as is “reasonably practicable” aligning with the definition adopted in the </w:t>
                            </w:r>
                            <w:r>
                              <w:rPr>
                                <w:i/>
                                <w:color w:val="000000"/>
                              </w:rPr>
                              <w:t>Occupational Health and Safety Act 2004</w:t>
                            </w:r>
                            <w:r>
                              <w:rPr>
                                <w:color w:val="000000"/>
                              </w:rPr>
                              <w:t>.</w:t>
                            </w:r>
                          </w:p>
                        </w:txbxContent>
                      </wps:txbx>
                      <wps:bodyPr wrap="square" lIns="0" tIns="0" rIns="0" bIns="0" rtlCol="0">
                        <a:noAutofit/>
                      </wps:bodyPr>
                    </wps:wsp>
                  </a:graphicData>
                </a:graphic>
              </wp:anchor>
            </w:drawing>
          </mc:Choice>
          <mc:Fallback>
            <w:pict>
              <v:shape style="position:absolute;margin-left:56.639999pt;margin-top:14.47999pt;width:462.25pt;height:112pt;mso-position-horizontal-relative:page;mso-position-vertical-relative:paragraph;z-index:-15655424;mso-wrap-distance-left:0;mso-wrap-distance-right:0" type="#_x0000_t202" id="docshape176" filled="true" fillcolor="#d9d9d9" stroked="false">
                <v:textbox inset="0,0,0,0">
                  <w:txbxContent>
                    <w:p>
                      <w:pPr>
                        <w:pStyle w:val="BodyText"/>
                        <w:spacing w:before="9"/>
                        <w:rPr>
                          <w:i/>
                          <w:color w:val="000000"/>
                          <w:sz w:val="20"/>
                        </w:rPr>
                      </w:pPr>
                    </w:p>
                    <w:p>
                      <w:pPr>
                        <w:spacing w:before="1"/>
                        <w:ind w:left="112" w:right="0" w:firstLine="0"/>
                        <w:jc w:val="left"/>
                        <w:rPr>
                          <w:b/>
                          <w:color w:val="000000"/>
                          <w:sz w:val="22"/>
                        </w:rPr>
                      </w:pPr>
                      <w:r>
                        <w:rPr>
                          <w:b/>
                          <w:color w:val="000000"/>
                          <w:sz w:val="22"/>
                        </w:rPr>
                        <w:t>Recommendation</w:t>
                      </w:r>
                      <w:r>
                        <w:rPr>
                          <w:b/>
                          <w:color w:val="000000"/>
                          <w:spacing w:val="-7"/>
                          <w:sz w:val="22"/>
                        </w:rPr>
                        <w:t> </w:t>
                      </w:r>
                      <w:r>
                        <w:rPr>
                          <w:b/>
                          <w:color w:val="000000"/>
                          <w:spacing w:val="-5"/>
                          <w:sz w:val="22"/>
                        </w:rPr>
                        <w:t>35</w:t>
                      </w:r>
                    </w:p>
                    <w:p>
                      <w:pPr>
                        <w:pStyle w:val="BodyText"/>
                        <w:spacing w:before="4"/>
                        <w:rPr>
                          <w:b/>
                          <w:color w:val="000000"/>
                          <w:sz w:val="25"/>
                        </w:rPr>
                      </w:pPr>
                    </w:p>
                    <w:p>
                      <w:pPr>
                        <w:pStyle w:val="BodyText"/>
                        <w:spacing w:line="288" w:lineRule="auto"/>
                        <w:ind w:left="112" w:right="140"/>
                        <w:rPr>
                          <w:color w:val="000000"/>
                        </w:rPr>
                      </w:pPr>
                      <w:r>
                        <w:rPr>
                          <w:color w:val="000000"/>
                        </w:rPr>
                        <w:t>The general safety duties within the new consolidated energy safety legislation should be based</w:t>
                      </w:r>
                      <w:r>
                        <w:rPr>
                          <w:color w:val="000000"/>
                          <w:spacing w:val="-2"/>
                        </w:rPr>
                        <w:t> </w:t>
                      </w:r>
                      <w:r>
                        <w:rPr>
                          <w:color w:val="000000"/>
                        </w:rPr>
                        <w:t>around</w:t>
                      </w:r>
                      <w:r>
                        <w:rPr>
                          <w:color w:val="000000"/>
                          <w:spacing w:val="-5"/>
                        </w:rPr>
                        <w:t> </w:t>
                      </w:r>
                      <w:r>
                        <w:rPr>
                          <w:color w:val="000000"/>
                        </w:rPr>
                        <w:t>a</w:t>
                      </w:r>
                      <w:r>
                        <w:rPr>
                          <w:color w:val="000000"/>
                          <w:spacing w:val="-4"/>
                        </w:rPr>
                        <w:t> </w:t>
                      </w:r>
                      <w:r>
                        <w:rPr>
                          <w:color w:val="000000"/>
                        </w:rPr>
                        <w:t>consistent</w:t>
                      </w:r>
                      <w:r>
                        <w:rPr>
                          <w:color w:val="000000"/>
                          <w:spacing w:val="-1"/>
                        </w:rPr>
                        <w:t> </w:t>
                      </w:r>
                      <w:r>
                        <w:rPr>
                          <w:color w:val="000000"/>
                        </w:rPr>
                        <w:t>application</w:t>
                      </w:r>
                      <w:r>
                        <w:rPr>
                          <w:color w:val="000000"/>
                          <w:spacing w:val="-2"/>
                        </w:rPr>
                        <w:t> </w:t>
                      </w:r>
                      <w:r>
                        <w:rPr>
                          <w:color w:val="000000"/>
                        </w:rPr>
                        <w:t>of</w:t>
                      </w:r>
                      <w:r>
                        <w:rPr>
                          <w:color w:val="000000"/>
                          <w:spacing w:val="-3"/>
                        </w:rPr>
                        <w:t> </w:t>
                      </w:r>
                      <w:r>
                        <w:rPr>
                          <w:color w:val="000000"/>
                        </w:rPr>
                        <w:t>the</w:t>
                      </w:r>
                      <w:r>
                        <w:rPr>
                          <w:color w:val="000000"/>
                          <w:spacing w:val="-2"/>
                        </w:rPr>
                        <w:t> </w:t>
                      </w:r>
                      <w:r>
                        <w:rPr>
                          <w:color w:val="000000"/>
                        </w:rPr>
                        <w:t>principle</w:t>
                      </w:r>
                      <w:r>
                        <w:rPr>
                          <w:color w:val="000000"/>
                          <w:spacing w:val="-2"/>
                        </w:rPr>
                        <w:t> </w:t>
                      </w:r>
                      <w:r>
                        <w:rPr>
                          <w:color w:val="000000"/>
                        </w:rPr>
                        <w:t>that</w:t>
                      </w:r>
                      <w:r>
                        <w:rPr>
                          <w:color w:val="000000"/>
                          <w:spacing w:val="-3"/>
                        </w:rPr>
                        <w:t> </w:t>
                      </w:r>
                      <w:r>
                        <w:rPr>
                          <w:color w:val="000000"/>
                        </w:rPr>
                        <w:t>risks</w:t>
                      </w:r>
                      <w:r>
                        <w:rPr>
                          <w:color w:val="000000"/>
                          <w:spacing w:val="-4"/>
                        </w:rPr>
                        <w:t> </w:t>
                      </w:r>
                      <w:r>
                        <w:rPr>
                          <w:color w:val="000000"/>
                        </w:rPr>
                        <w:t>should</w:t>
                      </w:r>
                      <w:r>
                        <w:rPr>
                          <w:color w:val="000000"/>
                          <w:spacing w:val="-2"/>
                        </w:rPr>
                        <w:t> </w:t>
                      </w:r>
                      <w:r>
                        <w:rPr>
                          <w:color w:val="000000"/>
                        </w:rPr>
                        <w:t>be</w:t>
                      </w:r>
                      <w:r>
                        <w:rPr>
                          <w:color w:val="000000"/>
                          <w:spacing w:val="-4"/>
                        </w:rPr>
                        <w:t> </w:t>
                      </w:r>
                      <w:r>
                        <w:rPr>
                          <w:color w:val="000000"/>
                        </w:rPr>
                        <w:t>reduced so</w:t>
                      </w:r>
                      <w:r>
                        <w:rPr>
                          <w:color w:val="000000"/>
                          <w:spacing w:val="-4"/>
                        </w:rPr>
                        <w:t> </w:t>
                      </w:r>
                      <w:r>
                        <w:rPr>
                          <w:color w:val="000000"/>
                        </w:rPr>
                        <w:t>far</w:t>
                      </w:r>
                      <w:r>
                        <w:rPr>
                          <w:color w:val="000000"/>
                          <w:spacing w:val="-3"/>
                        </w:rPr>
                        <w:t> </w:t>
                      </w:r>
                      <w:r>
                        <w:rPr>
                          <w:color w:val="000000"/>
                        </w:rPr>
                        <w:t>as is “reasonably practicable” aligning with the definition adopted in the </w:t>
                      </w:r>
                      <w:r>
                        <w:rPr>
                          <w:i/>
                          <w:color w:val="000000"/>
                        </w:rPr>
                        <w:t>Occupational Health and Safety Act 2004</w:t>
                      </w:r>
                      <w:r>
                        <w:rPr>
                          <w:color w:val="000000"/>
                        </w:rPr>
                        <w:t>.</w:t>
                      </w:r>
                    </w:p>
                  </w:txbxContent>
                </v:textbox>
                <v:fill type="solid"/>
                <w10:wrap type="topAndBottom"/>
              </v:shape>
            </w:pict>
          </mc:Fallback>
        </mc:AlternateContent>
      </w:r>
    </w:p>
    <w:p>
      <w:pPr>
        <w:pStyle w:val="BodyText"/>
        <w:spacing w:before="1"/>
        <w:rPr>
          <w:i/>
          <w:sz w:val="18"/>
        </w:rPr>
      </w:pPr>
    </w:p>
    <w:p>
      <w:pPr>
        <w:pStyle w:val="BodyText"/>
        <w:spacing w:line="288" w:lineRule="auto" w:before="94"/>
        <w:ind w:left="232" w:right="296"/>
      </w:pPr>
      <w:r>
        <w:rPr/>
        <w:t>In addition, other aspects of the general duties should be reviewed and consolidated in the single new</w:t>
      </w:r>
      <w:r>
        <w:rPr>
          <w:spacing w:val="-5"/>
        </w:rPr>
        <w:t> </w:t>
      </w:r>
      <w:r>
        <w:rPr/>
        <w:t>energy</w:t>
      </w:r>
      <w:r>
        <w:rPr>
          <w:spacing w:val="-4"/>
        </w:rPr>
        <w:t> </w:t>
      </w:r>
      <w:r>
        <w:rPr/>
        <w:t>safety</w:t>
      </w:r>
      <w:r>
        <w:rPr>
          <w:spacing w:val="-2"/>
        </w:rPr>
        <w:t> </w:t>
      </w:r>
      <w:r>
        <w:rPr/>
        <w:t>Act</w:t>
      </w:r>
      <w:r>
        <w:rPr>
          <w:spacing w:val="-3"/>
        </w:rPr>
        <w:t> </w:t>
      </w:r>
      <w:r>
        <w:rPr/>
        <w:t>proposed</w:t>
      </w:r>
      <w:r>
        <w:rPr>
          <w:spacing w:val="-2"/>
        </w:rPr>
        <w:t> </w:t>
      </w:r>
      <w:r>
        <w:rPr/>
        <w:t>by</w:t>
      </w:r>
      <w:r>
        <w:rPr>
          <w:spacing w:val="-4"/>
        </w:rPr>
        <w:t> </w:t>
      </w:r>
      <w:r>
        <w:rPr/>
        <w:t>the</w:t>
      </w:r>
      <w:r>
        <w:rPr>
          <w:spacing w:val="-4"/>
        </w:rPr>
        <w:t> </w:t>
      </w:r>
      <w:r>
        <w:rPr/>
        <w:t>Review, and</w:t>
      </w:r>
      <w:r>
        <w:rPr>
          <w:spacing w:val="-2"/>
        </w:rPr>
        <w:t> </w:t>
      </w:r>
      <w:r>
        <w:rPr/>
        <w:t>the</w:t>
      </w:r>
      <w:r>
        <w:rPr>
          <w:spacing w:val="-4"/>
        </w:rPr>
        <w:t> </w:t>
      </w:r>
      <w:r>
        <w:rPr/>
        <w:t>regulations</w:t>
      </w:r>
      <w:r>
        <w:rPr>
          <w:spacing w:val="-4"/>
        </w:rPr>
        <w:t> </w:t>
      </w:r>
      <w:r>
        <w:rPr/>
        <w:t>amended</w:t>
      </w:r>
      <w:r>
        <w:rPr>
          <w:spacing w:val="-2"/>
        </w:rPr>
        <w:t> </w:t>
      </w:r>
      <w:r>
        <w:rPr/>
        <w:t>to</w:t>
      </w:r>
      <w:r>
        <w:rPr>
          <w:spacing w:val="-4"/>
        </w:rPr>
        <w:t> </w:t>
      </w:r>
      <w:r>
        <w:rPr/>
        <w:t>be</w:t>
      </w:r>
      <w:r>
        <w:rPr>
          <w:spacing w:val="-2"/>
        </w:rPr>
        <w:t> </w:t>
      </w:r>
      <w:r>
        <w:rPr/>
        <w:t>consistent</w:t>
      </w:r>
      <w:r>
        <w:rPr>
          <w:spacing w:val="-3"/>
        </w:rPr>
        <w:t> </w:t>
      </w:r>
      <w:r>
        <w:rPr/>
        <w:t>with</w:t>
      </w:r>
    </w:p>
    <w:p>
      <w:pPr>
        <w:pStyle w:val="BodyText"/>
        <w:rPr>
          <w:sz w:val="20"/>
        </w:rPr>
      </w:pPr>
    </w:p>
    <w:p>
      <w:pPr>
        <w:pStyle w:val="BodyText"/>
        <w:spacing w:before="8"/>
        <w:rPr>
          <w:sz w:val="24"/>
        </w:rPr>
      </w:pPr>
      <w:r>
        <w:rPr/>
        <mc:AlternateContent>
          <mc:Choice Requires="wps">
            <w:drawing>
              <wp:anchor distT="0" distB="0" distL="0" distR="0" allowOverlap="1" layoutInCell="1" locked="0" behindDoc="1" simplePos="0" relativeHeight="487661568">
                <wp:simplePos x="0" y="0"/>
                <wp:positionH relativeFrom="page">
                  <wp:posOffset>701040</wp:posOffset>
                </wp:positionH>
                <wp:positionV relativeFrom="paragraph">
                  <wp:posOffset>195636</wp:posOffset>
                </wp:positionV>
                <wp:extent cx="6158230" cy="1270"/>
                <wp:effectExtent l="0" t="0" r="0" b="0"/>
                <wp:wrapTopAndBottom/>
                <wp:docPr id="208" name="Graphic 208"/>
                <wp:cNvGraphicFramePr>
                  <a:graphicFrameLocks/>
                </wp:cNvGraphicFramePr>
                <a:graphic>
                  <a:graphicData uri="http://schemas.microsoft.com/office/word/2010/wordprocessingShape">
                    <wps:wsp>
                      <wps:cNvPr id="208" name="Graphic 208"/>
                      <wps:cNvSpPr/>
                      <wps:spPr>
                        <a:xfrm>
                          <a:off x="0" y="0"/>
                          <a:ext cx="6158230" cy="1270"/>
                        </a:xfrm>
                        <a:custGeom>
                          <a:avLst/>
                          <a:gdLst/>
                          <a:ahLst/>
                          <a:cxnLst/>
                          <a:rect l="l" t="t" r="r" b="b"/>
                          <a:pathLst>
                            <a:path w="6158230" h="0">
                              <a:moveTo>
                                <a:pt x="0" y="0"/>
                              </a:moveTo>
                              <a:lnTo>
                                <a:pt x="6158230" y="0"/>
                              </a:lnTo>
                            </a:path>
                          </a:pathLst>
                        </a:custGeom>
                        <a:ln w="12192">
                          <a:solidFill>
                            <a:srgbClr val="000000"/>
                          </a:solidFill>
                          <a:prstDash val="sysDot"/>
                        </a:ln>
                      </wps:spPr>
                      <wps:bodyPr wrap="square" lIns="0" tIns="0" rIns="0" bIns="0" rtlCol="0">
                        <a:prstTxWarp prst="textNoShape">
                          <a:avLst/>
                        </a:prstTxWarp>
                        <a:noAutofit/>
                      </wps:bodyPr>
                    </wps:wsp>
                  </a:graphicData>
                </a:graphic>
              </wp:anchor>
            </w:drawing>
          </mc:Choice>
          <mc:Fallback>
            <w:pict>
              <v:shape style="position:absolute;margin-left:55.200001pt;margin-top:15.404433pt;width:484.9pt;height:.1pt;mso-position-horizontal-relative:page;mso-position-vertical-relative:paragraph;z-index:-15654912;mso-wrap-distance-left:0;mso-wrap-distance-right:0" id="docshape177" coordorigin="1104,308" coordsize="9698,0" path="m1104,308l10802,308e" filled="false" stroked="true" strokeweight=".96pt" strokecolor="#000000">
                <v:path arrowok="t"/>
                <v:stroke dashstyle="shortdot"/>
                <w10:wrap type="topAndBottom"/>
              </v:shape>
            </w:pict>
          </mc:Fallback>
        </mc:AlternateContent>
      </w:r>
    </w:p>
    <w:p>
      <w:pPr>
        <w:pStyle w:val="BodyText"/>
        <w:spacing w:before="6"/>
      </w:pPr>
    </w:p>
    <w:p>
      <w:pPr>
        <w:spacing w:before="96"/>
        <w:ind w:left="232" w:right="0" w:firstLine="0"/>
        <w:jc w:val="left"/>
        <w:rPr>
          <w:sz w:val="16"/>
        </w:rPr>
      </w:pPr>
      <w:r>
        <w:rPr>
          <w:position w:val="6"/>
          <w:sz w:val="12"/>
        </w:rPr>
        <w:t>17</w:t>
      </w:r>
      <w:r>
        <w:rPr>
          <w:spacing w:val="13"/>
          <w:position w:val="6"/>
          <w:sz w:val="12"/>
        </w:rPr>
        <w:t> </w:t>
      </w:r>
      <w:r>
        <w:rPr>
          <w:sz w:val="16"/>
        </w:rPr>
        <w:t>For</w:t>
      </w:r>
      <w:r>
        <w:rPr>
          <w:spacing w:val="-3"/>
          <w:sz w:val="16"/>
        </w:rPr>
        <w:t> </w:t>
      </w:r>
      <w:r>
        <w:rPr>
          <w:sz w:val="16"/>
        </w:rPr>
        <w:t>example,</w:t>
      </w:r>
      <w:r>
        <w:rPr>
          <w:spacing w:val="-11"/>
          <w:sz w:val="16"/>
        </w:rPr>
        <w:t> </w:t>
      </w:r>
      <w:r>
        <w:rPr>
          <w:sz w:val="16"/>
        </w:rPr>
        <w:t>AS</w:t>
      </w:r>
      <w:r>
        <w:rPr>
          <w:spacing w:val="-2"/>
          <w:sz w:val="16"/>
        </w:rPr>
        <w:t> </w:t>
      </w:r>
      <w:r>
        <w:rPr>
          <w:sz w:val="16"/>
        </w:rPr>
        <w:t>2885.1</w:t>
      </w:r>
      <w:r>
        <w:rPr>
          <w:spacing w:val="-2"/>
          <w:sz w:val="16"/>
        </w:rPr>
        <w:t> </w:t>
      </w:r>
      <w:r>
        <w:rPr>
          <w:sz w:val="16"/>
        </w:rPr>
        <w:t>p.</w:t>
      </w:r>
      <w:r>
        <w:rPr>
          <w:spacing w:val="-1"/>
          <w:sz w:val="16"/>
        </w:rPr>
        <w:t> </w:t>
      </w:r>
      <w:r>
        <w:rPr>
          <w:sz w:val="16"/>
        </w:rPr>
        <w:t>25</w:t>
      </w:r>
      <w:r>
        <w:rPr>
          <w:spacing w:val="-4"/>
          <w:sz w:val="16"/>
        </w:rPr>
        <w:t> </w:t>
      </w:r>
      <w:r>
        <w:rPr>
          <w:sz w:val="16"/>
        </w:rPr>
        <w:t>and</w:t>
      </w:r>
      <w:r>
        <w:rPr>
          <w:spacing w:val="-12"/>
          <w:sz w:val="16"/>
        </w:rPr>
        <w:t> </w:t>
      </w:r>
      <w:r>
        <w:rPr>
          <w:sz w:val="16"/>
        </w:rPr>
        <w:t>AS 5577</w:t>
      </w:r>
      <w:r>
        <w:rPr>
          <w:spacing w:val="-2"/>
          <w:sz w:val="16"/>
        </w:rPr>
        <w:t> </w:t>
      </w:r>
      <w:r>
        <w:rPr>
          <w:sz w:val="16"/>
        </w:rPr>
        <w:t>p.</w:t>
      </w:r>
      <w:r>
        <w:rPr>
          <w:spacing w:val="-3"/>
          <w:sz w:val="16"/>
        </w:rPr>
        <w:t> </w:t>
      </w:r>
      <w:r>
        <w:rPr>
          <w:sz w:val="16"/>
        </w:rPr>
        <w:t>6</w:t>
      </w:r>
      <w:r>
        <w:rPr>
          <w:spacing w:val="-4"/>
          <w:sz w:val="16"/>
        </w:rPr>
        <w:t> &amp;18.</w:t>
      </w:r>
    </w:p>
    <w:p>
      <w:pPr>
        <w:spacing w:after="0"/>
        <w:jc w:val="left"/>
        <w:rPr>
          <w:sz w:val="16"/>
        </w:rPr>
        <w:sectPr>
          <w:pgSz w:w="11910" w:h="16850"/>
          <w:pgMar w:header="220" w:footer="678" w:top="420" w:bottom="860" w:left="900" w:right="840"/>
        </w:sectPr>
      </w:pPr>
    </w:p>
    <w:p>
      <w:pPr>
        <w:pStyle w:val="BodyText"/>
        <w:rPr>
          <w:sz w:val="20"/>
        </w:rPr>
      </w:pPr>
    </w:p>
    <w:p>
      <w:pPr>
        <w:pStyle w:val="BodyText"/>
        <w:spacing w:before="2"/>
        <w:rPr>
          <w:sz w:val="19"/>
        </w:rPr>
      </w:pPr>
    </w:p>
    <w:p>
      <w:pPr>
        <w:pStyle w:val="BodyText"/>
        <w:spacing w:line="288" w:lineRule="auto" w:before="94"/>
        <w:ind w:left="232" w:right="374"/>
      </w:pPr>
      <w:r>
        <w:rPr/>
        <w:t>the</w:t>
      </w:r>
      <w:r>
        <w:rPr>
          <w:spacing w:val="-3"/>
        </w:rPr>
        <w:t> </w:t>
      </w:r>
      <w:r>
        <w:rPr/>
        <w:t>language</w:t>
      </w:r>
      <w:r>
        <w:rPr>
          <w:spacing w:val="-3"/>
        </w:rPr>
        <w:t> </w:t>
      </w:r>
      <w:r>
        <w:rPr/>
        <w:t>in</w:t>
      </w:r>
      <w:r>
        <w:rPr>
          <w:spacing w:val="-5"/>
        </w:rPr>
        <w:t> </w:t>
      </w:r>
      <w:r>
        <w:rPr/>
        <w:t>that</w:t>
      </w:r>
      <w:r>
        <w:rPr>
          <w:spacing w:val="-1"/>
        </w:rPr>
        <w:t> </w:t>
      </w:r>
      <w:r>
        <w:rPr/>
        <w:t>Act.</w:t>
      </w:r>
      <w:r>
        <w:rPr>
          <w:spacing w:val="-6"/>
        </w:rPr>
        <w:t> </w:t>
      </w:r>
      <w:r>
        <w:rPr/>
        <w:t>Relevant</w:t>
      </w:r>
      <w:r>
        <w:rPr>
          <w:spacing w:val="-1"/>
        </w:rPr>
        <w:t> </w:t>
      </w:r>
      <w:r>
        <w:rPr/>
        <w:t>matters</w:t>
      </w:r>
      <w:r>
        <w:rPr>
          <w:spacing w:val="-5"/>
        </w:rPr>
        <w:t> </w:t>
      </w:r>
      <w:r>
        <w:rPr/>
        <w:t>that</w:t>
      </w:r>
      <w:r>
        <w:rPr>
          <w:spacing w:val="-1"/>
        </w:rPr>
        <w:t> </w:t>
      </w:r>
      <w:r>
        <w:rPr/>
        <w:t>should</w:t>
      </w:r>
      <w:r>
        <w:rPr>
          <w:spacing w:val="-3"/>
        </w:rPr>
        <w:t> </w:t>
      </w:r>
      <w:r>
        <w:rPr/>
        <w:t>be</w:t>
      </w:r>
      <w:r>
        <w:rPr>
          <w:spacing w:val="-3"/>
        </w:rPr>
        <w:t> </w:t>
      </w:r>
      <w:r>
        <w:rPr/>
        <w:t>addressed</w:t>
      </w:r>
      <w:r>
        <w:rPr>
          <w:spacing w:val="-3"/>
        </w:rPr>
        <w:t> </w:t>
      </w:r>
      <w:r>
        <w:rPr/>
        <w:t>in</w:t>
      </w:r>
      <w:r>
        <w:rPr>
          <w:spacing w:val="-3"/>
        </w:rPr>
        <w:t> </w:t>
      </w:r>
      <w:r>
        <w:rPr/>
        <w:t>drafting</w:t>
      </w:r>
      <w:r>
        <w:rPr>
          <w:spacing w:val="-3"/>
        </w:rPr>
        <w:t> </w:t>
      </w:r>
      <w:r>
        <w:rPr/>
        <w:t>this</w:t>
      </w:r>
      <w:r>
        <w:rPr>
          <w:spacing w:val="-2"/>
        </w:rPr>
        <w:t> </w:t>
      </w:r>
      <w:r>
        <w:rPr/>
        <w:t>legislation should include:</w:t>
      </w:r>
    </w:p>
    <w:p>
      <w:pPr>
        <w:pStyle w:val="BodyText"/>
        <w:spacing w:before="4"/>
      </w:pPr>
    </w:p>
    <w:p>
      <w:pPr>
        <w:pStyle w:val="ListParagraph"/>
        <w:numPr>
          <w:ilvl w:val="0"/>
          <w:numId w:val="82"/>
        </w:numPr>
        <w:tabs>
          <w:tab w:pos="734" w:val="left" w:leader="none"/>
        </w:tabs>
        <w:spacing w:line="288" w:lineRule="auto" w:before="0" w:after="0"/>
        <w:ind w:left="734" w:right="316" w:hanging="361"/>
        <w:jc w:val="left"/>
        <w:rPr>
          <w:sz w:val="22"/>
        </w:rPr>
      </w:pPr>
      <w:r>
        <w:rPr>
          <w:b/>
          <w:sz w:val="22"/>
        </w:rPr>
        <w:t>Removing</w:t>
      </w:r>
      <w:r>
        <w:rPr>
          <w:b/>
          <w:spacing w:val="-3"/>
          <w:sz w:val="22"/>
        </w:rPr>
        <w:t> </w:t>
      </w:r>
      <w:r>
        <w:rPr>
          <w:b/>
          <w:sz w:val="22"/>
        </w:rPr>
        <w:t>unnecessary</w:t>
      </w:r>
      <w:r>
        <w:rPr>
          <w:b/>
          <w:spacing w:val="-6"/>
          <w:sz w:val="22"/>
        </w:rPr>
        <w:t> </w:t>
      </w:r>
      <w:r>
        <w:rPr>
          <w:b/>
          <w:sz w:val="22"/>
        </w:rPr>
        <w:t>differences</w:t>
      </w:r>
      <w:r>
        <w:rPr>
          <w:b/>
          <w:spacing w:val="-3"/>
          <w:sz w:val="22"/>
        </w:rPr>
        <w:t> </w:t>
      </w:r>
      <w:r>
        <w:rPr>
          <w:b/>
          <w:sz w:val="22"/>
        </w:rPr>
        <w:t>across</w:t>
      </w:r>
      <w:r>
        <w:rPr>
          <w:b/>
          <w:spacing w:val="-5"/>
          <w:sz w:val="22"/>
        </w:rPr>
        <w:t> </w:t>
      </w:r>
      <w:r>
        <w:rPr>
          <w:b/>
          <w:sz w:val="22"/>
        </w:rPr>
        <w:t>electricity</w:t>
      </w:r>
      <w:r>
        <w:rPr>
          <w:b/>
          <w:spacing w:val="-6"/>
          <w:sz w:val="22"/>
        </w:rPr>
        <w:t> </w:t>
      </w:r>
      <w:r>
        <w:rPr>
          <w:b/>
          <w:sz w:val="22"/>
        </w:rPr>
        <w:t>and</w:t>
      </w:r>
      <w:r>
        <w:rPr>
          <w:b/>
          <w:spacing w:val="-3"/>
          <w:sz w:val="22"/>
        </w:rPr>
        <w:t> </w:t>
      </w:r>
      <w:r>
        <w:rPr>
          <w:b/>
          <w:sz w:val="22"/>
        </w:rPr>
        <w:t>gas</w:t>
      </w:r>
      <w:r>
        <w:rPr>
          <w:b/>
          <w:spacing w:val="-3"/>
          <w:sz w:val="22"/>
        </w:rPr>
        <w:t> </w:t>
      </w:r>
      <w:r>
        <w:rPr>
          <w:b/>
          <w:sz w:val="22"/>
        </w:rPr>
        <w:t>sectors.</w:t>
      </w:r>
      <w:r>
        <w:rPr>
          <w:b/>
          <w:spacing w:val="-1"/>
          <w:sz w:val="22"/>
        </w:rPr>
        <w:t> </w:t>
      </w:r>
      <w:r>
        <w:rPr>
          <w:sz w:val="22"/>
        </w:rPr>
        <w:t>The</w:t>
      </w:r>
      <w:r>
        <w:rPr>
          <w:spacing w:val="-4"/>
          <w:sz w:val="22"/>
        </w:rPr>
        <w:t> </w:t>
      </w:r>
      <w:r>
        <w:rPr>
          <w:sz w:val="22"/>
        </w:rPr>
        <w:t>details</w:t>
      </w:r>
      <w:r>
        <w:rPr>
          <w:spacing w:val="-2"/>
          <w:sz w:val="22"/>
        </w:rPr>
        <w:t> </w:t>
      </w:r>
      <w:r>
        <w:rPr>
          <w:sz w:val="22"/>
        </w:rPr>
        <w:t>of</w:t>
      </w:r>
      <w:r>
        <w:rPr>
          <w:spacing w:val="-1"/>
          <w:sz w:val="22"/>
        </w:rPr>
        <w:t> </w:t>
      </w:r>
      <w:r>
        <w:rPr>
          <w:sz w:val="22"/>
        </w:rPr>
        <w:t>the duties to ensure safety are different under each Act. This includes the activities the duties apply to, whether the duties extend to the protection of property, and whether they refer to</w:t>
      </w:r>
      <w:r>
        <w:rPr>
          <w:spacing w:val="40"/>
          <w:sz w:val="22"/>
        </w:rPr>
        <w:t> </w:t>
      </w:r>
      <w:r>
        <w:rPr>
          <w:sz w:val="22"/>
        </w:rPr>
        <w:t>any specific causes of risk. Any differences that are not justified based on sector differences should be removed so that the provisions are better aligned.</w:t>
      </w:r>
    </w:p>
    <w:p>
      <w:pPr>
        <w:pStyle w:val="BodyText"/>
        <w:spacing w:before="1"/>
      </w:pPr>
    </w:p>
    <w:p>
      <w:pPr>
        <w:pStyle w:val="ListParagraph"/>
        <w:numPr>
          <w:ilvl w:val="0"/>
          <w:numId w:val="82"/>
        </w:numPr>
        <w:tabs>
          <w:tab w:pos="734" w:val="left" w:leader="none"/>
        </w:tabs>
        <w:spacing w:line="288" w:lineRule="auto" w:before="0" w:after="0"/>
        <w:ind w:left="734" w:right="326" w:hanging="361"/>
        <w:jc w:val="left"/>
        <w:rPr>
          <w:sz w:val="22"/>
        </w:rPr>
      </w:pPr>
      <w:r>
        <w:rPr>
          <w:b/>
          <w:sz w:val="22"/>
        </w:rPr>
        <w:t>Ensuring sufficient specificity in safety duties. </w:t>
      </w:r>
      <w:r>
        <w:rPr>
          <w:sz w:val="22"/>
        </w:rPr>
        <w:t>The details of the duties in the current electricity and gas safety Acts are also different to other relevant legislation, such as the </w:t>
      </w:r>
      <w:r>
        <w:rPr>
          <w:i/>
          <w:sz w:val="22"/>
        </w:rPr>
        <w:t>Occupational</w:t>
      </w:r>
      <w:r>
        <w:rPr>
          <w:i/>
          <w:spacing w:val="-4"/>
          <w:sz w:val="22"/>
        </w:rPr>
        <w:t> </w:t>
      </w:r>
      <w:r>
        <w:rPr>
          <w:i/>
          <w:sz w:val="22"/>
        </w:rPr>
        <w:t>Health</w:t>
      </w:r>
      <w:r>
        <w:rPr>
          <w:i/>
          <w:spacing w:val="-3"/>
          <w:sz w:val="22"/>
        </w:rPr>
        <w:t> </w:t>
      </w:r>
      <w:r>
        <w:rPr>
          <w:i/>
          <w:sz w:val="22"/>
        </w:rPr>
        <w:t>and</w:t>
      </w:r>
      <w:r>
        <w:rPr>
          <w:i/>
          <w:spacing w:val="-4"/>
          <w:sz w:val="22"/>
        </w:rPr>
        <w:t> </w:t>
      </w:r>
      <w:r>
        <w:rPr>
          <w:i/>
          <w:sz w:val="22"/>
        </w:rPr>
        <w:t>Safety</w:t>
      </w:r>
      <w:r>
        <w:rPr>
          <w:i/>
          <w:spacing w:val="-2"/>
          <w:sz w:val="22"/>
        </w:rPr>
        <w:t> </w:t>
      </w:r>
      <w:r>
        <w:rPr>
          <w:i/>
          <w:sz w:val="22"/>
        </w:rPr>
        <w:t>Act</w:t>
      </w:r>
      <w:r>
        <w:rPr>
          <w:i/>
          <w:spacing w:val="-1"/>
          <w:sz w:val="22"/>
        </w:rPr>
        <w:t> </w:t>
      </w:r>
      <w:r>
        <w:rPr>
          <w:i/>
          <w:sz w:val="22"/>
        </w:rPr>
        <w:t>2004</w:t>
      </w:r>
      <w:r>
        <w:rPr>
          <w:i/>
          <w:spacing w:val="-4"/>
          <w:sz w:val="22"/>
        </w:rPr>
        <w:t> </w:t>
      </w:r>
      <w:r>
        <w:rPr>
          <w:sz w:val="22"/>
        </w:rPr>
        <w:t>(Vic),</w:t>
      </w:r>
      <w:r>
        <w:rPr>
          <w:spacing w:val="-4"/>
          <w:sz w:val="22"/>
        </w:rPr>
        <w:t> </w:t>
      </w:r>
      <w:r>
        <w:rPr>
          <w:sz w:val="22"/>
        </w:rPr>
        <w:t>the</w:t>
      </w:r>
      <w:r>
        <w:rPr>
          <w:spacing w:val="-2"/>
          <w:sz w:val="22"/>
        </w:rPr>
        <w:t> </w:t>
      </w:r>
      <w:r>
        <w:rPr>
          <w:i/>
          <w:sz w:val="22"/>
        </w:rPr>
        <w:t>Offshore</w:t>
      </w:r>
      <w:r>
        <w:rPr>
          <w:i/>
          <w:spacing w:val="-4"/>
          <w:sz w:val="22"/>
        </w:rPr>
        <w:t> </w:t>
      </w:r>
      <w:r>
        <w:rPr>
          <w:i/>
          <w:sz w:val="22"/>
        </w:rPr>
        <w:t>Petroleum</w:t>
      </w:r>
      <w:r>
        <w:rPr>
          <w:i/>
          <w:spacing w:val="-2"/>
          <w:sz w:val="22"/>
        </w:rPr>
        <w:t> </w:t>
      </w:r>
      <w:r>
        <w:rPr>
          <w:i/>
          <w:sz w:val="22"/>
        </w:rPr>
        <w:t>and</w:t>
      </w:r>
      <w:r>
        <w:rPr>
          <w:i/>
          <w:spacing w:val="-3"/>
          <w:sz w:val="22"/>
        </w:rPr>
        <w:t> </w:t>
      </w:r>
      <w:r>
        <w:rPr>
          <w:i/>
          <w:sz w:val="22"/>
        </w:rPr>
        <w:t>Greenhouse</w:t>
      </w:r>
      <w:r>
        <w:rPr>
          <w:i/>
          <w:spacing w:val="-4"/>
          <w:sz w:val="22"/>
        </w:rPr>
        <w:t> </w:t>
      </w:r>
      <w:r>
        <w:rPr>
          <w:i/>
          <w:sz w:val="22"/>
        </w:rPr>
        <w:t>Gas Storage Act 2006 </w:t>
      </w:r>
      <w:r>
        <w:rPr>
          <w:sz w:val="22"/>
        </w:rPr>
        <w:t>(Cth), </w:t>
      </w:r>
      <w:r>
        <w:rPr>
          <w:i/>
          <w:sz w:val="22"/>
        </w:rPr>
        <w:t>Rail Safety National Law </w:t>
      </w:r>
      <w:r>
        <w:rPr>
          <w:sz w:val="22"/>
        </w:rPr>
        <w:t>and the </w:t>
      </w:r>
      <w:r>
        <w:rPr>
          <w:i/>
          <w:sz w:val="22"/>
        </w:rPr>
        <w:t>Electrical Safety Act 2002 </w:t>
      </w:r>
      <w:r>
        <w:rPr>
          <w:sz w:val="22"/>
        </w:rPr>
        <w:t>(Qld).</w:t>
      </w:r>
    </w:p>
    <w:p>
      <w:pPr>
        <w:pStyle w:val="BodyText"/>
        <w:spacing w:before="7"/>
        <w:rPr>
          <w:sz w:val="20"/>
        </w:rPr>
      </w:pPr>
    </w:p>
    <w:p>
      <w:pPr>
        <w:pStyle w:val="ListParagraph"/>
        <w:numPr>
          <w:ilvl w:val="1"/>
          <w:numId w:val="82"/>
        </w:numPr>
        <w:tabs>
          <w:tab w:pos="941" w:val="left" w:leader="none"/>
        </w:tabs>
        <w:spacing w:line="285" w:lineRule="auto" w:before="0" w:after="0"/>
        <w:ind w:left="941" w:right="291" w:hanging="360"/>
        <w:jc w:val="left"/>
        <w:rPr>
          <w:sz w:val="22"/>
        </w:rPr>
      </w:pPr>
      <w:r>
        <w:rPr>
          <w:sz w:val="22"/>
        </w:rPr>
        <w:t>In practice, providing a sufficient degree of specificity is important for effective regulation. For example, the National Offshore Petroleum Safety and Environmental Management Authority</w:t>
      </w:r>
      <w:r>
        <w:rPr>
          <w:spacing w:val="-3"/>
          <w:sz w:val="22"/>
        </w:rPr>
        <w:t> </w:t>
      </w:r>
      <w:r>
        <w:rPr>
          <w:sz w:val="22"/>
        </w:rPr>
        <w:t>(NOPSEMA) (2017) has</w:t>
      </w:r>
      <w:r>
        <w:rPr>
          <w:spacing w:val="-3"/>
          <w:sz w:val="22"/>
        </w:rPr>
        <w:t> </w:t>
      </w:r>
      <w:r>
        <w:rPr>
          <w:sz w:val="22"/>
        </w:rPr>
        <w:t>relied</w:t>
      </w:r>
      <w:r>
        <w:rPr>
          <w:spacing w:val="-1"/>
          <w:sz w:val="22"/>
        </w:rPr>
        <w:t> </w:t>
      </w:r>
      <w:r>
        <w:rPr>
          <w:sz w:val="22"/>
        </w:rPr>
        <w:t>upon</w:t>
      </w:r>
      <w:r>
        <w:rPr>
          <w:spacing w:val="-3"/>
          <w:sz w:val="22"/>
        </w:rPr>
        <w:t> </w:t>
      </w:r>
      <w:r>
        <w:rPr>
          <w:sz w:val="22"/>
        </w:rPr>
        <w:t>specific</w:t>
      </w:r>
      <w:r>
        <w:rPr>
          <w:spacing w:val="-3"/>
          <w:sz w:val="22"/>
        </w:rPr>
        <w:t> </w:t>
      </w:r>
      <w:r>
        <w:rPr>
          <w:sz w:val="22"/>
        </w:rPr>
        <w:t>duties</w:t>
      </w:r>
      <w:r>
        <w:rPr>
          <w:spacing w:val="-3"/>
          <w:sz w:val="22"/>
        </w:rPr>
        <w:t> </w:t>
      </w:r>
      <w:r>
        <w:rPr>
          <w:sz w:val="22"/>
        </w:rPr>
        <w:t>such</w:t>
      </w:r>
      <w:r>
        <w:rPr>
          <w:spacing w:val="-1"/>
          <w:sz w:val="22"/>
        </w:rPr>
        <w:t> </w:t>
      </w:r>
      <w:r>
        <w:rPr>
          <w:sz w:val="22"/>
        </w:rPr>
        <w:t>as</w:t>
      </w:r>
      <w:r>
        <w:rPr>
          <w:spacing w:val="-3"/>
          <w:sz w:val="22"/>
        </w:rPr>
        <w:t> </w:t>
      </w:r>
      <w:r>
        <w:rPr>
          <w:sz w:val="22"/>
        </w:rPr>
        <w:t>“</w:t>
      </w:r>
      <w:r>
        <w:rPr>
          <w:i/>
          <w:sz w:val="22"/>
        </w:rPr>
        <w:t>to</w:t>
      </w:r>
      <w:r>
        <w:rPr>
          <w:i/>
          <w:spacing w:val="-3"/>
          <w:sz w:val="22"/>
        </w:rPr>
        <w:t> </w:t>
      </w:r>
      <w:r>
        <w:rPr>
          <w:i/>
          <w:sz w:val="22"/>
        </w:rPr>
        <w:t>take</w:t>
      </w:r>
      <w:r>
        <w:rPr>
          <w:i/>
          <w:spacing w:val="-1"/>
          <w:sz w:val="22"/>
        </w:rPr>
        <w:t> </w:t>
      </w:r>
      <w:r>
        <w:rPr>
          <w:i/>
          <w:sz w:val="22"/>
        </w:rPr>
        <w:t>all</w:t>
      </w:r>
      <w:r>
        <w:rPr>
          <w:i/>
          <w:spacing w:val="-1"/>
          <w:sz w:val="22"/>
        </w:rPr>
        <w:t> </w:t>
      </w:r>
      <w:r>
        <w:rPr>
          <w:i/>
          <w:sz w:val="22"/>
        </w:rPr>
        <w:t>reasonably practicable steps to ensure that any plant, equipment, materials and substances at the facility are safe and without risk to health</w:t>
      </w:r>
      <w:r>
        <w:rPr>
          <w:sz w:val="22"/>
        </w:rPr>
        <w:t>” and “</w:t>
      </w:r>
      <w:r>
        <w:rPr>
          <w:i/>
          <w:sz w:val="22"/>
        </w:rPr>
        <w:t>to take all reasonably practicable steps to implement and maintain systems of work at the facility that are safe and without risk to health</w:t>
      </w:r>
      <w:r>
        <w:rPr>
          <w:sz w:val="22"/>
        </w:rPr>
        <w:t>”, more so than the more general safety duties under its Act or the requirement to comply</w:t>
      </w:r>
      <w:r>
        <w:rPr>
          <w:spacing w:val="-4"/>
          <w:sz w:val="22"/>
        </w:rPr>
        <w:t> </w:t>
      </w:r>
      <w:r>
        <w:rPr>
          <w:sz w:val="22"/>
        </w:rPr>
        <w:t>with</w:t>
      </w:r>
      <w:r>
        <w:rPr>
          <w:spacing w:val="-2"/>
          <w:sz w:val="22"/>
        </w:rPr>
        <w:t> </w:t>
      </w:r>
      <w:r>
        <w:rPr>
          <w:sz w:val="22"/>
        </w:rPr>
        <w:t>a</w:t>
      </w:r>
      <w:r>
        <w:rPr>
          <w:spacing w:val="-1"/>
          <w:sz w:val="22"/>
        </w:rPr>
        <w:t> </w:t>
      </w:r>
      <w:r>
        <w:rPr>
          <w:sz w:val="22"/>
        </w:rPr>
        <w:t>safety</w:t>
      </w:r>
      <w:r>
        <w:rPr>
          <w:spacing w:val="-3"/>
          <w:sz w:val="22"/>
        </w:rPr>
        <w:t> </w:t>
      </w:r>
      <w:r>
        <w:rPr>
          <w:sz w:val="22"/>
        </w:rPr>
        <w:t>case.</w:t>
      </w:r>
      <w:r>
        <w:rPr>
          <w:spacing w:val="-1"/>
          <w:sz w:val="22"/>
        </w:rPr>
        <w:t> </w:t>
      </w:r>
      <w:r>
        <w:rPr>
          <w:sz w:val="22"/>
        </w:rPr>
        <w:t>The</w:t>
      </w:r>
      <w:r>
        <w:rPr>
          <w:spacing w:val="-4"/>
          <w:sz w:val="22"/>
        </w:rPr>
        <w:t> </w:t>
      </w:r>
      <w:r>
        <w:rPr>
          <w:i/>
          <w:sz w:val="22"/>
        </w:rPr>
        <w:t>Occupational</w:t>
      </w:r>
      <w:r>
        <w:rPr>
          <w:i/>
          <w:spacing w:val="-2"/>
          <w:sz w:val="22"/>
        </w:rPr>
        <w:t> </w:t>
      </w:r>
      <w:r>
        <w:rPr>
          <w:i/>
          <w:sz w:val="22"/>
        </w:rPr>
        <w:t>Health</w:t>
      </w:r>
      <w:r>
        <w:rPr>
          <w:i/>
          <w:spacing w:val="-1"/>
          <w:sz w:val="22"/>
        </w:rPr>
        <w:t> </w:t>
      </w:r>
      <w:r>
        <w:rPr>
          <w:i/>
          <w:sz w:val="22"/>
        </w:rPr>
        <w:t>and</w:t>
      </w:r>
      <w:r>
        <w:rPr>
          <w:i/>
          <w:spacing w:val="-2"/>
          <w:sz w:val="22"/>
        </w:rPr>
        <w:t> </w:t>
      </w:r>
      <w:r>
        <w:rPr>
          <w:i/>
          <w:sz w:val="22"/>
        </w:rPr>
        <w:t>Safety</w:t>
      </w:r>
      <w:r>
        <w:rPr>
          <w:i/>
          <w:spacing w:val="-3"/>
          <w:sz w:val="22"/>
        </w:rPr>
        <w:t> </w:t>
      </w:r>
      <w:r>
        <w:rPr>
          <w:i/>
          <w:sz w:val="22"/>
        </w:rPr>
        <w:t>Act</w:t>
      </w:r>
      <w:r>
        <w:rPr>
          <w:i/>
          <w:spacing w:val="-3"/>
          <w:sz w:val="22"/>
        </w:rPr>
        <w:t> </w:t>
      </w:r>
      <w:r>
        <w:rPr>
          <w:i/>
          <w:sz w:val="22"/>
        </w:rPr>
        <w:t>2004</w:t>
      </w:r>
      <w:r>
        <w:rPr>
          <w:i/>
          <w:spacing w:val="-4"/>
          <w:sz w:val="22"/>
        </w:rPr>
        <w:t> </w:t>
      </w:r>
      <w:r>
        <w:rPr>
          <w:sz w:val="22"/>
        </w:rPr>
        <w:t>(Vic), and</w:t>
      </w:r>
      <w:r>
        <w:rPr>
          <w:spacing w:val="-4"/>
          <w:sz w:val="22"/>
        </w:rPr>
        <w:t> </w:t>
      </w:r>
      <w:r>
        <w:rPr>
          <w:sz w:val="22"/>
        </w:rPr>
        <w:t>recently remade </w:t>
      </w:r>
      <w:r>
        <w:rPr>
          <w:i/>
          <w:sz w:val="22"/>
        </w:rPr>
        <w:t>Occupational Health and Safety Regulations 2017 </w:t>
      </w:r>
      <w:r>
        <w:rPr>
          <w:sz w:val="22"/>
        </w:rPr>
        <w:t>(Vic) which have specific duties in relation to Major Hazard Facilities, could also be used to inform revised duties for energy network safety.</w:t>
      </w:r>
    </w:p>
    <w:p>
      <w:pPr>
        <w:pStyle w:val="BodyText"/>
        <w:spacing w:before="3"/>
        <w:rPr>
          <w:sz w:val="23"/>
        </w:rPr>
      </w:pPr>
    </w:p>
    <w:p>
      <w:pPr>
        <w:pStyle w:val="ListParagraph"/>
        <w:numPr>
          <w:ilvl w:val="0"/>
          <w:numId w:val="82"/>
        </w:numPr>
        <w:tabs>
          <w:tab w:pos="734" w:val="left" w:leader="none"/>
        </w:tabs>
        <w:spacing w:line="285" w:lineRule="auto" w:before="0" w:after="0"/>
        <w:ind w:left="734" w:right="909" w:hanging="361"/>
        <w:jc w:val="left"/>
        <w:rPr>
          <w:sz w:val="22"/>
        </w:rPr>
      </w:pPr>
      <w:r>
        <w:rPr>
          <w:b/>
          <w:sz w:val="22"/>
        </w:rPr>
        <w:t>Ensuring</w:t>
      </w:r>
      <w:r>
        <w:rPr>
          <w:b/>
          <w:spacing w:val="-7"/>
          <w:sz w:val="22"/>
        </w:rPr>
        <w:t> </w:t>
      </w:r>
      <w:r>
        <w:rPr>
          <w:b/>
          <w:sz w:val="22"/>
        </w:rPr>
        <w:t>incentive-compatible</w:t>
      </w:r>
      <w:r>
        <w:rPr>
          <w:b/>
          <w:spacing w:val="-6"/>
          <w:sz w:val="22"/>
        </w:rPr>
        <w:t> </w:t>
      </w:r>
      <w:r>
        <w:rPr>
          <w:b/>
          <w:sz w:val="22"/>
        </w:rPr>
        <w:t>legislation.</w:t>
      </w:r>
      <w:r>
        <w:rPr>
          <w:b/>
          <w:spacing w:val="-4"/>
          <w:sz w:val="22"/>
        </w:rPr>
        <w:t> </w:t>
      </w:r>
      <w:r>
        <w:rPr>
          <w:sz w:val="22"/>
        </w:rPr>
        <w:t>Other</w:t>
      </w:r>
      <w:r>
        <w:rPr>
          <w:spacing w:val="-4"/>
          <w:sz w:val="22"/>
        </w:rPr>
        <w:t> </w:t>
      </w:r>
      <w:r>
        <w:rPr>
          <w:sz w:val="22"/>
        </w:rPr>
        <w:t>safety</w:t>
      </w:r>
      <w:r>
        <w:rPr>
          <w:spacing w:val="-6"/>
          <w:sz w:val="22"/>
        </w:rPr>
        <w:t> </w:t>
      </w:r>
      <w:r>
        <w:rPr>
          <w:sz w:val="22"/>
        </w:rPr>
        <w:t>legislation</w:t>
      </w:r>
      <w:r>
        <w:rPr>
          <w:spacing w:val="-5"/>
          <w:sz w:val="22"/>
        </w:rPr>
        <w:t> </w:t>
      </w:r>
      <w:r>
        <w:rPr>
          <w:sz w:val="22"/>
        </w:rPr>
        <w:t>applying</w:t>
      </w:r>
      <w:r>
        <w:rPr>
          <w:spacing w:val="-3"/>
          <w:sz w:val="22"/>
        </w:rPr>
        <w:t> </w:t>
      </w:r>
      <w:r>
        <w:rPr>
          <w:sz w:val="22"/>
        </w:rPr>
        <w:t>in</w:t>
      </w:r>
      <w:r>
        <w:rPr>
          <w:spacing w:val="-5"/>
          <w:sz w:val="22"/>
        </w:rPr>
        <w:t> </w:t>
      </w:r>
      <w:r>
        <w:rPr>
          <w:sz w:val="22"/>
        </w:rPr>
        <w:t>similar sectors does not provide for compliance with a safety case as a defence.</w:t>
      </w:r>
    </w:p>
    <w:p>
      <w:pPr>
        <w:pStyle w:val="BodyText"/>
        <w:spacing w:before="2"/>
        <w:rPr>
          <w:sz w:val="21"/>
        </w:rPr>
      </w:pPr>
    </w:p>
    <w:p>
      <w:pPr>
        <w:pStyle w:val="ListParagraph"/>
        <w:numPr>
          <w:ilvl w:val="1"/>
          <w:numId w:val="82"/>
        </w:numPr>
        <w:tabs>
          <w:tab w:pos="953" w:val="left" w:leader="none"/>
        </w:tabs>
        <w:spacing w:line="280" w:lineRule="auto" w:before="0" w:after="0"/>
        <w:ind w:left="953" w:right="798" w:hanging="360"/>
        <w:jc w:val="left"/>
        <w:rPr>
          <w:sz w:val="22"/>
        </w:rPr>
      </w:pPr>
      <w:r>
        <w:rPr>
          <w:sz w:val="22"/>
        </w:rPr>
        <w:t>This has the potential to provide perverse incentives – particularly, a possibility that businesses</w:t>
      </w:r>
      <w:r>
        <w:rPr>
          <w:spacing w:val="-2"/>
          <w:sz w:val="22"/>
        </w:rPr>
        <w:t> </w:t>
      </w:r>
      <w:r>
        <w:rPr>
          <w:sz w:val="22"/>
        </w:rPr>
        <w:t>could</w:t>
      </w:r>
      <w:r>
        <w:rPr>
          <w:spacing w:val="-2"/>
          <w:sz w:val="22"/>
        </w:rPr>
        <w:t> </w:t>
      </w:r>
      <w:r>
        <w:rPr>
          <w:sz w:val="22"/>
        </w:rPr>
        <w:t>seek</w:t>
      </w:r>
      <w:r>
        <w:rPr>
          <w:spacing w:val="-4"/>
          <w:sz w:val="22"/>
        </w:rPr>
        <w:t> </w:t>
      </w:r>
      <w:r>
        <w:rPr>
          <w:sz w:val="22"/>
        </w:rPr>
        <w:t>to</w:t>
      </w:r>
      <w:r>
        <w:rPr>
          <w:spacing w:val="-2"/>
          <w:sz w:val="22"/>
        </w:rPr>
        <w:t> </w:t>
      </w:r>
      <w:r>
        <w:rPr>
          <w:sz w:val="22"/>
        </w:rPr>
        <w:t>pass</w:t>
      </w:r>
      <w:r>
        <w:rPr>
          <w:spacing w:val="-2"/>
          <w:sz w:val="22"/>
        </w:rPr>
        <w:t> </w:t>
      </w:r>
      <w:r>
        <w:rPr>
          <w:sz w:val="22"/>
        </w:rPr>
        <w:t>off</w:t>
      </w:r>
      <w:r>
        <w:rPr>
          <w:spacing w:val="-3"/>
          <w:sz w:val="22"/>
        </w:rPr>
        <w:t> </w:t>
      </w:r>
      <w:r>
        <w:rPr>
          <w:sz w:val="22"/>
        </w:rPr>
        <w:t>risk</w:t>
      </w:r>
      <w:r>
        <w:rPr>
          <w:spacing w:val="-4"/>
          <w:sz w:val="22"/>
        </w:rPr>
        <w:t> </w:t>
      </w:r>
      <w:r>
        <w:rPr>
          <w:sz w:val="22"/>
        </w:rPr>
        <w:t>to</w:t>
      </w:r>
      <w:r>
        <w:rPr>
          <w:spacing w:val="-4"/>
          <w:sz w:val="22"/>
        </w:rPr>
        <w:t> </w:t>
      </w:r>
      <w:r>
        <w:rPr>
          <w:sz w:val="22"/>
        </w:rPr>
        <w:t>the</w:t>
      </w:r>
      <w:r>
        <w:rPr>
          <w:spacing w:val="-4"/>
          <w:sz w:val="22"/>
        </w:rPr>
        <w:t> </w:t>
      </w:r>
      <w:r>
        <w:rPr>
          <w:sz w:val="22"/>
        </w:rPr>
        <w:t>regulator</w:t>
      </w:r>
      <w:r>
        <w:rPr>
          <w:spacing w:val="-3"/>
          <w:sz w:val="22"/>
        </w:rPr>
        <w:t> </w:t>
      </w:r>
      <w:r>
        <w:rPr>
          <w:sz w:val="22"/>
        </w:rPr>
        <w:t>(“the</w:t>
      </w:r>
      <w:r>
        <w:rPr>
          <w:spacing w:val="-4"/>
          <w:sz w:val="22"/>
        </w:rPr>
        <w:t> </w:t>
      </w:r>
      <w:r>
        <w:rPr>
          <w:sz w:val="22"/>
        </w:rPr>
        <w:t>regulator</w:t>
      </w:r>
      <w:r>
        <w:rPr>
          <w:spacing w:val="-3"/>
          <w:sz w:val="22"/>
        </w:rPr>
        <w:t> </w:t>
      </w:r>
      <w:r>
        <w:rPr>
          <w:sz w:val="22"/>
        </w:rPr>
        <w:t>has</w:t>
      </w:r>
      <w:r>
        <w:rPr>
          <w:spacing w:val="-4"/>
          <w:sz w:val="22"/>
        </w:rPr>
        <w:t> </w:t>
      </w:r>
      <w:r>
        <w:rPr>
          <w:sz w:val="22"/>
        </w:rPr>
        <w:t>accepted</w:t>
      </w:r>
      <w:r>
        <w:rPr>
          <w:spacing w:val="-6"/>
          <w:sz w:val="22"/>
        </w:rPr>
        <w:t> </w:t>
      </w:r>
      <w:r>
        <w:rPr>
          <w:sz w:val="22"/>
        </w:rPr>
        <w:t>the safety case, so therefore we now have our defence against legal claims for breach of </w:t>
      </w:r>
      <w:r>
        <w:rPr>
          <w:spacing w:val="-2"/>
          <w:sz w:val="22"/>
        </w:rPr>
        <w:t>duty”).</w:t>
      </w:r>
    </w:p>
    <w:p>
      <w:pPr>
        <w:pStyle w:val="BodyText"/>
        <w:spacing w:before="9"/>
        <w:rPr>
          <w:sz w:val="21"/>
        </w:rPr>
      </w:pPr>
    </w:p>
    <w:p>
      <w:pPr>
        <w:pStyle w:val="ListParagraph"/>
        <w:numPr>
          <w:ilvl w:val="1"/>
          <w:numId w:val="82"/>
        </w:numPr>
        <w:tabs>
          <w:tab w:pos="953" w:val="left" w:leader="none"/>
        </w:tabs>
        <w:spacing w:line="278" w:lineRule="auto" w:before="0" w:after="0"/>
        <w:ind w:left="953" w:right="930" w:hanging="360"/>
        <w:jc w:val="left"/>
        <w:rPr>
          <w:sz w:val="22"/>
        </w:rPr>
      </w:pPr>
      <w:r>
        <w:rPr>
          <w:sz w:val="22"/>
        </w:rPr>
        <w:t>Robust safety legislation should be incentive-compatible – it should not provide a mechanism</w:t>
      </w:r>
      <w:r>
        <w:rPr>
          <w:spacing w:val="-3"/>
          <w:sz w:val="22"/>
        </w:rPr>
        <w:t> </w:t>
      </w:r>
      <w:r>
        <w:rPr>
          <w:sz w:val="22"/>
        </w:rPr>
        <w:t>to</w:t>
      </w:r>
      <w:r>
        <w:rPr>
          <w:spacing w:val="-4"/>
          <w:sz w:val="22"/>
        </w:rPr>
        <w:t> </w:t>
      </w:r>
      <w:r>
        <w:rPr>
          <w:sz w:val="22"/>
        </w:rPr>
        <w:t>effectively</w:t>
      </w:r>
      <w:r>
        <w:rPr>
          <w:spacing w:val="-1"/>
          <w:sz w:val="22"/>
        </w:rPr>
        <w:t> </w:t>
      </w:r>
      <w:r>
        <w:rPr>
          <w:sz w:val="22"/>
        </w:rPr>
        <w:t>allow</w:t>
      </w:r>
      <w:r>
        <w:rPr>
          <w:spacing w:val="-5"/>
          <w:sz w:val="22"/>
        </w:rPr>
        <w:t> </w:t>
      </w:r>
      <w:r>
        <w:rPr>
          <w:sz w:val="22"/>
        </w:rPr>
        <w:t>risk</w:t>
      </w:r>
      <w:r>
        <w:rPr>
          <w:spacing w:val="-1"/>
          <w:sz w:val="22"/>
        </w:rPr>
        <w:t> </w:t>
      </w:r>
      <w:r>
        <w:rPr>
          <w:sz w:val="22"/>
        </w:rPr>
        <w:t>to</w:t>
      </w:r>
      <w:r>
        <w:rPr>
          <w:spacing w:val="-2"/>
          <w:sz w:val="22"/>
        </w:rPr>
        <w:t> </w:t>
      </w:r>
      <w:r>
        <w:rPr>
          <w:sz w:val="22"/>
        </w:rPr>
        <w:t>be</w:t>
      </w:r>
      <w:r>
        <w:rPr>
          <w:spacing w:val="-4"/>
          <w:sz w:val="22"/>
        </w:rPr>
        <w:t> </w:t>
      </w:r>
      <w:r>
        <w:rPr>
          <w:sz w:val="22"/>
        </w:rPr>
        <w:t>off-loaded</w:t>
      </w:r>
      <w:r>
        <w:rPr>
          <w:spacing w:val="-4"/>
          <w:sz w:val="22"/>
        </w:rPr>
        <w:t> </w:t>
      </w:r>
      <w:r>
        <w:rPr>
          <w:sz w:val="22"/>
        </w:rPr>
        <w:t>from</w:t>
      </w:r>
      <w:r>
        <w:rPr>
          <w:spacing w:val="-3"/>
          <w:sz w:val="22"/>
        </w:rPr>
        <w:t> </w:t>
      </w:r>
      <w:r>
        <w:rPr>
          <w:sz w:val="22"/>
        </w:rPr>
        <w:t>the</w:t>
      </w:r>
      <w:r>
        <w:rPr>
          <w:spacing w:val="-4"/>
          <w:sz w:val="22"/>
        </w:rPr>
        <w:t> </w:t>
      </w:r>
      <w:r>
        <w:rPr>
          <w:sz w:val="22"/>
        </w:rPr>
        <w:t>businesses</w:t>
      </w:r>
      <w:r>
        <w:rPr>
          <w:spacing w:val="-4"/>
          <w:sz w:val="22"/>
        </w:rPr>
        <w:t> </w:t>
      </w:r>
      <w:r>
        <w:rPr>
          <w:sz w:val="22"/>
        </w:rPr>
        <w:t>that</w:t>
      </w:r>
      <w:r>
        <w:rPr>
          <w:spacing w:val="-1"/>
          <w:sz w:val="22"/>
        </w:rPr>
        <w:t> </w:t>
      </w:r>
      <w:r>
        <w:rPr>
          <w:sz w:val="22"/>
        </w:rPr>
        <w:t>are</w:t>
      </w:r>
      <w:r>
        <w:rPr>
          <w:spacing w:val="-2"/>
          <w:sz w:val="22"/>
        </w:rPr>
        <w:t> </w:t>
      </w:r>
      <w:r>
        <w:rPr>
          <w:sz w:val="22"/>
        </w:rPr>
        <w:t>best placed to manage those risks, to the regulator.</w:t>
      </w:r>
    </w:p>
    <w:p>
      <w:pPr>
        <w:pStyle w:val="BodyText"/>
        <w:spacing w:before="2"/>
        <w:rPr>
          <w:sz w:val="23"/>
        </w:rPr>
      </w:pPr>
    </w:p>
    <w:p>
      <w:pPr>
        <w:pStyle w:val="ListParagraph"/>
        <w:numPr>
          <w:ilvl w:val="0"/>
          <w:numId w:val="82"/>
        </w:numPr>
        <w:tabs>
          <w:tab w:pos="734" w:val="left" w:leader="none"/>
        </w:tabs>
        <w:spacing w:line="288" w:lineRule="auto" w:before="1" w:after="0"/>
        <w:ind w:left="734" w:right="663" w:hanging="361"/>
        <w:jc w:val="left"/>
        <w:rPr>
          <w:sz w:val="22"/>
        </w:rPr>
      </w:pPr>
      <w:r>
        <w:rPr>
          <w:b/>
          <w:sz w:val="22"/>
        </w:rPr>
        <w:t>Ensuring accountability for safety flows to contractors and other parties. </w:t>
      </w:r>
      <w:r>
        <w:rPr>
          <w:sz w:val="22"/>
        </w:rPr>
        <w:t>Multiple classes</w:t>
      </w:r>
      <w:r>
        <w:rPr>
          <w:spacing w:val="-2"/>
          <w:sz w:val="22"/>
        </w:rPr>
        <w:t> </w:t>
      </w:r>
      <w:r>
        <w:rPr>
          <w:sz w:val="22"/>
        </w:rPr>
        <w:t>of</w:t>
      </w:r>
      <w:r>
        <w:rPr>
          <w:spacing w:val="-1"/>
          <w:sz w:val="22"/>
        </w:rPr>
        <w:t> </w:t>
      </w:r>
      <w:r>
        <w:rPr>
          <w:sz w:val="22"/>
        </w:rPr>
        <w:t>duty</w:t>
      </w:r>
      <w:r>
        <w:rPr>
          <w:spacing w:val="-5"/>
          <w:sz w:val="22"/>
        </w:rPr>
        <w:t> </w:t>
      </w:r>
      <w:r>
        <w:rPr>
          <w:sz w:val="22"/>
        </w:rPr>
        <w:t>holders</w:t>
      </w:r>
      <w:r>
        <w:rPr>
          <w:spacing w:val="-2"/>
          <w:sz w:val="22"/>
        </w:rPr>
        <w:t> </w:t>
      </w:r>
      <w:r>
        <w:rPr>
          <w:sz w:val="22"/>
        </w:rPr>
        <w:t>are</w:t>
      </w:r>
      <w:r>
        <w:rPr>
          <w:spacing w:val="-3"/>
          <w:sz w:val="22"/>
        </w:rPr>
        <w:t> </w:t>
      </w:r>
      <w:r>
        <w:rPr>
          <w:sz w:val="22"/>
        </w:rPr>
        <w:t>provided</w:t>
      </w:r>
      <w:r>
        <w:rPr>
          <w:spacing w:val="-3"/>
          <w:sz w:val="22"/>
        </w:rPr>
        <w:t> </w:t>
      </w:r>
      <w:r>
        <w:rPr>
          <w:sz w:val="22"/>
        </w:rPr>
        <w:t>for</w:t>
      </w:r>
      <w:r>
        <w:rPr>
          <w:spacing w:val="-2"/>
          <w:sz w:val="22"/>
        </w:rPr>
        <w:t> </w:t>
      </w:r>
      <w:r>
        <w:rPr>
          <w:sz w:val="22"/>
        </w:rPr>
        <w:t>in</w:t>
      </w:r>
      <w:r>
        <w:rPr>
          <w:spacing w:val="-5"/>
          <w:sz w:val="22"/>
        </w:rPr>
        <w:t> </w:t>
      </w:r>
      <w:r>
        <w:rPr>
          <w:sz w:val="22"/>
        </w:rPr>
        <w:t>other</w:t>
      </w:r>
      <w:r>
        <w:rPr>
          <w:spacing w:val="-2"/>
          <w:sz w:val="22"/>
        </w:rPr>
        <w:t> </w:t>
      </w:r>
      <w:r>
        <w:rPr>
          <w:sz w:val="22"/>
        </w:rPr>
        <w:t>similar</w:t>
      </w:r>
      <w:r>
        <w:rPr>
          <w:spacing w:val="-2"/>
          <w:sz w:val="22"/>
        </w:rPr>
        <w:t> </w:t>
      </w:r>
      <w:r>
        <w:rPr>
          <w:sz w:val="22"/>
        </w:rPr>
        <w:t>legislation.</w:t>
      </w:r>
      <w:r>
        <w:rPr>
          <w:spacing w:val="-4"/>
          <w:sz w:val="22"/>
        </w:rPr>
        <w:t> </w:t>
      </w:r>
      <w:r>
        <w:rPr>
          <w:sz w:val="22"/>
        </w:rPr>
        <w:t>This</w:t>
      </w:r>
      <w:r>
        <w:rPr>
          <w:spacing w:val="-5"/>
          <w:sz w:val="22"/>
        </w:rPr>
        <w:t> </w:t>
      </w:r>
      <w:r>
        <w:rPr>
          <w:sz w:val="22"/>
        </w:rPr>
        <w:t>helps</w:t>
      </w:r>
      <w:r>
        <w:rPr>
          <w:spacing w:val="-3"/>
          <w:sz w:val="22"/>
        </w:rPr>
        <w:t> </w:t>
      </w:r>
      <w:r>
        <w:rPr>
          <w:sz w:val="22"/>
        </w:rPr>
        <w:t>ensure</w:t>
      </w:r>
      <w:r>
        <w:rPr>
          <w:spacing w:val="-5"/>
          <w:sz w:val="22"/>
        </w:rPr>
        <w:t> </w:t>
      </w:r>
      <w:r>
        <w:rPr>
          <w:sz w:val="22"/>
        </w:rPr>
        <w:t>clear accountabilities, and is particularly important given the common practice of network businesses engaging contractors.</w:t>
      </w:r>
    </w:p>
    <w:p>
      <w:pPr>
        <w:pStyle w:val="BodyText"/>
        <w:spacing w:before="8"/>
        <w:rPr>
          <w:sz w:val="20"/>
        </w:rPr>
      </w:pPr>
    </w:p>
    <w:p>
      <w:pPr>
        <w:pStyle w:val="ListParagraph"/>
        <w:numPr>
          <w:ilvl w:val="1"/>
          <w:numId w:val="82"/>
        </w:numPr>
        <w:tabs>
          <w:tab w:pos="952" w:val="left" w:leader="none"/>
        </w:tabs>
        <w:spacing w:line="240" w:lineRule="auto" w:before="0" w:after="0"/>
        <w:ind w:left="952" w:right="0" w:hanging="359"/>
        <w:jc w:val="left"/>
        <w:rPr>
          <w:sz w:val="22"/>
        </w:rPr>
      </w:pPr>
      <w:r>
        <w:rPr>
          <w:sz w:val="22"/>
        </w:rPr>
        <w:t>The</w:t>
      </w:r>
      <w:r>
        <w:rPr>
          <w:spacing w:val="-9"/>
          <w:sz w:val="22"/>
        </w:rPr>
        <w:t> </w:t>
      </w:r>
      <w:r>
        <w:rPr>
          <w:sz w:val="22"/>
        </w:rPr>
        <w:t>strengths</w:t>
      </w:r>
      <w:r>
        <w:rPr>
          <w:spacing w:val="-6"/>
          <w:sz w:val="22"/>
        </w:rPr>
        <w:t> </w:t>
      </w:r>
      <w:r>
        <w:rPr>
          <w:sz w:val="22"/>
        </w:rPr>
        <w:t>of</w:t>
      </w:r>
      <w:r>
        <w:rPr>
          <w:spacing w:val="-5"/>
          <w:sz w:val="22"/>
        </w:rPr>
        <w:t> </w:t>
      </w:r>
      <w:r>
        <w:rPr>
          <w:sz w:val="22"/>
        </w:rPr>
        <w:t>this</w:t>
      </w:r>
      <w:r>
        <w:rPr>
          <w:spacing w:val="-4"/>
          <w:sz w:val="22"/>
        </w:rPr>
        <w:t> </w:t>
      </w:r>
      <w:r>
        <w:rPr>
          <w:sz w:val="22"/>
        </w:rPr>
        <w:t>approach,</w:t>
      </w:r>
      <w:r>
        <w:rPr>
          <w:spacing w:val="-5"/>
          <w:sz w:val="22"/>
        </w:rPr>
        <w:t> </w:t>
      </w:r>
      <w:r>
        <w:rPr>
          <w:sz w:val="22"/>
        </w:rPr>
        <w:t>and</w:t>
      </w:r>
      <w:r>
        <w:rPr>
          <w:spacing w:val="-4"/>
          <w:sz w:val="22"/>
        </w:rPr>
        <w:t> </w:t>
      </w:r>
      <w:r>
        <w:rPr>
          <w:sz w:val="22"/>
        </w:rPr>
        <w:t>other</w:t>
      </w:r>
      <w:r>
        <w:rPr>
          <w:spacing w:val="-6"/>
          <w:sz w:val="22"/>
        </w:rPr>
        <w:t> </w:t>
      </w:r>
      <w:r>
        <w:rPr>
          <w:sz w:val="22"/>
        </w:rPr>
        <w:t>relevant</w:t>
      </w:r>
      <w:r>
        <w:rPr>
          <w:spacing w:val="-5"/>
          <w:sz w:val="22"/>
        </w:rPr>
        <w:t> </w:t>
      </w:r>
      <w:r>
        <w:rPr>
          <w:sz w:val="22"/>
        </w:rPr>
        <w:t>legislation,</w:t>
      </w:r>
      <w:r>
        <w:rPr>
          <w:spacing w:val="-6"/>
          <w:sz w:val="22"/>
        </w:rPr>
        <w:t> </w:t>
      </w:r>
      <w:r>
        <w:rPr>
          <w:sz w:val="22"/>
        </w:rPr>
        <w:t>are</w:t>
      </w:r>
      <w:r>
        <w:rPr>
          <w:spacing w:val="-8"/>
          <w:sz w:val="22"/>
        </w:rPr>
        <w:t> </w:t>
      </w:r>
      <w:r>
        <w:rPr>
          <w:sz w:val="22"/>
        </w:rPr>
        <w:t>further</w:t>
      </w:r>
      <w:r>
        <w:rPr>
          <w:spacing w:val="-6"/>
          <w:sz w:val="22"/>
        </w:rPr>
        <w:t> </w:t>
      </w:r>
      <w:r>
        <w:rPr>
          <w:sz w:val="22"/>
        </w:rPr>
        <w:t>discussed</w:t>
      </w:r>
      <w:r>
        <w:rPr>
          <w:spacing w:val="-5"/>
          <w:sz w:val="22"/>
        </w:rPr>
        <w:t> </w:t>
      </w:r>
      <w:r>
        <w:rPr>
          <w:sz w:val="22"/>
        </w:rPr>
        <w:t>in</w:t>
      </w:r>
      <w:r>
        <w:rPr>
          <w:spacing w:val="-2"/>
          <w:sz w:val="22"/>
        </w:rPr>
        <w:t> </w:t>
      </w:r>
      <w:r>
        <w:rPr>
          <w:spacing w:val="-5"/>
          <w:sz w:val="22"/>
        </w:rPr>
        <w:t>Box</w:t>
      </w:r>
    </w:p>
    <w:p>
      <w:pPr>
        <w:pStyle w:val="BodyText"/>
        <w:spacing w:line="288" w:lineRule="auto" w:before="32"/>
        <w:ind w:left="953" w:right="286"/>
      </w:pPr>
      <w:r>
        <w:rPr/>
        <w:t>26. In revising the legislation, attention should be given to how safety obligations apply to both</w:t>
      </w:r>
      <w:r>
        <w:rPr>
          <w:spacing w:val="-2"/>
        </w:rPr>
        <w:t> </w:t>
      </w:r>
      <w:r>
        <w:rPr/>
        <w:t>businesses</w:t>
      </w:r>
      <w:r>
        <w:rPr>
          <w:spacing w:val="-4"/>
        </w:rPr>
        <w:t> </w:t>
      </w:r>
      <w:r>
        <w:rPr/>
        <w:t>and</w:t>
      </w:r>
      <w:r>
        <w:rPr>
          <w:spacing w:val="-4"/>
        </w:rPr>
        <w:t> </w:t>
      </w:r>
      <w:r>
        <w:rPr/>
        <w:t>workers</w:t>
      </w:r>
      <w:r>
        <w:rPr>
          <w:spacing w:val="-1"/>
        </w:rPr>
        <w:t> </w:t>
      </w:r>
      <w:r>
        <w:rPr/>
        <w:t>and</w:t>
      </w:r>
      <w:r>
        <w:rPr>
          <w:spacing w:val="-4"/>
        </w:rPr>
        <w:t> </w:t>
      </w:r>
      <w:r>
        <w:rPr/>
        <w:t>to</w:t>
      </w:r>
      <w:r>
        <w:rPr>
          <w:spacing w:val="-4"/>
        </w:rPr>
        <w:t> </w:t>
      </w:r>
      <w:r>
        <w:rPr/>
        <w:t>ensure</w:t>
      </w:r>
      <w:r>
        <w:rPr>
          <w:spacing w:val="-4"/>
        </w:rPr>
        <w:t> </w:t>
      </w:r>
      <w:r>
        <w:rPr/>
        <w:t>these</w:t>
      </w:r>
      <w:r>
        <w:rPr>
          <w:spacing w:val="-4"/>
        </w:rPr>
        <w:t> </w:t>
      </w:r>
      <w:r>
        <w:rPr/>
        <w:t>duties</w:t>
      </w:r>
      <w:r>
        <w:rPr>
          <w:spacing w:val="-2"/>
        </w:rPr>
        <w:t> </w:t>
      </w:r>
      <w:r>
        <w:rPr/>
        <w:t>are</w:t>
      </w:r>
      <w:r>
        <w:rPr>
          <w:spacing w:val="-2"/>
        </w:rPr>
        <w:t> </w:t>
      </w:r>
      <w:r>
        <w:rPr/>
        <w:t>non-delegable</w:t>
      </w:r>
      <w:r>
        <w:rPr>
          <w:spacing w:val="-2"/>
        </w:rPr>
        <w:t> </w:t>
      </w:r>
      <w:r>
        <w:rPr/>
        <w:t>and</w:t>
      </w:r>
      <w:r>
        <w:rPr>
          <w:spacing w:val="-2"/>
        </w:rPr>
        <w:t> </w:t>
      </w:r>
      <w:r>
        <w:rPr/>
        <w:t>do</w:t>
      </w:r>
      <w:r>
        <w:rPr>
          <w:spacing w:val="-4"/>
        </w:rPr>
        <w:t> </w:t>
      </w:r>
      <w:r>
        <w:rPr/>
        <w:t>not</w:t>
      </w:r>
      <w:r>
        <w:rPr>
          <w:spacing w:val="-3"/>
        </w:rPr>
        <w:t> </w:t>
      </w:r>
      <w:r>
        <w:rPr/>
        <w:t>shift responsibility to individuals for safety case failures.</w:t>
      </w:r>
    </w:p>
    <w:p>
      <w:pPr>
        <w:pStyle w:val="BodyText"/>
        <w:spacing w:before="9"/>
        <w:rPr>
          <w:sz w:val="20"/>
        </w:rPr>
      </w:pPr>
    </w:p>
    <w:p>
      <w:pPr>
        <w:pStyle w:val="BodyText"/>
        <w:spacing w:line="288" w:lineRule="auto"/>
        <w:ind w:left="232" w:right="374"/>
      </w:pPr>
      <w:r>
        <w:rPr/>
        <w:t>In</w:t>
      </w:r>
      <w:r>
        <w:rPr>
          <w:spacing w:val="-4"/>
        </w:rPr>
        <w:t> </w:t>
      </w:r>
      <w:r>
        <w:rPr/>
        <w:t>revising the</w:t>
      </w:r>
      <w:r>
        <w:rPr>
          <w:spacing w:val="-7"/>
        </w:rPr>
        <w:t> </w:t>
      </w:r>
      <w:r>
        <w:rPr/>
        <w:t>general</w:t>
      </w:r>
      <w:r>
        <w:rPr>
          <w:spacing w:val="-5"/>
        </w:rPr>
        <w:t> </w:t>
      </w:r>
      <w:r>
        <w:rPr/>
        <w:t>duty</w:t>
      </w:r>
      <w:r>
        <w:rPr>
          <w:spacing w:val="-3"/>
        </w:rPr>
        <w:t> </w:t>
      </w:r>
      <w:r>
        <w:rPr/>
        <w:t>provisions, there</w:t>
      </w:r>
      <w:r>
        <w:rPr>
          <w:spacing w:val="-2"/>
        </w:rPr>
        <w:t> </w:t>
      </w:r>
      <w:r>
        <w:rPr/>
        <w:t>are</w:t>
      </w:r>
      <w:r>
        <w:rPr>
          <w:spacing w:val="-3"/>
        </w:rPr>
        <w:t> </w:t>
      </w:r>
      <w:r>
        <w:rPr/>
        <w:t>general</w:t>
      </w:r>
      <w:r>
        <w:rPr>
          <w:spacing w:val="-3"/>
        </w:rPr>
        <w:t> </w:t>
      </w:r>
      <w:r>
        <w:rPr/>
        <w:t>principles</w:t>
      </w:r>
      <w:r>
        <w:rPr>
          <w:spacing w:val="-4"/>
        </w:rPr>
        <w:t> </w:t>
      </w:r>
      <w:r>
        <w:rPr/>
        <w:t>that</w:t>
      </w:r>
      <w:r>
        <w:rPr>
          <w:spacing w:val="-1"/>
        </w:rPr>
        <w:t> </w:t>
      </w:r>
      <w:r>
        <w:rPr/>
        <w:t>the</w:t>
      </w:r>
      <w:r>
        <w:rPr>
          <w:spacing w:val="-2"/>
        </w:rPr>
        <w:t> </w:t>
      </w:r>
      <w:r>
        <w:rPr/>
        <w:t>Review</w:t>
      </w:r>
      <w:r>
        <w:rPr>
          <w:spacing w:val="-5"/>
        </w:rPr>
        <w:t> </w:t>
      </w:r>
      <w:r>
        <w:rPr/>
        <w:t>considers should be followed. They are outlined in Recommendation 36.</w:t>
      </w:r>
    </w:p>
    <w:p>
      <w:pPr>
        <w:spacing w:after="0" w:line="288" w:lineRule="auto"/>
        <w:sectPr>
          <w:pgSz w:w="11910" w:h="16850"/>
          <w:pgMar w:header="220" w:footer="678" w:top="420" w:bottom="860" w:left="900" w:right="840"/>
        </w:sectPr>
      </w:pPr>
    </w:p>
    <w:p>
      <w:pPr>
        <w:pStyle w:val="BodyText"/>
        <w:rPr>
          <w:sz w:val="20"/>
        </w:rPr>
      </w:pPr>
    </w:p>
    <w:p>
      <w:pPr>
        <w:pStyle w:val="BodyText"/>
        <w:spacing w:before="4"/>
        <w:rPr>
          <w:sz w:val="27"/>
        </w:rPr>
      </w:pPr>
    </w:p>
    <w:p>
      <w:pPr>
        <w:pStyle w:val="BodyText"/>
        <w:ind w:left="232"/>
        <w:rPr>
          <w:sz w:val="20"/>
        </w:rPr>
      </w:pPr>
      <w:r>
        <w:rPr>
          <w:sz w:val="20"/>
        </w:rPr>
        <mc:AlternateContent>
          <mc:Choice Requires="wps">
            <w:drawing>
              <wp:inline distT="0" distB="0" distL="0" distR="0">
                <wp:extent cx="5870575" cy="2989580"/>
                <wp:effectExtent l="0" t="0" r="0" b="0"/>
                <wp:docPr id="209" name="Textbox 209"/>
                <wp:cNvGraphicFramePr>
                  <a:graphicFrameLocks/>
                </wp:cNvGraphicFramePr>
                <a:graphic>
                  <a:graphicData uri="http://schemas.microsoft.com/office/word/2010/wordprocessingShape">
                    <wps:wsp>
                      <wps:cNvPr id="209" name="Textbox 209"/>
                      <wps:cNvSpPr txBox="1"/>
                      <wps:spPr>
                        <a:xfrm>
                          <a:off x="0" y="0"/>
                          <a:ext cx="5870575" cy="2989580"/>
                        </a:xfrm>
                        <a:prstGeom prst="rect">
                          <a:avLst/>
                        </a:prstGeom>
                        <a:solidFill>
                          <a:srgbClr val="D9D9D9"/>
                        </a:solidFill>
                      </wps:spPr>
                      <wps:txbx>
                        <w:txbxContent>
                          <w:p>
                            <w:pPr>
                              <w:pStyle w:val="BodyText"/>
                              <w:spacing w:before="10"/>
                              <w:rPr>
                                <w:color w:val="000000"/>
                                <w:sz w:val="20"/>
                              </w:rPr>
                            </w:pPr>
                          </w:p>
                          <w:p>
                            <w:pPr>
                              <w:spacing w:before="0"/>
                              <w:ind w:left="112" w:right="0" w:firstLine="0"/>
                              <w:jc w:val="left"/>
                              <w:rPr>
                                <w:b/>
                                <w:color w:val="000000"/>
                                <w:sz w:val="22"/>
                              </w:rPr>
                            </w:pPr>
                            <w:r>
                              <w:rPr>
                                <w:b/>
                                <w:color w:val="000000"/>
                                <w:sz w:val="22"/>
                              </w:rPr>
                              <w:t>Recommendation</w:t>
                            </w:r>
                            <w:r>
                              <w:rPr>
                                <w:b/>
                                <w:color w:val="000000"/>
                                <w:spacing w:val="-6"/>
                                <w:sz w:val="22"/>
                              </w:rPr>
                              <w:t> </w:t>
                            </w:r>
                            <w:r>
                              <w:rPr>
                                <w:b/>
                                <w:color w:val="000000"/>
                                <w:spacing w:val="-5"/>
                                <w:sz w:val="22"/>
                              </w:rPr>
                              <w:t>36</w:t>
                            </w:r>
                          </w:p>
                          <w:p>
                            <w:pPr>
                              <w:pStyle w:val="BodyText"/>
                              <w:spacing w:before="2"/>
                              <w:rPr>
                                <w:b/>
                                <w:color w:val="000000"/>
                                <w:sz w:val="25"/>
                              </w:rPr>
                            </w:pPr>
                          </w:p>
                          <w:p>
                            <w:pPr>
                              <w:pStyle w:val="BodyText"/>
                              <w:spacing w:line="288" w:lineRule="auto"/>
                              <w:ind w:left="112"/>
                              <w:rPr>
                                <w:color w:val="000000"/>
                              </w:rPr>
                            </w:pPr>
                            <w:r>
                              <w:rPr>
                                <w:color w:val="000000"/>
                              </w:rPr>
                              <w:t>The</w:t>
                            </w:r>
                            <w:r>
                              <w:rPr>
                                <w:color w:val="000000"/>
                                <w:spacing w:val="-7"/>
                              </w:rPr>
                              <w:t> </w:t>
                            </w:r>
                            <w:r>
                              <w:rPr>
                                <w:color w:val="000000"/>
                              </w:rPr>
                              <w:t>general</w:t>
                            </w:r>
                            <w:r>
                              <w:rPr>
                                <w:color w:val="000000"/>
                                <w:spacing w:val="-2"/>
                              </w:rPr>
                              <w:t> </w:t>
                            </w:r>
                            <w:r>
                              <w:rPr>
                                <w:color w:val="000000"/>
                              </w:rPr>
                              <w:t>safety</w:t>
                            </w:r>
                            <w:r>
                              <w:rPr>
                                <w:color w:val="000000"/>
                                <w:spacing w:val="-4"/>
                              </w:rPr>
                              <w:t> </w:t>
                            </w:r>
                            <w:r>
                              <w:rPr>
                                <w:color w:val="000000"/>
                              </w:rPr>
                              <w:t>duties</w:t>
                            </w:r>
                            <w:r>
                              <w:rPr>
                                <w:color w:val="000000"/>
                                <w:spacing w:val="-2"/>
                              </w:rPr>
                              <w:t> </w:t>
                            </w:r>
                            <w:r>
                              <w:rPr>
                                <w:color w:val="000000"/>
                              </w:rPr>
                              <w:t>within</w:t>
                            </w:r>
                            <w:r>
                              <w:rPr>
                                <w:color w:val="000000"/>
                                <w:spacing w:val="-2"/>
                              </w:rPr>
                              <w:t> </w:t>
                            </w:r>
                            <w:r>
                              <w:rPr>
                                <w:color w:val="000000"/>
                              </w:rPr>
                              <w:t>the</w:t>
                            </w:r>
                            <w:r>
                              <w:rPr>
                                <w:color w:val="000000"/>
                                <w:spacing w:val="-2"/>
                              </w:rPr>
                              <w:t> </w:t>
                            </w:r>
                            <w:r>
                              <w:rPr>
                                <w:color w:val="000000"/>
                              </w:rPr>
                              <w:t>new</w:t>
                            </w:r>
                            <w:r>
                              <w:rPr>
                                <w:color w:val="000000"/>
                                <w:spacing w:val="-5"/>
                              </w:rPr>
                              <w:t> </w:t>
                            </w:r>
                            <w:r>
                              <w:rPr>
                                <w:color w:val="000000"/>
                              </w:rPr>
                              <w:t>consolidated</w:t>
                            </w:r>
                            <w:r>
                              <w:rPr>
                                <w:color w:val="000000"/>
                                <w:spacing w:val="-2"/>
                              </w:rPr>
                              <w:t> </w:t>
                            </w:r>
                            <w:r>
                              <w:rPr>
                                <w:color w:val="000000"/>
                              </w:rPr>
                              <w:t>energy</w:t>
                            </w:r>
                            <w:r>
                              <w:rPr>
                                <w:color w:val="000000"/>
                                <w:spacing w:val="-4"/>
                              </w:rPr>
                              <w:t> </w:t>
                            </w:r>
                            <w:r>
                              <w:rPr>
                                <w:color w:val="000000"/>
                              </w:rPr>
                              <w:t>safety</w:t>
                            </w:r>
                            <w:r>
                              <w:rPr>
                                <w:color w:val="000000"/>
                                <w:spacing w:val="-4"/>
                              </w:rPr>
                              <w:t> </w:t>
                            </w:r>
                            <w:r>
                              <w:rPr>
                                <w:color w:val="000000"/>
                              </w:rPr>
                              <w:t>legislation</w:t>
                            </w:r>
                            <w:r>
                              <w:rPr>
                                <w:color w:val="000000"/>
                                <w:spacing w:val="-2"/>
                              </w:rPr>
                              <w:t> </w:t>
                            </w:r>
                            <w:r>
                              <w:rPr>
                                <w:color w:val="000000"/>
                              </w:rPr>
                              <w:t>should</w:t>
                            </w:r>
                            <w:r>
                              <w:rPr>
                                <w:color w:val="000000"/>
                                <w:spacing w:val="-2"/>
                              </w:rPr>
                              <w:t> </w:t>
                            </w:r>
                            <w:r>
                              <w:rPr>
                                <w:color w:val="000000"/>
                              </w:rPr>
                              <w:t>be presented clearly, with the aim that they:</w:t>
                            </w:r>
                          </w:p>
                          <w:p>
                            <w:pPr>
                              <w:pStyle w:val="BodyText"/>
                              <w:spacing w:before="4"/>
                              <w:rPr>
                                <w:color w:val="000000"/>
                              </w:rPr>
                            </w:pPr>
                          </w:p>
                          <w:p>
                            <w:pPr>
                              <w:pStyle w:val="BodyText"/>
                              <w:numPr>
                                <w:ilvl w:val="0"/>
                                <w:numId w:val="86"/>
                              </w:numPr>
                              <w:tabs>
                                <w:tab w:pos="426" w:val="left" w:leader="none"/>
                              </w:tabs>
                              <w:spacing w:line="240" w:lineRule="auto" w:before="0" w:after="0"/>
                              <w:ind w:left="426" w:right="0" w:hanging="285"/>
                              <w:jc w:val="left"/>
                              <w:rPr>
                                <w:color w:val="000000"/>
                              </w:rPr>
                            </w:pPr>
                            <w:r>
                              <w:rPr>
                                <w:color w:val="000000"/>
                              </w:rPr>
                              <w:t>are</w:t>
                            </w:r>
                            <w:r>
                              <w:rPr>
                                <w:color w:val="000000"/>
                                <w:spacing w:val="-6"/>
                              </w:rPr>
                              <w:t> </w:t>
                            </w:r>
                            <w:r>
                              <w:rPr>
                                <w:color w:val="000000"/>
                              </w:rPr>
                              <w:t>aligned,</w:t>
                            </w:r>
                            <w:r>
                              <w:rPr>
                                <w:color w:val="000000"/>
                                <w:spacing w:val="-5"/>
                              </w:rPr>
                              <w:t> </w:t>
                            </w:r>
                            <w:r>
                              <w:rPr>
                                <w:color w:val="000000"/>
                              </w:rPr>
                              <w:t>but</w:t>
                            </w:r>
                            <w:r>
                              <w:rPr>
                                <w:color w:val="000000"/>
                                <w:spacing w:val="-8"/>
                              </w:rPr>
                              <w:t> </w:t>
                            </w:r>
                            <w:r>
                              <w:rPr>
                                <w:color w:val="000000"/>
                              </w:rPr>
                              <w:t>retain</w:t>
                            </w:r>
                            <w:r>
                              <w:rPr>
                                <w:color w:val="000000"/>
                                <w:spacing w:val="-7"/>
                              </w:rPr>
                              <w:t> </w:t>
                            </w:r>
                            <w:r>
                              <w:rPr>
                                <w:color w:val="000000"/>
                              </w:rPr>
                              <w:t>necessary</w:t>
                            </w:r>
                            <w:r>
                              <w:rPr>
                                <w:color w:val="000000"/>
                                <w:spacing w:val="-9"/>
                              </w:rPr>
                              <w:t> </w:t>
                            </w:r>
                            <w:r>
                              <w:rPr>
                                <w:color w:val="000000"/>
                              </w:rPr>
                              <w:t>sector-specific</w:t>
                            </w:r>
                            <w:r>
                              <w:rPr>
                                <w:color w:val="000000"/>
                                <w:spacing w:val="-5"/>
                              </w:rPr>
                              <w:t> </w:t>
                            </w:r>
                            <w:r>
                              <w:rPr>
                                <w:color w:val="000000"/>
                                <w:spacing w:val="-2"/>
                              </w:rPr>
                              <w:t>differences;</w:t>
                            </w:r>
                          </w:p>
                          <w:p>
                            <w:pPr>
                              <w:pStyle w:val="BodyText"/>
                              <w:numPr>
                                <w:ilvl w:val="0"/>
                                <w:numId w:val="86"/>
                              </w:numPr>
                              <w:tabs>
                                <w:tab w:pos="426" w:val="left" w:leader="none"/>
                              </w:tabs>
                              <w:spacing w:line="240" w:lineRule="auto" w:before="66" w:after="0"/>
                              <w:ind w:left="426" w:right="0" w:hanging="285"/>
                              <w:jc w:val="left"/>
                              <w:rPr>
                                <w:color w:val="000000"/>
                              </w:rPr>
                            </w:pPr>
                            <w:r>
                              <w:rPr>
                                <w:color w:val="000000"/>
                              </w:rPr>
                              <w:t>cover</w:t>
                            </w:r>
                            <w:r>
                              <w:rPr>
                                <w:color w:val="000000"/>
                                <w:spacing w:val="-4"/>
                              </w:rPr>
                              <w:t> </w:t>
                            </w:r>
                            <w:r>
                              <w:rPr>
                                <w:color w:val="000000"/>
                              </w:rPr>
                              <w:t>a</w:t>
                            </w:r>
                            <w:r>
                              <w:rPr>
                                <w:color w:val="000000"/>
                                <w:spacing w:val="-4"/>
                              </w:rPr>
                              <w:t> </w:t>
                            </w:r>
                            <w:r>
                              <w:rPr>
                                <w:color w:val="000000"/>
                              </w:rPr>
                              <w:t>range</w:t>
                            </w:r>
                            <w:r>
                              <w:rPr>
                                <w:color w:val="000000"/>
                                <w:spacing w:val="-6"/>
                              </w:rPr>
                              <w:t> </w:t>
                            </w:r>
                            <w:r>
                              <w:rPr>
                                <w:color w:val="000000"/>
                              </w:rPr>
                              <w:t>of</w:t>
                            </w:r>
                            <w:r>
                              <w:rPr>
                                <w:color w:val="000000"/>
                                <w:spacing w:val="-2"/>
                              </w:rPr>
                              <w:t> </w:t>
                            </w:r>
                            <w:r>
                              <w:rPr>
                                <w:color w:val="000000"/>
                              </w:rPr>
                              <w:t>circumstances</w:t>
                            </w:r>
                            <w:r>
                              <w:rPr>
                                <w:color w:val="000000"/>
                                <w:spacing w:val="-4"/>
                              </w:rPr>
                              <w:t> </w:t>
                            </w:r>
                            <w:r>
                              <w:rPr>
                                <w:color w:val="000000"/>
                              </w:rPr>
                              <w:t>in</w:t>
                            </w:r>
                            <w:r>
                              <w:rPr>
                                <w:color w:val="000000"/>
                                <w:spacing w:val="-6"/>
                              </w:rPr>
                              <w:t> </w:t>
                            </w:r>
                            <w:r>
                              <w:rPr>
                                <w:color w:val="000000"/>
                              </w:rPr>
                              <w:t>energy</w:t>
                            </w:r>
                            <w:r>
                              <w:rPr>
                                <w:color w:val="000000"/>
                                <w:spacing w:val="-6"/>
                              </w:rPr>
                              <w:t> </w:t>
                            </w:r>
                            <w:r>
                              <w:rPr>
                                <w:color w:val="000000"/>
                              </w:rPr>
                              <w:t>network</w:t>
                            </w:r>
                            <w:r>
                              <w:rPr>
                                <w:color w:val="000000"/>
                                <w:spacing w:val="-3"/>
                              </w:rPr>
                              <w:t> </w:t>
                            </w:r>
                            <w:r>
                              <w:rPr>
                                <w:color w:val="000000"/>
                                <w:spacing w:val="-2"/>
                              </w:rPr>
                              <w:t>safety;</w:t>
                            </w:r>
                          </w:p>
                          <w:p>
                            <w:pPr>
                              <w:pStyle w:val="BodyText"/>
                              <w:numPr>
                                <w:ilvl w:val="0"/>
                                <w:numId w:val="86"/>
                              </w:numPr>
                              <w:tabs>
                                <w:tab w:pos="426" w:val="left" w:leader="none"/>
                              </w:tabs>
                              <w:spacing w:line="240" w:lineRule="auto" w:before="64" w:after="0"/>
                              <w:ind w:left="426" w:right="0" w:hanging="285"/>
                              <w:jc w:val="left"/>
                              <w:rPr>
                                <w:color w:val="000000"/>
                              </w:rPr>
                            </w:pPr>
                            <w:r>
                              <w:rPr>
                                <w:color w:val="000000"/>
                              </w:rPr>
                              <w:t>do</w:t>
                            </w:r>
                            <w:r>
                              <w:rPr>
                                <w:color w:val="000000"/>
                                <w:spacing w:val="-5"/>
                              </w:rPr>
                              <w:t> </w:t>
                            </w:r>
                            <w:r>
                              <w:rPr>
                                <w:color w:val="000000"/>
                              </w:rPr>
                              <w:t>not</w:t>
                            </w:r>
                            <w:r>
                              <w:rPr>
                                <w:color w:val="000000"/>
                                <w:spacing w:val="-5"/>
                              </w:rPr>
                              <w:t> </w:t>
                            </w:r>
                            <w:r>
                              <w:rPr>
                                <w:color w:val="000000"/>
                              </w:rPr>
                              <w:t>easily</w:t>
                            </w:r>
                            <w:r>
                              <w:rPr>
                                <w:color w:val="000000"/>
                                <w:spacing w:val="-6"/>
                              </w:rPr>
                              <w:t> </w:t>
                            </w:r>
                            <w:r>
                              <w:rPr>
                                <w:color w:val="000000"/>
                              </w:rPr>
                              <w:t>become</w:t>
                            </w:r>
                            <w:r>
                              <w:rPr>
                                <w:color w:val="000000"/>
                                <w:spacing w:val="-3"/>
                              </w:rPr>
                              <w:t> </w:t>
                            </w:r>
                            <w:r>
                              <w:rPr>
                                <w:color w:val="000000"/>
                              </w:rPr>
                              <w:t>outdated</w:t>
                            </w:r>
                            <w:r>
                              <w:rPr>
                                <w:color w:val="000000"/>
                                <w:spacing w:val="-4"/>
                              </w:rPr>
                              <w:t> </w:t>
                            </w:r>
                            <w:r>
                              <w:rPr>
                                <w:color w:val="000000"/>
                              </w:rPr>
                              <w:t>and</w:t>
                            </w:r>
                            <w:r>
                              <w:rPr>
                                <w:color w:val="000000"/>
                                <w:spacing w:val="-6"/>
                              </w:rPr>
                              <w:t> </w:t>
                            </w:r>
                            <w:r>
                              <w:rPr>
                                <w:color w:val="000000"/>
                              </w:rPr>
                              <w:t>can</w:t>
                            </w:r>
                            <w:r>
                              <w:rPr>
                                <w:color w:val="000000"/>
                                <w:spacing w:val="-6"/>
                              </w:rPr>
                              <w:t> </w:t>
                            </w:r>
                            <w:r>
                              <w:rPr>
                                <w:color w:val="000000"/>
                              </w:rPr>
                              <w:t>cover</w:t>
                            </w:r>
                            <w:r>
                              <w:rPr>
                                <w:color w:val="000000"/>
                                <w:spacing w:val="-3"/>
                              </w:rPr>
                              <w:t> </w:t>
                            </w:r>
                            <w:r>
                              <w:rPr>
                                <w:color w:val="000000"/>
                              </w:rPr>
                              <w:t>emerging</w:t>
                            </w:r>
                            <w:r>
                              <w:rPr>
                                <w:color w:val="000000"/>
                                <w:spacing w:val="-4"/>
                              </w:rPr>
                              <w:t> </w:t>
                            </w:r>
                            <w:r>
                              <w:rPr>
                                <w:color w:val="000000"/>
                              </w:rPr>
                              <w:t>risks</w:t>
                            </w:r>
                            <w:r>
                              <w:rPr>
                                <w:color w:val="000000"/>
                                <w:spacing w:val="-6"/>
                              </w:rPr>
                              <w:t> </w:t>
                            </w:r>
                            <w:r>
                              <w:rPr>
                                <w:color w:val="000000"/>
                              </w:rPr>
                              <w:t>and</w:t>
                            </w:r>
                            <w:r>
                              <w:rPr>
                                <w:color w:val="000000"/>
                                <w:spacing w:val="-5"/>
                              </w:rPr>
                              <w:t> </w:t>
                            </w:r>
                            <w:r>
                              <w:rPr>
                                <w:color w:val="000000"/>
                              </w:rPr>
                              <w:t>industry</w:t>
                            </w:r>
                            <w:r>
                              <w:rPr>
                                <w:color w:val="000000"/>
                                <w:spacing w:val="-7"/>
                              </w:rPr>
                              <w:t> </w:t>
                            </w:r>
                            <w:r>
                              <w:rPr>
                                <w:color w:val="000000"/>
                                <w:spacing w:val="-2"/>
                              </w:rPr>
                              <w:t>changes;</w:t>
                            </w:r>
                          </w:p>
                          <w:p>
                            <w:pPr>
                              <w:pStyle w:val="BodyText"/>
                              <w:numPr>
                                <w:ilvl w:val="0"/>
                                <w:numId w:val="86"/>
                              </w:numPr>
                              <w:tabs>
                                <w:tab w:pos="426" w:val="left" w:leader="none"/>
                              </w:tabs>
                              <w:spacing w:line="240" w:lineRule="auto" w:before="66" w:after="0"/>
                              <w:ind w:left="426" w:right="0" w:hanging="285"/>
                              <w:jc w:val="left"/>
                              <w:rPr>
                                <w:color w:val="000000"/>
                              </w:rPr>
                            </w:pPr>
                            <w:r>
                              <w:rPr>
                                <w:color w:val="000000"/>
                              </w:rPr>
                              <w:t>are</w:t>
                            </w:r>
                            <w:r>
                              <w:rPr>
                                <w:color w:val="000000"/>
                                <w:spacing w:val="-4"/>
                              </w:rPr>
                              <w:t> </w:t>
                            </w:r>
                            <w:r>
                              <w:rPr>
                                <w:color w:val="000000"/>
                              </w:rPr>
                              <w:t>clearly</w:t>
                            </w:r>
                            <w:r>
                              <w:rPr>
                                <w:color w:val="000000"/>
                                <w:spacing w:val="-7"/>
                              </w:rPr>
                              <w:t> </w:t>
                            </w:r>
                            <w:r>
                              <w:rPr>
                                <w:color w:val="000000"/>
                              </w:rPr>
                              <w:t>expressed</w:t>
                            </w:r>
                            <w:r>
                              <w:rPr>
                                <w:color w:val="000000"/>
                                <w:spacing w:val="-4"/>
                              </w:rPr>
                              <w:t> </w:t>
                            </w:r>
                            <w:r>
                              <w:rPr>
                                <w:color w:val="000000"/>
                              </w:rPr>
                              <w:t>as</w:t>
                            </w:r>
                            <w:r>
                              <w:rPr>
                                <w:color w:val="000000"/>
                                <w:spacing w:val="-8"/>
                              </w:rPr>
                              <w:t> </w:t>
                            </w:r>
                            <w:r>
                              <w:rPr>
                                <w:color w:val="000000"/>
                              </w:rPr>
                              <w:t>to</w:t>
                            </w:r>
                            <w:r>
                              <w:rPr>
                                <w:color w:val="000000"/>
                                <w:spacing w:val="-7"/>
                              </w:rPr>
                              <w:t> </w:t>
                            </w:r>
                            <w:r>
                              <w:rPr>
                                <w:color w:val="000000"/>
                              </w:rPr>
                              <w:t>the</w:t>
                            </w:r>
                            <w:r>
                              <w:rPr>
                                <w:color w:val="000000"/>
                                <w:spacing w:val="-4"/>
                              </w:rPr>
                              <w:t> </w:t>
                            </w:r>
                            <w:r>
                              <w:rPr>
                                <w:color w:val="000000"/>
                              </w:rPr>
                              <w:t>obligations</w:t>
                            </w:r>
                            <w:r>
                              <w:rPr>
                                <w:color w:val="000000"/>
                                <w:spacing w:val="-4"/>
                              </w:rPr>
                              <w:t> </w:t>
                            </w:r>
                            <w:r>
                              <w:rPr>
                                <w:color w:val="000000"/>
                              </w:rPr>
                              <w:t>imposed</w:t>
                            </w:r>
                            <w:r>
                              <w:rPr>
                                <w:color w:val="000000"/>
                                <w:spacing w:val="-4"/>
                              </w:rPr>
                              <w:t> </w:t>
                            </w:r>
                            <w:r>
                              <w:rPr>
                                <w:color w:val="000000"/>
                              </w:rPr>
                              <w:t>and</w:t>
                            </w:r>
                            <w:r>
                              <w:rPr>
                                <w:color w:val="000000"/>
                                <w:spacing w:val="-5"/>
                              </w:rPr>
                              <w:t> </w:t>
                            </w:r>
                            <w:r>
                              <w:rPr>
                                <w:color w:val="000000"/>
                              </w:rPr>
                              <w:t>classes</w:t>
                            </w:r>
                            <w:r>
                              <w:rPr>
                                <w:color w:val="000000"/>
                                <w:spacing w:val="-6"/>
                              </w:rPr>
                              <w:t> </w:t>
                            </w:r>
                            <w:r>
                              <w:rPr>
                                <w:color w:val="000000"/>
                              </w:rPr>
                              <w:t>of</w:t>
                            </w:r>
                            <w:r>
                              <w:rPr>
                                <w:color w:val="000000"/>
                                <w:spacing w:val="-3"/>
                              </w:rPr>
                              <w:t> </w:t>
                            </w:r>
                            <w:r>
                              <w:rPr>
                                <w:color w:val="000000"/>
                              </w:rPr>
                              <w:t>duty</w:t>
                            </w:r>
                            <w:r>
                              <w:rPr>
                                <w:color w:val="000000"/>
                                <w:spacing w:val="-6"/>
                              </w:rPr>
                              <w:t> </w:t>
                            </w:r>
                            <w:r>
                              <w:rPr>
                                <w:color w:val="000000"/>
                                <w:spacing w:val="-2"/>
                              </w:rPr>
                              <w:t>holders;</w:t>
                            </w:r>
                          </w:p>
                          <w:p>
                            <w:pPr>
                              <w:pStyle w:val="BodyText"/>
                              <w:numPr>
                                <w:ilvl w:val="0"/>
                                <w:numId w:val="86"/>
                              </w:numPr>
                              <w:tabs>
                                <w:tab w:pos="426" w:val="left" w:leader="none"/>
                              </w:tabs>
                              <w:spacing w:line="240" w:lineRule="auto" w:before="66" w:after="0"/>
                              <w:ind w:left="426" w:right="0" w:hanging="285"/>
                              <w:jc w:val="left"/>
                              <w:rPr>
                                <w:color w:val="000000"/>
                              </w:rPr>
                            </w:pPr>
                            <w:r>
                              <w:rPr>
                                <w:color w:val="000000"/>
                              </w:rPr>
                              <w:t>are</w:t>
                            </w:r>
                            <w:r>
                              <w:rPr>
                                <w:color w:val="000000"/>
                                <w:spacing w:val="-5"/>
                              </w:rPr>
                              <w:t> </w:t>
                            </w:r>
                            <w:r>
                              <w:rPr>
                                <w:color w:val="000000"/>
                              </w:rPr>
                              <w:t>enforceable</w:t>
                            </w:r>
                            <w:r>
                              <w:rPr>
                                <w:color w:val="000000"/>
                                <w:spacing w:val="-5"/>
                              </w:rPr>
                              <w:t> </w:t>
                            </w:r>
                            <w:r>
                              <w:rPr>
                                <w:color w:val="000000"/>
                              </w:rPr>
                              <w:t>in</w:t>
                            </w:r>
                            <w:r>
                              <w:rPr>
                                <w:color w:val="000000"/>
                                <w:spacing w:val="-7"/>
                              </w:rPr>
                              <w:t> </w:t>
                            </w:r>
                            <w:r>
                              <w:rPr>
                                <w:color w:val="000000"/>
                                <w:spacing w:val="-2"/>
                              </w:rPr>
                              <w:t>practice;</w:t>
                            </w:r>
                          </w:p>
                          <w:p>
                            <w:pPr>
                              <w:pStyle w:val="BodyText"/>
                              <w:numPr>
                                <w:ilvl w:val="0"/>
                                <w:numId w:val="86"/>
                              </w:numPr>
                              <w:tabs>
                                <w:tab w:pos="425" w:val="left" w:leader="none"/>
                                <w:tab w:pos="427" w:val="left" w:leader="none"/>
                              </w:tabs>
                              <w:spacing w:line="288" w:lineRule="auto" w:before="64" w:after="0"/>
                              <w:ind w:left="427" w:right="413" w:hanging="287"/>
                              <w:jc w:val="left"/>
                              <w:rPr>
                                <w:color w:val="000000"/>
                              </w:rPr>
                            </w:pPr>
                            <w:r>
                              <w:rPr>
                                <w:color w:val="000000"/>
                              </w:rPr>
                              <w:t>function effectively with safety case provisions under the Act, including enabling the regulator</w:t>
                            </w:r>
                            <w:r>
                              <w:rPr>
                                <w:color w:val="000000"/>
                                <w:spacing w:val="-4"/>
                              </w:rPr>
                              <w:t> </w:t>
                            </w:r>
                            <w:r>
                              <w:rPr>
                                <w:color w:val="000000"/>
                              </w:rPr>
                              <w:t>to</w:t>
                            </w:r>
                            <w:r>
                              <w:rPr>
                                <w:color w:val="000000"/>
                                <w:spacing w:val="-5"/>
                              </w:rPr>
                              <w:t> </w:t>
                            </w:r>
                            <w:r>
                              <w:rPr>
                                <w:color w:val="000000"/>
                              </w:rPr>
                              <w:t>take</w:t>
                            </w:r>
                            <w:r>
                              <w:rPr>
                                <w:color w:val="000000"/>
                                <w:spacing w:val="-3"/>
                              </w:rPr>
                              <w:t> </w:t>
                            </w:r>
                            <w:r>
                              <w:rPr>
                                <w:color w:val="000000"/>
                              </w:rPr>
                              <w:t>compliance</w:t>
                            </w:r>
                            <w:r>
                              <w:rPr>
                                <w:color w:val="000000"/>
                                <w:spacing w:val="-3"/>
                              </w:rPr>
                              <w:t> </w:t>
                            </w:r>
                            <w:r>
                              <w:rPr>
                                <w:color w:val="000000"/>
                              </w:rPr>
                              <w:t>and</w:t>
                            </w:r>
                            <w:r>
                              <w:rPr>
                                <w:color w:val="000000"/>
                                <w:spacing w:val="-3"/>
                              </w:rPr>
                              <w:t> </w:t>
                            </w:r>
                            <w:r>
                              <w:rPr>
                                <w:color w:val="000000"/>
                              </w:rPr>
                              <w:t>enforcement</w:t>
                            </w:r>
                            <w:r>
                              <w:rPr>
                                <w:color w:val="000000"/>
                                <w:spacing w:val="-1"/>
                              </w:rPr>
                              <w:t> </w:t>
                            </w:r>
                            <w:r>
                              <w:rPr>
                                <w:color w:val="000000"/>
                              </w:rPr>
                              <w:t>action</w:t>
                            </w:r>
                            <w:r>
                              <w:rPr>
                                <w:color w:val="000000"/>
                                <w:spacing w:val="-3"/>
                              </w:rPr>
                              <w:t> </w:t>
                            </w:r>
                            <w:r>
                              <w:rPr>
                                <w:color w:val="000000"/>
                              </w:rPr>
                              <w:t>in</w:t>
                            </w:r>
                            <w:r>
                              <w:rPr>
                                <w:color w:val="000000"/>
                                <w:spacing w:val="-3"/>
                              </w:rPr>
                              <w:t> </w:t>
                            </w:r>
                            <w:r>
                              <w:rPr>
                                <w:color w:val="000000"/>
                              </w:rPr>
                              <w:t>response</w:t>
                            </w:r>
                            <w:r>
                              <w:rPr>
                                <w:color w:val="000000"/>
                                <w:spacing w:val="-5"/>
                              </w:rPr>
                              <w:t> </w:t>
                            </w:r>
                            <w:r>
                              <w:rPr>
                                <w:color w:val="000000"/>
                              </w:rPr>
                              <w:t>to</w:t>
                            </w:r>
                            <w:r>
                              <w:rPr>
                                <w:color w:val="000000"/>
                                <w:spacing w:val="-5"/>
                              </w:rPr>
                              <w:t> </w:t>
                            </w:r>
                            <w:r>
                              <w:rPr>
                                <w:color w:val="000000"/>
                              </w:rPr>
                              <w:t>unacceptable</w:t>
                            </w:r>
                            <w:r>
                              <w:rPr>
                                <w:color w:val="000000"/>
                                <w:spacing w:val="-3"/>
                              </w:rPr>
                              <w:t> </w:t>
                            </w:r>
                            <w:r>
                              <w:rPr>
                                <w:color w:val="000000"/>
                              </w:rPr>
                              <w:t>risk; </w:t>
                            </w:r>
                            <w:r>
                              <w:rPr>
                                <w:color w:val="000000"/>
                                <w:spacing w:val="-4"/>
                              </w:rPr>
                              <w:t>and</w:t>
                            </w:r>
                          </w:p>
                          <w:p>
                            <w:pPr>
                              <w:pStyle w:val="BodyText"/>
                              <w:numPr>
                                <w:ilvl w:val="0"/>
                                <w:numId w:val="86"/>
                              </w:numPr>
                              <w:tabs>
                                <w:tab w:pos="426" w:val="left" w:leader="none"/>
                              </w:tabs>
                              <w:spacing w:line="240" w:lineRule="auto" w:before="16" w:after="0"/>
                              <w:ind w:left="426" w:right="0" w:hanging="285"/>
                              <w:jc w:val="left"/>
                              <w:rPr>
                                <w:color w:val="000000"/>
                              </w:rPr>
                            </w:pPr>
                            <w:r>
                              <w:rPr>
                                <w:color w:val="000000"/>
                              </w:rPr>
                              <w:t>remain</w:t>
                            </w:r>
                            <w:r>
                              <w:rPr>
                                <w:color w:val="000000"/>
                                <w:spacing w:val="-11"/>
                              </w:rPr>
                              <w:t> </w:t>
                            </w:r>
                            <w:r>
                              <w:rPr>
                                <w:color w:val="000000"/>
                              </w:rPr>
                              <w:t>outcomes-based</w:t>
                            </w:r>
                            <w:r>
                              <w:rPr>
                                <w:color w:val="000000"/>
                                <w:spacing w:val="-9"/>
                              </w:rPr>
                              <w:t> </w:t>
                            </w:r>
                            <w:r>
                              <w:rPr>
                                <w:color w:val="000000"/>
                              </w:rPr>
                              <w:t>allowing</w:t>
                            </w:r>
                            <w:r>
                              <w:rPr>
                                <w:color w:val="000000"/>
                                <w:spacing w:val="-8"/>
                              </w:rPr>
                              <w:t> </w:t>
                            </w:r>
                            <w:r>
                              <w:rPr>
                                <w:color w:val="000000"/>
                              </w:rPr>
                              <w:t>flexibility</w:t>
                            </w:r>
                            <w:r>
                              <w:rPr>
                                <w:color w:val="000000"/>
                                <w:spacing w:val="-10"/>
                              </w:rPr>
                              <w:t> </w:t>
                            </w:r>
                            <w:r>
                              <w:rPr>
                                <w:color w:val="000000"/>
                              </w:rPr>
                              <w:t>in</w:t>
                            </w:r>
                            <w:r>
                              <w:rPr>
                                <w:color w:val="000000"/>
                                <w:spacing w:val="-8"/>
                              </w:rPr>
                              <w:t> </w:t>
                            </w:r>
                            <w:r>
                              <w:rPr>
                                <w:color w:val="000000"/>
                              </w:rPr>
                              <w:t>compliance</w:t>
                            </w:r>
                            <w:r>
                              <w:rPr>
                                <w:color w:val="000000"/>
                                <w:spacing w:val="-8"/>
                              </w:rPr>
                              <w:t> </w:t>
                            </w:r>
                            <w:r>
                              <w:rPr>
                                <w:color w:val="000000"/>
                                <w:spacing w:val="-2"/>
                              </w:rPr>
                              <w:t>arrangements.</w:t>
                            </w:r>
                          </w:p>
                        </w:txbxContent>
                      </wps:txbx>
                      <wps:bodyPr wrap="square" lIns="0" tIns="0" rIns="0" bIns="0" rtlCol="0">
                        <a:noAutofit/>
                      </wps:bodyPr>
                    </wps:wsp>
                  </a:graphicData>
                </a:graphic>
              </wp:inline>
            </w:drawing>
          </mc:Choice>
          <mc:Fallback>
            <w:pict>
              <v:shape style="width:462.25pt;height:235.4pt;mso-position-horizontal-relative:char;mso-position-vertical-relative:line" type="#_x0000_t202" id="docshape178" filled="true" fillcolor="#d9d9d9" stroked="false">
                <w10:anchorlock/>
                <v:textbox inset="0,0,0,0">
                  <w:txbxContent>
                    <w:p>
                      <w:pPr>
                        <w:pStyle w:val="BodyText"/>
                        <w:spacing w:before="10"/>
                        <w:rPr>
                          <w:color w:val="000000"/>
                          <w:sz w:val="20"/>
                        </w:rPr>
                      </w:pPr>
                    </w:p>
                    <w:p>
                      <w:pPr>
                        <w:spacing w:before="0"/>
                        <w:ind w:left="112" w:right="0" w:firstLine="0"/>
                        <w:jc w:val="left"/>
                        <w:rPr>
                          <w:b/>
                          <w:color w:val="000000"/>
                          <w:sz w:val="22"/>
                        </w:rPr>
                      </w:pPr>
                      <w:r>
                        <w:rPr>
                          <w:b/>
                          <w:color w:val="000000"/>
                          <w:sz w:val="22"/>
                        </w:rPr>
                        <w:t>Recommendation</w:t>
                      </w:r>
                      <w:r>
                        <w:rPr>
                          <w:b/>
                          <w:color w:val="000000"/>
                          <w:spacing w:val="-6"/>
                          <w:sz w:val="22"/>
                        </w:rPr>
                        <w:t> </w:t>
                      </w:r>
                      <w:r>
                        <w:rPr>
                          <w:b/>
                          <w:color w:val="000000"/>
                          <w:spacing w:val="-5"/>
                          <w:sz w:val="22"/>
                        </w:rPr>
                        <w:t>36</w:t>
                      </w:r>
                    </w:p>
                    <w:p>
                      <w:pPr>
                        <w:pStyle w:val="BodyText"/>
                        <w:spacing w:before="2"/>
                        <w:rPr>
                          <w:b/>
                          <w:color w:val="000000"/>
                          <w:sz w:val="25"/>
                        </w:rPr>
                      </w:pPr>
                    </w:p>
                    <w:p>
                      <w:pPr>
                        <w:pStyle w:val="BodyText"/>
                        <w:spacing w:line="288" w:lineRule="auto"/>
                        <w:ind w:left="112"/>
                        <w:rPr>
                          <w:color w:val="000000"/>
                        </w:rPr>
                      </w:pPr>
                      <w:r>
                        <w:rPr>
                          <w:color w:val="000000"/>
                        </w:rPr>
                        <w:t>The</w:t>
                      </w:r>
                      <w:r>
                        <w:rPr>
                          <w:color w:val="000000"/>
                          <w:spacing w:val="-7"/>
                        </w:rPr>
                        <w:t> </w:t>
                      </w:r>
                      <w:r>
                        <w:rPr>
                          <w:color w:val="000000"/>
                        </w:rPr>
                        <w:t>general</w:t>
                      </w:r>
                      <w:r>
                        <w:rPr>
                          <w:color w:val="000000"/>
                          <w:spacing w:val="-2"/>
                        </w:rPr>
                        <w:t> </w:t>
                      </w:r>
                      <w:r>
                        <w:rPr>
                          <w:color w:val="000000"/>
                        </w:rPr>
                        <w:t>safety</w:t>
                      </w:r>
                      <w:r>
                        <w:rPr>
                          <w:color w:val="000000"/>
                          <w:spacing w:val="-4"/>
                        </w:rPr>
                        <w:t> </w:t>
                      </w:r>
                      <w:r>
                        <w:rPr>
                          <w:color w:val="000000"/>
                        </w:rPr>
                        <w:t>duties</w:t>
                      </w:r>
                      <w:r>
                        <w:rPr>
                          <w:color w:val="000000"/>
                          <w:spacing w:val="-2"/>
                        </w:rPr>
                        <w:t> </w:t>
                      </w:r>
                      <w:r>
                        <w:rPr>
                          <w:color w:val="000000"/>
                        </w:rPr>
                        <w:t>within</w:t>
                      </w:r>
                      <w:r>
                        <w:rPr>
                          <w:color w:val="000000"/>
                          <w:spacing w:val="-2"/>
                        </w:rPr>
                        <w:t> </w:t>
                      </w:r>
                      <w:r>
                        <w:rPr>
                          <w:color w:val="000000"/>
                        </w:rPr>
                        <w:t>the</w:t>
                      </w:r>
                      <w:r>
                        <w:rPr>
                          <w:color w:val="000000"/>
                          <w:spacing w:val="-2"/>
                        </w:rPr>
                        <w:t> </w:t>
                      </w:r>
                      <w:r>
                        <w:rPr>
                          <w:color w:val="000000"/>
                        </w:rPr>
                        <w:t>new</w:t>
                      </w:r>
                      <w:r>
                        <w:rPr>
                          <w:color w:val="000000"/>
                          <w:spacing w:val="-5"/>
                        </w:rPr>
                        <w:t> </w:t>
                      </w:r>
                      <w:r>
                        <w:rPr>
                          <w:color w:val="000000"/>
                        </w:rPr>
                        <w:t>consolidated</w:t>
                      </w:r>
                      <w:r>
                        <w:rPr>
                          <w:color w:val="000000"/>
                          <w:spacing w:val="-2"/>
                        </w:rPr>
                        <w:t> </w:t>
                      </w:r>
                      <w:r>
                        <w:rPr>
                          <w:color w:val="000000"/>
                        </w:rPr>
                        <w:t>energy</w:t>
                      </w:r>
                      <w:r>
                        <w:rPr>
                          <w:color w:val="000000"/>
                          <w:spacing w:val="-4"/>
                        </w:rPr>
                        <w:t> </w:t>
                      </w:r>
                      <w:r>
                        <w:rPr>
                          <w:color w:val="000000"/>
                        </w:rPr>
                        <w:t>safety</w:t>
                      </w:r>
                      <w:r>
                        <w:rPr>
                          <w:color w:val="000000"/>
                          <w:spacing w:val="-4"/>
                        </w:rPr>
                        <w:t> </w:t>
                      </w:r>
                      <w:r>
                        <w:rPr>
                          <w:color w:val="000000"/>
                        </w:rPr>
                        <w:t>legislation</w:t>
                      </w:r>
                      <w:r>
                        <w:rPr>
                          <w:color w:val="000000"/>
                          <w:spacing w:val="-2"/>
                        </w:rPr>
                        <w:t> </w:t>
                      </w:r>
                      <w:r>
                        <w:rPr>
                          <w:color w:val="000000"/>
                        </w:rPr>
                        <w:t>should</w:t>
                      </w:r>
                      <w:r>
                        <w:rPr>
                          <w:color w:val="000000"/>
                          <w:spacing w:val="-2"/>
                        </w:rPr>
                        <w:t> </w:t>
                      </w:r>
                      <w:r>
                        <w:rPr>
                          <w:color w:val="000000"/>
                        </w:rPr>
                        <w:t>be presented clearly, with the aim that they:</w:t>
                      </w:r>
                    </w:p>
                    <w:p>
                      <w:pPr>
                        <w:pStyle w:val="BodyText"/>
                        <w:spacing w:before="4"/>
                        <w:rPr>
                          <w:color w:val="000000"/>
                        </w:rPr>
                      </w:pPr>
                    </w:p>
                    <w:p>
                      <w:pPr>
                        <w:pStyle w:val="BodyText"/>
                        <w:numPr>
                          <w:ilvl w:val="0"/>
                          <w:numId w:val="86"/>
                        </w:numPr>
                        <w:tabs>
                          <w:tab w:pos="426" w:val="left" w:leader="none"/>
                        </w:tabs>
                        <w:spacing w:line="240" w:lineRule="auto" w:before="0" w:after="0"/>
                        <w:ind w:left="426" w:right="0" w:hanging="285"/>
                        <w:jc w:val="left"/>
                        <w:rPr>
                          <w:color w:val="000000"/>
                        </w:rPr>
                      </w:pPr>
                      <w:r>
                        <w:rPr>
                          <w:color w:val="000000"/>
                        </w:rPr>
                        <w:t>are</w:t>
                      </w:r>
                      <w:r>
                        <w:rPr>
                          <w:color w:val="000000"/>
                          <w:spacing w:val="-6"/>
                        </w:rPr>
                        <w:t> </w:t>
                      </w:r>
                      <w:r>
                        <w:rPr>
                          <w:color w:val="000000"/>
                        </w:rPr>
                        <w:t>aligned,</w:t>
                      </w:r>
                      <w:r>
                        <w:rPr>
                          <w:color w:val="000000"/>
                          <w:spacing w:val="-5"/>
                        </w:rPr>
                        <w:t> </w:t>
                      </w:r>
                      <w:r>
                        <w:rPr>
                          <w:color w:val="000000"/>
                        </w:rPr>
                        <w:t>but</w:t>
                      </w:r>
                      <w:r>
                        <w:rPr>
                          <w:color w:val="000000"/>
                          <w:spacing w:val="-8"/>
                        </w:rPr>
                        <w:t> </w:t>
                      </w:r>
                      <w:r>
                        <w:rPr>
                          <w:color w:val="000000"/>
                        </w:rPr>
                        <w:t>retain</w:t>
                      </w:r>
                      <w:r>
                        <w:rPr>
                          <w:color w:val="000000"/>
                          <w:spacing w:val="-7"/>
                        </w:rPr>
                        <w:t> </w:t>
                      </w:r>
                      <w:r>
                        <w:rPr>
                          <w:color w:val="000000"/>
                        </w:rPr>
                        <w:t>necessary</w:t>
                      </w:r>
                      <w:r>
                        <w:rPr>
                          <w:color w:val="000000"/>
                          <w:spacing w:val="-9"/>
                        </w:rPr>
                        <w:t> </w:t>
                      </w:r>
                      <w:r>
                        <w:rPr>
                          <w:color w:val="000000"/>
                        </w:rPr>
                        <w:t>sector-specific</w:t>
                      </w:r>
                      <w:r>
                        <w:rPr>
                          <w:color w:val="000000"/>
                          <w:spacing w:val="-5"/>
                        </w:rPr>
                        <w:t> </w:t>
                      </w:r>
                      <w:r>
                        <w:rPr>
                          <w:color w:val="000000"/>
                          <w:spacing w:val="-2"/>
                        </w:rPr>
                        <w:t>differences;</w:t>
                      </w:r>
                    </w:p>
                    <w:p>
                      <w:pPr>
                        <w:pStyle w:val="BodyText"/>
                        <w:numPr>
                          <w:ilvl w:val="0"/>
                          <w:numId w:val="86"/>
                        </w:numPr>
                        <w:tabs>
                          <w:tab w:pos="426" w:val="left" w:leader="none"/>
                        </w:tabs>
                        <w:spacing w:line="240" w:lineRule="auto" w:before="66" w:after="0"/>
                        <w:ind w:left="426" w:right="0" w:hanging="285"/>
                        <w:jc w:val="left"/>
                        <w:rPr>
                          <w:color w:val="000000"/>
                        </w:rPr>
                      </w:pPr>
                      <w:r>
                        <w:rPr>
                          <w:color w:val="000000"/>
                        </w:rPr>
                        <w:t>cover</w:t>
                      </w:r>
                      <w:r>
                        <w:rPr>
                          <w:color w:val="000000"/>
                          <w:spacing w:val="-4"/>
                        </w:rPr>
                        <w:t> </w:t>
                      </w:r>
                      <w:r>
                        <w:rPr>
                          <w:color w:val="000000"/>
                        </w:rPr>
                        <w:t>a</w:t>
                      </w:r>
                      <w:r>
                        <w:rPr>
                          <w:color w:val="000000"/>
                          <w:spacing w:val="-4"/>
                        </w:rPr>
                        <w:t> </w:t>
                      </w:r>
                      <w:r>
                        <w:rPr>
                          <w:color w:val="000000"/>
                        </w:rPr>
                        <w:t>range</w:t>
                      </w:r>
                      <w:r>
                        <w:rPr>
                          <w:color w:val="000000"/>
                          <w:spacing w:val="-6"/>
                        </w:rPr>
                        <w:t> </w:t>
                      </w:r>
                      <w:r>
                        <w:rPr>
                          <w:color w:val="000000"/>
                        </w:rPr>
                        <w:t>of</w:t>
                      </w:r>
                      <w:r>
                        <w:rPr>
                          <w:color w:val="000000"/>
                          <w:spacing w:val="-2"/>
                        </w:rPr>
                        <w:t> </w:t>
                      </w:r>
                      <w:r>
                        <w:rPr>
                          <w:color w:val="000000"/>
                        </w:rPr>
                        <w:t>circumstances</w:t>
                      </w:r>
                      <w:r>
                        <w:rPr>
                          <w:color w:val="000000"/>
                          <w:spacing w:val="-4"/>
                        </w:rPr>
                        <w:t> </w:t>
                      </w:r>
                      <w:r>
                        <w:rPr>
                          <w:color w:val="000000"/>
                        </w:rPr>
                        <w:t>in</w:t>
                      </w:r>
                      <w:r>
                        <w:rPr>
                          <w:color w:val="000000"/>
                          <w:spacing w:val="-6"/>
                        </w:rPr>
                        <w:t> </w:t>
                      </w:r>
                      <w:r>
                        <w:rPr>
                          <w:color w:val="000000"/>
                        </w:rPr>
                        <w:t>energy</w:t>
                      </w:r>
                      <w:r>
                        <w:rPr>
                          <w:color w:val="000000"/>
                          <w:spacing w:val="-6"/>
                        </w:rPr>
                        <w:t> </w:t>
                      </w:r>
                      <w:r>
                        <w:rPr>
                          <w:color w:val="000000"/>
                        </w:rPr>
                        <w:t>network</w:t>
                      </w:r>
                      <w:r>
                        <w:rPr>
                          <w:color w:val="000000"/>
                          <w:spacing w:val="-3"/>
                        </w:rPr>
                        <w:t> </w:t>
                      </w:r>
                      <w:r>
                        <w:rPr>
                          <w:color w:val="000000"/>
                          <w:spacing w:val="-2"/>
                        </w:rPr>
                        <w:t>safety;</w:t>
                      </w:r>
                    </w:p>
                    <w:p>
                      <w:pPr>
                        <w:pStyle w:val="BodyText"/>
                        <w:numPr>
                          <w:ilvl w:val="0"/>
                          <w:numId w:val="86"/>
                        </w:numPr>
                        <w:tabs>
                          <w:tab w:pos="426" w:val="left" w:leader="none"/>
                        </w:tabs>
                        <w:spacing w:line="240" w:lineRule="auto" w:before="64" w:after="0"/>
                        <w:ind w:left="426" w:right="0" w:hanging="285"/>
                        <w:jc w:val="left"/>
                        <w:rPr>
                          <w:color w:val="000000"/>
                        </w:rPr>
                      </w:pPr>
                      <w:r>
                        <w:rPr>
                          <w:color w:val="000000"/>
                        </w:rPr>
                        <w:t>do</w:t>
                      </w:r>
                      <w:r>
                        <w:rPr>
                          <w:color w:val="000000"/>
                          <w:spacing w:val="-5"/>
                        </w:rPr>
                        <w:t> </w:t>
                      </w:r>
                      <w:r>
                        <w:rPr>
                          <w:color w:val="000000"/>
                        </w:rPr>
                        <w:t>not</w:t>
                      </w:r>
                      <w:r>
                        <w:rPr>
                          <w:color w:val="000000"/>
                          <w:spacing w:val="-5"/>
                        </w:rPr>
                        <w:t> </w:t>
                      </w:r>
                      <w:r>
                        <w:rPr>
                          <w:color w:val="000000"/>
                        </w:rPr>
                        <w:t>easily</w:t>
                      </w:r>
                      <w:r>
                        <w:rPr>
                          <w:color w:val="000000"/>
                          <w:spacing w:val="-6"/>
                        </w:rPr>
                        <w:t> </w:t>
                      </w:r>
                      <w:r>
                        <w:rPr>
                          <w:color w:val="000000"/>
                        </w:rPr>
                        <w:t>become</w:t>
                      </w:r>
                      <w:r>
                        <w:rPr>
                          <w:color w:val="000000"/>
                          <w:spacing w:val="-3"/>
                        </w:rPr>
                        <w:t> </w:t>
                      </w:r>
                      <w:r>
                        <w:rPr>
                          <w:color w:val="000000"/>
                        </w:rPr>
                        <w:t>outdated</w:t>
                      </w:r>
                      <w:r>
                        <w:rPr>
                          <w:color w:val="000000"/>
                          <w:spacing w:val="-4"/>
                        </w:rPr>
                        <w:t> </w:t>
                      </w:r>
                      <w:r>
                        <w:rPr>
                          <w:color w:val="000000"/>
                        </w:rPr>
                        <w:t>and</w:t>
                      </w:r>
                      <w:r>
                        <w:rPr>
                          <w:color w:val="000000"/>
                          <w:spacing w:val="-6"/>
                        </w:rPr>
                        <w:t> </w:t>
                      </w:r>
                      <w:r>
                        <w:rPr>
                          <w:color w:val="000000"/>
                        </w:rPr>
                        <w:t>can</w:t>
                      </w:r>
                      <w:r>
                        <w:rPr>
                          <w:color w:val="000000"/>
                          <w:spacing w:val="-6"/>
                        </w:rPr>
                        <w:t> </w:t>
                      </w:r>
                      <w:r>
                        <w:rPr>
                          <w:color w:val="000000"/>
                        </w:rPr>
                        <w:t>cover</w:t>
                      </w:r>
                      <w:r>
                        <w:rPr>
                          <w:color w:val="000000"/>
                          <w:spacing w:val="-3"/>
                        </w:rPr>
                        <w:t> </w:t>
                      </w:r>
                      <w:r>
                        <w:rPr>
                          <w:color w:val="000000"/>
                        </w:rPr>
                        <w:t>emerging</w:t>
                      </w:r>
                      <w:r>
                        <w:rPr>
                          <w:color w:val="000000"/>
                          <w:spacing w:val="-4"/>
                        </w:rPr>
                        <w:t> </w:t>
                      </w:r>
                      <w:r>
                        <w:rPr>
                          <w:color w:val="000000"/>
                        </w:rPr>
                        <w:t>risks</w:t>
                      </w:r>
                      <w:r>
                        <w:rPr>
                          <w:color w:val="000000"/>
                          <w:spacing w:val="-6"/>
                        </w:rPr>
                        <w:t> </w:t>
                      </w:r>
                      <w:r>
                        <w:rPr>
                          <w:color w:val="000000"/>
                        </w:rPr>
                        <w:t>and</w:t>
                      </w:r>
                      <w:r>
                        <w:rPr>
                          <w:color w:val="000000"/>
                          <w:spacing w:val="-5"/>
                        </w:rPr>
                        <w:t> </w:t>
                      </w:r>
                      <w:r>
                        <w:rPr>
                          <w:color w:val="000000"/>
                        </w:rPr>
                        <w:t>industry</w:t>
                      </w:r>
                      <w:r>
                        <w:rPr>
                          <w:color w:val="000000"/>
                          <w:spacing w:val="-7"/>
                        </w:rPr>
                        <w:t> </w:t>
                      </w:r>
                      <w:r>
                        <w:rPr>
                          <w:color w:val="000000"/>
                          <w:spacing w:val="-2"/>
                        </w:rPr>
                        <w:t>changes;</w:t>
                      </w:r>
                    </w:p>
                    <w:p>
                      <w:pPr>
                        <w:pStyle w:val="BodyText"/>
                        <w:numPr>
                          <w:ilvl w:val="0"/>
                          <w:numId w:val="86"/>
                        </w:numPr>
                        <w:tabs>
                          <w:tab w:pos="426" w:val="left" w:leader="none"/>
                        </w:tabs>
                        <w:spacing w:line="240" w:lineRule="auto" w:before="66" w:after="0"/>
                        <w:ind w:left="426" w:right="0" w:hanging="285"/>
                        <w:jc w:val="left"/>
                        <w:rPr>
                          <w:color w:val="000000"/>
                        </w:rPr>
                      </w:pPr>
                      <w:r>
                        <w:rPr>
                          <w:color w:val="000000"/>
                        </w:rPr>
                        <w:t>are</w:t>
                      </w:r>
                      <w:r>
                        <w:rPr>
                          <w:color w:val="000000"/>
                          <w:spacing w:val="-4"/>
                        </w:rPr>
                        <w:t> </w:t>
                      </w:r>
                      <w:r>
                        <w:rPr>
                          <w:color w:val="000000"/>
                        </w:rPr>
                        <w:t>clearly</w:t>
                      </w:r>
                      <w:r>
                        <w:rPr>
                          <w:color w:val="000000"/>
                          <w:spacing w:val="-7"/>
                        </w:rPr>
                        <w:t> </w:t>
                      </w:r>
                      <w:r>
                        <w:rPr>
                          <w:color w:val="000000"/>
                        </w:rPr>
                        <w:t>expressed</w:t>
                      </w:r>
                      <w:r>
                        <w:rPr>
                          <w:color w:val="000000"/>
                          <w:spacing w:val="-4"/>
                        </w:rPr>
                        <w:t> </w:t>
                      </w:r>
                      <w:r>
                        <w:rPr>
                          <w:color w:val="000000"/>
                        </w:rPr>
                        <w:t>as</w:t>
                      </w:r>
                      <w:r>
                        <w:rPr>
                          <w:color w:val="000000"/>
                          <w:spacing w:val="-8"/>
                        </w:rPr>
                        <w:t> </w:t>
                      </w:r>
                      <w:r>
                        <w:rPr>
                          <w:color w:val="000000"/>
                        </w:rPr>
                        <w:t>to</w:t>
                      </w:r>
                      <w:r>
                        <w:rPr>
                          <w:color w:val="000000"/>
                          <w:spacing w:val="-7"/>
                        </w:rPr>
                        <w:t> </w:t>
                      </w:r>
                      <w:r>
                        <w:rPr>
                          <w:color w:val="000000"/>
                        </w:rPr>
                        <w:t>the</w:t>
                      </w:r>
                      <w:r>
                        <w:rPr>
                          <w:color w:val="000000"/>
                          <w:spacing w:val="-4"/>
                        </w:rPr>
                        <w:t> </w:t>
                      </w:r>
                      <w:r>
                        <w:rPr>
                          <w:color w:val="000000"/>
                        </w:rPr>
                        <w:t>obligations</w:t>
                      </w:r>
                      <w:r>
                        <w:rPr>
                          <w:color w:val="000000"/>
                          <w:spacing w:val="-4"/>
                        </w:rPr>
                        <w:t> </w:t>
                      </w:r>
                      <w:r>
                        <w:rPr>
                          <w:color w:val="000000"/>
                        </w:rPr>
                        <w:t>imposed</w:t>
                      </w:r>
                      <w:r>
                        <w:rPr>
                          <w:color w:val="000000"/>
                          <w:spacing w:val="-4"/>
                        </w:rPr>
                        <w:t> </w:t>
                      </w:r>
                      <w:r>
                        <w:rPr>
                          <w:color w:val="000000"/>
                        </w:rPr>
                        <w:t>and</w:t>
                      </w:r>
                      <w:r>
                        <w:rPr>
                          <w:color w:val="000000"/>
                          <w:spacing w:val="-5"/>
                        </w:rPr>
                        <w:t> </w:t>
                      </w:r>
                      <w:r>
                        <w:rPr>
                          <w:color w:val="000000"/>
                        </w:rPr>
                        <w:t>classes</w:t>
                      </w:r>
                      <w:r>
                        <w:rPr>
                          <w:color w:val="000000"/>
                          <w:spacing w:val="-6"/>
                        </w:rPr>
                        <w:t> </w:t>
                      </w:r>
                      <w:r>
                        <w:rPr>
                          <w:color w:val="000000"/>
                        </w:rPr>
                        <w:t>of</w:t>
                      </w:r>
                      <w:r>
                        <w:rPr>
                          <w:color w:val="000000"/>
                          <w:spacing w:val="-3"/>
                        </w:rPr>
                        <w:t> </w:t>
                      </w:r>
                      <w:r>
                        <w:rPr>
                          <w:color w:val="000000"/>
                        </w:rPr>
                        <w:t>duty</w:t>
                      </w:r>
                      <w:r>
                        <w:rPr>
                          <w:color w:val="000000"/>
                          <w:spacing w:val="-6"/>
                        </w:rPr>
                        <w:t> </w:t>
                      </w:r>
                      <w:r>
                        <w:rPr>
                          <w:color w:val="000000"/>
                          <w:spacing w:val="-2"/>
                        </w:rPr>
                        <w:t>holders;</w:t>
                      </w:r>
                    </w:p>
                    <w:p>
                      <w:pPr>
                        <w:pStyle w:val="BodyText"/>
                        <w:numPr>
                          <w:ilvl w:val="0"/>
                          <w:numId w:val="86"/>
                        </w:numPr>
                        <w:tabs>
                          <w:tab w:pos="426" w:val="left" w:leader="none"/>
                        </w:tabs>
                        <w:spacing w:line="240" w:lineRule="auto" w:before="66" w:after="0"/>
                        <w:ind w:left="426" w:right="0" w:hanging="285"/>
                        <w:jc w:val="left"/>
                        <w:rPr>
                          <w:color w:val="000000"/>
                        </w:rPr>
                      </w:pPr>
                      <w:r>
                        <w:rPr>
                          <w:color w:val="000000"/>
                        </w:rPr>
                        <w:t>are</w:t>
                      </w:r>
                      <w:r>
                        <w:rPr>
                          <w:color w:val="000000"/>
                          <w:spacing w:val="-5"/>
                        </w:rPr>
                        <w:t> </w:t>
                      </w:r>
                      <w:r>
                        <w:rPr>
                          <w:color w:val="000000"/>
                        </w:rPr>
                        <w:t>enforceable</w:t>
                      </w:r>
                      <w:r>
                        <w:rPr>
                          <w:color w:val="000000"/>
                          <w:spacing w:val="-5"/>
                        </w:rPr>
                        <w:t> </w:t>
                      </w:r>
                      <w:r>
                        <w:rPr>
                          <w:color w:val="000000"/>
                        </w:rPr>
                        <w:t>in</w:t>
                      </w:r>
                      <w:r>
                        <w:rPr>
                          <w:color w:val="000000"/>
                          <w:spacing w:val="-7"/>
                        </w:rPr>
                        <w:t> </w:t>
                      </w:r>
                      <w:r>
                        <w:rPr>
                          <w:color w:val="000000"/>
                          <w:spacing w:val="-2"/>
                        </w:rPr>
                        <w:t>practice;</w:t>
                      </w:r>
                    </w:p>
                    <w:p>
                      <w:pPr>
                        <w:pStyle w:val="BodyText"/>
                        <w:numPr>
                          <w:ilvl w:val="0"/>
                          <w:numId w:val="86"/>
                        </w:numPr>
                        <w:tabs>
                          <w:tab w:pos="425" w:val="left" w:leader="none"/>
                          <w:tab w:pos="427" w:val="left" w:leader="none"/>
                        </w:tabs>
                        <w:spacing w:line="288" w:lineRule="auto" w:before="64" w:after="0"/>
                        <w:ind w:left="427" w:right="413" w:hanging="287"/>
                        <w:jc w:val="left"/>
                        <w:rPr>
                          <w:color w:val="000000"/>
                        </w:rPr>
                      </w:pPr>
                      <w:r>
                        <w:rPr>
                          <w:color w:val="000000"/>
                        </w:rPr>
                        <w:t>function effectively with safety case provisions under the Act, including enabling the regulator</w:t>
                      </w:r>
                      <w:r>
                        <w:rPr>
                          <w:color w:val="000000"/>
                          <w:spacing w:val="-4"/>
                        </w:rPr>
                        <w:t> </w:t>
                      </w:r>
                      <w:r>
                        <w:rPr>
                          <w:color w:val="000000"/>
                        </w:rPr>
                        <w:t>to</w:t>
                      </w:r>
                      <w:r>
                        <w:rPr>
                          <w:color w:val="000000"/>
                          <w:spacing w:val="-5"/>
                        </w:rPr>
                        <w:t> </w:t>
                      </w:r>
                      <w:r>
                        <w:rPr>
                          <w:color w:val="000000"/>
                        </w:rPr>
                        <w:t>take</w:t>
                      </w:r>
                      <w:r>
                        <w:rPr>
                          <w:color w:val="000000"/>
                          <w:spacing w:val="-3"/>
                        </w:rPr>
                        <w:t> </w:t>
                      </w:r>
                      <w:r>
                        <w:rPr>
                          <w:color w:val="000000"/>
                        </w:rPr>
                        <w:t>compliance</w:t>
                      </w:r>
                      <w:r>
                        <w:rPr>
                          <w:color w:val="000000"/>
                          <w:spacing w:val="-3"/>
                        </w:rPr>
                        <w:t> </w:t>
                      </w:r>
                      <w:r>
                        <w:rPr>
                          <w:color w:val="000000"/>
                        </w:rPr>
                        <w:t>and</w:t>
                      </w:r>
                      <w:r>
                        <w:rPr>
                          <w:color w:val="000000"/>
                          <w:spacing w:val="-3"/>
                        </w:rPr>
                        <w:t> </w:t>
                      </w:r>
                      <w:r>
                        <w:rPr>
                          <w:color w:val="000000"/>
                        </w:rPr>
                        <w:t>enforcement</w:t>
                      </w:r>
                      <w:r>
                        <w:rPr>
                          <w:color w:val="000000"/>
                          <w:spacing w:val="-1"/>
                        </w:rPr>
                        <w:t> </w:t>
                      </w:r>
                      <w:r>
                        <w:rPr>
                          <w:color w:val="000000"/>
                        </w:rPr>
                        <w:t>action</w:t>
                      </w:r>
                      <w:r>
                        <w:rPr>
                          <w:color w:val="000000"/>
                          <w:spacing w:val="-3"/>
                        </w:rPr>
                        <w:t> </w:t>
                      </w:r>
                      <w:r>
                        <w:rPr>
                          <w:color w:val="000000"/>
                        </w:rPr>
                        <w:t>in</w:t>
                      </w:r>
                      <w:r>
                        <w:rPr>
                          <w:color w:val="000000"/>
                          <w:spacing w:val="-3"/>
                        </w:rPr>
                        <w:t> </w:t>
                      </w:r>
                      <w:r>
                        <w:rPr>
                          <w:color w:val="000000"/>
                        </w:rPr>
                        <w:t>response</w:t>
                      </w:r>
                      <w:r>
                        <w:rPr>
                          <w:color w:val="000000"/>
                          <w:spacing w:val="-5"/>
                        </w:rPr>
                        <w:t> </w:t>
                      </w:r>
                      <w:r>
                        <w:rPr>
                          <w:color w:val="000000"/>
                        </w:rPr>
                        <w:t>to</w:t>
                      </w:r>
                      <w:r>
                        <w:rPr>
                          <w:color w:val="000000"/>
                          <w:spacing w:val="-5"/>
                        </w:rPr>
                        <w:t> </w:t>
                      </w:r>
                      <w:r>
                        <w:rPr>
                          <w:color w:val="000000"/>
                        </w:rPr>
                        <w:t>unacceptable</w:t>
                      </w:r>
                      <w:r>
                        <w:rPr>
                          <w:color w:val="000000"/>
                          <w:spacing w:val="-3"/>
                        </w:rPr>
                        <w:t> </w:t>
                      </w:r>
                      <w:r>
                        <w:rPr>
                          <w:color w:val="000000"/>
                        </w:rPr>
                        <w:t>risk; </w:t>
                      </w:r>
                      <w:r>
                        <w:rPr>
                          <w:color w:val="000000"/>
                          <w:spacing w:val="-4"/>
                        </w:rPr>
                        <w:t>and</w:t>
                      </w:r>
                    </w:p>
                    <w:p>
                      <w:pPr>
                        <w:pStyle w:val="BodyText"/>
                        <w:numPr>
                          <w:ilvl w:val="0"/>
                          <w:numId w:val="86"/>
                        </w:numPr>
                        <w:tabs>
                          <w:tab w:pos="426" w:val="left" w:leader="none"/>
                        </w:tabs>
                        <w:spacing w:line="240" w:lineRule="auto" w:before="16" w:after="0"/>
                        <w:ind w:left="426" w:right="0" w:hanging="285"/>
                        <w:jc w:val="left"/>
                        <w:rPr>
                          <w:color w:val="000000"/>
                        </w:rPr>
                      </w:pPr>
                      <w:r>
                        <w:rPr>
                          <w:color w:val="000000"/>
                        </w:rPr>
                        <w:t>remain</w:t>
                      </w:r>
                      <w:r>
                        <w:rPr>
                          <w:color w:val="000000"/>
                          <w:spacing w:val="-11"/>
                        </w:rPr>
                        <w:t> </w:t>
                      </w:r>
                      <w:r>
                        <w:rPr>
                          <w:color w:val="000000"/>
                        </w:rPr>
                        <w:t>outcomes-based</w:t>
                      </w:r>
                      <w:r>
                        <w:rPr>
                          <w:color w:val="000000"/>
                          <w:spacing w:val="-9"/>
                        </w:rPr>
                        <w:t> </w:t>
                      </w:r>
                      <w:r>
                        <w:rPr>
                          <w:color w:val="000000"/>
                        </w:rPr>
                        <w:t>allowing</w:t>
                      </w:r>
                      <w:r>
                        <w:rPr>
                          <w:color w:val="000000"/>
                          <w:spacing w:val="-8"/>
                        </w:rPr>
                        <w:t> </w:t>
                      </w:r>
                      <w:r>
                        <w:rPr>
                          <w:color w:val="000000"/>
                        </w:rPr>
                        <w:t>flexibility</w:t>
                      </w:r>
                      <w:r>
                        <w:rPr>
                          <w:color w:val="000000"/>
                          <w:spacing w:val="-10"/>
                        </w:rPr>
                        <w:t> </w:t>
                      </w:r>
                      <w:r>
                        <w:rPr>
                          <w:color w:val="000000"/>
                        </w:rPr>
                        <w:t>in</w:t>
                      </w:r>
                      <w:r>
                        <w:rPr>
                          <w:color w:val="000000"/>
                          <w:spacing w:val="-8"/>
                        </w:rPr>
                        <w:t> </w:t>
                      </w:r>
                      <w:r>
                        <w:rPr>
                          <w:color w:val="000000"/>
                        </w:rPr>
                        <w:t>compliance</w:t>
                      </w:r>
                      <w:r>
                        <w:rPr>
                          <w:color w:val="000000"/>
                          <w:spacing w:val="-8"/>
                        </w:rPr>
                        <w:t> </w:t>
                      </w:r>
                      <w:r>
                        <w:rPr>
                          <w:color w:val="000000"/>
                          <w:spacing w:val="-2"/>
                        </w:rPr>
                        <w:t>arrangements.</w:t>
                      </w:r>
                    </w:p>
                  </w:txbxContent>
                </v:textbox>
                <v:fill type="solid"/>
              </v:shape>
            </w:pict>
          </mc:Fallback>
        </mc:AlternateContent>
      </w:r>
      <w:r>
        <w:rPr>
          <w:sz w:val="20"/>
        </w:rPr>
      </w:r>
    </w:p>
    <w:p>
      <w:pPr>
        <w:pStyle w:val="BodyText"/>
        <w:rPr>
          <w:sz w:val="20"/>
        </w:rPr>
      </w:pPr>
    </w:p>
    <w:p>
      <w:pPr>
        <w:pStyle w:val="BodyText"/>
        <w:rPr>
          <w:sz w:val="20"/>
        </w:rPr>
      </w:pPr>
    </w:p>
    <w:p>
      <w:pPr>
        <w:pStyle w:val="BodyText"/>
        <w:spacing w:before="4"/>
        <w:rPr>
          <w:sz w:val="18"/>
        </w:rPr>
      </w:pPr>
    </w:p>
    <w:p>
      <w:pPr>
        <w:pStyle w:val="Heading7"/>
        <w:spacing w:line="288" w:lineRule="auto" w:before="94"/>
        <w:ind w:left="345" w:right="374"/>
      </w:pPr>
      <w:r>
        <w:rPr/>
        <mc:AlternateContent>
          <mc:Choice Requires="wps">
            <w:drawing>
              <wp:anchor distT="0" distB="0" distL="0" distR="0" allowOverlap="1" layoutInCell="1" locked="0" behindDoc="1" simplePos="0" relativeHeight="482753536">
                <wp:simplePos x="0" y="0"/>
                <wp:positionH relativeFrom="page">
                  <wp:posOffset>719327</wp:posOffset>
                </wp:positionH>
                <wp:positionV relativeFrom="paragraph">
                  <wp:posOffset>-92787</wp:posOffset>
                </wp:positionV>
                <wp:extent cx="5870575" cy="5539105"/>
                <wp:effectExtent l="0" t="0" r="0" b="0"/>
                <wp:wrapNone/>
                <wp:docPr id="210" name="Graphic 210"/>
                <wp:cNvGraphicFramePr>
                  <a:graphicFrameLocks/>
                </wp:cNvGraphicFramePr>
                <a:graphic>
                  <a:graphicData uri="http://schemas.microsoft.com/office/word/2010/wordprocessingShape">
                    <wps:wsp>
                      <wps:cNvPr id="210" name="Graphic 210"/>
                      <wps:cNvSpPr/>
                      <wps:spPr>
                        <a:xfrm>
                          <a:off x="0" y="0"/>
                          <a:ext cx="5870575" cy="5539105"/>
                        </a:xfrm>
                        <a:custGeom>
                          <a:avLst/>
                          <a:gdLst/>
                          <a:ahLst/>
                          <a:cxnLst/>
                          <a:rect l="l" t="t" r="r" b="b"/>
                          <a:pathLst>
                            <a:path w="5870575" h="5539105">
                              <a:moveTo>
                                <a:pt x="5870194" y="0"/>
                              </a:moveTo>
                              <a:lnTo>
                                <a:pt x="0" y="0"/>
                              </a:lnTo>
                              <a:lnTo>
                                <a:pt x="0" y="5538851"/>
                              </a:lnTo>
                              <a:lnTo>
                                <a:pt x="5870194" y="5538851"/>
                              </a:lnTo>
                              <a:lnTo>
                                <a:pt x="5870194" y="0"/>
                              </a:lnTo>
                              <a:close/>
                            </a:path>
                          </a:pathLst>
                        </a:custGeom>
                        <a:solidFill>
                          <a:srgbClr val="CDEBEB"/>
                        </a:solidFill>
                      </wps:spPr>
                      <wps:bodyPr wrap="square" lIns="0" tIns="0" rIns="0" bIns="0" rtlCol="0">
                        <a:prstTxWarp prst="textNoShape">
                          <a:avLst/>
                        </a:prstTxWarp>
                        <a:noAutofit/>
                      </wps:bodyPr>
                    </wps:wsp>
                  </a:graphicData>
                </a:graphic>
              </wp:anchor>
            </w:drawing>
          </mc:Choice>
          <mc:Fallback>
            <w:pict>
              <v:rect style="position:absolute;margin-left:56.639999pt;margin-top:-7.306139pt;width:462.22pt;height:436.13pt;mso-position-horizontal-relative:page;mso-position-vertical-relative:paragraph;z-index:-20562944" id="docshape179" filled="true" fillcolor="#cdebeb" stroked="false">
                <v:fill type="solid"/>
                <w10:wrap type="none"/>
              </v:rect>
            </w:pict>
          </mc:Fallback>
        </mc:AlternateContent>
      </w:r>
      <w:r>
        <w:rPr/>
        <w:t>Box</w:t>
      </w:r>
      <w:r>
        <w:rPr>
          <w:spacing w:val="-2"/>
        </w:rPr>
        <w:t> </w:t>
      </w:r>
      <w:r>
        <w:rPr/>
        <w:t>26:</w:t>
      </w:r>
      <w:r>
        <w:rPr>
          <w:spacing w:val="-1"/>
        </w:rPr>
        <w:t> </w:t>
      </w:r>
      <w:r>
        <w:rPr/>
        <w:t>The</w:t>
      </w:r>
      <w:r>
        <w:rPr>
          <w:spacing w:val="-2"/>
        </w:rPr>
        <w:t> </w:t>
      </w:r>
      <w:r>
        <w:rPr/>
        <w:t>importance</w:t>
      </w:r>
      <w:r>
        <w:rPr>
          <w:spacing w:val="-2"/>
        </w:rPr>
        <w:t> </w:t>
      </w:r>
      <w:r>
        <w:rPr/>
        <w:t>of</w:t>
      </w:r>
      <w:r>
        <w:rPr>
          <w:spacing w:val="-3"/>
        </w:rPr>
        <w:t> </w:t>
      </w:r>
      <w:r>
        <w:rPr/>
        <w:t>setting</w:t>
      </w:r>
      <w:r>
        <w:rPr>
          <w:spacing w:val="-5"/>
        </w:rPr>
        <w:t> </w:t>
      </w:r>
      <w:r>
        <w:rPr/>
        <w:t>out</w:t>
      </w:r>
      <w:r>
        <w:rPr>
          <w:spacing w:val="-3"/>
        </w:rPr>
        <w:t> </w:t>
      </w:r>
      <w:r>
        <w:rPr/>
        <w:t>clear</w:t>
      </w:r>
      <w:r>
        <w:rPr>
          <w:spacing w:val="-3"/>
        </w:rPr>
        <w:t> </w:t>
      </w:r>
      <w:r>
        <w:rPr/>
        <w:t>accountabilities</w:t>
      </w:r>
      <w:r>
        <w:rPr>
          <w:spacing w:val="-3"/>
        </w:rPr>
        <w:t> </w:t>
      </w:r>
      <w:r>
        <w:rPr/>
        <w:t>in</w:t>
      </w:r>
      <w:r>
        <w:rPr>
          <w:spacing w:val="-4"/>
        </w:rPr>
        <w:t> </w:t>
      </w:r>
      <w:r>
        <w:rPr/>
        <w:t>safety</w:t>
      </w:r>
      <w:r>
        <w:rPr>
          <w:spacing w:val="-6"/>
        </w:rPr>
        <w:t> </w:t>
      </w:r>
      <w:r>
        <w:rPr/>
        <w:t>case</w:t>
      </w:r>
      <w:r>
        <w:rPr>
          <w:spacing w:val="-2"/>
        </w:rPr>
        <w:t> </w:t>
      </w:r>
      <w:r>
        <w:rPr/>
        <w:t>based </w:t>
      </w:r>
      <w:r>
        <w:rPr>
          <w:spacing w:val="-2"/>
        </w:rPr>
        <w:t>legislation</w:t>
      </w:r>
    </w:p>
    <w:p>
      <w:pPr>
        <w:pStyle w:val="BodyText"/>
        <w:spacing w:before="9"/>
        <w:rPr>
          <w:b/>
          <w:sz w:val="20"/>
        </w:rPr>
      </w:pPr>
    </w:p>
    <w:p>
      <w:pPr>
        <w:pStyle w:val="BodyText"/>
        <w:spacing w:line="288" w:lineRule="auto" w:before="1"/>
        <w:ind w:left="345" w:right="374"/>
      </w:pPr>
      <w:r>
        <w:rPr/>
        <w:t>Workers</w:t>
      </w:r>
      <w:r>
        <w:rPr>
          <w:spacing w:val="-1"/>
        </w:rPr>
        <w:t> </w:t>
      </w:r>
      <w:r>
        <w:rPr/>
        <w:t>should be</w:t>
      </w:r>
      <w:r>
        <w:rPr>
          <w:spacing w:val="-2"/>
        </w:rPr>
        <w:t> </w:t>
      </w:r>
      <w:r>
        <w:rPr/>
        <w:t>involved</w:t>
      </w:r>
      <w:r>
        <w:rPr>
          <w:spacing w:val="-2"/>
        </w:rPr>
        <w:t> </w:t>
      </w:r>
      <w:r>
        <w:rPr/>
        <w:t>in, influence</w:t>
      </w:r>
      <w:r>
        <w:rPr>
          <w:spacing w:val="-1"/>
        </w:rPr>
        <w:t> </w:t>
      </w:r>
      <w:r>
        <w:rPr/>
        <w:t>and</w:t>
      </w:r>
      <w:r>
        <w:rPr>
          <w:spacing w:val="-4"/>
        </w:rPr>
        <w:t> </w:t>
      </w:r>
      <w:r>
        <w:rPr/>
        <w:t>operate</w:t>
      </w:r>
      <w:r>
        <w:rPr>
          <w:spacing w:val="-4"/>
        </w:rPr>
        <w:t> </w:t>
      </w:r>
      <w:r>
        <w:rPr/>
        <w:t>under</w:t>
      </w:r>
      <w:r>
        <w:rPr>
          <w:spacing w:val="-2"/>
        </w:rPr>
        <w:t> </w:t>
      </w:r>
      <w:r>
        <w:rPr/>
        <w:t>the</w:t>
      </w:r>
      <w:r>
        <w:rPr>
          <w:spacing w:val="-4"/>
        </w:rPr>
        <w:t> </w:t>
      </w:r>
      <w:r>
        <w:rPr/>
        <w:t>safety</w:t>
      </w:r>
      <w:r>
        <w:rPr>
          <w:spacing w:val="-4"/>
        </w:rPr>
        <w:t> </w:t>
      </w:r>
      <w:r>
        <w:rPr/>
        <w:t>case, and</w:t>
      </w:r>
      <w:r>
        <w:rPr>
          <w:spacing w:val="-4"/>
        </w:rPr>
        <w:t> </w:t>
      </w:r>
      <w:r>
        <w:rPr/>
        <w:t>be</w:t>
      </w:r>
      <w:r>
        <w:rPr>
          <w:spacing w:val="-2"/>
        </w:rPr>
        <w:t> </w:t>
      </w:r>
      <w:r>
        <w:rPr/>
        <w:t>held</w:t>
      </w:r>
      <w:r>
        <w:rPr>
          <w:spacing w:val="-4"/>
        </w:rPr>
        <w:t> </w:t>
      </w:r>
      <w:r>
        <w:rPr/>
        <w:t>to account for safety. It is recommended that the framework better supports this.</w:t>
      </w:r>
    </w:p>
    <w:p>
      <w:pPr>
        <w:pStyle w:val="BodyText"/>
        <w:spacing w:before="10"/>
        <w:rPr>
          <w:sz w:val="20"/>
        </w:rPr>
      </w:pPr>
    </w:p>
    <w:p>
      <w:pPr>
        <w:pStyle w:val="BodyText"/>
        <w:spacing w:line="288" w:lineRule="auto"/>
        <w:ind w:left="345" w:right="951"/>
      </w:pPr>
      <w:r>
        <w:rPr/>
        <w:t>This</w:t>
      </w:r>
      <w:r>
        <w:rPr>
          <w:spacing w:val="-3"/>
        </w:rPr>
        <w:t> </w:t>
      </w:r>
      <w:r>
        <w:rPr/>
        <w:t>is</w:t>
      </w:r>
      <w:r>
        <w:rPr>
          <w:spacing w:val="-5"/>
        </w:rPr>
        <w:t> </w:t>
      </w:r>
      <w:r>
        <w:rPr/>
        <w:t>particularly</w:t>
      </w:r>
      <w:r>
        <w:rPr>
          <w:spacing w:val="-5"/>
        </w:rPr>
        <w:t> </w:t>
      </w:r>
      <w:r>
        <w:rPr/>
        <w:t>important</w:t>
      </w:r>
      <w:r>
        <w:rPr>
          <w:spacing w:val="-4"/>
        </w:rPr>
        <w:t> </w:t>
      </w:r>
      <w:r>
        <w:rPr/>
        <w:t>given</w:t>
      </w:r>
      <w:r>
        <w:rPr>
          <w:spacing w:val="-4"/>
        </w:rPr>
        <w:t> </w:t>
      </w:r>
      <w:r>
        <w:rPr/>
        <w:t>the</w:t>
      </w:r>
      <w:r>
        <w:rPr>
          <w:spacing w:val="-4"/>
        </w:rPr>
        <w:t> </w:t>
      </w:r>
      <w:r>
        <w:rPr/>
        <w:t>common</w:t>
      </w:r>
      <w:r>
        <w:rPr>
          <w:spacing w:val="-5"/>
        </w:rPr>
        <w:t> </w:t>
      </w:r>
      <w:r>
        <w:rPr/>
        <w:t>practice</w:t>
      </w:r>
      <w:r>
        <w:rPr>
          <w:spacing w:val="-3"/>
        </w:rPr>
        <w:t> </w:t>
      </w:r>
      <w:r>
        <w:rPr/>
        <w:t>of</w:t>
      </w:r>
      <w:r>
        <w:rPr>
          <w:spacing w:val="-2"/>
        </w:rPr>
        <w:t> </w:t>
      </w:r>
      <w:r>
        <w:rPr/>
        <w:t>network</w:t>
      </w:r>
      <w:r>
        <w:rPr>
          <w:spacing w:val="-3"/>
        </w:rPr>
        <w:t> </w:t>
      </w:r>
      <w:r>
        <w:rPr/>
        <w:t>businesses</w:t>
      </w:r>
      <w:r>
        <w:rPr>
          <w:spacing w:val="-3"/>
        </w:rPr>
        <w:t> </w:t>
      </w:r>
      <w:r>
        <w:rPr/>
        <w:t>engaging contractors. Unless carefully managed, these practices can lead to gaps in control and oversight systems, and inconsistent management practices (ESV, 2017).</w:t>
      </w:r>
    </w:p>
    <w:p>
      <w:pPr>
        <w:pStyle w:val="BodyText"/>
        <w:rPr>
          <w:sz w:val="21"/>
        </w:rPr>
      </w:pPr>
    </w:p>
    <w:p>
      <w:pPr>
        <w:pStyle w:val="BodyText"/>
        <w:spacing w:line="288" w:lineRule="auto"/>
        <w:ind w:left="345" w:right="374"/>
      </w:pPr>
      <w:r>
        <w:rPr/>
        <w:t>Other</w:t>
      </w:r>
      <w:r>
        <w:rPr>
          <w:spacing w:val="-3"/>
        </w:rPr>
        <w:t> </w:t>
      </w:r>
      <w:r>
        <w:rPr/>
        <w:t>legislation</w:t>
      </w:r>
      <w:r>
        <w:rPr>
          <w:spacing w:val="-2"/>
        </w:rPr>
        <w:t> </w:t>
      </w:r>
      <w:r>
        <w:rPr/>
        <w:t>imposes</w:t>
      </w:r>
      <w:r>
        <w:rPr>
          <w:spacing w:val="-3"/>
        </w:rPr>
        <w:t> </w:t>
      </w:r>
      <w:r>
        <w:rPr/>
        <w:t>certain</w:t>
      </w:r>
      <w:r>
        <w:rPr>
          <w:spacing w:val="-4"/>
        </w:rPr>
        <w:t> </w:t>
      </w:r>
      <w:r>
        <w:rPr/>
        <w:t>duties</w:t>
      </w:r>
      <w:r>
        <w:rPr>
          <w:spacing w:val="-4"/>
        </w:rPr>
        <w:t> </w:t>
      </w:r>
      <w:r>
        <w:rPr/>
        <w:t>on</w:t>
      </w:r>
      <w:r>
        <w:rPr>
          <w:spacing w:val="-5"/>
        </w:rPr>
        <w:t> </w:t>
      </w:r>
      <w:r>
        <w:rPr/>
        <w:t>entities</w:t>
      </w:r>
      <w:r>
        <w:rPr>
          <w:spacing w:val="-3"/>
        </w:rPr>
        <w:t> </w:t>
      </w:r>
      <w:r>
        <w:rPr/>
        <w:t>in</w:t>
      </w:r>
      <w:r>
        <w:rPr>
          <w:spacing w:val="-4"/>
        </w:rPr>
        <w:t> </w:t>
      </w:r>
      <w:r>
        <w:rPr/>
        <w:t>addition</w:t>
      </w:r>
      <w:r>
        <w:rPr>
          <w:spacing w:val="-5"/>
        </w:rPr>
        <w:t> </w:t>
      </w:r>
      <w:r>
        <w:rPr/>
        <w:t>to</w:t>
      </w:r>
      <w:r>
        <w:rPr>
          <w:spacing w:val="-5"/>
        </w:rPr>
        <w:t> </w:t>
      </w:r>
      <w:r>
        <w:rPr/>
        <w:t>the</w:t>
      </w:r>
      <w:r>
        <w:rPr>
          <w:spacing w:val="-4"/>
        </w:rPr>
        <w:t> </w:t>
      </w:r>
      <w:r>
        <w:rPr/>
        <w:t>business,</w:t>
      </w:r>
      <w:r>
        <w:rPr>
          <w:spacing w:val="-2"/>
        </w:rPr>
        <w:t> </w:t>
      </w:r>
      <w:r>
        <w:rPr/>
        <w:t>including contractors and employees. This legislation includes:</w:t>
      </w:r>
    </w:p>
    <w:p>
      <w:pPr>
        <w:pStyle w:val="BodyText"/>
        <w:spacing w:before="4"/>
      </w:pPr>
    </w:p>
    <w:p>
      <w:pPr>
        <w:pStyle w:val="ListParagraph"/>
        <w:numPr>
          <w:ilvl w:val="0"/>
          <w:numId w:val="82"/>
        </w:numPr>
        <w:tabs>
          <w:tab w:pos="659" w:val="left" w:leader="none"/>
        </w:tabs>
        <w:spacing w:line="240" w:lineRule="auto" w:before="0" w:after="0"/>
        <w:ind w:left="659" w:right="0" w:hanging="285"/>
        <w:jc w:val="left"/>
        <w:rPr>
          <w:sz w:val="22"/>
        </w:rPr>
      </w:pPr>
      <w:r>
        <w:rPr>
          <w:sz w:val="22"/>
        </w:rPr>
        <w:t>the</w:t>
      </w:r>
      <w:r>
        <w:rPr>
          <w:spacing w:val="-6"/>
          <w:sz w:val="22"/>
        </w:rPr>
        <w:t> </w:t>
      </w:r>
      <w:r>
        <w:rPr>
          <w:sz w:val="22"/>
        </w:rPr>
        <w:t>model</w:t>
      </w:r>
      <w:r>
        <w:rPr>
          <w:spacing w:val="-4"/>
          <w:sz w:val="22"/>
        </w:rPr>
        <w:t> </w:t>
      </w:r>
      <w:r>
        <w:rPr>
          <w:sz w:val="22"/>
        </w:rPr>
        <w:t>national</w:t>
      </w:r>
      <w:r>
        <w:rPr>
          <w:spacing w:val="-6"/>
          <w:sz w:val="22"/>
        </w:rPr>
        <w:t> </w:t>
      </w:r>
      <w:r>
        <w:rPr>
          <w:i/>
          <w:sz w:val="22"/>
        </w:rPr>
        <w:t>Work</w:t>
      </w:r>
      <w:r>
        <w:rPr>
          <w:i/>
          <w:spacing w:val="-7"/>
          <w:sz w:val="22"/>
        </w:rPr>
        <w:t> </w:t>
      </w:r>
      <w:r>
        <w:rPr>
          <w:i/>
          <w:sz w:val="22"/>
        </w:rPr>
        <w:t>Health</w:t>
      </w:r>
      <w:r>
        <w:rPr>
          <w:i/>
          <w:spacing w:val="-4"/>
          <w:sz w:val="22"/>
        </w:rPr>
        <w:t> </w:t>
      </w:r>
      <w:r>
        <w:rPr>
          <w:i/>
          <w:sz w:val="22"/>
        </w:rPr>
        <w:t>and</w:t>
      </w:r>
      <w:r>
        <w:rPr>
          <w:i/>
          <w:spacing w:val="-3"/>
          <w:sz w:val="22"/>
        </w:rPr>
        <w:t> </w:t>
      </w:r>
      <w:r>
        <w:rPr>
          <w:i/>
          <w:sz w:val="22"/>
        </w:rPr>
        <w:t>Safety</w:t>
      </w:r>
      <w:r>
        <w:rPr>
          <w:i/>
          <w:spacing w:val="-4"/>
          <w:sz w:val="22"/>
        </w:rPr>
        <w:t> Law</w:t>
      </w:r>
      <w:r>
        <w:rPr>
          <w:spacing w:val="-4"/>
          <w:sz w:val="22"/>
        </w:rPr>
        <w:t>;</w:t>
      </w:r>
    </w:p>
    <w:p>
      <w:pPr>
        <w:pStyle w:val="ListParagraph"/>
        <w:numPr>
          <w:ilvl w:val="0"/>
          <w:numId w:val="82"/>
        </w:numPr>
        <w:tabs>
          <w:tab w:pos="659" w:val="left" w:leader="none"/>
        </w:tabs>
        <w:spacing w:line="240" w:lineRule="auto" w:before="64" w:after="0"/>
        <w:ind w:left="659" w:right="0" w:hanging="285"/>
        <w:jc w:val="left"/>
        <w:rPr>
          <w:sz w:val="22"/>
        </w:rPr>
      </w:pPr>
      <w:r>
        <w:rPr>
          <w:sz w:val="22"/>
        </w:rPr>
        <w:t>Victorian</w:t>
      </w:r>
      <w:r>
        <w:rPr>
          <w:spacing w:val="-8"/>
          <w:sz w:val="22"/>
        </w:rPr>
        <w:t> </w:t>
      </w:r>
      <w:r>
        <w:rPr>
          <w:sz w:val="22"/>
        </w:rPr>
        <w:t>occupational</w:t>
      </w:r>
      <w:r>
        <w:rPr>
          <w:spacing w:val="-8"/>
          <w:sz w:val="22"/>
        </w:rPr>
        <w:t> </w:t>
      </w:r>
      <w:r>
        <w:rPr>
          <w:sz w:val="22"/>
        </w:rPr>
        <w:t>health</w:t>
      </w:r>
      <w:r>
        <w:rPr>
          <w:spacing w:val="-8"/>
          <w:sz w:val="22"/>
        </w:rPr>
        <w:t> </w:t>
      </w:r>
      <w:r>
        <w:rPr>
          <w:sz w:val="22"/>
        </w:rPr>
        <w:t>and</w:t>
      </w:r>
      <w:r>
        <w:rPr>
          <w:spacing w:val="-7"/>
          <w:sz w:val="22"/>
        </w:rPr>
        <w:t> </w:t>
      </w:r>
      <w:r>
        <w:rPr>
          <w:sz w:val="22"/>
        </w:rPr>
        <w:t>safety</w:t>
      </w:r>
      <w:r>
        <w:rPr>
          <w:spacing w:val="-9"/>
          <w:sz w:val="22"/>
        </w:rPr>
        <w:t> </w:t>
      </w:r>
      <w:r>
        <w:rPr>
          <w:spacing w:val="-2"/>
          <w:sz w:val="22"/>
        </w:rPr>
        <w:t>legislation;</w:t>
      </w:r>
    </w:p>
    <w:p>
      <w:pPr>
        <w:pStyle w:val="ListParagraph"/>
        <w:numPr>
          <w:ilvl w:val="0"/>
          <w:numId w:val="82"/>
        </w:numPr>
        <w:tabs>
          <w:tab w:pos="659" w:val="left" w:leader="none"/>
        </w:tabs>
        <w:spacing w:line="240" w:lineRule="auto" w:before="66" w:after="0"/>
        <w:ind w:left="659" w:right="0" w:hanging="285"/>
        <w:jc w:val="left"/>
        <w:rPr>
          <w:sz w:val="22"/>
        </w:rPr>
      </w:pPr>
      <w:r>
        <w:rPr>
          <w:sz w:val="22"/>
        </w:rPr>
        <w:t>the</w:t>
      </w:r>
      <w:r>
        <w:rPr>
          <w:spacing w:val="-7"/>
          <w:sz w:val="22"/>
        </w:rPr>
        <w:t> </w:t>
      </w:r>
      <w:r>
        <w:rPr>
          <w:i/>
          <w:sz w:val="22"/>
        </w:rPr>
        <w:t>National</w:t>
      </w:r>
      <w:r>
        <w:rPr>
          <w:i/>
          <w:spacing w:val="-4"/>
          <w:sz w:val="22"/>
        </w:rPr>
        <w:t> </w:t>
      </w:r>
      <w:r>
        <w:rPr>
          <w:i/>
          <w:sz w:val="22"/>
        </w:rPr>
        <w:t>Rail</w:t>
      </w:r>
      <w:r>
        <w:rPr>
          <w:i/>
          <w:spacing w:val="-4"/>
          <w:sz w:val="22"/>
        </w:rPr>
        <w:t> </w:t>
      </w:r>
      <w:r>
        <w:rPr>
          <w:i/>
          <w:sz w:val="22"/>
        </w:rPr>
        <w:t>Safety</w:t>
      </w:r>
      <w:r>
        <w:rPr>
          <w:i/>
          <w:spacing w:val="-7"/>
          <w:sz w:val="22"/>
        </w:rPr>
        <w:t> </w:t>
      </w:r>
      <w:r>
        <w:rPr>
          <w:i/>
          <w:sz w:val="22"/>
        </w:rPr>
        <w:t>Law</w:t>
      </w:r>
      <w:r>
        <w:rPr>
          <w:sz w:val="22"/>
        </w:rPr>
        <w:t>;</w:t>
      </w:r>
      <w:r>
        <w:rPr>
          <w:spacing w:val="-5"/>
          <w:sz w:val="22"/>
        </w:rPr>
        <w:t> and</w:t>
      </w:r>
    </w:p>
    <w:p>
      <w:pPr>
        <w:pStyle w:val="ListParagraph"/>
        <w:numPr>
          <w:ilvl w:val="0"/>
          <w:numId w:val="82"/>
        </w:numPr>
        <w:tabs>
          <w:tab w:pos="659" w:val="left" w:leader="none"/>
        </w:tabs>
        <w:spacing w:line="240" w:lineRule="auto" w:before="66" w:after="0"/>
        <w:ind w:left="659" w:right="0" w:hanging="285"/>
        <w:jc w:val="left"/>
        <w:rPr>
          <w:sz w:val="22"/>
        </w:rPr>
      </w:pPr>
      <w:r>
        <w:rPr>
          <w:sz w:val="22"/>
        </w:rPr>
        <w:t>Queensland</w:t>
      </w:r>
      <w:r>
        <w:rPr>
          <w:spacing w:val="-7"/>
          <w:sz w:val="22"/>
        </w:rPr>
        <w:t> </w:t>
      </w:r>
      <w:r>
        <w:rPr>
          <w:sz w:val="22"/>
        </w:rPr>
        <w:t>energy</w:t>
      </w:r>
      <w:r>
        <w:rPr>
          <w:spacing w:val="-8"/>
          <w:sz w:val="22"/>
        </w:rPr>
        <w:t> </w:t>
      </w:r>
      <w:r>
        <w:rPr>
          <w:sz w:val="22"/>
        </w:rPr>
        <w:t>safety</w:t>
      </w:r>
      <w:r>
        <w:rPr>
          <w:spacing w:val="-8"/>
          <w:sz w:val="22"/>
        </w:rPr>
        <w:t> </w:t>
      </w:r>
      <w:r>
        <w:rPr>
          <w:spacing w:val="-2"/>
          <w:sz w:val="22"/>
        </w:rPr>
        <w:t>legislation.</w:t>
      </w:r>
    </w:p>
    <w:p>
      <w:pPr>
        <w:pStyle w:val="BodyText"/>
        <w:spacing w:before="11"/>
        <w:rPr>
          <w:sz w:val="24"/>
        </w:rPr>
      </w:pPr>
    </w:p>
    <w:p>
      <w:pPr>
        <w:pStyle w:val="BodyText"/>
        <w:spacing w:line="288" w:lineRule="auto"/>
        <w:ind w:left="345" w:right="855"/>
      </w:pPr>
      <w:r>
        <w:rPr/>
        <w:t>As an example, the model </w:t>
      </w:r>
      <w:r>
        <w:rPr>
          <w:i/>
        </w:rPr>
        <w:t>Work Health and Safety Law </w:t>
      </w:r>
      <w:r>
        <w:rPr/>
        <w:t>lists duties of different parties, noting more than one person can concurrently have the same duty and a duty cannot be transferred. Contractor duties include taking reasonable care for their own safety and that their</w:t>
      </w:r>
      <w:r>
        <w:rPr>
          <w:spacing w:val="-1"/>
        </w:rPr>
        <w:t> </w:t>
      </w:r>
      <w:r>
        <w:rPr/>
        <w:t>acts</w:t>
      </w:r>
      <w:r>
        <w:rPr>
          <w:spacing w:val="-4"/>
        </w:rPr>
        <w:t> </w:t>
      </w:r>
      <w:r>
        <w:rPr/>
        <w:t>or</w:t>
      </w:r>
      <w:r>
        <w:rPr>
          <w:spacing w:val="-3"/>
        </w:rPr>
        <w:t> </w:t>
      </w:r>
      <w:r>
        <w:rPr/>
        <w:t>omissions</w:t>
      </w:r>
      <w:r>
        <w:rPr>
          <w:spacing w:val="-4"/>
        </w:rPr>
        <w:t> </w:t>
      </w:r>
      <w:r>
        <w:rPr/>
        <w:t>do</w:t>
      </w:r>
      <w:r>
        <w:rPr>
          <w:spacing w:val="-2"/>
        </w:rPr>
        <w:t> </w:t>
      </w:r>
      <w:r>
        <w:rPr/>
        <w:t>not</w:t>
      </w:r>
      <w:r>
        <w:rPr>
          <w:spacing w:val="-3"/>
        </w:rPr>
        <w:t> </w:t>
      </w:r>
      <w:r>
        <w:rPr/>
        <w:t>adversely</w:t>
      </w:r>
      <w:r>
        <w:rPr>
          <w:spacing w:val="-4"/>
        </w:rPr>
        <w:t> </w:t>
      </w:r>
      <w:r>
        <w:rPr/>
        <w:t>affect</w:t>
      </w:r>
      <w:r>
        <w:rPr>
          <w:spacing w:val="-3"/>
        </w:rPr>
        <w:t> </w:t>
      </w:r>
      <w:r>
        <w:rPr/>
        <w:t>the</w:t>
      </w:r>
      <w:r>
        <w:rPr>
          <w:spacing w:val="-2"/>
        </w:rPr>
        <w:t> </w:t>
      </w:r>
      <w:r>
        <w:rPr/>
        <w:t>safety</w:t>
      </w:r>
      <w:r>
        <w:rPr>
          <w:spacing w:val="-4"/>
        </w:rPr>
        <w:t> </w:t>
      </w:r>
      <w:r>
        <w:rPr/>
        <w:t>of others.</w:t>
      </w:r>
      <w:r>
        <w:rPr>
          <w:spacing w:val="-5"/>
        </w:rPr>
        <w:t> </w:t>
      </w:r>
      <w:r>
        <w:rPr/>
        <w:t>They</w:t>
      </w:r>
      <w:r>
        <w:rPr>
          <w:spacing w:val="-6"/>
        </w:rPr>
        <w:t> </w:t>
      </w:r>
      <w:r>
        <w:rPr/>
        <w:t>must</w:t>
      </w:r>
      <w:r>
        <w:rPr>
          <w:spacing w:val="-3"/>
        </w:rPr>
        <w:t> </w:t>
      </w:r>
      <w:r>
        <w:rPr/>
        <w:t>comply, so</w:t>
      </w:r>
      <w:r>
        <w:rPr>
          <w:spacing w:val="-4"/>
        </w:rPr>
        <w:t> </w:t>
      </w:r>
      <w:r>
        <w:rPr/>
        <w:t>far as they are reasonably able, with any reasonable instruction by the operator to allow the operator to comply with the law, and must cooperate with any reasonable policy or procedure relating to health or safety at the workplace that has been notified to workers. In addition, for workers at Major Hazard Facilities, there are specific duties under the model regulations.</w:t>
      </w:r>
      <w:r>
        <w:rPr>
          <w:spacing w:val="-3"/>
        </w:rPr>
        <w:t> </w:t>
      </w:r>
      <w:r>
        <w:rPr/>
        <w:t>For</w:t>
      </w:r>
      <w:r>
        <w:rPr>
          <w:spacing w:val="-3"/>
        </w:rPr>
        <w:t> </w:t>
      </w:r>
      <w:r>
        <w:rPr/>
        <w:t>example,</w:t>
      </w:r>
      <w:r>
        <w:rPr>
          <w:spacing w:val="-1"/>
        </w:rPr>
        <w:t> </w:t>
      </w:r>
      <w:r>
        <w:rPr/>
        <w:t>workers</w:t>
      </w:r>
      <w:r>
        <w:rPr>
          <w:spacing w:val="-3"/>
        </w:rPr>
        <w:t> </w:t>
      </w:r>
      <w:r>
        <w:rPr/>
        <w:t>must</w:t>
      </w:r>
      <w:r>
        <w:rPr>
          <w:spacing w:val="-3"/>
        </w:rPr>
        <w:t> </w:t>
      </w:r>
      <w:r>
        <w:rPr/>
        <w:t>comply</w:t>
      </w:r>
      <w:r>
        <w:rPr>
          <w:spacing w:val="-4"/>
        </w:rPr>
        <w:t> </w:t>
      </w:r>
      <w:r>
        <w:rPr/>
        <w:t>with</w:t>
      </w:r>
      <w:r>
        <w:rPr>
          <w:spacing w:val="-2"/>
        </w:rPr>
        <w:t> </w:t>
      </w:r>
      <w:r>
        <w:rPr/>
        <w:t>any</w:t>
      </w:r>
      <w:r>
        <w:rPr>
          <w:spacing w:val="-4"/>
        </w:rPr>
        <w:t> </w:t>
      </w:r>
      <w:r>
        <w:rPr/>
        <w:t>procedure</w:t>
      </w:r>
      <w:r>
        <w:rPr>
          <w:spacing w:val="-2"/>
        </w:rPr>
        <w:t> </w:t>
      </w:r>
      <w:r>
        <w:rPr/>
        <w:t>imposed</w:t>
      </w:r>
      <w:r>
        <w:rPr>
          <w:spacing w:val="-2"/>
        </w:rPr>
        <w:t> </w:t>
      </w:r>
      <w:r>
        <w:rPr/>
        <w:t>by</w:t>
      </w:r>
      <w:r>
        <w:rPr>
          <w:spacing w:val="-4"/>
        </w:rPr>
        <w:t> </w:t>
      </w:r>
      <w:r>
        <w:rPr/>
        <w:t>the</w:t>
      </w:r>
      <w:r>
        <w:rPr>
          <w:spacing w:val="-2"/>
        </w:rPr>
        <w:t> </w:t>
      </w:r>
      <w:r>
        <w:rPr/>
        <w:t>operator as a control measure in relation to major incidents.</w:t>
      </w:r>
    </w:p>
    <w:p>
      <w:pPr>
        <w:spacing w:after="0" w:line="288" w:lineRule="auto"/>
        <w:sectPr>
          <w:pgSz w:w="11910" w:h="16850"/>
          <w:pgMar w:header="220" w:footer="678" w:top="420" w:bottom="860" w:left="900" w:right="840"/>
        </w:sectPr>
      </w:pPr>
    </w:p>
    <w:p>
      <w:pPr>
        <w:pStyle w:val="BodyText"/>
        <w:rPr>
          <w:sz w:val="20"/>
        </w:rPr>
      </w:pPr>
    </w:p>
    <w:p>
      <w:pPr>
        <w:pStyle w:val="BodyText"/>
        <w:spacing w:before="7"/>
        <w:rPr>
          <w:sz w:val="19"/>
        </w:rPr>
      </w:pPr>
    </w:p>
    <w:p>
      <w:pPr>
        <w:pStyle w:val="Heading4"/>
      </w:pPr>
      <w:r>
        <w:rPr>
          <w:color w:val="585858"/>
        </w:rPr>
        <w:t>Consistent</w:t>
      </w:r>
      <w:r>
        <w:rPr>
          <w:color w:val="585858"/>
          <w:spacing w:val="-11"/>
        </w:rPr>
        <w:t> </w:t>
      </w:r>
      <w:r>
        <w:rPr>
          <w:color w:val="585858"/>
        </w:rPr>
        <w:t>ESV</w:t>
      </w:r>
      <w:r>
        <w:rPr>
          <w:color w:val="585858"/>
          <w:spacing w:val="-6"/>
        </w:rPr>
        <w:t> </w:t>
      </w:r>
      <w:r>
        <w:rPr>
          <w:color w:val="585858"/>
        </w:rPr>
        <w:t>functions</w:t>
      </w:r>
      <w:r>
        <w:rPr>
          <w:color w:val="585858"/>
          <w:spacing w:val="-9"/>
        </w:rPr>
        <w:t> </w:t>
      </w:r>
      <w:r>
        <w:rPr>
          <w:color w:val="585858"/>
        </w:rPr>
        <w:t>for</w:t>
      </w:r>
      <w:r>
        <w:rPr>
          <w:color w:val="585858"/>
          <w:spacing w:val="-11"/>
        </w:rPr>
        <w:t> </w:t>
      </w:r>
      <w:r>
        <w:rPr>
          <w:color w:val="585858"/>
        </w:rPr>
        <w:t>safety</w:t>
      </w:r>
      <w:r>
        <w:rPr>
          <w:color w:val="585858"/>
          <w:spacing w:val="-13"/>
        </w:rPr>
        <w:t> </w:t>
      </w:r>
      <w:r>
        <w:rPr>
          <w:color w:val="585858"/>
        </w:rPr>
        <w:t>case</w:t>
      </w:r>
      <w:r>
        <w:rPr>
          <w:color w:val="585858"/>
          <w:spacing w:val="-10"/>
        </w:rPr>
        <w:t> </w:t>
      </w:r>
      <w:r>
        <w:rPr>
          <w:color w:val="585858"/>
          <w:spacing w:val="-2"/>
        </w:rPr>
        <w:t>regulation</w:t>
      </w:r>
    </w:p>
    <w:p>
      <w:pPr>
        <w:pStyle w:val="BodyText"/>
        <w:spacing w:line="288" w:lineRule="auto" w:before="314"/>
        <w:ind w:left="232" w:right="374"/>
      </w:pPr>
      <w:r>
        <w:rPr/>
        <w:t>ESV’s functions under the existing safety Acts do not consistently provide for regulation of the safety</w:t>
      </w:r>
      <w:r>
        <w:rPr>
          <w:spacing w:val="-3"/>
        </w:rPr>
        <w:t> </w:t>
      </w:r>
      <w:r>
        <w:rPr/>
        <w:t>case</w:t>
      </w:r>
      <w:r>
        <w:rPr>
          <w:spacing w:val="-4"/>
        </w:rPr>
        <w:t> </w:t>
      </w:r>
      <w:r>
        <w:rPr/>
        <w:t>regime.</w:t>
      </w:r>
      <w:r>
        <w:rPr>
          <w:spacing w:val="-4"/>
        </w:rPr>
        <w:t> </w:t>
      </w:r>
      <w:r>
        <w:rPr/>
        <w:t>The</w:t>
      </w:r>
      <w:r>
        <w:rPr>
          <w:spacing w:val="-2"/>
        </w:rPr>
        <w:t> </w:t>
      </w:r>
      <w:r>
        <w:rPr>
          <w:i/>
        </w:rPr>
        <w:t>Gas</w:t>
      </w:r>
      <w:r>
        <w:rPr>
          <w:i/>
          <w:spacing w:val="-2"/>
        </w:rPr>
        <w:t> </w:t>
      </w:r>
      <w:r>
        <w:rPr>
          <w:i/>
        </w:rPr>
        <w:t>Safety</w:t>
      </w:r>
      <w:r>
        <w:rPr>
          <w:i/>
          <w:spacing w:val="-1"/>
        </w:rPr>
        <w:t> </w:t>
      </w:r>
      <w:r>
        <w:rPr>
          <w:i/>
        </w:rPr>
        <w:t>Act 1997</w:t>
      </w:r>
      <w:r>
        <w:rPr>
          <w:i/>
          <w:spacing w:val="-3"/>
        </w:rPr>
        <w:t> </w:t>
      </w:r>
      <w:r>
        <w:rPr/>
        <w:t>specifies</w:t>
      </w:r>
      <w:r>
        <w:rPr>
          <w:spacing w:val="-3"/>
        </w:rPr>
        <w:t> </w:t>
      </w:r>
      <w:r>
        <w:rPr/>
        <w:t>regulation</w:t>
      </w:r>
      <w:r>
        <w:rPr>
          <w:spacing w:val="-4"/>
        </w:rPr>
        <w:t> </w:t>
      </w:r>
      <w:r>
        <w:rPr/>
        <w:t>of the</w:t>
      </w:r>
      <w:r>
        <w:rPr>
          <w:spacing w:val="-4"/>
        </w:rPr>
        <w:t> </w:t>
      </w:r>
      <w:r>
        <w:rPr/>
        <w:t>regime</w:t>
      </w:r>
      <w:r>
        <w:rPr>
          <w:spacing w:val="-4"/>
        </w:rPr>
        <w:t> </w:t>
      </w:r>
      <w:r>
        <w:rPr/>
        <w:t>more</w:t>
      </w:r>
      <w:r>
        <w:rPr>
          <w:spacing w:val="-4"/>
        </w:rPr>
        <w:t> </w:t>
      </w:r>
      <w:r>
        <w:rPr/>
        <w:t>so</w:t>
      </w:r>
      <w:r>
        <w:rPr>
          <w:spacing w:val="-4"/>
        </w:rPr>
        <w:t> </w:t>
      </w:r>
      <w:r>
        <w:rPr/>
        <w:t>than</w:t>
      </w:r>
      <w:r>
        <w:rPr>
          <w:spacing w:val="-4"/>
        </w:rPr>
        <w:t> </w:t>
      </w:r>
      <w:r>
        <w:rPr/>
        <w:t>the other safety Acts.</w:t>
      </w:r>
    </w:p>
    <w:p>
      <w:pPr>
        <w:pStyle w:val="BodyText"/>
        <w:spacing w:before="9"/>
        <w:rPr>
          <w:sz w:val="20"/>
        </w:rPr>
      </w:pPr>
    </w:p>
    <w:p>
      <w:pPr>
        <w:pStyle w:val="BodyText"/>
        <w:spacing w:line="288" w:lineRule="auto"/>
        <w:ind w:left="232" w:right="374"/>
      </w:pPr>
      <w:r>
        <w:rPr/>
        <w:t>Under</w:t>
      </w:r>
      <w:r>
        <w:rPr>
          <w:spacing w:val="-1"/>
        </w:rPr>
        <w:t> </w:t>
      </w:r>
      <w:r>
        <w:rPr/>
        <w:t>the</w:t>
      </w:r>
      <w:r>
        <w:rPr>
          <w:spacing w:val="-6"/>
        </w:rPr>
        <w:t> </w:t>
      </w:r>
      <w:r>
        <w:rPr>
          <w:i/>
        </w:rPr>
        <w:t>Gas</w:t>
      </w:r>
      <w:r>
        <w:rPr>
          <w:i/>
          <w:spacing w:val="-2"/>
        </w:rPr>
        <w:t> </w:t>
      </w:r>
      <w:r>
        <w:rPr>
          <w:i/>
        </w:rPr>
        <w:t>Safety</w:t>
      </w:r>
      <w:r>
        <w:rPr>
          <w:i/>
          <w:spacing w:val="-3"/>
        </w:rPr>
        <w:t> </w:t>
      </w:r>
      <w:r>
        <w:rPr>
          <w:i/>
        </w:rPr>
        <w:t>Act 1997</w:t>
      </w:r>
      <w:r>
        <w:rPr>
          <w:i/>
          <w:spacing w:val="-3"/>
        </w:rPr>
        <w:t> </w:t>
      </w:r>
      <w:r>
        <w:rPr/>
        <w:t>the</w:t>
      </w:r>
      <w:r>
        <w:rPr>
          <w:spacing w:val="-7"/>
        </w:rPr>
        <w:t> </w:t>
      </w:r>
      <w:r>
        <w:rPr/>
        <w:t>functions</w:t>
      </w:r>
      <w:r>
        <w:rPr>
          <w:spacing w:val="-1"/>
        </w:rPr>
        <w:t> </w:t>
      </w:r>
      <w:r>
        <w:rPr/>
        <w:t>of ESV</w:t>
      </w:r>
      <w:r>
        <w:rPr>
          <w:spacing w:val="-2"/>
        </w:rPr>
        <w:t> </w:t>
      </w:r>
      <w:r>
        <w:rPr/>
        <w:t>specifically</w:t>
      </w:r>
      <w:r>
        <w:rPr>
          <w:spacing w:val="-4"/>
        </w:rPr>
        <w:t> </w:t>
      </w:r>
      <w:r>
        <w:rPr/>
        <w:t>relating</w:t>
      </w:r>
      <w:r>
        <w:rPr>
          <w:spacing w:val="-2"/>
        </w:rPr>
        <w:t> </w:t>
      </w:r>
      <w:r>
        <w:rPr/>
        <w:t>to</w:t>
      </w:r>
      <w:r>
        <w:rPr>
          <w:spacing w:val="-4"/>
        </w:rPr>
        <w:t> </w:t>
      </w:r>
      <w:r>
        <w:rPr/>
        <w:t>safety</w:t>
      </w:r>
      <w:r>
        <w:rPr>
          <w:spacing w:val="-4"/>
        </w:rPr>
        <w:t> </w:t>
      </w:r>
      <w:r>
        <w:rPr/>
        <w:t>case</w:t>
      </w:r>
      <w:r>
        <w:rPr>
          <w:spacing w:val="-4"/>
        </w:rPr>
        <w:t> </w:t>
      </w:r>
      <w:r>
        <w:rPr/>
        <w:t>regulation </w:t>
      </w:r>
      <w:r>
        <w:rPr>
          <w:spacing w:val="-4"/>
        </w:rPr>
        <w:t>are:</w:t>
      </w:r>
    </w:p>
    <w:p>
      <w:pPr>
        <w:pStyle w:val="BodyText"/>
        <w:spacing w:before="4"/>
      </w:pPr>
    </w:p>
    <w:p>
      <w:pPr>
        <w:pStyle w:val="ListParagraph"/>
        <w:numPr>
          <w:ilvl w:val="0"/>
          <w:numId w:val="87"/>
        </w:numPr>
        <w:tabs>
          <w:tab w:pos="590" w:val="left" w:leader="none"/>
        </w:tabs>
        <w:spacing w:line="240" w:lineRule="auto" w:before="0" w:after="0"/>
        <w:ind w:left="590" w:right="0" w:hanging="358"/>
        <w:jc w:val="left"/>
        <w:rPr>
          <w:sz w:val="22"/>
        </w:rPr>
      </w:pPr>
      <w:r>
        <w:rPr>
          <w:sz w:val="22"/>
        </w:rPr>
        <w:t>to</w:t>
      </w:r>
      <w:r>
        <w:rPr>
          <w:spacing w:val="-7"/>
          <w:sz w:val="22"/>
        </w:rPr>
        <w:t> </w:t>
      </w:r>
      <w:r>
        <w:rPr>
          <w:sz w:val="22"/>
        </w:rPr>
        <w:t>issue</w:t>
      </w:r>
      <w:r>
        <w:rPr>
          <w:spacing w:val="-8"/>
          <w:sz w:val="22"/>
        </w:rPr>
        <w:t> </w:t>
      </w:r>
      <w:r>
        <w:rPr>
          <w:sz w:val="22"/>
        </w:rPr>
        <w:t>guidelines</w:t>
      </w:r>
      <w:r>
        <w:rPr>
          <w:spacing w:val="-3"/>
          <w:sz w:val="22"/>
        </w:rPr>
        <w:t> </w:t>
      </w:r>
      <w:r>
        <w:rPr>
          <w:sz w:val="22"/>
        </w:rPr>
        <w:t>in</w:t>
      </w:r>
      <w:r>
        <w:rPr>
          <w:spacing w:val="-5"/>
          <w:sz w:val="22"/>
        </w:rPr>
        <w:t> </w:t>
      </w:r>
      <w:r>
        <w:rPr>
          <w:sz w:val="22"/>
        </w:rPr>
        <w:t>relation</w:t>
      </w:r>
      <w:r>
        <w:rPr>
          <w:spacing w:val="-4"/>
          <w:sz w:val="22"/>
        </w:rPr>
        <w:t> </w:t>
      </w:r>
      <w:r>
        <w:rPr>
          <w:sz w:val="22"/>
        </w:rPr>
        <w:t>to</w:t>
      </w:r>
      <w:r>
        <w:rPr>
          <w:spacing w:val="-6"/>
          <w:sz w:val="22"/>
        </w:rPr>
        <w:t> </w:t>
      </w:r>
      <w:r>
        <w:rPr>
          <w:sz w:val="22"/>
        </w:rPr>
        <w:t>the</w:t>
      </w:r>
      <w:r>
        <w:rPr>
          <w:spacing w:val="-6"/>
          <w:sz w:val="22"/>
        </w:rPr>
        <w:t> </w:t>
      </w:r>
      <w:r>
        <w:rPr>
          <w:sz w:val="22"/>
        </w:rPr>
        <w:t>preparation</w:t>
      </w:r>
      <w:r>
        <w:rPr>
          <w:spacing w:val="-7"/>
          <w:sz w:val="22"/>
        </w:rPr>
        <w:t> </w:t>
      </w:r>
      <w:r>
        <w:rPr>
          <w:sz w:val="22"/>
        </w:rPr>
        <w:t>of</w:t>
      </w:r>
      <w:r>
        <w:rPr>
          <w:spacing w:val="-2"/>
          <w:sz w:val="22"/>
        </w:rPr>
        <w:t> </w:t>
      </w:r>
      <w:r>
        <w:rPr>
          <w:sz w:val="22"/>
        </w:rPr>
        <w:t>safety</w:t>
      </w:r>
      <w:r>
        <w:rPr>
          <w:spacing w:val="-5"/>
          <w:sz w:val="22"/>
        </w:rPr>
        <w:t> </w:t>
      </w:r>
      <w:r>
        <w:rPr>
          <w:spacing w:val="-2"/>
          <w:sz w:val="22"/>
        </w:rPr>
        <w:t>cases;</w:t>
      </w:r>
    </w:p>
    <w:p>
      <w:pPr>
        <w:pStyle w:val="ListParagraph"/>
        <w:numPr>
          <w:ilvl w:val="0"/>
          <w:numId w:val="87"/>
        </w:numPr>
        <w:tabs>
          <w:tab w:pos="590" w:val="left" w:leader="none"/>
        </w:tabs>
        <w:spacing w:line="240" w:lineRule="auto" w:before="66" w:after="0"/>
        <w:ind w:left="590" w:right="0" w:hanging="358"/>
        <w:jc w:val="left"/>
        <w:rPr>
          <w:sz w:val="22"/>
        </w:rPr>
      </w:pPr>
      <w:r>
        <w:rPr>
          <w:sz w:val="22"/>
        </w:rPr>
        <w:t>monitor</w:t>
      </w:r>
      <w:r>
        <w:rPr>
          <w:spacing w:val="-7"/>
          <w:sz w:val="22"/>
        </w:rPr>
        <w:t> </w:t>
      </w:r>
      <w:r>
        <w:rPr>
          <w:sz w:val="22"/>
        </w:rPr>
        <w:t>compliance</w:t>
      </w:r>
      <w:r>
        <w:rPr>
          <w:spacing w:val="-6"/>
          <w:sz w:val="22"/>
        </w:rPr>
        <w:t> </w:t>
      </w:r>
      <w:r>
        <w:rPr>
          <w:sz w:val="22"/>
        </w:rPr>
        <w:t>of</w:t>
      </w:r>
      <w:r>
        <w:rPr>
          <w:spacing w:val="-6"/>
          <w:sz w:val="22"/>
        </w:rPr>
        <w:t> </w:t>
      </w:r>
      <w:r>
        <w:rPr>
          <w:sz w:val="22"/>
        </w:rPr>
        <w:t>gas</w:t>
      </w:r>
      <w:r>
        <w:rPr>
          <w:spacing w:val="-5"/>
          <w:sz w:val="22"/>
        </w:rPr>
        <w:t> </w:t>
      </w:r>
      <w:r>
        <w:rPr>
          <w:sz w:val="22"/>
        </w:rPr>
        <w:t>companies</w:t>
      </w:r>
      <w:r>
        <w:rPr>
          <w:spacing w:val="-6"/>
          <w:sz w:val="22"/>
        </w:rPr>
        <w:t> </w:t>
      </w:r>
      <w:r>
        <w:rPr>
          <w:sz w:val="22"/>
        </w:rPr>
        <w:t>with</w:t>
      </w:r>
      <w:r>
        <w:rPr>
          <w:spacing w:val="-6"/>
          <w:sz w:val="22"/>
        </w:rPr>
        <w:t> </w:t>
      </w:r>
      <w:r>
        <w:rPr>
          <w:sz w:val="22"/>
        </w:rPr>
        <w:t>accepted</w:t>
      </w:r>
      <w:r>
        <w:rPr>
          <w:spacing w:val="-6"/>
          <w:sz w:val="22"/>
        </w:rPr>
        <w:t> </w:t>
      </w:r>
      <w:r>
        <w:rPr>
          <w:sz w:val="22"/>
        </w:rPr>
        <w:t>safety</w:t>
      </w:r>
      <w:r>
        <w:rPr>
          <w:spacing w:val="-7"/>
          <w:sz w:val="22"/>
        </w:rPr>
        <w:t> </w:t>
      </w:r>
      <w:r>
        <w:rPr>
          <w:sz w:val="22"/>
        </w:rPr>
        <w:t>cases;</w:t>
      </w:r>
      <w:r>
        <w:rPr>
          <w:spacing w:val="-6"/>
          <w:sz w:val="22"/>
        </w:rPr>
        <w:t> </w:t>
      </w:r>
      <w:r>
        <w:rPr>
          <w:spacing w:val="-5"/>
          <w:sz w:val="22"/>
        </w:rPr>
        <w:t>and</w:t>
      </w:r>
    </w:p>
    <w:p>
      <w:pPr>
        <w:pStyle w:val="ListParagraph"/>
        <w:numPr>
          <w:ilvl w:val="0"/>
          <w:numId w:val="87"/>
        </w:numPr>
        <w:tabs>
          <w:tab w:pos="590" w:val="left" w:leader="none"/>
        </w:tabs>
        <w:spacing w:line="240" w:lineRule="auto" w:before="64" w:after="0"/>
        <w:ind w:left="590" w:right="0" w:hanging="358"/>
        <w:jc w:val="left"/>
        <w:rPr>
          <w:sz w:val="22"/>
        </w:rPr>
      </w:pPr>
      <w:r>
        <w:rPr>
          <w:sz w:val="22"/>
        </w:rPr>
        <w:t>audit</w:t>
      </w:r>
      <w:r>
        <w:rPr>
          <w:spacing w:val="-5"/>
          <w:sz w:val="22"/>
        </w:rPr>
        <w:t> </w:t>
      </w:r>
      <w:r>
        <w:rPr>
          <w:sz w:val="22"/>
        </w:rPr>
        <w:t>accepted</w:t>
      </w:r>
      <w:r>
        <w:rPr>
          <w:spacing w:val="-5"/>
          <w:sz w:val="22"/>
        </w:rPr>
        <w:t> </w:t>
      </w:r>
      <w:r>
        <w:rPr>
          <w:sz w:val="22"/>
        </w:rPr>
        <w:t>safety</w:t>
      </w:r>
      <w:r>
        <w:rPr>
          <w:spacing w:val="-6"/>
          <w:sz w:val="22"/>
        </w:rPr>
        <w:t> </w:t>
      </w:r>
      <w:r>
        <w:rPr>
          <w:sz w:val="22"/>
        </w:rPr>
        <w:t>cases</w:t>
      </w:r>
      <w:r>
        <w:rPr>
          <w:spacing w:val="-5"/>
          <w:sz w:val="22"/>
        </w:rPr>
        <w:t> </w:t>
      </w:r>
      <w:r>
        <w:rPr>
          <w:sz w:val="22"/>
        </w:rPr>
        <w:t>to</w:t>
      </w:r>
      <w:r>
        <w:rPr>
          <w:spacing w:val="-7"/>
          <w:sz w:val="22"/>
        </w:rPr>
        <w:t> </w:t>
      </w:r>
      <w:r>
        <w:rPr>
          <w:sz w:val="22"/>
        </w:rPr>
        <w:t>determine</w:t>
      </w:r>
      <w:r>
        <w:rPr>
          <w:spacing w:val="-4"/>
          <w:sz w:val="22"/>
        </w:rPr>
        <w:t> </w:t>
      </w:r>
      <w:r>
        <w:rPr>
          <w:sz w:val="22"/>
        </w:rPr>
        <w:t>their</w:t>
      </w:r>
      <w:r>
        <w:rPr>
          <w:spacing w:val="-6"/>
          <w:sz w:val="22"/>
        </w:rPr>
        <w:t> </w:t>
      </w:r>
      <w:r>
        <w:rPr>
          <w:sz w:val="22"/>
        </w:rPr>
        <w:t>adequacy</w:t>
      </w:r>
      <w:r>
        <w:rPr>
          <w:spacing w:val="-7"/>
          <w:sz w:val="22"/>
        </w:rPr>
        <w:t> </w:t>
      </w:r>
      <w:r>
        <w:rPr>
          <w:sz w:val="22"/>
        </w:rPr>
        <w:t>and</w:t>
      </w:r>
      <w:r>
        <w:rPr>
          <w:spacing w:val="-6"/>
          <w:sz w:val="22"/>
        </w:rPr>
        <w:t> </w:t>
      </w:r>
      <w:r>
        <w:rPr>
          <w:spacing w:val="-2"/>
          <w:sz w:val="22"/>
        </w:rPr>
        <w:t>effectiveness.</w:t>
      </w:r>
    </w:p>
    <w:p>
      <w:pPr>
        <w:pStyle w:val="BodyText"/>
        <w:spacing w:before="2"/>
        <w:rPr>
          <w:sz w:val="25"/>
        </w:rPr>
      </w:pPr>
    </w:p>
    <w:p>
      <w:pPr>
        <w:pStyle w:val="BodyText"/>
        <w:spacing w:line="288" w:lineRule="auto"/>
        <w:ind w:left="232" w:right="374"/>
      </w:pPr>
      <w:r>
        <w:rPr/>
        <w:t>Under</w:t>
      </w:r>
      <w:r>
        <w:rPr>
          <w:spacing w:val="-2"/>
        </w:rPr>
        <w:t> </w:t>
      </w:r>
      <w:r>
        <w:rPr/>
        <w:t>the</w:t>
      </w:r>
      <w:r>
        <w:rPr>
          <w:spacing w:val="-5"/>
        </w:rPr>
        <w:t> </w:t>
      </w:r>
      <w:r>
        <w:rPr>
          <w:i/>
        </w:rPr>
        <w:t>Electricity</w:t>
      </w:r>
      <w:r>
        <w:rPr>
          <w:i/>
          <w:spacing w:val="-2"/>
        </w:rPr>
        <w:t> </w:t>
      </w:r>
      <w:r>
        <w:rPr>
          <w:i/>
        </w:rPr>
        <w:t>Safety</w:t>
      </w:r>
      <w:r>
        <w:rPr>
          <w:i/>
          <w:spacing w:val="-2"/>
        </w:rPr>
        <w:t> </w:t>
      </w:r>
      <w:r>
        <w:rPr>
          <w:i/>
        </w:rPr>
        <w:t>Act</w:t>
      </w:r>
      <w:r>
        <w:rPr>
          <w:i/>
          <w:spacing w:val="-1"/>
        </w:rPr>
        <w:t> </w:t>
      </w:r>
      <w:r>
        <w:rPr>
          <w:i/>
        </w:rPr>
        <w:t>1998</w:t>
      </w:r>
      <w:r>
        <w:rPr>
          <w:i/>
          <w:spacing w:val="-4"/>
        </w:rPr>
        <w:t> </w:t>
      </w:r>
      <w:r>
        <w:rPr/>
        <w:t>ESV’s</w:t>
      </w:r>
      <w:r>
        <w:rPr>
          <w:spacing w:val="-5"/>
        </w:rPr>
        <w:t> </w:t>
      </w:r>
      <w:r>
        <w:rPr/>
        <w:t>functions</w:t>
      </w:r>
      <w:r>
        <w:rPr>
          <w:spacing w:val="-2"/>
        </w:rPr>
        <w:t> </w:t>
      </w:r>
      <w:r>
        <w:rPr/>
        <w:t>include</w:t>
      </w:r>
      <w:r>
        <w:rPr>
          <w:spacing w:val="-3"/>
        </w:rPr>
        <w:t> </w:t>
      </w:r>
      <w:r>
        <w:rPr/>
        <w:t>encouraging</w:t>
      </w:r>
      <w:r>
        <w:rPr>
          <w:spacing w:val="-1"/>
        </w:rPr>
        <w:t> </w:t>
      </w:r>
      <w:r>
        <w:rPr/>
        <w:t>and</w:t>
      </w:r>
      <w:r>
        <w:rPr>
          <w:spacing w:val="-5"/>
        </w:rPr>
        <w:t> </w:t>
      </w:r>
      <w:r>
        <w:rPr/>
        <w:t>monitoring</w:t>
      </w:r>
      <w:r>
        <w:rPr>
          <w:spacing w:val="-2"/>
        </w:rPr>
        <w:t> </w:t>
      </w:r>
      <w:r>
        <w:rPr/>
        <w:t>the</w:t>
      </w:r>
      <w:r>
        <w:rPr>
          <w:spacing w:val="-5"/>
        </w:rPr>
        <w:t> </w:t>
      </w:r>
      <w:r>
        <w:rPr/>
        <w:t>use of Electricity Safety Management Schemes</w:t>
      </w:r>
      <w:r>
        <w:rPr>
          <w:spacing w:val="-15"/>
        </w:rPr>
        <w:t> </w:t>
      </w:r>
      <w:r>
        <w:rPr/>
        <w:t>(the Act refers to “Electricity Safety Management Schemes” rather than “Safety Cases” specifically).</w:t>
      </w:r>
    </w:p>
    <w:p>
      <w:pPr>
        <w:pStyle w:val="BodyText"/>
        <w:rPr>
          <w:sz w:val="21"/>
        </w:rPr>
      </w:pPr>
    </w:p>
    <w:p>
      <w:pPr>
        <w:spacing w:before="0"/>
        <w:ind w:left="232" w:right="0" w:firstLine="0"/>
        <w:jc w:val="left"/>
        <w:rPr>
          <w:sz w:val="22"/>
        </w:rPr>
      </w:pPr>
      <w:r>
        <w:rPr>
          <w:sz w:val="22"/>
        </w:rPr>
        <w:t>The</w:t>
      </w:r>
      <w:r>
        <w:rPr>
          <w:spacing w:val="-6"/>
          <w:sz w:val="22"/>
        </w:rPr>
        <w:t> </w:t>
      </w:r>
      <w:r>
        <w:rPr>
          <w:i/>
          <w:sz w:val="22"/>
        </w:rPr>
        <w:t>Pipelines</w:t>
      </w:r>
      <w:r>
        <w:rPr>
          <w:i/>
          <w:spacing w:val="-3"/>
          <w:sz w:val="22"/>
        </w:rPr>
        <w:t> </w:t>
      </w:r>
      <w:r>
        <w:rPr>
          <w:i/>
          <w:sz w:val="22"/>
        </w:rPr>
        <w:t>Act</w:t>
      </w:r>
      <w:r>
        <w:rPr>
          <w:i/>
          <w:spacing w:val="-2"/>
          <w:sz w:val="22"/>
        </w:rPr>
        <w:t> </w:t>
      </w:r>
      <w:r>
        <w:rPr>
          <w:i/>
          <w:sz w:val="22"/>
        </w:rPr>
        <w:t>2005</w:t>
      </w:r>
      <w:r>
        <w:rPr>
          <w:i/>
          <w:spacing w:val="-6"/>
          <w:sz w:val="22"/>
        </w:rPr>
        <w:t> </w:t>
      </w:r>
      <w:r>
        <w:rPr>
          <w:sz w:val="22"/>
        </w:rPr>
        <w:t>does</w:t>
      </w:r>
      <w:r>
        <w:rPr>
          <w:spacing w:val="-2"/>
          <w:sz w:val="22"/>
        </w:rPr>
        <w:t> </w:t>
      </w:r>
      <w:r>
        <w:rPr>
          <w:sz w:val="22"/>
        </w:rPr>
        <w:t>not</w:t>
      </w:r>
      <w:r>
        <w:rPr>
          <w:spacing w:val="-5"/>
          <w:sz w:val="22"/>
        </w:rPr>
        <w:t> </w:t>
      </w:r>
      <w:r>
        <w:rPr>
          <w:sz w:val="22"/>
        </w:rPr>
        <w:t>specify</w:t>
      </w:r>
      <w:r>
        <w:rPr>
          <w:spacing w:val="-6"/>
          <w:sz w:val="22"/>
        </w:rPr>
        <w:t> </w:t>
      </w:r>
      <w:r>
        <w:rPr>
          <w:sz w:val="22"/>
        </w:rPr>
        <w:t>ESV’s</w:t>
      </w:r>
      <w:r>
        <w:rPr>
          <w:spacing w:val="-5"/>
          <w:sz w:val="22"/>
        </w:rPr>
        <w:t> </w:t>
      </w:r>
      <w:r>
        <w:rPr>
          <w:spacing w:val="-2"/>
          <w:sz w:val="22"/>
        </w:rPr>
        <w:t>functions.</w:t>
      </w:r>
    </w:p>
    <w:p>
      <w:pPr>
        <w:pStyle w:val="BodyText"/>
        <w:spacing w:before="2"/>
        <w:rPr>
          <w:sz w:val="25"/>
        </w:rPr>
      </w:pPr>
    </w:p>
    <w:p>
      <w:pPr>
        <w:pStyle w:val="BodyText"/>
        <w:spacing w:line="288" w:lineRule="auto"/>
        <w:ind w:left="232" w:right="562"/>
        <w:jc w:val="both"/>
      </w:pPr>
      <w:r>
        <w:rPr/>
        <w:t>Given</w:t>
      </w:r>
      <w:r>
        <w:rPr>
          <w:spacing w:val="-1"/>
        </w:rPr>
        <w:t> </w:t>
      </w:r>
      <w:r>
        <w:rPr/>
        <w:t>the</w:t>
      </w:r>
      <w:r>
        <w:rPr>
          <w:spacing w:val="-1"/>
        </w:rPr>
        <w:t> </w:t>
      </w:r>
      <w:r>
        <w:rPr/>
        <w:t>centrality</w:t>
      </w:r>
      <w:r>
        <w:rPr>
          <w:spacing w:val="-3"/>
        </w:rPr>
        <w:t> </w:t>
      </w:r>
      <w:r>
        <w:rPr/>
        <w:t>of the</w:t>
      </w:r>
      <w:r>
        <w:rPr>
          <w:spacing w:val="-1"/>
        </w:rPr>
        <w:t> </w:t>
      </w:r>
      <w:r>
        <w:rPr/>
        <w:t>safety</w:t>
      </w:r>
      <w:r>
        <w:rPr>
          <w:spacing w:val="-3"/>
        </w:rPr>
        <w:t> </w:t>
      </w:r>
      <w:r>
        <w:rPr/>
        <w:t>case</w:t>
      </w:r>
      <w:r>
        <w:rPr>
          <w:spacing w:val="-3"/>
        </w:rPr>
        <w:t> </w:t>
      </w:r>
      <w:r>
        <w:rPr/>
        <w:t>to</w:t>
      </w:r>
      <w:r>
        <w:rPr>
          <w:spacing w:val="-1"/>
        </w:rPr>
        <w:t> </w:t>
      </w:r>
      <w:r>
        <w:rPr/>
        <w:t>network</w:t>
      </w:r>
      <w:r>
        <w:rPr>
          <w:spacing w:val="-2"/>
        </w:rPr>
        <w:t> </w:t>
      </w:r>
      <w:r>
        <w:rPr/>
        <w:t>safety, it is</w:t>
      </w:r>
      <w:r>
        <w:rPr>
          <w:spacing w:val="-3"/>
        </w:rPr>
        <w:t> </w:t>
      </w:r>
      <w:r>
        <w:rPr/>
        <w:t>recommended</w:t>
      </w:r>
      <w:r>
        <w:rPr>
          <w:spacing w:val="-1"/>
        </w:rPr>
        <w:t> </w:t>
      </w:r>
      <w:r>
        <w:rPr/>
        <w:t>that ESV’s</w:t>
      </w:r>
      <w:r>
        <w:rPr>
          <w:spacing w:val="-3"/>
        </w:rPr>
        <w:t> </w:t>
      </w:r>
      <w:r>
        <w:rPr/>
        <w:t>functions set</w:t>
      </w:r>
      <w:r>
        <w:rPr>
          <w:spacing w:val="-2"/>
        </w:rPr>
        <w:t> </w:t>
      </w:r>
      <w:r>
        <w:rPr/>
        <w:t>out</w:t>
      </w:r>
      <w:r>
        <w:rPr>
          <w:spacing w:val="-1"/>
        </w:rPr>
        <w:t> </w:t>
      </w:r>
      <w:r>
        <w:rPr/>
        <w:t>in</w:t>
      </w:r>
      <w:r>
        <w:rPr>
          <w:spacing w:val="-5"/>
        </w:rPr>
        <w:t> </w:t>
      </w:r>
      <w:r>
        <w:rPr/>
        <w:t>consolidated</w:t>
      </w:r>
      <w:r>
        <w:rPr>
          <w:spacing w:val="-3"/>
        </w:rPr>
        <w:t> </w:t>
      </w:r>
      <w:r>
        <w:rPr/>
        <w:t>energy</w:t>
      </w:r>
      <w:r>
        <w:rPr>
          <w:spacing w:val="-5"/>
        </w:rPr>
        <w:t> </w:t>
      </w:r>
      <w:r>
        <w:rPr/>
        <w:t>safety</w:t>
      </w:r>
      <w:r>
        <w:rPr>
          <w:spacing w:val="-4"/>
        </w:rPr>
        <w:t> </w:t>
      </w:r>
      <w:r>
        <w:rPr/>
        <w:t>legislation</w:t>
      </w:r>
      <w:r>
        <w:rPr>
          <w:spacing w:val="-3"/>
        </w:rPr>
        <w:t> </w:t>
      </w:r>
      <w:r>
        <w:rPr/>
        <w:t>expressly reflect</w:t>
      </w:r>
      <w:r>
        <w:rPr>
          <w:spacing w:val="-1"/>
        </w:rPr>
        <w:t> </w:t>
      </w:r>
      <w:r>
        <w:rPr/>
        <w:t>its</w:t>
      </w:r>
      <w:r>
        <w:rPr>
          <w:spacing w:val="-5"/>
        </w:rPr>
        <w:t> </w:t>
      </w:r>
      <w:r>
        <w:rPr/>
        <w:t>responsibility</w:t>
      </w:r>
      <w:r>
        <w:rPr>
          <w:spacing w:val="-5"/>
        </w:rPr>
        <w:t> </w:t>
      </w:r>
      <w:r>
        <w:rPr/>
        <w:t>for</w:t>
      </w:r>
      <w:r>
        <w:rPr>
          <w:spacing w:val="-4"/>
        </w:rPr>
        <w:t> </w:t>
      </w:r>
      <w:r>
        <w:rPr/>
        <w:t>safety</w:t>
      </w:r>
      <w:r>
        <w:rPr>
          <w:spacing w:val="-5"/>
        </w:rPr>
        <w:t> </w:t>
      </w:r>
      <w:r>
        <w:rPr/>
        <w:t>case </w:t>
      </w:r>
      <w:r>
        <w:rPr>
          <w:spacing w:val="-2"/>
        </w:rPr>
        <w:t>regulation.</w:t>
      </w:r>
    </w:p>
    <w:p>
      <w:pPr>
        <w:pStyle w:val="BodyText"/>
        <w:spacing w:before="5"/>
        <w:rPr>
          <w:sz w:val="31"/>
        </w:rPr>
      </w:pPr>
    </w:p>
    <w:p>
      <w:pPr>
        <w:pStyle w:val="Heading4"/>
        <w:spacing w:before="0"/>
        <w:jc w:val="both"/>
      </w:pPr>
      <w:r>
        <w:rPr>
          <w:color w:val="585858"/>
        </w:rPr>
        <w:t>Consistent</w:t>
      </w:r>
      <w:r>
        <w:rPr>
          <w:color w:val="585858"/>
          <w:spacing w:val="-14"/>
        </w:rPr>
        <w:t> </w:t>
      </w:r>
      <w:r>
        <w:rPr>
          <w:color w:val="585858"/>
        </w:rPr>
        <w:t>safety</w:t>
      </w:r>
      <w:r>
        <w:rPr>
          <w:color w:val="585858"/>
          <w:spacing w:val="-15"/>
        </w:rPr>
        <w:t> </w:t>
      </w:r>
      <w:r>
        <w:rPr>
          <w:color w:val="585858"/>
        </w:rPr>
        <w:t>case</w:t>
      </w:r>
      <w:r>
        <w:rPr>
          <w:color w:val="585858"/>
          <w:spacing w:val="-12"/>
        </w:rPr>
        <w:t> </w:t>
      </w:r>
      <w:r>
        <w:rPr>
          <w:color w:val="585858"/>
          <w:spacing w:val="-2"/>
        </w:rPr>
        <w:t>regime</w:t>
      </w:r>
    </w:p>
    <w:p>
      <w:pPr>
        <w:pStyle w:val="BodyText"/>
        <w:spacing w:line="288" w:lineRule="auto" w:before="314"/>
        <w:ind w:left="232" w:right="333"/>
      </w:pPr>
      <w:r>
        <w:rPr/>
        <w:t>In addition to inconsistencies across the current Acts and regulations in relation to the general duties that a safety case is required for, there are differences in the terminology and components</w:t>
      </w:r>
      <w:r>
        <w:rPr>
          <w:spacing w:val="40"/>
        </w:rPr>
        <w:t> </w:t>
      </w:r>
      <w:r>
        <w:rPr/>
        <w:t>of the outcomes-based regimes. The </w:t>
      </w:r>
      <w:r>
        <w:rPr>
          <w:i/>
        </w:rPr>
        <w:t>Gas Safety Act 1997 </w:t>
      </w:r>
      <w:r>
        <w:rPr/>
        <w:t>requires a “Safety Case”, the </w:t>
      </w:r>
      <w:r>
        <w:rPr>
          <w:i/>
        </w:rPr>
        <w:t>Electricity Safety Act 1998 </w:t>
      </w:r>
      <w:r>
        <w:rPr/>
        <w:t>requires an “Electricity Safety Management Scheme”, and the </w:t>
      </w:r>
      <w:r>
        <w:rPr>
          <w:i/>
        </w:rPr>
        <w:t>Pipelines Act 2005 </w:t>
      </w:r>
      <w:r>
        <w:rPr/>
        <w:t>requires a “Safety Management Plan” (noting natural gas transmission pipeline businesses currently operate under Safety Cases deemed as Safety Management Plans). Whilst some components</w:t>
      </w:r>
      <w:r>
        <w:rPr>
          <w:spacing w:val="-2"/>
        </w:rPr>
        <w:t> </w:t>
      </w:r>
      <w:r>
        <w:rPr/>
        <w:t>prescribed</w:t>
      </w:r>
      <w:r>
        <w:rPr>
          <w:spacing w:val="-5"/>
        </w:rPr>
        <w:t> </w:t>
      </w:r>
      <w:r>
        <w:rPr/>
        <w:t>in</w:t>
      </w:r>
      <w:r>
        <w:rPr>
          <w:spacing w:val="-3"/>
        </w:rPr>
        <w:t> </w:t>
      </w:r>
      <w:r>
        <w:rPr/>
        <w:t>regulations</w:t>
      </w:r>
      <w:r>
        <w:rPr>
          <w:spacing w:val="-5"/>
        </w:rPr>
        <w:t> </w:t>
      </w:r>
      <w:r>
        <w:rPr/>
        <w:t>are</w:t>
      </w:r>
      <w:r>
        <w:rPr>
          <w:spacing w:val="-5"/>
        </w:rPr>
        <w:t> </w:t>
      </w:r>
      <w:r>
        <w:rPr/>
        <w:t>expressed</w:t>
      </w:r>
      <w:r>
        <w:rPr>
          <w:spacing w:val="-3"/>
        </w:rPr>
        <w:t> </w:t>
      </w:r>
      <w:r>
        <w:rPr/>
        <w:t>similarly,</w:t>
      </w:r>
      <w:r>
        <w:rPr>
          <w:spacing w:val="-1"/>
        </w:rPr>
        <w:t> </w:t>
      </w:r>
      <w:r>
        <w:rPr/>
        <w:t>other</w:t>
      </w:r>
      <w:r>
        <w:rPr>
          <w:spacing w:val="-2"/>
        </w:rPr>
        <w:t> </w:t>
      </w:r>
      <w:r>
        <w:rPr/>
        <w:t>elements</w:t>
      </w:r>
      <w:r>
        <w:rPr>
          <w:spacing w:val="-2"/>
        </w:rPr>
        <w:t> </w:t>
      </w:r>
      <w:r>
        <w:rPr/>
        <w:t>differ.</w:t>
      </w:r>
      <w:r>
        <w:rPr>
          <w:spacing w:val="-6"/>
        </w:rPr>
        <w:t> </w:t>
      </w:r>
      <w:r>
        <w:rPr/>
        <w:t>The </w:t>
      </w:r>
      <w:r>
        <w:rPr>
          <w:i/>
        </w:rPr>
        <w:t>Electricity Safety (Management) Regulations 2009 </w:t>
      </w:r>
      <w:r>
        <w:rPr/>
        <w:t>rely more heavily on an Australian Standard, AS 5577.</w:t>
      </w:r>
      <w:r>
        <w:rPr>
          <w:spacing w:val="-18"/>
        </w:rPr>
        <w:t> </w:t>
      </w:r>
      <w:r>
        <w:rPr>
          <w:vertAlign w:val="superscript"/>
        </w:rPr>
        <w:t>18</w:t>
      </w:r>
    </w:p>
    <w:p>
      <w:pPr>
        <w:pStyle w:val="BodyText"/>
        <w:spacing w:before="8"/>
        <w:rPr>
          <w:sz w:val="20"/>
        </w:rPr>
      </w:pPr>
    </w:p>
    <w:p>
      <w:pPr>
        <w:pStyle w:val="BodyText"/>
        <w:spacing w:line="288" w:lineRule="auto"/>
        <w:ind w:left="232" w:right="320"/>
      </w:pPr>
      <w:r>
        <w:rPr/>
        <w:t>As</w:t>
      </w:r>
      <w:r>
        <w:rPr>
          <w:spacing w:val="-1"/>
        </w:rPr>
        <w:t> </w:t>
      </w:r>
      <w:r>
        <w:rPr/>
        <w:t>discussed</w:t>
      </w:r>
      <w:r>
        <w:rPr>
          <w:spacing w:val="-2"/>
        </w:rPr>
        <w:t> </w:t>
      </w:r>
      <w:r>
        <w:rPr/>
        <w:t>in</w:t>
      </w:r>
      <w:r>
        <w:rPr>
          <w:spacing w:val="-4"/>
        </w:rPr>
        <w:t> </w:t>
      </w:r>
      <w:r>
        <w:rPr>
          <w:i/>
        </w:rPr>
        <w:t>Part</w:t>
      </w:r>
      <w:r>
        <w:rPr>
          <w:i/>
          <w:spacing w:val="-2"/>
        </w:rPr>
        <w:t> </w:t>
      </w:r>
      <w:r>
        <w:rPr>
          <w:i/>
        </w:rPr>
        <w:t>C:</w:t>
      </w:r>
      <w:r>
        <w:rPr>
          <w:i/>
          <w:spacing w:val="-5"/>
        </w:rPr>
        <w:t> </w:t>
      </w:r>
      <w:r>
        <w:rPr>
          <w:i/>
        </w:rPr>
        <w:t>Leading</w:t>
      </w:r>
      <w:r>
        <w:rPr>
          <w:i/>
          <w:spacing w:val="-2"/>
        </w:rPr>
        <w:t> </w:t>
      </w:r>
      <w:r>
        <w:rPr>
          <w:i/>
        </w:rPr>
        <w:t>Practice</w:t>
      </w:r>
      <w:r>
        <w:rPr>
          <w:i/>
          <w:spacing w:val="-4"/>
        </w:rPr>
        <w:t> </w:t>
      </w:r>
      <w:r>
        <w:rPr>
          <w:i/>
        </w:rPr>
        <w:t>and</w:t>
      </w:r>
      <w:r>
        <w:rPr>
          <w:i/>
          <w:spacing w:val="-2"/>
        </w:rPr>
        <w:t> </w:t>
      </w:r>
      <w:r>
        <w:rPr>
          <w:i/>
        </w:rPr>
        <w:t>Network</w:t>
      </w:r>
      <w:r>
        <w:rPr>
          <w:i/>
          <w:spacing w:val="-4"/>
        </w:rPr>
        <w:t> </w:t>
      </w:r>
      <w:r>
        <w:rPr>
          <w:i/>
        </w:rPr>
        <w:t>Safety</w:t>
      </w:r>
      <w:r>
        <w:rPr>
          <w:i/>
          <w:spacing w:val="-1"/>
        </w:rPr>
        <w:t> </w:t>
      </w:r>
      <w:r>
        <w:rPr>
          <w:i/>
        </w:rPr>
        <w:t>Regulation</w:t>
      </w:r>
      <w:r>
        <w:rPr/>
        <w:t>,</w:t>
      </w:r>
      <w:r>
        <w:rPr>
          <w:spacing w:val="-5"/>
        </w:rPr>
        <w:t> </w:t>
      </w:r>
      <w:r>
        <w:rPr/>
        <w:t>ESV</w:t>
      </w:r>
      <w:r>
        <w:rPr>
          <w:spacing w:val="-2"/>
        </w:rPr>
        <w:t> </w:t>
      </w:r>
      <w:r>
        <w:rPr/>
        <w:t>has</w:t>
      </w:r>
      <w:r>
        <w:rPr>
          <w:spacing w:val="-1"/>
        </w:rPr>
        <w:t> </w:t>
      </w:r>
      <w:r>
        <w:rPr/>
        <w:t>moved</w:t>
      </w:r>
      <w:r>
        <w:rPr>
          <w:spacing w:val="-4"/>
        </w:rPr>
        <w:t> </w:t>
      </w:r>
      <w:r>
        <w:rPr/>
        <w:t>towards a more robust and broader safety case approach for its regulation of the electricity sector. For the most recent Electricity Safety Management Scheme submission cycle, ESV requested additional information to drive this change, without there being explicit provisions for a safety case in the legislation. Prior to Scheme submission, ESV requested businesses to prepare a Safety Case to</w:t>
      </w:r>
    </w:p>
    <w:p>
      <w:pPr>
        <w:pStyle w:val="BodyText"/>
        <w:rPr>
          <w:sz w:val="20"/>
        </w:rPr>
      </w:pPr>
    </w:p>
    <w:p>
      <w:pPr>
        <w:pStyle w:val="BodyText"/>
        <w:rPr>
          <w:sz w:val="20"/>
        </w:rPr>
      </w:pPr>
    </w:p>
    <w:p>
      <w:pPr>
        <w:pStyle w:val="BodyText"/>
        <w:spacing w:before="2"/>
        <w:rPr>
          <w:sz w:val="13"/>
        </w:rPr>
      </w:pPr>
      <w:r>
        <w:rPr/>
        <mc:AlternateContent>
          <mc:Choice Requires="wps">
            <w:drawing>
              <wp:anchor distT="0" distB="0" distL="0" distR="0" allowOverlap="1" layoutInCell="1" locked="0" behindDoc="1" simplePos="0" relativeHeight="487663104">
                <wp:simplePos x="0" y="0"/>
                <wp:positionH relativeFrom="page">
                  <wp:posOffset>701040</wp:posOffset>
                </wp:positionH>
                <wp:positionV relativeFrom="paragraph">
                  <wp:posOffset>111572</wp:posOffset>
                </wp:positionV>
                <wp:extent cx="6158230" cy="1270"/>
                <wp:effectExtent l="0" t="0" r="0" b="0"/>
                <wp:wrapTopAndBottom/>
                <wp:docPr id="211" name="Graphic 211"/>
                <wp:cNvGraphicFramePr>
                  <a:graphicFrameLocks/>
                </wp:cNvGraphicFramePr>
                <a:graphic>
                  <a:graphicData uri="http://schemas.microsoft.com/office/word/2010/wordprocessingShape">
                    <wps:wsp>
                      <wps:cNvPr id="211" name="Graphic 211"/>
                      <wps:cNvSpPr/>
                      <wps:spPr>
                        <a:xfrm>
                          <a:off x="0" y="0"/>
                          <a:ext cx="6158230" cy="1270"/>
                        </a:xfrm>
                        <a:custGeom>
                          <a:avLst/>
                          <a:gdLst/>
                          <a:ahLst/>
                          <a:cxnLst/>
                          <a:rect l="l" t="t" r="r" b="b"/>
                          <a:pathLst>
                            <a:path w="6158230" h="0">
                              <a:moveTo>
                                <a:pt x="0" y="0"/>
                              </a:moveTo>
                              <a:lnTo>
                                <a:pt x="6158230" y="0"/>
                              </a:lnTo>
                            </a:path>
                          </a:pathLst>
                        </a:custGeom>
                        <a:ln w="12192">
                          <a:solidFill>
                            <a:srgbClr val="000000"/>
                          </a:solidFill>
                          <a:prstDash val="sysDot"/>
                        </a:ln>
                      </wps:spPr>
                      <wps:bodyPr wrap="square" lIns="0" tIns="0" rIns="0" bIns="0" rtlCol="0">
                        <a:prstTxWarp prst="textNoShape">
                          <a:avLst/>
                        </a:prstTxWarp>
                        <a:noAutofit/>
                      </wps:bodyPr>
                    </wps:wsp>
                  </a:graphicData>
                </a:graphic>
              </wp:anchor>
            </w:drawing>
          </mc:Choice>
          <mc:Fallback>
            <w:pict>
              <v:shape style="position:absolute;margin-left:55.200001pt;margin-top:8.785225pt;width:484.9pt;height:.1pt;mso-position-horizontal-relative:page;mso-position-vertical-relative:paragraph;z-index:-15653376;mso-wrap-distance-left:0;mso-wrap-distance-right:0" id="docshape180" coordorigin="1104,176" coordsize="9698,0" path="m1104,176l10802,176e" filled="false" stroked="true" strokeweight=".96pt" strokecolor="#000000">
                <v:path arrowok="t"/>
                <v:stroke dashstyle="shortdot"/>
                <w10:wrap type="topAndBottom"/>
              </v:shape>
            </w:pict>
          </mc:Fallback>
        </mc:AlternateContent>
      </w:r>
    </w:p>
    <w:p>
      <w:pPr>
        <w:pStyle w:val="BodyText"/>
        <w:spacing w:before="6"/>
      </w:pPr>
    </w:p>
    <w:p>
      <w:pPr>
        <w:spacing w:line="242" w:lineRule="auto" w:before="96"/>
        <w:ind w:left="516" w:right="408" w:hanging="284"/>
        <w:jc w:val="left"/>
        <w:rPr>
          <w:sz w:val="16"/>
        </w:rPr>
      </w:pPr>
      <w:r>
        <w:rPr>
          <w:position w:val="6"/>
          <w:sz w:val="12"/>
        </w:rPr>
        <w:t>18</w:t>
      </w:r>
      <w:r>
        <w:rPr>
          <w:spacing w:val="80"/>
          <w:position w:val="6"/>
          <w:sz w:val="12"/>
        </w:rPr>
        <w:t> </w:t>
      </w:r>
      <w:r>
        <w:rPr>
          <w:sz w:val="16"/>
        </w:rPr>
        <w:t>Currently,</w:t>
      </w:r>
      <w:r>
        <w:rPr>
          <w:spacing w:val="-2"/>
          <w:sz w:val="16"/>
        </w:rPr>
        <w:t> </w:t>
      </w:r>
      <w:r>
        <w:rPr>
          <w:sz w:val="16"/>
        </w:rPr>
        <w:t>under</w:t>
      </w:r>
      <w:r>
        <w:rPr>
          <w:spacing w:val="-3"/>
          <w:sz w:val="16"/>
        </w:rPr>
        <w:t> </w:t>
      </w:r>
      <w:r>
        <w:rPr>
          <w:sz w:val="16"/>
        </w:rPr>
        <w:t>the</w:t>
      </w:r>
      <w:r>
        <w:rPr>
          <w:spacing w:val="-4"/>
          <w:sz w:val="16"/>
        </w:rPr>
        <w:t> </w:t>
      </w:r>
      <w:r>
        <w:rPr>
          <w:i/>
          <w:sz w:val="16"/>
        </w:rPr>
        <w:t>Electricity</w:t>
      </w:r>
      <w:r>
        <w:rPr>
          <w:i/>
          <w:spacing w:val="-4"/>
          <w:sz w:val="16"/>
        </w:rPr>
        <w:t> </w:t>
      </w:r>
      <w:r>
        <w:rPr>
          <w:i/>
          <w:sz w:val="16"/>
        </w:rPr>
        <w:t>Safety</w:t>
      </w:r>
      <w:r>
        <w:rPr>
          <w:i/>
          <w:spacing w:val="-4"/>
          <w:sz w:val="16"/>
        </w:rPr>
        <w:t> </w:t>
      </w:r>
      <w:r>
        <w:rPr>
          <w:i/>
          <w:sz w:val="16"/>
        </w:rPr>
        <w:t>(Management)</w:t>
      </w:r>
      <w:r>
        <w:rPr>
          <w:i/>
          <w:spacing w:val="-3"/>
          <w:sz w:val="16"/>
        </w:rPr>
        <w:t> </w:t>
      </w:r>
      <w:r>
        <w:rPr>
          <w:i/>
          <w:sz w:val="16"/>
        </w:rPr>
        <w:t>Regulations</w:t>
      </w:r>
      <w:r>
        <w:rPr>
          <w:i/>
          <w:spacing w:val="-4"/>
          <w:sz w:val="16"/>
        </w:rPr>
        <w:t> </w:t>
      </w:r>
      <w:r>
        <w:rPr>
          <w:i/>
          <w:sz w:val="16"/>
        </w:rPr>
        <w:t>2009</w:t>
      </w:r>
      <w:r>
        <w:rPr>
          <w:i/>
          <w:spacing w:val="-1"/>
          <w:sz w:val="16"/>
        </w:rPr>
        <w:t> </w:t>
      </w:r>
      <w:r>
        <w:rPr>
          <w:sz w:val="16"/>
        </w:rPr>
        <w:t>content</w:t>
      </w:r>
      <w:r>
        <w:rPr>
          <w:spacing w:val="-2"/>
          <w:sz w:val="16"/>
        </w:rPr>
        <w:t> </w:t>
      </w:r>
      <w:r>
        <w:rPr>
          <w:sz w:val="16"/>
        </w:rPr>
        <w:t>requirements</w:t>
      </w:r>
      <w:r>
        <w:rPr>
          <w:spacing w:val="-4"/>
          <w:sz w:val="16"/>
        </w:rPr>
        <w:t> </w:t>
      </w:r>
      <w:r>
        <w:rPr>
          <w:sz w:val="16"/>
        </w:rPr>
        <w:t>for</w:t>
      </w:r>
      <w:r>
        <w:rPr>
          <w:spacing w:val="-3"/>
          <w:sz w:val="16"/>
        </w:rPr>
        <w:t> </w:t>
      </w:r>
      <w:r>
        <w:rPr>
          <w:sz w:val="16"/>
        </w:rPr>
        <w:t>an</w:t>
      </w:r>
      <w:r>
        <w:rPr>
          <w:spacing w:val="-5"/>
          <w:sz w:val="16"/>
        </w:rPr>
        <w:t> </w:t>
      </w:r>
      <w:r>
        <w:rPr>
          <w:sz w:val="16"/>
        </w:rPr>
        <w:t>Electricity</w:t>
      </w:r>
      <w:r>
        <w:rPr>
          <w:spacing w:val="-6"/>
          <w:sz w:val="16"/>
        </w:rPr>
        <w:t> </w:t>
      </w:r>
      <w:r>
        <w:rPr>
          <w:sz w:val="16"/>
        </w:rPr>
        <w:t>Safety</w:t>
      </w:r>
      <w:r>
        <w:rPr>
          <w:spacing w:val="-4"/>
          <w:sz w:val="16"/>
        </w:rPr>
        <w:t> </w:t>
      </w:r>
      <w:r>
        <w:rPr>
          <w:sz w:val="16"/>
        </w:rPr>
        <w:t>Management Scheme include details of person responsible for the network and the person responsible for the scheme, the scheme description and specification of a safety management system in accordance with</w:t>
      </w:r>
      <w:r>
        <w:rPr>
          <w:spacing w:val="-7"/>
          <w:sz w:val="16"/>
        </w:rPr>
        <w:t> </w:t>
      </w:r>
      <w:r>
        <w:rPr>
          <w:sz w:val="16"/>
        </w:rPr>
        <w:t>AS 5577.</w:t>
      </w:r>
      <w:r>
        <w:rPr>
          <w:spacing w:val="-8"/>
          <w:sz w:val="16"/>
        </w:rPr>
        <w:t> </w:t>
      </w:r>
      <w:r>
        <w:rPr>
          <w:sz w:val="16"/>
        </w:rPr>
        <w:t>As outlined in</w:t>
      </w:r>
      <w:r>
        <w:rPr>
          <w:spacing w:val="-5"/>
          <w:sz w:val="16"/>
        </w:rPr>
        <w:t> </w:t>
      </w:r>
      <w:r>
        <w:rPr>
          <w:sz w:val="16"/>
        </w:rPr>
        <w:t>AS 5577, its objective is to provide nationally consistent requirements. It was developed following endorsement to develop the standard by the Intergovernmental Agreement on Energy Supply Industry Safety in 2012.</w:t>
      </w:r>
    </w:p>
    <w:p>
      <w:pPr>
        <w:spacing w:after="0" w:line="242" w:lineRule="auto"/>
        <w:jc w:val="left"/>
        <w:rPr>
          <w:sz w:val="16"/>
        </w:rPr>
        <w:sectPr>
          <w:pgSz w:w="11910" w:h="16850"/>
          <w:pgMar w:header="220" w:footer="678" w:top="420" w:bottom="860" w:left="900" w:right="840"/>
        </w:sectPr>
      </w:pPr>
    </w:p>
    <w:p>
      <w:pPr>
        <w:pStyle w:val="BodyText"/>
        <w:rPr>
          <w:sz w:val="20"/>
        </w:rPr>
      </w:pPr>
    </w:p>
    <w:p>
      <w:pPr>
        <w:pStyle w:val="BodyText"/>
        <w:spacing w:before="2"/>
        <w:rPr>
          <w:sz w:val="19"/>
        </w:rPr>
      </w:pPr>
    </w:p>
    <w:p>
      <w:pPr>
        <w:pStyle w:val="BodyText"/>
        <w:spacing w:line="288" w:lineRule="auto" w:before="94"/>
        <w:ind w:left="232" w:right="408"/>
      </w:pPr>
      <w:r>
        <w:rPr/>
        <w:t>communicate</w:t>
      </w:r>
      <w:r>
        <w:rPr>
          <w:spacing w:val="-4"/>
        </w:rPr>
        <w:t> </w:t>
      </w:r>
      <w:r>
        <w:rPr/>
        <w:t>risks,</w:t>
      </w:r>
      <w:r>
        <w:rPr>
          <w:spacing w:val="-3"/>
        </w:rPr>
        <w:t> </w:t>
      </w:r>
      <w:r>
        <w:rPr/>
        <w:t>how</w:t>
      </w:r>
      <w:r>
        <w:rPr>
          <w:spacing w:val="-3"/>
        </w:rPr>
        <w:t> </w:t>
      </w:r>
      <w:r>
        <w:rPr/>
        <w:t>each</w:t>
      </w:r>
      <w:r>
        <w:rPr>
          <w:spacing w:val="-1"/>
        </w:rPr>
        <w:t> </w:t>
      </w:r>
      <w:r>
        <w:rPr/>
        <w:t>business</w:t>
      </w:r>
      <w:r>
        <w:rPr>
          <w:spacing w:val="-1"/>
        </w:rPr>
        <w:t> </w:t>
      </w:r>
      <w:r>
        <w:rPr/>
        <w:t>proposed</w:t>
      </w:r>
      <w:r>
        <w:rPr>
          <w:spacing w:val="-6"/>
        </w:rPr>
        <w:t> </w:t>
      </w:r>
      <w:r>
        <w:rPr/>
        <w:t>to</w:t>
      </w:r>
      <w:r>
        <w:rPr>
          <w:spacing w:val="-2"/>
        </w:rPr>
        <w:t> </w:t>
      </w:r>
      <w:r>
        <w:rPr/>
        <w:t>safely</w:t>
      </w:r>
      <w:r>
        <w:rPr>
          <w:spacing w:val="-4"/>
        </w:rPr>
        <w:t> </w:t>
      </w:r>
      <w:r>
        <w:rPr/>
        <w:t>manage</w:t>
      </w:r>
      <w:r>
        <w:rPr>
          <w:spacing w:val="-4"/>
        </w:rPr>
        <w:t> </w:t>
      </w:r>
      <w:r>
        <w:rPr/>
        <w:t>those</w:t>
      </w:r>
      <w:r>
        <w:rPr>
          <w:spacing w:val="-4"/>
        </w:rPr>
        <w:t> </w:t>
      </w:r>
      <w:r>
        <w:rPr/>
        <w:t>risks, and</w:t>
      </w:r>
      <w:r>
        <w:rPr>
          <w:spacing w:val="-4"/>
        </w:rPr>
        <w:t> </w:t>
      </w:r>
      <w:r>
        <w:rPr/>
        <w:t>a</w:t>
      </w:r>
      <w:r>
        <w:rPr>
          <w:spacing w:val="-4"/>
        </w:rPr>
        <w:t> </w:t>
      </w:r>
      <w:r>
        <w:rPr/>
        <w:t>reasoned argument for why the approach was considered acceptably safe.</w:t>
      </w:r>
    </w:p>
    <w:p>
      <w:pPr>
        <w:pStyle w:val="BodyText"/>
        <w:spacing w:before="10"/>
        <w:rPr>
          <w:sz w:val="20"/>
        </w:rPr>
      </w:pPr>
    </w:p>
    <w:p>
      <w:pPr>
        <w:pStyle w:val="BodyText"/>
        <w:spacing w:line="288" w:lineRule="auto" w:before="1"/>
        <w:ind w:left="232" w:right="320"/>
      </w:pPr>
      <w:r>
        <w:rPr/>
        <w:t>The</w:t>
      </w:r>
      <w:r>
        <w:rPr>
          <w:spacing w:val="-4"/>
        </w:rPr>
        <w:t> </w:t>
      </w:r>
      <w:r>
        <w:rPr/>
        <w:t>new</w:t>
      </w:r>
      <w:r>
        <w:rPr>
          <w:spacing w:val="-5"/>
        </w:rPr>
        <w:t> </w:t>
      </w:r>
      <w:r>
        <w:rPr/>
        <w:t>energy</w:t>
      </w:r>
      <w:r>
        <w:rPr>
          <w:spacing w:val="-4"/>
        </w:rPr>
        <w:t> </w:t>
      </w:r>
      <w:r>
        <w:rPr/>
        <w:t>safety</w:t>
      </w:r>
      <w:r>
        <w:rPr>
          <w:spacing w:val="-3"/>
        </w:rPr>
        <w:t> </w:t>
      </w:r>
      <w:r>
        <w:rPr/>
        <w:t>Act and</w:t>
      </w:r>
      <w:r>
        <w:rPr>
          <w:spacing w:val="-4"/>
        </w:rPr>
        <w:t> </w:t>
      </w:r>
      <w:r>
        <w:rPr/>
        <w:t>regulations</w:t>
      </w:r>
      <w:r>
        <w:rPr>
          <w:spacing w:val="-4"/>
        </w:rPr>
        <w:t> </w:t>
      </w:r>
      <w:r>
        <w:rPr/>
        <w:t>should</w:t>
      </w:r>
      <w:r>
        <w:rPr>
          <w:spacing w:val="-4"/>
        </w:rPr>
        <w:t> </w:t>
      </w:r>
      <w:r>
        <w:rPr/>
        <w:t>provide</w:t>
      </w:r>
      <w:r>
        <w:rPr>
          <w:spacing w:val="-2"/>
        </w:rPr>
        <w:t> </w:t>
      </w:r>
      <w:r>
        <w:rPr/>
        <w:t>strong</w:t>
      </w:r>
      <w:r>
        <w:rPr>
          <w:spacing w:val="-2"/>
        </w:rPr>
        <w:t> </w:t>
      </w:r>
      <w:r>
        <w:rPr/>
        <w:t>foundations</w:t>
      </w:r>
      <w:r>
        <w:rPr>
          <w:spacing w:val="-2"/>
        </w:rPr>
        <w:t> </w:t>
      </w:r>
      <w:r>
        <w:rPr/>
        <w:t>supporting a</w:t>
      </w:r>
      <w:r>
        <w:rPr>
          <w:spacing w:val="-4"/>
        </w:rPr>
        <w:t> </w:t>
      </w:r>
      <w:r>
        <w:rPr/>
        <w:t>leading practice safety case approach. Provisions across the electricity and gas sectors should be consistent</w:t>
      </w:r>
      <w:r>
        <w:rPr>
          <w:spacing w:val="-4"/>
        </w:rPr>
        <w:t> </w:t>
      </w:r>
      <w:r>
        <w:rPr/>
        <w:t>where</w:t>
      </w:r>
      <w:r>
        <w:rPr>
          <w:spacing w:val="-3"/>
        </w:rPr>
        <w:t> </w:t>
      </w:r>
      <w:r>
        <w:rPr/>
        <w:t>possible,</w:t>
      </w:r>
      <w:r>
        <w:rPr>
          <w:spacing w:val="-2"/>
        </w:rPr>
        <w:t> </w:t>
      </w:r>
      <w:r>
        <w:rPr/>
        <w:t>noting</w:t>
      </w:r>
      <w:r>
        <w:rPr>
          <w:spacing w:val="-1"/>
        </w:rPr>
        <w:t> </w:t>
      </w:r>
      <w:r>
        <w:rPr/>
        <w:t>some</w:t>
      </w:r>
      <w:r>
        <w:rPr>
          <w:spacing w:val="-2"/>
        </w:rPr>
        <w:t> </w:t>
      </w:r>
      <w:r>
        <w:rPr/>
        <w:t>sector-specific</w:t>
      </w:r>
      <w:r>
        <w:rPr>
          <w:spacing w:val="-5"/>
        </w:rPr>
        <w:t> </w:t>
      </w:r>
      <w:r>
        <w:rPr/>
        <w:t>requirements</w:t>
      </w:r>
      <w:r>
        <w:rPr>
          <w:spacing w:val="-2"/>
        </w:rPr>
        <w:t> </w:t>
      </w:r>
      <w:r>
        <w:rPr/>
        <w:t>would</w:t>
      </w:r>
      <w:r>
        <w:rPr>
          <w:spacing w:val="-3"/>
        </w:rPr>
        <w:t> </w:t>
      </w:r>
      <w:r>
        <w:rPr/>
        <w:t>remain.</w:t>
      </w:r>
      <w:r>
        <w:rPr>
          <w:spacing w:val="-2"/>
        </w:rPr>
        <w:t> </w:t>
      </w:r>
      <w:r>
        <w:rPr/>
        <w:t>Relevant</w:t>
      </w:r>
      <w:r>
        <w:rPr>
          <w:spacing w:val="-1"/>
        </w:rPr>
        <w:t> </w:t>
      </w:r>
      <w:r>
        <w:rPr/>
        <w:t>parts of the</w:t>
      </w:r>
      <w:r>
        <w:rPr>
          <w:spacing w:val="-1"/>
        </w:rPr>
        <w:t> </w:t>
      </w:r>
      <w:r>
        <w:rPr/>
        <w:t>Acts and</w:t>
      </w:r>
      <w:r>
        <w:rPr>
          <w:spacing w:val="-3"/>
        </w:rPr>
        <w:t> </w:t>
      </w:r>
      <w:r>
        <w:rPr/>
        <w:t>regulations</w:t>
      </w:r>
      <w:r>
        <w:rPr>
          <w:spacing w:val="-3"/>
        </w:rPr>
        <w:t> </w:t>
      </w:r>
      <w:r>
        <w:rPr/>
        <w:t>governing</w:t>
      </w:r>
      <w:r>
        <w:rPr>
          <w:spacing w:val="-1"/>
        </w:rPr>
        <w:t> </w:t>
      </w:r>
      <w:r>
        <w:rPr/>
        <w:t>safety</w:t>
      </w:r>
      <w:r>
        <w:rPr>
          <w:spacing w:val="-5"/>
        </w:rPr>
        <w:t> </w:t>
      </w:r>
      <w:r>
        <w:rPr/>
        <w:t>for</w:t>
      </w:r>
      <w:r>
        <w:rPr>
          <w:spacing w:val="-2"/>
        </w:rPr>
        <w:t> </w:t>
      </w:r>
      <w:r>
        <w:rPr/>
        <w:t>Major Hazard Facilities</w:t>
      </w:r>
      <w:r>
        <w:rPr>
          <w:spacing w:val="-1"/>
        </w:rPr>
        <w:t> </w:t>
      </w:r>
      <w:r>
        <w:rPr/>
        <w:t>in</w:t>
      </w:r>
      <w:r>
        <w:rPr>
          <w:spacing w:val="-1"/>
        </w:rPr>
        <w:t> </w:t>
      </w:r>
      <w:r>
        <w:rPr/>
        <w:t>Victoria,</w:t>
      </w:r>
      <w:r>
        <w:rPr>
          <w:spacing w:val="-2"/>
        </w:rPr>
        <w:t> </w:t>
      </w:r>
      <w:r>
        <w:rPr/>
        <w:t>and</w:t>
      </w:r>
      <w:r>
        <w:rPr>
          <w:spacing w:val="-3"/>
        </w:rPr>
        <w:t> </w:t>
      </w:r>
      <w:r>
        <w:rPr/>
        <w:t>offshore</w:t>
      </w:r>
      <w:r>
        <w:rPr>
          <w:spacing w:val="-3"/>
        </w:rPr>
        <w:t> </w:t>
      </w:r>
      <w:r>
        <w:rPr/>
        <w:t>oil and gas nationally, could inform the approach.</w:t>
      </w:r>
    </w:p>
    <w:p>
      <w:pPr>
        <w:pStyle w:val="BodyText"/>
        <w:spacing w:before="8"/>
        <w:rPr>
          <w:sz w:val="20"/>
        </w:rPr>
      </w:pPr>
    </w:p>
    <w:p>
      <w:pPr>
        <w:pStyle w:val="BodyText"/>
        <w:spacing w:line="288" w:lineRule="auto"/>
        <w:ind w:left="232" w:right="320"/>
      </w:pPr>
      <w:r>
        <w:rPr/>
        <w:t>As</w:t>
      </w:r>
      <w:r>
        <w:rPr>
          <w:spacing w:val="-1"/>
        </w:rPr>
        <w:t> </w:t>
      </w:r>
      <w:r>
        <w:rPr/>
        <w:t>discussed</w:t>
      </w:r>
      <w:r>
        <w:rPr>
          <w:spacing w:val="-2"/>
        </w:rPr>
        <w:t> </w:t>
      </w:r>
      <w:r>
        <w:rPr/>
        <w:t>above,</w:t>
      </w:r>
      <w:r>
        <w:rPr>
          <w:spacing w:val="-3"/>
        </w:rPr>
        <w:t> </w:t>
      </w:r>
      <w:r>
        <w:rPr/>
        <w:t>and</w:t>
      </w:r>
      <w:r>
        <w:rPr>
          <w:spacing w:val="-4"/>
        </w:rPr>
        <w:t> </w:t>
      </w:r>
      <w:r>
        <w:rPr/>
        <w:t>in</w:t>
      </w:r>
      <w:r>
        <w:rPr>
          <w:spacing w:val="-1"/>
        </w:rPr>
        <w:t> </w:t>
      </w:r>
      <w:r>
        <w:rPr>
          <w:i/>
        </w:rPr>
        <w:t>Chapter</w:t>
      </w:r>
      <w:r>
        <w:rPr>
          <w:i/>
          <w:spacing w:val="-1"/>
        </w:rPr>
        <w:t> </w:t>
      </w:r>
      <w:r>
        <w:rPr>
          <w:i/>
        </w:rPr>
        <w:t>5: Promoting</w:t>
      </w:r>
      <w:r>
        <w:rPr>
          <w:i/>
          <w:spacing w:val="-4"/>
        </w:rPr>
        <w:t> </w:t>
      </w:r>
      <w:r>
        <w:rPr>
          <w:i/>
        </w:rPr>
        <w:t>Workforce</w:t>
      </w:r>
      <w:r>
        <w:rPr>
          <w:i/>
          <w:spacing w:val="-4"/>
        </w:rPr>
        <w:t> </w:t>
      </w:r>
      <w:r>
        <w:rPr>
          <w:i/>
        </w:rPr>
        <w:t>Engagement</w:t>
      </w:r>
      <w:r>
        <w:rPr/>
        <w:t>,</w:t>
      </w:r>
      <w:r>
        <w:rPr>
          <w:spacing w:val="-3"/>
        </w:rPr>
        <w:t> </w:t>
      </w:r>
      <w:r>
        <w:rPr/>
        <w:t>workforce</w:t>
      </w:r>
      <w:r>
        <w:rPr>
          <w:spacing w:val="-2"/>
        </w:rPr>
        <w:t> </w:t>
      </w:r>
      <w:r>
        <w:rPr/>
        <w:t>engagement is essential</w:t>
      </w:r>
      <w:r>
        <w:rPr>
          <w:spacing w:val="-1"/>
        </w:rPr>
        <w:t> </w:t>
      </w:r>
      <w:r>
        <w:rPr/>
        <w:t>for an effective safety case regime. The requirements for this</w:t>
      </w:r>
      <w:r>
        <w:rPr>
          <w:spacing w:val="-2"/>
        </w:rPr>
        <w:t> </w:t>
      </w:r>
      <w:r>
        <w:rPr/>
        <w:t>should be aligned where possible,</w:t>
      </w:r>
      <w:r>
        <w:rPr>
          <w:spacing w:val="-2"/>
        </w:rPr>
        <w:t> </w:t>
      </w:r>
      <w:r>
        <w:rPr/>
        <w:t>and</w:t>
      </w:r>
      <w:r>
        <w:rPr>
          <w:spacing w:val="-2"/>
        </w:rPr>
        <w:t> </w:t>
      </w:r>
      <w:r>
        <w:rPr/>
        <w:t>emphasise</w:t>
      </w:r>
      <w:r>
        <w:rPr>
          <w:spacing w:val="-5"/>
        </w:rPr>
        <w:t> </w:t>
      </w:r>
      <w:r>
        <w:rPr/>
        <w:t>that businesses</w:t>
      </w:r>
      <w:r>
        <w:rPr>
          <w:spacing w:val="-5"/>
        </w:rPr>
        <w:t> </w:t>
      </w:r>
      <w:r>
        <w:rPr/>
        <w:t>must</w:t>
      </w:r>
      <w:r>
        <w:rPr>
          <w:spacing w:val="-4"/>
        </w:rPr>
        <w:t> </w:t>
      </w:r>
      <w:r>
        <w:rPr/>
        <w:t>have</w:t>
      </w:r>
      <w:r>
        <w:rPr>
          <w:spacing w:val="-3"/>
        </w:rPr>
        <w:t> </w:t>
      </w:r>
      <w:r>
        <w:rPr/>
        <w:t>systems</w:t>
      </w:r>
      <w:r>
        <w:rPr>
          <w:spacing w:val="-4"/>
        </w:rPr>
        <w:t> </w:t>
      </w:r>
      <w:r>
        <w:rPr/>
        <w:t>to</w:t>
      </w:r>
      <w:r>
        <w:rPr>
          <w:spacing w:val="-3"/>
        </w:rPr>
        <w:t> </w:t>
      </w:r>
      <w:r>
        <w:rPr/>
        <w:t>support</w:t>
      </w:r>
      <w:r>
        <w:rPr>
          <w:spacing w:val="-4"/>
        </w:rPr>
        <w:t> </w:t>
      </w:r>
      <w:r>
        <w:rPr/>
        <w:t>workers</w:t>
      </w:r>
      <w:r>
        <w:rPr>
          <w:spacing w:val="-4"/>
        </w:rPr>
        <w:t> </w:t>
      </w:r>
      <w:r>
        <w:rPr/>
        <w:t>to</w:t>
      </w:r>
      <w:r>
        <w:rPr>
          <w:spacing w:val="-5"/>
        </w:rPr>
        <w:t> </w:t>
      </w:r>
      <w:r>
        <w:rPr/>
        <w:t>operate</w:t>
      </w:r>
      <w:r>
        <w:rPr>
          <w:spacing w:val="-5"/>
        </w:rPr>
        <w:t> </w:t>
      </w:r>
      <w:r>
        <w:rPr/>
        <w:t>safely, for example through supervision, consultation, information and training, including in relation to the development and implementation of the safety case itself.</w:t>
      </w:r>
      <w:r>
        <w:rPr>
          <w:vertAlign w:val="superscript"/>
        </w:rPr>
        <w:t>19</w:t>
      </w:r>
    </w:p>
    <w:p>
      <w:pPr>
        <w:pStyle w:val="BodyText"/>
        <w:spacing w:before="1"/>
        <w:rPr>
          <w:sz w:val="21"/>
        </w:rPr>
      </w:pPr>
    </w:p>
    <w:p>
      <w:pPr>
        <w:pStyle w:val="BodyText"/>
        <w:spacing w:line="288" w:lineRule="auto"/>
        <w:ind w:left="232"/>
      </w:pPr>
      <w:r>
        <w:rPr/>
        <w:t>In</w:t>
      </w:r>
      <w:r>
        <w:rPr>
          <w:spacing w:val="-2"/>
        </w:rPr>
        <w:t> </w:t>
      </w:r>
      <w:r>
        <w:rPr/>
        <w:t>addition,</w:t>
      </w:r>
      <w:r>
        <w:rPr>
          <w:spacing w:val="-3"/>
        </w:rPr>
        <w:t> </w:t>
      </w:r>
      <w:r>
        <w:rPr/>
        <w:t>how</w:t>
      </w:r>
      <w:r>
        <w:rPr>
          <w:spacing w:val="-5"/>
        </w:rPr>
        <w:t> </w:t>
      </w:r>
      <w:r>
        <w:rPr/>
        <w:t>assets</w:t>
      </w:r>
      <w:r>
        <w:rPr>
          <w:spacing w:val="-4"/>
        </w:rPr>
        <w:t> </w:t>
      </w:r>
      <w:r>
        <w:rPr/>
        <w:t>are operated,</w:t>
      </w:r>
      <w:r>
        <w:rPr>
          <w:spacing w:val="-3"/>
        </w:rPr>
        <w:t> </w:t>
      </w:r>
      <w:r>
        <w:rPr/>
        <w:t>maintained</w:t>
      </w:r>
      <w:r>
        <w:rPr>
          <w:spacing w:val="-4"/>
        </w:rPr>
        <w:t> </w:t>
      </w:r>
      <w:r>
        <w:rPr/>
        <w:t>and</w:t>
      </w:r>
      <w:r>
        <w:rPr>
          <w:spacing w:val="-2"/>
        </w:rPr>
        <w:t> </w:t>
      </w:r>
      <w:r>
        <w:rPr/>
        <w:t>replaced</w:t>
      </w:r>
      <w:r>
        <w:rPr>
          <w:spacing w:val="-2"/>
        </w:rPr>
        <w:t> </w:t>
      </w:r>
      <w:r>
        <w:rPr/>
        <w:t>for</w:t>
      </w:r>
      <w:r>
        <w:rPr>
          <w:spacing w:val="-3"/>
        </w:rPr>
        <w:t> </w:t>
      </w:r>
      <w:r>
        <w:rPr/>
        <w:t>long-term</w:t>
      </w:r>
      <w:r>
        <w:rPr>
          <w:spacing w:val="-1"/>
        </w:rPr>
        <w:t> </w:t>
      </w:r>
      <w:r>
        <w:rPr/>
        <w:t>sustainability</w:t>
      </w:r>
      <w:r>
        <w:rPr>
          <w:spacing w:val="-2"/>
        </w:rPr>
        <w:t> </w:t>
      </w:r>
      <w:r>
        <w:rPr/>
        <w:t>is</w:t>
      </w:r>
      <w:r>
        <w:rPr>
          <w:spacing w:val="-1"/>
        </w:rPr>
        <w:t> </w:t>
      </w:r>
      <w:r>
        <w:rPr/>
        <w:t>a</w:t>
      </w:r>
      <w:r>
        <w:rPr>
          <w:spacing w:val="-4"/>
        </w:rPr>
        <w:t> </w:t>
      </w:r>
      <w:r>
        <w:rPr/>
        <w:t>key consideration in developing a safety case. This issue is discussed in Box 27 below.</w:t>
      </w:r>
    </w:p>
    <w:p>
      <w:pPr>
        <w:pStyle w:val="BodyText"/>
        <w:rPr>
          <w:sz w:val="20"/>
        </w:rPr>
      </w:pPr>
    </w:p>
    <w:p>
      <w:pPr>
        <w:pStyle w:val="BodyText"/>
        <w:spacing w:before="8"/>
        <w:rPr>
          <w:sz w:val="21"/>
        </w:rPr>
      </w:pPr>
    </w:p>
    <w:p>
      <w:pPr>
        <w:pStyle w:val="Heading7"/>
        <w:spacing w:before="1"/>
        <w:ind w:left="345"/>
      </w:pPr>
      <w:r>
        <w:rPr/>
        <mc:AlternateContent>
          <mc:Choice Requires="wps">
            <w:drawing>
              <wp:anchor distT="0" distB="0" distL="0" distR="0" allowOverlap="1" layoutInCell="1" locked="0" behindDoc="1" simplePos="0" relativeHeight="482755072">
                <wp:simplePos x="0" y="0"/>
                <wp:positionH relativeFrom="page">
                  <wp:posOffset>719327</wp:posOffset>
                </wp:positionH>
                <wp:positionV relativeFrom="paragraph">
                  <wp:posOffset>-151791</wp:posOffset>
                </wp:positionV>
                <wp:extent cx="5870575" cy="4769485"/>
                <wp:effectExtent l="0" t="0" r="0" b="0"/>
                <wp:wrapNone/>
                <wp:docPr id="212" name="Graphic 212"/>
                <wp:cNvGraphicFramePr>
                  <a:graphicFrameLocks/>
                </wp:cNvGraphicFramePr>
                <a:graphic>
                  <a:graphicData uri="http://schemas.microsoft.com/office/word/2010/wordprocessingShape">
                    <wps:wsp>
                      <wps:cNvPr id="212" name="Graphic 212"/>
                      <wps:cNvSpPr/>
                      <wps:spPr>
                        <a:xfrm>
                          <a:off x="0" y="0"/>
                          <a:ext cx="5870575" cy="4769485"/>
                        </a:xfrm>
                        <a:custGeom>
                          <a:avLst/>
                          <a:gdLst/>
                          <a:ahLst/>
                          <a:cxnLst/>
                          <a:rect l="l" t="t" r="r" b="b"/>
                          <a:pathLst>
                            <a:path w="5870575" h="4769485">
                              <a:moveTo>
                                <a:pt x="5870194" y="0"/>
                              </a:moveTo>
                              <a:lnTo>
                                <a:pt x="0" y="0"/>
                              </a:lnTo>
                              <a:lnTo>
                                <a:pt x="0" y="4769231"/>
                              </a:lnTo>
                              <a:lnTo>
                                <a:pt x="5870194" y="4769231"/>
                              </a:lnTo>
                              <a:lnTo>
                                <a:pt x="5870194" y="0"/>
                              </a:lnTo>
                              <a:close/>
                            </a:path>
                          </a:pathLst>
                        </a:custGeom>
                        <a:solidFill>
                          <a:srgbClr val="CDEBEB"/>
                        </a:solidFill>
                      </wps:spPr>
                      <wps:bodyPr wrap="square" lIns="0" tIns="0" rIns="0" bIns="0" rtlCol="0">
                        <a:prstTxWarp prst="textNoShape">
                          <a:avLst/>
                        </a:prstTxWarp>
                        <a:noAutofit/>
                      </wps:bodyPr>
                    </wps:wsp>
                  </a:graphicData>
                </a:graphic>
              </wp:anchor>
            </w:drawing>
          </mc:Choice>
          <mc:Fallback>
            <w:pict>
              <v:rect style="position:absolute;margin-left:56.639999pt;margin-top:-11.952126pt;width:462.22pt;height:375.53pt;mso-position-horizontal-relative:page;mso-position-vertical-relative:paragraph;z-index:-20561408" id="docshape181" filled="true" fillcolor="#cdebeb" stroked="false">
                <v:fill type="solid"/>
                <w10:wrap type="none"/>
              </v:rect>
            </w:pict>
          </mc:Fallback>
        </mc:AlternateContent>
      </w:r>
      <w:r>
        <w:rPr/>
        <w:t>Box</w:t>
      </w:r>
      <w:r>
        <w:rPr>
          <w:spacing w:val="-5"/>
        </w:rPr>
        <w:t> </w:t>
      </w:r>
      <w:r>
        <w:rPr/>
        <w:t>27:</w:t>
      </w:r>
      <w:r>
        <w:rPr>
          <w:spacing w:val="-4"/>
        </w:rPr>
        <w:t> </w:t>
      </w:r>
      <w:r>
        <w:rPr/>
        <w:t>Long-term</w:t>
      </w:r>
      <w:r>
        <w:rPr>
          <w:spacing w:val="-6"/>
        </w:rPr>
        <w:t> </w:t>
      </w:r>
      <w:r>
        <w:rPr/>
        <w:t>asset</w:t>
      </w:r>
      <w:r>
        <w:rPr>
          <w:spacing w:val="-6"/>
        </w:rPr>
        <w:t> </w:t>
      </w:r>
      <w:r>
        <w:rPr/>
        <w:t>integrity</w:t>
      </w:r>
      <w:r>
        <w:rPr>
          <w:spacing w:val="-8"/>
        </w:rPr>
        <w:t> </w:t>
      </w:r>
      <w:r>
        <w:rPr/>
        <w:t>and</w:t>
      </w:r>
      <w:r>
        <w:rPr>
          <w:spacing w:val="-5"/>
        </w:rPr>
        <w:t> </w:t>
      </w:r>
      <w:r>
        <w:rPr/>
        <w:t>effective</w:t>
      </w:r>
      <w:r>
        <w:rPr>
          <w:spacing w:val="-5"/>
        </w:rPr>
        <w:t> </w:t>
      </w:r>
      <w:r>
        <w:rPr/>
        <w:t>safety</w:t>
      </w:r>
      <w:r>
        <w:rPr>
          <w:spacing w:val="-8"/>
        </w:rPr>
        <w:t> </w:t>
      </w:r>
      <w:r>
        <w:rPr>
          <w:spacing w:val="-2"/>
        </w:rPr>
        <w:t>cases</w:t>
      </w:r>
    </w:p>
    <w:p>
      <w:pPr>
        <w:pStyle w:val="BodyText"/>
        <w:spacing w:before="1"/>
        <w:rPr>
          <w:b/>
          <w:sz w:val="25"/>
        </w:rPr>
      </w:pPr>
    </w:p>
    <w:p>
      <w:pPr>
        <w:pStyle w:val="BodyText"/>
        <w:spacing w:line="288" w:lineRule="auto"/>
        <w:ind w:left="345" w:right="951"/>
      </w:pPr>
      <w:r>
        <w:rPr/>
        <w:t>An important</w:t>
      </w:r>
      <w:r>
        <w:rPr>
          <w:spacing w:val="-1"/>
        </w:rPr>
        <w:t> </w:t>
      </w:r>
      <w:r>
        <w:rPr/>
        <w:t>aspect of network safety</w:t>
      </w:r>
      <w:r>
        <w:rPr>
          <w:spacing w:val="-2"/>
        </w:rPr>
        <w:t> </w:t>
      </w:r>
      <w:r>
        <w:rPr/>
        <w:t>is the</w:t>
      </w:r>
      <w:r>
        <w:rPr>
          <w:spacing w:val="-2"/>
        </w:rPr>
        <w:t> </w:t>
      </w:r>
      <w:r>
        <w:rPr/>
        <w:t>design,</w:t>
      </w:r>
      <w:r>
        <w:rPr>
          <w:spacing w:val="-1"/>
        </w:rPr>
        <w:t> </w:t>
      </w:r>
      <w:r>
        <w:rPr/>
        <w:t>monitoring and</w:t>
      </w:r>
      <w:r>
        <w:rPr>
          <w:spacing w:val="-2"/>
        </w:rPr>
        <w:t> </w:t>
      </w:r>
      <w:r>
        <w:rPr/>
        <w:t>maintenance of assets to manage their integrity and sustainability, as poor practices can lead to dangerous asset failures. The South East Community Forum and Electrical Trades Union suggested in their submissions</w:t>
      </w:r>
      <w:r>
        <w:rPr>
          <w:spacing w:val="-5"/>
        </w:rPr>
        <w:t> </w:t>
      </w:r>
      <w:r>
        <w:rPr/>
        <w:t>to</w:t>
      </w:r>
      <w:r>
        <w:rPr>
          <w:spacing w:val="-5"/>
        </w:rPr>
        <w:t> </w:t>
      </w:r>
      <w:r>
        <w:rPr/>
        <w:t>the</w:t>
      </w:r>
      <w:r>
        <w:rPr>
          <w:spacing w:val="-3"/>
        </w:rPr>
        <w:t> </w:t>
      </w:r>
      <w:r>
        <w:rPr/>
        <w:t>Review</w:t>
      </w:r>
      <w:r>
        <w:rPr>
          <w:spacing w:val="-5"/>
        </w:rPr>
        <w:t> </w:t>
      </w:r>
      <w:r>
        <w:rPr/>
        <w:t>that</w:t>
      </w:r>
      <w:r>
        <w:rPr>
          <w:spacing w:val="-1"/>
        </w:rPr>
        <w:t> </w:t>
      </w:r>
      <w:r>
        <w:rPr/>
        <w:t>the</w:t>
      </w:r>
      <w:r>
        <w:rPr>
          <w:spacing w:val="-3"/>
        </w:rPr>
        <w:t> </w:t>
      </w:r>
      <w:r>
        <w:rPr/>
        <w:t>current</w:t>
      </w:r>
      <w:r>
        <w:rPr>
          <w:spacing w:val="-4"/>
        </w:rPr>
        <w:t> </w:t>
      </w:r>
      <w:r>
        <w:rPr/>
        <w:t>framework is</w:t>
      </w:r>
      <w:r>
        <w:rPr>
          <w:spacing w:val="-2"/>
        </w:rPr>
        <w:t> </w:t>
      </w:r>
      <w:r>
        <w:rPr/>
        <w:t>not</w:t>
      </w:r>
      <w:r>
        <w:rPr>
          <w:spacing w:val="-1"/>
        </w:rPr>
        <w:t> </w:t>
      </w:r>
      <w:r>
        <w:rPr/>
        <w:t>operating</w:t>
      </w:r>
      <w:r>
        <w:rPr>
          <w:spacing w:val="-3"/>
        </w:rPr>
        <w:t> </w:t>
      </w:r>
      <w:r>
        <w:rPr/>
        <w:t>well</w:t>
      </w:r>
      <w:r>
        <w:rPr>
          <w:spacing w:val="-3"/>
        </w:rPr>
        <w:t> </w:t>
      </w:r>
      <w:r>
        <w:rPr/>
        <w:t>in</w:t>
      </w:r>
      <w:r>
        <w:rPr>
          <w:spacing w:val="-3"/>
        </w:rPr>
        <w:t> </w:t>
      </w:r>
      <w:r>
        <w:rPr/>
        <w:t>the</w:t>
      </w:r>
      <w:r>
        <w:rPr>
          <w:spacing w:val="-5"/>
        </w:rPr>
        <w:t> </w:t>
      </w:r>
      <w:r>
        <w:rPr/>
        <w:t>regulation of asset replacement and maintenance:</w:t>
      </w:r>
    </w:p>
    <w:p>
      <w:pPr>
        <w:pStyle w:val="BodyText"/>
        <w:spacing w:before="10"/>
        <w:rPr>
          <w:sz w:val="20"/>
        </w:rPr>
      </w:pPr>
    </w:p>
    <w:p>
      <w:pPr>
        <w:spacing w:line="288" w:lineRule="auto" w:before="0"/>
        <w:ind w:left="799" w:right="1294" w:firstLine="0"/>
        <w:jc w:val="left"/>
        <w:rPr>
          <w:sz w:val="22"/>
        </w:rPr>
      </w:pPr>
      <w:r>
        <w:rPr>
          <w:i/>
          <w:sz w:val="22"/>
        </w:rPr>
        <w:t>“Notwithstanding the findings of the Black Saturday Royal Commission that the majority</w:t>
      </w:r>
      <w:r>
        <w:rPr>
          <w:i/>
          <w:spacing w:val="-2"/>
          <w:sz w:val="22"/>
        </w:rPr>
        <w:t> </w:t>
      </w:r>
      <w:r>
        <w:rPr>
          <w:i/>
          <w:sz w:val="22"/>
        </w:rPr>
        <w:t>of</w:t>
      </w:r>
      <w:r>
        <w:rPr>
          <w:i/>
          <w:spacing w:val="-2"/>
          <w:sz w:val="22"/>
        </w:rPr>
        <w:t> </w:t>
      </w:r>
      <w:r>
        <w:rPr>
          <w:i/>
          <w:sz w:val="22"/>
        </w:rPr>
        <w:t>fatality</w:t>
      </w:r>
      <w:r>
        <w:rPr>
          <w:i/>
          <w:spacing w:val="-3"/>
          <w:sz w:val="22"/>
        </w:rPr>
        <w:t> </w:t>
      </w:r>
      <w:r>
        <w:rPr>
          <w:i/>
          <w:sz w:val="22"/>
        </w:rPr>
        <w:t>related</w:t>
      </w:r>
      <w:r>
        <w:rPr>
          <w:i/>
          <w:spacing w:val="-3"/>
          <w:sz w:val="22"/>
        </w:rPr>
        <w:t> </w:t>
      </w:r>
      <w:r>
        <w:rPr>
          <w:i/>
          <w:sz w:val="22"/>
        </w:rPr>
        <w:t>fires</w:t>
      </w:r>
      <w:r>
        <w:rPr>
          <w:i/>
          <w:spacing w:val="-3"/>
          <w:sz w:val="22"/>
        </w:rPr>
        <w:t> </w:t>
      </w:r>
      <w:r>
        <w:rPr>
          <w:i/>
          <w:sz w:val="22"/>
        </w:rPr>
        <w:t>were</w:t>
      </w:r>
      <w:r>
        <w:rPr>
          <w:i/>
          <w:spacing w:val="-3"/>
          <w:sz w:val="22"/>
        </w:rPr>
        <w:t> </w:t>
      </w:r>
      <w:r>
        <w:rPr>
          <w:i/>
          <w:sz w:val="22"/>
        </w:rPr>
        <w:t>caused</w:t>
      </w:r>
      <w:r>
        <w:rPr>
          <w:i/>
          <w:spacing w:val="-3"/>
          <w:sz w:val="22"/>
        </w:rPr>
        <w:t> </w:t>
      </w:r>
      <w:r>
        <w:rPr>
          <w:i/>
          <w:sz w:val="22"/>
        </w:rPr>
        <w:t>by</w:t>
      </w:r>
      <w:r>
        <w:rPr>
          <w:i/>
          <w:spacing w:val="-1"/>
          <w:sz w:val="22"/>
        </w:rPr>
        <w:t> </w:t>
      </w:r>
      <w:r>
        <w:rPr>
          <w:i/>
          <w:sz w:val="22"/>
        </w:rPr>
        <w:t>electricity</w:t>
      </w:r>
      <w:r>
        <w:rPr>
          <w:i/>
          <w:spacing w:val="-3"/>
          <w:sz w:val="22"/>
        </w:rPr>
        <w:t> </w:t>
      </w:r>
      <w:r>
        <w:rPr>
          <w:i/>
          <w:sz w:val="22"/>
        </w:rPr>
        <w:t>assets</w:t>
      </w:r>
      <w:r>
        <w:rPr>
          <w:i/>
          <w:spacing w:val="-3"/>
          <w:sz w:val="22"/>
        </w:rPr>
        <w:t> </w:t>
      </w:r>
      <w:r>
        <w:rPr>
          <w:i/>
          <w:sz w:val="22"/>
        </w:rPr>
        <w:t>that</w:t>
      </w:r>
      <w:r>
        <w:rPr>
          <w:i/>
          <w:spacing w:val="-4"/>
          <w:sz w:val="22"/>
        </w:rPr>
        <w:t> </w:t>
      </w:r>
      <w:r>
        <w:rPr>
          <w:i/>
          <w:sz w:val="22"/>
        </w:rPr>
        <w:t>were</w:t>
      </w:r>
      <w:r>
        <w:rPr>
          <w:i/>
          <w:spacing w:val="-5"/>
          <w:sz w:val="22"/>
        </w:rPr>
        <w:t> </w:t>
      </w:r>
      <w:r>
        <w:rPr>
          <w:i/>
          <w:sz w:val="22"/>
        </w:rPr>
        <w:t>aged</w:t>
      </w:r>
      <w:r>
        <w:rPr>
          <w:i/>
          <w:spacing w:val="-1"/>
          <w:sz w:val="22"/>
        </w:rPr>
        <w:t> </w:t>
      </w:r>
      <w:r>
        <w:rPr>
          <w:i/>
          <w:sz w:val="22"/>
        </w:rPr>
        <w:t>to at or beyond their engineering life, that has not been effectively identified or rectified during inspections, there is still no oversight or regulation of the age or condition of the assets or requirements for inspection quality or frequency.” </w:t>
      </w:r>
      <w:r>
        <w:rPr>
          <w:sz w:val="22"/>
        </w:rPr>
        <w:t>(Electrical Trades Union, 2017, p. 6)</w:t>
      </w:r>
    </w:p>
    <w:p>
      <w:pPr>
        <w:pStyle w:val="BodyText"/>
        <w:spacing w:before="10"/>
        <w:rPr>
          <w:sz w:val="20"/>
        </w:rPr>
      </w:pPr>
    </w:p>
    <w:p>
      <w:pPr>
        <w:spacing w:line="288" w:lineRule="auto" w:before="0"/>
        <w:ind w:left="799" w:right="1252" w:firstLine="0"/>
        <w:jc w:val="left"/>
        <w:rPr>
          <w:sz w:val="22"/>
        </w:rPr>
      </w:pPr>
      <w:r>
        <w:rPr>
          <w:i/>
          <w:sz w:val="22"/>
        </w:rPr>
        <w:t>“Prescription-based asset management could be used at a point in time, to</w:t>
      </w:r>
      <w:r>
        <w:rPr>
          <w:i/>
          <w:spacing w:val="40"/>
          <w:sz w:val="22"/>
        </w:rPr>
        <w:t> </w:t>
      </w:r>
      <w:r>
        <w:rPr>
          <w:i/>
          <w:sz w:val="22"/>
        </w:rPr>
        <w:t>facilitate asset replacement. For example, a threshold could be triggered in relation to</w:t>
      </w:r>
      <w:r>
        <w:rPr>
          <w:i/>
          <w:spacing w:val="-1"/>
          <w:sz w:val="22"/>
        </w:rPr>
        <w:t> </w:t>
      </w:r>
      <w:r>
        <w:rPr>
          <w:i/>
          <w:sz w:val="22"/>
        </w:rPr>
        <w:t>an</w:t>
      </w:r>
      <w:r>
        <w:rPr>
          <w:i/>
          <w:spacing w:val="-3"/>
          <w:sz w:val="22"/>
        </w:rPr>
        <w:t> </w:t>
      </w:r>
      <w:r>
        <w:rPr>
          <w:i/>
          <w:sz w:val="22"/>
        </w:rPr>
        <w:t>asset,</w:t>
      </w:r>
      <w:r>
        <w:rPr>
          <w:i/>
          <w:spacing w:val="-2"/>
          <w:sz w:val="22"/>
        </w:rPr>
        <w:t> </w:t>
      </w:r>
      <w:r>
        <w:rPr>
          <w:i/>
          <w:sz w:val="22"/>
        </w:rPr>
        <w:t>leading</w:t>
      </w:r>
      <w:r>
        <w:rPr>
          <w:i/>
          <w:spacing w:val="-1"/>
          <w:sz w:val="22"/>
        </w:rPr>
        <w:t> </w:t>
      </w:r>
      <w:r>
        <w:rPr>
          <w:i/>
          <w:sz w:val="22"/>
        </w:rPr>
        <w:t>to</w:t>
      </w:r>
      <w:r>
        <w:rPr>
          <w:i/>
          <w:spacing w:val="-3"/>
          <w:sz w:val="22"/>
        </w:rPr>
        <w:t> </w:t>
      </w:r>
      <w:r>
        <w:rPr>
          <w:i/>
          <w:sz w:val="22"/>
        </w:rPr>
        <w:t>its</w:t>
      </w:r>
      <w:r>
        <w:rPr>
          <w:i/>
          <w:spacing w:val="-3"/>
          <w:sz w:val="22"/>
        </w:rPr>
        <w:t> </w:t>
      </w:r>
      <w:r>
        <w:rPr>
          <w:i/>
          <w:sz w:val="22"/>
        </w:rPr>
        <w:t>replacement…</w:t>
      </w:r>
      <w:r>
        <w:rPr>
          <w:i/>
          <w:spacing w:val="-5"/>
          <w:sz w:val="22"/>
        </w:rPr>
        <w:t> </w:t>
      </w:r>
      <w:r>
        <w:rPr>
          <w:i/>
          <w:sz w:val="22"/>
        </w:rPr>
        <w:t>We</w:t>
      </w:r>
      <w:r>
        <w:rPr>
          <w:i/>
          <w:spacing w:val="-3"/>
          <w:sz w:val="22"/>
        </w:rPr>
        <w:t> </w:t>
      </w:r>
      <w:r>
        <w:rPr>
          <w:i/>
          <w:sz w:val="22"/>
        </w:rPr>
        <w:t>believe</w:t>
      </w:r>
      <w:r>
        <w:rPr>
          <w:i/>
          <w:spacing w:val="-1"/>
          <w:sz w:val="22"/>
        </w:rPr>
        <w:t> </w:t>
      </w:r>
      <w:r>
        <w:rPr>
          <w:i/>
          <w:sz w:val="22"/>
        </w:rPr>
        <w:t>there</w:t>
      </w:r>
      <w:r>
        <w:rPr>
          <w:i/>
          <w:spacing w:val="-1"/>
          <w:sz w:val="22"/>
        </w:rPr>
        <w:t> </w:t>
      </w:r>
      <w:r>
        <w:rPr>
          <w:i/>
          <w:sz w:val="22"/>
        </w:rPr>
        <w:t>should</w:t>
      </w:r>
      <w:r>
        <w:rPr>
          <w:i/>
          <w:spacing w:val="-3"/>
          <w:sz w:val="22"/>
        </w:rPr>
        <w:t> </w:t>
      </w:r>
      <w:r>
        <w:rPr>
          <w:i/>
          <w:sz w:val="22"/>
        </w:rPr>
        <w:t>be</w:t>
      </w:r>
      <w:r>
        <w:rPr>
          <w:i/>
          <w:spacing w:val="-1"/>
          <w:sz w:val="22"/>
        </w:rPr>
        <w:t> </w:t>
      </w:r>
      <w:r>
        <w:rPr>
          <w:i/>
          <w:sz w:val="22"/>
        </w:rPr>
        <w:t>a</w:t>
      </w:r>
      <w:r>
        <w:rPr>
          <w:i/>
          <w:spacing w:val="-3"/>
          <w:sz w:val="22"/>
        </w:rPr>
        <w:t> </w:t>
      </w:r>
      <w:r>
        <w:rPr>
          <w:i/>
          <w:sz w:val="22"/>
        </w:rPr>
        <w:t>prescription- based (common-sense) approach to asset replacement and maintenance in this regard. Such an approach can complement the existing risk framework and could decrease</w:t>
      </w:r>
      <w:r>
        <w:rPr>
          <w:i/>
          <w:spacing w:val="-3"/>
          <w:sz w:val="22"/>
        </w:rPr>
        <w:t> </w:t>
      </w:r>
      <w:r>
        <w:rPr>
          <w:i/>
          <w:sz w:val="22"/>
        </w:rPr>
        <w:t>the</w:t>
      </w:r>
      <w:r>
        <w:rPr>
          <w:i/>
          <w:spacing w:val="-3"/>
          <w:sz w:val="22"/>
        </w:rPr>
        <w:t> </w:t>
      </w:r>
      <w:r>
        <w:rPr>
          <w:i/>
          <w:sz w:val="22"/>
        </w:rPr>
        <w:t>number of</w:t>
      </w:r>
      <w:r>
        <w:rPr>
          <w:i/>
          <w:spacing w:val="-2"/>
          <w:sz w:val="22"/>
        </w:rPr>
        <w:t> </w:t>
      </w:r>
      <w:r>
        <w:rPr>
          <w:i/>
          <w:sz w:val="22"/>
        </w:rPr>
        <w:t>actual</w:t>
      </w:r>
      <w:r>
        <w:rPr>
          <w:i/>
          <w:spacing w:val="-1"/>
          <w:sz w:val="22"/>
        </w:rPr>
        <w:t> </w:t>
      </w:r>
      <w:r>
        <w:rPr>
          <w:i/>
          <w:sz w:val="22"/>
        </w:rPr>
        <w:t>failures,</w:t>
      </w:r>
      <w:r>
        <w:rPr>
          <w:i/>
          <w:spacing w:val="-2"/>
          <w:sz w:val="22"/>
        </w:rPr>
        <w:t> </w:t>
      </w:r>
      <w:r>
        <w:rPr>
          <w:i/>
          <w:sz w:val="22"/>
        </w:rPr>
        <w:t>resulting</w:t>
      </w:r>
      <w:r>
        <w:rPr>
          <w:i/>
          <w:spacing w:val="-1"/>
          <w:sz w:val="22"/>
        </w:rPr>
        <w:t> </w:t>
      </w:r>
      <w:r>
        <w:rPr>
          <w:i/>
          <w:sz w:val="22"/>
        </w:rPr>
        <w:t>in</w:t>
      </w:r>
      <w:r>
        <w:rPr>
          <w:i/>
          <w:spacing w:val="-1"/>
          <w:sz w:val="22"/>
        </w:rPr>
        <w:t> </w:t>
      </w:r>
      <w:r>
        <w:rPr>
          <w:i/>
          <w:sz w:val="22"/>
        </w:rPr>
        <w:t>a stronger network,</w:t>
      </w:r>
      <w:r>
        <w:rPr>
          <w:i/>
          <w:spacing w:val="-2"/>
          <w:sz w:val="22"/>
        </w:rPr>
        <w:t> </w:t>
      </w:r>
      <w:r>
        <w:rPr>
          <w:i/>
          <w:sz w:val="22"/>
        </w:rPr>
        <w:t>with</w:t>
      </w:r>
      <w:r>
        <w:rPr>
          <w:i/>
          <w:spacing w:val="-1"/>
          <w:sz w:val="22"/>
        </w:rPr>
        <w:t> </w:t>
      </w:r>
      <w:r>
        <w:rPr>
          <w:i/>
          <w:sz w:val="22"/>
        </w:rPr>
        <w:t>greater security and availability.” </w:t>
      </w:r>
      <w:r>
        <w:rPr>
          <w:sz w:val="22"/>
        </w:rPr>
        <w:t>(South East Community Forum, 2017, p. 11)</w:t>
      </w:r>
    </w:p>
    <w:p>
      <w:pPr>
        <w:pStyle w:val="BodyText"/>
        <w:rPr>
          <w:sz w:val="21"/>
        </w:rPr>
      </w:pPr>
    </w:p>
    <w:p>
      <w:pPr>
        <w:spacing w:before="1"/>
        <w:ind w:left="345" w:right="0" w:firstLine="0"/>
        <w:jc w:val="left"/>
        <w:rPr>
          <w:sz w:val="22"/>
        </w:rPr>
      </w:pPr>
      <w:r>
        <w:rPr>
          <w:sz w:val="22"/>
        </w:rPr>
        <w:t>ESV</w:t>
      </w:r>
      <w:r>
        <w:rPr>
          <w:spacing w:val="-6"/>
          <w:sz w:val="22"/>
        </w:rPr>
        <w:t> </w:t>
      </w:r>
      <w:r>
        <w:rPr>
          <w:sz w:val="22"/>
        </w:rPr>
        <w:t>has</w:t>
      </w:r>
      <w:r>
        <w:rPr>
          <w:spacing w:val="-3"/>
          <w:sz w:val="22"/>
        </w:rPr>
        <w:t> </w:t>
      </w:r>
      <w:r>
        <w:rPr>
          <w:sz w:val="22"/>
        </w:rPr>
        <w:t>noted</w:t>
      </w:r>
      <w:r>
        <w:rPr>
          <w:spacing w:val="-6"/>
          <w:sz w:val="22"/>
        </w:rPr>
        <w:t> </w:t>
      </w:r>
      <w:r>
        <w:rPr>
          <w:sz w:val="22"/>
        </w:rPr>
        <w:t>a</w:t>
      </w:r>
      <w:r>
        <w:rPr>
          <w:spacing w:val="-3"/>
          <w:sz w:val="22"/>
        </w:rPr>
        <w:t> </w:t>
      </w:r>
      <w:r>
        <w:rPr>
          <w:sz w:val="22"/>
        </w:rPr>
        <w:t>need</w:t>
      </w:r>
      <w:r>
        <w:rPr>
          <w:spacing w:val="-6"/>
          <w:sz w:val="22"/>
        </w:rPr>
        <w:t> </w:t>
      </w:r>
      <w:r>
        <w:rPr>
          <w:sz w:val="22"/>
        </w:rPr>
        <w:t>for</w:t>
      </w:r>
      <w:r>
        <w:rPr>
          <w:spacing w:val="-3"/>
          <w:sz w:val="22"/>
        </w:rPr>
        <w:t> </w:t>
      </w:r>
      <w:r>
        <w:rPr>
          <w:sz w:val="22"/>
        </w:rPr>
        <w:t>increased</w:t>
      </w:r>
      <w:r>
        <w:rPr>
          <w:spacing w:val="-6"/>
          <w:sz w:val="22"/>
        </w:rPr>
        <w:t> </w:t>
      </w:r>
      <w:r>
        <w:rPr>
          <w:sz w:val="22"/>
        </w:rPr>
        <w:t>focus</w:t>
      </w:r>
      <w:r>
        <w:rPr>
          <w:spacing w:val="-2"/>
          <w:sz w:val="22"/>
        </w:rPr>
        <w:t> </w:t>
      </w:r>
      <w:r>
        <w:rPr>
          <w:sz w:val="22"/>
        </w:rPr>
        <w:t>in</w:t>
      </w:r>
      <w:r>
        <w:rPr>
          <w:spacing w:val="-6"/>
          <w:sz w:val="22"/>
        </w:rPr>
        <w:t> </w:t>
      </w:r>
      <w:r>
        <w:rPr>
          <w:sz w:val="22"/>
        </w:rPr>
        <w:t>this</w:t>
      </w:r>
      <w:r>
        <w:rPr>
          <w:spacing w:val="-8"/>
          <w:sz w:val="22"/>
        </w:rPr>
        <w:t> </w:t>
      </w:r>
      <w:r>
        <w:rPr>
          <w:sz w:val="22"/>
        </w:rPr>
        <w:t>area</w:t>
      </w:r>
      <w:r>
        <w:rPr>
          <w:spacing w:val="-1"/>
          <w:sz w:val="22"/>
        </w:rPr>
        <w:t> </w:t>
      </w:r>
      <w:r>
        <w:rPr>
          <w:sz w:val="22"/>
        </w:rPr>
        <w:t>in</w:t>
      </w:r>
      <w:r>
        <w:rPr>
          <w:spacing w:val="-3"/>
          <w:sz w:val="22"/>
        </w:rPr>
        <w:t> </w:t>
      </w:r>
      <w:r>
        <w:rPr>
          <w:sz w:val="22"/>
        </w:rPr>
        <w:t>its</w:t>
      </w:r>
      <w:r>
        <w:rPr>
          <w:spacing w:val="-3"/>
          <w:sz w:val="22"/>
        </w:rPr>
        <w:t> </w:t>
      </w:r>
      <w:r>
        <w:rPr>
          <w:i/>
          <w:sz w:val="22"/>
        </w:rPr>
        <w:t>Corporate</w:t>
      </w:r>
      <w:r>
        <w:rPr>
          <w:i/>
          <w:spacing w:val="-6"/>
          <w:sz w:val="22"/>
        </w:rPr>
        <w:t> </w:t>
      </w:r>
      <w:r>
        <w:rPr>
          <w:i/>
          <w:sz w:val="22"/>
        </w:rPr>
        <w:t>Plan</w:t>
      </w:r>
      <w:r>
        <w:rPr>
          <w:i/>
          <w:spacing w:val="-3"/>
          <w:sz w:val="22"/>
        </w:rPr>
        <w:t> </w:t>
      </w:r>
      <w:r>
        <w:rPr>
          <w:i/>
          <w:spacing w:val="-2"/>
          <w:sz w:val="22"/>
        </w:rPr>
        <w:t>2017–2020</w:t>
      </w:r>
      <w:r>
        <w:rPr>
          <w:spacing w:val="-2"/>
          <w:sz w:val="22"/>
        </w:rPr>
        <w:t>:</w:t>
      </w:r>
    </w:p>
    <w:p>
      <w:pPr>
        <w:pStyle w:val="BodyText"/>
        <w:rPr>
          <w:sz w:val="20"/>
        </w:rPr>
      </w:pPr>
    </w:p>
    <w:p>
      <w:pPr>
        <w:pStyle w:val="BodyText"/>
        <w:spacing w:before="1"/>
        <w:rPr>
          <w:sz w:val="18"/>
        </w:rPr>
      </w:pPr>
      <w:r>
        <w:rPr/>
        <mc:AlternateContent>
          <mc:Choice Requires="wps">
            <w:drawing>
              <wp:anchor distT="0" distB="0" distL="0" distR="0" allowOverlap="1" layoutInCell="1" locked="0" behindDoc="1" simplePos="0" relativeHeight="487663616">
                <wp:simplePos x="0" y="0"/>
                <wp:positionH relativeFrom="page">
                  <wp:posOffset>701040</wp:posOffset>
                </wp:positionH>
                <wp:positionV relativeFrom="paragraph">
                  <wp:posOffset>147325</wp:posOffset>
                </wp:positionV>
                <wp:extent cx="6158230" cy="1270"/>
                <wp:effectExtent l="0" t="0" r="0" b="0"/>
                <wp:wrapTopAndBottom/>
                <wp:docPr id="213" name="Graphic 213"/>
                <wp:cNvGraphicFramePr>
                  <a:graphicFrameLocks/>
                </wp:cNvGraphicFramePr>
                <a:graphic>
                  <a:graphicData uri="http://schemas.microsoft.com/office/word/2010/wordprocessingShape">
                    <wps:wsp>
                      <wps:cNvPr id="213" name="Graphic 213"/>
                      <wps:cNvSpPr/>
                      <wps:spPr>
                        <a:xfrm>
                          <a:off x="0" y="0"/>
                          <a:ext cx="6158230" cy="1270"/>
                        </a:xfrm>
                        <a:custGeom>
                          <a:avLst/>
                          <a:gdLst/>
                          <a:ahLst/>
                          <a:cxnLst/>
                          <a:rect l="l" t="t" r="r" b="b"/>
                          <a:pathLst>
                            <a:path w="6158230" h="0">
                              <a:moveTo>
                                <a:pt x="0" y="0"/>
                              </a:moveTo>
                              <a:lnTo>
                                <a:pt x="6158230" y="0"/>
                              </a:lnTo>
                            </a:path>
                          </a:pathLst>
                        </a:custGeom>
                        <a:ln w="12192">
                          <a:solidFill>
                            <a:srgbClr val="000000"/>
                          </a:solidFill>
                          <a:prstDash val="sysDot"/>
                        </a:ln>
                      </wps:spPr>
                      <wps:bodyPr wrap="square" lIns="0" tIns="0" rIns="0" bIns="0" rtlCol="0">
                        <a:prstTxWarp prst="textNoShape">
                          <a:avLst/>
                        </a:prstTxWarp>
                        <a:noAutofit/>
                      </wps:bodyPr>
                    </wps:wsp>
                  </a:graphicData>
                </a:graphic>
              </wp:anchor>
            </w:drawing>
          </mc:Choice>
          <mc:Fallback>
            <w:pict>
              <v:shape style="position:absolute;margin-left:55.200001pt;margin-top:11.600459pt;width:484.9pt;height:.1pt;mso-position-horizontal-relative:page;mso-position-vertical-relative:paragraph;z-index:-15652864;mso-wrap-distance-left:0;mso-wrap-distance-right:0" id="docshape182" coordorigin="1104,232" coordsize="9698,0" path="m1104,232l10802,232e" filled="false" stroked="true" strokeweight=".96pt" strokecolor="#000000">
                <v:path arrowok="t"/>
                <v:stroke dashstyle="shortdot"/>
                <w10:wrap type="topAndBottom"/>
              </v:shape>
            </w:pict>
          </mc:Fallback>
        </mc:AlternateContent>
      </w:r>
    </w:p>
    <w:p>
      <w:pPr>
        <w:pStyle w:val="BodyText"/>
        <w:spacing w:before="6"/>
      </w:pPr>
    </w:p>
    <w:p>
      <w:pPr>
        <w:spacing w:line="247" w:lineRule="auto" w:before="96"/>
        <w:ind w:left="516" w:right="296" w:hanging="284"/>
        <w:jc w:val="left"/>
        <w:rPr>
          <w:sz w:val="16"/>
        </w:rPr>
      </w:pPr>
      <w:r>
        <w:rPr>
          <w:position w:val="6"/>
          <w:sz w:val="12"/>
        </w:rPr>
        <w:t>19</w:t>
      </w:r>
      <w:r>
        <w:rPr>
          <w:spacing w:val="16"/>
          <w:position w:val="6"/>
          <w:sz w:val="12"/>
        </w:rPr>
        <w:t> </w:t>
      </w:r>
      <w:r>
        <w:rPr>
          <w:sz w:val="16"/>
        </w:rPr>
        <w:t>See,</w:t>
      </w:r>
      <w:r>
        <w:rPr>
          <w:spacing w:val="-2"/>
          <w:sz w:val="16"/>
        </w:rPr>
        <w:t> </w:t>
      </w:r>
      <w:r>
        <w:rPr>
          <w:sz w:val="16"/>
        </w:rPr>
        <w:t>for</w:t>
      </w:r>
      <w:r>
        <w:rPr>
          <w:spacing w:val="-1"/>
          <w:sz w:val="16"/>
        </w:rPr>
        <w:t> </w:t>
      </w:r>
      <w:r>
        <w:rPr>
          <w:sz w:val="16"/>
        </w:rPr>
        <w:t>example,</w:t>
      </w:r>
      <w:r>
        <w:rPr>
          <w:spacing w:val="-2"/>
          <w:sz w:val="16"/>
        </w:rPr>
        <w:t> </w:t>
      </w:r>
      <w:r>
        <w:rPr>
          <w:sz w:val="16"/>
        </w:rPr>
        <w:t>section</w:t>
      </w:r>
      <w:r>
        <w:rPr>
          <w:spacing w:val="-1"/>
          <w:sz w:val="16"/>
        </w:rPr>
        <w:t> </w:t>
      </w:r>
      <w:r>
        <w:rPr>
          <w:sz w:val="16"/>
        </w:rPr>
        <w:t>35</w:t>
      </w:r>
      <w:r>
        <w:rPr>
          <w:spacing w:val="-4"/>
          <w:sz w:val="16"/>
        </w:rPr>
        <w:t> </w:t>
      </w:r>
      <w:r>
        <w:rPr>
          <w:sz w:val="16"/>
        </w:rPr>
        <w:t>of</w:t>
      </w:r>
      <w:r>
        <w:rPr>
          <w:spacing w:val="-2"/>
          <w:sz w:val="16"/>
        </w:rPr>
        <w:t> </w:t>
      </w:r>
      <w:r>
        <w:rPr>
          <w:sz w:val="16"/>
        </w:rPr>
        <w:t>the </w:t>
      </w:r>
      <w:r>
        <w:rPr>
          <w:i/>
          <w:sz w:val="16"/>
        </w:rPr>
        <w:t>Occupational</w:t>
      </w:r>
      <w:r>
        <w:rPr>
          <w:i/>
          <w:spacing w:val="-3"/>
          <w:sz w:val="16"/>
        </w:rPr>
        <w:t> </w:t>
      </w:r>
      <w:r>
        <w:rPr>
          <w:i/>
          <w:sz w:val="16"/>
        </w:rPr>
        <w:t>Health</w:t>
      </w:r>
      <w:r>
        <w:rPr>
          <w:i/>
          <w:spacing w:val="-1"/>
          <w:sz w:val="16"/>
        </w:rPr>
        <w:t> </w:t>
      </w:r>
      <w:r>
        <w:rPr>
          <w:i/>
          <w:sz w:val="16"/>
        </w:rPr>
        <w:t>and</w:t>
      </w:r>
      <w:r>
        <w:rPr>
          <w:i/>
          <w:spacing w:val="-4"/>
          <w:sz w:val="16"/>
        </w:rPr>
        <w:t> </w:t>
      </w:r>
      <w:r>
        <w:rPr>
          <w:i/>
          <w:sz w:val="16"/>
        </w:rPr>
        <w:t>Safety</w:t>
      </w:r>
      <w:r>
        <w:rPr>
          <w:i/>
          <w:spacing w:val="-9"/>
          <w:sz w:val="16"/>
        </w:rPr>
        <w:t> </w:t>
      </w:r>
      <w:r>
        <w:rPr>
          <w:i/>
          <w:sz w:val="16"/>
        </w:rPr>
        <w:t>Act 2004 </w:t>
      </w:r>
      <w:r>
        <w:rPr>
          <w:sz w:val="16"/>
        </w:rPr>
        <w:t>and</w:t>
      </w:r>
      <w:r>
        <w:rPr>
          <w:spacing w:val="-4"/>
          <w:sz w:val="16"/>
        </w:rPr>
        <w:t> </w:t>
      </w:r>
      <w:r>
        <w:rPr>
          <w:sz w:val="16"/>
        </w:rPr>
        <w:t>regulations</w:t>
      </w:r>
      <w:r>
        <w:rPr>
          <w:spacing w:val="-2"/>
          <w:sz w:val="16"/>
        </w:rPr>
        <w:t> </w:t>
      </w:r>
      <w:r>
        <w:rPr>
          <w:sz w:val="16"/>
        </w:rPr>
        <w:t>388</w:t>
      </w:r>
      <w:r>
        <w:rPr>
          <w:spacing w:val="-1"/>
          <w:sz w:val="16"/>
        </w:rPr>
        <w:t> </w:t>
      </w:r>
      <w:r>
        <w:rPr>
          <w:sz w:val="16"/>
        </w:rPr>
        <w:t>and</w:t>
      </w:r>
      <w:r>
        <w:rPr>
          <w:spacing w:val="-3"/>
          <w:sz w:val="16"/>
        </w:rPr>
        <w:t> </w:t>
      </w:r>
      <w:r>
        <w:rPr>
          <w:sz w:val="16"/>
        </w:rPr>
        <w:t>389</w:t>
      </w:r>
      <w:r>
        <w:rPr>
          <w:spacing w:val="-1"/>
          <w:sz w:val="16"/>
        </w:rPr>
        <w:t> </w:t>
      </w:r>
      <w:r>
        <w:rPr>
          <w:sz w:val="16"/>
        </w:rPr>
        <w:t>of</w:t>
      </w:r>
      <w:r>
        <w:rPr>
          <w:spacing w:val="-2"/>
          <w:sz w:val="16"/>
        </w:rPr>
        <w:t> </w:t>
      </w:r>
      <w:r>
        <w:rPr>
          <w:sz w:val="16"/>
        </w:rPr>
        <w:t>the </w:t>
      </w:r>
      <w:r>
        <w:rPr>
          <w:i/>
          <w:sz w:val="16"/>
        </w:rPr>
        <w:t>Occupational Health and Safety Regulations 2017</w:t>
      </w:r>
      <w:r>
        <w:rPr>
          <w:sz w:val="16"/>
        </w:rPr>
        <w:t>.</w:t>
      </w:r>
    </w:p>
    <w:p>
      <w:pPr>
        <w:spacing w:after="0" w:line="247" w:lineRule="auto"/>
        <w:jc w:val="left"/>
        <w:rPr>
          <w:sz w:val="16"/>
        </w:rPr>
        <w:sectPr>
          <w:pgSz w:w="11910" w:h="16850"/>
          <w:pgMar w:header="220" w:footer="678" w:top="420" w:bottom="860" w:left="900" w:right="840"/>
        </w:sectPr>
      </w:pPr>
    </w:p>
    <w:p>
      <w:pPr>
        <w:pStyle w:val="BodyText"/>
        <w:rPr>
          <w:sz w:val="20"/>
        </w:rPr>
      </w:pPr>
    </w:p>
    <w:p>
      <w:pPr>
        <w:pStyle w:val="BodyText"/>
        <w:spacing w:before="4"/>
        <w:rPr>
          <w:sz w:val="27"/>
        </w:rPr>
      </w:pPr>
    </w:p>
    <w:p>
      <w:pPr>
        <w:pStyle w:val="BodyText"/>
        <w:ind w:left="232"/>
        <w:rPr>
          <w:sz w:val="20"/>
        </w:rPr>
      </w:pPr>
      <w:r>
        <w:rPr>
          <w:sz w:val="20"/>
        </w:rPr>
        <mc:AlternateContent>
          <mc:Choice Requires="wps">
            <w:drawing>
              <wp:inline distT="0" distB="0" distL="0" distR="0">
                <wp:extent cx="5870575" cy="2425065"/>
                <wp:effectExtent l="0" t="0" r="0" b="0"/>
                <wp:docPr id="214" name="Textbox 214"/>
                <wp:cNvGraphicFramePr>
                  <a:graphicFrameLocks/>
                </wp:cNvGraphicFramePr>
                <a:graphic>
                  <a:graphicData uri="http://schemas.microsoft.com/office/word/2010/wordprocessingShape">
                    <wps:wsp>
                      <wps:cNvPr id="214" name="Textbox 214"/>
                      <wps:cNvSpPr txBox="1"/>
                      <wps:spPr>
                        <a:xfrm>
                          <a:off x="0" y="0"/>
                          <a:ext cx="5870575" cy="2425065"/>
                        </a:xfrm>
                        <a:prstGeom prst="rect">
                          <a:avLst/>
                        </a:prstGeom>
                        <a:solidFill>
                          <a:srgbClr val="CDEBEB"/>
                        </a:solidFill>
                      </wps:spPr>
                      <wps:txbx>
                        <w:txbxContent>
                          <w:p>
                            <w:pPr>
                              <w:spacing w:line="288" w:lineRule="auto" w:before="0"/>
                              <w:ind w:left="566" w:right="543" w:firstLine="0"/>
                              <w:jc w:val="left"/>
                              <w:rPr>
                                <w:color w:val="000000"/>
                                <w:sz w:val="22"/>
                              </w:rPr>
                            </w:pPr>
                            <w:r>
                              <w:rPr>
                                <w:i/>
                                <w:color w:val="000000"/>
                                <w:sz w:val="22"/>
                              </w:rPr>
                              <w:t>“Further investment is necessary to test and challenge the major electricity companies’ asset and risk management practices as infrastructure ages and climatic conditions change. ESV will deploy people with specific expertise and experience</w:t>
                            </w:r>
                            <w:r>
                              <w:rPr>
                                <w:i/>
                                <w:color w:val="000000"/>
                                <w:spacing w:val="-5"/>
                                <w:sz w:val="22"/>
                              </w:rPr>
                              <w:t> </w:t>
                            </w:r>
                            <w:r>
                              <w:rPr>
                                <w:i/>
                                <w:color w:val="000000"/>
                                <w:sz w:val="22"/>
                              </w:rPr>
                              <w:t>to</w:t>
                            </w:r>
                            <w:r>
                              <w:rPr>
                                <w:i/>
                                <w:color w:val="000000"/>
                                <w:spacing w:val="-3"/>
                                <w:sz w:val="22"/>
                              </w:rPr>
                              <w:t> </w:t>
                            </w:r>
                            <w:r>
                              <w:rPr>
                                <w:i/>
                                <w:color w:val="000000"/>
                                <w:sz w:val="22"/>
                              </w:rPr>
                              <w:t>challenge</w:t>
                            </w:r>
                            <w:r>
                              <w:rPr>
                                <w:i/>
                                <w:color w:val="000000"/>
                                <w:spacing w:val="-5"/>
                                <w:sz w:val="22"/>
                              </w:rPr>
                              <w:t> </w:t>
                            </w:r>
                            <w:r>
                              <w:rPr>
                                <w:i/>
                                <w:color w:val="000000"/>
                                <w:sz w:val="22"/>
                              </w:rPr>
                              <w:t>the</w:t>
                            </w:r>
                            <w:r>
                              <w:rPr>
                                <w:i/>
                                <w:color w:val="000000"/>
                                <w:spacing w:val="-3"/>
                                <w:sz w:val="22"/>
                              </w:rPr>
                              <w:t> </w:t>
                            </w:r>
                            <w:r>
                              <w:rPr>
                                <w:i/>
                                <w:color w:val="000000"/>
                                <w:sz w:val="22"/>
                              </w:rPr>
                              <w:t>safety</w:t>
                            </w:r>
                            <w:r>
                              <w:rPr>
                                <w:i/>
                                <w:color w:val="000000"/>
                                <w:spacing w:val="-5"/>
                                <w:sz w:val="22"/>
                              </w:rPr>
                              <w:t> </w:t>
                            </w:r>
                            <w:r>
                              <w:rPr>
                                <w:i/>
                                <w:color w:val="000000"/>
                                <w:sz w:val="22"/>
                              </w:rPr>
                              <w:t>and</w:t>
                            </w:r>
                            <w:r>
                              <w:rPr>
                                <w:i/>
                                <w:color w:val="000000"/>
                                <w:spacing w:val="-3"/>
                                <w:sz w:val="22"/>
                              </w:rPr>
                              <w:t> </w:t>
                            </w:r>
                            <w:r>
                              <w:rPr>
                                <w:i/>
                                <w:color w:val="000000"/>
                                <w:sz w:val="22"/>
                              </w:rPr>
                              <w:t>sustainability</w:t>
                            </w:r>
                            <w:r>
                              <w:rPr>
                                <w:i/>
                                <w:color w:val="000000"/>
                                <w:spacing w:val="-2"/>
                                <w:sz w:val="22"/>
                              </w:rPr>
                              <w:t> </w:t>
                            </w:r>
                            <w:r>
                              <w:rPr>
                                <w:i/>
                                <w:color w:val="000000"/>
                                <w:sz w:val="22"/>
                              </w:rPr>
                              <w:t>of</w:t>
                            </w:r>
                            <w:r>
                              <w:rPr>
                                <w:i/>
                                <w:color w:val="000000"/>
                                <w:spacing w:val="-4"/>
                                <w:sz w:val="22"/>
                              </w:rPr>
                              <w:t> </w:t>
                            </w:r>
                            <w:r>
                              <w:rPr>
                                <w:i/>
                                <w:color w:val="000000"/>
                                <w:sz w:val="22"/>
                              </w:rPr>
                              <w:t>risk</w:t>
                            </w:r>
                            <w:r>
                              <w:rPr>
                                <w:i/>
                                <w:color w:val="000000"/>
                                <w:spacing w:val="-5"/>
                                <w:sz w:val="22"/>
                              </w:rPr>
                              <w:t> </w:t>
                            </w:r>
                            <w:r>
                              <w:rPr>
                                <w:i/>
                                <w:color w:val="000000"/>
                                <w:sz w:val="22"/>
                              </w:rPr>
                              <w:t>and</w:t>
                            </w:r>
                            <w:r>
                              <w:rPr>
                                <w:i/>
                                <w:color w:val="000000"/>
                                <w:spacing w:val="-3"/>
                                <w:sz w:val="22"/>
                              </w:rPr>
                              <w:t> </w:t>
                            </w:r>
                            <w:r>
                              <w:rPr>
                                <w:i/>
                                <w:color w:val="000000"/>
                                <w:sz w:val="22"/>
                              </w:rPr>
                              <w:t>asset</w:t>
                            </w:r>
                            <w:r>
                              <w:rPr>
                                <w:i/>
                                <w:color w:val="000000"/>
                                <w:spacing w:val="-4"/>
                                <w:sz w:val="22"/>
                              </w:rPr>
                              <w:t> </w:t>
                            </w:r>
                            <w:r>
                              <w:rPr>
                                <w:i/>
                                <w:color w:val="000000"/>
                                <w:sz w:val="22"/>
                              </w:rPr>
                              <w:t>management practices.” </w:t>
                            </w:r>
                            <w:r>
                              <w:rPr>
                                <w:color w:val="000000"/>
                                <w:sz w:val="22"/>
                              </w:rPr>
                              <w:t>(ESV, 2017, p. 7)</w:t>
                            </w:r>
                          </w:p>
                          <w:p>
                            <w:pPr>
                              <w:pStyle w:val="BodyText"/>
                              <w:spacing w:before="9"/>
                              <w:rPr>
                                <w:color w:val="000000"/>
                                <w:sz w:val="20"/>
                              </w:rPr>
                            </w:pPr>
                          </w:p>
                          <w:p>
                            <w:pPr>
                              <w:pStyle w:val="BodyText"/>
                              <w:spacing w:line="288" w:lineRule="auto"/>
                              <w:ind w:left="112" w:right="212"/>
                              <w:rPr>
                                <w:color w:val="000000"/>
                              </w:rPr>
                            </w:pPr>
                            <w:r>
                              <w:rPr>
                                <w:color w:val="000000"/>
                              </w:rPr>
                              <w:t>An increased focus on asset management should assist ESV when assessing and auditing safety</w:t>
                            </w:r>
                            <w:r>
                              <w:rPr>
                                <w:color w:val="000000"/>
                                <w:spacing w:val="-4"/>
                              </w:rPr>
                              <w:t> </w:t>
                            </w:r>
                            <w:r>
                              <w:rPr>
                                <w:color w:val="000000"/>
                              </w:rPr>
                              <w:t>cases,</w:t>
                            </w:r>
                            <w:r>
                              <w:rPr>
                                <w:color w:val="000000"/>
                                <w:spacing w:val="-4"/>
                              </w:rPr>
                              <w:t> </w:t>
                            </w:r>
                            <w:r>
                              <w:rPr>
                                <w:color w:val="000000"/>
                              </w:rPr>
                              <w:t>to</w:t>
                            </w:r>
                            <w:r>
                              <w:rPr>
                                <w:color w:val="000000"/>
                                <w:spacing w:val="-5"/>
                              </w:rPr>
                              <w:t> </w:t>
                            </w:r>
                            <w:r>
                              <w:rPr>
                                <w:color w:val="000000"/>
                              </w:rPr>
                              <w:t>ensure</w:t>
                            </w:r>
                            <w:r>
                              <w:rPr>
                                <w:color w:val="000000"/>
                                <w:spacing w:val="-5"/>
                              </w:rPr>
                              <w:t> </w:t>
                            </w:r>
                            <w:r>
                              <w:rPr>
                                <w:color w:val="000000"/>
                              </w:rPr>
                              <w:t>businesses</w:t>
                            </w:r>
                            <w:r>
                              <w:rPr>
                                <w:color w:val="000000"/>
                                <w:spacing w:val="-3"/>
                              </w:rPr>
                              <w:t> </w:t>
                            </w:r>
                            <w:r>
                              <w:rPr>
                                <w:color w:val="000000"/>
                              </w:rPr>
                              <w:t>are</w:t>
                            </w:r>
                            <w:r>
                              <w:rPr>
                                <w:color w:val="000000"/>
                                <w:spacing w:val="-5"/>
                              </w:rPr>
                              <w:t> </w:t>
                            </w:r>
                            <w:r>
                              <w:rPr>
                                <w:color w:val="000000"/>
                              </w:rPr>
                              <w:t>adequately</w:t>
                            </w:r>
                            <w:r>
                              <w:rPr>
                                <w:color w:val="000000"/>
                                <w:spacing w:val="-5"/>
                              </w:rPr>
                              <w:t> </w:t>
                            </w:r>
                            <w:r>
                              <w:rPr>
                                <w:color w:val="000000"/>
                              </w:rPr>
                              <w:t>addressing</w:t>
                            </w:r>
                            <w:r>
                              <w:rPr>
                                <w:color w:val="000000"/>
                                <w:spacing w:val="-3"/>
                              </w:rPr>
                              <w:t> </w:t>
                            </w:r>
                            <w:r>
                              <w:rPr>
                                <w:color w:val="000000"/>
                              </w:rPr>
                              <w:t>long-term</w:t>
                            </w:r>
                            <w:r>
                              <w:rPr>
                                <w:color w:val="000000"/>
                                <w:spacing w:val="-2"/>
                              </w:rPr>
                              <w:t> </w:t>
                            </w:r>
                            <w:r>
                              <w:rPr>
                                <w:color w:val="000000"/>
                              </w:rPr>
                              <w:t>safety.</w:t>
                            </w:r>
                            <w:r>
                              <w:rPr>
                                <w:color w:val="000000"/>
                                <w:spacing w:val="-4"/>
                              </w:rPr>
                              <w:t> </w:t>
                            </w:r>
                            <w:r>
                              <w:rPr>
                                <w:color w:val="000000"/>
                              </w:rPr>
                              <w:t>In</w:t>
                            </w:r>
                            <w:r>
                              <w:rPr>
                                <w:color w:val="000000"/>
                                <w:spacing w:val="-3"/>
                              </w:rPr>
                              <w:t> </w:t>
                            </w:r>
                            <w:r>
                              <w:rPr>
                                <w:color w:val="000000"/>
                              </w:rPr>
                              <w:t>addition, (and</w:t>
                            </w:r>
                            <w:r>
                              <w:rPr>
                                <w:color w:val="000000"/>
                                <w:spacing w:val="-1"/>
                              </w:rPr>
                              <w:t> </w:t>
                            </w:r>
                            <w:r>
                              <w:rPr>
                                <w:color w:val="000000"/>
                              </w:rPr>
                              <w:t>as</w:t>
                            </w:r>
                            <w:r>
                              <w:rPr>
                                <w:color w:val="000000"/>
                                <w:spacing w:val="-3"/>
                              </w:rPr>
                              <w:t> </w:t>
                            </w:r>
                            <w:r>
                              <w:rPr>
                                <w:color w:val="000000"/>
                              </w:rPr>
                              <w:t>discussed</w:t>
                            </w:r>
                            <w:r>
                              <w:rPr>
                                <w:color w:val="000000"/>
                                <w:spacing w:val="-3"/>
                              </w:rPr>
                              <w:t> </w:t>
                            </w:r>
                            <w:r>
                              <w:rPr>
                                <w:color w:val="000000"/>
                              </w:rPr>
                              <w:t>in </w:t>
                            </w:r>
                            <w:r>
                              <w:rPr>
                                <w:i/>
                                <w:color w:val="000000"/>
                              </w:rPr>
                              <w:t>Chapter</w:t>
                            </w:r>
                            <w:r>
                              <w:rPr>
                                <w:i/>
                                <w:color w:val="000000"/>
                                <w:spacing w:val="-2"/>
                              </w:rPr>
                              <w:t> </w:t>
                            </w:r>
                            <w:r>
                              <w:rPr>
                                <w:i/>
                                <w:color w:val="000000"/>
                              </w:rPr>
                              <w:t>4:</w:t>
                            </w:r>
                            <w:r>
                              <w:rPr>
                                <w:i/>
                                <w:color w:val="000000"/>
                                <w:spacing w:val="-1"/>
                              </w:rPr>
                              <w:t> </w:t>
                            </w:r>
                            <w:r>
                              <w:rPr>
                                <w:i/>
                                <w:color w:val="000000"/>
                              </w:rPr>
                              <w:t>Integrating</w:t>
                            </w:r>
                            <w:r>
                              <w:rPr>
                                <w:i/>
                                <w:color w:val="000000"/>
                                <w:spacing w:val="-1"/>
                              </w:rPr>
                              <w:t> </w:t>
                            </w:r>
                            <w:r>
                              <w:rPr>
                                <w:i/>
                                <w:color w:val="000000"/>
                              </w:rPr>
                              <w:t>Safety Regulation</w:t>
                            </w:r>
                            <w:r>
                              <w:rPr>
                                <w:i/>
                                <w:color w:val="000000"/>
                                <w:spacing w:val="-3"/>
                              </w:rPr>
                              <w:t> </w:t>
                            </w:r>
                            <w:r>
                              <w:rPr>
                                <w:i/>
                                <w:color w:val="000000"/>
                              </w:rPr>
                              <w:t>with</w:t>
                            </w:r>
                            <w:r>
                              <w:rPr>
                                <w:i/>
                                <w:color w:val="000000"/>
                                <w:spacing w:val="-1"/>
                              </w:rPr>
                              <w:t> </w:t>
                            </w:r>
                            <w:r>
                              <w:rPr>
                                <w:i/>
                                <w:color w:val="000000"/>
                              </w:rPr>
                              <w:t>Economic Regulation</w:t>
                            </w:r>
                            <w:r>
                              <w:rPr>
                                <w:color w:val="000000"/>
                              </w:rPr>
                              <w:t>), it should be clear in looking at objectives, functions and safety duties in legislation that the long-term integrity and sustainability of assets is clearly part of the safety case regime and ESV’s regulatory remit.</w:t>
                            </w:r>
                          </w:p>
                        </w:txbxContent>
                      </wps:txbx>
                      <wps:bodyPr wrap="square" lIns="0" tIns="0" rIns="0" bIns="0" rtlCol="0">
                        <a:noAutofit/>
                      </wps:bodyPr>
                    </wps:wsp>
                  </a:graphicData>
                </a:graphic>
              </wp:inline>
            </w:drawing>
          </mc:Choice>
          <mc:Fallback>
            <w:pict>
              <v:shape style="width:462.25pt;height:190.95pt;mso-position-horizontal-relative:char;mso-position-vertical-relative:line" type="#_x0000_t202" id="docshape183" filled="true" fillcolor="#cdebeb" stroked="false">
                <w10:anchorlock/>
                <v:textbox inset="0,0,0,0">
                  <w:txbxContent>
                    <w:p>
                      <w:pPr>
                        <w:spacing w:line="288" w:lineRule="auto" w:before="0"/>
                        <w:ind w:left="566" w:right="543" w:firstLine="0"/>
                        <w:jc w:val="left"/>
                        <w:rPr>
                          <w:color w:val="000000"/>
                          <w:sz w:val="22"/>
                        </w:rPr>
                      </w:pPr>
                      <w:r>
                        <w:rPr>
                          <w:i/>
                          <w:color w:val="000000"/>
                          <w:sz w:val="22"/>
                        </w:rPr>
                        <w:t>“Further investment is necessary to test and challenge the major electricity companies’ asset and risk management practices as infrastructure ages and climatic conditions change. ESV will deploy people with specific expertise and experience</w:t>
                      </w:r>
                      <w:r>
                        <w:rPr>
                          <w:i/>
                          <w:color w:val="000000"/>
                          <w:spacing w:val="-5"/>
                          <w:sz w:val="22"/>
                        </w:rPr>
                        <w:t> </w:t>
                      </w:r>
                      <w:r>
                        <w:rPr>
                          <w:i/>
                          <w:color w:val="000000"/>
                          <w:sz w:val="22"/>
                        </w:rPr>
                        <w:t>to</w:t>
                      </w:r>
                      <w:r>
                        <w:rPr>
                          <w:i/>
                          <w:color w:val="000000"/>
                          <w:spacing w:val="-3"/>
                          <w:sz w:val="22"/>
                        </w:rPr>
                        <w:t> </w:t>
                      </w:r>
                      <w:r>
                        <w:rPr>
                          <w:i/>
                          <w:color w:val="000000"/>
                          <w:sz w:val="22"/>
                        </w:rPr>
                        <w:t>challenge</w:t>
                      </w:r>
                      <w:r>
                        <w:rPr>
                          <w:i/>
                          <w:color w:val="000000"/>
                          <w:spacing w:val="-5"/>
                          <w:sz w:val="22"/>
                        </w:rPr>
                        <w:t> </w:t>
                      </w:r>
                      <w:r>
                        <w:rPr>
                          <w:i/>
                          <w:color w:val="000000"/>
                          <w:sz w:val="22"/>
                        </w:rPr>
                        <w:t>the</w:t>
                      </w:r>
                      <w:r>
                        <w:rPr>
                          <w:i/>
                          <w:color w:val="000000"/>
                          <w:spacing w:val="-3"/>
                          <w:sz w:val="22"/>
                        </w:rPr>
                        <w:t> </w:t>
                      </w:r>
                      <w:r>
                        <w:rPr>
                          <w:i/>
                          <w:color w:val="000000"/>
                          <w:sz w:val="22"/>
                        </w:rPr>
                        <w:t>safety</w:t>
                      </w:r>
                      <w:r>
                        <w:rPr>
                          <w:i/>
                          <w:color w:val="000000"/>
                          <w:spacing w:val="-5"/>
                          <w:sz w:val="22"/>
                        </w:rPr>
                        <w:t> </w:t>
                      </w:r>
                      <w:r>
                        <w:rPr>
                          <w:i/>
                          <w:color w:val="000000"/>
                          <w:sz w:val="22"/>
                        </w:rPr>
                        <w:t>and</w:t>
                      </w:r>
                      <w:r>
                        <w:rPr>
                          <w:i/>
                          <w:color w:val="000000"/>
                          <w:spacing w:val="-3"/>
                          <w:sz w:val="22"/>
                        </w:rPr>
                        <w:t> </w:t>
                      </w:r>
                      <w:r>
                        <w:rPr>
                          <w:i/>
                          <w:color w:val="000000"/>
                          <w:sz w:val="22"/>
                        </w:rPr>
                        <w:t>sustainability</w:t>
                      </w:r>
                      <w:r>
                        <w:rPr>
                          <w:i/>
                          <w:color w:val="000000"/>
                          <w:spacing w:val="-2"/>
                          <w:sz w:val="22"/>
                        </w:rPr>
                        <w:t> </w:t>
                      </w:r>
                      <w:r>
                        <w:rPr>
                          <w:i/>
                          <w:color w:val="000000"/>
                          <w:sz w:val="22"/>
                        </w:rPr>
                        <w:t>of</w:t>
                      </w:r>
                      <w:r>
                        <w:rPr>
                          <w:i/>
                          <w:color w:val="000000"/>
                          <w:spacing w:val="-4"/>
                          <w:sz w:val="22"/>
                        </w:rPr>
                        <w:t> </w:t>
                      </w:r>
                      <w:r>
                        <w:rPr>
                          <w:i/>
                          <w:color w:val="000000"/>
                          <w:sz w:val="22"/>
                        </w:rPr>
                        <w:t>risk</w:t>
                      </w:r>
                      <w:r>
                        <w:rPr>
                          <w:i/>
                          <w:color w:val="000000"/>
                          <w:spacing w:val="-5"/>
                          <w:sz w:val="22"/>
                        </w:rPr>
                        <w:t> </w:t>
                      </w:r>
                      <w:r>
                        <w:rPr>
                          <w:i/>
                          <w:color w:val="000000"/>
                          <w:sz w:val="22"/>
                        </w:rPr>
                        <w:t>and</w:t>
                      </w:r>
                      <w:r>
                        <w:rPr>
                          <w:i/>
                          <w:color w:val="000000"/>
                          <w:spacing w:val="-3"/>
                          <w:sz w:val="22"/>
                        </w:rPr>
                        <w:t> </w:t>
                      </w:r>
                      <w:r>
                        <w:rPr>
                          <w:i/>
                          <w:color w:val="000000"/>
                          <w:sz w:val="22"/>
                        </w:rPr>
                        <w:t>asset</w:t>
                      </w:r>
                      <w:r>
                        <w:rPr>
                          <w:i/>
                          <w:color w:val="000000"/>
                          <w:spacing w:val="-4"/>
                          <w:sz w:val="22"/>
                        </w:rPr>
                        <w:t> </w:t>
                      </w:r>
                      <w:r>
                        <w:rPr>
                          <w:i/>
                          <w:color w:val="000000"/>
                          <w:sz w:val="22"/>
                        </w:rPr>
                        <w:t>management practices.” </w:t>
                      </w:r>
                      <w:r>
                        <w:rPr>
                          <w:color w:val="000000"/>
                          <w:sz w:val="22"/>
                        </w:rPr>
                        <w:t>(ESV, 2017, p. 7)</w:t>
                      </w:r>
                    </w:p>
                    <w:p>
                      <w:pPr>
                        <w:pStyle w:val="BodyText"/>
                        <w:spacing w:before="9"/>
                        <w:rPr>
                          <w:color w:val="000000"/>
                          <w:sz w:val="20"/>
                        </w:rPr>
                      </w:pPr>
                    </w:p>
                    <w:p>
                      <w:pPr>
                        <w:pStyle w:val="BodyText"/>
                        <w:spacing w:line="288" w:lineRule="auto"/>
                        <w:ind w:left="112" w:right="212"/>
                        <w:rPr>
                          <w:color w:val="000000"/>
                        </w:rPr>
                      </w:pPr>
                      <w:r>
                        <w:rPr>
                          <w:color w:val="000000"/>
                        </w:rPr>
                        <w:t>An increased focus on asset management should assist ESV when assessing and auditing safety</w:t>
                      </w:r>
                      <w:r>
                        <w:rPr>
                          <w:color w:val="000000"/>
                          <w:spacing w:val="-4"/>
                        </w:rPr>
                        <w:t> </w:t>
                      </w:r>
                      <w:r>
                        <w:rPr>
                          <w:color w:val="000000"/>
                        </w:rPr>
                        <w:t>cases,</w:t>
                      </w:r>
                      <w:r>
                        <w:rPr>
                          <w:color w:val="000000"/>
                          <w:spacing w:val="-4"/>
                        </w:rPr>
                        <w:t> </w:t>
                      </w:r>
                      <w:r>
                        <w:rPr>
                          <w:color w:val="000000"/>
                        </w:rPr>
                        <w:t>to</w:t>
                      </w:r>
                      <w:r>
                        <w:rPr>
                          <w:color w:val="000000"/>
                          <w:spacing w:val="-5"/>
                        </w:rPr>
                        <w:t> </w:t>
                      </w:r>
                      <w:r>
                        <w:rPr>
                          <w:color w:val="000000"/>
                        </w:rPr>
                        <w:t>ensure</w:t>
                      </w:r>
                      <w:r>
                        <w:rPr>
                          <w:color w:val="000000"/>
                          <w:spacing w:val="-5"/>
                        </w:rPr>
                        <w:t> </w:t>
                      </w:r>
                      <w:r>
                        <w:rPr>
                          <w:color w:val="000000"/>
                        </w:rPr>
                        <w:t>businesses</w:t>
                      </w:r>
                      <w:r>
                        <w:rPr>
                          <w:color w:val="000000"/>
                          <w:spacing w:val="-3"/>
                        </w:rPr>
                        <w:t> </w:t>
                      </w:r>
                      <w:r>
                        <w:rPr>
                          <w:color w:val="000000"/>
                        </w:rPr>
                        <w:t>are</w:t>
                      </w:r>
                      <w:r>
                        <w:rPr>
                          <w:color w:val="000000"/>
                          <w:spacing w:val="-5"/>
                        </w:rPr>
                        <w:t> </w:t>
                      </w:r>
                      <w:r>
                        <w:rPr>
                          <w:color w:val="000000"/>
                        </w:rPr>
                        <w:t>adequately</w:t>
                      </w:r>
                      <w:r>
                        <w:rPr>
                          <w:color w:val="000000"/>
                          <w:spacing w:val="-5"/>
                        </w:rPr>
                        <w:t> </w:t>
                      </w:r>
                      <w:r>
                        <w:rPr>
                          <w:color w:val="000000"/>
                        </w:rPr>
                        <w:t>addressing</w:t>
                      </w:r>
                      <w:r>
                        <w:rPr>
                          <w:color w:val="000000"/>
                          <w:spacing w:val="-3"/>
                        </w:rPr>
                        <w:t> </w:t>
                      </w:r>
                      <w:r>
                        <w:rPr>
                          <w:color w:val="000000"/>
                        </w:rPr>
                        <w:t>long-term</w:t>
                      </w:r>
                      <w:r>
                        <w:rPr>
                          <w:color w:val="000000"/>
                          <w:spacing w:val="-2"/>
                        </w:rPr>
                        <w:t> </w:t>
                      </w:r>
                      <w:r>
                        <w:rPr>
                          <w:color w:val="000000"/>
                        </w:rPr>
                        <w:t>safety.</w:t>
                      </w:r>
                      <w:r>
                        <w:rPr>
                          <w:color w:val="000000"/>
                          <w:spacing w:val="-4"/>
                        </w:rPr>
                        <w:t> </w:t>
                      </w:r>
                      <w:r>
                        <w:rPr>
                          <w:color w:val="000000"/>
                        </w:rPr>
                        <w:t>In</w:t>
                      </w:r>
                      <w:r>
                        <w:rPr>
                          <w:color w:val="000000"/>
                          <w:spacing w:val="-3"/>
                        </w:rPr>
                        <w:t> </w:t>
                      </w:r>
                      <w:r>
                        <w:rPr>
                          <w:color w:val="000000"/>
                        </w:rPr>
                        <w:t>addition, (and</w:t>
                      </w:r>
                      <w:r>
                        <w:rPr>
                          <w:color w:val="000000"/>
                          <w:spacing w:val="-1"/>
                        </w:rPr>
                        <w:t> </w:t>
                      </w:r>
                      <w:r>
                        <w:rPr>
                          <w:color w:val="000000"/>
                        </w:rPr>
                        <w:t>as</w:t>
                      </w:r>
                      <w:r>
                        <w:rPr>
                          <w:color w:val="000000"/>
                          <w:spacing w:val="-3"/>
                        </w:rPr>
                        <w:t> </w:t>
                      </w:r>
                      <w:r>
                        <w:rPr>
                          <w:color w:val="000000"/>
                        </w:rPr>
                        <w:t>discussed</w:t>
                      </w:r>
                      <w:r>
                        <w:rPr>
                          <w:color w:val="000000"/>
                          <w:spacing w:val="-3"/>
                        </w:rPr>
                        <w:t> </w:t>
                      </w:r>
                      <w:r>
                        <w:rPr>
                          <w:color w:val="000000"/>
                        </w:rPr>
                        <w:t>in </w:t>
                      </w:r>
                      <w:r>
                        <w:rPr>
                          <w:i/>
                          <w:color w:val="000000"/>
                        </w:rPr>
                        <w:t>Chapter</w:t>
                      </w:r>
                      <w:r>
                        <w:rPr>
                          <w:i/>
                          <w:color w:val="000000"/>
                          <w:spacing w:val="-2"/>
                        </w:rPr>
                        <w:t> </w:t>
                      </w:r>
                      <w:r>
                        <w:rPr>
                          <w:i/>
                          <w:color w:val="000000"/>
                        </w:rPr>
                        <w:t>4:</w:t>
                      </w:r>
                      <w:r>
                        <w:rPr>
                          <w:i/>
                          <w:color w:val="000000"/>
                          <w:spacing w:val="-1"/>
                        </w:rPr>
                        <w:t> </w:t>
                      </w:r>
                      <w:r>
                        <w:rPr>
                          <w:i/>
                          <w:color w:val="000000"/>
                        </w:rPr>
                        <w:t>Integrating</w:t>
                      </w:r>
                      <w:r>
                        <w:rPr>
                          <w:i/>
                          <w:color w:val="000000"/>
                          <w:spacing w:val="-1"/>
                        </w:rPr>
                        <w:t> </w:t>
                      </w:r>
                      <w:r>
                        <w:rPr>
                          <w:i/>
                          <w:color w:val="000000"/>
                        </w:rPr>
                        <w:t>Safety Regulation</w:t>
                      </w:r>
                      <w:r>
                        <w:rPr>
                          <w:i/>
                          <w:color w:val="000000"/>
                          <w:spacing w:val="-3"/>
                        </w:rPr>
                        <w:t> </w:t>
                      </w:r>
                      <w:r>
                        <w:rPr>
                          <w:i/>
                          <w:color w:val="000000"/>
                        </w:rPr>
                        <w:t>with</w:t>
                      </w:r>
                      <w:r>
                        <w:rPr>
                          <w:i/>
                          <w:color w:val="000000"/>
                          <w:spacing w:val="-1"/>
                        </w:rPr>
                        <w:t> </w:t>
                      </w:r>
                      <w:r>
                        <w:rPr>
                          <w:i/>
                          <w:color w:val="000000"/>
                        </w:rPr>
                        <w:t>Economic Regulation</w:t>
                      </w:r>
                      <w:r>
                        <w:rPr>
                          <w:color w:val="000000"/>
                        </w:rPr>
                        <w:t>), it should be clear in looking at objectives, functions and safety duties in legislation that the long-term integrity and sustainability of assets is clearly part of the safety case regime and ESV’s regulatory remit.</w:t>
                      </w:r>
                    </w:p>
                  </w:txbxContent>
                </v:textbox>
                <v:fill type="solid"/>
              </v:shape>
            </w:pict>
          </mc:Fallback>
        </mc:AlternateContent>
      </w:r>
      <w:r>
        <w:rPr>
          <w:sz w:val="20"/>
        </w:rPr>
      </w:r>
    </w:p>
    <w:p>
      <w:pPr>
        <w:pStyle w:val="BodyText"/>
        <w:rPr>
          <w:sz w:val="20"/>
        </w:rPr>
      </w:pPr>
    </w:p>
    <w:p>
      <w:pPr>
        <w:pStyle w:val="BodyText"/>
        <w:spacing w:before="5"/>
        <w:rPr>
          <w:sz w:val="23"/>
        </w:rPr>
      </w:pPr>
      <w:r>
        <w:rPr/>
        <mc:AlternateContent>
          <mc:Choice Requires="wps">
            <w:drawing>
              <wp:anchor distT="0" distB="0" distL="0" distR="0" allowOverlap="1" layoutInCell="1" locked="0" behindDoc="1" simplePos="0" relativeHeight="487665152">
                <wp:simplePos x="0" y="0"/>
                <wp:positionH relativeFrom="page">
                  <wp:posOffset>719327</wp:posOffset>
                </wp:positionH>
                <wp:positionV relativeFrom="paragraph">
                  <wp:posOffset>186575</wp:posOffset>
                </wp:positionV>
                <wp:extent cx="5870575" cy="1998345"/>
                <wp:effectExtent l="0" t="0" r="0" b="0"/>
                <wp:wrapTopAndBottom/>
                <wp:docPr id="215" name="Textbox 215"/>
                <wp:cNvGraphicFramePr>
                  <a:graphicFrameLocks/>
                </wp:cNvGraphicFramePr>
                <a:graphic>
                  <a:graphicData uri="http://schemas.microsoft.com/office/word/2010/wordprocessingShape">
                    <wps:wsp>
                      <wps:cNvPr id="215" name="Textbox 215"/>
                      <wps:cNvSpPr txBox="1"/>
                      <wps:spPr>
                        <a:xfrm>
                          <a:off x="0" y="0"/>
                          <a:ext cx="5870575" cy="1998345"/>
                        </a:xfrm>
                        <a:prstGeom prst="rect">
                          <a:avLst/>
                        </a:prstGeom>
                        <a:solidFill>
                          <a:srgbClr val="D9D9D9"/>
                        </a:solidFill>
                      </wps:spPr>
                      <wps:txbx>
                        <w:txbxContent>
                          <w:p>
                            <w:pPr>
                              <w:pStyle w:val="BodyText"/>
                              <w:spacing w:before="10"/>
                              <w:rPr>
                                <w:color w:val="000000"/>
                                <w:sz w:val="20"/>
                              </w:rPr>
                            </w:pPr>
                          </w:p>
                          <w:p>
                            <w:pPr>
                              <w:spacing w:before="0"/>
                              <w:ind w:left="112" w:right="0" w:firstLine="0"/>
                              <w:jc w:val="left"/>
                              <w:rPr>
                                <w:b/>
                                <w:color w:val="000000"/>
                                <w:sz w:val="22"/>
                              </w:rPr>
                            </w:pPr>
                            <w:r>
                              <w:rPr>
                                <w:b/>
                                <w:color w:val="000000"/>
                                <w:sz w:val="22"/>
                              </w:rPr>
                              <w:t>Recommendation</w:t>
                            </w:r>
                            <w:r>
                              <w:rPr>
                                <w:b/>
                                <w:color w:val="000000"/>
                                <w:spacing w:val="-6"/>
                                <w:sz w:val="22"/>
                              </w:rPr>
                              <w:t> </w:t>
                            </w:r>
                            <w:r>
                              <w:rPr>
                                <w:b/>
                                <w:color w:val="000000"/>
                                <w:spacing w:val="-5"/>
                                <w:sz w:val="22"/>
                              </w:rPr>
                              <w:t>37</w:t>
                            </w:r>
                          </w:p>
                          <w:p>
                            <w:pPr>
                              <w:pStyle w:val="BodyText"/>
                              <w:spacing w:before="2"/>
                              <w:rPr>
                                <w:b/>
                                <w:color w:val="000000"/>
                                <w:sz w:val="25"/>
                              </w:rPr>
                            </w:pPr>
                          </w:p>
                          <w:p>
                            <w:pPr>
                              <w:pStyle w:val="BodyText"/>
                              <w:spacing w:line="288" w:lineRule="auto"/>
                              <w:ind w:left="112" w:right="115"/>
                              <w:rPr>
                                <w:color w:val="000000"/>
                              </w:rPr>
                            </w:pPr>
                            <w:r>
                              <w:rPr>
                                <w:color w:val="000000"/>
                              </w:rPr>
                              <w:t>The consolidated energy safety legislation should provide consistent foundations for the safety case regime in the regulation of electricity and gas network safety. The legislation should make it clear that safety case based regulation must be supported by detailed systems</w:t>
                            </w:r>
                            <w:r>
                              <w:rPr>
                                <w:color w:val="000000"/>
                                <w:spacing w:val="-2"/>
                              </w:rPr>
                              <w:t> </w:t>
                            </w:r>
                            <w:r>
                              <w:rPr>
                                <w:color w:val="000000"/>
                              </w:rPr>
                              <w:t>and</w:t>
                            </w:r>
                            <w:r>
                              <w:rPr>
                                <w:color w:val="000000"/>
                                <w:spacing w:val="-5"/>
                              </w:rPr>
                              <w:t> </w:t>
                            </w:r>
                            <w:r>
                              <w:rPr>
                                <w:color w:val="000000"/>
                              </w:rPr>
                              <w:t>prescribed</w:t>
                            </w:r>
                            <w:r>
                              <w:rPr>
                                <w:color w:val="000000"/>
                                <w:spacing w:val="-5"/>
                              </w:rPr>
                              <w:t> </w:t>
                            </w:r>
                            <w:r>
                              <w:rPr>
                                <w:color w:val="000000"/>
                              </w:rPr>
                              <w:t>standards</w:t>
                            </w:r>
                            <w:r>
                              <w:rPr>
                                <w:color w:val="000000"/>
                                <w:spacing w:val="-5"/>
                              </w:rPr>
                              <w:t> </w:t>
                            </w:r>
                            <w:r>
                              <w:rPr>
                                <w:color w:val="000000"/>
                              </w:rPr>
                              <w:t>applied</w:t>
                            </w:r>
                            <w:r>
                              <w:rPr>
                                <w:color w:val="000000"/>
                                <w:spacing w:val="-3"/>
                              </w:rPr>
                              <w:t> </w:t>
                            </w:r>
                            <w:r>
                              <w:rPr>
                                <w:color w:val="000000"/>
                              </w:rPr>
                              <w:t>within</w:t>
                            </w:r>
                            <w:r>
                              <w:rPr>
                                <w:color w:val="000000"/>
                                <w:spacing w:val="-3"/>
                              </w:rPr>
                              <w:t> </w:t>
                            </w:r>
                            <w:r>
                              <w:rPr>
                                <w:color w:val="000000"/>
                              </w:rPr>
                              <w:t>network</w:t>
                            </w:r>
                            <w:r>
                              <w:rPr>
                                <w:color w:val="000000"/>
                                <w:spacing w:val="-2"/>
                              </w:rPr>
                              <w:t> </w:t>
                            </w:r>
                            <w:r>
                              <w:rPr>
                                <w:color w:val="000000"/>
                              </w:rPr>
                              <w:t>businesses.</w:t>
                            </w:r>
                            <w:r>
                              <w:rPr>
                                <w:color w:val="000000"/>
                                <w:spacing w:val="-4"/>
                              </w:rPr>
                              <w:t> </w:t>
                            </w:r>
                            <w:r>
                              <w:rPr>
                                <w:color w:val="000000"/>
                              </w:rPr>
                              <w:t>It</w:t>
                            </w:r>
                            <w:r>
                              <w:rPr>
                                <w:color w:val="000000"/>
                                <w:spacing w:val="-4"/>
                              </w:rPr>
                              <w:t> </w:t>
                            </w:r>
                            <w:r>
                              <w:rPr>
                                <w:color w:val="000000"/>
                              </w:rPr>
                              <w:t>should</w:t>
                            </w:r>
                            <w:r>
                              <w:rPr>
                                <w:color w:val="000000"/>
                                <w:spacing w:val="-3"/>
                              </w:rPr>
                              <w:t> </w:t>
                            </w:r>
                            <w:r>
                              <w:rPr>
                                <w:color w:val="000000"/>
                              </w:rPr>
                              <w:t>also</w:t>
                            </w:r>
                            <w:r>
                              <w:rPr>
                                <w:color w:val="000000"/>
                                <w:spacing w:val="-3"/>
                              </w:rPr>
                              <w:t> </w:t>
                            </w:r>
                            <w:r>
                              <w:rPr>
                                <w:color w:val="000000"/>
                              </w:rPr>
                              <w:t>be</w:t>
                            </w:r>
                            <w:r>
                              <w:rPr>
                                <w:color w:val="000000"/>
                                <w:spacing w:val="-3"/>
                              </w:rPr>
                              <w:t> </w:t>
                            </w:r>
                            <w:r>
                              <w:rPr>
                                <w:color w:val="000000"/>
                              </w:rPr>
                              <w:t>clear from ESV’s objectives, functions, and business’ safety duties that long-term asset integrity and sustainability are encompassed within the safety case regime and ESV’s regulatory </w:t>
                            </w:r>
                            <w:r>
                              <w:rPr>
                                <w:color w:val="000000"/>
                                <w:spacing w:val="-2"/>
                              </w:rPr>
                              <w:t>remit.</w:t>
                            </w:r>
                          </w:p>
                        </w:txbxContent>
                      </wps:txbx>
                      <wps:bodyPr wrap="square" lIns="0" tIns="0" rIns="0" bIns="0" rtlCol="0">
                        <a:noAutofit/>
                      </wps:bodyPr>
                    </wps:wsp>
                  </a:graphicData>
                </a:graphic>
              </wp:anchor>
            </w:drawing>
          </mc:Choice>
          <mc:Fallback>
            <w:pict>
              <v:shape style="position:absolute;margin-left:56.639999pt;margin-top:14.690976pt;width:462.25pt;height:157.35pt;mso-position-horizontal-relative:page;mso-position-vertical-relative:paragraph;z-index:-15651328;mso-wrap-distance-left:0;mso-wrap-distance-right:0" type="#_x0000_t202" id="docshape184" filled="true" fillcolor="#d9d9d9" stroked="false">
                <v:textbox inset="0,0,0,0">
                  <w:txbxContent>
                    <w:p>
                      <w:pPr>
                        <w:pStyle w:val="BodyText"/>
                        <w:spacing w:before="10"/>
                        <w:rPr>
                          <w:color w:val="000000"/>
                          <w:sz w:val="20"/>
                        </w:rPr>
                      </w:pPr>
                    </w:p>
                    <w:p>
                      <w:pPr>
                        <w:spacing w:before="0"/>
                        <w:ind w:left="112" w:right="0" w:firstLine="0"/>
                        <w:jc w:val="left"/>
                        <w:rPr>
                          <w:b/>
                          <w:color w:val="000000"/>
                          <w:sz w:val="22"/>
                        </w:rPr>
                      </w:pPr>
                      <w:r>
                        <w:rPr>
                          <w:b/>
                          <w:color w:val="000000"/>
                          <w:sz w:val="22"/>
                        </w:rPr>
                        <w:t>Recommendation</w:t>
                      </w:r>
                      <w:r>
                        <w:rPr>
                          <w:b/>
                          <w:color w:val="000000"/>
                          <w:spacing w:val="-6"/>
                          <w:sz w:val="22"/>
                        </w:rPr>
                        <w:t> </w:t>
                      </w:r>
                      <w:r>
                        <w:rPr>
                          <w:b/>
                          <w:color w:val="000000"/>
                          <w:spacing w:val="-5"/>
                          <w:sz w:val="22"/>
                        </w:rPr>
                        <w:t>37</w:t>
                      </w:r>
                    </w:p>
                    <w:p>
                      <w:pPr>
                        <w:pStyle w:val="BodyText"/>
                        <w:spacing w:before="2"/>
                        <w:rPr>
                          <w:b/>
                          <w:color w:val="000000"/>
                          <w:sz w:val="25"/>
                        </w:rPr>
                      </w:pPr>
                    </w:p>
                    <w:p>
                      <w:pPr>
                        <w:pStyle w:val="BodyText"/>
                        <w:spacing w:line="288" w:lineRule="auto"/>
                        <w:ind w:left="112" w:right="115"/>
                        <w:rPr>
                          <w:color w:val="000000"/>
                        </w:rPr>
                      </w:pPr>
                      <w:r>
                        <w:rPr>
                          <w:color w:val="000000"/>
                        </w:rPr>
                        <w:t>The consolidated energy safety legislation should provide consistent foundations for the safety case regime in the regulation of electricity and gas network safety. The legislation should make it clear that safety case based regulation must be supported by detailed systems</w:t>
                      </w:r>
                      <w:r>
                        <w:rPr>
                          <w:color w:val="000000"/>
                          <w:spacing w:val="-2"/>
                        </w:rPr>
                        <w:t> </w:t>
                      </w:r>
                      <w:r>
                        <w:rPr>
                          <w:color w:val="000000"/>
                        </w:rPr>
                        <w:t>and</w:t>
                      </w:r>
                      <w:r>
                        <w:rPr>
                          <w:color w:val="000000"/>
                          <w:spacing w:val="-5"/>
                        </w:rPr>
                        <w:t> </w:t>
                      </w:r>
                      <w:r>
                        <w:rPr>
                          <w:color w:val="000000"/>
                        </w:rPr>
                        <w:t>prescribed</w:t>
                      </w:r>
                      <w:r>
                        <w:rPr>
                          <w:color w:val="000000"/>
                          <w:spacing w:val="-5"/>
                        </w:rPr>
                        <w:t> </w:t>
                      </w:r>
                      <w:r>
                        <w:rPr>
                          <w:color w:val="000000"/>
                        </w:rPr>
                        <w:t>standards</w:t>
                      </w:r>
                      <w:r>
                        <w:rPr>
                          <w:color w:val="000000"/>
                          <w:spacing w:val="-5"/>
                        </w:rPr>
                        <w:t> </w:t>
                      </w:r>
                      <w:r>
                        <w:rPr>
                          <w:color w:val="000000"/>
                        </w:rPr>
                        <w:t>applied</w:t>
                      </w:r>
                      <w:r>
                        <w:rPr>
                          <w:color w:val="000000"/>
                          <w:spacing w:val="-3"/>
                        </w:rPr>
                        <w:t> </w:t>
                      </w:r>
                      <w:r>
                        <w:rPr>
                          <w:color w:val="000000"/>
                        </w:rPr>
                        <w:t>within</w:t>
                      </w:r>
                      <w:r>
                        <w:rPr>
                          <w:color w:val="000000"/>
                          <w:spacing w:val="-3"/>
                        </w:rPr>
                        <w:t> </w:t>
                      </w:r>
                      <w:r>
                        <w:rPr>
                          <w:color w:val="000000"/>
                        </w:rPr>
                        <w:t>network</w:t>
                      </w:r>
                      <w:r>
                        <w:rPr>
                          <w:color w:val="000000"/>
                          <w:spacing w:val="-2"/>
                        </w:rPr>
                        <w:t> </w:t>
                      </w:r>
                      <w:r>
                        <w:rPr>
                          <w:color w:val="000000"/>
                        </w:rPr>
                        <w:t>businesses.</w:t>
                      </w:r>
                      <w:r>
                        <w:rPr>
                          <w:color w:val="000000"/>
                          <w:spacing w:val="-4"/>
                        </w:rPr>
                        <w:t> </w:t>
                      </w:r>
                      <w:r>
                        <w:rPr>
                          <w:color w:val="000000"/>
                        </w:rPr>
                        <w:t>It</w:t>
                      </w:r>
                      <w:r>
                        <w:rPr>
                          <w:color w:val="000000"/>
                          <w:spacing w:val="-4"/>
                        </w:rPr>
                        <w:t> </w:t>
                      </w:r>
                      <w:r>
                        <w:rPr>
                          <w:color w:val="000000"/>
                        </w:rPr>
                        <w:t>should</w:t>
                      </w:r>
                      <w:r>
                        <w:rPr>
                          <w:color w:val="000000"/>
                          <w:spacing w:val="-3"/>
                        </w:rPr>
                        <w:t> </w:t>
                      </w:r>
                      <w:r>
                        <w:rPr>
                          <w:color w:val="000000"/>
                        </w:rPr>
                        <w:t>also</w:t>
                      </w:r>
                      <w:r>
                        <w:rPr>
                          <w:color w:val="000000"/>
                          <w:spacing w:val="-3"/>
                        </w:rPr>
                        <w:t> </w:t>
                      </w:r>
                      <w:r>
                        <w:rPr>
                          <w:color w:val="000000"/>
                        </w:rPr>
                        <w:t>be</w:t>
                      </w:r>
                      <w:r>
                        <w:rPr>
                          <w:color w:val="000000"/>
                          <w:spacing w:val="-3"/>
                        </w:rPr>
                        <w:t> </w:t>
                      </w:r>
                      <w:r>
                        <w:rPr>
                          <w:color w:val="000000"/>
                        </w:rPr>
                        <w:t>clear from ESV’s objectives, functions, and business’ safety duties that long-term asset integrity and sustainability are encompassed within the safety case regime and ESV’s regulatory </w:t>
                      </w:r>
                      <w:r>
                        <w:rPr>
                          <w:color w:val="000000"/>
                          <w:spacing w:val="-2"/>
                        </w:rPr>
                        <w:t>remit.</w:t>
                      </w:r>
                    </w:p>
                  </w:txbxContent>
                </v:textbox>
                <v:fill type="solid"/>
                <w10:wrap type="topAndBottom"/>
              </v:shape>
            </w:pict>
          </mc:Fallback>
        </mc:AlternateContent>
      </w:r>
    </w:p>
    <w:p>
      <w:pPr>
        <w:pStyle w:val="BodyText"/>
        <w:spacing w:before="6"/>
        <w:rPr>
          <w:sz w:val="23"/>
        </w:rPr>
      </w:pPr>
    </w:p>
    <w:p>
      <w:pPr>
        <w:pStyle w:val="Heading4"/>
      </w:pPr>
      <w:r>
        <w:rPr>
          <w:color w:val="585858"/>
        </w:rPr>
        <w:t>Other</w:t>
      </w:r>
      <w:r>
        <w:rPr>
          <w:color w:val="585858"/>
          <w:spacing w:val="-13"/>
        </w:rPr>
        <w:t> </w:t>
      </w:r>
      <w:r>
        <w:rPr>
          <w:color w:val="585858"/>
          <w:spacing w:val="-2"/>
        </w:rPr>
        <w:t>improvements</w:t>
      </w:r>
    </w:p>
    <w:p>
      <w:pPr>
        <w:pStyle w:val="BodyText"/>
        <w:spacing w:line="288" w:lineRule="auto" w:before="314"/>
        <w:ind w:left="232" w:right="374"/>
      </w:pPr>
      <w:r>
        <w:rPr/>
        <w:t>In preparing consolidated legislation, consideration should be given to any areas where existing requirements could be streamlined or made to operate more effectively. This includes simplifying the</w:t>
      </w:r>
      <w:r>
        <w:rPr>
          <w:spacing w:val="-3"/>
        </w:rPr>
        <w:t> </w:t>
      </w:r>
      <w:r>
        <w:rPr/>
        <w:t>legislation</w:t>
      </w:r>
      <w:r>
        <w:rPr>
          <w:spacing w:val="-3"/>
        </w:rPr>
        <w:t> </w:t>
      </w:r>
      <w:r>
        <w:rPr/>
        <w:t>and</w:t>
      </w:r>
      <w:r>
        <w:rPr>
          <w:spacing w:val="-5"/>
        </w:rPr>
        <w:t> </w:t>
      </w:r>
      <w:r>
        <w:rPr/>
        <w:t>reducing</w:t>
      </w:r>
      <w:r>
        <w:rPr>
          <w:spacing w:val="-3"/>
        </w:rPr>
        <w:t> </w:t>
      </w:r>
      <w:r>
        <w:rPr/>
        <w:t>administrative</w:t>
      </w:r>
      <w:r>
        <w:rPr>
          <w:spacing w:val="-3"/>
        </w:rPr>
        <w:t> </w:t>
      </w:r>
      <w:r>
        <w:rPr/>
        <w:t>burden</w:t>
      </w:r>
      <w:r>
        <w:rPr>
          <w:spacing w:val="-5"/>
        </w:rPr>
        <w:t> </w:t>
      </w:r>
      <w:r>
        <w:rPr/>
        <w:t>where</w:t>
      </w:r>
      <w:r>
        <w:rPr>
          <w:spacing w:val="-3"/>
        </w:rPr>
        <w:t> </w:t>
      </w:r>
      <w:r>
        <w:rPr/>
        <w:t>appropriate,</w:t>
      </w:r>
      <w:r>
        <w:rPr>
          <w:spacing w:val="-6"/>
        </w:rPr>
        <w:t> </w:t>
      </w:r>
      <w:r>
        <w:rPr/>
        <w:t>for</w:t>
      </w:r>
      <w:r>
        <w:rPr>
          <w:spacing w:val="-2"/>
        </w:rPr>
        <w:t> </w:t>
      </w:r>
      <w:r>
        <w:rPr/>
        <w:t>example,</w:t>
      </w:r>
      <w:r>
        <w:rPr>
          <w:spacing w:val="-2"/>
        </w:rPr>
        <w:t> </w:t>
      </w:r>
      <w:r>
        <w:rPr/>
        <w:t>integrating</w:t>
      </w:r>
      <w:r>
        <w:rPr>
          <w:spacing w:val="-3"/>
        </w:rPr>
        <w:t> </w:t>
      </w:r>
      <w:r>
        <w:rPr/>
        <w:t>the Code of Practice for Electric Line Clearance into the </w:t>
      </w:r>
      <w:r>
        <w:rPr>
          <w:i/>
        </w:rPr>
        <w:t>Electricity Safety (Electric Line Clearance) Regulations 2015 </w:t>
      </w:r>
      <w:r>
        <w:rPr/>
        <w:t>rather than it existing as schedules, and setting the expiry period for the regulations to ten years rather than five.</w:t>
      </w:r>
    </w:p>
    <w:p>
      <w:pPr>
        <w:pStyle w:val="BodyText"/>
        <w:spacing w:before="10"/>
        <w:rPr>
          <w:sz w:val="20"/>
        </w:rPr>
      </w:pPr>
    </w:p>
    <w:p>
      <w:pPr>
        <w:pStyle w:val="BodyText"/>
        <w:spacing w:line="288" w:lineRule="auto"/>
        <w:ind w:left="232" w:right="286"/>
        <w:rPr>
          <w:i/>
        </w:rPr>
      </w:pPr>
      <w:r>
        <w:rPr/>
        <w:t>Another measure that may increase efficiency is sequencing the expiry of relevant regulations to occur in advance of Electricity Distribution Price Reviews and Gas Access Arrangement Reviews. This</w:t>
      </w:r>
      <w:r>
        <w:rPr>
          <w:spacing w:val="-1"/>
        </w:rPr>
        <w:t> </w:t>
      </w:r>
      <w:r>
        <w:rPr/>
        <w:t>would</w:t>
      </w:r>
      <w:r>
        <w:rPr>
          <w:spacing w:val="-2"/>
        </w:rPr>
        <w:t> </w:t>
      </w:r>
      <w:r>
        <w:rPr/>
        <w:t>allow</w:t>
      </w:r>
      <w:r>
        <w:rPr>
          <w:spacing w:val="-4"/>
        </w:rPr>
        <w:t> </w:t>
      </w:r>
      <w:r>
        <w:rPr/>
        <w:t>businesses</w:t>
      </w:r>
      <w:r>
        <w:rPr>
          <w:spacing w:val="-2"/>
        </w:rPr>
        <w:t> </w:t>
      </w:r>
      <w:r>
        <w:rPr/>
        <w:t>to</w:t>
      </w:r>
      <w:r>
        <w:rPr>
          <w:spacing w:val="-3"/>
        </w:rPr>
        <w:t> </w:t>
      </w:r>
      <w:r>
        <w:rPr/>
        <w:t>take</w:t>
      </w:r>
      <w:r>
        <w:rPr>
          <w:spacing w:val="-2"/>
        </w:rPr>
        <w:t> </w:t>
      </w:r>
      <w:r>
        <w:rPr/>
        <w:t>into</w:t>
      </w:r>
      <w:r>
        <w:rPr>
          <w:spacing w:val="-3"/>
        </w:rPr>
        <w:t> </w:t>
      </w:r>
      <w:r>
        <w:rPr/>
        <w:t>account</w:t>
      </w:r>
      <w:r>
        <w:rPr>
          <w:spacing w:val="-3"/>
        </w:rPr>
        <w:t> </w:t>
      </w:r>
      <w:r>
        <w:rPr/>
        <w:t>any</w:t>
      </w:r>
      <w:r>
        <w:rPr>
          <w:spacing w:val="-3"/>
        </w:rPr>
        <w:t> </w:t>
      </w:r>
      <w:r>
        <w:rPr/>
        <w:t>changes</w:t>
      </w:r>
      <w:r>
        <w:rPr>
          <w:spacing w:val="-3"/>
        </w:rPr>
        <w:t> </w:t>
      </w:r>
      <w:r>
        <w:rPr/>
        <w:t>to</w:t>
      </w:r>
      <w:r>
        <w:rPr>
          <w:spacing w:val="-3"/>
        </w:rPr>
        <w:t> </w:t>
      </w:r>
      <w:r>
        <w:rPr/>
        <w:t>regulations,</w:t>
      </w:r>
      <w:r>
        <w:rPr>
          <w:spacing w:val="-3"/>
        </w:rPr>
        <w:t> </w:t>
      </w:r>
      <w:r>
        <w:rPr/>
        <w:t>reducing</w:t>
      </w:r>
      <w:r>
        <w:rPr>
          <w:spacing w:val="-2"/>
        </w:rPr>
        <w:t> </w:t>
      </w:r>
      <w:r>
        <w:rPr/>
        <w:t>the</w:t>
      </w:r>
      <w:r>
        <w:rPr>
          <w:spacing w:val="-2"/>
        </w:rPr>
        <w:t> </w:t>
      </w:r>
      <w:r>
        <w:rPr/>
        <w:t>need</w:t>
      </w:r>
      <w:r>
        <w:rPr>
          <w:spacing w:val="-6"/>
        </w:rPr>
        <w:t> </w:t>
      </w:r>
      <w:r>
        <w:rPr/>
        <w:t>for additional applications between review cycles. The misalignment was identified as problematic by CitiPower and Powercor Australia in its submission (CitiPower &amp; Powercor Australia, 2017)</w:t>
      </w:r>
      <w:r>
        <w:rPr>
          <w:i/>
        </w:rPr>
        <w:t>.</w:t>
      </w:r>
    </w:p>
    <w:p>
      <w:pPr>
        <w:pStyle w:val="BodyText"/>
        <w:spacing w:before="1"/>
        <w:rPr>
          <w:i/>
          <w:sz w:val="21"/>
        </w:rPr>
      </w:pPr>
    </w:p>
    <w:p>
      <w:pPr>
        <w:pStyle w:val="BodyText"/>
        <w:spacing w:line="288" w:lineRule="auto"/>
        <w:ind w:left="232"/>
      </w:pPr>
      <w:r>
        <w:rPr/>
        <w:t>The establishment of ESV as a commission (recommended in </w:t>
      </w:r>
      <w:r>
        <w:rPr>
          <w:i/>
        </w:rPr>
        <w:t>Chapter 1: ESV’s Regulatory and Corporate</w:t>
      </w:r>
      <w:r>
        <w:rPr>
          <w:i/>
          <w:spacing w:val="-6"/>
        </w:rPr>
        <w:t> </w:t>
      </w:r>
      <w:r>
        <w:rPr>
          <w:i/>
        </w:rPr>
        <w:t>Governance</w:t>
      </w:r>
      <w:r>
        <w:rPr/>
        <w:t>)</w:t>
      </w:r>
      <w:r>
        <w:rPr>
          <w:spacing w:val="-3"/>
        </w:rPr>
        <w:t> </w:t>
      </w:r>
      <w:r>
        <w:rPr/>
        <w:t>should</w:t>
      </w:r>
      <w:r>
        <w:rPr>
          <w:spacing w:val="-2"/>
        </w:rPr>
        <w:t> </w:t>
      </w:r>
      <w:r>
        <w:rPr/>
        <w:t>also</w:t>
      </w:r>
      <w:r>
        <w:rPr>
          <w:spacing w:val="-2"/>
        </w:rPr>
        <w:t> </w:t>
      </w:r>
      <w:r>
        <w:rPr/>
        <w:t>allow</w:t>
      </w:r>
      <w:r>
        <w:rPr>
          <w:spacing w:val="-5"/>
        </w:rPr>
        <w:t> </w:t>
      </w:r>
      <w:r>
        <w:rPr/>
        <w:t>the</w:t>
      </w:r>
      <w:r>
        <w:rPr>
          <w:spacing w:val="-2"/>
        </w:rPr>
        <w:t> </w:t>
      </w:r>
      <w:r>
        <w:rPr/>
        <w:t>assignment of</w:t>
      </w:r>
      <w:r>
        <w:rPr>
          <w:spacing w:val="-3"/>
        </w:rPr>
        <w:t> </w:t>
      </w:r>
      <w:r>
        <w:rPr/>
        <w:t>full</w:t>
      </w:r>
      <w:r>
        <w:rPr>
          <w:spacing w:val="-2"/>
        </w:rPr>
        <w:t> </w:t>
      </w:r>
      <w:r>
        <w:rPr/>
        <w:t>accountability</w:t>
      </w:r>
      <w:r>
        <w:rPr>
          <w:spacing w:val="-4"/>
        </w:rPr>
        <w:t> </w:t>
      </w:r>
      <w:r>
        <w:rPr/>
        <w:t>for</w:t>
      </w:r>
      <w:r>
        <w:rPr>
          <w:spacing w:val="-3"/>
        </w:rPr>
        <w:t> </w:t>
      </w:r>
      <w:r>
        <w:rPr/>
        <w:t>administering</w:t>
      </w:r>
      <w:r>
        <w:rPr>
          <w:spacing w:val="-4"/>
        </w:rPr>
        <w:t> </w:t>
      </w:r>
      <w:r>
        <w:rPr/>
        <w:t>the civil</w:t>
      </w:r>
      <w:r>
        <w:rPr>
          <w:spacing w:val="-2"/>
        </w:rPr>
        <w:t> </w:t>
      </w:r>
      <w:r>
        <w:rPr/>
        <w:t>penalties</w:t>
      </w:r>
      <w:r>
        <w:rPr>
          <w:spacing w:val="-2"/>
        </w:rPr>
        <w:t> </w:t>
      </w:r>
      <w:r>
        <w:rPr/>
        <w:t>scheme</w:t>
      </w:r>
      <w:r>
        <w:rPr>
          <w:spacing w:val="-4"/>
        </w:rPr>
        <w:t> </w:t>
      </w:r>
      <w:r>
        <w:rPr/>
        <w:t>to</w:t>
      </w:r>
      <w:r>
        <w:rPr>
          <w:spacing w:val="-6"/>
        </w:rPr>
        <w:t> </w:t>
      </w:r>
      <w:r>
        <w:rPr/>
        <w:t>ESV. Under</w:t>
      </w:r>
      <w:r>
        <w:rPr>
          <w:spacing w:val="-3"/>
        </w:rPr>
        <w:t> </w:t>
      </w:r>
      <w:r>
        <w:rPr/>
        <w:t>the</w:t>
      </w:r>
      <w:r>
        <w:rPr>
          <w:spacing w:val="-4"/>
        </w:rPr>
        <w:t> </w:t>
      </w:r>
      <w:r>
        <w:rPr/>
        <w:t>current</w:t>
      </w:r>
      <w:r>
        <w:rPr>
          <w:spacing w:val="-3"/>
        </w:rPr>
        <w:t> </w:t>
      </w:r>
      <w:r>
        <w:rPr/>
        <w:t>legislation</w:t>
      </w:r>
      <w:r>
        <w:rPr>
          <w:spacing w:val="-2"/>
        </w:rPr>
        <w:t> </w:t>
      </w:r>
      <w:r>
        <w:rPr/>
        <w:t>both</w:t>
      </w:r>
      <w:r>
        <w:rPr>
          <w:spacing w:val="-2"/>
        </w:rPr>
        <w:t> </w:t>
      </w:r>
      <w:r>
        <w:rPr/>
        <w:t>ESV</w:t>
      </w:r>
      <w:r>
        <w:rPr>
          <w:spacing w:val="-2"/>
        </w:rPr>
        <w:t> </w:t>
      </w:r>
      <w:r>
        <w:rPr/>
        <w:t>and</w:t>
      </w:r>
      <w:r>
        <w:rPr>
          <w:spacing w:val="-6"/>
        </w:rPr>
        <w:t> </w:t>
      </w:r>
      <w:r>
        <w:rPr/>
        <w:t>the</w:t>
      </w:r>
      <w:r>
        <w:rPr>
          <w:spacing w:val="-2"/>
        </w:rPr>
        <w:t> </w:t>
      </w:r>
      <w:r>
        <w:rPr/>
        <w:t>Minister, presumably supported</w:t>
      </w:r>
      <w:r>
        <w:rPr>
          <w:spacing w:val="-1"/>
        </w:rPr>
        <w:t> </w:t>
      </w:r>
      <w:r>
        <w:rPr/>
        <w:t>by</w:t>
      </w:r>
      <w:r>
        <w:rPr>
          <w:spacing w:val="-1"/>
        </w:rPr>
        <w:t> </w:t>
      </w:r>
      <w:r>
        <w:rPr/>
        <w:t>advice</w:t>
      </w:r>
      <w:r>
        <w:rPr>
          <w:spacing w:val="-1"/>
        </w:rPr>
        <w:t> </w:t>
      </w:r>
      <w:r>
        <w:rPr/>
        <w:t>from DELWP,</w:t>
      </w:r>
      <w:r>
        <w:rPr>
          <w:spacing w:val="-2"/>
        </w:rPr>
        <w:t> </w:t>
      </w:r>
      <w:r>
        <w:rPr/>
        <w:t>may</w:t>
      </w:r>
      <w:r>
        <w:rPr>
          <w:spacing w:val="-1"/>
        </w:rPr>
        <w:t> </w:t>
      </w:r>
      <w:r>
        <w:rPr/>
        <w:t>commence proceedings</w:t>
      </w:r>
      <w:r>
        <w:rPr>
          <w:spacing w:val="-1"/>
        </w:rPr>
        <w:t> </w:t>
      </w:r>
      <w:r>
        <w:rPr/>
        <w:t>and apply for orders. This has</w:t>
      </w:r>
      <w:r>
        <w:rPr>
          <w:spacing w:val="-1"/>
        </w:rPr>
        <w:t> </w:t>
      </w:r>
      <w:r>
        <w:rPr/>
        <w:t>the potential to blur regulatory accountabilities.</w:t>
      </w:r>
    </w:p>
    <w:p>
      <w:pPr>
        <w:spacing w:after="0" w:line="288" w:lineRule="auto"/>
        <w:sectPr>
          <w:pgSz w:w="11910" w:h="16850"/>
          <w:pgMar w:header="220" w:footer="678" w:top="420" w:bottom="860" w:left="900" w:right="840"/>
        </w:sectPr>
      </w:pPr>
    </w:p>
    <w:p>
      <w:pPr>
        <w:pStyle w:val="BodyText"/>
        <w:rPr>
          <w:sz w:val="20"/>
        </w:rPr>
      </w:pPr>
    </w:p>
    <w:p>
      <w:pPr>
        <w:pStyle w:val="BodyText"/>
        <w:spacing w:before="2"/>
        <w:rPr>
          <w:sz w:val="19"/>
        </w:rPr>
      </w:pPr>
    </w:p>
    <w:p>
      <w:pPr>
        <w:pStyle w:val="BodyText"/>
        <w:spacing w:line="288" w:lineRule="auto" w:before="94"/>
        <w:ind w:left="232" w:right="408"/>
      </w:pPr>
      <w:r>
        <w:rPr/>
        <w:t>Decisions to allow exemptions from the provisions that may attract civil penalties, however, raise broader policy judgements and it is appropriate that they should continue to be subject to consideration</w:t>
      </w:r>
      <w:r>
        <w:rPr>
          <w:spacing w:val="-2"/>
        </w:rPr>
        <w:t> </w:t>
      </w:r>
      <w:r>
        <w:rPr/>
        <w:t>by</w:t>
      </w:r>
      <w:r>
        <w:rPr>
          <w:spacing w:val="-4"/>
        </w:rPr>
        <w:t> </w:t>
      </w:r>
      <w:r>
        <w:rPr/>
        <w:t>the</w:t>
      </w:r>
      <w:r>
        <w:rPr>
          <w:spacing w:val="-4"/>
        </w:rPr>
        <w:t> </w:t>
      </w:r>
      <w:r>
        <w:rPr/>
        <w:t>responsible</w:t>
      </w:r>
      <w:r>
        <w:rPr>
          <w:spacing w:val="-2"/>
        </w:rPr>
        <w:t> </w:t>
      </w:r>
      <w:r>
        <w:rPr/>
        <w:t>Minister</w:t>
      </w:r>
      <w:r>
        <w:rPr>
          <w:spacing w:val="-1"/>
        </w:rPr>
        <w:t> </w:t>
      </w:r>
      <w:r>
        <w:rPr/>
        <w:t>to</w:t>
      </w:r>
      <w:r>
        <w:rPr>
          <w:spacing w:val="-4"/>
        </w:rPr>
        <w:t> </w:t>
      </w:r>
      <w:r>
        <w:rPr/>
        <w:t>recommend</w:t>
      </w:r>
      <w:r>
        <w:rPr>
          <w:spacing w:val="-4"/>
        </w:rPr>
        <w:t> </w:t>
      </w:r>
      <w:r>
        <w:rPr/>
        <w:t>an</w:t>
      </w:r>
      <w:r>
        <w:rPr>
          <w:spacing w:val="-2"/>
        </w:rPr>
        <w:t> </w:t>
      </w:r>
      <w:r>
        <w:rPr/>
        <w:t>exemption</w:t>
      </w:r>
      <w:r>
        <w:rPr>
          <w:spacing w:val="-4"/>
        </w:rPr>
        <w:t> </w:t>
      </w:r>
      <w:r>
        <w:rPr/>
        <w:t>to</w:t>
      </w:r>
      <w:r>
        <w:rPr>
          <w:spacing w:val="-4"/>
        </w:rPr>
        <w:t> </w:t>
      </w:r>
      <w:r>
        <w:rPr/>
        <w:t>the</w:t>
      </w:r>
      <w:r>
        <w:rPr>
          <w:spacing w:val="-4"/>
        </w:rPr>
        <w:t> </w:t>
      </w:r>
      <w:r>
        <w:rPr/>
        <w:t>Governor</w:t>
      </w:r>
      <w:r>
        <w:rPr>
          <w:spacing w:val="-1"/>
        </w:rPr>
        <w:t> </w:t>
      </w:r>
      <w:r>
        <w:rPr/>
        <w:t>in</w:t>
      </w:r>
      <w:r>
        <w:rPr>
          <w:spacing w:val="-4"/>
        </w:rPr>
        <w:t> </w:t>
      </w:r>
      <w:r>
        <w:rPr/>
        <w:t>Council.</w:t>
      </w:r>
    </w:p>
    <w:p>
      <w:pPr>
        <w:pStyle w:val="BodyText"/>
        <w:spacing w:before="8"/>
        <w:rPr>
          <w:sz w:val="18"/>
        </w:rPr>
      </w:pPr>
      <w:r>
        <w:rPr/>
        <mc:AlternateContent>
          <mc:Choice Requires="wps">
            <w:drawing>
              <wp:anchor distT="0" distB="0" distL="0" distR="0" allowOverlap="1" layoutInCell="1" locked="0" behindDoc="1" simplePos="0" relativeHeight="487665664">
                <wp:simplePos x="0" y="0"/>
                <wp:positionH relativeFrom="page">
                  <wp:posOffset>719327</wp:posOffset>
                </wp:positionH>
                <wp:positionV relativeFrom="paragraph">
                  <wp:posOffset>152155</wp:posOffset>
                </wp:positionV>
                <wp:extent cx="5870575" cy="1614170"/>
                <wp:effectExtent l="0" t="0" r="0" b="0"/>
                <wp:wrapTopAndBottom/>
                <wp:docPr id="216" name="Textbox 216"/>
                <wp:cNvGraphicFramePr>
                  <a:graphicFrameLocks/>
                </wp:cNvGraphicFramePr>
                <a:graphic>
                  <a:graphicData uri="http://schemas.microsoft.com/office/word/2010/wordprocessingShape">
                    <wps:wsp>
                      <wps:cNvPr id="216" name="Textbox 216"/>
                      <wps:cNvSpPr txBox="1"/>
                      <wps:spPr>
                        <a:xfrm>
                          <a:off x="0" y="0"/>
                          <a:ext cx="5870575" cy="1614170"/>
                        </a:xfrm>
                        <a:prstGeom prst="rect">
                          <a:avLst/>
                        </a:prstGeom>
                        <a:solidFill>
                          <a:srgbClr val="D9D9D9"/>
                        </a:solidFill>
                      </wps:spPr>
                      <wps:txbx>
                        <w:txbxContent>
                          <w:p>
                            <w:pPr>
                              <w:pStyle w:val="BodyText"/>
                              <w:spacing w:before="10"/>
                              <w:rPr>
                                <w:color w:val="000000"/>
                                <w:sz w:val="20"/>
                              </w:rPr>
                            </w:pPr>
                          </w:p>
                          <w:p>
                            <w:pPr>
                              <w:spacing w:before="0"/>
                              <w:ind w:left="112" w:right="0" w:firstLine="0"/>
                              <w:jc w:val="left"/>
                              <w:rPr>
                                <w:b/>
                                <w:color w:val="000000"/>
                                <w:sz w:val="22"/>
                              </w:rPr>
                            </w:pPr>
                            <w:r>
                              <w:rPr>
                                <w:b/>
                                <w:color w:val="000000"/>
                                <w:sz w:val="22"/>
                              </w:rPr>
                              <w:t>Recommendation</w:t>
                            </w:r>
                            <w:r>
                              <w:rPr>
                                <w:b/>
                                <w:color w:val="000000"/>
                                <w:spacing w:val="-6"/>
                                <w:sz w:val="22"/>
                              </w:rPr>
                              <w:t> </w:t>
                            </w:r>
                            <w:r>
                              <w:rPr>
                                <w:b/>
                                <w:color w:val="000000"/>
                                <w:spacing w:val="-5"/>
                                <w:sz w:val="22"/>
                              </w:rPr>
                              <w:t>38</w:t>
                            </w:r>
                          </w:p>
                          <w:p>
                            <w:pPr>
                              <w:pStyle w:val="BodyText"/>
                              <w:spacing w:before="4"/>
                              <w:rPr>
                                <w:b/>
                                <w:color w:val="000000"/>
                                <w:sz w:val="25"/>
                              </w:rPr>
                            </w:pPr>
                          </w:p>
                          <w:p>
                            <w:pPr>
                              <w:pStyle w:val="BodyText"/>
                              <w:spacing w:line="288" w:lineRule="auto"/>
                              <w:ind w:left="112" w:right="177"/>
                              <w:rPr>
                                <w:color w:val="000000"/>
                              </w:rPr>
                            </w:pPr>
                            <w:r>
                              <w:rPr>
                                <w:color w:val="000000"/>
                              </w:rPr>
                              <w:t>In developing new consolidated energy safety legislation, consideration should be given to improving the structure and operation of regulations under the Act, including, for example, integrating the Code of Practice for Electric Line Clearance into the </w:t>
                            </w:r>
                            <w:r>
                              <w:rPr>
                                <w:i/>
                                <w:color w:val="000000"/>
                              </w:rPr>
                              <w:t>Electricity Safety (Electric</w:t>
                            </w:r>
                            <w:r>
                              <w:rPr>
                                <w:i/>
                                <w:color w:val="000000"/>
                                <w:spacing w:val="-2"/>
                              </w:rPr>
                              <w:t> </w:t>
                            </w:r>
                            <w:r>
                              <w:rPr>
                                <w:i/>
                                <w:color w:val="000000"/>
                              </w:rPr>
                              <w:t>Line</w:t>
                            </w:r>
                            <w:r>
                              <w:rPr>
                                <w:i/>
                                <w:color w:val="000000"/>
                                <w:spacing w:val="-5"/>
                              </w:rPr>
                              <w:t> </w:t>
                            </w:r>
                            <w:r>
                              <w:rPr>
                                <w:i/>
                                <w:color w:val="000000"/>
                              </w:rPr>
                              <w:t>Clearance)</w:t>
                            </w:r>
                            <w:r>
                              <w:rPr>
                                <w:i/>
                                <w:color w:val="000000"/>
                                <w:spacing w:val="-4"/>
                              </w:rPr>
                              <w:t> </w:t>
                            </w:r>
                            <w:r>
                              <w:rPr>
                                <w:i/>
                                <w:color w:val="000000"/>
                              </w:rPr>
                              <w:t>Regulations</w:t>
                            </w:r>
                            <w:r>
                              <w:rPr>
                                <w:i/>
                                <w:color w:val="000000"/>
                                <w:spacing w:val="-3"/>
                              </w:rPr>
                              <w:t> </w:t>
                            </w:r>
                            <w:r>
                              <w:rPr>
                                <w:i/>
                                <w:color w:val="000000"/>
                              </w:rPr>
                              <w:t>2015</w:t>
                            </w:r>
                            <w:r>
                              <w:rPr>
                                <w:i/>
                                <w:color w:val="000000"/>
                                <w:spacing w:val="-3"/>
                              </w:rPr>
                              <w:t> </w:t>
                            </w:r>
                            <w:r>
                              <w:rPr>
                                <w:color w:val="000000"/>
                              </w:rPr>
                              <w:t>and</w:t>
                            </w:r>
                            <w:r>
                              <w:rPr>
                                <w:color w:val="000000"/>
                                <w:spacing w:val="-3"/>
                              </w:rPr>
                              <w:t> </w:t>
                            </w:r>
                            <w:r>
                              <w:rPr>
                                <w:color w:val="000000"/>
                              </w:rPr>
                              <w:t>setting</w:t>
                            </w:r>
                            <w:r>
                              <w:rPr>
                                <w:color w:val="000000"/>
                                <w:spacing w:val="-3"/>
                              </w:rPr>
                              <w:t> </w:t>
                            </w:r>
                            <w:r>
                              <w:rPr>
                                <w:color w:val="000000"/>
                              </w:rPr>
                              <w:t>the</w:t>
                            </w:r>
                            <w:r>
                              <w:rPr>
                                <w:color w:val="000000"/>
                                <w:spacing w:val="-3"/>
                              </w:rPr>
                              <w:t> </w:t>
                            </w:r>
                            <w:r>
                              <w:rPr>
                                <w:color w:val="000000"/>
                              </w:rPr>
                              <w:t>expiry</w:t>
                            </w:r>
                            <w:r>
                              <w:rPr>
                                <w:color w:val="000000"/>
                                <w:spacing w:val="-5"/>
                              </w:rPr>
                              <w:t> </w:t>
                            </w:r>
                            <w:r>
                              <w:rPr>
                                <w:color w:val="000000"/>
                              </w:rPr>
                              <w:t>period</w:t>
                            </w:r>
                            <w:r>
                              <w:rPr>
                                <w:color w:val="000000"/>
                                <w:spacing w:val="-5"/>
                              </w:rPr>
                              <w:t> </w:t>
                            </w:r>
                            <w:r>
                              <w:rPr>
                                <w:color w:val="000000"/>
                              </w:rPr>
                              <w:t>to</w:t>
                            </w:r>
                            <w:r>
                              <w:rPr>
                                <w:color w:val="000000"/>
                                <w:spacing w:val="-3"/>
                              </w:rPr>
                              <w:t> </w:t>
                            </w:r>
                            <w:r>
                              <w:rPr>
                                <w:color w:val="000000"/>
                              </w:rPr>
                              <w:t>ten</w:t>
                            </w:r>
                            <w:r>
                              <w:rPr>
                                <w:color w:val="000000"/>
                                <w:spacing w:val="-5"/>
                              </w:rPr>
                              <w:t> </w:t>
                            </w:r>
                            <w:r>
                              <w:rPr>
                                <w:color w:val="000000"/>
                              </w:rPr>
                              <w:t>years</w:t>
                            </w:r>
                            <w:r>
                              <w:rPr>
                                <w:color w:val="000000"/>
                                <w:spacing w:val="-2"/>
                              </w:rPr>
                              <w:t> </w:t>
                            </w:r>
                            <w:r>
                              <w:rPr>
                                <w:color w:val="000000"/>
                              </w:rPr>
                              <w:t>rather than five.</w:t>
                            </w:r>
                          </w:p>
                        </w:txbxContent>
                      </wps:txbx>
                      <wps:bodyPr wrap="square" lIns="0" tIns="0" rIns="0" bIns="0" rtlCol="0">
                        <a:noAutofit/>
                      </wps:bodyPr>
                    </wps:wsp>
                  </a:graphicData>
                </a:graphic>
              </wp:anchor>
            </w:drawing>
          </mc:Choice>
          <mc:Fallback>
            <w:pict>
              <v:shape style="position:absolute;margin-left:56.639999pt;margin-top:11.980771pt;width:462.25pt;height:127.1pt;mso-position-horizontal-relative:page;mso-position-vertical-relative:paragraph;z-index:-15650816;mso-wrap-distance-left:0;mso-wrap-distance-right:0" type="#_x0000_t202" id="docshape185" filled="true" fillcolor="#d9d9d9" stroked="false">
                <v:textbox inset="0,0,0,0">
                  <w:txbxContent>
                    <w:p>
                      <w:pPr>
                        <w:pStyle w:val="BodyText"/>
                        <w:spacing w:before="10"/>
                        <w:rPr>
                          <w:color w:val="000000"/>
                          <w:sz w:val="20"/>
                        </w:rPr>
                      </w:pPr>
                    </w:p>
                    <w:p>
                      <w:pPr>
                        <w:spacing w:before="0"/>
                        <w:ind w:left="112" w:right="0" w:firstLine="0"/>
                        <w:jc w:val="left"/>
                        <w:rPr>
                          <w:b/>
                          <w:color w:val="000000"/>
                          <w:sz w:val="22"/>
                        </w:rPr>
                      </w:pPr>
                      <w:r>
                        <w:rPr>
                          <w:b/>
                          <w:color w:val="000000"/>
                          <w:sz w:val="22"/>
                        </w:rPr>
                        <w:t>Recommendation</w:t>
                      </w:r>
                      <w:r>
                        <w:rPr>
                          <w:b/>
                          <w:color w:val="000000"/>
                          <w:spacing w:val="-6"/>
                          <w:sz w:val="22"/>
                        </w:rPr>
                        <w:t> </w:t>
                      </w:r>
                      <w:r>
                        <w:rPr>
                          <w:b/>
                          <w:color w:val="000000"/>
                          <w:spacing w:val="-5"/>
                          <w:sz w:val="22"/>
                        </w:rPr>
                        <w:t>38</w:t>
                      </w:r>
                    </w:p>
                    <w:p>
                      <w:pPr>
                        <w:pStyle w:val="BodyText"/>
                        <w:spacing w:before="4"/>
                        <w:rPr>
                          <w:b/>
                          <w:color w:val="000000"/>
                          <w:sz w:val="25"/>
                        </w:rPr>
                      </w:pPr>
                    </w:p>
                    <w:p>
                      <w:pPr>
                        <w:pStyle w:val="BodyText"/>
                        <w:spacing w:line="288" w:lineRule="auto"/>
                        <w:ind w:left="112" w:right="177"/>
                        <w:rPr>
                          <w:color w:val="000000"/>
                        </w:rPr>
                      </w:pPr>
                      <w:r>
                        <w:rPr>
                          <w:color w:val="000000"/>
                        </w:rPr>
                        <w:t>In developing new consolidated energy safety legislation, consideration should be given to improving the structure and operation of regulations under the Act, including, for example, integrating the Code of Practice for Electric Line Clearance into the </w:t>
                      </w:r>
                      <w:r>
                        <w:rPr>
                          <w:i/>
                          <w:color w:val="000000"/>
                        </w:rPr>
                        <w:t>Electricity Safety (Electric</w:t>
                      </w:r>
                      <w:r>
                        <w:rPr>
                          <w:i/>
                          <w:color w:val="000000"/>
                          <w:spacing w:val="-2"/>
                        </w:rPr>
                        <w:t> </w:t>
                      </w:r>
                      <w:r>
                        <w:rPr>
                          <w:i/>
                          <w:color w:val="000000"/>
                        </w:rPr>
                        <w:t>Line</w:t>
                      </w:r>
                      <w:r>
                        <w:rPr>
                          <w:i/>
                          <w:color w:val="000000"/>
                          <w:spacing w:val="-5"/>
                        </w:rPr>
                        <w:t> </w:t>
                      </w:r>
                      <w:r>
                        <w:rPr>
                          <w:i/>
                          <w:color w:val="000000"/>
                        </w:rPr>
                        <w:t>Clearance)</w:t>
                      </w:r>
                      <w:r>
                        <w:rPr>
                          <w:i/>
                          <w:color w:val="000000"/>
                          <w:spacing w:val="-4"/>
                        </w:rPr>
                        <w:t> </w:t>
                      </w:r>
                      <w:r>
                        <w:rPr>
                          <w:i/>
                          <w:color w:val="000000"/>
                        </w:rPr>
                        <w:t>Regulations</w:t>
                      </w:r>
                      <w:r>
                        <w:rPr>
                          <w:i/>
                          <w:color w:val="000000"/>
                          <w:spacing w:val="-3"/>
                        </w:rPr>
                        <w:t> </w:t>
                      </w:r>
                      <w:r>
                        <w:rPr>
                          <w:i/>
                          <w:color w:val="000000"/>
                        </w:rPr>
                        <w:t>2015</w:t>
                      </w:r>
                      <w:r>
                        <w:rPr>
                          <w:i/>
                          <w:color w:val="000000"/>
                          <w:spacing w:val="-3"/>
                        </w:rPr>
                        <w:t> </w:t>
                      </w:r>
                      <w:r>
                        <w:rPr>
                          <w:color w:val="000000"/>
                        </w:rPr>
                        <w:t>and</w:t>
                      </w:r>
                      <w:r>
                        <w:rPr>
                          <w:color w:val="000000"/>
                          <w:spacing w:val="-3"/>
                        </w:rPr>
                        <w:t> </w:t>
                      </w:r>
                      <w:r>
                        <w:rPr>
                          <w:color w:val="000000"/>
                        </w:rPr>
                        <w:t>setting</w:t>
                      </w:r>
                      <w:r>
                        <w:rPr>
                          <w:color w:val="000000"/>
                          <w:spacing w:val="-3"/>
                        </w:rPr>
                        <w:t> </w:t>
                      </w:r>
                      <w:r>
                        <w:rPr>
                          <w:color w:val="000000"/>
                        </w:rPr>
                        <w:t>the</w:t>
                      </w:r>
                      <w:r>
                        <w:rPr>
                          <w:color w:val="000000"/>
                          <w:spacing w:val="-3"/>
                        </w:rPr>
                        <w:t> </w:t>
                      </w:r>
                      <w:r>
                        <w:rPr>
                          <w:color w:val="000000"/>
                        </w:rPr>
                        <w:t>expiry</w:t>
                      </w:r>
                      <w:r>
                        <w:rPr>
                          <w:color w:val="000000"/>
                          <w:spacing w:val="-5"/>
                        </w:rPr>
                        <w:t> </w:t>
                      </w:r>
                      <w:r>
                        <w:rPr>
                          <w:color w:val="000000"/>
                        </w:rPr>
                        <w:t>period</w:t>
                      </w:r>
                      <w:r>
                        <w:rPr>
                          <w:color w:val="000000"/>
                          <w:spacing w:val="-5"/>
                        </w:rPr>
                        <w:t> </w:t>
                      </w:r>
                      <w:r>
                        <w:rPr>
                          <w:color w:val="000000"/>
                        </w:rPr>
                        <w:t>to</w:t>
                      </w:r>
                      <w:r>
                        <w:rPr>
                          <w:color w:val="000000"/>
                          <w:spacing w:val="-3"/>
                        </w:rPr>
                        <w:t> </w:t>
                      </w:r>
                      <w:r>
                        <w:rPr>
                          <w:color w:val="000000"/>
                        </w:rPr>
                        <w:t>ten</w:t>
                      </w:r>
                      <w:r>
                        <w:rPr>
                          <w:color w:val="000000"/>
                          <w:spacing w:val="-5"/>
                        </w:rPr>
                        <w:t> </w:t>
                      </w:r>
                      <w:r>
                        <w:rPr>
                          <w:color w:val="000000"/>
                        </w:rPr>
                        <w:t>years</w:t>
                      </w:r>
                      <w:r>
                        <w:rPr>
                          <w:color w:val="000000"/>
                          <w:spacing w:val="-2"/>
                        </w:rPr>
                        <w:t> </w:t>
                      </w:r>
                      <w:r>
                        <w:rPr>
                          <w:color w:val="000000"/>
                        </w:rPr>
                        <w:t>rather than five.</w:t>
                      </w:r>
                    </w:p>
                  </w:txbxContent>
                </v:textbox>
                <v:fill type="solid"/>
                <w10:wrap type="topAndBottom"/>
              </v:shape>
            </w:pict>
          </mc:Fallback>
        </mc:AlternateContent>
      </w:r>
    </w:p>
    <w:p>
      <w:pPr>
        <w:pStyle w:val="BodyText"/>
        <w:rPr>
          <w:sz w:val="20"/>
        </w:rPr>
      </w:pPr>
    </w:p>
    <w:p>
      <w:pPr>
        <w:pStyle w:val="BodyText"/>
        <w:spacing w:before="3"/>
        <w:rPr>
          <w:sz w:val="25"/>
        </w:rPr>
      </w:pPr>
      <w:r>
        <w:rPr/>
        <mc:AlternateContent>
          <mc:Choice Requires="wps">
            <w:drawing>
              <wp:anchor distT="0" distB="0" distL="0" distR="0" allowOverlap="1" layoutInCell="1" locked="0" behindDoc="1" simplePos="0" relativeHeight="487666176">
                <wp:simplePos x="0" y="0"/>
                <wp:positionH relativeFrom="page">
                  <wp:posOffset>719327</wp:posOffset>
                </wp:positionH>
                <wp:positionV relativeFrom="paragraph">
                  <wp:posOffset>200037</wp:posOffset>
                </wp:positionV>
                <wp:extent cx="5870575" cy="1612900"/>
                <wp:effectExtent l="0" t="0" r="0" b="0"/>
                <wp:wrapTopAndBottom/>
                <wp:docPr id="217" name="Textbox 217"/>
                <wp:cNvGraphicFramePr>
                  <a:graphicFrameLocks/>
                </wp:cNvGraphicFramePr>
                <a:graphic>
                  <a:graphicData uri="http://schemas.microsoft.com/office/word/2010/wordprocessingShape">
                    <wps:wsp>
                      <wps:cNvPr id="217" name="Textbox 217"/>
                      <wps:cNvSpPr txBox="1"/>
                      <wps:spPr>
                        <a:xfrm>
                          <a:off x="0" y="0"/>
                          <a:ext cx="5870575" cy="1612900"/>
                        </a:xfrm>
                        <a:prstGeom prst="rect">
                          <a:avLst/>
                        </a:prstGeom>
                        <a:solidFill>
                          <a:srgbClr val="D9D9D9"/>
                        </a:solidFill>
                      </wps:spPr>
                      <wps:txbx>
                        <w:txbxContent>
                          <w:p>
                            <w:pPr>
                              <w:pStyle w:val="BodyText"/>
                              <w:spacing w:before="10"/>
                              <w:rPr>
                                <w:color w:val="000000"/>
                                <w:sz w:val="20"/>
                              </w:rPr>
                            </w:pPr>
                          </w:p>
                          <w:p>
                            <w:pPr>
                              <w:spacing w:before="0"/>
                              <w:ind w:left="112" w:right="0" w:firstLine="0"/>
                              <w:jc w:val="left"/>
                              <w:rPr>
                                <w:b/>
                                <w:color w:val="000000"/>
                                <w:sz w:val="22"/>
                              </w:rPr>
                            </w:pPr>
                            <w:r>
                              <w:rPr>
                                <w:b/>
                                <w:color w:val="000000"/>
                                <w:sz w:val="22"/>
                              </w:rPr>
                              <w:t>Recommendation</w:t>
                            </w:r>
                            <w:r>
                              <w:rPr>
                                <w:b/>
                                <w:color w:val="000000"/>
                                <w:spacing w:val="-6"/>
                                <w:sz w:val="22"/>
                              </w:rPr>
                              <w:t> </w:t>
                            </w:r>
                            <w:r>
                              <w:rPr>
                                <w:b/>
                                <w:color w:val="000000"/>
                                <w:spacing w:val="-5"/>
                                <w:sz w:val="22"/>
                              </w:rPr>
                              <w:t>39</w:t>
                            </w:r>
                          </w:p>
                          <w:p>
                            <w:pPr>
                              <w:pStyle w:val="BodyText"/>
                              <w:spacing w:before="2"/>
                              <w:rPr>
                                <w:b/>
                                <w:color w:val="000000"/>
                                <w:sz w:val="25"/>
                              </w:rPr>
                            </w:pPr>
                          </w:p>
                          <w:p>
                            <w:pPr>
                              <w:pStyle w:val="BodyText"/>
                              <w:spacing w:line="288" w:lineRule="auto"/>
                              <w:ind w:left="112" w:right="140"/>
                              <w:rPr>
                                <w:color w:val="000000"/>
                              </w:rPr>
                            </w:pPr>
                            <w:r>
                              <w:rPr>
                                <w:color w:val="000000"/>
                              </w:rPr>
                              <w:t>The full responsibility for administering the civil penalty provisions applying to electricity network businesses should be assigned to ESV when it is established as a commission under the new consolidated safety legislation. Any decision to exempt a business from the application</w:t>
                            </w:r>
                            <w:r>
                              <w:rPr>
                                <w:color w:val="000000"/>
                                <w:spacing w:val="-3"/>
                              </w:rPr>
                              <w:t> </w:t>
                            </w:r>
                            <w:r>
                              <w:rPr>
                                <w:color w:val="000000"/>
                              </w:rPr>
                              <w:t>of</w:t>
                            </w:r>
                            <w:r>
                              <w:rPr>
                                <w:color w:val="000000"/>
                                <w:spacing w:val="-1"/>
                              </w:rPr>
                              <w:t> </w:t>
                            </w:r>
                            <w:r>
                              <w:rPr>
                                <w:color w:val="000000"/>
                              </w:rPr>
                              <w:t>the</w:t>
                            </w:r>
                            <w:r>
                              <w:rPr>
                                <w:color w:val="000000"/>
                                <w:spacing w:val="-5"/>
                              </w:rPr>
                              <w:t> </w:t>
                            </w:r>
                            <w:r>
                              <w:rPr>
                                <w:color w:val="000000"/>
                              </w:rPr>
                              <w:t>requirements</w:t>
                            </w:r>
                            <w:r>
                              <w:rPr>
                                <w:color w:val="000000"/>
                                <w:spacing w:val="-5"/>
                              </w:rPr>
                              <w:t> </w:t>
                            </w:r>
                            <w:r>
                              <w:rPr>
                                <w:color w:val="000000"/>
                              </w:rPr>
                              <w:t>subject</w:t>
                            </w:r>
                            <w:r>
                              <w:rPr>
                                <w:color w:val="000000"/>
                                <w:spacing w:val="-4"/>
                              </w:rPr>
                              <w:t> </w:t>
                            </w:r>
                            <w:r>
                              <w:rPr>
                                <w:color w:val="000000"/>
                              </w:rPr>
                              <w:t>to</w:t>
                            </w:r>
                            <w:r>
                              <w:rPr>
                                <w:color w:val="000000"/>
                                <w:spacing w:val="-5"/>
                              </w:rPr>
                              <w:t> </w:t>
                            </w:r>
                            <w:r>
                              <w:rPr>
                                <w:color w:val="000000"/>
                              </w:rPr>
                              <w:t>civil</w:t>
                            </w:r>
                            <w:r>
                              <w:rPr>
                                <w:color w:val="000000"/>
                                <w:spacing w:val="-3"/>
                              </w:rPr>
                              <w:t> </w:t>
                            </w:r>
                            <w:r>
                              <w:rPr>
                                <w:color w:val="000000"/>
                              </w:rPr>
                              <w:t>penalties</w:t>
                            </w:r>
                            <w:r>
                              <w:rPr>
                                <w:color w:val="000000"/>
                                <w:spacing w:val="-3"/>
                              </w:rPr>
                              <w:t> </w:t>
                            </w:r>
                            <w:r>
                              <w:rPr>
                                <w:color w:val="000000"/>
                              </w:rPr>
                              <w:t>should</w:t>
                            </w:r>
                            <w:r>
                              <w:rPr>
                                <w:color w:val="000000"/>
                                <w:spacing w:val="-3"/>
                              </w:rPr>
                              <w:t> </w:t>
                            </w:r>
                            <w:r>
                              <w:rPr>
                                <w:color w:val="000000"/>
                              </w:rPr>
                              <w:t>remain</w:t>
                            </w:r>
                            <w:r>
                              <w:rPr>
                                <w:color w:val="000000"/>
                                <w:spacing w:val="-3"/>
                              </w:rPr>
                              <w:t> </w:t>
                            </w:r>
                            <w:r>
                              <w:rPr>
                                <w:color w:val="000000"/>
                              </w:rPr>
                              <w:t>with</w:t>
                            </w:r>
                            <w:r>
                              <w:rPr>
                                <w:color w:val="000000"/>
                                <w:spacing w:val="-3"/>
                              </w:rPr>
                              <w:t> </w:t>
                            </w:r>
                            <w:r>
                              <w:rPr>
                                <w:color w:val="000000"/>
                              </w:rPr>
                              <w:t>the</w:t>
                            </w:r>
                            <w:r>
                              <w:rPr>
                                <w:color w:val="000000"/>
                                <w:spacing w:val="-5"/>
                              </w:rPr>
                              <w:t> </w:t>
                            </w:r>
                            <w:r>
                              <w:rPr>
                                <w:color w:val="000000"/>
                              </w:rPr>
                              <w:t>responsible </w:t>
                            </w:r>
                            <w:r>
                              <w:rPr>
                                <w:color w:val="000000"/>
                                <w:spacing w:val="-2"/>
                              </w:rPr>
                              <w:t>Minister.</w:t>
                            </w:r>
                          </w:p>
                        </w:txbxContent>
                      </wps:txbx>
                      <wps:bodyPr wrap="square" lIns="0" tIns="0" rIns="0" bIns="0" rtlCol="0">
                        <a:noAutofit/>
                      </wps:bodyPr>
                    </wps:wsp>
                  </a:graphicData>
                </a:graphic>
              </wp:anchor>
            </w:drawing>
          </mc:Choice>
          <mc:Fallback>
            <w:pict>
              <v:shape style="position:absolute;margin-left:56.639999pt;margin-top:15.750977pt;width:462.25pt;height:127pt;mso-position-horizontal-relative:page;mso-position-vertical-relative:paragraph;z-index:-15650304;mso-wrap-distance-left:0;mso-wrap-distance-right:0" type="#_x0000_t202" id="docshape186" filled="true" fillcolor="#d9d9d9" stroked="false">
                <v:textbox inset="0,0,0,0">
                  <w:txbxContent>
                    <w:p>
                      <w:pPr>
                        <w:pStyle w:val="BodyText"/>
                        <w:spacing w:before="10"/>
                        <w:rPr>
                          <w:color w:val="000000"/>
                          <w:sz w:val="20"/>
                        </w:rPr>
                      </w:pPr>
                    </w:p>
                    <w:p>
                      <w:pPr>
                        <w:spacing w:before="0"/>
                        <w:ind w:left="112" w:right="0" w:firstLine="0"/>
                        <w:jc w:val="left"/>
                        <w:rPr>
                          <w:b/>
                          <w:color w:val="000000"/>
                          <w:sz w:val="22"/>
                        </w:rPr>
                      </w:pPr>
                      <w:r>
                        <w:rPr>
                          <w:b/>
                          <w:color w:val="000000"/>
                          <w:sz w:val="22"/>
                        </w:rPr>
                        <w:t>Recommendation</w:t>
                      </w:r>
                      <w:r>
                        <w:rPr>
                          <w:b/>
                          <w:color w:val="000000"/>
                          <w:spacing w:val="-6"/>
                          <w:sz w:val="22"/>
                        </w:rPr>
                        <w:t> </w:t>
                      </w:r>
                      <w:r>
                        <w:rPr>
                          <w:b/>
                          <w:color w:val="000000"/>
                          <w:spacing w:val="-5"/>
                          <w:sz w:val="22"/>
                        </w:rPr>
                        <w:t>39</w:t>
                      </w:r>
                    </w:p>
                    <w:p>
                      <w:pPr>
                        <w:pStyle w:val="BodyText"/>
                        <w:spacing w:before="2"/>
                        <w:rPr>
                          <w:b/>
                          <w:color w:val="000000"/>
                          <w:sz w:val="25"/>
                        </w:rPr>
                      </w:pPr>
                    </w:p>
                    <w:p>
                      <w:pPr>
                        <w:pStyle w:val="BodyText"/>
                        <w:spacing w:line="288" w:lineRule="auto"/>
                        <w:ind w:left="112" w:right="140"/>
                        <w:rPr>
                          <w:color w:val="000000"/>
                        </w:rPr>
                      </w:pPr>
                      <w:r>
                        <w:rPr>
                          <w:color w:val="000000"/>
                        </w:rPr>
                        <w:t>The full responsibility for administering the civil penalty provisions applying to electricity network businesses should be assigned to ESV when it is established as a commission under the new consolidated safety legislation. Any decision to exempt a business from the application</w:t>
                      </w:r>
                      <w:r>
                        <w:rPr>
                          <w:color w:val="000000"/>
                          <w:spacing w:val="-3"/>
                        </w:rPr>
                        <w:t> </w:t>
                      </w:r>
                      <w:r>
                        <w:rPr>
                          <w:color w:val="000000"/>
                        </w:rPr>
                        <w:t>of</w:t>
                      </w:r>
                      <w:r>
                        <w:rPr>
                          <w:color w:val="000000"/>
                          <w:spacing w:val="-1"/>
                        </w:rPr>
                        <w:t> </w:t>
                      </w:r>
                      <w:r>
                        <w:rPr>
                          <w:color w:val="000000"/>
                        </w:rPr>
                        <w:t>the</w:t>
                      </w:r>
                      <w:r>
                        <w:rPr>
                          <w:color w:val="000000"/>
                          <w:spacing w:val="-5"/>
                        </w:rPr>
                        <w:t> </w:t>
                      </w:r>
                      <w:r>
                        <w:rPr>
                          <w:color w:val="000000"/>
                        </w:rPr>
                        <w:t>requirements</w:t>
                      </w:r>
                      <w:r>
                        <w:rPr>
                          <w:color w:val="000000"/>
                          <w:spacing w:val="-5"/>
                        </w:rPr>
                        <w:t> </w:t>
                      </w:r>
                      <w:r>
                        <w:rPr>
                          <w:color w:val="000000"/>
                        </w:rPr>
                        <w:t>subject</w:t>
                      </w:r>
                      <w:r>
                        <w:rPr>
                          <w:color w:val="000000"/>
                          <w:spacing w:val="-4"/>
                        </w:rPr>
                        <w:t> </w:t>
                      </w:r>
                      <w:r>
                        <w:rPr>
                          <w:color w:val="000000"/>
                        </w:rPr>
                        <w:t>to</w:t>
                      </w:r>
                      <w:r>
                        <w:rPr>
                          <w:color w:val="000000"/>
                          <w:spacing w:val="-5"/>
                        </w:rPr>
                        <w:t> </w:t>
                      </w:r>
                      <w:r>
                        <w:rPr>
                          <w:color w:val="000000"/>
                        </w:rPr>
                        <w:t>civil</w:t>
                      </w:r>
                      <w:r>
                        <w:rPr>
                          <w:color w:val="000000"/>
                          <w:spacing w:val="-3"/>
                        </w:rPr>
                        <w:t> </w:t>
                      </w:r>
                      <w:r>
                        <w:rPr>
                          <w:color w:val="000000"/>
                        </w:rPr>
                        <w:t>penalties</w:t>
                      </w:r>
                      <w:r>
                        <w:rPr>
                          <w:color w:val="000000"/>
                          <w:spacing w:val="-3"/>
                        </w:rPr>
                        <w:t> </w:t>
                      </w:r>
                      <w:r>
                        <w:rPr>
                          <w:color w:val="000000"/>
                        </w:rPr>
                        <w:t>should</w:t>
                      </w:r>
                      <w:r>
                        <w:rPr>
                          <w:color w:val="000000"/>
                          <w:spacing w:val="-3"/>
                        </w:rPr>
                        <w:t> </w:t>
                      </w:r>
                      <w:r>
                        <w:rPr>
                          <w:color w:val="000000"/>
                        </w:rPr>
                        <w:t>remain</w:t>
                      </w:r>
                      <w:r>
                        <w:rPr>
                          <w:color w:val="000000"/>
                          <w:spacing w:val="-3"/>
                        </w:rPr>
                        <w:t> </w:t>
                      </w:r>
                      <w:r>
                        <w:rPr>
                          <w:color w:val="000000"/>
                        </w:rPr>
                        <w:t>with</w:t>
                      </w:r>
                      <w:r>
                        <w:rPr>
                          <w:color w:val="000000"/>
                          <w:spacing w:val="-3"/>
                        </w:rPr>
                        <w:t> </w:t>
                      </w:r>
                      <w:r>
                        <w:rPr>
                          <w:color w:val="000000"/>
                        </w:rPr>
                        <w:t>the</w:t>
                      </w:r>
                      <w:r>
                        <w:rPr>
                          <w:color w:val="000000"/>
                          <w:spacing w:val="-5"/>
                        </w:rPr>
                        <w:t> </w:t>
                      </w:r>
                      <w:r>
                        <w:rPr>
                          <w:color w:val="000000"/>
                        </w:rPr>
                        <w:t>responsible </w:t>
                      </w:r>
                      <w:r>
                        <w:rPr>
                          <w:color w:val="000000"/>
                          <w:spacing w:val="-2"/>
                        </w:rPr>
                        <w:t>Minister.</w:t>
                      </w:r>
                    </w:p>
                  </w:txbxContent>
                </v:textbox>
                <v:fill type="solid"/>
                <w10:wrap type="topAndBottom"/>
              </v:shape>
            </w:pict>
          </mc:Fallback>
        </mc:AlternateContent>
      </w:r>
    </w:p>
    <w:p>
      <w:pPr>
        <w:pStyle w:val="BodyText"/>
        <w:spacing w:before="6"/>
        <w:rPr>
          <w:sz w:val="23"/>
        </w:rPr>
      </w:pPr>
    </w:p>
    <w:p>
      <w:pPr>
        <w:pStyle w:val="Heading4"/>
      </w:pPr>
      <w:r>
        <w:rPr>
          <w:color w:val="585858"/>
        </w:rPr>
        <w:t>Safety</w:t>
      </w:r>
      <w:r>
        <w:rPr>
          <w:color w:val="585858"/>
          <w:spacing w:val="-16"/>
        </w:rPr>
        <w:t> </w:t>
      </w:r>
      <w:r>
        <w:rPr>
          <w:color w:val="585858"/>
        </w:rPr>
        <w:t>case</w:t>
      </w:r>
      <w:r>
        <w:rPr>
          <w:color w:val="585858"/>
          <w:spacing w:val="-12"/>
        </w:rPr>
        <w:t> </w:t>
      </w:r>
      <w:r>
        <w:rPr>
          <w:color w:val="585858"/>
        </w:rPr>
        <w:t>submission,</w:t>
      </w:r>
      <w:r>
        <w:rPr>
          <w:color w:val="585858"/>
          <w:spacing w:val="-11"/>
        </w:rPr>
        <w:t> </w:t>
      </w:r>
      <w:r>
        <w:rPr>
          <w:color w:val="585858"/>
        </w:rPr>
        <w:t>acceptance</w:t>
      </w:r>
      <w:r>
        <w:rPr>
          <w:color w:val="585858"/>
          <w:spacing w:val="-12"/>
        </w:rPr>
        <w:t> </w:t>
      </w:r>
      <w:r>
        <w:rPr>
          <w:color w:val="585858"/>
        </w:rPr>
        <w:t>and</w:t>
      </w:r>
      <w:r>
        <w:rPr>
          <w:color w:val="585858"/>
          <w:spacing w:val="-13"/>
        </w:rPr>
        <w:t> </w:t>
      </w:r>
      <w:r>
        <w:rPr>
          <w:color w:val="585858"/>
          <w:spacing w:val="-2"/>
        </w:rPr>
        <w:t>revision</w:t>
      </w:r>
    </w:p>
    <w:p>
      <w:pPr>
        <w:pStyle w:val="BodyText"/>
        <w:spacing w:line="288" w:lineRule="auto" w:before="314"/>
        <w:ind w:left="232" w:right="374"/>
      </w:pPr>
      <w:r>
        <w:rPr/>
        <w:t>Effective</w:t>
      </w:r>
      <w:r>
        <w:rPr>
          <w:spacing w:val="-3"/>
        </w:rPr>
        <w:t> </w:t>
      </w:r>
      <w:r>
        <w:rPr/>
        <w:t>safety</w:t>
      </w:r>
      <w:r>
        <w:rPr>
          <w:spacing w:val="-4"/>
        </w:rPr>
        <w:t> </w:t>
      </w:r>
      <w:r>
        <w:rPr/>
        <w:t>case</w:t>
      </w:r>
      <w:r>
        <w:rPr>
          <w:spacing w:val="-4"/>
        </w:rPr>
        <w:t> </w:t>
      </w:r>
      <w:r>
        <w:rPr/>
        <w:t>implementation</w:t>
      </w:r>
      <w:r>
        <w:rPr>
          <w:spacing w:val="-5"/>
        </w:rPr>
        <w:t> </w:t>
      </w:r>
      <w:r>
        <w:rPr/>
        <w:t>requires</w:t>
      </w:r>
      <w:r>
        <w:rPr>
          <w:spacing w:val="-5"/>
        </w:rPr>
        <w:t> </w:t>
      </w:r>
      <w:r>
        <w:rPr/>
        <w:t>ongoing</w:t>
      </w:r>
      <w:r>
        <w:rPr>
          <w:spacing w:val="-1"/>
        </w:rPr>
        <w:t> </w:t>
      </w:r>
      <w:r>
        <w:rPr/>
        <w:t>consideration</w:t>
      </w:r>
      <w:r>
        <w:rPr>
          <w:spacing w:val="-3"/>
        </w:rPr>
        <w:t> </w:t>
      </w:r>
      <w:r>
        <w:rPr/>
        <w:t>of</w:t>
      </w:r>
      <w:r>
        <w:rPr>
          <w:spacing w:val="-1"/>
        </w:rPr>
        <w:t> </w:t>
      </w:r>
      <w:r>
        <w:rPr/>
        <w:t>whether</w:t>
      </w:r>
      <w:r>
        <w:rPr>
          <w:spacing w:val="-4"/>
        </w:rPr>
        <w:t> </w:t>
      </w:r>
      <w:r>
        <w:rPr/>
        <w:t>any</w:t>
      </w:r>
      <w:r>
        <w:rPr>
          <w:spacing w:val="-5"/>
        </w:rPr>
        <w:t> </w:t>
      </w:r>
      <w:r>
        <w:rPr/>
        <w:t>changes</w:t>
      </w:r>
      <w:r>
        <w:rPr>
          <w:spacing w:val="-5"/>
        </w:rPr>
        <w:t> </w:t>
      </w:r>
      <w:r>
        <w:rPr/>
        <w:t>may be required. For example, new risks may emerge or better ways of managing existing risks may become available. Ensuring that safety cases</w:t>
      </w:r>
      <w:r>
        <w:rPr>
          <w:spacing w:val="-1"/>
        </w:rPr>
        <w:t> </w:t>
      </w:r>
      <w:r>
        <w:rPr/>
        <w:t>are</w:t>
      </w:r>
      <w:r>
        <w:rPr>
          <w:spacing w:val="-3"/>
        </w:rPr>
        <w:t> </w:t>
      </w:r>
      <w:r>
        <w:rPr/>
        <w:t>treated as “living documents” and</w:t>
      </w:r>
      <w:r>
        <w:rPr>
          <w:spacing w:val="-1"/>
        </w:rPr>
        <w:t> </w:t>
      </w:r>
      <w:r>
        <w:rPr/>
        <w:t>remain</w:t>
      </w:r>
      <w:r>
        <w:rPr>
          <w:spacing w:val="-1"/>
        </w:rPr>
        <w:t> </w:t>
      </w:r>
      <w:r>
        <w:rPr/>
        <w:t>under review is particularly important for gas and electricity networks, given the evolution of networks over time and the growth in emerging technologies.</w:t>
      </w:r>
    </w:p>
    <w:p>
      <w:pPr>
        <w:pStyle w:val="BodyText"/>
        <w:rPr>
          <w:sz w:val="21"/>
        </w:rPr>
      </w:pPr>
    </w:p>
    <w:p>
      <w:pPr>
        <w:pStyle w:val="BodyText"/>
        <w:spacing w:line="288" w:lineRule="auto"/>
        <w:ind w:left="232" w:right="320"/>
      </w:pPr>
      <w:r>
        <w:rPr/>
        <w:t>Under the </w:t>
      </w:r>
      <w:r>
        <w:rPr>
          <w:i/>
        </w:rPr>
        <w:t>Electricity Safety Act 1998 </w:t>
      </w:r>
      <w:r>
        <w:rPr/>
        <w:t>and the </w:t>
      </w:r>
      <w:r>
        <w:rPr>
          <w:i/>
        </w:rPr>
        <w:t>Gas Safety Act 1997</w:t>
      </w:r>
      <w:r>
        <w:rPr/>
        <w:t>, the framework requires safety cases to be submitted every five years from the latest submission/revision. In addition, a network business</w:t>
      </w:r>
      <w:r>
        <w:rPr>
          <w:spacing w:val="-1"/>
        </w:rPr>
        <w:t> </w:t>
      </w:r>
      <w:r>
        <w:rPr/>
        <w:t>must</w:t>
      </w:r>
      <w:r>
        <w:rPr>
          <w:spacing w:val="-3"/>
        </w:rPr>
        <w:t> </w:t>
      </w:r>
      <w:r>
        <w:rPr/>
        <w:t>submit a</w:t>
      </w:r>
      <w:r>
        <w:rPr>
          <w:spacing w:val="-4"/>
        </w:rPr>
        <w:t> </w:t>
      </w:r>
      <w:r>
        <w:rPr/>
        <w:t>revised</w:t>
      </w:r>
      <w:r>
        <w:rPr>
          <w:spacing w:val="-2"/>
        </w:rPr>
        <w:t> </w:t>
      </w:r>
      <w:r>
        <w:rPr/>
        <w:t>safety</w:t>
      </w:r>
      <w:r>
        <w:rPr>
          <w:spacing w:val="-4"/>
        </w:rPr>
        <w:t> </w:t>
      </w:r>
      <w:r>
        <w:rPr/>
        <w:t>case at any</w:t>
      </w:r>
      <w:r>
        <w:rPr>
          <w:spacing w:val="-4"/>
        </w:rPr>
        <w:t> </w:t>
      </w:r>
      <w:r>
        <w:rPr/>
        <w:t>time</w:t>
      </w:r>
      <w:r>
        <w:rPr>
          <w:spacing w:val="-1"/>
        </w:rPr>
        <w:t> </w:t>
      </w:r>
      <w:r>
        <w:rPr/>
        <w:t>if ESV</w:t>
      </w:r>
      <w:r>
        <w:rPr>
          <w:spacing w:val="-2"/>
        </w:rPr>
        <w:t> </w:t>
      </w:r>
      <w:r>
        <w:rPr/>
        <w:t>requests</w:t>
      </w:r>
      <w:r>
        <w:rPr>
          <w:spacing w:val="-4"/>
        </w:rPr>
        <w:t> </w:t>
      </w:r>
      <w:r>
        <w:rPr/>
        <w:t>it.</w:t>
      </w:r>
      <w:r>
        <w:rPr>
          <w:spacing w:val="-3"/>
        </w:rPr>
        <w:t> </w:t>
      </w:r>
      <w:r>
        <w:rPr/>
        <w:t>It</w:t>
      </w:r>
      <w:r>
        <w:rPr>
          <w:spacing w:val="-3"/>
        </w:rPr>
        <w:t> </w:t>
      </w:r>
      <w:r>
        <w:rPr/>
        <w:t>must</w:t>
      </w:r>
      <w:r>
        <w:rPr>
          <w:spacing w:val="-3"/>
        </w:rPr>
        <w:t> </w:t>
      </w:r>
      <w:r>
        <w:rPr/>
        <w:t>also</w:t>
      </w:r>
      <w:r>
        <w:rPr>
          <w:spacing w:val="-2"/>
        </w:rPr>
        <w:t> </w:t>
      </w:r>
      <w:r>
        <w:rPr/>
        <w:t>do</w:t>
      </w:r>
      <w:r>
        <w:rPr>
          <w:spacing w:val="-4"/>
        </w:rPr>
        <w:t> </w:t>
      </w:r>
      <w:r>
        <w:rPr/>
        <w:t>so</w:t>
      </w:r>
      <w:r>
        <w:rPr>
          <w:spacing w:val="-3"/>
        </w:rPr>
        <w:t> </w:t>
      </w:r>
      <w:r>
        <w:rPr/>
        <w:t>under certain defined circumstances, including a change to the network that increases risk, and a significant change to the safety case. ESV can accept, provisionally accept for a given period, or not accept a submitted safety case.</w:t>
      </w:r>
    </w:p>
    <w:p>
      <w:pPr>
        <w:pStyle w:val="BodyText"/>
        <w:spacing w:before="11"/>
        <w:rPr>
          <w:sz w:val="20"/>
        </w:rPr>
      </w:pPr>
    </w:p>
    <w:p>
      <w:pPr>
        <w:spacing w:line="288" w:lineRule="auto" w:before="0"/>
        <w:ind w:left="232" w:right="374" w:firstLine="0"/>
        <w:jc w:val="left"/>
        <w:rPr>
          <w:sz w:val="22"/>
        </w:rPr>
      </w:pPr>
      <w:r>
        <w:rPr>
          <w:sz w:val="22"/>
        </w:rPr>
        <w:t>The</w:t>
      </w:r>
      <w:r>
        <w:rPr>
          <w:spacing w:val="-4"/>
          <w:sz w:val="22"/>
        </w:rPr>
        <w:t> </w:t>
      </w:r>
      <w:r>
        <w:rPr>
          <w:sz w:val="22"/>
        </w:rPr>
        <w:t>Advisian</w:t>
      </w:r>
      <w:r>
        <w:rPr>
          <w:spacing w:val="-2"/>
          <w:sz w:val="22"/>
        </w:rPr>
        <w:t> </w:t>
      </w:r>
      <w:r>
        <w:rPr>
          <w:sz w:val="22"/>
        </w:rPr>
        <w:t>report</w:t>
      </w:r>
      <w:r>
        <w:rPr>
          <w:spacing w:val="-1"/>
          <w:sz w:val="22"/>
        </w:rPr>
        <w:t> </w:t>
      </w:r>
      <w:r>
        <w:rPr>
          <w:sz w:val="22"/>
        </w:rPr>
        <w:t>commissioned</w:t>
      </w:r>
      <w:r>
        <w:rPr>
          <w:spacing w:val="-2"/>
          <w:sz w:val="22"/>
        </w:rPr>
        <w:t> </w:t>
      </w:r>
      <w:r>
        <w:rPr>
          <w:sz w:val="22"/>
        </w:rPr>
        <w:t>by</w:t>
      </w:r>
      <w:r>
        <w:rPr>
          <w:spacing w:val="-4"/>
          <w:sz w:val="22"/>
        </w:rPr>
        <w:t> </w:t>
      </w:r>
      <w:r>
        <w:rPr>
          <w:sz w:val="22"/>
        </w:rPr>
        <w:t>the</w:t>
      </w:r>
      <w:r>
        <w:rPr>
          <w:spacing w:val="-4"/>
          <w:sz w:val="22"/>
        </w:rPr>
        <w:t> </w:t>
      </w:r>
      <w:r>
        <w:rPr>
          <w:sz w:val="22"/>
        </w:rPr>
        <w:t>Director</w:t>
      </w:r>
      <w:r>
        <w:rPr>
          <w:spacing w:val="-1"/>
          <w:sz w:val="22"/>
        </w:rPr>
        <w:t> </w:t>
      </w:r>
      <w:r>
        <w:rPr>
          <w:sz w:val="22"/>
        </w:rPr>
        <w:t>of Energy</w:t>
      </w:r>
      <w:r>
        <w:rPr>
          <w:spacing w:val="-4"/>
          <w:sz w:val="22"/>
        </w:rPr>
        <w:t> </w:t>
      </w:r>
      <w:r>
        <w:rPr>
          <w:sz w:val="22"/>
        </w:rPr>
        <w:t>Safety</w:t>
      </w:r>
      <w:r>
        <w:rPr>
          <w:spacing w:val="-3"/>
          <w:sz w:val="22"/>
        </w:rPr>
        <w:t> </w:t>
      </w:r>
      <w:r>
        <w:rPr>
          <w:sz w:val="22"/>
        </w:rPr>
        <w:t>in</w:t>
      </w:r>
      <w:r>
        <w:rPr>
          <w:spacing w:val="-2"/>
          <w:sz w:val="22"/>
        </w:rPr>
        <w:t> </w:t>
      </w:r>
      <w:r>
        <w:rPr>
          <w:sz w:val="22"/>
        </w:rPr>
        <w:t>2016, </w:t>
      </w:r>
      <w:r>
        <w:rPr>
          <w:i/>
          <w:sz w:val="22"/>
        </w:rPr>
        <w:t>Review</w:t>
      </w:r>
      <w:r>
        <w:rPr>
          <w:i/>
          <w:spacing w:val="-3"/>
          <w:sz w:val="22"/>
        </w:rPr>
        <w:t> </w:t>
      </w:r>
      <w:r>
        <w:rPr>
          <w:i/>
          <w:sz w:val="22"/>
        </w:rPr>
        <w:t>of</w:t>
      </w:r>
      <w:r>
        <w:rPr>
          <w:i/>
          <w:spacing w:val="-3"/>
          <w:sz w:val="22"/>
        </w:rPr>
        <w:t> </w:t>
      </w:r>
      <w:r>
        <w:rPr>
          <w:i/>
          <w:sz w:val="22"/>
        </w:rPr>
        <w:t>the</w:t>
      </w:r>
      <w:r>
        <w:rPr>
          <w:i/>
          <w:spacing w:val="-2"/>
          <w:sz w:val="22"/>
        </w:rPr>
        <w:t> </w:t>
      </w:r>
      <w:r>
        <w:rPr>
          <w:i/>
          <w:sz w:val="22"/>
        </w:rPr>
        <w:t>ESV (GISD) Safety Case/Safety Management Plan Evaluation Approach</w:t>
      </w:r>
      <w:r>
        <w:rPr>
          <w:sz w:val="22"/>
        </w:rPr>
        <w:t>, recommended that ESV provide guidance on what would trigger a business to notify ESV of changes:</w:t>
      </w:r>
    </w:p>
    <w:p>
      <w:pPr>
        <w:pStyle w:val="BodyText"/>
        <w:spacing w:before="9"/>
        <w:rPr>
          <w:sz w:val="20"/>
        </w:rPr>
      </w:pPr>
    </w:p>
    <w:p>
      <w:pPr>
        <w:spacing w:line="288" w:lineRule="auto" w:before="0"/>
        <w:ind w:left="799" w:right="1216" w:firstLine="0"/>
        <w:jc w:val="both"/>
        <w:rPr>
          <w:sz w:val="22"/>
        </w:rPr>
      </w:pPr>
      <w:r>
        <w:rPr>
          <w:i/>
          <w:sz w:val="22"/>
        </w:rPr>
        <w:t>“Provide explicit guidance on what ‘triggers’ a notification of SC/SMP [Safety Case/ Safety Management Plan] changes to ESV, so that ESV is more aware of evolving changes in</w:t>
      </w:r>
      <w:r>
        <w:rPr>
          <w:i/>
          <w:spacing w:val="-1"/>
          <w:sz w:val="22"/>
        </w:rPr>
        <w:t> </w:t>
      </w:r>
      <w:r>
        <w:rPr>
          <w:i/>
          <w:sz w:val="22"/>
        </w:rPr>
        <w:t>facility safety</w:t>
      </w:r>
      <w:r>
        <w:rPr>
          <w:i/>
          <w:spacing w:val="-2"/>
          <w:sz w:val="22"/>
        </w:rPr>
        <w:t> </w:t>
      </w:r>
      <w:r>
        <w:rPr>
          <w:i/>
          <w:sz w:val="22"/>
        </w:rPr>
        <w:t>practices, can</w:t>
      </w:r>
      <w:r>
        <w:rPr>
          <w:i/>
          <w:spacing w:val="-1"/>
          <w:sz w:val="22"/>
        </w:rPr>
        <w:t> </w:t>
      </w:r>
      <w:r>
        <w:rPr>
          <w:i/>
          <w:sz w:val="22"/>
        </w:rPr>
        <w:t>educate/communicate</w:t>
      </w:r>
      <w:r>
        <w:rPr>
          <w:i/>
          <w:spacing w:val="-1"/>
          <w:sz w:val="22"/>
        </w:rPr>
        <w:t> </w:t>
      </w:r>
      <w:r>
        <w:rPr>
          <w:i/>
          <w:sz w:val="22"/>
        </w:rPr>
        <w:t>regulatory policy and interpretations</w:t>
      </w:r>
      <w:r>
        <w:rPr>
          <w:i/>
          <w:spacing w:val="-5"/>
          <w:sz w:val="22"/>
        </w:rPr>
        <w:t> </w:t>
      </w:r>
      <w:r>
        <w:rPr>
          <w:i/>
          <w:sz w:val="22"/>
        </w:rPr>
        <w:t>of</w:t>
      </w:r>
      <w:r>
        <w:rPr>
          <w:i/>
          <w:spacing w:val="-4"/>
          <w:sz w:val="22"/>
        </w:rPr>
        <w:t> </w:t>
      </w:r>
      <w:r>
        <w:rPr>
          <w:i/>
          <w:sz w:val="22"/>
        </w:rPr>
        <w:t>compliance,</w:t>
      </w:r>
      <w:r>
        <w:rPr>
          <w:i/>
          <w:spacing w:val="-2"/>
          <w:sz w:val="22"/>
        </w:rPr>
        <w:t> </w:t>
      </w:r>
      <w:r>
        <w:rPr>
          <w:i/>
          <w:sz w:val="22"/>
        </w:rPr>
        <w:t>and</w:t>
      </w:r>
      <w:r>
        <w:rPr>
          <w:i/>
          <w:spacing w:val="-5"/>
          <w:sz w:val="22"/>
        </w:rPr>
        <w:t> </w:t>
      </w:r>
      <w:r>
        <w:rPr>
          <w:i/>
          <w:sz w:val="22"/>
        </w:rPr>
        <w:t>direct</w:t>
      </w:r>
      <w:r>
        <w:rPr>
          <w:i/>
          <w:spacing w:val="-1"/>
          <w:sz w:val="22"/>
        </w:rPr>
        <w:t> </w:t>
      </w:r>
      <w:r>
        <w:rPr>
          <w:i/>
          <w:sz w:val="22"/>
        </w:rPr>
        <w:t>either</w:t>
      </w:r>
      <w:r>
        <w:rPr>
          <w:i/>
          <w:spacing w:val="-4"/>
          <w:sz w:val="22"/>
        </w:rPr>
        <w:t> </w:t>
      </w:r>
      <w:r>
        <w:rPr>
          <w:i/>
          <w:sz w:val="22"/>
        </w:rPr>
        <w:t>revision</w:t>
      </w:r>
      <w:r>
        <w:rPr>
          <w:i/>
          <w:spacing w:val="-3"/>
          <w:sz w:val="22"/>
        </w:rPr>
        <w:t> </w:t>
      </w:r>
      <w:r>
        <w:rPr>
          <w:i/>
          <w:sz w:val="22"/>
        </w:rPr>
        <w:t>or</w:t>
      </w:r>
      <w:r>
        <w:rPr>
          <w:i/>
          <w:spacing w:val="-2"/>
          <w:sz w:val="22"/>
        </w:rPr>
        <w:t> </w:t>
      </w:r>
      <w:r>
        <w:rPr>
          <w:i/>
          <w:sz w:val="22"/>
        </w:rPr>
        <w:t>updating</w:t>
      </w:r>
      <w:r>
        <w:rPr>
          <w:i/>
          <w:spacing w:val="-3"/>
          <w:sz w:val="22"/>
        </w:rPr>
        <w:t> </w:t>
      </w:r>
      <w:r>
        <w:rPr>
          <w:i/>
          <w:sz w:val="22"/>
        </w:rPr>
        <w:t>of</w:t>
      </w:r>
      <w:r>
        <w:rPr>
          <w:i/>
          <w:spacing w:val="-4"/>
          <w:sz w:val="22"/>
        </w:rPr>
        <w:t> </w:t>
      </w:r>
      <w:r>
        <w:rPr>
          <w:i/>
          <w:sz w:val="22"/>
        </w:rPr>
        <w:t>the</w:t>
      </w:r>
      <w:r>
        <w:rPr>
          <w:i/>
          <w:spacing w:val="-5"/>
          <w:sz w:val="22"/>
        </w:rPr>
        <w:t> </w:t>
      </w:r>
      <w:r>
        <w:rPr>
          <w:i/>
          <w:sz w:val="22"/>
        </w:rPr>
        <w:t>SC/SMP.” </w:t>
      </w:r>
      <w:r>
        <w:rPr>
          <w:sz w:val="22"/>
        </w:rPr>
        <w:t>(Advisian, 2016, p. 9)</w:t>
      </w:r>
    </w:p>
    <w:p>
      <w:pPr>
        <w:spacing w:after="0" w:line="288" w:lineRule="auto"/>
        <w:jc w:val="both"/>
        <w:rPr>
          <w:sz w:val="22"/>
        </w:rPr>
        <w:sectPr>
          <w:pgSz w:w="11910" w:h="16850"/>
          <w:pgMar w:header="220" w:footer="678" w:top="420" w:bottom="860" w:left="900" w:right="840"/>
        </w:sectPr>
      </w:pPr>
    </w:p>
    <w:p>
      <w:pPr>
        <w:pStyle w:val="BodyText"/>
        <w:rPr>
          <w:sz w:val="20"/>
        </w:rPr>
      </w:pPr>
    </w:p>
    <w:p>
      <w:pPr>
        <w:pStyle w:val="BodyText"/>
        <w:spacing w:before="2"/>
        <w:rPr>
          <w:sz w:val="19"/>
        </w:rPr>
      </w:pPr>
    </w:p>
    <w:p>
      <w:pPr>
        <w:pStyle w:val="BodyText"/>
        <w:spacing w:line="288" w:lineRule="auto" w:before="94"/>
        <w:ind w:left="232" w:right="374"/>
      </w:pPr>
      <w:r>
        <w:rPr/>
        <w:t>The</w:t>
      </w:r>
      <w:r>
        <w:rPr>
          <w:spacing w:val="-1"/>
        </w:rPr>
        <w:t> </w:t>
      </w:r>
      <w:r>
        <w:rPr/>
        <w:t>implementation of this approach would help ensure ESV has</w:t>
      </w:r>
      <w:r>
        <w:rPr>
          <w:spacing w:val="-1"/>
        </w:rPr>
        <w:t> </w:t>
      </w:r>
      <w:r>
        <w:rPr/>
        <w:t>appropriate oversight, and provide regulated business with greater guidance. In developing such guidance, ESV could consider</w:t>
      </w:r>
      <w:r>
        <w:rPr>
          <w:spacing w:val="-5"/>
        </w:rPr>
        <w:t> </w:t>
      </w:r>
      <w:r>
        <w:rPr/>
        <w:t>WorkSafe</w:t>
      </w:r>
      <w:r>
        <w:rPr>
          <w:spacing w:val="-1"/>
        </w:rPr>
        <w:t> </w:t>
      </w:r>
      <w:r>
        <w:rPr/>
        <w:t>Victoria’s</w:t>
      </w:r>
      <w:r>
        <w:rPr>
          <w:spacing w:val="-1"/>
        </w:rPr>
        <w:t> </w:t>
      </w:r>
      <w:r>
        <w:rPr>
          <w:i/>
        </w:rPr>
        <w:t>Revision</w:t>
      </w:r>
      <w:r>
        <w:rPr>
          <w:i/>
          <w:spacing w:val="-2"/>
        </w:rPr>
        <w:t> </w:t>
      </w:r>
      <w:r>
        <w:rPr>
          <w:i/>
        </w:rPr>
        <w:t>of</w:t>
      </w:r>
      <w:r>
        <w:rPr>
          <w:i/>
          <w:spacing w:val="-3"/>
        </w:rPr>
        <w:t> </w:t>
      </w:r>
      <w:r>
        <w:rPr>
          <w:i/>
        </w:rPr>
        <w:t>a</w:t>
      </w:r>
      <w:r>
        <w:rPr>
          <w:i/>
          <w:spacing w:val="-2"/>
        </w:rPr>
        <w:t> </w:t>
      </w:r>
      <w:r>
        <w:rPr>
          <w:i/>
        </w:rPr>
        <w:t>Safety</w:t>
      </w:r>
      <w:r>
        <w:rPr>
          <w:i/>
          <w:spacing w:val="-4"/>
        </w:rPr>
        <w:t> </w:t>
      </w:r>
      <w:r>
        <w:rPr>
          <w:i/>
        </w:rPr>
        <w:t>Case</w:t>
      </w:r>
      <w:r>
        <w:rPr>
          <w:i/>
          <w:spacing w:val="-4"/>
        </w:rPr>
        <w:t> </w:t>
      </w:r>
      <w:r>
        <w:rPr>
          <w:i/>
        </w:rPr>
        <w:t>for</w:t>
      </w:r>
      <w:r>
        <w:rPr>
          <w:i/>
          <w:spacing w:val="-3"/>
        </w:rPr>
        <w:t> </w:t>
      </w:r>
      <w:r>
        <w:rPr>
          <w:i/>
        </w:rPr>
        <w:t>a</w:t>
      </w:r>
      <w:r>
        <w:rPr>
          <w:i/>
          <w:spacing w:val="-2"/>
        </w:rPr>
        <w:t> </w:t>
      </w:r>
      <w:r>
        <w:rPr>
          <w:i/>
        </w:rPr>
        <w:t>Major</w:t>
      </w:r>
      <w:r>
        <w:rPr>
          <w:i/>
          <w:spacing w:val="-1"/>
        </w:rPr>
        <w:t> </w:t>
      </w:r>
      <w:r>
        <w:rPr>
          <w:i/>
        </w:rPr>
        <w:t>Hazard</w:t>
      </w:r>
      <w:r>
        <w:rPr>
          <w:i/>
          <w:spacing w:val="-1"/>
        </w:rPr>
        <w:t> </w:t>
      </w:r>
      <w:r>
        <w:rPr>
          <w:i/>
        </w:rPr>
        <w:t>Facility</w:t>
      </w:r>
      <w:r>
        <w:rPr>
          <w:i/>
          <w:spacing w:val="-1"/>
        </w:rPr>
        <w:t> </w:t>
      </w:r>
      <w:r>
        <w:rPr/>
        <w:t>guidance (WorkSafe Victoria, 2011).</w:t>
      </w:r>
    </w:p>
    <w:p>
      <w:pPr>
        <w:pStyle w:val="BodyText"/>
        <w:spacing w:before="10"/>
        <w:rPr>
          <w:sz w:val="20"/>
        </w:rPr>
      </w:pPr>
    </w:p>
    <w:p>
      <w:pPr>
        <w:pStyle w:val="BodyText"/>
        <w:spacing w:line="288" w:lineRule="auto" w:before="1"/>
        <w:ind w:left="232" w:right="337"/>
      </w:pPr>
      <w:r>
        <w:rPr/>
        <w:t>Under the </w:t>
      </w:r>
      <w:r>
        <w:rPr>
          <w:i/>
        </w:rPr>
        <w:t>Electricity Safety Act 1998 </w:t>
      </w:r>
      <w:r>
        <w:rPr/>
        <w:t>and the </w:t>
      </w:r>
      <w:r>
        <w:rPr>
          <w:i/>
        </w:rPr>
        <w:t>Gas Safety Act 1997 </w:t>
      </w:r>
      <w:r>
        <w:rPr/>
        <w:t>ESV can request a safety case be revised by a specified date. ESV may find a safety case to be deficient, for example, through audits</w:t>
      </w:r>
      <w:r>
        <w:rPr>
          <w:spacing w:val="-1"/>
        </w:rPr>
        <w:t> </w:t>
      </w:r>
      <w:r>
        <w:rPr/>
        <w:t>and</w:t>
      </w:r>
      <w:r>
        <w:rPr>
          <w:spacing w:val="-2"/>
        </w:rPr>
        <w:t> </w:t>
      </w:r>
      <w:r>
        <w:rPr/>
        <w:t>inspections,</w:t>
      </w:r>
      <w:r>
        <w:rPr>
          <w:spacing w:val="-3"/>
        </w:rPr>
        <w:t> </w:t>
      </w:r>
      <w:r>
        <w:rPr/>
        <w:t>a</w:t>
      </w:r>
      <w:r>
        <w:rPr>
          <w:spacing w:val="-4"/>
        </w:rPr>
        <w:t> </w:t>
      </w:r>
      <w:r>
        <w:rPr/>
        <w:t>change</w:t>
      </w:r>
      <w:r>
        <w:rPr>
          <w:spacing w:val="-2"/>
        </w:rPr>
        <w:t> </w:t>
      </w:r>
      <w:r>
        <w:rPr/>
        <w:t>notification</w:t>
      </w:r>
      <w:r>
        <w:rPr>
          <w:spacing w:val="-6"/>
        </w:rPr>
        <w:t> </w:t>
      </w:r>
      <w:r>
        <w:rPr/>
        <w:t>from</w:t>
      </w:r>
      <w:r>
        <w:rPr>
          <w:spacing w:val="-3"/>
        </w:rPr>
        <w:t> </w:t>
      </w:r>
      <w:r>
        <w:rPr/>
        <w:t>business,</w:t>
      </w:r>
      <w:r>
        <w:rPr>
          <w:spacing w:val="-3"/>
        </w:rPr>
        <w:t> </w:t>
      </w:r>
      <w:r>
        <w:rPr/>
        <w:t>or</w:t>
      </w:r>
      <w:r>
        <w:rPr>
          <w:spacing w:val="-3"/>
        </w:rPr>
        <w:t> </w:t>
      </w:r>
      <w:r>
        <w:rPr/>
        <w:t>changes</w:t>
      </w:r>
      <w:r>
        <w:rPr>
          <w:spacing w:val="-4"/>
        </w:rPr>
        <w:t> </w:t>
      </w:r>
      <w:r>
        <w:rPr/>
        <w:t>to</w:t>
      </w:r>
      <w:r>
        <w:rPr>
          <w:spacing w:val="-6"/>
        </w:rPr>
        <w:t> </w:t>
      </w:r>
      <w:r>
        <w:rPr/>
        <w:t>obligations</w:t>
      </w:r>
      <w:r>
        <w:rPr>
          <w:spacing w:val="-4"/>
        </w:rPr>
        <w:t> </w:t>
      </w:r>
      <w:r>
        <w:rPr/>
        <w:t>(for</w:t>
      </w:r>
      <w:r>
        <w:rPr>
          <w:spacing w:val="-1"/>
        </w:rPr>
        <w:t> </w:t>
      </w:r>
      <w:r>
        <w:rPr/>
        <w:t>example via new regulations or directions). The legislation should make it clear ESV has wide discretion to request a revision to address any deficiencies identified, including in response to new information or changes to assets, systems or staff.</w:t>
      </w:r>
    </w:p>
    <w:p>
      <w:pPr>
        <w:pStyle w:val="BodyText"/>
        <w:spacing w:before="10"/>
        <w:rPr>
          <w:sz w:val="20"/>
        </w:rPr>
      </w:pPr>
    </w:p>
    <w:p>
      <w:pPr>
        <w:pStyle w:val="BodyText"/>
        <w:spacing w:line="288" w:lineRule="auto"/>
        <w:ind w:left="232" w:right="408"/>
      </w:pPr>
      <w:r>
        <w:rPr/>
        <w:t>In addition, it is important ESV has the ability to accept changes to safety cases and request revisions so that an updated version is in force, with or without it requiring a full revision and resetting</w:t>
      </w:r>
      <w:r>
        <w:rPr>
          <w:spacing w:val="-3"/>
        </w:rPr>
        <w:t> </w:t>
      </w:r>
      <w:r>
        <w:rPr/>
        <w:t>the</w:t>
      </w:r>
      <w:r>
        <w:rPr>
          <w:spacing w:val="-7"/>
        </w:rPr>
        <w:t> </w:t>
      </w:r>
      <w:r>
        <w:rPr/>
        <w:t>five-year</w:t>
      </w:r>
      <w:r>
        <w:rPr>
          <w:spacing w:val="-2"/>
        </w:rPr>
        <w:t> </w:t>
      </w:r>
      <w:r>
        <w:rPr/>
        <w:t>revision</w:t>
      </w:r>
      <w:r>
        <w:rPr>
          <w:spacing w:val="-2"/>
        </w:rPr>
        <w:t> </w:t>
      </w:r>
      <w:r>
        <w:rPr/>
        <w:t>timeline.</w:t>
      </w:r>
      <w:r>
        <w:rPr>
          <w:spacing w:val="-1"/>
        </w:rPr>
        <w:t> </w:t>
      </w:r>
      <w:r>
        <w:rPr/>
        <w:t>This</w:t>
      </w:r>
      <w:r>
        <w:rPr>
          <w:spacing w:val="-4"/>
        </w:rPr>
        <w:t> </w:t>
      </w:r>
      <w:r>
        <w:rPr/>
        <w:t>would</w:t>
      </w:r>
      <w:r>
        <w:rPr>
          <w:spacing w:val="-3"/>
        </w:rPr>
        <w:t> </w:t>
      </w:r>
      <w:r>
        <w:rPr/>
        <w:t>promote</w:t>
      </w:r>
      <w:r>
        <w:rPr>
          <w:spacing w:val="-4"/>
        </w:rPr>
        <w:t> </w:t>
      </w:r>
      <w:r>
        <w:rPr/>
        <w:t>ongoing</w:t>
      </w:r>
      <w:r>
        <w:rPr>
          <w:spacing w:val="-5"/>
        </w:rPr>
        <w:t> </w:t>
      </w:r>
      <w:r>
        <w:rPr/>
        <w:t>maintenance</w:t>
      </w:r>
      <w:r>
        <w:rPr>
          <w:spacing w:val="-3"/>
        </w:rPr>
        <w:t> </w:t>
      </w:r>
      <w:r>
        <w:rPr/>
        <w:t>of</w:t>
      </w:r>
      <w:r>
        <w:rPr>
          <w:spacing w:val="-1"/>
        </w:rPr>
        <w:t> </w:t>
      </w:r>
      <w:r>
        <w:rPr/>
        <w:t>the</w:t>
      </w:r>
      <w:r>
        <w:rPr>
          <w:spacing w:val="-4"/>
        </w:rPr>
        <w:t> </w:t>
      </w:r>
      <w:r>
        <w:rPr/>
        <w:t>safety </w:t>
      </w:r>
      <w:r>
        <w:rPr>
          <w:spacing w:val="-2"/>
        </w:rPr>
        <w:t>case.</w:t>
      </w:r>
    </w:p>
    <w:p>
      <w:pPr>
        <w:pStyle w:val="BodyText"/>
        <w:spacing w:before="10"/>
        <w:rPr>
          <w:sz w:val="20"/>
        </w:rPr>
      </w:pPr>
    </w:p>
    <w:p>
      <w:pPr>
        <w:pStyle w:val="BodyText"/>
        <w:spacing w:line="288" w:lineRule="auto" w:before="1"/>
        <w:ind w:left="232" w:right="374"/>
      </w:pPr>
      <w:r>
        <w:rPr/>
        <w:t>It is also important that the legislation provides the right incentives for businesses to submit an acceptable</w:t>
      </w:r>
      <w:r>
        <w:rPr>
          <w:spacing w:val="-3"/>
        </w:rPr>
        <w:t> </w:t>
      </w:r>
      <w:r>
        <w:rPr/>
        <w:t>safety</w:t>
      </w:r>
      <w:r>
        <w:rPr>
          <w:spacing w:val="-4"/>
        </w:rPr>
        <w:t> </w:t>
      </w:r>
      <w:r>
        <w:rPr/>
        <w:t>case</w:t>
      </w:r>
      <w:r>
        <w:rPr>
          <w:spacing w:val="-5"/>
        </w:rPr>
        <w:t> </w:t>
      </w:r>
      <w:r>
        <w:rPr/>
        <w:t>in</w:t>
      </w:r>
      <w:r>
        <w:rPr>
          <w:spacing w:val="-3"/>
        </w:rPr>
        <w:t> </w:t>
      </w:r>
      <w:r>
        <w:rPr/>
        <w:t>the</w:t>
      </w:r>
      <w:r>
        <w:rPr>
          <w:spacing w:val="-5"/>
        </w:rPr>
        <w:t> </w:t>
      </w:r>
      <w:r>
        <w:rPr/>
        <w:t>allowable</w:t>
      </w:r>
      <w:r>
        <w:rPr>
          <w:spacing w:val="-3"/>
        </w:rPr>
        <w:t> </w:t>
      </w:r>
      <w:r>
        <w:rPr/>
        <w:t>time</w:t>
      </w:r>
      <w:r>
        <w:rPr>
          <w:spacing w:val="-3"/>
        </w:rPr>
        <w:t> </w:t>
      </w:r>
      <w:r>
        <w:rPr/>
        <w:t>period.</w:t>
      </w:r>
      <w:r>
        <w:rPr>
          <w:spacing w:val="-1"/>
        </w:rPr>
        <w:t> </w:t>
      </w:r>
      <w:r>
        <w:rPr/>
        <w:t>Currently,</w:t>
      </w:r>
      <w:r>
        <w:rPr>
          <w:spacing w:val="-1"/>
        </w:rPr>
        <w:t> </w:t>
      </w:r>
      <w:r>
        <w:rPr/>
        <w:t>if</w:t>
      </w:r>
      <w:r>
        <w:rPr>
          <w:spacing w:val="-1"/>
        </w:rPr>
        <w:t> </w:t>
      </w:r>
      <w:r>
        <w:rPr/>
        <w:t>a</w:t>
      </w:r>
      <w:r>
        <w:rPr>
          <w:spacing w:val="-5"/>
        </w:rPr>
        <w:t> </w:t>
      </w:r>
      <w:r>
        <w:rPr/>
        <w:t>safety</w:t>
      </w:r>
      <w:r>
        <w:rPr>
          <w:spacing w:val="-5"/>
        </w:rPr>
        <w:t> </w:t>
      </w:r>
      <w:r>
        <w:rPr/>
        <w:t>case</w:t>
      </w:r>
      <w:r>
        <w:rPr>
          <w:spacing w:val="-3"/>
        </w:rPr>
        <w:t> </w:t>
      </w:r>
      <w:r>
        <w:rPr/>
        <w:t>is</w:t>
      </w:r>
      <w:r>
        <w:rPr>
          <w:spacing w:val="-2"/>
        </w:rPr>
        <w:t> </w:t>
      </w:r>
      <w:r>
        <w:rPr/>
        <w:t>not</w:t>
      </w:r>
      <w:r>
        <w:rPr>
          <w:spacing w:val="-1"/>
        </w:rPr>
        <w:t> </w:t>
      </w:r>
      <w:r>
        <w:rPr/>
        <w:t>accepted,</w:t>
      </w:r>
      <w:r>
        <w:rPr>
          <w:spacing w:val="-1"/>
        </w:rPr>
        <w:t> </w:t>
      </w:r>
      <w:r>
        <w:rPr/>
        <w:t>a business has 28 days to resubmit an acceptable version. It is an offence not to submit a safety case at the end of five years from the latest acceptance, and also for failing to submit within the period allowed following a revision request by ESV.</w:t>
      </w:r>
    </w:p>
    <w:p>
      <w:pPr>
        <w:pStyle w:val="BodyText"/>
        <w:spacing w:before="8"/>
        <w:rPr>
          <w:sz w:val="20"/>
        </w:rPr>
      </w:pPr>
    </w:p>
    <w:p>
      <w:pPr>
        <w:pStyle w:val="BodyText"/>
        <w:spacing w:line="288" w:lineRule="auto"/>
        <w:ind w:left="232" w:right="374"/>
      </w:pPr>
      <w:r>
        <w:rPr/>
        <w:t>A robust safety case based system would ensure that there are strong provisions to avoid a network business ever operating without an accepted safety case in place. The regulator should have</w:t>
      </w:r>
      <w:r>
        <w:rPr>
          <w:spacing w:val="-2"/>
        </w:rPr>
        <w:t> </w:t>
      </w:r>
      <w:r>
        <w:rPr/>
        <w:t>the</w:t>
      </w:r>
      <w:r>
        <w:rPr>
          <w:spacing w:val="-2"/>
        </w:rPr>
        <w:t> </w:t>
      </w:r>
      <w:r>
        <w:rPr/>
        <w:t>capacity</w:t>
      </w:r>
      <w:r>
        <w:rPr>
          <w:spacing w:val="-5"/>
        </w:rPr>
        <w:t> </w:t>
      </w:r>
      <w:r>
        <w:rPr/>
        <w:t>to</w:t>
      </w:r>
      <w:r>
        <w:rPr>
          <w:spacing w:val="-2"/>
        </w:rPr>
        <w:t> </w:t>
      </w:r>
      <w:r>
        <w:rPr/>
        <w:t>apply</w:t>
      </w:r>
      <w:r>
        <w:rPr>
          <w:spacing w:val="-4"/>
        </w:rPr>
        <w:t> </w:t>
      </w:r>
      <w:r>
        <w:rPr/>
        <w:t>a</w:t>
      </w:r>
      <w:r>
        <w:rPr>
          <w:spacing w:val="-2"/>
        </w:rPr>
        <w:t> </w:t>
      </w:r>
      <w:r>
        <w:rPr/>
        <w:t>range</w:t>
      </w:r>
      <w:r>
        <w:rPr>
          <w:spacing w:val="-2"/>
        </w:rPr>
        <w:t> </w:t>
      </w:r>
      <w:r>
        <w:rPr/>
        <w:t>of</w:t>
      </w:r>
      <w:r>
        <w:rPr>
          <w:spacing w:val="-3"/>
        </w:rPr>
        <w:t> </w:t>
      </w:r>
      <w:r>
        <w:rPr/>
        <w:t>measures</w:t>
      </w:r>
      <w:r>
        <w:rPr>
          <w:spacing w:val="-4"/>
        </w:rPr>
        <w:t> </w:t>
      </w:r>
      <w:r>
        <w:rPr/>
        <w:t>to</w:t>
      </w:r>
      <w:r>
        <w:rPr>
          <w:spacing w:val="-4"/>
        </w:rPr>
        <w:t> </w:t>
      </w:r>
      <w:r>
        <w:rPr/>
        <w:t>ensure</w:t>
      </w:r>
      <w:r>
        <w:rPr>
          <w:spacing w:val="-4"/>
        </w:rPr>
        <w:t> </w:t>
      </w:r>
      <w:r>
        <w:rPr/>
        <w:t>compliance.</w:t>
      </w:r>
      <w:r>
        <w:rPr>
          <w:spacing w:val="-3"/>
        </w:rPr>
        <w:t> </w:t>
      </w:r>
      <w:r>
        <w:rPr/>
        <w:t>This</w:t>
      </w:r>
      <w:r>
        <w:rPr>
          <w:spacing w:val="-4"/>
        </w:rPr>
        <w:t> </w:t>
      </w:r>
      <w:r>
        <w:rPr/>
        <w:t>could</w:t>
      </w:r>
      <w:r>
        <w:rPr>
          <w:spacing w:val="-2"/>
        </w:rPr>
        <w:t> </w:t>
      </w:r>
      <w:r>
        <w:rPr/>
        <w:t>include</w:t>
      </w:r>
      <w:r>
        <w:rPr>
          <w:spacing w:val="-4"/>
        </w:rPr>
        <w:t> </w:t>
      </w:r>
      <w:r>
        <w:rPr/>
        <w:t>financial penalties to be applied for any period that a network business operates without having submitted an acceptable safety case by the required date.</w:t>
      </w:r>
    </w:p>
    <w:p>
      <w:pPr>
        <w:pStyle w:val="BodyText"/>
        <w:spacing w:before="10"/>
        <w:rPr>
          <w:sz w:val="20"/>
        </w:rPr>
      </w:pPr>
    </w:p>
    <w:p>
      <w:pPr>
        <w:spacing w:line="288" w:lineRule="auto" w:before="0"/>
        <w:ind w:left="232" w:right="374" w:firstLine="0"/>
        <w:jc w:val="left"/>
        <w:rPr>
          <w:sz w:val="22"/>
        </w:rPr>
      </w:pPr>
      <w:r>
        <w:rPr>
          <w:sz w:val="22"/>
        </w:rPr>
        <w:t>The</w:t>
      </w:r>
      <w:r>
        <w:rPr>
          <w:spacing w:val="-5"/>
          <w:sz w:val="22"/>
        </w:rPr>
        <w:t> </w:t>
      </w:r>
      <w:r>
        <w:rPr>
          <w:sz w:val="22"/>
        </w:rPr>
        <w:t>provisions</w:t>
      </w:r>
      <w:r>
        <w:rPr>
          <w:spacing w:val="-2"/>
          <w:sz w:val="22"/>
        </w:rPr>
        <w:t> </w:t>
      </w:r>
      <w:r>
        <w:rPr>
          <w:sz w:val="22"/>
        </w:rPr>
        <w:t>under</w:t>
      </w:r>
      <w:r>
        <w:rPr>
          <w:spacing w:val="-4"/>
          <w:sz w:val="22"/>
        </w:rPr>
        <w:t> </w:t>
      </w:r>
      <w:r>
        <w:rPr>
          <w:sz w:val="22"/>
        </w:rPr>
        <w:t>the</w:t>
      </w:r>
      <w:r>
        <w:rPr>
          <w:spacing w:val="-4"/>
          <w:sz w:val="22"/>
        </w:rPr>
        <w:t> </w:t>
      </w:r>
      <w:r>
        <w:rPr>
          <w:i/>
          <w:sz w:val="22"/>
        </w:rPr>
        <w:t>Pipelines</w:t>
      </w:r>
      <w:r>
        <w:rPr>
          <w:i/>
          <w:spacing w:val="-2"/>
          <w:sz w:val="22"/>
        </w:rPr>
        <w:t> </w:t>
      </w:r>
      <w:r>
        <w:rPr>
          <w:i/>
          <w:sz w:val="22"/>
        </w:rPr>
        <w:t>Act</w:t>
      </w:r>
      <w:r>
        <w:rPr>
          <w:i/>
          <w:spacing w:val="-1"/>
          <w:sz w:val="22"/>
        </w:rPr>
        <w:t> </w:t>
      </w:r>
      <w:r>
        <w:rPr>
          <w:i/>
          <w:sz w:val="22"/>
        </w:rPr>
        <w:t>2005</w:t>
      </w:r>
      <w:r>
        <w:rPr>
          <w:i/>
          <w:spacing w:val="-7"/>
          <w:sz w:val="22"/>
        </w:rPr>
        <w:t> </w:t>
      </w:r>
      <w:r>
        <w:rPr>
          <w:sz w:val="22"/>
        </w:rPr>
        <w:t>for</w:t>
      </w:r>
      <w:r>
        <w:rPr>
          <w:spacing w:val="-2"/>
          <w:sz w:val="22"/>
        </w:rPr>
        <w:t> </w:t>
      </w:r>
      <w:r>
        <w:rPr>
          <w:sz w:val="22"/>
        </w:rPr>
        <w:t>submission,</w:t>
      </w:r>
      <w:r>
        <w:rPr>
          <w:spacing w:val="-1"/>
          <w:sz w:val="22"/>
        </w:rPr>
        <w:t> </w:t>
      </w:r>
      <w:r>
        <w:rPr>
          <w:sz w:val="22"/>
        </w:rPr>
        <w:t>acceptance</w:t>
      </w:r>
      <w:r>
        <w:rPr>
          <w:spacing w:val="-5"/>
          <w:sz w:val="22"/>
        </w:rPr>
        <w:t> </w:t>
      </w:r>
      <w:r>
        <w:rPr>
          <w:sz w:val="22"/>
        </w:rPr>
        <w:t>and</w:t>
      </w:r>
      <w:r>
        <w:rPr>
          <w:spacing w:val="-3"/>
          <w:sz w:val="22"/>
        </w:rPr>
        <w:t> </w:t>
      </w:r>
      <w:r>
        <w:rPr>
          <w:sz w:val="22"/>
        </w:rPr>
        <w:t>revision</w:t>
      </w:r>
      <w:r>
        <w:rPr>
          <w:spacing w:val="-3"/>
          <w:sz w:val="22"/>
        </w:rPr>
        <w:t> </w:t>
      </w:r>
      <w:r>
        <w:rPr>
          <w:sz w:val="22"/>
        </w:rPr>
        <w:t>are</w:t>
      </w:r>
      <w:r>
        <w:rPr>
          <w:spacing w:val="-2"/>
          <w:sz w:val="22"/>
        </w:rPr>
        <w:t> </w:t>
      </w:r>
      <w:r>
        <w:rPr>
          <w:sz w:val="22"/>
        </w:rPr>
        <w:t>currently significantly different to those under the </w:t>
      </w:r>
      <w:r>
        <w:rPr>
          <w:i/>
          <w:sz w:val="22"/>
        </w:rPr>
        <w:t>Electricity Safety Act 1998 </w:t>
      </w:r>
      <w:r>
        <w:rPr>
          <w:sz w:val="22"/>
        </w:rPr>
        <w:t>and the </w:t>
      </w:r>
      <w:r>
        <w:rPr>
          <w:i/>
          <w:sz w:val="22"/>
        </w:rPr>
        <w:t>Gas Safety Act 1997 </w:t>
      </w:r>
      <w:r>
        <w:rPr>
          <w:sz w:val="22"/>
        </w:rPr>
        <w:t>and should be consolidated as per these recommendations.</w:t>
      </w:r>
    </w:p>
    <w:p>
      <w:pPr>
        <w:pStyle w:val="BodyText"/>
        <w:spacing w:before="10"/>
        <w:rPr>
          <w:sz w:val="18"/>
        </w:rPr>
      </w:pPr>
      <w:r>
        <w:rPr/>
        <mc:AlternateContent>
          <mc:Choice Requires="wps">
            <w:drawing>
              <wp:anchor distT="0" distB="0" distL="0" distR="0" allowOverlap="1" layoutInCell="1" locked="0" behindDoc="1" simplePos="0" relativeHeight="487666688">
                <wp:simplePos x="0" y="0"/>
                <wp:positionH relativeFrom="page">
                  <wp:posOffset>719327</wp:posOffset>
                </wp:positionH>
                <wp:positionV relativeFrom="paragraph">
                  <wp:posOffset>153023</wp:posOffset>
                </wp:positionV>
                <wp:extent cx="5870575" cy="3225165"/>
                <wp:effectExtent l="0" t="0" r="0" b="0"/>
                <wp:wrapTopAndBottom/>
                <wp:docPr id="218" name="Textbox 218"/>
                <wp:cNvGraphicFramePr>
                  <a:graphicFrameLocks/>
                </wp:cNvGraphicFramePr>
                <a:graphic>
                  <a:graphicData uri="http://schemas.microsoft.com/office/word/2010/wordprocessingShape">
                    <wps:wsp>
                      <wps:cNvPr id="218" name="Textbox 218"/>
                      <wps:cNvSpPr txBox="1"/>
                      <wps:spPr>
                        <a:xfrm>
                          <a:off x="0" y="0"/>
                          <a:ext cx="5870575" cy="3225165"/>
                        </a:xfrm>
                        <a:prstGeom prst="rect">
                          <a:avLst/>
                        </a:prstGeom>
                        <a:solidFill>
                          <a:srgbClr val="D9D9D9"/>
                        </a:solidFill>
                      </wps:spPr>
                      <wps:txbx>
                        <w:txbxContent>
                          <w:p>
                            <w:pPr>
                              <w:pStyle w:val="BodyText"/>
                              <w:spacing w:before="9"/>
                              <w:rPr>
                                <w:color w:val="000000"/>
                                <w:sz w:val="20"/>
                              </w:rPr>
                            </w:pPr>
                          </w:p>
                          <w:p>
                            <w:pPr>
                              <w:spacing w:before="1"/>
                              <w:ind w:left="112" w:right="0" w:firstLine="0"/>
                              <w:jc w:val="left"/>
                              <w:rPr>
                                <w:b/>
                                <w:color w:val="000000"/>
                                <w:sz w:val="22"/>
                              </w:rPr>
                            </w:pPr>
                            <w:r>
                              <w:rPr>
                                <w:b/>
                                <w:color w:val="000000"/>
                                <w:sz w:val="22"/>
                              </w:rPr>
                              <w:t>Recommendation</w:t>
                            </w:r>
                            <w:r>
                              <w:rPr>
                                <w:b/>
                                <w:color w:val="000000"/>
                                <w:spacing w:val="-6"/>
                                <w:sz w:val="22"/>
                              </w:rPr>
                              <w:t> </w:t>
                            </w:r>
                            <w:r>
                              <w:rPr>
                                <w:b/>
                                <w:color w:val="000000"/>
                                <w:spacing w:val="-5"/>
                                <w:sz w:val="22"/>
                              </w:rPr>
                              <w:t>40</w:t>
                            </w:r>
                          </w:p>
                          <w:p>
                            <w:pPr>
                              <w:pStyle w:val="BodyText"/>
                              <w:spacing w:before="1"/>
                              <w:rPr>
                                <w:b/>
                                <w:color w:val="000000"/>
                                <w:sz w:val="25"/>
                              </w:rPr>
                            </w:pPr>
                          </w:p>
                          <w:p>
                            <w:pPr>
                              <w:pStyle w:val="BodyText"/>
                              <w:spacing w:line="288" w:lineRule="auto" w:before="1"/>
                              <w:ind w:left="112"/>
                              <w:rPr>
                                <w:color w:val="000000"/>
                              </w:rPr>
                            </w:pPr>
                            <w:r>
                              <w:rPr>
                                <w:color w:val="000000"/>
                              </w:rPr>
                              <w:t>The</w:t>
                            </w:r>
                            <w:r>
                              <w:rPr>
                                <w:color w:val="000000"/>
                                <w:spacing w:val="-5"/>
                              </w:rPr>
                              <w:t> </w:t>
                            </w:r>
                            <w:r>
                              <w:rPr>
                                <w:color w:val="000000"/>
                              </w:rPr>
                              <w:t>safety</w:t>
                            </w:r>
                            <w:r>
                              <w:rPr>
                                <w:color w:val="000000"/>
                                <w:spacing w:val="-5"/>
                              </w:rPr>
                              <w:t> </w:t>
                            </w:r>
                            <w:r>
                              <w:rPr>
                                <w:color w:val="000000"/>
                              </w:rPr>
                              <w:t>case</w:t>
                            </w:r>
                            <w:r>
                              <w:rPr>
                                <w:color w:val="000000"/>
                                <w:spacing w:val="-3"/>
                              </w:rPr>
                              <w:t> </w:t>
                            </w:r>
                            <w:r>
                              <w:rPr>
                                <w:color w:val="000000"/>
                              </w:rPr>
                              <w:t>provisions</w:t>
                            </w:r>
                            <w:r>
                              <w:rPr>
                                <w:color w:val="000000"/>
                                <w:spacing w:val="-2"/>
                              </w:rPr>
                              <w:t> </w:t>
                            </w:r>
                            <w:r>
                              <w:rPr>
                                <w:color w:val="000000"/>
                              </w:rPr>
                              <w:t>in</w:t>
                            </w:r>
                            <w:r>
                              <w:rPr>
                                <w:color w:val="000000"/>
                                <w:spacing w:val="-3"/>
                              </w:rPr>
                              <w:t> </w:t>
                            </w:r>
                            <w:r>
                              <w:rPr>
                                <w:color w:val="000000"/>
                              </w:rPr>
                              <w:t>the</w:t>
                            </w:r>
                            <w:r>
                              <w:rPr>
                                <w:color w:val="000000"/>
                                <w:spacing w:val="-5"/>
                              </w:rPr>
                              <w:t> </w:t>
                            </w:r>
                            <w:r>
                              <w:rPr>
                                <w:color w:val="000000"/>
                              </w:rPr>
                              <w:t>consolidated</w:t>
                            </w:r>
                            <w:r>
                              <w:rPr>
                                <w:color w:val="000000"/>
                                <w:spacing w:val="-5"/>
                              </w:rPr>
                              <w:t> </w:t>
                            </w:r>
                            <w:r>
                              <w:rPr>
                                <w:color w:val="000000"/>
                              </w:rPr>
                              <w:t>energy</w:t>
                            </w:r>
                            <w:r>
                              <w:rPr>
                                <w:color w:val="000000"/>
                                <w:spacing w:val="-5"/>
                              </w:rPr>
                              <w:t> </w:t>
                            </w:r>
                            <w:r>
                              <w:rPr>
                                <w:color w:val="000000"/>
                              </w:rPr>
                              <w:t>safety</w:t>
                            </w:r>
                            <w:r>
                              <w:rPr>
                                <w:color w:val="000000"/>
                                <w:spacing w:val="-4"/>
                              </w:rPr>
                              <w:t> </w:t>
                            </w:r>
                            <w:r>
                              <w:rPr>
                                <w:color w:val="000000"/>
                              </w:rPr>
                              <w:t>legislation</w:t>
                            </w:r>
                            <w:r>
                              <w:rPr>
                                <w:color w:val="000000"/>
                                <w:spacing w:val="-3"/>
                              </w:rPr>
                              <w:t> </w:t>
                            </w:r>
                            <w:r>
                              <w:rPr>
                                <w:color w:val="000000"/>
                              </w:rPr>
                              <w:t>should</w:t>
                            </w:r>
                            <w:r>
                              <w:rPr>
                                <w:color w:val="000000"/>
                                <w:spacing w:val="-5"/>
                              </w:rPr>
                              <w:t> </w:t>
                            </w:r>
                            <w:r>
                              <w:rPr>
                                <w:color w:val="000000"/>
                              </w:rPr>
                              <w:t>facilitate effective regulation by ESV including:</w:t>
                            </w:r>
                          </w:p>
                          <w:p>
                            <w:pPr>
                              <w:pStyle w:val="BodyText"/>
                              <w:spacing w:before="3"/>
                              <w:rPr>
                                <w:color w:val="000000"/>
                              </w:rPr>
                            </w:pPr>
                          </w:p>
                          <w:p>
                            <w:pPr>
                              <w:pStyle w:val="BodyText"/>
                              <w:numPr>
                                <w:ilvl w:val="0"/>
                                <w:numId w:val="88"/>
                              </w:numPr>
                              <w:tabs>
                                <w:tab w:pos="500" w:val="left" w:leader="none"/>
                              </w:tabs>
                              <w:spacing w:line="240" w:lineRule="auto" w:before="0" w:after="0"/>
                              <w:ind w:left="500" w:right="0" w:hanging="217"/>
                              <w:jc w:val="left"/>
                              <w:rPr>
                                <w:color w:val="000000"/>
                              </w:rPr>
                            </w:pPr>
                            <w:r>
                              <w:rPr>
                                <w:color w:val="000000"/>
                              </w:rPr>
                              <w:t>providing</w:t>
                            </w:r>
                            <w:r>
                              <w:rPr>
                                <w:color w:val="000000"/>
                                <w:spacing w:val="-3"/>
                              </w:rPr>
                              <w:t> </w:t>
                            </w:r>
                            <w:r>
                              <w:rPr>
                                <w:color w:val="000000"/>
                              </w:rPr>
                              <w:t>broad</w:t>
                            </w:r>
                            <w:r>
                              <w:rPr>
                                <w:color w:val="000000"/>
                                <w:spacing w:val="-6"/>
                              </w:rPr>
                              <w:t> </w:t>
                            </w:r>
                            <w:r>
                              <w:rPr>
                                <w:color w:val="000000"/>
                              </w:rPr>
                              <w:t>discretion</w:t>
                            </w:r>
                            <w:r>
                              <w:rPr>
                                <w:color w:val="000000"/>
                                <w:spacing w:val="-6"/>
                              </w:rPr>
                              <w:t> </w:t>
                            </w:r>
                            <w:r>
                              <w:rPr>
                                <w:color w:val="000000"/>
                              </w:rPr>
                              <w:t>for</w:t>
                            </w:r>
                            <w:r>
                              <w:rPr>
                                <w:color w:val="000000"/>
                                <w:spacing w:val="-3"/>
                              </w:rPr>
                              <w:t> </w:t>
                            </w:r>
                            <w:r>
                              <w:rPr>
                                <w:color w:val="000000"/>
                              </w:rPr>
                              <w:t>ESV</w:t>
                            </w:r>
                            <w:r>
                              <w:rPr>
                                <w:color w:val="000000"/>
                                <w:spacing w:val="-6"/>
                              </w:rPr>
                              <w:t> </w:t>
                            </w:r>
                            <w:r>
                              <w:rPr>
                                <w:color w:val="000000"/>
                              </w:rPr>
                              <w:t>to</w:t>
                            </w:r>
                            <w:r>
                              <w:rPr>
                                <w:color w:val="000000"/>
                                <w:spacing w:val="-5"/>
                              </w:rPr>
                              <w:t> </w:t>
                            </w:r>
                            <w:r>
                              <w:rPr>
                                <w:color w:val="000000"/>
                              </w:rPr>
                              <w:t>request</w:t>
                            </w:r>
                            <w:r>
                              <w:rPr>
                                <w:color w:val="000000"/>
                                <w:spacing w:val="-5"/>
                              </w:rPr>
                              <w:t> </w:t>
                            </w:r>
                            <w:r>
                              <w:rPr>
                                <w:color w:val="000000"/>
                                <w:spacing w:val="-2"/>
                              </w:rPr>
                              <w:t>changes;</w:t>
                            </w:r>
                          </w:p>
                          <w:p>
                            <w:pPr>
                              <w:pStyle w:val="BodyText"/>
                              <w:spacing w:before="8"/>
                              <w:rPr>
                                <w:color w:val="000000"/>
                                <w:sz w:val="26"/>
                              </w:rPr>
                            </w:pPr>
                          </w:p>
                          <w:p>
                            <w:pPr>
                              <w:pStyle w:val="BodyText"/>
                              <w:numPr>
                                <w:ilvl w:val="0"/>
                                <w:numId w:val="88"/>
                              </w:numPr>
                              <w:tabs>
                                <w:tab w:pos="500" w:val="left" w:leader="none"/>
                                <w:tab w:pos="502" w:val="left" w:leader="none"/>
                              </w:tabs>
                              <w:spacing w:line="288" w:lineRule="auto" w:before="0" w:after="0"/>
                              <w:ind w:left="502" w:right="123" w:hanging="219"/>
                              <w:jc w:val="left"/>
                              <w:rPr>
                                <w:color w:val="000000"/>
                              </w:rPr>
                            </w:pPr>
                            <w:r>
                              <w:rPr>
                                <w:color w:val="000000"/>
                              </w:rPr>
                              <w:t>providing</w:t>
                            </w:r>
                            <w:r>
                              <w:rPr>
                                <w:color w:val="000000"/>
                                <w:spacing w:val="-1"/>
                              </w:rPr>
                              <w:t> </w:t>
                            </w:r>
                            <w:r>
                              <w:rPr>
                                <w:color w:val="000000"/>
                              </w:rPr>
                              <w:t>the</w:t>
                            </w:r>
                            <w:r>
                              <w:rPr>
                                <w:color w:val="000000"/>
                                <w:spacing w:val="-5"/>
                              </w:rPr>
                              <w:t> </w:t>
                            </w:r>
                            <w:r>
                              <w:rPr>
                                <w:color w:val="000000"/>
                              </w:rPr>
                              <w:t>capacity</w:t>
                            </w:r>
                            <w:r>
                              <w:rPr>
                                <w:color w:val="000000"/>
                                <w:spacing w:val="-7"/>
                              </w:rPr>
                              <w:t> </w:t>
                            </w:r>
                            <w:r>
                              <w:rPr>
                                <w:color w:val="000000"/>
                              </w:rPr>
                              <w:t>for</w:t>
                            </w:r>
                            <w:r>
                              <w:rPr>
                                <w:color w:val="000000"/>
                                <w:spacing w:val="-4"/>
                              </w:rPr>
                              <w:t> </w:t>
                            </w:r>
                            <w:r>
                              <w:rPr>
                                <w:color w:val="000000"/>
                              </w:rPr>
                              <w:t>ESV</w:t>
                            </w:r>
                            <w:r>
                              <w:rPr>
                                <w:color w:val="000000"/>
                                <w:spacing w:val="-3"/>
                              </w:rPr>
                              <w:t> </w:t>
                            </w:r>
                            <w:r>
                              <w:rPr>
                                <w:color w:val="000000"/>
                              </w:rPr>
                              <w:t>to</w:t>
                            </w:r>
                            <w:r>
                              <w:rPr>
                                <w:color w:val="000000"/>
                                <w:spacing w:val="-5"/>
                              </w:rPr>
                              <w:t> </w:t>
                            </w:r>
                            <w:r>
                              <w:rPr>
                                <w:color w:val="000000"/>
                              </w:rPr>
                              <w:t>accept</w:t>
                            </w:r>
                            <w:r>
                              <w:rPr>
                                <w:color w:val="000000"/>
                                <w:spacing w:val="-1"/>
                              </w:rPr>
                              <w:t> </w:t>
                            </w:r>
                            <w:r>
                              <w:rPr>
                                <w:color w:val="000000"/>
                              </w:rPr>
                              <w:t>changes</w:t>
                            </w:r>
                            <w:r>
                              <w:rPr>
                                <w:color w:val="000000"/>
                                <w:spacing w:val="-5"/>
                              </w:rPr>
                              <w:t> </w:t>
                            </w:r>
                            <w:r>
                              <w:rPr>
                                <w:color w:val="000000"/>
                              </w:rPr>
                              <w:t>or</w:t>
                            </w:r>
                            <w:r>
                              <w:rPr>
                                <w:color w:val="000000"/>
                                <w:spacing w:val="-2"/>
                              </w:rPr>
                              <w:t> </w:t>
                            </w:r>
                            <w:r>
                              <w:rPr>
                                <w:color w:val="000000"/>
                              </w:rPr>
                              <w:t>request</w:t>
                            </w:r>
                            <w:r>
                              <w:rPr>
                                <w:color w:val="000000"/>
                                <w:spacing w:val="-4"/>
                              </w:rPr>
                              <w:t> </w:t>
                            </w:r>
                            <w:r>
                              <w:rPr>
                                <w:color w:val="000000"/>
                              </w:rPr>
                              <w:t>revisions</w:t>
                            </w:r>
                            <w:r>
                              <w:rPr>
                                <w:color w:val="000000"/>
                                <w:spacing w:val="-2"/>
                              </w:rPr>
                              <w:t> </w:t>
                            </w:r>
                            <w:r>
                              <w:rPr>
                                <w:color w:val="000000"/>
                              </w:rPr>
                              <w:t>without</w:t>
                            </w:r>
                            <w:r>
                              <w:rPr>
                                <w:color w:val="000000"/>
                                <w:spacing w:val="-2"/>
                              </w:rPr>
                              <w:t> </w:t>
                            </w:r>
                            <w:r>
                              <w:rPr>
                                <w:color w:val="000000"/>
                              </w:rPr>
                              <w:t>it</w:t>
                            </w:r>
                            <w:r>
                              <w:rPr>
                                <w:color w:val="000000"/>
                                <w:spacing w:val="-4"/>
                              </w:rPr>
                              <w:t> </w:t>
                            </w:r>
                            <w:r>
                              <w:rPr>
                                <w:color w:val="000000"/>
                              </w:rPr>
                              <w:t>requiring a full revision resetting the five-year revision period;</w:t>
                            </w:r>
                          </w:p>
                          <w:p>
                            <w:pPr>
                              <w:pStyle w:val="BodyText"/>
                              <w:spacing w:before="2"/>
                              <w:rPr>
                                <w:color w:val="000000"/>
                              </w:rPr>
                            </w:pPr>
                          </w:p>
                          <w:p>
                            <w:pPr>
                              <w:pStyle w:val="BodyText"/>
                              <w:numPr>
                                <w:ilvl w:val="0"/>
                                <w:numId w:val="88"/>
                              </w:numPr>
                              <w:tabs>
                                <w:tab w:pos="500" w:val="left" w:leader="none"/>
                                <w:tab w:pos="502" w:val="left" w:leader="none"/>
                              </w:tabs>
                              <w:spacing w:line="288" w:lineRule="auto" w:before="0" w:after="0"/>
                              <w:ind w:left="502" w:right="247" w:hanging="219"/>
                              <w:jc w:val="left"/>
                              <w:rPr>
                                <w:color w:val="000000"/>
                              </w:rPr>
                            </w:pPr>
                            <w:r>
                              <w:rPr>
                                <w:color w:val="000000"/>
                              </w:rPr>
                              <w:t>providing the capacity for ESV to require a full revision of a safety case resetting the five-year</w:t>
                            </w:r>
                            <w:r>
                              <w:rPr>
                                <w:color w:val="000000"/>
                                <w:spacing w:val="-2"/>
                              </w:rPr>
                              <w:t> </w:t>
                            </w:r>
                            <w:r>
                              <w:rPr>
                                <w:color w:val="000000"/>
                              </w:rPr>
                              <w:t>revision</w:t>
                            </w:r>
                            <w:r>
                              <w:rPr>
                                <w:color w:val="000000"/>
                                <w:spacing w:val="-3"/>
                              </w:rPr>
                              <w:t> </w:t>
                            </w:r>
                            <w:r>
                              <w:rPr>
                                <w:color w:val="000000"/>
                              </w:rPr>
                              <w:t>period,</w:t>
                            </w:r>
                            <w:r>
                              <w:rPr>
                                <w:color w:val="000000"/>
                                <w:spacing w:val="-4"/>
                              </w:rPr>
                              <w:t> </w:t>
                            </w:r>
                            <w:r>
                              <w:rPr>
                                <w:color w:val="000000"/>
                              </w:rPr>
                              <w:t>under</w:t>
                            </w:r>
                            <w:r>
                              <w:rPr>
                                <w:color w:val="000000"/>
                                <w:spacing w:val="-4"/>
                              </w:rPr>
                              <w:t> </w:t>
                            </w:r>
                            <w:r>
                              <w:rPr>
                                <w:color w:val="000000"/>
                              </w:rPr>
                              <w:t>circumstances</w:t>
                            </w:r>
                            <w:r>
                              <w:rPr>
                                <w:color w:val="000000"/>
                                <w:spacing w:val="-3"/>
                              </w:rPr>
                              <w:t> </w:t>
                            </w:r>
                            <w:r>
                              <w:rPr>
                                <w:color w:val="000000"/>
                              </w:rPr>
                              <w:t>where</w:t>
                            </w:r>
                            <w:r>
                              <w:rPr>
                                <w:color w:val="000000"/>
                                <w:spacing w:val="-5"/>
                              </w:rPr>
                              <w:t> </w:t>
                            </w:r>
                            <w:r>
                              <w:rPr>
                                <w:color w:val="000000"/>
                              </w:rPr>
                              <w:t>there</w:t>
                            </w:r>
                            <w:r>
                              <w:rPr>
                                <w:color w:val="000000"/>
                                <w:spacing w:val="-5"/>
                              </w:rPr>
                              <w:t> </w:t>
                            </w:r>
                            <w:r>
                              <w:rPr>
                                <w:color w:val="000000"/>
                              </w:rPr>
                              <w:t>has</w:t>
                            </w:r>
                            <w:r>
                              <w:rPr>
                                <w:color w:val="000000"/>
                                <w:spacing w:val="-2"/>
                              </w:rPr>
                              <w:t> </w:t>
                            </w:r>
                            <w:r>
                              <w:rPr>
                                <w:color w:val="000000"/>
                              </w:rPr>
                              <w:t>been</w:t>
                            </w:r>
                            <w:r>
                              <w:rPr>
                                <w:color w:val="000000"/>
                                <w:spacing w:val="-5"/>
                              </w:rPr>
                              <w:t> </w:t>
                            </w:r>
                            <w:r>
                              <w:rPr>
                                <w:color w:val="000000"/>
                              </w:rPr>
                              <w:t>a</w:t>
                            </w:r>
                            <w:r>
                              <w:rPr>
                                <w:color w:val="000000"/>
                                <w:spacing w:val="-5"/>
                              </w:rPr>
                              <w:t> </w:t>
                            </w:r>
                            <w:r>
                              <w:rPr>
                                <w:color w:val="000000"/>
                              </w:rPr>
                              <w:t>material</w:t>
                            </w:r>
                            <w:r>
                              <w:rPr>
                                <w:color w:val="000000"/>
                                <w:spacing w:val="-3"/>
                              </w:rPr>
                              <w:t> </w:t>
                            </w:r>
                            <w:r>
                              <w:rPr>
                                <w:color w:val="000000"/>
                              </w:rPr>
                              <w:t>change warranting a full revision; and</w:t>
                            </w:r>
                          </w:p>
                          <w:p>
                            <w:pPr>
                              <w:pStyle w:val="BodyText"/>
                              <w:spacing w:before="2"/>
                              <w:rPr>
                                <w:color w:val="000000"/>
                              </w:rPr>
                            </w:pPr>
                          </w:p>
                          <w:p>
                            <w:pPr>
                              <w:pStyle w:val="BodyText"/>
                              <w:numPr>
                                <w:ilvl w:val="0"/>
                                <w:numId w:val="88"/>
                              </w:numPr>
                              <w:tabs>
                                <w:tab w:pos="500" w:val="left" w:leader="none"/>
                                <w:tab w:pos="502" w:val="left" w:leader="none"/>
                              </w:tabs>
                              <w:spacing w:line="285" w:lineRule="auto" w:before="0" w:after="0"/>
                              <w:ind w:left="502" w:right="399" w:hanging="219"/>
                              <w:jc w:val="left"/>
                              <w:rPr>
                                <w:color w:val="000000"/>
                              </w:rPr>
                            </w:pPr>
                            <w:r>
                              <w:rPr>
                                <w:color w:val="000000"/>
                              </w:rPr>
                              <w:t>incorporating</w:t>
                            </w:r>
                            <w:r>
                              <w:rPr>
                                <w:color w:val="000000"/>
                                <w:spacing w:val="-5"/>
                              </w:rPr>
                              <w:t> </w:t>
                            </w:r>
                            <w:r>
                              <w:rPr>
                                <w:color w:val="000000"/>
                              </w:rPr>
                              <w:t>effective</w:t>
                            </w:r>
                            <w:r>
                              <w:rPr>
                                <w:color w:val="000000"/>
                                <w:spacing w:val="-5"/>
                              </w:rPr>
                              <w:t> </w:t>
                            </w:r>
                            <w:r>
                              <w:rPr>
                                <w:color w:val="000000"/>
                              </w:rPr>
                              <w:t>provisions</w:t>
                            </w:r>
                            <w:r>
                              <w:rPr>
                                <w:color w:val="000000"/>
                                <w:spacing w:val="-4"/>
                              </w:rPr>
                              <w:t> </w:t>
                            </w:r>
                            <w:r>
                              <w:rPr>
                                <w:color w:val="000000"/>
                              </w:rPr>
                              <w:t>to</w:t>
                            </w:r>
                            <w:r>
                              <w:rPr>
                                <w:color w:val="000000"/>
                                <w:spacing w:val="-5"/>
                              </w:rPr>
                              <w:t> </w:t>
                            </w:r>
                            <w:r>
                              <w:rPr>
                                <w:color w:val="000000"/>
                              </w:rPr>
                              <w:t>ensure</w:t>
                            </w:r>
                            <w:r>
                              <w:rPr>
                                <w:color w:val="000000"/>
                                <w:spacing w:val="-7"/>
                              </w:rPr>
                              <w:t> </w:t>
                            </w:r>
                            <w:r>
                              <w:rPr>
                                <w:color w:val="000000"/>
                              </w:rPr>
                              <w:t>network</w:t>
                            </w:r>
                            <w:r>
                              <w:rPr>
                                <w:color w:val="000000"/>
                                <w:spacing w:val="-2"/>
                              </w:rPr>
                              <w:t> </w:t>
                            </w:r>
                            <w:r>
                              <w:rPr>
                                <w:color w:val="000000"/>
                              </w:rPr>
                              <w:t>businesses</w:t>
                            </w:r>
                            <w:r>
                              <w:rPr>
                                <w:color w:val="000000"/>
                                <w:spacing w:val="-4"/>
                              </w:rPr>
                              <w:t> </w:t>
                            </w:r>
                            <w:r>
                              <w:rPr>
                                <w:color w:val="000000"/>
                              </w:rPr>
                              <w:t>have</w:t>
                            </w:r>
                            <w:r>
                              <w:rPr>
                                <w:color w:val="000000"/>
                                <w:spacing w:val="-5"/>
                              </w:rPr>
                              <w:t> </w:t>
                            </w:r>
                            <w:r>
                              <w:rPr>
                                <w:color w:val="000000"/>
                              </w:rPr>
                              <w:t>adequate</w:t>
                            </w:r>
                            <w:r>
                              <w:rPr>
                                <w:color w:val="000000"/>
                                <w:spacing w:val="-4"/>
                              </w:rPr>
                              <w:t> </w:t>
                            </w:r>
                            <w:r>
                              <w:rPr>
                                <w:color w:val="000000"/>
                              </w:rPr>
                              <w:t>safety cases in place.</w:t>
                            </w:r>
                          </w:p>
                        </w:txbxContent>
                      </wps:txbx>
                      <wps:bodyPr wrap="square" lIns="0" tIns="0" rIns="0" bIns="0" rtlCol="0">
                        <a:noAutofit/>
                      </wps:bodyPr>
                    </wps:wsp>
                  </a:graphicData>
                </a:graphic>
              </wp:anchor>
            </w:drawing>
          </mc:Choice>
          <mc:Fallback>
            <w:pict>
              <v:shape style="position:absolute;margin-left:56.639999pt;margin-top:12.049121pt;width:462.25pt;height:253.95pt;mso-position-horizontal-relative:page;mso-position-vertical-relative:paragraph;z-index:-15649792;mso-wrap-distance-left:0;mso-wrap-distance-right:0" type="#_x0000_t202" id="docshape187" filled="true" fillcolor="#d9d9d9" stroked="false">
                <v:textbox inset="0,0,0,0">
                  <w:txbxContent>
                    <w:p>
                      <w:pPr>
                        <w:pStyle w:val="BodyText"/>
                        <w:spacing w:before="9"/>
                        <w:rPr>
                          <w:color w:val="000000"/>
                          <w:sz w:val="20"/>
                        </w:rPr>
                      </w:pPr>
                    </w:p>
                    <w:p>
                      <w:pPr>
                        <w:spacing w:before="1"/>
                        <w:ind w:left="112" w:right="0" w:firstLine="0"/>
                        <w:jc w:val="left"/>
                        <w:rPr>
                          <w:b/>
                          <w:color w:val="000000"/>
                          <w:sz w:val="22"/>
                        </w:rPr>
                      </w:pPr>
                      <w:r>
                        <w:rPr>
                          <w:b/>
                          <w:color w:val="000000"/>
                          <w:sz w:val="22"/>
                        </w:rPr>
                        <w:t>Recommendation</w:t>
                      </w:r>
                      <w:r>
                        <w:rPr>
                          <w:b/>
                          <w:color w:val="000000"/>
                          <w:spacing w:val="-6"/>
                          <w:sz w:val="22"/>
                        </w:rPr>
                        <w:t> </w:t>
                      </w:r>
                      <w:r>
                        <w:rPr>
                          <w:b/>
                          <w:color w:val="000000"/>
                          <w:spacing w:val="-5"/>
                          <w:sz w:val="22"/>
                        </w:rPr>
                        <w:t>40</w:t>
                      </w:r>
                    </w:p>
                    <w:p>
                      <w:pPr>
                        <w:pStyle w:val="BodyText"/>
                        <w:spacing w:before="1"/>
                        <w:rPr>
                          <w:b/>
                          <w:color w:val="000000"/>
                          <w:sz w:val="25"/>
                        </w:rPr>
                      </w:pPr>
                    </w:p>
                    <w:p>
                      <w:pPr>
                        <w:pStyle w:val="BodyText"/>
                        <w:spacing w:line="288" w:lineRule="auto" w:before="1"/>
                        <w:ind w:left="112"/>
                        <w:rPr>
                          <w:color w:val="000000"/>
                        </w:rPr>
                      </w:pPr>
                      <w:r>
                        <w:rPr>
                          <w:color w:val="000000"/>
                        </w:rPr>
                        <w:t>The</w:t>
                      </w:r>
                      <w:r>
                        <w:rPr>
                          <w:color w:val="000000"/>
                          <w:spacing w:val="-5"/>
                        </w:rPr>
                        <w:t> </w:t>
                      </w:r>
                      <w:r>
                        <w:rPr>
                          <w:color w:val="000000"/>
                        </w:rPr>
                        <w:t>safety</w:t>
                      </w:r>
                      <w:r>
                        <w:rPr>
                          <w:color w:val="000000"/>
                          <w:spacing w:val="-5"/>
                        </w:rPr>
                        <w:t> </w:t>
                      </w:r>
                      <w:r>
                        <w:rPr>
                          <w:color w:val="000000"/>
                        </w:rPr>
                        <w:t>case</w:t>
                      </w:r>
                      <w:r>
                        <w:rPr>
                          <w:color w:val="000000"/>
                          <w:spacing w:val="-3"/>
                        </w:rPr>
                        <w:t> </w:t>
                      </w:r>
                      <w:r>
                        <w:rPr>
                          <w:color w:val="000000"/>
                        </w:rPr>
                        <w:t>provisions</w:t>
                      </w:r>
                      <w:r>
                        <w:rPr>
                          <w:color w:val="000000"/>
                          <w:spacing w:val="-2"/>
                        </w:rPr>
                        <w:t> </w:t>
                      </w:r>
                      <w:r>
                        <w:rPr>
                          <w:color w:val="000000"/>
                        </w:rPr>
                        <w:t>in</w:t>
                      </w:r>
                      <w:r>
                        <w:rPr>
                          <w:color w:val="000000"/>
                          <w:spacing w:val="-3"/>
                        </w:rPr>
                        <w:t> </w:t>
                      </w:r>
                      <w:r>
                        <w:rPr>
                          <w:color w:val="000000"/>
                        </w:rPr>
                        <w:t>the</w:t>
                      </w:r>
                      <w:r>
                        <w:rPr>
                          <w:color w:val="000000"/>
                          <w:spacing w:val="-5"/>
                        </w:rPr>
                        <w:t> </w:t>
                      </w:r>
                      <w:r>
                        <w:rPr>
                          <w:color w:val="000000"/>
                        </w:rPr>
                        <w:t>consolidated</w:t>
                      </w:r>
                      <w:r>
                        <w:rPr>
                          <w:color w:val="000000"/>
                          <w:spacing w:val="-5"/>
                        </w:rPr>
                        <w:t> </w:t>
                      </w:r>
                      <w:r>
                        <w:rPr>
                          <w:color w:val="000000"/>
                        </w:rPr>
                        <w:t>energy</w:t>
                      </w:r>
                      <w:r>
                        <w:rPr>
                          <w:color w:val="000000"/>
                          <w:spacing w:val="-5"/>
                        </w:rPr>
                        <w:t> </w:t>
                      </w:r>
                      <w:r>
                        <w:rPr>
                          <w:color w:val="000000"/>
                        </w:rPr>
                        <w:t>safety</w:t>
                      </w:r>
                      <w:r>
                        <w:rPr>
                          <w:color w:val="000000"/>
                          <w:spacing w:val="-4"/>
                        </w:rPr>
                        <w:t> </w:t>
                      </w:r>
                      <w:r>
                        <w:rPr>
                          <w:color w:val="000000"/>
                        </w:rPr>
                        <w:t>legislation</w:t>
                      </w:r>
                      <w:r>
                        <w:rPr>
                          <w:color w:val="000000"/>
                          <w:spacing w:val="-3"/>
                        </w:rPr>
                        <w:t> </w:t>
                      </w:r>
                      <w:r>
                        <w:rPr>
                          <w:color w:val="000000"/>
                        </w:rPr>
                        <w:t>should</w:t>
                      </w:r>
                      <w:r>
                        <w:rPr>
                          <w:color w:val="000000"/>
                          <w:spacing w:val="-5"/>
                        </w:rPr>
                        <w:t> </w:t>
                      </w:r>
                      <w:r>
                        <w:rPr>
                          <w:color w:val="000000"/>
                        </w:rPr>
                        <w:t>facilitate effective regulation by ESV including:</w:t>
                      </w:r>
                    </w:p>
                    <w:p>
                      <w:pPr>
                        <w:pStyle w:val="BodyText"/>
                        <w:spacing w:before="3"/>
                        <w:rPr>
                          <w:color w:val="000000"/>
                        </w:rPr>
                      </w:pPr>
                    </w:p>
                    <w:p>
                      <w:pPr>
                        <w:pStyle w:val="BodyText"/>
                        <w:numPr>
                          <w:ilvl w:val="0"/>
                          <w:numId w:val="88"/>
                        </w:numPr>
                        <w:tabs>
                          <w:tab w:pos="500" w:val="left" w:leader="none"/>
                        </w:tabs>
                        <w:spacing w:line="240" w:lineRule="auto" w:before="0" w:after="0"/>
                        <w:ind w:left="500" w:right="0" w:hanging="217"/>
                        <w:jc w:val="left"/>
                        <w:rPr>
                          <w:color w:val="000000"/>
                        </w:rPr>
                      </w:pPr>
                      <w:r>
                        <w:rPr>
                          <w:color w:val="000000"/>
                        </w:rPr>
                        <w:t>providing</w:t>
                      </w:r>
                      <w:r>
                        <w:rPr>
                          <w:color w:val="000000"/>
                          <w:spacing w:val="-3"/>
                        </w:rPr>
                        <w:t> </w:t>
                      </w:r>
                      <w:r>
                        <w:rPr>
                          <w:color w:val="000000"/>
                        </w:rPr>
                        <w:t>broad</w:t>
                      </w:r>
                      <w:r>
                        <w:rPr>
                          <w:color w:val="000000"/>
                          <w:spacing w:val="-6"/>
                        </w:rPr>
                        <w:t> </w:t>
                      </w:r>
                      <w:r>
                        <w:rPr>
                          <w:color w:val="000000"/>
                        </w:rPr>
                        <w:t>discretion</w:t>
                      </w:r>
                      <w:r>
                        <w:rPr>
                          <w:color w:val="000000"/>
                          <w:spacing w:val="-6"/>
                        </w:rPr>
                        <w:t> </w:t>
                      </w:r>
                      <w:r>
                        <w:rPr>
                          <w:color w:val="000000"/>
                        </w:rPr>
                        <w:t>for</w:t>
                      </w:r>
                      <w:r>
                        <w:rPr>
                          <w:color w:val="000000"/>
                          <w:spacing w:val="-3"/>
                        </w:rPr>
                        <w:t> </w:t>
                      </w:r>
                      <w:r>
                        <w:rPr>
                          <w:color w:val="000000"/>
                        </w:rPr>
                        <w:t>ESV</w:t>
                      </w:r>
                      <w:r>
                        <w:rPr>
                          <w:color w:val="000000"/>
                          <w:spacing w:val="-6"/>
                        </w:rPr>
                        <w:t> </w:t>
                      </w:r>
                      <w:r>
                        <w:rPr>
                          <w:color w:val="000000"/>
                        </w:rPr>
                        <w:t>to</w:t>
                      </w:r>
                      <w:r>
                        <w:rPr>
                          <w:color w:val="000000"/>
                          <w:spacing w:val="-5"/>
                        </w:rPr>
                        <w:t> </w:t>
                      </w:r>
                      <w:r>
                        <w:rPr>
                          <w:color w:val="000000"/>
                        </w:rPr>
                        <w:t>request</w:t>
                      </w:r>
                      <w:r>
                        <w:rPr>
                          <w:color w:val="000000"/>
                          <w:spacing w:val="-5"/>
                        </w:rPr>
                        <w:t> </w:t>
                      </w:r>
                      <w:r>
                        <w:rPr>
                          <w:color w:val="000000"/>
                          <w:spacing w:val="-2"/>
                        </w:rPr>
                        <w:t>changes;</w:t>
                      </w:r>
                    </w:p>
                    <w:p>
                      <w:pPr>
                        <w:pStyle w:val="BodyText"/>
                        <w:spacing w:before="8"/>
                        <w:rPr>
                          <w:color w:val="000000"/>
                          <w:sz w:val="26"/>
                        </w:rPr>
                      </w:pPr>
                    </w:p>
                    <w:p>
                      <w:pPr>
                        <w:pStyle w:val="BodyText"/>
                        <w:numPr>
                          <w:ilvl w:val="0"/>
                          <w:numId w:val="88"/>
                        </w:numPr>
                        <w:tabs>
                          <w:tab w:pos="500" w:val="left" w:leader="none"/>
                          <w:tab w:pos="502" w:val="left" w:leader="none"/>
                        </w:tabs>
                        <w:spacing w:line="288" w:lineRule="auto" w:before="0" w:after="0"/>
                        <w:ind w:left="502" w:right="123" w:hanging="219"/>
                        <w:jc w:val="left"/>
                        <w:rPr>
                          <w:color w:val="000000"/>
                        </w:rPr>
                      </w:pPr>
                      <w:r>
                        <w:rPr>
                          <w:color w:val="000000"/>
                        </w:rPr>
                        <w:t>providing</w:t>
                      </w:r>
                      <w:r>
                        <w:rPr>
                          <w:color w:val="000000"/>
                          <w:spacing w:val="-1"/>
                        </w:rPr>
                        <w:t> </w:t>
                      </w:r>
                      <w:r>
                        <w:rPr>
                          <w:color w:val="000000"/>
                        </w:rPr>
                        <w:t>the</w:t>
                      </w:r>
                      <w:r>
                        <w:rPr>
                          <w:color w:val="000000"/>
                          <w:spacing w:val="-5"/>
                        </w:rPr>
                        <w:t> </w:t>
                      </w:r>
                      <w:r>
                        <w:rPr>
                          <w:color w:val="000000"/>
                        </w:rPr>
                        <w:t>capacity</w:t>
                      </w:r>
                      <w:r>
                        <w:rPr>
                          <w:color w:val="000000"/>
                          <w:spacing w:val="-7"/>
                        </w:rPr>
                        <w:t> </w:t>
                      </w:r>
                      <w:r>
                        <w:rPr>
                          <w:color w:val="000000"/>
                        </w:rPr>
                        <w:t>for</w:t>
                      </w:r>
                      <w:r>
                        <w:rPr>
                          <w:color w:val="000000"/>
                          <w:spacing w:val="-4"/>
                        </w:rPr>
                        <w:t> </w:t>
                      </w:r>
                      <w:r>
                        <w:rPr>
                          <w:color w:val="000000"/>
                        </w:rPr>
                        <w:t>ESV</w:t>
                      </w:r>
                      <w:r>
                        <w:rPr>
                          <w:color w:val="000000"/>
                          <w:spacing w:val="-3"/>
                        </w:rPr>
                        <w:t> </w:t>
                      </w:r>
                      <w:r>
                        <w:rPr>
                          <w:color w:val="000000"/>
                        </w:rPr>
                        <w:t>to</w:t>
                      </w:r>
                      <w:r>
                        <w:rPr>
                          <w:color w:val="000000"/>
                          <w:spacing w:val="-5"/>
                        </w:rPr>
                        <w:t> </w:t>
                      </w:r>
                      <w:r>
                        <w:rPr>
                          <w:color w:val="000000"/>
                        </w:rPr>
                        <w:t>accept</w:t>
                      </w:r>
                      <w:r>
                        <w:rPr>
                          <w:color w:val="000000"/>
                          <w:spacing w:val="-1"/>
                        </w:rPr>
                        <w:t> </w:t>
                      </w:r>
                      <w:r>
                        <w:rPr>
                          <w:color w:val="000000"/>
                        </w:rPr>
                        <w:t>changes</w:t>
                      </w:r>
                      <w:r>
                        <w:rPr>
                          <w:color w:val="000000"/>
                          <w:spacing w:val="-5"/>
                        </w:rPr>
                        <w:t> </w:t>
                      </w:r>
                      <w:r>
                        <w:rPr>
                          <w:color w:val="000000"/>
                        </w:rPr>
                        <w:t>or</w:t>
                      </w:r>
                      <w:r>
                        <w:rPr>
                          <w:color w:val="000000"/>
                          <w:spacing w:val="-2"/>
                        </w:rPr>
                        <w:t> </w:t>
                      </w:r>
                      <w:r>
                        <w:rPr>
                          <w:color w:val="000000"/>
                        </w:rPr>
                        <w:t>request</w:t>
                      </w:r>
                      <w:r>
                        <w:rPr>
                          <w:color w:val="000000"/>
                          <w:spacing w:val="-4"/>
                        </w:rPr>
                        <w:t> </w:t>
                      </w:r>
                      <w:r>
                        <w:rPr>
                          <w:color w:val="000000"/>
                        </w:rPr>
                        <w:t>revisions</w:t>
                      </w:r>
                      <w:r>
                        <w:rPr>
                          <w:color w:val="000000"/>
                          <w:spacing w:val="-2"/>
                        </w:rPr>
                        <w:t> </w:t>
                      </w:r>
                      <w:r>
                        <w:rPr>
                          <w:color w:val="000000"/>
                        </w:rPr>
                        <w:t>without</w:t>
                      </w:r>
                      <w:r>
                        <w:rPr>
                          <w:color w:val="000000"/>
                          <w:spacing w:val="-2"/>
                        </w:rPr>
                        <w:t> </w:t>
                      </w:r>
                      <w:r>
                        <w:rPr>
                          <w:color w:val="000000"/>
                        </w:rPr>
                        <w:t>it</w:t>
                      </w:r>
                      <w:r>
                        <w:rPr>
                          <w:color w:val="000000"/>
                          <w:spacing w:val="-4"/>
                        </w:rPr>
                        <w:t> </w:t>
                      </w:r>
                      <w:r>
                        <w:rPr>
                          <w:color w:val="000000"/>
                        </w:rPr>
                        <w:t>requiring a full revision resetting the five-year revision period;</w:t>
                      </w:r>
                    </w:p>
                    <w:p>
                      <w:pPr>
                        <w:pStyle w:val="BodyText"/>
                        <w:spacing w:before="2"/>
                        <w:rPr>
                          <w:color w:val="000000"/>
                        </w:rPr>
                      </w:pPr>
                    </w:p>
                    <w:p>
                      <w:pPr>
                        <w:pStyle w:val="BodyText"/>
                        <w:numPr>
                          <w:ilvl w:val="0"/>
                          <w:numId w:val="88"/>
                        </w:numPr>
                        <w:tabs>
                          <w:tab w:pos="500" w:val="left" w:leader="none"/>
                          <w:tab w:pos="502" w:val="left" w:leader="none"/>
                        </w:tabs>
                        <w:spacing w:line="288" w:lineRule="auto" w:before="0" w:after="0"/>
                        <w:ind w:left="502" w:right="247" w:hanging="219"/>
                        <w:jc w:val="left"/>
                        <w:rPr>
                          <w:color w:val="000000"/>
                        </w:rPr>
                      </w:pPr>
                      <w:r>
                        <w:rPr>
                          <w:color w:val="000000"/>
                        </w:rPr>
                        <w:t>providing the capacity for ESV to require a full revision of a safety case resetting the five-year</w:t>
                      </w:r>
                      <w:r>
                        <w:rPr>
                          <w:color w:val="000000"/>
                          <w:spacing w:val="-2"/>
                        </w:rPr>
                        <w:t> </w:t>
                      </w:r>
                      <w:r>
                        <w:rPr>
                          <w:color w:val="000000"/>
                        </w:rPr>
                        <w:t>revision</w:t>
                      </w:r>
                      <w:r>
                        <w:rPr>
                          <w:color w:val="000000"/>
                          <w:spacing w:val="-3"/>
                        </w:rPr>
                        <w:t> </w:t>
                      </w:r>
                      <w:r>
                        <w:rPr>
                          <w:color w:val="000000"/>
                        </w:rPr>
                        <w:t>period,</w:t>
                      </w:r>
                      <w:r>
                        <w:rPr>
                          <w:color w:val="000000"/>
                          <w:spacing w:val="-4"/>
                        </w:rPr>
                        <w:t> </w:t>
                      </w:r>
                      <w:r>
                        <w:rPr>
                          <w:color w:val="000000"/>
                        </w:rPr>
                        <w:t>under</w:t>
                      </w:r>
                      <w:r>
                        <w:rPr>
                          <w:color w:val="000000"/>
                          <w:spacing w:val="-4"/>
                        </w:rPr>
                        <w:t> </w:t>
                      </w:r>
                      <w:r>
                        <w:rPr>
                          <w:color w:val="000000"/>
                        </w:rPr>
                        <w:t>circumstances</w:t>
                      </w:r>
                      <w:r>
                        <w:rPr>
                          <w:color w:val="000000"/>
                          <w:spacing w:val="-3"/>
                        </w:rPr>
                        <w:t> </w:t>
                      </w:r>
                      <w:r>
                        <w:rPr>
                          <w:color w:val="000000"/>
                        </w:rPr>
                        <w:t>where</w:t>
                      </w:r>
                      <w:r>
                        <w:rPr>
                          <w:color w:val="000000"/>
                          <w:spacing w:val="-5"/>
                        </w:rPr>
                        <w:t> </w:t>
                      </w:r>
                      <w:r>
                        <w:rPr>
                          <w:color w:val="000000"/>
                        </w:rPr>
                        <w:t>there</w:t>
                      </w:r>
                      <w:r>
                        <w:rPr>
                          <w:color w:val="000000"/>
                          <w:spacing w:val="-5"/>
                        </w:rPr>
                        <w:t> </w:t>
                      </w:r>
                      <w:r>
                        <w:rPr>
                          <w:color w:val="000000"/>
                        </w:rPr>
                        <w:t>has</w:t>
                      </w:r>
                      <w:r>
                        <w:rPr>
                          <w:color w:val="000000"/>
                          <w:spacing w:val="-2"/>
                        </w:rPr>
                        <w:t> </w:t>
                      </w:r>
                      <w:r>
                        <w:rPr>
                          <w:color w:val="000000"/>
                        </w:rPr>
                        <w:t>been</w:t>
                      </w:r>
                      <w:r>
                        <w:rPr>
                          <w:color w:val="000000"/>
                          <w:spacing w:val="-5"/>
                        </w:rPr>
                        <w:t> </w:t>
                      </w:r>
                      <w:r>
                        <w:rPr>
                          <w:color w:val="000000"/>
                        </w:rPr>
                        <w:t>a</w:t>
                      </w:r>
                      <w:r>
                        <w:rPr>
                          <w:color w:val="000000"/>
                          <w:spacing w:val="-5"/>
                        </w:rPr>
                        <w:t> </w:t>
                      </w:r>
                      <w:r>
                        <w:rPr>
                          <w:color w:val="000000"/>
                        </w:rPr>
                        <w:t>material</w:t>
                      </w:r>
                      <w:r>
                        <w:rPr>
                          <w:color w:val="000000"/>
                          <w:spacing w:val="-3"/>
                        </w:rPr>
                        <w:t> </w:t>
                      </w:r>
                      <w:r>
                        <w:rPr>
                          <w:color w:val="000000"/>
                        </w:rPr>
                        <w:t>change warranting a full revision; and</w:t>
                      </w:r>
                    </w:p>
                    <w:p>
                      <w:pPr>
                        <w:pStyle w:val="BodyText"/>
                        <w:spacing w:before="2"/>
                        <w:rPr>
                          <w:color w:val="000000"/>
                        </w:rPr>
                      </w:pPr>
                    </w:p>
                    <w:p>
                      <w:pPr>
                        <w:pStyle w:val="BodyText"/>
                        <w:numPr>
                          <w:ilvl w:val="0"/>
                          <w:numId w:val="88"/>
                        </w:numPr>
                        <w:tabs>
                          <w:tab w:pos="500" w:val="left" w:leader="none"/>
                          <w:tab w:pos="502" w:val="left" w:leader="none"/>
                        </w:tabs>
                        <w:spacing w:line="285" w:lineRule="auto" w:before="0" w:after="0"/>
                        <w:ind w:left="502" w:right="399" w:hanging="219"/>
                        <w:jc w:val="left"/>
                        <w:rPr>
                          <w:color w:val="000000"/>
                        </w:rPr>
                      </w:pPr>
                      <w:r>
                        <w:rPr>
                          <w:color w:val="000000"/>
                        </w:rPr>
                        <w:t>incorporating</w:t>
                      </w:r>
                      <w:r>
                        <w:rPr>
                          <w:color w:val="000000"/>
                          <w:spacing w:val="-5"/>
                        </w:rPr>
                        <w:t> </w:t>
                      </w:r>
                      <w:r>
                        <w:rPr>
                          <w:color w:val="000000"/>
                        </w:rPr>
                        <w:t>effective</w:t>
                      </w:r>
                      <w:r>
                        <w:rPr>
                          <w:color w:val="000000"/>
                          <w:spacing w:val="-5"/>
                        </w:rPr>
                        <w:t> </w:t>
                      </w:r>
                      <w:r>
                        <w:rPr>
                          <w:color w:val="000000"/>
                        </w:rPr>
                        <w:t>provisions</w:t>
                      </w:r>
                      <w:r>
                        <w:rPr>
                          <w:color w:val="000000"/>
                          <w:spacing w:val="-4"/>
                        </w:rPr>
                        <w:t> </w:t>
                      </w:r>
                      <w:r>
                        <w:rPr>
                          <w:color w:val="000000"/>
                        </w:rPr>
                        <w:t>to</w:t>
                      </w:r>
                      <w:r>
                        <w:rPr>
                          <w:color w:val="000000"/>
                          <w:spacing w:val="-5"/>
                        </w:rPr>
                        <w:t> </w:t>
                      </w:r>
                      <w:r>
                        <w:rPr>
                          <w:color w:val="000000"/>
                        </w:rPr>
                        <w:t>ensure</w:t>
                      </w:r>
                      <w:r>
                        <w:rPr>
                          <w:color w:val="000000"/>
                          <w:spacing w:val="-7"/>
                        </w:rPr>
                        <w:t> </w:t>
                      </w:r>
                      <w:r>
                        <w:rPr>
                          <w:color w:val="000000"/>
                        </w:rPr>
                        <w:t>network</w:t>
                      </w:r>
                      <w:r>
                        <w:rPr>
                          <w:color w:val="000000"/>
                          <w:spacing w:val="-2"/>
                        </w:rPr>
                        <w:t> </w:t>
                      </w:r>
                      <w:r>
                        <w:rPr>
                          <w:color w:val="000000"/>
                        </w:rPr>
                        <w:t>businesses</w:t>
                      </w:r>
                      <w:r>
                        <w:rPr>
                          <w:color w:val="000000"/>
                          <w:spacing w:val="-4"/>
                        </w:rPr>
                        <w:t> </w:t>
                      </w:r>
                      <w:r>
                        <w:rPr>
                          <w:color w:val="000000"/>
                        </w:rPr>
                        <w:t>have</w:t>
                      </w:r>
                      <w:r>
                        <w:rPr>
                          <w:color w:val="000000"/>
                          <w:spacing w:val="-5"/>
                        </w:rPr>
                        <w:t> </w:t>
                      </w:r>
                      <w:r>
                        <w:rPr>
                          <w:color w:val="000000"/>
                        </w:rPr>
                        <w:t>adequate</w:t>
                      </w:r>
                      <w:r>
                        <w:rPr>
                          <w:color w:val="000000"/>
                          <w:spacing w:val="-4"/>
                        </w:rPr>
                        <w:t> </w:t>
                      </w:r>
                      <w:r>
                        <w:rPr>
                          <w:color w:val="000000"/>
                        </w:rPr>
                        <w:t>safety cases in place.</w:t>
                      </w:r>
                    </w:p>
                  </w:txbxContent>
                </v:textbox>
                <v:fill type="solid"/>
                <w10:wrap type="topAndBottom"/>
              </v:shape>
            </w:pict>
          </mc:Fallback>
        </mc:AlternateContent>
      </w:r>
    </w:p>
    <w:p>
      <w:pPr>
        <w:spacing w:after="0"/>
        <w:rPr>
          <w:sz w:val="18"/>
        </w:rPr>
        <w:sectPr>
          <w:pgSz w:w="11910" w:h="16850"/>
          <w:pgMar w:header="220" w:footer="678" w:top="420" w:bottom="860" w:left="900" w:right="840"/>
        </w:sectPr>
      </w:pPr>
    </w:p>
    <w:p>
      <w:pPr>
        <w:pStyle w:val="BodyText"/>
        <w:rPr>
          <w:sz w:val="20"/>
        </w:rPr>
      </w:pPr>
    </w:p>
    <w:p>
      <w:pPr>
        <w:pStyle w:val="BodyText"/>
        <w:spacing w:before="7"/>
        <w:rPr>
          <w:sz w:val="19"/>
        </w:rPr>
      </w:pPr>
    </w:p>
    <w:p>
      <w:pPr>
        <w:pStyle w:val="Heading4"/>
      </w:pPr>
      <w:r>
        <w:rPr>
          <w:color w:val="585858"/>
        </w:rPr>
        <w:t>Information</w:t>
      </w:r>
      <w:r>
        <w:rPr>
          <w:color w:val="585858"/>
          <w:spacing w:val="-12"/>
        </w:rPr>
        <w:t> </w:t>
      </w:r>
      <w:r>
        <w:rPr>
          <w:color w:val="585858"/>
        </w:rPr>
        <w:t>to</w:t>
      </w:r>
      <w:r>
        <w:rPr>
          <w:color w:val="585858"/>
          <w:spacing w:val="-13"/>
        </w:rPr>
        <w:t> </w:t>
      </w:r>
      <w:r>
        <w:rPr>
          <w:color w:val="585858"/>
        </w:rPr>
        <w:t>assess</w:t>
      </w:r>
      <w:r>
        <w:rPr>
          <w:color w:val="585858"/>
          <w:spacing w:val="-13"/>
        </w:rPr>
        <w:t> </w:t>
      </w:r>
      <w:r>
        <w:rPr>
          <w:color w:val="585858"/>
          <w:spacing w:val="-2"/>
        </w:rPr>
        <w:t>compliance</w:t>
      </w:r>
    </w:p>
    <w:p>
      <w:pPr>
        <w:pStyle w:val="BodyText"/>
        <w:spacing w:line="288" w:lineRule="auto" w:before="314"/>
        <w:ind w:left="232" w:right="320"/>
      </w:pPr>
      <w:r>
        <w:rPr/>
        <w:t>Good information is essential to ESV’s assessment of whether a business is meeting safety obligations. ESV’s ability to access information is provided for in the legislation in multiple places, and differs between sectors. ESV should have wide powers to access any information from businesses in either sector that may assist ESV to meet its functions and objectives under the legislation. This includes information to assess safety cases, safety performance, risks, and compliance</w:t>
      </w:r>
      <w:r>
        <w:rPr>
          <w:spacing w:val="-2"/>
        </w:rPr>
        <w:t> </w:t>
      </w:r>
      <w:r>
        <w:rPr/>
        <w:t>with</w:t>
      </w:r>
      <w:r>
        <w:rPr>
          <w:spacing w:val="-2"/>
        </w:rPr>
        <w:t> </w:t>
      </w:r>
      <w:r>
        <w:rPr/>
        <w:t>obligations, such</w:t>
      </w:r>
      <w:r>
        <w:rPr>
          <w:spacing w:val="-2"/>
        </w:rPr>
        <w:t> </w:t>
      </w:r>
      <w:r>
        <w:rPr/>
        <w:t>as</w:t>
      </w:r>
      <w:r>
        <w:rPr>
          <w:spacing w:val="-4"/>
        </w:rPr>
        <w:t> </w:t>
      </w:r>
      <w:r>
        <w:rPr/>
        <w:t>asset condition</w:t>
      </w:r>
      <w:r>
        <w:rPr>
          <w:spacing w:val="-2"/>
        </w:rPr>
        <w:t> </w:t>
      </w:r>
      <w:r>
        <w:rPr/>
        <w:t>and</w:t>
      </w:r>
      <w:r>
        <w:rPr>
          <w:spacing w:val="-2"/>
        </w:rPr>
        <w:t> </w:t>
      </w:r>
      <w:r>
        <w:rPr/>
        <w:t>integrity</w:t>
      </w:r>
      <w:r>
        <w:rPr>
          <w:spacing w:val="-3"/>
        </w:rPr>
        <w:t> </w:t>
      </w:r>
      <w:r>
        <w:rPr/>
        <w:t>data. Sufficiently</w:t>
      </w:r>
      <w:r>
        <w:rPr>
          <w:spacing w:val="-4"/>
        </w:rPr>
        <w:t> </w:t>
      </w:r>
      <w:r>
        <w:rPr/>
        <w:t>wide</w:t>
      </w:r>
      <w:r>
        <w:rPr>
          <w:spacing w:val="-2"/>
        </w:rPr>
        <w:t> </w:t>
      </w:r>
      <w:r>
        <w:rPr/>
        <w:t>provisions for</w:t>
      </w:r>
      <w:r>
        <w:rPr>
          <w:spacing w:val="-3"/>
        </w:rPr>
        <w:t> </w:t>
      </w:r>
      <w:r>
        <w:rPr/>
        <w:t>requesting</w:t>
      </w:r>
      <w:r>
        <w:rPr>
          <w:spacing w:val="-2"/>
        </w:rPr>
        <w:t> </w:t>
      </w:r>
      <w:r>
        <w:rPr/>
        <w:t>information</w:t>
      </w:r>
      <w:r>
        <w:rPr>
          <w:spacing w:val="-2"/>
        </w:rPr>
        <w:t> </w:t>
      </w:r>
      <w:r>
        <w:rPr/>
        <w:t>similar</w:t>
      </w:r>
      <w:r>
        <w:rPr>
          <w:spacing w:val="-3"/>
        </w:rPr>
        <w:t> </w:t>
      </w:r>
      <w:r>
        <w:rPr/>
        <w:t>to</w:t>
      </w:r>
      <w:r>
        <w:rPr>
          <w:spacing w:val="-4"/>
        </w:rPr>
        <w:t> </w:t>
      </w:r>
      <w:r>
        <w:rPr/>
        <w:t>those</w:t>
      </w:r>
      <w:r>
        <w:rPr>
          <w:spacing w:val="-6"/>
        </w:rPr>
        <w:t> </w:t>
      </w:r>
      <w:r>
        <w:rPr/>
        <w:t>found</w:t>
      </w:r>
      <w:r>
        <w:rPr>
          <w:spacing w:val="-4"/>
        </w:rPr>
        <w:t> </w:t>
      </w:r>
      <w:r>
        <w:rPr/>
        <w:t>in</w:t>
      </w:r>
      <w:r>
        <w:rPr>
          <w:spacing w:val="-2"/>
        </w:rPr>
        <w:t> </w:t>
      </w:r>
      <w:r>
        <w:rPr/>
        <w:t>other</w:t>
      </w:r>
      <w:r>
        <w:rPr>
          <w:spacing w:val="-1"/>
        </w:rPr>
        <w:t> </w:t>
      </w:r>
      <w:r>
        <w:rPr/>
        <w:t>legislation, such</w:t>
      </w:r>
      <w:r>
        <w:rPr>
          <w:spacing w:val="-4"/>
        </w:rPr>
        <w:t> </w:t>
      </w:r>
      <w:r>
        <w:rPr/>
        <w:t>as</w:t>
      </w:r>
      <w:r>
        <w:rPr>
          <w:spacing w:val="-2"/>
        </w:rPr>
        <w:t> </w:t>
      </w:r>
      <w:r>
        <w:rPr/>
        <w:t>the</w:t>
      </w:r>
      <w:r>
        <w:rPr>
          <w:spacing w:val="-4"/>
        </w:rPr>
        <w:t> </w:t>
      </w:r>
      <w:r>
        <w:rPr>
          <w:i/>
        </w:rPr>
        <w:t>National</w:t>
      </w:r>
      <w:r>
        <w:rPr>
          <w:i/>
          <w:spacing w:val="-2"/>
        </w:rPr>
        <w:t> </w:t>
      </w:r>
      <w:r>
        <w:rPr>
          <w:i/>
        </w:rPr>
        <w:t>Electricity Law</w:t>
      </w:r>
      <w:r>
        <w:rPr/>
        <w:t>, would better serve ESV in accessing such information.</w:t>
      </w:r>
    </w:p>
    <w:p>
      <w:pPr>
        <w:pStyle w:val="BodyText"/>
        <w:spacing w:before="9"/>
        <w:rPr>
          <w:sz w:val="18"/>
        </w:rPr>
      </w:pPr>
      <w:r>
        <w:rPr/>
        <mc:AlternateContent>
          <mc:Choice Requires="wps">
            <w:drawing>
              <wp:anchor distT="0" distB="0" distL="0" distR="0" allowOverlap="1" layoutInCell="1" locked="0" behindDoc="1" simplePos="0" relativeHeight="487667200">
                <wp:simplePos x="0" y="0"/>
                <wp:positionH relativeFrom="page">
                  <wp:posOffset>719327</wp:posOffset>
                </wp:positionH>
                <wp:positionV relativeFrom="paragraph">
                  <wp:posOffset>152841</wp:posOffset>
                </wp:positionV>
                <wp:extent cx="5870575" cy="1228725"/>
                <wp:effectExtent l="0" t="0" r="0" b="0"/>
                <wp:wrapTopAndBottom/>
                <wp:docPr id="219" name="Textbox 219"/>
                <wp:cNvGraphicFramePr>
                  <a:graphicFrameLocks/>
                </wp:cNvGraphicFramePr>
                <a:graphic>
                  <a:graphicData uri="http://schemas.microsoft.com/office/word/2010/wordprocessingShape">
                    <wps:wsp>
                      <wps:cNvPr id="219" name="Textbox 219"/>
                      <wps:cNvSpPr txBox="1"/>
                      <wps:spPr>
                        <a:xfrm>
                          <a:off x="0" y="0"/>
                          <a:ext cx="5870575" cy="1228725"/>
                        </a:xfrm>
                        <a:prstGeom prst="rect">
                          <a:avLst/>
                        </a:prstGeom>
                        <a:solidFill>
                          <a:srgbClr val="D9D9D9"/>
                        </a:solidFill>
                      </wps:spPr>
                      <wps:txbx>
                        <w:txbxContent>
                          <w:p>
                            <w:pPr>
                              <w:pStyle w:val="BodyText"/>
                              <w:spacing w:before="9"/>
                              <w:rPr>
                                <w:color w:val="000000"/>
                                <w:sz w:val="20"/>
                              </w:rPr>
                            </w:pPr>
                          </w:p>
                          <w:p>
                            <w:pPr>
                              <w:spacing w:before="1"/>
                              <w:ind w:left="112" w:right="0" w:firstLine="0"/>
                              <w:jc w:val="left"/>
                              <w:rPr>
                                <w:b/>
                                <w:color w:val="000000"/>
                                <w:sz w:val="22"/>
                              </w:rPr>
                            </w:pPr>
                            <w:r>
                              <w:rPr>
                                <w:b/>
                                <w:color w:val="000000"/>
                                <w:sz w:val="22"/>
                              </w:rPr>
                              <w:t>Recommendation</w:t>
                            </w:r>
                            <w:r>
                              <w:rPr>
                                <w:b/>
                                <w:color w:val="000000"/>
                                <w:spacing w:val="-6"/>
                                <w:sz w:val="22"/>
                              </w:rPr>
                              <w:t> </w:t>
                            </w:r>
                            <w:r>
                              <w:rPr>
                                <w:b/>
                                <w:color w:val="000000"/>
                                <w:spacing w:val="-5"/>
                                <w:sz w:val="22"/>
                              </w:rPr>
                              <w:t>41</w:t>
                            </w:r>
                          </w:p>
                          <w:p>
                            <w:pPr>
                              <w:pStyle w:val="BodyText"/>
                              <w:spacing w:before="1"/>
                              <w:rPr>
                                <w:b/>
                                <w:color w:val="000000"/>
                                <w:sz w:val="25"/>
                              </w:rPr>
                            </w:pPr>
                          </w:p>
                          <w:p>
                            <w:pPr>
                              <w:pStyle w:val="BodyText"/>
                              <w:spacing w:line="288" w:lineRule="auto" w:before="1"/>
                              <w:ind w:left="112" w:right="140"/>
                              <w:rPr>
                                <w:color w:val="000000"/>
                              </w:rPr>
                            </w:pPr>
                            <w:r>
                              <w:rPr>
                                <w:color w:val="000000"/>
                              </w:rPr>
                              <w:t>As</w:t>
                            </w:r>
                            <w:r>
                              <w:rPr>
                                <w:color w:val="000000"/>
                                <w:spacing w:val="-2"/>
                              </w:rPr>
                              <w:t> </w:t>
                            </w:r>
                            <w:r>
                              <w:rPr>
                                <w:color w:val="000000"/>
                              </w:rPr>
                              <w:t>part</w:t>
                            </w:r>
                            <w:r>
                              <w:rPr>
                                <w:color w:val="000000"/>
                                <w:spacing w:val="-1"/>
                              </w:rPr>
                              <w:t> </w:t>
                            </w:r>
                            <w:r>
                              <w:rPr>
                                <w:color w:val="000000"/>
                              </w:rPr>
                              <w:t>of</w:t>
                            </w:r>
                            <w:r>
                              <w:rPr>
                                <w:color w:val="000000"/>
                                <w:spacing w:val="-4"/>
                              </w:rPr>
                              <w:t> </w:t>
                            </w:r>
                            <w:r>
                              <w:rPr>
                                <w:color w:val="000000"/>
                              </w:rPr>
                              <w:t>the</w:t>
                            </w:r>
                            <w:r>
                              <w:rPr>
                                <w:color w:val="000000"/>
                                <w:spacing w:val="-3"/>
                              </w:rPr>
                              <w:t> </w:t>
                            </w:r>
                            <w:r>
                              <w:rPr>
                                <w:color w:val="000000"/>
                              </w:rPr>
                              <w:t>consolidated</w:t>
                            </w:r>
                            <w:r>
                              <w:rPr>
                                <w:color w:val="000000"/>
                                <w:spacing w:val="-3"/>
                              </w:rPr>
                              <w:t> </w:t>
                            </w:r>
                            <w:r>
                              <w:rPr>
                                <w:color w:val="000000"/>
                              </w:rPr>
                              <w:t>safety</w:t>
                            </w:r>
                            <w:r>
                              <w:rPr>
                                <w:color w:val="000000"/>
                                <w:spacing w:val="-5"/>
                              </w:rPr>
                              <w:t> </w:t>
                            </w:r>
                            <w:r>
                              <w:rPr>
                                <w:color w:val="000000"/>
                              </w:rPr>
                              <w:t>legislation,</w:t>
                            </w:r>
                            <w:r>
                              <w:rPr>
                                <w:color w:val="000000"/>
                                <w:spacing w:val="-4"/>
                              </w:rPr>
                              <w:t> </w:t>
                            </w:r>
                            <w:r>
                              <w:rPr>
                                <w:color w:val="000000"/>
                              </w:rPr>
                              <w:t>ESV</w:t>
                            </w:r>
                            <w:r>
                              <w:rPr>
                                <w:color w:val="000000"/>
                                <w:spacing w:val="-3"/>
                              </w:rPr>
                              <w:t> </w:t>
                            </w:r>
                            <w:r>
                              <w:rPr>
                                <w:color w:val="000000"/>
                              </w:rPr>
                              <w:t>should</w:t>
                            </w:r>
                            <w:r>
                              <w:rPr>
                                <w:color w:val="000000"/>
                                <w:spacing w:val="-3"/>
                              </w:rPr>
                              <w:t> </w:t>
                            </w:r>
                            <w:r>
                              <w:rPr>
                                <w:color w:val="000000"/>
                              </w:rPr>
                              <w:t>be</w:t>
                            </w:r>
                            <w:r>
                              <w:rPr>
                                <w:color w:val="000000"/>
                                <w:spacing w:val="-5"/>
                              </w:rPr>
                              <w:t> </w:t>
                            </w:r>
                            <w:r>
                              <w:rPr>
                                <w:color w:val="000000"/>
                              </w:rPr>
                              <w:t>given</w:t>
                            </w:r>
                            <w:r>
                              <w:rPr>
                                <w:color w:val="000000"/>
                                <w:spacing w:val="-3"/>
                              </w:rPr>
                              <w:t> </w:t>
                            </w:r>
                            <w:r>
                              <w:rPr>
                                <w:color w:val="000000"/>
                              </w:rPr>
                              <w:t>sufficiently</w:t>
                            </w:r>
                            <w:r>
                              <w:rPr>
                                <w:color w:val="000000"/>
                                <w:spacing w:val="-5"/>
                              </w:rPr>
                              <w:t> </w:t>
                            </w:r>
                            <w:r>
                              <w:rPr>
                                <w:color w:val="000000"/>
                              </w:rPr>
                              <w:t>wide</w:t>
                            </w:r>
                            <w:r>
                              <w:rPr>
                                <w:color w:val="000000"/>
                                <w:spacing w:val="-3"/>
                              </w:rPr>
                              <w:t> </w:t>
                            </w:r>
                            <w:r>
                              <w:rPr>
                                <w:color w:val="000000"/>
                              </w:rPr>
                              <w:t>powers across sectors for requesting information to assist ESV in performing its functions. This should be informed by the powers available to the AER under the </w:t>
                            </w:r>
                            <w:r>
                              <w:rPr>
                                <w:i/>
                                <w:color w:val="000000"/>
                              </w:rPr>
                              <w:t>National Electricity Law</w:t>
                            </w:r>
                            <w:r>
                              <w:rPr>
                                <w:color w:val="000000"/>
                              </w:rPr>
                              <w:t>.</w:t>
                            </w:r>
                          </w:p>
                        </w:txbxContent>
                      </wps:txbx>
                      <wps:bodyPr wrap="square" lIns="0" tIns="0" rIns="0" bIns="0" rtlCol="0">
                        <a:noAutofit/>
                      </wps:bodyPr>
                    </wps:wsp>
                  </a:graphicData>
                </a:graphic>
              </wp:anchor>
            </w:drawing>
          </mc:Choice>
          <mc:Fallback>
            <w:pict>
              <v:shape style="position:absolute;margin-left:56.639999pt;margin-top:12.03478pt;width:462.25pt;height:96.75pt;mso-position-horizontal-relative:page;mso-position-vertical-relative:paragraph;z-index:-15649280;mso-wrap-distance-left:0;mso-wrap-distance-right:0" type="#_x0000_t202" id="docshape188" filled="true" fillcolor="#d9d9d9" stroked="false">
                <v:textbox inset="0,0,0,0">
                  <w:txbxContent>
                    <w:p>
                      <w:pPr>
                        <w:pStyle w:val="BodyText"/>
                        <w:spacing w:before="9"/>
                        <w:rPr>
                          <w:color w:val="000000"/>
                          <w:sz w:val="20"/>
                        </w:rPr>
                      </w:pPr>
                    </w:p>
                    <w:p>
                      <w:pPr>
                        <w:spacing w:before="1"/>
                        <w:ind w:left="112" w:right="0" w:firstLine="0"/>
                        <w:jc w:val="left"/>
                        <w:rPr>
                          <w:b/>
                          <w:color w:val="000000"/>
                          <w:sz w:val="22"/>
                        </w:rPr>
                      </w:pPr>
                      <w:r>
                        <w:rPr>
                          <w:b/>
                          <w:color w:val="000000"/>
                          <w:sz w:val="22"/>
                        </w:rPr>
                        <w:t>Recommendation</w:t>
                      </w:r>
                      <w:r>
                        <w:rPr>
                          <w:b/>
                          <w:color w:val="000000"/>
                          <w:spacing w:val="-6"/>
                          <w:sz w:val="22"/>
                        </w:rPr>
                        <w:t> </w:t>
                      </w:r>
                      <w:r>
                        <w:rPr>
                          <w:b/>
                          <w:color w:val="000000"/>
                          <w:spacing w:val="-5"/>
                          <w:sz w:val="22"/>
                        </w:rPr>
                        <w:t>41</w:t>
                      </w:r>
                    </w:p>
                    <w:p>
                      <w:pPr>
                        <w:pStyle w:val="BodyText"/>
                        <w:spacing w:before="1"/>
                        <w:rPr>
                          <w:b/>
                          <w:color w:val="000000"/>
                          <w:sz w:val="25"/>
                        </w:rPr>
                      </w:pPr>
                    </w:p>
                    <w:p>
                      <w:pPr>
                        <w:pStyle w:val="BodyText"/>
                        <w:spacing w:line="288" w:lineRule="auto" w:before="1"/>
                        <w:ind w:left="112" w:right="140"/>
                        <w:rPr>
                          <w:color w:val="000000"/>
                        </w:rPr>
                      </w:pPr>
                      <w:r>
                        <w:rPr>
                          <w:color w:val="000000"/>
                        </w:rPr>
                        <w:t>As</w:t>
                      </w:r>
                      <w:r>
                        <w:rPr>
                          <w:color w:val="000000"/>
                          <w:spacing w:val="-2"/>
                        </w:rPr>
                        <w:t> </w:t>
                      </w:r>
                      <w:r>
                        <w:rPr>
                          <w:color w:val="000000"/>
                        </w:rPr>
                        <w:t>part</w:t>
                      </w:r>
                      <w:r>
                        <w:rPr>
                          <w:color w:val="000000"/>
                          <w:spacing w:val="-1"/>
                        </w:rPr>
                        <w:t> </w:t>
                      </w:r>
                      <w:r>
                        <w:rPr>
                          <w:color w:val="000000"/>
                        </w:rPr>
                        <w:t>of</w:t>
                      </w:r>
                      <w:r>
                        <w:rPr>
                          <w:color w:val="000000"/>
                          <w:spacing w:val="-4"/>
                        </w:rPr>
                        <w:t> </w:t>
                      </w:r>
                      <w:r>
                        <w:rPr>
                          <w:color w:val="000000"/>
                        </w:rPr>
                        <w:t>the</w:t>
                      </w:r>
                      <w:r>
                        <w:rPr>
                          <w:color w:val="000000"/>
                          <w:spacing w:val="-3"/>
                        </w:rPr>
                        <w:t> </w:t>
                      </w:r>
                      <w:r>
                        <w:rPr>
                          <w:color w:val="000000"/>
                        </w:rPr>
                        <w:t>consolidated</w:t>
                      </w:r>
                      <w:r>
                        <w:rPr>
                          <w:color w:val="000000"/>
                          <w:spacing w:val="-3"/>
                        </w:rPr>
                        <w:t> </w:t>
                      </w:r>
                      <w:r>
                        <w:rPr>
                          <w:color w:val="000000"/>
                        </w:rPr>
                        <w:t>safety</w:t>
                      </w:r>
                      <w:r>
                        <w:rPr>
                          <w:color w:val="000000"/>
                          <w:spacing w:val="-5"/>
                        </w:rPr>
                        <w:t> </w:t>
                      </w:r>
                      <w:r>
                        <w:rPr>
                          <w:color w:val="000000"/>
                        </w:rPr>
                        <w:t>legislation,</w:t>
                      </w:r>
                      <w:r>
                        <w:rPr>
                          <w:color w:val="000000"/>
                          <w:spacing w:val="-4"/>
                        </w:rPr>
                        <w:t> </w:t>
                      </w:r>
                      <w:r>
                        <w:rPr>
                          <w:color w:val="000000"/>
                        </w:rPr>
                        <w:t>ESV</w:t>
                      </w:r>
                      <w:r>
                        <w:rPr>
                          <w:color w:val="000000"/>
                          <w:spacing w:val="-3"/>
                        </w:rPr>
                        <w:t> </w:t>
                      </w:r>
                      <w:r>
                        <w:rPr>
                          <w:color w:val="000000"/>
                        </w:rPr>
                        <w:t>should</w:t>
                      </w:r>
                      <w:r>
                        <w:rPr>
                          <w:color w:val="000000"/>
                          <w:spacing w:val="-3"/>
                        </w:rPr>
                        <w:t> </w:t>
                      </w:r>
                      <w:r>
                        <w:rPr>
                          <w:color w:val="000000"/>
                        </w:rPr>
                        <w:t>be</w:t>
                      </w:r>
                      <w:r>
                        <w:rPr>
                          <w:color w:val="000000"/>
                          <w:spacing w:val="-5"/>
                        </w:rPr>
                        <w:t> </w:t>
                      </w:r>
                      <w:r>
                        <w:rPr>
                          <w:color w:val="000000"/>
                        </w:rPr>
                        <w:t>given</w:t>
                      </w:r>
                      <w:r>
                        <w:rPr>
                          <w:color w:val="000000"/>
                          <w:spacing w:val="-3"/>
                        </w:rPr>
                        <w:t> </w:t>
                      </w:r>
                      <w:r>
                        <w:rPr>
                          <w:color w:val="000000"/>
                        </w:rPr>
                        <w:t>sufficiently</w:t>
                      </w:r>
                      <w:r>
                        <w:rPr>
                          <w:color w:val="000000"/>
                          <w:spacing w:val="-5"/>
                        </w:rPr>
                        <w:t> </w:t>
                      </w:r>
                      <w:r>
                        <w:rPr>
                          <w:color w:val="000000"/>
                        </w:rPr>
                        <w:t>wide</w:t>
                      </w:r>
                      <w:r>
                        <w:rPr>
                          <w:color w:val="000000"/>
                          <w:spacing w:val="-3"/>
                        </w:rPr>
                        <w:t> </w:t>
                      </w:r>
                      <w:r>
                        <w:rPr>
                          <w:color w:val="000000"/>
                        </w:rPr>
                        <w:t>powers across sectors for requesting information to assist ESV in performing its functions. This should be informed by the powers available to the AER under the </w:t>
                      </w:r>
                      <w:r>
                        <w:rPr>
                          <w:i/>
                          <w:color w:val="000000"/>
                        </w:rPr>
                        <w:t>National Electricity Law</w:t>
                      </w:r>
                      <w:r>
                        <w:rPr>
                          <w:color w:val="000000"/>
                        </w:rPr>
                        <w:t>.</w:t>
                      </w:r>
                    </w:p>
                  </w:txbxContent>
                </v:textbox>
                <v:fill type="solid"/>
                <w10:wrap type="topAndBottom"/>
              </v:shape>
            </w:pict>
          </mc:Fallback>
        </mc:AlternateContent>
      </w:r>
    </w:p>
    <w:p>
      <w:pPr>
        <w:pStyle w:val="BodyText"/>
        <w:spacing w:before="6"/>
        <w:rPr>
          <w:sz w:val="23"/>
        </w:rPr>
      </w:pPr>
    </w:p>
    <w:p>
      <w:pPr>
        <w:pStyle w:val="Heading4"/>
      </w:pPr>
      <w:r>
        <w:rPr>
          <w:color w:val="585858"/>
        </w:rPr>
        <w:t>The</w:t>
      </w:r>
      <w:r>
        <w:rPr>
          <w:color w:val="585858"/>
          <w:spacing w:val="-9"/>
        </w:rPr>
        <w:t> </w:t>
      </w:r>
      <w:r>
        <w:rPr>
          <w:color w:val="585858"/>
        </w:rPr>
        <w:t>safety</w:t>
      </w:r>
      <w:r>
        <w:rPr>
          <w:color w:val="585858"/>
          <w:spacing w:val="-10"/>
        </w:rPr>
        <w:t> </w:t>
      </w:r>
      <w:r>
        <w:rPr>
          <w:color w:val="585858"/>
        </w:rPr>
        <w:t>case</w:t>
      </w:r>
      <w:r>
        <w:rPr>
          <w:color w:val="585858"/>
          <w:spacing w:val="-4"/>
        </w:rPr>
        <w:t> </w:t>
      </w:r>
      <w:r>
        <w:rPr>
          <w:color w:val="585858"/>
        </w:rPr>
        <w:t>–</w:t>
      </w:r>
      <w:r>
        <w:rPr>
          <w:color w:val="585858"/>
          <w:spacing w:val="-9"/>
        </w:rPr>
        <w:t> </w:t>
      </w:r>
      <w:r>
        <w:rPr>
          <w:color w:val="585858"/>
        </w:rPr>
        <w:t>reaching</w:t>
      </w:r>
      <w:r>
        <w:rPr>
          <w:color w:val="585858"/>
          <w:spacing w:val="-10"/>
        </w:rPr>
        <w:t> </w:t>
      </w:r>
      <w:r>
        <w:rPr>
          <w:color w:val="585858"/>
        </w:rPr>
        <w:t>a</w:t>
      </w:r>
      <w:r>
        <w:rPr>
          <w:color w:val="585858"/>
          <w:spacing w:val="-8"/>
        </w:rPr>
        <w:t> </w:t>
      </w:r>
      <w:r>
        <w:rPr>
          <w:color w:val="585858"/>
        </w:rPr>
        <w:t>common</w:t>
      </w:r>
      <w:r>
        <w:rPr>
          <w:color w:val="585858"/>
          <w:spacing w:val="-8"/>
        </w:rPr>
        <w:t> </w:t>
      </w:r>
      <w:r>
        <w:rPr>
          <w:color w:val="585858"/>
          <w:spacing w:val="-2"/>
        </w:rPr>
        <w:t>understanding</w:t>
      </w:r>
    </w:p>
    <w:p>
      <w:pPr>
        <w:pStyle w:val="BodyText"/>
        <w:spacing w:line="288" w:lineRule="auto" w:before="314"/>
        <w:ind w:left="232" w:right="374"/>
      </w:pPr>
      <w:r>
        <w:rPr/>
        <w:t>In</w:t>
      </w:r>
      <w:r>
        <w:rPr>
          <w:spacing w:val="-4"/>
        </w:rPr>
        <w:t> </w:t>
      </w:r>
      <w:r>
        <w:rPr/>
        <w:t>their</w:t>
      </w:r>
      <w:r>
        <w:rPr>
          <w:spacing w:val="-1"/>
        </w:rPr>
        <w:t> </w:t>
      </w:r>
      <w:r>
        <w:rPr/>
        <w:t>submissions</w:t>
      </w:r>
      <w:r>
        <w:rPr>
          <w:spacing w:val="-4"/>
        </w:rPr>
        <w:t> </w:t>
      </w:r>
      <w:r>
        <w:rPr/>
        <w:t>to</w:t>
      </w:r>
      <w:r>
        <w:rPr>
          <w:spacing w:val="-4"/>
        </w:rPr>
        <w:t> </w:t>
      </w:r>
      <w:r>
        <w:rPr/>
        <w:t>the</w:t>
      </w:r>
      <w:r>
        <w:rPr>
          <w:spacing w:val="-2"/>
        </w:rPr>
        <w:t> </w:t>
      </w:r>
      <w:r>
        <w:rPr/>
        <w:t>Review, APA</w:t>
      </w:r>
      <w:r>
        <w:rPr>
          <w:spacing w:val="-2"/>
        </w:rPr>
        <w:t> </w:t>
      </w:r>
      <w:r>
        <w:rPr/>
        <w:t>VTS</w:t>
      </w:r>
      <w:r>
        <w:rPr>
          <w:spacing w:val="-2"/>
        </w:rPr>
        <w:t> </w:t>
      </w:r>
      <w:r>
        <w:rPr/>
        <w:t>and</w:t>
      </w:r>
      <w:r>
        <w:rPr>
          <w:spacing w:val="-6"/>
        </w:rPr>
        <w:t> </w:t>
      </w:r>
      <w:r>
        <w:rPr/>
        <w:t>AusNet</w:t>
      </w:r>
      <w:r>
        <w:rPr>
          <w:spacing w:val="-1"/>
        </w:rPr>
        <w:t> </w:t>
      </w:r>
      <w:r>
        <w:rPr/>
        <w:t>Services have</w:t>
      </w:r>
      <w:r>
        <w:rPr>
          <w:spacing w:val="-2"/>
        </w:rPr>
        <w:t> </w:t>
      </w:r>
      <w:r>
        <w:rPr/>
        <w:t>noted</w:t>
      </w:r>
      <w:r>
        <w:rPr>
          <w:spacing w:val="-2"/>
        </w:rPr>
        <w:t> </w:t>
      </w:r>
      <w:r>
        <w:rPr/>
        <w:t>concerns</w:t>
      </w:r>
      <w:r>
        <w:rPr>
          <w:spacing w:val="-4"/>
        </w:rPr>
        <w:t> </w:t>
      </w:r>
      <w:r>
        <w:rPr/>
        <w:t>around delays in the approval of safety cases by ESV:</w:t>
      </w:r>
    </w:p>
    <w:p>
      <w:pPr>
        <w:pStyle w:val="BodyText"/>
        <w:spacing w:before="7"/>
        <w:rPr>
          <w:sz w:val="20"/>
        </w:rPr>
      </w:pPr>
    </w:p>
    <w:p>
      <w:pPr>
        <w:spacing w:line="288" w:lineRule="auto" w:before="1"/>
        <w:ind w:left="799" w:right="920" w:firstLine="0"/>
        <w:jc w:val="left"/>
        <w:rPr>
          <w:sz w:val="22"/>
        </w:rPr>
      </w:pPr>
      <w:r>
        <w:rPr>
          <w:i/>
          <w:sz w:val="22"/>
        </w:rPr>
        <w:t>“Currently there are significant issues with Safety Case approval, auditing processes, and also the oversight of construction work for gas pipelines. Processes are overly complicated and time consuming compromising effectiveness. APA considers that there should be more certainty on timeframes for government decision making as well as</w:t>
      </w:r>
      <w:r>
        <w:rPr>
          <w:i/>
          <w:spacing w:val="-1"/>
          <w:sz w:val="22"/>
        </w:rPr>
        <w:t> </w:t>
      </w:r>
      <w:r>
        <w:rPr>
          <w:i/>
          <w:sz w:val="22"/>
        </w:rPr>
        <w:t>a greater</w:t>
      </w:r>
      <w:r>
        <w:rPr>
          <w:i/>
          <w:spacing w:val="-2"/>
          <w:sz w:val="22"/>
        </w:rPr>
        <w:t> </w:t>
      </w:r>
      <w:r>
        <w:rPr>
          <w:i/>
          <w:sz w:val="22"/>
        </w:rPr>
        <w:t>focus</w:t>
      </w:r>
      <w:r>
        <w:rPr>
          <w:i/>
          <w:spacing w:val="-3"/>
          <w:sz w:val="22"/>
        </w:rPr>
        <w:t> </w:t>
      </w:r>
      <w:r>
        <w:rPr>
          <w:i/>
          <w:sz w:val="22"/>
        </w:rPr>
        <w:t>in</w:t>
      </w:r>
      <w:r>
        <w:rPr>
          <w:i/>
          <w:spacing w:val="-1"/>
          <w:sz w:val="22"/>
        </w:rPr>
        <w:t> </w:t>
      </w:r>
      <w:r>
        <w:rPr>
          <w:i/>
          <w:sz w:val="22"/>
        </w:rPr>
        <w:t>the</w:t>
      </w:r>
      <w:r>
        <w:rPr>
          <w:i/>
          <w:spacing w:val="-6"/>
          <w:sz w:val="22"/>
        </w:rPr>
        <w:t> </w:t>
      </w:r>
      <w:r>
        <w:rPr>
          <w:i/>
          <w:sz w:val="22"/>
        </w:rPr>
        <w:t>Safety</w:t>
      </w:r>
      <w:r>
        <w:rPr>
          <w:i/>
          <w:spacing w:val="-3"/>
          <w:sz w:val="22"/>
        </w:rPr>
        <w:t> </w:t>
      </w:r>
      <w:r>
        <w:rPr>
          <w:i/>
          <w:sz w:val="22"/>
        </w:rPr>
        <w:t>Case</w:t>
      </w:r>
      <w:r>
        <w:rPr>
          <w:i/>
          <w:spacing w:val="-1"/>
          <w:sz w:val="22"/>
        </w:rPr>
        <w:t> </w:t>
      </w:r>
      <w:r>
        <w:rPr>
          <w:i/>
          <w:sz w:val="22"/>
        </w:rPr>
        <w:t>on</w:t>
      </w:r>
      <w:r>
        <w:rPr>
          <w:i/>
          <w:spacing w:val="-3"/>
          <w:sz w:val="22"/>
        </w:rPr>
        <w:t> </w:t>
      </w:r>
      <w:r>
        <w:rPr>
          <w:i/>
          <w:sz w:val="22"/>
        </w:rPr>
        <w:t>the</w:t>
      </w:r>
      <w:r>
        <w:rPr>
          <w:i/>
          <w:spacing w:val="-3"/>
          <w:sz w:val="22"/>
        </w:rPr>
        <w:t> </w:t>
      </w:r>
      <w:r>
        <w:rPr>
          <w:i/>
          <w:sz w:val="22"/>
        </w:rPr>
        <w:t>key</w:t>
      </w:r>
      <w:r>
        <w:rPr>
          <w:i/>
          <w:spacing w:val="-3"/>
          <w:sz w:val="22"/>
        </w:rPr>
        <w:t> </w:t>
      </w:r>
      <w:r>
        <w:rPr>
          <w:i/>
          <w:sz w:val="22"/>
        </w:rPr>
        <w:t>risks and</w:t>
      </w:r>
      <w:r>
        <w:rPr>
          <w:i/>
          <w:spacing w:val="-3"/>
          <w:sz w:val="22"/>
        </w:rPr>
        <w:t> </w:t>
      </w:r>
      <w:r>
        <w:rPr>
          <w:i/>
          <w:sz w:val="22"/>
        </w:rPr>
        <w:t>their</w:t>
      </w:r>
      <w:r>
        <w:rPr>
          <w:i/>
          <w:spacing w:val="-2"/>
          <w:sz w:val="22"/>
        </w:rPr>
        <w:t> </w:t>
      </w:r>
      <w:r>
        <w:rPr>
          <w:i/>
          <w:sz w:val="22"/>
        </w:rPr>
        <w:t>mitigation</w:t>
      </w:r>
      <w:r>
        <w:rPr>
          <w:i/>
          <w:spacing w:val="-2"/>
          <w:sz w:val="22"/>
        </w:rPr>
        <w:t> </w:t>
      </w:r>
      <w:r>
        <w:rPr>
          <w:i/>
          <w:sz w:val="22"/>
        </w:rPr>
        <w:t>… In</w:t>
      </w:r>
      <w:r>
        <w:rPr>
          <w:i/>
          <w:spacing w:val="-3"/>
          <w:sz w:val="22"/>
        </w:rPr>
        <w:t> </w:t>
      </w:r>
      <w:r>
        <w:rPr>
          <w:i/>
          <w:sz w:val="22"/>
        </w:rPr>
        <w:t>relation to Safety Cases, ESV has allowed Safety Cases to be submitted without providing approval after a number of years. The same Safety Cases that are approved by other regulators.” </w:t>
      </w:r>
      <w:r>
        <w:rPr>
          <w:sz w:val="22"/>
        </w:rPr>
        <w:t>(APA VTS, 2017, p. 2)</w:t>
      </w:r>
    </w:p>
    <w:p>
      <w:pPr>
        <w:pStyle w:val="BodyText"/>
        <w:spacing w:before="10"/>
        <w:rPr>
          <w:sz w:val="20"/>
        </w:rPr>
      </w:pPr>
    </w:p>
    <w:p>
      <w:pPr>
        <w:spacing w:line="288" w:lineRule="auto" w:before="0"/>
        <w:ind w:left="799" w:right="951" w:firstLine="0"/>
        <w:jc w:val="left"/>
        <w:rPr>
          <w:sz w:val="22"/>
        </w:rPr>
      </w:pPr>
      <w:r>
        <w:rPr>
          <w:i/>
          <w:sz w:val="22"/>
        </w:rPr>
        <w:t>“Safety Cases are the cornerstone to ensuring appropriate and approved risk based asset management systems are in place to maintain and enhance network safety outcomes. AusNet Services believe there are</w:t>
      </w:r>
      <w:r>
        <w:rPr>
          <w:i/>
          <w:spacing w:val="-1"/>
          <w:sz w:val="22"/>
        </w:rPr>
        <w:t> </w:t>
      </w:r>
      <w:r>
        <w:rPr>
          <w:i/>
          <w:sz w:val="22"/>
        </w:rPr>
        <w:t>opportunities</w:t>
      </w:r>
      <w:r>
        <w:rPr>
          <w:i/>
          <w:spacing w:val="-1"/>
          <w:sz w:val="22"/>
        </w:rPr>
        <w:t> </w:t>
      </w:r>
      <w:r>
        <w:rPr>
          <w:i/>
          <w:sz w:val="22"/>
        </w:rPr>
        <w:t>to</w:t>
      </w:r>
      <w:r>
        <w:rPr>
          <w:i/>
          <w:spacing w:val="-1"/>
          <w:sz w:val="22"/>
        </w:rPr>
        <w:t> </w:t>
      </w:r>
      <w:r>
        <w:rPr>
          <w:i/>
          <w:sz w:val="22"/>
        </w:rPr>
        <w:t>improve</w:t>
      </w:r>
      <w:r>
        <w:rPr>
          <w:i/>
          <w:spacing w:val="-1"/>
          <w:sz w:val="22"/>
        </w:rPr>
        <w:t> </w:t>
      </w:r>
      <w:r>
        <w:rPr>
          <w:i/>
          <w:sz w:val="22"/>
        </w:rPr>
        <w:t>the efficiency and timeliness for ESV’s review and approval of revised Safety Cases. AusNet Services</w:t>
      </w:r>
      <w:r>
        <w:rPr>
          <w:i/>
          <w:spacing w:val="-2"/>
          <w:sz w:val="22"/>
        </w:rPr>
        <w:t> </w:t>
      </w:r>
      <w:r>
        <w:rPr>
          <w:i/>
          <w:sz w:val="22"/>
        </w:rPr>
        <w:t>recommend</w:t>
      </w:r>
      <w:r>
        <w:rPr>
          <w:i/>
          <w:spacing w:val="-5"/>
          <w:sz w:val="22"/>
        </w:rPr>
        <w:t> </w:t>
      </w:r>
      <w:r>
        <w:rPr>
          <w:i/>
          <w:sz w:val="22"/>
        </w:rPr>
        <w:t>written</w:t>
      </w:r>
      <w:r>
        <w:rPr>
          <w:i/>
          <w:spacing w:val="-5"/>
          <w:sz w:val="22"/>
        </w:rPr>
        <w:t> </w:t>
      </w:r>
      <w:r>
        <w:rPr>
          <w:i/>
          <w:sz w:val="22"/>
        </w:rPr>
        <w:t>notification</w:t>
      </w:r>
      <w:r>
        <w:rPr>
          <w:i/>
          <w:spacing w:val="-3"/>
          <w:sz w:val="22"/>
        </w:rPr>
        <w:t> </w:t>
      </w:r>
      <w:r>
        <w:rPr>
          <w:i/>
          <w:sz w:val="22"/>
        </w:rPr>
        <w:t>and</w:t>
      </w:r>
      <w:r>
        <w:rPr>
          <w:i/>
          <w:spacing w:val="-3"/>
          <w:sz w:val="22"/>
        </w:rPr>
        <w:t> </w:t>
      </w:r>
      <w:r>
        <w:rPr>
          <w:i/>
          <w:sz w:val="22"/>
        </w:rPr>
        <w:t>articulation</w:t>
      </w:r>
      <w:r>
        <w:rPr>
          <w:i/>
          <w:spacing w:val="-3"/>
          <w:sz w:val="22"/>
        </w:rPr>
        <w:t> </w:t>
      </w:r>
      <w:r>
        <w:rPr>
          <w:i/>
          <w:sz w:val="22"/>
        </w:rPr>
        <w:t>of</w:t>
      </w:r>
      <w:r>
        <w:rPr>
          <w:i/>
          <w:spacing w:val="-2"/>
          <w:sz w:val="22"/>
        </w:rPr>
        <w:t> </w:t>
      </w:r>
      <w:r>
        <w:rPr>
          <w:i/>
          <w:sz w:val="22"/>
        </w:rPr>
        <w:t>aspects</w:t>
      </w:r>
      <w:r>
        <w:rPr>
          <w:i/>
          <w:spacing w:val="-2"/>
          <w:sz w:val="22"/>
        </w:rPr>
        <w:t> </w:t>
      </w:r>
      <w:r>
        <w:rPr>
          <w:i/>
          <w:sz w:val="22"/>
        </w:rPr>
        <w:t>of</w:t>
      </w:r>
      <w:r>
        <w:rPr>
          <w:i/>
          <w:spacing w:val="-2"/>
          <w:sz w:val="22"/>
        </w:rPr>
        <w:t> </w:t>
      </w:r>
      <w:r>
        <w:rPr>
          <w:i/>
          <w:sz w:val="22"/>
        </w:rPr>
        <w:t>a</w:t>
      </w:r>
      <w:r>
        <w:rPr>
          <w:i/>
          <w:spacing w:val="-5"/>
          <w:sz w:val="22"/>
        </w:rPr>
        <w:t> </w:t>
      </w:r>
      <w:r>
        <w:rPr>
          <w:i/>
          <w:sz w:val="22"/>
        </w:rPr>
        <w:t>Safety</w:t>
      </w:r>
      <w:r>
        <w:rPr>
          <w:i/>
          <w:spacing w:val="-5"/>
          <w:sz w:val="22"/>
        </w:rPr>
        <w:t> </w:t>
      </w:r>
      <w:r>
        <w:rPr>
          <w:i/>
          <w:sz w:val="22"/>
        </w:rPr>
        <w:t>Case that ESV considers are deficient in meeting the legislative requirements, would facilitate a more timely approval process.” </w:t>
      </w:r>
      <w:r>
        <w:rPr>
          <w:sz w:val="22"/>
        </w:rPr>
        <w:t>(AusNet Services, 2017b, p. 4)</w:t>
      </w:r>
    </w:p>
    <w:p>
      <w:pPr>
        <w:pStyle w:val="BodyText"/>
        <w:spacing w:before="1"/>
        <w:rPr>
          <w:sz w:val="21"/>
        </w:rPr>
      </w:pPr>
    </w:p>
    <w:p>
      <w:pPr>
        <w:pStyle w:val="BodyText"/>
        <w:spacing w:line="288" w:lineRule="auto"/>
        <w:ind w:left="232"/>
      </w:pPr>
      <w:r>
        <w:rPr/>
        <w:t>It</w:t>
      </w:r>
      <w:r>
        <w:rPr>
          <w:spacing w:val="-3"/>
        </w:rPr>
        <w:t> </w:t>
      </w:r>
      <w:r>
        <w:rPr/>
        <w:t>is</w:t>
      </w:r>
      <w:r>
        <w:rPr>
          <w:spacing w:val="-1"/>
        </w:rPr>
        <w:t> </w:t>
      </w:r>
      <w:r>
        <w:rPr/>
        <w:t>important</w:t>
      </w:r>
      <w:r>
        <w:rPr>
          <w:spacing w:val="-3"/>
        </w:rPr>
        <w:t> </w:t>
      </w:r>
      <w:r>
        <w:rPr/>
        <w:t>that</w:t>
      </w:r>
      <w:r>
        <w:rPr>
          <w:spacing w:val="-3"/>
        </w:rPr>
        <w:t> </w:t>
      </w:r>
      <w:r>
        <w:rPr/>
        <w:t>ESV</w:t>
      </w:r>
      <w:r>
        <w:rPr>
          <w:spacing w:val="-2"/>
        </w:rPr>
        <w:t> </w:t>
      </w:r>
      <w:r>
        <w:rPr/>
        <w:t>continues</w:t>
      </w:r>
      <w:r>
        <w:rPr>
          <w:spacing w:val="-2"/>
        </w:rPr>
        <w:t> </w:t>
      </w:r>
      <w:r>
        <w:rPr/>
        <w:t>to</w:t>
      </w:r>
      <w:r>
        <w:rPr>
          <w:spacing w:val="-4"/>
        </w:rPr>
        <w:t> </w:t>
      </w:r>
      <w:r>
        <w:rPr/>
        <w:t>develop</w:t>
      </w:r>
      <w:r>
        <w:rPr>
          <w:spacing w:val="-2"/>
        </w:rPr>
        <w:t> </w:t>
      </w:r>
      <w:r>
        <w:rPr/>
        <w:t>guidance</w:t>
      </w:r>
      <w:r>
        <w:rPr>
          <w:spacing w:val="-2"/>
        </w:rPr>
        <w:t> </w:t>
      </w:r>
      <w:r>
        <w:rPr/>
        <w:t>and</w:t>
      </w:r>
      <w:r>
        <w:rPr>
          <w:spacing w:val="-2"/>
        </w:rPr>
        <w:t> </w:t>
      </w:r>
      <w:r>
        <w:rPr/>
        <w:t>well-structured</w:t>
      </w:r>
      <w:r>
        <w:rPr>
          <w:spacing w:val="-4"/>
        </w:rPr>
        <w:t> </w:t>
      </w:r>
      <w:r>
        <w:rPr/>
        <w:t>processes</w:t>
      </w:r>
      <w:r>
        <w:rPr>
          <w:spacing w:val="-4"/>
        </w:rPr>
        <w:t> </w:t>
      </w:r>
      <w:r>
        <w:rPr/>
        <w:t>to</w:t>
      </w:r>
      <w:r>
        <w:rPr>
          <w:spacing w:val="-2"/>
        </w:rPr>
        <w:t> </w:t>
      </w:r>
      <w:r>
        <w:rPr/>
        <w:t>assist regulated network businesses to meet their safety case requirements.</w:t>
      </w:r>
    </w:p>
    <w:p>
      <w:pPr>
        <w:pStyle w:val="BodyText"/>
        <w:spacing w:before="10"/>
        <w:rPr>
          <w:sz w:val="20"/>
        </w:rPr>
      </w:pPr>
    </w:p>
    <w:p>
      <w:pPr>
        <w:pStyle w:val="BodyText"/>
        <w:spacing w:line="288" w:lineRule="auto"/>
        <w:ind w:left="232" w:right="374"/>
      </w:pPr>
      <w:r>
        <w:rPr/>
        <w:t>At the</w:t>
      </w:r>
      <w:r>
        <w:rPr>
          <w:spacing w:val="-2"/>
        </w:rPr>
        <w:t> </w:t>
      </w:r>
      <w:r>
        <w:rPr/>
        <w:t>same</w:t>
      </w:r>
      <w:r>
        <w:rPr>
          <w:spacing w:val="-2"/>
        </w:rPr>
        <w:t> </w:t>
      </w:r>
      <w:r>
        <w:rPr/>
        <w:t>time, network businesses</w:t>
      </w:r>
      <w:r>
        <w:rPr>
          <w:spacing w:val="-2"/>
        </w:rPr>
        <w:t> </w:t>
      </w:r>
      <w:r>
        <w:rPr/>
        <w:t>need</w:t>
      </w:r>
      <w:r>
        <w:rPr>
          <w:spacing w:val="-2"/>
        </w:rPr>
        <w:t> </w:t>
      </w:r>
      <w:r>
        <w:rPr/>
        <w:t>to accept</w:t>
      </w:r>
      <w:r>
        <w:rPr>
          <w:spacing w:val="-1"/>
        </w:rPr>
        <w:t> </w:t>
      </w:r>
      <w:r>
        <w:rPr/>
        <w:t>responsibility</w:t>
      </w:r>
      <w:r>
        <w:rPr>
          <w:spacing w:val="-2"/>
        </w:rPr>
        <w:t> </w:t>
      </w:r>
      <w:r>
        <w:rPr/>
        <w:t>for producing high</w:t>
      </w:r>
      <w:r>
        <w:rPr>
          <w:spacing w:val="-4"/>
        </w:rPr>
        <w:t> </w:t>
      </w:r>
      <w:r>
        <w:rPr/>
        <w:t>quality safety</w:t>
      </w:r>
      <w:r>
        <w:rPr>
          <w:spacing w:val="-7"/>
        </w:rPr>
        <w:t> </w:t>
      </w:r>
      <w:r>
        <w:rPr/>
        <w:t>cases.</w:t>
      </w:r>
      <w:r>
        <w:rPr>
          <w:spacing w:val="-6"/>
        </w:rPr>
        <w:t> </w:t>
      </w:r>
      <w:r>
        <w:rPr/>
        <w:t>There</w:t>
      </w:r>
      <w:r>
        <w:rPr>
          <w:spacing w:val="-5"/>
        </w:rPr>
        <w:t> </w:t>
      </w:r>
      <w:r>
        <w:rPr/>
        <w:t>is</w:t>
      </w:r>
      <w:r>
        <w:rPr>
          <w:spacing w:val="-2"/>
        </w:rPr>
        <w:t> </w:t>
      </w:r>
      <w:r>
        <w:rPr/>
        <w:t>a</w:t>
      </w:r>
      <w:r>
        <w:rPr>
          <w:spacing w:val="-5"/>
        </w:rPr>
        <w:t> </w:t>
      </w:r>
      <w:r>
        <w:rPr/>
        <w:t>risk</w:t>
      </w:r>
      <w:r>
        <w:rPr>
          <w:spacing w:val="-2"/>
        </w:rPr>
        <w:t> </w:t>
      </w:r>
      <w:r>
        <w:rPr/>
        <w:t>that</w:t>
      </w:r>
      <w:r>
        <w:rPr>
          <w:spacing w:val="-4"/>
        </w:rPr>
        <w:t> </w:t>
      </w:r>
      <w:r>
        <w:rPr/>
        <w:t>a</w:t>
      </w:r>
      <w:r>
        <w:rPr>
          <w:spacing w:val="-2"/>
        </w:rPr>
        <w:t> </w:t>
      </w:r>
      <w:r>
        <w:rPr/>
        <w:t>“blame</w:t>
      </w:r>
      <w:r>
        <w:rPr>
          <w:spacing w:val="-5"/>
        </w:rPr>
        <w:t> </w:t>
      </w:r>
      <w:r>
        <w:rPr/>
        <w:t>the</w:t>
      </w:r>
      <w:r>
        <w:rPr>
          <w:spacing w:val="-5"/>
        </w:rPr>
        <w:t> </w:t>
      </w:r>
      <w:r>
        <w:rPr/>
        <w:t>regulator”</w:t>
      </w:r>
      <w:r>
        <w:rPr>
          <w:spacing w:val="-4"/>
        </w:rPr>
        <w:t> </w:t>
      </w:r>
      <w:r>
        <w:rPr/>
        <w:t>strategy</w:t>
      </w:r>
      <w:r>
        <w:rPr>
          <w:spacing w:val="-5"/>
        </w:rPr>
        <w:t> </w:t>
      </w:r>
      <w:r>
        <w:rPr/>
        <w:t>could</w:t>
      </w:r>
      <w:r>
        <w:rPr>
          <w:spacing w:val="-5"/>
        </w:rPr>
        <w:t> </w:t>
      </w:r>
      <w:r>
        <w:rPr/>
        <w:t>be</w:t>
      </w:r>
      <w:r>
        <w:rPr>
          <w:spacing w:val="-5"/>
        </w:rPr>
        <w:t> </w:t>
      </w:r>
      <w:r>
        <w:rPr/>
        <w:t>too</w:t>
      </w:r>
      <w:r>
        <w:rPr>
          <w:spacing w:val="-3"/>
        </w:rPr>
        <w:t> </w:t>
      </w:r>
      <w:r>
        <w:rPr/>
        <w:t>easily</w:t>
      </w:r>
      <w:r>
        <w:rPr>
          <w:spacing w:val="-5"/>
        </w:rPr>
        <w:t> </w:t>
      </w:r>
      <w:r>
        <w:rPr>
          <w:spacing w:val="-2"/>
        </w:rPr>
        <w:t>adopted.</w:t>
      </w:r>
    </w:p>
    <w:p>
      <w:pPr>
        <w:pStyle w:val="BodyText"/>
        <w:spacing w:before="10"/>
        <w:rPr>
          <w:sz w:val="20"/>
        </w:rPr>
      </w:pPr>
    </w:p>
    <w:p>
      <w:pPr>
        <w:pStyle w:val="BodyText"/>
        <w:spacing w:line="288" w:lineRule="auto"/>
        <w:ind w:left="232" w:right="374"/>
      </w:pPr>
      <w:r>
        <w:rPr/>
        <w:t>If a business is unable to clearly articulate its processes for identifying and comprehensively managing</w:t>
      </w:r>
      <w:r>
        <w:rPr>
          <w:spacing w:val="-2"/>
        </w:rPr>
        <w:t> </w:t>
      </w:r>
      <w:r>
        <w:rPr/>
        <w:t>risks</w:t>
      </w:r>
      <w:r>
        <w:rPr>
          <w:spacing w:val="-6"/>
        </w:rPr>
        <w:t> </w:t>
      </w:r>
      <w:r>
        <w:rPr/>
        <w:t>through</w:t>
      </w:r>
      <w:r>
        <w:rPr>
          <w:spacing w:val="-6"/>
        </w:rPr>
        <w:t> </w:t>
      </w:r>
      <w:r>
        <w:rPr/>
        <w:t>a</w:t>
      </w:r>
      <w:r>
        <w:rPr>
          <w:spacing w:val="-2"/>
        </w:rPr>
        <w:t> </w:t>
      </w:r>
      <w:r>
        <w:rPr/>
        <w:t>sound</w:t>
      </w:r>
      <w:r>
        <w:rPr>
          <w:spacing w:val="-2"/>
        </w:rPr>
        <w:t> </w:t>
      </w:r>
      <w:r>
        <w:rPr/>
        <w:t>safety</w:t>
      </w:r>
      <w:r>
        <w:rPr>
          <w:spacing w:val="-4"/>
        </w:rPr>
        <w:t> </w:t>
      </w:r>
      <w:r>
        <w:rPr/>
        <w:t>case,</w:t>
      </w:r>
      <w:r>
        <w:rPr>
          <w:spacing w:val="-3"/>
        </w:rPr>
        <w:t> </w:t>
      </w:r>
      <w:r>
        <w:rPr/>
        <w:t>reasonable</w:t>
      </w:r>
      <w:r>
        <w:rPr>
          <w:spacing w:val="-2"/>
        </w:rPr>
        <w:t> </w:t>
      </w:r>
      <w:r>
        <w:rPr/>
        <w:t>people</w:t>
      </w:r>
      <w:r>
        <w:rPr>
          <w:spacing w:val="-2"/>
        </w:rPr>
        <w:t> </w:t>
      </w:r>
      <w:r>
        <w:rPr/>
        <w:t>are</w:t>
      </w:r>
      <w:r>
        <w:rPr>
          <w:spacing w:val="-4"/>
        </w:rPr>
        <w:t> </w:t>
      </w:r>
      <w:r>
        <w:rPr/>
        <w:t>entitled</w:t>
      </w:r>
      <w:r>
        <w:rPr>
          <w:spacing w:val="-2"/>
        </w:rPr>
        <w:t> </w:t>
      </w:r>
      <w:r>
        <w:rPr/>
        <w:t>to</w:t>
      </w:r>
      <w:r>
        <w:rPr>
          <w:spacing w:val="-6"/>
        </w:rPr>
        <w:t> </w:t>
      </w:r>
      <w:r>
        <w:rPr/>
        <w:t>question</w:t>
      </w:r>
      <w:r>
        <w:rPr>
          <w:spacing w:val="-4"/>
        </w:rPr>
        <w:t> </w:t>
      </w:r>
      <w:r>
        <w:rPr/>
        <w:t>either:</w:t>
      </w:r>
      <w:r>
        <w:rPr>
          <w:spacing w:val="-3"/>
        </w:rPr>
        <w:t> </w:t>
      </w:r>
      <w:r>
        <w:rPr/>
        <w:t>(i)</w:t>
      </w:r>
    </w:p>
    <w:p>
      <w:pPr>
        <w:spacing w:after="0" w:line="288" w:lineRule="auto"/>
        <w:sectPr>
          <w:pgSz w:w="11910" w:h="16850"/>
          <w:pgMar w:header="220" w:footer="678" w:top="420" w:bottom="860" w:left="900" w:right="840"/>
        </w:sectPr>
      </w:pPr>
    </w:p>
    <w:p>
      <w:pPr>
        <w:pStyle w:val="BodyText"/>
        <w:rPr>
          <w:sz w:val="20"/>
        </w:rPr>
      </w:pPr>
    </w:p>
    <w:p>
      <w:pPr>
        <w:pStyle w:val="BodyText"/>
        <w:spacing w:before="2"/>
        <w:rPr>
          <w:sz w:val="19"/>
        </w:rPr>
      </w:pPr>
    </w:p>
    <w:p>
      <w:pPr>
        <w:pStyle w:val="BodyText"/>
        <w:spacing w:line="288" w:lineRule="auto" w:before="94"/>
        <w:ind w:left="232" w:right="374"/>
      </w:pPr>
      <w:r>
        <w:rPr/>
        <w:t>the genuine commitment by the business to safety as one of the very highest priorities for the senior</w:t>
      </w:r>
      <w:r>
        <w:rPr>
          <w:spacing w:val="-2"/>
        </w:rPr>
        <w:t> </w:t>
      </w:r>
      <w:r>
        <w:rPr/>
        <w:t>management</w:t>
      </w:r>
      <w:r>
        <w:rPr>
          <w:spacing w:val="-1"/>
        </w:rPr>
        <w:t> </w:t>
      </w:r>
      <w:r>
        <w:rPr/>
        <w:t>and</w:t>
      </w:r>
      <w:r>
        <w:rPr>
          <w:spacing w:val="-7"/>
        </w:rPr>
        <w:t> </w:t>
      </w:r>
      <w:r>
        <w:rPr/>
        <w:t>board</w:t>
      </w:r>
      <w:r>
        <w:rPr>
          <w:spacing w:val="-2"/>
        </w:rPr>
        <w:t> </w:t>
      </w:r>
      <w:r>
        <w:rPr/>
        <w:t>of</w:t>
      </w:r>
      <w:r>
        <w:rPr>
          <w:spacing w:val="-1"/>
        </w:rPr>
        <w:t> </w:t>
      </w:r>
      <w:r>
        <w:rPr/>
        <w:t>directors;</w:t>
      </w:r>
      <w:r>
        <w:rPr>
          <w:spacing w:val="-4"/>
        </w:rPr>
        <w:t> </w:t>
      </w:r>
      <w:r>
        <w:rPr/>
        <w:t>or</w:t>
      </w:r>
      <w:r>
        <w:rPr>
          <w:spacing w:val="-4"/>
        </w:rPr>
        <w:t> </w:t>
      </w:r>
      <w:r>
        <w:rPr/>
        <w:t>(ii)</w:t>
      </w:r>
      <w:r>
        <w:rPr>
          <w:spacing w:val="-4"/>
        </w:rPr>
        <w:t> </w:t>
      </w:r>
      <w:r>
        <w:rPr/>
        <w:t>the</w:t>
      </w:r>
      <w:r>
        <w:rPr>
          <w:spacing w:val="-3"/>
        </w:rPr>
        <w:t> </w:t>
      </w:r>
      <w:r>
        <w:rPr/>
        <w:t>competence</w:t>
      </w:r>
      <w:r>
        <w:rPr>
          <w:spacing w:val="-3"/>
        </w:rPr>
        <w:t> </w:t>
      </w:r>
      <w:r>
        <w:rPr/>
        <w:t>of</w:t>
      </w:r>
      <w:r>
        <w:rPr>
          <w:spacing w:val="-1"/>
        </w:rPr>
        <w:t> </w:t>
      </w:r>
      <w:r>
        <w:rPr/>
        <w:t>internal</w:t>
      </w:r>
      <w:r>
        <w:rPr>
          <w:spacing w:val="-4"/>
        </w:rPr>
        <w:t> </w:t>
      </w:r>
      <w:r>
        <w:rPr/>
        <w:t>processes</w:t>
      </w:r>
      <w:r>
        <w:rPr>
          <w:spacing w:val="-5"/>
        </w:rPr>
        <w:t> </w:t>
      </w:r>
      <w:r>
        <w:rPr/>
        <w:t>within</w:t>
      </w:r>
      <w:r>
        <w:rPr>
          <w:spacing w:val="-3"/>
        </w:rPr>
        <w:t> </w:t>
      </w:r>
      <w:r>
        <w:rPr/>
        <w:t>the business; or both.</w:t>
      </w:r>
    </w:p>
    <w:p>
      <w:pPr>
        <w:pStyle w:val="BodyText"/>
        <w:spacing w:before="9"/>
        <w:rPr>
          <w:sz w:val="20"/>
        </w:rPr>
      </w:pPr>
    </w:p>
    <w:p>
      <w:pPr>
        <w:pStyle w:val="BodyText"/>
        <w:spacing w:line="288" w:lineRule="auto"/>
        <w:ind w:left="232" w:right="374"/>
      </w:pPr>
      <w:r>
        <w:rPr/>
        <w:t>A mature safety case based system is not a “light touch” system. It is one that requires the strongest commitment by regulated businesses working in partnership with the regulator to produce</w:t>
      </w:r>
      <w:r>
        <w:rPr>
          <w:spacing w:val="-2"/>
        </w:rPr>
        <w:t> </w:t>
      </w:r>
      <w:r>
        <w:rPr/>
        <w:t>high</w:t>
      </w:r>
      <w:r>
        <w:rPr>
          <w:spacing w:val="-4"/>
        </w:rPr>
        <w:t> </w:t>
      </w:r>
      <w:r>
        <w:rPr/>
        <w:t>quality</w:t>
      </w:r>
      <w:r>
        <w:rPr>
          <w:spacing w:val="-6"/>
        </w:rPr>
        <w:t> </w:t>
      </w:r>
      <w:r>
        <w:rPr/>
        <w:t>material</w:t>
      </w:r>
      <w:r>
        <w:rPr>
          <w:spacing w:val="-2"/>
        </w:rPr>
        <w:t> </w:t>
      </w:r>
      <w:r>
        <w:rPr/>
        <w:t>supported</w:t>
      </w:r>
      <w:r>
        <w:rPr>
          <w:spacing w:val="-2"/>
        </w:rPr>
        <w:t> </w:t>
      </w:r>
      <w:r>
        <w:rPr/>
        <w:t>by</w:t>
      </w:r>
      <w:r>
        <w:rPr>
          <w:spacing w:val="-4"/>
        </w:rPr>
        <w:t> </w:t>
      </w:r>
      <w:r>
        <w:rPr/>
        <w:t>rigorous</w:t>
      </w:r>
      <w:r>
        <w:rPr>
          <w:spacing w:val="-2"/>
        </w:rPr>
        <w:t> </w:t>
      </w:r>
      <w:r>
        <w:rPr/>
        <w:t>underlying systems</w:t>
      </w:r>
      <w:r>
        <w:rPr>
          <w:spacing w:val="-4"/>
        </w:rPr>
        <w:t> </w:t>
      </w:r>
      <w:r>
        <w:rPr/>
        <w:t>and</w:t>
      </w:r>
      <w:r>
        <w:rPr>
          <w:spacing w:val="-2"/>
        </w:rPr>
        <w:t> </w:t>
      </w:r>
      <w:r>
        <w:rPr/>
        <w:t>processes.</w:t>
      </w:r>
      <w:r>
        <w:rPr>
          <w:spacing w:val="-3"/>
        </w:rPr>
        <w:t> </w:t>
      </w:r>
      <w:r>
        <w:rPr/>
        <w:t>In</w:t>
      </w:r>
      <w:r>
        <w:rPr>
          <w:spacing w:val="-4"/>
        </w:rPr>
        <w:t> </w:t>
      </w:r>
      <w:r>
        <w:rPr/>
        <w:t>turn,</w:t>
      </w:r>
      <w:r>
        <w:rPr>
          <w:spacing w:val="-3"/>
        </w:rPr>
        <w:t> </w:t>
      </w:r>
      <w:r>
        <w:rPr/>
        <w:t>it requires the regulator to be clear about its expectations and to have strong systems in place to support its consideration of safety cases.</w:t>
      </w:r>
    </w:p>
    <w:p>
      <w:pPr>
        <w:pStyle w:val="BodyText"/>
        <w:rPr>
          <w:sz w:val="21"/>
        </w:rPr>
      </w:pPr>
    </w:p>
    <w:p>
      <w:pPr>
        <w:pStyle w:val="BodyText"/>
        <w:spacing w:line="288" w:lineRule="auto"/>
        <w:ind w:left="232" w:right="320"/>
      </w:pPr>
      <w:r>
        <w:rPr/>
        <w:t>A case study illustrating why the Review might be concerned about the maturity of current safety case regulation is provided by the sequence surrounding the submission and acceptance of Multinet’s gas Safety</w:t>
      </w:r>
      <w:r>
        <w:rPr>
          <w:spacing w:val="-1"/>
        </w:rPr>
        <w:t> </w:t>
      </w:r>
      <w:r>
        <w:rPr/>
        <w:t>Case. The</w:t>
      </w:r>
      <w:r>
        <w:rPr>
          <w:spacing w:val="-1"/>
        </w:rPr>
        <w:t> </w:t>
      </w:r>
      <w:r>
        <w:rPr/>
        <w:t>previous</w:t>
      </w:r>
      <w:r>
        <w:rPr>
          <w:spacing w:val="-1"/>
        </w:rPr>
        <w:t> </w:t>
      </w:r>
      <w:r>
        <w:rPr/>
        <w:t>fully</w:t>
      </w:r>
      <w:r>
        <w:rPr>
          <w:spacing w:val="-1"/>
        </w:rPr>
        <w:t> </w:t>
      </w:r>
      <w:r>
        <w:rPr/>
        <w:t>revised Safety Case</w:t>
      </w:r>
      <w:r>
        <w:rPr>
          <w:spacing w:val="-1"/>
        </w:rPr>
        <w:t> </w:t>
      </w:r>
      <w:r>
        <w:rPr/>
        <w:t>was submitted</w:t>
      </w:r>
      <w:r>
        <w:rPr>
          <w:spacing w:val="-1"/>
        </w:rPr>
        <w:t> </w:t>
      </w:r>
      <w:r>
        <w:rPr/>
        <w:t>in 2006, with an updated</w:t>
      </w:r>
      <w:r>
        <w:rPr>
          <w:spacing w:val="-3"/>
        </w:rPr>
        <w:t> </w:t>
      </w:r>
      <w:r>
        <w:rPr/>
        <w:t>version</w:t>
      </w:r>
      <w:r>
        <w:rPr>
          <w:spacing w:val="-3"/>
        </w:rPr>
        <w:t> </w:t>
      </w:r>
      <w:r>
        <w:rPr/>
        <w:t>submitted</w:t>
      </w:r>
      <w:r>
        <w:rPr>
          <w:spacing w:val="-3"/>
        </w:rPr>
        <w:t> </w:t>
      </w:r>
      <w:r>
        <w:rPr/>
        <w:t>and</w:t>
      </w:r>
      <w:r>
        <w:rPr>
          <w:spacing w:val="-3"/>
        </w:rPr>
        <w:t> </w:t>
      </w:r>
      <w:r>
        <w:rPr/>
        <w:t>accepted</w:t>
      </w:r>
      <w:r>
        <w:rPr>
          <w:spacing w:val="-5"/>
        </w:rPr>
        <w:t> </w:t>
      </w:r>
      <w:r>
        <w:rPr/>
        <w:t>in</w:t>
      </w:r>
      <w:r>
        <w:rPr>
          <w:spacing w:val="-3"/>
        </w:rPr>
        <w:t> </w:t>
      </w:r>
      <w:r>
        <w:rPr/>
        <w:t>2009.</w:t>
      </w:r>
      <w:r>
        <w:rPr>
          <w:spacing w:val="-1"/>
        </w:rPr>
        <w:t> </w:t>
      </w:r>
      <w:r>
        <w:rPr/>
        <w:t>For</w:t>
      </w:r>
      <w:r>
        <w:rPr>
          <w:spacing w:val="-4"/>
        </w:rPr>
        <w:t> </w:t>
      </w:r>
      <w:r>
        <w:rPr/>
        <w:t>the</w:t>
      </w:r>
      <w:r>
        <w:rPr>
          <w:spacing w:val="-5"/>
        </w:rPr>
        <w:t> </w:t>
      </w:r>
      <w:r>
        <w:rPr/>
        <w:t>following five-yearly</w:t>
      </w:r>
      <w:r>
        <w:rPr>
          <w:spacing w:val="-5"/>
        </w:rPr>
        <w:t> </w:t>
      </w:r>
      <w:r>
        <w:rPr/>
        <w:t>full</w:t>
      </w:r>
      <w:r>
        <w:rPr>
          <w:spacing w:val="-6"/>
        </w:rPr>
        <w:t> </w:t>
      </w:r>
      <w:r>
        <w:rPr/>
        <w:t>revision,</w:t>
      </w:r>
      <w:r>
        <w:rPr>
          <w:spacing w:val="-1"/>
        </w:rPr>
        <w:t> </w:t>
      </w:r>
      <w:r>
        <w:rPr/>
        <w:t>Multinet submitted documentation on a number of occasions however ESV did not consider it acceptable. ESV requested a third party write the Safety Case but this was also unsatisfactory. Multinet submitted a further revised Safety Case in June this year which has now been provisionally accepted by ESV.</w:t>
      </w:r>
    </w:p>
    <w:p>
      <w:pPr>
        <w:pStyle w:val="BodyText"/>
        <w:spacing w:before="8"/>
        <w:rPr>
          <w:sz w:val="20"/>
        </w:rPr>
      </w:pPr>
    </w:p>
    <w:p>
      <w:pPr>
        <w:pStyle w:val="BodyText"/>
        <w:spacing w:line="288" w:lineRule="auto" w:before="1"/>
        <w:ind w:left="232" w:right="286"/>
      </w:pPr>
      <w:r>
        <w:rPr/>
        <w:t>Some of the difficulties surrounding safety cases may arise due to ESV’s more recent efforts to lift the</w:t>
      </w:r>
      <w:r>
        <w:rPr>
          <w:spacing w:val="-1"/>
        </w:rPr>
        <w:t> </w:t>
      </w:r>
      <w:r>
        <w:rPr/>
        <w:t>performance</w:t>
      </w:r>
      <w:r>
        <w:rPr>
          <w:spacing w:val="-3"/>
        </w:rPr>
        <w:t> </w:t>
      </w:r>
      <w:r>
        <w:rPr/>
        <w:t>of</w:t>
      </w:r>
      <w:r>
        <w:rPr>
          <w:spacing w:val="-2"/>
        </w:rPr>
        <w:t> </w:t>
      </w:r>
      <w:r>
        <w:rPr/>
        <w:t>the</w:t>
      </w:r>
      <w:r>
        <w:rPr>
          <w:spacing w:val="-3"/>
        </w:rPr>
        <w:t> </w:t>
      </w:r>
      <w:r>
        <w:rPr/>
        <w:t>framework.</w:t>
      </w:r>
      <w:r>
        <w:rPr>
          <w:spacing w:val="-2"/>
        </w:rPr>
        <w:t> </w:t>
      </w:r>
      <w:r>
        <w:rPr/>
        <w:t>This</w:t>
      </w:r>
      <w:r>
        <w:rPr>
          <w:spacing w:val="-3"/>
        </w:rPr>
        <w:t> </w:t>
      </w:r>
      <w:r>
        <w:rPr/>
        <w:t>has</w:t>
      </w:r>
      <w:r>
        <w:rPr>
          <w:spacing w:val="-3"/>
        </w:rPr>
        <w:t> </w:t>
      </w:r>
      <w:r>
        <w:rPr/>
        <w:t>required safety</w:t>
      </w:r>
      <w:r>
        <w:rPr>
          <w:spacing w:val="-2"/>
        </w:rPr>
        <w:t> </w:t>
      </w:r>
      <w:r>
        <w:rPr/>
        <w:t>cases</w:t>
      </w:r>
      <w:r>
        <w:rPr>
          <w:spacing w:val="-3"/>
        </w:rPr>
        <w:t> </w:t>
      </w:r>
      <w:r>
        <w:rPr/>
        <w:t>across</w:t>
      </w:r>
      <w:r>
        <w:rPr>
          <w:spacing w:val="-5"/>
        </w:rPr>
        <w:t> </w:t>
      </w:r>
      <w:r>
        <w:rPr/>
        <w:t>sectors</w:t>
      </w:r>
      <w:r>
        <w:rPr>
          <w:spacing w:val="-2"/>
        </w:rPr>
        <w:t> </w:t>
      </w:r>
      <w:r>
        <w:rPr/>
        <w:t>to</w:t>
      </w:r>
      <w:r>
        <w:rPr>
          <w:spacing w:val="-1"/>
        </w:rPr>
        <w:t> </w:t>
      </w:r>
      <w:r>
        <w:rPr/>
        <w:t>be</w:t>
      </w:r>
      <w:r>
        <w:rPr>
          <w:spacing w:val="-2"/>
        </w:rPr>
        <w:t> </w:t>
      </w:r>
      <w:r>
        <w:rPr/>
        <w:t>of sufficient quality to demonstrate clear and structured safety arguments and that the critical controls are in place and being managed. For the electricity sector, this has included the new requirement for a Safety Case in addition to the Electricity Safety Management Scheme. Some businesses have found this problematic:</w:t>
      </w:r>
    </w:p>
    <w:p>
      <w:pPr>
        <w:pStyle w:val="BodyText"/>
        <w:spacing w:before="10"/>
        <w:rPr>
          <w:sz w:val="20"/>
        </w:rPr>
      </w:pPr>
    </w:p>
    <w:p>
      <w:pPr>
        <w:spacing w:line="288" w:lineRule="auto" w:before="0"/>
        <w:ind w:left="799" w:right="868" w:firstLine="0"/>
        <w:jc w:val="left"/>
        <w:rPr>
          <w:sz w:val="22"/>
        </w:rPr>
      </w:pPr>
      <w:r>
        <w:rPr>
          <w:i/>
          <w:sz w:val="22"/>
        </w:rPr>
        <w:t>“ESV requested the businesses to prepare a Safety Case document in addition to fully documenting an Electrical Safety Management Scheme (ESMS). All other safety regulators only require businesses to write one comprehensive document … Clarification</w:t>
      </w:r>
      <w:r>
        <w:rPr>
          <w:i/>
          <w:spacing w:val="-2"/>
          <w:sz w:val="22"/>
        </w:rPr>
        <w:t> </w:t>
      </w:r>
      <w:r>
        <w:rPr>
          <w:i/>
          <w:sz w:val="22"/>
        </w:rPr>
        <w:t>between</w:t>
      </w:r>
      <w:r>
        <w:rPr>
          <w:i/>
          <w:spacing w:val="-4"/>
          <w:sz w:val="22"/>
        </w:rPr>
        <w:t> </w:t>
      </w:r>
      <w:r>
        <w:rPr>
          <w:i/>
          <w:sz w:val="22"/>
        </w:rPr>
        <w:t>the</w:t>
      </w:r>
      <w:r>
        <w:rPr>
          <w:i/>
          <w:spacing w:val="-4"/>
          <w:sz w:val="22"/>
        </w:rPr>
        <w:t> </w:t>
      </w:r>
      <w:r>
        <w:rPr>
          <w:i/>
          <w:sz w:val="22"/>
        </w:rPr>
        <w:t>Safety</w:t>
      </w:r>
      <w:r>
        <w:rPr>
          <w:i/>
          <w:spacing w:val="-1"/>
          <w:sz w:val="22"/>
        </w:rPr>
        <w:t> </w:t>
      </w:r>
      <w:r>
        <w:rPr>
          <w:i/>
          <w:sz w:val="22"/>
        </w:rPr>
        <w:t>Case</w:t>
      </w:r>
      <w:r>
        <w:rPr>
          <w:i/>
          <w:spacing w:val="-4"/>
          <w:sz w:val="22"/>
        </w:rPr>
        <w:t> </w:t>
      </w:r>
      <w:r>
        <w:rPr>
          <w:i/>
          <w:sz w:val="22"/>
        </w:rPr>
        <w:t>and</w:t>
      </w:r>
      <w:r>
        <w:rPr>
          <w:i/>
          <w:spacing w:val="-2"/>
          <w:sz w:val="22"/>
        </w:rPr>
        <w:t> </w:t>
      </w:r>
      <w:r>
        <w:rPr>
          <w:i/>
          <w:sz w:val="22"/>
        </w:rPr>
        <w:t>ESMS</w:t>
      </w:r>
      <w:r>
        <w:rPr>
          <w:i/>
          <w:spacing w:val="-4"/>
          <w:sz w:val="22"/>
        </w:rPr>
        <w:t> </w:t>
      </w:r>
      <w:r>
        <w:rPr>
          <w:i/>
          <w:sz w:val="22"/>
        </w:rPr>
        <w:t>regimes</w:t>
      </w:r>
      <w:r>
        <w:rPr>
          <w:i/>
          <w:spacing w:val="-2"/>
          <w:sz w:val="22"/>
        </w:rPr>
        <w:t> </w:t>
      </w:r>
      <w:r>
        <w:rPr>
          <w:i/>
          <w:sz w:val="22"/>
        </w:rPr>
        <w:t>is</w:t>
      </w:r>
      <w:r>
        <w:rPr>
          <w:i/>
          <w:spacing w:val="-4"/>
          <w:sz w:val="22"/>
        </w:rPr>
        <w:t> </w:t>
      </w:r>
      <w:r>
        <w:rPr>
          <w:i/>
          <w:sz w:val="22"/>
        </w:rPr>
        <w:t>required.”</w:t>
      </w:r>
      <w:r>
        <w:rPr>
          <w:i/>
          <w:spacing w:val="-8"/>
          <w:sz w:val="22"/>
        </w:rPr>
        <w:t> </w:t>
      </w:r>
      <w:r>
        <w:rPr>
          <w:sz w:val="22"/>
        </w:rPr>
        <w:t>(Jemena,</w:t>
      </w:r>
      <w:r>
        <w:rPr>
          <w:spacing w:val="-3"/>
          <w:sz w:val="22"/>
        </w:rPr>
        <w:t> </w:t>
      </w:r>
      <w:r>
        <w:rPr>
          <w:sz w:val="22"/>
        </w:rPr>
        <w:t>2017, p. 2)</w:t>
      </w:r>
    </w:p>
    <w:p>
      <w:pPr>
        <w:pStyle w:val="BodyText"/>
        <w:rPr>
          <w:sz w:val="21"/>
        </w:rPr>
      </w:pPr>
    </w:p>
    <w:p>
      <w:pPr>
        <w:spacing w:line="288" w:lineRule="auto" w:before="0"/>
        <w:ind w:left="799" w:right="374" w:firstLine="0"/>
        <w:jc w:val="left"/>
        <w:rPr>
          <w:sz w:val="22"/>
        </w:rPr>
      </w:pPr>
      <w:r>
        <w:rPr>
          <w:i/>
          <w:sz w:val="22"/>
        </w:rPr>
        <w:t>“The</w:t>
      </w:r>
      <w:r>
        <w:rPr>
          <w:i/>
          <w:spacing w:val="-4"/>
          <w:sz w:val="22"/>
        </w:rPr>
        <w:t> </w:t>
      </w:r>
      <w:r>
        <w:rPr>
          <w:i/>
          <w:sz w:val="22"/>
        </w:rPr>
        <w:t>recent</w:t>
      </w:r>
      <w:r>
        <w:rPr>
          <w:i/>
          <w:spacing w:val="-3"/>
          <w:sz w:val="22"/>
        </w:rPr>
        <w:t> </w:t>
      </w:r>
      <w:r>
        <w:rPr>
          <w:i/>
          <w:sz w:val="22"/>
        </w:rPr>
        <w:t>revision</w:t>
      </w:r>
      <w:r>
        <w:rPr>
          <w:i/>
          <w:spacing w:val="-2"/>
          <w:sz w:val="22"/>
        </w:rPr>
        <w:t> </w:t>
      </w:r>
      <w:r>
        <w:rPr>
          <w:i/>
          <w:sz w:val="22"/>
        </w:rPr>
        <w:t>of</w:t>
      </w:r>
      <w:r>
        <w:rPr>
          <w:i/>
          <w:spacing w:val="-3"/>
          <w:sz w:val="22"/>
        </w:rPr>
        <w:t> </w:t>
      </w:r>
      <w:r>
        <w:rPr>
          <w:i/>
          <w:sz w:val="22"/>
        </w:rPr>
        <w:t>the</w:t>
      </w:r>
      <w:r>
        <w:rPr>
          <w:i/>
          <w:spacing w:val="-2"/>
          <w:sz w:val="22"/>
        </w:rPr>
        <w:t> </w:t>
      </w:r>
      <w:r>
        <w:rPr>
          <w:i/>
          <w:sz w:val="22"/>
        </w:rPr>
        <w:t>electricity</w:t>
      </w:r>
      <w:r>
        <w:rPr>
          <w:i/>
          <w:spacing w:val="-4"/>
          <w:sz w:val="22"/>
        </w:rPr>
        <w:t> </w:t>
      </w:r>
      <w:r>
        <w:rPr>
          <w:i/>
          <w:sz w:val="22"/>
        </w:rPr>
        <w:t>safety</w:t>
      </w:r>
      <w:r>
        <w:rPr>
          <w:i/>
          <w:spacing w:val="-3"/>
          <w:sz w:val="22"/>
        </w:rPr>
        <w:t> </w:t>
      </w:r>
      <w:r>
        <w:rPr>
          <w:i/>
          <w:sz w:val="22"/>
        </w:rPr>
        <w:t>case</w:t>
      </w:r>
      <w:r>
        <w:rPr>
          <w:i/>
          <w:spacing w:val="-4"/>
          <w:sz w:val="22"/>
        </w:rPr>
        <w:t> </w:t>
      </w:r>
      <w:r>
        <w:rPr>
          <w:i/>
          <w:sz w:val="22"/>
        </w:rPr>
        <w:t>regime,</w:t>
      </w:r>
      <w:r>
        <w:rPr>
          <w:i/>
          <w:spacing w:val="-3"/>
          <w:sz w:val="22"/>
        </w:rPr>
        <w:t> </w:t>
      </w:r>
      <w:r>
        <w:rPr>
          <w:i/>
          <w:sz w:val="22"/>
        </w:rPr>
        <w:t>whilst</w:t>
      </w:r>
      <w:r>
        <w:rPr>
          <w:i/>
          <w:spacing w:val="-3"/>
          <w:sz w:val="22"/>
        </w:rPr>
        <w:t> </w:t>
      </w:r>
      <w:r>
        <w:rPr>
          <w:i/>
          <w:sz w:val="22"/>
        </w:rPr>
        <w:t>sound</w:t>
      </w:r>
      <w:r>
        <w:rPr>
          <w:i/>
          <w:spacing w:val="-2"/>
          <w:sz w:val="22"/>
        </w:rPr>
        <w:t> </w:t>
      </w:r>
      <w:r>
        <w:rPr>
          <w:i/>
          <w:sz w:val="22"/>
        </w:rPr>
        <w:t>in</w:t>
      </w:r>
      <w:r>
        <w:rPr>
          <w:i/>
          <w:spacing w:val="-4"/>
          <w:sz w:val="22"/>
        </w:rPr>
        <w:t> </w:t>
      </w:r>
      <w:r>
        <w:rPr>
          <w:i/>
          <w:sz w:val="22"/>
        </w:rPr>
        <w:t>underlying principles,</w:t>
      </w:r>
      <w:r>
        <w:rPr>
          <w:i/>
          <w:spacing w:val="-4"/>
          <w:sz w:val="22"/>
        </w:rPr>
        <w:t> </w:t>
      </w:r>
      <w:r>
        <w:rPr>
          <w:i/>
          <w:sz w:val="22"/>
        </w:rPr>
        <w:t>has</w:t>
      </w:r>
      <w:r>
        <w:rPr>
          <w:i/>
          <w:spacing w:val="-6"/>
          <w:sz w:val="22"/>
        </w:rPr>
        <w:t> </w:t>
      </w:r>
      <w:r>
        <w:rPr>
          <w:i/>
          <w:sz w:val="22"/>
        </w:rPr>
        <w:t>delayed</w:t>
      </w:r>
      <w:r>
        <w:rPr>
          <w:i/>
          <w:spacing w:val="-4"/>
          <w:sz w:val="22"/>
        </w:rPr>
        <w:t> </w:t>
      </w:r>
      <w:r>
        <w:rPr>
          <w:i/>
          <w:sz w:val="22"/>
        </w:rPr>
        <w:t>the</w:t>
      </w:r>
      <w:r>
        <w:rPr>
          <w:i/>
          <w:spacing w:val="-5"/>
          <w:sz w:val="22"/>
        </w:rPr>
        <w:t> </w:t>
      </w:r>
      <w:r>
        <w:rPr>
          <w:i/>
          <w:sz w:val="22"/>
        </w:rPr>
        <w:t>submission</w:t>
      </w:r>
      <w:r>
        <w:rPr>
          <w:i/>
          <w:spacing w:val="-6"/>
          <w:sz w:val="22"/>
        </w:rPr>
        <w:t> </w:t>
      </w:r>
      <w:r>
        <w:rPr>
          <w:i/>
          <w:sz w:val="22"/>
        </w:rPr>
        <w:t>of</w:t>
      </w:r>
      <w:r>
        <w:rPr>
          <w:i/>
          <w:spacing w:val="-5"/>
          <w:sz w:val="22"/>
        </w:rPr>
        <w:t> </w:t>
      </w:r>
      <w:r>
        <w:rPr>
          <w:i/>
          <w:sz w:val="22"/>
        </w:rPr>
        <w:t>all</w:t>
      </w:r>
      <w:r>
        <w:rPr>
          <w:i/>
          <w:spacing w:val="-4"/>
          <w:sz w:val="22"/>
        </w:rPr>
        <w:t> </w:t>
      </w:r>
      <w:r>
        <w:rPr>
          <w:i/>
          <w:sz w:val="22"/>
        </w:rPr>
        <w:t>ESMSs…”</w:t>
      </w:r>
      <w:r>
        <w:rPr>
          <w:i/>
          <w:spacing w:val="-10"/>
          <w:sz w:val="22"/>
        </w:rPr>
        <w:t> </w:t>
      </w:r>
      <w:r>
        <w:rPr>
          <w:sz w:val="22"/>
        </w:rPr>
        <w:t>(United</w:t>
      </w:r>
      <w:r>
        <w:rPr>
          <w:spacing w:val="-5"/>
          <w:sz w:val="22"/>
        </w:rPr>
        <w:t> </w:t>
      </w:r>
      <w:r>
        <w:rPr>
          <w:sz w:val="22"/>
        </w:rPr>
        <w:t>Energy,</w:t>
      </w:r>
      <w:r>
        <w:rPr>
          <w:spacing w:val="-7"/>
          <w:sz w:val="22"/>
        </w:rPr>
        <w:t> </w:t>
      </w:r>
      <w:r>
        <w:rPr>
          <w:sz w:val="22"/>
        </w:rPr>
        <w:t>2017,</w:t>
      </w:r>
      <w:r>
        <w:rPr>
          <w:spacing w:val="-2"/>
          <w:sz w:val="22"/>
        </w:rPr>
        <w:t> </w:t>
      </w:r>
      <w:r>
        <w:rPr>
          <w:sz w:val="22"/>
        </w:rPr>
        <w:t>p.</w:t>
      </w:r>
      <w:r>
        <w:rPr>
          <w:spacing w:val="-2"/>
          <w:sz w:val="22"/>
        </w:rPr>
        <w:t> </w:t>
      </w:r>
      <w:r>
        <w:rPr>
          <w:spacing w:val="-5"/>
          <w:sz w:val="22"/>
        </w:rPr>
        <w:t>5)</w:t>
      </w:r>
    </w:p>
    <w:p>
      <w:pPr>
        <w:pStyle w:val="BodyText"/>
        <w:spacing w:before="10"/>
        <w:rPr>
          <w:sz w:val="20"/>
        </w:rPr>
      </w:pPr>
    </w:p>
    <w:p>
      <w:pPr>
        <w:pStyle w:val="BodyText"/>
        <w:ind w:left="295"/>
      </w:pPr>
      <w:r>
        <w:rPr/>
        <w:t>Amongst</w:t>
      </w:r>
      <w:r>
        <w:rPr>
          <w:spacing w:val="-6"/>
        </w:rPr>
        <w:t> </w:t>
      </w:r>
      <w:r>
        <w:rPr/>
        <w:t>other</w:t>
      </w:r>
      <w:r>
        <w:rPr>
          <w:spacing w:val="-7"/>
        </w:rPr>
        <w:t> </w:t>
      </w:r>
      <w:r>
        <w:rPr/>
        <w:t>things,</w:t>
      </w:r>
      <w:r>
        <w:rPr>
          <w:spacing w:val="-4"/>
        </w:rPr>
        <w:t> </w:t>
      </w:r>
      <w:r>
        <w:rPr/>
        <w:t>AusNet</w:t>
      </w:r>
      <w:r>
        <w:rPr>
          <w:spacing w:val="-5"/>
        </w:rPr>
        <w:t> </w:t>
      </w:r>
      <w:r>
        <w:rPr/>
        <w:t>Services</w:t>
      </w:r>
      <w:r>
        <w:rPr>
          <w:spacing w:val="-7"/>
        </w:rPr>
        <w:t> </w:t>
      </w:r>
      <w:r>
        <w:rPr/>
        <w:t>made</w:t>
      </w:r>
      <w:r>
        <w:rPr>
          <w:spacing w:val="-4"/>
        </w:rPr>
        <w:t> </w:t>
      </w:r>
      <w:r>
        <w:rPr/>
        <w:t>a</w:t>
      </w:r>
      <w:r>
        <w:rPr>
          <w:spacing w:val="-8"/>
        </w:rPr>
        <w:t> </w:t>
      </w:r>
      <w:r>
        <w:rPr/>
        <w:t>recommendation</w:t>
      </w:r>
      <w:r>
        <w:rPr>
          <w:spacing w:val="-7"/>
        </w:rPr>
        <w:t> </w:t>
      </w:r>
      <w:r>
        <w:rPr>
          <w:spacing w:val="-5"/>
        </w:rPr>
        <w:t>to:</w:t>
      </w:r>
    </w:p>
    <w:p>
      <w:pPr>
        <w:pStyle w:val="BodyText"/>
        <w:spacing w:before="2"/>
        <w:rPr>
          <w:sz w:val="25"/>
        </w:rPr>
      </w:pPr>
    </w:p>
    <w:p>
      <w:pPr>
        <w:spacing w:line="288" w:lineRule="auto" w:before="0"/>
        <w:ind w:left="799" w:right="374" w:firstLine="0"/>
        <w:jc w:val="left"/>
        <w:rPr>
          <w:sz w:val="22"/>
        </w:rPr>
      </w:pPr>
      <w:r>
        <w:rPr>
          <w:i/>
          <w:sz w:val="22"/>
        </w:rPr>
        <w:t>“…</w:t>
      </w:r>
      <w:r>
        <w:rPr>
          <w:i/>
          <w:spacing w:val="-5"/>
          <w:sz w:val="22"/>
        </w:rPr>
        <w:t> </w:t>
      </w:r>
      <w:r>
        <w:rPr>
          <w:i/>
          <w:sz w:val="22"/>
        </w:rPr>
        <w:t>remove</w:t>
      </w:r>
      <w:r>
        <w:rPr>
          <w:i/>
          <w:spacing w:val="-3"/>
          <w:sz w:val="22"/>
        </w:rPr>
        <w:t> </w:t>
      </w:r>
      <w:r>
        <w:rPr>
          <w:i/>
          <w:sz w:val="22"/>
        </w:rPr>
        <w:t>overlap</w:t>
      </w:r>
      <w:r>
        <w:rPr>
          <w:i/>
          <w:spacing w:val="-3"/>
          <w:sz w:val="22"/>
        </w:rPr>
        <w:t> </w:t>
      </w:r>
      <w:r>
        <w:rPr>
          <w:i/>
          <w:sz w:val="22"/>
        </w:rPr>
        <w:t>and</w:t>
      </w:r>
      <w:r>
        <w:rPr>
          <w:i/>
          <w:spacing w:val="-7"/>
          <w:sz w:val="22"/>
        </w:rPr>
        <w:t> </w:t>
      </w:r>
      <w:r>
        <w:rPr>
          <w:i/>
          <w:sz w:val="22"/>
        </w:rPr>
        <w:t>duplication</w:t>
      </w:r>
      <w:r>
        <w:rPr>
          <w:i/>
          <w:spacing w:val="-3"/>
          <w:sz w:val="22"/>
        </w:rPr>
        <w:t> </w:t>
      </w:r>
      <w:r>
        <w:rPr>
          <w:i/>
          <w:sz w:val="22"/>
        </w:rPr>
        <w:t>involved</w:t>
      </w:r>
      <w:r>
        <w:rPr>
          <w:i/>
          <w:spacing w:val="-3"/>
          <w:sz w:val="22"/>
        </w:rPr>
        <w:t> </w:t>
      </w:r>
      <w:r>
        <w:rPr>
          <w:i/>
          <w:sz w:val="22"/>
        </w:rPr>
        <w:t>in</w:t>
      </w:r>
      <w:r>
        <w:rPr>
          <w:i/>
          <w:spacing w:val="-3"/>
          <w:sz w:val="22"/>
        </w:rPr>
        <w:t> </w:t>
      </w:r>
      <w:r>
        <w:rPr>
          <w:i/>
          <w:sz w:val="22"/>
        </w:rPr>
        <w:t>the</w:t>
      </w:r>
      <w:r>
        <w:rPr>
          <w:i/>
          <w:spacing w:val="-3"/>
          <w:sz w:val="22"/>
        </w:rPr>
        <w:t> </w:t>
      </w:r>
      <w:r>
        <w:rPr>
          <w:i/>
          <w:sz w:val="22"/>
        </w:rPr>
        <w:t>Safety</w:t>
      </w:r>
      <w:r>
        <w:rPr>
          <w:i/>
          <w:spacing w:val="-2"/>
          <w:sz w:val="22"/>
        </w:rPr>
        <w:t> </w:t>
      </w:r>
      <w:r>
        <w:rPr>
          <w:i/>
          <w:sz w:val="22"/>
        </w:rPr>
        <w:t>Case</w:t>
      </w:r>
      <w:r>
        <w:rPr>
          <w:i/>
          <w:spacing w:val="-5"/>
          <w:sz w:val="22"/>
        </w:rPr>
        <w:t> </w:t>
      </w:r>
      <w:r>
        <w:rPr>
          <w:i/>
          <w:sz w:val="22"/>
        </w:rPr>
        <w:t>and</w:t>
      </w:r>
      <w:r>
        <w:rPr>
          <w:i/>
          <w:spacing w:val="-3"/>
          <w:sz w:val="22"/>
        </w:rPr>
        <w:t> </w:t>
      </w:r>
      <w:r>
        <w:rPr>
          <w:i/>
          <w:sz w:val="22"/>
        </w:rPr>
        <w:t>ESMS</w:t>
      </w:r>
      <w:r>
        <w:rPr>
          <w:i/>
          <w:spacing w:val="-3"/>
          <w:sz w:val="22"/>
        </w:rPr>
        <w:t> </w:t>
      </w:r>
      <w:r>
        <w:rPr>
          <w:i/>
          <w:sz w:val="22"/>
        </w:rPr>
        <w:t>approval process.” </w:t>
      </w:r>
      <w:r>
        <w:rPr>
          <w:sz w:val="22"/>
        </w:rPr>
        <w:t>(AusNet Services, 2017a, p. 11)</w:t>
      </w:r>
    </w:p>
    <w:p>
      <w:pPr>
        <w:pStyle w:val="BodyText"/>
        <w:spacing w:before="11"/>
        <w:rPr>
          <w:sz w:val="20"/>
        </w:rPr>
      </w:pPr>
    </w:p>
    <w:p>
      <w:pPr>
        <w:pStyle w:val="BodyText"/>
        <w:spacing w:line="288" w:lineRule="auto"/>
        <w:ind w:left="232" w:right="374"/>
      </w:pPr>
      <w:r>
        <w:rPr/>
        <w:t>In</w:t>
      </w:r>
      <w:r>
        <w:rPr>
          <w:spacing w:val="-4"/>
        </w:rPr>
        <w:t> </w:t>
      </w:r>
      <w:r>
        <w:rPr/>
        <w:t>the</w:t>
      </w:r>
      <w:r>
        <w:rPr>
          <w:spacing w:val="-2"/>
        </w:rPr>
        <w:t> </w:t>
      </w:r>
      <w:r>
        <w:rPr/>
        <w:t>electricity</w:t>
      </w:r>
      <w:r>
        <w:rPr>
          <w:spacing w:val="-2"/>
        </w:rPr>
        <w:t> </w:t>
      </w:r>
      <w:r>
        <w:rPr/>
        <w:t>sector,</w:t>
      </w:r>
      <w:r>
        <w:rPr>
          <w:spacing w:val="-3"/>
        </w:rPr>
        <w:t> </w:t>
      </w:r>
      <w:r>
        <w:rPr/>
        <w:t>the</w:t>
      </w:r>
      <w:r>
        <w:rPr>
          <w:spacing w:val="-2"/>
        </w:rPr>
        <w:t> </w:t>
      </w:r>
      <w:r>
        <w:rPr/>
        <w:t>development</w:t>
      </w:r>
      <w:r>
        <w:rPr>
          <w:spacing w:val="-1"/>
        </w:rPr>
        <w:t> </w:t>
      </w:r>
      <w:r>
        <w:rPr/>
        <w:t>of</w:t>
      </w:r>
      <w:r>
        <w:rPr>
          <w:spacing w:val="-1"/>
        </w:rPr>
        <w:t> </w:t>
      </w:r>
      <w:r>
        <w:rPr/>
        <w:t>new</w:t>
      </w:r>
      <w:r>
        <w:rPr>
          <w:spacing w:val="-5"/>
        </w:rPr>
        <w:t> </w:t>
      </w:r>
      <w:r>
        <w:rPr/>
        <w:t>legislation</w:t>
      </w:r>
      <w:r>
        <w:rPr>
          <w:spacing w:val="-2"/>
        </w:rPr>
        <w:t> </w:t>
      </w:r>
      <w:r>
        <w:rPr/>
        <w:t>will</w:t>
      </w:r>
      <w:r>
        <w:rPr>
          <w:spacing w:val="-2"/>
        </w:rPr>
        <w:t> </w:t>
      </w:r>
      <w:r>
        <w:rPr/>
        <w:t>provide</w:t>
      </w:r>
      <w:r>
        <w:rPr>
          <w:spacing w:val="-2"/>
        </w:rPr>
        <w:t> </w:t>
      </w:r>
      <w:r>
        <w:rPr/>
        <w:t>an</w:t>
      </w:r>
      <w:r>
        <w:rPr>
          <w:spacing w:val="-2"/>
        </w:rPr>
        <w:t> </w:t>
      </w:r>
      <w:r>
        <w:rPr/>
        <w:t>opportunity</w:t>
      </w:r>
      <w:r>
        <w:rPr>
          <w:spacing w:val="-4"/>
        </w:rPr>
        <w:t> </w:t>
      </w:r>
      <w:r>
        <w:rPr/>
        <w:t>to</w:t>
      </w:r>
      <w:r>
        <w:rPr>
          <w:spacing w:val="-4"/>
        </w:rPr>
        <w:t> </w:t>
      </w:r>
      <w:r>
        <w:rPr/>
        <w:t>address the concerns around duplication of processes. As noted earlier in this chapter, the Review proposes that the legislation would provide for regulation around a single safety case.</w:t>
      </w:r>
    </w:p>
    <w:p>
      <w:pPr>
        <w:pStyle w:val="BodyText"/>
        <w:spacing w:before="11"/>
        <w:rPr>
          <w:sz w:val="20"/>
        </w:rPr>
      </w:pPr>
    </w:p>
    <w:p>
      <w:pPr>
        <w:pStyle w:val="BodyText"/>
        <w:spacing w:line="288" w:lineRule="auto"/>
        <w:ind w:left="232" w:right="374"/>
      </w:pPr>
      <w:r>
        <w:rPr/>
        <w:t>Currently</w:t>
      </w:r>
      <w:r>
        <w:rPr>
          <w:spacing w:val="-4"/>
        </w:rPr>
        <w:t> </w:t>
      </w:r>
      <w:r>
        <w:rPr/>
        <w:t>electricity</w:t>
      </w:r>
      <w:r>
        <w:rPr>
          <w:spacing w:val="-4"/>
        </w:rPr>
        <w:t> </w:t>
      </w:r>
      <w:r>
        <w:rPr/>
        <w:t>network businesses</w:t>
      </w:r>
      <w:r>
        <w:rPr>
          <w:spacing w:val="-1"/>
        </w:rPr>
        <w:t> </w:t>
      </w:r>
      <w:r>
        <w:rPr/>
        <w:t>are</w:t>
      </w:r>
      <w:r>
        <w:rPr>
          <w:spacing w:val="-4"/>
        </w:rPr>
        <w:t> </w:t>
      </w:r>
      <w:r>
        <w:rPr/>
        <w:t>required</w:t>
      </w:r>
      <w:r>
        <w:rPr>
          <w:spacing w:val="-4"/>
        </w:rPr>
        <w:t> </w:t>
      </w:r>
      <w:r>
        <w:rPr/>
        <w:t>to</w:t>
      </w:r>
      <w:r>
        <w:rPr>
          <w:spacing w:val="-2"/>
        </w:rPr>
        <w:t> </w:t>
      </w:r>
      <w:r>
        <w:rPr/>
        <w:t>prepare</w:t>
      </w:r>
      <w:r>
        <w:rPr>
          <w:spacing w:val="-4"/>
        </w:rPr>
        <w:t> </w:t>
      </w:r>
      <w:r>
        <w:rPr/>
        <w:t>a</w:t>
      </w:r>
      <w:r>
        <w:rPr>
          <w:spacing w:val="-2"/>
        </w:rPr>
        <w:t> </w:t>
      </w:r>
      <w:r>
        <w:rPr/>
        <w:t>Safety</w:t>
      </w:r>
      <w:r>
        <w:rPr>
          <w:spacing w:val="-5"/>
        </w:rPr>
        <w:t> </w:t>
      </w:r>
      <w:r>
        <w:rPr/>
        <w:t>Case </w:t>
      </w:r>
      <w:r>
        <w:rPr>
          <w:i/>
        </w:rPr>
        <w:t>and</w:t>
      </w:r>
      <w:r>
        <w:rPr>
          <w:i/>
          <w:spacing w:val="-2"/>
        </w:rPr>
        <w:t> </w:t>
      </w:r>
      <w:r>
        <w:rPr/>
        <w:t>an</w:t>
      </w:r>
      <w:r>
        <w:rPr>
          <w:spacing w:val="-4"/>
        </w:rPr>
        <w:t> </w:t>
      </w:r>
      <w:r>
        <w:rPr/>
        <w:t>Electricity Safety Management Scheme, which, in turn, must specify its safety management system developed in accordance with the requirements of AS 5577. The approach proposed by the Review would be intended to bring the requirements together in a more integrated package.</w:t>
      </w:r>
    </w:p>
    <w:p>
      <w:pPr>
        <w:spacing w:after="0" w:line="288" w:lineRule="auto"/>
        <w:sectPr>
          <w:pgSz w:w="11910" w:h="16850"/>
          <w:pgMar w:header="220" w:footer="678" w:top="420" w:bottom="860" w:left="900" w:right="840"/>
        </w:sectPr>
      </w:pPr>
    </w:p>
    <w:p>
      <w:pPr>
        <w:pStyle w:val="BodyText"/>
        <w:rPr>
          <w:sz w:val="20"/>
        </w:rPr>
      </w:pPr>
    </w:p>
    <w:p>
      <w:pPr>
        <w:pStyle w:val="BodyText"/>
        <w:spacing w:before="2"/>
        <w:rPr>
          <w:sz w:val="19"/>
        </w:rPr>
      </w:pPr>
    </w:p>
    <w:p>
      <w:pPr>
        <w:pStyle w:val="BodyText"/>
        <w:spacing w:line="288" w:lineRule="auto" w:before="94"/>
        <w:ind w:left="232" w:right="408"/>
      </w:pPr>
      <w:r>
        <w:rPr/>
        <w:t>In</w:t>
      </w:r>
      <w:r>
        <w:rPr>
          <w:spacing w:val="-4"/>
        </w:rPr>
        <w:t> </w:t>
      </w:r>
      <w:r>
        <w:rPr/>
        <w:t>the</w:t>
      </w:r>
      <w:r>
        <w:rPr>
          <w:spacing w:val="-4"/>
        </w:rPr>
        <w:t> </w:t>
      </w:r>
      <w:r>
        <w:rPr/>
        <w:t>meantime,</w:t>
      </w:r>
      <w:r>
        <w:rPr>
          <w:spacing w:val="-3"/>
        </w:rPr>
        <w:t> </w:t>
      </w:r>
      <w:r>
        <w:rPr/>
        <w:t>ESV</w:t>
      </w:r>
      <w:r>
        <w:rPr>
          <w:spacing w:val="-2"/>
        </w:rPr>
        <w:t> </w:t>
      </w:r>
      <w:r>
        <w:rPr/>
        <w:t>should</w:t>
      </w:r>
      <w:r>
        <w:rPr>
          <w:spacing w:val="-2"/>
        </w:rPr>
        <w:t> </w:t>
      </w:r>
      <w:r>
        <w:rPr/>
        <w:t>continue</w:t>
      </w:r>
      <w:r>
        <w:rPr>
          <w:spacing w:val="-2"/>
        </w:rPr>
        <w:t> </w:t>
      </w:r>
      <w:r>
        <w:rPr/>
        <w:t>its</w:t>
      </w:r>
      <w:r>
        <w:rPr>
          <w:spacing w:val="-3"/>
        </w:rPr>
        <w:t> </w:t>
      </w:r>
      <w:r>
        <w:rPr/>
        <w:t>work</w:t>
      </w:r>
      <w:r>
        <w:rPr>
          <w:spacing w:val="-3"/>
        </w:rPr>
        <w:t> </w:t>
      </w:r>
      <w:r>
        <w:rPr/>
        <w:t>to</w:t>
      </w:r>
      <w:r>
        <w:rPr>
          <w:spacing w:val="-4"/>
        </w:rPr>
        <w:t> </w:t>
      </w:r>
      <w:r>
        <w:rPr/>
        <w:t>build</w:t>
      </w:r>
      <w:r>
        <w:rPr>
          <w:spacing w:val="-2"/>
        </w:rPr>
        <w:t> </w:t>
      </w:r>
      <w:r>
        <w:rPr/>
        <w:t>its</w:t>
      </w:r>
      <w:r>
        <w:rPr>
          <w:spacing w:val="-1"/>
        </w:rPr>
        <w:t> </w:t>
      </w:r>
      <w:r>
        <w:rPr/>
        <w:t>internal</w:t>
      </w:r>
      <w:r>
        <w:rPr>
          <w:spacing w:val="-5"/>
        </w:rPr>
        <w:t> </w:t>
      </w:r>
      <w:r>
        <w:rPr/>
        <w:t>capabilities</w:t>
      </w:r>
      <w:r>
        <w:rPr>
          <w:spacing w:val="-2"/>
        </w:rPr>
        <w:t> </w:t>
      </w:r>
      <w:r>
        <w:rPr/>
        <w:t>to</w:t>
      </w:r>
      <w:r>
        <w:rPr>
          <w:spacing w:val="-4"/>
        </w:rPr>
        <w:t> </w:t>
      </w:r>
      <w:r>
        <w:rPr/>
        <w:t>provide</w:t>
      </w:r>
      <w:r>
        <w:rPr>
          <w:spacing w:val="-2"/>
        </w:rPr>
        <w:t> </w:t>
      </w:r>
      <w:r>
        <w:rPr/>
        <w:t>more effective and timely analysis of safety cases, and to help it better articulate its expectations of network businesses.</w:t>
      </w:r>
    </w:p>
    <w:p>
      <w:pPr>
        <w:pStyle w:val="BodyText"/>
        <w:spacing w:before="9"/>
        <w:rPr>
          <w:sz w:val="20"/>
        </w:rPr>
      </w:pPr>
    </w:p>
    <w:p>
      <w:pPr>
        <w:pStyle w:val="BodyText"/>
        <w:spacing w:line="288" w:lineRule="auto"/>
        <w:ind w:left="232" w:right="408"/>
      </w:pPr>
      <w:r>
        <w:rPr/>
        <w:t>The</w:t>
      </w:r>
      <w:r>
        <w:rPr>
          <w:spacing w:val="-4"/>
        </w:rPr>
        <w:t> </w:t>
      </w:r>
      <w:r>
        <w:rPr/>
        <w:t>Advisian</w:t>
      </w:r>
      <w:r>
        <w:rPr>
          <w:spacing w:val="-2"/>
        </w:rPr>
        <w:t> </w:t>
      </w:r>
      <w:r>
        <w:rPr/>
        <w:t>reports</w:t>
      </w:r>
      <w:r>
        <w:rPr>
          <w:spacing w:val="-4"/>
        </w:rPr>
        <w:t> </w:t>
      </w:r>
      <w:r>
        <w:rPr/>
        <w:t>commissioned</w:t>
      </w:r>
      <w:r>
        <w:rPr>
          <w:spacing w:val="-2"/>
        </w:rPr>
        <w:t> </w:t>
      </w:r>
      <w:r>
        <w:rPr/>
        <w:t>by</w:t>
      </w:r>
      <w:r>
        <w:rPr>
          <w:spacing w:val="-6"/>
        </w:rPr>
        <w:t> </w:t>
      </w:r>
      <w:r>
        <w:rPr/>
        <w:t>the</w:t>
      </w:r>
      <w:r>
        <w:rPr>
          <w:spacing w:val="-2"/>
        </w:rPr>
        <w:t> </w:t>
      </w:r>
      <w:r>
        <w:rPr/>
        <w:t>Director</w:t>
      </w:r>
      <w:r>
        <w:rPr>
          <w:spacing w:val="-3"/>
        </w:rPr>
        <w:t> </w:t>
      </w:r>
      <w:r>
        <w:rPr/>
        <w:t>of Energy</w:t>
      </w:r>
      <w:r>
        <w:rPr>
          <w:spacing w:val="-4"/>
        </w:rPr>
        <w:t> </w:t>
      </w:r>
      <w:r>
        <w:rPr/>
        <w:t>Safety</w:t>
      </w:r>
      <w:r>
        <w:rPr>
          <w:spacing w:val="-4"/>
        </w:rPr>
        <w:t> </w:t>
      </w:r>
      <w:r>
        <w:rPr/>
        <w:t>over</w:t>
      </w:r>
      <w:r>
        <w:rPr>
          <w:spacing w:val="-1"/>
        </w:rPr>
        <w:t> </w:t>
      </w:r>
      <w:r>
        <w:rPr/>
        <w:t>the</w:t>
      </w:r>
      <w:r>
        <w:rPr>
          <w:spacing w:val="-4"/>
        </w:rPr>
        <w:t> </w:t>
      </w:r>
      <w:r>
        <w:rPr/>
        <w:t>past</w:t>
      </w:r>
      <w:r>
        <w:rPr>
          <w:spacing w:val="-3"/>
        </w:rPr>
        <w:t> </w:t>
      </w:r>
      <w:r>
        <w:rPr/>
        <w:t>two</w:t>
      </w:r>
      <w:r>
        <w:rPr>
          <w:spacing w:val="-2"/>
        </w:rPr>
        <w:t> </w:t>
      </w:r>
      <w:r>
        <w:rPr/>
        <w:t>years,</w:t>
      </w:r>
      <w:r>
        <w:rPr>
          <w:spacing w:val="-3"/>
        </w:rPr>
        <w:t> </w:t>
      </w:r>
      <w:r>
        <w:rPr/>
        <w:t>and the initial steps taken responding to those reports, provide the foundations for more effective processes and the development of stronger capabilities within ESV. Some of Advisian’s findings are outlined in Box 28 below.</w:t>
      </w:r>
    </w:p>
    <w:p>
      <w:pPr>
        <w:spacing w:after="0" w:line="288" w:lineRule="auto"/>
        <w:sectPr>
          <w:pgSz w:w="11910" w:h="16850"/>
          <w:pgMar w:header="220" w:footer="678" w:top="420" w:bottom="860" w:left="900" w:right="840"/>
        </w:sectPr>
      </w:pPr>
    </w:p>
    <w:p>
      <w:pPr>
        <w:pStyle w:val="BodyText"/>
        <w:rPr>
          <w:sz w:val="20"/>
        </w:rPr>
      </w:pPr>
      <w:r>
        <w:rPr/>
        <mc:AlternateContent>
          <mc:Choice Requires="wps">
            <w:drawing>
              <wp:anchor distT="0" distB="0" distL="0" distR="0" allowOverlap="1" layoutInCell="1" locked="0" behindDoc="1" simplePos="0" relativeHeight="482758656">
                <wp:simplePos x="0" y="0"/>
                <wp:positionH relativeFrom="page">
                  <wp:posOffset>719327</wp:posOffset>
                </wp:positionH>
                <wp:positionV relativeFrom="page">
                  <wp:posOffset>457148</wp:posOffset>
                </wp:positionV>
                <wp:extent cx="5870575" cy="9453245"/>
                <wp:effectExtent l="0" t="0" r="0" b="0"/>
                <wp:wrapNone/>
                <wp:docPr id="220" name="Graphic 220"/>
                <wp:cNvGraphicFramePr>
                  <a:graphicFrameLocks/>
                </wp:cNvGraphicFramePr>
                <a:graphic>
                  <a:graphicData uri="http://schemas.microsoft.com/office/word/2010/wordprocessingShape">
                    <wps:wsp>
                      <wps:cNvPr id="220" name="Graphic 220"/>
                      <wps:cNvSpPr/>
                      <wps:spPr>
                        <a:xfrm>
                          <a:off x="0" y="0"/>
                          <a:ext cx="5870575" cy="9453245"/>
                        </a:xfrm>
                        <a:custGeom>
                          <a:avLst/>
                          <a:gdLst/>
                          <a:ahLst/>
                          <a:cxnLst/>
                          <a:rect l="l" t="t" r="r" b="b"/>
                          <a:pathLst>
                            <a:path w="5870575" h="9453245">
                              <a:moveTo>
                                <a:pt x="5870194" y="0"/>
                              </a:moveTo>
                              <a:lnTo>
                                <a:pt x="0" y="0"/>
                              </a:lnTo>
                              <a:lnTo>
                                <a:pt x="0" y="9453118"/>
                              </a:lnTo>
                              <a:lnTo>
                                <a:pt x="5870194" y="9453118"/>
                              </a:lnTo>
                              <a:lnTo>
                                <a:pt x="5870194" y="0"/>
                              </a:lnTo>
                              <a:close/>
                            </a:path>
                          </a:pathLst>
                        </a:custGeom>
                        <a:solidFill>
                          <a:srgbClr val="CDEBEB"/>
                        </a:solidFill>
                      </wps:spPr>
                      <wps:bodyPr wrap="square" lIns="0" tIns="0" rIns="0" bIns="0" rtlCol="0">
                        <a:prstTxWarp prst="textNoShape">
                          <a:avLst/>
                        </a:prstTxWarp>
                        <a:noAutofit/>
                      </wps:bodyPr>
                    </wps:wsp>
                  </a:graphicData>
                </a:graphic>
              </wp:anchor>
            </w:drawing>
          </mc:Choice>
          <mc:Fallback>
            <w:pict>
              <v:rect style="position:absolute;margin-left:56.639999pt;margin-top:35.995979pt;width:462.22pt;height:744.34pt;mso-position-horizontal-relative:page;mso-position-vertical-relative:page;z-index:-20557824" id="docshape189" filled="true" fillcolor="#cdebeb" stroked="false">
                <v:fill type="solid"/>
                <w10:wrap type="none"/>
              </v:rect>
            </w:pict>
          </mc:Fallback>
        </mc:AlternateContent>
      </w:r>
    </w:p>
    <w:p>
      <w:pPr>
        <w:pStyle w:val="BodyText"/>
        <w:spacing w:before="9"/>
        <w:rPr>
          <w:sz w:val="28"/>
        </w:rPr>
      </w:pPr>
    </w:p>
    <w:p>
      <w:pPr>
        <w:pStyle w:val="Heading7"/>
        <w:spacing w:before="94"/>
        <w:ind w:left="345"/>
      </w:pPr>
      <w:r>
        <w:rPr/>
        <w:t>Box</w:t>
      </w:r>
      <w:r>
        <w:rPr>
          <w:spacing w:val="-5"/>
        </w:rPr>
        <w:t> </w:t>
      </w:r>
      <w:r>
        <w:rPr/>
        <w:t>28:</w:t>
      </w:r>
      <w:r>
        <w:rPr>
          <w:spacing w:val="-1"/>
        </w:rPr>
        <w:t> </w:t>
      </w:r>
      <w:r>
        <w:rPr/>
        <w:t>Advisian</w:t>
      </w:r>
      <w:r>
        <w:rPr>
          <w:spacing w:val="-4"/>
        </w:rPr>
        <w:t> </w:t>
      </w:r>
      <w:r>
        <w:rPr/>
        <w:t>findings</w:t>
      </w:r>
      <w:r>
        <w:rPr>
          <w:spacing w:val="-5"/>
        </w:rPr>
        <w:t> </w:t>
      </w:r>
      <w:r>
        <w:rPr/>
        <w:t>on</w:t>
      </w:r>
      <w:r>
        <w:rPr>
          <w:spacing w:val="-4"/>
        </w:rPr>
        <w:t> </w:t>
      </w:r>
      <w:r>
        <w:rPr/>
        <w:t>safety</w:t>
      </w:r>
      <w:r>
        <w:rPr>
          <w:spacing w:val="-8"/>
        </w:rPr>
        <w:t> </w:t>
      </w:r>
      <w:r>
        <w:rPr/>
        <w:t>case</w:t>
      </w:r>
      <w:r>
        <w:rPr>
          <w:spacing w:val="-5"/>
        </w:rPr>
        <w:t> </w:t>
      </w:r>
      <w:r>
        <w:rPr/>
        <w:t>production</w:t>
      </w:r>
      <w:r>
        <w:rPr>
          <w:spacing w:val="-7"/>
        </w:rPr>
        <w:t> </w:t>
      </w:r>
      <w:r>
        <w:rPr/>
        <w:t>and</w:t>
      </w:r>
      <w:r>
        <w:rPr>
          <w:spacing w:val="-4"/>
        </w:rPr>
        <w:t> </w:t>
      </w:r>
      <w:r>
        <w:rPr>
          <w:spacing w:val="-2"/>
        </w:rPr>
        <w:t>acceptance</w:t>
      </w:r>
    </w:p>
    <w:p>
      <w:pPr>
        <w:pStyle w:val="BodyText"/>
        <w:spacing w:before="2"/>
        <w:rPr>
          <w:b/>
          <w:sz w:val="25"/>
        </w:rPr>
      </w:pPr>
    </w:p>
    <w:p>
      <w:pPr>
        <w:spacing w:line="288" w:lineRule="auto" w:before="0"/>
        <w:ind w:left="345" w:right="951" w:firstLine="0"/>
        <w:jc w:val="left"/>
        <w:rPr>
          <w:sz w:val="22"/>
        </w:rPr>
      </w:pPr>
      <w:r>
        <w:rPr>
          <w:sz w:val="22"/>
        </w:rPr>
        <w:t>The Advisian report </w:t>
      </w:r>
      <w:r>
        <w:rPr>
          <w:i/>
          <w:sz w:val="22"/>
        </w:rPr>
        <w:t>Review of the ESV (GISD) Safety Case/Safety Management Plan Evaluation Approach </w:t>
      </w:r>
      <w:r>
        <w:rPr>
          <w:sz w:val="22"/>
        </w:rPr>
        <w:t>identified gaps in systems and processes and provided recommendations</w:t>
      </w:r>
      <w:r>
        <w:rPr>
          <w:spacing w:val="-2"/>
          <w:sz w:val="22"/>
        </w:rPr>
        <w:t> </w:t>
      </w:r>
      <w:r>
        <w:rPr>
          <w:sz w:val="22"/>
        </w:rPr>
        <w:t>about</w:t>
      </w:r>
      <w:r>
        <w:rPr>
          <w:spacing w:val="-6"/>
          <w:sz w:val="22"/>
        </w:rPr>
        <w:t> </w:t>
      </w:r>
      <w:r>
        <w:rPr>
          <w:sz w:val="22"/>
        </w:rPr>
        <w:t>the</w:t>
      </w:r>
      <w:r>
        <w:rPr>
          <w:spacing w:val="-3"/>
          <w:sz w:val="22"/>
        </w:rPr>
        <w:t> </w:t>
      </w:r>
      <w:r>
        <w:rPr>
          <w:sz w:val="22"/>
        </w:rPr>
        <w:t>use</w:t>
      </w:r>
      <w:r>
        <w:rPr>
          <w:spacing w:val="-5"/>
          <w:sz w:val="22"/>
        </w:rPr>
        <w:t> </w:t>
      </w:r>
      <w:r>
        <w:rPr>
          <w:sz w:val="22"/>
        </w:rPr>
        <w:t>and</w:t>
      </w:r>
      <w:r>
        <w:rPr>
          <w:spacing w:val="-3"/>
          <w:sz w:val="22"/>
        </w:rPr>
        <w:t> </w:t>
      </w:r>
      <w:r>
        <w:rPr>
          <w:sz w:val="22"/>
        </w:rPr>
        <w:t>value</w:t>
      </w:r>
      <w:r>
        <w:rPr>
          <w:spacing w:val="-1"/>
          <w:sz w:val="22"/>
        </w:rPr>
        <w:t> </w:t>
      </w:r>
      <w:r>
        <w:rPr>
          <w:sz w:val="22"/>
        </w:rPr>
        <w:t>of</w:t>
      </w:r>
      <w:r>
        <w:rPr>
          <w:spacing w:val="-1"/>
          <w:sz w:val="22"/>
        </w:rPr>
        <w:t> </w:t>
      </w:r>
      <w:r>
        <w:rPr>
          <w:sz w:val="22"/>
        </w:rPr>
        <w:t>structured</w:t>
      </w:r>
      <w:r>
        <w:rPr>
          <w:spacing w:val="-5"/>
          <w:sz w:val="22"/>
        </w:rPr>
        <w:t> </w:t>
      </w:r>
      <w:r>
        <w:rPr>
          <w:sz w:val="22"/>
        </w:rPr>
        <w:t>evaluation</w:t>
      </w:r>
      <w:r>
        <w:rPr>
          <w:spacing w:val="-3"/>
          <w:sz w:val="22"/>
        </w:rPr>
        <w:t> </w:t>
      </w:r>
      <w:r>
        <w:rPr>
          <w:sz w:val="22"/>
        </w:rPr>
        <w:t>processes</w:t>
      </w:r>
      <w:r>
        <w:rPr>
          <w:spacing w:val="-4"/>
          <w:sz w:val="22"/>
        </w:rPr>
        <w:t> </w:t>
      </w:r>
      <w:r>
        <w:rPr>
          <w:sz w:val="22"/>
        </w:rPr>
        <w:t>for</w:t>
      </w:r>
      <w:r>
        <w:rPr>
          <w:spacing w:val="-2"/>
          <w:sz w:val="22"/>
        </w:rPr>
        <w:t> </w:t>
      </w:r>
      <w:r>
        <w:rPr>
          <w:sz w:val="22"/>
        </w:rPr>
        <w:t>ESV’s then Gas Infrastructure Safety Division (GISD):</w:t>
      </w:r>
    </w:p>
    <w:p>
      <w:pPr>
        <w:pStyle w:val="BodyText"/>
        <w:spacing w:before="10"/>
        <w:rPr>
          <w:sz w:val="20"/>
        </w:rPr>
      </w:pPr>
    </w:p>
    <w:p>
      <w:pPr>
        <w:spacing w:line="288" w:lineRule="auto" w:before="0"/>
        <w:ind w:left="799" w:right="1191" w:firstLine="0"/>
        <w:jc w:val="left"/>
        <w:rPr>
          <w:sz w:val="22"/>
        </w:rPr>
      </w:pPr>
      <w:r>
        <w:rPr>
          <w:i/>
          <w:sz w:val="22"/>
        </w:rPr>
        <w:t>“The</w:t>
      </w:r>
      <w:r>
        <w:rPr>
          <w:i/>
          <w:spacing w:val="-4"/>
          <w:sz w:val="22"/>
        </w:rPr>
        <w:t> </w:t>
      </w:r>
      <w:r>
        <w:rPr>
          <w:i/>
          <w:sz w:val="22"/>
        </w:rPr>
        <w:t>SC/SMP</w:t>
      </w:r>
      <w:r>
        <w:rPr>
          <w:i/>
          <w:spacing w:val="-5"/>
          <w:sz w:val="22"/>
        </w:rPr>
        <w:t> </w:t>
      </w:r>
      <w:r>
        <w:rPr>
          <w:i/>
          <w:sz w:val="22"/>
        </w:rPr>
        <w:t>[Safety</w:t>
      </w:r>
      <w:r>
        <w:rPr>
          <w:i/>
          <w:spacing w:val="-3"/>
          <w:sz w:val="22"/>
        </w:rPr>
        <w:t> </w:t>
      </w:r>
      <w:r>
        <w:rPr>
          <w:i/>
          <w:sz w:val="22"/>
        </w:rPr>
        <w:t>Case</w:t>
      </w:r>
      <w:r>
        <w:rPr>
          <w:i/>
          <w:spacing w:val="-4"/>
          <w:sz w:val="22"/>
        </w:rPr>
        <w:t> </w:t>
      </w:r>
      <w:r>
        <w:rPr>
          <w:i/>
          <w:sz w:val="22"/>
        </w:rPr>
        <w:t>/</w:t>
      </w:r>
      <w:r>
        <w:rPr>
          <w:i/>
          <w:spacing w:val="-4"/>
          <w:sz w:val="22"/>
        </w:rPr>
        <w:t> </w:t>
      </w:r>
      <w:r>
        <w:rPr>
          <w:i/>
          <w:sz w:val="22"/>
        </w:rPr>
        <w:t>Safety</w:t>
      </w:r>
      <w:r>
        <w:rPr>
          <w:i/>
          <w:spacing w:val="-3"/>
          <w:sz w:val="22"/>
        </w:rPr>
        <w:t> </w:t>
      </w:r>
      <w:r>
        <w:rPr>
          <w:i/>
          <w:sz w:val="22"/>
        </w:rPr>
        <w:t>Management</w:t>
      </w:r>
      <w:r>
        <w:rPr>
          <w:i/>
          <w:spacing w:val="-6"/>
          <w:sz w:val="22"/>
        </w:rPr>
        <w:t> </w:t>
      </w:r>
      <w:r>
        <w:rPr>
          <w:i/>
          <w:sz w:val="22"/>
        </w:rPr>
        <w:t>Plan] evaluation</w:t>
      </w:r>
      <w:r>
        <w:rPr>
          <w:i/>
          <w:spacing w:val="-4"/>
          <w:sz w:val="22"/>
        </w:rPr>
        <w:t> </w:t>
      </w:r>
      <w:r>
        <w:rPr>
          <w:i/>
          <w:sz w:val="22"/>
        </w:rPr>
        <w:t>processes</w:t>
      </w:r>
      <w:r>
        <w:rPr>
          <w:i/>
          <w:spacing w:val="-4"/>
          <w:sz w:val="22"/>
        </w:rPr>
        <w:t> </w:t>
      </w:r>
      <w:r>
        <w:rPr>
          <w:i/>
          <w:sz w:val="22"/>
        </w:rPr>
        <w:t>used by GISD are largely unstructured, and rely completely on the expertise of a small group of specialists.” </w:t>
      </w:r>
      <w:r>
        <w:rPr>
          <w:sz w:val="22"/>
        </w:rPr>
        <w:t>(Advisian, 2016, p. 26)</w:t>
      </w:r>
    </w:p>
    <w:p>
      <w:pPr>
        <w:pStyle w:val="BodyText"/>
        <w:spacing w:before="9"/>
        <w:rPr>
          <w:sz w:val="20"/>
        </w:rPr>
      </w:pPr>
    </w:p>
    <w:p>
      <w:pPr>
        <w:spacing w:line="288" w:lineRule="auto" w:before="0"/>
        <w:ind w:left="799" w:right="1191" w:firstLine="0"/>
        <w:jc w:val="left"/>
        <w:rPr>
          <w:sz w:val="22"/>
        </w:rPr>
      </w:pPr>
      <w:r>
        <w:rPr>
          <w:i/>
          <w:sz w:val="22"/>
        </w:rPr>
        <w:t>“ESV</w:t>
      </w:r>
      <w:r>
        <w:rPr>
          <w:i/>
          <w:spacing w:val="-1"/>
          <w:sz w:val="22"/>
        </w:rPr>
        <w:t> </w:t>
      </w:r>
      <w:r>
        <w:rPr>
          <w:i/>
          <w:sz w:val="22"/>
        </w:rPr>
        <w:t>may</w:t>
      </w:r>
      <w:r>
        <w:rPr>
          <w:i/>
          <w:spacing w:val="-5"/>
          <w:sz w:val="22"/>
        </w:rPr>
        <w:t> </w:t>
      </w:r>
      <w:r>
        <w:rPr>
          <w:i/>
          <w:sz w:val="22"/>
        </w:rPr>
        <w:t>wish</w:t>
      </w:r>
      <w:r>
        <w:rPr>
          <w:i/>
          <w:spacing w:val="-3"/>
          <w:sz w:val="22"/>
        </w:rPr>
        <w:t> </w:t>
      </w:r>
      <w:r>
        <w:rPr>
          <w:i/>
          <w:sz w:val="22"/>
        </w:rPr>
        <w:t>to</w:t>
      </w:r>
      <w:r>
        <w:rPr>
          <w:i/>
          <w:spacing w:val="-1"/>
          <w:sz w:val="22"/>
        </w:rPr>
        <w:t> </w:t>
      </w:r>
      <w:r>
        <w:rPr>
          <w:i/>
          <w:sz w:val="22"/>
        </w:rPr>
        <w:t>consider how</w:t>
      </w:r>
      <w:r>
        <w:rPr>
          <w:i/>
          <w:spacing w:val="-1"/>
          <w:sz w:val="22"/>
        </w:rPr>
        <w:t> </w:t>
      </w:r>
      <w:r>
        <w:rPr>
          <w:i/>
          <w:sz w:val="22"/>
        </w:rPr>
        <w:t>work</w:t>
      </w:r>
      <w:r>
        <w:rPr>
          <w:i/>
          <w:spacing w:val="-3"/>
          <w:sz w:val="22"/>
        </w:rPr>
        <w:t> </w:t>
      </w:r>
      <w:r>
        <w:rPr>
          <w:i/>
          <w:sz w:val="22"/>
        </w:rPr>
        <w:t>systems</w:t>
      </w:r>
      <w:r>
        <w:rPr>
          <w:i/>
          <w:spacing w:val="-3"/>
          <w:sz w:val="22"/>
        </w:rPr>
        <w:t> </w:t>
      </w:r>
      <w:r>
        <w:rPr>
          <w:i/>
          <w:sz w:val="22"/>
        </w:rPr>
        <w:t>and</w:t>
      </w:r>
      <w:r>
        <w:rPr>
          <w:i/>
          <w:spacing w:val="-1"/>
          <w:sz w:val="22"/>
        </w:rPr>
        <w:t> </w:t>
      </w:r>
      <w:r>
        <w:rPr>
          <w:i/>
          <w:sz w:val="22"/>
        </w:rPr>
        <w:t>processes</w:t>
      </w:r>
      <w:r>
        <w:rPr>
          <w:i/>
          <w:spacing w:val="-1"/>
          <w:sz w:val="22"/>
        </w:rPr>
        <w:t> </w:t>
      </w:r>
      <w:r>
        <w:rPr>
          <w:i/>
          <w:sz w:val="22"/>
        </w:rPr>
        <w:t>could</w:t>
      </w:r>
      <w:r>
        <w:rPr>
          <w:i/>
          <w:spacing w:val="-3"/>
          <w:sz w:val="22"/>
        </w:rPr>
        <w:t> </w:t>
      </w:r>
      <w:r>
        <w:rPr>
          <w:i/>
          <w:sz w:val="22"/>
        </w:rPr>
        <w:t>be</w:t>
      </w:r>
      <w:r>
        <w:rPr>
          <w:i/>
          <w:spacing w:val="-3"/>
          <w:sz w:val="22"/>
        </w:rPr>
        <w:t> </w:t>
      </w:r>
      <w:r>
        <w:rPr>
          <w:i/>
          <w:sz w:val="22"/>
        </w:rPr>
        <w:t>formalised and structured</w:t>
      </w:r>
      <w:r>
        <w:rPr>
          <w:i/>
          <w:spacing w:val="-2"/>
          <w:sz w:val="22"/>
        </w:rPr>
        <w:t> </w:t>
      </w:r>
      <w:r>
        <w:rPr>
          <w:i/>
          <w:sz w:val="22"/>
        </w:rPr>
        <w:t>to</w:t>
      </w:r>
      <w:r>
        <w:rPr>
          <w:i/>
          <w:spacing w:val="-2"/>
          <w:sz w:val="22"/>
        </w:rPr>
        <w:t> </w:t>
      </w:r>
      <w:r>
        <w:rPr>
          <w:i/>
          <w:sz w:val="22"/>
        </w:rPr>
        <w:t>allow a</w:t>
      </w:r>
      <w:r>
        <w:rPr>
          <w:i/>
          <w:spacing w:val="-2"/>
          <w:sz w:val="22"/>
        </w:rPr>
        <w:t> </w:t>
      </w:r>
      <w:r>
        <w:rPr>
          <w:i/>
          <w:sz w:val="22"/>
        </w:rPr>
        <w:t>more</w:t>
      </w:r>
      <w:r>
        <w:rPr>
          <w:i/>
          <w:spacing w:val="-2"/>
          <w:sz w:val="22"/>
        </w:rPr>
        <w:t> </w:t>
      </w:r>
      <w:r>
        <w:rPr>
          <w:i/>
          <w:sz w:val="22"/>
        </w:rPr>
        <w:t>robust</w:t>
      </w:r>
      <w:r>
        <w:rPr>
          <w:i/>
          <w:spacing w:val="-1"/>
          <w:sz w:val="22"/>
        </w:rPr>
        <w:t> </w:t>
      </w:r>
      <w:r>
        <w:rPr>
          <w:i/>
          <w:sz w:val="22"/>
        </w:rPr>
        <w:t>and</w:t>
      </w:r>
      <w:r>
        <w:rPr>
          <w:i/>
          <w:spacing w:val="-2"/>
          <w:sz w:val="22"/>
        </w:rPr>
        <w:t> </w:t>
      </w:r>
      <w:r>
        <w:rPr>
          <w:i/>
          <w:sz w:val="22"/>
        </w:rPr>
        <w:t>efficient evaluation</w:t>
      </w:r>
      <w:r>
        <w:rPr>
          <w:i/>
          <w:spacing w:val="-2"/>
          <w:sz w:val="22"/>
        </w:rPr>
        <w:t> </w:t>
      </w:r>
      <w:r>
        <w:rPr>
          <w:i/>
          <w:sz w:val="22"/>
        </w:rPr>
        <w:t>process</w:t>
      </w:r>
      <w:r>
        <w:rPr>
          <w:i/>
          <w:spacing w:val="-2"/>
          <w:sz w:val="22"/>
        </w:rPr>
        <w:t> </w:t>
      </w:r>
      <w:r>
        <w:rPr>
          <w:i/>
          <w:sz w:val="22"/>
        </w:rPr>
        <w:t>to ensure a consistent approach to SC/SMP evaluation, reduce reliance on individual opinion and</w:t>
      </w:r>
      <w:r>
        <w:rPr>
          <w:i/>
          <w:spacing w:val="-4"/>
          <w:sz w:val="22"/>
        </w:rPr>
        <w:t> </w:t>
      </w:r>
      <w:r>
        <w:rPr>
          <w:i/>
          <w:sz w:val="22"/>
        </w:rPr>
        <w:t>decision-making,</w:t>
      </w:r>
      <w:r>
        <w:rPr>
          <w:i/>
          <w:spacing w:val="-2"/>
          <w:sz w:val="22"/>
        </w:rPr>
        <w:t> </w:t>
      </w:r>
      <w:r>
        <w:rPr>
          <w:i/>
          <w:sz w:val="22"/>
        </w:rPr>
        <w:t>and</w:t>
      </w:r>
      <w:r>
        <w:rPr>
          <w:i/>
          <w:spacing w:val="-4"/>
          <w:sz w:val="22"/>
        </w:rPr>
        <w:t> </w:t>
      </w:r>
      <w:r>
        <w:rPr>
          <w:i/>
          <w:sz w:val="22"/>
        </w:rPr>
        <w:t>develop</w:t>
      </w:r>
      <w:r>
        <w:rPr>
          <w:i/>
          <w:spacing w:val="-4"/>
          <w:sz w:val="22"/>
        </w:rPr>
        <w:t> </w:t>
      </w:r>
      <w:r>
        <w:rPr>
          <w:i/>
          <w:sz w:val="22"/>
        </w:rPr>
        <w:t>evaluation</w:t>
      </w:r>
      <w:r>
        <w:rPr>
          <w:i/>
          <w:spacing w:val="-6"/>
          <w:sz w:val="22"/>
        </w:rPr>
        <w:t> </w:t>
      </w:r>
      <w:r>
        <w:rPr>
          <w:i/>
          <w:sz w:val="22"/>
        </w:rPr>
        <w:t>capabilities</w:t>
      </w:r>
      <w:r>
        <w:rPr>
          <w:i/>
          <w:spacing w:val="-4"/>
          <w:sz w:val="22"/>
        </w:rPr>
        <w:t> </w:t>
      </w:r>
      <w:r>
        <w:rPr>
          <w:i/>
          <w:sz w:val="22"/>
        </w:rPr>
        <w:t>and</w:t>
      </w:r>
      <w:r>
        <w:rPr>
          <w:i/>
          <w:spacing w:val="-4"/>
          <w:sz w:val="22"/>
        </w:rPr>
        <w:t> </w:t>
      </w:r>
      <w:r>
        <w:rPr>
          <w:i/>
          <w:sz w:val="22"/>
        </w:rPr>
        <w:t>expertise</w:t>
      </w:r>
      <w:r>
        <w:rPr>
          <w:i/>
          <w:spacing w:val="-4"/>
          <w:sz w:val="22"/>
        </w:rPr>
        <w:t> </w:t>
      </w:r>
      <w:r>
        <w:rPr>
          <w:i/>
          <w:sz w:val="22"/>
        </w:rPr>
        <w:t>to</w:t>
      </w:r>
      <w:r>
        <w:rPr>
          <w:i/>
          <w:spacing w:val="-7"/>
          <w:sz w:val="22"/>
        </w:rPr>
        <w:t> </w:t>
      </w:r>
      <w:r>
        <w:rPr>
          <w:i/>
          <w:sz w:val="22"/>
        </w:rPr>
        <w:t>provide redundancy within GISD.” </w:t>
      </w:r>
      <w:r>
        <w:rPr>
          <w:sz w:val="22"/>
        </w:rPr>
        <w:t>(Advisian, 2016, p. 27)</w:t>
      </w:r>
    </w:p>
    <w:p>
      <w:pPr>
        <w:pStyle w:val="BodyText"/>
        <w:spacing w:before="1"/>
        <w:rPr>
          <w:sz w:val="21"/>
        </w:rPr>
      </w:pPr>
    </w:p>
    <w:p>
      <w:pPr>
        <w:pStyle w:val="BodyText"/>
        <w:ind w:left="345"/>
      </w:pPr>
      <w:r>
        <w:rPr/>
        <w:t>It</w:t>
      </w:r>
      <w:r>
        <w:rPr>
          <w:spacing w:val="-3"/>
        </w:rPr>
        <w:t> </w:t>
      </w:r>
      <w:r>
        <w:rPr/>
        <w:t>also</w:t>
      </w:r>
      <w:r>
        <w:rPr>
          <w:spacing w:val="-2"/>
        </w:rPr>
        <w:t> recommended:</w:t>
      </w:r>
    </w:p>
    <w:p>
      <w:pPr>
        <w:pStyle w:val="BodyText"/>
        <w:spacing w:before="2"/>
        <w:rPr>
          <w:sz w:val="25"/>
        </w:rPr>
      </w:pPr>
    </w:p>
    <w:p>
      <w:pPr>
        <w:spacing w:line="288" w:lineRule="auto" w:before="0"/>
        <w:ind w:left="799" w:right="1516" w:firstLine="0"/>
        <w:jc w:val="left"/>
        <w:rPr>
          <w:sz w:val="22"/>
        </w:rPr>
      </w:pPr>
      <w:r>
        <w:rPr>
          <w:i/>
          <w:sz w:val="22"/>
        </w:rPr>
        <w:t>“GISD should… consider adopting a more formal and structured approach to developing</w:t>
      </w:r>
      <w:r>
        <w:rPr>
          <w:i/>
          <w:spacing w:val="-3"/>
          <w:sz w:val="22"/>
        </w:rPr>
        <w:t> </w:t>
      </w:r>
      <w:r>
        <w:rPr>
          <w:i/>
          <w:sz w:val="22"/>
        </w:rPr>
        <w:t>and</w:t>
      </w:r>
      <w:r>
        <w:rPr>
          <w:i/>
          <w:spacing w:val="-3"/>
          <w:sz w:val="22"/>
        </w:rPr>
        <w:t> </w:t>
      </w:r>
      <w:r>
        <w:rPr>
          <w:i/>
          <w:sz w:val="22"/>
        </w:rPr>
        <w:t>providing</w:t>
      </w:r>
      <w:r>
        <w:rPr>
          <w:i/>
          <w:spacing w:val="-4"/>
          <w:sz w:val="22"/>
        </w:rPr>
        <w:t> </w:t>
      </w:r>
      <w:r>
        <w:rPr>
          <w:i/>
          <w:sz w:val="22"/>
        </w:rPr>
        <w:t>feedback,</w:t>
      </w:r>
      <w:r>
        <w:rPr>
          <w:i/>
          <w:spacing w:val="-3"/>
          <w:sz w:val="22"/>
        </w:rPr>
        <w:t> </w:t>
      </w:r>
      <w:r>
        <w:rPr>
          <w:i/>
          <w:sz w:val="22"/>
        </w:rPr>
        <w:t>suitable</w:t>
      </w:r>
      <w:r>
        <w:rPr>
          <w:i/>
          <w:spacing w:val="-4"/>
          <w:sz w:val="22"/>
        </w:rPr>
        <w:t> </w:t>
      </w:r>
      <w:r>
        <w:rPr>
          <w:i/>
          <w:sz w:val="22"/>
        </w:rPr>
        <w:t>for</w:t>
      </w:r>
      <w:r>
        <w:rPr>
          <w:i/>
          <w:spacing w:val="-3"/>
          <w:sz w:val="22"/>
        </w:rPr>
        <w:t> </w:t>
      </w:r>
      <w:r>
        <w:rPr>
          <w:i/>
          <w:sz w:val="22"/>
        </w:rPr>
        <w:t>supporting</w:t>
      </w:r>
      <w:r>
        <w:rPr>
          <w:i/>
          <w:spacing w:val="-3"/>
          <w:sz w:val="22"/>
        </w:rPr>
        <w:t> </w:t>
      </w:r>
      <w:r>
        <w:rPr>
          <w:i/>
          <w:sz w:val="22"/>
        </w:rPr>
        <w:t>a</w:t>
      </w:r>
      <w:r>
        <w:rPr>
          <w:i/>
          <w:spacing w:val="-4"/>
          <w:sz w:val="22"/>
        </w:rPr>
        <w:t> </w:t>
      </w:r>
      <w:r>
        <w:rPr>
          <w:i/>
          <w:sz w:val="22"/>
        </w:rPr>
        <w:t>formal</w:t>
      </w:r>
      <w:r>
        <w:rPr>
          <w:i/>
          <w:spacing w:val="-5"/>
          <w:sz w:val="22"/>
        </w:rPr>
        <w:t> </w:t>
      </w:r>
      <w:r>
        <w:rPr>
          <w:i/>
          <w:sz w:val="22"/>
        </w:rPr>
        <w:t>decision</w:t>
      </w:r>
      <w:r>
        <w:rPr>
          <w:i/>
          <w:spacing w:val="-3"/>
          <w:sz w:val="22"/>
        </w:rPr>
        <w:t> </w:t>
      </w:r>
      <w:r>
        <w:rPr>
          <w:i/>
          <w:sz w:val="22"/>
        </w:rPr>
        <w:t>by ESV, and sufficient for Gas Companies/Licensees to understand and rectify SC/SMP compliance deficiencies.” </w:t>
      </w:r>
      <w:r>
        <w:rPr>
          <w:sz w:val="22"/>
        </w:rPr>
        <w:t>(Advisian, 2016, p. 23)</w:t>
      </w:r>
    </w:p>
    <w:p>
      <w:pPr>
        <w:pStyle w:val="BodyText"/>
        <w:spacing w:before="10"/>
        <w:rPr>
          <w:sz w:val="20"/>
        </w:rPr>
      </w:pPr>
    </w:p>
    <w:p>
      <w:pPr>
        <w:pStyle w:val="BodyText"/>
        <w:spacing w:line="288" w:lineRule="auto"/>
        <w:ind w:left="345"/>
      </w:pPr>
      <w:r>
        <w:rPr/>
        <w:t>In</w:t>
      </w:r>
      <w:r>
        <w:rPr>
          <w:spacing w:val="-5"/>
        </w:rPr>
        <w:t> </w:t>
      </w:r>
      <w:r>
        <w:rPr/>
        <w:t>terms</w:t>
      </w:r>
      <w:r>
        <w:rPr>
          <w:spacing w:val="-3"/>
        </w:rPr>
        <w:t> </w:t>
      </w:r>
      <w:r>
        <w:rPr/>
        <w:t>of</w:t>
      </w:r>
      <w:r>
        <w:rPr>
          <w:spacing w:val="-4"/>
        </w:rPr>
        <w:t> </w:t>
      </w:r>
      <w:r>
        <w:rPr/>
        <w:t>guidance,</w:t>
      </w:r>
      <w:r>
        <w:rPr>
          <w:spacing w:val="-2"/>
        </w:rPr>
        <w:t> </w:t>
      </w:r>
      <w:r>
        <w:rPr/>
        <w:t>Advisian</w:t>
      </w:r>
      <w:r>
        <w:rPr>
          <w:spacing w:val="-3"/>
        </w:rPr>
        <w:t> </w:t>
      </w:r>
      <w:r>
        <w:rPr/>
        <w:t>noted</w:t>
      </w:r>
      <w:r>
        <w:rPr>
          <w:spacing w:val="-3"/>
        </w:rPr>
        <w:t> </w:t>
      </w:r>
      <w:r>
        <w:rPr/>
        <w:t>that</w:t>
      </w:r>
      <w:r>
        <w:rPr>
          <w:spacing w:val="-4"/>
        </w:rPr>
        <w:t> </w:t>
      </w:r>
      <w:r>
        <w:rPr/>
        <w:t>whilst</w:t>
      </w:r>
      <w:r>
        <w:rPr>
          <w:spacing w:val="-2"/>
        </w:rPr>
        <w:t> </w:t>
      </w:r>
      <w:r>
        <w:rPr/>
        <w:t>ESV</w:t>
      </w:r>
      <w:r>
        <w:rPr>
          <w:spacing w:val="-3"/>
        </w:rPr>
        <w:t> </w:t>
      </w:r>
      <w:r>
        <w:rPr/>
        <w:t>had</w:t>
      </w:r>
      <w:r>
        <w:rPr>
          <w:spacing w:val="-3"/>
        </w:rPr>
        <w:t> </w:t>
      </w:r>
      <w:r>
        <w:rPr/>
        <w:t>direct</w:t>
      </w:r>
      <w:r>
        <w:rPr>
          <w:spacing w:val="-2"/>
        </w:rPr>
        <w:t> </w:t>
      </w:r>
      <w:r>
        <w:rPr/>
        <w:t>interactions</w:t>
      </w:r>
      <w:r>
        <w:rPr>
          <w:spacing w:val="-3"/>
        </w:rPr>
        <w:t> </w:t>
      </w:r>
      <w:r>
        <w:rPr/>
        <w:t>with</w:t>
      </w:r>
      <w:r>
        <w:rPr>
          <w:spacing w:val="-3"/>
        </w:rPr>
        <w:t> </w:t>
      </w:r>
      <w:r>
        <w:rPr/>
        <w:t>individual businesses, that:</w:t>
      </w:r>
    </w:p>
    <w:p>
      <w:pPr>
        <w:pStyle w:val="BodyText"/>
        <w:spacing w:before="10"/>
        <w:rPr>
          <w:sz w:val="20"/>
        </w:rPr>
      </w:pPr>
    </w:p>
    <w:p>
      <w:pPr>
        <w:spacing w:line="288" w:lineRule="auto" w:before="0"/>
        <w:ind w:left="799" w:right="1191" w:firstLine="0"/>
        <w:jc w:val="left"/>
        <w:rPr>
          <w:sz w:val="22"/>
        </w:rPr>
      </w:pPr>
      <w:r>
        <w:rPr>
          <w:i/>
          <w:sz w:val="22"/>
        </w:rPr>
        <w:t>“In</w:t>
      </w:r>
      <w:r>
        <w:rPr>
          <w:i/>
          <w:spacing w:val="-4"/>
          <w:sz w:val="22"/>
        </w:rPr>
        <w:t> </w:t>
      </w:r>
      <w:r>
        <w:rPr>
          <w:i/>
          <w:sz w:val="22"/>
        </w:rPr>
        <w:t>contrast</w:t>
      </w:r>
      <w:r>
        <w:rPr>
          <w:i/>
          <w:spacing w:val="-5"/>
          <w:sz w:val="22"/>
        </w:rPr>
        <w:t> </w:t>
      </w:r>
      <w:r>
        <w:rPr>
          <w:i/>
          <w:sz w:val="22"/>
        </w:rPr>
        <w:t>to</w:t>
      </w:r>
      <w:r>
        <w:rPr>
          <w:i/>
          <w:spacing w:val="-2"/>
          <w:sz w:val="22"/>
        </w:rPr>
        <w:t> </w:t>
      </w:r>
      <w:r>
        <w:rPr>
          <w:i/>
          <w:sz w:val="22"/>
        </w:rPr>
        <w:t>larger,</w:t>
      </w:r>
      <w:r>
        <w:rPr>
          <w:i/>
          <w:spacing w:val="-3"/>
          <w:sz w:val="22"/>
        </w:rPr>
        <w:t> </w:t>
      </w:r>
      <w:r>
        <w:rPr>
          <w:i/>
          <w:sz w:val="22"/>
        </w:rPr>
        <w:t>more</w:t>
      </w:r>
      <w:r>
        <w:rPr>
          <w:i/>
          <w:spacing w:val="-4"/>
          <w:sz w:val="22"/>
        </w:rPr>
        <w:t> </w:t>
      </w:r>
      <w:r>
        <w:rPr>
          <w:i/>
          <w:sz w:val="22"/>
        </w:rPr>
        <w:t>mature</w:t>
      </w:r>
      <w:r>
        <w:rPr>
          <w:i/>
          <w:spacing w:val="-4"/>
          <w:sz w:val="22"/>
        </w:rPr>
        <w:t> </w:t>
      </w:r>
      <w:r>
        <w:rPr>
          <w:i/>
          <w:sz w:val="22"/>
        </w:rPr>
        <w:t>regulators …</w:t>
      </w:r>
      <w:r>
        <w:rPr>
          <w:i/>
          <w:spacing w:val="-6"/>
          <w:sz w:val="22"/>
        </w:rPr>
        <w:t> </w:t>
      </w:r>
      <w:r>
        <w:rPr>
          <w:i/>
          <w:sz w:val="22"/>
        </w:rPr>
        <w:t>ESV</w:t>
      </w:r>
      <w:r>
        <w:rPr>
          <w:i/>
          <w:spacing w:val="-2"/>
          <w:sz w:val="22"/>
        </w:rPr>
        <w:t> </w:t>
      </w:r>
      <w:r>
        <w:rPr>
          <w:i/>
          <w:sz w:val="22"/>
        </w:rPr>
        <w:t>does</w:t>
      </w:r>
      <w:r>
        <w:rPr>
          <w:i/>
          <w:spacing w:val="-2"/>
          <w:sz w:val="22"/>
        </w:rPr>
        <w:t> </w:t>
      </w:r>
      <w:r>
        <w:rPr>
          <w:i/>
          <w:sz w:val="22"/>
        </w:rPr>
        <w:t>not</w:t>
      </w:r>
      <w:r>
        <w:rPr>
          <w:i/>
          <w:spacing w:val="-3"/>
          <w:sz w:val="22"/>
        </w:rPr>
        <w:t> </w:t>
      </w:r>
      <w:r>
        <w:rPr>
          <w:i/>
          <w:sz w:val="22"/>
        </w:rPr>
        <w:t>generally</w:t>
      </w:r>
      <w:r>
        <w:rPr>
          <w:i/>
          <w:spacing w:val="-4"/>
          <w:sz w:val="22"/>
        </w:rPr>
        <w:t> </w:t>
      </w:r>
      <w:r>
        <w:rPr>
          <w:i/>
          <w:sz w:val="22"/>
        </w:rPr>
        <w:t>publish policy interpretations to inform industry.” </w:t>
      </w:r>
      <w:r>
        <w:rPr>
          <w:sz w:val="22"/>
        </w:rPr>
        <w:t>(Advisian, 2016, p. 17)</w:t>
      </w:r>
    </w:p>
    <w:p>
      <w:pPr>
        <w:pStyle w:val="BodyText"/>
        <w:spacing w:before="10"/>
        <w:rPr>
          <w:sz w:val="20"/>
        </w:rPr>
      </w:pPr>
    </w:p>
    <w:p>
      <w:pPr>
        <w:pStyle w:val="BodyText"/>
        <w:spacing w:line="288" w:lineRule="auto"/>
        <w:ind w:left="345" w:right="951"/>
      </w:pPr>
      <w:r>
        <w:rPr/>
        <w:t>Advisian</w:t>
      </w:r>
      <w:r>
        <w:rPr>
          <w:spacing w:val="-3"/>
        </w:rPr>
        <w:t> </w:t>
      </w:r>
      <w:r>
        <w:rPr/>
        <w:t>identified</w:t>
      </w:r>
      <w:r>
        <w:rPr>
          <w:spacing w:val="-8"/>
        </w:rPr>
        <w:t> </w:t>
      </w:r>
      <w:r>
        <w:rPr/>
        <w:t>key</w:t>
      </w:r>
      <w:r>
        <w:rPr>
          <w:spacing w:val="-5"/>
        </w:rPr>
        <w:t> </w:t>
      </w:r>
      <w:r>
        <w:rPr/>
        <w:t>concepts/knowledge</w:t>
      </w:r>
      <w:r>
        <w:rPr>
          <w:spacing w:val="-3"/>
        </w:rPr>
        <w:t> </w:t>
      </w:r>
      <w:r>
        <w:rPr/>
        <w:t>and</w:t>
      </w:r>
      <w:r>
        <w:rPr>
          <w:spacing w:val="-5"/>
        </w:rPr>
        <w:t> </w:t>
      </w:r>
      <w:r>
        <w:rPr/>
        <w:t>expert</w:t>
      </w:r>
      <w:r>
        <w:rPr>
          <w:spacing w:val="-1"/>
        </w:rPr>
        <w:t> </w:t>
      </w:r>
      <w:r>
        <w:rPr/>
        <w:t>models</w:t>
      </w:r>
      <w:r>
        <w:rPr>
          <w:spacing w:val="-2"/>
        </w:rPr>
        <w:t> </w:t>
      </w:r>
      <w:r>
        <w:rPr/>
        <w:t>GISD</w:t>
      </w:r>
      <w:r>
        <w:rPr>
          <w:spacing w:val="-3"/>
        </w:rPr>
        <w:t> </w:t>
      </w:r>
      <w:r>
        <w:rPr/>
        <w:t>used</w:t>
      </w:r>
      <w:r>
        <w:rPr>
          <w:spacing w:val="-2"/>
        </w:rPr>
        <w:t> </w:t>
      </w:r>
      <w:r>
        <w:rPr/>
        <w:t>to</w:t>
      </w:r>
      <w:r>
        <w:rPr>
          <w:spacing w:val="-5"/>
        </w:rPr>
        <w:t> </w:t>
      </w:r>
      <w:r>
        <w:rPr/>
        <w:t>evaluate safety cases, recommending that this should be formalised and included in guidance. Advisian noted the benefits of doing so:</w:t>
      </w:r>
    </w:p>
    <w:p>
      <w:pPr>
        <w:pStyle w:val="BodyText"/>
        <w:rPr>
          <w:sz w:val="21"/>
        </w:rPr>
      </w:pPr>
    </w:p>
    <w:p>
      <w:pPr>
        <w:spacing w:line="288" w:lineRule="auto" w:before="0"/>
        <w:ind w:left="799" w:right="1294" w:firstLine="0"/>
        <w:jc w:val="left"/>
        <w:rPr>
          <w:sz w:val="22"/>
        </w:rPr>
      </w:pPr>
      <w:r>
        <w:rPr>
          <w:i/>
          <w:sz w:val="22"/>
        </w:rPr>
        <w:t>“... ESV stands to reduce Gas Company/Licensee efforts spent speculating on expectations, provide transparency and consistency, improve the quality of submissions, streamline the feedback and evaluation process, reduce</w:t>
      </w:r>
      <w:r>
        <w:rPr>
          <w:i/>
          <w:spacing w:val="-2"/>
          <w:sz w:val="22"/>
        </w:rPr>
        <w:t> </w:t>
      </w:r>
      <w:r>
        <w:rPr>
          <w:i/>
          <w:sz w:val="22"/>
        </w:rPr>
        <w:t>the number of</w:t>
      </w:r>
      <w:r>
        <w:rPr>
          <w:i/>
          <w:spacing w:val="-2"/>
          <w:sz w:val="22"/>
        </w:rPr>
        <w:t> </w:t>
      </w:r>
      <w:r>
        <w:rPr>
          <w:i/>
          <w:sz w:val="22"/>
        </w:rPr>
        <w:t>revisions and</w:t>
      </w:r>
      <w:r>
        <w:rPr>
          <w:i/>
          <w:spacing w:val="-1"/>
          <w:sz w:val="22"/>
        </w:rPr>
        <w:t> </w:t>
      </w:r>
      <w:r>
        <w:rPr>
          <w:i/>
          <w:sz w:val="22"/>
        </w:rPr>
        <w:t>interactions required</w:t>
      </w:r>
      <w:r>
        <w:rPr>
          <w:i/>
          <w:spacing w:val="-3"/>
          <w:sz w:val="22"/>
        </w:rPr>
        <w:t> </w:t>
      </w:r>
      <w:r>
        <w:rPr>
          <w:i/>
          <w:sz w:val="22"/>
        </w:rPr>
        <w:t>to</w:t>
      </w:r>
      <w:r>
        <w:rPr>
          <w:i/>
          <w:spacing w:val="-3"/>
          <w:sz w:val="22"/>
        </w:rPr>
        <w:t> </w:t>
      </w:r>
      <w:r>
        <w:rPr>
          <w:i/>
          <w:sz w:val="22"/>
        </w:rPr>
        <w:t>reach</w:t>
      </w:r>
      <w:r>
        <w:rPr>
          <w:i/>
          <w:spacing w:val="-1"/>
          <w:sz w:val="22"/>
        </w:rPr>
        <w:t> </w:t>
      </w:r>
      <w:r>
        <w:rPr>
          <w:i/>
          <w:sz w:val="22"/>
        </w:rPr>
        <w:t>an</w:t>
      </w:r>
      <w:r>
        <w:rPr>
          <w:i/>
          <w:spacing w:val="-5"/>
          <w:sz w:val="22"/>
        </w:rPr>
        <w:t> </w:t>
      </w:r>
      <w:r>
        <w:rPr>
          <w:i/>
          <w:sz w:val="22"/>
        </w:rPr>
        <w:t>acceptable</w:t>
      </w:r>
      <w:r>
        <w:rPr>
          <w:i/>
          <w:spacing w:val="-1"/>
          <w:sz w:val="22"/>
        </w:rPr>
        <w:t> </w:t>
      </w:r>
      <w:r>
        <w:rPr>
          <w:i/>
          <w:sz w:val="22"/>
        </w:rPr>
        <w:t>submission,</w:t>
      </w:r>
      <w:r>
        <w:rPr>
          <w:i/>
          <w:spacing w:val="-4"/>
          <w:sz w:val="22"/>
        </w:rPr>
        <w:t> </w:t>
      </w:r>
      <w:r>
        <w:rPr>
          <w:i/>
          <w:sz w:val="22"/>
        </w:rPr>
        <w:t>and</w:t>
      </w:r>
      <w:r>
        <w:rPr>
          <w:i/>
          <w:spacing w:val="-1"/>
          <w:sz w:val="22"/>
        </w:rPr>
        <w:t> </w:t>
      </w:r>
      <w:r>
        <w:rPr>
          <w:i/>
          <w:sz w:val="22"/>
        </w:rPr>
        <w:t>shift the</w:t>
      </w:r>
      <w:r>
        <w:rPr>
          <w:i/>
          <w:spacing w:val="-3"/>
          <w:sz w:val="22"/>
        </w:rPr>
        <w:t> </w:t>
      </w:r>
      <w:r>
        <w:rPr>
          <w:i/>
          <w:sz w:val="22"/>
        </w:rPr>
        <w:t>focus</w:t>
      </w:r>
      <w:r>
        <w:rPr>
          <w:i/>
          <w:spacing w:val="-3"/>
          <w:sz w:val="22"/>
        </w:rPr>
        <w:t> </w:t>
      </w:r>
      <w:r>
        <w:rPr>
          <w:i/>
          <w:sz w:val="22"/>
        </w:rPr>
        <w:t>from</w:t>
      </w:r>
      <w:r>
        <w:rPr>
          <w:i/>
          <w:spacing w:val="-2"/>
          <w:sz w:val="22"/>
        </w:rPr>
        <w:t> </w:t>
      </w:r>
      <w:r>
        <w:rPr>
          <w:i/>
          <w:sz w:val="22"/>
        </w:rPr>
        <w:t>compliance</w:t>
      </w:r>
      <w:r>
        <w:rPr>
          <w:i/>
          <w:spacing w:val="-1"/>
          <w:sz w:val="22"/>
        </w:rPr>
        <w:t> </w:t>
      </w:r>
      <w:r>
        <w:rPr>
          <w:i/>
          <w:sz w:val="22"/>
        </w:rPr>
        <w:t>to</w:t>
      </w:r>
      <w:r>
        <w:rPr>
          <w:i/>
          <w:spacing w:val="-3"/>
          <w:sz w:val="22"/>
        </w:rPr>
        <w:t> </w:t>
      </w:r>
      <w:r>
        <w:rPr>
          <w:i/>
          <w:sz w:val="22"/>
        </w:rPr>
        <w:t>increased</w:t>
      </w:r>
      <w:r>
        <w:rPr>
          <w:i/>
          <w:spacing w:val="-4"/>
          <w:sz w:val="22"/>
        </w:rPr>
        <w:t> </w:t>
      </w:r>
      <w:r>
        <w:rPr>
          <w:i/>
          <w:sz w:val="22"/>
        </w:rPr>
        <w:t>safety</w:t>
      </w:r>
      <w:r>
        <w:rPr>
          <w:i/>
          <w:spacing w:val="-3"/>
          <w:sz w:val="22"/>
        </w:rPr>
        <w:t> </w:t>
      </w:r>
      <w:r>
        <w:rPr>
          <w:i/>
          <w:sz w:val="22"/>
        </w:rPr>
        <w:t>outcomes.”</w:t>
      </w:r>
      <w:r>
        <w:rPr>
          <w:i/>
          <w:spacing w:val="-7"/>
          <w:sz w:val="22"/>
        </w:rPr>
        <w:t> </w:t>
      </w:r>
      <w:r>
        <w:rPr>
          <w:sz w:val="22"/>
        </w:rPr>
        <w:t>(Advisian, 2016,</w:t>
      </w:r>
      <w:r>
        <w:rPr>
          <w:spacing w:val="-2"/>
          <w:sz w:val="22"/>
        </w:rPr>
        <w:t> </w:t>
      </w:r>
      <w:r>
        <w:rPr>
          <w:sz w:val="22"/>
        </w:rPr>
        <w:t>pp.</w:t>
      </w:r>
      <w:r>
        <w:rPr>
          <w:spacing w:val="-2"/>
          <w:sz w:val="22"/>
        </w:rPr>
        <w:t> </w:t>
      </w:r>
      <w:r>
        <w:rPr>
          <w:sz w:val="22"/>
        </w:rPr>
        <w:t>19- </w:t>
      </w:r>
      <w:r>
        <w:rPr>
          <w:spacing w:val="-4"/>
          <w:sz w:val="22"/>
        </w:rPr>
        <w:t>20)</w:t>
      </w:r>
    </w:p>
    <w:p>
      <w:pPr>
        <w:pStyle w:val="BodyText"/>
        <w:spacing w:before="11"/>
        <w:rPr>
          <w:sz w:val="20"/>
        </w:rPr>
      </w:pPr>
    </w:p>
    <w:p>
      <w:pPr>
        <w:pStyle w:val="BodyText"/>
        <w:spacing w:line="288" w:lineRule="auto"/>
        <w:ind w:left="345" w:right="951"/>
      </w:pPr>
      <w:r>
        <w:rPr/>
        <w:t>In its earlier 2015 report, Advisian made similar recommendations for ESV’s former Electrical</w:t>
      </w:r>
      <w:r>
        <w:rPr>
          <w:spacing w:val="-5"/>
        </w:rPr>
        <w:t> </w:t>
      </w:r>
      <w:r>
        <w:rPr/>
        <w:t>Infrastructure</w:t>
      </w:r>
      <w:r>
        <w:rPr>
          <w:spacing w:val="-6"/>
        </w:rPr>
        <w:t> </w:t>
      </w:r>
      <w:r>
        <w:rPr/>
        <w:t>Safety</w:t>
      </w:r>
      <w:r>
        <w:rPr>
          <w:spacing w:val="-6"/>
        </w:rPr>
        <w:t> </w:t>
      </w:r>
      <w:r>
        <w:rPr/>
        <w:t>Division</w:t>
      </w:r>
      <w:r>
        <w:rPr>
          <w:spacing w:val="-4"/>
        </w:rPr>
        <w:t> </w:t>
      </w:r>
      <w:r>
        <w:rPr/>
        <w:t>(EISD)</w:t>
      </w:r>
      <w:r>
        <w:rPr>
          <w:spacing w:val="-3"/>
        </w:rPr>
        <w:t> </w:t>
      </w:r>
      <w:r>
        <w:rPr/>
        <w:t>to</w:t>
      </w:r>
      <w:r>
        <w:rPr>
          <w:spacing w:val="-6"/>
        </w:rPr>
        <w:t> </w:t>
      </w:r>
      <w:r>
        <w:rPr/>
        <w:t>document</w:t>
      </w:r>
      <w:r>
        <w:rPr>
          <w:spacing w:val="-2"/>
        </w:rPr>
        <w:t> </w:t>
      </w:r>
      <w:r>
        <w:rPr/>
        <w:t>its</w:t>
      </w:r>
      <w:r>
        <w:rPr>
          <w:spacing w:val="-3"/>
        </w:rPr>
        <w:t> </w:t>
      </w:r>
      <w:r>
        <w:rPr/>
        <w:t>position,</w:t>
      </w:r>
      <w:r>
        <w:rPr>
          <w:spacing w:val="-5"/>
        </w:rPr>
        <w:t> </w:t>
      </w:r>
      <w:r>
        <w:rPr/>
        <w:t>recommending:</w:t>
      </w:r>
    </w:p>
    <w:p>
      <w:pPr>
        <w:pStyle w:val="BodyText"/>
        <w:spacing w:before="10"/>
        <w:rPr>
          <w:sz w:val="20"/>
        </w:rPr>
      </w:pPr>
    </w:p>
    <w:p>
      <w:pPr>
        <w:spacing w:line="288" w:lineRule="auto" w:before="0"/>
        <w:ind w:left="799" w:right="1294" w:firstLine="62"/>
        <w:jc w:val="left"/>
        <w:rPr>
          <w:sz w:val="22"/>
        </w:rPr>
      </w:pPr>
      <w:r>
        <w:rPr>
          <w:i/>
          <w:sz w:val="22"/>
        </w:rPr>
        <w:t>“…</w:t>
      </w:r>
      <w:r>
        <w:rPr>
          <w:i/>
          <w:spacing w:val="-2"/>
          <w:sz w:val="22"/>
        </w:rPr>
        <w:t> </w:t>
      </w:r>
      <w:r>
        <w:rPr>
          <w:i/>
          <w:sz w:val="22"/>
        </w:rPr>
        <w:t>EISD</w:t>
      </w:r>
      <w:r>
        <w:rPr>
          <w:i/>
          <w:spacing w:val="-3"/>
          <w:sz w:val="22"/>
        </w:rPr>
        <w:t> </w:t>
      </w:r>
      <w:r>
        <w:rPr>
          <w:i/>
          <w:sz w:val="22"/>
        </w:rPr>
        <w:t>should consider developing a</w:t>
      </w:r>
      <w:r>
        <w:rPr>
          <w:i/>
          <w:spacing w:val="-2"/>
          <w:sz w:val="22"/>
        </w:rPr>
        <w:t> </w:t>
      </w:r>
      <w:r>
        <w:rPr>
          <w:i/>
          <w:sz w:val="22"/>
        </w:rPr>
        <w:t>position</w:t>
      </w:r>
      <w:r>
        <w:rPr>
          <w:i/>
          <w:spacing w:val="-2"/>
          <w:sz w:val="22"/>
        </w:rPr>
        <w:t> </w:t>
      </w:r>
      <w:r>
        <w:rPr>
          <w:i/>
          <w:sz w:val="22"/>
        </w:rPr>
        <w:t>with</w:t>
      </w:r>
      <w:r>
        <w:rPr>
          <w:i/>
          <w:spacing w:val="-2"/>
          <w:sz w:val="22"/>
        </w:rPr>
        <w:t> </w:t>
      </w:r>
      <w:r>
        <w:rPr>
          <w:i/>
          <w:sz w:val="22"/>
        </w:rPr>
        <w:t>respect</w:t>
      </w:r>
      <w:r>
        <w:rPr>
          <w:i/>
          <w:spacing w:val="-1"/>
          <w:sz w:val="22"/>
        </w:rPr>
        <w:t> </w:t>
      </w:r>
      <w:r>
        <w:rPr>
          <w:i/>
          <w:sz w:val="22"/>
        </w:rPr>
        <w:t>to</w:t>
      </w:r>
      <w:r>
        <w:rPr>
          <w:i/>
          <w:spacing w:val="-2"/>
          <w:sz w:val="22"/>
        </w:rPr>
        <w:t> </w:t>
      </w:r>
      <w:r>
        <w:rPr>
          <w:i/>
          <w:sz w:val="22"/>
        </w:rPr>
        <w:t>the</w:t>
      </w:r>
      <w:r>
        <w:rPr>
          <w:i/>
          <w:spacing w:val="-2"/>
          <w:sz w:val="22"/>
        </w:rPr>
        <w:t> </w:t>
      </w:r>
      <w:r>
        <w:rPr>
          <w:i/>
          <w:sz w:val="22"/>
        </w:rPr>
        <w:t>demonstration of</w:t>
      </w:r>
      <w:r>
        <w:rPr>
          <w:i/>
          <w:spacing w:val="-4"/>
          <w:sz w:val="22"/>
        </w:rPr>
        <w:t> </w:t>
      </w:r>
      <w:r>
        <w:rPr>
          <w:i/>
          <w:sz w:val="22"/>
        </w:rPr>
        <w:t>fitness</w:t>
      </w:r>
      <w:r>
        <w:rPr>
          <w:i/>
          <w:spacing w:val="-5"/>
          <w:sz w:val="22"/>
        </w:rPr>
        <w:t> </w:t>
      </w:r>
      <w:r>
        <w:rPr>
          <w:i/>
          <w:sz w:val="22"/>
        </w:rPr>
        <w:t>t</w:t>
      </w:r>
      <w:r>
        <w:rPr>
          <w:sz w:val="22"/>
        </w:rPr>
        <w:t>o</w:t>
      </w:r>
      <w:r>
        <w:rPr>
          <w:spacing w:val="-5"/>
          <w:sz w:val="22"/>
        </w:rPr>
        <w:t> </w:t>
      </w:r>
      <w:r>
        <w:rPr>
          <w:i/>
          <w:sz w:val="22"/>
        </w:rPr>
        <w:t>operate</w:t>
      </w:r>
      <w:r>
        <w:rPr>
          <w:i/>
          <w:spacing w:val="-5"/>
          <w:sz w:val="22"/>
        </w:rPr>
        <w:t> </w:t>
      </w:r>
      <w:r>
        <w:rPr>
          <w:i/>
          <w:sz w:val="22"/>
        </w:rPr>
        <w:t>that</w:t>
      </w:r>
      <w:r>
        <w:rPr>
          <w:i/>
          <w:spacing w:val="-6"/>
          <w:sz w:val="22"/>
        </w:rPr>
        <w:t> </w:t>
      </w:r>
      <w:r>
        <w:rPr>
          <w:i/>
          <w:sz w:val="22"/>
        </w:rPr>
        <w:t>takes</w:t>
      </w:r>
      <w:r>
        <w:rPr>
          <w:i/>
          <w:spacing w:val="-2"/>
          <w:sz w:val="22"/>
        </w:rPr>
        <w:t> </w:t>
      </w:r>
      <w:r>
        <w:rPr>
          <w:i/>
          <w:sz w:val="22"/>
        </w:rPr>
        <w:t>into</w:t>
      </w:r>
      <w:r>
        <w:rPr>
          <w:i/>
          <w:spacing w:val="-3"/>
          <w:sz w:val="22"/>
        </w:rPr>
        <w:t> </w:t>
      </w:r>
      <w:r>
        <w:rPr>
          <w:i/>
          <w:sz w:val="22"/>
        </w:rPr>
        <w:t>account</w:t>
      </w:r>
      <w:r>
        <w:rPr>
          <w:i/>
          <w:spacing w:val="-4"/>
          <w:sz w:val="22"/>
        </w:rPr>
        <w:t> </w:t>
      </w:r>
      <w:r>
        <w:rPr>
          <w:i/>
          <w:sz w:val="22"/>
        </w:rPr>
        <w:t>[considerations</w:t>
      </w:r>
      <w:r>
        <w:rPr>
          <w:i/>
          <w:spacing w:val="-3"/>
          <w:sz w:val="22"/>
        </w:rPr>
        <w:t> </w:t>
      </w:r>
      <w:r>
        <w:rPr>
          <w:i/>
          <w:sz w:val="22"/>
        </w:rPr>
        <w:t>identified</w:t>
      </w:r>
      <w:r>
        <w:rPr>
          <w:i/>
          <w:spacing w:val="-3"/>
          <w:sz w:val="22"/>
        </w:rPr>
        <w:t> </w:t>
      </w:r>
      <w:r>
        <w:rPr>
          <w:i/>
          <w:sz w:val="22"/>
        </w:rPr>
        <w:t>by</w:t>
      </w:r>
      <w:r>
        <w:rPr>
          <w:i/>
          <w:spacing w:val="-5"/>
          <w:sz w:val="22"/>
        </w:rPr>
        <w:t> </w:t>
      </w:r>
      <w:r>
        <w:rPr>
          <w:i/>
          <w:sz w:val="22"/>
        </w:rPr>
        <w:t>Advisian], and document this in order to guide both EISD staff and MECs [major electricity companies] through the next ESMS submission and renewal process.” </w:t>
      </w:r>
      <w:r>
        <w:rPr>
          <w:sz w:val="22"/>
        </w:rPr>
        <w:t>(Advisian, 2015, p. 26)</w:t>
      </w:r>
    </w:p>
    <w:p>
      <w:pPr>
        <w:spacing w:after="0" w:line="288" w:lineRule="auto"/>
        <w:jc w:val="left"/>
        <w:rPr>
          <w:sz w:val="22"/>
        </w:rPr>
        <w:sectPr>
          <w:pgSz w:w="11910" w:h="16850"/>
          <w:pgMar w:header="220" w:footer="678" w:top="420" w:bottom="860" w:left="900" w:right="840"/>
        </w:sectPr>
      </w:pPr>
    </w:p>
    <w:p>
      <w:pPr>
        <w:pStyle w:val="BodyText"/>
        <w:rPr>
          <w:sz w:val="20"/>
        </w:rPr>
      </w:pPr>
    </w:p>
    <w:p>
      <w:pPr>
        <w:pStyle w:val="BodyText"/>
        <w:rPr>
          <w:sz w:val="20"/>
        </w:rPr>
      </w:pPr>
    </w:p>
    <w:p>
      <w:pPr>
        <w:pStyle w:val="BodyText"/>
        <w:spacing w:before="7"/>
        <w:rPr>
          <w:sz w:val="27"/>
        </w:rPr>
      </w:pPr>
    </w:p>
    <w:p>
      <w:pPr>
        <w:pStyle w:val="BodyText"/>
        <w:spacing w:before="94"/>
        <w:ind w:left="232"/>
      </w:pPr>
      <w:r>
        <w:rPr/>
        <w:t>Submissions</w:t>
      </w:r>
      <w:r>
        <w:rPr>
          <w:spacing w:val="-6"/>
        </w:rPr>
        <w:t> </w:t>
      </w:r>
      <w:r>
        <w:rPr/>
        <w:t>to</w:t>
      </w:r>
      <w:r>
        <w:rPr>
          <w:spacing w:val="-8"/>
        </w:rPr>
        <w:t> </w:t>
      </w:r>
      <w:r>
        <w:rPr/>
        <w:t>the</w:t>
      </w:r>
      <w:r>
        <w:rPr>
          <w:spacing w:val="-7"/>
        </w:rPr>
        <w:t> </w:t>
      </w:r>
      <w:r>
        <w:rPr/>
        <w:t>Review</w:t>
      </w:r>
      <w:r>
        <w:rPr>
          <w:spacing w:val="-9"/>
        </w:rPr>
        <w:t> </w:t>
      </w:r>
      <w:r>
        <w:rPr/>
        <w:t>highlighted</w:t>
      </w:r>
      <w:r>
        <w:rPr>
          <w:spacing w:val="-8"/>
        </w:rPr>
        <w:t> </w:t>
      </w:r>
      <w:r>
        <w:rPr/>
        <w:t>the</w:t>
      </w:r>
      <w:r>
        <w:rPr>
          <w:spacing w:val="-6"/>
        </w:rPr>
        <w:t> </w:t>
      </w:r>
      <w:r>
        <w:rPr/>
        <w:t>importance</w:t>
      </w:r>
      <w:r>
        <w:rPr>
          <w:spacing w:val="-6"/>
        </w:rPr>
        <w:t> </w:t>
      </w:r>
      <w:r>
        <w:rPr/>
        <w:t>of</w:t>
      </w:r>
      <w:r>
        <w:rPr>
          <w:spacing w:val="-4"/>
        </w:rPr>
        <w:t> </w:t>
      </w:r>
      <w:r>
        <w:rPr/>
        <w:t>clear</w:t>
      </w:r>
      <w:r>
        <w:rPr>
          <w:spacing w:val="-7"/>
        </w:rPr>
        <w:t> </w:t>
      </w:r>
      <w:r>
        <w:rPr/>
        <w:t>and</w:t>
      </w:r>
      <w:r>
        <w:rPr>
          <w:spacing w:val="-6"/>
        </w:rPr>
        <w:t> </w:t>
      </w:r>
      <w:r>
        <w:rPr/>
        <w:t>consultative</w:t>
      </w:r>
      <w:r>
        <w:rPr>
          <w:spacing w:val="-6"/>
        </w:rPr>
        <w:t> </w:t>
      </w:r>
      <w:r>
        <w:rPr>
          <w:spacing w:val="-2"/>
        </w:rPr>
        <w:t>guidance:</w:t>
      </w:r>
    </w:p>
    <w:p>
      <w:pPr>
        <w:pStyle w:val="BodyText"/>
        <w:spacing w:before="4"/>
        <w:rPr>
          <w:sz w:val="25"/>
        </w:rPr>
      </w:pPr>
    </w:p>
    <w:p>
      <w:pPr>
        <w:spacing w:line="288" w:lineRule="auto" w:before="0"/>
        <w:ind w:left="799" w:right="868" w:firstLine="0"/>
        <w:jc w:val="left"/>
        <w:rPr>
          <w:sz w:val="22"/>
        </w:rPr>
      </w:pPr>
      <w:r>
        <w:rPr>
          <w:i/>
          <w:sz w:val="22"/>
        </w:rPr>
        <w:t>“Guidelines issued for both Safety Case and Construction Safety Management Plans are of poor quality and uncertainty of the requirements results in an oversupply of paperwork during submissions… We understand that ESV have been going through a process</w:t>
      </w:r>
      <w:r>
        <w:rPr>
          <w:i/>
          <w:spacing w:val="-4"/>
          <w:sz w:val="22"/>
        </w:rPr>
        <w:t> </w:t>
      </w:r>
      <w:r>
        <w:rPr>
          <w:i/>
          <w:sz w:val="22"/>
        </w:rPr>
        <w:t>of</w:t>
      </w:r>
      <w:r>
        <w:rPr>
          <w:i/>
          <w:spacing w:val="-3"/>
          <w:sz w:val="22"/>
        </w:rPr>
        <w:t> </w:t>
      </w:r>
      <w:r>
        <w:rPr>
          <w:i/>
          <w:sz w:val="22"/>
        </w:rPr>
        <w:t>internal</w:t>
      </w:r>
      <w:r>
        <w:rPr>
          <w:i/>
          <w:spacing w:val="-5"/>
          <w:sz w:val="22"/>
        </w:rPr>
        <w:t> </w:t>
      </w:r>
      <w:r>
        <w:rPr>
          <w:i/>
          <w:sz w:val="22"/>
        </w:rPr>
        <w:t>change</w:t>
      </w:r>
      <w:r>
        <w:rPr>
          <w:i/>
          <w:spacing w:val="-2"/>
          <w:sz w:val="22"/>
        </w:rPr>
        <w:t> </w:t>
      </w:r>
      <w:r>
        <w:rPr>
          <w:i/>
          <w:sz w:val="22"/>
        </w:rPr>
        <w:t>since</w:t>
      </w:r>
      <w:r>
        <w:rPr>
          <w:i/>
          <w:spacing w:val="-2"/>
          <w:sz w:val="22"/>
        </w:rPr>
        <w:t> </w:t>
      </w:r>
      <w:r>
        <w:rPr>
          <w:i/>
          <w:sz w:val="22"/>
        </w:rPr>
        <w:t>September</w:t>
      </w:r>
      <w:r>
        <w:rPr>
          <w:i/>
          <w:spacing w:val="-1"/>
          <w:sz w:val="22"/>
        </w:rPr>
        <w:t> </w:t>
      </w:r>
      <w:r>
        <w:rPr>
          <w:i/>
          <w:sz w:val="22"/>
        </w:rPr>
        <w:t>2016</w:t>
      </w:r>
      <w:r>
        <w:rPr>
          <w:i/>
          <w:spacing w:val="-2"/>
          <w:sz w:val="22"/>
        </w:rPr>
        <w:t> </w:t>
      </w:r>
      <w:r>
        <w:rPr>
          <w:i/>
          <w:sz w:val="22"/>
        </w:rPr>
        <w:t>with</w:t>
      </w:r>
      <w:r>
        <w:rPr>
          <w:i/>
          <w:spacing w:val="-4"/>
          <w:sz w:val="22"/>
        </w:rPr>
        <w:t> </w:t>
      </w:r>
      <w:r>
        <w:rPr>
          <w:i/>
          <w:sz w:val="22"/>
        </w:rPr>
        <w:t>the</w:t>
      </w:r>
      <w:r>
        <w:rPr>
          <w:i/>
          <w:spacing w:val="-4"/>
          <w:sz w:val="22"/>
        </w:rPr>
        <w:t> </w:t>
      </w:r>
      <w:r>
        <w:rPr>
          <w:i/>
          <w:sz w:val="22"/>
        </w:rPr>
        <w:t>way</w:t>
      </w:r>
      <w:r>
        <w:rPr>
          <w:i/>
          <w:spacing w:val="-4"/>
          <w:sz w:val="22"/>
        </w:rPr>
        <w:t> </w:t>
      </w:r>
      <w:r>
        <w:rPr>
          <w:i/>
          <w:sz w:val="22"/>
        </w:rPr>
        <w:t>it</w:t>
      </w:r>
      <w:r>
        <w:rPr>
          <w:i/>
          <w:spacing w:val="-3"/>
          <w:sz w:val="22"/>
        </w:rPr>
        <w:t> </w:t>
      </w:r>
      <w:r>
        <w:rPr>
          <w:i/>
          <w:sz w:val="22"/>
        </w:rPr>
        <w:t>regulates</w:t>
      </w:r>
      <w:r>
        <w:rPr>
          <w:i/>
          <w:spacing w:val="-1"/>
          <w:sz w:val="22"/>
        </w:rPr>
        <w:t> </w:t>
      </w:r>
      <w:r>
        <w:rPr>
          <w:i/>
          <w:sz w:val="22"/>
        </w:rPr>
        <w:t>and</w:t>
      </w:r>
      <w:r>
        <w:rPr>
          <w:i/>
          <w:spacing w:val="-4"/>
          <w:sz w:val="22"/>
        </w:rPr>
        <w:t> </w:t>
      </w:r>
      <w:r>
        <w:rPr>
          <w:i/>
          <w:sz w:val="22"/>
        </w:rPr>
        <w:t>the</w:t>
      </w:r>
      <w:r>
        <w:rPr>
          <w:i/>
          <w:spacing w:val="-2"/>
          <w:sz w:val="22"/>
        </w:rPr>
        <w:t> </w:t>
      </w:r>
      <w:r>
        <w:rPr>
          <w:i/>
          <w:sz w:val="22"/>
        </w:rPr>
        <w:t>end result of any change is yet to be seen.” </w:t>
      </w:r>
      <w:r>
        <w:rPr>
          <w:sz w:val="22"/>
        </w:rPr>
        <w:t>(APA VTS, 2017, p. 28)</w:t>
      </w:r>
    </w:p>
    <w:p>
      <w:pPr>
        <w:pStyle w:val="BodyText"/>
        <w:spacing w:before="9"/>
        <w:rPr>
          <w:sz w:val="20"/>
        </w:rPr>
      </w:pPr>
    </w:p>
    <w:p>
      <w:pPr>
        <w:spacing w:line="288" w:lineRule="auto" w:before="0"/>
        <w:ind w:left="799" w:right="903" w:firstLine="0"/>
        <w:jc w:val="left"/>
        <w:rPr>
          <w:i/>
          <w:sz w:val="22"/>
        </w:rPr>
      </w:pPr>
      <w:r>
        <w:rPr>
          <w:i/>
          <w:sz w:val="22"/>
        </w:rPr>
        <w:t>“ESV has attempted to clarify its requirements through the issuing of guidelines to make</w:t>
      </w:r>
      <w:r>
        <w:rPr>
          <w:i/>
          <w:spacing w:val="-5"/>
          <w:sz w:val="22"/>
        </w:rPr>
        <w:t> </w:t>
      </w:r>
      <w:r>
        <w:rPr>
          <w:i/>
          <w:sz w:val="22"/>
        </w:rPr>
        <w:t>clear</w:t>
      </w:r>
      <w:r>
        <w:rPr>
          <w:i/>
          <w:spacing w:val="-2"/>
          <w:sz w:val="22"/>
        </w:rPr>
        <w:t> </w:t>
      </w:r>
      <w:r>
        <w:rPr>
          <w:i/>
          <w:sz w:val="22"/>
        </w:rPr>
        <w:t>its</w:t>
      </w:r>
      <w:r>
        <w:rPr>
          <w:i/>
          <w:spacing w:val="-2"/>
          <w:sz w:val="22"/>
        </w:rPr>
        <w:t> </w:t>
      </w:r>
      <w:r>
        <w:rPr>
          <w:i/>
          <w:sz w:val="22"/>
        </w:rPr>
        <w:t>expectations</w:t>
      </w:r>
      <w:r>
        <w:rPr>
          <w:i/>
          <w:spacing w:val="-3"/>
          <w:sz w:val="22"/>
        </w:rPr>
        <w:t> </w:t>
      </w:r>
      <w:r>
        <w:rPr>
          <w:i/>
          <w:sz w:val="22"/>
        </w:rPr>
        <w:t>on</w:t>
      </w:r>
      <w:r>
        <w:rPr>
          <w:i/>
          <w:spacing w:val="-3"/>
          <w:sz w:val="22"/>
        </w:rPr>
        <w:t> </w:t>
      </w:r>
      <w:r>
        <w:rPr>
          <w:i/>
          <w:sz w:val="22"/>
        </w:rPr>
        <w:t>how</w:t>
      </w:r>
      <w:r>
        <w:rPr>
          <w:i/>
          <w:spacing w:val="-3"/>
          <w:sz w:val="22"/>
        </w:rPr>
        <w:t> </w:t>
      </w:r>
      <w:r>
        <w:rPr>
          <w:i/>
          <w:sz w:val="22"/>
        </w:rPr>
        <w:t>Gas</w:t>
      </w:r>
      <w:r>
        <w:rPr>
          <w:i/>
          <w:spacing w:val="-5"/>
          <w:sz w:val="22"/>
        </w:rPr>
        <w:t> </w:t>
      </w:r>
      <w:r>
        <w:rPr>
          <w:i/>
          <w:sz w:val="22"/>
        </w:rPr>
        <w:t>Distribution</w:t>
      </w:r>
      <w:r>
        <w:rPr>
          <w:i/>
          <w:spacing w:val="-3"/>
          <w:sz w:val="22"/>
        </w:rPr>
        <w:t> </w:t>
      </w:r>
      <w:r>
        <w:rPr>
          <w:i/>
          <w:sz w:val="22"/>
        </w:rPr>
        <w:t>Network</w:t>
      </w:r>
      <w:r>
        <w:rPr>
          <w:i/>
          <w:spacing w:val="-4"/>
          <w:sz w:val="22"/>
        </w:rPr>
        <w:t> </w:t>
      </w:r>
      <w:r>
        <w:rPr>
          <w:i/>
          <w:sz w:val="22"/>
        </w:rPr>
        <w:t>businesses</w:t>
      </w:r>
      <w:r>
        <w:rPr>
          <w:i/>
          <w:spacing w:val="-6"/>
          <w:sz w:val="22"/>
        </w:rPr>
        <w:t> </w:t>
      </w:r>
      <w:r>
        <w:rPr>
          <w:i/>
          <w:sz w:val="22"/>
        </w:rPr>
        <w:t>are</w:t>
      </w:r>
      <w:r>
        <w:rPr>
          <w:i/>
          <w:spacing w:val="-5"/>
          <w:sz w:val="22"/>
        </w:rPr>
        <w:t> </w:t>
      </w:r>
      <w:r>
        <w:rPr>
          <w:i/>
          <w:sz w:val="22"/>
        </w:rPr>
        <w:t>to</w:t>
      </w:r>
      <w:r>
        <w:rPr>
          <w:i/>
          <w:spacing w:val="-3"/>
          <w:sz w:val="22"/>
        </w:rPr>
        <w:t> </w:t>
      </w:r>
      <w:r>
        <w:rPr>
          <w:i/>
          <w:sz w:val="22"/>
        </w:rPr>
        <w:t>comply with regulations.</w:t>
      </w:r>
    </w:p>
    <w:p>
      <w:pPr>
        <w:pStyle w:val="BodyText"/>
        <w:rPr>
          <w:i/>
          <w:sz w:val="21"/>
        </w:rPr>
      </w:pPr>
    </w:p>
    <w:p>
      <w:pPr>
        <w:spacing w:line="288" w:lineRule="auto" w:before="0"/>
        <w:ind w:left="799" w:right="951" w:firstLine="0"/>
        <w:jc w:val="left"/>
        <w:rPr>
          <w:sz w:val="22"/>
        </w:rPr>
      </w:pPr>
      <w:r>
        <w:rPr>
          <w:i/>
          <w:sz w:val="22"/>
        </w:rPr>
        <w:t>The concept of guidelines is welcomed but care is needed in their development and application. Unlike regulations, ‘guidelines’ are not subject to regulatory impact statements or evaluations of benefits or costs. The further development of guidelines would benefit from increased consultation with industry stakeholders and a flexible approach</w:t>
      </w:r>
      <w:r>
        <w:rPr>
          <w:i/>
          <w:spacing w:val="-3"/>
          <w:sz w:val="22"/>
        </w:rPr>
        <w:t> </w:t>
      </w:r>
      <w:r>
        <w:rPr>
          <w:i/>
          <w:sz w:val="22"/>
        </w:rPr>
        <w:t>by</w:t>
      </w:r>
      <w:r>
        <w:rPr>
          <w:i/>
          <w:spacing w:val="-5"/>
          <w:sz w:val="22"/>
        </w:rPr>
        <w:t> </w:t>
      </w:r>
      <w:r>
        <w:rPr>
          <w:i/>
          <w:sz w:val="22"/>
        </w:rPr>
        <w:t>ESV</w:t>
      </w:r>
      <w:r>
        <w:rPr>
          <w:i/>
          <w:spacing w:val="-3"/>
          <w:sz w:val="22"/>
        </w:rPr>
        <w:t> </w:t>
      </w:r>
      <w:r>
        <w:rPr>
          <w:i/>
          <w:sz w:val="22"/>
        </w:rPr>
        <w:t>in</w:t>
      </w:r>
      <w:r>
        <w:rPr>
          <w:i/>
          <w:spacing w:val="-3"/>
          <w:sz w:val="22"/>
        </w:rPr>
        <w:t> </w:t>
      </w:r>
      <w:r>
        <w:rPr>
          <w:i/>
          <w:sz w:val="22"/>
        </w:rPr>
        <w:t>assessing</w:t>
      </w:r>
      <w:r>
        <w:rPr>
          <w:i/>
          <w:spacing w:val="-3"/>
          <w:sz w:val="22"/>
        </w:rPr>
        <w:t> </w:t>
      </w:r>
      <w:r>
        <w:rPr>
          <w:i/>
          <w:sz w:val="22"/>
        </w:rPr>
        <w:t>compliance</w:t>
      </w:r>
      <w:r>
        <w:rPr>
          <w:i/>
          <w:spacing w:val="-3"/>
          <w:sz w:val="22"/>
        </w:rPr>
        <w:t> </w:t>
      </w:r>
      <w:r>
        <w:rPr>
          <w:i/>
          <w:sz w:val="22"/>
        </w:rPr>
        <w:t>against</w:t>
      </w:r>
      <w:r>
        <w:rPr>
          <w:i/>
          <w:spacing w:val="-1"/>
          <w:sz w:val="22"/>
        </w:rPr>
        <w:t> </w:t>
      </w:r>
      <w:r>
        <w:rPr>
          <w:i/>
          <w:sz w:val="22"/>
        </w:rPr>
        <w:t>guidelines.”</w:t>
      </w:r>
      <w:r>
        <w:rPr>
          <w:i/>
          <w:spacing w:val="-9"/>
          <w:sz w:val="22"/>
        </w:rPr>
        <w:t> </w:t>
      </w:r>
      <w:r>
        <w:rPr>
          <w:sz w:val="22"/>
        </w:rPr>
        <w:t>(Multinet</w:t>
      </w:r>
      <w:r>
        <w:rPr>
          <w:spacing w:val="-1"/>
          <w:sz w:val="22"/>
        </w:rPr>
        <w:t> </w:t>
      </w:r>
      <w:r>
        <w:rPr>
          <w:sz w:val="22"/>
        </w:rPr>
        <w:t>Gas,</w:t>
      </w:r>
      <w:r>
        <w:rPr>
          <w:spacing w:val="-4"/>
          <w:sz w:val="22"/>
        </w:rPr>
        <w:t> </w:t>
      </w:r>
      <w:r>
        <w:rPr>
          <w:sz w:val="22"/>
        </w:rPr>
        <w:t>2017,</w:t>
      </w:r>
      <w:r>
        <w:rPr>
          <w:spacing w:val="-1"/>
          <w:sz w:val="22"/>
        </w:rPr>
        <w:t> </w:t>
      </w:r>
      <w:r>
        <w:rPr>
          <w:sz w:val="22"/>
        </w:rPr>
        <w:t>p. </w:t>
      </w:r>
      <w:r>
        <w:rPr>
          <w:spacing w:val="-6"/>
          <w:sz w:val="22"/>
        </w:rPr>
        <w:t>5)</w:t>
      </w:r>
    </w:p>
    <w:p>
      <w:pPr>
        <w:pStyle w:val="BodyText"/>
        <w:spacing w:before="8"/>
        <w:rPr>
          <w:sz w:val="20"/>
        </w:rPr>
      </w:pPr>
    </w:p>
    <w:p>
      <w:pPr>
        <w:pStyle w:val="BodyText"/>
        <w:spacing w:line="288" w:lineRule="auto"/>
        <w:ind w:left="232"/>
      </w:pPr>
      <w:r>
        <w:rPr/>
        <w:t>The</w:t>
      </w:r>
      <w:r>
        <w:rPr>
          <w:spacing w:val="-5"/>
        </w:rPr>
        <w:t> </w:t>
      </w:r>
      <w:r>
        <w:rPr/>
        <w:t>Advisian</w:t>
      </w:r>
      <w:r>
        <w:rPr>
          <w:spacing w:val="-4"/>
        </w:rPr>
        <w:t> </w:t>
      </w:r>
      <w:r>
        <w:rPr/>
        <w:t>report</w:t>
      </w:r>
      <w:r>
        <w:rPr>
          <w:spacing w:val="-3"/>
        </w:rPr>
        <w:t> </w:t>
      </w:r>
      <w:r>
        <w:rPr/>
        <w:t>recommended</w:t>
      </w:r>
      <w:r>
        <w:rPr>
          <w:spacing w:val="-5"/>
        </w:rPr>
        <w:t> </w:t>
      </w:r>
      <w:r>
        <w:rPr/>
        <w:t>ESV</w:t>
      </w:r>
      <w:r>
        <w:rPr>
          <w:spacing w:val="-4"/>
        </w:rPr>
        <w:t> </w:t>
      </w:r>
      <w:r>
        <w:rPr/>
        <w:t>publish</w:t>
      </w:r>
      <w:r>
        <w:rPr>
          <w:spacing w:val="-5"/>
        </w:rPr>
        <w:t> </w:t>
      </w:r>
      <w:r>
        <w:rPr/>
        <w:t>guidance</w:t>
      </w:r>
      <w:r>
        <w:rPr>
          <w:spacing w:val="-4"/>
        </w:rPr>
        <w:t> </w:t>
      </w:r>
      <w:r>
        <w:rPr/>
        <w:t>materials</w:t>
      </w:r>
      <w:r>
        <w:rPr>
          <w:spacing w:val="-3"/>
        </w:rPr>
        <w:t> </w:t>
      </w:r>
      <w:r>
        <w:rPr/>
        <w:t>with</w:t>
      </w:r>
      <w:r>
        <w:rPr>
          <w:spacing w:val="-4"/>
        </w:rPr>
        <w:t> </w:t>
      </w:r>
      <w:r>
        <w:rPr/>
        <w:t>objectives,</w:t>
      </w:r>
      <w:r>
        <w:rPr>
          <w:spacing w:val="-3"/>
        </w:rPr>
        <w:t> </w:t>
      </w:r>
      <w:r>
        <w:rPr/>
        <w:t>interpretations, requirements and process.</w:t>
      </w:r>
      <w:r>
        <w:rPr>
          <w:vertAlign w:val="superscript"/>
        </w:rPr>
        <w:t>20</w:t>
      </w:r>
    </w:p>
    <w:p>
      <w:pPr>
        <w:pStyle w:val="BodyText"/>
        <w:spacing w:before="10"/>
        <w:rPr>
          <w:sz w:val="20"/>
        </w:rPr>
      </w:pPr>
    </w:p>
    <w:p>
      <w:pPr>
        <w:pStyle w:val="BodyText"/>
        <w:spacing w:line="288" w:lineRule="auto"/>
        <w:ind w:left="232" w:right="408"/>
      </w:pPr>
      <w:r>
        <w:rPr/>
        <w:t>Building</w:t>
      </w:r>
      <w:r>
        <w:rPr>
          <w:spacing w:val="-1"/>
        </w:rPr>
        <w:t> </w:t>
      </w:r>
      <w:r>
        <w:rPr/>
        <w:t>on</w:t>
      </w:r>
      <w:r>
        <w:rPr>
          <w:spacing w:val="-3"/>
        </w:rPr>
        <w:t> </w:t>
      </w:r>
      <w:r>
        <w:rPr/>
        <w:t>the</w:t>
      </w:r>
      <w:r>
        <w:rPr>
          <w:spacing w:val="-5"/>
        </w:rPr>
        <w:t> </w:t>
      </w:r>
      <w:r>
        <w:rPr/>
        <w:t>recommendations</w:t>
      </w:r>
      <w:r>
        <w:rPr>
          <w:spacing w:val="-5"/>
        </w:rPr>
        <w:t> </w:t>
      </w:r>
      <w:r>
        <w:rPr/>
        <w:t>from</w:t>
      </w:r>
      <w:r>
        <w:rPr>
          <w:spacing w:val="-2"/>
        </w:rPr>
        <w:t> </w:t>
      </w:r>
      <w:r>
        <w:rPr/>
        <w:t>the</w:t>
      </w:r>
      <w:r>
        <w:rPr>
          <w:spacing w:val="-3"/>
        </w:rPr>
        <w:t> </w:t>
      </w:r>
      <w:r>
        <w:rPr/>
        <w:t>Advisian</w:t>
      </w:r>
      <w:r>
        <w:rPr>
          <w:spacing w:val="-3"/>
        </w:rPr>
        <w:t> </w:t>
      </w:r>
      <w:r>
        <w:rPr/>
        <w:t>reports, ESV</w:t>
      </w:r>
      <w:r>
        <w:rPr>
          <w:spacing w:val="-3"/>
        </w:rPr>
        <w:t> </w:t>
      </w:r>
      <w:r>
        <w:rPr/>
        <w:t>has</w:t>
      </w:r>
      <w:r>
        <w:rPr>
          <w:spacing w:val="-2"/>
        </w:rPr>
        <w:t> </w:t>
      </w:r>
      <w:r>
        <w:rPr/>
        <w:t>been</w:t>
      </w:r>
      <w:r>
        <w:rPr>
          <w:spacing w:val="-3"/>
        </w:rPr>
        <w:t> </w:t>
      </w:r>
      <w:r>
        <w:rPr/>
        <w:t>developing</w:t>
      </w:r>
      <w:r>
        <w:rPr>
          <w:spacing w:val="-1"/>
        </w:rPr>
        <w:t> </w:t>
      </w:r>
      <w:r>
        <w:rPr/>
        <w:t>a</w:t>
      </w:r>
      <w:r>
        <w:rPr>
          <w:spacing w:val="-4"/>
        </w:rPr>
        <w:t> </w:t>
      </w:r>
      <w:r>
        <w:rPr/>
        <w:t>more thorough understanding across ESV of its own requirements for safety cases and related processes, and working to communicate it to businesses. Activities have included:</w:t>
      </w:r>
    </w:p>
    <w:p>
      <w:pPr>
        <w:pStyle w:val="BodyText"/>
        <w:spacing w:before="6"/>
      </w:pPr>
    </w:p>
    <w:p>
      <w:pPr>
        <w:pStyle w:val="ListParagraph"/>
        <w:numPr>
          <w:ilvl w:val="0"/>
          <w:numId w:val="89"/>
        </w:numPr>
        <w:tabs>
          <w:tab w:pos="734" w:val="left" w:leader="none"/>
        </w:tabs>
        <w:spacing w:line="288" w:lineRule="auto" w:before="0" w:after="0"/>
        <w:ind w:left="734" w:right="427" w:hanging="361"/>
        <w:jc w:val="left"/>
        <w:rPr>
          <w:sz w:val="22"/>
        </w:rPr>
      </w:pPr>
      <w:r>
        <w:rPr>
          <w:sz w:val="22"/>
        </w:rPr>
        <w:t>The use of safety case review panels for each sector to provide advice on assessment and decision</w:t>
      </w:r>
      <w:r>
        <w:rPr>
          <w:spacing w:val="-4"/>
          <w:sz w:val="22"/>
        </w:rPr>
        <w:t> </w:t>
      </w:r>
      <w:r>
        <w:rPr>
          <w:sz w:val="22"/>
        </w:rPr>
        <w:t>making processes,</w:t>
      </w:r>
      <w:r>
        <w:rPr>
          <w:spacing w:val="-3"/>
          <w:sz w:val="22"/>
        </w:rPr>
        <w:t> </w:t>
      </w:r>
      <w:r>
        <w:rPr>
          <w:sz w:val="22"/>
        </w:rPr>
        <w:t>and</w:t>
      </w:r>
      <w:r>
        <w:rPr>
          <w:spacing w:val="-6"/>
          <w:sz w:val="22"/>
        </w:rPr>
        <w:t> </w:t>
      </w:r>
      <w:r>
        <w:rPr>
          <w:sz w:val="22"/>
        </w:rPr>
        <w:t>proposed</w:t>
      </w:r>
      <w:r>
        <w:rPr>
          <w:spacing w:val="-4"/>
          <w:sz w:val="22"/>
        </w:rPr>
        <w:t> </w:t>
      </w:r>
      <w:r>
        <w:rPr>
          <w:sz w:val="22"/>
        </w:rPr>
        <w:t>compliance</w:t>
      </w:r>
      <w:r>
        <w:rPr>
          <w:spacing w:val="-4"/>
          <w:sz w:val="22"/>
        </w:rPr>
        <w:t> </w:t>
      </w:r>
      <w:r>
        <w:rPr>
          <w:sz w:val="22"/>
        </w:rPr>
        <w:t>and</w:t>
      </w:r>
      <w:r>
        <w:rPr>
          <w:spacing w:val="-4"/>
          <w:sz w:val="22"/>
        </w:rPr>
        <w:t> </w:t>
      </w:r>
      <w:r>
        <w:rPr>
          <w:sz w:val="22"/>
        </w:rPr>
        <w:t>enforcement</w:t>
      </w:r>
      <w:r>
        <w:rPr>
          <w:spacing w:val="-2"/>
          <w:sz w:val="22"/>
        </w:rPr>
        <w:t> </w:t>
      </w:r>
      <w:r>
        <w:rPr>
          <w:sz w:val="22"/>
        </w:rPr>
        <w:t>activities</w:t>
      </w:r>
      <w:r>
        <w:rPr>
          <w:spacing w:val="-6"/>
          <w:sz w:val="22"/>
        </w:rPr>
        <w:t> </w:t>
      </w:r>
      <w:r>
        <w:rPr>
          <w:sz w:val="22"/>
        </w:rPr>
        <w:t>following</w:t>
      </w:r>
      <w:r>
        <w:rPr>
          <w:spacing w:val="-2"/>
          <w:sz w:val="22"/>
        </w:rPr>
        <w:t> </w:t>
      </w:r>
      <w:r>
        <w:rPr>
          <w:sz w:val="22"/>
        </w:rPr>
        <w:t>a </w:t>
      </w:r>
      <w:r>
        <w:rPr>
          <w:spacing w:val="-2"/>
          <w:sz w:val="22"/>
        </w:rPr>
        <w:t>decision.</w:t>
      </w:r>
    </w:p>
    <w:p>
      <w:pPr>
        <w:pStyle w:val="BodyText"/>
        <w:spacing w:before="2"/>
      </w:pPr>
    </w:p>
    <w:p>
      <w:pPr>
        <w:pStyle w:val="ListParagraph"/>
        <w:numPr>
          <w:ilvl w:val="0"/>
          <w:numId w:val="89"/>
        </w:numPr>
        <w:tabs>
          <w:tab w:pos="734" w:val="left" w:leader="none"/>
        </w:tabs>
        <w:spacing w:line="240" w:lineRule="auto" w:before="1" w:after="0"/>
        <w:ind w:left="734" w:right="0" w:hanging="360"/>
        <w:jc w:val="left"/>
        <w:rPr>
          <w:sz w:val="22"/>
        </w:rPr>
      </w:pPr>
      <w:r>
        <w:rPr>
          <w:sz w:val="22"/>
        </w:rPr>
        <w:t>Building</w:t>
      </w:r>
      <w:r>
        <w:rPr>
          <w:spacing w:val="-5"/>
          <w:sz w:val="22"/>
        </w:rPr>
        <w:t> </w:t>
      </w:r>
      <w:r>
        <w:rPr>
          <w:sz w:val="22"/>
        </w:rPr>
        <w:t>its</w:t>
      </w:r>
      <w:r>
        <w:rPr>
          <w:spacing w:val="-4"/>
          <w:sz w:val="22"/>
        </w:rPr>
        <w:t> </w:t>
      </w:r>
      <w:r>
        <w:rPr>
          <w:sz w:val="22"/>
        </w:rPr>
        <w:t>capacity</w:t>
      </w:r>
      <w:r>
        <w:rPr>
          <w:spacing w:val="-7"/>
          <w:sz w:val="22"/>
        </w:rPr>
        <w:t> </w:t>
      </w:r>
      <w:r>
        <w:rPr>
          <w:sz w:val="22"/>
        </w:rPr>
        <w:t>to</w:t>
      </w:r>
      <w:r>
        <w:rPr>
          <w:spacing w:val="-6"/>
          <w:sz w:val="22"/>
        </w:rPr>
        <w:t> </w:t>
      </w:r>
      <w:r>
        <w:rPr>
          <w:sz w:val="22"/>
        </w:rPr>
        <w:t>test</w:t>
      </w:r>
      <w:r>
        <w:rPr>
          <w:spacing w:val="-3"/>
          <w:sz w:val="22"/>
        </w:rPr>
        <w:t> </w:t>
      </w:r>
      <w:r>
        <w:rPr>
          <w:sz w:val="22"/>
        </w:rPr>
        <w:t>safety</w:t>
      </w:r>
      <w:r>
        <w:rPr>
          <w:spacing w:val="-5"/>
          <w:sz w:val="22"/>
        </w:rPr>
        <w:t> </w:t>
      </w:r>
      <w:r>
        <w:rPr>
          <w:spacing w:val="-2"/>
          <w:sz w:val="22"/>
        </w:rPr>
        <w:t>cases.</w:t>
      </w:r>
    </w:p>
    <w:p>
      <w:pPr>
        <w:pStyle w:val="BodyText"/>
        <w:spacing w:before="4"/>
        <w:rPr>
          <w:sz w:val="26"/>
        </w:rPr>
      </w:pPr>
    </w:p>
    <w:p>
      <w:pPr>
        <w:pStyle w:val="ListParagraph"/>
        <w:numPr>
          <w:ilvl w:val="0"/>
          <w:numId w:val="89"/>
        </w:numPr>
        <w:tabs>
          <w:tab w:pos="734" w:val="left" w:leader="none"/>
        </w:tabs>
        <w:spacing w:line="288" w:lineRule="auto" w:before="0" w:after="0"/>
        <w:ind w:left="734" w:right="706" w:hanging="361"/>
        <w:jc w:val="left"/>
        <w:rPr>
          <w:sz w:val="22"/>
        </w:rPr>
      </w:pPr>
      <w:r>
        <w:rPr>
          <w:sz w:val="22"/>
        </w:rPr>
        <w:t>Enhancing</w:t>
      </w:r>
      <w:r>
        <w:rPr>
          <w:spacing w:val="-1"/>
          <w:sz w:val="22"/>
        </w:rPr>
        <w:t> </w:t>
      </w:r>
      <w:r>
        <w:rPr>
          <w:sz w:val="22"/>
        </w:rPr>
        <w:t>its</w:t>
      </w:r>
      <w:r>
        <w:rPr>
          <w:spacing w:val="-4"/>
          <w:sz w:val="22"/>
        </w:rPr>
        <w:t> </w:t>
      </w:r>
      <w:r>
        <w:rPr>
          <w:sz w:val="22"/>
        </w:rPr>
        <w:t>regulatory</w:t>
      </w:r>
      <w:r>
        <w:rPr>
          <w:spacing w:val="-6"/>
          <w:sz w:val="22"/>
        </w:rPr>
        <w:t> </w:t>
      </w:r>
      <w:r>
        <w:rPr>
          <w:sz w:val="22"/>
        </w:rPr>
        <w:t>policy</w:t>
      </w:r>
      <w:r>
        <w:rPr>
          <w:spacing w:val="-4"/>
          <w:sz w:val="22"/>
        </w:rPr>
        <w:t> </w:t>
      </w:r>
      <w:r>
        <w:rPr>
          <w:sz w:val="22"/>
        </w:rPr>
        <w:t>capability</w:t>
      </w:r>
      <w:r>
        <w:rPr>
          <w:spacing w:val="-4"/>
          <w:sz w:val="22"/>
        </w:rPr>
        <w:t> </w:t>
      </w:r>
      <w:r>
        <w:rPr>
          <w:sz w:val="22"/>
        </w:rPr>
        <w:t>for</w:t>
      </w:r>
      <w:r>
        <w:rPr>
          <w:spacing w:val="-2"/>
          <w:sz w:val="22"/>
        </w:rPr>
        <w:t> </w:t>
      </w:r>
      <w:r>
        <w:rPr>
          <w:sz w:val="22"/>
        </w:rPr>
        <w:t>a</w:t>
      </w:r>
      <w:r>
        <w:rPr>
          <w:spacing w:val="-4"/>
          <w:sz w:val="22"/>
        </w:rPr>
        <w:t> </w:t>
      </w:r>
      <w:r>
        <w:rPr>
          <w:sz w:val="22"/>
        </w:rPr>
        <w:t>more</w:t>
      </w:r>
      <w:r>
        <w:rPr>
          <w:spacing w:val="-3"/>
          <w:sz w:val="22"/>
        </w:rPr>
        <w:t> </w:t>
      </w:r>
      <w:r>
        <w:rPr>
          <w:sz w:val="22"/>
        </w:rPr>
        <w:t>consistent</w:t>
      </w:r>
      <w:r>
        <w:rPr>
          <w:spacing w:val="-3"/>
          <w:sz w:val="22"/>
        </w:rPr>
        <w:t> </w:t>
      </w:r>
      <w:r>
        <w:rPr>
          <w:sz w:val="22"/>
        </w:rPr>
        <w:t>approach</w:t>
      </w:r>
      <w:r>
        <w:rPr>
          <w:spacing w:val="-3"/>
          <w:sz w:val="22"/>
        </w:rPr>
        <w:t> </w:t>
      </w:r>
      <w:r>
        <w:rPr>
          <w:sz w:val="22"/>
        </w:rPr>
        <w:t>within</w:t>
      </w:r>
      <w:r>
        <w:rPr>
          <w:spacing w:val="-3"/>
          <w:sz w:val="22"/>
        </w:rPr>
        <w:t> </w:t>
      </w:r>
      <w:r>
        <w:rPr>
          <w:sz w:val="22"/>
        </w:rPr>
        <w:t>ESV. This should assist in communicating obligations more clearly, for example by explaining interpretation of “as far as practicable”.</w:t>
      </w:r>
    </w:p>
    <w:p>
      <w:pPr>
        <w:pStyle w:val="BodyText"/>
        <w:spacing w:before="3"/>
      </w:pPr>
    </w:p>
    <w:p>
      <w:pPr>
        <w:pStyle w:val="ListParagraph"/>
        <w:numPr>
          <w:ilvl w:val="0"/>
          <w:numId w:val="89"/>
        </w:numPr>
        <w:tabs>
          <w:tab w:pos="734" w:val="left" w:leader="none"/>
        </w:tabs>
        <w:spacing w:line="288" w:lineRule="auto" w:before="0" w:after="0"/>
        <w:ind w:left="734" w:right="758" w:hanging="361"/>
        <w:jc w:val="left"/>
        <w:rPr>
          <w:sz w:val="22"/>
        </w:rPr>
      </w:pPr>
      <w:r>
        <w:rPr>
          <w:sz w:val="22"/>
        </w:rPr>
        <w:t>Updating gas Safety Case guidance taking into account the Advisian recommendations including</w:t>
      </w:r>
      <w:r>
        <w:rPr>
          <w:spacing w:val="-1"/>
          <w:sz w:val="22"/>
        </w:rPr>
        <w:t> </w:t>
      </w:r>
      <w:r>
        <w:rPr>
          <w:sz w:val="22"/>
        </w:rPr>
        <w:t>outlining</w:t>
      </w:r>
      <w:r>
        <w:rPr>
          <w:spacing w:val="-3"/>
          <w:sz w:val="22"/>
        </w:rPr>
        <w:t> </w:t>
      </w:r>
      <w:r>
        <w:rPr>
          <w:sz w:val="22"/>
        </w:rPr>
        <w:t>expectations,</w:t>
      </w:r>
      <w:r>
        <w:rPr>
          <w:spacing w:val="-4"/>
          <w:sz w:val="22"/>
        </w:rPr>
        <w:t> </w:t>
      </w:r>
      <w:r>
        <w:rPr>
          <w:sz w:val="22"/>
        </w:rPr>
        <w:t>safety</w:t>
      </w:r>
      <w:r>
        <w:rPr>
          <w:spacing w:val="-2"/>
          <w:sz w:val="22"/>
        </w:rPr>
        <w:t> </w:t>
      </w:r>
      <w:r>
        <w:rPr>
          <w:sz w:val="22"/>
        </w:rPr>
        <w:t>case</w:t>
      </w:r>
      <w:r>
        <w:rPr>
          <w:spacing w:val="-5"/>
          <w:sz w:val="22"/>
        </w:rPr>
        <w:t> </w:t>
      </w:r>
      <w:r>
        <w:rPr>
          <w:sz w:val="22"/>
        </w:rPr>
        <w:t>requirements</w:t>
      </w:r>
      <w:r>
        <w:rPr>
          <w:spacing w:val="-2"/>
          <w:sz w:val="22"/>
        </w:rPr>
        <w:t> </w:t>
      </w:r>
      <w:r>
        <w:rPr>
          <w:sz w:val="22"/>
        </w:rPr>
        <w:t>and</w:t>
      </w:r>
      <w:r>
        <w:rPr>
          <w:spacing w:val="-5"/>
          <w:sz w:val="22"/>
        </w:rPr>
        <w:t> </w:t>
      </w:r>
      <w:r>
        <w:rPr>
          <w:sz w:val="22"/>
        </w:rPr>
        <w:t>the</w:t>
      </w:r>
      <w:r>
        <w:rPr>
          <w:spacing w:val="-3"/>
          <w:sz w:val="22"/>
        </w:rPr>
        <w:t> </w:t>
      </w:r>
      <w:r>
        <w:rPr>
          <w:sz w:val="22"/>
        </w:rPr>
        <w:t>process,</w:t>
      </w:r>
      <w:r>
        <w:rPr>
          <w:spacing w:val="-4"/>
          <w:sz w:val="22"/>
        </w:rPr>
        <w:t> </w:t>
      </w:r>
      <w:r>
        <w:rPr>
          <w:sz w:val="22"/>
        </w:rPr>
        <w:t>to</w:t>
      </w:r>
      <w:r>
        <w:rPr>
          <w:spacing w:val="-3"/>
          <w:sz w:val="22"/>
        </w:rPr>
        <w:t> </w:t>
      </w:r>
      <w:r>
        <w:rPr>
          <w:sz w:val="22"/>
        </w:rPr>
        <w:t>help</w:t>
      </w:r>
      <w:r>
        <w:rPr>
          <w:spacing w:val="-5"/>
          <w:sz w:val="22"/>
        </w:rPr>
        <w:t> </w:t>
      </w:r>
      <w:r>
        <w:rPr>
          <w:sz w:val="22"/>
        </w:rPr>
        <w:t>clarify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r>
        <w:rPr/>
        <mc:AlternateContent>
          <mc:Choice Requires="wps">
            <w:drawing>
              <wp:anchor distT="0" distB="0" distL="0" distR="0" allowOverlap="1" layoutInCell="1" locked="0" behindDoc="1" simplePos="0" relativeHeight="487668224">
                <wp:simplePos x="0" y="0"/>
                <wp:positionH relativeFrom="page">
                  <wp:posOffset>701040</wp:posOffset>
                </wp:positionH>
                <wp:positionV relativeFrom="paragraph">
                  <wp:posOffset>161782</wp:posOffset>
                </wp:positionV>
                <wp:extent cx="6158230" cy="1270"/>
                <wp:effectExtent l="0" t="0" r="0" b="0"/>
                <wp:wrapTopAndBottom/>
                <wp:docPr id="221" name="Graphic 221"/>
                <wp:cNvGraphicFramePr>
                  <a:graphicFrameLocks/>
                </wp:cNvGraphicFramePr>
                <a:graphic>
                  <a:graphicData uri="http://schemas.microsoft.com/office/word/2010/wordprocessingShape">
                    <wps:wsp>
                      <wps:cNvPr id="221" name="Graphic 221"/>
                      <wps:cNvSpPr/>
                      <wps:spPr>
                        <a:xfrm>
                          <a:off x="0" y="0"/>
                          <a:ext cx="6158230" cy="1270"/>
                        </a:xfrm>
                        <a:custGeom>
                          <a:avLst/>
                          <a:gdLst/>
                          <a:ahLst/>
                          <a:cxnLst/>
                          <a:rect l="l" t="t" r="r" b="b"/>
                          <a:pathLst>
                            <a:path w="6158230" h="0">
                              <a:moveTo>
                                <a:pt x="0" y="0"/>
                              </a:moveTo>
                              <a:lnTo>
                                <a:pt x="6158230" y="0"/>
                              </a:lnTo>
                            </a:path>
                          </a:pathLst>
                        </a:custGeom>
                        <a:ln w="12192">
                          <a:solidFill>
                            <a:srgbClr val="000000"/>
                          </a:solidFill>
                          <a:prstDash val="sysDot"/>
                        </a:ln>
                      </wps:spPr>
                      <wps:bodyPr wrap="square" lIns="0" tIns="0" rIns="0" bIns="0" rtlCol="0">
                        <a:prstTxWarp prst="textNoShape">
                          <a:avLst/>
                        </a:prstTxWarp>
                        <a:noAutofit/>
                      </wps:bodyPr>
                    </wps:wsp>
                  </a:graphicData>
                </a:graphic>
              </wp:anchor>
            </w:drawing>
          </mc:Choice>
          <mc:Fallback>
            <w:pict>
              <v:shape style="position:absolute;margin-left:55.200001pt;margin-top:12.738799pt;width:484.9pt;height:.1pt;mso-position-horizontal-relative:page;mso-position-vertical-relative:paragraph;z-index:-15648256;mso-wrap-distance-left:0;mso-wrap-distance-right:0" id="docshape190" coordorigin="1104,255" coordsize="9698,0" path="m1104,255l10802,255e" filled="false" stroked="true" strokeweight=".96pt" strokecolor="#000000">
                <v:path arrowok="t"/>
                <v:stroke dashstyle="shortdot"/>
                <w10:wrap type="topAndBottom"/>
              </v:shape>
            </w:pict>
          </mc:Fallback>
        </mc:AlternateContent>
      </w:r>
    </w:p>
    <w:p>
      <w:pPr>
        <w:pStyle w:val="BodyText"/>
        <w:spacing w:before="6"/>
      </w:pPr>
    </w:p>
    <w:p>
      <w:pPr>
        <w:spacing w:line="242" w:lineRule="auto" w:before="96"/>
        <w:ind w:left="516" w:right="320" w:hanging="284"/>
        <w:jc w:val="left"/>
        <w:rPr>
          <w:sz w:val="16"/>
        </w:rPr>
      </w:pPr>
      <w:r>
        <w:rPr>
          <w:position w:val="6"/>
          <w:sz w:val="12"/>
        </w:rPr>
        <w:t>20</w:t>
      </w:r>
      <w:r>
        <w:rPr>
          <w:spacing w:val="80"/>
          <w:w w:val="150"/>
          <w:position w:val="6"/>
          <w:sz w:val="12"/>
        </w:rPr>
        <w:t> </w:t>
      </w:r>
      <w:r>
        <w:rPr>
          <w:sz w:val="16"/>
        </w:rPr>
        <w:t>The report cited the guidance of Western</w:t>
      </w:r>
      <w:r>
        <w:rPr>
          <w:spacing w:val="-7"/>
          <w:sz w:val="16"/>
        </w:rPr>
        <w:t> </w:t>
      </w:r>
      <w:r>
        <w:rPr>
          <w:sz w:val="16"/>
        </w:rPr>
        <w:t>Australia’s Department of Mines and Petroleum as guidance with a useful level of detail, and recommended ESV review that guidance, as well as guidance of Queensland’s Petroleum and Gas Inspectorate and NOPSEMA,</w:t>
      </w:r>
      <w:r>
        <w:rPr>
          <w:spacing w:val="-3"/>
          <w:sz w:val="16"/>
        </w:rPr>
        <w:t> </w:t>
      </w:r>
      <w:r>
        <w:rPr>
          <w:sz w:val="16"/>
        </w:rPr>
        <w:t>to</w:t>
      </w:r>
      <w:r>
        <w:rPr>
          <w:spacing w:val="-4"/>
          <w:sz w:val="16"/>
        </w:rPr>
        <w:t> </w:t>
      </w:r>
      <w:r>
        <w:rPr>
          <w:sz w:val="16"/>
        </w:rPr>
        <w:t>identify</w:t>
      </w:r>
      <w:r>
        <w:rPr>
          <w:spacing w:val="-5"/>
          <w:sz w:val="16"/>
        </w:rPr>
        <w:t> </w:t>
      </w:r>
      <w:r>
        <w:rPr>
          <w:sz w:val="16"/>
        </w:rPr>
        <w:t>useful</w:t>
      </w:r>
      <w:r>
        <w:rPr>
          <w:spacing w:val="-3"/>
          <w:sz w:val="16"/>
        </w:rPr>
        <w:t> </w:t>
      </w:r>
      <w:r>
        <w:rPr>
          <w:sz w:val="16"/>
        </w:rPr>
        <w:t>concepts</w:t>
      </w:r>
      <w:r>
        <w:rPr>
          <w:spacing w:val="-3"/>
          <w:sz w:val="16"/>
        </w:rPr>
        <w:t> </w:t>
      </w:r>
      <w:r>
        <w:rPr>
          <w:sz w:val="16"/>
        </w:rPr>
        <w:t>to</w:t>
      </w:r>
      <w:r>
        <w:rPr>
          <w:spacing w:val="-4"/>
          <w:sz w:val="16"/>
        </w:rPr>
        <w:t> </w:t>
      </w:r>
      <w:r>
        <w:rPr>
          <w:sz w:val="16"/>
        </w:rPr>
        <w:t>incorporate</w:t>
      </w:r>
      <w:r>
        <w:rPr>
          <w:spacing w:val="-2"/>
          <w:sz w:val="16"/>
        </w:rPr>
        <w:t> </w:t>
      </w:r>
      <w:r>
        <w:rPr>
          <w:sz w:val="16"/>
        </w:rPr>
        <w:t>into</w:t>
      </w:r>
      <w:r>
        <w:rPr>
          <w:spacing w:val="-2"/>
          <w:sz w:val="16"/>
        </w:rPr>
        <w:t> </w:t>
      </w:r>
      <w:r>
        <w:rPr>
          <w:sz w:val="16"/>
        </w:rPr>
        <w:t>its own</w:t>
      </w:r>
      <w:r>
        <w:rPr>
          <w:spacing w:val="-4"/>
          <w:sz w:val="16"/>
        </w:rPr>
        <w:t> </w:t>
      </w:r>
      <w:r>
        <w:rPr>
          <w:sz w:val="16"/>
        </w:rPr>
        <w:t>materials.</w:t>
      </w:r>
      <w:r>
        <w:rPr>
          <w:spacing w:val="-3"/>
          <w:sz w:val="16"/>
        </w:rPr>
        <w:t> </w:t>
      </w:r>
      <w:r>
        <w:rPr>
          <w:sz w:val="16"/>
        </w:rPr>
        <w:t>In</w:t>
      </w:r>
      <w:r>
        <w:rPr>
          <w:spacing w:val="-2"/>
          <w:sz w:val="16"/>
        </w:rPr>
        <w:t> </w:t>
      </w:r>
      <w:r>
        <w:rPr>
          <w:sz w:val="16"/>
        </w:rPr>
        <w:t>addition,</w:t>
      </w:r>
      <w:r>
        <w:rPr>
          <w:spacing w:val="-5"/>
          <w:sz w:val="16"/>
        </w:rPr>
        <w:t> </w:t>
      </w:r>
      <w:r>
        <w:rPr>
          <w:sz w:val="16"/>
        </w:rPr>
        <w:t>WorkSafe</w:t>
      </w:r>
      <w:r>
        <w:rPr>
          <w:spacing w:val="-4"/>
          <w:sz w:val="16"/>
        </w:rPr>
        <w:t> </w:t>
      </w:r>
      <w:r>
        <w:rPr>
          <w:sz w:val="16"/>
        </w:rPr>
        <w:t>Victoria’s guidance</w:t>
      </w:r>
      <w:r>
        <w:rPr>
          <w:spacing w:val="-2"/>
          <w:sz w:val="16"/>
        </w:rPr>
        <w:t> </w:t>
      </w:r>
      <w:r>
        <w:rPr>
          <w:sz w:val="16"/>
        </w:rPr>
        <w:t>note</w:t>
      </w:r>
      <w:r>
        <w:rPr>
          <w:spacing w:val="-2"/>
          <w:sz w:val="16"/>
        </w:rPr>
        <w:t> </w:t>
      </w:r>
      <w:r>
        <w:rPr>
          <w:sz w:val="16"/>
        </w:rPr>
        <w:t>for</w:t>
      </w:r>
      <w:r>
        <w:rPr>
          <w:spacing w:val="-6"/>
          <w:sz w:val="16"/>
        </w:rPr>
        <w:t> </w:t>
      </w:r>
      <w:r>
        <w:rPr>
          <w:sz w:val="16"/>
        </w:rPr>
        <w:t>major hazard facilities and guidance issued by Safe</w:t>
      </w:r>
      <w:r>
        <w:rPr>
          <w:spacing w:val="-4"/>
          <w:sz w:val="16"/>
        </w:rPr>
        <w:t> </w:t>
      </w:r>
      <w:r>
        <w:rPr>
          <w:sz w:val="16"/>
        </w:rPr>
        <w:t>Work</w:t>
      </w:r>
      <w:r>
        <w:rPr>
          <w:spacing w:val="-7"/>
          <w:sz w:val="16"/>
        </w:rPr>
        <w:t> </w:t>
      </w:r>
      <w:r>
        <w:rPr>
          <w:sz w:val="16"/>
        </w:rPr>
        <w:t>Australia were considered effective by</w:t>
      </w:r>
      <w:r>
        <w:rPr>
          <w:spacing w:val="-7"/>
          <w:sz w:val="16"/>
        </w:rPr>
        <w:t> </w:t>
      </w:r>
      <w:r>
        <w:rPr>
          <w:sz w:val="16"/>
        </w:rPr>
        <w:t>APA</w:t>
      </w:r>
      <w:r>
        <w:rPr>
          <w:spacing w:val="-8"/>
          <w:sz w:val="16"/>
        </w:rPr>
        <w:t> </w:t>
      </w:r>
      <w:r>
        <w:rPr>
          <w:sz w:val="16"/>
        </w:rPr>
        <w:t>VTS (2017, p.8) in its submission.</w:t>
      </w:r>
    </w:p>
    <w:p>
      <w:pPr>
        <w:spacing w:after="0" w:line="242" w:lineRule="auto"/>
        <w:jc w:val="left"/>
        <w:rPr>
          <w:sz w:val="16"/>
        </w:rPr>
        <w:sectPr>
          <w:pgSz w:w="11910" w:h="16850"/>
          <w:pgMar w:header="220" w:footer="678" w:top="420" w:bottom="860" w:left="900" w:right="840"/>
        </w:sectPr>
      </w:pPr>
    </w:p>
    <w:p>
      <w:pPr>
        <w:pStyle w:val="BodyText"/>
        <w:rPr>
          <w:sz w:val="20"/>
        </w:rPr>
      </w:pPr>
    </w:p>
    <w:p>
      <w:pPr>
        <w:pStyle w:val="BodyText"/>
        <w:spacing w:before="9"/>
        <w:rPr>
          <w:sz w:val="18"/>
        </w:rPr>
      </w:pPr>
    </w:p>
    <w:p>
      <w:pPr>
        <w:pStyle w:val="BodyText"/>
        <w:spacing w:line="288" w:lineRule="auto" w:before="99"/>
        <w:ind w:left="734" w:right="374"/>
      </w:pPr>
      <w:r>
        <w:rPr/>
        <w:t>ESV’s</w:t>
      </w:r>
      <w:r>
        <w:rPr>
          <w:spacing w:val="-3"/>
        </w:rPr>
        <w:t> </w:t>
      </w:r>
      <w:r>
        <w:rPr/>
        <w:t>expectations.</w:t>
      </w:r>
      <w:r>
        <w:rPr>
          <w:vertAlign w:val="superscript"/>
        </w:rPr>
        <w:t>21</w:t>
      </w:r>
      <w:r>
        <w:rPr>
          <w:spacing w:val="-4"/>
          <w:vertAlign w:val="baseline"/>
        </w:rPr>
        <w:t> </w:t>
      </w:r>
      <w:r>
        <w:rPr>
          <w:vertAlign w:val="baseline"/>
        </w:rPr>
        <w:t>ESV</w:t>
      </w:r>
      <w:r>
        <w:rPr>
          <w:spacing w:val="-3"/>
          <w:vertAlign w:val="baseline"/>
        </w:rPr>
        <w:t> </w:t>
      </w:r>
      <w:r>
        <w:rPr>
          <w:vertAlign w:val="baseline"/>
        </w:rPr>
        <w:t>considers</w:t>
      </w:r>
      <w:r>
        <w:rPr>
          <w:spacing w:val="-6"/>
          <w:vertAlign w:val="baseline"/>
        </w:rPr>
        <w:t> </w:t>
      </w:r>
      <w:r>
        <w:rPr>
          <w:vertAlign w:val="baseline"/>
        </w:rPr>
        <w:t>that</w:t>
      </w:r>
      <w:r>
        <w:rPr>
          <w:spacing w:val="-2"/>
          <w:vertAlign w:val="baseline"/>
        </w:rPr>
        <w:t> </w:t>
      </w:r>
      <w:r>
        <w:rPr>
          <w:vertAlign w:val="baseline"/>
        </w:rPr>
        <w:t>whilst</w:t>
      </w:r>
      <w:r>
        <w:rPr>
          <w:spacing w:val="-2"/>
          <w:vertAlign w:val="baseline"/>
        </w:rPr>
        <w:t> </w:t>
      </w:r>
      <w:r>
        <w:rPr>
          <w:vertAlign w:val="baseline"/>
        </w:rPr>
        <w:t>it</w:t>
      </w:r>
      <w:r>
        <w:rPr>
          <w:spacing w:val="-5"/>
          <w:vertAlign w:val="baseline"/>
        </w:rPr>
        <w:t> </w:t>
      </w:r>
      <w:r>
        <w:rPr>
          <w:vertAlign w:val="baseline"/>
        </w:rPr>
        <w:t>has</w:t>
      </w:r>
      <w:r>
        <w:rPr>
          <w:spacing w:val="-3"/>
          <w:vertAlign w:val="baseline"/>
        </w:rPr>
        <w:t> </w:t>
      </w:r>
      <w:r>
        <w:rPr>
          <w:vertAlign w:val="baseline"/>
        </w:rPr>
        <w:t>made</w:t>
      </w:r>
      <w:r>
        <w:rPr>
          <w:spacing w:val="-6"/>
          <w:vertAlign w:val="baseline"/>
        </w:rPr>
        <w:t> </w:t>
      </w:r>
      <w:r>
        <w:rPr>
          <w:vertAlign w:val="baseline"/>
        </w:rPr>
        <w:t>progress,</w:t>
      </w:r>
      <w:r>
        <w:rPr>
          <w:spacing w:val="-2"/>
          <w:vertAlign w:val="baseline"/>
        </w:rPr>
        <w:t> </w:t>
      </w:r>
      <w:r>
        <w:rPr>
          <w:vertAlign w:val="baseline"/>
        </w:rPr>
        <w:t>education</w:t>
      </w:r>
      <w:r>
        <w:rPr>
          <w:spacing w:val="-4"/>
          <w:vertAlign w:val="baseline"/>
        </w:rPr>
        <w:t> </w:t>
      </w:r>
      <w:r>
        <w:rPr>
          <w:vertAlign w:val="baseline"/>
        </w:rPr>
        <w:t>around safety cases is still a major priority for the organisation. (ESV, 2017)</w:t>
      </w:r>
    </w:p>
    <w:p>
      <w:pPr>
        <w:pStyle w:val="BodyText"/>
        <w:spacing w:before="10"/>
        <w:rPr>
          <w:sz w:val="20"/>
        </w:rPr>
      </w:pPr>
    </w:p>
    <w:p>
      <w:pPr>
        <w:pStyle w:val="BodyText"/>
        <w:spacing w:line="288" w:lineRule="auto"/>
        <w:ind w:left="232" w:right="374"/>
      </w:pPr>
      <w:r>
        <w:rPr/>
        <w:t>This suite of improvements will enable a more robust assessment and review process and help ESV</w:t>
      </w:r>
      <w:r>
        <w:rPr>
          <w:spacing w:val="-2"/>
        </w:rPr>
        <w:t> </w:t>
      </w:r>
      <w:r>
        <w:rPr/>
        <w:t>and</w:t>
      </w:r>
      <w:r>
        <w:rPr>
          <w:spacing w:val="-2"/>
        </w:rPr>
        <w:t> </w:t>
      </w:r>
      <w:r>
        <w:rPr/>
        <w:t>entities</w:t>
      </w:r>
      <w:r>
        <w:rPr>
          <w:spacing w:val="-4"/>
        </w:rPr>
        <w:t> </w:t>
      </w:r>
      <w:r>
        <w:rPr/>
        <w:t>reach</w:t>
      </w:r>
      <w:r>
        <w:rPr>
          <w:spacing w:val="-4"/>
        </w:rPr>
        <w:t> </w:t>
      </w:r>
      <w:r>
        <w:rPr/>
        <w:t>a</w:t>
      </w:r>
      <w:r>
        <w:rPr>
          <w:spacing w:val="-4"/>
        </w:rPr>
        <w:t> </w:t>
      </w:r>
      <w:r>
        <w:rPr/>
        <w:t>common</w:t>
      </w:r>
      <w:r>
        <w:rPr>
          <w:spacing w:val="-4"/>
        </w:rPr>
        <w:t> </w:t>
      </w:r>
      <w:r>
        <w:rPr/>
        <w:t>understanding</w:t>
      </w:r>
      <w:r>
        <w:rPr>
          <w:spacing w:val="-4"/>
        </w:rPr>
        <w:t> </w:t>
      </w:r>
      <w:r>
        <w:rPr/>
        <w:t>of what is</w:t>
      </w:r>
      <w:r>
        <w:rPr>
          <w:spacing w:val="-4"/>
        </w:rPr>
        <w:t> </w:t>
      </w:r>
      <w:r>
        <w:rPr/>
        <w:t>required</w:t>
      </w:r>
      <w:r>
        <w:rPr>
          <w:spacing w:val="-4"/>
        </w:rPr>
        <w:t> </w:t>
      </w:r>
      <w:r>
        <w:rPr/>
        <w:t>for</w:t>
      </w:r>
      <w:r>
        <w:rPr>
          <w:spacing w:val="-3"/>
        </w:rPr>
        <w:t> </w:t>
      </w:r>
      <w:r>
        <w:rPr/>
        <w:t>safety</w:t>
      </w:r>
      <w:r>
        <w:rPr>
          <w:spacing w:val="-3"/>
        </w:rPr>
        <w:t> </w:t>
      </w:r>
      <w:r>
        <w:rPr/>
        <w:t>case</w:t>
      </w:r>
      <w:r>
        <w:rPr>
          <w:spacing w:val="-4"/>
        </w:rPr>
        <w:t> </w:t>
      </w:r>
      <w:r>
        <w:rPr/>
        <w:t>development and review, essential for a successful framework.</w:t>
      </w:r>
    </w:p>
    <w:p>
      <w:pPr>
        <w:pStyle w:val="BodyText"/>
        <w:spacing w:before="9"/>
        <w:rPr>
          <w:sz w:val="20"/>
        </w:rPr>
      </w:pPr>
    </w:p>
    <w:p>
      <w:pPr>
        <w:pStyle w:val="BodyText"/>
        <w:spacing w:line="288" w:lineRule="auto"/>
        <w:ind w:left="232" w:right="369"/>
      </w:pPr>
      <w:r>
        <w:rPr/>
        <w:t>As</w:t>
      </w:r>
      <w:r>
        <w:rPr>
          <w:spacing w:val="-2"/>
        </w:rPr>
        <w:t> </w:t>
      </w:r>
      <w:r>
        <w:rPr/>
        <w:t>noted</w:t>
      </w:r>
      <w:r>
        <w:rPr>
          <w:spacing w:val="-5"/>
        </w:rPr>
        <w:t> </w:t>
      </w:r>
      <w:r>
        <w:rPr/>
        <w:t>in</w:t>
      </w:r>
      <w:r>
        <w:rPr>
          <w:spacing w:val="-3"/>
        </w:rPr>
        <w:t> </w:t>
      </w:r>
      <w:r>
        <w:rPr/>
        <w:t>Advisian’s</w:t>
      </w:r>
      <w:r>
        <w:rPr>
          <w:spacing w:val="-2"/>
        </w:rPr>
        <w:t> </w:t>
      </w:r>
      <w:r>
        <w:rPr/>
        <w:t>2015</w:t>
      </w:r>
      <w:r>
        <w:rPr>
          <w:spacing w:val="-3"/>
        </w:rPr>
        <w:t> </w:t>
      </w:r>
      <w:r>
        <w:rPr/>
        <w:t>report</w:t>
      </w:r>
      <w:r>
        <w:rPr>
          <w:spacing w:val="-4"/>
        </w:rPr>
        <w:t> </w:t>
      </w:r>
      <w:r>
        <w:rPr/>
        <w:t>on</w:t>
      </w:r>
      <w:r>
        <w:rPr>
          <w:spacing w:val="-3"/>
        </w:rPr>
        <w:t> </w:t>
      </w:r>
      <w:r>
        <w:rPr/>
        <w:t>better</w:t>
      </w:r>
      <w:r>
        <w:rPr>
          <w:spacing w:val="-2"/>
        </w:rPr>
        <w:t> </w:t>
      </w:r>
      <w:r>
        <w:rPr/>
        <w:t>practices</w:t>
      </w:r>
      <w:r>
        <w:rPr>
          <w:spacing w:val="-3"/>
        </w:rPr>
        <w:t> </w:t>
      </w:r>
      <w:r>
        <w:rPr/>
        <w:t>in</w:t>
      </w:r>
      <w:r>
        <w:rPr>
          <w:spacing w:val="-3"/>
        </w:rPr>
        <w:t> </w:t>
      </w:r>
      <w:r>
        <w:rPr/>
        <w:t>electricity</w:t>
      </w:r>
      <w:r>
        <w:rPr>
          <w:spacing w:val="-5"/>
        </w:rPr>
        <w:t> </w:t>
      </w:r>
      <w:r>
        <w:rPr/>
        <w:t>regulation,</w:t>
      </w:r>
      <w:r>
        <w:rPr>
          <w:spacing w:val="-1"/>
        </w:rPr>
        <w:t> </w:t>
      </w:r>
      <w:r>
        <w:rPr/>
        <w:t>other</w:t>
      </w:r>
      <w:r>
        <w:rPr>
          <w:spacing w:val="-4"/>
        </w:rPr>
        <w:t> </w:t>
      </w:r>
      <w:r>
        <w:rPr/>
        <w:t>regulators</w:t>
      </w:r>
      <w:r>
        <w:rPr>
          <w:spacing w:val="-5"/>
        </w:rPr>
        <w:t> </w:t>
      </w:r>
      <w:r>
        <w:rPr/>
        <w:t>that it had identified as “mature regulators” had continuously refined and altered their approach to safety case accreditation which had led to improvements in submissions over time.</w:t>
      </w:r>
    </w:p>
    <w:p>
      <w:pPr>
        <w:pStyle w:val="BodyText"/>
        <w:rPr>
          <w:sz w:val="21"/>
        </w:rPr>
      </w:pPr>
    </w:p>
    <w:p>
      <w:pPr>
        <w:pStyle w:val="BodyText"/>
        <w:spacing w:line="288" w:lineRule="auto"/>
        <w:ind w:left="232" w:right="374"/>
      </w:pPr>
      <w:r>
        <w:rPr/>
        <w:t>Good</w:t>
      </w:r>
      <w:r>
        <w:rPr>
          <w:spacing w:val="-3"/>
        </w:rPr>
        <w:t> </w:t>
      </w:r>
      <w:r>
        <w:rPr/>
        <w:t>engagement</w:t>
      </w:r>
      <w:r>
        <w:rPr>
          <w:spacing w:val="-1"/>
        </w:rPr>
        <w:t> </w:t>
      </w:r>
      <w:r>
        <w:rPr/>
        <w:t>between</w:t>
      </w:r>
      <w:r>
        <w:rPr>
          <w:spacing w:val="-3"/>
        </w:rPr>
        <w:t> </w:t>
      </w:r>
      <w:r>
        <w:rPr/>
        <w:t>ESV</w:t>
      </w:r>
      <w:r>
        <w:rPr>
          <w:spacing w:val="-3"/>
        </w:rPr>
        <w:t> </w:t>
      </w:r>
      <w:r>
        <w:rPr/>
        <w:t>and</w:t>
      </w:r>
      <w:r>
        <w:rPr>
          <w:spacing w:val="-3"/>
        </w:rPr>
        <w:t> </w:t>
      </w:r>
      <w:r>
        <w:rPr/>
        <w:t>network businesses</w:t>
      </w:r>
      <w:r>
        <w:rPr>
          <w:spacing w:val="-3"/>
        </w:rPr>
        <w:t> </w:t>
      </w:r>
      <w:r>
        <w:rPr/>
        <w:t>could</w:t>
      </w:r>
      <w:r>
        <w:rPr>
          <w:spacing w:val="-5"/>
        </w:rPr>
        <w:t> </w:t>
      </w:r>
      <w:r>
        <w:rPr/>
        <w:t>greatly</w:t>
      </w:r>
      <w:r>
        <w:rPr>
          <w:spacing w:val="-5"/>
        </w:rPr>
        <w:t> </w:t>
      </w:r>
      <w:r>
        <w:rPr/>
        <w:t>assist</w:t>
      </w:r>
      <w:r>
        <w:rPr>
          <w:spacing w:val="-1"/>
        </w:rPr>
        <w:t> </w:t>
      </w:r>
      <w:r>
        <w:rPr/>
        <w:t>in</w:t>
      </w:r>
      <w:r>
        <w:rPr>
          <w:spacing w:val="-3"/>
        </w:rPr>
        <w:t> </w:t>
      </w:r>
      <w:r>
        <w:rPr/>
        <w:t>a</w:t>
      </w:r>
      <w:r>
        <w:rPr>
          <w:spacing w:val="-5"/>
        </w:rPr>
        <w:t> </w:t>
      </w:r>
      <w:r>
        <w:rPr/>
        <w:t>process</w:t>
      </w:r>
      <w:r>
        <w:rPr>
          <w:spacing w:val="-3"/>
        </w:rPr>
        <w:t> </w:t>
      </w:r>
      <w:r>
        <w:rPr/>
        <w:t>of “continuous improvement”. In its submission, United Energy has suggested that a post- implementation review process could be useful:</w:t>
      </w:r>
    </w:p>
    <w:p>
      <w:pPr>
        <w:pStyle w:val="BodyText"/>
        <w:spacing w:before="9"/>
        <w:rPr>
          <w:sz w:val="20"/>
        </w:rPr>
      </w:pPr>
    </w:p>
    <w:p>
      <w:pPr>
        <w:spacing w:line="288" w:lineRule="auto" w:before="0"/>
        <w:ind w:left="799" w:right="868" w:firstLine="0"/>
        <w:jc w:val="left"/>
        <w:rPr>
          <w:sz w:val="22"/>
        </w:rPr>
      </w:pPr>
      <w:r>
        <w:rPr>
          <w:i/>
          <w:sz w:val="22"/>
        </w:rPr>
        <w:t>“A</w:t>
      </w:r>
      <w:r>
        <w:rPr>
          <w:i/>
          <w:spacing w:val="-3"/>
          <w:sz w:val="22"/>
        </w:rPr>
        <w:t> </w:t>
      </w:r>
      <w:r>
        <w:rPr>
          <w:i/>
          <w:sz w:val="22"/>
        </w:rPr>
        <w:t>post</w:t>
      </w:r>
      <w:r>
        <w:rPr>
          <w:i/>
          <w:spacing w:val="-1"/>
          <w:sz w:val="22"/>
        </w:rPr>
        <w:t> </w:t>
      </w:r>
      <w:r>
        <w:rPr>
          <w:i/>
          <w:sz w:val="22"/>
        </w:rPr>
        <w:t>implementation</w:t>
      </w:r>
      <w:r>
        <w:rPr>
          <w:i/>
          <w:spacing w:val="-3"/>
          <w:sz w:val="22"/>
        </w:rPr>
        <w:t> </w:t>
      </w:r>
      <w:r>
        <w:rPr>
          <w:i/>
          <w:sz w:val="22"/>
        </w:rPr>
        <w:t>review</w:t>
      </w:r>
      <w:r>
        <w:rPr>
          <w:i/>
          <w:spacing w:val="-2"/>
          <w:sz w:val="22"/>
        </w:rPr>
        <w:t> </w:t>
      </w:r>
      <w:r>
        <w:rPr>
          <w:i/>
          <w:sz w:val="22"/>
        </w:rPr>
        <w:t>of</w:t>
      </w:r>
      <w:r>
        <w:rPr>
          <w:i/>
          <w:spacing w:val="-4"/>
          <w:sz w:val="22"/>
        </w:rPr>
        <w:t> </w:t>
      </w:r>
      <w:r>
        <w:rPr>
          <w:i/>
          <w:sz w:val="22"/>
        </w:rPr>
        <w:t>the</w:t>
      </w:r>
      <w:r>
        <w:rPr>
          <w:i/>
          <w:spacing w:val="-3"/>
          <w:sz w:val="22"/>
        </w:rPr>
        <w:t> </w:t>
      </w:r>
      <w:r>
        <w:rPr>
          <w:i/>
          <w:sz w:val="22"/>
        </w:rPr>
        <w:t>safety</w:t>
      </w:r>
      <w:r>
        <w:rPr>
          <w:i/>
          <w:spacing w:val="-2"/>
          <w:sz w:val="22"/>
        </w:rPr>
        <w:t> </w:t>
      </w:r>
      <w:r>
        <w:rPr>
          <w:i/>
          <w:sz w:val="22"/>
        </w:rPr>
        <w:t>case</w:t>
      </w:r>
      <w:r>
        <w:rPr>
          <w:i/>
          <w:spacing w:val="-5"/>
          <w:sz w:val="22"/>
        </w:rPr>
        <w:t> </w:t>
      </w:r>
      <w:r>
        <w:rPr>
          <w:i/>
          <w:sz w:val="22"/>
        </w:rPr>
        <w:t>and</w:t>
      </w:r>
      <w:r>
        <w:rPr>
          <w:i/>
          <w:spacing w:val="-3"/>
          <w:sz w:val="22"/>
        </w:rPr>
        <w:t> </w:t>
      </w:r>
      <w:r>
        <w:rPr>
          <w:i/>
          <w:sz w:val="22"/>
        </w:rPr>
        <w:t>ESMS</w:t>
      </w:r>
      <w:r>
        <w:rPr>
          <w:i/>
          <w:spacing w:val="-3"/>
          <w:sz w:val="22"/>
        </w:rPr>
        <w:t> </w:t>
      </w:r>
      <w:r>
        <w:rPr>
          <w:i/>
          <w:sz w:val="22"/>
        </w:rPr>
        <w:t>revision</w:t>
      </w:r>
      <w:r>
        <w:rPr>
          <w:i/>
          <w:spacing w:val="-3"/>
          <w:sz w:val="22"/>
        </w:rPr>
        <w:t> </w:t>
      </w:r>
      <w:r>
        <w:rPr>
          <w:i/>
          <w:sz w:val="22"/>
        </w:rPr>
        <w:t>process</w:t>
      </w:r>
      <w:r>
        <w:rPr>
          <w:i/>
          <w:spacing w:val="-5"/>
          <w:sz w:val="22"/>
        </w:rPr>
        <w:t> </w:t>
      </w:r>
      <w:r>
        <w:rPr>
          <w:i/>
          <w:sz w:val="22"/>
        </w:rPr>
        <w:t>would</w:t>
      </w:r>
      <w:r>
        <w:rPr>
          <w:i/>
          <w:spacing w:val="-3"/>
          <w:sz w:val="22"/>
        </w:rPr>
        <w:t> </w:t>
      </w:r>
      <w:r>
        <w:rPr>
          <w:i/>
          <w:sz w:val="22"/>
        </w:rPr>
        <w:t>be beneficial to clarify the objective of each document, reducing prescription, duplication, and the time taken to prepare the documents.” </w:t>
      </w:r>
      <w:r>
        <w:rPr>
          <w:sz w:val="22"/>
        </w:rPr>
        <w:t>(United Energy, 2017, p. 5)</w:t>
      </w:r>
    </w:p>
    <w:p>
      <w:pPr>
        <w:pStyle w:val="BodyText"/>
        <w:rPr>
          <w:sz w:val="21"/>
        </w:rPr>
      </w:pPr>
    </w:p>
    <w:p>
      <w:pPr>
        <w:pStyle w:val="BodyText"/>
        <w:spacing w:line="288" w:lineRule="auto"/>
        <w:ind w:left="232" w:right="374"/>
      </w:pPr>
      <w:r>
        <w:rPr/>
        <w:t>Further development of ESV’s approach to the safety case regime should include ESV’s expectations</w:t>
      </w:r>
      <w:r>
        <w:rPr>
          <w:spacing w:val="-2"/>
        </w:rPr>
        <w:t> </w:t>
      </w:r>
      <w:r>
        <w:rPr/>
        <w:t>on</w:t>
      </w:r>
      <w:r>
        <w:rPr>
          <w:spacing w:val="-2"/>
        </w:rPr>
        <w:t> </w:t>
      </w:r>
      <w:r>
        <w:rPr/>
        <w:t>how</w:t>
      </w:r>
      <w:r>
        <w:rPr>
          <w:spacing w:val="-4"/>
        </w:rPr>
        <w:t> </w:t>
      </w:r>
      <w:r>
        <w:rPr/>
        <w:t>documents</w:t>
      </w:r>
      <w:r>
        <w:rPr>
          <w:spacing w:val="-4"/>
        </w:rPr>
        <w:t> </w:t>
      </w:r>
      <w:r>
        <w:rPr/>
        <w:t>required</w:t>
      </w:r>
      <w:r>
        <w:rPr>
          <w:spacing w:val="-2"/>
        </w:rPr>
        <w:t> </w:t>
      </w:r>
      <w:r>
        <w:rPr/>
        <w:t>under</w:t>
      </w:r>
      <w:r>
        <w:rPr>
          <w:spacing w:val="-3"/>
        </w:rPr>
        <w:t> </w:t>
      </w:r>
      <w:r>
        <w:rPr/>
        <w:t>the</w:t>
      </w:r>
      <w:r>
        <w:rPr>
          <w:spacing w:val="-2"/>
        </w:rPr>
        <w:t> </w:t>
      </w:r>
      <w:r>
        <w:rPr/>
        <w:t>safety</w:t>
      </w:r>
      <w:r>
        <w:rPr>
          <w:spacing w:val="-4"/>
        </w:rPr>
        <w:t> </w:t>
      </w:r>
      <w:r>
        <w:rPr/>
        <w:t>case</w:t>
      </w:r>
      <w:r>
        <w:rPr>
          <w:spacing w:val="-4"/>
        </w:rPr>
        <w:t> </w:t>
      </w:r>
      <w:r>
        <w:rPr/>
        <w:t>regime should</w:t>
      </w:r>
      <w:r>
        <w:rPr>
          <w:spacing w:val="-2"/>
        </w:rPr>
        <w:t> </w:t>
      </w:r>
      <w:r>
        <w:rPr/>
        <w:t>be</w:t>
      </w:r>
      <w:r>
        <w:rPr>
          <w:spacing w:val="-1"/>
        </w:rPr>
        <w:t> </w:t>
      </w:r>
      <w:r>
        <w:rPr/>
        <w:t>drafted.</w:t>
      </w:r>
      <w:r>
        <w:rPr>
          <w:spacing w:val="-2"/>
        </w:rPr>
        <w:t> </w:t>
      </w:r>
      <w:r>
        <w:rPr/>
        <w:t>The importance of clear and measurable drafting is discussed in Box 29.</w:t>
      </w:r>
    </w:p>
    <w:p>
      <w:pPr>
        <w:pStyle w:val="BodyText"/>
        <w:spacing w:before="8"/>
        <w:rPr>
          <w:sz w:val="18"/>
        </w:rPr>
      </w:pPr>
      <w:r>
        <w:rPr/>
        <mc:AlternateContent>
          <mc:Choice Requires="wps">
            <w:drawing>
              <wp:anchor distT="0" distB="0" distL="0" distR="0" allowOverlap="1" layoutInCell="1" locked="0" behindDoc="1" simplePos="0" relativeHeight="487668736">
                <wp:simplePos x="0" y="0"/>
                <wp:positionH relativeFrom="page">
                  <wp:posOffset>719327</wp:posOffset>
                </wp:positionH>
                <wp:positionV relativeFrom="paragraph">
                  <wp:posOffset>151876</wp:posOffset>
                </wp:positionV>
                <wp:extent cx="5870575" cy="3462020"/>
                <wp:effectExtent l="0" t="0" r="0" b="0"/>
                <wp:wrapTopAndBottom/>
                <wp:docPr id="222" name="Textbox 222"/>
                <wp:cNvGraphicFramePr>
                  <a:graphicFrameLocks/>
                </wp:cNvGraphicFramePr>
                <a:graphic>
                  <a:graphicData uri="http://schemas.microsoft.com/office/word/2010/wordprocessingShape">
                    <wps:wsp>
                      <wps:cNvPr id="222" name="Textbox 222"/>
                      <wps:cNvSpPr txBox="1"/>
                      <wps:spPr>
                        <a:xfrm>
                          <a:off x="0" y="0"/>
                          <a:ext cx="5870575" cy="3462020"/>
                        </a:xfrm>
                        <a:prstGeom prst="rect">
                          <a:avLst/>
                        </a:prstGeom>
                        <a:solidFill>
                          <a:srgbClr val="CDEBEB"/>
                        </a:solidFill>
                      </wps:spPr>
                      <wps:txbx>
                        <w:txbxContent>
                          <w:p>
                            <w:pPr>
                              <w:pStyle w:val="BodyText"/>
                              <w:spacing w:before="10"/>
                              <w:rPr>
                                <w:color w:val="000000"/>
                                <w:sz w:val="20"/>
                              </w:rPr>
                            </w:pPr>
                          </w:p>
                          <w:p>
                            <w:pPr>
                              <w:spacing w:before="0"/>
                              <w:ind w:left="112" w:right="0" w:firstLine="0"/>
                              <w:jc w:val="both"/>
                              <w:rPr>
                                <w:b/>
                                <w:color w:val="000000"/>
                                <w:sz w:val="22"/>
                              </w:rPr>
                            </w:pPr>
                            <w:r>
                              <w:rPr>
                                <w:b/>
                                <w:color w:val="000000"/>
                                <w:sz w:val="22"/>
                              </w:rPr>
                              <w:t>Box</w:t>
                            </w:r>
                            <w:r>
                              <w:rPr>
                                <w:b/>
                                <w:color w:val="000000"/>
                                <w:spacing w:val="-7"/>
                                <w:sz w:val="22"/>
                              </w:rPr>
                              <w:t> </w:t>
                            </w:r>
                            <w:r>
                              <w:rPr>
                                <w:b/>
                                <w:color w:val="000000"/>
                                <w:sz w:val="22"/>
                              </w:rPr>
                              <w:t>29:</w:t>
                            </w:r>
                            <w:r>
                              <w:rPr>
                                <w:b/>
                                <w:color w:val="000000"/>
                                <w:spacing w:val="-3"/>
                                <w:sz w:val="22"/>
                              </w:rPr>
                              <w:t> </w:t>
                            </w:r>
                            <w:r>
                              <w:rPr>
                                <w:b/>
                                <w:color w:val="000000"/>
                                <w:sz w:val="22"/>
                              </w:rPr>
                              <w:t>Clear</w:t>
                            </w:r>
                            <w:r>
                              <w:rPr>
                                <w:b/>
                                <w:color w:val="000000"/>
                                <w:spacing w:val="-5"/>
                                <w:sz w:val="22"/>
                              </w:rPr>
                              <w:t> </w:t>
                            </w:r>
                            <w:r>
                              <w:rPr>
                                <w:b/>
                                <w:color w:val="000000"/>
                                <w:sz w:val="22"/>
                              </w:rPr>
                              <w:t>and</w:t>
                            </w:r>
                            <w:r>
                              <w:rPr>
                                <w:b/>
                                <w:color w:val="000000"/>
                                <w:spacing w:val="-6"/>
                                <w:sz w:val="22"/>
                              </w:rPr>
                              <w:t> </w:t>
                            </w:r>
                            <w:r>
                              <w:rPr>
                                <w:b/>
                                <w:color w:val="000000"/>
                                <w:sz w:val="22"/>
                              </w:rPr>
                              <w:t>measurable</w:t>
                            </w:r>
                            <w:r>
                              <w:rPr>
                                <w:b/>
                                <w:color w:val="000000"/>
                                <w:spacing w:val="-2"/>
                                <w:sz w:val="22"/>
                              </w:rPr>
                              <w:t> drafting</w:t>
                            </w:r>
                          </w:p>
                          <w:p>
                            <w:pPr>
                              <w:pStyle w:val="BodyText"/>
                              <w:spacing w:before="2"/>
                              <w:rPr>
                                <w:b/>
                                <w:color w:val="000000"/>
                                <w:sz w:val="25"/>
                              </w:rPr>
                            </w:pPr>
                          </w:p>
                          <w:p>
                            <w:pPr>
                              <w:pStyle w:val="BodyText"/>
                              <w:spacing w:line="288" w:lineRule="auto"/>
                              <w:ind w:left="112" w:right="591"/>
                              <w:jc w:val="both"/>
                              <w:rPr>
                                <w:color w:val="000000"/>
                              </w:rPr>
                            </w:pPr>
                            <w:r>
                              <w:rPr>
                                <w:color w:val="000000"/>
                              </w:rPr>
                              <w:t>The</w:t>
                            </w:r>
                            <w:r>
                              <w:rPr>
                                <w:color w:val="000000"/>
                                <w:spacing w:val="-2"/>
                              </w:rPr>
                              <w:t> </w:t>
                            </w:r>
                            <w:r>
                              <w:rPr>
                                <w:color w:val="000000"/>
                              </w:rPr>
                              <w:t>safety</w:t>
                            </w:r>
                            <w:r>
                              <w:rPr>
                                <w:color w:val="000000"/>
                                <w:spacing w:val="-2"/>
                              </w:rPr>
                              <w:t> </w:t>
                            </w:r>
                            <w:r>
                              <w:rPr>
                                <w:color w:val="000000"/>
                              </w:rPr>
                              <w:t>case</w:t>
                            </w:r>
                            <w:r>
                              <w:rPr>
                                <w:color w:val="000000"/>
                                <w:spacing w:val="-2"/>
                              </w:rPr>
                              <w:t> </w:t>
                            </w:r>
                            <w:r>
                              <w:rPr>
                                <w:color w:val="000000"/>
                              </w:rPr>
                              <w:t>formally</w:t>
                            </w:r>
                            <w:r>
                              <w:rPr>
                                <w:color w:val="000000"/>
                                <w:spacing w:val="-2"/>
                              </w:rPr>
                              <w:t> </w:t>
                            </w:r>
                            <w:r>
                              <w:rPr>
                                <w:color w:val="000000"/>
                              </w:rPr>
                              <w:t>demonstrates</w:t>
                            </w:r>
                            <w:r>
                              <w:rPr>
                                <w:color w:val="000000"/>
                                <w:spacing w:val="-2"/>
                              </w:rPr>
                              <w:t> </w:t>
                            </w:r>
                            <w:r>
                              <w:rPr>
                                <w:color w:val="000000"/>
                              </w:rPr>
                              <w:t>the adequacy</w:t>
                            </w:r>
                            <w:r>
                              <w:rPr>
                                <w:color w:val="000000"/>
                                <w:spacing w:val="-2"/>
                              </w:rPr>
                              <w:t> </w:t>
                            </w:r>
                            <w:r>
                              <w:rPr>
                                <w:color w:val="000000"/>
                              </w:rPr>
                              <w:t>of control</w:t>
                            </w:r>
                            <w:r>
                              <w:rPr>
                                <w:color w:val="000000"/>
                                <w:spacing w:val="-3"/>
                              </w:rPr>
                              <w:t> </w:t>
                            </w:r>
                            <w:r>
                              <w:rPr>
                                <w:color w:val="000000"/>
                              </w:rPr>
                              <w:t>measures,</w:t>
                            </w:r>
                            <w:r>
                              <w:rPr>
                                <w:color w:val="000000"/>
                                <w:spacing w:val="-1"/>
                              </w:rPr>
                              <w:t> </w:t>
                            </w:r>
                            <w:r>
                              <w:rPr>
                                <w:color w:val="000000"/>
                              </w:rPr>
                              <w:t>performance standards</w:t>
                            </w:r>
                            <w:r>
                              <w:rPr>
                                <w:color w:val="000000"/>
                                <w:spacing w:val="-6"/>
                              </w:rPr>
                              <w:t> </w:t>
                            </w:r>
                            <w:r>
                              <w:rPr>
                                <w:color w:val="000000"/>
                              </w:rPr>
                              <w:t>for</w:t>
                            </w:r>
                            <w:r>
                              <w:rPr>
                                <w:color w:val="000000"/>
                                <w:spacing w:val="-3"/>
                              </w:rPr>
                              <w:t> </w:t>
                            </w:r>
                            <w:r>
                              <w:rPr>
                                <w:color w:val="000000"/>
                              </w:rPr>
                              <w:t>those</w:t>
                            </w:r>
                            <w:r>
                              <w:rPr>
                                <w:color w:val="000000"/>
                                <w:spacing w:val="-4"/>
                              </w:rPr>
                              <w:t> </w:t>
                            </w:r>
                            <w:r>
                              <w:rPr>
                                <w:color w:val="000000"/>
                              </w:rPr>
                              <w:t>measures,</w:t>
                            </w:r>
                            <w:r>
                              <w:rPr>
                                <w:color w:val="000000"/>
                                <w:spacing w:val="-3"/>
                              </w:rPr>
                              <w:t> </w:t>
                            </w:r>
                            <w:r>
                              <w:rPr>
                                <w:color w:val="000000"/>
                              </w:rPr>
                              <w:t>and</w:t>
                            </w:r>
                            <w:r>
                              <w:rPr>
                                <w:color w:val="000000"/>
                                <w:spacing w:val="-4"/>
                              </w:rPr>
                              <w:t> </w:t>
                            </w:r>
                            <w:r>
                              <w:rPr>
                                <w:color w:val="000000"/>
                              </w:rPr>
                              <w:t>the</w:t>
                            </w:r>
                            <w:r>
                              <w:rPr>
                                <w:color w:val="000000"/>
                                <w:spacing w:val="-4"/>
                              </w:rPr>
                              <w:t> </w:t>
                            </w:r>
                            <w:r>
                              <w:rPr>
                                <w:color w:val="000000"/>
                              </w:rPr>
                              <w:t>safety</w:t>
                            </w:r>
                            <w:r>
                              <w:rPr>
                                <w:color w:val="000000"/>
                                <w:spacing w:val="-4"/>
                              </w:rPr>
                              <w:t> </w:t>
                            </w:r>
                            <w:r>
                              <w:rPr>
                                <w:color w:val="000000"/>
                              </w:rPr>
                              <w:t>management</w:t>
                            </w:r>
                            <w:r>
                              <w:rPr>
                                <w:color w:val="000000"/>
                                <w:spacing w:val="-3"/>
                              </w:rPr>
                              <w:t> </w:t>
                            </w:r>
                            <w:r>
                              <w:rPr>
                                <w:color w:val="000000"/>
                              </w:rPr>
                              <w:t>system</w:t>
                            </w:r>
                            <w:r>
                              <w:rPr>
                                <w:color w:val="000000"/>
                                <w:spacing w:val="-6"/>
                              </w:rPr>
                              <w:t> </w:t>
                            </w:r>
                            <w:r>
                              <w:rPr>
                                <w:color w:val="000000"/>
                              </w:rPr>
                              <w:t>to</w:t>
                            </w:r>
                            <w:r>
                              <w:rPr>
                                <w:color w:val="000000"/>
                                <w:spacing w:val="-2"/>
                              </w:rPr>
                              <w:t> </w:t>
                            </w:r>
                            <w:r>
                              <w:rPr>
                                <w:color w:val="000000"/>
                              </w:rPr>
                              <w:t>support</w:t>
                            </w:r>
                            <w:r>
                              <w:rPr>
                                <w:color w:val="000000"/>
                                <w:spacing w:val="-3"/>
                              </w:rPr>
                              <w:t> </w:t>
                            </w:r>
                            <w:r>
                              <w:rPr>
                                <w:color w:val="000000"/>
                              </w:rPr>
                              <w:t>them</w:t>
                            </w:r>
                            <w:r>
                              <w:rPr>
                                <w:color w:val="000000"/>
                                <w:spacing w:val="-1"/>
                              </w:rPr>
                              <w:t> </w:t>
                            </w:r>
                            <w:r>
                              <w:rPr>
                                <w:color w:val="000000"/>
                              </w:rPr>
                              <w:t>and ensure their appropriateness and sustainability.</w:t>
                            </w:r>
                          </w:p>
                          <w:p>
                            <w:pPr>
                              <w:pStyle w:val="BodyText"/>
                              <w:rPr>
                                <w:color w:val="000000"/>
                                <w:sz w:val="21"/>
                              </w:rPr>
                            </w:pPr>
                          </w:p>
                          <w:p>
                            <w:pPr>
                              <w:pStyle w:val="BodyText"/>
                              <w:spacing w:line="288" w:lineRule="auto"/>
                              <w:ind w:left="112" w:right="177"/>
                              <w:rPr>
                                <w:color w:val="000000"/>
                              </w:rPr>
                            </w:pPr>
                            <w:r>
                              <w:rPr>
                                <w:color w:val="000000"/>
                              </w:rPr>
                              <w:t>Amongst</w:t>
                            </w:r>
                            <w:r>
                              <w:rPr>
                                <w:color w:val="000000"/>
                                <w:spacing w:val="-4"/>
                              </w:rPr>
                              <w:t> </w:t>
                            </w:r>
                            <w:r>
                              <w:rPr>
                                <w:color w:val="000000"/>
                              </w:rPr>
                              <w:t>other</w:t>
                            </w:r>
                            <w:r>
                              <w:rPr>
                                <w:color w:val="000000"/>
                                <w:spacing w:val="-4"/>
                              </w:rPr>
                              <w:t> </w:t>
                            </w:r>
                            <w:r>
                              <w:rPr>
                                <w:color w:val="000000"/>
                              </w:rPr>
                              <w:t>things,</w:t>
                            </w:r>
                            <w:r>
                              <w:rPr>
                                <w:color w:val="000000"/>
                                <w:spacing w:val="-4"/>
                              </w:rPr>
                              <w:t> </w:t>
                            </w:r>
                            <w:r>
                              <w:rPr>
                                <w:color w:val="000000"/>
                              </w:rPr>
                              <w:t>it</w:t>
                            </w:r>
                            <w:r>
                              <w:rPr>
                                <w:color w:val="000000"/>
                                <w:spacing w:val="-4"/>
                              </w:rPr>
                              <w:t> </w:t>
                            </w:r>
                            <w:r>
                              <w:rPr>
                                <w:color w:val="000000"/>
                              </w:rPr>
                              <w:t>requires</w:t>
                            </w:r>
                            <w:r>
                              <w:rPr>
                                <w:color w:val="000000"/>
                                <w:spacing w:val="-5"/>
                              </w:rPr>
                              <w:t> </w:t>
                            </w:r>
                            <w:r>
                              <w:rPr>
                                <w:color w:val="000000"/>
                              </w:rPr>
                              <w:t>assessment</w:t>
                            </w:r>
                            <w:r>
                              <w:rPr>
                                <w:color w:val="000000"/>
                                <w:spacing w:val="-4"/>
                              </w:rPr>
                              <w:t> </w:t>
                            </w:r>
                            <w:r>
                              <w:rPr>
                                <w:color w:val="000000"/>
                              </w:rPr>
                              <w:t>to</w:t>
                            </w:r>
                            <w:r>
                              <w:rPr>
                                <w:color w:val="000000"/>
                                <w:spacing w:val="-3"/>
                              </w:rPr>
                              <w:t> </w:t>
                            </w:r>
                            <w:r>
                              <w:rPr>
                                <w:color w:val="000000"/>
                              </w:rPr>
                              <w:t>identify</w:t>
                            </w:r>
                            <w:r>
                              <w:rPr>
                                <w:color w:val="000000"/>
                                <w:spacing w:val="-5"/>
                              </w:rPr>
                              <w:t> </w:t>
                            </w:r>
                            <w:r>
                              <w:rPr>
                                <w:color w:val="000000"/>
                              </w:rPr>
                              <w:t>hazards,</w:t>
                            </w:r>
                            <w:r>
                              <w:rPr>
                                <w:color w:val="000000"/>
                                <w:spacing w:val="-1"/>
                              </w:rPr>
                              <w:t> </w:t>
                            </w:r>
                            <w:r>
                              <w:rPr>
                                <w:color w:val="000000"/>
                              </w:rPr>
                              <w:t>assess</w:t>
                            </w:r>
                            <w:r>
                              <w:rPr>
                                <w:color w:val="000000"/>
                                <w:spacing w:val="-5"/>
                              </w:rPr>
                              <w:t> </w:t>
                            </w:r>
                            <w:r>
                              <w:rPr>
                                <w:color w:val="000000"/>
                              </w:rPr>
                              <w:t>risks</w:t>
                            </w:r>
                            <w:r>
                              <w:rPr>
                                <w:color w:val="000000"/>
                                <w:spacing w:val="-5"/>
                              </w:rPr>
                              <w:t> </w:t>
                            </w:r>
                            <w:r>
                              <w:rPr>
                                <w:color w:val="000000"/>
                              </w:rPr>
                              <w:t>and</w:t>
                            </w:r>
                            <w:r>
                              <w:rPr>
                                <w:color w:val="000000"/>
                                <w:spacing w:val="-5"/>
                              </w:rPr>
                              <w:t> </w:t>
                            </w:r>
                            <w:r>
                              <w:rPr>
                                <w:color w:val="000000"/>
                              </w:rPr>
                              <w:t>describe treatments or controls. There must be an integrated system for managing the risks and controls and ensuring the system and controls are monitored, audited, reviewed and continuously improved. The management system can cover matters including policy, organisational structure, personnel, operational controls, standards, work and staffing systems, emergency response plans, incident reporting, competence and training, monitoring and review.</w:t>
                            </w:r>
                          </w:p>
                          <w:p>
                            <w:pPr>
                              <w:pStyle w:val="BodyText"/>
                              <w:spacing w:before="9"/>
                              <w:rPr>
                                <w:color w:val="000000"/>
                                <w:sz w:val="20"/>
                              </w:rPr>
                            </w:pPr>
                          </w:p>
                          <w:p>
                            <w:pPr>
                              <w:pStyle w:val="BodyText"/>
                              <w:spacing w:line="288" w:lineRule="auto"/>
                              <w:ind w:left="112"/>
                              <w:rPr>
                                <w:color w:val="000000"/>
                              </w:rPr>
                            </w:pPr>
                            <w:r>
                              <w:rPr>
                                <w:color w:val="000000"/>
                              </w:rPr>
                              <w:t>Whilst some matters are regulated more prescriptively than others, all the safety case components</w:t>
                            </w:r>
                            <w:r>
                              <w:rPr>
                                <w:color w:val="000000"/>
                                <w:spacing w:val="-2"/>
                              </w:rPr>
                              <w:t> </w:t>
                            </w:r>
                            <w:r>
                              <w:rPr>
                                <w:color w:val="000000"/>
                              </w:rPr>
                              <w:t>should</w:t>
                            </w:r>
                            <w:r>
                              <w:rPr>
                                <w:color w:val="000000"/>
                                <w:spacing w:val="-5"/>
                              </w:rPr>
                              <w:t> </w:t>
                            </w:r>
                            <w:r>
                              <w:rPr>
                                <w:color w:val="000000"/>
                              </w:rPr>
                              <w:t>contain</w:t>
                            </w:r>
                            <w:r>
                              <w:rPr>
                                <w:color w:val="000000"/>
                                <w:spacing w:val="-3"/>
                              </w:rPr>
                              <w:t> </w:t>
                            </w:r>
                            <w:r>
                              <w:rPr>
                                <w:color w:val="000000"/>
                              </w:rPr>
                              <w:t>sufficient</w:t>
                            </w:r>
                            <w:r>
                              <w:rPr>
                                <w:color w:val="000000"/>
                                <w:spacing w:val="-4"/>
                              </w:rPr>
                              <w:t> </w:t>
                            </w:r>
                            <w:r>
                              <w:rPr>
                                <w:color w:val="000000"/>
                              </w:rPr>
                              <w:t>detail</w:t>
                            </w:r>
                            <w:r>
                              <w:rPr>
                                <w:color w:val="000000"/>
                                <w:spacing w:val="-3"/>
                              </w:rPr>
                              <w:t> </w:t>
                            </w:r>
                            <w:r>
                              <w:rPr>
                                <w:color w:val="000000"/>
                              </w:rPr>
                              <w:t>and</w:t>
                            </w:r>
                            <w:r>
                              <w:rPr>
                                <w:color w:val="000000"/>
                                <w:spacing w:val="-3"/>
                              </w:rPr>
                              <w:t> </w:t>
                            </w:r>
                            <w:r>
                              <w:rPr>
                                <w:color w:val="000000"/>
                              </w:rPr>
                              <w:t>be</w:t>
                            </w:r>
                            <w:r>
                              <w:rPr>
                                <w:color w:val="000000"/>
                                <w:spacing w:val="-3"/>
                              </w:rPr>
                              <w:t> </w:t>
                            </w:r>
                            <w:r>
                              <w:rPr>
                                <w:color w:val="000000"/>
                              </w:rPr>
                              <w:t>clear</w:t>
                            </w:r>
                            <w:r>
                              <w:rPr>
                                <w:color w:val="000000"/>
                                <w:spacing w:val="-2"/>
                              </w:rPr>
                              <w:t> </w:t>
                            </w:r>
                            <w:r>
                              <w:rPr>
                                <w:color w:val="000000"/>
                              </w:rPr>
                              <w:t>and</w:t>
                            </w:r>
                            <w:r>
                              <w:rPr>
                                <w:color w:val="000000"/>
                                <w:spacing w:val="-7"/>
                              </w:rPr>
                              <w:t> </w:t>
                            </w:r>
                            <w:r>
                              <w:rPr>
                                <w:color w:val="000000"/>
                              </w:rPr>
                              <w:t>measurable</w:t>
                            </w:r>
                            <w:r>
                              <w:rPr>
                                <w:color w:val="000000"/>
                                <w:spacing w:val="-5"/>
                              </w:rPr>
                              <w:t> </w:t>
                            </w:r>
                            <w:r>
                              <w:rPr>
                                <w:color w:val="000000"/>
                              </w:rPr>
                              <w:t>to</w:t>
                            </w:r>
                            <w:r>
                              <w:rPr>
                                <w:color w:val="000000"/>
                                <w:spacing w:val="-3"/>
                              </w:rPr>
                              <w:t> </w:t>
                            </w:r>
                            <w:r>
                              <w:rPr>
                                <w:color w:val="000000"/>
                              </w:rPr>
                              <w:t>the</w:t>
                            </w:r>
                            <w:r>
                              <w:rPr>
                                <w:color w:val="000000"/>
                                <w:spacing w:val="-5"/>
                              </w:rPr>
                              <w:t> </w:t>
                            </w:r>
                            <w:r>
                              <w:rPr>
                                <w:color w:val="000000"/>
                              </w:rPr>
                              <w:t>extent possible. They must also be targeted to the legislated safety obligations.</w:t>
                            </w:r>
                          </w:p>
                        </w:txbxContent>
                      </wps:txbx>
                      <wps:bodyPr wrap="square" lIns="0" tIns="0" rIns="0" bIns="0" rtlCol="0">
                        <a:noAutofit/>
                      </wps:bodyPr>
                    </wps:wsp>
                  </a:graphicData>
                </a:graphic>
              </wp:anchor>
            </w:drawing>
          </mc:Choice>
          <mc:Fallback>
            <w:pict>
              <v:shape style="position:absolute;margin-left:56.639999pt;margin-top:11.95875pt;width:462.25pt;height:272.6pt;mso-position-horizontal-relative:page;mso-position-vertical-relative:paragraph;z-index:-15647744;mso-wrap-distance-left:0;mso-wrap-distance-right:0" type="#_x0000_t202" id="docshape191" filled="true" fillcolor="#cdebeb" stroked="false">
                <v:textbox inset="0,0,0,0">
                  <w:txbxContent>
                    <w:p>
                      <w:pPr>
                        <w:pStyle w:val="BodyText"/>
                        <w:spacing w:before="10"/>
                        <w:rPr>
                          <w:color w:val="000000"/>
                          <w:sz w:val="20"/>
                        </w:rPr>
                      </w:pPr>
                    </w:p>
                    <w:p>
                      <w:pPr>
                        <w:spacing w:before="0"/>
                        <w:ind w:left="112" w:right="0" w:firstLine="0"/>
                        <w:jc w:val="both"/>
                        <w:rPr>
                          <w:b/>
                          <w:color w:val="000000"/>
                          <w:sz w:val="22"/>
                        </w:rPr>
                      </w:pPr>
                      <w:r>
                        <w:rPr>
                          <w:b/>
                          <w:color w:val="000000"/>
                          <w:sz w:val="22"/>
                        </w:rPr>
                        <w:t>Box</w:t>
                      </w:r>
                      <w:r>
                        <w:rPr>
                          <w:b/>
                          <w:color w:val="000000"/>
                          <w:spacing w:val="-7"/>
                          <w:sz w:val="22"/>
                        </w:rPr>
                        <w:t> </w:t>
                      </w:r>
                      <w:r>
                        <w:rPr>
                          <w:b/>
                          <w:color w:val="000000"/>
                          <w:sz w:val="22"/>
                        </w:rPr>
                        <w:t>29:</w:t>
                      </w:r>
                      <w:r>
                        <w:rPr>
                          <w:b/>
                          <w:color w:val="000000"/>
                          <w:spacing w:val="-3"/>
                          <w:sz w:val="22"/>
                        </w:rPr>
                        <w:t> </w:t>
                      </w:r>
                      <w:r>
                        <w:rPr>
                          <w:b/>
                          <w:color w:val="000000"/>
                          <w:sz w:val="22"/>
                        </w:rPr>
                        <w:t>Clear</w:t>
                      </w:r>
                      <w:r>
                        <w:rPr>
                          <w:b/>
                          <w:color w:val="000000"/>
                          <w:spacing w:val="-5"/>
                          <w:sz w:val="22"/>
                        </w:rPr>
                        <w:t> </w:t>
                      </w:r>
                      <w:r>
                        <w:rPr>
                          <w:b/>
                          <w:color w:val="000000"/>
                          <w:sz w:val="22"/>
                        </w:rPr>
                        <w:t>and</w:t>
                      </w:r>
                      <w:r>
                        <w:rPr>
                          <w:b/>
                          <w:color w:val="000000"/>
                          <w:spacing w:val="-6"/>
                          <w:sz w:val="22"/>
                        </w:rPr>
                        <w:t> </w:t>
                      </w:r>
                      <w:r>
                        <w:rPr>
                          <w:b/>
                          <w:color w:val="000000"/>
                          <w:sz w:val="22"/>
                        </w:rPr>
                        <w:t>measurable</w:t>
                      </w:r>
                      <w:r>
                        <w:rPr>
                          <w:b/>
                          <w:color w:val="000000"/>
                          <w:spacing w:val="-2"/>
                          <w:sz w:val="22"/>
                        </w:rPr>
                        <w:t> drafting</w:t>
                      </w:r>
                    </w:p>
                    <w:p>
                      <w:pPr>
                        <w:pStyle w:val="BodyText"/>
                        <w:spacing w:before="2"/>
                        <w:rPr>
                          <w:b/>
                          <w:color w:val="000000"/>
                          <w:sz w:val="25"/>
                        </w:rPr>
                      </w:pPr>
                    </w:p>
                    <w:p>
                      <w:pPr>
                        <w:pStyle w:val="BodyText"/>
                        <w:spacing w:line="288" w:lineRule="auto"/>
                        <w:ind w:left="112" w:right="591"/>
                        <w:jc w:val="both"/>
                        <w:rPr>
                          <w:color w:val="000000"/>
                        </w:rPr>
                      </w:pPr>
                      <w:r>
                        <w:rPr>
                          <w:color w:val="000000"/>
                        </w:rPr>
                        <w:t>The</w:t>
                      </w:r>
                      <w:r>
                        <w:rPr>
                          <w:color w:val="000000"/>
                          <w:spacing w:val="-2"/>
                        </w:rPr>
                        <w:t> </w:t>
                      </w:r>
                      <w:r>
                        <w:rPr>
                          <w:color w:val="000000"/>
                        </w:rPr>
                        <w:t>safety</w:t>
                      </w:r>
                      <w:r>
                        <w:rPr>
                          <w:color w:val="000000"/>
                          <w:spacing w:val="-2"/>
                        </w:rPr>
                        <w:t> </w:t>
                      </w:r>
                      <w:r>
                        <w:rPr>
                          <w:color w:val="000000"/>
                        </w:rPr>
                        <w:t>case</w:t>
                      </w:r>
                      <w:r>
                        <w:rPr>
                          <w:color w:val="000000"/>
                          <w:spacing w:val="-2"/>
                        </w:rPr>
                        <w:t> </w:t>
                      </w:r>
                      <w:r>
                        <w:rPr>
                          <w:color w:val="000000"/>
                        </w:rPr>
                        <w:t>formally</w:t>
                      </w:r>
                      <w:r>
                        <w:rPr>
                          <w:color w:val="000000"/>
                          <w:spacing w:val="-2"/>
                        </w:rPr>
                        <w:t> </w:t>
                      </w:r>
                      <w:r>
                        <w:rPr>
                          <w:color w:val="000000"/>
                        </w:rPr>
                        <w:t>demonstrates</w:t>
                      </w:r>
                      <w:r>
                        <w:rPr>
                          <w:color w:val="000000"/>
                          <w:spacing w:val="-2"/>
                        </w:rPr>
                        <w:t> </w:t>
                      </w:r>
                      <w:r>
                        <w:rPr>
                          <w:color w:val="000000"/>
                        </w:rPr>
                        <w:t>the adequacy</w:t>
                      </w:r>
                      <w:r>
                        <w:rPr>
                          <w:color w:val="000000"/>
                          <w:spacing w:val="-2"/>
                        </w:rPr>
                        <w:t> </w:t>
                      </w:r>
                      <w:r>
                        <w:rPr>
                          <w:color w:val="000000"/>
                        </w:rPr>
                        <w:t>of control</w:t>
                      </w:r>
                      <w:r>
                        <w:rPr>
                          <w:color w:val="000000"/>
                          <w:spacing w:val="-3"/>
                        </w:rPr>
                        <w:t> </w:t>
                      </w:r>
                      <w:r>
                        <w:rPr>
                          <w:color w:val="000000"/>
                        </w:rPr>
                        <w:t>measures,</w:t>
                      </w:r>
                      <w:r>
                        <w:rPr>
                          <w:color w:val="000000"/>
                          <w:spacing w:val="-1"/>
                        </w:rPr>
                        <w:t> </w:t>
                      </w:r>
                      <w:r>
                        <w:rPr>
                          <w:color w:val="000000"/>
                        </w:rPr>
                        <w:t>performance standards</w:t>
                      </w:r>
                      <w:r>
                        <w:rPr>
                          <w:color w:val="000000"/>
                          <w:spacing w:val="-6"/>
                        </w:rPr>
                        <w:t> </w:t>
                      </w:r>
                      <w:r>
                        <w:rPr>
                          <w:color w:val="000000"/>
                        </w:rPr>
                        <w:t>for</w:t>
                      </w:r>
                      <w:r>
                        <w:rPr>
                          <w:color w:val="000000"/>
                          <w:spacing w:val="-3"/>
                        </w:rPr>
                        <w:t> </w:t>
                      </w:r>
                      <w:r>
                        <w:rPr>
                          <w:color w:val="000000"/>
                        </w:rPr>
                        <w:t>those</w:t>
                      </w:r>
                      <w:r>
                        <w:rPr>
                          <w:color w:val="000000"/>
                          <w:spacing w:val="-4"/>
                        </w:rPr>
                        <w:t> </w:t>
                      </w:r>
                      <w:r>
                        <w:rPr>
                          <w:color w:val="000000"/>
                        </w:rPr>
                        <w:t>measures,</w:t>
                      </w:r>
                      <w:r>
                        <w:rPr>
                          <w:color w:val="000000"/>
                          <w:spacing w:val="-3"/>
                        </w:rPr>
                        <w:t> </w:t>
                      </w:r>
                      <w:r>
                        <w:rPr>
                          <w:color w:val="000000"/>
                        </w:rPr>
                        <w:t>and</w:t>
                      </w:r>
                      <w:r>
                        <w:rPr>
                          <w:color w:val="000000"/>
                          <w:spacing w:val="-4"/>
                        </w:rPr>
                        <w:t> </w:t>
                      </w:r>
                      <w:r>
                        <w:rPr>
                          <w:color w:val="000000"/>
                        </w:rPr>
                        <w:t>the</w:t>
                      </w:r>
                      <w:r>
                        <w:rPr>
                          <w:color w:val="000000"/>
                          <w:spacing w:val="-4"/>
                        </w:rPr>
                        <w:t> </w:t>
                      </w:r>
                      <w:r>
                        <w:rPr>
                          <w:color w:val="000000"/>
                        </w:rPr>
                        <w:t>safety</w:t>
                      </w:r>
                      <w:r>
                        <w:rPr>
                          <w:color w:val="000000"/>
                          <w:spacing w:val="-4"/>
                        </w:rPr>
                        <w:t> </w:t>
                      </w:r>
                      <w:r>
                        <w:rPr>
                          <w:color w:val="000000"/>
                        </w:rPr>
                        <w:t>management</w:t>
                      </w:r>
                      <w:r>
                        <w:rPr>
                          <w:color w:val="000000"/>
                          <w:spacing w:val="-3"/>
                        </w:rPr>
                        <w:t> </w:t>
                      </w:r>
                      <w:r>
                        <w:rPr>
                          <w:color w:val="000000"/>
                        </w:rPr>
                        <w:t>system</w:t>
                      </w:r>
                      <w:r>
                        <w:rPr>
                          <w:color w:val="000000"/>
                          <w:spacing w:val="-6"/>
                        </w:rPr>
                        <w:t> </w:t>
                      </w:r>
                      <w:r>
                        <w:rPr>
                          <w:color w:val="000000"/>
                        </w:rPr>
                        <w:t>to</w:t>
                      </w:r>
                      <w:r>
                        <w:rPr>
                          <w:color w:val="000000"/>
                          <w:spacing w:val="-2"/>
                        </w:rPr>
                        <w:t> </w:t>
                      </w:r>
                      <w:r>
                        <w:rPr>
                          <w:color w:val="000000"/>
                        </w:rPr>
                        <w:t>support</w:t>
                      </w:r>
                      <w:r>
                        <w:rPr>
                          <w:color w:val="000000"/>
                          <w:spacing w:val="-3"/>
                        </w:rPr>
                        <w:t> </w:t>
                      </w:r>
                      <w:r>
                        <w:rPr>
                          <w:color w:val="000000"/>
                        </w:rPr>
                        <w:t>them</w:t>
                      </w:r>
                      <w:r>
                        <w:rPr>
                          <w:color w:val="000000"/>
                          <w:spacing w:val="-1"/>
                        </w:rPr>
                        <w:t> </w:t>
                      </w:r>
                      <w:r>
                        <w:rPr>
                          <w:color w:val="000000"/>
                        </w:rPr>
                        <w:t>and ensure their appropriateness and sustainability.</w:t>
                      </w:r>
                    </w:p>
                    <w:p>
                      <w:pPr>
                        <w:pStyle w:val="BodyText"/>
                        <w:rPr>
                          <w:color w:val="000000"/>
                          <w:sz w:val="21"/>
                        </w:rPr>
                      </w:pPr>
                    </w:p>
                    <w:p>
                      <w:pPr>
                        <w:pStyle w:val="BodyText"/>
                        <w:spacing w:line="288" w:lineRule="auto"/>
                        <w:ind w:left="112" w:right="177"/>
                        <w:rPr>
                          <w:color w:val="000000"/>
                        </w:rPr>
                      </w:pPr>
                      <w:r>
                        <w:rPr>
                          <w:color w:val="000000"/>
                        </w:rPr>
                        <w:t>Amongst</w:t>
                      </w:r>
                      <w:r>
                        <w:rPr>
                          <w:color w:val="000000"/>
                          <w:spacing w:val="-4"/>
                        </w:rPr>
                        <w:t> </w:t>
                      </w:r>
                      <w:r>
                        <w:rPr>
                          <w:color w:val="000000"/>
                        </w:rPr>
                        <w:t>other</w:t>
                      </w:r>
                      <w:r>
                        <w:rPr>
                          <w:color w:val="000000"/>
                          <w:spacing w:val="-4"/>
                        </w:rPr>
                        <w:t> </w:t>
                      </w:r>
                      <w:r>
                        <w:rPr>
                          <w:color w:val="000000"/>
                        </w:rPr>
                        <w:t>things,</w:t>
                      </w:r>
                      <w:r>
                        <w:rPr>
                          <w:color w:val="000000"/>
                          <w:spacing w:val="-4"/>
                        </w:rPr>
                        <w:t> </w:t>
                      </w:r>
                      <w:r>
                        <w:rPr>
                          <w:color w:val="000000"/>
                        </w:rPr>
                        <w:t>it</w:t>
                      </w:r>
                      <w:r>
                        <w:rPr>
                          <w:color w:val="000000"/>
                          <w:spacing w:val="-4"/>
                        </w:rPr>
                        <w:t> </w:t>
                      </w:r>
                      <w:r>
                        <w:rPr>
                          <w:color w:val="000000"/>
                        </w:rPr>
                        <w:t>requires</w:t>
                      </w:r>
                      <w:r>
                        <w:rPr>
                          <w:color w:val="000000"/>
                          <w:spacing w:val="-5"/>
                        </w:rPr>
                        <w:t> </w:t>
                      </w:r>
                      <w:r>
                        <w:rPr>
                          <w:color w:val="000000"/>
                        </w:rPr>
                        <w:t>assessment</w:t>
                      </w:r>
                      <w:r>
                        <w:rPr>
                          <w:color w:val="000000"/>
                          <w:spacing w:val="-4"/>
                        </w:rPr>
                        <w:t> </w:t>
                      </w:r>
                      <w:r>
                        <w:rPr>
                          <w:color w:val="000000"/>
                        </w:rPr>
                        <w:t>to</w:t>
                      </w:r>
                      <w:r>
                        <w:rPr>
                          <w:color w:val="000000"/>
                          <w:spacing w:val="-3"/>
                        </w:rPr>
                        <w:t> </w:t>
                      </w:r>
                      <w:r>
                        <w:rPr>
                          <w:color w:val="000000"/>
                        </w:rPr>
                        <w:t>identify</w:t>
                      </w:r>
                      <w:r>
                        <w:rPr>
                          <w:color w:val="000000"/>
                          <w:spacing w:val="-5"/>
                        </w:rPr>
                        <w:t> </w:t>
                      </w:r>
                      <w:r>
                        <w:rPr>
                          <w:color w:val="000000"/>
                        </w:rPr>
                        <w:t>hazards,</w:t>
                      </w:r>
                      <w:r>
                        <w:rPr>
                          <w:color w:val="000000"/>
                          <w:spacing w:val="-1"/>
                        </w:rPr>
                        <w:t> </w:t>
                      </w:r>
                      <w:r>
                        <w:rPr>
                          <w:color w:val="000000"/>
                        </w:rPr>
                        <w:t>assess</w:t>
                      </w:r>
                      <w:r>
                        <w:rPr>
                          <w:color w:val="000000"/>
                          <w:spacing w:val="-5"/>
                        </w:rPr>
                        <w:t> </w:t>
                      </w:r>
                      <w:r>
                        <w:rPr>
                          <w:color w:val="000000"/>
                        </w:rPr>
                        <w:t>risks</w:t>
                      </w:r>
                      <w:r>
                        <w:rPr>
                          <w:color w:val="000000"/>
                          <w:spacing w:val="-5"/>
                        </w:rPr>
                        <w:t> </w:t>
                      </w:r>
                      <w:r>
                        <w:rPr>
                          <w:color w:val="000000"/>
                        </w:rPr>
                        <w:t>and</w:t>
                      </w:r>
                      <w:r>
                        <w:rPr>
                          <w:color w:val="000000"/>
                          <w:spacing w:val="-5"/>
                        </w:rPr>
                        <w:t> </w:t>
                      </w:r>
                      <w:r>
                        <w:rPr>
                          <w:color w:val="000000"/>
                        </w:rPr>
                        <w:t>describe treatments or controls. There must be an integrated system for managing the risks and controls and ensuring the system and controls are monitored, audited, reviewed and continuously improved. The management system can cover matters including policy, organisational structure, personnel, operational controls, standards, work and staffing systems, emergency response plans, incident reporting, competence and training, monitoring and review.</w:t>
                      </w:r>
                    </w:p>
                    <w:p>
                      <w:pPr>
                        <w:pStyle w:val="BodyText"/>
                        <w:spacing w:before="9"/>
                        <w:rPr>
                          <w:color w:val="000000"/>
                          <w:sz w:val="20"/>
                        </w:rPr>
                      </w:pPr>
                    </w:p>
                    <w:p>
                      <w:pPr>
                        <w:pStyle w:val="BodyText"/>
                        <w:spacing w:line="288" w:lineRule="auto"/>
                        <w:ind w:left="112"/>
                        <w:rPr>
                          <w:color w:val="000000"/>
                        </w:rPr>
                      </w:pPr>
                      <w:r>
                        <w:rPr>
                          <w:color w:val="000000"/>
                        </w:rPr>
                        <w:t>Whilst some matters are regulated more prescriptively than others, all the safety case components</w:t>
                      </w:r>
                      <w:r>
                        <w:rPr>
                          <w:color w:val="000000"/>
                          <w:spacing w:val="-2"/>
                        </w:rPr>
                        <w:t> </w:t>
                      </w:r>
                      <w:r>
                        <w:rPr>
                          <w:color w:val="000000"/>
                        </w:rPr>
                        <w:t>should</w:t>
                      </w:r>
                      <w:r>
                        <w:rPr>
                          <w:color w:val="000000"/>
                          <w:spacing w:val="-5"/>
                        </w:rPr>
                        <w:t> </w:t>
                      </w:r>
                      <w:r>
                        <w:rPr>
                          <w:color w:val="000000"/>
                        </w:rPr>
                        <w:t>contain</w:t>
                      </w:r>
                      <w:r>
                        <w:rPr>
                          <w:color w:val="000000"/>
                          <w:spacing w:val="-3"/>
                        </w:rPr>
                        <w:t> </w:t>
                      </w:r>
                      <w:r>
                        <w:rPr>
                          <w:color w:val="000000"/>
                        </w:rPr>
                        <w:t>sufficient</w:t>
                      </w:r>
                      <w:r>
                        <w:rPr>
                          <w:color w:val="000000"/>
                          <w:spacing w:val="-4"/>
                        </w:rPr>
                        <w:t> </w:t>
                      </w:r>
                      <w:r>
                        <w:rPr>
                          <w:color w:val="000000"/>
                        </w:rPr>
                        <w:t>detail</w:t>
                      </w:r>
                      <w:r>
                        <w:rPr>
                          <w:color w:val="000000"/>
                          <w:spacing w:val="-3"/>
                        </w:rPr>
                        <w:t> </w:t>
                      </w:r>
                      <w:r>
                        <w:rPr>
                          <w:color w:val="000000"/>
                        </w:rPr>
                        <w:t>and</w:t>
                      </w:r>
                      <w:r>
                        <w:rPr>
                          <w:color w:val="000000"/>
                          <w:spacing w:val="-3"/>
                        </w:rPr>
                        <w:t> </w:t>
                      </w:r>
                      <w:r>
                        <w:rPr>
                          <w:color w:val="000000"/>
                        </w:rPr>
                        <w:t>be</w:t>
                      </w:r>
                      <w:r>
                        <w:rPr>
                          <w:color w:val="000000"/>
                          <w:spacing w:val="-3"/>
                        </w:rPr>
                        <w:t> </w:t>
                      </w:r>
                      <w:r>
                        <w:rPr>
                          <w:color w:val="000000"/>
                        </w:rPr>
                        <w:t>clear</w:t>
                      </w:r>
                      <w:r>
                        <w:rPr>
                          <w:color w:val="000000"/>
                          <w:spacing w:val="-2"/>
                        </w:rPr>
                        <w:t> </w:t>
                      </w:r>
                      <w:r>
                        <w:rPr>
                          <w:color w:val="000000"/>
                        </w:rPr>
                        <w:t>and</w:t>
                      </w:r>
                      <w:r>
                        <w:rPr>
                          <w:color w:val="000000"/>
                          <w:spacing w:val="-7"/>
                        </w:rPr>
                        <w:t> </w:t>
                      </w:r>
                      <w:r>
                        <w:rPr>
                          <w:color w:val="000000"/>
                        </w:rPr>
                        <w:t>measurable</w:t>
                      </w:r>
                      <w:r>
                        <w:rPr>
                          <w:color w:val="000000"/>
                          <w:spacing w:val="-5"/>
                        </w:rPr>
                        <w:t> </w:t>
                      </w:r>
                      <w:r>
                        <w:rPr>
                          <w:color w:val="000000"/>
                        </w:rPr>
                        <w:t>to</w:t>
                      </w:r>
                      <w:r>
                        <w:rPr>
                          <w:color w:val="000000"/>
                          <w:spacing w:val="-3"/>
                        </w:rPr>
                        <w:t> </w:t>
                      </w:r>
                      <w:r>
                        <w:rPr>
                          <w:color w:val="000000"/>
                        </w:rPr>
                        <w:t>the</w:t>
                      </w:r>
                      <w:r>
                        <w:rPr>
                          <w:color w:val="000000"/>
                          <w:spacing w:val="-5"/>
                        </w:rPr>
                        <w:t> </w:t>
                      </w:r>
                      <w:r>
                        <w:rPr>
                          <w:color w:val="000000"/>
                        </w:rPr>
                        <w:t>extent possible. They must also be targeted to the legislated safety obligations.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69248">
                <wp:simplePos x="0" y="0"/>
                <wp:positionH relativeFrom="page">
                  <wp:posOffset>701040</wp:posOffset>
                </wp:positionH>
                <wp:positionV relativeFrom="paragraph">
                  <wp:posOffset>3797918</wp:posOffset>
                </wp:positionV>
                <wp:extent cx="6158230" cy="1270"/>
                <wp:effectExtent l="0" t="0" r="0" b="0"/>
                <wp:wrapTopAndBottom/>
                <wp:docPr id="223" name="Graphic 223"/>
                <wp:cNvGraphicFramePr>
                  <a:graphicFrameLocks/>
                </wp:cNvGraphicFramePr>
                <a:graphic>
                  <a:graphicData uri="http://schemas.microsoft.com/office/word/2010/wordprocessingShape">
                    <wps:wsp>
                      <wps:cNvPr id="223" name="Graphic 223"/>
                      <wps:cNvSpPr/>
                      <wps:spPr>
                        <a:xfrm>
                          <a:off x="0" y="0"/>
                          <a:ext cx="6158230" cy="1270"/>
                        </a:xfrm>
                        <a:custGeom>
                          <a:avLst/>
                          <a:gdLst/>
                          <a:ahLst/>
                          <a:cxnLst/>
                          <a:rect l="l" t="t" r="r" b="b"/>
                          <a:pathLst>
                            <a:path w="6158230" h="0">
                              <a:moveTo>
                                <a:pt x="0" y="0"/>
                              </a:moveTo>
                              <a:lnTo>
                                <a:pt x="6158230" y="0"/>
                              </a:lnTo>
                            </a:path>
                          </a:pathLst>
                        </a:custGeom>
                        <a:ln w="12192">
                          <a:solidFill>
                            <a:srgbClr val="000000"/>
                          </a:solidFill>
                          <a:prstDash val="sysDot"/>
                        </a:ln>
                      </wps:spPr>
                      <wps:bodyPr wrap="square" lIns="0" tIns="0" rIns="0" bIns="0" rtlCol="0">
                        <a:prstTxWarp prst="textNoShape">
                          <a:avLst/>
                        </a:prstTxWarp>
                        <a:noAutofit/>
                      </wps:bodyPr>
                    </wps:wsp>
                  </a:graphicData>
                </a:graphic>
              </wp:anchor>
            </w:drawing>
          </mc:Choice>
          <mc:Fallback>
            <w:pict>
              <v:shape style="position:absolute;margin-left:55.200001pt;margin-top:299.048737pt;width:484.9pt;height:.1pt;mso-position-horizontal-relative:page;mso-position-vertical-relative:paragraph;z-index:-15647232;mso-wrap-distance-left:0;mso-wrap-distance-right:0" id="docshape192" coordorigin="1104,5981" coordsize="9698,0" path="m1104,5981l10802,5981e" filled="false" stroked="true" strokeweight=".96pt" strokecolor="#000000">
                <v:path arrowok="t"/>
                <v:stroke dashstyle="shortdot"/>
                <w10:wrap type="topAndBottom"/>
              </v:shape>
            </w:pict>
          </mc:Fallback>
        </mc:AlternateContent>
      </w:r>
    </w:p>
    <w:p>
      <w:pPr>
        <w:pStyle w:val="BodyText"/>
        <w:spacing w:before="1"/>
        <w:rPr>
          <w:sz w:val="23"/>
        </w:rPr>
      </w:pPr>
    </w:p>
    <w:p>
      <w:pPr>
        <w:pStyle w:val="BodyText"/>
        <w:spacing w:before="6"/>
      </w:pPr>
    </w:p>
    <w:p>
      <w:pPr>
        <w:spacing w:line="242" w:lineRule="auto" w:before="96"/>
        <w:ind w:left="516" w:right="296" w:hanging="284"/>
        <w:jc w:val="left"/>
        <w:rPr>
          <w:sz w:val="16"/>
        </w:rPr>
      </w:pPr>
      <w:r>
        <w:rPr>
          <w:position w:val="6"/>
          <w:sz w:val="12"/>
        </w:rPr>
        <w:t>21</w:t>
      </w:r>
      <w:r>
        <w:rPr>
          <w:spacing w:val="80"/>
          <w:position w:val="6"/>
          <w:sz w:val="12"/>
        </w:rPr>
        <w:t> </w:t>
      </w:r>
      <w:r>
        <w:rPr>
          <w:sz w:val="16"/>
        </w:rPr>
        <w:t>As at</w:t>
      </w:r>
      <w:r>
        <w:rPr>
          <w:spacing w:val="-8"/>
          <w:sz w:val="16"/>
        </w:rPr>
        <w:t> </w:t>
      </w:r>
      <w:r>
        <w:rPr>
          <w:sz w:val="16"/>
        </w:rPr>
        <w:t>August 2017, ESV’s new guidelines were in draft form and scheduled for discussion at industry consultation meetings. Its guidance to network businesses includes: </w:t>
      </w:r>
      <w:r>
        <w:rPr>
          <w:i/>
          <w:sz w:val="16"/>
        </w:rPr>
        <w:t>General guidance and requirements for developing acceptable Electricity Safety Management</w:t>
      </w:r>
      <w:r>
        <w:rPr>
          <w:i/>
          <w:spacing w:val="-1"/>
          <w:sz w:val="16"/>
        </w:rPr>
        <w:t> </w:t>
      </w:r>
      <w:r>
        <w:rPr>
          <w:i/>
          <w:sz w:val="16"/>
        </w:rPr>
        <w:t>Schemes</w:t>
      </w:r>
      <w:r>
        <w:rPr>
          <w:sz w:val="16"/>
        </w:rPr>
        <w:t>; </w:t>
      </w:r>
      <w:r>
        <w:rPr>
          <w:i/>
          <w:sz w:val="16"/>
        </w:rPr>
        <w:t>Guidance</w:t>
      </w:r>
      <w:r>
        <w:rPr>
          <w:i/>
          <w:spacing w:val="-5"/>
          <w:sz w:val="16"/>
        </w:rPr>
        <w:t> </w:t>
      </w:r>
      <w:r>
        <w:rPr>
          <w:i/>
          <w:sz w:val="16"/>
        </w:rPr>
        <w:t>and</w:t>
      </w:r>
      <w:r>
        <w:rPr>
          <w:i/>
          <w:spacing w:val="-2"/>
          <w:sz w:val="16"/>
        </w:rPr>
        <w:t> </w:t>
      </w:r>
      <w:r>
        <w:rPr>
          <w:i/>
          <w:sz w:val="16"/>
        </w:rPr>
        <w:t>requirements</w:t>
      </w:r>
      <w:r>
        <w:rPr>
          <w:i/>
          <w:spacing w:val="-3"/>
          <w:sz w:val="16"/>
        </w:rPr>
        <w:t> </w:t>
      </w:r>
      <w:r>
        <w:rPr>
          <w:i/>
          <w:sz w:val="16"/>
        </w:rPr>
        <w:t>for</w:t>
      </w:r>
      <w:r>
        <w:rPr>
          <w:i/>
          <w:spacing w:val="-2"/>
          <w:sz w:val="16"/>
        </w:rPr>
        <w:t> </w:t>
      </w:r>
      <w:r>
        <w:rPr>
          <w:i/>
          <w:sz w:val="16"/>
        </w:rPr>
        <w:t>developing</w:t>
      </w:r>
      <w:r>
        <w:rPr>
          <w:i/>
          <w:spacing w:val="-7"/>
          <w:sz w:val="16"/>
        </w:rPr>
        <w:t> </w:t>
      </w:r>
      <w:r>
        <w:rPr>
          <w:i/>
          <w:sz w:val="16"/>
        </w:rPr>
        <w:t>Safety Cases</w:t>
      </w:r>
      <w:r>
        <w:rPr>
          <w:i/>
          <w:spacing w:val="-3"/>
          <w:sz w:val="16"/>
        </w:rPr>
        <w:t> </w:t>
      </w:r>
      <w:r>
        <w:rPr>
          <w:i/>
          <w:sz w:val="16"/>
        </w:rPr>
        <w:t>to</w:t>
      </w:r>
      <w:r>
        <w:rPr>
          <w:i/>
          <w:spacing w:val="-5"/>
          <w:sz w:val="16"/>
        </w:rPr>
        <w:t> </w:t>
      </w:r>
      <w:r>
        <w:rPr>
          <w:i/>
          <w:sz w:val="16"/>
        </w:rPr>
        <w:t>support</w:t>
      </w:r>
      <w:r>
        <w:rPr>
          <w:i/>
          <w:spacing w:val="-3"/>
          <w:sz w:val="16"/>
        </w:rPr>
        <w:t> </w:t>
      </w:r>
      <w:r>
        <w:rPr>
          <w:i/>
          <w:sz w:val="16"/>
        </w:rPr>
        <w:t>Electricity</w:t>
      </w:r>
      <w:r>
        <w:rPr>
          <w:i/>
          <w:spacing w:val="-3"/>
          <w:sz w:val="16"/>
        </w:rPr>
        <w:t> </w:t>
      </w:r>
      <w:r>
        <w:rPr>
          <w:i/>
          <w:sz w:val="16"/>
        </w:rPr>
        <w:t>Safety</w:t>
      </w:r>
      <w:r>
        <w:rPr>
          <w:i/>
          <w:spacing w:val="-3"/>
          <w:sz w:val="16"/>
        </w:rPr>
        <w:t> </w:t>
      </w:r>
      <w:r>
        <w:rPr>
          <w:i/>
          <w:sz w:val="16"/>
        </w:rPr>
        <w:t>Management</w:t>
      </w:r>
      <w:r>
        <w:rPr>
          <w:i/>
          <w:spacing w:val="-3"/>
          <w:sz w:val="16"/>
        </w:rPr>
        <w:t> </w:t>
      </w:r>
      <w:r>
        <w:rPr>
          <w:i/>
          <w:sz w:val="16"/>
        </w:rPr>
        <w:t>Scheme Approval</w:t>
      </w:r>
      <w:r>
        <w:rPr>
          <w:sz w:val="16"/>
        </w:rPr>
        <w:t>; and </w:t>
      </w:r>
      <w:r>
        <w:rPr>
          <w:i/>
          <w:sz w:val="16"/>
        </w:rPr>
        <w:t>Guidance and requirements for developing acceptable</w:t>
      </w:r>
      <w:r>
        <w:rPr>
          <w:i/>
          <w:spacing w:val="-1"/>
          <w:sz w:val="16"/>
        </w:rPr>
        <w:t> </w:t>
      </w:r>
      <w:r>
        <w:rPr>
          <w:i/>
          <w:sz w:val="16"/>
        </w:rPr>
        <w:t>pipeline</w:t>
      </w:r>
      <w:r>
        <w:rPr>
          <w:i/>
          <w:spacing w:val="-1"/>
          <w:sz w:val="16"/>
        </w:rPr>
        <w:t> </w:t>
      </w:r>
      <w:r>
        <w:rPr>
          <w:i/>
          <w:sz w:val="16"/>
        </w:rPr>
        <w:t>Safety Cases and</w:t>
      </w:r>
      <w:r>
        <w:rPr>
          <w:i/>
          <w:spacing w:val="-1"/>
          <w:sz w:val="16"/>
        </w:rPr>
        <w:t> </w:t>
      </w:r>
      <w:r>
        <w:rPr>
          <w:i/>
          <w:sz w:val="16"/>
        </w:rPr>
        <w:t>Safety</w:t>
      </w:r>
      <w:r>
        <w:rPr>
          <w:i/>
          <w:spacing w:val="-2"/>
          <w:sz w:val="16"/>
        </w:rPr>
        <w:t> </w:t>
      </w:r>
      <w:r>
        <w:rPr>
          <w:i/>
          <w:sz w:val="16"/>
        </w:rPr>
        <w:t>Management Plans </w:t>
      </w:r>
      <w:r>
        <w:rPr>
          <w:sz w:val="16"/>
        </w:rPr>
        <w:t>(not yet formally released but updated since the 2012 </w:t>
      </w:r>
      <w:r>
        <w:rPr>
          <w:i/>
          <w:sz w:val="16"/>
        </w:rPr>
        <w:t>Safety Case Guideline Gas Company (Distribution &amp; Transmission)</w:t>
      </w:r>
      <w:r>
        <w:rPr>
          <w:sz w:val="16"/>
        </w:rPr>
        <w:t>).</w:t>
      </w:r>
    </w:p>
    <w:p>
      <w:pPr>
        <w:spacing w:after="0" w:line="242" w:lineRule="auto"/>
        <w:jc w:val="left"/>
        <w:rPr>
          <w:sz w:val="16"/>
        </w:rPr>
        <w:sectPr>
          <w:pgSz w:w="11910" w:h="16850"/>
          <w:pgMar w:header="220" w:footer="678" w:top="420" w:bottom="860" w:left="900" w:right="840"/>
        </w:sectPr>
      </w:pPr>
    </w:p>
    <w:p>
      <w:pPr>
        <w:pStyle w:val="BodyText"/>
        <w:rPr>
          <w:sz w:val="20"/>
        </w:rPr>
      </w:pPr>
    </w:p>
    <w:p>
      <w:pPr>
        <w:pStyle w:val="BodyText"/>
        <w:spacing w:before="4"/>
        <w:rPr>
          <w:sz w:val="27"/>
        </w:rPr>
      </w:pPr>
    </w:p>
    <w:p>
      <w:pPr>
        <w:pStyle w:val="BodyText"/>
        <w:ind w:left="232"/>
        <w:rPr>
          <w:sz w:val="20"/>
        </w:rPr>
      </w:pPr>
      <w:r>
        <w:rPr>
          <w:sz w:val="20"/>
        </w:rPr>
        <mc:AlternateContent>
          <mc:Choice Requires="wps">
            <w:drawing>
              <wp:inline distT="0" distB="0" distL="0" distR="0">
                <wp:extent cx="5870575" cy="2425065"/>
                <wp:effectExtent l="0" t="0" r="0" b="0"/>
                <wp:docPr id="224" name="Textbox 224"/>
                <wp:cNvGraphicFramePr>
                  <a:graphicFrameLocks/>
                </wp:cNvGraphicFramePr>
                <a:graphic>
                  <a:graphicData uri="http://schemas.microsoft.com/office/word/2010/wordprocessingShape">
                    <wps:wsp>
                      <wps:cNvPr id="224" name="Textbox 224"/>
                      <wps:cNvSpPr txBox="1"/>
                      <wps:spPr>
                        <a:xfrm>
                          <a:off x="0" y="0"/>
                          <a:ext cx="5870575" cy="2425065"/>
                        </a:xfrm>
                        <a:prstGeom prst="rect">
                          <a:avLst/>
                        </a:prstGeom>
                        <a:solidFill>
                          <a:srgbClr val="CDEBEB"/>
                        </a:solidFill>
                      </wps:spPr>
                      <wps:txbx>
                        <w:txbxContent>
                          <w:p>
                            <w:pPr>
                              <w:spacing w:line="288" w:lineRule="auto" w:before="0"/>
                              <w:ind w:left="112" w:right="120" w:firstLine="0"/>
                              <w:jc w:val="left"/>
                              <w:rPr>
                                <w:color w:val="000000"/>
                                <w:sz w:val="22"/>
                              </w:rPr>
                            </w:pPr>
                            <w:r>
                              <w:rPr>
                                <w:color w:val="000000"/>
                                <w:sz w:val="22"/>
                              </w:rPr>
                              <w:t>In its guidance on Electricity Safety Management Schemes, ESV states that the document “</w:t>
                            </w:r>
                            <w:r>
                              <w:rPr>
                                <w:i/>
                                <w:color w:val="000000"/>
                                <w:sz w:val="22"/>
                              </w:rPr>
                              <w:t>must be written using statements of compliance and commitments, e.g. ‘</w:t>
                            </w:r>
                            <w:r>
                              <w:rPr>
                                <w:color w:val="000000"/>
                                <w:sz w:val="22"/>
                              </w:rPr>
                              <w:t>Business X will do A, B and C on a weekly basis to ensure asset types Y meet the requirements specified in</w:t>
                            </w:r>
                            <w:r>
                              <w:rPr>
                                <w:color w:val="000000"/>
                                <w:sz w:val="22"/>
                              </w:rPr>
                              <w:t> AS. 5577</w:t>
                            </w:r>
                            <w:r>
                              <w:rPr>
                                <w:color w:val="000000"/>
                                <w:spacing w:val="-2"/>
                                <w:sz w:val="22"/>
                              </w:rPr>
                              <w:t> </w:t>
                            </w:r>
                            <w:r>
                              <w:rPr>
                                <w:color w:val="000000"/>
                                <w:sz w:val="22"/>
                              </w:rPr>
                              <w:t>section Z’</w:t>
                            </w:r>
                            <w:r>
                              <w:rPr>
                                <w:i/>
                                <w:color w:val="000000"/>
                                <w:sz w:val="22"/>
                              </w:rPr>
                              <w:t>. Aspirational statements</w:t>
                            </w:r>
                            <w:r>
                              <w:rPr>
                                <w:i/>
                                <w:color w:val="000000"/>
                                <w:spacing w:val="-2"/>
                                <w:sz w:val="22"/>
                              </w:rPr>
                              <w:t> </w:t>
                            </w:r>
                            <w:r>
                              <w:rPr>
                                <w:i/>
                                <w:color w:val="000000"/>
                                <w:sz w:val="22"/>
                              </w:rPr>
                              <w:t>should not be</w:t>
                            </w:r>
                            <w:r>
                              <w:rPr>
                                <w:i/>
                                <w:color w:val="000000"/>
                                <w:spacing w:val="-2"/>
                                <w:sz w:val="22"/>
                              </w:rPr>
                              <w:t> </w:t>
                            </w:r>
                            <w:r>
                              <w:rPr>
                                <w:i/>
                                <w:color w:val="000000"/>
                                <w:sz w:val="22"/>
                              </w:rPr>
                              <w:t>used …</w:t>
                            </w:r>
                            <w:r>
                              <w:rPr>
                                <w:i/>
                                <w:color w:val="000000"/>
                                <w:spacing w:val="-2"/>
                                <w:sz w:val="22"/>
                              </w:rPr>
                              <w:t> </w:t>
                            </w:r>
                            <w:r>
                              <w:rPr>
                                <w:i/>
                                <w:color w:val="000000"/>
                                <w:sz w:val="22"/>
                              </w:rPr>
                              <w:t>In</w:t>
                            </w:r>
                            <w:r>
                              <w:rPr>
                                <w:i/>
                                <w:color w:val="000000"/>
                                <w:spacing w:val="-2"/>
                                <w:sz w:val="22"/>
                              </w:rPr>
                              <w:t> </w:t>
                            </w:r>
                            <w:r>
                              <w:rPr>
                                <w:i/>
                                <w:color w:val="000000"/>
                                <w:sz w:val="22"/>
                              </w:rPr>
                              <w:t>addition, ESV expects to</w:t>
                            </w:r>
                            <w:r>
                              <w:rPr>
                                <w:i/>
                                <w:color w:val="000000"/>
                                <w:spacing w:val="-2"/>
                                <w:sz w:val="22"/>
                              </w:rPr>
                              <w:t> </w:t>
                            </w:r>
                            <w:r>
                              <w:rPr>
                                <w:i/>
                                <w:color w:val="000000"/>
                                <w:sz w:val="22"/>
                              </w:rPr>
                              <w:t>see</w:t>
                            </w:r>
                            <w:r>
                              <w:rPr>
                                <w:i/>
                                <w:color w:val="000000"/>
                                <w:spacing w:val="-4"/>
                                <w:sz w:val="22"/>
                              </w:rPr>
                              <w:t> </w:t>
                            </w:r>
                            <w:r>
                              <w:rPr>
                                <w:i/>
                                <w:color w:val="000000"/>
                                <w:sz w:val="22"/>
                              </w:rPr>
                              <w:t>a</w:t>
                            </w:r>
                            <w:r>
                              <w:rPr>
                                <w:i/>
                                <w:color w:val="000000"/>
                                <w:spacing w:val="-4"/>
                                <w:sz w:val="22"/>
                              </w:rPr>
                              <w:t> </w:t>
                            </w:r>
                            <w:r>
                              <w:rPr>
                                <w:i/>
                                <w:color w:val="000000"/>
                                <w:sz w:val="22"/>
                              </w:rPr>
                              <w:t>supporting</w:t>
                            </w:r>
                            <w:r>
                              <w:rPr>
                                <w:i/>
                                <w:color w:val="000000"/>
                                <w:spacing w:val="-2"/>
                                <w:sz w:val="22"/>
                              </w:rPr>
                              <w:t> </w:t>
                            </w:r>
                            <w:r>
                              <w:rPr>
                                <w:i/>
                                <w:color w:val="000000"/>
                                <w:sz w:val="22"/>
                              </w:rPr>
                              <w:t>explanation</w:t>
                            </w:r>
                            <w:r>
                              <w:rPr>
                                <w:i/>
                                <w:color w:val="000000"/>
                                <w:spacing w:val="-2"/>
                                <w:sz w:val="22"/>
                              </w:rPr>
                              <w:t> </w:t>
                            </w:r>
                            <w:r>
                              <w:rPr>
                                <w:i/>
                                <w:color w:val="000000"/>
                                <w:sz w:val="22"/>
                              </w:rPr>
                              <w:t>of</w:t>
                            </w:r>
                            <w:r>
                              <w:rPr>
                                <w:i/>
                                <w:color w:val="000000"/>
                                <w:spacing w:val="-2"/>
                                <w:sz w:val="22"/>
                              </w:rPr>
                              <w:t> </w:t>
                            </w:r>
                            <w:r>
                              <w:rPr>
                                <w:i/>
                                <w:color w:val="000000"/>
                                <w:sz w:val="22"/>
                              </w:rPr>
                              <w:t>how</w:t>
                            </w:r>
                            <w:r>
                              <w:rPr>
                                <w:i/>
                                <w:color w:val="000000"/>
                                <w:spacing w:val="-2"/>
                                <w:sz w:val="22"/>
                              </w:rPr>
                              <w:t> </w:t>
                            </w:r>
                            <w:r>
                              <w:rPr>
                                <w:i/>
                                <w:color w:val="000000"/>
                                <w:sz w:val="22"/>
                              </w:rPr>
                              <w:t>the</w:t>
                            </w:r>
                            <w:r>
                              <w:rPr>
                                <w:i/>
                                <w:color w:val="000000"/>
                                <w:spacing w:val="-2"/>
                                <w:sz w:val="22"/>
                              </w:rPr>
                              <w:t> </w:t>
                            </w:r>
                            <w:r>
                              <w:rPr>
                                <w:i/>
                                <w:color w:val="000000"/>
                                <w:sz w:val="22"/>
                              </w:rPr>
                              <w:t>stated</w:t>
                            </w:r>
                            <w:r>
                              <w:rPr>
                                <w:i/>
                                <w:color w:val="000000"/>
                                <w:spacing w:val="-2"/>
                                <w:sz w:val="22"/>
                              </w:rPr>
                              <w:t> </w:t>
                            </w:r>
                            <w:r>
                              <w:rPr>
                                <w:i/>
                                <w:color w:val="000000"/>
                                <w:sz w:val="22"/>
                              </w:rPr>
                              <w:t>outcome</w:t>
                            </w:r>
                            <w:r>
                              <w:rPr>
                                <w:i/>
                                <w:color w:val="000000"/>
                                <w:spacing w:val="-4"/>
                                <w:sz w:val="22"/>
                              </w:rPr>
                              <w:t> </w:t>
                            </w:r>
                            <w:r>
                              <w:rPr>
                                <w:i/>
                                <w:color w:val="000000"/>
                                <w:sz w:val="22"/>
                              </w:rPr>
                              <w:t>will</w:t>
                            </w:r>
                            <w:r>
                              <w:rPr>
                                <w:i/>
                                <w:color w:val="000000"/>
                                <w:spacing w:val="-2"/>
                                <w:sz w:val="22"/>
                              </w:rPr>
                              <w:t> </w:t>
                            </w:r>
                            <w:r>
                              <w:rPr>
                                <w:i/>
                                <w:color w:val="000000"/>
                                <w:sz w:val="22"/>
                              </w:rPr>
                              <w:t>be</w:t>
                            </w:r>
                            <w:r>
                              <w:rPr>
                                <w:i/>
                                <w:color w:val="000000"/>
                                <w:spacing w:val="-2"/>
                                <w:sz w:val="22"/>
                              </w:rPr>
                              <w:t> </w:t>
                            </w:r>
                            <w:r>
                              <w:rPr>
                                <w:i/>
                                <w:color w:val="000000"/>
                                <w:sz w:val="22"/>
                              </w:rPr>
                              <w:t>delivered</w:t>
                            </w:r>
                            <w:r>
                              <w:rPr>
                                <w:color w:val="000000"/>
                                <w:sz w:val="22"/>
                              </w:rPr>
                              <w:t>.”</w:t>
                            </w:r>
                            <w:r>
                              <w:rPr>
                                <w:color w:val="000000"/>
                                <w:spacing w:val="-5"/>
                                <w:sz w:val="22"/>
                              </w:rPr>
                              <w:t> </w:t>
                            </w:r>
                            <w:r>
                              <w:rPr>
                                <w:color w:val="000000"/>
                                <w:sz w:val="22"/>
                              </w:rPr>
                              <w:t>They</w:t>
                            </w:r>
                            <w:r>
                              <w:rPr>
                                <w:color w:val="000000"/>
                                <w:spacing w:val="-4"/>
                                <w:sz w:val="22"/>
                              </w:rPr>
                              <w:t> </w:t>
                            </w:r>
                            <w:r>
                              <w:rPr>
                                <w:color w:val="000000"/>
                                <w:sz w:val="22"/>
                              </w:rPr>
                              <w:t>also</w:t>
                            </w:r>
                            <w:r>
                              <w:rPr>
                                <w:color w:val="000000"/>
                                <w:spacing w:val="-1"/>
                                <w:sz w:val="22"/>
                              </w:rPr>
                              <w:t> </w:t>
                            </w:r>
                            <w:r>
                              <w:rPr>
                                <w:color w:val="000000"/>
                                <w:sz w:val="22"/>
                              </w:rPr>
                              <w:t>must “</w:t>
                            </w:r>
                            <w:r>
                              <w:rPr>
                                <w:i/>
                                <w:color w:val="000000"/>
                                <w:sz w:val="22"/>
                              </w:rPr>
                              <w:t>adequately describe how the ESMS actually works in the field to control risks associated with</w:t>
                            </w:r>
                            <w:r>
                              <w:rPr>
                                <w:i/>
                                <w:color w:val="000000"/>
                                <w:spacing w:val="-3"/>
                                <w:sz w:val="22"/>
                              </w:rPr>
                              <w:t> </w:t>
                            </w:r>
                            <w:r>
                              <w:rPr>
                                <w:i/>
                                <w:color w:val="000000"/>
                                <w:sz w:val="22"/>
                              </w:rPr>
                              <w:t>identified</w:t>
                            </w:r>
                            <w:r>
                              <w:rPr>
                                <w:i/>
                                <w:color w:val="000000"/>
                                <w:spacing w:val="-1"/>
                                <w:sz w:val="22"/>
                              </w:rPr>
                              <w:t> </w:t>
                            </w:r>
                            <w:r>
                              <w:rPr>
                                <w:i/>
                                <w:color w:val="000000"/>
                                <w:sz w:val="22"/>
                              </w:rPr>
                              <w:t>hazards, and</w:t>
                            </w:r>
                            <w:r>
                              <w:rPr>
                                <w:i/>
                                <w:color w:val="000000"/>
                                <w:spacing w:val="-1"/>
                                <w:sz w:val="22"/>
                              </w:rPr>
                              <w:t> </w:t>
                            </w:r>
                            <w:r>
                              <w:rPr>
                                <w:i/>
                                <w:color w:val="000000"/>
                                <w:sz w:val="22"/>
                              </w:rPr>
                              <w:t>not</w:t>
                            </w:r>
                            <w:r>
                              <w:rPr>
                                <w:i/>
                                <w:color w:val="000000"/>
                                <w:spacing w:val="-2"/>
                                <w:sz w:val="22"/>
                              </w:rPr>
                              <w:t> </w:t>
                            </w:r>
                            <w:r>
                              <w:rPr>
                                <w:i/>
                                <w:color w:val="000000"/>
                                <w:sz w:val="22"/>
                              </w:rPr>
                              <w:t>be</w:t>
                            </w:r>
                            <w:r>
                              <w:rPr>
                                <w:i/>
                                <w:color w:val="000000"/>
                                <w:spacing w:val="-1"/>
                                <w:sz w:val="22"/>
                              </w:rPr>
                              <w:t> </w:t>
                            </w:r>
                            <w:r>
                              <w:rPr>
                                <w:i/>
                                <w:color w:val="000000"/>
                                <w:sz w:val="22"/>
                              </w:rPr>
                              <w:t>limited</w:t>
                            </w:r>
                            <w:r>
                              <w:rPr>
                                <w:i/>
                                <w:color w:val="000000"/>
                                <w:spacing w:val="-3"/>
                                <w:sz w:val="22"/>
                              </w:rPr>
                              <w:t> </w:t>
                            </w:r>
                            <w:r>
                              <w:rPr>
                                <w:i/>
                                <w:color w:val="000000"/>
                                <w:sz w:val="22"/>
                              </w:rPr>
                              <w:t>to</w:t>
                            </w:r>
                            <w:r>
                              <w:rPr>
                                <w:i/>
                                <w:color w:val="000000"/>
                                <w:spacing w:val="-3"/>
                                <w:sz w:val="22"/>
                              </w:rPr>
                              <w:t> </w:t>
                            </w:r>
                            <w:r>
                              <w:rPr>
                                <w:i/>
                                <w:color w:val="000000"/>
                                <w:sz w:val="22"/>
                              </w:rPr>
                              <w:t>just</w:t>
                            </w:r>
                            <w:r>
                              <w:rPr>
                                <w:i/>
                                <w:color w:val="000000"/>
                                <w:spacing w:val="-2"/>
                                <w:sz w:val="22"/>
                              </w:rPr>
                              <w:t> </w:t>
                            </w:r>
                            <w:r>
                              <w:rPr>
                                <w:i/>
                                <w:color w:val="000000"/>
                                <w:sz w:val="22"/>
                              </w:rPr>
                              <w:t>high</w:t>
                            </w:r>
                            <w:r>
                              <w:rPr>
                                <w:i/>
                                <w:color w:val="000000"/>
                                <w:spacing w:val="-1"/>
                                <w:sz w:val="22"/>
                              </w:rPr>
                              <w:t> </w:t>
                            </w:r>
                            <w:r>
                              <w:rPr>
                                <w:i/>
                                <w:color w:val="000000"/>
                                <w:sz w:val="22"/>
                              </w:rPr>
                              <w:t>level</w:t>
                            </w:r>
                            <w:r>
                              <w:rPr>
                                <w:i/>
                                <w:color w:val="000000"/>
                                <w:spacing w:val="-1"/>
                                <w:sz w:val="22"/>
                              </w:rPr>
                              <w:t> </w:t>
                            </w:r>
                            <w:r>
                              <w:rPr>
                                <w:i/>
                                <w:color w:val="000000"/>
                                <w:sz w:val="22"/>
                              </w:rPr>
                              <w:t>system descriptions</w:t>
                            </w:r>
                            <w:r>
                              <w:rPr>
                                <w:color w:val="000000"/>
                                <w:sz w:val="22"/>
                              </w:rPr>
                              <w:t>”</w:t>
                            </w:r>
                            <w:r>
                              <w:rPr>
                                <w:color w:val="000000"/>
                                <w:spacing w:val="-2"/>
                                <w:sz w:val="22"/>
                              </w:rPr>
                              <w:t> </w:t>
                            </w:r>
                            <w:r>
                              <w:rPr>
                                <w:color w:val="000000"/>
                                <w:sz w:val="22"/>
                              </w:rPr>
                              <w:t>(ESV, 2016, p. 17).</w:t>
                            </w:r>
                          </w:p>
                          <w:p>
                            <w:pPr>
                              <w:pStyle w:val="BodyText"/>
                              <w:spacing w:before="10"/>
                              <w:rPr>
                                <w:color w:val="000000"/>
                                <w:sz w:val="20"/>
                              </w:rPr>
                            </w:pPr>
                          </w:p>
                          <w:p>
                            <w:pPr>
                              <w:pStyle w:val="BodyText"/>
                              <w:spacing w:line="288" w:lineRule="auto"/>
                              <w:ind w:left="112" w:right="140"/>
                              <w:rPr>
                                <w:color w:val="000000"/>
                              </w:rPr>
                            </w:pPr>
                            <w:r>
                              <w:rPr>
                                <w:color w:val="000000"/>
                              </w:rPr>
                              <w:t>Measurable content that links to safety obligations makes it clearer for the regulator to determine</w:t>
                            </w:r>
                            <w:r>
                              <w:rPr>
                                <w:color w:val="000000"/>
                                <w:spacing w:val="-3"/>
                              </w:rPr>
                              <w:t> </w:t>
                            </w:r>
                            <w:r>
                              <w:rPr>
                                <w:color w:val="000000"/>
                              </w:rPr>
                              <w:t>adequacy</w:t>
                            </w:r>
                            <w:r>
                              <w:rPr>
                                <w:color w:val="000000"/>
                                <w:spacing w:val="-5"/>
                              </w:rPr>
                              <w:t> </w:t>
                            </w:r>
                            <w:r>
                              <w:rPr>
                                <w:color w:val="000000"/>
                              </w:rPr>
                              <w:t>of</w:t>
                            </w:r>
                            <w:r>
                              <w:rPr>
                                <w:color w:val="000000"/>
                                <w:spacing w:val="-1"/>
                              </w:rPr>
                              <w:t> </w:t>
                            </w:r>
                            <w:r>
                              <w:rPr>
                                <w:color w:val="000000"/>
                              </w:rPr>
                              <w:t>a</w:t>
                            </w:r>
                            <w:r>
                              <w:rPr>
                                <w:color w:val="000000"/>
                                <w:spacing w:val="-5"/>
                              </w:rPr>
                              <w:t> </w:t>
                            </w:r>
                            <w:r>
                              <w:rPr>
                                <w:color w:val="000000"/>
                              </w:rPr>
                              <w:t>safety</w:t>
                            </w:r>
                            <w:r>
                              <w:rPr>
                                <w:color w:val="000000"/>
                                <w:spacing w:val="-5"/>
                              </w:rPr>
                              <w:t> </w:t>
                            </w:r>
                            <w:r>
                              <w:rPr>
                                <w:color w:val="000000"/>
                              </w:rPr>
                              <w:t>case,</w:t>
                            </w:r>
                            <w:r>
                              <w:rPr>
                                <w:color w:val="000000"/>
                                <w:spacing w:val="-4"/>
                              </w:rPr>
                              <w:t> </w:t>
                            </w:r>
                            <w:r>
                              <w:rPr>
                                <w:color w:val="000000"/>
                              </w:rPr>
                              <w:t>and</w:t>
                            </w:r>
                            <w:r>
                              <w:rPr>
                                <w:color w:val="000000"/>
                                <w:spacing w:val="-3"/>
                              </w:rPr>
                              <w:t> </w:t>
                            </w:r>
                            <w:r>
                              <w:rPr>
                                <w:color w:val="000000"/>
                              </w:rPr>
                              <w:t>once</w:t>
                            </w:r>
                            <w:r>
                              <w:rPr>
                                <w:color w:val="000000"/>
                                <w:spacing w:val="-3"/>
                              </w:rPr>
                              <w:t> </w:t>
                            </w:r>
                            <w:r>
                              <w:rPr>
                                <w:color w:val="000000"/>
                              </w:rPr>
                              <w:t>in</w:t>
                            </w:r>
                            <w:r>
                              <w:rPr>
                                <w:color w:val="000000"/>
                                <w:spacing w:val="-6"/>
                              </w:rPr>
                              <w:t> </w:t>
                            </w:r>
                            <w:r>
                              <w:rPr>
                                <w:color w:val="000000"/>
                              </w:rPr>
                              <w:t>force,</w:t>
                            </w:r>
                            <w:r>
                              <w:rPr>
                                <w:color w:val="000000"/>
                                <w:spacing w:val="-3"/>
                              </w:rPr>
                              <w:t> </w:t>
                            </w:r>
                            <w:r>
                              <w:rPr>
                                <w:color w:val="000000"/>
                              </w:rPr>
                              <w:t>whether</w:t>
                            </w:r>
                            <w:r>
                              <w:rPr>
                                <w:color w:val="000000"/>
                                <w:spacing w:val="-2"/>
                              </w:rPr>
                              <w:t> </w:t>
                            </w:r>
                            <w:r>
                              <w:rPr>
                                <w:color w:val="000000"/>
                              </w:rPr>
                              <w:t>operations</w:t>
                            </w:r>
                            <w:r>
                              <w:rPr>
                                <w:color w:val="000000"/>
                                <w:spacing w:val="-2"/>
                              </w:rPr>
                              <w:t> </w:t>
                            </w:r>
                            <w:r>
                              <w:rPr>
                                <w:color w:val="000000"/>
                              </w:rPr>
                              <w:t>are</w:t>
                            </w:r>
                            <w:r>
                              <w:rPr>
                                <w:color w:val="000000"/>
                                <w:spacing w:val="-4"/>
                              </w:rPr>
                              <w:t> </w:t>
                            </w:r>
                            <w:r>
                              <w:rPr>
                                <w:color w:val="000000"/>
                              </w:rPr>
                              <w:t>compliant with obligations. It also makes compliance more certain for the regulated entity.</w:t>
                            </w:r>
                          </w:p>
                        </w:txbxContent>
                      </wps:txbx>
                      <wps:bodyPr wrap="square" lIns="0" tIns="0" rIns="0" bIns="0" rtlCol="0">
                        <a:noAutofit/>
                      </wps:bodyPr>
                    </wps:wsp>
                  </a:graphicData>
                </a:graphic>
              </wp:inline>
            </w:drawing>
          </mc:Choice>
          <mc:Fallback>
            <w:pict>
              <v:shape style="width:462.25pt;height:190.95pt;mso-position-horizontal-relative:char;mso-position-vertical-relative:line" type="#_x0000_t202" id="docshape193" filled="true" fillcolor="#cdebeb" stroked="false">
                <w10:anchorlock/>
                <v:textbox inset="0,0,0,0">
                  <w:txbxContent>
                    <w:p>
                      <w:pPr>
                        <w:spacing w:line="288" w:lineRule="auto" w:before="0"/>
                        <w:ind w:left="112" w:right="120" w:firstLine="0"/>
                        <w:jc w:val="left"/>
                        <w:rPr>
                          <w:color w:val="000000"/>
                          <w:sz w:val="22"/>
                        </w:rPr>
                      </w:pPr>
                      <w:r>
                        <w:rPr>
                          <w:color w:val="000000"/>
                          <w:sz w:val="22"/>
                        </w:rPr>
                        <w:t>In its guidance on Electricity Safety Management Schemes, ESV states that the document “</w:t>
                      </w:r>
                      <w:r>
                        <w:rPr>
                          <w:i/>
                          <w:color w:val="000000"/>
                          <w:sz w:val="22"/>
                        </w:rPr>
                        <w:t>must be written using statements of compliance and commitments, e.g. ‘</w:t>
                      </w:r>
                      <w:r>
                        <w:rPr>
                          <w:color w:val="000000"/>
                          <w:sz w:val="22"/>
                        </w:rPr>
                        <w:t>Business X will do A, B and C on a weekly basis to ensure asset types Y meet the requirements specified in</w:t>
                      </w:r>
                      <w:r>
                        <w:rPr>
                          <w:color w:val="000000"/>
                          <w:sz w:val="22"/>
                        </w:rPr>
                        <w:t> AS. 5577</w:t>
                      </w:r>
                      <w:r>
                        <w:rPr>
                          <w:color w:val="000000"/>
                          <w:spacing w:val="-2"/>
                          <w:sz w:val="22"/>
                        </w:rPr>
                        <w:t> </w:t>
                      </w:r>
                      <w:r>
                        <w:rPr>
                          <w:color w:val="000000"/>
                          <w:sz w:val="22"/>
                        </w:rPr>
                        <w:t>section Z’</w:t>
                      </w:r>
                      <w:r>
                        <w:rPr>
                          <w:i/>
                          <w:color w:val="000000"/>
                          <w:sz w:val="22"/>
                        </w:rPr>
                        <w:t>. Aspirational statements</w:t>
                      </w:r>
                      <w:r>
                        <w:rPr>
                          <w:i/>
                          <w:color w:val="000000"/>
                          <w:spacing w:val="-2"/>
                          <w:sz w:val="22"/>
                        </w:rPr>
                        <w:t> </w:t>
                      </w:r>
                      <w:r>
                        <w:rPr>
                          <w:i/>
                          <w:color w:val="000000"/>
                          <w:sz w:val="22"/>
                        </w:rPr>
                        <w:t>should not be</w:t>
                      </w:r>
                      <w:r>
                        <w:rPr>
                          <w:i/>
                          <w:color w:val="000000"/>
                          <w:spacing w:val="-2"/>
                          <w:sz w:val="22"/>
                        </w:rPr>
                        <w:t> </w:t>
                      </w:r>
                      <w:r>
                        <w:rPr>
                          <w:i/>
                          <w:color w:val="000000"/>
                          <w:sz w:val="22"/>
                        </w:rPr>
                        <w:t>used …</w:t>
                      </w:r>
                      <w:r>
                        <w:rPr>
                          <w:i/>
                          <w:color w:val="000000"/>
                          <w:spacing w:val="-2"/>
                          <w:sz w:val="22"/>
                        </w:rPr>
                        <w:t> </w:t>
                      </w:r>
                      <w:r>
                        <w:rPr>
                          <w:i/>
                          <w:color w:val="000000"/>
                          <w:sz w:val="22"/>
                        </w:rPr>
                        <w:t>In</w:t>
                      </w:r>
                      <w:r>
                        <w:rPr>
                          <w:i/>
                          <w:color w:val="000000"/>
                          <w:spacing w:val="-2"/>
                          <w:sz w:val="22"/>
                        </w:rPr>
                        <w:t> </w:t>
                      </w:r>
                      <w:r>
                        <w:rPr>
                          <w:i/>
                          <w:color w:val="000000"/>
                          <w:sz w:val="22"/>
                        </w:rPr>
                        <w:t>addition, ESV expects to</w:t>
                      </w:r>
                      <w:r>
                        <w:rPr>
                          <w:i/>
                          <w:color w:val="000000"/>
                          <w:spacing w:val="-2"/>
                          <w:sz w:val="22"/>
                        </w:rPr>
                        <w:t> </w:t>
                      </w:r>
                      <w:r>
                        <w:rPr>
                          <w:i/>
                          <w:color w:val="000000"/>
                          <w:sz w:val="22"/>
                        </w:rPr>
                        <w:t>see</w:t>
                      </w:r>
                      <w:r>
                        <w:rPr>
                          <w:i/>
                          <w:color w:val="000000"/>
                          <w:spacing w:val="-4"/>
                          <w:sz w:val="22"/>
                        </w:rPr>
                        <w:t> </w:t>
                      </w:r>
                      <w:r>
                        <w:rPr>
                          <w:i/>
                          <w:color w:val="000000"/>
                          <w:sz w:val="22"/>
                        </w:rPr>
                        <w:t>a</w:t>
                      </w:r>
                      <w:r>
                        <w:rPr>
                          <w:i/>
                          <w:color w:val="000000"/>
                          <w:spacing w:val="-4"/>
                          <w:sz w:val="22"/>
                        </w:rPr>
                        <w:t> </w:t>
                      </w:r>
                      <w:r>
                        <w:rPr>
                          <w:i/>
                          <w:color w:val="000000"/>
                          <w:sz w:val="22"/>
                        </w:rPr>
                        <w:t>supporting</w:t>
                      </w:r>
                      <w:r>
                        <w:rPr>
                          <w:i/>
                          <w:color w:val="000000"/>
                          <w:spacing w:val="-2"/>
                          <w:sz w:val="22"/>
                        </w:rPr>
                        <w:t> </w:t>
                      </w:r>
                      <w:r>
                        <w:rPr>
                          <w:i/>
                          <w:color w:val="000000"/>
                          <w:sz w:val="22"/>
                        </w:rPr>
                        <w:t>explanation</w:t>
                      </w:r>
                      <w:r>
                        <w:rPr>
                          <w:i/>
                          <w:color w:val="000000"/>
                          <w:spacing w:val="-2"/>
                          <w:sz w:val="22"/>
                        </w:rPr>
                        <w:t> </w:t>
                      </w:r>
                      <w:r>
                        <w:rPr>
                          <w:i/>
                          <w:color w:val="000000"/>
                          <w:sz w:val="22"/>
                        </w:rPr>
                        <w:t>of</w:t>
                      </w:r>
                      <w:r>
                        <w:rPr>
                          <w:i/>
                          <w:color w:val="000000"/>
                          <w:spacing w:val="-2"/>
                          <w:sz w:val="22"/>
                        </w:rPr>
                        <w:t> </w:t>
                      </w:r>
                      <w:r>
                        <w:rPr>
                          <w:i/>
                          <w:color w:val="000000"/>
                          <w:sz w:val="22"/>
                        </w:rPr>
                        <w:t>how</w:t>
                      </w:r>
                      <w:r>
                        <w:rPr>
                          <w:i/>
                          <w:color w:val="000000"/>
                          <w:spacing w:val="-2"/>
                          <w:sz w:val="22"/>
                        </w:rPr>
                        <w:t> </w:t>
                      </w:r>
                      <w:r>
                        <w:rPr>
                          <w:i/>
                          <w:color w:val="000000"/>
                          <w:sz w:val="22"/>
                        </w:rPr>
                        <w:t>the</w:t>
                      </w:r>
                      <w:r>
                        <w:rPr>
                          <w:i/>
                          <w:color w:val="000000"/>
                          <w:spacing w:val="-2"/>
                          <w:sz w:val="22"/>
                        </w:rPr>
                        <w:t> </w:t>
                      </w:r>
                      <w:r>
                        <w:rPr>
                          <w:i/>
                          <w:color w:val="000000"/>
                          <w:sz w:val="22"/>
                        </w:rPr>
                        <w:t>stated</w:t>
                      </w:r>
                      <w:r>
                        <w:rPr>
                          <w:i/>
                          <w:color w:val="000000"/>
                          <w:spacing w:val="-2"/>
                          <w:sz w:val="22"/>
                        </w:rPr>
                        <w:t> </w:t>
                      </w:r>
                      <w:r>
                        <w:rPr>
                          <w:i/>
                          <w:color w:val="000000"/>
                          <w:sz w:val="22"/>
                        </w:rPr>
                        <w:t>outcome</w:t>
                      </w:r>
                      <w:r>
                        <w:rPr>
                          <w:i/>
                          <w:color w:val="000000"/>
                          <w:spacing w:val="-4"/>
                          <w:sz w:val="22"/>
                        </w:rPr>
                        <w:t> </w:t>
                      </w:r>
                      <w:r>
                        <w:rPr>
                          <w:i/>
                          <w:color w:val="000000"/>
                          <w:sz w:val="22"/>
                        </w:rPr>
                        <w:t>will</w:t>
                      </w:r>
                      <w:r>
                        <w:rPr>
                          <w:i/>
                          <w:color w:val="000000"/>
                          <w:spacing w:val="-2"/>
                          <w:sz w:val="22"/>
                        </w:rPr>
                        <w:t> </w:t>
                      </w:r>
                      <w:r>
                        <w:rPr>
                          <w:i/>
                          <w:color w:val="000000"/>
                          <w:sz w:val="22"/>
                        </w:rPr>
                        <w:t>be</w:t>
                      </w:r>
                      <w:r>
                        <w:rPr>
                          <w:i/>
                          <w:color w:val="000000"/>
                          <w:spacing w:val="-2"/>
                          <w:sz w:val="22"/>
                        </w:rPr>
                        <w:t> </w:t>
                      </w:r>
                      <w:r>
                        <w:rPr>
                          <w:i/>
                          <w:color w:val="000000"/>
                          <w:sz w:val="22"/>
                        </w:rPr>
                        <w:t>delivered</w:t>
                      </w:r>
                      <w:r>
                        <w:rPr>
                          <w:color w:val="000000"/>
                          <w:sz w:val="22"/>
                        </w:rPr>
                        <w:t>.”</w:t>
                      </w:r>
                      <w:r>
                        <w:rPr>
                          <w:color w:val="000000"/>
                          <w:spacing w:val="-5"/>
                          <w:sz w:val="22"/>
                        </w:rPr>
                        <w:t> </w:t>
                      </w:r>
                      <w:r>
                        <w:rPr>
                          <w:color w:val="000000"/>
                          <w:sz w:val="22"/>
                        </w:rPr>
                        <w:t>They</w:t>
                      </w:r>
                      <w:r>
                        <w:rPr>
                          <w:color w:val="000000"/>
                          <w:spacing w:val="-4"/>
                          <w:sz w:val="22"/>
                        </w:rPr>
                        <w:t> </w:t>
                      </w:r>
                      <w:r>
                        <w:rPr>
                          <w:color w:val="000000"/>
                          <w:sz w:val="22"/>
                        </w:rPr>
                        <w:t>also</w:t>
                      </w:r>
                      <w:r>
                        <w:rPr>
                          <w:color w:val="000000"/>
                          <w:spacing w:val="-1"/>
                          <w:sz w:val="22"/>
                        </w:rPr>
                        <w:t> </w:t>
                      </w:r>
                      <w:r>
                        <w:rPr>
                          <w:color w:val="000000"/>
                          <w:sz w:val="22"/>
                        </w:rPr>
                        <w:t>must “</w:t>
                      </w:r>
                      <w:r>
                        <w:rPr>
                          <w:i/>
                          <w:color w:val="000000"/>
                          <w:sz w:val="22"/>
                        </w:rPr>
                        <w:t>adequately describe how the ESMS actually works in the field to control risks associated with</w:t>
                      </w:r>
                      <w:r>
                        <w:rPr>
                          <w:i/>
                          <w:color w:val="000000"/>
                          <w:spacing w:val="-3"/>
                          <w:sz w:val="22"/>
                        </w:rPr>
                        <w:t> </w:t>
                      </w:r>
                      <w:r>
                        <w:rPr>
                          <w:i/>
                          <w:color w:val="000000"/>
                          <w:sz w:val="22"/>
                        </w:rPr>
                        <w:t>identified</w:t>
                      </w:r>
                      <w:r>
                        <w:rPr>
                          <w:i/>
                          <w:color w:val="000000"/>
                          <w:spacing w:val="-1"/>
                          <w:sz w:val="22"/>
                        </w:rPr>
                        <w:t> </w:t>
                      </w:r>
                      <w:r>
                        <w:rPr>
                          <w:i/>
                          <w:color w:val="000000"/>
                          <w:sz w:val="22"/>
                        </w:rPr>
                        <w:t>hazards, and</w:t>
                      </w:r>
                      <w:r>
                        <w:rPr>
                          <w:i/>
                          <w:color w:val="000000"/>
                          <w:spacing w:val="-1"/>
                          <w:sz w:val="22"/>
                        </w:rPr>
                        <w:t> </w:t>
                      </w:r>
                      <w:r>
                        <w:rPr>
                          <w:i/>
                          <w:color w:val="000000"/>
                          <w:sz w:val="22"/>
                        </w:rPr>
                        <w:t>not</w:t>
                      </w:r>
                      <w:r>
                        <w:rPr>
                          <w:i/>
                          <w:color w:val="000000"/>
                          <w:spacing w:val="-2"/>
                          <w:sz w:val="22"/>
                        </w:rPr>
                        <w:t> </w:t>
                      </w:r>
                      <w:r>
                        <w:rPr>
                          <w:i/>
                          <w:color w:val="000000"/>
                          <w:sz w:val="22"/>
                        </w:rPr>
                        <w:t>be</w:t>
                      </w:r>
                      <w:r>
                        <w:rPr>
                          <w:i/>
                          <w:color w:val="000000"/>
                          <w:spacing w:val="-1"/>
                          <w:sz w:val="22"/>
                        </w:rPr>
                        <w:t> </w:t>
                      </w:r>
                      <w:r>
                        <w:rPr>
                          <w:i/>
                          <w:color w:val="000000"/>
                          <w:sz w:val="22"/>
                        </w:rPr>
                        <w:t>limited</w:t>
                      </w:r>
                      <w:r>
                        <w:rPr>
                          <w:i/>
                          <w:color w:val="000000"/>
                          <w:spacing w:val="-3"/>
                          <w:sz w:val="22"/>
                        </w:rPr>
                        <w:t> </w:t>
                      </w:r>
                      <w:r>
                        <w:rPr>
                          <w:i/>
                          <w:color w:val="000000"/>
                          <w:sz w:val="22"/>
                        </w:rPr>
                        <w:t>to</w:t>
                      </w:r>
                      <w:r>
                        <w:rPr>
                          <w:i/>
                          <w:color w:val="000000"/>
                          <w:spacing w:val="-3"/>
                          <w:sz w:val="22"/>
                        </w:rPr>
                        <w:t> </w:t>
                      </w:r>
                      <w:r>
                        <w:rPr>
                          <w:i/>
                          <w:color w:val="000000"/>
                          <w:sz w:val="22"/>
                        </w:rPr>
                        <w:t>just</w:t>
                      </w:r>
                      <w:r>
                        <w:rPr>
                          <w:i/>
                          <w:color w:val="000000"/>
                          <w:spacing w:val="-2"/>
                          <w:sz w:val="22"/>
                        </w:rPr>
                        <w:t> </w:t>
                      </w:r>
                      <w:r>
                        <w:rPr>
                          <w:i/>
                          <w:color w:val="000000"/>
                          <w:sz w:val="22"/>
                        </w:rPr>
                        <w:t>high</w:t>
                      </w:r>
                      <w:r>
                        <w:rPr>
                          <w:i/>
                          <w:color w:val="000000"/>
                          <w:spacing w:val="-1"/>
                          <w:sz w:val="22"/>
                        </w:rPr>
                        <w:t> </w:t>
                      </w:r>
                      <w:r>
                        <w:rPr>
                          <w:i/>
                          <w:color w:val="000000"/>
                          <w:sz w:val="22"/>
                        </w:rPr>
                        <w:t>level</w:t>
                      </w:r>
                      <w:r>
                        <w:rPr>
                          <w:i/>
                          <w:color w:val="000000"/>
                          <w:spacing w:val="-1"/>
                          <w:sz w:val="22"/>
                        </w:rPr>
                        <w:t> </w:t>
                      </w:r>
                      <w:r>
                        <w:rPr>
                          <w:i/>
                          <w:color w:val="000000"/>
                          <w:sz w:val="22"/>
                        </w:rPr>
                        <w:t>system descriptions</w:t>
                      </w:r>
                      <w:r>
                        <w:rPr>
                          <w:color w:val="000000"/>
                          <w:sz w:val="22"/>
                        </w:rPr>
                        <w:t>”</w:t>
                      </w:r>
                      <w:r>
                        <w:rPr>
                          <w:color w:val="000000"/>
                          <w:spacing w:val="-2"/>
                          <w:sz w:val="22"/>
                        </w:rPr>
                        <w:t> </w:t>
                      </w:r>
                      <w:r>
                        <w:rPr>
                          <w:color w:val="000000"/>
                          <w:sz w:val="22"/>
                        </w:rPr>
                        <w:t>(ESV, 2016, p. 17).</w:t>
                      </w:r>
                    </w:p>
                    <w:p>
                      <w:pPr>
                        <w:pStyle w:val="BodyText"/>
                        <w:spacing w:before="10"/>
                        <w:rPr>
                          <w:color w:val="000000"/>
                          <w:sz w:val="20"/>
                        </w:rPr>
                      </w:pPr>
                    </w:p>
                    <w:p>
                      <w:pPr>
                        <w:pStyle w:val="BodyText"/>
                        <w:spacing w:line="288" w:lineRule="auto"/>
                        <w:ind w:left="112" w:right="140"/>
                        <w:rPr>
                          <w:color w:val="000000"/>
                        </w:rPr>
                      </w:pPr>
                      <w:r>
                        <w:rPr>
                          <w:color w:val="000000"/>
                        </w:rPr>
                        <w:t>Measurable content that links to safety obligations makes it clearer for the regulator to determine</w:t>
                      </w:r>
                      <w:r>
                        <w:rPr>
                          <w:color w:val="000000"/>
                          <w:spacing w:val="-3"/>
                        </w:rPr>
                        <w:t> </w:t>
                      </w:r>
                      <w:r>
                        <w:rPr>
                          <w:color w:val="000000"/>
                        </w:rPr>
                        <w:t>adequacy</w:t>
                      </w:r>
                      <w:r>
                        <w:rPr>
                          <w:color w:val="000000"/>
                          <w:spacing w:val="-5"/>
                        </w:rPr>
                        <w:t> </w:t>
                      </w:r>
                      <w:r>
                        <w:rPr>
                          <w:color w:val="000000"/>
                        </w:rPr>
                        <w:t>of</w:t>
                      </w:r>
                      <w:r>
                        <w:rPr>
                          <w:color w:val="000000"/>
                          <w:spacing w:val="-1"/>
                        </w:rPr>
                        <w:t> </w:t>
                      </w:r>
                      <w:r>
                        <w:rPr>
                          <w:color w:val="000000"/>
                        </w:rPr>
                        <w:t>a</w:t>
                      </w:r>
                      <w:r>
                        <w:rPr>
                          <w:color w:val="000000"/>
                          <w:spacing w:val="-5"/>
                        </w:rPr>
                        <w:t> </w:t>
                      </w:r>
                      <w:r>
                        <w:rPr>
                          <w:color w:val="000000"/>
                        </w:rPr>
                        <w:t>safety</w:t>
                      </w:r>
                      <w:r>
                        <w:rPr>
                          <w:color w:val="000000"/>
                          <w:spacing w:val="-5"/>
                        </w:rPr>
                        <w:t> </w:t>
                      </w:r>
                      <w:r>
                        <w:rPr>
                          <w:color w:val="000000"/>
                        </w:rPr>
                        <w:t>case,</w:t>
                      </w:r>
                      <w:r>
                        <w:rPr>
                          <w:color w:val="000000"/>
                          <w:spacing w:val="-4"/>
                        </w:rPr>
                        <w:t> </w:t>
                      </w:r>
                      <w:r>
                        <w:rPr>
                          <w:color w:val="000000"/>
                        </w:rPr>
                        <w:t>and</w:t>
                      </w:r>
                      <w:r>
                        <w:rPr>
                          <w:color w:val="000000"/>
                          <w:spacing w:val="-3"/>
                        </w:rPr>
                        <w:t> </w:t>
                      </w:r>
                      <w:r>
                        <w:rPr>
                          <w:color w:val="000000"/>
                        </w:rPr>
                        <w:t>once</w:t>
                      </w:r>
                      <w:r>
                        <w:rPr>
                          <w:color w:val="000000"/>
                          <w:spacing w:val="-3"/>
                        </w:rPr>
                        <w:t> </w:t>
                      </w:r>
                      <w:r>
                        <w:rPr>
                          <w:color w:val="000000"/>
                        </w:rPr>
                        <w:t>in</w:t>
                      </w:r>
                      <w:r>
                        <w:rPr>
                          <w:color w:val="000000"/>
                          <w:spacing w:val="-6"/>
                        </w:rPr>
                        <w:t> </w:t>
                      </w:r>
                      <w:r>
                        <w:rPr>
                          <w:color w:val="000000"/>
                        </w:rPr>
                        <w:t>force,</w:t>
                      </w:r>
                      <w:r>
                        <w:rPr>
                          <w:color w:val="000000"/>
                          <w:spacing w:val="-3"/>
                        </w:rPr>
                        <w:t> </w:t>
                      </w:r>
                      <w:r>
                        <w:rPr>
                          <w:color w:val="000000"/>
                        </w:rPr>
                        <w:t>whether</w:t>
                      </w:r>
                      <w:r>
                        <w:rPr>
                          <w:color w:val="000000"/>
                          <w:spacing w:val="-2"/>
                        </w:rPr>
                        <w:t> </w:t>
                      </w:r>
                      <w:r>
                        <w:rPr>
                          <w:color w:val="000000"/>
                        </w:rPr>
                        <w:t>operations</w:t>
                      </w:r>
                      <w:r>
                        <w:rPr>
                          <w:color w:val="000000"/>
                          <w:spacing w:val="-2"/>
                        </w:rPr>
                        <w:t> </w:t>
                      </w:r>
                      <w:r>
                        <w:rPr>
                          <w:color w:val="000000"/>
                        </w:rPr>
                        <w:t>are</w:t>
                      </w:r>
                      <w:r>
                        <w:rPr>
                          <w:color w:val="000000"/>
                          <w:spacing w:val="-4"/>
                        </w:rPr>
                        <w:t> </w:t>
                      </w:r>
                      <w:r>
                        <w:rPr>
                          <w:color w:val="000000"/>
                        </w:rPr>
                        <w:t>compliant with obligations. It also makes compliance more certain for the regulated entity.</w:t>
                      </w:r>
                    </w:p>
                  </w:txbxContent>
                </v:textbox>
                <v:fill type="solid"/>
              </v:shape>
            </w:pict>
          </mc:Fallback>
        </mc:AlternateContent>
      </w:r>
      <w:r>
        <w:rPr>
          <w:sz w:val="20"/>
        </w:rPr>
      </w:r>
    </w:p>
    <w:p>
      <w:pPr>
        <w:pStyle w:val="BodyText"/>
        <w:spacing w:before="8"/>
        <w:rPr>
          <w:sz w:val="20"/>
        </w:rPr>
      </w:pPr>
    </w:p>
    <w:p>
      <w:pPr>
        <w:spacing w:line="288" w:lineRule="auto" w:before="94"/>
        <w:ind w:left="232" w:right="320" w:firstLine="0"/>
        <w:jc w:val="left"/>
        <w:rPr>
          <w:sz w:val="22"/>
        </w:rPr>
      </w:pPr>
      <w:r>
        <w:rPr>
          <w:sz w:val="22"/>
        </w:rPr>
        <w:t>Another</w:t>
      </w:r>
      <w:r>
        <w:rPr>
          <w:spacing w:val="-3"/>
          <w:sz w:val="22"/>
        </w:rPr>
        <w:t> </w:t>
      </w:r>
      <w:r>
        <w:rPr>
          <w:sz w:val="22"/>
        </w:rPr>
        <w:t>key</w:t>
      </w:r>
      <w:r>
        <w:rPr>
          <w:spacing w:val="-4"/>
          <w:sz w:val="22"/>
        </w:rPr>
        <w:t> </w:t>
      </w:r>
      <w:r>
        <w:rPr>
          <w:sz w:val="22"/>
        </w:rPr>
        <w:t>area</w:t>
      </w:r>
      <w:r>
        <w:rPr>
          <w:spacing w:val="-3"/>
          <w:sz w:val="22"/>
        </w:rPr>
        <w:t> </w:t>
      </w:r>
      <w:r>
        <w:rPr>
          <w:sz w:val="22"/>
        </w:rPr>
        <w:t>that</w:t>
      </w:r>
      <w:r>
        <w:rPr>
          <w:spacing w:val="-3"/>
          <w:sz w:val="22"/>
        </w:rPr>
        <w:t> </w:t>
      </w:r>
      <w:r>
        <w:rPr>
          <w:sz w:val="22"/>
        </w:rPr>
        <w:t>requires</w:t>
      </w:r>
      <w:r>
        <w:rPr>
          <w:spacing w:val="-4"/>
          <w:sz w:val="22"/>
        </w:rPr>
        <w:t> </w:t>
      </w:r>
      <w:r>
        <w:rPr>
          <w:sz w:val="22"/>
        </w:rPr>
        <w:t>a</w:t>
      </w:r>
      <w:r>
        <w:rPr>
          <w:spacing w:val="-4"/>
          <w:sz w:val="22"/>
        </w:rPr>
        <w:t> </w:t>
      </w:r>
      <w:r>
        <w:rPr>
          <w:sz w:val="22"/>
        </w:rPr>
        <w:t>common</w:t>
      </w:r>
      <w:r>
        <w:rPr>
          <w:spacing w:val="-2"/>
          <w:sz w:val="22"/>
        </w:rPr>
        <w:t> </w:t>
      </w:r>
      <w:r>
        <w:rPr>
          <w:sz w:val="22"/>
        </w:rPr>
        <w:t>understanding</w:t>
      </w:r>
      <w:r>
        <w:rPr>
          <w:spacing w:val="-2"/>
          <w:sz w:val="22"/>
        </w:rPr>
        <w:t> </w:t>
      </w:r>
      <w:r>
        <w:rPr>
          <w:sz w:val="22"/>
        </w:rPr>
        <w:t>is</w:t>
      </w:r>
      <w:r>
        <w:rPr>
          <w:spacing w:val="-4"/>
          <w:sz w:val="22"/>
        </w:rPr>
        <w:t> </w:t>
      </w:r>
      <w:r>
        <w:rPr>
          <w:sz w:val="22"/>
        </w:rPr>
        <w:t>the application</w:t>
      </w:r>
      <w:r>
        <w:rPr>
          <w:spacing w:val="-4"/>
          <w:sz w:val="22"/>
        </w:rPr>
        <w:t> </w:t>
      </w:r>
      <w:r>
        <w:rPr>
          <w:sz w:val="22"/>
        </w:rPr>
        <w:t>of the</w:t>
      </w:r>
      <w:r>
        <w:rPr>
          <w:spacing w:val="-4"/>
          <w:sz w:val="22"/>
        </w:rPr>
        <w:t> </w:t>
      </w:r>
      <w:r>
        <w:rPr>
          <w:sz w:val="22"/>
        </w:rPr>
        <w:t>precaution-based approach to managing risk. This is discussed further in </w:t>
      </w:r>
      <w:r>
        <w:rPr>
          <w:i/>
          <w:sz w:val="22"/>
        </w:rPr>
        <w:t>Part C: Leading Practice and Network Safety Regulation</w:t>
      </w:r>
      <w:r>
        <w:rPr>
          <w:sz w:val="22"/>
        </w:rPr>
        <w:t>, and Box 30.</w:t>
      </w:r>
    </w:p>
    <w:p>
      <w:pPr>
        <w:pStyle w:val="BodyText"/>
        <w:rPr>
          <w:sz w:val="20"/>
        </w:rPr>
      </w:pPr>
    </w:p>
    <w:p>
      <w:pPr>
        <w:pStyle w:val="BodyText"/>
        <w:spacing w:before="7"/>
        <w:rPr>
          <w:sz w:val="21"/>
        </w:rPr>
      </w:pPr>
    </w:p>
    <w:p>
      <w:pPr>
        <w:pStyle w:val="Heading7"/>
        <w:ind w:left="345"/>
      </w:pPr>
      <w:r>
        <w:rPr/>
        <mc:AlternateContent>
          <mc:Choice Requires="wps">
            <w:drawing>
              <wp:anchor distT="0" distB="0" distL="0" distR="0" allowOverlap="1" layoutInCell="1" locked="0" behindDoc="1" simplePos="0" relativeHeight="482761216">
                <wp:simplePos x="0" y="0"/>
                <wp:positionH relativeFrom="page">
                  <wp:posOffset>719327</wp:posOffset>
                </wp:positionH>
                <wp:positionV relativeFrom="paragraph">
                  <wp:posOffset>-152426</wp:posOffset>
                </wp:positionV>
                <wp:extent cx="5870575" cy="4344035"/>
                <wp:effectExtent l="0" t="0" r="0" b="0"/>
                <wp:wrapNone/>
                <wp:docPr id="225" name="Graphic 225"/>
                <wp:cNvGraphicFramePr>
                  <a:graphicFrameLocks/>
                </wp:cNvGraphicFramePr>
                <a:graphic>
                  <a:graphicData uri="http://schemas.microsoft.com/office/word/2010/wordprocessingShape">
                    <wps:wsp>
                      <wps:cNvPr id="225" name="Graphic 225"/>
                      <wps:cNvSpPr/>
                      <wps:spPr>
                        <a:xfrm>
                          <a:off x="0" y="0"/>
                          <a:ext cx="5870575" cy="4344035"/>
                        </a:xfrm>
                        <a:custGeom>
                          <a:avLst/>
                          <a:gdLst/>
                          <a:ahLst/>
                          <a:cxnLst/>
                          <a:rect l="l" t="t" r="r" b="b"/>
                          <a:pathLst>
                            <a:path w="5870575" h="4344035">
                              <a:moveTo>
                                <a:pt x="5870194" y="0"/>
                              </a:moveTo>
                              <a:lnTo>
                                <a:pt x="0" y="0"/>
                              </a:lnTo>
                              <a:lnTo>
                                <a:pt x="0" y="4344035"/>
                              </a:lnTo>
                              <a:lnTo>
                                <a:pt x="5870194" y="4344035"/>
                              </a:lnTo>
                              <a:lnTo>
                                <a:pt x="5870194" y="0"/>
                              </a:lnTo>
                              <a:close/>
                            </a:path>
                          </a:pathLst>
                        </a:custGeom>
                        <a:solidFill>
                          <a:srgbClr val="CDEBEB"/>
                        </a:solidFill>
                      </wps:spPr>
                      <wps:bodyPr wrap="square" lIns="0" tIns="0" rIns="0" bIns="0" rtlCol="0">
                        <a:prstTxWarp prst="textNoShape">
                          <a:avLst/>
                        </a:prstTxWarp>
                        <a:noAutofit/>
                      </wps:bodyPr>
                    </wps:wsp>
                  </a:graphicData>
                </a:graphic>
              </wp:anchor>
            </w:drawing>
          </mc:Choice>
          <mc:Fallback>
            <w:pict>
              <v:rect style="position:absolute;margin-left:56.639999pt;margin-top:-12.002114pt;width:462.22pt;height:342.05pt;mso-position-horizontal-relative:page;mso-position-vertical-relative:paragraph;z-index:-20555264" id="docshape194" filled="true" fillcolor="#cdebeb" stroked="false">
                <v:fill type="solid"/>
                <w10:wrap type="none"/>
              </v:rect>
            </w:pict>
          </mc:Fallback>
        </mc:AlternateContent>
      </w:r>
      <w:r>
        <w:rPr/>
        <w:t>Box</w:t>
      </w:r>
      <w:r>
        <w:rPr>
          <w:spacing w:val="-6"/>
        </w:rPr>
        <w:t> </w:t>
      </w:r>
      <w:r>
        <w:rPr/>
        <w:t>30:</w:t>
      </w:r>
      <w:r>
        <w:rPr>
          <w:spacing w:val="-4"/>
        </w:rPr>
        <w:t> </w:t>
      </w:r>
      <w:r>
        <w:rPr/>
        <w:t>ESV’s</w:t>
      </w:r>
      <w:r>
        <w:rPr>
          <w:spacing w:val="-7"/>
        </w:rPr>
        <w:t> </w:t>
      </w:r>
      <w:r>
        <w:rPr/>
        <w:t>guidance</w:t>
      </w:r>
      <w:r>
        <w:rPr>
          <w:spacing w:val="-5"/>
        </w:rPr>
        <w:t> </w:t>
      </w:r>
      <w:r>
        <w:rPr/>
        <w:t>on</w:t>
      </w:r>
      <w:r>
        <w:rPr>
          <w:spacing w:val="-7"/>
        </w:rPr>
        <w:t> </w:t>
      </w:r>
      <w:r>
        <w:rPr/>
        <w:t>the</w:t>
      </w:r>
      <w:r>
        <w:rPr>
          <w:spacing w:val="-5"/>
        </w:rPr>
        <w:t> </w:t>
      </w:r>
      <w:r>
        <w:rPr/>
        <w:t>precaution-based</w:t>
      </w:r>
      <w:r>
        <w:rPr>
          <w:spacing w:val="-5"/>
        </w:rPr>
        <w:t> </w:t>
      </w:r>
      <w:r>
        <w:rPr>
          <w:spacing w:val="-2"/>
        </w:rPr>
        <w:t>approach</w:t>
      </w:r>
    </w:p>
    <w:p>
      <w:pPr>
        <w:pStyle w:val="BodyText"/>
        <w:spacing w:before="2"/>
        <w:rPr>
          <w:b/>
          <w:sz w:val="25"/>
        </w:rPr>
      </w:pPr>
    </w:p>
    <w:p>
      <w:pPr>
        <w:spacing w:line="288" w:lineRule="auto" w:before="0"/>
        <w:ind w:left="345" w:right="951" w:firstLine="0"/>
        <w:jc w:val="left"/>
        <w:rPr>
          <w:sz w:val="22"/>
        </w:rPr>
      </w:pPr>
      <w:r>
        <w:rPr>
          <w:sz w:val="22"/>
        </w:rPr>
        <w:t>As</w:t>
      </w:r>
      <w:r>
        <w:rPr>
          <w:spacing w:val="-1"/>
          <w:sz w:val="22"/>
        </w:rPr>
        <w:t> </w:t>
      </w:r>
      <w:r>
        <w:rPr>
          <w:sz w:val="22"/>
        </w:rPr>
        <w:t>discussed</w:t>
      </w:r>
      <w:r>
        <w:rPr>
          <w:spacing w:val="-2"/>
          <w:sz w:val="22"/>
        </w:rPr>
        <w:t> </w:t>
      </w:r>
      <w:r>
        <w:rPr>
          <w:sz w:val="22"/>
        </w:rPr>
        <w:t>in</w:t>
      </w:r>
      <w:r>
        <w:rPr>
          <w:spacing w:val="-4"/>
          <w:sz w:val="22"/>
        </w:rPr>
        <w:t> </w:t>
      </w:r>
      <w:r>
        <w:rPr>
          <w:i/>
          <w:sz w:val="22"/>
        </w:rPr>
        <w:t>Part</w:t>
      </w:r>
      <w:r>
        <w:rPr>
          <w:i/>
          <w:spacing w:val="-2"/>
          <w:sz w:val="22"/>
        </w:rPr>
        <w:t> </w:t>
      </w:r>
      <w:r>
        <w:rPr>
          <w:i/>
          <w:sz w:val="22"/>
        </w:rPr>
        <w:t>C:</w:t>
      </w:r>
      <w:r>
        <w:rPr>
          <w:i/>
          <w:spacing w:val="-5"/>
          <w:sz w:val="22"/>
        </w:rPr>
        <w:t> </w:t>
      </w:r>
      <w:r>
        <w:rPr>
          <w:i/>
          <w:sz w:val="22"/>
        </w:rPr>
        <w:t>Leading</w:t>
      </w:r>
      <w:r>
        <w:rPr>
          <w:i/>
          <w:spacing w:val="-2"/>
          <w:sz w:val="22"/>
        </w:rPr>
        <w:t> </w:t>
      </w:r>
      <w:r>
        <w:rPr>
          <w:i/>
          <w:sz w:val="22"/>
        </w:rPr>
        <w:t>Practice</w:t>
      </w:r>
      <w:r>
        <w:rPr>
          <w:i/>
          <w:spacing w:val="-4"/>
          <w:sz w:val="22"/>
        </w:rPr>
        <w:t> </w:t>
      </w:r>
      <w:r>
        <w:rPr>
          <w:i/>
          <w:sz w:val="22"/>
        </w:rPr>
        <w:t>and</w:t>
      </w:r>
      <w:r>
        <w:rPr>
          <w:i/>
          <w:spacing w:val="-2"/>
          <w:sz w:val="22"/>
        </w:rPr>
        <w:t> </w:t>
      </w:r>
      <w:r>
        <w:rPr>
          <w:i/>
          <w:sz w:val="22"/>
        </w:rPr>
        <w:t>Network</w:t>
      </w:r>
      <w:r>
        <w:rPr>
          <w:i/>
          <w:spacing w:val="-4"/>
          <w:sz w:val="22"/>
        </w:rPr>
        <w:t> </w:t>
      </w:r>
      <w:r>
        <w:rPr>
          <w:i/>
          <w:sz w:val="22"/>
        </w:rPr>
        <w:t>Safety</w:t>
      </w:r>
      <w:r>
        <w:rPr>
          <w:i/>
          <w:spacing w:val="-1"/>
          <w:sz w:val="22"/>
        </w:rPr>
        <w:t> </w:t>
      </w:r>
      <w:r>
        <w:rPr>
          <w:i/>
          <w:sz w:val="22"/>
        </w:rPr>
        <w:t>Regulation</w:t>
      </w:r>
      <w:r>
        <w:rPr>
          <w:sz w:val="22"/>
        </w:rPr>
        <w:t>,</w:t>
      </w:r>
      <w:r>
        <w:rPr>
          <w:spacing w:val="-5"/>
          <w:sz w:val="22"/>
        </w:rPr>
        <w:t> </w:t>
      </w:r>
      <w:r>
        <w:rPr>
          <w:sz w:val="22"/>
        </w:rPr>
        <w:t>meeting</w:t>
      </w:r>
      <w:r>
        <w:rPr>
          <w:spacing w:val="-1"/>
          <w:sz w:val="22"/>
        </w:rPr>
        <w:t> </w:t>
      </w:r>
      <w:r>
        <w:rPr>
          <w:sz w:val="22"/>
        </w:rPr>
        <w:t>safety duties requires an assessment of reasonably practicable precautions.</w:t>
      </w:r>
    </w:p>
    <w:p>
      <w:pPr>
        <w:pStyle w:val="BodyText"/>
        <w:spacing w:before="10"/>
        <w:rPr>
          <w:sz w:val="20"/>
        </w:rPr>
      </w:pPr>
    </w:p>
    <w:p>
      <w:pPr>
        <w:pStyle w:val="BodyText"/>
        <w:spacing w:line="288" w:lineRule="auto"/>
        <w:ind w:left="345" w:right="951"/>
      </w:pPr>
      <w:r>
        <w:rPr/>
        <w:t>ESV</w:t>
      </w:r>
      <w:r>
        <w:rPr>
          <w:spacing w:val="-2"/>
        </w:rPr>
        <w:t> </w:t>
      </w:r>
      <w:r>
        <w:rPr/>
        <w:t>explains</w:t>
      </w:r>
      <w:r>
        <w:rPr>
          <w:spacing w:val="-2"/>
        </w:rPr>
        <w:t> </w:t>
      </w:r>
      <w:r>
        <w:rPr/>
        <w:t>the</w:t>
      </w:r>
      <w:r>
        <w:rPr>
          <w:spacing w:val="-2"/>
        </w:rPr>
        <w:t> </w:t>
      </w:r>
      <w:r>
        <w:rPr/>
        <w:t>approach</w:t>
      </w:r>
      <w:r>
        <w:rPr>
          <w:spacing w:val="-2"/>
        </w:rPr>
        <w:t> </w:t>
      </w:r>
      <w:r>
        <w:rPr/>
        <w:t>in</w:t>
      </w:r>
      <w:r>
        <w:rPr>
          <w:spacing w:val="-2"/>
        </w:rPr>
        <w:t> </w:t>
      </w:r>
      <w:r>
        <w:rPr/>
        <w:t>its</w:t>
      </w:r>
      <w:r>
        <w:rPr>
          <w:spacing w:val="-3"/>
        </w:rPr>
        <w:t> </w:t>
      </w:r>
      <w:r>
        <w:rPr/>
        <w:t>Electricity</w:t>
      </w:r>
      <w:r>
        <w:rPr>
          <w:spacing w:val="-4"/>
        </w:rPr>
        <w:t> </w:t>
      </w:r>
      <w:r>
        <w:rPr/>
        <w:t>Safety</w:t>
      </w:r>
      <w:r>
        <w:rPr>
          <w:spacing w:val="-4"/>
        </w:rPr>
        <w:t> </w:t>
      </w:r>
      <w:r>
        <w:rPr/>
        <w:t>Management</w:t>
      </w:r>
      <w:r>
        <w:rPr>
          <w:spacing w:val="-3"/>
        </w:rPr>
        <w:t> </w:t>
      </w:r>
      <w:r>
        <w:rPr/>
        <w:t>Scheme</w:t>
      </w:r>
      <w:r>
        <w:rPr>
          <w:spacing w:val="-2"/>
        </w:rPr>
        <w:t> </w:t>
      </w:r>
      <w:r>
        <w:rPr/>
        <w:t>and</w:t>
      </w:r>
      <w:r>
        <w:rPr>
          <w:spacing w:val="-4"/>
        </w:rPr>
        <w:t> </w:t>
      </w:r>
      <w:r>
        <w:rPr/>
        <w:t>gas</w:t>
      </w:r>
      <w:r>
        <w:rPr>
          <w:spacing w:val="-2"/>
        </w:rPr>
        <w:t> </w:t>
      </w:r>
      <w:r>
        <w:rPr/>
        <w:t>Safety Case guidance. In its Electricity Safety Management Scheme guidance, it states:</w:t>
      </w:r>
    </w:p>
    <w:p>
      <w:pPr>
        <w:pStyle w:val="BodyText"/>
        <w:spacing w:before="11"/>
        <w:rPr>
          <w:sz w:val="20"/>
        </w:rPr>
      </w:pPr>
    </w:p>
    <w:p>
      <w:pPr>
        <w:spacing w:line="288" w:lineRule="auto" w:before="0"/>
        <w:ind w:left="799" w:right="1191" w:firstLine="0"/>
        <w:jc w:val="left"/>
        <w:rPr>
          <w:sz w:val="22"/>
        </w:rPr>
      </w:pPr>
      <w:r>
        <w:rPr>
          <w:i/>
          <w:sz w:val="22"/>
        </w:rPr>
        <w:t>“The correct treatment of credible threats with a low frequency/likelihood of occurrence</w:t>
      </w:r>
      <w:r>
        <w:rPr>
          <w:i/>
          <w:spacing w:val="-2"/>
          <w:sz w:val="22"/>
        </w:rPr>
        <w:t> </w:t>
      </w:r>
      <w:r>
        <w:rPr>
          <w:i/>
          <w:sz w:val="22"/>
        </w:rPr>
        <w:t>should</w:t>
      </w:r>
      <w:r>
        <w:rPr>
          <w:i/>
          <w:spacing w:val="-2"/>
          <w:sz w:val="22"/>
        </w:rPr>
        <w:t> </w:t>
      </w:r>
      <w:r>
        <w:rPr>
          <w:i/>
          <w:sz w:val="22"/>
        </w:rPr>
        <w:t>be</w:t>
      </w:r>
      <w:r>
        <w:rPr>
          <w:i/>
          <w:spacing w:val="-4"/>
          <w:sz w:val="22"/>
        </w:rPr>
        <w:t> </w:t>
      </w:r>
      <w:r>
        <w:rPr>
          <w:i/>
          <w:sz w:val="22"/>
        </w:rPr>
        <w:t>in</w:t>
      </w:r>
      <w:r>
        <w:rPr>
          <w:i/>
          <w:spacing w:val="-4"/>
          <w:sz w:val="22"/>
        </w:rPr>
        <w:t> </w:t>
      </w:r>
      <w:r>
        <w:rPr>
          <w:i/>
          <w:sz w:val="22"/>
        </w:rPr>
        <w:t>the</w:t>
      </w:r>
      <w:r>
        <w:rPr>
          <w:i/>
          <w:spacing w:val="-2"/>
          <w:sz w:val="22"/>
        </w:rPr>
        <w:t> </w:t>
      </w:r>
      <w:r>
        <w:rPr>
          <w:i/>
          <w:sz w:val="22"/>
        </w:rPr>
        <w:t>demonstration</w:t>
      </w:r>
      <w:r>
        <w:rPr>
          <w:i/>
          <w:spacing w:val="-4"/>
          <w:sz w:val="22"/>
        </w:rPr>
        <w:t> </w:t>
      </w:r>
      <w:r>
        <w:rPr>
          <w:i/>
          <w:sz w:val="22"/>
        </w:rPr>
        <w:t>that</w:t>
      </w:r>
      <w:r>
        <w:rPr>
          <w:i/>
          <w:spacing w:val="-3"/>
          <w:sz w:val="22"/>
        </w:rPr>
        <w:t> </w:t>
      </w:r>
      <w:r>
        <w:rPr>
          <w:i/>
          <w:sz w:val="22"/>
        </w:rPr>
        <w:t>risk</w:t>
      </w:r>
      <w:r>
        <w:rPr>
          <w:i/>
          <w:spacing w:val="-1"/>
          <w:sz w:val="22"/>
        </w:rPr>
        <w:t> </w:t>
      </w:r>
      <w:r>
        <w:rPr>
          <w:i/>
          <w:sz w:val="22"/>
        </w:rPr>
        <w:t>is</w:t>
      </w:r>
      <w:r>
        <w:rPr>
          <w:i/>
          <w:spacing w:val="-1"/>
          <w:sz w:val="22"/>
        </w:rPr>
        <w:t> </w:t>
      </w:r>
      <w:r>
        <w:rPr>
          <w:i/>
          <w:sz w:val="22"/>
        </w:rPr>
        <w:t>considered</w:t>
      </w:r>
      <w:r>
        <w:rPr>
          <w:i/>
          <w:spacing w:val="-4"/>
          <w:sz w:val="22"/>
        </w:rPr>
        <w:t> </w:t>
      </w:r>
      <w:r>
        <w:rPr>
          <w:i/>
          <w:sz w:val="22"/>
        </w:rPr>
        <w:t>to</w:t>
      </w:r>
      <w:r>
        <w:rPr>
          <w:i/>
          <w:spacing w:val="-2"/>
          <w:sz w:val="22"/>
        </w:rPr>
        <w:t> </w:t>
      </w:r>
      <w:r>
        <w:rPr>
          <w:i/>
          <w:sz w:val="22"/>
        </w:rPr>
        <w:t>be</w:t>
      </w:r>
      <w:r>
        <w:rPr>
          <w:i/>
          <w:spacing w:val="-4"/>
          <w:sz w:val="22"/>
        </w:rPr>
        <w:t> </w:t>
      </w:r>
      <w:r>
        <w:rPr>
          <w:i/>
          <w:sz w:val="22"/>
        </w:rPr>
        <w:t>reduced</w:t>
      </w:r>
      <w:r>
        <w:rPr>
          <w:i/>
          <w:spacing w:val="-2"/>
          <w:sz w:val="22"/>
        </w:rPr>
        <w:t> </w:t>
      </w:r>
      <w:r>
        <w:rPr>
          <w:i/>
          <w:sz w:val="22"/>
        </w:rPr>
        <w:t>so far as practicable (SFAP); where a case is made for why it is unreasonable to implement further risk controls on the basis that the cost associated with implementing the additional control is grossly disproportionate to the risk.” </w:t>
      </w:r>
      <w:r>
        <w:rPr>
          <w:sz w:val="22"/>
        </w:rPr>
        <w:t>(ESV, 2016, p. 1)</w:t>
      </w:r>
    </w:p>
    <w:p>
      <w:pPr>
        <w:pStyle w:val="BodyText"/>
        <w:spacing w:before="10"/>
        <w:rPr>
          <w:sz w:val="20"/>
        </w:rPr>
      </w:pPr>
    </w:p>
    <w:p>
      <w:pPr>
        <w:pStyle w:val="BodyText"/>
        <w:spacing w:line="288" w:lineRule="auto"/>
        <w:ind w:left="345" w:right="951"/>
      </w:pPr>
      <w:r>
        <w:rPr/>
        <w:t>ESV’s</w:t>
      </w:r>
      <w:r>
        <w:rPr>
          <w:spacing w:val="-2"/>
        </w:rPr>
        <w:t> </w:t>
      </w:r>
      <w:r>
        <w:rPr/>
        <w:t>guidance</w:t>
      </w:r>
      <w:r>
        <w:rPr>
          <w:spacing w:val="-2"/>
        </w:rPr>
        <w:t> </w:t>
      </w:r>
      <w:r>
        <w:rPr/>
        <w:t>is</w:t>
      </w:r>
      <w:r>
        <w:rPr>
          <w:spacing w:val="-5"/>
        </w:rPr>
        <w:t> </w:t>
      </w:r>
      <w:r>
        <w:rPr/>
        <w:t>more</w:t>
      </w:r>
      <w:r>
        <w:rPr>
          <w:spacing w:val="-3"/>
        </w:rPr>
        <w:t> </w:t>
      </w:r>
      <w:r>
        <w:rPr/>
        <w:t>in</w:t>
      </w:r>
      <w:r>
        <w:rPr>
          <w:spacing w:val="-3"/>
        </w:rPr>
        <w:t> </w:t>
      </w:r>
      <w:r>
        <w:rPr/>
        <w:t>line</w:t>
      </w:r>
      <w:r>
        <w:rPr>
          <w:spacing w:val="-3"/>
        </w:rPr>
        <w:t> </w:t>
      </w:r>
      <w:r>
        <w:rPr/>
        <w:t>with</w:t>
      </w:r>
      <w:r>
        <w:rPr>
          <w:spacing w:val="-3"/>
        </w:rPr>
        <w:t> </w:t>
      </w:r>
      <w:r>
        <w:rPr/>
        <w:t>a</w:t>
      </w:r>
      <w:r>
        <w:rPr>
          <w:spacing w:val="-2"/>
        </w:rPr>
        <w:t> </w:t>
      </w:r>
      <w:r>
        <w:rPr/>
        <w:t>precaution-based</w:t>
      </w:r>
      <w:r>
        <w:rPr>
          <w:spacing w:val="-3"/>
        </w:rPr>
        <w:t> </w:t>
      </w:r>
      <w:r>
        <w:rPr/>
        <w:t>approach</w:t>
      </w:r>
      <w:r>
        <w:rPr>
          <w:spacing w:val="-7"/>
        </w:rPr>
        <w:t> </w:t>
      </w:r>
      <w:r>
        <w:rPr/>
        <w:t>to</w:t>
      </w:r>
      <w:r>
        <w:rPr>
          <w:spacing w:val="-5"/>
        </w:rPr>
        <w:t> </w:t>
      </w:r>
      <w:r>
        <w:rPr/>
        <w:t>meeting</w:t>
      </w:r>
      <w:r>
        <w:rPr>
          <w:spacing w:val="-3"/>
        </w:rPr>
        <w:t> </w:t>
      </w:r>
      <w:r>
        <w:rPr/>
        <w:t>safety obligations, and ESV is currently working further on its policy around this.</w:t>
      </w:r>
    </w:p>
    <w:p>
      <w:pPr>
        <w:pStyle w:val="BodyText"/>
        <w:spacing w:before="10"/>
        <w:rPr>
          <w:sz w:val="20"/>
        </w:rPr>
      </w:pPr>
    </w:p>
    <w:p>
      <w:pPr>
        <w:pStyle w:val="BodyText"/>
        <w:spacing w:line="288" w:lineRule="auto"/>
        <w:ind w:left="345" w:right="949"/>
        <w:jc w:val="both"/>
      </w:pPr>
      <w:r>
        <w:rPr/>
        <w:t>A</w:t>
      </w:r>
      <w:r>
        <w:rPr>
          <w:spacing w:val="-2"/>
        </w:rPr>
        <w:t> </w:t>
      </w:r>
      <w:r>
        <w:rPr/>
        <w:t>clear</w:t>
      </w:r>
      <w:r>
        <w:rPr>
          <w:spacing w:val="-1"/>
        </w:rPr>
        <w:t> </w:t>
      </w:r>
      <w:r>
        <w:rPr/>
        <w:t>and</w:t>
      </w:r>
      <w:r>
        <w:rPr>
          <w:spacing w:val="-4"/>
        </w:rPr>
        <w:t> </w:t>
      </w:r>
      <w:r>
        <w:rPr/>
        <w:t>published</w:t>
      </w:r>
      <w:r>
        <w:rPr>
          <w:spacing w:val="-2"/>
        </w:rPr>
        <w:t> </w:t>
      </w:r>
      <w:r>
        <w:rPr/>
        <w:t>position</w:t>
      </w:r>
      <w:r>
        <w:rPr>
          <w:spacing w:val="-2"/>
        </w:rPr>
        <w:t> </w:t>
      </w:r>
      <w:r>
        <w:rPr/>
        <w:t>is</w:t>
      </w:r>
      <w:r>
        <w:rPr>
          <w:spacing w:val="-1"/>
        </w:rPr>
        <w:t> </w:t>
      </w:r>
      <w:r>
        <w:rPr/>
        <w:t>essential so</w:t>
      </w:r>
      <w:r>
        <w:rPr>
          <w:spacing w:val="-4"/>
        </w:rPr>
        <w:t> </w:t>
      </w:r>
      <w:r>
        <w:rPr/>
        <w:t>that</w:t>
      </w:r>
      <w:r>
        <w:rPr>
          <w:spacing w:val="-5"/>
        </w:rPr>
        <w:t> </w:t>
      </w:r>
      <w:r>
        <w:rPr/>
        <w:t>it is</w:t>
      </w:r>
      <w:r>
        <w:rPr>
          <w:spacing w:val="-1"/>
        </w:rPr>
        <w:t> </w:t>
      </w:r>
      <w:r>
        <w:rPr/>
        <w:t>understood</w:t>
      </w:r>
      <w:r>
        <w:rPr>
          <w:spacing w:val="-4"/>
        </w:rPr>
        <w:t> </w:t>
      </w:r>
      <w:r>
        <w:rPr/>
        <w:t>by</w:t>
      </w:r>
      <w:r>
        <w:rPr>
          <w:spacing w:val="-4"/>
        </w:rPr>
        <w:t> </w:t>
      </w:r>
      <w:r>
        <w:rPr/>
        <w:t>ESV</w:t>
      </w:r>
      <w:r>
        <w:rPr>
          <w:spacing w:val="-3"/>
        </w:rPr>
        <w:t> </w:t>
      </w:r>
      <w:r>
        <w:rPr/>
        <w:t>and</w:t>
      </w:r>
      <w:r>
        <w:rPr>
          <w:spacing w:val="-4"/>
        </w:rPr>
        <w:t> </w:t>
      </w:r>
      <w:r>
        <w:rPr/>
        <w:t>government, is in</w:t>
      </w:r>
      <w:r>
        <w:rPr>
          <w:spacing w:val="-1"/>
        </w:rPr>
        <w:t> </w:t>
      </w:r>
      <w:r>
        <w:rPr/>
        <w:t>line</w:t>
      </w:r>
      <w:r>
        <w:rPr>
          <w:spacing w:val="-1"/>
        </w:rPr>
        <w:t> </w:t>
      </w:r>
      <w:r>
        <w:rPr/>
        <w:t>with</w:t>
      </w:r>
      <w:r>
        <w:rPr>
          <w:spacing w:val="-1"/>
        </w:rPr>
        <w:t> </w:t>
      </w:r>
      <w:r>
        <w:rPr/>
        <w:t>modern</w:t>
      </w:r>
      <w:r>
        <w:rPr>
          <w:spacing w:val="-3"/>
        </w:rPr>
        <w:t> </w:t>
      </w:r>
      <w:r>
        <w:rPr/>
        <w:t>practice,</w:t>
      </w:r>
      <w:r>
        <w:rPr>
          <w:spacing w:val="-2"/>
        </w:rPr>
        <w:t> </w:t>
      </w:r>
      <w:r>
        <w:rPr/>
        <w:t>and</w:t>
      </w:r>
      <w:r>
        <w:rPr>
          <w:spacing w:val="-3"/>
        </w:rPr>
        <w:t> </w:t>
      </w:r>
      <w:r>
        <w:rPr/>
        <w:t>guidance</w:t>
      </w:r>
      <w:r>
        <w:rPr>
          <w:spacing w:val="-3"/>
        </w:rPr>
        <w:t> </w:t>
      </w:r>
      <w:r>
        <w:rPr/>
        <w:t>and</w:t>
      </w:r>
      <w:r>
        <w:rPr>
          <w:spacing w:val="-3"/>
        </w:rPr>
        <w:t> </w:t>
      </w:r>
      <w:r>
        <w:rPr/>
        <w:t>advice</w:t>
      </w:r>
      <w:r>
        <w:rPr>
          <w:spacing w:val="-1"/>
        </w:rPr>
        <w:t> </w:t>
      </w:r>
      <w:r>
        <w:rPr/>
        <w:t>is</w:t>
      </w:r>
      <w:r>
        <w:rPr>
          <w:spacing w:val="-1"/>
        </w:rPr>
        <w:t> </w:t>
      </w:r>
      <w:r>
        <w:rPr/>
        <w:t>communicated</w:t>
      </w:r>
      <w:r>
        <w:rPr>
          <w:spacing w:val="-3"/>
        </w:rPr>
        <w:t> </w:t>
      </w:r>
      <w:r>
        <w:rPr/>
        <w:t>accordingly. Any future ESV input</w:t>
      </w:r>
      <w:r>
        <w:rPr>
          <w:spacing w:val="-1"/>
        </w:rPr>
        <w:t> </w:t>
      </w:r>
      <w:r>
        <w:rPr/>
        <w:t>into</w:t>
      </w:r>
      <w:r>
        <w:rPr>
          <w:spacing w:val="-1"/>
        </w:rPr>
        <w:t> </w:t>
      </w:r>
      <w:r>
        <w:rPr/>
        <w:t>revisions of the</w:t>
      </w:r>
      <w:r>
        <w:rPr>
          <w:spacing w:val="-2"/>
        </w:rPr>
        <w:t> </w:t>
      </w:r>
      <w:r>
        <w:rPr/>
        <w:t>Australian Standards should</w:t>
      </w:r>
      <w:r>
        <w:rPr>
          <w:spacing w:val="-2"/>
        </w:rPr>
        <w:t> </w:t>
      </w:r>
      <w:r>
        <w:rPr/>
        <w:t>look</w:t>
      </w:r>
      <w:r>
        <w:rPr>
          <w:spacing w:val="-2"/>
        </w:rPr>
        <w:t> </w:t>
      </w:r>
      <w:r>
        <w:rPr/>
        <w:t>to</w:t>
      </w:r>
      <w:r>
        <w:rPr>
          <w:spacing w:val="-2"/>
        </w:rPr>
        <w:t> </w:t>
      </w:r>
      <w:r>
        <w:rPr/>
        <w:t>further clarify</w:t>
      </w:r>
      <w:r>
        <w:rPr>
          <w:spacing w:val="-4"/>
        </w:rPr>
        <w:t> </w:t>
      </w:r>
      <w:r>
        <w:rPr/>
        <w:t>that a precaution-based approach is to be followed.</w:t>
      </w:r>
    </w:p>
    <w:p>
      <w:pPr>
        <w:pStyle w:val="BodyText"/>
        <w:rPr>
          <w:sz w:val="24"/>
        </w:rPr>
      </w:pPr>
    </w:p>
    <w:p>
      <w:pPr>
        <w:pStyle w:val="BodyText"/>
        <w:spacing w:before="7"/>
        <w:rPr>
          <w:sz w:val="27"/>
        </w:rPr>
      </w:pPr>
    </w:p>
    <w:p>
      <w:pPr>
        <w:pStyle w:val="BodyText"/>
        <w:spacing w:line="288" w:lineRule="auto"/>
        <w:ind w:left="232" w:right="354"/>
      </w:pPr>
      <w:r>
        <w:rPr/>
        <w:t>In addition, ESV should make clear its expectations around the submission, acceptance and revision process, in line with Recommendation 40 earlier in this chapter. It should include the time periods allowable for submission and resubmission (whether set in the legislation or by ESV, and in relation to five yearly submission, provisional acceptance, or a change requested to an unaccepted</w:t>
      </w:r>
      <w:r>
        <w:rPr>
          <w:spacing w:val="-4"/>
        </w:rPr>
        <w:t> </w:t>
      </w:r>
      <w:r>
        <w:rPr/>
        <w:t>safety</w:t>
      </w:r>
      <w:r>
        <w:rPr>
          <w:spacing w:val="-4"/>
        </w:rPr>
        <w:t> </w:t>
      </w:r>
      <w:r>
        <w:rPr/>
        <w:t>case</w:t>
      </w:r>
      <w:r>
        <w:rPr>
          <w:spacing w:val="-4"/>
        </w:rPr>
        <w:t> </w:t>
      </w:r>
      <w:r>
        <w:rPr/>
        <w:t>or</w:t>
      </w:r>
      <w:r>
        <w:rPr>
          <w:spacing w:val="-3"/>
        </w:rPr>
        <w:t> </w:t>
      </w:r>
      <w:r>
        <w:rPr/>
        <w:t>to</w:t>
      </w:r>
      <w:r>
        <w:rPr>
          <w:spacing w:val="-2"/>
        </w:rPr>
        <w:t> </w:t>
      </w:r>
      <w:r>
        <w:rPr/>
        <w:t>an</w:t>
      </w:r>
      <w:r>
        <w:rPr>
          <w:spacing w:val="-4"/>
        </w:rPr>
        <w:t> </w:t>
      </w:r>
      <w:r>
        <w:rPr/>
        <w:t>accepted</w:t>
      </w:r>
      <w:r>
        <w:rPr>
          <w:spacing w:val="-2"/>
        </w:rPr>
        <w:t> </w:t>
      </w:r>
      <w:r>
        <w:rPr/>
        <w:t>safety</w:t>
      </w:r>
      <w:r>
        <w:rPr>
          <w:spacing w:val="-5"/>
        </w:rPr>
        <w:t> </w:t>
      </w:r>
      <w:r>
        <w:rPr/>
        <w:t>case)</w:t>
      </w:r>
      <w:r>
        <w:rPr>
          <w:spacing w:val="-1"/>
        </w:rPr>
        <w:t> </w:t>
      </w:r>
      <w:r>
        <w:rPr/>
        <w:t>and</w:t>
      </w:r>
      <w:r>
        <w:rPr>
          <w:spacing w:val="-1"/>
        </w:rPr>
        <w:t> </w:t>
      </w:r>
      <w:r>
        <w:rPr/>
        <w:t>associated</w:t>
      </w:r>
      <w:r>
        <w:rPr>
          <w:spacing w:val="-2"/>
        </w:rPr>
        <w:t> </w:t>
      </w:r>
      <w:r>
        <w:rPr/>
        <w:t>penalties.</w:t>
      </w:r>
      <w:r>
        <w:rPr>
          <w:spacing w:val="-3"/>
        </w:rPr>
        <w:t> </w:t>
      </w:r>
      <w:r>
        <w:rPr/>
        <w:t>Guidance</w:t>
      </w:r>
      <w:r>
        <w:rPr>
          <w:spacing w:val="-2"/>
        </w:rPr>
        <w:t> </w:t>
      </w:r>
      <w:r>
        <w:rPr/>
        <w:t>should also cover the type of circumstances in which a business should notify ESV of safety case </w:t>
      </w:r>
      <w:r>
        <w:rPr>
          <w:spacing w:val="-2"/>
        </w:rPr>
        <w:t>changes.</w:t>
      </w:r>
    </w:p>
    <w:p>
      <w:pPr>
        <w:spacing w:after="0" w:line="288" w:lineRule="auto"/>
        <w:sectPr>
          <w:pgSz w:w="11910" w:h="16850"/>
          <w:pgMar w:header="220" w:footer="678" w:top="420" w:bottom="860" w:left="900" w:right="840"/>
        </w:sectPr>
      </w:pPr>
    </w:p>
    <w:p>
      <w:pPr>
        <w:pStyle w:val="BodyText"/>
        <w:rPr>
          <w:sz w:val="20"/>
        </w:rPr>
      </w:pPr>
    </w:p>
    <w:p>
      <w:pPr>
        <w:pStyle w:val="BodyText"/>
        <w:spacing w:before="4"/>
        <w:rPr>
          <w:sz w:val="27"/>
        </w:rPr>
      </w:pPr>
    </w:p>
    <w:p>
      <w:pPr>
        <w:pStyle w:val="BodyText"/>
        <w:ind w:left="232"/>
        <w:rPr>
          <w:sz w:val="20"/>
        </w:rPr>
      </w:pPr>
      <w:r>
        <w:rPr>
          <w:sz w:val="20"/>
        </w:rPr>
        <mc:AlternateContent>
          <mc:Choice Requires="wps">
            <w:drawing>
              <wp:inline distT="0" distB="0" distL="0" distR="0">
                <wp:extent cx="5870575" cy="1987550"/>
                <wp:effectExtent l="0" t="0" r="0" b="0"/>
                <wp:docPr id="226" name="Textbox 226"/>
                <wp:cNvGraphicFramePr>
                  <a:graphicFrameLocks/>
                </wp:cNvGraphicFramePr>
                <a:graphic>
                  <a:graphicData uri="http://schemas.microsoft.com/office/word/2010/wordprocessingShape">
                    <wps:wsp>
                      <wps:cNvPr id="226" name="Textbox 226"/>
                      <wps:cNvSpPr txBox="1"/>
                      <wps:spPr>
                        <a:xfrm>
                          <a:off x="0" y="0"/>
                          <a:ext cx="5870575" cy="1987550"/>
                        </a:xfrm>
                        <a:prstGeom prst="rect">
                          <a:avLst/>
                        </a:prstGeom>
                        <a:solidFill>
                          <a:srgbClr val="D9D9D9"/>
                        </a:solidFill>
                      </wps:spPr>
                      <wps:txbx>
                        <w:txbxContent>
                          <w:p>
                            <w:pPr>
                              <w:pStyle w:val="BodyText"/>
                              <w:spacing w:before="10"/>
                              <w:rPr>
                                <w:color w:val="000000"/>
                                <w:sz w:val="20"/>
                              </w:rPr>
                            </w:pPr>
                          </w:p>
                          <w:p>
                            <w:pPr>
                              <w:spacing w:before="0"/>
                              <w:ind w:left="112" w:right="0" w:firstLine="0"/>
                              <w:jc w:val="both"/>
                              <w:rPr>
                                <w:b/>
                                <w:color w:val="000000"/>
                                <w:sz w:val="22"/>
                              </w:rPr>
                            </w:pPr>
                            <w:r>
                              <w:rPr>
                                <w:b/>
                                <w:color w:val="000000"/>
                                <w:sz w:val="22"/>
                              </w:rPr>
                              <w:t>Recommendation</w:t>
                            </w:r>
                            <w:r>
                              <w:rPr>
                                <w:b/>
                                <w:color w:val="000000"/>
                                <w:spacing w:val="-6"/>
                                <w:sz w:val="22"/>
                              </w:rPr>
                              <w:t> </w:t>
                            </w:r>
                            <w:r>
                              <w:rPr>
                                <w:b/>
                                <w:color w:val="000000"/>
                                <w:spacing w:val="-5"/>
                                <w:sz w:val="22"/>
                              </w:rPr>
                              <w:t>42</w:t>
                            </w:r>
                          </w:p>
                          <w:p>
                            <w:pPr>
                              <w:pStyle w:val="BodyText"/>
                              <w:spacing w:before="2"/>
                              <w:rPr>
                                <w:b/>
                                <w:color w:val="000000"/>
                                <w:sz w:val="25"/>
                              </w:rPr>
                            </w:pPr>
                          </w:p>
                          <w:p>
                            <w:pPr>
                              <w:pStyle w:val="BodyText"/>
                              <w:spacing w:line="288" w:lineRule="auto"/>
                              <w:ind w:left="112" w:right="360"/>
                              <w:jc w:val="both"/>
                              <w:rPr>
                                <w:color w:val="000000"/>
                              </w:rPr>
                            </w:pPr>
                            <w:r>
                              <w:rPr>
                                <w:color w:val="000000"/>
                              </w:rPr>
                              <w:t>ESV</w:t>
                            </w:r>
                            <w:r>
                              <w:rPr>
                                <w:color w:val="000000"/>
                                <w:spacing w:val="-4"/>
                              </w:rPr>
                              <w:t> </w:t>
                            </w:r>
                            <w:r>
                              <w:rPr>
                                <w:color w:val="000000"/>
                              </w:rPr>
                              <w:t>should,</w:t>
                            </w:r>
                            <w:r>
                              <w:rPr>
                                <w:color w:val="000000"/>
                                <w:spacing w:val="-3"/>
                              </w:rPr>
                              <w:t> </w:t>
                            </w:r>
                            <w:r>
                              <w:rPr>
                                <w:color w:val="000000"/>
                              </w:rPr>
                              <w:t>in</w:t>
                            </w:r>
                            <w:r>
                              <w:rPr>
                                <w:color w:val="000000"/>
                                <w:spacing w:val="-4"/>
                              </w:rPr>
                              <w:t> </w:t>
                            </w:r>
                            <w:r>
                              <w:rPr>
                                <w:color w:val="000000"/>
                              </w:rPr>
                              <w:t>consultation</w:t>
                            </w:r>
                            <w:r>
                              <w:rPr>
                                <w:color w:val="000000"/>
                                <w:spacing w:val="-4"/>
                              </w:rPr>
                              <w:t> </w:t>
                            </w:r>
                            <w:r>
                              <w:rPr>
                                <w:color w:val="000000"/>
                              </w:rPr>
                              <w:t>with</w:t>
                            </w:r>
                            <w:r>
                              <w:rPr>
                                <w:color w:val="000000"/>
                                <w:spacing w:val="-4"/>
                              </w:rPr>
                              <w:t> </w:t>
                            </w:r>
                            <w:r>
                              <w:rPr>
                                <w:color w:val="000000"/>
                              </w:rPr>
                              <w:t>network</w:t>
                            </w:r>
                            <w:r>
                              <w:rPr>
                                <w:color w:val="000000"/>
                                <w:spacing w:val="-3"/>
                              </w:rPr>
                              <w:t> </w:t>
                            </w:r>
                            <w:r>
                              <w:rPr>
                                <w:color w:val="000000"/>
                              </w:rPr>
                              <w:t>businesses,</w:t>
                            </w:r>
                            <w:r>
                              <w:rPr>
                                <w:color w:val="000000"/>
                                <w:spacing w:val="-5"/>
                              </w:rPr>
                              <w:t> </w:t>
                            </w:r>
                            <w:r>
                              <w:rPr>
                                <w:color w:val="000000"/>
                              </w:rPr>
                              <w:t>further</w:t>
                            </w:r>
                            <w:r>
                              <w:rPr>
                                <w:color w:val="000000"/>
                                <w:spacing w:val="-5"/>
                              </w:rPr>
                              <w:t> </w:t>
                            </w:r>
                            <w:r>
                              <w:rPr>
                                <w:color w:val="000000"/>
                              </w:rPr>
                              <w:t>develop</w:t>
                            </w:r>
                            <w:r>
                              <w:rPr>
                                <w:color w:val="000000"/>
                                <w:spacing w:val="-4"/>
                              </w:rPr>
                              <w:t> </w:t>
                            </w:r>
                            <w:r>
                              <w:rPr>
                                <w:color w:val="000000"/>
                              </w:rPr>
                              <w:t>internal</w:t>
                            </w:r>
                            <w:r>
                              <w:rPr>
                                <w:color w:val="000000"/>
                                <w:spacing w:val="-4"/>
                              </w:rPr>
                              <w:t> </w:t>
                            </w:r>
                            <w:r>
                              <w:rPr>
                                <w:color w:val="000000"/>
                              </w:rPr>
                              <w:t>and</w:t>
                            </w:r>
                            <w:r>
                              <w:rPr>
                                <w:color w:val="000000"/>
                                <w:spacing w:val="-4"/>
                              </w:rPr>
                              <w:t> </w:t>
                            </w:r>
                            <w:r>
                              <w:rPr>
                                <w:color w:val="000000"/>
                              </w:rPr>
                              <w:t>external guidance on its expectations for safety cases, and its approach to evaluating safety cases for acceptance. This should include its approach and expectations for:</w:t>
                            </w:r>
                          </w:p>
                          <w:p>
                            <w:pPr>
                              <w:pStyle w:val="BodyText"/>
                              <w:spacing w:before="5"/>
                              <w:rPr>
                                <w:color w:val="000000"/>
                              </w:rPr>
                            </w:pPr>
                          </w:p>
                          <w:p>
                            <w:pPr>
                              <w:pStyle w:val="BodyText"/>
                              <w:numPr>
                                <w:ilvl w:val="0"/>
                                <w:numId w:val="90"/>
                              </w:numPr>
                              <w:tabs>
                                <w:tab w:pos="470" w:val="left" w:leader="none"/>
                              </w:tabs>
                              <w:spacing w:line="240" w:lineRule="auto" w:before="0" w:after="0"/>
                              <w:ind w:left="470" w:right="0" w:hanging="358"/>
                              <w:jc w:val="left"/>
                              <w:rPr>
                                <w:color w:val="000000"/>
                              </w:rPr>
                            </w:pPr>
                            <w:r>
                              <w:rPr>
                                <w:color w:val="000000"/>
                              </w:rPr>
                              <w:t>safety</w:t>
                            </w:r>
                            <w:r>
                              <w:rPr>
                                <w:color w:val="000000"/>
                                <w:spacing w:val="-8"/>
                              </w:rPr>
                              <w:t> </w:t>
                            </w:r>
                            <w:r>
                              <w:rPr>
                                <w:color w:val="000000"/>
                              </w:rPr>
                              <w:t>case</w:t>
                            </w:r>
                            <w:r>
                              <w:rPr>
                                <w:color w:val="000000"/>
                                <w:spacing w:val="-7"/>
                              </w:rPr>
                              <w:t> </w:t>
                            </w:r>
                            <w:r>
                              <w:rPr>
                                <w:color w:val="000000"/>
                              </w:rPr>
                              <w:t>components</w:t>
                            </w:r>
                            <w:r>
                              <w:rPr>
                                <w:color w:val="000000"/>
                                <w:spacing w:val="-7"/>
                              </w:rPr>
                              <w:t> </w:t>
                            </w:r>
                            <w:r>
                              <w:rPr>
                                <w:color w:val="000000"/>
                              </w:rPr>
                              <w:t>being</w:t>
                            </w:r>
                            <w:r>
                              <w:rPr>
                                <w:color w:val="000000"/>
                                <w:spacing w:val="-3"/>
                              </w:rPr>
                              <w:t> </w:t>
                            </w:r>
                            <w:r>
                              <w:rPr>
                                <w:color w:val="000000"/>
                              </w:rPr>
                              <w:t>clear,</w:t>
                            </w:r>
                            <w:r>
                              <w:rPr>
                                <w:color w:val="000000"/>
                                <w:spacing w:val="-6"/>
                              </w:rPr>
                              <w:t> </w:t>
                            </w:r>
                            <w:r>
                              <w:rPr>
                                <w:color w:val="000000"/>
                              </w:rPr>
                              <w:t>measurable</w:t>
                            </w:r>
                            <w:r>
                              <w:rPr>
                                <w:color w:val="000000"/>
                                <w:spacing w:val="-7"/>
                              </w:rPr>
                              <w:t> </w:t>
                            </w:r>
                            <w:r>
                              <w:rPr>
                                <w:color w:val="000000"/>
                              </w:rPr>
                              <w:t>and</w:t>
                            </w:r>
                            <w:r>
                              <w:rPr>
                                <w:color w:val="000000"/>
                                <w:spacing w:val="-4"/>
                              </w:rPr>
                              <w:t> </w:t>
                            </w:r>
                            <w:r>
                              <w:rPr>
                                <w:color w:val="000000"/>
                              </w:rPr>
                              <w:t>targeted</w:t>
                            </w:r>
                            <w:r>
                              <w:rPr>
                                <w:color w:val="000000"/>
                                <w:spacing w:val="-7"/>
                              </w:rPr>
                              <w:t> </w:t>
                            </w:r>
                            <w:r>
                              <w:rPr>
                                <w:color w:val="000000"/>
                              </w:rPr>
                              <w:t>to</w:t>
                            </w:r>
                            <w:r>
                              <w:rPr>
                                <w:color w:val="000000"/>
                                <w:spacing w:val="-7"/>
                              </w:rPr>
                              <w:t> </w:t>
                            </w:r>
                            <w:r>
                              <w:rPr>
                                <w:color w:val="000000"/>
                              </w:rPr>
                              <w:t>safety</w:t>
                            </w:r>
                            <w:r>
                              <w:rPr>
                                <w:color w:val="000000"/>
                                <w:spacing w:val="-5"/>
                              </w:rPr>
                              <w:t> </w:t>
                            </w:r>
                            <w:r>
                              <w:rPr>
                                <w:color w:val="000000"/>
                                <w:spacing w:val="-2"/>
                              </w:rPr>
                              <w:t>obligations;</w:t>
                            </w:r>
                          </w:p>
                          <w:p>
                            <w:pPr>
                              <w:pStyle w:val="BodyText"/>
                              <w:numPr>
                                <w:ilvl w:val="0"/>
                                <w:numId w:val="90"/>
                              </w:numPr>
                              <w:tabs>
                                <w:tab w:pos="470" w:val="left" w:leader="none"/>
                              </w:tabs>
                              <w:spacing w:line="240" w:lineRule="auto" w:before="64" w:after="0"/>
                              <w:ind w:left="470" w:right="0" w:hanging="358"/>
                              <w:jc w:val="left"/>
                              <w:rPr>
                                <w:color w:val="000000"/>
                              </w:rPr>
                            </w:pPr>
                            <w:r>
                              <w:rPr>
                                <w:color w:val="000000"/>
                              </w:rPr>
                              <w:t>how</w:t>
                            </w:r>
                            <w:r>
                              <w:rPr>
                                <w:color w:val="000000"/>
                                <w:spacing w:val="-8"/>
                              </w:rPr>
                              <w:t> </w:t>
                            </w:r>
                            <w:r>
                              <w:rPr>
                                <w:color w:val="000000"/>
                              </w:rPr>
                              <w:t>a</w:t>
                            </w:r>
                            <w:r>
                              <w:rPr>
                                <w:color w:val="000000"/>
                                <w:spacing w:val="-5"/>
                              </w:rPr>
                              <w:t> </w:t>
                            </w:r>
                            <w:r>
                              <w:rPr>
                                <w:color w:val="000000"/>
                              </w:rPr>
                              <w:t>precaution-based</w:t>
                            </w:r>
                            <w:r>
                              <w:rPr>
                                <w:color w:val="000000"/>
                                <w:spacing w:val="-10"/>
                              </w:rPr>
                              <w:t> </w:t>
                            </w:r>
                            <w:r>
                              <w:rPr>
                                <w:color w:val="000000"/>
                              </w:rPr>
                              <w:t>approach</w:t>
                            </w:r>
                            <w:r>
                              <w:rPr>
                                <w:color w:val="000000"/>
                                <w:spacing w:val="-5"/>
                              </w:rPr>
                              <w:t> </w:t>
                            </w:r>
                            <w:r>
                              <w:rPr>
                                <w:color w:val="000000"/>
                              </w:rPr>
                              <w:t>is</w:t>
                            </w:r>
                            <w:r>
                              <w:rPr>
                                <w:color w:val="000000"/>
                                <w:spacing w:val="-7"/>
                              </w:rPr>
                              <w:t> </w:t>
                            </w:r>
                            <w:r>
                              <w:rPr>
                                <w:color w:val="000000"/>
                              </w:rPr>
                              <w:t>applied</w:t>
                            </w:r>
                            <w:r>
                              <w:rPr>
                                <w:color w:val="000000"/>
                                <w:spacing w:val="-5"/>
                              </w:rPr>
                              <w:t> </w:t>
                            </w:r>
                            <w:r>
                              <w:rPr>
                                <w:color w:val="000000"/>
                              </w:rPr>
                              <w:t>to</w:t>
                            </w:r>
                            <w:r>
                              <w:rPr>
                                <w:color w:val="000000"/>
                                <w:spacing w:val="-7"/>
                              </w:rPr>
                              <w:t> </w:t>
                            </w:r>
                            <w:r>
                              <w:rPr>
                                <w:color w:val="000000"/>
                              </w:rPr>
                              <w:t>managing</w:t>
                            </w:r>
                            <w:r>
                              <w:rPr>
                                <w:color w:val="000000"/>
                                <w:spacing w:val="-4"/>
                              </w:rPr>
                              <w:t> </w:t>
                            </w:r>
                            <w:r>
                              <w:rPr>
                                <w:color w:val="000000"/>
                              </w:rPr>
                              <w:t>safety</w:t>
                            </w:r>
                            <w:r>
                              <w:rPr>
                                <w:color w:val="000000"/>
                                <w:spacing w:val="-6"/>
                              </w:rPr>
                              <w:t> </w:t>
                            </w:r>
                            <w:r>
                              <w:rPr>
                                <w:color w:val="000000"/>
                              </w:rPr>
                              <w:t>risk;</w:t>
                            </w:r>
                            <w:r>
                              <w:rPr>
                                <w:color w:val="000000"/>
                                <w:spacing w:val="-6"/>
                              </w:rPr>
                              <w:t> </w:t>
                            </w:r>
                            <w:r>
                              <w:rPr>
                                <w:color w:val="000000"/>
                                <w:spacing w:val="-5"/>
                              </w:rPr>
                              <w:t>and</w:t>
                            </w:r>
                          </w:p>
                          <w:p>
                            <w:pPr>
                              <w:pStyle w:val="BodyText"/>
                              <w:numPr>
                                <w:ilvl w:val="0"/>
                                <w:numId w:val="90"/>
                              </w:numPr>
                              <w:tabs>
                                <w:tab w:pos="470" w:val="left" w:leader="none"/>
                              </w:tabs>
                              <w:spacing w:line="240" w:lineRule="auto" w:before="66" w:after="0"/>
                              <w:ind w:left="470" w:right="0" w:hanging="358"/>
                              <w:jc w:val="left"/>
                              <w:rPr>
                                <w:color w:val="000000"/>
                              </w:rPr>
                            </w:pPr>
                            <w:r>
                              <w:rPr>
                                <w:color w:val="000000"/>
                              </w:rPr>
                              <w:t>safety</w:t>
                            </w:r>
                            <w:r>
                              <w:rPr>
                                <w:color w:val="000000"/>
                                <w:spacing w:val="-7"/>
                              </w:rPr>
                              <w:t> </w:t>
                            </w:r>
                            <w:r>
                              <w:rPr>
                                <w:color w:val="000000"/>
                              </w:rPr>
                              <w:t>case</w:t>
                            </w:r>
                            <w:r>
                              <w:rPr>
                                <w:color w:val="000000"/>
                                <w:spacing w:val="-7"/>
                              </w:rPr>
                              <w:t> </w:t>
                            </w:r>
                            <w:r>
                              <w:rPr>
                                <w:color w:val="000000"/>
                              </w:rPr>
                              <w:t>submission</w:t>
                            </w:r>
                            <w:r>
                              <w:rPr>
                                <w:color w:val="000000"/>
                                <w:spacing w:val="-8"/>
                              </w:rPr>
                              <w:t> </w:t>
                            </w:r>
                            <w:r>
                              <w:rPr>
                                <w:color w:val="000000"/>
                              </w:rPr>
                              <w:t>and</w:t>
                            </w:r>
                            <w:r>
                              <w:rPr>
                                <w:color w:val="000000"/>
                                <w:spacing w:val="-5"/>
                              </w:rPr>
                              <w:t> </w:t>
                            </w:r>
                            <w:r>
                              <w:rPr>
                                <w:color w:val="000000"/>
                              </w:rPr>
                              <w:t>revision</w:t>
                            </w:r>
                            <w:r>
                              <w:rPr>
                                <w:color w:val="000000"/>
                                <w:spacing w:val="-5"/>
                              </w:rPr>
                              <w:t> </w:t>
                            </w:r>
                            <w:r>
                              <w:rPr>
                                <w:color w:val="000000"/>
                                <w:spacing w:val="-2"/>
                              </w:rPr>
                              <w:t>processes.</w:t>
                            </w:r>
                          </w:p>
                        </w:txbxContent>
                      </wps:txbx>
                      <wps:bodyPr wrap="square" lIns="0" tIns="0" rIns="0" bIns="0" rtlCol="0">
                        <a:noAutofit/>
                      </wps:bodyPr>
                    </wps:wsp>
                  </a:graphicData>
                </a:graphic>
              </wp:inline>
            </w:drawing>
          </mc:Choice>
          <mc:Fallback>
            <w:pict>
              <v:shape style="width:462.25pt;height:156.5pt;mso-position-horizontal-relative:char;mso-position-vertical-relative:line" type="#_x0000_t202" id="docshape195" filled="true" fillcolor="#d9d9d9" stroked="false">
                <w10:anchorlock/>
                <v:textbox inset="0,0,0,0">
                  <w:txbxContent>
                    <w:p>
                      <w:pPr>
                        <w:pStyle w:val="BodyText"/>
                        <w:spacing w:before="10"/>
                        <w:rPr>
                          <w:color w:val="000000"/>
                          <w:sz w:val="20"/>
                        </w:rPr>
                      </w:pPr>
                    </w:p>
                    <w:p>
                      <w:pPr>
                        <w:spacing w:before="0"/>
                        <w:ind w:left="112" w:right="0" w:firstLine="0"/>
                        <w:jc w:val="both"/>
                        <w:rPr>
                          <w:b/>
                          <w:color w:val="000000"/>
                          <w:sz w:val="22"/>
                        </w:rPr>
                      </w:pPr>
                      <w:r>
                        <w:rPr>
                          <w:b/>
                          <w:color w:val="000000"/>
                          <w:sz w:val="22"/>
                        </w:rPr>
                        <w:t>Recommendation</w:t>
                      </w:r>
                      <w:r>
                        <w:rPr>
                          <w:b/>
                          <w:color w:val="000000"/>
                          <w:spacing w:val="-6"/>
                          <w:sz w:val="22"/>
                        </w:rPr>
                        <w:t> </w:t>
                      </w:r>
                      <w:r>
                        <w:rPr>
                          <w:b/>
                          <w:color w:val="000000"/>
                          <w:spacing w:val="-5"/>
                          <w:sz w:val="22"/>
                        </w:rPr>
                        <w:t>42</w:t>
                      </w:r>
                    </w:p>
                    <w:p>
                      <w:pPr>
                        <w:pStyle w:val="BodyText"/>
                        <w:spacing w:before="2"/>
                        <w:rPr>
                          <w:b/>
                          <w:color w:val="000000"/>
                          <w:sz w:val="25"/>
                        </w:rPr>
                      </w:pPr>
                    </w:p>
                    <w:p>
                      <w:pPr>
                        <w:pStyle w:val="BodyText"/>
                        <w:spacing w:line="288" w:lineRule="auto"/>
                        <w:ind w:left="112" w:right="360"/>
                        <w:jc w:val="both"/>
                        <w:rPr>
                          <w:color w:val="000000"/>
                        </w:rPr>
                      </w:pPr>
                      <w:r>
                        <w:rPr>
                          <w:color w:val="000000"/>
                        </w:rPr>
                        <w:t>ESV</w:t>
                      </w:r>
                      <w:r>
                        <w:rPr>
                          <w:color w:val="000000"/>
                          <w:spacing w:val="-4"/>
                        </w:rPr>
                        <w:t> </w:t>
                      </w:r>
                      <w:r>
                        <w:rPr>
                          <w:color w:val="000000"/>
                        </w:rPr>
                        <w:t>should,</w:t>
                      </w:r>
                      <w:r>
                        <w:rPr>
                          <w:color w:val="000000"/>
                          <w:spacing w:val="-3"/>
                        </w:rPr>
                        <w:t> </w:t>
                      </w:r>
                      <w:r>
                        <w:rPr>
                          <w:color w:val="000000"/>
                        </w:rPr>
                        <w:t>in</w:t>
                      </w:r>
                      <w:r>
                        <w:rPr>
                          <w:color w:val="000000"/>
                          <w:spacing w:val="-4"/>
                        </w:rPr>
                        <w:t> </w:t>
                      </w:r>
                      <w:r>
                        <w:rPr>
                          <w:color w:val="000000"/>
                        </w:rPr>
                        <w:t>consultation</w:t>
                      </w:r>
                      <w:r>
                        <w:rPr>
                          <w:color w:val="000000"/>
                          <w:spacing w:val="-4"/>
                        </w:rPr>
                        <w:t> </w:t>
                      </w:r>
                      <w:r>
                        <w:rPr>
                          <w:color w:val="000000"/>
                        </w:rPr>
                        <w:t>with</w:t>
                      </w:r>
                      <w:r>
                        <w:rPr>
                          <w:color w:val="000000"/>
                          <w:spacing w:val="-4"/>
                        </w:rPr>
                        <w:t> </w:t>
                      </w:r>
                      <w:r>
                        <w:rPr>
                          <w:color w:val="000000"/>
                        </w:rPr>
                        <w:t>network</w:t>
                      </w:r>
                      <w:r>
                        <w:rPr>
                          <w:color w:val="000000"/>
                          <w:spacing w:val="-3"/>
                        </w:rPr>
                        <w:t> </w:t>
                      </w:r>
                      <w:r>
                        <w:rPr>
                          <w:color w:val="000000"/>
                        </w:rPr>
                        <w:t>businesses,</w:t>
                      </w:r>
                      <w:r>
                        <w:rPr>
                          <w:color w:val="000000"/>
                          <w:spacing w:val="-5"/>
                        </w:rPr>
                        <w:t> </w:t>
                      </w:r>
                      <w:r>
                        <w:rPr>
                          <w:color w:val="000000"/>
                        </w:rPr>
                        <w:t>further</w:t>
                      </w:r>
                      <w:r>
                        <w:rPr>
                          <w:color w:val="000000"/>
                          <w:spacing w:val="-5"/>
                        </w:rPr>
                        <w:t> </w:t>
                      </w:r>
                      <w:r>
                        <w:rPr>
                          <w:color w:val="000000"/>
                        </w:rPr>
                        <w:t>develop</w:t>
                      </w:r>
                      <w:r>
                        <w:rPr>
                          <w:color w:val="000000"/>
                          <w:spacing w:val="-4"/>
                        </w:rPr>
                        <w:t> </w:t>
                      </w:r>
                      <w:r>
                        <w:rPr>
                          <w:color w:val="000000"/>
                        </w:rPr>
                        <w:t>internal</w:t>
                      </w:r>
                      <w:r>
                        <w:rPr>
                          <w:color w:val="000000"/>
                          <w:spacing w:val="-4"/>
                        </w:rPr>
                        <w:t> </w:t>
                      </w:r>
                      <w:r>
                        <w:rPr>
                          <w:color w:val="000000"/>
                        </w:rPr>
                        <w:t>and</w:t>
                      </w:r>
                      <w:r>
                        <w:rPr>
                          <w:color w:val="000000"/>
                          <w:spacing w:val="-4"/>
                        </w:rPr>
                        <w:t> </w:t>
                      </w:r>
                      <w:r>
                        <w:rPr>
                          <w:color w:val="000000"/>
                        </w:rPr>
                        <w:t>external guidance on its expectations for safety cases, and its approach to evaluating safety cases for acceptance. This should include its approach and expectations for:</w:t>
                      </w:r>
                    </w:p>
                    <w:p>
                      <w:pPr>
                        <w:pStyle w:val="BodyText"/>
                        <w:spacing w:before="5"/>
                        <w:rPr>
                          <w:color w:val="000000"/>
                        </w:rPr>
                      </w:pPr>
                    </w:p>
                    <w:p>
                      <w:pPr>
                        <w:pStyle w:val="BodyText"/>
                        <w:numPr>
                          <w:ilvl w:val="0"/>
                          <w:numId w:val="90"/>
                        </w:numPr>
                        <w:tabs>
                          <w:tab w:pos="470" w:val="left" w:leader="none"/>
                        </w:tabs>
                        <w:spacing w:line="240" w:lineRule="auto" w:before="0" w:after="0"/>
                        <w:ind w:left="470" w:right="0" w:hanging="358"/>
                        <w:jc w:val="left"/>
                        <w:rPr>
                          <w:color w:val="000000"/>
                        </w:rPr>
                      </w:pPr>
                      <w:r>
                        <w:rPr>
                          <w:color w:val="000000"/>
                        </w:rPr>
                        <w:t>safety</w:t>
                      </w:r>
                      <w:r>
                        <w:rPr>
                          <w:color w:val="000000"/>
                          <w:spacing w:val="-8"/>
                        </w:rPr>
                        <w:t> </w:t>
                      </w:r>
                      <w:r>
                        <w:rPr>
                          <w:color w:val="000000"/>
                        </w:rPr>
                        <w:t>case</w:t>
                      </w:r>
                      <w:r>
                        <w:rPr>
                          <w:color w:val="000000"/>
                          <w:spacing w:val="-7"/>
                        </w:rPr>
                        <w:t> </w:t>
                      </w:r>
                      <w:r>
                        <w:rPr>
                          <w:color w:val="000000"/>
                        </w:rPr>
                        <w:t>components</w:t>
                      </w:r>
                      <w:r>
                        <w:rPr>
                          <w:color w:val="000000"/>
                          <w:spacing w:val="-7"/>
                        </w:rPr>
                        <w:t> </w:t>
                      </w:r>
                      <w:r>
                        <w:rPr>
                          <w:color w:val="000000"/>
                        </w:rPr>
                        <w:t>being</w:t>
                      </w:r>
                      <w:r>
                        <w:rPr>
                          <w:color w:val="000000"/>
                          <w:spacing w:val="-3"/>
                        </w:rPr>
                        <w:t> </w:t>
                      </w:r>
                      <w:r>
                        <w:rPr>
                          <w:color w:val="000000"/>
                        </w:rPr>
                        <w:t>clear,</w:t>
                      </w:r>
                      <w:r>
                        <w:rPr>
                          <w:color w:val="000000"/>
                          <w:spacing w:val="-6"/>
                        </w:rPr>
                        <w:t> </w:t>
                      </w:r>
                      <w:r>
                        <w:rPr>
                          <w:color w:val="000000"/>
                        </w:rPr>
                        <w:t>measurable</w:t>
                      </w:r>
                      <w:r>
                        <w:rPr>
                          <w:color w:val="000000"/>
                          <w:spacing w:val="-7"/>
                        </w:rPr>
                        <w:t> </w:t>
                      </w:r>
                      <w:r>
                        <w:rPr>
                          <w:color w:val="000000"/>
                        </w:rPr>
                        <w:t>and</w:t>
                      </w:r>
                      <w:r>
                        <w:rPr>
                          <w:color w:val="000000"/>
                          <w:spacing w:val="-4"/>
                        </w:rPr>
                        <w:t> </w:t>
                      </w:r>
                      <w:r>
                        <w:rPr>
                          <w:color w:val="000000"/>
                        </w:rPr>
                        <w:t>targeted</w:t>
                      </w:r>
                      <w:r>
                        <w:rPr>
                          <w:color w:val="000000"/>
                          <w:spacing w:val="-7"/>
                        </w:rPr>
                        <w:t> </w:t>
                      </w:r>
                      <w:r>
                        <w:rPr>
                          <w:color w:val="000000"/>
                        </w:rPr>
                        <w:t>to</w:t>
                      </w:r>
                      <w:r>
                        <w:rPr>
                          <w:color w:val="000000"/>
                          <w:spacing w:val="-7"/>
                        </w:rPr>
                        <w:t> </w:t>
                      </w:r>
                      <w:r>
                        <w:rPr>
                          <w:color w:val="000000"/>
                        </w:rPr>
                        <w:t>safety</w:t>
                      </w:r>
                      <w:r>
                        <w:rPr>
                          <w:color w:val="000000"/>
                          <w:spacing w:val="-5"/>
                        </w:rPr>
                        <w:t> </w:t>
                      </w:r>
                      <w:r>
                        <w:rPr>
                          <w:color w:val="000000"/>
                          <w:spacing w:val="-2"/>
                        </w:rPr>
                        <w:t>obligations;</w:t>
                      </w:r>
                    </w:p>
                    <w:p>
                      <w:pPr>
                        <w:pStyle w:val="BodyText"/>
                        <w:numPr>
                          <w:ilvl w:val="0"/>
                          <w:numId w:val="90"/>
                        </w:numPr>
                        <w:tabs>
                          <w:tab w:pos="470" w:val="left" w:leader="none"/>
                        </w:tabs>
                        <w:spacing w:line="240" w:lineRule="auto" w:before="64" w:after="0"/>
                        <w:ind w:left="470" w:right="0" w:hanging="358"/>
                        <w:jc w:val="left"/>
                        <w:rPr>
                          <w:color w:val="000000"/>
                        </w:rPr>
                      </w:pPr>
                      <w:r>
                        <w:rPr>
                          <w:color w:val="000000"/>
                        </w:rPr>
                        <w:t>how</w:t>
                      </w:r>
                      <w:r>
                        <w:rPr>
                          <w:color w:val="000000"/>
                          <w:spacing w:val="-8"/>
                        </w:rPr>
                        <w:t> </w:t>
                      </w:r>
                      <w:r>
                        <w:rPr>
                          <w:color w:val="000000"/>
                        </w:rPr>
                        <w:t>a</w:t>
                      </w:r>
                      <w:r>
                        <w:rPr>
                          <w:color w:val="000000"/>
                          <w:spacing w:val="-5"/>
                        </w:rPr>
                        <w:t> </w:t>
                      </w:r>
                      <w:r>
                        <w:rPr>
                          <w:color w:val="000000"/>
                        </w:rPr>
                        <w:t>precaution-based</w:t>
                      </w:r>
                      <w:r>
                        <w:rPr>
                          <w:color w:val="000000"/>
                          <w:spacing w:val="-10"/>
                        </w:rPr>
                        <w:t> </w:t>
                      </w:r>
                      <w:r>
                        <w:rPr>
                          <w:color w:val="000000"/>
                        </w:rPr>
                        <w:t>approach</w:t>
                      </w:r>
                      <w:r>
                        <w:rPr>
                          <w:color w:val="000000"/>
                          <w:spacing w:val="-5"/>
                        </w:rPr>
                        <w:t> </w:t>
                      </w:r>
                      <w:r>
                        <w:rPr>
                          <w:color w:val="000000"/>
                        </w:rPr>
                        <w:t>is</w:t>
                      </w:r>
                      <w:r>
                        <w:rPr>
                          <w:color w:val="000000"/>
                          <w:spacing w:val="-7"/>
                        </w:rPr>
                        <w:t> </w:t>
                      </w:r>
                      <w:r>
                        <w:rPr>
                          <w:color w:val="000000"/>
                        </w:rPr>
                        <w:t>applied</w:t>
                      </w:r>
                      <w:r>
                        <w:rPr>
                          <w:color w:val="000000"/>
                          <w:spacing w:val="-5"/>
                        </w:rPr>
                        <w:t> </w:t>
                      </w:r>
                      <w:r>
                        <w:rPr>
                          <w:color w:val="000000"/>
                        </w:rPr>
                        <w:t>to</w:t>
                      </w:r>
                      <w:r>
                        <w:rPr>
                          <w:color w:val="000000"/>
                          <w:spacing w:val="-7"/>
                        </w:rPr>
                        <w:t> </w:t>
                      </w:r>
                      <w:r>
                        <w:rPr>
                          <w:color w:val="000000"/>
                        </w:rPr>
                        <w:t>managing</w:t>
                      </w:r>
                      <w:r>
                        <w:rPr>
                          <w:color w:val="000000"/>
                          <w:spacing w:val="-4"/>
                        </w:rPr>
                        <w:t> </w:t>
                      </w:r>
                      <w:r>
                        <w:rPr>
                          <w:color w:val="000000"/>
                        </w:rPr>
                        <w:t>safety</w:t>
                      </w:r>
                      <w:r>
                        <w:rPr>
                          <w:color w:val="000000"/>
                          <w:spacing w:val="-6"/>
                        </w:rPr>
                        <w:t> </w:t>
                      </w:r>
                      <w:r>
                        <w:rPr>
                          <w:color w:val="000000"/>
                        </w:rPr>
                        <w:t>risk;</w:t>
                      </w:r>
                      <w:r>
                        <w:rPr>
                          <w:color w:val="000000"/>
                          <w:spacing w:val="-6"/>
                        </w:rPr>
                        <w:t> </w:t>
                      </w:r>
                      <w:r>
                        <w:rPr>
                          <w:color w:val="000000"/>
                          <w:spacing w:val="-5"/>
                        </w:rPr>
                        <w:t>and</w:t>
                      </w:r>
                    </w:p>
                    <w:p>
                      <w:pPr>
                        <w:pStyle w:val="BodyText"/>
                        <w:numPr>
                          <w:ilvl w:val="0"/>
                          <w:numId w:val="90"/>
                        </w:numPr>
                        <w:tabs>
                          <w:tab w:pos="470" w:val="left" w:leader="none"/>
                        </w:tabs>
                        <w:spacing w:line="240" w:lineRule="auto" w:before="66" w:after="0"/>
                        <w:ind w:left="470" w:right="0" w:hanging="358"/>
                        <w:jc w:val="left"/>
                        <w:rPr>
                          <w:color w:val="000000"/>
                        </w:rPr>
                      </w:pPr>
                      <w:r>
                        <w:rPr>
                          <w:color w:val="000000"/>
                        </w:rPr>
                        <w:t>safety</w:t>
                      </w:r>
                      <w:r>
                        <w:rPr>
                          <w:color w:val="000000"/>
                          <w:spacing w:val="-7"/>
                        </w:rPr>
                        <w:t> </w:t>
                      </w:r>
                      <w:r>
                        <w:rPr>
                          <w:color w:val="000000"/>
                        </w:rPr>
                        <w:t>case</w:t>
                      </w:r>
                      <w:r>
                        <w:rPr>
                          <w:color w:val="000000"/>
                          <w:spacing w:val="-7"/>
                        </w:rPr>
                        <w:t> </w:t>
                      </w:r>
                      <w:r>
                        <w:rPr>
                          <w:color w:val="000000"/>
                        </w:rPr>
                        <w:t>submission</w:t>
                      </w:r>
                      <w:r>
                        <w:rPr>
                          <w:color w:val="000000"/>
                          <w:spacing w:val="-8"/>
                        </w:rPr>
                        <w:t> </w:t>
                      </w:r>
                      <w:r>
                        <w:rPr>
                          <w:color w:val="000000"/>
                        </w:rPr>
                        <w:t>and</w:t>
                      </w:r>
                      <w:r>
                        <w:rPr>
                          <w:color w:val="000000"/>
                          <w:spacing w:val="-5"/>
                        </w:rPr>
                        <w:t> </w:t>
                      </w:r>
                      <w:r>
                        <w:rPr>
                          <w:color w:val="000000"/>
                        </w:rPr>
                        <w:t>revision</w:t>
                      </w:r>
                      <w:r>
                        <w:rPr>
                          <w:color w:val="000000"/>
                          <w:spacing w:val="-5"/>
                        </w:rPr>
                        <w:t> </w:t>
                      </w:r>
                      <w:r>
                        <w:rPr>
                          <w:color w:val="000000"/>
                          <w:spacing w:val="-2"/>
                        </w:rPr>
                        <w:t>processes.</w:t>
                      </w:r>
                    </w:p>
                  </w:txbxContent>
                </v:textbox>
                <v:fill type="solid"/>
              </v:shape>
            </w:pict>
          </mc:Fallback>
        </mc:AlternateContent>
      </w:r>
      <w:r>
        <w:rPr>
          <w:sz w:val="20"/>
        </w:rPr>
      </w:r>
    </w:p>
    <w:p>
      <w:pPr>
        <w:pStyle w:val="BodyText"/>
        <w:spacing w:before="9"/>
        <w:rPr>
          <w:sz w:val="21"/>
        </w:rPr>
      </w:pPr>
    </w:p>
    <w:p>
      <w:pPr>
        <w:pStyle w:val="Heading4"/>
      </w:pPr>
      <w:r>
        <w:rPr>
          <w:color w:val="585858"/>
        </w:rPr>
        <w:t>The</w:t>
      </w:r>
      <w:r>
        <w:rPr>
          <w:color w:val="585858"/>
          <w:spacing w:val="-10"/>
        </w:rPr>
        <w:t> </w:t>
      </w:r>
      <w:r>
        <w:rPr>
          <w:color w:val="585858"/>
        </w:rPr>
        <w:t>mix</w:t>
      </w:r>
      <w:r>
        <w:rPr>
          <w:color w:val="585858"/>
          <w:spacing w:val="-11"/>
        </w:rPr>
        <w:t> </w:t>
      </w:r>
      <w:r>
        <w:rPr>
          <w:color w:val="585858"/>
        </w:rPr>
        <w:t>of</w:t>
      </w:r>
      <w:r>
        <w:rPr>
          <w:color w:val="585858"/>
          <w:spacing w:val="-12"/>
        </w:rPr>
        <w:t> </w:t>
      </w:r>
      <w:r>
        <w:rPr>
          <w:color w:val="585858"/>
        </w:rPr>
        <w:t>prescriptive</w:t>
      </w:r>
      <w:r>
        <w:rPr>
          <w:color w:val="585858"/>
          <w:spacing w:val="-9"/>
        </w:rPr>
        <w:t> </w:t>
      </w:r>
      <w:r>
        <w:rPr>
          <w:color w:val="585858"/>
        </w:rPr>
        <w:t>and</w:t>
      </w:r>
      <w:r>
        <w:rPr>
          <w:color w:val="585858"/>
          <w:spacing w:val="-11"/>
        </w:rPr>
        <w:t> </w:t>
      </w:r>
      <w:r>
        <w:rPr>
          <w:color w:val="585858"/>
        </w:rPr>
        <w:t>outcomes-based</w:t>
      </w:r>
      <w:r>
        <w:rPr>
          <w:color w:val="585858"/>
          <w:spacing w:val="-12"/>
        </w:rPr>
        <w:t> </w:t>
      </w:r>
      <w:r>
        <w:rPr>
          <w:color w:val="585858"/>
          <w:spacing w:val="-2"/>
        </w:rPr>
        <w:t>requirements</w:t>
      </w:r>
    </w:p>
    <w:p>
      <w:pPr>
        <w:pStyle w:val="BodyText"/>
        <w:spacing w:line="288" w:lineRule="auto" w:before="314"/>
        <w:ind w:left="232" w:right="488"/>
      </w:pPr>
      <w:r>
        <w:rPr/>
        <w:t>As noted</w:t>
      </w:r>
      <w:r>
        <w:rPr>
          <w:spacing w:val="-1"/>
        </w:rPr>
        <w:t> </w:t>
      </w:r>
      <w:r>
        <w:rPr/>
        <w:t>earlier in</w:t>
      </w:r>
      <w:r>
        <w:rPr>
          <w:spacing w:val="-1"/>
        </w:rPr>
        <w:t> </w:t>
      </w:r>
      <w:r>
        <w:rPr/>
        <w:t>this</w:t>
      </w:r>
      <w:r>
        <w:rPr>
          <w:spacing w:val="-1"/>
        </w:rPr>
        <w:t> </w:t>
      </w:r>
      <w:r>
        <w:rPr/>
        <w:t>Report, the current network safety</w:t>
      </w:r>
      <w:r>
        <w:rPr>
          <w:spacing w:val="-3"/>
        </w:rPr>
        <w:t> </w:t>
      </w:r>
      <w:r>
        <w:rPr/>
        <w:t>framework in Victoria is</w:t>
      </w:r>
      <w:r>
        <w:rPr>
          <w:spacing w:val="-1"/>
        </w:rPr>
        <w:t> </w:t>
      </w:r>
      <w:r>
        <w:rPr/>
        <w:t>a hybrid</w:t>
      </w:r>
      <w:r>
        <w:rPr>
          <w:spacing w:val="-1"/>
        </w:rPr>
        <w:t> </w:t>
      </w:r>
      <w:r>
        <w:rPr/>
        <w:t>mix</w:t>
      </w:r>
      <w:r>
        <w:rPr>
          <w:spacing w:val="-1"/>
        </w:rPr>
        <w:t> </w:t>
      </w:r>
      <w:r>
        <w:rPr/>
        <w:t>of outcomes-based</w:t>
      </w:r>
      <w:r>
        <w:rPr>
          <w:spacing w:val="-5"/>
        </w:rPr>
        <w:t> </w:t>
      </w:r>
      <w:r>
        <w:rPr/>
        <w:t>regulation</w:t>
      </w:r>
      <w:r>
        <w:rPr>
          <w:spacing w:val="-2"/>
        </w:rPr>
        <w:t> </w:t>
      </w:r>
      <w:r>
        <w:rPr/>
        <w:t>–</w:t>
      </w:r>
      <w:r>
        <w:rPr>
          <w:spacing w:val="-2"/>
        </w:rPr>
        <w:t> </w:t>
      </w:r>
      <w:r>
        <w:rPr/>
        <w:t>based</w:t>
      </w:r>
      <w:r>
        <w:rPr>
          <w:spacing w:val="-5"/>
        </w:rPr>
        <w:t> </w:t>
      </w:r>
      <w:r>
        <w:rPr/>
        <w:t>around</w:t>
      </w:r>
      <w:r>
        <w:rPr>
          <w:spacing w:val="-6"/>
        </w:rPr>
        <w:t> </w:t>
      </w:r>
      <w:r>
        <w:rPr/>
        <w:t>the</w:t>
      </w:r>
      <w:r>
        <w:rPr>
          <w:spacing w:val="-3"/>
        </w:rPr>
        <w:t> </w:t>
      </w:r>
      <w:r>
        <w:rPr/>
        <w:t>development</w:t>
      </w:r>
      <w:r>
        <w:rPr>
          <w:spacing w:val="-1"/>
        </w:rPr>
        <w:t> </w:t>
      </w:r>
      <w:r>
        <w:rPr/>
        <w:t>and</w:t>
      </w:r>
      <w:r>
        <w:rPr>
          <w:spacing w:val="-3"/>
        </w:rPr>
        <w:t> </w:t>
      </w:r>
      <w:r>
        <w:rPr/>
        <w:t>implementation</w:t>
      </w:r>
      <w:r>
        <w:rPr>
          <w:spacing w:val="-3"/>
        </w:rPr>
        <w:t> </w:t>
      </w:r>
      <w:r>
        <w:rPr/>
        <w:t>of</w:t>
      </w:r>
      <w:r>
        <w:rPr>
          <w:spacing w:val="-4"/>
        </w:rPr>
        <w:t> </w:t>
      </w:r>
      <w:r>
        <w:rPr/>
        <w:t>safety</w:t>
      </w:r>
      <w:r>
        <w:rPr>
          <w:spacing w:val="-5"/>
        </w:rPr>
        <w:t> </w:t>
      </w:r>
      <w:r>
        <w:rPr/>
        <w:t>cases and safety management schemes – and prescriptive requirements set out in legislation or associated statutory regulations.</w:t>
      </w:r>
    </w:p>
    <w:p>
      <w:pPr>
        <w:pStyle w:val="BodyText"/>
        <w:spacing w:before="10"/>
        <w:rPr>
          <w:sz w:val="20"/>
        </w:rPr>
      </w:pPr>
    </w:p>
    <w:p>
      <w:pPr>
        <w:pStyle w:val="BodyText"/>
        <w:spacing w:line="288" w:lineRule="auto" w:before="1"/>
        <w:ind w:left="232" w:right="374"/>
      </w:pPr>
      <w:r>
        <w:rPr/>
        <w:t>The</w:t>
      </w:r>
      <w:r>
        <w:rPr>
          <w:spacing w:val="-5"/>
        </w:rPr>
        <w:t> </w:t>
      </w:r>
      <w:r>
        <w:rPr/>
        <w:t>prescriptive</w:t>
      </w:r>
      <w:r>
        <w:rPr>
          <w:spacing w:val="-2"/>
        </w:rPr>
        <w:t> </w:t>
      </w:r>
      <w:r>
        <w:rPr/>
        <w:t>elements</w:t>
      </w:r>
      <w:r>
        <w:rPr>
          <w:spacing w:val="-3"/>
        </w:rPr>
        <w:t> </w:t>
      </w:r>
      <w:r>
        <w:rPr/>
        <w:t>that</w:t>
      </w:r>
      <w:r>
        <w:rPr>
          <w:spacing w:val="-1"/>
        </w:rPr>
        <w:t> </w:t>
      </w:r>
      <w:r>
        <w:rPr/>
        <w:t>currently</w:t>
      </w:r>
      <w:r>
        <w:rPr>
          <w:spacing w:val="-5"/>
        </w:rPr>
        <w:t> </w:t>
      </w:r>
      <w:r>
        <w:rPr/>
        <w:t>apply</w:t>
      </w:r>
      <w:r>
        <w:rPr>
          <w:spacing w:val="-5"/>
        </w:rPr>
        <w:t> </w:t>
      </w:r>
      <w:r>
        <w:rPr/>
        <w:t>to</w:t>
      </w:r>
      <w:r>
        <w:rPr>
          <w:spacing w:val="-3"/>
        </w:rPr>
        <w:t> </w:t>
      </w:r>
      <w:r>
        <w:rPr/>
        <w:t>the</w:t>
      </w:r>
      <w:r>
        <w:rPr>
          <w:spacing w:val="-3"/>
        </w:rPr>
        <w:t> </w:t>
      </w:r>
      <w:r>
        <w:rPr/>
        <w:t>regulation</w:t>
      </w:r>
      <w:r>
        <w:rPr>
          <w:spacing w:val="-3"/>
        </w:rPr>
        <w:t> </w:t>
      </w:r>
      <w:r>
        <w:rPr/>
        <w:t>of</w:t>
      </w:r>
      <w:r>
        <w:rPr>
          <w:spacing w:val="-4"/>
        </w:rPr>
        <w:t> </w:t>
      </w:r>
      <w:r>
        <w:rPr/>
        <w:t>gas</w:t>
      </w:r>
      <w:r>
        <w:rPr>
          <w:spacing w:val="-2"/>
        </w:rPr>
        <w:t> </w:t>
      </w:r>
      <w:r>
        <w:rPr/>
        <w:t>networks</w:t>
      </w:r>
      <w:r>
        <w:rPr>
          <w:spacing w:val="-2"/>
        </w:rPr>
        <w:t> </w:t>
      </w:r>
      <w:r>
        <w:rPr/>
        <w:t>and</w:t>
      </w:r>
      <w:r>
        <w:rPr>
          <w:spacing w:val="-5"/>
        </w:rPr>
        <w:t> </w:t>
      </w:r>
      <w:r>
        <w:rPr/>
        <w:t>electricity networks include:</w:t>
      </w:r>
    </w:p>
    <w:p>
      <w:pPr>
        <w:pStyle w:val="BodyText"/>
        <w:spacing w:before="3"/>
      </w:pPr>
    </w:p>
    <w:p>
      <w:pPr>
        <w:pStyle w:val="ListParagraph"/>
        <w:numPr>
          <w:ilvl w:val="0"/>
          <w:numId w:val="89"/>
        </w:numPr>
        <w:tabs>
          <w:tab w:pos="734" w:val="left" w:leader="none"/>
        </w:tabs>
        <w:spacing w:line="285" w:lineRule="auto" w:before="0" w:after="0"/>
        <w:ind w:left="734" w:right="513" w:hanging="361"/>
        <w:jc w:val="left"/>
        <w:rPr>
          <w:sz w:val="22"/>
        </w:rPr>
      </w:pPr>
      <w:r>
        <w:rPr>
          <w:sz w:val="22"/>
        </w:rPr>
        <w:t>the</w:t>
      </w:r>
      <w:r>
        <w:rPr>
          <w:spacing w:val="-5"/>
          <w:sz w:val="22"/>
        </w:rPr>
        <w:t> </w:t>
      </w:r>
      <w:r>
        <w:rPr>
          <w:i/>
          <w:sz w:val="22"/>
        </w:rPr>
        <w:t>Gas</w:t>
      </w:r>
      <w:r>
        <w:rPr>
          <w:i/>
          <w:spacing w:val="-3"/>
          <w:sz w:val="22"/>
        </w:rPr>
        <w:t> </w:t>
      </w:r>
      <w:r>
        <w:rPr>
          <w:i/>
          <w:sz w:val="22"/>
        </w:rPr>
        <w:t>Safety</w:t>
      </w:r>
      <w:r>
        <w:rPr>
          <w:i/>
          <w:spacing w:val="-5"/>
          <w:sz w:val="22"/>
        </w:rPr>
        <w:t> </w:t>
      </w:r>
      <w:r>
        <w:rPr>
          <w:i/>
          <w:sz w:val="22"/>
        </w:rPr>
        <w:t>(Gas</w:t>
      </w:r>
      <w:r>
        <w:rPr>
          <w:i/>
          <w:spacing w:val="-6"/>
          <w:sz w:val="22"/>
        </w:rPr>
        <w:t> </w:t>
      </w:r>
      <w:r>
        <w:rPr>
          <w:i/>
          <w:sz w:val="22"/>
        </w:rPr>
        <w:t>Quality)</w:t>
      </w:r>
      <w:r>
        <w:rPr>
          <w:i/>
          <w:spacing w:val="-2"/>
          <w:sz w:val="22"/>
        </w:rPr>
        <w:t> </w:t>
      </w:r>
      <w:r>
        <w:rPr>
          <w:i/>
          <w:sz w:val="22"/>
        </w:rPr>
        <w:t>Regulations</w:t>
      </w:r>
      <w:r>
        <w:rPr>
          <w:i/>
          <w:spacing w:val="-3"/>
          <w:sz w:val="22"/>
        </w:rPr>
        <w:t> </w:t>
      </w:r>
      <w:r>
        <w:rPr>
          <w:i/>
          <w:sz w:val="22"/>
        </w:rPr>
        <w:t>2007</w:t>
      </w:r>
      <w:r>
        <w:rPr>
          <w:sz w:val="22"/>
        </w:rPr>
        <w:t>,</w:t>
      </w:r>
      <w:r>
        <w:rPr>
          <w:spacing w:val="-4"/>
          <w:sz w:val="22"/>
        </w:rPr>
        <w:t> </w:t>
      </w:r>
      <w:r>
        <w:rPr>
          <w:sz w:val="22"/>
        </w:rPr>
        <w:t>prescribing</w:t>
      </w:r>
      <w:r>
        <w:rPr>
          <w:spacing w:val="-3"/>
          <w:sz w:val="22"/>
        </w:rPr>
        <w:t> </w:t>
      </w:r>
      <w:r>
        <w:rPr>
          <w:sz w:val="22"/>
        </w:rPr>
        <w:t>quality</w:t>
      </w:r>
      <w:r>
        <w:rPr>
          <w:spacing w:val="-5"/>
          <w:sz w:val="22"/>
        </w:rPr>
        <w:t> </w:t>
      </w:r>
      <w:r>
        <w:rPr>
          <w:sz w:val="22"/>
        </w:rPr>
        <w:t>standards,</w:t>
      </w:r>
      <w:r>
        <w:rPr>
          <w:spacing w:val="-4"/>
          <w:sz w:val="22"/>
        </w:rPr>
        <w:t> </w:t>
      </w:r>
      <w:r>
        <w:rPr>
          <w:sz w:val="22"/>
        </w:rPr>
        <w:t>requirements for gas odourisation, and requirements for testing gas quality;</w:t>
      </w:r>
    </w:p>
    <w:p>
      <w:pPr>
        <w:pStyle w:val="BodyText"/>
        <w:spacing w:before="7"/>
      </w:pPr>
    </w:p>
    <w:p>
      <w:pPr>
        <w:pStyle w:val="ListParagraph"/>
        <w:numPr>
          <w:ilvl w:val="0"/>
          <w:numId w:val="89"/>
        </w:numPr>
        <w:tabs>
          <w:tab w:pos="734" w:val="left" w:leader="none"/>
        </w:tabs>
        <w:spacing w:line="288" w:lineRule="auto" w:before="0" w:after="0"/>
        <w:ind w:left="734" w:right="292" w:hanging="361"/>
        <w:jc w:val="left"/>
        <w:rPr>
          <w:sz w:val="22"/>
        </w:rPr>
      </w:pPr>
      <w:r>
        <w:rPr>
          <w:sz w:val="22"/>
        </w:rPr>
        <w:t>the</w:t>
      </w:r>
      <w:r>
        <w:rPr>
          <w:spacing w:val="-3"/>
          <w:sz w:val="22"/>
        </w:rPr>
        <w:t> </w:t>
      </w:r>
      <w:r>
        <w:rPr>
          <w:i/>
          <w:sz w:val="22"/>
        </w:rPr>
        <w:t>Electricity</w:t>
      </w:r>
      <w:r>
        <w:rPr>
          <w:i/>
          <w:spacing w:val="-2"/>
          <w:sz w:val="22"/>
        </w:rPr>
        <w:t> </w:t>
      </w:r>
      <w:r>
        <w:rPr>
          <w:i/>
          <w:sz w:val="22"/>
        </w:rPr>
        <w:t>Safety</w:t>
      </w:r>
      <w:r>
        <w:rPr>
          <w:i/>
          <w:spacing w:val="-5"/>
          <w:sz w:val="22"/>
        </w:rPr>
        <w:t> </w:t>
      </w:r>
      <w:r>
        <w:rPr>
          <w:i/>
          <w:sz w:val="22"/>
        </w:rPr>
        <w:t>(Electric</w:t>
      </w:r>
      <w:r>
        <w:rPr>
          <w:i/>
          <w:spacing w:val="-5"/>
          <w:sz w:val="22"/>
        </w:rPr>
        <w:t> </w:t>
      </w:r>
      <w:r>
        <w:rPr>
          <w:i/>
          <w:sz w:val="22"/>
        </w:rPr>
        <w:t>Line</w:t>
      </w:r>
      <w:r>
        <w:rPr>
          <w:i/>
          <w:spacing w:val="-3"/>
          <w:sz w:val="22"/>
        </w:rPr>
        <w:t> </w:t>
      </w:r>
      <w:r>
        <w:rPr>
          <w:i/>
          <w:sz w:val="22"/>
        </w:rPr>
        <w:t>Clearance)</w:t>
      </w:r>
      <w:r>
        <w:rPr>
          <w:i/>
          <w:spacing w:val="-4"/>
          <w:sz w:val="22"/>
        </w:rPr>
        <w:t> </w:t>
      </w:r>
      <w:r>
        <w:rPr>
          <w:i/>
          <w:sz w:val="22"/>
        </w:rPr>
        <w:t>Regulations</w:t>
      </w:r>
      <w:r>
        <w:rPr>
          <w:i/>
          <w:spacing w:val="-3"/>
          <w:sz w:val="22"/>
        </w:rPr>
        <w:t> </w:t>
      </w:r>
      <w:r>
        <w:rPr>
          <w:i/>
          <w:sz w:val="22"/>
        </w:rPr>
        <w:t>2015</w:t>
      </w:r>
      <w:r>
        <w:rPr>
          <w:sz w:val="22"/>
        </w:rPr>
        <w:t>,</w:t>
      </w:r>
      <w:r>
        <w:rPr>
          <w:spacing w:val="-4"/>
          <w:sz w:val="22"/>
        </w:rPr>
        <w:t> </w:t>
      </w:r>
      <w:r>
        <w:rPr>
          <w:sz w:val="22"/>
        </w:rPr>
        <w:t>specifying</w:t>
      </w:r>
      <w:r>
        <w:rPr>
          <w:spacing w:val="-3"/>
          <w:sz w:val="22"/>
        </w:rPr>
        <w:t> </w:t>
      </w:r>
      <w:r>
        <w:rPr>
          <w:sz w:val="22"/>
        </w:rPr>
        <w:t>a</w:t>
      </w:r>
      <w:r>
        <w:rPr>
          <w:spacing w:val="-3"/>
          <w:sz w:val="22"/>
        </w:rPr>
        <w:t> </w:t>
      </w:r>
      <w:r>
        <w:rPr>
          <w:sz w:val="22"/>
        </w:rPr>
        <w:t>code</w:t>
      </w:r>
      <w:r>
        <w:rPr>
          <w:spacing w:val="-5"/>
          <w:sz w:val="22"/>
        </w:rPr>
        <w:t> </w:t>
      </w:r>
      <w:r>
        <w:rPr>
          <w:sz w:val="22"/>
        </w:rPr>
        <w:t>of</w:t>
      </w:r>
      <w:r>
        <w:rPr>
          <w:spacing w:val="-1"/>
          <w:sz w:val="22"/>
        </w:rPr>
        <w:t> </w:t>
      </w:r>
      <w:r>
        <w:rPr>
          <w:sz w:val="22"/>
        </w:rPr>
        <w:t>practice for the management of vegetation near powerlines, and requiring electricity network businesses to submit a management plan to ESV relating to compliance with the code on an annual basis; and</w:t>
      </w:r>
    </w:p>
    <w:p>
      <w:pPr>
        <w:pStyle w:val="BodyText"/>
        <w:spacing w:before="2"/>
      </w:pPr>
    </w:p>
    <w:p>
      <w:pPr>
        <w:pStyle w:val="ListParagraph"/>
        <w:numPr>
          <w:ilvl w:val="0"/>
          <w:numId w:val="89"/>
        </w:numPr>
        <w:tabs>
          <w:tab w:pos="734" w:val="left" w:leader="none"/>
        </w:tabs>
        <w:spacing w:line="288" w:lineRule="auto" w:before="0" w:after="0"/>
        <w:ind w:left="734" w:right="355" w:hanging="361"/>
        <w:jc w:val="left"/>
        <w:rPr>
          <w:sz w:val="22"/>
        </w:rPr>
      </w:pPr>
      <w:r>
        <w:rPr>
          <w:sz w:val="22"/>
        </w:rPr>
        <w:t>the </w:t>
      </w:r>
      <w:r>
        <w:rPr>
          <w:i/>
          <w:sz w:val="22"/>
        </w:rPr>
        <w:t>Electricity Safety (Bushfire Mitigation) Regulations 2013</w:t>
      </w:r>
      <w:r>
        <w:rPr>
          <w:sz w:val="22"/>
        </w:rPr>
        <w:t>, specifying content for bushfire mitigation plans submitted to ESV every five years for acceptance, and prescribing requirements for the inspection of overhead electric lines and supply networks and the achievement</w:t>
      </w:r>
      <w:r>
        <w:rPr>
          <w:spacing w:val="-3"/>
          <w:sz w:val="22"/>
        </w:rPr>
        <w:t> </w:t>
      </w:r>
      <w:r>
        <w:rPr>
          <w:sz w:val="22"/>
        </w:rPr>
        <w:t>of</w:t>
      </w:r>
      <w:r>
        <w:rPr>
          <w:spacing w:val="-2"/>
          <w:sz w:val="22"/>
        </w:rPr>
        <w:t> </w:t>
      </w:r>
      <w:r>
        <w:rPr>
          <w:sz w:val="22"/>
        </w:rPr>
        <w:t>other</w:t>
      </w:r>
      <w:r>
        <w:rPr>
          <w:spacing w:val="-5"/>
          <w:sz w:val="22"/>
        </w:rPr>
        <w:t> </w:t>
      </w:r>
      <w:r>
        <w:rPr>
          <w:sz w:val="22"/>
        </w:rPr>
        <w:t>safety</w:t>
      </w:r>
      <w:r>
        <w:rPr>
          <w:spacing w:val="-5"/>
          <w:sz w:val="22"/>
        </w:rPr>
        <w:t> </w:t>
      </w:r>
      <w:r>
        <w:rPr>
          <w:sz w:val="22"/>
        </w:rPr>
        <w:t>standards,</w:t>
      </w:r>
      <w:r>
        <w:rPr>
          <w:spacing w:val="-5"/>
          <w:sz w:val="22"/>
        </w:rPr>
        <w:t> </w:t>
      </w:r>
      <w:r>
        <w:rPr>
          <w:sz w:val="22"/>
        </w:rPr>
        <w:t>including</w:t>
      </w:r>
      <w:r>
        <w:rPr>
          <w:spacing w:val="-4"/>
          <w:sz w:val="22"/>
        </w:rPr>
        <w:t> </w:t>
      </w:r>
      <w:r>
        <w:rPr>
          <w:sz w:val="22"/>
        </w:rPr>
        <w:t>requiring</w:t>
      </w:r>
      <w:r>
        <w:rPr>
          <w:spacing w:val="-4"/>
          <w:sz w:val="22"/>
        </w:rPr>
        <w:t> </w:t>
      </w:r>
      <w:r>
        <w:rPr>
          <w:sz w:val="22"/>
        </w:rPr>
        <w:t>the</w:t>
      </w:r>
      <w:r>
        <w:rPr>
          <w:spacing w:val="-4"/>
          <w:sz w:val="22"/>
        </w:rPr>
        <w:t> </w:t>
      </w:r>
      <w:r>
        <w:rPr>
          <w:sz w:val="22"/>
        </w:rPr>
        <w:t>installation</w:t>
      </w:r>
      <w:r>
        <w:rPr>
          <w:spacing w:val="-4"/>
          <w:sz w:val="22"/>
        </w:rPr>
        <w:t> </w:t>
      </w:r>
      <w:r>
        <w:rPr>
          <w:sz w:val="22"/>
        </w:rPr>
        <w:t>of</w:t>
      </w:r>
      <w:r>
        <w:rPr>
          <w:spacing w:val="-5"/>
          <w:sz w:val="22"/>
        </w:rPr>
        <w:t> </w:t>
      </w:r>
      <w:r>
        <w:rPr>
          <w:sz w:val="22"/>
        </w:rPr>
        <w:t>fault</w:t>
      </w:r>
      <w:r>
        <w:rPr>
          <w:spacing w:val="-2"/>
          <w:sz w:val="22"/>
        </w:rPr>
        <w:t> </w:t>
      </w:r>
      <w:r>
        <w:rPr>
          <w:sz w:val="22"/>
        </w:rPr>
        <w:t>suppression equipment in certain zone substations.</w:t>
      </w:r>
    </w:p>
    <w:p>
      <w:pPr>
        <w:pStyle w:val="BodyText"/>
        <w:spacing w:before="6"/>
        <w:rPr>
          <w:sz w:val="20"/>
        </w:rPr>
      </w:pPr>
    </w:p>
    <w:p>
      <w:pPr>
        <w:pStyle w:val="BodyText"/>
        <w:spacing w:line="288" w:lineRule="auto"/>
        <w:ind w:left="232" w:right="374"/>
      </w:pPr>
      <w:r>
        <w:rPr/>
        <w:t>The Issues Papers released by the Review requested submissions addressing the balance between</w:t>
      </w:r>
      <w:r>
        <w:rPr>
          <w:spacing w:val="-4"/>
        </w:rPr>
        <w:t> </w:t>
      </w:r>
      <w:r>
        <w:rPr/>
        <w:t>outcomes-based</w:t>
      </w:r>
      <w:r>
        <w:rPr>
          <w:spacing w:val="-4"/>
        </w:rPr>
        <w:t> </w:t>
      </w:r>
      <w:r>
        <w:rPr/>
        <w:t>regulation</w:t>
      </w:r>
      <w:r>
        <w:rPr>
          <w:spacing w:val="-4"/>
        </w:rPr>
        <w:t> </w:t>
      </w:r>
      <w:r>
        <w:rPr/>
        <w:t>and</w:t>
      </w:r>
      <w:r>
        <w:rPr>
          <w:spacing w:val="-6"/>
        </w:rPr>
        <w:t> </w:t>
      </w:r>
      <w:r>
        <w:rPr/>
        <w:t>prescriptive</w:t>
      </w:r>
      <w:r>
        <w:rPr>
          <w:spacing w:val="-4"/>
        </w:rPr>
        <w:t> </w:t>
      </w:r>
      <w:r>
        <w:rPr/>
        <w:t>regulation</w:t>
      </w:r>
      <w:r>
        <w:rPr>
          <w:spacing w:val="-4"/>
        </w:rPr>
        <w:t> </w:t>
      </w:r>
      <w:r>
        <w:rPr/>
        <w:t>in</w:t>
      </w:r>
      <w:r>
        <w:rPr>
          <w:spacing w:val="-4"/>
        </w:rPr>
        <w:t> </w:t>
      </w:r>
      <w:r>
        <w:rPr/>
        <w:t>the</w:t>
      </w:r>
      <w:r>
        <w:rPr>
          <w:spacing w:val="-4"/>
        </w:rPr>
        <w:t> </w:t>
      </w:r>
      <w:r>
        <w:rPr/>
        <w:t>current</w:t>
      </w:r>
      <w:r>
        <w:rPr>
          <w:spacing w:val="-2"/>
        </w:rPr>
        <w:t> </w:t>
      </w:r>
      <w:r>
        <w:rPr/>
        <w:t>safety</w:t>
      </w:r>
      <w:r>
        <w:rPr>
          <w:spacing w:val="-7"/>
        </w:rPr>
        <w:t> </w:t>
      </w:r>
      <w:r>
        <w:rPr/>
        <w:t>framework.</w:t>
      </w:r>
    </w:p>
    <w:p>
      <w:pPr>
        <w:pStyle w:val="BodyText"/>
        <w:spacing w:before="11"/>
        <w:rPr>
          <w:sz w:val="20"/>
        </w:rPr>
      </w:pPr>
    </w:p>
    <w:p>
      <w:pPr>
        <w:pStyle w:val="BodyText"/>
        <w:spacing w:line="288" w:lineRule="auto"/>
        <w:ind w:left="232" w:right="337"/>
      </w:pPr>
      <w:r>
        <w:rPr/>
        <w:t>Submissions</w:t>
      </w:r>
      <w:r>
        <w:rPr>
          <w:spacing w:val="-1"/>
        </w:rPr>
        <w:t> </w:t>
      </w:r>
      <w:r>
        <w:rPr/>
        <w:t>to</w:t>
      </w:r>
      <w:r>
        <w:rPr>
          <w:spacing w:val="-4"/>
        </w:rPr>
        <w:t> </w:t>
      </w:r>
      <w:r>
        <w:rPr/>
        <w:t>the</w:t>
      </w:r>
      <w:r>
        <w:rPr>
          <w:spacing w:val="-4"/>
        </w:rPr>
        <w:t> </w:t>
      </w:r>
      <w:r>
        <w:rPr/>
        <w:t>Review</w:t>
      </w:r>
      <w:r>
        <w:rPr>
          <w:spacing w:val="-5"/>
        </w:rPr>
        <w:t> </w:t>
      </w:r>
      <w:r>
        <w:rPr/>
        <w:t>have</w:t>
      </w:r>
      <w:r>
        <w:rPr>
          <w:spacing w:val="-2"/>
        </w:rPr>
        <w:t> </w:t>
      </w:r>
      <w:r>
        <w:rPr/>
        <w:t>presented</w:t>
      </w:r>
      <w:r>
        <w:rPr>
          <w:spacing w:val="-4"/>
        </w:rPr>
        <w:t> </w:t>
      </w:r>
      <w:r>
        <w:rPr/>
        <w:t>mixed</w:t>
      </w:r>
      <w:r>
        <w:rPr>
          <w:spacing w:val="-2"/>
        </w:rPr>
        <w:t> </w:t>
      </w:r>
      <w:r>
        <w:rPr/>
        <w:t>views</w:t>
      </w:r>
      <w:r>
        <w:rPr>
          <w:spacing w:val="-1"/>
        </w:rPr>
        <w:t> </w:t>
      </w:r>
      <w:r>
        <w:rPr/>
        <w:t>on</w:t>
      </w:r>
      <w:r>
        <w:rPr>
          <w:spacing w:val="-2"/>
        </w:rPr>
        <w:t> </w:t>
      </w:r>
      <w:r>
        <w:rPr/>
        <w:t>this</w:t>
      </w:r>
      <w:r>
        <w:rPr>
          <w:spacing w:val="-1"/>
        </w:rPr>
        <w:t> </w:t>
      </w:r>
      <w:r>
        <w:rPr/>
        <w:t>issue. At</w:t>
      </w:r>
      <w:r>
        <w:rPr>
          <w:spacing w:val="-3"/>
        </w:rPr>
        <w:t> </w:t>
      </w:r>
      <w:r>
        <w:rPr/>
        <w:t>a</w:t>
      </w:r>
      <w:r>
        <w:rPr>
          <w:spacing w:val="-2"/>
        </w:rPr>
        <w:t> </w:t>
      </w:r>
      <w:r>
        <w:rPr/>
        <w:t>very</w:t>
      </w:r>
      <w:r>
        <w:rPr>
          <w:spacing w:val="-3"/>
        </w:rPr>
        <w:t> </w:t>
      </w:r>
      <w:r>
        <w:rPr/>
        <w:t>broad</w:t>
      </w:r>
      <w:r>
        <w:rPr>
          <w:spacing w:val="-2"/>
        </w:rPr>
        <w:t> </w:t>
      </w:r>
      <w:r>
        <w:rPr/>
        <w:t>level, major network businesses have generally argued in favour of less prescription. The position APA VTS has expressed in its submission is broadly representative:</w:t>
      </w:r>
    </w:p>
    <w:p>
      <w:pPr>
        <w:pStyle w:val="BodyText"/>
        <w:rPr>
          <w:sz w:val="21"/>
        </w:rPr>
      </w:pPr>
    </w:p>
    <w:p>
      <w:pPr>
        <w:spacing w:line="288" w:lineRule="auto" w:before="0"/>
        <w:ind w:left="799" w:right="868" w:firstLine="0"/>
        <w:jc w:val="left"/>
        <w:rPr>
          <w:sz w:val="22"/>
        </w:rPr>
      </w:pPr>
      <w:r>
        <w:rPr>
          <w:i/>
          <w:sz w:val="22"/>
        </w:rPr>
        <w:t>“The</w:t>
      </w:r>
      <w:r>
        <w:rPr>
          <w:i/>
          <w:spacing w:val="-2"/>
          <w:sz w:val="22"/>
        </w:rPr>
        <w:t> </w:t>
      </w:r>
      <w:r>
        <w:rPr>
          <w:i/>
          <w:sz w:val="22"/>
        </w:rPr>
        <w:t>Safety</w:t>
      </w:r>
      <w:r>
        <w:rPr>
          <w:i/>
          <w:spacing w:val="-4"/>
          <w:sz w:val="22"/>
        </w:rPr>
        <w:t> </w:t>
      </w:r>
      <w:r>
        <w:rPr>
          <w:i/>
          <w:sz w:val="22"/>
        </w:rPr>
        <w:t>Case</w:t>
      </w:r>
      <w:r>
        <w:rPr>
          <w:i/>
          <w:spacing w:val="-4"/>
          <w:sz w:val="22"/>
        </w:rPr>
        <w:t> </w:t>
      </w:r>
      <w:r>
        <w:rPr>
          <w:i/>
          <w:sz w:val="22"/>
        </w:rPr>
        <w:t>regime</w:t>
      </w:r>
      <w:r>
        <w:rPr>
          <w:i/>
          <w:spacing w:val="-4"/>
          <w:sz w:val="22"/>
        </w:rPr>
        <w:t> </w:t>
      </w:r>
      <w:r>
        <w:rPr>
          <w:i/>
          <w:sz w:val="22"/>
        </w:rPr>
        <w:t>is</w:t>
      </w:r>
      <w:r>
        <w:rPr>
          <w:i/>
          <w:spacing w:val="-1"/>
          <w:sz w:val="22"/>
        </w:rPr>
        <w:t> </w:t>
      </w:r>
      <w:r>
        <w:rPr>
          <w:i/>
          <w:sz w:val="22"/>
        </w:rPr>
        <w:t>fundamentally</w:t>
      </w:r>
      <w:r>
        <w:rPr>
          <w:i/>
          <w:spacing w:val="-1"/>
          <w:sz w:val="22"/>
        </w:rPr>
        <w:t> </w:t>
      </w:r>
      <w:r>
        <w:rPr>
          <w:i/>
          <w:sz w:val="22"/>
        </w:rPr>
        <w:t>a</w:t>
      </w:r>
      <w:r>
        <w:rPr>
          <w:i/>
          <w:spacing w:val="-2"/>
          <w:sz w:val="22"/>
        </w:rPr>
        <w:t> </w:t>
      </w:r>
      <w:r>
        <w:rPr>
          <w:i/>
          <w:sz w:val="22"/>
        </w:rPr>
        <w:t>good</w:t>
      </w:r>
      <w:r>
        <w:rPr>
          <w:i/>
          <w:spacing w:val="-7"/>
          <w:sz w:val="22"/>
        </w:rPr>
        <w:t> </w:t>
      </w:r>
      <w:r>
        <w:rPr>
          <w:i/>
          <w:sz w:val="22"/>
        </w:rPr>
        <w:t>one</w:t>
      </w:r>
      <w:r>
        <w:rPr>
          <w:i/>
          <w:spacing w:val="-2"/>
          <w:sz w:val="22"/>
        </w:rPr>
        <w:t> </w:t>
      </w:r>
      <w:r>
        <w:rPr>
          <w:i/>
          <w:sz w:val="22"/>
        </w:rPr>
        <w:t>to</w:t>
      </w:r>
      <w:r>
        <w:rPr>
          <w:i/>
          <w:spacing w:val="-4"/>
          <w:sz w:val="22"/>
        </w:rPr>
        <w:t> </w:t>
      </w:r>
      <w:r>
        <w:rPr>
          <w:i/>
          <w:sz w:val="22"/>
        </w:rPr>
        <w:t>ensure</w:t>
      </w:r>
      <w:r>
        <w:rPr>
          <w:i/>
          <w:spacing w:val="-4"/>
          <w:sz w:val="22"/>
        </w:rPr>
        <w:t> </w:t>
      </w:r>
      <w:r>
        <w:rPr>
          <w:i/>
          <w:sz w:val="22"/>
        </w:rPr>
        <w:t>the</w:t>
      </w:r>
      <w:r>
        <w:rPr>
          <w:i/>
          <w:spacing w:val="-4"/>
          <w:sz w:val="22"/>
        </w:rPr>
        <w:t> </w:t>
      </w:r>
      <w:r>
        <w:rPr>
          <w:i/>
          <w:sz w:val="22"/>
        </w:rPr>
        <w:t>appropriate</w:t>
      </w:r>
      <w:r>
        <w:rPr>
          <w:i/>
          <w:spacing w:val="-2"/>
          <w:sz w:val="22"/>
        </w:rPr>
        <w:t> </w:t>
      </w:r>
      <w:r>
        <w:rPr>
          <w:i/>
          <w:sz w:val="22"/>
        </w:rPr>
        <w:t>safety management and risk management systems are in place and APA VTS Operations would support that the Safety Case regime be prescribed above all other safety obligations for all industry segments… We would advocate that the degree of prescription in the current framework should be reduced.” </w:t>
      </w:r>
      <w:r>
        <w:rPr>
          <w:sz w:val="22"/>
        </w:rPr>
        <w:t>(APA VTS, 2017, pp. 1-2)</w:t>
      </w:r>
    </w:p>
    <w:p>
      <w:pPr>
        <w:spacing w:after="0" w:line="288" w:lineRule="auto"/>
        <w:jc w:val="left"/>
        <w:rPr>
          <w:sz w:val="22"/>
        </w:rPr>
        <w:sectPr>
          <w:pgSz w:w="11910" w:h="16850"/>
          <w:pgMar w:header="220" w:footer="678" w:top="420" w:bottom="860" w:left="900" w:right="840"/>
        </w:sectPr>
      </w:pPr>
    </w:p>
    <w:p>
      <w:pPr>
        <w:pStyle w:val="BodyText"/>
        <w:rPr>
          <w:sz w:val="20"/>
        </w:rPr>
      </w:pPr>
    </w:p>
    <w:p>
      <w:pPr>
        <w:pStyle w:val="BodyText"/>
        <w:spacing w:before="2"/>
        <w:rPr>
          <w:sz w:val="19"/>
        </w:rPr>
      </w:pPr>
    </w:p>
    <w:p>
      <w:pPr>
        <w:pStyle w:val="BodyText"/>
        <w:spacing w:line="288" w:lineRule="auto" w:before="94"/>
        <w:ind w:left="232" w:right="374"/>
      </w:pPr>
      <w:r>
        <w:rPr/>
        <w:t>In submissions</w:t>
      </w:r>
      <w:r>
        <w:rPr>
          <w:spacing w:val="-1"/>
        </w:rPr>
        <w:t> </w:t>
      </w:r>
      <w:r>
        <w:rPr/>
        <w:t>to</w:t>
      </w:r>
      <w:r>
        <w:rPr>
          <w:spacing w:val="-1"/>
        </w:rPr>
        <w:t> </w:t>
      </w:r>
      <w:r>
        <w:rPr/>
        <w:t>the Review, several network businesses (CitiPower and</w:t>
      </w:r>
      <w:r>
        <w:rPr>
          <w:spacing w:val="-1"/>
        </w:rPr>
        <w:t> </w:t>
      </w:r>
      <w:r>
        <w:rPr/>
        <w:t>Powercor Australia, United Energy and AusNet Services) raised specific examples of areas of concern around the prescriptive elements of the current framework. These include some of the more prescriptive regulations and directions developed in response to the recommendations of the Victorian Bushfires Royal Commission that relate to bushfire mitigation for the electricity sector, such as prescribed</w:t>
      </w:r>
      <w:r>
        <w:rPr>
          <w:spacing w:val="-5"/>
        </w:rPr>
        <w:t> </w:t>
      </w:r>
      <w:r>
        <w:rPr/>
        <w:t>inspection</w:t>
      </w:r>
      <w:r>
        <w:rPr>
          <w:spacing w:val="-3"/>
        </w:rPr>
        <w:t> </w:t>
      </w:r>
      <w:r>
        <w:rPr/>
        <w:t>intervals</w:t>
      </w:r>
      <w:r>
        <w:rPr>
          <w:spacing w:val="-2"/>
        </w:rPr>
        <w:t> </w:t>
      </w:r>
      <w:r>
        <w:rPr/>
        <w:t>and</w:t>
      </w:r>
      <w:r>
        <w:rPr>
          <w:spacing w:val="-5"/>
        </w:rPr>
        <w:t> </w:t>
      </w:r>
      <w:r>
        <w:rPr/>
        <w:t>fault</w:t>
      </w:r>
      <w:r>
        <w:rPr>
          <w:spacing w:val="-4"/>
        </w:rPr>
        <w:t> </w:t>
      </w:r>
      <w:r>
        <w:rPr/>
        <w:t>detection</w:t>
      </w:r>
      <w:r>
        <w:rPr>
          <w:spacing w:val="-5"/>
        </w:rPr>
        <w:t> </w:t>
      </w:r>
      <w:r>
        <w:rPr/>
        <w:t>and</w:t>
      </w:r>
      <w:r>
        <w:rPr>
          <w:spacing w:val="-3"/>
        </w:rPr>
        <w:t> </w:t>
      </w:r>
      <w:r>
        <w:rPr/>
        <w:t>suppression</w:t>
      </w:r>
      <w:r>
        <w:rPr>
          <w:spacing w:val="-3"/>
        </w:rPr>
        <w:t> </w:t>
      </w:r>
      <w:r>
        <w:rPr/>
        <w:t>capacity,</w:t>
      </w:r>
      <w:r>
        <w:rPr>
          <w:spacing w:val="-1"/>
        </w:rPr>
        <w:t> </w:t>
      </w:r>
      <w:r>
        <w:rPr/>
        <w:t>and</w:t>
      </w:r>
      <w:r>
        <w:rPr>
          <w:spacing w:val="-3"/>
        </w:rPr>
        <w:t> </w:t>
      </w:r>
      <w:r>
        <w:rPr/>
        <w:t>installation</w:t>
      </w:r>
      <w:r>
        <w:rPr>
          <w:spacing w:val="-3"/>
        </w:rPr>
        <w:t> </w:t>
      </w:r>
      <w:r>
        <w:rPr/>
        <w:t>of armour rods and vibration dampeners.</w:t>
      </w:r>
    </w:p>
    <w:p>
      <w:pPr>
        <w:pStyle w:val="BodyText"/>
        <w:spacing w:before="9"/>
        <w:rPr>
          <w:sz w:val="20"/>
        </w:rPr>
      </w:pPr>
    </w:p>
    <w:p>
      <w:pPr>
        <w:pStyle w:val="BodyText"/>
        <w:spacing w:line="288" w:lineRule="auto"/>
        <w:ind w:left="232" w:right="286"/>
      </w:pPr>
      <w:r>
        <w:rPr/>
        <w:t>Some businesses also considered less prescription was appropriate in the area of electric line clearance</w:t>
      </w:r>
      <w:r>
        <w:rPr>
          <w:spacing w:val="-3"/>
        </w:rPr>
        <w:t> </w:t>
      </w:r>
      <w:r>
        <w:rPr/>
        <w:t>distances</w:t>
      </w:r>
      <w:r>
        <w:rPr>
          <w:spacing w:val="-4"/>
        </w:rPr>
        <w:t> </w:t>
      </w:r>
      <w:r>
        <w:rPr/>
        <w:t>(United</w:t>
      </w:r>
      <w:r>
        <w:rPr>
          <w:spacing w:val="-3"/>
        </w:rPr>
        <w:t> </w:t>
      </w:r>
      <w:r>
        <w:rPr/>
        <w:t>Energy,</w:t>
      </w:r>
      <w:r>
        <w:rPr>
          <w:spacing w:val="-4"/>
        </w:rPr>
        <w:t> </w:t>
      </w:r>
      <w:r>
        <w:rPr/>
        <w:t>2017)</w:t>
      </w:r>
      <w:r>
        <w:rPr>
          <w:spacing w:val="-4"/>
        </w:rPr>
        <w:t> </w:t>
      </w:r>
      <w:r>
        <w:rPr/>
        <w:t>(AusNet</w:t>
      </w:r>
      <w:r>
        <w:rPr>
          <w:spacing w:val="-3"/>
        </w:rPr>
        <w:t> </w:t>
      </w:r>
      <w:r>
        <w:rPr/>
        <w:t>Services,</w:t>
      </w:r>
      <w:r>
        <w:rPr>
          <w:spacing w:val="-4"/>
        </w:rPr>
        <w:t> </w:t>
      </w:r>
      <w:r>
        <w:rPr/>
        <w:t>2017a).</w:t>
      </w:r>
      <w:r>
        <w:rPr>
          <w:spacing w:val="-2"/>
        </w:rPr>
        <w:t> </w:t>
      </w:r>
      <w:r>
        <w:rPr/>
        <w:t>More</w:t>
      </w:r>
      <w:r>
        <w:rPr>
          <w:spacing w:val="-3"/>
        </w:rPr>
        <w:t> </w:t>
      </w:r>
      <w:r>
        <w:rPr/>
        <w:t>broadly,</w:t>
      </w:r>
      <w:r>
        <w:rPr>
          <w:spacing w:val="-2"/>
        </w:rPr>
        <w:t> </w:t>
      </w:r>
      <w:r>
        <w:rPr/>
        <w:t>some</w:t>
      </w:r>
      <w:r>
        <w:rPr>
          <w:spacing w:val="-3"/>
        </w:rPr>
        <w:t> </w:t>
      </w:r>
      <w:r>
        <w:rPr/>
        <w:t>network businesses</w:t>
      </w:r>
      <w:r>
        <w:rPr>
          <w:spacing w:val="-3"/>
        </w:rPr>
        <w:t> </w:t>
      </w:r>
      <w:r>
        <w:rPr/>
        <w:t>suggested</w:t>
      </w:r>
      <w:r>
        <w:rPr>
          <w:spacing w:val="-5"/>
        </w:rPr>
        <w:t> </w:t>
      </w:r>
      <w:r>
        <w:rPr/>
        <w:t>that</w:t>
      </w:r>
      <w:r>
        <w:rPr>
          <w:spacing w:val="-2"/>
        </w:rPr>
        <w:t> </w:t>
      </w:r>
      <w:r>
        <w:rPr/>
        <w:t>used</w:t>
      </w:r>
      <w:r>
        <w:rPr>
          <w:spacing w:val="-5"/>
        </w:rPr>
        <w:t> </w:t>
      </w:r>
      <w:r>
        <w:rPr/>
        <w:t>inappropriately,</w:t>
      </w:r>
      <w:r>
        <w:rPr>
          <w:spacing w:val="-4"/>
        </w:rPr>
        <w:t> </w:t>
      </w:r>
      <w:r>
        <w:rPr/>
        <w:t>prescriptive</w:t>
      </w:r>
      <w:r>
        <w:rPr>
          <w:spacing w:val="-3"/>
        </w:rPr>
        <w:t> </w:t>
      </w:r>
      <w:r>
        <w:rPr/>
        <w:t>regulation</w:t>
      </w:r>
      <w:r>
        <w:rPr>
          <w:spacing w:val="-3"/>
        </w:rPr>
        <w:t> </w:t>
      </w:r>
      <w:r>
        <w:rPr/>
        <w:t>stifles</w:t>
      </w:r>
      <w:r>
        <w:rPr>
          <w:spacing w:val="-5"/>
        </w:rPr>
        <w:t> </w:t>
      </w:r>
      <w:r>
        <w:rPr/>
        <w:t>innovation</w:t>
      </w:r>
      <w:r>
        <w:rPr>
          <w:spacing w:val="-3"/>
        </w:rPr>
        <w:t> </w:t>
      </w:r>
      <w:r>
        <w:rPr/>
        <w:t>and</w:t>
      </w:r>
      <w:r>
        <w:rPr>
          <w:spacing w:val="-3"/>
        </w:rPr>
        <w:t> </w:t>
      </w:r>
      <w:r>
        <w:rPr/>
        <w:t>leads to inefficiencies (United</w:t>
      </w:r>
      <w:r>
        <w:rPr>
          <w:spacing w:val="-1"/>
        </w:rPr>
        <w:t> </w:t>
      </w:r>
      <w:r>
        <w:rPr/>
        <w:t>Energy, 2017) (AusNet Services, 2017b) (CitiPower &amp; Powercor Australia, </w:t>
      </w:r>
      <w:r>
        <w:rPr>
          <w:spacing w:val="-2"/>
        </w:rPr>
        <w:t>2017).</w:t>
      </w:r>
    </w:p>
    <w:p>
      <w:pPr>
        <w:pStyle w:val="BodyText"/>
        <w:rPr>
          <w:sz w:val="21"/>
        </w:rPr>
      </w:pPr>
    </w:p>
    <w:p>
      <w:pPr>
        <w:pStyle w:val="BodyText"/>
        <w:spacing w:line="288" w:lineRule="auto"/>
        <w:ind w:left="232" w:right="374"/>
      </w:pPr>
      <w:r>
        <w:rPr/>
        <w:t>Some business stakeholders did, nevertheless, note</w:t>
      </w:r>
      <w:r>
        <w:rPr>
          <w:spacing w:val="-1"/>
        </w:rPr>
        <w:t> </w:t>
      </w:r>
      <w:r>
        <w:rPr/>
        <w:t>the value of prescriptive regulation in certain circumstances</w:t>
      </w:r>
      <w:r>
        <w:rPr>
          <w:spacing w:val="-5"/>
        </w:rPr>
        <w:t> </w:t>
      </w:r>
      <w:r>
        <w:rPr/>
        <w:t>(United</w:t>
      </w:r>
      <w:r>
        <w:rPr>
          <w:spacing w:val="-6"/>
        </w:rPr>
        <w:t> </w:t>
      </w:r>
      <w:r>
        <w:rPr/>
        <w:t>Energy,</w:t>
      </w:r>
      <w:r>
        <w:rPr>
          <w:spacing w:val="-2"/>
        </w:rPr>
        <w:t> </w:t>
      </w:r>
      <w:r>
        <w:rPr/>
        <w:t>Multinet</w:t>
      </w:r>
      <w:r>
        <w:rPr>
          <w:spacing w:val="-2"/>
        </w:rPr>
        <w:t> </w:t>
      </w:r>
      <w:r>
        <w:rPr/>
        <w:t>Gas,</w:t>
      </w:r>
      <w:r>
        <w:rPr>
          <w:spacing w:val="-2"/>
        </w:rPr>
        <w:t> </w:t>
      </w:r>
      <w:r>
        <w:rPr/>
        <w:t>Jemena</w:t>
      </w:r>
      <w:r>
        <w:rPr>
          <w:spacing w:val="-4"/>
        </w:rPr>
        <w:t> </w:t>
      </w:r>
      <w:r>
        <w:rPr/>
        <w:t>and</w:t>
      </w:r>
      <w:r>
        <w:rPr>
          <w:spacing w:val="-4"/>
        </w:rPr>
        <w:t> </w:t>
      </w:r>
      <w:r>
        <w:rPr/>
        <w:t>AusNet</w:t>
      </w:r>
      <w:r>
        <w:rPr>
          <w:spacing w:val="-2"/>
        </w:rPr>
        <w:t> </w:t>
      </w:r>
      <w:r>
        <w:rPr/>
        <w:t>Services).</w:t>
      </w:r>
      <w:r>
        <w:rPr>
          <w:spacing w:val="-4"/>
        </w:rPr>
        <w:t> </w:t>
      </w:r>
      <w:r>
        <w:rPr/>
        <w:t>For</w:t>
      </w:r>
      <w:r>
        <w:rPr>
          <w:spacing w:val="-5"/>
        </w:rPr>
        <w:t> </w:t>
      </w:r>
      <w:r>
        <w:rPr/>
        <w:t>example,</w:t>
      </w:r>
      <w:r>
        <w:rPr>
          <w:spacing w:val="-2"/>
        </w:rPr>
        <w:t> </w:t>
      </w:r>
      <w:r>
        <w:rPr/>
        <w:t>setting requirements for customer installations, incident response times, and electric line clearance distances and management plans.</w:t>
      </w:r>
    </w:p>
    <w:p>
      <w:pPr>
        <w:pStyle w:val="BodyText"/>
        <w:spacing w:before="8"/>
        <w:rPr>
          <w:sz w:val="20"/>
        </w:rPr>
      </w:pPr>
    </w:p>
    <w:p>
      <w:pPr>
        <w:pStyle w:val="BodyText"/>
        <w:spacing w:line="288" w:lineRule="auto" w:before="1"/>
        <w:ind w:left="232" w:right="408"/>
      </w:pPr>
      <w:r>
        <w:rPr/>
        <w:t>The</w:t>
      </w:r>
      <w:r>
        <w:rPr>
          <w:spacing w:val="-4"/>
        </w:rPr>
        <w:t> </w:t>
      </w:r>
      <w:r>
        <w:rPr/>
        <w:t>South</w:t>
      </w:r>
      <w:r>
        <w:rPr>
          <w:spacing w:val="-3"/>
        </w:rPr>
        <w:t> </w:t>
      </w:r>
      <w:r>
        <w:rPr/>
        <w:t>East</w:t>
      </w:r>
      <w:r>
        <w:rPr>
          <w:spacing w:val="-3"/>
        </w:rPr>
        <w:t> </w:t>
      </w:r>
      <w:r>
        <w:rPr/>
        <w:t>Community</w:t>
      </w:r>
      <w:r>
        <w:rPr>
          <w:spacing w:val="-4"/>
        </w:rPr>
        <w:t> </w:t>
      </w:r>
      <w:r>
        <w:rPr/>
        <w:t>Forum</w:t>
      </w:r>
      <w:r>
        <w:rPr>
          <w:spacing w:val="-2"/>
        </w:rPr>
        <w:t> </w:t>
      </w:r>
      <w:r>
        <w:rPr/>
        <w:t>(2017) and</w:t>
      </w:r>
      <w:r>
        <w:rPr>
          <w:spacing w:val="-4"/>
        </w:rPr>
        <w:t> </w:t>
      </w:r>
      <w:r>
        <w:rPr/>
        <w:t>Electrical</w:t>
      </w:r>
      <w:r>
        <w:rPr>
          <w:spacing w:val="-5"/>
        </w:rPr>
        <w:t> </w:t>
      </w:r>
      <w:r>
        <w:rPr/>
        <w:t>Trades</w:t>
      </w:r>
      <w:r>
        <w:rPr>
          <w:spacing w:val="-1"/>
        </w:rPr>
        <w:t> </w:t>
      </w:r>
      <w:r>
        <w:rPr/>
        <w:t>Union</w:t>
      </w:r>
      <w:r>
        <w:rPr>
          <w:spacing w:val="-3"/>
        </w:rPr>
        <w:t> </w:t>
      </w:r>
      <w:r>
        <w:rPr/>
        <w:t>(2017) have</w:t>
      </w:r>
      <w:r>
        <w:rPr>
          <w:spacing w:val="-2"/>
        </w:rPr>
        <w:t> </w:t>
      </w:r>
      <w:r>
        <w:rPr/>
        <w:t>expressed</w:t>
      </w:r>
      <w:r>
        <w:rPr>
          <w:spacing w:val="-2"/>
        </w:rPr>
        <w:t> </w:t>
      </w:r>
      <w:r>
        <w:rPr/>
        <w:t>a view that that there should be more prescription around asset management and replacement.</w:t>
      </w:r>
    </w:p>
    <w:p>
      <w:pPr>
        <w:pStyle w:val="BodyText"/>
        <w:spacing w:before="10"/>
        <w:rPr>
          <w:sz w:val="20"/>
        </w:rPr>
      </w:pPr>
    </w:p>
    <w:p>
      <w:pPr>
        <w:pStyle w:val="BodyText"/>
        <w:spacing w:line="288" w:lineRule="auto"/>
        <w:ind w:left="232" w:right="320"/>
      </w:pPr>
      <w:r>
        <w:rPr/>
        <w:t>The</w:t>
      </w:r>
      <w:r>
        <w:rPr>
          <w:spacing w:val="-4"/>
        </w:rPr>
        <w:t> </w:t>
      </w:r>
      <w:r>
        <w:rPr/>
        <w:t>case</w:t>
      </w:r>
      <w:r>
        <w:rPr>
          <w:spacing w:val="-4"/>
        </w:rPr>
        <w:t> </w:t>
      </w:r>
      <w:r>
        <w:rPr/>
        <w:t>for</w:t>
      </w:r>
      <w:r>
        <w:rPr>
          <w:spacing w:val="-3"/>
        </w:rPr>
        <w:t> </w:t>
      </w:r>
      <w:r>
        <w:rPr/>
        <w:t>less</w:t>
      </w:r>
      <w:r>
        <w:rPr>
          <w:spacing w:val="-4"/>
        </w:rPr>
        <w:t> </w:t>
      </w:r>
      <w:r>
        <w:rPr/>
        <w:t>prescription</w:t>
      </w:r>
      <w:r>
        <w:rPr>
          <w:spacing w:val="-2"/>
        </w:rPr>
        <w:t> </w:t>
      </w:r>
      <w:r>
        <w:rPr/>
        <w:t>revolves</w:t>
      </w:r>
      <w:r>
        <w:rPr>
          <w:spacing w:val="-2"/>
        </w:rPr>
        <w:t> </w:t>
      </w:r>
      <w:r>
        <w:rPr/>
        <w:t>around</w:t>
      </w:r>
      <w:r>
        <w:rPr>
          <w:spacing w:val="-2"/>
        </w:rPr>
        <w:t> </w:t>
      </w:r>
      <w:r>
        <w:rPr/>
        <w:t>its</w:t>
      </w:r>
      <w:r>
        <w:rPr>
          <w:spacing w:val="-5"/>
        </w:rPr>
        <w:t> </w:t>
      </w:r>
      <w:r>
        <w:rPr/>
        <w:t>greater</w:t>
      </w:r>
      <w:r>
        <w:rPr>
          <w:spacing w:val="-3"/>
        </w:rPr>
        <w:t> </w:t>
      </w:r>
      <w:r>
        <w:rPr/>
        <w:t>flexibility, including</w:t>
      </w:r>
      <w:r>
        <w:rPr>
          <w:spacing w:val="-2"/>
        </w:rPr>
        <w:t> </w:t>
      </w:r>
      <w:r>
        <w:rPr/>
        <w:t>its</w:t>
      </w:r>
      <w:r>
        <w:rPr>
          <w:spacing w:val="-4"/>
        </w:rPr>
        <w:t> </w:t>
      </w:r>
      <w:r>
        <w:rPr/>
        <w:t>greater</w:t>
      </w:r>
      <w:r>
        <w:rPr>
          <w:spacing w:val="-3"/>
        </w:rPr>
        <w:t> </w:t>
      </w:r>
      <w:r>
        <w:rPr/>
        <w:t>capacity</w:t>
      </w:r>
      <w:r>
        <w:rPr>
          <w:spacing w:val="-4"/>
        </w:rPr>
        <w:t> </w:t>
      </w:r>
      <w:r>
        <w:rPr/>
        <w:t>to adapt in the face of changing technology. On the other hand, the case for maintaining, or even raising,</w:t>
      </w:r>
      <w:r>
        <w:rPr>
          <w:spacing w:val="-4"/>
        </w:rPr>
        <w:t> </w:t>
      </w:r>
      <w:r>
        <w:rPr/>
        <w:t>the</w:t>
      </w:r>
      <w:r>
        <w:rPr>
          <w:spacing w:val="-1"/>
        </w:rPr>
        <w:t> </w:t>
      </w:r>
      <w:r>
        <w:rPr/>
        <w:t>existing</w:t>
      </w:r>
      <w:r>
        <w:rPr>
          <w:spacing w:val="-1"/>
        </w:rPr>
        <w:t> </w:t>
      </w:r>
      <w:r>
        <w:rPr/>
        <w:t>degree</w:t>
      </w:r>
      <w:r>
        <w:rPr>
          <w:spacing w:val="-1"/>
        </w:rPr>
        <w:t> </w:t>
      </w:r>
      <w:r>
        <w:rPr/>
        <w:t>of prescription</w:t>
      </w:r>
      <w:r>
        <w:rPr>
          <w:spacing w:val="-3"/>
        </w:rPr>
        <w:t> </w:t>
      </w:r>
      <w:r>
        <w:rPr/>
        <w:t>rests on</w:t>
      </w:r>
      <w:r>
        <w:rPr>
          <w:spacing w:val="-1"/>
        </w:rPr>
        <w:t> </w:t>
      </w:r>
      <w:r>
        <w:rPr/>
        <w:t>concerns</w:t>
      </w:r>
      <w:r>
        <w:rPr>
          <w:spacing w:val="-3"/>
        </w:rPr>
        <w:t> </w:t>
      </w:r>
      <w:r>
        <w:rPr/>
        <w:t>that</w:t>
      </w:r>
      <w:r>
        <w:rPr>
          <w:spacing w:val="-2"/>
        </w:rPr>
        <w:t> </w:t>
      </w:r>
      <w:r>
        <w:rPr/>
        <w:t>outcomes-based</w:t>
      </w:r>
      <w:r>
        <w:rPr>
          <w:spacing w:val="-1"/>
        </w:rPr>
        <w:t> </w:t>
      </w:r>
      <w:r>
        <w:rPr/>
        <w:t>approaches</w:t>
      </w:r>
      <w:r>
        <w:rPr>
          <w:spacing w:val="-3"/>
        </w:rPr>
        <w:t> </w:t>
      </w:r>
      <w:r>
        <w:rPr/>
        <w:t>will not be regulated sufficiently strongly, and that commercial incentives will not be sufficient for network operators to achieve the level of safety desired by the Victorian community.</w:t>
      </w:r>
    </w:p>
    <w:p>
      <w:pPr>
        <w:pStyle w:val="BodyText"/>
        <w:rPr>
          <w:sz w:val="21"/>
        </w:rPr>
      </w:pPr>
    </w:p>
    <w:p>
      <w:pPr>
        <w:pStyle w:val="BodyText"/>
        <w:spacing w:line="288" w:lineRule="auto"/>
        <w:ind w:left="232" w:right="296"/>
      </w:pPr>
      <w:r>
        <w:rPr/>
        <w:t>Carefully weighing up the competing arguments, and informed by the broader literature on safety regulation, the Review considers that a longer-term aspiration to reduce the level of statutory prescription, and</w:t>
      </w:r>
      <w:r>
        <w:rPr>
          <w:spacing w:val="-4"/>
        </w:rPr>
        <w:t> </w:t>
      </w:r>
      <w:r>
        <w:rPr/>
        <w:t>place</w:t>
      </w:r>
      <w:r>
        <w:rPr>
          <w:spacing w:val="-4"/>
        </w:rPr>
        <w:t> </w:t>
      </w:r>
      <w:r>
        <w:rPr/>
        <w:t>greater</w:t>
      </w:r>
      <w:r>
        <w:rPr>
          <w:spacing w:val="-3"/>
        </w:rPr>
        <w:t> </w:t>
      </w:r>
      <w:r>
        <w:rPr/>
        <w:t>reliance</w:t>
      </w:r>
      <w:r>
        <w:rPr>
          <w:spacing w:val="-2"/>
        </w:rPr>
        <w:t> </w:t>
      </w:r>
      <w:r>
        <w:rPr/>
        <w:t>on</w:t>
      </w:r>
      <w:r>
        <w:rPr>
          <w:spacing w:val="-4"/>
        </w:rPr>
        <w:t> </w:t>
      </w:r>
      <w:r>
        <w:rPr/>
        <w:t>the</w:t>
      </w:r>
      <w:r>
        <w:rPr>
          <w:spacing w:val="-2"/>
        </w:rPr>
        <w:t> </w:t>
      </w:r>
      <w:r>
        <w:rPr/>
        <w:t>safety</w:t>
      </w:r>
      <w:r>
        <w:rPr>
          <w:spacing w:val="-3"/>
        </w:rPr>
        <w:t> </w:t>
      </w:r>
      <w:r>
        <w:rPr/>
        <w:t>case</w:t>
      </w:r>
      <w:r>
        <w:rPr>
          <w:spacing w:val="-2"/>
        </w:rPr>
        <w:t> </w:t>
      </w:r>
      <w:r>
        <w:rPr/>
        <w:t>approach,</w:t>
      </w:r>
      <w:r>
        <w:rPr>
          <w:spacing w:val="-3"/>
        </w:rPr>
        <w:t> </w:t>
      </w:r>
      <w:r>
        <w:rPr/>
        <w:t>would</w:t>
      </w:r>
      <w:r>
        <w:rPr>
          <w:spacing w:val="-2"/>
        </w:rPr>
        <w:t> </w:t>
      </w:r>
      <w:r>
        <w:rPr/>
        <w:t>be</w:t>
      </w:r>
      <w:r>
        <w:rPr>
          <w:spacing w:val="-2"/>
        </w:rPr>
        <w:t> </w:t>
      </w:r>
      <w:r>
        <w:rPr/>
        <w:t>in</w:t>
      </w:r>
      <w:r>
        <w:rPr>
          <w:spacing w:val="-4"/>
        </w:rPr>
        <w:t> </w:t>
      </w:r>
      <w:r>
        <w:rPr/>
        <w:t>the</w:t>
      </w:r>
      <w:r>
        <w:rPr>
          <w:spacing w:val="-2"/>
        </w:rPr>
        <w:t> </w:t>
      </w:r>
      <w:r>
        <w:rPr/>
        <w:t>best</w:t>
      </w:r>
      <w:r>
        <w:rPr>
          <w:spacing w:val="-3"/>
        </w:rPr>
        <w:t> </w:t>
      </w:r>
      <w:r>
        <w:rPr/>
        <w:t>interests of Victorian energy consumers.</w:t>
      </w:r>
    </w:p>
    <w:p>
      <w:pPr>
        <w:pStyle w:val="BodyText"/>
        <w:spacing w:before="10"/>
        <w:rPr>
          <w:sz w:val="20"/>
        </w:rPr>
      </w:pPr>
    </w:p>
    <w:p>
      <w:pPr>
        <w:pStyle w:val="BodyText"/>
        <w:spacing w:line="288" w:lineRule="auto"/>
        <w:ind w:left="232" w:right="525"/>
      </w:pPr>
      <w:r>
        <w:rPr/>
        <w:t>However, deep</w:t>
      </w:r>
      <w:r>
        <w:rPr>
          <w:spacing w:val="-2"/>
        </w:rPr>
        <w:t> </w:t>
      </w:r>
      <w:r>
        <w:rPr/>
        <w:t>confidence</w:t>
      </w:r>
      <w:r>
        <w:rPr>
          <w:spacing w:val="-2"/>
        </w:rPr>
        <w:t> </w:t>
      </w:r>
      <w:r>
        <w:rPr/>
        <w:t>in</w:t>
      </w:r>
      <w:r>
        <w:rPr>
          <w:spacing w:val="-2"/>
        </w:rPr>
        <w:t> </w:t>
      </w:r>
      <w:r>
        <w:rPr/>
        <w:t>the</w:t>
      </w:r>
      <w:r>
        <w:rPr>
          <w:spacing w:val="-4"/>
        </w:rPr>
        <w:t> </w:t>
      </w:r>
      <w:r>
        <w:rPr/>
        <w:t>operation</w:t>
      </w:r>
      <w:r>
        <w:rPr>
          <w:spacing w:val="-2"/>
        </w:rPr>
        <w:t> </w:t>
      </w:r>
      <w:r>
        <w:rPr/>
        <w:t>of safety</w:t>
      </w:r>
      <w:r>
        <w:rPr>
          <w:spacing w:val="-3"/>
        </w:rPr>
        <w:t> </w:t>
      </w:r>
      <w:r>
        <w:rPr/>
        <w:t>cases</w:t>
      </w:r>
      <w:r>
        <w:rPr>
          <w:spacing w:val="-1"/>
        </w:rPr>
        <w:t> </w:t>
      </w:r>
      <w:r>
        <w:rPr/>
        <w:t>and</w:t>
      </w:r>
      <w:r>
        <w:rPr>
          <w:spacing w:val="-4"/>
        </w:rPr>
        <w:t> </w:t>
      </w:r>
      <w:r>
        <w:rPr/>
        <w:t>their</w:t>
      </w:r>
      <w:r>
        <w:rPr>
          <w:spacing w:val="-3"/>
        </w:rPr>
        <w:t> </w:t>
      </w:r>
      <w:r>
        <w:rPr/>
        <w:t>regulation</w:t>
      </w:r>
      <w:r>
        <w:rPr>
          <w:spacing w:val="-2"/>
        </w:rPr>
        <w:t> </w:t>
      </w:r>
      <w:r>
        <w:rPr/>
        <w:t>by</w:t>
      </w:r>
      <w:r>
        <w:rPr>
          <w:spacing w:val="-4"/>
        </w:rPr>
        <w:t> </w:t>
      </w:r>
      <w:r>
        <w:rPr/>
        <w:t>ESV</w:t>
      </w:r>
      <w:r>
        <w:rPr>
          <w:spacing w:val="-2"/>
        </w:rPr>
        <w:t> </w:t>
      </w:r>
      <w:r>
        <w:rPr/>
        <w:t>needs</w:t>
      </w:r>
      <w:r>
        <w:rPr>
          <w:spacing w:val="-4"/>
        </w:rPr>
        <w:t> </w:t>
      </w:r>
      <w:r>
        <w:rPr/>
        <w:t>to be established as a necessary precondition for any major change in the balance of regulation.</w:t>
      </w:r>
    </w:p>
    <w:p>
      <w:pPr>
        <w:pStyle w:val="BodyText"/>
        <w:ind w:left="232"/>
      </w:pPr>
      <w:r>
        <w:rPr/>
        <w:t>More</w:t>
      </w:r>
      <w:r>
        <w:rPr>
          <w:spacing w:val="-3"/>
        </w:rPr>
        <w:t> </w:t>
      </w:r>
      <w:r>
        <w:rPr/>
        <w:t>still</w:t>
      </w:r>
      <w:r>
        <w:rPr>
          <w:spacing w:val="-3"/>
        </w:rPr>
        <w:t> </w:t>
      </w:r>
      <w:r>
        <w:rPr/>
        <w:t>needs</w:t>
      </w:r>
      <w:r>
        <w:rPr>
          <w:spacing w:val="-2"/>
        </w:rPr>
        <w:t> </w:t>
      </w:r>
      <w:r>
        <w:rPr/>
        <w:t>to</w:t>
      </w:r>
      <w:r>
        <w:rPr>
          <w:spacing w:val="-5"/>
        </w:rPr>
        <w:t> </w:t>
      </w:r>
      <w:r>
        <w:rPr/>
        <w:t>be</w:t>
      </w:r>
      <w:r>
        <w:rPr>
          <w:spacing w:val="-4"/>
        </w:rPr>
        <w:t> </w:t>
      </w:r>
      <w:r>
        <w:rPr/>
        <w:t>done</w:t>
      </w:r>
      <w:r>
        <w:rPr>
          <w:spacing w:val="-3"/>
        </w:rPr>
        <w:t> </w:t>
      </w:r>
      <w:r>
        <w:rPr/>
        <w:t>to</w:t>
      </w:r>
      <w:r>
        <w:rPr>
          <w:spacing w:val="-5"/>
        </w:rPr>
        <w:t> </w:t>
      </w:r>
      <w:r>
        <w:rPr/>
        <w:t>build</w:t>
      </w:r>
      <w:r>
        <w:rPr>
          <w:spacing w:val="-3"/>
        </w:rPr>
        <w:t> </w:t>
      </w:r>
      <w:r>
        <w:rPr/>
        <w:t>this</w:t>
      </w:r>
      <w:r>
        <w:rPr>
          <w:spacing w:val="-5"/>
        </w:rPr>
        <w:t> </w:t>
      </w:r>
      <w:r>
        <w:rPr>
          <w:spacing w:val="-2"/>
        </w:rPr>
        <w:t>confidence.</w:t>
      </w:r>
    </w:p>
    <w:p>
      <w:pPr>
        <w:pStyle w:val="BodyText"/>
        <w:spacing w:before="2"/>
        <w:rPr>
          <w:sz w:val="25"/>
        </w:rPr>
      </w:pPr>
    </w:p>
    <w:p>
      <w:pPr>
        <w:pStyle w:val="BodyText"/>
        <w:spacing w:line="288" w:lineRule="auto"/>
        <w:ind w:left="232" w:right="320"/>
      </w:pPr>
      <w:r>
        <w:rPr/>
        <w:t>In the meantime, it is not the Review’s intention to suggest that all of the current prescriptive elements should be set in stone. In consultation with DELWP, ESV should work closely with network</w:t>
      </w:r>
      <w:r>
        <w:rPr>
          <w:spacing w:val="-1"/>
        </w:rPr>
        <w:t> </w:t>
      </w:r>
      <w:r>
        <w:rPr/>
        <w:t>businesses</w:t>
      </w:r>
      <w:r>
        <w:rPr>
          <w:spacing w:val="-2"/>
        </w:rPr>
        <w:t> </w:t>
      </w:r>
      <w:r>
        <w:rPr/>
        <w:t>and</w:t>
      </w:r>
      <w:r>
        <w:rPr>
          <w:spacing w:val="-6"/>
        </w:rPr>
        <w:t> </w:t>
      </w:r>
      <w:r>
        <w:rPr/>
        <w:t>other</w:t>
      </w:r>
      <w:r>
        <w:rPr>
          <w:spacing w:val="-3"/>
        </w:rPr>
        <w:t> </w:t>
      </w:r>
      <w:r>
        <w:rPr/>
        <w:t>interested</w:t>
      </w:r>
      <w:r>
        <w:rPr>
          <w:spacing w:val="-7"/>
        </w:rPr>
        <w:t> </w:t>
      </w:r>
      <w:r>
        <w:rPr/>
        <w:t>groups</w:t>
      </w:r>
      <w:r>
        <w:rPr>
          <w:spacing w:val="-4"/>
        </w:rPr>
        <w:t> </w:t>
      </w:r>
      <w:r>
        <w:rPr/>
        <w:t>to</w:t>
      </w:r>
      <w:r>
        <w:rPr>
          <w:spacing w:val="-2"/>
        </w:rPr>
        <w:t> </w:t>
      </w:r>
      <w:r>
        <w:rPr/>
        <w:t>ensure</w:t>
      </w:r>
      <w:r>
        <w:rPr>
          <w:spacing w:val="-4"/>
        </w:rPr>
        <w:t> </w:t>
      </w:r>
      <w:r>
        <w:rPr/>
        <w:t>timely</w:t>
      </w:r>
      <w:r>
        <w:rPr>
          <w:spacing w:val="-4"/>
        </w:rPr>
        <w:t> </w:t>
      </w:r>
      <w:r>
        <w:rPr/>
        <w:t>advice</w:t>
      </w:r>
      <w:r>
        <w:rPr>
          <w:spacing w:val="-2"/>
        </w:rPr>
        <w:t> </w:t>
      </w:r>
      <w:r>
        <w:rPr/>
        <w:t>to</w:t>
      </w:r>
      <w:r>
        <w:rPr>
          <w:spacing w:val="-2"/>
        </w:rPr>
        <w:t> </w:t>
      </w:r>
      <w:r>
        <w:rPr/>
        <w:t>the</w:t>
      </w:r>
      <w:r>
        <w:rPr>
          <w:spacing w:val="-4"/>
        </w:rPr>
        <w:t> </w:t>
      </w:r>
      <w:r>
        <w:rPr/>
        <w:t>Minister</w:t>
      </w:r>
      <w:r>
        <w:rPr>
          <w:spacing w:val="-3"/>
        </w:rPr>
        <w:t> </w:t>
      </w:r>
      <w:r>
        <w:rPr/>
        <w:t>for</w:t>
      </w:r>
      <w:r>
        <w:rPr>
          <w:spacing w:val="-3"/>
        </w:rPr>
        <w:t> </w:t>
      </w:r>
      <w:r>
        <w:rPr/>
        <w:t>Energy, Environment and Climate Change where there is a good case for refinements to be made to the details of existing regulations.</w:t>
      </w:r>
    </w:p>
    <w:p>
      <w:pPr>
        <w:pStyle w:val="BodyText"/>
        <w:rPr>
          <w:sz w:val="21"/>
        </w:rPr>
      </w:pPr>
    </w:p>
    <w:p>
      <w:pPr>
        <w:pStyle w:val="BodyText"/>
        <w:spacing w:line="288" w:lineRule="auto" w:before="1"/>
        <w:ind w:left="232" w:right="374"/>
      </w:pPr>
      <w:r>
        <w:rPr/>
        <w:t>As part of</w:t>
      </w:r>
      <w:r>
        <w:rPr>
          <w:spacing w:val="-1"/>
        </w:rPr>
        <w:t> </w:t>
      </w:r>
      <w:r>
        <w:rPr/>
        <w:t>the preparation of new</w:t>
      </w:r>
      <w:r>
        <w:rPr>
          <w:spacing w:val="-3"/>
        </w:rPr>
        <w:t> </w:t>
      </w:r>
      <w:r>
        <w:rPr/>
        <w:t>consolidated energy</w:t>
      </w:r>
      <w:r>
        <w:rPr>
          <w:spacing w:val="-2"/>
        </w:rPr>
        <w:t> </w:t>
      </w:r>
      <w:r>
        <w:rPr/>
        <w:t>safety</w:t>
      </w:r>
      <w:r>
        <w:rPr>
          <w:spacing w:val="-1"/>
        </w:rPr>
        <w:t> </w:t>
      </w:r>
      <w:r>
        <w:rPr/>
        <w:t>legislation,</w:t>
      </w:r>
      <w:r>
        <w:rPr>
          <w:spacing w:val="-1"/>
        </w:rPr>
        <w:t> </w:t>
      </w:r>
      <w:r>
        <w:rPr/>
        <w:t>consideration should be given to desirable refinements. However, this should occur in the context of leaving the broad degree</w:t>
      </w:r>
      <w:r>
        <w:rPr>
          <w:spacing w:val="-2"/>
        </w:rPr>
        <w:t> </w:t>
      </w:r>
      <w:r>
        <w:rPr/>
        <w:t>of prescription</w:t>
      </w:r>
      <w:r>
        <w:rPr>
          <w:spacing w:val="-2"/>
        </w:rPr>
        <w:t> </w:t>
      </w:r>
      <w:r>
        <w:rPr/>
        <w:t>roughly</w:t>
      </w:r>
      <w:r>
        <w:rPr>
          <w:spacing w:val="-4"/>
        </w:rPr>
        <w:t> </w:t>
      </w:r>
      <w:r>
        <w:rPr/>
        <w:t>where</w:t>
      </w:r>
      <w:r>
        <w:rPr>
          <w:spacing w:val="-2"/>
        </w:rPr>
        <w:t> </w:t>
      </w:r>
      <w:r>
        <w:rPr/>
        <w:t>it</w:t>
      </w:r>
      <w:r>
        <w:rPr>
          <w:spacing w:val="-1"/>
        </w:rPr>
        <w:t> </w:t>
      </w:r>
      <w:r>
        <w:rPr/>
        <w:t>is</w:t>
      </w:r>
      <w:r>
        <w:rPr>
          <w:spacing w:val="-1"/>
        </w:rPr>
        <w:t> </w:t>
      </w:r>
      <w:r>
        <w:rPr/>
        <w:t>now</w:t>
      </w:r>
      <w:r>
        <w:rPr>
          <w:spacing w:val="-5"/>
        </w:rPr>
        <w:t> </w:t>
      </w:r>
      <w:r>
        <w:rPr/>
        <w:t>until</w:t>
      </w:r>
      <w:r>
        <w:rPr>
          <w:spacing w:val="-2"/>
        </w:rPr>
        <w:t> </w:t>
      </w:r>
      <w:r>
        <w:rPr/>
        <w:t>strong</w:t>
      </w:r>
      <w:r>
        <w:rPr>
          <w:spacing w:val="-2"/>
        </w:rPr>
        <w:t> </w:t>
      </w:r>
      <w:r>
        <w:rPr/>
        <w:t>confidence</w:t>
      </w:r>
      <w:r>
        <w:rPr>
          <w:spacing w:val="-4"/>
        </w:rPr>
        <w:t> </w:t>
      </w:r>
      <w:r>
        <w:rPr/>
        <w:t>in</w:t>
      </w:r>
      <w:r>
        <w:rPr>
          <w:spacing w:val="-2"/>
        </w:rPr>
        <w:t> </w:t>
      </w:r>
      <w:r>
        <w:rPr/>
        <w:t>the</w:t>
      </w:r>
      <w:r>
        <w:rPr>
          <w:spacing w:val="-2"/>
        </w:rPr>
        <w:t> </w:t>
      </w:r>
      <w:r>
        <w:rPr/>
        <w:t>maturity</w:t>
      </w:r>
      <w:r>
        <w:rPr>
          <w:spacing w:val="-3"/>
        </w:rPr>
        <w:t> </w:t>
      </w:r>
      <w:r>
        <w:rPr/>
        <w:t>of</w:t>
      </w:r>
      <w:r>
        <w:rPr>
          <w:spacing w:val="-3"/>
        </w:rPr>
        <w:t> </w:t>
      </w:r>
      <w:r>
        <w:rPr/>
        <w:t>the</w:t>
      </w:r>
      <w:r>
        <w:rPr>
          <w:spacing w:val="-2"/>
        </w:rPr>
        <w:t> </w:t>
      </w:r>
      <w:r>
        <w:rPr/>
        <w:t>safety case based regulatory system has been established.</w:t>
      </w:r>
    </w:p>
    <w:p>
      <w:pPr>
        <w:spacing w:after="0" w:line="288" w:lineRule="auto"/>
        <w:sectPr>
          <w:pgSz w:w="11910" w:h="16850"/>
          <w:pgMar w:header="220" w:footer="678" w:top="420" w:bottom="860" w:left="900" w:right="840"/>
        </w:sectPr>
      </w:pPr>
    </w:p>
    <w:p>
      <w:pPr>
        <w:pStyle w:val="BodyText"/>
        <w:rPr>
          <w:sz w:val="20"/>
        </w:rPr>
      </w:pPr>
    </w:p>
    <w:p>
      <w:pPr>
        <w:pStyle w:val="BodyText"/>
        <w:spacing w:before="7"/>
        <w:rPr>
          <w:sz w:val="19"/>
        </w:rPr>
      </w:pPr>
    </w:p>
    <w:p>
      <w:pPr>
        <w:pStyle w:val="Heading4"/>
      </w:pPr>
      <w:r>
        <w:rPr>
          <w:color w:val="585858"/>
        </w:rPr>
        <w:t>Ongoing</w:t>
      </w:r>
      <w:r>
        <w:rPr>
          <w:color w:val="585858"/>
          <w:spacing w:val="-14"/>
        </w:rPr>
        <w:t> </w:t>
      </w:r>
      <w:r>
        <w:rPr>
          <w:color w:val="585858"/>
        </w:rPr>
        <w:t>review</w:t>
      </w:r>
      <w:r>
        <w:rPr>
          <w:color w:val="585858"/>
          <w:spacing w:val="-7"/>
        </w:rPr>
        <w:t> </w:t>
      </w:r>
      <w:r>
        <w:rPr>
          <w:color w:val="585858"/>
        </w:rPr>
        <w:t>and</w:t>
      </w:r>
      <w:r>
        <w:rPr>
          <w:color w:val="585858"/>
          <w:spacing w:val="-14"/>
        </w:rPr>
        <w:t> </w:t>
      </w:r>
      <w:r>
        <w:rPr>
          <w:color w:val="585858"/>
        </w:rPr>
        <w:t>continuous</w:t>
      </w:r>
      <w:r>
        <w:rPr>
          <w:color w:val="585858"/>
          <w:spacing w:val="-13"/>
        </w:rPr>
        <w:t> </w:t>
      </w:r>
      <w:r>
        <w:rPr>
          <w:color w:val="585858"/>
          <w:spacing w:val="-2"/>
        </w:rPr>
        <w:t>improvement</w:t>
      </w:r>
    </w:p>
    <w:p>
      <w:pPr>
        <w:pStyle w:val="BodyText"/>
        <w:spacing w:line="288" w:lineRule="auto" w:before="314"/>
        <w:ind w:left="232" w:right="374"/>
      </w:pPr>
      <w:r>
        <w:rPr/>
        <w:t>Even the most mature of regulatory systems benefit from ongoing monitoring and review. In fact, one of the key indicators of a strong system is that it provides for periodic assessment to ensure that</w:t>
      </w:r>
      <w:r>
        <w:rPr>
          <w:spacing w:val="-4"/>
        </w:rPr>
        <w:t> </w:t>
      </w:r>
      <w:r>
        <w:rPr/>
        <w:t>the</w:t>
      </w:r>
      <w:r>
        <w:rPr>
          <w:spacing w:val="-5"/>
        </w:rPr>
        <w:t> </w:t>
      </w:r>
      <w:r>
        <w:rPr/>
        <w:t>regulator</w:t>
      </w:r>
      <w:r>
        <w:rPr>
          <w:spacing w:val="-2"/>
        </w:rPr>
        <w:t> </w:t>
      </w:r>
      <w:r>
        <w:rPr/>
        <w:t>is</w:t>
      </w:r>
      <w:r>
        <w:rPr>
          <w:spacing w:val="-5"/>
        </w:rPr>
        <w:t> </w:t>
      </w:r>
      <w:r>
        <w:rPr/>
        <w:t>operating</w:t>
      </w:r>
      <w:r>
        <w:rPr>
          <w:spacing w:val="-3"/>
        </w:rPr>
        <w:t> </w:t>
      </w:r>
      <w:r>
        <w:rPr/>
        <w:t>effectively.</w:t>
      </w:r>
      <w:r>
        <w:rPr>
          <w:spacing w:val="-1"/>
        </w:rPr>
        <w:t> </w:t>
      </w:r>
      <w:r>
        <w:rPr/>
        <w:t>A</w:t>
      </w:r>
      <w:r>
        <w:rPr>
          <w:spacing w:val="-3"/>
        </w:rPr>
        <w:t> </w:t>
      </w:r>
      <w:r>
        <w:rPr/>
        <w:t>system</w:t>
      </w:r>
      <w:r>
        <w:rPr>
          <w:spacing w:val="-2"/>
        </w:rPr>
        <w:t> </w:t>
      </w:r>
      <w:r>
        <w:rPr/>
        <w:t>of</w:t>
      </w:r>
      <w:r>
        <w:rPr>
          <w:spacing w:val="-1"/>
        </w:rPr>
        <w:t> </w:t>
      </w:r>
      <w:r>
        <w:rPr/>
        <w:t>periodic</w:t>
      </w:r>
      <w:r>
        <w:rPr>
          <w:spacing w:val="-2"/>
        </w:rPr>
        <w:t> </w:t>
      </w:r>
      <w:r>
        <w:rPr/>
        <w:t>assessments</w:t>
      </w:r>
      <w:r>
        <w:rPr>
          <w:spacing w:val="-2"/>
        </w:rPr>
        <w:t> </w:t>
      </w:r>
      <w:r>
        <w:rPr/>
        <w:t>can</w:t>
      </w:r>
      <w:r>
        <w:rPr>
          <w:spacing w:val="-5"/>
        </w:rPr>
        <w:t> </w:t>
      </w:r>
      <w:r>
        <w:rPr/>
        <w:t>also</w:t>
      </w:r>
      <w:r>
        <w:rPr>
          <w:spacing w:val="-3"/>
        </w:rPr>
        <w:t> </w:t>
      </w:r>
      <w:r>
        <w:rPr/>
        <w:t>help</w:t>
      </w:r>
      <w:r>
        <w:rPr>
          <w:spacing w:val="-5"/>
        </w:rPr>
        <w:t> </w:t>
      </w:r>
      <w:r>
        <w:rPr/>
        <w:t>support and reinforce a “continuous improvement” approach.</w:t>
      </w:r>
    </w:p>
    <w:p>
      <w:pPr>
        <w:pStyle w:val="BodyText"/>
        <w:spacing w:before="10"/>
        <w:rPr>
          <w:sz w:val="20"/>
        </w:rPr>
      </w:pPr>
    </w:p>
    <w:p>
      <w:pPr>
        <w:pStyle w:val="BodyText"/>
        <w:spacing w:line="288" w:lineRule="auto"/>
        <w:ind w:left="232" w:right="374"/>
      </w:pPr>
      <w:r>
        <w:rPr/>
        <w:t>The</w:t>
      </w:r>
      <w:r>
        <w:rPr>
          <w:spacing w:val="-5"/>
        </w:rPr>
        <w:t> </w:t>
      </w:r>
      <w:r>
        <w:rPr/>
        <w:t>importance</w:t>
      </w:r>
      <w:r>
        <w:rPr>
          <w:spacing w:val="-5"/>
        </w:rPr>
        <w:t> </w:t>
      </w:r>
      <w:r>
        <w:rPr/>
        <w:t>of</w:t>
      </w:r>
      <w:r>
        <w:rPr>
          <w:spacing w:val="-1"/>
        </w:rPr>
        <w:t> </w:t>
      </w:r>
      <w:r>
        <w:rPr/>
        <w:t>effective</w:t>
      </w:r>
      <w:r>
        <w:rPr>
          <w:spacing w:val="-3"/>
        </w:rPr>
        <w:t> </w:t>
      </w:r>
      <w:r>
        <w:rPr/>
        <w:t>monitoring</w:t>
      </w:r>
      <w:r>
        <w:rPr>
          <w:spacing w:val="-1"/>
        </w:rPr>
        <w:t> </w:t>
      </w:r>
      <w:r>
        <w:rPr/>
        <w:t>of</w:t>
      </w:r>
      <w:r>
        <w:rPr>
          <w:spacing w:val="-4"/>
        </w:rPr>
        <w:t> </w:t>
      </w:r>
      <w:r>
        <w:rPr/>
        <w:t>regulators</w:t>
      </w:r>
      <w:r>
        <w:rPr>
          <w:spacing w:val="-2"/>
        </w:rPr>
        <w:t> </w:t>
      </w:r>
      <w:r>
        <w:rPr/>
        <w:t>was</w:t>
      </w:r>
      <w:r>
        <w:rPr>
          <w:spacing w:val="-3"/>
        </w:rPr>
        <w:t> </w:t>
      </w:r>
      <w:r>
        <w:rPr/>
        <w:t>identified</w:t>
      </w:r>
      <w:r>
        <w:rPr>
          <w:spacing w:val="-3"/>
        </w:rPr>
        <w:t> </w:t>
      </w:r>
      <w:r>
        <w:rPr/>
        <w:t>by</w:t>
      </w:r>
      <w:r>
        <w:rPr>
          <w:spacing w:val="-5"/>
        </w:rPr>
        <w:t> </w:t>
      </w:r>
      <w:r>
        <w:rPr/>
        <w:t>a</w:t>
      </w:r>
      <w:r>
        <w:rPr>
          <w:spacing w:val="-5"/>
        </w:rPr>
        <w:t> </w:t>
      </w:r>
      <w:r>
        <w:rPr/>
        <w:t>major</w:t>
      </w:r>
      <w:r>
        <w:rPr>
          <w:spacing w:val="-4"/>
        </w:rPr>
        <w:t> </w:t>
      </w:r>
      <w:r>
        <w:rPr/>
        <w:t>New</w:t>
      </w:r>
      <w:r>
        <w:rPr>
          <w:spacing w:val="-6"/>
        </w:rPr>
        <w:t> </w:t>
      </w:r>
      <w:r>
        <w:rPr/>
        <w:t>Zealand Productivity Commission review in 2014:</w:t>
      </w:r>
    </w:p>
    <w:p>
      <w:pPr>
        <w:pStyle w:val="BodyText"/>
        <w:spacing w:before="10"/>
        <w:rPr>
          <w:sz w:val="20"/>
        </w:rPr>
      </w:pPr>
    </w:p>
    <w:p>
      <w:pPr>
        <w:spacing w:line="288" w:lineRule="auto" w:before="0"/>
        <w:ind w:left="799" w:right="868" w:firstLine="0"/>
        <w:jc w:val="left"/>
        <w:rPr>
          <w:sz w:val="22"/>
        </w:rPr>
      </w:pPr>
      <w:r>
        <w:rPr>
          <w:i/>
          <w:sz w:val="22"/>
        </w:rPr>
        <w:t>“Monitoring of regulators plays an important part in ensuring that regulatory agencies are effective, efficient and accountable and that regimes are working as intended … Monitoring helps provide ministers with the “business intelligence” necessary to judge whether</w:t>
      </w:r>
      <w:r>
        <w:rPr>
          <w:i/>
          <w:spacing w:val="-3"/>
          <w:sz w:val="22"/>
        </w:rPr>
        <w:t> </w:t>
      </w:r>
      <w:r>
        <w:rPr>
          <w:i/>
          <w:sz w:val="22"/>
        </w:rPr>
        <w:t>the</w:t>
      </w:r>
      <w:r>
        <w:rPr>
          <w:i/>
          <w:spacing w:val="-2"/>
          <w:sz w:val="22"/>
        </w:rPr>
        <w:t> </w:t>
      </w:r>
      <w:r>
        <w:rPr>
          <w:i/>
          <w:sz w:val="22"/>
        </w:rPr>
        <w:t>objectives</w:t>
      </w:r>
      <w:r>
        <w:rPr>
          <w:i/>
          <w:spacing w:val="-1"/>
          <w:sz w:val="22"/>
        </w:rPr>
        <w:t> </w:t>
      </w:r>
      <w:r>
        <w:rPr>
          <w:i/>
          <w:sz w:val="22"/>
        </w:rPr>
        <w:t>of</w:t>
      </w:r>
      <w:r>
        <w:rPr>
          <w:i/>
          <w:spacing w:val="-3"/>
          <w:sz w:val="22"/>
        </w:rPr>
        <w:t> </w:t>
      </w:r>
      <w:r>
        <w:rPr>
          <w:i/>
          <w:sz w:val="22"/>
        </w:rPr>
        <w:t>the</w:t>
      </w:r>
      <w:r>
        <w:rPr>
          <w:i/>
          <w:spacing w:val="-3"/>
          <w:sz w:val="22"/>
        </w:rPr>
        <w:t> </w:t>
      </w:r>
      <w:r>
        <w:rPr>
          <w:i/>
          <w:sz w:val="22"/>
        </w:rPr>
        <w:t>regime</w:t>
      </w:r>
      <w:r>
        <w:rPr>
          <w:i/>
          <w:spacing w:val="-4"/>
          <w:sz w:val="22"/>
        </w:rPr>
        <w:t> </w:t>
      </w:r>
      <w:r>
        <w:rPr>
          <w:i/>
          <w:sz w:val="22"/>
        </w:rPr>
        <w:t>are</w:t>
      </w:r>
      <w:r>
        <w:rPr>
          <w:i/>
          <w:spacing w:val="-4"/>
          <w:sz w:val="22"/>
        </w:rPr>
        <w:t> </w:t>
      </w:r>
      <w:r>
        <w:rPr>
          <w:i/>
          <w:sz w:val="22"/>
        </w:rPr>
        <w:t>being</w:t>
      </w:r>
      <w:r>
        <w:rPr>
          <w:i/>
          <w:spacing w:val="-2"/>
          <w:sz w:val="22"/>
        </w:rPr>
        <w:t> </w:t>
      </w:r>
      <w:r>
        <w:rPr>
          <w:i/>
          <w:sz w:val="22"/>
        </w:rPr>
        <w:t>achieved,</w:t>
      </w:r>
      <w:r>
        <w:rPr>
          <w:i/>
          <w:spacing w:val="-1"/>
          <w:sz w:val="22"/>
        </w:rPr>
        <w:t> </w:t>
      </w:r>
      <w:r>
        <w:rPr>
          <w:i/>
          <w:sz w:val="22"/>
        </w:rPr>
        <w:t>and</w:t>
      </w:r>
      <w:r>
        <w:rPr>
          <w:i/>
          <w:spacing w:val="-4"/>
          <w:sz w:val="22"/>
        </w:rPr>
        <w:t> </w:t>
      </w:r>
      <w:r>
        <w:rPr>
          <w:i/>
          <w:sz w:val="22"/>
        </w:rPr>
        <w:t>whether</w:t>
      </w:r>
      <w:r>
        <w:rPr>
          <w:i/>
          <w:spacing w:val="-3"/>
          <w:sz w:val="22"/>
        </w:rPr>
        <w:t> </w:t>
      </w:r>
      <w:r>
        <w:rPr>
          <w:i/>
          <w:sz w:val="22"/>
        </w:rPr>
        <w:t>changes</w:t>
      </w:r>
      <w:r>
        <w:rPr>
          <w:i/>
          <w:spacing w:val="-2"/>
          <w:sz w:val="22"/>
        </w:rPr>
        <w:t> </w:t>
      </w:r>
      <w:r>
        <w:rPr>
          <w:i/>
          <w:sz w:val="22"/>
        </w:rPr>
        <w:t>need</w:t>
      </w:r>
      <w:r>
        <w:rPr>
          <w:i/>
          <w:spacing w:val="-4"/>
          <w:sz w:val="22"/>
        </w:rPr>
        <w:t> </w:t>
      </w:r>
      <w:r>
        <w:rPr>
          <w:i/>
          <w:sz w:val="22"/>
        </w:rPr>
        <w:t>to be made, either to legislation or the regulator’s behaviour.” </w:t>
      </w:r>
      <w:r>
        <w:rPr>
          <w:sz w:val="22"/>
        </w:rPr>
        <w:t>(NZ Productivity Commission, 2014, p. 11)</w:t>
      </w:r>
    </w:p>
    <w:p>
      <w:pPr>
        <w:pStyle w:val="BodyText"/>
        <w:spacing w:before="11"/>
        <w:rPr>
          <w:sz w:val="20"/>
        </w:rPr>
      </w:pPr>
    </w:p>
    <w:p>
      <w:pPr>
        <w:pStyle w:val="BodyText"/>
        <w:spacing w:line="288" w:lineRule="auto"/>
        <w:ind w:left="232" w:right="408"/>
      </w:pPr>
      <w:r>
        <w:rPr/>
        <w:t>The</w:t>
      </w:r>
      <w:r>
        <w:rPr>
          <w:spacing w:val="-5"/>
        </w:rPr>
        <w:t> </w:t>
      </w:r>
      <w:r>
        <w:rPr/>
        <w:t>Review</w:t>
      </w:r>
      <w:r>
        <w:rPr>
          <w:spacing w:val="-5"/>
        </w:rPr>
        <w:t> </w:t>
      </w:r>
      <w:r>
        <w:rPr/>
        <w:t>considers</w:t>
      </w:r>
      <w:r>
        <w:rPr>
          <w:spacing w:val="-2"/>
        </w:rPr>
        <w:t> </w:t>
      </w:r>
      <w:r>
        <w:rPr/>
        <w:t>that</w:t>
      </w:r>
      <w:r>
        <w:rPr>
          <w:spacing w:val="-2"/>
        </w:rPr>
        <w:t> </w:t>
      </w:r>
      <w:r>
        <w:rPr/>
        <w:t>ESV’s</w:t>
      </w:r>
      <w:r>
        <w:rPr>
          <w:spacing w:val="-2"/>
        </w:rPr>
        <w:t> </w:t>
      </w:r>
      <w:r>
        <w:rPr/>
        <w:t>operations</w:t>
      </w:r>
      <w:r>
        <w:rPr>
          <w:spacing w:val="-2"/>
        </w:rPr>
        <w:t> </w:t>
      </w:r>
      <w:r>
        <w:rPr/>
        <w:t>under</w:t>
      </w:r>
      <w:r>
        <w:rPr>
          <w:spacing w:val="-3"/>
        </w:rPr>
        <w:t> </w:t>
      </w:r>
      <w:r>
        <w:rPr/>
        <w:t>the</w:t>
      </w:r>
      <w:r>
        <w:rPr>
          <w:spacing w:val="-3"/>
        </w:rPr>
        <w:t> </w:t>
      </w:r>
      <w:r>
        <w:rPr/>
        <w:t>proposed</w:t>
      </w:r>
      <w:r>
        <w:rPr>
          <w:spacing w:val="-4"/>
        </w:rPr>
        <w:t> </w:t>
      </w:r>
      <w:r>
        <w:rPr/>
        <w:t>consolidated</w:t>
      </w:r>
      <w:r>
        <w:rPr>
          <w:spacing w:val="-3"/>
        </w:rPr>
        <w:t> </w:t>
      </w:r>
      <w:r>
        <w:rPr/>
        <w:t>legislation</w:t>
      </w:r>
      <w:r>
        <w:rPr>
          <w:spacing w:val="-1"/>
        </w:rPr>
        <w:t> </w:t>
      </w:r>
      <w:r>
        <w:rPr/>
        <w:t>should be reviewed every five years. This would be consistent with the arrangements that apply to NOPSEMA under Commonwealth legislation.</w:t>
      </w:r>
    </w:p>
    <w:p>
      <w:pPr>
        <w:pStyle w:val="BodyText"/>
        <w:spacing w:before="9"/>
        <w:rPr>
          <w:sz w:val="20"/>
        </w:rPr>
      </w:pPr>
    </w:p>
    <w:p>
      <w:pPr>
        <w:pStyle w:val="BodyText"/>
        <w:spacing w:line="288" w:lineRule="auto"/>
        <w:ind w:left="232"/>
      </w:pPr>
      <w:r>
        <w:rPr/>
        <w:t>The</w:t>
      </w:r>
      <w:r>
        <w:rPr>
          <w:spacing w:val="-4"/>
        </w:rPr>
        <w:t> </w:t>
      </w:r>
      <w:r>
        <w:rPr/>
        <w:t>periodic</w:t>
      </w:r>
      <w:r>
        <w:rPr>
          <w:spacing w:val="-3"/>
        </w:rPr>
        <w:t> </w:t>
      </w:r>
      <w:r>
        <w:rPr/>
        <w:t>reviews</w:t>
      </w:r>
      <w:r>
        <w:rPr>
          <w:spacing w:val="-1"/>
        </w:rPr>
        <w:t> </w:t>
      </w:r>
      <w:r>
        <w:rPr/>
        <w:t>should</w:t>
      </w:r>
      <w:r>
        <w:rPr>
          <w:spacing w:val="-2"/>
        </w:rPr>
        <w:t> </w:t>
      </w:r>
      <w:r>
        <w:rPr/>
        <w:t>be</w:t>
      </w:r>
      <w:r>
        <w:rPr>
          <w:spacing w:val="-2"/>
        </w:rPr>
        <w:t> </w:t>
      </w:r>
      <w:r>
        <w:rPr/>
        <w:t>undertaken</w:t>
      </w:r>
      <w:r>
        <w:rPr>
          <w:spacing w:val="-4"/>
        </w:rPr>
        <w:t> </w:t>
      </w:r>
      <w:r>
        <w:rPr/>
        <w:t>by</w:t>
      </w:r>
      <w:r>
        <w:rPr>
          <w:spacing w:val="-4"/>
        </w:rPr>
        <w:t> </w:t>
      </w:r>
      <w:r>
        <w:rPr/>
        <w:t>an</w:t>
      </w:r>
      <w:r>
        <w:rPr>
          <w:spacing w:val="-4"/>
        </w:rPr>
        <w:t> </w:t>
      </w:r>
      <w:r>
        <w:rPr/>
        <w:t>independent</w:t>
      </w:r>
      <w:r>
        <w:rPr>
          <w:spacing w:val="-1"/>
        </w:rPr>
        <w:t> </w:t>
      </w:r>
      <w:r>
        <w:rPr/>
        <w:t>expert</w:t>
      </w:r>
      <w:r>
        <w:rPr>
          <w:spacing w:val="-3"/>
        </w:rPr>
        <w:t> </w:t>
      </w:r>
      <w:r>
        <w:rPr/>
        <w:t>panel</w:t>
      </w:r>
      <w:r>
        <w:rPr>
          <w:spacing w:val="-2"/>
        </w:rPr>
        <w:t> </w:t>
      </w:r>
      <w:r>
        <w:rPr/>
        <w:t>appointed</w:t>
      </w:r>
      <w:r>
        <w:rPr>
          <w:spacing w:val="-2"/>
        </w:rPr>
        <w:t> </w:t>
      </w:r>
      <w:r>
        <w:rPr/>
        <w:t>by</w:t>
      </w:r>
      <w:r>
        <w:rPr>
          <w:spacing w:val="-4"/>
        </w:rPr>
        <w:t> </w:t>
      </w:r>
      <w:r>
        <w:rPr/>
        <w:t>the responsible Minister with terms of reference determined by the Minister.</w:t>
      </w:r>
    </w:p>
    <w:p>
      <w:pPr>
        <w:pStyle w:val="BodyText"/>
        <w:spacing w:before="10"/>
        <w:rPr>
          <w:sz w:val="20"/>
        </w:rPr>
      </w:pPr>
    </w:p>
    <w:p>
      <w:pPr>
        <w:pStyle w:val="BodyText"/>
        <w:spacing w:line="288" w:lineRule="auto"/>
        <w:ind w:left="232" w:right="374"/>
      </w:pPr>
      <w:r>
        <w:rPr/>
        <w:t>The first review might also provide a suitable opportunity to consider more broadly whether the safety</w:t>
      </w:r>
      <w:r>
        <w:rPr>
          <w:spacing w:val="-3"/>
        </w:rPr>
        <w:t> </w:t>
      </w:r>
      <w:r>
        <w:rPr/>
        <w:t>case</w:t>
      </w:r>
      <w:r>
        <w:rPr>
          <w:spacing w:val="-4"/>
        </w:rPr>
        <w:t> </w:t>
      </w:r>
      <w:r>
        <w:rPr/>
        <w:t>based</w:t>
      </w:r>
      <w:r>
        <w:rPr>
          <w:spacing w:val="-4"/>
        </w:rPr>
        <w:t> </w:t>
      </w:r>
      <w:r>
        <w:rPr/>
        <w:t>system,</w:t>
      </w:r>
      <w:r>
        <w:rPr>
          <w:spacing w:val="-3"/>
        </w:rPr>
        <w:t> </w:t>
      </w:r>
      <w:r>
        <w:rPr/>
        <w:t>and</w:t>
      </w:r>
      <w:r>
        <w:rPr>
          <w:spacing w:val="-2"/>
        </w:rPr>
        <w:t> </w:t>
      </w:r>
      <w:r>
        <w:rPr/>
        <w:t>ESV’s</w:t>
      </w:r>
      <w:r>
        <w:rPr>
          <w:spacing w:val="-4"/>
        </w:rPr>
        <w:t> </w:t>
      </w:r>
      <w:r>
        <w:rPr/>
        <w:t>regulation</w:t>
      </w:r>
      <w:r>
        <w:rPr>
          <w:spacing w:val="-4"/>
        </w:rPr>
        <w:t> </w:t>
      </w:r>
      <w:r>
        <w:rPr/>
        <w:t>of that</w:t>
      </w:r>
      <w:r>
        <w:rPr>
          <w:spacing w:val="-3"/>
        </w:rPr>
        <w:t> </w:t>
      </w:r>
      <w:r>
        <w:rPr/>
        <w:t>system, has</w:t>
      </w:r>
      <w:r>
        <w:rPr>
          <w:spacing w:val="-4"/>
        </w:rPr>
        <w:t> </w:t>
      </w:r>
      <w:r>
        <w:rPr/>
        <w:t>matured</w:t>
      </w:r>
      <w:r>
        <w:rPr>
          <w:spacing w:val="-4"/>
        </w:rPr>
        <w:t> </w:t>
      </w:r>
      <w:r>
        <w:rPr/>
        <w:t>to</w:t>
      </w:r>
      <w:r>
        <w:rPr>
          <w:spacing w:val="-2"/>
        </w:rPr>
        <w:t> </w:t>
      </w:r>
      <w:r>
        <w:rPr/>
        <w:t>a</w:t>
      </w:r>
      <w:r>
        <w:rPr>
          <w:spacing w:val="-4"/>
        </w:rPr>
        <w:t> </w:t>
      </w:r>
      <w:r>
        <w:rPr/>
        <w:t>point</w:t>
      </w:r>
      <w:r>
        <w:rPr>
          <w:spacing w:val="-3"/>
        </w:rPr>
        <w:t> </w:t>
      </w:r>
      <w:r>
        <w:rPr/>
        <w:t>that</w:t>
      </w:r>
      <w:r>
        <w:rPr>
          <w:spacing w:val="-3"/>
        </w:rPr>
        <w:t> </w:t>
      </w:r>
      <w:r>
        <w:rPr/>
        <w:t>would allow a significant reduction in the degree of prescription under statutory regulations.</w:t>
      </w:r>
    </w:p>
    <w:p>
      <w:pPr>
        <w:pStyle w:val="BodyText"/>
        <w:spacing w:before="8"/>
        <w:rPr>
          <w:sz w:val="18"/>
        </w:rPr>
      </w:pPr>
      <w:r>
        <w:rPr/>
        <mc:AlternateContent>
          <mc:Choice Requires="wps">
            <w:drawing>
              <wp:anchor distT="0" distB="0" distL="0" distR="0" allowOverlap="1" layoutInCell="1" locked="0" behindDoc="1" simplePos="0" relativeHeight="487671296">
                <wp:simplePos x="0" y="0"/>
                <wp:positionH relativeFrom="page">
                  <wp:posOffset>719327</wp:posOffset>
                </wp:positionH>
                <wp:positionV relativeFrom="paragraph">
                  <wp:posOffset>151753</wp:posOffset>
                </wp:positionV>
                <wp:extent cx="5870575" cy="1036319"/>
                <wp:effectExtent l="0" t="0" r="0" b="0"/>
                <wp:wrapTopAndBottom/>
                <wp:docPr id="227" name="Textbox 227"/>
                <wp:cNvGraphicFramePr>
                  <a:graphicFrameLocks/>
                </wp:cNvGraphicFramePr>
                <a:graphic>
                  <a:graphicData uri="http://schemas.microsoft.com/office/word/2010/wordprocessingShape">
                    <wps:wsp>
                      <wps:cNvPr id="227" name="Textbox 227"/>
                      <wps:cNvSpPr txBox="1"/>
                      <wps:spPr>
                        <a:xfrm>
                          <a:off x="0" y="0"/>
                          <a:ext cx="5870575" cy="1036319"/>
                        </a:xfrm>
                        <a:prstGeom prst="rect">
                          <a:avLst/>
                        </a:prstGeom>
                        <a:solidFill>
                          <a:srgbClr val="D9D9D9"/>
                        </a:solidFill>
                      </wps:spPr>
                      <wps:txbx>
                        <w:txbxContent>
                          <w:p>
                            <w:pPr>
                              <w:pStyle w:val="BodyText"/>
                              <w:spacing w:before="10"/>
                              <w:rPr>
                                <w:color w:val="000000"/>
                                <w:sz w:val="20"/>
                              </w:rPr>
                            </w:pPr>
                          </w:p>
                          <w:p>
                            <w:pPr>
                              <w:spacing w:before="0"/>
                              <w:ind w:left="112" w:right="0" w:firstLine="0"/>
                              <w:jc w:val="left"/>
                              <w:rPr>
                                <w:b/>
                                <w:color w:val="000000"/>
                                <w:sz w:val="22"/>
                              </w:rPr>
                            </w:pPr>
                            <w:r>
                              <w:rPr>
                                <w:b/>
                                <w:color w:val="000000"/>
                                <w:sz w:val="22"/>
                              </w:rPr>
                              <w:t>Recommendation</w:t>
                            </w:r>
                            <w:r>
                              <w:rPr>
                                <w:b/>
                                <w:color w:val="000000"/>
                                <w:spacing w:val="-6"/>
                                <w:sz w:val="22"/>
                              </w:rPr>
                              <w:t> </w:t>
                            </w:r>
                            <w:r>
                              <w:rPr>
                                <w:b/>
                                <w:color w:val="000000"/>
                                <w:spacing w:val="-5"/>
                                <w:sz w:val="22"/>
                              </w:rPr>
                              <w:t>43</w:t>
                            </w:r>
                          </w:p>
                          <w:p>
                            <w:pPr>
                              <w:pStyle w:val="BodyText"/>
                              <w:spacing w:before="4"/>
                              <w:rPr>
                                <w:b/>
                                <w:color w:val="000000"/>
                                <w:sz w:val="25"/>
                              </w:rPr>
                            </w:pPr>
                          </w:p>
                          <w:p>
                            <w:pPr>
                              <w:pStyle w:val="BodyText"/>
                              <w:spacing w:line="288" w:lineRule="auto"/>
                              <w:ind w:left="112"/>
                              <w:rPr>
                                <w:color w:val="000000"/>
                              </w:rPr>
                            </w:pPr>
                            <w:r>
                              <w:rPr>
                                <w:color w:val="000000"/>
                              </w:rPr>
                              <w:t>The</w:t>
                            </w:r>
                            <w:r>
                              <w:rPr>
                                <w:color w:val="000000"/>
                                <w:spacing w:val="-4"/>
                              </w:rPr>
                              <w:t> </w:t>
                            </w:r>
                            <w:r>
                              <w:rPr>
                                <w:color w:val="000000"/>
                              </w:rPr>
                              <w:t>consolidated</w:t>
                            </w:r>
                            <w:r>
                              <w:rPr>
                                <w:color w:val="000000"/>
                                <w:spacing w:val="-2"/>
                              </w:rPr>
                              <w:t> </w:t>
                            </w:r>
                            <w:r>
                              <w:rPr>
                                <w:color w:val="000000"/>
                              </w:rPr>
                              <w:t>safety</w:t>
                            </w:r>
                            <w:r>
                              <w:rPr>
                                <w:color w:val="000000"/>
                                <w:spacing w:val="-4"/>
                              </w:rPr>
                              <w:t> </w:t>
                            </w:r>
                            <w:r>
                              <w:rPr>
                                <w:color w:val="000000"/>
                              </w:rPr>
                              <w:t>legislation</w:t>
                            </w:r>
                            <w:r>
                              <w:rPr>
                                <w:color w:val="000000"/>
                                <w:spacing w:val="-2"/>
                              </w:rPr>
                              <w:t> </w:t>
                            </w:r>
                            <w:r>
                              <w:rPr>
                                <w:color w:val="000000"/>
                              </w:rPr>
                              <w:t>should</w:t>
                            </w:r>
                            <w:r>
                              <w:rPr>
                                <w:color w:val="000000"/>
                                <w:spacing w:val="-4"/>
                              </w:rPr>
                              <w:t> </w:t>
                            </w:r>
                            <w:r>
                              <w:rPr>
                                <w:color w:val="000000"/>
                              </w:rPr>
                              <w:t>provide</w:t>
                            </w:r>
                            <w:r>
                              <w:rPr>
                                <w:color w:val="000000"/>
                                <w:spacing w:val="-4"/>
                              </w:rPr>
                              <w:t> </w:t>
                            </w:r>
                            <w:r>
                              <w:rPr>
                                <w:color w:val="000000"/>
                              </w:rPr>
                              <w:t>for</w:t>
                            </w:r>
                            <w:r>
                              <w:rPr>
                                <w:color w:val="000000"/>
                                <w:spacing w:val="-3"/>
                              </w:rPr>
                              <w:t> </w:t>
                            </w:r>
                            <w:r>
                              <w:rPr>
                                <w:color w:val="000000"/>
                              </w:rPr>
                              <w:t>the</w:t>
                            </w:r>
                            <w:r>
                              <w:rPr>
                                <w:color w:val="000000"/>
                                <w:spacing w:val="-4"/>
                              </w:rPr>
                              <w:t> </w:t>
                            </w:r>
                            <w:r>
                              <w:rPr>
                                <w:color w:val="000000"/>
                              </w:rPr>
                              <w:t>review</w:t>
                            </w:r>
                            <w:r>
                              <w:rPr>
                                <w:color w:val="000000"/>
                                <w:spacing w:val="-5"/>
                              </w:rPr>
                              <w:t> </w:t>
                            </w:r>
                            <w:r>
                              <w:rPr>
                                <w:color w:val="000000"/>
                              </w:rPr>
                              <w:t>of</w:t>
                            </w:r>
                            <w:r>
                              <w:rPr>
                                <w:color w:val="000000"/>
                                <w:spacing w:val="-1"/>
                              </w:rPr>
                              <w:t> </w:t>
                            </w:r>
                            <w:r>
                              <w:rPr>
                                <w:color w:val="000000"/>
                              </w:rPr>
                              <w:t>ESV</w:t>
                            </w:r>
                            <w:r>
                              <w:rPr>
                                <w:color w:val="000000"/>
                                <w:spacing w:val="-2"/>
                              </w:rPr>
                              <w:t> </w:t>
                            </w:r>
                            <w:r>
                              <w:rPr>
                                <w:color w:val="000000"/>
                              </w:rPr>
                              <w:t>by</w:t>
                            </w:r>
                            <w:r>
                              <w:rPr>
                                <w:color w:val="000000"/>
                                <w:spacing w:val="-4"/>
                              </w:rPr>
                              <w:t> </w:t>
                            </w:r>
                            <w:r>
                              <w:rPr>
                                <w:color w:val="000000"/>
                              </w:rPr>
                              <w:t>an</w:t>
                            </w:r>
                            <w:r>
                              <w:rPr>
                                <w:color w:val="000000"/>
                                <w:spacing w:val="-2"/>
                              </w:rPr>
                              <w:t> </w:t>
                            </w:r>
                            <w:r>
                              <w:rPr>
                                <w:color w:val="000000"/>
                              </w:rPr>
                              <w:t>independent expert panel appointed by the responsible Minister every five years.</w:t>
                            </w:r>
                          </w:p>
                        </w:txbxContent>
                      </wps:txbx>
                      <wps:bodyPr wrap="square" lIns="0" tIns="0" rIns="0" bIns="0" rtlCol="0">
                        <a:noAutofit/>
                      </wps:bodyPr>
                    </wps:wsp>
                  </a:graphicData>
                </a:graphic>
              </wp:anchor>
            </w:drawing>
          </mc:Choice>
          <mc:Fallback>
            <w:pict>
              <v:shape style="position:absolute;margin-left:56.639999pt;margin-top:11.949121pt;width:462.25pt;height:81.6pt;mso-position-horizontal-relative:page;mso-position-vertical-relative:paragraph;z-index:-15645184;mso-wrap-distance-left:0;mso-wrap-distance-right:0" type="#_x0000_t202" id="docshape196" filled="true" fillcolor="#d9d9d9" stroked="false">
                <v:textbox inset="0,0,0,0">
                  <w:txbxContent>
                    <w:p>
                      <w:pPr>
                        <w:pStyle w:val="BodyText"/>
                        <w:spacing w:before="10"/>
                        <w:rPr>
                          <w:color w:val="000000"/>
                          <w:sz w:val="20"/>
                        </w:rPr>
                      </w:pPr>
                    </w:p>
                    <w:p>
                      <w:pPr>
                        <w:spacing w:before="0"/>
                        <w:ind w:left="112" w:right="0" w:firstLine="0"/>
                        <w:jc w:val="left"/>
                        <w:rPr>
                          <w:b/>
                          <w:color w:val="000000"/>
                          <w:sz w:val="22"/>
                        </w:rPr>
                      </w:pPr>
                      <w:r>
                        <w:rPr>
                          <w:b/>
                          <w:color w:val="000000"/>
                          <w:sz w:val="22"/>
                        </w:rPr>
                        <w:t>Recommendation</w:t>
                      </w:r>
                      <w:r>
                        <w:rPr>
                          <w:b/>
                          <w:color w:val="000000"/>
                          <w:spacing w:val="-6"/>
                          <w:sz w:val="22"/>
                        </w:rPr>
                        <w:t> </w:t>
                      </w:r>
                      <w:r>
                        <w:rPr>
                          <w:b/>
                          <w:color w:val="000000"/>
                          <w:spacing w:val="-5"/>
                          <w:sz w:val="22"/>
                        </w:rPr>
                        <w:t>43</w:t>
                      </w:r>
                    </w:p>
                    <w:p>
                      <w:pPr>
                        <w:pStyle w:val="BodyText"/>
                        <w:spacing w:before="4"/>
                        <w:rPr>
                          <w:b/>
                          <w:color w:val="000000"/>
                          <w:sz w:val="25"/>
                        </w:rPr>
                      </w:pPr>
                    </w:p>
                    <w:p>
                      <w:pPr>
                        <w:pStyle w:val="BodyText"/>
                        <w:spacing w:line="288" w:lineRule="auto"/>
                        <w:ind w:left="112"/>
                        <w:rPr>
                          <w:color w:val="000000"/>
                        </w:rPr>
                      </w:pPr>
                      <w:r>
                        <w:rPr>
                          <w:color w:val="000000"/>
                        </w:rPr>
                        <w:t>The</w:t>
                      </w:r>
                      <w:r>
                        <w:rPr>
                          <w:color w:val="000000"/>
                          <w:spacing w:val="-4"/>
                        </w:rPr>
                        <w:t> </w:t>
                      </w:r>
                      <w:r>
                        <w:rPr>
                          <w:color w:val="000000"/>
                        </w:rPr>
                        <w:t>consolidated</w:t>
                      </w:r>
                      <w:r>
                        <w:rPr>
                          <w:color w:val="000000"/>
                          <w:spacing w:val="-2"/>
                        </w:rPr>
                        <w:t> </w:t>
                      </w:r>
                      <w:r>
                        <w:rPr>
                          <w:color w:val="000000"/>
                        </w:rPr>
                        <w:t>safety</w:t>
                      </w:r>
                      <w:r>
                        <w:rPr>
                          <w:color w:val="000000"/>
                          <w:spacing w:val="-4"/>
                        </w:rPr>
                        <w:t> </w:t>
                      </w:r>
                      <w:r>
                        <w:rPr>
                          <w:color w:val="000000"/>
                        </w:rPr>
                        <w:t>legislation</w:t>
                      </w:r>
                      <w:r>
                        <w:rPr>
                          <w:color w:val="000000"/>
                          <w:spacing w:val="-2"/>
                        </w:rPr>
                        <w:t> </w:t>
                      </w:r>
                      <w:r>
                        <w:rPr>
                          <w:color w:val="000000"/>
                        </w:rPr>
                        <w:t>should</w:t>
                      </w:r>
                      <w:r>
                        <w:rPr>
                          <w:color w:val="000000"/>
                          <w:spacing w:val="-4"/>
                        </w:rPr>
                        <w:t> </w:t>
                      </w:r>
                      <w:r>
                        <w:rPr>
                          <w:color w:val="000000"/>
                        </w:rPr>
                        <w:t>provide</w:t>
                      </w:r>
                      <w:r>
                        <w:rPr>
                          <w:color w:val="000000"/>
                          <w:spacing w:val="-4"/>
                        </w:rPr>
                        <w:t> </w:t>
                      </w:r>
                      <w:r>
                        <w:rPr>
                          <w:color w:val="000000"/>
                        </w:rPr>
                        <w:t>for</w:t>
                      </w:r>
                      <w:r>
                        <w:rPr>
                          <w:color w:val="000000"/>
                          <w:spacing w:val="-3"/>
                        </w:rPr>
                        <w:t> </w:t>
                      </w:r>
                      <w:r>
                        <w:rPr>
                          <w:color w:val="000000"/>
                        </w:rPr>
                        <w:t>the</w:t>
                      </w:r>
                      <w:r>
                        <w:rPr>
                          <w:color w:val="000000"/>
                          <w:spacing w:val="-4"/>
                        </w:rPr>
                        <w:t> </w:t>
                      </w:r>
                      <w:r>
                        <w:rPr>
                          <w:color w:val="000000"/>
                        </w:rPr>
                        <w:t>review</w:t>
                      </w:r>
                      <w:r>
                        <w:rPr>
                          <w:color w:val="000000"/>
                          <w:spacing w:val="-5"/>
                        </w:rPr>
                        <w:t> </w:t>
                      </w:r>
                      <w:r>
                        <w:rPr>
                          <w:color w:val="000000"/>
                        </w:rPr>
                        <w:t>of</w:t>
                      </w:r>
                      <w:r>
                        <w:rPr>
                          <w:color w:val="000000"/>
                          <w:spacing w:val="-1"/>
                        </w:rPr>
                        <w:t> </w:t>
                      </w:r>
                      <w:r>
                        <w:rPr>
                          <w:color w:val="000000"/>
                        </w:rPr>
                        <w:t>ESV</w:t>
                      </w:r>
                      <w:r>
                        <w:rPr>
                          <w:color w:val="000000"/>
                          <w:spacing w:val="-2"/>
                        </w:rPr>
                        <w:t> </w:t>
                      </w:r>
                      <w:r>
                        <w:rPr>
                          <w:color w:val="000000"/>
                        </w:rPr>
                        <w:t>by</w:t>
                      </w:r>
                      <w:r>
                        <w:rPr>
                          <w:color w:val="000000"/>
                          <w:spacing w:val="-4"/>
                        </w:rPr>
                        <w:t> </w:t>
                      </w:r>
                      <w:r>
                        <w:rPr>
                          <w:color w:val="000000"/>
                        </w:rPr>
                        <w:t>an</w:t>
                      </w:r>
                      <w:r>
                        <w:rPr>
                          <w:color w:val="000000"/>
                          <w:spacing w:val="-2"/>
                        </w:rPr>
                        <w:t> </w:t>
                      </w:r>
                      <w:r>
                        <w:rPr>
                          <w:color w:val="000000"/>
                        </w:rPr>
                        <w:t>independent expert panel appointed by the responsible Minister every five years.</w:t>
                      </w:r>
                    </w:p>
                  </w:txbxContent>
                </v:textbox>
                <v:fill type="solid"/>
                <w10:wrap type="topAndBottom"/>
              </v:shape>
            </w:pict>
          </mc:Fallback>
        </mc:AlternateContent>
      </w:r>
    </w:p>
    <w:p>
      <w:pPr>
        <w:spacing w:after="0"/>
        <w:rPr>
          <w:sz w:val="18"/>
        </w:rPr>
        <w:sectPr>
          <w:pgSz w:w="11910" w:h="16850"/>
          <w:pgMar w:header="220" w:footer="678" w:top="420" w:bottom="860" w:left="900" w:right="840"/>
        </w:sectPr>
      </w:pPr>
    </w:p>
    <w:p>
      <w:pPr>
        <w:pStyle w:val="BodyText"/>
        <w:rPr>
          <w:sz w:val="20"/>
        </w:rPr>
      </w:pPr>
    </w:p>
    <w:p>
      <w:pPr>
        <w:pStyle w:val="BodyText"/>
        <w:spacing w:before="7"/>
        <w:rPr>
          <w:sz w:val="19"/>
        </w:rPr>
      </w:pPr>
    </w:p>
    <w:p>
      <w:pPr>
        <w:pStyle w:val="Heading4"/>
      </w:pPr>
      <w:r>
        <w:rPr>
          <w:color w:val="585858"/>
          <w:spacing w:val="-2"/>
        </w:rPr>
        <w:t>References</w:t>
      </w:r>
    </w:p>
    <w:p>
      <w:pPr>
        <w:spacing w:line="285" w:lineRule="auto" w:before="313"/>
        <w:ind w:left="232" w:right="951" w:firstLine="0"/>
        <w:jc w:val="left"/>
        <w:rPr>
          <w:sz w:val="18"/>
        </w:rPr>
      </w:pPr>
      <w:r>
        <w:rPr>
          <w:sz w:val="18"/>
        </w:rPr>
        <w:t>Advisian,</w:t>
      </w:r>
      <w:r>
        <w:rPr>
          <w:spacing w:val="-4"/>
          <w:sz w:val="18"/>
        </w:rPr>
        <w:t> </w:t>
      </w:r>
      <w:r>
        <w:rPr>
          <w:sz w:val="18"/>
        </w:rPr>
        <w:t>2015.</w:t>
      </w:r>
      <w:r>
        <w:rPr>
          <w:spacing w:val="-2"/>
          <w:sz w:val="18"/>
        </w:rPr>
        <w:t> </w:t>
      </w:r>
      <w:r>
        <w:rPr>
          <w:i/>
          <w:sz w:val="18"/>
        </w:rPr>
        <w:t>Energy</w:t>
      </w:r>
      <w:r>
        <w:rPr>
          <w:i/>
          <w:spacing w:val="-3"/>
          <w:sz w:val="18"/>
        </w:rPr>
        <w:t> </w:t>
      </w:r>
      <w:r>
        <w:rPr>
          <w:i/>
          <w:sz w:val="18"/>
        </w:rPr>
        <w:t>Safe</w:t>
      </w:r>
      <w:r>
        <w:rPr>
          <w:i/>
          <w:spacing w:val="-5"/>
          <w:sz w:val="18"/>
        </w:rPr>
        <w:t> </w:t>
      </w:r>
      <w:r>
        <w:rPr>
          <w:i/>
          <w:sz w:val="18"/>
        </w:rPr>
        <w:t>Victoria</w:t>
      </w:r>
      <w:r>
        <w:rPr>
          <w:i/>
          <w:spacing w:val="-4"/>
          <w:sz w:val="18"/>
        </w:rPr>
        <w:t> </w:t>
      </w:r>
      <w:r>
        <w:rPr>
          <w:i/>
          <w:sz w:val="18"/>
        </w:rPr>
        <w:t>Electrical</w:t>
      </w:r>
      <w:r>
        <w:rPr>
          <w:i/>
          <w:spacing w:val="-4"/>
          <w:sz w:val="18"/>
        </w:rPr>
        <w:t> </w:t>
      </w:r>
      <w:r>
        <w:rPr>
          <w:i/>
          <w:sz w:val="18"/>
        </w:rPr>
        <w:t>Infrastructure</w:t>
      </w:r>
      <w:r>
        <w:rPr>
          <w:i/>
          <w:spacing w:val="-5"/>
          <w:sz w:val="18"/>
        </w:rPr>
        <w:t> </w:t>
      </w:r>
      <w:r>
        <w:rPr>
          <w:i/>
          <w:sz w:val="18"/>
        </w:rPr>
        <w:t>Compliance</w:t>
      </w:r>
      <w:r>
        <w:rPr>
          <w:i/>
          <w:spacing w:val="-4"/>
          <w:sz w:val="18"/>
        </w:rPr>
        <w:t> </w:t>
      </w:r>
      <w:r>
        <w:rPr>
          <w:i/>
          <w:sz w:val="18"/>
        </w:rPr>
        <w:t>&amp;</w:t>
      </w:r>
      <w:r>
        <w:rPr>
          <w:i/>
          <w:spacing w:val="-4"/>
          <w:sz w:val="18"/>
        </w:rPr>
        <w:t> </w:t>
      </w:r>
      <w:r>
        <w:rPr>
          <w:i/>
          <w:sz w:val="18"/>
        </w:rPr>
        <w:t>Enforcement:</w:t>
      </w:r>
      <w:r>
        <w:rPr>
          <w:i/>
          <w:spacing w:val="-4"/>
          <w:sz w:val="18"/>
        </w:rPr>
        <w:t> </w:t>
      </w:r>
      <w:r>
        <w:rPr>
          <w:i/>
          <w:sz w:val="18"/>
        </w:rPr>
        <w:t>Good</w:t>
      </w:r>
      <w:r>
        <w:rPr>
          <w:i/>
          <w:spacing w:val="-4"/>
          <w:sz w:val="18"/>
        </w:rPr>
        <w:t> </w:t>
      </w:r>
      <w:r>
        <w:rPr>
          <w:i/>
          <w:sz w:val="18"/>
        </w:rPr>
        <w:t>Practices</w:t>
      </w:r>
      <w:r>
        <w:rPr>
          <w:i/>
          <w:spacing w:val="-3"/>
          <w:sz w:val="18"/>
        </w:rPr>
        <w:t> </w:t>
      </w:r>
      <w:r>
        <w:rPr>
          <w:i/>
          <w:sz w:val="18"/>
        </w:rPr>
        <w:t>&amp; Opportunities for Enhanced Regulatory Performance</w:t>
      </w:r>
      <w:r>
        <w:rPr>
          <w:sz w:val="18"/>
        </w:rPr>
        <w:t>.</w:t>
      </w:r>
    </w:p>
    <w:p>
      <w:pPr>
        <w:spacing w:before="84"/>
        <w:ind w:left="232" w:right="0" w:firstLine="0"/>
        <w:jc w:val="left"/>
        <w:rPr>
          <w:sz w:val="18"/>
        </w:rPr>
      </w:pPr>
      <w:r>
        <w:rPr>
          <w:sz w:val="18"/>
        </w:rPr>
        <w:t>Advisian,</w:t>
      </w:r>
      <w:r>
        <w:rPr>
          <w:spacing w:val="-3"/>
          <w:sz w:val="18"/>
        </w:rPr>
        <w:t> </w:t>
      </w:r>
      <w:r>
        <w:rPr>
          <w:sz w:val="18"/>
        </w:rPr>
        <w:t>2016.</w:t>
      </w:r>
      <w:r>
        <w:rPr>
          <w:spacing w:val="-2"/>
          <w:sz w:val="18"/>
        </w:rPr>
        <w:t> </w:t>
      </w:r>
      <w:r>
        <w:rPr>
          <w:i/>
          <w:sz w:val="18"/>
        </w:rPr>
        <w:t>Review</w:t>
      </w:r>
      <w:r>
        <w:rPr>
          <w:i/>
          <w:spacing w:val="-3"/>
          <w:sz w:val="18"/>
        </w:rPr>
        <w:t> </w:t>
      </w:r>
      <w:r>
        <w:rPr>
          <w:i/>
          <w:sz w:val="18"/>
        </w:rPr>
        <w:t>of</w:t>
      </w:r>
      <w:r>
        <w:rPr>
          <w:i/>
          <w:spacing w:val="-3"/>
          <w:sz w:val="18"/>
        </w:rPr>
        <w:t> </w:t>
      </w:r>
      <w:r>
        <w:rPr>
          <w:i/>
          <w:sz w:val="18"/>
        </w:rPr>
        <w:t>the</w:t>
      </w:r>
      <w:r>
        <w:rPr>
          <w:i/>
          <w:spacing w:val="-4"/>
          <w:sz w:val="18"/>
        </w:rPr>
        <w:t> </w:t>
      </w:r>
      <w:r>
        <w:rPr>
          <w:i/>
          <w:sz w:val="18"/>
        </w:rPr>
        <w:t>ESV</w:t>
      </w:r>
      <w:r>
        <w:rPr>
          <w:i/>
          <w:spacing w:val="-3"/>
          <w:sz w:val="18"/>
        </w:rPr>
        <w:t> </w:t>
      </w:r>
      <w:r>
        <w:rPr>
          <w:i/>
          <w:sz w:val="18"/>
        </w:rPr>
        <w:t>(GISD)</w:t>
      </w:r>
      <w:r>
        <w:rPr>
          <w:i/>
          <w:spacing w:val="-3"/>
          <w:sz w:val="18"/>
        </w:rPr>
        <w:t> </w:t>
      </w:r>
      <w:r>
        <w:rPr>
          <w:i/>
          <w:sz w:val="18"/>
        </w:rPr>
        <w:t>Safety</w:t>
      </w:r>
      <w:r>
        <w:rPr>
          <w:i/>
          <w:spacing w:val="-2"/>
          <w:sz w:val="18"/>
        </w:rPr>
        <w:t> </w:t>
      </w:r>
      <w:r>
        <w:rPr>
          <w:i/>
          <w:sz w:val="18"/>
        </w:rPr>
        <w:t>Case</w:t>
      </w:r>
      <w:r>
        <w:rPr>
          <w:i/>
          <w:spacing w:val="-5"/>
          <w:sz w:val="18"/>
        </w:rPr>
        <w:t> </w:t>
      </w:r>
      <w:r>
        <w:rPr>
          <w:i/>
          <w:sz w:val="18"/>
        </w:rPr>
        <w:t>/</w:t>
      </w:r>
      <w:r>
        <w:rPr>
          <w:i/>
          <w:spacing w:val="-3"/>
          <w:sz w:val="18"/>
        </w:rPr>
        <w:t> </w:t>
      </w:r>
      <w:r>
        <w:rPr>
          <w:i/>
          <w:sz w:val="18"/>
        </w:rPr>
        <w:t>Safety</w:t>
      </w:r>
      <w:r>
        <w:rPr>
          <w:i/>
          <w:spacing w:val="-2"/>
          <w:sz w:val="18"/>
        </w:rPr>
        <w:t> </w:t>
      </w:r>
      <w:r>
        <w:rPr>
          <w:i/>
          <w:sz w:val="18"/>
        </w:rPr>
        <w:t>Management</w:t>
      </w:r>
      <w:r>
        <w:rPr>
          <w:i/>
          <w:spacing w:val="-3"/>
          <w:sz w:val="18"/>
        </w:rPr>
        <w:t> </w:t>
      </w:r>
      <w:r>
        <w:rPr>
          <w:i/>
          <w:sz w:val="18"/>
        </w:rPr>
        <w:t>Plan</w:t>
      </w:r>
      <w:r>
        <w:rPr>
          <w:i/>
          <w:spacing w:val="-5"/>
          <w:sz w:val="18"/>
        </w:rPr>
        <w:t> </w:t>
      </w:r>
      <w:r>
        <w:rPr>
          <w:i/>
          <w:sz w:val="18"/>
        </w:rPr>
        <w:t>Evaluation</w:t>
      </w:r>
      <w:r>
        <w:rPr>
          <w:i/>
          <w:spacing w:val="-3"/>
          <w:sz w:val="18"/>
        </w:rPr>
        <w:t> </w:t>
      </w:r>
      <w:r>
        <w:rPr>
          <w:i/>
          <w:spacing w:val="-2"/>
          <w:sz w:val="18"/>
        </w:rPr>
        <w:t>Approac</w:t>
      </w:r>
      <w:r>
        <w:rPr>
          <w:spacing w:val="-2"/>
          <w:sz w:val="18"/>
        </w:rPr>
        <w:t>h.</w:t>
      </w:r>
    </w:p>
    <w:p>
      <w:pPr>
        <w:spacing w:line="381" w:lineRule="auto" w:before="121"/>
        <w:ind w:left="232" w:right="525" w:firstLine="0"/>
        <w:jc w:val="left"/>
        <w:rPr>
          <w:sz w:val="18"/>
        </w:rPr>
      </w:pPr>
      <w:r>
        <w:rPr>
          <w:sz w:val="18"/>
        </w:rPr>
        <w:t>APA</w:t>
      </w:r>
      <w:r>
        <w:rPr>
          <w:spacing w:val="-3"/>
          <w:sz w:val="18"/>
        </w:rPr>
        <w:t> </w:t>
      </w:r>
      <w:r>
        <w:rPr>
          <w:sz w:val="18"/>
        </w:rPr>
        <w:t>VTS,</w:t>
      </w:r>
      <w:r>
        <w:rPr>
          <w:spacing w:val="-3"/>
          <w:sz w:val="18"/>
        </w:rPr>
        <w:t> </w:t>
      </w:r>
      <w:r>
        <w:rPr>
          <w:sz w:val="18"/>
        </w:rPr>
        <w:t>2017.</w:t>
      </w:r>
      <w:r>
        <w:rPr>
          <w:spacing w:val="-2"/>
          <w:sz w:val="18"/>
        </w:rPr>
        <w:t> </w:t>
      </w:r>
      <w:r>
        <w:rPr>
          <w:i/>
          <w:sz w:val="18"/>
        </w:rPr>
        <w:t>Review</w:t>
      </w:r>
      <w:r>
        <w:rPr>
          <w:i/>
          <w:spacing w:val="-6"/>
          <w:sz w:val="18"/>
        </w:rPr>
        <w:t> </w:t>
      </w:r>
      <w:r>
        <w:rPr>
          <w:i/>
          <w:sz w:val="18"/>
        </w:rPr>
        <w:t>of</w:t>
      </w:r>
      <w:r>
        <w:rPr>
          <w:i/>
          <w:spacing w:val="-3"/>
          <w:sz w:val="18"/>
        </w:rPr>
        <w:t> </w:t>
      </w:r>
      <w:r>
        <w:rPr>
          <w:i/>
          <w:sz w:val="18"/>
        </w:rPr>
        <w:t>Victoria’s</w:t>
      </w:r>
      <w:r>
        <w:rPr>
          <w:i/>
          <w:spacing w:val="-2"/>
          <w:sz w:val="18"/>
        </w:rPr>
        <w:t> </w:t>
      </w:r>
      <w:r>
        <w:rPr>
          <w:i/>
          <w:sz w:val="18"/>
        </w:rPr>
        <w:t>Electricity</w:t>
      </w:r>
      <w:r>
        <w:rPr>
          <w:i/>
          <w:spacing w:val="-4"/>
          <w:sz w:val="18"/>
        </w:rPr>
        <w:t> </w:t>
      </w:r>
      <w:r>
        <w:rPr>
          <w:i/>
          <w:sz w:val="18"/>
        </w:rPr>
        <w:t>and</w:t>
      </w:r>
      <w:r>
        <w:rPr>
          <w:i/>
          <w:spacing w:val="-3"/>
          <w:sz w:val="18"/>
        </w:rPr>
        <w:t> </w:t>
      </w:r>
      <w:r>
        <w:rPr>
          <w:i/>
          <w:sz w:val="18"/>
        </w:rPr>
        <w:t>Gas</w:t>
      </w:r>
      <w:r>
        <w:rPr>
          <w:i/>
          <w:spacing w:val="-2"/>
          <w:sz w:val="18"/>
        </w:rPr>
        <w:t> </w:t>
      </w:r>
      <w:r>
        <w:rPr>
          <w:i/>
          <w:sz w:val="18"/>
        </w:rPr>
        <w:t>Network</w:t>
      </w:r>
      <w:r>
        <w:rPr>
          <w:i/>
          <w:spacing w:val="-2"/>
          <w:sz w:val="18"/>
        </w:rPr>
        <w:t> </w:t>
      </w:r>
      <w:r>
        <w:rPr>
          <w:i/>
          <w:sz w:val="18"/>
        </w:rPr>
        <w:t>Safety</w:t>
      </w:r>
      <w:r>
        <w:rPr>
          <w:i/>
          <w:spacing w:val="-4"/>
          <w:sz w:val="18"/>
        </w:rPr>
        <w:t> </w:t>
      </w:r>
      <w:r>
        <w:rPr>
          <w:i/>
          <w:sz w:val="18"/>
        </w:rPr>
        <w:t>Framework -</w:t>
      </w:r>
      <w:r>
        <w:rPr>
          <w:i/>
          <w:spacing w:val="-5"/>
          <w:sz w:val="18"/>
        </w:rPr>
        <w:t> </w:t>
      </w:r>
      <w:r>
        <w:rPr>
          <w:i/>
          <w:sz w:val="18"/>
        </w:rPr>
        <w:t>Supplementary</w:t>
      </w:r>
      <w:r>
        <w:rPr>
          <w:i/>
          <w:spacing w:val="-2"/>
          <w:sz w:val="18"/>
        </w:rPr>
        <w:t> </w:t>
      </w:r>
      <w:r>
        <w:rPr>
          <w:i/>
          <w:sz w:val="18"/>
        </w:rPr>
        <w:t>Issues</w:t>
      </w:r>
      <w:r>
        <w:rPr>
          <w:i/>
          <w:spacing w:val="-5"/>
          <w:sz w:val="18"/>
        </w:rPr>
        <w:t> </w:t>
      </w:r>
      <w:r>
        <w:rPr>
          <w:i/>
          <w:sz w:val="18"/>
        </w:rPr>
        <w:t>Paper: APA VTS Operations (Australia) Pty Ltd Submission</w:t>
      </w:r>
      <w:r>
        <w:rPr>
          <w:sz w:val="18"/>
        </w:rPr>
        <w:t>.</w:t>
      </w:r>
    </w:p>
    <w:p>
      <w:pPr>
        <w:spacing w:line="381" w:lineRule="auto" w:before="0"/>
        <w:ind w:left="232" w:right="5155" w:firstLine="0"/>
        <w:jc w:val="left"/>
        <w:rPr>
          <w:sz w:val="18"/>
        </w:rPr>
      </w:pPr>
      <w:r>
        <w:rPr>
          <w:sz w:val="18"/>
        </w:rPr>
        <w:t>AusNet Services, 2017a. </w:t>
      </w:r>
      <w:r>
        <w:rPr>
          <w:i/>
          <w:sz w:val="18"/>
        </w:rPr>
        <w:t>Safety Review Submission</w:t>
      </w:r>
      <w:r>
        <w:rPr>
          <w:sz w:val="18"/>
        </w:rPr>
        <w:t>. AusNet</w:t>
      </w:r>
      <w:r>
        <w:rPr>
          <w:spacing w:val="-5"/>
          <w:sz w:val="18"/>
        </w:rPr>
        <w:t> </w:t>
      </w:r>
      <w:r>
        <w:rPr>
          <w:sz w:val="18"/>
        </w:rPr>
        <w:t>Services,</w:t>
      </w:r>
      <w:r>
        <w:rPr>
          <w:spacing w:val="-5"/>
          <w:sz w:val="18"/>
        </w:rPr>
        <w:t> </w:t>
      </w:r>
      <w:r>
        <w:rPr>
          <w:sz w:val="18"/>
        </w:rPr>
        <w:t>2017b.</w:t>
      </w:r>
      <w:r>
        <w:rPr>
          <w:spacing w:val="-7"/>
          <w:sz w:val="18"/>
        </w:rPr>
        <w:t> </w:t>
      </w:r>
      <w:r>
        <w:rPr>
          <w:i/>
          <w:sz w:val="18"/>
        </w:rPr>
        <w:t>Safety</w:t>
      </w:r>
      <w:r>
        <w:rPr>
          <w:i/>
          <w:spacing w:val="-4"/>
          <w:sz w:val="18"/>
        </w:rPr>
        <w:t> </w:t>
      </w:r>
      <w:r>
        <w:rPr>
          <w:i/>
          <w:sz w:val="18"/>
        </w:rPr>
        <w:t>Review</w:t>
      </w:r>
      <w:r>
        <w:rPr>
          <w:i/>
          <w:spacing w:val="-4"/>
          <w:sz w:val="18"/>
        </w:rPr>
        <w:t> </w:t>
      </w:r>
      <w:r>
        <w:rPr>
          <w:i/>
          <w:sz w:val="18"/>
        </w:rPr>
        <w:t>Submission</w:t>
      </w:r>
      <w:r>
        <w:rPr>
          <w:i/>
          <w:spacing w:val="-4"/>
          <w:sz w:val="18"/>
        </w:rPr>
        <w:t> </w:t>
      </w:r>
      <w:r>
        <w:rPr>
          <w:i/>
          <w:sz w:val="18"/>
        </w:rPr>
        <w:t>-</w:t>
      </w:r>
      <w:r>
        <w:rPr>
          <w:i/>
          <w:spacing w:val="-7"/>
          <w:sz w:val="18"/>
        </w:rPr>
        <w:t> </w:t>
      </w:r>
      <w:r>
        <w:rPr>
          <w:i/>
          <w:sz w:val="18"/>
        </w:rPr>
        <w:t>Gas</w:t>
      </w:r>
      <w:r>
        <w:rPr>
          <w:sz w:val="18"/>
        </w:rPr>
        <w:t>.</w:t>
      </w:r>
    </w:p>
    <w:p>
      <w:pPr>
        <w:spacing w:line="206" w:lineRule="exact" w:before="0"/>
        <w:ind w:left="232" w:right="0" w:firstLine="0"/>
        <w:jc w:val="left"/>
        <w:rPr>
          <w:sz w:val="18"/>
        </w:rPr>
      </w:pPr>
      <w:r>
        <w:rPr>
          <w:sz w:val="18"/>
        </w:rPr>
        <w:t>AusNet</w:t>
      </w:r>
      <w:r>
        <w:rPr>
          <w:spacing w:val="-5"/>
          <w:sz w:val="18"/>
        </w:rPr>
        <w:t> </w:t>
      </w:r>
      <w:r>
        <w:rPr>
          <w:sz w:val="18"/>
        </w:rPr>
        <w:t>Services,</w:t>
      </w:r>
      <w:r>
        <w:rPr>
          <w:spacing w:val="-4"/>
          <w:sz w:val="18"/>
        </w:rPr>
        <w:t> </w:t>
      </w:r>
      <w:r>
        <w:rPr>
          <w:sz w:val="18"/>
        </w:rPr>
        <w:t>2017c.</w:t>
      </w:r>
      <w:r>
        <w:rPr>
          <w:spacing w:val="-5"/>
          <w:sz w:val="18"/>
        </w:rPr>
        <w:t> </w:t>
      </w:r>
      <w:r>
        <w:rPr>
          <w:i/>
          <w:sz w:val="18"/>
        </w:rPr>
        <w:t>Safety</w:t>
      </w:r>
      <w:r>
        <w:rPr>
          <w:i/>
          <w:spacing w:val="-3"/>
          <w:sz w:val="18"/>
        </w:rPr>
        <w:t> </w:t>
      </w:r>
      <w:r>
        <w:rPr>
          <w:i/>
          <w:sz w:val="18"/>
        </w:rPr>
        <w:t>Review</w:t>
      </w:r>
      <w:r>
        <w:rPr>
          <w:i/>
          <w:spacing w:val="-5"/>
          <w:sz w:val="18"/>
        </w:rPr>
        <w:t> </w:t>
      </w:r>
      <w:r>
        <w:rPr>
          <w:i/>
          <w:sz w:val="18"/>
        </w:rPr>
        <w:t>Submission</w:t>
      </w:r>
      <w:r>
        <w:rPr>
          <w:i/>
          <w:spacing w:val="-1"/>
          <w:sz w:val="18"/>
        </w:rPr>
        <w:t> </w:t>
      </w:r>
      <w:r>
        <w:rPr>
          <w:i/>
          <w:sz w:val="18"/>
        </w:rPr>
        <w:t>-</w:t>
      </w:r>
      <w:r>
        <w:rPr>
          <w:i/>
          <w:spacing w:val="-6"/>
          <w:sz w:val="18"/>
        </w:rPr>
        <w:t> </w:t>
      </w:r>
      <w:r>
        <w:rPr>
          <w:i/>
          <w:sz w:val="18"/>
        </w:rPr>
        <w:t>Interim</w:t>
      </w:r>
      <w:r>
        <w:rPr>
          <w:i/>
          <w:spacing w:val="-7"/>
          <w:sz w:val="18"/>
        </w:rPr>
        <w:t> </w:t>
      </w:r>
      <w:r>
        <w:rPr>
          <w:i/>
          <w:spacing w:val="-2"/>
          <w:sz w:val="18"/>
        </w:rPr>
        <w:t>Report</w:t>
      </w:r>
      <w:r>
        <w:rPr>
          <w:spacing w:val="-2"/>
          <w:sz w:val="18"/>
        </w:rPr>
        <w:t>.</w:t>
      </w:r>
    </w:p>
    <w:p>
      <w:pPr>
        <w:spacing w:line="285" w:lineRule="auto" w:before="119"/>
        <w:ind w:left="232" w:right="374" w:firstLine="0"/>
        <w:jc w:val="left"/>
        <w:rPr>
          <w:sz w:val="18"/>
        </w:rPr>
      </w:pPr>
      <w:r>
        <w:rPr>
          <w:sz w:val="18"/>
        </w:rPr>
        <w:t>CitiPower</w:t>
      </w:r>
      <w:r>
        <w:rPr>
          <w:spacing w:val="-3"/>
          <w:sz w:val="18"/>
        </w:rPr>
        <w:t> </w:t>
      </w:r>
      <w:r>
        <w:rPr>
          <w:sz w:val="18"/>
        </w:rPr>
        <w:t>&amp;</w:t>
      </w:r>
      <w:r>
        <w:rPr>
          <w:spacing w:val="-3"/>
          <w:sz w:val="18"/>
        </w:rPr>
        <w:t> </w:t>
      </w:r>
      <w:r>
        <w:rPr>
          <w:sz w:val="18"/>
        </w:rPr>
        <w:t>Powercor</w:t>
      </w:r>
      <w:r>
        <w:rPr>
          <w:spacing w:val="-1"/>
          <w:sz w:val="18"/>
        </w:rPr>
        <w:t> </w:t>
      </w:r>
      <w:r>
        <w:rPr>
          <w:sz w:val="18"/>
        </w:rPr>
        <w:t>Australia,</w:t>
      </w:r>
      <w:r>
        <w:rPr>
          <w:spacing w:val="-3"/>
          <w:sz w:val="18"/>
        </w:rPr>
        <w:t> </w:t>
      </w:r>
      <w:r>
        <w:rPr>
          <w:sz w:val="18"/>
        </w:rPr>
        <w:t>2017.</w:t>
      </w:r>
      <w:r>
        <w:rPr>
          <w:spacing w:val="-1"/>
          <w:sz w:val="18"/>
        </w:rPr>
        <w:t> </w:t>
      </w:r>
      <w:r>
        <w:rPr>
          <w:i/>
          <w:sz w:val="18"/>
        </w:rPr>
        <w:t>Submission</w:t>
      </w:r>
      <w:r>
        <w:rPr>
          <w:i/>
          <w:spacing w:val="-5"/>
          <w:sz w:val="18"/>
        </w:rPr>
        <w:t> </w:t>
      </w:r>
      <w:r>
        <w:rPr>
          <w:i/>
          <w:sz w:val="18"/>
        </w:rPr>
        <w:t>to</w:t>
      </w:r>
      <w:r>
        <w:rPr>
          <w:i/>
          <w:spacing w:val="-3"/>
          <w:sz w:val="18"/>
        </w:rPr>
        <w:t> </w:t>
      </w:r>
      <w:r>
        <w:rPr>
          <w:i/>
          <w:sz w:val="18"/>
        </w:rPr>
        <w:t>Review</w:t>
      </w:r>
      <w:r>
        <w:rPr>
          <w:i/>
          <w:spacing w:val="-3"/>
          <w:sz w:val="18"/>
        </w:rPr>
        <w:t> </w:t>
      </w:r>
      <w:r>
        <w:rPr>
          <w:i/>
          <w:sz w:val="18"/>
        </w:rPr>
        <w:t>of</w:t>
      </w:r>
      <w:r>
        <w:rPr>
          <w:i/>
          <w:spacing w:val="-3"/>
          <w:sz w:val="18"/>
        </w:rPr>
        <w:t> </w:t>
      </w:r>
      <w:r>
        <w:rPr>
          <w:i/>
          <w:sz w:val="18"/>
        </w:rPr>
        <w:t>Victoria's</w:t>
      </w:r>
      <w:r>
        <w:rPr>
          <w:i/>
          <w:spacing w:val="-2"/>
          <w:sz w:val="18"/>
        </w:rPr>
        <w:t> </w:t>
      </w:r>
      <w:r>
        <w:rPr>
          <w:i/>
          <w:sz w:val="18"/>
        </w:rPr>
        <w:t>Electricity</w:t>
      </w:r>
      <w:r>
        <w:rPr>
          <w:i/>
          <w:spacing w:val="-2"/>
          <w:sz w:val="18"/>
        </w:rPr>
        <w:t> </w:t>
      </w:r>
      <w:r>
        <w:rPr>
          <w:i/>
          <w:sz w:val="18"/>
        </w:rPr>
        <w:t>Network</w:t>
      </w:r>
      <w:r>
        <w:rPr>
          <w:i/>
          <w:spacing w:val="-2"/>
          <w:sz w:val="18"/>
        </w:rPr>
        <w:t> </w:t>
      </w:r>
      <w:r>
        <w:rPr>
          <w:i/>
          <w:sz w:val="18"/>
        </w:rPr>
        <w:t>Safety</w:t>
      </w:r>
      <w:r>
        <w:rPr>
          <w:i/>
          <w:spacing w:val="-4"/>
          <w:sz w:val="18"/>
        </w:rPr>
        <w:t> </w:t>
      </w:r>
      <w:r>
        <w:rPr>
          <w:i/>
          <w:sz w:val="18"/>
        </w:rPr>
        <w:t>Framework</w:t>
      </w:r>
      <w:r>
        <w:rPr>
          <w:i/>
          <w:spacing w:val="-4"/>
          <w:sz w:val="18"/>
        </w:rPr>
        <w:t> </w:t>
      </w:r>
      <w:r>
        <w:rPr>
          <w:i/>
          <w:sz w:val="18"/>
        </w:rPr>
        <w:t>Issues </w:t>
      </w:r>
      <w:r>
        <w:rPr>
          <w:i/>
          <w:spacing w:val="-2"/>
          <w:sz w:val="18"/>
        </w:rPr>
        <w:t>Paper</w:t>
      </w:r>
      <w:r>
        <w:rPr>
          <w:spacing w:val="-2"/>
          <w:sz w:val="18"/>
        </w:rPr>
        <w:t>.</w:t>
      </w:r>
    </w:p>
    <w:p>
      <w:pPr>
        <w:spacing w:line="381" w:lineRule="auto" w:before="84"/>
        <w:ind w:left="232" w:right="439" w:firstLine="0"/>
        <w:jc w:val="left"/>
        <w:rPr>
          <w:sz w:val="18"/>
        </w:rPr>
      </w:pPr>
      <w:r>
        <w:rPr>
          <w:sz w:val="18"/>
        </w:rPr>
        <w:t>Electrical Trades Union, 2017. </w:t>
      </w:r>
      <w:r>
        <w:rPr>
          <w:i/>
          <w:sz w:val="18"/>
        </w:rPr>
        <w:t>ETU Submission on the Victorian Electricity Network Safety Review's Issues Paper</w:t>
      </w:r>
      <w:r>
        <w:rPr>
          <w:sz w:val="18"/>
        </w:rPr>
        <w:t>. ESV,</w:t>
      </w:r>
      <w:r>
        <w:rPr>
          <w:spacing w:val="-3"/>
          <w:sz w:val="18"/>
        </w:rPr>
        <w:t> </w:t>
      </w:r>
      <w:r>
        <w:rPr>
          <w:sz w:val="18"/>
        </w:rPr>
        <w:t>2016.</w:t>
      </w:r>
      <w:r>
        <w:rPr>
          <w:spacing w:val="-2"/>
          <w:sz w:val="18"/>
        </w:rPr>
        <w:t> </w:t>
      </w:r>
      <w:r>
        <w:rPr>
          <w:i/>
          <w:sz w:val="18"/>
        </w:rPr>
        <w:t>General</w:t>
      </w:r>
      <w:r>
        <w:rPr>
          <w:i/>
          <w:spacing w:val="-3"/>
          <w:sz w:val="18"/>
        </w:rPr>
        <w:t> </w:t>
      </w:r>
      <w:r>
        <w:rPr>
          <w:i/>
          <w:sz w:val="18"/>
        </w:rPr>
        <w:t>guidance</w:t>
      </w:r>
      <w:r>
        <w:rPr>
          <w:i/>
          <w:spacing w:val="-5"/>
          <w:sz w:val="18"/>
        </w:rPr>
        <w:t> </w:t>
      </w:r>
      <w:r>
        <w:rPr>
          <w:i/>
          <w:sz w:val="18"/>
        </w:rPr>
        <w:t>and</w:t>
      </w:r>
      <w:r>
        <w:rPr>
          <w:i/>
          <w:spacing w:val="-3"/>
          <w:sz w:val="18"/>
        </w:rPr>
        <w:t> </w:t>
      </w:r>
      <w:r>
        <w:rPr>
          <w:i/>
          <w:sz w:val="18"/>
        </w:rPr>
        <w:t>requirements</w:t>
      </w:r>
      <w:r>
        <w:rPr>
          <w:i/>
          <w:spacing w:val="-4"/>
          <w:sz w:val="18"/>
        </w:rPr>
        <w:t> </w:t>
      </w:r>
      <w:r>
        <w:rPr>
          <w:i/>
          <w:sz w:val="18"/>
        </w:rPr>
        <w:t>for</w:t>
      </w:r>
      <w:r>
        <w:rPr>
          <w:i/>
          <w:spacing w:val="-3"/>
          <w:sz w:val="18"/>
        </w:rPr>
        <w:t> </w:t>
      </w:r>
      <w:r>
        <w:rPr>
          <w:i/>
          <w:sz w:val="18"/>
        </w:rPr>
        <w:t>developing</w:t>
      </w:r>
      <w:r>
        <w:rPr>
          <w:i/>
          <w:spacing w:val="-3"/>
          <w:sz w:val="18"/>
        </w:rPr>
        <w:t> </w:t>
      </w:r>
      <w:r>
        <w:rPr>
          <w:i/>
          <w:sz w:val="18"/>
        </w:rPr>
        <w:t>acceptable</w:t>
      </w:r>
      <w:r>
        <w:rPr>
          <w:i/>
          <w:spacing w:val="-3"/>
          <w:sz w:val="18"/>
        </w:rPr>
        <w:t> </w:t>
      </w:r>
      <w:r>
        <w:rPr>
          <w:i/>
          <w:sz w:val="18"/>
        </w:rPr>
        <w:t>Electrical</w:t>
      </w:r>
      <w:r>
        <w:rPr>
          <w:i/>
          <w:spacing w:val="-3"/>
          <w:sz w:val="18"/>
        </w:rPr>
        <w:t> </w:t>
      </w:r>
      <w:r>
        <w:rPr>
          <w:i/>
          <w:sz w:val="18"/>
        </w:rPr>
        <w:t>Safety</w:t>
      </w:r>
      <w:r>
        <w:rPr>
          <w:i/>
          <w:spacing w:val="-2"/>
          <w:sz w:val="18"/>
        </w:rPr>
        <w:t> </w:t>
      </w:r>
      <w:r>
        <w:rPr>
          <w:i/>
          <w:sz w:val="18"/>
        </w:rPr>
        <w:t>Management</w:t>
      </w:r>
      <w:r>
        <w:rPr>
          <w:i/>
          <w:spacing w:val="-3"/>
          <w:sz w:val="18"/>
        </w:rPr>
        <w:t> </w:t>
      </w:r>
      <w:r>
        <w:rPr>
          <w:i/>
          <w:sz w:val="18"/>
        </w:rPr>
        <w:t>Schemes</w:t>
      </w:r>
      <w:r>
        <w:rPr>
          <w:sz w:val="18"/>
        </w:rPr>
        <w:t>. ESV, 2017. </w:t>
      </w:r>
      <w:r>
        <w:rPr>
          <w:i/>
          <w:sz w:val="18"/>
        </w:rPr>
        <w:t>Energy Safe Victoria Corporate Plan 2017-2020</w:t>
      </w:r>
      <w:r>
        <w:rPr>
          <w:sz w:val="18"/>
        </w:rPr>
        <w:t>.</w:t>
      </w:r>
    </w:p>
    <w:p>
      <w:pPr>
        <w:spacing w:line="285" w:lineRule="auto" w:before="0"/>
        <w:ind w:left="232" w:right="374" w:firstLine="0"/>
        <w:jc w:val="left"/>
        <w:rPr>
          <w:sz w:val="18"/>
        </w:rPr>
      </w:pPr>
      <w:r>
        <w:rPr>
          <w:sz w:val="18"/>
        </w:rPr>
        <w:t>Hayes,</w:t>
      </w:r>
      <w:r>
        <w:rPr>
          <w:spacing w:val="-2"/>
          <w:sz w:val="18"/>
        </w:rPr>
        <w:t> </w:t>
      </w:r>
      <w:r>
        <w:rPr>
          <w:sz w:val="18"/>
        </w:rPr>
        <w:t>J.</w:t>
      </w:r>
      <w:r>
        <w:rPr>
          <w:spacing w:val="-4"/>
          <w:sz w:val="18"/>
        </w:rPr>
        <w:t> </w:t>
      </w:r>
      <w:r>
        <w:rPr>
          <w:sz w:val="18"/>
        </w:rPr>
        <w:t>&amp;</w:t>
      </w:r>
      <w:r>
        <w:rPr>
          <w:spacing w:val="-2"/>
          <w:sz w:val="18"/>
        </w:rPr>
        <w:t> </w:t>
      </w:r>
      <w:r>
        <w:rPr>
          <w:sz w:val="18"/>
        </w:rPr>
        <w:t>McDermott, V.,</w:t>
      </w:r>
      <w:r>
        <w:rPr>
          <w:spacing w:val="-2"/>
          <w:sz w:val="18"/>
        </w:rPr>
        <w:t> </w:t>
      </w:r>
      <w:r>
        <w:rPr>
          <w:sz w:val="18"/>
        </w:rPr>
        <w:t>2016.</w:t>
      </w:r>
      <w:r>
        <w:rPr>
          <w:spacing w:val="-2"/>
          <w:sz w:val="18"/>
        </w:rPr>
        <w:t> </w:t>
      </w:r>
      <w:r>
        <w:rPr>
          <w:sz w:val="18"/>
        </w:rPr>
        <w:t>Risk</w:t>
      </w:r>
      <w:r>
        <w:rPr>
          <w:spacing w:val="-3"/>
          <w:sz w:val="18"/>
        </w:rPr>
        <w:t> </w:t>
      </w:r>
      <w:r>
        <w:rPr>
          <w:sz w:val="18"/>
        </w:rPr>
        <w:t>shifting</w:t>
      </w:r>
      <w:r>
        <w:rPr>
          <w:spacing w:val="-2"/>
          <w:sz w:val="18"/>
        </w:rPr>
        <w:t> </w:t>
      </w:r>
      <w:r>
        <w:rPr>
          <w:sz w:val="18"/>
        </w:rPr>
        <w:t>and</w:t>
      </w:r>
      <w:r>
        <w:rPr>
          <w:spacing w:val="-2"/>
          <w:sz w:val="18"/>
        </w:rPr>
        <w:t> </w:t>
      </w:r>
      <w:r>
        <w:rPr>
          <w:sz w:val="18"/>
        </w:rPr>
        <w:t>disorganization</w:t>
      </w:r>
      <w:r>
        <w:rPr>
          <w:spacing w:val="-2"/>
          <w:sz w:val="18"/>
        </w:rPr>
        <w:t> </w:t>
      </w:r>
      <w:r>
        <w:rPr>
          <w:sz w:val="18"/>
        </w:rPr>
        <w:t>in</w:t>
      </w:r>
      <w:r>
        <w:rPr>
          <w:spacing w:val="-2"/>
          <w:sz w:val="18"/>
        </w:rPr>
        <w:t> </w:t>
      </w:r>
      <w:r>
        <w:rPr>
          <w:sz w:val="18"/>
        </w:rPr>
        <w:t>multi-tier</w:t>
      </w:r>
      <w:r>
        <w:rPr>
          <w:spacing w:val="-4"/>
          <w:sz w:val="18"/>
        </w:rPr>
        <w:t> </w:t>
      </w:r>
      <w:r>
        <w:rPr>
          <w:sz w:val="18"/>
        </w:rPr>
        <w:t>contracting</w:t>
      </w:r>
      <w:r>
        <w:rPr>
          <w:spacing w:val="-4"/>
          <w:sz w:val="18"/>
        </w:rPr>
        <w:t> </w:t>
      </w:r>
      <w:r>
        <w:rPr>
          <w:sz w:val="18"/>
        </w:rPr>
        <w:t>chains:</w:t>
      </w:r>
      <w:r>
        <w:rPr>
          <w:spacing w:val="-4"/>
          <w:sz w:val="18"/>
        </w:rPr>
        <w:t> </w:t>
      </w:r>
      <w:r>
        <w:rPr>
          <w:sz w:val="18"/>
        </w:rPr>
        <w:t>The</w:t>
      </w:r>
      <w:r>
        <w:rPr>
          <w:spacing w:val="-2"/>
          <w:sz w:val="18"/>
        </w:rPr>
        <w:t> </w:t>
      </w:r>
      <w:r>
        <w:rPr>
          <w:sz w:val="18"/>
        </w:rPr>
        <w:t>implications</w:t>
      </w:r>
      <w:r>
        <w:rPr>
          <w:spacing w:val="-1"/>
          <w:sz w:val="18"/>
        </w:rPr>
        <w:t> </w:t>
      </w:r>
      <w:r>
        <w:rPr>
          <w:sz w:val="18"/>
        </w:rPr>
        <w:t>for public safety. </w:t>
      </w:r>
      <w:r>
        <w:rPr>
          <w:i/>
          <w:sz w:val="18"/>
        </w:rPr>
        <w:t>Safety Science, </w:t>
      </w:r>
      <w:r>
        <w:rPr>
          <w:sz w:val="18"/>
        </w:rPr>
        <w:t>pp. 1-10.</w:t>
      </w:r>
    </w:p>
    <w:p>
      <w:pPr>
        <w:spacing w:line="381" w:lineRule="auto" w:before="83"/>
        <w:ind w:left="232" w:right="1720" w:firstLine="0"/>
        <w:jc w:val="left"/>
        <w:rPr>
          <w:sz w:val="18"/>
        </w:rPr>
      </w:pPr>
      <w:r>
        <w:rPr>
          <w:sz w:val="18"/>
        </w:rPr>
        <w:t>Jemena, 2017. </w:t>
      </w:r>
      <w:r>
        <w:rPr>
          <w:i/>
          <w:sz w:val="18"/>
        </w:rPr>
        <w:t>Submission- Review of Victoria's Electricity Network Safety Framework, </w:t>
      </w:r>
      <w:r>
        <w:rPr>
          <w:sz w:val="18"/>
        </w:rPr>
        <w:t>s.l.: s.n. Multinet</w:t>
      </w:r>
      <w:r>
        <w:rPr>
          <w:spacing w:val="-3"/>
          <w:sz w:val="18"/>
        </w:rPr>
        <w:t> </w:t>
      </w:r>
      <w:r>
        <w:rPr>
          <w:sz w:val="18"/>
        </w:rPr>
        <w:t>Gas,</w:t>
      </w:r>
      <w:r>
        <w:rPr>
          <w:spacing w:val="-4"/>
          <w:sz w:val="18"/>
        </w:rPr>
        <w:t> </w:t>
      </w:r>
      <w:r>
        <w:rPr>
          <w:sz w:val="18"/>
        </w:rPr>
        <w:t>2017. </w:t>
      </w:r>
      <w:r>
        <w:rPr>
          <w:i/>
          <w:sz w:val="18"/>
        </w:rPr>
        <w:t>Review</w:t>
      </w:r>
      <w:r>
        <w:rPr>
          <w:i/>
          <w:spacing w:val="-2"/>
          <w:sz w:val="18"/>
        </w:rPr>
        <w:t> </w:t>
      </w:r>
      <w:r>
        <w:rPr>
          <w:i/>
          <w:sz w:val="18"/>
        </w:rPr>
        <w:t>of</w:t>
      </w:r>
      <w:r>
        <w:rPr>
          <w:i/>
          <w:spacing w:val="-6"/>
          <w:sz w:val="18"/>
        </w:rPr>
        <w:t> </w:t>
      </w:r>
      <w:r>
        <w:rPr>
          <w:i/>
          <w:sz w:val="18"/>
        </w:rPr>
        <w:t>Victoria’s</w:t>
      </w:r>
      <w:r>
        <w:rPr>
          <w:i/>
          <w:spacing w:val="-1"/>
          <w:sz w:val="18"/>
        </w:rPr>
        <w:t> </w:t>
      </w:r>
      <w:r>
        <w:rPr>
          <w:i/>
          <w:sz w:val="18"/>
        </w:rPr>
        <w:t>Gas</w:t>
      </w:r>
      <w:r>
        <w:rPr>
          <w:i/>
          <w:spacing w:val="-1"/>
          <w:sz w:val="18"/>
        </w:rPr>
        <w:t> </w:t>
      </w:r>
      <w:r>
        <w:rPr>
          <w:i/>
          <w:sz w:val="18"/>
        </w:rPr>
        <w:t>Network</w:t>
      </w:r>
      <w:r>
        <w:rPr>
          <w:i/>
          <w:spacing w:val="-4"/>
          <w:sz w:val="18"/>
        </w:rPr>
        <w:t> </w:t>
      </w:r>
      <w:r>
        <w:rPr>
          <w:i/>
          <w:sz w:val="18"/>
        </w:rPr>
        <w:t>Safety</w:t>
      </w:r>
      <w:r>
        <w:rPr>
          <w:i/>
          <w:spacing w:val="-3"/>
          <w:sz w:val="18"/>
        </w:rPr>
        <w:t> </w:t>
      </w:r>
      <w:r>
        <w:rPr>
          <w:i/>
          <w:sz w:val="18"/>
        </w:rPr>
        <w:t>Framework:</w:t>
      </w:r>
      <w:r>
        <w:rPr>
          <w:i/>
          <w:spacing w:val="-2"/>
          <w:sz w:val="18"/>
        </w:rPr>
        <w:t> </w:t>
      </w:r>
      <w:r>
        <w:rPr>
          <w:i/>
          <w:sz w:val="18"/>
        </w:rPr>
        <w:t>Issues</w:t>
      </w:r>
      <w:r>
        <w:rPr>
          <w:i/>
          <w:spacing w:val="-4"/>
          <w:sz w:val="18"/>
        </w:rPr>
        <w:t> </w:t>
      </w:r>
      <w:r>
        <w:rPr>
          <w:i/>
          <w:sz w:val="18"/>
        </w:rPr>
        <w:t>for</w:t>
      </w:r>
      <w:r>
        <w:rPr>
          <w:i/>
          <w:spacing w:val="-4"/>
          <w:sz w:val="18"/>
        </w:rPr>
        <w:t> </w:t>
      </w:r>
      <w:r>
        <w:rPr>
          <w:i/>
          <w:sz w:val="18"/>
        </w:rPr>
        <w:t>consideration</w:t>
      </w:r>
      <w:r>
        <w:rPr>
          <w:sz w:val="18"/>
        </w:rPr>
        <w:t>.</w:t>
      </w:r>
    </w:p>
    <w:p>
      <w:pPr>
        <w:spacing w:line="285" w:lineRule="auto" w:before="0"/>
        <w:ind w:left="232" w:right="408" w:firstLine="0"/>
        <w:jc w:val="left"/>
        <w:rPr>
          <w:sz w:val="18"/>
        </w:rPr>
      </w:pPr>
      <w:r>
        <w:rPr>
          <w:sz w:val="18"/>
        </w:rPr>
        <w:t>NOPSEMA,</w:t>
      </w:r>
      <w:r>
        <w:rPr>
          <w:spacing w:val="-4"/>
          <w:sz w:val="18"/>
        </w:rPr>
        <w:t> </w:t>
      </w:r>
      <w:r>
        <w:rPr>
          <w:sz w:val="18"/>
        </w:rPr>
        <w:t>2017.</w:t>
      </w:r>
      <w:r>
        <w:rPr>
          <w:spacing w:val="-3"/>
          <w:sz w:val="18"/>
        </w:rPr>
        <w:t> </w:t>
      </w:r>
      <w:r>
        <w:rPr>
          <w:i/>
          <w:sz w:val="18"/>
        </w:rPr>
        <w:t>Published</w:t>
      </w:r>
      <w:r>
        <w:rPr>
          <w:i/>
          <w:spacing w:val="-6"/>
          <w:sz w:val="18"/>
        </w:rPr>
        <w:t> </w:t>
      </w:r>
      <w:r>
        <w:rPr>
          <w:i/>
          <w:sz w:val="18"/>
        </w:rPr>
        <w:t>Notices.</w:t>
      </w:r>
      <w:r>
        <w:rPr>
          <w:i/>
          <w:spacing w:val="-3"/>
          <w:sz w:val="18"/>
        </w:rPr>
        <w:t> </w:t>
      </w:r>
      <w:r>
        <w:rPr>
          <w:sz w:val="18"/>
        </w:rPr>
        <w:t>[Online]</w:t>
      </w:r>
      <w:r>
        <w:rPr>
          <w:spacing w:val="-4"/>
          <w:sz w:val="18"/>
        </w:rPr>
        <w:t> </w:t>
      </w:r>
      <w:r>
        <w:rPr>
          <w:sz w:val="18"/>
        </w:rPr>
        <w:t>Available</w:t>
      </w:r>
      <w:r>
        <w:rPr>
          <w:spacing w:val="-4"/>
          <w:sz w:val="18"/>
        </w:rPr>
        <w:t> </w:t>
      </w:r>
      <w:r>
        <w:rPr>
          <w:sz w:val="18"/>
        </w:rPr>
        <w:t>at:</w:t>
      </w:r>
      <w:r>
        <w:rPr>
          <w:spacing w:val="-5"/>
          <w:sz w:val="18"/>
        </w:rPr>
        <w:t> </w:t>
      </w:r>
      <w:r>
        <w:rPr>
          <w:sz w:val="18"/>
          <w:u w:val="single"/>
        </w:rPr>
        <w:t>https:/</w:t>
      </w:r>
      <w:hyperlink r:id="rId107">
        <w:r>
          <w:rPr>
            <w:sz w:val="18"/>
            <w:u w:val="single"/>
          </w:rPr>
          <w:t>/www.n</w:t>
        </w:r>
      </w:hyperlink>
      <w:r>
        <w:rPr>
          <w:sz w:val="18"/>
          <w:u w:val="single"/>
        </w:rPr>
        <w:t>o</w:t>
      </w:r>
      <w:hyperlink r:id="rId107">
        <w:r>
          <w:rPr>
            <w:sz w:val="18"/>
            <w:u w:val="single"/>
          </w:rPr>
          <w:t>psema.gov.au/resources/published-notices/</w:t>
        </w:r>
      </w:hyperlink>
      <w:r>
        <w:rPr>
          <w:sz w:val="18"/>
        </w:rPr>
        <w:t> [Accessed September 30 2017].</w:t>
      </w:r>
    </w:p>
    <w:p>
      <w:pPr>
        <w:spacing w:before="82"/>
        <w:ind w:left="232" w:right="0" w:firstLine="0"/>
        <w:jc w:val="left"/>
        <w:rPr>
          <w:sz w:val="18"/>
        </w:rPr>
      </w:pPr>
      <w:r>
        <w:rPr>
          <w:sz w:val="18"/>
        </w:rPr>
        <w:t>NZ</w:t>
      </w:r>
      <w:r>
        <w:rPr>
          <w:spacing w:val="-8"/>
          <w:sz w:val="18"/>
        </w:rPr>
        <w:t> </w:t>
      </w:r>
      <w:r>
        <w:rPr>
          <w:sz w:val="18"/>
        </w:rPr>
        <w:t>Productivity</w:t>
      </w:r>
      <w:r>
        <w:rPr>
          <w:spacing w:val="-8"/>
          <w:sz w:val="18"/>
        </w:rPr>
        <w:t> </w:t>
      </w:r>
      <w:r>
        <w:rPr>
          <w:sz w:val="18"/>
        </w:rPr>
        <w:t>Commission,</w:t>
      </w:r>
      <w:r>
        <w:rPr>
          <w:spacing w:val="-9"/>
          <w:sz w:val="18"/>
        </w:rPr>
        <w:t> </w:t>
      </w:r>
      <w:r>
        <w:rPr>
          <w:sz w:val="18"/>
        </w:rPr>
        <w:t>2014.</w:t>
      </w:r>
      <w:r>
        <w:rPr>
          <w:spacing w:val="-4"/>
          <w:sz w:val="18"/>
        </w:rPr>
        <w:t> </w:t>
      </w:r>
      <w:r>
        <w:rPr>
          <w:i/>
          <w:sz w:val="18"/>
        </w:rPr>
        <w:t>Regulatory</w:t>
      </w:r>
      <w:r>
        <w:rPr>
          <w:i/>
          <w:spacing w:val="-6"/>
          <w:sz w:val="18"/>
        </w:rPr>
        <w:t> </w:t>
      </w:r>
      <w:r>
        <w:rPr>
          <w:i/>
          <w:sz w:val="18"/>
        </w:rPr>
        <w:t>institutions</w:t>
      </w:r>
      <w:r>
        <w:rPr>
          <w:i/>
          <w:spacing w:val="-6"/>
          <w:sz w:val="18"/>
        </w:rPr>
        <w:t> </w:t>
      </w:r>
      <w:r>
        <w:rPr>
          <w:i/>
          <w:sz w:val="18"/>
        </w:rPr>
        <w:t>and</w:t>
      </w:r>
      <w:r>
        <w:rPr>
          <w:i/>
          <w:spacing w:val="-7"/>
          <w:sz w:val="18"/>
        </w:rPr>
        <w:t> </w:t>
      </w:r>
      <w:r>
        <w:rPr>
          <w:i/>
          <w:spacing w:val="-2"/>
          <w:sz w:val="18"/>
        </w:rPr>
        <w:t>practices</w:t>
      </w:r>
      <w:r>
        <w:rPr>
          <w:spacing w:val="-2"/>
          <w:sz w:val="18"/>
        </w:rPr>
        <w:t>.</w:t>
      </w:r>
    </w:p>
    <w:p>
      <w:pPr>
        <w:spacing w:line="285" w:lineRule="auto" w:before="122"/>
        <w:ind w:left="232" w:right="374" w:firstLine="0"/>
        <w:jc w:val="left"/>
        <w:rPr>
          <w:sz w:val="18"/>
        </w:rPr>
      </w:pPr>
      <w:r>
        <w:rPr>
          <w:sz w:val="18"/>
        </w:rPr>
        <w:t>South</w:t>
      </w:r>
      <w:r>
        <w:rPr>
          <w:spacing w:val="-3"/>
          <w:sz w:val="18"/>
        </w:rPr>
        <w:t> </w:t>
      </w:r>
      <w:r>
        <w:rPr>
          <w:sz w:val="18"/>
        </w:rPr>
        <w:t>East</w:t>
      </w:r>
      <w:r>
        <w:rPr>
          <w:spacing w:val="-3"/>
          <w:sz w:val="18"/>
        </w:rPr>
        <w:t> </w:t>
      </w:r>
      <w:r>
        <w:rPr>
          <w:sz w:val="18"/>
        </w:rPr>
        <w:t>Community</w:t>
      </w:r>
      <w:r>
        <w:rPr>
          <w:spacing w:val="-4"/>
          <w:sz w:val="18"/>
        </w:rPr>
        <w:t> </w:t>
      </w:r>
      <w:r>
        <w:rPr>
          <w:sz w:val="18"/>
        </w:rPr>
        <w:t>Forum,</w:t>
      </w:r>
      <w:r>
        <w:rPr>
          <w:spacing w:val="-3"/>
          <w:sz w:val="18"/>
        </w:rPr>
        <w:t> </w:t>
      </w:r>
      <w:r>
        <w:rPr>
          <w:sz w:val="18"/>
        </w:rPr>
        <w:t>2017. </w:t>
      </w:r>
      <w:r>
        <w:rPr>
          <w:i/>
          <w:sz w:val="18"/>
        </w:rPr>
        <w:t>South</w:t>
      </w:r>
      <w:r>
        <w:rPr>
          <w:i/>
          <w:spacing w:val="-3"/>
          <w:sz w:val="18"/>
        </w:rPr>
        <w:t> </w:t>
      </w:r>
      <w:r>
        <w:rPr>
          <w:i/>
          <w:sz w:val="18"/>
        </w:rPr>
        <w:t>East</w:t>
      </w:r>
      <w:r>
        <w:rPr>
          <w:i/>
          <w:spacing w:val="-3"/>
          <w:sz w:val="18"/>
        </w:rPr>
        <w:t> </w:t>
      </w:r>
      <w:r>
        <w:rPr>
          <w:i/>
          <w:sz w:val="18"/>
        </w:rPr>
        <w:t>Community</w:t>
      </w:r>
      <w:r>
        <w:rPr>
          <w:i/>
          <w:spacing w:val="-5"/>
          <w:sz w:val="18"/>
        </w:rPr>
        <w:t> </w:t>
      </w:r>
      <w:r>
        <w:rPr>
          <w:i/>
          <w:sz w:val="18"/>
        </w:rPr>
        <w:t>Forum</w:t>
      </w:r>
      <w:r>
        <w:rPr>
          <w:i/>
          <w:spacing w:val="-5"/>
          <w:sz w:val="18"/>
        </w:rPr>
        <w:t> </w:t>
      </w:r>
      <w:r>
        <w:rPr>
          <w:i/>
          <w:sz w:val="18"/>
        </w:rPr>
        <w:t>Submission</w:t>
      </w:r>
      <w:r>
        <w:rPr>
          <w:i/>
          <w:spacing w:val="-3"/>
          <w:sz w:val="18"/>
        </w:rPr>
        <w:t> </w:t>
      </w:r>
      <w:r>
        <w:rPr>
          <w:i/>
          <w:sz w:val="18"/>
        </w:rPr>
        <w:t>to</w:t>
      </w:r>
      <w:r>
        <w:rPr>
          <w:i/>
          <w:spacing w:val="-3"/>
          <w:sz w:val="18"/>
        </w:rPr>
        <w:t> </w:t>
      </w:r>
      <w:r>
        <w:rPr>
          <w:i/>
          <w:sz w:val="18"/>
        </w:rPr>
        <w:t>the</w:t>
      </w:r>
      <w:r>
        <w:rPr>
          <w:i/>
          <w:spacing w:val="-5"/>
          <w:sz w:val="18"/>
        </w:rPr>
        <w:t> </w:t>
      </w:r>
      <w:r>
        <w:rPr>
          <w:i/>
          <w:sz w:val="18"/>
        </w:rPr>
        <w:t>Review</w:t>
      </w:r>
      <w:r>
        <w:rPr>
          <w:i/>
          <w:spacing w:val="-3"/>
          <w:sz w:val="18"/>
        </w:rPr>
        <w:t> </w:t>
      </w:r>
      <w:r>
        <w:rPr>
          <w:i/>
          <w:sz w:val="18"/>
        </w:rPr>
        <w:t>of</w:t>
      </w:r>
      <w:r>
        <w:rPr>
          <w:i/>
          <w:spacing w:val="-3"/>
          <w:sz w:val="18"/>
        </w:rPr>
        <w:t> </w:t>
      </w:r>
      <w:r>
        <w:rPr>
          <w:i/>
          <w:sz w:val="18"/>
        </w:rPr>
        <w:t>Victoria’s</w:t>
      </w:r>
      <w:r>
        <w:rPr>
          <w:i/>
          <w:spacing w:val="-2"/>
          <w:sz w:val="18"/>
        </w:rPr>
        <w:t> </w:t>
      </w:r>
      <w:r>
        <w:rPr>
          <w:i/>
          <w:sz w:val="18"/>
        </w:rPr>
        <w:t>Electricity Network Safety Framework</w:t>
      </w:r>
      <w:r>
        <w:rPr>
          <w:sz w:val="18"/>
        </w:rPr>
        <w:t>.</w:t>
      </w:r>
    </w:p>
    <w:p>
      <w:pPr>
        <w:spacing w:line="381" w:lineRule="auto" w:before="84"/>
        <w:ind w:left="232" w:right="374" w:firstLine="0"/>
        <w:jc w:val="left"/>
        <w:rPr>
          <w:sz w:val="18"/>
        </w:rPr>
      </w:pPr>
      <w:r>
        <w:rPr>
          <w:sz w:val="18"/>
        </w:rPr>
        <w:t>United</w:t>
      </w:r>
      <w:r>
        <w:rPr>
          <w:spacing w:val="-3"/>
          <w:sz w:val="18"/>
        </w:rPr>
        <w:t> </w:t>
      </w:r>
      <w:r>
        <w:rPr>
          <w:sz w:val="18"/>
        </w:rPr>
        <w:t>Energy,</w:t>
      </w:r>
      <w:r>
        <w:rPr>
          <w:spacing w:val="-3"/>
          <w:sz w:val="18"/>
        </w:rPr>
        <w:t> </w:t>
      </w:r>
      <w:r>
        <w:rPr>
          <w:sz w:val="18"/>
        </w:rPr>
        <w:t>2017. </w:t>
      </w:r>
      <w:r>
        <w:rPr>
          <w:i/>
          <w:sz w:val="18"/>
        </w:rPr>
        <w:t>United</w:t>
      </w:r>
      <w:r>
        <w:rPr>
          <w:i/>
          <w:spacing w:val="-3"/>
          <w:sz w:val="18"/>
        </w:rPr>
        <w:t> </w:t>
      </w:r>
      <w:r>
        <w:rPr>
          <w:i/>
          <w:sz w:val="18"/>
        </w:rPr>
        <w:t>Energy</w:t>
      </w:r>
      <w:r>
        <w:rPr>
          <w:i/>
          <w:spacing w:val="-5"/>
          <w:sz w:val="18"/>
        </w:rPr>
        <w:t> </w:t>
      </w:r>
      <w:r>
        <w:rPr>
          <w:i/>
          <w:sz w:val="18"/>
        </w:rPr>
        <w:t>Submission</w:t>
      </w:r>
      <w:r>
        <w:rPr>
          <w:i/>
          <w:spacing w:val="-3"/>
          <w:sz w:val="18"/>
        </w:rPr>
        <w:t> </w:t>
      </w:r>
      <w:r>
        <w:rPr>
          <w:i/>
          <w:sz w:val="18"/>
        </w:rPr>
        <w:t>to</w:t>
      </w:r>
      <w:r>
        <w:rPr>
          <w:i/>
          <w:spacing w:val="-5"/>
          <w:sz w:val="18"/>
        </w:rPr>
        <w:t> </w:t>
      </w:r>
      <w:r>
        <w:rPr>
          <w:i/>
          <w:sz w:val="18"/>
        </w:rPr>
        <w:t>the</w:t>
      </w:r>
      <w:r>
        <w:rPr>
          <w:i/>
          <w:spacing w:val="-3"/>
          <w:sz w:val="18"/>
        </w:rPr>
        <w:t> </w:t>
      </w:r>
      <w:r>
        <w:rPr>
          <w:i/>
          <w:sz w:val="18"/>
        </w:rPr>
        <w:t>Review</w:t>
      </w:r>
      <w:r>
        <w:rPr>
          <w:i/>
          <w:spacing w:val="-3"/>
          <w:sz w:val="18"/>
        </w:rPr>
        <w:t> </w:t>
      </w:r>
      <w:r>
        <w:rPr>
          <w:i/>
          <w:sz w:val="18"/>
        </w:rPr>
        <w:t>of</w:t>
      </w:r>
      <w:r>
        <w:rPr>
          <w:i/>
          <w:spacing w:val="-3"/>
          <w:sz w:val="18"/>
        </w:rPr>
        <w:t> </w:t>
      </w:r>
      <w:r>
        <w:rPr>
          <w:i/>
          <w:sz w:val="18"/>
        </w:rPr>
        <w:t>Victoria’s</w:t>
      </w:r>
      <w:r>
        <w:rPr>
          <w:i/>
          <w:spacing w:val="-2"/>
          <w:sz w:val="18"/>
        </w:rPr>
        <w:t> </w:t>
      </w:r>
      <w:r>
        <w:rPr>
          <w:i/>
          <w:sz w:val="18"/>
        </w:rPr>
        <w:t>Electricity</w:t>
      </w:r>
      <w:r>
        <w:rPr>
          <w:i/>
          <w:spacing w:val="-2"/>
          <w:sz w:val="18"/>
        </w:rPr>
        <w:t> </w:t>
      </w:r>
      <w:r>
        <w:rPr>
          <w:i/>
          <w:sz w:val="18"/>
        </w:rPr>
        <w:t>Network</w:t>
      </w:r>
      <w:r>
        <w:rPr>
          <w:i/>
          <w:spacing w:val="-2"/>
          <w:sz w:val="18"/>
        </w:rPr>
        <w:t> </w:t>
      </w:r>
      <w:r>
        <w:rPr>
          <w:i/>
          <w:sz w:val="18"/>
        </w:rPr>
        <w:t>Safety</w:t>
      </w:r>
      <w:r>
        <w:rPr>
          <w:i/>
          <w:spacing w:val="-4"/>
          <w:sz w:val="18"/>
        </w:rPr>
        <w:t> </w:t>
      </w:r>
      <w:r>
        <w:rPr>
          <w:i/>
          <w:sz w:val="18"/>
        </w:rPr>
        <w:t>Framework</w:t>
      </w:r>
      <w:r>
        <w:rPr>
          <w:sz w:val="18"/>
        </w:rPr>
        <w:t>. WorkSafe Victoria, 2011. </w:t>
      </w:r>
      <w:r>
        <w:rPr>
          <w:i/>
          <w:sz w:val="18"/>
        </w:rPr>
        <w:t>Guidance Note: Revision of a Safety Case for a major hazard facility</w:t>
      </w:r>
      <w:r>
        <w:rPr>
          <w:sz w:val="18"/>
        </w:rPr>
        <w:t>.</w:t>
      </w:r>
    </w:p>
    <w:p>
      <w:pPr>
        <w:spacing w:after="0" w:line="381" w:lineRule="auto"/>
        <w:jc w:val="left"/>
        <w:rPr>
          <w:sz w:val="18"/>
        </w:rPr>
        <w:sectPr>
          <w:pgSz w:w="11910" w:h="16850"/>
          <w:pgMar w:header="220" w:footer="678" w:top="420" w:bottom="860" w:left="900" w:right="840"/>
        </w:sectPr>
      </w:pPr>
    </w:p>
    <w:p>
      <w:pPr>
        <w:pStyle w:val="BodyText"/>
        <w:spacing w:line="136" w:lineRule="exact"/>
        <w:ind w:left="204"/>
        <w:rPr>
          <w:sz w:val="13"/>
        </w:rPr>
      </w:pPr>
      <w:r>
        <w:rPr/>
        <w:drawing>
          <wp:anchor distT="0" distB="0" distL="0" distR="0" allowOverlap="1" layoutInCell="1" locked="0" behindDoc="0" simplePos="0" relativeHeight="15813632">
            <wp:simplePos x="0" y="0"/>
            <wp:positionH relativeFrom="page">
              <wp:posOffset>0</wp:posOffset>
            </wp:positionH>
            <wp:positionV relativeFrom="page">
              <wp:posOffset>0</wp:posOffset>
            </wp:positionV>
            <wp:extent cx="7557767" cy="10691493"/>
            <wp:effectExtent l="0" t="0" r="0" b="0"/>
            <wp:wrapNone/>
            <wp:docPr id="228" name="Image 228"/>
            <wp:cNvGraphicFramePr>
              <a:graphicFrameLocks/>
            </wp:cNvGraphicFramePr>
            <a:graphic>
              <a:graphicData uri="http://schemas.openxmlformats.org/drawingml/2006/picture">
                <pic:pic>
                  <pic:nvPicPr>
                    <pic:cNvPr id="228" name="Image 228"/>
                    <pic:cNvPicPr/>
                  </pic:nvPicPr>
                  <pic:blipFill>
                    <a:blip r:embed="rId110" cstate="print"/>
                    <a:stretch>
                      <a:fillRect/>
                    </a:stretch>
                  </pic:blipFill>
                  <pic:spPr>
                    <a:xfrm>
                      <a:off x="0" y="0"/>
                      <a:ext cx="7557767" cy="10691493"/>
                    </a:xfrm>
                    <a:prstGeom prst="rect">
                      <a:avLst/>
                    </a:prstGeom>
                  </pic:spPr>
                </pic:pic>
              </a:graphicData>
            </a:graphic>
          </wp:anchor>
        </w:drawing>
      </w:r>
      <w:r>
        <w:rPr>
          <w:position w:val="-2"/>
          <w:sz w:val="13"/>
        </w:rPr>
        <mc:AlternateContent>
          <mc:Choice Requires="wps">
            <w:drawing>
              <wp:inline distT="0" distB="0" distL="0" distR="0">
                <wp:extent cx="6158230" cy="86995"/>
                <wp:effectExtent l="0" t="0" r="0" b="0"/>
                <wp:docPr id="229" name="Group 229"/>
                <wp:cNvGraphicFramePr>
                  <a:graphicFrameLocks/>
                </wp:cNvGraphicFramePr>
                <a:graphic>
                  <a:graphicData uri="http://schemas.microsoft.com/office/word/2010/wordprocessingGroup">
                    <wpg:wgp>
                      <wpg:cNvPr id="229" name="Group 229"/>
                      <wpg:cNvGrpSpPr/>
                      <wpg:grpSpPr>
                        <a:xfrm>
                          <a:off x="0" y="0"/>
                          <a:ext cx="6158230" cy="86995"/>
                          <a:chExt cx="6158230" cy="86995"/>
                        </a:xfrm>
                      </wpg:grpSpPr>
                      <wps:wsp>
                        <wps:cNvPr id="230" name="Graphic 230"/>
                        <wps:cNvSpPr/>
                        <wps:spPr>
                          <a:xfrm>
                            <a:off x="0" y="0"/>
                            <a:ext cx="6158230" cy="86995"/>
                          </a:xfrm>
                          <a:custGeom>
                            <a:avLst/>
                            <a:gdLst/>
                            <a:ahLst/>
                            <a:cxnLst/>
                            <a:rect l="l" t="t" r="r" b="b"/>
                            <a:pathLst>
                              <a:path w="6158230" h="86995">
                                <a:moveTo>
                                  <a:pt x="6158230" y="0"/>
                                </a:moveTo>
                                <a:lnTo>
                                  <a:pt x="0" y="0"/>
                                </a:lnTo>
                                <a:lnTo>
                                  <a:pt x="0" y="86868"/>
                                </a:lnTo>
                                <a:lnTo>
                                  <a:pt x="6158230" y="86868"/>
                                </a:lnTo>
                                <a:lnTo>
                                  <a:pt x="6158230" y="0"/>
                                </a:lnTo>
                                <a:close/>
                              </a:path>
                            </a:pathLst>
                          </a:custGeom>
                          <a:solidFill>
                            <a:srgbClr val="00B3A8"/>
                          </a:solidFill>
                        </wps:spPr>
                        <wps:bodyPr wrap="square" lIns="0" tIns="0" rIns="0" bIns="0" rtlCol="0">
                          <a:prstTxWarp prst="textNoShape">
                            <a:avLst/>
                          </a:prstTxWarp>
                          <a:noAutofit/>
                        </wps:bodyPr>
                      </wps:wsp>
                    </wpg:wgp>
                  </a:graphicData>
                </a:graphic>
              </wp:inline>
            </w:drawing>
          </mc:Choice>
          <mc:Fallback>
            <w:pict>
              <v:group style="width:484.9pt;height:6.85pt;mso-position-horizontal-relative:char;mso-position-vertical-relative:line" id="docshapegroup197" coordorigin="0,0" coordsize="9698,137">
                <v:rect style="position:absolute;left:0;top:0;width:9698;height:137" id="docshape198" filled="true" fillcolor="#00b3a8" stroked="false">
                  <v:fill type="solid"/>
                </v:rect>
              </v:group>
            </w:pict>
          </mc:Fallback>
        </mc:AlternateContent>
      </w:r>
      <w:r>
        <w:rPr>
          <w:position w:val="-2"/>
          <w:sz w:val="13"/>
        </w:rPr>
      </w:r>
    </w:p>
    <w:p>
      <w:pPr>
        <w:pStyle w:val="BodyText"/>
        <w:rPr>
          <w:sz w:val="20"/>
        </w:rPr>
      </w:pPr>
    </w:p>
    <w:p>
      <w:pPr>
        <w:pStyle w:val="BodyText"/>
        <w:spacing w:before="3"/>
        <w:rPr>
          <w:sz w:val="20"/>
        </w:rPr>
      </w:pPr>
    </w:p>
    <w:p>
      <w:pPr>
        <w:pStyle w:val="Heading1"/>
      </w:pPr>
      <w:bookmarkStart w:name="_bookmark16" w:id="17"/>
      <w:bookmarkEnd w:id="17"/>
      <w:r>
        <w:rPr>
          <w:b w:val="0"/>
        </w:rPr>
      </w:r>
      <w:r>
        <w:rPr>
          <w:color w:val="00B1A9"/>
        </w:rPr>
        <w:t>PART</w:t>
      </w:r>
      <w:r>
        <w:rPr>
          <w:color w:val="00B1A9"/>
          <w:spacing w:val="-27"/>
        </w:rPr>
        <w:t> </w:t>
      </w:r>
      <w:r>
        <w:rPr>
          <w:color w:val="00B1A9"/>
        </w:rPr>
        <w:t>E:</w:t>
      </w:r>
      <w:r>
        <w:rPr>
          <w:color w:val="00B1A9"/>
          <w:spacing w:val="-36"/>
        </w:rPr>
        <w:t> </w:t>
      </w:r>
      <w:r>
        <w:rPr>
          <w:color w:val="00B1A9"/>
          <w:spacing w:val="-2"/>
        </w:rPr>
        <w:t>APPENDICES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3"/>
        </w:rPr>
      </w:pPr>
    </w:p>
    <w:p>
      <w:pPr>
        <w:spacing w:before="95"/>
        <w:ind w:left="4909" w:right="4969" w:firstLine="0"/>
        <w:jc w:val="center"/>
        <w:rPr>
          <w:sz w:val="16"/>
        </w:rPr>
      </w:pPr>
      <w:r>
        <w:rPr>
          <w:spacing w:val="-5"/>
          <w:sz w:val="16"/>
        </w:rPr>
        <w:t>251</w:t>
      </w:r>
    </w:p>
    <w:p>
      <w:pPr>
        <w:pStyle w:val="BodyText"/>
        <w:spacing w:before="1"/>
      </w:pPr>
      <w:r>
        <w:rPr/>
        <mc:AlternateContent>
          <mc:Choice Requires="wps">
            <w:drawing>
              <wp:anchor distT="0" distB="0" distL="0" distR="0" allowOverlap="1" layoutInCell="1" locked="0" behindDoc="1" simplePos="0" relativeHeight="487672320">
                <wp:simplePos x="0" y="0"/>
                <wp:positionH relativeFrom="page">
                  <wp:posOffset>701040</wp:posOffset>
                </wp:positionH>
                <wp:positionV relativeFrom="paragraph">
                  <wp:posOffset>176516</wp:posOffset>
                </wp:positionV>
                <wp:extent cx="6158230" cy="86995"/>
                <wp:effectExtent l="0" t="0" r="0" b="0"/>
                <wp:wrapTopAndBottom/>
                <wp:docPr id="231" name="Graphic 231"/>
                <wp:cNvGraphicFramePr>
                  <a:graphicFrameLocks/>
                </wp:cNvGraphicFramePr>
                <a:graphic>
                  <a:graphicData uri="http://schemas.microsoft.com/office/word/2010/wordprocessingShape">
                    <wps:wsp>
                      <wps:cNvPr id="231" name="Graphic 231"/>
                      <wps:cNvSpPr/>
                      <wps:spPr>
                        <a:xfrm>
                          <a:off x="0" y="0"/>
                          <a:ext cx="6158230" cy="86995"/>
                        </a:xfrm>
                        <a:custGeom>
                          <a:avLst/>
                          <a:gdLst/>
                          <a:ahLst/>
                          <a:cxnLst/>
                          <a:rect l="l" t="t" r="r" b="b"/>
                          <a:pathLst>
                            <a:path w="6158230" h="86995">
                              <a:moveTo>
                                <a:pt x="6158230" y="0"/>
                              </a:moveTo>
                              <a:lnTo>
                                <a:pt x="0" y="0"/>
                              </a:lnTo>
                              <a:lnTo>
                                <a:pt x="0" y="86868"/>
                              </a:lnTo>
                              <a:lnTo>
                                <a:pt x="6158230" y="86868"/>
                              </a:lnTo>
                              <a:lnTo>
                                <a:pt x="6158230" y="0"/>
                              </a:lnTo>
                              <a:close/>
                            </a:path>
                          </a:pathLst>
                        </a:custGeom>
                        <a:solidFill>
                          <a:srgbClr val="00B3A8"/>
                        </a:solidFill>
                      </wps:spPr>
                      <wps:bodyPr wrap="square" lIns="0" tIns="0" rIns="0" bIns="0" rtlCol="0">
                        <a:prstTxWarp prst="textNoShape">
                          <a:avLst/>
                        </a:prstTxWarp>
                        <a:noAutofit/>
                      </wps:bodyPr>
                    </wps:wsp>
                  </a:graphicData>
                </a:graphic>
              </wp:anchor>
            </w:drawing>
          </mc:Choice>
          <mc:Fallback>
            <w:pict>
              <v:rect style="position:absolute;margin-left:55.200001pt;margin-top:13.898926pt;width:484.9pt;height:6.84pt;mso-position-horizontal-relative:page;mso-position-vertical-relative:paragraph;z-index:-15644160;mso-wrap-distance-left:0;mso-wrap-distance-right:0" id="docshape199" filled="true" fillcolor="#00b3a8" stroked="false">
                <v:fill type="solid"/>
                <w10:wrap type="topAndBottom"/>
              </v:rect>
            </w:pict>
          </mc:Fallback>
        </mc:AlternateContent>
      </w:r>
    </w:p>
    <w:p>
      <w:pPr>
        <w:spacing w:after="0"/>
        <w:sectPr>
          <w:headerReference w:type="default" r:id="rId108"/>
          <w:footerReference w:type="default" r:id="rId109"/>
          <w:pgSz w:w="11910" w:h="16850"/>
          <w:pgMar w:header="0" w:footer="0" w:top="280" w:bottom="0" w:left="900" w:right="840"/>
        </w:sectPr>
      </w:pPr>
    </w:p>
    <w:p>
      <w:pPr>
        <w:pStyle w:val="BodyText"/>
        <w:spacing w:before="7"/>
        <w:rPr>
          <w:sz w:val="20"/>
        </w:rPr>
      </w:pPr>
    </w:p>
    <w:p>
      <w:pPr>
        <w:pStyle w:val="BodyText"/>
        <w:spacing w:line="288" w:lineRule="auto" w:before="93"/>
        <w:ind w:left="232" w:right="320"/>
      </w:pPr>
      <w:r>
        <w:rPr/>
        <w:t>The</w:t>
      </w:r>
      <w:r>
        <w:rPr>
          <w:spacing w:val="-4"/>
        </w:rPr>
        <w:t> </w:t>
      </w:r>
      <w:r>
        <w:rPr/>
        <w:t>Review</w:t>
      </w:r>
      <w:r>
        <w:rPr>
          <w:spacing w:val="-5"/>
        </w:rPr>
        <w:t> </w:t>
      </w:r>
      <w:r>
        <w:rPr/>
        <w:t>is</w:t>
      </w:r>
      <w:r>
        <w:rPr>
          <w:spacing w:val="-1"/>
        </w:rPr>
        <w:t> </w:t>
      </w:r>
      <w:r>
        <w:rPr/>
        <w:t>intended</w:t>
      </w:r>
      <w:r>
        <w:rPr>
          <w:spacing w:val="-2"/>
        </w:rPr>
        <w:t> </w:t>
      </w:r>
      <w:r>
        <w:rPr/>
        <w:t>to</w:t>
      </w:r>
      <w:r>
        <w:rPr>
          <w:spacing w:val="-2"/>
        </w:rPr>
        <w:t> </w:t>
      </w:r>
      <w:r>
        <w:rPr/>
        <w:t>examine</w:t>
      </w:r>
      <w:r>
        <w:rPr>
          <w:spacing w:val="-2"/>
        </w:rPr>
        <w:t> </w:t>
      </w:r>
      <w:r>
        <w:rPr/>
        <w:t>the</w:t>
      </w:r>
      <w:r>
        <w:rPr>
          <w:spacing w:val="-4"/>
        </w:rPr>
        <w:t> </w:t>
      </w:r>
      <w:r>
        <w:rPr/>
        <w:t>safety</w:t>
      </w:r>
      <w:r>
        <w:rPr>
          <w:spacing w:val="-6"/>
        </w:rPr>
        <w:t> </w:t>
      </w:r>
      <w:r>
        <w:rPr/>
        <w:t>framework</w:t>
      </w:r>
      <w:r>
        <w:rPr>
          <w:spacing w:val="-1"/>
        </w:rPr>
        <w:t> </w:t>
      </w:r>
      <w:r>
        <w:rPr/>
        <w:t>applicable</w:t>
      </w:r>
      <w:r>
        <w:rPr>
          <w:spacing w:val="-2"/>
        </w:rPr>
        <w:t> </w:t>
      </w:r>
      <w:r>
        <w:rPr/>
        <w:t>to</w:t>
      </w:r>
      <w:r>
        <w:rPr>
          <w:spacing w:val="-2"/>
        </w:rPr>
        <w:t> </w:t>
      </w:r>
      <w:r>
        <w:rPr/>
        <w:t>electricity</w:t>
      </w:r>
      <w:r>
        <w:rPr>
          <w:spacing w:val="-4"/>
        </w:rPr>
        <w:t> </w:t>
      </w:r>
      <w:r>
        <w:rPr/>
        <w:t>and</w:t>
      </w:r>
      <w:r>
        <w:rPr>
          <w:spacing w:val="-4"/>
        </w:rPr>
        <w:t> </w:t>
      </w:r>
      <w:r>
        <w:rPr/>
        <w:t>gas</w:t>
      </w:r>
      <w:r>
        <w:rPr>
          <w:spacing w:val="-1"/>
        </w:rPr>
        <w:t> </w:t>
      </w:r>
      <w:r>
        <w:rPr/>
        <w:t>networks in Victoria.</w:t>
      </w:r>
    </w:p>
    <w:p>
      <w:pPr>
        <w:pStyle w:val="BodyText"/>
        <w:spacing w:before="10"/>
        <w:rPr>
          <w:sz w:val="20"/>
        </w:rPr>
      </w:pPr>
    </w:p>
    <w:p>
      <w:pPr>
        <w:pStyle w:val="BodyText"/>
        <w:ind w:left="232"/>
      </w:pPr>
      <w:r>
        <w:rPr/>
        <w:t>The</w:t>
      </w:r>
      <w:r>
        <w:rPr>
          <w:spacing w:val="-6"/>
        </w:rPr>
        <w:t> </w:t>
      </w:r>
      <w:r>
        <w:rPr/>
        <w:t>Review</w:t>
      </w:r>
      <w:r>
        <w:rPr>
          <w:spacing w:val="-4"/>
        </w:rPr>
        <w:t> </w:t>
      </w:r>
      <w:r>
        <w:rPr/>
        <w:t>will</w:t>
      </w:r>
      <w:r>
        <w:rPr>
          <w:spacing w:val="-3"/>
        </w:rPr>
        <w:t> </w:t>
      </w:r>
      <w:r>
        <w:rPr>
          <w:spacing w:val="-2"/>
        </w:rPr>
        <w:t>consider:</w:t>
      </w:r>
    </w:p>
    <w:p>
      <w:pPr>
        <w:pStyle w:val="BodyText"/>
        <w:spacing w:before="8"/>
        <w:rPr>
          <w:sz w:val="26"/>
        </w:rPr>
      </w:pPr>
    </w:p>
    <w:p>
      <w:pPr>
        <w:pStyle w:val="ListParagraph"/>
        <w:numPr>
          <w:ilvl w:val="0"/>
          <w:numId w:val="91"/>
        </w:numPr>
        <w:tabs>
          <w:tab w:pos="590" w:val="left" w:leader="none"/>
        </w:tabs>
        <w:spacing w:line="288" w:lineRule="auto" w:before="0" w:after="0"/>
        <w:ind w:left="590" w:right="707" w:hanging="359"/>
        <w:jc w:val="left"/>
        <w:rPr>
          <w:sz w:val="22"/>
        </w:rPr>
      </w:pPr>
      <w:r>
        <w:rPr>
          <w:sz w:val="22"/>
        </w:rPr>
        <w:t>The</w:t>
      </w:r>
      <w:r>
        <w:rPr>
          <w:spacing w:val="-5"/>
          <w:sz w:val="22"/>
        </w:rPr>
        <w:t> </w:t>
      </w:r>
      <w:r>
        <w:rPr>
          <w:sz w:val="22"/>
        </w:rPr>
        <w:t>objectives</w:t>
      </w:r>
      <w:r>
        <w:rPr>
          <w:spacing w:val="-3"/>
          <w:sz w:val="22"/>
        </w:rPr>
        <w:t> </w:t>
      </w:r>
      <w:r>
        <w:rPr>
          <w:sz w:val="22"/>
        </w:rPr>
        <w:t>of</w:t>
      </w:r>
      <w:r>
        <w:rPr>
          <w:spacing w:val="-1"/>
          <w:sz w:val="22"/>
        </w:rPr>
        <w:t> </w:t>
      </w:r>
      <w:r>
        <w:rPr>
          <w:sz w:val="22"/>
        </w:rPr>
        <w:t>the</w:t>
      </w:r>
      <w:r>
        <w:rPr>
          <w:spacing w:val="-5"/>
          <w:sz w:val="22"/>
        </w:rPr>
        <w:t> </w:t>
      </w:r>
      <w:r>
        <w:rPr>
          <w:sz w:val="22"/>
        </w:rPr>
        <w:t>safety</w:t>
      </w:r>
      <w:r>
        <w:rPr>
          <w:spacing w:val="-6"/>
          <w:sz w:val="22"/>
        </w:rPr>
        <w:t> </w:t>
      </w:r>
      <w:r>
        <w:rPr>
          <w:sz w:val="22"/>
        </w:rPr>
        <w:t>framework</w:t>
      </w:r>
      <w:r>
        <w:rPr>
          <w:spacing w:val="-2"/>
          <w:sz w:val="22"/>
        </w:rPr>
        <w:t> </w:t>
      </w:r>
      <w:r>
        <w:rPr>
          <w:sz w:val="22"/>
        </w:rPr>
        <w:t>in</w:t>
      </w:r>
      <w:r>
        <w:rPr>
          <w:spacing w:val="-3"/>
          <w:sz w:val="22"/>
        </w:rPr>
        <w:t> </w:t>
      </w:r>
      <w:r>
        <w:rPr>
          <w:sz w:val="22"/>
        </w:rPr>
        <w:t>Victoria</w:t>
      </w:r>
      <w:r>
        <w:rPr>
          <w:spacing w:val="-3"/>
          <w:sz w:val="22"/>
        </w:rPr>
        <w:t> </w:t>
      </w:r>
      <w:r>
        <w:rPr>
          <w:sz w:val="22"/>
        </w:rPr>
        <w:t>and</w:t>
      </w:r>
      <w:r>
        <w:rPr>
          <w:spacing w:val="-3"/>
          <w:sz w:val="22"/>
        </w:rPr>
        <w:t> </w:t>
      </w:r>
      <w:r>
        <w:rPr>
          <w:sz w:val="22"/>
        </w:rPr>
        <w:t>an</w:t>
      </w:r>
      <w:r>
        <w:rPr>
          <w:spacing w:val="-5"/>
          <w:sz w:val="22"/>
        </w:rPr>
        <w:t> </w:t>
      </w:r>
      <w:r>
        <w:rPr>
          <w:sz w:val="22"/>
        </w:rPr>
        <w:t>assessment</w:t>
      </w:r>
      <w:r>
        <w:rPr>
          <w:spacing w:val="-1"/>
          <w:sz w:val="22"/>
        </w:rPr>
        <w:t> </w:t>
      </w:r>
      <w:r>
        <w:rPr>
          <w:sz w:val="22"/>
        </w:rPr>
        <w:t>of</w:t>
      </w:r>
      <w:r>
        <w:rPr>
          <w:spacing w:val="-1"/>
          <w:sz w:val="22"/>
        </w:rPr>
        <w:t> </w:t>
      </w:r>
      <w:r>
        <w:rPr>
          <w:sz w:val="22"/>
        </w:rPr>
        <w:t>its</w:t>
      </w:r>
      <w:r>
        <w:rPr>
          <w:spacing w:val="-2"/>
          <w:sz w:val="22"/>
        </w:rPr>
        <w:t> </w:t>
      </w:r>
      <w:r>
        <w:rPr>
          <w:sz w:val="22"/>
        </w:rPr>
        <w:t>effectiveness</w:t>
      </w:r>
      <w:r>
        <w:rPr>
          <w:spacing w:val="-3"/>
          <w:sz w:val="22"/>
        </w:rPr>
        <w:t> </w:t>
      </w:r>
      <w:r>
        <w:rPr>
          <w:sz w:val="22"/>
        </w:rPr>
        <w:t>in achieving electricity and gas network safety outcomes.</w:t>
      </w:r>
    </w:p>
    <w:p>
      <w:pPr>
        <w:pStyle w:val="BodyText"/>
        <w:spacing w:before="1"/>
      </w:pPr>
    </w:p>
    <w:p>
      <w:pPr>
        <w:pStyle w:val="ListParagraph"/>
        <w:numPr>
          <w:ilvl w:val="0"/>
          <w:numId w:val="91"/>
        </w:numPr>
        <w:tabs>
          <w:tab w:pos="590" w:val="left" w:leader="none"/>
        </w:tabs>
        <w:spacing w:line="288" w:lineRule="auto" w:before="0" w:after="0"/>
        <w:ind w:left="590" w:right="392" w:hanging="359"/>
        <w:jc w:val="left"/>
        <w:rPr>
          <w:sz w:val="22"/>
        </w:rPr>
      </w:pPr>
      <w:r>
        <w:rPr>
          <w:sz w:val="22"/>
        </w:rPr>
        <w:t>The design and adequacy of the safety regulatory obligations (including safety cases and the Electricity</w:t>
      </w:r>
      <w:r>
        <w:rPr>
          <w:spacing w:val="-6"/>
          <w:sz w:val="22"/>
        </w:rPr>
        <w:t> </w:t>
      </w:r>
      <w:r>
        <w:rPr>
          <w:sz w:val="22"/>
        </w:rPr>
        <w:t>Safety</w:t>
      </w:r>
      <w:r>
        <w:rPr>
          <w:spacing w:val="-5"/>
          <w:sz w:val="22"/>
        </w:rPr>
        <w:t> </w:t>
      </w:r>
      <w:r>
        <w:rPr>
          <w:sz w:val="22"/>
        </w:rPr>
        <w:t>Management</w:t>
      </w:r>
      <w:r>
        <w:rPr>
          <w:spacing w:val="-5"/>
          <w:sz w:val="22"/>
        </w:rPr>
        <w:t> </w:t>
      </w:r>
      <w:r>
        <w:rPr>
          <w:sz w:val="22"/>
        </w:rPr>
        <w:t>Scheme),</w:t>
      </w:r>
      <w:r>
        <w:rPr>
          <w:spacing w:val="-5"/>
          <w:sz w:val="22"/>
        </w:rPr>
        <w:t> </w:t>
      </w:r>
      <w:r>
        <w:rPr>
          <w:sz w:val="22"/>
        </w:rPr>
        <w:t>incentives</w:t>
      </w:r>
      <w:r>
        <w:rPr>
          <w:spacing w:val="-4"/>
          <w:sz w:val="22"/>
        </w:rPr>
        <w:t> </w:t>
      </w:r>
      <w:r>
        <w:rPr>
          <w:sz w:val="22"/>
        </w:rPr>
        <w:t>and</w:t>
      </w:r>
      <w:r>
        <w:rPr>
          <w:spacing w:val="-4"/>
          <w:sz w:val="22"/>
        </w:rPr>
        <w:t> </w:t>
      </w:r>
      <w:r>
        <w:rPr>
          <w:sz w:val="22"/>
        </w:rPr>
        <w:t>other</w:t>
      </w:r>
      <w:r>
        <w:rPr>
          <w:spacing w:val="-5"/>
          <w:sz w:val="22"/>
        </w:rPr>
        <w:t> </w:t>
      </w:r>
      <w:r>
        <w:rPr>
          <w:sz w:val="22"/>
        </w:rPr>
        <w:t>arrangements</w:t>
      </w:r>
      <w:r>
        <w:rPr>
          <w:spacing w:val="-5"/>
          <w:sz w:val="22"/>
        </w:rPr>
        <w:t> </w:t>
      </w:r>
      <w:r>
        <w:rPr>
          <w:sz w:val="22"/>
        </w:rPr>
        <w:t>governing</w:t>
      </w:r>
      <w:r>
        <w:rPr>
          <w:spacing w:val="-2"/>
          <w:sz w:val="22"/>
        </w:rPr>
        <w:t> </w:t>
      </w:r>
      <w:r>
        <w:rPr>
          <w:sz w:val="22"/>
        </w:rPr>
        <w:t>energy network businesses and any opportunities for improvement.</w:t>
      </w:r>
    </w:p>
    <w:p>
      <w:pPr>
        <w:pStyle w:val="BodyText"/>
        <w:spacing w:before="3"/>
      </w:pPr>
    </w:p>
    <w:p>
      <w:pPr>
        <w:pStyle w:val="ListParagraph"/>
        <w:numPr>
          <w:ilvl w:val="0"/>
          <w:numId w:val="91"/>
        </w:numPr>
        <w:tabs>
          <w:tab w:pos="590" w:val="left" w:leader="none"/>
        </w:tabs>
        <w:spacing w:line="288" w:lineRule="auto" w:before="1" w:after="0"/>
        <w:ind w:left="590" w:right="539" w:hanging="359"/>
        <w:jc w:val="left"/>
        <w:rPr>
          <w:sz w:val="22"/>
        </w:rPr>
      </w:pPr>
      <w:r>
        <w:rPr>
          <w:sz w:val="22"/>
        </w:rPr>
        <w:t>The</w:t>
      </w:r>
      <w:r>
        <w:rPr>
          <w:spacing w:val="-5"/>
          <w:sz w:val="22"/>
        </w:rPr>
        <w:t> </w:t>
      </w:r>
      <w:r>
        <w:rPr>
          <w:sz w:val="22"/>
        </w:rPr>
        <w:t>extent</w:t>
      </w:r>
      <w:r>
        <w:rPr>
          <w:spacing w:val="-4"/>
          <w:sz w:val="22"/>
        </w:rPr>
        <w:t> </w:t>
      </w:r>
      <w:r>
        <w:rPr>
          <w:sz w:val="22"/>
        </w:rPr>
        <w:t>to</w:t>
      </w:r>
      <w:r>
        <w:rPr>
          <w:spacing w:val="-3"/>
          <w:sz w:val="22"/>
        </w:rPr>
        <w:t> </w:t>
      </w:r>
      <w:r>
        <w:rPr>
          <w:sz w:val="22"/>
        </w:rPr>
        <w:t>which</w:t>
      </w:r>
      <w:r>
        <w:rPr>
          <w:spacing w:val="-3"/>
          <w:sz w:val="22"/>
        </w:rPr>
        <w:t> </w:t>
      </w:r>
      <w:r>
        <w:rPr>
          <w:sz w:val="22"/>
        </w:rPr>
        <w:t>the</w:t>
      </w:r>
      <w:r>
        <w:rPr>
          <w:spacing w:val="-5"/>
          <w:sz w:val="22"/>
        </w:rPr>
        <w:t> </w:t>
      </w:r>
      <w:r>
        <w:rPr>
          <w:sz w:val="22"/>
        </w:rPr>
        <w:t>regulatory</w:t>
      </w:r>
      <w:r>
        <w:rPr>
          <w:spacing w:val="-7"/>
          <w:sz w:val="22"/>
        </w:rPr>
        <w:t> </w:t>
      </w:r>
      <w:r>
        <w:rPr>
          <w:sz w:val="22"/>
        </w:rPr>
        <w:t>framework</w:t>
      </w:r>
      <w:r>
        <w:rPr>
          <w:spacing w:val="-2"/>
          <w:sz w:val="22"/>
        </w:rPr>
        <w:t> </w:t>
      </w:r>
      <w:r>
        <w:rPr>
          <w:sz w:val="22"/>
        </w:rPr>
        <w:t>governing</w:t>
      </w:r>
      <w:r>
        <w:rPr>
          <w:spacing w:val="-3"/>
          <w:sz w:val="22"/>
        </w:rPr>
        <w:t> </w:t>
      </w:r>
      <w:r>
        <w:rPr>
          <w:sz w:val="22"/>
        </w:rPr>
        <w:t>network safety</w:t>
      </w:r>
      <w:r>
        <w:rPr>
          <w:spacing w:val="-4"/>
          <w:sz w:val="22"/>
        </w:rPr>
        <w:t> </w:t>
      </w:r>
      <w:r>
        <w:rPr>
          <w:sz w:val="22"/>
        </w:rPr>
        <w:t>ensures</w:t>
      </w:r>
      <w:r>
        <w:rPr>
          <w:spacing w:val="-2"/>
          <w:sz w:val="22"/>
        </w:rPr>
        <w:t> </w:t>
      </w:r>
      <w:r>
        <w:rPr>
          <w:sz w:val="22"/>
        </w:rPr>
        <w:t>effective</w:t>
      </w:r>
      <w:r>
        <w:rPr>
          <w:spacing w:val="-3"/>
          <w:sz w:val="22"/>
        </w:rPr>
        <w:t> </w:t>
      </w:r>
      <w:r>
        <w:rPr>
          <w:sz w:val="22"/>
        </w:rPr>
        <w:t>risk management by energy network businesses.</w:t>
      </w:r>
    </w:p>
    <w:p>
      <w:pPr>
        <w:pStyle w:val="BodyText"/>
        <w:spacing w:before="1"/>
      </w:pPr>
    </w:p>
    <w:p>
      <w:pPr>
        <w:pStyle w:val="ListParagraph"/>
        <w:numPr>
          <w:ilvl w:val="0"/>
          <w:numId w:val="91"/>
        </w:numPr>
        <w:tabs>
          <w:tab w:pos="590" w:val="left" w:leader="none"/>
        </w:tabs>
        <w:spacing w:line="288" w:lineRule="auto" w:before="0" w:after="0"/>
        <w:ind w:left="590" w:right="962" w:hanging="359"/>
        <w:jc w:val="left"/>
        <w:rPr>
          <w:sz w:val="22"/>
        </w:rPr>
      </w:pPr>
      <w:r>
        <w:rPr>
          <w:sz w:val="22"/>
        </w:rPr>
        <w:t>The</w:t>
      </w:r>
      <w:r>
        <w:rPr>
          <w:spacing w:val="-4"/>
          <w:sz w:val="22"/>
        </w:rPr>
        <w:t> </w:t>
      </w:r>
      <w:r>
        <w:rPr>
          <w:sz w:val="22"/>
        </w:rPr>
        <w:t>effectiveness</w:t>
      </w:r>
      <w:r>
        <w:rPr>
          <w:spacing w:val="-2"/>
          <w:sz w:val="22"/>
        </w:rPr>
        <w:t> </w:t>
      </w:r>
      <w:r>
        <w:rPr>
          <w:sz w:val="22"/>
        </w:rPr>
        <w:t>of</w:t>
      </w:r>
      <w:r>
        <w:rPr>
          <w:spacing w:val="-3"/>
          <w:sz w:val="22"/>
        </w:rPr>
        <w:t> </w:t>
      </w:r>
      <w:r>
        <w:rPr>
          <w:sz w:val="22"/>
        </w:rPr>
        <w:t>the</w:t>
      </w:r>
      <w:r>
        <w:rPr>
          <w:spacing w:val="-4"/>
          <w:sz w:val="22"/>
        </w:rPr>
        <w:t> </w:t>
      </w:r>
      <w:r>
        <w:rPr>
          <w:sz w:val="22"/>
        </w:rPr>
        <w:t>regulator</w:t>
      </w:r>
      <w:r>
        <w:rPr>
          <w:spacing w:val="-3"/>
          <w:sz w:val="22"/>
        </w:rPr>
        <w:t> </w:t>
      </w:r>
      <w:r>
        <w:rPr>
          <w:sz w:val="22"/>
        </w:rPr>
        <w:t>and</w:t>
      </w:r>
      <w:r>
        <w:rPr>
          <w:spacing w:val="-4"/>
          <w:sz w:val="22"/>
        </w:rPr>
        <w:t> </w:t>
      </w:r>
      <w:r>
        <w:rPr>
          <w:sz w:val="22"/>
        </w:rPr>
        <w:t>governance</w:t>
      </w:r>
      <w:r>
        <w:rPr>
          <w:spacing w:val="-2"/>
          <w:sz w:val="22"/>
        </w:rPr>
        <w:t> </w:t>
      </w:r>
      <w:r>
        <w:rPr>
          <w:sz w:val="22"/>
        </w:rPr>
        <w:t>arrangements</w:t>
      </w:r>
      <w:r>
        <w:rPr>
          <w:spacing w:val="-1"/>
          <w:sz w:val="22"/>
        </w:rPr>
        <w:t> </w:t>
      </w:r>
      <w:r>
        <w:rPr>
          <w:sz w:val="22"/>
        </w:rPr>
        <w:t>in</w:t>
      </w:r>
      <w:r>
        <w:rPr>
          <w:spacing w:val="-4"/>
          <w:sz w:val="22"/>
        </w:rPr>
        <w:t> </w:t>
      </w:r>
      <w:r>
        <w:rPr>
          <w:sz w:val="22"/>
        </w:rPr>
        <w:t>place</w:t>
      </w:r>
      <w:r>
        <w:rPr>
          <w:spacing w:val="-4"/>
          <w:sz w:val="22"/>
        </w:rPr>
        <w:t> </w:t>
      </w:r>
      <w:r>
        <w:rPr>
          <w:sz w:val="22"/>
        </w:rPr>
        <w:t>to</w:t>
      </w:r>
      <w:r>
        <w:rPr>
          <w:spacing w:val="-4"/>
          <w:sz w:val="22"/>
        </w:rPr>
        <w:t> </w:t>
      </w:r>
      <w:r>
        <w:rPr>
          <w:sz w:val="22"/>
        </w:rPr>
        <w:t>monitor</w:t>
      </w:r>
      <w:r>
        <w:rPr>
          <w:spacing w:val="-3"/>
          <w:sz w:val="22"/>
        </w:rPr>
        <w:t> </w:t>
      </w:r>
      <w:r>
        <w:rPr>
          <w:sz w:val="22"/>
        </w:rPr>
        <w:t>and enforce compliance with safety obligations by energy network businesses.</w:t>
      </w:r>
    </w:p>
    <w:p>
      <w:pPr>
        <w:pStyle w:val="BodyText"/>
        <w:spacing w:before="1"/>
      </w:pPr>
    </w:p>
    <w:p>
      <w:pPr>
        <w:pStyle w:val="ListParagraph"/>
        <w:numPr>
          <w:ilvl w:val="0"/>
          <w:numId w:val="91"/>
        </w:numPr>
        <w:tabs>
          <w:tab w:pos="590" w:val="left" w:leader="none"/>
        </w:tabs>
        <w:spacing w:line="240" w:lineRule="auto" w:before="0" w:after="0"/>
        <w:ind w:left="590" w:right="0" w:hanging="358"/>
        <w:jc w:val="left"/>
        <w:rPr>
          <w:sz w:val="22"/>
        </w:rPr>
      </w:pPr>
      <w:r>
        <w:rPr>
          <w:sz w:val="22"/>
        </w:rPr>
        <w:t>Any</w:t>
      </w:r>
      <w:r>
        <w:rPr>
          <w:spacing w:val="-6"/>
          <w:sz w:val="22"/>
        </w:rPr>
        <w:t> </w:t>
      </w:r>
      <w:r>
        <w:rPr>
          <w:sz w:val="22"/>
        </w:rPr>
        <w:t>other</w:t>
      </w:r>
      <w:r>
        <w:rPr>
          <w:spacing w:val="-5"/>
          <w:sz w:val="22"/>
        </w:rPr>
        <w:t> </w:t>
      </w:r>
      <w:r>
        <w:rPr>
          <w:sz w:val="22"/>
        </w:rPr>
        <w:t>matters</w:t>
      </w:r>
      <w:r>
        <w:rPr>
          <w:spacing w:val="-5"/>
          <w:sz w:val="22"/>
        </w:rPr>
        <w:t> </w:t>
      </w:r>
      <w:r>
        <w:rPr>
          <w:sz w:val="22"/>
        </w:rPr>
        <w:t>that</w:t>
      </w:r>
      <w:r>
        <w:rPr>
          <w:spacing w:val="-5"/>
          <w:sz w:val="22"/>
        </w:rPr>
        <w:t> </w:t>
      </w:r>
      <w:r>
        <w:rPr>
          <w:sz w:val="22"/>
        </w:rPr>
        <w:t>the</w:t>
      </w:r>
      <w:r>
        <w:rPr>
          <w:spacing w:val="-3"/>
          <w:sz w:val="22"/>
        </w:rPr>
        <w:t> </w:t>
      </w:r>
      <w:r>
        <w:rPr>
          <w:sz w:val="22"/>
        </w:rPr>
        <w:t>Chair</w:t>
      </w:r>
      <w:r>
        <w:rPr>
          <w:spacing w:val="-3"/>
          <w:sz w:val="22"/>
        </w:rPr>
        <w:t> </w:t>
      </w:r>
      <w:r>
        <w:rPr>
          <w:sz w:val="22"/>
        </w:rPr>
        <w:t>considers</w:t>
      </w:r>
      <w:r>
        <w:rPr>
          <w:spacing w:val="-5"/>
          <w:sz w:val="22"/>
        </w:rPr>
        <w:t> </w:t>
      </w:r>
      <w:r>
        <w:rPr>
          <w:spacing w:val="-2"/>
          <w:sz w:val="22"/>
        </w:rPr>
        <w:t>relevant.</w:t>
      </w:r>
    </w:p>
    <w:p>
      <w:pPr>
        <w:pStyle w:val="BodyText"/>
        <w:spacing w:before="2"/>
        <w:rPr>
          <w:sz w:val="25"/>
        </w:rPr>
      </w:pPr>
    </w:p>
    <w:p>
      <w:pPr>
        <w:pStyle w:val="BodyText"/>
        <w:ind w:left="232"/>
      </w:pPr>
      <w:r>
        <w:rPr/>
        <w:t>In</w:t>
      </w:r>
      <w:r>
        <w:rPr>
          <w:spacing w:val="-5"/>
        </w:rPr>
        <w:t> </w:t>
      </w:r>
      <w:r>
        <w:rPr/>
        <w:t>undertaking</w:t>
      </w:r>
      <w:r>
        <w:rPr>
          <w:spacing w:val="-5"/>
        </w:rPr>
        <w:t> </w:t>
      </w:r>
      <w:r>
        <w:rPr/>
        <w:t>the</w:t>
      </w:r>
      <w:r>
        <w:rPr>
          <w:spacing w:val="-6"/>
        </w:rPr>
        <w:t> </w:t>
      </w:r>
      <w:r>
        <w:rPr/>
        <w:t>Review,</w:t>
      </w:r>
      <w:r>
        <w:rPr>
          <w:spacing w:val="-4"/>
        </w:rPr>
        <w:t> </w:t>
      </w:r>
      <w:r>
        <w:rPr/>
        <w:t>the</w:t>
      </w:r>
      <w:r>
        <w:rPr>
          <w:spacing w:val="-5"/>
        </w:rPr>
        <w:t> </w:t>
      </w:r>
      <w:r>
        <w:rPr/>
        <w:t>Chair</w:t>
      </w:r>
      <w:r>
        <w:rPr>
          <w:spacing w:val="-4"/>
        </w:rPr>
        <w:t> </w:t>
      </w:r>
      <w:r>
        <w:rPr/>
        <w:t>will</w:t>
      </w:r>
      <w:r>
        <w:rPr>
          <w:spacing w:val="-5"/>
        </w:rPr>
        <w:t> </w:t>
      </w:r>
      <w:r>
        <w:rPr/>
        <w:t>have</w:t>
      </w:r>
      <w:r>
        <w:rPr>
          <w:spacing w:val="-5"/>
        </w:rPr>
        <w:t> </w:t>
      </w:r>
      <w:r>
        <w:rPr/>
        <w:t>regard</w:t>
      </w:r>
      <w:r>
        <w:rPr>
          <w:spacing w:val="-6"/>
        </w:rPr>
        <w:t> </w:t>
      </w:r>
      <w:r>
        <w:rPr>
          <w:spacing w:val="-5"/>
        </w:rPr>
        <w:t>to:</w:t>
      </w:r>
    </w:p>
    <w:p>
      <w:pPr>
        <w:pStyle w:val="BodyText"/>
        <w:spacing w:before="7"/>
        <w:rPr>
          <w:sz w:val="26"/>
        </w:rPr>
      </w:pPr>
    </w:p>
    <w:p>
      <w:pPr>
        <w:pStyle w:val="ListParagraph"/>
        <w:numPr>
          <w:ilvl w:val="0"/>
          <w:numId w:val="91"/>
        </w:numPr>
        <w:tabs>
          <w:tab w:pos="590" w:val="left" w:leader="none"/>
        </w:tabs>
        <w:spacing w:line="288" w:lineRule="auto" w:before="1" w:after="0"/>
        <w:ind w:left="590" w:right="385" w:hanging="359"/>
        <w:jc w:val="left"/>
        <w:rPr>
          <w:sz w:val="22"/>
        </w:rPr>
      </w:pPr>
      <w:r>
        <w:rPr>
          <w:sz w:val="22"/>
        </w:rPr>
        <w:t>Best</w:t>
      </w:r>
      <w:r>
        <w:rPr>
          <w:spacing w:val="-1"/>
          <w:sz w:val="22"/>
        </w:rPr>
        <w:t> </w:t>
      </w:r>
      <w:r>
        <w:rPr>
          <w:sz w:val="22"/>
        </w:rPr>
        <w:t>practice</w:t>
      </w:r>
      <w:r>
        <w:rPr>
          <w:spacing w:val="-4"/>
          <w:sz w:val="22"/>
        </w:rPr>
        <w:t> </w:t>
      </w:r>
      <w:r>
        <w:rPr>
          <w:sz w:val="22"/>
        </w:rPr>
        <w:t>electricity</w:t>
      </w:r>
      <w:r>
        <w:rPr>
          <w:spacing w:val="-4"/>
          <w:sz w:val="22"/>
        </w:rPr>
        <w:t> </w:t>
      </w:r>
      <w:r>
        <w:rPr>
          <w:sz w:val="22"/>
        </w:rPr>
        <w:t>and</w:t>
      </w:r>
      <w:r>
        <w:rPr>
          <w:spacing w:val="-4"/>
          <w:sz w:val="22"/>
        </w:rPr>
        <w:t> </w:t>
      </w:r>
      <w:r>
        <w:rPr>
          <w:sz w:val="22"/>
        </w:rPr>
        <w:t>gas</w:t>
      </w:r>
      <w:r>
        <w:rPr>
          <w:spacing w:val="-2"/>
          <w:sz w:val="22"/>
        </w:rPr>
        <w:t> </w:t>
      </w:r>
      <w:r>
        <w:rPr>
          <w:sz w:val="22"/>
        </w:rPr>
        <w:t>safety</w:t>
      </w:r>
      <w:r>
        <w:rPr>
          <w:spacing w:val="-4"/>
          <w:sz w:val="22"/>
        </w:rPr>
        <w:t> </w:t>
      </w:r>
      <w:r>
        <w:rPr>
          <w:sz w:val="22"/>
        </w:rPr>
        <w:t>and</w:t>
      </w:r>
      <w:r>
        <w:rPr>
          <w:spacing w:val="-2"/>
          <w:sz w:val="22"/>
        </w:rPr>
        <w:t> </w:t>
      </w:r>
      <w:r>
        <w:rPr>
          <w:sz w:val="22"/>
        </w:rPr>
        <w:t>risk</w:t>
      </w:r>
      <w:r>
        <w:rPr>
          <w:spacing w:val="-1"/>
          <w:sz w:val="22"/>
        </w:rPr>
        <w:t> </w:t>
      </w:r>
      <w:r>
        <w:rPr>
          <w:sz w:val="22"/>
        </w:rPr>
        <w:t>management</w:t>
      </w:r>
      <w:r>
        <w:rPr>
          <w:spacing w:val="-5"/>
          <w:sz w:val="22"/>
        </w:rPr>
        <w:t> </w:t>
      </w:r>
      <w:r>
        <w:rPr>
          <w:sz w:val="22"/>
        </w:rPr>
        <w:t>frameworks</w:t>
      </w:r>
      <w:r>
        <w:rPr>
          <w:spacing w:val="-4"/>
          <w:sz w:val="22"/>
        </w:rPr>
        <w:t> </w:t>
      </w:r>
      <w:r>
        <w:rPr>
          <w:sz w:val="22"/>
        </w:rPr>
        <w:t>in</w:t>
      </w:r>
      <w:r>
        <w:rPr>
          <w:spacing w:val="-2"/>
          <w:sz w:val="22"/>
        </w:rPr>
        <w:t> </w:t>
      </w:r>
      <w:r>
        <w:rPr>
          <w:sz w:val="22"/>
        </w:rPr>
        <w:t>other</w:t>
      </w:r>
      <w:r>
        <w:rPr>
          <w:spacing w:val="-3"/>
          <w:sz w:val="22"/>
        </w:rPr>
        <w:t> </w:t>
      </w:r>
      <w:r>
        <w:rPr>
          <w:sz w:val="22"/>
        </w:rPr>
        <w:t>jurisdictions, including nationally and internationally.</w:t>
      </w:r>
    </w:p>
    <w:p>
      <w:pPr>
        <w:pStyle w:val="BodyText"/>
        <w:spacing w:before="4"/>
      </w:pPr>
    </w:p>
    <w:p>
      <w:pPr>
        <w:pStyle w:val="ListParagraph"/>
        <w:numPr>
          <w:ilvl w:val="0"/>
          <w:numId w:val="91"/>
        </w:numPr>
        <w:tabs>
          <w:tab w:pos="590" w:val="left" w:leader="none"/>
        </w:tabs>
        <w:spacing w:line="288" w:lineRule="auto" w:before="0" w:after="0"/>
        <w:ind w:left="590" w:right="636" w:hanging="359"/>
        <w:jc w:val="left"/>
        <w:rPr>
          <w:sz w:val="22"/>
        </w:rPr>
      </w:pPr>
      <w:r>
        <w:rPr>
          <w:sz w:val="22"/>
        </w:rPr>
        <w:t>The</w:t>
      </w:r>
      <w:r>
        <w:rPr>
          <w:spacing w:val="-4"/>
          <w:sz w:val="22"/>
        </w:rPr>
        <w:t> </w:t>
      </w:r>
      <w:r>
        <w:rPr>
          <w:sz w:val="22"/>
        </w:rPr>
        <w:t>relationship</w:t>
      </w:r>
      <w:r>
        <w:rPr>
          <w:spacing w:val="-2"/>
          <w:sz w:val="22"/>
        </w:rPr>
        <w:t> </w:t>
      </w:r>
      <w:r>
        <w:rPr>
          <w:sz w:val="22"/>
        </w:rPr>
        <w:t>between</w:t>
      </w:r>
      <w:r>
        <w:rPr>
          <w:spacing w:val="-2"/>
          <w:sz w:val="22"/>
        </w:rPr>
        <w:t> </w:t>
      </w:r>
      <w:r>
        <w:rPr>
          <w:sz w:val="22"/>
        </w:rPr>
        <w:t>the</w:t>
      </w:r>
      <w:r>
        <w:rPr>
          <w:spacing w:val="-4"/>
          <w:sz w:val="22"/>
        </w:rPr>
        <w:t> </w:t>
      </w:r>
      <w:r>
        <w:rPr>
          <w:sz w:val="22"/>
        </w:rPr>
        <w:t>safety</w:t>
      </w:r>
      <w:r>
        <w:rPr>
          <w:spacing w:val="-4"/>
          <w:sz w:val="22"/>
        </w:rPr>
        <w:t> </w:t>
      </w:r>
      <w:r>
        <w:rPr>
          <w:sz w:val="22"/>
        </w:rPr>
        <w:t>regime</w:t>
      </w:r>
      <w:r>
        <w:rPr>
          <w:spacing w:val="-4"/>
          <w:sz w:val="22"/>
        </w:rPr>
        <w:t> </w:t>
      </w:r>
      <w:r>
        <w:rPr>
          <w:sz w:val="22"/>
        </w:rPr>
        <w:t>and</w:t>
      </w:r>
      <w:r>
        <w:rPr>
          <w:spacing w:val="-4"/>
          <w:sz w:val="22"/>
        </w:rPr>
        <w:t> </w:t>
      </w:r>
      <w:r>
        <w:rPr>
          <w:sz w:val="22"/>
        </w:rPr>
        <w:t>the</w:t>
      </w:r>
      <w:r>
        <w:rPr>
          <w:spacing w:val="-2"/>
          <w:sz w:val="22"/>
        </w:rPr>
        <w:t> </w:t>
      </w:r>
      <w:r>
        <w:rPr>
          <w:sz w:val="22"/>
        </w:rPr>
        <w:t>economic</w:t>
      </w:r>
      <w:r>
        <w:rPr>
          <w:spacing w:val="-4"/>
          <w:sz w:val="22"/>
        </w:rPr>
        <w:t> </w:t>
      </w:r>
      <w:r>
        <w:rPr>
          <w:sz w:val="22"/>
        </w:rPr>
        <w:t>regulatory</w:t>
      </w:r>
      <w:r>
        <w:rPr>
          <w:spacing w:val="-4"/>
          <w:sz w:val="22"/>
        </w:rPr>
        <w:t> </w:t>
      </w:r>
      <w:r>
        <w:rPr>
          <w:sz w:val="22"/>
        </w:rPr>
        <w:t>regime</w:t>
      </w:r>
      <w:r>
        <w:rPr>
          <w:spacing w:val="-4"/>
          <w:sz w:val="22"/>
        </w:rPr>
        <w:t> </w:t>
      </w:r>
      <w:r>
        <w:rPr>
          <w:sz w:val="22"/>
        </w:rPr>
        <w:t>to</w:t>
      </w:r>
      <w:r>
        <w:rPr>
          <w:spacing w:val="-4"/>
          <w:sz w:val="22"/>
        </w:rPr>
        <w:t> </w:t>
      </w:r>
      <w:r>
        <w:rPr>
          <w:sz w:val="22"/>
        </w:rPr>
        <w:t>ensure</w:t>
      </w:r>
      <w:r>
        <w:rPr>
          <w:spacing w:val="-2"/>
          <w:sz w:val="22"/>
        </w:rPr>
        <w:t> </w:t>
      </w:r>
      <w:r>
        <w:rPr>
          <w:sz w:val="22"/>
        </w:rPr>
        <w:t>a balance between safety objectives and economic impacts including the cost impost on </w:t>
      </w:r>
      <w:r>
        <w:rPr>
          <w:spacing w:val="-2"/>
          <w:sz w:val="22"/>
        </w:rPr>
        <w:t>consumers.</w:t>
      </w:r>
    </w:p>
    <w:p>
      <w:pPr>
        <w:pStyle w:val="BodyText"/>
        <w:rPr>
          <w:sz w:val="31"/>
        </w:rPr>
      </w:pPr>
    </w:p>
    <w:p>
      <w:pPr>
        <w:pStyle w:val="Heading4"/>
        <w:spacing w:before="0"/>
      </w:pPr>
      <w:r>
        <w:rPr>
          <w:color w:val="585858"/>
          <w:spacing w:val="-2"/>
        </w:rPr>
        <w:t>Process</w:t>
      </w:r>
    </w:p>
    <w:p>
      <w:pPr>
        <w:pStyle w:val="BodyText"/>
        <w:spacing w:line="288" w:lineRule="auto" w:before="314"/>
        <w:ind w:left="232"/>
      </w:pPr>
      <w:r>
        <w:rPr/>
        <w:t>The</w:t>
      </w:r>
      <w:r>
        <w:rPr>
          <w:spacing w:val="-4"/>
        </w:rPr>
        <w:t> </w:t>
      </w:r>
      <w:r>
        <w:rPr/>
        <w:t>Review</w:t>
      </w:r>
      <w:r>
        <w:rPr>
          <w:spacing w:val="-2"/>
        </w:rPr>
        <w:t> </w:t>
      </w:r>
      <w:r>
        <w:rPr/>
        <w:t>will</w:t>
      </w:r>
      <w:r>
        <w:rPr>
          <w:spacing w:val="-2"/>
        </w:rPr>
        <w:t> </w:t>
      </w:r>
      <w:r>
        <w:rPr/>
        <w:t>be</w:t>
      </w:r>
      <w:r>
        <w:rPr>
          <w:spacing w:val="-2"/>
        </w:rPr>
        <w:t> </w:t>
      </w:r>
      <w:r>
        <w:rPr/>
        <w:t>conducted</w:t>
      </w:r>
      <w:r>
        <w:rPr>
          <w:spacing w:val="-2"/>
        </w:rPr>
        <w:t> </w:t>
      </w:r>
      <w:r>
        <w:rPr/>
        <w:t>by</w:t>
      </w:r>
      <w:r>
        <w:rPr>
          <w:spacing w:val="-4"/>
        </w:rPr>
        <w:t> </w:t>
      </w:r>
      <w:r>
        <w:rPr/>
        <w:t>an</w:t>
      </w:r>
      <w:r>
        <w:rPr>
          <w:spacing w:val="-4"/>
        </w:rPr>
        <w:t> </w:t>
      </w:r>
      <w:r>
        <w:rPr/>
        <w:t>independent</w:t>
      </w:r>
      <w:r>
        <w:rPr>
          <w:spacing w:val="-3"/>
        </w:rPr>
        <w:t> </w:t>
      </w:r>
      <w:r>
        <w:rPr/>
        <w:t>Chair</w:t>
      </w:r>
      <w:r>
        <w:rPr>
          <w:spacing w:val="-1"/>
        </w:rPr>
        <w:t> </w:t>
      </w:r>
      <w:r>
        <w:rPr/>
        <w:t>supported</w:t>
      </w:r>
      <w:r>
        <w:rPr>
          <w:spacing w:val="-4"/>
        </w:rPr>
        <w:t> </w:t>
      </w:r>
      <w:r>
        <w:rPr/>
        <w:t>by</w:t>
      </w:r>
      <w:r>
        <w:rPr>
          <w:spacing w:val="-4"/>
        </w:rPr>
        <w:t> </w:t>
      </w:r>
      <w:r>
        <w:rPr/>
        <w:t>a</w:t>
      </w:r>
      <w:r>
        <w:rPr>
          <w:spacing w:val="-2"/>
        </w:rPr>
        <w:t> </w:t>
      </w:r>
      <w:r>
        <w:rPr/>
        <w:t>dedicated</w:t>
      </w:r>
      <w:r>
        <w:rPr>
          <w:spacing w:val="-2"/>
        </w:rPr>
        <w:t> </w:t>
      </w:r>
      <w:r>
        <w:rPr/>
        <w:t>secretariat.</w:t>
      </w:r>
      <w:r>
        <w:rPr>
          <w:spacing w:val="-4"/>
        </w:rPr>
        <w:t> </w:t>
      </w:r>
      <w:r>
        <w:rPr/>
        <w:t>The Chair may seek expert advice.</w:t>
      </w:r>
    </w:p>
    <w:p>
      <w:pPr>
        <w:pStyle w:val="BodyText"/>
        <w:spacing w:before="9"/>
        <w:rPr>
          <w:sz w:val="20"/>
        </w:rPr>
      </w:pPr>
    </w:p>
    <w:p>
      <w:pPr>
        <w:pStyle w:val="BodyText"/>
        <w:spacing w:line="288" w:lineRule="auto" w:before="1"/>
        <w:ind w:left="232"/>
      </w:pPr>
      <w:r>
        <w:rPr/>
        <w:t>The</w:t>
      </w:r>
      <w:r>
        <w:rPr>
          <w:spacing w:val="-4"/>
        </w:rPr>
        <w:t> </w:t>
      </w:r>
      <w:r>
        <w:rPr/>
        <w:t>Review</w:t>
      </w:r>
      <w:r>
        <w:rPr>
          <w:spacing w:val="-5"/>
        </w:rPr>
        <w:t> </w:t>
      </w:r>
      <w:r>
        <w:rPr/>
        <w:t>should</w:t>
      </w:r>
      <w:r>
        <w:rPr>
          <w:spacing w:val="-2"/>
        </w:rPr>
        <w:t> </w:t>
      </w:r>
      <w:r>
        <w:rPr/>
        <w:t>be</w:t>
      </w:r>
      <w:r>
        <w:rPr>
          <w:spacing w:val="-2"/>
        </w:rPr>
        <w:t> </w:t>
      </w:r>
      <w:r>
        <w:rPr/>
        <w:t>informed</w:t>
      </w:r>
      <w:r>
        <w:rPr>
          <w:spacing w:val="-2"/>
        </w:rPr>
        <w:t> </w:t>
      </w:r>
      <w:r>
        <w:rPr/>
        <w:t>by</w:t>
      </w:r>
      <w:r>
        <w:rPr>
          <w:spacing w:val="-4"/>
        </w:rPr>
        <w:t> </w:t>
      </w:r>
      <w:r>
        <w:rPr/>
        <w:t>extensive</w:t>
      </w:r>
      <w:r>
        <w:rPr>
          <w:spacing w:val="-2"/>
        </w:rPr>
        <w:t> </w:t>
      </w:r>
      <w:r>
        <w:rPr/>
        <w:t>consultation</w:t>
      </w:r>
      <w:r>
        <w:rPr>
          <w:spacing w:val="-2"/>
        </w:rPr>
        <w:t> </w:t>
      </w:r>
      <w:r>
        <w:rPr/>
        <w:t>with</w:t>
      </w:r>
      <w:r>
        <w:rPr>
          <w:spacing w:val="-2"/>
        </w:rPr>
        <w:t> </w:t>
      </w:r>
      <w:r>
        <w:rPr/>
        <w:t>all</w:t>
      </w:r>
      <w:r>
        <w:rPr>
          <w:spacing w:val="-2"/>
        </w:rPr>
        <w:t> </w:t>
      </w:r>
      <w:r>
        <w:rPr/>
        <w:t>relevant stakeholders.</w:t>
      </w:r>
      <w:r>
        <w:rPr>
          <w:spacing w:val="-5"/>
        </w:rPr>
        <w:t> </w:t>
      </w:r>
      <w:r>
        <w:rPr/>
        <w:t>This</w:t>
      </w:r>
      <w:r>
        <w:rPr>
          <w:spacing w:val="-1"/>
        </w:rPr>
        <w:t> </w:t>
      </w:r>
      <w:r>
        <w:rPr/>
        <w:t>will include public consultation.</w:t>
      </w:r>
    </w:p>
    <w:p>
      <w:pPr>
        <w:pStyle w:val="BodyText"/>
        <w:spacing w:before="3"/>
        <w:rPr>
          <w:sz w:val="31"/>
        </w:rPr>
      </w:pPr>
    </w:p>
    <w:p>
      <w:pPr>
        <w:pStyle w:val="Heading4"/>
        <w:spacing w:before="1"/>
      </w:pPr>
      <w:r>
        <w:rPr>
          <w:color w:val="585858"/>
          <w:spacing w:val="-2"/>
        </w:rPr>
        <w:t>Outcomes</w:t>
      </w:r>
    </w:p>
    <w:p>
      <w:pPr>
        <w:pStyle w:val="BodyText"/>
        <w:spacing w:line="288" w:lineRule="auto" w:before="313"/>
        <w:ind w:left="232" w:right="286"/>
      </w:pPr>
      <w:r>
        <w:rPr/>
        <w:t>The</w:t>
      </w:r>
      <w:r>
        <w:rPr>
          <w:spacing w:val="-4"/>
        </w:rPr>
        <w:t> </w:t>
      </w:r>
      <w:r>
        <w:rPr/>
        <w:t>Chair</w:t>
      </w:r>
      <w:r>
        <w:rPr>
          <w:spacing w:val="-1"/>
        </w:rPr>
        <w:t> </w:t>
      </w:r>
      <w:r>
        <w:rPr/>
        <w:t>will</w:t>
      </w:r>
      <w:r>
        <w:rPr>
          <w:spacing w:val="-2"/>
        </w:rPr>
        <w:t> </w:t>
      </w:r>
      <w:r>
        <w:rPr/>
        <w:t>produce</w:t>
      </w:r>
      <w:r>
        <w:rPr>
          <w:spacing w:val="-2"/>
        </w:rPr>
        <w:t> </w:t>
      </w:r>
      <w:r>
        <w:rPr/>
        <w:t>an</w:t>
      </w:r>
      <w:r>
        <w:rPr>
          <w:spacing w:val="-1"/>
        </w:rPr>
        <w:t> </w:t>
      </w:r>
      <w:r>
        <w:rPr/>
        <w:t>interim</w:t>
      </w:r>
      <w:r>
        <w:rPr>
          <w:spacing w:val="-2"/>
        </w:rPr>
        <w:t> </w:t>
      </w:r>
      <w:r>
        <w:rPr/>
        <w:t>report and</w:t>
      </w:r>
      <w:r>
        <w:rPr>
          <w:spacing w:val="-4"/>
        </w:rPr>
        <w:t> </w:t>
      </w:r>
      <w:r>
        <w:rPr/>
        <w:t>a</w:t>
      </w:r>
      <w:r>
        <w:rPr>
          <w:spacing w:val="-4"/>
        </w:rPr>
        <w:t> </w:t>
      </w:r>
      <w:r>
        <w:rPr/>
        <w:t>final</w:t>
      </w:r>
      <w:r>
        <w:rPr>
          <w:spacing w:val="-3"/>
        </w:rPr>
        <w:t> </w:t>
      </w:r>
      <w:r>
        <w:rPr/>
        <w:t>report and</w:t>
      </w:r>
      <w:r>
        <w:rPr>
          <w:spacing w:val="-4"/>
        </w:rPr>
        <w:t> </w:t>
      </w:r>
      <w:r>
        <w:rPr/>
        <w:t>recommendations</w:t>
      </w:r>
      <w:r>
        <w:rPr>
          <w:spacing w:val="-1"/>
        </w:rPr>
        <w:t> </w:t>
      </w:r>
      <w:r>
        <w:rPr/>
        <w:t>to</w:t>
      </w:r>
      <w:r>
        <w:rPr>
          <w:spacing w:val="-4"/>
        </w:rPr>
        <w:t> </w:t>
      </w:r>
      <w:r>
        <w:rPr/>
        <w:t>be</w:t>
      </w:r>
      <w:r>
        <w:rPr>
          <w:spacing w:val="-4"/>
        </w:rPr>
        <w:t> </w:t>
      </w:r>
      <w:r>
        <w:rPr/>
        <w:t>presented</w:t>
      </w:r>
      <w:r>
        <w:rPr>
          <w:spacing w:val="-4"/>
        </w:rPr>
        <w:t> </w:t>
      </w:r>
      <w:r>
        <w:rPr/>
        <w:t>to the Minister for Energy, Environment and Climate Change by December 2017. Unless specifically excluded, the interim and final report and recommendations will be made publicly available.</w:t>
      </w:r>
    </w:p>
    <w:p>
      <w:pPr>
        <w:spacing w:after="0" w:line="288" w:lineRule="auto"/>
        <w:sectPr>
          <w:headerReference w:type="default" r:id="rId111"/>
          <w:footerReference w:type="default" r:id="rId112"/>
          <w:pgSz w:w="11910" w:h="16850"/>
          <w:pgMar w:header="283" w:footer="678" w:top="1420" w:bottom="860" w:left="900" w:right="840"/>
          <w:pgNumType w:start="252"/>
        </w:sectPr>
      </w:pPr>
    </w:p>
    <w:p>
      <w:pPr>
        <w:pStyle w:val="BodyText"/>
        <w:rPr>
          <w:sz w:val="20"/>
        </w:rPr>
      </w:pPr>
    </w:p>
    <w:p>
      <w:pPr>
        <w:pStyle w:val="BodyText"/>
        <w:spacing w:before="10"/>
        <w:rPr>
          <w:sz w:val="19"/>
        </w:rPr>
      </w:pPr>
    </w:p>
    <w:p>
      <w:pPr>
        <w:pStyle w:val="Heading3"/>
        <w:spacing w:line="288" w:lineRule="auto"/>
        <w:ind w:right="374"/>
      </w:pPr>
      <w:r>
        <w:rPr>
          <w:color w:val="00B1A9"/>
        </w:rPr>
        <w:t>Appendix</w:t>
      </w:r>
      <w:r>
        <w:rPr>
          <w:color w:val="00B1A9"/>
          <w:spacing w:val="-5"/>
        </w:rPr>
        <w:t> </w:t>
      </w:r>
      <w:r>
        <w:rPr>
          <w:color w:val="00B1A9"/>
        </w:rPr>
        <w:t>B:</w:t>
      </w:r>
      <w:r>
        <w:rPr>
          <w:color w:val="00B1A9"/>
          <w:spacing w:val="-6"/>
        </w:rPr>
        <w:t> </w:t>
      </w:r>
      <w:r>
        <w:rPr>
          <w:color w:val="00B1A9"/>
        </w:rPr>
        <w:t>Electricity</w:t>
      </w:r>
      <w:r>
        <w:rPr>
          <w:color w:val="00B1A9"/>
          <w:spacing w:val="-9"/>
        </w:rPr>
        <w:t> </w:t>
      </w:r>
      <w:r>
        <w:rPr>
          <w:color w:val="00B1A9"/>
        </w:rPr>
        <w:t>network</w:t>
      </w:r>
      <w:r>
        <w:rPr>
          <w:color w:val="00B1A9"/>
          <w:spacing w:val="-3"/>
        </w:rPr>
        <w:t> </w:t>
      </w:r>
      <w:r>
        <w:rPr>
          <w:color w:val="00B1A9"/>
        </w:rPr>
        <w:t>and</w:t>
      </w:r>
      <w:r>
        <w:rPr>
          <w:color w:val="00B1A9"/>
          <w:spacing w:val="-7"/>
        </w:rPr>
        <w:t> </w:t>
      </w:r>
      <w:r>
        <w:rPr>
          <w:color w:val="00B1A9"/>
        </w:rPr>
        <w:t>gas</w:t>
      </w:r>
      <w:r>
        <w:rPr>
          <w:color w:val="00B1A9"/>
          <w:spacing w:val="-3"/>
        </w:rPr>
        <w:t> </w:t>
      </w:r>
      <w:r>
        <w:rPr>
          <w:color w:val="00B1A9"/>
        </w:rPr>
        <w:t>networks in Victoria</w:t>
      </w:r>
    </w:p>
    <w:p>
      <w:pPr>
        <w:pStyle w:val="Heading4"/>
        <w:spacing w:before="358"/>
      </w:pPr>
      <w:r>
        <w:rPr>
          <w:color w:val="585858"/>
          <w:spacing w:val="-2"/>
        </w:rPr>
        <w:t>Electricity</w:t>
      </w:r>
    </w:p>
    <w:p>
      <w:pPr>
        <w:pStyle w:val="BodyText"/>
        <w:spacing w:before="9"/>
        <w:rPr>
          <w:b/>
          <w:sz w:val="37"/>
        </w:rPr>
      </w:pPr>
    </w:p>
    <w:p>
      <w:pPr>
        <w:pStyle w:val="Heading7"/>
        <w:ind w:left="232"/>
      </w:pPr>
      <w:r>
        <w:rPr/>
        <w:t>Table</w:t>
      </w:r>
      <w:r>
        <w:rPr>
          <w:spacing w:val="-8"/>
        </w:rPr>
        <w:t> </w:t>
      </w:r>
      <w:r>
        <w:rPr/>
        <w:t>B1:</w:t>
      </w:r>
      <w:r>
        <w:rPr>
          <w:spacing w:val="-5"/>
        </w:rPr>
        <w:t> </w:t>
      </w:r>
      <w:r>
        <w:rPr/>
        <w:t>Transmission</w:t>
      </w:r>
      <w:r>
        <w:rPr>
          <w:spacing w:val="-6"/>
        </w:rPr>
        <w:t> </w:t>
      </w:r>
      <w:r>
        <w:rPr/>
        <w:t>and</w:t>
      </w:r>
      <w:r>
        <w:rPr>
          <w:spacing w:val="-6"/>
        </w:rPr>
        <w:t> </w:t>
      </w:r>
      <w:r>
        <w:rPr/>
        <w:t>distribution</w:t>
      </w:r>
      <w:r>
        <w:rPr>
          <w:spacing w:val="-6"/>
        </w:rPr>
        <w:t> </w:t>
      </w:r>
      <w:r>
        <w:rPr/>
        <w:t>business</w:t>
      </w:r>
      <w:r>
        <w:rPr>
          <w:spacing w:val="-6"/>
        </w:rPr>
        <w:t> </w:t>
      </w:r>
      <w:r>
        <w:rPr/>
        <w:t>statistics</w:t>
      </w:r>
      <w:r>
        <w:rPr>
          <w:spacing w:val="-8"/>
        </w:rPr>
        <w:t> </w:t>
      </w:r>
      <w:r>
        <w:rPr/>
        <w:t>in</w:t>
      </w:r>
      <w:r>
        <w:rPr>
          <w:spacing w:val="-8"/>
        </w:rPr>
        <w:t> </w:t>
      </w:r>
      <w:r>
        <w:rPr>
          <w:spacing w:val="-2"/>
        </w:rPr>
        <w:t>Victoria</w:t>
      </w:r>
    </w:p>
    <w:p>
      <w:pPr>
        <w:pStyle w:val="BodyText"/>
        <w:spacing w:before="8"/>
        <w:rPr>
          <w:b/>
          <w:sz w:val="14"/>
        </w:rPr>
      </w:pPr>
    </w:p>
    <w:tbl>
      <w:tblPr>
        <w:tblW w:w="0" w:type="auto"/>
        <w:jc w:val="left"/>
        <w:tblInd w:w="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80"/>
        <w:gridCol w:w="6864"/>
      </w:tblGrid>
      <w:tr>
        <w:trPr>
          <w:trHeight w:val="496" w:hRule="atLeast"/>
        </w:trPr>
        <w:tc>
          <w:tcPr>
            <w:tcW w:w="9244" w:type="dxa"/>
            <w:gridSpan w:val="2"/>
            <w:tcBorders>
              <w:top w:val="single" w:sz="4" w:space="0" w:color="A6A6A6"/>
              <w:left w:val="single" w:sz="4" w:space="0" w:color="A6A6A6"/>
              <w:right w:val="single" w:sz="4" w:space="0" w:color="A6A6A6"/>
            </w:tcBorders>
            <w:shd w:val="clear" w:color="auto" w:fill="D9D9D9"/>
          </w:tcPr>
          <w:p>
            <w:pPr>
              <w:pStyle w:val="TableParagraph"/>
              <w:spacing w:before="96"/>
              <w:ind w:left="117"/>
              <w:rPr>
                <w:b/>
                <w:sz w:val="22"/>
              </w:rPr>
            </w:pPr>
            <w:r>
              <w:rPr>
                <w:b/>
                <w:sz w:val="22"/>
              </w:rPr>
              <w:t>Transmission</w:t>
            </w:r>
            <w:r>
              <w:rPr>
                <w:b/>
                <w:spacing w:val="-8"/>
                <w:sz w:val="22"/>
              </w:rPr>
              <w:t> </w:t>
            </w:r>
            <w:r>
              <w:rPr>
                <w:b/>
                <w:spacing w:val="-2"/>
                <w:sz w:val="22"/>
              </w:rPr>
              <w:t>businesses</w:t>
            </w:r>
          </w:p>
        </w:tc>
      </w:tr>
      <w:tr>
        <w:trPr>
          <w:trHeight w:val="494" w:hRule="atLeast"/>
        </w:trPr>
        <w:tc>
          <w:tcPr>
            <w:tcW w:w="9244" w:type="dxa"/>
            <w:gridSpan w:val="2"/>
            <w:tcBorders>
              <w:left w:val="single" w:sz="4" w:space="0" w:color="A6A6A6"/>
              <w:right w:val="single" w:sz="4" w:space="0" w:color="A6A6A6"/>
            </w:tcBorders>
            <w:shd w:val="clear" w:color="auto" w:fill="CDEBEB"/>
          </w:tcPr>
          <w:p>
            <w:pPr>
              <w:pStyle w:val="TableParagraph"/>
              <w:spacing w:before="96"/>
              <w:ind w:left="117"/>
              <w:rPr>
                <w:b/>
                <w:sz w:val="22"/>
              </w:rPr>
            </w:pPr>
            <w:r>
              <w:rPr>
                <w:b/>
                <w:sz w:val="22"/>
              </w:rPr>
              <w:t>AusNet</w:t>
            </w:r>
            <w:r>
              <w:rPr>
                <w:b/>
                <w:spacing w:val="-6"/>
                <w:sz w:val="22"/>
              </w:rPr>
              <w:t> </w:t>
            </w:r>
            <w:r>
              <w:rPr>
                <w:b/>
                <w:spacing w:val="-2"/>
                <w:sz w:val="22"/>
              </w:rPr>
              <w:t>Services</w:t>
            </w:r>
          </w:p>
        </w:tc>
      </w:tr>
      <w:tr>
        <w:trPr>
          <w:trHeight w:val="1673" w:hRule="atLeast"/>
        </w:trPr>
        <w:tc>
          <w:tcPr>
            <w:tcW w:w="2380" w:type="dxa"/>
            <w:tcBorders>
              <w:left w:val="single" w:sz="4" w:space="0" w:color="A6A6A6"/>
            </w:tcBorders>
          </w:tcPr>
          <w:p>
            <w:pPr>
              <w:pStyle w:val="TableParagraph"/>
              <w:spacing w:before="96"/>
              <w:ind w:left="117"/>
              <w:rPr>
                <w:sz w:val="22"/>
              </w:rPr>
            </w:pPr>
            <w:r>
              <w:rPr>
                <w:spacing w:val="-2"/>
                <w:sz w:val="22"/>
              </w:rPr>
              <w:t>Voltages:</w:t>
            </w:r>
          </w:p>
        </w:tc>
        <w:tc>
          <w:tcPr>
            <w:tcW w:w="6864" w:type="dxa"/>
            <w:tcBorders>
              <w:right w:val="single" w:sz="4" w:space="0" w:color="A6A6A6"/>
            </w:tcBorders>
          </w:tcPr>
          <w:p>
            <w:pPr>
              <w:pStyle w:val="TableParagraph"/>
              <w:spacing w:line="381" w:lineRule="auto" w:before="96"/>
              <w:ind w:left="580" w:right="697"/>
              <w:rPr>
                <w:sz w:val="22"/>
              </w:rPr>
            </w:pPr>
            <w:r>
              <w:rPr>
                <w:sz w:val="22"/>
              </w:rPr>
              <w:t>500</w:t>
            </w:r>
            <w:r>
              <w:rPr>
                <w:spacing w:val="-5"/>
                <w:sz w:val="22"/>
              </w:rPr>
              <w:t> </w:t>
            </w:r>
            <w:r>
              <w:rPr>
                <w:sz w:val="22"/>
              </w:rPr>
              <w:t>kV</w:t>
            </w:r>
            <w:r>
              <w:rPr>
                <w:spacing w:val="-3"/>
                <w:sz w:val="22"/>
              </w:rPr>
              <w:t> </w:t>
            </w:r>
            <w:r>
              <w:rPr>
                <w:sz w:val="22"/>
              </w:rPr>
              <w:t>AC</w:t>
            </w:r>
            <w:r>
              <w:rPr>
                <w:spacing w:val="-3"/>
                <w:sz w:val="22"/>
              </w:rPr>
              <w:t> </w:t>
            </w:r>
            <w:r>
              <w:rPr>
                <w:sz w:val="22"/>
              </w:rPr>
              <w:t>and</w:t>
            </w:r>
            <w:r>
              <w:rPr>
                <w:spacing w:val="-5"/>
                <w:sz w:val="22"/>
              </w:rPr>
              <w:t> </w:t>
            </w:r>
            <w:r>
              <w:rPr>
                <w:sz w:val="22"/>
              </w:rPr>
              <w:t>220</w:t>
            </w:r>
            <w:r>
              <w:rPr>
                <w:spacing w:val="-4"/>
                <w:sz w:val="22"/>
              </w:rPr>
              <w:t> </w:t>
            </w:r>
            <w:r>
              <w:rPr>
                <w:sz w:val="22"/>
              </w:rPr>
              <w:t>kV</w:t>
            </w:r>
            <w:r>
              <w:rPr>
                <w:spacing w:val="-6"/>
                <w:sz w:val="22"/>
              </w:rPr>
              <w:t> </w:t>
            </w:r>
            <w:r>
              <w:rPr>
                <w:sz w:val="22"/>
              </w:rPr>
              <w:t>AC</w:t>
            </w:r>
            <w:r>
              <w:rPr>
                <w:spacing w:val="-2"/>
                <w:sz w:val="22"/>
              </w:rPr>
              <w:t> </w:t>
            </w:r>
            <w:r>
              <w:rPr>
                <w:sz w:val="22"/>
              </w:rPr>
              <w:t>transmission</w:t>
            </w:r>
            <w:r>
              <w:rPr>
                <w:spacing w:val="-3"/>
                <w:sz w:val="22"/>
              </w:rPr>
              <w:t> </w:t>
            </w:r>
            <w:r>
              <w:rPr>
                <w:sz w:val="22"/>
              </w:rPr>
              <w:t>across</w:t>
            </w:r>
            <w:r>
              <w:rPr>
                <w:spacing w:val="-5"/>
                <w:sz w:val="22"/>
              </w:rPr>
              <w:t> </w:t>
            </w:r>
            <w:r>
              <w:rPr>
                <w:sz w:val="22"/>
              </w:rPr>
              <w:t>Victoria 66 kV AC sub-transmission across Victoria</w:t>
            </w:r>
          </w:p>
          <w:p>
            <w:pPr>
              <w:pStyle w:val="TableParagraph"/>
              <w:spacing w:line="248" w:lineRule="exact"/>
              <w:ind w:left="580"/>
              <w:rPr>
                <w:sz w:val="22"/>
              </w:rPr>
            </w:pPr>
            <w:r>
              <w:rPr>
                <w:sz w:val="22"/>
              </w:rPr>
              <w:t>330</w:t>
            </w:r>
            <w:r>
              <w:rPr>
                <w:spacing w:val="-5"/>
                <w:sz w:val="22"/>
              </w:rPr>
              <w:t> </w:t>
            </w:r>
            <w:r>
              <w:rPr>
                <w:sz w:val="22"/>
              </w:rPr>
              <w:t>kV</w:t>
            </w:r>
            <w:r>
              <w:rPr>
                <w:spacing w:val="-3"/>
                <w:sz w:val="22"/>
              </w:rPr>
              <w:t> </w:t>
            </w:r>
            <w:r>
              <w:rPr>
                <w:sz w:val="22"/>
              </w:rPr>
              <w:t>AC</w:t>
            </w:r>
            <w:r>
              <w:rPr>
                <w:spacing w:val="-3"/>
                <w:sz w:val="22"/>
              </w:rPr>
              <w:t> </w:t>
            </w:r>
            <w:r>
              <w:rPr>
                <w:sz w:val="22"/>
              </w:rPr>
              <w:t>on</w:t>
            </w:r>
            <w:r>
              <w:rPr>
                <w:spacing w:val="-5"/>
                <w:sz w:val="22"/>
              </w:rPr>
              <w:t> </w:t>
            </w:r>
            <w:r>
              <w:rPr>
                <w:sz w:val="22"/>
              </w:rPr>
              <w:t>interconnector</w:t>
            </w:r>
            <w:r>
              <w:rPr>
                <w:spacing w:val="-4"/>
                <w:sz w:val="22"/>
              </w:rPr>
              <w:t> </w:t>
            </w:r>
            <w:r>
              <w:rPr>
                <w:sz w:val="22"/>
              </w:rPr>
              <w:t>to</w:t>
            </w:r>
            <w:r>
              <w:rPr>
                <w:spacing w:val="-5"/>
                <w:sz w:val="22"/>
              </w:rPr>
              <w:t> </w:t>
            </w:r>
            <w:r>
              <w:rPr>
                <w:sz w:val="22"/>
              </w:rPr>
              <w:t>New</w:t>
            </w:r>
            <w:r>
              <w:rPr>
                <w:spacing w:val="-6"/>
                <w:sz w:val="22"/>
              </w:rPr>
              <w:t> </w:t>
            </w:r>
            <w:r>
              <w:rPr>
                <w:sz w:val="22"/>
              </w:rPr>
              <w:t>South</w:t>
            </w:r>
            <w:r>
              <w:rPr>
                <w:spacing w:val="-6"/>
                <w:sz w:val="22"/>
              </w:rPr>
              <w:t> </w:t>
            </w:r>
            <w:r>
              <w:rPr>
                <w:spacing w:val="-2"/>
                <w:sz w:val="22"/>
              </w:rPr>
              <w:t>Wales</w:t>
            </w:r>
          </w:p>
          <w:p>
            <w:pPr>
              <w:pStyle w:val="TableParagraph"/>
              <w:spacing w:before="148"/>
              <w:ind w:left="580"/>
              <w:rPr>
                <w:sz w:val="22"/>
              </w:rPr>
            </w:pPr>
            <w:r>
              <w:rPr>
                <w:sz w:val="22"/>
              </w:rPr>
              <w:t>275</w:t>
            </w:r>
            <w:r>
              <w:rPr>
                <w:spacing w:val="-5"/>
                <w:sz w:val="22"/>
              </w:rPr>
              <w:t> </w:t>
            </w:r>
            <w:r>
              <w:rPr>
                <w:sz w:val="22"/>
              </w:rPr>
              <w:t>kV</w:t>
            </w:r>
            <w:r>
              <w:rPr>
                <w:spacing w:val="-3"/>
                <w:sz w:val="22"/>
              </w:rPr>
              <w:t> </w:t>
            </w:r>
            <w:r>
              <w:rPr>
                <w:sz w:val="22"/>
              </w:rPr>
              <w:t>AC</w:t>
            </w:r>
            <w:r>
              <w:rPr>
                <w:spacing w:val="-3"/>
                <w:sz w:val="22"/>
              </w:rPr>
              <w:t> </w:t>
            </w:r>
            <w:r>
              <w:rPr>
                <w:sz w:val="22"/>
              </w:rPr>
              <w:t>on</w:t>
            </w:r>
            <w:r>
              <w:rPr>
                <w:spacing w:val="-5"/>
                <w:sz w:val="22"/>
              </w:rPr>
              <w:t> </w:t>
            </w:r>
            <w:r>
              <w:rPr>
                <w:sz w:val="22"/>
              </w:rPr>
              <w:t>interconnector</w:t>
            </w:r>
            <w:r>
              <w:rPr>
                <w:spacing w:val="-4"/>
                <w:sz w:val="22"/>
              </w:rPr>
              <w:t> </w:t>
            </w:r>
            <w:r>
              <w:rPr>
                <w:sz w:val="22"/>
              </w:rPr>
              <w:t>to</w:t>
            </w:r>
            <w:r>
              <w:rPr>
                <w:spacing w:val="-5"/>
                <w:sz w:val="22"/>
              </w:rPr>
              <w:t> </w:t>
            </w:r>
            <w:r>
              <w:rPr>
                <w:sz w:val="22"/>
              </w:rPr>
              <w:t>South</w:t>
            </w:r>
            <w:r>
              <w:rPr>
                <w:spacing w:val="-4"/>
                <w:sz w:val="22"/>
              </w:rPr>
              <w:t> </w:t>
            </w:r>
            <w:r>
              <w:rPr>
                <w:spacing w:val="-2"/>
                <w:sz w:val="22"/>
              </w:rPr>
              <w:t>Australia</w:t>
            </w:r>
          </w:p>
        </w:tc>
      </w:tr>
      <w:tr>
        <w:trPr>
          <w:trHeight w:val="495" w:hRule="atLeast"/>
        </w:trPr>
        <w:tc>
          <w:tcPr>
            <w:tcW w:w="2380" w:type="dxa"/>
            <w:tcBorders>
              <w:left w:val="single" w:sz="4" w:space="0" w:color="A6A6A6"/>
            </w:tcBorders>
          </w:tcPr>
          <w:p>
            <w:pPr>
              <w:pStyle w:val="TableParagraph"/>
              <w:spacing w:before="117"/>
              <w:ind w:left="117"/>
              <w:rPr>
                <w:sz w:val="22"/>
              </w:rPr>
            </w:pPr>
            <w:r>
              <w:rPr>
                <w:sz w:val="22"/>
              </w:rPr>
              <w:t>Powerline</w:t>
            </w:r>
            <w:r>
              <w:rPr>
                <w:spacing w:val="-10"/>
                <w:sz w:val="22"/>
              </w:rPr>
              <w:t> </w:t>
            </w:r>
            <w:r>
              <w:rPr>
                <w:spacing w:val="-2"/>
                <w:sz w:val="22"/>
              </w:rPr>
              <w:t>length:</w:t>
            </w:r>
          </w:p>
        </w:tc>
        <w:tc>
          <w:tcPr>
            <w:tcW w:w="6864" w:type="dxa"/>
            <w:tcBorders>
              <w:right w:val="single" w:sz="4" w:space="0" w:color="A6A6A6"/>
            </w:tcBorders>
          </w:tcPr>
          <w:p>
            <w:pPr>
              <w:pStyle w:val="TableParagraph"/>
              <w:spacing w:before="117"/>
              <w:ind w:left="580"/>
              <w:rPr>
                <w:sz w:val="22"/>
              </w:rPr>
            </w:pPr>
            <w:r>
              <w:rPr>
                <w:sz w:val="22"/>
              </w:rPr>
              <w:t>6574</w:t>
            </w:r>
            <w:r>
              <w:rPr>
                <w:spacing w:val="-5"/>
                <w:sz w:val="22"/>
              </w:rPr>
              <w:t> km</w:t>
            </w:r>
          </w:p>
        </w:tc>
      </w:tr>
      <w:tr>
        <w:trPr>
          <w:trHeight w:val="516" w:hRule="atLeast"/>
        </w:trPr>
        <w:tc>
          <w:tcPr>
            <w:tcW w:w="2380" w:type="dxa"/>
            <w:tcBorders>
              <w:left w:val="single" w:sz="4" w:space="0" w:color="A6A6A6"/>
            </w:tcBorders>
          </w:tcPr>
          <w:p>
            <w:pPr>
              <w:pStyle w:val="TableParagraph"/>
              <w:spacing w:before="118"/>
              <w:ind w:left="117"/>
              <w:rPr>
                <w:sz w:val="22"/>
              </w:rPr>
            </w:pPr>
            <w:r>
              <w:rPr>
                <w:sz w:val="22"/>
              </w:rPr>
              <w:t>No.</w:t>
            </w:r>
            <w:r>
              <w:rPr>
                <w:spacing w:val="-4"/>
                <w:sz w:val="22"/>
              </w:rPr>
              <w:t> </w:t>
            </w:r>
            <w:r>
              <w:rPr>
                <w:sz w:val="22"/>
              </w:rPr>
              <w:t>of </w:t>
            </w:r>
            <w:r>
              <w:rPr>
                <w:spacing w:val="-2"/>
                <w:sz w:val="22"/>
              </w:rPr>
              <w:t>towers:</w:t>
            </w:r>
          </w:p>
        </w:tc>
        <w:tc>
          <w:tcPr>
            <w:tcW w:w="6864" w:type="dxa"/>
            <w:tcBorders>
              <w:right w:val="single" w:sz="4" w:space="0" w:color="A6A6A6"/>
            </w:tcBorders>
          </w:tcPr>
          <w:p>
            <w:pPr>
              <w:pStyle w:val="TableParagraph"/>
              <w:spacing w:before="118"/>
              <w:ind w:left="580"/>
              <w:rPr>
                <w:sz w:val="22"/>
              </w:rPr>
            </w:pPr>
            <w:r>
              <w:rPr>
                <w:sz w:val="22"/>
              </w:rPr>
              <w:t>13,000</w:t>
            </w:r>
            <w:r>
              <w:rPr>
                <w:spacing w:val="-2"/>
                <w:sz w:val="22"/>
              </w:rPr>
              <w:t> approx.</w:t>
            </w:r>
          </w:p>
        </w:tc>
      </w:tr>
      <w:tr>
        <w:trPr>
          <w:trHeight w:val="496" w:hRule="atLeast"/>
        </w:trPr>
        <w:tc>
          <w:tcPr>
            <w:tcW w:w="9244" w:type="dxa"/>
            <w:gridSpan w:val="2"/>
            <w:tcBorders>
              <w:left w:val="single" w:sz="4" w:space="0" w:color="A6A6A6"/>
              <w:right w:val="single" w:sz="4" w:space="0" w:color="A6A6A6"/>
            </w:tcBorders>
            <w:shd w:val="clear" w:color="auto" w:fill="CDEBEB"/>
          </w:tcPr>
          <w:p>
            <w:pPr>
              <w:pStyle w:val="TableParagraph"/>
              <w:spacing w:before="96"/>
              <w:ind w:left="117"/>
              <w:rPr>
                <w:b/>
                <w:sz w:val="22"/>
              </w:rPr>
            </w:pPr>
            <w:r>
              <w:rPr>
                <w:b/>
                <w:spacing w:val="-2"/>
                <w:sz w:val="22"/>
              </w:rPr>
              <w:t>Basslink</w:t>
            </w:r>
          </w:p>
        </w:tc>
      </w:tr>
      <w:tr>
        <w:trPr>
          <w:trHeight w:val="1080" w:hRule="atLeast"/>
        </w:trPr>
        <w:tc>
          <w:tcPr>
            <w:tcW w:w="2380" w:type="dxa"/>
            <w:tcBorders>
              <w:left w:val="single" w:sz="4" w:space="0" w:color="A6A6A6"/>
            </w:tcBorders>
          </w:tcPr>
          <w:p>
            <w:pPr>
              <w:pStyle w:val="TableParagraph"/>
              <w:spacing w:before="96"/>
              <w:ind w:left="117"/>
              <w:rPr>
                <w:sz w:val="22"/>
              </w:rPr>
            </w:pPr>
            <w:r>
              <w:rPr>
                <w:spacing w:val="-2"/>
                <w:sz w:val="22"/>
              </w:rPr>
              <w:t>Voltages:</w:t>
            </w:r>
          </w:p>
        </w:tc>
        <w:tc>
          <w:tcPr>
            <w:tcW w:w="6864" w:type="dxa"/>
            <w:tcBorders>
              <w:right w:val="single" w:sz="4" w:space="0" w:color="A6A6A6"/>
            </w:tcBorders>
          </w:tcPr>
          <w:p>
            <w:pPr>
              <w:pStyle w:val="TableParagraph"/>
              <w:spacing w:line="288" w:lineRule="auto" w:before="96"/>
              <w:ind w:left="580" w:right="110"/>
              <w:rPr>
                <w:sz w:val="22"/>
              </w:rPr>
            </w:pPr>
            <w:r>
              <w:rPr>
                <w:sz w:val="22"/>
              </w:rPr>
              <w:t>500 kV AC and 400 kV DC link between Loy Yang power station</w:t>
            </w:r>
            <w:r>
              <w:rPr>
                <w:spacing w:val="-4"/>
                <w:sz w:val="22"/>
              </w:rPr>
              <w:t> </w:t>
            </w:r>
            <w:r>
              <w:rPr>
                <w:sz w:val="22"/>
              </w:rPr>
              <w:t>in</w:t>
            </w:r>
            <w:r>
              <w:rPr>
                <w:spacing w:val="-5"/>
                <w:sz w:val="22"/>
              </w:rPr>
              <w:t> </w:t>
            </w:r>
            <w:r>
              <w:rPr>
                <w:sz w:val="22"/>
              </w:rPr>
              <w:t>south</w:t>
            </w:r>
            <w:r>
              <w:rPr>
                <w:spacing w:val="-5"/>
                <w:sz w:val="22"/>
              </w:rPr>
              <w:t> </w:t>
            </w:r>
            <w:r>
              <w:rPr>
                <w:sz w:val="22"/>
              </w:rPr>
              <w:t>east</w:t>
            </w:r>
            <w:r>
              <w:rPr>
                <w:spacing w:val="-2"/>
                <w:sz w:val="22"/>
              </w:rPr>
              <w:t> </w:t>
            </w:r>
            <w:r>
              <w:rPr>
                <w:sz w:val="22"/>
              </w:rPr>
              <w:t>Victoria</w:t>
            </w:r>
            <w:r>
              <w:rPr>
                <w:spacing w:val="-4"/>
                <w:sz w:val="22"/>
              </w:rPr>
              <w:t> </w:t>
            </w:r>
            <w:r>
              <w:rPr>
                <w:sz w:val="22"/>
              </w:rPr>
              <w:t>and</w:t>
            </w:r>
            <w:r>
              <w:rPr>
                <w:spacing w:val="-4"/>
                <w:sz w:val="22"/>
              </w:rPr>
              <w:t> </w:t>
            </w:r>
            <w:r>
              <w:rPr>
                <w:sz w:val="22"/>
              </w:rPr>
              <w:t>George</w:t>
            </w:r>
            <w:r>
              <w:rPr>
                <w:spacing w:val="-7"/>
                <w:sz w:val="22"/>
              </w:rPr>
              <w:t> </w:t>
            </w:r>
            <w:r>
              <w:rPr>
                <w:sz w:val="22"/>
              </w:rPr>
              <w:t>Town</w:t>
            </w:r>
            <w:r>
              <w:rPr>
                <w:spacing w:val="-4"/>
                <w:sz w:val="22"/>
              </w:rPr>
              <w:t> </w:t>
            </w:r>
            <w:r>
              <w:rPr>
                <w:sz w:val="22"/>
              </w:rPr>
              <w:t>in</w:t>
            </w:r>
            <w:r>
              <w:rPr>
                <w:spacing w:val="-4"/>
                <w:sz w:val="22"/>
              </w:rPr>
              <w:t> </w:t>
            </w:r>
            <w:r>
              <w:rPr>
                <w:sz w:val="22"/>
              </w:rPr>
              <w:t>northern </w:t>
            </w:r>
            <w:r>
              <w:rPr>
                <w:spacing w:val="-2"/>
                <w:sz w:val="22"/>
              </w:rPr>
              <w:t>Tasmania</w:t>
            </w:r>
          </w:p>
        </w:tc>
      </w:tr>
      <w:tr>
        <w:trPr>
          <w:trHeight w:val="1694" w:hRule="atLeast"/>
        </w:trPr>
        <w:tc>
          <w:tcPr>
            <w:tcW w:w="2380" w:type="dxa"/>
            <w:tcBorders>
              <w:left w:val="single" w:sz="4" w:space="0" w:color="A6A6A6"/>
            </w:tcBorders>
          </w:tcPr>
          <w:p>
            <w:pPr>
              <w:pStyle w:val="TableParagraph"/>
              <w:spacing w:before="117"/>
              <w:ind w:left="117"/>
              <w:rPr>
                <w:sz w:val="22"/>
              </w:rPr>
            </w:pPr>
            <w:r>
              <w:rPr>
                <w:sz w:val="22"/>
              </w:rPr>
              <w:t>Powerline</w:t>
            </w:r>
            <w:r>
              <w:rPr>
                <w:spacing w:val="-10"/>
                <w:sz w:val="22"/>
              </w:rPr>
              <w:t> </w:t>
            </w:r>
            <w:r>
              <w:rPr>
                <w:spacing w:val="-2"/>
                <w:sz w:val="22"/>
              </w:rPr>
              <w:t>length:</w:t>
            </w:r>
          </w:p>
        </w:tc>
        <w:tc>
          <w:tcPr>
            <w:tcW w:w="6864" w:type="dxa"/>
            <w:tcBorders>
              <w:right w:val="single" w:sz="4" w:space="0" w:color="A6A6A6"/>
            </w:tcBorders>
          </w:tcPr>
          <w:p>
            <w:pPr>
              <w:pStyle w:val="TableParagraph"/>
              <w:spacing w:before="117"/>
              <w:ind w:left="580"/>
              <w:rPr>
                <w:sz w:val="22"/>
              </w:rPr>
            </w:pPr>
            <w:r>
              <w:rPr>
                <w:sz w:val="22"/>
              </w:rPr>
              <w:t>67</w:t>
            </w:r>
            <w:r>
              <w:rPr>
                <w:spacing w:val="-3"/>
                <w:sz w:val="22"/>
              </w:rPr>
              <w:t> </w:t>
            </w:r>
            <w:r>
              <w:rPr>
                <w:sz w:val="22"/>
              </w:rPr>
              <w:t>km</w:t>
            </w:r>
            <w:r>
              <w:rPr>
                <w:spacing w:val="-2"/>
                <w:sz w:val="22"/>
              </w:rPr>
              <w:t> </w:t>
            </w:r>
            <w:r>
              <w:rPr>
                <w:sz w:val="22"/>
              </w:rPr>
              <w:t>total</w:t>
            </w:r>
            <w:r>
              <w:rPr>
                <w:spacing w:val="-2"/>
                <w:sz w:val="22"/>
              </w:rPr>
              <w:t> </w:t>
            </w:r>
            <w:r>
              <w:rPr>
                <w:sz w:val="22"/>
              </w:rPr>
              <w:t>in</w:t>
            </w:r>
            <w:r>
              <w:rPr>
                <w:spacing w:val="-1"/>
                <w:sz w:val="22"/>
              </w:rPr>
              <w:t> </w:t>
            </w:r>
            <w:r>
              <w:rPr>
                <w:spacing w:val="-2"/>
                <w:sz w:val="22"/>
              </w:rPr>
              <w:t>Victoria</w:t>
            </w:r>
          </w:p>
          <w:p>
            <w:pPr>
              <w:pStyle w:val="TableParagraph"/>
              <w:spacing w:before="148"/>
              <w:ind w:left="580"/>
              <w:rPr>
                <w:sz w:val="22"/>
              </w:rPr>
            </w:pPr>
            <w:r>
              <w:rPr>
                <w:sz w:val="22"/>
              </w:rPr>
              <w:t>3.2</w:t>
            </w:r>
            <w:r>
              <w:rPr>
                <w:spacing w:val="-3"/>
                <w:sz w:val="22"/>
              </w:rPr>
              <w:t> </w:t>
            </w:r>
            <w:r>
              <w:rPr>
                <w:sz w:val="22"/>
              </w:rPr>
              <w:t>km</w:t>
            </w:r>
            <w:r>
              <w:rPr>
                <w:spacing w:val="-1"/>
                <w:sz w:val="22"/>
              </w:rPr>
              <w:t> </w:t>
            </w:r>
            <w:r>
              <w:rPr>
                <w:sz w:val="22"/>
              </w:rPr>
              <w:t>of</w:t>
            </w:r>
            <w:r>
              <w:rPr>
                <w:spacing w:val="-2"/>
                <w:sz w:val="22"/>
              </w:rPr>
              <w:t> </w:t>
            </w:r>
            <w:r>
              <w:rPr>
                <w:sz w:val="22"/>
              </w:rPr>
              <w:t>500</w:t>
            </w:r>
            <w:r>
              <w:rPr>
                <w:spacing w:val="-4"/>
                <w:sz w:val="22"/>
              </w:rPr>
              <w:t> </w:t>
            </w:r>
            <w:r>
              <w:rPr>
                <w:sz w:val="22"/>
              </w:rPr>
              <w:t>kV</w:t>
            </w:r>
            <w:r>
              <w:rPr>
                <w:spacing w:val="-4"/>
                <w:sz w:val="22"/>
              </w:rPr>
              <w:t> </w:t>
            </w:r>
            <w:r>
              <w:rPr>
                <w:sz w:val="22"/>
              </w:rPr>
              <w:t>AC</w:t>
            </w:r>
            <w:r>
              <w:rPr>
                <w:spacing w:val="-2"/>
                <w:sz w:val="22"/>
              </w:rPr>
              <w:t> </w:t>
            </w:r>
            <w:r>
              <w:rPr>
                <w:sz w:val="22"/>
              </w:rPr>
              <w:t>overhead</w:t>
            </w:r>
            <w:r>
              <w:rPr>
                <w:spacing w:val="-1"/>
                <w:sz w:val="22"/>
              </w:rPr>
              <w:t> </w:t>
            </w:r>
            <w:r>
              <w:rPr>
                <w:spacing w:val="-4"/>
                <w:sz w:val="22"/>
              </w:rPr>
              <w:t>line</w:t>
            </w:r>
          </w:p>
          <w:p>
            <w:pPr>
              <w:pStyle w:val="TableParagraph"/>
              <w:spacing w:before="146"/>
              <w:ind w:left="580"/>
              <w:rPr>
                <w:sz w:val="22"/>
              </w:rPr>
            </w:pPr>
            <w:r>
              <w:rPr>
                <w:sz w:val="22"/>
              </w:rPr>
              <w:t>57.4</w:t>
            </w:r>
            <w:r>
              <w:rPr>
                <w:spacing w:val="-4"/>
                <w:sz w:val="22"/>
              </w:rPr>
              <w:t> </w:t>
            </w:r>
            <w:r>
              <w:rPr>
                <w:sz w:val="22"/>
              </w:rPr>
              <w:t>km</w:t>
            </w:r>
            <w:r>
              <w:rPr>
                <w:spacing w:val="-1"/>
                <w:sz w:val="22"/>
              </w:rPr>
              <w:t> </w:t>
            </w:r>
            <w:r>
              <w:rPr>
                <w:sz w:val="22"/>
              </w:rPr>
              <w:t>of</w:t>
            </w:r>
            <w:r>
              <w:rPr>
                <w:spacing w:val="-3"/>
                <w:sz w:val="22"/>
              </w:rPr>
              <w:t> </w:t>
            </w:r>
            <w:r>
              <w:rPr>
                <w:sz w:val="22"/>
              </w:rPr>
              <w:t>400</w:t>
            </w:r>
            <w:r>
              <w:rPr>
                <w:spacing w:val="-4"/>
                <w:sz w:val="22"/>
              </w:rPr>
              <w:t> </w:t>
            </w:r>
            <w:r>
              <w:rPr>
                <w:sz w:val="22"/>
              </w:rPr>
              <w:t>kV</w:t>
            </w:r>
            <w:r>
              <w:rPr>
                <w:spacing w:val="-5"/>
                <w:sz w:val="22"/>
              </w:rPr>
              <w:t> </w:t>
            </w:r>
            <w:r>
              <w:rPr>
                <w:sz w:val="22"/>
              </w:rPr>
              <w:t>DC</w:t>
            </w:r>
            <w:r>
              <w:rPr>
                <w:spacing w:val="-2"/>
                <w:sz w:val="22"/>
              </w:rPr>
              <w:t> </w:t>
            </w:r>
            <w:r>
              <w:rPr>
                <w:sz w:val="22"/>
              </w:rPr>
              <w:t>overhead</w:t>
            </w:r>
            <w:r>
              <w:rPr>
                <w:spacing w:val="-1"/>
                <w:sz w:val="22"/>
              </w:rPr>
              <w:t> </w:t>
            </w:r>
            <w:r>
              <w:rPr>
                <w:spacing w:val="-4"/>
                <w:sz w:val="22"/>
              </w:rPr>
              <w:t>line</w:t>
            </w:r>
          </w:p>
          <w:p>
            <w:pPr>
              <w:pStyle w:val="TableParagraph"/>
              <w:spacing w:before="147"/>
              <w:ind w:left="580"/>
              <w:rPr>
                <w:sz w:val="22"/>
              </w:rPr>
            </w:pPr>
            <w:r>
              <w:rPr>
                <w:sz w:val="22"/>
              </w:rPr>
              <w:t>6.6</w:t>
            </w:r>
            <w:r>
              <w:rPr>
                <w:spacing w:val="-4"/>
                <w:sz w:val="22"/>
              </w:rPr>
              <w:t> </w:t>
            </w:r>
            <w:r>
              <w:rPr>
                <w:sz w:val="22"/>
              </w:rPr>
              <w:t>km</w:t>
            </w:r>
            <w:r>
              <w:rPr>
                <w:spacing w:val="-1"/>
                <w:sz w:val="22"/>
              </w:rPr>
              <w:t> </w:t>
            </w:r>
            <w:r>
              <w:rPr>
                <w:sz w:val="22"/>
              </w:rPr>
              <w:t>of</w:t>
            </w:r>
            <w:r>
              <w:rPr>
                <w:spacing w:val="-3"/>
                <w:sz w:val="22"/>
              </w:rPr>
              <w:t> </w:t>
            </w:r>
            <w:r>
              <w:rPr>
                <w:sz w:val="22"/>
              </w:rPr>
              <w:t>400</w:t>
            </w:r>
            <w:r>
              <w:rPr>
                <w:spacing w:val="-4"/>
                <w:sz w:val="22"/>
              </w:rPr>
              <w:t> </w:t>
            </w:r>
            <w:r>
              <w:rPr>
                <w:sz w:val="22"/>
              </w:rPr>
              <w:t>kV</w:t>
            </w:r>
            <w:r>
              <w:rPr>
                <w:spacing w:val="-5"/>
                <w:sz w:val="22"/>
              </w:rPr>
              <w:t> </w:t>
            </w:r>
            <w:r>
              <w:rPr>
                <w:sz w:val="22"/>
              </w:rPr>
              <w:t>DC</w:t>
            </w:r>
            <w:r>
              <w:rPr>
                <w:spacing w:val="-2"/>
                <w:sz w:val="22"/>
              </w:rPr>
              <w:t> </w:t>
            </w:r>
            <w:r>
              <w:rPr>
                <w:sz w:val="22"/>
              </w:rPr>
              <w:t>underground</w:t>
            </w:r>
            <w:r>
              <w:rPr>
                <w:spacing w:val="-3"/>
                <w:sz w:val="22"/>
              </w:rPr>
              <w:t> </w:t>
            </w:r>
            <w:r>
              <w:rPr>
                <w:spacing w:val="-2"/>
                <w:sz w:val="22"/>
              </w:rPr>
              <w:t>cable</w:t>
            </w:r>
          </w:p>
        </w:tc>
      </w:tr>
      <w:tr>
        <w:trPr>
          <w:trHeight w:val="518" w:hRule="atLeast"/>
        </w:trPr>
        <w:tc>
          <w:tcPr>
            <w:tcW w:w="2380" w:type="dxa"/>
            <w:tcBorders>
              <w:left w:val="single" w:sz="4" w:space="0" w:color="A6A6A6"/>
            </w:tcBorders>
          </w:tcPr>
          <w:p>
            <w:pPr>
              <w:pStyle w:val="TableParagraph"/>
              <w:spacing w:before="117"/>
              <w:ind w:left="117"/>
              <w:rPr>
                <w:sz w:val="22"/>
              </w:rPr>
            </w:pPr>
            <w:r>
              <w:rPr>
                <w:sz w:val="22"/>
              </w:rPr>
              <w:t>No.</w:t>
            </w:r>
            <w:r>
              <w:rPr>
                <w:spacing w:val="-4"/>
                <w:sz w:val="22"/>
              </w:rPr>
              <w:t> </w:t>
            </w:r>
            <w:r>
              <w:rPr>
                <w:sz w:val="22"/>
              </w:rPr>
              <w:t>of </w:t>
            </w:r>
            <w:r>
              <w:rPr>
                <w:spacing w:val="-2"/>
                <w:sz w:val="22"/>
              </w:rPr>
              <w:t>towers:</w:t>
            </w:r>
          </w:p>
        </w:tc>
        <w:tc>
          <w:tcPr>
            <w:tcW w:w="6864" w:type="dxa"/>
            <w:tcBorders>
              <w:right w:val="single" w:sz="4" w:space="0" w:color="A6A6A6"/>
            </w:tcBorders>
          </w:tcPr>
          <w:p>
            <w:pPr>
              <w:pStyle w:val="TableParagraph"/>
              <w:spacing w:before="117"/>
              <w:ind w:left="580"/>
              <w:rPr>
                <w:sz w:val="22"/>
              </w:rPr>
            </w:pPr>
            <w:r>
              <w:rPr>
                <w:spacing w:val="-5"/>
                <w:sz w:val="22"/>
              </w:rPr>
              <w:t>142</w:t>
            </w:r>
          </w:p>
        </w:tc>
      </w:tr>
      <w:tr>
        <w:trPr>
          <w:trHeight w:val="494" w:hRule="atLeast"/>
        </w:trPr>
        <w:tc>
          <w:tcPr>
            <w:tcW w:w="9244" w:type="dxa"/>
            <w:gridSpan w:val="2"/>
            <w:tcBorders>
              <w:left w:val="single" w:sz="4" w:space="0" w:color="A6A6A6"/>
              <w:right w:val="single" w:sz="4" w:space="0" w:color="A6A6A6"/>
            </w:tcBorders>
            <w:shd w:val="clear" w:color="auto" w:fill="CDEBEB"/>
          </w:tcPr>
          <w:p>
            <w:pPr>
              <w:pStyle w:val="TableParagraph"/>
              <w:spacing w:before="96"/>
              <w:ind w:left="117"/>
              <w:rPr>
                <w:b/>
                <w:sz w:val="22"/>
              </w:rPr>
            </w:pPr>
            <w:r>
              <w:rPr>
                <w:b/>
                <w:sz w:val="22"/>
              </w:rPr>
              <w:t>Transmissions</w:t>
            </w:r>
            <w:r>
              <w:rPr>
                <w:b/>
                <w:spacing w:val="-13"/>
                <w:sz w:val="22"/>
              </w:rPr>
              <w:t> </w:t>
            </w:r>
            <w:r>
              <w:rPr>
                <w:b/>
                <w:sz w:val="22"/>
              </w:rPr>
              <w:t>Operations</w:t>
            </w:r>
            <w:r>
              <w:rPr>
                <w:b/>
                <w:spacing w:val="-10"/>
                <w:sz w:val="22"/>
              </w:rPr>
              <w:t> </w:t>
            </w:r>
            <w:r>
              <w:rPr>
                <w:b/>
                <w:spacing w:val="-2"/>
                <w:sz w:val="22"/>
              </w:rPr>
              <w:t>Victoria</w:t>
            </w:r>
          </w:p>
        </w:tc>
      </w:tr>
      <w:tr>
        <w:trPr>
          <w:trHeight w:val="474" w:hRule="atLeast"/>
        </w:trPr>
        <w:tc>
          <w:tcPr>
            <w:tcW w:w="2380" w:type="dxa"/>
            <w:tcBorders>
              <w:left w:val="single" w:sz="4" w:space="0" w:color="A6A6A6"/>
            </w:tcBorders>
          </w:tcPr>
          <w:p>
            <w:pPr>
              <w:pStyle w:val="TableParagraph"/>
              <w:spacing w:before="96"/>
              <w:ind w:left="117"/>
              <w:rPr>
                <w:sz w:val="22"/>
              </w:rPr>
            </w:pPr>
            <w:r>
              <w:rPr>
                <w:spacing w:val="-2"/>
                <w:sz w:val="22"/>
              </w:rPr>
              <w:t>Voltages:</w:t>
            </w:r>
          </w:p>
        </w:tc>
        <w:tc>
          <w:tcPr>
            <w:tcW w:w="6864" w:type="dxa"/>
            <w:tcBorders>
              <w:right w:val="single" w:sz="4" w:space="0" w:color="A6A6A6"/>
            </w:tcBorders>
          </w:tcPr>
          <w:p>
            <w:pPr>
              <w:pStyle w:val="TableParagraph"/>
              <w:spacing w:before="96"/>
              <w:ind w:left="580"/>
              <w:rPr>
                <w:sz w:val="22"/>
              </w:rPr>
            </w:pPr>
            <w:r>
              <w:rPr>
                <w:sz w:val="22"/>
              </w:rPr>
              <w:t>132</w:t>
            </w:r>
            <w:r>
              <w:rPr>
                <w:spacing w:val="-5"/>
                <w:sz w:val="22"/>
              </w:rPr>
              <w:t> </w:t>
            </w:r>
            <w:r>
              <w:rPr>
                <w:sz w:val="22"/>
              </w:rPr>
              <w:t>kV</w:t>
            </w:r>
            <w:r>
              <w:rPr>
                <w:spacing w:val="-5"/>
                <w:sz w:val="22"/>
              </w:rPr>
              <w:t> </w:t>
            </w:r>
            <w:r>
              <w:rPr>
                <w:sz w:val="22"/>
              </w:rPr>
              <w:t>from</w:t>
            </w:r>
            <w:r>
              <w:rPr>
                <w:spacing w:val="-1"/>
                <w:sz w:val="22"/>
              </w:rPr>
              <w:t> </w:t>
            </w:r>
            <w:r>
              <w:rPr>
                <w:sz w:val="22"/>
              </w:rPr>
              <w:t>Mt</w:t>
            </w:r>
            <w:r>
              <w:rPr>
                <w:spacing w:val="-1"/>
                <w:sz w:val="22"/>
              </w:rPr>
              <w:t> </w:t>
            </w:r>
            <w:r>
              <w:rPr>
                <w:sz w:val="22"/>
              </w:rPr>
              <w:t>Mercer</w:t>
            </w:r>
            <w:r>
              <w:rPr>
                <w:spacing w:val="-4"/>
                <w:sz w:val="22"/>
              </w:rPr>
              <w:t> </w:t>
            </w:r>
            <w:r>
              <w:rPr>
                <w:sz w:val="22"/>
              </w:rPr>
              <w:t>wind</w:t>
            </w:r>
            <w:r>
              <w:rPr>
                <w:spacing w:val="-5"/>
                <w:sz w:val="22"/>
              </w:rPr>
              <w:t> </w:t>
            </w:r>
            <w:r>
              <w:rPr>
                <w:sz w:val="22"/>
              </w:rPr>
              <w:t>farm</w:t>
            </w:r>
            <w:r>
              <w:rPr>
                <w:spacing w:val="-4"/>
                <w:sz w:val="22"/>
              </w:rPr>
              <w:t> </w:t>
            </w:r>
            <w:r>
              <w:rPr>
                <w:sz w:val="22"/>
              </w:rPr>
              <w:t>to</w:t>
            </w:r>
            <w:r>
              <w:rPr>
                <w:spacing w:val="-1"/>
                <w:sz w:val="22"/>
              </w:rPr>
              <w:t> </w:t>
            </w:r>
            <w:r>
              <w:rPr>
                <w:sz w:val="22"/>
              </w:rPr>
              <w:t>Elaine</w:t>
            </w:r>
            <w:r>
              <w:rPr>
                <w:spacing w:val="-5"/>
                <w:sz w:val="22"/>
              </w:rPr>
              <w:t> </w:t>
            </w:r>
            <w:r>
              <w:rPr>
                <w:sz w:val="22"/>
              </w:rPr>
              <w:t>Terminal</w:t>
            </w:r>
            <w:r>
              <w:rPr>
                <w:spacing w:val="-2"/>
                <w:sz w:val="22"/>
              </w:rPr>
              <w:t> Station.</w:t>
            </w:r>
          </w:p>
        </w:tc>
      </w:tr>
      <w:tr>
        <w:trPr>
          <w:trHeight w:val="495" w:hRule="atLeast"/>
        </w:trPr>
        <w:tc>
          <w:tcPr>
            <w:tcW w:w="2380" w:type="dxa"/>
            <w:tcBorders>
              <w:left w:val="single" w:sz="4" w:space="0" w:color="A6A6A6"/>
            </w:tcBorders>
          </w:tcPr>
          <w:p>
            <w:pPr>
              <w:pStyle w:val="TableParagraph"/>
              <w:spacing w:before="118"/>
              <w:ind w:left="117"/>
              <w:rPr>
                <w:sz w:val="22"/>
              </w:rPr>
            </w:pPr>
            <w:r>
              <w:rPr>
                <w:sz w:val="22"/>
              </w:rPr>
              <w:t>Powerline</w:t>
            </w:r>
            <w:r>
              <w:rPr>
                <w:spacing w:val="-10"/>
                <w:sz w:val="22"/>
              </w:rPr>
              <w:t> </w:t>
            </w:r>
            <w:r>
              <w:rPr>
                <w:spacing w:val="-2"/>
                <w:sz w:val="22"/>
              </w:rPr>
              <w:t>length:</w:t>
            </w:r>
          </w:p>
        </w:tc>
        <w:tc>
          <w:tcPr>
            <w:tcW w:w="6864" w:type="dxa"/>
            <w:tcBorders>
              <w:right w:val="single" w:sz="4" w:space="0" w:color="A6A6A6"/>
            </w:tcBorders>
          </w:tcPr>
          <w:p>
            <w:pPr>
              <w:pStyle w:val="TableParagraph"/>
              <w:spacing w:before="118"/>
              <w:ind w:left="580"/>
              <w:rPr>
                <w:sz w:val="22"/>
              </w:rPr>
            </w:pPr>
            <w:r>
              <w:rPr>
                <w:sz w:val="22"/>
              </w:rPr>
              <w:t>22</w:t>
            </w:r>
            <w:r>
              <w:rPr>
                <w:spacing w:val="-3"/>
                <w:sz w:val="22"/>
              </w:rPr>
              <w:t> </w:t>
            </w:r>
            <w:r>
              <w:rPr>
                <w:spacing w:val="-7"/>
                <w:sz w:val="22"/>
              </w:rPr>
              <w:t>km</w:t>
            </w:r>
          </w:p>
        </w:tc>
      </w:tr>
      <w:tr>
        <w:trPr>
          <w:trHeight w:val="518" w:hRule="atLeast"/>
        </w:trPr>
        <w:tc>
          <w:tcPr>
            <w:tcW w:w="2380" w:type="dxa"/>
            <w:tcBorders>
              <w:left w:val="single" w:sz="4" w:space="0" w:color="A6A6A6"/>
            </w:tcBorders>
          </w:tcPr>
          <w:p>
            <w:pPr>
              <w:pStyle w:val="TableParagraph"/>
              <w:spacing w:before="117"/>
              <w:ind w:left="117"/>
              <w:rPr>
                <w:sz w:val="22"/>
              </w:rPr>
            </w:pPr>
            <w:r>
              <w:rPr>
                <w:sz w:val="22"/>
              </w:rPr>
              <w:t>No.</w:t>
            </w:r>
            <w:r>
              <w:rPr>
                <w:spacing w:val="-4"/>
                <w:sz w:val="22"/>
              </w:rPr>
              <w:t> </w:t>
            </w:r>
            <w:r>
              <w:rPr>
                <w:sz w:val="22"/>
              </w:rPr>
              <w:t>of </w:t>
            </w:r>
            <w:r>
              <w:rPr>
                <w:spacing w:val="-2"/>
                <w:sz w:val="22"/>
              </w:rPr>
              <w:t>towers:</w:t>
            </w:r>
          </w:p>
        </w:tc>
        <w:tc>
          <w:tcPr>
            <w:tcW w:w="6864" w:type="dxa"/>
            <w:tcBorders>
              <w:right w:val="single" w:sz="4" w:space="0" w:color="A6A6A6"/>
            </w:tcBorders>
          </w:tcPr>
          <w:p>
            <w:pPr>
              <w:pStyle w:val="TableParagraph"/>
              <w:spacing w:before="117"/>
              <w:ind w:left="580"/>
              <w:rPr>
                <w:sz w:val="22"/>
              </w:rPr>
            </w:pPr>
            <w:r>
              <w:rPr>
                <w:spacing w:val="-5"/>
                <w:sz w:val="22"/>
              </w:rPr>
              <w:t>162</w:t>
            </w:r>
          </w:p>
        </w:tc>
      </w:tr>
      <w:tr>
        <w:trPr>
          <w:trHeight w:val="494" w:hRule="atLeast"/>
        </w:trPr>
        <w:tc>
          <w:tcPr>
            <w:tcW w:w="9244" w:type="dxa"/>
            <w:gridSpan w:val="2"/>
            <w:tcBorders>
              <w:left w:val="single" w:sz="4" w:space="0" w:color="A6A6A6"/>
              <w:right w:val="single" w:sz="4" w:space="0" w:color="A6A6A6"/>
            </w:tcBorders>
            <w:shd w:val="clear" w:color="auto" w:fill="D9D9D9"/>
          </w:tcPr>
          <w:p>
            <w:pPr>
              <w:pStyle w:val="TableParagraph"/>
              <w:spacing w:before="96"/>
              <w:ind w:left="117"/>
              <w:rPr>
                <w:b/>
                <w:sz w:val="22"/>
              </w:rPr>
            </w:pPr>
            <w:r>
              <w:rPr>
                <w:b/>
                <w:sz w:val="22"/>
              </w:rPr>
              <w:t>Distribution</w:t>
            </w:r>
            <w:r>
              <w:rPr>
                <w:b/>
                <w:spacing w:val="-10"/>
                <w:sz w:val="22"/>
              </w:rPr>
              <w:t> </w:t>
            </w:r>
            <w:r>
              <w:rPr>
                <w:b/>
                <w:spacing w:val="-2"/>
                <w:sz w:val="22"/>
              </w:rPr>
              <w:t>businesses</w:t>
            </w:r>
          </w:p>
        </w:tc>
      </w:tr>
      <w:tr>
        <w:trPr>
          <w:trHeight w:val="496" w:hRule="atLeast"/>
        </w:trPr>
        <w:tc>
          <w:tcPr>
            <w:tcW w:w="9244" w:type="dxa"/>
            <w:gridSpan w:val="2"/>
            <w:tcBorders>
              <w:left w:val="single" w:sz="4" w:space="0" w:color="A6A6A6"/>
              <w:right w:val="single" w:sz="4" w:space="0" w:color="A6A6A6"/>
            </w:tcBorders>
            <w:shd w:val="clear" w:color="auto" w:fill="CDEBEB"/>
          </w:tcPr>
          <w:p>
            <w:pPr>
              <w:pStyle w:val="TableParagraph"/>
              <w:spacing w:before="96"/>
              <w:ind w:left="117"/>
              <w:rPr>
                <w:b/>
                <w:sz w:val="22"/>
              </w:rPr>
            </w:pPr>
            <w:r>
              <w:rPr>
                <w:b/>
                <w:sz w:val="22"/>
              </w:rPr>
              <w:t>AusNet</w:t>
            </w:r>
            <w:r>
              <w:rPr>
                <w:b/>
                <w:spacing w:val="-6"/>
                <w:sz w:val="22"/>
              </w:rPr>
              <w:t> </w:t>
            </w:r>
            <w:r>
              <w:rPr>
                <w:b/>
                <w:spacing w:val="-2"/>
                <w:sz w:val="22"/>
              </w:rPr>
              <w:t>Services</w:t>
            </w:r>
          </w:p>
        </w:tc>
      </w:tr>
      <w:tr>
        <w:trPr>
          <w:trHeight w:val="473" w:hRule="atLeast"/>
        </w:trPr>
        <w:tc>
          <w:tcPr>
            <w:tcW w:w="2380" w:type="dxa"/>
            <w:tcBorders>
              <w:left w:val="single" w:sz="4" w:space="0" w:color="A6A6A6"/>
            </w:tcBorders>
          </w:tcPr>
          <w:p>
            <w:pPr>
              <w:pStyle w:val="TableParagraph"/>
              <w:spacing w:before="96"/>
              <w:ind w:left="117"/>
              <w:rPr>
                <w:sz w:val="22"/>
              </w:rPr>
            </w:pPr>
            <w:r>
              <w:rPr>
                <w:spacing w:val="-2"/>
                <w:sz w:val="22"/>
              </w:rPr>
              <w:t>Customers:</w:t>
            </w:r>
          </w:p>
        </w:tc>
        <w:tc>
          <w:tcPr>
            <w:tcW w:w="6864" w:type="dxa"/>
            <w:tcBorders>
              <w:right w:val="single" w:sz="4" w:space="0" w:color="A6A6A6"/>
            </w:tcBorders>
          </w:tcPr>
          <w:p>
            <w:pPr>
              <w:pStyle w:val="TableParagraph"/>
              <w:spacing w:before="96"/>
              <w:ind w:left="580"/>
              <w:rPr>
                <w:sz w:val="22"/>
              </w:rPr>
            </w:pPr>
            <w:r>
              <w:rPr>
                <w:sz w:val="22"/>
              </w:rPr>
              <w:t>685,194</w:t>
            </w:r>
            <w:r>
              <w:rPr>
                <w:spacing w:val="-3"/>
                <w:sz w:val="22"/>
              </w:rPr>
              <w:t> </w:t>
            </w:r>
            <w:r>
              <w:rPr>
                <w:sz w:val="22"/>
              </w:rPr>
              <w:t>(90%</w:t>
            </w:r>
            <w:r>
              <w:rPr>
                <w:spacing w:val="-2"/>
                <w:sz w:val="22"/>
              </w:rPr>
              <w:t> residential)</w:t>
            </w:r>
          </w:p>
        </w:tc>
      </w:tr>
      <w:tr>
        <w:trPr>
          <w:trHeight w:val="495" w:hRule="atLeast"/>
        </w:trPr>
        <w:tc>
          <w:tcPr>
            <w:tcW w:w="2380" w:type="dxa"/>
            <w:tcBorders>
              <w:left w:val="single" w:sz="4" w:space="0" w:color="A6A6A6"/>
            </w:tcBorders>
          </w:tcPr>
          <w:p>
            <w:pPr>
              <w:pStyle w:val="TableParagraph"/>
              <w:spacing w:before="117"/>
              <w:ind w:left="117"/>
              <w:rPr>
                <w:sz w:val="22"/>
              </w:rPr>
            </w:pPr>
            <w:r>
              <w:rPr>
                <w:sz w:val="22"/>
              </w:rPr>
              <w:t>Service</w:t>
            </w:r>
            <w:r>
              <w:rPr>
                <w:spacing w:val="-8"/>
                <w:sz w:val="22"/>
              </w:rPr>
              <w:t> </w:t>
            </w:r>
            <w:r>
              <w:rPr>
                <w:spacing w:val="-2"/>
                <w:sz w:val="22"/>
              </w:rPr>
              <w:t>area:</w:t>
            </w:r>
          </w:p>
        </w:tc>
        <w:tc>
          <w:tcPr>
            <w:tcW w:w="6864" w:type="dxa"/>
            <w:tcBorders>
              <w:right w:val="single" w:sz="4" w:space="0" w:color="A6A6A6"/>
            </w:tcBorders>
          </w:tcPr>
          <w:p>
            <w:pPr>
              <w:pStyle w:val="TableParagraph"/>
              <w:spacing w:before="117"/>
              <w:ind w:left="580"/>
              <w:rPr>
                <w:sz w:val="22"/>
              </w:rPr>
            </w:pPr>
            <w:r>
              <w:rPr>
                <w:sz w:val="22"/>
              </w:rPr>
              <w:t>80,000</w:t>
            </w:r>
            <w:r>
              <w:rPr>
                <w:spacing w:val="-4"/>
                <w:sz w:val="22"/>
              </w:rPr>
              <w:t> </w:t>
            </w:r>
            <w:r>
              <w:rPr>
                <w:spacing w:val="-5"/>
                <w:sz w:val="22"/>
              </w:rPr>
              <w:t>km²</w:t>
            </w:r>
          </w:p>
        </w:tc>
      </w:tr>
      <w:tr>
        <w:trPr>
          <w:trHeight w:val="516" w:hRule="atLeast"/>
        </w:trPr>
        <w:tc>
          <w:tcPr>
            <w:tcW w:w="2380" w:type="dxa"/>
            <w:tcBorders>
              <w:left w:val="single" w:sz="4" w:space="0" w:color="A6A6A6"/>
              <w:bottom w:val="single" w:sz="4" w:space="0" w:color="A6A6A6"/>
            </w:tcBorders>
          </w:tcPr>
          <w:p>
            <w:pPr>
              <w:pStyle w:val="TableParagraph"/>
              <w:spacing w:before="118"/>
              <w:ind w:left="117"/>
              <w:rPr>
                <w:sz w:val="22"/>
              </w:rPr>
            </w:pPr>
            <w:r>
              <w:rPr>
                <w:sz w:val="22"/>
              </w:rPr>
              <w:t>Powerline</w:t>
            </w:r>
            <w:r>
              <w:rPr>
                <w:spacing w:val="-10"/>
                <w:sz w:val="22"/>
              </w:rPr>
              <w:t> </w:t>
            </w:r>
            <w:r>
              <w:rPr>
                <w:spacing w:val="-2"/>
                <w:sz w:val="22"/>
              </w:rPr>
              <w:t>length:</w:t>
            </w:r>
          </w:p>
        </w:tc>
        <w:tc>
          <w:tcPr>
            <w:tcW w:w="6864" w:type="dxa"/>
            <w:tcBorders>
              <w:bottom w:val="single" w:sz="4" w:space="0" w:color="A6A6A6"/>
              <w:right w:val="single" w:sz="4" w:space="0" w:color="A6A6A6"/>
            </w:tcBorders>
          </w:tcPr>
          <w:p>
            <w:pPr>
              <w:pStyle w:val="TableParagraph"/>
              <w:spacing w:before="118"/>
              <w:ind w:left="580"/>
              <w:rPr>
                <w:sz w:val="22"/>
              </w:rPr>
            </w:pPr>
            <w:r>
              <w:rPr>
                <w:sz w:val="22"/>
              </w:rPr>
              <w:t>41,000</w:t>
            </w:r>
            <w:r>
              <w:rPr>
                <w:spacing w:val="-5"/>
                <w:sz w:val="22"/>
              </w:rPr>
              <w:t> </w:t>
            </w:r>
            <w:r>
              <w:rPr>
                <w:sz w:val="22"/>
              </w:rPr>
              <w:t>km</w:t>
            </w:r>
            <w:r>
              <w:rPr>
                <w:spacing w:val="-3"/>
                <w:sz w:val="22"/>
              </w:rPr>
              <w:t> </w:t>
            </w:r>
            <w:r>
              <w:rPr>
                <w:sz w:val="22"/>
              </w:rPr>
              <w:t>(85%</w:t>
            </w:r>
            <w:r>
              <w:rPr>
                <w:spacing w:val="-4"/>
                <w:sz w:val="22"/>
              </w:rPr>
              <w:t> </w:t>
            </w:r>
            <w:r>
              <w:rPr>
                <w:sz w:val="22"/>
              </w:rPr>
              <w:t>rural,</w:t>
            </w:r>
            <w:r>
              <w:rPr>
                <w:spacing w:val="-3"/>
                <w:sz w:val="22"/>
              </w:rPr>
              <w:t> </w:t>
            </w:r>
            <w:r>
              <w:rPr>
                <w:sz w:val="22"/>
              </w:rPr>
              <w:t>13%</w:t>
            </w:r>
            <w:r>
              <w:rPr>
                <w:spacing w:val="-1"/>
                <w:sz w:val="22"/>
              </w:rPr>
              <w:t> </w:t>
            </w:r>
            <w:r>
              <w:rPr>
                <w:spacing w:val="-2"/>
                <w:sz w:val="22"/>
              </w:rPr>
              <w:t>underground)</w:t>
            </w:r>
          </w:p>
        </w:tc>
      </w:tr>
    </w:tbl>
    <w:p>
      <w:pPr>
        <w:spacing w:after="0"/>
        <w:rPr>
          <w:sz w:val="22"/>
        </w:rPr>
        <w:sectPr>
          <w:headerReference w:type="default" r:id="rId113"/>
          <w:footerReference w:type="default" r:id="rId114"/>
          <w:pgSz w:w="11910" w:h="16850"/>
          <w:pgMar w:header="220" w:footer="678" w:top="420" w:bottom="860" w:left="900" w:right="840"/>
        </w:sectPr>
      </w:pPr>
    </w:p>
    <w:p>
      <w:pPr>
        <w:pStyle w:val="BodyText"/>
        <w:rPr>
          <w:b/>
          <w:sz w:val="20"/>
        </w:rPr>
      </w:pPr>
    </w:p>
    <w:p>
      <w:pPr>
        <w:pStyle w:val="BodyText"/>
        <w:spacing w:before="4"/>
        <w:rPr>
          <w:b/>
          <w:sz w:val="27"/>
        </w:rPr>
      </w:pPr>
    </w:p>
    <w:tbl>
      <w:tblPr>
        <w:tblW w:w="0" w:type="auto"/>
        <w:jc w:val="left"/>
        <w:tblInd w:w="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80"/>
        <w:gridCol w:w="6864"/>
      </w:tblGrid>
      <w:tr>
        <w:trPr>
          <w:trHeight w:val="494" w:hRule="atLeast"/>
        </w:trPr>
        <w:tc>
          <w:tcPr>
            <w:tcW w:w="2380" w:type="dxa"/>
            <w:tcBorders>
              <w:top w:val="single" w:sz="4" w:space="0" w:color="A6A6A6"/>
              <w:left w:val="single" w:sz="4" w:space="0" w:color="A6A6A6"/>
            </w:tcBorders>
          </w:tcPr>
          <w:p>
            <w:pPr>
              <w:pStyle w:val="TableParagraph"/>
              <w:spacing w:before="96"/>
              <w:ind w:left="117"/>
              <w:rPr>
                <w:sz w:val="22"/>
              </w:rPr>
            </w:pPr>
            <w:r>
              <w:rPr>
                <w:sz w:val="22"/>
              </w:rPr>
              <w:t>No.</w:t>
            </w:r>
            <w:r>
              <w:rPr>
                <w:spacing w:val="-2"/>
                <w:sz w:val="22"/>
              </w:rPr>
              <w:t> </w:t>
            </w:r>
            <w:r>
              <w:rPr>
                <w:sz w:val="22"/>
              </w:rPr>
              <w:t>of </w:t>
            </w:r>
            <w:r>
              <w:rPr>
                <w:spacing w:val="-2"/>
                <w:sz w:val="22"/>
              </w:rPr>
              <w:t>poles:</w:t>
            </w:r>
          </w:p>
        </w:tc>
        <w:tc>
          <w:tcPr>
            <w:tcW w:w="6864" w:type="dxa"/>
            <w:tcBorders>
              <w:top w:val="single" w:sz="4" w:space="0" w:color="A6A6A6"/>
              <w:right w:val="single" w:sz="4" w:space="0" w:color="A6A6A6"/>
            </w:tcBorders>
          </w:tcPr>
          <w:p>
            <w:pPr>
              <w:pStyle w:val="TableParagraph"/>
              <w:spacing w:before="96"/>
              <w:ind w:left="580"/>
              <w:rPr>
                <w:sz w:val="22"/>
              </w:rPr>
            </w:pPr>
            <w:r>
              <w:rPr>
                <w:sz w:val="22"/>
              </w:rPr>
              <w:t>383,000</w:t>
            </w:r>
            <w:r>
              <w:rPr>
                <w:spacing w:val="-1"/>
                <w:sz w:val="22"/>
              </w:rPr>
              <w:t> </w:t>
            </w:r>
            <w:r>
              <w:rPr>
                <w:spacing w:val="-2"/>
                <w:sz w:val="22"/>
              </w:rPr>
              <w:t>approx.</w:t>
            </w:r>
          </w:p>
        </w:tc>
      </w:tr>
      <w:tr>
        <w:trPr>
          <w:trHeight w:val="497" w:hRule="atLeast"/>
        </w:trPr>
        <w:tc>
          <w:tcPr>
            <w:tcW w:w="9244" w:type="dxa"/>
            <w:gridSpan w:val="2"/>
            <w:tcBorders>
              <w:left w:val="single" w:sz="4" w:space="0" w:color="A6A6A6"/>
              <w:right w:val="single" w:sz="4" w:space="0" w:color="A6A6A6"/>
            </w:tcBorders>
            <w:shd w:val="clear" w:color="auto" w:fill="CDEBEB"/>
          </w:tcPr>
          <w:p>
            <w:pPr>
              <w:pStyle w:val="TableParagraph"/>
              <w:spacing w:before="96"/>
              <w:ind w:left="117"/>
              <w:rPr>
                <w:b/>
                <w:sz w:val="22"/>
              </w:rPr>
            </w:pPr>
            <w:r>
              <w:rPr>
                <w:b/>
                <w:spacing w:val="-2"/>
                <w:sz w:val="22"/>
              </w:rPr>
              <w:t>CitiPower</w:t>
            </w:r>
          </w:p>
        </w:tc>
      </w:tr>
      <w:tr>
        <w:trPr>
          <w:trHeight w:val="473" w:hRule="atLeast"/>
        </w:trPr>
        <w:tc>
          <w:tcPr>
            <w:tcW w:w="2380" w:type="dxa"/>
            <w:tcBorders>
              <w:left w:val="single" w:sz="4" w:space="0" w:color="A6A6A6"/>
            </w:tcBorders>
          </w:tcPr>
          <w:p>
            <w:pPr>
              <w:pStyle w:val="TableParagraph"/>
              <w:spacing w:before="96"/>
              <w:ind w:left="117"/>
              <w:rPr>
                <w:sz w:val="22"/>
              </w:rPr>
            </w:pPr>
            <w:r>
              <w:rPr>
                <w:spacing w:val="-2"/>
                <w:sz w:val="22"/>
              </w:rPr>
              <w:t>Customers:</w:t>
            </w:r>
          </w:p>
        </w:tc>
        <w:tc>
          <w:tcPr>
            <w:tcW w:w="6864" w:type="dxa"/>
            <w:tcBorders>
              <w:right w:val="single" w:sz="4" w:space="0" w:color="A6A6A6"/>
            </w:tcBorders>
          </w:tcPr>
          <w:p>
            <w:pPr>
              <w:pStyle w:val="TableParagraph"/>
              <w:spacing w:before="96"/>
              <w:ind w:left="580"/>
              <w:rPr>
                <w:sz w:val="22"/>
              </w:rPr>
            </w:pPr>
            <w:r>
              <w:rPr>
                <w:sz w:val="22"/>
              </w:rPr>
              <w:t>325,917</w:t>
            </w:r>
            <w:r>
              <w:rPr>
                <w:spacing w:val="-3"/>
                <w:sz w:val="22"/>
              </w:rPr>
              <w:t> </w:t>
            </w:r>
            <w:r>
              <w:rPr>
                <w:sz w:val="22"/>
              </w:rPr>
              <w:t>(85%</w:t>
            </w:r>
            <w:r>
              <w:rPr>
                <w:spacing w:val="-2"/>
                <w:sz w:val="22"/>
              </w:rPr>
              <w:t> residential)</w:t>
            </w:r>
          </w:p>
        </w:tc>
      </w:tr>
      <w:tr>
        <w:trPr>
          <w:trHeight w:val="495" w:hRule="atLeast"/>
        </w:trPr>
        <w:tc>
          <w:tcPr>
            <w:tcW w:w="2380" w:type="dxa"/>
            <w:tcBorders>
              <w:left w:val="single" w:sz="4" w:space="0" w:color="A6A6A6"/>
            </w:tcBorders>
          </w:tcPr>
          <w:p>
            <w:pPr>
              <w:pStyle w:val="TableParagraph"/>
              <w:spacing w:before="117"/>
              <w:ind w:left="117"/>
              <w:rPr>
                <w:sz w:val="22"/>
              </w:rPr>
            </w:pPr>
            <w:r>
              <w:rPr>
                <w:sz w:val="22"/>
              </w:rPr>
              <w:t>Service</w:t>
            </w:r>
            <w:r>
              <w:rPr>
                <w:spacing w:val="-8"/>
                <w:sz w:val="22"/>
              </w:rPr>
              <w:t> </w:t>
            </w:r>
            <w:r>
              <w:rPr>
                <w:spacing w:val="-2"/>
                <w:sz w:val="22"/>
              </w:rPr>
              <w:t>area:</w:t>
            </w:r>
          </w:p>
        </w:tc>
        <w:tc>
          <w:tcPr>
            <w:tcW w:w="6864" w:type="dxa"/>
            <w:tcBorders>
              <w:right w:val="single" w:sz="4" w:space="0" w:color="A6A6A6"/>
            </w:tcBorders>
          </w:tcPr>
          <w:p>
            <w:pPr>
              <w:pStyle w:val="TableParagraph"/>
              <w:spacing w:before="117"/>
              <w:ind w:left="580"/>
              <w:rPr>
                <w:sz w:val="22"/>
              </w:rPr>
            </w:pPr>
            <w:r>
              <w:rPr>
                <w:sz w:val="22"/>
              </w:rPr>
              <w:t>157</w:t>
            </w:r>
            <w:r>
              <w:rPr>
                <w:spacing w:val="-5"/>
                <w:sz w:val="22"/>
              </w:rPr>
              <w:t> km²</w:t>
            </w:r>
          </w:p>
        </w:tc>
      </w:tr>
      <w:tr>
        <w:trPr>
          <w:trHeight w:val="495" w:hRule="atLeast"/>
        </w:trPr>
        <w:tc>
          <w:tcPr>
            <w:tcW w:w="2380" w:type="dxa"/>
            <w:tcBorders>
              <w:left w:val="single" w:sz="4" w:space="0" w:color="A6A6A6"/>
            </w:tcBorders>
          </w:tcPr>
          <w:p>
            <w:pPr>
              <w:pStyle w:val="TableParagraph"/>
              <w:spacing w:before="118"/>
              <w:ind w:left="117"/>
              <w:rPr>
                <w:sz w:val="22"/>
              </w:rPr>
            </w:pPr>
            <w:r>
              <w:rPr>
                <w:sz w:val="22"/>
              </w:rPr>
              <w:t>Powerline</w:t>
            </w:r>
            <w:r>
              <w:rPr>
                <w:spacing w:val="-10"/>
                <w:sz w:val="22"/>
              </w:rPr>
              <w:t> </w:t>
            </w:r>
            <w:r>
              <w:rPr>
                <w:spacing w:val="-2"/>
                <w:sz w:val="22"/>
              </w:rPr>
              <w:t>length:</w:t>
            </w:r>
          </w:p>
        </w:tc>
        <w:tc>
          <w:tcPr>
            <w:tcW w:w="6864" w:type="dxa"/>
            <w:tcBorders>
              <w:right w:val="single" w:sz="4" w:space="0" w:color="A6A6A6"/>
            </w:tcBorders>
          </w:tcPr>
          <w:p>
            <w:pPr>
              <w:pStyle w:val="TableParagraph"/>
              <w:spacing w:before="118"/>
              <w:ind w:left="580"/>
              <w:rPr>
                <w:sz w:val="22"/>
              </w:rPr>
            </w:pPr>
            <w:r>
              <w:rPr>
                <w:sz w:val="22"/>
              </w:rPr>
              <w:t>3190</w:t>
            </w:r>
            <w:r>
              <w:rPr>
                <w:spacing w:val="-5"/>
                <w:sz w:val="22"/>
              </w:rPr>
              <w:t> </w:t>
            </w:r>
            <w:r>
              <w:rPr>
                <w:sz w:val="22"/>
              </w:rPr>
              <w:t>km</w:t>
            </w:r>
            <w:r>
              <w:rPr>
                <w:spacing w:val="-3"/>
                <w:sz w:val="22"/>
              </w:rPr>
              <w:t> </w:t>
            </w:r>
            <w:r>
              <w:rPr>
                <w:sz w:val="22"/>
              </w:rPr>
              <w:t>(25%</w:t>
            </w:r>
            <w:r>
              <w:rPr>
                <w:spacing w:val="-2"/>
                <w:sz w:val="22"/>
              </w:rPr>
              <w:t> </w:t>
            </w:r>
            <w:r>
              <w:rPr>
                <w:sz w:val="22"/>
              </w:rPr>
              <w:t>CBD,</w:t>
            </w:r>
            <w:r>
              <w:rPr>
                <w:spacing w:val="-3"/>
                <w:sz w:val="22"/>
              </w:rPr>
              <w:t> </w:t>
            </w:r>
            <w:r>
              <w:rPr>
                <w:sz w:val="22"/>
              </w:rPr>
              <w:t>30% </w:t>
            </w:r>
            <w:r>
              <w:rPr>
                <w:spacing w:val="-2"/>
                <w:sz w:val="22"/>
              </w:rPr>
              <w:t>underground)</w:t>
            </w:r>
          </w:p>
        </w:tc>
      </w:tr>
      <w:tr>
        <w:trPr>
          <w:trHeight w:val="518" w:hRule="atLeast"/>
        </w:trPr>
        <w:tc>
          <w:tcPr>
            <w:tcW w:w="2380" w:type="dxa"/>
            <w:tcBorders>
              <w:left w:val="single" w:sz="4" w:space="0" w:color="A6A6A6"/>
            </w:tcBorders>
          </w:tcPr>
          <w:p>
            <w:pPr>
              <w:pStyle w:val="TableParagraph"/>
              <w:spacing w:before="117"/>
              <w:ind w:left="117"/>
              <w:rPr>
                <w:sz w:val="22"/>
              </w:rPr>
            </w:pPr>
            <w:r>
              <w:rPr>
                <w:sz w:val="22"/>
              </w:rPr>
              <w:t>No.</w:t>
            </w:r>
            <w:r>
              <w:rPr>
                <w:spacing w:val="-2"/>
                <w:sz w:val="22"/>
              </w:rPr>
              <w:t> </w:t>
            </w:r>
            <w:r>
              <w:rPr>
                <w:sz w:val="22"/>
              </w:rPr>
              <w:t>of </w:t>
            </w:r>
            <w:r>
              <w:rPr>
                <w:spacing w:val="-2"/>
                <w:sz w:val="22"/>
              </w:rPr>
              <w:t>poles:</w:t>
            </w:r>
          </w:p>
        </w:tc>
        <w:tc>
          <w:tcPr>
            <w:tcW w:w="6864" w:type="dxa"/>
            <w:tcBorders>
              <w:right w:val="single" w:sz="4" w:space="0" w:color="A6A6A6"/>
            </w:tcBorders>
          </w:tcPr>
          <w:p>
            <w:pPr>
              <w:pStyle w:val="TableParagraph"/>
              <w:spacing w:before="117"/>
              <w:ind w:left="580"/>
              <w:rPr>
                <w:sz w:val="22"/>
              </w:rPr>
            </w:pPr>
            <w:r>
              <w:rPr>
                <w:sz w:val="22"/>
              </w:rPr>
              <w:t>58,200</w:t>
            </w:r>
            <w:r>
              <w:rPr>
                <w:spacing w:val="-2"/>
                <w:sz w:val="22"/>
              </w:rPr>
              <w:t> approx.</w:t>
            </w:r>
          </w:p>
        </w:tc>
      </w:tr>
      <w:tr>
        <w:trPr>
          <w:trHeight w:val="494" w:hRule="atLeast"/>
        </w:trPr>
        <w:tc>
          <w:tcPr>
            <w:tcW w:w="9244" w:type="dxa"/>
            <w:gridSpan w:val="2"/>
            <w:tcBorders>
              <w:left w:val="single" w:sz="4" w:space="0" w:color="A6A6A6"/>
              <w:right w:val="single" w:sz="4" w:space="0" w:color="A6A6A6"/>
            </w:tcBorders>
            <w:shd w:val="clear" w:color="auto" w:fill="CDEBEB"/>
          </w:tcPr>
          <w:p>
            <w:pPr>
              <w:pStyle w:val="TableParagraph"/>
              <w:spacing w:before="96"/>
              <w:ind w:left="117"/>
              <w:rPr>
                <w:b/>
                <w:sz w:val="22"/>
              </w:rPr>
            </w:pPr>
            <w:r>
              <w:rPr>
                <w:b/>
                <w:spacing w:val="-2"/>
                <w:sz w:val="22"/>
              </w:rPr>
              <w:t>Jemena</w:t>
            </w:r>
          </w:p>
        </w:tc>
      </w:tr>
      <w:tr>
        <w:trPr>
          <w:trHeight w:val="474" w:hRule="atLeast"/>
        </w:trPr>
        <w:tc>
          <w:tcPr>
            <w:tcW w:w="2380" w:type="dxa"/>
            <w:tcBorders>
              <w:left w:val="single" w:sz="4" w:space="0" w:color="A6A6A6"/>
            </w:tcBorders>
          </w:tcPr>
          <w:p>
            <w:pPr>
              <w:pStyle w:val="TableParagraph"/>
              <w:spacing w:before="96"/>
              <w:ind w:left="117"/>
              <w:rPr>
                <w:sz w:val="22"/>
              </w:rPr>
            </w:pPr>
            <w:r>
              <w:rPr>
                <w:spacing w:val="-2"/>
                <w:sz w:val="22"/>
              </w:rPr>
              <w:t>Customers:</w:t>
            </w:r>
          </w:p>
        </w:tc>
        <w:tc>
          <w:tcPr>
            <w:tcW w:w="6864" w:type="dxa"/>
            <w:tcBorders>
              <w:right w:val="single" w:sz="4" w:space="0" w:color="A6A6A6"/>
            </w:tcBorders>
          </w:tcPr>
          <w:p>
            <w:pPr>
              <w:pStyle w:val="TableParagraph"/>
              <w:spacing w:before="96"/>
              <w:ind w:left="580"/>
              <w:rPr>
                <w:sz w:val="22"/>
              </w:rPr>
            </w:pPr>
            <w:r>
              <w:rPr>
                <w:sz w:val="22"/>
              </w:rPr>
              <w:t>327,386</w:t>
            </w:r>
            <w:r>
              <w:rPr>
                <w:spacing w:val="-4"/>
                <w:sz w:val="22"/>
              </w:rPr>
              <w:t> </w:t>
            </w:r>
            <w:r>
              <w:rPr>
                <w:sz w:val="22"/>
              </w:rPr>
              <w:t>(90%</w:t>
            </w:r>
            <w:r>
              <w:rPr>
                <w:spacing w:val="-3"/>
                <w:sz w:val="22"/>
              </w:rPr>
              <w:t> </w:t>
            </w:r>
            <w:r>
              <w:rPr>
                <w:spacing w:val="-2"/>
                <w:sz w:val="22"/>
              </w:rPr>
              <w:t>residential)</w:t>
            </w:r>
          </w:p>
        </w:tc>
      </w:tr>
      <w:tr>
        <w:trPr>
          <w:trHeight w:val="495" w:hRule="atLeast"/>
        </w:trPr>
        <w:tc>
          <w:tcPr>
            <w:tcW w:w="2380" w:type="dxa"/>
            <w:tcBorders>
              <w:left w:val="single" w:sz="4" w:space="0" w:color="A6A6A6"/>
            </w:tcBorders>
          </w:tcPr>
          <w:p>
            <w:pPr>
              <w:pStyle w:val="TableParagraph"/>
              <w:spacing w:before="118"/>
              <w:ind w:left="117"/>
              <w:rPr>
                <w:sz w:val="22"/>
              </w:rPr>
            </w:pPr>
            <w:r>
              <w:rPr>
                <w:sz w:val="22"/>
              </w:rPr>
              <w:t>Service</w:t>
            </w:r>
            <w:r>
              <w:rPr>
                <w:spacing w:val="-8"/>
                <w:sz w:val="22"/>
              </w:rPr>
              <w:t> </w:t>
            </w:r>
            <w:r>
              <w:rPr>
                <w:spacing w:val="-2"/>
                <w:sz w:val="22"/>
              </w:rPr>
              <w:t>area:</w:t>
            </w:r>
          </w:p>
        </w:tc>
        <w:tc>
          <w:tcPr>
            <w:tcW w:w="6864" w:type="dxa"/>
            <w:tcBorders>
              <w:right w:val="single" w:sz="4" w:space="0" w:color="A6A6A6"/>
            </w:tcBorders>
          </w:tcPr>
          <w:p>
            <w:pPr>
              <w:pStyle w:val="TableParagraph"/>
              <w:spacing w:before="118"/>
              <w:ind w:left="580"/>
              <w:rPr>
                <w:sz w:val="22"/>
              </w:rPr>
            </w:pPr>
            <w:r>
              <w:rPr>
                <w:sz w:val="22"/>
              </w:rPr>
              <w:t>950</w:t>
            </w:r>
            <w:r>
              <w:rPr>
                <w:spacing w:val="-5"/>
                <w:sz w:val="22"/>
              </w:rPr>
              <w:t> km²</w:t>
            </w:r>
          </w:p>
        </w:tc>
      </w:tr>
      <w:tr>
        <w:trPr>
          <w:trHeight w:val="495" w:hRule="atLeast"/>
        </w:trPr>
        <w:tc>
          <w:tcPr>
            <w:tcW w:w="2380" w:type="dxa"/>
            <w:tcBorders>
              <w:left w:val="single" w:sz="4" w:space="0" w:color="A6A6A6"/>
            </w:tcBorders>
          </w:tcPr>
          <w:p>
            <w:pPr>
              <w:pStyle w:val="TableParagraph"/>
              <w:spacing w:before="117"/>
              <w:ind w:left="117"/>
              <w:rPr>
                <w:sz w:val="22"/>
              </w:rPr>
            </w:pPr>
            <w:r>
              <w:rPr>
                <w:sz w:val="22"/>
              </w:rPr>
              <w:t>Powerline</w:t>
            </w:r>
            <w:r>
              <w:rPr>
                <w:spacing w:val="-10"/>
                <w:sz w:val="22"/>
              </w:rPr>
              <w:t> </w:t>
            </w:r>
            <w:r>
              <w:rPr>
                <w:spacing w:val="-2"/>
                <w:sz w:val="22"/>
              </w:rPr>
              <w:t>length:</w:t>
            </w:r>
          </w:p>
        </w:tc>
        <w:tc>
          <w:tcPr>
            <w:tcW w:w="6864" w:type="dxa"/>
            <w:tcBorders>
              <w:right w:val="single" w:sz="4" w:space="0" w:color="A6A6A6"/>
            </w:tcBorders>
          </w:tcPr>
          <w:p>
            <w:pPr>
              <w:pStyle w:val="TableParagraph"/>
              <w:spacing w:before="117"/>
              <w:ind w:left="580"/>
              <w:rPr>
                <w:sz w:val="22"/>
              </w:rPr>
            </w:pPr>
            <w:r>
              <w:rPr>
                <w:sz w:val="22"/>
              </w:rPr>
              <w:t>6301</w:t>
            </w:r>
            <w:r>
              <w:rPr>
                <w:spacing w:val="-6"/>
                <w:sz w:val="22"/>
              </w:rPr>
              <w:t> </w:t>
            </w:r>
            <w:r>
              <w:rPr>
                <w:sz w:val="22"/>
              </w:rPr>
              <w:t>km</w:t>
            </w:r>
            <w:r>
              <w:rPr>
                <w:spacing w:val="-4"/>
                <w:sz w:val="22"/>
              </w:rPr>
              <w:t> </w:t>
            </w:r>
            <w:r>
              <w:rPr>
                <w:sz w:val="22"/>
              </w:rPr>
              <w:t>(75%</w:t>
            </w:r>
            <w:r>
              <w:rPr>
                <w:spacing w:val="-2"/>
                <w:sz w:val="22"/>
              </w:rPr>
              <w:t> </w:t>
            </w:r>
            <w:r>
              <w:rPr>
                <w:sz w:val="22"/>
              </w:rPr>
              <w:t>urban,</w:t>
            </w:r>
            <w:r>
              <w:rPr>
                <w:spacing w:val="-1"/>
                <w:sz w:val="22"/>
              </w:rPr>
              <w:t> </w:t>
            </w:r>
            <w:r>
              <w:rPr>
                <w:sz w:val="22"/>
              </w:rPr>
              <w:t>29%</w:t>
            </w:r>
            <w:r>
              <w:rPr>
                <w:spacing w:val="-2"/>
                <w:sz w:val="22"/>
              </w:rPr>
              <w:t> underground)</w:t>
            </w:r>
          </w:p>
        </w:tc>
      </w:tr>
      <w:tr>
        <w:trPr>
          <w:trHeight w:val="516" w:hRule="atLeast"/>
        </w:trPr>
        <w:tc>
          <w:tcPr>
            <w:tcW w:w="2380" w:type="dxa"/>
            <w:tcBorders>
              <w:left w:val="single" w:sz="4" w:space="0" w:color="A6A6A6"/>
            </w:tcBorders>
          </w:tcPr>
          <w:p>
            <w:pPr>
              <w:pStyle w:val="TableParagraph"/>
              <w:spacing w:before="118"/>
              <w:ind w:left="117"/>
              <w:rPr>
                <w:sz w:val="22"/>
              </w:rPr>
            </w:pPr>
            <w:r>
              <w:rPr>
                <w:sz w:val="22"/>
              </w:rPr>
              <w:t>No.</w:t>
            </w:r>
            <w:r>
              <w:rPr>
                <w:spacing w:val="-2"/>
                <w:sz w:val="22"/>
              </w:rPr>
              <w:t> </w:t>
            </w:r>
            <w:r>
              <w:rPr>
                <w:sz w:val="22"/>
              </w:rPr>
              <w:t>of </w:t>
            </w:r>
            <w:r>
              <w:rPr>
                <w:spacing w:val="-2"/>
                <w:sz w:val="22"/>
              </w:rPr>
              <w:t>poles:</w:t>
            </w:r>
          </w:p>
        </w:tc>
        <w:tc>
          <w:tcPr>
            <w:tcW w:w="6864" w:type="dxa"/>
            <w:tcBorders>
              <w:right w:val="single" w:sz="4" w:space="0" w:color="A6A6A6"/>
            </w:tcBorders>
          </w:tcPr>
          <w:p>
            <w:pPr>
              <w:pStyle w:val="TableParagraph"/>
              <w:spacing w:before="118"/>
              <w:ind w:left="580"/>
              <w:rPr>
                <w:sz w:val="22"/>
              </w:rPr>
            </w:pPr>
            <w:r>
              <w:rPr>
                <w:sz w:val="22"/>
              </w:rPr>
              <w:t>103,000</w:t>
            </w:r>
            <w:r>
              <w:rPr>
                <w:spacing w:val="-1"/>
                <w:sz w:val="22"/>
              </w:rPr>
              <w:t> </w:t>
            </w:r>
            <w:r>
              <w:rPr>
                <w:spacing w:val="-2"/>
                <w:sz w:val="22"/>
              </w:rPr>
              <w:t>approx.</w:t>
            </w:r>
          </w:p>
        </w:tc>
      </w:tr>
      <w:tr>
        <w:trPr>
          <w:trHeight w:val="496" w:hRule="atLeast"/>
        </w:trPr>
        <w:tc>
          <w:tcPr>
            <w:tcW w:w="9244" w:type="dxa"/>
            <w:gridSpan w:val="2"/>
            <w:tcBorders>
              <w:left w:val="single" w:sz="4" w:space="0" w:color="A6A6A6"/>
              <w:right w:val="single" w:sz="4" w:space="0" w:color="A6A6A6"/>
            </w:tcBorders>
            <w:shd w:val="clear" w:color="auto" w:fill="CDEBEB"/>
          </w:tcPr>
          <w:p>
            <w:pPr>
              <w:pStyle w:val="TableParagraph"/>
              <w:spacing w:before="96"/>
              <w:ind w:left="117"/>
              <w:rPr>
                <w:b/>
                <w:sz w:val="22"/>
              </w:rPr>
            </w:pPr>
            <w:r>
              <w:rPr>
                <w:b/>
                <w:spacing w:val="-2"/>
                <w:sz w:val="22"/>
              </w:rPr>
              <w:t>Powercor</w:t>
            </w:r>
          </w:p>
        </w:tc>
      </w:tr>
      <w:tr>
        <w:trPr>
          <w:trHeight w:val="473" w:hRule="atLeast"/>
        </w:trPr>
        <w:tc>
          <w:tcPr>
            <w:tcW w:w="2380" w:type="dxa"/>
            <w:tcBorders>
              <w:left w:val="single" w:sz="4" w:space="0" w:color="A6A6A6"/>
            </w:tcBorders>
          </w:tcPr>
          <w:p>
            <w:pPr>
              <w:pStyle w:val="TableParagraph"/>
              <w:spacing w:before="96"/>
              <w:ind w:left="117"/>
              <w:rPr>
                <w:sz w:val="22"/>
              </w:rPr>
            </w:pPr>
            <w:r>
              <w:rPr>
                <w:spacing w:val="-2"/>
                <w:sz w:val="22"/>
              </w:rPr>
              <w:t>Customers:</w:t>
            </w:r>
          </w:p>
        </w:tc>
        <w:tc>
          <w:tcPr>
            <w:tcW w:w="6864" w:type="dxa"/>
            <w:tcBorders>
              <w:right w:val="single" w:sz="4" w:space="0" w:color="A6A6A6"/>
            </w:tcBorders>
          </w:tcPr>
          <w:p>
            <w:pPr>
              <w:pStyle w:val="TableParagraph"/>
              <w:spacing w:before="96"/>
              <w:ind w:left="580"/>
              <w:rPr>
                <w:sz w:val="22"/>
              </w:rPr>
            </w:pPr>
            <w:r>
              <w:rPr>
                <w:sz w:val="22"/>
              </w:rPr>
              <w:t>765,241</w:t>
            </w:r>
            <w:r>
              <w:rPr>
                <w:spacing w:val="-3"/>
                <w:sz w:val="22"/>
              </w:rPr>
              <w:t> </w:t>
            </w:r>
            <w:r>
              <w:rPr>
                <w:sz w:val="22"/>
              </w:rPr>
              <w:t>(85%</w:t>
            </w:r>
            <w:r>
              <w:rPr>
                <w:spacing w:val="-2"/>
                <w:sz w:val="22"/>
              </w:rPr>
              <w:t> residential)</w:t>
            </w:r>
          </w:p>
        </w:tc>
      </w:tr>
      <w:tr>
        <w:trPr>
          <w:trHeight w:val="495" w:hRule="atLeast"/>
        </w:trPr>
        <w:tc>
          <w:tcPr>
            <w:tcW w:w="2380" w:type="dxa"/>
            <w:tcBorders>
              <w:left w:val="single" w:sz="4" w:space="0" w:color="A6A6A6"/>
            </w:tcBorders>
          </w:tcPr>
          <w:p>
            <w:pPr>
              <w:pStyle w:val="TableParagraph"/>
              <w:spacing w:before="117"/>
              <w:ind w:left="117"/>
              <w:rPr>
                <w:sz w:val="22"/>
              </w:rPr>
            </w:pPr>
            <w:r>
              <w:rPr>
                <w:sz w:val="22"/>
              </w:rPr>
              <w:t>Service</w:t>
            </w:r>
            <w:r>
              <w:rPr>
                <w:spacing w:val="-8"/>
                <w:sz w:val="22"/>
              </w:rPr>
              <w:t> </w:t>
            </w:r>
            <w:r>
              <w:rPr>
                <w:spacing w:val="-2"/>
                <w:sz w:val="22"/>
              </w:rPr>
              <w:t>area:</w:t>
            </w:r>
          </w:p>
        </w:tc>
        <w:tc>
          <w:tcPr>
            <w:tcW w:w="6864" w:type="dxa"/>
            <w:tcBorders>
              <w:right w:val="single" w:sz="4" w:space="0" w:color="A6A6A6"/>
            </w:tcBorders>
          </w:tcPr>
          <w:p>
            <w:pPr>
              <w:pStyle w:val="TableParagraph"/>
              <w:spacing w:before="117"/>
              <w:ind w:left="580"/>
              <w:rPr>
                <w:sz w:val="22"/>
              </w:rPr>
            </w:pPr>
            <w:r>
              <w:rPr>
                <w:sz w:val="22"/>
              </w:rPr>
              <w:t>145,651</w:t>
            </w:r>
            <w:r>
              <w:rPr>
                <w:spacing w:val="-3"/>
                <w:sz w:val="22"/>
              </w:rPr>
              <w:t> </w:t>
            </w:r>
            <w:r>
              <w:rPr>
                <w:spacing w:val="-5"/>
                <w:sz w:val="22"/>
              </w:rPr>
              <w:t>km²</w:t>
            </w:r>
          </w:p>
        </w:tc>
      </w:tr>
      <w:tr>
        <w:trPr>
          <w:trHeight w:val="495" w:hRule="atLeast"/>
        </w:trPr>
        <w:tc>
          <w:tcPr>
            <w:tcW w:w="2380" w:type="dxa"/>
            <w:tcBorders>
              <w:left w:val="single" w:sz="4" w:space="0" w:color="A6A6A6"/>
            </w:tcBorders>
          </w:tcPr>
          <w:p>
            <w:pPr>
              <w:pStyle w:val="TableParagraph"/>
              <w:spacing w:before="118"/>
              <w:ind w:left="117"/>
              <w:rPr>
                <w:sz w:val="22"/>
              </w:rPr>
            </w:pPr>
            <w:r>
              <w:rPr>
                <w:sz w:val="22"/>
              </w:rPr>
              <w:t>Powerline</w:t>
            </w:r>
            <w:r>
              <w:rPr>
                <w:spacing w:val="-10"/>
                <w:sz w:val="22"/>
              </w:rPr>
              <w:t> </w:t>
            </w:r>
            <w:r>
              <w:rPr>
                <w:spacing w:val="-2"/>
                <w:sz w:val="22"/>
              </w:rPr>
              <w:t>length:</w:t>
            </w:r>
          </w:p>
        </w:tc>
        <w:tc>
          <w:tcPr>
            <w:tcW w:w="6864" w:type="dxa"/>
            <w:tcBorders>
              <w:right w:val="single" w:sz="4" w:space="0" w:color="A6A6A6"/>
            </w:tcBorders>
          </w:tcPr>
          <w:p>
            <w:pPr>
              <w:pStyle w:val="TableParagraph"/>
              <w:spacing w:before="118"/>
              <w:ind w:left="580"/>
              <w:rPr>
                <w:sz w:val="22"/>
              </w:rPr>
            </w:pPr>
            <w:r>
              <w:rPr>
                <w:sz w:val="22"/>
              </w:rPr>
              <w:t>67,000</w:t>
            </w:r>
            <w:r>
              <w:rPr>
                <w:spacing w:val="-5"/>
                <w:sz w:val="22"/>
              </w:rPr>
              <w:t> </w:t>
            </w:r>
            <w:r>
              <w:rPr>
                <w:sz w:val="22"/>
              </w:rPr>
              <w:t>km</w:t>
            </w:r>
            <w:r>
              <w:rPr>
                <w:spacing w:val="-3"/>
                <w:sz w:val="22"/>
              </w:rPr>
              <w:t> </w:t>
            </w:r>
            <w:r>
              <w:rPr>
                <w:sz w:val="22"/>
              </w:rPr>
              <w:t>(92%</w:t>
            </w:r>
            <w:r>
              <w:rPr>
                <w:spacing w:val="-4"/>
                <w:sz w:val="22"/>
              </w:rPr>
              <w:t> </w:t>
            </w:r>
            <w:r>
              <w:rPr>
                <w:sz w:val="22"/>
              </w:rPr>
              <w:t>rural,</w:t>
            </w:r>
            <w:r>
              <w:rPr>
                <w:spacing w:val="-3"/>
                <w:sz w:val="22"/>
              </w:rPr>
              <w:t> </w:t>
            </w:r>
            <w:r>
              <w:rPr>
                <w:sz w:val="22"/>
              </w:rPr>
              <w:t>11%</w:t>
            </w:r>
            <w:r>
              <w:rPr>
                <w:spacing w:val="-1"/>
                <w:sz w:val="22"/>
              </w:rPr>
              <w:t> </w:t>
            </w:r>
            <w:r>
              <w:rPr>
                <w:spacing w:val="-2"/>
                <w:sz w:val="22"/>
              </w:rPr>
              <w:t>underground)</w:t>
            </w:r>
          </w:p>
        </w:tc>
      </w:tr>
      <w:tr>
        <w:trPr>
          <w:trHeight w:val="518" w:hRule="atLeast"/>
        </w:trPr>
        <w:tc>
          <w:tcPr>
            <w:tcW w:w="2380" w:type="dxa"/>
            <w:tcBorders>
              <w:left w:val="single" w:sz="4" w:space="0" w:color="A6A6A6"/>
            </w:tcBorders>
          </w:tcPr>
          <w:p>
            <w:pPr>
              <w:pStyle w:val="TableParagraph"/>
              <w:spacing w:before="117"/>
              <w:ind w:left="117"/>
              <w:rPr>
                <w:sz w:val="22"/>
              </w:rPr>
            </w:pPr>
            <w:r>
              <w:rPr>
                <w:sz w:val="22"/>
              </w:rPr>
              <w:t>No.</w:t>
            </w:r>
            <w:r>
              <w:rPr>
                <w:spacing w:val="-2"/>
                <w:sz w:val="22"/>
              </w:rPr>
              <w:t> </w:t>
            </w:r>
            <w:r>
              <w:rPr>
                <w:sz w:val="22"/>
              </w:rPr>
              <w:t>of </w:t>
            </w:r>
            <w:r>
              <w:rPr>
                <w:spacing w:val="-2"/>
                <w:sz w:val="22"/>
              </w:rPr>
              <w:t>poles:</w:t>
            </w:r>
          </w:p>
        </w:tc>
        <w:tc>
          <w:tcPr>
            <w:tcW w:w="6864" w:type="dxa"/>
            <w:tcBorders>
              <w:right w:val="single" w:sz="4" w:space="0" w:color="A6A6A6"/>
            </w:tcBorders>
          </w:tcPr>
          <w:p>
            <w:pPr>
              <w:pStyle w:val="TableParagraph"/>
              <w:spacing w:before="117"/>
              <w:ind w:left="580"/>
              <w:rPr>
                <w:sz w:val="22"/>
              </w:rPr>
            </w:pPr>
            <w:r>
              <w:rPr>
                <w:sz w:val="22"/>
              </w:rPr>
              <w:t>562,000</w:t>
            </w:r>
            <w:r>
              <w:rPr>
                <w:spacing w:val="-1"/>
                <w:sz w:val="22"/>
              </w:rPr>
              <w:t> </w:t>
            </w:r>
            <w:r>
              <w:rPr>
                <w:spacing w:val="-2"/>
                <w:sz w:val="22"/>
              </w:rPr>
              <w:t>approx.</w:t>
            </w:r>
          </w:p>
        </w:tc>
      </w:tr>
      <w:tr>
        <w:trPr>
          <w:trHeight w:val="494" w:hRule="atLeast"/>
        </w:trPr>
        <w:tc>
          <w:tcPr>
            <w:tcW w:w="9244" w:type="dxa"/>
            <w:gridSpan w:val="2"/>
            <w:tcBorders>
              <w:left w:val="single" w:sz="4" w:space="0" w:color="A6A6A6"/>
              <w:right w:val="single" w:sz="4" w:space="0" w:color="A6A6A6"/>
            </w:tcBorders>
            <w:shd w:val="clear" w:color="auto" w:fill="CDEBEB"/>
          </w:tcPr>
          <w:p>
            <w:pPr>
              <w:pStyle w:val="TableParagraph"/>
              <w:spacing w:before="96"/>
              <w:ind w:left="117"/>
              <w:rPr>
                <w:b/>
                <w:sz w:val="22"/>
              </w:rPr>
            </w:pPr>
            <w:r>
              <w:rPr>
                <w:b/>
                <w:sz w:val="22"/>
              </w:rPr>
              <w:t>United</w:t>
            </w:r>
            <w:r>
              <w:rPr>
                <w:b/>
                <w:spacing w:val="-1"/>
                <w:sz w:val="22"/>
              </w:rPr>
              <w:t> </w:t>
            </w:r>
            <w:r>
              <w:rPr>
                <w:b/>
                <w:spacing w:val="-2"/>
                <w:sz w:val="22"/>
              </w:rPr>
              <w:t>Energy</w:t>
            </w:r>
          </w:p>
        </w:tc>
      </w:tr>
      <w:tr>
        <w:trPr>
          <w:trHeight w:val="474" w:hRule="atLeast"/>
        </w:trPr>
        <w:tc>
          <w:tcPr>
            <w:tcW w:w="2380" w:type="dxa"/>
            <w:tcBorders>
              <w:left w:val="single" w:sz="4" w:space="0" w:color="A6A6A6"/>
            </w:tcBorders>
          </w:tcPr>
          <w:p>
            <w:pPr>
              <w:pStyle w:val="TableParagraph"/>
              <w:spacing w:before="96"/>
              <w:ind w:left="117"/>
              <w:rPr>
                <w:sz w:val="22"/>
              </w:rPr>
            </w:pPr>
            <w:r>
              <w:rPr>
                <w:spacing w:val="-2"/>
                <w:sz w:val="22"/>
              </w:rPr>
              <w:t>Customers:</w:t>
            </w:r>
          </w:p>
        </w:tc>
        <w:tc>
          <w:tcPr>
            <w:tcW w:w="6864" w:type="dxa"/>
            <w:tcBorders>
              <w:right w:val="single" w:sz="4" w:space="0" w:color="A6A6A6"/>
            </w:tcBorders>
          </w:tcPr>
          <w:p>
            <w:pPr>
              <w:pStyle w:val="TableParagraph"/>
              <w:spacing w:before="96"/>
              <w:ind w:left="580"/>
              <w:rPr>
                <w:sz w:val="22"/>
              </w:rPr>
            </w:pPr>
            <w:r>
              <w:rPr>
                <w:sz w:val="22"/>
              </w:rPr>
              <w:t>658,453</w:t>
            </w:r>
            <w:r>
              <w:rPr>
                <w:spacing w:val="-3"/>
                <w:sz w:val="22"/>
              </w:rPr>
              <w:t> </w:t>
            </w:r>
            <w:r>
              <w:rPr>
                <w:sz w:val="22"/>
              </w:rPr>
              <w:t>(90%</w:t>
            </w:r>
            <w:r>
              <w:rPr>
                <w:spacing w:val="-2"/>
                <w:sz w:val="22"/>
              </w:rPr>
              <w:t> residential)</w:t>
            </w:r>
          </w:p>
        </w:tc>
      </w:tr>
      <w:tr>
        <w:trPr>
          <w:trHeight w:val="495" w:hRule="atLeast"/>
        </w:trPr>
        <w:tc>
          <w:tcPr>
            <w:tcW w:w="2380" w:type="dxa"/>
            <w:tcBorders>
              <w:left w:val="single" w:sz="4" w:space="0" w:color="A6A6A6"/>
            </w:tcBorders>
          </w:tcPr>
          <w:p>
            <w:pPr>
              <w:pStyle w:val="TableParagraph"/>
              <w:spacing w:before="118"/>
              <w:ind w:left="117"/>
              <w:rPr>
                <w:sz w:val="22"/>
              </w:rPr>
            </w:pPr>
            <w:r>
              <w:rPr>
                <w:sz w:val="22"/>
              </w:rPr>
              <w:t>Service</w:t>
            </w:r>
            <w:r>
              <w:rPr>
                <w:spacing w:val="-8"/>
                <w:sz w:val="22"/>
              </w:rPr>
              <w:t> </w:t>
            </w:r>
            <w:r>
              <w:rPr>
                <w:spacing w:val="-2"/>
                <w:sz w:val="22"/>
              </w:rPr>
              <w:t>area:</w:t>
            </w:r>
          </w:p>
        </w:tc>
        <w:tc>
          <w:tcPr>
            <w:tcW w:w="6864" w:type="dxa"/>
            <w:tcBorders>
              <w:right w:val="single" w:sz="4" w:space="0" w:color="A6A6A6"/>
            </w:tcBorders>
          </w:tcPr>
          <w:p>
            <w:pPr>
              <w:pStyle w:val="TableParagraph"/>
              <w:spacing w:before="118"/>
              <w:ind w:left="580"/>
              <w:rPr>
                <w:sz w:val="22"/>
              </w:rPr>
            </w:pPr>
            <w:r>
              <w:rPr>
                <w:sz w:val="22"/>
              </w:rPr>
              <w:t>1472</w:t>
            </w:r>
            <w:r>
              <w:rPr>
                <w:spacing w:val="-5"/>
                <w:sz w:val="22"/>
              </w:rPr>
              <w:t> km²</w:t>
            </w:r>
          </w:p>
        </w:tc>
      </w:tr>
      <w:tr>
        <w:trPr>
          <w:trHeight w:val="495" w:hRule="atLeast"/>
        </w:trPr>
        <w:tc>
          <w:tcPr>
            <w:tcW w:w="2380" w:type="dxa"/>
            <w:tcBorders>
              <w:left w:val="single" w:sz="4" w:space="0" w:color="A6A6A6"/>
            </w:tcBorders>
          </w:tcPr>
          <w:p>
            <w:pPr>
              <w:pStyle w:val="TableParagraph"/>
              <w:spacing w:before="117"/>
              <w:ind w:left="117"/>
              <w:rPr>
                <w:sz w:val="22"/>
              </w:rPr>
            </w:pPr>
            <w:r>
              <w:rPr>
                <w:sz w:val="22"/>
              </w:rPr>
              <w:t>Powerline</w:t>
            </w:r>
            <w:r>
              <w:rPr>
                <w:spacing w:val="-10"/>
                <w:sz w:val="22"/>
              </w:rPr>
              <w:t> </w:t>
            </w:r>
            <w:r>
              <w:rPr>
                <w:spacing w:val="-2"/>
                <w:sz w:val="22"/>
              </w:rPr>
              <w:t>length:</w:t>
            </w:r>
          </w:p>
        </w:tc>
        <w:tc>
          <w:tcPr>
            <w:tcW w:w="6864" w:type="dxa"/>
            <w:tcBorders>
              <w:right w:val="single" w:sz="4" w:space="0" w:color="A6A6A6"/>
            </w:tcBorders>
          </w:tcPr>
          <w:p>
            <w:pPr>
              <w:pStyle w:val="TableParagraph"/>
              <w:spacing w:before="117"/>
              <w:ind w:left="580"/>
              <w:rPr>
                <w:sz w:val="22"/>
              </w:rPr>
            </w:pPr>
            <w:r>
              <w:rPr>
                <w:sz w:val="22"/>
              </w:rPr>
              <w:t>12,900</w:t>
            </w:r>
            <w:r>
              <w:rPr>
                <w:spacing w:val="-5"/>
                <w:sz w:val="22"/>
              </w:rPr>
              <w:t> </w:t>
            </w:r>
            <w:r>
              <w:rPr>
                <w:sz w:val="22"/>
              </w:rPr>
              <w:t>km</w:t>
            </w:r>
            <w:r>
              <w:rPr>
                <w:spacing w:val="-3"/>
                <w:sz w:val="22"/>
              </w:rPr>
              <w:t> </w:t>
            </w:r>
            <w:r>
              <w:rPr>
                <w:sz w:val="22"/>
              </w:rPr>
              <w:t>(25%</w:t>
            </w:r>
            <w:r>
              <w:rPr>
                <w:spacing w:val="-4"/>
                <w:sz w:val="22"/>
              </w:rPr>
              <w:t> </w:t>
            </w:r>
            <w:r>
              <w:rPr>
                <w:sz w:val="22"/>
              </w:rPr>
              <w:t>rural,</w:t>
            </w:r>
            <w:r>
              <w:rPr>
                <w:spacing w:val="-3"/>
                <w:sz w:val="22"/>
              </w:rPr>
              <w:t> </w:t>
            </w:r>
            <w:r>
              <w:rPr>
                <w:sz w:val="22"/>
              </w:rPr>
              <w:t>20%</w:t>
            </w:r>
            <w:r>
              <w:rPr>
                <w:spacing w:val="-1"/>
                <w:sz w:val="22"/>
              </w:rPr>
              <w:t> </w:t>
            </w:r>
            <w:r>
              <w:rPr>
                <w:spacing w:val="-2"/>
                <w:sz w:val="22"/>
              </w:rPr>
              <w:t>underground)</w:t>
            </w:r>
          </w:p>
        </w:tc>
      </w:tr>
      <w:tr>
        <w:trPr>
          <w:trHeight w:val="516" w:hRule="atLeast"/>
        </w:trPr>
        <w:tc>
          <w:tcPr>
            <w:tcW w:w="2380" w:type="dxa"/>
            <w:tcBorders>
              <w:left w:val="single" w:sz="4" w:space="0" w:color="A6A6A6"/>
              <w:bottom w:val="single" w:sz="4" w:space="0" w:color="A6A6A6"/>
            </w:tcBorders>
          </w:tcPr>
          <w:p>
            <w:pPr>
              <w:pStyle w:val="TableParagraph"/>
              <w:spacing w:before="118"/>
              <w:ind w:left="117"/>
              <w:rPr>
                <w:sz w:val="22"/>
              </w:rPr>
            </w:pPr>
            <w:r>
              <w:rPr>
                <w:sz w:val="22"/>
              </w:rPr>
              <w:t>No.</w:t>
            </w:r>
            <w:r>
              <w:rPr>
                <w:spacing w:val="-3"/>
                <w:sz w:val="22"/>
              </w:rPr>
              <w:t> </w:t>
            </w:r>
            <w:r>
              <w:rPr>
                <w:sz w:val="22"/>
              </w:rPr>
              <w:t>of </w:t>
            </w:r>
            <w:r>
              <w:rPr>
                <w:spacing w:val="-2"/>
                <w:sz w:val="22"/>
              </w:rPr>
              <w:t>poles:</w:t>
            </w:r>
          </w:p>
        </w:tc>
        <w:tc>
          <w:tcPr>
            <w:tcW w:w="6864" w:type="dxa"/>
            <w:tcBorders>
              <w:bottom w:val="single" w:sz="4" w:space="0" w:color="A6A6A6"/>
              <w:right w:val="single" w:sz="4" w:space="0" w:color="A6A6A6"/>
            </w:tcBorders>
          </w:tcPr>
          <w:p>
            <w:pPr>
              <w:pStyle w:val="TableParagraph"/>
              <w:spacing w:before="118"/>
              <w:ind w:left="580"/>
              <w:rPr>
                <w:sz w:val="22"/>
              </w:rPr>
            </w:pPr>
            <w:r>
              <w:rPr>
                <w:sz w:val="22"/>
              </w:rPr>
              <w:t>204,300</w:t>
            </w:r>
            <w:r>
              <w:rPr>
                <w:spacing w:val="-1"/>
                <w:sz w:val="22"/>
              </w:rPr>
              <w:t> </w:t>
            </w:r>
            <w:r>
              <w:rPr>
                <w:spacing w:val="-2"/>
                <w:sz w:val="22"/>
              </w:rPr>
              <w:t>approx.</w:t>
            </w:r>
          </w:p>
        </w:tc>
      </w:tr>
    </w:tbl>
    <w:p>
      <w:pPr>
        <w:pStyle w:val="BodyText"/>
        <w:spacing w:before="9"/>
        <w:rPr>
          <w:b/>
          <w:sz w:val="11"/>
        </w:rPr>
      </w:pPr>
    </w:p>
    <w:p>
      <w:pPr>
        <w:spacing w:before="94"/>
        <w:ind w:left="232" w:right="0" w:firstLine="0"/>
        <w:jc w:val="left"/>
        <w:rPr>
          <w:sz w:val="18"/>
        </w:rPr>
      </w:pPr>
      <w:r>
        <w:rPr>
          <w:sz w:val="18"/>
        </w:rPr>
        <w:t>Note:</w:t>
      </w:r>
      <w:r>
        <w:rPr>
          <w:spacing w:val="-3"/>
          <w:sz w:val="18"/>
        </w:rPr>
        <w:t> </w:t>
      </w:r>
      <w:r>
        <w:rPr>
          <w:sz w:val="18"/>
        </w:rPr>
        <w:t>AC</w:t>
      </w:r>
      <w:r>
        <w:rPr>
          <w:spacing w:val="-2"/>
          <w:sz w:val="18"/>
        </w:rPr>
        <w:t> </w:t>
      </w:r>
      <w:r>
        <w:rPr>
          <w:sz w:val="18"/>
        </w:rPr>
        <w:t>=</w:t>
      </w:r>
      <w:r>
        <w:rPr>
          <w:spacing w:val="-2"/>
          <w:sz w:val="18"/>
        </w:rPr>
        <w:t> </w:t>
      </w:r>
      <w:r>
        <w:rPr>
          <w:sz w:val="18"/>
        </w:rPr>
        <w:t>Alternating</w:t>
      </w:r>
      <w:r>
        <w:rPr>
          <w:spacing w:val="-2"/>
          <w:sz w:val="18"/>
        </w:rPr>
        <w:t> </w:t>
      </w:r>
      <w:r>
        <w:rPr>
          <w:sz w:val="18"/>
        </w:rPr>
        <w:t>current,</w:t>
      </w:r>
      <w:r>
        <w:rPr>
          <w:spacing w:val="-4"/>
          <w:sz w:val="18"/>
        </w:rPr>
        <w:t> </w:t>
      </w:r>
      <w:r>
        <w:rPr>
          <w:sz w:val="18"/>
        </w:rPr>
        <w:t>DC</w:t>
      </w:r>
      <w:r>
        <w:rPr>
          <w:spacing w:val="-3"/>
          <w:sz w:val="18"/>
        </w:rPr>
        <w:t> </w:t>
      </w:r>
      <w:r>
        <w:rPr>
          <w:sz w:val="18"/>
        </w:rPr>
        <w:t>=</w:t>
      </w:r>
      <w:r>
        <w:rPr>
          <w:spacing w:val="-1"/>
          <w:sz w:val="18"/>
        </w:rPr>
        <w:t> </w:t>
      </w:r>
      <w:r>
        <w:rPr>
          <w:sz w:val="18"/>
        </w:rPr>
        <w:t>direct</w:t>
      </w:r>
      <w:r>
        <w:rPr>
          <w:spacing w:val="-4"/>
          <w:sz w:val="18"/>
        </w:rPr>
        <w:t> </w:t>
      </w:r>
      <w:r>
        <w:rPr>
          <w:sz w:val="18"/>
        </w:rPr>
        <w:t>current,</w:t>
      </w:r>
      <w:r>
        <w:rPr>
          <w:spacing w:val="-2"/>
          <w:sz w:val="18"/>
        </w:rPr>
        <w:t> </w:t>
      </w:r>
      <w:r>
        <w:rPr>
          <w:sz w:val="18"/>
        </w:rPr>
        <w:t>kV</w:t>
      </w:r>
      <w:r>
        <w:rPr>
          <w:spacing w:val="-5"/>
          <w:sz w:val="18"/>
        </w:rPr>
        <w:t> </w:t>
      </w:r>
      <w:r>
        <w:rPr>
          <w:sz w:val="18"/>
        </w:rPr>
        <w:t>=</w:t>
      </w:r>
      <w:r>
        <w:rPr>
          <w:spacing w:val="-2"/>
          <w:sz w:val="18"/>
        </w:rPr>
        <w:t> kilovolt</w:t>
      </w:r>
    </w:p>
    <w:p>
      <w:pPr>
        <w:spacing w:after="0"/>
        <w:jc w:val="left"/>
        <w:rPr>
          <w:sz w:val="18"/>
        </w:rPr>
        <w:sectPr>
          <w:headerReference w:type="default" r:id="rId115"/>
          <w:footerReference w:type="default" r:id="rId116"/>
          <w:pgSz w:w="11910" w:h="16850"/>
          <w:pgMar w:header="220" w:footer="678" w:top="420" w:bottom="860" w:left="900" w:right="840"/>
        </w:sectPr>
      </w:pPr>
    </w:p>
    <w:p>
      <w:pPr>
        <w:pStyle w:val="BodyText"/>
        <w:rPr>
          <w:sz w:val="20"/>
        </w:rPr>
      </w:pPr>
    </w:p>
    <w:p>
      <w:pPr>
        <w:pStyle w:val="BodyText"/>
        <w:rPr>
          <w:sz w:val="20"/>
        </w:rPr>
      </w:pPr>
    </w:p>
    <w:p>
      <w:pPr>
        <w:pStyle w:val="BodyText"/>
        <w:rPr>
          <w:sz w:val="20"/>
        </w:rPr>
      </w:pPr>
    </w:p>
    <w:p>
      <w:pPr>
        <w:pStyle w:val="BodyText"/>
        <w:spacing w:before="4"/>
        <w:rPr>
          <w:sz w:val="26"/>
        </w:rPr>
      </w:pPr>
    </w:p>
    <w:p>
      <w:pPr>
        <w:pStyle w:val="BodyText"/>
        <w:spacing w:before="94"/>
        <w:ind w:left="232"/>
      </w:pPr>
      <w:r>
        <w:rPr/>
        <w:t>The</w:t>
      </w:r>
      <w:r>
        <w:rPr>
          <w:spacing w:val="-11"/>
        </w:rPr>
        <w:t> </w:t>
      </w:r>
      <w:r>
        <w:rPr/>
        <w:t>geographic</w:t>
      </w:r>
      <w:r>
        <w:rPr>
          <w:spacing w:val="-4"/>
        </w:rPr>
        <w:t> </w:t>
      </w:r>
      <w:r>
        <w:rPr/>
        <w:t>distribution</w:t>
      </w:r>
      <w:r>
        <w:rPr>
          <w:spacing w:val="-6"/>
        </w:rPr>
        <w:t> </w:t>
      </w:r>
      <w:r>
        <w:rPr/>
        <w:t>of</w:t>
      </w:r>
      <w:r>
        <w:rPr>
          <w:spacing w:val="-4"/>
        </w:rPr>
        <w:t> </w:t>
      </w:r>
      <w:r>
        <w:rPr/>
        <w:t>these</w:t>
      </w:r>
      <w:r>
        <w:rPr>
          <w:spacing w:val="-7"/>
        </w:rPr>
        <w:t> </w:t>
      </w:r>
      <w:r>
        <w:rPr/>
        <w:t>businesses</w:t>
      </w:r>
      <w:r>
        <w:rPr>
          <w:spacing w:val="-8"/>
        </w:rPr>
        <w:t> </w:t>
      </w:r>
      <w:r>
        <w:rPr/>
        <w:t>is</w:t>
      </w:r>
      <w:r>
        <w:rPr>
          <w:spacing w:val="-2"/>
        </w:rPr>
        <w:t> </w:t>
      </w:r>
      <w:r>
        <w:rPr/>
        <w:t>shown</w:t>
      </w:r>
      <w:r>
        <w:rPr>
          <w:spacing w:val="-5"/>
        </w:rPr>
        <w:t> </w:t>
      </w:r>
      <w:r>
        <w:rPr>
          <w:spacing w:val="-2"/>
        </w:rPr>
        <w:t>below:</w:t>
      </w:r>
    </w:p>
    <w:p>
      <w:pPr>
        <w:pStyle w:val="BodyText"/>
        <w:spacing w:before="10"/>
        <w:rPr>
          <w:sz w:val="35"/>
        </w:rPr>
      </w:pPr>
    </w:p>
    <w:p>
      <w:pPr>
        <w:pStyle w:val="Heading7"/>
        <w:ind w:left="232"/>
      </w:pPr>
      <w:r>
        <w:rPr/>
        <w:t>Figure</w:t>
      </w:r>
      <w:r>
        <w:rPr>
          <w:spacing w:val="-7"/>
        </w:rPr>
        <w:t> </w:t>
      </w:r>
      <w:r>
        <w:rPr/>
        <w:t>B1:</w:t>
      </w:r>
      <w:r>
        <w:rPr>
          <w:spacing w:val="-5"/>
        </w:rPr>
        <w:t> </w:t>
      </w:r>
      <w:r>
        <w:rPr/>
        <w:t>Electricity</w:t>
      </w:r>
      <w:r>
        <w:rPr>
          <w:spacing w:val="-11"/>
        </w:rPr>
        <w:t> </w:t>
      </w:r>
      <w:r>
        <w:rPr/>
        <w:t>distribution</w:t>
      </w:r>
      <w:r>
        <w:rPr>
          <w:spacing w:val="-7"/>
        </w:rPr>
        <w:t> </w:t>
      </w:r>
      <w:r>
        <w:rPr/>
        <w:t>and</w:t>
      </w:r>
      <w:r>
        <w:rPr>
          <w:spacing w:val="-9"/>
        </w:rPr>
        <w:t> </w:t>
      </w:r>
      <w:r>
        <w:rPr/>
        <w:t>transmission</w:t>
      </w:r>
      <w:r>
        <w:rPr>
          <w:spacing w:val="-7"/>
        </w:rPr>
        <w:t> </w:t>
      </w:r>
      <w:r>
        <w:rPr>
          <w:spacing w:val="-2"/>
        </w:rPr>
        <w:t>areas</w:t>
      </w:r>
    </w:p>
    <w:p>
      <w:pPr>
        <w:pStyle w:val="BodyText"/>
        <w:rPr>
          <w:b/>
          <w:sz w:val="20"/>
        </w:rPr>
      </w:pPr>
    </w:p>
    <w:p>
      <w:pPr>
        <w:pStyle w:val="BodyText"/>
        <w:spacing w:before="9"/>
        <w:rPr>
          <w:b/>
          <w:sz w:val="10"/>
        </w:rPr>
      </w:pPr>
      <w:r>
        <w:rPr/>
        <w:drawing>
          <wp:anchor distT="0" distB="0" distL="0" distR="0" allowOverlap="1" layoutInCell="1" locked="0" behindDoc="1" simplePos="0" relativeHeight="487673344">
            <wp:simplePos x="0" y="0"/>
            <wp:positionH relativeFrom="page">
              <wp:posOffset>919270</wp:posOffset>
            </wp:positionH>
            <wp:positionV relativeFrom="paragraph">
              <wp:posOffset>94367</wp:posOffset>
            </wp:positionV>
            <wp:extent cx="5330528" cy="5129784"/>
            <wp:effectExtent l="0" t="0" r="0" b="0"/>
            <wp:wrapTopAndBottom/>
            <wp:docPr id="242" name="Image 242" descr="C:\Users\rb2f\AppData\Local\Microsoft\Windows\Temporary Internet Files\Content.Word\FigB1.jpg"/>
            <wp:cNvGraphicFramePr>
              <a:graphicFrameLocks/>
            </wp:cNvGraphicFramePr>
            <a:graphic>
              <a:graphicData uri="http://schemas.openxmlformats.org/drawingml/2006/picture">
                <pic:pic>
                  <pic:nvPicPr>
                    <pic:cNvPr id="242" name="Image 242" descr="C:\Users\rb2f\AppData\Local\Microsoft\Windows\Temporary Internet Files\Content.Word\FigB1.jpg"/>
                    <pic:cNvPicPr/>
                  </pic:nvPicPr>
                  <pic:blipFill>
                    <a:blip r:embed="rId117" cstate="print"/>
                    <a:stretch>
                      <a:fillRect/>
                    </a:stretch>
                  </pic:blipFill>
                  <pic:spPr>
                    <a:xfrm>
                      <a:off x="0" y="0"/>
                      <a:ext cx="5330528" cy="5129784"/>
                    </a:xfrm>
                    <a:prstGeom prst="rect">
                      <a:avLst/>
                    </a:prstGeom>
                  </pic:spPr>
                </pic:pic>
              </a:graphicData>
            </a:graphic>
          </wp:anchor>
        </w:drawing>
      </w:r>
    </w:p>
    <w:p>
      <w:pPr>
        <w:spacing w:before="144"/>
        <w:ind w:left="232" w:right="0" w:firstLine="0"/>
        <w:jc w:val="left"/>
        <w:rPr>
          <w:sz w:val="18"/>
        </w:rPr>
      </w:pPr>
      <w:r>
        <w:rPr>
          <w:sz w:val="18"/>
        </w:rPr>
        <w:t>Source:</w:t>
      </w:r>
      <w:r>
        <w:rPr>
          <w:spacing w:val="-3"/>
          <w:sz w:val="18"/>
        </w:rPr>
        <w:t> </w:t>
      </w:r>
      <w:r>
        <w:rPr>
          <w:sz w:val="18"/>
        </w:rPr>
        <w:t>Adapted</w:t>
      </w:r>
      <w:r>
        <w:rPr>
          <w:spacing w:val="-4"/>
          <w:sz w:val="18"/>
        </w:rPr>
        <w:t> </w:t>
      </w:r>
      <w:r>
        <w:rPr>
          <w:sz w:val="18"/>
        </w:rPr>
        <w:t>from</w:t>
      </w:r>
      <w:r>
        <w:rPr>
          <w:spacing w:val="-4"/>
          <w:sz w:val="18"/>
        </w:rPr>
        <w:t> </w:t>
      </w:r>
      <w:r>
        <w:rPr>
          <w:sz w:val="18"/>
        </w:rPr>
        <w:t>AEMO</w:t>
      </w:r>
      <w:r>
        <w:rPr>
          <w:spacing w:val="-3"/>
          <w:sz w:val="18"/>
        </w:rPr>
        <w:t> </w:t>
      </w:r>
      <w:r>
        <w:rPr>
          <w:spacing w:val="-2"/>
          <w:sz w:val="18"/>
        </w:rPr>
        <w:t>(2017)</w:t>
      </w:r>
    </w:p>
    <w:p>
      <w:pPr>
        <w:spacing w:after="0"/>
        <w:jc w:val="left"/>
        <w:rPr>
          <w:sz w:val="18"/>
        </w:rPr>
        <w:sectPr>
          <w:pgSz w:w="11910" w:h="16850"/>
          <w:pgMar w:header="220" w:footer="678" w:top="420" w:bottom="860" w:left="900" w:right="840"/>
        </w:sectPr>
      </w:pPr>
    </w:p>
    <w:p>
      <w:pPr>
        <w:pStyle w:val="BodyText"/>
        <w:rPr>
          <w:sz w:val="20"/>
        </w:rPr>
      </w:pPr>
    </w:p>
    <w:p>
      <w:pPr>
        <w:pStyle w:val="BodyText"/>
        <w:spacing w:before="7"/>
        <w:rPr>
          <w:sz w:val="19"/>
        </w:rPr>
      </w:pPr>
    </w:p>
    <w:p>
      <w:pPr>
        <w:pStyle w:val="Heading4"/>
      </w:pPr>
      <w:r>
        <w:rPr>
          <w:color w:val="585858"/>
          <w:spacing w:val="-5"/>
        </w:rPr>
        <w:t>Gas</w:t>
      </w:r>
    </w:p>
    <w:p>
      <w:pPr>
        <w:pStyle w:val="BodyText"/>
        <w:spacing w:before="8"/>
        <w:rPr>
          <w:b/>
          <w:sz w:val="37"/>
        </w:rPr>
      </w:pPr>
    </w:p>
    <w:p>
      <w:pPr>
        <w:pStyle w:val="Heading7"/>
        <w:spacing w:before="1"/>
        <w:ind w:left="232"/>
        <w:rPr>
          <w:rFonts w:ascii="Arial-BoldItalicMT"/>
          <w:i/>
        </w:rPr>
      </w:pPr>
      <w:r>
        <w:rPr/>
        <w:t>Table</w:t>
      </w:r>
      <w:r>
        <w:rPr>
          <w:spacing w:val="-4"/>
        </w:rPr>
        <w:t> </w:t>
      </w:r>
      <w:r>
        <w:rPr/>
        <w:t>B2:</w:t>
      </w:r>
      <w:r>
        <w:rPr>
          <w:spacing w:val="-4"/>
        </w:rPr>
        <w:t> </w:t>
      </w:r>
      <w:r>
        <w:rPr/>
        <w:t>Natural</w:t>
      </w:r>
      <w:r>
        <w:rPr>
          <w:spacing w:val="-6"/>
        </w:rPr>
        <w:t> </w:t>
      </w:r>
      <w:r>
        <w:rPr/>
        <w:t>gas</w:t>
      </w:r>
      <w:r>
        <w:rPr>
          <w:spacing w:val="-6"/>
        </w:rPr>
        <w:t> </w:t>
      </w:r>
      <w:r>
        <w:rPr/>
        <w:t>transmission</w:t>
      </w:r>
      <w:r>
        <w:rPr>
          <w:spacing w:val="-5"/>
        </w:rPr>
        <w:t> </w:t>
      </w:r>
      <w:r>
        <w:rPr/>
        <w:t>and</w:t>
      </w:r>
      <w:r>
        <w:rPr>
          <w:spacing w:val="-7"/>
        </w:rPr>
        <w:t> </w:t>
      </w:r>
      <w:r>
        <w:rPr/>
        <w:t>distribution</w:t>
      </w:r>
      <w:r>
        <w:rPr>
          <w:spacing w:val="-7"/>
        </w:rPr>
        <w:t> </w:t>
      </w:r>
      <w:r>
        <w:rPr/>
        <w:t>networks</w:t>
      </w:r>
      <w:r>
        <w:rPr>
          <w:spacing w:val="-7"/>
        </w:rPr>
        <w:t> </w:t>
      </w:r>
      <w:r>
        <w:rPr/>
        <w:t>in</w:t>
      </w:r>
      <w:r>
        <w:rPr>
          <w:spacing w:val="-6"/>
        </w:rPr>
        <w:t> </w:t>
      </w:r>
      <w:r>
        <w:rPr>
          <w:spacing w:val="-2"/>
        </w:rPr>
        <w:t>Victoria</w:t>
      </w:r>
      <w:r>
        <w:rPr>
          <w:rFonts w:ascii="Arial-BoldItalicMT"/>
          <w:i/>
          <w:spacing w:val="-2"/>
          <w:vertAlign w:val="superscript"/>
        </w:rPr>
        <w:t>22</w:t>
      </w:r>
    </w:p>
    <w:p>
      <w:pPr>
        <w:pStyle w:val="BodyText"/>
        <w:spacing w:before="10"/>
        <w:rPr>
          <w:rFonts w:ascii="Arial-BoldItalicMT"/>
          <w:b/>
          <w:i/>
          <w:sz w:val="13"/>
        </w:rPr>
      </w:pPr>
    </w:p>
    <w:tbl>
      <w:tblPr>
        <w:tblW w:w="0" w:type="auto"/>
        <w:jc w:val="left"/>
        <w:tblInd w:w="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59"/>
        <w:gridCol w:w="6401"/>
      </w:tblGrid>
      <w:tr>
        <w:trPr>
          <w:trHeight w:val="535" w:hRule="atLeast"/>
        </w:trPr>
        <w:tc>
          <w:tcPr>
            <w:tcW w:w="9660" w:type="dxa"/>
            <w:gridSpan w:val="2"/>
            <w:tcBorders>
              <w:left w:val="single" w:sz="8" w:space="0" w:color="A6A6A6"/>
              <w:right w:val="single" w:sz="8" w:space="0" w:color="A6A6A6"/>
            </w:tcBorders>
            <w:shd w:val="clear" w:color="auto" w:fill="A6A6A6"/>
          </w:tcPr>
          <w:p>
            <w:pPr>
              <w:pStyle w:val="TableParagraph"/>
              <w:spacing w:before="139"/>
              <w:ind w:left="122"/>
              <w:rPr>
                <w:b/>
                <w:sz w:val="20"/>
              </w:rPr>
            </w:pPr>
            <w:r>
              <w:rPr>
                <w:b/>
                <w:color w:val="FFFFFF"/>
                <w:sz w:val="20"/>
              </w:rPr>
              <w:t>Transmission</w:t>
            </w:r>
            <w:r>
              <w:rPr>
                <w:b/>
                <w:color w:val="FFFFFF"/>
                <w:spacing w:val="-8"/>
                <w:sz w:val="20"/>
              </w:rPr>
              <w:t> </w:t>
            </w:r>
            <w:r>
              <w:rPr>
                <w:b/>
                <w:color w:val="FFFFFF"/>
                <w:sz w:val="20"/>
              </w:rPr>
              <w:t>pipelines</w:t>
            </w:r>
            <w:r>
              <w:rPr>
                <w:b/>
                <w:color w:val="FFFFFF"/>
                <w:spacing w:val="-6"/>
                <w:sz w:val="20"/>
              </w:rPr>
              <w:t> </w:t>
            </w:r>
            <w:r>
              <w:rPr>
                <w:b/>
                <w:color w:val="FFFFFF"/>
                <w:sz w:val="20"/>
              </w:rPr>
              <w:t>in</w:t>
            </w:r>
            <w:r>
              <w:rPr>
                <w:b/>
                <w:color w:val="FFFFFF"/>
                <w:spacing w:val="-8"/>
                <w:sz w:val="20"/>
              </w:rPr>
              <w:t> </w:t>
            </w:r>
            <w:r>
              <w:rPr>
                <w:b/>
                <w:color w:val="FFFFFF"/>
                <w:sz w:val="20"/>
              </w:rPr>
              <w:t>the</w:t>
            </w:r>
            <w:r>
              <w:rPr>
                <w:b/>
                <w:color w:val="FFFFFF"/>
                <w:spacing w:val="-9"/>
                <w:sz w:val="20"/>
              </w:rPr>
              <w:t> </w:t>
            </w:r>
            <w:r>
              <w:rPr>
                <w:b/>
                <w:color w:val="FFFFFF"/>
                <w:sz w:val="20"/>
              </w:rPr>
              <w:t>Victorian</w:t>
            </w:r>
            <w:r>
              <w:rPr>
                <w:b/>
                <w:color w:val="FFFFFF"/>
                <w:spacing w:val="-8"/>
                <w:sz w:val="20"/>
              </w:rPr>
              <w:t> </w:t>
            </w:r>
            <w:r>
              <w:rPr>
                <w:b/>
                <w:color w:val="FFFFFF"/>
                <w:sz w:val="20"/>
              </w:rPr>
              <w:t>Transmission</w:t>
            </w:r>
            <w:r>
              <w:rPr>
                <w:b/>
                <w:color w:val="FFFFFF"/>
                <w:spacing w:val="-8"/>
                <w:sz w:val="20"/>
              </w:rPr>
              <w:t> </w:t>
            </w:r>
            <w:r>
              <w:rPr>
                <w:b/>
                <w:color w:val="FFFFFF"/>
                <w:spacing w:val="-2"/>
                <w:sz w:val="20"/>
              </w:rPr>
              <w:t>System</w:t>
            </w:r>
          </w:p>
        </w:tc>
      </w:tr>
      <w:tr>
        <w:trPr>
          <w:trHeight w:val="515" w:hRule="atLeast"/>
        </w:trPr>
        <w:tc>
          <w:tcPr>
            <w:tcW w:w="9660" w:type="dxa"/>
            <w:gridSpan w:val="2"/>
            <w:tcBorders>
              <w:left w:val="single" w:sz="8" w:space="0" w:color="A6A6A6"/>
              <w:right w:val="single" w:sz="8" w:space="0" w:color="A6A6A6"/>
            </w:tcBorders>
            <w:shd w:val="clear" w:color="auto" w:fill="D9D9D9"/>
          </w:tcPr>
          <w:p>
            <w:pPr>
              <w:pStyle w:val="TableParagraph"/>
              <w:spacing w:before="119"/>
              <w:ind w:left="122"/>
              <w:rPr>
                <w:b/>
                <w:sz w:val="20"/>
              </w:rPr>
            </w:pPr>
            <w:r>
              <w:rPr>
                <w:b/>
                <w:sz w:val="20"/>
              </w:rPr>
              <w:t>Declared</w:t>
            </w:r>
            <w:r>
              <w:rPr>
                <w:b/>
                <w:spacing w:val="-11"/>
                <w:sz w:val="20"/>
              </w:rPr>
              <w:t> </w:t>
            </w:r>
            <w:r>
              <w:rPr>
                <w:b/>
                <w:sz w:val="20"/>
              </w:rPr>
              <w:t>Transmission</w:t>
            </w:r>
            <w:r>
              <w:rPr>
                <w:b/>
                <w:spacing w:val="-9"/>
                <w:sz w:val="20"/>
              </w:rPr>
              <w:t> </w:t>
            </w:r>
            <w:r>
              <w:rPr>
                <w:b/>
                <w:sz w:val="20"/>
              </w:rPr>
              <w:t>System</w:t>
            </w:r>
            <w:r>
              <w:rPr>
                <w:b/>
                <w:spacing w:val="-11"/>
                <w:sz w:val="20"/>
              </w:rPr>
              <w:t> </w:t>
            </w:r>
            <w:r>
              <w:rPr>
                <w:b/>
                <w:spacing w:val="-2"/>
                <w:sz w:val="20"/>
              </w:rPr>
              <w:t>(GasNet)</w:t>
            </w:r>
          </w:p>
        </w:tc>
      </w:tr>
      <w:tr>
        <w:trPr>
          <w:trHeight w:val="2844" w:hRule="atLeast"/>
        </w:trPr>
        <w:tc>
          <w:tcPr>
            <w:tcW w:w="3259" w:type="dxa"/>
            <w:tcBorders>
              <w:left w:val="single" w:sz="8" w:space="0" w:color="A6A6A6"/>
            </w:tcBorders>
          </w:tcPr>
          <w:p>
            <w:pPr>
              <w:pStyle w:val="TableParagraph"/>
              <w:spacing w:before="119"/>
              <w:ind w:left="122"/>
              <w:rPr>
                <w:sz w:val="20"/>
              </w:rPr>
            </w:pPr>
            <w:r>
              <w:rPr>
                <w:sz w:val="20"/>
              </w:rPr>
              <w:t>APA</w:t>
            </w:r>
            <w:r>
              <w:rPr>
                <w:spacing w:val="-7"/>
                <w:sz w:val="20"/>
              </w:rPr>
              <w:t> </w:t>
            </w:r>
            <w:r>
              <w:rPr>
                <w:spacing w:val="-2"/>
                <w:sz w:val="20"/>
              </w:rPr>
              <w:t>Group</w:t>
            </w:r>
          </w:p>
        </w:tc>
        <w:tc>
          <w:tcPr>
            <w:tcW w:w="6401" w:type="dxa"/>
            <w:tcBorders>
              <w:right w:val="single" w:sz="8" w:space="0" w:color="A6A6A6"/>
            </w:tcBorders>
          </w:tcPr>
          <w:p>
            <w:pPr>
              <w:pStyle w:val="TableParagraph"/>
              <w:spacing w:line="288" w:lineRule="auto" w:before="119"/>
              <w:ind w:left="135" w:right="148"/>
              <w:rPr>
                <w:sz w:val="20"/>
              </w:rPr>
            </w:pPr>
            <w:r>
              <w:rPr>
                <w:sz w:val="20"/>
              </w:rPr>
              <w:t>The</w:t>
            </w:r>
            <w:r>
              <w:rPr>
                <w:spacing w:val="-7"/>
                <w:sz w:val="20"/>
              </w:rPr>
              <w:t> </w:t>
            </w:r>
            <w:r>
              <w:rPr>
                <w:sz w:val="20"/>
              </w:rPr>
              <w:t>Declared</w:t>
            </w:r>
            <w:r>
              <w:rPr>
                <w:spacing w:val="-6"/>
                <w:sz w:val="20"/>
              </w:rPr>
              <w:t> </w:t>
            </w:r>
            <w:r>
              <w:rPr>
                <w:sz w:val="20"/>
              </w:rPr>
              <w:t>Transmission</w:t>
            </w:r>
            <w:r>
              <w:rPr>
                <w:spacing w:val="-7"/>
                <w:sz w:val="20"/>
              </w:rPr>
              <w:t> </w:t>
            </w:r>
            <w:r>
              <w:rPr>
                <w:sz w:val="20"/>
              </w:rPr>
              <w:t>System</w:t>
            </w:r>
            <w:r>
              <w:rPr>
                <w:spacing w:val="-2"/>
                <w:sz w:val="20"/>
              </w:rPr>
              <w:t> </w:t>
            </w:r>
            <w:r>
              <w:rPr>
                <w:sz w:val="20"/>
              </w:rPr>
              <w:t>(DTS)</w:t>
            </w:r>
            <w:r>
              <w:rPr>
                <w:spacing w:val="-5"/>
                <w:sz w:val="20"/>
              </w:rPr>
              <w:t> </w:t>
            </w:r>
            <w:r>
              <w:rPr>
                <w:sz w:val="20"/>
              </w:rPr>
              <w:t>is</w:t>
            </w:r>
            <w:r>
              <w:rPr>
                <w:spacing w:val="-5"/>
                <w:sz w:val="20"/>
              </w:rPr>
              <w:t> </w:t>
            </w:r>
            <w:r>
              <w:rPr>
                <w:sz w:val="20"/>
              </w:rPr>
              <w:t>a</w:t>
            </w:r>
            <w:r>
              <w:rPr>
                <w:spacing w:val="-7"/>
                <w:sz w:val="20"/>
              </w:rPr>
              <w:t> </w:t>
            </w:r>
            <w:r>
              <w:rPr>
                <w:sz w:val="20"/>
              </w:rPr>
              <w:t>transmission</w:t>
            </w:r>
            <w:r>
              <w:rPr>
                <w:spacing w:val="-7"/>
                <w:sz w:val="20"/>
              </w:rPr>
              <w:t> </w:t>
            </w:r>
            <w:r>
              <w:rPr>
                <w:sz w:val="20"/>
              </w:rPr>
              <w:t>pipeline network owned by APA Group through its wholly owned subsidiary APA VTS Australia (Operations) Pty Ltd.</w:t>
            </w:r>
          </w:p>
          <w:p>
            <w:pPr>
              <w:pStyle w:val="TableParagraph"/>
              <w:spacing w:line="288" w:lineRule="auto" w:before="120"/>
              <w:ind w:left="135" w:right="148"/>
              <w:rPr>
                <w:sz w:val="20"/>
              </w:rPr>
            </w:pPr>
            <w:r>
              <w:rPr>
                <w:sz w:val="20"/>
              </w:rPr>
              <w:t>The DTS transports natural gas within Victoria, supplying the Melbourne metropolitan area and country areas. It also supplies gas to NSW via the Interconnect with the Moomba Sydney Pipeline (MSP)</w:t>
            </w:r>
            <w:r>
              <w:rPr>
                <w:spacing w:val="-3"/>
                <w:sz w:val="20"/>
              </w:rPr>
              <w:t> </w:t>
            </w:r>
            <w:r>
              <w:rPr>
                <w:sz w:val="20"/>
              </w:rPr>
              <w:t>at</w:t>
            </w:r>
            <w:r>
              <w:rPr>
                <w:spacing w:val="-5"/>
                <w:sz w:val="20"/>
              </w:rPr>
              <w:t> </w:t>
            </w:r>
            <w:r>
              <w:rPr>
                <w:sz w:val="20"/>
              </w:rPr>
              <w:t>Culcairn</w:t>
            </w:r>
            <w:r>
              <w:rPr>
                <w:spacing w:val="-5"/>
                <w:sz w:val="20"/>
              </w:rPr>
              <w:t> </w:t>
            </w:r>
            <w:r>
              <w:rPr>
                <w:sz w:val="20"/>
              </w:rPr>
              <w:t>and</w:t>
            </w:r>
            <w:r>
              <w:rPr>
                <w:spacing w:val="-5"/>
                <w:sz w:val="20"/>
              </w:rPr>
              <w:t> </w:t>
            </w:r>
            <w:r>
              <w:rPr>
                <w:sz w:val="20"/>
              </w:rPr>
              <w:t>to</w:t>
            </w:r>
            <w:r>
              <w:rPr>
                <w:spacing w:val="-4"/>
                <w:sz w:val="20"/>
              </w:rPr>
              <w:t> </w:t>
            </w:r>
            <w:r>
              <w:rPr>
                <w:sz w:val="20"/>
              </w:rPr>
              <w:t>South</w:t>
            </w:r>
            <w:r>
              <w:rPr>
                <w:spacing w:val="-4"/>
                <w:sz w:val="20"/>
              </w:rPr>
              <w:t> </w:t>
            </w:r>
            <w:r>
              <w:rPr>
                <w:sz w:val="20"/>
              </w:rPr>
              <w:t>Australia</w:t>
            </w:r>
            <w:r>
              <w:rPr>
                <w:spacing w:val="-5"/>
                <w:sz w:val="20"/>
              </w:rPr>
              <w:t> </w:t>
            </w:r>
            <w:r>
              <w:rPr>
                <w:sz w:val="20"/>
              </w:rPr>
              <w:t>via</w:t>
            </w:r>
            <w:r>
              <w:rPr>
                <w:spacing w:val="-4"/>
                <w:sz w:val="20"/>
              </w:rPr>
              <w:t> </w:t>
            </w:r>
            <w:r>
              <w:rPr>
                <w:sz w:val="20"/>
              </w:rPr>
              <w:t>the</w:t>
            </w:r>
            <w:r>
              <w:rPr>
                <w:spacing w:val="-4"/>
                <w:sz w:val="20"/>
              </w:rPr>
              <w:t> </w:t>
            </w:r>
            <w:r>
              <w:rPr>
                <w:sz w:val="20"/>
              </w:rPr>
              <w:t>SEA</w:t>
            </w:r>
            <w:r>
              <w:rPr>
                <w:spacing w:val="-4"/>
                <w:sz w:val="20"/>
              </w:rPr>
              <w:t> </w:t>
            </w:r>
            <w:r>
              <w:rPr>
                <w:sz w:val="20"/>
              </w:rPr>
              <w:t>Gas</w:t>
            </w:r>
            <w:r>
              <w:rPr>
                <w:spacing w:val="-4"/>
                <w:sz w:val="20"/>
              </w:rPr>
              <w:t> </w:t>
            </w:r>
            <w:r>
              <w:rPr>
                <w:sz w:val="20"/>
              </w:rPr>
              <w:t>Pipeline</w:t>
            </w:r>
            <w:r>
              <w:rPr>
                <w:spacing w:val="-5"/>
                <w:sz w:val="20"/>
              </w:rPr>
              <w:t> </w:t>
            </w:r>
            <w:r>
              <w:rPr>
                <w:sz w:val="20"/>
              </w:rPr>
              <w:t>at Port Campbell. The average annual throughput of the DTS is in excess of 200 PJ per annum.</w:t>
            </w:r>
          </w:p>
        </w:tc>
      </w:tr>
      <w:tr>
        <w:trPr>
          <w:trHeight w:val="515" w:hRule="atLeast"/>
        </w:trPr>
        <w:tc>
          <w:tcPr>
            <w:tcW w:w="9660" w:type="dxa"/>
            <w:gridSpan w:val="2"/>
            <w:tcBorders>
              <w:left w:val="single" w:sz="8" w:space="0" w:color="A6A6A6"/>
              <w:right w:val="single" w:sz="8" w:space="0" w:color="A6A6A6"/>
            </w:tcBorders>
            <w:shd w:val="clear" w:color="auto" w:fill="D9D9D9"/>
          </w:tcPr>
          <w:p>
            <w:pPr>
              <w:pStyle w:val="TableParagraph"/>
              <w:spacing w:before="119"/>
              <w:ind w:left="122"/>
              <w:rPr>
                <w:b/>
                <w:sz w:val="20"/>
              </w:rPr>
            </w:pPr>
            <w:r>
              <w:rPr>
                <w:b/>
                <w:sz w:val="20"/>
              </w:rPr>
              <w:t>Transmissions</w:t>
            </w:r>
            <w:r>
              <w:rPr>
                <w:b/>
                <w:spacing w:val="-8"/>
                <w:sz w:val="20"/>
              </w:rPr>
              <w:t> </w:t>
            </w:r>
            <w:r>
              <w:rPr>
                <w:b/>
                <w:sz w:val="20"/>
              </w:rPr>
              <w:t>pipeline</w:t>
            </w:r>
            <w:r>
              <w:rPr>
                <w:b/>
                <w:spacing w:val="-8"/>
                <w:sz w:val="20"/>
              </w:rPr>
              <w:t> </w:t>
            </w:r>
            <w:r>
              <w:rPr>
                <w:b/>
                <w:sz w:val="20"/>
              </w:rPr>
              <w:t>holders</w:t>
            </w:r>
            <w:r>
              <w:rPr>
                <w:b/>
                <w:spacing w:val="-9"/>
                <w:sz w:val="20"/>
              </w:rPr>
              <w:t> </w:t>
            </w:r>
            <w:r>
              <w:rPr>
                <w:b/>
                <w:sz w:val="20"/>
              </w:rPr>
              <w:t>that</w:t>
            </w:r>
            <w:r>
              <w:rPr>
                <w:b/>
                <w:spacing w:val="-6"/>
                <w:sz w:val="20"/>
              </w:rPr>
              <w:t> </w:t>
            </w:r>
            <w:r>
              <w:rPr>
                <w:b/>
                <w:sz w:val="20"/>
              </w:rPr>
              <w:t>are</w:t>
            </w:r>
            <w:r>
              <w:rPr>
                <w:b/>
                <w:spacing w:val="-8"/>
                <w:sz w:val="20"/>
              </w:rPr>
              <w:t> </w:t>
            </w:r>
            <w:r>
              <w:rPr>
                <w:b/>
                <w:sz w:val="20"/>
              </w:rPr>
              <w:t>not</w:t>
            </w:r>
            <w:r>
              <w:rPr>
                <w:b/>
                <w:spacing w:val="-7"/>
                <w:sz w:val="20"/>
              </w:rPr>
              <w:t> </w:t>
            </w:r>
            <w:r>
              <w:rPr>
                <w:b/>
                <w:sz w:val="20"/>
              </w:rPr>
              <w:t>part</w:t>
            </w:r>
            <w:r>
              <w:rPr>
                <w:b/>
                <w:spacing w:val="-7"/>
                <w:sz w:val="20"/>
              </w:rPr>
              <w:t> </w:t>
            </w:r>
            <w:r>
              <w:rPr>
                <w:b/>
                <w:sz w:val="20"/>
              </w:rPr>
              <w:t>of</w:t>
            </w:r>
            <w:r>
              <w:rPr>
                <w:b/>
                <w:spacing w:val="-6"/>
                <w:sz w:val="20"/>
              </w:rPr>
              <w:t> </w:t>
            </w:r>
            <w:r>
              <w:rPr>
                <w:b/>
                <w:sz w:val="20"/>
              </w:rPr>
              <w:t>the</w:t>
            </w:r>
            <w:r>
              <w:rPr>
                <w:b/>
                <w:spacing w:val="-8"/>
                <w:sz w:val="20"/>
              </w:rPr>
              <w:t> </w:t>
            </w:r>
            <w:r>
              <w:rPr>
                <w:b/>
                <w:sz w:val="20"/>
              </w:rPr>
              <w:t>Declared</w:t>
            </w:r>
            <w:r>
              <w:rPr>
                <w:b/>
                <w:spacing w:val="-5"/>
                <w:sz w:val="20"/>
              </w:rPr>
              <w:t> </w:t>
            </w:r>
            <w:r>
              <w:rPr>
                <w:b/>
                <w:sz w:val="20"/>
              </w:rPr>
              <w:t>Transmission</w:t>
            </w:r>
            <w:r>
              <w:rPr>
                <w:b/>
                <w:spacing w:val="-7"/>
                <w:sz w:val="20"/>
              </w:rPr>
              <w:t> </w:t>
            </w:r>
            <w:r>
              <w:rPr>
                <w:b/>
                <w:spacing w:val="-2"/>
                <w:sz w:val="20"/>
              </w:rPr>
              <w:t>System</w:t>
            </w:r>
          </w:p>
        </w:tc>
      </w:tr>
      <w:tr>
        <w:trPr>
          <w:trHeight w:val="516" w:hRule="atLeast"/>
        </w:trPr>
        <w:tc>
          <w:tcPr>
            <w:tcW w:w="3259" w:type="dxa"/>
            <w:tcBorders>
              <w:left w:val="single" w:sz="8" w:space="0" w:color="A6A6A6"/>
            </w:tcBorders>
          </w:tcPr>
          <w:p>
            <w:pPr>
              <w:pStyle w:val="TableParagraph"/>
              <w:spacing w:before="119"/>
              <w:ind w:left="122"/>
              <w:rPr>
                <w:sz w:val="20"/>
              </w:rPr>
            </w:pPr>
            <w:r>
              <w:rPr>
                <w:sz w:val="20"/>
              </w:rPr>
              <w:t>APA</w:t>
            </w:r>
            <w:r>
              <w:rPr>
                <w:spacing w:val="-7"/>
                <w:sz w:val="20"/>
              </w:rPr>
              <w:t> </w:t>
            </w:r>
            <w:r>
              <w:rPr>
                <w:spacing w:val="-2"/>
                <w:sz w:val="20"/>
              </w:rPr>
              <w:t>Group</w:t>
            </w:r>
          </w:p>
        </w:tc>
        <w:tc>
          <w:tcPr>
            <w:tcW w:w="6401" w:type="dxa"/>
            <w:tcBorders>
              <w:right w:val="single" w:sz="8" w:space="0" w:color="A6A6A6"/>
            </w:tcBorders>
          </w:tcPr>
          <w:p>
            <w:pPr>
              <w:pStyle w:val="TableParagraph"/>
              <w:spacing w:before="119"/>
              <w:ind w:left="135"/>
              <w:rPr>
                <w:sz w:val="20"/>
              </w:rPr>
            </w:pPr>
            <w:r>
              <w:rPr>
                <w:sz w:val="20"/>
              </w:rPr>
              <w:t>Operates</w:t>
            </w:r>
            <w:r>
              <w:rPr>
                <w:spacing w:val="-8"/>
                <w:sz w:val="20"/>
              </w:rPr>
              <w:t> </w:t>
            </w:r>
            <w:r>
              <w:rPr>
                <w:sz w:val="20"/>
              </w:rPr>
              <w:t>the</w:t>
            </w:r>
            <w:r>
              <w:rPr>
                <w:spacing w:val="-7"/>
                <w:sz w:val="20"/>
              </w:rPr>
              <w:t> </w:t>
            </w:r>
            <w:r>
              <w:rPr>
                <w:sz w:val="20"/>
              </w:rPr>
              <w:t>SESA</w:t>
            </w:r>
            <w:r>
              <w:rPr>
                <w:spacing w:val="-7"/>
                <w:sz w:val="20"/>
              </w:rPr>
              <w:t> </w:t>
            </w:r>
            <w:r>
              <w:rPr>
                <w:sz w:val="20"/>
              </w:rPr>
              <w:t>pipeline</w:t>
            </w:r>
            <w:r>
              <w:rPr>
                <w:spacing w:val="-9"/>
                <w:sz w:val="20"/>
              </w:rPr>
              <w:t> </w:t>
            </w:r>
            <w:r>
              <w:rPr>
                <w:sz w:val="20"/>
              </w:rPr>
              <w:t>from</w:t>
            </w:r>
            <w:r>
              <w:rPr>
                <w:spacing w:val="-5"/>
                <w:sz w:val="20"/>
              </w:rPr>
              <w:t> </w:t>
            </w:r>
            <w:r>
              <w:rPr>
                <w:sz w:val="20"/>
              </w:rPr>
              <w:t>Poolajeilo</w:t>
            </w:r>
            <w:r>
              <w:rPr>
                <w:spacing w:val="-8"/>
                <w:sz w:val="20"/>
              </w:rPr>
              <w:t> </w:t>
            </w:r>
            <w:r>
              <w:rPr>
                <w:sz w:val="20"/>
              </w:rPr>
              <w:t>to</w:t>
            </w:r>
            <w:r>
              <w:rPr>
                <w:spacing w:val="-7"/>
                <w:sz w:val="20"/>
              </w:rPr>
              <w:t> </w:t>
            </w:r>
            <w:r>
              <w:rPr>
                <w:sz w:val="20"/>
              </w:rPr>
              <w:t>South</w:t>
            </w:r>
            <w:r>
              <w:rPr>
                <w:spacing w:val="-8"/>
                <w:sz w:val="20"/>
              </w:rPr>
              <w:t> </w:t>
            </w:r>
            <w:r>
              <w:rPr>
                <w:spacing w:val="-2"/>
                <w:sz w:val="20"/>
              </w:rPr>
              <w:t>Australia</w:t>
            </w:r>
          </w:p>
        </w:tc>
      </w:tr>
      <w:tr>
        <w:trPr>
          <w:trHeight w:val="1067" w:hRule="atLeast"/>
        </w:trPr>
        <w:tc>
          <w:tcPr>
            <w:tcW w:w="3259" w:type="dxa"/>
            <w:tcBorders>
              <w:left w:val="single" w:sz="8" w:space="0" w:color="A6A6A6"/>
            </w:tcBorders>
            <w:shd w:val="clear" w:color="auto" w:fill="CDEBEB"/>
          </w:tcPr>
          <w:p>
            <w:pPr>
              <w:pStyle w:val="TableParagraph"/>
              <w:spacing w:before="119"/>
              <w:ind w:left="122"/>
              <w:rPr>
                <w:sz w:val="20"/>
              </w:rPr>
            </w:pPr>
            <w:r>
              <w:rPr>
                <w:sz w:val="20"/>
              </w:rPr>
              <w:t>AusNet</w:t>
            </w:r>
            <w:r>
              <w:rPr>
                <w:spacing w:val="-6"/>
                <w:sz w:val="20"/>
              </w:rPr>
              <w:t> </w:t>
            </w:r>
            <w:r>
              <w:rPr>
                <w:sz w:val="20"/>
              </w:rPr>
              <w:t>Gas</w:t>
            </w:r>
            <w:r>
              <w:rPr>
                <w:spacing w:val="-4"/>
                <w:sz w:val="20"/>
              </w:rPr>
              <w:t> </w:t>
            </w:r>
            <w:r>
              <w:rPr>
                <w:sz w:val="20"/>
              </w:rPr>
              <w:t>Services</w:t>
            </w:r>
            <w:r>
              <w:rPr>
                <w:spacing w:val="-3"/>
                <w:sz w:val="20"/>
              </w:rPr>
              <w:t> </w:t>
            </w:r>
            <w:r>
              <w:rPr>
                <w:sz w:val="20"/>
              </w:rPr>
              <w:t>Pty</w:t>
            </w:r>
            <w:r>
              <w:rPr>
                <w:spacing w:val="-8"/>
                <w:sz w:val="20"/>
              </w:rPr>
              <w:t> </w:t>
            </w:r>
            <w:r>
              <w:rPr>
                <w:spacing w:val="-5"/>
                <w:sz w:val="20"/>
              </w:rPr>
              <w:t>Ltd</w:t>
            </w:r>
          </w:p>
        </w:tc>
        <w:tc>
          <w:tcPr>
            <w:tcW w:w="6401" w:type="dxa"/>
            <w:tcBorders>
              <w:right w:val="single" w:sz="8" w:space="0" w:color="A6A6A6"/>
            </w:tcBorders>
            <w:shd w:val="clear" w:color="auto" w:fill="CDEBEB"/>
          </w:tcPr>
          <w:p>
            <w:pPr>
              <w:pStyle w:val="TableParagraph"/>
              <w:spacing w:line="288" w:lineRule="auto" w:before="119"/>
              <w:ind w:left="135" w:right="148"/>
              <w:rPr>
                <w:sz w:val="20"/>
              </w:rPr>
            </w:pPr>
            <w:r>
              <w:rPr>
                <w:sz w:val="20"/>
              </w:rPr>
              <w:t>AusNet</w:t>
            </w:r>
            <w:r>
              <w:rPr>
                <w:spacing w:val="-6"/>
                <w:sz w:val="20"/>
              </w:rPr>
              <w:t> </w:t>
            </w:r>
            <w:r>
              <w:rPr>
                <w:sz w:val="20"/>
              </w:rPr>
              <w:t>Gas</w:t>
            </w:r>
            <w:r>
              <w:rPr>
                <w:spacing w:val="-5"/>
                <w:sz w:val="20"/>
              </w:rPr>
              <w:t> </w:t>
            </w:r>
            <w:r>
              <w:rPr>
                <w:sz w:val="20"/>
              </w:rPr>
              <w:t>Services</w:t>
            </w:r>
            <w:r>
              <w:rPr>
                <w:spacing w:val="-3"/>
                <w:sz w:val="20"/>
              </w:rPr>
              <w:t> </w:t>
            </w:r>
            <w:r>
              <w:rPr>
                <w:sz w:val="20"/>
              </w:rPr>
              <w:t>holds</w:t>
            </w:r>
            <w:r>
              <w:rPr>
                <w:spacing w:val="-5"/>
                <w:sz w:val="20"/>
              </w:rPr>
              <w:t> </w:t>
            </w:r>
            <w:r>
              <w:rPr>
                <w:sz w:val="20"/>
              </w:rPr>
              <w:t>33</w:t>
            </w:r>
            <w:r>
              <w:rPr>
                <w:spacing w:val="-6"/>
                <w:sz w:val="20"/>
              </w:rPr>
              <w:t> </w:t>
            </w:r>
            <w:r>
              <w:rPr>
                <w:sz w:val="20"/>
              </w:rPr>
              <w:t>pipeline</w:t>
            </w:r>
            <w:r>
              <w:rPr>
                <w:spacing w:val="-5"/>
                <w:sz w:val="20"/>
              </w:rPr>
              <w:t> </w:t>
            </w:r>
            <w:r>
              <w:rPr>
                <w:sz w:val="20"/>
              </w:rPr>
              <w:t>licences</w:t>
            </w:r>
            <w:r>
              <w:rPr>
                <w:spacing w:val="-5"/>
                <w:sz w:val="20"/>
              </w:rPr>
              <w:t> </w:t>
            </w:r>
            <w:r>
              <w:rPr>
                <w:sz w:val="20"/>
              </w:rPr>
              <w:t>supplying</w:t>
            </w:r>
            <w:r>
              <w:rPr>
                <w:spacing w:val="-5"/>
                <w:sz w:val="20"/>
              </w:rPr>
              <w:t> </w:t>
            </w:r>
            <w:r>
              <w:rPr>
                <w:sz w:val="20"/>
              </w:rPr>
              <w:t>gas</w:t>
            </w:r>
            <w:r>
              <w:rPr>
                <w:spacing w:val="-1"/>
                <w:sz w:val="20"/>
              </w:rPr>
              <w:t> </w:t>
            </w:r>
            <w:r>
              <w:rPr>
                <w:sz w:val="20"/>
              </w:rPr>
              <w:t>to metropolitan and regional areas throughout Victoria.</w:t>
            </w:r>
            <w:r>
              <w:rPr>
                <w:spacing w:val="40"/>
                <w:sz w:val="20"/>
              </w:rPr>
              <w:t> </w:t>
            </w:r>
            <w:r>
              <w:rPr>
                <w:sz w:val="20"/>
              </w:rPr>
              <w:t>This is approximately 15% of the total pipeline licences in Victoria.</w:t>
            </w:r>
          </w:p>
        </w:tc>
      </w:tr>
      <w:tr>
        <w:trPr>
          <w:trHeight w:val="1068" w:hRule="atLeast"/>
        </w:trPr>
        <w:tc>
          <w:tcPr>
            <w:tcW w:w="3259" w:type="dxa"/>
            <w:tcBorders>
              <w:left w:val="single" w:sz="8" w:space="0" w:color="A6A6A6"/>
            </w:tcBorders>
          </w:tcPr>
          <w:p>
            <w:pPr>
              <w:pStyle w:val="TableParagraph"/>
              <w:spacing w:line="288" w:lineRule="auto" w:before="119"/>
              <w:ind w:left="122"/>
              <w:rPr>
                <w:sz w:val="20"/>
              </w:rPr>
            </w:pPr>
            <w:r>
              <w:rPr>
                <w:sz w:val="20"/>
              </w:rPr>
              <w:t>Australian</w:t>
            </w:r>
            <w:r>
              <w:rPr>
                <w:spacing w:val="-11"/>
                <w:sz w:val="20"/>
              </w:rPr>
              <w:t> </w:t>
            </w:r>
            <w:r>
              <w:rPr>
                <w:sz w:val="20"/>
              </w:rPr>
              <w:t>Gas</w:t>
            </w:r>
            <w:r>
              <w:rPr>
                <w:spacing w:val="-9"/>
                <w:sz w:val="20"/>
              </w:rPr>
              <w:t> </w:t>
            </w:r>
            <w:r>
              <w:rPr>
                <w:sz w:val="20"/>
              </w:rPr>
              <w:t>Networks</w:t>
            </w:r>
            <w:r>
              <w:rPr>
                <w:spacing w:val="-10"/>
                <w:sz w:val="20"/>
              </w:rPr>
              <w:t> </w:t>
            </w:r>
            <w:r>
              <w:rPr>
                <w:sz w:val="20"/>
              </w:rPr>
              <w:t>(Vic)</w:t>
            </w:r>
            <w:r>
              <w:rPr>
                <w:spacing w:val="-10"/>
                <w:sz w:val="20"/>
              </w:rPr>
              <w:t> </w:t>
            </w:r>
            <w:r>
              <w:rPr>
                <w:sz w:val="20"/>
              </w:rPr>
              <w:t>Pty </w:t>
            </w:r>
            <w:r>
              <w:rPr>
                <w:spacing w:val="-4"/>
                <w:sz w:val="20"/>
              </w:rPr>
              <w:t>Ltd</w:t>
            </w:r>
          </w:p>
        </w:tc>
        <w:tc>
          <w:tcPr>
            <w:tcW w:w="6401" w:type="dxa"/>
            <w:tcBorders>
              <w:right w:val="single" w:sz="8" w:space="0" w:color="A6A6A6"/>
            </w:tcBorders>
          </w:tcPr>
          <w:p>
            <w:pPr>
              <w:pStyle w:val="TableParagraph"/>
              <w:spacing w:line="288" w:lineRule="auto" w:before="119"/>
              <w:ind w:left="135" w:right="148"/>
              <w:rPr>
                <w:sz w:val="20"/>
              </w:rPr>
            </w:pPr>
            <w:r>
              <w:rPr>
                <w:sz w:val="20"/>
              </w:rPr>
              <w:t>AGN holds 34 pipeline licences supplying gas to metropolitan and regional</w:t>
            </w:r>
            <w:r>
              <w:rPr>
                <w:spacing w:val="-6"/>
                <w:sz w:val="20"/>
              </w:rPr>
              <w:t> </w:t>
            </w:r>
            <w:r>
              <w:rPr>
                <w:sz w:val="20"/>
              </w:rPr>
              <w:t>areas</w:t>
            </w:r>
            <w:r>
              <w:rPr>
                <w:spacing w:val="-4"/>
                <w:sz w:val="20"/>
              </w:rPr>
              <w:t> </w:t>
            </w:r>
            <w:r>
              <w:rPr>
                <w:sz w:val="20"/>
              </w:rPr>
              <w:t>throughout</w:t>
            </w:r>
            <w:r>
              <w:rPr>
                <w:spacing w:val="-2"/>
                <w:sz w:val="20"/>
              </w:rPr>
              <w:t> </w:t>
            </w:r>
            <w:r>
              <w:rPr>
                <w:sz w:val="20"/>
              </w:rPr>
              <w:t>Victoria.</w:t>
            </w:r>
            <w:r>
              <w:rPr>
                <w:spacing w:val="40"/>
                <w:sz w:val="20"/>
              </w:rPr>
              <w:t> </w:t>
            </w:r>
            <w:r>
              <w:rPr>
                <w:sz w:val="20"/>
              </w:rPr>
              <w:t>This</w:t>
            </w:r>
            <w:r>
              <w:rPr>
                <w:spacing w:val="-4"/>
                <w:sz w:val="20"/>
              </w:rPr>
              <w:t> </w:t>
            </w:r>
            <w:r>
              <w:rPr>
                <w:sz w:val="20"/>
              </w:rPr>
              <w:t>is</w:t>
            </w:r>
            <w:r>
              <w:rPr>
                <w:spacing w:val="-2"/>
                <w:sz w:val="20"/>
              </w:rPr>
              <w:t> </w:t>
            </w:r>
            <w:r>
              <w:rPr>
                <w:sz w:val="20"/>
              </w:rPr>
              <w:t>approximately</w:t>
            </w:r>
            <w:r>
              <w:rPr>
                <w:spacing w:val="-8"/>
                <w:sz w:val="20"/>
              </w:rPr>
              <w:t> </w:t>
            </w:r>
            <w:r>
              <w:rPr>
                <w:sz w:val="20"/>
              </w:rPr>
              <w:t>15%</w:t>
            </w:r>
            <w:r>
              <w:rPr>
                <w:spacing w:val="-5"/>
                <w:sz w:val="20"/>
              </w:rPr>
              <w:t> </w:t>
            </w:r>
            <w:r>
              <w:rPr>
                <w:sz w:val="20"/>
              </w:rPr>
              <w:t>of</w:t>
            </w:r>
            <w:r>
              <w:rPr>
                <w:spacing w:val="-3"/>
                <w:sz w:val="20"/>
              </w:rPr>
              <w:t> </w:t>
            </w:r>
            <w:r>
              <w:rPr>
                <w:sz w:val="20"/>
              </w:rPr>
              <w:t>the total pipeline licences in Victoria.</w:t>
            </w:r>
          </w:p>
        </w:tc>
      </w:tr>
      <w:tr>
        <w:trPr>
          <w:trHeight w:val="792" w:hRule="atLeast"/>
        </w:trPr>
        <w:tc>
          <w:tcPr>
            <w:tcW w:w="3259" w:type="dxa"/>
            <w:tcBorders>
              <w:left w:val="single" w:sz="8" w:space="0" w:color="A6A6A6"/>
            </w:tcBorders>
            <w:shd w:val="clear" w:color="auto" w:fill="CDEBEB"/>
          </w:tcPr>
          <w:p>
            <w:pPr>
              <w:pStyle w:val="TableParagraph"/>
              <w:spacing w:before="119"/>
              <w:ind w:left="122"/>
              <w:rPr>
                <w:sz w:val="20"/>
              </w:rPr>
            </w:pPr>
            <w:r>
              <w:rPr>
                <w:sz w:val="20"/>
              </w:rPr>
              <w:t>Australian</w:t>
            </w:r>
            <w:r>
              <w:rPr>
                <w:spacing w:val="-7"/>
                <w:sz w:val="20"/>
              </w:rPr>
              <w:t> </w:t>
            </w:r>
            <w:r>
              <w:rPr>
                <w:sz w:val="20"/>
              </w:rPr>
              <w:t>Gas</w:t>
            </w:r>
            <w:r>
              <w:rPr>
                <w:spacing w:val="-5"/>
                <w:sz w:val="20"/>
              </w:rPr>
              <w:t> </w:t>
            </w:r>
            <w:r>
              <w:rPr>
                <w:sz w:val="20"/>
              </w:rPr>
              <w:t>Networks</w:t>
            </w:r>
            <w:r>
              <w:rPr>
                <w:spacing w:val="-6"/>
                <w:sz w:val="20"/>
              </w:rPr>
              <w:t> </w:t>
            </w:r>
            <w:r>
              <w:rPr>
                <w:sz w:val="20"/>
              </w:rPr>
              <w:t>Pty</w:t>
            </w:r>
            <w:r>
              <w:rPr>
                <w:spacing w:val="-8"/>
                <w:sz w:val="20"/>
              </w:rPr>
              <w:t> </w:t>
            </w:r>
            <w:r>
              <w:rPr>
                <w:spacing w:val="-5"/>
                <w:sz w:val="20"/>
              </w:rPr>
              <w:t>Ltd</w:t>
            </w:r>
          </w:p>
        </w:tc>
        <w:tc>
          <w:tcPr>
            <w:tcW w:w="6401" w:type="dxa"/>
            <w:tcBorders>
              <w:right w:val="single" w:sz="8" w:space="0" w:color="A6A6A6"/>
            </w:tcBorders>
            <w:shd w:val="clear" w:color="auto" w:fill="CDEBEB"/>
          </w:tcPr>
          <w:p>
            <w:pPr>
              <w:pStyle w:val="TableParagraph"/>
              <w:spacing w:line="288" w:lineRule="auto" w:before="119"/>
              <w:ind w:left="135" w:right="148"/>
              <w:rPr>
                <w:sz w:val="20"/>
              </w:rPr>
            </w:pPr>
            <w:r>
              <w:rPr>
                <w:sz w:val="20"/>
              </w:rPr>
              <w:t>This</w:t>
            </w:r>
            <w:r>
              <w:rPr>
                <w:spacing w:val="-5"/>
                <w:sz w:val="20"/>
              </w:rPr>
              <w:t> </w:t>
            </w:r>
            <w:r>
              <w:rPr>
                <w:sz w:val="20"/>
              </w:rPr>
              <w:t>pipeline</w:t>
            </w:r>
            <w:r>
              <w:rPr>
                <w:spacing w:val="-7"/>
                <w:sz w:val="20"/>
              </w:rPr>
              <w:t> </w:t>
            </w:r>
            <w:r>
              <w:rPr>
                <w:sz w:val="20"/>
              </w:rPr>
              <w:t>operates</w:t>
            </w:r>
            <w:r>
              <w:rPr>
                <w:spacing w:val="-5"/>
                <w:sz w:val="20"/>
              </w:rPr>
              <w:t> </w:t>
            </w:r>
            <w:r>
              <w:rPr>
                <w:sz w:val="20"/>
              </w:rPr>
              <w:t>from</w:t>
            </w:r>
            <w:r>
              <w:rPr>
                <w:spacing w:val="-4"/>
                <w:sz w:val="20"/>
              </w:rPr>
              <w:t> </w:t>
            </w:r>
            <w:r>
              <w:rPr>
                <w:sz w:val="20"/>
              </w:rPr>
              <w:t>the</w:t>
            </w:r>
            <w:r>
              <w:rPr>
                <w:spacing w:val="-4"/>
                <w:sz w:val="20"/>
              </w:rPr>
              <w:t> </w:t>
            </w:r>
            <w:r>
              <w:rPr>
                <w:sz w:val="20"/>
              </w:rPr>
              <w:t>Victoria –</w:t>
            </w:r>
            <w:r>
              <w:rPr>
                <w:spacing w:val="-6"/>
                <w:sz w:val="20"/>
              </w:rPr>
              <w:t> </w:t>
            </w:r>
            <w:r>
              <w:rPr>
                <w:sz w:val="20"/>
              </w:rPr>
              <w:t>South</w:t>
            </w:r>
            <w:r>
              <w:rPr>
                <w:spacing w:val="-6"/>
                <w:sz w:val="20"/>
              </w:rPr>
              <w:t> </w:t>
            </w:r>
            <w:r>
              <w:rPr>
                <w:sz w:val="20"/>
              </w:rPr>
              <w:t>Australian</w:t>
            </w:r>
            <w:r>
              <w:rPr>
                <w:spacing w:val="-6"/>
                <w:sz w:val="20"/>
              </w:rPr>
              <w:t> </w:t>
            </w:r>
            <w:r>
              <w:rPr>
                <w:sz w:val="20"/>
              </w:rPr>
              <w:t>border</w:t>
            </w:r>
            <w:r>
              <w:rPr>
                <w:spacing w:val="-5"/>
                <w:sz w:val="20"/>
              </w:rPr>
              <w:t> </w:t>
            </w:r>
            <w:r>
              <w:rPr>
                <w:sz w:val="20"/>
              </w:rPr>
              <w:t>to the Mildura City Gate.</w:t>
            </w:r>
          </w:p>
        </w:tc>
      </w:tr>
      <w:tr>
        <w:trPr>
          <w:trHeight w:val="1067" w:hRule="atLeast"/>
        </w:trPr>
        <w:tc>
          <w:tcPr>
            <w:tcW w:w="3259" w:type="dxa"/>
            <w:tcBorders>
              <w:left w:val="single" w:sz="8" w:space="0" w:color="A6A6A6"/>
            </w:tcBorders>
          </w:tcPr>
          <w:p>
            <w:pPr>
              <w:pStyle w:val="TableParagraph"/>
              <w:spacing w:line="288" w:lineRule="auto" w:before="119"/>
              <w:ind w:left="122" w:right="23"/>
              <w:rPr>
                <w:sz w:val="20"/>
              </w:rPr>
            </w:pPr>
            <w:r>
              <w:rPr>
                <w:sz w:val="20"/>
              </w:rPr>
              <w:t>BHP Billiton Petroleum (Bass Strait)</w:t>
            </w:r>
            <w:r>
              <w:rPr>
                <w:spacing w:val="-8"/>
                <w:sz w:val="20"/>
              </w:rPr>
              <w:t> </w:t>
            </w:r>
            <w:r>
              <w:rPr>
                <w:sz w:val="20"/>
              </w:rPr>
              <w:t>Pty</w:t>
            </w:r>
            <w:r>
              <w:rPr>
                <w:spacing w:val="-11"/>
                <w:sz w:val="20"/>
              </w:rPr>
              <w:t> </w:t>
            </w:r>
            <w:r>
              <w:rPr>
                <w:sz w:val="20"/>
              </w:rPr>
              <w:t>Ltd</w:t>
            </w:r>
            <w:r>
              <w:rPr>
                <w:spacing w:val="-9"/>
                <w:sz w:val="20"/>
              </w:rPr>
              <w:t> </w:t>
            </w:r>
            <w:r>
              <w:rPr>
                <w:sz w:val="20"/>
              </w:rPr>
              <w:t>and</w:t>
            </w:r>
            <w:r>
              <w:rPr>
                <w:spacing w:val="-7"/>
                <w:sz w:val="20"/>
              </w:rPr>
              <w:t> </w:t>
            </w:r>
            <w:r>
              <w:rPr>
                <w:sz w:val="20"/>
              </w:rPr>
              <w:t>Esso</w:t>
            </w:r>
            <w:r>
              <w:rPr>
                <w:spacing w:val="-9"/>
                <w:sz w:val="20"/>
              </w:rPr>
              <w:t> </w:t>
            </w:r>
            <w:r>
              <w:rPr>
                <w:sz w:val="20"/>
              </w:rPr>
              <w:t>Australia Resources Pty Ltd</w:t>
            </w:r>
          </w:p>
        </w:tc>
        <w:tc>
          <w:tcPr>
            <w:tcW w:w="6401" w:type="dxa"/>
            <w:tcBorders>
              <w:right w:val="single" w:sz="8" w:space="0" w:color="A6A6A6"/>
            </w:tcBorders>
          </w:tcPr>
          <w:p>
            <w:pPr>
              <w:pStyle w:val="TableParagraph"/>
              <w:spacing w:line="288" w:lineRule="auto" w:before="119"/>
              <w:ind w:left="135" w:right="148"/>
              <w:rPr>
                <w:sz w:val="20"/>
              </w:rPr>
            </w:pPr>
            <w:r>
              <w:rPr>
                <w:sz w:val="20"/>
              </w:rPr>
              <w:t>BHP</w:t>
            </w:r>
            <w:r>
              <w:rPr>
                <w:spacing w:val="-4"/>
                <w:sz w:val="20"/>
              </w:rPr>
              <w:t> </w:t>
            </w:r>
            <w:r>
              <w:rPr>
                <w:sz w:val="20"/>
              </w:rPr>
              <w:t>and</w:t>
            </w:r>
            <w:r>
              <w:rPr>
                <w:spacing w:val="-6"/>
                <w:sz w:val="20"/>
              </w:rPr>
              <w:t> </w:t>
            </w:r>
            <w:r>
              <w:rPr>
                <w:sz w:val="20"/>
              </w:rPr>
              <w:t>ESSO</w:t>
            </w:r>
            <w:r>
              <w:rPr>
                <w:spacing w:val="-5"/>
                <w:sz w:val="20"/>
              </w:rPr>
              <w:t> </w:t>
            </w:r>
            <w:r>
              <w:rPr>
                <w:sz w:val="20"/>
              </w:rPr>
              <w:t>jointly</w:t>
            </w:r>
            <w:r>
              <w:rPr>
                <w:spacing w:val="-8"/>
                <w:sz w:val="20"/>
              </w:rPr>
              <w:t> </w:t>
            </w:r>
            <w:r>
              <w:rPr>
                <w:sz w:val="20"/>
              </w:rPr>
              <w:t>hold</w:t>
            </w:r>
            <w:r>
              <w:rPr>
                <w:spacing w:val="-4"/>
                <w:sz w:val="20"/>
              </w:rPr>
              <w:t> </w:t>
            </w:r>
            <w:r>
              <w:rPr>
                <w:sz w:val="20"/>
              </w:rPr>
              <w:t>two</w:t>
            </w:r>
            <w:r>
              <w:rPr>
                <w:spacing w:val="-7"/>
                <w:sz w:val="20"/>
              </w:rPr>
              <w:t> </w:t>
            </w:r>
            <w:r>
              <w:rPr>
                <w:sz w:val="20"/>
              </w:rPr>
              <w:t>pipeline</w:t>
            </w:r>
            <w:r>
              <w:rPr>
                <w:spacing w:val="-5"/>
                <w:sz w:val="20"/>
              </w:rPr>
              <w:t> </w:t>
            </w:r>
            <w:r>
              <w:rPr>
                <w:sz w:val="20"/>
              </w:rPr>
              <w:t>licences</w:t>
            </w:r>
            <w:r>
              <w:rPr>
                <w:spacing w:val="-5"/>
                <w:sz w:val="20"/>
              </w:rPr>
              <w:t> </w:t>
            </w:r>
            <w:r>
              <w:rPr>
                <w:sz w:val="20"/>
              </w:rPr>
              <w:t>supplying</w:t>
            </w:r>
            <w:r>
              <w:rPr>
                <w:spacing w:val="-6"/>
                <w:sz w:val="20"/>
              </w:rPr>
              <w:t> </w:t>
            </w:r>
            <w:r>
              <w:rPr>
                <w:sz w:val="20"/>
              </w:rPr>
              <w:t>natural gas to metropolitan and regional areas throughout Victoria.</w:t>
            </w:r>
          </w:p>
        </w:tc>
      </w:tr>
      <w:tr>
        <w:trPr>
          <w:trHeight w:val="792" w:hRule="atLeast"/>
        </w:trPr>
        <w:tc>
          <w:tcPr>
            <w:tcW w:w="3259" w:type="dxa"/>
            <w:tcBorders>
              <w:left w:val="single" w:sz="8" w:space="0" w:color="A6A6A6"/>
            </w:tcBorders>
            <w:shd w:val="clear" w:color="auto" w:fill="CDEBEB"/>
          </w:tcPr>
          <w:p>
            <w:pPr>
              <w:pStyle w:val="TableParagraph"/>
              <w:spacing w:before="119"/>
              <w:ind w:left="122"/>
              <w:rPr>
                <w:sz w:val="20"/>
              </w:rPr>
            </w:pPr>
            <w:r>
              <w:rPr>
                <w:sz w:val="20"/>
              </w:rPr>
              <w:t>Cooper</w:t>
            </w:r>
            <w:r>
              <w:rPr>
                <w:spacing w:val="-8"/>
                <w:sz w:val="20"/>
              </w:rPr>
              <w:t> </w:t>
            </w:r>
            <w:r>
              <w:rPr>
                <w:sz w:val="20"/>
              </w:rPr>
              <w:t>Energy</w:t>
            </w:r>
            <w:r>
              <w:rPr>
                <w:spacing w:val="-10"/>
                <w:sz w:val="20"/>
              </w:rPr>
              <w:t> </w:t>
            </w:r>
            <w:r>
              <w:rPr>
                <w:spacing w:val="-2"/>
                <w:sz w:val="20"/>
              </w:rPr>
              <w:t>(PBGB)</w:t>
            </w:r>
          </w:p>
        </w:tc>
        <w:tc>
          <w:tcPr>
            <w:tcW w:w="6401" w:type="dxa"/>
            <w:tcBorders>
              <w:right w:val="single" w:sz="8" w:space="0" w:color="A6A6A6"/>
            </w:tcBorders>
            <w:shd w:val="clear" w:color="auto" w:fill="CDEBEB"/>
          </w:tcPr>
          <w:p>
            <w:pPr>
              <w:pStyle w:val="TableParagraph"/>
              <w:spacing w:line="288" w:lineRule="auto" w:before="119"/>
              <w:ind w:left="135" w:right="148"/>
              <w:rPr>
                <w:sz w:val="20"/>
              </w:rPr>
            </w:pPr>
            <w:r>
              <w:rPr>
                <w:sz w:val="20"/>
              </w:rPr>
              <w:t>Cooper</w:t>
            </w:r>
            <w:r>
              <w:rPr>
                <w:spacing w:val="-5"/>
                <w:sz w:val="20"/>
              </w:rPr>
              <w:t> </w:t>
            </w:r>
            <w:r>
              <w:rPr>
                <w:sz w:val="20"/>
              </w:rPr>
              <w:t>Energy</w:t>
            </w:r>
            <w:r>
              <w:rPr>
                <w:spacing w:val="-8"/>
                <w:sz w:val="20"/>
              </w:rPr>
              <w:t> </w:t>
            </w:r>
            <w:r>
              <w:rPr>
                <w:sz w:val="20"/>
              </w:rPr>
              <w:t>holds</w:t>
            </w:r>
            <w:r>
              <w:rPr>
                <w:spacing w:val="-4"/>
                <w:sz w:val="20"/>
              </w:rPr>
              <w:t> </w:t>
            </w:r>
            <w:r>
              <w:rPr>
                <w:sz w:val="20"/>
              </w:rPr>
              <w:t>one</w:t>
            </w:r>
            <w:r>
              <w:rPr>
                <w:spacing w:val="-4"/>
                <w:sz w:val="20"/>
              </w:rPr>
              <w:t> </w:t>
            </w:r>
            <w:r>
              <w:rPr>
                <w:sz w:val="20"/>
              </w:rPr>
              <w:t>pipeline</w:t>
            </w:r>
            <w:r>
              <w:rPr>
                <w:spacing w:val="-4"/>
                <w:sz w:val="20"/>
              </w:rPr>
              <w:t> </w:t>
            </w:r>
            <w:r>
              <w:rPr>
                <w:sz w:val="20"/>
              </w:rPr>
              <w:t>licence</w:t>
            </w:r>
            <w:r>
              <w:rPr>
                <w:spacing w:val="-5"/>
                <w:sz w:val="20"/>
              </w:rPr>
              <w:t> </w:t>
            </w:r>
            <w:r>
              <w:rPr>
                <w:sz w:val="20"/>
              </w:rPr>
              <w:t>supplying</w:t>
            </w:r>
            <w:r>
              <w:rPr>
                <w:spacing w:val="-5"/>
                <w:sz w:val="20"/>
              </w:rPr>
              <w:t> </w:t>
            </w:r>
            <w:r>
              <w:rPr>
                <w:sz w:val="20"/>
              </w:rPr>
              <w:t>gas</w:t>
            </w:r>
            <w:r>
              <w:rPr>
                <w:spacing w:val="-4"/>
                <w:sz w:val="20"/>
              </w:rPr>
              <w:t> </w:t>
            </w:r>
            <w:r>
              <w:rPr>
                <w:sz w:val="20"/>
              </w:rPr>
              <w:t>to</w:t>
            </w:r>
            <w:r>
              <w:rPr>
                <w:spacing w:val="-6"/>
                <w:sz w:val="20"/>
              </w:rPr>
              <w:t> </w:t>
            </w:r>
            <w:r>
              <w:rPr>
                <w:sz w:val="20"/>
              </w:rPr>
              <w:t>regional area in Victoria.</w:t>
            </w:r>
          </w:p>
        </w:tc>
      </w:tr>
      <w:tr>
        <w:trPr>
          <w:trHeight w:val="516" w:hRule="atLeast"/>
        </w:trPr>
        <w:tc>
          <w:tcPr>
            <w:tcW w:w="3259" w:type="dxa"/>
            <w:tcBorders>
              <w:left w:val="single" w:sz="8" w:space="0" w:color="A6A6A6"/>
            </w:tcBorders>
          </w:tcPr>
          <w:p>
            <w:pPr>
              <w:pStyle w:val="TableParagraph"/>
              <w:spacing w:before="119"/>
              <w:ind w:left="122"/>
              <w:rPr>
                <w:sz w:val="20"/>
              </w:rPr>
            </w:pPr>
            <w:r>
              <w:rPr>
                <w:sz w:val="20"/>
              </w:rPr>
              <w:t>Gas</w:t>
            </w:r>
            <w:r>
              <w:rPr>
                <w:spacing w:val="-7"/>
                <w:sz w:val="20"/>
              </w:rPr>
              <w:t> </w:t>
            </w:r>
            <w:r>
              <w:rPr>
                <w:sz w:val="20"/>
              </w:rPr>
              <w:t>Pipelines</w:t>
            </w:r>
            <w:r>
              <w:rPr>
                <w:spacing w:val="-6"/>
                <w:sz w:val="20"/>
              </w:rPr>
              <w:t> </w:t>
            </w:r>
            <w:r>
              <w:rPr>
                <w:sz w:val="20"/>
              </w:rPr>
              <w:t>Victoria</w:t>
            </w:r>
            <w:r>
              <w:rPr>
                <w:spacing w:val="-7"/>
                <w:sz w:val="20"/>
              </w:rPr>
              <w:t> </w:t>
            </w:r>
            <w:r>
              <w:rPr>
                <w:sz w:val="20"/>
              </w:rPr>
              <w:t>Pty</w:t>
            </w:r>
            <w:r>
              <w:rPr>
                <w:spacing w:val="-8"/>
                <w:sz w:val="20"/>
              </w:rPr>
              <w:t> </w:t>
            </w:r>
            <w:r>
              <w:rPr>
                <w:spacing w:val="-5"/>
                <w:sz w:val="20"/>
              </w:rPr>
              <w:t>Ltd</w:t>
            </w:r>
          </w:p>
        </w:tc>
        <w:tc>
          <w:tcPr>
            <w:tcW w:w="6401" w:type="dxa"/>
            <w:tcBorders>
              <w:right w:val="single" w:sz="8" w:space="0" w:color="A6A6A6"/>
            </w:tcBorders>
          </w:tcPr>
          <w:p>
            <w:pPr>
              <w:pStyle w:val="TableParagraph"/>
              <w:spacing w:before="119"/>
              <w:ind w:left="135"/>
              <w:rPr>
                <w:sz w:val="20"/>
              </w:rPr>
            </w:pPr>
            <w:r>
              <w:rPr>
                <w:sz w:val="20"/>
              </w:rPr>
              <w:t>The</w:t>
            </w:r>
            <w:r>
              <w:rPr>
                <w:spacing w:val="-9"/>
                <w:sz w:val="20"/>
              </w:rPr>
              <w:t> </w:t>
            </w:r>
            <w:r>
              <w:rPr>
                <w:sz w:val="20"/>
              </w:rPr>
              <w:t>GPV</w:t>
            </w:r>
            <w:r>
              <w:rPr>
                <w:spacing w:val="-7"/>
                <w:sz w:val="20"/>
              </w:rPr>
              <w:t> </w:t>
            </w:r>
            <w:r>
              <w:rPr>
                <w:sz w:val="20"/>
              </w:rPr>
              <w:t>pipeline</w:t>
            </w:r>
            <w:r>
              <w:rPr>
                <w:spacing w:val="-7"/>
                <w:sz w:val="20"/>
              </w:rPr>
              <w:t> </w:t>
            </w:r>
            <w:r>
              <w:rPr>
                <w:sz w:val="20"/>
              </w:rPr>
              <w:t>operates</w:t>
            </w:r>
            <w:r>
              <w:rPr>
                <w:spacing w:val="-4"/>
                <w:sz w:val="20"/>
              </w:rPr>
              <w:t> </w:t>
            </w:r>
            <w:r>
              <w:rPr>
                <w:sz w:val="20"/>
              </w:rPr>
              <w:t>from</w:t>
            </w:r>
            <w:r>
              <w:rPr>
                <w:spacing w:val="-3"/>
                <w:sz w:val="20"/>
              </w:rPr>
              <w:t> </w:t>
            </w:r>
            <w:r>
              <w:rPr>
                <w:sz w:val="20"/>
              </w:rPr>
              <w:t>Carisbrook</w:t>
            </w:r>
            <w:r>
              <w:rPr>
                <w:spacing w:val="-4"/>
                <w:sz w:val="20"/>
              </w:rPr>
              <w:t> </w:t>
            </w:r>
            <w:r>
              <w:rPr>
                <w:sz w:val="20"/>
              </w:rPr>
              <w:t>to</w:t>
            </w:r>
            <w:r>
              <w:rPr>
                <w:spacing w:val="-8"/>
                <w:sz w:val="20"/>
              </w:rPr>
              <w:t> </w:t>
            </w:r>
            <w:r>
              <w:rPr>
                <w:spacing w:val="-2"/>
                <w:sz w:val="20"/>
              </w:rPr>
              <w:t>Horsham.</w:t>
            </w:r>
          </w:p>
        </w:tc>
      </w:tr>
      <w:tr>
        <w:trPr>
          <w:trHeight w:val="792" w:hRule="atLeast"/>
        </w:trPr>
        <w:tc>
          <w:tcPr>
            <w:tcW w:w="3259" w:type="dxa"/>
            <w:tcBorders>
              <w:left w:val="single" w:sz="8" w:space="0" w:color="A6A6A6"/>
            </w:tcBorders>
            <w:shd w:val="clear" w:color="auto" w:fill="CDEBEB"/>
          </w:tcPr>
          <w:p>
            <w:pPr>
              <w:pStyle w:val="TableParagraph"/>
              <w:spacing w:before="120"/>
              <w:ind w:left="122"/>
              <w:rPr>
                <w:sz w:val="20"/>
              </w:rPr>
            </w:pPr>
            <w:r>
              <w:rPr>
                <w:sz w:val="20"/>
              </w:rPr>
              <w:t>IPM</w:t>
            </w:r>
            <w:r>
              <w:rPr>
                <w:spacing w:val="-4"/>
                <w:sz w:val="20"/>
              </w:rPr>
              <w:t> </w:t>
            </w:r>
            <w:r>
              <w:rPr>
                <w:sz w:val="20"/>
              </w:rPr>
              <w:t>Australia</w:t>
            </w:r>
            <w:r>
              <w:rPr>
                <w:spacing w:val="-6"/>
                <w:sz w:val="20"/>
              </w:rPr>
              <w:t> </w:t>
            </w:r>
            <w:r>
              <w:rPr>
                <w:sz w:val="20"/>
              </w:rPr>
              <w:t>Pty</w:t>
            </w:r>
            <w:r>
              <w:rPr>
                <w:spacing w:val="-7"/>
                <w:sz w:val="20"/>
              </w:rPr>
              <w:t> </w:t>
            </w:r>
            <w:r>
              <w:rPr>
                <w:spacing w:val="-5"/>
                <w:sz w:val="20"/>
              </w:rPr>
              <w:t>Ltd</w:t>
            </w:r>
          </w:p>
        </w:tc>
        <w:tc>
          <w:tcPr>
            <w:tcW w:w="6401" w:type="dxa"/>
            <w:tcBorders>
              <w:right w:val="single" w:sz="8" w:space="0" w:color="A6A6A6"/>
            </w:tcBorders>
            <w:shd w:val="clear" w:color="auto" w:fill="CDEBEB"/>
          </w:tcPr>
          <w:p>
            <w:pPr>
              <w:pStyle w:val="TableParagraph"/>
              <w:spacing w:line="288" w:lineRule="auto" w:before="120"/>
              <w:ind w:left="135" w:right="148"/>
              <w:rPr>
                <w:sz w:val="20"/>
              </w:rPr>
            </w:pPr>
            <w:r>
              <w:rPr>
                <w:sz w:val="20"/>
              </w:rPr>
              <w:t>The</w:t>
            </w:r>
            <w:r>
              <w:rPr>
                <w:spacing w:val="-6"/>
                <w:sz w:val="20"/>
              </w:rPr>
              <w:t> </w:t>
            </w:r>
            <w:r>
              <w:rPr>
                <w:sz w:val="20"/>
              </w:rPr>
              <w:t>IPM</w:t>
            </w:r>
            <w:r>
              <w:rPr>
                <w:spacing w:val="-5"/>
                <w:sz w:val="20"/>
              </w:rPr>
              <w:t> </w:t>
            </w:r>
            <w:r>
              <w:rPr>
                <w:sz w:val="20"/>
              </w:rPr>
              <w:t>pipeline</w:t>
            </w:r>
            <w:r>
              <w:rPr>
                <w:spacing w:val="-3"/>
                <w:sz w:val="20"/>
              </w:rPr>
              <w:t> </w:t>
            </w:r>
            <w:r>
              <w:rPr>
                <w:sz w:val="20"/>
              </w:rPr>
              <w:t>operates</w:t>
            </w:r>
            <w:r>
              <w:rPr>
                <w:spacing w:val="-4"/>
                <w:sz w:val="20"/>
              </w:rPr>
              <w:t> </w:t>
            </w:r>
            <w:r>
              <w:rPr>
                <w:sz w:val="20"/>
              </w:rPr>
              <w:t>from</w:t>
            </w:r>
            <w:r>
              <w:rPr>
                <w:spacing w:val="-3"/>
                <w:sz w:val="20"/>
              </w:rPr>
              <w:t> </w:t>
            </w:r>
            <w:r>
              <w:rPr>
                <w:sz w:val="20"/>
              </w:rPr>
              <w:t>Traralgon</w:t>
            </w:r>
            <w:r>
              <w:rPr>
                <w:spacing w:val="-3"/>
                <w:sz w:val="20"/>
              </w:rPr>
              <w:t> </w:t>
            </w:r>
            <w:r>
              <w:rPr>
                <w:sz w:val="20"/>
              </w:rPr>
              <w:t>to</w:t>
            </w:r>
            <w:r>
              <w:rPr>
                <w:spacing w:val="-6"/>
                <w:sz w:val="20"/>
              </w:rPr>
              <w:t> </w:t>
            </w:r>
            <w:r>
              <w:rPr>
                <w:sz w:val="20"/>
              </w:rPr>
              <w:t>the</w:t>
            </w:r>
            <w:r>
              <w:rPr>
                <w:spacing w:val="-4"/>
                <w:sz w:val="20"/>
              </w:rPr>
              <w:t> </w:t>
            </w:r>
            <w:r>
              <w:rPr>
                <w:sz w:val="20"/>
              </w:rPr>
              <w:t>Loy</w:t>
            </w:r>
            <w:r>
              <w:rPr>
                <w:spacing w:val="-6"/>
                <w:sz w:val="20"/>
              </w:rPr>
              <w:t> </w:t>
            </w:r>
            <w:r>
              <w:rPr>
                <w:sz w:val="20"/>
              </w:rPr>
              <w:t>Yang</w:t>
            </w:r>
            <w:r>
              <w:rPr>
                <w:spacing w:val="-3"/>
                <w:sz w:val="20"/>
              </w:rPr>
              <w:t> </w:t>
            </w:r>
            <w:r>
              <w:rPr>
                <w:sz w:val="20"/>
              </w:rPr>
              <w:t>Power </w:t>
            </w:r>
            <w:r>
              <w:rPr>
                <w:spacing w:val="-2"/>
                <w:sz w:val="20"/>
              </w:rPr>
              <w:t>Station.</w:t>
            </w:r>
          </w:p>
        </w:tc>
      </w:tr>
      <w:tr>
        <w:trPr>
          <w:trHeight w:val="398" w:hRule="atLeast"/>
        </w:trPr>
        <w:tc>
          <w:tcPr>
            <w:tcW w:w="3259" w:type="dxa"/>
            <w:tcBorders>
              <w:left w:val="single" w:sz="8" w:space="0" w:color="A6A6A6"/>
              <w:bottom w:val="single" w:sz="8" w:space="0" w:color="A6A6A6"/>
            </w:tcBorders>
          </w:tcPr>
          <w:p>
            <w:pPr>
              <w:pStyle w:val="TableParagraph"/>
              <w:spacing w:before="119"/>
              <w:ind w:left="122"/>
              <w:rPr>
                <w:sz w:val="20"/>
              </w:rPr>
            </w:pPr>
            <w:r>
              <w:rPr>
                <w:sz w:val="20"/>
              </w:rPr>
              <w:t>Jemena</w:t>
            </w:r>
            <w:r>
              <w:rPr>
                <w:spacing w:val="-9"/>
                <w:sz w:val="20"/>
              </w:rPr>
              <w:t> </w:t>
            </w:r>
            <w:r>
              <w:rPr>
                <w:sz w:val="20"/>
              </w:rPr>
              <w:t>Eastern</w:t>
            </w:r>
            <w:r>
              <w:rPr>
                <w:spacing w:val="-9"/>
                <w:sz w:val="20"/>
              </w:rPr>
              <w:t> </w:t>
            </w:r>
            <w:r>
              <w:rPr>
                <w:sz w:val="20"/>
              </w:rPr>
              <w:t>Gas</w:t>
            </w:r>
            <w:r>
              <w:rPr>
                <w:spacing w:val="-6"/>
                <w:sz w:val="20"/>
              </w:rPr>
              <w:t> </w:t>
            </w:r>
            <w:r>
              <w:rPr>
                <w:sz w:val="20"/>
              </w:rPr>
              <w:t>Pipeline</w:t>
            </w:r>
            <w:r>
              <w:rPr>
                <w:spacing w:val="-9"/>
                <w:sz w:val="20"/>
              </w:rPr>
              <w:t> </w:t>
            </w:r>
            <w:r>
              <w:rPr>
                <w:spacing w:val="-5"/>
                <w:sz w:val="20"/>
              </w:rPr>
              <w:t>(1)</w:t>
            </w:r>
          </w:p>
        </w:tc>
        <w:tc>
          <w:tcPr>
            <w:tcW w:w="6401" w:type="dxa"/>
            <w:tcBorders>
              <w:bottom w:val="single" w:sz="8" w:space="0" w:color="A6A6A6"/>
              <w:right w:val="single" w:sz="8" w:space="0" w:color="A6A6A6"/>
            </w:tcBorders>
          </w:tcPr>
          <w:p>
            <w:pPr>
              <w:pStyle w:val="TableParagraph"/>
              <w:spacing w:before="119"/>
              <w:ind w:left="135"/>
              <w:rPr>
                <w:sz w:val="20"/>
              </w:rPr>
            </w:pPr>
            <w:r>
              <w:rPr>
                <w:sz w:val="20"/>
              </w:rPr>
              <w:t>The</w:t>
            </w:r>
            <w:r>
              <w:rPr>
                <w:spacing w:val="-9"/>
                <w:sz w:val="20"/>
              </w:rPr>
              <w:t> </w:t>
            </w:r>
            <w:r>
              <w:rPr>
                <w:sz w:val="20"/>
              </w:rPr>
              <w:t>Jemena</w:t>
            </w:r>
            <w:r>
              <w:rPr>
                <w:spacing w:val="-7"/>
                <w:sz w:val="20"/>
              </w:rPr>
              <w:t> </w:t>
            </w:r>
            <w:r>
              <w:rPr>
                <w:sz w:val="20"/>
              </w:rPr>
              <w:t>pipeline</w:t>
            </w:r>
            <w:r>
              <w:rPr>
                <w:spacing w:val="-7"/>
                <w:sz w:val="20"/>
              </w:rPr>
              <w:t> </w:t>
            </w:r>
            <w:r>
              <w:rPr>
                <w:sz w:val="20"/>
              </w:rPr>
              <w:t>operates</w:t>
            </w:r>
            <w:r>
              <w:rPr>
                <w:spacing w:val="-6"/>
                <w:sz w:val="20"/>
              </w:rPr>
              <w:t> </w:t>
            </w:r>
            <w:r>
              <w:rPr>
                <w:sz w:val="20"/>
              </w:rPr>
              <w:t>from</w:t>
            </w:r>
            <w:r>
              <w:rPr>
                <w:spacing w:val="-3"/>
                <w:sz w:val="20"/>
              </w:rPr>
              <w:t> </w:t>
            </w:r>
            <w:r>
              <w:rPr>
                <w:sz w:val="20"/>
              </w:rPr>
              <w:t>Longford</w:t>
            </w:r>
            <w:r>
              <w:rPr>
                <w:spacing w:val="-7"/>
                <w:sz w:val="20"/>
              </w:rPr>
              <w:t> </w:t>
            </w:r>
            <w:r>
              <w:rPr>
                <w:sz w:val="20"/>
              </w:rPr>
              <w:t>to</w:t>
            </w:r>
            <w:r>
              <w:rPr>
                <w:spacing w:val="-9"/>
                <w:sz w:val="20"/>
              </w:rPr>
              <w:t> </w:t>
            </w:r>
            <w:r>
              <w:rPr>
                <w:sz w:val="20"/>
              </w:rPr>
              <w:t>New</w:t>
            </w:r>
            <w:r>
              <w:rPr>
                <w:spacing w:val="-9"/>
                <w:sz w:val="20"/>
              </w:rPr>
              <w:t> </w:t>
            </w:r>
            <w:r>
              <w:rPr>
                <w:sz w:val="20"/>
              </w:rPr>
              <w:t>South</w:t>
            </w:r>
            <w:r>
              <w:rPr>
                <w:spacing w:val="-10"/>
                <w:sz w:val="20"/>
              </w:rPr>
              <w:t> </w:t>
            </w:r>
            <w:r>
              <w:rPr>
                <w:spacing w:val="-2"/>
                <w:sz w:val="20"/>
              </w:rPr>
              <w:t>Wales</w:t>
            </w:r>
          </w:p>
        </w:tc>
      </w:tr>
    </w:tbl>
    <w:p>
      <w:pPr>
        <w:pStyle w:val="BodyText"/>
        <w:spacing w:before="10"/>
        <w:rPr>
          <w:rFonts w:ascii="Arial-BoldItalicMT"/>
          <w:b/>
          <w:i/>
          <w:sz w:val="15"/>
        </w:rPr>
      </w:pPr>
      <w:r>
        <w:rPr/>
        <mc:AlternateContent>
          <mc:Choice Requires="wps">
            <w:drawing>
              <wp:anchor distT="0" distB="0" distL="0" distR="0" allowOverlap="1" layoutInCell="1" locked="0" behindDoc="1" simplePos="0" relativeHeight="487673856">
                <wp:simplePos x="0" y="0"/>
                <wp:positionH relativeFrom="page">
                  <wp:posOffset>701040</wp:posOffset>
                </wp:positionH>
                <wp:positionV relativeFrom="paragraph">
                  <wp:posOffset>131444</wp:posOffset>
                </wp:positionV>
                <wp:extent cx="6158230" cy="1270"/>
                <wp:effectExtent l="0" t="0" r="0" b="0"/>
                <wp:wrapTopAndBottom/>
                <wp:docPr id="243" name="Graphic 243"/>
                <wp:cNvGraphicFramePr>
                  <a:graphicFrameLocks/>
                </wp:cNvGraphicFramePr>
                <a:graphic>
                  <a:graphicData uri="http://schemas.microsoft.com/office/word/2010/wordprocessingShape">
                    <wps:wsp>
                      <wps:cNvPr id="243" name="Graphic 243"/>
                      <wps:cNvSpPr/>
                      <wps:spPr>
                        <a:xfrm>
                          <a:off x="0" y="0"/>
                          <a:ext cx="6158230" cy="1270"/>
                        </a:xfrm>
                        <a:custGeom>
                          <a:avLst/>
                          <a:gdLst/>
                          <a:ahLst/>
                          <a:cxnLst/>
                          <a:rect l="l" t="t" r="r" b="b"/>
                          <a:pathLst>
                            <a:path w="6158230" h="0">
                              <a:moveTo>
                                <a:pt x="0" y="0"/>
                              </a:moveTo>
                              <a:lnTo>
                                <a:pt x="6158230" y="0"/>
                              </a:lnTo>
                            </a:path>
                          </a:pathLst>
                        </a:custGeom>
                        <a:ln w="12192">
                          <a:solidFill>
                            <a:srgbClr val="000000"/>
                          </a:solidFill>
                          <a:prstDash val="sysDot"/>
                        </a:ln>
                      </wps:spPr>
                      <wps:bodyPr wrap="square" lIns="0" tIns="0" rIns="0" bIns="0" rtlCol="0">
                        <a:prstTxWarp prst="textNoShape">
                          <a:avLst/>
                        </a:prstTxWarp>
                        <a:noAutofit/>
                      </wps:bodyPr>
                    </wps:wsp>
                  </a:graphicData>
                </a:graphic>
              </wp:anchor>
            </w:drawing>
          </mc:Choice>
          <mc:Fallback>
            <w:pict>
              <v:shape style="position:absolute;margin-left:55.200001pt;margin-top:10.34998pt;width:484.9pt;height:.1pt;mso-position-horizontal-relative:page;mso-position-vertical-relative:paragraph;z-index:-15642624;mso-wrap-distance-left:0;mso-wrap-distance-right:0" id="docshape210" coordorigin="1104,207" coordsize="9698,0" path="m1104,207l10802,207e" filled="false" stroked="true" strokeweight=".96pt" strokecolor="#000000">
                <v:path arrowok="t"/>
                <v:stroke dashstyle="shortdot"/>
                <w10:wrap type="topAndBottom"/>
              </v:shape>
            </w:pict>
          </mc:Fallback>
        </mc:AlternateContent>
      </w:r>
    </w:p>
    <w:p>
      <w:pPr>
        <w:pStyle w:val="BodyText"/>
        <w:spacing w:before="4"/>
        <w:rPr>
          <w:rFonts w:ascii="Arial-BoldItalicMT"/>
          <w:b/>
          <w:i/>
          <w:sz w:val="31"/>
        </w:rPr>
      </w:pPr>
    </w:p>
    <w:p>
      <w:pPr>
        <w:spacing w:before="0"/>
        <w:ind w:left="232" w:right="374" w:firstLine="0"/>
        <w:jc w:val="left"/>
        <w:rPr>
          <w:sz w:val="16"/>
        </w:rPr>
      </w:pPr>
      <w:r>
        <w:rPr>
          <w:position w:val="5"/>
          <w:sz w:val="9"/>
        </w:rPr>
        <w:t>22</w:t>
      </w:r>
      <w:r>
        <w:rPr>
          <w:spacing w:val="12"/>
          <w:position w:val="5"/>
          <w:sz w:val="9"/>
        </w:rPr>
        <w:t> </w:t>
      </w:r>
      <w:r>
        <w:rPr>
          <w:sz w:val="16"/>
        </w:rPr>
        <w:t>Not all pipeline</w:t>
      </w:r>
      <w:r>
        <w:rPr>
          <w:spacing w:val="-1"/>
          <w:sz w:val="16"/>
        </w:rPr>
        <w:t> </w:t>
      </w:r>
      <w:r>
        <w:rPr>
          <w:sz w:val="16"/>
        </w:rPr>
        <w:t>licences</w:t>
      </w:r>
      <w:r>
        <w:rPr>
          <w:spacing w:val="-2"/>
          <w:sz w:val="16"/>
        </w:rPr>
        <w:t> </w:t>
      </w:r>
      <w:r>
        <w:rPr>
          <w:sz w:val="16"/>
        </w:rPr>
        <w:t>are</w:t>
      </w:r>
      <w:r>
        <w:rPr>
          <w:spacing w:val="-1"/>
          <w:sz w:val="16"/>
        </w:rPr>
        <w:t> </w:t>
      </w:r>
      <w:r>
        <w:rPr>
          <w:sz w:val="16"/>
        </w:rPr>
        <w:t>for</w:t>
      </w:r>
      <w:r>
        <w:rPr>
          <w:spacing w:val="-1"/>
          <w:sz w:val="16"/>
        </w:rPr>
        <w:t> </w:t>
      </w:r>
      <w:r>
        <w:rPr>
          <w:sz w:val="16"/>
        </w:rPr>
        <w:t>pipelines,</w:t>
      </w:r>
      <w:r>
        <w:rPr>
          <w:spacing w:val="-2"/>
          <w:sz w:val="16"/>
        </w:rPr>
        <w:t> </w:t>
      </w:r>
      <w:r>
        <w:rPr>
          <w:sz w:val="16"/>
        </w:rPr>
        <w:t>a</w:t>
      </w:r>
      <w:r>
        <w:rPr>
          <w:spacing w:val="-1"/>
          <w:sz w:val="16"/>
        </w:rPr>
        <w:t> </w:t>
      </w:r>
      <w:r>
        <w:rPr>
          <w:sz w:val="16"/>
        </w:rPr>
        <w:t>number</w:t>
      </w:r>
      <w:r>
        <w:rPr>
          <w:spacing w:val="-1"/>
          <w:sz w:val="16"/>
        </w:rPr>
        <w:t> </w:t>
      </w:r>
      <w:r>
        <w:rPr>
          <w:sz w:val="16"/>
        </w:rPr>
        <w:t>of</w:t>
      </w:r>
      <w:r>
        <w:rPr>
          <w:spacing w:val="-2"/>
          <w:sz w:val="16"/>
        </w:rPr>
        <w:t> </w:t>
      </w:r>
      <w:r>
        <w:rPr>
          <w:sz w:val="16"/>
        </w:rPr>
        <w:t>these</w:t>
      </w:r>
      <w:r>
        <w:rPr>
          <w:spacing w:val="-4"/>
          <w:sz w:val="16"/>
        </w:rPr>
        <w:t> </w:t>
      </w:r>
      <w:r>
        <w:rPr>
          <w:sz w:val="16"/>
        </w:rPr>
        <w:t>licences were</w:t>
      </w:r>
      <w:r>
        <w:rPr>
          <w:spacing w:val="-1"/>
          <w:sz w:val="16"/>
        </w:rPr>
        <w:t> </w:t>
      </w:r>
      <w:r>
        <w:rPr>
          <w:sz w:val="16"/>
        </w:rPr>
        <w:t>issued</w:t>
      </w:r>
      <w:r>
        <w:rPr>
          <w:spacing w:val="-1"/>
          <w:sz w:val="16"/>
        </w:rPr>
        <w:t> </w:t>
      </w:r>
      <w:r>
        <w:rPr>
          <w:sz w:val="16"/>
        </w:rPr>
        <w:t>for</w:t>
      </w:r>
      <w:r>
        <w:rPr>
          <w:spacing w:val="-4"/>
          <w:sz w:val="16"/>
        </w:rPr>
        <w:t> </w:t>
      </w:r>
      <w:r>
        <w:rPr>
          <w:sz w:val="16"/>
        </w:rPr>
        <w:t>City</w:t>
      </w:r>
      <w:r>
        <w:rPr>
          <w:spacing w:val="-2"/>
          <w:sz w:val="16"/>
        </w:rPr>
        <w:t> </w:t>
      </w:r>
      <w:r>
        <w:rPr>
          <w:sz w:val="16"/>
        </w:rPr>
        <w:t>Gate</w:t>
      </w:r>
      <w:r>
        <w:rPr>
          <w:spacing w:val="-3"/>
          <w:sz w:val="16"/>
        </w:rPr>
        <w:t> </w:t>
      </w:r>
      <w:r>
        <w:rPr>
          <w:sz w:val="16"/>
        </w:rPr>
        <w:t>facilities.</w:t>
      </w:r>
      <w:r>
        <w:rPr>
          <w:spacing w:val="-2"/>
          <w:sz w:val="16"/>
        </w:rPr>
        <w:t> </w:t>
      </w:r>
      <w:r>
        <w:rPr>
          <w:sz w:val="16"/>
        </w:rPr>
        <w:t>Not all pipelines</w:t>
      </w:r>
      <w:r>
        <w:rPr>
          <w:spacing w:val="-2"/>
          <w:sz w:val="16"/>
        </w:rPr>
        <w:t> </w:t>
      </w:r>
      <w:r>
        <w:rPr>
          <w:sz w:val="16"/>
        </w:rPr>
        <w:t>convey natural gas, some convey liquid/gaseous hydrocarbons</w:t>
      </w:r>
    </w:p>
    <w:p>
      <w:pPr>
        <w:spacing w:after="0"/>
        <w:jc w:val="left"/>
        <w:rPr>
          <w:sz w:val="16"/>
        </w:rPr>
        <w:sectPr>
          <w:pgSz w:w="11910" w:h="16850"/>
          <w:pgMar w:header="220" w:footer="678" w:top="420" w:bottom="860" w:left="900" w:right="840"/>
        </w:sectPr>
      </w:pPr>
    </w:p>
    <w:p>
      <w:pPr>
        <w:pStyle w:val="BodyText"/>
        <w:rPr>
          <w:sz w:val="20"/>
        </w:rPr>
      </w:pPr>
    </w:p>
    <w:p>
      <w:pPr>
        <w:pStyle w:val="BodyText"/>
        <w:spacing w:before="4"/>
        <w:rPr>
          <w:sz w:val="27"/>
        </w:rPr>
      </w:pPr>
    </w:p>
    <w:tbl>
      <w:tblPr>
        <w:tblW w:w="0" w:type="auto"/>
        <w:jc w:val="left"/>
        <w:tblInd w:w="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25"/>
        <w:gridCol w:w="6435"/>
      </w:tblGrid>
      <w:tr>
        <w:trPr>
          <w:trHeight w:val="671" w:hRule="atLeast"/>
        </w:trPr>
        <w:tc>
          <w:tcPr>
            <w:tcW w:w="3225" w:type="dxa"/>
            <w:tcBorders>
              <w:top w:val="single" w:sz="8" w:space="0" w:color="A6A6A6"/>
              <w:left w:val="single" w:sz="8" w:space="0" w:color="A6A6A6"/>
            </w:tcBorders>
          </w:tcPr>
          <w:p>
            <w:pPr>
              <w:pStyle w:val="TableParagraph"/>
              <w:spacing w:line="288" w:lineRule="auto"/>
              <w:ind w:left="122"/>
              <w:rPr>
                <w:sz w:val="20"/>
              </w:rPr>
            </w:pPr>
            <w:r>
              <w:rPr>
                <w:sz w:val="20"/>
              </w:rPr>
              <w:t>Pty</w:t>
            </w:r>
            <w:r>
              <w:rPr>
                <w:spacing w:val="-10"/>
                <w:sz w:val="20"/>
              </w:rPr>
              <w:t> </w:t>
            </w:r>
            <w:r>
              <w:rPr>
                <w:sz w:val="20"/>
              </w:rPr>
              <w:t>Ltd</w:t>
            </w:r>
            <w:r>
              <w:rPr>
                <w:spacing w:val="-7"/>
                <w:sz w:val="20"/>
              </w:rPr>
              <w:t> </w:t>
            </w:r>
            <w:r>
              <w:rPr>
                <w:sz w:val="20"/>
              </w:rPr>
              <w:t>and</w:t>
            </w:r>
            <w:r>
              <w:rPr>
                <w:spacing w:val="-9"/>
                <w:sz w:val="20"/>
              </w:rPr>
              <w:t> </w:t>
            </w:r>
            <w:r>
              <w:rPr>
                <w:sz w:val="20"/>
              </w:rPr>
              <w:t>Jemena</w:t>
            </w:r>
            <w:r>
              <w:rPr>
                <w:spacing w:val="-9"/>
                <w:sz w:val="20"/>
              </w:rPr>
              <w:t> </w:t>
            </w:r>
            <w:r>
              <w:rPr>
                <w:sz w:val="20"/>
              </w:rPr>
              <w:t>Eastern</w:t>
            </w:r>
            <w:r>
              <w:rPr>
                <w:spacing w:val="-9"/>
                <w:sz w:val="20"/>
              </w:rPr>
              <w:t> </w:t>
            </w:r>
            <w:r>
              <w:rPr>
                <w:sz w:val="20"/>
              </w:rPr>
              <w:t>Gas Pipeline (2) Pty Ltd</w:t>
            </w:r>
          </w:p>
        </w:tc>
        <w:tc>
          <w:tcPr>
            <w:tcW w:w="6435" w:type="dxa"/>
            <w:tcBorders>
              <w:top w:val="single" w:sz="8" w:space="0" w:color="A6A6A6"/>
              <w:right w:val="single" w:sz="8" w:space="0" w:color="A6A6A6"/>
            </w:tcBorders>
          </w:tcPr>
          <w:p>
            <w:pPr>
              <w:pStyle w:val="TableParagraph"/>
              <w:spacing w:line="229" w:lineRule="exact"/>
              <w:ind w:left="169"/>
              <w:rPr>
                <w:sz w:val="20"/>
              </w:rPr>
            </w:pPr>
            <w:r>
              <w:rPr>
                <w:sz w:val="20"/>
              </w:rPr>
              <w:t>and</w:t>
            </w:r>
            <w:r>
              <w:rPr>
                <w:spacing w:val="-5"/>
                <w:sz w:val="20"/>
              </w:rPr>
              <w:t> </w:t>
            </w:r>
            <w:r>
              <w:rPr>
                <w:sz w:val="20"/>
              </w:rPr>
              <w:t>to</w:t>
            </w:r>
            <w:r>
              <w:rPr>
                <w:spacing w:val="-5"/>
                <w:sz w:val="20"/>
              </w:rPr>
              <w:t> </w:t>
            </w:r>
            <w:r>
              <w:rPr>
                <w:sz w:val="20"/>
              </w:rPr>
              <w:t>the</w:t>
            </w:r>
            <w:r>
              <w:rPr>
                <w:spacing w:val="-5"/>
                <w:sz w:val="20"/>
              </w:rPr>
              <w:t> </w:t>
            </w:r>
            <w:r>
              <w:rPr>
                <w:sz w:val="20"/>
              </w:rPr>
              <w:t>East</w:t>
            </w:r>
            <w:r>
              <w:rPr>
                <w:spacing w:val="-4"/>
                <w:sz w:val="20"/>
              </w:rPr>
              <w:t> </w:t>
            </w:r>
            <w:r>
              <w:rPr>
                <w:sz w:val="20"/>
              </w:rPr>
              <w:t>Coast</w:t>
            </w:r>
            <w:r>
              <w:rPr>
                <w:spacing w:val="-5"/>
                <w:sz w:val="20"/>
              </w:rPr>
              <w:t> </w:t>
            </w:r>
            <w:r>
              <w:rPr>
                <w:sz w:val="20"/>
              </w:rPr>
              <w:t>Power</w:t>
            </w:r>
            <w:r>
              <w:rPr>
                <w:spacing w:val="-4"/>
                <w:sz w:val="20"/>
              </w:rPr>
              <w:t> </w:t>
            </w:r>
            <w:r>
              <w:rPr>
                <w:sz w:val="20"/>
              </w:rPr>
              <w:t>Plant</w:t>
            </w:r>
            <w:r>
              <w:rPr>
                <w:spacing w:val="-3"/>
                <w:sz w:val="20"/>
              </w:rPr>
              <w:t> </w:t>
            </w:r>
            <w:r>
              <w:rPr>
                <w:sz w:val="20"/>
              </w:rPr>
              <w:t>at</w:t>
            </w:r>
            <w:r>
              <w:rPr>
                <w:spacing w:val="-2"/>
                <w:sz w:val="20"/>
              </w:rPr>
              <w:t> Bairnsdale.</w:t>
            </w:r>
          </w:p>
        </w:tc>
      </w:tr>
      <w:tr>
        <w:trPr>
          <w:trHeight w:val="792" w:hRule="atLeast"/>
        </w:trPr>
        <w:tc>
          <w:tcPr>
            <w:tcW w:w="3225" w:type="dxa"/>
            <w:tcBorders>
              <w:left w:val="single" w:sz="8" w:space="0" w:color="A6A6A6"/>
            </w:tcBorders>
            <w:shd w:val="clear" w:color="auto" w:fill="CDEBEB"/>
          </w:tcPr>
          <w:p>
            <w:pPr>
              <w:pStyle w:val="TableParagraph"/>
              <w:spacing w:before="120"/>
              <w:ind w:left="122"/>
              <w:rPr>
                <w:sz w:val="20"/>
              </w:rPr>
            </w:pPr>
            <w:r>
              <w:rPr>
                <w:sz w:val="20"/>
              </w:rPr>
              <w:t>Jemena</w:t>
            </w:r>
            <w:r>
              <w:rPr>
                <w:spacing w:val="-9"/>
                <w:sz w:val="20"/>
              </w:rPr>
              <w:t> </w:t>
            </w:r>
            <w:r>
              <w:rPr>
                <w:sz w:val="20"/>
              </w:rPr>
              <w:t>VicHub</w:t>
            </w:r>
            <w:r>
              <w:rPr>
                <w:spacing w:val="-6"/>
                <w:sz w:val="20"/>
              </w:rPr>
              <w:t> </w:t>
            </w:r>
            <w:r>
              <w:rPr>
                <w:sz w:val="20"/>
              </w:rPr>
              <w:t>Pipeline</w:t>
            </w:r>
            <w:r>
              <w:rPr>
                <w:spacing w:val="-7"/>
                <w:sz w:val="20"/>
              </w:rPr>
              <w:t> </w:t>
            </w:r>
            <w:r>
              <w:rPr>
                <w:sz w:val="20"/>
              </w:rPr>
              <w:t>Pty</w:t>
            </w:r>
            <w:r>
              <w:rPr>
                <w:spacing w:val="-9"/>
                <w:sz w:val="20"/>
              </w:rPr>
              <w:t> </w:t>
            </w:r>
            <w:r>
              <w:rPr>
                <w:spacing w:val="-5"/>
                <w:sz w:val="20"/>
              </w:rPr>
              <w:t>Ltd</w:t>
            </w:r>
          </w:p>
        </w:tc>
        <w:tc>
          <w:tcPr>
            <w:tcW w:w="6435" w:type="dxa"/>
            <w:tcBorders>
              <w:right w:val="single" w:sz="8" w:space="0" w:color="A6A6A6"/>
            </w:tcBorders>
            <w:shd w:val="clear" w:color="auto" w:fill="CDEBEB"/>
          </w:tcPr>
          <w:p>
            <w:pPr>
              <w:pStyle w:val="TableParagraph"/>
              <w:spacing w:line="288" w:lineRule="auto" w:before="120"/>
              <w:ind w:left="169"/>
              <w:rPr>
                <w:sz w:val="20"/>
              </w:rPr>
            </w:pPr>
            <w:r>
              <w:rPr>
                <w:sz w:val="20"/>
              </w:rPr>
              <w:t>The</w:t>
            </w:r>
            <w:r>
              <w:rPr>
                <w:spacing w:val="-7"/>
                <w:sz w:val="20"/>
              </w:rPr>
              <w:t> </w:t>
            </w:r>
            <w:r>
              <w:rPr>
                <w:sz w:val="20"/>
              </w:rPr>
              <w:t>Jemena</w:t>
            </w:r>
            <w:r>
              <w:rPr>
                <w:spacing w:val="-5"/>
                <w:sz w:val="20"/>
              </w:rPr>
              <w:t> </w:t>
            </w:r>
            <w:r>
              <w:rPr>
                <w:sz w:val="20"/>
              </w:rPr>
              <w:t>Vichub</w:t>
            </w:r>
            <w:r>
              <w:rPr>
                <w:spacing w:val="-4"/>
                <w:sz w:val="20"/>
              </w:rPr>
              <w:t> </w:t>
            </w:r>
            <w:r>
              <w:rPr>
                <w:sz w:val="20"/>
              </w:rPr>
              <w:t>pipeline</w:t>
            </w:r>
            <w:r>
              <w:rPr>
                <w:spacing w:val="-6"/>
                <w:sz w:val="20"/>
              </w:rPr>
              <w:t> </w:t>
            </w:r>
            <w:r>
              <w:rPr>
                <w:sz w:val="20"/>
              </w:rPr>
              <w:t>operates</w:t>
            </w:r>
            <w:r>
              <w:rPr>
                <w:spacing w:val="-5"/>
                <w:sz w:val="20"/>
              </w:rPr>
              <w:t> </w:t>
            </w:r>
            <w:r>
              <w:rPr>
                <w:sz w:val="20"/>
              </w:rPr>
              <w:t>from</w:t>
            </w:r>
            <w:r>
              <w:rPr>
                <w:spacing w:val="-2"/>
                <w:sz w:val="20"/>
              </w:rPr>
              <w:t> </w:t>
            </w:r>
            <w:r>
              <w:rPr>
                <w:sz w:val="20"/>
              </w:rPr>
              <w:t>the</w:t>
            </w:r>
            <w:r>
              <w:rPr>
                <w:spacing w:val="-6"/>
                <w:sz w:val="20"/>
              </w:rPr>
              <w:t> </w:t>
            </w:r>
            <w:r>
              <w:rPr>
                <w:sz w:val="20"/>
              </w:rPr>
              <w:t>Longford</w:t>
            </w:r>
            <w:r>
              <w:rPr>
                <w:spacing w:val="-6"/>
                <w:sz w:val="20"/>
              </w:rPr>
              <w:t> </w:t>
            </w:r>
            <w:r>
              <w:rPr>
                <w:sz w:val="20"/>
              </w:rPr>
              <w:t>Compressor Station to APA’s Longford Metering Station.</w:t>
            </w:r>
          </w:p>
        </w:tc>
      </w:tr>
      <w:tr>
        <w:trPr>
          <w:trHeight w:val="1067" w:hRule="atLeast"/>
        </w:trPr>
        <w:tc>
          <w:tcPr>
            <w:tcW w:w="3225" w:type="dxa"/>
            <w:tcBorders>
              <w:left w:val="single" w:sz="8" w:space="0" w:color="A6A6A6"/>
            </w:tcBorders>
          </w:tcPr>
          <w:p>
            <w:pPr>
              <w:pStyle w:val="TableParagraph"/>
              <w:spacing w:before="119"/>
              <w:ind w:left="122"/>
              <w:rPr>
                <w:sz w:val="20"/>
              </w:rPr>
            </w:pPr>
            <w:r>
              <w:rPr>
                <w:sz w:val="20"/>
              </w:rPr>
              <w:t>Multinet</w:t>
            </w:r>
            <w:r>
              <w:rPr>
                <w:spacing w:val="-7"/>
                <w:sz w:val="20"/>
              </w:rPr>
              <w:t> </w:t>
            </w:r>
            <w:r>
              <w:rPr>
                <w:sz w:val="20"/>
              </w:rPr>
              <w:t>Gas</w:t>
            </w:r>
            <w:r>
              <w:rPr>
                <w:spacing w:val="-3"/>
                <w:sz w:val="20"/>
              </w:rPr>
              <w:t> </w:t>
            </w:r>
            <w:r>
              <w:rPr>
                <w:sz w:val="20"/>
              </w:rPr>
              <w:t>Pty</w:t>
            </w:r>
            <w:r>
              <w:rPr>
                <w:spacing w:val="-7"/>
                <w:sz w:val="20"/>
              </w:rPr>
              <w:t> </w:t>
            </w:r>
            <w:r>
              <w:rPr>
                <w:spacing w:val="-5"/>
                <w:sz w:val="20"/>
              </w:rPr>
              <w:t>Ltd</w:t>
            </w:r>
          </w:p>
        </w:tc>
        <w:tc>
          <w:tcPr>
            <w:tcW w:w="6435" w:type="dxa"/>
            <w:tcBorders>
              <w:right w:val="single" w:sz="8" w:space="0" w:color="A6A6A6"/>
            </w:tcBorders>
          </w:tcPr>
          <w:p>
            <w:pPr>
              <w:pStyle w:val="TableParagraph"/>
              <w:spacing w:line="288" w:lineRule="auto" w:before="119"/>
              <w:ind w:left="169"/>
              <w:rPr>
                <w:sz w:val="20"/>
              </w:rPr>
            </w:pPr>
            <w:r>
              <w:rPr>
                <w:sz w:val="20"/>
              </w:rPr>
              <w:t>Multinet</w:t>
            </w:r>
            <w:r>
              <w:rPr>
                <w:spacing w:val="-6"/>
                <w:sz w:val="20"/>
              </w:rPr>
              <w:t> </w:t>
            </w:r>
            <w:r>
              <w:rPr>
                <w:sz w:val="20"/>
              </w:rPr>
              <w:t>holds</w:t>
            </w:r>
            <w:r>
              <w:rPr>
                <w:spacing w:val="-5"/>
                <w:sz w:val="20"/>
              </w:rPr>
              <w:t> </w:t>
            </w:r>
            <w:r>
              <w:rPr>
                <w:sz w:val="20"/>
              </w:rPr>
              <w:t>16</w:t>
            </w:r>
            <w:r>
              <w:rPr>
                <w:spacing w:val="-4"/>
                <w:sz w:val="20"/>
              </w:rPr>
              <w:t> </w:t>
            </w:r>
            <w:r>
              <w:rPr>
                <w:sz w:val="20"/>
              </w:rPr>
              <w:t>pipeline</w:t>
            </w:r>
            <w:r>
              <w:rPr>
                <w:spacing w:val="-6"/>
                <w:sz w:val="20"/>
              </w:rPr>
              <w:t> </w:t>
            </w:r>
            <w:r>
              <w:rPr>
                <w:sz w:val="20"/>
              </w:rPr>
              <w:t>licences</w:t>
            </w:r>
            <w:r>
              <w:rPr>
                <w:spacing w:val="-5"/>
                <w:sz w:val="20"/>
              </w:rPr>
              <w:t> </w:t>
            </w:r>
            <w:r>
              <w:rPr>
                <w:sz w:val="20"/>
              </w:rPr>
              <w:t>supplying</w:t>
            </w:r>
            <w:r>
              <w:rPr>
                <w:spacing w:val="-5"/>
                <w:sz w:val="20"/>
              </w:rPr>
              <w:t> </w:t>
            </w:r>
            <w:r>
              <w:rPr>
                <w:sz w:val="20"/>
              </w:rPr>
              <w:t>gas</w:t>
            </w:r>
            <w:r>
              <w:rPr>
                <w:spacing w:val="-5"/>
                <w:sz w:val="20"/>
              </w:rPr>
              <w:t> </w:t>
            </w:r>
            <w:r>
              <w:rPr>
                <w:sz w:val="20"/>
              </w:rPr>
              <w:t>to</w:t>
            </w:r>
            <w:r>
              <w:rPr>
                <w:spacing w:val="-6"/>
                <w:sz w:val="20"/>
              </w:rPr>
              <w:t> </w:t>
            </w:r>
            <w:r>
              <w:rPr>
                <w:sz w:val="20"/>
              </w:rPr>
              <w:t>metropolitan</w:t>
            </w:r>
            <w:r>
              <w:rPr>
                <w:spacing w:val="-5"/>
                <w:sz w:val="20"/>
              </w:rPr>
              <w:t> </w:t>
            </w:r>
            <w:r>
              <w:rPr>
                <w:sz w:val="20"/>
              </w:rPr>
              <w:t>and regional areas throughout Victoria.</w:t>
            </w:r>
            <w:r>
              <w:rPr>
                <w:spacing w:val="40"/>
                <w:sz w:val="20"/>
              </w:rPr>
              <w:t> </w:t>
            </w:r>
            <w:r>
              <w:rPr>
                <w:sz w:val="20"/>
              </w:rPr>
              <w:t>This is approximately 5% of the total pipeline licences in Victoria.</w:t>
            </w:r>
          </w:p>
        </w:tc>
      </w:tr>
      <w:tr>
        <w:trPr>
          <w:trHeight w:val="791" w:hRule="atLeast"/>
        </w:trPr>
        <w:tc>
          <w:tcPr>
            <w:tcW w:w="3225" w:type="dxa"/>
            <w:tcBorders>
              <w:left w:val="single" w:sz="8" w:space="0" w:color="A6A6A6"/>
            </w:tcBorders>
            <w:shd w:val="clear" w:color="auto" w:fill="CDEBEB"/>
          </w:tcPr>
          <w:p>
            <w:pPr>
              <w:pStyle w:val="TableParagraph"/>
              <w:spacing w:before="119"/>
              <w:ind w:left="122"/>
              <w:rPr>
                <w:sz w:val="20"/>
              </w:rPr>
            </w:pPr>
            <w:r>
              <w:rPr>
                <w:sz w:val="20"/>
              </w:rPr>
              <w:t>Origin</w:t>
            </w:r>
            <w:r>
              <w:rPr>
                <w:spacing w:val="-7"/>
                <w:sz w:val="20"/>
              </w:rPr>
              <w:t> </w:t>
            </w:r>
            <w:r>
              <w:rPr>
                <w:sz w:val="20"/>
              </w:rPr>
              <w:t>Energy</w:t>
            </w:r>
            <w:r>
              <w:rPr>
                <w:spacing w:val="-11"/>
                <w:sz w:val="20"/>
              </w:rPr>
              <w:t> </w:t>
            </w:r>
            <w:r>
              <w:rPr>
                <w:sz w:val="20"/>
              </w:rPr>
              <w:t>Resources</w:t>
            </w:r>
            <w:r>
              <w:rPr>
                <w:spacing w:val="-8"/>
                <w:sz w:val="20"/>
              </w:rPr>
              <w:t> </w:t>
            </w:r>
            <w:r>
              <w:rPr>
                <w:spacing w:val="-5"/>
                <w:sz w:val="20"/>
              </w:rPr>
              <w:t>Ltd</w:t>
            </w:r>
          </w:p>
        </w:tc>
        <w:tc>
          <w:tcPr>
            <w:tcW w:w="6435" w:type="dxa"/>
            <w:tcBorders>
              <w:right w:val="single" w:sz="8" w:space="0" w:color="A6A6A6"/>
            </w:tcBorders>
            <w:shd w:val="clear" w:color="auto" w:fill="CDEBEB"/>
          </w:tcPr>
          <w:p>
            <w:pPr>
              <w:pStyle w:val="TableParagraph"/>
              <w:spacing w:line="288" w:lineRule="auto" w:before="119"/>
              <w:ind w:left="169"/>
              <w:rPr>
                <w:sz w:val="20"/>
              </w:rPr>
            </w:pPr>
            <w:r>
              <w:rPr>
                <w:sz w:val="20"/>
              </w:rPr>
              <w:t>Origin</w:t>
            </w:r>
            <w:r>
              <w:rPr>
                <w:spacing w:val="-4"/>
                <w:sz w:val="20"/>
              </w:rPr>
              <w:t> </w:t>
            </w:r>
            <w:r>
              <w:rPr>
                <w:sz w:val="20"/>
              </w:rPr>
              <w:t>holds</w:t>
            </w:r>
            <w:r>
              <w:rPr>
                <w:spacing w:val="-5"/>
                <w:sz w:val="20"/>
              </w:rPr>
              <w:t> </w:t>
            </w:r>
            <w:r>
              <w:rPr>
                <w:sz w:val="20"/>
              </w:rPr>
              <w:t>six</w:t>
            </w:r>
            <w:r>
              <w:rPr>
                <w:spacing w:val="-5"/>
                <w:sz w:val="20"/>
              </w:rPr>
              <w:t> </w:t>
            </w:r>
            <w:r>
              <w:rPr>
                <w:sz w:val="20"/>
              </w:rPr>
              <w:t>pipeline</w:t>
            </w:r>
            <w:r>
              <w:rPr>
                <w:spacing w:val="-5"/>
                <w:sz w:val="20"/>
              </w:rPr>
              <w:t> </w:t>
            </w:r>
            <w:r>
              <w:rPr>
                <w:sz w:val="20"/>
              </w:rPr>
              <w:t>licences</w:t>
            </w:r>
            <w:r>
              <w:rPr>
                <w:spacing w:val="-5"/>
                <w:sz w:val="20"/>
              </w:rPr>
              <w:t> </w:t>
            </w:r>
            <w:r>
              <w:rPr>
                <w:sz w:val="20"/>
              </w:rPr>
              <w:t>supplying</w:t>
            </w:r>
            <w:r>
              <w:rPr>
                <w:spacing w:val="-6"/>
                <w:sz w:val="20"/>
              </w:rPr>
              <w:t> </w:t>
            </w:r>
            <w:r>
              <w:rPr>
                <w:sz w:val="20"/>
              </w:rPr>
              <w:t>gas</w:t>
            </w:r>
            <w:r>
              <w:rPr>
                <w:spacing w:val="-5"/>
                <w:sz w:val="20"/>
              </w:rPr>
              <w:t> </w:t>
            </w:r>
            <w:r>
              <w:rPr>
                <w:sz w:val="20"/>
              </w:rPr>
              <w:t>to</w:t>
            </w:r>
            <w:r>
              <w:rPr>
                <w:spacing w:val="-7"/>
                <w:sz w:val="20"/>
              </w:rPr>
              <w:t> </w:t>
            </w:r>
            <w:r>
              <w:rPr>
                <w:sz w:val="20"/>
              </w:rPr>
              <w:t>regional</w:t>
            </w:r>
            <w:r>
              <w:rPr>
                <w:spacing w:val="-7"/>
                <w:sz w:val="20"/>
              </w:rPr>
              <w:t> </w:t>
            </w:r>
            <w:r>
              <w:rPr>
                <w:sz w:val="20"/>
              </w:rPr>
              <w:t>areas throughout Victoria.</w:t>
            </w:r>
          </w:p>
        </w:tc>
      </w:tr>
      <w:tr>
        <w:trPr>
          <w:trHeight w:val="792" w:hRule="atLeast"/>
        </w:trPr>
        <w:tc>
          <w:tcPr>
            <w:tcW w:w="3225" w:type="dxa"/>
            <w:tcBorders>
              <w:left w:val="single" w:sz="8" w:space="0" w:color="A6A6A6"/>
            </w:tcBorders>
          </w:tcPr>
          <w:p>
            <w:pPr>
              <w:pStyle w:val="TableParagraph"/>
              <w:spacing w:before="119"/>
              <w:ind w:left="122"/>
              <w:rPr>
                <w:sz w:val="20"/>
              </w:rPr>
            </w:pPr>
            <w:r>
              <w:rPr>
                <w:sz w:val="20"/>
              </w:rPr>
              <w:t>Qenos</w:t>
            </w:r>
            <w:r>
              <w:rPr>
                <w:spacing w:val="-8"/>
                <w:sz w:val="20"/>
              </w:rPr>
              <w:t> </w:t>
            </w:r>
            <w:r>
              <w:rPr>
                <w:sz w:val="20"/>
              </w:rPr>
              <w:t>Olefins</w:t>
            </w:r>
            <w:r>
              <w:rPr>
                <w:spacing w:val="-4"/>
                <w:sz w:val="20"/>
              </w:rPr>
              <w:t> </w:t>
            </w:r>
            <w:r>
              <w:rPr>
                <w:sz w:val="20"/>
              </w:rPr>
              <w:t>Pty</w:t>
            </w:r>
            <w:r>
              <w:rPr>
                <w:spacing w:val="-9"/>
                <w:sz w:val="20"/>
              </w:rPr>
              <w:t> </w:t>
            </w:r>
            <w:r>
              <w:rPr>
                <w:spacing w:val="-5"/>
                <w:sz w:val="20"/>
              </w:rPr>
              <w:t>Ltd</w:t>
            </w:r>
          </w:p>
        </w:tc>
        <w:tc>
          <w:tcPr>
            <w:tcW w:w="6435" w:type="dxa"/>
            <w:tcBorders>
              <w:right w:val="single" w:sz="8" w:space="0" w:color="A6A6A6"/>
            </w:tcBorders>
          </w:tcPr>
          <w:p>
            <w:pPr>
              <w:pStyle w:val="TableParagraph"/>
              <w:spacing w:line="288" w:lineRule="auto" w:before="119"/>
              <w:ind w:left="169"/>
              <w:rPr>
                <w:sz w:val="20"/>
              </w:rPr>
            </w:pPr>
            <w:r>
              <w:rPr>
                <w:sz w:val="20"/>
              </w:rPr>
              <w:t>The</w:t>
            </w:r>
            <w:r>
              <w:rPr>
                <w:spacing w:val="-7"/>
                <w:sz w:val="20"/>
              </w:rPr>
              <w:t> </w:t>
            </w:r>
            <w:r>
              <w:rPr>
                <w:sz w:val="20"/>
              </w:rPr>
              <w:t>Qenos</w:t>
            </w:r>
            <w:r>
              <w:rPr>
                <w:spacing w:val="-5"/>
                <w:sz w:val="20"/>
              </w:rPr>
              <w:t> </w:t>
            </w:r>
            <w:r>
              <w:rPr>
                <w:sz w:val="20"/>
              </w:rPr>
              <w:t>pipeline</w:t>
            </w:r>
            <w:r>
              <w:rPr>
                <w:spacing w:val="-6"/>
                <w:sz w:val="20"/>
              </w:rPr>
              <w:t> </w:t>
            </w:r>
            <w:r>
              <w:rPr>
                <w:sz w:val="20"/>
              </w:rPr>
              <w:t>operates</w:t>
            </w:r>
            <w:r>
              <w:rPr>
                <w:spacing w:val="-5"/>
                <w:sz w:val="20"/>
              </w:rPr>
              <w:t> </w:t>
            </w:r>
            <w:r>
              <w:rPr>
                <w:sz w:val="20"/>
              </w:rPr>
              <w:t>from</w:t>
            </w:r>
            <w:r>
              <w:rPr>
                <w:spacing w:val="-1"/>
                <w:sz w:val="20"/>
              </w:rPr>
              <w:t> </w:t>
            </w:r>
            <w:r>
              <w:rPr>
                <w:sz w:val="20"/>
              </w:rPr>
              <w:t>Qenos</w:t>
            </w:r>
            <w:r>
              <w:rPr>
                <w:spacing w:val="-5"/>
                <w:sz w:val="20"/>
              </w:rPr>
              <w:t> </w:t>
            </w:r>
            <w:r>
              <w:rPr>
                <w:sz w:val="20"/>
              </w:rPr>
              <w:t>Plant</w:t>
            </w:r>
            <w:r>
              <w:rPr>
                <w:spacing w:val="-6"/>
                <w:sz w:val="20"/>
              </w:rPr>
              <w:t> </w:t>
            </w:r>
            <w:r>
              <w:rPr>
                <w:sz w:val="20"/>
              </w:rPr>
              <w:t>to</w:t>
            </w:r>
            <w:r>
              <w:rPr>
                <w:spacing w:val="-4"/>
                <w:sz w:val="20"/>
              </w:rPr>
              <w:t> </w:t>
            </w:r>
            <w:r>
              <w:rPr>
                <w:sz w:val="20"/>
              </w:rPr>
              <w:t>the</w:t>
            </w:r>
            <w:r>
              <w:rPr>
                <w:spacing w:val="-5"/>
                <w:sz w:val="20"/>
              </w:rPr>
              <w:t> </w:t>
            </w:r>
            <w:r>
              <w:rPr>
                <w:sz w:val="20"/>
              </w:rPr>
              <w:t>Esso</w:t>
            </w:r>
            <w:r>
              <w:rPr>
                <w:spacing w:val="-6"/>
                <w:sz w:val="20"/>
              </w:rPr>
              <w:t> </w:t>
            </w:r>
            <w:r>
              <w:rPr>
                <w:sz w:val="20"/>
              </w:rPr>
              <w:t>Plant</w:t>
            </w:r>
            <w:r>
              <w:rPr>
                <w:spacing w:val="-4"/>
                <w:sz w:val="20"/>
              </w:rPr>
              <w:t> </w:t>
            </w:r>
            <w:r>
              <w:rPr>
                <w:sz w:val="20"/>
              </w:rPr>
              <w:t>at </w:t>
            </w:r>
            <w:r>
              <w:rPr>
                <w:spacing w:val="-2"/>
                <w:sz w:val="20"/>
              </w:rPr>
              <w:t>Altona.</w:t>
            </w:r>
          </w:p>
        </w:tc>
      </w:tr>
      <w:tr>
        <w:trPr>
          <w:trHeight w:val="792" w:hRule="atLeast"/>
        </w:trPr>
        <w:tc>
          <w:tcPr>
            <w:tcW w:w="3225" w:type="dxa"/>
            <w:tcBorders>
              <w:left w:val="single" w:sz="8" w:space="0" w:color="A6A6A6"/>
            </w:tcBorders>
            <w:shd w:val="clear" w:color="auto" w:fill="CDEBEB"/>
          </w:tcPr>
          <w:p>
            <w:pPr>
              <w:pStyle w:val="TableParagraph"/>
              <w:spacing w:line="288" w:lineRule="auto" w:before="120"/>
              <w:ind w:left="122" w:right="68"/>
              <w:rPr>
                <w:sz w:val="20"/>
              </w:rPr>
            </w:pPr>
            <w:r>
              <w:rPr>
                <w:sz w:val="20"/>
              </w:rPr>
              <w:t>Santos</w:t>
            </w:r>
            <w:r>
              <w:rPr>
                <w:spacing w:val="-9"/>
                <w:sz w:val="20"/>
              </w:rPr>
              <w:t> </w:t>
            </w:r>
            <w:r>
              <w:rPr>
                <w:sz w:val="20"/>
              </w:rPr>
              <w:t>Ltd</w:t>
            </w:r>
            <w:r>
              <w:rPr>
                <w:spacing w:val="-8"/>
                <w:sz w:val="20"/>
              </w:rPr>
              <w:t> </w:t>
            </w:r>
            <w:r>
              <w:rPr>
                <w:sz w:val="20"/>
              </w:rPr>
              <w:t>and</w:t>
            </w:r>
            <w:r>
              <w:rPr>
                <w:spacing w:val="-10"/>
                <w:sz w:val="20"/>
              </w:rPr>
              <w:t> </w:t>
            </w:r>
            <w:r>
              <w:rPr>
                <w:sz w:val="20"/>
              </w:rPr>
              <w:t>Santos</w:t>
            </w:r>
            <w:r>
              <w:rPr>
                <w:spacing w:val="-9"/>
                <w:sz w:val="20"/>
              </w:rPr>
              <w:t> </w:t>
            </w:r>
            <w:r>
              <w:rPr>
                <w:sz w:val="20"/>
              </w:rPr>
              <w:t>(NT)</w:t>
            </w:r>
            <w:r>
              <w:rPr>
                <w:spacing w:val="-9"/>
                <w:sz w:val="20"/>
              </w:rPr>
              <w:t> </w:t>
            </w:r>
            <w:r>
              <w:rPr>
                <w:sz w:val="20"/>
              </w:rPr>
              <w:t>Pty </w:t>
            </w:r>
            <w:r>
              <w:rPr>
                <w:spacing w:val="-4"/>
                <w:sz w:val="20"/>
              </w:rPr>
              <w:t>Ltd</w:t>
            </w:r>
          </w:p>
        </w:tc>
        <w:tc>
          <w:tcPr>
            <w:tcW w:w="6435" w:type="dxa"/>
            <w:tcBorders>
              <w:right w:val="single" w:sz="8" w:space="0" w:color="A6A6A6"/>
            </w:tcBorders>
            <w:shd w:val="clear" w:color="auto" w:fill="CDEBEB"/>
          </w:tcPr>
          <w:p>
            <w:pPr>
              <w:pStyle w:val="TableParagraph"/>
              <w:spacing w:line="288" w:lineRule="auto" w:before="120"/>
              <w:ind w:left="169"/>
              <w:rPr>
                <w:sz w:val="20"/>
              </w:rPr>
            </w:pPr>
            <w:r>
              <w:rPr>
                <w:sz w:val="20"/>
              </w:rPr>
              <w:t>Santos</w:t>
            </w:r>
            <w:r>
              <w:rPr>
                <w:spacing w:val="-5"/>
                <w:sz w:val="20"/>
              </w:rPr>
              <w:t> </w:t>
            </w:r>
            <w:r>
              <w:rPr>
                <w:sz w:val="20"/>
              </w:rPr>
              <w:t>holds</w:t>
            </w:r>
            <w:r>
              <w:rPr>
                <w:spacing w:val="-5"/>
                <w:sz w:val="20"/>
              </w:rPr>
              <w:t> </w:t>
            </w:r>
            <w:r>
              <w:rPr>
                <w:sz w:val="20"/>
              </w:rPr>
              <w:t>four</w:t>
            </w:r>
            <w:r>
              <w:rPr>
                <w:spacing w:val="-5"/>
                <w:sz w:val="20"/>
              </w:rPr>
              <w:t> </w:t>
            </w:r>
            <w:r>
              <w:rPr>
                <w:sz w:val="20"/>
              </w:rPr>
              <w:t>pipeline</w:t>
            </w:r>
            <w:r>
              <w:rPr>
                <w:spacing w:val="-5"/>
                <w:sz w:val="20"/>
              </w:rPr>
              <w:t> </w:t>
            </w:r>
            <w:r>
              <w:rPr>
                <w:sz w:val="20"/>
              </w:rPr>
              <w:t>licences</w:t>
            </w:r>
            <w:r>
              <w:rPr>
                <w:spacing w:val="-5"/>
                <w:sz w:val="20"/>
              </w:rPr>
              <w:t> </w:t>
            </w:r>
            <w:r>
              <w:rPr>
                <w:sz w:val="20"/>
              </w:rPr>
              <w:t>supplying</w:t>
            </w:r>
            <w:r>
              <w:rPr>
                <w:spacing w:val="-5"/>
                <w:sz w:val="20"/>
              </w:rPr>
              <w:t> </w:t>
            </w:r>
            <w:r>
              <w:rPr>
                <w:sz w:val="20"/>
              </w:rPr>
              <w:t>gas</w:t>
            </w:r>
            <w:r>
              <w:rPr>
                <w:spacing w:val="-5"/>
                <w:sz w:val="20"/>
              </w:rPr>
              <w:t> </w:t>
            </w:r>
            <w:r>
              <w:rPr>
                <w:sz w:val="20"/>
              </w:rPr>
              <w:t>to</w:t>
            </w:r>
            <w:r>
              <w:rPr>
                <w:spacing w:val="-6"/>
                <w:sz w:val="20"/>
              </w:rPr>
              <w:t> </w:t>
            </w:r>
            <w:r>
              <w:rPr>
                <w:sz w:val="20"/>
              </w:rPr>
              <w:t>regional</w:t>
            </w:r>
            <w:r>
              <w:rPr>
                <w:spacing w:val="-5"/>
                <w:sz w:val="20"/>
              </w:rPr>
              <w:t> </w:t>
            </w:r>
            <w:r>
              <w:rPr>
                <w:sz w:val="20"/>
              </w:rPr>
              <w:t>areas throughout Victoria.</w:t>
            </w:r>
          </w:p>
        </w:tc>
      </w:tr>
      <w:tr>
        <w:trPr>
          <w:trHeight w:val="791" w:hRule="atLeast"/>
        </w:trPr>
        <w:tc>
          <w:tcPr>
            <w:tcW w:w="3225" w:type="dxa"/>
            <w:tcBorders>
              <w:left w:val="single" w:sz="8" w:space="0" w:color="A6A6A6"/>
            </w:tcBorders>
          </w:tcPr>
          <w:p>
            <w:pPr>
              <w:pStyle w:val="TableParagraph"/>
              <w:spacing w:line="288" w:lineRule="auto" w:before="119"/>
              <w:ind w:left="122"/>
              <w:rPr>
                <w:sz w:val="20"/>
              </w:rPr>
            </w:pPr>
            <w:r>
              <w:rPr>
                <w:sz w:val="20"/>
              </w:rPr>
              <w:t>South</w:t>
            </w:r>
            <w:r>
              <w:rPr>
                <w:spacing w:val="-7"/>
                <w:sz w:val="20"/>
              </w:rPr>
              <w:t> </w:t>
            </w:r>
            <w:r>
              <w:rPr>
                <w:sz w:val="20"/>
              </w:rPr>
              <w:t>East</w:t>
            </w:r>
            <w:r>
              <w:rPr>
                <w:spacing w:val="-9"/>
                <w:sz w:val="20"/>
              </w:rPr>
              <w:t> </w:t>
            </w:r>
            <w:r>
              <w:rPr>
                <w:sz w:val="20"/>
              </w:rPr>
              <w:t>Australia</w:t>
            </w:r>
            <w:r>
              <w:rPr>
                <w:spacing w:val="-9"/>
                <w:sz w:val="20"/>
              </w:rPr>
              <w:t> </w:t>
            </w:r>
            <w:r>
              <w:rPr>
                <w:sz w:val="20"/>
              </w:rPr>
              <w:t>Gas</w:t>
            </w:r>
            <w:r>
              <w:rPr>
                <w:spacing w:val="-6"/>
                <w:sz w:val="20"/>
              </w:rPr>
              <w:t> </w:t>
            </w:r>
            <w:r>
              <w:rPr>
                <w:sz w:val="20"/>
              </w:rPr>
              <w:t>Pty</w:t>
            </w:r>
            <w:r>
              <w:rPr>
                <w:spacing w:val="-12"/>
                <w:sz w:val="20"/>
              </w:rPr>
              <w:t> </w:t>
            </w:r>
            <w:r>
              <w:rPr>
                <w:sz w:val="20"/>
              </w:rPr>
              <w:t>Ltd and Partners</w:t>
            </w:r>
          </w:p>
        </w:tc>
        <w:tc>
          <w:tcPr>
            <w:tcW w:w="6435" w:type="dxa"/>
            <w:tcBorders>
              <w:right w:val="single" w:sz="8" w:space="0" w:color="A6A6A6"/>
            </w:tcBorders>
          </w:tcPr>
          <w:p>
            <w:pPr>
              <w:pStyle w:val="TableParagraph"/>
              <w:spacing w:line="288" w:lineRule="auto" w:before="119"/>
              <w:ind w:left="169" w:right="129"/>
              <w:rPr>
                <w:sz w:val="20"/>
              </w:rPr>
            </w:pPr>
            <w:r>
              <w:rPr>
                <w:sz w:val="20"/>
              </w:rPr>
              <w:t>The</w:t>
            </w:r>
            <w:r>
              <w:rPr>
                <w:spacing w:val="-6"/>
                <w:sz w:val="20"/>
              </w:rPr>
              <w:t> </w:t>
            </w:r>
            <w:r>
              <w:rPr>
                <w:sz w:val="20"/>
              </w:rPr>
              <w:t>SEAGAS</w:t>
            </w:r>
            <w:r>
              <w:rPr>
                <w:spacing w:val="-5"/>
                <w:sz w:val="20"/>
              </w:rPr>
              <w:t> </w:t>
            </w:r>
            <w:r>
              <w:rPr>
                <w:sz w:val="20"/>
              </w:rPr>
              <w:t>pipeline</w:t>
            </w:r>
            <w:r>
              <w:rPr>
                <w:spacing w:val="-6"/>
                <w:sz w:val="20"/>
              </w:rPr>
              <w:t> </w:t>
            </w:r>
            <w:r>
              <w:rPr>
                <w:sz w:val="20"/>
              </w:rPr>
              <w:t>operates</w:t>
            </w:r>
            <w:r>
              <w:rPr>
                <w:spacing w:val="-4"/>
                <w:sz w:val="20"/>
              </w:rPr>
              <w:t> </w:t>
            </w:r>
            <w:r>
              <w:rPr>
                <w:sz w:val="20"/>
              </w:rPr>
              <w:t>from</w:t>
            </w:r>
            <w:r>
              <w:rPr>
                <w:spacing w:val="-1"/>
                <w:sz w:val="20"/>
              </w:rPr>
              <w:t> </w:t>
            </w:r>
            <w:r>
              <w:rPr>
                <w:sz w:val="20"/>
              </w:rPr>
              <w:t>the</w:t>
            </w:r>
            <w:r>
              <w:rPr>
                <w:spacing w:val="-5"/>
                <w:sz w:val="20"/>
              </w:rPr>
              <w:t> </w:t>
            </w:r>
            <w:r>
              <w:rPr>
                <w:sz w:val="20"/>
              </w:rPr>
              <w:t>Iona</w:t>
            </w:r>
            <w:r>
              <w:rPr>
                <w:spacing w:val="-5"/>
                <w:sz w:val="20"/>
              </w:rPr>
              <w:t> </w:t>
            </w:r>
            <w:r>
              <w:rPr>
                <w:sz w:val="20"/>
              </w:rPr>
              <w:t>Gas</w:t>
            </w:r>
            <w:r>
              <w:rPr>
                <w:spacing w:val="-3"/>
                <w:sz w:val="20"/>
              </w:rPr>
              <w:t> </w:t>
            </w:r>
            <w:r>
              <w:rPr>
                <w:sz w:val="20"/>
              </w:rPr>
              <w:t>Plant</w:t>
            </w:r>
            <w:r>
              <w:rPr>
                <w:spacing w:val="-5"/>
                <w:sz w:val="20"/>
              </w:rPr>
              <w:t> </w:t>
            </w:r>
            <w:r>
              <w:rPr>
                <w:sz w:val="20"/>
              </w:rPr>
              <w:t>to</w:t>
            </w:r>
            <w:r>
              <w:rPr>
                <w:spacing w:val="-6"/>
                <w:sz w:val="20"/>
              </w:rPr>
              <w:t> </w:t>
            </w:r>
            <w:r>
              <w:rPr>
                <w:sz w:val="20"/>
              </w:rPr>
              <w:t>the Victoria – South Australian border.</w:t>
            </w:r>
          </w:p>
        </w:tc>
      </w:tr>
      <w:tr>
        <w:trPr>
          <w:trHeight w:val="792" w:hRule="atLeast"/>
        </w:trPr>
        <w:tc>
          <w:tcPr>
            <w:tcW w:w="3225" w:type="dxa"/>
            <w:tcBorders>
              <w:left w:val="single" w:sz="8" w:space="0" w:color="A6A6A6"/>
            </w:tcBorders>
            <w:shd w:val="clear" w:color="auto" w:fill="CDEBEB"/>
          </w:tcPr>
          <w:p>
            <w:pPr>
              <w:pStyle w:val="TableParagraph"/>
              <w:spacing w:before="119"/>
              <w:ind w:left="122"/>
              <w:rPr>
                <w:sz w:val="20"/>
              </w:rPr>
            </w:pPr>
            <w:r>
              <w:rPr>
                <w:sz w:val="20"/>
              </w:rPr>
              <w:t>Tasmanian</w:t>
            </w:r>
            <w:r>
              <w:rPr>
                <w:spacing w:val="-9"/>
                <w:sz w:val="20"/>
              </w:rPr>
              <w:t> </w:t>
            </w:r>
            <w:r>
              <w:rPr>
                <w:sz w:val="20"/>
              </w:rPr>
              <w:t>Gas</w:t>
            </w:r>
            <w:r>
              <w:rPr>
                <w:spacing w:val="-7"/>
                <w:sz w:val="20"/>
              </w:rPr>
              <w:t> </w:t>
            </w:r>
            <w:r>
              <w:rPr>
                <w:sz w:val="20"/>
              </w:rPr>
              <w:t>Pipeline</w:t>
            </w:r>
            <w:r>
              <w:rPr>
                <w:spacing w:val="-7"/>
                <w:sz w:val="20"/>
              </w:rPr>
              <w:t> </w:t>
            </w:r>
            <w:r>
              <w:rPr>
                <w:sz w:val="20"/>
              </w:rPr>
              <w:t>Pty</w:t>
            </w:r>
            <w:r>
              <w:rPr>
                <w:spacing w:val="-8"/>
                <w:sz w:val="20"/>
              </w:rPr>
              <w:t> </w:t>
            </w:r>
            <w:r>
              <w:rPr>
                <w:spacing w:val="-5"/>
                <w:sz w:val="20"/>
              </w:rPr>
              <w:t>Ltd</w:t>
            </w:r>
          </w:p>
        </w:tc>
        <w:tc>
          <w:tcPr>
            <w:tcW w:w="6435" w:type="dxa"/>
            <w:tcBorders>
              <w:right w:val="single" w:sz="8" w:space="0" w:color="A6A6A6"/>
            </w:tcBorders>
            <w:shd w:val="clear" w:color="auto" w:fill="CDEBEB"/>
          </w:tcPr>
          <w:p>
            <w:pPr>
              <w:pStyle w:val="TableParagraph"/>
              <w:spacing w:line="288" w:lineRule="auto" w:before="119"/>
              <w:ind w:left="169"/>
              <w:rPr>
                <w:sz w:val="20"/>
              </w:rPr>
            </w:pPr>
            <w:r>
              <w:rPr>
                <w:sz w:val="20"/>
              </w:rPr>
              <w:t>The</w:t>
            </w:r>
            <w:r>
              <w:rPr>
                <w:spacing w:val="-6"/>
                <w:sz w:val="20"/>
              </w:rPr>
              <w:t> </w:t>
            </w:r>
            <w:r>
              <w:rPr>
                <w:sz w:val="20"/>
              </w:rPr>
              <w:t>TGP</w:t>
            </w:r>
            <w:r>
              <w:rPr>
                <w:spacing w:val="-6"/>
                <w:sz w:val="20"/>
              </w:rPr>
              <w:t> </w:t>
            </w:r>
            <w:r>
              <w:rPr>
                <w:sz w:val="20"/>
              </w:rPr>
              <w:t>pipeline</w:t>
            </w:r>
            <w:r>
              <w:rPr>
                <w:spacing w:val="-6"/>
                <w:sz w:val="20"/>
              </w:rPr>
              <w:t> </w:t>
            </w:r>
            <w:r>
              <w:rPr>
                <w:sz w:val="20"/>
              </w:rPr>
              <w:t>operates</w:t>
            </w:r>
            <w:r>
              <w:rPr>
                <w:spacing w:val="-3"/>
                <w:sz w:val="20"/>
              </w:rPr>
              <w:t> </w:t>
            </w:r>
            <w:r>
              <w:rPr>
                <w:sz w:val="20"/>
              </w:rPr>
              <w:t>from</w:t>
            </w:r>
            <w:r>
              <w:rPr>
                <w:spacing w:val="-1"/>
                <w:sz w:val="20"/>
              </w:rPr>
              <w:t> </w:t>
            </w:r>
            <w:r>
              <w:rPr>
                <w:sz w:val="20"/>
              </w:rPr>
              <w:t>Longford</w:t>
            </w:r>
            <w:r>
              <w:rPr>
                <w:spacing w:val="-6"/>
                <w:sz w:val="20"/>
              </w:rPr>
              <w:t> </w:t>
            </w:r>
            <w:r>
              <w:rPr>
                <w:sz w:val="20"/>
              </w:rPr>
              <w:t>to</w:t>
            </w:r>
            <w:r>
              <w:rPr>
                <w:spacing w:val="-6"/>
                <w:sz w:val="20"/>
              </w:rPr>
              <w:t> </w:t>
            </w:r>
            <w:r>
              <w:rPr>
                <w:sz w:val="20"/>
              </w:rPr>
              <w:t>the</w:t>
            </w:r>
            <w:r>
              <w:rPr>
                <w:spacing w:val="-6"/>
                <w:sz w:val="20"/>
              </w:rPr>
              <w:t> </w:t>
            </w:r>
            <w:r>
              <w:rPr>
                <w:sz w:val="20"/>
              </w:rPr>
              <w:t>shore</w:t>
            </w:r>
            <w:r>
              <w:rPr>
                <w:spacing w:val="-4"/>
                <w:sz w:val="20"/>
              </w:rPr>
              <w:t> </w:t>
            </w:r>
            <w:r>
              <w:rPr>
                <w:sz w:val="20"/>
              </w:rPr>
              <w:t>crossing</w:t>
            </w:r>
            <w:r>
              <w:rPr>
                <w:spacing w:val="-6"/>
                <w:sz w:val="20"/>
              </w:rPr>
              <w:t> </w:t>
            </w:r>
            <w:r>
              <w:rPr>
                <w:sz w:val="20"/>
              </w:rPr>
              <w:t>near </w:t>
            </w:r>
            <w:r>
              <w:rPr>
                <w:spacing w:val="-2"/>
                <w:sz w:val="20"/>
              </w:rPr>
              <w:t>Seaspray.</w:t>
            </w:r>
          </w:p>
        </w:tc>
      </w:tr>
      <w:tr>
        <w:trPr>
          <w:trHeight w:val="515" w:hRule="atLeast"/>
        </w:trPr>
        <w:tc>
          <w:tcPr>
            <w:tcW w:w="9660" w:type="dxa"/>
            <w:gridSpan w:val="2"/>
            <w:tcBorders>
              <w:left w:val="single" w:sz="8" w:space="0" w:color="A6A6A6"/>
              <w:right w:val="single" w:sz="8" w:space="0" w:color="A6A6A6"/>
            </w:tcBorders>
            <w:shd w:val="clear" w:color="auto" w:fill="A6A6A6"/>
          </w:tcPr>
          <w:p>
            <w:pPr>
              <w:pStyle w:val="TableParagraph"/>
              <w:spacing w:before="119"/>
              <w:ind w:left="122"/>
              <w:rPr>
                <w:b/>
                <w:sz w:val="20"/>
              </w:rPr>
            </w:pPr>
            <w:r>
              <w:rPr>
                <w:b/>
                <w:color w:val="FFFFFF"/>
                <w:sz w:val="20"/>
              </w:rPr>
              <w:t>Storage</w:t>
            </w:r>
            <w:r>
              <w:rPr>
                <w:b/>
                <w:color w:val="FFFFFF"/>
                <w:spacing w:val="-13"/>
                <w:sz w:val="20"/>
              </w:rPr>
              <w:t> </w:t>
            </w:r>
            <w:r>
              <w:rPr>
                <w:b/>
                <w:color w:val="FFFFFF"/>
                <w:spacing w:val="-2"/>
                <w:sz w:val="20"/>
              </w:rPr>
              <w:t>facilities</w:t>
            </w:r>
          </w:p>
        </w:tc>
      </w:tr>
      <w:tr>
        <w:trPr>
          <w:trHeight w:val="791" w:hRule="atLeast"/>
        </w:trPr>
        <w:tc>
          <w:tcPr>
            <w:tcW w:w="3225" w:type="dxa"/>
            <w:tcBorders>
              <w:left w:val="single" w:sz="8" w:space="0" w:color="A6A6A6"/>
            </w:tcBorders>
          </w:tcPr>
          <w:p>
            <w:pPr>
              <w:pStyle w:val="TableParagraph"/>
              <w:spacing w:line="288" w:lineRule="auto" w:before="119"/>
              <w:ind w:left="122"/>
              <w:rPr>
                <w:sz w:val="20"/>
              </w:rPr>
            </w:pPr>
            <w:r>
              <w:rPr>
                <w:sz w:val="20"/>
              </w:rPr>
              <w:t>Iona</w:t>
            </w:r>
            <w:r>
              <w:rPr>
                <w:spacing w:val="-14"/>
                <w:sz w:val="20"/>
              </w:rPr>
              <w:t> </w:t>
            </w:r>
            <w:r>
              <w:rPr>
                <w:sz w:val="20"/>
              </w:rPr>
              <w:t>Underground</w:t>
            </w:r>
            <w:r>
              <w:rPr>
                <w:spacing w:val="-14"/>
                <w:sz w:val="20"/>
              </w:rPr>
              <w:t> </w:t>
            </w:r>
            <w:r>
              <w:rPr>
                <w:sz w:val="20"/>
              </w:rPr>
              <w:t>Gas</w:t>
            </w:r>
            <w:r>
              <w:rPr>
                <w:spacing w:val="-13"/>
                <w:sz w:val="20"/>
              </w:rPr>
              <w:t> </w:t>
            </w:r>
            <w:r>
              <w:rPr>
                <w:sz w:val="20"/>
              </w:rPr>
              <w:t>Storage </w:t>
            </w:r>
            <w:r>
              <w:rPr>
                <w:spacing w:val="-2"/>
                <w:sz w:val="20"/>
              </w:rPr>
              <w:t>Facility</w:t>
            </w:r>
          </w:p>
        </w:tc>
        <w:tc>
          <w:tcPr>
            <w:tcW w:w="6435" w:type="dxa"/>
            <w:tcBorders>
              <w:right w:val="single" w:sz="8" w:space="0" w:color="A6A6A6"/>
            </w:tcBorders>
          </w:tcPr>
          <w:p>
            <w:pPr>
              <w:pStyle w:val="TableParagraph"/>
              <w:spacing w:line="288" w:lineRule="auto" w:before="119"/>
              <w:ind w:left="169" w:right="3352"/>
              <w:rPr>
                <w:sz w:val="20"/>
              </w:rPr>
            </w:pPr>
            <w:r>
              <w:rPr>
                <w:sz w:val="20"/>
              </w:rPr>
              <w:t>Owner: Lochard Energy Location:</w:t>
            </w:r>
            <w:r>
              <w:rPr>
                <w:spacing w:val="-14"/>
                <w:sz w:val="20"/>
              </w:rPr>
              <w:t> </w:t>
            </w:r>
            <w:r>
              <w:rPr>
                <w:sz w:val="20"/>
              </w:rPr>
              <w:t>South-west</w:t>
            </w:r>
            <w:r>
              <w:rPr>
                <w:spacing w:val="-14"/>
                <w:sz w:val="20"/>
              </w:rPr>
              <w:t> </w:t>
            </w:r>
            <w:r>
              <w:rPr>
                <w:sz w:val="20"/>
              </w:rPr>
              <w:t>Victoria</w:t>
            </w:r>
          </w:p>
        </w:tc>
      </w:tr>
      <w:tr>
        <w:trPr>
          <w:trHeight w:val="792" w:hRule="atLeast"/>
        </w:trPr>
        <w:tc>
          <w:tcPr>
            <w:tcW w:w="3225" w:type="dxa"/>
            <w:tcBorders>
              <w:left w:val="single" w:sz="8" w:space="0" w:color="A6A6A6"/>
            </w:tcBorders>
            <w:shd w:val="clear" w:color="auto" w:fill="CDEBEB"/>
          </w:tcPr>
          <w:p>
            <w:pPr>
              <w:pStyle w:val="TableParagraph"/>
              <w:spacing w:before="120"/>
              <w:ind w:left="122"/>
              <w:rPr>
                <w:sz w:val="20"/>
              </w:rPr>
            </w:pPr>
            <w:r>
              <w:rPr>
                <w:sz w:val="20"/>
              </w:rPr>
              <w:t>Dandenong</w:t>
            </w:r>
            <w:r>
              <w:rPr>
                <w:spacing w:val="-11"/>
                <w:sz w:val="20"/>
              </w:rPr>
              <w:t> </w:t>
            </w:r>
            <w:r>
              <w:rPr>
                <w:sz w:val="20"/>
              </w:rPr>
              <w:t>LNG</w:t>
            </w:r>
            <w:r>
              <w:rPr>
                <w:spacing w:val="-7"/>
                <w:sz w:val="20"/>
              </w:rPr>
              <w:t> </w:t>
            </w:r>
            <w:r>
              <w:rPr>
                <w:sz w:val="20"/>
              </w:rPr>
              <w:t>Storage</w:t>
            </w:r>
            <w:r>
              <w:rPr>
                <w:spacing w:val="-9"/>
                <w:sz w:val="20"/>
              </w:rPr>
              <w:t> </w:t>
            </w:r>
            <w:r>
              <w:rPr>
                <w:spacing w:val="-2"/>
                <w:sz w:val="20"/>
              </w:rPr>
              <w:t>Facility</w:t>
            </w:r>
          </w:p>
        </w:tc>
        <w:tc>
          <w:tcPr>
            <w:tcW w:w="6435" w:type="dxa"/>
            <w:tcBorders>
              <w:right w:val="single" w:sz="8" w:space="0" w:color="A6A6A6"/>
            </w:tcBorders>
            <w:shd w:val="clear" w:color="auto" w:fill="CDEBEB"/>
          </w:tcPr>
          <w:p>
            <w:pPr>
              <w:pStyle w:val="TableParagraph"/>
              <w:spacing w:line="288" w:lineRule="auto" w:before="120"/>
              <w:ind w:left="169" w:right="4348"/>
              <w:rPr>
                <w:sz w:val="20"/>
              </w:rPr>
            </w:pPr>
            <w:r>
              <w:rPr>
                <w:sz w:val="20"/>
              </w:rPr>
              <w:t>Owner: APA Location:</w:t>
            </w:r>
            <w:r>
              <w:rPr>
                <w:spacing w:val="-14"/>
                <w:sz w:val="20"/>
              </w:rPr>
              <w:t> </w:t>
            </w:r>
            <w:r>
              <w:rPr>
                <w:sz w:val="20"/>
              </w:rPr>
              <w:t>Dandenong</w:t>
            </w:r>
          </w:p>
        </w:tc>
      </w:tr>
      <w:tr>
        <w:trPr>
          <w:trHeight w:val="515" w:hRule="atLeast"/>
        </w:trPr>
        <w:tc>
          <w:tcPr>
            <w:tcW w:w="9660" w:type="dxa"/>
            <w:gridSpan w:val="2"/>
            <w:tcBorders>
              <w:left w:val="single" w:sz="8" w:space="0" w:color="A6A6A6"/>
              <w:right w:val="single" w:sz="8" w:space="0" w:color="A6A6A6"/>
            </w:tcBorders>
            <w:shd w:val="clear" w:color="auto" w:fill="A6A6A6"/>
          </w:tcPr>
          <w:p>
            <w:pPr>
              <w:pStyle w:val="TableParagraph"/>
              <w:spacing w:before="119"/>
              <w:ind w:left="122"/>
              <w:rPr>
                <w:b/>
                <w:sz w:val="20"/>
              </w:rPr>
            </w:pPr>
            <w:r>
              <w:rPr>
                <w:b/>
                <w:color w:val="FFFFFF"/>
                <w:sz w:val="20"/>
              </w:rPr>
              <w:t>Distribution</w:t>
            </w:r>
            <w:r>
              <w:rPr>
                <w:b/>
                <w:color w:val="FFFFFF"/>
                <w:spacing w:val="-12"/>
                <w:sz w:val="20"/>
              </w:rPr>
              <w:t> </w:t>
            </w:r>
            <w:r>
              <w:rPr>
                <w:b/>
                <w:color w:val="FFFFFF"/>
                <w:spacing w:val="-2"/>
                <w:sz w:val="20"/>
              </w:rPr>
              <w:t>networks</w:t>
            </w:r>
          </w:p>
        </w:tc>
      </w:tr>
      <w:tr>
        <w:trPr>
          <w:trHeight w:val="1068" w:hRule="atLeast"/>
        </w:trPr>
        <w:tc>
          <w:tcPr>
            <w:tcW w:w="3225" w:type="dxa"/>
            <w:tcBorders>
              <w:left w:val="single" w:sz="8" w:space="0" w:color="A6A6A6"/>
            </w:tcBorders>
          </w:tcPr>
          <w:p>
            <w:pPr>
              <w:pStyle w:val="TableParagraph"/>
              <w:spacing w:before="119"/>
              <w:ind w:left="122"/>
              <w:rPr>
                <w:sz w:val="20"/>
              </w:rPr>
            </w:pPr>
            <w:r>
              <w:rPr>
                <w:sz w:val="20"/>
              </w:rPr>
              <w:t>Multinet</w:t>
            </w:r>
            <w:r>
              <w:rPr>
                <w:spacing w:val="-13"/>
                <w:sz w:val="20"/>
              </w:rPr>
              <w:t> </w:t>
            </w:r>
            <w:r>
              <w:rPr>
                <w:spacing w:val="-5"/>
                <w:sz w:val="20"/>
              </w:rPr>
              <w:t>Gas</w:t>
            </w:r>
          </w:p>
        </w:tc>
        <w:tc>
          <w:tcPr>
            <w:tcW w:w="6435" w:type="dxa"/>
            <w:tcBorders>
              <w:right w:val="single" w:sz="8" w:space="0" w:color="A6A6A6"/>
            </w:tcBorders>
          </w:tcPr>
          <w:p>
            <w:pPr>
              <w:pStyle w:val="TableParagraph"/>
              <w:spacing w:before="119"/>
              <w:ind w:left="169"/>
              <w:rPr>
                <w:sz w:val="20"/>
              </w:rPr>
            </w:pPr>
            <w:r>
              <w:rPr>
                <w:sz w:val="20"/>
              </w:rPr>
              <w:t>Owner:</w:t>
            </w:r>
            <w:r>
              <w:rPr>
                <w:spacing w:val="-9"/>
                <w:sz w:val="20"/>
              </w:rPr>
              <w:t> </w:t>
            </w:r>
            <w:r>
              <w:rPr>
                <w:sz w:val="20"/>
              </w:rPr>
              <w:t>Cheung</w:t>
            </w:r>
            <w:r>
              <w:rPr>
                <w:spacing w:val="-8"/>
                <w:sz w:val="20"/>
              </w:rPr>
              <w:t> </w:t>
            </w:r>
            <w:r>
              <w:rPr>
                <w:sz w:val="20"/>
              </w:rPr>
              <w:t>Kong</w:t>
            </w:r>
            <w:r>
              <w:rPr>
                <w:spacing w:val="-7"/>
                <w:sz w:val="20"/>
              </w:rPr>
              <w:t> </w:t>
            </w:r>
            <w:r>
              <w:rPr>
                <w:spacing w:val="-2"/>
                <w:sz w:val="20"/>
              </w:rPr>
              <w:t>Infrastructure</w:t>
            </w:r>
          </w:p>
          <w:p>
            <w:pPr>
              <w:pStyle w:val="TableParagraph"/>
              <w:spacing w:line="288" w:lineRule="auto" w:before="46"/>
              <w:ind w:left="169"/>
              <w:rPr>
                <w:sz w:val="20"/>
              </w:rPr>
            </w:pPr>
            <w:r>
              <w:rPr>
                <w:sz w:val="20"/>
              </w:rPr>
              <w:t>Location:</w:t>
            </w:r>
            <w:r>
              <w:rPr>
                <w:spacing w:val="-4"/>
                <w:sz w:val="20"/>
              </w:rPr>
              <w:t> </w:t>
            </w:r>
            <w:r>
              <w:rPr>
                <w:sz w:val="20"/>
              </w:rPr>
              <w:t>Inner</w:t>
            </w:r>
            <w:r>
              <w:rPr>
                <w:spacing w:val="-6"/>
                <w:sz w:val="20"/>
              </w:rPr>
              <w:t> </w:t>
            </w:r>
            <w:r>
              <w:rPr>
                <w:sz w:val="20"/>
              </w:rPr>
              <w:t>Melbourne</w:t>
            </w:r>
            <w:r>
              <w:rPr>
                <w:spacing w:val="-4"/>
                <w:sz w:val="20"/>
              </w:rPr>
              <w:t> </w:t>
            </w:r>
            <w:r>
              <w:rPr>
                <w:sz w:val="20"/>
              </w:rPr>
              <w:t>and</w:t>
            </w:r>
            <w:r>
              <w:rPr>
                <w:spacing w:val="-6"/>
                <w:sz w:val="20"/>
              </w:rPr>
              <w:t> </w:t>
            </w:r>
            <w:r>
              <w:rPr>
                <w:sz w:val="20"/>
              </w:rPr>
              <w:t>the</w:t>
            </w:r>
            <w:r>
              <w:rPr>
                <w:spacing w:val="-5"/>
                <w:sz w:val="20"/>
              </w:rPr>
              <w:t> </w:t>
            </w:r>
            <w:r>
              <w:rPr>
                <w:sz w:val="20"/>
              </w:rPr>
              <w:t>outer</w:t>
            </w:r>
            <w:r>
              <w:rPr>
                <w:spacing w:val="-3"/>
                <w:sz w:val="20"/>
              </w:rPr>
              <w:t> </w:t>
            </w:r>
            <w:r>
              <w:rPr>
                <w:sz w:val="20"/>
              </w:rPr>
              <w:t>East,</w:t>
            </w:r>
            <w:r>
              <w:rPr>
                <w:spacing w:val="-4"/>
                <w:sz w:val="20"/>
              </w:rPr>
              <w:t> </w:t>
            </w:r>
            <w:r>
              <w:rPr>
                <w:sz w:val="20"/>
              </w:rPr>
              <w:t>the</w:t>
            </w:r>
            <w:r>
              <w:rPr>
                <w:spacing w:val="-5"/>
                <w:sz w:val="20"/>
              </w:rPr>
              <w:t> </w:t>
            </w:r>
            <w:r>
              <w:rPr>
                <w:sz w:val="20"/>
              </w:rPr>
              <w:t>Yarra</w:t>
            </w:r>
            <w:r>
              <w:rPr>
                <w:spacing w:val="-6"/>
                <w:sz w:val="20"/>
              </w:rPr>
              <w:t> </w:t>
            </w:r>
            <w:r>
              <w:rPr>
                <w:sz w:val="20"/>
              </w:rPr>
              <w:t>Ranges</w:t>
            </w:r>
            <w:r>
              <w:rPr>
                <w:spacing w:val="-5"/>
                <w:sz w:val="20"/>
              </w:rPr>
              <w:t> </w:t>
            </w:r>
            <w:r>
              <w:rPr>
                <w:sz w:val="20"/>
              </w:rPr>
              <w:t>and South Gippsland</w:t>
            </w:r>
          </w:p>
        </w:tc>
      </w:tr>
      <w:tr>
        <w:trPr>
          <w:trHeight w:val="1067" w:hRule="atLeast"/>
        </w:trPr>
        <w:tc>
          <w:tcPr>
            <w:tcW w:w="3225" w:type="dxa"/>
            <w:tcBorders>
              <w:left w:val="single" w:sz="8" w:space="0" w:color="A6A6A6"/>
              <w:bottom w:val="single" w:sz="8" w:space="0" w:color="A6A6A6"/>
            </w:tcBorders>
            <w:shd w:val="clear" w:color="auto" w:fill="CDEBEB"/>
          </w:tcPr>
          <w:p>
            <w:pPr>
              <w:pStyle w:val="TableParagraph"/>
              <w:spacing w:before="119"/>
              <w:ind w:left="122"/>
              <w:rPr>
                <w:sz w:val="20"/>
              </w:rPr>
            </w:pPr>
            <w:r>
              <w:rPr>
                <w:sz w:val="20"/>
              </w:rPr>
              <w:t>AusNet</w:t>
            </w:r>
            <w:r>
              <w:rPr>
                <w:spacing w:val="-7"/>
                <w:sz w:val="20"/>
              </w:rPr>
              <w:t> </w:t>
            </w:r>
            <w:r>
              <w:rPr>
                <w:spacing w:val="-2"/>
                <w:sz w:val="20"/>
              </w:rPr>
              <w:t>Services</w:t>
            </w:r>
          </w:p>
        </w:tc>
        <w:tc>
          <w:tcPr>
            <w:tcW w:w="6435" w:type="dxa"/>
            <w:tcBorders>
              <w:bottom w:val="single" w:sz="8" w:space="0" w:color="A6A6A6"/>
              <w:right w:val="single" w:sz="8" w:space="0" w:color="A6A6A6"/>
            </w:tcBorders>
            <w:shd w:val="clear" w:color="auto" w:fill="CDEBEB"/>
          </w:tcPr>
          <w:p>
            <w:pPr>
              <w:pStyle w:val="TableParagraph"/>
              <w:spacing w:line="288" w:lineRule="auto" w:before="119"/>
              <w:ind w:left="169"/>
              <w:rPr>
                <w:sz w:val="20"/>
              </w:rPr>
            </w:pPr>
            <w:r>
              <w:rPr>
                <w:sz w:val="20"/>
              </w:rPr>
              <w:t>Owner:</w:t>
            </w:r>
            <w:r>
              <w:rPr>
                <w:spacing w:val="-7"/>
                <w:sz w:val="20"/>
              </w:rPr>
              <w:t> </w:t>
            </w:r>
            <w:r>
              <w:rPr>
                <w:sz w:val="20"/>
              </w:rPr>
              <w:t>Listed</w:t>
            </w:r>
            <w:r>
              <w:rPr>
                <w:spacing w:val="-8"/>
                <w:sz w:val="20"/>
              </w:rPr>
              <w:t> </w:t>
            </w:r>
            <w:r>
              <w:rPr>
                <w:sz w:val="20"/>
              </w:rPr>
              <w:t>company</w:t>
            </w:r>
            <w:r>
              <w:rPr>
                <w:spacing w:val="-10"/>
                <w:sz w:val="20"/>
              </w:rPr>
              <w:t> </w:t>
            </w:r>
            <w:r>
              <w:rPr>
                <w:sz w:val="20"/>
              </w:rPr>
              <w:t>(Singapore</w:t>
            </w:r>
            <w:r>
              <w:rPr>
                <w:spacing w:val="-2"/>
                <w:sz w:val="20"/>
              </w:rPr>
              <w:t> </w:t>
            </w:r>
            <w:r>
              <w:rPr>
                <w:sz w:val="20"/>
              </w:rPr>
              <w:t>Power</w:t>
            </w:r>
            <w:r>
              <w:rPr>
                <w:spacing w:val="-4"/>
                <w:sz w:val="20"/>
              </w:rPr>
              <w:t> </w:t>
            </w:r>
            <w:r>
              <w:rPr>
                <w:sz w:val="20"/>
              </w:rPr>
              <w:t>International</w:t>
            </w:r>
            <w:r>
              <w:rPr>
                <w:spacing w:val="-8"/>
                <w:sz w:val="20"/>
              </w:rPr>
              <w:t> </w:t>
            </w:r>
            <w:r>
              <w:rPr>
                <w:sz w:val="20"/>
              </w:rPr>
              <w:t>31%,</w:t>
            </w:r>
            <w:r>
              <w:rPr>
                <w:spacing w:val="-5"/>
                <w:sz w:val="20"/>
              </w:rPr>
              <w:t> </w:t>
            </w:r>
            <w:r>
              <w:rPr>
                <w:sz w:val="20"/>
              </w:rPr>
              <w:t>State Grid Corporation 20%)</w:t>
            </w:r>
          </w:p>
          <w:p>
            <w:pPr>
              <w:pStyle w:val="TableParagraph"/>
              <w:ind w:left="169"/>
              <w:rPr>
                <w:sz w:val="20"/>
              </w:rPr>
            </w:pPr>
            <w:r>
              <w:rPr>
                <w:sz w:val="20"/>
              </w:rPr>
              <w:t>Location:</w:t>
            </w:r>
            <w:r>
              <w:rPr>
                <w:spacing w:val="-8"/>
                <w:sz w:val="20"/>
              </w:rPr>
              <w:t> </w:t>
            </w:r>
            <w:r>
              <w:rPr>
                <w:sz w:val="20"/>
              </w:rPr>
              <w:t>Central</w:t>
            </w:r>
            <w:r>
              <w:rPr>
                <w:spacing w:val="-8"/>
                <w:sz w:val="20"/>
              </w:rPr>
              <w:t> </w:t>
            </w:r>
            <w:r>
              <w:rPr>
                <w:sz w:val="20"/>
              </w:rPr>
              <w:t>and</w:t>
            </w:r>
            <w:r>
              <w:rPr>
                <w:spacing w:val="-7"/>
                <w:sz w:val="20"/>
              </w:rPr>
              <w:t> </w:t>
            </w:r>
            <w:r>
              <w:rPr>
                <w:sz w:val="20"/>
              </w:rPr>
              <w:t>western</w:t>
            </w:r>
            <w:r>
              <w:rPr>
                <w:spacing w:val="-8"/>
                <w:sz w:val="20"/>
              </w:rPr>
              <w:t> </w:t>
            </w:r>
            <w:r>
              <w:rPr>
                <w:spacing w:val="-2"/>
                <w:sz w:val="20"/>
              </w:rPr>
              <w:t>Victoria</w:t>
            </w:r>
          </w:p>
        </w:tc>
      </w:tr>
    </w:tbl>
    <w:p>
      <w:pPr>
        <w:spacing w:after="0"/>
        <w:rPr>
          <w:sz w:val="20"/>
        </w:rPr>
        <w:sectPr>
          <w:pgSz w:w="11910" w:h="16850"/>
          <w:pgMar w:header="220" w:footer="678" w:top="420" w:bottom="860" w:left="900" w:right="840"/>
        </w:sectPr>
      </w:pPr>
    </w:p>
    <w:p>
      <w:pPr>
        <w:pStyle w:val="BodyText"/>
        <w:rPr>
          <w:sz w:val="20"/>
        </w:rPr>
      </w:pPr>
    </w:p>
    <w:p>
      <w:pPr>
        <w:pStyle w:val="BodyText"/>
        <w:spacing w:before="2"/>
        <w:rPr>
          <w:sz w:val="19"/>
        </w:rPr>
      </w:pPr>
    </w:p>
    <w:p>
      <w:pPr>
        <w:pStyle w:val="Heading7"/>
        <w:spacing w:before="94"/>
        <w:ind w:left="232"/>
      </w:pPr>
      <w:r>
        <w:rPr/>
        <w:t>Figure</w:t>
      </w:r>
      <w:r>
        <w:rPr>
          <w:spacing w:val="-4"/>
        </w:rPr>
        <w:t> </w:t>
      </w:r>
      <w:r>
        <w:rPr/>
        <w:t>B2:</w:t>
      </w:r>
      <w:r>
        <w:rPr>
          <w:spacing w:val="-6"/>
        </w:rPr>
        <w:t> </w:t>
      </w:r>
      <w:r>
        <w:rPr/>
        <w:t>Gas</w:t>
      </w:r>
      <w:r>
        <w:rPr>
          <w:spacing w:val="-5"/>
        </w:rPr>
        <w:t> </w:t>
      </w:r>
      <w:r>
        <w:rPr/>
        <w:t>distribution</w:t>
      </w:r>
      <w:r>
        <w:rPr>
          <w:spacing w:val="-6"/>
        </w:rPr>
        <w:t> </w:t>
      </w:r>
      <w:r>
        <w:rPr/>
        <w:t>and</w:t>
      </w:r>
      <w:r>
        <w:rPr>
          <w:spacing w:val="-7"/>
        </w:rPr>
        <w:t> </w:t>
      </w:r>
      <w:r>
        <w:rPr/>
        <w:t>transmission</w:t>
      </w:r>
      <w:r>
        <w:rPr>
          <w:spacing w:val="-8"/>
        </w:rPr>
        <w:t> </w:t>
      </w:r>
      <w:r>
        <w:rPr>
          <w:spacing w:val="-2"/>
        </w:rPr>
        <w:t>areas</w:t>
      </w:r>
    </w:p>
    <w:p>
      <w:pPr>
        <w:pStyle w:val="BodyText"/>
        <w:rPr>
          <w:b/>
          <w:sz w:val="20"/>
        </w:rPr>
      </w:pPr>
    </w:p>
    <w:p>
      <w:pPr>
        <w:pStyle w:val="BodyText"/>
        <w:spacing w:before="10"/>
        <w:rPr>
          <w:b/>
          <w:sz w:val="19"/>
        </w:rPr>
      </w:pPr>
      <w:r>
        <w:rPr/>
        <w:drawing>
          <wp:anchor distT="0" distB="0" distL="0" distR="0" allowOverlap="1" layoutInCell="1" locked="0" behindDoc="1" simplePos="0" relativeHeight="487674368">
            <wp:simplePos x="0" y="0"/>
            <wp:positionH relativeFrom="page">
              <wp:posOffset>786483</wp:posOffset>
            </wp:positionH>
            <wp:positionV relativeFrom="paragraph">
              <wp:posOffset>160806</wp:posOffset>
            </wp:positionV>
            <wp:extent cx="6040673" cy="3800855"/>
            <wp:effectExtent l="0" t="0" r="0" b="0"/>
            <wp:wrapTopAndBottom/>
            <wp:docPr id="244" name="Image 244" descr="C:\Users\rb2f\AppData\Local\Microsoft\Windows\Temporary Internet Files\Content.Word\FigB2.jpg"/>
            <wp:cNvGraphicFramePr>
              <a:graphicFrameLocks/>
            </wp:cNvGraphicFramePr>
            <a:graphic>
              <a:graphicData uri="http://schemas.openxmlformats.org/drawingml/2006/picture">
                <pic:pic>
                  <pic:nvPicPr>
                    <pic:cNvPr id="244" name="Image 244" descr="C:\Users\rb2f\AppData\Local\Microsoft\Windows\Temporary Internet Files\Content.Word\FigB2.jpg"/>
                    <pic:cNvPicPr/>
                  </pic:nvPicPr>
                  <pic:blipFill>
                    <a:blip r:embed="rId118" cstate="print"/>
                    <a:stretch>
                      <a:fillRect/>
                    </a:stretch>
                  </pic:blipFill>
                  <pic:spPr>
                    <a:xfrm>
                      <a:off x="0" y="0"/>
                      <a:ext cx="6040673" cy="3800855"/>
                    </a:xfrm>
                    <a:prstGeom prst="rect">
                      <a:avLst/>
                    </a:prstGeom>
                  </pic:spPr>
                </pic:pic>
              </a:graphicData>
            </a:graphic>
          </wp:anchor>
        </w:drawing>
      </w:r>
    </w:p>
    <w:p>
      <w:pPr>
        <w:pStyle w:val="BodyText"/>
        <w:rPr>
          <w:b/>
          <w:sz w:val="24"/>
        </w:rPr>
      </w:pPr>
    </w:p>
    <w:p>
      <w:pPr>
        <w:pStyle w:val="BodyText"/>
        <w:spacing w:before="11"/>
        <w:rPr>
          <w:b/>
          <w:sz w:val="30"/>
        </w:rPr>
      </w:pPr>
    </w:p>
    <w:p>
      <w:pPr>
        <w:spacing w:line="285" w:lineRule="auto" w:before="0"/>
        <w:ind w:left="232" w:right="374" w:firstLine="0"/>
        <w:jc w:val="left"/>
        <w:rPr>
          <w:sz w:val="18"/>
        </w:rPr>
      </w:pPr>
      <w:r>
        <w:rPr>
          <w:sz w:val="18"/>
        </w:rPr>
        <w:t>Source:</w:t>
      </w:r>
      <w:r>
        <w:rPr>
          <w:spacing w:val="-1"/>
          <w:sz w:val="18"/>
        </w:rPr>
        <w:t> </w:t>
      </w:r>
      <w:r>
        <w:rPr>
          <w:sz w:val="18"/>
        </w:rPr>
        <w:t>Adapted</w:t>
      </w:r>
      <w:r>
        <w:rPr>
          <w:spacing w:val="-4"/>
          <w:sz w:val="18"/>
        </w:rPr>
        <w:t> </w:t>
      </w:r>
      <w:r>
        <w:rPr>
          <w:sz w:val="18"/>
        </w:rPr>
        <w:t>from</w:t>
      </w:r>
      <w:r>
        <w:rPr>
          <w:spacing w:val="-2"/>
          <w:sz w:val="18"/>
        </w:rPr>
        <w:t> </w:t>
      </w:r>
      <w:r>
        <w:rPr>
          <w:sz w:val="18"/>
        </w:rPr>
        <w:t>Review</w:t>
      </w:r>
      <w:r>
        <w:rPr>
          <w:spacing w:val="-5"/>
          <w:sz w:val="18"/>
        </w:rPr>
        <w:t> </w:t>
      </w:r>
      <w:r>
        <w:rPr>
          <w:sz w:val="18"/>
        </w:rPr>
        <w:t>into</w:t>
      </w:r>
      <w:r>
        <w:rPr>
          <w:spacing w:val="-2"/>
          <w:sz w:val="18"/>
        </w:rPr>
        <w:t> </w:t>
      </w:r>
      <w:r>
        <w:rPr>
          <w:sz w:val="18"/>
        </w:rPr>
        <w:t>the</w:t>
      </w:r>
      <w:r>
        <w:rPr>
          <w:spacing w:val="-4"/>
          <w:sz w:val="18"/>
        </w:rPr>
        <w:t> </w:t>
      </w:r>
      <w:r>
        <w:rPr>
          <w:sz w:val="18"/>
        </w:rPr>
        <w:t>scope</w:t>
      </w:r>
      <w:r>
        <w:rPr>
          <w:spacing w:val="-2"/>
          <w:sz w:val="18"/>
        </w:rPr>
        <w:t> </w:t>
      </w:r>
      <w:r>
        <w:rPr>
          <w:sz w:val="18"/>
        </w:rPr>
        <w:t>of</w:t>
      </w:r>
      <w:r>
        <w:rPr>
          <w:spacing w:val="-2"/>
          <w:sz w:val="18"/>
        </w:rPr>
        <w:t> </w:t>
      </w:r>
      <w:r>
        <w:rPr>
          <w:sz w:val="18"/>
        </w:rPr>
        <w:t>economic</w:t>
      </w:r>
      <w:r>
        <w:rPr>
          <w:spacing w:val="-1"/>
          <w:sz w:val="18"/>
        </w:rPr>
        <w:t> </w:t>
      </w:r>
      <w:r>
        <w:rPr>
          <w:sz w:val="18"/>
        </w:rPr>
        <w:t>regulation</w:t>
      </w:r>
      <w:r>
        <w:rPr>
          <w:spacing w:val="-2"/>
          <w:sz w:val="18"/>
        </w:rPr>
        <w:t> </w:t>
      </w:r>
      <w:r>
        <w:rPr>
          <w:sz w:val="18"/>
        </w:rPr>
        <w:t>applied</w:t>
      </w:r>
      <w:r>
        <w:rPr>
          <w:spacing w:val="-4"/>
          <w:sz w:val="18"/>
        </w:rPr>
        <w:t> </w:t>
      </w:r>
      <w:r>
        <w:rPr>
          <w:sz w:val="18"/>
        </w:rPr>
        <w:t>to</w:t>
      </w:r>
      <w:r>
        <w:rPr>
          <w:spacing w:val="-2"/>
          <w:sz w:val="18"/>
        </w:rPr>
        <w:t> </w:t>
      </w:r>
      <w:r>
        <w:rPr>
          <w:sz w:val="18"/>
        </w:rPr>
        <w:t>covered</w:t>
      </w:r>
      <w:r>
        <w:rPr>
          <w:spacing w:val="-4"/>
          <w:sz w:val="18"/>
        </w:rPr>
        <w:t> </w:t>
      </w:r>
      <w:r>
        <w:rPr>
          <w:sz w:val="18"/>
        </w:rPr>
        <w:t>pipelines:</w:t>
      </w:r>
      <w:r>
        <w:rPr>
          <w:spacing w:val="-2"/>
          <w:sz w:val="18"/>
        </w:rPr>
        <w:t> </w:t>
      </w:r>
      <w:r>
        <w:rPr>
          <w:sz w:val="18"/>
        </w:rPr>
        <w:t>Issues paper</w:t>
      </w:r>
      <w:r>
        <w:rPr>
          <w:spacing w:val="-2"/>
          <w:sz w:val="18"/>
        </w:rPr>
        <w:t> </w:t>
      </w:r>
      <w:r>
        <w:rPr>
          <w:sz w:val="18"/>
        </w:rPr>
        <w:t>(AEMC, </w:t>
      </w:r>
      <w:r>
        <w:rPr>
          <w:spacing w:val="-2"/>
          <w:sz w:val="18"/>
        </w:rPr>
        <w:t>2017)</w:t>
      </w:r>
    </w:p>
    <w:p>
      <w:pPr>
        <w:spacing w:after="0" w:line="285" w:lineRule="auto"/>
        <w:jc w:val="left"/>
        <w:rPr>
          <w:sz w:val="18"/>
        </w:rPr>
        <w:sectPr>
          <w:pgSz w:w="11910" w:h="16850"/>
          <w:pgMar w:header="220" w:footer="678" w:top="420" w:bottom="860" w:left="900" w:right="840"/>
        </w:sectPr>
      </w:pPr>
    </w:p>
    <w:p>
      <w:pPr>
        <w:pStyle w:val="BodyText"/>
        <w:rPr>
          <w:sz w:val="20"/>
        </w:rPr>
      </w:pPr>
    </w:p>
    <w:p>
      <w:pPr>
        <w:pStyle w:val="BodyText"/>
        <w:spacing w:before="10"/>
        <w:rPr>
          <w:sz w:val="19"/>
        </w:rPr>
      </w:pPr>
    </w:p>
    <w:p>
      <w:pPr>
        <w:pStyle w:val="Heading3"/>
        <w:spacing w:line="288" w:lineRule="auto"/>
        <w:ind w:right="374"/>
      </w:pPr>
      <w:r>
        <w:rPr>
          <w:color w:val="00B1A9"/>
        </w:rPr>
        <w:t>Appendix</w:t>
      </w:r>
      <w:r>
        <w:rPr>
          <w:color w:val="00B1A9"/>
          <w:spacing w:val="-6"/>
        </w:rPr>
        <w:t> </w:t>
      </w:r>
      <w:r>
        <w:rPr>
          <w:color w:val="00B1A9"/>
        </w:rPr>
        <w:t>C:</w:t>
      </w:r>
      <w:r>
        <w:rPr>
          <w:color w:val="00B1A9"/>
          <w:spacing w:val="-6"/>
        </w:rPr>
        <w:t> </w:t>
      </w:r>
      <w:r>
        <w:rPr>
          <w:color w:val="00B1A9"/>
        </w:rPr>
        <w:t>Electricity</w:t>
      </w:r>
      <w:r>
        <w:rPr>
          <w:color w:val="00B1A9"/>
          <w:spacing w:val="-11"/>
        </w:rPr>
        <w:t> </w:t>
      </w:r>
      <w:r>
        <w:rPr>
          <w:color w:val="00B1A9"/>
        </w:rPr>
        <w:t>and</w:t>
      </w:r>
      <w:r>
        <w:rPr>
          <w:color w:val="00B1A9"/>
          <w:spacing w:val="-4"/>
        </w:rPr>
        <w:t> </w:t>
      </w:r>
      <w:r>
        <w:rPr>
          <w:color w:val="00B1A9"/>
        </w:rPr>
        <w:t>Gas</w:t>
      </w:r>
      <w:r>
        <w:rPr>
          <w:color w:val="00B1A9"/>
          <w:spacing w:val="-5"/>
        </w:rPr>
        <w:t> </w:t>
      </w:r>
      <w:r>
        <w:rPr>
          <w:color w:val="00B1A9"/>
        </w:rPr>
        <w:t>Network </w:t>
      </w:r>
      <w:r>
        <w:rPr>
          <w:color w:val="00B1A9"/>
          <w:spacing w:val="-2"/>
        </w:rPr>
        <w:t>Legislation</w:t>
      </w:r>
    </w:p>
    <w:p>
      <w:pPr>
        <w:pStyle w:val="Heading7"/>
        <w:spacing w:before="239"/>
        <w:ind w:left="232"/>
      </w:pPr>
      <w:r>
        <w:rPr>
          <w:spacing w:val="-2"/>
        </w:rPr>
        <w:t>Electricity</w:t>
      </w:r>
    </w:p>
    <w:p>
      <w:pPr>
        <w:pStyle w:val="BodyText"/>
        <w:spacing w:before="1"/>
        <w:rPr>
          <w:b/>
          <w:sz w:val="25"/>
        </w:rPr>
      </w:pPr>
    </w:p>
    <w:p>
      <w:pPr>
        <w:pStyle w:val="BodyText"/>
        <w:spacing w:line="288" w:lineRule="auto" w:before="1"/>
        <w:ind w:left="232" w:right="374"/>
      </w:pPr>
      <w:r>
        <w:rPr/>
        <w:t>The safety of the electricity network is regulated through the </w:t>
      </w:r>
      <w:r>
        <w:rPr>
          <w:i/>
        </w:rPr>
        <w:t>Electricity Safety Act 1998 </w:t>
      </w:r>
      <w:r>
        <w:rPr/>
        <w:t>and the corresponding</w:t>
      </w:r>
      <w:r>
        <w:rPr>
          <w:spacing w:val="-2"/>
        </w:rPr>
        <w:t> </w:t>
      </w:r>
      <w:r>
        <w:rPr/>
        <w:t>regulations.</w:t>
      </w:r>
      <w:r>
        <w:rPr>
          <w:spacing w:val="-1"/>
        </w:rPr>
        <w:t> </w:t>
      </w:r>
      <w:r>
        <w:rPr/>
        <w:t>The</w:t>
      </w:r>
      <w:r>
        <w:rPr>
          <w:spacing w:val="-4"/>
        </w:rPr>
        <w:t> </w:t>
      </w:r>
      <w:r>
        <w:rPr/>
        <w:t>Act</w:t>
      </w:r>
      <w:r>
        <w:rPr>
          <w:spacing w:val="-3"/>
        </w:rPr>
        <w:t> </w:t>
      </w:r>
      <w:r>
        <w:rPr/>
        <w:t>is</w:t>
      </w:r>
      <w:r>
        <w:rPr>
          <w:spacing w:val="-1"/>
        </w:rPr>
        <w:t> </w:t>
      </w:r>
      <w:r>
        <w:rPr/>
        <w:t>administered</w:t>
      </w:r>
      <w:r>
        <w:rPr>
          <w:spacing w:val="-2"/>
        </w:rPr>
        <w:t> </w:t>
      </w:r>
      <w:r>
        <w:rPr/>
        <w:t>by</w:t>
      </w:r>
      <w:r>
        <w:rPr>
          <w:spacing w:val="-4"/>
        </w:rPr>
        <w:t> </w:t>
      </w:r>
      <w:r>
        <w:rPr/>
        <w:t>ESV.</w:t>
      </w:r>
      <w:r>
        <w:rPr>
          <w:spacing w:val="-3"/>
        </w:rPr>
        <w:t> </w:t>
      </w:r>
      <w:r>
        <w:rPr/>
        <w:t>There</w:t>
      </w:r>
      <w:r>
        <w:rPr>
          <w:spacing w:val="-4"/>
        </w:rPr>
        <w:t> </w:t>
      </w:r>
      <w:r>
        <w:rPr/>
        <w:t>are</w:t>
      </w:r>
      <w:r>
        <w:rPr>
          <w:spacing w:val="-4"/>
        </w:rPr>
        <w:t> </w:t>
      </w:r>
      <w:r>
        <w:rPr/>
        <w:t>various</w:t>
      </w:r>
      <w:r>
        <w:rPr>
          <w:spacing w:val="-1"/>
        </w:rPr>
        <w:t> </w:t>
      </w:r>
      <w:r>
        <w:rPr/>
        <w:t>safety</w:t>
      </w:r>
      <w:r>
        <w:rPr>
          <w:spacing w:val="-4"/>
        </w:rPr>
        <w:t> </w:t>
      </w:r>
      <w:r>
        <w:rPr/>
        <w:t>regulations that govern the safety of the electricity network.</w:t>
      </w:r>
    </w:p>
    <w:p>
      <w:pPr>
        <w:pStyle w:val="BodyText"/>
        <w:spacing w:before="11"/>
        <w:rPr>
          <w:sz w:val="20"/>
        </w:rPr>
      </w:pPr>
    </w:p>
    <w:p>
      <w:pPr>
        <w:pStyle w:val="Heading8"/>
        <w:ind w:left="232"/>
      </w:pPr>
      <w:r>
        <w:rPr/>
        <w:t>Electricity</w:t>
      </w:r>
      <w:r>
        <w:rPr>
          <w:spacing w:val="-8"/>
        </w:rPr>
        <w:t> </w:t>
      </w:r>
      <w:r>
        <w:rPr/>
        <w:t>Safety</w:t>
      </w:r>
      <w:r>
        <w:rPr>
          <w:spacing w:val="-10"/>
        </w:rPr>
        <w:t> </w:t>
      </w:r>
      <w:r>
        <w:rPr/>
        <w:t>(Electric</w:t>
      </w:r>
      <w:r>
        <w:rPr>
          <w:spacing w:val="-7"/>
        </w:rPr>
        <w:t> </w:t>
      </w:r>
      <w:r>
        <w:rPr/>
        <w:t>Line</w:t>
      </w:r>
      <w:r>
        <w:rPr>
          <w:spacing w:val="-8"/>
        </w:rPr>
        <w:t> </w:t>
      </w:r>
      <w:r>
        <w:rPr/>
        <w:t>Clearance)</w:t>
      </w:r>
      <w:r>
        <w:rPr>
          <w:spacing w:val="-9"/>
        </w:rPr>
        <w:t> </w:t>
      </w:r>
      <w:r>
        <w:rPr/>
        <w:t>Regulations</w:t>
      </w:r>
      <w:r>
        <w:rPr>
          <w:spacing w:val="-7"/>
        </w:rPr>
        <w:t> </w:t>
      </w:r>
      <w:r>
        <w:rPr>
          <w:spacing w:val="-4"/>
        </w:rPr>
        <w:t>2015</w:t>
      </w:r>
    </w:p>
    <w:p>
      <w:pPr>
        <w:pStyle w:val="BodyText"/>
        <w:spacing w:line="288" w:lineRule="auto" w:before="169"/>
        <w:ind w:left="232" w:right="296"/>
      </w:pPr>
      <w:r>
        <w:rPr/>
        <w:t>The Act requires responsible persons including owners of network assets and private lines, many local councils, and other relevant parties, to keep vegetation clear of those lines to reduce the likelihood of fires or electric shocks occurring. The </w:t>
      </w:r>
      <w:r>
        <w:rPr>
          <w:i/>
        </w:rPr>
        <w:t>Electricity Safety (Electric Line Clearance) Regulations</w:t>
      </w:r>
      <w:r>
        <w:rPr>
          <w:i/>
          <w:spacing w:val="-3"/>
        </w:rPr>
        <w:t> </w:t>
      </w:r>
      <w:r>
        <w:rPr>
          <w:i/>
        </w:rPr>
        <w:t>2015</w:t>
      </w:r>
      <w:r>
        <w:rPr>
          <w:i/>
          <w:spacing w:val="-3"/>
        </w:rPr>
        <w:t> </w:t>
      </w:r>
      <w:r>
        <w:rPr/>
        <w:t>prescribe</w:t>
      </w:r>
      <w:r>
        <w:rPr>
          <w:spacing w:val="-3"/>
        </w:rPr>
        <w:t> </w:t>
      </w:r>
      <w:r>
        <w:rPr/>
        <w:t>management</w:t>
      </w:r>
      <w:r>
        <w:rPr>
          <w:spacing w:val="-4"/>
        </w:rPr>
        <w:t> </w:t>
      </w:r>
      <w:r>
        <w:rPr/>
        <w:t>procedures</w:t>
      </w:r>
      <w:r>
        <w:rPr>
          <w:spacing w:val="-5"/>
        </w:rPr>
        <w:t> </w:t>
      </w:r>
      <w:r>
        <w:rPr/>
        <w:t>for</w:t>
      </w:r>
      <w:r>
        <w:rPr>
          <w:spacing w:val="-4"/>
        </w:rPr>
        <w:t> </w:t>
      </w:r>
      <w:r>
        <w:rPr/>
        <w:t>standards</w:t>
      </w:r>
      <w:r>
        <w:rPr>
          <w:spacing w:val="-5"/>
        </w:rPr>
        <w:t> </w:t>
      </w:r>
      <w:r>
        <w:rPr/>
        <w:t>and</w:t>
      </w:r>
      <w:r>
        <w:rPr>
          <w:spacing w:val="-3"/>
        </w:rPr>
        <w:t> </w:t>
      </w:r>
      <w:r>
        <w:rPr/>
        <w:t>practices</w:t>
      </w:r>
      <w:r>
        <w:rPr>
          <w:spacing w:val="-5"/>
        </w:rPr>
        <w:t> </w:t>
      </w:r>
      <w:r>
        <w:rPr/>
        <w:t>for tree</w:t>
      </w:r>
      <w:r>
        <w:rPr>
          <w:spacing w:val="-3"/>
        </w:rPr>
        <w:t> </w:t>
      </w:r>
      <w:r>
        <w:rPr/>
        <w:t>cutting</w:t>
      </w:r>
      <w:r>
        <w:rPr>
          <w:spacing w:val="-3"/>
        </w:rPr>
        <w:t> </w:t>
      </w:r>
      <w:r>
        <w:rPr/>
        <w:t>or removal in the vicinity of electric lines.</w:t>
      </w:r>
    </w:p>
    <w:p>
      <w:pPr>
        <w:pStyle w:val="BodyText"/>
        <w:rPr>
          <w:sz w:val="21"/>
        </w:rPr>
      </w:pPr>
    </w:p>
    <w:p>
      <w:pPr>
        <w:pStyle w:val="BodyText"/>
        <w:spacing w:line="288" w:lineRule="auto" w:before="1"/>
        <w:ind w:left="232" w:right="408"/>
      </w:pPr>
      <w:r>
        <w:rPr/>
        <w:t>The</w:t>
      </w:r>
      <w:r>
        <w:rPr>
          <w:spacing w:val="-4"/>
        </w:rPr>
        <w:t> </w:t>
      </w:r>
      <w:r>
        <w:rPr/>
        <w:t>clearance</w:t>
      </w:r>
      <w:r>
        <w:rPr>
          <w:spacing w:val="-4"/>
        </w:rPr>
        <w:t> </w:t>
      </w:r>
      <w:r>
        <w:rPr/>
        <w:t>regulations</w:t>
      </w:r>
      <w:r>
        <w:rPr>
          <w:spacing w:val="-1"/>
        </w:rPr>
        <w:t> </w:t>
      </w:r>
      <w:r>
        <w:rPr/>
        <w:t>establish</w:t>
      </w:r>
      <w:r>
        <w:rPr>
          <w:spacing w:val="-4"/>
        </w:rPr>
        <w:t> </w:t>
      </w:r>
      <w:r>
        <w:rPr/>
        <w:t>the</w:t>
      </w:r>
      <w:r>
        <w:rPr>
          <w:spacing w:val="-4"/>
        </w:rPr>
        <w:t> </w:t>
      </w:r>
      <w:r>
        <w:rPr/>
        <w:t>requirement</w:t>
      </w:r>
      <w:r>
        <w:rPr>
          <w:spacing w:val="-3"/>
        </w:rPr>
        <w:t> </w:t>
      </w:r>
      <w:r>
        <w:rPr/>
        <w:t>for</w:t>
      </w:r>
      <w:r>
        <w:rPr>
          <w:spacing w:val="-3"/>
        </w:rPr>
        <w:t> </w:t>
      </w:r>
      <w:r>
        <w:rPr/>
        <w:t>each</w:t>
      </w:r>
      <w:r>
        <w:rPr>
          <w:spacing w:val="-4"/>
        </w:rPr>
        <w:t> </w:t>
      </w:r>
      <w:r>
        <w:rPr/>
        <w:t>major</w:t>
      </w:r>
      <w:r>
        <w:rPr>
          <w:spacing w:val="-3"/>
        </w:rPr>
        <w:t> </w:t>
      </w:r>
      <w:r>
        <w:rPr/>
        <w:t>electricity</w:t>
      </w:r>
      <w:r>
        <w:rPr>
          <w:spacing w:val="-4"/>
        </w:rPr>
        <w:t> </w:t>
      </w:r>
      <w:r>
        <w:rPr/>
        <w:t>company</w:t>
      </w:r>
      <w:r>
        <w:rPr>
          <w:spacing w:val="-4"/>
        </w:rPr>
        <w:t> </w:t>
      </w:r>
      <w:r>
        <w:rPr/>
        <w:t>to</w:t>
      </w:r>
      <w:r>
        <w:rPr>
          <w:spacing w:val="-4"/>
        </w:rPr>
        <w:t> </w:t>
      </w:r>
      <w:r>
        <w:rPr/>
        <w:t>submit an Electric Line Clearance Management Plan to ESV for acceptance on an annual basis. These plans provide ESV with some visibility of how each business manages its network assets and vegetation clearance obligations.</w:t>
      </w:r>
    </w:p>
    <w:p>
      <w:pPr>
        <w:pStyle w:val="BodyText"/>
        <w:spacing w:before="7"/>
        <w:rPr>
          <w:sz w:val="20"/>
        </w:rPr>
      </w:pPr>
    </w:p>
    <w:p>
      <w:pPr>
        <w:pStyle w:val="Heading8"/>
        <w:ind w:left="232"/>
      </w:pPr>
      <w:r>
        <w:rPr/>
        <w:t>Electricity</w:t>
      </w:r>
      <w:r>
        <w:rPr>
          <w:spacing w:val="-9"/>
        </w:rPr>
        <w:t> </w:t>
      </w:r>
      <w:r>
        <w:rPr/>
        <w:t>Safety</w:t>
      </w:r>
      <w:r>
        <w:rPr>
          <w:spacing w:val="-10"/>
        </w:rPr>
        <w:t> </w:t>
      </w:r>
      <w:r>
        <w:rPr/>
        <w:t>(Management)</w:t>
      </w:r>
      <w:r>
        <w:rPr>
          <w:spacing w:val="-10"/>
        </w:rPr>
        <w:t> </w:t>
      </w:r>
      <w:r>
        <w:rPr/>
        <w:t>Regulations</w:t>
      </w:r>
      <w:r>
        <w:rPr>
          <w:spacing w:val="-11"/>
        </w:rPr>
        <w:t> </w:t>
      </w:r>
      <w:r>
        <w:rPr>
          <w:spacing w:val="-4"/>
        </w:rPr>
        <w:t>2009</w:t>
      </w:r>
    </w:p>
    <w:p>
      <w:pPr>
        <w:pStyle w:val="BodyText"/>
        <w:spacing w:line="288" w:lineRule="auto" w:before="172"/>
        <w:ind w:left="232" w:right="374"/>
      </w:pPr>
      <w:r>
        <w:rPr/>
        <w:t>The Act requires that each distribution business (or each “major electricity company”) – design, construct,</w:t>
      </w:r>
      <w:r>
        <w:rPr>
          <w:spacing w:val="-1"/>
        </w:rPr>
        <w:t> </w:t>
      </w:r>
      <w:r>
        <w:rPr/>
        <w:t>operate,</w:t>
      </w:r>
      <w:r>
        <w:rPr>
          <w:spacing w:val="-4"/>
        </w:rPr>
        <w:t> </w:t>
      </w:r>
      <w:r>
        <w:rPr/>
        <w:t>maintain</w:t>
      </w:r>
      <w:r>
        <w:rPr>
          <w:spacing w:val="-3"/>
        </w:rPr>
        <w:t> </w:t>
      </w:r>
      <w:r>
        <w:rPr/>
        <w:t>and</w:t>
      </w:r>
      <w:r>
        <w:rPr>
          <w:spacing w:val="-3"/>
        </w:rPr>
        <w:t> </w:t>
      </w:r>
      <w:r>
        <w:rPr/>
        <w:t>decommission</w:t>
      </w:r>
      <w:r>
        <w:rPr>
          <w:spacing w:val="-3"/>
        </w:rPr>
        <w:t> </w:t>
      </w:r>
      <w:r>
        <w:rPr/>
        <w:t>its</w:t>
      </w:r>
      <w:r>
        <w:rPr>
          <w:spacing w:val="-2"/>
        </w:rPr>
        <w:t> </w:t>
      </w:r>
      <w:r>
        <w:rPr/>
        <w:t>supply</w:t>
      </w:r>
      <w:r>
        <w:rPr>
          <w:spacing w:val="-5"/>
        </w:rPr>
        <w:t> </w:t>
      </w:r>
      <w:r>
        <w:rPr/>
        <w:t>network</w:t>
      </w:r>
      <w:r>
        <w:rPr>
          <w:spacing w:val="-2"/>
        </w:rPr>
        <w:t> </w:t>
      </w:r>
      <w:r>
        <w:rPr/>
        <w:t>to</w:t>
      </w:r>
      <w:r>
        <w:rPr>
          <w:spacing w:val="-5"/>
        </w:rPr>
        <w:t> </w:t>
      </w:r>
      <w:r>
        <w:rPr/>
        <w:t>minimise</w:t>
      </w:r>
      <w:r>
        <w:rPr>
          <w:spacing w:val="-5"/>
        </w:rPr>
        <w:t> </w:t>
      </w:r>
      <w:r>
        <w:rPr/>
        <w:t>the</w:t>
      </w:r>
      <w:r>
        <w:rPr>
          <w:spacing w:val="-5"/>
        </w:rPr>
        <w:t> </w:t>
      </w:r>
      <w:r>
        <w:rPr/>
        <w:t>following</w:t>
      </w:r>
      <w:r>
        <w:rPr>
          <w:spacing w:val="-1"/>
        </w:rPr>
        <w:t> </w:t>
      </w:r>
      <w:r>
        <w:rPr/>
        <w:t>as</w:t>
      </w:r>
      <w:r>
        <w:rPr>
          <w:spacing w:val="-7"/>
        </w:rPr>
        <w:t> </w:t>
      </w:r>
      <w:r>
        <w:rPr/>
        <w:t>far as practicable:</w:t>
      </w:r>
    </w:p>
    <w:p>
      <w:pPr>
        <w:pStyle w:val="BodyText"/>
        <w:spacing w:before="3"/>
      </w:pPr>
    </w:p>
    <w:p>
      <w:pPr>
        <w:pStyle w:val="ListParagraph"/>
        <w:numPr>
          <w:ilvl w:val="0"/>
          <w:numId w:val="92"/>
        </w:numPr>
        <w:tabs>
          <w:tab w:pos="590" w:val="left" w:leader="none"/>
        </w:tabs>
        <w:spacing w:line="240" w:lineRule="auto" w:before="0" w:after="0"/>
        <w:ind w:left="590" w:right="0" w:hanging="358"/>
        <w:jc w:val="left"/>
        <w:rPr>
          <w:sz w:val="22"/>
        </w:rPr>
      </w:pPr>
      <w:r>
        <w:rPr>
          <w:sz w:val="22"/>
        </w:rPr>
        <w:t>hazards</w:t>
      </w:r>
      <w:r>
        <w:rPr>
          <w:spacing w:val="-5"/>
          <w:sz w:val="22"/>
        </w:rPr>
        <w:t> </w:t>
      </w:r>
      <w:r>
        <w:rPr>
          <w:sz w:val="22"/>
        </w:rPr>
        <w:t>and</w:t>
      </w:r>
      <w:r>
        <w:rPr>
          <w:spacing w:val="-3"/>
          <w:sz w:val="22"/>
        </w:rPr>
        <w:t> </w:t>
      </w:r>
      <w:r>
        <w:rPr>
          <w:sz w:val="22"/>
        </w:rPr>
        <w:t>risks</w:t>
      </w:r>
      <w:r>
        <w:rPr>
          <w:spacing w:val="-4"/>
          <w:sz w:val="22"/>
        </w:rPr>
        <w:t> </w:t>
      </w:r>
      <w:r>
        <w:rPr>
          <w:sz w:val="22"/>
        </w:rPr>
        <w:t>to</w:t>
      </w:r>
      <w:r>
        <w:rPr>
          <w:spacing w:val="-5"/>
          <w:sz w:val="22"/>
        </w:rPr>
        <w:t> </w:t>
      </w:r>
      <w:r>
        <w:rPr>
          <w:sz w:val="22"/>
        </w:rPr>
        <w:t>the</w:t>
      </w:r>
      <w:r>
        <w:rPr>
          <w:spacing w:val="-5"/>
          <w:sz w:val="22"/>
        </w:rPr>
        <w:t> </w:t>
      </w:r>
      <w:r>
        <w:rPr>
          <w:b/>
          <w:sz w:val="22"/>
        </w:rPr>
        <w:t>safety</w:t>
      </w:r>
      <w:r>
        <w:rPr>
          <w:b/>
          <w:spacing w:val="-6"/>
          <w:sz w:val="22"/>
        </w:rPr>
        <w:t> </w:t>
      </w:r>
      <w:r>
        <w:rPr>
          <w:sz w:val="22"/>
        </w:rPr>
        <w:t>of</w:t>
      </w:r>
      <w:r>
        <w:rPr>
          <w:spacing w:val="-2"/>
          <w:sz w:val="22"/>
        </w:rPr>
        <w:t> </w:t>
      </w:r>
      <w:r>
        <w:rPr>
          <w:sz w:val="22"/>
        </w:rPr>
        <w:t>any</w:t>
      </w:r>
      <w:r>
        <w:rPr>
          <w:spacing w:val="-5"/>
          <w:sz w:val="22"/>
        </w:rPr>
        <w:t> </w:t>
      </w:r>
      <w:r>
        <w:rPr>
          <w:sz w:val="22"/>
        </w:rPr>
        <w:t>person</w:t>
      </w:r>
      <w:r>
        <w:rPr>
          <w:spacing w:val="-5"/>
          <w:sz w:val="22"/>
        </w:rPr>
        <w:t> </w:t>
      </w:r>
      <w:r>
        <w:rPr>
          <w:sz w:val="22"/>
        </w:rPr>
        <w:t>arising</w:t>
      </w:r>
      <w:r>
        <w:rPr>
          <w:spacing w:val="-3"/>
          <w:sz w:val="22"/>
        </w:rPr>
        <w:t> </w:t>
      </w:r>
      <w:r>
        <w:rPr>
          <w:sz w:val="22"/>
        </w:rPr>
        <w:t>from</w:t>
      </w:r>
      <w:r>
        <w:rPr>
          <w:spacing w:val="-4"/>
          <w:sz w:val="22"/>
        </w:rPr>
        <w:t> </w:t>
      </w:r>
      <w:r>
        <w:rPr>
          <w:sz w:val="22"/>
        </w:rPr>
        <w:t>the</w:t>
      </w:r>
      <w:r>
        <w:rPr>
          <w:spacing w:val="-5"/>
          <w:sz w:val="22"/>
        </w:rPr>
        <w:t> </w:t>
      </w:r>
      <w:r>
        <w:rPr>
          <w:sz w:val="22"/>
        </w:rPr>
        <w:t>supply</w:t>
      </w:r>
      <w:r>
        <w:rPr>
          <w:spacing w:val="-4"/>
          <w:sz w:val="22"/>
        </w:rPr>
        <w:t> </w:t>
      </w:r>
      <w:r>
        <w:rPr>
          <w:spacing w:val="-2"/>
          <w:sz w:val="22"/>
        </w:rPr>
        <w:t>network</w:t>
      </w:r>
    </w:p>
    <w:p>
      <w:pPr>
        <w:pStyle w:val="ListParagraph"/>
        <w:numPr>
          <w:ilvl w:val="0"/>
          <w:numId w:val="92"/>
        </w:numPr>
        <w:tabs>
          <w:tab w:pos="590" w:val="left" w:leader="none"/>
        </w:tabs>
        <w:spacing w:line="240" w:lineRule="auto" w:before="67" w:after="0"/>
        <w:ind w:left="590" w:right="0" w:hanging="358"/>
        <w:jc w:val="left"/>
        <w:rPr>
          <w:sz w:val="22"/>
        </w:rPr>
      </w:pPr>
      <w:r>
        <w:rPr>
          <w:sz w:val="22"/>
        </w:rPr>
        <w:t>hazards</w:t>
      </w:r>
      <w:r>
        <w:rPr>
          <w:spacing w:val="-5"/>
          <w:sz w:val="22"/>
        </w:rPr>
        <w:t> </w:t>
      </w:r>
      <w:r>
        <w:rPr>
          <w:sz w:val="22"/>
        </w:rPr>
        <w:t>and</w:t>
      </w:r>
      <w:r>
        <w:rPr>
          <w:spacing w:val="-3"/>
          <w:sz w:val="22"/>
        </w:rPr>
        <w:t> </w:t>
      </w:r>
      <w:r>
        <w:rPr>
          <w:sz w:val="22"/>
        </w:rPr>
        <w:t>risks</w:t>
      </w:r>
      <w:r>
        <w:rPr>
          <w:spacing w:val="-3"/>
          <w:sz w:val="22"/>
        </w:rPr>
        <w:t> </w:t>
      </w:r>
      <w:r>
        <w:rPr>
          <w:sz w:val="22"/>
        </w:rPr>
        <w:t>of</w:t>
      </w:r>
      <w:r>
        <w:rPr>
          <w:spacing w:val="-1"/>
          <w:sz w:val="22"/>
        </w:rPr>
        <w:t> </w:t>
      </w:r>
      <w:r>
        <w:rPr>
          <w:b/>
          <w:sz w:val="22"/>
        </w:rPr>
        <w:t>damage</w:t>
      </w:r>
      <w:r>
        <w:rPr>
          <w:b/>
          <w:spacing w:val="-6"/>
          <w:sz w:val="22"/>
        </w:rPr>
        <w:t> </w:t>
      </w:r>
      <w:r>
        <w:rPr>
          <w:b/>
          <w:sz w:val="22"/>
        </w:rPr>
        <w:t>to</w:t>
      </w:r>
      <w:r>
        <w:rPr>
          <w:b/>
          <w:spacing w:val="-5"/>
          <w:sz w:val="22"/>
        </w:rPr>
        <w:t> </w:t>
      </w:r>
      <w:r>
        <w:rPr>
          <w:b/>
          <w:sz w:val="22"/>
        </w:rPr>
        <w:t>the</w:t>
      </w:r>
      <w:r>
        <w:rPr>
          <w:b/>
          <w:spacing w:val="-4"/>
          <w:sz w:val="22"/>
        </w:rPr>
        <w:t> </w:t>
      </w:r>
      <w:r>
        <w:rPr>
          <w:b/>
          <w:sz w:val="22"/>
        </w:rPr>
        <w:t>property</w:t>
      </w:r>
      <w:r>
        <w:rPr>
          <w:b/>
          <w:spacing w:val="-6"/>
          <w:sz w:val="22"/>
        </w:rPr>
        <w:t> </w:t>
      </w:r>
      <w:r>
        <w:rPr>
          <w:sz w:val="22"/>
        </w:rPr>
        <w:t>of</w:t>
      </w:r>
      <w:r>
        <w:rPr>
          <w:spacing w:val="-2"/>
          <w:sz w:val="22"/>
        </w:rPr>
        <w:t> </w:t>
      </w:r>
      <w:r>
        <w:rPr>
          <w:sz w:val="22"/>
        </w:rPr>
        <w:t>any</w:t>
      </w:r>
      <w:r>
        <w:rPr>
          <w:spacing w:val="-6"/>
          <w:sz w:val="22"/>
        </w:rPr>
        <w:t> </w:t>
      </w:r>
      <w:r>
        <w:rPr>
          <w:sz w:val="22"/>
        </w:rPr>
        <w:t>person</w:t>
      </w:r>
      <w:r>
        <w:rPr>
          <w:spacing w:val="-3"/>
          <w:sz w:val="22"/>
        </w:rPr>
        <w:t> </w:t>
      </w:r>
      <w:r>
        <w:rPr>
          <w:sz w:val="22"/>
        </w:rPr>
        <w:t>arising</w:t>
      </w:r>
      <w:r>
        <w:rPr>
          <w:spacing w:val="-5"/>
          <w:sz w:val="22"/>
        </w:rPr>
        <w:t> </w:t>
      </w:r>
      <w:r>
        <w:rPr>
          <w:sz w:val="22"/>
        </w:rPr>
        <w:t>from</w:t>
      </w:r>
      <w:r>
        <w:rPr>
          <w:spacing w:val="-5"/>
          <w:sz w:val="22"/>
        </w:rPr>
        <w:t> </w:t>
      </w:r>
      <w:r>
        <w:rPr>
          <w:sz w:val="22"/>
        </w:rPr>
        <w:t>the</w:t>
      </w:r>
      <w:r>
        <w:rPr>
          <w:spacing w:val="-3"/>
          <w:sz w:val="22"/>
        </w:rPr>
        <w:t> </w:t>
      </w:r>
      <w:r>
        <w:rPr>
          <w:sz w:val="22"/>
        </w:rPr>
        <w:t>supply</w:t>
      </w:r>
      <w:r>
        <w:rPr>
          <w:spacing w:val="-5"/>
          <w:sz w:val="22"/>
        </w:rPr>
        <w:t> </w:t>
      </w:r>
      <w:r>
        <w:rPr>
          <w:spacing w:val="-2"/>
          <w:sz w:val="22"/>
        </w:rPr>
        <w:t>network</w:t>
      </w:r>
    </w:p>
    <w:p>
      <w:pPr>
        <w:pStyle w:val="ListParagraph"/>
        <w:numPr>
          <w:ilvl w:val="0"/>
          <w:numId w:val="92"/>
        </w:numPr>
        <w:tabs>
          <w:tab w:pos="590" w:val="left" w:leader="none"/>
        </w:tabs>
        <w:spacing w:line="240" w:lineRule="auto" w:before="66" w:after="0"/>
        <w:ind w:left="590" w:right="0" w:hanging="358"/>
        <w:jc w:val="left"/>
        <w:rPr>
          <w:sz w:val="22"/>
        </w:rPr>
      </w:pPr>
      <w:r>
        <w:rPr>
          <w:sz w:val="22"/>
        </w:rPr>
        <w:t>the</w:t>
      </w:r>
      <w:r>
        <w:rPr>
          <w:spacing w:val="-5"/>
          <w:sz w:val="22"/>
        </w:rPr>
        <w:t> </w:t>
      </w:r>
      <w:r>
        <w:rPr>
          <w:sz w:val="22"/>
        </w:rPr>
        <w:t>bushfire</w:t>
      </w:r>
      <w:r>
        <w:rPr>
          <w:spacing w:val="-4"/>
          <w:sz w:val="22"/>
        </w:rPr>
        <w:t> </w:t>
      </w:r>
      <w:r>
        <w:rPr>
          <w:sz w:val="22"/>
        </w:rPr>
        <w:t>danger</w:t>
      </w:r>
      <w:r>
        <w:rPr>
          <w:spacing w:val="-5"/>
          <w:sz w:val="22"/>
        </w:rPr>
        <w:t> </w:t>
      </w:r>
      <w:r>
        <w:rPr>
          <w:sz w:val="22"/>
        </w:rPr>
        <w:t>arising</w:t>
      </w:r>
      <w:r>
        <w:rPr>
          <w:spacing w:val="-6"/>
          <w:sz w:val="22"/>
        </w:rPr>
        <w:t> </w:t>
      </w:r>
      <w:r>
        <w:rPr>
          <w:sz w:val="22"/>
        </w:rPr>
        <w:t>from</w:t>
      </w:r>
      <w:r>
        <w:rPr>
          <w:spacing w:val="-5"/>
          <w:sz w:val="22"/>
        </w:rPr>
        <w:t> </w:t>
      </w:r>
      <w:r>
        <w:rPr>
          <w:sz w:val="22"/>
        </w:rPr>
        <w:t>the</w:t>
      </w:r>
      <w:r>
        <w:rPr>
          <w:spacing w:val="-6"/>
          <w:sz w:val="22"/>
        </w:rPr>
        <w:t> </w:t>
      </w:r>
      <w:r>
        <w:rPr>
          <w:sz w:val="22"/>
        </w:rPr>
        <w:t>supply</w:t>
      </w:r>
      <w:r>
        <w:rPr>
          <w:spacing w:val="-6"/>
          <w:sz w:val="22"/>
        </w:rPr>
        <w:t> </w:t>
      </w:r>
      <w:r>
        <w:rPr>
          <w:spacing w:val="-2"/>
          <w:sz w:val="22"/>
        </w:rPr>
        <w:t>network.</w:t>
      </w:r>
    </w:p>
    <w:p>
      <w:pPr>
        <w:pStyle w:val="BodyText"/>
        <w:spacing w:before="11"/>
        <w:rPr>
          <w:sz w:val="24"/>
        </w:rPr>
      </w:pPr>
    </w:p>
    <w:p>
      <w:pPr>
        <w:pStyle w:val="BodyText"/>
        <w:spacing w:line="276" w:lineRule="auto"/>
        <w:ind w:left="232" w:right="369"/>
      </w:pPr>
      <w:r>
        <w:rPr/>
        <w:t>The Act requires all major electricity companies to prepare safety management schemes for each of</w:t>
      </w:r>
      <w:r>
        <w:rPr>
          <w:spacing w:val="-1"/>
        </w:rPr>
        <w:t> </w:t>
      </w:r>
      <w:r>
        <w:rPr/>
        <w:t>their</w:t>
      </w:r>
      <w:r>
        <w:rPr>
          <w:spacing w:val="-2"/>
        </w:rPr>
        <w:t> </w:t>
      </w:r>
      <w:r>
        <w:rPr/>
        <w:t>supply</w:t>
      </w:r>
      <w:r>
        <w:rPr>
          <w:spacing w:val="-5"/>
        </w:rPr>
        <w:t> </w:t>
      </w:r>
      <w:r>
        <w:rPr/>
        <w:t>networks.</w:t>
      </w:r>
      <w:r>
        <w:rPr>
          <w:spacing w:val="-4"/>
        </w:rPr>
        <w:t> </w:t>
      </w:r>
      <w:r>
        <w:rPr/>
        <w:t>An</w:t>
      </w:r>
      <w:r>
        <w:rPr>
          <w:spacing w:val="-3"/>
        </w:rPr>
        <w:t> </w:t>
      </w:r>
      <w:r>
        <w:rPr/>
        <w:t>Electricity</w:t>
      </w:r>
      <w:r>
        <w:rPr>
          <w:spacing w:val="-5"/>
        </w:rPr>
        <w:t> </w:t>
      </w:r>
      <w:r>
        <w:rPr/>
        <w:t>Safety</w:t>
      </w:r>
      <w:r>
        <w:rPr>
          <w:spacing w:val="-5"/>
        </w:rPr>
        <w:t> </w:t>
      </w:r>
      <w:r>
        <w:rPr/>
        <w:t>Management</w:t>
      </w:r>
      <w:r>
        <w:rPr>
          <w:spacing w:val="-4"/>
        </w:rPr>
        <w:t> </w:t>
      </w:r>
      <w:r>
        <w:rPr/>
        <w:t>Scheme</w:t>
      </w:r>
      <w:r>
        <w:rPr>
          <w:spacing w:val="-5"/>
        </w:rPr>
        <w:t> </w:t>
      </w:r>
      <w:r>
        <w:rPr/>
        <w:t>involves setting</w:t>
      </w:r>
      <w:r>
        <w:rPr>
          <w:spacing w:val="-1"/>
        </w:rPr>
        <w:t> </w:t>
      </w:r>
      <w:r>
        <w:rPr/>
        <w:t>out</w:t>
      </w:r>
      <w:r>
        <w:rPr>
          <w:spacing w:val="-4"/>
        </w:rPr>
        <w:t> </w:t>
      </w:r>
      <w:r>
        <w:rPr/>
        <w:t>the</w:t>
      </w:r>
      <w:r>
        <w:rPr>
          <w:spacing w:val="-3"/>
        </w:rPr>
        <w:t> </w:t>
      </w:r>
      <w:r>
        <w:rPr/>
        <w:t>safety management system an electricity company has in place to acquit its general duties and ensure it has built safety procedures into all aspects of its processes. An Electricity Safety Management Scheme must be submitted to ESV every five years.</w:t>
      </w:r>
    </w:p>
    <w:p>
      <w:pPr>
        <w:pStyle w:val="BodyText"/>
        <w:rPr>
          <w:sz w:val="21"/>
        </w:rPr>
      </w:pPr>
    </w:p>
    <w:p>
      <w:pPr>
        <w:spacing w:line="276" w:lineRule="auto" w:before="1"/>
        <w:ind w:left="232" w:right="408" w:firstLine="0"/>
        <w:jc w:val="left"/>
        <w:rPr>
          <w:sz w:val="22"/>
        </w:rPr>
      </w:pPr>
      <w:r>
        <w:rPr>
          <w:sz w:val="22"/>
        </w:rPr>
        <w:t>The</w:t>
      </w:r>
      <w:r>
        <w:rPr>
          <w:spacing w:val="-4"/>
          <w:sz w:val="22"/>
        </w:rPr>
        <w:t> </w:t>
      </w:r>
      <w:r>
        <w:rPr>
          <w:i/>
          <w:sz w:val="22"/>
        </w:rPr>
        <w:t>Electricity</w:t>
      </w:r>
      <w:r>
        <w:rPr>
          <w:i/>
          <w:spacing w:val="-4"/>
          <w:sz w:val="22"/>
        </w:rPr>
        <w:t> </w:t>
      </w:r>
      <w:r>
        <w:rPr>
          <w:i/>
          <w:sz w:val="22"/>
        </w:rPr>
        <w:t>Safety</w:t>
      </w:r>
      <w:r>
        <w:rPr>
          <w:i/>
          <w:spacing w:val="-4"/>
          <w:sz w:val="22"/>
        </w:rPr>
        <w:t> </w:t>
      </w:r>
      <w:r>
        <w:rPr>
          <w:i/>
          <w:sz w:val="22"/>
        </w:rPr>
        <w:t>(Management)</w:t>
      </w:r>
      <w:r>
        <w:rPr>
          <w:i/>
          <w:spacing w:val="-1"/>
          <w:sz w:val="22"/>
        </w:rPr>
        <w:t> </w:t>
      </w:r>
      <w:r>
        <w:rPr>
          <w:i/>
          <w:sz w:val="22"/>
        </w:rPr>
        <w:t>Regulations</w:t>
      </w:r>
      <w:r>
        <w:rPr>
          <w:i/>
          <w:spacing w:val="-4"/>
          <w:sz w:val="22"/>
        </w:rPr>
        <w:t> </w:t>
      </w:r>
      <w:r>
        <w:rPr>
          <w:i/>
          <w:sz w:val="22"/>
        </w:rPr>
        <w:t>2009 </w:t>
      </w:r>
      <w:r>
        <w:rPr>
          <w:sz w:val="22"/>
        </w:rPr>
        <w:t>prescribe</w:t>
      </w:r>
      <w:r>
        <w:rPr>
          <w:spacing w:val="-4"/>
          <w:sz w:val="22"/>
        </w:rPr>
        <w:t> </w:t>
      </w:r>
      <w:r>
        <w:rPr>
          <w:sz w:val="22"/>
        </w:rPr>
        <w:t>the</w:t>
      </w:r>
      <w:r>
        <w:rPr>
          <w:spacing w:val="-4"/>
          <w:sz w:val="22"/>
        </w:rPr>
        <w:t> </w:t>
      </w:r>
      <w:r>
        <w:rPr>
          <w:sz w:val="22"/>
        </w:rPr>
        <w:t>requirements</w:t>
      </w:r>
      <w:r>
        <w:rPr>
          <w:spacing w:val="-1"/>
          <w:sz w:val="22"/>
        </w:rPr>
        <w:t> </w:t>
      </w:r>
      <w:r>
        <w:rPr>
          <w:sz w:val="22"/>
        </w:rPr>
        <w:t>relating</w:t>
      </w:r>
      <w:r>
        <w:rPr>
          <w:spacing w:val="-2"/>
          <w:sz w:val="22"/>
        </w:rPr>
        <w:t> </w:t>
      </w:r>
      <w:r>
        <w:rPr>
          <w:sz w:val="22"/>
        </w:rPr>
        <w:t>to</w:t>
      </w:r>
      <w:r>
        <w:rPr>
          <w:spacing w:val="-4"/>
          <w:sz w:val="22"/>
        </w:rPr>
        <w:t> </w:t>
      </w:r>
      <w:r>
        <w:rPr>
          <w:sz w:val="22"/>
        </w:rPr>
        <w:t>the acceptance of Electricity Safety Management Schemes.</w:t>
      </w:r>
    </w:p>
    <w:p>
      <w:pPr>
        <w:pStyle w:val="BodyText"/>
        <w:spacing w:before="9"/>
        <w:rPr>
          <w:sz w:val="20"/>
        </w:rPr>
      </w:pPr>
    </w:p>
    <w:p>
      <w:pPr>
        <w:pStyle w:val="BodyText"/>
        <w:spacing w:line="288" w:lineRule="auto"/>
        <w:ind w:left="232" w:right="374"/>
      </w:pPr>
      <w:r>
        <w:rPr/>
        <w:t>Since 2015, ESV has also required transmission and distribution businesses to submit an accompanying safety case with their safety management scheme. The safety case requires the electricity</w:t>
      </w:r>
      <w:r>
        <w:rPr>
          <w:spacing w:val="-4"/>
        </w:rPr>
        <w:t> </w:t>
      </w:r>
      <w:r>
        <w:rPr/>
        <w:t>network</w:t>
      </w:r>
      <w:r>
        <w:rPr>
          <w:spacing w:val="-1"/>
        </w:rPr>
        <w:t> </w:t>
      </w:r>
      <w:r>
        <w:rPr/>
        <w:t>business</w:t>
      </w:r>
      <w:r>
        <w:rPr>
          <w:spacing w:val="-2"/>
        </w:rPr>
        <w:t> </w:t>
      </w:r>
      <w:r>
        <w:rPr/>
        <w:t>to</w:t>
      </w:r>
      <w:r>
        <w:rPr>
          <w:spacing w:val="-4"/>
        </w:rPr>
        <w:t> </w:t>
      </w:r>
      <w:r>
        <w:rPr/>
        <w:t>demonstrate</w:t>
      </w:r>
      <w:r>
        <w:rPr>
          <w:spacing w:val="-4"/>
        </w:rPr>
        <w:t> </w:t>
      </w:r>
      <w:r>
        <w:rPr/>
        <w:t>it</w:t>
      </w:r>
      <w:r>
        <w:rPr>
          <w:spacing w:val="-3"/>
        </w:rPr>
        <w:t> </w:t>
      </w:r>
      <w:r>
        <w:rPr/>
        <w:t>has</w:t>
      </w:r>
      <w:r>
        <w:rPr>
          <w:spacing w:val="-1"/>
        </w:rPr>
        <w:t> </w:t>
      </w:r>
      <w:r>
        <w:rPr/>
        <w:t>systems</w:t>
      </w:r>
      <w:r>
        <w:rPr>
          <w:spacing w:val="-1"/>
        </w:rPr>
        <w:t> </w:t>
      </w:r>
      <w:r>
        <w:rPr/>
        <w:t>in</w:t>
      </w:r>
      <w:r>
        <w:rPr>
          <w:spacing w:val="-2"/>
        </w:rPr>
        <w:t> </w:t>
      </w:r>
      <w:r>
        <w:rPr/>
        <w:t>place</w:t>
      </w:r>
      <w:r>
        <w:rPr>
          <w:spacing w:val="-4"/>
        </w:rPr>
        <w:t> </w:t>
      </w:r>
      <w:r>
        <w:rPr/>
        <w:t>to</w:t>
      </w:r>
      <w:r>
        <w:rPr>
          <w:spacing w:val="-4"/>
        </w:rPr>
        <w:t> </w:t>
      </w:r>
      <w:r>
        <w:rPr/>
        <w:t>identify</w:t>
      </w:r>
      <w:r>
        <w:rPr>
          <w:spacing w:val="-4"/>
        </w:rPr>
        <w:t> </w:t>
      </w:r>
      <w:r>
        <w:rPr/>
        <w:t>and</w:t>
      </w:r>
      <w:r>
        <w:rPr>
          <w:spacing w:val="-4"/>
        </w:rPr>
        <w:t> </w:t>
      </w:r>
      <w:r>
        <w:rPr/>
        <w:t>mitigate</w:t>
      </w:r>
      <w:r>
        <w:rPr>
          <w:spacing w:val="-4"/>
        </w:rPr>
        <w:t> </w:t>
      </w:r>
      <w:r>
        <w:rPr/>
        <w:t>safety risks throughout its organisation.</w:t>
      </w:r>
    </w:p>
    <w:p>
      <w:pPr>
        <w:pStyle w:val="BodyText"/>
        <w:spacing w:before="10"/>
        <w:rPr>
          <w:sz w:val="20"/>
        </w:rPr>
      </w:pPr>
    </w:p>
    <w:p>
      <w:pPr>
        <w:pStyle w:val="Heading8"/>
        <w:ind w:left="232"/>
      </w:pPr>
      <w:r>
        <w:rPr/>
        <w:t>Electricity</w:t>
      </w:r>
      <w:r>
        <w:rPr>
          <w:spacing w:val="-8"/>
        </w:rPr>
        <w:t> </w:t>
      </w:r>
      <w:r>
        <w:rPr/>
        <w:t>Safety</w:t>
      </w:r>
      <w:r>
        <w:rPr>
          <w:spacing w:val="-9"/>
        </w:rPr>
        <w:t> </w:t>
      </w:r>
      <w:r>
        <w:rPr/>
        <w:t>(Bushfire</w:t>
      </w:r>
      <w:r>
        <w:rPr>
          <w:spacing w:val="-12"/>
        </w:rPr>
        <w:t> </w:t>
      </w:r>
      <w:r>
        <w:rPr/>
        <w:t>Mitigation)</w:t>
      </w:r>
      <w:r>
        <w:rPr>
          <w:spacing w:val="-8"/>
        </w:rPr>
        <w:t> </w:t>
      </w:r>
      <w:r>
        <w:rPr/>
        <w:t>Regulations</w:t>
      </w:r>
      <w:r>
        <w:rPr>
          <w:spacing w:val="-9"/>
        </w:rPr>
        <w:t> </w:t>
      </w:r>
      <w:r>
        <w:rPr>
          <w:spacing w:val="-4"/>
        </w:rPr>
        <w:t>2013</w:t>
      </w:r>
    </w:p>
    <w:p>
      <w:pPr>
        <w:spacing w:line="288" w:lineRule="auto" w:before="170"/>
        <w:ind w:left="232" w:right="374" w:firstLine="0"/>
        <w:jc w:val="left"/>
        <w:rPr>
          <w:i/>
          <w:sz w:val="22"/>
        </w:rPr>
      </w:pPr>
      <w:r>
        <w:rPr>
          <w:sz w:val="22"/>
        </w:rPr>
        <w:t>The </w:t>
      </w:r>
      <w:r>
        <w:rPr>
          <w:i/>
          <w:sz w:val="22"/>
        </w:rPr>
        <w:t>Electricity Safety Act 1998 </w:t>
      </w:r>
      <w:r>
        <w:rPr>
          <w:sz w:val="22"/>
        </w:rPr>
        <w:t>requires each major electricity company to submit a bushfire mitigation</w:t>
      </w:r>
      <w:r>
        <w:rPr>
          <w:spacing w:val="-2"/>
          <w:sz w:val="22"/>
        </w:rPr>
        <w:t> </w:t>
      </w:r>
      <w:r>
        <w:rPr>
          <w:sz w:val="22"/>
        </w:rPr>
        <w:t>plan</w:t>
      </w:r>
      <w:r>
        <w:rPr>
          <w:spacing w:val="-4"/>
          <w:sz w:val="22"/>
        </w:rPr>
        <w:t> </w:t>
      </w:r>
      <w:r>
        <w:rPr>
          <w:sz w:val="22"/>
        </w:rPr>
        <w:t>to</w:t>
      </w:r>
      <w:r>
        <w:rPr>
          <w:spacing w:val="-2"/>
          <w:sz w:val="22"/>
        </w:rPr>
        <w:t> </w:t>
      </w:r>
      <w:r>
        <w:rPr>
          <w:sz w:val="22"/>
        </w:rPr>
        <w:t>ESV</w:t>
      </w:r>
      <w:r>
        <w:rPr>
          <w:spacing w:val="-5"/>
          <w:sz w:val="22"/>
        </w:rPr>
        <w:t> </w:t>
      </w:r>
      <w:r>
        <w:rPr>
          <w:sz w:val="22"/>
        </w:rPr>
        <w:t>every</w:t>
      </w:r>
      <w:r>
        <w:rPr>
          <w:spacing w:val="-3"/>
          <w:sz w:val="22"/>
        </w:rPr>
        <w:t> </w:t>
      </w:r>
      <w:r>
        <w:rPr>
          <w:sz w:val="22"/>
        </w:rPr>
        <w:t>five</w:t>
      </w:r>
      <w:r>
        <w:rPr>
          <w:spacing w:val="-2"/>
          <w:sz w:val="22"/>
        </w:rPr>
        <w:t> </w:t>
      </w:r>
      <w:r>
        <w:rPr>
          <w:sz w:val="22"/>
        </w:rPr>
        <w:t>years</w:t>
      </w:r>
      <w:r>
        <w:rPr>
          <w:spacing w:val="-4"/>
          <w:sz w:val="22"/>
        </w:rPr>
        <w:t> </w:t>
      </w:r>
      <w:r>
        <w:rPr>
          <w:sz w:val="22"/>
        </w:rPr>
        <w:t>for</w:t>
      </w:r>
      <w:r>
        <w:rPr>
          <w:spacing w:val="-2"/>
          <w:sz w:val="22"/>
        </w:rPr>
        <w:t> </w:t>
      </w:r>
      <w:r>
        <w:rPr>
          <w:sz w:val="22"/>
        </w:rPr>
        <w:t>acceptance.</w:t>
      </w:r>
      <w:r>
        <w:rPr>
          <w:spacing w:val="-3"/>
          <w:sz w:val="22"/>
        </w:rPr>
        <w:t> </w:t>
      </w:r>
      <w:r>
        <w:rPr>
          <w:sz w:val="22"/>
        </w:rPr>
        <w:t>The</w:t>
      </w:r>
      <w:r>
        <w:rPr>
          <w:spacing w:val="-1"/>
          <w:sz w:val="22"/>
        </w:rPr>
        <w:t> </w:t>
      </w:r>
      <w:r>
        <w:rPr>
          <w:i/>
          <w:sz w:val="22"/>
        </w:rPr>
        <w:t>Electricity</w:t>
      </w:r>
      <w:r>
        <w:rPr>
          <w:i/>
          <w:spacing w:val="-2"/>
          <w:sz w:val="22"/>
        </w:rPr>
        <w:t> </w:t>
      </w:r>
      <w:r>
        <w:rPr>
          <w:i/>
          <w:sz w:val="22"/>
        </w:rPr>
        <w:t>Safety</w:t>
      </w:r>
      <w:r>
        <w:rPr>
          <w:i/>
          <w:spacing w:val="-3"/>
          <w:sz w:val="22"/>
        </w:rPr>
        <w:t> </w:t>
      </w:r>
      <w:r>
        <w:rPr>
          <w:i/>
          <w:sz w:val="22"/>
        </w:rPr>
        <w:t>(Bushfire</w:t>
      </w:r>
      <w:r>
        <w:rPr>
          <w:i/>
          <w:spacing w:val="-4"/>
          <w:sz w:val="22"/>
        </w:rPr>
        <w:t> </w:t>
      </w:r>
      <w:r>
        <w:rPr>
          <w:i/>
          <w:sz w:val="22"/>
        </w:rPr>
        <w:t>Mitigation)</w:t>
      </w:r>
    </w:p>
    <w:p>
      <w:pPr>
        <w:spacing w:after="0" w:line="288" w:lineRule="auto"/>
        <w:jc w:val="left"/>
        <w:rPr>
          <w:sz w:val="22"/>
        </w:rPr>
        <w:sectPr>
          <w:pgSz w:w="11910" w:h="16850"/>
          <w:pgMar w:header="220" w:footer="678" w:top="420" w:bottom="860" w:left="900" w:right="840"/>
        </w:sectPr>
      </w:pPr>
    </w:p>
    <w:p>
      <w:pPr>
        <w:pStyle w:val="BodyText"/>
        <w:rPr>
          <w:i/>
          <w:sz w:val="20"/>
        </w:rPr>
      </w:pPr>
    </w:p>
    <w:p>
      <w:pPr>
        <w:pStyle w:val="BodyText"/>
        <w:spacing w:before="2"/>
        <w:rPr>
          <w:i/>
          <w:sz w:val="19"/>
        </w:rPr>
      </w:pPr>
    </w:p>
    <w:p>
      <w:pPr>
        <w:pStyle w:val="BodyText"/>
        <w:spacing w:line="288" w:lineRule="auto" w:before="94"/>
        <w:ind w:left="232" w:right="374"/>
      </w:pPr>
      <w:r>
        <w:rPr>
          <w:i/>
        </w:rPr>
        <w:t>Regulations</w:t>
      </w:r>
      <w:r>
        <w:rPr>
          <w:i/>
          <w:spacing w:val="-3"/>
        </w:rPr>
        <w:t> </w:t>
      </w:r>
      <w:r>
        <w:rPr>
          <w:i/>
        </w:rPr>
        <w:t>2013</w:t>
      </w:r>
      <w:r>
        <w:rPr>
          <w:i/>
          <w:spacing w:val="-5"/>
        </w:rPr>
        <w:t> </w:t>
      </w:r>
      <w:r>
        <w:rPr/>
        <w:t>make</w:t>
      </w:r>
      <w:r>
        <w:rPr>
          <w:spacing w:val="-5"/>
        </w:rPr>
        <w:t> </w:t>
      </w:r>
      <w:r>
        <w:rPr/>
        <w:t>provision</w:t>
      </w:r>
      <w:r>
        <w:rPr>
          <w:spacing w:val="-3"/>
        </w:rPr>
        <w:t> </w:t>
      </w:r>
      <w:r>
        <w:rPr/>
        <w:t>for preparing bushfire</w:t>
      </w:r>
      <w:r>
        <w:rPr>
          <w:spacing w:val="-5"/>
        </w:rPr>
        <w:t> </w:t>
      </w:r>
      <w:r>
        <w:rPr/>
        <w:t>mitigation</w:t>
      </w:r>
      <w:r>
        <w:rPr>
          <w:spacing w:val="-5"/>
        </w:rPr>
        <w:t> </w:t>
      </w:r>
      <w:r>
        <w:rPr/>
        <w:t>plans</w:t>
      </w:r>
      <w:r>
        <w:rPr>
          <w:spacing w:val="-2"/>
        </w:rPr>
        <w:t> </w:t>
      </w:r>
      <w:r>
        <w:rPr/>
        <w:t>and</w:t>
      </w:r>
      <w:r>
        <w:rPr>
          <w:spacing w:val="-5"/>
        </w:rPr>
        <w:t> </w:t>
      </w:r>
      <w:r>
        <w:rPr/>
        <w:t>for</w:t>
      </w:r>
      <w:r>
        <w:rPr>
          <w:spacing w:val="-2"/>
        </w:rPr>
        <w:t> </w:t>
      </w:r>
      <w:r>
        <w:rPr/>
        <w:t>inspecting overhead electric lines and supply networks.</w:t>
      </w:r>
    </w:p>
    <w:p>
      <w:pPr>
        <w:pStyle w:val="BodyText"/>
        <w:spacing w:before="10"/>
        <w:rPr>
          <w:sz w:val="20"/>
        </w:rPr>
      </w:pPr>
    </w:p>
    <w:p>
      <w:pPr>
        <w:pStyle w:val="BodyText"/>
        <w:spacing w:line="288" w:lineRule="auto" w:before="1"/>
        <w:ind w:left="232" w:right="408"/>
      </w:pPr>
      <w:r>
        <w:rPr/>
        <w:t>Each</w:t>
      </w:r>
      <w:r>
        <w:rPr>
          <w:spacing w:val="-1"/>
        </w:rPr>
        <w:t> </w:t>
      </w:r>
      <w:r>
        <w:rPr/>
        <w:t>bushfire</w:t>
      </w:r>
      <w:r>
        <w:rPr>
          <w:spacing w:val="-6"/>
        </w:rPr>
        <w:t> </w:t>
      </w:r>
      <w:r>
        <w:rPr/>
        <w:t>mitigation</w:t>
      </w:r>
      <w:r>
        <w:rPr>
          <w:spacing w:val="-4"/>
        </w:rPr>
        <w:t> </w:t>
      </w:r>
      <w:r>
        <w:rPr/>
        <w:t>plan is</w:t>
      </w:r>
      <w:r>
        <w:rPr>
          <w:spacing w:val="-1"/>
        </w:rPr>
        <w:t> </w:t>
      </w:r>
      <w:r>
        <w:rPr/>
        <w:t>required</w:t>
      </w:r>
      <w:r>
        <w:rPr>
          <w:spacing w:val="-4"/>
        </w:rPr>
        <w:t> </w:t>
      </w:r>
      <w:r>
        <w:rPr/>
        <w:t>to</w:t>
      </w:r>
      <w:r>
        <w:rPr>
          <w:spacing w:val="-4"/>
        </w:rPr>
        <w:t> </w:t>
      </w:r>
      <w:r>
        <w:rPr/>
        <w:t>set out how</w:t>
      </w:r>
      <w:r>
        <w:rPr>
          <w:spacing w:val="-5"/>
        </w:rPr>
        <w:t> </w:t>
      </w:r>
      <w:r>
        <w:rPr/>
        <w:t>the</w:t>
      </w:r>
      <w:r>
        <w:rPr>
          <w:spacing w:val="-4"/>
        </w:rPr>
        <w:t> </w:t>
      </w:r>
      <w:r>
        <w:rPr/>
        <w:t>company</w:t>
      </w:r>
      <w:r>
        <w:rPr>
          <w:spacing w:val="-4"/>
        </w:rPr>
        <w:t> </w:t>
      </w:r>
      <w:r>
        <w:rPr/>
        <w:t>will manage</w:t>
      </w:r>
      <w:r>
        <w:rPr>
          <w:spacing w:val="-4"/>
        </w:rPr>
        <w:t> </w:t>
      </w:r>
      <w:r>
        <w:rPr/>
        <w:t>the</w:t>
      </w:r>
      <w:r>
        <w:rPr>
          <w:spacing w:val="-2"/>
        </w:rPr>
        <w:t> </w:t>
      </w:r>
      <w:r>
        <w:rPr/>
        <w:t>bushfire</w:t>
      </w:r>
      <w:r>
        <w:rPr>
          <w:spacing w:val="-4"/>
        </w:rPr>
        <w:t> </w:t>
      </w:r>
      <w:r>
        <w:rPr/>
        <w:t>risk presented by its networks. These plans, and the safety management scheme of which bushfire mitigation plans are a part, must be accepted by ESV as a condition of network operation.</w:t>
      </w:r>
    </w:p>
    <w:p>
      <w:pPr>
        <w:pStyle w:val="BodyText"/>
        <w:spacing w:before="8"/>
        <w:rPr>
          <w:sz w:val="20"/>
        </w:rPr>
      </w:pPr>
    </w:p>
    <w:p>
      <w:pPr>
        <w:pStyle w:val="BodyText"/>
        <w:spacing w:line="288" w:lineRule="auto"/>
        <w:ind w:left="232"/>
      </w:pPr>
      <w:r>
        <w:rPr/>
        <w:t>Bushfire</w:t>
      </w:r>
      <w:r>
        <w:rPr>
          <w:spacing w:val="-4"/>
        </w:rPr>
        <w:t> </w:t>
      </w:r>
      <w:r>
        <w:rPr/>
        <w:t>mitigation</w:t>
      </w:r>
      <w:r>
        <w:rPr>
          <w:spacing w:val="-2"/>
        </w:rPr>
        <w:t> </w:t>
      </w:r>
      <w:r>
        <w:rPr/>
        <w:t>plans</w:t>
      </w:r>
      <w:r>
        <w:rPr>
          <w:spacing w:val="-4"/>
        </w:rPr>
        <w:t> </w:t>
      </w:r>
      <w:r>
        <w:rPr/>
        <w:t>provide</w:t>
      </w:r>
      <w:r>
        <w:rPr>
          <w:spacing w:val="-2"/>
        </w:rPr>
        <w:t> </w:t>
      </w:r>
      <w:r>
        <w:rPr/>
        <w:t>a</w:t>
      </w:r>
      <w:r>
        <w:rPr>
          <w:spacing w:val="-4"/>
        </w:rPr>
        <w:t> </w:t>
      </w:r>
      <w:r>
        <w:rPr/>
        <w:t>means</w:t>
      </w:r>
      <w:r>
        <w:rPr>
          <w:spacing w:val="-4"/>
        </w:rPr>
        <w:t> </w:t>
      </w:r>
      <w:r>
        <w:rPr/>
        <w:t>for</w:t>
      </w:r>
      <w:r>
        <w:rPr>
          <w:spacing w:val="-3"/>
        </w:rPr>
        <w:t> </w:t>
      </w:r>
      <w:r>
        <w:rPr/>
        <w:t>businesses</w:t>
      </w:r>
      <w:r>
        <w:rPr>
          <w:spacing w:val="-2"/>
        </w:rPr>
        <w:t> </w:t>
      </w:r>
      <w:r>
        <w:rPr/>
        <w:t>to</w:t>
      </w:r>
      <w:r>
        <w:rPr>
          <w:spacing w:val="-4"/>
        </w:rPr>
        <w:t> </w:t>
      </w:r>
      <w:r>
        <w:rPr/>
        <w:t>demonstrate</w:t>
      </w:r>
      <w:r>
        <w:rPr>
          <w:spacing w:val="-4"/>
        </w:rPr>
        <w:t> </w:t>
      </w:r>
      <w:r>
        <w:rPr/>
        <w:t>to</w:t>
      </w:r>
      <w:r>
        <w:rPr>
          <w:spacing w:val="-2"/>
        </w:rPr>
        <w:t> </w:t>
      </w:r>
      <w:r>
        <w:rPr/>
        <w:t>ESV</w:t>
      </w:r>
      <w:r>
        <w:rPr>
          <w:spacing w:val="-2"/>
        </w:rPr>
        <w:t> </w:t>
      </w:r>
      <w:r>
        <w:rPr/>
        <w:t>how</w:t>
      </w:r>
      <w:r>
        <w:rPr>
          <w:spacing w:val="-5"/>
        </w:rPr>
        <w:t> </w:t>
      </w:r>
      <w:r>
        <w:rPr/>
        <w:t>they</w:t>
      </w:r>
      <w:r>
        <w:rPr>
          <w:spacing w:val="-4"/>
        </w:rPr>
        <w:t> </w:t>
      </w:r>
      <w:r>
        <w:rPr/>
        <w:t>will undertake capital improvements to improve network bushfire safety.</w:t>
      </w:r>
    </w:p>
    <w:p>
      <w:pPr>
        <w:pStyle w:val="BodyText"/>
        <w:spacing w:before="10"/>
        <w:rPr>
          <w:sz w:val="20"/>
        </w:rPr>
      </w:pPr>
    </w:p>
    <w:p>
      <w:pPr>
        <w:pStyle w:val="Heading8"/>
        <w:spacing w:before="1"/>
        <w:ind w:left="232"/>
      </w:pPr>
      <w:r>
        <w:rPr/>
        <w:t>Electricity</w:t>
      </w:r>
      <w:r>
        <w:rPr>
          <w:spacing w:val="-10"/>
        </w:rPr>
        <w:t> </w:t>
      </w:r>
      <w:r>
        <w:rPr/>
        <w:t>Safety</w:t>
      </w:r>
      <w:r>
        <w:rPr>
          <w:spacing w:val="-11"/>
        </w:rPr>
        <w:t> </w:t>
      </w:r>
      <w:r>
        <w:rPr/>
        <w:t>(Installation)</w:t>
      </w:r>
      <w:r>
        <w:rPr>
          <w:spacing w:val="-10"/>
        </w:rPr>
        <w:t> </w:t>
      </w:r>
      <w:r>
        <w:rPr/>
        <w:t>Regulations</w:t>
      </w:r>
      <w:r>
        <w:rPr>
          <w:spacing w:val="-11"/>
        </w:rPr>
        <w:t> </w:t>
      </w:r>
      <w:r>
        <w:rPr>
          <w:spacing w:val="-4"/>
        </w:rPr>
        <w:t>2009</w:t>
      </w:r>
    </w:p>
    <w:p>
      <w:pPr>
        <w:pStyle w:val="BodyText"/>
        <w:spacing w:line="288" w:lineRule="auto" w:before="171"/>
        <w:ind w:left="232" w:right="320"/>
      </w:pPr>
      <w:r>
        <w:rPr/>
        <w:t>The</w:t>
      </w:r>
      <w:r>
        <w:rPr>
          <w:spacing w:val="-5"/>
        </w:rPr>
        <w:t> </w:t>
      </w:r>
      <w:r>
        <w:rPr>
          <w:i/>
        </w:rPr>
        <w:t>Electricity</w:t>
      </w:r>
      <w:r>
        <w:rPr>
          <w:i/>
          <w:spacing w:val="-5"/>
        </w:rPr>
        <w:t> </w:t>
      </w:r>
      <w:r>
        <w:rPr>
          <w:i/>
        </w:rPr>
        <w:t>Safety</w:t>
      </w:r>
      <w:r>
        <w:rPr>
          <w:i/>
          <w:spacing w:val="-5"/>
        </w:rPr>
        <w:t> </w:t>
      </w:r>
      <w:r>
        <w:rPr>
          <w:i/>
        </w:rPr>
        <w:t>(Installation)</w:t>
      </w:r>
      <w:r>
        <w:rPr>
          <w:i/>
          <w:spacing w:val="-2"/>
        </w:rPr>
        <w:t> </w:t>
      </w:r>
      <w:r>
        <w:rPr>
          <w:i/>
        </w:rPr>
        <w:t>Regulations</w:t>
      </w:r>
      <w:r>
        <w:rPr>
          <w:i/>
          <w:spacing w:val="-5"/>
        </w:rPr>
        <w:t> </w:t>
      </w:r>
      <w:r>
        <w:rPr>
          <w:i/>
        </w:rPr>
        <w:t>2009 </w:t>
      </w:r>
      <w:r>
        <w:rPr/>
        <w:t>prescribe</w:t>
      </w:r>
      <w:r>
        <w:rPr>
          <w:spacing w:val="-5"/>
        </w:rPr>
        <w:t> </w:t>
      </w:r>
      <w:r>
        <w:rPr/>
        <w:t>the</w:t>
      </w:r>
      <w:r>
        <w:rPr>
          <w:spacing w:val="-5"/>
        </w:rPr>
        <w:t> </w:t>
      </w:r>
      <w:r>
        <w:rPr/>
        <w:t>methods</w:t>
      </w:r>
      <w:r>
        <w:rPr>
          <w:spacing w:val="-3"/>
        </w:rPr>
        <w:t> </w:t>
      </w:r>
      <w:r>
        <w:rPr/>
        <w:t>and</w:t>
      </w:r>
      <w:r>
        <w:rPr>
          <w:spacing w:val="-5"/>
        </w:rPr>
        <w:t> </w:t>
      </w:r>
      <w:r>
        <w:rPr/>
        <w:t>materials</w:t>
      </w:r>
      <w:r>
        <w:rPr>
          <w:spacing w:val="-2"/>
        </w:rPr>
        <w:t> </w:t>
      </w:r>
      <w:r>
        <w:rPr/>
        <w:t>required in electrical installations; the standards for the design, construction, operation and maintenance of electrical installations; and provide for the protection of persons from risk, and property from damage, associated with the generation, transmission, distribution and use of electricity. These regulations establish minimum standards required to be met by electric line workers in addition to other occupational safety and health requirements.</w:t>
      </w:r>
    </w:p>
    <w:p>
      <w:pPr>
        <w:pStyle w:val="BodyText"/>
        <w:spacing w:before="11"/>
        <w:rPr>
          <w:sz w:val="20"/>
        </w:rPr>
      </w:pPr>
    </w:p>
    <w:p>
      <w:pPr>
        <w:spacing w:line="288" w:lineRule="auto" w:before="0"/>
        <w:ind w:left="232" w:right="320" w:firstLine="0"/>
        <w:jc w:val="left"/>
        <w:rPr>
          <w:sz w:val="22"/>
        </w:rPr>
      </w:pPr>
      <w:r>
        <w:rPr>
          <w:sz w:val="22"/>
        </w:rPr>
        <w:t>A </w:t>
      </w:r>
      <w:r>
        <w:rPr>
          <w:i/>
          <w:sz w:val="22"/>
        </w:rPr>
        <w:t>Code of Practice on Electrical Safety for Work on or Near High Voltage Electrical Apparatus </w:t>
      </w:r>
      <w:r>
        <w:rPr>
          <w:sz w:val="22"/>
        </w:rPr>
        <w:t>(2012)</w:t>
      </w:r>
      <w:r>
        <w:rPr>
          <w:spacing w:val="-6"/>
          <w:sz w:val="22"/>
        </w:rPr>
        <w:t> </w:t>
      </w:r>
      <w:r>
        <w:rPr>
          <w:sz w:val="22"/>
        </w:rPr>
        <w:t>facilitates</w:t>
      </w:r>
      <w:r>
        <w:rPr>
          <w:spacing w:val="-5"/>
          <w:sz w:val="22"/>
        </w:rPr>
        <w:t> </w:t>
      </w:r>
      <w:r>
        <w:rPr>
          <w:sz w:val="22"/>
        </w:rPr>
        <w:t>the</w:t>
      </w:r>
      <w:r>
        <w:rPr>
          <w:spacing w:val="-5"/>
          <w:sz w:val="22"/>
        </w:rPr>
        <w:t> </w:t>
      </w:r>
      <w:r>
        <w:rPr>
          <w:sz w:val="22"/>
        </w:rPr>
        <w:t>electrical</w:t>
      </w:r>
      <w:r>
        <w:rPr>
          <w:spacing w:val="-4"/>
          <w:sz w:val="22"/>
        </w:rPr>
        <w:t> </w:t>
      </w:r>
      <w:r>
        <w:rPr>
          <w:sz w:val="22"/>
        </w:rPr>
        <w:t>safety</w:t>
      </w:r>
      <w:r>
        <w:rPr>
          <w:spacing w:val="-4"/>
          <w:sz w:val="22"/>
        </w:rPr>
        <w:t> </w:t>
      </w:r>
      <w:r>
        <w:rPr>
          <w:sz w:val="22"/>
        </w:rPr>
        <w:t>of</w:t>
      </w:r>
      <w:r>
        <w:rPr>
          <w:spacing w:val="-1"/>
          <w:sz w:val="22"/>
        </w:rPr>
        <w:t> </w:t>
      </w:r>
      <w:r>
        <w:rPr>
          <w:sz w:val="22"/>
        </w:rPr>
        <w:t>electrical</w:t>
      </w:r>
      <w:r>
        <w:rPr>
          <w:spacing w:val="-6"/>
          <w:sz w:val="22"/>
        </w:rPr>
        <w:t> </w:t>
      </w:r>
      <w:r>
        <w:rPr>
          <w:sz w:val="22"/>
        </w:rPr>
        <w:t>generation,</w:t>
      </w:r>
      <w:r>
        <w:rPr>
          <w:spacing w:val="-4"/>
          <w:sz w:val="22"/>
        </w:rPr>
        <w:t> </w:t>
      </w:r>
      <w:r>
        <w:rPr>
          <w:sz w:val="22"/>
        </w:rPr>
        <w:t>transmission</w:t>
      </w:r>
      <w:r>
        <w:rPr>
          <w:spacing w:val="-3"/>
          <w:sz w:val="22"/>
        </w:rPr>
        <w:t> </w:t>
      </w:r>
      <w:r>
        <w:rPr>
          <w:sz w:val="22"/>
        </w:rPr>
        <w:t>and</w:t>
      </w:r>
      <w:r>
        <w:rPr>
          <w:spacing w:val="-3"/>
          <w:sz w:val="22"/>
        </w:rPr>
        <w:t> </w:t>
      </w:r>
      <w:r>
        <w:rPr>
          <w:sz w:val="22"/>
        </w:rPr>
        <w:t>distribution</w:t>
      </w:r>
      <w:r>
        <w:rPr>
          <w:spacing w:val="-3"/>
          <w:sz w:val="22"/>
        </w:rPr>
        <w:t> </w:t>
      </w:r>
      <w:r>
        <w:rPr>
          <w:sz w:val="22"/>
        </w:rPr>
        <w:t>systems and high voltage electrical installations.</w:t>
      </w:r>
    </w:p>
    <w:p>
      <w:pPr>
        <w:pStyle w:val="BodyText"/>
        <w:spacing w:before="9"/>
        <w:rPr>
          <w:sz w:val="20"/>
        </w:rPr>
      </w:pPr>
    </w:p>
    <w:p>
      <w:pPr>
        <w:pStyle w:val="Heading8"/>
        <w:ind w:left="232"/>
      </w:pPr>
      <w:r>
        <w:rPr/>
        <w:t>Civil</w:t>
      </w:r>
      <w:r>
        <w:rPr>
          <w:spacing w:val="-4"/>
        </w:rPr>
        <w:t> </w:t>
      </w:r>
      <w:r>
        <w:rPr/>
        <w:t>Penalties</w:t>
      </w:r>
      <w:r>
        <w:rPr>
          <w:spacing w:val="-5"/>
        </w:rPr>
        <w:t> </w:t>
      </w:r>
      <w:r>
        <w:rPr>
          <w:spacing w:val="-2"/>
        </w:rPr>
        <w:t>Scheme</w:t>
      </w:r>
    </w:p>
    <w:p>
      <w:pPr>
        <w:spacing w:line="288" w:lineRule="auto" w:before="169"/>
        <w:ind w:left="232" w:right="0" w:firstLine="0"/>
        <w:jc w:val="left"/>
        <w:rPr>
          <w:sz w:val="22"/>
        </w:rPr>
      </w:pPr>
      <w:r>
        <w:rPr>
          <w:sz w:val="22"/>
        </w:rPr>
        <w:t>In</w:t>
      </w:r>
      <w:r>
        <w:rPr>
          <w:spacing w:val="-3"/>
          <w:sz w:val="22"/>
        </w:rPr>
        <w:t> </w:t>
      </w:r>
      <w:r>
        <w:rPr>
          <w:sz w:val="22"/>
        </w:rPr>
        <w:t>May</w:t>
      </w:r>
      <w:r>
        <w:rPr>
          <w:spacing w:val="-5"/>
          <w:sz w:val="22"/>
        </w:rPr>
        <w:t> </w:t>
      </w:r>
      <w:r>
        <w:rPr>
          <w:sz w:val="22"/>
        </w:rPr>
        <w:t>2017,</w:t>
      </w:r>
      <w:r>
        <w:rPr>
          <w:spacing w:val="-1"/>
          <w:sz w:val="22"/>
        </w:rPr>
        <w:t> </w:t>
      </w:r>
      <w:r>
        <w:rPr>
          <w:sz w:val="22"/>
        </w:rPr>
        <w:t>the</w:t>
      </w:r>
      <w:r>
        <w:rPr>
          <w:spacing w:val="-5"/>
          <w:sz w:val="22"/>
        </w:rPr>
        <w:t> </w:t>
      </w:r>
      <w:r>
        <w:rPr>
          <w:sz w:val="22"/>
        </w:rPr>
        <w:t>Victorian</w:t>
      </w:r>
      <w:r>
        <w:rPr>
          <w:spacing w:val="-3"/>
          <w:sz w:val="22"/>
        </w:rPr>
        <w:t> </w:t>
      </w:r>
      <w:r>
        <w:rPr>
          <w:sz w:val="22"/>
        </w:rPr>
        <w:t>Government</w:t>
      </w:r>
      <w:r>
        <w:rPr>
          <w:spacing w:val="-4"/>
          <w:sz w:val="22"/>
        </w:rPr>
        <w:t> </w:t>
      </w:r>
      <w:r>
        <w:rPr>
          <w:sz w:val="22"/>
        </w:rPr>
        <w:t>introduced</w:t>
      </w:r>
      <w:r>
        <w:rPr>
          <w:spacing w:val="-3"/>
          <w:sz w:val="22"/>
        </w:rPr>
        <w:t> </w:t>
      </w:r>
      <w:r>
        <w:rPr>
          <w:sz w:val="22"/>
        </w:rPr>
        <w:t>a civil</w:t>
      </w:r>
      <w:r>
        <w:rPr>
          <w:spacing w:val="-3"/>
          <w:sz w:val="22"/>
        </w:rPr>
        <w:t> </w:t>
      </w:r>
      <w:r>
        <w:rPr>
          <w:sz w:val="22"/>
        </w:rPr>
        <w:t>penalties</w:t>
      </w:r>
      <w:r>
        <w:rPr>
          <w:spacing w:val="-3"/>
          <w:sz w:val="22"/>
        </w:rPr>
        <w:t> </w:t>
      </w:r>
      <w:r>
        <w:rPr>
          <w:sz w:val="22"/>
        </w:rPr>
        <w:t>compliance</w:t>
      </w:r>
      <w:r>
        <w:rPr>
          <w:spacing w:val="-3"/>
          <w:sz w:val="22"/>
        </w:rPr>
        <w:t> </w:t>
      </w:r>
      <w:r>
        <w:rPr>
          <w:sz w:val="22"/>
        </w:rPr>
        <w:t>mechanism</w:t>
      </w:r>
      <w:r>
        <w:rPr>
          <w:spacing w:val="-4"/>
          <w:sz w:val="22"/>
        </w:rPr>
        <w:t> </w:t>
      </w:r>
      <w:r>
        <w:rPr>
          <w:sz w:val="22"/>
        </w:rPr>
        <w:t>into</w:t>
      </w:r>
      <w:r>
        <w:rPr>
          <w:spacing w:val="-5"/>
          <w:sz w:val="22"/>
        </w:rPr>
        <w:t> </w:t>
      </w:r>
      <w:r>
        <w:rPr>
          <w:sz w:val="22"/>
        </w:rPr>
        <w:t>the </w:t>
      </w:r>
      <w:r>
        <w:rPr>
          <w:i/>
          <w:sz w:val="22"/>
        </w:rPr>
        <w:t>Electricity</w:t>
      </w:r>
      <w:r>
        <w:rPr>
          <w:i/>
          <w:spacing w:val="-2"/>
          <w:sz w:val="22"/>
        </w:rPr>
        <w:t> </w:t>
      </w:r>
      <w:r>
        <w:rPr>
          <w:i/>
          <w:sz w:val="22"/>
        </w:rPr>
        <w:t>Safety</w:t>
      </w:r>
      <w:r>
        <w:rPr>
          <w:i/>
          <w:spacing w:val="-4"/>
          <w:sz w:val="22"/>
        </w:rPr>
        <w:t> </w:t>
      </w:r>
      <w:r>
        <w:rPr>
          <w:i/>
          <w:sz w:val="22"/>
        </w:rPr>
        <w:t>Act</w:t>
      </w:r>
      <w:r>
        <w:rPr>
          <w:i/>
          <w:spacing w:val="-1"/>
          <w:sz w:val="22"/>
        </w:rPr>
        <w:t> </w:t>
      </w:r>
      <w:r>
        <w:rPr>
          <w:i/>
          <w:sz w:val="22"/>
        </w:rPr>
        <w:t>1998</w:t>
      </w:r>
      <w:r>
        <w:rPr>
          <w:i/>
          <w:spacing w:val="-1"/>
          <w:sz w:val="22"/>
        </w:rPr>
        <w:t> </w:t>
      </w:r>
      <w:r>
        <w:rPr>
          <w:sz w:val="22"/>
        </w:rPr>
        <w:t>by</w:t>
      </w:r>
      <w:r>
        <w:rPr>
          <w:spacing w:val="-5"/>
          <w:sz w:val="22"/>
        </w:rPr>
        <w:t> </w:t>
      </w:r>
      <w:r>
        <w:rPr>
          <w:sz w:val="22"/>
        </w:rPr>
        <w:t>the</w:t>
      </w:r>
      <w:r>
        <w:rPr>
          <w:spacing w:val="-2"/>
          <w:sz w:val="22"/>
        </w:rPr>
        <w:t> </w:t>
      </w:r>
      <w:r>
        <w:rPr>
          <w:i/>
          <w:sz w:val="22"/>
        </w:rPr>
        <w:t>Electricity</w:t>
      </w:r>
      <w:r>
        <w:rPr>
          <w:i/>
          <w:spacing w:val="-5"/>
          <w:sz w:val="22"/>
        </w:rPr>
        <w:t> </w:t>
      </w:r>
      <w:r>
        <w:rPr>
          <w:i/>
          <w:sz w:val="22"/>
        </w:rPr>
        <w:t>Safety</w:t>
      </w:r>
      <w:r>
        <w:rPr>
          <w:i/>
          <w:spacing w:val="-2"/>
          <w:sz w:val="22"/>
        </w:rPr>
        <w:t> </w:t>
      </w:r>
      <w:r>
        <w:rPr>
          <w:i/>
          <w:sz w:val="22"/>
        </w:rPr>
        <w:t>(Bushfire</w:t>
      </w:r>
      <w:r>
        <w:rPr>
          <w:i/>
          <w:spacing w:val="-3"/>
          <w:sz w:val="22"/>
        </w:rPr>
        <w:t> </w:t>
      </w:r>
      <w:r>
        <w:rPr>
          <w:i/>
          <w:sz w:val="22"/>
        </w:rPr>
        <w:t>Mitigation</w:t>
      </w:r>
      <w:r>
        <w:rPr>
          <w:i/>
          <w:spacing w:val="-5"/>
          <w:sz w:val="22"/>
        </w:rPr>
        <w:t> </w:t>
      </w:r>
      <w:r>
        <w:rPr>
          <w:i/>
          <w:sz w:val="22"/>
        </w:rPr>
        <w:t>Civil</w:t>
      </w:r>
      <w:r>
        <w:rPr>
          <w:i/>
          <w:spacing w:val="-3"/>
          <w:sz w:val="22"/>
        </w:rPr>
        <w:t> </w:t>
      </w:r>
      <w:r>
        <w:rPr>
          <w:i/>
          <w:sz w:val="22"/>
        </w:rPr>
        <w:t>Penalties</w:t>
      </w:r>
      <w:r>
        <w:rPr>
          <w:i/>
          <w:spacing w:val="-3"/>
          <w:sz w:val="22"/>
        </w:rPr>
        <w:t> </w:t>
      </w:r>
      <w:r>
        <w:rPr>
          <w:i/>
          <w:sz w:val="22"/>
        </w:rPr>
        <w:t>Scheme) Act 2017</w:t>
      </w:r>
      <w:r>
        <w:rPr>
          <w:sz w:val="22"/>
        </w:rPr>
        <w:t>. This mechanism allows ESV or the Minister to commence a civil proceeding against an electricity distribution businesses if they fail to comply with the civil penalty provisions.</w:t>
      </w:r>
    </w:p>
    <w:p>
      <w:pPr>
        <w:pStyle w:val="BodyText"/>
        <w:spacing w:before="11"/>
        <w:rPr>
          <w:sz w:val="20"/>
        </w:rPr>
      </w:pPr>
    </w:p>
    <w:p>
      <w:pPr>
        <w:pStyle w:val="BodyText"/>
        <w:spacing w:line="288" w:lineRule="auto"/>
        <w:ind w:left="232" w:right="374"/>
      </w:pPr>
      <w:r>
        <w:rPr/>
        <w:t>The civil penalties regime requires electricity network businesses to deliver heightened powerline fault detection and suppression capabilities by installing new capital infrastructure over a seven- year period concluding in 2023. In addition, electricity distribution businesses must replace bare- wire</w:t>
      </w:r>
      <w:r>
        <w:rPr>
          <w:spacing w:val="-3"/>
        </w:rPr>
        <w:t> </w:t>
      </w:r>
      <w:r>
        <w:rPr/>
        <w:t>powerline</w:t>
      </w:r>
      <w:r>
        <w:rPr>
          <w:spacing w:val="-3"/>
        </w:rPr>
        <w:t> </w:t>
      </w:r>
      <w:r>
        <w:rPr/>
        <w:t>conductors</w:t>
      </w:r>
      <w:r>
        <w:rPr>
          <w:spacing w:val="-2"/>
        </w:rPr>
        <w:t> </w:t>
      </w:r>
      <w:r>
        <w:rPr/>
        <w:t>with</w:t>
      </w:r>
      <w:r>
        <w:rPr>
          <w:spacing w:val="-3"/>
        </w:rPr>
        <w:t> </w:t>
      </w:r>
      <w:r>
        <w:rPr/>
        <w:t>covered</w:t>
      </w:r>
      <w:r>
        <w:rPr>
          <w:spacing w:val="-3"/>
        </w:rPr>
        <w:t> </w:t>
      </w:r>
      <w:r>
        <w:rPr/>
        <w:t>conductors</w:t>
      </w:r>
      <w:r>
        <w:rPr>
          <w:spacing w:val="-2"/>
        </w:rPr>
        <w:t> </w:t>
      </w:r>
      <w:r>
        <w:rPr/>
        <w:t>or</w:t>
      </w:r>
      <w:r>
        <w:rPr>
          <w:spacing w:val="-4"/>
        </w:rPr>
        <w:t> </w:t>
      </w:r>
      <w:r>
        <w:rPr/>
        <w:t>underground</w:t>
      </w:r>
      <w:r>
        <w:rPr>
          <w:spacing w:val="-3"/>
        </w:rPr>
        <w:t> </w:t>
      </w:r>
      <w:r>
        <w:rPr/>
        <w:t>powerlines</w:t>
      </w:r>
      <w:r>
        <w:rPr>
          <w:spacing w:val="-2"/>
        </w:rPr>
        <w:t> </w:t>
      </w:r>
      <w:r>
        <w:rPr/>
        <w:t>in</w:t>
      </w:r>
      <w:r>
        <w:rPr>
          <w:spacing w:val="-3"/>
        </w:rPr>
        <w:t> </w:t>
      </w:r>
      <w:r>
        <w:rPr/>
        <w:t>designated</w:t>
      </w:r>
      <w:r>
        <w:rPr>
          <w:spacing w:val="-5"/>
        </w:rPr>
        <w:t> </w:t>
      </w:r>
      <w:r>
        <w:rPr/>
        <w:t>high consequence bushfire areas.</w:t>
      </w:r>
    </w:p>
    <w:p>
      <w:pPr>
        <w:pStyle w:val="BodyText"/>
        <w:rPr>
          <w:sz w:val="21"/>
        </w:rPr>
      </w:pPr>
    </w:p>
    <w:p>
      <w:pPr>
        <w:pStyle w:val="BodyText"/>
        <w:spacing w:line="288" w:lineRule="auto"/>
        <w:ind w:left="232"/>
      </w:pPr>
      <w:r>
        <w:rPr/>
        <w:t>The</w:t>
      </w:r>
      <w:r>
        <w:rPr>
          <w:spacing w:val="-4"/>
        </w:rPr>
        <w:t> </w:t>
      </w:r>
      <w:r>
        <w:rPr/>
        <w:t>electricity</w:t>
      </w:r>
      <w:r>
        <w:rPr>
          <w:spacing w:val="-4"/>
        </w:rPr>
        <w:t> </w:t>
      </w:r>
      <w:r>
        <w:rPr/>
        <w:t>distribution</w:t>
      </w:r>
      <w:r>
        <w:rPr>
          <w:spacing w:val="-2"/>
        </w:rPr>
        <w:t> </w:t>
      </w:r>
      <w:r>
        <w:rPr/>
        <w:t>businesses</w:t>
      </w:r>
      <w:r>
        <w:rPr>
          <w:spacing w:val="-2"/>
        </w:rPr>
        <w:t> </w:t>
      </w:r>
      <w:r>
        <w:rPr/>
        <w:t>will</w:t>
      </w:r>
      <w:r>
        <w:rPr>
          <w:spacing w:val="-2"/>
        </w:rPr>
        <w:t> </w:t>
      </w:r>
      <w:r>
        <w:rPr/>
        <w:t>face</w:t>
      </w:r>
      <w:r>
        <w:rPr>
          <w:spacing w:val="-7"/>
        </w:rPr>
        <w:t> </w:t>
      </w:r>
      <w:r>
        <w:rPr/>
        <w:t>financial</w:t>
      </w:r>
      <w:r>
        <w:rPr>
          <w:spacing w:val="-3"/>
        </w:rPr>
        <w:t> </w:t>
      </w:r>
      <w:r>
        <w:rPr/>
        <w:t>penalties</w:t>
      </w:r>
      <w:r>
        <w:rPr>
          <w:spacing w:val="-2"/>
        </w:rPr>
        <w:t> </w:t>
      </w:r>
      <w:r>
        <w:rPr/>
        <w:t>if they</w:t>
      </w:r>
      <w:r>
        <w:rPr>
          <w:spacing w:val="-6"/>
        </w:rPr>
        <w:t> </w:t>
      </w:r>
      <w:r>
        <w:rPr/>
        <w:t>fail</w:t>
      </w:r>
      <w:r>
        <w:rPr>
          <w:spacing w:val="-2"/>
        </w:rPr>
        <w:t> </w:t>
      </w:r>
      <w:r>
        <w:rPr/>
        <w:t>to</w:t>
      </w:r>
      <w:r>
        <w:rPr>
          <w:spacing w:val="-4"/>
        </w:rPr>
        <w:t> </w:t>
      </w:r>
      <w:r>
        <w:rPr/>
        <w:t>meet</w:t>
      </w:r>
      <w:r>
        <w:rPr>
          <w:spacing w:val="-3"/>
        </w:rPr>
        <w:t> </w:t>
      </w:r>
      <w:r>
        <w:rPr/>
        <w:t>the</w:t>
      </w:r>
      <w:r>
        <w:rPr>
          <w:spacing w:val="-4"/>
        </w:rPr>
        <w:t> </w:t>
      </w:r>
      <w:r>
        <w:rPr/>
        <w:t>prescribed </w:t>
      </w:r>
      <w:r>
        <w:rPr>
          <w:spacing w:val="-2"/>
        </w:rPr>
        <w:t>requirements.</w:t>
      </w:r>
    </w:p>
    <w:p>
      <w:pPr>
        <w:pStyle w:val="BodyText"/>
        <w:spacing w:before="10"/>
        <w:rPr>
          <w:sz w:val="20"/>
        </w:rPr>
      </w:pPr>
    </w:p>
    <w:p>
      <w:pPr>
        <w:pStyle w:val="Heading8"/>
        <w:ind w:left="232"/>
      </w:pPr>
      <w:r>
        <w:rPr/>
        <w:t>Electricity</w:t>
      </w:r>
      <w:r>
        <w:rPr>
          <w:spacing w:val="-8"/>
        </w:rPr>
        <w:t> </w:t>
      </w:r>
      <w:r>
        <w:rPr/>
        <w:t>Industry</w:t>
      </w:r>
      <w:r>
        <w:rPr>
          <w:spacing w:val="-5"/>
        </w:rPr>
        <w:t> </w:t>
      </w:r>
      <w:r>
        <w:rPr/>
        <w:t>Act</w:t>
      </w:r>
      <w:r>
        <w:rPr>
          <w:spacing w:val="-6"/>
        </w:rPr>
        <w:t> </w:t>
      </w:r>
      <w:r>
        <w:rPr>
          <w:spacing w:val="-4"/>
        </w:rPr>
        <w:t>2000</w:t>
      </w:r>
    </w:p>
    <w:p>
      <w:pPr>
        <w:pStyle w:val="BodyText"/>
        <w:spacing w:line="288" w:lineRule="auto" w:before="170"/>
        <w:ind w:left="232" w:right="408"/>
      </w:pPr>
      <w:r>
        <w:rPr/>
        <w:t>The </w:t>
      </w:r>
      <w:r>
        <w:rPr>
          <w:i/>
        </w:rPr>
        <w:t>Electricity Industry Act 2000 </w:t>
      </w:r>
      <w:r>
        <w:rPr/>
        <w:t>regulates the Victorian electricity supply industry. It requires persons</w:t>
      </w:r>
      <w:r>
        <w:rPr>
          <w:spacing w:val="-1"/>
        </w:rPr>
        <w:t> </w:t>
      </w:r>
      <w:r>
        <w:rPr/>
        <w:t>who</w:t>
      </w:r>
      <w:r>
        <w:rPr>
          <w:spacing w:val="-4"/>
        </w:rPr>
        <w:t> </w:t>
      </w:r>
      <w:r>
        <w:rPr/>
        <w:t>generate,</w:t>
      </w:r>
      <w:r>
        <w:rPr>
          <w:spacing w:val="-3"/>
        </w:rPr>
        <w:t> </w:t>
      </w:r>
      <w:r>
        <w:rPr/>
        <w:t>transmit, distribute, supply</w:t>
      </w:r>
      <w:r>
        <w:rPr>
          <w:spacing w:val="-4"/>
        </w:rPr>
        <w:t> </w:t>
      </w:r>
      <w:r>
        <w:rPr/>
        <w:t>or</w:t>
      </w:r>
      <w:r>
        <w:rPr>
          <w:spacing w:val="-3"/>
        </w:rPr>
        <w:t> </w:t>
      </w:r>
      <w:r>
        <w:rPr/>
        <w:t>sell electricity</w:t>
      </w:r>
      <w:r>
        <w:rPr>
          <w:spacing w:val="-6"/>
        </w:rPr>
        <w:t> </w:t>
      </w:r>
      <w:r>
        <w:rPr/>
        <w:t>to</w:t>
      </w:r>
      <w:r>
        <w:rPr>
          <w:spacing w:val="-2"/>
        </w:rPr>
        <w:t> </w:t>
      </w:r>
      <w:r>
        <w:rPr/>
        <w:t>obtain</w:t>
      </w:r>
      <w:r>
        <w:rPr>
          <w:spacing w:val="-2"/>
        </w:rPr>
        <w:t> </w:t>
      </w:r>
      <w:r>
        <w:rPr/>
        <w:t>a</w:t>
      </w:r>
      <w:r>
        <w:rPr>
          <w:spacing w:val="-1"/>
        </w:rPr>
        <w:t> </w:t>
      </w:r>
      <w:r>
        <w:rPr/>
        <w:t>licence</w:t>
      </w:r>
      <w:r>
        <w:rPr>
          <w:spacing w:val="-4"/>
        </w:rPr>
        <w:t> </w:t>
      </w:r>
      <w:r>
        <w:rPr/>
        <w:t>from</w:t>
      </w:r>
      <w:r>
        <w:rPr>
          <w:spacing w:val="-3"/>
        </w:rPr>
        <w:t> </w:t>
      </w:r>
      <w:r>
        <w:rPr/>
        <w:t>the Essential Services Commission of Victoria (ESC), or a licence exemption.</w:t>
      </w:r>
    </w:p>
    <w:p>
      <w:pPr>
        <w:pStyle w:val="BodyText"/>
        <w:spacing w:before="11"/>
        <w:rPr>
          <w:sz w:val="20"/>
        </w:rPr>
      </w:pPr>
    </w:p>
    <w:p>
      <w:pPr>
        <w:pStyle w:val="BodyText"/>
        <w:spacing w:line="288" w:lineRule="auto"/>
        <w:ind w:left="232" w:right="408"/>
      </w:pPr>
      <w:r>
        <w:rPr/>
        <w:t>The ESC administers the </w:t>
      </w:r>
      <w:r>
        <w:rPr>
          <w:i/>
        </w:rPr>
        <w:t>Electricity Distribution Code, </w:t>
      </w:r>
      <w:r>
        <w:rPr/>
        <w:t>which sets out how licenced electricity network</w:t>
      </w:r>
      <w:r>
        <w:rPr>
          <w:spacing w:val="-2"/>
        </w:rPr>
        <w:t> </w:t>
      </w:r>
      <w:r>
        <w:rPr/>
        <w:t>businesses</w:t>
      </w:r>
      <w:r>
        <w:rPr>
          <w:spacing w:val="-2"/>
        </w:rPr>
        <w:t> </w:t>
      </w:r>
      <w:r>
        <w:rPr/>
        <w:t>operate</w:t>
      </w:r>
      <w:r>
        <w:rPr>
          <w:spacing w:val="-4"/>
        </w:rPr>
        <w:t> </w:t>
      </w:r>
      <w:r>
        <w:rPr/>
        <w:t>their</w:t>
      </w:r>
      <w:r>
        <w:rPr>
          <w:spacing w:val="-2"/>
        </w:rPr>
        <w:t> </w:t>
      </w:r>
      <w:r>
        <w:rPr/>
        <w:t>network</w:t>
      </w:r>
      <w:r>
        <w:rPr>
          <w:spacing w:val="-2"/>
        </w:rPr>
        <w:t> </w:t>
      </w:r>
      <w:r>
        <w:rPr/>
        <w:t>in</w:t>
      </w:r>
      <w:r>
        <w:rPr>
          <w:spacing w:val="-3"/>
        </w:rPr>
        <w:t> </w:t>
      </w:r>
      <w:r>
        <w:rPr/>
        <w:t>a</w:t>
      </w:r>
      <w:r>
        <w:rPr>
          <w:spacing w:val="-3"/>
        </w:rPr>
        <w:t> </w:t>
      </w:r>
      <w:r>
        <w:rPr/>
        <w:t>safe,</w:t>
      </w:r>
      <w:r>
        <w:rPr>
          <w:spacing w:val="-2"/>
        </w:rPr>
        <w:t> </w:t>
      </w:r>
      <w:r>
        <w:rPr/>
        <w:t>efficient</w:t>
      </w:r>
      <w:r>
        <w:rPr>
          <w:spacing w:val="-4"/>
        </w:rPr>
        <w:t> </w:t>
      </w:r>
      <w:r>
        <w:rPr/>
        <w:t>and</w:t>
      </w:r>
      <w:r>
        <w:rPr>
          <w:spacing w:val="-5"/>
        </w:rPr>
        <w:t> </w:t>
      </w:r>
      <w:r>
        <w:rPr/>
        <w:t>reliable</w:t>
      </w:r>
      <w:r>
        <w:rPr>
          <w:spacing w:val="-3"/>
        </w:rPr>
        <w:t> </w:t>
      </w:r>
      <w:r>
        <w:rPr/>
        <w:t>manner.</w:t>
      </w:r>
      <w:r>
        <w:rPr>
          <w:spacing w:val="-6"/>
        </w:rPr>
        <w:t> </w:t>
      </w:r>
      <w:r>
        <w:rPr/>
        <w:t>This</w:t>
      </w:r>
      <w:r>
        <w:rPr>
          <w:spacing w:val="-2"/>
        </w:rPr>
        <w:t> </w:t>
      </w:r>
      <w:r>
        <w:rPr/>
        <w:t>includes prescribed obligations regarding the quality and reliability of electricity supply.</w:t>
      </w:r>
    </w:p>
    <w:p>
      <w:pPr>
        <w:spacing w:after="0" w:line="288" w:lineRule="auto"/>
        <w:sectPr>
          <w:pgSz w:w="11910" w:h="16850"/>
          <w:pgMar w:header="220" w:footer="678" w:top="420" w:bottom="860" w:left="900" w:right="840"/>
        </w:sectPr>
      </w:pPr>
    </w:p>
    <w:p>
      <w:pPr>
        <w:pStyle w:val="BodyText"/>
        <w:rPr>
          <w:sz w:val="20"/>
        </w:rPr>
      </w:pPr>
    </w:p>
    <w:p>
      <w:pPr>
        <w:pStyle w:val="BodyText"/>
        <w:spacing w:before="4"/>
        <w:rPr>
          <w:sz w:val="19"/>
        </w:rPr>
      </w:pPr>
    </w:p>
    <w:p>
      <w:pPr>
        <w:pStyle w:val="Heading6"/>
        <w:spacing w:before="93"/>
        <w:ind w:left="232"/>
      </w:pPr>
      <w:r>
        <w:rPr>
          <w:spacing w:val="-5"/>
        </w:rPr>
        <w:t>Gas</w:t>
      </w:r>
    </w:p>
    <w:p>
      <w:pPr>
        <w:pStyle w:val="BodyText"/>
        <w:spacing w:line="288" w:lineRule="auto" w:before="174"/>
        <w:ind w:left="232" w:right="346"/>
      </w:pPr>
      <w:r>
        <w:rPr/>
        <w:t>The safety of gas transmission and distribution is regulated through the Gas </w:t>
      </w:r>
      <w:r>
        <w:rPr>
          <w:i/>
        </w:rPr>
        <w:t>Safety Act 1997</w:t>
      </w:r>
      <w:r>
        <w:rPr/>
        <w:t>, the </w:t>
      </w:r>
      <w:r>
        <w:rPr>
          <w:i/>
        </w:rPr>
        <w:t>Pipelines Act 2005 </w:t>
      </w:r>
      <w:r>
        <w:rPr/>
        <w:t>and the corresponding regulations</w:t>
      </w:r>
      <w:r>
        <w:rPr>
          <w:vertAlign w:val="superscript"/>
        </w:rPr>
        <w:t>23</w:t>
      </w:r>
      <w:r>
        <w:rPr>
          <w:vertAlign w:val="baseline"/>
        </w:rPr>
        <w:t>. These Acts and associated regulations stipulate</w:t>
      </w:r>
      <w:r>
        <w:rPr>
          <w:spacing w:val="-1"/>
          <w:vertAlign w:val="baseline"/>
        </w:rPr>
        <w:t> </w:t>
      </w:r>
      <w:r>
        <w:rPr>
          <w:vertAlign w:val="baseline"/>
        </w:rPr>
        <w:t>a</w:t>
      </w:r>
      <w:r>
        <w:rPr>
          <w:spacing w:val="-4"/>
          <w:vertAlign w:val="baseline"/>
        </w:rPr>
        <w:t> </w:t>
      </w:r>
      <w:r>
        <w:rPr>
          <w:vertAlign w:val="baseline"/>
        </w:rPr>
        <w:t>duty</w:t>
      </w:r>
      <w:r>
        <w:rPr>
          <w:spacing w:val="-4"/>
          <w:vertAlign w:val="baseline"/>
        </w:rPr>
        <w:t> </w:t>
      </w:r>
      <w:r>
        <w:rPr>
          <w:vertAlign w:val="baseline"/>
        </w:rPr>
        <w:t>to</w:t>
      </w:r>
      <w:r>
        <w:rPr>
          <w:spacing w:val="-4"/>
          <w:vertAlign w:val="baseline"/>
        </w:rPr>
        <w:t> </w:t>
      </w:r>
      <w:r>
        <w:rPr>
          <w:vertAlign w:val="baseline"/>
        </w:rPr>
        <w:t>protect</w:t>
      </w:r>
      <w:r>
        <w:rPr>
          <w:spacing w:val="-3"/>
          <w:vertAlign w:val="baseline"/>
        </w:rPr>
        <w:t> </w:t>
      </w:r>
      <w:r>
        <w:rPr>
          <w:vertAlign w:val="baseline"/>
        </w:rPr>
        <w:t>the</w:t>
      </w:r>
      <w:r>
        <w:rPr>
          <w:spacing w:val="-2"/>
          <w:vertAlign w:val="baseline"/>
        </w:rPr>
        <w:t> </w:t>
      </w:r>
      <w:r>
        <w:rPr>
          <w:vertAlign w:val="baseline"/>
        </w:rPr>
        <w:t>community, property</w:t>
      </w:r>
      <w:r>
        <w:rPr>
          <w:spacing w:val="-4"/>
          <w:vertAlign w:val="baseline"/>
        </w:rPr>
        <w:t> </w:t>
      </w:r>
      <w:r>
        <w:rPr>
          <w:vertAlign w:val="baseline"/>
        </w:rPr>
        <w:t>and</w:t>
      </w:r>
      <w:r>
        <w:rPr>
          <w:spacing w:val="-2"/>
          <w:vertAlign w:val="baseline"/>
        </w:rPr>
        <w:t> </w:t>
      </w:r>
      <w:r>
        <w:rPr>
          <w:vertAlign w:val="baseline"/>
        </w:rPr>
        <w:t>environment</w:t>
      </w:r>
      <w:r>
        <w:rPr>
          <w:spacing w:val="-3"/>
          <w:vertAlign w:val="baseline"/>
        </w:rPr>
        <w:t> </w:t>
      </w:r>
      <w:r>
        <w:rPr>
          <w:vertAlign w:val="baseline"/>
        </w:rPr>
        <w:t>from</w:t>
      </w:r>
      <w:r>
        <w:rPr>
          <w:spacing w:val="-5"/>
          <w:vertAlign w:val="baseline"/>
        </w:rPr>
        <w:t> </w:t>
      </w:r>
      <w:r>
        <w:rPr>
          <w:vertAlign w:val="baseline"/>
        </w:rPr>
        <w:t>any</w:t>
      </w:r>
      <w:r>
        <w:rPr>
          <w:spacing w:val="-4"/>
          <w:vertAlign w:val="baseline"/>
        </w:rPr>
        <w:t> </w:t>
      </w:r>
      <w:r>
        <w:rPr>
          <w:vertAlign w:val="baseline"/>
        </w:rPr>
        <w:t>risks</w:t>
      </w:r>
      <w:r>
        <w:rPr>
          <w:spacing w:val="-4"/>
          <w:vertAlign w:val="baseline"/>
        </w:rPr>
        <w:t> </w:t>
      </w:r>
      <w:r>
        <w:rPr>
          <w:vertAlign w:val="baseline"/>
        </w:rPr>
        <w:t>arising</w:t>
      </w:r>
      <w:r>
        <w:rPr>
          <w:spacing w:val="-2"/>
          <w:vertAlign w:val="baseline"/>
        </w:rPr>
        <w:t> </w:t>
      </w:r>
      <w:r>
        <w:rPr>
          <w:vertAlign w:val="baseline"/>
        </w:rPr>
        <w:t>from</w:t>
      </w:r>
      <w:r>
        <w:rPr>
          <w:spacing w:val="-3"/>
          <w:vertAlign w:val="baseline"/>
        </w:rPr>
        <w:t> </w:t>
      </w:r>
      <w:r>
        <w:rPr>
          <w:vertAlign w:val="baseline"/>
        </w:rPr>
        <w:t>the conveyance and supply of gas, to take steps to avoid an unreliable supply of gas, and to achieve technical compliance with the relevant Australian Standards. The Australian Standards require the identification of threats and the implementation of control measures so that risks to people, property and the environment are reduced to a level as low as reasonably practicable.</w:t>
      </w:r>
    </w:p>
    <w:p>
      <w:pPr>
        <w:pStyle w:val="BodyText"/>
        <w:spacing w:before="10"/>
        <w:rPr>
          <w:sz w:val="20"/>
        </w:rPr>
      </w:pPr>
    </w:p>
    <w:p>
      <w:pPr>
        <w:pStyle w:val="BodyText"/>
        <w:spacing w:line="288" w:lineRule="auto"/>
        <w:ind w:left="232" w:right="354"/>
      </w:pPr>
      <w:r>
        <w:rPr/>
        <w:t>The </w:t>
      </w:r>
      <w:r>
        <w:rPr>
          <w:i/>
        </w:rPr>
        <w:t>Gas Safety Act 1997 </w:t>
      </w:r>
      <w:r>
        <w:rPr/>
        <w:t>makes provision for the safe conveyance, sale, supply, measurement, control and use of gas and to generally regulate gas safety. The Act is administered by ESV and imposes duties on gas companies to minimise safety risks and to submit a plan (safety case) setting out the company’s safety management policies and procedures relating to gas safety. It is ESV’s responsibility to assess the plan for acceptance and to conduct ongoing audits to ensure that</w:t>
      </w:r>
      <w:r>
        <w:rPr>
          <w:spacing w:val="-3"/>
        </w:rPr>
        <w:t> </w:t>
      </w:r>
      <w:r>
        <w:rPr/>
        <w:t>each</w:t>
      </w:r>
      <w:r>
        <w:rPr>
          <w:spacing w:val="-4"/>
        </w:rPr>
        <w:t> </w:t>
      </w:r>
      <w:r>
        <w:rPr/>
        <w:t>gas</w:t>
      </w:r>
      <w:r>
        <w:rPr>
          <w:spacing w:val="-1"/>
        </w:rPr>
        <w:t> </w:t>
      </w:r>
      <w:r>
        <w:rPr/>
        <w:t>company</w:t>
      </w:r>
      <w:r>
        <w:rPr>
          <w:spacing w:val="-4"/>
        </w:rPr>
        <w:t> </w:t>
      </w:r>
      <w:r>
        <w:rPr/>
        <w:t>complies</w:t>
      </w:r>
      <w:r>
        <w:rPr>
          <w:spacing w:val="-2"/>
        </w:rPr>
        <w:t> </w:t>
      </w:r>
      <w:r>
        <w:rPr/>
        <w:t>with</w:t>
      </w:r>
      <w:r>
        <w:rPr>
          <w:spacing w:val="-2"/>
        </w:rPr>
        <w:t> </w:t>
      </w:r>
      <w:r>
        <w:rPr/>
        <w:t>the</w:t>
      </w:r>
      <w:r>
        <w:rPr>
          <w:spacing w:val="-2"/>
        </w:rPr>
        <w:t> </w:t>
      </w:r>
      <w:r>
        <w:rPr/>
        <w:t>provisions</w:t>
      </w:r>
      <w:r>
        <w:rPr>
          <w:spacing w:val="-2"/>
        </w:rPr>
        <w:t> </w:t>
      </w:r>
      <w:r>
        <w:rPr/>
        <w:t>of its</w:t>
      </w:r>
      <w:r>
        <w:rPr>
          <w:spacing w:val="-4"/>
        </w:rPr>
        <w:t> </w:t>
      </w:r>
      <w:r>
        <w:rPr/>
        <w:t>plan. According</w:t>
      </w:r>
      <w:r>
        <w:rPr>
          <w:spacing w:val="-2"/>
        </w:rPr>
        <w:t> </w:t>
      </w:r>
      <w:r>
        <w:rPr/>
        <w:t>to</w:t>
      </w:r>
      <w:r>
        <w:rPr>
          <w:spacing w:val="-2"/>
        </w:rPr>
        <w:t> </w:t>
      </w:r>
      <w:r>
        <w:rPr/>
        <w:t>Section</w:t>
      </w:r>
      <w:r>
        <w:rPr>
          <w:spacing w:val="-2"/>
        </w:rPr>
        <w:t> </w:t>
      </w:r>
      <w:r>
        <w:rPr/>
        <w:t>46</w:t>
      </w:r>
      <w:r>
        <w:rPr>
          <w:spacing w:val="-2"/>
        </w:rPr>
        <w:t> </w:t>
      </w:r>
      <w:r>
        <w:rPr/>
        <w:t>of</w:t>
      </w:r>
      <w:r>
        <w:rPr>
          <w:spacing w:val="-3"/>
        </w:rPr>
        <w:t> </w:t>
      </w:r>
      <w:r>
        <w:rPr/>
        <w:t>the</w:t>
      </w:r>
      <w:r>
        <w:rPr>
          <w:spacing w:val="-4"/>
        </w:rPr>
        <w:t> </w:t>
      </w:r>
      <w:r>
        <w:rPr/>
        <w:t>Act, revised safety cases must be submitted every five years.</w:t>
      </w:r>
    </w:p>
    <w:p>
      <w:pPr>
        <w:pStyle w:val="BodyText"/>
        <w:rPr>
          <w:sz w:val="21"/>
        </w:rPr>
      </w:pPr>
    </w:p>
    <w:p>
      <w:pPr>
        <w:pStyle w:val="BodyText"/>
        <w:spacing w:line="288" w:lineRule="auto"/>
        <w:ind w:left="232" w:right="286"/>
      </w:pPr>
      <w:r>
        <w:rPr/>
        <w:t>The AEMO, natural gas transmission pipeline companies, natural gas distribution companies, and natural</w:t>
      </w:r>
      <w:r>
        <w:rPr>
          <w:spacing w:val="-4"/>
        </w:rPr>
        <w:t> </w:t>
      </w:r>
      <w:r>
        <w:rPr/>
        <w:t>gas</w:t>
      </w:r>
      <w:r>
        <w:rPr>
          <w:spacing w:val="-3"/>
        </w:rPr>
        <w:t> </w:t>
      </w:r>
      <w:r>
        <w:rPr/>
        <w:t>retailers are</w:t>
      </w:r>
      <w:r>
        <w:rPr>
          <w:spacing w:val="-3"/>
        </w:rPr>
        <w:t> </w:t>
      </w:r>
      <w:r>
        <w:rPr/>
        <w:t>all</w:t>
      </w:r>
      <w:r>
        <w:rPr>
          <w:spacing w:val="-1"/>
        </w:rPr>
        <w:t> </w:t>
      </w:r>
      <w:r>
        <w:rPr/>
        <w:t>defined</w:t>
      </w:r>
      <w:r>
        <w:rPr>
          <w:spacing w:val="-3"/>
        </w:rPr>
        <w:t> </w:t>
      </w:r>
      <w:r>
        <w:rPr/>
        <w:t>as</w:t>
      </w:r>
      <w:r>
        <w:rPr>
          <w:spacing w:val="-3"/>
        </w:rPr>
        <w:t> </w:t>
      </w:r>
      <w:r>
        <w:rPr/>
        <w:t>gas</w:t>
      </w:r>
      <w:r>
        <w:rPr>
          <w:spacing w:val="-3"/>
        </w:rPr>
        <w:t> </w:t>
      </w:r>
      <w:r>
        <w:rPr/>
        <w:t>companies</w:t>
      </w:r>
      <w:r>
        <w:rPr>
          <w:spacing w:val="-3"/>
        </w:rPr>
        <w:t> </w:t>
      </w:r>
      <w:r>
        <w:rPr/>
        <w:t>for</w:t>
      </w:r>
      <w:r>
        <w:rPr>
          <w:spacing w:val="-2"/>
        </w:rPr>
        <w:t> </w:t>
      </w:r>
      <w:r>
        <w:rPr/>
        <w:t>the</w:t>
      </w:r>
      <w:r>
        <w:rPr>
          <w:spacing w:val="-3"/>
        </w:rPr>
        <w:t> </w:t>
      </w:r>
      <w:r>
        <w:rPr/>
        <w:t>purposes</w:t>
      </w:r>
      <w:r>
        <w:rPr>
          <w:spacing w:val="-1"/>
        </w:rPr>
        <w:t> </w:t>
      </w:r>
      <w:r>
        <w:rPr/>
        <w:t>of</w:t>
      </w:r>
      <w:r>
        <w:rPr>
          <w:spacing w:val="-2"/>
        </w:rPr>
        <w:t> </w:t>
      </w:r>
      <w:r>
        <w:rPr/>
        <w:t>the </w:t>
      </w:r>
      <w:r>
        <w:rPr>
          <w:i/>
        </w:rPr>
        <w:t>Gas</w:t>
      </w:r>
      <w:r>
        <w:rPr>
          <w:i/>
          <w:spacing w:val="-3"/>
        </w:rPr>
        <w:t> </w:t>
      </w:r>
      <w:r>
        <w:rPr>
          <w:i/>
        </w:rPr>
        <w:t>Safety</w:t>
      </w:r>
      <w:r>
        <w:rPr>
          <w:i/>
          <w:spacing w:val="-3"/>
        </w:rPr>
        <w:t> </w:t>
      </w:r>
      <w:r>
        <w:rPr>
          <w:i/>
        </w:rPr>
        <w:t>Act 1997</w:t>
      </w:r>
      <w:r>
        <w:rPr/>
        <w:t>. Liquefied</w:t>
      </w:r>
      <w:r>
        <w:rPr>
          <w:spacing w:val="-2"/>
        </w:rPr>
        <w:t> </w:t>
      </w:r>
      <w:r>
        <w:rPr/>
        <w:t>petroleum</w:t>
      </w:r>
      <w:r>
        <w:rPr>
          <w:spacing w:val="-3"/>
        </w:rPr>
        <w:t> </w:t>
      </w:r>
      <w:r>
        <w:rPr/>
        <w:t>gas</w:t>
      </w:r>
      <w:r>
        <w:rPr>
          <w:spacing w:val="-6"/>
        </w:rPr>
        <w:t> </w:t>
      </w:r>
      <w:r>
        <w:rPr/>
        <w:t>(LPG)</w:t>
      </w:r>
      <w:r>
        <w:rPr>
          <w:spacing w:val="-1"/>
        </w:rPr>
        <w:t> </w:t>
      </w:r>
      <w:r>
        <w:rPr/>
        <w:t>businesses</w:t>
      </w:r>
      <w:r>
        <w:rPr>
          <w:spacing w:val="-4"/>
        </w:rPr>
        <w:t> </w:t>
      </w:r>
      <w:r>
        <w:rPr/>
        <w:t>become</w:t>
      </w:r>
      <w:r>
        <w:rPr>
          <w:spacing w:val="-4"/>
        </w:rPr>
        <w:t> </w:t>
      </w:r>
      <w:r>
        <w:rPr/>
        <w:t>gas</w:t>
      </w:r>
      <w:r>
        <w:rPr>
          <w:spacing w:val="-4"/>
        </w:rPr>
        <w:t> </w:t>
      </w:r>
      <w:r>
        <w:rPr/>
        <w:t>companies</w:t>
      </w:r>
      <w:r>
        <w:rPr>
          <w:spacing w:val="-2"/>
        </w:rPr>
        <w:t> </w:t>
      </w:r>
      <w:r>
        <w:rPr/>
        <w:t>under</w:t>
      </w:r>
      <w:r>
        <w:rPr>
          <w:spacing w:val="-3"/>
        </w:rPr>
        <w:t> </w:t>
      </w:r>
      <w:r>
        <w:rPr/>
        <w:t>the </w:t>
      </w:r>
      <w:r>
        <w:rPr>
          <w:i/>
        </w:rPr>
        <w:t>Gas</w:t>
      </w:r>
      <w:r>
        <w:rPr>
          <w:i/>
          <w:spacing w:val="-2"/>
        </w:rPr>
        <w:t> </w:t>
      </w:r>
      <w:r>
        <w:rPr>
          <w:i/>
        </w:rPr>
        <w:t>Safety</w:t>
      </w:r>
      <w:r>
        <w:rPr>
          <w:i/>
          <w:spacing w:val="-1"/>
        </w:rPr>
        <w:t> </w:t>
      </w:r>
      <w:r>
        <w:rPr>
          <w:i/>
        </w:rPr>
        <w:t>Act 1997 </w:t>
      </w:r>
      <w:r>
        <w:rPr/>
        <w:t>if they are declared to be so by Order of the Governor in Council.</w:t>
      </w:r>
    </w:p>
    <w:p>
      <w:pPr>
        <w:pStyle w:val="BodyText"/>
        <w:spacing w:before="8"/>
        <w:rPr>
          <w:sz w:val="20"/>
        </w:rPr>
      </w:pPr>
    </w:p>
    <w:p>
      <w:pPr>
        <w:pStyle w:val="BodyText"/>
        <w:ind w:left="232"/>
      </w:pPr>
      <w:r>
        <w:rPr/>
        <w:t>There</w:t>
      </w:r>
      <w:r>
        <w:rPr>
          <w:spacing w:val="-6"/>
        </w:rPr>
        <w:t> </w:t>
      </w:r>
      <w:r>
        <w:rPr/>
        <w:t>are</w:t>
      </w:r>
      <w:r>
        <w:rPr>
          <w:spacing w:val="-3"/>
        </w:rPr>
        <w:t> </w:t>
      </w:r>
      <w:r>
        <w:rPr/>
        <w:t>various</w:t>
      </w:r>
      <w:r>
        <w:rPr>
          <w:spacing w:val="-3"/>
        </w:rPr>
        <w:t> </w:t>
      </w:r>
      <w:r>
        <w:rPr/>
        <w:t>safety</w:t>
      </w:r>
      <w:r>
        <w:rPr>
          <w:spacing w:val="-6"/>
        </w:rPr>
        <w:t> </w:t>
      </w:r>
      <w:r>
        <w:rPr/>
        <w:t>regulations</w:t>
      </w:r>
      <w:r>
        <w:rPr>
          <w:spacing w:val="-6"/>
        </w:rPr>
        <w:t> </w:t>
      </w:r>
      <w:r>
        <w:rPr/>
        <w:t>that</w:t>
      </w:r>
      <w:r>
        <w:rPr>
          <w:spacing w:val="-6"/>
        </w:rPr>
        <w:t> </w:t>
      </w:r>
      <w:r>
        <w:rPr/>
        <w:t>govern</w:t>
      </w:r>
      <w:r>
        <w:rPr>
          <w:spacing w:val="-2"/>
        </w:rPr>
        <w:t> </w:t>
      </w:r>
      <w:r>
        <w:rPr/>
        <w:t>the</w:t>
      </w:r>
      <w:r>
        <w:rPr>
          <w:spacing w:val="-4"/>
        </w:rPr>
        <w:t> </w:t>
      </w:r>
      <w:r>
        <w:rPr/>
        <w:t>safety</w:t>
      </w:r>
      <w:r>
        <w:rPr>
          <w:spacing w:val="-5"/>
        </w:rPr>
        <w:t> </w:t>
      </w:r>
      <w:r>
        <w:rPr/>
        <w:t>of</w:t>
      </w:r>
      <w:r>
        <w:rPr>
          <w:spacing w:val="-2"/>
        </w:rPr>
        <w:t> </w:t>
      </w:r>
      <w:r>
        <w:rPr/>
        <w:t>the</w:t>
      </w:r>
      <w:r>
        <w:rPr>
          <w:spacing w:val="-8"/>
        </w:rPr>
        <w:t> </w:t>
      </w:r>
      <w:r>
        <w:rPr/>
        <w:t>gas</w:t>
      </w:r>
      <w:r>
        <w:rPr>
          <w:spacing w:val="-3"/>
        </w:rPr>
        <w:t> </w:t>
      </w:r>
      <w:r>
        <w:rPr>
          <w:spacing w:val="-2"/>
        </w:rPr>
        <w:t>network.</w:t>
      </w:r>
    </w:p>
    <w:p>
      <w:pPr>
        <w:pStyle w:val="BodyText"/>
        <w:spacing w:before="4"/>
        <w:rPr>
          <w:sz w:val="25"/>
        </w:rPr>
      </w:pPr>
    </w:p>
    <w:p>
      <w:pPr>
        <w:pStyle w:val="Heading8"/>
        <w:ind w:left="232"/>
      </w:pPr>
      <w:r>
        <w:rPr/>
        <w:t>Gas</w:t>
      </w:r>
      <w:r>
        <w:rPr>
          <w:spacing w:val="-5"/>
        </w:rPr>
        <w:t> </w:t>
      </w:r>
      <w:r>
        <w:rPr/>
        <w:t>Safety</w:t>
      </w:r>
      <w:r>
        <w:rPr>
          <w:spacing w:val="-7"/>
        </w:rPr>
        <w:t> </w:t>
      </w:r>
      <w:r>
        <w:rPr/>
        <w:t>(Safety</w:t>
      </w:r>
      <w:r>
        <w:rPr>
          <w:spacing w:val="-4"/>
        </w:rPr>
        <w:t> </w:t>
      </w:r>
      <w:r>
        <w:rPr/>
        <w:t>Case)</w:t>
      </w:r>
      <w:r>
        <w:rPr>
          <w:spacing w:val="-6"/>
        </w:rPr>
        <w:t> </w:t>
      </w:r>
      <w:r>
        <w:rPr/>
        <w:t>Regulations</w:t>
      </w:r>
      <w:r>
        <w:rPr>
          <w:spacing w:val="-6"/>
        </w:rPr>
        <w:t> </w:t>
      </w:r>
      <w:r>
        <w:rPr>
          <w:spacing w:val="-4"/>
        </w:rPr>
        <w:t>2008</w:t>
      </w:r>
    </w:p>
    <w:p>
      <w:pPr>
        <w:pStyle w:val="BodyText"/>
        <w:spacing w:line="288" w:lineRule="auto" w:before="170"/>
        <w:ind w:left="232" w:right="374"/>
      </w:pPr>
      <w:r>
        <w:rPr/>
        <w:t>The</w:t>
      </w:r>
      <w:r>
        <w:rPr>
          <w:spacing w:val="-4"/>
        </w:rPr>
        <w:t> </w:t>
      </w:r>
      <w:r>
        <w:rPr>
          <w:i/>
        </w:rPr>
        <w:t>Gas</w:t>
      </w:r>
      <w:r>
        <w:rPr>
          <w:i/>
          <w:spacing w:val="-4"/>
        </w:rPr>
        <w:t> </w:t>
      </w:r>
      <w:r>
        <w:rPr>
          <w:i/>
        </w:rPr>
        <w:t>Safety</w:t>
      </w:r>
      <w:r>
        <w:rPr>
          <w:i/>
          <w:spacing w:val="-4"/>
        </w:rPr>
        <w:t> </w:t>
      </w:r>
      <w:r>
        <w:rPr>
          <w:i/>
        </w:rPr>
        <w:t>(Safety</w:t>
      </w:r>
      <w:r>
        <w:rPr>
          <w:i/>
          <w:spacing w:val="-6"/>
        </w:rPr>
        <w:t> </w:t>
      </w:r>
      <w:r>
        <w:rPr>
          <w:i/>
        </w:rPr>
        <w:t>Case)</w:t>
      </w:r>
      <w:r>
        <w:rPr>
          <w:i/>
          <w:spacing w:val="-1"/>
        </w:rPr>
        <w:t> </w:t>
      </w:r>
      <w:r>
        <w:rPr>
          <w:i/>
        </w:rPr>
        <w:t>Regulations</w:t>
      </w:r>
      <w:r>
        <w:rPr>
          <w:i/>
          <w:spacing w:val="-2"/>
        </w:rPr>
        <w:t> </w:t>
      </w:r>
      <w:r>
        <w:rPr>
          <w:i/>
        </w:rPr>
        <w:t>2008</w:t>
      </w:r>
      <w:r>
        <w:rPr>
          <w:i/>
          <w:spacing w:val="-5"/>
        </w:rPr>
        <w:t> </w:t>
      </w:r>
      <w:r>
        <w:rPr/>
        <w:t>regulate</w:t>
      </w:r>
      <w:r>
        <w:rPr>
          <w:spacing w:val="-1"/>
        </w:rPr>
        <w:t> </w:t>
      </w:r>
      <w:r>
        <w:rPr/>
        <w:t>activities</w:t>
      </w:r>
      <w:r>
        <w:rPr>
          <w:spacing w:val="-2"/>
        </w:rPr>
        <w:t> </w:t>
      </w:r>
      <w:r>
        <w:rPr/>
        <w:t>of gas</w:t>
      </w:r>
      <w:r>
        <w:rPr>
          <w:spacing w:val="-4"/>
        </w:rPr>
        <w:t> </w:t>
      </w:r>
      <w:r>
        <w:rPr/>
        <w:t>companies,</w:t>
      </w:r>
      <w:r>
        <w:rPr>
          <w:spacing w:val="-3"/>
        </w:rPr>
        <w:t> </w:t>
      </w:r>
      <w:r>
        <w:rPr/>
        <w:t>owners</w:t>
      </w:r>
      <w:r>
        <w:rPr>
          <w:spacing w:val="-1"/>
        </w:rPr>
        <w:t> </w:t>
      </w:r>
      <w:r>
        <w:rPr/>
        <w:t>or operators of gas facilities or installations, in relation to the hazards and risks to the safety of the public arising from gas. The regulations set out content requirements for safety cases which include safety management systems, and requirements for reporting gas incidents.</w:t>
      </w:r>
    </w:p>
    <w:p>
      <w:pPr>
        <w:pStyle w:val="BodyText"/>
        <w:spacing w:before="10"/>
        <w:rPr>
          <w:sz w:val="20"/>
        </w:rPr>
      </w:pPr>
    </w:p>
    <w:p>
      <w:pPr>
        <w:pStyle w:val="BodyText"/>
        <w:spacing w:line="288" w:lineRule="auto"/>
        <w:ind w:left="232"/>
        <w:rPr>
          <w:i/>
        </w:rPr>
      </w:pPr>
      <w:r>
        <w:rPr/>
        <w:t>The safety case requires the gas company to demonstrate it has systems in place to identify and mitigate safety risks throughout its organisation. Safety cases of transmission and distribution businesses must contain a formal safety assessment (containing, for example, identified hazards having the potential to cause a gas incident, assessment of risk and measures to reduce risk), published</w:t>
      </w:r>
      <w:r>
        <w:rPr>
          <w:spacing w:val="-3"/>
        </w:rPr>
        <w:t> </w:t>
      </w:r>
      <w:r>
        <w:rPr/>
        <w:t>technical</w:t>
      </w:r>
      <w:r>
        <w:rPr>
          <w:spacing w:val="-4"/>
        </w:rPr>
        <w:t> </w:t>
      </w:r>
      <w:r>
        <w:rPr/>
        <w:t>standards</w:t>
      </w:r>
      <w:r>
        <w:rPr>
          <w:spacing w:val="-3"/>
        </w:rPr>
        <w:t> </w:t>
      </w:r>
      <w:r>
        <w:rPr/>
        <w:t>applied,</w:t>
      </w:r>
      <w:r>
        <w:rPr>
          <w:spacing w:val="-4"/>
        </w:rPr>
        <w:t> </w:t>
      </w:r>
      <w:r>
        <w:rPr/>
        <w:t>and</w:t>
      </w:r>
      <w:r>
        <w:rPr>
          <w:spacing w:val="-3"/>
        </w:rPr>
        <w:t> </w:t>
      </w:r>
      <w:r>
        <w:rPr/>
        <w:t>an</w:t>
      </w:r>
      <w:r>
        <w:rPr>
          <w:spacing w:val="-5"/>
        </w:rPr>
        <w:t> </w:t>
      </w:r>
      <w:r>
        <w:rPr/>
        <w:t>emergency</w:t>
      </w:r>
      <w:r>
        <w:rPr>
          <w:spacing w:val="-5"/>
        </w:rPr>
        <w:t> </w:t>
      </w:r>
      <w:r>
        <w:rPr/>
        <w:t>response</w:t>
      </w:r>
      <w:r>
        <w:rPr>
          <w:spacing w:val="-3"/>
        </w:rPr>
        <w:t> </w:t>
      </w:r>
      <w:r>
        <w:rPr/>
        <w:t>plan.</w:t>
      </w:r>
      <w:r>
        <w:rPr>
          <w:spacing w:val="-1"/>
        </w:rPr>
        <w:t> </w:t>
      </w:r>
      <w:r>
        <w:rPr/>
        <w:t>Australian</w:t>
      </w:r>
      <w:r>
        <w:rPr>
          <w:spacing w:val="-3"/>
        </w:rPr>
        <w:t> </w:t>
      </w:r>
      <w:r>
        <w:rPr/>
        <w:t>Standards</w:t>
      </w:r>
      <w:r>
        <w:rPr>
          <w:spacing w:val="-1"/>
        </w:rPr>
        <w:t> </w:t>
      </w:r>
      <w:r>
        <w:rPr>
          <w:i/>
        </w:rPr>
        <w:t>AS 2885 Pipelines – Gas and Liquid Petroleum</w:t>
      </w:r>
      <w:r>
        <w:rPr/>
        <w:t>, and </w:t>
      </w:r>
      <w:r>
        <w:rPr>
          <w:i/>
        </w:rPr>
        <w:t>AS 4645 Gas distribution network management</w:t>
      </w:r>
    </w:p>
    <w:p>
      <w:pPr>
        <w:pStyle w:val="BodyText"/>
        <w:spacing w:before="3"/>
        <w:rPr>
          <w:i/>
          <w:sz w:val="5"/>
        </w:rPr>
      </w:pPr>
      <w:r>
        <w:rPr/>
        <mc:AlternateContent>
          <mc:Choice Requires="wps">
            <w:drawing>
              <wp:anchor distT="0" distB="0" distL="0" distR="0" allowOverlap="1" layoutInCell="1" locked="0" behindDoc="1" simplePos="0" relativeHeight="487674880">
                <wp:simplePos x="0" y="0"/>
                <wp:positionH relativeFrom="page">
                  <wp:posOffset>701040</wp:posOffset>
                </wp:positionH>
                <wp:positionV relativeFrom="paragraph">
                  <wp:posOffset>53739</wp:posOffset>
                </wp:positionV>
                <wp:extent cx="6158230" cy="1270"/>
                <wp:effectExtent l="0" t="0" r="0" b="0"/>
                <wp:wrapTopAndBottom/>
                <wp:docPr id="245" name="Graphic 245"/>
                <wp:cNvGraphicFramePr>
                  <a:graphicFrameLocks/>
                </wp:cNvGraphicFramePr>
                <a:graphic>
                  <a:graphicData uri="http://schemas.microsoft.com/office/word/2010/wordprocessingShape">
                    <wps:wsp>
                      <wps:cNvPr id="245" name="Graphic 245"/>
                      <wps:cNvSpPr/>
                      <wps:spPr>
                        <a:xfrm>
                          <a:off x="0" y="0"/>
                          <a:ext cx="6158230" cy="1270"/>
                        </a:xfrm>
                        <a:custGeom>
                          <a:avLst/>
                          <a:gdLst/>
                          <a:ahLst/>
                          <a:cxnLst/>
                          <a:rect l="l" t="t" r="r" b="b"/>
                          <a:pathLst>
                            <a:path w="6158230" h="0">
                              <a:moveTo>
                                <a:pt x="0" y="0"/>
                              </a:moveTo>
                              <a:lnTo>
                                <a:pt x="6158230" y="0"/>
                              </a:lnTo>
                            </a:path>
                          </a:pathLst>
                        </a:custGeom>
                        <a:ln w="12192">
                          <a:solidFill>
                            <a:srgbClr val="000000"/>
                          </a:solidFill>
                          <a:prstDash val="sysDot"/>
                        </a:ln>
                      </wps:spPr>
                      <wps:bodyPr wrap="square" lIns="0" tIns="0" rIns="0" bIns="0" rtlCol="0">
                        <a:prstTxWarp prst="textNoShape">
                          <a:avLst/>
                        </a:prstTxWarp>
                        <a:noAutofit/>
                      </wps:bodyPr>
                    </wps:wsp>
                  </a:graphicData>
                </a:graphic>
              </wp:anchor>
            </w:drawing>
          </mc:Choice>
          <mc:Fallback>
            <w:pict>
              <v:shape style="position:absolute;margin-left:55.200001pt;margin-top:4.231494pt;width:484.9pt;height:.1pt;mso-position-horizontal-relative:page;mso-position-vertical-relative:paragraph;z-index:-15641600;mso-wrap-distance-left:0;mso-wrap-distance-right:0" id="docshape211" coordorigin="1104,85" coordsize="9698,0" path="m1104,85l10802,85e" filled="false" stroked="true" strokeweight=".96pt" strokecolor="#000000">
                <v:path arrowok="t"/>
                <v:stroke dashstyle="shortdot"/>
                <w10:wrap type="topAndBottom"/>
              </v:shape>
            </w:pict>
          </mc:Fallback>
        </mc:AlternateContent>
      </w:r>
    </w:p>
    <w:p>
      <w:pPr>
        <w:pStyle w:val="BodyText"/>
        <w:spacing w:before="1"/>
        <w:rPr>
          <w:i/>
          <w:sz w:val="23"/>
        </w:rPr>
      </w:pPr>
    </w:p>
    <w:p>
      <w:pPr>
        <w:spacing w:before="95"/>
        <w:ind w:left="232" w:right="0" w:firstLine="0"/>
        <w:jc w:val="left"/>
        <w:rPr>
          <w:sz w:val="16"/>
        </w:rPr>
      </w:pPr>
      <w:r>
        <w:rPr>
          <w:position w:val="5"/>
          <w:sz w:val="9"/>
        </w:rPr>
        <w:t>23</w:t>
      </w:r>
      <w:r>
        <w:rPr>
          <w:spacing w:val="9"/>
          <w:position w:val="5"/>
          <w:sz w:val="9"/>
        </w:rPr>
        <w:t> </w:t>
      </w:r>
      <w:r>
        <w:rPr>
          <w:sz w:val="16"/>
        </w:rPr>
        <w:t>The</w:t>
      </w:r>
      <w:r>
        <w:rPr>
          <w:spacing w:val="-4"/>
          <w:sz w:val="16"/>
        </w:rPr>
        <w:t> </w:t>
      </w:r>
      <w:r>
        <w:rPr>
          <w:i/>
          <w:sz w:val="16"/>
        </w:rPr>
        <w:t>National</w:t>
      </w:r>
      <w:r>
        <w:rPr>
          <w:i/>
          <w:spacing w:val="-4"/>
          <w:sz w:val="16"/>
        </w:rPr>
        <w:t> </w:t>
      </w:r>
      <w:r>
        <w:rPr>
          <w:i/>
          <w:sz w:val="16"/>
        </w:rPr>
        <w:t>Gas</w:t>
      </w:r>
      <w:r>
        <w:rPr>
          <w:i/>
          <w:spacing w:val="-2"/>
          <w:sz w:val="16"/>
        </w:rPr>
        <w:t> </w:t>
      </w:r>
      <w:r>
        <w:rPr>
          <w:i/>
          <w:sz w:val="16"/>
        </w:rPr>
        <w:t>Law</w:t>
      </w:r>
      <w:r>
        <w:rPr>
          <w:i/>
          <w:spacing w:val="-4"/>
          <w:sz w:val="16"/>
        </w:rPr>
        <w:t> </w:t>
      </w:r>
      <w:r>
        <w:rPr>
          <w:sz w:val="16"/>
        </w:rPr>
        <w:t>and</w:t>
      </w:r>
      <w:r>
        <w:rPr>
          <w:spacing w:val="-4"/>
          <w:sz w:val="16"/>
        </w:rPr>
        <w:t> </w:t>
      </w:r>
      <w:r>
        <w:rPr>
          <w:sz w:val="16"/>
        </w:rPr>
        <w:t>Rules</w:t>
      </w:r>
      <w:r>
        <w:rPr>
          <w:spacing w:val="-7"/>
          <w:sz w:val="16"/>
        </w:rPr>
        <w:t> </w:t>
      </w:r>
      <w:r>
        <w:rPr>
          <w:sz w:val="16"/>
        </w:rPr>
        <w:t>also</w:t>
      </w:r>
      <w:r>
        <w:rPr>
          <w:spacing w:val="-4"/>
          <w:sz w:val="16"/>
        </w:rPr>
        <w:t> </w:t>
      </w:r>
      <w:r>
        <w:rPr>
          <w:sz w:val="16"/>
        </w:rPr>
        <w:t>regulate</w:t>
      </w:r>
      <w:r>
        <w:rPr>
          <w:spacing w:val="-7"/>
          <w:sz w:val="16"/>
        </w:rPr>
        <w:t> </w:t>
      </w:r>
      <w:r>
        <w:rPr>
          <w:sz w:val="16"/>
        </w:rPr>
        <w:t>safety,</w:t>
      </w:r>
      <w:r>
        <w:rPr>
          <w:spacing w:val="-5"/>
          <w:sz w:val="16"/>
        </w:rPr>
        <w:t> </w:t>
      </w:r>
      <w:r>
        <w:rPr>
          <w:sz w:val="16"/>
        </w:rPr>
        <w:t>for</w:t>
      </w:r>
      <w:r>
        <w:rPr>
          <w:spacing w:val="-4"/>
          <w:sz w:val="16"/>
        </w:rPr>
        <w:t> </w:t>
      </w:r>
      <w:r>
        <w:rPr>
          <w:spacing w:val="-2"/>
          <w:sz w:val="16"/>
        </w:rPr>
        <w:t>example:</w:t>
      </w:r>
    </w:p>
    <w:p>
      <w:pPr>
        <w:pStyle w:val="ListParagraph"/>
        <w:numPr>
          <w:ilvl w:val="0"/>
          <w:numId w:val="93"/>
        </w:numPr>
        <w:tabs>
          <w:tab w:pos="953" w:val="left" w:leader="none"/>
        </w:tabs>
        <w:spacing w:line="240" w:lineRule="auto" w:before="59" w:after="0"/>
        <w:ind w:left="953" w:right="381" w:hanging="360"/>
        <w:jc w:val="left"/>
        <w:rPr>
          <w:sz w:val="16"/>
        </w:rPr>
      </w:pPr>
      <w:r>
        <w:rPr>
          <w:sz w:val="16"/>
        </w:rPr>
        <w:t>91BA</w:t>
      </w:r>
      <w:r>
        <w:rPr>
          <w:spacing w:val="-10"/>
          <w:sz w:val="16"/>
        </w:rPr>
        <w:t> </w:t>
      </w:r>
      <w:r>
        <w:rPr>
          <w:i/>
          <w:sz w:val="16"/>
        </w:rPr>
        <w:t>National</w:t>
      </w:r>
      <w:r>
        <w:rPr>
          <w:i/>
          <w:spacing w:val="-4"/>
          <w:sz w:val="16"/>
        </w:rPr>
        <w:t> </w:t>
      </w:r>
      <w:r>
        <w:rPr>
          <w:i/>
          <w:sz w:val="16"/>
        </w:rPr>
        <w:t>Gas Law:</w:t>
      </w:r>
      <w:r>
        <w:rPr>
          <w:i/>
          <w:spacing w:val="-2"/>
          <w:sz w:val="16"/>
        </w:rPr>
        <w:t> </w:t>
      </w:r>
      <w:r>
        <w:rPr>
          <w:sz w:val="16"/>
        </w:rPr>
        <w:t>one</w:t>
      </w:r>
      <w:r>
        <w:rPr>
          <w:spacing w:val="-2"/>
          <w:sz w:val="16"/>
        </w:rPr>
        <w:t> </w:t>
      </w:r>
      <w:r>
        <w:rPr>
          <w:sz w:val="16"/>
        </w:rPr>
        <w:t>of</w:t>
      </w:r>
      <w:r>
        <w:rPr>
          <w:spacing w:val="-12"/>
          <w:sz w:val="16"/>
        </w:rPr>
        <w:t> </w:t>
      </w:r>
      <w:r>
        <w:rPr>
          <w:sz w:val="16"/>
        </w:rPr>
        <w:t>AEMO’s</w:t>
      </w:r>
      <w:r>
        <w:rPr>
          <w:spacing w:val="-2"/>
          <w:sz w:val="16"/>
        </w:rPr>
        <w:t> </w:t>
      </w:r>
      <w:r>
        <w:rPr>
          <w:sz w:val="16"/>
        </w:rPr>
        <w:t>functions is</w:t>
      </w:r>
      <w:r>
        <w:rPr>
          <w:spacing w:val="-1"/>
          <w:sz w:val="16"/>
        </w:rPr>
        <w:t> </w:t>
      </w:r>
      <w:r>
        <w:rPr>
          <w:sz w:val="16"/>
        </w:rPr>
        <w:t>to</w:t>
      </w:r>
      <w:r>
        <w:rPr>
          <w:spacing w:val="-4"/>
          <w:sz w:val="16"/>
        </w:rPr>
        <w:t> </w:t>
      </w:r>
      <w:r>
        <w:rPr>
          <w:sz w:val="16"/>
        </w:rPr>
        <w:t>coordinate</w:t>
      </w:r>
      <w:r>
        <w:rPr>
          <w:spacing w:val="-5"/>
          <w:sz w:val="16"/>
        </w:rPr>
        <w:t> </w:t>
      </w:r>
      <w:r>
        <w:rPr>
          <w:sz w:val="16"/>
        </w:rPr>
        <w:t>the</w:t>
      </w:r>
      <w:r>
        <w:rPr>
          <w:spacing w:val="-2"/>
          <w:sz w:val="16"/>
        </w:rPr>
        <w:t> </w:t>
      </w:r>
      <w:r>
        <w:rPr>
          <w:sz w:val="16"/>
        </w:rPr>
        <w:t>interaction</w:t>
      </w:r>
      <w:r>
        <w:rPr>
          <w:spacing w:val="-2"/>
          <w:sz w:val="16"/>
        </w:rPr>
        <w:t> </w:t>
      </w:r>
      <w:r>
        <w:rPr>
          <w:sz w:val="16"/>
        </w:rPr>
        <w:t>of</w:t>
      </w:r>
      <w:r>
        <w:rPr>
          <w:spacing w:val="-1"/>
          <w:sz w:val="16"/>
        </w:rPr>
        <w:t> </w:t>
      </w:r>
      <w:r>
        <w:rPr>
          <w:sz w:val="16"/>
        </w:rPr>
        <w:t>producers,</w:t>
      </w:r>
      <w:r>
        <w:rPr>
          <w:spacing w:val="-3"/>
          <w:sz w:val="16"/>
        </w:rPr>
        <w:t> </w:t>
      </w:r>
      <w:r>
        <w:rPr>
          <w:sz w:val="16"/>
        </w:rPr>
        <w:t>storage</w:t>
      </w:r>
      <w:r>
        <w:rPr>
          <w:spacing w:val="-2"/>
          <w:sz w:val="16"/>
        </w:rPr>
        <w:t> </w:t>
      </w:r>
      <w:r>
        <w:rPr>
          <w:sz w:val="16"/>
        </w:rPr>
        <w:t>providers and</w:t>
      </w:r>
      <w:r>
        <w:rPr>
          <w:spacing w:val="-4"/>
          <w:sz w:val="16"/>
        </w:rPr>
        <w:t> </w:t>
      </w:r>
      <w:r>
        <w:rPr>
          <w:sz w:val="16"/>
        </w:rPr>
        <w:t>service providers for ensuring a safe, secure, reliable and efficient declared transmission system.</w:t>
      </w:r>
    </w:p>
    <w:p>
      <w:pPr>
        <w:pStyle w:val="ListParagraph"/>
        <w:numPr>
          <w:ilvl w:val="0"/>
          <w:numId w:val="93"/>
        </w:numPr>
        <w:tabs>
          <w:tab w:pos="953" w:val="left" w:leader="none"/>
        </w:tabs>
        <w:spacing w:line="240" w:lineRule="auto" w:before="62" w:after="0"/>
        <w:ind w:left="953" w:right="576" w:hanging="360"/>
        <w:jc w:val="left"/>
        <w:rPr>
          <w:sz w:val="16"/>
        </w:rPr>
      </w:pPr>
      <w:r>
        <w:rPr>
          <w:sz w:val="16"/>
        </w:rPr>
        <w:t>91BC</w:t>
      </w:r>
      <w:r>
        <w:rPr>
          <w:spacing w:val="-2"/>
          <w:sz w:val="16"/>
        </w:rPr>
        <w:t> </w:t>
      </w:r>
      <w:r>
        <w:rPr>
          <w:i/>
          <w:sz w:val="16"/>
        </w:rPr>
        <w:t>National</w:t>
      </w:r>
      <w:r>
        <w:rPr>
          <w:i/>
          <w:spacing w:val="-4"/>
          <w:sz w:val="16"/>
        </w:rPr>
        <w:t> </w:t>
      </w:r>
      <w:r>
        <w:rPr>
          <w:i/>
          <w:sz w:val="16"/>
        </w:rPr>
        <w:t>Gas</w:t>
      </w:r>
      <w:r>
        <w:rPr>
          <w:i/>
          <w:spacing w:val="-3"/>
          <w:sz w:val="16"/>
        </w:rPr>
        <w:t> </w:t>
      </w:r>
      <w:r>
        <w:rPr>
          <w:i/>
          <w:sz w:val="16"/>
        </w:rPr>
        <w:t>Law</w:t>
      </w:r>
      <w:r>
        <w:rPr>
          <w:sz w:val="16"/>
        </w:rPr>
        <w:t>:</w:t>
      </w:r>
      <w:r>
        <w:rPr>
          <w:spacing w:val="-12"/>
          <w:sz w:val="16"/>
        </w:rPr>
        <w:t> </w:t>
      </w:r>
      <w:r>
        <w:rPr>
          <w:sz w:val="16"/>
        </w:rPr>
        <w:t>AEMO</w:t>
      </w:r>
      <w:r>
        <w:rPr>
          <w:spacing w:val="-3"/>
          <w:sz w:val="16"/>
        </w:rPr>
        <w:t> </w:t>
      </w:r>
      <w:r>
        <w:rPr>
          <w:sz w:val="16"/>
        </w:rPr>
        <w:t>may</w:t>
      </w:r>
      <w:r>
        <w:rPr>
          <w:spacing w:val="-3"/>
          <w:sz w:val="16"/>
        </w:rPr>
        <w:t> </w:t>
      </w:r>
      <w:r>
        <w:rPr>
          <w:sz w:val="16"/>
        </w:rPr>
        <w:t>give</w:t>
      </w:r>
      <w:r>
        <w:rPr>
          <w:spacing w:val="-2"/>
          <w:sz w:val="16"/>
        </w:rPr>
        <w:t> </w:t>
      </w:r>
      <w:r>
        <w:rPr>
          <w:sz w:val="16"/>
        </w:rPr>
        <w:t>binding</w:t>
      </w:r>
      <w:r>
        <w:rPr>
          <w:spacing w:val="-2"/>
          <w:sz w:val="16"/>
        </w:rPr>
        <w:t> </w:t>
      </w:r>
      <w:r>
        <w:rPr>
          <w:sz w:val="16"/>
        </w:rPr>
        <w:t>directions</w:t>
      </w:r>
      <w:r>
        <w:rPr>
          <w:spacing w:val="-3"/>
          <w:sz w:val="16"/>
        </w:rPr>
        <w:t> </w:t>
      </w:r>
      <w:r>
        <w:rPr>
          <w:sz w:val="16"/>
        </w:rPr>
        <w:t>to</w:t>
      </w:r>
      <w:r>
        <w:rPr>
          <w:spacing w:val="-5"/>
          <w:sz w:val="16"/>
        </w:rPr>
        <w:t> </w:t>
      </w:r>
      <w:r>
        <w:rPr>
          <w:sz w:val="16"/>
        </w:rPr>
        <w:t>registered</w:t>
      </w:r>
      <w:r>
        <w:rPr>
          <w:spacing w:val="-2"/>
          <w:sz w:val="16"/>
        </w:rPr>
        <w:t> </w:t>
      </w:r>
      <w:r>
        <w:rPr>
          <w:sz w:val="16"/>
        </w:rPr>
        <w:t>participants</w:t>
      </w:r>
      <w:r>
        <w:rPr>
          <w:spacing w:val="-3"/>
          <w:sz w:val="16"/>
        </w:rPr>
        <w:t> </w:t>
      </w:r>
      <w:r>
        <w:rPr>
          <w:sz w:val="16"/>
        </w:rPr>
        <w:t>to</w:t>
      </w:r>
      <w:r>
        <w:rPr>
          <w:spacing w:val="-4"/>
          <w:sz w:val="16"/>
        </w:rPr>
        <w:t> </w:t>
      </w:r>
      <w:r>
        <w:rPr>
          <w:sz w:val="16"/>
        </w:rPr>
        <w:t>maintain</w:t>
      </w:r>
      <w:r>
        <w:rPr>
          <w:spacing w:val="-2"/>
          <w:sz w:val="16"/>
        </w:rPr>
        <w:t> </w:t>
      </w:r>
      <w:r>
        <w:rPr>
          <w:sz w:val="16"/>
        </w:rPr>
        <w:t>and</w:t>
      </w:r>
      <w:r>
        <w:rPr>
          <w:spacing w:val="-2"/>
          <w:sz w:val="16"/>
        </w:rPr>
        <w:t> </w:t>
      </w:r>
      <w:r>
        <w:rPr>
          <w:sz w:val="16"/>
        </w:rPr>
        <w:t>improve</w:t>
      </w:r>
      <w:r>
        <w:rPr>
          <w:spacing w:val="-2"/>
          <w:sz w:val="16"/>
        </w:rPr>
        <w:t> </w:t>
      </w:r>
      <w:r>
        <w:rPr>
          <w:sz w:val="16"/>
        </w:rPr>
        <w:t>reliability</w:t>
      </w:r>
      <w:r>
        <w:rPr>
          <w:spacing w:val="-3"/>
          <w:sz w:val="16"/>
        </w:rPr>
        <w:t> </w:t>
      </w:r>
      <w:r>
        <w:rPr>
          <w:sz w:val="16"/>
        </w:rPr>
        <w:t>or security or in the interests of public safety</w:t>
      </w:r>
    </w:p>
    <w:p>
      <w:pPr>
        <w:pStyle w:val="ListParagraph"/>
        <w:numPr>
          <w:ilvl w:val="0"/>
          <w:numId w:val="93"/>
        </w:numPr>
        <w:tabs>
          <w:tab w:pos="953" w:val="left" w:leader="none"/>
        </w:tabs>
        <w:spacing w:line="240" w:lineRule="auto" w:before="59" w:after="0"/>
        <w:ind w:left="953" w:right="328" w:hanging="360"/>
        <w:jc w:val="left"/>
        <w:rPr>
          <w:sz w:val="16"/>
        </w:rPr>
      </w:pPr>
      <w:r>
        <w:rPr>
          <w:sz w:val="16"/>
        </w:rPr>
        <w:t>288 </w:t>
      </w:r>
      <w:r>
        <w:rPr>
          <w:i/>
          <w:sz w:val="16"/>
        </w:rPr>
        <w:t>National Gas Rules</w:t>
      </w:r>
      <w:r>
        <w:rPr>
          <w:sz w:val="16"/>
        </w:rPr>
        <w:t>: covered service providers are required to provide a gas quality monitoring system, for approval by AEMO,</w:t>
      </w:r>
      <w:r>
        <w:rPr>
          <w:spacing w:val="-2"/>
          <w:sz w:val="16"/>
        </w:rPr>
        <w:t> </w:t>
      </w:r>
      <w:r>
        <w:rPr>
          <w:sz w:val="16"/>
        </w:rPr>
        <w:t>at each</w:t>
      </w:r>
      <w:r>
        <w:rPr>
          <w:spacing w:val="-1"/>
          <w:sz w:val="16"/>
        </w:rPr>
        <w:t> </w:t>
      </w:r>
      <w:r>
        <w:rPr>
          <w:sz w:val="16"/>
        </w:rPr>
        <w:t>gas</w:t>
      </w:r>
      <w:r>
        <w:rPr>
          <w:spacing w:val="-2"/>
          <w:sz w:val="16"/>
        </w:rPr>
        <w:t> </w:t>
      </w:r>
      <w:r>
        <w:rPr>
          <w:sz w:val="16"/>
        </w:rPr>
        <w:t>injection</w:t>
      </w:r>
      <w:r>
        <w:rPr>
          <w:spacing w:val="-1"/>
          <w:sz w:val="16"/>
        </w:rPr>
        <w:t> </w:t>
      </w:r>
      <w:r>
        <w:rPr>
          <w:sz w:val="16"/>
        </w:rPr>
        <w:t>point</w:t>
      </w:r>
      <w:r>
        <w:rPr>
          <w:spacing w:val="-2"/>
          <w:sz w:val="16"/>
        </w:rPr>
        <w:t> </w:t>
      </w:r>
      <w:r>
        <w:rPr>
          <w:sz w:val="16"/>
        </w:rPr>
        <w:t>and</w:t>
      </w:r>
      <w:r>
        <w:rPr>
          <w:spacing w:val="-1"/>
          <w:sz w:val="16"/>
        </w:rPr>
        <w:t> </w:t>
      </w:r>
      <w:r>
        <w:rPr>
          <w:sz w:val="16"/>
        </w:rPr>
        <w:t>other</w:t>
      </w:r>
      <w:r>
        <w:rPr>
          <w:spacing w:val="-1"/>
          <w:sz w:val="16"/>
        </w:rPr>
        <w:t> </w:t>
      </w:r>
      <w:r>
        <w:rPr>
          <w:sz w:val="16"/>
        </w:rPr>
        <w:t>points on</w:t>
      </w:r>
      <w:r>
        <w:rPr>
          <w:spacing w:val="-4"/>
          <w:sz w:val="16"/>
        </w:rPr>
        <w:t> </w:t>
      </w:r>
      <w:r>
        <w:rPr>
          <w:sz w:val="16"/>
        </w:rPr>
        <w:t>the</w:t>
      </w:r>
      <w:r>
        <w:rPr>
          <w:spacing w:val="-1"/>
          <w:sz w:val="16"/>
        </w:rPr>
        <w:t> </w:t>
      </w:r>
      <w:r>
        <w:rPr>
          <w:sz w:val="16"/>
        </w:rPr>
        <w:t>DTS</w:t>
      </w:r>
      <w:r>
        <w:rPr>
          <w:spacing w:val="-2"/>
          <w:sz w:val="16"/>
        </w:rPr>
        <w:t> </w:t>
      </w:r>
      <w:r>
        <w:rPr>
          <w:sz w:val="16"/>
        </w:rPr>
        <w:t>to</w:t>
      </w:r>
      <w:r>
        <w:rPr>
          <w:spacing w:val="-1"/>
          <w:sz w:val="16"/>
        </w:rPr>
        <w:t> </w:t>
      </w:r>
      <w:r>
        <w:rPr>
          <w:sz w:val="16"/>
        </w:rPr>
        <w:t>enable</w:t>
      </w:r>
      <w:r>
        <w:rPr>
          <w:spacing w:val="-10"/>
          <w:sz w:val="16"/>
        </w:rPr>
        <w:t> </w:t>
      </w:r>
      <w:r>
        <w:rPr>
          <w:sz w:val="16"/>
        </w:rPr>
        <w:t>AEMO</w:t>
      </w:r>
      <w:r>
        <w:rPr>
          <w:spacing w:val="-3"/>
          <w:sz w:val="16"/>
        </w:rPr>
        <w:t> </w:t>
      </w:r>
      <w:r>
        <w:rPr>
          <w:sz w:val="16"/>
        </w:rPr>
        <w:t>to</w:t>
      </w:r>
      <w:r>
        <w:rPr>
          <w:spacing w:val="-3"/>
          <w:sz w:val="16"/>
        </w:rPr>
        <w:t> </w:t>
      </w:r>
      <w:r>
        <w:rPr>
          <w:sz w:val="16"/>
        </w:rPr>
        <w:t>monitor</w:t>
      </w:r>
      <w:r>
        <w:rPr>
          <w:spacing w:val="-3"/>
          <w:sz w:val="16"/>
        </w:rPr>
        <w:t> </w:t>
      </w:r>
      <w:r>
        <w:rPr>
          <w:sz w:val="16"/>
        </w:rPr>
        <w:t>the</w:t>
      </w:r>
      <w:r>
        <w:rPr>
          <w:spacing w:val="-1"/>
          <w:sz w:val="16"/>
        </w:rPr>
        <w:t> </w:t>
      </w:r>
      <w:r>
        <w:rPr>
          <w:sz w:val="16"/>
        </w:rPr>
        <w:t>quality</w:t>
      </w:r>
      <w:r>
        <w:rPr>
          <w:spacing w:val="-4"/>
          <w:sz w:val="16"/>
        </w:rPr>
        <w:t> </w:t>
      </w:r>
      <w:r>
        <w:rPr>
          <w:sz w:val="16"/>
        </w:rPr>
        <w:t>of gas</w:t>
      </w:r>
      <w:r>
        <w:rPr>
          <w:spacing w:val="-2"/>
          <w:sz w:val="16"/>
        </w:rPr>
        <w:t> </w:t>
      </w:r>
      <w:r>
        <w:rPr>
          <w:sz w:val="16"/>
        </w:rPr>
        <w:t>injected</w:t>
      </w:r>
      <w:r>
        <w:rPr>
          <w:spacing w:val="-4"/>
          <w:sz w:val="16"/>
        </w:rPr>
        <w:t> </w:t>
      </w:r>
      <w:r>
        <w:rPr>
          <w:sz w:val="16"/>
        </w:rPr>
        <w:t>into</w:t>
      </w:r>
      <w:r>
        <w:rPr>
          <w:spacing w:val="-4"/>
          <w:sz w:val="16"/>
        </w:rPr>
        <w:t> </w:t>
      </w:r>
      <w:r>
        <w:rPr>
          <w:sz w:val="16"/>
        </w:rPr>
        <w:t>and withdrawn from the DTS.</w:t>
      </w:r>
    </w:p>
    <w:p>
      <w:pPr>
        <w:spacing w:before="60"/>
        <w:ind w:left="232" w:right="374" w:firstLine="0"/>
        <w:jc w:val="left"/>
        <w:rPr>
          <w:sz w:val="16"/>
        </w:rPr>
      </w:pPr>
      <w:r>
        <w:rPr>
          <w:sz w:val="16"/>
        </w:rPr>
        <w:t>The </w:t>
      </w:r>
      <w:r>
        <w:rPr>
          <w:i/>
          <w:sz w:val="16"/>
        </w:rPr>
        <w:t>National Gas Law </w:t>
      </w:r>
      <w:r>
        <w:rPr>
          <w:sz w:val="16"/>
        </w:rPr>
        <w:t>is the Schedule to the </w:t>
      </w:r>
      <w:r>
        <w:rPr>
          <w:i/>
          <w:sz w:val="16"/>
        </w:rPr>
        <w:t>National Gas (South</w:t>
      </w:r>
      <w:r>
        <w:rPr>
          <w:i/>
          <w:spacing w:val="-4"/>
          <w:sz w:val="16"/>
        </w:rPr>
        <w:t> </w:t>
      </w:r>
      <w:r>
        <w:rPr>
          <w:i/>
          <w:sz w:val="16"/>
        </w:rPr>
        <w:t>Australia)</w:t>
      </w:r>
      <w:r>
        <w:rPr>
          <w:i/>
          <w:spacing w:val="-4"/>
          <w:sz w:val="16"/>
        </w:rPr>
        <w:t> </w:t>
      </w:r>
      <w:r>
        <w:rPr>
          <w:i/>
          <w:sz w:val="16"/>
        </w:rPr>
        <w:t>Act </w:t>
      </w:r>
      <w:r>
        <w:rPr>
          <w:sz w:val="16"/>
        </w:rPr>
        <w:t>(SA), applied in Victoria under the </w:t>
      </w:r>
      <w:r>
        <w:rPr>
          <w:i/>
          <w:sz w:val="16"/>
        </w:rPr>
        <w:t>National Gas (Victoria)</w:t>
      </w:r>
      <w:r>
        <w:rPr>
          <w:i/>
          <w:spacing w:val="-10"/>
          <w:sz w:val="16"/>
        </w:rPr>
        <w:t> </w:t>
      </w:r>
      <w:r>
        <w:rPr>
          <w:i/>
          <w:sz w:val="16"/>
        </w:rPr>
        <w:t>Act</w:t>
      </w:r>
      <w:r>
        <w:rPr>
          <w:i/>
          <w:spacing w:val="-3"/>
          <w:sz w:val="16"/>
        </w:rPr>
        <w:t> </w:t>
      </w:r>
      <w:r>
        <w:rPr>
          <w:i/>
          <w:sz w:val="16"/>
        </w:rPr>
        <w:t>2008</w:t>
      </w:r>
      <w:r>
        <w:rPr>
          <w:i/>
          <w:spacing w:val="-1"/>
          <w:sz w:val="16"/>
        </w:rPr>
        <w:t> </w:t>
      </w:r>
      <w:r>
        <w:rPr>
          <w:sz w:val="16"/>
        </w:rPr>
        <w:t>(Vic).</w:t>
      </w:r>
      <w:r>
        <w:rPr>
          <w:spacing w:val="-3"/>
          <w:sz w:val="16"/>
        </w:rPr>
        <w:t> </w:t>
      </w:r>
      <w:r>
        <w:rPr>
          <w:sz w:val="16"/>
        </w:rPr>
        <w:t>It</w:t>
      </w:r>
      <w:r>
        <w:rPr>
          <w:spacing w:val="-1"/>
          <w:sz w:val="16"/>
        </w:rPr>
        <w:t> </w:t>
      </w:r>
      <w:r>
        <w:rPr>
          <w:sz w:val="16"/>
        </w:rPr>
        <w:t>authorises</w:t>
      </w:r>
      <w:r>
        <w:rPr>
          <w:spacing w:val="-3"/>
          <w:sz w:val="16"/>
        </w:rPr>
        <w:t> </w:t>
      </w:r>
      <w:r>
        <w:rPr>
          <w:sz w:val="16"/>
        </w:rPr>
        <w:t>the</w:t>
      </w:r>
      <w:r>
        <w:rPr>
          <w:spacing w:val="-5"/>
          <w:sz w:val="16"/>
        </w:rPr>
        <w:t> </w:t>
      </w:r>
      <w:r>
        <w:rPr>
          <w:sz w:val="16"/>
        </w:rPr>
        <w:t>gas</w:t>
      </w:r>
      <w:r>
        <w:rPr>
          <w:spacing w:val="-3"/>
          <w:sz w:val="16"/>
        </w:rPr>
        <w:t> </w:t>
      </w:r>
      <w:r>
        <w:rPr>
          <w:sz w:val="16"/>
        </w:rPr>
        <w:t>market</w:t>
      </w:r>
      <w:r>
        <w:rPr>
          <w:spacing w:val="-1"/>
          <w:sz w:val="16"/>
        </w:rPr>
        <w:t> </w:t>
      </w:r>
      <w:r>
        <w:rPr>
          <w:sz w:val="16"/>
        </w:rPr>
        <w:t>and</w:t>
      </w:r>
      <w:r>
        <w:rPr>
          <w:spacing w:val="-2"/>
          <w:sz w:val="16"/>
        </w:rPr>
        <w:t> </w:t>
      </w:r>
      <w:r>
        <w:rPr>
          <w:sz w:val="16"/>
        </w:rPr>
        <w:t>provides</w:t>
      </w:r>
      <w:r>
        <w:rPr>
          <w:spacing w:val="-3"/>
          <w:sz w:val="16"/>
        </w:rPr>
        <w:t> </w:t>
      </w:r>
      <w:r>
        <w:rPr>
          <w:sz w:val="16"/>
        </w:rPr>
        <w:t>for</w:t>
      </w:r>
      <w:r>
        <w:rPr>
          <w:spacing w:val="-2"/>
          <w:sz w:val="16"/>
        </w:rPr>
        <w:t> </w:t>
      </w:r>
      <w:r>
        <w:rPr>
          <w:sz w:val="16"/>
        </w:rPr>
        <w:t>the</w:t>
      </w:r>
      <w:r>
        <w:rPr>
          <w:spacing w:val="-2"/>
          <w:sz w:val="16"/>
        </w:rPr>
        <w:t> </w:t>
      </w:r>
      <w:r>
        <w:rPr>
          <w:sz w:val="16"/>
        </w:rPr>
        <w:t>governance</w:t>
      </w:r>
      <w:r>
        <w:rPr>
          <w:spacing w:val="-4"/>
          <w:sz w:val="16"/>
        </w:rPr>
        <w:t> </w:t>
      </w:r>
      <w:r>
        <w:rPr>
          <w:sz w:val="16"/>
        </w:rPr>
        <w:t>framework.</w:t>
      </w:r>
      <w:r>
        <w:rPr>
          <w:spacing w:val="-1"/>
          <w:sz w:val="16"/>
        </w:rPr>
        <w:t> </w:t>
      </w:r>
      <w:r>
        <w:rPr>
          <w:sz w:val="16"/>
        </w:rPr>
        <w:t>It</w:t>
      </w:r>
      <w:r>
        <w:rPr>
          <w:spacing w:val="-1"/>
          <w:sz w:val="16"/>
        </w:rPr>
        <w:t> </w:t>
      </w:r>
      <w:r>
        <w:rPr>
          <w:sz w:val="16"/>
        </w:rPr>
        <w:t>provides for</w:t>
      </w:r>
      <w:r>
        <w:rPr>
          <w:spacing w:val="-4"/>
          <w:sz w:val="16"/>
        </w:rPr>
        <w:t> </w:t>
      </w:r>
      <w:r>
        <w:rPr>
          <w:sz w:val="16"/>
        </w:rPr>
        <w:t>the</w:t>
      </w:r>
      <w:r>
        <w:rPr>
          <w:spacing w:val="-4"/>
          <w:sz w:val="16"/>
        </w:rPr>
        <w:t> </w:t>
      </w:r>
      <w:r>
        <w:rPr>
          <w:sz w:val="16"/>
        </w:rPr>
        <w:t>making</w:t>
      </w:r>
      <w:r>
        <w:rPr>
          <w:spacing w:val="-5"/>
          <w:sz w:val="16"/>
        </w:rPr>
        <w:t> </w:t>
      </w:r>
      <w:r>
        <w:rPr>
          <w:sz w:val="16"/>
        </w:rPr>
        <w:t>of </w:t>
      </w:r>
      <w:r>
        <w:rPr>
          <w:i/>
          <w:sz w:val="16"/>
        </w:rPr>
        <w:t>National Gas Rules</w:t>
      </w:r>
      <w:r>
        <w:rPr>
          <w:sz w:val="16"/>
        </w:rPr>
        <w:t>, and formal Procedures.</w:t>
      </w:r>
    </w:p>
    <w:p>
      <w:pPr>
        <w:spacing w:after="0"/>
        <w:jc w:val="left"/>
        <w:rPr>
          <w:sz w:val="16"/>
        </w:rPr>
        <w:sectPr>
          <w:pgSz w:w="11910" w:h="16850"/>
          <w:pgMar w:header="220" w:footer="678" w:top="420" w:bottom="860" w:left="900" w:right="840"/>
        </w:sectPr>
      </w:pPr>
    </w:p>
    <w:p>
      <w:pPr>
        <w:pStyle w:val="BodyText"/>
        <w:rPr>
          <w:sz w:val="20"/>
        </w:rPr>
      </w:pPr>
    </w:p>
    <w:p>
      <w:pPr>
        <w:pStyle w:val="BodyText"/>
        <w:spacing w:before="2"/>
        <w:rPr>
          <w:sz w:val="19"/>
        </w:rPr>
      </w:pPr>
    </w:p>
    <w:p>
      <w:pPr>
        <w:pStyle w:val="BodyText"/>
        <w:spacing w:line="288" w:lineRule="auto" w:before="94"/>
        <w:ind w:left="232" w:right="374"/>
      </w:pPr>
      <w:r>
        <w:rPr/>
        <w:t>are</w:t>
      </w:r>
      <w:r>
        <w:rPr>
          <w:spacing w:val="-4"/>
        </w:rPr>
        <w:t> </w:t>
      </w:r>
      <w:r>
        <w:rPr/>
        <w:t>generally</w:t>
      </w:r>
      <w:r>
        <w:rPr>
          <w:spacing w:val="-4"/>
        </w:rPr>
        <w:t> </w:t>
      </w:r>
      <w:r>
        <w:rPr/>
        <w:t>adopted</w:t>
      </w:r>
      <w:r>
        <w:rPr>
          <w:spacing w:val="-2"/>
        </w:rPr>
        <w:t> </w:t>
      </w:r>
      <w:r>
        <w:rPr/>
        <w:t>by</w:t>
      </w:r>
      <w:r>
        <w:rPr>
          <w:spacing w:val="-6"/>
        </w:rPr>
        <w:t> </w:t>
      </w:r>
      <w:r>
        <w:rPr/>
        <w:t>gas</w:t>
      </w:r>
      <w:r>
        <w:rPr>
          <w:spacing w:val="-2"/>
        </w:rPr>
        <w:t> </w:t>
      </w:r>
      <w:r>
        <w:rPr/>
        <w:t>companies</w:t>
      </w:r>
      <w:r>
        <w:rPr>
          <w:spacing w:val="-4"/>
        </w:rPr>
        <w:t> </w:t>
      </w:r>
      <w:r>
        <w:rPr/>
        <w:t>to</w:t>
      </w:r>
      <w:r>
        <w:rPr>
          <w:spacing w:val="-6"/>
        </w:rPr>
        <w:t> </w:t>
      </w:r>
      <w:r>
        <w:rPr/>
        <w:t>give</w:t>
      </w:r>
      <w:r>
        <w:rPr>
          <w:spacing w:val="-2"/>
        </w:rPr>
        <w:t> </w:t>
      </w:r>
      <w:r>
        <w:rPr/>
        <w:t>further</w:t>
      </w:r>
      <w:r>
        <w:rPr>
          <w:spacing w:val="-1"/>
        </w:rPr>
        <w:t> </w:t>
      </w:r>
      <w:r>
        <w:rPr/>
        <w:t>safety</w:t>
      </w:r>
      <w:r>
        <w:rPr>
          <w:spacing w:val="-3"/>
        </w:rPr>
        <w:t> </w:t>
      </w:r>
      <w:r>
        <w:rPr/>
        <w:t>case</w:t>
      </w:r>
      <w:r>
        <w:rPr>
          <w:spacing w:val="-7"/>
        </w:rPr>
        <w:t> </w:t>
      </w:r>
      <w:r>
        <w:rPr/>
        <w:t>guidance</w:t>
      </w:r>
      <w:r>
        <w:rPr>
          <w:spacing w:val="-2"/>
        </w:rPr>
        <w:t> </w:t>
      </w:r>
      <w:r>
        <w:rPr/>
        <w:t>with</w:t>
      </w:r>
      <w:r>
        <w:rPr>
          <w:spacing w:val="-2"/>
        </w:rPr>
        <w:t> </w:t>
      </w:r>
      <w:r>
        <w:rPr/>
        <w:t>AS 2885</w:t>
      </w:r>
      <w:r>
        <w:rPr>
          <w:spacing w:val="-2"/>
        </w:rPr>
        <w:t> </w:t>
      </w:r>
      <w:r>
        <w:rPr/>
        <w:t>being the prescribed standard in the </w:t>
      </w:r>
      <w:r>
        <w:rPr>
          <w:i/>
        </w:rPr>
        <w:t>Pipelines Regulations 2017 </w:t>
      </w:r>
      <w:r>
        <w:rPr/>
        <w:t>for transmission pipelines.</w:t>
      </w:r>
    </w:p>
    <w:p>
      <w:pPr>
        <w:pStyle w:val="BodyText"/>
        <w:spacing w:before="10"/>
        <w:rPr>
          <w:sz w:val="20"/>
        </w:rPr>
      </w:pPr>
    </w:p>
    <w:p>
      <w:pPr>
        <w:pStyle w:val="BodyText"/>
        <w:spacing w:line="288" w:lineRule="auto" w:before="1"/>
        <w:ind w:left="232"/>
      </w:pPr>
      <w:r>
        <w:rPr/>
        <w:t>Like</w:t>
      </w:r>
      <w:r>
        <w:rPr>
          <w:spacing w:val="-4"/>
        </w:rPr>
        <w:t> </w:t>
      </w:r>
      <w:r>
        <w:rPr/>
        <w:t>transmission</w:t>
      </w:r>
      <w:r>
        <w:rPr>
          <w:spacing w:val="-2"/>
        </w:rPr>
        <w:t> </w:t>
      </w:r>
      <w:r>
        <w:rPr/>
        <w:t>and</w:t>
      </w:r>
      <w:r>
        <w:rPr>
          <w:spacing w:val="-4"/>
        </w:rPr>
        <w:t> </w:t>
      </w:r>
      <w:r>
        <w:rPr/>
        <w:t>distribution</w:t>
      </w:r>
      <w:r>
        <w:rPr>
          <w:spacing w:val="-4"/>
        </w:rPr>
        <w:t> </w:t>
      </w:r>
      <w:r>
        <w:rPr/>
        <w:t>businesses,</w:t>
      </w:r>
      <w:r>
        <w:rPr>
          <w:spacing w:val="-5"/>
        </w:rPr>
        <w:t> </w:t>
      </w:r>
      <w:r>
        <w:rPr/>
        <w:t>gas</w:t>
      </w:r>
      <w:r>
        <w:rPr>
          <w:spacing w:val="-1"/>
        </w:rPr>
        <w:t> </w:t>
      </w:r>
      <w:r>
        <w:rPr/>
        <w:t>retail</w:t>
      </w:r>
      <w:r>
        <w:rPr>
          <w:spacing w:val="-2"/>
        </w:rPr>
        <w:t> </w:t>
      </w:r>
      <w:r>
        <w:rPr/>
        <w:t>businesses</w:t>
      </w:r>
      <w:r>
        <w:rPr>
          <w:spacing w:val="-2"/>
        </w:rPr>
        <w:t> </w:t>
      </w:r>
      <w:r>
        <w:rPr/>
        <w:t>are</w:t>
      </w:r>
      <w:r>
        <w:rPr>
          <w:spacing w:val="-4"/>
        </w:rPr>
        <w:t> </w:t>
      </w:r>
      <w:r>
        <w:rPr/>
        <w:t>required</w:t>
      </w:r>
      <w:r>
        <w:rPr>
          <w:spacing w:val="-4"/>
        </w:rPr>
        <w:t> </w:t>
      </w:r>
      <w:r>
        <w:rPr/>
        <w:t>to</w:t>
      </w:r>
      <w:r>
        <w:rPr>
          <w:spacing w:val="-4"/>
        </w:rPr>
        <w:t> </w:t>
      </w:r>
      <w:r>
        <w:rPr/>
        <w:t>submit a</w:t>
      </w:r>
      <w:r>
        <w:rPr>
          <w:spacing w:val="-4"/>
        </w:rPr>
        <w:t> </w:t>
      </w:r>
      <w:r>
        <w:rPr/>
        <w:t>safety case, although content requirements under the regulations differ (for example, retailers are not required to include a formal safety assessment).</w:t>
      </w:r>
    </w:p>
    <w:p>
      <w:pPr>
        <w:pStyle w:val="BodyText"/>
        <w:spacing w:before="8"/>
        <w:rPr>
          <w:sz w:val="20"/>
        </w:rPr>
      </w:pPr>
    </w:p>
    <w:p>
      <w:pPr>
        <w:pStyle w:val="Heading8"/>
        <w:ind w:left="232"/>
      </w:pPr>
      <w:r>
        <w:rPr/>
        <w:t>Gas</w:t>
      </w:r>
      <w:r>
        <w:rPr>
          <w:spacing w:val="-5"/>
        </w:rPr>
        <w:t> </w:t>
      </w:r>
      <w:r>
        <w:rPr/>
        <w:t>Safety</w:t>
      </w:r>
      <w:r>
        <w:rPr>
          <w:spacing w:val="-6"/>
        </w:rPr>
        <w:t> </w:t>
      </w:r>
      <w:r>
        <w:rPr/>
        <w:t>(Gas</w:t>
      </w:r>
      <w:r>
        <w:rPr>
          <w:spacing w:val="-7"/>
        </w:rPr>
        <w:t> </w:t>
      </w:r>
      <w:r>
        <w:rPr/>
        <w:t>Quality)</w:t>
      </w:r>
      <w:r>
        <w:rPr>
          <w:spacing w:val="-5"/>
        </w:rPr>
        <w:t> </w:t>
      </w:r>
      <w:r>
        <w:rPr/>
        <w:t>Regulations</w:t>
      </w:r>
      <w:r>
        <w:rPr>
          <w:spacing w:val="-6"/>
        </w:rPr>
        <w:t> </w:t>
      </w:r>
      <w:r>
        <w:rPr>
          <w:spacing w:val="-4"/>
        </w:rPr>
        <w:t>2007</w:t>
      </w:r>
    </w:p>
    <w:p>
      <w:pPr>
        <w:pStyle w:val="BodyText"/>
        <w:spacing w:line="288" w:lineRule="auto" w:before="172"/>
        <w:ind w:left="232" w:right="625"/>
        <w:jc w:val="both"/>
      </w:pPr>
      <w:r>
        <w:rPr/>
        <w:t>Under the Act, in addition to a gas company’s duty to manage and operate</w:t>
      </w:r>
      <w:r>
        <w:rPr>
          <w:spacing w:val="-2"/>
        </w:rPr>
        <w:t> </w:t>
      </w:r>
      <w:r>
        <w:rPr/>
        <w:t>facilities to minimise risk,</w:t>
      </w:r>
      <w:r>
        <w:rPr>
          <w:spacing w:val="-4"/>
        </w:rPr>
        <w:t> </w:t>
      </w:r>
      <w:r>
        <w:rPr/>
        <w:t>a</w:t>
      </w:r>
      <w:r>
        <w:rPr>
          <w:spacing w:val="-3"/>
        </w:rPr>
        <w:t> </w:t>
      </w:r>
      <w:r>
        <w:rPr/>
        <w:t>company</w:t>
      </w:r>
      <w:r>
        <w:rPr>
          <w:spacing w:val="-5"/>
        </w:rPr>
        <w:t> </w:t>
      </w:r>
      <w:r>
        <w:rPr/>
        <w:t>must</w:t>
      </w:r>
      <w:r>
        <w:rPr>
          <w:spacing w:val="-1"/>
        </w:rPr>
        <w:t> </w:t>
      </w:r>
      <w:r>
        <w:rPr/>
        <w:t>ensure</w:t>
      </w:r>
      <w:r>
        <w:rPr>
          <w:spacing w:val="-5"/>
        </w:rPr>
        <w:t> </w:t>
      </w:r>
      <w:r>
        <w:rPr/>
        <w:t>gas</w:t>
      </w:r>
      <w:r>
        <w:rPr>
          <w:spacing w:val="-5"/>
        </w:rPr>
        <w:t> </w:t>
      </w:r>
      <w:r>
        <w:rPr/>
        <w:t>conveyed</w:t>
      </w:r>
      <w:r>
        <w:rPr>
          <w:spacing w:val="-3"/>
        </w:rPr>
        <w:t> </w:t>
      </w:r>
      <w:r>
        <w:rPr/>
        <w:t>meets</w:t>
      </w:r>
      <w:r>
        <w:rPr>
          <w:spacing w:val="-2"/>
        </w:rPr>
        <w:t> </w:t>
      </w:r>
      <w:r>
        <w:rPr/>
        <w:t>prescribed</w:t>
      </w:r>
      <w:r>
        <w:rPr>
          <w:spacing w:val="-3"/>
        </w:rPr>
        <w:t> </w:t>
      </w:r>
      <w:r>
        <w:rPr/>
        <w:t>standards</w:t>
      </w:r>
      <w:r>
        <w:rPr>
          <w:spacing w:val="-2"/>
        </w:rPr>
        <w:t> </w:t>
      </w:r>
      <w:r>
        <w:rPr/>
        <w:t>of</w:t>
      </w:r>
      <w:r>
        <w:rPr>
          <w:spacing w:val="-4"/>
        </w:rPr>
        <w:t> </w:t>
      </w:r>
      <w:r>
        <w:rPr/>
        <w:t>quality</w:t>
      </w:r>
      <w:r>
        <w:rPr>
          <w:spacing w:val="-5"/>
        </w:rPr>
        <w:t> </w:t>
      </w:r>
      <w:r>
        <w:rPr/>
        <w:t>and</w:t>
      </w:r>
      <w:r>
        <w:rPr>
          <w:spacing w:val="-3"/>
        </w:rPr>
        <w:t> </w:t>
      </w:r>
      <w:r>
        <w:rPr/>
        <w:t>complies with any other prescribed requirements.</w:t>
      </w:r>
    </w:p>
    <w:p>
      <w:pPr>
        <w:pStyle w:val="BodyText"/>
        <w:spacing w:before="9"/>
        <w:rPr>
          <w:sz w:val="20"/>
        </w:rPr>
      </w:pPr>
    </w:p>
    <w:p>
      <w:pPr>
        <w:pStyle w:val="BodyText"/>
        <w:spacing w:line="288" w:lineRule="auto"/>
        <w:ind w:left="232" w:right="374"/>
      </w:pPr>
      <w:r>
        <w:rPr/>
        <w:t>The</w:t>
      </w:r>
      <w:r>
        <w:rPr>
          <w:spacing w:val="-3"/>
        </w:rPr>
        <w:t> </w:t>
      </w:r>
      <w:r>
        <w:rPr>
          <w:i/>
        </w:rPr>
        <w:t>Gas</w:t>
      </w:r>
      <w:r>
        <w:rPr>
          <w:i/>
          <w:spacing w:val="-3"/>
        </w:rPr>
        <w:t> </w:t>
      </w:r>
      <w:r>
        <w:rPr>
          <w:i/>
        </w:rPr>
        <w:t>Safety</w:t>
      </w:r>
      <w:r>
        <w:rPr>
          <w:i/>
          <w:spacing w:val="-3"/>
        </w:rPr>
        <w:t> </w:t>
      </w:r>
      <w:r>
        <w:rPr>
          <w:i/>
        </w:rPr>
        <w:t>(Gas</w:t>
      </w:r>
      <w:r>
        <w:rPr>
          <w:i/>
          <w:spacing w:val="-3"/>
        </w:rPr>
        <w:t> </w:t>
      </w:r>
      <w:r>
        <w:rPr>
          <w:i/>
        </w:rPr>
        <w:t>Quality) Regulations</w:t>
      </w:r>
      <w:r>
        <w:rPr>
          <w:i/>
          <w:spacing w:val="-1"/>
        </w:rPr>
        <w:t> </w:t>
      </w:r>
      <w:r>
        <w:rPr>
          <w:i/>
        </w:rPr>
        <w:t>2007</w:t>
      </w:r>
      <w:r>
        <w:rPr>
          <w:i/>
          <w:spacing w:val="-2"/>
        </w:rPr>
        <w:t> </w:t>
      </w:r>
      <w:r>
        <w:rPr/>
        <w:t>regulate</w:t>
      </w:r>
      <w:r>
        <w:rPr>
          <w:spacing w:val="-3"/>
        </w:rPr>
        <w:t> </w:t>
      </w:r>
      <w:r>
        <w:rPr/>
        <w:t>activities</w:t>
      </w:r>
      <w:r>
        <w:rPr>
          <w:spacing w:val="-1"/>
        </w:rPr>
        <w:t> </w:t>
      </w:r>
      <w:r>
        <w:rPr/>
        <w:t>of</w:t>
      </w:r>
      <w:r>
        <w:rPr>
          <w:spacing w:val="-2"/>
        </w:rPr>
        <w:t> </w:t>
      </w:r>
      <w:r>
        <w:rPr/>
        <w:t>gas</w:t>
      </w:r>
      <w:r>
        <w:rPr>
          <w:spacing w:val="-5"/>
        </w:rPr>
        <w:t> </w:t>
      </w:r>
      <w:r>
        <w:rPr/>
        <w:t>companies</w:t>
      </w:r>
      <w:r>
        <w:rPr>
          <w:spacing w:val="-1"/>
        </w:rPr>
        <w:t> </w:t>
      </w:r>
      <w:r>
        <w:rPr/>
        <w:t>in</w:t>
      </w:r>
      <w:r>
        <w:rPr>
          <w:spacing w:val="-3"/>
        </w:rPr>
        <w:t> </w:t>
      </w:r>
      <w:r>
        <w:rPr/>
        <w:t>relation</w:t>
      </w:r>
      <w:r>
        <w:rPr>
          <w:spacing w:val="-3"/>
        </w:rPr>
        <w:t> </w:t>
      </w:r>
      <w:r>
        <w:rPr/>
        <w:t>to the quality of gas they convey and supply to customers. They prescribe quality standards, requirements for gas odourisation, and requirements for testing gas quality.</w:t>
      </w:r>
    </w:p>
    <w:p>
      <w:pPr>
        <w:pStyle w:val="BodyText"/>
        <w:rPr>
          <w:sz w:val="21"/>
        </w:rPr>
      </w:pPr>
    </w:p>
    <w:p>
      <w:pPr>
        <w:pStyle w:val="Heading8"/>
        <w:spacing w:before="1"/>
        <w:ind w:left="232"/>
      </w:pPr>
      <w:r>
        <w:rPr/>
        <w:t>Gas</w:t>
      </w:r>
      <w:r>
        <w:rPr>
          <w:spacing w:val="-6"/>
        </w:rPr>
        <w:t> </w:t>
      </w:r>
      <w:r>
        <w:rPr/>
        <w:t>Safety</w:t>
      </w:r>
      <w:r>
        <w:rPr>
          <w:spacing w:val="-7"/>
        </w:rPr>
        <w:t> </w:t>
      </w:r>
      <w:r>
        <w:rPr/>
        <w:t>(Gas</w:t>
      </w:r>
      <w:r>
        <w:rPr>
          <w:spacing w:val="-7"/>
        </w:rPr>
        <w:t> </w:t>
      </w:r>
      <w:r>
        <w:rPr/>
        <w:t>Installation)</w:t>
      </w:r>
      <w:r>
        <w:rPr>
          <w:spacing w:val="-6"/>
        </w:rPr>
        <w:t> </w:t>
      </w:r>
      <w:r>
        <w:rPr/>
        <w:t>Regulations</w:t>
      </w:r>
      <w:r>
        <w:rPr>
          <w:spacing w:val="-7"/>
        </w:rPr>
        <w:t> </w:t>
      </w:r>
      <w:r>
        <w:rPr>
          <w:spacing w:val="-4"/>
        </w:rPr>
        <w:t>2008</w:t>
      </w:r>
    </w:p>
    <w:p>
      <w:pPr>
        <w:spacing w:line="288" w:lineRule="auto" w:before="169"/>
        <w:ind w:left="232" w:right="374" w:firstLine="0"/>
        <w:jc w:val="left"/>
        <w:rPr>
          <w:sz w:val="22"/>
        </w:rPr>
      </w:pPr>
      <w:r>
        <w:rPr>
          <w:sz w:val="22"/>
        </w:rPr>
        <w:t>The</w:t>
      </w:r>
      <w:r>
        <w:rPr>
          <w:spacing w:val="-4"/>
          <w:sz w:val="22"/>
        </w:rPr>
        <w:t> </w:t>
      </w:r>
      <w:r>
        <w:rPr>
          <w:i/>
          <w:sz w:val="22"/>
        </w:rPr>
        <w:t>Gas</w:t>
      </w:r>
      <w:r>
        <w:rPr>
          <w:i/>
          <w:spacing w:val="-4"/>
          <w:sz w:val="22"/>
        </w:rPr>
        <w:t> </w:t>
      </w:r>
      <w:r>
        <w:rPr>
          <w:i/>
          <w:sz w:val="22"/>
        </w:rPr>
        <w:t>Safety</w:t>
      </w:r>
      <w:r>
        <w:rPr>
          <w:i/>
          <w:spacing w:val="-4"/>
          <w:sz w:val="22"/>
        </w:rPr>
        <w:t> </w:t>
      </w:r>
      <w:r>
        <w:rPr>
          <w:i/>
          <w:sz w:val="22"/>
        </w:rPr>
        <w:t>(Gas</w:t>
      </w:r>
      <w:r>
        <w:rPr>
          <w:i/>
          <w:spacing w:val="-4"/>
          <w:sz w:val="22"/>
        </w:rPr>
        <w:t> </w:t>
      </w:r>
      <w:r>
        <w:rPr>
          <w:i/>
          <w:sz w:val="22"/>
        </w:rPr>
        <w:t>Installation)</w:t>
      </w:r>
      <w:r>
        <w:rPr>
          <w:i/>
          <w:spacing w:val="-2"/>
          <w:sz w:val="22"/>
        </w:rPr>
        <w:t> </w:t>
      </w:r>
      <w:r>
        <w:rPr>
          <w:i/>
          <w:sz w:val="22"/>
        </w:rPr>
        <w:t>Regulations</w:t>
      </w:r>
      <w:r>
        <w:rPr>
          <w:i/>
          <w:spacing w:val="-3"/>
          <w:sz w:val="22"/>
        </w:rPr>
        <w:t> </w:t>
      </w:r>
      <w:r>
        <w:rPr>
          <w:i/>
          <w:sz w:val="22"/>
        </w:rPr>
        <w:t>2008</w:t>
      </w:r>
      <w:r>
        <w:rPr>
          <w:i/>
          <w:spacing w:val="-1"/>
          <w:sz w:val="22"/>
        </w:rPr>
        <w:t> </w:t>
      </w:r>
      <w:r>
        <w:rPr>
          <w:sz w:val="22"/>
        </w:rPr>
        <w:t>regulate</w:t>
      </w:r>
      <w:r>
        <w:rPr>
          <w:spacing w:val="-4"/>
          <w:sz w:val="22"/>
        </w:rPr>
        <w:t> </w:t>
      </w:r>
      <w:r>
        <w:rPr>
          <w:sz w:val="22"/>
        </w:rPr>
        <w:t>the</w:t>
      </w:r>
      <w:r>
        <w:rPr>
          <w:spacing w:val="-4"/>
          <w:sz w:val="22"/>
        </w:rPr>
        <w:t> </w:t>
      </w:r>
      <w:r>
        <w:rPr>
          <w:sz w:val="22"/>
        </w:rPr>
        <w:t>activities</w:t>
      </w:r>
      <w:r>
        <w:rPr>
          <w:spacing w:val="-3"/>
          <w:sz w:val="22"/>
        </w:rPr>
        <w:t> </w:t>
      </w:r>
      <w:r>
        <w:rPr>
          <w:sz w:val="22"/>
        </w:rPr>
        <w:t>of licensed</w:t>
      </w:r>
      <w:r>
        <w:rPr>
          <w:spacing w:val="-3"/>
          <w:sz w:val="22"/>
        </w:rPr>
        <w:t> </w:t>
      </w:r>
      <w:r>
        <w:rPr>
          <w:sz w:val="22"/>
        </w:rPr>
        <w:t>and registered gasfitters, and gas appliance manufacturers and suppliers.</w:t>
      </w:r>
    </w:p>
    <w:p>
      <w:pPr>
        <w:pStyle w:val="BodyText"/>
        <w:spacing w:before="10"/>
        <w:rPr>
          <w:sz w:val="20"/>
        </w:rPr>
      </w:pPr>
    </w:p>
    <w:p>
      <w:pPr>
        <w:pStyle w:val="BodyText"/>
        <w:spacing w:line="288" w:lineRule="auto"/>
        <w:ind w:left="232" w:right="455"/>
        <w:jc w:val="both"/>
      </w:pPr>
      <w:r>
        <w:rPr/>
        <w:t>They</w:t>
      </w:r>
      <w:r>
        <w:rPr>
          <w:spacing w:val="-1"/>
        </w:rPr>
        <w:t> </w:t>
      </w:r>
      <w:r>
        <w:rPr/>
        <w:t>provide standards</w:t>
      </w:r>
      <w:r>
        <w:rPr>
          <w:spacing w:val="-3"/>
        </w:rPr>
        <w:t> </w:t>
      </w:r>
      <w:r>
        <w:rPr/>
        <w:t>for gas</w:t>
      </w:r>
      <w:r>
        <w:rPr>
          <w:spacing w:val="-3"/>
        </w:rPr>
        <w:t> </w:t>
      </w:r>
      <w:r>
        <w:rPr/>
        <w:t>fitting work, procedures</w:t>
      </w:r>
      <w:r>
        <w:rPr>
          <w:spacing w:val="-1"/>
        </w:rPr>
        <w:t> </w:t>
      </w:r>
      <w:r>
        <w:rPr/>
        <w:t>for the</w:t>
      </w:r>
      <w:r>
        <w:rPr>
          <w:spacing w:val="-1"/>
        </w:rPr>
        <w:t> </w:t>
      </w:r>
      <w:r>
        <w:rPr/>
        <w:t>acceptance</w:t>
      </w:r>
      <w:r>
        <w:rPr>
          <w:spacing w:val="-1"/>
        </w:rPr>
        <w:t> </w:t>
      </w:r>
      <w:r>
        <w:rPr/>
        <w:t>of appliances and</w:t>
      </w:r>
      <w:r>
        <w:rPr>
          <w:spacing w:val="-1"/>
        </w:rPr>
        <w:t> </w:t>
      </w:r>
      <w:r>
        <w:rPr/>
        <w:t>gas installations,</w:t>
      </w:r>
      <w:r>
        <w:rPr>
          <w:spacing w:val="-1"/>
        </w:rPr>
        <w:t> </w:t>
      </w:r>
      <w:r>
        <w:rPr/>
        <w:t>and</w:t>
      </w:r>
      <w:r>
        <w:rPr>
          <w:spacing w:val="-4"/>
        </w:rPr>
        <w:t> </w:t>
      </w:r>
      <w:r>
        <w:rPr/>
        <w:t>contain</w:t>
      </w:r>
      <w:r>
        <w:rPr>
          <w:spacing w:val="-6"/>
        </w:rPr>
        <w:t> </w:t>
      </w:r>
      <w:r>
        <w:rPr/>
        <w:t>general</w:t>
      </w:r>
      <w:r>
        <w:rPr>
          <w:spacing w:val="-2"/>
        </w:rPr>
        <w:t> </w:t>
      </w:r>
      <w:r>
        <w:rPr/>
        <w:t>provisions</w:t>
      </w:r>
      <w:r>
        <w:rPr>
          <w:spacing w:val="-4"/>
        </w:rPr>
        <w:t> </w:t>
      </w:r>
      <w:r>
        <w:rPr/>
        <w:t>for</w:t>
      </w:r>
      <w:r>
        <w:rPr>
          <w:spacing w:val="-3"/>
        </w:rPr>
        <w:t> </w:t>
      </w:r>
      <w:r>
        <w:rPr/>
        <w:t>the</w:t>
      </w:r>
      <w:r>
        <w:rPr>
          <w:spacing w:val="-2"/>
        </w:rPr>
        <w:t> </w:t>
      </w:r>
      <w:r>
        <w:rPr/>
        <w:t>safety</w:t>
      </w:r>
      <w:r>
        <w:rPr>
          <w:spacing w:val="-4"/>
        </w:rPr>
        <w:t> </w:t>
      </w:r>
      <w:r>
        <w:rPr/>
        <w:t>of</w:t>
      </w:r>
      <w:r>
        <w:rPr>
          <w:spacing w:val="-3"/>
        </w:rPr>
        <w:t> </w:t>
      </w:r>
      <w:r>
        <w:rPr/>
        <w:t>gas</w:t>
      </w:r>
      <w:r>
        <w:rPr>
          <w:spacing w:val="-2"/>
        </w:rPr>
        <w:t> </w:t>
      </w:r>
      <w:r>
        <w:rPr/>
        <w:t>appliances,</w:t>
      </w:r>
      <w:r>
        <w:rPr>
          <w:spacing w:val="-3"/>
        </w:rPr>
        <w:t> </w:t>
      </w:r>
      <w:r>
        <w:rPr/>
        <w:t>gas</w:t>
      </w:r>
      <w:r>
        <w:rPr>
          <w:spacing w:val="-4"/>
        </w:rPr>
        <w:t> </w:t>
      </w:r>
      <w:r>
        <w:rPr/>
        <w:t>installations</w:t>
      </w:r>
      <w:r>
        <w:rPr>
          <w:spacing w:val="-2"/>
        </w:rPr>
        <w:t> </w:t>
      </w:r>
      <w:r>
        <w:rPr/>
        <w:t>and work on gas appliances and installations.</w:t>
      </w:r>
    </w:p>
    <w:p>
      <w:pPr>
        <w:pStyle w:val="BodyText"/>
        <w:spacing w:before="9"/>
        <w:rPr>
          <w:sz w:val="20"/>
        </w:rPr>
      </w:pPr>
    </w:p>
    <w:p>
      <w:pPr>
        <w:pStyle w:val="Heading8"/>
        <w:ind w:left="232"/>
      </w:pPr>
      <w:r>
        <w:rPr/>
        <w:t>Pipelines</w:t>
      </w:r>
      <w:r>
        <w:rPr>
          <w:spacing w:val="-8"/>
        </w:rPr>
        <w:t> </w:t>
      </w:r>
      <w:r>
        <w:rPr/>
        <w:t>Act</w:t>
      </w:r>
      <w:r>
        <w:rPr>
          <w:spacing w:val="-4"/>
        </w:rPr>
        <w:t> 2005</w:t>
      </w:r>
    </w:p>
    <w:p>
      <w:pPr>
        <w:pStyle w:val="BodyText"/>
        <w:spacing w:line="288" w:lineRule="auto" w:before="172"/>
        <w:ind w:left="232" w:right="374"/>
      </w:pPr>
      <w:r>
        <w:rPr/>
        <w:t>A pipeline is constructed</w:t>
      </w:r>
      <w:r>
        <w:rPr>
          <w:spacing w:val="-3"/>
        </w:rPr>
        <w:t> </w:t>
      </w:r>
      <w:r>
        <w:rPr/>
        <w:t>to a</w:t>
      </w:r>
      <w:r>
        <w:rPr>
          <w:spacing w:val="-1"/>
        </w:rPr>
        <w:t> </w:t>
      </w:r>
      <w:r>
        <w:rPr/>
        <w:t>certain standard depending on</w:t>
      </w:r>
      <w:r>
        <w:rPr>
          <w:spacing w:val="-1"/>
        </w:rPr>
        <w:t> </w:t>
      </w:r>
      <w:r>
        <w:rPr/>
        <w:t>the</w:t>
      </w:r>
      <w:r>
        <w:rPr>
          <w:spacing w:val="-1"/>
        </w:rPr>
        <w:t> </w:t>
      </w:r>
      <w:r>
        <w:rPr/>
        <w:t>type of land use surrounding it at the time of building. There are two main types of pipelines: “rupture” and “non-rupture”. Non- rupture pipeline is more expensive and generally used in areas where there is increased risk of third</w:t>
      </w:r>
      <w:r>
        <w:rPr>
          <w:spacing w:val="-2"/>
        </w:rPr>
        <w:t> </w:t>
      </w:r>
      <w:r>
        <w:rPr/>
        <w:t>party</w:t>
      </w:r>
      <w:r>
        <w:rPr>
          <w:spacing w:val="-4"/>
        </w:rPr>
        <w:t> </w:t>
      </w:r>
      <w:r>
        <w:rPr/>
        <w:t>interference,</w:t>
      </w:r>
      <w:r>
        <w:rPr>
          <w:spacing w:val="-5"/>
        </w:rPr>
        <w:t> </w:t>
      </w:r>
      <w:r>
        <w:rPr/>
        <w:t>whereas</w:t>
      </w:r>
      <w:r>
        <w:rPr>
          <w:spacing w:val="-1"/>
        </w:rPr>
        <w:t> </w:t>
      </w:r>
      <w:r>
        <w:rPr/>
        <w:t>rupture</w:t>
      </w:r>
      <w:r>
        <w:rPr>
          <w:spacing w:val="-2"/>
        </w:rPr>
        <w:t> </w:t>
      </w:r>
      <w:r>
        <w:rPr/>
        <w:t>pipeline</w:t>
      </w:r>
      <w:r>
        <w:rPr>
          <w:spacing w:val="-2"/>
        </w:rPr>
        <w:t> </w:t>
      </w:r>
      <w:r>
        <w:rPr/>
        <w:t>is</w:t>
      </w:r>
      <w:r>
        <w:rPr>
          <w:spacing w:val="-1"/>
        </w:rPr>
        <w:t> </w:t>
      </w:r>
      <w:r>
        <w:rPr/>
        <w:t>significantly</w:t>
      </w:r>
      <w:r>
        <w:rPr>
          <w:spacing w:val="-4"/>
        </w:rPr>
        <w:t> </w:t>
      </w:r>
      <w:r>
        <w:rPr/>
        <w:t>cheaper</w:t>
      </w:r>
      <w:r>
        <w:rPr>
          <w:spacing w:val="-6"/>
        </w:rPr>
        <w:t> </w:t>
      </w:r>
      <w:r>
        <w:rPr/>
        <w:t>and</w:t>
      </w:r>
      <w:r>
        <w:rPr>
          <w:spacing w:val="-2"/>
        </w:rPr>
        <w:t> </w:t>
      </w:r>
      <w:r>
        <w:rPr/>
        <w:t>more</w:t>
      </w:r>
      <w:r>
        <w:rPr>
          <w:spacing w:val="-2"/>
        </w:rPr>
        <w:t> </w:t>
      </w:r>
      <w:r>
        <w:rPr/>
        <w:t>suitable</w:t>
      </w:r>
      <w:r>
        <w:rPr>
          <w:spacing w:val="-2"/>
        </w:rPr>
        <w:t> </w:t>
      </w:r>
      <w:r>
        <w:rPr/>
        <w:t>to</w:t>
      </w:r>
      <w:r>
        <w:rPr>
          <w:spacing w:val="-4"/>
        </w:rPr>
        <w:t> </w:t>
      </w:r>
      <w:r>
        <w:rPr/>
        <w:t>low- risk areas.</w:t>
      </w:r>
    </w:p>
    <w:p>
      <w:pPr>
        <w:pStyle w:val="BodyText"/>
        <w:spacing w:before="9"/>
        <w:rPr>
          <w:sz w:val="20"/>
        </w:rPr>
      </w:pPr>
    </w:p>
    <w:p>
      <w:pPr>
        <w:pStyle w:val="BodyText"/>
        <w:spacing w:line="288" w:lineRule="auto"/>
        <w:ind w:left="232" w:right="374"/>
      </w:pPr>
      <w:r>
        <w:rPr/>
        <w:t>The </w:t>
      </w:r>
      <w:r>
        <w:rPr>
          <w:i/>
        </w:rPr>
        <w:t>Pipelines Act 2005 </w:t>
      </w:r>
      <w:r>
        <w:rPr/>
        <w:t>is intended to facilitate the development of pipelines within a regulatory framework that establishes sound consultative processes and protects the public from environmental,</w:t>
      </w:r>
      <w:r>
        <w:rPr>
          <w:spacing w:val="-1"/>
        </w:rPr>
        <w:t> </w:t>
      </w:r>
      <w:r>
        <w:rPr/>
        <w:t>health</w:t>
      </w:r>
      <w:r>
        <w:rPr>
          <w:spacing w:val="-4"/>
        </w:rPr>
        <w:t> </w:t>
      </w:r>
      <w:r>
        <w:rPr/>
        <w:t>and</w:t>
      </w:r>
      <w:r>
        <w:rPr>
          <w:spacing w:val="-3"/>
        </w:rPr>
        <w:t> </w:t>
      </w:r>
      <w:r>
        <w:rPr/>
        <w:t>safety</w:t>
      </w:r>
      <w:r>
        <w:rPr>
          <w:spacing w:val="-4"/>
        </w:rPr>
        <w:t> </w:t>
      </w:r>
      <w:r>
        <w:rPr/>
        <w:t>risks</w:t>
      </w:r>
      <w:r>
        <w:rPr>
          <w:spacing w:val="-4"/>
        </w:rPr>
        <w:t> </w:t>
      </w:r>
      <w:r>
        <w:rPr/>
        <w:t>resulting</w:t>
      </w:r>
      <w:r>
        <w:rPr>
          <w:spacing w:val="-5"/>
        </w:rPr>
        <w:t> </w:t>
      </w:r>
      <w:r>
        <w:rPr/>
        <w:t>from</w:t>
      </w:r>
      <w:r>
        <w:rPr>
          <w:spacing w:val="-4"/>
        </w:rPr>
        <w:t> </w:t>
      </w:r>
      <w:r>
        <w:rPr/>
        <w:t>the</w:t>
      </w:r>
      <w:r>
        <w:rPr>
          <w:spacing w:val="-3"/>
        </w:rPr>
        <w:t> </w:t>
      </w:r>
      <w:r>
        <w:rPr/>
        <w:t>construction</w:t>
      </w:r>
      <w:r>
        <w:rPr>
          <w:spacing w:val="-4"/>
        </w:rPr>
        <w:t> </w:t>
      </w:r>
      <w:r>
        <w:rPr/>
        <w:t>and</w:t>
      </w:r>
      <w:r>
        <w:rPr>
          <w:spacing w:val="-4"/>
        </w:rPr>
        <w:t> </w:t>
      </w:r>
      <w:r>
        <w:rPr/>
        <w:t>operation</w:t>
      </w:r>
      <w:r>
        <w:rPr>
          <w:spacing w:val="-3"/>
        </w:rPr>
        <w:t> </w:t>
      </w:r>
      <w:r>
        <w:rPr/>
        <w:t>of</w:t>
      </w:r>
      <w:r>
        <w:rPr>
          <w:spacing w:val="-1"/>
        </w:rPr>
        <w:t> </w:t>
      </w:r>
      <w:r>
        <w:rPr/>
        <w:t>pipelines.</w:t>
      </w:r>
      <w:r>
        <w:rPr>
          <w:spacing w:val="-4"/>
        </w:rPr>
        <w:t> </w:t>
      </w:r>
      <w:r>
        <w:rPr/>
        <w:t>It is also designed to deliver greater certainty and efficiency to pipeline proponents so that they can access finance and minimise costs.</w:t>
      </w:r>
    </w:p>
    <w:p>
      <w:pPr>
        <w:pStyle w:val="BodyText"/>
        <w:rPr>
          <w:sz w:val="21"/>
        </w:rPr>
      </w:pPr>
    </w:p>
    <w:p>
      <w:pPr>
        <w:pStyle w:val="BodyText"/>
        <w:spacing w:line="288" w:lineRule="auto"/>
        <w:ind w:left="232" w:right="374"/>
      </w:pPr>
      <w:r>
        <w:rPr/>
        <w:t>The</w:t>
      </w:r>
      <w:r>
        <w:rPr>
          <w:spacing w:val="-4"/>
        </w:rPr>
        <w:t> </w:t>
      </w:r>
      <w:r>
        <w:rPr>
          <w:i/>
        </w:rPr>
        <w:t>Pipelines</w:t>
      </w:r>
      <w:r>
        <w:rPr>
          <w:i/>
          <w:spacing w:val="-1"/>
        </w:rPr>
        <w:t> </w:t>
      </w:r>
      <w:r>
        <w:rPr>
          <w:i/>
        </w:rPr>
        <w:t>Act 2005</w:t>
      </w:r>
      <w:r>
        <w:rPr>
          <w:i/>
          <w:spacing w:val="-4"/>
        </w:rPr>
        <w:t> </w:t>
      </w:r>
      <w:r>
        <w:rPr/>
        <w:t>is</w:t>
      </w:r>
      <w:r>
        <w:rPr>
          <w:spacing w:val="-1"/>
        </w:rPr>
        <w:t> </w:t>
      </w:r>
      <w:r>
        <w:rPr/>
        <w:t>jointly</w:t>
      </w:r>
      <w:r>
        <w:rPr>
          <w:spacing w:val="-4"/>
        </w:rPr>
        <w:t> </w:t>
      </w:r>
      <w:r>
        <w:rPr/>
        <w:t>administered</w:t>
      </w:r>
      <w:r>
        <w:rPr>
          <w:spacing w:val="-4"/>
        </w:rPr>
        <w:t> </w:t>
      </w:r>
      <w:r>
        <w:rPr/>
        <w:t>by</w:t>
      </w:r>
      <w:r>
        <w:rPr>
          <w:spacing w:val="-4"/>
        </w:rPr>
        <w:t> </w:t>
      </w:r>
      <w:r>
        <w:rPr/>
        <w:t>ESV</w:t>
      </w:r>
      <w:r>
        <w:rPr>
          <w:spacing w:val="-2"/>
        </w:rPr>
        <w:t> </w:t>
      </w:r>
      <w:r>
        <w:rPr/>
        <w:t>and DELWP.</w:t>
      </w:r>
      <w:r>
        <w:rPr>
          <w:spacing w:val="-3"/>
        </w:rPr>
        <w:t> </w:t>
      </w:r>
      <w:r>
        <w:rPr/>
        <w:t>Under</w:t>
      </w:r>
      <w:r>
        <w:rPr>
          <w:spacing w:val="-3"/>
        </w:rPr>
        <w:t> </w:t>
      </w:r>
      <w:r>
        <w:rPr/>
        <w:t>the</w:t>
      </w:r>
      <w:r>
        <w:rPr>
          <w:spacing w:val="-4"/>
        </w:rPr>
        <w:t> </w:t>
      </w:r>
      <w:r>
        <w:rPr/>
        <w:t>Act, licensees</w:t>
      </w:r>
      <w:r>
        <w:rPr>
          <w:spacing w:val="-4"/>
        </w:rPr>
        <w:t> </w:t>
      </w:r>
      <w:r>
        <w:rPr/>
        <w:t>have general duties for safety and environmental protection and are obliged to comply with safety management and environmental management plans. Plans must be accepted prior to operation and licensees must review and report on the plans every five years.</w:t>
      </w:r>
    </w:p>
    <w:p>
      <w:pPr>
        <w:pStyle w:val="BodyText"/>
        <w:spacing w:before="11"/>
        <w:rPr>
          <w:sz w:val="20"/>
        </w:rPr>
      </w:pPr>
    </w:p>
    <w:p>
      <w:pPr>
        <w:spacing w:line="288" w:lineRule="auto" w:before="0"/>
        <w:ind w:left="232" w:right="374" w:firstLine="0"/>
        <w:jc w:val="left"/>
        <w:rPr>
          <w:i/>
          <w:sz w:val="22"/>
        </w:rPr>
      </w:pPr>
      <w:r>
        <w:rPr>
          <w:sz w:val="22"/>
        </w:rPr>
        <w:t>As</w:t>
      </w:r>
      <w:r>
        <w:rPr>
          <w:spacing w:val="-2"/>
          <w:sz w:val="22"/>
        </w:rPr>
        <w:t> </w:t>
      </w:r>
      <w:r>
        <w:rPr>
          <w:sz w:val="22"/>
        </w:rPr>
        <w:t>transmission</w:t>
      </w:r>
      <w:r>
        <w:rPr>
          <w:spacing w:val="-5"/>
          <w:sz w:val="22"/>
        </w:rPr>
        <w:t> </w:t>
      </w:r>
      <w:r>
        <w:rPr>
          <w:sz w:val="22"/>
        </w:rPr>
        <w:t>pipelines</w:t>
      </w:r>
      <w:r>
        <w:rPr>
          <w:spacing w:val="-2"/>
          <w:sz w:val="22"/>
        </w:rPr>
        <w:t> </w:t>
      </w:r>
      <w:r>
        <w:rPr>
          <w:sz w:val="22"/>
        </w:rPr>
        <w:t>must</w:t>
      </w:r>
      <w:r>
        <w:rPr>
          <w:spacing w:val="-4"/>
          <w:sz w:val="22"/>
        </w:rPr>
        <w:t> </w:t>
      </w:r>
      <w:r>
        <w:rPr>
          <w:sz w:val="22"/>
        </w:rPr>
        <w:t>be</w:t>
      </w:r>
      <w:r>
        <w:rPr>
          <w:spacing w:val="-3"/>
          <w:sz w:val="22"/>
        </w:rPr>
        <w:t> </w:t>
      </w:r>
      <w:r>
        <w:rPr>
          <w:sz w:val="22"/>
        </w:rPr>
        <w:t>licensed</w:t>
      </w:r>
      <w:r>
        <w:rPr>
          <w:spacing w:val="-3"/>
          <w:sz w:val="22"/>
        </w:rPr>
        <w:t> </w:t>
      </w:r>
      <w:r>
        <w:rPr>
          <w:sz w:val="22"/>
        </w:rPr>
        <w:t>under</w:t>
      </w:r>
      <w:r>
        <w:rPr>
          <w:spacing w:val="-4"/>
          <w:sz w:val="22"/>
        </w:rPr>
        <w:t> </w:t>
      </w:r>
      <w:r>
        <w:rPr>
          <w:sz w:val="22"/>
        </w:rPr>
        <w:t>the</w:t>
      </w:r>
      <w:r>
        <w:rPr>
          <w:spacing w:val="-3"/>
          <w:sz w:val="22"/>
        </w:rPr>
        <w:t> </w:t>
      </w:r>
      <w:r>
        <w:rPr>
          <w:i/>
          <w:sz w:val="22"/>
        </w:rPr>
        <w:t>Pipelines</w:t>
      </w:r>
      <w:r>
        <w:rPr>
          <w:i/>
          <w:spacing w:val="-2"/>
          <w:sz w:val="22"/>
        </w:rPr>
        <w:t> </w:t>
      </w:r>
      <w:r>
        <w:rPr>
          <w:i/>
          <w:sz w:val="22"/>
        </w:rPr>
        <w:t>Act</w:t>
      </w:r>
      <w:r>
        <w:rPr>
          <w:i/>
          <w:spacing w:val="-1"/>
          <w:sz w:val="22"/>
        </w:rPr>
        <w:t> </w:t>
      </w:r>
      <w:r>
        <w:rPr>
          <w:i/>
          <w:sz w:val="22"/>
        </w:rPr>
        <w:t>2005</w:t>
      </w:r>
      <w:r>
        <w:rPr>
          <w:sz w:val="22"/>
        </w:rPr>
        <w:t>,</w:t>
      </w:r>
      <w:r>
        <w:rPr>
          <w:spacing w:val="-4"/>
          <w:sz w:val="22"/>
        </w:rPr>
        <w:t> </w:t>
      </w:r>
      <w:r>
        <w:rPr>
          <w:sz w:val="22"/>
        </w:rPr>
        <w:t>to</w:t>
      </w:r>
      <w:r>
        <w:rPr>
          <w:spacing w:val="-3"/>
          <w:sz w:val="22"/>
        </w:rPr>
        <w:t> </w:t>
      </w:r>
      <w:r>
        <w:rPr>
          <w:sz w:val="22"/>
        </w:rPr>
        <w:t>avoid</w:t>
      </w:r>
      <w:r>
        <w:rPr>
          <w:spacing w:val="-3"/>
          <w:sz w:val="22"/>
        </w:rPr>
        <w:t> </w:t>
      </w:r>
      <w:r>
        <w:rPr>
          <w:sz w:val="22"/>
        </w:rPr>
        <w:t>duplication</w:t>
      </w:r>
      <w:r>
        <w:rPr>
          <w:spacing w:val="-3"/>
          <w:sz w:val="22"/>
        </w:rPr>
        <w:t> </w:t>
      </w:r>
      <w:r>
        <w:rPr>
          <w:sz w:val="22"/>
        </w:rPr>
        <w:t>a safety case accepted under the </w:t>
      </w:r>
      <w:r>
        <w:rPr>
          <w:i/>
          <w:sz w:val="22"/>
        </w:rPr>
        <w:t>Gas Safety Act 1997 </w:t>
      </w:r>
      <w:r>
        <w:rPr>
          <w:sz w:val="22"/>
        </w:rPr>
        <w:t>for a licensed natural gas transmission pipeline is deemed to be an accepted Safety Management Plan under the </w:t>
      </w:r>
      <w:r>
        <w:rPr>
          <w:i/>
          <w:sz w:val="22"/>
        </w:rPr>
        <w:t>Pipelines Act 2005.</w:t>
      </w:r>
    </w:p>
    <w:p>
      <w:pPr>
        <w:pStyle w:val="BodyText"/>
        <w:spacing w:before="8"/>
        <w:rPr>
          <w:i/>
          <w:sz w:val="20"/>
        </w:rPr>
      </w:pPr>
    </w:p>
    <w:p>
      <w:pPr>
        <w:spacing w:line="288" w:lineRule="auto" w:before="1"/>
        <w:ind w:left="232" w:right="374" w:firstLine="0"/>
        <w:jc w:val="left"/>
        <w:rPr>
          <w:sz w:val="22"/>
        </w:rPr>
      </w:pPr>
      <w:r>
        <w:rPr>
          <w:sz w:val="22"/>
        </w:rPr>
        <w:t>The</w:t>
      </w:r>
      <w:r>
        <w:rPr>
          <w:spacing w:val="-5"/>
          <w:sz w:val="22"/>
        </w:rPr>
        <w:t> </w:t>
      </w:r>
      <w:r>
        <w:rPr>
          <w:i/>
          <w:sz w:val="22"/>
        </w:rPr>
        <w:t>Pipelines</w:t>
      </w:r>
      <w:r>
        <w:rPr>
          <w:i/>
          <w:spacing w:val="-2"/>
          <w:sz w:val="22"/>
        </w:rPr>
        <w:t> </w:t>
      </w:r>
      <w:r>
        <w:rPr>
          <w:i/>
          <w:sz w:val="22"/>
        </w:rPr>
        <w:t>Act</w:t>
      </w:r>
      <w:r>
        <w:rPr>
          <w:i/>
          <w:spacing w:val="-1"/>
          <w:sz w:val="22"/>
        </w:rPr>
        <w:t> </w:t>
      </w:r>
      <w:r>
        <w:rPr>
          <w:i/>
          <w:sz w:val="22"/>
        </w:rPr>
        <w:t>2005</w:t>
      </w:r>
      <w:r>
        <w:rPr>
          <w:i/>
          <w:spacing w:val="-5"/>
          <w:sz w:val="22"/>
        </w:rPr>
        <w:t> </w:t>
      </w:r>
      <w:r>
        <w:rPr>
          <w:sz w:val="22"/>
        </w:rPr>
        <w:t>and</w:t>
      </w:r>
      <w:r>
        <w:rPr>
          <w:spacing w:val="-3"/>
          <w:sz w:val="22"/>
        </w:rPr>
        <w:t> </w:t>
      </w:r>
      <w:r>
        <w:rPr>
          <w:sz w:val="22"/>
        </w:rPr>
        <w:t>licence</w:t>
      </w:r>
      <w:r>
        <w:rPr>
          <w:spacing w:val="-3"/>
          <w:sz w:val="22"/>
        </w:rPr>
        <w:t> </w:t>
      </w:r>
      <w:r>
        <w:rPr>
          <w:sz w:val="22"/>
        </w:rPr>
        <w:t>conditions</w:t>
      </w:r>
      <w:r>
        <w:rPr>
          <w:spacing w:val="-2"/>
          <w:sz w:val="22"/>
        </w:rPr>
        <w:t> </w:t>
      </w:r>
      <w:r>
        <w:rPr>
          <w:sz w:val="22"/>
        </w:rPr>
        <w:t>oblige</w:t>
      </w:r>
      <w:r>
        <w:rPr>
          <w:spacing w:val="-5"/>
          <w:sz w:val="22"/>
        </w:rPr>
        <w:t> </w:t>
      </w:r>
      <w:r>
        <w:rPr>
          <w:sz w:val="22"/>
        </w:rPr>
        <w:t>pipeline</w:t>
      </w:r>
      <w:r>
        <w:rPr>
          <w:spacing w:val="-3"/>
          <w:sz w:val="22"/>
        </w:rPr>
        <w:t> </w:t>
      </w:r>
      <w:r>
        <w:rPr>
          <w:sz w:val="22"/>
        </w:rPr>
        <w:t>licensees</w:t>
      </w:r>
      <w:r>
        <w:rPr>
          <w:spacing w:val="-2"/>
          <w:sz w:val="22"/>
        </w:rPr>
        <w:t> </w:t>
      </w:r>
      <w:r>
        <w:rPr>
          <w:sz w:val="22"/>
        </w:rPr>
        <w:t>to</w:t>
      </w:r>
      <w:r>
        <w:rPr>
          <w:spacing w:val="-5"/>
          <w:sz w:val="22"/>
        </w:rPr>
        <w:t> </w:t>
      </w:r>
      <w:r>
        <w:rPr>
          <w:sz w:val="22"/>
        </w:rPr>
        <w:t>comply</w:t>
      </w:r>
      <w:r>
        <w:rPr>
          <w:spacing w:val="-5"/>
          <w:sz w:val="22"/>
        </w:rPr>
        <w:t> </w:t>
      </w:r>
      <w:r>
        <w:rPr>
          <w:sz w:val="22"/>
        </w:rPr>
        <w:t>with</w:t>
      </w:r>
      <w:r>
        <w:rPr>
          <w:spacing w:val="-3"/>
          <w:sz w:val="22"/>
        </w:rPr>
        <w:t> </w:t>
      </w:r>
      <w:r>
        <w:rPr>
          <w:sz w:val="22"/>
        </w:rPr>
        <w:t>Australian Standard </w:t>
      </w:r>
      <w:r>
        <w:rPr>
          <w:i/>
          <w:sz w:val="22"/>
        </w:rPr>
        <w:t>AS 2885 Pipelines – Gas and Liquid Petroleum. </w:t>
      </w:r>
      <w:r>
        <w:rPr>
          <w:sz w:val="22"/>
        </w:rPr>
        <w:t>AS 2885 is the overarching standard that applies to licensed pipelines in Australia. It relates to the design, construction, testing,</w:t>
      </w:r>
    </w:p>
    <w:p>
      <w:pPr>
        <w:spacing w:after="0" w:line="288" w:lineRule="auto"/>
        <w:jc w:val="left"/>
        <w:rPr>
          <w:sz w:val="22"/>
        </w:rPr>
        <w:sectPr>
          <w:pgSz w:w="11910" w:h="16850"/>
          <w:pgMar w:header="220" w:footer="678" w:top="420" w:bottom="860" w:left="900" w:right="840"/>
        </w:sectPr>
      </w:pPr>
    </w:p>
    <w:p>
      <w:pPr>
        <w:pStyle w:val="BodyText"/>
        <w:rPr>
          <w:sz w:val="20"/>
        </w:rPr>
      </w:pPr>
    </w:p>
    <w:p>
      <w:pPr>
        <w:pStyle w:val="BodyText"/>
        <w:spacing w:before="2"/>
        <w:rPr>
          <w:sz w:val="19"/>
        </w:rPr>
      </w:pPr>
    </w:p>
    <w:p>
      <w:pPr>
        <w:pStyle w:val="BodyText"/>
        <w:spacing w:line="288" w:lineRule="auto" w:before="94"/>
        <w:ind w:left="232" w:right="317"/>
      </w:pPr>
      <w:r>
        <w:rPr/>
        <w:t>operations and maintenance of high pressure gas and petroleum pipelines. Under the Standard, the</w:t>
      </w:r>
      <w:r>
        <w:rPr>
          <w:spacing w:val="-2"/>
        </w:rPr>
        <w:t> </w:t>
      </w:r>
      <w:r>
        <w:rPr/>
        <w:t>pipeline</w:t>
      </w:r>
      <w:r>
        <w:rPr>
          <w:spacing w:val="-2"/>
        </w:rPr>
        <w:t> </w:t>
      </w:r>
      <w:r>
        <w:rPr/>
        <w:t>licensee</w:t>
      </w:r>
      <w:r>
        <w:rPr>
          <w:spacing w:val="-2"/>
        </w:rPr>
        <w:t> </w:t>
      </w:r>
      <w:r>
        <w:rPr/>
        <w:t>is</w:t>
      </w:r>
      <w:r>
        <w:rPr>
          <w:spacing w:val="-4"/>
        </w:rPr>
        <w:t> </w:t>
      </w:r>
      <w:r>
        <w:rPr/>
        <w:t>responsible</w:t>
      </w:r>
      <w:r>
        <w:rPr>
          <w:spacing w:val="-4"/>
        </w:rPr>
        <w:t> </w:t>
      </w:r>
      <w:r>
        <w:rPr/>
        <w:t>for</w:t>
      </w:r>
      <w:r>
        <w:rPr>
          <w:spacing w:val="-3"/>
        </w:rPr>
        <w:t> </w:t>
      </w:r>
      <w:r>
        <w:rPr/>
        <w:t>the</w:t>
      </w:r>
      <w:r>
        <w:rPr>
          <w:spacing w:val="-4"/>
        </w:rPr>
        <w:t> </w:t>
      </w:r>
      <w:r>
        <w:rPr/>
        <w:t>safety</w:t>
      </w:r>
      <w:r>
        <w:rPr>
          <w:spacing w:val="-5"/>
        </w:rPr>
        <w:t> </w:t>
      </w:r>
      <w:r>
        <w:rPr/>
        <w:t>of the</w:t>
      </w:r>
      <w:r>
        <w:rPr>
          <w:spacing w:val="-2"/>
        </w:rPr>
        <w:t> </w:t>
      </w:r>
      <w:r>
        <w:rPr/>
        <w:t>pipeline</w:t>
      </w:r>
      <w:r>
        <w:rPr>
          <w:spacing w:val="-2"/>
        </w:rPr>
        <w:t> </w:t>
      </w:r>
      <w:r>
        <w:rPr/>
        <w:t>and</w:t>
      </w:r>
      <w:r>
        <w:rPr>
          <w:spacing w:val="-2"/>
        </w:rPr>
        <w:t> </w:t>
      </w:r>
      <w:r>
        <w:rPr/>
        <w:t>it</w:t>
      </w:r>
      <w:r>
        <w:rPr>
          <w:spacing w:val="-3"/>
        </w:rPr>
        <w:t> </w:t>
      </w:r>
      <w:r>
        <w:rPr/>
        <w:t>places</w:t>
      </w:r>
      <w:r>
        <w:rPr>
          <w:spacing w:val="-2"/>
        </w:rPr>
        <w:t> </w:t>
      </w:r>
      <w:r>
        <w:rPr/>
        <w:t>a</w:t>
      </w:r>
      <w:r>
        <w:rPr>
          <w:spacing w:val="-3"/>
        </w:rPr>
        <w:t> </w:t>
      </w:r>
      <w:r>
        <w:rPr/>
        <w:t>range</w:t>
      </w:r>
      <w:r>
        <w:rPr>
          <w:spacing w:val="-2"/>
        </w:rPr>
        <w:t> </w:t>
      </w:r>
      <w:r>
        <w:rPr/>
        <w:t>of obligations on the pipeline licensee including maintenance of the pipeline, a safety assessment when there is</w:t>
      </w:r>
      <w:r>
        <w:rPr>
          <w:spacing w:val="40"/>
        </w:rPr>
        <w:t> </w:t>
      </w:r>
      <w:r>
        <w:rPr/>
        <w:t>a change in land use along the pipeline and if required, the upgrade or relocation of the pipeline or the implementation of physical barriers</w:t>
      </w:r>
      <w:r>
        <w:rPr>
          <w:vertAlign w:val="superscript"/>
        </w:rPr>
        <w:t>24</w:t>
      </w:r>
      <w:r>
        <w:rPr>
          <w:vertAlign w:val="baseline"/>
        </w:rPr>
        <w:t>.</w:t>
      </w:r>
    </w:p>
    <w:p>
      <w:pPr>
        <w:pStyle w:val="BodyText"/>
        <w:spacing w:before="9"/>
        <w:rPr>
          <w:sz w:val="20"/>
        </w:rPr>
      </w:pPr>
    </w:p>
    <w:p>
      <w:pPr>
        <w:pStyle w:val="Heading8"/>
        <w:ind w:left="232"/>
      </w:pPr>
      <w:r>
        <w:rPr/>
        <w:t>Pipelines</w:t>
      </w:r>
      <w:r>
        <w:rPr>
          <w:spacing w:val="-12"/>
        </w:rPr>
        <w:t> </w:t>
      </w:r>
      <w:r>
        <w:rPr/>
        <w:t>Regulations</w:t>
      </w:r>
      <w:r>
        <w:rPr>
          <w:spacing w:val="-11"/>
        </w:rPr>
        <w:t> </w:t>
      </w:r>
      <w:r>
        <w:rPr>
          <w:spacing w:val="-4"/>
        </w:rPr>
        <w:t>2017</w:t>
      </w:r>
    </w:p>
    <w:p>
      <w:pPr>
        <w:pStyle w:val="BodyText"/>
        <w:spacing w:line="288" w:lineRule="auto" w:before="172"/>
        <w:ind w:left="232" w:right="408"/>
      </w:pPr>
      <w:r>
        <w:rPr/>
        <w:t>The</w:t>
      </w:r>
      <w:r>
        <w:rPr>
          <w:spacing w:val="-5"/>
        </w:rPr>
        <w:t> </w:t>
      </w:r>
      <w:r>
        <w:rPr/>
        <w:t>Pipelines</w:t>
      </w:r>
      <w:r>
        <w:rPr>
          <w:spacing w:val="-2"/>
        </w:rPr>
        <w:t> </w:t>
      </w:r>
      <w:r>
        <w:rPr/>
        <w:t>Regulations</w:t>
      </w:r>
      <w:r>
        <w:rPr>
          <w:spacing w:val="-2"/>
        </w:rPr>
        <w:t> </w:t>
      </w:r>
      <w:r>
        <w:rPr/>
        <w:t>2017</w:t>
      </w:r>
      <w:r>
        <w:rPr>
          <w:spacing w:val="-1"/>
        </w:rPr>
        <w:t> </w:t>
      </w:r>
      <w:r>
        <w:rPr/>
        <w:t>provide</w:t>
      </w:r>
      <w:r>
        <w:rPr>
          <w:spacing w:val="-5"/>
        </w:rPr>
        <w:t> </w:t>
      </w:r>
      <w:r>
        <w:rPr/>
        <w:t>for</w:t>
      </w:r>
      <w:r>
        <w:rPr>
          <w:spacing w:val="-4"/>
        </w:rPr>
        <w:t> </w:t>
      </w:r>
      <w:r>
        <w:rPr/>
        <w:t>the</w:t>
      </w:r>
      <w:r>
        <w:rPr>
          <w:spacing w:val="-5"/>
        </w:rPr>
        <w:t> </w:t>
      </w:r>
      <w:r>
        <w:rPr/>
        <w:t>regulation</w:t>
      </w:r>
      <w:r>
        <w:rPr>
          <w:spacing w:val="-3"/>
        </w:rPr>
        <w:t> </w:t>
      </w:r>
      <w:r>
        <w:rPr/>
        <w:t>of</w:t>
      </w:r>
      <w:r>
        <w:rPr>
          <w:spacing w:val="-1"/>
        </w:rPr>
        <w:t> </w:t>
      </w:r>
      <w:r>
        <w:rPr/>
        <w:t>pipelines</w:t>
      </w:r>
      <w:r>
        <w:rPr>
          <w:spacing w:val="-2"/>
        </w:rPr>
        <w:t> </w:t>
      </w:r>
      <w:r>
        <w:rPr/>
        <w:t>which</w:t>
      </w:r>
      <w:r>
        <w:rPr>
          <w:spacing w:val="-3"/>
        </w:rPr>
        <w:t> </w:t>
      </w:r>
      <w:r>
        <w:rPr/>
        <w:t>carry</w:t>
      </w:r>
      <w:r>
        <w:rPr>
          <w:spacing w:val="-5"/>
        </w:rPr>
        <w:t> </w:t>
      </w:r>
      <w:r>
        <w:rPr/>
        <w:t>hazardous</w:t>
      </w:r>
      <w:r>
        <w:rPr>
          <w:spacing w:val="-3"/>
        </w:rPr>
        <w:t> </w:t>
      </w:r>
      <w:r>
        <w:rPr/>
        <w:t>and combustible gaseous and liquid substances. The regulations prescribe:</w:t>
      </w:r>
    </w:p>
    <w:p>
      <w:pPr>
        <w:pStyle w:val="BodyText"/>
        <w:spacing w:before="4"/>
      </w:pPr>
    </w:p>
    <w:p>
      <w:pPr>
        <w:pStyle w:val="ListParagraph"/>
        <w:numPr>
          <w:ilvl w:val="0"/>
          <w:numId w:val="94"/>
        </w:numPr>
        <w:tabs>
          <w:tab w:pos="590" w:val="left" w:leader="none"/>
        </w:tabs>
        <w:spacing w:line="240" w:lineRule="auto" w:before="0" w:after="0"/>
        <w:ind w:left="590" w:right="0" w:hanging="358"/>
        <w:jc w:val="left"/>
        <w:rPr>
          <w:sz w:val="22"/>
        </w:rPr>
      </w:pPr>
      <w:r>
        <w:rPr>
          <w:sz w:val="22"/>
        </w:rPr>
        <w:t>information</w:t>
      </w:r>
      <w:r>
        <w:rPr>
          <w:spacing w:val="-8"/>
          <w:sz w:val="22"/>
        </w:rPr>
        <w:t> </w:t>
      </w:r>
      <w:r>
        <w:rPr>
          <w:sz w:val="22"/>
        </w:rPr>
        <w:t>required</w:t>
      </w:r>
      <w:r>
        <w:rPr>
          <w:spacing w:val="-7"/>
          <w:sz w:val="22"/>
        </w:rPr>
        <w:t> </w:t>
      </w:r>
      <w:r>
        <w:rPr>
          <w:sz w:val="22"/>
        </w:rPr>
        <w:t>in</w:t>
      </w:r>
      <w:r>
        <w:rPr>
          <w:spacing w:val="-8"/>
          <w:sz w:val="22"/>
        </w:rPr>
        <w:t> </w:t>
      </w:r>
      <w:r>
        <w:rPr>
          <w:sz w:val="22"/>
        </w:rPr>
        <w:t>the</w:t>
      </w:r>
      <w:r>
        <w:rPr>
          <w:spacing w:val="-6"/>
          <w:sz w:val="22"/>
        </w:rPr>
        <w:t> </w:t>
      </w:r>
      <w:r>
        <w:rPr>
          <w:sz w:val="22"/>
        </w:rPr>
        <w:t>pre-licence</w:t>
      </w:r>
      <w:r>
        <w:rPr>
          <w:spacing w:val="-6"/>
          <w:sz w:val="22"/>
        </w:rPr>
        <w:t> </w:t>
      </w:r>
      <w:r>
        <w:rPr>
          <w:sz w:val="22"/>
        </w:rPr>
        <w:t>and</w:t>
      </w:r>
      <w:r>
        <w:rPr>
          <w:spacing w:val="-6"/>
          <w:sz w:val="22"/>
        </w:rPr>
        <w:t> </w:t>
      </w:r>
      <w:r>
        <w:rPr>
          <w:sz w:val="22"/>
        </w:rPr>
        <w:t>licence</w:t>
      </w:r>
      <w:r>
        <w:rPr>
          <w:spacing w:val="-8"/>
          <w:sz w:val="22"/>
        </w:rPr>
        <w:t> </w:t>
      </w:r>
      <w:r>
        <w:rPr>
          <w:sz w:val="22"/>
        </w:rPr>
        <w:t>application</w:t>
      </w:r>
      <w:r>
        <w:rPr>
          <w:spacing w:val="-6"/>
          <w:sz w:val="22"/>
        </w:rPr>
        <w:t> </w:t>
      </w:r>
      <w:r>
        <w:rPr>
          <w:spacing w:val="-2"/>
          <w:sz w:val="22"/>
        </w:rPr>
        <w:t>process;</w:t>
      </w:r>
    </w:p>
    <w:p>
      <w:pPr>
        <w:pStyle w:val="ListParagraph"/>
        <w:numPr>
          <w:ilvl w:val="0"/>
          <w:numId w:val="94"/>
        </w:numPr>
        <w:tabs>
          <w:tab w:pos="590" w:val="left" w:leader="none"/>
        </w:tabs>
        <w:spacing w:line="240" w:lineRule="auto" w:before="64" w:after="0"/>
        <w:ind w:left="590" w:right="0" w:hanging="358"/>
        <w:jc w:val="left"/>
        <w:rPr>
          <w:sz w:val="22"/>
        </w:rPr>
      </w:pPr>
      <w:r>
        <w:rPr>
          <w:sz w:val="22"/>
        </w:rPr>
        <w:t>conditions</w:t>
      </w:r>
      <w:r>
        <w:rPr>
          <w:spacing w:val="-5"/>
          <w:sz w:val="22"/>
        </w:rPr>
        <w:t> </w:t>
      </w:r>
      <w:r>
        <w:rPr>
          <w:sz w:val="22"/>
        </w:rPr>
        <w:t>that</w:t>
      </w:r>
      <w:r>
        <w:rPr>
          <w:spacing w:val="-3"/>
          <w:sz w:val="22"/>
        </w:rPr>
        <w:t> </w:t>
      </w:r>
      <w:r>
        <w:rPr>
          <w:sz w:val="22"/>
        </w:rPr>
        <w:t>apply</w:t>
      </w:r>
      <w:r>
        <w:rPr>
          <w:spacing w:val="-7"/>
          <w:sz w:val="22"/>
        </w:rPr>
        <w:t> </w:t>
      </w:r>
      <w:r>
        <w:rPr>
          <w:sz w:val="22"/>
        </w:rPr>
        <w:t>to</w:t>
      </w:r>
      <w:r>
        <w:rPr>
          <w:spacing w:val="-6"/>
          <w:sz w:val="22"/>
        </w:rPr>
        <w:t> </w:t>
      </w:r>
      <w:r>
        <w:rPr>
          <w:spacing w:val="-2"/>
          <w:sz w:val="22"/>
        </w:rPr>
        <w:t>licences;</w:t>
      </w:r>
    </w:p>
    <w:p>
      <w:pPr>
        <w:pStyle w:val="ListParagraph"/>
        <w:numPr>
          <w:ilvl w:val="0"/>
          <w:numId w:val="94"/>
        </w:numPr>
        <w:tabs>
          <w:tab w:pos="590" w:val="left" w:leader="none"/>
        </w:tabs>
        <w:spacing w:line="240" w:lineRule="auto" w:before="66" w:after="0"/>
        <w:ind w:left="590" w:right="0" w:hanging="358"/>
        <w:jc w:val="left"/>
        <w:rPr>
          <w:sz w:val="22"/>
        </w:rPr>
      </w:pPr>
      <w:r>
        <w:rPr>
          <w:sz w:val="22"/>
        </w:rPr>
        <w:t>contents</w:t>
      </w:r>
      <w:r>
        <w:rPr>
          <w:spacing w:val="-8"/>
          <w:sz w:val="22"/>
        </w:rPr>
        <w:t> </w:t>
      </w:r>
      <w:r>
        <w:rPr>
          <w:sz w:val="22"/>
        </w:rPr>
        <w:t>of</w:t>
      </w:r>
      <w:r>
        <w:rPr>
          <w:spacing w:val="-4"/>
          <w:sz w:val="22"/>
        </w:rPr>
        <w:t> </w:t>
      </w:r>
      <w:r>
        <w:rPr>
          <w:sz w:val="22"/>
        </w:rPr>
        <w:t>a</w:t>
      </w:r>
      <w:r>
        <w:rPr>
          <w:spacing w:val="-8"/>
          <w:sz w:val="22"/>
        </w:rPr>
        <w:t> </w:t>
      </w:r>
      <w:r>
        <w:rPr>
          <w:sz w:val="22"/>
        </w:rPr>
        <w:t>decommissioning</w:t>
      </w:r>
      <w:r>
        <w:rPr>
          <w:spacing w:val="-4"/>
          <w:sz w:val="22"/>
        </w:rPr>
        <w:t> plan;</w:t>
      </w:r>
    </w:p>
    <w:p>
      <w:pPr>
        <w:pStyle w:val="ListParagraph"/>
        <w:numPr>
          <w:ilvl w:val="0"/>
          <w:numId w:val="94"/>
        </w:numPr>
        <w:tabs>
          <w:tab w:pos="590" w:val="left" w:leader="none"/>
        </w:tabs>
        <w:spacing w:line="240" w:lineRule="auto" w:before="66" w:after="0"/>
        <w:ind w:left="590" w:right="0" w:hanging="358"/>
        <w:jc w:val="left"/>
        <w:rPr>
          <w:sz w:val="22"/>
        </w:rPr>
      </w:pPr>
      <w:r>
        <w:rPr>
          <w:sz w:val="22"/>
        </w:rPr>
        <w:t>provisions</w:t>
      </w:r>
      <w:r>
        <w:rPr>
          <w:spacing w:val="-8"/>
          <w:sz w:val="22"/>
        </w:rPr>
        <w:t> </w:t>
      </w:r>
      <w:r>
        <w:rPr>
          <w:sz w:val="22"/>
        </w:rPr>
        <w:t>for</w:t>
      </w:r>
      <w:r>
        <w:rPr>
          <w:spacing w:val="-7"/>
          <w:sz w:val="22"/>
        </w:rPr>
        <w:t> </w:t>
      </w:r>
      <w:r>
        <w:rPr>
          <w:sz w:val="22"/>
        </w:rPr>
        <w:t>reporting</w:t>
      </w:r>
      <w:r>
        <w:rPr>
          <w:spacing w:val="-4"/>
          <w:sz w:val="22"/>
        </w:rPr>
        <w:t> </w:t>
      </w:r>
      <w:r>
        <w:rPr>
          <w:sz w:val="22"/>
        </w:rPr>
        <w:t>safety</w:t>
      </w:r>
      <w:r>
        <w:rPr>
          <w:spacing w:val="-7"/>
          <w:sz w:val="22"/>
        </w:rPr>
        <w:t> </w:t>
      </w:r>
      <w:r>
        <w:rPr>
          <w:sz w:val="22"/>
        </w:rPr>
        <w:t>and</w:t>
      </w:r>
      <w:r>
        <w:rPr>
          <w:spacing w:val="-6"/>
          <w:sz w:val="22"/>
        </w:rPr>
        <w:t> </w:t>
      </w:r>
      <w:r>
        <w:rPr>
          <w:sz w:val="22"/>
        </w:rPr>
        <w:t>environment</w:t>
      </w:r>
      <w:r>
        <w:rPr>
          <w:spacing w:val="-5"/>
          <w:sz w:val="22"/>
        </w:rPr>
        <w:t> </w:t>
      </w:r>
      <w:r>
        <w:rPr>
          <w:sz w:val="22"/>
        </w:rPr>
        <w:t>incidents</w:t>
      </w:r>
      <w:r>
        <w:rPr>
          <w:spacing w:val="-5"/>
          <w:sz w:val="22"/>
        </w:rPr>
        <w:t> </w:t>
      </w:r>
      <w:r>
        <w:rPr>
          <w:sz w:val="22"/>
        </w:rPr>
        <w:t>in</w:t>
      </w:r>
      <w:r>
        <w:rPr>
          <w:spacing w:val="-8"/>
          <w:sz w:val="22"/>
        </w:rPr>
        <w:t> </w:t>
      </w:r>
      <w:r>
        <w:rPr>
          <w:sz w:val="22"/>
        </w:rPr>
        <w:t>relation</w:t>
      </w:r>
      <w:r>
        <w:rPr>
          <w:spacing w:val="-8"/>
          <w:sz w:val="22"/>
        </w:rPr>
        <w:t> </w:t>
      </w:r>
      <w:r>
        <w:rPr>
          <w:sz w:val="22"/>
        </w:rPr>
        <w:t>to</w:t>
      </w:r>
      <w:r>
        <w:rPr>
          <w:spacing w:val="-1"/>
          <w:sz w:val="22"/>
        </w:rPr>
        <w:t> </w:t>
      </w:r>
      <w:r>
        <w:rPr>
          <w:sz w:val="22"/>
        </w:rPr>
        <w:t>pipeline</w:t>
      </w:r>
      <w:r>
        <w:rPr>
          <w:spacing w:val="-6"/>
          <w:sz w:val="22"/>
        </w:rPr>
        <w:t> </w:t>
      </w:r>
      <w:r>
        <w:rPr>
          <w:spacing w:val="-2"/>
          <w:sz w:val="22"/>
        </w:rPr>
        <w:t>operations;</w:t>
      </w:r>
    </w:p>
    <w:p>
      <w:pPr>
        <w:pStyle w:val="ListParagraph"/>
        <w:numPr>
          <w:ilvl w:val="0"/>
          <w:numId w:val="94"/>
        </w:numPr>
        <w:tabs>
          <w:tab w:pos="590" w:val="left" w:leader="none"/>
        </w:tabs>
        <w:spacing w:line="240" w:lineRule="auto" w:before="65" w:after="0"/>
        <w:ind w:left="590" w:right="0" w:hanging="358"/>
        <w:jc w:val="left"/>
        <w:rPr>
          <w:sz w:val="22"/>
        </w:rPr>
      </w:pPr>
      <w:r>
        <w:rPr>
          <w:sz w:val="22"/>
        </w:rPr>
        <w:t>standards</w:t>
      </w:r>
      <w:r>
        <w:rPr>
          <w:spacing w:val="-11"/>
          <w:sz w:val="22"/>
        </w:rPr>
        <w:t> </w:t>
      </w:r>
      <w:r>
        <w:rPr>
          <w:sz w:val="22"/>
        </w:rPr>
        <w:t>for</w:t>
      </w:r>
      <w:r>
        <w:rPr>
          <w:spacing w:val="-6"/>
          <w:sz w:val="22"/>
        </w:rPr>
        <w:t> </w:t>
      </w:r>
      <w:r>
        <w:rPr>
          <w:sz w:val="22"/>
        </w:rPr>
        <w:t>the</w:t>
      </w:r>
      <w:r>
        <w:rPr>
          <w:spacing w:val="-6"/>
          <w:sz w:val="22"/>
        </w:rPr>
        <w:t> </w:t>
      </w:r>
      <w:r>
        <w:rPr>
          <w:sz w:val="22"/>
        </w:rPr>
        <w:t>construction</w:t>
      </w:r>
      <w:r>
        <w:rPr>
          <w:spacing w:val="-5"/>
          <w:sz w:val="22"/>
        </w:rPr>
        <w:t> </w:t>
      </w:r>
      <w:r>
        <w:rPr>
          <w:sz w:val="22"/>
        </w:rPr>
        <w:t>and</w:t>
      </w:r>
      <w:r>
        <w:rPr>
          <w:spacing w:val="-5"/>
          <w:sz w:val="22"/>
        </w:rPr>
        <w:t> </w:t>
      </w:r>
      <w:r>
        <w:rPr>
          <w:sz w:val="22"/>
        </w:rPr>
        <w:t>operation</w:t>
      </w:r>
      <w:r>
        <w:rPr>
          <w:spacing w:val="-5"/>
          <w:sz w:val="22"/>
        </w:rPr>
        <w:t> </w:t>
      </w:r>
      <w:r>
        <w:rPr>
          <w:sz w:val="22"/>
        </w:rPr>
        <w:t>of</w:t>
      </w:r>
      <w:r>
        <w:rPr>
          <w:spacing w:val="-2"/>
          <w:sz w:val="22"/>
        </w:rPr>
        <w:t> pipelines;</w:t>
      </w:r>
    </w:p>
    <w:p>
      <w:pPr>
        <w:pStyle w:val="ListParagraph"/>
        <w:numPr>
          <w:ilvl w:val="0"/>
          <w:numId w:val="94"/>
        </w:numPr>
        <w:tabs>
          <w:tab w:pos="590" w:val="left" w:leader="none"/>
        </w:tabs>
        <w:spacing w:line="240" w:lineRule="auto" w:before="66" w:after="0"/>
        <w:ind w:left="590" w:right="0" w:hanging="358"/>
        <w:jc w:val="left"/>
        <w:rPr>
          <w:sz w:val="22"/>
        </w:rPr>
      </w:pPr>
      <w:r>
        <w:rPr>
          <w:sz w:val="22"/>
        </w:rPr>
        <w:t>matters</w:t>
      </w:r>
      <w:r>
        <w:rPr>
          <w:spacing w:val="-6"/>
          <w:sz w:val="22"/>
        </w:rPr>
        <w:t> </w:t>
      </w:r>
      <w:r>
        <w:rPr>
          <w:sz w:val="22"/>
        </w:rPr>
        <w:t>to</w:t>
      </w:r>
      <w:r>
        <w:rPr>
          <w:spacing w:val="-7"/>
          <w:sz w:val="22"/>
        </w:rPr>
        <w:t> </w:t>
      </w:r>
      <w:r>
        <w:rPr>
          <w:sz w:val="22"/>
        </w:rPr>
        <w:t>be</w:t>
      </w:r>
      <w:r>
        <w:rPr>
          <w:spacing w:val="-6"/>
          <w:sz w:val="22"/>
        </w:rPr>
        <w:t> </w:t>
      </w:r>
      <w:r>
        <w:rPr>
          <w:sz w:val="22"/>
        </w:rPr>
        <w:t>included</w:t>
      </w:r>
      <w:r>
        <w:rPr>
          <w:spacing w:val="-5"/>
          <w:sz w:val="22"/>
        </w:rPr>
        <w:t> </w:t>
      </w:r>
      <w:r>
        <w:rPr>
          <w:sz w:val="22"/>
        </w:rPr>
        <w:t>in</w:t>
      </w:r>
      <w:r>
        <w:rPr>
          <w:spacing w:val="-4"/>
          <w:sz w:val="22"/>
        </w:rPr>
        <w:t> </w:t>
      </w:r>
      <w:r>
        <w:rPr>
          <w:sz w:val="22"/>
        </w:rPr>
        <w:t>safety</w:t>
      </w:r>
      <w:r>
        <w:rPr>
          <w:spacing w:val="-6"/>
          <w:sz w:val="22"/>
        </w:rPr>
        <w:t> </w:t>
      </w:r>
      <w:r>
        <w:rPr>
          <w:sz w:val="22"/>
        </w:rPr>
        <w:t>and</w:t>
      </w:r>
      <w:r>
        <w:rPr>
          <w:spacing w:val="-4"/>
          <w:sz w:val="22"/>
        </w:rPr>
        <w:t> </w:t>
      </w:r>
      <w:r>
        <w:rPr>
          <w:sz w:val="22"/>
        </w:rPr>
        <w:t>environment</w:t>
      </w:r>
      <w:r>
        <w:rPr>
          <w:spacing w:val="-5"/>
          <w:sz w:val="22"/>
        </w:rPr>
        <w:t> </w:t>
      </w:r>
      <w:r>
        <w:rPr>
          <w:sz w:val="22"/>
        </w:rPr>
        <w:t>management</w:t>
      </w:r>
      <w:r>
        <w:rPr>
          <w:spacing w:val="-1"/>
          <w:sz w:val="22"/>
        </w:rPr>
        <w:t> </w:t>
      </w:r>
      <w:r>
        <w:rPr>
          <w:spacing w:val="-2"/>
          <w:sz w:val="22"/>
        </w:rPr>
        <w:t>plans;</w:t>
      </w:r>
    </w:p>
    <w:p>
      <w:pPr>
        <w:pStyle w:val="ListParagraph"/>
        <w:numPr>
          <w:ilvl w:val="0"/>
          <w:numId w:val="94"/>
        </w:numPr>
        <w:tabs>
          <w:tab w:pos="590" w:val="left" w:leader="none"/>
        </w:tabs>
        <w:spacing w:line="240" w:lineRule="auto" w:before="66" w:after="0"/>
        <w:ind w:left="590" w:right="0" w:hanging="358"/>
        <w:jc w:val="left"/>
        <w:rPr>
          <w:sz w:val="22"/>
        </w:rPr>
      </w:pPr>
      <w:r>
        <w:rPr>
          <w:sz w:val="22"/>
        </w:rPr>
        <w:t>infringement</w:t>
      </w:r>
      <w:r>
        <w:rPr>
          <w:spacing w:val="-8"/>
          <w:sz w:val="22"/>
        </w:rPr>
        <w:t> </w:t>
      </w:r>
      <w:r>
        <w:rPr>
          <w:sz w:val="22"/>
        </w:rPr>
        <w:t>offences</w:t>
      </w:r>
      <w:r>
        <w:rPr>
          <w:spacing w:val="-7"/>
          <w:sz w:val="22"/>
        </w:rPr>
        <w:t> </w:t>
      </w:r>
      <w:r>
        <w:rPr>
          <w:sz w:val="22"/>
        </w:rPr>
        <w:t>and</w:t>
      </w:r>
      <w:r>
        <w:rPr>
          <w:spacing w:val="-8"/>
          <w:sz w:val="22"/>
        </w:rPr>
        <w:t> </w:t>
      </w:r>
      <w:r>
        <w:rPr>
          <w:sz w:val="22"/>
        </w:rPr>
        <w:t>penalties;</w:t>
      </w:r>
      <w:r>
        <w:rPr>
          <w:spacing w:val="-8"/>
          <w:sz w:val="22"/>
        </w:rPr>
        <w:t> </w:t>
      </w:r>
      <w:r>
        <w:rPr>
          <w:spacing w:val="-5"/>
          <w:sz w:val="22"/>
        </w:rPr>
        <w:t>and</w:t>
      </w:r>
    </w:p>
    <w:p>
      <w:pPr>
        <w:pStyle w:val="ListParagraph"/>
        <w:numPr>
          <w:ilvl w:val="0"/>
          <w:numId w:val="94"/>
        </w:numPr>
        <w:tabs>
          <w:tab w:pos="590" w:val="left" w:leader="none"/>
        </w:tabs>
        <w:spacing w:line="240" w:lineRule="auto" w:before="64" w:after="0"/>
        <w:ind w:left="590" w:right="0" w:hanging="358"/>
        <w:jc w:val="left"/>
        <w:rPr>
          <w:i/>
          <w:sz w:val="22"/>
        </w:rPr>
      </w:pPr>
      <w:r>
        <w:rPr>
          <w:sz w:val="22"/>
        </w:rPr>
        <w:t>various</w:t>
      </w:r>
      <w:r>
        <w:rPr>
          <w:spacing w:val="-9"/>
          <w:sz w:val="22"/>
        </w:rPr>
        <w:t> </w:t>
      </w:r>
      <w:r>
        <w:rPr>
          <w:sz w:val="22"/>
        </w:rPr>
        <w:t>forms,</w:t>
      </w:r>
      <w:r>
        <w:rPr>
          <w:spacing w:val="-7"/>
          <w:sz w:val="22"/>
        </w:rPr>
        <w:t> </w:t>
      </w:r>
      <w:r>
        <w:rPr>
          <w:sz w:val="22"/>
        </w:rPr>
        <w:t>fees</w:t>
      </w:r>
      <w:r>
        <w:rPr>
          <w:spacing w:val="-4"/>
          <w:sz w:val="22"/>
        </w:rPr>
        <w:t> </w:t>
      </w:r>
      <w:r>
        <w:rPr>
          <w:sz w:val="22"/>
        </w:rPr>
        <w:t>and</w:t>
      </w:r>
      <w:r>
        <w:rPr>
          <w:spacing w:val="-8"/>
          <w:sz w:val="22"/>
        </w:rPr>
        <w:t> </w:t>
      </w:r>
      <w:r>
        <w:rPr>
          <w:sz w:val="22"/>
        </w:rPr>
        <w:t>procedures</w:t>
      </w:r>
      <w:r>
        <w:rPr>
          <w:spacing w:val="-6"/>
          <w:sz w:val="22"/>
        </w:rPr>
        <w:t> </w:t>
      </w:r>
      <w:r>
        <w:rPr>
          <w:sz w:val="22"/>
        </w:rPr>
        <w:t>authorised</w:t>
      </w:r>
      <w:r>
        <w:rPr>
          <w:spacing w:val="-4"/>
          <w:sz w:val="22"/>
        </w:rPr>
        <w:t> </w:t>
      </w:r>
      <w:r>
        <w:rPr>
          <w:sz w:val="22"/>
        </w:rPr>
        <w:t>by</w:t>
      </w:r>
      <w:r>
        <w:rPr>
          <w:spacing w:val="-7"/>
          <w:sz w:val="22"/>
        </w:rPr>
        <w:t> </w:t>
      </w:r>
      <w:r>
        <w:rPr>
          <w:sz w:val="22"/>
        </w:rPr>
        <w:t>the</w:t>
      </w:r>
      <w:r>
        <w:rPr>
          <w:spacing w:val="-1"/>
          <w:sz w:val="22"/>
        </w:rPr>
        <w:t> </w:t>
      </w:r>
      <w:r>
        <w:rPr>
          <w:i/>
          <w:sz w:val="22"/>
        </w:rPr>
        <w:t>Pipelines</w:t>
      </w:r>
      <w:r>
        <w:rPr>
          <w:i/>
          <w:spacing w:val="-4"/>
          <w:sz w:val="22"/>
        </w:rPr>
        <w:t> </w:t>
      </w:r>
      <w:r>
        <w:rPr>
          <w:i/>
          <w:sz w:val="22"/>
        </w:rPr>
        <w:t>Act</w:t>
      </w:r>
      <w:r>
        <w:rPr>
          <w:i/>
          <w:spacing w:val="-2"/>
          <w:sz w:val="22"/>
        </w:rPr>
        <w:t> 2005.</w:t>
      </w:r>
    </w:p>
    <w:p>
      <w:pPr>
        <w:pStyle w:val="BodyText"/>
        <w:spacing w:before="2"/>
        <w:rPr>
          <w:i/>
          <w:sz w:val="25"/>
        </w:rPr>
      </w:pPr>
    </w:p>
    <w:p>
      <w:pPr>
        <w:pStyle w:val="Heading8"/>
        <w:ind w:left="232"/>
      </w:pPr>
      <w:r>
        <w:rPr/>
        <w:t>Gas</w:t>
      </w:r>
      <w:r>
        <w:rPr>
          <w:spacing w:val="-8"/>
        </w:rPr>
        <w:t> </w:t>
      </w:r>
      <w:r>
        <w:rPr/>
        <w:t>Industry</w:t>
      </w:r>
      <w:r>
        <w:rPr>
          <w:spacing w:val="-2"/>
        </w:rPr>
        <w:t> </w:t>
      </w:r>
      <w:r>
        <w:rPr/>
        <w:t>Act</w:t>
      </w:r>
      <w:r>
        <w:rPr>
          <w:spacing w:val="-4"/>
        </w:rPr>
        <w:t> 2001</w:t>
      </w:r>
    </w:p>
    <w:p>
      <w:pPr>
        <w:pStyle w:val="BodyText"/>
        <w:spacing w:line="288" w:lineRule="auto" w:before="169"/>
        <w:ind w:left="232" w:right="320"/>
      </w:pPr>
      <w:r>
        <w:rPr/>
        <w:t>The </w:t>
      </w:r>
      <w:r>
        <w:rPr>
          <w:i/>
        </w:rPr>
        <w:t>Gas Industry Act 2001 </w:t>
      </w:r>
      <w:r>
        <w:rPr/>
        <w:t>regulates the Victorian gas supply industry. It requires persons who distribute</w:t>
      </w:r>
      <w:r>
        <w:rPr>
          <w:spacing w:val="-2"/>
        </w:rPr>
        <w:t> </w:t>
      </w:r>
      <w:r>
        <w:rPr/>
        <w:t>or</w:t>
      </w:r>
      <w:r>
        <w:rPr>
          <w:spacing w:val="-1"/>
        </w:rPr>
        <w:t> </w:t>
      </w:r>
      <w:r>
        <w:rPr/>
        <w:t>sell</w:t>
      </w:r>
      <w:r>
        <w:rPr>
          <w:spacing w:val="-3"/>
        </w:rPr>
        <w:t> </w:t>
      </w:r>
      <w:r>
        <w:rPr/>
        <w:t>gas</w:t>
      </w:r>
      <w:r>
        <w:rPr>
          <w:spacing w:val="-2"/>
        </w:rPr>
        <w:t> </w:t>
      </w:r>
      <w:r>
        <w:rPr/>
        <w:t>to obtain a licence</w:t>
      </w:r>
      <w:r>
        <w:rPr>
          <w:spacing w:val="-2"/>
        </w:rPr>
        <w:t> </w:t>
      </w:r>
      <w:r>
        <w:rPr/>
        <w:t>from</w:t>
      </w:r>
      <w:r>
        <w:rPr>
          <w:spacing w:val="-1"/>
        </w:rPr>
        <w:t> </w:t>
      </w:r>
      <w:r>
        <w:rPr/>
        <w:t>the</w:t>
      </w:r>
      <w:r>
        <w:rPr>
          <w:spacing w:val="-5"/>
        </w:rPr>
        <w:t> </w:t>
      </w:r>
      <w:r>
        <w:rPr/>
        <w:t>Essential</w:t>
      </w:r>
      <w:r>
        <w:rPr>
          <w:spacing w:val="-1"/>
        </w:rPr>
        <w:t> </w:t>
      </w:r>
      <w:r>
        <w:rPr/>
        <w:t>Services Commission of Victoria (ESC), or</w:t>
      </w:r>
      <w:r>
        <w:rPr>
          <w:spacing w:val="-1"/>
        </w:rPr>
        <w:t> </w:t>
      </w:r>
      <w:r>
        <w:rPr/>
        <w:t>a</w:t>
      </w:r>
      <w:r>
        <w:rPr>
          <w:spacing w:val="-4"/>
        </w:rPr>
        <w:t> </w:t>
      </w:r>
      <w:r>
        <w:rPr/>
        <w:t>licence</w:t>
      </w:r>
      <w:r>
        <w:rPr>
          <w:spacing w:val="-2"/>
        </w:rPr>
        <w:t> </w:t>
      </w:r>
      <w:r>
        <w:rPr/>
        <w:t>exemption.</w:t>
      </w:r>
      <w:r>
        <w:rPr>
          <w:spacing w:val="-4"/>
        </w:rPr>
        <w:t> </w:t>
      </w:r>
      <w:r>
        <w:rPr/>
        <w:t>Section</w:t>
      </w:r>
      <w:r>
        <w:rPr>
          <w:spacing w:val="-2"/>
        </w:rPr>
        <w:t> </w:t>
      </w:r>
      <w:r>
        <w:rPr/>
        <w:t>156</w:t>
      </w:r>
      <w:r>
        <w:rPr>
          <w:spacing w:val="-2"/>
        </w:rPr>
        <w:t> </w:t>
      </w:r>
      <w:r>
        <w:rPr/>
        <w:t>of</w:t>
      </w:r>
      <w:r>
        <w:rPr>
          <w:spacing w:val="-3"/>
        </w:rPr>
        <w:t> </w:t>
      </w:r>
      <w:r>
        <w:rPr/>
        <w:t>the</w:t>
      </w:r>
      <w:r>
        <w:rPr>
          <w:spacing w:val="-2"/>
        </w:rPr>
        <w:t> </w:t>
      </w:r>
      <w:r>
        <w:rPr/>
        <w:t>Act</w:t>
      </w:r>
      <w:r>
        <w:rPr>
          <w:spacing w:val="-3"/>
        </w:rPr>
        <w:t> </w:t>
      </w:r>
      <w:r>
        <w:rPr/>
        <w:t>has specific</w:t>
      </w:r>
      <w:r>
        <w:rPr>
          <w:spacing w:val="-4"/>
        </w:rPr>
        <w:t> </w:t>
      </w:r>
      <w:r>
        <w:rPr/>
        <w:t>safety</w:t>
      </w:r>
      <w:r>
        <w:rPr>
          <w:spacing w:val="-4"/>
        </w:rPr>
        <w:t> </w:t>
      </w:r>
      <w:r>
        <w:rPr/>
        <w:t>aspects,</w:t>
      </w:r>
      <w:r>
        <w:rPr>
          <w:spacing w:val="-1"/>
        </w:rPr>
        <w:t> </w:t>
      </w:r>
      <w:r>
        <w:rPr/>
        <w:t>for</w:t>
      </w:r>
      <w:r>
        <w:rPr>
          <w:spacing w:val="-3"/>
        </w:rPr>
        <w:t> </w:t>
      </w:r>
      <w:r>
        <w:rPr/>
        <w:t>example</w:t>
      </w:r>
      <w:r>
        <w:rPr>
          <w:spacing w:val="-2"/>
        </w:rPr>
        <w:t> </w:t>
      </w:r>
      <w:r>
        <w:rPr/>
        <w:t>emergency powers of gas company officers and employees.</w:t>
      </w:r>
    </w:p>
    <w:p>
      <w:pPr>
        <w:pStyle w:val="BodyText"/>
        <w:spacing w:before="10"/>
        <w:rPr>
          <w:sz w:val="20"/>
        </w:rPr>
      </w:pPr>
    </w:p>
    <w:p>
      <w:pPr>
        <w:pStyle w:val="BodyText"/>
        <w:spacing w:line="288" w:lineRule="auto" w:before="1"/>
        <w:ind w:left="232"/>
      </w:pPr>
      <w:r>
        <w:rPr/>
        <w:t>The ESC also administers the </w:t>
      </w:r>
      <w:r>
        <w:rPr>
          <w:i/>
        </w:rPr>
        <w:t>Gas Distribution Code, </w:t>
      </w:r>
      <w:r>
        <w:rPr/>
        <w:t>which sets out how licensed gas network businesses</w:t>
      </w:r>
      <w:r>
        <w:rPr>
          <w:spacing w:val="-2"/>
        </w:rPr>
        <w:t> </w:t>
      </w:r>
      <w:r>
        <w:rPr/>
        <w:t>operate</w:t>
      </w:r>
      <w:r>
        <w:rPr>
          <w:spacing w:val="-4"/>
        </w:rPr>
        <w:t> </w:t>
      </w:r>
      <w:r>
        <w:rPr/>
        <w:t>their</w:t>
      </w:r>
      <w:r>
        <w:rPr>
          <w:spacing w:val="-3"/>
        </w:rPr>
        <w:t> </w:t>
      </w:r>
      <w:r>
        <w:rPr/>
        <w:t>network in</w:t>
      </w:r>
      <w:r>
        <w:rPr>
          <w:spacing w:val="-3"/>
        </w:rPr>
        <w:t> </w:t>
      </w:r>
      <w:r>
        <w:rPr/>
        <w:t>a</w:t>
      </w:r>
      <w:r>
        <w:rPr>
          <w:spacing w:val="-4"/>
        </w:rPr>
        <w:t> </w:t>
      </w:r>
      <w:r>
        <w:rPr/>
        <w:t>safe,</w:t>
      </w:r>
      <w:r>
        <w:rPr>
          <w:spacing w:val="-3"/>
        </w:rPr>
        <w:t> </w:t>
      </w:r>
      <w:r>
        <w:rPr/>
        <w:t>efficient</w:t>
      </w:r>
      <w:r>
        <w:rPr>
          <w:spacing w:val="-2"/>
        </w:rPr>
        <w:t> </w:t>
      </w:r>
      <w:r>
        <w:rPr/>
        <w:t>and</w:t>
      </w:r>
      <w:r>
        <w:rPr>
          <w:spacing w:val="-4"/>
        </w:rPr>
        <w:t> </w:t>
      </w:r>
      <w:r>
        <w:rPr/>
        <w:t>reliable</w:t>
      </w:r>
      <w:r>
        <w:rPr>
          <w:spacing w:val="-3"/>
        </w:rPr>
        <w:t> </w:t>
      </w:r>
      <w:r>
        <w:rPr/>
        <w:t>manner.</w:t>
      </w:r>
      <w:r>
        <w:rPr>
          <w:spacing w:val="-5"/>
        </w:rPr>
        <w:t> </w:t>
      </w:r>
      <w:r>
        <w:rPr/>
        <w:t>This</w:t>
      </w:r>
      <w:r>
        <w:rPr>
          <w:spacing w:val="-2"/>
        </w:rPr>
        <w:t> </w:t>
      </w:r>
      <w:r>
        <w:rPr/>
        <w:t>includes</w:t>
      </w:r>
      <w:r>
        <w:rPr>
          <w:spacing w:val="-3"/>
        </w:rPr>
        <w:t> </w:t>
      </w:r>
      <w:r>
        <w:rPr/>
        <w:t>prescribed obligations regarding the quality and reliability of gas supply.</w:t>
      </w:r>
    </w:p>
    <w:p>
      <w:pPr>
        <w:pStyle w:val="BodyText"/>
        <w:rPr>
          <w:sz w:val="21"/>
        </w:rPr>
      </w:pPr>
    </w:p>
    <w:p>
      <w:pPr>
        <w:pStyle w:val="Heading8"/>
        <w:ind w:left="232"/>
      </w:pPr>
      <w:r>
        <w:rPr/>
        <w:t>Major</w:t>
      </w:r>
      <w:r>
        <w:rPr>
          <w:spacing w:val="-4"/>
        </w:rPr>
        <w:t> </w:t>
      </w:r>
      <w:r>
        <w:rPr/>
        <w:t>Hazard</w:t>
      </w:r>
      <w:r>
        <w:rPr>
          <w:spacing w:val="-5"/>
        </w:rPr>
        <w:t> </w:t>
      </w:r>
      <w:r>
        <w:rPr>
          <w:spacing w:val="-2"/>
        </w:rPr>
        <w:t>Facilities</w:t>
      </w:r>
    </w:p>
    <w:p>
      <w:pPr>
        <w:pStyle w:val="BodyText"/>
        <w:spacing w:line="288" w:lineRule="auto" w:before="169"/>
        <w:ind w:left="232" w:right="369"/>
      </w:pPr>
      <w:r>
        <w:rPr/>
        <w:t>Throughout the Victorian</w:t>
      </w:r>
      <w:r>
        <w:rPr>
          <w:spacing w:val="-2"/>
        </w:rPr>
        <w:t> </w:t>
      </w:r>
      <w:r>
        <w:rPr/>
        <w:t>gas system,</w:t>
      </w:r>
      <w:r>
        <w:rPr>
          <w:spacing w:val="-1"/>
        </w:rPr>
        <w:t> </w:t>
      </w:r>
      <w:r>
        <w:rPr/>
        <w:t>there are several specific sites in which the gas is produced or stored and injected into the Victorian transmission system. Gas used by the Victorian gas system</w:t>
      </w:r>
      <w:r>
        <w:rPr>
          <w:spacing w:val="-1"/>
        </w:rPr>
        <w:t> </w:t>
      </w:r>
      <w:r>
        <w:rPr/>
        <w:t>is</w:t>
      </w:r>
      <w:r>
        <w:rPr>
          <w:spacing w:val="-4"/>
        </w:rPr>
        <w:t> </w:t>
      </w:r>
      <w:r>
        <w:rPr/>
        <w:t>defined</w:t>
      </w:r>
      <w:r>
        <w:rPr>
          <w:spacing w:val="-2"/>
        </w:rPr>
        <w:t> </w:t>
      </w:r>
      <w:r>
        <w:rPr/>
        <w:t>as</w:t>
      </w:r>
      <w:r>
        <w:rPr>
          <w:spacing w:val="-4"/>
        </w:rPr>
        <w:t> </w:t>
      </w:r>
      <w:r>
        <w:rPr/>
        <w:t>dangerous</w:t>
      </w:r>
      <w:r>
        <w:rPr>
          <w:spacing w:val="-4"/>
        </w:rPr>
        <w:t> </w:t>
      </w:r>
      <w:r>
        <w:rPr/>
        <w:t>goods</w:t>
      </w:r>
      <w:r>
        <w:rPr>
          <w:spacing w:val="-4"/>
        </w:rPr>
        <w:t> </w:t>
      </w:r>
      <w:r>
        <w:rPr/>
        <w:t>in</w:t>
      </w:r>
      <w:r>
        <w:rPr>
          <w:spacing w:val="-2"/>
        </w:rPr>
        <w:t> </w:t>
      </w:r>
      <w:r>
        <w:rPr/>
        <w:t>accordance</w:t>
      </w:r>
      <w:r>
        <w:rPr>
          <w:spacing w:val="-2"/>
        </w:rPr>
        <w:t> </w:t>
      </w:r>
      <w:r>
        <w:rPr/>
        <w:t>with</w:t>
      </w:r>
      <w:r>
        <w:rPr>
          <w:spacing w:val="-2"/>
        </w:rPr>
        <w:t> </w:t>
      </w:r>
      <w:r>
        <w:rPr/>
        <w:t>the </w:t>
      </w:r>
      <w:r>
        <w:rPr>
          <w:i/>
        </w:rPr>
        <w:t>Dangerous</w:t>
      </w:r>
      <w:r>
        <w:rPr>
          <w:i/>
          <w:spacing w:val="-4"/>
        </w:rPr>
        <w:t> </w:t>
      </w:r>
      <w:r>
        <w:rPr>
          <w:i/>
        </w:rPr>
        <w:t>Goods</w:t>
      </w:r>
      <w:r>
        <w:rPr>
          <w:i/>
          <w:spacing w:val="-2"/>
        </w:rPr>
        <w:t> </w:t>
      </w:r>
      <w:r>
        <w:rPr>
          <w:i/>
        </w:rPr>
        <w:t>Act</w:t>
      </w:r>
      <w:r>
        <w:rPr>
          <w:i/>
          <w:spacing w:val="-3"/>
        </w:rPr>
        <w:t> </w:t>
      </w:r>
      <w:r>
        <w:rPr>
          <w:i/>
        </w:rPr>
        <w:t>1985</w:t>
      </w:r>
      <w:r>
        <w:rPr/>
        <w:t>.</w:t>
      </w:r>
      <w:r>
        <w:rPr>
          <w:spacing w:val="-3"/>
        </w:rPr>
        <w:t> </w:t>
      </w:r>
      <w:r>
        <w:rPr/>
        <w:t>Due</w:t>
      </w:r>
      <w:r>
        <w:rPr>
          <w:spacing w:val="-4"/>
        </w:rPr>
        <w:t> </w:t>
      </w:r>
      <w:r>
        <w:rPr/>
        <w:t>to the large</w:t>
      </w:r>
      <w:r>
        <w:rPr>
          <w:spacing w:val="-1"/>
        </w:rPr>
        <w:t> </w:t>
      </w:r>
      <w:r>
        <w:rPr/>
        <w:t>quantity of gas</w:t>
      </w:r>
      <w:r>
        <w:rPr>
          <w:spacing w:val="-1"/>
        </w:rPr>
        <w:t> </w:t>
      </w:r>
      <w:r>
        <w:rPr/>
        <w:t>stored at these sites, they are classified as Major Hazard Facilities under</w:t>
      </w:r>
    </w:p>
    <w:p>
      <w:pPr>
        <w:pStyle w:val="BodyText"/>
        <w:rPr>
          <w:sz w:val="20"/>
        </w:rPr>
      </w:pPr>
    </w:p>
    <w:p>
      <w:pPr>
        <w:pStyle w:val="BodyText"/>
        <w:spacing w:before="2"/>
        <w:rPr>
          <w:sz w:val="13"/>
        </w:rPr>
      </w:pPr>
      <w:r>
        <w:rPr/>
        <mc:AlternateContent>
          <mc:Choice Requires="wps">
            <w:drawing>
              <wp:anchor distT="0" distB="0" distL="0" distR="0" allowOverlap="1" layoutInCell="1" locked="0" behindDoc="1" simplePos="0" relativeHeight="487675392">
                <wp:simplePos x="0" y="0"/>
                <wp:positionH relativeFrom="page">
                  <wp:posOffset>701040</wp:posOffset>
                </wp:positionH>
                <wp:positionV relativeFrom="paragraph">
                  <wp:posOffset>111863</wp:posOffset>
                </wp:positionV>
                <wp:extent cx="6158230" cy="1270"/>
                <wp:effectExtent l="0" t="0" r="0" b="0"/>
                <wp:wrapTopAndBottom/>
                <wp:docPr id="246" name="Graphic 246"/>
                <wp:cNvGraphicFramePr>
                  <a:graphicFrameLocks/>
                </wp:cNvGraphicFramePr>
                <a:graphic>
                  <a:graphicData uri="http://schemas.microsoft.com/office/word/2010/wordprocessingShape">
                    <wps:wsp>
                      <wps:cNvPr id="246" name="Graphic 246"/>
                      <wps:cNvSpPr/>
                      <wps:spPr>
                        <a:xfrm>
                          <a:off x="0" y="0"/>
                          <a:ext cx="6158230" cy="1270"/>
                        </a:xfrm>
                        <a:custGeom>
                          <a:avLst/>
                          <a:gdLst/>
                          <a:ahLst/>
                          <a:cxnLst/>
                          <a:rect l="l" t="t" r="r" b="b"/>
                          <a:pathLst>
                            <a:path w="6158230" h="0">
                              <a:moveTo>
                                <a:pt x="0" y="0"/>
                              </a:moveTo>
                              <a:lnTo>
                                <a:pt x="6158230" y="0"/>
                              </a:lnTo>
                            </a:path>
                          </a:pathLst>
                        </a:custGeom>
                        <a:ln w="12192">
                          <a:solidFill>
                            <a:srgbClr val="000000"/>
                          </a:solidFill>
                          <a:prstDash val="sysDot"/>
                        </a:ln>
                      </wps:spPr>
                      <wps:bodyPr wrap="square" lIns="0" tIns="0" rIns="0" bIns="0" rtlCol="0">
                        <a:prstTxWarp prst="textNoShape">
                          <a:avLst/>
                        </a:prstTxWarp>
                        <a:noAutofit/>
                      </wps:bodyPr>
                    </wps:wsp>
                  </a:graphicData>
                </a:graphic>
              </wp:anchor>
            </w:drawing>
          </mc:Choice>
          <mc:Fallback>
            <w:pict>
              <v:shape style="position:absolute;margin-left:55.200001pt;margin-top:8.808174pt;width:484.9pt;height:.1pt;mso-position-horizontal-relative:page;mso-position-vertical-relative:paragraph;z-index:-15641088;mso-wrap-distance-left:0;mso-wrap-distance-right:0" id="docshape212" coordorigin="1104,176" coordsize="9698,0" path="m1104,176l10802,176e" filled="false" stroked="true" strokeweight=".96pt" strokecolor="#000000">
                <v:path arrowok="t"/>
                <v:stroke dashstyle="shortdot"/>
                <w10:wrap type="topAndBottom"/>
              </v:shape>
            </w:pict>
          </mc:Fallback>
        </mc:AlternateContent>
      </w:r>
    </w:p>
    <w:p>
      <w:pPr>
        <w:pStyle w:val="BodyText"/>
        <w:spacing w:before="8"/>
      </w:pPr>
    </w:p>
    <w:p>
      <w:pPr>
        <w:spacing w:line="283" w:lineRule="auto" w:before="97"/>
        <w:ind w:left="232" w:right="374" w:firstLine="0"/>
        <w:jc w:val="left"/>
        <w:rPr>
          <w:sz w:val="16"/>
        </w:rPr>
      </w:pPr>
      <w:r>
        <w:rPr>
          <w:position w:val="6"/>
          <w:sz w:val="12"/>
        </w:rPr>
        <w:t>24</w:t>
      </w:r>
      <w:r>
        <w:rPr>
          <w:spacing w:val="16"/>
          <w:position w:val="6"/>
          <w:sz w:val="12"/>
        </w:rPr>
        <w:t> </w:t>
      </w:r>
      <w:r>
        <w:rPr>
          <w:color w:val="1D1D1C"/>
          <w:sz w:val="16"/>
        </w:rPr>
        <w:t>A</w:t>
      </w:r>
      <w:r>
        <w:rPr>
          <w:color w:val="1D1D1C"/>
          <w:spacing w:val="-2"/>
          <w:sz w:val="16"/>
        </w:rPr>
        <w:t> </w:t>
      </w:r>
      <w:r>
        <w:rPr>
          <w:color w:val="1D1D1C"/>
          <w:sz w:val="16"/>
        </w:rPr>
        <w:t>key</w:t>
      </w:r>
      <w:r>
        <w:rPr>
          <w:color w:val="1D1D1C"/>
          <w:spacing w:val="-2"/>
          <w:sz w:val="16"/>
        </w:rPr>
        <w:t> </w:t>
      </w:r>
      <w:r>
        <w:rPr>
          <w:color w:val="1D1D1C"/>
          <w:sz w:val="16"/>
        </w:rPr>
        <w:t>part of</w:t>
      </w:r>
      <w:r>
        <w:rPr>
          <w:color w:val="1D1D1C"/>
          <w:spacing w:val="-2"/>
          <w:sz w:val="16"/>
        </w:rPr>
        <w:t> </w:t>
      </w:r>
      <w:r>
        <w:rPr>
          <w:color w:val="1D1D1C"/>
          <w:sz w:val="16"/>
        </w:rPr>
        <w:t>AS</w:t>
      </w:r>
      <w:r>
        <w:rPr>
          <w:color w:val="1D1D1C"/>
          <w:spacing w:val="-2"/>
          <w:sz w:val="16"/>
        </w:rPr>
        <w:t> </w:t>
      </w:r>
      <w:r>
        <w:rPr>
          <w:color w:val="1D1D1C"/>
          <w:sz w:val="16"/>
        </w:rPr>
        <w:t>2885</w:t>
      </w:r>
      <w:r>
        <w:rPr>
          <w:color w:val="1D1D1C"/>
          <w:spacing w:val="-1"/>
          <w:sz w:val="16"/>
        </w:rPr>
        <w:t> </w:t>
      </w:r>
      <w:r>
        <w:rPr>
          <w:color w:val="1D1D1C"/>
          <w:sz w:val="16"/>
        </w:rPr>
        <w:t>is</w:t>
      </w:r>
      <w:r>
        <w:rPr>
          <w:color w:val="1D1D1C"/>
          <w:spacing w:val="-2"/>
          <w:sz w:val="16"/>
        </w:rPr>
        <w:t> </w:t>
      </w:r>
      <w:r>
        <w:rPr>
          <w:color w:val="1D1D1C"/>
          <w:sz w:val="16"/>
        </w:rPr>
        <w:t>the</w:t>
      </w:r>
      <w:r>
        <w:rPr>
          <w:color w:val="1D1D1C"/>
          <w:spacing w:val="-3"/>
          <w:sz w:val="16"/>
        </w:rPr>
        <w:t> </w:t>
      </w:r>
      <w:r>
        <w:rPr>
          <w:color w:val="1D1D1C"/>
          <w:sz w:val="16"/>
        </w:rPr>
        <w:t>Safety</w:t>
      </w:r>
      <w:r>
        <w:rPr>
          <w:color w:val="1D1D1C"/>
          <w:spacing w:val="-2"/>
          <w:sz w:val="16"/>
        </w:rPr>
        <w:t> </w:t>
      </w:r>
      <w:r>
        <w:rPr>
          <w:color w:val="1D1D1C"/>
          <w:sz w:val="16"/>
        </w:rPr>
        <w:t>Management</w:t>
      </w:r>
      <w:r>
        <w:rPr>
          <w:color w:val="1D1D1C"/>
          <w:spacing w:val="-2"/>
          <w:sz w:val="16"/>
        </w:rPr>
        <w:t> </w:t>
      </w:r>
      <w:r>
        <w:rPr>
          <w:color w:val="1D1D1C"/>
          <w:sz w:val="16"/>
        </w:rPr>
        <w:t>Study</w:t>
      </w:r>
      <w:r>
        <w:rPr>
          <w:color w:val="1D1D1C"/>
          <w:spacing w:val="-2"/>
          <w:sz w:val="16"/>
        </w:rPr>
        <w:t> </w:t>
      </w:r>
      <w:r>
        <w:rPr>
          <w:color w:val="1D1D1C"/>
          <w:sz w:val="16"/>
        </w:rPr>
        <w:t>process,</w:t>
      </w:r>
      <w:r>
        <w:rPr>
          <w:color w:val="1D1D1C"/>
          <w:spacing w:val="-2"/>
          <w:sz w:val="16"/>
        </w:rPr>
        <w:t> </w:t>
      </w:r>
      <w:r>
        <w:rPr>
          <w:color w:val="1D1D1C"/>
          <w:sz w:val="16"/>
        </w:rPr>
        <w:t>which</w:t>
      </w:r>
      <w:r>
        <w:rPr>
          <w:color w:val="1D1D1C"/>
          <w:spacing w:val="-1"/>
          <w:sz w:val="16"/>
        </w:rPr>
        <w:t> </w:t>
      </w:r>
      <w:r>
        <w:rPr>
          <w:color w:val="1D1D1C"/>
          <w:sz w:val="16"/>
        </w:rPr>
        <w:t>requires</w:t>
      </w:r>
      <w:r>
        <w:rPr>
          <w:color w:val="1D1D1C"/>
          <w:spacing w:val="-2"/>
          <w:sz w:val="16"/>
        </w:rPr>
        <w:t> </w:t>
      </w:r>
      <w:r>
        <w:rPr>
          <w:color w:val="1D1D1C"/>
          <w:sz w:val="16"/>
        </w:rPr>
        <w:t>holder</w:t>
      </w:r>
      <w:r>
        <w:rPr>
          <w:color w:val="1D1D1C"/>
          <w:spacing w:val="-1"/>
          <w:sz w:val="16"/>
        </w:rPr>
        <w:t> </w:t>
      </w:r>
      <w:r>
        <w:rPr>
          <w:color w:val="1D1D1C"/>
          <w:sz w:val="16"/>
        </w:rPr>
        <w:t>to</w:t>
      </w:r>
      <w:r>
        <w:rPr>
          <w:color w:val="1D1D1C"/>
          <w:spacing w:val="-4"/>
          <w:sz w:val="16"/>
        </w:rPr>
        <w:t> </w:t>
      </w:r>
      <w:r>
        <w:rPr>
          <w:color w:val="1D1D1C"/>
          <w:sz w:val="16"/>
        </w:rPr>
        <w:t>identify</w:t>
      </w:r>
      <w:r>
        <w:rPr>
          <w:color w:val="1D1D1C"/>
          <w:spacing w:val="-2"/>
          <w:sz w:val="16"/>
        </w:rPr>
        <w:t> </w:t>
      </w:r>
      <w:r>
        <w:rPr>
          <w:color w:val="1D1D1C"/>
          <w:sz w:val="16"/>
        </w:rPr>
        <w:t>all</w:t>
      </w:r>
      <w:r>
        <w:rPr>
          <w:color w:val="1D1D1C"/>
          <w:spacing w:val="-2"/>
          <w:sz w:val="16"/>
        </w:rPr>
        <w:t> </w:t>
      </w:r>
      <w:r>
        <w:rPr>
          <w:color w:val="1D1D1C"/>
          <w:sz w:val="16"/>
        </w:rPr>
        <w:t>credible</w:t>
      </w:r>
      <w:r>
        <w:rPr>
          <w:color w:val="1D1D1C"/>
          <w:spacing w:val="-1"/>
          <w:sz w:val="16"/>
        </w:rPr>
        <w:t> </w:t>
      </w:r>
      <w:r>
        <w:rPr>
          <w:color w:val="1D1D1C"/>
          <w:sz w:val="16"/>
        </w:rPr>
        <w:t>threats</w:t>
      </w:r>
      <w:r>
        <w:rPr>
          <w:color w:val="1D1D1C"/>
          <w:spacing w:val="-2"/>
          <w:sz w:val="16"/>
        </w:rPr>
        <w:t> </w:t>
      </w:r>
      <w:r>
        <w:rPr>
          <w:color w:val="1D1D1C"/>
          <w:sz w:val="16"/>
        </w:rPr>
        <w:t>to</w:t>
      </w:r>
      <w:r>
        <w:rPr>
          <w:color w:val="1D1D1C"/>
          <w:spacing w:val="-3"/>
          <w:sz w:val="16"/>
        </w:rPr>
        <w:t> </w:t>
      </w:r>
      <w:r>
        <w:rPr>
          <w:color w:val="1D1D1C"/>
          <w:sz w:val="16"/>
        </w:rPr>
        <w:t>the</w:t>
      </w:r>
      <w:r>
        <w:rPr>
          <w:color w:val="1D1D1C"/>
          <w:spacing w:val="-3"/>
          <w:sz w:val="16"/>
        </w:rPr>
        <w:t> </w:t>
      </w:r>
      <w:r>
        <w:rPr>
          <w:color w:val="1D1D1C"/>
          <w:sz w:val="16"/>
        </w:rPr>
        <w:t>safety</w:t>
      </w:r>
      <w:r>
        <w:rPr>
          <w:color w:val="1D1D1C"/>
          <w:spacing w:val="-2"/>
          <w:sz w:val="16"/>
        </w:rPr>
        <w:t> </w:t>
      </w:r>
      <w:r>
        <w:rPr>
          <w:color w:val="1D1D1C"/>
          <w:sz w:val="16"/>
        </w:rPr>
        <w:t>of the pipeline, assess the risk level for threats that could cause failure, and apply appropriate mitigation measures.</w:t>
      </w:r>
    </w:p>
    <w:p>
      <w:pPr>
        <w:spacing w:line="240" w:lineRule="auto" w:before="0"/>
        <w:ind w:left="232" w:right="323" w:firstLine="0"/>
        <w:jc w:val="left"/>
        <w:rPr>
          <w:sz w:val="16"/>
        </w:rPr>
      </w:pPr>
      <w:r>
        <w:rPr>
          <w:color w:val="1D1D1C"/>
          <w:sz w:val="16"/>
        </w:rPr>
        <w:t>Under AS 2885.1 each</w:t>
      </w:r>
      <w:r>
        <w:rPr>
          <w:color w:val="1D1D1C"/>
          <w:spacing w:val="-1"/>
          <w:sz w:val="16"/>
        </w:rPr>
        <w:t> </w:t>
      </w:r>
      <w:r>
        <w:rPr>
          <w:color w:val="1D1D1C"/>
          <w:sz w:val="16"/>
        </w:rPr>
        <w:t>pipeline</w:t>
      </w:r>
      <w:r>
        <w:rPr>
          <w:color w:val="1D1D1C"/>
          <w:spacing w:val="-1"/>
          <w:sz w:val="16"/>
        </w:rPr>
        <w:t> </w:t>
      </w:r>
      <w:r>
        <w:rPr>
          <w:color w:val="1D1D1C"/>
          <w:sz w:val="16"/>
        </w:rPr>
        <w:t>segment is assigned a location</w:t>
      </w:r>
      <w:r>
        <w:rPr>
          <w:color w:val="1D1D1C"/>
          <w:spacing w:val="-1"/>
          <w:sz w:val="16"/>
        </w:rPr>
        <w:t> </w:t>
      </w:r>
      <w:r>
        <w:rPr>
          <w:color w:val="1D1D1C"/>
          <w:sz w:val="16"/>
        </w:rPr>
        <w:t>class based on</w:t>
      </w:r>
      <w:r>
        <w:rPr>
          <w:color w:val="1D1D1C"/>
          <w:spacing w:val="-1"/>
          <w:sz w:val="16"/>
        </w:rPr>
        <w:t> </w:t>
      </w:r>
      <w:r>
        <w:rPr>
          <w:color w:val="1D1D1C"/>
          <w:sz w:val="16"/>
        </w:rPr>
        <w:t>the land use</w:t>
      </w:r>
      <w:r>
        <w:rPr>
          <w:color w:val="1D1D1C"/>
          <w:spacing w:val="-1"/>
          <w:sz w:val="16"/>
        </w:rPr>
        <w:t> </w:t>
      </w:r>
      <w:r>
        <w:rPr>
          <w:color w:val="1D1D1C"/>
          <w:sz w:val="16"/>
        </w:rPr>
        <w:t>within the</w:t>
      </w:r>
      <w:r>
        <w:rPr>
          <w:color w:val="1D1D1C"/>
          <w:spacing w:val="-1"/>
          <w:sz w:val="16"/>
        </w:rPr>
        <w:t> </w:t>
      </w:r>
      <w:r>
        <w:rPr>
          <w:color w:val="1D1D1C"/>
          <w:sz w:val="16"/>
        </w:rPr>
        <w:t>‘Measurement Length’ (ML). The ML is the distance</w:t>
      </w:r>
      <w:r>
        <w:rPr>
          <w:color w:val="1D1D1C"/>
          <w:spacing w:val="-2"/>
          <w:sz w:val="16"/>
        </w:rPr>
        <w:t> </w:t>
      </w:r>
      <w:r>
        <w:rPr>
          <w:color w:val="1D1D1C"/>
          <w:sz w:val="16"/>
        </w:rPr>
        <w:t>from the pipeline that</w:t>
      </w:r>
      <w:r>
        <w:rPr>
          <w:color w:val="1D1D1C"/>
          <w:spacing w:val="-1"/>
          <w:sz w:val="16"/>
        </w:rPr>
        <w:t> </w:t>
      </w:r>
      <w:r>
        <w:rPr>
          <w:color w:val="1D1D1C"/>
          <w:sz w:val="16"/>
        </w:rPr>
        <w:t>a</w:t>
      </w:r>
      <w:r>
        <w:rPr>
          <w:color w:val="1D1D1C"/>
          <w:spacing w:val="-2"/>
          <w:sz w:val="16"/>
        </w:rPr>
        <w:t> </w:t>
      </w:r>
      <w:r>
        <w:rPr>
          <w:color w:val="1D1D1C"/>
          <w:sz w:val="16"/>
        </w:rPr>
        <w:t>full bore rupture</w:t>
      </w:r>
      <w:r>
        <w:rPr>
          <w:color w:val="1D1D1C"/>
          <w:spacing w:val="-3"/>
          <w:sz w:val="16"/>
        </w:rPr>
        <w:t> </w:t>
      </w:r>
      <w:r>
        <w:rPr>
          <w:color w:val="1D1D1C"/>
          <w:sz w:val="16"/>
        </w:rPr>
        <w:t>would affect</w:t>
      </w:r>
      <w:r>
        <w:rPr>
          <w:color w:val="1D1D1C"/>
          <w:spacing w:val="-1"/>
          <w:sz w:val="16"/>
        </w:rPr>
        <w:t> </w:t>
      </w:r>
      <w:r>
        <w:rPr>
          <w:color w:val="1D1D1C"/>
          <w:sz w:val="16"/>
        </w:rPr>
        <w:t>the</w:t>
      </w:r>
      <w:r>
        <w:rPr>
          <w:color w:val="1D1D1C"/>
          <w:spacing w:val="-2"/>
          <w:sz w:val="16"/>
        </w:rPr>
        <w:t> </w:t>
      </w:r>
      <w:r>
        <w:rPr>
          <w:color w:val="1D1D1C"/>
          <w:sz w:val="16"/>
        </w:rPr>
        <w:t>surrounding area causing</w:t>
      </w:r>
      <w:r>
        <w:rPr>
          <w:color w:val="1D1D1C"/>
          <w:spacing w:val="-3"/>
          <w:sz w:val="16"/>
        </w:rPr>
        <w:t> </w:t>
      </w:r>
      <w:r>
        <w:rPr>
          <w:color w:val="1D1D1C"/>
          <w:sz w:val="16"/>
        </w:rPr>
        <w:t>serious injuries</w:t>
      </w:r>
      <w:r>
        <w:rPr>
          <w:color w:val="1D1D1C"/>
          <w:spacing w:val="-1"/>
          <w:sz w:val="16"/>
        </w:rPr>
        <w:t> </w:t>
      </w:r>
      <w:r>
        <w:rPr>
          <w:color w:val="1D1D1C"/>
          <w:sz w:val="16"/>
        </w:rPr>
        <w:t>to people.</w:t>
      </w:r>
      <w:r>
        <w:rPr>
          <w:color w:val="1D1D1C"/>
          <w:spacing w:val="-1"/>
          <w:sz w:val="16"/>
        </w:rPr>
        <w:t> </w:t>
      </w:r>
      <w:r>
        <w:rPr>
          <w:color w:val="1D1D1C"/>
          <w:sz w:val="16"/>
        </w:rPr>
        <w:t>The</w:t>
      </w:r>
      <w:r>
        <w:rPr>
          <w:color w:val="1D1D1C"/>
          <w:spacing w:val="-1"/>
          <w:sz w:val="16"/>
        </w:rPr>
        <w:t> </w:t>
      </w:r>
      <w:r>
        <w:rPr>
          <w:color w:val="1D1D1C"/>
          <w:sz w:val="16"/>
        </w:rPr>
        <w:t>ML is dependent on operating pressure and diameter of the pipeline, thus each pipeline</w:t>
      </w:r>
      <w:r>
        <w:rPr>
          <w:color w:val="1D1D1C"/>
          <w:spacing w:val="-1"/>
          <w:sz w:val="16"/>
        </w:rPr>
        <w:t> </w:t>
      </w:r>
      <w:r>
        <w:rPr>
          <w:color w:val="1D1D1C"/>
          <w:sz w:val="16"/>
        </w:rPr>
        <w:t>has a different ML. This standard requires physical and procedural mitigation measures to be applied during design and operation. The number of physical and procedural measures required depends on the location classification and is mandatory for new pipelines. For existing pipelines, the standard requires that</w:t>
      </w:r>
      <w:r>
        <w:rPr>
          <w:color w:val="1D1D1C"/>
          <w:spacing w:val="40"/>
          <w:sz w:val="16"/>
        </w:rPr>
        <w:t> </w:t>
      </w:r>
      <w:r>
        <w:rPr>
          <w:color w:val="1D1D1C"/>
          <w:sz w:val="16"/>
        </w:rPr>
        <w:t>they are assessed against the requirements of Clauses 4.7.2 and 4.7.3, which set out the criteria for “no rupture” and maximum energy release</w:t>
      </w:r>
      <w:r>
        <w:rPr>
          <w:color w:val="1D1D1C"/>
          <w:spacing w:val="-1"/>
          <w:sz w:val="16"/>
        </w:rPr>
        <w:t> </w:t>
      </w:r>
      <w:r>
        <w:rPr>
          <w:color w:val="1D1D1C"/>
          <w:sz w:val="16"/>
        </w:rPr>
        <w:t>rate</w:t>
      </w:r>
      <w:r>
        <w:rPr>
          <w:color w:val="1D1D1C"/>
          <w:spacing w:val="-3"/>
          <w:sz w:val="16"/>
        </w:rPr>
        <w:t> </w:t>
      </w:r>
      <w:r>
        <w:rPr>
          <w:color w:val="1D1D1C"/>
          <w:sz w:val="16"/>
        </w:rPr>
        <w:t>in</w:t>
      </w:r>
      <w:r>
        <w:rPr>
          <w:color w:val="1D1D1C"/>
          <w:spacing w:val="-1"/>
          <w:sz w:val="16"/>
        </w:rPr>
        <w:t> </w:t>
      </w:r>
      <w:r>
        <w:rPr>
          <w:color w:val="1D1D1C"/>
          <w:sz w:val="16"/>
        </w:rPr>
        <w:t>high</w:t>
      </w:r>
      <w:r>
        <w:rPr>
          <w:color w:val="1D1D1C"/>
          <w:spacing w:val="-4"/>
          <w:sz w:val="16"/>
        </w:rPr>
        <w:t> </w:t>
      </w:r>
      <w:r>
        <w:rPr>
          <w:color w:val="1D1D1C"/>
          <w:sz w:val="16"/>
        </w:rPr>
        <w:t>consequence</w:t>
      </w:r>
      <w:r>
        <w:rPr>
          <w:color w:val="1D1D1C"/>
          <w:spacing w:val="-3"/>
          <w:sz w:val="16"/>
        </w:rPr>
        <w:t> </w:t>
      </w:r>
      <w:r>
        <w:rPr>
          <w:color w:val="1D1D1C"/>
          <w:sz w:val="16"/>
        </w:rPr>
        <w:t>areas.</w:t>
      </w:r>
      <w:r>
        <w:rPr>
          <w:color w:val="1D1D1C"/>
          <w:spacing w:val="-4"/>
          <w:sz w:val="16"/>
        </w:rPr>
        <w:t> </w:t>
      </w:r>
      <w:r>
        <w:rPr>
          <w:color w:val="1D1D1C"/>
          <w:sz w:val="16"/>
        </w:rPr>
        <w:t>Where</w:t>
      </w:r>
      <w:r>
        <w:rPr>
          <w:color w:val="1D1D1C"/>
          <w:spacing w:val="-1"/>
          <w:sz w:val="16"/>
        </w:rPr>
        <w:t> </w:t>
      </w:r>
      <w:r>
        <w:rPr>
          <w:color w:val="1D1D1C"/>
          <w:sz w:val="16"/>
        </w:rPr>
        <w:t>existing</w:t>
      </w:r>
      <w:r>
        <w:rPr>
          <w:color w:val="1D1D1C"/>
          <w:spacing w:val="-4"/>
          <w:sz w:val="16"/>
        </w:rPr>
        <w:t> </w:t>
      </w:r>
      <w:r>
        <w:rPr>
          <w:color w:val="1D1D1C"/>
          <w:sz w:val="16"/>
        </w:rPr>
        <w:t>pipelines do</w:t>
      </w:r>
      <w:r>
        <w:rPr>
          <w:color w:val="1D1D1C"/>
          <w:spacing w:val="-4"/>
          <w:sz w:val="16"/>
        </w:rPr>
        <w:t> </w:t>
      </w:r>
      <w:r>
        <w:rPr>
          <w:color w:val="1D1D1C"/>
          <w:sz w:val="16"/>
        </w:rPr>
        <w:t>not</w:t>
      </w:r>
      <w:r>
        <w:rPr>
          <w:color w:val="1D1D1C"/>
          <w:spacing w:val="-2"/>
          <w:sz w:val="16"/>
        </w:rPr>
        <w:t> </w:t>
      </w:r>
      <w:r>
        <w:rPr>
          <w:color w:val="1D1D1C"/>
          <w:sz w:val="16"/>
        </w:rPr>
        <w:t>comply</w:t>
      </w:r>
      <w:r>
        <w:rPr>
          <w:color w:val="1D1D1C"/>
          <w:spacing w:val="-4"/>
          <w:sz w:val="16"/>
        </w:rPr>
        <w:t> </w:t>
      </w:r>
      <w:r>
        <w:rPr>
          <w:color w:val="1D1D1C"/>
          <w:sz w:val="16"/>
        </w:rPr>
        <w:t>with</w:t>
      </w:r>
      <w:r>
        <w:rPr>
          <w:color w:val="1D1D1C"/>
          <w:spacing w:val="-1"/>
          <w:sz w:val="16"/>
        </w:rPr>
        <w:t> </w:t>
      </w:r>
      <w:r>
        <w:rPr>
          <w:color w:val="1D1D1C"/>
          <w:sz w:val="16"/>
        </w:rPr>
        <w:t>either</w:t>
      </w:r>
      <w:r>
        <w:rPr>
          <w:color w:val="1D1D1C"/>
          <w:spacing w:val="-3"/>
          <w:sz w:val="16"/>
        </w:rPr>
        <w:t> </w:t>
      </w:r>
      <w:r>
        <w:rPr>
          <w:color w:val="1D1D1C"/>
          <w:sz w:val="16"/>
        </w:rPr>
        <w:t>clause,</w:t>
      </w:r>
      <w:r>
        <w:rPr>
          <w:color w:val="1D1D1C"/>
          <w:spacing w:val="-2"/>
          <w:sz w:val="16"/>
        </w:rPr>
        <w:t> </w:t>
      </w:r>
      <w:r>
        <w:rPr>
          <w:color w:val="1D1D1C"/>
          <w:sz w:val="16"/>
        </w:rPr>
        <w:t>mitigation</w:t>
      </w:r>
      <w:r>
        <w:rPr>
          <w:color w:val="1D1D1C"/>
          <w:spacing w:val="-1"/>
          <w:sz w:val="16"/>
        </w:rPr>
        <w:t> </w:t>
      </w:r>
      <w:r>
        <w:rPr>
          <w:color w:val="1D1D1C"/>
          <w:sz w:val="16"/>
        </w:rPr>
        <w:t>options</w:t>
      </w:r>
      <w:r>
        <w:rPr>
          <w:color w:val="1D1D1C"/>
          <w:spacing w:val="-2"/>
          <w:sz w:val="16"/>
        </w:rPr>
        <w:t> </w:t>
      </w:r>
      <w:r>
        <w:rPr>
          <w:color w:val="1D1D1C"/>
          <w:sz w:val="16"/>
        </w:rPr>
        <w:t>must be assessed in accordance with Clause 4.7.4 and ALARP shall be achieved.</w:t>
      </w:r>
    </w:p>
    <w:p>
      <w:pPr>
        <w:spacing w:after="0" w:line="240" w:lineRule="auto"/>
        <w:jc w:val="left"/>
        <w:rPr>
          <w:sz w:val="16"/>
        </w:rPr>
        <w:sectPr>
          <w:pgSz w:w="11910" w:h="16850"/>
          <w:pgMar w:header="220" w:footer="678" w:top="420" w:bottom="860" w:left="900" w:right="840"/>
        </w:sectPr>
      </w:pPr>
    </w:p>
    <w:p>
      <w:pPr>
        <w:pStyle w:val="BodyText"/>
        <w:rPr>
          <w:sz w:val="20"/>
        </w:rPr>
      </w:pPr>
    </w:p>
    <w:p>
      <w:pPr>
        <w:pStyle w:val="BodyText"/>
        <w:spacing w:before="2"/>
        <w:rPr>
          <w:sz w:val="19"/>
        </w:rPr>
      </w:pPr>
    </w:p>
    <w:p>
      <w:pPr>
        <w:spacing w:line="288" w:lineRule="auto" w:before="94"/>
        <w:ind w:left="232" w:right="0" w:firstLine="0"/>
        <w:jc w:val="left"/>
        <w:rPr>
          <w:sz w:val="22"/>
        </w:rPr>
      </w:pPr>
      <w:r>
        <w:rPr>
          <w:sz w:val="22"/>
        </w:rPr>
        <w:t>the</w:t>
      </w:r>
      <w:r>
        <w:rPr>
          <w:spacing w:val="-4"/>
          <w:sz w:val="22"/>
        </w:rPr>
        <w:t> </w:t>
      </w:r>
      <w:r>
        <w:rPr>
          <w:i/>
          <w:sz w:val="22"/>
        </w:rPr>
        <w:t>Occupational</w:t>
      </w:r>
      <w:r>
        <w:rPr>
          <w:i/>
          <w:spacing w:val="-3"/>
          <w:sz w:val="22"/>
        </w:rPr>
        <w:t> </w:t>
      </w:r>
      <w:r>
        <w:rPr>
          <w:i/>
          <w:sz w:val="22"/>
        </w:rPr>
        <w:t>Health</w:t>
      </w:r>
      <w:r>
        <w:rPr>
          <w:i/>
          <w:spacing w:val="-4"/>
          <w:sz w:val="22"/>
        </w:rPr>
        <w:t> </w:t>
      </w:r>
      <w:r>
        <w:rPr>
          <w:i/>
          <w:sz w:val="22"/>
        </w:rPr>
        <w:t>and</w:t>
      </w:r>
      <w:r>
        <w:rPr>
          <w:i/>
          <w:spacing w:val="-2"/>
          <w:sz w:val="22"/>
        </w:rPr>
        <w:t> </w:t>
      </w:r>
      <w:r>
        <w:rPr>
          <w:i/>
          <w:sz w:val="22"/>
        </w:rPr>
        <w:t>Safety</w:t>
      </w:r>
      <w:r>
        <w:rPr>
          <w:i/>
          <w:spacing w:val="-1"/>
          <w:sz w:val="22"/>
        </w:rPr>
        <w:t> </w:t>
      </w:r>
      <w:r>
        <w:rPr>
          <w:i/>
          <w:sz w:val="22"/>
        </w:rPr>
        <w:t>Regulations</w:t>
      </w:r>
      <w:r>
        <w:rPr>
          <w:i/>
          <w:spacing w:val="-6"/>
          <w:sz w:val="22"/>
        </w:rPr>
        <w:t> </w:t>
      </w:r>
      <w:r>
        <w:rPr>
          <w:i/>
          <w:sz w:val="22"/>
        </w:rPr>
        <w:t>2017.</w:t>
      </w:r>
      <w:r>
        <w:rPr>
          <w:i/>
          <w:spacing w:val="-7"/>
          <w:sz w:val="22"/>
        </w:rPr>
        <w:t> </w:t>
      </w:r>
      <w:r>
        <w:rPr>
          <w:sz w:val="22"/>
        </w:rPr>
        <w:t>WorkSafe</w:t>
      </w:r>
      <w:r>
        <w:rPr>
          <w:spacing w:val="-2"/>
          <w:sz w:val="22"/>
        </w:rPr>
        <w:t> </w:t>
      </w:r>
      <w:r>
        <w:rPr>
          <w:sz w:val="22"/>
        </w:rPr>
        <w:t>Victoria</w:t>
      </w:r>
      <w:r>
        <w:rPr>
          <w:spacing w:val="-4"/>
          <w:sz w:val="22"/>
        </w:rPr>
        <w:t> </w:t>
      </w:r>
      <w:r>
        <w:rPr>
          <w:sz w:val="22"/>
        </w:rPr>
        <w:t>is</w:t>
      </w:r>
      <w:r>
        <w:rPr>
          <w:spacing w:val="-1"/>
          <w:sz w:val="22"/>
        </w:rPr>
        <w:t> </w:t>
      </w:r>
      <w:r>
        <w:rPr>
          <w:sz w:val="22"/>
        </w:rPr>
        <w:t>required</w:t>
      </w:r>
      <w:r>
        <w:rPr>
          <w:spacing w:val="-4"/>
          <w:sz w:val="22"/>
        </w:rPr>
        <w:t> </w:t>
      </w:r>
      <w:r>
        <w:rPr>
          <w:sz w:val="22"/>
        </w:rPr>
        <w:t>to</w:t>
      </w:r>
      <w:r>
        <w:rPr>
          <w:spacing w:val="-4"/>
          <w:sz w:val="22"/>
        </w:rPr>
        <w:t> </w:t>
      </w:r>
      <w:r>
        <w:rPr>
          <w:sz w:val="22"/>
        </w:rPr>
        <w:t>licence</w:t>
      </w:r>
      <w:r>
        <w:rPr>
          <w:spacing w:val="-2"/>
          <w:sz w:val="22"/>
        </w:rPr>
        <w:t> </w:t>
      </w:r>
      <w:r>
        <w:rPr>
          <w:sz w:val="22"/>
        </w:rPr>
        <w:t>and approve such sites. Major gas-related sites include:</w:t>
      </w:r>
    </w:p>
    <w:p>
      <w:pPr>
        <w:pStyle w:val="BodyText"/>
        <w:spacing w:before="4"/>
      </w:pPr>
    </w:p>
    <w:p>
      <w:pPr>
        <w:pStyle w:val="ListParagraph"/>
        <w:numPr>
          <w:ilvl w:val="0"/>
          <w:numId w:val="94"/>
        </w:numPr>
        <w:tabs>
          <w:tab w:pos="590" w:val="left" w:leader="none"/>
        </w:tabs>
        <w:spacing w:line="240" w:lineRule="auto" w:before="0" w:after="0"/>
        <w:ind w:left="590" w:right="0" w:hanging="358"/>
        <w:jc w:val="left"/>
        <w:rPr>
          <w:sz w:val="22"/>
        </w:rPr>
      </w:pPr>
      <w:r>
        <w:rPr>
          <w:sz w:val="22"/>
        </w:rPr>
        <w:t>Esso</w:t>
      </w:r>
      <w:r>
        <w:rPr>
          <w:spacing w:val="-4"/>
          <w:sz w:val="22"/>
        </w:rPr>
        <w:t> </w:t>
      </w:r>
      <w:r>
        <w:rPr>
          <w:sz w:val="22"/>
        </w:rPr>
        <w:t>Australia</w:t>
      </w:r>
      <w:r>
        <w:rPr>
          <w:spacing w:val="-4"/>
          <w:sz w:val="22"/>
        </w:rPr>
        <w:t> </w:t>
      </w:r>
      <w:r>
        <w:rPr>
          <w:sz w:val="22"/>
        </w:rPr>
        <w:t>Pty</w:t>
      </w:r>
      <w:r>
        <w:rPr>
          <w:spacing w:val="-6"/>
          <w:sz w:val="22"/>
        </w:rPr>
        <w:t> </w:t>
      </w:r>
      <w:r>
        <w:rPr>
          <w:sz w:val="22"/>
        </w:rPr>
        <w:t>Ltd,</w:t>
      </w:r>
      <w:r>
        <w:rPr>
          <w:spacing w:val="-1"/>
          <w:sz w:val="22"/>
        </w:rPr>
        <w:t> </w:t>
      </w:r>
      <w:r>
        <w:rPr>
          <w:spacing w:val="-2"/>
          <w:sz w:val="22"/>
        </w:rPr>
        <w:t>Longford;</w:t>
      </w:r>
    </w:p>
    <w:p>
      <w:pPr>
        <w:pStyle w:val="ListParagraph"/>
        <w:numPr>
          <w:ilvl w:val="0"/>
          <w:numId w:val="94"/>
        </w:numPr>
        <w:tabs>
          <w:tab w:pos="590" w:val="left" w:leader="none"/>
        </w:tabs>
        <w:spacing w:line="240" w:lineRule="auto" w:before="64" w:after="0"/>
        <w:ind w:left="590" w:right="0" w:hanging="358"/>
        <w:jc w:val="left"/>
        <w:rPr>
          <w:sz w:val="22"/>
        </w:rPr>
      </w:pPr>
      <w:r>
        <w:rPr>
          <w:sz w:val="22"/>
        </w:rPr>
        <w:t>Lochard</w:t>
      </w:r>
      <w:r>
        <w:rPr>
          <w:spacing w:val="-6"/>
          <w:sz w:val="22"/>
        </w:rPr>
        <w:t> </w:t>
      </w:r>
      <w:r>
        <w:rPr>
          <w:sz w:val="22"/>
        </w:rPr>
        <w:t>Energy</w:t>
      </w:r>
      <w:r>
        <w:rPr>
          <w:spacing w:val="-6"/>
          <w:sz w:val="22"/>
        </w:rPr>
        <w:t> </w:t>
      </w:r>
      <w:r>
        <w:rPr>
          <w:sz w:val="22"/>
        </w:rPr>
        <w:t>(Iona</w:t>
      </w:r>
      <w:r>
        <w:rPr>
          <w:spacing w:val="-8"/>
          <w:sz w:val="22"/>
        </w:rPr>
        <w:t> </w:t>
      </w:r>
      <w:r>
        <w:rPr>
          <w:sz w:val="22"/>
        </w:rPr>
        <w:t>Operations)</w:t>
      </w:r>
      <w:r>
        <w:rPr>
          <w:spacing w:val="-4"/>
          <w:sz w:val="22"/>
        </w:rPr>
        <w:t> </w:t>
      </w:r>
      <w:r>
        <w:rPr>
          <w:sz w:val="22"/>
        </w:rPr>
        <w:t>Pty</w:t>
      </w:r>
      <w:r>
        <w:rPr>
          <w:spacing w:val="-6"/>
          <w:sz w:val="22"/>
        </w:rPr>
        <w:t> </w:t>
      </w:r>
      <w:r>
        <w:rPr>
          <w:sz w:val="22"/>
        </w:rPr>
        <w:t>Ltd,</w:t>
      </w:r>
      <w:r>
        <w:rPr>
          <w:spacing w:val="-5"/>
          <w:sz w:val="22"/>
        </w:rPr>
        <w:t> </w:t>
      </w:r>
      <w:r>
        <w:rPr>
          <w:sz w:val="22"/>
        </w:rPr>
        <w:t>Port</w:t>
      </w:r>
      <w:r>
        <w:rPr>
          <w:spacing w:val="-5"/>
          <w:sz w:val="22"/>
        </w:rPr>
        <w:t> </w:t>
      </w:r>
      <w:r>
        <w:rPr>
          <w:spacing w:val="-2"/>
          <w:sz w:val="22"/>
        </w:rPr>
        <w:t>Campbell;</w:t>
      </w:r>
    </w:p>
    <w:p>
      <w:pPr>
        <w:pStyle w:val="ListParagraph"/>
        <w:numPr>
          <w:ilvl w:val="0"/>
          <w:numId w:val="94"/>
        </w:numPr>
        <w:tabs>
          <w:tab w:pos="590" w:val="left" w:leader="none"/>
        </w:tabs>
        <w:spacing w:line="240" w:lineRule="auto" w:before="66" w:after="0"/>
        <w:ind w:left="590" w:right="0" w:hanging="358"/>
        <w:jc w:val="left"/>
        <w:rPr>
          <w:sz w:val="22"/>
        </w:rPr>
      </w:pPr>
      <w:r>
        <w:rPr>
          <w:sz w:val="22"/>
        </w:rPr>
        <w:t>APA</w:t>
      </w:r>
      <w:r>
        <w:rPr>
          <w:spacing w:val="-5"/>
          <w:sz w:val="22"/>
        </w:rPr>
        <w:t> </w:t>
      </w:r>
      <w:r>
        <w:rPr>
          <w:sz w:val="22"/>
        </w:rPr>
        <w:t>GasNet</w:t>
      </w:r>
      <w:r>
        <w:rPr>
          <w:spacing w:val="-6"/>
          <w:sz w:val="22"/>
        </w:rPr>
        <w:t> </w:t>
      </w:r>
      <w:r>
        <w:rPr>
          <w:sz w:val="22"/>
        </w:rPr>
        <w:t>Australia</w:t>
      </w:r>
      <w:r>
        <w:rPr>
          <w:spacing w:val="-4"/>
          <w:sz w:val="22"/>
        </w:rPr>
        <w:t> </w:t>
      </w:r>
      <w:r>
        <w:rPr>
          <w:sz w:val="22"/>
        </w:rPr>
        <w:t>(Operations)</w:t>
      </w:r>
      <w:r>
        <w:rPr>
          <w:spacing w:val="-6"/>
          <w:sz w:val="22"/>
        </w:rPr>
        <w:t> </w:t>
      </w:r>
      <w:r>
        <w:rPr>
          <w:sz w:val="22"/>
        </w:rPr>
        <w:t>Pty</w:t>
      </w:r>
      <w:r>
        <w:rPr>
          <w:spacing w:val="-7"/>
          <w:sz w:val="22"/>
        </w:rPr>
        <w:t> </w:t>
      </w:r>
      <w:r>
        <w:rPr>
          <w:sz w:val="22"/>
        </w:rPr>
        <w:t>Ltd,</w:t>
      </w:r>
      <w:r>
        <w:rPr>
          <w:spacing w:val="-2"/>
          <w:sz w:val="22"/>
        </w:rPr>
        <w:t> Dandenong;</w:t>
      </w:r>
    </w:p>
    <w:p>
      <w:pPr>
        <w:pStyle w:val="ListParagraph"/>
        <w:numPr>
          <w:ilvl w:val="0"/>
          <w:numId w:val="94"/>
        </w:numPr>
        <w:tabs>
          <w:tab w:pos="590" w:val="left" w:leader="none"/>
        </w:tabs>
        <w:spacing w:line="240" w:lineRule="auto" w:before="67" w:after="0"/>
        <w:ind w:left="590" w:right="0" w:hanging="358"/>
        <w:jc w:val="left"/>
        <w:rPr>
          <w:sz w:val="22"/>
        </w:rPr>
      </w:pPr>
      <w:r>
        <w:rPr>
          <w:sz w:val="22"/>
        </w:rPr>
        <w:t>Origin</w:t>
      </w:r>
      <w:r>
        <w:rPr>
          <w:spacing w:val="-9"/>
          <w:sz w:val="22"/>
        </w:rPr>
        <w:t> </w:t>
      </w:r>
      <w:r>
        <w:rPr>
          <w:sz w:val="22"/>
        </w:rPr>
        <w:t>Energy</w:t>
      </w:r>
      <w:r>
        <w:rPr>
          <w:spacing w:val="-7"/>
          <w:sz w:val="22"/>
        </w:rPr>
        <w:t> </w:t>
      </w:r>
      <w:r>
        <w:rPr>
          <w:sz w:val="22"/>
        </w:rPr>
        <w:t>Resources</w:t>
      </w:r>
      <w:r>
        <w:rPr>
          <w:spacing w:val="-4"/>
          <w:sz w:val="22"/>
        </w:rPr>
        <w:t> </w:t>
      </w:r>
      <w:r>
        <w:rPr>
          <w:sz w:val="22"/>
        </w:rPr>
        <w:t>Limited</w:t>
      </w:r>
      <w:r>
        <w:rPr>
          <w:spacing w:val="-8"/>
          <w:sz w:val="22"/>
        </w:rPr>
        <w:t> </w:t>
      </w:r>
      <w:r>
        <w:rPr>
          <w:sz w:val="22"/>
        </w:rPr>
        <w:t>(BassGas),</w:t>
      </w:r>
      <w:r>
        <w:rPr>
          <w:spacing w:val="-7"/>
          <w:sz w:val="22"/>
        </w:rPr>
        <w:t> </w:t>
      </w:r>
      <w:r>
        <w:rPr>
          <w:sz w:val="22"/>
        </w:rPr>
        <w:t>Lang</w:t>
      </w:r>
      <w:r>
        <w:rPr>
          <w:spacing w:val="-6"/>
          <w:sz w:val="22"/>
        </w:rPr>
        <w:t> </w:t>
      </w:r>
      <w:r>
        <w:rPr>
          <w:sz w:val="22"/>
        </w:rPr>
        <w:t>Lang;</w:t>
      </w:r>
      <w:r>
        <w:rPr>
          <w:spacing w:val="-6"/>
          <w:sz w:val="22"/>
        </w:rPr>
        <w:t> </w:t>
      </w:r>
      <w:r>
        <w:rPr>
          <w:spacing w:val="-5"/>
          <w:sz w:val="22"/>
        </w:rPr>
        <w:t>and</w:t>
      </w:r>
    </w:p>
    <w:p>
      <w:pPr>
        <w:pStyle w:val="ListParagraph"/>
        <w:numPr>
          <w:ilvl w:val="0"/>
          <w:numId w:val="94"/>
        </w:numPr>
        <w:tabs>
          <w:tab w:pos="590" w:val="left" w:leader="none"/>
        </w:tabs>
        <w:spacing w:line="240" w:lineRule="auto" w:before="63" w:after="0"/>
        <w:ind w:left="590" w:right="0" w:hanging="358"/>
        <w:jc w:val="left"/>
        <w:rPr>
          <w:sz w:val="22"/>
        </w:rPr>
      </w:pPr>
      <w:r>
        <w:rPr>
          <w:sz w:val="22"/>
        </w:rPr>
        <w:t>Origin</w:t>
      </w:r>
      <w:r>
        <w:rPr>
          <w:spacing w:val="-8"/>
          <w:sz w:val="22"/>
        </w:rPr>
        <w:t> </w:t>
      </w:r>
      <w:r>
        <w:rPr>
          <w:sz w:val="22"/>
        </w:rPr>
        <w:t>Energy</w:t>
      </w:r>
      <w:r>
        <w:rPr>
          <w:spacing w:val="-8"/>
          <w:sz w:val="22"/>
        </w:rPr>
        <w:t> </w:t>
      </w:r>
      <w:r>
        <w:rPr>
          <w:sz w:val="22"/>
        </w:rPr>
        <w:t>Resources</w:t>
      </w:r>
      <w:r>
        <w:rPr>
          <w:spacing w:val="-4"/>
          <w:sz w:val="22"/>
        </w:rPr>
        <w:t> </w:t>
      </w:r>
      <w:r>
        <w:rPr>
          <w:sz w:val="22"/>
        </w:rPr>
        <w:t>Limited</w:t>
      </w:r>
      <w:r>
        <w:rPr>
          <w:spacing w:val="-8"/>
          <w:sz w:val="22"/>
        </w:rPr>
        <w:t> </w:t>
      </w:r>
      <w:r>
        <w:rPr>
          <w:sz w:val="22"/>
        </w:rPr>
        <w:t>(Otway</w:t>
      </w:r>
      <w:r>
        <w:rPr>
          <w:spacing w:val="-7"/>
          <w:sz w:val="22"/>
        </w:rPr>
        <w:t> </w:t>
      </w:r>
      <w:r>
        <w:rPr>
          <w:sz w:val="22"/>
        </w:rPr>
        <w:t>Gas</w:t>
      </w:r>
      <w:r>
        <w:rPr>
          <w:spacing w:val="-6"/>
          <w:sz w:val="22"/>
        </w:rPr>
        <w:t> </w:t>
      </w:r>
      <w:r>
        <w:rPr>
          <w:sz w:val="22"/>
        </w:rPr>
        <w:t>Plant),</w:t>
      </w:r>
      <w:r>
        <w:rPr>
          <w:spacing w:val="-4"/>
          <w:sz w:val="22"/>
        </w:rPr>
        <w:t> </w:t>
      </w:r>
      <w:r>
        <w:rPr>
          <w:sz w:val="22"/>
        </w:rPr>
        <w:t>Port</w:t>
      </w:r>
      <w:r>
        <w:rPr>
          <w:spacing w:val="-3"/>
          <w:sz w:val="22"/>
        </w:rPr>
        <w:t> </w:t>
      </w:r>
      <w:r>
        <w:rPr>
          <w:spacing w:val="-2"/>
          <w:sz w:val="22"/>
        </w:rPr>
        <w:t>Campbell.</w:t>
      </w:r>
    </w:p>
    <w:p>
      <w:pPr>
        <w:pStyle w:val="BodyText"/>
        <w:spacing w:before="2"/>
        <w:rPr>
          <w:sz w:val="25"/>
        </w:rPr>
      </w:pPr>
    </w:p>
    <w:p>
      <w:pPr>
        <w:spacing w:line="288" w:lineRule="auto" w:before="0"/>
        <w:ind w:left="232" w:right="0" w:firstLine="0"/>
        <w:jc w:val="left"/>
        <w:rPr>
          <w:sz w:val="22"/>
        </w:rPr>
      </w:pPr>
      <w:r>
        <w:rPr>
          <w:sz w:val="22"/>
        </w:rPr>
        <w:t>The</w:t>
      </w:r>
      <w:r>
        <w:rPr>
          <w:spacing w:val="-4"/>
          <w:sz w:val="22"/>
        </w:rPr>
        <w:t> </w:t>
      </w:r>
      <w:r>
        <w:rPr>
          <w:sz w:val="22"/>
        </w:rPr>
        <w:t>operators</w:t>
      </w:r>
      <w:r>
        <w:rPr>
          <w:spacing w:val="-3"/>
          <w:sz w:val="22"/>
        </w:rPr>
        <w:t> </w:t>
      </w:r>
      <w:r>
        <w:rPr>
          <w:sz w:val="22"/>
        </w:rPr>
        <w:t>of Major</w:t>
      </w:r>
      <w:r>
        <w:rPr>
          <w:spacing w:val="-1"/>
          <w:sz w:val="22"/>
        </w:rPr>
        <w:t> </w:t>
      </w:r>
      <w:r>
        <w:rPr>
          <w:sz w:val="22"/>
        </w:rPr>
        <w:t>Hazard</w:t>
      </w:r>
      <w:r>
        <w:rPr>
          <w:spacing w:val="-1"/>
          <w:sz w:val="22"/>
        </w:rPr>
        <w:t> </w:t>
      </w:r>
      <w:r>
        <w:rPr>
          <w:sz w:val="22"/>
        </w:rPr>
        <w:t>Facilities</w:t>
      </w:r>
      <w:r>
        <w:rPr>
          <w:spacing w:val="-2"/>
          <w:sz w:val="22"/>
        </w:rPr>
        <w:t> </w:t>
      </w:r>
      <w:r>
        <w:rPr>
          <w:sz w:val="22"/>
        </w:rPr>
        <w:t>are</w:t>
      </w:r>
      <w:r>
        <w:rPr>
          <w:spacing w:val="-4"/>
          <w:sz w:val="22"/>
        </w:rPr>
        <w:t> </w:t>
      </w:r>
      <w:r>
        <w:rPr>
          <w:sz w:val="22"/>
        </w:rPr>
        <w:t>required</w:t>
      </w:r>
      <w:r>
        <w:rPr>
          <w:spacing w:val="-2"/>
          <w:sz w:val="22"/>
        </w:rPr>
        <w:t> </w:t>
      </w:r>
      <w:r>
        <w:rPr>
          <w:sz w:val="22"/>
        </w:rPr>
        <w:t>by</w:t>
      </w:r>
      <w:r>
        <w:rPr>
          <w:spacing w:val="-4"/>
          <w:sz w:val="22"/>
        </w:rPr>
        <w:t> </w:t>
      </w:r>
      <w:r>
        <w:rPr>
          <w:sz w:val="22"/>
        </w:rPr>
        <w:t>the</w:t>
      </w:r>
      <w:r>
        <w:rPr>
          <w:spacing w:val="-2"/>
          <w:sz w:val="22"/>
        </w:rPr>
        <w:t> </w:t>
      </w:r>
      <w:r>
        <w:rPr>
          <w:i/>
          <w:sz w:val="22"/>
        </w:rPr>
        <w:t>Occupational</w:t>
      </w:r>
      <w:r>
        <w:rPr>
          <w:i/>
          <w:spacing w:val="-5"/>
          <w:sz w:val="22"/>
        </w:rPr>
        <w:t> </w:t>
      </w:r>
      <w:r>
        <w:rPr>
          <w:i/>
          <w:sz w:val="22"/>
        </w:rPr>
        <w:t>Health</w:t>
      </w:r>
      <w:r>
        <w:rPr>
          <w:i/>
          <w:spacing w:val="-2"/>
          <w:sz w:val="22"/>
        </w:rPr>
        <w:t> </w:t>
      </w:r>
      <w:r>
        <w:rPr>
          <w:i/>
          <w:sz w:val="22"/>
        </w:rPr>
        <w:t>and</w:t>
      </w:r>
      <w:r>
        <w:rPr>
          <w:i/>
          <w:spacing w:val="-2"/>
          <w:sz w:val="22"/>
        </w:rPr>
        <w:t> </w:t>
      </w:r>
      <w:r>
        <w:rPr>
          <w:i/>
          <w:sz w:val="22"/>
        </w:rPr>
        <w:t>Safety Regulations 2017 </w:t>
      </w:r>
      <w:r>
        <w:rPr>
          <w:sz w:val="22"/>
        </w:rPr>
        <w:t>to develop a safety case to the satisfaction of WorkSafe Victoria.</w:t>
      </w:r>
    </w:p>
    <w:p>
      <w:pPr>
        <w:spacing w:after="0" w:line="288" w:lineRule="auto"/>
        <w:jc w:val="left"/>
        <w:rPr>
          <w:sz w:val="22"/>
        </w:rPr>
        <w:sectPr>
          <w:pgSz w:w="11910" w:h="16850"/>
          <w:pgMar w:header="220" w:footer="678" w:top="420" w:bottom="860" w:left="900" w:right="840"/>
        </w:sectPr>
      </w:pPr>
    </w:p>
    <w:p>
      <w:pPr>
        <w:pStyle w:val="BodyText"/>
        <w:rPr>
          <w:sz w:val="20"/>
        </w:rPr>
      </w:pPr>
    </w:p>
    <w:p>
      <w:pPr>
        <w:pStyle w:val="BodyText"/>
        <w:spacing w:before="10"/>
        <w:rPr>
          <w:sz w:val="19"/>
        </w:rPr>
      </w:pPr>
    </w:p>
    <w:p>
      <w:pPr>
        <w:pStyle w:val="Heading3"/>
      </w:pPr>
      <w:r>
        <w:rPr>
          <w:color w:val="00B1A9"/>
        </w:rPr>
        <w:t>Appendix</w:t>
      </w:r>
      <w:r>
        <w:rPr>
          <w:color w:val="00B1A9"/>
          <w:spacing w:val="-8"/>
        </w:rPr>
        <w:t> </w:t>
      </w:r>
      <w:r>
        <w:rPr>
          <w:color w:val="00B1A9"/>
        </w:rPr>
        <w:t>D:</w:t>
      </w:r>
      <w:r>
        <w:rPr>
          <w:color w:val="00B1A9"/>
          <w:spacing w:val="-5"/>
        </w:rPr>
        <w:t> </w:t>
      </w:r>
      <w:r>
        <w:rPr>
          <w:color w:val="00B1A9"/>
        </w:rPr>
        <w:t>The</w:t>
      </w:r>
      <w:r>
        <w:rPr>
          <w:color w:val="00B1A9"/>
          <w:spacing w:val="-3"/>
        </w:rPr>
        <w:t> </w:t>
      </w:r>
      <w:r>
        <w:rPr>
          <w:color w:val="00B1A9"/>
        </w:rPr>
        <w:t>Economic</w:t>
      </w:r>
      <w:r>
        <w:rPr>
          <w:color w:val="00B1A9"/>
          <w:spacing w:val="-3"/>
        </w:rPr>
        <w:t> </w:t>
      </w:r>
      <w:r>
        <w:rPr>
          <w:color w:val="00B1A9"/>
          <w:spacing w:val="-2"/>
        </w:rPr>
        <w:t>Framework</w:t>
      </w:r>
    </w:p>
    <w:p>
      <w:pPr>
        <w:pStyle w:val="BodyText"/>
        <w:spacing w:line="276" w:lineRule="auto" w:before="331"/>
        <w:ind w:left="232"/>
      </w:pPr>
      <w:r>
        <w:rPr/>
        <w:t>The</w:t>
      </w:r>
      <w:r>
        <w:rPr>
          <w:spacing w:val="-3"/>
        </w:rPr>
        <w:t> </w:t>
      </w:r>
      <w:r>
        <w:rPr/>
        <w:t>electricity</w:t>
      </w:r>
      <w:r>
        <w:rPr>
          <w:spacing w:val="-1"/>
        </w:rPr>
        <w:t> </w:t>
      </w:r>
      <w:r>
        <w:rPr/>
        <w:t>and</w:t>
      </w:r>
      <w:r>
        <w:rPr>
          <w:spacing w:val="-5"/>
        </w:rPr>
        <w:t> </w:t>
      </w:r>
      <w:r>
        <w:rPr/>
        <w:t>gas</w:t>
      </w:r>
      <w:r>
        <w:rPr>
          <w:spacing w:val="-1"/>
        </w:rPr>
        <w:t> </w:t>
      </w:r>
      <w:r>
        <w:rPr/>
        <w:t>networks</w:t>
      </w:r>
      <w:r>
        <w:rPr>
          <w:spacing w:val="-3"/>
        </w:rPr>
        <w:t> </w:t>
      </w:r>
      <w:r>
        <w:rPr/>
        <w:t>are</w:t>
      </w:r>
      <w:r>
        <w:rPr>
          <w:spacing w:val="-3"/>
        </w:rPr>
        <w:t> </w:t>
      </w:r>
      <w:r>
        <w:rPr/>
        <w:t>also</w:t>
      </w:r>
      <w:r>
        <w:rPr>
          <w:spacing w:val="-1"/>
        </w:rPr>
        <w:t> </w:t>
      </w:r>
      <w:r>
        <w:rPr/>
        <w:t>subject</w:t>
      </w:r>
      <w:r>
        <w:rPr>
          <w:spacing w:val="-2"/>
        </w:rPr>
        <w:t> </w:t>
      </w:r>
      <w:r>
        <w:rPr/>
        <w:t>to</w:t>
      </w:r>
      <w:r>
        <w:rPr>
          <w:spacing w:val="-1"/>
        </w:rPr>
        <w:t> </w:t>
      </w:r>
      <w:r>
        <w:rPr/>
        <w:t>national</w:t>
      </w:r>
      <w:r>
        <w:rPr>
          <w:spacing w:val="-2"/>
        </w:rPr>
        <w:t> </w:t>
      </w:r>
      <w:r>
        <w:rPr/>
        <w:t>and</w:t>
      </w:r>
      <w:r>
        <w:rPr>
          <w:spacing w:val="-1"/>
        </w:rPr>
        <w:t> </w:t>
      </w:r>
      <w:r>
        <w:rPr/>
        <w:t>state</w:t>
      </w:r>
      <w:r>
        <w:rPr>
          <w:spacing w:val="-3"/>
        </w:rPr>
        <w:t> </w:t>
      </w:r>
      <w:r>
        <w:rPr/>
        <w:t>legislation</w:t>
      </w:r>
      <w:r>
        <w:rPr>
          <w:spacing w:val="-1"/>
        </w:rPr>
        <w:t> </w:t>
      </w:r>
      <w:r>
        <w:rPr/>
        <w:t>that</w:t>
      </w:r>
      <w:r>
        <w:rPr>
          <w:spacing w:val="-2"/>
        </w:rPr>
        <w:t> </w:t>
      </w:r>
      <w:r>
        <w:rPr/>
        <w:t>governs</w:t>
      </w:r>
      <w:r>
        <w:rPr>
          <w:spacing w:val="-3"/>
        </w:rPr>
        <w:t> </w:t>
      </w:r>
      <w:r>
        <w:rPr/>
        <w:t>the economic regulation of the network businesses.</w:t>
      </w:r>
    </w:p>
    <w:p>
      <w:pPr>
        <w:pStyle w:val="BodyText"/>
        <w:spacing w:line="288" w:lineRule="auto" w:before="118"/>
        <w:ind w:left="232" w:right="296"/>
      </w:pPr>
      <w:r>
        <w:rPr/>
        <w:t>The purpose of the economic regulatory framework is to give effect to the </w:t>
      </w:r>
      <w:r>
        <w:rPr>
          <w:i/>
        </w:rPr>
        <w:t>National Electricity Objective </w:t>
      </w:r>
      <w:r>
        <w:rPr/>
        <w:t>and the </w:t>
      </w:r>
      <w:r>
        <w:rPr>
          <w:i/>
        </w:rPr>
        <w:t>National Gas Objective</w:t>
      </w:r>
      <w:r>
        <w:rPr/>
        <w:t>, which promote efficient investment in, and efficient operation</w:t>
      </w:r>
      <w:r>
        <w:rPr>
          <w:spacing w:val="-2"/>
        </w:rPr>
        <w:t> </w:t>
      </w:r>
      <w:r>
        <w:rPr/>
        <w:t>and</w:t>
      </w:r>
      <w:r>
        <w:rPr>
          <w:spacing w:val="-4"/>
        </w:rPr>
        <w:t> </w:t>
      </w:r>
      <w:r>
        <w:rPr/>
        <w:t>use</w:t>
      </w:r>
      <w:r>
        <w:rPr>
          <w:spacing w:val="-4"/>
        </w:rPr>
        <w:t> </w:t>
      </w:r>
      <w:r>
        <w:rPr/>
        <w:t>of, electricity</w:t>
      </w:r>
      <w:r>
        <w:rPr>
          <w:spacing w:val="-4"/>
        </w:rPr>
        <w:t> </w:t>
      </w:r>
      <w:r>
        <w:rPr/>
        <w:t>and</w:t>
      </w:r>
      <w:r>
        <w:rPr>
          <w:spacing w:val="-2"/>
        </w:rPr>
        <w:t> </w:t>
      </w:r>
      <w:r>
        <w:rPr/>
        <w:t>natural</w:t>
      </w:r>
      <w:r>
        <w:rPr>
          <w:spacing w:val="-7"/>
        </w:rPr>
        <w:t> </w:t>
      </w:r>
      <w:r>
        <w:rPr/>
        <w:t>gas</w:t>
      </w:r>
      <w:r>
        <w:rPr>
          <w:spacing w:val="-4"/>
        </w:rPr>
        <w:t> </w:t>
      </w:r>
      <w:r>
        <w:rPr/>
        <w:t>services</w:t>
      </w:r>
      <w:r>
        <w:rPr>
          <w:spacing w:val="-2"/>
        </w:rPr>
        <w:t> </w:t>
      </w:r>
      <w:r>
        <w:rPr/>
        <w:t>respectively,</w:t>
      </w:r>
      <w:r>
        <w:rPr>
          <w:spacing w:val="-3"/>
        </w:rPr>
        <w:t> </w:t>
      </w:r>
      <w:r>
        <w:rPr/>
        <w:t>for</w:t>
      </w:r>
      <w:r>
        <w:rPr>
          <w:spacing w:val="-3"/>
        </w:rPr>
        <w:t> </w:t>
      </w:r>
      <w:r>
        <w:rPr/>
        <w:t>the</w:t>
      </w:r>
      <w:r>
        <w:rPr>
          <w:spacing w:val="-2"/>
        </w:rPr>
        <w:t> </w:t>
      </w:r>
      <w:r>
        <w:rPr/>
        <w:t>long-term</w:t>
      </w:r>
      <w:r>
        <w:rPr>
          <w:spacing w:val="-3"/>
        </w:rPr>
        <w:t> </w:t>
      </w:r>
      <w:r>
        <w:rPr/>
        <w:t>interests</w:t>
      </w:r>
      <w:r>
        <w:rPr>
          <w:spacing w:val="-3"/>
        </w:rPr>
        <w:t> </w:t>
      </w:r>
      <w:r>
        <w:rPr/>
        <w:t>of consumers with respect to price, quality, safety, reliability and security of supply.</w:t>
      </w:r>
    </w:p>
    <w:p>
      <w:pPr>
        <w:pStyle w:val="BodyText"/>
        <w:spacing w:before="10"/>
        <w:rPr>
          <w:sz w:val="20"/>
        </w:rPr>
      </w:pPr>
    </w:p>
    <w:p>
      <w:pPr>
        <w:pStyle w:val="BodyText"/>
        <w:spacing w:line="288" w:lineRule="auto" w:before="1"/>
        <w:ind w:left="232" w:right="296"/>
      </w:pPr>
      <w:r>
        <w:rPr/>
        <w:t>The Australian Energy Regulator (AER) is responsible for the economic regulation of electricity networks in the National Electricity Market under the </w:t>
      </w:r>
      <w:r>
        <w:rPr>
          <w:i/>
        </w:rPr>
        <w:t>National Electricity Law</w:t>
      </w:r>
      <w:r>
        <w:rPr/>
        <w:t>, and gas pipelines in all jurisdictions other</w:t>
      </w:r>
      <w:r>
        <w:rPr>
          <w:spacing w:val="-2"/>
        </w:rPr>
        <w:t> </w:t>
      </w:r>
      <w:r>
        <w:rPr/>
        <w:t>than</w:t>
      </w:r>
      <w:r>
        <w:rPr>
          <w:spacing w:val="-3"/>
        </w:rPr>
        <w:t> </w:t>
      </w:r>
      <w:r>
        <w:rPr/>
        <w:t>Western</w:t>
      </w:r>
      <w:r>
        <w:rPr>
          <w:spacing w:val="-1"/>
        </w:rPr>
        <w:t> </w:t>
      </w:r>
      <w:r>
        <w:rPr/>
        <w:t>Australia and</w:t>
      </w:r>
      <w:r>
        <w:rPr>
          <w:spacing w:val="-1"/>
        </w:rPr>
        <w:t> </w:t>
      </w:r>
      <w:r>
        <w:rPr/>
        <w:t>Tasmania, under the </w:t>
      </w:r>
      <w:r>
        <w:rPr>
          <w:i/>
        </w:rPr>
        <w:t>National Gas Law</w:t>
      </w:r>
      <w:r>
        <w:rPr/>
        <w:t>. The</w:t>
      </w:r>
      <w:r>
        <w:rPr>
          <w:spacing w:val="-1"/>
        </w:rPr>
        <w:t> </w:t>
      </w:r>
      <w:r>
        <w:rPr/>
        <w:t>AER encourages</w:t>
      </w:r>
      <w:r>
        <w:rPr>
          <w:spacing w:val="-3"/>
        </w:rPr>
        <w:t> </w:t>
      </w:r>
      <w:r>
        <w:rPr/>
        <w:t>businesses</w:t>
      </w:r>
      <w:r>
        <w:rPr>
          <w:spacing w:val="-5"/>
        </w:rPr>
        <w:t> </w:t>
      </w:r>
      <w:r>
        <w:rPr/>
        <w:t>to</w:t>
      </w:r>
      <w:r>
        <w:rPr>
          <w:spacing w:val="-3"/>
        </w:rPr>
        <w:t> </w:t>
      </w:r>
      <w:r>
        <w:rPr/>
        <w:t>undertake</w:t>
      </w:r>
      <w:r>
        <w:rPr>
          <w:spacing w:val="-3"/>
        </w:rPr>
        <w:t> </w:t>
      </w:r>
      <w:r>
        <w:rPr/>
        <w:t>efficient</w:t>
      </w:r>
      <w:r>
        <w:rPr>
          <w:spacing w:val="-4"/>
        </w:rPr>
        <w:t> </w:t>
      </w:r>
      <w:r>
        <w:rPr/>
        <w:t>investment</w:t>
      </w:r>
      <w:r>
        <w:rPr>
          <w:spacing w:val="-1"/>
        </w:rPr>
        <w:t> </w:t>
      </w:r>
      <w:r>
        <w:rPr/>
        <w:t>by</w:t>
      </w:r>
      <w:r>
        <w:rPr>
          <w:spacing w:val="-5"/>
        </w:rPr>
        <w:t> </w:t>
      </w:r>
      <w:r>
        <w:rPr/>
        <w:t>setting</w:t>
      </w:r>
      <w:r>
        <w:rPr>
          <w:spacing w:val="-3"/>
        </w:rPr>
        <w:t> </w:t>
      </w:r>
      <w:r>
        <w:rPr/>
        <w:t>maximum</w:t>
      </w:r>
      <w:r>
        <w:rPr>
          <w:spacing w:val="-4"/>
        </w:rPr>
        <w:t> </w:t>
      </w:r>
      <w:r>
        <w:rPr/>
        <w:t>revenues</w:t>
      </w:r>
      <w:r>
        <w:rPr>
          <w:spacing w:val="-2"/>
        </w:rPr>
        <w:t> </w:t>
      </w:r>
      <w:r>
        <w:rPr/>
        <w:t>a</w:t>
      </w:r>
      <w:r>
        <w:rPr>
          <w:spacing w:val="-3"/>
        </w:rPr>
        <w:t> </w:t>
      </w:r>
      <w:r>
        <w:rPr/>
        <w:t>business can recover from consumers (AER, 2015).</w:t>
      </w:r>
    </w:p>
    <w:p>
      <w:pPr>
        <w:pStyle w:val="BodyText"/>
        <w:spacing w:before="9"/>
        <w:rPr>
          <w:sz w:val="20"/>
        </w:rPr>
      </w:pPr>
    </w:p>
    <w:p>
      <w:pPr>
        <w:pStyle w:val="BodyText"/>
        <w:spacing w:line="288" w:lineRule="auto"/>
        <w:ind w:left="232" w:right="374"/>
      </w:pPr>
      <w:r>
        <w:rPr/>
        <w:t>Energy networks are capital intensive and have declining average costs as output rises. Accordingly, network</w:t>
      </w:r>
      <w:r>
        <w:rPr>
          <w:spacing w:val="-1"/>
        </w:rPr>
        <w:t> </w:t>
      </w:r>
      <w:r>
        <w:rPr/>
        <w:t>services</w:t>
      </w:r>
      <w:r>
        <w:rPr>
          <w:spacing w:val="-2"/>
        </w:rPr>
        <w:t> </w:t>
      </w:r>
      <w:r>
        <w:rPr/>
        <w:t>in</w:t>
      </w:r>
      <w:r>
        <w:rPr>
          <w:spacing w:val="-2"/>
        </w:rPr>
        <w:t> </w:t>
      </w:r>
      <w:r>
        <w:rPr/>
        <w:t>a</w:t>
      </w:r>
      <w:r>
        <w:rPr>
          <w:spacing w:val="-2"/>
        </w:rPr>
        <w:t> </w:t>
      </w:r>
      <w:r>
        <w:rPr/>
        <w:t>particular</w:t>
      </w:r>
      <w:r>
        <w:rPr>
          <w:spacing w:val="-6"/>
        </w:rPr>
        <w:t> </w:t>
      </w:r>
      <w:r>
        <w:rPr/>
        <w:t>geographic</w:t>
      </w:r>
      <w:r>
        <w:rPr>
          <w:spacing w:val="-1"/>
        </w:rPr>
        <w:t> </w:t>
      </w:r>
      <w:r>
        <w:rPr/>
        <w:t>area</w:t>
      </w:r>
      <w:r>
        <w:rPr>
          <w:spacing w:val="-4"/>
        </w:rPr>
        <w:t> </w:t>
      </w:r>
      <w:r>
        <w:rPr/>
        <w:t>can</w:t>
      </w:r>
      <w:r>
        <w:rPr>
          <w:spacing w:val="-4"/>
        </w:rPr>
        <w:t> </w:t>
      </w:r>
      <w:r>
        <w:rPr/>
        <w:t>be</w:t>
      </w:r>
      <w:r>
        <w:rPr>
          <w:spacing w:val="-4"/>
        </w:rPr>
        <w:t> </w:t>
      </w:r>
      <w:r>
        <w:rPr/>
        <w:t>most</w:t>
      </w:r>
      <w:r>
        <w:rPr>
          <w:spacing w:val="-3"/>
        </w:rPr>
        <w:t> </w:t>
      </w:r>
      <w:r>
        <w:rPr/>
        <w:t>efficiently</w:t>
      </w:r>
      <w:r>
        <w:rPr>
          <w:spacing w:val="-4"/>
        </w:rPr>
        <w:t> </w:t>
      </w:r>
      <w:r>
        <w:rPr/>
        <w:t>provided</w:t>
      </w:r>
      <w:r>
        <w:rPr>
          <w:spacing w:val="-2"/>
        </w:rPr>
        <w:t> </w:t>
      </w:r>
      <w:r>
        <w:rPr/>
        <w:t>by</w:t>
      </w:r>
      <w:r>
        <w:rPr>
          <w:spacing w:val="-4"/>
        </w:rPr>
        <w:t> </w:t>
      </w:r>
      <w:r>
        <w:rPr/>
        <w:t>a single supplier. In Australia, the networks are regulated to manage the risk of monopoly pricing in this natural monopoly industry structure.</w:t>
      </w:r>
    </w:p>
    <w:p>
      <w:pPr>
        <w:pStyle w:val="BodyText"/>
        <w:spacing w:before="10"/>
        <w:rPr>
          <w:sz w:val="20"/>
        </w:rPr>
      </w:pPr>
    </w:p>
    <w:p>
      <w:pPr>
        <w:pStyle w:val="BodyText"/>
        <w:spacing w:line="288" w:lineRule="auto"/>
        <w:ind w:left="232"/>
      </w:pPr>
      <w:r>
        <w:rPr/>
        <w:t>The</w:t>
      </w:r>
      <w:r>
        <w:rPr>
          <w:spacing w:val="-3"/>
        </w:rPr>
        <w:t> </w:t>
      </w:r>
      <w:r>
        <w:rPr/>
        <w:t>rules</w:t>
      </w:r>
      <w:r>
        <w:rPr>
          <w:spacing w:val="-1"/>
        </w:rPr>
        <w:t> </w:t>
      </w:r>
      <w:r>
        <w:rPr/>
        <w:t>which</w:t>
      </w:r>
      <w:r>
        <w:rPr>
          <w:spacing w:val="-3"/>
        </w:rPr>
        <w:t> </w:t>
      </w:r>
      <w:r>
        <w:rPr/>
        <w:t>govern the</w:t>
      </w:r>
      <w:r>
        <w:rPr>
          <w:spacing w:val="-1"/>
        </w:rPr>
        <w:t> </w:t>
      </w:r>
      <w:r>
        <w:rPr/>
        <w:t>electricity and</w:t>
      </w:r>
      <w:r>
        <w:rPr>
          <w:spacing w:val="-5"/>
        </w:rPr>
        <w:t> </w:t>
      </w:r>
      <w:r>
        <w:rPr/>
        <w:t>gas</w:t>
      </w:r>
      <w:r>
        <w:rPr>
          <w:spacing w:val="-3"/>
        </w:rPr>
        <w:t> </w:t>
      </w:r>
      <w:r>
        <w:rPr/>
        <w:t>markets</w:t>
      </w:r>
      <w:r>
        <w:rPr>
          <w:spacing w:val="-3"/>
        </w:rPr>
        <w:t> </w:t>
      </w:r>
      <w:r>
        <w:rPr/>
        <w:t>are</w:t>
      </w:r>
      <w:r>
        <w:rPr>
          <w:spacing w:val="-5"/>
        </w:rPr>
        <w:t> </w:t>
      </w:r>
      <w:r>
        <w:rPr/>
        <w:t>made</w:t>
      </w:r>
      <w:r>
        <w:rPr>
          <w:spacing w:val="-1"/>
        </w:rPr>
        <w:t> </w:t>
      </w:r>
      <w:r>
        <w:rPr/>
        <w:t>by</w:t>
      </w:r>
      <w:r>
        <w:rPr>
          <w:spacing w:val="-3"/>
        </w:rPr>
        <w:t> </w:t>
      </w:r>
      <w:r>
        <w:rPr/>
        <w:t>the</w:t>
      </w:r>
      <w:r>
        <w:rPr>
          <w:spacing w:val="-3"/>
        </w:rPr>
        <w:t> </w:t>
      </w:r>
      <w:r>
        <w:rPr/>
        <w:t>Australian</w:t>
      </w:r>
      <w:r>
        <w:rPr>
          <w:spacing w:val="-1"/>
        </w:rPr>
        <w:t> </w:t>
      </w:r>
      <w:r>
        <w:rPr/>
        <w:t>Energy</w:t>
      </w:r>
      <w:r>
        <w:rPr>
          <w:spacing w:val="-3"/>
        </w:rPr>
        <w:t> </w:t>
      </w:r>
      <w:r>
        <w:rPr/>
        <w:t>Market Commission (AEMC), a national body that is jointly funded by the States and Territories.</w:t>
      </w:r>
    </w:p>
    <w:p>
      <w:pPr>
        <w:pStyle w:val="BodyText"/>
        <w:rPr>
          <w:sz w:val="24"/>
        </w:rPr>
      </w:pPr>
    </w:p>
    <w:p>
      <w:pPr>
        <w:pStyle w:val="Heading6"/>
        <w:spacing w:before="145"/>
        <w:ind w:left="232"/>
      </w:pPr>
      <w:r>
        <w:rPr>
          <w:spacing w:val="-2"/>
        </w:rPr>
        <w:t>Electricity</w:t>
      </w:r>
    </w:p>
    <w:p>
      <w:pPr>
        <w:pStyle w:val="BodyText"/>
        <w:spacing w:line="288" w:lineRule="auto" w:before="175"/>
        <w:ind w:left="232" w:right="320"/>
        <w:rPr>
          <w:i/>
        </w:rPr>
      </w:pPr>
      <w:r>
        <w:rPr/>
        <w:t>To</w:t>
      </w:r>
      <w:r>
        <w:rPr>
          <w:spacing w:val="-4"/>
        </w:rPr>
        <w:t> </w:t>
      </w:r>
      <w:r>
        <w:rPr/>
        <w:t>ensure</w:t>
      </w:r>
      <w:r>
        <w:rPr>
          <w:spacing w:val="-4"/>
        </w:rPr>
        <w:t> </w:t>
      </w:r>
      <w:r>
        <w:rPr/>
        <w:t>consumers</w:t>
      </w:r>
      <w:r>
        <w:rPr>
          <w:spacing w:val="-6"/>
        </w:rPr>
        <w:t> </w:t>
      </w:r>
      <w:r>
        <w:rPr/>
        <w:t>face</w:t>
      </w:r>
      <w:r>
        <w:rPr>
          <w:spacing w:val="-2"/>
        </w:rPr>
        <w:t> </w:t>
      </w:r>
      <w:r>
        <w:rPr/>
        <w:t>prices</w:t>
      </w:r>
      <w:r>
        <w:rPr>
          <w:spacing w:val="-4"/>
        </w:rPr>
        <w:t> </w:t>
      </w:r>
      <w:r>
        <w:rPr/>
        <w:t>based</w:t>
      </w:r>
      <w:r>
        <w:rPr>
          <w:spacing w:val="-2"/>
        </w:rPr>
        <w:t> </w:t>
      </w:r>
      <w:r>
        <w:rPr/>
        <w:t>on</w:t>
      </w:r>
      <w:r>
        <w:rPr>
          <w:spacing w:val="-4"/>
        </w:rPr>
        <w:t> </w:t>
      </w:r>
      <w:r>
        <w:rPr/>
        <w:t>efficient costs,</w:t>
      </w:r>
      <w:r>
        <w:rPr>
          <w:spacing w:val="-3"/>
        </w:rPr>
        <w:t> </w:t>
      </w:r>
      <w:r>
        <w:rPr/>
        <w:t>these</w:t>
      </w:r>
      <w:r>
        <w:rPr>
          <w:spacing w:val="-4"/>
        </w:rPr>
        <w:t> </w:t>
      </w:r>
      <w:r>
        <w:rPr/>
        <w:t>monopoly</w:t>
      </w:r>
      <w:r>
        <w:rPr>
          <w:spacing w:val="-4"/>
        </w:rPr>
        <w:t> </w:t>
      </w:r>
      <w:r>
        <w:rPr/>
        <w:t>businesses</w:t>
      </w:r>
      <w:r>
        <w:rPr>
          <w:spacing w:val="-2"/>
        </w:rPr>
        <w:t> </w:t>
      </w:r>
      <w:r>
        <w:rPr/>
        <w:t>are</w:t>
      </w:r>
      <w:r>
        <w:rPr>
          <w:spacing w:val="-4"/>
        </w:rPr>
        <w:t> </w:t>
      </w:r>
      <w:r>
        <w:rPr/>
        <w:t>subject to an economic regulatory framework. This framework is comprised principally of chapter 6 of the </w:t>
      </w:r>
      <w:r>
        <w:rPr>
          <w:i/>
        </w:rPr>
        <w:t>National Electricity Rules.</w:t>
      </w:r>
    </w:p>
    <w:p>
      <w:pPr>
        <w:pStyle w:val="BodyText"/>
        <w:rPr>
          <w:i/>
          <w:sz w:val="21"/>
        </w:rPr>
      </w:pPr>
    </w:p>
    <w:p>
      <w:pPr>
        <w:spacing w:line="288" w:lineRule="auto" w:before="0"/>
        <w:ind w:left="232" w:right="0" w:firstLine="0"/>
        <w:jc w:val="left"/>
        <w:rPr>
          <w:sz w:val="22"/>
        </w:rPr>
      </w:pPr>
      <w:r>
        <w:rPr>
          <w:sz w:val="22"/>
        </w:rPr>
        <w:t>The </w:t>
      </w:r>
      <w:r>
        <w:rPr>
          <w:i/>
          <w:sz w:val="22"/>
        </w:rPr>
        <w:t>National Electricity Rules </w:t>
      </w:r>
      <w:r>
        <w:rPr>
          <w:sz w:val="22"/>
        </w:rPr>
        <w:t>are made pursuant to the </w:t>
      </w:r>
      <w:r>
        <w:rPr>
          <w:i/>
          <w:sz w:val="22"/>
        </w:rPr>
        <w:t>National Electricity Law. </w:t>
      </w:r>
      <w:r>
        <w:rPr>
          <w:sz w:val="22"/>
        </w:rPr>
        <w:t>The </w:t>
      </w:r>
      <w:r>
        <w:rPr>
          <w:i/>
          <w:sz w:val="22"/>
        </w:rPr>
        <w:t>National Electricity</w:t>
      </w:r>
      <w:r>
        <w:rPr>
          <w:i/>
          <w:spacing w:val="-1"/>
          <w:sz w:val="22"/>
        </w:rPr>
        <w:t> </w:t>
      </w:r>
      <w:r>
        <w:rPr>
          <w:i/>
          <w:sz w:val="22"/>
        </w:rPr>
        <w:t>Rules</w:t>
      </w:r>
      <w:r>
        <w:rPr>
          <w:i/>
          <w:spacing w:val="-3"/>
          <w:sz w:val="22"/>
        </w:rPr>
        <w:t> </w:t>
      </w:r>
      <w:r>
        <w:rPr>
          <w:sz w:val="22"/>
        </w:rPr>
        <w:t>rely</w:t>
      </w:r>
      <w:r>
        <w:rPr>
          <w:spacing w:val="-4"/>
          <w:sz w:val="22"/>
        </w:rPr>
        <w:t> </w:t>
      </w:r>
      <w:r>
        <w:rPr>
          <w:sz w:val="22"/>
        </w:rPr>
        <w:t>on</w:t>
      </w:r>
      <w:r>
        <w:rPr>
          <w:spacing w:val="-2"/>
          <w:sz w:val="22"/>
        </w:rPr>
        <w:t> </w:t>
      </w:r>
      <w:r>
        <w:rPr>
          <w:sz w:val="22"/>
        </w:rPr>
        <w:t>template</w:t>
      </w:r>
      <w:r>
        <w:rPr>
          <w:spacing w:val="-1"/>
          <w:sz w:val="22"/>
        </w:rPr>
        <w:t> </w:t>
      </w:r>
      <w:r>
        <w:rPr>
          <w:sz w:val="22"/>
        </w:rPr>
        <w:t>legislation</w:t>
      </w:r>
      <w:r>
        <w:rPr>
          <w:spacing w:val="-2"/>
          <w:sz w:val="22"/>
        </w:rPr>
        <w:t> </w:t>
      </w:r>
      <w:r>
        <w:rPr>
          <w:sz w:val="22"/>
        </w:rPr>
        <w:t>in</w:t>
      </w:r>
      <w:r>
        <w:rPr>
          <w:spacing w:val="-2"/>
          <w:sz w:val="22"/>
        </w:rPr>
        <w:t> </w:t>
      </w:r>
      <w:r>
        <w:rPr>
          <w:sz w:val="22"/>
        </w:rPr>
        <w:t>each</w:t>
      </w:r>
      <w:r>
        <w:rPr>
          <w:spacing w:val="-2"/>
          <w:sz w:val="22"/>
        </w:rPr>
        <w:t> </w:t>
      </w:r>
      <w:r>
        <w:rPr>
          <w:sz w:val="22"/>
        </w:rPr>
        <w:t>participating</w:t>
      </w:r>
      <w:r>
        <w:rPr>
          <w:spacing w:val="-2"/>
          <w:sz w:val="22"/>
        </w:rPr>
        <w:t> </w:t>
      </w:r>
      <w:r>
        <w:rPr>
          <w:sz w:val="22"/>
        </w:rPr>
        <w:t>state.</w:t>
      </w:r>
      <w:r>
        <w:rPr>
          <w:spacing w:val="-3"/>
          <w:sz w:val="22"/>
        </w:rPr>
        <w:t> </w:t>
      </w:r>
      <w:r>
        <w:rPr>
          <w:sz w:val="22"/>
        </w:rPr>
        <w:t>This</w:t>
      </w:r>
      <w:r>
        <w:rPr>
          <w:spacing w:val="-1"/>
          <w:sz w:val="22"/>
        </w:rPr>
        <w:t> </w:t>
      </w:r>
      <w:r>
        <w:rPr>
          <w:sz w:val="22"/>
        </w:rPr>
        <w:t>structure</w:t>
      </w:r>
      <w:r>
        <w:rPr>
          <w:spacing w:val="-4"/>
          <w:sz w:val="22"/>
        </w:rPr>
        <w:t> </w:t>
      </w:r>
      <w:r>
        <w:rPr>
          <w:sz w:val="22"/>
        </w:rPr>
        <w:t>has</w:t>
      </w:r>
      <w:r>
        <w:rPr>
          <w:spacing w:val="-1"/>
          <w:sz w:val="22"/>
        </w:rPr>
        <w:t> </w:t>
      </w:r>
      <w:r>
        <w:rPr>
          <w:sz w:val="22"/>
        </w:rPr>
        <w:t>been adopted</w:t>
      </w:r>
      <w:r>
        <w:rPr>
          <w:spacing w:val="-1"/>
          <w:sz w:val="22"/>
        </w:rPr>
        <w:t> </w:t>
      </w:r>
      <w:r>
        <w:rPr>
          <w:sz w:val="22"/>
        </w:rPr>
        <w:t>to create</w:t>
      </w:r>
      <w:r>
        <w:rPr>
          <w:spacing w:val="-1"/>
          <w:sz w:val="22"/>
        </w:rPr>
        <w:t> </w:t>
      </w:r>
      <w:r>
        <w:rPr>
          <w:sz w:val="22"/>
        </w:rPr>
        <w:t>uniformity</w:t>
      </w:r>
      <w:r>
        <w:rPr>
          <w:spacing w:val="-1"/>
          <w:sz w:val="22"/>
        </w:rPr>
        <w:t> </w:t>
      </w:r>
      <w:r>
        <w:rPr>
          <w:sz w:val="22"/>
        </w:rPr>
        <w:t>in an industry</w:t>
      </w:r>
      <w:r>
        <w:rPr>
          <w:spacing w:val="-1"/>
          <w:sz w:val="22"/>
        </w:rPr>
        <w:t> </w:t>
      </w:r>
      <w:r>
        <w:rPr>
          <w:sz w:val="22"/>
        </w:rPr>
        <w:t>which is principally</w:t>
      </w:r>
      <w:r>
        <w:rPr>
          <w:spacing w:val="-1"/>
          <w:sz w:val="22"/>
        </w:rPr>
        <w:t> </w:t>
      </w:r>
      <w:r>
        <w:rPr>
          <w:sz w:val="22"/>
        </w:rPr>
        <w:t>governed by</w:t>
      </w:r>
      <w:r>
        <w:rPr>
          <w:spacing w:val="-1"/>
          <w:sz w:val="22"/>
        </w:rPr>
        <w:t> </w:t>
      </w:r>
      <w:r>
        <w:rPr>
          <w:sz w:val="22"/>
        </w:rPr>
        <w:t>state law</w:t>
      </w:r>
      <w:r>
        <w:rPr>
          <w:spacing w:val="-2"/>
          <w:sz w:val="22"/>
        </w:rPr>
        <w:t> </w:t>
      </w:r>
      <w:r>
        <w:rPr>
          <w:sz w:val="22"/>
        </w:rPr>
        <w:t>under the </w:t>
      </w:r>
      <w:r>
        <w:rPr>
          <w:spacing w:val="-2"/>
          <w:sz w:val="22"/>
        </w:rPr>
        <w:t>Constitution.</w:t>
      </w:r>
    </w:p>
    <w:p>
      <w:pPr>
        <w:pStyle w:val="BodyText"/>
        <w:spacing w:before="10"/>
        <w:rPr>
          <w:sz w:val="20"/>
        </w:rPr>
      </w:pPr>
    </w:p>
    <w:p>
      <w:pPr>
        <w:pStyle w:val="BodyText"/>
        <w:spacing w:line="288" w:lineRule="auto"/>
        <w:ind w:left="232" w:right="374"/>
      </w:pPr>
      <w:r>
        <w:rPr/>
        <w:t>The </w:t>
      </w:r>
      <w:r>
        <w:rPr>
          <w:i/>
        </w:rPr>
        <w:t>National Electricity Rules </w:t>
      </w:r>
      <w:r>
        <w:rPr/>
        <w:t>aim to incentivise network businesses to be efficient in their spending and to meet reliability service standards. These incentive schemes are designed to reward</w:t>
      </w:r>
      <w:r>
        <w:rPr>
          <w:spacing w:val="-2"/>
        </w:rPr>
        <w:t> </w:t>
      </w:r>
      <w:r>
        <w:rPr/>
        <w:t>network</w:t>
      </w:r>
      <w:r>
        <w:rPr>
          <w:spacing w:val="-2"/>
        </w:rPr>
        <w:t> </w:t>
      </w:r>
      <w:r>
        <w:rPr/>
        <w:t>businesses</w:t>
      </w:r>
      <w:r>
        <w:rPr>
          <w:spacing w:val="-5"/>
        </w:rPr>
        <w:t> </w:t>
      </w:r>
      <w:r>
        <w:rPr/>
        <w:t>for</w:t>
      </w:r>
      <w:r>
        <w:rPr>
          <w:spacing w:val="-2"/>
        </w:rPr>
        <w:t> </w:t>
      </w:r>
      <w:r>
        <w:rPr/>
        <w:t>over-performance</w:t>
      </w:r>
      <w:r>
        <w:rPr>
          <w:spacing w:val="-5"/>
        </w:rPr>
        <w:t> </w:t>
      </w:r>
      <w:r>
        <w:rPr/>
        <w:t>or</w:t>
      </w:r>
      <w:r>
        <w:rPr>
          <w:spacing w:val="-2"/>
        </w:rPr>
        <w:t> </w:t>
      </w:r>
      <w:r>
        <w:rPr/>
        <w:t>penalise</w:t>
      </w:r>
      <w:r>
        <w:rPr>
          <w:spacing w:val="-5"/>
        </w:rPr>
        <w:t> </w:t>
      </w:r>
      <w:r>
        <w:rPr/>
        <w:t>them</w:t>
      </w:r>
      <w:r>
        <w:rPr>
          <w:spacing w:val="-6"/>
        </w:rPr>
        <w:t> </w:t>
      </w:r>
      <w:r>
        <w:rPr/>
        <w:t>for</w:t>
      </w:r>
      <w:r>
        <w:rPr>
          <w:spacing w:val="-2"/>
        </w:rPr>
        <w:t> </w:t>
      </w:r>
      <w:r>
        <w:rPr/>
        <w:t>under-performance,</w:t>
      </w:r>
      <w:r>
        <w:rPr>
          <w:spacing w:val="-1"/>
        </w:rPr>
        <w:t> </w:t>
      </w:r>
      <w:r>
        <w:rPr/>
        <w:t>as measured against predefined benchmarks of reliability and efficiency.</w:t>
      </w:r>
    </w:p>
    <w:p>
      <w:pPr>
        <w:pStyle w:val="BodyText"/>
        <w:spacing w:before="10"/>
        <w:rPr>
          <w:sz w:val="20"/>
        </w:rPr>
      </w:pPr>
    </w:p>
    <w:p>
      <w:pPr>
        <w:pStyle w:val="Heading8"/>
        <w:spacing w:before="1"/>
        <w:ind w:left="232"/>
      </w:pPr>
      <w:r>
        <w:rPr/>
        <w:t>Electricity</w:t>
      </w:r>
      <w:r>
        <w:rPr>
          <w:spacing w:val="-7"/>
        </w:rPr>
        <w:t> </w:t>
      </w:r>
      <w:r>
        <w:rPr/>
        <w:t>Distribution</w:t>
      </w:r>
      <w:r>
        <w:rPr>
          <w:spacing w:val="-11"/>
        </w:rPr>
        <w:t> </w:t>
      </w:r>
      <w:r>
        <w:rPr/>
        <w:t>Price</w:t>
      </w:r>
      <w:r>
        <w:rPr>
          <w:spacing w:val="-6"/>
        </w:rPr>
        <w:t> </w:t>
      </w:r>
      <w:r>
        <w:rPr>
          <w:spacing w:val="-2"/>
        </w:rPr>
        <w:t>Review</w:t>
      </w:r>
    </w:p>
    <w:p>
      <w:pPr>
        <w:pStyle w:val="BodyText"/>
        <w:spacing w:line="288" w:lineRule="auto" w:before="169"/>
        <w:ind w:left="232" w:right="374"/>
      </w:pPr>
      <w:r>
        <w:rPr/>
        <w:t>Distribution</w:t>
      </w:r>
      <w:r>
        <w:rPr>
          <w:spacing w:val="-3"/>
        </w:rPr>
        <w:t> </w:t>
      </w:r>
      <w:r>
        <w:rPr/>
        <w:t>businesses</w:t>
      </w:r>
      <w:r>
        <w:rPr>
          <w:spacing w:val="-5"/>
        </w:rPr>
        <w:t> </w:t>
      </w:r>
      <w:r>
        <w:rPr/>
        <w:t>have</w:t>
      </w:r>
      <w:r>
        <w:rPr>
          <w:spacing w:val="-3"/>
        </w:rPr>
        <w:t> </w:t>
      </w:r>
      <w:r>
        <w:rPr/>
        <w:t>discretion</w:t>
      </w:r>
      <w:r>
        <w:rPr>
          <w:spacing w:val="-3"/>
        </w:rPr>
        <w:t> </w:t>
      </w:r>
      <w:r>
        <w:rPr/>
        <w:t>in</w:t>
      </w:r>
      <w:r>
        <w:rPr>
          <w:spacing w:val="-3"/>
        </w:rPr>
        <w:t> </w:t>
      </w:r>
      <w:r>
        <w:rPr/>
        <w:t>how</w:t>
      </w:r>
      <w:r>
        <w:rPr>
          <w:spacing w:val="-6"/>
        </w:rPr>
        <w:t> </w:t>
      </w:r>
      <w:r>
        <w:rPr/>
        <w:t>they</w:t>
      </w:r>
      <w:r>
        <w:rPr>
          <w:spacing w:val="-5"/>
        </w:rPr>
        <w:t> </w:t>
      </w:r>
      <w:r>
        <w:rPr/>
        <w:t>spend</w:t>
      </w:r>
      <w:r>
        <w:rPr>
          <w:spacing w:val="-3"/>
        </w:rPr>
        <w:t> </w:t>
      </w:r>
      <w:r>
        <w:rPr/>
        <w:t>available</w:t>
      </w:r>
      <w:r>
        <w:rPr>
          <w:spacing w:val="-3"/>
        </w:rPr>
        <w:t> </w:t>
      </w:r>
      <w:r>
        <w:rPr/>
        <w:t>funds</w:t>
      </w:r>
      <w:r>
        <w:rPr>
          <w:spacing w:val="-5"/>
        </w:rPr>
        <w:t> </w:t>
      </w:r>
      <w:r>
        <w:rPr/>
        <w:t>for</w:t>
      </w:r>
      <w:r>
        <w:rPr>
          <w:spacing w:val="-2"/>
        </w:rPr>
        <w:t> </w:t>
      </w:r>
      <w:r>
        <w:rPr/>
        <w:t>operational, maintenance and minor capital items, apart from the construction of mandated assets.</w:t>
      </w:r>
    </w:p>
    <w:p>
      <w:pPr>
        <w:pStyle w:val="BodyText"/>
        <w:spacing w:before="10"/>
        <w:rPr>
          <w:sz w:val="20"/>
        </w:rPr>
      </w:pPr>
    </w:p>
    <w:p>
      <w:pPr>
        <w:spacing w:line="288" w:lineRule="auto" w:before="0"/>
        <w:ind w:left="232" w:right="319" w:firstLine="0"/>
        <w:jc w:val="left"/>
        <w:rPr>
          <w:sz w:val="22"/>
        </w:rPr>
      </w:pPr>
      <w:r>
        <w:rPr>
          <w:sz w:val="22"/>
        </w:rPr>
        <w:t>Every five years, electricity network businesses submit a proposal to the AER forecasting how much they will need to spend over the next five years to provide electricity services, and meet reliability and service obligations. The AER evaluates the revenue proposals against the national electricity</w:t>
      </w:r>
      <w:r>
        <w:rPr>
          <w:spacing w:val="-4"/>
          <w:sz w:val="22"/>
        </w:rPr>
        <w:t> </w:t>
      </w:r>
      <w:r>
        <w:rPr>
          <w:sz w:val="22"/>
        </w:rPr>
        <w:t>objective</w:t>
      </w:r>
      <w:r>
        <w:rPr>
          <w:spacing w:val="-3"/>
          <w:sz w:val="22"/>
        </w:rPr>
        <w:t> </w:t>
      </w:r>
      <w:r>
        <w:rPr>
          <w:sz w:val="22"/>
        </w:rPr>
        <w:t>set</w:t>
      </w:r>
      <w:r>
        <w:rPr>
          <w:spacing w:val="-1"/>
          <w:sz w:val="22"/>
        </w:rPr>
        <w:t> </w:t>
      </w:r>
      <w:r>
        <w:rPr>
          <w:sz w:val="22"/>
        </w:rPr>
        <w:t>out</w:t>
      </w:r>
      <w:r>
        <w:rPr>
          <w:spacing w:val="-2"/>
          <w:sz w:val="22"/>
        </w:rPr>
        <w:t> </w:t>
      </w:r>
      <w:r>
        <w:rPr>
          <w:sz w:val="22"/>
        </w:rPr>
        <w:t>in</w:t>
      </w:r>
      <w:r>
        <w:rPr>
          <w:spacing w:val="-4"/>
          <w:sz w:val="22"/>
        </w:rPr>
        <w:t> </w:t>
      </w:r>
      <w:r>
        <w:rPr>
          <w:sz w:val="22"/>
        </w:rPr>
        <w:t>the</w:t>
      </w:r>
      <w:r>
        <w:rPr>
          <w:spacing w:val="-1"/>
          <w:sz w:val="22"/>
        </w:rPr>
        <w:t> </w:t>
      </w:r>
      <w:r>
        <w:rPr>
          <w:i/>
          <w:sz w:val="22"/>
        </w:rPr>
        <w:t>National</w:t>
      </w:r>
      <w:r>
        <w:rPr>
          <w:i/>
          <w:spacing w:val="-4"/>
          <w:sz w:val="22"/>
        </w:rPr>
        <w:t> </w:t>
      </w:r>
      <w:r>
        <w:rPr>
          <w:i/>
          <w:sz w:val="22"/>
        </w:rPr>
        <w:t>Electricity</w:t>
      </w:r>
      <w:r>
        <w:rPr>
          <w:i/>
          <w:spacing w:val="-2"/>
          <w:sz w:val="22"/>
        </w:rPr>
        <w:t> </w:t>
      </w:r>
      <w:r>
        <w:rPr>
          <w:i/>
          <w:sz w:val="22"/>
        </w:rPr>
        <w:t>Rules</w:t>
      </w:r>
      <w:r>
        <w:rPr>
          <w:i/>
          <w:spacing w:val="-1"/>
          <w:sz w:val="22"/>
        </w:rPr>
        <w:t> </w:t>
      </w:r>
      <w:r>
        <w:rPr>
          <w:sz w:val="22"/>
        </w:rPr>
        <w:t>which</w:t>
      </w:r>
      <w:r>
        <w:rPr>
          <w:spacing w:val="-3"/>
          <w:sz w:val="22"/>
        </w:rPr>
        <w:t> </w:t>
      </w:r>
      <w:r>
        <w:rPr>
          <w:sz w:val="22"/>
        </w:rPr>
        <w:t>states:</w:t>
      </w:r>
      <w:r>
        <w:rPr>
          <w:spacing w:val="-4"/>
          <w:sz w:val="22"/>
        </w:rPr>
        <w:t> </w:t>
      </w:r>
      <w:r>
        <w:rPr>
          <w:sz w:val="22"/>
        </w:rPr>
        <w:t>“</w:t>
      </w:r>
      <w:r>
        <w:rPr>
          <w:i/>
          <w:sz w:val="22"/>
        </w:rPr>
        <w:t>to</w:t>
      </w:r>
      <w:r>
        <w:rPr>
          <w:i/>
          <w:spacing w:val="-3"/>
          <w:sz w:val="22"/>
        </w:rPr>
        <w:t> </w:t>
      </w:r>
      <w:r>
        <w:rPr>
          <w:i/>
          <w:sz w:val="22"/>
        </w:rPr>
        <w:t>promote</w:t>
      </w:r>
      <w:r>
        <w:rPr>
          <w:i/>
          <w:spacing w:val="-4"/>
          <w:sz w:val="22"/>
        </w:rPr>
        <w:t> </w:t>
      </w:r>
      <w:r>
        <w:rPr>
          <w:i/>
          <w:sz w:val="22"/>
        </w:rPr>
        <w:t>investment</w:t>
      </w:r>
      <w:r>
        <w:rPr>
          <w:i/>
          <w:spacing w:val="-4"/>
          <w:sz w:val="22"/>
        </w:rPr>
        <w:t> </w:t>
      </w:r>
      <w:r>
        <w:rPr>
          <w:i/>
          <w:sz w:val="22"/>
        </w:rPr>
        <w:t>in, and efficient operation and use of, electricity services for the long term interests of electricity </w:t>
      </w:r>
      <w:r>
        <w:rPr>
          <w:i/>
          <w:spacing w:val="-2"/>
          <w:sz w:val="22"/>
        </w:rPr>
        <w:t>consumers</w:t>
      </w:r>
      <w:r>
        <w:rPr>
          <w:spacing w:val="-2"/>
          <w:sz w:val="22"/>
        </w:rPr>
        <w:t>”.</w:t>
      </w:r>
    </w:p>
    <w:p>
      <w:pPr>
        <w:spacing w:after="0" w:line="288" w:lineRule="auto"/>
        <w:jc w:val="left"/>
        <w:rPr>
          <w:sz w:val="22"/>
        </w:rPr>
        <w:sectPr>
          <w:pgSz w:w="11910" w:h="16850"/>
          <w:pgMar w:header="220" w:footer="678" w:top="420" w:bottom="860" w:left="900" w:right="840"/>
        </w:sectPr>
      </w:pPr>
    </w:p>
    <w:p>
      <w:pPr>
        <w:pStyle w:val="BodyText"/>
        <w:rPr>
          <w:sz w:val="20"/>
        </w:rPr>
      </w:pPr>
    </w:p>
    <w:p>
      <w:pPr>
        <w:pStyle w:val="BodyText"/>
        <w:spacing w:before="2"/>
        <w:rPr>
          <w:sz w:val="19"/>
        </w:rPr>
      </w:pPr>
    </w:p>
    <w:p>
      <w:pPr>
        <w:pStyle w:val="BodyText"/>
        <w:spacing w:line="288" w:lineRule="auto" w:before="94"/>
        <w:ind w:left="232" w:right="374"/>
      </w:pPr>
      <w:r>
        <w:rPr/>
        <w:t>The process whereby this occurs is an Electricity Distribution Price Review (EDPR). EDPRs determine</w:t>
      </w:r>
      <w:r>
        <w:rPr>
          <w:spacing w:val="-2"/>
        </w:rPr>
        <w:t> </w:t>
      </w:r>
      <w:r>
        <w:rPr/>
        <w:t>the</w:t>
      </w:r>
      <w:r>
        <w:rPr>
          <w:spacing w:val="-4"/>
        </w:rPr>
        <w:t> </w:t>
      </w:r>
      <w:r>
        <w:rPr/>
        <w:t>amount</w:t>
      </w:r>
      <w:r>
        <w:rPr>
          <w:spacing w:val="-3"/>
        </w:rPr>
        <w:t> </w:t>
      </w:r>
      <w:r>
        <w:rPr/>
        <w:t>of</w:t>
      </w:r>
      <w:r>
        <w:rPr>
          <w:spacing w:val="-3"/>
        </w:rPr>
        <w:t> </w:t>
      </w:r>
      <w:r>
        <w:rPr/>
        <w:t>revenue</w:t>
      </w:r>
      <w:r>
        <w:rPr>
          <w:spacing w:val="-2"/>
        </w:rPr>
        <w:t> </w:t>
      </w:r>
      <w:r>
        <w:rPr/>
        <w:t>(the</w:t>
      </w:r>
      <w:r>
        <w:rPr>
          <w:spacing w:val="-4"/>
        </w:rPr>
        <w:t> </w:t>
      </w:r>
      <w:r>
        <w:rPr/>
        <w:t>‘revenue</w:t>
      </w:r>
      <w:r>
        <w:rPr>
          <w:spacing w:val="-2"/>
        </w:rPr>
        <w:t> </w:t>
      </w:r>
      <w:r>
        <w:rPr/>
        <w:t>cap’)</w:t>
      </w:r>
      <w:r>
        <w:rPr>
          <w:spacing w:val="-1"/>
        </w:rPr>
        <w:t> </w:t>
      </w:r>
      <w:r>
        <w:rPr/>
        <w:t>a</w:t>
      </w:r>
      <w:r>
        <w:rPr>
          <w:spacing w:val="-4"/>
        </w:rPr>
        <w:t> </w:t>
      </w:r>
      <w:r>
        <w:rPr/>
        <w:t>regulated</w:t>
      </w:r>
      <w:r>
        <w:rPr>
          <w:spacing w:val="-2"/>
        </w:rPr>
        <w:t> </w:t>
      </w:r>
      <w:r>
        <w:rPr/>
        <w:t>electricity</w:t>
      </w:r>
      <w:r>
        <w:rPr>
          <w:spacing w:val="-6"/>
        </w:rPr>
        <w:t> </w:t>
      </w:r>
      <w:r>
        <w:rPr/>
        <w:t>network</w:t>
      </w:r>
      <w:r>
        <w:rPr>
          <w:spacing w:val="-1"/>
        </w:rPr>
        <w:t> </w:t>
      </w:r>
      <w:r>
        <w:rPr/>
        <w:t>business</w:t>
      </w:r>
      <w:r>
        <w:rPr>
          <w:spacing w:val="-1"/>
        </w:rPr>
        <w:t> </w:t>
      </w:r>
      <w:r>
        <w:rPr/>
        <w:t>can recover from its customers through distribution tariffs. These tariffs form a component of a customer’s final electricity bill.</w:t>
      </w:r>
    </w:p>
    <w:p>
      <w:pPr>
        <w:pStyle w:val="BodyText"/>
        <w:spacing w:before="10"/>
        <w:rPr>
          <w:sz w:val="20"/>
        </w:rPr>
      </w:pPr>
    </w:p>
    <w:p>
      <w:pPr>
        <w:pStyle w:val="BodyText"/>
        <w:spacing w:before="1"/>
        <w:ind w:left="232"/>
      </w:pPr>
      <w:r>
        <w:rPr/>
        <w:t>In</w:t>
      </w:r>
      <w:r>
        <w:rPr>
          <w:spacing w:val="-5"/>
        </w:rPr>
        <w:t> </w:t>
      </w:r>
      <w:r>
        <w:rPr/>
        <w:t>determining</w:t>
      </w:r>
      <w:r>
        <w:rPr>
          <w:spacing w:val="-4"/>
        </w:rPr>
        <w:t> </w:t>
      </w:r>
      <w:r>
        <w:rPr/>
        <w:t>the</w:t>
      </w:r>
      <w:r>
        <w:rPr>
          <w:spacing w:val="-7"/>
        </w:rPr>
        <w:t> </w:t>
      </w:r>
      <w:r>
        <w:rPr/>
        <w:t>prices</w:t>
      </w:r>
      <w:r>
        <w:rPr>
          <w:spacing w:val="-6"/>
        </w:rPr>
        <w:t> </w:t>
      </w:r>
      <w:r>
        <w:rPr/>
        <w:t>that</w:t>
      </w:r>
      <w:r>
        <w:rPr>
          <w:spacing w:val="-2"/>
        </w:rPr>
        <w:t> </w:t>
      </w:r>
      <w:r>
        <w:rPr/>
        <w:t>a</w:t>
      </w:r>
      <w:r>
        <w:rPr>
          <w:spacing w:val="-7"/>
        </w:rPr>
        <w:t> </w:t>
      </w:r>
      <w:r>
        <w:rPr/>
        <w:t>network</w:t>
      </w:r>
      <w:r>
        <w:rPr>
          <w:spacing w:val="-1"/>
        </w:rPr>
        <w:t> </w:t>
      </w:r>
      <w:r>
        <w:rPr/>
        <w:t>business</w:t>
      </w:r>
      <w:r>
        <w:rPr>
          <w:spacing w:val="-8"/>
        </w:rPr>
        <w:t> </w:t>
      </w:r>
      <w:r>
        <w:rPr/>
        <w:t>can</w:t>
      </w:r>
      <w:r>
        <w:rPr>
          <w:spacing w:val="-5"/>
        </w:rPr>
        <w:t> </w:t>
      </w:r>
      <w:r>
        <w:rPr/>
        <w:t>charge,</w:t>
      </w:r>
      <w:r>
        <w:rPr>
          <w:spacing w:val="-5"/>
        </w:rPr>
        <w:t> </w:t>
      </w:r>
      <w:r>
        <w:rPr/>
        <w:t>the</w:t>
      </w:r>
      <w:r>
        <w:rPr>
          <w:spacing w:val="-6"/>
        </w:rPr>
        <w:t> </w:t>
      </w:r>
      <w:r>
        <w:rPr/>
        <w:t>AER</w:t>
      </w:r>
      <w:r>
        <w:rPr>
          <w:spacing w:val="-5"/>
        </w:rPr>
        <w:t> </w:t>
      </w:r>
      <w:r>
        <w:rPr/>
        <w:t>reviews</w:t>
      </w:r>
      <w:r>
        <w:rPr>
          <w:spacing w:val="-3"/>
        </w:rPr>
        <w:t> </w:t>
      </w:r>
      <w:r>
        <w:rPr/>
        <w:t>the</w:t>
      </w:r>
      <w:r>
        <w:rPr>
          <w:spacing w:val="-4"/>
        </w:rPr>
        <w:t> </w:t>
      </w:r>
      <w:r>
        <w:rPr>
          <w:spacing w:val="-2"/>
        </w:rPr>
        <w:t>business’s:</w:t>
      </w:r>
    </w:p>
    <w:p>
      <w:pPr>
        <w:pStyle w:val="BodyText"/>
        <w:spacing w:before="7"/>
        <w:rPr>
          <w:sz w:val="26"/>
        </w:rPr>
      </w:pPr>
    </w:p>
    <w:p>
      <w:pPr>
        <w:pStyle w:val="ListParagraph"/>
        <w:numPr>
          <w:ilvl w:val="0"/>
          <w:numId w:val="94"/>
        </w:numPr>
        <w:tabs>
          <w:tab w:pos="590" w:val="left" w:leader="none"/>
        </w:tabs>
        <w:spacing w:line="240" w:lineRule="auto" w:before="0" w:after="0"/>
        <w:ind w:left="590" w:right="0" w:hanging="358"/>
        <w:jc w:val="left"/>
        <w:rPr>
          <w:sz w:val="22"/>
        </w:rPr>
      </w:pPr>
      <w:r>
        <w:rPr>
          <w:sz w:val="22"/>
        </w:rPr>
        <w:t>capital</w:t>
      </w:r>
      <w:r>
        <w:rPr>
          <w:spacing w:val="-8"/>
          <w:sz w:val="22"/>
        </w:rPr>
        <w:t> </w:t>
      </w:r>
      <w:r>
        <w:rPr>
          <w:sz w:val="22"/>
        </w:rPr>
        <w:t>expenditure</w:t>
      </w:r>
      <w:r>
        <w:rPr>
          <w:spacing w:val="-6"/>
          <w:sz w:val="22"/>
        </w:rPr>
        <w:t> </w:t>
      </w:r>
      <w:r>
        <w:rPr>
          <w:sz w:val="22"/>
        </w:rPr>
        <w:t>(the</w:t>
      </w:r>
      <w:r>
        <w:rPr>
          <w:spacing w:val="-11"/>
          <w:sz w:val="22"/>
        </w:rPr>
        <w:t> </w:t>
      </w:r>
      <w:r>
        <w:rPr>
          <w:sz w:val="22"/>
        </w:rPr>
        <w:t>cost</w:t>
      </w:r>
      <w:r>
        <w:rPr>
          <w:spacing w:val="-6"/>
          <w:sz w:val="22"/>
        </w:rPr>
        <w:t> </w:t>
      </w:r>
      <w:r>
        <w:rPr>
          <w:sz w:val="22"/>
        </w:rPr>
        <w:t>of</w:t>
      </w:r>
      <w:r>
        <w:rPr>
          <w:spacing w:val="-5"/>
          <w:sz w:val="22"/>
        </w:rPr>
        <w:t> </w:t>
      </w:r>
      <w:r>
        <w:rPr>
          <w:sz w:val="22"/>
        </w:rPr>
        <w:t>purchasing</w:t>
      </w:r>
      <w:r>
        <w:rPr>
          <w:spacing w:val="-7"/>
          <w:sz w:val="22"/>
        </w:rPr>
        <w:t> </w:t>
      </w:r>
      <w:r>
        <w:rPr>
          <w:sz w:val="22"/>
        </w:rPr>
        <w:t>and</w:t>
      </w:r>
      <w:r>
        <w:rPr>
          <w:spacing w:val="-7"/>
          <w:sz w:val="22"/>
        </w:rPr>
        <w:t> </w:t>
      </w:r>
      <w:r>
        <w:rPr>
          <w:sz w:val="22"/>
        </w:rPr>
        <w:t>installing</w:t>
      </w:r>
      <w:r>
        <w:rPr>
          <w:spacing w:val="-5"/>
          <w:sz w:val="22"/>
        </w:rPr>
        <w:t> </w:t>
      </w:r>
      <w:r>
        <w:rPr>
          <w:sz w:val="22"/>
        </w:rPr>
        <w:t>network</w:t>
      </w:r>
      <w:r>
        <w:rPr>
          <w:spacing w:val="-5"/>
          <w:sz w:val="22"/>
        </w:rPr>
        <w:t> </w:t>
      </w:r>
      <w:r>
        <w:rPr>
          <w:spacing w:val="-2"/>
          <w:sz w:val="22"/>
        </w:rPr>
        <w:t>assets);</w:t>
      </w:r>
    </w:p>
    <w:p>
      <w:pPr>
        <w:pStyle w:val="ListParagraph"/>
        <w:numPr>
          <w:ilvl w:val="0"/>
          <w:numId w:val="94"/>
        </w:numPr>
        <w:tabs>
          <w:tab w:pos="590" w:val="left" w:leader="none"/>
        </w:tabs>
        <w:spacing w:line="240" w:lineRule="auto" w:before="66" w:after="0"/>
        <w:ind w:left="590" w:right="0" w:hanging="358"/>
        <w:jc w:val="left"/>
        <w:rPr>
          <w:sz w:val="22"/>
        </w:rPr>
      </w:pPr>
      <w:r>
        <w:rPr>
          <w:sz w:val="22"/>
        </w:rPr>
        <w:t>operating-related</w:t>
      </w:r>
      <w:r>
        <w:rPr>
          <w:spacing w:val="-9"/>
          <w:sz w:val="22"/>
        </w:rPr>
        <w:t> </w:t>
      </w:r>
      <w:r>
        <w:rPr>
          <w:sz w:val="22"/>
        </w:rPr>
        <w:t>expenditure</w:t>
      </w:r>
      <w:r>
        <w:rPr>
          <w:spacing w:val="-8"/>
          <w:sz w:val="22"/>
        </w:rPr>
        <w:t> </w:t>
      </w:r>
      <w:r>
        <w:rPr>
          <w:sz w:val="22"/>
        </w:rPr>
        <w:t>(the</w:t>
      </w:r>
      <w:r>
        <w:rPr>
          <w:spacing w:val="-7"/>
          <w:sz w:val="22"/>
        </w:rPr>
        <w:t> </w:t>
      </w:r>
      <w:r>
        <w:rPr>
          <w:sz w:val="22"/>
        </w:rPr>
        <w:t>cost</w:t>
      </w:r>
      <w:r>
        <w:rPr>
          <w:spacing w:val="-5"/>
          <w:sz w:val="22"/>
        </w:rPr>
        <w:t> </w:t>
      </w:r>
      <w:r>
        <w:rPr>
          <w:sz w:val="22"/>
        </w:rPr>
        <w:t>of</w:t>
      </w:r>
      <w:r>
        <w:rPr>
          <w:spacing w:val="-7"/>
          <w:sz w:val="22"/>
        </w:rPr>
        <w:t> </w:t>
      </w:r>
      <w:r>
        <w:rPr>
          <w:sz w:val="22"/>
        </w:rPr>
        <w:t>running</w:t>
      </w:r>
      <w:r>
        <w:rPr>
          <w:spacing w:val="-8"/>
          <w:sz w:val="22"/>
        </w:rPr>
        <w:t> </w:t>
      </w:r>
      <w:r>
        <w:rPr>
          <w:sz w:val="22"/>
        </w:rPr>
        <w:t>the</w:t>
      </w:r>
      <w:r>
        <w:rPr>
          <w:spacing w:val="-6"/>
          <w:sz w:val="22"/>
        </w:rPr>
        <w:t> </w:t>
      </w:r>
      <w:r>
        <w:rPr>
          <w:sz w:val="22"/>
        </w:rPr>
        <w:t>network</w:t>
      </w:r>
      <w:r>
        <w:rPr>
          <w:spacing w:val="-5"/>
          <w:sz w:val="22"/>
        </w:rPr>
        <w:t> </w:t>
      </w:r>
      <w:r>
        <w:rPr>
          <w:sz w:val="22"/>
        </w:rPr>
        <w:t>and</w:t>
      </w:r>
      <w:r>
        <w:rPr>
          <w:spacing w:val="-8"/>
          <w:sz w:val="22"/>
        </w:rPr>
        <w:t> </w:t>
      </w:r>
      <w:r>
        <w:rPr>
          <w:sz w:val="22"/>
        </w:rPr>
        <w:t>maintaining</w:t>
      </w:r>
      <w:r>
        <w:rPr>
          <w:spacing w:val="-3"/>
          <w:sz w:val="22"/>
        </w:rPr>
        <w:t> </w:t>
      </w:r>
      <w:r>
        <w:rPr>
          <w:sz w:val="22"/>
        </w:rPr>
        <w:t>the</w:t>
      </w:r>
      <w:r>
        <w:rPr>
          <w:spacing w:val="-6"/>
          <w:sz w:val="22"/>
        </w:rPr>
        <w:t> </w:t>
      </w:r>
      <w:r>
        <w:rPr>
          <w:spacing w:val="-2"/>
          <w:sz w:val="22"/>
        </w:rPr>
        <w:t>assets);</w:t>
      </w:r>
    </w:p>
    <w:p>
      <w:pPr>
        <w:pStyle w:val="ListParagraph"/>
        <w:numPr>
          <w:ilvl w:val="0"/>
          <w:numId w:val="94"/>
        </w:numPr>
        <w:tabs>
          <w:tab w:pos="590" w:val="left" w:leader="none"/>
        </w:tabs>
        <w:spacing w:line="240" w:lineRule="auto" w:before="64" w:after="0"/>
        <w:ind w:left="590" w:right="0" w:hanging="358"/>
        <w:jc w:val="left"/>
        <w:rPr>
          <w:sz w:val="22"/>
        </w:rPr>
      </w:pPr>
      <w:r>
        <w:rPr>
          <w:sz w:val="22"/>
        </w:rPr>
        <w:t>asset</w:t>
      </w:r>
      <w:r>
        <w:rPr>
          <w:spacing w:val="-5"/>
          <w:sz w:val="22"/>
        </w:rPr>
        <w:t> </w:t>
      </w:r>
      <w:r>
        <w:rPr>
          <w:sz w:val="22"/>
        </w:rPr>
        <w:t>depreciation</w:t>
      </w:r>
      <w:r>
        <w:rPr>
          <w:spacing w:val="-8"/>
          <w:sz w:val="22"/>
        </w:rPr>
        <w:t> </w:t>
      </w:r>
      <w:r>
        <w:rPr>
          <w:sz w:val="22"/>
        </w:rPr>
        <w:t>costs;</w:t>
      </w:r>
      <w:r>
        <w:rPr>
          <w:spacing w:val="-7"/>
          <w:sz w:val="22"/>
        </w:rPr>
        <w:t> </w:t>
      </w:r>
      <w:r>
        <w:rPr>
          <w:spacing w:val="-5"/>
          <w:sz w:val="22"/>
        </w:rPr>
        <w:t>and</w:t>
      </w:r>
    </w:p>
    <w:p>
      <w:pPr>
        <w:pStyle w:val="ListParagraph"/>
        <w:numPr>
          <w:ilvl w:val="0"/>
          <w:numId w:val="94"/>
        </w:numPr>
        <w:tabs>
          <w:tab w:pos="590" w:val="left" w:leader="none"/>
        </w:tabs>
        <w:spacing w:line="288" w:lineRule="auto" w:before="66" w:after="0"/>
        <w:ind w:left="590" w:right="389" w:hanging="359"/>
        <w:jc w:val="left"/>
        <w:rPr>
          <w:sz w:val="22"/>
        </w:rPr>
      </w:pPr>
      <w:r>
        <w:rPr>
          <w:sz w:val="22"/>
        </w:rPr>
        <w:t>taxation</w:t>
      </w:r>
      <w:r>
        <w:rPr>
          <w:spacing w:val="-2"/>
          <w:sz w:val="22"/>
        </w:rPr>
        <w:t> </w:t>
      </w:r>
      <w:r>
        <w:rPr>
          <w:sz w:val="22"/>
        </w:rPr>
        <w:t>liabilities</w:t>
      </w:r>
      <w:r>
        <w:rPr>
          <w:spacing w:val="-2"/>
          <w:sz w:val="22"/>
        </w:rPr>
        <w:t> </w:t>
      </w:r>
      <w:r>
        <w:rPr>
          <w:sz w:val="22"/>
        </w:rPr>
        <w:t>(and</w:t>
      </w:r>
      <w:r>
        <w:rPr>
          <w:spacing w:val="-2"/>
          <w:sz w:val="22"/>
        </w:rPr>
        <w:t> </w:t>
      </w:r>
      <w:r>
        <w:rPr>
          <w:sz w:val="22"/>
        </w:rPr>
        <w:t>allows</w:t>
      </w:r>
      <w:r>
        <w:rPr>
          <w:spacing w:val="-1"/>
          <w:sz w:val="22"/>
        </w:rPr>
        <w:t> </w:t>
      </w:r>
      <w:r>
        <w:rPr>
          <w:sz w:val="22"/>
        </w:rPr>
        <w:t>a</w:t>
      </w:r>
      <w:r>
        <w:rPr>
          <w:spacing w:val="-2"/>
          <w:sz w:val="22"/>
        </w:rPr>
        <w:t> </w:t>
      </w:r>
      <w:r>
        <w:rPr>
          <w:sz w:val="22"/>
        </w:rPr>
        <w:t>commercial</w:t>
      </w:r>
      <w:r>
        <w:rPr>
          <w:spacing w:val="-2"/>
          <w:sz w:val="22"/>
        </w:rPr>
        <w:t> </w:t>
      </w:r>
      <w:r>
        <w:rPr>
          <w:sz w:val="22"/>
        </w:rPr>
        <w:t>return</w:t>
      </w:r>
      <w:r>
        <w:rPr>
          <w:spacing w:val="-4"/>
          <w:sz w:val="22"/>
        </w:rPr>
        <w:t> </w:t>
      </w:r>
      <w:r>
        <w:rPr>
          <w:sz w:val="22"/>
        </w:rPr>
        <w:t>on</w:t>
      </w:r>
      <w:r>
        <w:rPr>
          <w:spacing w:val="-2"/>
          <w:sz w:val="22"/>
        </w:rPr>
        <w:t> </w:t>
      </w:r>
      <w:r>
        <w:rPr>
          <w:sz w:val="22"/>
        </w:rPr>
        <w:t>capital),</w:t>
      </w:r>
      <w:r>
        <w:rPr>
          <w:spacing w:val="-3"/>
          <w:sz w:val="22"/>
        </w:rPr>
        <w:t> </w:t>
      </w:r>
      <w:r>
        <w:rPr>
          <w:sz w:val="22"/>
        </w:rPr>
        <w:t>to</w:t>
      </w:r>
      <w:r>
        <w:rPr>
          <w:spacing w:val="-4"/>
          <w:sz w:val="22"/>
        </w:rPr>
        <w:t> </w:t>
      </w:r>
      <w:r>
        <w:rPr>
          <w:sz w:val="22"/>
        </w:rPr>
        <w:t>ensure</w:t>
      </w:r>
      <w:r>
        <w:rPr>
          <w:spacing w:val="-4"/>
          <w:sz w:val="22"/>
        </w:rPr>
        <w:t> </w:t>
      </w:r>
      <w:r>
        <w:rPr>
          <w:sz w:val="22"/>
        </w:rPr>
        <w:t>that</w:t>
      </w:r>
      <w:r>
        <w:rPr>
          <w:spacing w:val="-3"/>
          <w:sz w:val="22"/>
        </w:rPr>
        <w:t> </w:t>
      </w:r>
      <w:r>
        <w:rPr>
          <w:sz w:val="22"/>
        </w:rPr>
        <w:t>the</w:t>
      </w:r>
      <w:r>
        <w:rPr>
          <w:spacing w:val="-2"/>
          <w:sz w:val="22"/>
        </w:rPr>
        <w:t> </w:t>
      </w:r>
      <w:r>
        <w:rPr>
          <w:sz w:val="22"/>
        </w:rPr>
        <w:t>expenditure</w:t>
      </w:r>
      <w:r>
        <w:rPr>
          <w:spacing w:val="-4"/>
          <w:sz w:val="22"/>
        </w:rPr>
        <w:t> </w:t>
      </w:r>
      <w:r>
        <w:rPr>
          <w:sz w:val="22"/>
        </w:rPr>
        <w:t>is prudent and justified.</w:t>
      </w:r>
    </w:p>
    <w:p>
      <w:pPr>
        <w:pStyle w:val="BodyText"/>
        <w:rPr>
          <w:sz w:val="24"/>
        </w:rPr>
      </w:pPr>
    </w:p>
    <w:p>
      <w:pPr>
        <w:pStyle w:val="Heading6"/>
        <w:spacing w:before="142"/>
        <w:ind w:left="232"/>
      </w:pPr>
      <w:r>
        <w:rPr>
          <w:spacing w:val="-5"/>
        </w:rPr>
        <w:t>Gas</w:t>
      </w:r>
    </w:p>
    <w:p>
      <w:pPr>
        <w:pStyle w:val="BodyText"/>
        <w:spacing w:line="288" w:lineRule="auto" w:before="176"/>
        <w:ind w:left="232" w:right="374"/>
      </w:pPr>
      <w:r>
        <w:rPr/>
        <w:t>The </w:t>
      </w:r>
      <w:r>
        <w:rPr>
          <w:i/>
        </w:rPr>
        <w:t>National Gas Law </w:t>
      </w:r>
      <w:r>
        <w:rPr/>
        <w:t>and </w:t>
      </w:r>
      <w:r>
        <w:rPr>
          <w:i/>
        </w:rPr>
        <w:t>National Gas Rules </w:t>
      </w:r>
      <w:r>
        <w:rPr/>
        <w:t>provide the regulatory</w:t>
      </w:r>
      <w:r>
        <w:rPr>
          <w:spacing w:val="-2"/>
        </w:rPr>
        <w:t> </w:t>
      </w:r>
      <w:r>
        <w:rPr/>
        <w:t>framework governing gas networks and set out a “coverage” process, which determines whether a</w:t>
      </w:r>
      <w:r>
        <w:rPr>
          <w:spacing w:val="-1"/>
        </w:rPr>
        <w:t> </w:t>
      </w:r>
      <w:r>
        <w:rPr/>
        <w:t>gas pipeline should be subject to a mandated third party access arrangement and in what form. Pipelines that are “covered”</w:t>
      </w:r>
      <w:r>
        <w:rPr>
          <w:spacing w:val="-3"/>
        </w:rPr>
        <w:t> </w:t>
      </w:r>
      <w:r>
        <w:rPr/>
        <w:t>(regulated)</w:t>
      </w:r>
      <w:r>
        <w:rPr>
          <w:spacing w:val="-3"/>
        </w:rPr>
        <w:t> </w:t>
      </w:r>
      <w:r>
        <w:rPr/>
        <w:t>are</w:t>
      </w:r>
      <w:r>
        <w:rPr>
          <w:spacing w:val="-4"/>
        </w:rPr>
        <w:t> </w:t>
      </w:r>
      <w:r>
        <w:rPr/>
        <w:t>subject</w:t>
      </w:r>
      <w:r>
        <w:rPr>
          <w:spacing w:val="-3"/>
        </w:rPr>
        <w:t> </w:t>
      </w:r>
      <w:r>
        <w:rPr/>
        <w:t>to</w:t>
      </w:r>
      <w:r>
        <w:rPr>
          <w:spacing w:val="-4"/>
        </w:rPr>
        <w:t> </w:t>
      </w:r>
      <w:r>
        <w:rPr/>
        <w:t>set-pricing</w:t>
      </w:r>
      <w:r>
        <w:rPr>
          <w:spacing w:val="-2"/>
        </w:rPr>
        <w:t> </w:t>
      </w:r>
      <w:r>
        <w:rPr/>
        <w:t>regimes,</w:t>
      </w:r>
      <w:r>
        <w:rPr>
          <w:spacing w:val="-3"/>
        </w:rPr>
        <w:t> </w:t>
      </w:r>
      <w:r>
        <w:rPr/>
        <w:t>determined</w:t>
      </w:r>
      <w:r>
        <w:rPr>
          <w:spacing w:val="-2"/>
        </w:rPr>
        <w:t> </w:t>
      </w:r>
      <w:r>
        <w:rPr/>
        <w:t>by</w:t>
      </w:r>
      <w:r>
        <w:rPr>
          <w:spacing w:val="-6"/>
        </w:rPr>
        <w:t> </w:t>
      </w:r>
      <w:r>
        <w:rPr/>
        <w:t>the</w:t>
      </w:r>
      <w:r>
        <w:rPr>
          <w:spacing w:val="-2"/>
        </w:rPr>
        <w:t> </w:t>
      </w:r>
      <w:r>
        <w:rPr/>
        <w:t>AER. Various</w:t>
      </w:r>
      <w:r>
        <w:rPr>
          <w:spacing w:val="-4"/>
        </w:rPr>
        <w:t> </w:t>
      </w:r>
      <w:r>
        <w:rPr/>
        <w:t>tiers</w:t>
      </w:r>
      <w:r>
        <w:rPr>
          <w:spacing w:val="-1"/>
        </w:rPr>
        <w:t> </w:t>
      </w:r>
      <w:r>
        <w:rPr/>
        <w:t>of regulation apply, based on competition and significance criteria.</w:t>
      </w:r>
    </w:p>
    <w:p>
      <w:pPr>
        <w:pStyle w:val="BodyText"/>
        <w:spacing w:before="11"/>
        <w:rPr>
          <w:sz w:val="20"/>
        </w:rPr>
      </w:pPr>
    </w:p>
    <w:p>
      <w:pPr>
        <w:pStyle w:val="BodyText"/>
        <w:spacing w:line="288" w:lineRule="auto"/>
        <w:ind w:left="232" w:right="296"/>
      </w:pPr>
      <w:r>
        <w:rPr>
          <w:b/>
        </w:rPr>
        <w:t>Full regulation </w:t>
      </w:r>
      <w:r>
        <w:rPr/>
        <w:t>requires a pipeline provider to periodically (typically every five years) submit an access arrangement to the AER for approval. An access arrangement sets out the terms and conditions under which third parties can use a pipeline. It sets out the tariffs, and terms and conditions for pipeline users, including charges to retailers for transmission and distribution services. A business can also submit variations to its approved access arrangement. The AER assesses</w:t>
      </w:r>
      <w:r>
        <w:rPr>
          <w:spacing w:val="-4"/>
        </w:rPr>
        <w:t> </w:t>
      </w:r>
      <w:r>
        <w:rPr/>
        <w:t>the</w:t>
      </w:r>
      <w:r>
        <w:rPr>
          <w:spacing w:val="-4"/>
        </w:rPr>
        <w:t> </w:t>
      </w:r>
      <w:r>
        <w:rPr/>
        <w:t>revenues</w:t>
      </w:r>
      <w:r>
        <w:rPr>
          <w:spacing w:val="-1"/>
        </w:rPr>
        <w:t> </w:t>
      </w:r>
      <w:r>
        <w:rPr/>
        <w:t>needed</w:t>
      </w:r>
      <w:r>
        <w:rPr>
          <w:spacing w:val="-2"/>
        </w:rPr>
        <w:t> </w:t>
      </w:r>
      <w:r>
        <w:rPr/>
        <w:t>to</w:t>
      </w:r>
      <w:r>
        <w:rPr>
          <w:spacing w:val="-4"/>
        </w:rPr>
        <w:t> </w:t>
      </w:r>
      <w:r>
        <w:rPr/>
        <w:t>cover</w:t>
      </w:r>
      <w:r>
        <w:rPr>
          <w:spacing w:val="-1"/>
        </w:rPr>
        <w:t> </w:t>
      </w:r>
      <w:r>
        <w:rPr/>
        <w:t>efficient</w:t>
      </w:r>
      <w:r>
        <w:rPr>
          <w:spacing w:val="-3"/>
        </w:rPr>
        <w:t> </w:t>
      </w:r>
      <w:r>
        <w:rPr/>
        <w:t>costs</w:t>
      </w:r>
      <w:r>
        <w:rPr>
          <w:spacing w:val="-1"/>
        </w:rPr>
        <w:t> </w:t>
      </w:r>
      <w:r>
        <w:rPr/>
        <w:t>and</w:t>
      </w:r>
      <w:r>
        <w:rPr>
          <w:spacing w:val="-4"/>
        </w:rPr>
        <w:t> </w:t>
      </w:r>
      <w:r>
        <w:rPr/>
        <w:t>provide</w:t>
      </w:r>
      <w:r>
        <w:rPr>
          <w:spacing w:val="-2"/>
        </w:rPr>
        <w:t> </w:t>
      </w:r>
      <w:r>
        <w:rPr/>
        <w:t>a</w:t>
      </w:r>
      <w:r>
        <w:rPr>
          <w:spacing w:val="-4"/>
        </w:rPr>
        <w:t> </w:t>
      </w:r>
      <w:r>
        <w:rPr/>
        <w:t>commercial</w:t>
      </w:r>
      <w:r>
        <w:rPr>
          <w:spacing w:val="-5"/>
        </w:rPr>
        <w:t> </w:t>
      </w:r>
      <w:r>
        <w:rPr/>
        <w:t>return</w:t>
      </w:r>
      <w:r>
        <w:rPr>
          <w:spacing w:val="-2"/>
        </w:rPr>
        <w:t> </w:t>
      </w:r>
      <w:r>
        <w:rPr/>
        <w:t>on</w:t>
      </w:r>
      <w:r>
        <w:rPr>
          <w:spacing w:val="-4"/>
        </w:rPr>
        <w:t> </w:t>
      </w:r>
      <w:r>
        <w:rPr/>
        <w:t>capital, then derives reference tariffs for the pipeline.</w:t>
      </w:r>
    </w:p>
    <w:p>
      <w:pPr>
        <w:pStyle w:val="BodyText"/>
        <w:spacing w:before="9"/>
        <w:rPr>
          <w:sz w:val="20"/>
        </w:rPr>
      </w:pPr>
    </w:p>
    <w:p>
      <w:pPr>
        <w:pStyle w:val="BodyText"/>
        <w:spacing w:line="288" w:lineRule="auto"/>
        <w:ind w:left="232"/>
      </w:pPr>
      <w:r>
        <w:rPr/>
        <w:t>A more limited access arrangement can be lodged for </w:t>
      </w:r>
      <w:r>
        <w:rPr>
          <w:b/>
        </w:rPr>
        <w:t>light regulation </w:t>
      </w:r>
      <w:r>
        <w:rPr/>
        <w:t>pipelines. Under light regulation,</w:t>
      </w:r>
      <w:r>
        <w:rPr>
          <w:spacing w:val="-4"/>
        </w:rPr>
        <w:t> </w:t>
      </w:r>
      <w:r>
        <w:rPr/>
        <w:t>the</w:t>
      </w:r>
      <w:r>
        <w:rPr>
          <w:spacing w:val="-5"/>
        </w:rPr>
        <w:t> </w:t>
      </w:r>
      <w:r>
        <w:rPr/>
        <w:t>pipeline</w:t>
      </w:r>
      <w:r>
        <w:rPr>
          <w:spacing w:val="-3"/>
        </w:rPr>
        <w:t> </w:t>
      </w:r>
      <w:r>
        <w:rPr/>
        <w:t>provider</w:t>
      </w:r>
      <w:r>
        <w:rPr>
          <w:spacing w:val="-2"/>
        </w:rPr>
        <w:t> </w:t>
      </w:r>
      <w:r>
        <w:rPr/>
        <w:t>determines</w:t>
      </w:r>
      <w:r>
        <w:rPr>
          <w:spacing w:val="-2"/>
        </w:rPr>
        <w:t> </w:t>
      </w:r>
      <w:r>
        <w:rPr/>
        <w:t>its</w:t>
      </w:r>
      <w:r>
        <w:rPr>
          <w:spacing w:val="-2"/>
        </w:rPr>
        <w:t> </w:t>
      </w:r>
      <w:r>
        <w:rPr/>
        <w:t>own</w:t>
      </w:r>
      <w:r>
        <w:rPr>
          <w:spacing w:val="-3"/>
        </w:rPr>
        <w:t> </w:t>
      </w:r>
      <w:r>
        <w:rPr/>
        <w:t>tariffs.</w:t>
      </w:r>
      <w:r>
        <w:rPr>
          <w:spacing w:val="-4"/>
        </w:rPr>
        <w:t> </w:t>
      </w:r>
      <w:r>
        <w:rPr/>
        <w:t>The</w:t>
      </w:r>
      <w:r>
        <w:rPr>
          <w:spacing w:val="-3"/>
        </w:rPr>
        <w:t> </w:t>
      </w:r>
      <w:r>
        <w:rPr/>
        <w:t>AER</w:t>
      </w:r>
      <w:r>
        <w:rPr>
          <w:spacing w:val="-3"/>
        </w:rPr>
        <w:t> </w:t>
      </w:r>
      <w:r>
        <w:rPr/>
        <w:t>decides</w:t>
      </w:r>
      <w:r>
        <w:rPr>
          <w:spacing w:val="-2"/>
        </w:rPr>
        <w:t> </w:t>
      </w:r>
      <w:r>
        <w:rPr/>
        <w:t>whether</w:t>
      </w:r>
      <w:r>
        <w:rPr>
          <w:spacing w:val="-4"/>
        </w:rPr>
        <w:t> </w:t>
      </w:r>
      <w:r>
        <w:rPr/>
        <w:t>to</w:t>
      </w:r>
      <w:r>
        <w:rPr>
          <w:spacing w:val="-3"/>
        </w:rPr>
        <w:t> </w:t>
      </w:r>
      <w:r>
        <w:rPr/>
        <w:t>approve</w:t>
      </w:r>
      <w:r>
        <w:rPr>
          <w:spacing w:val="-3"/>
        </w:rPr>
        <w:t> </w:t>
      </w:r>
      <w:r>
        <w:rPr/>
        <w:t>a proposed access arrangement and may request amendments.</w:t>
      </w:r>
    </w:p>
    <w:p>
      <w:pPr>
        <w:pStyle w:val="BodyText"/>
        <w:rPr>
          <w:sz w:val="21"/>
        </w:rPr>
      </w:pPr>
    </w:p>
    <w:p>
      <w:pPr>
        <w:pStyle w:val="BodyText"/>
        <w:spacing w:line="288" w:lineRule="auto"/>
        <w:ind w:left="232"/>
      </w:pPr>
      <w:r>
        <w:rPr/>
        <w:t>Part 8 of the </w:t>
      </w:r>
      <w:r>
        <w:rPr>
          <w:i/>
        </w:rPr>
        <w:t>National Gas Rules </w:t>
      </w:r>
      <w:r>
        <w:rPr/>
        <w:t>provide that an access arrangement may include one or more incentive mechanisms to further encourage efficiency in the provision of services by the service provider. Under</w:t>
      </w:r>
      <w:r>
        <w:rPr>
          <w:spacing w:val="-3"/>
        </w:rPr>
        <w:t> </w:t>
      </w:r>
      <w:r>
        <w:rPr/>
        <w:t>the</w:t>
      </w:r>
      <w:r>
        <w:rPr>
          <w:spacing w:val="-3"/>
        </w:rPr>
        <w:t> </w:t>
      </w:r>
      <w:r>
        <w:rPr>
          <w:i/>
        </w:rPr>
        <w:t>National</w:t>
      </w:r>
      <w:r>
        <w:rPr>
          <w:i/>
          <w:spacing w:val="-3"/>
        </w:rPr>
        <w:t> </w:t>
      </w:r>
      <w:r>
        <w:rPr>
          <w:i/>
        </w:rPr>
        <w:t>Gas</w:t>
      </w:r>
      <w:r>
        <w:rPr>
          <w:i/>
          <w:spacing w:val="-4"/>
        </w:rPr>
        <w:t> </w:t>
      </w:r>
      <w:r>
        <w:rPr>
          <w:i/>
        </w:rPr>
        <w:t>Rules</w:t>
      </w:r>
      <w:r>
        <w:rPr/>
        <w:t>,</w:t>
      </w:r>
      <w:r>
        <w:rPr>
          <w:spacing w:val="-3"/>
        </w:rPr>
        <w:t> </w:t>
      </w:r>
      <w:r>
        <w:rPr/>
        <w:t>the</w:t>
      </w:r>
      <w:r>
        <w:rPr>
          <w:spacing w:val="-2"/>
        </w:rPr>
        <w:t> </w:t>
      </w:r>
      <w:r>
        <w:rPr/>
        <w:t>AER</w:t>
      </w:r>
      <w:r>
        <w:rPr>
          <w:spacing w:val="-5"/>
        </w:rPr>
        <w:t> </w:t>
      </w:r>
      <w:r>
        <w:rPr/>
        <w:t>has</w:t>
      </w:r>
      <w:r>
        <w:rPr>
          <w:spacing w:val="-4"/>
        </w:rPr>
        <w:t> </w:t>
      </w:r>
      <w:r>
        <w:rPr/>
        <w:t>full</w:t>
      </w:r>
      <w:r>
        <w:rPr>
          <w:spacing w:val="-2"/>
        </w:rPr>
        <w:t> </w:t>
      </w:r>
      <w:r>
        <w:rPr/>
        <w:t>discretion</w:t>
      </w:r>
      <w:r>
        <w:rPr>
          <w:spacing w:val="-1"/>
        </w:rPr>
        <w:t> </w:t>
      </w:r>
      <w:r>
        <w:rPr/>
        <w:t>about</w:t>
      </w:r>
      <w:r>
        <w:rPr>
          <w:spacing w:val="-5"/>
        </w:rPr>
        <w:t> </w:t>
      </w:r>
      <w:r>
        <w:rPr/>
        <w:t>whether</w:t>
      </w:r>
      <w:r>
        <w:rPr>
          <w:spacing w:val="-1"/>
        </w:rPr>
        <w:t> </w:t>
      </w:r>
      <w:r>
        <w:rPr/>
        <w:t>to</w:t>
      </w:r>
      <w:r>
        <w:rPr>
          <w:spacing w:val="-2"/>
        </w:rPr>
        <w:t> </w:t>
      </w:r>
      <w:r>
        <w:rPr/>
        <w:t>approve</w:t>
      </w:r>
      <w:r>
        <w:rPr>
          <w:spacing w:val="-2"/>
        </w:rPr>
        <w:t> </w:t>
      </w:r>
      <w:r>
        <w:rPr/>
        <w:t>the introduction of an incentive mechanism.</w:t>
      </w:r>
    </w:p>
    <w:p>
      <w:pPr>
        <w:pStyle w:val="BodyText"/>
        <w:spacing w:before="10"/>
        <w:rPr>
          <w:sz w:val="20"/>
        </w:rPr>
      </w:pPr>
    </w:p>
    <w:p>
      <w:pPr>
        <w:pStyle w:val="BodyText"/>
        <w:spacing w:line="288" w:lineRule="auto"/>
        <w:ind w:left="232" w:right="286"/>
      </w:pPr>
      <w:r>
        <w:rPr/>
        <w:t>In relation to gas networks, the AER has only approved an operating expenditure incentive mechanism (referred to as the Efficiency Benefit Sharing Scheme) to date (Farrier Swier Consulting, 2016). The Efficiency Benefit Sharing Scheme gives network businesses incentives to spend efficiently and share the benefits with consumers. Among other things, the incentive mechanism provides for carrying over increments for efficiency gains and decrements</w:t>
      </w:r>
      <w:r>
        <w:rPr>
          <w:spacing w:val="-1"/>
        </w:rPr>
        <w:t> </w:t>
      </w:r>
      <w:r>
        <w:rPr/>
        <w:t>for losses of efficiency from one access arrangement period to the next. Changes to existing incentive mechanisms</w:t>
      </w:r>
      <w:r>
        <w:rPr>
          <w:spacing w:val="-4"/>
        </w:rPr>
        <w:t> </w:t>
      </w:r>
      <w:r>
        <w:rPr/>
        <w:t>and</w:t>
      </w:r>
      <w:r>
        <w:rPr>
          <w:spacing w:val="-4"/>
        </w:rPr>
        <w:t> </w:t>
      </w:r>
      <w:r>
        <w:rPr/>
        <w:t>the</w:t>
      </w:r>
      <w:r>
        <w:rPr>
          <w:spacing w:val="-4"/>
        </w:rPr>
        <w:t> </w:t>
      </w:r>
      <w:r>
        <w:rPr/>
        <w:t>potential</w:t>
      </w:r>
      <w:r>
        <w:rPr>
          <w:spacing w:val="-3"/>
        </w:rPr>
        <w:t> </w:t>
      </w:r>
      <w:r>
        <w:rPr/>
        <w:t>introduction</w:t>
      </w:r>
      <w:r>
        <w:rPr>
          <w:spacing w:val="-2"/>
        </w:rPr>
        <w:t> </w:t>
      </w:r>
      <w:r>
        <w:rPr/>
        <w:t>of new</w:t>
      </w:r>
      <w:r>
        <w:rPr>
          <w:spacing w:val="-5"/>
        </w:rPr>
        <w:t> </w:t>
      </w:r>
      <w:r>
        <w:rPr/>
        <w:t>incentive</w:t>
      </w:r>
      <w:r>
        <w:rPr>
          <w:spacing w:val="-2"/>
        </w:rPr>
        <w:t> </w:t>
      </w:r>
      <w:r>
        <w:rPr/>
        <w:t>mechanisms</w:t>
      </w:r>
      <w:r>
        <w:rPr>
          <w:spacing w:val="-4"/>
        </w:rPr>
        <w:t> </w:t>
      </w:r>
      <w:r>
        <w:rPr/>
        <w:t>may</w:t>
      </w:r>
      <w:r>
        <w:rPr>
          <w:spacing w:val="-4"/>
        </w:rPr>
        <w:t> </w:t>
      </w:r>
      <w:r>
        <w:rPr/>
        <w:t>be</w:t>
      </w:r>
      <w:r>
        <w:rPr>
          <w:spacing w:val="-2"/>
        </w:rPr>
        <w:t> </w:t>
      </w:r>
      <w:r>
        <w:rPr/>
        <w:t>considered</w:t>
      </w:r>
      <w:r>
        <w:rPr>
          <w:spacing w:val="-4"/>
        </w:rPr>
        <w:t> </w:t>
      </w:r>
      <w:r>
        <w:rPr/>
        <w:t>by</w:t>
      </w:r>
      <w:r>
        <w:rPr>
          <w:spacing w:val="-4"/>
        </w:rPr>
        <w:t> </w:t>
      </w:r>
      <w:r>
        <w:rPr/>
        <w:t>the AER in the forthcoming regulatory period.</w:t>
      </w:r>
    </w:p>
    <w:p>
      <w:pPr>
        <w:spacing w:after="0" w:line="288" w:lineRule="auto"/>
        <w:sectPr>
          <w:pgSz w:w="11910" w:h="16850"/>
          <w:pgMar w:header="220" w:footer="678" w:top="420" w:bottom="860" w:left="900" w:right="840"/>
        </w:sectPr>
      </w:pPr>
    </w:p>
    <w:p>
      <w:pPr>
        <w:pStyle w:val="BodyText"/>
        <w:rPr>
          <w:sz w:val="20"/>
        </w:rPr>
      </w:pPr>
      <w:r>
        <w:rPr/>
        <mc:AlternateContent>
          <mc:Choice Requires="wps">
            <w:drawing>
              <wp:anchor distT="0" distB="0" distL="0" distR="0" allowOverlap="1" layoutInCell="1" locked="0" behindDoc="1" simplePos="0" relativeHeight="482766848">
                <wp:simplePos x="0" y="0"/>
                <wp:positionH relativeFrom="page">
                  <wp:posOffset>715962</wp:posOffset>
                </wp:positionH>
                <wp:positionV relativeFrom="page">
                  <wp:posOffset>1225867</wp:posOffset>
                </wp:positionV>
                <wp:extent cx="6111240" cy="8590280"/>
                <wp:effectExtent l="0" t="0" r="0" b="0"/>
                <wp:wrapNone/>
                <wp:docPr id="247" name="Group 247"/>
                <wp:cNvGraphicFramePr>
                  <a:graphicFrameLocks/>
                </wp:cNvGraphicFramePr>
                <a:graphic>
                  <a:graphicData uri="http://schemas.microsoft.com/office/word/2010/wordprocessingGroup">
                    <wpg:wgp>
                      <wpg:cNvPr id="247" name="Group 247"/>
                      <wpg:cNvGrpSpPr/>
                      <wpg:grpSpPr>
                        <a:xfrm>
                          <a:off x="0" y="0"/>
                          <a:ext cx="6111240" cy="8590280"/>
                          <a:chExt cx="6111240" cy="8590280"/>
                        </a:xfrm>
                      </wpg:grpSpPr>
                      <wps:wsp>
                        <wps:cNvPr id="248" name="Graphic 248"/>
                        <wps:cNvSpPr/>
                        <wps:spPr>
                          <a:xfrm>
                            <a:off x="4762" y="4762"/>
                            <a:ext cx="6101715" cy="8580755"/>
                          </a:xfrm>
                          <a:custGeom>
                            <a:avLst/>
                            <a:gdLst/>
                            <a:ahLst/>
                            <a:cxnLst/>
                            <a:rect l="l" t="t" r="r" b="b"/>
                            <a:pathLst>
                              <a:path w="6101715" h="8580755">
                                <a:moveTo>
                                  <a:pt x="6101715" y="0"/>
                                </a:moveTo>
                                <a:lnTo>
                                  <a:pt x="0" y="0"/>
                                </a:lnTo>
                                <a:lnTo>
                                  <a:pt x="0" y="8580755"/>
                                </a:lnTo>
                                <a:lnTo>
                                  <a:pt x="6101715" y="8580755"/>
                                </a:lnTo>
                                <a:lnTo>
                                  <a:pt x="6101715" y="0"/>
                                </a:lnTo>
                                <a:close/>
                              </a:path>
                            </a:pathLst>
                          </a:custGeom>
                          <a:solidFill>
                            <a:srgbClr val="CDEBEB"/>
                          </a:solidFill>
                        </wps:spPr>
                        <wps:bodyPr wrap="square" lIns="0" tIns="0" rIns="0" bIns="0" rtlCol="0">
                          <a:prstTxWarp prst="textNoShape">
                            <a:avLst/>
                          </a:prstTxWarp>
                          <a:noAutofit/>
                        </wps:bodyPr>
                      </wps:wsp>
                      <wps:wsp>
                        <wps:cNvPr id="249" name="Graphic 249"/>
                        <wps:cNvSpPr/>
                        <wps:spPr>
                          <a:xfrm>
                            <a:off x="4762" y="4762"/>
                            <a:ext cx="6101715" cy="8580755"/>
                          </a:xfrm>
                          <a:custGeom>
                            <a:avLst/>
                            <a:gdLst/>
                            <a:ahLst/>
                            <a:cxnLst/>
                            <a:rect l="l" t="t" r="r" b="b"/>
                            <a:pathLst>
                              <a:path w="6101715" h="8580755">
                                <a:moveTo>
                                  <a:pt x="0" y="8580755"/>
                                </a:moveTo>
                                <a:lnTo>
                                  <a:pt x="6101715" y="8580755"/>
                                </a:lnTo>
                                <a:lnTo>
                                  <a:pt x="6101715" y="0"/>
                                </a:lnTo>
                                <a:lnTo>
                                  <a:pt x="0" y="0"/>
                                </a:lnTo>
                                <a:lnTo>
                                  <a:pt x="0" y="858075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375pt;margin-top:96.524979pt;width:481.2pt;height:676.4pt;mso-position-horizontal-relative:page;mso-position-vertical-relative:page;z-index:-20549632" id="docshapegroup213" coordorigin="1128,1930" coordsize="9624,13528">
                <v:rect style="position:absolute;left:1135;top:1938;width:9609;height:13513" id="docshape214" filled="true" fillcolor="#cdebeb" stroked="false">
                  <v:fill type="solid"/>
                </v:rect>
                <v:rect style="position:absolute;left:1135;top:1938;width:9609;height:13513" id="docshape215" filled="false" stroked="true" strokeweight=".75pt" strokecolor="#000000">
                  <v:stroke dashstyle="solid"/>
                </v:rect>
                <w10:wrap type="none"/>
              </v:group>
            </w:pict>
          </mc:Fallback>
        </mc:AlternateContent>
      </w:r>
    </w:p>
    <w:p>
      <w:pPr>
        <w:pStyle w:val="BodyText"/>
        <w:spacing w:before="5"/>
        <w:rPr>
          <w:sz w:val="23"/>
        </w:rPr>
      </w:pPr>
    </w:p>
    <w:p>
      <w:pPr>
        <w:pStyle w:val="Heading3"/>
        <w:spacing w:before="87"/>
      </w:pPr>
      <w:r>
        <w:rPr>
          <w:color w:val="00B1A9"/>
        </w:rPr>
        <w:t>Appendix</w:t>
      </w:r>
      <w:r>
        <w:rPr>
          <w:color w:val="00B1A9"/>
          <w:spacing w:val="-9"/>
        </w:rPr>
        <w:t> </w:t>
      </w:r>
      <w:r>
        <w:rPr>
          <w:color w:val="00B1A9"/>
        </w:rPr>
        <w:t>E:</w:t>
      </w:r>
      <w:r>
        <w:rPr>
          <w:color w:val="00B1A9"/>
          <w:spacing w:val="-4"/>
        </w:rPr>
        <w:t> </w:t>
      </w:r>
      <w:r>
        <w:rPr>
          <w:color w:val="00B1A9"/>
        </w:rPr>
        <w:t>Recommendations</w:t>
      </w:r>
      <w:r>
        <w:rPr>
          <w:color w:val="00B1A9"/>
          <w:spacing w:val="-6"/>
        </w:rPr>
        <w:t> </w:t>
      </w:r>
      <w:r>
        <w:rPr>
          <w:color w:val="00B1A9"/>
        </w:rPr>
        <w:t>27-34</w:t>
      </w:r>
      <w:r>
        <w:rPr>
          <w:color w:val="00B1A9"/>
          <w:spacing w:val="-5"/>
        </w:rPr>
        <w:t> </w:t>
      </w:r>
      <w:r>
        <w:rPr>
          <w:color w:val="00B1A9"/>
        </w:rPr>
        <w:t>of</w:t>
      </w:r>
      <w:r>
        <w:rPr>
          <w:color w:val="00B1A9"/>
          <w:spacing w:val="-4"/>
        </w:rPr>
        <w:t> </w:t>
      </w:r>
      <w:r>
        <w:rPr>
          <w:color w:val="00B1A9"/>
        </w:rPr>
        <w:t>the</w:t>
      </w:r>
      <w:r>
        <w:rPr>
          <w:color w:val="00B1A9"/>
          <w:spacing w:val="-4"/>
        </w:rPr>
        <w:t> VBRC</w:t>
      </w:r>
    </w:p>
    <w:p>
      <w:pPr>
        <w:pStyle w:val="BodyText"/>
        <w:rPr>
          <w:b/>
          <w:sz w:val="20"/>
        </w:rPr>
      </w:pPr>
    </w:p>
    <w:p>
      <w:pPr>
        <w:pStyle w:val="BodyText"/>
        <w:rPr>
          <w:b/>
          <w:sz w:val="20"/>
        </w:rPr>
      </w:pPr>
    </w:p>
    <w:p>
      <w:pPr>
        <w:pStyle w:val="BodyText"/>
        <w:spacing w:before="2"/>
        <w:rPr>
          <w:b/>
          <w:sz w:val="18"/>
        </w:rPr>
      </w:pPr>
    </w:p>
    <w:p>
      <w:pPr>
        <w:spacing w:before="0"/>
        <w:ind w:left="386" w:right="0" w:firstLine="0"/>
        <w:jc w:val="left"/>
        <w:rPr>
          <w:b/>
          <w:sz w:val="20"/>
        </w:rPr>
      </w:pPr>
      <w:r>
        <w:rPr>
          <w:b/>
          <w:spacing w:val="-2"/>
          <w:sz w:val="20"/>
        </w:rPr>
        <w:t>Recommendation</w:t>
      </w:r>
      <w:r>
        <w:rPr>
          <w:b/>
          <w:spacing w:val="10"/>
          <w:sz w:val="20"/>
        </w:rPr>
        <w:t> </w:t>
      </w:r>
      <w:r>
        <w:rPr>
          <w:b/>
          <w:spacing w:val="-5"/>
          <w:sz w:val="20"/>
        </w:rPr>
        <w:t>27</w:t>
      </w:r>
    </w:p>
    <w:p>
      <w:pPr>
        <w:spacing w:line="290" w:lineRule="auto" w:before="120"/>
        <w:ind w:left="386" w:right="525" w:firstLine="0"/>
        <w:jc w:val="left"/>
        <w:rPr>
          <w:sz w:val="18"/>
        </w:rPr>
      </w:pPr>
      <w:r>
        <w:rPr>
          <w:sz w:val="18"/>
        </w:rPr>
        <w:t>The</w:t>
      </w:r>
      <w:r>
        <w:rPr>
          <w:spacing w:val="-2"/>
          <w:sz w:val="18"/>
        </w:rPr>
        <w:t> </w:t>
      </w:r>
      <w:r>
        <w:rPr>
          <w:sz w:val="18"/>
        </w:rPr>
        <w:t>State</w:t>
      </w:r>
      <w:r>
        <w:rPr>
          <w:spacing w:val="-2"/>
          <w:sz w:val="18"/>
        </w:rPr>
        <w:t> </w:t>
      </w:r>
      <w:r>
        <w:rPr>
          <w:sz w:val="18"/>
        </w:rPr>
        <w:t>amend</w:t>
      </w:r>
      <w:r>
        <w:rPr>
          <w:spacing w:val="-2"/>
          <w:sz w:val="18"/>
        </w:rPr>
        <w:t> </w:t>
      </w:r>
      <w:r>
        <w:rPr>
          <w:sz w:val="18"/>
        </w:rPr>
        <w:t>the</w:t>
      </w:r>
      <w:r>
        <w:rPr>
          <w:spacing w:val="-4"/>
          <w:sz w:val="18"/>
        </w:rPr>
        <w:t> </w:t>
      </w:r>
      <w:r>
        <w:rPr>
          <w:sz w:val="18"/>
        </w:rPr>
        <w:t>Regulations</w:t>
      </w:r>
      <w:r>
        <w:rPr>
          <w:spacing w:val="-3"/>
          <w:sz w:val="18"/>
        </w:rPr>
        <w:t> </w:t>
      </w:r>
      <w:r>
        <w:rPr>
          <w:sz w:val="18"/>
        </w:rPr>
        <w:t>under</w:t>
      </w:r>
      <w:r>
        <w:rPr>
          <w:spacing w:val="-5"/>
          <w:sz w:val="18"/>
        </w:rPr>
        <w:t> </w:t>
      </w:r>
      <w:r>
        <w:rPr>
          <w:sz w:val="18"/>
        </w:rPr>
        <w:t>Victoria’s </w:t>
      </w:r>
      <w:r>
        <w:rPr>
          <w:i/>
          <w:sz w:val="18"/>
        </w:rPr>
        <w:t>Electricity</w:t>
      </w:r>
      <w:r>
        <w:rPr>
          <w:i/>
          <w:spacing w:val="-3"/>
          <w:sz w:val="18"/>
        </w:rPr>
        <w:t> </w:t>
      </w:r>
      <w:r>
        <w:rPr>
          <w:i/>
          <w:sz w:val="18"/>
        </w:rPr>
        <w:t>Safety</w:t>
      </w:r>
      <w:r>
        <w:rPr>
          <w:i/>
          <w:spacing w:val="-3"/>
          <w:sz w:val="18"/>
        </w:rPr>
        <w:t> </w:t>
      </w:r>
      <w:r>
        <w:rPr>
          <w:i/>
          <w:sz w:val="18"/>
        </w:rPr>
        <w:t>Act</w:t>
      </w:r>
      <w:r>
        <w:rPr>
          <w:i/>
          <w:spacing w:val="-4"/>
          <w:sz w:val="18"/>
        </w:rPr>
        <w:t> </w:t>
      </w:r>
      <w:r>
        <w:rPr>
          <w:i/>
          <w:sz w:val="18"/>
        </w:rPr>
        <w:t>1998</w:t>
      </w:r>
      <w:r>
        <w:rPr>
          <w:i/>
          <w:spacing w:val="-2"/>
          <w:sz w:val="18"/>
        </w:rPr>
        <w:t> </w:t>
      </w:r>
      <w:r>
        <w:rPr>
          <w:sz w:val="18"/>
        </w:rPr>
        <w:t>and</w:t>
      </w:r>
      <w:r>
        <w:rPr>
          <w:spacing w:val="-4"/>
          <w:sz w:val="18"/>
        </w:rPr>
        <w:t> </w:t>
      </w:r>
      <w:r>
        <w:rPr>
          <w:sz w:val="18"/>
        </w:rPr>
        <w:t>otherwise</w:t>
      </w:r>
      <w:r>
        <w:rPr>
          <w:spacing w:val="-4"/>
          <w:sz w:val="18"/>
        </w:rPr>
        <w:t> </w:t>
      </w:r>
      <w:r>
        <w:rPr>
          <w:sz w:val="18"/>
        </w:rPr>
        <w:t>take</w:t>
      </w:r>
      <w:r>
        <w:rPr>
          <w:spacing w:val="-4"/>
          <w:sz w:val="18"/>
        </w:rPr>
        <w:t> </w:t>
      </w:r>
      <w:r>
        <w:rPr>
          <w:sz w:val="18"/>
        </w:rPr>
        <w:t>such</w:t>
      </w:r>
      <w:r>
        <w:rPr>
          <w:spacing w:val="-4"/>
          <w:sz w:val="18"/>
        </w:rPr>
        <w:t> </w:t>
      </w:r>
      <w:r>
        <w:rPr>
          <w:sz w:val="18"/>
        </w:rPr>
        <w:t>steps</w:t>
      </w:r>
      <w:r>
        <w:rPr>
          <w:spacing w:val="-1"/>
          <w:sz w:val="18"/>
        </w:rPr>
        <w:t> </w:t>
      </w:r>
      <w:r>
        <w:rPr>
          <w:sz w:val="18"/>
        </w:rPr>
        <w:t>as</w:t>
      </w:r>
      <w:r>
        <w:rPr>
          <w:spacing w:val="-3"/>
          <w:sz w:val="18"/>
        </w:rPr>
        <w:t> </w:t>
      </w:r>
      <w:r>
        <w:rPr>
          <w:sz w:val="18"/>
        </w:rPr>
        <w:t>may be required to give effect to the following:</w:t>
      </w:r>
    </w:p>
    <w:p>
      <w:pPr>
        <w:pStyle w:val="ListParagraph"/>
        <w:numPr>
          <w:ilvl w:val="0"/>
          <w:numId w:val="95"/>
        </w:numPr>
        <w:tabs>
          <w:tab w:pos="814" w:val="left" w:leader="none"/>
        </w:tabs>
        <w:spacing w:line="276" w:lineRule="auto" w:before="116" w:after="0"/>
        <w:ind w:left="814" w:right="533" w:hanging="286"/>
        <w:jc w:val="left"/>
        <w:rPr>
          <w:sz w:val="18"/>
        </w:rPr>
      </w:pPr>
      <w:r>
        <w:rPr>
          <w:sz w:val="18"/>
        </w:rPr>
        <w:t>the progressive replacement of all SWER (single-wire earth return) power lines in Victoria with aerial bundled cable, underground cabling or other technology that delivers greatly reduced bushfire risk. The replacement program</w:t>
      </w:r>
      <w:r>
        <w:rPr>
          <w:spacing w:val="-2"/>
          <w:sz w:val="18"/>
        </w:rPr>
        <w:t> </w:t>
      </w:r>
      <w:r>
        <w:rPr>
          <w:sz w:val="18"/>
        </w:rPr>
        <w:t>should</w:t>
      </w:r>
      <w:r>
        <w:rPr>
          <w:spacing w:val="-3"/>
          <w:sz w:val="18"/>
        </w:rPr>
        <w:t> </w:t>
      </w:r>
      <w:r>
        <w:rPr>
          <w:sz w:val="18"/>
        </w:rPr>
        <w:t>be</w:t>
      </w:r>
      <w:r>
        <w:rPr>
          <w:spacing w:val="-3"/>
          <w:sz w:val="18"/>
        </w:rPr>
        <w:t> </w:t>
      </w:r>
      <w:r>
        <w:rPr>
          <w:sz w:val="18"/>
        </w:rPr>
        <w:t>completed</w:t>
      </w:r>
      <w:r>
        <w:rPr>
          <w:spacing w:val="-4"/>
          <w:sz w:val="18"/>
        </w:rPr>
        <w:t> </w:t>
      </w:r>
      <w:r>
        <w:rPr>
          <w:sz w:val="18"/>
        </w:rPr>
        <w:t>in</w:t>
      </w:r>
      <w:r>
        <w:rPr>
          <w:spacing w:val="-3"/>
          <w:sz w:val="18"/>
        </w:rPr>
        <w:t> </w:t>
      </w:r>
      <w:r>
        <w:rPr>
          <w:sz w:val="18"/>
        </w:rPr>
        <w:t>the</w:t>
      </w:r>
      <w:r>
        <w:rPr>
          <w:spacing w:val="-3"/>
          <w:sz w:val="18"/>
        </w:rPr>
        <w:t> </w:t>
      </w:r>
      <w:r>
        <w:rPr>
          <w:sz w:val="18"/>
        </w:rPr>
        <w:t>areas</w:t>
      </w:r>
      <w:r>
        <w:rPr>
          <w:spacing w:val="-2"/>
          <w:sz w:val="18"/>
        </w:rPr>
        <w:t> </w:t>
      </w:r>
      <w:r>
        <w:rPr>
          <w:sz w:val="18"/>
        </w:rPr>
        <w:t>of</w:t>
      </w:r>
      <w:r>
        <w:rPr>
          <w:spacing w:val="-3"/>
          <w:sz w:val="18"/>
        </w:rPr>
        <w:t> </w:t>
      </w:r>
      <w:r>
        <w:rPr>
          <w:sz w:val="18"/>
        </w:rPr>
        <w:t>highest</w:t>
      </w:r>
      <w:r>
        <w:rPr>
          <w:spacing w:val="-3"/>
          <w:sz w:val="18"/>
        </w:rPr>
        <w:t> </w:t>
      </w:r>
      <w:r>
        <w:rPr>
          <w:sz w:val="18"/>
        </w:rPr>
        <w:t>bushfire</w:t>
      </w:r>
      <w:r>
        <w:rPr>
          <w:spacing w:val="-3"/>
          <w:sz w:val="18"/>
        </w:rPr>
        <w:t> </w:t>
      </w:r>
      <w:r>
        <w:rPr>
          <w:sz w:val="18"/>
        </w:rPr>
        <w:t>risk</w:t>
      </w:r>
      <w:r>
        <w:rPr>
          <w:spacing w:val="-2"/>
          <w:sz w:val="18"/>
        </w:rPr>
        <w:t> </w:t>
      </w:r>
      <w:r>
        <w:rPr>
          <w:sz w:val="18"/>
        </w:rPr>
        <w:t>within</w:t>
      </w:r>
      <w:r>
        <w:rPr>
          <w:spacing w:val="-4"/>
          <w:sz w:val="18"/>
        </w:rPr>
        <w:t> </w:t>
      </w:r>
      <w:r>
        <w:rPr>
          <w:sz w:val="18"/>
        </w:rPr>
        <w:t>10</w:t>
      </w:r>
      <w:r>
        <w:rPr>
          <w:spacing w:val="-3"/>
          <w:sz w:val="18"/>
        </w:rPr>
        <w:t> </w:t>
      </w:r>
      <w:r>
        <w:rPr>
          <w:sz w:val="18"/>
        </w:rPr>
        <w:t>years</w:t>
      </w:r>
      <w:r>
        <w:rPr>
          <w:spacing w:val="-2"/>
          <w:sz w:val="18"/>
        </w:rPr>
        <w:t> </w:t>
      </w:r>
      <w:r>
        <w:rPr>
          <w:sz w:val="18"/>
        </w:rPr>
        <w:t>and</w:t>
      </w:r>
      <w:r>
        <w:rPr>
          <w:spacing w:val="-3"/>
          <w:sz w:val="18"/>
        </w:rPr>
        <w:t> </w:t>
      </w:r>
      <w:r>
        <w:rPr>
          <w:sz w:val="18"/>
        </w:rPr>
        <w:t>should</w:t>
      </w:r>
      <w:r>
        <w:rPr>
          <w:spacing w:val="-4"/>
          <w:sz w:val="18"/>
        </w:rPr>
        <w:t> </w:t>
      </w:r>
      <w:r>
        <w:rPr>
          <w:sz w:val="18"/>
        </w:rPr>
        <w:t>continue</w:t>
      </w:r>
      <w:r>
        <w:rPr>
          <w:spacing w:val="-4"/>
          <w:sz w:val="18"/>
        </w:rPr>
        <w:t> </w:t>
      </w:r>
      <w:r>
        <w:rPr>
          <w:sz w:val="18"/>
        </w:rPr>
        <w:t>in</w:t>
      </w:r>
      <w:r>
        <w:rPr>
          <w:spacing w:val="-4"/>
          <w:sz w:val="18"/>
        </w:rPr>
        <w:t> </w:t>
      </w:r>
      <w:r>
        <w:rPr>
          <w:sz w:val="18"/>
        </w:rPr>
        <w:t>areas of lower bushfire risk as the lines reach the end of their engineering lives.</w:t>
      </w:r>
    </w:p>
    <w:p>
      <w:pPr>
        <w:pStyle w:val="ListParagraph"/>
        <w:numPr>
          <w:ilvl w:val="0"/>
          <w:numId w:val="95"/>
        </w:numPr>
        <w:tabs>
          <w:tab w:pos="814" w:val="left" w:leader="none"/>
        </w:tabs>
        <w:spacing w:line="276" w:lineRule="auto" w:before="121" w:after="0"/>
        <w:ind w:left="814" w:right="923" w:hanging="286"/>
        <w:jc w:val="left"/>
        <w:rPr>
          <w:sz w:val="18"/>
        </w:rPr>
      </w:pPr>
      <w:r>
        <w:rPr>
          <w:sz w:val="18"/>
        </w:rPr>
        <w:t>the progressive replacement of all 22-kilovolt distribution feeders with aerial bundled cable, underground cabling</w:t>
      </w:r>
      <w:r>
        <w:rPr>
          <w:spacing w:val="-4"/>
          <w:sz w:val="18"/>
        </w:rPr>
        <w:t> </w:t>
      </w:r>
      <w:r>
        <w:rPr>
          <w:sz w:val="18"/>
        </w:rPr>
        <w:t>or</w:t>
      </w:r>
      <w:r>
        <w:rPr>
          <w:spacing w:val="-2"/>
          <w:sz w:val="18"/>
        </w:rPr>
        <w:t> </w:t>
      </w:r>
      <w:r>
        <w:rPr>
          <w:sz w:val="18"/>
        </w:rPr>
        <w:t>other</w:t>
      </w:r>
      <w:r>
        <w:rPr>
          <w:spacing w:val="-2"/>
          <w:sz w:val="18"/>
        </w:rPr>
        <w:t> </w:t>
      </w:r>
      <w:r>
        <w:rPr>
          <w:sz w:val="18"/>
        </w:rPr>
        <w:t>technology</w:t>
      </w:r>
      <w:r>
        <w:rPr>
          <w:spacing w:val="-4"/>
          <w:sz w:val="18"/>
        </w:rPr>
        <w:t> </w:t>
      </w:r>
      <w:r>
        <w:rPr>
          <w:sz w:val="18"/>
        </w:rPr>
        <w:t>that</w:t>
      </w:r>
      <w:r>
        <w:rPr>
          <w:spacing w:val="-2"/>
          <w:sz w:val="18"/>
        </w:rPr>
        <w:t> </w:t>
      </w:r>
      <w:r>
        <w:rPr>
          <w:sz w:val="18"/>
        </w:rPr>
        <w:t>delivers</w:t>
      </w:r>
      <w:r>
        <w:rPr>
          <w:spacing w:val="-3"/>
          <w:sz w:val="18"/>
        </w:rPr>
        <w:t> </w:t>
      </w:r>
      <w:r>
        <w:rPr>
          <w:sz w:val="18"/>
        </w:rPr>
        <w:t>greatly</w:t>
      </w:r>
      <w:r>
        <w:rPr>
          <w:spacing w:val="-4"/>
          <w:sz w:val="18"/>
        </w:rPr>
        <w:t> </w:t>
      </w:r>
      <w:r>
        <w:rPr>
          <w:sz w:val="18"/>
        </w:rPr>
        <w:t>reduced</w:t>
      </w:r>
      <w:r>
        <w:rPr>
          <w:spacing w:val="-4"/>
          <w:sz w:val="18"/>
        </w:rPr>
        <w:t> </w:t>
      </w:r>
      <w:r>
        <w:rPr>
          <w:sz w:val="18"/>
        </w:rPr>
        <w:t>bushfire</w:t>
      </w:r>
      <w:r>
        <w:rPr>
          <w:spacing w:val="-2"/>
          <w:sz w:val="18"/>
        </w:rPr>
        <w:t> </w:t>
      </w:r>
      <w:r>
        <w:rPr>
          <w:sz w:val="18"/>
        </w:rPr>
        <w:t>risk</w:t>
      </w:r>
      <w:r>
        <w:rPr>
          <w:spacing w:val="-1"/>
          <w:sz w:val="18"/>
        </w:rPr>
        <w:t> </w:t>
      </w:r>
      <w:r>
        <w:rPr>
          <w:sz w:val="18"/>
        </w:rPr>
        <w:t>as</w:t>
      </w:r>
      <w:r>
        <w:rPr>
          <w:spacing w:val="-1"/>
          <w:sz w:val="18"/>
        </w:rPr>
        <w:t> </w:t>
      </w:r>
      <w:r>
        <w:rPr>
          <w:sz w:val="18"/>
        </w:rPr>
        <w:t>the</w:t>
      </w:r>
      <w:r>
        <w:rPr>
          <w:spacing w:val="-4"/>
          <w:sz w:val="18"/>
        </w:rPr>
        <w:t> </w:t>
      </w:r>
      <w:r>
        <w:rPr>
          <w:sz w:val="18"/>
        </w:rPr>
        <w:t>feeders</w:t>
      </w:r>
      <w:r>
        <w:rPr>
          <w:spacing w:val="-4"/>
          <w:sz w:val="18"/>
        </w:rPr>
        <w:t> </w:t>
      </w:r>
      <w:r>
        <w:rPr>
          <w:sz w:val="18"/>
        </w:rPr>
        <w:t>reach</w:t>
      </w:r>
      <w:r>
        <w:rPr>
          <w:spacing w:val="-4"/>
          <w:sz w:val="18"/>
        </w:rPr>
        <w:t> </w:t>
      </w:r>
      <w:r>
        <w:rPr>
          <w:sz w:val="18"/>
        </w:rPr>
        <w:t>the</w:t>
      </w:r>
      <w:r>
        <w:rPr>
          <w:spacing w:val="-2"/>
          <w:sz w:val="18"/>
        </w:rPr>
        <w:t> </w:t>
      </w:r>
      <w:r>
        <w:rPr>
          <w:sz w:val="18"/>
        </w:rPr>
        <w:t>end</w:t>
      </w:r>
      <w:r>
        <w:rPr>
          <w:spacing w:val="-2"/>
          <w:sz w:val="18"/>
        </w:rPr>
        <w:t> </w:t>
      </w:r>
      <w:r>
        <w:rPr>
          <w:sz w:val="18"/>
        </w:rPr>
        <w:t>of</w:t>
      </w:r>
      <w:r>
        <w:rPr>
          <w:spacing w:val="-4"/>
          <w:sz w:val="18"/>
        </w:rPr>
        <w:t> </w:t>
      </w:r>
      <w:r>
        <w:rPr>
          <w:sz w:val="18"/>
        </w:rPr>
        <w:t>their engineering lives. Priority should be given to distribution feeders in the areas of highest bushfire risk.</w:t>
      </w:r>
    </w:p>
    <w:p>
      <w:pPr>
        <w:pStyle w:val="BodyText"/>
        <w:spacing w:before="7"/>
        <w:rPr>
          <w:sz w:val="21"/>
        </w:rPr>
      </w:pPr>
    </w:p>
    <w:p>
      <w:pPr>
        <w:spacing w:before="0"/>
        <w:ind w:left="386" w:right="0" w:firstLine="0"/>
        <w:jc w:val="both"/>
        <w:rPr>
          <w:b/>
          <w:sz w:val="20"/>
        </w:rPr>
      </w:pPr>
      <w:r>
        <w:rPr>
          <w:b/>
          <w:spacing w:val="-2"/>
          <w:sz w:val="20"/>
        </w:rPr>
        <w:t>Recommendation</w:t>
      </w:r>
      <w:r>
        <w:rPr>
          <w:b/>
          <w:spacing w:val="11"/>
          <w:sz w:val="20"/>
        </w:rPr>
        <w:t> </w:t>
      </w:r>
      <w:r>
        <w:rPr>
          <w:b/>
          <w:spacing w:val="-5"/>
          <w:sz w:val="20"/>
        </w:rPr>
        <w:t>28</w:t>
      </w:r>
    </w:p>
    <w:p>
      <w:pPr>
        <w:spacing w:line="288" w:lineRule="auto" w:before="121"/>
        <w:ind w:left="386" w:right="604" w:firstLine="0"/>
        <w:jc w:val="both"/>
        <w:rPr>
          <w:sz w:val="18"/>
        </w:rPr>
      </w:pPr>
      <w:r>
        <w:rPr>
          <w:sz w:val="18"/>
        </w:rPr>
        <w:t>The</w:t>
      </w:r>
      <w:r>
        <w:rPr>
          <w:spacing w:val="-1"/>
          <w:sz w:val="18"/>
        </w:rPr>
        <w:t> </w:t>
      </w:r>
      <w:r>
        <w:rPr>
          <w:sz w:val="18"/>
        </w:rPr>
        <w:t>State</w:t>
      </w:r>
      <w:r>
        <w:rPr>
          <w:spacing w:val="-1"/>
          <w:sz w:val="18"/>
        </w:rPr>
        <w:t> </w:t>
      </w:r>
      <w:r>
        <w:rPr>
          <w:sz w:val="18"/>
        </w:rPr>
        <w:t>(through</w:t>
      </w:r>
      <w:r>
        <w:rPr>
          <w:spacing w:val="-1"/>
          <w:sz w:val="18"/>
        </w:rPr>
        <w:t> </w:t>
      </w:r>
      <w:r>
        <w:rPr>
          <w:sz w:val="18"/>
        </w:rPr>
        <w:t>Energy</w:t>
      </w:r>
      <w:r>
        <w:rPr>
          <w:spacing w:val="-3"/>
          <w:sz w:val="18"/>
        </w:rPr>
        <w:t> </w:t>
      </w:r>
      <w:r>
        <w:rPr>
          <w:sz w:val="18"/>
        </w:rPr>
        <w:t>Safe</w:t>
      </w:r>
      <w:r>
        <w:rPr>
          <w:spacing w:val="-1"/>
          <w:sz w:val="18"/>
        </w:rPr>
        <w:t> </w:t>
      </w:r>
      <w:r>
        <w:rPr>
          <w:sz w:val="18"/>
        </w:rPr>
        <w:t>Victoria)</w:t>
      </w:r>
      <w:r>
        <w:rPr>
          <w:spacing w:val="-4"/>
          <w:sz w:val="18"/>
        </w:rPr>
        <w:t> </w:t>
      </w:r>
      <w:r>
        <w:rPr>
          <w:sz w:val="18"/>
        </w:rPr>
        <w:t>require</w:t>
      </w:r>
      <w:r>
        <w:rPr>
          <w:spacing w:val="-1"/>
          <w:sz w:val="18"/>
        </w:rPr>
        <w:t> </w:t>
      </w:r>
      <w:r>
        <w:rPr>
          <w:sz w:val="18"/>
        </w:rPr>
        <w:t>distribution</w:t>
      </w:r>
      <w:r>
        <w:rPr>
          <w:spacing w:val="-5"/>
          <w:sz w:val="18"/>
        </w:rPr>
        <w:t> </w:t>
      </w:r>
      <w:r>
        <w:rPr>
          <w:sz w:val="18"/>
        </w:rPr>
        <w:t>businesses to</w:t>
      </w:r>
      <w:r>
        <w:rPr>
          <w:spacing w:val="-3"/>
          <w:sz w:val="18"/>
        </w:rPr>
        <w:t> </w:t>
      </w:r>
      <w:r>
        <w:rPr>
          <w:sz w:val="18"/>
        </w:rPr>
        <w:t>change</w:t>
      </w:r>
      <w:r>
        <w:rPr>
          <w:spacing w:val="-3"/>
          <w:sz w:val="18"/>
        </w:rPr>
        <w:t> </w:t>
      </w:r>
      <w:r>
        <w:rPr>
          <w:sz w:val="18"/>
        </w:rPr>
        <w:t>their</w:t>
      </w:r>
      <w:r>
        <w:rPr>
          <w:spacing w:val="-1"/>
          <w:sz w:val="18"/>
        </w:rPr>
        <w:t> </w:t>
      </w:r>
      <w:r>
        <w:rPr>
          <w:sz w:val="18"/>
        </w:rPr>
        <w:t>asset</w:t>
      </w:r>
      <w:r>
        <w:rPr>
          <w:spacing w:val="-1"/>
          <w:sz w:val="18"/>
        </w:rPr>
        <w:t> </w:t>
      </w:r>
      <w:r>
        <w:rPr>
          <w:sz w:val="18"/>
        </w:rPr>
        <w:t>inspection</w:t>
      </w:r>
      <w:r>
        <w:rPr>
          <w:spacing w:val="-3"/>
          <w:sz w:val="18"/>
        </w:rPr>
        <w:t> </w:t>
      </w:r>
      <w:r>
        <w:rPr>
          <w:sz w:val="18"/>
        </w:rPr>
        <w:t>standards and</w:t>
      </w:r>
      <w:r>
        <w:rPr>
          <w:spacing w:val="-1"/>
          <w:sz w:val="18"/>
        </w:rPr>
        <w:t> </w:t>
      </w:r>
      <w:r>
        <w:rPr>
          <w:sz w:val="18"/>
        </w:rPr>
        <w:t>procedures to</w:t>
      </w:r>
      <w:r>
        <w:rPr>
          <w:spacing w:val="-3"/>
          <w:sz w:val="18"/>
        </w:rPr>
        <w:t> </w:t>
      </w:r>
      <w:r>
        <w:rPr>
          <w:sz w:val="18"/>
        </w:rPr>
        <w:t>require</w:t>
      </w:r>
      <w:r>
        <w:rPr>
          <w:spacing w:val="-1"/>
          <w:sz w:val="18"/>
        </w:rPr>
        <w:t> </w:t>
      </w:r>
      <w:r>
        <w:rPr>
          <w:sz w:val="18"/>
        </w:rPr>
        <w:t>that</w:t>
      </w:r>
      <w:r>
        <w:rPr>
          <w:spacing w:val="-3"/>
          <w:sz w:val="18"/>
        </w:rPr>
        <w:t> </w:t>
      </w:r>
      <w:r>
        <w:rPr>
          <w:sz w:val="18"/>
        </w:rPr>
        <w:t>all</w:t>
      </w:r>
      <w:r>
        <w:rPr>
          <w:spacing w:val="-1"/>
          <w:sz w:val="18"/>
        </w:rPr>
        <w:t> </w:t>
      </w:r>
      <w:r>
        <w:rPr>
          <w:sz w:val="18"/>
        </w:rPr>
        <w:t>SWER</w:t>
      </w:r>
      <w:r>
        <w:rPr>
          <w:spacing w:val="-4"/>
          <w:sz w:val="18"/>
        </w:rPr>
        <w:t> </w:t>
      </w:r>
      <w:r>
        <w:rPr>
          <w:sz w:val="18"/>
        </w:rPr>
        <w:t>lines</w:t>
      </w:r>
      <w:r>
        <w:rPr>
          <w:spacing w:val="-2"/>
          <w:sz w:val="18"/>
        </w:rPr>
        <w:t> </w:t>
      </w:r>
      <w:r>
        <w:rPr>
          <w:sz w:val="18"/>
        </w:rPr>
        <w:t>and</w:t>
      </w:r>
      <w:r>
        <w:rPr>
          <w:spacing w:val="-3"/>
          <w:sz w:val="18"/>
        </w:rPr>
        <w:t> </w:t>
      </w:r>
      <w:r>
        <w:rPr>
          <w:sz w:val="18"/>
        </w:rPr>
        <w:t>all</w:t>
      </w:r>
      <w:r>
        <w:rPr>
          <w:spacing w:val="-3"/>
          <w:sz w:val="18"/>
        </w:rPr>
        <w:t> </w:t>
      </w:r>
      <w:r>
        <w:rPr>
          <w:sz w:val="18"/>
        </w:rPr>
        <w:t>22-kilovolt</w:t>
      </w:r>
      <w:r>
        <w:rPr>
          <w:spacing w:val="-2"/>
          <w:sz w:val="18"/>
        </w:rPr>
        <w:t> </w:t>
      </w:r>
      <w:r>
        <w:rPr>
          <w:sz w:val="18"/>
        </w:rPr>
        <w:t>feeders</w:t>
      </w:r>
      <w:r>
        <w:rPr>
          <w:spacing w:val="-3"/>
          <w:sz w:val="18"/>
        </w:rPr>
        <w:t> </w:t>
      </w:r>
      <w:r>
        <w:rPr>
          <w:sz w:val="18"/>
        </w:rPr>
        <w:t>in</w:t>
      </w:r>
      <w:r>
        <w:rPr>
          <w:spacing w:val="-2"/>
          <w:sz w:val="18"/>
        </w:rPr>
        <w:t> </w:t>
      </w:r>
      <w:r>
        <w:rPr>
          <w:sz w:val="18"/>
        </w:rPr>
        <w:t>areas</w:t>
      </w:r>
      <w:r>
        <w:rPr>
          <w:spacing w:val="-1"/>
          <w:sz w:val="18"/>
        </w:rPr>
        <w:t> </w:t>
      </w:r>
      <w:r>
        <w:rPr>
          <w:sz w:val="18"/>
        </w:rPr>
        <w:t>of</w:t>
      </w:r>
      <w:r>
        <w:rPr>
          <w:spacing w:val="-4"/>
          <w:sz w:val="18"/>
        </w:rPr>
        <w:t> </w:t>
      </w:r>
      <w:r>
        <w:rPr>
          <w:sz w:val="18"/>
        </w:rPr>
        <w:t>high</w:t>
      </w:r>
      <w:r>
        <w:rPr>
          <w:spacing w:val="-2"/>
          <w:sz w:val="18"/>
        </w:rPr>
        <w:t> </w:t>
      </w:r>
      <w:r>
        <w:rPr>
          <w:sz w:val="18"/>
        </w:rPr>
        <w:t>bushfire</w:t>
      </w:r>
      <w:r>
        <w:rPr>
          <w:spacing w:val="-2"/>
          <w:sz w:val="18"/>
        </w:rPr>
        <w:t> </w:t>
      </w:r>
      <w:r>
        <w:rPr>
          <w:sz w:val="18"/>
        </w:rPr>
        <w:t>risk</w:t>
      </w:r>
      <w:r>
        <w:rPr>
          <w:spacing w:val="-4"/>
          <w:sz w:val="18"/>
        </w:rPr>
        <w:t> </w:t>
      </w:r>
      <w:r>
        <w:rPr>
          <w:sz w:val="18"/>
        </w:rPr>
        <w:t>are</w:t>
      </w:r>
      <w:r>
        <w:rPr>
          <w:spacing w:val="-4"/>
          <w:sz w:val="18"/>
        </w:rPr>
        <w:t> </w:t>
      </w:r>
      <w:r>
        <w:rPr>
          <w:sz w:val="18"/>
        </w:rPr>
        <w:t>inspected at least every three years.</w:t>
      </w:r>
    </w:p>
    <w:p>
      <w:pPr>
        <w:pStyle w:val="BodyText"/>
        <w:spacing w:before="9"/>
        <w:rPr>
          <w:sz w:val="21"/>
        </w:rPr>
      </w:pPr>
    </w:p>
    <w:p>
      <w:pPr>
        <w:spacing w:before="1"/>
        <w:ind w:left="386" w:right="0" w:firstLine="0"/>
        <w:jc w:val="left"/>
        <w:rPr>
          <w:b/>
          <w:sz w:val="20"/>
        </w:rPr>
      </w:pPr>
      <w:r>
        <w:rPr>
          <w:b/>
          <w:spacing w:val="-2"/>
          <w:sz w:val="20"/>
        </w:rPr>
        <w:t>Recommendation</w:t>
      </w:r>
      <w:r>
        <w:rPr>
          <w:b/>
          <w:spacing w:val="11"/>
          <w:sz w:val="20"/>
        </w:rPr>
        <w:t> </w:t>
      </w:r>
      <w:r>
        <w:rPr>
          <w:b/>
          <w:spacing w:val="-5"/>
          <w:sz w:val="20"/>
        </w:rPr>
        <w:t>29</w:t>
      </w:r>
    </w:p>
    <w:p>
      <w:pPr>
        <w:spacing w:line="288" w:lineRule="auto" w:before="120"/>
        <w:ind w:left="386" w:right="374" w:firstLine="0"/>
        <w:jc w:val="left"/>
        <w:rPr>
          <w:sz w:val="18"/>
        </w:rPr>
      </w:pPr>
      <w:r>
        <w:rPr>
          <w:sz w:val="18"/>
        </w:rPr>
        <w:t>The</w:t>
      </w:r>
      <w:r>
        <w:rPr>
          <w:spacing w:val="-2"/>
          <w:sz w:val="18"/>
        </w:rPr>
        <w:t> </w:t>
      </w:r>
      <w:r>
        <w:rPr>
          <w:sz w:val="18"/>
        </w:rPr>
        <w:t>State</w:t>
      </w:r>
      <w:r>
        <w:rPr>
          <w:spacing w:val="-2"/>
          <w:sz w:val="18"/>
        </w:rPr>
        <w:t> </w:t>
      </w:r>
      <w:r>
        <w:rPr>
          <w:sz w:val="18"/>
        </w:rPr>
        <w:t>(through</w:t>
      </w:r>
      <w:r>
        <w:rPr>
          <w:spacing w:val="-2"/>
          <w:sz w:val="18"/>
        </w:rPr>
        <w:t> </w:t>
      </w:r>
      <w:r>
        <w:rPr>
          <w:sz w:val="18"/>
        </w:rPr>
        <w:t>Energy</w:t>
      </w:r>
      <w:r>
        <w:rPr>
          <w:spacing w:val="-4"/>
          <w:sz w:val="18"/>
        </w:rPr>
        <w:t> </w:t>
      </w:r>
      <w:r>
        <w:rPr>
          <w:sz w:val="18"/>
        </w:rPr>
        <w:t>Safe</w:t>
      </w:r>
      <w:r>
        <w:rPr>
          <w:spacing w:val="-2"/>
          <w:sz w:val="18"/>
        </w:rPr>
        <w:t> </w:t>
      </w:r>
      <w:r>
        <w:rPr>
          <w:sz w:val="18"/>
        </w:rPr>
        <w:t>Victoria)</w:t>
      </w:r>
      <w:r>
        <w:rPr>
          <w:spacing w:val="-5"/>
          <w:sz w:val="18"/>
        </w:rPr>
        <w:t> </w:t>
      </w:r>
      <w:r>
        <w:rPr>
          <w:sz w:val="18"/>
        </w:rPr>
        <w:t>require</w:t>
      </w:r>
      <w:r>
        <w:rPr>
          <w:spacing w:val="-2"/>
          <w:sz w:val="18"/>
        </w:rPr>
        <w:t> </w:t>
      </w:r>
      <w:r>
        <w:rPr>
          <w:sz w:val="18"/>
        </w:rPr>
        <w:t>distribution</w:t>
      </w:r>
      <w:r>
        <w:rPr>
          <w:spacing w:val="-6"/>
          <w:sz w:val="18"/>
        </w:rPr>
        <w:t> </w:t>
      </w:r>
      <w:r>
        <w:rPr>
          <w:sz w:val="18"/>
        </w:rPr>
        <w:t>businesses</w:t>
      </w:r>
      <w:r>
        <w:rPr>
          <w:spacing w:val="-1"/>
          <w:sz w:val="18"/>
        </w:rPr>
        <w:t> </w:t>
      </w:r>
      <w:r>
        <w:rPr>
          <w:sz w:val="18"/>
        </w:rPr>
        <w:t>to</w:t>
      </w:r>
      <w:r>
        <w:rPr>
          <w:spacing w:val="-4"/>
          <w:sz w:val="18"/>
        </w:rPr>
        <w:t> </w:t>
      </w:r>
      <w:r>
        <w:rPr>
          <w:sz w:val="18"/>
        </w:rPr>
        <w:t>review</w:t>
      </w:r>
      <w:r>
        <w:rPr>
          <w:spacing w:val="-5"/>
          <w:sz w:val="18"/>
        </w:rPr>
        <w:t> </w:t>
      </w:r>
      <w:r>
        <w:rPr>
          <w:sz w:val="18"/>
        </w:rPr>
        <w:t>and</w:t>
      </w:r>
      <w:r>
        <w:rPr>
          <w:spacing w:val="-2"/>
          <w:sz w:val="18"/>
        </w:rPr>
        <w:t> </w:t>
      </w:r>
      <w:r>
        <w:rPr>
          <w:sz w:val="18"/>
        </w:rPr>
        <w:t>modify</w:t>
      </w:r>
      <w:r>
        <w:rPr>
          <w:spacing w:val="-3"/>
          <w:sz w:val="18"/>
        </w:rPr>
        <w:t> </w:t>
      </w:r>
      <w:r>
        <w:rPr>
          <w:sz w:val="18"/>
        </w:rPr>
        <w:t>their</w:t>
      </w:r>
      <w:r>
        <w:rPr>
          <w:spacing w:val="-4"/>
          <w:sz w:val="18"/>
        </w:rPr>
        <w:t> </w:t>
      </w:r>
      <w:r>
        <w:rPr>
          <w:sz w:val="18"/>
        </w:rPr>
        <w:t>current</w:t>
      </w:r>
      <w:r>
        <w:rPr>
          <w:spacing w:val="-2"/>
          <w:sz w:val="18"/>
        </w:rPr>
        <w:t> </w:t>
      </w:r>
      <w:r>
        <w:rPr>
          <w:sz w:val="18"/>
        </w:rPr>
        <w:t>practices, standards and procedures for the training and auditing of asset inspectors to ensure that registered training organisations provide adequate theoretical and practical training for asset inspectors.</w:t>
      </w:r>
    </w:p>
    <w:p>
      <w:pPr>
        <w:pStyle w:val="BodyText"/>
        <w:spacing w:before="7"/>
        <w:rPr>
          <w:sz w:val="21"/>
        </w:rPr>
      </w:pPr>
    </w:p>
    <w:p>
      <w:pPr>
        <w:spacing w:before="0"/>
        <w:ind w:left="386" w:right="0" w:firstLine="0"/>
        <w:jc w:val="left"/>
        <w:rPr>
          <w:b/>
          <w:sz w:val="20"/>
        </w:rPr>
      </w:pPr>
      <w:r>
        <w:rPr>
          <w:b/>
          <w:spacing w:val="-2"/>
          <w:sz w:val="20"/>
        </w:rPr>
        <w:t>Recommendation</w:t>
      </w:r>
      <w:r>
        <w:rPr>
          <w:b/>
          <w:spacing w:val="11"/>
          <w:sz w:val="20"/>
        </w:rPr>
        <w:t> </w:t>
      </w:r>
      <w:r>
        <w:rPr>
          <w:b/>
          <w:spacing w:val="-5"/>
          <w:sz w:val="20"/>
        </w:rPr>
        <w:t>30</w:t>
      </w:r>
    </w:p>
    <w:p>
      <w:pPr>
        <w:spacing w:line="288" w:lineRule="auto" w:before="120"/>
        <w:ind w:left="386" w:right="525" w:firstLine="0"/>
        <w:jc w:val="left"/>
        <w:rPr>
          <w:sz w:val="18"/>
        </w:rPr>
      </w:pPr>
      <w:r>
        <w:rPr>
          <w:sz w:val="18"/>
        </w:rPr>
        <w:t>The</w:t>
      </w:r>
      <w:r>
        <w:rPr>
          <w:spacing w:val="-2"/>
          <w:sz w:val="18"/>
        </w:rPr>
        <w:t> </w:t>
      </w:r>
      <w:r>
        <w:rPr>
          <w:sz w:val="18"/>
        </w:rPr>
        <w:t>State</w:t>
      </w:r>
      <w:r>
        <w:rPr>
          <w:spacing w:val="-2"/>
          <w:sz w:val="18"/>
        </w:rPr>
        <w:t> </w:t>
      </w:r>
      <w:r>
        <w:rPr>
          <w:sz w:val="18"/>
        </w:rPr>
        <w:t>amend</w:t>
      </w:r>
      <w:r>
        <w:rPr>
          <w:spacing w:val="-2"/>
          <w:sz w:val="18"/>
        </w:rPr>
        <w:t> </w:t>
      </w:r>
      <w:r>
        <w:rPr>
          <w:sz w:val="18"/>
        </w:rPr>
        <w:t>the</w:t>
      </w:r>
      <w:r>
        <w:rPr>
          <w:spacing w:val="-4"/>
          <w:sz w:val="18"/>
        </w:rPr>
        <w:t> </w:t>
      </w:r>
      <w:r>
        <w:rPr>
          <w:sz w:val="18"/>
        </w:rPr>
        <w:t>regulatory</w:t>
      </w:r>
      <w:r>
        <w:rPr>
          <w:spacing w:val="-4"/>
          <w:sz w:val="18"/>
        </w:rPr>
        <w:t> </w:t>
      </w:r>
      <w:r>
        <w:rPr>
          <w:sz w:val="18"/>
        </w:rPr>
        <w:t>framework</w:t>
      </w:r>
      <w:r>
        <w:rPr>
          <w:spacing w:val="-1"/>
          <w:sz w:val="18"/>
        </w:rPr>
        <w:t> </w:t>
      </w:r>
      <w:r>
        <w:rPr>
          <w:sz w:val="18"/>
        </w:rPr>
        <w:t>for</w:t>
      </w:r>
      <w:r>
        <w:rPr>
          <w:spacing w:val="-4"/>
          <w:sz w:val="18"/>
        </w:rPr>
        <w:t> </w:t>
      </w:r>
      <w:r>
        <w:rPr>
          <w:sz w:val="18"/>
        </w:rPr>
        <w:t>electricity</w:t>
      </w:r>
      <w:r>
        <w:rPr>
          <w:spacing w:val="-3"/>
          <w:sz w:val="18"/>
        </w:rPr>
        <w:t> </w:t>
      </w:r>
      <w:r>
        <w:rPr>
          <w:sz w:val="18"/>
        </w:rPr>
        <w:t>safety</w:t>
      </w:r>
      <w:r>
        <w:rPr>
          <w:spacing w:val="-3"/>
          <w:sz w:val="18"/>
        </w:rPr>
        <w:t> </w:t>
      </w:r>
      <w:r>
        <w:rPr>
          <w:sz w:val="18"/>
        </w:rPr>
        <w:t>to</w:t>
      </w:r>
      <w:r>
        <w:rPr>
          <w:spacing w:val="-2"/>
          <w:sz w:val="18"/>
        </w:rPr>
        <w:t> </w:t>
      </w:r>
      <w:r>
        <w:rPr>
          <w:sz w:val="18"/>
        </w:rPr>
        <w:t>require</w:t>
      </w:r>
      <w:r>
        <w:rPr>
          <w:spacing w:val="-2"/>
          <w:sz w:val="18"/>
        </w:rPr>
        <w:t> </w:t>
      </w:r>
      <w:r>
        <w:rPr>
          <w:sz w:val="18"/>
        </w:rPr>
        <w:t>that</w:t>
      </w:r>
      <w:r>
        <w:rPr>
          <w:spacing w:val="-2"/>
          <w:sz w:val="18"/>
        </w:rPr>
        <w:t> </w:t>
      </w:r>
      <w:r>
        <w:rPr>
          <w:sz w:val="18"/>
        </w:rPr>
        <w:t>distribution</w:t>
      </w:r>
      <w:r>
        <w:rPr>
          <w:spacing w:val="-4"/>
          <w:sz w:val="18"/>
        </w:rPr>
        <w:t> </w:t>
      </w:r>
      <w:r>
        <w:rPr>
          <w:sz w:val="18"/>
        </w:rPr>
        <w:t>businesses</w:t>
      </w:r>
      <w:r>
        <w:rPr>
          <w:spacing w:val="-4"/>
          <w:sz w:val="18"/>
        </w:rPr>
        <w:t> </w:t>
      </w:r>
      <w:r>
        <w:rPr>
          <w:sz w:val="18"/>
        </w:rPr>
        <w:t>adopt,</w:t>
      </w:r>
      <w:r>
        <w:rPr>
          <w:spacing w:val="-4"/>
          <w:sz w:val="18"/>
        </w:rPr>
        <w:t> </w:t>
      </w:r>
      <w:r>
        <w:rPr>
          <w:sz w:val="18"/>
        </w:rPr>
        <w:t>as</w:t>
      </w:r>
      <w:r>
        <w:rPr>
          <w:spacing w:val="-1"/>
          <w:sz w:val="18"/>
        </w:rPr>
        <w:t> </w:t>
      </w:r>
      <w:r>
        <w:rPr>
          <w:sz w:val="18"/>
        </w:rPr>
        <w:t>part of their management</w:t>
      </w:r>
      <w:r>
        <w:rPr>
          <w:spacing w:val="-2"/>
          <w:sz w:val="18"/>
        </w:rPr>
        <w:t> </w:t>
      </w:r>
      <w:r>
        <w:rPr>
          <w:sz w:val="18"/>
        </w:rPr>
        <w:t>plans,</w:t>
      </w:r>
      <w:r>
        <w:rPr>
          <w:spacing w:val="-2"/>
          <w:sz w:val="18"/>
        </w:rPr>
        <w:t> </w:t>
      </w:r>
      <w:r>
        <w:rPr>
          <w:sz w:val="18"/>
        </w:rPr>
        <w:t>measures to reduce the</w:t>
      </w:r>
      <w:r>
        <w:rPr>
          <w:spacing w:val="-2"/>
          <w:sz w:val="18"/>
        </w:rPr>
        <w:t> </w:t>
      </w:r>
      <w:r>
        <w:rPr>
          <w:sz w:val="18"/>
        </w:rPr>
        <w:t>risks</w:t>
      </w:r>
      <w:r>
        <w:rPr>
          <w:spacing w:val="-2"/>
          <w:sz w:val="18"/>
        </w:rPr>
        <w:t> </w:t>
      </w:r>
      <w:r>
        <w:rPr>
          <w:sz w:val="18"/>
        </w:rPr>
        <w:t>posed</w:t>
      </w:r>
      <w:r>
        <w:rPr>
          <w:spacing w:val="-2"/>
          <w:sz w:val="18"/>
        </w:rPr>
        <w:t> </w:t>
      </w:r>
      <w:r>
        <w:rPr>
          <w:sz w:val="18"/>
        </w:rPr>
        <w:t>by</w:t>
      </w:r>
      <w:r>
        <w:rPr>
          <w:spacing w:val="-2"/>
          <w:sz w:val="18"/>
        </w:rPr>
        <w:t> </w:t>
      </w:r>
      <w:r>
        <w:rPr>
          <w:sz w:val="18"/>
        </w:rPr>
        <w:t>hazard trees – that is, trees that</w:t>
      </w:r>
      <w:r>
        <w:rPr>
          <w:spacing w:val="-2"/>
          <w:sz w:val="18"/>
        </w:rPr>
        <w:t> </w:t>
      </w:r>
      <w:r>
        <w:rPr>
          <w:sz w:val="18"/>
        </w:rPr>
        <w:t>are outside</w:t>
      </w:r>
      <w:r>
        <w:rPr>
          <w:spacing w:val="-2"/>
          <w:sz w:val="18"/>
        </w:rPr>
        <w:t> </w:t>
      </w:r>
      <w:r>
        <w:rPr>
          <w:sz w:val="18"/>
        </w:rPr>
        <w:t>the clearance zone but that could come into contact with an electric power line having regard to foreseeable local </w:t>
      </w:r>
      <w:r>
        <w:rPr>
          <w:spacing w:val="-2"/>
          <w:sz w:val="18"/>
        </w:rPr>
        <w:t>conditions.</w:t>
      </w:r>
    </w:p>
    <w:p>
      <w:pPr>
        <w:pStyle w:val="BodyText"/>
        <w:spacing w:before="9"/>
        <w:rPr>
          <w:sz w:val="21"/>
        </w:rPr>
      </w:pPr>
    </w:p>
    <w:p>
      <w:pPr>
        <w:spacing w:before="0"/>
        <w:ind w:left="386" w:right="0" w:firstLine="0"/>
        <w:jc w:val="both"/>
        <w:rPr>
          <w:b/>
          <w:sz w:val="20"/>
        </w:rPr>
      </w:pPr>
      <w:r>
        <w:rPr>
          <w:b/>
          <w:spacing w:val="-2"/>
          <w:sz w:val="20"/>
        </w:rPr>
        <w:t>Recommendation</w:t>
      </w:r>
      <w:r>
        <w:rPr>
          <w:b/>
          <w:spacing w:val="10"/>
          <w:sz w:val="20"/>
        </w:rPr>
        <w:t> </w:t>
      </w:r>
      <w:r>
        <w:rPr>
          <w:b/>
          <w:spacing w:val="-5"/>
          <w:sz w:val="20"/>
        </w:rPr>
        <w:t>31</w:t>
      </w:r>
    </w:p>
    <w:p>
      <w:pPr>
        <w:spacing w:line="290" w:lineRule="auto" w:before="120"/>
        <w:ind w:left="386" w:right="678" w:firstLine="0"/>
        <w:jc w:val="both"/>
        <w:rPr>
          <w:sz w:val="18"/>
        </w:rPr>
      </w:pPr>
      <w:r>
        <w:rPr>
          <w:sz w:val="18"/>
        </w:rPr>
        <w:t>Municipal councils include in their municipal fire prevention plans for areas of high bushfire risk provision for the identification</w:t>
      </w:r>
      <w:r>
        <w:rPr>
          <w:spacing w:val="-2"/>
          <w:sz w:val="18"/>
        </w:rPr>
        <w:t> </w:t>
      </w:r>
      <w:r>
        <w:rPr>
          <w:sz w:val="18"/>
        </w:rPr>
        <w:t>of</w:t>
      </w:r>
      <w:r>
        <w:rPr>
          <w:spacing w:val="-2"/>
          <w:sz w:val="18"/>
        </w:rPr>
        <w:t> </w:t>
      </w:r>
      <w:r>
        <w:rPr>
          <w:sz w:val="18"/>
        </w:rPr>
        <w:t>hazard</w:t>
      </w:r>
      <w:r>
        <w:rPr>
          <w:spacing w:val="-4"/>
          <w:sz w:val="18"/>
        </w:rPr>
        <w:t> </w:t>
      </w:r>
      <w:r>
        <w:rPr>
          <w:sz w:val="18"/>
        </w:rPr>
        <w:t>trees</w:t>
      </w:r>
      <w:r>
        <w:rPr>
          <w:spacing w:val="-1"/>
          <w:sz w:val="18"/>
        </w:rPr>
        <w:t> </w:t>
      </w:r>
      <w:r>
        <w:rPr>
          <w:sz w:val="18"/>
        </w:rPr>
        <w:t>and</w:t>
      </w:r>
      <w:r>
        <w:rPr>
          <w:spacing w:val="-2"/>
          <w:sz w:val="18"/>
        </w:rPr>
        <w:t> </w:t>
      </w:r>
      <w:r>
        <w:rPr>
          <w:sz w:val="18"/>
        </w:rPr>
        <w:t>for</w:t>
      </w:r>
      <w:r>
        <w:rPr>
          <w:spacing w:val="-4"/>
          <w:sz w:val="18"/>
        </w:rPr>
        <w:t> </w:t>
      </w:r>
      <w:r>
        <w:rPr>
          <w:sz w:val="18"/>
        </w:rPr>
        <w:t>notifying</w:t>
      </w:r>
      <w:r>
        <w:rPr>
          <w:spacing w:val="-2"/>
          <w:sz w:val="18"/>
        </w:rPr>
        <w:t> </w:t>
      </w:r>
      <w:r>
        <w:rPr>
          <w:sz w:val="18"/>
        </w:rPr>
        <w:t>the</w:t>
      </w:r>
      <w:r>
        <w:rPr>
          <w:spacing w:val="-2"/>
          <w:sz w:val="18"/>
        </w:rPr>
        <w:t> </w:t>
      </w:r>
      <w:r>
        <w:rPr>
          <w:sz w:val="18"/>
        </w:rPr>
        <w:t>responsible</w:t>
      </w:r>
      <w:r>
        <w:rPr>
          <w:spacing w:val="-4"/>
          <w:sz w:val="18"/>
        </w:rPr>
        <w:t> </w:t>
      </w:r>
      <w:r>
        <w:rPr>
          <w:sz w:val="18"/>
        </w:rPr>
        <w:t>entities</w:t>
      </w:r>
      <w:r>
        <w:rPr>
          <w:spacing w:val="-1"/>
          <w:sz w:val="18"/>
        </w:rPr>
        <w:t> </w:t>
      </w:r>
      <w:r>
        <w:rPr>
          <w:sz w:val="18"/>
        </w:rPr>
        <w:t>with</w:t>
      </w:r>
      <w:r>
        <w:rPr>
          <w:spacing w:val="-2"/>
          <w:sz w:val="18"/>
        </w:rPr>
        <w:t> </w:t>
      </w:r>
      <w:r>
        <w:rPr>
          <w:sz w:val="18"/>
        </w:rPr>
        <w:t>a</w:t>
      </w:r>
      <w:r>
        <w:rPr>
          <w:spacing w:val="-2"/>
          <w:sz w:val="18"/>
        </w:rPr>
        <w:t> </w:t>
      </w:r>
      <w:r>
        <w:rPr>
          <w:sz w:val="18"/>
        </w:rPr>
        <w:t>view</w:t>
      </w:r>
      <w:r>
        <w:rPr>
          <w:spacing w:val="-5"/>
          <w:sz w:val="18"/>
        </w:rPr>
        <w:t> </w:t>
      </w:r>
      <w:r>
        <w:rPr>
          <w:sz w:val="18"/>
        </w:rPr>
        <w:t>to</w:t>
      </w:r>
      <w:r>
        <w:rPr>
          <w:spacing w:val="-2"/>
          <w:sz w:val="18"/>
        </w:rPr>
        <w:t> </w:t>
      </w:r>
      <w:r>
        <w:rPr>
          <w:sz w:val="18"/>
        </w:rPr>
        <w:t>having</w:t>
      </w:r>
      <w:r>
        <w:rPr>
          <w:spacing w:val="-2"/>
          <w:sz w:val="18"/>
        </w:rPr>
        <w:t> </w:t>
      </w:r>
      <w:r>
        <w:rPr>
          <w:sz w:val="18"/>
        </w:rPr>
        <w:t>the</w:t>
      </w:r>
      <w:r>
        <w:rPr>
          <w:spacing w:val="-2"/>
          <w:sz w:val="18"/>
        </w:rPr>
        <w:t> </w:t>
      </w:r>
      <w:r>
        <w:rPr>
          <w:sz w:val="18"/>
        </w:rPr>
        <w:t>situation</w:t>
      </w:r>
      <w:r>
        <w:rPr>
          <w:spacing w:val="-4"/>
          <w:sz w:val="18"/>
        </w:rPr>
        <w:t> </w:t>
      </w:r>
      <w:r>
        <w:rPr>
          <w:sz w:val="18"/>
        </w:rPr>
        <w:t>redressed.</w:t>
      </w:r>
    </w:p>
    <w:p>
      <w:pPr>
        <w:pStyle w:val="BodyText"/>
        <w:spacing w:before="6"/>
        <w:rPr>
          <w:sz w:val="20"/>
        </w:rPr>
      </w:pPr>
    </w:p>
    <w:p>
      <w:pPr>
        <w:spacing w:before="0"/>
        <w:ind w:left="386" w:right="0" w:firstLine="0"/>
        <w:jc w:val="both"/>
        <w:rPr>
          <w:b/>
          <w:sz w:val="20"/>
        </w:rPr>
      </w:pPr>
      <w:r>
        <w:rPr>
          <w:b/>
          <w:spacing w:val="-2"/>
          <w:sz w:val="20"/>
        </w:rPr>
        <w:t>Recommendation</w:t>
      </w:r>
      <w:r>
        <w:rPr>
          <w:b/>
          <w:spacing w:val="10"/>
          <w:sz w:val="20"/>
        </w:rPr>
        <w:t> </w:t>
      </w:r>
      <w:r>
        <w:rPr>
          <w:b/>
          <w:spacing w:val="-5"/>
          <w:sz w:val="20"/>
        </w:rPr>
        <w:t>32</w:t>
      </w:r>
    </w:p>
    <w:p>
      <w:pPr>
        <w:spacing w:before="166"/>
        <w:ind w:left="386" w:right="0" w:firstLine="0"/>
        <w:jc w:val="left"/>
        <w:rPr>
          <w:sz w:val="18"/>
        </w:rPr>
      </w:pPr>
      <w:r>
        <w:rPr>
          <w:sz w:val="18"/>
        </w:rPr>
        <w:t>The</w:t>
      </w:r>
      <w:r>
        <w:rPr>
          <w:spacing w:val="-5"/>
          <w:sz w:val="18"/>
        </w:rPr>
        <w:t> </w:t>
      </w:r>
      <w:r>
        <w:rPr>
          <w:sz w:val="18"/>
        </w:rPr>
        <w:t>State</w:t>
      </w:r>
      <w:r>
        <w:rPr>
          <w:spacing w:val="-3"/>
          <w:sz w:val="18"/>
        </w:rPr>
        <w:t> </w:t>
      </w:r>
      <w:r>
        <w:rPr>
          <w:sz w:val="18"/>
        </w:rPr>
        <w:t>(through</w:t>
      </w:r>
      <w:r>
        <w:rPr>
          <w:spacing w:val="-3"/>
          <w:sz w:val="18"/>
        </w:rPr>
        <w:t> </w:t>
      </w:r>
      <w:r>
        <w:rPr>
          <w:sz w:val="18"/>
        </w:rPr>
        <w:t>Energy</w:t>
      </w:r>
      <w:r>
        <w:rPr>
          <w:spacing w:val="-2"/>
          <w:sz w:val="18"/>
        </w:rPr>
        <w:t> </w:t>
      </w:r>
      <w:r>
        <w:rPr>
          <w:sz w:val="18"/>
        </w:rPr>
        <w:t>Safe</w:t>
      </w:r>
      <w:r>
        <w:rPr>
          <w:spacing w:val="-3"/>
          <w:sz w:val="18"/>
        </w:rPr>
        <w:t> </w:t>
      </w:r>
      <w:r>
        <w:rPr>
          <w:sz w:val="18"/>
        </w:rPr>
        <w:t>Victoria)</w:t>
      </w:r>
      <w:r>
        <w:rPr>
          <w:spacing w:val="-6"/>
          <w:sz w:val="18"/>
        </w:rPr>
        <w:t> </w:t>
      </w:r>
      <w:r>
        <w:rPr>
          <w:sz w:val="18"/>
        </w:rPr>
        <w:t>require</w:t>
      </w:r>
      <w:r>
        <w:rPr>
          <w:spacing w:val="-2"/>
          <w:sz w:val="18"/>
        </w:rPr>
        <w:t> </w:t>
      </w:r>
      <w:r>
        <w:rPr>
          <w:sz w:val="18"/>
        </w:rPr>
        <w:t>distribution</w:t>
      </w:r>
      <w:r>
        <w:rPr>
          <w:spacing w:val="-7"/>
          <w:sz w:val="18"/>
        </w:rPr>
        <w:t> </w:t>
      </w:r>
      <w:r>
        <w:rPr>
          <w:sz w:val="18"/>
        </w:rPr>
        <w:t>businesses</w:t>
      </w:r>
      <w:r>
        <w:rPr>
          <w:spacing w:val="-2"/>
          <w:sz w:val="18"/>
        </w:rPr>
        <w:t> </w:t>
      </w:r>
      <w:r>
        <w:rPr>
          <w:sz w:val="18"/>
        </w:rPr>
        <w:t>to</w:t>
      </w:r>
      <w:r>
        <w:rPr>
          <w:spacing w:val="-5"/>
          <w:sz w:val="18"/>
        </w:rPr>
        <w:t> </w:t>
      </w:r>
      <w:r>
        <w:rPr>
          <w:sz w:val="18"/>
        </w:rPr>
        <w:t>do</w:t>
      </w:r>
      <w:r>
        <w:rPr>
          <w:spacing w:val="-3"/>
          <w:sz w:val="18"/>
        </w:rPr>
        <w:t> </w:t>
      </w:r>
      <w:r>
        <w:rPr>
          <w:sz w:val="18"/>
        </w:rPr>
        <w:t>the</w:t>
      </w:r>
      <w:r>
        <w:rPr>
          <w:spacing w:val="-2"/>
          <w:sz w:val="18"/>
        </w:rPr>
        <w:t> following:</w:t>
      </w:r>
    </w:p>
    <w:p>
      <w:pPr>
        <w:pStyle w:val="BodyText"/>
        <w:spacing w:before="5"/>
        <w:rPr>
          <w:sz w:val="27"/>
        </w:rPr>
      </w:pPr>
    </w:p>
    <w:p>
      <w:pPr>
        <w:pStyle w:val="ListParagraph"/>
        <w:numPr>
          <w:ilvl w:val="0"/>
          <w:numId w:val="95"/>
        </w:numPr>
        <w:tabs>
          <w:tab w:pos="814" w:val="left" w:leader="none"/>
        </w:tabs>
        <w:spacing w:line="278" w:lineRule="auto" w:before="1" w:after="0"/>
        <w:ind w:left="814" w:right="712" w:hanging="286"/>
        <w:jc w:val="left"/>
        <w:rPr>
          <w:sz w:val="18"/>
        </w:rPr>
      </w:pPr>
      <w:r>
        <w:rPr>
          <w:sz w:val="18"/>
        </w:rPr>
        <w:t>disable</w:t>
      </w:r>
      <w:r>
        <w:rPr>
          <w:spacing w:val="-4"/>
          <w:sz w:val="18"/>
        </w:rPr>
        <w:t> </w:t>
      </w:r>
      <w:r>
        <w:rPr>
          <w:sz w:val="18"/>
        </w:rPr>
        <w:t>the</w:t>
      </w:r>
      <w:r>
        <w:rPr>
          <w:spacing w:val="-2"/>
          <w:sz w:val="18"/>
        </w:rPr>
        <w:t> </w:t>
      </w:r>
      <w:r>
        <w:rPr>
          <w:sz w:val="18"/>
        </w:rPr>
        <w:t>reclose</w:t>
      </w:r>
      <w:r>
        <w:rPr>
          <w:spacing w:val="-2"/>
          <w:sz w:val="18"/>
        </w:rPr>
        <w:t> </w:t>
      </w:r>
      <w:r>
        <w:rPr>
          <w:sz w:val="18"/>
        </w:rPr>
        <w:t>function</w:t>
      </w:r>
      <w:r>
        <w:rPr>
          <w:spacing w:val="-2"/>
          <w:sz w:val="18"/>
        </w:rPr>
        <w:t> </w:t>
      </w:r>
      <w:r>
        <w:rPr>
          <w:sz w:val="18"/>
        </w:rPr>
        <w:t>on</w:t>
      </w:r>
      <w:r>
        <w:rPr>
          <w:spacing w:val="-4"/>
          <w:sz w:val="18"/>
        </w:rPr>
        <w:t> </w:t>
      </w:r>
      <w:r>
        <w:rPr>
          <w:sz w:val="18"/>
        </w:rPr>
        <w:t>the</w:t>
      </w:r>
      <w:r>
        <w:rPr>
          <w:spacing w:val="-2"/>
          <w:sz w:val="18"/>
        </w:rPr>
        <w:t> </w:t>
      </w:r>
      <w:r>
        <w:rPr>
          <w:sz w:val="18"/>
        </w:rPr>
        <w:t>automatic</w:t>
      </w:r>
      <w:r>
        <w:rPr>
          <w:spacing w:val="-3"/>
          <w:sz w:val="18"/>
        </w:rPr>
        <w:t> </w:t>
      </w:r>
      <w:r>
        <w:rPr>
          <w:sz w:val="18"/>
        </w:rPr>
        <w:t>circuit</w:t>
      </w:r>
      <w:r>
        <w:rPr>
          <w:spacing w:val="-2"/>
          <w:sz w:val="18"/>
        </w:rPr>
        <w:t> </w:t>
      </w:r>
      <w:r>
        <w:rPr>
          <w:sz w:val="18"/>
        </w:rPr>
        <w:t>reclosers</w:t>
      </w:r>
      <w:r>
        <w:rPr>
          <w:spacing w:val="-4"/>
          <w:sz w:val="18"/>
        </w:rPr>
        <w:t> </w:t>
      </w:r>
      <w:r>
        <w:rPr>
          <w:sz w:val="18"/>
        </w:rPr>
        <w:t>on</w:t>
      </w:r>
      <w:r>
        <w:rPr>
          <w:spacing w:val="-2"/>
          <w:sz w:val="18"/>
        </w:rPr>
        <w:t> </w:t>
      </w:r>
      <w:r>
        <w:rPr>
          <w:sz w:val="18"/>
        </w:rPr>
        <w:t>all</w:t>
      </w:r>
      <w:r>
        <w:rPr>
          <w:spacing w:val="-2"/>
          <w:sz w:val="18"/>
        </w:rPr>
        <w:t> </w:t>
      </w:r>
      <w:r>
        <w:rPr>
          <w:sz w:val="18"/>
        </w:rPr>
        <w:t>SWER</w:t>
      </w:r>
      <w:r>
        <w:rPr>
          <w:spacing w:val="-2"/>
          <w:sz w:val="18"/>
        </w:rPr>
        <w:t> </w:t>
      </w:r>
      <w:r>
        <w:rPr>
          <w:sz w:val="18"/>
        </w:rPr>
        <w:t>lines</w:t>
      </w:r>
      <w:r>
        <w:rPr>
          <w:spacing w:val="-1"/>
          <w:sz w:val="18"/>
        </w:rPr>
        <w:t> </w:t>
      </w:r>
      <w:r>
        <w:rPr>
          <w:sz w:val="18"/>
        </w:rPr>
        <w:t>for</w:t>
      </w:r>
      <w:r>
        <w:rPr>
          <w:spacing w:val="-2"/>
          <w:sz w:val="18"/>
        </w:rPr>
        <w:t> </w:t>
      </w:r>
      <w:r>
        <w:rPr>
          <w:sz w:val="18"/>
        </w:rPr>
        <w:t>the</w:t>
      </w:r>
      <w:r>
        <w:rPr>
          <w:spacing w:val="-4"/>
          <w:sz w:val="18"/>
        </w:rPr>
        <w:t> </w:t>
      </w:r>
      <w:r>
        <w:rPr>
          <w:sz w:val="18"/>
        </w:rPr>
        <w:t>six</w:t>
      </w:r>
      <w:r>
        <w:rPr>
          <w:spacing w:val="-6"/>
          <w:sz w:val="18"/>
        </w:rPr>
        <w:t> </w:t>
      </w:r>
      <w:r>
        <w:rPr>
          <w:sz w:val="18"/>
        </w:rPr>
        <w:t>weeks</w:t>
      </w:r>
      <w:r>
        <w:rPr>
          <w:spacing w:val="-1"/>
          <w:sz w:val="18"/>
        </w:rPr>
        <w:t> </w:t>
      </w:r>
      <w:r>
        <w:rPr>
          <w:sz w:val="18"/>
        </w:rPr>
        <w:t>of</w:t>
      </w:r>
      <w:r>
        <w:rPr>
          <w:spacing w:val="-2"/>
          <w:sz w:val="18"/>
        </w:rPr>
        <w:t> </w:t>
      </w:r>
      <w:r>
        <w:rPr>
          <w:sz w:val="18"/>
        </w:rPr>
        <w:t>greatest risk in every fire season and adjust the reclose function of the automatic circuit reclosers on all 22-kilovolt feeders on all total fire ban days to permit only one reclose attempt before lockout.</w:t>
      </w:r>
    </w:p>
    <w:p>
      <w:pPr>
        <w:pStyle w:val="BodyText"/>
        <w:rPr>
          <w:sz w:val="18"/>
        </w:rPr>
      </w:pPr>
    </w:p>
    <w:p>
      <w:pPr>
        <w:spacing w:before="0"/>
        <w:ind w:left="386" w:right="0" w:firstLine="0"/>
        <w:jc w:val="both"/>
        <w:rPr>
          <w:b/>
          <w:sz w:val="20"/>
        </w:rPr>
      </w:pPr>
      <w:r>
        <w:rPr>
          <w:b/>
          <w:spacing w:val="-2"/>
          <w:sz w:val="20"/>
        </w:rPr>
        <w:t>Recommendation</w:t>
      </w:r>
      <w:r>
        <w:rPr>
          <w:b/>
          <w:spacing w:val="10"/>
          <w:sz w:val="20"/>
        </w:rPr>
        <w:t> </w:t>
      </w:r>
      <w:r>
        <w:rPr>
          <w:b/>
          <w:spacing w:val="-5"/>
          <w:sz w:val="20"/>
        </w:rPr>
        <w:t>33</w:t>
      </w:r>
    </w:p>
    <w:p>
      <w:pPr>
        <w:pStyle w:val="BodyText"/>
        <w:spacing w:before="9"/>
        <w:rPr>
          <w:b/>
          <w:sz w:val="24"/>
        </w:rPr>
      </w:pPr>
    </w:p>
    <w:p>
      <w:pPr>
        <w:spacing w:before="0"/>
        <w:ind w:left="386" w:right="0" w:firstLine="0"/>
        <w:jc w:val="left"/>
        <w:rPr>
          <w:sz w:val="18"/>
        </w:rPr>
      </w:pPr>
      <w:r>
        <w:rPr>
          <w:sz w:val="18"/>
        </w:rPr>
        <w:t>The</w:t>
      </w:r>
      <w:r>
        <w:rPr>
          <w:spacing w:val="-5"/>
          <w:sz w:val="18"/>
        </w:rPr>
        <w:t> </w:t>
      </w:r>
      <w:r>
        <w:rPr>
          <w:sz w:val="18"/>
        </w:rPr>
        <w:t>State</w:t>
      </w:r>
      <w:r>
        <w:rPr>
          <w:spacing w:val="-3"/>
          <w:sz w:val="18"/>
        </w:rPr>
        <w:t> </w:t>
      </w:r>
      <w:r>
        <w:rPr>
          <w:sz w:val="18"/>
        </w:rPr>
        <w:t>(through</w:t>
      </w:r>
      <w:r>
        <w:rPr>
          <w:spacing w:val="-3"/>
          <w:sz w:val="18"/>
        </w:rPr>
        <w:t> </w:t>
      </w:r>
      <w:r>
        <w:rPr>
          <w:sz w:val="18"/>
        </w:rPr>
        <w:t>Energy</w:t>
      </w:r>
      <w:r>
        <w:rPr>
          <w:spacing w:val="-5"/>
          <w:sz w:val="18"/>
        </w:rPr>
        <w:t> </w:t>
      </w:r>
      <w:r>
        <w:rPr>
          <w:sz w:val="18"/>
        </w:rPr>
        <w:t>Safe</w:t>
      </w:r>
      <w:r>
        <w:rPr>
          <w:spacing w:val="-3"/>
          <w:sz w:val="18"/>
        </w:rPr>
        <w:t> </w:t>
      </w:r>
      <w:r>
        <w:rPr>
          <w:sz w:val="18"/>
        </w:rPr>
        <w:t>Victoria)</w:t>
      </w:r>
      <w:r>
        <w:rPr>
          <w:spacing w:val="-5"/>
          <w:sz w:val="18"/>
        </w:rPr>
        <w:t> </w:t>
      </w:r>
      <w:r>
        <w:rPr>
          <w:sz w:val="18"/>
        </w:rPr>
        <w:t>require</w:t>
      </w:r>
      <w:r>
        <w:rPr>
          <w:spacing w:val="-3"/>
          <w:sz w:val="18"/>
        </w:rPr>
        <w:t> </w:t>
      </w:r>
      <w:r>
        <w:rPr>
          <w:sz w:val="18"/>
        </w:rPr>
        <w:t>distribution</w:t>
      </w:r>
      <w:r>
        <w:rPr>
          <w:spacing w:val="-7"/>
          <w:sz w:val="18"/>
        </w:rPr>
        <w:t> </w:t>
      </w:r>
      <w:r>
        <w:rPr>
          <w:sz w:val="18"/>
        </w:rPr>
        <w:t>businesses</w:t>
      </w:r>
      <w:r>
        <w:rPr>
          <w:spacing w:val="-2"/>
          <w:sz w:val="18"/>
        </w:rPr>
        <w:t> </w:t>
      </w:r>
      <w:r>
        <w:rPr>
          <w:sz w:val="18"/>
        </w:rPr>
        <w:t>to</w:t>
      </w:r>
      <w:r>
        <w:rPr>
          <w:spacing w:val="-5"/>
          <w:sz w:val="18"/>
        </w:rPr>
        <w:t> </w:t>
      </w:r>
      <w:r>
        <w:rPr>
          <w:sz w:val="18"/>
        </w:rPr>
        <w:t>do</w:t>
      </w:r>
      <w:r>
        <w:rPr>
          <w:spacing w:val="-3"/>
          <w:sz w:val="18"/>
        </w:rPr>
        <w:t> </w:t>
      </w:r>
      <w:r>
        <w:rPr>
          <w:sz w:val="18"/>
        </w:rPr>
        <w:t>the</w:t>
      </w:r>
      <w:r>
        <w:rPr>
          <w:spacing w:val="-2"/>
          <w:sz w:val="18"/>
        </w:rPr>
        <w:t> following:</w:t>
      </w:r>
    </w:p>
    <w:p>
      <w:pPr>
        <w:pStyle w:val="BodyText"/>
        <w:spacing w:before="4"/>
        <w:rPr>
          <w:sz w:val="27"/>
        </w:rPr>
      </w:pPr>
    </w:p>
    <w:p>
      <w:pPr>
        <w:pStyle w:val="ListParagraph"/>
        <w:numPr>
          <w:ilvl w:val="0"/>
          <w:numId w:val="95"/>
        </w:numPr>
        <w:tabs>
          <w:tab w:pos="794" w:val="left" w:leader="none"/>
        </w:tabs>
        <w:spacing w:line="278" w:lineRule="auto" w:before="0" w:after="0"/>
        <w:ind w:left="794" w:right="639" w:hanging="267"/>
        <w:jc w:val="left"/>
        <w:rPr>
          <w:sz w:val="18"/>
        </w:rPr>
      </w:pPr>
      <w:r>
        <w:rPr>
          <w:sz w:val="18"/>
        </w:rPr>
        <w:t>fit</w:t>
      </w:r>
      <w:r>
        <w:rPr>
          <w:spacing w:val="-1"/>
          <w:sz w:val="18"/>
        </w:rPr>
        <w:t> </w:t>
      </w:r>
      <w:r>
        <w:rPr>
          <w:sz w:val="18"/>
        </w:rPr>
        <w:t>spreaders</w:t>
      </w:r>
      <w:r>
        <w:rPr>
          <w:spacing w:val="-2"/>
          <w:sz w:val="18"/>
        </w:rPr>
        <w:t> </w:t>
      </w:r>
      <w:r>
        <w:rPr>
          <w:sz w:val="18"/>
        </w:rPr>
        <w:t>to</w:t>
      </w:r>
      <w:r>
        <w:rPr>
          <w:spacing w:val="-1"/>
          <w:sz w:val="18"/>
        </w:rPr>
        <w:t> </w:t>
      </w:r>
      <w:r>
        <w:rPr>
          <w:sz w:val="18"/>
        </w:rPr>
        <w:t>any</w:t>
      </w:r>
      <w:r>
        <w:rPr>
          <w:spacing w:val="-1"/>
          <w:sz w:val="18"/>
        </w:rPr>
        <w:t> </w:t>
      </w:r>
      <w:r>
        <w:rPr>
          <w:sz w:val="18"/>
        </w:rPr>
        <w:t>lines with</w:t>
      </w:r>
      <w:r>
        <w:rPr>
          <w:spacing w:val="-3"/>
          <w:sz w:val="18"/>
        </w:rPr>
        <w:t> </w:t>
      </w:r>
      <w:r>
        <w:rPr>
          <w:sz w:val="18"/>
        </w:rPr>
        <w:t>a</w:t>
      </w:r>
      <w:r>
        <w:rPr>
          <w:spacing w:val="-1"/>
          <w:sz w:val="18"/>
        </w:rPr>
        <w:t> </w:t>
      </w:r>
      <w:r>
        <w:rPr>
          <w:sz w:val="18"/>
        </w:rPr>
        <w:t>history</w:t>
      </w:r>
      <w:r>
        <w:rPr>
          <w:spacing w:val="-3"/>
          <w:sz w:val="18"/>
        </w:rPr>
        <w:t> </w:t>
      </w:r>
      <w:r>
        <w:rPr>
          <w:sz w:val="18"/>
        </w:rPr>
        <w:t>of</w:t>
      </w:r>
      <w:r>
        <w:rPr>
          <w:spacing w:val="-3"/>
          <w:sz w:val="18"/>
        </w:rPr>
        <w:t> </w:t>
      </w:r>
      <w:r>
        <w:rPr>
          <w:sz w:val="18"/>
        </w:rPr>
        <w:t>clashing</w:t>
      </w:r>
      <w:r>
        <w:rPr>
          <w:spacing w:val="-3"/>
          <w:sz w:val="18"/>
        </w:rPr>
        <w:t> </w:t>
      </w:r>
      <w:r>
        <w:rPr>
          <w:sz w:val="18"/>
        </w:rPr>
        <w:t>or</w:t>
      </w:r>
      <w:r>
        <w:rPr>
          <w:spacing w:val="-1"/>
          <w:sz w:val="18"/>
        </w:rPr>
        <w:t> </w:t>
      </w:r>
      <w:r>
        <w:rPr>
          <w:sz w:val="18"/>
        </w:rPr>
        <w:t>the</w:t>
      </w:r>
      <w:r>
        <w:rPr>
          <w:spacing w:val="-3"/>
          <w:sz w:val="18"/>
        </w:rPr>
        <w:t> </w:t>
      </w:r>
      <w:r>
        <w:rPr>
          <w:sz w:val="18"/>
        </w:rPr>
        <w:t>potential</w:t>
      </w:r>
      <w:r>
        <w:rPr>
          <w:spacing w:val="-1"/>
          <w:sz w:val="18"/>
        </w:rPr>
        <w:t> </w:t>
      </w:r>
      <w:r>
        <w:rPr>
          <w:sz w:val="18"/>
        </w:rPr>
        <w:t>to</w:t>
      </w:r>
      <w:r>
        <w:rPr>
          <w:spacing w:val="-3"/>
          <w:sz w:val="18"/>
        </w:rPr>
        <w:t> </w:t>
      </w:r>
      <w:r>
        <w:rPr>
          <w:sz w:val="18"/>
        </w:rPr>
        <w:t>do</w:t>
      </w:r>
      <w:r>
        <w:rPr>
          <w:spacing w:val="-3"/>
          <w:sz w:val="18"/>
        </w:rPr>
        <w:t> </w:t>
      </w:r>
      <w:r>
        <w:rPr>
          <w:sz w:val="18"/>
        </w:rPr>
        <w:t>so</w:t>
      </w:r>
      <w:r>
        <w:rPr>
          <w:spacing w:val="-1"/>
          <w:sz w:val="18"/>
        </w:rPr>
        <w:t> </w:t>
      </w:r>
      <w:r>
        <w:rPr>
          <w:sz w:val="18"/>
        </w:rPr>
        <w:t>fit</w:t>
      </w:r>
      <w:r>
        <w:rPr>
          <w:spacing w:val="-1"/>
          <w:sz w:val="18"/>
        </w:rPr>
        <w:t> </w:t>
      </w:r>
      <w:r>
        <w:rPr>
          <w:sz w:val="18"/>
        </w:rPr>
        <w:t>or</w:t>
      </w:r>
      <w:r>
        <w:rPr>
          <w:spacing w:val="-1"/>
          <w:sz w:val="18"/>
        </w:rPr>
        <w:t> </w:t>
      </w:r>
      <w:r>
        <w:rPr>
          <w:sz w:val="18"/>
        </w:rPr>
        <w:t>retrofit</w:t>
      </w:r>
      <w:r>
        <w:rPr>
          <w:spacing w:val="-1"/>
          <w:sz w:val="18"/>
        </w:rPr>
        <w:t> </w:t>
      </w:r>
      <w:r>
        <w:rPr>
          <w:sz w:val="18"/>
        </w:rPr>
        <w:t>all</w:t>
      </w:r>
      <w:r>
        <w:rPr>
          <w:spacing w:val="-3"/>
          <w:sz w:val="18"/>
        </w:rPr>
        <w:t> </w:t>
      </w:r>
      <w:r>
        <w:rPr>
          <w:sz w:val="18"/>
        </w:rPr>
        <w:t>spans</w:t>
      </w:r>
      <w:r>
        <w:rPr>
          <w:spacing w:val="-3"/>
          <w:sz w:val="18"/>
        </w:rPr>
        <w:t> </w:t>
      </w:r>
      <w:r>
        <w:rPr>
          <w:sz w:val="18"/>
        </w:rPr>
        <w:t>that</w:t>
      </w:r>
      <w:r>
        <w:rPr>
          <w:spacing w:val="-3"/>
          <w:sz w:val="18"/>
        </w:rPr>
        <w:t> </w:t>
      </w:r>
      <w:r>
        <w:rPr>
          <w:sz w:val="18"/>
        </w:rPr>
        <w:t>are</w:t>
      </w:r>
      <w:r>
        <w:rPr>
          <w:spacing w:val="-3"/>
          <w:sz w:val="18"/>
        </w:rPr>
        <w:t> </w:t>
      </w:r>
      <w:r>
        <w:rPr>
          <w:sz w:val="18"/>
        </w:rPr>
        <w:t>more than 300 metres long with vibration dampers as soon as is reasonably practicable.</w:t>
      </w:r>
    </w:p>
    <w:p>
      <w:pPr>
        <w:pStyle w:val="BodyText"/>
        <w:spacing w:before="11"/>
        <w:rPr>
          <w:sz w:val="17"/>
        </w:rPr>
      </w:pPr>
    </w:p>
    <w:p>
      <w:pPr>
        <w:spacing w:before="0"/>
        <w:ind w:left="386" w:right="0" w:firstLine="0"/>
        <w:jc w:val="both"/>
        <w:rPr>
          <w:b/>
          <w:sz w:val="20"/>
        </w:rPr>
      </w:pPr>
      <w:r>
        <w:rPr>
          <w:b/>
          <w:spacing w:val="-2"/>
          <w:sz w:val="20"/>
        </w:rPr>
        <w:t>Recommendation</w:t>
      </w:r>
      <w:r>
        <w:rPr>
          <w:b/>
          <w:spacing w:val="10"/>
          <w:sz w:val="20"/>
        </w:rPr>
        <w:t> </w:t>
      </w:r>
      <w:r>
        <w:rPr>
          <w:b/>
          <w:spacing w:val="-5"/>
          <w:sz w:val="20"/>
        </w:rPr>
        <w:t>34</w:t>
      </w:r>
    </w:p>
    <w:p>
      <w:pPr>
        <w:spacing w:line="290" w:lineRule="auto" w:before="166"/>
        <w:ind w:left="386" w:right="868" w:firstLine="0"/>
        <w:jc w:val="left"/>
        <w:rPr>
          <w:sz w:val="18"/>
        </w:rPr>
      </w:pPr>
      <w:r>
        <w:rPr>
          <w:sz w:val="18"/>
        </w:rPr>
        <w:t>The</w:t>
      </w:r>
      <w:r>
        <w:rPr>
          <w:spacing w:val="-2"/>
          <w:sz w:val="18"/>
        </w:rPr>
        <w:t> </w:t>
      </w:r>
      <w:r>
        <w:rPr>
          <w:sz w:val="18"/>
        </w:rPr>
        <w:t>State</w:t>
      </w:r>
      <w:r>
        <w:rPr>
          <w:spacing w:val="-2"/>
          <w:sz w:val="18"/>
        </w:rPr>
        <w:t> </w:t>
      </w:r>
      <w:r>
        <w:rPr>
          <w:sz w:val="18"/>
        </w:rPr>
        <w:t>amend</w:t>
      </w:r>
      <w:r>
        <w:rPr>
          <w:spacing w:val="-2"/>
          <w:sz w:val="18"/>
        </w:rPr>
        <w:t> </w:t>
      </w:r>
      <w:r>
        <w:rPr>
          <w:sz w:val="18"/>
        </w:rPr>
        <w:t>the</w:t>
      </w:r>
      <w:r>
        <w:rPr>
          <w:spacing w:val="-4"/>
          <w:sz w:val="18"/>
        </w:rPr>
        <w:t> </w:t>
      </w:r>
      <w:r>
        <w:rPr>
          <w:sz w:val="18"/>
        </w:rPr>
        <w:t>regulatory</w:t>
      </w:r>
      <w:r>
        <w:rPr>
          <w:spacing w:val="-4"/>
          <w:sz w:val="18"/>
        </w:rPr>
        <w:t> </w:t>
      </w:r>
      <w:r>
        <w:rPr>
          <w:sz w:val="18"/>
        </w:rPr>
        <w:t>framework</w:t>
      </w:r>
      <w:r>
        <w:rPr>
          <w:spacing w:val="-1"/>
          <w:sz w:val="18"/>
        </w:rPr>
        <w:t> </w:t>
      </w:r>
      <w:r>
        <w:rPr>
          <w:sz w:val="18"/>
        </w:rPr>
        <w:t>for</w:t>
      </w:r>
      <w:r>
        <w:rPr>
          <w:spacing w:val="-4"/>
          <w:sz w:val="18"/>
        </w:rPr>
        <w:t> </w:t>
      </w:r>
      <w:r>
        <w:rPr>
          <w:sz w:val="18"/>
        </w:rPr>
        <w:t>electricity</w:t>
      </w:r>
      <w:r>
        <w:rPr>
          <w:spacing w:val="-4"/>
          <w:sz w:val="18"/>
        </w:rPr>
        <w:t> </w:t>
      </w:r>
      <w:r>
        <w:rPr>
          <w:sz w:val="18"/>
        </w:rPr>
        <w:t>safety</w:t>
      </w:r>
      <w:r>
        <w:rPr>
          <w:spacing w:val="-3"/>
          <w:sz w:val="18"/>
        </w:rPr>
        <w:t> </w:t>
      </w:r>
      <w:r>
        <w:rPr>
          <w:sz w:val="18"/>
        </w:rPr>
        <w:t>to</w:t>
      </w:r>
      <w:r>
        <w:rPr>
          <w:spacing w:val="-2"/>
          <w:sz w:val="18"/>
        </w:rPr>
        <w:t> </w:t>
      </w:r>
      <w:r>
        <w:rPr>
          <w:sz w:val="18"/>
        </w:rPr>
        <w:t>strengthen</w:t>
      </w:r>
      <w:r>
        <w:rPr>
          <w:spacing w:val="-2"/>
          <w:sz w:val="18"/>
        </w:rPr>
        <w:t> </w:t>
      </w:r>
      <w:r>
        <w:rPr>
          <w:sz w:val="18"/>
        </w:rPr>
        <w:t>Energy</w:t>
      </w:r>
      <w:r>
        <w:rPr>
          <w:spacing w:val="-4"/>
          <w:sz w:val="18"/>
        </w:rPr>
        <w:t> </w:t>
      </w:r>
      <w:r>
        <w:rPr>
          <w:sz w:val="18"/>
        </w:rPr>
        <w:t>Safe</w:t>
      </w:r>
      <w:r>
        <w:rPr>
          <w:spacing w:val="-4"/>
          <w:sz w:val="18"/>
        </w:rPr>
        <w:t> </w:t>
      </w:r>
      <w:r>
        <w:rPr>
          <w:sz w:val="18"/>
        </w:rPr>
        <w:t>Victoria’s</w:t>
      </w:r>
      <w:r>
        <w:rPr>
          <w:spacing w:val="-1"/>
          <w:sz w:val="18"/>
        </w:rPr>
        <w:t> </w:t>
      </w:r>
      <w:r>
        <w:rPr>
          <w:sz w:val="18"/>
        </w:rPr>
        <w:t>mandate</w:t>
      </w:r>
      <w:r>
        <w:rPr>
          <w:spacing w:val="-4"/>
          <w:sz w:val="18"/>
        </w:rPr>
        <w:t> </w:t>
      </w:r>
      <w:r>
        <w:rPr>
          <w:sz w:val="18"/>
        </w:rPr>
        <w:t>in relation to the prevention and mitigation of electricity-caused bushfires and to require it to fulfil that mandate.</w:t>
      </w:r>
    </w:p>
    <w:p>
      <w:pPr>
        <w:spacing w:after="0" w:line="290" w:lineRule="auto"/>
        <w:jc w:val="left"/>
        <w:rPr>
          <w:sz w:val="18"/>
        </w:rPr>
        <w:sectPr>
          <w:pgSz w:w="11910" w:h="16850"/>
          <w:pgMar w:header="220" w:footer="678" w:top="420" w:bottom="860" w:left="900" w:right="840"/>
        </w:sectPr>
      </w:pPr>
    </w:p>
    <w:p>
      <w:pPr>
        <w:pStyle w:val="BodyText"/>
        <w:rPr>
          <w:sz w:val="20"/>
        </w:rPr>
      </w:pPr>
    </w:p>
    <w:p>
      <w:pPr>
        <w:pStyle w:val="BodyText"/>
        <w:spacing w:before="10"/>
        <w:rPr>
          <w:sz w:val="19"/>
        </w:rPr>
      </w:pPr>
    </w:p>
    <w:p>
      <w:pPr>
        <w:pStyle w:val="Heading3"/>
      </w:pPr>
      <w:r>
        <w:rPr>
          <w:color w:val="00B1A9"/>
        </w:rPr>
        <w:t>Appendix</w:t>
      </w:r>
      <w:r>
        <w:rPr>
          <w:color w:val="00B1A9"/>
          <w:spacing w:val="-5"/>
        </w:rPr>
        <w:t> </w:t>
      </w:r>
      <w:r>
        <w:rPr>
          <w:color w:val="00B1A9"/>
        </w:rPr>
        <w:t>F:</w:t>
      </w:r>
      <w:r>
        <w:rPr>
          <w:color w:val="00B1A9"/>
          <w:spacing w:val="-5"/>
        </w:rPr>
        <w:t> </w:t>
      </w:r>
      <w:r>
        <w:rPr>
          <w:color w:val="00B1A9"/>
        </w:rPr>
        <w:t>ESV</w:t>
      </w:r>
      <w:r>
        <w:rPr>
          <w:color w:val="00B1A9"/>
          <w:spacing w:val="-4"/>
        </w:rPr>
        <w:t> </w:t>
      </w:r>
      <w:r>
        <w:rPr>
          <w:color w:val="00B1A9"/>
        </w:rPr>
        <w:t>governance</w:t>
      </w:r>
      <w:r>
        <w:rPr>
          <w:color w:val="00B1A9"/>
          <w:spacing w:val="-2"/>
        </w:rPr>
        <w:t> </w:t>
      </w:r>
      <w:r>
        <w:rPr>
          <w:color w:val="00B1A9"/>
        </w:rPr>
        <w:t>and</w:t>
      </w:r>
      <w:r>
        <w:rPr>
          <w:color w:val="00B1A9"/>
          <w:spacing w:val="-2"/>
        </w:rPr>
        <w:t> structure</w:t>
      </w:r>
    </w:p>
    <w:p>
      <w:pPr>
        <w:pStyle w:val="BodyText"/>
        <w:spacing w:before="2"/>
        <w:rPr>
          <w:b/>
          <w:sz w:val="39"/>
        </w:rPr>
      </w:pPr>
    </w:p>
    <w:p>
      <w:pPr>
        <w:spacing w:before="0"/>
        <w:ind w:left="232" w:right="0" w:firstLine="0"/>
        <w:jc w:val="left"/>
        <w:rPr>
          <w:b/>
          <w:sz w:val="32"/>
        </w:rPr>
      </w:pPr>
      <w:r>
        <w:rPr/>
        <mc:AlternateContent>
          <mc:Choice Requires="wps">
            <w:drawing>
              <wp:anchor distT="0" distB="0" distL="0" distR="0" allowOverlap="1" layoutInCell="1" locked="0" behindDoc="0" simplePos="0" relativeHeight="15817216">
                <wp:simplePos x="0" y="0"/>
                <wp:positionH relativeFrom="page">
                  <wp:posOffset>530225</wp:posOffset>
                </wp:positionH>
                <wp:positionV relativeFrom="paragraph">
                  <wp:posOffset>614347</wp:posOffset>
                </wp:positionV>
                <wp:extent cx="6576059" cy="4232910"/>
                <wp:effectExtent l="0" t="0" r="0" b="0"/>
                <wp:wrapNone/>
                <wp:docPr id="250" name="Group 250"/>
                <wp:cNvGraphicFramePr>
                  <a:graphicFrameLocks/>
                </wp:cNvGraphicFramePr>
                <a:graphic>
                  <a:graphicData uri="http://schemas.microsoft.com/office/word/2010/wordprocessingGroup">
                    <wpg:wgp>
                      <wpg:cNvPr id="250" name="Group 250"/>
                      <wpg:cNvGrpSpPr/>
                      <wpg:grpSpPr>
                        <a:xfrm>
                          <a:off x="0" y="0"/>
                          <a:ext cx="6576059" cy="4232910"/>
                          <a:chExt cx="6576059" cy="4232910"/>
                        </a:xfrm>
                      </wpg:grpSpPr>
                      <wps:wsp>
                        <wps:cNvPr id="251" name="Graphic 251"/>
                        <wps:cNvSpPr/>
                        <wps:spPr>
                          <a:xfrm>
                            <a:off x="1486153" y="224078"/>
                            <a:ext cx="3777615" cy="3390265"/>
                          </a:xfrm>
                          <a:custGeom>
                            <a:avLst/>
                            <a:gdLst/>
                            <a:ahLst/>
                            <a:cxnLst/>
                            <a:rect l="l" t="t" r="r" b="b"/>
                            <a:pathLst>
                              <a:path w="3777615" h="3390265">
                                <a:moveTo>
                                  <a:pt x="3444748" y="3389883"/>
                                </a:moveTo>
                                <a:lnTo>
                                  <a:pt x="3777487" y="3389883"/>
                                </a:lnTo>
                              </a:path>
                              <a:path w="3777615" h="3390265">
                                <a:moveTo>
                                  <a:pt x="0" y="0"/>
                                </a:moveTo>
                                <a:lnTo>
                                  <a:pt x="0" y="189229"/>
                                </a:lnTo>
                              </a:path>
                            </a:pathLst>
                          </a:custGeom>
                          <a:ln w="9525">
                            <a:solidFill>
                              <a:srgbClr val="000000"/>
                            </a:solidFill>
                            <a:prstDash val="solid"/>
                          </a:ln>
                        </wps:spPr>
                        <wps:bodyPr wrap="square" lIns="0" tIns="0" rIns="0" bIns="0" rtlCol="0">
                          <a:prstTxWarp prst="textNoShape">
                            <a:avLst/>
                          </a:prstTxWarp>
                          <a:noAutofit/>
                        </wps:bodyPr>
                      </wps:wsp>
                      <wps:wsp>
                        <wps:cNvPr id="252" name="Graphic 252"/>
                        <wps:cNvSpPr/>
                        <wps:spPr>
                          <a:xfrm>
                            <a:off x="831214" y="428777"/>
                            <a:ext cx="1299845" cy="774065"/>
                          </a:xfrm>
                          <a:custGeom>
                            <a:avLst/>
                            <a:gdLst/>
                            <a:ahLst/>
                            <a:cxnLst/>
                            <a:rect l="l" t="t" r="r" b="b"/>
                            <a:pathLst>
                              <a:path w="1299845" h="774065">
                                <a:moveTo>
                                  <a:pt x="1299336" y="0"/>
                                </a:moveTo>
                                <a:lnTo>
                                  <a:pt x="0" y="0"/>
                                </a:lnTo>
                                <a:lnTo>
                                  <a:pt x="0" y="773709"/>
                                </a:lnTo>
                                <a:lnTo>
                                  <a:pt x="1299336" y="773709"/>
                                </a:lnTo>
                                <a:lnTo>
                                  <a:pt x="1299336" y="0"/>
                                </a:lnTo>
                                <a:close/>
                              </a:path>
                            </a:pathLst>
                          </a:custGeom>
                          <a:solidFill>
                            <a:srgbClr val="E4F7F6"/>
                          </a:solidFill>
                        </wps:spPr>
                        <wps:bodyPr wrap="square" lIns="0" tIns="0" rIns="0" bIns="0" rtlCol="0">
                          <a:prstTxWarp prst="textNoShape">
                            <a:avLst/>
                          </a:prstTxWarp>
                          <a:noAutofit/>
                        </wps:bodyPr>
                      </wps:wsp>
                      <wps:wsp>
                        <wps:cNvPr id="253" name="Graphic 253"/>
                        <wps:cNvSpPr/>
                        <wps:spPr>
                          <a:xfrm>
                            <a:off x="831214" y="428777"/>
                            <a:ext cx="1299845" cy="774065"/>
                          </a:xfrm>
                          <a:custGeom>
                            <a:avLst/>
                            <a:gdLst/>
                            <a:ahLst/>
                            <a:cxnLst/>
                            <a:rect l="l" t="t" r="r" b="b"/>
                            <a:pathLst>
                              <a:path w="1299845" h="774065">
                                <a:moveTo>
                                  <a:pt x="0" y="773709"/>
                                </a:moveTo>
                                <a:lnTo>
                                  <a:pt x="1299336" y="773709"/>
                                </a:lnTo>
                                <a:lnTo>
                                  <a:pt x="1299336" y="0"/>
                                </a:lnTo>
                                <a:lnTo>
                                  <a:pt x="0" y="0"/>
                                </a:lnTo>
                                <a:lnTo>
                                  <a:pt x="0" y="773709"/>
                                </a:lnTo>
                                <a:close/>
                              </a:path>
                            </a:pathLst>
                          </a:custGeom>
                          <a:ln w="25400">
                            <a:solidFill>
                              <a:srgbClr val="00B3A8"/>
                            </a:solidFill>
                            <a:prstDash val="solid"/>
                          </a:ln>
                        </wps:spPr>
                        <wps:bodyPr wrap="square" lIns="0" tIns="0" rIns="0" bIns="0" rtlCol="0">
                          <a:prstTxWarp prst="textNoShape">
                            <a:avLst/>
                          </a:prstTxWarp>
                          <a:noAutofit/>
                        </wps:bodyPr>
                      </wps:wsp>
                      <pic:pic>
                        <pic:nvPicPr>
                          <pic:cNvPr id="254" name="Image 254"/>
                          <pic:cNvPicPr/>
                        </pic:nvPicPr>
                        <pic:blipFill>
                          <a:blip r:embed="rId119" cstate="print"/>
                          <a:stretch>
                            <a:fillRect/>
                          </a:stretch>
                        </pic:blipFill>
                        <pic:spPr>
                          <a:xfrm>
                            <a:off x="844422" y="487349"/>
                            <a:ext cx="1274064" cy="656844"/>
                          </a:xfrm>
                          <a:prstGeom prst="rect">
                            <a:avLst/>
                          </a:prstGeom>
                        </pic:spPr>
                      </pic:pic>
                      <wps:wsp>
                        <wps:cNvPr id="255" name="Graphic 255"/>
                        <wps:cNvSpPr/>
                        <wps:spPr>
                          <a:xfrm>
                            <a:off x="3075432" y="12700"/>
                            <a:ext cx="1444625" cy="713740"/>
                          </a:xfrm>
                          <a:custGeom>
                            <a:avLst/>
                            <a:gdLst/>
                            <a:ahLst/>
                            <a:cxnLst/>
                            <a:rect l="l" t="t" r="r" b="b"/>
                            <a:pathLst>
                              <a:path w="1444625" h="713740">
                                <a:moveTo>
                                  <a:pt x="1444371" y="0"/>
                                </a:moveTo>
                                <a:lnTo>
                                  <a:pt x="0" y="0"/>
                                </a:lnTo>
                                <a:lnTo>
                                  <a:pt x="0" y="713536"/>
                                </a:lnTo>
                                <a:lnTo>
                                  <a:pt x="1444371" y="713536"/>
                                </a:lnTo>
                                <a:lnTo>
                                  <a:pt x="1444371" y="0"/>
                                </a:lnTo>
                                <a:close/>
                              </a:path>
                            </a:pathLst>
                          </a:custGeom>
                          <a:solidFill>
                            <a:srgbClr val="E4F7F6"/>
                          </a:solidFill>
                        </wps:spPr>
                        <wps:bodyPr wrap="square" lIns="0" tIns="0" rIns="0" bIns="0" rtlCol="0">
                          <a:prstTxWarp prst="textNoShape">
                            <a:avLst/>
                          </a:prstTxWarp>
                          <a:noAutofit/>
                        </wps:bodyPr>
                      </wps:wsp>
                      <wps:wsp>
                        <wps:cNvPr id="256" name="Graphic 256"/>
                        <wps:cNvSpPr/>
                        <wps:spPr>
                          <a:xfrm>
                            <a:off x="3075432" y="12700"/>
                            <a:ext cx="1444625" cy="713740"/>
                          </a:xfrm>
                          <a:custGeom>
                            <a:avLst/>
                            <a:gdLst/>
                            <a:ahLst/>
                            <a:cxnLst/>
                            <a:rect l="l" t="t" r="r" b="b"/>
                            <a:pathLst>
                              <a:path w="1444625" h="713740">
                                <a:moveTo>
                                  <a:pt x="0" y="713536"/>
                                </a:moveTo>
                                <a:lnTo>
                                  <a:pt x="1444371" y="713536"/>
                                </a:lnTo>
                                <a:lnTo>
                                  <a:pt x="1444371" y="0"/>
                                </a:lnTo>
                                <a:lnTo>
                                  <a:pt x="0" y="0"/>
                                </a:lnTo>
                                <a:lnTo>
                                  <a:pt x="0" y="713536"/>
                                </a:lnTo>
                                <a:close/>
                              </a:path>
                            </a:pathLst>
                          </a:custGeom>
                          <a:ln w="25400">
                            <a:solidFill>
                              <a:srgbClr val="00B3A8"/>
                            </a:solidFill>
                            <a:prstDash val="solid"/>
                          </a:ln>
                        </wps:spPr>
                        <wps:bodyPr wrap="square" lIns="0" tIns="0" rIns="0" bIns="0" rtlCol="0">
                          <a:prstTxWarp prst="textNoShape">
                            <a:avLst/>
                          </a:prstTxWarp>
                          <a:noAutofit/>
                        </wps:bodyPr>
                      </wps:wsp>
                      <wps:wsp>
                        <wps:cNvPr id="257" name="Graphic 257"/>
                        <wps:cNvSpPr/>
                        <wps:spPr>
                          <a:xfrm>
                            <a:off x="1492885" y="224078"/>
                            <a:ext cx="2299335" cy="1010285"/>
                          </a:xfrm>
                          <a:custGeom>
                            <a:avLst/>
                            <a:gdLst/>
                            <a:ahLst/>
                            <a:cxnLst/>
                            <a:rect l="l" t="t" r="r" b="b"/>
                            <a:pathLst>
                              <a:path w="2299335" h="1010285">
                                <a:moveTo>
                                  <a:pt x="0" y="0"/>
                                </a:moveTo>
                                <a:lnTo>
                                  <a:pt x="1564766" y="0"/>
                                </a:lnTo>
                              </a:path>
                              <a:path w="2299335" h="1010285">
                                <a:moveTo>
                                  <a:pt x="2298827" y="511555"/>
                                </a:moveTo>
                                <a:lnTo>
                                  <a:pt x="2298827" y="1010157"/>
                                </a:lnTo>
                              </a:path>
                            </a:pathLst>
                          </a:custGeom>
                          <a:ln w="9525">
                            <a:solidFill>
                              <a:srgbClr val="000000"/>
                            </a:solidFill>
                            <a:prstDash val="solid"/>
                          </a:ln>
                        </wps:spPr>
                        <wps:bodyPr wrap="square" lIns="0" tIns="0" rIns="0" bIns="0" rtlCol="0">
                          <a:prstTxWarp prst="textNoShape">
                            <a:avLst/>
                          </a:prstTxWarp>
                          <a:noAutofit/>
                        </wps:bodyPr>
                      </wps:wsp>
                      <wps:wsp>
                        <wps:cNvPr id="258" name="Graphic 258"/>
                        <wps:cNvSpPr/>
                        <wps:spPr>
                          <a:xfrm>
                            <a:off x="3812159" y="3917619"/>
                            <a:ext cx="1270" cy="309880"/>
                          </a:xfrm>
                          <a:custGeom>
                            <a:avLst/>
                            <a:gdLst/>
                            <a:ahLst/>
                            <a:cxnLst/>
                            <a:rect l="l" t="t" r="r" b="b"/>
                            <a:pathLst>
                              <a:path w="0" h="309880">
                                <a:moveTo>
                                  <a:pt x="0" y="0"/>
                                </a:moveTo>
                                <a:lnTo>
                                  <a:pt x="0" y="309879"/>
                                </a:lnTo>
                              </a:path>
                            </a:pathLst>
                          </a:custGeom>
                          <a:ln w="9525">
                            <a:solidFill>
                              <a:srgbClr val="000000"/>
                            </a:solidFill>
                            <a:prstDash val="sysDash"/>
                          </a:ln>
                        </wps:spPr>
                        <wps:bodyPr wrap="square" lIns="0" tIns="0" rIns="0" bIns="0" rtlCol="0">
                          <a:prstTxWarp prst="textNoShape">
                            <a:avLst/>
                          </a:prstTxWarp>
                          <a:noAutofit/>
                        </wps:bodyPr>
                      </wps:wsp>
                      <wps:wsp>
                        <wps:cNvPr id="259" name="Graphic 259"/>
                        <wps:cNvSpPr/>
                        <wps:spPr>
                          <a:xfrm>
                            <a:off x="3149473" y="1260398"/>
                            <a:ext cx="1298575" cy="2657475"/>
                          </a:xfrm>
                          <a:custGeom>
                            <a:avLst/>
                            <a:gdLst/>
                            <a:ahLst/>
                            <a:cxnLst/>
                            <a:rect l="l" t="t" r="r" b="b"/>
                            <a:pathLst>
                              <a:path w="1298575" h="2657475">
                                <a:moveTo>
                                  <a:pt x="1298194" y="0"/>
                                </a:moveTo>
                                <a:lnTo>
                                  <a:pt x="0" y="0"/>
                                </a:lnTo>
                                <a:lnTo>
                                  <a:pt x="0" y="2657220"/>
                                </a:lnTo>
                                <a:lnTo>
                                  <a:pt x="1298194" y="2657220"/>
                                </a:lnTo>
                                <a:lnTo>
                                  <a:pt x="1298194" y="0"/>
                                </a:lnTo>
                                <a:close/>
                              </a:path>
                            </a:pathLst>
                          </a:custGeom>
                          <a:solidFill>
                            <a:srgbClr val="E4F7F6"/>
                          </a:solidFill>
                        </wps:spPr>
                        <wps:bodyPr wrap="square" lIns="0" tIns="0" rIns="0" bIns="0" rtlCol="0">
                          <a:prstTxWarp prst="textNoShape">
                            <a:avLst/>
                          </a:prstTxWarp>
                          <a:noAutofit/>
                        </wps:bodyPr>
                      </wps:wsp>
                      <wps:wsp>
                        <wps:cNvPr id="260" name="Graphic 260"/>
                        <wps:cNvSpPr/>
                        <wps:spPr>
                          <a:xfrm>
                            <a:off x="3149473" y="1260398"/>
                            <a:ext cx="1298575" cy="2657475"/>
                          </a:xfrm>
                          <a:custGeom>
                            <a:avLst/>
                            <a:gdLst/>
                            <a:ahLst/>
                            <a:cxnLst/>
                            <a:rect l="l" t="t" r="r" b="b"/>
                            <a:pathLst>
                              <a:path w="1298575" h="2657475">
                                <a:moveTo>
                                  <a:pt x="0" y="2657220"/>
                                </a:moveTo>
                                <a:lnTo>
                                  <a:pt x="1298194" y="2657220"/>
                                </a:lnTo>
                                <a:lnTo>
                                  <a:pt x="1298194" y="0"/>
                                </a:lnTo>
                                <a:lnTo>
                                  <a:pt x="0" y="0"/>
                                </a:lnTo>
                                <a:lnTo>
                                  <a:pt x="0" y="2657220"/>
                                </a:lnTo>
                                <a:close/>
                              </a:path>
                            </a:pathLst>
                          </a:custGeom>
                          <a:ln w="25400">
                            <a:solidFill>
                              <a:srgbClr val="00B3A8"/>
                            </a:solidFill>
                            <a:prstDash val="solid"/>
                          </a:ln>
                        </wps:spPr>
                        <wps:bodyPr wrap="square" lIns="0" tIns="0" rIns="0" bIns="0" rtlCol="0">
                          <a:prstTxWarp prst="textNoShape">
                            <a:avLst/>
                          </a:prstTxWarp>
                          <a:noAutofit/>
                        </wps:bodyPr>
                      </wps:wsp>
                      <wps:wsp>
                        <wps:cNvPr id="261" name="Graphic 261"/>
                        <wps:cNvSpPr/>
                        <wps:spPr>
                          <a:xfrm>
                            <a:off x="633437" y="1219885"/>
                            <a:ext cx="1516380" cy="452755"/>
                          </a:xfrm>
                          <a:custGeom>
                            <a:avLst/>
                            <a:gdLst/>
                            <a:ahLst/>
                            <a:cxnLst/>
                            <a:rect l="l" t="t" r="r" b="b"/>
                            <a:pathLst>
                              <a:path w="1516380" h="452755">
                                <a:moveTo>
                                  <a:pt x="879894" y="0"/>
                                </a:moveTo>
                                <a:lnTo>
                                  <a:pt x="879894" y="189229"/>
                                </a:lnTo>
                              </a:path>
                              <a:path w="1516380" h="452755">
                                <a:moveTo>
                                  <a:pt x="0" y="204724"/>
                                </a:moveTo>
                                <a:lnTo>
                                  <a:pt x="1515783" y="204724"/>
                                </a:lnTo>
                              </a:path>
                              <a:path w="1516380" h="452755">
                                <a:moveTo>
                                  <a:pt x="1514386" y="211454"/>
                                </a:moveTo>
                                <a:lnTo>
                                  <a:pt x="1514386" y="452247"/>
                                </a:lnTo>
                              </a:path>
                            </a:pathLst>
                          </a:custGeom>
                          <a:ln w="9525">
                            <a:solidFill>
                              <a:srgbClr val="000000"/>
                            </a:solidFill>
                            <a:prstDash val="solid"/>
                          </a:ln>
                        </wps:spPr>
                        <wps:bodyPr wrap="square" lIns="0" tIns="0" rIns="0" bIns="0" rtlCol="0">
                          <a:prstTxWarp prst="textNoShape">
                            <a:avLst/>
                          </a:prstTxWarp>
                          <a:noAutofit/>
                        </wps:bodyPr>
                      </wps:wsp>
                      <wps:wsp>
                        <wps:cNvPr id="262" name="Graphic 262"/>
                        <wps:cNvSpPr/>
                        <wps:spPr>
                          <a:xfrm>
                            <a:off x="653910" y="2072563"/>
                            <a:ext cx="5354955" cy="2148840"/>
                          </a:xfrm>
                          <a:custGeom>
                            <a:avLst/>
                            <a:gdLst/>
                            <a:ahLst/>
                            <a:cxnLst/>
                            <a:rect l="l" t="t" r="r" b="b"/>
                            <a:pathLst>
                              <a:path w="5354955" h="2148840">
                                <a:moveTo>
                                  <a:pt x="3792613" y="0"/>
                                </a:moveTo>
                                <a:lnTo>
                                  <a:pt x="4267593" y="0"/>
                                </a:lnTo>
                              </a:path>
                              <a:path w="5354955" h="2148840">
                                <a:moveTo>
                                  <a:pt x="0" y="2148459"/>
                                </a:moveTo>
                                <a:lnTo>
                                  <a:pt x="5354713" y="2148459"/>
                                </a:lnTo>
                              </a:path>
                            </a:pathLst>
                          </a:custGeom>
                          <a:ln w="9525">
                            <a:solidFill>
                              <a:srgbClr val="000000"/>
                            </a:solidFill>
                            <a:prstDash val="sysDash"/>
                          </a:ln>
                        </wps:spPr>
                        <wps:bodyPr wrap="square" lIns="0" tIns="0" rIns="0" bIns="0" rtlCol="0">
                          <a:prstTxWarp prst="textNoShape">
                            <a:avLst/>
                          </a:prstTxWarp>
                          <a:noAutofit/>
                        </wps:bodyPr>
                      </wps:wsp>
                      <wps:wsp>
                        <wps:cNvPr id="263" name="Graphic 263"/>
                        <wps:cNvSpPr/>
                        <wps:spPr>
                          <a:xfrm>
                            <a:off x="651275" y="2462326"/>
                            <a:ext cx="1270" cy="1770380"/>
                          </a:xfrm>
                          <a:custGeom>
                            <a:avLst/>
                            <a:gdLst/>
                            <a:ahLst/>
                            <a:cxnLst/>
                            <a:rect l="l" t="t" r="r" b="b"/>
                            <a:pathLst>
                              <a:path w="0" h="1770380">
                                <a:moveTo>
                                  <a:pt x="0" y="0"/>
                                </a:moveTo>
                                <a:lnTo>
                                  <a:pt x="0" y="1770316"/>
                                </a:lnTo>
                              </a:path>
                            </a:pathLst>
                          </a:custGeom>
                          <a:ln w="17919">
                            <a:solidFill>
                              <a:srgbClr val="000000"/>
                            </a:solidFill>
                            <a:prstDash val="sysDash"/>
                          </a:ln>
                        </wps:spPr>
                        <wps:bodyPr wrap="square" lIns="0" tIns="0" rIns="0" bIns="0" rtlCol="0">
                          <a:prstTxWarp prst="textNoShape">
                            <a:avLst/>
                          </a:prstTxWarp>
                          <a:noAutofit/>
                        </wps:bodyPr>
                      </wps:wsp>
                      <wps:wsp>
                        <wps:cNvPr id="264" name="Graphic 264"/>
                        <wps:cNvSpPr/>
                        <wps:spPr>
                          <a:xfrm>
                            <a:off x="2165540" y="2578277"/>
                            <a:ext cx="1270" cy="1647825"/>
                          </a:xfrm>
                          <a:custGeom>
                            <a:avLst/>
                            <a:gdLst/>
                            <a:ahLst/>
                            <a:cxnLst/>
                            <a:rect l="l" t="t" r="r" b="b"/>
                            <a:pathLst>
                              <a:path w="0" h="1647825">
                                <a:moveTo>
                                  <a:pt x="0" y="0"/>
                                </a:moveTo>
                                <a:lnTo>
                                  <a:pt x="0" y="1647507"/>
                                </a:lnTo>
                              </a:path>
                            </a:pathLst>
                          </a:custGeom>
                          <a:ln w="17780">
                            <a:solidFill>
                              <a:srgbClr val="000000"/>
                            </a:solidFill>
                            <a:prstDash val="sysDash"/>
                          </a:ln>
                        </wps:spPr>
                        <wps:bodyPr wrap="square" lIns="0" tIns="0" rIns="0" bIns="0" rtlCol="0">
                          <a:prstTxWarp prst="textNoShape">
                            <a:avLst/>
                          </a:prstTxWarp>
                          <a:noAutofit/>
                        </wps:bodyPr>
                      </wps:wsp>
                      <wps:wsp>
                        <wps:cNvPr id="265" name="Graphic 265"/>
                        <wps:cNvSpPr/>
                        <wps:spPr>
                          <a:xfrm>
                            <a:off x="5995034" y="4154982"/>
                            <a:ext cx="1270" cy="73025"/>
                          </a:xfrm>
                          <a:custGeom>
                            <a:avLst/>
                            <a:gdLst/>
                            <a:ahLst/>
                            <a:cxnLst/>
                            <a:rect l="l" t="t" r="r" b="b"/>
                            <a:pathLst>
                              <a:path w="0" h="73025">
                                <a:moveTo>
                                  <a:pt x="0" y="0"/>
                                </a:moveTo>
                                <a:lnTo>
                                  <a:pt x="0" y="72516"/>
                                </a:lnTo>
                              </a:path>
                            </a:pathLst>
                          </a:custGeom>
                          <a:ln w="9525">
                            <a:solidFill>
                              <a:srgbClr val="000000"/>
                            </a:solidFill>
                            <a:prstDash val="sysDash"/>
                          </a:ln>
                        </wps:spPr>
                        <wps:bodyPr wrap="square" lIns="0" tIns="0" rIns="0" bIns="0" rtlCol="0">
                          <a:prstTxWarp prst="textNoShape">
                            <a:avLst/>
                          </a:prstTxWarp>
                          <a:noAutofit/>
                        </wps:bodyPr>
                      </wps:wsp>
                      <wps:wsp>
                        <wps:cNvPr id="266" name="Graphic 266"/>
                        <wps:cNvSpPr/>
                        <wps:spPr>
                          <a:xfrm>
                            <a:off x="633437" y="265099"/>
                            <a:ext cx="4632325" cy="3333750"/>
                          </a:xfrm>
                          <a:custGeom>
                            <a:avLst/>
                            <a:gdLst/>
                            <a:ahLst/>
                            <a:cxnLst/>
                            <a:rect l="l" t="t" r="r" b="b"/>
                            <a:pathLst>
                              <a:path w="4632325" h="3333750">
                                <a:moveTo>
                                  <a:pt x="3901732" y="0"/>
                                </a:moveTo>
                                <a:lnTo>
                                  <a:pt x="4297464" y="0"/>
                                </a:lnTo>
                              </a:path>
                              <a:path w="4632325" h="3333750">
                                <a:moveTo>
                                  <a:pt x="4304195" y="709295"/>
                                </a:moveTo>
                                <a:lnTo>
                                  <a:pt x="4631347" y="709295"/>
                                </a:lnTo>
                              </a:path>
                              <a:path w="4632325" h="3333750">
                                <a:moveTo>
                                  <a:pt x="4304195" y="1636903"/>
                                </a:moveTo>
                                <a:lnTo>
                                  <a:pt x="4631728" y="1636903"/>
                                </a:lnTo>
                              </a:path>
                              <a:path w="4632325" h="3333750">
                                <a:moveTo>
                                  <a:pt x="4324769" y="2523617"/>
                                </a:moveTo>
                                <a:lnTo>
                                  <a:pt x="4631347" y="2523617"/>
                                </a:lnTo>
                              </a:path>
                              <a:path w="4632325" h="3333750">
                                <a:moveTo>
                                  <a:pt x="4290606" y="0"/>
                                </a:moveTo>
                                <a:lnTo>
                                  <a:pt x="4300893" y="3333242"/>
                                </a:lnTo>
                              </a:path>
                              <a:path w="4632325" h="3333750">
                                <a:moveTo>
                                  <a:pt x="0" y="1166241"/>
                                </a:moveTo>
                                <a:lnTo>
                                  <a:pt x="0" y="1407033"/>
                                </a:lnTo>
                              </a:path>
                            </a:pathLst>
                          </a:custGeom>
                          <a:ln w="9525">
                            <a:solidFill>
                              <a:srgbClr val="000000"/>
                            </a:solidFill>
                            <a:prstDash val="solid"/>
                          </a:ln>
                        </wps:spPr>
                        <wps:bodyPr wrap="square" lIns="0" tIns="0" rIns="0" bIns="0" rtlCol="0">
                          <a:prstTxWarp prst="textNoShape">
                            <a:avLst/>
                          </a:prstTxWarp>
                          <a:noAutofit/>
                        </wps:bodyPr>
                      </wps:wsp>
                      <wps:wsp>
                        <wps:cNvPr id="267" name="Graphic 267"/>
                        <wps:cNvSpPr/>
                        <wps:spPr>
                          <a:xfrm>
                            <a:off x="5264784" y="537489"/>
                            <a:ext cx="1298575" cy="734695"/>
                          </a:xfrm>
                          <a:custGeom>
                            <a:avLst/>
                            <a:gdLst/>
                            <a:ahLst/>
                            <a:cxnLst/>
                            <a:rect l="l" t="t" r="r" b="b"/>
                            <a:pathLst>
                              <a:path w="1298575" h="734695">
                                <a:moveTo>
                                  <a:pt x="1298193" y="0"/>
                                </a:moveTo>
                                <a:lnTo>
                                  <a:pt x="0" y="0"/>
                                </a:lnTo>
                                <a:lnTo>
                                  <a:pt x="0" y="734339"/>
                                </a:lnTo>
                                <a:lnTo>
                                  <a:pt x="1298193" y="734339"/>
                                </a:lnTo>
                                <a:lnTo>
                                  <a:pt x="1298193" y="0"/>
                                </a:lnTo>
                                <a:close/>
                              </a:path>
                            </a:pathLst>
                          </a:custGeom>
                          <a:solidFill>
                            <a:srgbClr val="E4F7F6"/>
                          </a:solidFill>
                        </wps:spPr>
                        <wps:bodyPr wrap="square" lIns="0" tIns="0" rIns="0" bIns="0" rtlCol="0">
                          <a:prstTxWarp prst="textNoShape">
                            <a:avLst/>
                          </a:prstTxWarp>
                          <a:noAutofit/>
                        </wps:bodyPr>
                      </wps:wsp>
                      <wps:wsp>
                        <wps:cNvPr id="268" name="Graphic 268"/>
                        <wps:cNvSpPr/>
                        <wps:spPr>
                          <a:xfrm>
                            <a:off x="5264784" y="537489"/>
                            <a:ext cx="1298575" cy="734695"/>
                          </a:xfrm>
                          <a:custGeom>
                            <a:avLst/>
                            <a:gdLst/>
                            <a:ahLst/>
                            <a:cxnLst/>
                            <a:rect l="l" t="t" r="r" b="b"/>
                            <a:pathLst>
                              <a:path w="1298575" h="734695">
                                <a:moveTo>
                                  <a:pt x="0" y="734339"/>
                                </a:moveTo>
                                <a:lnTo>
                                  <a:pt x="1298193" y="734339"/>
                                </a:lnTo>
                                <a:lnTo>
                                  <a:pt x="1298193" y="0"/>
                                </a:lnTo>
                                <a:lnTo>
                                  <a:pt x="0" y="0"/>
                                </a:lnTo>
                                <a:lnTo>
                                  <a:pt x="0" y="734339"/>
                                </a:lnTo>
                                <a:close/>
                              </a:path>
                            </a:pathLst>
                          </a:custGeom>
                          <a:ln w="25400">
                            <a:solidFill>
                              <a:srgbClr val="00B3A8"/>
                            </a:solidFill>
                            <a:prstDash val="solid"/>
                          </a:ln>
                        </wps:spPr>
                        <wps:bodyPr wrap="square" lIns="0" tIns="0" rIns="0" bIns="0" rtlCol="0">
                          <a:prstTxWarp prst="textNoShape">
                            <a:avLst/>
                          </a:prstTxWarp>
                          <a:noAutofit/>
                        </wps:bodyPr>
                      </wps:wsp>
                      <wps:wsp>
                        <wps:cNvPr id="269" name="Graphic 269"/>
                        <wps:cNvSpPr/>
                        <wps:spPr>
                          <a:xfrm>
                            <a:off x="5265165" y="1465452"/>
                            <a:ext cx="1298575" cy="713740"/>
                          </a:xfrm>
                          <a:custGeom>
                            <a:avLst/>
                            <a:gdLst/>
                            <a:ahLst/>
                            <a:cxnLst/>
                            <a:rect l="l" t="t" r="r" b="b"/>
                            <a:pathLst>
                              <a:path w="1298575" h="713740">
                                <a:moveTo>
                                  <a:pt x="1298193" y="0"/>
                                </a:moveTo>
                                <a:lnTo>
                                  <a:pt x="0" y="0"/>
                                </a:lnTo>
                                <a:lnTo>
                                  <a:pt x="0" y="713536"/>
                                </a:lnTo>
                                <a:lnTo>
                                  <a:pt x="1298193" y="713536"/>
                                </a:lnTo>
                                <a:lnTo>
                                  <a:pt x="1298193" y="0"/>
                                </a:lnTo>
                                <a:close/>
                              </a:path>
                            </a:pathLst>
                          </a:custGeom>
                          <a:solidFill>
                            <a:srgbClr val="E4F7F6"/>
                          </a:solidFill>
                        </wps:spPr>
                        <wps:bodyPr wrap="square" lIns="0" tIns="0" rIns="0" bIns="0" rtlCol="0">
                          <a:prstTxWarp prst="textNoShape">
                            <a:avLst/>
                          </a:prstTxWarp>
                          <a:noAutofit/>
                        </wps:bodyPr>
                      </wps:wsp>
                      <wps:wsp>
                        <wps:cNvPr id="270" name="Graphic 270"/>
                        <wps:cNvSpPr/>
                        <wps:spPr>
                          <a:xfrm>
                            <a:off x="5265165" y="1465452"/>
                            <a:ext cx="1298575" cy="713740"/>
                          </a:xfrm>
                          <a:custGeom>
                            <a:avLst/>
                            <a:gdLst/>
                            <a:ahLst/>
                            <a:cxnLst/>
                            <a:rect l="l" t="t" r="r" b="b"/>
                            <a:pathLst>
                              <a:path w="1298575" h="713740">
                                <a:moveTo>
                                  <a:pt x="0" y="713536"/>
                                </a:moveTo>
                                <a:lnTo>
                                  <a:pt x="1298193" y="713536"/>
                                </a:lnTo>
                                <a:lnTo>
                                  <a:pt x="1298193" y="0"/>
                                </a:lnTo>
                                <a:lnTo>
                                  <a:pt x="0" y="0"/>
                                </a:lnTo>
                                <a:lnTo>
                                  <a:pt x="0" y="713536"/>
                                </a:lnTo>
                                <a:close/>
                              </a:path>
                            </a:pathLst>
                          </a:custGeom>
                          <a:ln w="25400">
                            <a:solidFill>
                              <a:srgbClr val="00B3A8"/>
                            </a:solidFill>
                            <a:prstDash val="solid"/>
                          </a:ln>
                        </wps:spPr>
                        <wps:bodyPr wrap="square" lIns="0" tIns="0" rIns="0" bIns="0" rtlCol="0">
                          <a:prstTxWarp prst="textNoShape">
                            <a:avLst/>
                          </a:prstTxWarp>
                          <a:noAutofit/>
                        </wps:bodyPr>
                      </wps:wsp>
                      <wps:wsp>
                        <wps:cNvPr id="271" name="Graphic 271"/>
                        <wps:cNvSpPr/>
                        <wps:spPr>
                          <a:xfrm>
                            <a:off x="5264784" y="2345169"/>
                            <a:ext cx="1298575" cy="649605"/>
                          </a:xfrm>
                          <a:custGeom>
                            <a:avLst/>
                            <a:gdLst/>
                            <a:ahLst/>
                            <a:cxnLst/>
                            <a:rect l="l" t="t" r="r" b="b"/>
                            <a:pathLst>
                              <a:path w="1298575" h="649605">
                                <a:moveTo>
                                  <a:pt x="1298193" y="0"/>
                                </a:moveTo>
                                <a:lnTo>
                                  <a:pt x="0" y="0"/>
                                </a:lnTo>
                                <a:lnTo>
                                  <a:pt x="0" y="649033"/>
                                </a:lnTo>
                                <a:lnTo>
                                  <a:pt x="1298193" y="649033"/>
                                </a:lnTo>
                                <a:lnTo>
                                  <a:pt x="1298193" y="0"/>
                                </a:lnTo>
                                <a:close/>
                              </a:path>
                            </a:pathLst>
                          </a:custGeom>
                          <a:solidFill>
                            <a:srgbClr val="E4F7F6"/>
                          </a:solidFill>
                        </wps:spPr>
                        <wps:bodyPr wrap="square" lIns="0" tIns="0" rIns="0" bIns="0" rtlCol="0">
                          <a:prstTxWarp prst="textNoShape">
                            <a:avLst/>
                          </a:prstTxWarp>
                          <a:noAutofit/>
                        </wps:bodyPr>
                      </wps:wsp>
                      <wps:wsp>
                        <wps:cNvPr id="272" name="Graphic 272"/>
                        <wps:cNvSpPr/>
                        <wps:spPr>
                          <a:xfrm>
                            <a:off x="5264784" y="2345169"/>
                            <a:ext cx="1298575" cy="649605"/>
                          </a:xfrm>
                          <a:custGeom>
                            <a:avLst/>
                            <a:gdLst/>
                            <a:ahLst/>
                            <a:cxnLst/>
                            <a:rect l="l" t="t" r="r" b="b"/>
                            <a:pathLst>
                              <a:path w="1298575" h="649605">
                                <a:moveTo>
                                  <a:pt x="0" y="649033"/>
                                </a:moveTo>
                                <a:lnTo>
                                  <a:pt x="1298193" y="649033"/>
                                </a:lnTo>
                                <a:lnTo>
                                  <a:pt x="1298193" y="0"/>
                                </a:lnTo>
                                <a:lnTo>
                                  <a:pt x="0" y="0"/>
                                </a:lnTo>
                                <a:lnTo>
                                  <a:pt x="0" y="649033"/>
                                </a:lnTo>
                                <a:close/>
                              </a:path>
                            </a:pathLst>
                          </a:custGeom>
                          <a:ln w="25400">
                            <a:solidFill>
                              <a:srgbClr val="00B3A8"/>
                            </a:solidFill>
                            <a:prstDash val="solid"/>
                          </a:ln>
                        </wps:spPr>
                        <wps:bodyPr wrap="square" lIns="0" tIns="0" rIns="0" bIns="0" rtlCol="0">
                          <a:prstTxWarp prst="textNoShape">
                            <a:avLst/>
                          </a:prstTxWarp>
                          <a:noAutofit/>
                        </wps:bodyPr>
                      </wps:wsp>
                      <wps:wsp>
                        <wps:cNvPr id="273" name="Graphic 273"/>
                        <wps:cNvSpPr/>
                        <wps:spPr>
                          <a:xfrm>
                            <a:off x="5263641" y="3200374"/>
                            <a:ext cx="1298575" cy="955040"/>
                          </a:xfrm>
                          <a:custGeom>
                            <a:avLst/>
                            <a:gdLst/>
                            <a:ahLst/>
                            <a:cxnLst/>
                            <a:rect l="l" t="t" r="r" b="b"/>
                            <a:pathLst>
                              <a:path w="1298575" h="955040">
                                <a:moveTo>
                                  <a:pt x="1298193" y="0"/>
                                </a:moveTo>
                                <a:lnTo>
                                  <a:pt x="0" y="0"/>
                                </a:lnTo>
                                <a:lnTo>
                                  <a:pt x="0" y="954608"/>
                                </a:lnTo>
                                <a:lnTo>
                                  <a:pt x="1298193" y="954608"/>
                                </a:lnTo>
                                <a:lnTo>
                                  <a:pt x="1298193" y="0"/>
                                </a:lnTo>
                                <a:close/>
                              </a:path>
                            </a:pathLst>
                          </a:custGeom>
                          <a:solidFill>
                            <a:srgbClr val="E4F7F6"/>
                          </a:solidFill>
                        </wps:spPr>
                        <wps:bodyPr wrap="square" lIns="0" tIns="0" rIns="0" bIns="0" rtlCol="0">
                          <a:prstTxWarp prst="textNoShape">
                            <a:avLst/>
                          </a:prstTxWarp>
                          <a:noAutofit/>
                        </wps:bodyPr>
                      </wps:wsp>
                      <wps:wsp>
                        <wps:cNvPr id="274" name="Graphic 274"/>
                        <wps:cNvSpPr/>
                        <wps:spPr>
                          <a:xfrm>
                            <a:off x="5263641" y="3200374"/>
                            <a:ext cx="1298575" cy="955040"/>
                          </a:xfrm>
                          <a:custGeom>
                            <a:avLst/>
                            <a:gdLst/>
                            <a:ahLst/>
                            <a:cxnLst/>
                            <a:rect l="l" t="t" r="r" b="b"/>
                            <a:pathLst>
                              <a:path w="1298575" h="955040">
                                <a:moveTo>
                                  <a:pt x="0" y="954608"/>
                                </a:moveTo>
                                <a:lnTo>
                                  <a:pt x="1298193" y="954608"/>
                                </a:lnTo>
                                <a:lnTo>
                                  <a:pt x="1298193" y="0"/>
                                </a:lnTo>
                                <a:lnTo>
                                  <a:pt x="0" y="0"/>
                                </a:lnTo>
                                <a:lnTo>
                                  <a:pt x="0" y="954608"/>
                                </a:lnTo>
                                <a:close/>
                              </a:path>
                            </a:pathLst>
                          </a:custGeom>
                          <a:ln w="25400">
                            <a:solidFill>
                              <a:srgbClr val="00B3A8"/>
                            </a:solidFill>
                            <a:prstDash val="solid"/>
                          </a:ln>
                        </wps:spPr>
                        <wps:bodyPr wrap="square" lIns="0" tIns="0" rIns="0" bIns="0" rtlCol="0">
                          <a:prstTxWarp prst="textNoShape">
                            <a:avLst/>
                          </a:prstTxWarp>
                          <a:noAutofit/>
                        </wps:bodyPr>
                      </wps:wsp>
                      <wps:wsp>
                        <wps:cNvPr id="275" name="Graphic 275"/>
                        <wps:cNvSpPr/>
                        <wps:spPr>
                          <a:xfrm>
                            <a:off x="1492885" y="1683626"/>
                            <a:ext cx="1298575" cy="894715"/>
                          </a:xfrm>
                          <a:custGeom>
                            <a:avLst/>
                            <a:gdLst/>
                            <a:ahLst/>
                            <a:cxnLst/>
                            <a:rect l="l" t="t" r="r" b="b"/>
                            <a:pathLst>
                              <a:path w="1298575" h="894715">
                                <a:moveTo>
                                  <a:pt x="1298193" y="0"/>
                                </a:moveTo>
                                <a:lnTo>
                                  <a:pt x="0" y="0"/>
                                </a:lnTo>
                                <a:lnTo>
                                  <a:pt x="0" y="894651"/>
                                </a:lnTo>
                                <a:lnTo>
                                  <a:pt x="1298193" y="894651"/>
                                </a:lnTo>
                                <a:lnTo>
                                  <a:pt x="1298193" y="0"/>
                                </a:lnTo>
                                <a:close/>
                              </a:path>
                            </a:pathLst>
                          </a:custGeom>
                          <a:solidFill>
                            <a:srgbClr val="E4F7F6"/>
                          </a:solidFill>
                        </wps:spPr>
                        <wps:bodyPr wrap="square" lIns="0" tIns="0" rIns="0" bIns="0" rtlCol="0">
                          <a:prstTxWarp prst="textNoShape">
                            <a:avLst/>
                          </a:prstTxWarp>
                          <a:noAutofit/>
                        </wps:bodyPr>
                      </wps:wsp>
                      <wps:wsp>
                        <wps:cNvPr id="276" name="Graphic 276"/>
                        <wps:cNvSpPr/>
                        <wps:spPr>
                          <a:xfrm>
                            <a:off x="1492885" y="1683626"/>
                            <a:ext cx="1298575" cy="894715"/>
                          </a:xfrm>
                          <a:custGeom>
                            <a:avLst/>
                            <a:gdLst/>
                            <a:ahLst/>
                            <a:cxnLst/>
                            <a:rect l="l" t="t" r="r" b="b"/>
                            <a:pathLst>
                              <a:path w="1298575" h="894715">
                                <a:moveTo>
                                  <a:pt x="0" y="894651"/>
                                </a:moveTo>
                                <a:lnTo>
                                  <a:pt x="1298193" y="894651"/>
                                </a:lnTo>
                                <a:lnTo>
                                  <a:pt x="1298193" y="0"/>
                                </a:lnTo>
                                <a:lnTo>
                                  <a:pt x="0" y="0"/>
                                </a:lnTo>
                                <a:lnTo>
                                  <a:pt x="0" y="894651"/>
                                </a:lnTo>
                                <a:close/>
                              </a:path>
                            </a:pathLst>
                          </a:custGeom>
                          <a:ln w="25400">
                            <a:solidFill>
                              <a:srgbClr val="00B3A8"/>
                            </a:solidFill>
                            <a:prstDash val="solid"/>
                          </a:ln>
                        </wps:spPr>
                        <wps:bodyPr wrap="square" lIns="0" tIns="0" rIns="0" bIns="0" rtlCol="0">
                          <a:prstTxWarp prst="textNoShape">
                            <a:avLst/>
                          </a:prstTxWarp>
                          <a:noAutofit/>
                        </wps:bodyPr>
                      </wps:wsp>
                      <wps:wsp>
                        <wps:cNvPr id="277" name="Graphic 277"/>
                        <wps:cNvSpPr/>
                        <wps:spPr>
                          <a:xfrm>
                            <a:off x="12700" y="1690484"/>
                            <a:ext cx="1298575" cy="772160"/>
                          </a:xfrm>
                          <a:custGeom>
                            <a:avLst/>
                            <a:gdLst/>
                            <a:ahLst/>
                            <a:cxnLst/>
                            <a:rect l="l" t="t" r="r" b="b"/>
                            <a:pathLst>
                              <a:path w="1298575" h="772160">
                                <a:moveTo>
                                  <a:pt x="1298194" y="0"/>
                                </a:moveTo>
                                <a:lnTo>
                                  <a:pt x="0" y="0"/>
                                </a:lnTo>
                                <a:lnTo>
                                  <a:pt x="0" y="771842"/>
                                </a:lnTo>
                                <a:lnTo>
                                  <a:pt x="1298194" y="771842"/>
                                </a:lnTo>
                                <a:lnTo>
                                  <a:pt x="1298194" y="0"/>
                                </a:lnTo>
                                <a:close/>
                              </a:path>
                            </a:pathLst>
                          </a:custGeom>
                          <a:solidFill>
                            <a:srgbClr val="E4F7F6"/>
                          </a:solidFill>
                        </wps:spPr>
                        <wps:bodyPr wrap="square" lIns="0" tIns="0" rIns="0" bIns="0" rtlCol="0">
                          <a:prstTxWarp prst="textNoShape">
                            <a:avLst/>
                          </a:prstTxWarp>
                          <a:noAutofit/>
                        </wps:bodyPr>
                      </wps:wsp>
                      <wps:wsp>
                        <wps:cNvPr id="278" name="Graphic 278"/>
                        <wps:cNvSpPr/>
                        <wps:spPr>
                          <a:xfrm>
                            <a:off x="12700" y="1690484"/>
                            <a:ext cx="1298575" cy="772160"/>
                          </a:xfrm>
                          <a:custGeom>
                            <a:avLst/>
                            <a:gdLst/>
                            <a:ahLst/>
                            <a:cxnLst/>
                            <a:rect l="l" t="t" r="r" b="b"/>
                            <a:pathLst>
                              <a:path w="1298575" h="772160">
                                <a:moveTo>
                                  <a:pt x="0" y="771842"/>
                                </a:moveTo>
                                <a:lnTo>
                                  <a:pt x="1298194" y="771842"/>
                                </a:lnTo>
                                <a:lnTo>
                                  <a:pt x="1298194" y="0"/>
                                </a:lnTo>
                                <a:lnTo>
                                  <a:pt x="0" y="0"/>
                                </a:lnTo>
                                <a:lnTo>
                                  <a:pt x="0" y="771842"/>
                                </a:lnTo>
                                <a:close/>
                              </a:path>
                            </a:pathLst>
                          </a:custGeom>
                          <a:ln w="25400">
                            <a:solidFill>
                              <a:srgbClr val="00B3A8"/>
                            </a:solidFill>
                            <a:prstDash val="solid"/>
                          </a:ln>
                        </wps:spPr>
                        <wps:bodyPr wrap="square" lIns="0" tIns="0" rIns="0" bIns="0" rtlCol="0">
                          <a:prstTxWarp prst="textNoShape">
                            <a:avLst/>
                          </a:prstTxWarp>
                          <a:noAutofit/>
                        </wps:bodyPr>
                      </wps:wsp>
                      <wps:wsp>
                        <wps:cNvPr id="279" name="Textbox 279"/>
                        <wps:cNvSpPr txBox="1"/>
                        <wps:spPr>
                          <a:xfrm>
                            <a:off x="1189100" y="511606"/>
                            <a:ext cx="596265" cy="281940"/>
                          </a:xfrm>
                          <a:prstGeom prst="rect">
                            <a:avLst/>
                          </a:prstGeom>
                        </wps:spPr>
                        <wps:txbx>
                          <w:txbxContent>
                            <w:p>
                              <w:pPr>
                                <w:spacing w:line="173" w:lineRule="exact" w:before="0"/>
                                <w:ind w:left="0" w:right="0" w:firstLine="0"/>
                                <w:jc w:val="left"/>
                                <w:rPr>
                                  <w:b/>
                                  <w:sz w:val="18"/>
                                </w:rPr>
                              </w:pPr>
                              <w:r>
                                <w:rPr>
                                  <w:b/>
                                  <w:w w:val="90"/>
                                  <w:sz w:val="18"/>
                                </w:rPr>
                                <w:t>Audit</w:t>
                              </w:r>
                              <w:r>
                                <w:rPr>
                                  <w:b/>
                                  <w:spacing w:val="-8"/>
                                  <w:w w:val="90"/>
                                  <w:sz w:val="18"/>
                                </w:rPr>
                                <w:t> </w:t>
                              </w:r>
                              <w:r>
                                <w:rPr>
                                  <w:b/>
                                  <w:w w:val="90"/>
                                  <w:sz w:val="18"/>
                                </w:rPr>
                                <w:t>&amp;</w:t>
                              </w:r>
                              <w:r>
                                <w:rPr>
                                  <w:b/>
                                  <w:spacing w:val="-7"/>
                                  <w:w w:val="90"/>
                                  <w:sz w:val="18"/>
                                </w:rPr>
                                <w:t> </w:t>
                              </w:r>
                              <w:r>
                                <w:rPr>
                                  <w:b/>
                                  <w:spacing w:val="-4"/>
                                  <w:w w:val="85"/>
                                  <w:sz w:val="18"/>
                                </w:rPr>
                                <w:t>Risk</w:t>
                              </w:r>
                            </w:p>
                            <w:p>
                              <w:pPr>
                                <w:spacing w:before="57"/>
                                <w:ind w:left="43" w:right="0" w:firstLine="0"/>
                                <w:jc w:val="left"/>
                                <w:rPr>
                                  <w:b/>
                                  <w:sz w:val="18"/>
                                </w:rPr>
                              </w:pPr>
                              <w:r>
                                <w:rPr>
                                  <w:b/>
                                  <w:spacing w:val="-6"/>
                                  <w:sz w:val="18"/>
                                </w:rPr>
                                <w:t>Committee</w:t>
                              </w:r>
                            </w:p>
                          </w:txbxContent>
                        </wps:txbx>
                        <wps:bodyPr wrap="square" lIns="0" tIns="0" rIns="0" bIns="0" rtlCol="0">
                          <a:noAutofit/>
                        </wps:bodyPr>
                      </wps:wsp>
                      <wps:wsp>
                        <wps:cNvPr id="280" name="Textbox 280"/>
                        <wps:cNvSpPr txBox="1"/>
                        <wps:spPr>
                          <a:xfrm>
                            <a:off x="3204210" y="95554"/>
                            <a:ext cx="1196340" cy="449580"/>
                          </a:xfrm>
                          <a:prstGeom prst="rect">
                            <a:avLst/>
                          </a:prstGeom>
                        </wps:spPr>
                        <wps:txbx>
                          <w:txbxContent>
                            <w:p>
                              <w:pPr>
                                <w:spacing w:line="173" w:lineRule="exact" w:before="0"/>
                                <w:ind w:left="0" w:right="18" w:firstLine="0"/>
                                <w:jc w:val="center"/>
                                <w:rPr>
                                  <w:b/>
                                  <w:sz w:val="18"/>
                                </w:rPr>
                              </w:pPr>
                              <w:r>
                                <w:rPr>
                                  <w:b/>
                                  <w:w w:val="85"/>
                                  <w:sz w:val="18"/>
                                </w:rPr>
                                <w:t>Director</w:t>
                              </w:r>
                              <w:r>
                                <w:rPr>
                                  <w:b/>
                                  <w:spacing w:val="-5"/>
                                  <w:sz w:val="18"/>
                                </w:rPr>
                                <w:t> </w:t>
                              </w:r>
                              <w:r>
                                <w:rPr>
                                  <w:b/>
                                  <w:w w:val="85"/>
                                  <w:sz w:val="18"/>
                                </w:rPr>
                                <w:t>of</w:t>
                              </w:r>
                              <w:r>
                                <w:rPr>
                                  <w:b/>
                                  <w:spacing w:val="-5"/>
                                  <w:sz w:val="18"/>
                                </w:rPr>
                                <w:t> </w:t>
                              </w:r>
                              <w:r>
                                <w:rPr>
                                  <w:b/>
                                  <w:w w:val="85"/>
                                  <w:sz w:val="18"/>
                                </w:rPr>
                                <w:t>Energy</w:t>
                              </w:r>
                              <w:r>
                                <w:rPr>
                                  <w:b/>
                                  <w:spacing w:val="-5"/>
                                  <w:sz w:val="18"/>
                                </w:rPr>
                                <w:t> </w:t>
                              </w:r>
                              <w:r>
                                <w:rPr>
                                  <w:b/>
                                  <w:spacing w:val="-2"/>
                                  <w:w w:val="85"/>
                                  <w:sz w:val="18"/>
                                </w:rPr>
                                <w:t>Safety</w:t>
                              </w:r>
                            </w:p>
                            <w:p>
                              <w:pPr>
                                <w:spacing w:line="260" w:lineRule="atLeast" w:before="4"/>
                                <w:ind w:left="0" w:right="12" w:firstLine="0"/>
                                <w:jc w:val="center"/>
                                <w:rPr>
                                  <w:sz w:val="18"/>
                                </w:rPr>
                              </w:pPr>
                              <w:r>
                                <w:rPr>
                                  <w:spacing w:val="-6"/>
                                  <w:sz w:val="18"/>
                                </w:rPr>
                                <w:t>Statutory/Accountable </w:t>
                              </w:r>
                              <w:r>
                                <w:rPr>
                                  <w:spacing w:val="-2"/>
                                  <w:sz w:val="18"/>
                                </w:rPr>
                                <w:t>Officer</w:t>
                              </w:r>
                            </w:p>
                          </w:txbxContent>
                        </wps:txbx>
                        <wps:bodyPr wrap="square" lIns="0" tIns="0" rIns="0" bIns="0" rtlCol="0">
                          <a:noAutofit/>
                        </wps:bodyPr>
                      </wps:wsp>
                      <wps:wsp>
                        <wps:cNvPr id="281" name="Textbox 281"/>
                        <wps:cNvSpPr txBox="1"/>
                        <wps:spPr>
                          <a:xfrm>
                            <a:off x="5574665" y="619810"/>
                            <a:ext cx="694690" cy="281940"/>
                          </a:xfrm>
                          <a:prstGeom prst="rect">
                            <a:avLst/>
                          </a:prstGeom>
                        </wps:spPr>
                        <wps:txbx>
                          <w:txbxContent>
                            <w:p>
                              <w:pPr>
                                <w:spacing w:line="173" w:lineRule="exact" w:before="0"/>
                                <w:ind w:left="15" w:right="34" w:firstLine="0"/>
                                <w:jc w:val="center"/>
                                <w:rPr>
                                  <w:b/>
                                  <w:sz w:val="18"/>
                                </w:rPr>
                              </w:pPr>
                              <w:r>
                                <w:rPr>
                                  <w:b/>
                                  <w:spacing w:val="-2"/>
                                  <w:w w:val="85"/>
                                  <w:sz w:val="18"/>
                                </w:rPr>
                                <w:t>Remuneration</w:t>
                              </w:r>
                            </w:p>
                            <w:p>
                              <w:pPr>
                                <w:spacing w:before="57"/>
                                <w:ind w:left="13" w:right="34" w:firstLine="0"/>
                                <w:jc w:val="center"/>
                                <w:rPr>
                                  <w:b/>
                                  <w:sz w:val="18"/>
                                </w:rPr>
                              </w:pPr>
                              <w:r>
                                <w:rPr>
                                  <w:b/>
                                  <w:spacing w:val="-2"/>
                                  <w:sz w:val="18"/>
                                </w:rPr>
                                <w:t>Committee</w:t>
                              </w:r>
                            </w:p>
                          </w:txbxContent>
                        </wps:txbx>
                        <wps:bodyPr wrap="square" lIns="0" tIns="0" rIns="0" bIns="0" rtlCol="0">
                          <a:noAutofit/>
                        </wps:bodyPr>
                      </wps:wsp>
                      <wps:wsp>
                        <wps:cNvPr id="282" name="Textbox 282"/>
                        <wps:cNvSpPr txBox="1"/>
                        <wps:spPr>
                          <a:xfrm>
                            <a:off x="3326129" y="1343710"/>
                            <a:ext cx="960755" cy="281305"/>
                          </a:xfrm>
                          <a:prstGeom prst="rect">
                            <a:avLst/>
                          </a:prstGeom>
                        </wps:spPr>
                        <wps:txbx>
                          <w:txbxContent>
                            <w:p>
                              <w:pPr>
                                <w:spacing w:line="173" w:lineRule="exact" w:before="0"/>
                                <w:ind w:left="0" w:right="20" w:firstLine="0"/>
                                <w:jc w:val="center"/>
                                <w:rPr>
                                  <w:b/>
                                  <w:sz w:val="18"/>
                                </w:rPr>
                              </w:pPr>
                              <w:r>
                                <w:rPr>
                                  <w:b/>
                                  <w:spacing w:val="-2"/>
                                  <w:w w:val="95"/>
                                  <w:sz w:val="18"/>
                                </w:rPr>
                                <w:t>Executive</w:t>
                              </w:r>
                            </w:p>
                            <w:p>
                              <w:pPr>
                                <w:spacing w:before="55"/>
                                <w:ind w:left="0" w:right="18" w:firstLine="0"/>
                                <w:jc w:val="center"/>
                                <w:rPr>
                                  <w:b/>
                                  <w:sz w:val="18"/>
                                </w:rPr>
                              </w:pPr>
                              <w:r>
                                <w:rPr>
                                  <w:b/>
                                  <w:w w:val="90"/>
                                  <w:sz w:val="18"/>
                                </w:rPr>
                                <w:t>Management</w:t>
                              </w:r>
                              <w:r>
                                <w:rPr>
                                  <w:b/>
                                  <w:spacing w:val="-2"/>
                                  <w:w w:val="90"/>
                                  <w:sz w:val="18"/>
                                </w:rPr>
                                <w:t> </w:t>
                              </w:r>
                              <w:r>
                                <w:rPr>
                                  <w:b/>
                                  <w:spacing w:val="-5"/>
                                  <w:w w:val="90"/>
                                  <w:sz w:val="18"/>
                                </w:rPr>
                                <w:t>Board</w:t>
                              </w:r>
                            </w:p>
                          </w:txbxContent>
                        </wps:txbx>
                        <wps:bodyPr wrap="square" lIns="0" tIns="0" rIns="0" bIns="0" rtlCol="0">
                          <a:noAutofit/>
                        </wps:bodyPr>
                      </wps:wsp>
                      <wps:wsp>
                        <wps:cNvPr id="283" name="Textbox 283"/>
                        <wps:cNvSpPr txBox="1"/>
                        <wps:spPr>
                          <a:xfrm>
                            <a:off x="233299" y="1857679"/>
                            <a:ext cx="869315" cy="281940"/>
                          </a:xfrm>
                          <a:prstGeom prst="rect">
                            <a:avLst/>
                          </a:prstGeom>
                        </wps:spPr>
                        <wps:txbx>
                          <w:txbxContent>
                            <w:p>
                              <w:pPr>
                                <w:spacing w:line="173" w:lineRule="exact" w:before="0"/>
                                <w:ind w:left="0" w:right="18" w:firstLine="0"/>
                                <w:jc w:val="center"/>
                                <w:rPr>
                                  <w:b/>
                                  <w:sz w:val="18"/>
                                </w:rPr>
                              </w:pPr>
                              <w:r>
                                <w:rPr>
                                  <w:b/>
                                  <w:spacing w:val="-2"/>
                                  <w:w w:val="80"/>
                                  <w:sz w:val="18"/>
                                </w:rPr>
                                <w:t>Risk</w:t>
                              </w:r>
                              <w:r>
                                <w:rPr>
                                  <w:b/>
                                  <w:spacing w:val="-6"/>
                                  <w:sz w:val="18"/>
                                </w:rPr>
                                <w:t> </w:t>
                              </w:r>
                              <w:r>
                                <w:rPr>
                                  <w:b/>
                                  <w:spacing w:val="-2"/>
                                  <w:w w:val="90"/>
                                  <w:sz w:val="18"/>
                                </w:rPr>
                                <w:t>Management</w:t>
                              </w:r>
                            </w:p>
                            <w:p>
                              <w:pPr>
                                <w:spacing w:before="57"/>
                                <w:ind w:left="0" w:right="17" w:firstLine="0"/>
                                <w:jc w:val="center"/>
                                <w:rPr>
                                  <w:b/>
                                  <w:sz w:val="18"/>
                                </w:rPr>
                              </w:pPr>
                              <w:r>
                                <w:rPr>
                                  <w:b/>
                                  <w:spacing w:val="-2"/>
                                  <w:sz w:val="18"/>
                                </w:rPr>
                                <w:t>Committee</w:t>
                              </w:r>
                            </w:p>
                          </w:txbxContent>
                        </wps:txbx>
                        <wps:bodyPr wrap="square" lIns="0" tIns="0" rIns="0" bIns="0" rtlCol="0">
                          <a:noAutofit/>
                        </wps:bodyPr>
                      </wps:wsp>
                      <wps:wsp>
                        <wps:cNvPr id="284" name="Textbox 284"/>
                        <wps:cNvSpPr txBox="1"/>
                        <wps:spPr>
                          <a:xfrm>
                            <a:off x="1823085" y="1766239"/>
                            <a:ext cx="650875" cy="617220"/>
                          </a:xfrm>
                          <a:prstGeom prst="rect">
                            <a:avLst/>
                          </a:prstGeom>
                        </wps:spPr>
                        <wps:txbx>
                          <w:txbxContent>
                            <w:p>
                              <w:pPr>
                                <w:spacing w:line="173" w:lineRule="exact" w:before="0"/>
                                <w:ind w:left="0" w:right="16" w:firstLine="0"/>
                                <w:jc w:val="center"/>
                                <w:rPr>
                                  <w:b/>
                                  <w:sz w:val="18"/>
                                </w:rPr>
                              </w:pPr>
                              <w:r>
                                <w:rPr>
                                  <w:b/>
                                  <w:spacing w:val="-2"/>
                                  <w:sz w:val="18"/>
                                </w:rPr>
                                <w:t>Information</w:t>
                              </w:r>
                            </w:p>
                            <w:p>
                              <w:pPr>
                                <w:spacing w:line="260" w:lineRule="atLeast" w:before="4"/>
                                <w:ind w:left="0" w:right="18" w:firstLine="0"/>
                                <w:jc w:val="center"/>
                                <w:rPr>
                                  <w:b/>
                                  <w:sz w:val="18"/>
                                </w:rPr>
                              </w:pPr>
                              <w:r>
                                <w:rPr>
                                  <w:b/>
                                  <w:spacing w:val="-2"/>
                                  <w:w w:val="90"/>
                                  <w:sz w:val="18"/>
                                </w:rPr>
                                <w:t>Management </w:t>
                              </w:r>
                              <w:r>
                                <w:rPr>
                                  <w:b/>
                                  <w:spacing w:val="-6"/>
                                  <w:sz w:val="18"/>
                                </w:rPr>
                                <w:t>Governance </w:t>
                              </w:r>
                              <w:r>
                                <w:rPr>
                                  <w:b/>
                                  <w:spacing w:val="-2"/>
                                  <w:sz w:val="18"/>
                                </w:rPr>
                                <w:t>Committee</w:t>
                              </w:r>
                            </w:p>
                          </w:txbxContent>
                        </wps:txbx>
                        <wps:bodyPr wrap="square" lIns="0" tIns="0" rIns="0" bIns="0" rtlCol="0">
                          <a:noAutofit/>
                        </wps:bodyPr>
                      </wps:wsp>
                      <wps:wsp>
                        <wps:cNvPr id="285" name="Textbox 285"/>
                        <wps:cNvSpPr txBox="1"/>
                        <wps:spPr>
                          <a:xfrm>
                            <a:off x="3217926" y="1712666"/>
                            <a:ext cx="65405" cy="292735"/>
                          </a:xfrm>
                          <a:prstGeom prst="rect">
                            <a:avLst/>
                          </a:prstGeom>
                        </wps:spPr>
                        <wps:txbx>
                          <w:txbxContent>
                            <w:p>
                              <w:pPr>
                                <w:spacing w:before="12"/>
                                <w:ind w:left="0" w:right="0" w:firstLine="0"/>
                                <w:jc w:val="left"/>
                                <w:rPr>
                                  <w:sz w:val="18"/>
                                </w:rPr>
                              </w:pPr>
                              <w:r>
                                <w:rPr>
                                  <w:w w:val="131"/>
                                  <w:sz w:val="18"/>
                                </w:rPr>
                                <w:t>•</w:t>
                              </w:r>
                            </w:p>
                            <w:p>
                              <w:pPr>
                                <w:spacing w:before="33"/>
                                <w:ind w:left="0" w:right="0" w:firstLine="0"/>
                                <w:jc w:val="left"/>
                                <w:rPr>
                                  <w:sz w:val="18"/>
                                </w:rPr>
                              </w:pPr>
                              <w:r>
                                <w:rPr>
                                  <w:w w:val="131"/>
                                  <w:sz w:val="18"/>
                                </w:rPr>
                                <w:t>•</w:t>
                              </w:r>
                            </w:p>
                          </w:txbxContent>
                        </wps:txbx>
                        <wps:bodyPr wrap="square" lIns="0" tIns="0" rIns="0" bIns="0" rtlCol="0">
                          <a:noAutofit/>
                        </wps:bodyPr>
                      </wps:wsp>
                      <wps:wsp>
                        <wps:cNvPr id="286" name="Textbox 286"/>
                        <wps:cNvSpPr txBox="1"/>
                        <wps:spPr>
                          <a:xfrm>
                            <a:off x="3217926" y="2169866"/>
                            <a:ext cx="65405" cy="597535"/>
                          </a:xfrm>
                          <a:prstGeom prst="rect">
                            <a:avLst/>
                          </a:prstGeom>
                        </wps:spPr>
                        <wps:txbx>
                          <w:txbxContent>
                            <w:p>
                              <w:pPr>
                                <w:spacing w:before="12"/>
                                <w:ind w:left="0" w:right="0" w:firstLine="0"/>
                                <w:jc w:val="left"/>
                                <w:rPr>
                                  <w:sz w:val="18"/>
                                </w:rPr>
                              </w:pPr>
                              <w:r>
                                <w:rPr>
                                  <w:w w:val="131"/>
                                  <w:sz w:val="18"/>
                                </w:rPr>
                                <w:t>•</w:t>
                              </w:r>
                            </w:p>
                            <w:p>
                              <w:pPr>
                                <w:spacing w:line="240" w:lineRule="auto" w:before="0"/>
                                <w:rPr>
                                  <w:sz w:val="22"/>
                                </w:rPr>
                              </w:pPr>
                            </w:p>
                            <w:p>
                              <w:pPr>
                                <w:spacing w:line="240" w:lineRule="auto" w:before="7"/>
                                <w:rPr>
                                  <w:sz w:val="22"/>
                                </w:rPr>
                              </w:pPr>
                            </w:p>
                            <w:p>
                              <w:pPr>
                                <w:spacing w:before="0"/>
                                <w:ind w:left="0" w:right="0" w:firstLine="0"/>
                                <w:jc w:val="left"/>
                                <w:rPr>
                                  <w:sz w:val="18"/>
                                </w:rPr>
                              </w:pPr>
                              <w:r>
                                <w:rPr>
                                  <w:w w:val="131"/>
                                  <w:sz w:val="18"/>
                                </w:rPr>
                                <w:t>•</w:t>
                              </w:r>
                            </w:p>
                          </w:txbxContent>
                        </wps:txbx>
                        <wps:bodyPr wrap="square" lIns="0" tIns="0" rIns="0" bIns="0" rtlCol="0">
                          <a:noAutofit/>
                        </wps:bodyPr>
                      </wps:wsp>
                      <wps:wsp>
                        <wps:cNvPr id="287" name="Textbox 287"/>
                        <wps:cNvSpPr txBox="1"/>
                        <wps:spPr>
                          <a:xfrm>
                            <a:off x="3446526" y="1741855"/>
                            <a:ext cx="866140" cy="2096135"/>
                          </a:xfrm>
                          <a:prstGeom prst="rect">
                            <a:avLst/>
                          </a:prstGeom>
                        </wps:spPr>
                        <wps:txbx>
                          <w:txbxContent>
                            <w:p>
                              <w:pPr>
                                <w:spacing w:line="173" w:lineRule="exact" w:before="0"/>
                                <w:ind w:left="0" w:right="0" w:firstLine="0"/>
                                <w:jc w:val="left"/>
                                <w:rPr>
                                  <w:sz w:val="18"/>
                                </w:rPr>
                              </w:pPr>
                              <w:r>
                                <w:rPr>
                                  <w:w w:val="90"/>
                                  <w:sz w:val="18"/>
                                </w:rPr>
                                <w:t>Deputy</w:t>
                              </w:r>
                              <w:r>
                                <w:rPr>
                                  <w:spacing w:val="3"/>
                                  <w:sz w:val="18"/>
                                </w:rPr>
                                <w:t> </w:t>
                              </w:r>
                              <w:r>
                                <w:rPr>
                                  <w:spacing w:val="-2"/>
                                  <w:sz w:val="18"/>
                                </w:rPr>
                                <w:t>Director</w:t>
                              </w:r>
                            </w:p>
                            <w:p>
                              <w:pPr>
                                <w:spacing w:line="278" w:lineRule="auto" w:before="33"/>
                                <w:ind w:left="0" w:right="0" w:firstLine="0"/>
                                <w:jc w:val="left"/>
                                <w:rPr>
                                  <w:sz w:val="18"/>
                                </w:rPr>
                              </w:pPr>
                              <w:r>
                                <w:rPr>
                                  <w:w w:val="90"/>
                                  <w:sz w:val="18"/>
                                </w:rPr>
                                <w:t>Chief</w:t>
                              </w:r>
                              <w:r>
                                <w:rPr>
                                  <w:spacing w:val="-8"/>
                                  <w:w w:val="90"/>
                                  <w:sz w:val="18"/>
                                </w:rPr>
                                <w:t> </w:t>
                              </w:r>
                              <w:r>
                                <w:rPr>
                                  <w:w w:val="90"/>
                                  <w:sz w:val="18"/>
                                </w:rPr>
                                <w:t>Operating </w:t>
                              </w:r>
                              <w:r>
                                <w:rPr>
                                  <w:spacing w:val="-2"/>
                                  <w:sz w:val="18"/>
                                </w:rPr>
                                <w:t>Officer</w:t>
                              </w:r>
                            </w:p>
                            <w:p>
                              <w:pPr>
                                <w:spacing w:line="278" w:lineRule="auto" w:before="0"/>
                                <w:ind w:left="0" w:right="10" w:firstLine="0"/>
                                <w:jc w:val="left"/>
                                <w:rPr>
                                  <w:sz w:val="18"/>
                                </w:rPr>
                              </w:pPr>
                              <w:r>
                                <w:rPr>
                                  <w:spacing w:val="-4"/>
                                  <w:sz w:val="18"/>
                                </w:rPr>
                                <w:t>General</w:t>
                              </w:r>
                              <w:r>
                                <w:rPr>
                                  <w:spacing w:val="-13"/>
                                  <w:sz w:val="18"/>
                                </w:rPr>
                                <w:t> </w:t>
                              </w:r>
                              <w:r>
                                <w:rPr>
                                  <w:spacing w:val="-4"/>
                                  <w:sz w:val="18"/>
                                </w:rPr>
                                <w:t>Manager </w:t>
                              </w:r>
                              <w:r>
                                <w:rPr>
                                  <w:sz w:val="18"/>
                                </w:rPr>
                                <w:t>Risk,</w:t>
                              </w:r>
                              <w:r>
                                <w:rPr>
                                  <w:spacing w:val="-13"/>
                                  <w:sz w:val="18"/>
                                </w:rPr>
                                <w:t> </w:t>
                              </w:r>
                              <w:r>
                                <w:rPr>
                                  <w:sz w:val="18"/>
                                </w:rPr>
                                <w:t>Regulatory </w:t>
                              </w:r>
                              <w:r>
                                <w:rPr>
                                  <w:spacing w:val="-4"/>
                                  <w:sz w:val="18"/>
                                </w:rPr>
                                <w:t>Planning</w:t>
                              </w:r>
                              <w:r>
                                <w:rPr>
                                  <w:spacing w:val="-12"/>
                                  <w:sz w:val="18"/>
                                </w:rPr>
                                <w:t> </w:t>
                              </w:r>
                              <w:r>
                                <w:rPr>
                                  <w:spacing w:val="-4"/>
                                  <w:sz w:val="18"/>
                                </w:rPr>
                                <w:t>&amp;</w:t>
                              </w:r>
                              <w:r>
                                <w:rPr>
                                  <w:spacing w:val="-9"/>
                                  <w:sz w:val="18"/>
                                </w:rPr>
                                <w:t> </w:t>
                              </w:r>
                              <w:r>
                                <w:rPr>
                                  <w:spacing w:val="-4"/>
                                  <w:sz w:val="18"/>
                                </w:rPr>
                                <w:t>Policy General</w:t>
                              </w:r>
                              <w:r>
                                <w:rPr>
                                  <w:spacing w:val="-13"/>
                                  <w:sz w:val="18"/>
                                </w:rPr>
                                <w:t> </w:t>
                              </w:r>
                              <w:r>
                                <w:rPr>
                                  <w:spacing w:val="-4"/>
                                  <w:sz w:val="18"/>
                                </w:rPr>
                                <w:t>Manager </w:t>
                              </w:r>
                              <w:r>
                                <w:rPr>
                                  <w:w w:val="90"/>
                                  <w:sz w:val="18"/>
                                </w:rPr>
                                <w:t>Electrical</w:t>
                              </w:r>
                              <w:r>
                                <w:rPr>
                                  <w:spacing w:val="-5"/>
                                  <w:w w:val="90"/>
                                  <w:sz w:val="18"/>
                                </w:rPr>
                                <w:t> </w:t>
                              </w:r>
                              <w:r>
                                <w:rPr>
                                  <w:w w:val="90"/>
                                  <w:sz w:val="18"/>
                                </w:rPr>
                                <w:t>Safety</w:t>
                              </w:r>
                              <w:r>
                                <w:rPr>
                                  <w:spacing w:val="-5"/>
                                  <w:w w:val="90"/>
                                  <w:sz w:val="18"/>
                                </w:rPr>
                                <w:t> </w:t>
                              </w:r>
                              <w:r>
                                <w:rPr>
                                  <w:w w:val="90"/>
                                  <w:sz w:val="18"/>
                                </w:rPr>
                                <w:t>&amp; </w:t>
                              </w:r>
                              <w:r>
                                <w:rPr>
                                  <w:spacing w:val="-2"/>
                                  <w:sz w:val="18"/>
                                </w:rPr>
                                <w:t>Technical Regulation· </w:t>
                              </w:r>
                              <w:r>
                                <w:rPr>
                                  <w:spacing w:val="-4"/>
                                  <w:sz w:val="18"/>
                                </w:rPr>
                                <w:t>General</w:t>
                              </w:r>
                              <w:r>
                                <w:rPr>
                                  <w:spacing w:val="-13"/>
                                  <w:sz w:val="18"/>
                                </w:rPr>
                                <w:t> </w:t>
                              </w:r>
                              <w:r>
                                <w:rPr>
                                  <w:spacing w:val="-4"/>
                                  <w:sz w:val="18"/>
                                </w:rPr>
                                <w:t>Manager </w:t>
                              </w:r>
                              <w:r>
                                <w:rPr>
                                  <w:sz w:val="18"/>
                                </w:rPr>
                                <w:t>Gas &amp; Pipeline </w:t>
                              </w:r>
                              <w:r>
                                <w:rPr>
                                  <w:w w:val="90"/>
                                  <w:sz w:val="18"/>
                                </w:rPr>
                                <w:t>Safety</w:t>
                              </w:r>
                              <w:r>
                                <w:rPr>
                                  <w:spacing w:val="-10"/>
                                  <w:w w:val="90"/>
                                  <w:sz w:val="18"/>
                                </w:rPr>
                                <w:t> </w:t>
                              </w:r>
                              <w:r>
                                <w:rPr>
                                  <w:w w:val="90"/>
                                  <w:sz w:val="18"/>
                                </w:rPr>
                                <w:t>&amp;</w:t>
                              </w:r>
                              <w:r>
                                <w:rPr>
                                  <w:spacing w:val="-7"/>
                                  <w:w w:val="90"/>
                                  <w:sz w:val="18"/>
                                </w:rPr>
                                <w:t> </w:t>
                              </w:r>
                              <w:r>
                                <w:rPr>
                                  <w:w w:val="90"/>
                                  <w:sz w:val="18"/>
                                </w:rPr>
                                <w:t>Technical </w:t>
                              </w:r>
                              <w:r>
                                <w:rPr>
                                  <w:spacing w:val="-2"/>
                                  <w:sz w:val="18"/>
                                </w:rPr>
                                <w:t>Regulation</w:t>
                              </w:r>
                            </w:p>
                          </w:txbxContent>
                        </wps:txbx>
                        <wps:bodyPr wrap="square" lIns="0" tIns="0" rIns="0" bIns="0" rtlCol="0">
                          <a:noAutofit/>
                        </wps:bodyPr>
                      </wps:wsp>
                      <wps:wsp>
                        <wps:cNvPr id="288" name="Textbox 288"/>
                        <wps:cNvSpPr txBox="1"/>
                        <wps:spPr>
                          <a:xfrm>
                            <a:off x="5492369" y="1548307"/>
                            <a:ext cx="857885" cy="281940"/>
                          </a:xfrm>
                          <a:prstGeom prst="rect">
                            <a:avLst/>
                          </a:prstGeom>
                        </wps:spPr>
                        <wps:txbx>
                          <w:txbxContent>
                            <w:p>
                              <w:pPr>
                                <w:spacing w:line="173" w:lineRule="exact" w:before="0"/>
                                <w:ind w:left="98" w:right="0" w:firstLine="0"/>
                                <w:jc w:val="left"/>
                                <w:rPr>
                                  <w:b/>
                                  <w:sz w:val="18"/>
                                </w:rPr>
                              </w:pPr>
                              <w:r>
                                <w:rPr>
                                  <w:b/>
                                  <w:w w:val="85"/>
                                  <w:sz w:val="18"/>
                                </w:rPr>
                                <w:t>Enforcement</w:t>
                              </w:r>
                              <w:r>
                                <w:rPr>
                                  <w:b/>
                                  <w:spacing w:val="10"/>
                                  <w:sz w:val="18"/>
                                </w:rPr>
                                <w:t> </w:t>
                              </w:r>
                              <w:r>
                                <w:rPr>
                                  <w:b/>
                                  <w:spacing w:val="-10"/>
                                  <w:sz w:val="18"/>
                                </w:rPr>
                                <w:t>&amp;</w:t>
                              </w:r>
                            </w:p>
                            <w:p>
                              <w:pPr>
                                <w:spacing w:before="57"/>
                                <w:ind w:left="0" w:right="0" w:firstLine="0"/>
                                <w:jc w:val="left"/>
                                <w:rPr>
                                  <w:b/>
                                  <w:sz w:val="18"/>
                                </w:rPr>
                              </w:pPr>
                              <w:r>
                                <w:rPr>
                                  <w:b/>
                                  <w:w w:val="85"/>
                                  <w:sz w:val="18"/>
                                </w:rPr>
                                <w:t>Compliance</w:t>
                              </w:r>
                              <w:r>
                                <w:rPr>
                                  <w:b/>
                                  <w:spacing w:val="-2"/>
                                  <w:w w:val="85"/>
                                  <w:sz w:val="18"/>
                                </w:rPr>
                                <w:t> </w:t>
                              </w:r>
                              <w:r>
                                <w:rPr>
                                  <w:b/>
                                  <w:spacing w:val="-2"/>
                                  <w:w w:val="90"/>
                                  <w:sz w:val="18"/>
                                </w:rPr>
                                <w:t>Panel</w:t>
                              </w:r>
                            </w:p>
                          </w:txbxContent>
                        </wps:txbx>
                        <wps:bodyPr wrap="square" lIns="0" tIns="0" rIns="0" bIns="0" rtlCol="0">
                          <a:noAutofit/>
                        </wps:bodyPr>
                      </wps:wsp>
                      <wps:wsp>
                        <wps:cNvPr id="289" name="Textbox 289"/>
                        <wps:cNvSpPr txBox="1"/>
                        <wps:spPr>
                          <a:xfrm>
                            <a:off x="5455792" y="2429179"/>
                            <a:ext cx="929640" cy="280670"/>
                          </a:xfrm>
                          <a:prstGeom prst="rect">
                            <a:avLst/>
                          </a:prstGeom>
                        </wps:spPr>
                        <wps:txbx>
                          <w:txbxContent>
                            <w:p>
                              <w:pPr>
                                <w:spacing w:line="173" w:lineRule="exact" w:before="0"/>
                                <w:ind w:left="17" w:right="35" w:firstLine="0"/>
                                <w:jc w:val="center"/>
                                <w:rPr>
                                  <w:b/>
                                  <w:sz w:val="18"/>
                                </w:rPr>
                              </w:pPr>
                              <w:r>
                                <w:rPr>
                                  <w:b/>
                                  <w:w w:val="80"/>
                                  <w:sz w:val="18"/>
                                </w:rPr>
                                <w:t>Safety</w:t>
                              </w:r>
                              <w:r>
                                <w:rPr>
                                  <w:b/>
                                  <w:spacing w:val="5"/>
                                  <w:sz w:val="18"/>
                                </w:rPr>
                                <w:t> </w:t>
                              </w:r>
                              <w:r>
                                <w:rPr>
                                  <w:b/>
                                  <w:w w:val="80"/>
                                  <w:sz w:val="18"/>
                                </w:rPr>
                                <w:t>Case</w:t>
                              </w:r>
                              <w:r>
                                <w:rPr>
                                  <w:b/>
                                  <w:spacing w:val="6"/>
                                  <w:sz w:val="18"/>
                                </w:rPr>
                                <w:t> </w:t>
                              </w:r>
                              <w:r>
                                <w:rPr>
                                  <w:b/>
                                  <w:spacing w:val="-2"/>
                                  <w:w w:val="80"/>
                                  <w:sz w:val="18"/>
                                </w:rPr>
                                <w:t>Review</w:t>
                              </w:r>
                            </w:p>
                            <w:p>
                              <w:pPr>
                                <w:spacing w:before="54"/>
                                <w:ind w:left="17" w:right="30" w:firstLine="0"/>
                                <w:jc w:val="center"/>
                                <w:rPr>
                                  <w:b/>
                                  <w:sz w:val="18"/>
                                </w:rPr>
                              </w:pPr>
                              <w:r>
                                <w:rPr>
                                  <w:b/>
                                  <w:spacing w:val="-4"/>
                                  <w:w w:val="95"/>
                                  <w:sz w:val="18"/>
                                </w:rPr>
                                <w:t>Panel</w:t>
                              </w:r>
                            </w:p>
                          </w:txbxContent>
                        </wps:txbx>
                        <wps:bodyPr wrap="square" lIns="0" tIns="0" rIns="0" bIns="0" rtlCol="0">
                          <a:noAutofit/>
                        </wps:bodyPr>
                      </wps:wsp>
                      <wps:wsp>
                        <wps:cNvPr id="290" name="Textbox 290"/>
                        <wps:cNvSpPr txBox="1"/>
                        <wps:spPr>
                          <a:xfrm>
                            <a:off x="3217926" y="3236666"/>
                            <a:ext cx="65405" cy="140335"/>
                          </a:xfrm>
                          <a:prstGeom prst="rect">
                            <a:avLst/>
                          </a:prstGeom>
                        </wps:spPr>
                        <wps:txbx>
                          <w:txbxContent>
                            <w:p>
                              <w:pPr>
                                <w:spacing w:before="12"/>
                                <w:ind w:left="0" w:right="0" w:firstLine="0"/>
                                <w:jc w:val="left"/>
                                <w:rPr>
                                  <w:sz w:val="18"/>
                                </w:rPr>
                              </w:pPr>
                              <w:r>
                                <w:rPr>
                                  <w:w w:val="131"/>
                                  <w:sz w:val="18"/>
                                </w:rPr>
                                <w:t>•</w:t>
                              </w:r>
                            </w:p>
                          </w:txbxContent>
                        </wps:txbx>
                        <wps:bodyPr wrap="square" lIns="0" tIns="0" rIns="0" bIns="0" rtlCol="0">
                          <a:noAutofit/>
                        </wps:bodyPr>
                      </wps:wsp>
                      <wps:wsp>
                        <wps:cNvPr id="291" name="Textbox 291"/>
                        <wps:cNvSpPr txBox="1"/>
                        <wps:spPr>
                          <a:xfrm>
                            <a:off x="5414645" y="3284143"/>
                            <a:ext cx="1009015" cy="280670"/>
                          </a:xfrm>
                          <a:prstGeom prst="rect">
                            <a:avLst/>
                          </a:prstGeom>
                        </wps:spPr>
                        <wps:txbx>
                          <w:txbxContent>
                            <w:p>
                              <w:pPr>
                                <w:spacing w:line="173" w:lineRule="exact" w:before="0"/>
                                <w:ind w:left="10" w:right="23" w:firstLine="0"/>
                                <w:jc w:val="center"/>
                                <w:rPr>
                                  <w:b/>
                                  <w:sz w:val="18"/>
                                </w:rPr>
                              </w:pPr>
                              <w:r>
                                <w:rPr>
                                  <w:b/>
                                  <w:w w:val="85"/>
                                  <w:sz w:val="18"/>
                                </w:rPr>
                                <w:t>Stakeholder</w:t>
                              </w:r>
                              <w:r>
                                <w:rPr>
                                  <w:b/>
                                  <w:spacing w:val="4"/>
                                  <w:sz w:val="18"/>
                                </w:rPr>
                                <w:t> </w:t>
                              </w:r>
                              <w:r>
                                <w:rPr>
                                  <w:b/>
                                  <w:spacing w:val="-5"/>
                                  <w:w w:val="95"/>
                                  <w:sz w:val="18"/>
                                </w:rPr>
                                <w:t>and</w:t>
                              </w:r>
                            </w:p>
                            <w:p>
                              <w:pPr>
                                <w:spacing w:before="54"/>
                                <w:ind w:left="10" w:right="28" w:firstLine="0"/>
                                <w:jc w:val="center"/>
                                <w:rPr>
                                  <w:b/>
                                  <w:sz w:val="18"/>
                                </w:rPr>
                              </w:pPr>
                              <w:r>
                                <w:rPr>
                                  <w:b/>
                                  <w:w w:val="85"/>
                                  <w:sz w:val="18"/>
                                </w:rPr>
                                <w:t>Industry</w:t>
                              </w:r>
                              <w:r>
                                <w:rPr>
                                  <w:b/>
                                  <w:sz w:val="18"/>
                                </w:rPr>
                                <w:t> </w:t>
                              </w:r>
                              <w:r>
                                <w:rPr>
                                  <w:b/>
                                  <w:spacing w:val="-2"/>
                                  <w:w w:val="85"/>
                                  <w:sz w:val="18"/>
                                </w:rPr>
                                <w:t>Committees</w:t>
                              </w:r>
                            </w:p>
                          </w:txbxContent>
                        </wps:txbx>
                        <wps:bodyPr wrap="square" lIns="0" tIns="0" rIns="0" bIns="0" rtlCol="0">
                          <a:noAutofit/>
                        </wps:bodyPr>
                      </wps:wsp>
                      <wps:wsp>
                        <wps:cNvPr id="292" name="Textbox 292"/>
                        <wps:cNvSpPr txBox="1"/>
                        <wps:spPr>
                          <a:xfrm>
                            <a:off x="5368925" y="3669715"/>
                            <a:ext cx="1037590" cy="282575"/>
                          </a:xfrm>
                          <a:prstGeom prst="rect">
                            <a:avLst/>
                          </a:prstGeom>
                        </wps:spPr>
                        <wps:txbx>
                          <w:txbxContent>
                            <w:p>
                              <w:pPr>
                                <w:spacing w:line="173" w:lineRule="exact" w:before="0"/>
                                <w:ind w:left="0" w:right="0" w:firstLine="0"/>
                                <w:jc w:val="left"/>
                                <w:rPr>
                                  <w:sz w:val="18"/>
                                </w:rPr>
                              </w:pPr>
                              <w:r>
                                <w:rPr>
                                  <w:spacing w:val="-2"/>
                                  <w:w w:val="90"/>
                                  <w:sz w:val="18"/>
                                </w:rPr>
                                <w:t>Section</w:t>
                              </w:r>
                              <w:r>
                                <w:rPr>
                                  <w:spacing w:val="-5"/>
                                  <w:w w:val="90"/>
                                  <w:sz w:val="18"/>
                                </w:rPr>
                                <w:t> </w:t>
                              </w:r>
                              <w:r>
                                <w:rPr>
                                  <w:spacing w:val="-2"/>
                                  <w:w w:val="90"/>
                                  <w:sz w:val="18"/>
                                </w:rPr>
                                <w:t>8</w:t>
                              </w:r>
                              <w:r>
                                <w:rPr>
                                  <w:spacing w:val="-4"/>
                                  <w:sz w:val="18"/>
                                </w:rPr>
                                <w:t> </w:t>
                              </w:r>
                              <w:r>
                                <w:rPr>
                                  <w:spacing w:val="-2"/>
                                  <w:w w:val="90"/>
                                  <w:sz w:val="18"/>
                                </w:rPr>
                                <w:t>Committee</w:t>
                              </w:r>
                            </w:p>
                            <w:p>
                              <w:pPr>
                                <w:spacing w:before="57"/>
                                <w:ind w:left="0" w:right="0" w:firstLine="0"/>
                                <w:jc w:val="left"/>
                                <w:rPr>
                                  <w:sz w:val="18"/>
                                </w:rPr>
                              </w:pPr>
                              <w:r>
                                <w:rPr>
                                  <w:w w:val="90"/>
                                  <w:sz w:val="18"/>
                                </w:rPr>
                                <w:t>Statutory</w:t>
                              </w:r>
                              <w:r>
                                <w:rPr>
                                  <w:spacing w:val="14"/>
                                  <w:sz w:val="18"/>
                                </w:rPr>
                                <w:t> </w:t>
                              </w:r>
                              <w:r>
                                <w:rPr>
                                  <w:spacing w:val="-2"/>
                                  <w:w w:val="95"/>
                                  <w:sz w:val="18"/>
                                </w:rPr>
                                <w:t>Committees</w:t>
                              </w:r>
                            </w:p>
                          </w:txbxContent>
                        </wps:txbx>
                        <wps:bodyPr wrap="square" lIns="0" tIns="0" rIns="0" bIns="0" rtlCol="0">
                          <a:noAutofit/>
                        </wps:bodyPr>
                      </wps:wsp>
                    </wpg:wgp>
                  </a:graphicData>
                </a:graphic>
              </wp:anchor>
            </w:drawing>
          </mc:Choice>
          <mc:Fallback>
            <w:pict>
              <v:group style="position:absolute;margin-left:41.75pt;margin-top:48.373806pt;width:517.8pt;height:333.3pt;mso-position-horizontal-relative:page;mso-position-vertical-relative:paragraph;z-index:15817216" id="docshapegroup216" coordorigin="835,967" coordsize="10356,6666">
                <v:shape style="position:absolute;left:3175;top:1320;width:5949;height:5339" id="docshape217" coordorigin="3175,1320" coordsize="5949,5339" path="m8600,6659l9124,6659m3175,1320l3175,1618e" filled="false" stroked="true" strokeweight=".75pt" strokecolor="#000000">
                  <v:path arrowok="t"/>
                  <v:stroke dashstyle="solid"/>
                </v:shape>
                <v:rect style="position:absolute;left:2144;top:1642;width:2047;height:1219" id="docshape218" filled="true" fillcolor="#e4f7f6" stroked="false">
                  <v:fill type="solid"/>
                </v:rect>
                <v:rect style="position:absolute;left:2144;top:1642;width:2047;height:1219" id="docshape219" filled="false" stroked="true" strokeweight="2pt" strokecolor="#00b3a8">
                  <v:stroke dashstyle="solid"/>
                </v:rect>
                <v:shape style="position:absolute;left:2164;top:1734;width:2007;height:1035" type="#_x0000_t75" id="docshape220" stroked="false">
                  <v:imagedata r:id="rId119" o:title=""/>
                </v:shape>
                <v:rect style="position:absolute;left:5678;top:987;width:2275;height:1124" id="docshape221" filled="true" fillcolor="#e4f7f6" stroked="false">
                  <v:fill type="solid"/>
                </v:rect>
                <v:rect style="position:absolute;left:5678;top:987;width:2275;height:1124" id="docshape222" filled="false" stroked="true" strokeweight="2pt" strokecolor="#00b3a8">
                  <v:stroke dashstyle="solid"/>
                </v:rect>
                <v:shape style="position:absolute;left:3186;top:1320;width:3621;height:1591" id="docshape223" coordorigin="3186,1320" coordsize="3621,1591" path="m3186,1320l5650,1320m6806,2126l6806,2911e" filled="false" stroked="true" strokeweight=".75pt" strokecolor="#000000">
                  <v:path arrowok="t"/>
                  <v:stroke dashstyle="solid"/>
                </v:shape>
                <v:line style="position:absolute" from="6838,7137" to="6838,7625" stroked="true" strokeweight=".75pt" strokecolor="#000000">
                  <v:stroke dashstyle="shortdash"/>
                </v:line>
                <v:rect style="position:absolute;left:5794;top:2952;width:2045;height:4185" id="docshape224" filled="true" fillcolor="#e4f7f6" stroked="false">
                  <v:fill type="solid"/>
                </v:rect>
                <v:rect style="position:absolute;left:5794;top:2952;width:2045;height:4185" id="docshape225" filled="false" stroked="true" strokeweight="2pt" strokecolor="#00b3a8">
                  <v:stroke dashstyle="solid"/>
                </v:rect>
                <v:shape style="position:absolute;left:1832;top:2888;width:2388;height:713" id="docshape226" coordorigin="1833,2889" coordsize="2388,713" path="m3218,2889l3218,3187m1833,3211l4220,3211m4217,3222l4217,3601e" filled="false" stroked="true" strokeweight=".75pt" strokecolor="#000000">
                  <v:path arrowok="t"/>
                  <v:stroke dashstyle="solid"/>
                </v:shape>
                <v:shape style="position:absolute;left:1864;top:4231;width:8433;height:3384" id="docshape227" coordorigin="1865,4231" coordsize="8433,3384" path="m7837,4231l8585,4231m1865,7615l10297,7615e" filled="false" stroked="true" strokeweight=".75pt" strokecolor="#000000">
                  <v:path arrowok="t"/>
                  <v:stroke dashstyle="shortdash"/>
                </v:shape>
                <v:line style="position:absolute" from="1861,4845" to="1861,7633" stroked="true" strokeweight="1.411pt" strokecolor="#000000">
                  <v:stroke dashstyle="shortdash"/>
                </v:line>
                <v:line style="position:absolute" from="4245,5028" to="4245,7622" stroked="true" strokeweight="1.4pt" strokecolor="#000000">
                  <v:stroke dashstyle="shortdash"/>
                </v:line>
                <v:line style="position:absolute" from="10276,7511" to="10276,7625" stroked="true" strokeweight=".75pt" strokecolor="#000000">
                  <v:stroke dashstyle="shortdash"/>
                </v:line>
                <v:shape style="position:absolute;left:1832;top:1384;width:7295;height:5250" id="docshape228" coordorigin="1833,1385" coordsize="7295,5250" path="m7977,1385l8600,1385m8611,2502l9126,2502m8611,3963l9127,3963m8643,5359l9126,5359m8589,1385l8606,6634m1833,3222l1833,3601e" filled="false" stroked="true" strokeweight=".75pt" strokecolor="#000000">
                  <v:path arrowok="t"/>
                  <v:stroke dashstyle="solid"/>
                </v:shape>
                <v:rect style="position:absolute;left:9126;top:1813;width:2045;height:1157" id="docshape229" filled="true" fillcolor="#e4f7f6" stroked="false">
                  <v:fill type="solid"/>
                </v:rect>
                <v:rect style="position:absolute;left:9126;top:1813;width:2045;height:1157" id="docshape230" filled="false" stroked="true" strokeweight="2pt" strokecolor="#00b3a8">
                  <v:stroke dashstyle="solid"/>
                </v:rect>
                <v:rect style="position:absolute;left:9126;top:3275;width:2045;height:1124" id="docshape231" filled="true" fillcolor="#e4f7f6" stroked="false">
                  <v:fill type="solid"/>
                </v:rect>
                <v:rect style="position:absolute;left:9126;top:3275;width:2045;height:1124" id="docshape232" filled="false" stroked="true" strokeweight="2pt" strokecolor="#00b3a8">
                  <v:stroke dashstyle="solid"/>
                </v:rect>
                <v:rect style="position:absolute;left:9126;top:4660;width:2045;height:1023" id="docshape233" filled="true" fillcolor="#e4f7f6" stroked="false">
                  <v:fill type="solid"/>
                </v:rect>
                <v:rect style="position:absolute;left:9126;top:4660;width:2045;height:1023" id="docshape234" filled="false" stroked="true" strokeweight="2pt" strokecolor="#00b3a8">
                  <v:stroke dashstyle="solid"/>
                </v:rect>
                <v:rect style="position:absolute;left:9124;top:6007;width:2045;height:1504" id="docshape235" filled="true" fillcolor="#e4f7f6" stroked="false">
                  <v:fill type="solid"/>
                </v:rect>
                <v:rect style="position:absolute;left:9124;top:6007;width:2045;height:1504" id="docshape236" filled="false" stroked="true" strokeweight="2pt" strokecolor="#00b3a8">
                  <v:stroke dashstyle="solid"/>
                </v:rect>
                <v:rect style="position:absolute;left:3186;top:3618;width:2045;height:1409" id="docshape237" filled="true" fillcolor="#e4f7f6" stroked="false">
                  <v:fill type="solid"/>
                </v:rect>
                <v:rect style="position:absolute;left:3186;top:3618;width:2045;height:1409" id="docshape238" filled="false" stroked="true" strokeweight="2pt" strokecolor="#00b3a8">
                  <v:stroke dashstyle="solid"/>
                </v:rect>
                <v:rect style="position:absolute;left:855;top:3629;width:2045;height:1216" id="docshape239" filled="true" fillcolor="#e4f7f6" stroked="false">
                  <v:fill type="solid"/>
                </v:rect>
                <v:rect style="position:absolute;left:855;top:3629;width:2045;height:1216" id="docshape240" filled="false" stroked="true" strokeweight="2pt" strokecolor="#00b3a8">
                  <v:stroke dashstyle="solid"/>
                </v:rect>
                <v:shape style="position:absolute;left:2707;top:1773;width:939;height:444" type="#_x0000_t202" id="docshape241" filled="false" stroked="false">
                  <v:textbox inset="0,0,0,0">
                    <w:txbxContent>
                      <w:p>
                        <w:pPr>
                          <w:spacing w:line="173" w:lineRule="exact" w:before="0"/>
                          <w:ind w:left="0" w:right="0" w:firstLine="0"/>
                          <w:jc w:val="left"/>
                          <w:rPr>
                            <w:b/>
                            <w:sz w:val="18"/>
                          </w:rPr>
                        </w:pPr>
                        <w:r>
                          <w:rPr>
                            <w:b/>
                            <w:w w:val="90"/>
                            <w:sz w:val="18"/>
                          </w:rPr>
                          <w:t>Audit</w:t>
                        </w:r>
                        <w:r>
                          <w:rPr>
                            <w:b/>
                            <w:spacing w:val="-8"/>
                            <w:w w:val="90"/>
                            <w:sz w:val="18"/>
                          </w:rPr>
                          <w:t> </w:t>
                        </w:r>
                        <w:r>
                          <w:rPr>
                            <w:b/>
                            <w:w w:val="90"/>
                            <w:sz w:val="18"/>
                          </w:rPr>
                          <w:t>&amp;</w:t>
                        </w:r>
                        <w:r>
                          <w:rPr>
                            <w:b/>
                            <w:spacing w:val="-7"/>
                            <w:w w:val="90"/>
                            <w:sz w:val="18"/>
                          </w:rPr>
                          <w:t> </w:t>
                        </w:r>
                        <w:r>
                          <w:rPr>
                            <w:b/>
                            <w:spacing w:val="-4"/>
                            <w:w w:val="85"/>
                            <w:sz w:val="18"/>
                          </w:rPr>
                          <w:t>Risk</w:t>
                        </w:r>
                      </w:p>
                      <w:p>
                        <w:pPr>
                          <w:spacing w:before="57"/>
                          <w:ind w:left="43" w:right="0" w:firstLine="0"/>
                          <w:jc w:val="left"/>
                          <w:rPr>
                            <w:b/>
                            <w:sz w:val="18"/>
                          </w:rPr>
                        </w:pPr>
                        <w:r>
                          <w:rPr>
                            <w:b/>
                            <w:spacing w:val="-6"/>
                            <w:sz w:val="18"/>
                          </w:rPr>
                          <w:t>Committee</w:t>
                        </w:r>
                      </w:p>
                    </w:txbxContent>
                  </v:textbox>
                  <w10:wrap type="none"/>
                </v:shape>
                <v:shape style="position:absolute;left:5881;top:1117;width:1884;height:708" type="#_x0000_t202" id="docshape242" filled="false" stroked="false">
                  <v:textbox inset="0,0,0,0">
                    <w:txbxContent>
                      <w:p>
                        <w:pPr>
                          <w:spacing w:line="173" w:lineRule="exact" w:before="0"/>
                          <w:ind w:left="0" w:right="18" w:firstLine="0"/>
                          <w:jc w:val="center"/>
                          <w:rPr>
                            <w:b/>
                            <w:sz w:val="18"/>
                          </w:rPr>
                        </w:pPr>
                        <w:r>
                          <w:rPr>
                            <w:b/>
                            <w:w w:val="85"/>
                            <w:sz w:val="18"/>
                          </w:rPr>
                          <w:t>Director</w:t>
                        </w:r>
                        <w:r>
                          <w:rPr>
                            <w:b/>
                            <w:spacing w:val="-5"/>
                            <w:sz w:val="18"/>
                          </w:rPr>
                          <w:t> </w:t>
                        </w:r>
                        <w:r>
                          <w:rPr>
                            <w:b/>
                            <w:w w:val="85"/>
                            <w:sz w:val="18"/>
                          </w:rPr>
                          <w:t>of</w:t>
                        </w:r>
                        <w:r>
                          <w:rPr>
                            <w:b/>
                            <w:spacing w:val="-5"/>
                            <w:sz w:val="18"/>
                          </w:rPr>
                          <w:t> </w:t>
                        </w:r>
                        <w:r>
                          <w:rPr>
                            <w:b/>
                            <w:w w:val="85"/>
                            <w:sz w:val="18"/>
                          </w:rPr>
                          <w:t>Energy</w:t>
                        </w:r>
                        <w:r>
                          <w:rPr>
                            <w:b/>
                            <w:spacing w:val="-5"/>
                            <w:sz w:val="18"/>
                          </w:rPr>
                          <w:t> </w:t>
                        </w:r>
                        <w:r>
                          <w:rPr>
                            <w:b/>
                            <w:spacing w:val="-2"/>
                            <w:w w:val="85"/>
                            <w:sz w:val="18"/>
                          </w:rPr>
                          <w:t>Safety</w:t>
                        </w:r>
                      </w:p>
                      <w:p>
                        <w:pPr>
                          <w:spacing w:line="260" w:lineRule="atLeast" w:before="4"/>
                          <w:ind w:left="0" w:right="12" w:firstLine="0"/>
                          <w:jc w:val="center"/>
                          <w:rPr>
                            <w:sz w:val="18"/>
                          </w:rPr>
                        </w:pPr>
                        <w:r>
                          <w:rPr>
                            <w:spacing w:val="-6"/>
                            <w:sz w:val="18"/>
                          </w:rPr>
                          <w:t>Statutory/Accountable </w:t>
                        </w:r>
                        <w:r>
                          <w:rPr>
                            <w:spacing w:val="-2"/>
                            <w:sz w:val="18"/>
                          </w:rPr>
                          <w:t>Officer</w:t>
                        </w:r>
                      </w:p>
                    </w:txbxContent>
                  </v:textbox>
                  <w10:wrap type="none"/>
                </v:shape>
                <v:shape style="position:absolute;left:9614;top:1943;width:1094;height:444" type="#_x0000_t202" id="docshape243" filled="false" stroked="false">
                  <v:textbox inset="0,0,0,0">
                    <w:txbxContent>
                      <w:p>
                        <w:pPr>
                          <w:spacing w:line="173" w:lineRule="exact" w:before="0"/>
                          <w:ind w:left="15" w:right="34" w:firstLine="0"/>
                          <w:jc w:val="center"/>
                          <w:rPr>
                            <w:b/>
                            <w:sz w:val="18"/>
                          </w:rPr>
                        </w:pPr>
                        <w:r>
                          <w:rPr>
                            <w:b/>
                            <w:spacing w:val="-2"/>
                            <w:w w:val="85"/>
                            <w:sz w:val="18"/>
                          </w:rPr>
                          <w:t>Remuneration</w:t>
                        </w:r>
                      </w:p>
                      <w:p>
                        <w:pPr>
                          <w:spacing w:before="57"/>
                          <w:ind w:left="13" w:right="34" w:firstLine="0"/>
                          <w:jc w:val="center"/>
                          <w:rPr>
                            <w:b/>
                            <w:sz w:val="18"/>
                          </w:rPr>
                        </w:pPr>
                        <w:r>
                          <w:rPr>
                            <w:b/>
                            <w:spacing w:val="-2"/>
                            <w:sz w:val="18"/>
                          </w:rPr>
                          <w:t>Committee</w:t>
                        </w:r>
                      </w:p>
                    </w:txbxContent>
                  </v:textbox>
                  <w10:wrap type="none"/>
                </v:shape>
                <v:shape style="position:absolute;left:6073;top:3083;width:1513;height:443" type="#_x0000_t202" id="docshape244" filled="false" stroked="false">
                  <v:textbox inset="0,0,0,0">
                    <w:txbxContent>
                      <w:p>
                        <w:pPr>
                          <w:spacing w:line="173" w:lineRule="exact" w:before="0"/>
                          <w:ind w:left="0" w:right="20" w:firstLine="0"/>
                          <w:jc w:val="center"/>
                          <w:rPr>
                            <w:b/>
                            <w:sz w:val="18"/>
                          </w:rPr>
                        </w:pPr>
                        <w:r>
                          <w:rPr>
                            <w:b/>
                            <w:spacing w:val="-2"/>
                            <w:w w:val="95"/>
                            <w:sz w:val="18"/>
                          </w:rPr>
                          <w:t>Executive</w:t>
                        </w:r>
                      </w:p>
                      <w:p>
                        <w:pPr>
                          <w:spacing w:before="55"/>
                          <w:ind w:left="0" w:right="18" w:firstLine="0"/>
                          <w:jc w:val="center"/>
                          <w:rPr>
                            <w:b/>
                            <w:sz w:val="18"/>
                          </w:rPr>
                        </w:pPr>
                        <w:r>
                          <w:rPr>
                            <w:b/>
                            <w:w w:val="90"/>
                            <w:sz w:val="18"/>
                          </w:rPr>
                          <w:t>Management</w:t>
                        </w:r>
                        <w:r>
                          <w:rPr>
                            <w:b/>
                            <w:spacing w:val="-2"/>
                            <w:w w:val="90"/>
                            <w:sz w:val="18"/>
                          </w:rPr>
                          <w:t> </w:t>
                        </w:r>
                        <w:r>
                          <w:rPr>
                            <w:b/>
                            <w:spacing w:val="-5"/>
                            <w:w w:val="90"/>
                            <w:sz w:val="18"/>
                          </w:rPr>
                          <w:t>Board</w:t>
                        </w:r>
                      </w:p>
                    </w:txbxContent>
                  </v:textbox>
                  <w10:wrap type="none"/>
                </v:shape>
                <v:shape style="position:absolute;left:1202;top:3892;width:1369;height:444" type="#_x0000_t202" id="docshape245" filled="false" stroked="false">
                  <v:textbox inset="0,0,0,0">
                    <w:txbxContent>
                      <w:p>
                        <w:pPr>
                          <w:spacing w:line="173" w:lineRule="exact" w:before="0"/>
                          <w:ind w:left="0" w:right="18" w:firstLine="0"/>
                          <w:jc w:val="center"/>
                          <w:rPr>
                            <w:b/>
                            <w:sz w:val="18"/>
                          </w:rPr>
                        </w:pPr>
                        <w:r>
                          <w:rPr>
                            <w:b/>
                            <w:spacing w:val="-2"/>
                            <w:w w:val="80"/>
                            <w:sz w:val="18"/>
                          </w:rPr>
                          <w:t>Risk</w:t>
                        </w:r>
                        <w:r>
                          <w:rPr>
                            <w:b/>
                            <w:spacing w:val="-6"/>
                            <w:sz w:val="18"/>
                          </w:rPr>
                          <w:t> </w:t>
                        </w:r>
                        <w:r>
                          <w:rPr>
                            <w:b/>
                            <w:spacing w:val="-2"/>
                            <w:w w:val="90"/>
                            <w:sz w:val="18"/>
                          </w:rPr>
                          <w:t>Management</w:t>
                        </w:r>
                      </w:p>
                      <w:p>
                        <w:pPr>
                          <w:spacing w:before="57"/>
                          <w:ind w:left="0" w:right="17" w:firstLine="0"/>
                          <w:jc w:val="center"/>
                          <w:rPr>
                            <w:b/>
                            <w:sz w:val="18"/>
                          </w:rPr>
                        </w:pPr>
                        <w:r>
                          <w:rPr>
                            <w:b/>
                            <w:spacing w:val="-2"/>
                            <w:sz w:val="18"/>
                          </w:rPr>
                          <w:t>Committee</w:t>
                        </w:r>
                      </w:p>
                    </w:txbxContent>
                  </v:textbox>
                  <w10:wrap type="none"/>
                </v:shape>
                <v:shape style="position:absolute;left:3706;top:3748;width:1025;height:972" type="#_x0000_t202" id="docshape246" filled="false" stroked="false">
                  <v:textbox inset="0,0,0,0">
                    <w:txbxContent>
                      <w:p>
                        <w:pPr>
                          <w:spacing w:line="173" w:lineRule="exact" w:before="0"/>
                          <w:ind w:left="0" w:right="16" w:firstLine="0"/>
                          <w:jc w:val="center"/>
                          <w:rPr>
                            <w:b/>
                            <w:sz w:val="18"/>
                          </w:rPr>
                        </w:pPr>
                        <w:r>
                          <w:rPr>
                            <w:b/>
                            <w:spacing w:val="-2"/>
                            <w:sz w:val="18"/>
                          </w:rPr>
                          <w:t>Information</w:t>
                        </w:r>
                      </w:p>
                      <w:p>
                        <w:pPr>
                          <w:spacing w:line="260" w:lineRule="atLeast" w:before="4"/>
                          <w:ind w:left="0" w:right="18" w:firstLine="0"/>
                          <w:jc w:val="center"/>
                          <w:rPr>
                            <w:b/>
                            <w:sz w:val="18"/>
                          </w:rPr>
                        </w:pPr>
                        <w:r>
                          <w:rPr>
                            <w:b/>
                            <w:spacing w:val="-2"/>
                            <w:w w:val="90"/>
                            <w:sz w:val="18"/>
                          </w:rPr>
                          <w:t>Management </w:t>
                        </w:r>
                        <w:r>
                          <w:rPr>
                            <w:b/>
                            <w:spacing w:val="-6"/>
                            <w:sz w:val="18"/>
                          </w:rPr>
                          <w:t>Governance </w:t>
                        </w:r>
                        <w:r>
                          <w:rPr>
                            <w:b/>
                            <w:spacing w:val="-2"/>
                            <w:sz w:val="18"/>
                          </w:rPr>
                          <w:t>Committee</w:t>
                        </w:r>
                      </w:p>
                    </w:txbxContent>
                  </v:textbox>
                  <w10:wrap type="none"/>
                </v:shape>
                <v:shape style="position:absolute;left:5902;top:3664;width:103;height:461" type="#_x0000_t202" id="docshape247" filled="false" stroked="false">
                  <v:textbox inset="0,0,0,0">
                    <w:txbxContent>
                      <w:p>
                        <w:pPr>
                          <w:spacing w:before="12"/>
                          <w:ind w:left="0" w:right="0" w:firstLine="0"/>
                          <w:jc w:val="left"/>
                          <w:rPr>
                            <w:sz w:val="18"/>
                          </w:rPr>
                        </w:pPr>
                        <w:r>
                          <w:rPr>
                            <w:w w:val="131"/>
                            <w:sz w:val="18"/>
                          </w:rPr>
                          <w:t>•</w:t>
                        </w:r>
                      </w:p>
                      <w:p>
                        <w:pPr>
                          <w:spacing w:before="33"/>
                          <w:ind w:left="0" w:right="0" w:firstLine="0"/>
                          <w:jc w:val="left"/>
                          <w:rPr>
                            <w:sz w:val="18"/>
                          </w:rPr>
                        </w:pPr>
                        <w:r>
                          <w:rPr>
                            <w:w w:val="131"/>
                            <w:sz w:val="18"/>
                          </w:rPr>
                          <w:t>•</w:t>
                        </w:r>
                      </w:p>
                    </w:txbxContent>
                  </v:textbox>
                  <w10:wrap type="none"/>
                </v:shape>
                <v:shape style="position:absolute;left:5902;top:4384;width:103;height:941" type="#_x0000_t202" id="docshape248" filled="false" stroked="false">
                  <v:textbox inset="0,0,0,0">
                    <w:txbxContent>
                      <w:p>
                        <w:pPr>
                          <w:spacing w:before="12"/>
                          <w:ind w:left="0" w:right="0" w:firstLine="0"/>
                          <w:jc w:val="left"/>
                          <w:rPr>
                            <w:sz w:val="18"/>
                          </w:rPr>
                        </w:pPr>
                        <w:r>
                          <w:rPr>
                            <w:w w:val="131"/>
                            <w:sz w:val="18"/>
                          </w:rPr>
                          <w:t>•</w:t>
                        </w:r>
                      </w:p>
                      <w:p>
                        <w:pPr>
                          <w:spacing w:line="240" w:lineRule="auto" w:before="0"/>
                          <w:rPr>
                            <w:sz w:val="22"/>
                          </w:rPr>
                        </w:pPr>
                      </w:p>
                      <w:p>
                        <w:pPr>
                          <w:spacing w:line="240" w:lineRule="auto" w:before="7"/>
                          <w:rPr>
                            <w:sz w:val="22"/>
                          </w:rPr>
                        </w:pPr>
                      </w:p>
                      <w:p>
                        <w:pPr>
                          <w:spacing w:before="0"/>
                          <w:ind w:left="0" w:right="0" w:firstLine="0"/>
                          <w:jc w:val="left"/>
                          <w:rPr>
                            <w:sz w:val="18"/>
                          </w:rPr>
                        </w:pPr>
                        <w:r>
                          <w:rPr>
                            <w:w w:val="131"/>
                            <w:sz w:val="18"/>
                          </w:rPr>
                          <w:t>•</w:t>
                        </w:r>
                      </w:p>
                    </w:txbxContent>
                  </v:textbox>
                  <w10:wrap type="none"/>
                </v:shape>
                <v:shape style="position:absolute;left:6262;top:3710;width:1364;height:3301" type="#_x0000_t202" id="docshape249" filled="false" stroked="false">
                  <v:textbox inset="0,0,0,0">
                    <w:txbxContent>
                      <w:p>
                        <w:pPr>
                          <w:spacing w:line="173" w:lineRule="exact" w:before="0"/>
                          <w:ind w:left="0" w:right="0" w:firstLine="0"/>
                          <w:jc w:val="left"/>
                          <w:rPr>
                            <w:sz w:val="18"/>
                          </w:rPr>
                        </w:pPr>
                        <w:r>
                          <w:rPr>
                            <w:w w:val="90"/>
                            <w:sz w:val="18"/>
                          </w:rPr>
                          <w:t>Deputy</w:t>
                        </w:r>
                        <w:r>
                          <w:rPr>
                            <w:spacing w:val="3"/>
                            <w:sz w:val="18"/>
                          </w:rPr>
                          <w:t> </w:t>
                        </w:r>
                        <w:r>
                          <w:rPr>
                            <w:spacing w:val="-2"/>
                            <w:sz w:val="18"/>
                          </w:rPr>
                          <w:t>Director</w:t>
                        </w:r>
                      </w:p>
                      <w:p>
                        <w:pPr>
                          <w:spacing w:line="278" w:lineRule="auto" w:before="33"/>
                          <w:ind w:left="0" w:right="0" w:firstLine="0"/>
                          <w:jc w:val="left"/>
                          <w:rPr>
                            <w:sz w:val="18"/>
                          </w:rPr>
                        </w:pPr>
                        <w:r>
                          <w:rPr>
                            <w:w w:val="90"/>
                            <w:sz w:val="18"/>
                          </w:rPr>
                          <w:t>Chief</w:t>
                        </w:r>
                        <w:r>
                          <w:rPr>
                            <w:spacing w:val="-8"/>
                            <w:w w:val="90"/>
                            <w:sz w:val="18"/>
                          </w:rPr>
                          <w:t> </w:t>
                        </w:r>
                        <w:r>
                          <w:rPr>
                            <w:w w:val="90"/>
                            <w:sz w:val="18"/>
                          </w:rPr>
                          <w:t>Operating </w:t>
                        </w:r>
                        <w:r>
                          <w:rPr>
                            <w:spacing w:val="-2"/>
                            <w:sz w:val="18"/>
                          </w:rPr>
                          <w:t>Officer</w:t>
                        </w:r>
                      </w:p>
                      <w:p>
                        <w:pPr>
                          <w:spacing w:line="278" w:lineRule="auto" w:before="0"/>
                          <w:ind w:left="0" w:right="10" w:firstLine="0"/>
                          <w:jc w:val="left"/>
                          <w:rPr>
                            <w:sz w:val="18"/>
                          </w:rPr>
                        </w:pPr>
                        <w:r>
                          <w:rPr>
                            <w:spacing w:val="-4"/>
                            <w:sz w:val="18"/>
                          </w:rPr>
                          <w:t>General</w:t>
                        </w:r>
                        <w:r>
                          <w:rPr>
                            <w:spacing w:val="-13"/>
                            <w:sz w:val="18"/>
                          </w:rPr>
                          <w:t> </w:t>
                        </w:r>
                        <w:r>
                          <w:rPr>
                            <w:spacing w:val="-4"/>
                            <w:sz w:val="18"/>
                          </w:rPr>
                          <w:t>Manager </w:t>
                        </w:r>
                        <w:r>
                          <w:rPr>
                            <w:sz w:val="18"/>
                          </w:rPr>
                          <w:t>Risk,</w:t>
                        </w:r>
                        <w:r>
                          <w:rPr>
                            <w:spacing w:val="-13"/>
                            <w:sz w:val="18"/>
                          </w:rPr>
                          <w:t> </w:t>
                        </w:r>
                        <w:r>
                          <w:rPr>
                            <w:sz w:val="18"/>
                          </w:rPr>
                          <w:t>Regulatory </w:t>
                        </w:r>
                        <w:r>
                          <w:rPr>
                            <w:spacing w:val="-4"/>
                            <w:sz w:val="18"/>
                          </w:rPr>
                          <w:t>Planning</w:t>
                        </w:r>
                        <w:r>
                          <w:rPr>
                            <w:spacing w:val="-12"/>
                            <w:sz w:val="18"/>
                          </w:rPr>
                          <w:t> </w:t>
                        </w:r>
                        <w:r>
                          <w:rPr>
                            <w:spacing w:val="-4"/>
                            <w:sz w:val="18"/>
                          </w:rPr>
                          <w:t>&amp;</w:t>
                        </w:r>
                        <w:r>
                          <w:rPr>
                            <w:spacing w:val="-9"/>
                            <w:sz w:val="18"/>
                          </w:rPr>
                          <w:t> </w:t>
                        </w:r>
                        <w:r>
                          <w:rPr>
                            <w:spacing w:val="-4"/>
                            <w:sz w:val="18"/>
                          </w:rPr>
                          <w:t>Policy General</w:t>
                        </w:r>
                        <w:r>
                          <w:rPr>
                            <w:spacing w:val="-13"/>
                            <w:sz w:val="18"/>
                          </w:rPr>
                          <w:t> </w:t>
                        </w:r>
                        <w:r>
                          <w:rPr>
                            <w:spacing w:val="-4"/>
                            <w:sz w:val="18"/>
                          </w:rPr>
                          <w:t>Manager </w:t>
                        </w:r>
                        <w:r>
                          <w:rPr>
                            <w:w w:val="90"/>
                            <w:sz w:val="18"/>
                          </w:rPr>
                          <w:t>Electrical</w:t>
                        </w:r>
                        <w:r>
                          <w:rPr>
                            <w:spacing w:val="-5"/>
                            <w:w w:val="90"/>
                            <w:sz w:val="18"/>
                          </w:rPr>
                          <w:t> </w:t>
                        </w:r>
                        <w:r>
                          <w:rPr>
                            <w:w w:val="90"/>
                            <w:sz w:val="18"/>
                          </w:rPr>
                          <w:t>Safety</w:t>
                        </w:r>
                        <w:r>
                          <w:rPr>
                            <w:spacing w:val="-5"/>
                            <w:w w:val="90"/>
                            <w:sz w:val="18"/>
                          </w:rPr>
                          <w:t> </w:t>
                        </w:r>
                        <w:r>
                          <w:rPr>
                            <w:w w:val="90"/>
                            <w:sz w:val="18"/>
                          </w:rPr>
                          <w:t>&amp; </w:t>
                        </w:r>
                        <w:r>
                          <w:rPr>
                            <w:spacing w:val="-2"/>
                            <w:sz w:val="18"/>
                          </w:rPr>
                          <w:t>Technical Regulation· </w:t>
                        </w:r>
                        <w:r>
                          <w:rPr>
                            <w:spacing w:val="-4"/>
                            <w:sz w:val="18"/>
                          </w:rPr>
                          <w:t>General</w:t>
                        </w:r>
                        <w:r>
                          <w:rPr>
                            <w:spacing w:val="-13"/>
                            <w:sz w:val="18"/>
                          </w:rPr>
                          <w:t> </w:t>
                        </w:r>
                        <w:r>
                          <w:rPr>
                            <w:spacing w:val="-4"/>
                            <w:sz w:val="18"/>
                          </w:rPr>
                          <w:t>Manager </w:t>
                        </w:r>
                        <w:r>
                          <w:rPr>
                            <w:sz w:val="18"/>
                          </w:rPr>
                          <w:t>Gas &amp; Pipeline </w:t>
                        </w:r>
                        <w:r>
                          <w:rPr>
                            <w:w w:val="90"/>
                            <w:sz w:val="18"/>
                          </w:rPr>
                          <w:t>Safety</w:t>
                        </w:r>
                        <w:r>
                          <w:rPr>
                            <w:spacing w:val="-10"/>
                            <w:w w:val="90"/>
                            <w:sz w:val="18"/>
                          </w:rPr>
                          <w:t> </w:t>
                        </w:r>
                        <w:r>
                          <w:rPr>
                            <w:w w:val="90"/>
                            <w:sz w:val="18"/>
                          </w:rPr>
                          <w:t>&amp;</w:t>
                        </w:r>
                        <w:r>
                          <w:rPr>
                            <w:spacing w:val="-7"/>
                            <w:w w:val="90"/>
                            <w:sz w:val="18"/>
                          </w:rPr>
                          <w:t> </w:t>
                        </w:r>
                        <w:r>
                          <w:rPr>
                            <w:w w:val="90"/>
                            <w:sz w:val="18"/>
                          </w:rPr>
                          <w:t>Technical </w:t>
                        </w:r>
                        <w:r>
                          <w:rPr>
                            <w:spacing w:val="-2"/>
                            <w:sz w:val="18"/>
                          </w:rPr>
                          <w:t>Regulation</w:t>
                        </w:r>
                      </w:p>
                    </w:txbxContent>
                  </v:textbox>
                  <w10:wrap type="none"/>
                </v:shape>
                <v:shape style="position:absolute;left:9484;top:3405;width:1351;height:444" type="#_x0000_t202" id="docshape250" filled="false" stroked="false">
                  <v:textbox inset="0,0,0,0">
                    <w:txbxContent>
                      <w:p>
                        <w:pPr>
                          <w:spacing w:line="173" w:lineRule="exact" w:before="0"/>
                          <w:ind w:left="98" w:right="0" w:firstLine="0"/>
                          <w:jc w:val="left"/>
                          <w:rPr>
                            <w:b/>
                            <w:sz w:val="18"/>
                          </w:rPr>
                        </w:pPr>
                        <w:r>
                          <w:rPr>
                            <w:b/>
                            <w:w w:val="85"/>
                            <w:sz w:val="18"/>
                          </w:rPr>
                          <w:t>Enforcement</w:t>
                        </w:r>
                        <w:r>
                          <w:rPr>
                            <w:b/>
                            <w:spacing w:val="10"/>
                            <w:sz w:val="18"/>
                          </w:rPr>
                          <w:t> </w:t>
                        </w:r>
                        <w:r>
                          <w:rPr>
                            <w:b/>
                            <w:spacing w:val="-10"/>
                            <w:sz w:val="18"/>
                          </w:rPr>
                          <w:t>&amp;</w:t>
                        </w:r>
                      </w:p>
                      <w:p>
                        <w:pPr>
                          <w:spacing w:before="57"/>
                          <w:ind w:left="0" w:right="0" w:firstLine="0"/>
                          <w:jc w:val="left"/>
                          <w:rPr>
                            <w:b/>
                            <w:sz w:val="18"/>
                          </w:rPr>
                        </w:pPr>
                        <w:r>
                          <w:rPr>
                            <w:b/>
                            <w:w w:val="85"/>
                            <w:sz w:val="18"/>
                          </w:rPr>
                          <w:t>Compliance</w:t>
                        </w:r>
                        <w:r>
                          <w:rPr>
                            <w:b/>
                            <w:spacing w:val="-2"/>
                            <w:w w:val="85"/>
                            <w:sz w:val="18"/>
                          </w:rPr>
                          <w:t> </w:t>
                        </w:r>
                        <w:r>
                          <w:rPr>
                            <w:b/>
                            <w:spacing w:val="-2"/>
                            <w:w w:val="90"/>
                            <w:sz w:val="18"/>
                          </w:rPr>
                          <w:t>Panel</w:t>
                        </w:r>
                      </w:p>
                    </w:txbxContent>
                  </v:textbox>
                  <w10:wrap type="none"/>
                </v:shape>
                <v:shape style="position:absolute;left:9426;top:4792;width:1464;height:442" type="#_x0000_t202" id="docshape251" filled="false" stroked="false">
                  <v:textbox inset="0,0,0,0">
                    <w:txbxContent>
                      <w:p>
                        <w:pPr>
                          <w:spacing w:line="173" w:lineRule="exact" w:before="0"/>
                          <w:ind w:left="17" w:right="35" w:firstLine="0"/>
                          <w:jc w:val="center"/>
                          <w:rPr>
                            <w:b/>
                            <w:sz w:val="18"/>
                          </w:rPr>
                        </w:pPr>
                        <w:r>
                          <w:rPr>
                            <w:b/>
                            <w:w w:val="80"/>
                            <w:sz w:val="18"/>
                          </w:rPr>
                          <w:t>Safety</w:t>
                        </w:r>
                        <w:r>
                          <w:rPr>
                            <w:b/>
                            <w:spacing w:val="5"/>
                            <w:sz w:val="18"/>
                          </w:rPr>
                          <w:t> </w:t>
                        </w:r>
                        <w:r>
                          <w:rPr>
                            <w:b/>
                            <w:w w:val="80"/>
                            <w:sz w:val="18"/>
                          </w:rPr>
                          <w:t>Case</w:t>
                        </w:r>
                        <w:r>
                          <w:rPr>
                            <w:b/>
                            <w:spacing w:val="6"/>
                            <w:sz w:val="18"/>
                          </w:rPr>
                          <w:t> </w:t>
                        </w:r>
                        <w:r>
                          <w:rPr>
                            <w:b/>
                            <w:spacing w:val="-2"/>
                            <w:w w:val="80"/>
                            <w:sz w:val="18"/>
                          </w:rPr>
                          <w:t>Review</w:t>
                        </w:r>
                      </w:p>
                      <w:p>
                        <w:pPr>
                          <w:spacing w:before="54"/>
                          <w:ind w:left="17" w:right="30" w:firstLine="0"/>
                          <w:jc w:val="center"/>
                          <w:rPr>
                            <w:b/>
                            <w:sz w:val="18"/>
                          </w:rPr>
                        </w:pPr>
                        <w:r>
                          <w:rPr>
                            <w:b/>
                            <w:spacing w:val="-4"/>
                            <w:w w:val="95"/>
                            <w:sz w:val="18"/>
                          </w:rPr>
                          <w:t>Panel</w:t>
                        </w:r>
                      </w:p>
                    </w:txbxContent>
                  </v:textbox>
                  <w10:wrap type="none"/>
                </v:shape>
                <v:shape style="position:absolute;left:5902;top:6064;width:103;height:221" type="#_x0000_t202" id="docshape252" filled="false" stroked="false">
                  <v:textbox inset="0,0,0,0">
                    <w:txbxContent>
                      <w:p>
                        <w:pPr>
                          <w:spacing w:before="12"/>
                          <w:ind w:left="0" w:right="0" w:firstLine="0"/>
                          <w:jc w:val="left"/>
                          <w:rPr>
                            <w:sz w:val="18"/>
                          </w:rPr>
                        </w:pPr>
                        <w:r>
                          <w:rPr>
                            <w:w w:val="131"/>
                            <w:sz w:val="18"/>
                          </w:rPr>
                          <w:t>•</w:t>
                        </w:r>
                      </w:p>
                    </w:txbxContent>
                  </v:textbox>
                  <w10:wrap type="none"/>
                </v:shape>
                <v:shape style="position:absolute;left:9362;top:6139;width:1589;height:442" type="#_x0000_t202" id="docshape253" filled="false" stroked="false">
                  <v:textbox inset="0,0,0,0">
                    <w:txbxContent>
                      <w:p>
                        <w:pPr>
                          <w:spacing w:line="173" w:lineRule="exact" w:before="0"/>
                          <w:ind w:left="10" w:right="23" w:firstLine="0"/>
                          <w:jc w:val="center"/>
                          <w:rPr>
                            <w:b/>
                            <w:sz w:val="18"/>
                          </w:rPr>
                        </w:pPr>
                        <w:r>
                          <w:rPr>
                            <w:b/>
                            <w:w w:val="85"/>
                            <w:sz w:val="18"/>
                          </w:rPr>
                          <w:t>Stakeholder</w:t>
                        </w:r>
                        <w:r>
                          <w:rPr>
                            <w:b/>
                            <w:spacing w:val="4"/>
                            <w:sz w:val="18"/>
                          </w:rPr>
                          <w:t> </w:t>
                        </w:r>
                        <w:r>
                          <w:rPr>
                            <w:b/>
                            <w:spacing w:val="-5"/>
                            <w:w w:val="95"/>
                            <w:sz w:val="18"/>
                          </w:rPr>
                          <w:t>and</w:t>
                        </w:r>
                      </w:p>
                      <w:p>
                        <w:pPr>
                          <w:spacing w:before="54"/>
                          <w:ind w:left="10" w:right="28" w:firstLine="0"/>
                          <w:jc w:val="center"/>
                          <w:rPr>
                            <w:b/>
                            <w:sz w:val="18"/>
                          </w:rPr>
                        </w:pPr>
                        <w:r>
                          <w:rPr>
                            <w:b/>
                            <w:w w:val="85"/>
                            <w:sz w:val="18"/>
                          </w:rPr>
                          <w:t>Industry</w:t>
                        </w:r>
                        <w:r>
                          <w:rPr>
                            <w:b/>
                            <w:sz w:val="18"/>
                          </w:rPr>
                          <w:t> </w:t>
                        </w:r>
                        <w:r>
                          <w:rPr>
                            <w:b/>
                            <w:spacing w:val="-2"/>
                            <w:w w:val="85"/>
                            <w:sz w:val="18"/>
                          </w:rPr>
                          <w:t>Committees</w:t>
                        </w:r>
                      </w:p>
                    </w:txbxContent>
                  </v:textbox>
                  <w10:wrap type="none"/>
                </v:shape>
                <v:shape style="position:absolute;left:9290;top:6746;width:1634;height:445" type="#_x0000_t202" id="docshape254" filled="false" stroked="false">
                  <v:textbox inset="0,0,0,0">
                    <w:txbxContent>
                      <w:p>
                        <w:pPr>
                          <w:spacing w:line="173" w:lineRule="exact" w:before="0"/>
                          <w:ind w:left="0" w:right="0" w:firstLine="0"/>
                          <w:jc w:val="left"/>
                          <w:rPr>
                            <w:sz w:val="18"/>
                          </w:rPr>
                        </w:pPr>
                        <w:r>
                          <w:rPr>
                            <w:spacing w:val="-2"/>
                            <w:w w:val="90"/>
                            <w:sz w:val="18"/>
                          </w:rPr>
                          <w:t>Section</w:t>
                        </w:r>
                        <w:r>
                          <w:rPr>
                            <w:spacing w:val="-5"/>
                            <w:w w:val="90"/>
                            <w:sz w:val="18"/>
                          </w:rPr>
                          <w:t> </w:t>
                        </w:r>
                        <w:r>
                          <w:rPr>
                            <w:spacing w:val="-2"/>
                            <w:w w:val="90"/>
                            <w:sz w:val="18"/>
                          </w:rPr>
                          <w:t>8</w:t>
                        </w:r>
                        <w:r>
                          <w:rPr>
                            <w:spacing w:val="-4"/>
                            <w:sz w:val="18"/>
                          </w:rPr>
                          <w:t> </w:t>
                        </w:r>
                        <w:r>
                          <w:rPr>
                            <w:spacing w:val="-2"/>
                            <w:w w:val="90"/>
                            <w:sz w:val="18"/>
                          </w:rPr>
                          <w:t>Committee</w:t>
                        </w:r>
                      </w:p>
                      <w:p>
                        <w:pPr>
                          <w:spacing w:before="57"/>
                          <w:ind w:left="0" w:right="0" w:firstLine="0"/>
                          <w:jc w:val="left"/>
                          <w:rPr>
                            <w:sz w:val="18"/>
                          </w:rPr>
                        </w:pPr>
                        <w:r>
                          <w:rPr>
                            <w:w w:val="90"/>
                            <w:sz w:val="18"/>
                          </w:rPr>
                          <w:t>Statutory</w:t>
                        </w:r>
                        <w:r>
                          <w:rPr>
                            <w:spacing w:val="14"/>
                            <w:sz w:val="18"/>
                          </w:rPr>
                          <w:t> </w:t>
                        </w:r>
                        <w:r>
                          <w:rPr>
                            <w:spacing w:val="-2"/>
                            <w:w w:val="95"/>
                            <w:sz w:val="18"/>
                          </w:rPr>
                          <w:t>Committees</w:t>
                        </w:r>
                      </w:p>
                    </w:txbxContent>
                  </v:textbox>
                  <w10:wrap type="none"/>
                </v:shape>
                <w10:wrap type="none"/>
              </v:group>
            </w:pict>
          </mc:Fallback>
        </mc:AlternateContent>
      </w:r>
      <w:r>
        <w:rPr>
          <w:b/>
          <w:color w:val="585858"/>
          <w:sz w:val="32"/>
        </w:rPr>
        <w:t>ESV</w:t>
      </w:r>
      <w:r>
        <w:rPr>
          <w:b/>
          <w:color w:val="585858"/>
          <w:spacing w:val="-15"/>
          <w:sz w:val="32"/>
        </w:rPr>
        <w:t> </w:t>
      </w:r>
      <w:r>
        <w:rPr>
          <w:b/>
          <w:color w:val="585858"/>
          <w:sz w:val="32"/>
        </w:rPr>
        <w:t>Governance</w:t>
      </w:r>
      <w:r>
        <w:rPr>
          <w:b/>
          <w:color w:val="585858"/>
          <w:spacing w:val="-15"/>
          <w:sz w:val="32"/>
        </w:rPr>
        <w:t> </w:t>
      </w:r>
      <w:r>
        <w:rPr>
          <w:b/>
          <w:color w:val="585858"/>
          <w:sz w:val="32"/>
        </w:rPr>
        <w:t>Structure</w:t>
      </w:r>
      <w:r>
        <w:rPr>
          <w:b/>
          <w:color w:val="585858"/>
          <w:spacing w:val="-15"/>
          <w:sz w:val="32"/>
        </w:rPr>
        <w:t> </w:t>
      </w:r>
      <w:r>
        <w:rPr>
          <w:b/>
          <w:color w:val="585858"/>
          <w:spacing w:val="-4"/>
          <w:sz w:val="32"/>
        </w:rPr>
        <w:t>2017</w:t>
      </w:r>
    </w:p>
    <w:p>
      <w:pPr>
        <w:spacing w:after="0"/>
        <w:jc w:val="left"/>
        <w:rPr>
          <w:sz w:val="32"/>
        </w:rPr>
        <w:sectPr>
          <w:pgSz w:w="11910" w:h="16850"/>
          <w:pgMar w:header="220" w:footer="678" w:top="420" w:bottom="860" w:left="900" w:right="840"/>
        </w:sectPr>
      </w:pPr>
    </w:p>
    <w:p>
      <w:pPr>
        <w:pStyle w:val="BodyText"/>
        <w:rPr>
          <w:b/>
          <w:sz w:val="20"/>
        </w:rPr>
      </w:pPr>
    </w:p>
    <w:p>
      <w:pPr>
        <w:pStyle w:val="BodyText"/>
        <w:spacing w:before="10"/>
        <w:rPr>
          <w:b/>
          <w:sz w:val="19"/>
        </w:rPr>
      </w:pPr>
    </w:p>
    <w:p>
      <w:pPr>
        <w:pStyle w:val="Heading3"/>
      </w:pPr>
      <w:r>
        <w:rPr>
          <w:color w:val="00B1A9"/>
        </w:rPr>
        <w:t>Appendix</w:t>
      </w:r>
      <w:r>
        <w:rPr>
          <w:color w:val="00B1A9"/>
          <w:spacing w:val="-13"/>
        </w:rPr>
        <w:t> </w:t>
      </w:r>
      <w:r>
        <w:rPr>
          <w:color w:val="00B1A9"/>
        </w:rPr>
        <w:t>G:</w:t>
      </w:r>
      <w:r>
        <w:rPr>
          <w:color w:val="00B1A9"/>
          <w:spacing w:val="-12"/>
        </w:rPr>
        <w:t> </w:t>
      </w:r>
      <w:r>
        <w:rPr>
          <w:color w:val="00B1A9"/>
        </w:rPr>
        <w:t>Terms</w:t>
      </w:r>
      <w:r>
        <w:rPr>
          <w:color w:val="00B1A9"/>
          <w:spacing w:val="-10"/>
        </w:rPr>
        <w:t> </w:t>
      </w:r>
      <w:r>
        <w:rPr>
          <w:color w:val="00B1A9"/>
        </w:rPr>
        <w:t>and</w:t>
      </w:r>
      <w:r>
        <w:rPr>
          <w:color w:val="00B1A9"/>
          <w:spacing w:val="-9"/>
        </w:rPr>
        <w:t> </w:t>
      </w:r>
      <w:r>
        <w:rPr>
          <w:color w:val="00B1A9"/>
          <w:spacing w:val="-2"/>
        </w:rPr>
        <w:t>abbreviations</w:t>
      </w:r>
    </w:p>
    <w:p>
      <w:pPr>
        <w:pStyle w:val="BodyText"/>
        <w:rPr>
          <w:b/>
          <w:sz w:val="20"/>
        </w:rPr>
      </w:pPr>
    </w:p>
    <w:p>
      <w:pPr>
        <w:pStyle w:val="BodyText"/>
        <w:spacing w:before="6"/>
        <w:rPr>
          <w:b/>
          <w:sz w:val="27"/>
        </w:rPr>
      </w:pPr>
    </w:p>
    <w:tbl>
      <w:tblPr>
        <w:tblW w:w="0" w:type="auto"/>
        <w:jc w:val="left"/>
        <w:tblInd w:w="24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top w:w="0" w:type="dxa"/>
          <w:left w:w="0" w:type="dxa"/>
          <w:bottom w:w="0" w:type="dxa"/>
          <w:right w:w="0" w:type="dxa"/>
        </w:tblCellMar>
        <w:tblLook w:val="01E0"/>
      </w:tblPr>
      <w:tblGrid>
        <w:gridCol w:w="1150"/>
        <w:gridCol w:w="8495"/>
      </w:tblGrid>
      <w:tr>
        <w:trPr>
          <w:trHeight w:val="513" w:hRule="atLeast"/>
        </w:trPr>
        <w:tc>
          <w:tcPr>
            <w:tcW w:w="1150" w:type="dxa"/>
            <w:tcBorders>
              <w:right w:val="nil"/>
            </w:tcBorders>
            <w:shd w:val="clear" w:color="auto" w:fill="D9D9D9"/>
          </w:tcPr>
          <w:p>
            <w:pPr>
              <w:pStyle w:val="TableParagraph"/>
              <w:spacing w:before="105"/>
              <w:ind w:left="117"/>
              <w:rPr>
                <w:b/>
                <w:sz w:val="22"/>
              </w:rPr>
            </w:pPr>
            <w:r>
              <w:rPr>
                <w:b/>
                <w:spacing w:val="-4"/>
                <w:sz w:val="22"/>
              </w:rPr>
              <w:t>Term</w:t>
            </w:r>
          </w:p>
        </w:tc>
        <w:tc>
          <w:tcPr>
            <w:tcW w:w="8495" w:type="dxa"/>
            <w:tcBorders>
              <w:left w:val="nil"/>
            </w:tcBorders>
            <w:shd w:val="clear" w:color="auto" w:fill="D9D9D9"/>
          </w:tcPr>
          <w:p>
            <w:pPr>
              <w:pStyle w:val="TableParagraph"/>
              <w:spacing w:before="105"/>
              <w:ind w:left="251"/>
              <w:rPr>
                <w:b/>
                <w:sz w:val="22"/>
              </w:rPr>
            </w:pPr>
            <w:r>
              <w:rPr>
                <w:b/>
                <w:spacing w:val="-2"/>
                <w:sz w:val="22"/>
              </w:rPr>
              <w:t>Definition</w:t>
            </w:r>
          </w:p>
        </w:tc>
      </w:tr>
      <w:tr>
        <w:trPr>
          <w:trHeight w:val="815" w:hRule="atLeast"/>
        </w:trPr>
        <w:tc>
          <w:tcPr>
            <w:tcW w:w="1150" w:type="dxa"/>
            <w:tcBorders>
              <w:right w:val="nil"/>
            </w:tcBorders>
          </w:tcPr>
          <w:p>
            <w:pPr>
              <w:pStyle w:val="TableParagraph"/>
              <w:spacing w:before="105"/>
              <w:ind w:left="117"/>
              <w:rPr>
                <w:sz w:val="22"/>
              </w:rPr>
            </w:pPr>
            <w:r>
              <w:rPr>
                <w:spacing w:val="-5"/>
                <w:sz w:val="22"/>
              </w:rPr>
              <w:t>ACR</w:t>
            </w:r>
          </w:p>
        </w:tc>
        <w:tc>
          <w:tcPr>
            <w:tcW w:w="8495" w:type="dxa"/>
            <w:tcBorders>
              <w:left w:val="nil"/>
            </w:tcBorders>
          </w:tcPr>
          <w:p>
            <w:pPr>
              <w:pStyle w:val="TableParagraph"/>
              <w:spacing w:line="288" w:lineRule="auto" w:before="105"/>
              <w:ind w:left="251"/>
              <w:rPr>
                <w:sz w:val="22"/>
              </w:rPr>
            </w:pPr>
            <w:r>
              <w:rPr>
                <w:sz w:val="22"/>
              </w:rPr>
              <w:t>Automatic</w:t>
            </w:r>
            <w:r>
              <w:rPr>
                <w:spacing w:val="-1"/>
                <w:sz w:val="22"/>
              </w:rPr>
              <w:t> </w:t>
            </w:r>
            <w:r>
              <w:rPr>
                <w:sz w:val="22"/>
              </w:rPr>
              <w:t>Circuit</w:t>
            </w:r>
            <w:r>
              <w:rPr>
                <w:spacing w:val="-3"/>
                <w:sz w:val="22"/>
              </w:rPr>
              <w:t> </w:t>
            </w:r>
            <w:r>
              <w:rPr>
                <w:sz w:val="22"/>
              </w:rPr>
              <w:t>Reclosers –</w:t>
            </w:r>
            <w:r>
              <w:rPr>
                <w:spacing w:val="-4"/>
                <w:sz w:val="22"/>
              </w:rPr>
              <w:t> </w:t>
            </w:r>
            <w:r>
              <w:rPr>
                <w:sz w:val="22"/>
              </w:rPr>
              <w:t>A</w:t>
            </w:r>
            <w:r>
              <w:rPr>
                <w:spacing w:val="-2"/>
                <w:sz w:val="22"/>
              </w:rPr>
              <w:t> </w:t>
            </w:r>
            <w:r>
              <w:rPr>
                <w:sz w:val="22"/>
              </w:rPr>
              <w:t>device</w:t>
            </w:r>
            <w:r>
              <w:rPr>
                <w:spacing w:val="-2"/>
                <w:sz w:val="22"/>
              </w:rPr>
              <w:t> </w:t>
            </w:r>
            <w:r>
              <w:rPr>
                <w:sz w:val="22"/>
              </w:rPr>
              <w:t>to</w:t>
            </w:r>
            <w:r>
              <w:rPr>
                <w:spacing w:val="-4"/>
                <w:sz w:val="22"/>
              </w:rPr>
              <w:t> </w:t>
            </w:r>
            <w:r>
              <w:rPr>
                <w:sz w:val="22"/>
              </w:rPr>
              <w:t>be</w:t>
            </w:r>
            <w:r>
              <w:rPr>
                <w:spacing w:val="-2"/>
                <w:sz w:val="22"/>
              </w:rPr>
              <w:t> </w:t>
            </w:r>
            <w:r>
              <w:rPr>
                <w:sz w:val="22"/>
              </w:rPr>
              <w:t>set</w:t>
            </w:r>
            <w:r>
              <w:rPr>
                <w:spacing w:val="-3"/>
                <w:sz w:val="22"/>
              </w:rPr>
              <w:t> </w:t>
            </w:r>
            <w:r>
              <w:rPr>
                <w:sz w:val="22"/>
              </w:rPr>
              <w:t>remotely</w:t>
            </w:r>
            <w:r>
              <w:rPr>
                <w:spacing w:val="-4"/>
                <w:sz w:val="22"/>
              </w:rPr>
              <w:t> </w:t>
            </w:r>
            <w:r>
              <w:rPr>
                <w:sz w:val="22"/>
              </w:rPr>
              <w:t>to</w:t>
            </w:r>
            <w:r>
              <w:rPr>
                <w:spacing w:val="-4"/>
                <w:sz w:val="22"/>
              </w:rPr>
              <w:t> </w:t>
            </w:r>
            <w:r>
              <w:rPr>
                <w:sz w:val="22"/>
              </w:rPr>
              <w:t>automatically</w:t>
            </w:r>
            <w:r>
              <w:rPr>
                <w:spacing w:val="-4"/>
                <w:sz w:val="22"/>
              </w:rPr>
              <w:t> </w:t>
            </w:r>
            <w:r>
              <w:rPr>
                <w:sz w:val="22"/>
              </w:rPr>
              <w:t>turn</w:t>
            </w:r>
            <w:r>
              <w:rPr>
                <w:spacing w:val="-4"/>
                <w:sz w:val="22"/>
              </w:rPr>
              <w:t> </w:t>
            </w:r>
            <w:r>
              <w:rPr>
                <w:sz w:val="22"/>
              </w:rPr>
              <w:t>off those powerlines quickly when faults occur.</w:t>
            </w:r>
          </w:p>
        </w:tc>
      </w:tr>
      <w:tr>
        <w:trPr>
          <w:trHeight w:val="1425" w:hRule="atLeast"/>
        </w:trPr>
        <w:tc>
          <w:tcPr>
            <w:tcW w:w="1150" w:type="dxa"/>
            <w:tcBorders>
              <w:right w:val="nil"/>
            </w:tcBorders>
          </w:tcPr>
          <w:p>
            <w:pPr>
              <w:pStyle w:val="TableParagraph"/>
              <w:spacing w:before="105"/>
              <w:ind w:left="117"/>
              <w:rPr>
                <w:sz w:val="22"/>
              </w:rPr>
            </w:pPr>
            <w:r>
              <w:rPr>
                <w:spacing w:val="-4"/>
                <w:sz w:val="22"/>
              </w:rPr>
              <w:t>AEMC</w:t>
            </w:r>
          </w:p>
        </w:tc>
        <w:tc>
          <w:tcPr>
            <w:tcW w:w="8495" w:type="dxa"/>
            <w:tcBorders>
              <w:left w:val="nil"/>
            </w:tcBorders>
          </w:tcPr>
          <w:p>
            <w:pPr>
              <w:pStyle w:val="TableParagraph"/>
              <w:spacing w:line="288" w:lineRule="auto" w:before="105"/>
              <w:ind w:left="251" w:right="177"/>
              <w:rPr>
                <w:sz w:val="22"/>
              </w:rPr>
            </w:pPr>
            <w:r>
              <w:rPr>
                <w:sz w:val="22"/>
              </w:rPr>
              <w:t>Australian Energy Market Commission – the rule maker for Australia’s electricity and</w:t>
            </w:r>
            <w:r>
              <w:rPr>
                <w:spacing w:val="-5"/>
                <w:sz w:val="22"/>
              </w:rPr>
              <w:t> </w:t>
            </w:r>
            <w:r>
              <w:rPr>
                <w:sz w:val="22"/>
              </w:rPr>
              <w:t>gas</w:t>
            </w:r>
            <w:r>
              <w:rPr>
                <w:spacing w:val="-5"/>
                <w:sz w:val="22"/>
              </w:rPr>
              <w:t> </w:t>
            </w:r>
            <w:r>
              <w:rPr>
                <w:sz w:val="22"/>
              </w:rPr>
              <w:t>markets,</w:t>
            </w:r>
            <w:r>
              <w:rPr>
                <w:spacing w:val="-1"/>
                <w:sz w:val="22"/>
              </w:rPr>
              <w:t> </w:t>
            </w:r>
            <w:r>
              <w:rPr>
                <w:sz w:val="22"/>
              </w:rPr>
              <w:t>including</w:t>
            </w:r>
            <w:r>
              <w:rPr>
                <w:spacing w:val="-3"/>
                <w:sz w:val="22"/>
              </w:rPr>
              <w:t> </w:t>
            </w:r>
            <w:r>
              <w:rPr>
                <w:sz w:val="22"/>
              </w:rPr>
              <w:t>the</w:t>
            </w:r>
            <w:r>
              <w:rPr>
                <w:spacing w:val="-5"/>
                <w:sz w:val="22"/>
              </w:rPr>
              <w:t> </w:t>
            </w:r>
            <w:r>
              <w:rPr>
                <w:sz w:val="22"/>
              </w:rPr>
              <w:t>National</w:t>
            </w:r>
            <w:r>
              <w:rPr>
                <w:spacing w:val="-3"/>
                <w:sz w:val="22"/>
              </w:rPr>
              <w:t> </w:t>
            </w:r>
            <w:r>
              <w:rPr>
                <w:sz w:val="22"/>
              </w:rPr>
              <w:t>Electricity</w:t>
            </w:r>
            <w:r>
              <w:rPr>
                <w:spacing w:val="-5"/>
                <w:sz w:val="22"/>
              </w:rPr>
              <w:t> </w:t>
            </w:r>
            <w:r>
              <w:rPr>
                <w:sz w:val="22"/>
              </w:rPr>
              <w:t>Rules,</w:t>
            </w:r>
            <w:r>
              <w:rPr>
                <w:spacing w:val="-2"/>
                <w:sz w:val="22"/>
              </w:rPr>
              <w:t> </w:t>
            </w:r>
            <w:r>
              <w:rPr>
                <w:sz w:val="22"/>
              </w:rPr>
              <w:t>National</w:t>
            </w:r>
            <w:r>
              <w:rPr>
                <w:spacing w:val="-3"/>
                <w:sz w:val="22"/>
              </w:rPr>
              <w:t> </w:t>
            </w:r>
            <w:r>
              <w:rPr>
                <w:sz w:val="22"/>
              </w:rPr>
              <w:t>Gas</w:t>
            </w:r>
            <w:r>
              <w:rPr>
                <w:spacing w:val="-5"/>
                <w:sz w:val="22"/>
              </w:rPr>
              <w:t> </w:t>
            </w:r>
            <w:r>
              <w:rPr>
                <w:sz w:val="22"/>
              </w:rPr>
              <w:t>Rules</w:t>
            </w:r>
            <w:r>
              <w:rPr>
                <w:spacing w:val="-3"/>
                <w:sz w:val="22"/>
              </w:rPr>
              <w:t> </w:t>
            </w:r>
            <w:r>
              <w:rPr>
                <w:sz w:val="22"/>
              </w:rPr>
              <w:t>and National</w:t>
            </w:r>
            <w:r>
              <w:rPr>
                <w:spacing w:val="-4"/>
                <w:sz w:val="22"/>
              </w:rPr>
              <w:t> </w:t>
            </w:r>
            <w:r>
              <w:rPr>
                <w:sz w:val="22"/>
              </w:rPr>
              <w:t>Energy</w:t>
            </w:r>
            <w:r>
              <w:rPr>
                <w:spacing w:val="-6"/>
                <w:sz w:val="22"/>
              </w:rPr>
              <w:t> </w:t>
            </w:r>
            <w:r>
              <w:rPr>
                <w:sz w:val="22"/>
              </w:rPr>
              <w:t>Retail</w:t>
            </w:r>
            <w:r>
              <w:rPr>
                <w:spacing w:val="-4"/>
                <w:sz w:val="22"/>
              </w:rPr>
              <w:t> </w:t>
            </w:r>
            <w:r>
              <w:rPr>
                <w:sz w:val="22"/>
              </w:rPr>
              <w:t>Rules.</w:t>
            </w:r>
            <w:r>
              <w:rPr>
                <w:spacing w:val="-3"/>
                <w:sz w:val="22"/>
              </w:rPr>
              <w:t> </w:t>
            </w:r>
            <w:r>
              <w:rPr>
                <w:sz w:val="22"/>
              </w:rPr>
              <w:t>AEMC</w:t>
            </w:r>
            <w:r>
              <w:rPr>
                <w:spacing w:val="-4"/>
                <w:sz w:val="22"/>
              </w:rPr>
              <w:t> </w:t>
            </w:r>
            <w:r>
              <w:rPr>
                <w:sz w:val="22"/>
              </w:rPr>
              <w:t>also</w:t>
            </w:r>
            <w:r>
              <w:rPr>
                <w:spacing w:val="-4"/>
                <w:sz w:val="22"/>
              </w:rPr>
              <w:t> </w:t>
            </w:r>
            <w:r>
              <w:rPr>
                <w:sz w:val="22"/>
              </w:rPr>
              <w:t>provides</w:t>
            </w:r>
            <w:r>
              <w:rPr>
                <w:spacing w:val="-3"/>
                <w:sz w:val="22"/>
              </w:rPr>
              <w:t> </w:t>
            </w:r>
            <w:r>
              <w:rPr>
                <w:sz w:val="22"/>
              </w:rPr>
              <w:t>market</w:t>
            </w:r>
            <w:r>
              <w:rPr>
                <w:spacing w:val="-2"/>
                <w:sz w:val="22"/>
              </w:rPr>
              <w:t> </w:t>
            </w:r>
            <w:r>
              <w:rPr>
                <w:sz w:val="22"/>
              </w:rPr>
              <w:t>development</w:t>
            </w:r>
            <w:r>
              <w:rPr>
                <w:spacing w:val="-5"/>
                <w:sz w:val="22"/>
              </w:rPr>
              <w:t> </w:t>
            </w:r>
            <w:r>
              <w:rPr>
                <w:sz w:val="22"/>
              </w:rPr>
              <w:t>advice</w:t>
            </w:r>
            <w:r>
              <w:rPr>
                <w:spacing w:val="-4"/>
                <w:sz w:val="22"/>
              </w:rPr>
              <w:t> </w:t>
            </w:r>
            <w:r>
              <w:rPr>
                <w:sz w:val="22"/>
              </w:rPr>
              <w:t>to </w:t>
            </w:r>
            <w:r>
              <w:rPr>
                <w:spacing w:val="-2"/>
                <w:sz w:val="22"/>
              </w:rPr>
              <w:t>governments.</w:t>
            </w:r>
          </w:p>
        </w:tc>
      </w:tr>
      <w:tr>
        <w:trPr>
          <w:trHeight w:val="1121" w:hRule="atLeast"/>
        </w:trPr>
        <w:tc>
          <w:tcPr>
            <w:tcW w:w="1150" w:type="dxa"/>
            <w:tcBorders>
              <w:right w:val="nil"/>
            </w:tcBorders>
          </w:tcPr>
          <w:p>
            <w:pPr>
              <w:pStyle w:val="TableParagraph"/>
              <w:spacing w:before="105"/>
              <w:ind w:left="117"/>
              <w:rPr>
                <w:sz w:val="22"/>
              </w:rPr>
            </w:pPr>
            <w:r>
              <w:rPr>
                <w:spacing w:val="-4"/>
                <w:sz w:val="22"/>
              </w:rPr>
              <w:t>AEMO</w:t>
            </w:r>
          </w:p>
        </w:tc>
        <w:tc>
          <w:tcPr>
            <w:tcW w:w="8495" w:type="dxa"/>
            <w:tcBorders>
              <w:left w:val="nil"/>
            </w:tcBorders>
          </w:tcPr>
          <w:p>
            <w:pPr>
              <w:pStyle w:val="TableParagraph"/>
              <w:spacing w:line="288" w:lineRule="auto" w:before="105"/>
              <w:ind w:left="251" w:right="128"/>
              <w:rPr>
                <w:sz w:val="22"/>
              </w:rPr>
            </w:pPr>
            <w:r>
              <w:rPr>
                <w:sz w:val="22"/>
              </w:rPr>
              <w:t>Australian Energy Market Operator – operates the energy markets and systems and</w:t>
            </w:r>
            <w:r>
              <w:rPr>
                <w:spacing w:val="-4"/>
                <w:sz w:val="22"/>
              </w:rPr>
              <w:t> </w:t>
            </w:r>
            <w:r>
              <w:rPr>
                <w:sz w:val="22"/>
              </w:rPr>
              <w:t>delivers</w:t>
            </w:r>
            <w:r>
              <w:rPr>
                <w:spacing w:val="-3"/>
                <w:sz w:val="22"/>
              </w:rPr>
              <w:t> </w:t>
            </w:r>
            <w:r>
              <w:rPr>
                <w:sz w:val="22"/>
              </w:rPr>
              <w:t>planning</w:t>
            </w:r>
            <w:r>
              <w:rPr>
                <w:spacing w:val="-2"/>
                <w:sz w:val="22"/>
              </w:rPr>
              <w:t> </w:t>
            </w:r>
            <w:r>
              <w:rPr>
                <w:sz w:val="22"/>
              </w:rPr>
              <w:t>advice</w:t>
            </w:r>
            <w:r>
              <w:rPr>
                <w:spacing w:val="-4"/>
                <w:sz w:val="22"/>
              </w:rPr>
              <w:t> </w:t>
            </w:r>
            <w:r>
              <w:rPr>
                <w:sz w:val="22"/>
              </w:rPr>
              <w:t>in</w:t>
            </w:r>
            <w:r>
              <w:rPr>
                <w:spacing w:val="-4"/>
                <w:sz w:val="22"/>
              </w:rPr>
              <w:t> </w:t>
            </w:r>
            <w:r>
              <w:rPr>
                <w:sz w:val="22"/>
              </w:rPr>
              <w:t>eastern</w:t>
            </w:r>
            <w:r>
              <w:rPr>
                <w:spacing w:val="-3"/>
                <w:sz w:val="22"/>
              </w:rPr>
              <w:t> </w:t>
            </w:r>
            <w:r>
              <w:rPr>
                <w:sz w:val="22"/>
              </w:rPr>
              <w:t>and</w:t>
            </w:r>
            <w:r>
              <w:rPr>
                <w:spacing w:val="-4"/>
                <w:sz w:val="22"/>
              </w:rPr>
              <w:t> </w:t>
            </w:r>
            <w:r>
              <w:rPr>
                <w:sz w:val="22"/>
              </w:rPr>
              <w:t>southern</w:t>
            </w:r>
            <w:r>
              <w:rPr>
                <w:spacing w:val="-3"/>
                <w:sz w:val="22"/>
              </w:rPr>
              <w:t> </w:t>
            </w:r>
            <w:r>
              <w:rPr>
                <w:sz w:val="22"/>
              </w:rPr>
              <w:t>Australia.</w:t>
            </w:r>
            <w:r>
              <w:rPr>
                <w:spacing w:val="-3"/>
                <w:sz w:val="22"/>
              </w:rPr>
              <w:t> </w:t>
            </w:r>
            <w:r>
              <w:rPr>
                <w:sz w:val="22"/>
              </w:rPr>
              <w:t>AEMO</w:t>
            </w:r>
            <w:r>
              <w:rPr>
                <w:spacing w:val="-2"/>
                <w:sz w:val="22"/>
              </w:rPr>
              <w:t> </w:t>
            </w:r>
            <w:r>
              <w:rPr>
                <w:sz w:val="22"/>
              </w:rPr>
              <w:t>supports</w:t>
            </w:r>
            <w:r>
              <w:rPr>
                <w:spacing w:val="-6"/>
                <w:sz w:val="22"/>
              </w:rPr>
              <w:t> </w:t>
            </w:r>
            <w:r>
              <w:rPr>
                <w:sz w:val="22"/>
              </w:rPr>
              <w:t>the industry to deliver an integrated, secure, cost-effective national energy supply.</w:t>
            </w:r>
          </w:p>
        </w:tc>
      </w:tr>
      <w:tr>
        <w:trPr>
          <w:trHeight w:val="1120" w:hRule="atLeast"/>
        </w:trPr>
        <w:tc>
          <w:tcPr>
            <w:tcW w:w="1150" w:type="dxa"/>
            <w:tcBorders>
              <w:right w:val="nil"/>
            </w:tcBorders>
          </w:tcPr>
          <w:p>
            <w:pPr>
              <w:pStyle w:val="TableParagraph"/>
              <w:spacing w:before="105"/>
              <w:ind w:left="117"/>
              <w:rPr>
                <w:sz w:val="22"/>
              </w:rPr>
            </w:pPr>
            <w:r>
              <w:rPr>
                <w:spacing w:val="-5"/>
                <w:sz w:val="22"/>
              </w:rPr>
              <w:t>AER</w:t>
            </w:r>
          </w:p>
        </w:tc>
        <w:tc>
          <w:tcPr>
            <w:tcW w:w="8495" w:type="dxa"/>
            <w:tcBorders>
              <w:left w:val="nil"/>
            </w:tcBorders>
          </w:tcPr>
          <w:p>
            <w:pPr>
              <w:pStyle w:val="TableParagraph"/>
              <w:spacing w:line="288" w:lineRule="auto" w:before="105"/>
              <w:ind w:left="251"/>
              <w:rPr>
                <w:sz w:val="22"/>
              </w:rPr>
            </w:pPr>
            <w:r>
              <w:rPr>
                <w:sz w:val="22"/>
              </w:rPr>
              <w:t>Australian</w:t>
            </w:r>
            <w:r>
              <w:rPr>
                <w:spacing w:val="-3"/>
                <w:sz w:val="22"/>
              </w:rPr>
              <w:t> </w:t>
            </w:r>
            <w:r>
              <w:rPr>
                <w:sz w:val="22"/>
              </w:rPr>
              <w:t>Energy</w:t>
            </w:r>
            <w:r>
              <w:rPr>
                <w:spacing w:val="-5"/>
                <w:sz w:val="22"/>
              </w:rPr>
              <w:t> </w:t>
            </w:r>
            <w:r>
              <w:rPr>
                <w:sz w:val="22"/>
              </w:rPr>
              <w:t>Regulator</w:t>
            </w:r>
            <w:r>
              <w:rPr>
                <w:spacing w:val="-2"/>
                <w:sz w:val="22"/>
              </w:rPr>
              <w:t> </w:t>
            </w:r>
            <w:r>
              <w:rPr>
                <w:sz w:val="22"/>
              </w:rPr>
              <w:t>–</w:t>
            </w:r>
            <w:r>
              <w:rPr>
                <w:spacing w:val="-5"/>
                <w:sz w:val="22"/>
              </w:rPr>
              <w:t> </w:t>
            </w:r>
            <w:r>
              <w:rPr>
                <w:sz w:val="22"/>
              </w:rPr>
              <w:t>regulates</w:t>
            </w:r>
            <w:r>
              <w:rPr>
                <w:spacing w:val="-5"/>
                <w:sz w:val="22"/>
              </w:rPr>
              <w:t> </w:t>
            </w:r>
            <w:r>
              <w:rPr>
                <w:sz w:val="22"/>
              </w:rPr>
              <w:t>energy</w:t>
            </w:r>
            <w:r>
              <w:rPr>
                <w:spacing w:val="-7"/>
                <w:sz w:val="22"/>
              </w:rPr>
              <w:t> </w:t>
            </w:r>
            <w:r>
              <w:rPr>
                <w:sz w:val="22"/>
              </w:rPr>
              <w:t>markets</w:t>
            </w:r>
            <w:r>
              <w:rPr>
                <w:spacing w:val="-5"/>
                <w:sz w:val="22"/>
              </w:rPr>
              <w:t> </w:t>
            </w:r>
            <w:r>
              <w:rPr>
                <w:sz w:val="22"/>
              </w:rPr>
              <w:t>and</w:t>
            </w:r>
            <w:r>
              <w:rPr>
                <w:spacing w:val="-3"/>
                <w:sz w:val="22"/>
              </w:rPr>
              <w:t> </w:t>
            </w:r>
            <w:r>
              <w:rPr>
                <w:sz w:val="22"/>
              </w:rPr>
              <w:t>networks</w:t>
            </w:r>
            <w:r>
              <w:rPr>
                <w:spacing w:val="-5"/>
                <w:sz w:val="22"/>
              </w:rPr>
              <w:t> </w:t>
            </w:r>
            <w:r>
              <w:rPr>
                <w:sz w:val="22"/>
              </w:rPr>
              <w:t>under</w:t>
            </w:r>
            <w:r>
              <w:rPr>
                <w:spacing w:val="-4"/>
                <w:sz w:val="22"/>
              </w:rPr>
              <w:t> </w:t>
            </w:r>
            <w:r>
              <w:rPr>
                <w:sz w:val="22"/>
              </w:rPr>
              <w:t>the national energy market legislation and rules in setting prices for using energy networks to transport energy to customers in eastern and southern Australia.</w:t>
            </w:r>
          </w:p>
        </w:tc>
      </w:tr>
      <w:tr>
        <w:trPr>
          <w:trHeight w:val="513" w:hRule="atLeast"/>
        </w:trPr>
        <w:tc>
          <w:tcPr>
            <w:tcW w:w="1150" w:type="dxa"/>
            <w:tcBorders>
              <w:right w:val="nil"/>
            </w:tcBorders>
          </w:tcPr>
          <w:p>
            <w:pPr>
              <w:pStyle w:val="TableParagraph"/>
              <w:spacing w:before="105"/>
              <w:ind w:left="117"/>
              <w:rPr>
                <w:sz w:val="22"/>
              </w:rPr>
            </w:pPr>
            <w:r>
              <w:rPr>
                <w:spacing w:val="-2"/>
                <w:sz w:val="22"/>
              </w:rPr>
              <w:t>ALARA</w:t>
            </w:r>
          </w:p>
        </w:tc>
        <w:tc>
          <w:tcPr>
            <w:tcW w:w="8495" w:type="dxa"/>
            <w:tcBorders>
              <w:left w:val="nil"/>
            </w:tcBorders>
          </w:tcPr>
          <w:p>
            <w:pPr>
              <w:pStyle w:val="TableParagraph"/>
              <w:spacing w:before="105"/>
              <w:ind w:left="251"/>
              <w:rPr>
                <w:sz w:val="22"/>
              </w:rPr>
            </w:pPr>
            <w:r>
              <w:rPr>
                <w:sz w:val="22"/>
              </w:rPr>
              <w:t>As</w:t>
            </w:r>
            <w:r>
              <w:rPr>
                <w:spacing w:val="-3"/>
                <w:sz w:val="22"/>
              </w:rPr>
              <w:t> </w:t>
            </w:r>
            <w:r>
              <w:rPr>
                <w:sz w:val="22"/>
              </w:rPr>
              <w:t>Low</w:t>
            </w:r>
            <w:r>
              <w:rPr>
                <w:spacing w:val="-7"/>
                <w:sz w:val="22"/>
              </w:rPr>
              <w:t> </w:t>
            </w:r>
            <w:r>
              <w:rPr>
                <w:sz w:val="22"/>
              </w:rPr>
              <w:t>As</w:t>
            </w:r>
            <w:r>
              <w:rPr>
                <w:spacing w:val="-3"/>
                <w:sz w:val="22"/>
              </w:rPr>
              <w:t> </w:t>
            </w:r>
            <w:r>
              <w:rPr>
                <w:sz w:val="22"/>
              </w:rPr>
              <w:t>Reasonably</w:t>
            </w:r>
            <w:r>
              <w:rPr>
                <w:spacing w:val="-5"/>
                <w:sz w:val="22"/>
              </w:rPr>
              <w:t> </w:t>
            </w:r>
            <w:r>
              <w:rPr>
                <w:spacing w:val="-2"/>
                <w:sz w:val="22"/>
              </w:rPr>
              <w:t>Achievable</w:t>
            </w:r>
          </w:p>
        </w:tc>
      </w:tr>
      <w:tr>
        <w:trPr>
          <w:trHeight w:val="817" w:hRule="atLeast"/>
        </w:trPr>
        <w:tc>
          <w:tcPr>
            <w:tcW w:w="1150" w:type="dxa"/>
            <w:tcBorders>
              <w:right w:val="nil"/>
            </w:tcBorders>
          </w:tcPr>
          <w:p>
            <w:pPr>
              <w:pStyle w:val="TableParagraph"/>
              <w:spacing w:before="105"/>
              <w:ind w:left="117"/>
              <w:rPr>
                <w:sz w:val="22"/>
              </w:rPr>
            </w:pPr>
            <w:r>
              <w:rPr>
                <w:spacing w:val="-2"/>
                <w:sz w:val="22"/>
              </w:rPr>
              <w:t>ALARP</w:t>
            </w:r>
          </w:p>
        </w:tc>
        <w:tc>
          <w:tcPr>
            <w:tcW w:w="8495" w:type="dxa"/>
            <w:tcBorders>
              <w:left w:val="nil"/>
            </w:tcBorders>
          </w:tcPr>
          <w:p>
            <w:pPr>
              <w:pStyle w:val="TableParagraph"/>
              <w:spacing w:line="288" w:lineRule="auto" w:before="105"/>
              <w:ind w:left="251"/>
              <w:rPr>
                <w:sz w:val="22"/>
              </w:rPr>
            </w:pPr>
            <w:r>
              <w:rPr>
                <w:sz w:val="22"/>
              </w:rPr>
              <w:t>As</w:t>
            </w:r>
            <w:r>
              <w:rPr>
                <w:spacing w:val="-2"/>
                <w:sz w:val="22"/>
              </w:rPr>
              <w:t> </w:t>
            </w:r>
            <w:r>
              <w:rPr>
                <w:sz w:val="22"/>
              </w:rPr>
              <w:t>Low</w:t>
            </w:r>
            <w:r>
              <w:rPr>
                <w:spacing w:val="-6"/>
                <w:sz w:val="22"/>
              </w:rPr>
              <w:t> </w:t>
            </w:r>
            <w:r>
              <w:rPr>
                <w:sz w:val="22"/>
              </w:rPr>
              <w:t>As</w:t>
            </w:r>
            <w:r>
              <w:rPr>
                <w:spacing w:val="-2"/>
                <w:sz w:val="22"/>
              </w:rPr>
              <w:t> </w:t>
            </w:r>
            <w:r>
              <w:rPr>
                <w:sz w:val="22"/>
              </w:rPr>
              <w:t>Reasonably</w:t>
            </w:r>
            <w:r>
              <w:rPr>
                <w:spacing w:val="-5"/>
                <w:sz w:val="22"/>
              </w:rPr>
              <w:t> </w:t>
            </w:r>
            <w:r>
              <w:rPr>
                <w:sz w:val="22"/>
              </w:rPr>
              <w:t>Practicable</w:t>
            </w:r>
            <w:r>
              <w:rPr>
                <w:spacing w:val="-1"/>
                <w:sz w:val="22"/>
              </w:rPr>
              <w:t> </w:t>
            </w:r>
            <w:r>
              <w:rPr>
                <w:sz w:val="22"/>
              </w:rPr>
              <w:t>–</w:t>
            </w:r>
            <w:r>
              <w:rPr>
                <w:spacing w:val="-7"/>
                <w:sz w:val="22"/>
              </w:rPr>
              <w:t> </w:t>
            </w:r>
            <w:r>
              <w:rPr>
                <w:sz w:val="22"/>
              </w:rPr>
              <w:t>The</w:t>
            </w:r>
            <w:r>
              <w:rPr>
                <w:spacing w:val="-3"/>
                <w:sz w:val="22"/>
              </w:rPr>
              <w:t> </w:t>
            </w:r>
            <w:r>
              <w:rPr>
                <w:sz w:val="22"/>
              </w:rPr>
              <w:t>ALARP</w:t>
            </w:r>
            <w:r>
              <w:rPr>
                <w:spacing w:val="-3"/>
                <w:sz w:val="22"/>
              </w:rPr>
              <w:t> </w:t>
            </w:r>
            <w:r>
              <w:rPr>
                <w:sz w:val="22"/>
              </w:rPr>
              <w:t>principle</w:t>
            </w:r>
            <w:r>
              <w:rPr>
                <w:spacing w:val="-3"/>
                <w:sz w:val="22"/>
              </w:rPr>
              <w:t> </w:t>
            </w:r>
            <w:r>
              <w:rPr>
                <w:sz w:val="22"/>
              </w:rPr>
              <w:t>is</w:t>
            </w:r>
            <w:r>
              <w:rPr>
                <w:spacing w:val="-3"/>
                <w:sz w:val="22"/>
              </w:rPr>
              <w:t> </w:t>
            </w:r>
            <w:r>
              <w:rPr>
                <w:sz w:val="22"/>
              </w:rPr>
              <w:t>that</w:t>
            </w:r>
            <w:r>
              <w:rPr>
                <w:spacing w:val="-4"/>
                <w:sz w:val="22"/>
              </w:rPr>
              <w:t> </w:t>
            </w:r>
            <w:r>
              <w:rPr>
                <w:sz w:val="22"/>
              </w:rPr>
              <w:t>the</w:t>
            </w:r>
            <w:r>
              <w:rPr>
                <w:spacing w:val="-5"/>
                <w:sz w:val="22"/>
              </w:rPr>
              <w:t> </w:t>
            </w:r>
            <w:r>
              <w:rPr>
                <w:sz w:val="22"/>
              </w:rPr>
              <w:t>residual</w:t>
            </w:r>
            <w:r>
              <w:rPr>
                <w:spacing w:val="-4"/>
                <w:sz w:val="22"/>
              </w:rPr>
              <w:t> </w:t>
            </w:r>
            <w:r>
              <w:rPr>
                <w:sz w:val="22"/>
              </w:rPr>
              <w:t>risk shall be reduced as far as reasonably practicable</w:t>
            </w:r>
          </w:p>
        </w:tc>
      </w:tr>
      <w:tr>
        <w:trPr>
          <w:trHeight w:val="1120" w:hRule="atLeast"/>
        </w:trPr>
        <w:tc>
          <w:tcPr>
            <w:tcW w:w="1150" w:type="dxa"/>
            <w:tcBorders>
              <w:right w:val="nil"/>
            </w:tcBorders>
          </w:tcPr>
          <w:p>
            <w:pPr>
              <w:pStyle w:val="TableParagraph"/>
              <w:spacing w:before="105"/>
              <w:ind w:left="117"/>
              <w:rPr>
                <w:sz w:val="22"/>
              </w:rPr>
            </w:pPr>
            <w:r>
              <w:rPr>
                <w:spacing w:val="-2"/>
                <w:sz w:val="22"/>
              </w:rPr>
              <w:t>BRCIM</w:t>
            </w:r>
          </w:p>
        </w:tc>
        <w:tc>
          <w:tcPr>
            <w:tcW w:w="8495" w:type="dxa"/>
            <w:tcBorders>
              <w:left w:val="nil"/>
            </w:tcBorders>
          </w:tcPr>
          <w:p>
            <w:pPr>
              <w:pStyle w:val="TableParagraph"/>
              <w:spacing w:line="288" w:lineRule="auto" w:before="105"/>
              <w:ind w:left="251"/>
              <w:rPr>
                <w:sz w:val="22"/>
              </w:rPr>
            </w:pPr>
            <w:r>
              <w:rPr>
                <w:sz w:val="22"/>
              </w:rPr>
              <w:t>Bushfires Royal Commission Implementation Monitor – Led by Neil Comrie in October</w:t>
            </w:r>
            <w:r>
              <w:rPr>
                <w:spacing w:val="-2"/>
                <w:sz w:val="22"/>
              </w:rPr>
              <w:t> </w:t>
            </w:r>
            <w:r>
              <w:rPr>
                <w:sz w:val="22"/>
              </w:rPr>
              <w:t>2010</w:t>
            </w:r>
            <w:r>
              <w:rPr>
                <w:spacing w:val="-8"/>
                <w:sz w:val="22"/>
              </w:rPr>
              <w:t> </w:t>
            </w:r>
            <w:r>
              <w:rPr>
                <w:sz w:val="22"/>
              </w:rPr>
              <w:t>to</w:t>
            </w:r>
            <w:r>
              <w:rPr>
                <w:spacing w:val="-3"/>
                <w:sz w:val="22"/>
              </w:rPr>
              <w:t> </w:t>
            </w:r>
            <w:r>
              <w:rPr>
                <w:sz w:val="22"/>
              </w:rPr>
              <w:t>oversee</w:t>
            </w:r>
            <w:r>
              <w:rPr>
                <w:spacing w:val="-5"/>
                <w:sz w:val="22"/>
              </w:rPr>
              <w:t> </w:t>
            </w:r>
            <w:r>
              <w:rPr>
                <w:sz w:val="22"/>
              </w:rPr>
              <w:t>and</w:t>
            </w:r>
            <w:r>
              <w:rPr>
                <w:spacing w:val="-5"/>
                <w:sz w:val="22"/>
              </w:rPr>
              <w:t> </w:t>
            </w:r>
            <w:r>
              <w:rPr>
                <w:sz w:val="22"/>
              </w:rPr>
              <w:t>report</w:t>
            </w:r>
            <w:r>
              <w:rPr>
                <w:spacing w:val="-1"/>
                <w:sz w:val="22"/>
              </w:rPr>
              <w:t> </w:t>
            </w:r>
            <w:r>
              <w:rPr>
                <w:sz w:val="22"/>
              </w:rPr>
              <w:t>on</w:t>
            </w:r>
            <w:r>
              <w:rPr>
                <w:spacing w:val="-5"/>
                <w:sz w:val="22"/>
              </w:rPr>
              <w:t> </w:t>
            </w:r>
            <w:r>
              <w:rPr>
                <w:sz w:val="22"/>
              </w:rPr>
              <w:t>the</w:t>
            </w:r>
            <w:r>
              <w:rPr>
                <w:spacing w:val="-5"/>
                <w:sz w:val="22"/>
              </w:rPr>
              <w:t> </w:t>
            </w:r>
            <w:r>
              <w:rPr>
                <w:sz w:val="22"/>
              </w:rPr>
              <w:t>implementation</w:t>
            </w:r>
            <w:r>
              <w:rPr>
                <w:spacing w:val="-3"/>
                <w:sz w:val="22"/>
              </w:rPr>
              <w:t> </w:t>
            </w:r>
            <w:r>
              <w:rPr>
                <w:sz w:val="22"/>
              </w:rPr>
              <w:t>of</w:t>
            </w:r>
            <w:r>
              <w:rPr>
                <w:spacing w:val="-1"/>
                <w:sz w:val="22"/>
              </w:rPr>
              <w:t> </w:t>
            </w:r>
            <w:r>
              <w:rPr>
                <w:sz w:val="22"/>
              </w:rPr>
              <w:t>all</w:t>
            </w:r>
            <w:r>
              <w:rPr>
                <w:spacing w:val="-3"/>
                <w:sz w:val="22"/>
              </w:rPr>
              <w:t> </w:t>
            </w:r>
            <w:r>
              <w:rPr>
                <w:sz w:val="22"/>
              </w:rPr>
              <w:t>of</w:t>
            </w:r>
            <w:r>
              <w:rPr>
                <w:spacing w:val="-1"/>
                <w:sz w:val="22"/>
              </w:rPr>
              <w:t> </w:t>
            </w:r>
            <w:r>
              <w:rPr>
                <w:sz w:val="22"/>
              </w:rPr>
              <w:t>the</w:t>
            </w:r>
            <w:r>
              <w:rPr>
                <w:spacing w:val="-5"/>
                <w:sz w:val="22"/>
              </w:rPr>
              <w:t> </w:t>
            </w:r>
            <w:r>
              <w:rPr>
                <w:sz w:val="22"/>
              </w:rPr>
              <w:t>Victorian Bushfires Royal Commission’s recommendations.</w:t>
            </w:r>
          </w:p>
        </w:tc>
      </w:tr>
      <w:tr>
        <w:trPr>
          <w:trHeight w:val="513" w:hRule="atLeast"/>
        </w:trPr>
        <w:tc>
          <w:tcPr>
            <w:tcW w:w="1150" w:type="dxa"/>
            <w:tcBorders>
              <w:right w:val="nil"/>
            </w:tcBorders>
          </w:tcPr>
          <w:p>
            <w:pPr>
              <w:pStyle w:val="TableParagraph"/>
              <w:spacing w:before="105"/>
              <w:ind w:left="117"/>
              <w:rPr>
                <w:sz w:val="22"/>
              </w:rPr>
            </w:pPr>
            <w:r>
              <w:rPr>
                <w:spacing w:val="-4"/>
                <w:sz w:val="22"/>
              </w:rPr>
              <w:t>CALD</w:t>
            </w:r>
          </w:p>
        </w:tc>
        <w:tc>
          <w:tcPr>
            <w:tcW w:w="8495" w:type="dxa"/>
            <w:tcBorders>
              <w:left w:val="nil"/>
            </w:tcBorders>
          </w:tcPr>
          <w:p>
            <w:pPr>
              <w:pStyle w:val="TableParagraph"/>
              <w:spacing w:before="105"/>
              <w:ind w:left="251"/>
              <w:rPr>
                <w:sz w:val="22"/>
              </w:rPr>
            </w:pPr>
            <w:r>
              <w:rPr>
                <w:sz w:val="22"/>
              </w:rPr>
              <w:t>People</w:t>
            </w:r>
            <w:r>
              <w:rPr>
                <w:spacing w:val="-9"/>
                <w:sz w:val="22"/>
              </w:rPr>
              <w:t> </w:t>
            </w:r>
            <w:r>
              <w:rPr>
                <w:sz w:val="22"/>
              </w:rPr>
              <w:t>from</w:t>
            </w:r>
            <w:r>
              <w:rPr>
                <w:spacing w:val="-6"/>
                <w:sz w:val="22"/>
              </w:rPr>
              <w:t> </w:t>
            </w:r>
            <w:r>
              <w:rPr>
                <w:sz w:val="22"/>
              </w:rPr>
              <w:t>culturally</w:t>
            </w:r>
            <w:r>
              <w:rPr>
                <w:spacing w:val="-9"/>
                <w:sz w:val="22"/>
              </w:rPr>
              <w:t> </w:t>
            </w:r>
            <w:r>
              <w:rPr>
                <w:sz w:val="22"/>
              </w:rPr>
              <w:t>and</w:t>
            </w:r>
            <w:r>
              <w:rPr>
                <w:spacing w:val="-7"/>
                <w:sz w:val="22"/>
              </w:rPr>
              <w:t> </w:t>
            </w:r>
            <w:r>
              <w:rPr>
                <w:sz w:val="22"/>
              </w:rPr>
              <w:t>linguistically</w:t>
            </w:r>
            <w:r>
              <w:rPr>
                <w:spacing w:val="-8"/>
                <w:sz w:val="22"/>
              </w:rPr>
              <w:t> </w:t>
            </w:r>
            <w:r>
              <w:rPr>
                <w:sz w:val="22"/>
              </w:rPr>
              <w:t>diverse</w:t>
            </w:r>
            <w:r>
              <w:rPr>
                <w:spacing w:val="-6"/>
                <w:sz w:val="22"/>
              </w:rPr>
              <w:t> </w:t>
            </w:r>
            <w:r>
              <w:rPr>
                <w:spacing w:val="-2"/>
                <w:sz w:val="22"/>
              </w:rPr>
              <w:t>backgrounds.</w:t>
            </w:r>
          </w:p>
        </w:tc>
      </w:tr>
      <w:tr>
        <w:trPr>
          <w:trHeight w:val="2337" w:hRule="atLeast"/>
        </w:trPr>
        <w:tc>
          <w:tcPr>
            <w:tcW w:w="1150" w:type="dxa"/>
            <w:tcBorders>
              <w:right w:val="nil"/>
            </w:tcBorders>
          </w:tcPr>
          <w:p>
            <w:pPr>
              <w:pStyle w:val="TableParagraph"/>
              <w:spacing w:before="105"/>
              <w:ind w:left="117"/>
              <w:rPr>
                <w:sz w:val="22"/>
              </w:rPr>
            </w:pPr>
            <w:r>
              <w:rPr>
                <w:spacing w:val="-5"/>
                <w:sz w:val="22"/>
              </w:rPr>
              <w:t>CNG</w:t>
            </w:r>
          </w:p>
        </w:tc>
        <w:tc>
          <w:tcPr>
            <w:tcW w:w="8495" w:type="dxa"/>
            <w:tcBorders>
              <w:left w:val="nil"/>
            </w:tcBorders>
          </w:tcPr>
          <w:p>
            <w:pPr>
              <w:pStyle w:val="TableParagraph"/>
              <w:spacing w:line="288" w:lineRule="auto" w:before="105"/>
              <w:ind w:left="251" w:right="177"/>
              <w:rPr>
                <w:sz w:val="22"/>
              </w:rPr>
            </w:pPr>
            <w:r>
              <w:rPr>
                <w:sz w:val="22"/>
              </w:rPr>
              <w:t>Compressed Natural Gas – (methane stored at high pressure) is a fuel which can be used in place of gasoline (petrol), Diesel fuel and propane/LPG. CNG combustion produces fewer undesirable gases than the fuels mentioned above. It is safer than other fuels in the event of a spill, because natural gas is lighter than air</w:t>
            </w:r>
            <w:r>
              <w:rPr>
                <w:spacing w:val="-1"/>
                <w:sz w:val="22"/>
              </w:rPr>
              <w:t> </w:t>
            </w:r>
            <w:r>
              <w:rPr>
                <w:sz w:val="22"/>
              </w:rPr>
              <w:t>and</w:t>
            </w:r>
            <w:r>
              <w:rPr>
                <w:spacing w:val="-2"/>
                <w:sz w:val="22"/>
              </w:rPr>
              <w:t> </w:t>
            </w:r>
            <w:r>
              <w:rPr>
                <w:sz w:val="22"/>
              </w:rPr>
              <w:t>disperses</w:t>
            </w:r>
            <w:r>
              <w:rPr>
                <w:spacing w:val="-4"/>
                <w:sz w:val="22"/>
              </w:rPr>
              <w:t> </w:t>
            </w:r>
            <w:r>
              <w:rPr>
                <w:sz w:val="22"/>
              </w:rPr>
              <w:t>quickly</w:t>
            </w:r>
            <w:r>
              <w:rPr>
                <w:spacing w:val="-4"/>
                <w:sz w:val="22"/>
              </w:rPr>
              <w:t> </w:t>
            </w:r>
            <w:r>
              <w:rPr>
                <w:sz w:val="22"/>
              </w:rPr>
              <w:t>when</w:t>
            </w:r>
            <w:r>
              <w:rPr>
                <w:spacing w:val="-2"/>
                <w:sz w:val="22"/>
              </w:rPr>
              <w:t> </w:t>
            </w:r>
            <w:r>
              <w:rPr>
                <w:sz w:val="22"/>
              </w:rPr>
              <w:t>released. CNG</w:t>
            </w:r>
            <w:r>
              <w:rPr>
                <w:spacing w:val="-3"/>
                <w:sz w:val="22"/>
              </w:rPr>
              <w:t> </w:t>
            </w:r>
            <w:r>
              <w:rPr>
                <w:sz w:val="22"/>
              </w:rPr>
              <w:t>may</w:t>
            </w:r>
            <w:r>
              <w:rPr>
                <w:spacing w:val="-4"/>
                <w:sz w:val="22"/>
              </w:rPr>
              <w:t> </w:t>
            </w:r>
            <w:r>
              <w:rPr>
                <w:sz w:val="22"/>
              </w:rPr>
              <w:t>be</w:t>
            </w:r>
            <w:r>
              <w:rPr>
                <w:spacing w:val="-4"/>
                <w:sz w:val="22"/>
              </w:rPr>
              <w:t> </w:t>
            </w:r>
            <w:r>
              <w:rPr>
                <w:sz w:val="22"/>
              </w:rPr>
              <w:t>found</w:t>
            </w:r>
            <w:r>
              <w:rPr>
                <w:spacing w:val="-2"/>
                <w:sz w:val="22"/>
              </w:rPr>
              <w:t> </w:t>
            </w:r>
            <w:r>
              <w:rPr>
                <w:sz w:val="22"/>
              </w:rPr>
              <w:t>above</w:t>
            </w:r>
            <w:r>
              <w:rPr>
                <w:spacing w:val="-2"/>
                <w:sz w:val="22"/>
              </w:rPr>
              <w:t> </w:t>
            </w:r>
            <w:r>
              <w:rPr>
                <w:sz w:val="22"/>
              </w:rPr>
              <w:t>oil</w:t>
            </w:r>
            <w:r>
              <w:rPr>
                <w:spacing w:val="-2"/>
                <w:sz w:val="22"/>
              </w:rPr>
              <w:t> </w:t>
            </w:r>
            <w:r>
              <w:rPr>
                <w:sz w:val="22"/>
              </w:rPr>
              <w:t>deposits,</w:t>
            </w:r>
            <w:r>
              <w:rPr>
                <w:spacing w:val="-3"/>
                <w:sz w:val="22"/>
              </w:rPr>
              <w:t> </w:t>
            </w:r>
            <w:r>
              <w:rPr>
                <w:sz w:val="22"/>
              </w:rPr>
              <w:t>or may</w:t>
            </w:r>
            <w:r>
              <w:rPr>
                <w:spacing w:val="-5"/>
                <w:sz w:val="22"/>
              </w:rPr>
              <w:t> </w:t>
            </w:r>
            <w:r>
              <w:rPr>
                <w:sz w:val="22"/>
              </w:rPr>
              <w:t>be</w:t>
            </w:r>
            <w:r>
              <w:rPr>
                <w:spacing w:val="-3"/>
                <w:sz w:val="22"/>
              </w:rPr>
              <w:t> </w:t>
            </w:r>
            <w:r>
              <w:rPr>
                <w:sz w:val="22"/>
              </w:rPr>
              <w:t>collected</w:t>
            </w:r>
            <w:r>
              <w:rPr>
                <w:spacing w:val="-7"/>
                <w:sz w:val="22"/>
              </w:rPr>
              <w:t> </w:t>
            </w:r>
            <w:r>
              <w:rPr>
                <w:sz w:val="22"/>
              </w:rPr>
              <w:t>from</w:t>
            </w:r>
            <w:r>
              <w:rPr>
                <w:spacing w:val="-4"/>
                <w:sz w:val="22"/>
              </w:rPr>
              <w:t> </w:t>
            </w:r>
            <w:r>
              <w:rPr>
                <w:sz w:val="22"/>
              </w:rPr>
              <w:t>landfills</w:t>
            </w:r>
            <w:r>
              <w:rPr>
                <w:spacing w:val="-2"/>
                <w:sz w:val="22"/>
              </w:rPr>
              <w:t> </w:t>
            </w:r>
            <w:r>
              <w:rPr>
                <w:sz w:val="22"/>
              </w:rPr>
              <w:t>or</w:t>
            </w:r>
            <w:r>
              <w:rPr>
                <w:spacing w:val="-2"/>
                <w:sz w:val="22"/>
              </w:rPr>
              <w:t> </w:t>
            </w:r>
            <w:r>
              <w:rPr>
                <w:sz w:val="22"/>
              </w:rPr>
              <w:t>wastewater</w:t>
            </w:r>
            <w:r>
              <w:rPr>
                <w:spacing w:val="-4"/>
                <w:sz w:val="22"/>
              </w:rPr>
              <w:t> </w:t>
            </w:r>
            <w:r>
              <w:rPr>
                <w:sz w:val="22"/>
              </w:rPr>
              <w:t>treatment</w:t>
            </w:r>
            <w:r>
              <w:rPr>
                <w:spacing w:val="-1"/>
                <w:sz w:val="22"/>
              </w:rPr>
              <w:t> </w:t>
            </w:r>
            <w:r>
              <w:rPr>
                <w:sz w:val="22"/>
              </w:rPr>
              <w:t>plants where</w:t>
            </w:r>
            <w:r>
              <w:rPr>
                <w:spacing w:val="-3"/>
                <w:sz w:val="22"/>
              </w:rPr>
              <w:t> </w:t>
            </w:r>
            <w:r>
              <w:rPr>
                <w:sz w:val="22"/>
              </w:rPr>
              <w:t>it</w:t>
            </w:r>
            <w:r>
              <w:rPr>
                <w:spacing w:val="-4"/>
                <w:sz w:val="22"/>
              </w:rPr>
              <w:t> </w:t>
            </w:r>
            <w:r>
              <w:rPr>
                <w:sz w:val="22"/>
              </w:rPr>
              <w:t>is</w:t>
            </w:r>
            <w:r>
              <w:rPr>
                <w:spacing w:val="-5"/>
                <w:sz w:val="22"/>
              </w:rPr>
              <w:t> </w:t>
            </w:r>
            <w:r>
              <w:rPr>
                <w:sz w:val="22"/>
              </w:rPr>
              <w:t>known</w:t>
            </w:r>
            <w:r>
              <w:rPr>
                <w:spacing w:val="-3"/>
                <w:sz w:val="22"/>
              </w:rPr>
              <w:t> </w:t>
            </w:r>
            <w:r>
              <w:rPr>
                <w:sz w:val="22"/>
              </w:rPr>
              <w:t>as </w:t>
            </w:r>
            <w:r>
              <w:rPr>
                <w:spacing w:val="-2"/>
                <w:sz w:val="22"/>
              </w:rPr>
              <w:t>biogas.</w:t>
            </w:r>
          </w:p>
        </w:tc>
      </w:tr>
      <w:tr>
        <w:trPr>
          <w:trHeight w:val="1120" w:hRule="atLeast"/>
        </w:trPr>
        <w:tc>
          <w:tcPr>
            <w:tcW w:w="1150" w:type="dxa"/>
            <w:tcBorders>
              <w:right w:val="nil"/>
            </w:tcBorders>
          </w:tcPr>
          <w:p>
            <w:pPr>
              <w:pStyle w:val="TableParagraph"/>
              <w:spacing w:before="103"/>
              <w:ind w:left="117"/>
              <w:rPr>
                <w:sz w:val="22"/>
              </w:rPr>
            </w:pPr>
            <w:r>
              <w:rPr>
                <w:spacing w:val="-2"/>
                <w:sz w:val="22"/>
              </w:rPr>
              <w:t>DELWP</w:t>
            </w:r>
          </w:p>
        </w:tc>
        <w:tc>
          <w:tcPr>
            <w:tcW w:w="8495" w:type="dxa"/>
            <w:tcBorders>
              <w:left w:val="nil"/>
            </w:tcBorders>
          </w:tcPr>
          <w:p>
            <w:pPr>
              <w:pStyle w:val="TableParagraph"/>
              <w:spacing w:line="288" w:lineRule="auto" w:before="103"/>
              <w:ind w:left="251" w:right="242"/>
              <w:jc w:val="both"/>
              <w:rPr>
                <w:sz w:val="22"/>
              </w:rPr>
            </w:pPr>
            <w:r>
              <w:rPr>
                <w:sz w:val="22"/>
              </w:rPr>
              <w:t>Department</w:t>
            </w:r>
            <w:r>
              <w:rPr>
                <w:spacing w:val="-2"/>
                <w:sz w:val="22"/>
              </w:rPr>
              <w:t> </w:t>
            </w:r>
            <w:r>
              <w:rPr>
                <w:sz w:val="22"/>
              </w:rPr>
              <w:t>of Environment,</w:t>
            </w:r>
            <w:r>
              <w:rPr>
                <w:spacing w:val="-2"/>
                <w:sz w:val="22"/>
              </w:rPr>
              <w:t> </w:t>
            </w:r>
            <w:r>
              <w:rPr>
                <w:sz w:val="22"/>
              </w:rPr>
              <w:t>Land,</w:t>
            </w:r>
            <w:r>
              <w:rPr>
                <w:spacing w:val="-6"/>
                <w:sz w:val="22"/>
              </w:rPr>
              <w:t> </w:t>
            </w:r>
            <w:r>
              <w:rPr>
                <w:sz w:val="22"/>
              </w:rPr>
              <w:t>Water</w:t>
            </w:r>
            <w:r>
              <w:rPr>
                <w:spacing w:val="-2"/>
                <w:sz w:val="22"/>
              </w:rPr>
              <w:t> </w:t>
            </w:r>
            <w:r>
              <w:rPr>
                <w:sz w:val="22"/>
              </w:rPr>
              <w:t>and</w:t>
            </w:r>
            <w:r>
              <w:rPr>
                <w:spacing w:val="-1"/>
                <w:sz w:val="22"/>
              </w:rPr>
              <w:t> </w:t>
            </w:r>
            <w:r>
              <w:rPr>
                <w:sz w:val="22"/>
              </w:rPr>
              <w:t>Planning –</w:t>
            </w:r>
            <w:r>
              <w:rPr>
                <w:spacing w:val="-3"/>
                <w:sz w:val="22"/>
              </w:rPr>
              <w:t> </w:t>
            </w:r>
            <w:r>
              <w:rPr>
                <w:sz w:val="22"/>
              </w:rPr>
              <w:t>ensures Victoria</w:t>
            </w:r>
            <w:r>
              <w:rPr>
                <w:spacing w:val="-3"/>
                <w:sz w:val="22"/>
              </w:rPr>
              <w:t> </w:t>
            </w:r>
            <w:r>
              <w:rPr>
                <w:sz w:val="22"/>
              </w:rPr>
              <w:t>has the right</w:t>
            </w:r>
            <w:r>
              <w:rPr>
                <w:spacing w:val="-3"/>
                <w:sz w:val="22"/>
              </w:rPr>
              <w:t> </w:t>
            </w:r>
            <w:r>
              <w:rPr>
                <w:sz w:val="22"/>
              </w:rPr>
              <w:t>conditions</w:t>
            </w:r>
            <w:r>
              <w:rPr>
                <w:spacing w:val="-4"/>
                <w:sz w:val="22"/>
              </w:rPr>
              <w:t> </w:t>
            </w:r>
            <w:r>
              <w:rPr>
                <w:sz w:val="22"/>
              </w:rPr>
              <w:t>to</w:t>
            </w:r>
            <w:r>
              <w:rPr>
                <w:spacing w:val="-6"/>
                <w:sz w:val="22"/>
              </w:rPr>
              <w:t> </w:t>
            </w:r>
            <w:r>
              <w:rPr>
                <w:sz w:val="22"/>
              </w:rPr>
              <w:t>enable</w:t>
            </w:r>
            <w:r>
              <w:rPr>
                <w:spacing w:val="-6"/>
                <w:sz w:val="22"/>
              </w:rPr>
              <w:t> </w:t>
            </w:r>
            <w:r>
              <w:rPr>
                <w:sz w:val="22"/>
              </w:rPr>
              <w:t>economic</w:t>
            </w:r>
            <w:r>
              <w:rPr>
                <w:spacing w:val="-8"/>
                <w:sz w:val="22"/>
              </w:rPr>
              <w:t> </w:t>
            </w:r>
            <w:r>
              <w:rPr>
                <w:sz w:val="22"/>
              </w:rPr>
              <w:t>growth,</w:t>
            </w:r>
            <w:r>
              <w:rPr>
                <w:spacing w:val="-6"/>
                <w:sz w:val="22"/>
              </w:rPr>
              <w:t> </w:t>
            </w:r>
            <w:r>
              <w:rPr>
                <w:sz w:val="22"/>
              </w:rPr>
              <w:t>while</w:t>
            </w:r>
            <w:r>
              <w:rPr>
                <w:spacing w:val="-2"/>
                <w:sz w:val="22"/>
              </w:rPr>
              <w:t> </w:t>
            </w:r>
            <w:r>
              <w:rPr>
                <w:sz w:val="22"/>
              </w:rPr>
              <w:t>delivering</w:t>
            </w:r>
            <w:r>
              <w:rPr>
                <w:spacing w:val="-3"/>
                <w:sz w:val="22"/>
              </w:rPr>
              <w:t> </w:t>
            </w:r>
            <w:r>
              <w:rPr>
                <w:sz w:val="22"/>
              </w:rPr>
              <w:t>liveable,</w:t>
            </w:r>
            <w:r>
              <w:rPr>
                <w:spacing w:val="-4"/>
                <w:sz w:val="22"/>
              </w:rPr>
              <w:t> </w:t>
            </w:r>
            <w:r>
              <w:rPr>
                <w:sz w:val="22"/>
              </w:rPr>
              <w:t>inclusive</w:t>
            </w:r>
            <w:r>
              <w:rPr>
                <w:spacing w:val="-5"/>
                <w:sz w:val="22"/>
              </w:rPr>
              <w:t> </w:t>
            </w:r>
            <w:r>
              <w:rPr>
                <w:sz w:val="22"/>
              </w:rPr>
              <w:t>and sustainable communities.</w:t>
            </w:r>
          </w:p>
        </w:tc>
      </w:tr>
      <w:tr>
        <w:trPr>
          <w:trHeight w:val="2029" w:hRule="atLeast"/>
        </w:trPr>
        <w:tc>
          <w:tcPr>
            <w:tcW w:w="1150" w:type="dxa"/>
            <w:tcBorders>
              <w:right w:val="nil"/>
            </w:tcBorders>
          </w:tcPr>
          <w:p>
            <w:pPr>
              <w:pStyle w:val="TableParagraph"/>
              <w:spacing w:before="105"/>
              <w:ind w:left="117"/>
              <w:rPr>
                <w:sz w:val="22"/>
              </w:rPr>
            </w:pPr>
            <w:r>
              <w:rPr>
                <w:spacing w:val="-5"/>
                <w:sz w:val="22"/>
              </w:rPr>
              <w:t>DTS</w:t>
            </w:r>
          </w:p>
        </w:tc>
        <w:tc>
          <w:tcPr>
            <w:tcW w:w="8495" w:type="dxa"/>
            <w:tcBorders>
              <w:left w:val="nil"/>
            </w:tcBorders>
          </w:tcPr>
          <w:p>
            <w:pPr>
              <w:pStyle w:val="TableParagraph"/>
              <w:spacing w:line="288" w:lineRule="auto" w:before="105"/>
              <w:ind w:left="251" w:right="177"/>
              <w:rPr>
                <w:sz w:val="22"/>
              </w:rPr>
            </w:pPr>
            <w:r>
              <w:rPr>
                <w:sz w:val="22"/>
              </w:rPr>
              <w:t>The Declared Transmission System (DTS) has also been known as the Principal Transmission</w:t>
            </w:r>
            <w:r>
              <w:rPr>
                <w:spacing w:val="-3"/>
                <w:sz w:val="22"/>
              </w:rPr>
              <w:t> </w:t>
            </w:r>
            <w:r>
              <w:rPr>
                <w:sz w:val="22"/>
              </w:rPr>
              <w:t>System</w:t>
            </w:r>
            <w:r>
              <w:rPr>
                <w:spacing w:val="-4"/>
                <w:sz w:val="22"/>
              </w:rPr>
              <w:t> </w:t>
            </w:r>
            <w:r>
              <w:rPr>
                <w:sz w:val="22"/>
              </w:rPr>
              <w:t>(PTS)</w:t>
            </w:r>
            <w:r>
              <w:rPr>
                <w:spacing w:val="-4"/>
                <w:sz w:val="22"/>
              </w:rPr>
              <w:t> </w:t>
            </w:r>
            <w:r>
              <w:rPr>
                <w:sz w:val="22"/>
              </w:rPr>
              <w:t>and</w:t>
            </w:r>
            <w:r>
              <w:rPr>
                <w:spacing w:val="-5"/>
                <w:sz w:val="22"/>
              </w:rPr>
              <w:t> </w:t>
            </w:r>
            <w:r>
              <w:rPr>
                <w:sz w:val="22"/>
              </w:rPr>
              <w:t>the</w:t>
            </w:r>
            <w:r>
              <w:rPr>
                <w:spacing w:val="-5"/>
                <w:sz w:val="22"/>
              </w:rPr>
              <w:t> </w:t>
            </w:r>
            <w:r>
              <w:rPr>
                <w:sz w:val="22"/>
              </w:rPr>
              <w:t>APA</w:t>
            </w:r>
            <w:r>
              <w:rPr>
                <w:spacing w:val="-3"/>
                <w:sz w:val="22"/>
              </w:rPr>
              <w:t> </w:t>
            </w:r>
            <w:r>
              <w:rPr>
                <w:sz w:val="22"/>
              </w:rPr>
              <w:t>GasNet</w:t>
            </w:r>
            <w:r>
              <w:rPr>
                <w:spacing w:val="-2"/>
                <w:sz w:val="22"/>
              </w:rPr>
              <w:t> </w:t>
            </w:r>
            <w:r>
              <w:rPr>
                <w:sz w:val="22"/>
              </w:rPr>
              <w:t>System.</w:t>
            </w:r>
            <w:r>
              <w:rPr>
                <w:spacing w:val="-2"/>
                <w:sz w:val="22"/>
              </w:rPr>
              <w:t> </w:t>
            </w:r>
            <w:r>
              <w:rPr>
                <w:sz w:val="22"/>
              </w:rPr>
              <w:t>Since</w:t>
            </w:r>
            <w:r>
              <w:rPr>
                <w:spacing w:val="-5"/>
                <w:sz w:val="22"/>
              </w:rPr>
              <w:t> </w:t>
            </w:r>
            <w:r>
              <w:rPr>
                <w:sz w:val="22"/>
              </w:rPr>
              <w:t>2002,</w:t>
            </w:r>
            <w:r>
              <w:rPr>
                <w:spacing w:val="-4"/>
                <w:sz w:val="22"/>
              </w:rPr>
              <w:t> </w:t>
            </w:r>
            <w:r>
              <w:rPr>
                <w:sz w:val="22"/>
              </w:rPr>
              <w:t>it</w:t>
            </w:r>
            <w:r>
              <w:rPr>
                <w:spacing w:val="-4"/>
                <w:sz w:val="22"/>
              </w:rPr>
              <w:t> </w:t>
            </w:r>
            <w:r>
              <w:rPr>
                <w:sz w:val="22"/>
              </w:rPr>
              <w:t>includes the former Western Transmission System (WTS) which transported gas to Portland, Hamilton and Cobden.</w:t>
            </w:r>
          </w:p>
          <w:p>
            <w:pPr>
              <w:pStyle w:val="TableParagraph"/>
              <w:spacing w:line="288" w:lineRule="auto" w:before="48"/>
              <w:ind w:left="251" w:right="177"/>
              <w:rPr>
                <w:sz w:val="22"/>
              </w:rPr>
            </w:pPr>
            <w:r>
              <w:rPr>
                <w:sz w:val="22"/>
              </w:rPr>
              <w:t>The DTS is a transmission pipeline network owned by APA Group through its wholly</w:t>
            </w:r>
            <w:r>
              <w:rPr>
                <w:spacing w:val="-5"/>
                <w:sz w:val="22"/>
              </w:rPr>
              <w:t> </w:t>
            </w:r>
            <w:r>
              <w:rPr>
                <w:sz w:val="22"/>
              </w:rPr>
              <w:t>owned</w:t>
            </w:r>
            <w:r>
              <w:rPr>
                <w:spacing w:val="-3"/>
                <w:sz w:val="22"/>
              </w:rPr>
              <w:t> </w:t>
            </w:r>
            <w:r>
              <w:rPr>
                <w:sz w:val="22"/>
              </w:rPr>
              <w:t>subsidiary</w:t>
            </w:r>
            <w:r>
              <w:rPr>
                <w:spacing w:val="-5"/>
                <w:sz w:val="22"/>
              </w:rPr>
              <w:t> </w:t>
            </w:r>
            <w:r>
              <w:rPr>
                <w:sz w:val="22"/>
              </w:rPr>
              <w:t>APA</w:t>
            </w:r>
            <w:r>
              <w:rPr>
                <w:spacing w:val="-3"/>
                <w:sz w:val="22"/>
              </w:rPr>
              <w:t> </w:t>
            </w:r>
            <w:r>
              <w:rPr>
                <w:sz w:val="22"/>
              </w:rPr>
              <w:t>VTS</w:t>
            </w:r>
            <w:r>
              <w:rPr>
                <w:spacing w:val="-3"/>
                <w:sz w:val="22"/>
              </w:rPr>
              <w:t> </w:t>
            </w:r>
            <w:r>
              <w:rPr>
                <w:sz w:val="22"/>
              </w:rPr>
              <w:t>Australia</w:t>
            </w:r>
            <w:r>
              <w:rPr>
                <w:spacing w:val="-5"/>
                <w:sz w:val="22"/>
              </w:rPr>
              <w:t> </w:t>
            </w:r>
            <w:r>
              <w:rPr>
                <w:sz w:val="22"/>
              </w:rPr>
              <w:t>(Operations)</w:t>
            </w:r>
            <w:r>
              <w:rPr>
                <w:spacing w:val="-4"/>
                <w:sz w:val="22"/>
              </w:rPr>
              <w:t> </w:t>
            </w:r>
            <w:r>
              <w:rPr>
                <w:sz w:val="22"/>
              </w:rPr>
              <w:t>Pty</w:t>
            </w:r>
            <w:r>
              <w:rPr>
                <w:spacing w:val="-5"/>
                <w:sz w:val="22"/>
              </w:rPr>
              <w:t> </w:t>
            </w:r>
            <w:r>
              <w:rPr>
                <w:sz w:val="22"/>
              </w:rPr>
              <w:t>Ltd.</w:t>
            </w:r>
            <w:r>
              <w:rPr>
                <w:spacing w:val="-4"/>
                <w:sz w:val="22"/>
              </w:rPr>
              <w:t> </w:t>
            </w:r>
            <w:r>
              <w:rPr>
                <w:sz w:val="22"/>
              </w:rPr>
              <w:t>APA</w:t>
            </w:r>
            <w:r>
              <w:rPr>
                <w:spacing w:val="-3"/>
                <w:sz w:val="22"/>
              </w:rPr>
              <w:t> </w:t>
            </w:r>
            <w:r>
              <w:rPr>
                <w:sz w:val="22"/>
              </w:rPr>
              <w:t>acquired</w:t>
            </w:r>
          </w:p>
        </w:tc>
      </w:tr>
    </w:tbl>
    <w:p>
      <w:pPr>
        <w:spacing w:after="0" w:line="288" w:lineRule="auto"/>
        <w:rPr>
          <w:sz w:val="22"/>
        </w:rPr>
        <w:sectPr>
          <w:pgSz w:w="11910" w:h="16850"/>
          <w:pgMar w:header="220" w:footer="678" w:top="420" w:bottom="860" w:left="900" w:right="840"/>
        </w:sectPr>
      </w:pPr>
    </w:p>
    <w:p>
      <w:pPr>
        <w:pStyle w:val="BodyText"/>
        <w:rPr>
          <w:b/>
          <w:sz w:val="20"/>
        </w:rPr>
      </w:pPr>
    </w:p>
    <w:p>
      <w:pPr>
        <w:pStyle w:val="BodyText"/>
        <w:spacing w:before="4"/>
        <w:rPr>
          <w:b/>
          <w:sz w:val="27"/>
        </w:rPr>
      </w:pPr>
    </w:p>
    <w:tbl>
      <w:tblPr>
        <w:tblW w:w="0" w:type="auto"/>
        <w:jc w:val="left"/>
        <w:tblInd w:w="24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top w:w="0" w:type="dxa"/>
          <w:left w:w="0" w:type="dxa"/>
          <w:bottom w:w="0" w:type="dxa"/>
          <w:right w:w="0" w:type="dxa"/>
        </w:tblCellMar>
        <w:tblLook w:val="01E0"/>
      </w:tblPr>
      <w:tblGrid>
        <w:gridCol w:w="1198"/>
        <w:gridCol w:w="8447"/>
      </w:tblGrid>
      <w:tr>
        <w:trPr>
          <w:trHeight w:val="2030" w:hRule="atLeast"/>
        </w:trPr>
        <w:tc>
          <w:tcPr>
            <w:tcW w:w="9645" w:type="dxa"/>
            <w:gridSpan w:val="2"/>
          </w:tcPr>
          <w:p>
            <w:pPr>
              <w:pStyle w:val="TableParagraph"/>
              <w:spacing w:before="57"/>
              <w:ind w:left="1397"/>
              <w:rPr>
                <w:sz w:val="22"/>
              </w:rPr>
            </w:pPr>
            <w:r>
              <w:rPr>
                <w:sz w:val="22"/>
              </w:rPr>
              <w:t>the</w:t>
            </w:r>
            <w:r>
              <w:rPr>
                <w:spacing w:val="-8"/>
                <w:sz w:val="22"/>
              </w:rPr>
              <w:t> </w:t>
            </w:r>
            <w:r>
              <w:rPr>
                <w:sz w:val="22"/>
              </w:rPr>
              <w:t>DTS</w:t>
            </w:r>
            <w:r>
              <w:rPr>
                <w:spacing w:val="-5"/>
                <w:sz w:val="22"/>
              </w:rPr>
              <w:t> </w:t>
            </w:r>
            <w:r>
              <w:rPr>
                <w:sz w:val="22"/>
              </w:rPr>
              <w:t>when</w:t>
            </w:r>
            <w:r>
              <w:rPr>
                <w:spacing w:val="-5"/>
                <w:sz w:val="22"/>
              </w:rPr>
              <w:t> </w:t>
            </w:r>
            <w:r>
              <w:rPr>
                <w:sz w:val="22"/>
              </w:rPr>
              <w:t>it</w:t>
            </w:r>
            <w:r>
              <w:rPr>
                <w:spacing w:val="-4"/>
                <w:sz w:val="22"/>
              </w:rPr>
              <w:t> </w:t>
            </w:r>
            <w:r>
              <w:rPr>
                <w:sz w:val="22"/>
              </w:rPr>
              <w:t>purchased</w:t>
            </w:r>
            <w:r>
              <w:rPr>
                <w:spacing w:val="-5"/>
                <w:sz w:val="22"/>
              </w:rPr>
              <w:t> </w:t>
            </w:r>
            <w:r>
              <w:rPr>
                <w:sz w:val="22"/>
              </w:rPr>
              <w:t>GasNet</w:t>
            </w:r>
            <w:r>
              <w:rPr>
                <w:spacing w:val="-3"/>
                <w:sz w:val="22"/>
              </w:rPr>
              <w:t> </w:t>
            </w:r>
            <w:r>
              <w:rPr>
                <w:sz w:val="22"/>
              </w:rPr>
              <w:t>Australia</w:t>
            </w:r>
            <w:r>
              <w:rPr>
                <w:spacing w:val="-5"/>
                <w:sz w:val="22"/>
              </w:rPr>
              <w:t> </w:t>
            </w:r>
            <w:r>
              <w:rPr>
                <w:sz w:val="22"/>
              </w:rPr>
              <w:t>in</w:t>
            </w:r>
            <w:r>
              <w:rPr>
                <w:spacing w:val="-5"/>
                <w:sz w:val="22"/>
              </w:rPr>
              <w:t> </w:t>
            </w:r>
            <w:r>
              <w:rPr>
                <w:sz w:val="22"/>
              </w:rPr>
              <w:t>December</w:t>
            </w:r>
            <w:r>
              <w:rPr>
                <w:spacing w:val="-6"/>
                <w:sz w:val="22"/>
              </w:rPr>
              <w:t> </w:t>
            </w:r>
            <w:r>
              <w:rPr>
                <w:spacing w:val="-2"/>
                <w:sz w:val="22"/>
              </w:rPr>
              <w:t>2006.</w:t>
            </w:r>
          </w:p>
          <w:p>
            <w:pPr>
              <w:pStyle w:val="TableParagraph"/>
              <w:spacing w:line="288" w:lineRule="auto" w:before="98"/>
              <w:ind w:left="1397" w:right="52"/>
              <w:rPr>
                <w:sz w:val="22"/>
              </w:rPr>
            </w:pPr>
            <w:r>
              <w:rPr>
                <w:sz w:val="22"/>
              </w:rPr>
              <w:t>The DTS transports natural gas within Victoria, supplying the Melbourne metropolitan area and country areas. It also supplies gas to NSW via the Interconnect</w:t>
            </w:r>
            <w:r>
              <w:rPr>
                <w:spacing w:val="-4"/>
                <w:sz w:val="22"/>
              </w:rPr>
              <w:t> </w:t>
            </w:r>
            <w:r>
              <w:rPr>
                <w:sz w:val="22"/>
              </w:rPr>
              <w:t>with</w:t>
            </w:r>
            <w:r>
              <w:rPr>
                <w:spacing w:val="-3"/>
                <w:sz w:val="22"/>
              </w:rPr>
              <w:t> </w:t>
            </w:r>
            <w:r>
              <w:rPr>
                <w:sz w:val="22"/>
              </w:rPr>
              <w:t>the</w:t>
            </w:r>
            <w:r>
              <w:rPr>
                <w:spacing w:val="-5"/>
                <w:sz w:val="22"/>
              </w:rPr>
              <w:t> </w:t>
            </w:r>
            <w:r>
              <w:rPr>
                <w:sz w:val="22"/>
              </w:rPr>
              <w:t>Moomba</w:t>
            </w:r>
            <w:r>
              <w:rPr>
                <w:spacing w:val="-3"/>
                <w:sz w:val="22"/>
              </w:rPr>
              <w:t> </w:t>
            </w:r>
            <w:r>
              <w:rPr>
                <w:sz w:val="22"/>
              </w:rPr>
              <w:t>Sydney</w:t>
            </w:r>
            <w:r>
              <w:rPr>
                <w:spacing w:val="-5"/>
                <w:sz w:val="22"/>
              </w:rPr>
              <w:t> </w:t>
            </w:r>
            <w:r>
              <w:rPr>
                <w:sz w:val="22"/>
              </w:rPr>
              <w:t>Pipeline</w:t>
            </w:r>
            <w:r>
              <w:rPr>
                <w:spacing w:val="-3"/>
                <w:sz w:val="22"/>
              </w:rPr>
              <w:t> </w:t>
            </w:r>
            <w:r>
              <w:rPr>
                <w:sz w:val="22"/>
              </w:rPr>
              <w:t>(MSP)</w:t>
            </w:r>
            <w:r>
              <w:rPr>
                <w:spacing w:val="-2"/>
                <w:sz w:val="22"/>
              </w:rPr>
              <w:t> </w:t>
            </w:r>
            <w:r>
              <w:rPr>
                <w:sz w:val="22"/>
              </w:rPr>
              <w:t>at</w:t>
            </w:r>
            <w:r>
              <w:rPr>
                <w:spacing w:val="-2"/>
                <w:sz w:val="22"/>
              </w:rPr>
              <w:t> </w:t>
            </w:r>
            <w:r>
              <w:rPr>
                <w:sz w:val="22"/>
              </w:rPr>
              <w:t>Culcairn</w:t>
            </w:r>
            <w:r>
              <w:rPr>
                <w:spacing w:val="-5"/>
                <w:sz w:val="22"/>
              </w:rPr>
              <w:t> </w:t>
            </w:r>
            <w:r>
              <w:rPr>
                <w:sz w:val="22"/>
              </w:rPr>
              <w:t>and</w:t>
            </w:r>
            <w:r>
              <w:rPr>
                <w:spacing w:val="-5"/>
                <w:sz w:val="22"/>
              </w:rPr>
              <w:t> </w:t>
            </w:r>
            <w:r>
              <w:rPr>
                <w:sz w:val="22"/>
              </w:rPr>
              <w:t>to</w:t>
            </w:r>
            <w:r>
              <w:rPr>
                <w:spacing w:val="-5"/>
                <w:sz w:val="22"/>
              </w:rPr>
              <w:t> </w:t>
            </w:r>
            <w:r>
              <w:rPr>
                <w:sz w:val="22"/>
              </w:rPr>
              <w:t>South Australia via the SEA Gas Pipeline at Port Campbell. The average annual throughput of the DTS is in excess of 200 PJ per annum.</w:t>
            </w:r>
          </w:p>
        </w:tc>
      </w:tr>
      <w:tr>
        <w:trPr>
          <w:trHeight w:val="817" w:hRule="atLeast"/>
        </w:trPr>
        <w:tc>
          <w:tcPr>
            <w:tcW w:w="1198" w:type="dxa"/>
            <w:tcBorders>
              <w:right w:val="nil"/>
            </w:tcBorders>
          </w:tcPr>
          <w:p>
            <w:pPr>
              <w:pStyle w:val="TableParagraph"/>
              <w:spacing w:before="105"/>
              <w:ind w:left="117"/>
              <w:rPr>
                <w:sz w:val="22"/>
              </w:rPr>
            </w:pPr>
            <w:r>
              <w:rPr>
                <w:spacing w:val="-4"/>
                <w:sz w:val="22"/>
              </w:rPr>
              <w:t>EBSS</w:t>
            </w:r>
          </w:p>
        </w:tc>
        <w:tc>
          <w:tcPr>
            <w:tcW w:w="8447" w:type="dxa"/>
            <w:tcBorders>
              <w:left w:val="nil"/>
            </w:tcBorders>
          </w:tcPr>
          <w:p>
            <w:pPr>
              <w:pStyle w:val="TableParagraph"/>
              <w:spacing w:line="288" w:lineRule="auto" w:before="105"/>
              <w:ind w:left="204" w:right="226"/>
              <w:rPr>
                <w:sz w:val="22"/>
              </w:rPr>
            </w:pPr>
            <w:r>
              <w:rPr>
                <w:sz w:val="22"/>
              </w:rPr>
              <w:t>Efficiency</w:t>
            </w:r>
            <w:r>
              <w:rPr>
                <w:spacing w:val="-6"/>
                <w:sz w:val="22"/>
              </w:rPr>
              <w:t> </w:t>
            </w:r>
            <w:r>
              <w:rPr>
                <w:sz w:val="22"/>
              </w:rPr>
              <w:t>Benefit</w:t>
            </w:r>
            <w:r>
              <w:rPr>
                <w:spacing w:val="-2"/>
                <w:sz w:val="22"/>
              </w:rPr>
              <w:t> </w:t>
            </w:r>
            <w:r>
              <w:rPr>
                <w:sz w:val="22"/>
              </w:rPr>
              <w:t>Sharing</w:t>
            </w:r>
            <w:r>
              <w:rPr>
                <w:spacing w:val="-4"/>
                <w:sz w:val="22"/>
              </w:rPr>
              <w:t> </w:t>
            </w:r>
            <w:r>
              <w:rPr>
                <w:sz w:val="22"/>
              </w:rPr>
              <w:t>Scheme</w:t>
            </w:r>
            <w:r>
              <w:rPr>
                <w:spacing w:val="-4"/>
                <w:sz w:val="22"/>
              </w:rPr>
              <w:t> </w:t>
            </w:r>
            <w:r>
              <w:rPr>
                <w:sz w:val="22"/>
              </w:rPr>
              <w:t>–</w:t>
            </w:r>
            <w:r>
              <w:rPr>
                <w:spacing w:val="-4"/>
                <w:sz w:val="22"/>
              </w:rPr>
              <w:t> </w:t>
            </w:r>
            <w:r>
              <w:rPr>
                <w:sz w:val="22"/>
              </w:rPr>
              <w:t>An</w:t>
            </w:r>
            <w:r>
              <w:rPr>
                <w:spacing w:val="-6"/>
                <w:sz w:val="22"/>
              </w:rPr>
              <w:t> </w:t>
            </w:r>
            <w:r>
              <w:rPr>
                <w:sz w:val="22"/>
              </w:rPr>
              <w:t>operating</w:t>
            </w:r>
            <w:r>
              <w:rPr>
                <w:spacing w:val="-4"/>
                <w:sz w:val="22"/>
              </w:rPr>
              <w:t> </w:t>
            </w:r>
            <w:r>
              <w:rPr>
                <w:sz w:val="22"/>
              </w:rPr>
              <w:t>expenditure</w:t>
            </w:r>
            <w:r>
              <w:rPr>
                <w:spacing w:val="-6"/>
                <w:sz w:val="22"/>
              </w:rPr>
              <w:t> </w:t>
            </w:r>
            <w:r>
              <w:rPr>
                <w:sz w:val="22"/>
              </w:rPr>
              <w:t>Incentive Mechanism – incentives for businesses to spend efficiently.</w:t>
            </w:r>
          </w:p>
        </w:tc>
      </w:tr>
      <w:tr>
        <w:trPr>
          <w:trHeight w:val="1120" w:hRule="atLeast"/>
        </w:trPr>
        <w:tc>
          <w:tcPr>
            <w:tcW w:w="1198" w:type="dxa"/>
            <w:tcBorders>
              <w:right w:val="nil"/>
            </w:tcBorders>
          </w:tcPr>
          <w:p>
            <w:pPr>
              <w:pStyle w:val="TableParagraph"/>
              <w:spacing w:before="105"/>
              <w:ind w:left="117"/>
              <w:rPr>
                <w:sz w:val="22"/>
              </w:rPr>
            </w:pPr>
            <w:r>
              <w:rPr>
                <w:spacing w:val="-4"/>
                <w:sz w:val="22"/>
              </w:rPr>
              <w:t>EDPR</w:t>
            </w:r>
          </w:p>
        </w:tc>
        <w:tc>
          <w:tcPr>
            <w:tcW w:w="8447" w:type="dxa"/>
            <w:tcBorders>
              <w:left w:val="nil"/>
            </w:tcBorders>
          </w:tcPr>
          <w:p>
            <w:pPr>
              <w:pStyle w:val="TableParagraph"/>
              <w:spacing w:line="288" w:lineRule="auto" w:before="105"/>
              <w:ind w:left="204" w:right="226"/>
              <w:rPr>
                <w:sz w:val="22"/>
              </w:rPr>
            </w:pPr>
            <w:r>
              <w:rPr>
                <w:sz w:val="22"/>
              </w:rPr>
              <w:t>Electricity Distribution Price Review – AER’s review after all distribution business submit</w:t>
            </w:r>
            <w:r>
              <w:rPr>
                <w:spacing w:val="-4"/>
                <w:sz w:val="22"/>
              </w:rPr>
              <w:t> </w:t>
            </w:r>
            <w:r>
              <w:rPr>
                <w:sz w:val="22"/>
              </w:rPr>
              <w:t>their</w:t>
            </w:r>
            <w:r>
              <w:rPr>
                <w:spacing w:val="-6"/>
                <w:sz w:val="22"/>
              </w:rPr>
              <w:t> </w:t>
            </w:r>
            <w:r>
              <w:rPr>
                <w:sz w:val="22"/>
              </w:rPr>
              <w:t>five</w:t>
            </w:r>
            <w:r>
              <w:rPr>
                <w:spacing w:val="-1"/>
                <w:sz w:val="22"/>
              </w:rPr>
              <w:t> </w:t>
            </w:r>
            <w:r>
              <w:rPr>
                <w:sz w:val="22"/>
              </w:rPr>
              <w:t>year</w:t>
            </w:r>
            <w:r>
              <w:rPr>
                <w:spacing w:val="-4"/>
                <w:sz w:val="22"/>
              </w:rPr>
              <w:t> </w:t>
            </w:r>
            <w:r>
              <w:rPr>
                <w:sz w:val="22"/>
              </w:rPr>
              <w:t>forecasting</w:t>
            </w:r>
            <w:r>
              <w:rPr>
                <w:spacing w:val="-1"/>
                <w:sz w:val="22"/>
              </w:rPr>
              <w:t> </w:t>
            </w:r>
            <w:r>
              <w:rPr>
                <w:sz w:val="22"/>
              </w:rPr>
              <w:t>expenditure</w:t>
            </w:r>
            <w:r>
              <w:rPr>
                <w:spacing w:val="-5"/>
                <w:sz w:val="22"/>
              </w:rPr>
              <w:t> </w:t>
            </w:r>
            <w:r>
              <w:rPr>
                <w:sz w:val="22"/>
              </w:rPr>
              <w:t>plans</w:t>
            </w:r>
            <w:r>
              <w:rPr>
                <w:spacing w:val="-1"/>
                <w:sz w:val="22"/>
              </w:rPr>
              <w:t> </w:t>
            </w:r>
            <w:r>
              <w:rPr>
                <w:sz w:val="22"/>
              </w:rPr>
              <w:t>-</w:t>
            </w:r>
            <w:r>
              <w:rPr>
                <w:spacing w:val="-4"/>
                <w:sz w:val="22"/>
              </w:rPr>
              <w:t> </w:t>
            </w:r>
            <w:r>
              <w:rPr>
                <w:sz w:val="22"/>
              </w:rPr>
              <w:t>AER</w:t>
            </w:r>
            <w:r>
              <w:rPr>
                <w:spacing w:val="-3"/>
                <w:sz w:val="22"/>
              </w:rPr>
              <w:t> </w:t>
            </w:r>
            <w:r>
              <w:rPr>
                <w:sz w:val="22"/>
              </w:rPr>
              <w:t>evaluates</w:t>
            </w:r>
            <w:r>
              <w:rPr>
                <w:spacing w:val="-3"/>
                <w:sz w:val="22"/>
              </w:rPr>
              <w:t> </w:t>
            </w:r>
            <w:r>
              <w:rPr>
                <w:sz w:val="22"/>
              </w:rPr>
              <w:t>the</w:t>
            </w:r>
            <w:r>
              <w:rPr>
                <w:spacing w:val="-5"/>
                <w:sz w:val="22"/>
              </w:rPr>
              <w:t> </w:t>
            </w:r>
            <w:r>
              <w:rPr>
                <w:sz w:val="22"/>
              </w:rPr>
              <w:t>proposals against the national electricity objective set out in the NEL.</w:t>
            </w:r>
          </w:p>
        </w:tc>
      </w:tr>
      <w:tr>
        <w:trPr>
          <w:trHeight w:val="1120" w:hRule="atLeast"/>
        </w:trPr>
        <w:tc>
          <w:tcPr>
            <w:tcW w:w="1198" w:type="dxa"/>
            <w:tcBorders>
              <w:right w:val="nil"/>
            </w:tcBorders>
          </w:tcPr>
          <w:p>
            <w:pPr>
              <w:pStyle w:val="TableParagraph"/>
              <w:spacing w:before="105"/>
              <w:ind w:left="117"/>
              <w:rPr>
                <w:sz w:val="22"/>
              </w:rPr>
            </w:pPr>
            <w:r>
              <w:rPr>
                <w:spacing w:val="-4"/>
                <w:sz w:val="22"/>
              </w:rPr>
              <w:t>ESMS</w:t>
            </w:r>
          </w:p>
        </w:tc>
        <w:tc>
          <w:tcPr>
            <w:tcW w:w="8447" w:type="dxa"/>
            <w:tcBorders>
              <w:left w:val="nil"/>
            </w:tcBorders>
          </w:tcPr>
          <w:p>
            <w:pPr>
              <w:pStyle w:val="TableParagraph"/>
              <w:spacing w:line="288" w:lineRule="auto" w:before="105"/>
              <w:ind w:left="204" w:right="226"/>
              <w:rPr>
                <w:sz w:val="22"/>
              </w:rPr>
            </w:pPr>
            <w:r>
              <w:rPr>
                <w:sz w:val="22"/>
              </w:rPr>
              <w:t>Electricity</w:t>
            </w:r>
            <w:r>
              <w:rPr>
                <w:spacing w:val="-6"/>
                <w:sz w:val="22"/>
              </w:rPr>
              <w:t> </w:t>
            </w:r>
            <w:r>
              <w:rPr>
                <w:sz w:val="22"/>
              </w:rPr>
              <w:t>Safety</w:t>
            </w:r>
            <w:r>
              <w:rPr>
                <w:spacing w:val="-5"/>
                <w:sz w:val="22"/>
              </w:rPr>
              <w:t> </w:t>
            </w:r>
            <w:r>
              <w:rPr>
                <w:sz w:val="22"/>
              </w:rPr>
              <w:t>Management</w:t>
            </w:r>
            <w:r>
              <w:rPr>
                <w:spacing w:val="-5"/>
                <w:sz w:val="22"/>
              </w:rPr>
              <w:t> </w:t>
            </w:r>
            <w:r>
              <w:rPr>
                <w:sz w:val="22"/>
              </w:rPr>
              <w:t>Schemes</w:t>
            </w:r>
            <w:r>
              <w:rPr>
                <w:spacing w:val="-1"/>
                <w:sz w:val="22"/>
              </w:rPr>
              <w:t> </w:t>
            </w:r>
            <w:r>
              <w:rPr>
                <w:sz w:val="22"/>
              </w:rPr>
              <w:t>–</w:t>
            </w:r>
            <w:r>
              <w:rPr>
                <w:spacing w:val="-6"/>
                <w:sz w:val="22"/>
              </w:rPr>
              <w:t> </w:t>
            </w:r>
            <w:r>
              <w:rPr>
                <w:sz w:val="22"/>
              </w:rPr>
              <w:t>a</w:t>
            </w:r>
            <w:r>
              <w:rPr>
                <w:spacing w:val="-4"/>
                <w:sz w:val="22"/>
              </w:rPr>
              <w:t> </w:t>
            </w:r>
            <w:r>
              <w:rPr>
                <w:sz w:val="22"/>
              </w:rPr>
              <w:t>non-prescriptive</w:t>
            </w:r>
            <w:r>
              <w:rPr>
                <w:spacing w:val="-6"/>
                <w:sz w:val="22"/>
              </w:rPr>
              <w:t> </w:t>
            </w:r>
            <w:r>
              <w:rPr>
                <w:sz w:val="22"/>
              </w:rPr>
              <w:t>form</w:t>
            </w:r>
            <w:r>
              <w:rPr>
                <w:spacing w:val="-3"/>
                <w:sz w:val="22"/>
              </w:rPr>
              <w:t> </w:t>
            </w:r>
            <w:r>
              <w:rPr>
                <w:sz w:val="22"/>
              </w:rPr>
              <w:t>of</w:t>
            </w:r>
            <w:r>
              <w:rPr>
                <w:spacing w:val="-5"/>
                <w:sz w:val="22"/>
              </w:rPr>
              <w:t> </w:t>
            </w:r>
            <w:r>
              <w:rPr>
                <w:sz w:val="22"/>
              </w:rPr>
              <w:t>regulation that enables industry to improve on the efficiency of its operation without compromising safety standards.</w:t>
            </w:r>
          </w:p>
        </w:tc>
      </w:tr>
      <w:tr>
        <w:trPr>
          <w:trHeight w:val="1120" w:hRule="atLeast"/>
        </w:trPr>
        <w:tc>
          <w:tcPr>
            <w:tcW w:w="1198" w:type="dxa"/>
            <w:tcBorders>
              <w:right w:val="nil"/>
            </w:tcBorders>
          </w:tcPr>
          <w:p>
            <w:pPr>
              <w:pStyle w:val="TableParagraph"/>
              <w:spacing w:before="105"/>
              <w:ind w:left="117"/>
              <w:rPr>
                <w:sz w:val="22"/>
              </w:rPr>
            </w:pPr>
            <w:r>
              <w:rPr>
                <w:spacing w:val="-5"/>
                <w:sz w:val="22"/>
              </w:rPr>
              <w:t>ESC</w:t>
            </w:r>
          </w:p>
        </w:tc>
        <w:tc>
          <w:tcPr>
            <w:tcW w:w="8447" w:type="dxa"/>
            <w:tcBorders>
              <w:left w:val="nil"/>
            </w:tcBorders>
          </w:tcPr>
          <w:p>
            <w:pPr>
              <w:pStyle w:val="TableParagraph"/>
              <w:spacing w:line="288" w:lineRule="auto" w:before="105"/>
              <w:ind w:left="204" w:right="226"/>
              <w:rPr>
                <w:sz w:val="22"/>
              </w:rPr>
            </w:pPr>
            <w:r>
              <w:rPr>
                <w:sz w:val="22"/>
              </w:rPr>
              <w:t>Essential Services Commission – Victoria’s independent economic regulator of prescribed</w:t>
            </w:r>
            <w:r>
              <w:rPr>
                <w:spacing w:val="-5"/>
                <w:sz w:val="22"/>
              </w:rPr>
              <w:t> </w:t>
            </w:r>
            <w:r>
              <w:rPr>
                <w:sz w:val="22"/>
              </w:rPr>
              <w:t>essential</w:t>
            </w:r>
            <w:r>
              <w:rPr>
                <w:spacing w:val="-3"/>
                <w:sz w:val="22"/>
              </w:rPr>
              <w:t> </w:t>
            </w:r>
            <w:r>
              <w:rPr>
                <w:sz w:val="22"/>
              </w:rPr>
              <w:t>utility</w:t>
            </w:r>
            <w:r>
              <w:rPr>
                <w:spacing w:val="-5"/>
                <w:sz w:val="22"/>
              </w:rPr>
              <w:t> </w:t>
            </w:r>
            <w:r>
              <w:rPr>
                <w:sz w:val="22"/>
              </w:rPr>
              <w:t>services</w:t>
            </w:r>
            <w:r>
              <w:rPr>
                <w:spacing w:val="-3"/>
                <w:sz w:val="22"/>
              </w:rPr>
              <w:t> </w:t>
            </w:r>
            <w:r>
              <w:rPr>
                <w:sz w:val="22"/>
              </w:rPr>
              <w:t>supplied</w:t>
            </w:r>
            <w:r>
              <w:rPr>
                <w:spacing w:val="-3"/>
                <w:sz w:val="22"/>
              </w:rPr>
              <w:t> </w:t>
            </w:r>
            <w:r>
              <w:rPr>
                <w:sz w:val="22"/>
              </w:rPr>
              <w:t>by</w:t>
            </w:r>
            <w:r>
              <w:rPr>
                <w:spacing w:val="-5"/>
                <w:sz w:val="22"/>
              </w:rPr>
              <w:t> </w:t>
            </w:r>
            <w:r>
              <w:rPr>
                <w:sz w:val="22"/>
              </w:rPr>
              <w:t>the</w:t>
            </w:r>
            <w:r>
              <w:rPr>
                <w:spacing w:val="-3"/>
                <w:sz w:val="22"/>
              </w:rPr>
              <w:t> </w:t>
            </w:r>
            <w:r>
              <w:rPr>
                <w:sz w:val="22"/>
              </w:rPr>
              <w:t>electricity,</w:t>
            </w:r>
            <w:r>
              <w:rPr>
                <w:spacing w:val="-6"/>
                <w:sz w:val="22"/>
              </w:rPr>
              <w:t> </w:t>
            </w:r>
            <w:r>
              <w:rPr>
                <w:sz w:val="22"/>
              </w:rPr>
              <w:t>gas,</w:t>
            </w:r>
            <w:r>
              <w:rPr>
                <w:spacing w:val="-4"/>
                <w:sz w:val="22"/>
              </w:rPr>
              <w:t> </w:t>
            </w:r>
            <w:r>
              <w:rPr>
                <w:sz w:val="22"/>
              </w:rPr>
              <w:t>ports</w:t>
            </w:r>
            <w:r>
              <w:rPr>
                <w:spacing w:val="-5"/>
                <w:sz w:val="22"/>
              </w:rPr>
              <w:t> </w:t>
            </w:r>
            <w:r>
              <w:rPr>
                <w:sz w:val="22"/>
              </w:rPr>
              <w:t>and</w:t>
            </w:r>
            <w:r>
              <w:rPr>
                <w:spacing w:val="-3"/>
                <w:sz w:val="22"/>
              </w:rPr>
              <w:t> </w:t>
            </w:r>
            <w:r>
              <w:rPr>
                <w:sz w:val="22"/>
              </w:rPr>
              <w:t>rail freight industries.</w:t>
            </w:r>
          </w:p>
        </w:tc>
      </w:tr>
      <w:tr>
        <w:trPr>
          <w:trHeight w:val="1120" w:hRule="atLeast"/>
        </w:trPr>
        <w:tc>
          <w:tcPr>
            <w:tcW w:w="1198" w:type="dxa"/>
            <w:tcBorders>
              <w:right w:val="nil"/>
            </w:tcBorders>
          </w:tcPr>
          <w:p>
            <w:pPr>
              <w:pStyle w:val="TableParagraph"/>
              <w:spacing w:before="105"/>
              <w:ind w:left="117"/>
              <w:rPr>
                <w:sz w:val="22"/>
              </w:rPr>
            </w:pPr>
            <w:r>
              <w:rPr>
                <w:spacing w:val="-5"/>
                <w:sz w:val="22"/>
              </w:rPr>
              <w:t>ESV</w:t>
            </w:r>
          </w:p>
        </w:tc>
        <w:tc>
          <w:tcPr>
            <w:tcW w:w="8447" w:type="dxa"/>
            <w:tcBorders>
              <w:left w:val="nil"/>
            </w:tcBorders>
          </w:tcPr>
          <w:p>
            <w:pPr>
              <w:pStyle w:val="TableParagraph"/>
              <w:spacing w:line="288" w:lineRule="auto" w:before="105"/>
              <w:ind w:left="204" w:right="239"/>
              <w:rPr>
                <w:sz w:val="22"/>
              </w:rPr>
            </w:pPr>
            <w:r>
              <w:rPr>
                <w:sz w:val="22"/>
              </w:rPr>
              <w:t>Energy Safe Victoria is Victoria’s independent technical safety regulator responsible</w:t>
            </w:r>
            <w:r>
              <w:rPr>
                <w:spacing w:val="-6"/>
                <w:sz w:val="22"/>
              </w:rPr>
              <w:t> </w:t>
            </w:r>
            <w:r>
              <w:rPr>
                <w:sz w:val="22"/>
              </w:rPr>
              <w:t>for</w:t>
            </w:r>
            <w:r>
              <w:rPr>
                <w:spacing w:val="-5"/>
                <w:sz w:val="22"/>
              </w:rPr>
              <w:t> </w:t>
            </w:r>
            <w:r>
              <w:rPr>
                <w:sz w:val="22"/>
              </w:rPr>
              <w:t>the</w:t>
            </w:r>
            <w:r>
              <w:rPr>
                <w:spacing w:val="-4"/>
                <w:sz w:val="22"/>
              </w:rPr>
              <w:t> </w:t>
            </w:r>
            <w:r>
              <w:rPr>
                <w:sz w:val="22"/>
              </w:rPr>
              <w:t>safety</w:t>
            </w:r>
            <w:r>
              <w:rPr>
                <w:spacing w:val="-6"/>
                <w:sz w:val="22"/>
              </w:rPr>
              <w:t> </w:t>
            </w:r>
            <w:r>
              <w:rPr>
                <w:sz w:val="22"/>
              </w:rPr>
              <w:t>and</w:t>
            </w:r>
            <w:r>
              <w:rPr>
                <w:spacing w:val="-4"/>
                <w:sz w:val="22"/>
              </w:rPr>
              <w:t> </w:t>
            </w:r>
            <w:r>
              <w:rPr>
                <w:sz w:val="22"/>
              </w:rPr>
              <w:t>technical</w:t>
            </w:r>
            <w:r>
              <w:rPr>
                <w:spacing w:val="-5"/>
                <w:sz w:val="22"/>
              </w:rPr>
              <w:t> </w:t>
            </w:r>
            <w:r>
              <w:rPr>
                <w:sz w:val="22"/>
              </w:rPr>
              <w:t>regulation</w:t>
            </w:r>
            <w:r>
              <w:rPr>
                <w:spacing w:val="-4"/>
                <w:sz w:val="22"/>
              </w:rPr>
              <w:t> </w:t>
            </w:r>
            <w:r>
              <w:rPr>
                <w:sz w:val="22"/>
              </w:rPr>
              <w:t>of</w:t>
            </w:r>
            <w:r>
              <w:rPr>
                <w:spacing w:val="-2"/>
                <w:sz w:val="22"/>
              </w:rPr>
              <w:t> </w:t>
            </w:r>
            <w:r>
              <w:rPr>
                <w:sz w:val="22"/>
              </w:rPr>
              <w:t>electricity,</w:t>
            </w:r>
            <w:r>
              <w:rPr>
                <w:spacing w:val="-7"/>
                <w:sz w:val="22"/>
              </w:rPr>
              <w:t> </w:t>
            </w:r>
            <w:r>
              <w:rPr>
                <w:sz w:val="22"/>
              </w:rPr>
              <w:t>gas</w:t>
            </w:r>
            <w:r>
              <w:rPr>
                <w:spacing w:val="-4"/>
                <w:sz w:val="22"/>
              </w:rPr>
              <w:t> </w:t>
            </w:r>
            <w:r>
              <w:rPr>
                <w:sz w:val="22"/>
              </w:rPr>
              <w:t>and</w:t>
            </w:r>
            <w:r>
              <w:rPr>
                <w:spacing w:val="-6"/>
                <w:sz w:val="22"/>
              </w:rPr>
              <w:t> </w:t>
            </w:r>
            <w:r>
              <w:rPr>
                <w:sz w:val="22"/>
              </w:rPr>
              <w:t>pipelines in Victoria.</w:t>
            </w:r>
          </w:p>
        </w:tc>
      </w:tr>
      <w:tr>
        <w:trPr>
          <w:trHeight w:val="515" w:hRule="atLeast"/>
        </w:trPr>
        <w:tc>
          <w:tcPr>
            <w:tcW w:w="1198" w:type="dxa"/>
            <w:tcBorders>
              <w:right w:val="nil"/>
            </w:tcBorders>
          </w:tcPr>
          <w:p>
            <w:pPr>
              <w:pStyle w:val="TableParagraph"/>
              <w:spacing w:before="105"/>
              <w:ind w:left="117"/>
              <w:rPr>
                <w:sz w:val="22"/>
              </w:rPr>
            </w:pPr>
            <w:r>
              <w:rPr>
                <w:spacing w:val="-4"/>
                <w:sz w:val="22"/>
              </w:rPr>
              <w:t>HBRA</w:t>
            </w:r>
          </w:p>
        </w:tc>
        <w:tc>
          <w:tcPr>
            <w:tcW w:w="8447" w:type="dxa"/>
            <w:tcBorders>
              <w:left w:val="nil"/>
            </w:tcBorders>
          </w:tcPr>
          <w:p>
            <w:pPr>
              <w:pStyle w:val="TableParagraph"/>
              <w:spacing w:before="105"/>
              <w:ind w:left="204"/>
              <w:rPr>
                <w:sz w:val="22"/>
              </w:rPr>
            </w:pPr>
            <w:r>
              <w:rPr>
                <w:sz w:val="22"/>
              </w:rPr>
              <w:t>Hazardous</w:t>
            </w:r>
            <w:r>
              <w:rPr>
                <w:spacing w:val="-6"/>
                <w:sz w:val="22"/>
              </w:rPr>
              <w:t> </w:t>
            </w:r>
            <w:r>
              <w:rPr>
                <w:sz w:val="22"/>
              </w:rPr>
              <w:t>Bushfire</w:t>
            </w:r>
            <w:r>
              <w:rPr>
                <w:spacing w:val="-5"/>
                <w:sz w:val="22"/>
              </w:rPr>
              <w:t> </w:t>
            </w:r>
            <w:r>
              <w:rPr>
                <w:sz w:val="22"/>
              </w:rPr>
              <w:t>Risk</w:t>
            </w:r>
            <w:r>
              <w:rPr>
                <w:spacing w:val="-4"/>
                <w:sz w:val="22"/>
              </w:rPr>
              <w:t> Areas</w:t>
            </w:r>
          </w:p>
        </w:tc>
      </w:tr>
      <w:tr>
        <w:trPr>
          <w:trHeight w:val="816" w:hRule="atLeast"/>
        </w:trPr>
        <w:tc>
          <w:tcPr>
            <w:tcW w:w="1198" w:type="dxa"/>
            <w:tcBorders>
              <w:right w:val="nil"/>
            </w:tcBorders>
          </w:tcPr>
          <w:p>
            <w:pPr>
              <w:pStyle w:val="TableParagraph"/>
              <w:spacing w:before="106"/>
              <w:ind w:left="117"/>
              <w:rPr>
                <w:sz w:val="22"/>
              </w:rPr>
            </w:pPr>
            <w:r>
              <w:rPr>
                <w:spacing w:val="-5"/>
                <w:sz w:val="22"/>
              </w:rPr>
              <w:t>GSL</w:t>
            </w:r>
          </w:p>
        </w:tc>
        <w:tc>
          <w:tcPr>
            <w:tcW w:w="8447" w:type="dxa"/>
            <w:tcBorders>
              <w:left w:val="nil"/>
            </w:tcBorders>
          </w:tcPr>
          <w:p>
            <w:pPr>
              <w:pStyle w:val="TableParagraph"/>
              <w:spacing w:line="288" w:lineRule="auto" w:before="106"/>
              <w:ind w:left="204" w:right="226"/>
              <w:rPr>
                <w:sz w:val="22"/>
              </w:rPr>
            </w:pPr>
            <w:r>
              <w:rPr>
                <w:sz w:val="22"/>
              </w:rPr>
              <w:t>Guaranteed</w:t>
            </w:r>
            <w:r>
              <w:rPr>
                <w:spacing w:val="-3"/>
                <w:sz w:val="22"/>
              </w:rPr>
              <w:t> </w:t>
            </w:r>
            <w:r>
              <w:rPr>
                <w:sz w:val="22"/>
              </w:rPr>
              <w:t>Service</w:t>
            </w:r>
            <w:r>
              <w:rPr>
                <w:spacing w:val="-4"/>
                <w:sz w:val="22"/>
              </w:rPr>
              <w:t> </w:t>
            </w:r>
            <w:r>
              <w:rPr>
                <w:sz w:val="22"/>
              </w:rPr>
              <w:t>Level</w:t>
            </w:r>
            <w:r>
              <w:rPr>
                <w:spacing w:val="-5"/>
                <w:sz w:val="22"/>
              </w:rPr>
              <w:t> </w:t>
            </w:r>
            <w:r>
              <w:rPr>
                <w:sz w:val="22"/>
              </w:rPr>
              <w:t>–</w:t>
            </w:r>
            <w:r>
              <w:rPr>
                <w:spacing w:val="-4"/>
                <w:sz w:val="22"/>
              </w:rPr>
              <w:t> </w:t>
            </w:r>
            <w:r>
              <w:rPr>
                <w:sz w:val="22"/>
              </w:rPr>
              <w:t>Payments</w:t>
            </w:r>
            <w:r>
              <w:rPr>
                <w:spacing w:val="-5"/>
                <w:sz w:val="22"/>
              </w:rPr>
              <w:t> </w:t>
            </w:r>
            <w:r>
              <w:rPr>
                <w:sz w:val="22"/>
              </w:rPr>
              <w:t>made</w:t>
            </w:r>
            <w:r>
              <w:rPr>
                <w:spacing w:val="-6"/>
                <w:sz w:val="22"/>
              </w:rPr>
              <w:t> </w:t>
            </w:r>
            <w:r>
              <w:rPr>
                <w:sz w:val="22"/>
              </w:rPr>
              <w:t>to</w:t>
            </w:r>
            <w:r>
              <w:rPr>
                <w:spacing w:val="-6"/>
                <w:sz w:val="22"/>
              </w:rPr>
              <w:t> </w:t>
            </w:r>
            <w:r>
              <w:rPr>
                <w:sz w:val="22"/>
              </w:rPr>
              <w:t>customers</w:t>
            </w:r>
            <w:r>
              <w:rPr>
                <w:spacing w:val="-6"/>
                <w:sz w:val="22"/>
              </w:rPr>
              <w:t> </w:t>
            </w:r>
            <w:r>
              <w:rPr>
                <w:sz w:val="22"/>
              </w:rPr>
              <w:t>who</w:t>
            </w:r>
            <w:r>
              <w:rPr>
                <w:spacing w:val="-4"/>
                <w:sz w:val="22"/>
              </w:rPr>
              <w:t> </w:t>
            </w:r>
            <w:r>
              <w:rPr>
                <w:sz w:val="22"/>
              </w:rPr>
              <w:t>receive</w:t>
            </w:r>
            <w:r>
              <w:rPr>
                <w:spacing w:val="-4"/>
                <w:sz w:val="22"/>
              </w:rPr>
              <w:t> </w:t>
            </w:r>
            <w:r>
              <w:rPr>
                <w:sz w:val="22"/>
              </w:rPr>
              <w:t>power outages or frequency.</w:t>
            </w:r>
          </w:p>
        </w:tc>
      </w:tr>
      <w:tr>
        <w:trPr>
          <w:trHeight w:val="1120" w:hRule="atLeast"/>
        </w:trPr>
        <w:tc>
          <w:tcPr>
            <w:tcW w:w="1198" w:type="dxa"/>
            <w:tcBorders>
              <w:right w:val="nil"/>
            </w:tcBorders>
          </w:tcPr>
          <w:p>
            <w:pPr>
              <w:pStyle w:val="TableParagraph"/>
              <w:spacing w:before="105"/>
              <w:ind w:left="117"/>
              <w:rPr>
                <w:sz w:val="22"/>
              </w:rPr>
            </w:pPr>
            <w:r>
              <w:rPr>
                <w:spacing w:val="-4"/>
                <w:sz w:val="22"/>
              </w:rPr>
              <w:t>IGEM</w:t>
            </w:r>
          </w:p>
        </w:tc>
        <w:tc>
          <w:tcPr>
            <w:tcW w:w="8447" w:type="dxa"/>
            <w:tcBorders>
              <w:left w:val="nil"/>
            </w:tcBorders>
          </w:tcPr>
          <w:p>
            <w:pPr>
              <w:pStyle w:val="TableParagraph"/>
              <w:spacing w:line="288" w:lineRule="auto" w:before="105"/>
              <w:ind w:left="204" w:right="226"/>
              <w:rPr>
                <w:sz w:val="22"/>
              </w:rPr>
            </w:pPr>
            <w:r>
              <w:rPr>
                <w:sz w:val="22"/>
              </w:rPr>
              <w:t>The Inspector-General for Emergency Management – works with its emergency management</w:t>
            </w:r>
            <w:r>
              <w:rPr>
                <w:spacing w:val="-3"/>
                <w:sz w:val="22"/>
              </w:rPr>
              <w:t> </w:t>
            </w:r>
            <w:r>
              <w:rPr>
                <w:sz w:val="22"/>
              </w:rPr>
              <w:t>partners</w:t>
            </w:r>
            <w:r>
              <w:rPr>
                <w:spacing w:val="-5"/>
                <w:sz w:val="22"/>
              </w:rPr>
              <w:t> </w:t>
            </w:r>
            <w:r>
              <w:rPr>
                <w:sz w:val="22"/>
              </w:rPr>
              <w:t>and</w:t>
            </w:r>
            <w:r>
              <w:rPr>
                <w:spacing w:val="-4"/>
                <w:sz w:val="22"/>
              </w:rPr>
              <w:t> </w:t>
            </w:r>
            <w:r>
              <w:rPr>
                <w:sz w:val="22"/>
              </w:rPr>
              <w:t>the</w:t>
            </w:r>
            <w:r>
              <w:rPr>
                <w:spacing w:val="-6"/>
                <w:sz w:val="22"/>
              </w:rPr>
              <w:t> </w:t>
            </w:r>
            <w:r>
              <w:rPr>
                <w:sz w:val="22"/>
              </w:rPr>
              <w:t>community</w:t>
            </w:r>
            <w:r>
              <w:rPr>
                <w:spacing w:val="-8"/>
                <w:sz w:val="22"/>
              </w:rPr>
              <w:t> </w:t>
            </w:r>
            <w:r>
              <w:rPr>
                <w:sz w:val="22"/>
              </w:rPr>
              <w:t>to</w:t>
            </w:r>
            <w:r>
              <w:rPr>
                <w:spacing w:val="-4"/>
                <w:sz w:val="22"/>
              </w:rPr>
              <w:t> </w:t>
            </w:r>
            <w:r>
              <w:rPr>
                <w:sz w:val="22"/>
              </w:rPr>
              <w:t>strengthen</w:t>
            </w:r>
            <w:r>
              <w:rPr>
                <w:spacing w:val="-4"/>
                <w:sz w:val="22"/>
              </w:rPr>
              <w:t> </w:t>
            </w:r>
            <w:r>
              <w:rPr>
                <w:sz w:val="22"/>
              </w:rPr>
              <w:t>emergency</w:t>
            </w:r>
            <w:r>
              <w:rPr>
                <w:spacing w:val="-8"/>
                <w:sz w:val="22"/>
              </w:rPr>
              <w:t> </w:t>
            </w:r>
            <w:r>
              <w:rPr>
                <w:sz w:val="22"/>
              </w:rPr>
              <w:t>management arrangements and community safety in Victoria.</w:t>
            </w:r>
          </w:p>
        </w:tc>
      </w:tr>
      <w:tr>
        <w:trPr>
          <w:trHeight w:val="582" w:hRule="atLeast"/>
        </w:trPr>
        <w:tc>
          <w:tcPr>
            <w:tcW w:w="1198" w:type="dxa"/>
            <w:tcBorders>
              <w:right w:val="nil"/>
            </w:tcBorders>
          </w:tcPr>
          <w:p>
            <w:pPr>
              <w:pStyle w:val="TableParagraph"/>
              <w:spacing w:before="105"/>
              <w:ind w:left="117"/>
              <w:rPr>
                <w:sz w:val="22"/>
              </w:rPr>
            </w:pPr>
            <w:r>
              <w:rPr>
                <w:spacing w:val="-5"/>
                <w:sz w:val="22"/>
              </w:rPr>
              <w:t>kV</w:t>
            </w:r>
          </w:p>
        </w:tc>
        <w:tc>
          <w:tcPr>
            <w:tcW w:w="8447" w:type="dxa"/>
            <w:tcBorders>
              <w:left w:val="nil"/>
            </w:tcBorders>
          </w:tcPr>
          <w:p>
            <w:pPr>
              <w:pStyle w:val="TableParagraph"/>
              <w:spacing w:before="105"/>
              <w:ind w:left="204"/>
              <w:rPr>
                <w:sz w:val="22"/>
              </w:rPr>
            </w:pPr>
            <w:r>
              <w:rPr>
                <w:sz w:val="22"/>
              </w:rPr>
              <w:t>Kilovolts</w:t>
            </w:r>
            <w:r>
              <w:rPr>
                <w:spacing w:val="-5"/>
                <w:sz w:val="22"/>
              </w:rPr>
              <w:t> </w:t>
            </w:r>
            <w:r>
              <w:rPr>
                <w:sz w:val="22"/>
              </w:rPr>
              <w:t>–</w:t>
            </w:r>
            <w:r>
              <w:rPr>
                <w:spacing w:val="-4"/>
                <w:sz w:val="22"/>
              </w:rPr>
              <w:t> </w:t>
            </w:r>
            <w:r>
              <w:rPr>
                <w:sz w:val="22"/>
              </w:rPr>
              <w:t>a</w:t>
            </w:r>
            <w:r>
              <w:rPr>
                <w:spacing w:val="-4"/>
                <w:sz w:val="22"/>
              </w:rPr>
              <w:t> </w:t>
            </w:r>
            <w:r>
              <w:rPr>
                <w:sz w:val="22"/>
              </w:rPr>
              <w:t>unit</w:t>
            </w:r>
            <w:r>
              <w:rPr>
                <w:spacing w:val="-4"/>
                <w:sz w:val="22"/>
              </w:rPr>
              <w:t> </w:t>
            </w:r>
            <w:r>
              <w:rPr>
                <w:sz w:val="22"/>
              </w:rPr>
              <w:t>of</w:t>
            </w:r>
            <w:r>
              <w:rPr>
                <w:spacing w:val="-2"/>
                <w:sz w:val="22"/>
              </w:rPr>
              <w:t> </w:t>
            </w:r>
            <w:r>
              <w:rPr>
                <w:sz w:val="22"/>
              </w:rPr>
              <w:t>electromotive</w:t>
            </w:r>
            <w:r>
              <w:rPr>
                <w:spacing w:val="-6"/>
                <w:sz w:val="22"/>
              </w:rPr>
              <w:t> </w:t>
            </w:r>
            <w:r>
              <w:rPr>
                <w:sz w:val="22"/>
              </w:rPr>
              <w:t>force,</w:t>
            </w:r>
            <w:r>
              <w:rPr>
                <w:spacing w:val="-4"/>
                <w:sz w:val="22"/>
              </w:rPr>
              <w:t> </w:t>
            </w:r>
            <w:r>
              <w:rPr>
                <w:sz w:val="22"/>
              </w:rPr>
              <w:t>equal</w:t>
            </w:r>
            <w:r>
              <w:rPr>
                <w:spacing w:val="-7"/>
                <w:sz w:val="22"/>
              </w:rPr>
              <w:t> </w:t>
            </w:r>
            <w:r>
              <w:rPr>
                <w:sz w:val="22"/>
              </w:rPr>
              <w:t>to</w:t>
            </w:r>
            <w:r>
              <w:rPr>
                <w:spacing w:val="-4"/>
                <w:sz w:val="22"/>
              </w:rPr>
              <w:t> </w:t>
            </w:r>
            <w:r>
              <w:rPr>
                <w:sz w:val="22"/>
              </w:rPr>
              <w:t>1000</w:t>
            </w:r>
            <w:r>
              <w:rPr>
                <w:spacing w:val="-3"/>
                <w:sz w:val="22"/>
              </w:rPr>
              <w:t> </w:t>
            </w:r>
            <w:r>
              <w:rPr>
                <w:spacing w:val="-2"/>
                <w:sz w:val="22"/>
              </w:rPr>
              <w:t>volts.</w:t>
            </w:r>
          </w:p>
        </w:tc>
      </w:tr>
      <w:tr>
        <w:trPr>
          <w:trHeight w:val="580" w:hRule="atLeast"/>
        </w:trPr>
        <w:tc>
          <w:tcPr>
            <w:tcW w:w="1198" w:type="dxa"/>
            <w:tcBorders>
              <w:right w:val="nil"/>
            </w:tcBorders>
          </w:tcPr>
          <w:p>
            <w:pPr>
              <w:pStyle w:val="TableParagraph"/>
              <w:spacing w:before="105"/>
              <w:ind w:left="117"/>
              <w:rPr>
                <w:sz w:val="22"/>
              </w:rPr>
            </w:pPr>
            <w:r>
              <w:rPr>
                <w:spacing w:val="-4"/>
                <w:sz w:val="22"/>
              </w:rPr>
              <w:t>LBRA</w:t>
            </w:r>
          </w:p>
        </w:tc>
        <w:tc>
          <w:tcPr>
            <w:tcW w:w="8447" w:type="dxa"/>
            <w:tcBorders>
              <w:left w:val="nil"/>
            </w:tcBorders>
          </w:tcPr>
          <w:p>
            <w:pPr>
              <w:pStyle w:val="TableParagraph"/>
              <w:spacing w:before="105"/>
              <w:ind w:left="204"/>
              <w:rPr>
                <w:sz w:val="22"/>
              </w:rPr>
            </w:pPr>
            <w:r>
              <w:rPr>
                <w:sz w:val="22"/>
              </w:rPr>
              <w:t>Low</w:t>
            </w:r>
            <w:r>
              <w:rPr>
                <w:spacing w:val="-8"/>
                <w:sz w:val="22"/>
              </w:rPr>
              <w:t> </w:t>
            </w:r>
            <w:r>
              <w:rPr>
                <w:sz w:val="22"/>
              </w:rPr>
              <w:t>Bushfire</w:t>
            </w:r>
            <w:r>
              <w:rPr>
                <w:spacing w:val="-5"/>
                <w:sz w:val="22"/>
              </w:rPr>
              <w:t> </w:t>
            </w:r>
            <w:r>
              <w:rPr>
                <w:sz w:val="22"/>
              </w:rPr>
              <w:t>Risk</w:t>
            </w:r>
            <w:r>
              <w:rPr>
                <w:spacing w:val="-2"/>
                <w:sz w:val="22"/>
              </w:rPr>
              <w:t> </w:t>
            </w:r>
            <w:r>
              <w:rPr>
                <w:spacing w:val="-4"/>
                <w:sz w:val="22"/>
              </w:rPr>
              <w:t>Areas</w:t>
            </w:r>
          </w:p>
        </w:tc>
      </w:tr>
      <w:tr>
        <w:trPr>
          <w:trHeight w:val="1121" w:hRule="atLeast"/>
        </w:trPr>
        <w:tc>
          <w:tcPr>
            <w:tcW w:w="1198" w:type="dxa"/>
            <w:tcBorders>
              <w:right w:val="nil"/>
            </w:tcBorders>
          </w:tcPr>
          <w:p>
            <w:pPr>
              <w:pStyle w:val="TableParagraph"/>
              <w:spacing w:before="105"/>
              <w:ind w:left="117"/>
              <w:rPr>
                <w:sz w:val="22"/>
              </w:rPr>
            </w:pPr>
            <w:r>
              <w:rPr>
                <w:spacing w:val="-2"/>
                <w:sz w:val="22"/>
              </w:rPr>
              <w:t>Linepack</w:t>
            </w:r>
          </w:p>
        </w:tc>
        <w:tc>
          <w:tcPr>
            <w:tcW w:w="8447" w:type="dxa"/>
            <w:tcBorders>
              <w:left w:val="nil"/>
            </w:tcBorders>
          </w:tcPr>
          <w:p>
            <w:pPr>
              <w:pStyle w:val="TableParagraph"/>
              <w:spacing w:line="288" w:lineRule="auto" w:before="105"/>
              <w:ind w:left="204" w:right="226"/>
              <w:rPr>
                <w:sz w:val="22"/>
              </w:rPr>
            </w:pPr>
            <w:r>
              <w:rPr>
                <w:sz w:val="22"/>
              </w:rPr>
              <w:t>The</w:t>
            </w:r>
            <w:r>
              <w:rPr>
                <w:spacing w:val="-5"/>
                <w:sz w:val="22"/>
              </w:rPr>
              <w:t> </w:t>
            </w:r>
            <w:r>
              <w:rPr>
                <w:sz w:val="22"/>
              </w:rPr>
              <w:t>pressurised</w:t>
            </w:r>
            <w:r>
              <w:rPr>
                <w:spacing w:val="-3"/>
                <w:sz w:val="22"/>
              </w:rPr>
              <w:t> </w:t>
            </w:r>
            <w:r>
              <w:rPr>
                <w:sz w:val="22"/>
              </w:rPr>
              <w:t>volume</w:t>
            </w:r>
            <w:r>
              <w:rPr>
                <w:spacing w:val="-5"/>
                <w:sz w:val="22"/>
              </w:rPr>
              <w:t> </w:t>
            </w:r>
            <w:r>
              <w:rPr>
                <w:sz w:val="22"/>
              </w:rPr>
              <w:t>of</w:t>
            </w:r>
            <w:r>
              <w:rPr>
                <w:spacing w:val="-1"/>
                <w:sz w:val="22"/>
              </w:rPr>
              <w:t> </w:t>
            </w:r>
            <w:r>
              <w:rPr>
                <w:sz w:val="22"/>
              </w:rPr>
              <w:t>gas</w:t>
            </w:r>
            <w:r>
              <w:rPr>
                <w:spacing w:val="-5"/>
                <w:sz w:val="22"/>
              </w:rPr>
              <w:t> </w:t>
            </w:r>
            <w:r>
              <w:rPr>
                <w:sz w:val="22"/>
              </w:rPr>
              <w:t>stored</w:t>
            </w:r>
            <w:r>
              <w:rPr>
                <w:spacing w:val="-5"/>
                <w:sz w:val="22"/>
              </w:rPr>
              <w:t> </w:t>
            </w:r>
            <w:r>
              <w:rPr>
                <w:sz w:val="22"/>
              </w:rPr>
              <w:t>in</w:t>
            </w:r>
            <w:r>
              <w:rPr>
                <w:spacing w:val="-3"/>
                <w:sz w:val="22"/>
              </w:rPr>
              <w:t> </w:t>
            </w:r>
            <w:r>
              <w:rPr>
                <w:sz w:val="22"/>
              </w:rPr>
              <w:t>the</w:t>
            </w:r>
            <w:r>
              <w:rPr>
                <w:spacing w:val="-5"/>
                <w:sz w:val="22"/>
              </w:rPr>
              <w:t> </w:t>
            </w:r>
            <w:r>
              <w:rPr>
                <w:sz w:val="22"/>
              </w:rPr>
              <w:t>pipeline</w:t>
            </w:r>
            <w:r>
              <w:rPr>
                <w:spacing w:val="-3"/>
                <w:sz w:val="22"/>
              </w:rPr>
              <w:t> </w:t>
            </w:r>
            <w:r>
              <w:rPr>
                <w:sz w:val="22"/>
              </w:rPr>
              <w:t>system.</w:t>
            </w:r>
            <w:r>
              <w:rPr>
                <w:spacing w:val="-1"/>
                <w:sz w:val="22"/>
              </w:rPr>
              <w:t> </w:t>
            </w:r>
            <w:r>
              <w:rPr>
                <w:sz w:val="22"/>
              </w:rPr>
              <w:t>Linepack</w:t>
            </w:r>
            <w:r>
              <w:rPr>
                <w:spacing w:val="-2"/>
                <w:sz w:val="22"/>
              </w:rPr>
              <w:t> </w:t>
            </w:r>
            <w:r>
              <w:rPr>
                <w:sz w:val="22"/>
              </w:rPr>
              <w:t>is</w:t>
            </w:r>
            <w:r>
              <w:rPr>
                <w:spacing w:val="-2"/>
                <w:sz w:val="22"/>
              </w:rPr>
              <w:t> </w:t>
            </w:r>
            <w:r>
              <w:rPr>
                <w:sz w:val="22"/>
              </w:rPr>
              <w:t>essential for gas transportation through the pipeline network each day, and as a buffer for within-day balancing.</w:t>
            </w:r>
          </w:p>
        </w:tc>
      </w:tr>
      <w:tr>
        <w:trPr>
          <w:trHeight w:val="818" w:hRule="atLeast"/>
        </w:trPr>
        <w:tc>
          <w:tcPr>
            <w:tcW w:w="1198" w:type="dxa"/>
            <w:tcBorders>
              <w:right w:val="nil"/>
            </w:tcBorders>
          </w:tcPr>
          <w:p>
            <w:pPr>
              <w:pStyle w:val="TableParagraph"/>
              <w:spacing w:before="105"/>
              <w:ind w:left="117"/>
              <w:rPr>
                <w:sz w:val="22"/>
              </w:rPr>
            </w:pPr>
            <w:r>
              <w:rPr>
                <w:spacing w:val="-5"/>
                <w:sz w:val="22"/>
              </w:rPr>
              <w:t>LNG</w:t>
            </w:r>
          </w:p>
        </w:tc>
        <w:tc>
          <w:tcPr>
            <w:tcW w:w="8447" w:type="dxa"/>
            <w:tcBorders>
              <w:left w:val="nil"/>
            </w:tcBorders>
          </w:tcPr>
          <w:p>
            <w:pPr>
              <w:pStyle w:val="TableParagraph"/>
              <w:spacing w:line="288" w:lineRule="auto" w:before="105"/>
              <w:ind w:left="204" w:right="226"/>
              <w:rPr>
                <w:sz w:val="22"/>
              </w:rPr>
            </w:pPr>
            <w:r>
              <w:rPr>
                <w:sz w:val="22"/>
              </w:rPr>
              <w:t>Liquefied</w:t>
            </w:r>
            <w:r>
              <w:rPr>
                <w:spacing w:val="-3"/>
                <w:sz w:val="22"/>
              </w:rPr>
              <w:t> </w:t>
            </w:r>
            <w:r>
              <w:rPr>
                <w:sz w:val="22"/>
              </w:rPr>
              <w:t>Natural</w:t>
            </w:r>
            <w:r>
              <w:rPr>
                <w:spacing w:val="-5"/>
                <w:sz w:val="22"/>
              </w:rPr>
              <w:t> </w:t>
            </w:r>
            <w:r>
              <w:rPr>
                <w:sz w:val="22"/>
              </w:rPr>
              <w:t>Gas</w:t>
            </w:r>
            <w:r>
              <w:rPr>
                <w:spacing w:val="-3"/>
                <w:sz w:val="22"/>
              </w:rPr>
              <w:t> </w:t>
            </w:r>
            <w:r>
              <w:rPr>
                <w:sz w:val="22"/>
              </w:rPr>
              <w:t>–</w:t>
            </w:r>
            <w:r>
              <w:rPr>
                <w:spacing w:val="-3"/>
                <w:sz w:val="22"/>
              </w:rPr>
              <w:t> </w:t>
            </w:r>
            <w:r>
              <w:rPr>
                <w:sz w:val="22"/>
              </w:rPr>
              <w:t>is</w:t>
            </w:r>
            <w:r>
              <w:rPr>
                <w:spacing w:val="-2"/>
                <w:sz w:val="22"/>
              </w:rPr>
              <w:t> </w:t>
            </w:r>
            <w:r>
              <w:rPr>
                <w:sz w:val="22"/>
              </w:rPr>
              <w:t>a</w:t>
            </w:r>
            <w:r>
              <w:rPr>
                <w:spacing w:val="-3"/>
                <w:sz w:val="22"/>
              </w:rPr>
              <w:t> </w:t>
            </w:r>
            <w:r>
              <w:rPr>
                <w:sz w:val="22"/>
              </w:rPr>
              <w:t>natural</w:t>
            </w:r>
            <w:r>
              <w:rPr>
                <w:spacing w:val="-5"/>
                <w:sz w:val="22"/>
              </w:rPr>
              <w:t> </w:t>
            </w:r>
            <w:r>
              <w:rPr>
                <w:sz w:val="22"/>
              </w:rPr>
              <w:t>gas</w:t>
            </w:r>
            <w:r>
              <w:rPr>
                <w:spacing w:val="-5"/>
                <w:sz w:val="22"/>
              </w:rPr>
              <w:t> </w:t>
            </w:r>
            <w:r>
              <w:rPr>
                <w:sz w:val="22"/>
              </w:rPr>
              <w:t>(methane)</w:t>
            </w:r>
            <w:r>
              <w:rPr>
                <w:spacing w:val="-4"/>
                <w:sz w:val="22"/>
              </w:rPr>
              <w:t> </w:t>
            </w:r>
            <w:r>
              <w:rPr>
                <w:sz w:val="22"/>
              </w:rPr>
              <w:t>that</w:t>
            </w:r>
            <w:r>
              <w:rPr>
                <w:spacing w:val="-4"/>
                <w:sz w:val="22"/>
              </w:rPr>
              <w:t> </w:t>
            </w:r>
            <w:r>
              <w:rPr>
                <w:sz w:val="22"/>
              </w:rPr>
              <w:t>has</w:t>
            </w:r>
            <w:r>
              <w:rPr>
                <w:spacing w:val="-2"/>
                <w:sz w:val="22"/>
              </w:rPr>
              <w:t> </w:t>
            </w:r>
            <w:r>
              <w:rPr>
                <w:sz w:val="22"/>
              </w:rPr>
              <w:t>been</w:t>
            </w:r>
            <w:r>
              <w:rPr>
                <w:spacing w:val="-5"/>
                <w:sz w:val="22"/>
              </w:rPr>
              <w:t> </w:t>
            </w:r>
            <w:r>
              <w:rPr>
                <w:sz w:val="22"/>
              </w:rPr>
              <w:t>converted</w:t>
            </w:r>
            <w:r>
              <w:rPr>
                <w:spacing w:val="-3"/>
                <w:sz w:val="22"/>
              </w:rPr>
              <w:t> </w:t>
            </w:r>
            <w:r>
              <w:rPr>
                <w:sz w:val="22"/>
              </w:rPr>
              <w:t>into liquid form by freezing it to -161ºC for ease of storage or transport.</w:t>
            </w:r>
          </w:p>
        </w:tc>
      </w:tr>
      <w:tr>
        <w:trPr>
          <w:trHeight w:val="1422" w:hRule="atLeast"/>
        </w:trPr>
        <w:tc>
          <w:tcPr>
            <w:tcW w:w="1198" w:type="dxa"/>
            <w:tcBorders>
              <w:right w:val="nil"/>
            </w:tcBorders>
          </w:tcPr>
          <w:p>
            <w:pPr>
              <w:pStyle w:val="TableParagraph"/>
              <w:spacing w:before="105"/>
              <w:ind w:left="117"/>
              <w:rPr>
                <w:sz w:val="22"/>
              </w:rPr>
            </w:pPr>
            <w:r>
              <w:rPr>
                <w:spacing w:val="-5"/>
                <w:sz w:val="22"/>
              </w:rPr>
              <w:t>LPG</w:t>
            </w:r>
          </w:p>
        </w:tc>
        <w:tc>
          <w:tcPr>
            <w:tcW w:w="8447" w:type="dxa"/>
            <w:tcBorders>
              <w:left w:val="nil"/>
            </w:tcBorders>
          </w:tcPr>
          <w:p>
            <w:pPr>
              <w:pStyle w:val="TableParagraph"/>
              <w:spacing w:line="288" w:lineRule="auto" w:before="105"/>
              <w:ind w:left="204" w:right="117"/>
              <w:rPr>
                <w:sz w:val="22"/>
              </w:rPr>
            </w:pPr>
            <w:r>
              <w:rPr>
                <w:sz w:val="22"/>
              </w:rPr>
              <w:t>Liquefied</w:t>
            </w:r>
            <w:r>
              <w:rPr>
                <w:spacing w:val="-1"/>
                <w:sz w:val="22"/>
              </w:rPr>
              <w:t> </w:t>
            </w:r>
            <w:r>
              <w:rPr>
                <w:sz w:val="22"/>
              </w:rPr>
              <w:t>Petroleum</w:t>
            </w:r>
            <w:r>
              <w:rPr>
                <w:spacing w:val="-2"/>
                <w:sz w:val="22"/>
              </w:rPr>
              <w:t> </w:t>
            </w:r>
            <w:r>
              <w:rPr>
                <w:sz w:val="22"/>
              </w:rPr>
              <w:t>Gas</w:t>
            </w:r>
            <w:r>
              <w:rPr>
                <w:spacing w:val="-1"/>
                <w:sz w:val="22"/>
              </w:rPr>
              <w:t> </w:t>
            </w:r>
            <w:r>
              <w:rPr>
                <w:sz w:val="22"/>
              </w:rPr>
              <w:t>–</w:t>
            </w:r>
            <w:r>
              <w:rPr>
                <w:spacing w:val="-1"/>
                <w:sz w:val="22"/>
              </w:rPr>
              <w:t> </w:t>
            </w:r>
            <w:r>
              <w:rPr>
                <w:sz w:val="22"/>
              </w:rPr>
              <w:t>is a</w:t>
            </w:r>
            <w:r>
              <w:rPr>
                <w:spacing w:val="-5"/>
                <w:sz w:val="22"/>
              </w:rPr>
              <w:t> </w:t>
            </w:r>
            <w:r>
              <w:rPr>
                <w:sz w:val="22"/>
              </w:rPr>
              <w:t>mixture of hydrocarbon</w:t>
            </w:r>
            <w:r>
              <w:rPr>
                <w:spacing w:val="-3"/>
                <w:sz w:val="22"/>
              </w:rPr>
              <w:t> </w:t>
            </w:r>
            <w:r>
              <w:rPr>
                <w:sz w:val="22"/>
              </w:rPr>
              <w:t>gases</w:t>
            </w:r>
            <w:r>
              <w:rPr>
                <w:spacing w:val="-3"/>
                <w:sz w:val="22"/>
              </w:rPr>
              <w:t> </w:t>
            </w:r>
            <w:r>
              <w:rPr>
                <w:sz w:val="22"/>
              </w:rPr>
              <w:t>(mainly</w:t>
            </w:r>
            <w:r>
              <w:rPr>
                <w:spacing w:val="-3"/>
                <w:sz w:val="22"/>
              </w:rPr>
              <w:t> </w:t>
            </w:r>
            <w:r>
              <w:rPr>
                <w:sz w:val="22"/>
              </w:rPr>
              <w:t>propane</w:t>
            </w:r>
            <w:r>
              <w:rPr>
                <w:spacing w:val="-1"/>
                <w:sz w:val="22"/>
              </w:rPr>
              <w:t> </w:t>
            </w:r>
            <w:r>
              <w:rPr>
                <w:sz w:val="22"/>
              </w:rPr>
              <w:t>and butane) that under pressure, liquefy. It can occur naturally in oil and gas fields, or can</w:t>
            </w:r>
            <w:r>
              <w:rPr>
                <w:spacing w:val="-3"/>
                <w:sz w:val="22"/>
              </w:rPr>
              <w:t> </w:t>
            </w:r>
            <w:r>
              <w:rPr>
                <w:sz w:val="22"/>
              </w:rPr>
              <w:t>be</w:t>
            </w:r>
            <w:r>
              <w:rPr>
                <w:spacing w:val="-3"/>
                <w:sz w:val="22"/>
              </w:rPr>
              <w:t> </w:t>
            </w:r>
            <w:r>
              <w:rPr>
                <w:sz w:val="22"/>
              </w:rPr>
              <w:t>extracted</w:t>
            </w:r>
            <w:r>
              <w:rPr>
                <w:spacing w:val="-5"/>
                <w:sz w:val="22"/>
              </w:rPr>
              <w:t> </w:t>
            </w:r>
            <w:r>
              <w:rPr>
                <w:sz w:val="22"/>
              </w:rPr>
              <w:t>at</w:t>
            </w:r>
            <w:r>
              <w:rPr>
                <w:spacing w:val="-4"/>
                <w:sz w:val="22"/>
              </w:rPr>
              <w:t> </w:t>
            </w:r>
            <w:r>
              <w:rPr>
                <w:sz w:val="22"/>
              </w:rPr>
              <w:t>oil</w:t>
            </w:r>
            <w:r>
              <w:rPr>
                <w:spacing w:val="-3"/>
                <w:sz w:val="22"/>
              </w:rPr>
              <w:t> </w:t>
            </w:r>
            <w:r>
              <w:rPr>
                <w:sz w:val="22"/>
              </w:rPr>
              <w:t>refineries</w:t>
            </w:r>
            <w:r>
              <w:rPr>
                <w:spacing w:val="-3"/>
                <w:sz w:val="22"/>
              </w:rPr>
              <w:t> </w:t>
            </w:r>
            <w:r>
              <w:rPr>
                <w:sz w:val="22"/>
              </w:rPr>
              <w:t>during</w:t>
            </w:r>
            <w:r>
              <w:rPr>
                <w:spacing w:val="-3"/>
                <w:sz w:val="22"/>
              </w:rPr>
              <w:t> </w:t>
            </w:r>
            <w:r>
              <w:rPr>
                <w:sz w:val="22"/>
              </w:rPr>
              <w:t>the</w:t>
            </w:r>
            <w:r>
              <w:rPr>
                <w:spacing w:val="-5"/>
                <w:sz w:val="22"/>
              </w:rPr>
              <w:t> </w:t>
            </w:r>
            <w:r>
              <w:rPr>
                <w:sz w:val="22"/>
              </w:rPr>
              <w:t>production</w:t>
            </w:r>
            <w:r>
              <w:rPr>
                <w:spacing w:val="-3"/>
                <w:sz w:val="22"/>
              </w:rPr>
              <w:t> </w:t>
            </w:r>
            <w:r>
              <w:rPr>
                <w:sz w:val="22"/>
              </w:rPr>
              <w:t>of</w:t>
            </w:r>
            <w:r>
              <w:rPr>
                <w:spacing w:val="-1"/>
                <w:sz w:val="22"/>
              </w:rPr>
              <w:t> </w:t>
            </w:r>
            <w:r>
              <w:rPr>
                <w:sz w:val="22"/>
              </w:rPr>
              <w:t>other</w:t>
            </w:r>
            <w:r>
              <w:rPr>
                <w:spacing w:val="-4"/>
                <w:sz w:val="22"/>
              </w:rPr>
              <w:t> </w:t>
            </w:r>
            <w:r>
              <w:rPr>
                <w:sz w:val="22"/>
              </w:rPr>
              <w:t>petroleum</w:t>
            </w:r>
            <w:r>
              <w:rPr>
                <w:spacing w:val="-4"/>
                <w:sz w:val="22"/>
              </w:rPr>
              <w:t> </w:t>
            </w:r>
            <w:r>
              <w:rPr>
                <w:sz w:val="22"/>
              </w:rPr>
              <w:t>products. It is used as a fuel source for industry and domestic use.</w:t>
            </w:r>
          </w:p>
        </w:tc>
      </w:tr>
    </w:tbl>
    <w:p>
      <w:pPr>
        <w:spacing w:after="0" w:line="288" w:lineRule="auto"/>
        <w:rPr>
          <w:sz w:val="22"/>
        </w:rPr>
        <w:sectPr>
          <w:pgSz w:w="11910" w:h="16850"/>
          <w:pgMar w:header="220" w:footer="678" w:top="420" w:bottom="860" w:left="900" w:right="840"/>
        </w:sectPr>
      </w:pPr>
    </w:p>
    <w:p>
      <w:pPr>
        <w:pStyle w:val="BodyText"/>
        <w:rPr>
          <w:b/>
          <w:sz w:val="20"/>
        </w:rPr>
      </w:pPr>
    </w:p>
    <w:p>
      <w:pPr>
        <w:pStyle w:val="BodyText"/>
        <w:spacing w:before="4"/>
        <w:rPr>
          <w:b/>
          <w:sz w:val="27"/>
        </w:rPr>
      </w:pPr>
    </w:p>
    <w:tbl>
      <w:tblPr>
        <w:tblW w:w="0" w:type="auto"/>
        <w:jc w:val="left"/>
        <w:tblInd w:w="24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top w:w="0" w:type="dxa"/>
          <w:left w:w="0" w:type="dxa"/>
          <w:bottom w:w="0" w:type="dxa"/>
          <w:right w:w="0" w:type="dxa"/>
        </w:tblCellMar>
        <w:tblLook w:val="01E0"/>
      </w:tblPr>
      <w:tblGrid>
        <w:gridCol w:w="1282"/>
        <w:gridCol w:w="8363"/>
      </w:tblGrid>
      <w:tr>
        <w:trPr>
          <w:trHeight w:val="844" w:hRule="atLeast"/>
        </w:trPr>
        <w:tc>
          <w:tcPr>
            <w:tcW w:w="1282" w:type="dxa"/>
            <w:tcBorders>
              <w:right w:val="nil"/>
            </w:tcBorders>
          </w:tcPr>
          <w:p>
            <w:pPr>
              <w:pStyle w:val="TableParagraph"/>
              <w:spacing w:before="105"/>
              <w:ind w:left="117"/>
              <w:rPr>
                <w:sz w:val="22"/>
              </w:rPr>
            </w:pPr>
            <w:r>
              <w:rPr>
                <w:spacing w:val="-4"/>
                <w:sz w:val="22"/>
              </w:rPr>
              <w:t>MECs</w:t>
            </w:r>
          </w:p>
        </w:tc>
        <w:tc>
          <w:tcPr>
            <w:tcW w:w="8363" w:type="dxa"/>
            <w:tcBorders>
              <w:left w:val="nil"/>
            </w:tcBorders>
          </w:tcPr>
          <w:p>
            <w:pPr>
              <w:pStyle w:val="TableParagraph"/>
              <w:spacing w:line="288" w:lineRule="auto" w:before="105"/>
              <w:ind w:left="120" w:right="126"/>
              <w:rPr>
                <w:sz w:val="22"/>
              </w:rPr>
            </w:pPr>
            <w:r>
              <w:rPr>
                <w:sz w:val="22"/>
              </w:rPr>
              <w:t>Major</w:t>
            </w:r>
            <w:r>
              <w:rPr>
                <w:spacing w:val="-4"/>
                <w:sz w:val="22"/>
              </w:rPr>
              <w:t> </w:t>
            </w:r>
            <w:r>
              <w:rPr>
                <w:sz w:val="22"/>
              </w:rPr>
              <w:t>electricity</w:t>
            </w:r>
            <w:r>
              <w:rPr>
                <w:spacing w:val="-7"/>
                <w:sz w:val="22"/>
              </w:rPr>
              <w:t> </w:t>
            </w:r>
            <w:r>
              <w:rPr>
                <w:sz w:val="22"/>
              </w:rPr>
              <w:t>companies</w:t>
            </w:r>
            <w:r>
              <w:rPr>
                <w:spacing w:val="-3"/>
                <w:sz w:val="22"/>
              </w:rPr>
              <w:t> </w:t>
            </w:r>
            <w:r>
              <w:rPr>
                <w:sz w:val="22"/>
              </w:rPr>
              <w:t>–</w:t>
            </w:r>
            <w:r>
              <w:rPr>
                <w:spacing w:val="-5"/>
                <w:sz w:val="22"/>
              </w:rPr>
              <w:t> </w:t>
            </w:r>
            <w:r>
              <w:rPr>
                <w:sz w:val="22"/>
              </w:rPr>
              <w:t>comprise</w:t>
            </w:r>
            <w:r>
              <w:rPr>
                <w:spacing w:val="-5"/>
                <w:sz w:val="22"/>
              </w:rPr>
              <w:t> </w:t>
            </w:r>
            <w:r>
              <w:rPr>
                <w:sz w:val="22"/>
              </w:rPr>
              <w:t>both</w:t>
            </w:r>
            <w:r>
              <w:rPr>
                <w:spacing w:val="-7"/>
                <w:sz w:val="22"/>
              </w:rPr>
              <w:t> </w:t>
            </w:r>
            <w:r>
              <w:rPr>
                <w:sz w:val="22"/>
              </w:rPr>
              <w:t>licenced</w:t>
            </w:r>
            <w:r>
              <w:rPr>
                <w:spacing w:val="-5"/>
                <w:sz w:val="22"/>
              </w:rPr>
              <w:t> </w:t>
            </w:r>
            <w:r>
              <w:rPr>
                <w:sz w:val="22"/>
              </w:rPr>
              <w:t>electricity</w:t>
            </w:r>
            <w:r>
              <w:rPr>
                <w:spacing w:val="-7"/>
                <w:sz w:val="22"/>
              </w:rPr>
              <w:t> </w:t>
            </w:r>
            <w:r>
              <w:rPr>
                <w:sz w:val="22"/>
              </w:rPr>
              <w:t>transmission companies and licenced electricity distribution businesses.</w:t>
            </w:r>
          </w:p>
        </w:tc>
      </w:tr>
      <w:tr>
        <w:trPr>
          <w:trHeight w:val="1120" w:hRule="atLeast"/>
        </w:trPr>
        <w:tc>
          <w:tcPr>
            <w:tcW w:w="1282" w:type="dxa"/>
            <w:tcBorders>
              <w:right w:val="nil"/>
            </w:tcBorders>
          </w:tcPr>
          <w:p>
            <w:pPr>
              <w:pStyle w:val="TableParagraph"/>
              <w:spacing w:before="103"/>
              <w:ind w:left="117"/>
              <w:rPr>
                <w:sz w:val="22"/>
              </w:rPr>
            </w:pPr>
            <w:r>
              <w:rPr>
                <w:spacing w:val="-5"/>
                <w:sz w:val="22"/>
              </w:rPr>
              <w:t>MHF</w:t>
            </w:r>
          </w:p>
        </w:tc>
        <w:tc>
          <w:tcPr>
            <w:tcW w:w="8363" w:type="dxa"/>
            <w:tcBorders>
              <w:left w:val="nil"/>
            </w:tcBorders>
          </w:tcPr>
          <w:p>
            <w:pPr>
              <w:pStyle w:val="TableParagraph"/>
              <w:spacing w:line="288" w:lineRule="auto" w:before="103"/>
              <w:ind w:left="120" w:right="126"/>
              <w:rPr>
                <w:sz w:val="22"/>
              </w:rPr>
            </w:pPr>
            <w:r>
              <w:rPr>
                <w:sz w:val="22"/>
              </w:rPr>
              <w:t>Major</w:t>
            </w:r>
            <w:r>
              <w:rPr>
                <w:spacing w:val="-3"/>
                <w:sz w:val="22"/>
              </w:rPr>
              <w:t> </w:t>
            </w:r>
            <w:r>
              <w:rPr>
                <w:sz w:val="22"/>
              </w:rPr>
              <w:t>Hazard</w:t>
            </w:r>
            <w:r>
              <w:rPr>
                <w:spacing w:val="-3"/>
                <w:sz w:val="22"/>
              </w:rPr>
              <w:t> </w:t>
            </w:r>
            <w:r>
              <w:rPr>
                <w:sz w:val="22"/>
              </w:rPr>
              <w:t>Facilities</w:t>
            </w:r>
            <w:r>
              <w:rPr>
                <w:spacing w:val="-2"/>
                <w:sz w:val="22"/>
              </w:rPr>
              <w:t> </w:t>
            </w:r>
            <w:r>
              <w:rPr>
                <w:sz w:val="22"/>
              </w:rPr>
              <w:t>–</w:t>
            </w:r>
            <w:r>
              <w:rPr>
                <w:spacing w:val="-4"/>
                <w:sz w:val="22"/>
              </w:rPr>
              <w:t> </w:t>
            </w:r>
            <w:r>
              <w:rPr>
                <w:sz w:val="22"/>
              </w:rPr>
              <w:t>are</w:t>
            </w:r>
            <w:r>
              <w:rPr>
                <w:spacing w:val="-5"/>
                <w:sz w:val="22"/>
              </w:rPr>
              <w:t> </w:t>
            </w:r>
            <w:r>
              <w:rPr>
                <w:sz w:val="22"/>
              </w:rPr>
              <w:t>industrial</w:t>
            </w:r>
            <w:r>
              <w:rPr>
                <w:spacing w:val="-5"/>
                <w:sz w:val="22"/>
              </w:rPr>
              <w:t> </w:t>
            </w:r>
            <w:r>
              <w:rPr>
                <w:sz w:val="22"/>
              </w:rPr>
              <w:t>sites</w:t>
            </w:r>
            <w:r>
              <w:rPr>
                <w:spacing w:val="-5"/>
                <w:sz w:val="22"/>
              </w:rPr>
              <w:t> </w:t>
            </w:r>
            <w:r>
              <w:rPr>
                <w:sz w:val="22"/>
              </w:rPr>
              <w:t>that</w:t>
            </w:r>
            <w:r>
              <w:rPr>
                <w:spacing w:val="-5"/>
                <w:sz w:val="22"/>
              </w:rPr>
              <w:t> </w:t>
            </w:r>
            <w:r>
              <w:rPr>
                <w:sz w:val="22"/>
              </w:rPr>
              <w:t>store,</w:t>
            </w:r>
            <w:r>
              <w:rPr>
                <w:spacing w:val="-2"/>
                <w:sz w:val="22"/>
              </w:rPr>
              <w:t> </w:t>
            </w:r>
            <w:r>
              <w:rPr>
                <w:sz w:val="22"/>
              </w:rPr>
              <w:t>handle</w:t>
            </w:r>
            <w:r>
              <w:rPr>
                <w:spacing w:val="-4"/>
                <w:sz w:val="22"/>
              </w:rPr>
              <w:t> </w:t>
            </w:r>
            <w:r>
              <w:rPr>
                <w:sz w:val="22"/>
              </w:rPr>
              <w:t>or</w:t>
            </w:r>
            <w:r>
              <w:rPr>
                <w:spacing w:val="-3"/>
                <w:sz w:val="22"/>
              </w:rPr>
              <w:t> </w:t>
            </w:r>
            <w:r>
              <w:rPr>
                <w:sz w:val="22"/>
              </w:rPr>
              <w:t>process</w:t>
            </w:r>
            <w:r>
              <w:rPr>
                <w:spacing w:val="-5"/>
                <w:sz w:val="22"/>
              </w:rPr>
              <w:t> </w:t>
            </w:r>
            <w:r>
              <w:rPr>
                <w:sz w:val="22"/>
              </w:rPr>
              <w:t>large quantities of hazardous chemicals and dangerous goods, including petroleum products. Includes gas facilities.</w:t>
            </w:r>
          </w:p>
        </w:tc>
      </w:tr>
      <w:tr>
        <w:trPr>
          <w:trHeight w:val="842" w:hRule="atLeast"/>
        </w:trPr>
        <w:tc>
          <w:tcPr>
            <w:tcW w:w="1282" w:type="dxa"/>
            <w:tcBorders>
              <w:right w:val="nil"/>
            </w:tcBorders>
          </w:tcPr>
          <w:p>
            <w:pPr>
              <w:pStyle w:val="TableParagraph"/>
              <w:spacing w:before="105"/>
              <w:ind w:left="117"/>
              <w:rPr>
                <w:sz w:val="22"/>
              </w:rPr>
            </w:pPr>
            <w:r>
              <w:rPr>
                <w:spacing w:val="-5"/>
                <w:sz w:val="22"/>
              </w:rPr>
              <w:t>NEL</w:t>
            </w:r>
          </w:p>
        </w:tc>
        <w:tc>
          <w:tcPr>
            <w:tcW w:w="8363" w:type="dxa"/>
            <w:tcBorders>
              <w:left w:val="nil"/>
            </w:tcBorders>
          </w:tcPr>
          <w:p>
            <w:pPr>
              <w:pStyle w:val="TableParagraph"/>
              <w:spacing w:line="288" w:lineRule="auto" w:before="105"/>
              <w:ind w:left="120" w:right="126"/>
              <w:rPr>
                <w:sz w:val="22"/>
              </w:rPr>
            </w:pPr>
            <w:r>
              <w:rPr>
                <w:i/>
                <w:sz w:val="22"/>
              </w:rPr>
              <w:t>National</w:t>
            </w:r>
            <w:r>
              <w:rPr>
                <w:i/>
                <w:spacing w:val="-3"/>
                <w:sz w:val="22"/>
              </w:rPr>
              <w:t> </w:t>
            </w:r>
            <w:r>
              <w:rPr>
                <w:i/>
                <w:sz w:val="22"/>
              </w:rPr>
              <w:t>Electricity</w:t>
            </w:r>
            <w:r>
              <w:rPr>
                <w:i/>
                <w:spacing w:val="-5"/>
                <w:sz w:val="22"/>
              </w:rPr>
              <w:t> </w:t>
            </w:r>
            <w:r>
              <w:rPr>
                <w:i/>
                <w:sz w:val="22"/>
              </w:rPr>
              <w:t>Law</w:t>
            </w:r>
            <w:r>
              <w:rPr>
                <w:i/>
                <w:spacing w:val="-4"/>
                <w:sz w:val="22"/>
              </w:rPr>
              <w:t> </w:t>
            </w:r>
            <w:r>
              <w:rPr>
                <w:sz w:val="22"/>
              </w:rPr>
              <w:t>–</w:t>
            </w:r>
            <w:r>
              <w:rPr>
                <w:spacing w:val="-3"/>
                <w:sz w:val="22"/>
              </w:rPr>
              <w:t> </w:t>
            </w:r>
            <w:r>
              <w:rPr>
                <w:sz w:val="22"/>
              </w:rPr>
              <w:t>is</w:t>
            </w:r>
            <w:r>
              <w:rPr>
                <w:spacing w:val="-2"/>
                <w:sz w:val="22"/>
              </w:rPr>
              <w:t> </w:t>
            </w:r>
            <w:r>
              <w:rPr>
                <w:sz w:val="22"/>
              </w:rPr>
              <w:t>applied</w:t>
            </w:r>
            <w:r>
              <w:rPr>
                <w:spacing w:val="-3"/>
                <w:sz w:val="22"/>
              </w:rPr>
              <w:t> </w:t>
            </w:r>
            <w:r>
              <w:rPr>
                <w:sz w:val="22"/>
              </w:rPr>
              <w:t>as</w:t>
            </w:r>
            <w:r>
              <w:rPr>
                <w:spacing w:val="-3"/>
                <w:sz w:val="22"/>
              </w:rPr>
              <w:t> </w:t>
            </w:r>
            <w:r>
              <w:rPr>
                <w:sz w:val="22"/>
              </w:rPr>
              <w:t>law</w:t>
            </w:r>
            <w:r>
              <w:rPr>
                <w:spacing w:val="-6"/>
                <w:sz w:val="22"/>
              </w:rPr>
              <w:t> </w:t>
            </w:r>
            <w:r>
              <w:rPr>
                <w:sz w:val="22"/>
              </w:rPr>
              <w:t>in</w:t>
            </w:r>
            <w:r>
              <w:rPr>
                <w:spacing w:val="-3"/>
                <w:sz w:val="22"/>
              </w:rPr>
              <w:t> </w:t>
            </w:r>
            <w:r>
              <w:rPr>
                <w:sz w:val="22"/>
              </w:rPr>
              <w:t>each</w:t>
            </w:r>
            <w:r>
              <w:rPr>
                <w:spacing w:val="-3"/>
                <w:sz w:val="22"/>
              </w:rPr>
              <w:t> </w:t>
            </w:r>
            <w:r>
              <w:rPr>
                <w:sz w:val="22"/>
              </w:rPr>
              <w:t>participating</w:t>
            </w:r>
            <w:r>
              <w:rPr>
                <w:spacing w:val="-3"/>
                <w:sz w:val="22"/>
              </w:rPr>
              <w:t> </w:t>
            </w:r>
            <w:r>
              <w:rPr>
                <w:sz w:val="22"/>
              </w:rPr>
              <w:t>jurisdiction</w:t>
            </w:r>
            <w:r>
              <w:rPr>
                <w:spacing w:val="-3"/>
                <w:sz w:val="22"/>
              </w:rPr>
              <w:t> </w:t>
            </w:r>
            <w:r>
              <w:rPr>
                <w:sz w:val="22"/>
              </w:rPr>
              <w:t>of</w:t>
            </w:r>
            <w:r>
              <w:rPr>
                <w:spacing w:val="-1"/>
                <w:sz w:val="22"/>
              </w:rPr>
              <w:t> </w:t>
            </w:r>
            <w:r>
              <w:rPr>
                <w:sz w:val="22"/>
              </w:rPr>
              <w:t>the NEM by application statutes.</w:t>
            </w:r>
          </w:p>
        </w:tc>
      </w:tr>
      <w:tr>
        <w:trPr>
          <w:trHeight w:val="1425" w:hRule="atLeast"/>
        </w:trPr>
        <w:tc>
          <w:tcPr>
            <w:tcW w:w="1282" w:type="dxa"/>
            <w:tcBorders>
              <w:right w:val="nil"/>
            </w:tcBorders>
          </w:tcPr>
          <w:p>
            <w:pPr>
              <w:pStyle w:val="TableParagraph"/>
              <w:spacing w:before="105"/>
              <w:ind w:left="117"/>
              <w:rPr>
                <w:sz w:val="22"/>
              </w:rPr>
            </w:pPr>
            <w:r>
              <w:rPr>
                <w:spacing w:val="-5"/>
                <w:sz w:val="22"/>
              </w:rPr>
              <w:t>NEM</w:t>
            </w:r>
          </w:p>
        </w:tc>
        <w:tc>
          <w:tcPr>
            <w:tcW w:w="8363" w:type="dxa"/>
            <w:tcBorders>
              <w:left w:val="nil"/>
            </w:tcBorders>
          </w:tcPr>
          <w:p>
            <w:pPr>
              <w:pStyle w:val="TableParagraph"/>
              <w:spacing w:line="288" w:lineRule="auto" w:before="105"/>
              <w:ind w:left="120" w:right="126"/>
              <w:rPr>
                <w:sz w:val="22"/>
              </w:rPr>
            </w:pPr>
            <w:r>
              <w:rPr>
                <w:sz w:val="22"/>
              </w:rPr>
              <w:t>National</w:t>
            </w:r>
            <w:r>
              <w:rPr>
                <w:spacing w:val="-4"/>
                <w:sz w:val="22"/>
              </w:rPr>
              <w:t> </w:t>
            </w:r>
            <w:r>
              <w:rPr>
                <w:sz w:val="22"/>
              </w:rPr>
              <w:t>Electricity</w:t>
            </w:r>
            <w:r>
              <w:rPr>
                <w:spacing w:val="-6"/>
                <w:sz w:val="22"/>
              </w:rPr>
              <w:t> </w:t>
            </w:r>
            <w:r>
              <w:rPr>
                <w:sz w:val="22"/>
              </w:rPr>
              <w:t>Market</w:t>
            </w:r>
            <w:r>
              <w:rPr>
                <w:spacing w:val="-2"/>
                <w:sz w:val="22"/>
              </w:rPr>
              <w:t> </w:t>
            </w:r>
            <w:r>
              <w:rPr>
                <w:sz w:val="22"/>
              </w:rPr>
              <w:t>–</w:t>
            </w:r>
            <w:r>
              <w:rPr>
                <w:spacing w:val="-6"/>
                <w:sz w:val="22"/>
              </w:rPr>
              <w:t> </w:t>
            </w:r>
            <w:r>
              <w:rPr>
                <w:sz w:val="22"/>
              </w:rPr>
              <w:t>a</w:t>
            </w:r>
            <w:r>
              <w:rPr>
                <w:spacing w:val="-4"/>
                <w:sz w:val="22"/>
              </w:rPr>
              <w:t> </w:t>
            </w:r>
            <w:r>
              <w:rPr>
                <w:sz w:val="22"/>
              </w:rPr>
              <w:t>wholesale</w:t>
            </w:r>
            <w:r>
              <w:rPr>
                <w:spacing w:val="-4"/>
                <w:sz w:val="22"/>
              </w:rPr>
              <w:t> </w:t>
            </w:r>
            <w:r>
              <w:rPr>
                <w:sz w:val="22"/>
              </w:rPr>
              <w:t>market</w:t>
            </w:r>
            <w:r>
              <w:rPr>
                <w:spacing w:val="-5"/>
                <w:sz w:val="22"/>
              </w:rPr>
              <w:t> </w:t>
            </w:r>
            <w:r>
              <w:rPr>
                <w:sz w:val="22"/>
              </w:rPr>
              <w:t>through</w:t>
            </w:r>
            <w:r>
              <w:rPr>
                <w:spacing w:val="-4"/>
                <w:sz w:val="22"/>
              </w:rPr>
              <w:t> </w:t>
            </w:r>
            <w:r>
              <w:rPr>
                <w:sz w:val="22"/>
              </w:rPr>
              <w:t>which</w:t>
            </w:r>
            <w:r>
              <w:rPr>
                <w:spacing w:val="-4"/>
                <w:sz w:val="22"/>
              </w:rPr>
              <w:t> </w:t>
            </w:r>
            <w:r>
              <w:rPr>
                <w:sz w:val="22"/>
              </w:rPr>
              <w:t>generators</w:t>
            </w:r>
            <w:r>
              <w:rPr>
                <w:spacing w:val="-6"/>
                <w:sz w:val="22"/>
              </w:rPr>
              <w:t> </w:t>
            </w:r>
            <w:r>
              <w:rPr>
                <w:sz w:val="22"/>
              </w:rPr>
              <w:t>sell electricity in eastern and southern Australia. The main customers are energy retailers, which bundle electricity with network services for sale to residential, commercial and industrial energy users.</w:t>
            </w:r>
          </w:p>
        </w:tc>
      </w:tr>
      <w:tr>
        <w:trPr>
          <w:trHeight w:val="818" w:hRule="atLeast"/>
        </w:trPr>
        <w:tc>
          <w:tcPr>
            <w:tcW w:w="1282" w:type="dxa"/>
            <w:tcBorders>
              <w:right w:val="nil"/>
            </w:tcBorders>
          </w:tcPr>
          <w:p>
            <w:pPr>
              <w:pStyle w:val="TableParagraph"/>
              <w:spacing w:before="106"/>
              <w:ind w:left="117"/>
              <w:rPr>
                <w:sz w:val="22"/>
              </w:rPr>
            </w:pPr>
            <w:r>
              <w:rPr>
                <w:spacing w:val="-5"/>
                <w:sz w:val="22"/>
              </w:rPr>
              <w:t>NER</w:t>
            </w:r>
          </w:p>
        </w:tc>
        <w:tc>
          <w:tcPr>
            <w:tcW w:w="8363" w:type="dxa"/>
            <w:tcBorders>
              <w:left w:val="nil"/>
            </w:tcBorders>
          </w:tcPr>
          <w:p>
            <w:pPr>
              <w:pStyle w:val="TableParagraph"/>
              <w:spacing w:line="288" w:lineRule="auto" w:before="106"/>
              <w:ind w:left="120" w:right="126"/>
              <w:rPr>
                <w:i/>
                <w:sz w:val="22"/>
              </w:rPr>
            </w:pPr>
            <w:r>
              <w:rPr>
                <w:i/>
                <w:sz w:val="22"/>
              </w:rPr>
              <w:t>National</w:t>
            </w:r>
            <w:r>
              <w:rPr>
                <w:i/>
                <w:spacing w:val="-3"/>
                <w:sz w:val="22"/>
              </w:rPr>
              <w:t> </w:t>
            </w:r>
            <w:r>
              <w:rPr>
                <w:i/>
                <w:sz w:val="22"/>
              </w:rPr>
              <w:t>Electricity</w:t>
            </w:r>
            <w:r>
              <w:rPr>
                <w:i/>
                <w:spacing w:val="-5"/>
                <w:sz w:val="22"/>
              </w:rPr>
              <w:t> </w:t>
            </w:r>
            <w:r>
              <w:rPr>
                <w:i/>
                <w:sz w:val="22"/>
              </w:rPr>
              <w:t>Rules</w:t>
            </w:r>
            <w:r>
              <w:rPr>
                <w:i/>
                <w:spacing w:val="-1"/>
                <w:sz w:val="22"/>
              </w:rPr>
              <w:t> </w:t>
            </w:r>
            <w:r>
              <w:rPr>
                <w:sz w:val="22"/>
              </w:rPr>
              <w:t>–</w:t>
            </w:r>
            <w:r>
              <w:rPr>
                <w:spacing w:val="-5"/>
                <w:sz w:val="22"/>
              </w:rPr>
              <w:t> </w:t>
            </w:r>
            <w:r>
              <w:rPr>
                <w:sz w:val="22"/>
              </w:rPr>
              <w:t>govern</w:t>
            </w:r>
            <w:r>
              <w:rPr>
                <w:spacing w:val="-5"/>
                <w:sz w:val="22"/>
              </w:rPr>
              <w:t> </w:t>
            </w:r>
            <w:r>
              <w:rPr>
                <w:sz w:val="22"/>
              </w:rPr>
              <w:t>the</w:t>
            </w:r>
            <w:r>
              <w:rPr>
                <w:spacing w:val="-3"/>
                <w:sz w:val="22"/>
              </w:rPr>
              <w:t> </w:t>
            </w:r>
            <w:r>
              <w:rPr>
                <w:sz w:val="22"/>
              </w:rPr>
              <w:t>operation</w:t>
            </w:r>
            <w:r>
              <w:rPr>
                <w:spacing w:val="-5"/>
                <w:sz w:val="22"/>
              </w:rPr>
              <w:t> </w:t>
            </w:r>
            <w:r>
              <w:rPr>
                <w:sz w:val="22"/>
              </w:rPr>
              <w:t>of</w:t>
            </w:r>
            <w:r>
              <w:rPr>
                <w:spacing w:val="-4"/>
                <w:sz w:val="22"/>
              </w:rPr>
              <w:t> </w:t>
            </w:r>
            <w:r>
              <w:rPr>
                <w:sz w:val="22"/>
              </w:rPr>
              <w:t>the</w:t>
            </w:r>
            <w:r>
              <w:rPr>
                <w:spacing w:val="-3"/>
                <w:sz w:val="22"/>
              </w:rPr>
              <w:t> </w:t>
            </w:r>
            <w:r>
              <w:rPr>
                <w:sz w:val="22"/>
              </w:rPr>
              <w:t>National</w:t>
            </w:r>
            <w:r>
              <w:rPr>
                <w:spacing w:val="-3"/>
                <w:sz w:val="22"/>
              </w:rPr>
              <w:t> </w:t>
            </w:r>
            <w:r>
              <w:rPr>
                <w:sz w:val="22"/>
              </w:rPr>
              <w:t>Electricity</w:t>
            </w:r>
            <w:r>
              <w:rPr>
                <w:spacing w:val="-7"/>
                <w:sz w:val="22"/>
              </w:rPr>
              <w:t> </w:t>
            </w:r>
            <w:r>
              <w:rPr>
                <w:sz w:val="22"/>
              </w:rPr>
              <w:t>Market. The</w:t>
            </w:r>
            <w:r>
              <w:rPr>
                <w:spacing w:val="-6"/>
                <w:sz w:val="22"/>
              </w:rPr>
              <w:t> </w:t>
            </w:r>
            <w:r>
              <w:rPr>
                <w:sz w:val="22"/>
              </w:rPr>
              <w:t>Rules</w:t>
            </w:r>
            <w:r>
              <w:rPr>
                <w:spacing w:val="-4"/>
                <w:sz w:val="22"/>
              </w:rPr>
              <w:t> </w:t>
            </w:r>
            <w:r>
              <w:rPr>
                <w:sz w:val="22"/>
              </w:rPr>
              <w:t>have</w:t>
            </w:r>
            <w:r>
              <w:rPr>
                <w:spacing w:val="-4"/>
                <w:sz w:val="22"/>
              </w:rPr>
              <w:t> </w:t>
            </w:r>
            <w:r>
              <w:rPr>
                <w:sz w:val="22"/>
              </w:rPr>
              <w:t>the</w:t>
            </w:r>
            <w:r>
              <w:rPr>
                <w:spacing w:val="-8"/>
                <w:sz w:val="22"/>
              </w:rPr>
              <w:t> </w:t>
            </w:r>
            <w:r>
              <w:rPr>
                <w:sz w:val="22"/>
              </w:rPr>
              <w:t>force</w:t>
            </w:r>
            <w:r>
              <w:rPr>
                <w:spacing w:val="-4"/>
                <w:sz w:val="22"/>
              </w:rPr>
              <w:t> </w:t>
            </w:r>
            <w:r>
              <w:rPr>
                <w:sz w:val="22"/>
              </w:rPr>
              <w:t>of</w:t>
            </w:r>
            <w:r>
              <w:rPr>
                <w:spacing w:val="-2"/>
                <w:sz w:val="22"/>
              </w:rPr>
              <w:t> </w:t>
            </w:r>
            <w:r>
              <w:rPr>
                <w:sz w:val="22"/>
              </w:rPr>
              <w:t>law,</w:t>
            </w:r>
            <w:r>
              <w:rPr>
                <w:spacing w:val="-1"/>
                <w:sz w:val="22"/>
              </w:rPr>
              <w:t> </w:t>
            </w:r>
            <w:r>
              <w:rPr>
                <w:sz w:val="22"/>
              </w:rPr>
              <w:t>and</w:t>
            </w:r>
            <w:r>
              <w:rPr>
                <w:spacing w:val="-4"/>
                <w:sz w:val="22"/>
              </w:rPr>
              <w:t> </w:t>
            </w:r>
            <w:r>
              <w:rPr>
                <w:sz w:val="22"/>
              </w:rPr>
              <w:t>are</w:t>
            </w:r>
            <w:r>
              <w:rPr>
                <w:spacing w:val="-6"/>
                <w:sz w:val="22"/>
              </w:rPr>
              <w:t> </w:t>
            </w:r>
            <w:r>
              <w:rPr>
                <w:sz w:val="22"/>
              </w:rPr>
              <w:t>made</w:t>
            </w:r>
            <w:r>
              <w:rPr>
                <w:spacing w:val="-5"/>
                <w:sz w:val="22"/>
              </w:rPr>
              <w:t> </w:t>
            </w:r>
            <w:r>
              <w:rPr>
                <w:sz w:val="22"/>
              </w:rPr>
              <w:t>under</w:t>
            </w:r>
            <w:r>
              <w:rPr>
                <w:spacing w:val="-5"/>
                <w:sz w:val="22"/>
              </w:rPr>
              <w:t> </w:t>
            </w:r>
            <w:r>
              <w:rPr>
                <w:sz w:val="22"/>
              </w:rPr>
              <w:t>the</w:t>
            </w:r>
            <w:r>
              <w:rPr>
                <w:spacing w:val="-1"/>
                <w:sz w:val="22"/>
              </w:rPr>
              <w:t> </w:t>
            </w:r>
            <w:r>
              <w:rPr>
                <w:i/>
                <w:sz w:val="22"/>
              </w:rPr>
              <w:t>National</w:t>
            </w:r>
            <w:r>
              <w:rPr>
                <w:i/>
                <w:spacing w:val="-4"/>
                <w:sz w:val="22"/>
              </w:rPr>
              <w:t> </w:t>
            </w:r>
            <w:r>
              <w:rPr>
                <w:i/>
                <w:sz w:val="22"/>
              </w:rPr>
              <w:t>Electricity</w:t>
            </w:r>
            <w:r>
              <w:rPr>
                <w:i/>
                <w:spacing w:val="-2"/>
                <w:sz w:val="22"/>
              </w:rPr>
              <w:t> </w:t>
            </w:r>
            <w:r>
              <w:rPr>
                <w:i/>
                <w:spacing w:val="-4"/>
                <w:sz w:val="22"/>
              </w:rPr>
              <w:t>Law.</w:t>
            </w:r>
          </w:p>
        </w:tc>
      </w:tr>
      <w:tr>
        <w:trPr>
          <w:trHeight w:val="1120" w:hRule="atLeast"/>
        </w:trPr>
        <w:tc>
          <w:tcPr>
            <w:tcW w:w="1282" w:type="dxa"/>
            <w:tcBorders>
              <w:right w:val="nil"/>
            </w:tcBorders>
          </w:tcPr>
          <w:p>
            <w:pPr>
              <w:pStyle w:val="TableParagraph"/>
              <w:spacing w:before="105"/>
              <w:ind w:left="117"/>
              <w:rPr>
                <w:sz w:val="22"/>
              </w:rPr>
            </w:pPr>
            <w:r>
              <w:rPr>
                <w:spacing w:val="-4"/>
                <w:sz w:val="22"/>
              </w:rPr>
              <w:t>OCEI</w:t>
            </w:r>
          </w:p>
        </w:tc>
        <w:tc>
          <w:tcPr>
            <w:tcW w:w="8363" w:type="dxa"/>
            <w:tcBorders>
              <w:left w:val="nil"/>
            </w:tcBorders>
          </w:tcPr>
          <w:p>
            <w:pPr>
              <w:pStyle w:val="TableParagraph"/>
              <w:spacing w:line="288" w:lineRule="auto" w:before="105"/>
              <w:ind w:left="120" w:right="126"/>
              <w:rPr>
                <w:sz w:val="22"/>
              </w:rPr>
            </w:pPr>
            <w:r>
              <w:rPr>
                <w:sz w:val="22"/>
              </w:rPr>
              <w:t>Office</w:t>
            </w:r>
            <w:r>
              <w:rPr>
                <w:spacing w:val="-5"/>
                <w:sz w:val="22"/>
              </w:rPr>
              <w:t> </w:t>
            </w:r>
            <w:r>
              <w:rPr>
                <w:sz w:val="22"/>
              </w:rPr>
              <w:t>the</w:t>
            </w:r>
            <w:r>
              <w:rPr>
                <w:spacing w:val="-4"/>
                <w:sz w:val="22"/>
              </w:rPr>
              <w:t> </w:t>
            </w:r>
            <w:r>
              <w:rPr>
                <w:sz w:val="22"/>
              </w:rPr>
              <w:t>Chief</w:t>
            </w:r>
            <w:r>
              <w:rPr>
                <w:spacing w:val="-2"/>
                <w:sz w:val="22"/>
              </w:rPr>
              <w:t> </w:t>
            </w:r>
            <w:r>
              <w:rPr>
                <w:sz w:val="22"/>
              </w:rPr>
              <w:t>Electrical</w:t>
            </w:r>
            <w:r>
              <w:rPr>
                <w:spacing w:val="-4"/>
                <w:sz w:val="22"/>
              </w:rPr>
              <w:t> </w:t>
            </w:r>
            <w:r>
              <w:rPr>
                <w:sz w:val="22"/>
              </w:rPr>
              <w:t>Inspector</w:t>
            </w:r>
            <w:r>
              <w:rPr>
                <w:spacing w:val="-3"/>
                <w:sz w:val="22"/>
              </w:rPr>
              <w:t> </w:t>
            </w:r>
            <w:r>
              <w:rPr>
                <w:sz w:val="22"/>
              </w:rPr>
              <w:t>–</w:t>
            </w:r>
            <w:r>
              <w:rPr>
                <w:spacing w:val="-4"/>
                <w:sz w:val="22"/>
              </w:rPr>
              <w:t> </w:t>
            </w:r>
            <w:r>
              <w:rPr>
                <w:sz w:val="22"/>
              </w:rPr>
              <w:t>was</w:t>
            </w:r>
            <w:r>
              <w:rPr>
                <w:spacing w:val="-4"/>
                <w:sz w:val="22"/>
              </w:rPr>
              <w:t> </w:t>
            </w:r>
            <w:r>
              <w:rPr>
                <w:sz w:val="22"/>
              </w:rPr>
              <w:t>an</w:t>
            </w:r>
            <w:r>
              <w:rPr>
                <w:spacing w:val="-4"/>
                <w:sz w:val="22"/>
              </w:rPr>
              <w:t> </w:t>
            </w:r>
            <w:r>
              <w:rPr>
                <w:sz w:val="22"/>
              </w:rPr>
              <w:t>independent</w:t>
            </w:r>
            <w:r>
              <w:rPr>
                <w:spacing w:val="-4"/>
                <w:sz w:val="22"/>
              </w:rPr>
              <w:t> </w:t>
            </w:r>
            <w:r>
              <w:rPr>
                <w:sz w:val="22"/>
              </w:rPr>
              <w:t>regulator</w:t>
            </w:r>
            <w:r>
              <w:rPr>
                <w:spacing w:val="-6"/>
                <w:sz w:val="22"/>
              </w:rPr>
              <w:t> </w:t>
            </w:r>
            <w:r>
              <w:rPr>
                <w:sz w:val="22"/>
              </w:rPr>
              <w:t>for</w:t>
            </w:r>
            <w:r>
              <w:rPr>
                <w:spacing w:val="-3"/>
                <w:sz w:val="22"/>
              </w:rPr>
              <w:t> </w:t>
            </w:r>
            <w:r>
              <w:rPr>
                <w:sz w:val="22"/>
              </w:rPr>
              <w:t>electricity but was abolished in 2005 and replaced by ESV who now works as independent regulator for both electricity and gas.</w:t>
            </w:r>
          </w:p>
        </w:tc>
      </w:tr>
      <w:tr>
        <w:trPr>
          <w:trHeight w:val="1120" w:hRule="atLeast"/>
        </w:trPr>
        <w:tc>
          <w:tcPr>
            <w:tcW w:w="1282" w:type="dxa"/>
            <w:tcBorders>
              <w:right w:val="nil"/>
            </w:tcBorders>
          </w:tcPr>
          <w:p>
            <w:pPr>
              <w:pStyle w:val="TableParagraph"/>
              <w:spacing w:before="105"/>
              <w:ind w:left="117"/>
              <w:rPr>
                <w:sz w:val="22"/>
              </w:rPr>
            </w:pPr>
            <w:r>
              <w:rPr>
                <w:spacing w:val="-5"/>
                <w:sz w:val="22"/>
              </w:rPr>
              <w:t>OGS</w:t>
            </w:r>
          </w:p>
        </w:tc>
        <w:tc>
          <w:tcPr>
            <w:tcW w:w="8363" w:type="dxa"/>
            <w:tcBorders>
              <w:left w:val="nil"/>
            </w:tcBorders>
          </w:tcPr>
          <w:p>
            <w:pPr>
              <w:pStyle w:val="TableParagraph"/>
              <w:spacing w:line="288" w:lineRule="auto" w:before="105"/>
              <w:ind w:left="120" w:right="126"/>
              <w:rPr>
                <w:sz w:val="22"/>
              </w:rPr>
            </w:pPr>
            <w:r>
              <w:rPr>
                <w:sz w:val="22"/>
              </w:rPr>
              <w:t>Office</w:t>
            </w:r>
            <w:r>
              <w:rPr>
                <w:spacing w:val="-3"/>
                <w:sz w:val="22"/>
              </w:rPr>
              <w:t> </w:t>
            </w:r>
            <w:r>
              <w:rPr>
                <w:sz w:val="22"/>
              </w:rPr>
              <w:t>of</w:t>
            </w:r>
            <w:r>
              <w:rPr>
                <w:spacing w:val="-4"/>
                <w:sz w:val="22"/>
              </w:rPr>
              <w:t> </w:t>
            </w:r>
            <w:r>
              <w:rPr>
                <w:sz w:val="22"/>
              </w:rPr>
              <w:t>Gas</w:t>
            </w:r>
            <w:r>
              <w:rPr>
                <w:spacing w:val="-4"/>
                <w:sz w:val="22"/>
              </w:rPr>
              <w:t> </w:t>
            </w:r>
            <w:r>
              <w:rPr>
                <w:sz w:val="22"/>
              </w:rPr>
              <w:t>Safety</w:t>
            </w:r>
            <w:r>
              <w:rPr>
                <w:spacing w:val="-2"/>
                <w:sz w:val="22"/>
              </w:rPr>
              <w:t> </w:t>
            </w:r>
            <w:r>
              <w:rPr>
                <w:sz w:val="22"/>
              </w:rPr>
              <w:t>–</w:t>
            </w:r>
            <w:r>
              <w:rPr>
                <w:spacing w:val="-3"/>
                <w:sz w:val="22"/>
              </w:rPr>
              <w:t> </w:t>
            </w:r>
            <w:r>
              <w:rPr>
                <w:sz w:val="22"/>
              </w:rPr>
              <w:t>was</w:t>
            </w:r>
            <w:r>
              <w:rPr>
                <w:spacing w:val="-3"/>
                <w:sz w:val="22"/>
              </w:rPr>
              <w:t> </w:t>
            </w:r>
            <w:r>
              <w:rPr>
                <w:sz w:val="22"/>
              </w:rPr>
              <w:t>an</w:t>
            </w:r>
            <w:r>
              <w:rPr>
                <w:spacing w:val="-3"/>
                <w:sz w:val="22"/>
              </w:rPr>
              <w:t> </w:t>
            </w:r>
            <w:r>
              <w:rPr>
                <w:sz w:val="22"/>
              </w:rPr>
              <w:t>independent</w:t>
            </w:r>
            <w:r>
              <w:rPr>
                <w:spacing w:val="-4"/>
                <w:sz w:val="22"/>
              </w:rPr>
              <w:t> </w:t>
            </w:r>
            <w:r>
              <w:rPr>
                <w:sz w:val="22"/>
              </w:rPr>
              <w:t>regulator</w:t>
            </w:r>
            <w:r>
              <w:rPr>
                <w:spacing w:val="-5"/>
                <w:sz w:val="22"/>
              </w:rPr>
              <w:t> </w:t>
            </w:r>
            <w:r>
              <w:rPr>
                <w:sz w:val="22"/>
              </w:rPr>
              <w:t>for</w:t>
            </w:r>
            <w:r>
              <w:rPr>
                <w:spacing w:val="-4"/>
                <w:sz w:val="22"/>
              </w:rPr>
              <w:t> </w:t>
            </w:r>
            <w:r>
              <w:rPr>
                <w:sz w:val="22"/>
              </w:rPr>
              <w:t>gas</w:t>
            </w:r>
            <w:r>
              <w:rPr>
                <w:spacing w:val="-4"/>
                <w:sz w:val="22"/>
              </w:rPr>
              <w:t> </w:t>
            </w:r>
            <w:r>
              <w:rPr>
                <w:sz w:val="22"/>
              </w:rPr>
              <w:t>but</w:t>
            </w:r>
            <w:r>
              <w:rPr>
                <w:spacing w:val="-4"/>
                <w:sz w:val="22"/>
              </w:rPr>
              <w:t> </w:t>
            </w:r>
            <w:r>
              <w:rPr>
                <w:sz w:val="22"/>
              </w:rPr>
              <w:t>was</w:t>
            </w:r>
            <w:r>
              <w:rPr>
                <w:spacing w:val="-1"/>
                <w:sz w:val="22"/>
              </w:rPr>
              <w:t> </w:t>
            </w:r>
            <w:r>
              <w:rPr>
                <w:sz w:val="22"/>
              </w:rPr>
              <w:t>abolished</w:t>
            </w:r>
            <w:r>
              <w:rPr>
                <w:spacing w:val="-2"/>
                <w:sz w:val="22"/>
              </w:rPr>
              <w:t> </w:t>
            </w:r>
            <w:r>
              <w:rPr>
                <w:sz w:val="22"/>
              </w:rPr>
              <w:t>in 2005 and replaced by ESV who now works as independent regulator for both electricity and gas.</w:t>
            </w:r>
          </w:p>
        </w:tc>
      </w:tr>
      <w:tr>
        <w:trPr>
          <w:trHeight w:val="2080" w:hRule="atLeast"/>
        </w:trPr>
        <w:tc>
          <w:tcPr>
            <w:tcW w:w="1282" w:type="dxa"/>
            <w:tcBorders>
              <w:right w:val="nil"/>
            </w:tcBorders>
          </w:tcPr>
          <w:p>
            <w:pPr>
              <w:pStyle w:val="TableParagraph"/>
              <w:spacing w:before="105"/>
              <w:ind w:left="117"/>
              <w:rPr>
                <w:sz w:val="22"/>
              </w:rPr>
            </w:pPr>
            <w:r>
              <w:rPr>
                <w:spacing w:val="-4"/>
                <w:sz w:val="22"/>
              </w:rPr>
              <w:t>OH&amp;S</w:t>
            </w:r>
          </w:p>
        </w:tc>
        <w:tc>
          <w:tcPr>
            <w:tcW w:w="8363" w:type="dxa"/>
            <w:tcBorders>
              <w:left w:val="nil"/>
            </w:tcBorders>
          </w:tcPr>
          <w:p>
            <w:pPr>
              <w:pStyle w:val="TableParagraph"/>
              <w:spacing w:line="288" w:lineRule="auto" w:before="105"/>
              <w:ind w:left="120" w:right="126"/>
              <w:rPr>
                <w:sz w:val="22"/>
              </w:rPr>
            </w:pPr>
            <w:r>
              <w:rPr>
                <w:i/>
                <w:sz w:val="22"/>
              </w:rPr>
              <w:t>Occupational</w:t>
            </w:r>
            <w:r>
              <w:rPr>
                <w:i/>
                <w:spacing w:val="-5"/>
                <w:sz w:val="22"/>
              </w:rPr>
              <w:t> </w:t>
            </w:r>
            <w:r>
              <w:rPr>
                <w:i/>
                <w:sz w:val="22"/>
              </w:rPr>
              <w:t>Health</w:t>
            </w:r>
            <w:r>
              <w:rPr>
                <w:i/>
                <w:spacing w:val="-4"/>
                <w:sz w:val="22"/>
              </w:rPr>
              <w:t> </w:t>
            </w:r>
            <w:r>
              <w:rPr>
                <w:i/>
                <w:sz w:val="22"/>
              </w:rPr>
              <w:t>and</w:t>
            </w:r>
            <w:r>
              <w:rPr>
                <w:i/>
                <w:spacing w:val="-5"/>
                <w:sz w:val="22"/>
              </w:rPr>
              <w:t> </w:t>
            </w:r>
            <w:r>
              <w:rPr>
                <w:i/>
                <w:sz w:val="22"/>
              </w:rPr>
              <w:t>Safety</w:t>
            </w:r>
            <w:r>
              <w:rPr>
                <w:i/>
                <w:spacing w:val="-2"/>
                <w:sz w:val="22"/>
              </w:rPr>
              <w:t> </w:t>
            </w:r>
            <w:r>
              <w:rPr>
                <w:i/>
                <w:sz w:val="22"/>
              </w:rPr>
              <w:t>Act</w:t>
            </w:r>
            <w:r>
              <w:rPr>
                <w:i/>
                <w:spacing w:val="-2"/>
                <w:sz w:val="22"/>
              </w:rPr>
              <w:t> </w:t>
            </w:r>
            <w:r>
              <w:rPr>
                <w:i/>
                <w:sz w:val="22"/>
              </w:rPr>
              <w:t>2004</w:t>
            </w:r>
            <w:r>
              <w:rPr>
                <w:i/>
                <w:spacing w:val="-5"/>
                <w:sz w:val="22"/>
              </w:rPr>
              <w:t> </w:t>
            </w:r>
            <w:r>
              <w:rPr>
                <w:sz w:val="22"/>
              </w:rPr>
              <w:t>–</w:t>
            </w:r>
            <w:r>
              <w:rPr>
                <w:spacing w:val="-3"/>
                <w:sz w:val="22"/>
              </w:rPr>
              <w:t> </w:t>
            </w:r>
            <w:r>
              <w:rPr>
                <w:sz w:val="22"/>
              </w:rPr>
              <w:t>legislative</w:t>
            </w:r>
            <w:r>
              <w:rPr>
                <w:spacing w:val="-4"/>
                <w:sz w:val="22"/>
              </w:rPr>
              <w:t> </w:t>
            </w:r>
            <w:r>
              <w:rPr>
                <w:sz w:val="22"/>
              </w:rPr>
              <w:t>and</w:t>
            </w:r>
            <w:r>
              <w:rPr>
                <w:spacing w:val="-4"/>
                <w:sz w:val="22"/>
              </w:rPr>
              <w:t> </w:t>
            </w:r>
            <w:r>
              <w:rPr>
                <w:sz w:val="22"/>
              </w:rPr>
              <w:t>administrative</w:t>
            </w:r>
            <w:r>
              <w:rPr>
                <w:spacing w:val="-4"/>
                <w:sz w:val="22"/>
              </w:rPr>
              <w:t> </w:t>
            </w:r>
            <w:r>
              <w:rPr>
                <w:sz w:val="22"/>
              </w:rPr>
              <w:t>measures to improve occupational health and safety in Victoria.</w:t>
            </w:r>
          </w:p>
          <w:p>
            <w:pPr>
              <w:pStyle w:val="TableParagraph"/>
              <w:spacing w:line="288" w:lineRule="auto" w:before="49"/>
              <w:ind w:left="120" w:right="126"/>
              <w:rPr>
                <w:sz w:val="22"/>
              </w:rPr>
            </w:pPr>
            <w:r>
              <w:rPr>
                <w:sz w:val="22"/>
              </w:rPr>
              <w:t>Regulations</w:t>
            </w:r>
            <w:r>
              <w:rPr>
                <w:spacing w:val="-3"/>
                <w:sz w:val="22"/>
              </w:rPr>
              <w:t> </w:t>
            </w:r>
            <w:r>
              <w:rPr>
                <w:sz w:val="22"/>
              </w:rPr>
              <w:t>2007</w:t>
            </w:r>
            <w:r>
              <w:rPr>
                <w:spacing w:val="-5"/>
                <w:sz w:val="22"/>
              </w:rPr>
              <w:t> </w:t>
            </w:r>
            <w:r>
              <w:rPr>
                <w:sz w:val="22"/>
              </w:rPr>
              <w:t>–</w:t>
            </w:r>
            <w:r>
              <w:rPr>
                <w:spacing w:val="-5"/>
                <w:sz w:val="22"/>
              </w:rPr>
              <w:t> </w:t>
            </w:r>
            <w:r>
              <w:rPr>
                <w:sz w:val="22"/>
              </w:rPr>
              <w:t>specify</w:t>
            </w:r>
            <w:r>
              <w:rPr>
                <w:spacing w:val="-5"/>
                <w:sz w:val="22"/>
              </w:rPr>
              <w:t> </w:t>
            </w:r>
            <w:r>
              <w:rPr>
                <w:sz w:val="22"/>
              </w:rPr>
              <w:t>the</w:t>
            </w:r>
            <w:r>
              <w:rPr>
                <w:spacing w:val="-5"/>
                <w:sz w:val="22"/>
              </w:rPr>
              <w:t> </w:t>
            </w:r>
            <w:r>
              <w:rPr>
                <w:sz w:val="22"/>
              </w:rPr>
              <w:t>ways</w:t>
            </w:r>
            <w:r>
              <w:rPr>
                <w:spacing w:val="-2"/>
                <w:sz w:val="22"/>
              </w:rPr>
              <w:t> </w:t>
            </w:r>
            <w:r>
              <w:rPr>
                <w:sz w:val="22"/>
              </w:rPr>
              <w:t>duties</w:t>
            </w:r>
            <w:r>
              <w:rPr>
                <w:spacing w:val="-3"/>
                <w:sz w:val="22"/>
              </w:rPr>
              <w:t> </w:t>
            </w:r>
            <w:r>
              <w:rPr>
                <w:sz w:val="22"/>
              </w:rPr>
              <w:t>imposed</w:t>
            </w:r>
            <w:r>
              <w:rPr>
                <w:spacing w:val="-3"/>
                <w:sz w:val="22"/>
              </w:rPr>
              <w:t> </w:t>
            </w:r>
            <w:r>
              <w:rPr>
                <w:sz w:val="22"/>
              </w:rPr>
              <w:t>by</w:t>
            </w:r>
            <w:r>
              <w:rPr>
                <w:spacing w:val="-5"/>
                <w:sz w:val="22"/>
              </w:rPr>
              <w:t> </w:t>
            </w:r>
            <w:r>
              <w:rPr>
                <w:sz w:val="22"/>
              </w:rPr>
              <w:t>the</w:t>
            </w:r>
            <w:r>
              <w:rPr>
                <w:spacing w:val="-3"/>
                <w:sz w:val="22"/>
              </w:rPr>
              <w:t> </w:t>
            </w:r>
            <w:r>
              <w:rPr>
                <w:sz w:val="22"/>
              </w:rPr>
              <w:t>Act</w:t>
            </w:r>
            <w:r>
              <w:rPr>
                <w:spacing w:val="-4"/>
                <w:sz w:val="22"/>
              </w:rPr>
              <w:t> </w:t>
            </w:r>
            <w:r>
              <w:rPr>
                <w:sz w:val="22"/>
              </w:rPr>
              <w:t>must</w:t>
            </w:r>
            <w:r>
              <w:rPr>
                <w:spacing w:val="-1"/>
                <w:sz w:val="22"/>
              </w:rPr>
              <w:t> </w:t>
            </w:r>
            <w:r>
              <w:rPr>
                <w:sz w:val="22"/>
              </w:rPr>
              <w:t>be</w:t>
            </w:r>
            <w:r>
              <w:rPr>
                <w:spacing w:val="-5"/>
                <w:sz w:val="22"/>
              </w:rPr>
              <w:t> </w:t>
            </w:r>
            <w:r>
              <w:rPr>
                <w:sz w:val="22"/>
              </w:rPr>
              <w:t>performed, or prescribe procedural or administrative matters to support the Act, such as requiring licenses for specific activities, keeping records, or notifying certain </w:t>
            </w:r>
            <w:r>
              <w:rPr>
                <w:spacing w:val="-2"/>
                <w:sz w:val="22"/>
              </w:rPr>
              <w:t>matters.</w:t>
            </w:r>
          </w:p>
        </w:tc>
      </w:tr>
      <w:tr>
        <w:trPr>
          <w:trHeight w:val="815" w:hRule="atLeast"/>
        </w:trPr>
        <w:tc>
          <w:tcPr>
            <w:tcW w:w="1282" w:type="dxa"/>
            <w:tcBorders>
              <w:right w:val="nil"/>
            </w:tcBorders>
          </w:tcPr>
          <w:p>
            <w:pPr>
              <w:pStyle w:val="TableParagraph"/>
              <w:spacing w:before="105"/>
              <w:ind w:left="117"/>
              <w:rPr>
                <w:sz w:val="22"/>
              </w:rPr>
            </w:pPr>
            <w:r>
              <w:rPr>
                <w:spacing w:val="-4"/>
                <w:sz w:val="22"/>
              </w:rPr>
              <w:t>PBSP</w:t>
            </w:r>
          </w:p>
        </w:tc>
        <w:tc>
          <w:tcPr>
            <w:tcW w:w="8363" w:type="dxa"/>
            <w:tcBorders>
              <w:left w:val="nil"/>
            </w:tcBorders>
          </w:tcPr>
          <w:p>
            <w:pPr>
              <w:pStyle w:val="TableParagraph"/>
              <w:spacing w:line="288" w:lineRule="auto" w:before="105"/>
              <w:ind w:left="120" w:right="126"/>
              <w:rPr>
                <w:sz w:val="22"/>
              </w:rPr>
            </w:pPr>
            <w:r>
              <w:rPr>
                <w:sz w:val="22"/>
              </w:rPr>
              <w:t>Powerline</w:t>
            </w:r>
            <w:r>
              <w:rPr>
                <w:spacing w:val="-3"/>
                <w:sz w:val="22"/>
              </w:rPr>
              <w:t> </w:t>
            </w:r>
            <w:r>
              <w:rPr>
                <w:sz w:val="22"/>
              </w:rPr>
              <w:t>Bushfire</w:t>
            </w:r>
            <w:r>
              <w:rPr>
                <w:spacing w:val="-3"/>
                <w:sz w:val="22"/>
              </w:rPr>
              <w:t> </w:t>
            </w:r>
            <w:r>
              <w:rPr>
                <w:sz w:val="22"/>
              </w:rPr>
              <w:t>Safety</w:t>
            </w:r>
            <w:r>
              <w:rPr>
                <w:spacing w:val="-5"/>
                <w:sz w:val="22"/>
              </w:rPr>
              <w:t> </w:t>
            </w:r>
            <w:r>
              <w:rPr>
                <w:sz w:val="22"/>
              </w:rPr>
              <w:t>Program</w:t>
            </w:r>
            <w:r>
              <w:rPr>
                <w:spacing w:val="-2"/>
                <w:sz w:val="22"/>
              </w:rPr>
              <w:t> </w:t>
            </w:r>
            <w:r>
              <w:rPr>
                <w:sz w:val="22"/>
              </w:rPr>
              <w:t>–</w:t>
            </w:r>
            <w:r>
              <w:rPr>
                <w:spacing w:val="-3"/>
                <w:sz w:val="22"/>
              </w:rPr>
              <w:t> </w:t>
            </w:r>
            <w:r>
              <w:rPr>
                <w:sz w:val="22"/>
              </w:rPr>
              <w:t>once</w:t>
            </w:r>
            <w:r>
              <w:rPr>
                <w:spacing w:val="-7"/>
                <w:sz w:val="22"/>
              </w:rPr>
              <w:t> </w:t>
            </w:r>
            <w:r>
              <w:rPr>
                <w:sz w:val="22"/>
              </w:rPr>
              <w:t>the</w:t>
            </w:r>
            <w:r>
              <w:rPr>
                <w:spacing w:val="-3"/>
                <w:sz w:val="22"/>
              </w:rPr>
              <w:t> </w:t>
            </w:r>
            <w:r>
              <w:rPr>
                <w:sz w:val="22"/>
              </w:rPr>
              <w:t>Victorian</w:t>
            </w:r>
            <w:r>
              <w:rPr>
                <w:spacing w:val="-5"/>
                <w:sz w:val="22"/>
              </w:rPr>
              <w:t> </w:t>
            </w:r>
            <w:r>
              <w:rPr>
                <w:sz w:val="22"/>
              </w:rPr>
              <w:t>Government</w:t>
            </w:r>
            <w:r>
              <w:rPr>
                <w:spacing w:val="-1"/>
                <w:sz w:val="22"/>
              </w:rPr>
              <w:t> </w:t>
            </w:r>
            <w:r>
              <w:rPr>
                <w:sz w:val="22"/>
              </w:rPr>
              <w:t>accepted</w:t>
            </w:r>
            <w:r>
              <w:rPr>
                <w:spacing w:val="-5"/>
                <w:sz w:val="22"/>
              </w:rPr>
              <w:t> </w:t>
            </w:r>
            <w:r>
              <w:rPr>
                <w:sz w:val="22"/>
              </w:rPr>
              <w:t>the PBST’s recommendations the PBSP was established to implement them</w:t>
            </w:r>
          </w:p>
        </w:tc>
      </w:tr>
      <w:tr>
        <w:trPr>
          <w:trHeight w:val="1120" w:hRule="atLeast"/>
        </w:trPr>
        <w:tc>
          <w:tcPr>
            <w:tcW w:w="1282" w:type="dxa"/>
            <w:tcBorders>
              <w:right w:val="nil"/>
            </w:tcBorders>
          </w:tcPr>
          <w:p>
            <w:pPr>
              <w:pStyle w:val="TableParagraph"/>
              <w:spacing w:before="105"/>
              <w:ind w:left="117"/>
              <w:rPr>
                <w:sz w:val="22"/>
              </w:rPr>
            </w:pPr>
            <w:r>
              <w:rPr>
                <w:spacing w:val="-4"/>
                <w:sz w:val="22"/>
              </w:rPr>
              <w:t>PBST</w:t>
            </w:r>
          </w:p>
        </w:tc>
        <w:tc>
          <w:tcPr>
            <w:tcW w:w="8363" w:type="dxa"/>
            <w:tcBorders>
              <w:left w:val="nil"/>
            </w:tcBorders>
          </w:tcPr>
          <w:p>
            <w:pPr>
              <w:pStyle w:val="TableParagraph"/>
              <w:spacing w:line="288" w:lineRule="auto" w:before="105"/>
              <w:ind w:left="120" w:right="126"/>
              <w:rPr>
                <w:sz w:val="22"/>
              </w:rPr>
            </w:pPr>
            <w:r>
              <w:rPr>
                <w:sz w:val="22"/>
              </w:rPr>
              <w:t>Powerline</w:t>
            </w:r>
            <w:r>
              <w:rPr>
                <w:spacing w:val="-3"/>
                <w:sz w:val="22"/>
              </w:rPr>
              <w:t> </w:t>
            </w:r>
            <w:r>
              <w:rPr>
                <w:sz w:val="22"/>
              </w:rPr>
              <w:t>Bushfire</w:t>
            </w:r>
            <w:r>
              <w:rPr>
                <w:spacing w:val="-3"/>
                <w:sz w:val="22"/>
              </w:rPr>
              <w:t> </w:t>
            </w:r>
            <w:r>
              <w:rPr>
                <w:sz w:val="22"/>
              </w:rPr>
              <w:t>Safety</w:t>
            </w:r>
            <w:r>
              <w:rPr>
                <w:spacing w:val="-5"/>
                <w:sz w:val="22"/>
              </w:rPr>
              <w:t> </w:t>
            </w:r>
            <w:r>
              <w:rPr>
                <w:sz w:val="22"/>
              </w:rPr>
              <w:t>Taskforce</w:t>
            </w:r>
            <w:r>
              <w:rPr>
                <w:spacing w:val="-3"/>
                <w:sz w:val="22"/>
              </w:rPr>
              <w:t> </w:t>
            </w:r>
            <w:r>
              <w:rPr>
                <w:sz w:val="22"/>
              </w:rPr>
              <w:t>–</w:t>
            </w:r>
            <w:r>
              <w:rPr>
                <w:spacing w:val="-3"/>
                <w:sz w:val="22"/>
              </w:rPr>
              <w:t> </w:t>
            </w:r>
            <w:r>
              <w:rPr>
                <w:sz w:val="22"/>
              </w:rPr>
              <w:t>established</w:t>
            </w:r>
            <w:r>
              <w:rPr>
                <w:spacing w:val="-3"/>
                <w:sz w:val="22"/>
              </w:rPr>
              <w:t> </w:t>
            </w:r>
            <w:r>
              <w:rPr>
                <w:sz w:val="22"/>
              </w:rPr>
              <w:t>to</w:t>
            </w:r>
            <w:r>
              <w:rPr>
                <w:spacing w:val="-5"/>
                <w:sz w:val="22"/>
              </w:rPr>
              <w:t> </w:t>
            </w:r>
            <w:r>
              <w:rPr>
                <w:sz w:val="22"/>
              </w:rPr>
              <w:t>recommend</w:t>
            </w:r>
            <w:r>
              <w:rPr>
                <w:spacing w:val="-5"/>
                <w:sz w:val="22"/>
              </w:rPr>
              <w:t> </w:t>
            </w:r>
            <w:r>
              <w:rPr>
                <w:sz w:val="22"/>
              </w:rPr>
              <w:t>to</w:t>
            </w:r>
            <w:r>
              <w:rPr>
                <w:spacing w:val="-5"/>
                <w:sz w:val="22"/>
              </w:rPr>
              <w:t> </w:t>
            </w:r>
            <w:r>
              <w:rPr>
                <w:sz w:val="22"/>
              </w:rPr>
              <w:t>the</w:t>
            </w:r>
            <w:r>
              <w:rPr>
                <w:spacing w:val="-3"/>
                <w:sz w:val="22"/>
              </w:rPr>
              <w:t> </w:t>
            </w:r>
            <w:r>
              <w:rPr>
                <w:sz w:val="22"/>
              </w:rPr>
              <w:t>Victorian Government how to maximise the value to Victorians from the two electricity- related recommendations made in the Royal Commission report.</w:t>
            </w:r>
          </w:p>
        </w:tc>
      </w:tr>
      <w:tr>
        <w:trPr>
          <w:trHeight w:val="1425" w:hRule="atLeast"/>
        </w:trPr>
        <w:tc>
          <w:tcPr>
            <w:tcW w:w="1282" w:type="dxa"/>
            <w:tcBorders>
              <w:right w:val="nil"/>
            </w:tcBorders>
          </w:tcPr>
          <w:p>
            <w:pPr>
              <w:pStyle w:val="TableParagraph"/>
              <w:spacing w:before="106"/>
              <w:ind w:left="117"/>
              <w:rPr>
                <w:sz w:val="22"/>
              </w:rPr>
            </w:pPr>
            <w:r>
              <w:rPr>
                <w:spacing w:val="-2"/>
                <w:sz w:val="22"/>
              </w:rPr>
              <w:t>POELs</w:t>
            </w:r>
          </w:p>
        </w:tc>
        <w:tc>
          <w:tcPr>
            <w:tcW w:w="8363" w:type="dxa"/>
            <w:tcBorders>
              <w:left w:val="nil"/>
            </w:tcBorders>
          </w:tcPr>
          <w:p>
            <w:pPr>
              <w:pStyle w:val="TableParagraph"/>
              <w:spacing w:line="288" w:lineRule="auto" w:before="106"/>
              <w:ind w:left="120" w:right="126"/>
              <w:rPr>
                <w:sz w:val="22"/>
              </w:rPr>
            </w:pPr>
            <w:r>
              <w:rPr>
                <w:sz w:val="22"/>
              </w:rPr>
              <w:t>Private Overhead Electric Lines – can be a combination of privately owned poles and</w:t>
            </w:r>
            <w:r>
              <w:rPr>
                <w:spacing w:val="-2"/>
                <w:sz w:val="22"/>
              </w:rPr>
              <w:t> </w:t>
            </w:r>
            <w:r>
              <w:rPr>
                <w:sz w:val="22"/>
              </w:rPr>
              <w:t>lines, or</w:t>
            </w:r>
            <w:r>
              <w:rPr>
                <w:spacing w:val="-3"/>
                <w:sz w:val="22"/>
              </w:rPr>
              <w:t> </w:t>
            </w:r>
            <w:r>
              <w:rPr>
                <w:sz w:val="22"/>
              </w:rPr>
              <w:t>just</w:t>
            </w:r>
            <w:r>
              <w:rPr>
                <w:spacing w:val="-3"/>
                <w:sz w:val="22"/>
              </w:rPr>
              <w:t> </w:t>
            </w:r>
            <w:r>
              <w:rPr>
                <w:sz w:val="22"/>
              </w:rPr>
              <w:t>a</w:t>
            </w:r>
            <w:r>
              <w:rPr>
                <w:spacing w:val="-4"/>
                <w:sz w:val="22"/>
              </w:rPr>
              <w:t> </w:t>
            </w:r>
            <w:r>
              <w:rPr>
                <w:sz w:val="22"/>
              </w:rPr>
              <w:t>span</w:t>
            </w:r>
            <w:r>
              <w:rPr>
                <w:spacing w:val="-4"/>
                <w:sz w:val="22"/>
              </w:rPr>
              <w:t> </w:t>
            </w:r>
            <w:r>
              <w:rPr>
                <w:sz w:val="22"/>
              </w:rPr>
              <w:t>of line</w:t>
            </w:r>
            <w:r>
              <w:rPr>
                <w:spacing w:val="-2"/>
                <w:sz w:val="22"/>
              </w:rPr>
              <w:t> </w:t>
            </w:r>
            <w:r>
              <w:rPr>
                <w:sz w:val="22"/>
              </w:rPr>
              <w:t>that</w:t>
            </w:r>
            <w:r>
              <w:rPr>
                <w:spacing w:val="-3"/>
                <w:sz w:val="22"/>
              </w:rPr>
              <w:t> </w:t>
            </w:r>
            <w:r>
              <w:rPr>
                <w:sz w:val="22"/>
              </w:rPr>
              <w:t>is</w:t>
            </w:r>
            <w:r>
              <w:rPr>
                <w:spacing w:val="-1"/>
                <w:sz w:val="22"/>
              </w:rPr>
              <w:t> </w:t>
            </w:r>
            <w:r>
              <w:rPr>
                <w:sz w:val="22"/>
              </w:rPr>
              <w:t>privately</w:t>
            </w:r>
            <w:r>
              <w:rPr>
                <w:spacing w:val="-4"/>
                <w:sz w:val="22"/>
              </w:rPr>
              <w:t> </w:t>
            </w:r>
            <w:r>
              <w:rPr>
                <w:sz w:val="22"/>
              </w:rPr>
              <w:t>owned.</w:t>
            </w:r>
            <w:r>
              <w:rPr>
                <w:spacing w:val="-1"/>
                <w:sz w:val="22"/>
              </w:rPr>
              <w:t> </w:t>
            </w:r>
            <w:r>
              <w:rPr>
                <w:sz w:val="22"/>
              </w:rPr>
              <w:t>These</w:t>
            </w:r>
            <w:r>
              <w:rPr>
                <w:spacing w:val="-4"/>
                <w:sz w:val="22"/>
              </w:rPr>
              <w:t> </w:t>
            </w:r>
            <w:r>
              <w:rPr>
                <w:sz w:val="22"/>
              </w:rPr>
              <w:t>are</w:t>
            </w:r>
            <w:r>
              <w:rPr>
                <w:spacing w:val="-6"/>
                <w:sz w:val="22"/>
              </w:rPr>
              <w:t> </w:t>
            </w:r>
            <w:r>
              <w:rPr>
                <w:sz w:val="22"/>
              </w:rPr>
              <w:t>generally</w:t>
            </w:r>
            <w:r>
              <w:rPr>
                <w:spacing w:val="-4"/>
                <w:sz w:val="22"/>
              </w:rPr>
              <w:t> </w:t>
            </w:r>
            <w:r>
              <w:rPr>
                <w:sz w:val="22"/>
              </w:rPr>
              <w:t>for</w:t>
            </w:r>
            <w:r>
              <w:rPr>
                <w:spacing w:val="-3"/>
                <w:sz w:val="22"/>
              </w:rPr>
              <w:t> </w:t>
            </w:r>
            <w:r>
              <w:rPr>
                <w:sz w:val="22"/>
              </w:rPr>
              <w:t>rural properties and their various buildings, such as sheds. A Registered Electrical Contractor is the only person who can carry out any work on a POEL</w:t>
            </w:r>
          </w:p>
        </w:tc>
      </w:tr>
      <w:tr>
        <w:trPr>
          <w:trHeight w:val="1425" w:hRule="atLeast"/>
        </w:trPr>
        <w:tc>
          <w:tcPr>
            <w:tcW w:w="1282" w:type="dxa"/>
            <w:tcBorders>
              <w:right w:val="nil"/>
            </w:tcBorders>
          </w:tcPr>
          <w:p>
            <w:pPr>
              <w:pStyle w:val="TableParagraph"/>
              <w:spacing w:line="288" w:lineRule="auto" w:before="105"/>
              <w:ind w:left="117"/>
              <w:rPr>
                <w:sz w:val="22"/>
              </w:rPr>
            </w:pPr>
            <w:r>
              <w:rPr>
                <w:spacing w:val="-2"/>
                <w:sz w:val="22"/>
              </w:rPr>
              <w:t>Polyphase powerlines</w:t>
            </w:r>
          </w:p>
        </w:tc>
        <w:tc>
          <w:tcPr>
            <w:tcW w:w="8363" w:type="dxa"/>
            <w:tcBorders>
              <w:left w:val="nil"/>
            </w:tcBorders>
          </w:tcPr>
          <w:p>
            <w:pPr>
              <w:pStyle w:val="TableParagraph"/>
              <w:spacing w:line="288" w:lineRule="auto" w:before="105"/>
              <w:ind w:left="120" w:right="126"/>
              <w:rPr>
                <w:sz w:val="22"/>
              </w:rPr>
            </w:pPr>
            <w:r>
              <w:rPr>
                <w:sz w:val="22"/>
              </w:rPr>
              <w:t>Powerlines that carry small to medium amounts of power and are common in the distribution network. The majority</w:t>
            </w:r>
            <w:r>
              <w:rPr>
                <w:spacing w:val="-2"/>
                <w:sz w:val="22"/>
              </w:rPr>
              <w:t> </w:t>
            </w:r>
            <w:r>
              <w:rPr>
                <w:sz w:val="22"/>
              </w:rPr>
              <w:t>run at a high nominal voltage of 6.6 kV,</w:t>
            </w:r>
            <w:r>
              <w:rPr>
                <w:spacing w:val="-1"/>
                <w:sz w:val="22"/>
              </w:rPr>
              <w:t> </w:t>
            </w:r>
            <w:r>
              <w:rPr>
                <w:sz w:val="22"/>
              </w:rPr>
              <w:t>11 kV or 22</w:t>
            </w:r>
            <w:r>
              <w:rPr>
                <w:spacing w:val="-5"/>
                <w:sz w:val="22"/>
              </w:rPr>
              <w:t> </w:t>
            </w:r>
            <w:r>
              <w:rPr>
                <w:sz w:val="22"/>
              </w:rPr>
              <w:t>kV</w:t>
            </w:r>
            <w:r>
              <w:rPr>
                <w:spacing w:val="-3"/>
                <w:sz w:val="22"/>
              </w:rPr>
              <w:t> </w:t>
            </w:r>
            <w:r>
              <w:rPr>
                <w:sz w:val="22"/>
              </w:rPr>
              <w:t>and</w:t>
            </w:r>
            <w:r>
              <w:rPr>
                <w:spacing w:val="-5"/>
                <w:sz w:val="22"/>
              </w:rPr>
              <w:t> </w:t>
            </w:r>
            <w:r>
              <w:rPr>
                <w:sz w:val="22"/>
              </w:rPr>
              <w:t>use</w:t>
            </w:r>
            <w:r>
              <w:rPr>
                <w:spacing w:val="-5"/>
                <w:sz w:val="22"/>
              </w:rPr>
              <w:t> </w:t>
            </w:r>
            <w:r>
              <w:rPr>
                <w:sz w:val="22"/>
              </w:rPr>
              <w:t>multiple</w:t>
            </w:r>
            <w:r>
              <w:rPr>
                <w:spacing w:val="-3"/>
                <w:sz w:val="22"/>
              </w:rPr>
              <w:t> </w:t>
            </w:r>
            <w:r>
              <w:rPr>
                <w:sz w:val="22"/>
              </w:rPr>
              <w:t>wires</w:t>
            </w:r>
            <w:r>
              <w:rPr>
                <w:spacing w:val="-3"/>
                <w:sz w:val="22"/>
              </w:rPr>
              <w:t> </w:t>
            </w:r>
            <w:r>
              <w:rPr>
                <w:sz w:val="22"/>
              </w:rPr>
              <w:t>to</w:t>
            </w:r>
            <w:r>
              <w:rPr>
                <w:spacing w:val="-5"/>
                <w:sz w:val="22"/>
              </w:rPr>
              <w:t> </w:t>
            </w:r>
            <w:r>
              <w:rPr>
                <w:sz w:val="22"/>
              </w:rPr>
              <w:t>supply</w:t>
            </w:r>
            <w:r>
              <w:rPr>
                <w:spacing w:val="-5"/>
                <w:sz w:val="22"/>
              </w:rPr>
              <w:t> </w:t>
            </w:r>
            <w:r>
              <w:rPr>
                <w:sz w:val="22"/>
              </w:rPr>
              <w:t>multiple</w:t>
            </w:r>
            <w:r>
              <w:rPr>
                <w:spacing w:val="-3"/>
                <w:sz w:val="22"/>
              </w:rPr>
              <w:t> </w:t>
            </w:r>
            <w:r>
              <w:rPr>
                <w:sz w:val="22"/>
              </w:rPr>
              <w:t>premises.</w:t>
            </w:r>
            <w:r>
              <w:rPr>
                <w:spacing w:val="-4"/>
                <w:sz w:val="22"/>
              </w:rPr>
              <w:t> </w:t>
            </w:r>
            <w:r>
              <w:rPr>
                <w:sz w:val="22"/>
              </w:rPr>
              <w:t>77</w:t>
            </w:r>
            <w:r>
              <w:rPr>
                <w:spacing w:val="-3"/>
                <w:sz w:val="22"/>
              </w:rPr>
              <w:t> </w:t>
            </w:r>
            <w:r>
              <w:rPr>
                <w:sz w:val="22"/>
              </w:rPr>
              <w:t>per</w:t>
            </w:r>
            <w:r>
              <w:rPr>
                <w:spacing w:val="-2"/>
                <w:sz w:val="22"/>
              </w:rPr>
              <w:t> </w:t>
            </w:r>
            <w:r>
              <w:rPr>
                <w:sz w:val="22"/>
              </w:rPr>
              <w:t>cent</w:t>
            </w:r>
            <w:r>
              <w:rPr>
                <w:spacing w:val="-4"/>
                <w:sz w:val="22"/>
              </w:rPr>
              <w:t> </w:t>
            </w:r>
            <w:r>
              <w:rPr>
                <w:sz w:val="22"/>
              </w:rPr>
              <w:t>of polyphase powerlines in Victoria are located in rural areas.</w:t>
            </w:r>
          </w:p>
        </w:tc>
      </w:tr>
    </w:tbl>
    <w:p>
      <w:pPr>
        <w:spacing w:after="0" w:line="288" w:lineRule="auto"/>
        <w:rPr>
          <w:sz w:val="22"/>
        </w:rPr>
        <w:sectPr>
          <w:pgSz w:w="11910" w:h="16850"/>
          <w:pgMar w:header="220" w:footer="678" w:top="420" w:bottom="860" w:left="900" w:right="840"/>
        </w:sectPr>
      </w:pPr>
    </w:p>
    <w:p>
      <w:pPr>
        <w:pStyle w:val="BodyText"/>
        <w:rPr>
          <w:b/>
          <w:sz w:val="20"/>
        </w:rPr>
      </w:pPr>
    </w:p>
    <w:p>
      <w:pPr>
        <w:pStyle w:val="BodyText"/>
        <w:spacing w:before="4"/>
        <w:rPr>
          <w:b/>
          <w:sz w:val="27"/>
        </w:rPr>
      </w:pPr>
    </w:p>
    <w:tbl>
      <w:tblPr>
        <w:tblW w:w="0" w:type="auto"/>
        <w:jc w:val="left"/>
        <w:tblInd w:w="24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top w:w="0" w:type="dxa"/>
          <w:left w:w="0" w:type="dxa"/>
          <w:bottom w:w="0" w:type="dxa"/>
          <w:right w:w="0" w:type="dxa"/>
        </w:tblCellMar>
        <w:tblLook w:val="01E0"/>
      </w:tblPr>
      <w:tblGrid>
        <w:gridCol w:w="1173"/>
        <w:gridCol w:w="8473"/>
      </w:tblGrid>
      <w:tr>
        <w:trPr>
          <w:trHeight w:val="1120" w:hRule="atLeast"/>
        </w:trPr>
        <w:tc>
          <w:tcPr>
            <w:tcW w:w="1173" w:type="dxa"/>
            <w:tcBorders>
              <w:right w:val="nil"/>
            </w:tcBorders>
          </w:tcPr>
          <w:p>
            <w:pPr>
              <w:pStyle w:val="TableParagraph"/>
              <w:spacing w:before="105"/>
              <w:ind w:left="117"/>
              <w:rPr>
                <w:sz w:val="22"/>
              </w:rPr>
            </w:pPr>
            <w:r>
              <w:rPr>
                <w:spacing w:val="-2"/>
                <w:sz w:val="22"/>
              </w:rPr>
              <w:t>REFCLs</w:t>
            </w:r>
          </w:p>
        </w:tc>
        <w:tc>
          <w:tcPr>
            <w:tcW w:w="8473" w:type="dxa"/>
            <w:tcBorders>
              <w:left w:val="nil"/>
            </w:tcBorders>
          </w:tcPr>
          <w:p>
            <w:pPr>
              <w:pStyle w:val="TableParagraph"/>
              <w:spacing w:line="288" w:lineRule="auto" w:before="105"/>
              <w:ind w:left="229" w:right="175"/>
              <w:rPr>
                <w:sz w:val="22"/>
              </w:rPr>
            </w:pPr>
            <w:r>
              <w:rPr>
                <w:sz w:val="22"/>
              </w:rPr>
              <w:t>Rapid Earth Fault Current Limiters – fault suppression equipment installed on select</w:t>
            </w:r>
            <w:r>
              <w:rPr>
                <w:spacing w:val="-2"/>
                <w:sz w:val="22"/>
              </w:rPr>
              <w:t> </w:t>
            </w:r>
            <w:r>
              <w:rPr>
                <w:sz w:val="22"/>
              </w:rPr>
              <w:t>22</w:t>
            </w:r>
            <w:r>
              <w:rPr>
                <w:spacing w:val="-8"/>
                <w:sz w:val="22"/>
              </w:rPr>
              <w:t> </w:t>
            </w:r>
            <w:r>
              <w:rPr>
                <w:sz w:val="22"/>
              </w:rPr>
              <w:t>kV</w:t>
            </w:r>
            <w:r>
              <w:rPr>
                <w:spacing w:val="-3"/>
                <w:sz w:val="22"/>
              </w:rPr>
              <w:t> </w:t>
            </w:r>
            <w:r>
              <w:rPr>
                <w:sz w:val="22"/>
              </w:rPr>
              <w:t>powerlines</w:t>
            </w:r>
            <w:r>
              <w:rPr>
                <w:spacing w:val="-2"/>
                <w:sz w:val="22"/>
              </w:rPr>
              <w:t> </w:t>
            </w:r>
            <w:r>
              <w:rPr>
                <w:sz w:val="22"/>
              </w:rPr>
              <w:t>to</w:t>
            </w:r>
            <w:r>
              <w:rPr>
                <w:spacing w:val="-3"/>
                <w:sz w:val="22"/>
              </w:rPr>
              <w:t> </w:t>
            </w:r>
            <w:r>
              <w:rPr>
                <w:sz w:val="22"/>
              </w:rPr>
              <w:t>reduce</w:t>
            </w:r>
            <w:r>
              <w:rPr>
                <w:spacing w:val="-5"/>
                <w:sz w:val="22"/>
              </w:rPr>
              <w:t> </w:t>
            </w:r>
            <w:r>
              <w:rPr>
                <w:sz w:val="22"/>
              </w:rPr>
              <w:t>the</w:t>
            </w:r>
            <w:r>
              <w:rPr>
                <w:spacing w:val="-5"/>
                <w:sz w:val="22"/>
              </w:rPr>
              <w:t> </w:t>
            </w:r>
            <w:r>
              <w:rPr>
                <w:sz w:val="22"/>
              </w:rPr>
              <w:t>risk</w:t>
            </w:r>
            <w:r>
              <w:rPr>
                <w:spacing w:val="-2"/>
                <w:sz w:val="22"/>
              </w:rPr>
              <w:t> </w:t>
            </w:r>
            <w:r>
              <w:rPr>
                <w:sz w:val="22"/>
              </w:rPr>
              <w:t>of</w:t>
            </w:r>
            <w:r>
              <w:rPr>
                <w:spacing w:val="-1"/>
                <w:sz w:val="22"/>
              </w:rPr>
              <w:t> </w:t>
            </w:r>
            <w:r>
              <w:rPr>
                <w:sz w:val="22"/>
              </w:rPr>
              <w:t>polyphase</w:t>
            </w:r>
            <w:r>
              <w:rPr>
                <w:spacing w:val="-3"/>
                <w:sz w:val="22"/>
              </w:rPr>
              <w:t> </w:t>
            </w:r>
            <w:r>
              <w:rPr>
                <w:sz w:val="22"/>
              </w:rPr>
              <w:t>powerlines</w:t>
            </w:r>
            <w:r>
              <w:rPr>
                <w:spacing w:val="-2"/>
                <w:sz w:val="22"/>
              </w:rPr>
              <w:t> </w:t>
            </w:r>
            <w:r>
              <w:rPr>
                <w:sz w:val="22"/>
              </w:rPr>
              <w:t>starting</w:t>
            </w:r>
            <w:r>
              <w:rPr>
                <w:spacing w:val="-5"/>
                <w:sz w:val="22"/>
              </w:rPr>
              <w:t> </w:t>
            </w:r>
            <w:r>
              <w:rPr>
                <w:sz w:val="22"/>
              </w:rPr>
              <w:t>fires</w:t>
            </w:r>
            <w:r>
              <w:rPr>
                <w:spacing w:val="-5"/>
                <w:sz w:val="22"/>
              </w:rPr>
              <w:t> </w:t>
            </w:r>
            <w:r>
              <w:rPr>
                <w:sz w:val="22"/>
              </w:rPr>
              <w:t>by automatically reducing the electric current</w:t>
            </w:r>
          </w:p>
        </w:tc>
      </w:tr>
      <w:tr>
        <w:trPr>
          <w:trHeight w:val="815" w:hRule="atLeast"/>
        </w:trPr>
        <w:tc>
          <w:tcPr>
            <w:tcW w:w="1173" w:type="dxa"/>
            <w:tcBorders>
              <w:right w:val="nil"/>
            </w:tcBorders>
          </w:tcPr>
          <w:p>
            <w:pPr>
              <w:pStyle w:val="TableParagraph"/>
              <w:spacing w:before="105"/>
              <w:ind w:left="117"/>
              <w:rPr>
                <w:sz w:val="22"/>
              </w:rPr>
            </w:pPr>
            <w:r>
              <w:rPr>
                <w:spacing w:val="-4"/>
                <w:sz w:val="22"/>
              </w:rPr>
              <w:t>SECV</w:t>
            </w:r>
          </w:p>
        </w:tc>
        <w:tc>
          <w:tcPr>
            <w:tcW w:w="8473" w:type="dxa"/>
            <w:tcBorders>
              <w:left w:val="nil"/>
            </w:tcBorders>
          </w:tcPr>
          <w:p>
            <w:pPr>
              <w:pStyle w:val="TableParagraph"/>
              <w:spacing w:line="288" w:lineRule="auto" w:before="105"/>
              <w:ind w:left="229" w:right="175"/>
              <w:rPr>
                <w:sz w:val="22"/>
              </w:rPr>
            </w:pPr>
            <w:r>
              <w:rPr>
                <w:sz w:val="22"/>
              </w:rPr>
              <w:t>State</w:t>
            </w:r>
            <w:r>
              <w:rPr>
                <w:spacing w:val="-3"/>
                <w:sz w:val="22"/>
              </w:rPr>
              <w:t> </w:t>
            </w:r>
            <w:r>
              <w:rPr>
                <w:sz w:val="22"/>
              </w:rPr>
              <w:t>Electricity</w:t>
            </w:r>
            <w:r>
              <w:rPr>
                <w:spacing w:val="-6"/>
                <w:sz w:val="22"/>
              </w:rPr>
              <w:t> </w:t>
            </w:r>
            <w:r>
              <w:rPr>
                <w:sz w:val="22"/>
              </w:rPr>
              <w:t>Commission</w:t>
            </w:r>
            <w:r>
              <w:rPr>
                <w:spacing w:val="-4"/>
                <w:sz w:val="22"/>
              </w:rPr>
              <w:t> </w:t>
            </w:r>
            <w:r>
              <w:rPr>
                <w:sz w:val="22"/>
              </w:rPr>
              <w:t>of</w:t>
            </w:r>
            <w:r>
              <w:rPr>
                <w:spacing w:val="-1"/>
                <w:sz w:val="22"/>
              </w:rPr>
              <w:t> </w:t>
            </w:r>
            <w:r>
              <w:rPr>
                <w:sz w:val="22"/>
              </w:rPr>
              <w:t>Victoria</w:t>
            </w:r>
            <w:r>
              <w:rPr>
                <w:spacing w:val="-2"/>
                <w:sz w:val="22"/>
              </w:rPr>
              <w:t> </w:t>
            </w:r>
            <w:r>
              <w:rPr>
                <w:sz w:val="22"/>
              </w:rPr>
              <w:t>–</w:t>
            </w:r>
            <w:r>
              <w:rPr>
                <w:spacing w:val="-6"/>
                <w:sz w:val="22"/>
              </w:rPr>
              <w:t> </w:t>
            </w:r>
            <w:r>
              <w:rPr>
                <w:sz w:val="22"/>
              </w:rPr>
              <w:t>established</w:t>
            </w:r>
            <w:r>
              <w:rPr>
                <w:spacing w:val="-4"/>
                <w:sz w:val="22"/>
              </w:rPr>
              <w:t> </w:t>
            </w:r>
            <w:r>
              <w:rPr>
                <w:sz w:val="22"/>
              </w:rPr>
              <w:t>in</w:t>
            </w:r>
            <w:r>
              <w:rPr>
                <w:spacing w:val="-4"/>
                <w:sz w:val="22"/>
              </w:rPr>
              <w:t> </w:t>
            </w:r>
            <w:r>
              <w:rPr>
                <w:sz w:val="22"/>
              </w:rPr>
              <w:t>1918,</w:t>
            </w:r>
            <w:r>
              <w:rPr>
                <w:spacing w:val="-5"/>
                <w:sz w:val="22"/>
              </w:rPr>
              <w:t> </w:t>
            </w:r>
            <w:r>
              <w:rPr>
                <w:sz w:val="22"/>
              </w:rPr>
              <w:t>responsible</w:t>
            </w:r>
            <w:r>
              <w:rPr>
                <w:spacing w:val="-6"/>
                <w:sz w:val="22"/>
              </w:rPr>
              <w:t> </w:t>
            </w:r>
            <w:r>
              <w:rPr>
                <w:sz w:val="22"/>
              </w:rPr>
              <w:t>for generation and distribution of electricity throughout the state.</w:t>
            </w:r>
          </w:p>
        </w:tc>
      </w:tr>
      <w:tr>
        <w:trPr>
          <w:trHeight w:val="818" w:hRule="atLeast"/>
        </w:trPr>
        <w:tc>
          <w:tcPr>
            <w:tcW w:w="1173" w:type="dxa"/>
            <w:tcBorders>
              <w:right w:val="nil"/>
            </w:tcBorders>
          </w:tcPr>
          <w:p>
            <w:pPr>
              <w:pStyle w:val="TableParagraph"/>
              <w:spacing w:before="105"/>
              <w:ind w:left="117"/>
              <w:rPr>
                <w:sz w:val="22"/>
              </w:rPr>
            </w:pPr>
            <w:r>
              <w:rPr>
                <w:spacing w:val="-2"/>
                <w:sz w:val="22"/>
              </w:rPr>
              <w:t>SFAIRP</w:t>
            </w:r>
          </w:p>
        </w:tc>
        <w:tc>
          <w:tcPr>
            <w:tcW w:w="8473" w:type="dxa"/>
            <w:tcBorders>
              <w:left w:val="nil"/>
            </w:tcBorders>
          </w:tcPr>
          <w:p>
            <w:pPr>
              <w:pStyle w:val="TableParagraph"/>
              <w:spacing w:line="288" w:lineRule="auto" w:before="105"/>
              <w:ind w:left="229" w:right="175"/>
              <w:rPr>
                <w:sz w:val="22"/>
              </w:rPr>
            </w:pPr>
            <w:r>
              <w:rPr>
                <w:sz w:val="22"/>
              </w:rPr>
              <w:t>So</w:t>
            </w:r>
            <w:r>
              <w:rPr>
                <w:spacing w:val="-3"/>
                <w:sz w:val="22"/>
              </w:rPr>
              <w:t> </w:t>
            </w:r>
            <w:r>
              <w:rPr>
                <w:sz w:val="22"/>
              </w:rPr>
              <w:t>Far</w:t>
            </w:r>
            <w:r>
              <w:rPr>
                <w:spacing w:val="-2"/>
                <w:sz w:val="22"/>
              </w:rPr>
              <w:t> </w:t>
            </w:r>
            <w:r>
              <w:rPr>
                <w:sz w:val="22"/>
              </w:rPr>
              <w:t>As</w:t>
            </w:r>
            <w:r>
              <w:rPr>
                <w:spacing w:val="-5"/>
                <w:sz w:val="22"/>
              </w:rPr>
              <w:t> </w:t>
            </w:r>
            <w:r>
              <w:rPr>
                <w:sz w:val="22"/>
              </w:rPr>
              <w:t>Is</w:t>
            </w:r>
            <w:r>
              <w:rPr>
                <w:spacing w:val="-2"/>
                <w:sz w:val="22"/>
              </w:rPr>
              <w:t> </w:t>
            </w:r>
            <w:r>
              <w:rPr>
                <w:sz w:val="22"/>
              </w:rPr>
              <w:t>Reasonably</w:t>
            </w:r>
            <w:r>
              <w:rPr>
                <w:spacing w:val="-5"/>
                <w:sz w:val="22"/>
              </w:rPr>
              <w:t> </w:t>
            </w:r>
            <w:r>
              <w:rPr>
                <w:sz w:val="22"/>
              </w:rPr>
              <w:t>Practicable</w:t>
            </w:r>
            <w:r>
              <w:rPr>
                <w:spacing w:val="-1"/>
                <w:sz w:val="22"/>
              </w:rPr>
              <w:t> </w:t>
            </w:r>
            <w:r>
              <w:rPr>
                <w:sz w:val="22"/>
              </w:rPr>
              <w:t>–</w:t>
            </w:r>
            <w:r>
              <w:rPr>
                <w:spacing w:val="-5"/>
                <w:sz w:val="22"/>
              </w:rPr>
              <w:t> </w:t>
            </w:r>
            <w:r>
              <w:rPr>
                <w:sz w:val="22"/>
              </w:rPr>
              <w:t>the</w:t>
            </w:r>
            <w:r>
              <w:rPr>
                <w:spacing w:val="-2"/>
                <w:sz w:val="22"/>
              </w:rPr>
              <w:t> </w:t>
            </w:r>
            <w:r>
              <w:rPr>
                <w:sz w:val="22"/>
              </w:rPr>
              <w:t>concept</w:t>
            </w:r>
            <w:r>
              <w:rPr>
                <w:spacing w:val="-2"/>
                <w:sz w:val="22"/>
              </w:rPr>
              <w:t> </w:t>
            </w:r>
            <w:r>
              <w:rPr>
                <w:sz w:val="22"/>
              </w:rPr>
              <w:t>of</w:t>
            </w:r>
            <w:r>
              <w:rPr>
                <w:spacing w:val="-4"/>
                <w:sz w:val="22"/>
              </w:rPr>
              <w:t> </w:t>
            </w:r>
            <w:r>
              <w:rPr>
                <w:sz w:val="22"/>
              </w:rPr>
              <w:t>reducing</w:t>
            </w:r>
            <w:r>
              <w:rPr>
                <w:spacing w:val="-3"/>
                <w:sz w:val="22"/>
              </w:rPr>
              <w:t> </w:t>
            </w:r>
            <w:r>
              <w:rPr>
                <w:sz w:val="22"/>
              </w:rPr>
              <w:t>risk</w:t>
            </w:r>
            <w:r>
              <w:rPr>
                <w:spacing w:val="-2"/>
                <w:sz w:val="22"/>
              </w:rPr>
              <w:t> </w:t>
            </w:r>
            <w:r>
              <w:rPr>
                <w:sz w:val="22"/>
              </w:rPr>
              <w:t>So</w:t>
            </w:r>
            <w:r>
              <w:rPr>
                <w:spacing w:val="-3"/>
                <w:sz w:val="22"/>
              </w:rPr>
              <w:t> </w:t>
            </w:r>
            <w:r>
              <w:rPr>
                <w:sz w:val="22"/>
              </w:rPr>
              <w:t>Far</w:t>
            </w:r>
            <w:r>
              <w:rPr>
                <w:spacing w:val="-2"/>
                <w:sz w:val="22"/>
              </w:rPr>
              <w:t> </w:t>
            </w:r>
            <w:r>
              <w:rPr>
                <w:sz w:val="22"/>
              </w:rPr>
              <w:t>As</w:t>
            </w:r>
            <w:r>
              <w:rPr>
                <w:spacing w:val="-5"/>
                <w:sz w:val="22"/>
              </w:rPr>
              <w:t> </w:t>
            </w:r>
            <w:r>
              <w:rPr>
                <w:sz w:val="22"/>
              </w:rPr>
              <w:t>Is Reasonably Practicable.</w:t>
            </w:r>
          </w:p>
        </w:tc>
      </w:tr>
      <w:tr>
        <w:trPr>
          <w:trHeight w:val="1120" w:hRule="atLeast"/>
        </w:trPr>
        <w:tc>
          <w:tcPr>
            <w:tcW w:w="1173" w:type="dxa"/>
            <w:tcBorders>
              <w:right w:val="nil"/>
            </w:tcBorders>
          </w:tcPr>
          <w:p>
            <w:pPr>
              <w:pStyle w:val="TableParagraph"/>
              <w:spacing w:before="105"/>
              <w:ind w:left="117"/>
              <w:rPr>
                <w:sz w:val="22"/>
              </w:rPr>
            </w:pPr>
            <w:r>
              <w:rPr>
                <w:spacing w:val="-2"/>
                <w:sz w:val="22"/>
              </w:rPr>
              <w:t>STPIS</w:t>
            </w:r>
          </w:p>
        </w:tc>
        <w:tc>
          <w:tcPr>
            <w:tcW w:w="8473" w:type="dxa"/>
            <w:tcBorders>
              <w:left w:val="nil"/>
            </w:tcBorders>
          </w:tcPr>
          <w:p>
            <w:pPr>
              <w:pStyle w:val="TableParagraph"/>
              <w:spacing w:line="288" w:lineRule="auto" w:before="105"/>
              <w:ind w:left="229" w:right="26"/>
              <w:rPr>
                <w:sz w:val="22"/>
              </w:rPr>
            </w:pPr>
            <w:r>
              <w:rPr>
                <w:sz w:val="22"/>
              </w:rPr>
              <w:t>Service</w:t>
            </w:r>
            <w:r>
              <w:rPr>
                <w:spacing w:val="-4"/>
                <w:sz w:val="22"/>
              </w:rPr>
              <w:t> </w:t>
            </w:r>
            <w:r>
              <w:rPr>
                <w:sz w:val="22"/>
              </w:rPr>
              <w:t>Target</w:t>
            </w:r>
            <w:r>
              <w:rPr>
                <w:spacing w:val="-2"/>
                <w:sz w:val="22"/>
              </w:rPr>
              <w:t> </w:t>
            </w:r>
            <w:r>
              <w:rPr>
                <w:sz w:val="22"/>
              </w:rPr>
              <w:t>Performance</w:t>
            </w:r>
            <w:r>
              <w:rPr>
                <w:spacing w:val="-4"/>
                <w:sz w:val="22"/>
              </w:rPr>
              <w:t> </w:t>
            </w:r>
            <w:r>
              <w:rPr>
                <w:sz w:val="22"/>
              </w:rPr>
              <w:t>Incentive</w:t>
            </w:r>
            <w:r>
              <w:rPr>
                <w:spacing w:val="-4"/>
                <w:sz w:val="22"/>
              </w:rPr>
              <w:t> </w:t>
            </w:r>
            <w:r>
              <w:rPr>
                <w:sz w:val="22"/>
              </w:rPr>
              <w:t>Schemes</w:t>
            </w:r>
            <w:r>
              <w:rPr>
                <w:spacing w:val="-5"/>
                <w:sz w:val="22"/>
              </w:rPr>
              <w:t> </w:t>
            </w:r>
            <w:r>
              <w:rPr>
                <w:sz w:val="22"/>
              </w:rPr>
              <w:t>–</w:t>
            </w:r>
            <w:r>
              <w:rPr>
                <w:spacing w:val="-4"/>
                <w:sz w:val="22"/>
              </w:rPr>
              <w:t> </w:t>
            </w:r>
            <w:r>
              <w:rPr>
                <w:sz w:val="22"/>
              </w:rPr>
              <w:t>provide</w:t>
            </w:r>
            <w:r>
              <w:rPr>
                <w:spacing w:val="-4"/>
                <w:sz w:val="22"/>
              </w:rPr>
              <w:t> </w:t>
            </w:r>
            <w:r>
              <w:rPr>
                <w:sz w:val="22"/>
              </w:rPr>
              <w:t>incentives</w:t>
            </w:r>
            <w:r>
              <w:rPr>
                <w:spacing w:val="-4"/>
                <w:sz w:val="22"/>
              </w:rPr>
              <w:t> </w:t>
            </w:r>
            <w:r>
              <w:rPr>
                <w:sz w:val="22"/>
              </w:rPr>
              <w:t>to</w:t>
            </w:r>
            <w:r>
              <w:rPr>
                <w:spacing w:val="-3"/>
                <w:sz w:val="22"/>
              </w:rPr>
              <w:t> </w:t>
            </w:r>
            <w:r>
              <w:rPr>
                <w:sz w:val="22"/>
              </w:rPr>
              <w:t>businesses to improve or maintain a high level of service for the benefit of participants in the National Electricity Market and end users of electricity.</w:t>
            </w:r>
          </w:p>
        </w:tc>
      </w:tr>
      <w:tr>
        <w:trPr>
          <w:trHeight w:val="2335" w:hRule="atLeast"/>
        </w:trPr>
        <w:tc>
          <w:tcPr>
            <w:tcW w:w="1173" w:type="dxa"/>
            <w:tcBorders>
              <w:right w:val="nil"/>
            </w:tcBorders>
          </w:tcPr>
          <w:p>
            <w:pPr>
              <w:pStyle w:val="TableParagraph"/>
              <w:spacing w:before="105"/>
              <w:ind w:left="117"/>
              <w:rPr>
                <w:sz w:val="22"/>
              </w:rPr>
            </w:pPr>
            <w:r>
              <w:rPr>
                <w:spacing w:val="-4"/>
                <w:sz w:val="22"/>
              </w:rPr>
              <w:t>SWER</w:t>
            </w:r>
          </w:p>
        </w:tc>
        <w:tc>
          <w:tcPr>
            <w:tcW w:w="8473" w:type="dxa"/>
            <w:tcBorders>
              <w:left w:val="nil"/>
            </w:tcBorders>
          </w:tcPr>
          <w:p>
            <w:pPr>
              <w:pStyle w:val="TableParagraph"/>
              <w:spacing w:line="288" w:lineRule="auto" w:before="105"/>
              <w:ind w:left="229" w:right="168"/>
              <w:rPr>
                <w:sz w:val="22"/>
              </w:rPr>
            </w:pPr>
            <w:r>
              <w:rPr>
                <w:sz w:val="22"/>
              </w:rPr>
              <w:t>Single Wire Earth Return – a single-wire transmission line which supplies single- phase electric power from an electrical grid to remote areas at low cost.</w:t>
            </w:r>
            <w:r>
              <w:rPr>
                <w:spacing w:val="40"/>
                <w:sz w:val="22"/>
              </w:rPr>
              <w:t> </w:t>
            </w:r>
            <w:r>
              <w:rPr>
                <w:sz w:val="22"/>
              </w:rPr>
              <w:t>The electrical</w:t>
            </w:r>
            <w:r>
              <w:rPr>
                <w:spacing w:val="-3"/>
                <w:sz w:val="22"/>
              </w:rPr>
              <w:t> </w:t>
            </w:r>
            <w:r>
              <w:rPr>
                <w:sz w:val="22"/>
              </w:rPr>
              <w:t>current</w:t>
            </w:r>
            <w:r>
              <w:rPr>
                <w:spacing w:val="-3"/>
                <w:sz w:val="22"/>
              </w:rPr>
              <w:t> </w:t>
            </w:r>
            <w:r>
              <w:rPr>
                <w:sz w:val="22"/>
              </w:rPr>
              <w:t>returns</w:t>
            </w:r>
            <w:r>
              <w:rPr>
                <w:spacing w:val="-4"/>
                <w:sz w:val="22"/>
              </w:rPr>
              <w:t> </w:t>
            </w:r>
            <w:r>
              <w:rPr>
                <w:sz w:val="22"/>
              </w:rPr>
              <w:t>through</w:t>
            </w:r>
            <w:r>
              <w:rPr>
                <w:spacing w:val="-4"/>
                <w:sz w:val="22"/>
              </w:rPr>
              <w:t> </w:t>
            </w:r>
            <w:r>
              <w:rPr>
                <w:sz w:val="22"/>
              </w:rPr>
              <w:t>the</w:t>
            </w:r>
            <w:r>
              <w:rPr>
                <w:spacing w:val="-7"/>
                <w:sz w:val="22"/>
              </w:rPr>
              <w:t> </w:t>
            </w:r>
            <w:r>
              <w:rPr>
                <w:sz w:val="22"/>
              </w:rPr>
              <w:t>ground</w:t>
            </w:r>
            <w:r>
              <w:rPr>
                <w:spacing w:val="-4"/>
                <w:sz w:val="22"/>
              </w:rPr>
              <w:t> </w:t>
            </w:r>
            <w:r>
              <w:rPr>
                <w:sz w:val="22"/>
              </w:rPr>
              <w:t>rather</w:t>
            </w:r>
            <w:r>
              <w:rPr>
                <w:spacing w:val="-3"/>
                <w:sz w:val="22"/>
              </w:rPr>
              <w:t> </w:t>
            </w:r>
            <w:r>
              <w:rPr>
                <w:sz w:val="22"/>
              </w:rPr>
              <w:t>than</w:t>
            </w:r>
            <w:r>
              <w:rPr>
                <w:spacing w:val="-4"/>
                <w:sz w:val="22"/>
              </w:rPr>
              <w:t> </w:t>
            </w:r>
            <w:r>
              <w:rPr>
                <w:sz w:val="22"/>
              </w:rPr>
              <w:t>through</w:t>
            </w:r>
            <w:r>
              <w:rPr>
                <w:spacing w:val="-4"/>
                <w:sz w:val="22"/>
              </w:rPr>
              <w:t> </w:t>
            </w:r>
            <w:r>
              <w:rPr>
                <w:sz w:val="22"/>
              </w:rPr>
              <w:t>a</w:t>
            </w:r>
            <w:r>
              <w:rPr>
                <w:spacing w:val="-2"/>
                <w:sz w:val="22"/>
              </w:rPr>
              <w:t> </w:t>
            </w:r>
            <w:r>
              <w:rPr>
                <w:sz w:val="22"/>
              </w:rPr>
              <w:t>separate</w:t>
            </w:r>
            <w:r>
              <w:rPr>
                <w:spacing w:val="-2"/>
                <w:sz w:val="22"/>
              </w:rPr>
              <w:t> </w:t>
            </w:r>
            <w:r>
              <w:rPr>
                <w:sz w:val="22"/>
              </w:rPr>
              <w:t>wire</w:t>
            </w:r>
            <w:r>
              <w:rPr>
                <w:spacing w:val="-2"/>
                <w:sz w:val="22"/>
              </w:rPr>
              <w:t> </w:t>
            </w:r>
            <w:r>
              <w:rPr>
                <w:sz w:val="22"/>
              </w:rPr>
              <w:t>as occurs in polyphase distribution lines. As a SWER system uses only a single wire, it is very simple, requires less material, and is cheaper to construct and maintain than polyphase distribution lines. 99 per cent of SWER</w:t>
            </w:r>
            <w:r>
              <w:rPr>
                <w:spacing w:val="-1"/>
                <w:sz w:val="22"/>
              </w:rPr>
              <w:t> </w:t>
            </w:r>
            <w:r>
              <w:rPr>
                <w:sz w:val="22"/>
              </w:rPr>
              <w:t>lines in Victoria</w:t>
            </w:r>
            <w:r>
              <w:rPr>
                <w:spacing w:val="-1"/>
                <w:sz w:val="22"/>
              </w:rPr>
              <w:t> </w:t>
            </w:r>
            <w:r>
              <w:rPr>
                <w:sz w:val="22"/>
              </w:rPr>
              <w:t>are located in rural areas.</w:t>
            </w:r>
          </w:p>
        </w:tc>
      </w:tr>
      <w:tr>
        <w:trPr>
          <w:trHeight w:val="1120" w:hRule="atLeast"/>
        </w:trPr>
        <w:tc>
          <w:tcPr>
            <w:tcW w:w="1173" w:type="dxa"/>
            <w:tcBorders>
              <w:right w:val="nil"/>
            </w:tcBorders>
          </w:tcPr>
          <w:p>
            <w:pPr>
              <w:pStyle w:val="TableParagraph"/>
              <w:spacing w:before="105"/>
              <w:ind w:left="117"/>
              <w:rPr>
                <w:sz w:val="22"/>
              </w:rPr>
            </w:pPr>
            <w:r>
              <w:rPr>
                <w:spacing w:val="-4"/>
                <w:sz w:val="22"/>
              </w:rPr>
              <w:t>VBRC</w:t>
            </w:r>
          </w:p>
        </w:tc>
        <w:tc>
          <w:tcPr>
            <w:tcW w:w="8473" w:type="dxa"/>
            <w:tcBorders>
              <w:left w:val="nil"/>
            </w:tcBorders>
          </w:tcPr>
          <w:p>
            <w:pPr>
              <w:pStyle w:val="TableParagraph"/>
              <w:spacing w:line="288" w:lineRule="auto" w:before="105"/>
              <w:ind w:left="229" w:right="26"/>
              <w:rPr>
                <w:sz w:val="22"/>
              </w:rPr>
            </w:pPr>
            <w:r>
              <w:rPr>
                <w:sz w:val="22"/>
              </w:rPr>
              <w:t>Victorian Bushfires Royal Commission – established on 16 February 2009 to investigate</w:t>
            </w:r>
            <w:r>
              <w:rPr>
                <w:spacing w:val="-4"/>
                <w:sz w:val="22"/>
              </w:rPr>
              <w:t> </w:t>
            </w:r>
            <w:r>
              <w:rPr>
                <w:sz w:val="22"/>
              </w:rPr>
              <w:t>the</w:t>
            </w:r>
            <w:r>
              <w:rPr>
                <w:spacing w:val="-5"/>
                <w:sz w:val="22"/>
              </w:rPr>
              <w:t> </w:t>
            </w:r>
            <w:r>
              <w:rPr>
                <w:sz w:val="22"/>
              </w:rPr>
              <w:t>causes</w:t>
            </w:r>
            <w:r>
              <w:rPr>
                <w:spacing w:val="-3"/>
                <w:sz w:val="22"/>
              </w:rPr>
              <w:t> </w:t>
            </w:r>
            <w:r>
              <w:rPr>
                <w:sz w:val="22"/>
              </w:rPr>
              <w:t>and</w:t>
            </w:r>
            <w:r>
              <w:rPr>
                <w:spacing w:val="-3"/>
                <w:sz w:val="22"/>
              </w:rPr>
              <w:t> </w:t>
            </w:r>
            <w:r>
              <w:rPr>
                <w:sz w:val="22"/>
              </w:rPr>
              <w:t>responses</w:t>
            </w:r>
            <w:r>
              <w:rPr>
                <w:spacing w:val="-5"/>
                <w:sz w:val="22"/>
              </w:rPr>
              <w:t> </w:t>
            </w:r>
            <w:r>
              <w:rPr>
                <w:sz w:val="22"/>
              </w:rPr>
              <w:t>to</w:t>
            </w:r>
            <w:r>
              <w:rPr>
                <w:spacing w:val="-5"/>
                <w:sz w:val="22"/>
              </w:rPr>
              <w:t> </w:t>
            </w:r>
            <w:r>
              <w:rPr>
                <w:sz w:val="22"/>
              </w:rPr>
              <w:t>the</w:t>
            </w:r>
            <w:r>
              <w:rPr>
                <w:spacing w:val="-3"/>
                <w:sz w:val="22"/>
              </w:rPr>
              <w:t> </w:t>
            </w:r>
            <w:r>
              <w:rPr>
                <w:sz w:val="22"/>
              </w:rPr>
              <w:t>bushfires</w:t>
            </w:r>
            <w:r>
              <w:rPr>
                <w:spacing w:val="-3"/>
                <w:sz w:val="22"/>
              </w:rPr>
              <w:t> </w:t>
            </w:r>
            <w:r>
              <w:rPr>
                <w:sz w:val="22"/>
              </w:rPr>
              <w:t>which</w:t>
            </w:r>
            <w:r>
              <w:rPr>
                <w:spacing w:val="-3"/>
                <w:sz w:val="22"/>
              </w:rPr>
              <w:t> </w:t>
            </w:r>
            <w:r>
              <w:rPr>
                <w:sz w:val="22"/>
              </w:rPr>
              <w:t>swept</w:t>
            </w:r>
            <w:r>
              <w:rPr>
                <w:spacing w:val="-1"/>
                <w:sz w:val="22"/>
              </w:rPr>
              <w:t> </w:t>
            </w:r>
            <w:r>
              <w:rPr>
                <w:sz w:val="22"/>
              </w:rPr>
              <w:t>through</w:t>
            </w:r>
            <w:r>
              <w:rPr>
                <w:spacing w:val="-5"/>
                <w:sz w:val="22"/>
              </w:rPr>
              <w:t> </w:t>
            </w:r>
            <w:r>
              <w:rPr>
                <w:sz w:val="22"/>
              </w:rPr>
              <w:t>parts</w:t>
            </w:r>
            <w:r>
              <w:rPr>
                <w:spacing w:val="-2"/>
                <w:sz w:val="22"/>
              </w:rPr>
              <w:t> </w:t>
            </w:r>
            <w:r>
              <w:rPr>
                <w:sz w:val="22"/>
              </w:rPr>
              <w:t>of Victoria in late January and February 2009 (Black Saturday bushfires)</w:t>
            </w:r>
          </w:p>
        </w:tc>
      </w:tr>
      <w:tr>
        <w:trPr>
          <w:trHeight w:val="2032" w:hRule="atLeast"/>
        </w:trPr>
        <w:tc>
          <w:tcPr>
            <w:tcW w:w="1173" w:type="dxa"/>
            <w:tcBorders>
              <w:right w:val="nil"/>
            </w:tcBorders>
          </w:tcPr>
          <w:p>
            <w:pPr>
              <w:pStyle w:val="TableParagraph"/>
              <w:spacing w:before="105"/>
              <w:ind w:left="117"/>
              <w:rPr>
                <w:sz w:val="22"/>
              </w:rPr>
            </w:pPr>
            <w:r>
              <w:rPr>
                <w:spacing w:val="-5"/>
                <w:sz w:val="22"/>
              </w:rPr>
              <w:t>VEC</w:t>
            </w:r>
          </w:p>
        </w:tc>
        <w:tc>
          <w:tcPr>
            <w:tcW w:w="8473" w:type="dxa"/>
            <w:tcBorders>
              <w:left w:val="nil"/>
            </w:tcBorders>
          </w:tcPr>
          <w:p>
            <w:pPr>
              <w:pStyle w:val="TableParagraph"/>
              <w:spacing w:line="288" w:lineRule="auto" w:before="105"/>
              <w:ind w:left="229" w:right="124"/>
              <w:rPr>
                <w:sz w:val="22"/>
              </w:rPr>
            </w:pPr>
            <w:r>
              <w:rPr>
                <w:sz w:val="22"/>
              </w:rPr>
              <w:t>Victorian</w:t>
            </w:r>
            <w:r>
              <w:rPr>
                <w:spacing w:val="-4"/>
                <w:sz w:val="22"/>
              </w:rPr>
              <w:t> </w:t>
            </w:r>
            <w:r>
              <w:rPr>
                <w:sz w:val="22"/>
              </w:rPr>
              <w:t>Electrolysis</w:t>
            </w:r>
            <w:r>
              <w:rPr>
                <w:spacing w:val="-3"/>
                <w:sz w:val="22"/>
              </w:rPr>
              <w:t> </w:t>
            </w:r>
            <w:r>
              <w:rPr>
                <w:sz w:val="22"/>
              </w:rPr>
              <w:t>Committee</w:t>
            </w:r>
            <w:r>
              <w:rPr>
                <w:spacing w:val="-5"/>
                <w:sz w:val="22"/>
              </w:rPr>
              <w:t> </w:t>
            </w:r>
            <w:r>
              <w:rPr>
                <w:sz w:val="22"/>
              </w:rPr>
              <w:t>–</w:t>
            </w:r>
            <w:r>
              <w:rPr>
                <w:spacing w:val="-4"/>
                <w:sz w:val="22"/>
              </w:rPr>
              <w:t> </w:t>
            </w:r>
            <w:r>
              <w:rPr>
                <w:sz w:val="22"/>
              </w:rPr>
              <w:t>established</w:t>
            </w:r>
            <w:r>
              <w:rPr>
                <w:spacing w:val="-4"/>
                <w:sz w:val="22"/>
              </w:rPr>
              <w:t> </w:t>
            </w:r>
            <w:r>
              <w:rPr>
                <w:sz w:val="22"/>
              </w:rPr>
              <w:t>under</w:t>
            </w:r>
            <w:r>
              <w:rPr>
                <w:spacing w:val="-5"/>
                <w:sz w:val="22"/>
              </w:rPr>
              <w:t> </w:t>
            </w:r>
            <w:r>
              <w:rPr>
                <w:sz w:val="22"/>
              </w:rPr>
              <w:t>the</w:t>
            </w:r>
            <w:r>
              <w:rPr>
                <w:spacing w:val="-3"/>
                <w:sz w:val="22"/>
              </w:rPr>
              <w:t> </w:t>
            </w:r>
            <w:r>
              <w:rPr>
                <w:i/>
                <w:sz w:val="22"/>
              </w:rPr>
              <w:t>Electricity</w:t>
            </w:r>
            <w:r>
              <w:rPr>
                <w:i/>
                <w:spacing w:val="-3"/>
                <w:sz w:val="22"/>
              </w:rPr>
              <w:t> </w:t>
            </w:r>
            <w:r>
              <w:rPr>
                <w:i/>
                <w:sz w:val="22"/>
              </w:rPr>
              <w:t>Safety</w:t>
            </w:r>
            <w:r>
              <w:rPr>
                <w:i/>
                <w:spacing w:val="-6"/>
                <w:sz w:val="22"/>
              </w:rPr>
              <w:t> </w:t>
            </w:r>
            <w:r>
              <w:rPr>
                <w:i/>
                <w:sz w:val="22"/>
              </w:rPr>
              <w:t>Act</w:t>
            </w:r>
            <w:r>
              <w:rPr>
                <w:i/>
                <w:spacing w:val="-2"/>
                <w:sz w:val="22"/>
              </w:rPr>
              <w:t> </w:t>
            </w:r>
            <w:r>
              <w:rPr>
                <w:i/>
                <w:sz w:val="22"/>
              </w:rPr>
              <w:t>1998 </w:t>
            </w:r>
            <w:r>
              <w:rPr>
                <w:sz w:val="22"/>
              </w:rPr>
              <w:t>to establish and maintain standards for systems for cathodic protection and for the mitigation of stray current corrosion. It provides advice to ESV on any matter</w:t>
            </w:r>
            <w:r>
              <w:rPr>
                <w:spacing w:val="40"/>
                <w:sz w:val="22"/>
              </w:rPr>
              <w:t> </w:t>
            </w:r>
            <w:r>
              <w:rPr>
                <w:sz w:val="22"/>
              </w:rPr>
              <w:t>related to electrolysis and the regulations relating to cathodic protection and to the mitigation of stray current corrosion and encourage the development of new methods and technology.</w:t>
            </w:r>
          </w:p>
        </w:tc>
      </w:tr>
    </w:tbl>
    <w:p>
      <w:pPr>
        <w:spacing w:after="0" w:line="288" w:lineRule="auto"/>
        <w:rPr>
          <w:sz w:val="22"/>
        </w:rPr>
        <w:sectPr>
          <w:pgSz w:w="11910" w:h="16850"/>
          <w:pgMar w:header="220" w:footer="678" w:top="420" w:bottom="860" w:left="900" w:right="840"/>
        </w:sectPr>
      </w:pPr>
    </w:p>
    <w:p>
      <w:pPr>
        <w:spacing w:before="82"/>
        <w:ind w:left="232" w:right="0" w:firstLine="0"/>
        <w:jc w:val="left"/>
        <w:rPr>
          <w:sz w:val="22"/>
        </w:rPr>
      </w:pPr>
      <w:r>
        <w:rPr/>
        <w:drawing>
          <wp:anchor distT="0" distB="0" distL="0" distR="0" allowOverlap="1" layoutInCell="1" locked="0" behindDoc="0" simplePos="0" relativeHeight="15817728">
            <wp:simplePos x="0" y="0"/>
            <wp:positionH relativeFrom="page">
              <wp:posOffset>0</wp:posOffset>
            </wp:positionH>
            <wp:positionV relativeFrom="page">
              <wp:posOffset>0</wp:posOffset>
            </wp:positionV>
            <wp:extent cx="7559675" cy="10691493"/>
            <wp:effectExtent l="0" t="0" r="0" b="0"/>
            <wp:wrapNone/>
            <wp:docPr id="293" name="Image 293"/>
            <wp:cNvGraphicFramePr>
              <a:graphicFrameLocks/>
            </wp:cNvGraphicFramePr>
            <a:graphic>
              <a:graphicData uri="http://schemas.openxmlformats.org/drawingml/2006/picture">
                <pic:pic>
                  <pic:nvPicPr>
                    <pic:cNvPr id="293" name="Image 293"/>
                    <pic:cNvPicPr/>
                  </pic:nvPicPr>
                  <pic:blipFill>
                    <a:blip r:embed="rId122" cstate="print"/>
                    <a:stretch>
                      <a:fillRect/>
                    </a:stretch>
                  </pic:blipFill>
                  <pic:spPr>
                    <a:xfrm>
                      <a:off x="0" y="0"/>
                      <a:ext cx="7559675" cy="10691493"/>
                    </a:xfrm>
                    <a:prstGeom prst="rect">
                      <a:avLst/>
                    </a:prstGeom>
                  </pic:spPr>
                </pic:pic>
              </a:graphicData>
            </a:graphic>
          </wp:anchor>
        </w:drawing>
      </w:r>
      <w:r>
        <w:rPr>
          <w:w w:val="100"/>
          <w:sz w:val="22"/>
        </w:rPr>
        <w:t>*</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
        <w:rPr>
          <w:sz w:val="26"/>
        </w:rPr>
      </w:pPr>
    </w:p>
    <w:p>
      <w:pPr>
        <w:spacing w:before="0"/>
        <w:ind w:left="232" w:right="0" w:firstLine="0"/>
        <w:jc w:val="left"/>
        <w:rPr>
          <w:sz w:val="22"/>
        </w:rPr>
      </w:pPr>
      <w:r>
        <w:rPr>
          <w:w w:val="100"/>
          <w:sz w:val="22"/>
        </w:rPr>
        <w:t>*</w:t>
      </w:r>
    </w:p>
    <w:sectPr>
      <w:headerReference w:type="default" r:id="rId120"/>
      <w:footerReference w:type="default" r:id="rId121"/>
      <w:pgSz w:w="11910" w:h="16850"/>
      <w:pgMar w:header="0" w:footer="0" w:top="200" w:bottom="280" w:left="900" w:right="8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BoldItalicMT">
    <w:altName w:val="Arial-BoldItalicMT"/>
    <w:charset w:val="0"/>
    <w:family w:val="swiss"/>
    <w:pitch w:val="variable"/>
  </w:font>
  <w:font w:name="Courier New">
    <w:altName w:val="Courier New"/>
    <w:charset w:val="0"/>
    <w:family w:val="roman"/>
    <w:pitch w:val="fixed"/>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79296">
              <wp:simplePos x="0" y="0"/>
              <wp:positionH relativeFrom="page">
                <wp:posOffset>701040</wp:posOffset>
              </wp:positionH>
              <wp:positionV relativeFrom="page">
                <wp:posOffset>10148010</wp:posOffset>
              </wp:positionV>
              <wp:extent cx="6158230" cy="87630"/>
              <wp:effectExtent l="0" t="0" r="0" b="0"/>
              <wp:wrapNone/>
              <wp:docPr id="3" name="Graphic 3"/>
              <wp:cNvGraphicFramePr>
                <a:graphicFrameLocks/>
              </wp:cNvGraphicFramePr>
              <a:graphic>
                <a:graphicData uri="http://schemas.microsoft.com/office/word/2010/wordprocessingShape">
                  <wps:wsp>
                    <wps:cNvPr id="3" name="Graphic 3"/>
                    <wps:cNvSpPr/>
                    <wps:spPr>
                      <a:xfrm>
                        <a:off x="0" y="0"/>
                        <a:ext cx="6158230" cy="87630"/>
                      </a:xfrm>
                      <a:custGeom>
                        <a:avLst/>
                        <a:gdLst/>
                        <a:ahLst/>
                        <a:cxnLst/>
                        <a:rect l="l" t="t" r="r" b="b"/>
                        <a:pathLst>
                          <a:path w="6158230" h="87630">
                            <a:moveTo>
                              <a:pt x="6158230" y="0"/>
                            </a:moveTo>
                            <a:lnTo>
                              <a:pt x="0" y="0"/>
                            </a:lnTo>
                            <a:lnTo>
                              <a:pt x="0" y="87172"/>
                            </a:lnTo>
                            <a:lnTo>
                              <a:pt x="6158230" y="87172"/>
                            </a:lnTo>
                            <a:lnTo>
                              <a:pt x="6158230" y="0"/>
                            </a:lnTo>
                            <a:close/>
                          </a:path>
                        </a:pathLst>
                      </a:custGeom>
                      <a:solidFill>
                        <a:srgbClr val="00B3A8"/>
                      </a:solidFill>
                    </wps:spPr>
                    <wps:bodyPr wrap="square" lIns="0" tIns="0" rIns="0" bIns="0" rtlCol="0">
                      <a:prstTxWarp prst="textNoShape">
                        <a:avLst/>
                      </a:prstTxWarp>
                      <a:noAutofit/>
                    </wps:bodyPr>
                  </wps:wsp>
                </a:graphicData>
              </a:graphic>
            </wp:anchor>
          </w:drawing>
        </mc:Choice>
        <mc:Fallback>
          <w:pict>
            <v:rect style="position:absolute;margin-left:55.200001pt;margin-top:799.055969pt;width:484.9pt;height:6.864pt;mso-position-horizontal-relative:page;mso-position-vertical-relative:page;z-index:-20637184" id="docshape2" filled="true" fillcolor="#00b3a8" stroked="false">
              <v:fill type="solid"/>
              <w10:wrap type="none"/>
            </v:rect>
          </w:pict>
        </mc:Fallback>
      </mc:AlternateContent>
    </w:r>
    <w:r>
      <w:rPr/>
      <mc:AlternateContent>
        <mc:Choice Requires="wps">
          <w:drawing>
            <wp:anchor distT="0" distB="0" distL="0" distR="0" allowOverlap="1" layoutInCell="1" locked="0" behindDoc="1" simplePos="0" relativeHeight="482679808">
              <wp:simplePos x="0" y="0"/>
              <wp:positionH relativeFrom="page">
                <wp:posOffset>3685666</wp:posOffset>
              </wp:positionH>
              <wp:positionV relativeFrom="page">
                <wp:posOffset>9995630</wp:posOffset>
              </wp:positionV>
              <wp:extent cx="201930" cy="13970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201930" cy="139700"/>
                      </a:xfrm>
                      <a:prstGeom prst="rect">
                        <a:avLst/>
                      </a:prstGeom>
                    </wps:spPr>
                    <wps:txbx>
                      <w:txbxContent>
                        <w:p>
                          <w:pPr>
                            <w:spacing w:before="15"/>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10</w:t>
                          </w:r>
                          <w:r>
                            <w:rPr>
                              <w:spacing w:val="-5"/>
                              <w:sz w:val="16"/>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0.209991pt;margin-top:787.057556pt;width:15.9pt;height:11pt;mso-position-horizontal-relative:page;mso-position-vertical-relative:page;z-index:-20636672" type="#_x0000_t202" id="docshape3" filled="false" stroked="false">
              <v:textbox inset="0,0,0,0">
                <w:txbxContent>
                  <w:p>
                    <w:pPr>
                      <w:spacing w:before="15"/>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10</w:t>
                    </w:r>
                    <w:r>
                      <w:rPr>
                        <w:spacing w:val="-5"/>
                        <w:sz w:val="16"/>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93632">
              <wp:simplePos x="0" y="0"/>
              <wp:positionH relativeFrom="page">
                <wp:posOffset>701040</wp:posOffset>
              </wp:positionH>
              <wp:positionV relativeFrom="page">
                <wp:posOffset>10148010</wp:posOffset>
              </wp:positionV>
              <wp:extent cx="6158230" cy="87630"/>
              <wp:effectExtent l="0" t="0" r="0" b="0"/>
              <wp:wrapNone/>
              <wp:docPr id="52" name="Graphic 52"/>
              <wp:cNvGraphicFramePr>
                <a:graphicFrameLocks/>
              </wp:cNvGraphicFramePr>
              <a:graphic>
                <a:graphicData uri="http://schemas.microsoft.com/office/word/2010/wordprocessingShape">
                  <wps:wsp>
                    <wps:cNvPr id="52" name="Graphic 52"/>
                    <wps:cNvSpPr/>
                    <wps:spPr>
                      <a:xfrm>
                        <a:off x="0" y="0"/>
                        <a:ext cx="6158230" cy="87630"/>
                      </a:xfrm>
                      <a:custGeom>
                        <a:avLst/>
                        <a:gdLst/>
                        <a:ahLst/>
                        <a:cxnLst/>
                        <a:rect l="l" t="t" r="r" b="b"/>
                        <a:pathLst>
                          <a:path w="6158230" h="87630">
                            <a:moveTo>
                              <a:pt x="6158230" y="0"/>
                            </a:moveTo>
                            <a:lnTo>
                              <a:pt x="0" y="0"/>
                            </a:lnTo>
                            <a:lnTo>
                              <a:pt x="0" y="87172"/>
                            </a:lnTo>
                            <a:lnTo>
                              <a:pt x="6158230" y="87172"/>
                            </a:lnTo>
                            <a:lnTo>
                              <a:pt x="6158230" y="0"/>
                            </a:lnTo>
                            <a:close/>
                          </a:path>
                        </a:pathLst>
                      </a:custGeom>
                      <a:solidFill>
                        <a:srgbClr val="00B3A8"/>
                      </a:solidFill>
                    </wps:spPr>
                    <wps:bodyPr wrap="square" lIns="0" tIns="0" rIns="0" bIns="0" rtlCol="0">
                      <a:prstTxWarp prst="textNoShape">
                        <a:avLst/>
                      </a:prstTxWarp>
                      <a:noAutofit/>
                    </wps:bodyPr>
                  </wps:wsp>
                </a:graphicData>
              </a:graphic>
            </wp:anchor>
          </w:drawing>
        </mc:Choice>
        <mc:Fallback>
          <w:pict>
            <v:rect style="position:absolute;margin-left:55.200001pt;margin-top:799.055969pt;width:484.9pt;height:6.864pt;mso-position-horizontal-relative:page;mso-position-vertical-relative:page;z-index:-20622848" id="docshape49" filled="true" fillcolor="#00b3a8" stroked="false">
              <v:fill type="solid"/>
              <w10:wrap type="none"/>
            </v:rect>
          </w:pict>
        </mc:Fallback>
      </mc:AlternateContent>
    </w:r>
    <w:r>
      <w:rPr/>
      <mc:AlternateContent>
        <mc:Choice Requires="wps">
          <w:drawing>
            <wp:anchor distT="0" distB="0" distL="0" distR="0" allowOverlap="1" layoutInCell="1" locked="0" behindDoc="1" simplePos="0" relativeHeight="482694144">
              <wp:simplePos x="0" y="0"/>
              <wp:positionH relativeFrom="page">
                <wp:posOffset>3685666</wp:posOffset>
              </wp:positionH>
              <wp:positionV relativeFrom="page">
                <wp:posOffset>9995630</wp:posOffset>
              </wp:positionV>
              <wp:extent cx="201930" cy="139700"/>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201930" cy="139700"/>
                      </a:xfrm>
                      <a:prstGeom prst="rect">
                        <a:avLst/>
                      </a:prstGeom>
                    </wps:spPr>
                    <wps:txbx>
                      <w:txbxContent>
                        <w:p>
                          <w:pPr>
                            <w:spacing w:before="15"/>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43</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290.209991pt;margin-top:787.057556pt;width:15.9pt;height:11pt;mso-position-horizontal-relative:page;mso-position-vertical-relative:page;z-index:-20622336" type="#_x0000_t202" id="docshape50" filled="false" stroked="false">
              <v:textbox inset="0,0,0,0">
                <w:txbxContent>
                  <w:p>
                    <w:pPr>
                      <w:spacing w:before="15"/>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43</w:t>
                    </w:r>
                    <w:r>
                      <w:rPr>
                        <w:spacing w:val="-5"/>
                        <w:sz w:val="16"/>
                      </w:rPr>
                      <w:fldChar w:fldCharType="end"/>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95168">
              <wp:simplePos x="0" y="0"/>
              <wp:positionH relativeFrom="page">
                <wp:posOffset>896416</wp:posOffset>
              </wp:positionH>
              <wp:positionV relativeFrom="page">
                <wp:posOffset>9876738</wp:posOffset>
              </wp:positionV>
              <wp:extent cx="5769610" cy="88900"/>
              <wp:effectExtent l="0" t="0" r="0" b="0"/>
              <wp:wrapNone/>
              <wp:docPr id="57" name="Graphic 57"/>
              <wp:cNvGraphicFramePr>
                <a:graphicFrameLocks/>
              </wp:cNvGraphicFramePr>
              <a:graphic>
                <a:graphicData uri="http://schemas.microsoft.com/office/word/2010/wordprocessingShape">
                  <wps:wsp>
                    <wps:cNvPr id="57" name="Graphic 57"/>
                    <wps:cNvSpPr/>
                    <wps:spPr>
                      <a:xfrm>
                        <a:off x="0" y="0"/>
                        <a:ext cx="5769610" cy="88900"/>
                      </a:xfrm>
                      <a:custGeom>
                        <a:avLst/>
                        <a:gdLst/>
                        <a:ahLst/>
                        <a:cxnLst/>
                        <a:rect l="l" t="t" r="r" b="b"/>
                        <a:pathLst>
                          <a:path w="5769610" h="88900">
                            <a:moveTo>
                              <a:pt x="5769229" y="0"/>
                            </a:moveTo>
                            <a:lnTo>
                              <a:pt x="0" y="0"/>
                            </a:lnTo>
                            <a:lnTo>
                              <a:pt x="0" y="88392"/>
                            </a:lnTo>
                            <a:lnTo>
                              <a:pt x="5769229" y="88392"/>
                            </a:lnTo>
                            <a:lnTo>
                              <a:pt x="5769229" y="0"/>
                            </a:lnTo>
                            <a:close/>
                          </a:path>
                        </a:pathLst>
                      </a:custGeom>
                      <a:solidFill>
                        <a:srgbClr val="00B3A8"/>
                      </a:solidFill>
                    </wps:spPr>
                    <wps:bodyPr wrap="square" lIns="0" tIns="0" rIns="0" bIns="0" rtlCol="0">
                      <a:prstTxWarp prst="textNoShape">
                        <a:avLst/>
                      </a:prstTxWarp>
                      <a:noAutofit/>
                    </wps:bodyPr>
                  </wps:wsp>
                </a:graphicData>
              </a:graphic>
            </wp:anchor>
          </w:drawing>
        </mc:Choice>
        <mc:Fallback>
          <w:pict>
            <v:rect style="position:absolute;margin-left:70.584pt;margin-top:777.695984pt;width:454.27pt;height:6.96pt;mso-position-horizontal-relative:page;mso-position-vertical-relative:page;z-index:-20621312" id="docshape53" filled="true" fillcolor="#00b3a8" stroked="false">
              <v:fill type="solid"/>
              <w10:wrap type="none"/>
            </v:rect>
          </w:pict>
        </mc:Fallback>
      </mc:AlternateContent>
    </w:r>
    <w:r>
      <w:rPr/>
      <mc:AlternateContent>
        <mc:Choice Requires="wps">
          <w:drawing>
            <wp:anchor distT="0" distB="0" distL="0" distR="0" allowOverlap="1" layoutInCell="1" locked="0" behindDoc="1" simplePos="0" relativeHeight="482695680">
              <wp:simplePos x="0" y="0"/>
              <wp:positionH relativeFrom="page">
                <wp:posOffset>3685666</wp:posOffset>
              </wp:positionH>
              <wp:positionV relativeFrom="page">
                <wp:posOffset>9725883</wp:posOffset>
              </wp:positionV>
              <wp:extent cx="201930" cy="13970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201930" cy="139700"/>
                      </a:xfrm>
                      <a:prstGeom prst="rect">
                        <a:avLst/>
                      </a:prstGeom>
                    </wps:spPr>
                    <wps:txbx>
                      <w:txbxContent>
                        <w:p>
                          <w:pPr>
                            <w:spacing w:before="15"/>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55</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290.209991pt;margin-top:765.817566pt;width:15.9pt;height:11pt;mso-position-horizontal-relative:page;mso-position-vertical-relative:page;z-index:-20620800" type="#_x0000_t202" id="docshape54" filled="false" stroked="false">
              <v:textbox inset="0,0,0,0">
                <w:txbxContent>
                  <w:p>
                    <w:pPr>
                      <w:spacing w:before="15"/>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55</w:t>
                    </w:r>
                    <w:r>
                      <w:rPr>
                        <w:spacing w:val="-5"/>
                        <w:sz w:val="16"/>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96704">
              <wp:simplePos x="0" y="0"/>
              <wp:positionH relativeFrom="page">
                <wp:posOffset>896416</wp:posOffset>
              </wp:positionH>
              <wp:positionV relativeFrom="page">
                <wp:posOffset>9876738</wp:posOffset>
              </wp:positionV>
              <wp:extent cx="5769610" cy="88900"/>
              <wp:effectExtent l="0" t="0" r="0" b="0"/>
              <wp:wrapNone/>
              <wp:docPr id="82" name="Graphic 82"/>
              <wp:cNvGraphicFramePr>
                <a:graphicFrameLocks/>
              </wp:cNvGraphicFramePr>
              <a:graphic>
                <a:graphicData uri="http://schemas.microsoft.com/office/word/2010/wordprocessingShape">
                  <wps:wsp>
                    <wps:cNvPr id="82" name="Graphic 82"/>
                    <wps:cNvSpPr/>
                    <wps:spPr>
                      <a:xfrm>
                        <a:off x="0" y="0"/>
                        <a:ext cx="5769610" cy="88900"/>
                      </a:xfrm>
                      <a:custGeom>
                        <a:avLst/>
                        <a:gdLst/>
                        <a:ahLst/>
                        <a:cxnLst/>
                        <a:rect l="l" t="t" r="r" b="b"/>
                        <a:pathLst>
                          <a:path w="5769610" h="88900">
                            <a:moveTo>
                              <a:pt x="5769229" y="0"/>
                            </a:moveTo>
                            <a:lnTo>
                              <a:pt x="0" y="0"/>
                            </a:lnTo>
                            <a:lnTo>
                              <a:pt x="0" y="88392"/>
                            </a:lnTo>
                            <a:lnTo>
                              <a:pt x="5769229" y="88392"/>
                            </a:lnTo>
                            <a:lnTo>
                              <a:pt x="5769229" y="0"/>
                            </a:lnTo>
                            <a:close/>
                          </a:path>
                        </a:pathLst>
                      </a:custGeom>
                      <a:solidFill>
                        <a:srgbClr val="00B3A8"/>
                      </a:solidFill>
                    </wps:spPr>
                    <wps:bodyPr wrap="square" lIns="0" tIns="0" rIns="0" bIns="0" rtlCol="0">
                      <a:prstTxWarp prst="textNoShape">
                        <a:avLst/>
                      </a:prstTxWarp>
                      <a:noAutofit/>
                    </wps:bodyPr>
                  </wps:wsp>
                </a:graphicData>
              </a:graphic>
            </wp:anchor>
          </w:drawing>
        </mc:Choice>
        <mc:Fallback>
          <w:pict>
            <v:rect style="position:absolute;margin-left:70.584pt;margin-top:777.695984pt;width:454.27pt;height:6.96pt;mso-position-horizontal-relative:page;mso-position-vertical-relative:page;z-index:-20619776" id="docshape74" filled="true" fillcolor="#00b3a8" stroked="false">
              <v:fill type="solid"/>
              <w10:wrap type="none"/>
            </v:rect>
          </w:pict>
        </mc:Fallback>
      </mc:AlternateContent>
    </w:r>
    <w:r>
      <w:rPr/>
      <mc:AlternateContent>
        <mc:Choice Requires="wps">
          <w:drawing>
            <wp:anchor distT="0" distB="0" distL="0" distR="0" allowOverlap="1" layoutInCell="1" locked="0" behindDoc="1" simplePos="0" relativeHeight="482697216">
              <wp:simplePos x="0" y="0"/>
              <wp:positionH relativeFrom="page">
                <wp:posOffset>3685666</wp:posOffset>
              </wp:positionH>
              <wp:positionV relativeFrom="page">
                <wp:posOffset>9725883</wp:posOffset>
              </wp:positionV>
              <wp:extent cx="201930" cy="139700"/>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201930" cy="139700"/>
                      </a:xfrm>
                      <a:prstGeom prst="rect">
                        <a:avLst/>
                      </a:prstGeom>
                    </wps:spPr>
                    <wps:txbx>
                      <w:txbxContent>
                        <w:p>
                          <w:pPr>
                            <w:spacing w:before="15"/>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66</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290.209991pt;margin-top:765.817566pt;width:15.9pt;height:11pt;mso-position-horizontal-relative:page;mso-position-vertical-relative:page;z-index:-20619264" type="#_x0000_t202" id="docshape75" filled="false" stroked="false">
              <v:textbox inset="0,0,0,0">
                <w:txbxContent>
                  <w:p>
                    <w:pPr>
                      <w:spacing w:before="15"/>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66</w:t>
                    </w:r>
                    <w:r>
                      <w:rPr>
                        <w:spacing w:val="-5"/>
                        <w:sz w:val="16"/>
                      </w:rPr>
                      <w:fldChar w:fldCharType="end"/>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98240">
              <wp:simplePos x="0" y="0"/>
              <wp:positionH relativeFrom="page">
                <wp:posOffset>896416</wp:posOffset>
              </wp:positionH>
              <wp:positionV relativeFrom="page">
                <wp:posOffset>9876738</wp:posOffset>
              </wp:positionV>
              <wp:extent cx="5769610" cy="88900"/>
              <wp:effectExtent l="0" t="0" r="0" b="0"/>
              <wp:wrapNone/>
              <wp:docPr id="97" name="Graphic 97"/>
              <wp:cNvGraphicFramePr>
                <a:graphicFrameLocks/>
              </wp:cNvGraphicFramePr>
              <a:graphic>
                <a:graphicData uri="http://schemas.microsoft.com/office/word/2010/wordprocessingShape">
                  <wps:wsp>
                    <wps:cNvPr id="97" name="Graphic 97"/>
                    <wps:cNvSpPr/>
                    <wps:spPr>
                      <a:xfrm>
                        <a:off x="0" y="0"/>
                        <a:ext cx="5769610" cy="88900"/>
                      </a:xfrm>
                      <a:custGeom>
                        <a:avLst/>
                        <a:gdLst/>
                        <a:ahLst/>
                        <a:cxnLst/>
                        <a:rect l="l" t="t" r="r" b="b"/>
                        <a:pathLst>
                          <a:path w="5769610" h="88900">
                            <a:moveTo>
                              <a:pt x="5769229" y="0"/>
                            </a:moveTo>
                            <a:lnTo>
                              <a:pt x="0" y="0"/>
                            </a:lnTo>
                            <a:lnTo>
                              <a:pt x="0" y="88392"/>
                            </a:lnTo>
                            <a:lnTo>
                              <a:pt x="5769229" y="88392"/>
                            </a:lnTo>
                            <a:lnTo>
                              <a:pt x="5769229" y="0"/>
                            </a:lnTo>
                            <a:close/>
                          </a:path>
                        </a:pathLst>
                      </a:custGeom>
                      <a:solidFill>
                        <a:srgbClr val="00B3A8"/>
                      </a:solidFill>
                    </wps:spPr>
                    <wps:bodyPr wrap="square" lIns="0" tIns="0" rIns="0" bIns="0" rtlCol="0">
                      <a:prstTxWarp prst="textNoShape">
                        <a:avLst/>
                      </a:prstTxWarp>
                      <a:noAutofit/>
                    </wps:bodyPr>
                  </wps:wsp>
                </a:graphicData>
              </a:graphic>
            </wp:anchor>
          </w:drawing>
        </mc:Choice>
        <mc:Fallback>
          <w:pict>
            <v:rect style="position:absolute;margin-left:70.584pt;margin-top:777.695984pt;width:454.27pt;height:6.96pt;mso-position-horizontal-relative:page;mso-position-vertical-relative:page;z-index:-20618240" id="docshape84" filled="true" fillcolor="#00b3a8" stroked="false">
              <v:fill type="solid"/>
              <w10:wrap type="none"/>
            </v:rect>
          </w:pict>
        </mc:Fallback>
      </mc:AlternateContent>
    </w:r>
    <w:r>
      <w:rPr/>
      <mc:AlternateContent>
        <mc:Choice Requires="wps">
          <w:drawing>
            <wp:anchor distT="0" distB="0" distL="0" distR="0" allowOverlap="1" layoutInCell="1" locked="0" behindDoc="1" simplePos="0" relativeHeight="482698752">
              <wp:simplePos x="0" y="0"/>
              <wp:positionH relativeFrom="page">
                <wp:posOffset>3658234</wp:posOffset>
              </wp:positionH>
              <wp:positionV relativeFrom="page">
                <wp:posOffset>9725883</wp:posOffset>
              </wp:positionV>
              <wp:extent cx="258445" cy="139700"/>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258445" cy="139700"/>
                      </a:xfrm>
                      <a:prstGeom prst="rect">
                        <a:avLst/>
                      </a:prstGeom>
                    </wps:spPr>
                    <wps:txbx>
                      <w:txbxContent>
                        <w:p>
                          <w:pPr>
                            <w:spacing w:before="15"/>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102</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288.049988pt;margin-top:765.817566pt;width:20.350pt;height:11pt;mso-position-horizontal-relative:page;mso-position-vertical-relative:page;z-index:-20617728" type="#_x0000_t202" id="docshape85" filled="false" stroked="false">
              <v:textbox inset="0,0,0,0">
                <w:txbxContent>
                  <w:p>
                    <w:pPr>
                      <w:spacing w:before="15"/>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102</w:t>
                    </w:r>
                    <w:r>
                      <w:rPr>
                        <w:spacing w:val="-5"/>
                        <w:sz w:val="16"/>
                      </w:rPr>
                      <w:fldChar w:fldCharType="end"/>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99776">
              <wp:simplePos x="0" y="0"/>
              <wp:positionH relativeFrom="page">
                <wp:posOffset>896111</wp:posOffset>
              </wp:positionH>
              <wp:positionV relativeFrom="page">
                <wp:posOffset>6744919</wp:posOffset>
              </wp:positionV>
              <wp:extent cx="8901430" cy="86995"/>
              <wp:effectExtent l="0" t="0" r="0" b="0"/>
              <wp:wrapNone/>
              <wp:docPr id="144" name="Graphic 144"/>
              <wp:cNvGraphicFramePr>
                <a:graphicFrameLocks/>
              </wp:cNvGraphicFramePr>
              <a:graphic>
                <a:graphicData uri="http://schemas.microsoft.com/office/word/2010/wordprocessingShape">
                  <wps:wsp>
                    <wps:cNvPr id="144" name="Graphic 144"/>
                    <wps:cNvSpPr/>
                    <wps:spPr>
                      <a:xfrm>
                        <a:off x="0" y="0"/>
                        <a:ext cx="8901430" cy="86995"/>
                      </a:xfrm>
                      <a:custGeom>
                        <a:avLst/>
                        <a:gdLst/>
                        <a:ahLst/>
                        <a:cxnLst/>
                        <a:rect l="l" t="t" r="r" b="b"/>
                        <a:pathLst>
                          <a:path w="8901430" h="86995">
                            <a:moveTo>
                              <a:pt x="8901430" y="0"/>
                            </a:moveTo>
                            <a:lnTo>
                              <a:pt x="0" y="0"/>
                            </a:lnTo>
                            <a:lnTo>
                              <a:pt x="0" y="86868"/>
                            </a:lnTo>
                            <a:lnTo>
                              <a:pt x="8901430" y="86868"/>
                            </a:lnTo>
                            <a:lnTo>
                              <a:pt x="8901430" y="0"/>
                            </a:lnTo>
                            <a:close/>
                          </a:path>
                        </a:pathLst>
                      </a:custGeom>
                      <a:solidFill>
                        <a:srgbClr val="00B3A8"/>
                      </a:solidFill>
                    </wps:spPr>
                    <wps:bodyPr wrap="square" lIns="0" tIns="0" rIns="0" bIns="0" rtlCol="0">
                      <a:prstTxWarp prst="textNoShape">
                        <a:avLst/>
                      </a:prstTxWarp>
                      <a:noAutofit/>
                    </wps:bodyPr>
                  </wps:wsp>
                </a:graphicData>
              </a:graphic>
            </wp:anchor>
          </w:drawing>
        </mc:Choice>
        <mc:Fallback>
          <w:pict>
            <v:rect style="position:absolute;margin-left:70.559998pt;margin-top:531.096008pt;width:700.9pt;height:6.84pt;mso-position-horizontal-relative:page;mso-position-vertical-relative:page;z-index:-20616704" id="docshape128" filled="true" fillcolor="#00b3a8" stroked="false">
              <v:fill type="solid"/>
              <w10:wrap type="none"/>
            </v:rect>
          </w:pict>
        </mc:Fallback>
      </mc:AlternateContent>
    </w:r>
    <w:r>
      <w:rPr/>
      <mc:AlternateContent>
        <mc:Choice Requires="wps">
          <w:drawing>
            <wp:anchor distT="0" distB="0" distL="0" distR="0" allowOverlap="1" layoutInCell="1" locked="0" behindDoc="1" simplePos="0" relativeHeight="482700288">
              <wp:simplePos x="0" y="0"/>
              <wp:positionH relativeFrom="page">
                <wp:posOffset>5223383</wp:posOffset>
              </wp:positionH>
              <wp:positionV relativeFrom="page">
                <wp:posOffset>6594063</wp:posOffset>
              </wp:positionV>
              <wp:extent cx="258445" cy="139700"/>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a:off x="0" y="0"/>
                        <a:ext cx="258445" cy="139700"/>
                      </a:xfrm>
                      <a:prstGeom prst="rect">
                        <a:avLst/>
                      </a:prstGeom>
                    </wps:spPr>
                    <wps:txbx>
                      <w:txbxContent>
                        <w:p>
                          <w:pPr>
                            <w:spacing w:before="15"/>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138</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411.290009pt;margin-top:519.21759pt;width:20.350pt;height:11pt;mso-position-horizontal-relative:page;mso-position-vertical-relative:page;z-index:-20616192" type="#_x0000_t202" id="docshape129" filled="false" stroked="false">
              <v:textbox inset="0,0,0,0">
                <w:txbxContent>
                  <w:p>
                    <w:pPr>
                      <w:spacing w:before="15"/>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138</w:t>
                    </w:r>
                    <w:r>
                      <w:rPr>
                        <w:spacing w:val="-5"/>
                        <w:sz w:val="16"/>
                      </w:rPr>
                      <w:fldChar w:fldCharType="end"/>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701312">
              <wp:simplePos x="0" y="0"/>
              <wp:positionH relativeFrom="page">
                <wp:posOffset>701040</wp:posOffset>
              </wp:positionH>
              <wp:positionV relativeFrom="page">
                <wp:posOffset>10427207</wp:posOffset>
              </wp:positionV>
              <wp:extent cx="6158230" cy="86995"/>
              <wp:effectExtent l="0" t="0" r="0" b="0"/>
              <wp:wrapNone/>
              <wp:docPr id="147" name="Graphic 147"/>
              <wp:cNvGraphicFramePr>
                <a:graphicFrameLocks/>
              </wp:cNvGraphicFramePr>
              <a:graphic>
                <a:graphicData uri="http://schemas.microsoft.com/office/word/2010/wordprocessingShape">
                  <wps:wsp>
                    <wps:cNvPr id="147" name="Graphic 147"/>
                    <wps:cNvSpPr/>
                    <wps:spPr>
                      <a:xfrm>
                        <a:off x="0" y="0"/>
                        <a:ext cx="6158230" cy="86995"/>
                      </a:xfrm>
                      <a:custGeom>
                        <a:avLst/>
                        <a:gdLst/>
                        <a:ahLst/>
                        <a:cxnLst/>
                        <a:rect l="l" t="t" r="r" b="b"/>
                        <a:pathLst>
                          <a:path w="6158230" h="86995">
                            <a:moveTo>
                              <a:pt x="6158230" y="0"/>
                            </a:moveTo>
                            <a:lnTo>
                              <a:pt x="0" y="0"/>
                            </a:lnTo>
                            <a:lnTo>
                              <a:pt x="0" y="86868"/>
                            </a:lnTo>
                            <a:lnTo>
                              <a:pt x="6158230" y="86868"/>
                            </a:lnTo>
                            <a:lnTo>
                              <a:pt x="6158230" y="0"/>
                            </a:lnTo>
                            <a:close/>
                          </a:path>
                        </a:pathLst>
                      </a:custGeom>
                      <a:solidFill>
                        <a:srgbClr val="00B3A8"/>
                      </a:solidFill>
                    </wps:spPr>
                    <wps:bodyPr wrap="square" lIns="0" tIns="0" rIns="0" bIns="0" rtlCol="0">
                      <a:prstTxWarp prst="textNoShape">
                        <a:avLst/>
                      </a:prstTxWarp>
                      <a:noAutofit/>
                    </wps:bodyPr>
                  </wps:wsp>
                </a:graphicData>
              </a:graphic>
            </wp:anchor>
          </w:drawing>
        </mc:Choice>
        <mc:Fallback>
          <w:pict>
            <v:rect style="position:absolute;margin-left:55.200001pt;margin-top:821.039978pt;width:484.9pt;height:6.84pt;mso-position-horizontal-relative:page;mso-position-vertical-relative:page;z-index:-20615168" id="docshape131" filled="true" fillcolor="#00b3a8" stroked="false">
              <v:fill type="solid"/>
              <w10:wrap type="none"/>
            </v:rect>
          </w:pict>
        </mc:Fallback>
      </mc:AlternateContent>
    </w:r>
    <w:r>
      <w:rPr/>
      <mc:AlternateContent>
        <mc:Choice Requires="wps">
          <w:drawing>
            <wp:anchor distT="0" distB="0" distL="0" distR="0" allowOverlap="1" layoutInCell="1" locked="0" behindDoc="1" simplePos="0" relativeHeight="482701824">
              <wp:simplePos x="0" y="0"/>
              <wp:positionH relativeFrom="page">
                <wp:posOffset>3656710</wp:posOffset>
              </wp:positionH>
              <wp:positionV relativeFrom="page">
                <wp:posOffset>10123951</wp:posOffset>
              </wp:positionV>
              <wp:extent cx="258445" cy="139700"/>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258445" cy="139700"/>
                      </a:xfrm>
                      <a:prstGeom prst="rect">
                        <a:avLst/>
                      </a:prstGeom>
                    </wps:spPr>
                    <wps:txbx>
                      <w:txbxContent>
                        <w:p>
                          <w:pPr>
                            <w:spacing w:before="15"/>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141</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287.929993pt;margin-top:797.16156pt;width:20.350pt;height:11pt;mso-position-horizontal-relative:page;mso-position-vertical-relative:page;z-index:-20614656" type="#_x0000_t202" id="docshape132" filled="false" stroked="false">
              <v:textbox inset="0,0,0,0">
                <w:txbxContent>
                  <w:p>
                    <w:pPr>
                      <w:spacing w:before="15"/>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141</w:t>
                    </w:r>
                    <w:r>
                      <w:rPr>
                        <w:spacing w:val="-5"/>
                        <w:sz w:val="16"/>
                      </w:rPr>
                      <w:fldChar w:fldCharType="end"/>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81344">
              <wp:simplePos x="0" y="0"/>
              <wp:positionH relativeFrom="page">
                <wp:posOffset>701040</wp:posOffset>
              </wp:positionH>
              <wp:positionV relativeFrom="page">
                <wp:posOffset>10148010</wp:posOffset>
              </wp:positionV>
              <wp:extent cx="6158230" cy="87630"/>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6158230" cy="87630"/>
                      </a:xfrm>
                      <a:custGeom>
                        <a:avLst/>
                        <a:gdLst/>
                        <a:ahLst/>
                        <a:cxnLst/>
                        <a:rect l="l" t="t" r="r" b="b"/>
                        <a:pathLst>
                          <a:path w="6158230" h="87630">
                            <a:moveTo>
                              <a:pt x="6158230" y="0"/>
                            </a:moveTo>
                            <a:lnTo>
                              <a:pt x="0" y="0"/>
                            </a:lnTo>
                            <a:lnTo>
                              <a:pt x="0" y="87172"/>
                            </a:lnTo>
                            <a:lnTo>
                              <a:pt x="6158230" y="87172"/>
                            </a:lnTo>
                            <a:lnTo>
                              <a:pt x="6158230" y="0"/>
                            </a:lnTo>
                            <a:close/>
                          </a:path>
                        </a:pathLst>
                      </a:custGeom>
                      <a:solidFill>
                        <a:srgbClr val="00B3A8"/>
                      </a:solidFill>
                    </wps:spPr>
                    <wps:bodyPr wrap="square" lIns="0" tIns="0" rIns="0" bIns="0" rtlCol="0">
                      <a:prstTxWarp prst="textNoShape">
                        <a:avLst/>
                      </a:prstTxWarp>
                      <a:noAutofit/>
                    </wps:bodyPr>
                  </wps:wsp>
                </a:graphicData>
              </a:graphic>
            </wp:anchor>
          </w:drawing>
        </mc:Choice>
        <mc:Fallback>
          <w:pict>
            <v:rect style="position:absolute;margin-left:55.200001pt;margin-top:799.055969pt;width:484.9pt;height:6.864pt;mso-position-horizontal-relative:page;mso-position-vertical-relative:page;z-index:-20635136" id="docshape19" filled="true" fillcolor="#00b3a8" stroked="false">
              <v:fill type="solid"/>
              <w10:wrap type="none"/>
            </v:rect>
          </w:pict>
        </mc:Fallback>
      </mc:AlternateContent>
    </w:r>
    <w:r>
      <w:rPr/>
      <mc:AlternateContent>
        <mc:Choice Requires="wps">
          <w:drawing>
            <wp:anchor distT="0" distB="0" distL="0" distR="0" allowOverlap="1" layoutInCell="1" locked="0" behindDoc="1" simplePos="0" relativeHeight="482681856">
              <wp:simplePos x="0" y="0"/>
              <wp:positionH relativeFrom="page">
                <wp:posOffset>3685666</wp:posOffset>
              </wp:positionH>
              <wp:positionV relativeFrom="page">
                <wp:posOffset>9995630</wp:posOffset>
              </wp:positionV>
              <wp:extent cx="201930" cy="13970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201930" cy="139700"/>
                      </a:xfrm>
                      <a:prstGeom prst="rect">
                        <a:avLst/>
                      </a:prstGeom>
                    </wps:spPr>
                    <wps:txbx>
                      <w:txbxContent>
                        <w:p>
                          <w:pPr>
                            <w:spacing w:before="15"/>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33</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290.209991pt;margin-top:787.057556pt;width:15.9pt;height:11pt;mso-position-horizontal-relative:page;mso-position-vertical-relative:page;z-index:-20634624" type="#_x0000_t202" id="docshape20" filled="false" stroked="false">
              <v:textbox inset="0,0,0,0">
                <w:txbxContent>
                  <w:p>
                    <w:pPr>
                      <w:spacing w:before="15"/>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33</w:t>
                    </w:r>
                    <w:r>
                      <w:rPr>
                        <w:spacing w:val="-5"/>
                        <w:sz w:val="16"/>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703360">
              <wp:simplePos x="0" y="0"/>
              <wp:positionH relativeFrom="page">
                <wp:posOffset>701040</wp:posOffset>
              </wp:positionH>
              <wp:positionV relativeFrom="page">
                <wp:posOffset>10427207</wp:posOffset>
              </wp:positionV>
              <wp:extent cx="6158230" cy="86995"/>
              <wp:effectExtent l="0" t="0" r="0" b="0"/>
              <wp:wrapNone/>
              <wp:docPr id="234" name="Graphic 234"/>
              <wp:cNvGraphicFramePr>
                <a:graphicFrameLocks/>
              </wp:cNvGraphicFramePr>
              <a:graphic>
                <a:graphicData uri="http://schemas.microsoft.com/office/word/2010/wordprocessingShape">
                  <wps:wsp>
                    <wps:cNvPr id="234" name="Graphic 234"/>
                    <wps:cNvSpPr/>
                    <wps:spPr>
                      <a:xfrm>
                        <a:off x="0" y="0"/>
                        <a:ext cx="6158230" cy="86995"/>
                      </a:xfrm>
                      <a:custGeom>
                        <a:avLst/>
                        <a:gdLst/>
                        <a:ahLst/>
                        <a:cxnLst/>
                        <a:rect l="l" t="t" r="r" b="b"/>
                        <a:pathLst>
                          <a:path w="6158230" h="86995">
                            <a:moveTo>
                              <a:pt x="6158230" y="0"/>
                            </a:moveTo>
                            <a:lnTo>
                              <a:pt x="0" y="0"/>
                            </a:lnTo>
                            <a:lnTo>
                              <a:pt x="0" y="86868"/>
                            </a:lnTo>
                            <a:lnTo>
                              <a:pt x="6158230" y="86868"/>
                            </a:lnTo>
                            <a:lnTo>
                              <a:pt x="6158230" y="0"/>
                            </a:lnTo>
                            <a:close/>
                          </a:path>
                        </a:pathLst>
                      </a:custGeom>
                      <a:solidFill>
                        <a:srgbClr val="00B3A8"/>
                      </a:solidFill>
                    </wps:spPr>
                    <wps:bodyPr wrap="square" lIns="0" tIns="0" rIns="0" bIns="0" rtlCol="0">
                      <a:prstTxWarp prst="textNoShape">
                        <a:avLst/>
                      </a:prstTxWarp>
                      <a:noAutofit/>
                    </wps:bodyPr>
                  </wps:wsp>
                </a:graphicData>
              </a:graphic>
            </wp:anchor>
          </w:drawing>
        </mc:Choice>
        <mc:Fallback>
          <w:pict>
            <v:rect style="position:absolute;margin-left:55.200001pt;margin-top:821.039978pt;width:484.9pt;height:6.84pt;mso-position-horizontal-relative:page;mso-position-vertical-relative:page;z-index:-20613120" id="docshape202" filled="true" fillcolor="#00b3a8" stroked="false">
              <v:fill type="solid"/>
              <w10:wrap type="none"/>
            </v:rect>
          </w:pict>
        </mc:Fallback>
      </mc:AlternateContent>
    </w:r>
    <w:r>
      <w:rPr/>
      <mc:AlternateContent>
        <mc:Choice Requires="wps">
          <w:drawing>
            <wp:anchor distT="0" distB="0" distL="0" distR="0" allowOverlap="1" layoutInCell="1" locked="0" behindDoc="1" simplePos="0" relativeHeight="482703872">
              <wp:simplePos x="0" y="0"/>
              <wp:positionH relativeFrom="page">
                <wp:posOffset>3656710</wp:posOffset>
              </wp:positionH>
              <wp:positionV relativeFrom="page">
                <wp:posOffset>10123951</wp:posOffset>
              </wp:positionV>
              <wp:extent cx="258445" cy="139700"/>
              <wp:effectExtent l="0" t="0" r="0" b="0"/>
              <wp:wrapNone/>
              <wp:docPr id="235" name="Textbox 235"/>
              <wp:cNvGraphicFramePr>
                <a:graphicFrameLocks/>
              </wp:cNvGraphicFramePr>
              <a:graphic>
                <a:graphicData uri="http://schemas.microsoft.com/office/word/2010/wordprocessingShape">
                  <wps:wsp>
                    <wps:cNvPr id="235" name="Textbox 235"/>
                    <wps:cNvSpPr txBox="1"/>
                    <wps:spPr>
                      <a:xfrm>
                        <a:off x="0" y="0"/>
                        <a:ext cx="258445" cy="139700"/>
                      </a:xfrm>
                      <a:prstGeom prst="rect">
                        <a:avLst/>
                      </a:prstGeom>
                    </wps:spPr>
                    <wps:txbx>
                      <w:txbxContent>
                        <w:p>
                          <w:pPr>
                            <w:spacing w:before="15"/>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252</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287.929993pt;margin-top:797.16156pt;width:20.350pt;height:11pt;mso-position-horizontal-relative:page;mso-position-vertical-relative:page;z-index:-20612608" type="#_x0000_t202" id="docshape203" filled="false" stroked="false">
              <v:textbox inset="0,0,0,0">
                <w:txbxContent>
                  <w:p>
                    <w:pPr>
                      <w:spacing w:before="15"/>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252</w:t>
                    </w:r>
                    <w:r>
                      <w:rPr>
                        <w:spacing w:val="-5"/>
                        <w:sz w:val="16"/>
                      </w:rPr>
                      <w:fldChar w:fldCharType="end"/>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704896">
              <wp:simplePos x="0" y="0"/>
              <wp:positionH relativeFrom="page">
                <wp:posOffset>701040</wp:posOffset>
              </wp:positionH>
              <wp:positionV relativeFrom="page">
                <wp:posOffset>10427207</wp:posOffset>
              </wp:positionV>
              <wp:extent cx="6158230" cy="86995"/>
              <wp:effectExtent l="0" t="0" r="0" b="0"/>
              <wp:wrapNone/>
              <wp:docPr id="237" name="Graphic 237"/>
              <wp:cNvGraphicFramePr>
                <a:graphicFrameLocks/>
              </wp:cNvGraphicFramePr>
              <a:graphic>
                <a:graphicData uri="http://schemas.microsoft.com/office/word/2010/wordprocessingShape">
                  <wps:wsp>
                    <wps:cNvPr id="237" name="Graphic 237"/>
                    <wps:cNvSpPr/>
                    <wps:spPr>
                      <a:xfrm>
                        <a:off x="0" y="0"/>
                        <a:ext cx="6158230" cy="86995"/>
                      </a:xfrm>
                      <a:custGeom>
                        <a:avLst/>
                        <a:gdLst/>
                        <a:ahLst/>
                        <a:cxnLst/>
                        <a:rect l="l" t="t" r="r" b="b"/>
                        <a:pathLst>
                          <a:path w="6158230" h="86995">
                            <a:moveTo>
                              <a:pt x="6158230" y="0"/>
                            </a:moveTo>
                            <a:lnTo>
                              <a:pt x="0" y="0"/>
                            </a:lnTo>
                            <a:lnTo>
                              <a:pt x="0" y="86868"/>
                            </a:lnTo>
                            <a:lnTo>
                              <a:pt x="6158230" y="86868"/>
                            </a:lnTo>
                            <a:lnTo>
                              <a:pt x="6158230" y="0"/>
                            </a:lnTo>
                            <a:close/>
                          </a:path>
                        </a:pathLst>
                      </a:custGeom>
                      <a:solidFill>
                        <a:srgbClr val="00B3A8"/>
                      </a:solidFill>
                    </wps:spPr>
                    <wps:bodyPr wrap="square" lIns="0" tIns="0" rIns="0" bIns="0" rtlCol="0">
                      <a:prstTxWarp prst="textNoShape">
                        <a:avLst/>
                      </a:prstTxWarp>
                      <a:noAutofit/>
                    </wps:bodyPr>
                  </wps:wsp>
                </a:graphicData>
              </a:graphic>
            </wp:anchor>
          </w:drawing>
        </mc:Choice>
        <mc:Fallback>
          <w:pict>
            <v:rect style="position:absolute;margin-left:55.200001pt;margin-top:821.039978pt;width:484.9pt;height:6.84pt;mso-position-horizontal-relative:page;mso-position-vertical-relative:page;z-index:-20611584" id="docshape205" filled="true" fillcolor="#00b3a8" stroked="false">
              <v:fill type="solid"/>
              <w10:wrap type="none"/>
            </v:rect>
          </w:pict>
        </mc:Fallback>
      </mc:AlternateContent>
    </w:r>
    <w:r>
      <w:rPr/>
      <mc:AlternateContent>
        <mc:Choice Requires="wps">
          <w:drawing>
            <wp:anchor distT="0" distB="0" distL="0" distR="0" allowOverlap="1" layoutInCell="1" locked="0" behindDoc="1" simplePos="0" relativeHeight="482705408">
              <wp:simplePos x="0" y="0"/>
              <wp:positionH relativeFrom="page">
                <wp:posOffset>3656710</wp:posOffset>
              </wp:positionH>
              <wp:positionV relativeFrom="page">
                <wp:posOffset>10123951</wp:posOffset>
              </wp:positionV>
              <wp:extent cx="258445" cy="139700"/>
              <wp:effectExtent l="0" t="0" r="0" b="0"/>
              <wp:wrapNone/>
              <wp:docPr id="238" name="Textbox 238"/>
              <wp:cNvGraphicFramePr>
                <a:graphicFrameLocks/>
              </wp:cNvGraphicFramePr>
              <a:graphic>
                <a:graphicData uri="http://schemas.microsoft.com/office/word/2010/wordprocessingShape">
                  <wps:wsp>
                    <wps:cNvPr id="238" name="Textbox 238"/>
                    <wps:cNvSpPr txBox="1"/>
                    <wps:spPr>
                      <a:xfrm>
                        <a:off x="0" y="0"/>
                        <a:ext cx="258445" cy="139700"/>
                      </a:xfrm>
                      <a:prstGeom prst="rect">
                        <a:avLst/>
                      </a:prstGeom>
                    </wps:spPr>
                    <wps:txbx>
                      <w:txbxContent>
                        <w:p>
                          <w:pPr>
                            <w:spacing w:before="15"/>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253</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287.929993pt;margin-top:797.16156pt;width:20.350pt;height:11pt;mso-position-horizontal-relative:page;mso-position-vertical-relative:page;z-index:-20611072" type="#_x0000_t202" id="docshape206" filled="false" stroked="false">
              <v:textbox inset="0,0,0,0">
                <w:txbxContent>
                  <w:p>
                    <w:pPr>
                      <w:spacing w:before="15"/>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253</w:t>
                    </w:r>
                    <w:r>
                      <w:rPr>
                        <w:spacing w:val="-5"/>
                        <w:sz w:val="16"/>
                      </w:rPr>
                      <w:fldChar w:fldCharType="end"/>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706432">
              <wp:simplePos x="0" y="0"/>
              <wp:positionH relativeFrom="page">
                <wp:posOffset>701040</wp:posOffset>
              </wp:positionH>
              <wp:positionV relativeFrom="page">
                <wp:posOffset>10427207</wp:posOffset>
              </wp:positionV>
              <wp:extent cx="6158230" cy="86995"/>
              <wp:effectExtent l="0" t="0" r="0" b="0"/>
              <wp:wrapNone/>
              <wp:docPr id="240" name="Graphic 240"/>
              <wp:cNvGraphicFramePr>
                <a:graphicFrameLocks/>
              </wp:cNvGraphicFramePr>
              <a:graphic>
                <a:graphicData uri="http://schemas.microsoft.com/office/word/2010/wordprocessingShape">
                  <wps:wsp>
                    <wps:cNvPr id="240" name="Graphic 240"/>
                    <wps:cNvSpPr/>
                    <wps:spPr>
                      <a:xfrm>
                        <a:off x="0" y="0"/>
                        <a:ext cx="6158230" cy="86995"/>
                      </a:xfrm>
                      <a:custGeom>
                        <a:avLst/>
                        <a:gdLst/>
                        <a:ahLst/>
                        <a:cxnLst/>
                        <a:rect l="l" t="t" r="r" b="b"/>
                        <a:pathLst>
                          <a:path w="6158230" h="86995">
                            <a:moveTo>
                              <a:pt x="6158230" y="0"/>
                            </a:moveTo>
                            <a:lnTo>
                              <a:pt x="0" y="0"/>
                            </a:lnTo>
                            <a:lnTo>
                              <a:pt x="0" y="86868"/>
                            </a:lnTo>
                            <a:lnTo>
                              <a:pt x="6158230" y="86868"/>
                            </a:lnTo>
                            <a:lnTo>
                              <a:pt x="6158230" y="0"/>
                            </a:lnTo>
                            <a:close/>
                          </a:path>
                        </a:pathLst>
                      </a:custGeom>
                      <a:solidFill>
                        <a:srgbClr val="00B3A8"/>
                      </a:solidFill>
                    </wps:spPr>
                    <wps:bodyPr wrap="square" lIns="0" tIns="0" rIns="0" bIns="0" rtlCol="0">
                      <a:prstTxWarp prst="textNoShape">
                        <a:avLst/>
                      </a:prstTxWarp>
                      <a:noAutofit/>
                    </wps:bodyPr>
                  </wps:wsp>
                </a:graphicData>
              </a:graphic>
            </wp:anchor>
          </w:drawing>
        </mc:Choice>
        <mc:Fallback>
          <w:pict>
            <v:rect style="position:absolute;margin-left:55.200001pt;margin-top:821.039978pt;width:484.9pt;height:6.84pt;mso-position-horizontal-relative:page;mso-position-vertical-relative:page;z-index:-20610048" id="docshape208" filled="true" fillcolor="#00b3a8" stroked="false">
              <v:fill type="solid"/>
              <w10:wrap type="none"/>
            </v:rect>
          </w:pict>
        </mc:Fallback>
      </mc:AlternateContent>
    </w:r>
    <w:r>
      <w:rPr/>
      <mc:AlternateContent>
        <mc:Choice Requires="wps">
          <w:drawing>
            <wp:anchor distT="0" distB="0" distL="0" distR="0" allowOverlap="1" layoutInCell="1" locked="0" behindDoc="1" simplePos="0" relativeHeight="482706944">
              <wp:simplePos x="0" y="0"/>
              <wp:positionH relativeFrom="page">
                <wp:posOffset>3656710</wp:posOffset>
              </wp:positionH>
              <wp:positionV relativeFrom="page">
                <wp:posOffset>10123951</wp:posOffset>
              </wp:positionV>
              <wp:extent cx="258445" cy="139700"/>
              <wp:effectExtent l="0" t="0" r="0" b="0"/>
              <wp:wrapNone/>
              <wp:docPr id="241" name="Textbox 241"/>
              <wp:cNvGraphicFramePr>
                <a:graphicFrameLocks/>
              </wp:cNvGraphicFramePr>
              <a:graphic>
                <a:graphicData uri="http://schemas.microsoft.com/office/word/2010/wordprocessingShape">
                  <wps:wsp>
                    <wps:cNvPr id="241" name="Textbox 241"/>
                    <wps:cNvSpPr txBox="1"/>
                    <wps:spPr>
                      <a:xfrm>
                        <a:off x="0" y="0"/>
                        <a:ext cx="258445" cy="139700"/>
                      </a:xfrm>
                      <a:prstGeom prst="rect">
                        <a:avLst/>
                      </a:prstGeom>
                    </wps:spPr>
                    <wps:txbx>
                      <w:txbxContent>
                        <w:p>
                          <w:pPr>
                            <w:spacing w:before="15"/>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254</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287.929993pt;margin-top:797.16156pt;width:20.350pt;height:11pt;mso-position-horizontal-relative:page;mso-position-vertical-relative:page;z-index:-20609536" type="#_x0000_t202" id="docshape209" filled="false" stroked="false">
              <v:textbox inset="0,0,0,0">
                <w:txbxContent>
                  <w:p>
                    <w:pPr>
                      <w:spacing w:before="15"/>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254</w:t>
                    </w:r>
                    <w:r>
                      <w:rPr>
                        <w:spacing w:val="-5"/>
                        <w:sz w:val="16"/>
                      </w:rPr>
                      <w:fldChar w:fldCharType="end"/>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83392">
              <wp:simplePos x="0" y="0"/>
              <wp:positionH relativeFrom="page">
                <wp:posOffset>701040</wp:posOffset>
              </wp:positionH>
              <wp:positionV relativeFrom="page">
                <wp:posOffset>10148010</wp:posOffset>
              </wp:positionV>
              <wp:extent cx="6158230" cy="87630"/>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6158230" cy="87630"/>
                      </a:xfrm>
                      <a:custGeom>
                        <a:avLst/>
                        <a:gdLst/>
                        <a:ahLst/>
                        <a:cxnLst/>
                        <a:rect l="l" t="t" r="r" b="b"/>
                        <a:pathLst>
                          <a:path w="6158230" h="87630">
                            <a:moveTo>
                              <a:pt x="6158230" y="0"/>
                            </a:moveTo>
                            <a:lnTo>
                              <a:pt x="0" y="0"/>
                            </a:lnTo>
                            <a:lnTo>
                              <a:pt x="0" y="87172"/>
                            </a:lnTo>
                            <a:lnTo>
                              <a:pt x="6158230" y="87172"/>
                            </a:lnTo>
                            <a:lnTo>
                              <a:pt x="6158230" y="0"/>
                            </a:lnTo>
                            <a:close/>
                          </a:path>
                        </a:pathLst>
                      </a:custGeom>
                      <a:solidFill>
                        <a:srgbClr val="00B3A8"/>
                      </a:solidFill>
                    </wps:spPr>
                    <wps:bodyPr wrap="square" lIns="0" tIns="0" rIns="0" bIns="0" rtlCol="0">
                      <a:prstTxWarp prst="textNoShape">
                        <a:avLst/>
                      </a:prstTxWarp>
                      <a:noAutofit/>
                    </wps:bodyPr>
                  </wps:wsp>
                </a:graphicData>
              </a:graphic>
            </wp:anchor>
          </w:drawing>
        </mc:Choice>
        <mc:Fallback>
          <w:pict>
            <v:rect style="position:absolute;margin-left:55.200001pt;margin-top:799.055969pt;width:484.9pt;height:6.864pt;mso-position-horizontal-relative:page;mso-position-vertical-relative:page;z-index:-20633088" id="docshape23" filled="true" fillcolor="#00b3a8" stroked="false">
              <v:fill type="solid"/>
              <w10:wrap type="none"/>
            </v:rect>
          </w:pict>
        </mc:Fallback>
      </mc:AlternateContent>
    </w:r>
    <w:r>
      <w:rPr/>
      <mc:AlternateContent>
        <mc:Choice Requires="wps">
          <w:drawing>
            <wp:anchor distT="0" distB="0" distL="0" distR="0" allowOverlap="1" layoutInCell="1" locked="0" behindDoc="1" simplePos="0" relativeHeight="482683904">
              <wp:simplePos x="0" y="0"/>
              <wp:positionH relativeFrom="page">
                <wp:posOffset>3685666</wp:posOffset>
              </wp:positionH>
              <wp:positionV relativeFrom="page">
                <wp:posOffset>9995630</wp:posOffset>
              </wp:positionV>
              <wp:extent cx="201930" cy="13970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201930" cy="139700"/>
                      </a:xfrm>
                      <a:prstGeom prst="rect">
                        <a:avLst/>
                      </a:prstGeom>
                    </wps:spPr>
                    <wps:txbx>
                      <w:txbxContent>
                        <w:p>
                          <w:pPr>
                            <w:spacing w:before="15"/>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34</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290.209991pt;margin-top:787.057556pt;width:15.9pt;height:11pt;mso-position-horizontal-relative:page;mso-position-vertical-relative:page;z-index:-20632576" type="#_x0000_t202" id="docshape24" filled="false" stroked="false">
              <v:textbox inset="0,0,0,0">
                <w:txbxContent>
                  <w:p>
                    <w:pPr>
                      <w:spacing w:before="15"/>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34</w:t>
                    </w:r>
                    <w:r>
                      <w:rPr>
                        <w:spacing w:val="-5"/>
                        <w:sz w:val="16"/>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84928">
              <wp:simplePos x="0" y="0"/>
              <wp:positionH relativeFrom="page">
                <wp:posOffset>701040</wp:posOffset>
              </wp:positionH>
              <wp:positionV relativeFrom="page">
                <wp:posOffset>10148010</wp:posOffset>
              </wp:positionV>
              <wp:extent cx="6158230" cy="87630"/>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6158230" cy="87630"/>
                      </a:xfrm>
                      <a:custGeom>
                        <a:avLst/>
                        <a:gdLst/>
                        <a:ahLst/>
                        <a:cxnLst/>
                        <a:rect l="l" t="t" r="r" b="b"/>
                        <a:pathLst>
                          <a:path w="6158230" h="87630">
                            <a:moveTo>
                              <a:pt x="6158230" y="0"/>
                            </a:moveTo>
                            <a:lnTo>
                              <a:pt x="0" y="0"/>
                            </a:lnTo>
                            <a:lnTo>
                              <a:pt x="0" y="87172"/>
                            </a:lnTo>
                            <a:lnTo>
                              <a:pt x="6158230" y="87172"/>
                            </a:lnTo>
                            <a:lnTo>
                              <a:pt x="6158230" y="0"/>
                            </a:lnTo>
                            <a:close/>
                          </a:path>
                        </a:pathLst>
                      </a:custGeom>
                      <a:solidFill>
                        <a:srgbClr val="00B3A8"/>
                      </a:solidFill>
                    </wps:spPr>
                    <wps:bodyPr wrap="square" lIns="0" tIns="0" rIns="0" bIns="0" rtlCol="0">
                      <a:prstTxWarp prst="textNoShape">
                        <a:avLst/>
                      </a:prstTxWarp>
                      <a:noAutofit/>
                    </wps:bodyPr>
                  </wps:wsp>
                </a:graphicData>
              </a:graphic>
            </wp:anchor>
          </w:drawing>
        </mc:Choice>
        <mc:Fallback>
          <w:pict>
            <v:rect style="position:absolute;margin-left:55.200001pt;margin-top:799.055969pt;width:484.9pt;height:6.864pt;mso-position-horizontal-relative:page;mso-position-vertical-relative:page;z-index:-20631552" id="docshape26" filled="true" fillcolor="#00b3a8" stroked="false">
              <v:fill type="solid"/>
              <w10:wrap type="none"/>
            </v:rect>
          </w:pict>
        </mc:Fallback>
      </mc:AlternateContent>
    </w:r>
    <w:r>
      <w:rPr/>
      <mc:AlternateContent>
        <mc:Choice Requires="wps">
          <w:drawing>
            <wp:anchor distT="0" distB="0" distL="0" distR="0" allowOverlap="1" layoutInCell="1" locked="0" behindDoc="1" simplePos="0" relativeHeight="482685440">
              <wp:simplePos x="0" y="0"/>
              <wp:positionH relativeFrom="page">
                <wp:posOffset>3685666</wp:posOffset>
              </wp:positionH>
              <wp:positionV relativeFrom="page">
                <wp:posOffset>9995630</wp:posOffset>
              </wp:positionV>
              <wp:extent cx="201930" cy="13970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201930" cy="139700"/>
                      </a:xfrm>
                      <a:prstGeom prst="rect">
                        <a:avLst/>
                      </a:prstGeom>
                    </wps:spPr>
                    <wps:txbx>
                      <w:txbxContent>
                        <w:p>
                          <w:pPr>
                            <w:spacing w:before="15"/>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35</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290.209991pt;margin-top:787.057556pt;width:15.9pt;height:11pt;mso-position-horizontal-relative:page;mso-position-vertical-relative:page;z-index:-20631040" type="#_x0000_t202" id="docshape27" filled="false" stroked="false">
              <v:textbox inset="0,0,0,0">
                <w:txbxContent>
                  <w:p>
                    <w:pPr>
                      <w:spacing w:before="15"/>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35</w:t>
                    </w:r>
                    <w:r>
                      <w:rPr>
                        <w:spacing w:val="-5"/>
                        <w:sz w:val="16"/>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86976">
              <wp:simplePos x="0" y="0"/>
              <wp:positionH relativeFrom="page">
                <wp:posOffset>701040</wp:posOffset>
              </wp:positionH>
              <wp:positionV relativeFrom="page">
                <wp:posOffset>10148010</wp:posOffset>
              </wp:positionV>
              <wp:extent cx="6158230" cy="87630"/>
              <wp:effectExtent l="0" t="0" r="0" b="0"/>
              <wp:wrapNone/>
              <wp:docPr id="31" name="Graphic 31"/>
              <wp:cNvGraphicFramePr>
                <a:graphicFrameLocks/>
              </wp:cNvGraphicFramePr>
              <a:graphic>
                <a:graphicData uri="http://schemas.microsoft.com/office/word/2010/wordprocessingShape">
                  <wps:wsp>
                    <wps:cNvPr id="31" name="Graphic 31"/>
                    <wps:cNvSpPr/>
                    <wps:spPr>
                      <a:xfrm>
                        <a:off x="0" y="0"/>
                        <a:ext cx="6158230" cy="87630"/>
                      </a:xfrm>
                      <a:custGeom>
                        <a:avLst/>
                        <a:gdLst/>
                        <a:ahLst/>
                        <a:cxnLst/>
                        <a:rect l="l" t="t" r="r" b="b"/>
                        <a:pathLst>
                          <a:path w="6158230" h="87630">
                            <a:moveTo>
                              <a:pt x="6158230" y="0"/>
                            </a:moveTo>
                            <a:lnTo>
                              <a:pt x="0" y="0"/>
                            </a:lnTo>
                            <a:lnTo>
                              <a:pt x="0" y="87172"/>
                            </a:lnTo>
                            <a:lnTo>
                              <a:pt x="6158230" y="87172"/>
                            </a:lnTo>
                            <a:lnTo>
                              <a:pt x="6158230" y="0"/>
                            </a:lnTo>
                            <a:close/>
                          </a:path>
                        </a:pathLst>
                      </a:custGeom>
                      <a:solidFill>
                        <a:srgbClr val="00B3A8"/>
                      </a:solidFill>
                    </wps:spPr>
                    <wps:bodyPr wrap="square" lIns="0" tIns="0" rIns="0" bIns="0" rtlCol="0">
                      <a:prstTxWarp prst="textNoShape">
                        <a:avLst/>
                      </a:prstTxWarp>
                      <a:noAutofit/>
                    </wps:bodyPr>
                  </wps:wsp>
                </a:graphicData>
              </a:graphic>
            </wp:anchor>
          </w:drawing>
        </mc:Choice>
        <mc:Fallback>
          <w:pict>
            <v:rect style="position:absolute;margin-left:55.200001pt;margin-top:799.055969pt;width:484.9pt;height:6.864pt;mso-position-horizontal-relative:page;mso-position-vertical-relative:page;z-index:-20629504" id="docshape30" filled="true" fillcolor="#00b3a8" stroked="false">
              <v:fill type="solid"/>
              <w10:wrap type="none"/>
            </v:rect>
          </w:pict>
        </mc:Fallback>
      </mc:AlternateContent>
    </w:r>
    <w:r>
      <w:rPr/>
      <mc:AlternateContent>
        <mc:Choice Requires="wps">
          <w:drawing>
            <wp:anchor distT="0" distB="0" distL="0" distR="0" allowOverlap="1" layoutInCell="1" locked="0" behindDoc="1" simplePos="0" relativeHeight="482687488">
              <wp:simplePos x="0" y="0"/>
              <wp:positionH relativeFrom="page">
                <wp:posOffset>3685666</wp:posOffset>
              </wp:positionH>
              <wp:positionV relativeFrom="page">
                <wp:posOffset>9995630</wp:posOffset>
              </wp:positionV>
              <wp:extent cx="201930" cy="139700"/>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201930" cy="139700"/>
                      </a:xfrm>
                      <a:prstGeom prst="rect">
                        <a:avLst/>
                      </a:prstGeom>
                    </wps:spPr>
                    <wps:txbx>
                      <w:txbxContent>
                        <w:p>
                          <w:pPr>
                            <w:spacing w:before="15"/>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36</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290.209991pt;margin-top:787.057556pt;width:15.9pt;height:11pt;mso-position-horizontal-relative:page;mso-position-vertical-relative:page;z-index:-20628992" type="#_x0000_t202" id="docshape31" filled="false" stroked="false">
              <v:textbox inset="0,0,0,0">
                <w:txbxContent>
                  <w:p>
                    <w:pPr>
                      <w:spacing w:before="15"/>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36</w:t>
                    </w:r>
                    <w:r>
                      <w:rPr>
                        <w:spacing w:val="-5"/>
                        <w:sz w:val="16"/>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89024">
              <wp:simplePos x="0" y="0"/>
              <wp:positionH relativeFrom="page">
                <wp:posOffset>701040</wp:posOffset>
              </wp:positionH>
              <wp:positionV relativeFrom="page">
                <wp:posOffset>10148010</wp:posOffset>
              </wp:positionV>
              <wp:extent cx="6158230" cy="87630"/>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6158230" cy="87630"/>
                      </a:xfrm>
                      <a:custGeom>
                        <a:avLst/>
                        <a:gdLst/>
                        <a:ahLst/>
                        <a:cxnLst/>
                        <a:rect l="l" t="t" r="r" b="b"/>
                        <a:pathLst>
                          <a:path w="6158230" h="87630">
                            <a:moveTo>
                              <a:pt x="6158230" y="0"/>
                            </a:moveTo>
                            <a:lnTo>
                              <a:pt x="0" y="0"/>
                            </a:lnTo>
                            <a:lnTo>
                              <a:pt x="0" y="87172"/>
                            </a:lnTo>
                            <a:lnTo>
                              <a:pt x="6158230" y="87172"/>
                            </a:lnTo>
                            <a:lnTo>
                              <a:pt x="6158230" y="0"/>
                            </a:lnTo>
                            <a:close/>
                          </a:path>
                        </a:pathLst>
                      </a:custGeom>
                      <a:solidFill>
                        <a:srgbClr val="00B3A8"/>
                      </a:solidFill>
                    </wps:spPr>
                    <wps:bodyPr wrap="square" lIns="0" tIns="0" rIns="0" bIns="0" rtlCol="0">
                      <a:prstTxWarp prst="textNoShape">
                        <a:avLst/>
                      </a:prstTxWarp>
                      <a:noAutofit/>
                    </wps:bodyPr>
                  </wps:wsp>
                </a:graphicData>
              </a:graphic>
            </wp:anchor>
          </w:drawing>
        </mc:Choice>
        <mc:Fallback>
          <w:pict>
            <v:rect style="position:absolute;margin-left:55.200001pt;margin-top:799.055969pt;width:484.9pt;height:6.864pt;mso-position-horizontal-relative:page;mso-position-vertical-relative:page;z-index:-20627456" id="docshape34" filled="true" fillcolor="#00b3a8" stroked="false">
              <v:fill type="solid"/>
              <w10:wrap type="none"/>
            </v:rect>
          </w:pict>
        </mc:Fallback>
      </mc:AlternateContent>
    </w:r>
    <w:r>
      <w:rPr/>
      <mc:AlternateContent>
        <mc:Choice Requires="wps">
          <w:drawing>
            <wp:anchor distT="0" distB="0" distL="0" distR="0" allowOverlap="1" layoutInCell="1" locked="0" behindDoc="1" simplePos="0" relativeHeight="482689536">
              <wp:simplePos x="0" y="0"/>
              <wp:positionH relativeFrom="page">
                <wp:posOffset>3685666</wp:posOffset>
              </wp:positionH>
              <wp:positionV relativeFrom="page">
                <wp:posOffset>9995630</wp:posOffset>
              </wp:positionV>
              <wp:extent cx="201930" cy="139700"/>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201930" cy="139700"/>
                      </a:xfrm>
                      <a:prstGeom prst="rect">
                        <a:avLst/>
                      </a:prstGeom>
                    </wps:spPr>
                    <wps:txbx>
                      <w:txbxContent>
                        <w:p>
                          <w:pPr>
                            <w:spacing w:before="15"/>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37</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290.209991pt;margin-top:787.057556pt;width:15.9pt;height:11pt;mso-position-horizontal-relative:page;mso-position-vertical-relative:page;z-index:-20626944" type="#_x0000_t202" id="docshape35" filled="false" stroked="false">
              <v:textbox inset="0,0,0,0">
                <w:txbxContent>
                  <w:p>
                    <w:pPr>
                      <w:spacing w:before="15"/>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37</w:t>
                    </w:r>
                    <w:r>
                      <w:rPr>
                        <w:spacing w:val="-5"/>
                        <w:sz w:val="16"/>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90560">
              <wp:simplePos x="0" y="0"/>
              <wp:positionH relativeFrom="page">
                <wp:posOffset>701040</wp:posOffset>
              </wp:positionH>
              <wp:positionV relativeFrom="page">
                <wp:posOffset>10148010</wp:posOffset>
              </wp:positionV>
              <wp:extent cx="6158230" cy="87630"/>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6158230" cy="87630"/>
                      </a:xfrm>
                      <a:custGeom>
                        <a:avLst/>
                        <a:gdLst/>
                        <a:ahLst/>
                        <a:cxnLst/>
                        <a:rect l="l" t="t" r="r" b="b"/>
                        <a:pathLst>
                          <a:path w="6158230" h="87630">
                            <a:moveTo>
                              <a:pt x="6158230" y="0"/>
                            </a:moveTo>
                            <a:lnTo>
                              <a:pt x="0" y="0"/>
                            </a:lnTo>
                            <a:lnTo>
                              <a:pt x="0" y="87172"/>
                            </a:lnTo>
                            <a:lnTo>
                              <a:pt x="6158230" y="87172"/>
                            </a:lnTo>
                            <a:lnTo>
                              <a:pt x="6158230" y="0"/>
                            </a:lnTo>
                            <a:close/>
                          </a:path>
                        </a:pathLst>
                      </a:custGeom>
                      <a:solidFill>
                        <a:srgbClr val="00B3A8"/>
                      </a:solidFill>
                    </wps:spPr>
                    <wps:bodyPr wrap="square" lIns="0" tIns="0" rIns="0" bIns="0" rtlCol="0">
                      <a:prstTxWarp prst="textNoShape">
                        <a:avLst/>
                      </a:prstTxWarp>
                      <a:noAutofit/>
                    </wps:bodyPr>
                  </wps:wsp>
                </a:graphicData>
              </a:graphic>
            </wp:anchor>
          </w:drawing>
        </mc:Choice>
        <mc:Fallback>
          <w:pict>
            <v:rect style="position:absolute;margin-left:55.200001pt;margin-top:799.055969pt;width:484.9pt;height:6.864pt;mso-position-horizontal-relative:page;mso-position-vertical-relative:page;z-index:-20625920" id="docshape37" filled="true" fillcolor="#00b3a8" stroked="false">
              <v:fill type="solid"/>
              <w10:wrap type="none"/>
            </v:rect>
          </w:pict>
        </mc:Fallback>
      </mc:AlternateContent>
    </w:r>
    <w:r>
      <w:rPr/>
      <mc:AlternateContent>
        <mc:Choice Requires="wps">
          <w:drawing>
            <wp:anchor distT="0" distB="0" distL="0" distR="0" allowOverlap="1" layoutInCell="1" locked="0" behindDoc="1" simplePos="0" relativeHeight="482691072">
              <wp:simplePos x="0" y="0"/>
              <wp:positionH relativeFrom="page">
                <wp:posOffset>3685666</wp:posOffset>
              </wp:positionH>
              <wp:positionV relativeFrom="page">
                <wp:posOffset>9995630</wp:posOffset>
              </wp:positionV>
              <wp:extent cx="201930" cy="139700"/>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201930" cy="139700"/>
                      </a:xfrm>
                      <a:prstGeom prst="rect">
                        <a:avLst/>
                      </a:prstGeom>
                    </wps:spPr>
                    <wps:txbx>
                      <w:txbxContent>
                        <w:p>
                          <w:pPr>
                            <w:spacing w:before="15"/>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38</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290.209991pt;margin-top:787.057556pt;width:15.9pt;height:11pt;mso-position-horizontal-relative:page;mso-position-vertical-relative:page;z-index:-20625408" type="#_x0000_t202" id="docshape38" filled="false" stroked="false">
              <v:textbox inset="0,0,0,0">
                <w:txbxContent>
                  <w:p>
                    <w:pPr>
                      <w:spacing w:before="15"/>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38</w:t>
                    </w:r>
                    <w:r>
                      <w:rPr>
                        <w:spacing w:val="-5"/>
                        <w:sz w:val="16"/>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92096">
              <wp:simplePos x="0" y="0"/>
              <wp:positionH relativeFrom="page">
                <wp:posOffset>701040</wp:posOffset>
              </wp:positionH>
              <wp:positionV relativeFrom="page">
                <wp:posOffset>10148010</wp:posOffset>
              </wp:positionV>
              <wp:extent cx="6158230" cy="87630"/>
              <wp:effectExtent l="0" t="0" r="0" b="0"/>
              <wp:wrapNone/>
              <wp:docPr id="45" name="Graphic 45"/>
              <wp:cNvGraphicFramePr>
                <a:graphicFrameLocks/>
              </wp:cNvGraphicFramePr>
              <a:graphic>
                <a:graphicData uri="http://schemas.microsoft.com/office/word/2010/wordprocessingShape">
                  <wps:wsp>
                    <wps:cNvPr id="45" name="Graphic 45"/>
                    <wps:cNvSpPr/>
                    <wps:spPr>
                      <a:xfrm>
                        <a:off x="0" y="0"/>
                        <a:ext cx="6158230" cy="87630"/>
                      </a:xfrm>
                      <a:custGeom>
                        <a:avLst/>
                        <a:gdLst/>
                        <a:ahLst/>
                        <a:cxnLst/>
                        <a:rect l="l" t="t" r="r" b="b"/>
                        <a:pathLst>
                          <a:path w="6158230" h="87630">
                            <a:moveTo>
                              <a:pt x="6158230" y="0"/>
                            </a:moveTo>
                            <a:lnTo>
                              <a:pt x="0" y="0"/>
                            </a:lnTo>
                            <a:lnTo>
                              <a:pt x="0" y="87172"/>
                            </a:lnTo>
                            <a:lnTo>
                              <a:pt x="6158230" y="87172"/>
                            </a:lnTo>
                            <a:lnTo>
                              <a:pt x="6158230" y="0"/>
                            </a:lnTo>
                            <a:close/>
                          </a:path>
                        </a:pathLst>
                      </a:custGeom>
                      <a:solidFill>
                        <a:srgbClr val="00B3A8"/>
                      </a:solidFill>
                    </wps:spPr>
                    <wps:bodyPr wrap="square" lIns="0" tIns="0" rIns="0" bIns="0" rtlCol="0">
                      <a:prstTxWarp prst="textNoShape">
                        <a:avLst/>
                      </a:prstTxWarp>
                      <a:noAutofit/>
                    </wps:bodyPr>
                  </wps:wsp>
                </a:graphicData>
              </a:graphic>
            </wp:anchor>
          </w:drawing>
        </mc:Choice>
        <mc:Fallback>
          <w:pict>
            <v:rect style="position:absolute;margin-left:55.200001pt;margin-top:799.055969pt;width:484.9pt;height:6.864pt;mso-position-horizontal-relative:page;mso-position-vertical-relative:page;z-index:-20624384" id="docshape43" filled="true" fillcolor="#00b3a8" stroked="false">
              <v:fill type="solid"/>
              <w10:wrap type="none"/>
            </v:rect>
          </w:pict>
        </mc:Fallback>
      </mc:AlternateContent>
    </w:r>
    <w:r>
      <w:rPr/>
      <mc:AlternateContent>
        <mc:Choice Requires="wps">
          <w:drawing>
            <wp:anchor distT="0" distB="0" distL="0" distR="0" allowOverlap="1" layoutInCell="1" locked="0" behindDoc="1" simplePos="0" relativeHeight="482692608">
              <wp:simplePos x="0" y="0"/>
              <wp:positionH relativeFrom="page">
                <wp:posOffset>3685666</wp:posOffset>
              </wp:positionH>
              <wp:positionV relativeFrom="page">
                <wp:posOffset>9995630</wp:posOffset>
              </wp:positionV>
              <wp:extent cx="201930" cy="139700"/>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201930" cy="139700"/>
                      </a:xfrm>
                      <a:prstGeom prst="rect">
                        <a:avLst/>
                      </a:prstGeom>
                    </wps:spPr>
                    <wps:txbx>
                      <w:txbxContent>
                        <w:p>
                          <w:pPr>
                            <w:spacing w:before="15"/>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40</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290.209991pt;margin-top:787.057556pt;width:15.9pt;height:11pt;mso-position-horizontal-relative:page;mso-position-vertical-relative:page;z-index:-20623872" type="#_x0000_t202" id="docshape44" filled="false" stroked="false">
              <v:textbox inset="0,0,0,0">
                <w:txbxContent>
                  <w:p>
                    <w:pPr>
                      <w:spacing w:before="15"/>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40</w:t>
                    </w:r>
                    <w:r>
                      <w:rPr>
                        <w:spacing w:val="-5"/>
                        <w:sz w:val="16"/>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78784">
              <wp:simplePos x="0" y="0"/>
              <wp:positionH relativeFrom="page">
                <wp:posOffset>701040</wp:posOffset>
              </wp:positionH>
              <wp:positionV relativeFrom="page">
                <wp:posOffset>332231</wp:posOffset>
              </wp:positionV>
              <wp:extent cx="6158230" cy="90170"/>
              <wp:effectExtent l="0" t="0" r="0" b="0"/>
              <wp:wrapNone/>
              <wp:docPr id="2" name="Graphic 2"/>
              <wp:cNvGraphicFramePr>
                <a:graphicFrameLocks/>
              </wp:cNvGraphicFramePr>
              <a:graphic>
                <a:graphicData uri="http://schemas.microsoft.com/office/word/2010/wordprocessingShape">
                  <wps:wsp>
                    <wps:cNvPr id="2" name="Graphic 2"/>
                    <wps:cNvSpPr/>
                    <wps:spPr>
                      <a:xfrm>
                        <a:off x="0" y="0"/>
                        <a:ext cx="6158230" cy="90170"/>
                      </a:xfrm>
                      <a:custGeom>
                        <a:avLst/>
                        <a:gdLst/>
                        <a:ahLst/>
                        <a:cxnLst/>
                        <a:rect l="l" t="t" r="r" b="b"/>
                        <a:pathLst>
                          <a:path w="6158230" h="90170">
                            <a:moveTo>
                              <a:pt x="6158230" y="0"/>
                            </a:moveTo>
                            <a:lnTo>
                              <a:pt x="0" y="0"/>
                            </a:lnTo>
                            <a:lnTo>
                              <a:pt x="0" y="89916"/>
                            </a:lnTo>
                            <a:lnTo>
                              <a:pt x="6158230" y="89916"/>
                            </a:lnTo>
                            <a:lnTo>
                              <a:pt x="6158230" y="0"/>
                            </a:lnTo>
                            <a:close/>
                          </a:path>
                        </a:pathLst>
                      </a:custGeom>
                      <a:solidFill>
                        <a:srgbClr val="00B3A8"/>
                      </a:solidFill>
                    </wps:spPr>
                    <wps:bodyPr wrap="square" lIns="0" tIns="0" rIns="0" bIns="0" rtlCol="0">
                      <a:prstTxWarp prst="textNoShape">
                        <a:avLst/>
                      </a:prstTxWarp>
                      <a:noAutofit/>
                    </wps:bodyPr>
                  </wps:wsp>
                </a:graphicData>
              </a:graphic>
            </wp:anchor>
          </w:drawing>
        </mc:Choice>
        <mc:Fallback>
          <w:pict>
            <v:rect style="position:absolute;margin-left:55.200001pt;margin-top:26.159979pt;width:484.9pt;height:7.08pt;mso-position-horizontal-relative:page;mso-position-vertical-relative:page;z-index:-20637696" id="docshape1" filled="true" fillcolor="#00b3a8" stroked="false">
              <v:fill type="solid"/>
              <w10:wrap type="none"/>
            </v:rect>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93120">
              <wp:simplePos x="0" y="0"/>
              <wp:positionH relativeFrom="page">
                <wp:posOffset>701040</wp:posOffset>
              </wp:positionH>
              <wp:positionV relativeFrom="page">
                <wp:posOffset>332231</wp:posOffset>
              </wp:positionV>
              <wp:extent cx="6158230" cy="90170"/>
              <wp:effectExtent l="0" t="0" r="0" b="0"/>
              <wp:wrapNone/>
              <wp:docPr id="51" name="Graphic 51"/>
              <wp:cNvGraphicFramePr>
                <a:graphicFrameLocks/>
              </wp:cNvGraphicFramePr>
              <a:graphic>
                <a:graphicData uri="http://schemas.microsoft.com/office/word/2010/wordprocessingShape">
                  <wps:wsp>
                    <wps:cNvPr id="51" name="Graphic 51"/>
                    <wps:cNvSpPr/>
                    <wps:spPr>
                      <a:xfrm>
                        <a:off x="0" y="0"/>
                        <a:ext cx="6158230" cy="90170"/>
                      </a:xfrm>
                      <a:custGeom>
                        <a:avLst/>
                        <a:gdLst/>
                        <a:ahLst/>
                        <a:cxnLst/>
                        <a:rect l="l" t="t" r="r" b="b"/>
                        <a:pathLst>
                          <a:path w="6158230" h="90170">
                            <a:moveTo>
                              <a:pt x="6158230" y="0"/>
                            </a:moveTo>
                            <a:lnTo>
                              <a:pt x="0" y="0"/>
                            </a:lnTo>
                            <a:lnTo>
                              <a:pt x="0" y="89916"/>
                            </a:lnTo>
                            <a:lnTo>
                              <a:pt x="6158230" y="89916"/>
                            </a:lnTo>
                            <a:lnTo>
                              <a:pt x="6158230" y="0"/>
                            </a:lnTo>
                            <a:close/>
                          </a:path>
                        </a:pathLst>
                      </a:custGeom>
                      <a:solidFill>
                        <a:srgbClr val="00B3A8"/>
                      </a:solidFill>
                    </wps:spPr>
                    <wps:bodyPr wrap="square" lIns="0" tIns="0" rIns="0" bIns="0" rtlCol="0">
                      <a:prstTxWarp prst="textNoShape">
                        <a:avLst/>
                      </a:prstTxWarp>
                      <a:noAutofit/>
                    </wps:bodyPr>
                  </wps:wsp>
                </a:graphicData>
              </a:graphic>
            </wp:anchor>
          </w:drawing>
        </mc:Choice>
        <mc:Fallback>
          <w:pict>
            <v:rect style="position:absolute;margin-left:55.200001pt;margin-top:26.159979pt;width:484.9pt;height:7.08pt;mso-position-horizontal-relative:page;mso-position-vertical-relative:page;z-index:-20623360" id="docshape48" filled="true" fillcolor="#00b3a8" stroked="false">
              <v:fill type="solid"/>
              <w10:wrap type="none"/>
            </v:rect>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94656">
              <wp:simplePos x="0" y="0"/>
              <wp:positionH relativeFrom="page">
                <wp:posOffset>896416</wp:posOffset>
              </wp:positionH>
              <wp:positionV relativeFrom="page">
                <wp:posOffset>601979</wp:posOffset>
              </wp:positionV>
              <wp:extent cx="5769610" cy="88900"/>
              <wp:effectExtent l="0" t="0" r="0" b="0"/>
              <wp:wrapNone/>
              <wp:docPr id="56" name="Graphic 56"/>
              <wp:cNvGraphicFramePr>
                <a:graphicFrameLocks/>
              </wp:cNvGraphicFramePr>
              <a:graphic>
                <a:graphicData uri="http://schemas.microsoft.com/office/word/2010/wordprocessingShape">
                  <wps:wsp>
                    <wps:cNvPr id="56" name="Graphic 56"/>
                    <wps:cNvSpPr/>
                    <wps:spPr>
                      <a:xfrm>
                        <a:off x="0" y="0"/>
                        <a:ext cx="5769610" cy="88900"/>
                      </a:xfrm>
                      <a:custGeom>
                        <a:avLst/>
                        <a:gdLst/>
                        <a:ahLst/>
                        <a:cxnLst/>
                        <a:rect l="l" t="t" r="r" b="b"/>
                        <a:pathLst>
                          <a:path w="5769610" h="88900">
                            <a:moveTo>
                              <a:pt x="5769229" y="0"/>
                            </a:moveTo>
                            <a:lnTo>
                              <a:pt x="0" y="0"/>
                            </a:lnTo>
                            <a:lnTo>
                              <a:pt x="0" y="88392"/>
                            </a:lnTo>
                            <a:lnTo>
                              <a:pt x="5769229" y="88392"/>
                            </a:lnTo>
                            <a:lnTo>
                              <a:pt x="5769229" y="0"/>
                            </a:lnTo>
                            <a:close/>
                          </a:path>
                        </a:pathLst>
                      </a:custGeom>
                      <a:solidFill>
                        <a:srgbClr val="00B3A8"/>
                      </a:solidFill>
                    </wps:spPr>
                    <wps:bodyPr wrap="square" lIns="0" tIns="0" rIns="0" bIns="0" rtlCol="0">
                      <a:prstTxWarp prst="textNoShape">
                        <a:avLst/>
                      </a:prstTxWarp>
                      <a:noAutofit/>
                    </wps:bodyPr>
                  </wps:wsp>
                </a:graphicData>
              </a:graphic>
            </wp:anchor>
          </w:drawing>
        </mc:Choice>
        <mc:Fallback>
          <w:pict>
            <v:rect style="position:absolute;margin-left:70.584pt;margin-top:47.399982pt;width:454.27pt;height:6.96pt;mso-position-horizontal-relative:page;mso-position-vertical-relative:page;z-index:-20621824" id="docshape52" filled="true" fillcolor="#00b3a8" stroked="false">
              <v:fill type="solid"/>
              <w10:wrap type="none"/>
            </v:rect>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96192">
              <wp:simplePos x="0" y="0"/>
              <wp:positionH relativeFrom="page">
                <wp:posOffset>896416</wp:posOffset>
              </wp:positionH>
              <wp:positionV relativeFrom="page">
                <wp:posOffset>601979</wp:posOffset>
              </wp:positionV>
              <wp:extent cx="5769610" cy="88900"/>
              <wp:effectExtent l="0" t="0" r="0" b="0"/>
              <wp:wrapNone/>
              <wp:docPr id="81" name="Graphic 81"/>
              <wp:cNvGraphicFramePr>
                <a:graphicFrameLocks/>
              </wp:cNvGraphicFramePr>
              <a:graphic>
                <a:graphicData uri="http://schemas.microsoft.com/office/word/2010/wordprocessingShape">
                  <wps:wsp>
                    <wps:cNvPr id="81" name="Graphic 81"/>
                    <wps:cNvSpPr/>
                    <wps:spPr>
                      <a:xfrm>
                        <a:off x="0" y="0"/>
                        <a:ext cx="5769610" cy="88900"/>
                      </a:xfrm>
                      <a:custGeom>
                        <a:avLst/>
                        <a:gdLst/>
                        <a:ahLst/>
                        <a:cxnLst/>
                        <a:rect l="l" t="t" r="r" b="b"/>
                        <a:pathLst>
                          <a:path w="5769610" h="88900">
                            <a:moveTo>
                              <a:pt x="5769229" y="0"/>
                            </a:moveTo>
                            <a:lnTo>
                              <a:pt x="0" y="0"/>
                            </a:lnTo>
                            <a:lnTo>
                              <a:pt x="0" y="88392"/>
                            </a:lnTo>
                            <a:lnTo>
                              <a:pt x="5769229" y="88392"/>
                            </a:lnTo>
                            <a:lnTo>
                              <a:pt x="5769229" y="0"/>
                            </a:lnTo>
                            <a:close/>
                          </a:path>
                        </a:pathLst>
                      </a:custGeom>
                      <a:solidFill>
                        <a:srgbClr val="00B3A8"/>
                      </a:solidFill>
                    </wps:spPr>
                    <wps:bodyPr wrap="square" lIns="0" tIns="0" rIns="0" bIns="0" rtlCol="0">
                      <a:prstTxWarp prst="textNoShape">
                        <a:avLst/>
                      </a:prstTxWarp>
                      <a:noAutofit/>
                    </wps:bodyPr>
                  </wps:wsp>
                </a:graphicData>
              </a:graphic>
            </wp:anchor>
          </w:drawing>
        </mc:Choice>
        <mc:Fallback>
          <w:pict>
            <v:rect style="position:absolute;margin-left:70.584pt;margin-top:47.399982pt;width:454.27pt;height:6.96pt;mso-position-horizontal-relative:page;mso-position-vertical-relative:page;z-index:-20620288" id="docshape73" filled="true" fillcolor="#00b3a8" stroked="false">
              <v:fill type="solid"/>
              <w10:wrap type="none"/>
            </v:rect>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97728">
              <wp:simplePos x="0" y="0"/>
              <wp:positionH relativeFrom="page">
                <wp:posOffset>896416</wp:posOffset>
              </wp:positionH>
              <wp:positionV relativeFrom="page">
                <wp:posOffset>601979</wp:posOffset>
              </wp:positionV>
              <wp:extent cx="5769610" cy="88900"/>
              <wp:effectExtent l="0" t="0" r="0" b="0"/>
              <wp:wrapNone/>
              <wp:docPr id="96" name="Graphic 96"/>
              <wp:cNvGraphicFramePr>
                <a:graphicFrameLocks/>
              </wp:cNvGraphicFramePr>
              <a:graphic>
                <a:graphicData uri="http://schemas.microsoft.com/office/word/2010/wordprocessingShape">
                  <wps:wsp>
                    <wps:cNvPr id="96" name="Graphic 96"/>
                    <wps:cNvSpPr/>
                    <wps:spPr>
                      <a:xfrm>
                        <a:off x="0" y="0"/>
                        <a:ext cx="5769610" cy="88900"/>
                      </a:xfrm>
                      <a:custGeom>
                        <a:avLst/>
                        <a:gdLst/>
                        <a:ahLst/>
                        <a:cxnLst/>
                        <a:rect l="l" t="t" r="r" b="b"/>
                        <a:pathLst>
                          <a:path w="5769610" h="88900">
                            <a:moveTo>
                              <a:pt x="5769229" y="0"/>
                            </a:moveTo>
                            <a:lnTo>
                              <a:pt x="0" y="0"/>
                            </a:lnTo>
                            <a:lnTo>
                              <a:pt x="0" y="88392"/>
                            </a:lnTo>
                            <a:lnTo>
                              <a:pt x="5769229" y="88392"/>
                            </a:lnTo>
                            <a:lnTo>
                              <a:pt x="5769229" y="0"/>
                            </a:lnTo>
                            <a:close/>
                          </a:path>
                        </a:pathLst>
                      </a:custGeom>
                      <a:solidFill>
                        <a:srgbClr val="00B3A8"/>
                      </a:solidFill>
                    </wps:spPr>
                    <wps:bodyPr wrap="square" lIns="0" tIns="0" rIns="0" bIns="0" rtlCol="0">
                      <a:prstTxWarp prst="textNoShape">
                        <a:avLst/>
                      </a:prstTxWarp>
                      <a:noAutofit/>
                    </wps:bodyPr>
                  </wps:wsp>
                </a:graphicData>
              </a:graphic>
            </wp:anchor>
          </w:drawing>
        </mc:Choice>
        <mc:Fallback>
          <w:pict>
            <v:rect style="position:absolute;margin-left:70.584pt;margin-top:47.399982pt;width:454.27pt;height:6.96pt;mso-position-horizontal-relative:page;mso-position-vertical-relative:page;z-index:-20618752" id="docshape83" filled="true" fillcolor="#00b3a8" stroked="false">
              <v:fill type="solid"/>
              <w10:wrap type="none"/>
            </v:rect>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99264">
              <wp:simplePos x="0" y="0"/>
              <wp:positionH relativeFrom="page">
                <wp:posOffset>896111</wp:posOffset>
              </wp:positionH>
              <wp:positionV relativeFrom="page">
                <wp:posOffset>601980</wp:posOffset>
              </wp:positionV>
              <wp:extent cx="8901430" cy="88900"/>
              <wp:effectExtent l="0" t="0" r="0" b="0"/>
              <wp:wrapNone/>
              <wp:docPr id="143" name="Graphic 143"/>
              <wp:cNvGraphicFramePr>
                <a:graphicFrameLocks/>
              </wp:cNvGraphicFramePr>
              <a:graphic>
                <a:graphicData uri="http://schemas.microsoft.com/office/word/2010/wordprocessingShape">
                  <wps:wsp>
                    <wps:cNvPr id="143" name="Graphic 143"/>
                    <wps:cNvSpPr/>
                    <wps:spPr>
                      <a:xfrm>
                        <a:off x="0" y="0"/>
                        <a:ext cx="8901430" cy="88900"/>
                      </a:xfrm>
                      <a:custGeom>
                        <a:avLst/>
                        <a:gdLst/>
                        <a:ahLst/>
                        <a:cxnLst/>
                        <a:rect l="l" t="t" r="r" b="b"/>
                        <a:pathLst>
                          <a:path w="8901430" h="88900">
                            <a:moveTo>
                              <a:pt x="8901430" y="0"/>
                            </a:moveTo>
                            <a:lnTo>
                              <a:pt x="0" y="0"/>
                            </a:lnTo>
                            <a:lnTo>
                              <a:pt x="0" y="88392"/>
                            </a:lnTo>
                            <a:lnTo>
                              <a:pt x="8901430" y="88392"/>
                            </a:lnTo>
                            <a:lnTo>
                              <a:pt x="8901430" y="0"/>
                            </a:lnTo>
                            <a:close/>
                          </a:path>
                        </a:pathLst>
                      </a:custGeom>
                      <a:solidFill>
                        <a:srgbClr val="00B3A8"/>
                      </a:solidFill>
                    </wps:spPr>
                    <wps:bodyPr wrap="square" lIns="0" tIns="0" rIns="0" bIns="0" rtlCol="0">
                      <a:prstTxWarp prst="textNoShape">
                        <a:avLst/>
                      </a:prstTxWarp>
                      <a:noAutofit/>
                    </wps:bodyPr>
                  </wps:wsp>
                </a:graphicData>
              </a:graphic>
            </wp:anchor>
          </w:drawing>
        </mc:Choice>
        <mc:Fallback>
          <w:pict>
            <v:rect style="position:absolute;margin-left:70.559998pt;margin-top:47.400009pt;width:700.9pt;height:6.96pt;mso-position-horizontal-relative:page;mso-position-vertical-relative:page;z-index:-20617216" id="docshape127" filled="true" fillcolor="#00b3a8" stroked="false">
              <v:fill type="solid"/>
              <w10:wrap type="none"/>
            </v:rect>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700800">
              <wp:simplePos x="0" y="0"/>
              <wp:positionH relativeFrom="page">
                <wp:posOffset>701040</wp:posOffset>
              </wp:positionH>
              <wp:positionV relativeFrom="page">
                <wp:posOffset>179831</wp:posOffset>
              </wp:positionV>
              <wp:extent cx="6158230" cy="86995"/>
              <wp:effectExtent l="0" t="0" r="0" b="0"/>
              <wp:wrapNone/>
              <wp:docPr id="146" name="Graphic 146"/>
              <wp:cNvGraphicFramePr>
                <a:graphicFrameLocks/>
              </wp:cNvGraphicFramePr>
              <a:graphic>
                <a:graphicData uri="http://schemas.microsoft.com/office/word/2010/wordprocessingShape">
                  <wps:wsp>
                    <wps:cNvPr id="146" name="Graphic 146"/>
                    <wps:cNvSpPr/>
                    <wps:spPr>
                      <a:xfrm>
                        <a:off x="0" y="0"/>
                        <a:ext cx="6158230" cy="86995"/>
                      </a:xfrm>
                      <a:custGeom>
                        <a:avLst/>
                        <a:gdLst/>
                        <a:ahLst/>
                        <a:cxnLst/>
                        <a:rect l="l" t="t" r="r" b="b"/>
                        <a:pathLst>
                          <a:path w="6158230" h="86995">
                            <a:moveTo>
                              <a:pt x="6158230" y="0"/>
                            </a:moveTo>
                            <a:lnTo>
                              <a:pt x="0" y="0"/>
                            </a:lnTo>
                            <a:lnTo>
                              <a:pt x="0" y="86868"/>
                            </a:lnTo>
                            <a:lnTo>
                              <a:pt x="6158230" y="86868"/>
                            </a:lnTo>
                            <a:lnTo>
                              <a:pt x="6158230" y="0"/>
                            </a:lnTo>
                            <a:close/>
                          </a:path>
                        </a:pathLst>
                      </a:custGeom>
                      <a:solidFill>
                        <a:srgbClr val="00B3A8"/>
                      </a:solidFill>
                    </wps:spPr>
                    <wps:bodyPr wrap="square" lIns="0" tIns="0" rIns="0" bIns="0" rtlCol="0">
                      <a:prstTxWarp prst="textNoShape">
                        <a:avLst/>
                      </a:prstTxWarp>
                      <a:noAutofit/>
                    </wps:bodyPr>
                  </wps:wsp>
                </a:graphicData>
              </a:graphic>
            </wp:anchor>
          </w:drawing>
        </mc:Choice>
        <mc:Fallback>
          <w:pict>
            <v:rect style="position:absolute;margin-left:55.200001pt;margin-top:14.159978pt;width:484.9pt;height:6.84pt;mso-position-horizontal-relative:page;mso-position-vertical-relative:page;z-index:-20615680" id="docshape130" filled="true" fillcolor="#00b3a8" stroked="false">
              <v:fill type="solid"/>
              <w10:wrap type="none"/>
            </v:rect>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80320">
              <wp:simplePos x="0" y="0"/>
              <wp:positionH relativeFrom="page">
                <wp:posOffset>701040</wp:posOffset>
              </wp:positionH>
              <wp:positionV relativeFrom="page">
                <wp:posOffset>332231</wp:posOffset>
              </wp:positionV>
              <wp:extent cx="6158230" cy="90170"/>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6158230" cy="90170"/>
                      </a:xfrm>
                      <a:custGeom>
                        <a:avLst/>
                        <a:gdLst/>
                        <a:ahLst/>
                        <a:cxnLst/>
                        <a:rect l="l" t="t" r="r" b="b"/>
                        <a:pathLst>
                          <a:path w="6158230" h="90170">
                            <a:moveTo>
                              <a:pt x="6158230" y="0"/>
                            </a:moveTo>
                            <a:lnTo>
                              <a:pt x="0" y="0"/>
                            </a:lnTo>
                            <a:lnTo>
                              <a:pt x="0" y="89916"/>
                            </a:lnTo>
                            <a:lnTo>
                              <a:pt x="6158230" y="89916"/>
                            </a:lnTo>
                            <a:lnTo>
                              <a:pt x="6158230" y="0"/>
                            </a:lnTo>
                            <a:close/>
                          </a:path>
                        </a:pathLst>
                      </a:custGeom>
                      <a:solidFill>
                        <a:srgbClr val="00B3A8"/>
                      </a:solidFill>
                    </wps:spPr>
                    <wps:bodyPr wrap="square" lIns="0" tIns="0" rIns="0" bIns="0" rtlCol="0">
                      <a:prstTxWarp prst="textNoShape">
                        <a:avLst/>
                      </a:prstTxWarp>
                      <a:noAutofit/>
                    </wps:bodyPr>
                  </wps:wsp>
                </a:graphicData>
              </a:graphic>
            </wp:anchor>
          </w:drawing>
        </mc:Choice>
        <mc:Fallback>
          <w:pict>
            <v:rect style="position:absolute;margin-left:55.200001pt;margin-top:26.159979pt;width:484.9pt;height:7.08pt;mso-position-horizontal-relative:page;mso-position-vertical-relative:page;z-index:-20636160" id="docshape17" filled="true" fillcolor="#00b3a8" stroked="false">
              <v:fill type="solid"/>
              <w10:wrap type="none"/>
            </v:rect>
          </w:pict>
        </mc:Fallback>
      </mc:AlternateContent>
    </w:r>
    <w:r>
      <w:rPr/>
      <mc:AlternateContent>
        <mc:Choice Requires="wps">
          <w:drawing>
            <wp:anchor distT="0" distB="0" distL="0" distR="0" allowOverlap="1" layoutInCell="1" locked="0" behindDoc="1" simplePos="0" relativeHeight="482680832">
              <wp:simplePos x="0" y="0"/>
              <wp:positionH relativeFrom="page">
                <wp:posOffset>706627</wp:posOffset>
              </wp:positionH>
              <wp:positionV relativeFrom="page">
                <wp:posOffset>869261</wp:posOffset>
              </wp:positionV>
              <wp:extent cx="1394460" cy="182245"/>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1394460" cy="182245"/>
                      </a:xfrm>
                      <a:prstGeom prst="rect">
                        <a:avLst/>
                      </a:prstGeom>
                    </wps:spPr>
                    <wps:txbx>
                      <w:txbxContent>
                        <w:p>
                          <w:pPr>
                            <w:spacing w:before="13"/>
                            <w:ind w:left="20" w:right="0" w:firstLine="0"/>
                            <w:jc w:val="left"/>
                            <w:rPr>
                              <w:rFonts w:ascii="Arial-BoldItalicMT"/>
                              <w:b/>
                              <w:i/>
                              <w:sz w:val="22"/>
                            </w:rPr>
                          </w:pPr>
                          <w:r>
                            <w:rPr>
                              <w:rFonts w:ascii="Arial-BoldItalicMT"/>
                              <w:b/>
                              <w:i/>
                              <w:sz w:val="22"/>
                            </w:rPr>
                            <w:t>Recommendation</w:t>
                          </w:r>
                          <w:r>
                            <w:rPr>
                              <w:rFonts w:ascii="Arial-BoldItalicMT"/>
                              <w:b/>
                              <w:i/>
                              <w:spacing w:val="-7"/>
                              <w:sz w:val="22"/>
                            </w:rPr>
                            <w:t> </w:t>
                          </w:r>
                          <w:r>
                            <w:rPr>
                              <w:rFonts w:ascii="Arial-BoldItalicMT"/>
                              <w:b/>
                              <w:i/>
                              <w:spacing w:val="-5"/>
                              <w:sz w:val="22"/>
                            </w:rPr>
                            <w:t>12</w:t>
                          </w:r>
                        </w:p>
                      </w:txbxContent>
                    </wps:txbx>
                    <wps:bodyPr wrap="square" lIns="0" tIns="0" rIns="0" bIns="0" rtlCol="0">
                      <a:noAutofit/>
                    </wps:bodyPr>
                  </wps:wsp>
                </a:graphicData>
              </a:graphic>
            </wp:anchor>
          </w:drawing>
        </mc:Choice>
        <mc:Fallback>
          <w:pict>
            <v:shape style="position:absolute;margin-left:55.639999pt;margin-top:68.445763pt;width:109.8pt;height:14.35pt;mso-position-horizontal-relative:page;mso-position-vertical-relative:page;z-index:-20635648" type="#_x0000_t202" id="docshape18" filled="false" stroked="false">
              <v:textbox inset="0,0,0,0">
                <w:txbxContent>
                  <w:p>
                    <w:pPr>
                      <w:spacing w:before="13"/>
                      <w:ind w:left="20" w:right="0" w:firstLine="0"/>
                      <w:jc w:val="left"/>
                      <w:rPr>
                        <w:rFonts w:ascii="Arial-BoldItalicMT"/>
                        <w:b/>
                        <w:i/>
                        <w:sz w:val="22"/>
                      </w:rPr>
                    </w:pPr>
                    <w:r>
                      <w:rPr>
                        <w:rFonts w:ascii="Arial-BoldItalicMT"/>
                        <w:b/>
                        <w:i/>
                        <w:sz w:val="22"/>
                      </w:rPr>
                      <w:t>Recommendation</w:t>
                    </w:r>
                    <w:r>
                      <w:rPr>
                        <w:rFonts w:ascii="Arial-BoldItalicMT"/>
                        <w:b/>
                        <w:i/>
                        <w:spacing w:val="-7"/>
                        <w:sz w:val="22"/>
                      </w:rPr>
                      <w:t> </w:t>
                    </w:r>
                    <w:r>
                      <w:rPr>
                        <w:rFonts w:ascii="Arial-BoldItalicMT"/>
                        <w:b/>
                        <w:i/>
                        <w:spacing w:val="-5"/>
                        <w:sz w:val="22"/>
                      </w:rPr>
                      <w:t>12</w:t>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702336">
              <wp:simplePos x="0" y="0"/>
              <wp:positionH relativeFrom="page">
                <wp:posOffset>701040</wp:posOffset>
              </wp:positionH>
              <wp:positionV relativeFrom="page">
                <wp:posOffset>179831</wp:posOffset>
              </wp:positionV>
              <wp:extent cx="6158230" cy="86995"/>
              <wp:effectExtent l="0" t="0" r="0" b="0"/>
              <wp:wrapNone/>
              <wp:docPr id="232" name="Graphic 232"/>
              <wp:cNvGraphicFramePr>
                <a:graphicFrameLocks/>
              </wp:cNvGraphicFramePr>
              <a:graphic>
                <a:graphicData uri="http://schemas.microsoft.com/office/word/2010/wordprocessingShape">
                  <wps:wsp>
                    <wps:cNvPr id="232" name="Graphic 232"/>
                    <wps:cNvSpPr/>
                    <wps:spPr>
                      <a:xfrm>
                        <a:off x="0" y="0"/>
                        <a:ext cx="6158230" cy="86995"/>
                      </a:xfrm>
                      <a:custGeom>
                        <a:avLst/>
                        <a:gdLst/>
                        <a:ahLst/>
                        <a:cxnLst/>
                        <a:rect l="l" t="t" r="r" b="b"/>
                        <a:pathLst>
                          <a:path w="6158230" h="86995">
                            <a:moveTo>
                              <a:pt x="6158230" y="0"/>
                            </a:moveTo>
                            <a:lnTo>
                              <a:pt x="0" y="0"/>
                            </a:lnTo>
                            <a:lnTo>
                              <a:pt x="0" y="86868"/>
                            </a:lnTo>
                            <a:lnTo>
                              <a:pt x="6158230" y="86868"/>
                            </a:lnTo>
                            <a:lnTo>
                              <a:pt x="6158230" y="0"/>
                            </a:lnTo>
                            <a:close/>
                          </a:path>
                        </a:pathLst>
                      </a:custGeom>
                      <a:solidFill>
                        <a:srgbClr val="00B3A8"/>
                      </a:solidFill>
                    </wps:spPr>
                    <wps:bodyPr wrap="square" lIns="0" tIns="0" rIns="0" bIns="0" rtlCol="0">
                      <a:prstTxWarp prst="textNoShape">
                        <a:avLst/>
                      </a:prstTxWarp>
                      <a:noAutofit/>
                    </wps:bodyPr>
                  </wps:wsp>
                </a:graphicData>
              </a:graphic>
            </wp:anchor>
          </w:drawing>
        </mc:Choice>
        <mc:Fallback>
          <w:pict>
            <v:rect style="position:absolute;margin-left:55.200001pt;margin-top:14.159978pt;width:484.9pt;height:6.84pt;mso-position-horizontal-relative:page;mso-position-vertical-relative:page;z-index:-20614144" id="docshape200" filled="true" fillcolor="#00b3a8" stroked="false">
              <v:fill type="solid"/>
              <w10:wrap type="none"/>
            </v:rect>
          </w:pict>
        </mc:Fallback>
      </mc:AlternateContent>
    </w:r>
    <w:r>
      <w:rPr/>
      <mc:AlternateContent>
        <mc:Choice Requires="wps">
          <w:drawing>
            <wp:anchor distT="0" distB="0" distL="0" distR="0" allowOverlap="1" layoutInCell="1" locked="0" behindDoc="1" simplePos="0" relativeHeight="482702848">
              <wp:simplePos x="0" y="0"/>
              <wp:positionH relativeFrom="page">
                <wp:posOffset>706627</wp:posOffset>
              </wp:positionH>
              <wp:positionV relativeFrom="page">
                <wp:posOffset>608816</wp:posOffset>
              </wp:positionV>
              <wp:extent cx="3937000" cy="309880"/>
              <wp:effectExtent l="0" t="0" r="0" b="0"/>
              <wp:wrapNone/>
              <wp:docPr id="233" name="Textbox 233"/>
              <wp:cNvGraphicFramePr>
                <a:graphicFrameLocks/>
              </wp:cNvGraphicFramePr>
              <a:graphic>
                <a:graphicData uri="http://schemas.microsoft.com/office/word/2010/wordprocessingShape">
                  <wps:wsp>
                    <wps:cNvPr id="233" name="Textbox 233"/>
                    <wps:cNvSpPr txBox="1"/>
                    <wps:spPr>
                      <a:xfrm>
                        <a:off x="0" y="0"/>
                        <a:ext cx="3937000" cy="309880"/>
                      </a:xfrm>
                      <a:prstGeom prst="rect">
                        <a:avLst/>
                      </a:prstGeom>
                    </wps:spPr>
                    <wps:txbx>
                      <w:txbxContent>
                        <w:p>
                          <w:pPr>
                            <w:spacing w:before="7"/>
                            <w:ind w:left="20" w:right="0" w:firstLine="0"/>
                            <w:jc w:val="left"/>
                            <w:rPr>
                              <w:b/>
                              <w:sz w:val="40"/>
                            </w:rPr>
                          </w:pPr>
                          <w:r>
                            <w:rPr>
                              <w:b/>
                              <w:color w:val="00B1A9"/>
                              <w:sz w:val="40"/>
                            </w:rPr>
                            <w:t>Appendix</w:t>
                          </w:r>
                          <w:r>
                            <w:rPr>
                              <w:b/>
                              <w:color w:val="00B1A9"/>
                              <w:spacing w:val="-27"/>
                              <w:sz w:val="40"/>
                            </w:rPr>
                            <w:t> </w:t>
                          </w:r>
                          <w:r>
                            <w:rPr>
                              <w:b/>
                              <w:color w:val="00B1A9"/>
                              <w:sz w:val="40"/>
                            </w:rPr>
                            <w:t>A:</w:t>
                          </w:r>
                          <w:r>
                            <w:rPr>
                              <w:b/>
                              <w:color w:val="00B1A9"/>
                              <w:spacing w:val="-10"/>
                              <w:sz w:val="40"/>
                            </w:rPr>
                            <w:t> </w:t>
                          </w:r>
                          <w:r>
                            <w:rPr>
                              <w:b/>
                              <w:color w:val="00B1A9"/>
                              <w:sz w:val="40"/>
                            </w:rPr>
                            <w:t>Terms</w:t>
                          </w:r>
                          <w:r>
                            <w:rPr>
                              <w:b/>
                              <w:color w:val="00B1A9"/>
                              <w:spacing w:val="-11"/>
                              <w:sz w:val="40"/>
                            </w:rPr>
                            <w:t> </w:t>
                          </w:r>
                          <w:r>
                            <w:rPr>
                              <w:b/>
                              <w:color w:val="00B1A9"/>
                              <w:sz w:val="40"/>
                            </w:rPr>
                            <w:t>of</w:t>
                          </w:r>
                          <w:r>
                            <w:rPr>
                              <w:b/>
                              <w:color w:val="00B1A9"/>
                              <w:spacing w:val="-12"/>
                              <w:sz w:val="40"/>
                            </w:rPr>
                            <w:t> </w:t>
                          </w:r>
                          <w:r>
                            <w:rPr>
                              <w:b/>
                              <w:color w:val="00B1A9"/>
                              <w:spacing w:val="-2"/>
                              <w:sz w:val="40"/>
                            </w:rPr>
                            <w:t>Reference</w:t>
                          </w:r>
                        </w:p>
                      </w:txbxContent>
                    </wps:txbx>
                    <wps:bodyPr wrap="square" lIns="0" tIns="0" rIns="0" bIns="0" rtlCol="0">
                      <a:noAutofit/>
                    </wps:bodyPr>
                  </wps:wsp>
                </a:graphicData>
              </a:graphic>
            </wp:anchor>
          </w:drawing>
        </mc:Choice>
        <mc:Fallback>
          <w:pict>
            <v:shape style="position:absolute;margin-left:55.639999pt;margin-top:47.938297pt;width:310pt;height:24.4pt;mso-position-horizontal-relative:page;mso-position-vertical-relative:page;z-index:-20613632" type="#_x0000_t202" id="docshape201" filled="false" stroked="false">
              <v:textbox inset="0,0,0,0">
                <w:txbxContent>
                  <w:p>
                    <w:pPr>
                      <w:spacing w:before="7"/>
                      <w:ind w:left="20" w:right="0" w:firstLine="0"/>
                      <w:jc w:val="left"/>
                      <w:rPr>
                        <w:b/>
                        <w:sz w:val="40"/>
                      </w:rPr>
                    </w:pPr>
                    <w:r>
                      <w:rPr>
                        <w:b/>
                        <w:color w:val="00B1A9"/>
                        <w:sz w:val="40"/>
                      </w:rPr>
                      <w:t>Appendix</w:t>
                    </w:r>
                    <w:r>
                      <w:rPr>
                        <w:b/>
                        <w:color w:val="00B1A9"/>
                        <w:spacing w:val="-27"/>
                        <w:sz w:val="40"/>
                      </w:rPr>
                      <w:t> </w:t>
                    </w:r>
                    <w:r>
                      <w:rPr>
                        <w:b/>
                        <w:color w:val="00B1A9"/>
                        <w:sz w:val="40"/>
                      </w:rPr>
                      <w:t>A:</w:t>
                    </w:r>
                    <w:r>
                      <w:rPr>
                        <w:b/>
                        <w:color w:val="00B1A9"/>
                        <w:spacing w:val="-10"/>
                        <w:sz w:val="40"/>
                      </w:rPr>
                      <w:t> </w:t>
                    </w:r>
                    <w:r>
                      <w:rPr>
                        <w:b/>
                        <w:color w:val="00B1A9"/>
                        <w:sz w:val="40"/>
                      </w:rPr>
                      <w:t>Terms</w:t>
                    </w:r>
                    <w:r>
                      <w:rPr>
                        <w:b/>
                        <w:color w:val="00B1A9"/>
                        <w:spacing w:val="-11"/>
                        <w:sz w:val="40"/>
                      </w:rPr>
                      <w:t> </w:t>
                    </w:r>
                    <w:r>
                      <w:rPr>
                        <w:b/>
                        <w:color w:val="00B1A9"/>
                        <w:sz w:val="40"/>
                      </w:rPr>
                      <w:t>of</w:t>
                    </w:r>
                    <w:r>
                      <w:rPr>
                        <w:b/>
                        <w:color w:val="00B1A9"/>
                        <w:spacing w:val="-12"/>
                        <w:sz w:val="40"/>
                      </w:rPr>
                      <w:t> </w:t>
                    </w:r>
                    <w:r>
                      <w:rPr>
                        <w:b/>
                        <w:color w:val="00B1A9"/>
                        <w:spacing w:val="-2"/>
                        <w:sz w:val="40"/>
                      </w:rPr>
                      <w:t>Reference</w:t>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704384">
              <wp:simplePos x="0" y="0"/>
              <wp:positionH relativeFrom="page">
                <wp:posOffset>701040</wp:posOffset>
              </wp:positionH>
              <wp:positionV relativeFrom="page">
                <wp:posOffset>179831</wp:posOffset>
              </wp:positionV>
              <wp:extent cx="6158230" cy="86995"/>
              <wp:effectExtent l="0" t="0" r="0" b="0"/>
              <wp:wrapNone/>
              <wp:docPr id="236" name="Graphic 236"/>
              <wp:cNvGraphicFramePr>
                <a:graphicFrameLocks/>
              </wp:cNvGraphicFramePr>
              <a:graphic>
                <a:graphicData uri="http://schemas.microsoft.com/office/word/2010/wordprocessingShape">
                  <wps:wsp>
                    <wps:cNvPr id="236" name="Graphic 236"/>
                    <wps:cNvSpPr/>
                    <wps:spPr>
                      <a:xfrm>
                        <a:off x="0" y="0"/>
                        <a:ext cx="6158230" cy="86995"/>
                      </a:xfrm>
                      <a:custGeom>
                        <a:avLst/>
                        <a:gdLst/>
                        <a:ahLst/>
                        <a:cxnLst/>
                        <a:rect l="l" t="t" r="r" b="b"/>
                        <a:pathLst>
                          <a:path w="6158230" h="86995">
                            <a:moveTo>
                              <a:pt x="6158230" y="0"/>
                            </a:moveTo>
                            <a:lnTo>
                              <a:pt x="0" y="0"/>
                            </a:lnTo>
                            <a:lnTo>
                              <a:pt x="0" y="86868"/>
                            </a:lnTo>
                            <a:lnTo>
                              <a:pt x="6158230" y="86868"/>
                            </a:lnTo>
                            <a:lnTo>
                              <a:pt x="6158230" y="0"/>
                            </a:lnTo>
                            <a:close/>
                          </a:path>
                        </a:pathLst>
                      </a:custGeom>
                      <a:solidFill>
                        <a:srgbClr val="00B3A8"/>
                      </a:solidFill>
                    </wps:spPr>
                    <wps:bodyPr wrap="square" lIns="0" tIns="0" rIns="0" bIns="0" rtlCol="0">
                      <a:prstTxWarp prst="textNoShape">
                        <a:avLst/>
                      </a:prstTxWarp>
                      <a:noAutofit/>
                    </wps:bodyPr>
                  </wps:wsp>
                </a:graphicData>
              </a:graphic>
            </wp:anchor>
          </w:drawing>
        </mc:Choice>
        <mc:Fallback>
          <w:pict>
            <v:rect style="position:absolute;margin-left:55.200001pt;margin-top:14.159978pt;width:484.9pt;height:6.84pt;mso-position-horizontal-relative:page;mso-position-vertical-relative:page;z-index:-20612096" id="docshape204" filled="true" fillcolor="#00b3a8" stroked="false">
              <v:fill type="solid"/>
              <w10:wrap type="none"/>
            </v:rect>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705920">
              <wp:simplePos x="0" y="0"/>
              <wp:positionH relativeFrom="page">
                <wp:posOffset>701040</wp:posOffset>
              </wp:positionH>
              <wp:positionV relativeFrom="page">
                <wp:posOffset>179831</wp:posOffset>
              </wp:positionV>
              <wp:extent cx="6158230" cy="86995"/>
              <wp:effectExtent l="0" t="0" r="0" b="0"/>
              <wp:wrapNone/>
              <wp:docPr id="239" name="Graphic 239"/>
              <wp:cNvGraphicFramePr>
                <a:graphicFrameLocks/>
              </wp:cNvGraphicFramePr>
              <a:graphic>
                <a:graphicData uri="http://schemas.microsoft.com/office/word/2010/wordprocessingShape">
                  <wps:wsp>
                    <wps:cNvPr id="239" name="Graphic 239"/>
                    <wps:cNvSpPr/>
                    <wps:spPr>
                      <a:xfrm>
                        <a:off x="0" y="0"/>
                        <a:ext cx="6158230" cy="86995"/>
                      </a:xfrm>
                      <a:custGeom>
                        <a:avLst/>
                        <a:gdLst/>
                        <a:ahLst/>
                        <a:cxnLst/>
                        <a:rect l="l" t="t" r="r" b="b"/>
                        <a:pathLst>
                          <a:path w="6158230" h="86995">
                            <a:moveTo>
                              <a:pt x="6158230" y="0"/>
                            </a:moveTo>
                            <a:lnTo>
                              <a:pt x="0" y="0"/>
                            </a:lnTo>
                            <a:lnTo>
                              <a:pt x="0" y="86868"/>
                            </a:lnTo>
                            <a:lnTo>
                              <a:pt x="6158230" y="86868"/>
                            </a:lnTo>
                            <a:lnTo>
                              <a:pt x="6158230" y="0"/>
                            </a:lnTo>
                            <a:close/>
                          </a:path>
                        </a:pathLst>
                      </a:custGeom>
                      <a:solidFill>
                        <a:srgbClr val="00B3A8"/>
                      </a:solidFill>
                    </wps:spPr>
                    <wps:bodyPr wrap="square" lIns="0" tIns="0" rIns="0" bIns="0" rtlCol="0">
                      <a:prstTxWarp prst="textNoShape">
                        <a:avLst/>
                      </a:prstTxWarp>
                      <a:noAutofit/>
                    </wps:bodyPr>
                  </wps:wsp>
                </a:graphicData>
              </a:graphic>
            </wp:anchor>
          </w:drawing>
        </mc:Choice>
        <mc:Fallback>
          <w:pict>
            <v:rect style="position:absolute;margin-left:55.200001pt;margin-top:14.159978pt;width:484.9pt;height:6.84pt;mso-position-horizontal-relative:page;mso-position-vertical-relative:page;z-index:-20610560" id="docshape207" filled="true" fillcolor="#00b3a8" stroked="false">
              <v:fill type="solid"/>
              <w10:wrap type="none"/>
            </v:rect>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82368">
              <wp:simplePos x="0" y="0"/>
              <wp:positionH relativeFrom="page">
                <wp:posOffset>701040</wp:posOffset>
              </wp:positionH>
              <wp:positionV relativeFrom="page">
                <wp:posOffset>332231</wp:posOffset>
              </wp:positionV>
              <wp:extent cx="6158230" cy="90170"/>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6158230" cy="90170"/>
                      </a:xfrm>
                      <a:custGeom>
                        <a:avLst/>
                        <a:gdLst/>
                        <a:ahLst/>
                        <a:cxnLst/>
                        <a:rect l="l" t="t" r="r" b="b"/>
                        <a:pathLst>
                          <a:path w="6158230" h="90170">
                            <a:moveTo>
                              <a:pt x="6158230" y="0"/>
                            </a:moveTo>
                            <a:lnTo>
                              <a:pt x="0" y="0"/>
                            </a:lnTo>
                            <a:lnTo>
                              <a:pt x="0" y="89916"/>
                            </a:lnTo>
                            <a:lnTo>
                              <a:pt x="6158230" y="89916"/>
                            </a:lnTo>
                            <a:lnTo>
                              <a:pt x="6158230" y="0"/>
                            </a:lnTo>
                            <a:close/>
                          </a:path>
                        </a:pathLst>
                      </a:custGeom>
                      <a:solidFill>
                        <a:srgbClr val="00B3A8"/>
                      </a:solidFill>
                    </wps:spPr>
                    <wps:bodyPr wrap="square" lIns="0" tIns="0" rIns="0" bIns="0" rtlCol="0">
                      <a:prstTxWarp prst="textNoShape">
                        <a:avLst/>
                      </a:prstTxWarp>
                      <a:noAutofit/>
                    </wps:bodyPr>
                  </wps:wsp>
                </a:graphicData>
              </a:graphic>
            </wp:anchor>
          </w:drawing>
        </mc:Choice>
        <mc:Fallback>
          <w:pict>
            <v:rect style="position:absolute;margin-left:55.200001pt;margin-top:26.159979pt;width:484.9pt;height:7.08pt;mso-position-horizontal-relative:page;mso-position-vertical-relative:page;z-index:-20634112" id="docshape21" filled="true" fillcolor="#00b3a8" stroked="false">
              <v:fill type="solid"/>
              <w10:wrap type="none"/>
            </v:rect>
          </w:pict>
        </mc:Fallback>
      </mc:AlternateContent>
    </w:r>
    <w:r>
      <w:rPr/>
      <mc:AlternateContent>
        <mc:Choice Requires="wps">
          <w:drawing>
            <wp:anchor distT="0" distB="0" distL="0" distR="0" allowOverlap="1" layoutInCell="1" locked="0" behindDoc="1" simplePos="0" relativeHeight="482682880">
              <wp:simplePos x="0" y="0"/>
              <wp:positionH relativeFrom="page">
                <wp:posOffset>706627</wp:posOffset>
              </wp:positionH>
              <wp:positionV relativeFrom="page">
                <wp:posOffset>870785</wp:posOffset>
              </wp:positionV>
              <wp:extent cx="1394460" cy="182245"/>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1394460" cy="182245"/>
                      </a:xfrm>
                      <a:prstGeom prst="rect">
                        <a:avLst/>
                      </a:prstGeom>
                    </wps:spPr>
                    <wps:txbx>
                      <w:txbxContent>
                        <w:p>
                          <w:pPr>
                            <w:spacing w:before="13"/>
                            <w:ind w:left="20" w:right="0" w:firstLine="0"/>
                            <w:jc w:val="left"/>
                            <w:rPr>
                              <w:rFonts w:ascii="Arial-BoldItalicMT"/>
                              <w:b/>
                              <w:i/>
                              <w:sz w:val="22"/>
                            </w:rPr>
                          </w:pPr>
                          <w:r>
                            <w:rPr>
                              <w:rFonts w:ascii="Arial-BoldItalicMT"/>
                              <w:b/>
                              <w:i/>
                              <w:sz w:val="22"/>
                            </w:rPr>
                            <w:t>Recommendation</w:t>
                          </w:r>
                          <w:r>
                            <w:rPr>
                              <w:rFonts w:ascii="Arial-BoldItalicMT"/>
                              <w:b/>
                              <w:i/>
                              <w:spacing w:val="-7"/>
                              <w:sz w:val="22"/>
                            </w:rPr>
                            <w:t> </w:t>
                          </w:r>
                          <w:r>
                            <w:rPr>
                              <w:rFonts w:ascii="Arial-BoldItalicMT"/>
                              <w:b/>
                              <w:i/>
                              <w:spacing w:val="-5"/>
                              <w:sz w:val="22"/>
                            </w:rPr>
                            <w:t>18</w:t>
                          </w:r>
                        </w:p>
                      </w:txbxContent>
                    </wps:txbx>
                    <wps:bodyPr wrap="square" lIns="0" tIns="0" rIns="0" bIns="0" rtlCol="0">
                      <a:noAutofit/>
                    </wps:bodyPr>
                  </wps:wsp>
                </a:graphicData>
              </a:graphic>
            </wp:anchor>
          </w:drawing>
        </mc:Choice>
        <mc:Fallback>
          <w:pict>
            <v:shape style="position:absolute;margin-left:55.639999pt;margin-top:68.565758pt;width:109.8pt;height:14.35pt;mso-position-horizontal-relative:page;mso-position-vertical-relative:page;z-index:-20633600" type="#_x0000_t202" id="docshape22" filled="false" stroked="false">
              <v:textbox inset="0,0,0,0">
                <w:txbxContent>
                  <w:p>
                    <w:pPr>
                      <w:spacing w:before="13"/>
                      <w:ind w:left="20" w:right="0" w:firstLine="0"/>
                      <w:jc w:val="left"/>
                      <w:rPr>
                        <w:rFonts w:ascii="Arial-BoldItalicMT"/>
                        <w:b/>
                        <w:i/>
                        <w:sz w:val="22"/>
                      </w:rPr>
                    </w:pPr>
                    <w:r>
                      <w:rPr>
                        <w:rFonts w:ascii="Arial-BoldItalicMT"/>
                        <w:b/>
                        <w:i/>
                        <w:sz w:val="22"/>
                      </w:rPr>
                      <w:t>Recommendation</w:t>
                    </w:r>
                    <w:r>
                      <w:rPr>
                        <w:rFonts w:ascii="Arial-BoldItalicMT"/>
                        <w:b/>
                        <w:i/>
                        <w:spacing w:val="-7"/>
                        <w:sz w:val="22"/>
                      </w:rPr>
                      <w:t> </w:t>
                    </w:r>
                    <w:r>
                      <w:rPr>
                        <w:rFonts w:ascii="Arial-BoldItalicMT"/>
                        <w:b/>
                        <w:i/>
                        <w:spacing w:val="-5"/>
                        <w:sz w:val="22"/>
                      </w:rPr>
                      <w:t>18</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84416">
              <wp:simplePos x="0" y="0"/>
              <wp:positionH relativeFrom="page">
                <wp:posOffset>701040</wp:posOffset>
              </wp:positionH>
              <wp:positionV relativeFrom="page">
                <wp:posOffset>332231</wp:posOffset>
              </wp:positionV>
              <wp:extent cx="6158230" cy="9017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6158230" cy="90170"/>
                      </a:xfrm>
                      <a:custGeom>
                        <a:avLst/>
                        <a:gdLst/>
                        <a:ahLst/>
                        <a:cxnLst/>
                        <a:rect l="l" t="t" r="r" b="b"/>
                        <a:pathLst>
                          <a:path w="6158230" h="90170">
                            <a:moveTo>
                              <a:pt x="6158230" y="0"/>
                            </a:moveTo>
                            <a:lnTo>
                              <a:pt x="0" y="0"/>
                            </a:lnTo>
                            <a:lnTo>
                              <a:pt x="0" y="89916"/>
                            </a:lnTo>
                            <a:lnTo>
                              <a:pt x="6158230" y="89916"/>
                            </a:lnTo>
                            <a:lnTo>
                              <a:pt x="6158230" y="0"/>
                            </a:lnTo>
                            <a:close/>
                          </a:path>
                        </a:pathLst>
                      </a:custGeom>
                      <a:solidFill>
                        <a:srgbClr val="00B3A8"/>
                      </a:solidFill>
                    </wps:spPr>
                    <wps:bodyPr wrap="square" lIns="0" tIns="0" rIns="0" bIns="0" rtlCol="0">
                      <a:prstTxWarp prst="textNoShape">
                        <a:avLst/>
                      </a:prstTxWarp>
                      <a:noAutofit/>
                    </wps:bodyPr>
                  </wps:wsp>
                </a:graphicData>
              </a:graphic>
            </wp:anchor>
          </w:drawing>
        </mc:Choice>
        <mc:Fallback>
          <w:pict>
            <v:rect style="position:absolute;margin-left:55.200001pt;margin-top:26.159979pt;width:484.9pt;height:7.08pt;mso-position-horizontal-relative:page;mso-position-vertical-relative:page;z-index:-20632064" id="docshape25" filled="true" fillcolor="#00b3a8" stroked="false">
              <v:fill type="solid"/>
              <w10:wrap type="none"/>
            </v:rect>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85952">
              <wp:simplePos x="0" y="0"/>
              <wp:positionH relativeFrom="page">
                <wp:posOffset>701040</wp:posOffset>
              </wp:positionH>
              <wp:positionV relativeFrom="page">
                <wp:posOffset>332231</wp:posOffset>
              </wp:positionV>
              <wp:extent cx="6158230" cy="90170"/>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6158230" cy="90170"/>
                      </a:xfrm>
                      <a:custGeom>
                        <a:avLst/>
                        <a:gdLst/>
                        <a:ahLst/>
                        <a:cxnLst/>
                        <a:rect l="l" t="t" r="r" b="b"/>
                        <a:pathLst>
                          <a:path w="6158230" h="90170">
                            <a:moveTo>
                              <a:pt x="6158230" y="0"/>
                            </a:moveTo>
                            <a:lnTo>
                              <a:pt x="0" y="0"/>
                            </a:lnTo>
                            <a:lnTo>
                              <a:pt x="0" y="89916"/>
                            </a:lnTo>
                            <a:lnTo>
                              <a:pt x="6158230" y="89916"/>
                            </a:lnTo>
                            <a:lnTo>
                              <a:pt x="6158230" y="0"/>
                            </a:lnTo>
                            <a:close/>
                          </a:path>
                        </a:pathLst>
                      </a:custGeom>
                      <a:solidFill>
                        <a:srgbClr val="00B3A8"/>
                      </a:solidFill>
                    </wps:spPr>
                    <wps:bodyPr wrap="square" lIns="0" tIns="0" rIns="0" bIns="0" rtlCol="0">
                      <a:prstTxWarp prst="textNoShape">
                        <a:avLst/>
                      </a:prstTxWarp>
                      <a:noAutofit/>
                    </wps:bodyPr>
                  </wps:wsp>
                </a:graphicData>
              </a:graphic>
            </wp:anchor>
          </w:drawing>
        </mc:Choice>
        <mc:Fallback>
          <w:pict>
            <v:rect style="position:absolute;margin-left:55.200001pt;margin-top:26.159979pt;width:484.9pt;height:7.08pt;mso-position-horizontal-relative:page;mso-position-vertical-relative:page;z-index:-20630528" id="docshape28" filled="true" fillcolor="#00b3a8" stroked="false">
              <v:fill type="solid"/>
              <w10:wrap type="none"/>
            </v:rect>
          </w:pict>
        </mc:Fallback>
      </mc:AlternateContent>
    </w:r>
    <w:r>
      <w:rPr/>
      <mc:AlternateContent>
        <mc:Choice Requires="wps">
          <w:drawing>
            <wp:anchor distT="0" distB="0" distL="0" distR="0" allowOverlap="1" layoutInCell="1" locked="0" behindDoc="1" simplePos="0" relativeHeight="482686464">
              <wp:simplePos x="0" y="0"/>
              <wp:positionH relativeFrom="page">
                <wp:posOffset>706627</wp:posOffset>
              </wp:positionH>
              <wp:positionV relativeFrom="page">
                <wp:posOffset>870785</wp:posOffset>
              </wp:positionV>
              <wp:extent cx="1394460" cy="182245"/>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1394460" cy="182245"/>
                      </a:xfrm>
                      <a:prstGeom prst="rect">
                        <a:avLst/>
                      </a:prstGeom>
                    </wps:spPr>
                    <wps:txbx>
                      <w:txbxContent>
                        <w:p>
                          <w:pPr>
                            <w:spacing w:before="13"/>
                            <w:ind w:left="20" w:right="0" w:firstLine="0"/>
                            <w:jc w:val="left"/>
                            <w:rPr>
                              <w:rFonts w:ascii="Arial-BoldItalicMT"/>
                              <w:b/>
                              <w:i/>
                              <w:sz w:val="22"/>
                            </w:rPr>
                          </w:pPr>
                          <w:r>
                            <w:rPr>
                              <w:rFonts w:ascii="Arial-BoldItalicMT"/>
                              <w:b/>
                              <w:i/>
                              <w:sz w:val="22"/>
                            </w:rPr>
                            <w:t>Recommendation</w:t>
                          </w:r>
                          <w:r>
                            <w:rPr>
                              <w:rFonts w:ascii="Arial-BoldItalicMT"/>
                              <w:b/>
                              <w:i/>
                              <w:spacing w:val="-7"/>
                              <w:sz w:val="22"/>
                            </w:rPr>
                            <w:t> </w:t>
                          </w:r>
                          <w:r>
                            <w:rPr>
                              <w:rFonts w:ascii="Arial-BoldItalicMT"/>
                              <w:b/>
                              <w:i/>
                              <w:spacing w:val="-5"/>
                              <w:sz w:val="22"/>
                            </w:rPr>
                            <w:t>29</w:t>
                          </w:r>
                        </w:p>
                      </w:txbxContent>
                    </wps:txbx>
                    <wps:bodyPr wrap="square" lIns="0" tIns="0" rIns="0" bIns="0" rtlCol="0">
                      <a:noAutofit/>
                    </wps:bodyPr>
                  </wps:wsp>
                </a:graphicData>
              </a:graphic>
            </wp:anchor>
          </w:drawing>
        </mc:Choice>
        <mc:Fallback>
          <w:pict>
            <v:shape style="position:absolute;margin-left:55.639999pt;margin-top:68.565758pt;width:109.8pt;height:14.35pt;mso-position-horizontal-relative:page;mso-position-vertical-relative:page;z-index:-20630016" type="#_x0000_t202" id="docshape29" filled="false" stroked="false">
              <v:textbox inset="0,0,0,0">
                <w:txbxContent>
                  <w:p>
                    <w:pPr>
                      <w:spacing w:before="13"/>
                      <w:ind w:left="20" w:right="0" w:firstLine="0"/>
                      <w:jc w:val="left"/>
                      <w:rPr>
                        <w:rFonts w:ascii="Arial-BoldItalicMT"/>
                        <w:b/>
                        <w:i/>
                        <w:sz w:val="22"/>
                      </w:rPr>
                    </w:pPr>
                    <w:r>
                      <w:rPr>
                        <w:rFonts w:ascii="Arial-BoldItalicMT"/>
                        <w:b/>
                        <w:i/>
                        <w:sz w:val="22"/>
                      </w:rPr>
                      <w:t>Recommendation</w:t>
                    </w:r>
                    <w:r>
                      <w:rPr>
                        <w:rFonts w:ascii="Arial-BoldItalicMT"/>
                        <w:b/>
                        <w:i/>
                        <w:spacing w:val="-7"/>
                        <w:sz w:val="22"/>
                      </w:rPr>
                      <w:t> </w:t>
                    </w:r>
                    <w:r>
                      <w:rPr>
                        <w:rFonts w:ascii="Arial-BoldItalicMT"/>
                        <w:b/>
                        <w:i/>
                        <w:spacing w:val="-5"/>
                        <w:sz w:val="22"/>
                      </w:rPr>
                      <w:t>29</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88000">
              <wp:simplePos x="0" y="0"/>
              <wp:positionH relativeFrom="page">
                <wp:posOffset>701040</wp:posOffset>
              </wp:positionH>
              <wp:positionV relativeFrom="page">
                <wp:posOffset>332231</wp:posOffset>
              </wp:positionV>
              <wp:extent cx="6158230" cy="90170"/>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6158230" cy="90170"/>
                      </a:xfrm>
                      <a:custGeom>
                        <a:avLst/>
                        <a:gdLst/>
                        <a:ahLst/>
                        <a:cxnLst/>
                        <a:rect l="l" t="t" r="r" b="b"/>
                        <a:pathLst>
                          <a:path w="6158230" h="90170">
                            <a:moveTo>
                              <a:pt x="6158230" y="0"/>
                            </a:moveTo>
                            <a:lnTo>
                              <a:pt x="0" y="0"/>
                            </a:lnTo>
                            <a:lnTo>
                              <a:pt x="0" y="89916"/>
                            </a:lnTo>
                            <a:lnTo>
                              <a:pt x="6158230" y="89916"/>
                            </a:lnTo>
                            <a:lnTo>
                              <a:pt x="6158230" y="0"/>
                            </a:lnTo>
                            <a:close/>
                          </a:path>
                        </a:pathLst>
                      </a:custGeom>
                      <a:solidFill>
                        <a:srgbClr val="00B3A8"/>
                      </a:solidFill>
                    </wps:spPr>
                    <wps:bodyPr wrap="square" lIns="0" tIns="0" rIns="0" bIns="0" rtlCol="0">
                      <a:prstTxWarp prst="textNoShape">
                        <a:avLst/>
                      </a:prstTxWarp>
                      <a:noAutofit/>
                    </wps:bodyPr>
                  </wps:wsp>
                </a:graphicData>
              </a:graphic>
            </wp:anchor>
          </w:drawing>
        </mc:Choice>
        <mc:Fallback>
          <w:pict>
            <v:rect style="position:absolute;margin-left:55.200001pt;margin-top:26.159979pt;width:484.9pt;height:7.08pt;mso-position-horizontal-relative:page;mso-position-vertical-relative:page;z-index:-20628480" id="docshape32" filled="true" fillcolor="#00b3a8" stroked="false">
              <v:fill type="solid"/>
              <w10:wrap type="none"/>
            </v:rect>
          </w:pict>
        </mc:Fallback>
      </mc:AlternateContent>
    </w:r>
    <w:r>
      <w:rPr/>
      <mc:AlternateContent>
        <mc:Choice Requires="wps">
          <w:drawing>
            <wp:anchor distT="0" distB="0" distL="0" distR="0" allowOverlap="1" layoutInCell="1" locked="0" behindDoc="1" simplePos="0" relativeHeight="482688512">
              <wp:simplePos x="0" y="0"/>
              <wp:positionH relativeFrom="page">
                <wp:posOffset>706627</wp:posOffset>
              </wp:positionH>
              <wp:positionV relativeFrom="page">
                <wp:posOffset>870785</wp:posOffset>
              </wp:positionV>
              <wp:extent cx="1394460" cy="182245"/>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1394460" cy="182245"/>
                      </a:xfrm>
                      <a:prstGeom prst="rect">
                        <a:avLst/>
                      </a:prstGeom>
                    </wps:spPr>
                    <wps:txbx>
                      <w:txbxContent>
                        <w:p>
                          <w:pPr>
                            <w:spacing w:before="13"/>
                            <w:ind w:left="20" w:right="0" w:firstLine="0"/>
                            <w:jc w:val="left"/>
                            <w:rPr>
                              <w:rFonts w:ascii="Arial-BoldItalicMT"/>
                              <w:b/>
                              <w:i/>
                              <w:sz w:val="22"/>
                            </w:rPr>
                          </w:pPr>
                          <w:r>
                            <w:rPr>
                              <w:rFonts w:ascii="Arial-BoldItalicMT"/>
                              <w:b/>
                              <w:i/>
                              <w:sz w:val="22"/>
                            </w:rPr>
                            <w:t>Recommendation</w:t>
                          </w:r>
                          <w:r>
                            <w:rPr>
                              <w:rFonts w:ascii="Arial-BoldItalicMT"/>
                              <w:b/>
                              <w:i/>
                              <w:spacing w:val="-7"/>
                              <w:sz w:val="22"/>
                            </w:rPr>
                            <w:t> </w:t>
                          </w:r>
                          <w:r>
                            <w:rPr>
                              <w:rFonts w:ascii="Arial-BoldItalicMT"/>
                              <w:b/>
                              <w:i/>
                              <w:spacing w:val="-5"/>
                              <w:sz w:val="22"/>
                            </w:rPr>
                            <w:t>35</w:t>
                          </w:r>
                        </w:p>
                      </w:txbxContent>
                    </wps:txbx>
                    <wps:bodyPr wrap="square" lIns="0" tIns="0" rIns="0" bIns="0" rtlCol="0">
                      <a:noAutofit/>
                    </wps:bodyPr>
                  </wps:wsp>
                </a:graphicData>
              </a:graphic>
            </wp:anchor>
          </w:drawing>
        </mc:Choice>
        <mc:Fallback>
          <w:pict>
            <v:shape style="position:absolute;margin-left:55.639999pt;margin-top:68.565758pt;width:109.8pt;height:14.35pt;mso-position-horizontal-relative:page;mso-position-vertical-relative:page;z-index:-20627968" type="#_x0000_t202" id="docshape33" filled="false" stroked="false">
              <v:textbox inset="0,0,0,0">
                <w:txbxContent>
                  <w:p>
                    <w:pPr>
                      <w:spacing w:before="13"/>
                      <w:ind w:left="20" w:right="0" w:firstLine="0"/>
                      <w:jc w:val="left"/>
                      <w:rPr>
                        <w:rFonts w:ascii="Arial-BoldItalicMT"/>
                        <w:b/>
                        <w:i/>
                        <w:sz w:val="22"/>
                      </w:rPr>
                    </w:pPr>
                    <w:r>
                      <w:rPr>
                        <w:rFonts w:ascii="Arial-BoldItalicMT"/>
                        <w:b/>
                        <w:i/>
                        <w:sz w:val="22"/>
                      </w:rPr>
                      <w:t>Recommendation</w:t>
                    </w:r>
                    <w:r>
                      <w:rPr>
                        <w:rFonts w:ascii="Arial-BoldItalicMT"/>
                        <w:b/>
                        <w:i/>
                        <w:spacing w:val="-7"/>
                        <w:sz w:val="22"/>
                      </w:rPr>
                      <w:t> </w:t>
                    </w:r>
                    <w:r>
                      <w:rPr>
                        <w:rFonts w:ascii="Arial-BoldItalicMT"/>
                        <w:b/>
                        <w:i/>
                        <w:spacing w:val="-5"/>
                        <w:sz w:val="22"/>
                      </w:rPr>
                      <w:t>35</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90048">
              <wp:simplePos x="0" y="0"/>
              <wp:positionH relativeFrom="page">
                <wp:posOffset>701040</wp:posOffset>
              </wp:positionH>
              <wp:positionV relativeFrom="page">
                <wp:posOffset>332231</wp:posOffset>
              </wp:positionV>
              <wp:extent cx="6158230" cy="90170"/>
              <wp:effectExtent l="0" t="0" r="0" b="0"/>
              <wp:wrapNone/>
              <wp:docPr id="37" name="Graphic 37"/>
              <wp:cNvGraphicFramePr>
                <a:graphicFrameLocks/>
              </wp:cNvGraphicFramePr>
              <a:graphic>
                <a:graphicData uri="http://schemas.microsoft.com/office/word/2010/wordprocessingShape">
                  <wps:wsp>
                    <wps:cNvPr id="37" name="Graphic 37"/>
                    <wps:cNvSpPr/>
                    <wps:spPr>
                      <a:xfrm>
                        <a:off x="0" y="0"/>
                        <a:ext cx="6158230" cy="90170"/>
                      </a:xfrm>
                      <a:custGeom>
                        <a:avLst/>
                        <a:gdLst/>
                        <a:ahLst/>
                        <a:cxnLst/>
                        <a:rect l="l" t="t" r="r" b="b"/>
                        <a:pathLst>
                          <a:path w="6158230" h="90170">
                            <a:moveTo>
                              <a:pt x="6158230" y="0"/>
                            </a:moveTo>
                            <a:lnTo>
                              <a:pt x="0" y="0"/>
                            </a:lnTo>
                            <a:lnTo>
                              <a:pt x="0" y="89916"/>
                            </a:lnTo>
                            <a:lnTo>
                              <a:pt x="6158230" y="89916"/>
                            </a:lnTo>
                            <a:lnTo>
                              <a:pt x="6158230" y="0"/>
                            </a:lnTo>
                            <a:close/>
                          </a:path>
                        </a:pathLst>
                      </a:custGeom>
                      <a:solidFill>
                        <a:srgbClr val="00B3A8"/>
                      </a:solidFill>
                    </wps:spPr>
                    <wps:bodyPr wrap="square" lIns="0" tIns="0" rIns="0" bIns="0" rtlCol="0">
                      <a:prstTxWarp prst="textNoShape">
                        <a:avLst/>
                      </a:prstTxWarp>
                      <a:noAutofit/>
                    </wps:bodyPr>
                  </wps:wsp>
                </a:graphicData>
              </a:graphic>
            </wp:anchor>
          </w:drawing>
        </mc:Choice>
        <mc:Fallback>
          <w:pict>
            <v:rect style="position:absolute;margin-left:55.200001pt;margin-top:26.159979pt;width:484.9pt;height:7.08pt;mso-position-horizontal-relative:page;mso-position-vertical-relative:page;z-index:-20626432" id="docshape36" filled="true" fillcolor="#00b3a8" stroked="false">
              <v:fill type="solid"/>
              <w10:wrap type="none"/>
            </v:rect>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91584">
              <wp:simplePos x="0" y="0"/>
              <wp:positionH relativeFrom="page">
                <wp:posOffset>701040</wp:posOffset>
              </wp:positionH>
              <wp:positionV relativeFrom="page">
                <wp:posOffset>332231</wp:posOffset>
              </wp:positionV>
              <wp:extent cx="6158230" cy="90170"/>
              <wp:effectExtent l="0" t="0" r="0" b="0"/>
              <wp:wrapNone/>
              <wp:docPr id="44" name="Graphic 44"/>
              <wp:cNvGraphicFramePr>
                <a:graphicFrameLocks/>
              </wp:cNvGraphicFramePr>
              <a:graphic>
                <a:graphicData uri="http://schemas.microsoft.com/office/word/2010/wordprocessingShape">
                  <wps:wsp>
                    <wps:cNvPr id="44" name="Graphic 44"/>
                    <wps:cNvSpPr/>
                    <wps:spPr>
                      <a:xfrm>
                        <a:off x="0" y="0"/>
                        <a:ext cx="6158230" cy="90170"/>
                      </a:xfrm>
                      <a:custGeom>
                        <a:avLst/>
                        <a:gdLst/>
                        <a:ahLst/>
                        <a:cxnLst/>
                        <a:rect l="l" t="t" r="r" b="b"/>
                        <a:pathLst>
                          <a:path w="6158230" h="90170">
                            <a:moveTo>
                              <a:pt x="6158230" y="0"/>
                            </a:moveTo>
                            <a:lnTo>
                              <a:pt x="0" y="0"/>
                            </a:lnTo>
                            <a:lnTo>
                              <a:pt x="0" y="89916"/>
                            </a:lnTo>
                            <a:lnTo>
                              <a:pt x="6158230" y="89916"/>
                            </a:lnTo>
                            <a:lnTo>
                              <a:pt x="6158230" y="0"/>
                            </a:lnTo>
                            <a:close/>
                          </a:path>
                        </a:pathLst>
                      </a:custGeom>
                      <a:solidFill>
                        <a:srgbClr val="00B3A8"/>
                      </a:solidFill>
                    </wps:spPr>
                    <wps:bodyPr wrap="square" lIns="0" tIns="0" rIns="0" bIns="0" rtlCol="0">
                      <a:prstTxWarp prst="textNoShape">
                        <a:avLst/>
                      </a:prstTxWarp>
                      <a:noAutofit/>
                    </wps:bodyPr>
                  </wps:wsp>
                </a:graphicData>
              </a:graphic>
            </wp:anchor>
          </w:drawing>
        </mc:Choice>
        <mc:Fallback>
          <w:pict>
            <v:rect style="position:absolute;margin-left:55.200001pt;margin-top:26.159979pt;width:484.9pt;height:7.08pt;mso-position-horizontal-relative:page;mso-position-vertical-relative:page;z-index:-20624896" id="docshape42" filled="true" fillcolor="#00b3a8" stroked="false">
              <v:fill type="solid"/>
              <w10:wrap type="none"/>
            </v:rect>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8">
    <w:multiLevelType w:val="hybridMultilevel"/>
    <w:lvl w:ilvl="0">
      <w:start w:val="1"/>
      <w:numFmt w:val="decimal"/>
      <w:lvlText w:val="%1."/>
      <w:lvlJc w:val="left"/>
      <w:pPr>
        <w:ind w:left="593" w:hanging="219"/>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734" w:hanging="219"/>
      </w:pPr>
      <w:rPr>
        <w:rFonts w:hint="default" w:ascii="Arial" w:hAnsi="Arial" w:eastAsia="Arial" w:cs="Arial"/>
        <w:b w:val="0"/>
        <w:bCs w:val="0"/>
        <w:i w:val="0"/>
        <w:iCs w:val="0"/>
        <w:spacing w:val="0"/>
        <w:w w:val="131"/>
        <w:sz w:val="22"/>
        <w:szCs w:val="22"/>
        <w:lang w:val="en-US" w:eastAsia="en-US" w:bidi="ar-SA"/>
      </w:rPr>
    </w:lvl>
    <w:lvl w:ilvl="2">
      <w:start w:val="0"/>
      <w:numFmt w:val="bullet"/>
      <w:lvlText w:val="•"/>
      <w:lvlJc w:val="left"/>
      <w:pPr>
        <w:ind w:left="1787" w:hanging="219"/>
      </w:pPr>
      <w:rPr>
        <w:rFonts w:hint="default"/>
        <w:lang w:val="en-US" w:eastAsia="en-US" w:bidi="ar-SA"/>
      </w:rPr>
    </w:lvl>
    <w:lvl w:ilvl="3">
      <w:start w:val="0"/>
      <w:numFmt w:val="bullet"/>
      <w:lvlText w:val="•"/>
      <w:lvlJc w:val="left"/>
      <w:pPr>
        <w:ind w:left="2834" w:hanging="219"/>
      </w:pPr>
      <w:rPr>
        <w:rFonts w:hint="default"/>
        <w:lang w:val="en-US" w:eastAsia="en-US" w:bidi="ar-SA"/>
      </w:rPr>
    </w:lvl>
    <w:lvl w:ilvl="4">
      <w:start w:val="0"/>
      <w:numFmt w:val="bullet"/>
      <w:lvlText w:val="•"/>
      <w:lvlJc w:val="left"/>
      <w:pPr>
        <w:ind w:left="3882" w:hanging="219"/>
      </w:pPr>
      <w:rPr>
        <w:rFonts w:hint="default"/>
        <w:lang w:val="en-US" w:eastAsia="en-US" w:bidi="ar-SA"/>
      </w:rPr>
    </w:lvl>
    <w:lvl w:ilvl="5">
      <w:start w:val="0"/>
      <w:numFmt w:val="bullet"/>
      <w:lvlText w:val="•"/>
      <w:lvlJc w:val="left"/>
      <w:pPr>
        <w:ind w:left="4929" w:hanging="219"/>
      </w:pPr>
      <w:rPr>
        <w:rFonts w:hint="default"/>
        <w:lang w:val="en-US" w:eastAsia="en-US" w:bidi="ar-SA"/>
      </w:rPr>
    </w:lvl>
    <w:lvl w:ilvl="6">
      <w:start w:val="0"/>
      <w:numFmt w:val="bullet"/>
      <w:lvlText w:val="•"/>
      <w:lvlJc w:val="left"/>
      <w:pPr>
        <w:ind w:left="5976" w:hanging="219"/>
      </w:pPr>
      <w:rPr>
        <w:rFonts w:hint="default"/>
        <w:lang w:val="en-US" w:eastAsia="en-US" w:bidi="ar-SA"/>
      </w:rPr>
    </w:lvl>
    <w:lvl w:ilvl="7">
      <w:start w:val="0"/>
      <w:numFmt w:val="bullet"/>
      <w:lvlText w:val="•"/>
      <w:lvlJc w:val="left"/>
      <w:pPr>
        <w:ind w:left="7024" w:hanging="219"/>
      </w:pPr>
      <w:rPr>
        <w:rFonts w:hint="default"/>
        <w:lang w:val="en-US" w:eastAsia="en-US" w:bidi="ar-SA"/>
      </w:rPr>
    </w:lvl>
    <w:lvl w:ilvl="8">
      <w:start w:val="0"/>
      <w:numFmt w:val="bullet"/>
      <w:lvlText w:val="•"/>
      <w:lvlJc w:val="left"/>
      <w:pPr>
        <w:ind w:left="8071" w:hanging="219"/>
      </w:pPr>
      <w:rPr>
        <w:rFonts w:hint="default"/>
        <w:lang w:val="en-US" w:eastAsia="en-US" w:bidi="ar-SA"/>
      </w:rPr>
    </w:lvl>
  </w:abstractNum>
  <w:abstractNum w:abstractNumId="94">
    <w:multiLevelType w:val="hybridMultilevel"/>
    <w:lvl w:ilvl="0">
      <w:start w:val="0"/>
      <w:numFmt w:val="bullet"/>
      <w:lvlText w:val="-"/>
      <w:lvlJc w:val="left"/>
      <w:pPr>
        <w:ind w:left="814" w:hanging="286"/>
      </w:pPr>
      <w:rPr>
        <w:rFonts w:hint="default" w:ascii="Arial" w:hAnsi="Arial" w:eastAsia="Arial" w:cs="Arial"/>
        <w:b w:val="0"/>
        <w:bCs w:val="0"/>
        <w:i w:val="0"/>
        <w:iCs w:val="0"/>
        <w:spacing w:val="0"/>
        <w:w w:val="99"/>
        <w:sz w:val="18"/>
        <w:szCs w:val="18"/>
        <w:lang w:val="en-US" w:eastAsia="en-US" w:bidi="ar-SA"/>
      </w:rPr>
    </w:lvl>
    <w:lvl w:ilvl="1">
      <w:start w:val="0"/>
      <w:numFmt w:val="bullet"/>
      <w:lvlText w:val="•"/>
      <w:lvlJc w:val="left"/>
      <w:pPr>
        <w:ind w:left="1754" w:hanging="286"/>
      </w:pPr>
      <w:rPr>
        <w:rFonts w:hint="default"/>
        <w:lang w:val="en-US" w:eastAsia="en-US" w:bidi="ar-SA"/>
      </w:rPr>
    </w:lvl>
    <w:lvl w:ilvl="2">
      <w:start w:val="0"/>
      <w:numFmt w:val="bullet"/>
      <w:lvlText w:val="•"/>
      <w:lvlJc w:val="left"/>
      <w:pPr>
        <w:ind w:left="2689" w:hanging="286"/>
      </w:pPr>
      <w:rPr>
        <w:rFonts w:hint="default"/>
        <w:lang w:val="en-US" w:eastAsia="en-US" w:bidi="ar-SA"/>
      </w:rPr>
    </w:lvl>
    <w:lvl w:ilvl="3">
      <w:start w:val="0"/>
      <w:numFmt w:val="bullet"/>
      <w:lvlText w:val="•"/>
      <w:lvlJc w:val="left"/>
      <w:pPr>
        <w:ind w:left="3623" w:hanging="286"/>
      </w:pPr>
      <w:rPr>
        <w:rFonts w:hint="default"/>
        <w:lang w:val="en-US" w:eastAsia="en-US" w:bidi="ar-SA"/>
      </w:rPr>
    </w:lvl>
    <w:lvl w:ilvl="4">
      <w:start w:val="0"/>
      <w:numFmt w:val="bullet"/>
      <w:lvlText w:val="•"/>
      <w:lvlJc w:val="left"/>
      <w:pPr>
        <w:ind w:left="4558" w:hanging="286"/>
      </w:pPr>
      <w:rPr>
        <w:rFonts w:hint="default"/>
        <w:lang w:val="en-US" w:eastAsia="en-US" w:bidi="ar-SA"/>
      </w:rPr>
    </w:lvl>
    <w:lvl w:ilvl="5">
      <w:start w:val="0"/>
      <w:numFmt w:val="bullet"/>
      <w:lvlText w:val="•"/>
      <w:lvlJc w:val="left"/>
      <w:pPr>
        <w:ind w:left="5493" w:hanging="286"/>
      </w:pPr>
      <w:rPr>
        <w:rFonts w:hint="default"/>
        <w:lang w:val="en-US" w:eastAsia="en-US" w:bidi="ar-SA"/>
      </w:rPr>
    </w:lvl>
    <w:lvl w:ilvl="6">
      <w:start w:val="0"/>
      <w:numFmt w:val="bullet"/>
      <w:lvlText w:val="•"/>
      <w:lvlJc w:val="left"/>
      <w:pPr>
        <w:ind w:left="6427" w:hanging="286"/>
      </w:pPr>
      <w:rPr>
        <w:rFonts w:hint="default"/>
        <w:lang w:val="en-US" w:eastAsia="en-US" w:bidi="ar-SA"/>
      </w:rPr>
    </w:lvl>
    <w:lvl w:ilvl="7">
      <w:start w:val="0"/>
      <w:numFmt w:val="bullet"/>
      <w:lvlText w:val="•"/>
      <w:lvlJc w:val="left"/>
      <w:pPr>
        <w:ind w:left="7362" w:hanging="286"/>
      </w:pPr>
      <w:rPr>
        <w:rFonts w:hint="default"/>
        <w:lang w:val="en-US" w:eastAsia="en-US" w:bidi="ar-SA"/>
      </w:rPr>
    </w:lvl>
    <w:lvl w:ilvl="8">
      <w:start w:val="0"/>
      <w:numFmt w:val="bullet"/>
      <w:lvlText w:val="•"/>
      <w:lvlJc w:val="left"/>
      <w:pPr>
        <w:ind w:left="8297" w:hanging="286"/>
      </w:pPr>
      <w:rPr>
        <w:rFonts w:hint="default"/>
        <w:lang w:val="en-US" w:eastAsia="en-US" w:bidi="ar-SA"/>
      </w:rPr>
    </w:lvl>
  </w:abstractNum>
  <w:abstractNum w:abstractNumId="93">
    <w:multiLevelType w:val="hybridMultilevel"/>
    <w:lvl w:ilvl="0">
      <w:start w:val="0"/>
      <w:numFmt w:val="bullet"/>
      <w:lvlText w:val="•"/>
      <w:lvlJc w:val="left"/>
      <w:pPr>
        <w:ind w:left="590" w:hanging="359"/>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556" w:hanging="359"/>
      </w:pPr>
      <w:rPr>
        <w:rFonts w:hint="default"/>
        <w:lang w:val="en-US" w:eastAsia="en-US" w:bidi="ar-SA"/>
      </w:rPr>
    </w:lvl>
    <w:lvl w:ilvl="2">
      <w:start w:val="0"/>
      <w:numFmt w:val="bullet"/>
      <w:lvlText w:val="•"/>
      <w:lvlJc w:val="left"/>
      <w:pPr>
        <w:ind w:left="2513" w:hanging="359"/>
      </w:pPr>
      <w:rPr>
        <w:rFonts w:hint="default"/>
        <w:lang w:val="en-US" w:eastAsia="en-US" w:bidi="ar-SA"/>
      </w:rPr>
    </w:lvl>
    <w:lvl w:ilvl="3">
      <w:start w:val="0"/>
      <w:numFmt w:val="bullet"/>
      <w:lvlText w:val="•"/>
      <w:lvlJc w:val="left"/>
      <w:pPr>
        <w:ind w:left="3469" w:hanging="359"/>
      </w:pPr>
      <w:rPr>
        <w:rFonts w:hint="default"/>
        <w:lang w:val="en-US" w:eastAsia="en-US" w:bidi="ar-SA"/>
      </w:rPr>
    </w:lvl>
    <w:lvl w:ilvl="4">
      <w:start w:val="0"/>
      <w:numFmt w:val="bullet"/>
      <w:lvlText w:val="•"/>
      <w:lvlJc w:val="left"/>
      <w:pPr>
        <w:ind w:left="4426" w:hanging="359"/>
      </w:pPr>
      <w:rPr>
        <w:rFonts w:hint="default"/>
        <w:lang w:val="en-US" w:eastAsia="en-US" w:bidi="ar-SA"/>
      </w:rPr>
    </w:lvl>
    <w:lvl w:ilvl="5">
      <w:start w:val="0"/>
      <w:numFmt w:val="bullet"/>
      <w:lvlText w:val="•"/>
      <w:lvlJc w:val="left"/>
      <w:pPr>
        <w:ind w:left="5383" w:hanging="359"/>
      </w:pPr>
      <w:rPr>
        <w:rFonts w:hint="default"/>
        <w:lang w:val="en-US" w:eastAsia="en-US" w:bidi="ar-SA"/>
      </w:rPr>
    </w:lvl>
    <w:lvl w:ilvl="6">
      <w:start w:val="0"/>
      <w:numFmt w:val="bullet"/>
      <w:lvlText w:val="•"/>
      <w:lvlJc w:val="left"/>
      <w:pPr>
        <w:ind w:left="6339" w:hanging="359"/>
      </w:pPr>
      <w:rPr>
        <w:rFonts w:hint="default"/>
        <w:lang w:val="en-US" w:eastAsia="en-US" w:bidi="ar-SA"/>
      </w:rPr>
    </w:lvl>
    <w:lvl w:ilvl="7">
      <w:start w:val="0"/>
      <w:numFmt w:val="bullet"/>
      <w:lvlText w:val="•"/>
      <w:lvlJc w:val="left"/>
      <w:pPr>
        <w:ind w:left="7296" w:hanging="359"/>
      </w:pPr>
      <w:rPr>
        <w:rFonts w:hint="default"/>
        <w:lang w:val="en-US" w:eastAsia="en-US" w:bidi="ar-SA"/>
      </w:rPr>
    </w:lvl>
    <w:lvl w:ilvl="8">
      <w:start w:val="0"/>
      <w:numFmt w:val="bullet"/>
      <w:lvlText w:val="•"/>
      <w:lvlJc w:val="left"/>
      <w:pPr>
        <w:ind w:left="8253" w:hanging="359"/>
      </w:pPr>
      <w:rPr>
        <w:rFonts w:hint="default"/>
        <w:lang w:val="en-US" w:eastAsia="en-US" w:bidi="ar-SA"/>
      </w:rPr>
    </w:lvl>
  </w:abstractNum>
  <w:abstractNum w:abstractNumId="92">
    <w:multiLevelType w:val="hybridMultilevel"/>
    <w:lvl w:ilvl="0">
      <w:start w:val="1"/>
      <w:numFmt w:val="lowerLetter"/>
      <w:lvlText w:val="%1)"/>
      <w:lvlJc w:val="left"/>
      <w:pPr>
        <w:ind w:left="953" w:hanging="360"/>
        <w:jc w:val="left"/>
      </w:pPr>
      <w:rPr>
        <w:rFonts w:hint="default" w:ascii="Arial" w:hAnsi="Arial" w:eastAsia="Arial" w:cs="Arial"/>
        <w:b w:val="0"/>
        <w:bCs w:val="0"/>
        <w:i w:val="0"/>
        <w:iCs w:val="0"/>
        <w:spacing w:val="-1"/>
        <w:w w:val="100"/>
        <w:sz w:val="16"/>
        <w:szCs w:val="16"/>
        <w:lang w:val="en-US" w:eastAsia="en-US" w:bidi="ar-SA"/>
      </w:rPr>
    </w:lvl>
    <w:lvl w:ilvl="1">
      <w:start w:val="0"/>
      <w:numFmt w:val="bullet"/>
      <w:lvlText w:val="•"/>
      <w:lvlJc w:val="left"/>
      <w:pPr>
        <w:ind w:left="1880" w:hanging="360"/>
      </w:pPr>
      <w:rPr>
        <w:rFonts w:hint="default"/>
        <w:lang w:val="en-US" w:eastAsia="en-US" w:bidi="ar-SA"/>
      </w:rPr>
    </w:lvl>
    <w:lvl w:ilvl="2">
      <w:start w:val="0"/>
      <w:numFmt w:val="bullet"/>
      <w:lvlText w:val="•"/>
      <w:lvlJc w:val="left"/>
      <w:pPr>
        <w:ind w:left="2801" w:hanging="360"/>
      </w:pPr>
      <w:rPr>
        <w:rFonts w:hint="default"/>
        <w:lang w:val="en-US" w:eastAsia="en-US" w:bidi="ar-SA"/>
      </w:rPr>
    </w:lvl>
    <w:lvl w:ilvl="3">
      <w:start w:val="0"/>
      <w:numFmt w:val="bullet"/>
      <w:lvlText w:val="•"/>
      <w:lvlJc w:val="left"/>
      <w:pPr>
        <w:ind w:left="3721" w:hanging="360"/>
      </w:pPr>
      <w:rPr>
        <w:rFonts w:hint="default"/>
        <w:lang w:val="en-US" w:eastAsia="en-US" w:bidi="ar-SA"/>
      </w:rPr>
    </w:lvl>
    <w:lvl w:ilvl="4">
      <w:start w:val="0"/>
      <w:numFmt w:val="bullet"/>
      <w:lvlText w:val="•"/>
      <w:lvlJc w:val="left"/>
      <w:pPr>
        <w:ind w:left="4642" w:hanging="360"/>
      </w:pPr>
      <w:rPr>
        <w:rFonts w:hint="default"/>
        <w:lang w:val="en-US" w:eastAsia="en-US" w:bidi="ar-SA"/>
      </w:rPr>
    </w:lvl>
    <w:lvl w:ilvl="5">
      <w:start w:val="0"/>
      <w:numFmt w:val="bullet"/>
      <w:lvlText w:val="•"/>
      <w:lvlJc w:val="left"/>
      <w:pPr>
        <w:ind w:left="5563" w:hanging="360"/>
      </w:pPr>
      <w:rPr>
        <w:rFonts w:hint="default"/>
        <w:lang w:val="en-US" w:eastAsia="en-US" w:bidi="ar-SA"/>
      </w:rPr>
    </w:lvl>
    <w:lvl w:ilvl="6">
      <w:start w:val="0"/>
      <w:numFmt w:val="bullet"/>
      <w:lvlText w:val="•"/>
      <w:lvlJc w:val="left"/>
      <w:pPr>
        <w:ind w:left="6483" w:hanging="360"/>
      </w:pPr>
      <w:rPr>
        <w:rFonts w:hint="default"/>
        <w:lang w:val="en-US" w:eastAsia="en-US" w:bidi="ar-SA"/>
      </w:rPr>
    </w:lvl>
    <w:lvl w:ilvl="7">
      <w:start w:val="0"/>
      <w:numFmt w:val="bullet"/>
      <w:lvlText w:val="•"/>
      <w:lvlJc w:val="left"/>
      <w:pPr>
        <w:ind w:left="7404" w:hanging="360"/>
      </w:pPr>
      <w:rPr>
        <w:rFonts w:hint="default"/>
        <w:lang w:val="en-US" w:eastAsia="en-US" w:bidi="ar-SA"/>
      </w:rPr>
    </w:lvl>
    <w:lvl w:ilvl="8">
      <w:start w:val="0"/>
      <w:numFmt w:val="bullet"/>
      <w:lvlText w:val="•"/>
      <w:lvlJc w:val="left"/>
      <w:pPr>
        <w:ind w:left="8325" w:hanging="360"/>
      </w:pPr>
      <w:rPr>
        <w:rFonts w:hint="default"/>
        <w:lang w:val="en-US" w:eastAsia="en-US" w:bidi="ar-SA"/>
      </w:rPr>
    </w:lvl>
  </w:abstractNum>
  <w:abstractNum w:abstractNumId="91">
    <w:multiLevelType w:val="hybridMultilevel"/>
    <w:lvl w:ilvl="0">
      <w:start w:val="0"/>
      <w:numFmt w:val="bullet"/>
      <w:lvlText w:val="•"/>
      <w:lvlJc w:val="left"/>
      <w:pPr>
        <w:ind w:left="590" w:hanging="359"/>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556" w:hanging="359"/>
      </w:pPr>
      <w:rPr>
        <w:rFonts w:hint="default"/>
        <w:lang w:val="en-US" w:eastAsia="en-US" w:bidi="ar-SA"/>
      </w:rPr>
    </w:lvl>
    <w:lvl w:ilvl="2">
      <w:start w:val="0"/>
      <w:numFmt w:val="bullet"/>
      <w:lvlText w:val="•"/>
      <w:lvlJc w:val="left"/>
      <w:pPr>
        <w:ind w:left="2513" w:hanging="359"/>
      </w:pPr>
      <w:rPr>
        <w:rFonts w:hint="default"/>
        <w:lang w:val="en-US" w:eastAsia="en-US" w:bidi="ar-SA"/>
      </w:rPr>
    </w:lvl>
    <w:lvl w:ilvl="3">
      <w:start w:val="0"/>
      <w:numFmt w:val="bullet"/>
      <w:lvlText w:val="•"/>
      <w:lvlJc w:val="left"/>
      <w:pPr>
        <w:ind w:left="3469" w:hanging="359"/>
      </w:pPr>
      <w:rPr>
        <w:rFonts w:hint="default"/>
        <w:lang w:val="en-US" w:eastAsia="en-US" w:bidi="ar-SA"/>
      </w:rPr>
    </w:lvl>
    <w:lvl w:ilvl="4">
      <w:start w:val="0"/>
      <w:numFmt w:val="bullet"/>
      <w:lvlText w:val="•"/>
      <w:lvlJc w:val="left"/>
      <w:pPr>
        <w:ind w:left="4426" w:hanging="359"/>
      </w:pPr>
      <w:rPr>
        <w:rFonts w:hint="default"/>
        <w:lang w:val="en-US" w:eastAsia="en-US" w:bidi="ar-SA"/>
      </w:rPr>
    </w:lvl>
    <w:lvl w:ilvl="5">
      <w:start w:val="0"/>
      <w:numFmt w:val="bullet"/>
      <w:lvlText w:val="•"/>
      <w:lvlJc w:val="left"/>
      <w:pPr>
        <w:ind w:left="5383" w:hanging="359"/>
      </w:pPr>
      <w:rPr>
        <w:rFonts w:hint="default"/>
        <w:lang w:val="en-US" w:eastAsia="en-US" w:bidi="ar-SA"/>
      </w:rPr>
    </w:lvl>
    <w:lvl w:ilvl="6">
      <w:start w:val="0"/>
      <w:numFmt w:val="bullet"/>
      <w:lvlText w:val="•"/>
      <w:lvlJc w:val="left"/>
      <w:pPr>
        <w:ind w:left="6339" w:hanging="359"/>
      </w:pPr>
      <w:rPr>
        <w:rFonts w:hint="default"/>
        <w:lang w:val="en-US" w:eastAsia="en-US" w:bidi="ar-SA"/>
      </w:rPr>
    </w:lvl>
    <w:lvl w:ilvl="7">
      <w:start w:val="0"/>
      <w:numFmt w:val="bullet"/>
      <w:lvlText w:val="•"/>
      <w:lvlJc w:val="left"/>
      <w:pPr>
        <w:ind w:left="7296" w:hanging="359"/>
      </w:pPr>
      <w:rPr>
        <w:rFonts w:hint="default"/>
        <w:lang w:val="en-US" w:eastAsia="en-US" w:bidi="ar-SA"/>
      </w:rPr>
    </w:lvl>
    <w:lvl w:ilvl="8">
      <w:start w:val="0"/>
      <w:numFmt w:val="bullet"/>
      <w:lvlText w:val="•"/>
      <w:lvlJc w:val="left"/>
      <w:pPr>
        <w:ind w:left="8253" w:hanging="359"/>
      </w:pPr>
      <w:rPr>
        <w:rFonts w:hint="default"/>
        <w:lang w:val="en-US" w:eastAsia="en-US" w:bidi="ar-SA"/>
      </w:rPr>
    </w:lvl>
  </w:abstractNum>
  <w:abstractNum w:abstractNumId="90">
    <w:multiLevelType w:val="hybridMultilevel"/>
    <w:lvl w:ilvl="0">
      <w:start w:val="0"/>
      <w:numFmt w:val="bullet"/>
      <w:lvlText w:val="•"/>
      <w:lvlJc w:val="left"/>
      <w:pPr>
        <w:ind w:left="590" w:hanging="359"/>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556" w:hanging="359"/>
      </w:pPr>
      <w:rPr>
        <w:rFonts w:hint="default"/>
        <w:lang w:val="en-US" w:eastAsia="en-US" w:bidi="ar-SA"/>
      </w:rPr>
    </w:lvl>
    <w:lvl w:ilvl="2">
      <w:start w:val="0"/>
      <w:numFmt w:val="bullet"/>
      <w:lvlText w:val="•"/>
      <w:lvlJc w:val="left"/>
      <w:pPr>
        <w:ind w:left="2513" w:hanging="359"/>
      </w:pPr>
      <w:rPr>
        <w:rFonts w:hint="default"/>
        <w:lang w:val="en-US" w:eastAsia="en-US" w:bidi="ar-SA"/>
      </w:rPr>
    </w:lvl>
    <w:lvl w:ilvl="3">
      <w:start w:val="0"/>
      <w:numFmt w:val="bullet"/>
      <w:lvlText w:val="•"/>
      <w:lvlJc w:val="left"/>
      <w:pPr>
        <w:ind w:left="3469" w:hanging="359"/>
      </w:pPr>
      <w:rPr>
        <w:rFonts w:hint="default"/>
        <w:lang w:val="en-US" w:eastAsia="en-US" w:bidi="ar-SA"/>
      </w:rPr>
    </w:lvl>
    <w:lvl w:ilvl="4">
      <w:start w:val="0"/>
      <w:numFmt w:val="bullet"/>
      <w:lvlText w:val="•"/>
      <w:lvlJc w:val="left"/>
      <w:pPr>
        <w:ind w:left="4426" w:hanging="359"/>
      </w:pPr>
      <w:rPr>
        <w:rFonts w:hint="default"/>
        <w:lang w:val="en-US" w:eastAsia="en-US" w:bidi="ar-SA"/>
      </w:rPr>
    </w:lvl>
    <w:lvl w:ilvl="5">
      <w:start w:val="0"/>
      <w:numFmt w:val="bullet"/>
      <w:lvlText w:val="•"/>
      <w:lvlJc w:val="left"/>
      <w:pPr>
        <w:ind w:left="5383" w:hanging="359"/>
      </w:pPr>
      <w:rPr>
        <w:rFonts w:hint="default"/>
        <w:lang w:val="en-US" w:eastAsia="en-US" w:bidi="ar-SA"/>
      </w:rPr>
    </w:lvl>
    <w:lvl w:ilvl="6">
      <w:start w:val="0"/>
      <w:numFmt w:val="bullet"/>
      <w:lvlText w:val="•"/>
      <w:lvlJc w:val="left"/>
      <w:pPr>
        <w:ind w:left="6339" w:hanging="359"/>
      </w:pPr>
      <w:rPr>
        <w:rFonts w:hint="default"/>
        <w:lang w:val="en-US" w:eastAsia="en-US" w:bidi="ar-SA"/>
      </w:rPr>
    </w:lvl>
    <w:lvl w:ilvl="7">
      <w:start w:val="0"/>
      <w:numFmt w:val="bullet"/>
      <w:lvlText w:val="•"/>
      <w:lvlJc w:val="left"/>
      <w:pPr>
        <w:ind w:left="7296" w:hanging="359"/>
      </w:pPr>
      <w:rPr>
        <w:rFonts w:hint="default"/>
        <w:lang w:val="en-US" w:eastAsia="en-US" w:bidi="ar-SA"/>
      </w:rPr>
    </w:lvl>
    <w:lvl w:ilvl="8">
      <w:start w:val="0"/>
      <w:numFmt w:val="bullet"/>
      <w:lvlText w:val="•"/>
      <w:lvlJc w:val="left"/>
      <w:pPr>
        <w:ind w:left="8253" w:hanging="359"/>
      </w:pPr>
      <w:rPr>
        <w:rFonts w:hint="default"/>
        <w:lang w:val="en-US" w:eastAsia="en-US" w:bidi="ar-SA"/>
      </w:rPr>
    </w:lvl>
  </w:abstractNum>
  <w:abstractNum w:abstractNumId="89">
    <w:multiLevelType w:val="hybridMultilevel"/>
    <w:lvl w:ilvl="0">
      <w:start w:val="0"/>
      <w:numFmt w:val="bullet"/>
      <w:lvlText w:val="•"/>
      <w:lvlJc w:val="left"/>
      <w:pPr>
        <w:ind w:left="470" w:hanging="359"/>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356" w:hanging="359"/>
      </w:pPr>
      <w:rPr>
        <w:rFonts w:hint="default"/>
        <w:lang w:val="en-US" w:eastAsia="en-US" w:bidi="ar-SA"/>
      </w:rPr>
    </w:lvl>
    <w:lvl w:ilvl="2">
      <w:start w:val="0"/>
      <w:numFmt w:val="bullet"/>
      <w:lvlText w:val="•"/>
      <w:lvlJc w:val="left"/>
      <w:pPr>
        <w:ind w:left="2232" w:hanging="359"/>
      </w:pPr>
      <w:rPr>
        <w:rFonts w:hint="default"/>
        <w:lang w:val="en-US" w:eastAsia="en-US" w:bidi="ar-SA"/>
      </w:rPr>
    </w:lvl>
    <w:lvl w:ilvl="3">
      <w:start w:val="0"/>
      <w:numFmt w:val="bullet"/>
      <w:lvlText w:val="•"/>
      <w:lvlJc w:val="left"/>
      <w:pPr>
        <w:ind w:left="3109" w:hanging="359"/>
      </w:pPr>
      <w:rPr>
        <w:rFonts w:hint="default"/>
        <w:lang w:val="en-US" w:eastAsia="en-US" w:bidi="ar-SA"/>
      </w:rPr>
    </w:lvl>
    <w:lvl w:ilvl="4">
      <w:start w:val="0"/>
      <w:numFmt w:val="bullet"/>
      <w:lvlText w:val="•"/>
      <w:lvlJc w:val="left"/>
      <w:pPr>
        <w:ind w:left="3985" w:hanging="359"/>
      </w:pPr>
      <w:rPr>
        <w:rFonts w:hint="default"/>
        <w:lang w:val="en-US" w:eastAsia="en-US" w:bidi="ar-SA"/>
      </w:rPr>
    </w:lvl>
    <w:lvl w:ilvl="5">
      <w:start w:val="0"/>
      <w:numFmt w:val="bullet"/>
      <w:lvlText w:val="•"/>
      <w:lvlJc w:val="left"/>
      <w:pPr>
        <w:ind w:left="4862" w:hanging="359"/>
      </w:pPr>
      <w:rPr>
        <w:rFonts w:hint="default"/>
        <w:lang w:val="en-US" w:eastAsia="en-US" w:bidi="ar-SA"/>
      </w:rPr>
    </w:lvl>
    <w:lvl w:ilvl="6">
      <w:start w:val="0"/>
      <w:numFmt w:val="bullet"/>
      <w:lvlText w:val="•"/>
      <w:lvlJc w:val="left"/>
      <w:pPr>
        <w:ind w:left="5738" w:hanging="359"/>
      </w:pPr>
      <w:rPr>
        <w:rFonts w:hint="default"/>
        <w:lang w:val="en-US" w:eastAsia="en-US" w:bidi="ar-SA"/>
      </w:rPr>
    </w:lvl>
    <w:lvl w:ilvl="7">
      <w:start w:val="0"/>
      <w:numFmt w:val="bullet"/>
      <w:lvlText w:val="•"/>
      <w:lvlJc w:val="left"/>
      <w:pPr>
        <w:ind w:left="6615" w:hanging="359"/>
      </w:pPr>
      <w:rPr>
        <w:rFonts w:hint="default"/>
        <w:lang w:val="en-US" w:eastAsia="en-US" w:bidi="ar-SA"/>
      </w:rPr>
    </w:lvl>
    <w:lvl w:ilvl="8">
      <w:start w:val="0"/>
      <w:numFmt w:val="bullet"/>
      <w:lvlText w:val="•"/>
      <w:lvlJc w:val="left"/>
      <w:pPr>
        <w:ind w:left="7491" w:hanging="359"/>
      </w:pPr>
      <w:rPr>
        <w:rFonts w:hint="default"/>
        <w:lang w:val="en-US" w:eastAsia="en-US" w:bidi="ar-SA"/>
      </w:rPr>
    </w:lvl>
  </w:abstractNum>
  <w:abstractNum w:abstractNumId="88">
    <w:multiLevelType w:val="hybridMultilevel"/>
    <w:lvl w:ilvl="0">
      <w:start w:val="0"/>
      <w:numFmt w:val="bullet"/>
      <w:lvlText w:val="•"/>
      <w:lvlJc w:val="left"/>
      <w:pPr>
        <w:ind w:left="734" w:hanging="361"/>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682" w:hanging="361"/>
      </w:pPr>
      <w:rPr>
        <w:rFonts w:hint="default"/>
        <w:lang w:val="en-US" w:eastAsia="en-US" w:bidi="ar-SA"/>
      </w:rPr>
    </w:lvl>
    <w:lvl w:ilvl="2">
      <w:start w:val="0"/>
      <w:numFmt w:val="bullet"/>
      <w:lvlText w:val="•"/>
      <w:lvlJc w:val="left"/>
      <w:pPr>
        <w:ind w:left="2625" w:hanging="361"/>
      </w:pPr>
      <w:rPr>
        <w:rFonts w:hint="default"/>
        <w:lang w:val="en-US" w:eastAsia="en-US" w:bidi="ar-SA"/>
      </w:rPr>
    </w:lvl>
    <w:lvl w:ilvl="3">
      <w:start w:val="0"/>
      <w:numFmt w:val="bullet"/>
      <w:lvlText w:val="•"/>
      <w:lvlJc w:val="left"/>
      <w:pPr>
        <w:ind w:left="3567" w:hanging="361"/>
      </w:pPr>
      <w:rPr>
        <w:rFonts w:hint="default"/>
        <w:lang w:val="en-US" w:eastAsia="en-US" w:bidi="ar-SA"/>
      </w:rPr>
    </w:lvl>
    <w:lvl w:ilvl="4">
      <w:start w:val="0"/>
      <w:numFmt w:val="bullet"/>
      <w:lvlText w:val="•"/>
      <w:lvlJc w:val="left"/>
      <w:pPr>
        <w:ind w:left="4510" w:hanging="361"/>
      </w:pPr>
      <w:rPr>
        <w:rFonts w:hint="default"/>
        <w:lang w:val="en-US" w:eastAsia="en-US" w:bidi="ar-SA"/>
      </w:rPr>
    </w:lvl>
    <w:lvl w:ilvl="5">
      <w:start w:val="0"/>
      <w:numFmt w:val="bullet"/>
      <w:lvlText w:val="•"/>
      <w:lvlJc w:val="left"/>
      <w:pPr>
        <w:ind w:left="5453" w:hanging="361"/>
      </w:pPr>
      <w:rPr>
        <w:rFonts w:hint="default"/>
        <w:lang w:val="en-US" w:eastAsia="en-US" w:bidi="ar-SA"/>
      </w:rPr>
    </w:lvl>
    <w:lvl w:ilvl="6">
      <w:start w:val="0"/>
      <w:numFmt w:val="bullet"/>
      <w:lvlText w:val="•"/>
      <w:lvlJc w:val="left"/>
      <w:pPr>
        <w:ind w:left="6395" w:hanging="361"/>
      </w:pPr>
      <w:rPr>
        <w:rFonts w:hint="default"/>
        <w:lang w:val="en-US" w:eastAsia="en-US" w:bidi="ar-SA"/>
      </w:rPr>
    </w:lvl>
    <w:lvl w:ilvl="7">
      <w:start w:val="0"/>
      <w:numFmt w:val="bullet"/>
      <w:lvlText w:val="•"/>
      <w:lvlJc w:val="left"/>
      <w:pPr>
        <w:ind w:left="7338" w:hanging="361"/>
      </w:pPr>
      <w:rPr>
        <w:rFonts w:hint="default"/>
        <w:lang w:val="en-US" w:eastAsia="en-US" w:bidi="ar-SA"/>
      </w:rPr>
    </w:lvl>
    <w:lvl w:ilvl="8">
      <w:start w:val="0"/>
      <w:numFmt w:val="bullet"/>
      <w:lvlText w:val="•"/>
      <w:lvlJc w:val="left"/>
      <w:pPr>
        <w:ind w:left="8281" w:hanging="361"/>
      </w:pPr>
      <w:rPr>
        <w:rFonts w:hint="default"/>
        <w:lang w:val="en-US" w:eastAsia="en-US" w:bidi="ar-SA"/>
      </w:rPr>
    </w:lvl>
  </w:abstractNum>
  <w:abstractNum w:abstractNumId="87">
    <w:multiLevelType w:val="hybridMultilevel"/>
    <w:lvl w:ilvl="0">
      <w:start w:val="0"/>
      <w:numFmt w:val="bullet"/>
      <w:lvlText w:val="•"/>
      <w:lvlJc w:val="left"/>
      <w:pPr>
        <w:ind w:left="502" w:hanging="219"/>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374" w:hanging="219"/>
      </w:pPr>
      <w:rPr>
        <w:rFonts w:hint="default"/>
        <w:lang w:val="en-US" w:eastAsia="en-US" w:bidi="ar-SA"/>
      </w:rPr>
    </w:lvl>
    <w:lvl w:ilvl="2">
      <w:start w:val="0"/>
      <w:numFmt w:val="bullet"/>
      <w:lvlText w:val="•"/>
      <w:lvlJc w:val="left"/>
      <w:pPr>
        <w:ind w:left="2248" w:hanging="219"/>
      </w:pPr>
      <w:rPr>
        <w:rFonts w:hint="default"/>
        <w:lang w:val="en-US" w:eastAsia="en-US" w:bidi="ar-SA"/>
      </w:rPr>
    </w:lvl>
    <w:lvl w:ilvl="3">
      <w:start w:val="0"/>
      <w:numFmt w:val="bullet"/>
      <w:lvlText w:val="•"/>
      <w:lvlJc w:val="left"/>
      <w:pPr>
        <w:ind w:left="3123" w:hanging="219"/>
      </w:pPr>
      <w:rPr>
        <w:rFonts w:hint="default"/>
        <w:lang w:val="en-US" w:eastAsia="en-US" w:bidi="ar-SA"/>
      </w:rPr>
    </w:lvl>
    <w:lvl w:ilvl="4">
      <w:start w:val="0"/>
      <w:numFmt w:val="bullet"/>
      <w:lvlText w:val="•"/>
      <w:lvlJc w:val="left"/>
      <w:pPr>
        <w:ind w:left="3997" w:hanging="219"/>
      </w:pPr>
      <w:rPr>
        <w:rFonts w:hint="default"/>
        <w:lang w:val="en-US" w:eastAsia="en-US" w:bidi="ar-SA"/>
      </w:rPr>
    </w:lvl>
    <w:lvl w:ilvl="5">
      <w:start w:val="0"/>
      <w:numFmt w:val="bullet"/>
      <w:lvlText w:val="•"/>
      <w:lvlJc w:val="left"/>
      <w:pPr>
        <w:ind w:left="4872" w:hanging="219"/>
      </w:pPr>
      <w:rPr>
        <w:rFonts w:hint="default"/>
        <w:lang w:val="en-US" w:eastAsia="en-US" w:bidi="ar-SA"/>
      </w:rPr>
    </w:lvl>
    <w:lvl w:ilvl="6">
      <w:start w:val="0"/>
      <w:numFmt w:val="bullet"/>
      <w:lvlText w:val="•"/>
      <w:lvlJc w:val="left"/>
      <w:pPr>
        <w:ind w:left="5746" w:hanging="219"/>
      </w:pPr>
      <w:rPr>
        <w:rFonts w:hint="default"/>
        <w:lang w:val="en-US" w:eastAsia="en-US" w:bidi="ar-SA"/>
      </w:rPr>
    </w:lvl>
    <w:lvl w:ilvl="7">
      <w:start w:val="0"/>
      <w:numFmt w:val="bullet"/>
      <w:lvlText w:val="•"/>
      <w:lvlJc w:val="left"/>
      <w:pPr>
        <w:ind w:left="6621" w:hanging="219"/>
      </w:pPr>
      <w:rPr>
        <w:rFonts w:hint="default"/>
        <w:lang w:val="en-US" w:eastAsia="en-US" w:bidi="ar-SA"/>
      </w:rPr>
    </w:lvl>
    <w:lvl w:ilvl="8">
      <w:start w:val="0"/>
      <w:numFmt w:val="bullet"/>
      <w:lvlText w:val="•"/>
      <w:lvlJc w:val="left"/>
      <w:pPr>
        <w:ind w:left="7495" w:hanging="219"/>
      </w:pPr>
      <w:rPr>
        <w:rFonts w:hint="default"/>
        <w:lang w:val="en-US" w:eastAsia="en-US" w:bidi="ar-SA"/>
      </w:rPr>
    </w:lvl>
  </w:abstractNum>
  <w:abstractNum w:abstractNumId="86">
    <w:multiLevelType w:val="hybridMultilevel"/>
    <w:lvl w:ilvl="0">
      <w:start w:val="0"/>
      <w:numFmt w:val="bullet"/>
      <w:lvlText w:val="•"/>
      <w:lvlJc w:val="left"/>
      <w:pPr>
        <w:ind w:left="590" w:hanging="359"/>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556" w:hanging="359"/>
      </w:pPr>
      <w:rPr>
        <w:rFonts w:hint="default"/>
        <w:lang w:val="en-US" w:eastAsia="en-US" w:bidi="ar-SA"/>
      </w:rPr>
    </w:lvl>
    <w:lvl w:ilvl="2">
      <w:start w:val="0"/>
      <w:numFmt w:val="bullet"/>
      <w:lvlText w:val="•"/>
      <w:lvlJc w:val="left"/>
      <w:pPr>
        <w:ind w:left="2513" w:hanging="359"/>
      </w:pPr>
      <w:rPr>
        <w:rFonts w:hint="default"/>
        <w:lang w:val="en-US" w:eastAsia="en-US" w:bidi="ar-SA"/>
      </w:rPr>
    </w:lvl>
    <w:lvl w:ilvl="3">
      <w:start w:val="0"/>
      <w:numFmt w:val="bullet"/>
      <w:lvlText w:val="•"/>
      <w:lvlJc w:val="left"/>
      <w:pPr>
        <w:ind w:left="3469" w:hanging="359"/>
      </w:pPr>
      <w:rPr>
        <w:rFonts w:hint="default"/>
        <w:lang w:val="en-US" w:eastAsia="en-US" w:bidi="ar-SA"/>
      </w:rPr>
    </w:lvl>
    <w:lvl w:ilvl="4">
      <w:start w:val="0"/>
      <w:numFmt w:val="bullet"/>
      <w:lvlText w:val="•"/>
      <w:lvlJc w:val="left"/>
      <w:pPr>
        <w:ind w:left="4426" w:hanging="359"/>
      </w:pPr>
      <w:rPr>
        <w:rFonts w:hint="default"/>
        <w:lang w:val="en-US" w:eastAsia="en-US" w:bidi="ar-SA"/>
      </w:rPr>
    </w:lvl>
    <w:lvl w:ilvl="5">
      <w:start w:val="0"/>
      <w:numFmt w:val="bullet"/>
      <w:lvlText w:val="•"/>
      <w:lvlJc w:val="left"/>
      <w:pPr>
        <w:ind w:left="5383" w:hanging="359"/>
      </w:pPr>
      <w:rPr>
        <w:rFonts w:hint="default"/>
        <w:lang w:val="en-US" w:eastAsia="en-US" w:bidi="ar-SA"/>
      </w:rPr>
    </w:lvl>
    <w:lvl w:ilvl="6">
      <w:start w:val="0"/>
      <w:numFmt w:val="bullet"/>
      <w:lvlText w:val="•"/>
      <w:lvlJc w:val="left"/>
      <w:pPr>
        <w:ind w:left="6339" w:hanging="359"/>
      </w:pPr>
      <w:rPr>
        <w:rFonts w:hint="default"/>
        <w:lang w:val="en-US" w:eastAsia="en-US" w:bidi="ar-SA"/>
      </w:rPr>
    </w:lvl>
    <w:lvl w:ilvl="7">
      <w:start w:val="0"/>
      <w:numFmt w:val="bullet"/>
      <w:lvlText w:val="•"/>
      <w:lvlJc w:val="left"/>
      <w:pPr>
        <w:ind w:left="7296" w:hanging="359"/>
      </w:pPr>
      <w:rPr>
        <w:rFonts w:hint="default"/>
        <w:lang w:val="en-US" w:eastAsia="en-US" w:bidi="ar-SA"/>
      </w:rPr>
    </w:lvl>
    <w:lvl w:ilvl="8">
      <w:start w:val="0"/>
      <w:numFmt w:val="bullet"/>
      <w:lvlText w:val="•"/>
      <w:lvlJc w:val="left"/>
      <w:pPr>
        <w:ind w:left="8253" w:hanging="359"/>
      </w:pPr>
      <w:rPr>
        <w:rFonts w:hint="default"/>
        <w:lang w:val="en-US" w:eastAsia="en-US" w:bidi="ar-SA"/>
      </w:rPr>
    </w:lvl>
  </w:abstractNum>
  <w:abstractNum w:abstractNumId="85">
    <w:multiLevelType w:val="hybridMultilevel"/>
    <w:lvl w:ilvl="0">
      <w:start w:val="0"/>
      <w:numFmt w:val="bullet"/>
      <w:lvlText w:val="•"/>
      <w:lvlJc w:val="left"/>
      <w:pPr>
        <w:ind w:left="427" w:hanging="287"/>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302" w:hanging="287"/>
      </w:pPr>
      <w:rPr>
        <w:rFonts w:hint="default"/>
        <w:lang w:val="en-US" w:eastAsia="en-US" w:bidi="ar-SA"/>
      </w:rPr>
    </w:lvl>
    <w:lvl w:ilvl="2">
      <w:start w:val="0"/>
      <w:numFmt w:val="bullet"/>
      <w:lvlText w:val="•"/>
      <w:lvlJc w:val="left"/>
      <w:pPr>
        <w:ind w:left="2184" w:hanging="287"/>
      </w:pPr>
      <w:rPr>
        <w:rFonts w:hint="default"/>
        <w:lang w:val="en-US" w:eastAsia="en-US" w:bidi="ar-SA"/>
      </w:rPr>
    </w:lvl>
    <w:lvl w:ilvl="3">
      <w:start w:val="0"/>
      <w:numFmt w:val="bullet"/>
      <w:lvlText w:val="•"/>
      <w:lvlJc w:val="left"/>
      <w:pPr>
        <w:ind w:left="3067" w:hanging="287"/>
      </w:pPr>
      <w:rPr>
        <w:rFonts w:hint="default"/>
        <w:lang w:val="en-US" w:eastAsia="en-US" w:bidi="ar-SA"/>
      </w:rPr>
    </w:lvl>
    <w:lvl w:ilvl="4">
      <w:start w:val="0"/>
      <w:numFmt w:val="bullet"/>
      <w:lvlText w:val="•"/>
      <w:lvlJc w:val="left"/>
      <w:pPr>
        <w:ind w:left="3949" w:hanging="287"/>
      </w:pPr>
      <w:rPr>
        <w:rFonts w:hint="default"/>
        <w:lang w:val="en-US" w:eastAsia="en-US" w:bidi="ar-SA"/>
      </w:rPr>
    </w:lvl>
    <w:lvl w:ilvl="5">
      <w:start w:val="0"/>
      <w:numFmt w:val="bullet"/>
      <w:lvlText w:val="•"/>
      <w:lvlJc w:val="left"/>
      <w:pPr>
        <w:ind w:left="4832" w:hanging="287"/>
      </w:pPr>
      <w:rPr>
        <w:rFonts w:hint="default"/>
        <w:lang w:val="en-US" w:eastAsia="en-US" w:bidi="ar-SA"/>
      </w:rPr>
    </w:lvl>
    <w:lvl w:ilvl="6">
      <w:start w:val="0"/>
      <w:numFmt w:val="bullet"/>
      <w:lvlText w:val="•"/>
      <w:lvlJc w:val="left"/>
      <w:pPr>
        <w:ind w:left="5714" w:hanging="287"/>
      </w:pPr>
      <w:rPr>
        <w:rFonts w:hint="default"/>
        <w:lang w:val="en-US" w:eastAsia="en-US" w:bidi="ar-SA"/>
      </w:rPr>
    </w:lvl>
    <w:lvl w:ilvl="7">
      <w:start w:val="0"/>
      <w:numFmt w:val="bullet"/>
      <w:lvlText w:val="•"/>
      <w:lvlJc w:val="left"/>
      <w:pPr>
        <w:ind w:left="6597" w:hanging="287"/>
      </w:pPr>
      <w:rPr>
        <w:rFonts w:hint="default"/>
        <w:lang w:val="en-US" w:eastAsia="en-US" w:bidi="ar-SA"/>
      </w:rPr>
    </w:lvl>
    <w:lvl w:ilvl="8">
      <w:start w:val="0"/>
      <w:numFmt w:val="bullet"/>
      <w:lvlText w:val="•"/>
      <w:lvlJc w:val="left"/>
      <w:pPr>
        <w:ind w:left="7479" w:hanging="287"/>
      </w:pPr>
      <w:rPr>
        <w:rFonts w:hint="default"/>
        <w:lang w:val="en-US" w:eastAsia="en-US" w:bidi="ar-SA"/>
      </w:rPr>
    </w:lvl>
  </w:abstractNum>
  <w:abstractNum w:abstractNumId="84">
    <w:multiLevelType w:val="hybridMultilevel"/>
    <w:lvl w:ilvl="0">
      <w:start w:val="1"/>
      <w:numFmt w:val="lowerLetter"/>
      <w:lvlText w:val="(%1)"/>
      <w:lvlJc w:val="left"/>
      <w:pPr>
        <w:ind w:left="1157" w:hanging="358"/>
        <w:jc w:val="left"/>
      </w:pPr>
      <w:rPr>
        <w:rFonts w:hint="default" w:ascii="Arial" w:hAnsi="Arial" w:eastAsia="Arial" w:cs="Arial"/>
        <w:b w:val="0"/>
        <w:bCs w:val="0"/>
        <w:i/>
        <w:iCs/>
        <w:spacing w:val="0"/>
        <w:w w:val="100"/>
        <w:sz w:val="22"/>
        <w:szCs w:val="22"/>
        <w:lang w:val="en-US" w:eastAsia="en-US" w:bidi="ar-SA"/>
      </w:rPr>
    </w:lvl>
    <w:lvl w:ilvl="1">
      <w:start w:val="0"/>
      <w:numFmt w:val="bullet"/>
      <w:lvlText w:val="•"/>
      <w:lvlJc w:val="left"/>
      <w:pPr>
        <w:ind w:left="2060" w:hanging="358"/>
      </w:pPr>
      <w:rPr>
        <w:rFonts w:hint="default"/>
        <w:lang w:val="en-US" w:eastAsia="en-US" w:bidi="ar-SA"/>
      </w:rPr>
    </w:lvl>
    <w:lvl w:ilvl="2">
      <w:start w:val="0"/>
      <w:numFmt w:val="bullet"/>
      <w:lvlText w:val="•"/>
      <w:lvlJc w:val="left"/>
      <w:pPr>
        <w:ind w:left="2961" w:hanging="358"/>
      </w:pPr>
      <w:rPr>
        <w:rFonts w:hint="default"/>
        <w:lang w:val="en-US" w:eastAsia="en-US" w:bidi="ar-SA"/>
      </w:rPr>
    </w:lvl>
    <w:lvl w:ilvl="3">
      <w:start w:val="0"/>
      <w:numFmt w:val="bullet"/>
      <w:lvlText w:val="•"/>
      <w:lvlJc w:val="left"/>
      <w:pPr>
        <w:ind w:left="3861" w:hanging="358"/>
      </w:pPr>
      <w:rPr>
        <w:rFonts w:hint="default"/>
        <w:lang w:val="en-US" w:eastAsia="en-US" w:bidi="ar-SA"/>
      </w:rPr>
    </w:lvl>
    <w:lvl w:ilvl="4">
      <w:start w:val="0"/>
      <w:numFmt w:val="bullet"/>
      <w:lvlText w:val="•"/>
      <w:lvlJc w:val="left"/>
      <w:pPr>
        <w:ind w:left="4762" w:hanging="358"/>
      </w:pPr>
      <w:rPr>
        <w:rFonts w:hint="default"/>
        <w:lang w:val="en-US" w:eastAsia="en-US" w:bidi="ar-SA"/>
      </w:rPr>
    </w:lvl>
    <w:lvl w:ilvl="5">
      <w:start w:val="0"/>
      <w:numFmt w:val="bullet"/>
      <w:lvlText w:val="•"/>
      <w:lvlJc w:val="left"/>
      <w:pPr>
        <w:ind w:left="5663" w:hanging="358"/>
      </w:pPr>
      <w:rPr>
        <w:rFonts w:hint="default"/>
        <w:lang w:val="en-US" w:eastAsia="en-US" w:bidi="ar-SA"/>
      </w:rPr>
    </w:lvl>
    <w:lvl w:ilvl="6">
      <w:start w:val="0"/>
      <w:numFmt w:val="bullet"/>
      <w:lvlText w:val="•"/>
      <w:lvlJc w:val="left"/>
      <w:pPr>
        <w:ind w:left="6563" w:hanging="358"/>
      </w:pPr>
      <w:rPr>
        <w:rFonts w:hint="default"/>
        <w:lang w:val="en-US" w:eastAsia="en-US" w:bidi="ar-SA"/>
      </w:rPr>
    </w:lvl>
    <w:lvl w:ilvl="7">
      <w:start w:val="0"/>
      <w:numFmt w:val="bullet"/>
      <w:lvlText w:val="•"/>
      <w:lvlJc w:val="left"/>
      <w:pPr>
        <w:ind w:left="7464" w:hanging="358"/>
      </w:pPr>
      <w:rPr>
        <w:rFonts w:hint="default"/>
        <w:lang w:val="en-US" w:eastAsia="en-US" w:bidi="ar-SA"/>
      </w:rPr>
    </w:lvl>
    <w:lvl w:ilvl="8">
      <w:start w:val="0"/>
      <w:numFmt w:val="bullet"/>
      <w:lvlText w:val="•"/>
      <w:lvlJc w:val="left"/>
      <w:pPr>
        <w:ind w:left="8365" w:hanging="358"/>
      </w:pPr>
      <w:rPr>
        <w:rFonts w:hint="default"/>
        <w:lang w:val="en-US" w:eastAsia="en-US" w:bidi="ar-SA"/>
      </w:rPr>
    </w:lvl>
  </w:abstractNum>
  <w:abstractNum w:abstractNumId="83">
    <w:multiLevelType w:val="hybridMultilevel"/>
    <w:lvl w:ilvl="0">
      <w:start w:val="0"/>
      <w:numFmt w:val="bullet"/>
      <w:lvlText w:val="•"/>
      <w:lvlJc w:val="left"/>
      <w:pPr>
        <w:ind w:left="502" w:hanging="361"/>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374" w:hanging="361"/>
      </w:pPr>
      <w:rPr>
        <w:rFonts w:hint="default"/>
        <w:lang w:val="en-US" w:eastAsia="en-US" w:bidi="ar-SA"/>
      </w:rPr>
    </w:lvl>
    <w:lvl w:ilvl="2">
      <w:start w:val="0"/>
      <w:numFmt w:val="bullet"/>
      <w:lvlText w:val="•"/>
      <w:lvlJc w:val="left"/>
      <w:pPr>
        <w:ind w:left="2248" w:hanging="361"/>
      </w:pPr>
      <w:rPr>
        <w:rFonts w:hint="default"/>
        <w:lang w:val="en-US" w:eastAsia="en-US" w:bidi="ar-SA"/>
      </w:rPr>
    </w:lvl>
    <w:lvl w:ilvl="3">
      <w:start w:val="0"/>
      <w:numFmt w:val="bullet"/>
      <w:lvlText w:val="•"/>
      <w:lvlJc w:val="left"/>
      <w:pPr>
        <w:ind w:left="3123" w:hanging="361"/>
      </w:pPr>
      <w:rPr>
        <w:rFonts w:hint="default"/>
        <w:lang w:val="en-US" w:eastAsia="en-US" w:bidi="ar-SA"/>
      </w:rPr>
    </w:lvl>
    <w:lvl w:ilvl="4">
      <w:start w:val="0"/>
      <w:numFmt w:val="bullet"/>
      <w:lvlText w:val="•"/>
      <w:lvlJc w:val="left"/>
      <w:pPr>
        <w:ind w:left="3997" w:hanging="361"/>
      </w:pPr>
      <w:rPr>
        <w:rFonts w:hint="default"/>
        <w:lang w:val="en-US" w:eastAsia="en-US" w:bidi="ar-SA"/>
      </w:rPr>
    </w:lvl>
    <w:lvl w:ilvl="5">
      <w:start w:val="0"/>
      <w:numFmt w:val="bullet"/>
      <w:lvlText w:val="•"/>
      <w:lvlJc w:val="left"/>
      <w:pPr>
        <w:ind w:left="4872" w:hanging="361"/>
      </w:pPr>
      <w:rPr>
        <w:rFonts w:hint="default"/>
        <w:lang w:val="en-US" w:eastAsia="en-US" w:bidi="ar-SA"/>
      </w:rPr>
    </w:lvl>
    <w:lvl w:ilvl="6">
      <w:start w:val="0"/>
      <w:numFmt w:val="bullet"/>
      <w:lvlText w:val="•"/>
      <w:lvlJc w:val="left"/>
      <w:pPr>
        <w:ind w:left="5746" w:hanging="361"/>
      </w:pPr>
      <w:rPr>
        <w:rFonts w:hint="default"/>
        <w:lang w:val="en-US" w:eastAsia="en-US" w:bidi="ar-SA"/>
      </w:rPr>
    </w:lvl>
    <w:lvl w:ilvl="7">
      <w:start w:val="0"/>
      <w:numFmt w:val="bullet"/>
      <w:lvlText w:val="•"/>
      <w:lvlJc w:val="left"/>
      <w:pPr>
        <w:ind w:left="6621" w:hanging="361"/>
      </w:pPr>
      <w:rPr>
        <w:rFonts w:hint="default"/>
        <w:lang w:val="en-US" w:eastAsia="en-US" w:bidi="ar-SA"/>
      </w:rPr>
    </w:lvl>
    <w:lvl w:ilvl="8">
      <w:start w:val="0"/>
      <w:numFmt w:val="bullet"/>
      <w:lvlText w:val="•"/>
      <w:lvlJc w:val="left"/>
      <w:pPr>
        <w:ind w:left="7495" w:hanging="361"/>
      </w:pPr>
      <w:rPr>
        <w:rFonts w:hint="default"/>
        <w:lang w:val="en-US" w:eastAsia="en-US" w:bidi="ar-SA"/>
      </w:rPr>
    </w:lvl>
  </w:abstractNum>
  <w:abstractNum w:abstractNumId="82">
    <w:multiLevelType w:val="hybridMultilevel"/>
    <w:lvl w:ilvl="0">
      <w:start w:val="0"/>
      <w:numFmt w:val="bullet"/>
      <w:lvlText w:val="•"/>
      <w:lvlJc w:val="left"/>
      <w:pPr>
        <w:ind w:left="502" w:hanging="361"/>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374" w:hanging="361"/>
      </w:pPr>
      <w:rPr>
        <w:rFonts w:hint="default"/>
        <w:lang w:val="en-US" w:eastAsia="en-US" w:bidi="ar-SA"/>
      </w:rPr>
    </w:lvl>
    <w:lvl w:ilvl="2">
      <w:start w:val="0"/>
      <w:numFmt w:val="bullet"/>
      <w:lvlText w:val="•"/>
      <w:lvlJc w:val="left"/>
      <w:pPr>
        <w:ind w:left="2248" w:hanging="361"/>
      </w:pPr>
      <w:rPr>
        <w:rFonts w:hint="default"/>
        <w:lang w:val="en-US" w:eastAsia="en-US" w:bidi="ar-SA"/>
      </w:rPr>
    </w:lvl>
    <w:lvl w:ilvl="3">
      <w:start w:val="0"/>
      <w:numFmt w:val="bullet"/>
      <w:lvlText w:val="•"/>
      <w:lvlJc w:val="left"/>
      <w:pPr>
        <w:ind w:left="3123" w:hanging="361"/>
      </w:pPr>
      <w:rPr>
        <w:rFonts w:hint="default"/>
        <w:lang w:val="en-US" w:eastAsia="en-US" w:bidi="ar-SA"/>
      </w:rPr>
    </w:lvl>
    <w:lvl w:ilvl="4">
      <w:start w:val="0"/>
      <w:numFmt w:val="bullet"/>
      <w:lvlText w:val="•"/>
      <w:lvlJc w:val="left"/>
      <w:pPr>
        <w:ind w:left="3997" w:hanging="361"/>
      </w:pPr>
      <w:rPr>
        <w:rFonts w:hint="default"/>
        <w:lang w:val="en-US" w:eastAsia="en-US" w:bidi="ar-SA"/>
      </w:rPr>
    </w:lvl>
    <w:lvl w:ilvl="5">
      <w:start w:val="0"/>
      <w:numFmt w:val="bullet"/>
      <w:lvlText w:val="•"/>
      <w:lvlJc w:val="left"/>
      <w:pPr>
        <w:ind w:left="4872" w:hanging="361"/>
      </w:pPr>
      <w:rPr>
        <w:rFonts w:hint="default"/>
        <w:lang w:val="en-US" w:eastAsia="en-US" w:bidi="ar-SA"/>
      </w:rPr>
    </w:lvl>
    <w:lvl w:ilvl="6">
      <w:start w:val="0"/>
      <w:numFmt w:val="bullet"/>
      <w:lvlText w:val="•"/>
      <w:lvlJc w:val="left"/>
      <w:pPr>
        <w:ind w:left="5746" w:hanging="361"/>
      </w:pPr>
      <w:rPr>
        <w:rFonts w:hint="default"/>
        <w:lang w:val="en-US" w:eastAsia="en-US" w:bidi="ar-SA"/>
      </w:rPr>
    </w:lvl>
    <w:lvl w:ilvl="7">
      <w:start w:val="0"/>
      <w:numFmt w:val="bullet"/>
      <w:lvlText w:val="•"/>
      <w:lvlJc w:val="left"/>
      <w:pPr>
        <w:ind w:left="6621" w:hanging="361"/>
      </w:pPr>
      <w:rPr>
        <w:rFonts w:hint="default"/>
        <w:lang w:val="en-US" w:eastAsia="en-US" w:bidi="ar-SA"/>
      </w:rPr>
    </w:lvl>
    <w:lvl w:ilvl="8">
      <w:start w:val="0"/>
      <w:numFmt w:val="bullet"/>
      <w:lvlText w:val="•"/>
      <w:lvlJc w:val="left"/>
      <w:pPr>
        <w:ind w:left="7495" w:hanging="361"/>
      </w:pPr>
      <w:rPr>
        <w:rFonts w:hint="default"/>
        <w:lang w:val="en-US" w:eastAsia="en-US" w:bidi="ar-SA"/>
      </w:rPr>
    </w:lvl>
  </w:abstractNum>
  <w:abstractNum w:abstractNumId="81">
    <w:multiLevelType w:val="hybridMultilevel"/>
    <w:lvl w:ilvl="0">
      <w:start w:val="0"/>
      <w:numFmt w:val="bullet"/>
      <w:lvlText w:val="•"/>
      <w:lvlJc w:val="left"/>
      <w:pPr>
        <w:ind w:left="734" w:hanging="361"/>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941" w:hanging="360"/>
      </w:pPr>
      <w:rPr>
        <w:rFonts w:hint="default" w:ascii="Courier New" w:hAnsi="Courier New" w:eastAsia="Courier New" w:cs="Courier New"/>
        <w:b w:val="0"/>
        <w:bCs w:val="0"/>
        <w:i w:val="0"/>
        <w:iCs w:val="0"/>
        <w:spacing w:val="0"/>
        <w:w w:val="100"/>
        <w:sz w:val="22"/>
        <w:szCs w:val="22"/>
        <w:lang w:val="en-US" w:eastAsia="en-US" w:bidi="ar-SA"/>
      </w:rPr>
    </w:lvl>
    <w:lvl w:ilvl="2">
      <w:start w:val="0"/>
      <w:numFmt w:val="bullet"/>
      <w:lvlText w:val="•"/>
      <w:lvlJc w:val="left"/>
      <w:pPr>
        <w:ind w:left="960" w:hanging="360"/>
      </w:pPr>
      <w:rPr>
        <w:rFonts w:hint="default"/>
        <w:lang w:val="en-US" w:eastAsia="en-US" w:bidi="ar-SA"/>
      </w:rPr>
    </w:lvl>
    <w:lvl w:ilvl="3">
      <w:start w:val="0"/>
      <w:numFmt w:val="bullet"/>
      <w:lvlText w:val="•"/>
      <w:lvlJc w:val="left"/>
      <w:pPr>
        <w:ind w:left="2110" w:hanging="360"/>
      </w:pPr>
      <w:rPr>
        <w:rFonts w:hint="default"/>
        <w:lang w:val="en-US" w:eastAsia="en-US" w:bidi="ar-SA"/>
      </w:rPr>
    </w:lvl>
    <w:lvl w:ilvl="4">
      <w:start w:val="0"/>
      <w:numFmt w:val="bullet"/>
      <w:lvlText w:val="•"/>
      <w:lvlJc w:val="left"/>
      <w:pPr>
        <w:ind w:left="3261" w:hanging="360"/>
      </w:pPr>
      <w:rPr>
        <w:rFonts w:hint="default"/>
        <w:lang w:val="en-US" w:eastAsia="en-US" w:bidi="ar-SA"/>
      </w:rPr>
    </w:lvl>
    <w:lvl w:ilvl="5">
      <w:start w:val="0"/>
      <w:numFmt w:val="bullet"/>
      <w:lvlText w:val="•"/>
      <w:lvlJc w:val="left"/>
      <w:pPr>
        <w:ind w:left="4412" w:hanging="360"/>
      </w:pPr>
      <w:rPr>
        <w:rFonts w:hint="default"/>
        <w:lang w:val="en-US" w:eastAsia="en-US" w:bidi="ar-SA"/>
      </w:rPr>
    </w:lvl>
    <w:lvl w:ilvl="6">
      <w:start w:val="0"/>
      <w:numFmt w:val="bullet"/>
      <w:lvlText w:val="•"/>
      <w:lvlJc w:val="left"/>
      <w:pPr>
        <w:ind w:left="5563" w:hanging="360"/>
      </w:pPr>
      <w:rPr>
        <w:rFonts w:hint="default"/>
        <w:lang w:val="en-US" w:eastAsia="en-US" w:bidi="ar-SA"/>
      </w:rPr>
    </w:lvl>
    <w:lvl w:ilvl="7">
      <w:start w:val="0"/>
      <w:numFmt w:val="bullet"/>
      <w:lvlText w:val="•"/>
      <w:lvlJc w:val="left"/>
      <w:pPr>
        <w:ind w:left="6714" w:hanging="360"/>
      </w:pPr>
      <w:rPr>
        <w:rFonts w:hint="default"/>
        <w:lang w:val="en-US" w:eastAsia="en-US" w:bidi="ar-SA"/>
      </w:rPr>
    </w:lvl>
    <w:lvl w:ilvl="8">
      <w:start w:val="0"/>
      <w:numFmt w:val="bullet"/>
      <w:lvlText w:val="•"/>
      <w:lvlJc w:val="left"/>
      <w:pPr>
        <w:ind w:left="7864" w:hanging="360"/>
      </w:pPr>
      <w:rPr>
        <w:rFonts w:hint="default"/>
        <w:lang w:val="en-US" w:eastAsia="en-US" w:bidi="ar-SA"/>
      </w:rPr>
    </w:lvl>
  </w:abstractNum>
  <w:abstractNum w:abstractNumId="80">
    <w:multiLevelType w:val="hybridMultilevel"/>
    <w:lvl w:ilvl="0">
      <w:start w:val="0"/>
      <w:numFmt w:val="bullet"/>
      <w:lvlText w:val="•"/>
      <w:lvlJc w:val="left"/>
      <w:pPr>
        <w:ind w:left="734" w:hanging="219"/>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682" w:hanging="219"/>
      </w:pPr>
      <w:rPr>
        <w:rFonts w:hint="default"/>
        <w:lang w:val="en-US" w:eastAsia="en-US" w:bidi="ar-SA"/>
      </w:rPr>
    </w:lvl>
    <w:lvl w:ilvl="2">
      <w:start w:val="0"/>
      <w:numFmt w:val="bullet"/>
      <w:lvlText w:val="•"/>
      <w:lvlJc w:val="left"/>
      <w:pPr>
        <w:ind w:left="2625" w:hanging="219"/>
      </w:pPr>
      <w:rPr>
        <w:rFonts w:hint="default"/>
        <w:lang w:val="en-US" w:eastAsia="en-US" w:bidi="ar-SA"/>
      </w:rPr>
    </w:lvl>
    <w:lvl w:ilvl="3">
      <w:start w:val="0"/>
      <w:numFmt w:val="bullet"/>
      <w:lvlText w:val="•"/>
      <w:lvlJc w:val="left"/>
      <w:pPr>
        <w:ind w:left="3567" w:hanging="219"/>
      </w:pPr>
      <w:rPr>
        <w:rFonts w:hint="default"/>
        <w:lang w:val="en-US" w:eastAsia="en-US" w:bidi="ar-SA"/>
      </w:rPr>
    </w:lvl>
    <w:lvl w:ilvl="4">
      <w:start w:val="0"/>
      <w:numFmt w:val="bullet"/>
      <w:lvlText w:val="•"/>
      <w:lvlJc w:val="left"/>
      <w:pPr>
        <w:ind w:left="4510" w:hanging="219"/>
      </w:pPr>
      <w:rPr>
        <w:rFonts w:hint="default"/>
        <w:lang w:val="en-US" w:eastAsia="en-US" w:bidi="ar-SA"/>
      </w:rPr>
    </w:lvl>
    <w:lvl w:ilvl="5">
      <w:start w:val="0"/>
      <w:numFmt w:val="bullet"/>
      <w:lvlText w:val="•"/>
      <w:lvlJc w:val="left"/>
      <w:pPr>
        <w:ind w:left="5453" w:hanging="219"/>
      </w:pPr>
      <w:rPr>
        <w:rFonts w:hint="default"/>
        <w:lang w:val="en-US" w:eastAsia="en-US" w:bidi="ar-SA"/>
      </w:rPr>
    </w:lvl>
    <w:lvl w:ilvl="6">
      <w:start w:val="0"/>
      <w:numFmt w:val="bullet"/>
      <w:lvlText w:val="•"/>
      <w:lvlJc w:val="left"/>
      <w:pPr>
        <w:ind w:left="6395" w:hanging="219"/>
      </w:pPr>
      <w:rPr>
        <w:rFonts w:hint="default"/>
        <w:lang w:val="en-US" w:eastAsia="en-US" w:bidi="ar-SA"/>
      </w:rPr>
    </w:lvl>
    <w:lvl w:ilvl="7">
      <w:start w:val="0"/>
      <w:numFmt w:val="bullet"/>
      <w:lvlText w:val="•"/>
      <w:lvlJc w:val="left"/>
      <w:pPr>
        <w:ind w:left="7338" w:hanging="219"/>
      </w:pPr>
      <w:rPr>
        <w:rFonts w:hint="default"/>
        <w:lang w:val="en-US" w:eastAsia="en-US" w:bidi="ar-SA"/>
      </w:rPr>
    </w:lvl>
    <w:lvl w:ilvl="8">
      <w:start w:val="0"/>
      <w:numFmt w:val="bullet"/>
      <w:lvlText w:val="•"/>
      <w:lvlJc w:val="left"/>
      <w:pPr>
        <w:ind w:left="8281" w:hanging="219"/>
      </w:pPr>
      <w:rPr>
        <w:rFonts w:hint="default"/>
        <w:lang w:val="en-US" w:eastAsia="en-US" w:bidi="ar-SA"/>
      </w:rPr>
    </w:lvl>
  </w:abstractNum>
  <w:abstractNum w:abstractNumId="79">
    <w:multiLevelType w:val="hybridMultilevel"/>
    <w:lvl w:ilvl="0">
      <w:start w:val="0"/>
      <w:numFmt w:val="bullet"/>
      <w:lvlText w:val="•"/>
      <w:lvlJc w:val="left"/>
      <w:pPr>
        <w:ind w:left="590" w:hanging="217"/>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556" w:hanging="217"/>
      </w:pPr>
      <w:rPr>
        <w:rFonts w:hint="default"/>
        <w:lang w:val="en-US" w:eastAsia="en-US" w:bidi="ar-SA"/>
      </w:rPr>
    </w:lvl>
    <w:lvl w:ilvl="2">
      <w:start w:val="0"/>
      <w:numFmt w:val="bullet"/>
      <w:lvlText w:val="•"/>
      <w:lvlJc w:val="left"/>
      <w:pPr>
        <w:ind w:left="2513" w:hanging="217"/>
      </w:pPr>
      <w:rPr>
        <w:rFonts w:hint="default"/>
        <w:lang w:val="en-US" w:eastAsia="en-US" w:bidi="ar-SA"/>
      </w:rPr>
    </w:lvl>
    <w:lvl w:ilvl="3">
      <w:start w:val="0"/>
      <w:numFmt w:val="bullet"/>
      <w:lvlText w:val="•"/>
      <w:lvlJc w:val="left"/>
      <w:pPr>
        <w:ind w:left="3469" w:hanging="217"/>
      </w:pPr>
      <w:rPr>
        <w:rFonts w:hint="default"/>
        <w:lang w:val="en-US" w:eastAsia="en-US" w:bidi="ar-SA"/>
      </w:rPr>
    </w:lvl>
    <w:lvl w:ilvl="4">
      <w:start w:val="0"/>
      <w:numFmt w:val="bullet"/>
      <w:lvlText w:val="•"/>
      <w:lvlJc w:val="left"/>
      <w:pPr>
        <w:ind w:left="4426" w:hanging="217"/>
      </w:pPr>
      <w:rPr>
        <w:rFonts w:hint="default"/>
        <w:lang w:val="en-US" w:eastAsia="en-US" w:bidi="ar-SA"/>
      </w:rPr>
    </w:lvl>
    <w:lvl w:ilvl="5">
      <w:start w:val="0"/>
      <w:numFmt w:val="bullet"/>
      <w:lvlText w:val="•"/>
      <w:lvlJc w:val="left"/>
      <w:pPr>
        <w:ind w:left="5383" w:hanging="217"/>
      </w:pPr>
      <w:rPr>
        <w:rFonts w:hint="default"/>
        <w:lang w:val="en-US" w:eastAsia="en-US" w:bidi="ar-SA"/>
      </w:rPr>
    </w:lvl>
    <w:lvl w:ilvl="6">
      <w:start w:val="0"/>
      <w:numFmt w:val="bullet"/>
      <w:lvlText w:val="•"/>
      <w:lvlJc w:val="left"/>
      <w:pPr>
        <w:ind w:left="6339" w:hanging="217"/>
      </w:pPr>
      <w:rPr>
        <w:rFonts w:hint="default"/>
        <w:lang w:val="en-US" w:eastAsia="en-US" w:bidi="ar-SA"/>
      </w:rPr>
    </w:lvl>
    <w:lvl w:ilvl="7">
      <w:start w:val="0"/>
      <w:numFmt w:val="bullet"/>
      <w:lvlText w:val="•"/>
      <w:lvlJc w:val="left"/>
      <w:pPr>
        <w:ind w:left="7296" w:hanging="217"/>
      </w:pPr>
      <w:rPr>
        <w:rFonts w:hint="default"/>
        <w:lang w:val="en-US" w:eastAsia="en-US" w:bidi="ar-SA"/>
      </w:rPr>
    </w:lvl>
    <w:lvl w:ilvl="8">
      <w:start w:val="0"/>
      <w:numFmt w:val="bullet"/>
      <w:lvlText w:val="•"/>
      <w:lvlJc w:val="left"/>
      <w:pPr>
        <w:ind w:left="8253" w:hanging="217"/>
      </w:pPr>
      <w:rPr>
        <w:rFonts w:hint="default"/>
        <w:lang w:val="en-US" w:eastAsia="en-US" w:bidi="ar-SA"/>
      </w:rPr>
    </w:lvl>
  </w:abstractNum>
  <w:abstractNum w:abstractNumId="78">
    <w:multiLevelType w:val="hybridMultilevel"/>
    <w:lvl w:ilvl="0">
      <w:start w:val="0"/>
      <w:numFmt w:val="bullet"/>
      <w:lvlText w:val="•"/>
      <w:lvlJc w:val="left"/>
      <w:pPr>
        <w:ind w:left="590" w:hanging="359"/>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556" w:hanging="359"/>
      </w:pPr>
      <w:rPr>
        <w:rFonts w:hint="default"/>
        <w:lang w:val="en-US" w:eastAsia="en-US" w:bidi="ar-SA"/>
      </w:rPr>
    </w:lvl>
    <w:lvl w:ilvl="2">
      <w:start w:val="0"/>
      <w:numFmt w:val="bullet"/>
      <w:lvlText w:val="•"/>
      <w:lvlJc w:val="left"/>
      <w:pPr>
        <w:ind w:left="2513" w:hanging="359"/>
      </w:pPr>
      <w:rPr>
        <w:rFonts w:hint="default"/>
        <w:lang w:val="en-US" w:eastAsia="en-US" w:bidi="ar-SA"/>
      </w:rPr>
    </w:lvl>
    <w:lvl w:ilvl="3">
      <w:start w:val="0"/>
      <w:numFmt w:val="bullet"/>
      <w:lvlText w:val="•"/>
      <w:lvlJc w:val="left"/>
      <w:pPr>
        <w:ind w:left="3469" w:hanging="359"/>
      </w:pPr>
      <w:rPr>
        <w:rFonts w:hint="default"/>
        <w:lang w:val="en-US" w:eastAsia="en-US" w:bidi="ar-SA"/>
      </w:rPr>
    </w:lvl>
    <w:lvl w:ilvl="4">
      <w:start w:val="0"/>
      <w:numFmt w:val="bullet"/>
      <w:lvlText w:val="•"/>
      <w:lvlJc w:val="left"/>
      <w:pPr>
        <w:ind w:left="4426" w:hanging="359"/>
      </w:pPr>
      <w:rPr>
        <w:rFonts w:hint="default"/>
        <w:lang w:val="en-US" w:eastAsia="en-US" w:bidi="ar-SA"/>
      </w:rPr>
    </w:lvl>
    <w:lvl w:ilvl="5">
      <w:start w:val="0"/>
      <w:numFmt w:val="bullet"/>
      <w:lvlText w:val="•"/>
      <w:lvlJc w:val="left"/>
      <w:pPr>
        <w:ind w:left="5383" w:hanging="359"/>
      </w:pPr>
      <w:rPr>
        <w:rFonts w:hint="default"/>
        <w:lang w:val="en-US" w:eastAsia="en-US" w:bidi="ar-SA"/>
      </w:rPr>
    </w:lvl>
    <w:lvl w:ilvl="6">
      <w:start w:val="0"/>
      <w:numFmt w:val="bullet"/>
      <w:lvlText w:val="•"/>
      <w:lvlJc w:val="left"/>
      <w:pPr>
        <w:ind w:left="6339" w:hanging="359"/>
      </w:pPr>
      <w:rPr>
        <w:rFonts w:hint="default"/>
        <w:lang w:val="en-US" w:eastAsia="en-US" w:bidi="ar-SA"/>
      </w:rPr>
    </w:lvl>
    <w:lvl w:ilvl="7">
      <w:start w:val="0"/>
      <w:numFmt w:val="bullet"/>
      <w:lvlText w:val="•"/>
      <w:lvlJc w:val="left"/>
      <w:pPr>
        <w:ind w:left="7296" w:hanging="359"/>
      </w:pPr>
      <w:rPr>
        <w:rFonts w:hint="default"/>
        <w:lang w:val="en-US" w:eastAsia="en-US" w:bidi="ar-SA"/>
      </w:rPr>
    </w:lvl>
    <w:lvl w:ilvl="8">
      <w:start w:val="0"/>
      <w:numFmt w:val="bullet"/>
      <w:lvlText w:val="•"/>
      <w:lvlJc w:val="left"/>
      <w:pPr>
        <w:ind w:left="8253" w:hanging="359"/>
      </w:pPr>
      <w:rPr>
        <w:rFonts w:hint="default"/>
        <w:lang w:val="en-US" w:eastAsia="en-US" w:bidi="ar-SA"/>
      </w:rPr>
    </w:lvl>
  </w:abstractNum>
  <w:abstractNum w:abstractNumId="77">
    <w:multiLevelType w:val="hybridMultilevel"/>
    <w:lvl w:ilvl="0">
      <w:start w:val="0"/>
      <w:numFmt w:val="bullet"/>
      <w:lvlText w:val="•"/>
      <w:lvlJc w:val="left"/>
      <w:pPr>
        <w:ind w:left="734" w:hanging="361"/>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682" w:hanging="361"/>
      </w:pPr>
      <w:rPr>
        <w:rFonts w:hint="default"/>
        <w:lang w:val="en-US" w:eastAsia="en-US" w:bidi="ar-SA"/>
      </w:rPr>
    </w:lvl>
    <w:lvl w:ilvl="2">
      <w:start w:val="0"/>
      <w:numFmt w:val="bullet"/>
      <w:lvlText w:val="•"/>
      <w:lvlJc w:val="left"/>
      <w:pPr>
        <w:ind w:left="2625" w:hanging="361"/>
      </w:pPr>
      <w:rPr>
        <w:rFonts w:hint="default"/>
        <w:lang w:val="en-US" w:eastAsia="en-US" w:bidi="ar-SA"/>
      </w:rPr>
    </w:lvl>
    <w:lvl w:ilvl="3">
      <w:start w:val="0"/>
      <w:numFmt w:val="bullet"/>
      <w:lvlText w:val="•"/>
      <w:lvlJc w:val="left"/>
      <w:pPr>
        <w:ind w:left="3567" w:hanging="361"/>
      </w:pPr>
      <w:rPr>
        <w:rFonts w:hint="default"/>
        <w:lang w:val="en-US" w:eastAsia="en-US" w:bidi="ar-SA"/>
      </w:rPr>
    </w:lvl>
    <w:lvl w:ilvl="4">
      <w:start w:val="0"/>
      <w:numFmt w:val="bullet"/>
      <w:lvlText w:val="•"/>
      <w:lvlJc w:val="left"/>
      <w:pPr>
        <w:ind w:left="4510" w:hanging="361"/>
      </w:pPr>
      <w:rPr>
        <w:rFonts w:hint="default"/>
        <w:lang w:val="en-US" w:eastAsia="en-US" w:bidi="ar-SA"/>
      </w:rPr>
    </w:lvl>
    <w:lvl w:ilvl="5">
      <w:start w:val="0"/>
      <w:numFmt w:val="bullet"/>
      <w:lvlText w:val="•"/>
      <w:lvlJc w:val="left"/>
      <w:pPr>
        <w:ind w:left="5453" w:hanging="361"/>
      </w:pPr>
      <w:rPr>
        <w:rFonts w:hint="default"/>
        <w:lang w:val="en-US" w:eastAsia="en-US" w:bidi="ar-SA"/>
      </w:rPr>
    </w:lvl>
    <w:lvl w:ilvl="6">
      <w:start w:val="0"/>
      <w:numFmt w:val="bullet"/>
      <w:lvlText w:val="•"/>
      <w:lvlJc w:val="left"/>
      <w:pPr>
        <w:ind w:left="6395" w:hanging="361"/>
      </w:pPr>
      <w:rPr>
        <w:rFonts w:hint="default"/>
        <w:lang w:val="en-US" w:eastAsia="en-US" w:bidi="ar-SA"/>
      </w:rPr>
    </w:lvl>
    <w:lvl w:ilvl="7">
      <w:start w:val="0"/>
      <w:numFmt w:val="bullet"/>
      <w:lvlText w:val="•"/>
      <w:lvlJc w:val="left"/>
      <w:pPr>
        <w:ind w:left="7338" w:hanging="361"/>
      </w:pPr>
      <w:rPr>
        <w:rFonts w:hint="default"/>
        <w:lang w:val="en-US" w:eastAsia="en-US" w:bidi="ar-SA"/>
      </w:rPr>
    </w:lvl>
    <w:lvl w:ilvl="8">
      <w:start w:val="0"/>
      <w:numFmt w:val="bullet"/>
      <w:lvlText w:val="•"/>
      <w:lvlJc w:val="left"/>
      <w:pPr>
        <w:ind w:left="8281" w:hanging="361"/>
      </w:pPr>
      <w:rPr>
        <w:rFonts w:hint="default"/>
        <w:lang w:val="en-US" w:eastAsia="en-US" w:bidi="ar-SA"/>
      </w:rPr>
    </w:lvl>
  </w:abstractNum>
  <w:abstractNum w:abstractNumId="76">
    <w:multiLevelType w:val="hybridMultilevel"/>
    <w:lvl w:ilvl="0">
      <w:start w:val="0"/>
      <w:numFmt w:val="bullet"/>
      <w:lvlText w:val="•"/>
      <w:lvlJc w:val="left"/>
      <w:pPr>
        <w:ind w:left="590" w:hanging="359"/>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734" w:hanging="361"/>
      </w:pPr>
      <w:rPr>
        <w:rFonts w:hint="default" w:ascii="Arial" w:hAnsi="Arial" w:eastAsia="Arial" w:cs="Arial"/>
        <w:b w:val="0"/>
        <w:bCs w:val="0"/>
        <w:i w:val="0"/>
        <w:iCs w:val="0"/>
        <w:spacing w:val="0"/>
        <w:w w:val="131"/>
        <w:sz w:val="22"/>
        <w:szCs w:val="22"/>
        <w:lang w:val="en-US" w:eastAsia="en-US" w:bidi="ar-SA"/>
      </w:rPr>
    </w:lvl>
    <w:lvl w:ilvl="2">
      <w:start w:val="0"/>
      <w:numFmt w:val="bullet"/>
      <w:lvlText w:val="•"/>
      <w:lvlJc w:val="left"/>
      <w:pPr>
        <w:ind w:left="1787" w:hanging="361"/>
      </w:pPr>
      <w:rPr>
        <w:rFonts w:hint="default"/>
        <w:lang w:val="en-US" w:eastAsia="en-US" w:bidi="ar-SA"/>
      </w:rPr>
    </w:lvl>
    <w:lvl w:ilvl="3">
      <w:start w:val="0"/>
      <w:numFmt w:val="bullet"/>
      <w:lvlText w:val="•"/>
      <w:lvlJc w:val="left"/>
      <w:pPr>
        <w:ind w:left="2834" w:hanging="361"/>
      </w:pPr>
      <w:rPr>
        <w:rFonts w:hint="default"/>
        <w:lang w:val="en-US" w:eastAsia="en-US" w:bidi="ar-SA"/>
      </w:rPr>
    </w:lvl>
    <w:lvl w:ilvl="4">
      <w:start w:val="0"/>
      <w:numFmt w:val="bullet"/>
      <w:lvlText w:val="•"/>
      <w:lvlJc w:val="left"/>
      <w:pPr>
        <w:ind w:left="3882" w:hanging="361"/>
      </w:pPr>
      <w:rPr>
        <w:rFonts w:hint="default"/>
        <w:lang w:val="en-US" w:eastAsia="en-US" w:bidi="ar-SA"/>
      </w:rPr>
    </w:lvl>
    <w:lvl w:ilvl="5">
      <w:start w:val="0"/>
      <w:numFmt w:val="bullet"/>
      <w:lvlText w:val="•"/>
      <w:lvlJc w:val="left"/>
      <w:pPr>
        <w:ind w:left="4929" w:hanging="361"/>
      </w:pPr>
      <w:rPr>
        <w:rFonts w:hint="default"/>
        <w:lang w:val="en-US" w:eastAsia="en-US" w:bidi="ar-SA"/>
      </w:rPr>
    </w:lvl>
    <w:lvl w:ilvl="6">
      <w:start w:val="0"/>
      <w:numFmt w:val="bullet"/>
      <w:lvlText w:val="•"/>
      <w:lvlJc w:val="left"/>
      <w:pPr>
        <w:ind w:left="5976" w:hanging="361"/>
      </w:pPr>
      <w:rPr>
        <w:rFonts w:hint="default"/>
        <w:lang w:val="en-US" w:eastAsia="en-US" w:bidi="ar-SA"/>
      </w:rPr>
    </w:lvl>
    <w:lvl w:ilvl="7">
      <w:start w:val="0"/>
      <w:numFmt w:val="bullet"/>
      <w:lvlText w:val="•"/>
      <w:lvlJc w:val="left"/>
      <w:pPr>
        <w:ind w:left="7024" w:hanging="361"/>
      </w:pPr>
      <w:rPr>
        <w:rFonts w:hint="default"/>
        <w:lang w:val="en-US" w:eastAsia="en-US" w:bidi="ar-SA"/>
      </w:rPr>
    </w:lvl>
    <w:lvl w:ilvl="8">
      <w:start w:val="0"/>
      <w:numFmt w:val="bullet"/>
      <w:lvlText w:val="•"/>
      <w:lvlJc w:val="left"/>
      <w:pPr>
        <w:ind w:left="8071" w:hanging="361"/>
      </w:pPr>
      <w:rPr>
        <w:rFonts w:hint="default"/>
        <w:lang w:val="en-US" w:eastAsia="en-US" w:bidi="ar-SA"/>
      </w:rPr>
    </w:lvl>
  </w:abstractNum>
  <w:abstractNum w:abstractNumId="75">
    <w:multiLevelType w:val="hybridMultilevel"/>
    <w:lvl w:ilvl="0">
      <w:start w:val="0"/>
      <w:numFmt w:val="bullet"/>
      <w:lvlText w:val="•"/>
      <w:lvlJc w:val="left"/>
      <w:pPr>
        <w:ind w:left="734" w:hanging="361"/>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682" w:hanging="361"/>
      </w:pPr>
      <w:rPr>
        <w:rFonts w:hint="default"/>
        <w:lang w:val="en-US" w:eastAsia="en-US" w:bidi="ar-SA"/>
      </w:rPr>
    </w:lvl>
    <w:lvl w:ilvl="2">
      <w:start w:val="0"/>
      <w:numFmt w:val="bullet"/>
      <w:lvlText w:val="•"/>
      <w:lvlJc w:val="left"/>
      <w:pPr>
        <w:ind w:left="2625" w:hanging="361"/>
      </w:pPr>
      <w:rPr>
        <w:rFonts w:hint="default"/>
        <w:lang w:val="en-US" w:eastAsia="en-US" w:bidi="ar-SA"/>
      </w:rPr>
    </w:lvl>
    <w:lvl w:ilvl="3">
      <w:start w:val="0"/>
      <w:numFmt w:val="bullet"/>
      <w:lvlText w:val="•"/>
      <w:lvlJc w:val="left"/>
      <w:pPr>
        <w:ind w:left="3567" w:hanging="361"/>
      </w:pPr>
      <w:rPr>
        <w:rFonts w:hint="default"/>
        <w:lang w:val="en-US" w:eastAsia="en-US" w:bidi="ar-SA"/>
      </w:rPr>
    </w:lvl>
    <w:lvl w:ilvl="4">
      <w:start w:val="0"/>
      <w:numFmt w:val="bullet"/>
      <w:lvlText w:val="•"/>
      <w:lvlJc w:val="left"/>
      <w:pPr>
        <w:ind w:left="4510" w:hanging="361"/>
      </w:pPr>
      <w:rPr>
        <w:rFonts w:hint="default"/>
        <w:lang w:val="en-US" w:eastAsia="en-US" w:bidi="ar-SA"/>
      </w:rPr>
    </w:lvl>
    <w:lvl w:ilvl="5">
      <w:start w:val="0"/>
      <w:numFmt w:val="bullet"/>
      <w:lvlText w:val="•"/>
      <w:lvlJc w:val="left"/>
      <w:pPr>
        <w:ind w:left="5453" w:hanging="361"/>
      </w:pPr>
      <w:rPr>
        <w:rFonts w:hint="default"/>
        <w:lang w:val="en-US" w:eastAsia="en-US" w:bidi="ar-SA"/>
      </w:rPr>
    </w:lvl>
    <w:lvl w:ilvl="6">
      <w:start w:val="0"/>
      <w:numFmt w:val="bullet"/>
      <w:lvlText w:val="•"/>
      <w:lvlJc w:val="left"/>
      <w:pPr>
        <w:ind w:left="6395" w:hanging="361"/>
      </w:pPr>
      <w:rPr>
        <w:rFonts w:hint="default"/>
        <w:lang w:val="en-US" w:eastAsia="en-US" w:bidi="ar-SA"/>
      </w:rPr>
    </w:lvl>
    <w:lvl w:ilvl="7">
      <w:start w:val="0"/>
      <w:numFmt w:val="bullet"/>
      <w:lvlText w:val="•"/>
      <w:lvlJc w:val="left"/>
      <w:pPr>
        <w:ind w:left="7338" w:hanging="361"/>
      </w:pPr>
      <w:rPr>
        <w:rFonts w:hint="default"/>
        <w:lang w:val="en-US" w:eastAsia="en-US" w:bidi="ar-SA"/>
      </w:rPr>
    </w:lvl>
    <w:lvl w:ilvl="8">
      <w:start w:val="0"/>
      <w:numFmt w:val="bullet"/>
      <w:lvlText w:val="•"/>
      <w:lvlJc w:val="left"/>
      <w:pPr>
        <w:ind w:left="8281" w:hanging="361"/>
      </w:pPr>
      <w:rPr>
        <w:rFonts w:hint="default"/>
        <w:lang w:val="en-US" w:eastAsia="en-US" w:bidi="ar-SA"/>
      </w:rPr>
    </w:lvl>
  </w:abstractNum>
  <w:abstractNum w:abstractNumId="74">
    <w:multiLevelType w:val="hybridMultilevel"/>
    <w:lvl w:ilvl="0">
      <w:start w:val="0"/>
      <w:numFmt w:val="bullet"/>
      <w:lvlText w:val="•"/>
      <w:lvlJc w:val="left"/>
      <w:pPr>
        <w:ind w:left="734" w:hanging="361"/>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682" w:hanging="361"/>
      </w:pPr>
      <w:rPr>
        <w:rFonts w:hint="default"/>
        <w:lang w:val="en-US" w:eastAsia="en-US" w:bidi="ar-SA"/>
      </w:rPr>
    </w:lvl>
    <w:lvl w:ilvl="2">
      <w:start w:val="0"/>
      <w:numFmt w:val="bullet"/>
      <w:lvlText w:val="•"/>
      <w:lvlJc w:val="left"/>
      <w:pPr>
        <w:ind w:left="2625" w:hanging="361"/>
      </w:pPr>
      <w:rPr>
        <w:rFonts w:hint="default"/>
        <w:lang w:val="en-US" w:eastAsia="en-US" w:bidi="ar-SA"/>
      </w:rPr>
    </w:lvl>
    <w:lvl w:ilvl="3">
      <w:start w:val="0"/>
      <w:numFmt w:val="bullet"/>
      <w:lvlText w:val="•"/>
      <w:lvlJc w:val="left"/>
      <w:pPr>
        <w:ind w:left="3567" w:hanging="361"/>
      </w:pPr>
      <w:rPr>
        <w:rFonts w:hint="default"/>
        <w:lang w:val="en-US" w:eastAsia="en-US" w:bidi="ar-SA"/>
      </w:rPr>
    </w:lvl>
    <w:lvl w:ilvl="4">
      <w:start w:val="0"/>
      <w:numFmt w:val="bullet"/>
      <w:lvlText w:val="•"/>
      <w:lvlJc w:val="left"/>
      <w:pPr>
        <w:ind w:left="4510" w:hanging="361"/>
      </w:pPr>
      <w:rPr>
        <w:rFonts w:hint="default"/>
        <w:lang w:val="en-US" w:eastAsia="en-US" w:bidi="ar-SA"/>
      </w:rPr>
    </w:lvl>
    <w:lvl w:ilvl="5">
      <w:start w:val="0"/>
      <w:numFmt w:val="bullet"/>
      <w:lvlText w:val="•"/>
      <w:lvlJc w:val="left"/>
      <w:pPr>
        <w:ind w:left="5453" w:hanging="361"/>
      </w:pPr>
      <w:rPr>
        <w:rFonts w:hint="default"/>
        <w:lang w:val="en-US" w:eastAsia="en-US" w:bidi="ar-SA"/>
      </w:rPr>
    </w:lvl>
    <w:lvl w:ilvl="6">
      <w:start w:val="0"/>
      <w:numFmt w:val="bullet"/>
      <w:lvlText w:val="•"/>
      <w:lvlJc w:val="left"/>
      <w:pPr>
        <w:ind w:left="6395" w:hanging="361"/>
      </w:pPr>
      <w:rPr>
        <w:rFonts w:hint="default"/>
        <w:lang w:val="en-US" w:eastAsia="en-US" w:bidi="ar-SA"/>
      </w:rPr>
    </w:lvl>
    <w:lvl w:ilvl="7">
      <w:start w:val="0"/>
      <w:numFmt w:val="bullet"/>
      <w:lvlText w:val="•"/>
      <w:lvlJc w:val="left"/>
      <w:pPr>
        <w:ind w:left="7338" w:hanging="361"/>
      </w:pPr>
      <w:rPr>
        <w:rFonts w:hint="default"/>
        <w:lang w:val="en-US" w:eastAsia="en-US" w:bidi="ar-SA"/>
      </w:rPr>
    </w:lvl>
    <w:lvl w:ilvl="8">
      <w:start w:val="0"/>
      <w:numFmt w:val="bullet"/>
      <w:lvlText w:val="•"/>
      <w:lvlJc w:val="left"/>
      <w:pPr>
        <w:ind w:left="8281" w:hanging="361"/>
      </w:pPr>
      <w:rPr>
        <w:rFonts w:hint="default"/>
        <w:lang w:val="en-US" w:eastAsia="en-US" w:bidi="ar-SA"/>
      </w:rPr>
    </w:lvl>
  </w:abstractNum>
  <w:abstractNum w:abstractNumId="73">
    <w:multiLevelType w:val="hybridMultilevel"/>
    <w:lvl w:ilvl="0">
      <w:start w:val="0"/>
      <w:numFmt w:val="bullet"/>
      <w:lvlText w:val="•"/>
      <w:lvlJc w:val="left"/>
      <w:pPr>
        <w:ind w:left="734" w:hanging="361"/>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682" w:hanging="361"/>
      </w:pPr>
      <w:rPr>
        <w:rFonts w:hint="default"/>
        <w:lang w:val="en-US" w:eastAsia="en-US" w:bidi="ar-SA"/>
      </w:rPr>
    </w:lvl>
    <w:lvl w:ilvl="2">
      <w:start w:val="0"/>
      <w:numFmt w:val="bullet"/>
      <w:lvlText w:val="•"/>
      <w:lvlJc w:val="left"/>
      <w:pPr>
        <w:ind w:left="2625" w:hanging="361"/>
      </w:pPr>
      <w:rPr>
        <w:rFonts w:hint="default"/>
        <w:lang w:val="en-US" w:eastAsia="en-US" w:bidi="ar-SA"/>
      </w:rPr>
    </w:lvl>
    <w:lvl w:ilvl="3">
      <w:start w:val="0"/>
      <w:numFmt w:val="bullet"/>
      <w:lvlText w:val="•"/>
      <w:lvlJc w:val="left"/>
      <w:pPr>
        <w:ind w:left="3567" w:hanging="361"/>
      </w:pPr>
      <w:rPr>
        <w:rFonts w:hint="default"/>
        <w:lang w:val="en-US" w:eastAsia="en-US" w:bidi="ar-SA"/>
      </w:rPr>
    </w:lvl>
    <w:lvl w:ilvl="4">
      <w:start w:val="0"/>
      <w:numFmt w:val="bullet"/>
      <w:lvlText w:val="•"/>
      <w:lvlJc w:val="left"/>
      <w:pPr>
        <w:ind w:left="4510" w:hanging="361"/>
      </w:pPr>
      <w:rPr>
        <w:rFonts w:hint="default"/>
        <w:lang w:val="en-US" w:eastAsia="en-US" w:bidi="ar-SA"/>
      </w:rPr>
    </w:lvl>
    <w:lvl w:ilvl="5">
      <w:start w:val="0"/>
      <w:numFmt w:val="bullet"/>
      <w:lvlText w:val="•"/>
      <w:lvlJc w:val="left"/>
      <w:pPr>
        <w:ind w:left="5453" w:hanging="361"/>
      </w:pPr>
      <w:rPr>
        <w:rFonts w:hint="default"/>
        <w:lang w:val="en-US" w:eastAsia="en-US" w:bidi="ar-SA"/>
      </w:rPr>
    </w:lvl>
    <w:lvl w:ilvl="6">
      <w:start w:val="0"/>
      <w:numFmt w:val="bullet"/>
      <w:lvlText w:val="•"/>
      <w:lvlJc w:val="left"/>
      <w:pPr>
        <w:ind w:left="6395" w:hanging="361"/>
      </w:pPr>
      <w:rPr>
        <w:rFonts w:hint="default"/>
        <w:lang w:val="en-US" w:eastAsia="en-US" w:bidi="ar-SA"/>
      </w:rPr>
    </w:lvl>
    <w:lvl w:ilvl="7">
      <w:start w:val="0"/>
      <w:numFmt w:val="bullet"/>
      <w:lvlText w:val="•"/>
      <w:lvlJc w:val="left"/>
      <w:pPr>
        <w:ind w:left="7338" w:hanging="361"/>
      </w:pPr>
      <w:rPr>
        <w:rFonts w:hint="default"/>
        <w:lang w:val="en-US" w:eastAsia="en-US" w:bidi="ar-SA"/>
      </w:rPr>
    </w:lvl>
    <w:lvl w:ilvl="8">
      <w:start w:val="0"/>
      <w:numFmt w:val="bullet"/>
      <w:lvlText w:val="•"/>
      <w:lvlJc w:val="left"/>
      <w:pPr>
        <w:ind w:left="8281" w:hanging="361"/>
      </w:pPr>
      <w:rPr>
        <w:rFonts w:hint="default"/>
        <w:lang w:val="en-US" w:eastAsia="en-US" w:bidi="ar-SA"/>
      </w:rPr>
    </w:lvl>
  </w:abstractNum>
  <w:abstractNum w:abstractNumId="72">
    <w:multiLevelType w:val="hybridMultilevel"/>
    <w:lvl w:ilvl="0">
      <w:start w:val="0"/>
      <w:numFmt w:val="bullet"/>
      <w:lvlText w:val="•"/>
      <w:lvlJc w:val="left"/>
      <w:pPr>
        <w:ind w:left="590" w:hanging="359"/>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556" w:hanging="359"/>
      </w:pPr>
      <w:rPr>
        <w:rFonts w:hint="default"/>
        <w:lang w:val="en-US" w:eastAsia="en-US" w:bidi="ar-SA"/>
      </w:rPr>
    </w:lvl>
    <w:lvl w:ilvl="2">
      <w:start w:val="0"/>
      <w:numFmt w:val="bullet"/>
      <w:lvlText w:val="•"/>
      <w:lvlJc w:val="left"/>
      <w:pPr>
        <w:ind w:left="2513" w:hanging="359"/>
      </w:pPr>
      <w:rPr>
        <w:rFonts w:hint="default"/>
        <w:lang w:val="en-US" w:eastAsia="en-US" w:bidi="ar-SA"/>
      </w:rPr>
    </w:lvl>
    <w:lvl w:ilvl="3">
      <w:start w:val="0"/>
      <w:numFmt w:val="bullet"/>
      <w:lvlText w:val="•"/>
      <w:lvlJc w:val="left"/>
      <w:pPr>
        <w:ind w:left="3469" w:hanging="359"/>
      </w:pPr>
      <w:rPr>
        <w:rFonts w:hint="default"/>
        <w:lang w:val="en-US" w:eastAsia="en-US" w:bidi="ar-SA"/>
      </w:rPr>
    </w:lvl>
    <w:lvl w:ilvl="4">
      <w:start w:val="0"/>
      <w:numFmt w:val="bullet"/>
      <w:lvlText w:val="•"/>
      <w:lvlJc w:val="left"/>
      <w:pPr>
        <w:ind w:left="4426" w:hanging="359"/>
      </w:pPr>
      <w:rPr>
        <w:rFonts w:hint="default"/>
        <w:lang w:val="en-US" w:eastAsia="en-US" w:bidi="ar-SA"/>
      </w:rPr>
    </w:lvl>
    <w:lvl w:ilvl="5">
      <w:start w:val="0"/>
      <w:numFmt w:val="bullet"/>
      <w:lvlText w:val="•"/>
      <w:lvlJc w:val="left"/>
      <w:pPr>
        <w:ind w:left="5383" w:hanging="359"/>
      </w:pPr>
      <w:rPr>
        <w:rFonts w:hint="default"/>
        <w:lang w:val="en-US" w:eastAsia="en-US" w:bidi="ar-SA"/>
      </w:rPr>
    </w:lvl>
    <w:lvl w:ilvl="6">
      <w:start w:val="0"/>
      <w:numFmt w:val="bullet"/>
      <w:lvlText w:val="•"/>
      <w:lvlJc w:val="left"/>
      <w:pPr>
        <w:ind w:left="6339" w:hanging="359"/>
      </w:pPr>
      <w:rPr>
        <w:rFonts w:hint="default"/>
        <w:lang w:val="en-US" w:eastAsia="en-US" w:bidi="ar-SA"/>
      </w:rPr>
    </w:lvl>
    <w:lvl w:ilvl="7">
      <w:start w:val="0"/>
      <w:numFmt w:val="bullet"/>
      <w:lvlText w:val="•"/>
      <w:lvlJc w:val="left"/>
      <w:pPr>
        <w:ind w:left="7296" w:hanging="359"/>
      </w:pPr>
      <w:rPr>
        <w:rFonts w:hint="default"/>
        <w:lang w:val="en-US" w:eastAsia="en-US" w:bidi="ar-SA"/>
      </w:rPr>
    </w:lvl>
    <w:lvl w:ilvl="8">
      <w:start w:val="0"/>
      <w:numFmt w:val="bullet"/>
      <w:lvlText w:val="•"/>
      <w:lvlJc w:val="left"/>
      <w:pPr>
        <w:ind w:left="8253" w:hanging="359"/>
      </w:pPr>
      <w:rPr>
        <w:rFonts w:hint="default"/>
        <w:lang w:val="en-US" w:eastAsia="en-US" w:bidi="ar-SA"/>
      </w:rPr>
    </w:lvl>
  </w:abstractNum>
  <w:abstractNum w:abstractNumId="71">
    <w:multiLevelType w:val="hybridMultilevel"/>
    <w:lvl w:ilvl="0">
      <w:start w:val="0"/>
      <w:numFmt w:val="bullet"/>
      <w:lvlText w:val="•"/>
      <w:lvlJc w:val="left"/>
      <w:pPr>
        <w:ind w:left="590" w:hanging="359"/>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556" w:hanging="359"/>
      </w:pPr>
      <w:rPr>
        <w:rFonts w:hint="default"/>
        <w:lang w:val="en-US" w:eastAsia="en-US" w:bidi="ar-SA"/>
      </w:rPr>
    </w:lvl>
    <w:lvl w:ilvl="2">
      <w:start w:val="0"/>
      <w:numFmt w:val="bullet"/>
      <w:lvlText w:val="•"/>
      <w:lvlJc w:val="left"/>
      <w:pPr>
        <w:ind w:left="2513" w:hanging="359"/>
      </w:pPr>
      <w:rPr>
        <w:rFonts w:hint="default"/>
        <w:lang w:val="en-US" w:eastAsia="en-US" w:bidi="ar-SA"/>
      </w:rPr>
    </w:lvl>
    <w:lvl w:ilvl="3">
      <w:start w:val="0"/>
      <w:numFmt w:val="bullet"/>
      <w:lvlText w:val="•"/>
      <w:lvlJc w:val="left"/>
      <w:pPr>
        <w:ind w:left="3469" w:hanging="359"/>
      </w:pPr>
      <w:rPr>
        <w:rFonts w:hint="default"/>
        <w:lang w:val="en-US" w:eastAsia="en-US" w:bidi="ar-SA"/>
      </w:rPr>
    </w:lvl>
    <w:lvl w:ilvl="4">
      <w:start w:val="0"/>
      <w:numFmt w:val="bullet"/>
      <w:lvlText w:val="•"/>
      <w:lvlJc w:val="left"/>
      <w:pPr>
        <w:ind w:left="4426" w:hanging="359"/>
      </w:pPr>
      <w:rPr>
        <w:rFonts w:hint="default"/>
        <w:lang w:val="en-US" w:eastAsia="en-US" w:bidi="ar-SA"/>
      </w:rPr>
    </w:lvl>
    <w:lvl w:ilvl="5">
      <w:start w:val="0"/>
      <w:numFmt w:val="bullet"/>
      <w:lvlText w:val="•"/>
      <w:lvlJc w:val="left"/>
      <w:pPr>
        <w:ind w:left="5383" w:hanging="359"/>
      </w:pPr>
      <w:rPr>
        <w:rFonts w:hint="default"/>
        <w:lang w:val="en-US" w:eastAsia="en-US" w:bidi="ar-SA"/>
      </w:rPr>
    </w:lvl>
    <w:lvl w:ilvl="6">
      <w:start w:val="0"/>
      <w:numFmt w:val="bullet"/>
      <w:lvlText w:val="•"/>
      <w:lvlJc w:val="left"/>
      <w:pPr>
        <w:ind w:left="6339" w:hanging="359"/>
      </w:pPr>
      <w:rPr>
        <w:rFonts w:hint="default"/>
        <w:lang w:val="en-US" w:eastAsia="en-US" w:bidi="ar-SA"/>
      </w:rPr>
    </w:lvl>
    <w:lvl w:ilvl="7">
      <w:start w:val="0"/>
      <w:numFmt w:val="bullet"/>
      <w:lvlText w:val="•"/>
      <w:lvlJc w:val="left"/>
      <w:pPr>
        <w:ind w:left="7296" w:hanging="359"/>
      </w:pPr>
      <w:rPr>
        <w:rFonts w:hint="default"/>
        <w:lang w:val="en-US" w:eastAsia="en-US" w:bidi="ar-SA"/>
      </w:rPr>
    </w:lvl>
    <w:lvl w:ilvl="8">
      <w:start w:val="0"/>
      <w:numFmt w:val="bullet"/>
      <w:lvlText w:val="•"/>
      <w:lvlJc w:val="left"/>
      <w:pPr>
        <w:ind w:left="8253" w:hanging="359"/>
      </w:pPr>
      <w:rPr>
        <w:rFonts w:hint="default"/>
        <w:lang w:val="en-US" w:eastAsia="en-US" w:bidi="ar-SA"/>
      </w:rPr>
    </w:lvl>
  </w:abstractNum>
  <w:abstractNum w:abstractNumId="70">
    <w:multiLevelType w:val="hybridMultilevel"/>
    <w:lvl w:ilvl="0">
      <w:start w:val="0"/>
      <w:numFmt w:val="bullet"/>
      <w:lvlText w:val="•"/>
      <w:lvlJc w:val="left"/>
      <w:pPr>
        <w:ind w:left="734" w:hanging="361"/>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682" w:hanging="361"/>
      </w:pPr>
      <w:rPr>
        <w:rFonts w:hint="default"/>
        <w:lang w:val="en-US" w:eastAsia="en-US" w:bidi="ar-SA"/>
      </w:rPr>
    </w:lvl>
    <w:lvl w:ilvl="2">
      <w:start w:val="0"/>
      <w:numFmt w:val="bullet"/>
      <w:lvlText w:val="•"/>
      <w:lvlJc w:val="left"/>
      <w:pPr>
        <w:ind w:left="2625" w:hanging="361"/>
      </w:pPr>
      <w:rPr>
        <w:rFonts w:hint="default"/>
        <w:lang w:val="en-US" w:eastAsia="en-US" w:bidi="ar-SA"/>
      </w:rPr>
    </w:lvl>
    <w:lvl w:ilvl="3">
      <w:start w:val="0"/>
      <w:numFmt w:val="bullet"/>
      <w:lvlText w:val="•"/>
      <w:lvlJc w:val="left"/>
      <w:pPr>
        <w:ind w:left="3567" w:hanging="361"/>
      </w:pPr>
      <w:rPr>
        <w:rFonts w:hint="default"/>
        <w:lang w:val="en-US" w:eastAsia="en-US" w:bidi="ar-SA"/>
      </w:rPr>
    </w:lvl>
    <w:lvl w:ilvl="4">
      <w:start w:val="0"/>
      <w:numFmt w:val="bullet"/>
      <w:lvlText w:val="•"/>
      <w:lvlJc w:val="left"/>
      <w:pPr>
        <w:ind w:left="4510" w:hanging="361"/>
      </w:pPr>
      <w:rPr>
        <w:rFonts w:hint="default"/>
        <w:lang w:val="en-US" w:eastAsia="en-US" w:bidi="ar-SA"/>
      </w:rPr>
    </w:lvl>
    <w:lvl w:ilvl="5">
      <w:start w:val="0"/>
      <w:numFmt w:val="bullet"/>
      <w:lvlText w:val="•"/>
      <w:lvlJc w:val="left"/>
      <w:pPr>
        <w:ind w:left="5453" w:hanging="361"/>
      </w:pPr>
      <w:rPr>
        <w:rFonts w:hint="default"/>
        <w:lang w:val="en-US" w:eastAsia="en-US" w:bidi="ar-SA"/>
      </w:rPr>
    </w:lvl>
    <w:lvl w:ilvl="6">
      <w:start w:val="0"/>
      <w:numFmt w:val="bullet"/>
      <w:lvlText w:val="•"/>
      <w:lvlJc w:val="left"/>
      <w:pPr>
        <w:ind w:left="6395" w:hanging="361"/>
      </w:pPr>
      <w:rPr>
        <w:rFonts w:hint="default"/>
        <w:lang w:val="en-US" w:eastAsia="en-US" w:bidi="ar-SA"/>
      </w:rPr>
    </w:lvl>
    <w:lvl w:ilvl="7">
      <w:start w:val="0"/>
      <w:numFmt w:val="bullet"/>
      <w:lvlText w:val="•"/>
      <w:lvlJc w:val="left"/>
      <w:pPr>
        <w:ind w:left="7338" w:hanging="361"/>
      </w:pPr>
      <w:rPr>
        <w:rFonts w:hint="default"/>
        <w:lang w:val="en-US" w:eastAsia="en-US" w:bidi="ar-SA"/>
      </w:rPr>
    </w:lvl>
    <w:lvl w:ilvl="8">
      <w:start w:val="0"/>
      <w:numFmt w:val="bullet"/>
      <w:lvlText w:val="•"/>
      <w:lvlJc w:val="left"/>
      <w:pPr>
        <w:ind w:left="8281" w:hanging="361"/>
      </w:pPr>
      <w:rPr>
        <w:rFonts w:hint="default"/>
        <w:lang w:val="en-US" w:eastAsia="en-US" w:bidi="ar-SA"/>
      </w:rPr>
    </w:lvl>
  </w:abstractNum>
  <w:abstractNum w:abstractNumId="69">
    <w:multiLevelType w:val="hybridMultilevel"/>
    <w:lvl w:ilvl="0">
      <w:start w:val="1"/>
      <w:numFmt w:val="decimal"/>
      <w:lvlText w:val="%1."/>
      <w:lvlJc w:val="left"/>
      <w:pPr>
        <w:ind w:left="655" w:hanging="284"/>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1610" w:hanging="284"/>
      </w:pPr>
      <w:rPr>
        <w:rFonts w:hint="default"/>
        <w:lang w:val="en-US" w:eastAsia="en-US" w:bidi="ar-SA"/>
      </w:rPr>
    </w:lvl>
    <w:lvl w:ilvl="2">
      <w:start w:val="0"/>
      <w:numFmt w:val="bullet"/>
      <w:lvlText w:val="•"/>
      <w:lvlJc w:val="left"/>
      <w:pPr>
        <w:ind w:left="2561" w:hanging="284"/>
      </w:pPr>
      <w:rPr>
        <w:rFonts w:hint="default"/>
        <w:lang w:val="en-US" w:eastAsia="en-US" w:bidi="ar-SA"/>
      </w:rPr>
    </w:lvl>
    <w:lvl w:ilvl="3">
      <w:start w:val="0"/>
      <w:numFmt w:val="bullet"/>
      <w:lvlText w:val="•"/>
      <w:lvlJc w:val="left"/>
      <w:pPr>
        <w:ind w:left="3511" w:hanging="284"/>
      </w:pPr>
      <w:rPr>
        <w:rFonts w:hint="default"/>
        <w:lang w:val="en-US" w:eastAsia="en-US" w:bidi="ar-SA"/>
      </w:rPr>
    </w:lvl>
    <w:lvl w:ilvl="4">
      <w:start w:val="0"/>
      <w:numFmt w:val="bullet"/>
      <w:lvlText w:val="•"/>
      <w:lvlJc w:val="left"/>
      <w:pPr>
        <w:ind w:left="4462" w:hanging="284"/>
      </w:pPr>
      <w:rPr>
        <w:rFonts w:hint="default"/>
        <w:lang w:val="en-US" w:eastAsia="en-US" w:bidi="ar-SA"/>
      </w:rPr>
    </w:lvl>
    <w:lvl w:ilvl="5">
      <w:start w:val="0"/>
      <w:numFmt w:val="bullet"/>
      <w:lvlText w:val="•"/>
      <w:lvlJc w:val="left"/>
      <w:pPr>
        <w:ind w:left="5413" w:hanging="284"/>
      </w:pPr>
      <w:rPr>
        <w:rFonts w:hint="default"/>
        <w:lang w:val="en-US" w:eastAsia="en-US" w:bidi="ar-SA"/>
      </w:rPr>
    </w:lvl>
    <w:lvl w:ilvl="6">
      <w:start w:val="0"/>
      <w:numFmt w:val="bullet"/>
      <w:lvlText w:val="•"/>
      <w:lvlJc w:val="left"/>
      <w:pPr>
        <w:ind w:left="6363" w:hanging="284"/>
      </w:pPr>
      <w:rPr>
        <w:rFonts w:hint="default"/>
        <w:lang w:val="en-US" w:eastAsia="en-US" w:bidi="ar-SA"/>
      </w:rPr>
    </w:lvl>
    <w:lvl w:ilvl="7">
      <w:start w:val="0"/>
      <w:numFmt w:val="bullet"/>
      <w:lvlText w:val="•"/>
      <w:lvlJc w:val="left"/>
      <w:pPr>
        <w:ind w:left="7314" w:hanging="284"/>
      </w:pPr>
      <w:rPr>
        <w:rFonts w:hint="default"/>
        <w:lang w:val="en-US" w:eastAsia="en-US" w:bidi="ar-SA"/>
      </w:rPr>
    </w:lvl>
    <w:lvl w:ilvl="8">
      <w:start w:val="0"/>
      <w:numFmt w:val="bullet"/>
      <w:lvlText w:val="•"/>
      <w:lvlJc w:val="left"/>
      <w:pPr>
        <w:ind w:left="8265" w:hanging="284"/>
      </w:pPr>
      <w:rPr>
        <w:rFonts w:hint="default"/>
        <w:lang w:val="en-US" w:eastAsia="en-US" w:bidi="ar-SA"/>
      </w:rPr>
    </w:lvl>
  </w:abstractNum>
  <w:abstractNum w:abstractNumId="68">
    <w:multiLevelType w:val="hybridMultilevel"/>
    <w:lvl w:ilvl="0">
      <w:start w:val="0"/>
      <w:numFmt w:val="bullet"/>
      <w:lvlText w:val="•"/>
      <w:lvlJc w:val="left"/>
      <w:pPr>
        <w:ind w:left="734" w:hanging="361"/>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682" w:hanging="361"/>
      </w:pPr>
      <w:rPr>
        <w:rFonts w:hint="default"/>
        <w:lang w:val="en-US" w:eastAsia="en-US" w:bidi="ar-SA"/>
      </w:rPr>
    </w:lvl>
    <w:lvl w:ilvl="2">
      <w:start w:val="0"/>
      <w:numFmt w:val="bullet"/>
      <w:lvlText w:val="•"/>
      <w:lvlJc w:val="left"/>
      <w:pPr>
        <w:ind w:left="2625" w:hanging="361"/>
      </w:pPr>
      <w:rPr>
        <w:rFonts w:hint="default"/>
        <w:lang w:val="en-US" w:eastAsia="en-US" w:bidi="ar-SA"/>
      </w:rPr>
    </w:lvl>
    <w:lvl w:ilvl="3">
      <w:start w:val="0"/>
      <w:numFmt w:val="bullet"/>
      <w:lvlText w:val="•"/>
      <w:lvlJc w:val="left"/>
      <w:pPr>
        <w:ind w:left="3567" w:hanging="361"/>
      </w:pPr>
      <w:rPr>
        <w:rFonts w:hint="default"/>
        <w:lang w:val="en-US" w:eastAsia="en-US" w:bidi="ar-SA"/>
      </w:rPr>
    </w:lvl>
    <w:lvl w:ilvl="4">
      <w:start w:val="0"/>
      <w:numFmt w:val="bullet"/>
      <w:lvlText w:val="•"/>
      <w:lvlJc w:val="left"/>
      <w:pPr>
        <w:ind w:left="4510" w:hanging="361"/>
      </w:pPr>
      <w:rPr>
        <w:rFonts w:hint="default"/>
        <w:lang w:val="en-US" w:eastAsia="en-US" w:bidi="ar-SA"/>
      </w:rPr>
    </w:lvl>
    <w:lvl w:ilvl="5">
      <w:start w:val="0"/>
      <w:numFmt w:val="bullet"/>
      <w:lvlText w:val="•"/>
      <w:lvlJc w:val="left"/>
      <w:pPr>
        <w:ind w:left="5453" w:hanging="361"/>
      </w:pPr>
      <w:rPr>
        <w:rFonts w:hint="default"/>
        <w:lang w:val="en-US" w:eastAsia="en-US" w:bidi="ar-SA"/>
      </w:rPr>
    </w:lvl>
    <w:lvl w:ilvl="6">
      <w:start w:val="0"/>
      <w:numFmt w:val="bullet"/>
      <w:lvlText w:val="•"/>
      <w:lvlJc w:val="left"/>
      <w:pPr>
        <w:ind w:left="6395" w:hanging="361"/>
      </w:pPr>
      <w:rPr>
        <w:rFonts w:hint="default"/>
        <w:lang w:val="en-US" w:eastAsia="en-US" w:bidi="ar-SA"/>
      </w:rPr>
    </w:lvl>
    <w:lvl w:ilvl="7">
      <w:start w:val="0"/>
      <w:numFmt w:val="bullet"/>
      <w:lvlText w:val="•"/>
      <w:lvlJc w:val="left"/>
      <w:pPr>
        <w:ind w:left="7338" w:hanging="361"/>
      </w:pPr>
      <w:rPr>
        <w:rFonts w:hint="default"/>
        <w:lang w:val="en-US" w:eastAsia="en-US" w:bidi="ar-SA"/>
      </w:rPr>
    </w:lvl>
    <w:lvl w:ilvl="8">
      <w:start w:val="0"/>
      <w:numFmt w:val="bullet"/>
      <w:lvlText w:val="•"/>
      <w:lvlJc w:val="left"/>
      <w:pPr>
        <w:ind w:left="8281" w:hanging="361"/>
      </w:pPr>
      <w:rPr>
        <w:rFonts w:hint="default"/>
        <w:lang w:val="en-US" w:eastAsia="en-US" w:bidi="ar-SA"/>
      </w:rPr>
    </w:lvl>
  </w:abstractNum>
  <w:abstractNum w:abstractNumId="67">
    <w:multiLevelType w:val="hybridMultilevel"/>
    <w:lvl w:ilvl="0">
      <w:start w:val="0"/>
      <w:numFmt w:val="bullet"/>
      <w:lvlText w:val="•"/>
      <w:lvlJc w:val="left"/>
      <w:pPr>
        <w:ind w:left="590" w:hanging="359"/>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734" w:hanging="361"/>
      </w:pPr>
      <w:rPr>
        <w:rFonts w:hint="default" w:ascii="Arial" w:hAnsi="Arial" w:eastAsia="Arial" w:cs="Arial"/>
        <w:b w:val="0"/>
        <w:bCs w:val="0"/>
        <w:i w:val="0"/>
        <w:iCs w:val="0"/>
        <w:spacing w:val="0"/>
        <w:w w:val="131"/>
        <w:sz w:val="22"/>
        <w:szCs w:val="22"/>
        <w:lang w:val="en-US" w:eastAsia="en-US" w:bidi="ar-SA"/>
      </w:rPr>
    </w:lvl>
    <w:lvl w:ilvl="2">
      <w:start w:val="0"/>
      <w:numFmt w:val="bullet"/>
      <w:lvlText w:val="-"/>
      <w:lvlJc w:val="left"/>
      <w:pPr>
        <w:ind w:left="802" w:hanging="286"/>
      </w:pPr>
      <w:rPr>
        <w:rFonts w:hint="default" w:ascii="Courier New" w:hAnsi="Courier New" w:eastAsia="Courier New" w:cs="Courier New"/>
        <w:b w:val="0"/>
        <w:bCs w:val="0"/>
        <w:i w:val="0"/>
        <w:iCs w:val="0"/>
        <w:spacing w:val="0"/>
        <w:w w:val="100"/>
        <w:sz w:val="22"/>
        <w:szCs w:val="22"/>
        <w:lang w:val="en-US" w:eastAsia="en-US" w:bidi="ar-SA"/>
      </w:rPr>
    </w:lvl>
    <w:lvl w:ilvl="3">
      <w:start w:val="0"/>
      <w:numFmt w:val="bullet"/>
      <w:lvlText w:val="•"/>
      <w:lvlJc w:val="left"/>
      <w:pPr>
        <w:ind w:left="1970" w:hanging="286"/>
      </w:pPr>
      <w:rPr>
        <w:rFonts w:hint="default"/>
        <w:lang w:val="en-US" w:eastAsia="en-US" w:bidi="ar-SA"/>
      </w:rPr>
    </w:lvl>
    <w:lvl w:ilvl="4">
      <w:start w:val="0"/>
      <w:numFmt w:val="bullet"/>
      <w:lvlText w:val="•"/>
      <w:lvlJc w:val="left"/>
      <w:pPr>
        <w:ind w:left="3141" w:hanging="286"/>
      </w:pPr>
      <w:rPr>
        <w:rFonts w:hint="default"/>
        <w:lang w:val="en-US" w:eastAsia="en-US" w:bidi="ar-SA"/>
      </w:rPr>
    </w:lvl>
    <w:lvl w:ilvl="5">
      <w:start w:val="0"/>
      <w:numFmt w:val="bullet"/>
      <w:lvlText w:val="•"/>
      <w:lvlJc w:val="left"/>
      <w:pPr>
        <w:ind w:left="4312" w:hanging="286"/>
      </w:pPr>
      <w:rPr>
        <w:rFonts w:hint="default"/>
        <w:lang w:val="en-US" w:eastAsia="en-US" w:bidi="ar-SA"/>
      </w:rPr>
    </w:lvl>
    <w:lvl w:ilvl="6">
      <w:start w:val="0"/>
      <w:numFmt w:val="bullet"/>
      <w:lvlText w:val="•"/>
      <w:lvlJc w:val="left"/>
      <w:pPr>
        <w:ind w:left="5483" w:hanging="286"/>
      </w:pPr>
      <w:rPr>
        <w:rFonts w:hint="default"/>
        <w:lang w:val="en-US" w:eastAsia="en-US" w:bidi="ar-SA"/>
      </w:rPr>
    </w:lvl>
    <w:lvl w:ilvl="7">
      <w:start w:val="0"/>
      <w:numFmt w:val="bullet"/>
      <w:lvlText w:val="•"/>
      <w:lvlJc w:val="left"/>
      <w:pPr>
        <w:ind w:left="6654" w:hanging="286"/>
      </w:pPr>
      <w:rPr>
        <w:rFonts w:hint="default"/>
        <w:lang w:val="en-US" w:eastAsia="en-US" w:bidi="ar-SA"/>
      </w:rPr>
    </w:lvl>
    <w:lvl w:ilvl="8">
      <w:start w:val="0"/>
      <w:numFmt w:val="bullet"/>
      <w:lvlText w:val="•"/>
      <w:lvlJc w:val="left"/>
      <w:pPr>
        <w:ind w:left="7824" w:hanging="286"/>
      </w:pPr>
      <w:rPr>
        <w:rFonts w:hint="default"/>
        <w:lang w:val="en-US" w:eastAsia="en-US" w:bidi="ar-SA"/>
      </w:rPr>
    </w:lvl>
  </w:abstractNum>
  <w:abstractNum w:abstractNumId="66">
    <w:multiLevelType w:val="hybridMultilevel"/>
    <w:lvl w:ilvl="0">
      <w:start w:val="0"/>
      <w:numFmt w:val="bullet"/>
      <w:lvlText w:val="•"/>
      <w:lvlJc w:val="left"/>
      <w:pPr>
        <w:ind w:left="734" w:hanging="361"/>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682" w:hanging="361"/>
      </w:pPr>
      <w:rPr>
        <w:rFonts w:hint="default"/>
        <w:lang w:val="en-US" w:eastAsia="en-US" w:bidi="ar-SA"/>
      </w:rPr>
    </w:lvl>
    <w:lvl w:ilvl="2">
      <w:start w:val="0"/>
      <w:numFmt w:val="bullet"/>
      <w:lvlText w:val="•"/>
      <w:lvlJc w:val="left"/>
      <w:pPr>
        <w:ind w:left="2625" w:hanging="361"/>
      </w:pPr>
      <w:rPr>
        <w:rFonts w:hint="default"/>
        <w:lang w:val="en-US" w:eastAsia="en-US" w:bidi="ar-SA"/>
      </w:rPr>
    </w:lvl>
    <w:lvl w:ilvl="3">
      <w:start w:val="0"/>
      <w:numFmt w:val="bullet"/>
      <w:lvlText w:val="•"/>
      <w:lvlJc w:val="left"/>
      <w:pPr>
        <w:ind w:left="3567" w:hanging="361"/>
      </w:pPr>
      <w:rPr>
        <w:rFonts w:hint="default"/>
        <w:lang w:val="en-US" w:eastAsia="en-US" w:bidi="ar-SA"/>
      </w:rPr>
    </w:lvl>
    <w:lvl w:ilvl="4">
      <w:start w:val="0"/>
      <w:numFmt w:val="bullet"/>
      <w:lvlText w:val="•"/>
      <w:lvlJc w:val="left"/>
      <w:pPr>
        <w:ind w:left="4510" w:hanging="361"/>
      </w:pPr>
      <w:rPr>
        <w:rFonts w:hint="default"/>
        <w:lang w:val="en-US" w:eastAsia="en-US" w:bidi="ar-SA"/>
      </w:rPr>
    </w:lvl>
    <w:lvl w:ilvl="5">
      <w:start w:val="0"/>
      <w:numFmt w:val="bullet"/>
      <w:lvlText w:val="•"/>
      <w:lvlJc w:val="left"/>
      <w:pPr>
        <w:ind w:left="5453" w:hanging="361"/>
      </w:pPr>
      <w:rPr>
        <w:rFonts w:hint="default"/>
        <w:lang w:val="en-US" w:eastAsia="en-US" w:bidi="ar-SA"/>
      </w:rPr>
    </w:lvl>
    <w:lvl w:ilvl="6">
      <w:start w:val="0"/>
      <w:numFmt w:val="bullet"/>
      <w:lvlText w:val="•"/>
      <w:lvlJc w:val="left"/>
      <w:pPr>
        <w:ind w:left="6395" w:hanging="361"/>
      </w:pPr>
      <w:rPr>
        <w:rFonts w:hint="default"/>
        <w:lang w:val="en-US" w:eastAsia="en-US" w:bidi="ar-SA"/>
      </w:rPr>
    </w:lvl>
    <w:lvl w:ilvl="7">
      <w:start w:val="0"/>
      <w:numFmt w:val="bullet"/>
      <w:lvlText w:val="•"/>
      <w:lvlJc w:val="left"/>
      <w:pPr>
        <w:ind w:left="7338" w:hanging="361"/>
      </w:pPr>
      <w:rPr>
        <w:rFonts w:hint="default"/>
        <w:lang w:val="en-US" w:eastAsia="en-US" w:bidi="ar-SA"/>
      </w:rPr>
    </w:lvl>
    <w:lvl w:ilvl="8">
      <w:start w:val="0"/>
      <w:numFmt w:val="bullet"/>
      <w:lvlText w:val="•"/>
      <w:lvlJc w:val="left"/>
      <w:pPr>
        <w:ind w:left="8281" w:hanging="361"/>
      </w:pPr>
      <w:rPr>
        <w:rFonts w:hint="default"/>
        <w:lang w:val="en-US" w:eastAsia="en-US" w:bidi="ar-SA"/>
      </w:rPr>
    </w:lvl>
  </w:abstractNum>
  <w:abstractNum w:abstractNumId="65">
    <w:multiLevelType w:val="hybridMultilevel"/>
    <w:lvl w:ilvl="0">
      <w:start w:val="0"/>
      <w:numFmt w:val="bullet"/>
      <w:lvlText w:val="•"/>
      <w:lvlJc w:val="left"/>
      <w:pPr>
        <w:ind w:left="661" w:hanging="361"/>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181" w:hanging="361"/>
      </w:pPr>
      <w:rPr>
        <w:rFonts w:hint="default"/>
        <w:lang w:val="en-US" w:eastAsia="en-US" w:bidi="ar-SA"/>
      </w:rPr>
    </w:lvl>
    <w:lvl w:ilvl="2">
      <w:start w:val="0"/>
      <w:numFmt w:val="bullet"/>
      <w:lvlText w:val="•"/>
      <w:lvlJc w:val="left"/>
      <w:pPr>
        <w:ind w:left="1703" w:hanging="361"/>
      </w:pPr>
      <w:rPr>
        <w:rFonts w:hint="default"/>
        <w:lang w:val="en-US" w:eastAsia="en-US" w:bidi="ar-SA"/>
      </w:rPr>
    </w:lvl>
    <w:lvl w:ilvl="3">
      <w:start w:val="0"/>
      <w:numFmt w:val="bullet"/>
      <w:lvlText w:val="•"/>
      <w:lvlJc w:val="left"/>
      <w:pPr>
        <w:ind w:left="2225" w:hanging="361"/>
      </w:pPr>
      <w:rPr>
        <w:rFonts w:hint="default"/>
        <w:lang w:val="en-US" w:eastAsia="en-US" w:bidi="ar-SA"/>
      </w:rPr>
    </w:lvl>
    <w:lvl w:ilvl="4">
      <w:start w:val="0"/>
      <w:numFmt w:val="bullet"/>
      <w:lvlText w:val="•"/>
      <w:lvlJc w:val="left"/>
      <w:pPr>
        <w:ind w:left="2747" w:hanging="361"/>
      </w:pPr>
      <w:rPr>
        <w:rFonts w:hint="default"/>
        <w:lang w:val="en-US" w:eastAsia="en-US" w:bidi="ar-SA"/>
      </w:rPr>
    </w:lvl>
    <w:lvl w:ilvl="5">
      <w:start w:val="0"/>
      <w:numFmt w:val="bullet"/>
      <w:lvlText w:val="•"/>
      <w:lvlJc w:val="left"/>
      <w:pPr>
        <w:ind w:left="3269" w:hanging="361"/>
      </w:pPr>
      <w:rPr>
        <w:rFonts w:hint="default"/>
        <w:lang w:val="en-US" w:eastAsia="en-US" w:bidi="ar-SA"/>
      </w:rPr>
    </w:lvl>
    <w:lvl w:ilvl="6">
      <w:start w:val="0"/>
      <w:numFmt w:val="bullet"/>
      <w:lvlText w:val="•"/>
      <w:lvlJc w:val="left"/>
      <w:pPr>
        <w:ind w:left="3790" w:hanging="361"/>
      </w:pPr>
      <w:rPr>
        <w:rFonts w:hint="default"/>
        <w:lang w:val="en-US" w:eastAsia="en-US" w:bidi="ar-SA"/>
      </w:rPr>
    </w:lvl>
    <w:lvl w:ilvl="7">
      <w:start w:val="0"/>
      <w:numFmt w:val="bullet"/>
      <w:lvlText w:val="•"/>
      <w:lvlJc w:val="left"/>
      <w:pPr>
        <w:ind w:left="4312" w:hanging="361"/>
      </w:pPr>
      <w:rPr>
        <w:rFonts w:hint="default"/>
        <w:lang w:val="en-US" w:eastAsia="en-US" w:bidi="ar-SA"/>
      </w:rPr>
    </w:lvl>
    <w:lvl w:ilvl="8">
      <w:start w:val="0"/>
      <w:numFmt w:val="bullet"/>
      <w:lvlText w:val="•"/>
      <w:lvlJc w:val="left"/>
      <w:pPr>
        <w:ind w:left="4834" w:hanging="361"/>
      </w:pPr>
      <w:rPr>
        <w:rFonts w:hint="default"/>
        <w:lang w:val="en-US" w:eastAsia="en-US" w:bidi="ar-SA"/>
      </w:rPr>
    </w:lvl>
  </w:abstractNum>
  <w:abstractNum w:abstractNumId="64">
    <w:multiLevelType w:val="hybridMultilevel"/>
    <w:lvl w:ilvl="0">
      <w:start w:val="0"/>
      <w:numFmt w:val="bullet"/>
      <w:lvlText w:val="•"/>
      <w:lvlJc w:val="left"/>
      <w:pPr>
        <w:ind w:left="721" w:hanging="361"/>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238" w:hanging="361"/>
      </w:pPr>
      <w:rPr>
        <w:rFonts w:hint="default"/>
        <w:lang w:val="en-US" w:eastAsia="en-US" w:bidi="ar-SA"/>
      </w:rPr>
    </w:lvl>
    <w:lvl w:ilvl="2">
      <w:start w:val="0"/>
      <w:numFmt w:val="bullet"/>
      <w:lvlText w:val="•"/>
      <w:lvlJc w:val="left"/>
      <w:pPr>
        <w:ind w:left="1756" w:hanging="361"/>
      </w:pPr>
      <w:rPr>
        <w:rFonts w:hint="default"/>
        <w:lang w:val="en-US" w:eastAsia="en-US" w:bidi="ar-SA"/>
      </w:rPr>
    </w:lvl>
    <w:lvl w:ilvl="3">
      <w:start w:val="0"/>
      <w:numFmt w:val="bullet"/>
      <w:lvlText w:val="•"/>
      <w:lvlJc w:val="left"/>
      <w:pPr>
        <w:ind w:left="2274" w:hanging="361"/>
      </w:pPr>
      <w:rPr>
        <w:rFonts w:hint="default"/>
        <w:lang w:val="en-US" w:eastAsia="en-US" w:bidi="ar-SA"/>
      </w:rPr>
    </w:lvl>
    <w:lvl w:ilvl="4">
      <w:start w:val="0"/>
      <w:numFmt w:val="bullet"/>
      <w:lvlText w:val="•"/>
      <w:lvlJc w:val="left"/>
      <w:pPr>
        <w:ind w:left="2792" w:hanging="361"/>
      </w:pPr>
      <w:rPr>
        <w:rFonts w:hint="default"/>
        <w:lang w:val="en-US" w:eastAsia="en-US" w:bidi="ar-SA"/>
      </w:rPr>
    </w:lvl>
    <w:lvl w:ilvl="5">
      <w:start w:val="0"/>
      <w:numFmt w:val="bullet"/>
      <w:lvlText w:val="•"/>
      <w:lvlJc w:val="left"/>
      <w:pPr>
        <w:ind w:left="3311" w:hanging="361"/>
      </w:pPr>
      <w:rPr>
        <w:rFonts w:hint="default"/>
        <w:lang w:val="en-US" w:eastAsia="en-US" w:bidi="ar-SA"/>
      </w:rPr>
    </w:lvl>
    <w:lvl w:ilvl="6">
      <w:start w:val="0"/>
      <w:numFmt w:val="bullet"/>
      <w:lvlText w:val="•"/>
      <w:lvlJc w:val="left"/>
      <w:pPr>
        <w:ind w:left="3829" w:hanging="361"/>
      </w:pPr>
      <w:rPr>
        <w:rFonts w:hint="default"/>
        <w:lang w:val="en-US" w:eastAsia="en-US" w:bidi="ar-SA"/>
      </w:rPr>
    </w:lvl>
    <w:lvl w:ilvl="7">
      <w:start w:val="0"/>
      <w:numFmt w:val="bullet"/>
      <w:lvlText w:val="•"/>
      <w:lvlJc w:val="left"/>
      <w:pPr>
        <w:ind w:left="4347" w:hanging="361"/>
      </w:pPr>
      <w:rPr>
        <w:rFonts w:hint="default"/>
        <w:lang w:val="en-US" w:eastAsia="en-US" w:bidi="ar-SA"/>
      </w:rPr>
    </w:lvl>
    <w:lvl w:ilvl="8">
      <w:start w:val="0"/>
      <w:numFmt w:val="bullet"/>
      <w:lvlText w:val="•"/>
      <w:lvlJc w:val="left"/>
      <w:pPr>
        <w:ind w:left="4865" w:hanging="361"/>
      </w:pPr>
      <w:rPr>
        <w:rFonts w:hint="default"/>
        <w:lang w:val="en-US" w:eastAsia="en-US" w:bidi="ar-SA"/>
      </w:rPr>
    </w:lvl>
  </w:abstractNum>
  <w:abstractNum w:abstractNumId="63">
    <w:multiLevelType w:val="hybridMultilevel"/>
    <w:lvl w:ilvl="0">
      <w:start w:val="0"/>
      <w:numFmt w:val="bullet"/>
      <w:lvlText w:val="•"/>
      <w:lvlJc w:val="left"/>
      <w:pPr>
        <w:ind w:left="793" w:hanging="426"/>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310" w:hanging="426"/>
      </w:pPr>
      <w:rPr>
        <w:rFonts w:hint="default"/>
        <w:lang w:val="en-US" w:eastAsia="en-US" w:bidi="ar-SA"/>
      </w:rPr>
    </w:lvl>
    <w:lvl w:ilvl="2">
      <w:start w:val="0"/>
      <w:numFmt w:val="bullet"/>
      <w:lvlText w:val="•"/>
      <w:lvlJc w:val="left"/>
      <w:pPr>
        <w:ind w:left="1820" w:hanging="426"/>
      </w:pPr>
      <w:rPr>
        <w:rFonts w:hint="default"/>
        <w:lang w:val="en-US" w:eastAsia="en-US" w:bidi="ar-SA"/>
      </w:rPr>
    </w:lvl>
    <w:lvl w:ilvl="3">
      <w:start w:val="0"/>
      <w:numFmt w:val="bullet"/>
      <w:lvlText w:val="•"/>
      <w:lvlJc w:val="left"/>
      <w:pPr>
        <w:ind w:left="2330" w:hanging="426"/>
      </w:pPr>
      <w:rPr>
        <w:rFonts w:hint="default"/>
        <w:lang w:val="en-US" w:eastAsia="en-US" w:bidi="ar-SA"/>
      </w:rPr>
    </w:lvl>
    <w:lvl w:ilvl="4">
      <w:start w:val="0"/>
      <w:numFmt w:val="bullet"/>
      <w:lvlText w:val="•"/>
      <w:lvlJc w:val="left"/>
      <w:pPr>
        <w:ind w:left="2840" w:hanging="426"/>
      </w:pPr>
      <w:rPr>
        <w:rFonts w:hint="default"/>
        <w:lang w:val="en-US" w:eastAsia="en-US" w:bidi="ar-SA"/>
      </w:rPr>
    </w:lvl>
    <w:lvl w:ilvl="5">
      <w:start w:val="0"/>
      <w:numFmt w:val="bullet"/>
      <w:lvlText w:val="•"/>
      <w:lvlJc w:val="left"/>
      <w:pPr>
        <w:ind w:left="3351" w:hanging="426"/>
      </w:pPr>
      <w:rPr>
        <w:rFonts w:hint="default"/>
        <w:lang w:val="en-US" w:eastAsia="en-US" w:bidi="ar-SA"/>
      </w:rPr>
    </w:lvl>
    <w:lvl w:ilvl="6">
      <w:start w:val="0"/>
      <w:numFmt w:val="bullet"/>
      <w:lvlText w:val="•"/>
      <w:lvlJc w:val="left"/>
      <w:pPr>
        <w:ind w:left="3861" w:hanging="426"/>
      </w:pPr>
      <w:rPr>
        <w:rFonts w:hint="default"/>
        <w:lang w:val="en-US" w:eastAsia="en-US" w:bidi="ar-SA"/>
      </w:rPr>
    </w:lvl>
    <w:lvl w:ilvl="7">
      <w:start w:val="0"/>
      <w:numFmt w:val="bullet"/>
      <w:lvlText w:val="•"/>
      <w:lvlJc w:val="left"/>
      <w:pPr>
        <w:ind w:left="4371" w:hanging="426"/>
      </w:pPr>
      <w:rPr>
        <w:rFonts w:hint="default"/>
        <w:lang w:val="en-US" w:eastAsia="en-US" w:bidi="ar-SA"/>
      </w:rPr>
    </w:lvl>
    <w:lvl w:ilvl="8">
      <w:start w:val="0"/>
      <w:numFmt w:val="bullet"/>
      <w:lvlText w:val="•"/>
      <w:lvlJc w:val="left"/>
      <w:pPr>
        <w:ind w:left="4881" w:hanging="426"/>
      </w:pPr>
      <w:rPr>
        <w:rFonts w:hint="default"/>
        <w:lang w:val="en-US" w:eastAsia="en-US" w:bidi="ar-SA"/>
      </w:rPr>
    </w:lvl>
  </w:abstractNum>
  <w:abstractNum w:abstractNumId="62">
    <w:multiLevelType w:val="hybridMultilevel"/>
    <w:lvl w:ilvl="0">
      <w:start w:val="0"/>
      <w:numFmt w:val="bullet"/>
      <w:lvlText w:val="•"/>
      <w:lvlJc w:val="left"/>
      <w:pPr>
        <w:ind w:left="734" w:hanging="426"/>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682" w:hanging="426"/>
      </w:pPr>
      <w:rPr>
        <w:rFonts w:hint="default"/>
        <w:lang w:val="en-US" w:eastAsia="en-US" w:bidi="ar-SA"/>
      </w:rPr>
    </w:lvl>
    <w:lvl w:ilvl="2">
      <w:start w:val="0"/>
      <w:numFmt w:val="bullet"/>
      <w:lvlText w:val="•"/>
      <w:lvlJc w:val="left"/>
      <w:pPr>
        <w:ind w:left="2625" w:hanging="426"/>
      </w:pPr>
      <w:rPr>
        <w:rFonts w:hint="default"/>
        <w:lang w:val="en-US" w:eastAsia="en-US" w:bidi="ar-SA"/>
      </w:rPr>
    </w:lvl>
    <w:lvl w:ilvl="3">
      <w:start w:val="0"/>
      <w:numFmt w:val="bullet"/>
      <w:lvlText w:val="•"/>
      <w:lvlJc w:val="left"/>
      <w:pPr>
        <w:ind w:left="3567" w:hanging="426"/>
      </w:pPr>
      <w:rPr>
        <w:rFonts w:hint="default"/>
        <w:lang w:val="en-US" w:eastAsia="en-US" w:bidi="ar-SA"/>
      </w:rPr>
    </w:lvl>
    <w:lvl w:ilvl="4">
      <w:start w:val="0"/>
      <w:numFmt w:val="bullet"/>
      <w:lvlText w:val="•"/>
      <w:lvlJc w:val="left"/>
      <w:pPr>
        <w:ind w:left="4510" w:hanging="426"/>
      </w:pPr>
      <w:rPr>
        <w:rFonts w:hint="default"/>
        <w:lang w:val="en-US" w:eastAsia="en-US" w:bidi="ar-SA"/>
      </w:rPr>
    </w:lvl>
    <w:lvl w:ilvl="5">
      <w:start w:val="0"/>
      <w:numFmt w:val="bullet"/>
      <w:lvlText w:val="•"/>
      <w:lvlJc w:val="left"/>
      <w:pPr>
        <w:ind w:left="5453" w:hanging="426"/>
      </w:pPr>
      <w:rPr>
        <w:rFonts w:hint="default"/>
        <w:lang w:val="en-US" w:eastAsia="en-US" w:bidi="ar-SA"/>
      </w:rPr>
    </w:lvl>
    <w:lvl w:ilvl="6">
      <w:start w:val="0"/>
      <w:numFmt w:val="bullet"/>
      <w:lvlText w:val="•"/>
      <w:lvlJc w:val="left"/>
      <w:pPr>
        <w:ind w:left="6395" w:hanging="426"/>
      </w:pPr>
      <w:rPr>
        <w:rFonts w:hint="default"/>
        <w:lang w:val="en-US" w:eastAsia="en-US" w:bidi="ar-SA"/>
      </w:rPr>
    </w:lvl>
    <w:lvl w:ilvl="7">
      <w:start w:val="0"/>
      <w:numFmt w:val="bullet"/>
      <w:lvlText w:val="•"/>
      <w:lvlJc w:val="left"/>
      <w:pPr>
        <w:ind w:left="7338" w:hanging="426"/>
      </w:pPr>
      <w:rPr>
        <w:rFonts w:hint="default"/>
        <w:lang w:val="en-US" w:eastAsia="en-US" w:bidi="ar-SA"/>
      </w:rPr>
    </w:lvl>
    <w:lvl w:ilvl="8">
      <w:start w:val="0"/>
      <w:numFmt w:val="bullet"/>
      <w:lvlText w:val="•"/>
      <w:lvlJc w:val="left"/>
      <w:pPr>
        <w:ind w:left="8281" w:hanging="426"/>
      </w:pPr>
      <w:rPr>
        <w:rFonts w:hint="default"/>
        <w:lang w:val="en-US" w:eastAsia="en-US" w:bidi="ar-SA"/>
      </w:rPr>
    </w:lvl>
  </w:abstractNum>
  <w:abstractNum w:abstractNumId="61">
    <w:multiLevelType w:val="hybridMultilevel"/>
    <w:lvl w:ilvl="0">
      <w:start w:val="0"/>
      <w:numFmt w:val="bullet"/>
      <w:lvlText w:val="•"/>
      <w:lvlJc w:val="left"/>
      <w:pPr>
        <w:ind w:left="502" w:hanging="219"/>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374" w:hanging="219"/>
      </w:pPr>
      <w:rPr>
        <w:rFonts w:hint="default"/>
        <w:lang w:val="en-US" w:eastAsia="en-US" w:bidi="ar-SA"/>
      </w:rPr>
    </w:lvl>
    <w:lvl w:ilvl="2">
      <w:start w:val="0"/>
      <w:numFmt w:val="bullet"/>
      <w:lvlText w:val="•"/>
      <w:lvlJc w:val="left"/>
      <w:pPr>
        <w:ind w:left="2248" w:hanging="219"/>
      </w:pPr>
      <w:rPr>
        <w:rFonts w:hint="default"/>
        <w:lang w:val="en-US" w:eastAsia="en-US" w:bidi="ar-SA"/>
      </w:rPr>
    </w:lvl>
    <w:lvl w:ilvl="3">
      <w:start w:val="0"/>
      <w:numFmt w:val="bullet"/>
      <w:lvlText w:val="•"/>
      <w:lvlJc w:val="left"/>
      <w:pPr>
        <w:ind w:left="3123" w:hanging="219"/>
      </w:pPr>
      <w:rPr>
        <w:rFonts w:hint="default"/>
        <w:lang w:val="en-US" w:eastAsia="en-US" w:bidi="ar-SA"/>
      </w:rPr>
    </w:lvl>
    <w:lvl w:ilvl="4">
      <w:start w:val="0"/>
      <w:numFmt w:val="bullet"/>
      <w:lvlText w:val="•"/>
      <w:lvlJc w:val="left"/>
      <w:pPr>
        <w:ind w:left="3997" w:hanging="219"/>
      </w:pPr>
      <w:rPr>
        <w:rFonts w:hint="default"/>
        <w:lang w:val="en-US" w:eastAsia="en-US" w:bidi="ar-SA"/>
      </w:rPr>
    </w:lvl>
    <w:lvl w:ilvl="5">
      <w:start w:val="0"/>
      <w:numFmt w:val="bullet"/>
      <w:lvlText w:val="•"/>
      <w:lvlJc w:val="left"/>
      <w:pPr>
        <w:ind w:left="4872" w:hanging="219"/>
      </w:pPr>
      <w:rPr>
        <w:rFonts w:hint="default"/>
        <w:lang w:val="en-US" w:eastAsia="en-US" w:bidi="ar-SA"/>
      </w:rPr>
    </w:lvl>
    <w:lvl w:ilvl="6">
      <w:start w:val="0"/>
      <w:numFmt w:val="bullet"/>
      <w:lvlText w:val="•"/>
      <w:lvlJc w:val="left"/>
      <w:pPr>
        <w:ind w:left="5746" w:hanging="219"/>
      </w:pPr>
      <w:rPr>
        <w:rFonts w:hint="default"/>
        <w:lang w:val="en-US" w:eastAsia="en-US" w:bidi="ar-SA"/>
      </w:rPr>
    </w:lvl>
    <w:lvl w:ilvl="7">
      <w:start w:val="0"/>
      <w:numFmt w:val="bullet"/>
      <w:lvlText w:val="•"/>
      <w:lvlJc w:val="left"/>
      <w:pPr>
        <w:ind w:left="6621" w:hanging="219"/>
      </w:pPr>
      <w:rPr>
        <w:rFonts w:hint="default"/>
        <w:lang w:val="en-US" w:eastAsia="en-US" w:bidi="ar-SA"/>
      </w:rPr>
    </w:lvl>
    <w:lvl w:ilvl="8">
      <w:start w:val="0"/>
      <w:numFmt w:val="bullet"/>
      <w:lvlText w:val="•"/>
      <w:lvlJc w:val="left"/>
      <w:pPr>
        <w:ind w:left="7495" w:hanging="219"/>
      </w:pPr>
      <w:rPr>
        <w:rFonts w:hint="default"/>
        <w:lang w:val="en-US" w:eastAsia="en-US" w:bidi="ar-SA"/>
      </w:rPr>
    </w:lvl>
  </w:abstractNum>
  <w:abstractNum w:abstractNumId="60">
    <w:multiLevelType w:val="hybridMultilevel"/>
    <w:lvl w:ilvl="0">
      <w:start w:val="0"/>
      <w:numFmt w:val="bullet"/>
      <w:lvlText w:val="•"/>
      <w:lvlJc w:val="left"/>
      <w:pPr>
        <w:ind w:left="734" w:hanging="361"/>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682" w:hanging="361"/>
      </w:pPr>
      <w:rPr>
        <w:rFonts w:hint="default"/>
        <w:lang w:val="en-US" w:eastAsia="en-US" w:bidi="ar-SA"/>
      </w:rPr>
    </w:lvl>
    <w:lvl w:ilvl="2">
      <w:start w:val="0"/>
      <w:numFmt w:val="bullet"/>
      <w:lvlText w:val="•"/>
      <w:lvlJc w:val="left"/>
      <w:pPr>
        <w:ind w:left="2625" w:hanging="361"/>
      </w:pPr>
      <w:rPr>
        <w:rFonts w:hint="default"/>
        <w:lang w:val="en-US" w:eastAsia="en-US" w:bidi="ar-SA"/>
      </w:rPr>
    </w:lvl>
    <w:lvl w:ilvl="3">
      <w:start w:val="0"/>
      <w:numFmt w:val="bullet"/>
      <w:lvlText w:val="•"/>
      <w:lvlJc w:val="left"/>
      <w:pPr>
        <w:ind w:left="3567" w:hanging="361"/>
      </w:pPr>
      <w:rPr>
        <w:rFonts w:hint="default"/>
        <w:lang w:val="en-US" w:eastAsia="en-US" w:bidi="ar-SA"/>
      </w:rPr>
    </w:lvl>
    <w:lvl w:ilvl="4">
      <w:start w:val="0"/>
      <w:numFmt w:val="bullet"/>
      <w:lvlText w:val="•"/>
      <w:lvlJc w:val="left"/>
      <w:pPr>
        <w:ind w:left="4510" w:hanging="361"/>
      </w:pPr>
      <w:rPr>
        <w:rFonts w:hint="default"/>
        <w:lang w:val="en-US" w:eastAsia="en-US" w:bidi="ar-SA"/>
      </w:rPr>
    </w:lvl>
    <w:lvl w:ilvl="5">
      <w:start w:val="0"/>
      <w:numFmt w:val="bullet"/>
      <w:lvlText w:val="•"/>
      <w:lvlJc w:val="left"/>
      <w:pPr>
        <w:ind w:left="5453" w:hanging="361"/>
      </w:pPr>
      <w:rPr>
        <w:rFonts w:hint="default"/>
        <w:lang w:val="en-US" w:eastAsia="en-US" w:bidi="ar-SA"/>
      </w:rPr>
    </w:lvl>
    <w:lvl w:ilvl="6">
      <w:start w:val="0"/>
      <w:numFmt w:val="bullet"/>
      <w:lvlText w:val="•"/>
      <w:lvlJc w:val="left"/>
      <w:pPr>
        <w:ind w:left="6395" w:hanging="361"/>
      </w:pPr>
      <w:rPr>
        <w:rFonts w:hint="default"/>
        <w:lang w:val="en-US" w:eastAsia="en-US" w:bidi="ar-SA"/>
      </w:rPr>
    </w:lvl>
    <w:lvl w:ilvl="7">
      <w:start w:val="0"/>
      <w:numFmt w:val="bullet"/>
      <w:lvlText w:val="•"/>
      <w:lvlJc w:val="left"/>
      <w:pPr>
        <w:ind w:left="7338" w:hanging="361"/>
      </w:pPr>
      <w:rPr>
        <w:rFonts w:hint="default"/>
        <w:lang w:val="en-US" w:eastAsia="en-US" w:bidi="ar-SA"/>
      </w:rPr>
    </w:lvl>
    <w:lvl w:ilvl="8">
      <w:start w:val="0"/>
      <w:numFmt w:val="bullet"/>
      <w:lvlText w:val="•"/>
      <w:lvlJc w:val="left"/>
      <w:pPr>
        <w:ind w:left="8281" w:hanging="361"/>
      </w:pPr>
      <w:rPr>
        <w:rFonts w:hint="default"/>
        <w:lang w:val="en-US" w:eastAsia="en-US" w:bidi="ar-SA"/>
      </w:rPr>
    </w:lvl>
  </w:abstractNum>
  <w:abstractNum w:abstractNumId="59">
    <w:multiLevelType w:val="hybridMultilevel"/>
    <w:lvl w:ilvl="0">
      <w:start w:val="0"/>
      <w:numFmt w:val="bullet"/>
      <w:lvlText w:val="-"/>
      <w:lvlJc w:val="left"/>
      <w:pPr>
        <w:ind w:left="1159" w:hanging="360"/>
      </w:pPr>
      <w:rPr>
        <w:rFonts w:hint="default" w:ascii="Courier New" w:hAnsi="Courier New" w:eastAsia="Courier New" w:cs="Courier New"/>
        <w:b w:val="0"/>
        <w:bCs w:val="0"/>
        <w:i w:val="0"/>
        <w:iCs w:val="0"/>
        <w:spacing w:val="0"/>
        <w:w w:val="100"/>
        <w:sz w:val="22"/>
        <w:szCs w:val="22"/>
        <w:lang w:val="en-US" w:eastAsia="en-US" w:bidi="ar-SA"/>
      </w:rPr>
    </w:lvl>
    <w:lvl w:ilvl="1">
      <w:start w:val="0"/>
      <w:numFmt w:val="bullet"/>
      <w:lvlText w:val="•"/>
      <w:lvlJc w:val="left"/>
      <w:pPr>
        <w:ind w:left="2060" w:hanging="360"/>
      </w:pPr>
      <w:rPr>
        <w:rFonts w:hint="default"/>
        <w:lang w:val="en-US" w:eastAsia="en-US" w:bidi="ar-SA"/>
      </w:rPr>
    </w:lvl>
    <w:lvl w:ilvl="2">
      <w:start w:val="0"/>
      <w:numFmt w:val="bullet"/>
      <w:lvlText w:val="•"/>
      <w:lvlJc w:val="left"/>
      <w:pPr>
        <w:ind w:left="2961" w:hanging="360"/>
      </w:pPr>
      <w:rPr>
        <w:rFonts w:hint="default"/>
        <w:lang w:val="en-US" w:eastAsia="en-US" w:bidi="ar-SA"/>
      </w:rPr>
    </w:lvl>
    <w:lvl w:ilvl="3">
      <w:start w:val="0"/>
      <w:numFmt w:val="bullet"/>
      <w:lvlText w:val="•"/>
      <w:lvlJc w:val="left"/>
      <w:pPr>
        <w:ind w:left="3861" w:hanging="360"/>
      </w:pPr>
      <w:rPr>
        <w:rFonts w:hint="default"/>
        <w:lang w:val="en-US" w:eastAsia="en-US" w:bidi="ar-SA"/>
      </w:rPr>
    </w:lvl>
    <w:lvl w:ilvl="4">
      <w:start w:val="0"/>
      <w:numFmt w:val="bullet"/>
      <w:lvlText w:val="•"/>
      <w:lvlJc w:val="left"/>
      <w:pPr>
        <w:ind w:left="4762" w:hanging="360"/>
      </w:pPr>
      <w:rPr>
        <w:rFonts w:hint="default"/>
        <w:lang w:val="en-US" w:eastAsia="en-US" w:bidi="ar-SA"/>
      </w:rPr>
    </w:lvl>
    <w:lvl w:ilvl="5">
      <w:start w:val="0"/>
      <w:numFmt w:val="bullet"/>
      <w:lvlText w:val="•"/>
      <w:lvlJc w:val="left"/>
      <w:pPr>
        <w:ind w:left="5663" w:hanging="360"/>
      </w:pPr>
      <w:rPr>
        <w:rFonts w:hint="default"/>
        <w:lang w:val="en-US" w:eastAsia="en-US" w:bidi="ar-SA"/>
      </w:rPr>
    </w:lvl>
    <w:lvl w:ilvl="6">
      <w:start w:val="0"/>
      <w:numFmt w:val="bullet"/>
      <w:lvlText w:val="•"/>
      <w:lvlJc w:val="left"/>
      <w:pPr>
        <w:ind w:left="6563" w:hanging="360"/>
      </w:pPr>
      <w:rPr>
        <w:rFonts w:hint="default"/>
        <w:lang w:val="en-US" w:eastAsia="en-US" w:bidi="ar-SA"/>
      </w:rPr>
    </w:lvl>
    <w:lvl w:ilvl="7">
      <w:start w:val="0"/>
      <w:numFmt w:val="bullet"/>
      <w:lvlText w:val="•"/>
      <w:lvlJc w:val="left"/>
      <w:pPr>
        <w:ind w:left="7464" w:hanging="360"/>
      </w:pPr>
      <w:rPr>
        <w:rFonts w:hint="default"/>
        <w:lang w:val="en-US" w:eastAsia="en-US" w:bidi="ar-SA"/>
      </w:rPr>
    </w:lvl>
    <w:lvl w:ilvl="8">
      <w:start w:val="0"/>
      <w:numFmt w:val="bullet"/>
      <w:lvlText w:val="•"/>
      <w:lvlJc w:val="left"/>
      <w:pPr>
        <w:ind w:left="8365" w:hanging="360"/>
      </w:pPr>
      <w:rPr>
        <w:rFonts w:hint="default"/>
        <w:lang w:val="en-US" w:eastAsia="en-US" w:bidi="ar-SA"/>
      </w:rPr>
    </w:lvl>
  </w:abstractNum>
  <w:abstractNum w:abstractNumId="57">
    <w:multiLevelType w:val="hybridMultilevel"/>
    <w:lvl w:ilvl="0">
      <w:start w:val="0"/>
      <w:numFmt w:val="bullet"/>
      <w:lvlText w:val="-"/>
      <w:lvlJc w:val="left"/>
      <w:pPr>
        <w:ind w:left="1159" w:hanging="360"/>
      </w:pPr>
      <w:rPr>
        <w:rFonts w:hint="default" w:ascii="Courier New" w:hAnsi="Courier New" w:eastAsia="Courier New" w:cs="Courier New"/>
        <w:b w:val="0"/>
        <w:bCs w:val="0"/>
        <w:i w:val="0"/>
        <w:iCs w:val="0"/>
        <w:spacing w:val="0"/>
        <w:w w:val="100"/>
        <w:sz w:val="22"/>
        <w:szCs w:val="22"/>
        <w:lang w:val="en-US" w:eastAsia="en-US" w:bidi="ar-SA"/>
      </w:rPr>
    </w:lvl>
    <w:lvl w:ilvl="1">
      <w:start w:val="0"/>
      <w:numFmt w:val="bullet"/>
      <w:lvlText w:val="•"/>
      <w:lvlJc w:val="left"/>
      <w:pPr>
        <w:ind w:left="2060" w:hanging="360"/>
      </w:pPr>
      <w:rPr>
        <w:rFonts w:hint="default"/>
        <w:lang w:val="en-US" w:eastAsia="en-US" w:bidi="ar-SA"/>
      </w:rPr>
    </w:lvl>
    <w:lvl w:ilvl="2">
      <w:start w:val="0"/>
      <w:numFmt w:val="bullet"/>
      <w:lvlText w:val="•"/>
      <w:lvlJc w:val="left"/>
      <w:pPr>
        <w:ind w:left="2961" w:hanging="360"/>
      </w:pPr>
      <w:rPr>
        <w:rFonts w:hint="default"/>
        <w:lang w:val="en-US" w:eastAsia="en-US" w:bidi="ar-SA"/>
      </w:rPr>
    </w:lvl>
    <w:lvl w:ilvl="3">
      <w:start w:val="0"/>
      <w:numFmt w:val="bullet"/>
      <w:lvlText w:val="•"/>
      <w:lvlJc w:val="left"/>
      <w:pPr>
        <w:ind w:left="3861" w:hanging="360"/>
      </w:pPr>
      <w:rPr>
        <w:rFonts w:hint="default"/>
        <w:lang w:val="en-US" w:eastAsia="en-US" w:bidi="ar-SA"/>
      </w:rPr>
    </w:lvl>
    <w:lvl w:ilvl="4">
      <w:start w:val="0"/>
      <w:numFmt w:val="bullet"/>
      <w:lvlText w:val="•"/>
      <w:lvlJc w:val="left"/>
      <w:pPr>
        <w:ind w:left="4762" w:hanging="360"/>
      </w:pPr>
      <w:rPr>
        <w:rFonts w:hint="default"/>
        <w:lang w:val="en-US" w:eastAsia="en-US" w:bidi="ar-SA"/>
      </w:rPr>
    </w:lvl>
    <w:lvl w:ilvl="5">
      <w:start w:val="0"/>
      <w:numFmt w:val="bullet"/>
      <w:lvlText w:val="•"/>
      <w:lvlJc w:val="left"/>
      <w:pPr>
        <w:ind w:left="5663" w:hanging="360"/>
      </w:pPr>
      <w:rPr>
        <w:rFonts w:hint="default"/>
        <w:lang w:val="en-US" w:eastAsia="en-US" w:bidi="ar-SA"/>
      </w:rPr>
    </w:lvl>
    <w:lvl w:ilvl="6">
      <w:start w:val="0"/>
      <w:numFmt w:val="bullet"/>
      <w:lvlText w:val="•"/>
      <w:lvlJc w:val="left"/>
      <w:pPr>
        <w:ind w:left="6563" w:hanging="360"/>
      </w:pPr>
      <w:rPr>
        <w:rFonts w:hint="default"/>
        <w:lang w:val="en-US" w:eastAsia="en-US" w:bidi="ar-SA"/>
      </w:rPr>
    </w:lvl>
    <w:lvl w:ilvl="7">
      <w:start w:val="0"/>
      <w:numFmt w:val="bullet"/>
      <w:lvlText w:val="•"/>
      <w:lvlJc w:val="left"/>
      <w:pPr>
        <w:ind w:left="7464" w:hanging="360"/>
      </w:pPr>
      <w:rPr>
        <w:rFonts w:hint="default"/>
        <w:lang w:val="en-US" w:eastAsia="en-US" w:bidi="ar-SA"/>
      </w:rPr>
    </w:lvl>
    <w:lvl w:ilvl="8">
      <w:start w:val="0"/>
      <w:numFmt w:val="bullet"/>
      <w:lvlText w:val="•"/>
      <w:lvlJc w:val="left"/>
      <w:pPr>
        <w:ind w:left="8365" w:hanging="360"/>
      </w:pPr>
      <w:rPr>
        <w:rFonts w:hint="default"/>
        <w:lang w:val="en-US" w:eastAsia="en-US" w:bidi="ar-SA"/>
      </w:rPr>
    </w:lvl>
  </w:abstractNum>
  <w:abstractNum w:abstractNumId="56">
    <w:multiLevelType w:val="hybridMultilevel"/>
    <w:lvl w:ilvl="0">
      <w:start w:val="0"/>
      <w:numFmt w:val="bullet"/>
      <w:lvlText w:val="-"/>
      <w:lvlJc w:val="left"/>
      <w:pPr>
        <w:ind w:left="1313" w:hanging="360"/>
      </w:pPr>
      <w:rPr>
        <w:rFonts w:hint="default" w:ascii="Courier New" w:hAnsi="Courier New" w:eastAsia="Courier New" w:cs="Courier New"/>
        <w:b w:val="0"/>
        <w:bCs w:val="0"/>
        <w:i w:val="0"/>
        <w:iCs w:val="0"/>
        <w:spacing w:val="0"/>
        <w:w w:val="100"/>
        <w:sz w:val="22"/>
        <w:szCs w:val="22"/>
        <w:lang w:val="en-US" w:eastAsia="en-US" w:bidi="ar-SA"/>
      </w:rPr>
    </w:lvl>
    <w:lvl w:ilvl="1">
      <w:start w:val="0"/>
      <w:numFmt w:val="bullet"/>
      <w:lvlText w:val="•"/>
      <w:lvlJc w:val="left"/>
      <w:pPr>
        <w:ind w:left="2204" w:hanging="360"/>
      </w:pPr>
      <w:rPr>
        <w:rFonts w:hint="default"/>
        <w:lang w:val="en-US" w:eastAsia="en-US" w:bidi="ar-SA"/>
      </w:rPr>
    </w:lvl>
    <w:lvl w:ilvl="2">
      <w:start w:val="0"/>
      <w:numFmt w:val="bullet"/>
      <w:lvlText w:val="•"/>
      <w:lvlJc w:val="left"/>
      <w:pPr>
        <w:ind w:left="3089" w:hanging="360"/>
      </w:pPr>
      <w:rPr>
        <w:rFonts w:hint="default"/>
        <w:lang w:val="en-US" w:eastAsia="en-US" w:bidi="ar-SA"/>
      </w:rPr>
    </w:lvl>
    <w:lvl w:ilvl="3">
      <w:start w:val="0"/>
      <w:numFmt w:val="bullet"/>
      <w:lvlText w:val="•"/>
      <w:lvlJc w:val="left"/>
      <w:pPr>
        <w:ind w:left="3973" w:hanging="360"/>
      </w:pPr>
      <w:rPr>
        <w:rFonts w:hint="default"/>
        <w:lang w:val="en-US" w:eastAsia="en-US" w:bidi="ar-SA"/>
      </w:rPr>
    </w:lvl>
    <w:lvl w:ilvl="4">
      <w:start w:val="0"/>
      <w:numFmt w:val="bullet"/>
      <w:lvlText w:val="•"/>
      <w:lvlJc w:val="left"/>
      <w:pPr>
        <w:ind w:left="4858" w:hanging="360"/>
      </w:pPr>
      <w:rPr>
        <w:rFonts w:hint="default"/>
        <w:lang w:val="en-US" w:eastAsia="en-US" w:bidi="ar-SA"/>
      </w:rPr>
    </w:lvl>
    <w:lvl w:ilvl="5">
      <w:start w:val="0"/>
      <w:numFmt w:val="bullet"/>
      <w:lvlText w:val="•"/>
      <w:lvlJc w:val="left"/>
      <w:pPr>
        <w:ind w:left="5743" w:hanging="360"/>
      </w:pPr>
      <w:rPr>
        <w:rFonts w:hint="default"/>
        <w:lang w:val="en-US" w:eastAsia="en-US" w:bidi="ar-SA"/>
      </w:rPr>
    </w:lvl>
    <w:lvl w:ilvl="6">
      <w:start w:val="0"/>
      <w:numFmt w:val="bullet"/>
      <w:lvlText w:val="•"/>
      <w:lvlJc w:val="left"/>
      <w:pPr>
        <w:ind w:left="6627" w:hanging="360"/>
      </w:pPr>
      <w:rPr>
        <w:rFonts w:hint="default"/>
        <w:lang w:val="en-US" w:eastAsia="en-US" w:bidi="ar-SA"/>
      </w:rPr>
    </w:lvl>
    <w:lvl w:ilvl="7">
      <w:start w:val="0"/>
      <w:numFmt w:val="bullet"/>
      <w:lvlText w:val="•"/>
      <w:lvlJc w:val="left"/>
      <w:pPr>
        <w:ind w:left="7512" w:hanging="360"/>
      </w:pPr>
      <w:rPr>
        <w:rFonts w:hint="default"/>
        <w:lang w:val="en-US" w:eastAsia="en-US" w:bidi="ar-SA"/>
      </w:rPr>
    </w:lvl>
    <w:lvl w:ilvl="8">
      <w:start w:val="0"/>
      <w:numFmt w:val="bullet"/>
      <w:lvlText w:val="•"/>
      <w:lvlJc w:val="left"/>
      <w:pPr>
        <w:ind w:left="8397" w:hanging="360"/>
      </w:pPr>
      <w:rPr>
        <w:rFonts w:hint="default"/>
        <w:lang w:val="en-US" w:eastAsia="en-US" w:bidi="ar-SA"/>
      </w:rPr>
    </w:lvl>
  </w:abstractNum>
  <w:abstractNum w:abstractNumId="55">
    <w:multiLevelType w:val="hybridMultilevel"/>
    <w:lvl w:ilvl="0">
      <w:start w:val="0"/>
      <w:numFmt w:val="bullet"/>
      <w:lvlText w:val="•"/>
      <w:lvlJc w:val="left"/>
      <w:pPr>
        <w:ind w:left="876" w:hanging="216"/>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808" w:hanging="216"/>
      </w:pPr>
      <w:rPr>
        <w:rFonts w:hint="default"/>
        <w:lang w:val="en-US" w:eastAsia="en-US" w:bidi="ar-SA"/>
      </w:rPr>
    </w:lvl>
    <w:lvl w:ilvl="2">
      <w:start w:val="0"/>
      <w:numFmt w:val="bullet"/>
      <w:lvlText w:val="•"/>
      <w:lvlJc w:val="left"/>
      <w:pPr>
        <w:ind w:left="2737" w:hanging="216"/>
      </w:pPr>
      <w:rPr>
        <w:rFonts w:hint="default"/>
        <w:lang w:val="en-US" w:eastAsia="en-US" w:bidi="ar-SA"/>
      </w:rPr>
    </w:lvl>
    <w:lvl w:ilvl="3">
      <w:start w:val="0"/>
      <w:numFmt w:val="bullet"/>
      <w:lvlText w:val="•"/>
      <w:lvlJc w:val="left"/>
      <w:pPr>
        <w:ind w:left="3665" w:hanging="216"/>
      </w:pPr>
      <w:rPr>
        <w:rFonts w:hint="default"/>
        <w:lang w:val="en-US" w:eastAsia="en-US" w:bidi="ar-SA"/>
      </w:rPr>
    </w:lvl>
    <w:lvl w:ilvl="4">
      <w:start w:val="0"/>
      <w:numFmt w:val="bullet"/>
      <w:lvlText w:val="•"/>
      <w:lvlJc w:val="left"/>
      <w:pPr>
        <w:ind w:left="4594" w:hanging="216"/>
      </w:pPr>
      <w:rPr>
        <w:rFonts w:hint="default"/>
        <w:lang w:val="en-US" w:eastAsia="en-US" w:bidi="ar-SA"/>
      </w:rPr>
    </w:lvl>
    <w:lvl w:ilvl="5">
      <w:start w:val="0"/>
      <w:numFmt w:val="bullet"/>
      <w:lvlText w:val="•"/>
      <w:lvlJc w:val="left"/>
      <w:pPr>
        <w:ind w:left="5523" w:hanging="216"/>
      </w:pPr>
      <w:rPr>
        <w:rFonts w:hint="default"/>
        <w:lang w:val="en-US" w:eastAsia="en-US" w:bidi="ar-SA"/>
      </w:rPr>
    </w:lvl>
    <w:lvl w:ilvl="6">
      <w:start w:val="0"/>
      <w:numFmt w:val="bullet"/>
      <w:lvlText w:val="•"/>
      <w:lvlJc w:val="left"/>
      <w:pPr>
        <w:ind w:left="6451" w:hanging="216"/>
      </w:pPr>
      <w:rPr>
        <w:rFonts w:hint="default"/>
        <w:lang w:val="en-US" w:eastAsia="en-US" w:bidi="ar-SA"/>
      </w:rPr>
    </w:lvl>
    <w:lvl w:ilvl="7">
      <w:start w:val="0"/>
      <w:numFmt w:val="bullet"/>
      <w:lvlText w:val="•"/>
      <w:lvlJc w:val="left"/>
      <w:pPr>
        <w:ind w:left="7380" w:hanging="216"/>
      </w:pPr>
      <w:rPr>
        <w:rFonts w:hint="default"/>
        <w:lang w:val="en-US" w:eastAsia="en-US" w:bidi="ar-SA"/>
      </w:rPr>
    </w:lvl>
    <w:lvl w:ilvl="8">
      <w:start w:val="0"/>
      <w:numFmt w:val="bullet"/>
      <w:lvlText w:val="•"/>
      <w:lvlJc w:val="left"/>
      <w:pPr>
        <w:ind w:left="8309" w:hanging="216"/>
      </w:pPr>
      <w:rPr>
        <w:rFonts w:hint="default"/>
        <w:lang w:val="en-US" w:eastAsia="en-US" w:bidi="ar-SA"/>
      </w:rPr>
    </w:lvl>
  </w:abstractNum>
  <w:abstractNum w:abstractNumId="54">
    <w:multiLevelType w:val="hybridMultilevel"/>
    <w:lvl w:ilvl="0">
      <w:start w:val="0"/>
      <w:numFmt w:val="bullet"/>
      <w:lvlText w:val="•"/>
      <w:lvlJc w:val="left"/>
      <w:pPr>
        <w:ind w:left="590" w:hanging="359"/>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556" w:hanging="359"/>
      </w:pPr>
      <w:rPr>
        <w:rFonts w:hint="default"/>
        <w:lang w:val="en-US" w:eastAsia="en-US" w:bidi="ar-SA"/>
      </w:rPr>
    </w:lvl>
    <w:lvl w:ilvl="2">
      <w:start w:val="0"/>
      <w:numFmt w:val="bullet"/>
      <w:lvlText w:val="•"/>
      <w:lvlJc w:val="left"/>
      <w:pPr>
        <w:ind w:left="2513" w:hanging="359"/>
      </w:pPr>
      <w:rPr>
        <w:rFonts w:hint="default"/>
        <w:lang w:val="en-US" w:eastAsia="en-US" w:bidi="ar-SA"/>
      </w:rPr>
    </w:lvl>
    <w:lvl w:ilvl="3">
      <w:start w:val="0"/>
      <w:numFmt w:val="bullet"/>
      <w:lvlText w:val="•"/>
      <w:lvlJc w:val="left"/>
      <w:pPr>
        <w:ind w:left="3469" w:hanging="359"/>
      </w:pPr>
      <w:rPr>
        <w:rFonts w:hint="default"/>
        <w:lang w:val="en-US" w:eastAsia="en-US" w:bidi="ar-SA"/>
      </w:rPr>
    </w:lvl>
    <w:lvl w:ilvl="4">
      <w:start w:val="0"/>
      <w:numFmt w:val="bullet"/>
      <w:lvlText w:val="•"/>
      <w:lvlJc w:val="left"/>
      <w:pPr>
        <w:ind w:left="4426" w:hanging="359"/>
      </w:pPr>
      <w:rPr>
        <w:rFonts w:hint="default"/>
        <w:lang w:val="en-US" w:eastAsia="en-US" w:bidi="ar-SA"/>
      </w:rPr>
    </w:lvl>
    <w:lvl w:ilvl="5">
      <w:start w:val="0"/>
      <w:numFmt w:val="bullet"/>
      <w:lvlText w:val="•"/>
      <w:lvlJc w:val="left"/>
      <w:pPr>
        <w:ind w:left="5383" w:hanging="359"/>
      </w:pPr>
      <w:rPr>
        <w:rFonts w:hint="default"/>
        <w:lang w:val="en-US" w:eastAsia="en-US" w:bidi="ar-SA"/>
      </w:rPr>
    </w:lvl>
    <w:lvl w:ilvl="6">
      <w:start w:val="0"/>
      <w:numFmt w:val="bullet"/>
      <w:lvlText w:val="•"/>
      <w:lvlJc w:val="left"/>
      <w:pPr>
        <w:ind w:left="6339" w:hanging="359"/>
      </w:pPr>
      <w:rPr>
        <w:rFonts w:hint="default"/>
        <w:lang w:val="en-US" w:eastAsia="en-US" w:bidi="ar-SA"/>
      </w:rPr>
    </w:lvl>
    <w:lvl w:ilvl="7">
      <w:start w:val="0"/>
      <w:numFmt w:val="bullet"/>
      <w:lvlText w:val="•"/>
      <w:lvlJc w:val="left"/>
      <w:pPr>
        <w:ind w:left="7296" w:hanging="359"/>
      </w:pPr>
      <w:rPr>
        <w:rFonts w:hint="default"/>
        <w:lang w:val="en-US" w:eastAsia="en-US" w:bidi="ar-SA"/>
      </w:rPr>
    </w:lvl>
    <w:lvl w:ilvl="8">
      <w:start w:val="0"/>
      <w:numFmt w:val="bullet"/>
      <w:lvlText w:val="•"/>
      <w:lvlJc w:val="left"/>
      <w:pPr>
        <w:ind w:left="8253" w:hanging="359"/>
      </w:pPr>
      <w:rPr>
        <w:rFonts w:hint="default"/>
        <w:lang w:val="en-US" w:eastAsia="en-US" w:bidi="ar-SA"/>
      </w:rPr>
    </w:lvl>
  </w:abstractNum>
  <w:abstractNum w:abstractNumId="53">
    <w:multiLevelType w:val="hybridMultilevel"/>
    <w:lvl w:ilvl="0">
      <w:start w:val="0"/>
      <w:numFmt w:val="bullet"/>
      <w:lvlText w:val="•"/>
      <w:lvlJc w:val="left"/>
      <w:pPr>
        <w:ind w:left="590" w:hanging="359"/>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556" w:hanging="359"/>
      </w:pPr>
      <w:rPr>
        <w:rFonts w:hint="default"/>
        <w:lang w:val="en-US" w:eastAsia="en-US" w:bidi="ar-SA"/>
      </w:rPr>
    </w:lvl>
    <w:lvl w:ilvl="2">
      <w:start w:val="0"/>
      <w:numFmt w:val="bullet"/>
      <w:lvlText w:val="•"/>
      <w:lvlJc w:val="left"/>
      <w:pPr>
        <w:ind w:left="2513" w:hanging="359"/>
      </w:pPr>
      <w:rPr>
        <w:rFonts w:hint="default"/>
        <w:lang w:val="en-US" w:eastAsia="en-US" w:bidi="ar-SA"/>
      </w:rPr>
    </w:lvl>
    <w:lvl w:ilvl="3">
      <w:start w:val="0"/>
      <w:numFmt w:val="bullet"/>
      <w:lvlText w:val="•"/>
      <w:lvlJc w:val="left"/>
      <w:pPr>
        <w:ind w:left="3469" w:hanging="359"/>
      </w:pPr>
      <w:rPr>
        <w:rFonts w:hint="default"/>
        <w:lang w:val="en-US" w:eastAsia="en-US" w:bidi="ar-SA"/>
      </w:rPr>
    </w:lvl>
    <w:lvl w:ilvl="4">
      <w:start w:val="0"/>
      <w:numFmt w:val="bullet"/>
      <w:lvlText w:val="•"/>
      <w:lvlJc w:val="left"/>
      <w:pPr>
        <w:ind w:left="4426" w:hanging="359"/>
      </w:pPr>
      <w:rPr>
        <w:rFonts w:hint="default"/>
        <w:lang w:val="en-US" w:eastAsia="en-US" w:bidi="ar-SA"/>
      </w:rPr>
    </w:lvl>
    <w:lvl w:ilvl="5">
      <w:start w:val="0"/>
      <w:numFmt w:val="bullet"/>
      <w:lvlText w:val="•"/>
      <w:lvlJc w:val="left"/>
      <w:pPr>
        <w:ind w:left="5383" w:hanging="359"/>
      </w:pPr>
      <w:rPr>
        <w:rFonts w:hint="default"/>
        <w:lang w:val="en-US" w:eastAsia="en-US" w:bidi="ar-SA"/>
      </w:rPr>
    </w:lvl>
    <w:lvl w:ilvl="6">
      <w:start w:val="0"/>
      <w:numFmt w:val="bullet"/>
      <w:lvlText w:val="•"/>
      <w:lvlJc w:val="left"/>
      <w:pPr>
        <w:ind w:left="6339" w:hanging="359"/>
      </w:pPr>
      <w:rPr>
        <w:rFonts w:hint="default"/>
        <w:lang w:val="en-US" w:eastAsia="en-US" w:bidi="ar-SA"/>
      </w:rPr>
    </w:lvl>
    <w:lvl w:ilvl="7">
      <w:start w:val="0"/>
      <w:numFmt w:val="bullet"/>
      <w:lvlText w:val="•"/>
      <w:lvlJc w:val="left"/>
      <w:pPr>
        <w:ind w:left="7296" w:hanging="359"/>
      </w:pPr>
      <w:rPr>
        <w:rFonts w:hint="default"/>
        <w:lang w:val="en-US" w:eastAsia="en-US" w:bidi="ar-SA"/>
      </w:rPr>
    </w:lvl>
    <w:lvl w:ilvl="8">
      <w:start w:val="0"/>
      <w:numFmt w:val="bullet"/>
      <w:lvlText w:val="•"/>
      <w:lvlJc w:val="left"/>
      <w:pPr>
        <w:ind w:left="8253" w:hanging="359"/>
      </w:pPr>
      <w:rPr>
        <w:rFonts w:hint="default"/>
        <w:lang w:val="en-US" w:eastAsia="en-US" w:bidi="ar-SA"/>
      </w:rPr>
    </w:lvl>
  </w:abstractNum>
  <w:abstractNum w:abstractNumId="52">
    <w:multiLevelType w:val="hybridMultilevel"/>
    <w:lvl w:ilvl="0">
      <w:start w:val="1"/>
      <w:numFmt w:val="decimal"/>
      <w:lvlText w:val="%1."/>
      <w:lvlJc w:val="left"/>
      <w:pPr>
        <w:ind w:left="593" w:hanging="361"/>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1556" w:hanging="361"/>
      </w:pPr>
      <w:rPr>
        <w:rFonts w:hint="default"/>
        <w:lang w:val="en-US" w:eastAsia="en-US" w:bidi="ar-SA"/>
      </w:rPr>
    </w:lvl>
    <w:lvl w:ilvl="2">
      <w:start w:val="0"/>
      <w:numFmt w:val="bullet"/>
      <w:lvlText w:val="•"/>
      <w:lvlJc w:val="left"/>
      <w:pPr>
        <w:ind w:left="2513" w:hanging="361"/>
      </w:pPr>
      <w:rPr>
        <w:rFonts w:hint="default"/>
        <w:lang w:val="en-US" w:eastAsia="en-US" w:bidi="ar-SA"/>
      </w:rPr>
    </w:lvl>
    <w:lvl w:ilvl="3">
      <w:start w:val="0"/>
      <w:numFmt w:val="bullet"/>
      <w:lvlText w:val="•"/>
      <w:lvlJc w:val="left"/>
      <w:pPr>
        <w:ind w:left="3469" w:hanging="361"/>
      </w:pPr>
      <w:rPr>
        <w:rFonts w:hint="default"/>
        <w:lang w:val="en-US" w:eastAsia="en-US" w:bidi="ar-SA"/>
      </w:rPr>
    </w:lvl>
    <w:lvl w:ilvl="4">
      <w:start w:val="0"/>
      <w:numFmt w:val="bullet"/>
      <w:lvlText w:val="•"/>
      <w:lvlJc w:val="left"/>
      <w:pPr>
        <w:ind w:left="4426" w:hanging="361"/>
      </w:pPr>
      <w:rPr>
        <w:rFonts w:hint="default"/>
        <w:lang w:val="en-US" w:eastAsia="en-US" w:bidi="ar-SA"/>
      </w:rPr>
    </w:lvl>
    <w:lvl w:ilvl="5">
      <w:start w:val="0"/>
      <w:numFmt w:val="bullet"/>
      <w:lvlText w:val="•"/>
      <w:lvlJc w:val="left"/>
      <w:pPr>
        <w:ind w:left="5383" w:hanging="361"/>
      </w:pPr>
      <w:rPr>
        <w:rFonts w:hint="default"/>
        <w:lang w:val="en-US" w:eastAsia="en-US" w:bidi="ar-SA"/>
      </w:rPr>
    </w:lvl>
    <w:lvl w:ilvl="6">
      <w:start w:val="0"/>
      <w:numFmt w:val="bullet"/>
      <w:lvlText w:val="•"/>
      <w:lvlJc w:val="left"/>
      <w:pPr>
        <w:ind w:left="6339" w:hanging="361"/>
      </w:pPr>
      <w:rPr>
        <w:rFonts w:hint="default"/>
        <w:lang w:val="en-US" w:eastAsia="en-US" w:bidi="ar-SA"/>
      </w:rPr>
    </w:lvl>
    <w:lvl w:ilvl="7">
      <w:start w:val="0"/>
      <w:numFmt w:val="bullet"/>
      <w:lvlText w:val="•"/>
      <w:lvlJc w:val="left"/>
      <w:pPr>
        <w:ind w:left="7296" w:hanging="361"/>
      </w:pPr>
      <w:rPr>
        <w:rFonts w:hint="default"/>
        <w:lang w:val="en-US" w:eastAsia="en-US" w:bidi="ar-SA"/>
      </w:rPr>
    </w:lvl>
    <w:lvl w:ilvl="8">
      <w:start w:val="0"/>
      <w:numFmt w:val="bullet"/>
      <w:lvlText w:val="•"/>
      <w:lvlJc w:val="left"/>
      <w:pPr>
        <w:ind w:left="8253" w:hanging="361"/>
      </w:pPr>
      <w:rPr>
        <w:rFonts w:hint="default"/>
        <w:lang w:val="en-US" w:eastAsia="en-US" w:bidi="ar-SA"/>
      </w:rPr>
    </w:lvl>
  </w:abstractNum>
  <w:abstractNum w:abstractNumId="51">
    <w:multiLevelType w:val="hybridMultilevel"/>
    <w:lvl w:ilvl="0">
      <w:start w:val="0"/>
      <w:numFmt w:val="bullet"/>
      <w:lvlText w:val="•"/>
      <w:lvlJc w:val="left"/>
      <w:pPr>
        <w:ind w:left="590" w:hanging="359"/>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556" w:hanging="359"/>
      </w:pPr>
      <w:rPr>
        <w:rFonts w:hint="default"/>
        <w:lang w:val="en-US" w:eastAsia="en-US" w:bidi="ar-SA"/>
      </w:rPr>
    </w:lvl>
    <w:lvl w:ilvl="2">
      <w:start w:val="0"/>
      <w:numFmt w:val="bullet"/>
      <w:lvlText w:val="•"/>
      <w:lvlJc w:val="left"/>
      <w:pPr>
        <w:ind w:left="2513" w:hanging="359"/>
      </w:pPr>
      <w:rPr>
        <w:rFonts w:hint="default"/>
        <w:lang w:val="en-US" w:eastAsia="en-US" w:bidi="ar-SA"/>
      </w:rPr>
    </w:lvl>
    <w:lvl w:ilvl="3">
      <w:start w:val="0"/>
      <w:numFmt w:val="bullet"/>
      <w:lvlText w:val="•"/>
      <w:lvlJc w:val="left"/>
      <w:pPr>
        <w:ind w:left="3469" w:hanging="359"/>
      </w:pPr>
      <w:rPr>
        <w:rFonts w:hint="default"/>
        <w:lang w:val="en-US" w:eastAsia="en-US" w:bidi="ar-SA"/>
      </w:rPr>
    </w:lvl>
    <w:lvl w:ilvl="4">
      <w:start w:val="0"/>
      <w:numFmt w:val="bullet"/>
      <w:lvlText w:val="•"/>
      <w:lvlJc w:val="left"/>
      <w:pPr>
        <w:ind w:left="4426" w:hanging="359"/>
      </w:pPr>
      <w:rPr>
        <w:rFonts w:hint="default"/>
        <w:lang w:val="en-US" w:eastAsia="en-US" w:bidi="ar-SA"/>
      </w:rPr>
    </w:lvl>
    <w:lvl w:ilvl="5">
      <w:start w:val="0"/>
      <w:numFmt w:val="bullet"/>
      <w:lvlText w:val="•"/>
      <w:lvlJc w:val="left"/>
      <w:pPr>
        <w:ind w:left="5383" w:hanging="359"/>
      </w:pPr>
      <w:rPr>
        <w:rFonts w:hint="default"/>
        <w:lang w:val="en-US" w:eastAsia="en-US" w:bidi="ar-SA"/>
      </w:rPr>
    </w:lvl>
    <w:lvl w:ilvl="6">
      <w:start w:val="0"/>
      <w:numFmt w:val="bullet"/>
      <w:lvlText w:val="•"/>
      <w:lvlJc w:val="left"/>
      <w:pPr>
        <w:ind w:left="6339" w:hanging="359"/>
      </w:pPr>
      <w:rPr>
        <w:rFonts w:hint="default"/>
        <w:lang w:val="en-US" w:eastAsia="en-US" w:bidi="ar-SA"/>
      </w:rPr>
    </w:lvl>
    <w:lvl w:ilvl="7">
      <w:start w:val="0"/>
      <w:numFmt w:val="bullet"/>
      <w:lvlText w:val="•"/>
      <w:lvlJc w:val="left"/>
      <w:pPr>
        <w:ind w:left="7296" w:hanging="359"/>
      </w:pPr>
      <w:rPr>
        <w:rFonts w:hint="default"/>
        <w:lang w:val="en-US" w:eastAsia="en-US" w:bidi="ar-SA"/>
      </w:rPr>
    </w:lvl>
    <w:lvl w:ilvl="8">
      <w:start w:val="0"/>
      <w:numFmt w:val="bullet"/>
      <w:lvlText w:val="•"/>
      <w:lvlJc w:val="left"/>
      <w:pPr>
        <w:ind w:left="8253" w:hanging="359"/>
      </w:pPr>
      <w:rPr>
        <w:rFonts w:hint="default"/>
        <w:lang w:val="en-US" w:eastAsia="en-US" w:bidi="ar-SA"/>
      </w:rPr>
    </w:lvl>
  </w:abstractNum>
  <w:abstractNum w:abstractNumId="50">
    <w:multiLevelType w:val="hybridMultilevel"/>
    <w:lvl w:ilvl="0">
      <w:start w:val="1"/>
      <w:numFmt w:val="decimal"/>
      <w:lvlText w:val="%1."/>
      <w:lvlJc w:val="left"/>
      <w:pPr>
        <w:ind w:left="593" w:hanging="361"/>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1556" w:hanging="361"/>
      </w:pPr>
      <w:rPr>
        <w:rFonts w:hint="default"/>
        <w:lang w:val="en-US" w:eastAsia="en-US" w:bidi="ar-SA"/>
      </w:rPr>
    </w:lvl>
    <w:lvl w:ilvl="2">
      <w:start w:val="0"/>
      <w:numFmt w:val="bullet"/>
      <w:lvlText w:val="•"/>
      <w:lvlJc w:val="left"/>
      <w:pPr>
        <w:ind w:left="2513" w:hanging="361"/>
      </w:pPr>
      <w:rPr>
        <w:rFonts w:hint="default"/>
        <w:lang w:val="en-US" w:eastAsia="en-US" w:bidi="ar-SA"/>
      </w:rPr>
    </w:lvl>
    <w:lvl w:ilvl="3">
      <w:start w:val="0"/>
      <w:numFmt w:val="bullet"/>
      <w:lvlText w:val="•"/>
      <w:lvlJc w:val="left"/>
      <w:pPr>
        <w:ind w:left="3469" w:hanging="361"/>
      </w:pPr>
      <w:rPr>
        <w:rFonts w:hint="default"/>
        <w:lang w:val="en-US" w:eastAsia="en-US" w:bidi="ar-SA"/>
      </w:rPr>
    </w:lvl>
    <w:lvl w:ilvl="4">
      <w:start w:val="0"/>
      <w:numFmt w:val="bullet"/>
      <w:lvlText w:val="•"/>
      <w:lvlJc w:val="left"/>
      <w:pPr>
        <w:ind w:left="4426" w:hanging="361"/>
      </w:pPr>
      <w:rPr>
        <w:rFonts w:hint="default"/>
        <w:lang w:val="en-US" w:eastAsia="en-US" w:bidi="ar-SA"/>
      </w:rPr>
    </w:lvl>
    <w:lvl w:ilvl="5">
      <w:start w:val="0"/>
      <w:numFmt w:val="bullet"/>
      <w:lvlText w:val="•"/>
      <w:lvlJc w:val="left"/>
      <w:pPr>
        <w:ind w:left="5383" w:hanging="361"/>
      </w:pPr>
      <w:rPr>
        <w:rFonts w:hint="default"/>
        <w:lang w:val="en-US" w:eastAsia="en-US" w:bidi="ar-SA"/>
      </w:rPr>
    </w:lvl>
    <w:lvl w:ilvl="6">
      <w:start w:val="0"/>
      <w:numFmt w:val="bullet"/>
      <w:lvlText w:val="•"/>
      <w:lvlJc w:val="left"/>
      <w:pPr>
        <w:ind w:left="6339" w:hanging="361"/>
      </w:pPr>
      <w:rPr>
        <w:rFonts w:hint="default"/>
        <w:lang w:val="en-US" w:eastAsia="en-US" w:bidi="ar-SA"/>
      </w:rPr>
    </w:lvl>
    <w:lvl w:ilvl="7">
      <w:start w:val="0"/>
      <w:numFmt w:val="bullet"/>
      <w:lvlText w:val="•"/>
      <w:lvlJc w:val="left"/>
      <w:pPr>
        <w:ind w:left="7296" w:hanging="361"/>
      </w:pPr>
      <w:rPr>
        <w:rFonts w:hint="default"/>
        <w:lang w:val="en-US" w:eastAsia="en-US" w:bidi="ar-SA"/>
      </w:rPr>
    </w:lvl>
    <w:lvl w:ilvl="8">
      <w:start w:val="0"/>
      <w:numFmt w:val="bullet"/>
      <w:lvlText w:val="•"/>
      <w:lvlJc w:val="left"/>
      <w:pPr>
        <w:ind w:left="8253" w:hanging="361"/>
      </w:pPr>
      <w:rPr>
        <w:rFonts w:hint="default"/>
        <w:lang w:val="en-US" w:eastAsia="en-US" w:bidi="ar-SA"/>
      </w:rPr>
    </w:lvl>
  </w:abstractNum>
  <w:abstractNum w:abstractNumId="49">
    <w:multiLevelType w:val="hybridMultilevel"/>
    <w:lvl w:ilvl="0">
      <w:start w:val="0"/>
      <w:numFmt w:val="bullet"/>
      <w:lvlText w:val="•"/>
      <w:lvlJc w:val="left"/>
      <w:pPr>
        <w:ind w:left="703" w:hanging="359"/>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646" w:hanging="359"/>
      </w:pPr>
      <w:rPr>
        <w:rFonts w:hint="default"/>
        <w:lang w:val="en-US" w:eastAsia="en-US" w:bidi="ar-SA"/>
      </w:rPr>
    </w:lvl>
    <w:lvl w:ilvl="2">
      <w:start w:val="0"/>
      <w:numFmt w:val="bullet"/>
      <w:lvlText w:val="•"/>
      <w:lvlJc w:val="left"/>
      <w:pPr>
        <w:ind w:left="2593" w:hanging="359"/>
      </w:pPr>
      <w:rPr>
        <w:rFonts w:hint="default"/>
        <w:lang w:val="en-US" w:eastAsia="en-US" w:bidi="ar-SA"/>
      </w:rPr>
    </w:lvl>
    <w:lvl w:ilvl="3">
      <w:start w:val="0"/>
      <w:numFmt w:val="bullet"/>
      <w:lvlText w:val="•"/>
      <w:lvlJc w:val="left"/>
      <w:pPr>
        <w:ind w:left="3539" w:hanging="359"/>
      </w:pPr>
      <w:rPr>
        <w:rFonts w:hint="default"/>
        <w:lang w:val="en-US" w:eastAsia="en-US" w:bidi="ar-SA"/>
      </w:rPr>
    </w:lvl>
    <w:lvl w:ilvl="4">
      <w:start w:val="0"/>
      <w:numFmt w:val="bullet"/>
      <w:lvlText w:val="•"/>
      <w:lvlJc w:val="left"/>
      <w:pPr>
        <w:ind w:left="4486" w:hanging="359"/>
      </w:pPr>
      <w:rPr>
        <w:rFonts w:hint="default"/>
        <w:lang w:val="en-US" w:eastAsia="en-US" w:bidi="ar-SA"/>
      </w:rPr>
    </w:lvl>
    <w:lvl w:ilvl="5">
      <w:start w:val="0"/>
      <w:numFmt w:val="bullet"/>
      <w:lvlText w:val="•"/>
      <w:lvlJc w:val="left"/>
      <w:pPr>
        <w:ind w:left="5433" w:hanging="359"/>
      </w:pPr>
      <w:rPr>
        <w:rFonts w:hint="default"/>
        <w:lang w:val="en-US" w:eastAsia="en-US" w:bidi="ar-SA"/>
      </w:rPr>
    </w:lvl>
    <w:lvl w:ilvl="6">
      <w:start w:val="0"/>
      <w:numFmt w:val="bullet"/>
      <w:lvlText w:val="•"/>
      <w:lvlJc w:val="left"/>
      <w:pPr>
        <w:ind w:left="6379" w:hanging="359"/>
      </w:pPr>
      <w:rPr>
        <w:rFonts w:hint="default"/>
        <w:lang w:val="en-US" w:eastAsia="en-US" w:bidi="ar-SA"/>
      </w:rPr>
    </w:lvl>
    <w:lvl w:ilvl="7">
      <w:start w:val="0"/>
      <w:numFmt w:val="bullet"/>
      <w:lvlText w:val="•"/>
      <w:lvlJc w:val="left"/>
      <w:pPr>
        <w:ind w:left="7326" w:hanging="359"/>
      </w:pPr>
      <w:rPr>
        <w:rFonts w:hint="default"/>
        <w:lang w:val="en-US" w:eastAsia="en-US" w:bidi="ar-SA"/>
      </w:rPr>
    </w:lvl>
    <w:lvl w:ilvl="8">
      <w:start w:val="0"/>
      <w:numFmt w:val="bullet"/>
      <w:lvlText w:val="•"/>
      <w:lvlJc w:val="left"/>
      <w:pPr>
        <w:ind w:left="8273" w:hanging="359"/>
      </w:pPr>
      <w:rPr>
        <w:rFonts w:hint="default"/>
        <w:lang w:val="en-US" w:eastAsia="en-US" w:bidi="ar-SA"/>
      </w:rPr>
    </w:lvl>
  </w:abstractNum>
  <w:abstractNum w:abstractNumId="48">
    <w:multiLevelType w:val="hybridMultilevel"/>
    <w:lvl w:ilvl="0">
      <w:start w:val="0"/>
      <w:numFmt w:val="bullet"/>
      <w:lvlText w:val="•"/>
      <w:lvlJc w:val="left"/>
      <w:pPr>
        <w:ind w:left="516" w:hanging="284"/>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484" w:hanging="284"/>
      </w:pPr>
      <w:rPr>
        <w:rFonts w:hint="default"/>
        <w:lang w:val="en-US" w:eastAsia="en-US" w:bidi="ar-SA"/>
      </w:rPr>
    </w:lvl>
    <w:lvl w:ilvl="2">
      <w:start w:val="0"/>
      <w:numFmt w:val="bullet"/>
      <w:lvlText w:val="•"/>
      <w:lvlJc w:val="left"/>
      <w:pPr>
        <w:ind w:left="2449" w:hanging="284"/>
      </w:pPr>
      <w:rPr>
        <w:rFonts w:hint="default"/>
        <w:lang w:val="en-US" w:eastAsia="en-US" w:bidi="ar-SA"/>
      </w:rPr>
    </w:lvl>
    <w:lvl w:ilvl="3">
      <w:start w:val="0"/>
      <w:numFmt w:val="bullet"/>
      <w:lvlText w:val="•"/>
      <w:lvlJc w:val="left"/>
      <w:pPr>
        <w:ind w:left="3413" w:hanging="284"/>
      </w:pPr>
      <w:rPr>
        <w:rFonts w:hint="default"/>
        <w:lang w:val="en-US" w:eastAsia="en-US" w:bidi="ar-SA"/>
      </w:rPr>
    </w:lvl>
    <w:lvl w:ilvl="4">
      <w:start w:val="0"/>
      <w:numFmt w:val="bullet"/>
      <w:lvlText w:val="•"/>
      <w:lvlJc w:val="left"/>
      <w:pPr>
        <w:ind w:left="4378" w:hanging="284"/>
      </w:pPr>
      <w:rPr>
        <w:rFonts w:hint="default"/>
        <w:lang w:val="en-US" w:eastAsia="en-US" w:bidi="ar-SA"/>
      </w:rPr>
    </w:lvl>
    <w:lvl w:ilvl="5">
      <w:start w:val="0"/>
      <w:numFmt w:val="bullet"/>
      <w:lvlText w:val="•"/>
      <w:lvlJc w:val="left"/>
      <w:pPr>
        <w:ind w:left="5343" w:hanging="284"/>
      </w:pPr>
      <w:rPr>
        <w:rFonts w:hint="default"/>
        <w:lang w:val="en-US" w:eastAsia="en-US" w:bidi="ar-SA"/>
      </w:rPr>
    </w:lvl>
    <w:lvl w:ilvl="6">
      <w:start w:val="0"/>
      <w:numFmt w:val="bullet"/>
      <w:lvlText w:val="•"/>
      <w:lvlJc w:val="left"/>
      <w:pPr>
        <w:ind w:left="6307" w:hanging="284"/>
      </w:pPr>
      <w:rPr>
        <w:rFonts w:hint="default"/>
        <w:lang w:val="en-US" w:eastAsia="en-US" w:bidi="ar-SA"/>
      </w:rPr>
    </w:lvl>
    <w:lvl w:ilvl="7">
      <w:start w:val="0"/>
      <w:numFmt w:val="bullet"/>
      <w:lvlText w:val="•"/>
      <w:lvlJc w:val="left"/>
      <w:pPr>
        <w:ind w:left="7272" w:hanging="284"/>
      </w:pPr>
      <w:rPr>
        <w:rFonts w:hint="default"/>
        <w:lang w:val="en-US" w:eastAsia="en-US" w:bidi="ar-SA"/>
      </w:rPr>
    </w:lvl>
    <w:lvl w:ilvl="8">
      <w:start w:val="0"/>
      <w:numFmt w:val="bullet"/>
      <w:lvlText w:val="•"/>
      <w:lvlJc w:val="left"/>
      <w:pPr>
        <w:ind w:left="8237" w:hanging="284"/>
      </w:pPr>
      <w:rPr>
        <w:rFonts w:hint="default"/>
        <w:lang w:val="en-US" w:eastAsia="en-US" w:bidi="ar-SA"/>
      </w:rPr>
    </w:lvl>
  </w:abstractNum>
  <w:abstractNum w:abstractNumId="47">
    <w:multiLevelType w:val="hybridMultilevel"/>
    <w:lvl w:ilvl="0">
      <w:start w:val="0"/>
      <w:numFmt w:val="bullet"/>
      <w:lvlText w:val="•"/>
      <w:lvlJc w:val="left"/>
      <w:pPr>
        <w:ind w:left="850" w:hanging="360"/>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314" w:hanging="360"/>
      </w:pPr>
      <w:rPr>
        <w:rFonts w:hint="default"/>
        <w:lang w:val="en-US" w:eastAsia="en-US" w:bidi="ar-SA"/>
      </w:rPr>
    </w:lvl>
    <w:lvl w:ilvl="2">
      <w:start w:val="0"/>
      <w:numFmt w:val="bullet"/>
      <w:lvlText w:val="•"/>
      <w:lvlJc w:val="left"/>
      <w:pPr>
        <w:ind w:left="1768" w:hanging="360"/>
      </w:pPr>
      <w:rPr>
        <w:rFonts w:hint="default"/>
        <w:lang w:val="en-US" w:eastAsia="en-US" w:bidi="ar-SA"/>
      </w:rPr>
    </w:lvl>
    <w:lvl w:ilvl="3">
      <w:start w:val="0"/>
      <w:numFmt w:val="bullet"/>
      <w:lvlText w:val="•"/>
      <w:lvlJc w:val="left"/>
      <w:pPr>
        <w:ind w:left="2222" w:hanging="360"/>
      </w:pPr>
      <w:rPr>
        <w:rFonts w:hint="default"/>
        <w:lang w:val="en-US" w:eastAsia="en-US" w:bidi="ar-SA"/>
      </w:rPr>
    </w:lvl>
    <w:lvl w:ilvl="4">
      <w:start w:val="0"/>
      <w:numFmt w:val="bullet"/>
      <w:lvlText w:val="•"/>
      <w:lvlJc w:val="left"/>
      <w:pPr>
        <w:ind w:left="2676" w:hanging="360"/>
      </w:pPr>
      <w:rPr>
        <w:rFonts w:hint="default"/>
        <w:lang w:val="en-US" w:eastAsia="en-US" w:bidi="ar-SA"/>
      </w:rPr>
    </w:lvl>
    <w:lvl w:ilvl="5">
      <w:start w:val="0"/>
      <w:numFmt w:val="bullet"/>
      <w:lvlText w:val="•"/>
      <w:lvlJc w:val="left"/>
      <w:pPr>
        <w:ind w:left="3130" w:hanging="360"/>
      </w:pPr>
      <w:rPr>
        <w:rFonts w:hint="default"/>
        <w:lang w:val="en-US" w:eastAsia="en-US" w:bidi="ar-SA"/>
      </w:rPr>
    </w:lvl>
    <w:lvl w:ilvl="6">
      <w:start w:val="0"/>
      <w:numFmt w:val="bullet"/>
      <w:lvlText w:val="•"/>
      <w:lvlJc w:val="left"/>
      <w:pPr>
        <w:ind w:left="3584" w:hanging="360"/>
      </w:pPr>
      <w:rPr>
        <w:rFonts w:hint="default"/>
        <w:lang w:val="en-US" w:eastAsia="en-US" w:bidi="ar-SA"/>
      </w:rPr>
    </w:lvl>
    <w:lvl w:ilvl="7">
      <w:start w:val="0"/>
      <w:numFmt w:val="bullet"/>
      <w:lvlText w:val="•"/>
      <w:lvlJc w:val="left"/>
      <w:pPr>
        <w:ind w:left="4038" w:hanging="360"/>
      </w:pPr>
      <w:rPr>
        <w:rFonts w:hint="default"/>
        <w:lang w:val="en-US" w:eastAsia="en-US" w:bidi="ar-SA"/>
      </w:rPr>
    </w:lvl>
    <w:lvl w:ilvl="8">
      <w:start w:val="0"/>
      <w:numFmt w:val="bullet"/>
      <w:lvlText w:val="•"/>
      <w:lvlJc w:val="left"/>
      <w:pPr>
        <w:ind w:left="4492" w:hanging="360"/>
      </w:pPr>
      <w:rPr>
        <w:rFonts w:hint="default"/>
        <w:lang w:val="en-US" w:eastAsia="en-US" w:bidi="ar-SA"/>
      </w:rPr>
    </w:lvl>
  </w:abstractNum>
  <w:abstractNum w:abstractNumId="46">
    <w:multiLevelType w:val="hybridMultilevel"/>
    <w:lvl w:ilvl="0">
      <w:start w:val="0"/>
      <w:numFmt w:val="bullet"/>
      <w:lvlText w:val="•"/>
      <w:lvlJc w:val="left"/>
      <w:pPr>
        <w:ind w:left="850" w:hanging="360"/>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314" w:hanging="360"/>
      </w:pPr>
      <w:rPr>
        <w:rFonts w:hint="default"/>
        <w:lang w:val="en-US" w:eastAsia="en-US" w:bidi="ar-SA"/>
      </w:rPr>
    </w:lvl>
    <w:lvl w:ilvl="2">
      <w:start w:val="0"/>
      <w:numFmt w:val="bullet"/>
      <w:lvlText w:val="•"/>
      <w:lvlJc w:val="left"/>
      <w:pPr>
        <w:ind w:left="1768" w:hanging="360"/>
      </w:pPr>
      <w:rPr>
        <w:rFonts w:hint="default"/>
        <w:lang w:val="en-US" w:eastAsia="en-US" w:bidi="ar-SA"/>
      </w:rPr>
    </w:lvl>
    <w:lvl w:ilvl="3">
      <w:start w:val="0"/>
      <w:numFmt w:val="bullet"/>
      <w:lvlText w:val="•"/>
      <w:lvlJc w:val="left"/>
      <w:pPr>
        <w:ind w:left="2222" w:hanging="360"/>
      </w:pPr>
      <w:rPr>
        <w:rFonts w:hint="default"/>
        <w:lang w:val="en-US" w:eastAsia="en-US" w:bidi="ar-SA"/>
      </w:rPr>
    </w:lvl>
    <w:lvl w:ilvl="4">
      <w:start w:val="0"/>
      <w:numFmt w:val="bullet"/>
      <w:lvlText w:val="•"/>
      <w:lvlJc w:val="left"/>
      <w:pPr>
        <w:ind w:left="2676" w:hanging="360"/>
      </w:pPr>
      <w:rPr>
        <w:rFonts w:hint="default"/>
        <w:lang w:val="en-US" w:eastAsia="en-US" w:bidi="ar-SA"/>
      </w:rPr>
    </w:lvl>
    <w:lvl w:ilvl="5">
      <w:start w:val="0"/>
      <w:numFmt w:val="bullet"/>
      <w:lvlText w:val="•"/>
      <w:lvlJc w:val="left"/>
      <w:pPr>
        <w:ind w:left="3130" w:hanging="360"/>
      </w:pPr>
      <w:rPr>
        <w:rFonts w:hint="default"/>
        <w:lang w:val="en-US" w:eastAsia="en-US" w:bidi="ar-SA"/>
      </w:rPr>
    </w:lvl>
    <w:lvl w:ilvl="6">
      <w:start w:val="0"/>
      <w:numFmt w:val="bullet"/>
      <w:lvlText w:val="•"/>
      <w:lvlJc w:val="left"/>
      <w:pPr>
        <w:ind w:left="3584" w:hanging="360"/>
      </w:pPr>
      <w:rPr>
        <w:rFonts w:hint="default"/>
        <w:lang w:val="en-US" w:eastAsia="en-US" w:bidi="ar-SA"/>
      </w:rPr>
    </w:lvl>
    <w:lvl w:ilvl="7">
      <w:start w:val="0"/>
      <w:numFmt w:val="bullet"/>
      <w:lvlText w:val="•"/>
      <w:lvlJc w:val="left"/>
      <w:pPr>
        <w:ind w:left="4038" w:hanging="360"/>
      </w:pPr>
      <w:rPr>
        <w:rFonts w:hint="default"/>
        <w:lang w:val="en-US" w:eastAsia="en-US" w:bidi="ar-SA"/>
      </w:rPr>
    </w:lvl>
    <w:lvl w:ilvl="8">
      <w:start w:val="0"/>
      <w:numFmt w:val="bullet"/>
      <w:lvlText w:val="•"/>
      <w:lvlJc w:val="left"/>
      <w:pPr>
        <w:ind w:left="4492" w:hanging="360"/>
      </w:pPr>
      <w:rPr>
        <w:rFonts w:hint="default"/>
        <w:lang w:val="en-US" w:eastAsia="en-US" w:bidi="ar-SA"/>
      </w:rPr>
    </w:lvl>
  </w:abstractNum>
  <w:abstractNum w:abstractNumId="45">
    <w:multiLevelType w:val="hybridMultilevel"/>
    <w:lvl w:ilvl="0">
      <w:start w:val="0"/>
      <w:numFmt w:val="bullet"/>
      <w:lvlText w:val="•"/>
      <w:lvlJc w:val="left"/>
      <w:pPr>
        <w:ind w:left="1102" w:hanging="360"/>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2014" w:hanging="360"/>
      </w:pPr>
      <w:rPr>
        <w:rFonts w:hint="default"/>
        <w:lang w:val="en-US" w:eastAsia="en-US" w:bidi="ar-SA"/>
      </w:rPr>
    </w:lvl>
    <w:lvl w:ilvl="2">
      <w:start w:val="0"/>
      <w:numFmt w:val="bullet"/>
      <w:lvlText w:val="•"/>
      <w:lvlJc w:val="left"/>
      <w:pPr>
        <w:ind w:left="2929" w:hanging="360"/>
      </w:pPr>
      <w:rPr>
        <w:rFonts w:hint="default"/>
        <w:lang w:val="en-US" w:eastAsia="en-US" w:bidi="ar-SA"/>
      </w:rPr>
    </w:lvl>
    <w:lvl w:ilvl="3">
      <w:start w:val="0"/>
      <w:numFmt w:val="bullet"/>
      <w:lvlText w:val="•"/>
      <w:lvlJc w:val="left"/>
      <w:pPr>
        <w:ind w:left="3843" w:hanging="360"/>
      </w:pPr>
      <w:rPr>
        <w:rFonts w:hint="default"/>
        <w:lang w:val="en-US" w:eastAsia="en-US" w:bidi="ar-SA"/>
      </w:rPr>
    </w:lvl>
    <w:lvl w:ilvl="4">
      <w:start w:val="0"/>
      <w:numFmt w:val="bullet"/>
      <w:lvlText w:val="•"/>
      <w:lvlJc w:val="left"/>
      <w:pPr>
        <w:ind w:left="4758" w:hanging="360"/>
      </w:pPr>
      <w:rPr>
        <w:rFonts w:hint="default"/>
        <w:lang w:val="en-US" w:eastAsia="en-US" w:bidi="ar-SA"/>
      </w:rPr>
    </w:lvl>
    <w:lvl w:ilvl="5">
      <w:start w:val="0"/>
      <w:numFmt w:val="bullet"/>
      <w:lvlText w:val="•"/>
      <w:lvlJc w:val="left"/>
      <w:pPr>
        <w:ind w:left="5673" w:hanging="360"/>
      </w:pPr>
      <w:rPr>
        <w:rFonts w:hint="default"/>
        <w:lang w:val="en-US" w:eastAsia="en-US" w:bidi="ar-SA"/>
      </w:rPr>
    </w:lvl>
    <w:lvl w:ilvl="6">
      <w:start w:val="0"/>
      <w:numFmt w:val="bullet"/>
      <w:lvlText w:val="•"/>
      <w:lvlJc w:val="left"/>
      <w:pPr>
        <w:ind w:left="6587" w:hanging="360"/>
      </w:pPr>
      <w:rPr>
        <w:rFonts w:hint="default"/>
        <w:lang w:val="en-US" w:eastAsia="en-US" w:bidi="ar-SA"/>
      </w:rPr>
    </w:lvl>
    <w:lvl w:ilvl="7">
      <w:start w:val="0"/>
      <w:numFmt w:val="bullet"/>
      <w:lvlText w:val="•"/>
      <w:lvlJc w:val="left"/>
      <w:pPr>
        <w:ind w:left="7502" w:hanging="360"/>
      </w:pPr>
      <w:rPr>
        <w:rFonts w:hint="default"/>
        <w:lang w:val="en-US" w:eastAsia="en-US" w:bidi="ar-SA"/>
      </w:rPr>
    </w:lvl>
    <w:lvl w:ilvl="8">
      <w:start w:val="0"/>
      <w:numFmt w:val="bullet"/>
      <w:lvlText w:val="•"/>
      <w:lvlJc w:val="left"/>
      <w:pPr>
        <w:ind w:left="8417" w:hanging="360"/>
      </w:pPr>
      <w:rPr>
        <w:rFonts w:hint="default"/>
        <w:lang w:val="en-US" w:eastAsia="en-US" w:bidi="ar-SA"/>
      </w:rPr>
    </w:lvl>
  </w:abstractNum>
  <w:abstractNum w:abstractNumId="44">
    <w:multiLevelType w:val="hybridMultilevel"/>
    <w:lvl w:ilvl="0">
      <w:start w:val="0"/>
      <w:numFmt w:val="bullet"/>
      <w:lvlText w:val="•"/>
      <w:lvlJc w:val="left"/>
      <w:pPr>
        <w:ind w:left="958" w:hanging="358"/>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888" w:hanging="358"/>
      </w:pPr>
      <w:rPr>
        <w:rFonts w:hint="default"/>
        <w:lang w:val="en-US" w:eastAsia="en-US" w:bidi="ar-SA"/>
      </w:rPr>
    </w:lvl>
    <w:lvl w:ilvl="2">
      <w:start w:val="0"/>
      <w:numFmt w:val="bullet"/>
      <w:lvlText w:val="•"/>
      <w:lvlJc w:val="left"/>
      <w:pPr>
        <w:ind w:left="2817" w:hanging="358"/>
      </w:pPr>
      <w:rPr>
        <w:rFonts w:hint="default"/>
        <w:lang w:val="en-US" w:eastAsia="en-US" w:bidi="ar-SA"/>
      </w:rPr>
    </w:lvl>
    <w:lvl w:ilvl="3">
      <w:start w:val="0"/>
      <w:numFmt w:val="bullet"/>
      <w:lvlText w:val="•"/>
      <w:lvlJc w:val="left"/>
      <w:pPr>
        <w:ind w:left="3745" w:hanging="358"/>
      </w:pPr>
      <w:rPr>
        <w:rFonts w:hint="default"/>
        <w:lang w:val="en-US" w:eastAsia="en-US" w:bidi="ar-SA"/>
      </w:rPr>
    </w:lvl>
    <w:lvl w:ilvl="4">
      <w:start w:val="0"/>
      <w:numFmt w:val="bullet"/>
      <w:lvlText w:val="•"/>
      <w:lvlJc w:val="left"/>
      <w:pPr>
        <w:ind w:left="4674" w:hanging="358"/>
      </w:pPr>
      <w:rPr>
        <w:rFonts w:hint="default"/>
        <w:lang w:val="en-US" w:eastAsia="en-US" w:bidi="ar-SA"/>
      </w:rPr>
    </w:lvl>
    <w:lvl w:ilvl="5">
      <w:start w:val="0"/>
      <w:numFmt w:val="bullet"/>
      <w:lvlText w:val="•"/>
      <w:lvlJc w:val="left"/>
      <w:pPr>
        <w:ind w:left="5603" w:hanging="358"/>
      </w:pPr>
      <w:rPr>
        <w:rFonts w:hint="default"/>
        <w:lang w:val="en-US" w:eastAsia="en-US" w:bidi="ar-SA"/>
      </w:rPr>
    </w:lvl>
    <w:lvl w:ilvl="6">
      <w:start w:val="0"/>
      <w:numFmt w:val="bullet"/>
      <w:lvlText w:val="•"/>
      <w:lvlJc w:val="left"/>
      <w:pPr>
        <w:ind w:left="6531" w:hanging="358"/>
      </w:pPr>
      <w:rPr>
        <w:rFonts w:hint="default"/>
        <w:lang w:val="en-US" w:eastAsia="en-US" w:bidi="ar-SA"/>
      </w:rPr>
    </w:lvl>
    <w:lvl w:ilvl="7">
      <w:start w:val="0"/>
      <w:numFmt w:val="bullet"/>
      <w:lvlText w:val="•"/>
      <w:lvlJc w:val="left"/>
      <w:pPr>
        <w:ind w:left="7460" w:hanging="358"/>
      </w:pPr>
      <w:rPr>
        <w:rFonts w:hint="default"/>
        <w:lang w:val="en-US" w:eastAsia="en-US" w:bidi="ar-SA"/>
      </w:rPr>
    </w:lvl>
    <w:lvl w:ilvl="8">
      <w:start w:val="0"/>
      <w:numFmt w:val="bullet"/>
      <w:lvlText w:val="•"/>
      <w:lvlJc w:val="left"/>
      <w:pPr>
        <w:ind w:left="8389" w:hanging="358"/>
      </w:pPr>
      <w:rPr>
        <w:rFonts w:hint="default"/>
        <w:lang w:val="en-US" w:eastAsia="en-US" w:bidi="ar-SA"/>
      </w:rPr>
    </w:lvl>
  </w:abstractNum>
  <w:abstractNum w:abstractNumId="43">
    <w:multiLevelType w:val="hybridMultilevel"/>
    <w:lvl w:ilvl="0">
      <w:start w:val="0"/>
      <w:numFmt w:val="bullet"/>
      <w:lvlText w:val="•"/>
      <w:lvlJc w:val="left"/>
      <w:pPr>
        <w:ind w:left="427" w:hanging="216"/>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280" w:hanging="216"/>
      </w:pPr>
      <w:rPr>
        <w:rFonts w:hint="default"/>
        <w:lang w:val="en-US" w:eastAsia="en-US" w:bidi="ar-SA"/>
      </w:rPr>
    </w:lvl>
    <w:lvl w:ilvl="2">
      <w:start w:val="0"/>
      <w:numFmt w:val="bullet"/>
      <w:lvlText w:val="•"/>
      <w:lvlJc w:val="left"/>
      <w:pPr>
        <w:ind w:left="2141" w:hanging="216"/>
      </w:pPr>
      <w:rPr>
        <w:rFonts w:hint="default"/>
        <w:lang w:val="en-US" w:eastAsia="en-US" w:bidi="ar-SA"/>
      </w:rPr>
    </w:lvl>
    <w:lvl w:ilvl="3">
      <w:start w:val="0"/>
      <w:numFmt w:val="bullet"/>
      <w:lvlText w:val="•"/>
      <w:lvlJc w:val="left"/>
      <w:pPr>
        <w:ind w:left="3002" w:hanging="216"/>
      </w:pPr>
      <w:rPr>
        <w:rFonts w:hint="default"/>
        <w:lang w:val="en-US" w:eastAsia="en-US" w:bidi="ar-SA"/>
      </w:rPr>
    </w:lvl>
    <w:lvl w:ilvl="4">
      <w:start w:val="0"/>
      <w:numFmt w:val="bullet"/>
      <w:lvlText w:val="•"/>
      <w:lvlJc w:val="left"/>
      <w:pPr>
        <w:ind w:left="3863" w:hanging="216"/>
      </w:pPr>
      <w:rPr>
        <w:rFonts w:hint="default"/>
        <w:lang w:val="en-US" w:eastAsia="en-US" w:bidi="ar-SA"/>
      </w:rPr>
    </w:lvl>
    <w:lvl w:ilvl="5">
      <w:start w:val="0"/>
      <w:numFmt w:val="bullet"/>
      <w:lvlText w:val="•"/>
      <w:lvlJc w:val="left"/>
      <w:pPr>
        <w:ind w:left="4723" w:hanging="216"/>
      </w:pPr>
      <w:rPr>
        <w:rFonts w:hint="default"/>
        <w:lang w:val="en-US" w:eastAsia="en-US" w:bidi="ar-SA"/>
      </w:rPr>
    </w:lvl>
    <w:lvl w:ilvl="6">
      <w:start w:val="0"/>
      <w:numFmt w:val="bullet"/>
      <w:lvlText w:val="•"/>
      <w:lvlJc w:val="left"/>
      <w:pPr>
        <w:ind w:left="5584" w:hanging="216"/>
      </w:pPr>
      <w:rPr>
        <w:rFonts w:hint="default"/>
        <w:lang w:val="en-US" w:eastAsia="en-US" w:bidi="ar-SA"/>
      </w:rPr>
    </w:lvl>
    <w:lvl w:ilvl="7">
      <w:start w:val="0"/>
      <w:numFmt w:val="bullet"/>
      <w:lvlText w:val="•"/>
      <w:lvlJc w:val="left"/>
      <w:pPr>
        <w:ind w:left="6445" w:hanging="216"/>
      </w:pPr>
      <w:rPr>
        <w:rFonts w:hint="default"/>
        <w:lang w:val="en-US" w:eastAsia="en-US" w:bidi="ar-SA"/>
      </w:rPr>
    </w:lvl>
    <w:lvl w:ilvl="8">
      <w:start w:val="0"/>
      <w:numFmt w:val="bullet"/>
      <w:lvlText w:val="•"/>
      <w:lvlJc w:val="left"/>
      <w:pPr>
        <w:ind w:left="7306" w:hanging="216"/>
      </w:pPr>
      <w:rPr>
        <w:rFonts w:hint="default"/>
        <w:lang w:val="en-US" w:eastAsia="en-US" w:bidi="ar-SA"/>
      </w:rPr>
    </w:lvl>
  </w:abstractNum>
  <w:abstractNum w:abstractNumId="42">
    <w:multiLevelType w:val="hybridMultilevel"/>
    <w:lvl w:ilvl="0">
      <w:start w:val="0"/>
      <w:numFmt w:val="bullet"/>
      <w:lvlText w:val="•"/>
      <w:lvlJc w:val="left"/>
      <w:pPr>
        <w:ind w:left="1102" w:hanging="360"/>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2014" w:hanging="360"/>
      </w:pPr>
      <w:rPr>
        <w:rFonts w:hint="default"/>
        <w:lang w:val="en-US" w:eastAsia="en-US" w:bidi="ar-SA"/>
      </w:rPr>
    </w:lvl>
    <w:lvl w:ilvl="2">
      <w:start w:val="0"/>
      <w:numFmt w:val="bullet"/>
      <w:lvlText w:val="•"/>
      <w:lvlJc w:val="left"/>
      <w:pPr>
        <w:ind w:left="2929" w:hanging="360"/>
      </w:pPr>
      <w:rPr>
        <w:rFonts w:hint="default"/>
        <w:lang w:val="en-US" w:eastAsia="en-US" w:bidi="ar-SA"/>
      </w:rPr>
    </w:lvl>
    <w:lvl w:ilvl="3">
      <w:start w:val="0"/>
      <w:numFmt w:val="bullet"/>
      <w:lvlText w:val="•"/>
      <w:lvlJc w:val="left"/>
      <w:pPr>
        <w:ind w:left="3843" w:hanging="360"/>
      </w:pPr>
      <w:rPr>
        <w:rFonts w:hint="default"/>
        <w:lang w:val="en-US" w:eastAsia="en-US" w:bidi="ar-SA"/>
      </w:rPr>
    </w:lvl>
    <w:lvl w:ilvl="4">
      <w:start w:val="0"/>
      <w:numFmt w:val="bullet"/>
      <w:lvlText w:val="•"/>
      <w:lvlJc w:val="left"/>
      <w:pPr>
        <w:ind w:left="4758" w:hanging="360"/>
      </w:pPr>
      <w:rPr>
        <w:rFonts w:hint="default"/>
        <w:lang w:val="en-US" w:eastAsia="en-US" w:bidi="ar-SA"/>
      </w:rPr>
    </w:lvl>
    <w:lvl w:ilvl="5">
      <w:start w:val="0"/>
      <w:numFmt w:val="bullet"/>
      <w:lvlText w:val="•"/>
      <w:lvlJc w:val="left"/>
      <w:pPr>
        <w:ind w:left="5673" w:hanging="360"/>
      </w:pPr>
      <w:rPr>
        <w:rFonts w:hint="default"/>
        <w:lang w:val="en-US" w:eastAsia="en-US" w:bidi="ar-SA"/>
      </w:rPr>
    </w:lvl>
    <w:lvl w:ilvl="6">
      <w:start w:val="0"/>
      <w:numFmt w:val="bullet"/>
      <w:lvlText w:val="•"/>
      <w:lvlJc w:val="left"/>
      <w:pPr>
        <w:ind w:left="6587" w:hanging="360"/>
      </w:pPr>
      <w:rPr>
        <w:rFonts w:hint="default"/>
        <w:lang w:val="en-US" w:eastAsia="en-US" w:bidi="ar-SA"/>
      </w:rPr>
    </w:lvl>
    <w:lvl w:ilvl="7">
      <w:start w:val="0"/>
      <w:numFmt w:val="bullet"/>
      <w:lvlText w:val="•"/>
      <w:lvlJc w:val="left"/>
      <w:pPr>
        <w:ind w:left="7502" w:hanging="360"/>
      </w:pPr>
      <w:rPr>
        <w:rFonts w:hint="default"/>
        <w:lang w:val="en-US" w:eastAsia="en-US" w:bidi="ar-SA"/>
      </w:rPr>
    </w:lvl>
    <w:lvl w:ilvl="8">
      <w:start w:val="0"/>
      <w:numFmt w:val="bullet"/>
      <w:lvlText w:val="•"/>
      <w:lvlJc w:val="left"/>
      <w:pPr>
        <w:ind w:left="8417" w:hanging="360"/>
      </w:pPr>
      <w:rPr>
        <w:rFonts w:hint="default"/>
        <w:lang w:val="en-US" w:eastAsia="en-US" w:bidi="ar-SA"/>
      </w:rPr>
    </w:lvl>
  </w:abstractNum>
  <w:abstractNum w:abstractNumId="41">
    <w:multiLevelType w:val="hybridMultilevel"/>
    <w:lvl w:ilvl="0">
      <w:start w:val="0"/>
      <w:numFmt w:val="bullet"/>
      <w:lvlText w:val="•"/>
      <w:lvlJc w:val="left"/>
      <w:pPr>
        <w:ind w:left="472" w:hanging="360"/>
      </w:pPr>
      <w:rPr>
        <w:rFonts w:hint="default" w:ascii="Arial" w:hAnsi="Arial" w:eastAsia="Arial" w:cs="Arial"/>
        <w:b w:val="0"/>
        <w:bCs w:val="0"/>
        <w:i w:val="0"/>
        <w:iCs w:val="0"/>
        <w:spacing w:val="0"/>
        <w:w w:val="131"/>
        <w:sz w:val="19"/>
        <w:szCs w:val="19"/>
        <w:lang w:val="en-US" w:eastAsia="en-US" w:bidi="ar-SA"/>
      </w:rPr>
    </w:lvl>
    <w:lvl w:ilvl="1">
      <w:start w:val="0"/>
      <w:numFmt w:val="bullet"/>
      <w:lvlText w:val="•"/>
      <w:lvlJc w:val="left"/>
      <w:pPr>
        <w:ind w:left="885" w:hanging="360"/>
      </w:pPr>
      <w:rPr>
        <w:rFonts w:hint="default"/>
        <w:lang w:val="en-US" w:eastAsia="en-US" w:bidi="ar-SA"/>
      </w:rPr>
    </w:lvl>
    <w:lvl w:ilvl="2">
      <w:start w:val="0"/>
      <w:numFmt w:val="bullet"/>
      <w:lvlText w:val="•"/>
      <w:lvlJc w:val="left"/>
      <w:pPr>
        <w:ind w:left="1290" w:hanging="360"/>
      </w:pPr>
      <w:rPr>
        <w:rFonts w:hint="default"/>
        <w:lang w:val="en-US" w:eastAsia="en-US" w:bidi="ar-SA"/>
      </w:rPr>
    </w:lvl>
    <w:lvl w:ilvl="3">
      <w:start w:val="0"/>
      <w:numFmt w:val="bullet"/>
      <w:lvlText w:val="•"/>
      <w:lvlJc w:val="left"/>
      <w:pPr>
        <w:ind w:left="1695" w:hanging="360"/>
      </w:pPr>
      <w:rPr>
        <w:rFonts w:hint="default"/>
        <w:lang w:val="en-US" w:eastAsia="en-US" w:bidi="ar-SA"/>
      </w:rPr>
    </w:lvl>
    <w:lvl w:ilvl="4">
      <w:start w:val="0"/>
      <w:numFmt w:val="bullet"/>
      <w:lvlText w:val="•"/>
      <w:lvlJc w:val="left"/>
      <w:pPr>
        <w:ind w:left="2100" w:hanging="360"/>
      </w:pPr>
      <w:rPr>
        <w:rFonts w:hint="default"/>
        <w:lang w:val="en-US" w:eastAsia="en-US" w:bidi="ar-SA"/>
      </w:rPr>
    </w:lvl>
    <w:lvl w:ilvl="5">
      <w:start w:val="0"/>
      <w:numFmt w:val="bullet"/>
      <w:lvlText w:val="•"/>
      <w:lvlJc w:val="left"/>
      <w:pPr>
        <w:ind w:left="2506" w:hanging="360"/>
      </w:pPr>
      <w:rPr>
        <w:rFonts w:hint="default"/>
        <w:lang w:val="en-US" w:eastAsia="en-US" w:bidi="ar-SA"/>
      </w:rPr>
    </w:lvl>
    <w:lvl w:ilvl="6">
      <w:start w:val="0"/>
      <w:numFmt w:val="bullet"/>
      <w:lvlText w:val="•"/>
      <w:lvlJc w:val="left"/>
      <w:pPr>
        <w:ind w:left="2911" w:hanging="360"/>
      </w:pPr>
      <w:rPr>
        <w:rFonts w:hint="default"/>
        <w:lang w:val="en-US" w:eastAsia="en-US" w:bidi="ar-SA"/>
      </w:rPr>
    </w:lvl>
    <w:lvl w:ilvl="7">
      <w:start w:val="0"/>
      <w:numFmt w:val="bullet"/>
      <w:lvlText w:val="•"/>
      <w:lvlJc w:val="left"/>
      <w:pPr>
        <w:ind w:left="3316" w:hanging="360"/>
      </w:pPr>
      <w:rPr>
        <w:rFonts w:hint="default"/>
        <w:lang w:val="en-US" w:eastAsia="en-US" w:bidi="ar-SA"/>
      </w:rPr>
    </w:lvl>
    <w:lvl w:ilvl="8">
      <w:start w:val="0"/>
      <w:numFmt w:val="bullet"/>
      <w:lvlText w:val="•"/>
      <w:lvlJc w:val="left"/>
      <w:pPr>
        <w:ind w:left="3721" w:hanging="360"/>
      </w:pPr>
      <w:rPr>
        <w:rFonts w:hint="default"/>
        <w:lang w:val="en-US" w:eastAsia="en-US" w:bidi="ar-SA"/>
      </w:rPr>
    </w:lvl>
  </w:abstractNum>
  <w:abstractNum w:abstractNumId="40">
    <w:multiLevelType w:val="hybridMultilevel"/>
    <w:lvl w:ilvl="0">
      <w:start w:val="0"/>
      <w:numFmt w:val="bullet"/>
      <w:lvlText w:val="•"/>
      <w:lvlJc w:val="left"/>
      <w:pPr>
        <w:ind w:left="609" w:hanging="360"/>
      </w:pPr>
      <w:rPr>
        <w:rFonts w:hint="default" w:ascii="Arial" w:hAnsi="Arial" w:eastAsia="Arial" w:cs="Arial"/>
        <w:b w:val="0"/>
        <w:bCs w:val="0"/>
        <w:i w:val="0"/>
        <w:iCs w:val="0"/>
        <w:spacing w:val="0"/>
        <w:w w:val="131"/>
        <w:sz w:val="19"/>
        <w:szCs w:val="19"/>
        <w:lang w:val="en-US" w:eastAsia="en-US" w:bidi="ar-SA"/>
      </w:rPr>
    </w:lvl>
    <w:lvl w:ilvl="1">
      <w:start w:val="0"/>
      <w:numFmt w:val="bullet"/>
      <w:lvlText w:val="•"/>
      <w:lvlJc w:val="left"/>
      <w:pPr>
        <w:ind w:left="975" w:hanging="360"/>
      </w:pPr>
      <w:rPr>
        <w:rFonts w:hint="default"/>
        <w:lang w:val="en-US" w:eastAsia="en-US" w:bidi="ar-SA"/>
      </w:rPr>
    </w:lvl>
    <w:lvl w:ilvl="2">
      <w:start w:val="0"/>
      <w:numFmt w:val="bullet"/>
      <w:lvlText w:val="•"/>
      <w:lvlJc w:val="left"/>
      <w:pPr>
        <w:ind w:left="1351" w:hanging="360"/>
      </w:pPr>
      <w:rPr>
        <w:rFonts w:hint="default"/>
        <w:lang w:val="en-US" w:eastAsia="en-US" w:bidi="ar-SA"/>
      </w:rPr>
    </w:lvl>
    <w:lvl w:ilvl="3">
      <w:start w:val="0"/>
      <w:numFmt w:val="bullet"/>
      <w:lvlText w:val="•"/>
      <w:lvlJc w:val="left"/>
      <w:pPr>
        <w:ind w:left="1727" w:hanging="360"/>
      </w:pPr>
      <w:rPr>
        <w:rFonts w:hint="default"/>
        <w:lang w:val="en-US" w:eastAsia="en-US" w:bidi="ar-SA"/>
      </w:rPr>
    </w:lvl>
    <w:lvl w:ilvl="4">
      <w:start w:val="0"/>
      <w:numFmt w:val="bullet"/>
      <w:lvlText w:val="•"/>
      <w:lvlJc w:val="left"/>
      <w:pPr>
        <w:ind w:left="2102" w:hanging="360"/>
      </w:pPr>
      <w:rPr>
        <w:rFonts w:hint="default"/>
        <w:lang w:val="en-US" w:eastAsia="en-US" w:bidi="ar-SA"/>
      </w:rPr>
    </w:lvl>
    <w:lvl w:ilvl="5">
      <w:start w:val="0"/>
      <w:numFmt w:val="bullet"/>
      <w:lvlText w:val="•"/>
      <w:lvlJc w:val="left"/>
      <w:pPr>
        <w:ind w:left="2478" w:hanging="360"/>
      </w:pPr>
      <w:rPr>
        <w:rFonts w:hint="default"/>
        <w:lang w:val="en-US" w:eastAsia="en-US" w:bidi="ar-SA"/>
      </w:rPr>
    </w:lvl>
    <w:lvl w:ilvl="6">
      <w:start w:val="0"/>
      <w:numFmt w:val="bullet"/>
      <w:lvlText w:val="•"/>
      <w:lvlJc w:val="left"/>
      <w:pPr>
        <w:ind w:left="2854" w:hanging="360"/>
      </w:pPr>
      <w:rPr>
        <w:rFonts w:hint="default"/>
        <w:lang w:val="en-US" w:eastAsia="en-US" w:bidi="ar-SA"/>
      </w:rPr>
    </w:lvl>
    <w:lvl w:ilvl="7">
      <w:start w:val="0"/>
      <w:numFmt w:val="bullet"/>
      <w:lvlText w:val="•"/>
      <w:lvlJc w:val="left"/>
      <w:pPr>
        <w:ind w:left="3229" w:hanging="360"/>
      </w:pPr>
      <w:rPr>
        <w:rFonts w:hint="default"/>
        <w:lang w:val="en-US" w:eastAsia="en-US" w:bidi="ar-SA"/>
      </w:rPr>
    </w:lvl>
    <w:lvl w:ilvl="8">
      <w:start w:val="0"/>
      <w:numFmt w:val="bullet"/>
      <w:lvlText w:val="•"/>
      <w:lvlJc w:val="left"/>
      <w:pPr>
        <w:ind w:left="3605" w:hanging="360"/>
      </w:pPr>
      <w:rPr>
        <w:rFonts w:hint="default"/>
        <w:lang w:val="en-US" w:eastAsia="en-US" w:bidi="ar-SA"/>
      </w:rPr>
    </w:lvl>
  </w:abstractNum>
  <w:abstractNum w:abstractNumId="39">
    <w:multiLevelType w:val="hybridMultilevel"/>
    <w:lvl w:ilvl="0">
      <w:start w:val="0"/>
      <w:numFmt w:val="bullet"/>
      <w:lvlText w:val="•"/>
      <w:lvlJc w:val="left"/>
      <w:pPr>
        <w:ind w:left="1102" w:hanging="219"/>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2014" w:hanging="219"/>
      </w:pPr>
      <w:rPr>
        <w:rFonts w:hint="default"/>
        <w:lang w:val="en-US" w:eastAsia="en-US" w:bidi="ar-SA"/>
      </w:rPr>
    </w:lvl>
    <w:lvl w:ilvl="2">
      <w:start w:val="0"/>
      <w:numFmt w:val="bullet"/>
      <w:lvlText w:val="•"/>
      <w:lvlJc w:val="left"/>
      <w:pPr>
        <w:ind w:left="2929" w:hanging="219"/>
      </w:pPr>
      <w:rPr>
        <w:rFonts w:hint="default"/>
        <w:lang w:val="en-US" w:eastAsia="en-US" w:bidi="ar-SA"/>
      </w:rPr>
    </w:lvl>
    <w:lvl w:ilvl="3">
      <w:start w:val="0"/>
      <w:numFmt w:val="bullet"/>
      <w:lvlText w:val="•"/>
      <w:lvlJc w:val="left"/>
      <w:pPr>
        <w:ind w:left="3843" w:hanging="219"/>
      </w:pPr>
      <w:rPr>
        <w:rFonts w:hint="default"/>
        <w:lang w:val="en-US" w:eastAsia="en-US" w:bidi="ar-SA"/>
      </w:rPr>
    </w:lvl>
    <w:lvl w:ilvl="4">
      <w:start w:val="0"/>
      <w:numFmt w:val="bullet"/>
      <w:lvlText w:val="•"/>
      <w:lvlJc w:val="left"/>
      <w:pPr>
        <w:ind w:left="4758" w:hanging="219"/>
      </w:pPr>
      <w:rPr>
        <w:rFonts w:hint="default"/>
        <w:lang w:val="en-US" w:eastAsia="en-US" w:bidi="ar-SA"/>
      </w:rPr>
    </w:lvl>
    <w:lvl w:ilvl="5">
      <w:start w:val="0"/>
      <w:numFmt w:val="bullet"/>
      <w:lvlText w:val="•"/>
      <w:lvlJc w:val="left"/>
      <w:pPr>
        <w:ind w:left="5673" w:hanging="219"/>
      </w:pPr>
      <w:rPr>
        <w:rFonts w:hint="default"/>
        <w:lang w:val="en-US" w:eastAsia="en-US" w:bidi="ar-SA"/>
      </w:rPr>
    </w:lvl>
    <w:lvl w:ilvl="6">
      <w:start w:val="0"/>
      <w:numFmt w:val="bullet"/>
      <w:lvlText w:val="•"/>
      <w:lvlJc w:val="left"/>
      <w:pPr>
        <w:ind w:left="6587" w:hanging="219"/>
      </w:pPr>
      <w:rPr>
        <w:rFonts w:hint="default"/>
        <w:lang w:val="en-US" w:eastAsia="en-US" w:bidi="ar-SA"/>
      </w:rPr>
    </w:lvl>
    <w:lvl w:ilvl="7">
      <w:start w:val="0"/>
      <w:numFmt w:val="bullet"/>
      <w:lvlText w:val="•"/>
      <w:lvlJc w:val="left"/>
      <w:pPr>
        <w:ind w:left="7502" w:hanging="219"/>
      </w:pPr>
      <w:rPr>
        <w:rFonts w:hint="default"/>
        <w:lang w:val="en-US" w:eastAsia="en-US" w:bidi="ar-SA"/>
      </w:rPr>
    </w:lvl>
    <w:lvl w:ilvl="8">
      <w:start w:val="0"/>
      <w:numFmt w:val="bullet"/>
      <w:lvlText w:val="•"/>
      <w:lvlJc w:val="left"/>
      <w:pPr>
        <w:ind w:left="8417" w:hanging="219"/>
      </w:pPr>
      <w:rPr>
        <w:rFonts w:hint="default"/>
        <w:lang w:val="en-US" w:eastAsia="en-US" w:bidi="ar-SA"/>
      </w:rPr>
    </w:lvl>
  </w:abstractNum>
  <w:abstractNum w:abstractNumId="38">
    <w:multiLevelType w:val="hybridMultilevel"/>
    <w:lvl w:ilvl="0">
      <w:start w:val="0"/>
      <w:numFmt w:val="bullet"/>
      <w:lvlText w:val="-"/>
      <w:lvlJc w:val="left"/>
      <w:pPr>
        <w:ind w:left="1452" w:hanging="286"/>
      </w:pPr>
      <w:rPr>
        <w:rFonts w:hint="default" w:ascii="Courier New" w:hAnsi="Courier New" w:eastAsia="Courier New" w:cs="Courier New"/>
        <w:b w:val="0"/>
        <w:bCs w:val="0"/>
        <w:i w:val="0"/>
        <w:iCs w:val="0"/>
        <w:spacing w:val="0"/>
        <w:w w:val="100"/>
        <w:sz w:val="22"/>
        <w:szCs w:val="22"/>
        <w:lang w:val="en-US" w:eastAsia="en-US" w:bidi="ar-SA"/>
      </w:rPr>
    </w:lvl>
    <w:lvl w:ilvl="1">
      <w:start w:val="0"/>
      <w:numFmt w:val="bullet"/>
      <w:lvlText w:val="•"/>
      <w:lvlJc w:val="left"/>
      <w:pPr>
        <w:ind w:left="2338" w:hanging="286"/>
      </w:pPr>
      <w:rPr>
        <w:rFonts w:hint="default"/>
        <w:lang w:val="en-US" w:eastAsia="en-US" w:bidi="ar-SA"/>
      </w:rPr>
    </w:lvl>
    <w:lvl w:ilvl="2">
      <w:start w:val="0"/>
      <w:numFmt w:val="bullet"/>
      <w:lvlText w:val="•"/>
      <w:lvlJc w:val="left"/>
      <w:pPr>
        <w:ind w:left="3217" w:hanging="286"/>
      </w:pPr>
      <w:rPr>
        <w:rFonts w:hint="default"/>
        <w:lang w:val="en-US" w:eastAsia="en-US" w:bidi="ar-SA"/>
      </w:rPr>
    </w:lvl>
    <w:lvl w:ilvl="3">
      <w:start w:val="0"/>
      <w:numFmt w:val="bullet"/>
      <w:lvlText w:val="•"/>
      <w:lvlJc w:val="left"/>
      <w:pPr>
        <w:ind w:left="4095" w:hanging="286"/>
      </w:pPr>
      <w:rPr>
        <w:rFonts w:hint="default"/>
        <w:lang w:val="en-US" w:eastAsia="en-US" w:bidi="ar-SA"/>
      </w:rPr>
    </w:lvl>
    <w:lvl w:ilvl="4">
      <w:start w:val="0"/>
      <w:numFmt w:val="bullet"/>
      <w:lvlText w:val="•"/>
      <w:lvlJc w:val="left"/>
      <w:pPr>
        <w:ind w:left="4974" w:hanging="286"/>
      </w:pPr>
      <w:rPr>
        <w:rFonts w:hint="default"/>
        <w:lang w:val="en-US" w:eastAsia="en-US" w:bidi="ar-SA"/>
      </w:rPr>
    </w:lvl>
    <w:lvl w:ilvl="5">
      <w:start w:val="0"/>
      <w:numFmt w:val="bullet"/>
      <w:lvlText w:val="•"/>
      <w:lvlJc w:val="left"/>
      <w:pPr>
        <w:ind w:left="5853" w:hanging="286"/>
      </w:pPr>
      <w:rPr>
        <w:rFonts w:hint="default"/>
        <w:lang w:val="en-US" w:eastAsia="en-US" w:bidi="ar-SA"/>
      </w:rPr>
    </w:lvl>
    <w:lvl w:ilvl="6">
      <w:start w:val="0"/>
      <w:numFmt w:val="bullet"/>
      <w:lvlText w:val="•"/>
      <w:lvlJc w:val="left"/>
      <w:pPr>
        <w:ind w:left="6731" w:hanging="286"/>
      </w:pPr>
      <w:rPr>
        <w:rFonts w:hint="default"/>
        <w:lang w:val="en-US" w:eastAsia="en-US" w:bidi="ar-SA"/>
      </w:rPr>
    </w:lvl>
    <w:lvl w:ilvl="7">
      <w:start w:val="0"/>
      <w:numFmt w:val="bullet"/>
      <w:lvlText w:val="•"/>
      <w:lvlJc w:val="left"/>
      <w:pPr>
        <w:ind w:left="7610" w:hanging="286"/>
      </w:pPr>
      <w:rPr>
        <w:rFonts w:hint="default"/>
        <w:lang w:val="en-US" w:eastAsia="en-US" w:bidi="ar-SA"/>
      </w:rPr>
    </w:lvl>
    <w:lvl w:ilvl="8">
      <w:start w:val="0"/>
      <w:numFmt w:val="bullet"/>
      <w:lvlText w:val="•"/>
      <w:lvlJc w:val="left"/>
      <w:pPr>
        <w:ind w:left="8489" w:hanging="286"/>
      </w:pPr>
      <w:rPr>
        <w:rFonts w:hint="default"/>
        <w:lang w:val="en-US" w:eastAsia="en-US" w:bidi="ar-SA"/>
      </w:rPr>
    </w:lvl>
  </w:abstractNum>
  <w:abstractNum w:abstractNumId="37">
    <w:multiLevelType w:val="hybridMultilevel"/>
    <w:lvl w:ilvl="0">
      <w:start w:val="0"/>
      <w:numFmt w:val="bullet"/>
      <w:lvlText w:val="•"/>
      <w:lvlJc w:val="left"/>
      <w:pPr>
        <w:ind w:left="958" w:hanging="358"/>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888" w:hanging="358"/>
      </w:pPr>
      <w:rPr>
        <w:rFonts w:hint="default"/>
        <w:lang w:val="en-US" w:eastAsia="en-US" w:bidi="ar-SA"/>
      </w:rPr>
    </w:lvl>
    <w:lvl w:ilvl="2">
      <w:start w:val="0"/>
      <w:numFmt w:val="bullet"/>
      <w:lvlText w:val="•"/>
      <w:lvlJc w:val="left"/>
      <w:pPr>
        <w:ind w:left="2817" w:hanging="358"/>
      </w:pPr>
      <w:rPr>
        <w:rFonts w:hint="default"/>
        <w:lang w:val="en-US" w:eastAsia="en-US" w:bidi="ar-SA"/>
      </w:rPr>
    </w:lvl>
    <w:lvl w:ilvl="3">
      <w:start w:val="0"/>
      <w:numFmt w:val="bullet"/>
      <w:lvlText w:val="•"/>
      <w:lvlJc w:val="left"/>
      <w:pPr>
        <w:ind w:left="3745" w:hanging="358"/>
      </w:pPr>
      <w:rPr>
        <w:rFonts w:hint="default"/>
        <w:lang w:val="en-US" w:eastAsia="en-US" w:bidi="ar-SA"/>
      </w:rPr>
    </w:lvl>
    <w:lvl w:ilvl="4">
      <w:start w:val="0"/>
      <w:numFmt w:val="bullet"/>
      <w:lvlText w:val="•"/>
      <w:lvlJc w:val="left"/>
      <w:pPr>
        <w:ind w:left="4674" w:hanging="358"/>
      </w:pPr>
      <w:rPr>
        <w:rFonts w:hint="default"/>
        <w:lang w:val="en-US" w:eastAsia="en-US" w:bidi="ar-SA"/>
      </w:rPr>
    </w:lvl>
    <w:lvl w:ilvl="5">
      <w:start w:val="0"/>
      <w:numFmt w:val="bullet"/>
      <w:lvlText w:val="•"/>
      <w:lvlJc w:val="left"/>
      <w:pPr>
        <w:ind w:left="5603" w:hanging="358"/>
      </w:pPr>
      <w:rPr>
        <w:rFonts w:hint="default"/>
        <w:lang w:val="en-US" w:eastAsia="en-US" w:bidi="ar-SA"/>
      </w:rPr>
    </w:lvl>
    <w:lvl w:ilvl="6">
      <w:start w:val="0"/>
      <w:numFmt w:val="bullet"/>
      <w:lvlText w:val="•"/>
      <w:lvlJc w:val="left"/>
      <w:pPr>
        <w:ind w:left="6531" w:hanging="358"/>
      </w:pPr>
      <w:rPr>
        <w:rFonts w:hint="default"/>
        <w:lang w:val="en-US" w:eastAsia="en-US" w:bidi="ar-SA"/>
      </w:rPr>
    </w:lvl>
    <w:lvl w:ilvl="7">
      <w:start w:val="0"/>
      <w:numFmt w:val="bullet"/>
      <w:lvlText w:val="•"/>
      <w:lvlJc w:val="left"/>
      <w:pPr>
        <w:ind w:left="7460" w:hanging="358"/>
      </w:pPr>
      <w:rPr>
        <w:rFonts w:hint="default"/>
        <w:lang w:val="en-US" w:eastAsia="en-US" w:bidi="ar-SA"/>
      </w:rPr>
    </w:lvl>
    <w:lvl w:ilvl="8">
      <w:start w:val="0"/>
      <w:numFmt w:val="bullet"/>
      <w:lvlText w:val="•"/>
      <w:lvlJc w:val="left"/>
      <w:pPr>
        <w:ind w:left="8389" w:hanging="358"/>
      </w:pPr>
      <w:rPr>
        <w:rFonts w:hint="default"/>
        <w:lang w:val="en-US" w:eastAsia="en-US" w:bidi="ar-SA"/>
      </w:rPr>
    </w:lvl>
  </w:abstractNum>
  <w:abstractNum w:abstractNumId="36">
    <w:multiLevelType w:val="hybridMultilevel"/>
    <w:lvl w:ilvl="0">
      <w:start w:val="0"/>
      <w:numFmt w:val="bullet"/>
      <w:lvlText w:val="•"/>
      <w:lvlJc w:val="left"/>
      <w:pPr>
        <w:ind w:left="357" w:hanging="216"/>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226" w:hanging="216"/>
      </w:pPr>
      <w:rPr>
        <w:rFonts w:hint="default"/>
        <w:lang w:val="en-US" w:eastAsia="en-US" w:bidi="ar-SA"/>
      </w:rPr>
    </w:lvl>
    <w:lvl w:ilvl="2">
      <w:start w:val="0"/>
      <w:numFmt w:val="bullet"/>
      <w:lvlText w:val="•"/>
      <w:lvlJc w:val="left"/>
      <w:pPr>
        <w:ind w:left="2093" w:hanging="216"/>
      </w:pPr>
      <w:rPr>
        <w:rFonts w:hint="default"/>
        <w:lang w:val="en-US" w:eastAsia="en-US" w:bidi="ar-SA"/>
      </w:rPr>
    </w:lvl>
    <w:lvl w:ilvl="3">
      <w:start w:val="0"/>
      <w:numFmt w:val="bullet"/>
      <w:lvlText w:val="•"/>
      <w:lvlJc w:val="left"/>
      <w:pPr>
        <w:ind w:left="2960" w:hanging="216"/>
      </w:pPr>
      <w:rPr>
        <w:rFonts w:hint="default"/>
        <w:lang w:val="en-US" w:eastAsia="en-US" w:bidi="ar-SA"/>
      </w:rPr>
    </w:lvl>
    <w:lvl w:ilvl="4">
      <w:start w:val="0"/>
      <w:numFmt w:val="bullet"/>
      <w:lvlText w:val="•"/>
      <w:lvlJc w:val="left"/>
      <w:pPr>
        <w:ind w:left="3827" w:hanging="216"/>
      </w:pPr>
      <w:rPr>
        <w:rFonts w:hint="default"/>
        <w:lang w:val="en-US" w:eastAsia="en-US" w:bidi="ar-SA"/>
      </w:rPr>
    </w:lvl>
    <w:lvl w:ilvl="5">
      <w:start w:val="0"/>
      <w:numFmt w:val="bullet"/>
      <w:lvlText w:val="•"/>
      <w:lvlJc w:val="left"/>
      <w:pPr>
        <w:ind w:left="4693" w:hanging="216"/>
      </w:pPr>
      <w:rPr>
        <w:rFonts w:hint="default"/>
        <w:lang w:val="en-US" w:eastAsia="en-US" w:bidi="ar-SA"/>
      </w:rPr>
    </w:lvl>
    <w:lvl w:ilvl="6">
      <w:start w:val="0"/>
      <w:numFmt w:val="bullet"/>
      <w:lvlText w:val="•"/>
      <w:lvlJc w:val="left"/>
      <w:pPr>
        <w:ind w:left="5560" w:hanging="216"/>
      </w:pPr>
      <w:rPr>
        <w:rFonts w:hint="default"/>
        <w:lang w:val="en-US" w:eastAsia="en-US" w:bidi="ar-SA"/>
      </w:rPr>
    </w:lvl>
    <w:lvl w:ilvl="7">
      <w:start w:val="0"/>
      <w:numFmt w:val="bullet"/>
      <w:lvlText w:val="•"/>
      <w:lvlJc w:val="left"/>
      <w:pPr>
        <w:ind w:left="6427" w:hanging="216"/>
      </w:pPr>
      <w:rPr>
        <w:rFonts w:hint="default"/>
        <w:lang w:val="en-US" w:eastAsia="en-US" w:bidi="ar-SA"/>
      </w:rPr>
    </w:lvl>
    <w:lvl w:ilvl="8">
      <w:start w:val="0"/>
      <w:numFmt w:val="bullet"/>
      <w:lvlText w:val="•"/>
      <w:lvlJc w:val="left"/>
      <w:pPr>
        <w:ind w:left="7294" w:hanging="216"/>
      </w:pPr>
      <w:rPr>
        <w:rFonts w:hint="default"/>
        <w:lang w:val="en-US" w:eastAsia="en-US" w:bidi="ar-SA"/>
      </w:rPr>
    </w:lvl>
  </w:abstractNum>
  <w:abstractNum w:abstractNumId="35">
    <w:multiLevelType w:val="hybridMultilevel"/>
    <w:lvl w:ilvl="0">
      <w:start w:val="0"/>
      <w:numFmt w:val="bullet"/>
      <w:lvlText w:val="•"/>
      <w:lvlJc w:val="left"/>
      <w:pPr>
        <w:ind w:left="357" w:hanging="216"/>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226" w:hanging="216"/>
      </w:pPr>
      <w:rPr>
        <w:rFonts w:hint="default"/>
        <w:lang w:val="en-US" w:eastAsia="en-US" w:bidi="ar-SA"/>
      </w:rPr>
    </w:lvl>
    <w:lvl w:ilvl="2">
      <w:start w:val="0"/>
      <w:numFmt w:val="bullet"/>
      <w:lvlText w:val="•"/>
      <w:lvlJc w:val="left"/>
      <w:pPr>
        <w:ind w:left="2093" w:hanging="216"/>
      </w:pPr>
      <w:rPr>
        <w:rFonts w:hint="default"/>
        <w:lang w:val="en-US" w:eastAsia="en-US" w:bidi="ar-SA"/>
      </w:rPr>
    </w:lvl>
    <w:lvl w:ilvl="3">
      <w:start w:val="0"/>
      <w:numFmt w:val="bullet"/>
      <w:lvlText w:val="•"/>
      <w:lvlJc w:val="left"/>
      <w:pPr>
        <w:ind w:left="2960" w:hanging="216"/>
      </w:pPr>
      <w:rPr>
        <w:rFonts w:hint="default"/>
        <w:lang w:val="en-US" w:eastAsia="en-US" w:bidi="ar-SA"/>
      </w:rPr>
    </w:lvl>
    <w:lvl w:ilvl="4">
      <w:start w:val="0"/>
      <w:numFmt w:val="bullet"/>
      <w:lvlText w:val="•"/>
      <w:lvlJc w:val="left"/>
      <w:pPr>
        <w:ind w:left="3827" w:hanging="216"/>
      </w:pPr>
      <w:rPr>
        <w:rFonts w:hint="default"/>
        <w:lang w:val="en-US" w:eastAsia="en-US" w:bidi="ar-SA"/>
      </w:rPr>
    </w:lvl>
    <w:lvl w:ilvl="5">
      <w:start w:val="0"/>
      <w:numFmt w:val="bullet"/>
      <w:lvlText w:val="•"/>
      <w:lvlJc w:val="left"/>
      <w:pPr>
        <w:ind w:left="4693" w:hanging="216"/>
      </w:pPr>
      <w:rPr>
        <w:rFonts w:hint="default"/>
        <w:lang w:val="en-US" w:eastAsia="en-US" w:bidi="ar-SA"/>
      </w:rPr>
    </w:lvl>
    <w:lvl w:ilvl="6">
      <w:start w:val="0"/>
      <w:numFmt w:val="bullet"/>
      <w:lvlText w:val="•"/>
      <w:lvlJc w:val="left"/>
      <w:pPr>
        <w:ind w:left="5560" w:hanging="216"/>
      </w:pPr>
      <w:rPr>
        <w:rFonts w:hint="default"/>
        <w:lang w:val="en-US" w:eastAsia="en-US" w:bidi="ar-SA"/>
      </w:rPr>
    </w:lvl>
    <w:lvl w:ilvl="7">
      <w:start w:val="0"/>
      <w:numFmt w:val="bullet"/>
      <w:lvlText w:val="•"/>
      <w:lvlJc w:val="left"/>
      <w:pPr>
        <w:ind w:left="6427" w:hanging="216"/>
      </w:pPr>
      <w:rPr>
        <w:rFonts w:hint="default"/>
        <w:lang w:val="en-US" w:eastAsia="en-US" w:bidi="ar-SA"/>
      </w:rPr>
    </w:lvl>
    <w:lvl w:ilvl="8">
      <w:start w:val="0"/>
      <w:numFmt w:val="bullet"/>
      <w:lvlText w:val="•"/>
      <w:lvlJc w:val="left"/>
      <w:pPr>
        <w:ind w:left="7294" w:hanging="216"/>
      </w:pPr>
      <w:rPr>
        <w:rFonts w:hint="default"/>
        <w:lang w:val="en-US" w:eastAsia="en-US" w:bidi="ar-SA"/>
      </w:rPr>
    </w:lvl>
  </w:abstractNum>
  <w:abstractNum w:abstractNumId="34">
    <w:multiLevelType w:val="hybridMultilevel"/>
    <w:lvl w:ilvl="0">
      <w:start w:val="0"/>
      <w:numFmt w:val="bullet"/>
      <w:lvlText w:val="•"/>
      <w:lvlJc w:val="left"/>
      <w:pPr>
        <w:ind w:left="958" w:hanging="358"/>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960" w:hanging="219"/>
      </w:pPr>
      <w:rPr>
        <w:rFonts w:hint="default" w:ascii="Arial" w:hAnsi="Arial" w:eastAsia="Arial" w:cs="Arial"/>
        <w:b w:val="0"/>
        <w:bCs w:val="0"/>
        <w:i w:val="0"/>
        <w:iCs w:val="0"/>
        <w:spacing w:val="0"/>
        <w:w w:val="131"/>
        <w:sz w:val="22"/>
        <w:szCs w:val="22"/>
        <w:lang w:val="en-US" w:eastAsia="en-US" w:bidi="ar-SA"/>
      </w:rPr>
    </w:lvl>
    <w:lvl w:ilvl="2">
      <w:start w:val="0"/>
      <w:numFmt w:val="bullet"/>
      <w:lvlText w:val="•"/>
      <w:lvlJc w:val="left"/>
      <w:pPr>
        <w:ind w:left="2116" w:hanging="219"/>
      </w:pPr>
      <w:rPr>
        <w:rFonts w:hint="default"/>
        <w:lang w:val="en-US" w:eastAsia="en-US" w:bidi="ar-SA"/>
      </w:rPr>
    </w:lvl>
    <w:lvl w:ilvl="3">
      <w:start w:val="0"/>
      <w:numFmt w:val="bullet"/>
      <w:lvlText w:val="•"/>
      <w:lvlJc w:val="left"/>
      <w:pPr>
        <w:ind w:left="3132" w:hanging="219"/>
      </w:pPr>
      <w:rPr>
        <w:rFonts w:hint="default"/>
        <w:lang w:val="en-US" w:eastAsia="en-US" w:bidi="ar-SA"/>
      </w:rPr>
    </w:lvl>
    <w:lvl w:ilvl="4">
      <w:start w:val="0"/>
      <w:numFmt w:val="bullet"/>
      <w:lvlText w:val="•"/>
      <w:lvlJc w:val="left"/>
      <w:pPr>
        <w:ind w:left="4148" w:hanging="219"/>
      </w:pPr>
      <w:rPr>
        <w:rFonts w:hint="default"/>
        <w:lang w:val="en-US" w:eastAsia="en-US" w:bidi="ar-SA"/>
      </w:rPr>
    </w:lvl>
    <w:lvl w:ilvl="5">
      <w:start w:val="0"/>
      <w:numFmt w:val="bullet"/>
      <w:lvlText w:val="•"/>
      <w:lvlJc w:val="left"/>
      <w:pPr>
        <w:ind w:left="5165" w:hanging="219"/>
      </w:pPr>
      <w:rPr>
        <w:rFonts w:hint="default"/>
        <w:lang w:val="en-US" w:eastAsia="en-US" w:bidi="ar-SA"/>
      </w:rPr>
    </w:lvl>
    <w:lvl w:ilvl="6">
      <w:start w:val="0"/>
      <w:numFmt w:val="bullet"/>
      <w:lvlText w:val="•"/>
      <w:lvlJc w:val="left"/>
      <w:pPr>
        <w:ind w:left="6181" w:hanging="219"/>
      </w:pPr>
      <w:rPr>
        <w:rFonts w:hint="default"/>
        <w:lang w:val="en-US" w:eastAsia="en-US" w:bidi="ar-SA"/>
      </w:rPr>
    </w:lvl>
    <w:lvl w:ilvl="7">
      <w:start w:val="0"/>
      <w:numFmt w:val="bullet"/>
      <w:lvlText w:val="•"/>
      <w:lvlJc w:val="left"/>
      <w:pPr>
        <w:ind w:left="7197" w:hanging="219"/>
      </w:pPr>
      <w:rPr>
        <w:rFonts w:hint="default"/>
        <w:lang w:val="en-US" w:eastAsia="en-US" w:bidi="ar-SA"/>
      </w:rPr>
    </w:lvl>
    <w:lvl w:ilvl="8">
      <w:start w:val="0"/>
      <w:numFmt w:val="bullet"/>
      <w:lvlText w:val="•"/>
      <w:lvlJc w:val="left"/>
      <w:pPr>
        <w:ind w:left="8213" w:hanging="219"/>
      </w:pPr>
      <w:rPr>
        <w:rFonts w:hint="default"/>
        <w:lang w:val="en-US" w:eastAsia="en-US" w:bidi="ar-SA"/>
      </w:rPr>
    </w:lvl>
  </w:abstractNum>
  <w:abstractNum w:abstractNumId="33">
    <w:multiLevelType w:val="hybridMultilevel"/>
    <w:lvl w:ilvl="0">
      <w:start w:val="0"/>
      <w:numFmt w:val="bullet"/>
      <w:lvlText w:val="-"/>
      <w:lvlJc w:val="left"/>
      <w:pPr>
        <w:ind w:left="1526" w:hanging="360"/>
      </w:pPr>
      <w:rPr>
        <w:rFonts w:hint="default" w:ascii="Courier New" w:hAnsi="Courier New" w:eastAsia="Courier New" w:cs="Courier New"/>
        <w:b w:val="0"/>
        <w:bCs w:val="0"/>
        <w:i w:val="0"/>
        <w:iCs w:val="0"/>
        <w:spacing w:val="0"/>
        <w:w w:val="100"/>
        <w:sz w:val="22"/>
        <w:szCs w:val="22"/>
        <w:lang w:val="en-US" w:eastAsia="en-US" w:bidi="ar-SA"/>
      </w:rPr>
    </w:lvl>
    <w:lvl w:ilvl="1">
      <w:start w:val="0"/>
      <w:numFmt w:val="bullet"/>
      <w:lvlText w:val="•"/>
      <w:lvlJc w:val="left"/>
      <w:pPr>
        <w:ind w:left="2392" w:hanging="360"/>
      </w:pPr>
      <w:rPr>
        <w:rFonts w:hint="default"/>
        <w:lang w:val="en-US" w:eastAsia="en-US" w:bidi="ar-SA"/>
      </w:rPr>
    </w:lvl>
    <w:lvl w:ilvl="2">
      <w:start w:val="0"/>
      <w:numFmt w:val="bullet"/>
      <w:lvlText w:val="•"/>
      <w:lvlJc w:val="left"/>
      <w:pPr>
        <w:ind w:left="3265" w:hanging="360"/>
      </w:pPr>
      <w:rPr>
        <w:rFonts w:hint="default"/>
        <w:lang w:val="en-US" w:eastAsia="en-US" w:bidi="ar-SA"/>
      </w:rPr>
    </w:lvl>
    <w:lvl w:ilvl="3">
      <w:start w:val="0"/>
      <w:numFmt w:val="bullet"/>
      <w:lvlText w:val="•"/>
      <w:lvlJc w:val="left"/>
      <w:pPr>
        <w:ind w:left="4137" w:hanging="360"/>
      </w:pPr>
      <w:rPr>
        <w:rFonts w:hint="default"/>
        <w:lang w:val="en-US" w:eastAsia="en-US" w:bidi="ar-SA"/>
      </w:rPr>
    </w:lvl>
    <w:lvl w:ilvl="4">
      <w:start w:val="0"/>
      <w:numFmt w:val="bullet"/>
      <w:lvlText w:val="•"/>
      <w:lvlJc w:val="left"/>
      <w:pPr>
        <w:ind w:left="5010" w:hanging="360"/>
      </w:pPr>
      <w:rPr>
        <w:rFonts w:hint="default"/>
        <w:lang w:val="en-US" w:eastAsia="en-US" w:bidi="ar-SA"/>
      </w:rPr>
    </w:lvl>
    <w:lvl w:ilvl="5">
      <w:start w:val="0"/>
      <w:numFmt w:val="bullet"/>
      <w:lvlText w:val="•"/>
      <w:lvlJc w:val="left"/>
      <w:pPr>
        <w:ind w:left="5883" w:hanging="360"/>
      </w:pPr>
      <w:rPr>
        <w:rFonts w:hint="default"/>
        <w:lang w:val="en-US" w:eastAsia="en-US" w:bidi="ar-SA"/>
      </w:rPr>
    </w:lvl>
    <w:lvl w:ilvl="6">
      <w:start w:val="0"/>
      <w:numFmt w:val="bullet"/>
      <w:lvlText w:val="•"/>
      <w:lvlJc w:val="left"/>
      <w:pPr>
        <w:ind w:left="6755" w:hanging="360"/>
      </w:pPr>
      <w:rPr>
        <w:rFonts w:hint="default"/>
        <w:lang w:val="en-US" w:eastAsia="en-US" w:bidi="ar-SA"/>
      </w:rPr>
    </w:lvl>
    <w:lvl w:ilvl="7">
      <w:start w:val="0"/>
      <w:numFmt w:val="bullet"/>
      <w:lvlText w:val="•"/>
      <w:lvlJc w:val="left"/>
      <w:pPr>
        <w:ind w:left="7628" w:hanging="360"/>
      </w:pPr>
      <w:rPr>
        <w:rFonts w:hint="default"/>
        <w:lang w:val="en-US" w:eastAsia="en-US" w:bidi="ar-SA"/>
      </w:rPr>
    </w:lvl>
    <w:lvl w:ilvl="8">
      <w:start w:val="0"/>
      <w:numFmt w:val="bullet"/>
      <w:lvlText w:val="•"/>
      <w:lvlJc w:val="left"/>
      <w:pPr>
        <w:ind w:left="8501" w:hanging="360"/>
      </w:pPr>
      <w:rPr>
        <w:rFonts w:hint="default"/>
        <w:lang w:val="en-US" w:eastAsia="en-US" w:bidi="ar-SA"/>
      </w:rPr>
    </w:lvl>
  </w:abstractNum>
  <w:abstractNum w:abstractNumId="32">
    <w:multiLevelType w:val="hybridMultilevel"/>
    <w:lvl w:ilvl="0">
      <w:start w:val="0"/>
      <w:numFmt w:val="bullet"/>
      <w:lvlText w:val="•"/>
      <w:lvlJc w:val="left"/>
      <w:pPr>
        <w:ind w:left="1166" w:hanging="425"/>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452" w:hanging="286"/>
      </w:pPr>
      <w:rPr>
        <w:rFonts w:hint="default" w:ascii="Courier New" w:hAnsi="Courier New" w:eastAsia="Courier New" w:cs="Courier New"/>
        <w:b w:val="0"/>
        <w:bCs w:val="0"/>
        <w:i w:val="0"/>
        <w:iCs w:val="0"/>
        <w:spacing w:val="0"/>
        <w:w w:val="100"/>
        <w:sz w:val="22"/>
        <w:szCs w:val="22"/>
        <w:lang w:val="en-US" w:eastAsia="en-US" w:bidi="ar-SA"/>
      </w:rPr>
    </w:lvl>
    <w:lvl w:ilvl="2">
      <w:start w:val="0"/>
      <w:numFmt w:val="bullet"/>
      <w:lvlText w:val="•"/>
      <w:lvlJc w:val="left"/>
      <w:pPr>
        <w:ind w:left="2436" w:hanging="286"/>
      </w:pPr>
      <w:rPr>
        <w:rFonts w:hint="default"/>
        <w:lang w:val="en-US" w:eastAsia="en-US" w:bidi="ar-SA"/>
      </w:rPr>
    </w:lvl>
    <w:lvl w:ilvl="3">
      <w:start w:val="0"/>
      <w:numFmt w:val="bullet"/>
      <w:lvlText w:val="•"/>
      <w:lvlJc w:val="left"/>
      <w:pPr>
        <w:ind w:left="3412" w:hanging="286"/>
      </w:pPr>
      <w:rPr>
        <w:rFonts w:hint="default"/>
        <w:lang w:val="en-US" w:eastAsia="en-US" w:bidi="ar-SA"/>
      </w:rPr>
    </w:lvl>
    <w:lvl w:ilvl="4">
      <w:start w:val="0"/>
      <w:numFmt w:val="bullet"/>
      <w:lvlText w:val="•"/>
      <w:lvlJc w:val="left"/>
      <w:pPr>
        <w:ind w:left="4388" w:hanging="286"/>
      </w:pPr>
      <w:rPr>
        <w:rFonts w:hint="default"/>
        <w:lang w:val="en-US" w:eastAsia="en-US" w:bidi="ar-SA"/>
      </w:rPr>
    </w:lvl>
    <w:lvl w:ilvl="5">
      <w:start w:val="0"/>
      <w:numFmt w:val="bullet"/>
      <w:lvlText w:val="•"/>
      <w:lvlJc w:val="left"/>
      <w:pPr>
        <w:ind w:left="5365" w:hanging="286"/>
      </w:pPr>
      <w:rPr>
        <w:rFonts w:hint="default"/>
        <w:lang w:val="en-US" w:eastAsia="en-US" w:bidi="ar-SA"/>
      </w:rPr>
    </w:lvl>
    <w:lvl w:ilvl="6">
      <w:start w:val="0"/>
      <w:numFmt w:val="bullet"/>
      <w:lvlText w:val="•"/>
      <w:lvlJc w:val="left"/>
      <w:pPr>
        <w:ind w:left="6341" w:hanging="286"/>
      </w:pPr>
      <w:rPr>
        <w:rFonts w:hint="default"/>
        <w:lang w:val="en-US" w:eastAsia="en-US" w:bidi="ar-SA"/>
      </w:rPr>
    </w:lvl>
    <w:lvl w:ilvl="7">
      <w:start w:val="0"/>
      <w:numFmt w:val="bullet"/>
      <w:lvlText w:val="•"/>
      <w:lvlJc w:val="left"/>
      <w:pPr>
        <w:ind w:left="7317" w:hanging="286"/>
      </w:pPr>
      <w:rPr>
        <w:rFonts w:hint="default"/>
        <w:lang w:val="en-US" w:eastAsia="en-US" w:bidi="ar-SA"/>
      </w:rPr>
    </w:lvl>
    <w:lvl w:ilvl="8">
      <w:start w:val="0"/>
      <w:numFmt w:val="bullet"/>
      <w:lvlText w:val="•"/>
      <w:lvlJc w:val="left"/>
      <w:pPr>
        <w:ind w:left="8293" w:hanging="286"/>
      </w:pPr>
      <w:rPr>
        <w:rFonts w:hint="default"/>
        <w:lang w:val="en-US" w:eastAsia="en-US" w:bidi="ar-SA"/>
      </w:rPr>
    </w:lvl>
  </w:abstractNum>
  <w:abstractNum w:abstractNumId="31">
    <w:multiLevelType w:val="hybridMultilevel"/>
    <w:lvl w:ilvl="0">
      <w:start w:val="0"/>
      <w:numFmt w:val="bullet"/>
      <w:lvlText w:val="-"/>
      <w:lvlJc w:val="left"/>
      <w:pPr>
        <w:ind w:left="1524" w:hanging="358"/>
      </w:pPr>
      <w:rPr>
        <w:rFonts w:hint="default" w:ascii="Courier New" w:hAnsi="Courier New" w:eastAsia="Courier New" w:cs="Courier New"/>
        <w:b w:val="0"/>
        <w:bCs w:val="0"/>
        <w:i w:val="0"/>
        <w:iCs w:val="0"/>
        <w:spacing w:val="0"/>
        <w:w w:val="100"/>
        <w:sz w:val="22"/>
        <w:szCs w:val="22"/>
        <w:lang w:val="en-US" w:eastAsia="en-US" w:bidi="ar-SA"/>
      </w:rPr>
    </w:lvl>
    <w:lvl w:ilvl="1">
      <w:start w:val="0"/>
      <w:numFmt w:val="bullet"/>
      <w:lvlText w:val="•"/>
      <w:lvlJc w:val="left"/>
      <w:pPr>
        <w:ind w:left="2392" w:hanging="358"/>
      </w:pPr>
      <w:rPr>
        <w:rFonts w:hint="default"/>
        <w:lang w:val="en-US" w:eastAsia="en-US" w:bidi="ar-SA"/>
      </w:rPr>
    </w:lvl>
    <w:lvl w:ilvl="2">
      <w:start w:val="0"/>
      <w:numFmt w:val="bullet"/>
      <w:lvlText w:val="•"/>
      <w:lvlJc w:val="left"/>
      <w:pPr>
        <w:ind w:left="3265" w:hanging="358"/>
      </w:pPr>
      <w:rPr>
        <w:rFonts w:hint="default"/>
        <w:lang w:val="en-US" w:eastAsia="en-US" w:bidi="ar-SA"/>
      </w:rPr>
    </w:lvl>
    <w:lvl w:ilvl="3">
      <w:start w:val="0"/>
      <w:numFmt w:val="bullet"/>
      <w:lvlText w:val="•"/>
      <w:lvlJc w:val="left"/>
      <w:pPr>
        <w:ind w:left="4137" w:hanging="358"/>
      </w:pPr>
      <w:rPr>
        <w:rFonts w:hint="default"/>
        <w:lang w:val="en-US" w:eastAsia="en-US" w:bidi="ar-SA"/>
      </w:rPr>
    </w:lvl>
    <w:lvl w:ilvl="4">
      <w:start w:val="0"/>
      <w:numFmt w:val="bullet"/>
      <w:lvlText w:val="•"/>
      <w:lvlJc w:val="left"/>
      <w:pPr>
        <w:ind w:left="5010" w:hanging="358"/>
      </w:pPr>
      <w:rPr>
        <w:rFonts w:hint="default"/>
        <w:lang w:val="en-US" w:eastAsia="en-US" w:bidi="ar-SA"/>
      </w:rPr>
    </w:lvl>
    <w:lvl w:ilvl="5">
      <w:start w:val="0"/>
      <w:numFmt w:val="bullet"/>
      <w:lvlText w:val="•"/>
      <w:lvlJc w:val="left"/>
      <w:pPr>
        <w:ind w:left="5883" w:hanging="358"/>
      </w:pPr>
      <w:rPr>
        <w:rFonts w:hint="default"/>
        <w:lang w:val="en-US" w:eastAsia="en-US" w:bidi="ar-SA"/>
      </w:rPr>
    </w:lvl>
    <w:lvl w:ilvl="6">
      <w:start w:val="0"/>
      <w:numFmt w:val="bullet"/>
      <w:lvlText w:val="•"/>
      <w:lvlJc w:val="left"/>
      <w:pPr>
        <w:ind w:left="6755" w:hanging="358"/>
      </w:pPr>
      <w:rPr>
        <w:rFonts w:hint="default"/>
        <w:lang w:val="en-US" w:eastAsia="en-US" w:bidi="ar-SA"/>
      </w:rPr>
    </w:lvl>
    <w:lvl w:ilvl="7">
      <w:start w:val="0"/>
      <w:numFmt w:val="bullet"/>
      <w:lvlText w:val="•"/>
      <w:lvlJc w:val="left"/>
      <w:pPr>
        <w:ind w:left="7628" w:hanging="358"/>
      </w:pPr>
      <w:rPr>
        <w:rFonts w:hint="default"/>
        <w:lang w:val="en-US" w:eastAsia="en-US" w:bidi="ar-SA"/>
      </w:rPr>
    </w:lvl>
    <w:lvl w:ilvl="8">
      <w:start w:val="0"/>
      <w:numFmt w:val="bullet"/>
      <w:lvlText w:val="•"/>
      <w:lvlJc w:val="left"/>
      <w:pPr>
        <w:ind w:left="8501" w:hanging="358"/>
      </w:pPr>
      <w:rPr>
        <w:rFonts w:hint="default"/>
        <w:lang w:val="en-US" w:eastAsia="en-US" w:bidi="ar-SA"/>
      </w:rPr>
    </w:lvl>
  </w:abstractNum>
  <w:abstractNum w:abstractNumId="30">
    <w:multiLevelType w:val="hybridMultilevel"/>
    <w:lvl w:ilvl="0">
      <w:start w:val="0"/>
      <w:numFmt w:val="bullet"/>
      <w:lvlText w:val="•"/>
      <w:lvlJc w:val="left"/>
      <w:pPr>
        <w:ind w:left="472" w:hanging="360"/>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334" w:hanging="360"/>
      </w:pPr>
      <w:rPr>
        <w:rFonts w:hint="default"/>
        <w:lang w:val="en-US" w:eastAsia="en-US" w:bidi="ar-SA"/>
      </w:rPr>
    </w:lvl>
    <w:lvl w:ilvl="2">
      <w:start w:val="0"/>
      <w:numFmt w:val="bullet"/>
      <w:lvlText w:val="•"/>
      <w:lvlJc w:val="left"/>
      <w:pPr>
        <w:ind w:left="2189" w:hanging="360"/>
      </w:pPr>
      <w:rPr>
        <w:rFonts w:hint="default"/>
        <w:lang w:val="en-US" w:eastAsia="en-US" w:bidi="ar-SA"/>
      </w:rPr>
    </w:lvl>
    <w:lvl w:ilvl="3">
      <w:start w:val="0"/>
      <w:numFmt w:val="bullet"/>
      <w:lvlText w:val="•"/>
      <w:lvlJc w:val="left"/>
      <w:pPr>
        <w:ind w:left="3044" w:hanging="360"/>
      </w:pPr>
      <w:rPr>
        <w:rFonts w:hint="default"/>
        <w:lang w:val="en-US" w:eastAsia="en-US" w:bidi="ar-SA"/>
      </w:rPr>
    </w:lvl>
    <w:lvl w:ilvl="4">
      <w:start w:val="0"/>
      <w:numFmt w:val="bullet"/>
      <w:lvlText w:val="•"/>
      <w:lvlJc w:val="left"/>
      <w:pPr>
        <w:ind w:left="3899" w:hanging="360"/>
      </w:pPr>
      <w:rPr>
        <w:rFonts w:hint="default"/>
        <w:lang w:val="en-US" w:eastAsia="en-US" w:bidi="ar-SA"/>
      </w:rPr>
    </w:lvl>
    <w:lvl w:ilvl="5">
      <w:start w:val="0"/>
      <w:numFmt w:val="bullet"/>
      <w:lvlText w:val="•"/>
      <w:lvlJc w:val="left"/>
      <w:pPr>
        <w:ind w:left="4753" w:hanging="360"/>
      </w:pPr>
      <w:rPr>
        <w:rFonts w:hint="default"/>
        <w:lang w:val="en-US" w:eastAsia="en-US" w:bidi="ar-SA"/>
      </w:rPr>
    </w:lvl>
    <w:lvl w:ilvl="6">
      <w:start w:val="0"/>
      <w:numFmt w:val="bullet"/>
      <w:lvlText w:val="•"/>
      <w:lvlJc w:val="left"/>
      <w:pPr>
        <w:ind w:left="5608" w:hanging="360"/>
      </w:pPr>
      <w:rPr>
        <w:rFonts w:hint="default"/>
        <w:lang w:val="en-US" w:eastAsia="en-US" w:bidi="ar-SA"/>
      </w:rPr>
    </w:lvl>
    <w:lvl w:ilvl="7">
      <w:start w:val="0"/>
      <w:numFmt w:val="bullet"/>
      <w:lvlText w:val="•"/>
      <w:lvlJc w:val="left"/>
      <w:pPr>
        <w:ind w:left="6463" w:hanging="360"/>
      </w:pPr>
      <w:rPr>
        <w:rFonts w:hint="default"/>
        <w:lang w:val="en-US" w:eastAsia="en-US" w:bidi="ar-SA"/>
      </w:rPr>
    </w:lvl>
    <w:lvl w:ilvl="8">
      <w:start w:val="0"/>
      <w:numFmt w:val="bullet"/>
      <w:lvlText w:val="•"/>
      <w:lvlJc w:val="left"/>
      <w:pPr>
        <w:ind w:left="7318" w:hanging="360"/>
      </w:pPr>
      <w:rPr>
        <w:rFonts w:hint="default"/>
        <w:lang w:val="en-US" w:eastAsia="en-US" w:bidi="ar-SA"/>
      </w:rPr>
    </w:lvl>
  </w:abstractNum>
  <w:abstractNum w:abstractNumId="29">
    <w:multiLevelType w:val="hybridMultilevel"/>
    <w:lvl w:ilvl="0">
      <w:start w:val="0"/>
      <w:numFmt w:val="bullet"/>
      <w:lvlText w:val="•"/>
      <w:lvlJc w:val="left"/>
      <w:pPr>
        <w:ind w:left="1102" w:hanging="360"/>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169" w:hanging="286"/>
      </w:pPr>
      <w:rPr>
        <w:rFonts w:hint="default" w:ascii="Courier New" w:hAnsi="Courier New" w:eastAsia="Courier New" w:cs="Courier New"/>
        <w:b w:val="0"/>
        <w:bCs w:val="0"/>
        <w:i w:val="0"/>
        <w:iCs w:val="0"/>
        <w:spacing w:val="0"/>
        <w:w w:val="100"/>
        <w:sz w:val="22"/>
        <w:szCs w:val="22"/>
        <w:lang w:val="en-US" w:eastAsia="en-US" w:bidi="ar-SA"/>
      </w:rPr>
    </w:lvl>
    <w:lvl w:ilvl="2">
      <w:start w:val="0"/>
      <w:numFmt w:val="bullet"/>
      <w:lvlText w:val="•"/>
      <w:lvlJc w:val="left"/>
      <w:pPr>
        <w:ind w:left="1300" w:hanging="286"/>
      </w:pPr>
      <w:rPr>
        <w:rFonts w:hint="default"/>
        <w:lang w:val="en-US" w:eastAsia="en-US" w:bidi="ar-SA"/>
      </w:rPr>
    </w:lvl>
    <w:lvl w:ilvl="3">
      <w:start w:val="0"/>
      <w:numFmt w:val="bullet"/>
      <w:lvlText w:val="•"/>
      <w:lvlJc w:val="left"/>
      <w:pPr>
        <w:ind w:left="2418" w:hanging="286"/>
      </w:pPr>
      <w:rPr>
        <w:rFonts w:hint="default"/>
        <w:lang w:val="en-US" w:eastAsia="en-US" w:bidi="ar-SA"/>
      </w:rPr>
    </w:lvl>
    <w:lvl w:ilvl="4">
      <w:start w:val="0"/>
      <w:numFmt w:val="bullet"/>
      <w:lvlText w:val="•"/>
      <w:lvlJc w:val="left"/>
      <w:pPr>
        <w:ind w:left="3536" w:hanging="286"/>
      </w:pPr>
      <w:rPr>
        <w:rFonts w:hint="default"/>
        <w:lang w:val="en-US" w:eastAsia="en-US" w:bidi="ar-SA"/>
      </w:rPr>
    </w:lvl>
    <w:lvl w:ilvl="5">
      <w:start w:val="0"/>
      <w:numFmt w:val="bullet"/>
      <w:lvlText w:val="•"/>
      <w:lvlJc w:val="left"/>
      <w:pPr>
        <w:ind w:left="4654" w:hanging="286"/>
      </w:pPr>
      <w:rPr>
        <w:rFonts w:hint="default"/>
        <w:lang w:val="en-US" w:eastAsia="en-US" w:bidi="ar-SA"/>
      </w:rPr>
    </w:lvl>
    <w:lvl w:ilvl="6">
      <w:start w:val="0"/>
      <w:numFmt w:val="bullet"/>
      <w:lvlText w:val="•"/>
      <w:lvlJc w:val="left"/>
      <w:pPr>
        <w:ind w:left="5773" w:hanging="286"/>
      </w:pPr>
      <w:rPr>
        <w:rFonts w:hint="default"/>
        <w:lang w:val="en-US" w:eastAsia="en-US" w:bidi="ar-SA"/>
      </w:rPr>
    </w:lvl>
    <w:lvl w:ilvl="7">
      <w:start w:val="0"/>
      <w:numFmt w:val="bullet"/>
      <w:lvlText w:val="•"/>
      <w:lvlJc w:val="left"/>
      <w:pPr>
        <w:ind w:left="6891" w:hanging="286"/>
      </w:pPr>
      <w:rPr>
        <w:rFonts w:hint="default"/>
        <w:lang w:val="en-US" w:eastAsia="en-US" w:bidi="ar-SA"/>
      </w:rPr>
    </w:lvl>
    <w:lvl w:ilvl="8">
      <w:start w:val="0"/>
      <w:numFmt w:val="bullet"/>
      <w:lvlText w:val="•"/>
      <w:lvlJc w:val="left"/>
      <w:pPr>
        <w:ind w:left="8009" w:hanging="286"/>
      </w:pPr>
      <w:rPr>
        <w:rFonts w:hint="default"/>
        <w:lang w:val="en-US" w:eastAsia="en-US" w:bidi="ar-SA"/>
      </w:rPr>
    </w:lvl>
  </w:abstractNum>
  <w:abstractNum w:abstractNumId="28">
    <w:multiLevelType w:val="hybridMultilevel"/>
    <w:lvl w:ilvl="0">
      <w:start w:val="0"/>
      <w:numFmt w:val="bullet"/>
      <w:lvlText w:val="•"/>
      <w:lvlJc w:val="left"/>
      <w:pPr>
        <w:ind w:left="958" w:hanging="358"/>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888" w:hanging="358"/>
      </w:pPr>
      <w:rPr>
        <w:rFonts w:hint="default"/>
        <w:lang w:val="en-US" w:eastAsia="en-US" w:bidi="ar-SA"/>
      </w:rPr>
    </w:lvl>
    <w:lvl w:ilvl="2">
      <w:start w:val="0"/>
      <w:numFmt w:val="bullet"/>
      <w:lvlText w:val="•"/>
      <w:lvlJc w:val="left"/>
      <w:pPr>
        <w:ind w:left="2817" w:hanging="358"/>
      </w:pPr>
      <w:rPr>
        <w:rFonts w:hint="default"/>
        <w:lang w:val="en-US" w:eastAsia="en-US" w:bidi="ar-SA"/>
      </w:rPr>
    </w:lvl>
    <w:lvl w:ilvl="3">
      <w:start w:val="0"/>
      <w:numFmt w:val="bullet"/>
      <w:lvlText w:val="•"/>
      <w:lvlJc w:val="left"/>
      <w:pPr>
        <w:ind w:left="3745" w:hanging="358"/>
      </w:pPr>
      <w:rPr>
        <w:rFonts w:hint="default"/>
        <w:lang w:val="en-US" w:eastAsia="en-US" w:bidi="ar-SA"/>
      </w:rPr>
    </w:lvl>
    <w:lvl w:ilvl="4">
      <w:start w:val="0"/>
      <w:numFmt w:val="bullet"/>
      <w:lvlText w:val="•"/>
      <w:lvlJc w:val="left"/>
      <w:pPr>
        <w:ind w:left="4674" w:hanging="358"/>
      </w:pPr>
      <w:rPr>
        <w:rFonts w:hint="default"/>
        <w:lang w:val="en-US" w:eastAsia="en-US" w:bidi="ar-SA"/>
      </w:rPr>
    </w:lvl>
    <w:lvl w:ilvl="5">
      <w:start w:val="0"/>
      <w:numFmt w:val="bullet"/>
      <w:lvlText w:val="•"/>
      <w:lvlJc w:val="left"/>
      <w:pPr>
        <w:ind w:left="5603" w:hanging="358"/>
      </w:pPr>
      <w:rPr>
        <w:rFonts w:hint="default"/>
        <w:lang w:val="en-US" w:eastAsia="en-US" w:bidi="ar-SA"/>
      </w:rPr>
    </w:lvl>
    <w:lvl w:ilvl="6">
      <w:start w:val="0"/>
      <w:numFmt w:val="bullet"/>
      <w:lvlText w:val="•"/>
      <w:lvlJc w:val="left"/>
      <w:pPr>
        <w:ind w:left="6531" w:hanging="358"/>
      </w:pPr>
      <w:rPr>
        <w:rFonts w:hint="default"/>
        <w:lang w:val="en-US" w:eastAsia="en-US" w:bidi="ar-SA"/>
      </w:rPr>
    </w:lvl>
    <w:lvl w:ilvl="7">
      <w:start w:val="0"/>
      <w:numFmt w:val="bullet"/>
      <w:lvlText w:val="•"/>
      <w:lvlJc w:val="left"/>
      <w:pPr>
        <w:ind w:left="7460" w:hanging="358"/>
      </w:pPr>
      <w:rPr>
        <w:rFonts w:hint="default"/>
        <w:lang w:val="en-US" w:eastAsia="en-US" w:bidi="ar-SA"/>
      </w:rPr>
    </w:lvl>
    <w:lvl w:ilvl="8">
      <w:start w:val="0"/>
      <w:numFmt w:val="bullet"/>
      <w:lvlText w:val="•"/>
      <w:lvlJc w:val="left"/>
      <w:pPr>
        <w:ind w:left="8389" w:hanging="358"/>
      </w:pPr>
      <w:rPr>
        <w:rFonts w:hint="default"/>
        <w:lang w:val="en-US" w:eastAsia="en-US" w:bidi="ar-SA"/>
      </w:rPr>
    </w:lvl>
  </w:abstractNum>
  <w:abstractNum w:abstractNumId="27">
    <w:multiLevelType w:val="hybridMultilevel"/>
    <w:lvl w:ilvl="0">
      <w:start w:val="0"/>
      <w:numFmt w:val="bullet"/>
      <w:lvlText w:val="•"/>
      <w:lvlJc w:val="left"/>
      <w:pPr>
        <w:ind w:left="1027" w:hanging="428"/>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102" w:hanging="360"/>
      </w:pPr>
      <w:rPr>
        <w:rFonts w:hint="default" w:ascii="Arial" w:hAnsi="Arial" w:eastAsia="Arial" w:cs="Arial"/>
        <w:b w:val="0"/>
        <w:bCs w:val="0"/>
        <w:i w:val="0"/>
        <w:iCs w:val="0"/>
        <w:spacing w:val="0"/>
        <w:w w:val="131"/>
        <w:sz w:val="22"/>
        <w:szCs w:val="22"/>
        <w:lang w:val="en-US" w:eastAsia="en-US" w:bidi="ar-SA"/>
      </w:rPr>
    </w:lvl>
    <w:lvl w:ilvl="2">
      <w:start w:val="0"/>
      <w:numFmt w:val="bullet"/>
      <w:lvlText w:val="•"/>
      <w:lvlJc w:val="left"/>
      <w:pPr>
        <w:ind w:left="2116" w:hanging="360"/>
      </w:pPr>
      <w:rPr>
        <w:rFonts w:hint="default"/>
        <w:lang w:val="en-US" w:eastAsia="en-US" w:bidi="ar-SA"/>
      </w:rPr>
    </w:lvl>
    <w:lvl w:ilvl="3">
      <w:start w:val="0"/>
      <w:numFmt w:val="bullet"/>
      <w:lvlText w:val="•"/>
      <w:lvlJc w:val="left"/>
      <w:pPr>
        <w:ind w:left="3132" w:hanging="360"/>
      </w:pPr>
      <w:rPr>
        <w:rFonts w:hint="default"/>
        <w:lang w:val="en-US" w:eastAsia="en-US" w:bidi="ar-SA"/>
      </w:rPr>
    </w:lvl>
    <w:lvl w:ilvl="4">
      <w:start w:val="0"/>
      <w:numFmt w:val="bullet"/>
      <w:lvlText w:val="•"/>
      <w:lvlJc w:val="left"/>
      <w:pPr>
        <w:ind w:left="4148" w:hanging="360"/>
      </w:pPr>
      <w:rPr>
        <w:rFonts w:hint="default"/>
        <w:lang w:val="en-US" w:eastAsia="en-US" w:bidi="ar-SA"/>
      </w:rPr>
    </w:lvl>
    <w:lvl w:ilvl="5">
      <w:start w:val="0"/>
      <w:numFmt w:val="bullet"/>
      <w:lvlText w:val="•"/>
      <w:lvlJc w:val="left"/>
      <w:pPr>
        <w:ind w:left="5165" w:hanging="360"/>
      </w:pPr>
      <w:rPr>
        <w:rFonts w:hint="default"/>
        <w:lang w:val="en-US" w:eastAsia="en-US" w:bidi="ar-SA"/>
      </w:rPr>
    </w:lvl>
    <w:lvl w:ilvl="6">
      <w:start w:val="0"/>
      <w:numFmt w:val="bullet"/>
      <w:lvlText w:val="•"/>
      <w:lvlJc w:val="left"/>
      <w:pPr>
        <w:ind w:left="6181" w:hanging="360"/>
      </w:pPr>
      <w:rPr>
        <w:rFonts w:hint="default"/>
        <w:lang w:val="en-US" w:eastAsia="en-US" w:bidi="ar-SA"/>
      </w:rPr>
    </w:lvl>
    <w:lvl w:ilvl="7">
      <w:start w:val="0"/>
      <w:numFmt w:val="bullet"/>
      <w:lvlText w:val="•"/>
      <w:lvlJc w:val="left"/>
      <w:pPr>
        <w:ind w:left="7197" w:hanging="360"/>
      </w:pPr>
      <w:rPr>
        <w:rFonts w:hint="default"/>
        <w:lang w:val="en-US" w:eastAsia="en-US" w:bidi="ar-SA"/>
      </w:rPr>
    </w:lvl>
    <w:lvl w:ilvl="8">
      <w:start w:val="0"/>
      <w:numFmt w:val="bullet"/>
      <w:lvlText w:val="•"/>
      <w:lvlJc w:val="left"/>
      <w:pPr>
        <w:ind w:left="8213" w:hanging="360"/>
      </w:pPr>
      <w:rPr>
        <w:rFonts w:hint="default"/>
        <w:lang w:val="en-US" w:eastAsia="en-US" w:bidi="ar-SA"/>
      </w:rPr>
    </w:lvl>
  </w:abstractNum>
  <w:abstractNum w:abstractNumId="26">
    <w:multiLevelType w:val="hybridMultilevel"/>
    <w:lvl w:ilvl="0">
      <w:start w:val="1"/>
      <w:numFmt w:val="lowerLetter"/>
      <w:lvlText w:val="%1)"/>
      <w:lvlJc w:val="left"/>
      <w:pPr>
        <w:ind w:left="1524" w:hanging="360"/>
        <w:jc w:val="left"/>
      </w:pPr>
      <w:rPr>
        <w:rFonts w:hint="default" w:ascii="Arial" w:hAnsi="Arial" w:eastAsia="Arial" w:cs="Arial"/>
        <w:b w:val="0"/>
        <w:bCs w:val="0"/>
        <w:i/>
        <w:iCs/>
        <w:spacing w:val="-1"/>
        <w:w w:val="100"/>
        <w:sz w:val="22"/>
        <w:szCs w:val="22"/>
        <w:lang w:val="en-US" w:eastAsia="en-US" w:bidi="ar-SA"/>
      </w:rPr>
    </w:lvl>
    <w:lvl w:ilvl="1">
      <w:start w:val="1"/>
      <w:numFmt w:val="lowerRoman"/>
      <w:lvlText w:val="(%2)"/>
      <w:lvlJc w:val="left"/>
      <w:pPr>
        <w:ind w:left="1780" w:hanging="257"/>
        <w:jc w:val="left"/>
      </w:pPr>
      <w:rPr>
        <w:rFonts w:hint="default" w:ascii="Arial" w:hAnsi="Arial" w:eastAsia="Arial" w:cs="Arial"/>
        <w:b w:val="0"/>
        <w:bCs w:val="0"/>
        <w:i/>
        <w:iCs/>
        <w:spacing w:val="-2"/>
        <w:w w:val="100"/>
        <w:sz w:val="22"/>
        <w:szCs w:val="22"/>
        <w:lang w:val="en-US" w:eastAsia="en-US" w:bidi="ar-SA"/>
      </w:rPr>
    </w:lvl>
    <w:lvl w:ilvl="2">
      <w:start w:val="0"/>
      <w:numFmt w:val="bullet"/>
      <w:lvlText w:val="•"/>
      <w:lvlJc w:val="left"/>
      <w:pPr>
        <w:ind w:left="2720" w:hanging="257"/>
      </w:pPr>
      <w:rPr>
        <w:rFonts w:hint="default"/>
        <w:lang w:val="en-US" w:eastAsia="en-US" w:bidi="ar-SA"/>
      </w:rPr>
    </w:lvl>
    <w:lvl w:ilvl="3">
      <w:start w:val="0"/>
      <w:numFmt w:val="bullet"/>
      <w:lvlText w:val="•"/>
      <w:lvlJc w:val="left"/>
      <w:pPr>
        <w:ind w:left="3661" w:hanging="257"/>
      </w:pPr>
      <w:rPr>
        <w:rFonts w:hint="default"/>
        <w:lang w:val="en-US" w:eastAsia="en-US" w:bidi="ar-SA"/>
      </w:rPr>
    </w:lvl>
    <w:lvl w:ilvl="4">
      <w:start w:val="0"/>
      <w:numFmt w:val="bullet"/>
      <w:lvlText w:val="•"/>
      <w:lvlJc w:val="left"/>
      <w:pPr>
        <w:ind w:left="4602" w:hanging="257"/>
      </w:pPr>
      <w:rPr>
        <w:rFonts w:hint="default"/>
        <w:lang w:val="en-US" w:eastAsia="en-US" w:bidi="ar-SA"/>
      </w:rPr>
    </w:lvl>
    <w:lvl w:ilvl="5">
      <w:start w:val="0"/>
      <w:numFmt w:val="bullet"/>
      <w:lvlText w:val="•"/>
      <w:lvlJc w:val="left"/>
      <w:pPr>
        <w:ind w:left="5542" w:hanging="257"/>
      </w:pPr>
      <w:rPr>
        <w:rFonts w:hint="default"/>
        <w:lang w:val="en-US" w:eastAsia="en-US" w:bidi="ar-SA"/>
      </w:rPr>
    </w:lvl>
    <w:lvl w:ilvl="6">
      <w:start w:val="0"/>
      <w:numFmt w:val="bullet"/>
      <w:lvlText w:val="•"/>
      <w:lvlJc w:val="left"/>
      <w:pPr>
        <w:ind w:left="6483" w:hanging="257"/>
      </w:pPr>
      <w:rPr>
        <w:rFonts w:hint="default"/>
        <w:lang w:val="en-US" w:eastAsia="en-US" w:bidi="ar-SA"/>
      </w:rPr>
    </w:lvl>
    <w:lvl w:ilvl="7">
      <w:start w:val="0"/>
      <w:numFmt w:val="bullet"/>
      <w:lvlText w:val="•"/>
      <w:lvlJc w:val="left"/>
      <w:pPr>
        <w:ind w:left="7424" w:hanging="257"/>
      </w:pPr>
      <w:rPr>
        <w:rFonts w:hint="default"/>
        <w:lang w:val="en-US" w:eastAsia="en-US" w:bidi="ar-SA"/>
      </w:rPr>
    </w:lvl>
    <w:lvl w:ilvl="8">
      <w:start w:val="0"/>
      <w:numFmt w:val="bullet"/>
      <w:lvlText w:val="•"/>
      <w:lvlJc w:val="left"/>
      <w:pPr>
        <w:ind w:left="8364" w:hanging="257"/>
      </w:pPr>
      <w:rPr>
        <w:rFonts w:hint="default"/>
        <w:lang w:val="en-US" w:eastAsia="en-US" w:bidi="ar-SA"/>
      </w:rPr>
    </w:lvl>
  </w:abstractNum>
  <w:abstractNum w:abstractNumId="25">
    <w:multiLevelType w:val="hybridMultilevel"/>
    <w:lvl w:ilvl="0">
      <w:start w:val="0"/>
      <w:numFmt w:val="bullet"/>
      <w:lvlText w:val="•"/>
      <w:lvlJc w:val="left"/>
      <w:pPr>
        <w:ind w:left="1166" w:hanging="425"/>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2068" w:hanging="425"/>
      </w:pPr>
      <w:rPr>
        <w:rFonts w:hint="default"/>
        <w:lang w:val="en-US" w:eastAsia="en-US" w:bidi="ar-SA"/>
      </w:rPr>
    </w:lvl>
    <w:lvl w:ilvl="2">
      <w:start w:val="0"/>
      <w:numFmt w:val="bullet"/>
      <w:lvlText w:val="•"/>
      <w:lvlJc w:val="left"/>
      <w:pPr>
        <w:ind w:left="2977" w:hanging="425"/>
      </w:pPr>
      <w:rPr>
        <w:rFonts w:hint="default"/>
        <w:lang w:val="en-US" w:eastAsia="en-US" w:bidi="ar-SA"/>
      </w:rPr>
    </w:lvl>
    <w:lvl w:ilvl="3">
      <w:start w:val="0"/>
      <w:numFmt w:val="bullet"/>
      <w:lvlText w:val="•"/>
      <w:lvlJc w:val="left"/>
      <w:pPr>
        <w:ind w:left="3885" w:hanging="425"/>
      </w:pPr>
      <w:rPr>
        <w:rFonts w:hint="default"/>
        <w:lang w:val="en-US" w:eastAsia="en-US" w:bidi="ar-SA"/>
      </w:rPr>
    </w:lvl>
    <w:lvl w:ilvl="4">
      <w:start w:val="0"/>
      <w:numFmt w:val="bullet"/>
      <w:lvlText w:val="•"/>
      <w:lvlJc w:val="left"/>
      <w:pPr>
        <w:ind w:left="4794" w:hanging="425"/>
      </w:pPr>
      <w:rPr>
        <w:rFonts w:hint="default"/>
        <w:lang w:val="en-US" w:eastAsia="en-US" w:bidi="ar-SA"/>
      </w:rPr>
    </w:lvl>
    <w:lvl w:ilvl="5">
      <w:start w:val="0"/>
      <w:numFmt w:val="bullet"/>
      <w:lvlText w:val="•"/>
      <w:lvlJc w:val="left"/>
      <w:pPr>
        <w:ind w:left="5703" w:hanging="425"/>
      </w:pPr>
      <w:rPr>
        <w:rFonts w:hint="default"/>
        <w:lang w:val="en-US" w:eastAsia="en-US" w:bidi="ar-SA"/>
      </w:rPr>
    </w:lvl>
    <w:lvl w:ilvl="6">
      <w:start w:val="0"/>
      <w:numFmt w:val="bullet"/>
      <w:lvlText w:val="•"/>
      <w:lvlJc w:val="left"/>
      <w:pPr>
        <w:ind w:left="6611" w:hanging="425"/>
      </w:pPr>
      <w:rPr>
        <w:rFonts w:hint="default"/>
        <w:lang w:val="en-US" w:eastAsia="en-US" w:bidi="ar-SA"/>
      </w:rPr>
    </w:lvl>
    <w:lvl w:ilvl="7">
      <w:start w:val="0"/>
      <w:numFmt w:val="bullet"/>
      <w:lvlText w:val="•"/>
      <w:lvlJc w:val="left"/>
      <w:pPr>
        <w:ind w:left="7520" w:hanging="425"/>
      </w:pPr>
      <w:rPr>
        <w:rFonts w:hint="default"/>
        <w:lang w:val="en-US" w:eastAsia="en-US" w:bidi="ar-SA"/>
      </w:rPr>
    </w:lvl>
    <w:lvl w:ilvl="8">
      <w:start w:val="0"/>
      <w:numFmt w:val="bullet"/>
      <w:lvlText w:val="•"/>
      <w:lvlJc w:val="left"/>
      <w:pPr>
        <w:ind w:left="8429" w:hanging="425"/>
      </w:pPr>
      <w:rPr>
        <w:rFonts w:hint="default"/>
        <w:lang w:val="en-US" w:eastAsia="en-US" w:bidi="ar-SA"/>
      </w:rPr>
    </w:lvl>
  </w:abstractNum>
  <w:abstractNum w:abstractNumId="24">
    <w:multiLevelType w:val="hybridMultilevel"/>
    <w:lvl w:ilvl="0">
      <w:start w:val="1"/>
      <w:numFmt w:val="lowerLetter"/>
      <w:lvlText w:val="(%1)"/>
      <w:lvlJc w:val="left"/>
      <w:pPr>
        <w:ind w:left="2232" w:hanging="576"/>
        <w:jc w:val="left"/>
      </w:pPr>
      <w:rPr>
        <w:rFonts w:hint="default" w:ascii="Arial" w:hAnsi="Arial" w:eastAsia="Arial" w:cs="Arial"/>
        <w:b w:val="0"/>
        <w:bCs w:val="0"/>
        <w:i/>
        <w:iCs/>
        <w:spacing w:val="0"/>
        <w:w w:val="100"/>
        <w:sz w:val="22"/>
        <w:szCs w:val="22"/>
        <w:lang w:val="en-US" w:eastAsia="en-US" w:bidi="ar-SA"/>
      </w:rPr>
    </w:lvl>
    <w:lvl w:ilvl="1">
      <w:start w:val="0"/>
      <w:numFmt w:val="bullet"/>
      <w:lvlText w:val="•"/>
      <w:lvlJc w:val="left"/>
      <w:pPr>
        <w:ind w:left="3040" w:hanging="576"/>
      </w:pPr>
      <w:rPr>
        <w:rFonts w:hint="default"/>
        <w:lang w:val="en-US" w:eastAsia="en-US" w:bidi="ar-SA"/>
      </w:rPr>
    </w:lvl>
    <w:lvl w:ilvl="2">
      <w:start w:val="0"/>
      <w:numFmt w:val="bullet"/>
      <w:lvlText w:val="•"/>
      <w:lvlJc w:val="left"/>
      <w:pPr>
        <w:ind w:left="3841" w:hanging="576"/>
      </w:pPr>
      <w:rPr>
        <w:rFonts w:hint="default"/>
        <w:lang w:val="en-US" w:eastAsia="en-US" w:bidi="ar-SA"/>
      </w:rPr>
    </w:lvl>
    <w:lvl w:ilvl="3">
      <w:start w:val="0"/>
      <w:numFmt w:val="bullet"/>
      <w:lvlText w:val="•"/>
      <w:lvlJc w:val="left"/>
      <w:pPr>
        <w:ind w:left="4641" w:hanging="576"/>
      </w:pPr>
      <w:rPr>
        <w:rFonts w:hint="default"/>
        <w:lang w:val="en-US" w:eastAsia="en-US" w:bidi="ar-SA"/>
      </w:rPr>
    </w:lvl>
    <w:lvl w:ilvl="4">
      <w:start w:val="0"/>
      <w:numFmt w:val="bullet"/>
      <w:lvlText w:val="•"/>
      <w:lvlJc w:val="left"/>
      <w:pPr>
        <w:ind w:left="5442" w:hanging="576"/>
      </w:pPr>
      <w:rPr>
        <w:rFonts w:hint="default"/>
        <w:lang w:val="en-US" w:eastAsia="en-US" w:bidi="ar-SA"/>
      </w:rPr>
    </w:lvl>
    <w:lvl w:ilvl="5">
      <w:start w:val="0"/>
      <w:numFmt w:val="bullet"/>
      <w:lvlText w:val="•"/>
      <w:lvlJc w:val="left"/>
      <w:pPr>
        <w:ind w:left="6243" w:hanging="576"/>
      </w:pPr>
      <w:rPr>
        <w:rFonts w:hint="default"/>
        <w:lang w:val="en-US" w:eastAsia="en-US" w:bidi="ar-SA"/>
      </w:rPr>
    </w:lvl>
    <w:lvl w:ilvl="6">
      <w:start w:val="0"/>
      <w:numFmt w:val="bullet"/>
      <w:lvlText w:val="•"/>
      <w:lvlJc w:val="left"/>
      <w:pPr>
        <w:ind w:left="7043" w:hanging="576"/>
      </w:pPr>
      <w:rPr>
        <w:rFonts w:hint="default"/>
        <w:lang w:val="en-US" w:eastAsia="en-US" w:bidi="ar-SA"/>
      </w:rPr>
    </w:lvl>
    <w:lvl w:ilvl="7">
      <w:start w:val="0"/>
      <w:numFmt w:val="bullet"/>
      <w:lvlText w:val="•"/>
      <w:lvlJc w:val="left"/>
      <w:pPr>
        <w:ind w:left="7844" w:hanging="576"/>
      </w:pPr>
      <w:rPr>
        <w:rFonts w:hint="default"/>
        <w:lang w:val="en-US" w:eastAsia="en-US" w:bidi="ar-SA"/>
      </w:rPr>
    </w:lvl>
    <w:lvl w:ilvl="8">
      <w:start w:val="0"/>
      <w:numFmt w:val="bullet"/>
      <w:lvlText w:val="•"/>
      <w:lvlJc w:val="left"/>
      <w:pPr>
        <w:ind w:left="8645" w:hanging="576"/>
      </w:pPr>
      <w:rPr>
        <w:rFonts w:hint="default"/>
        <w:lang w:val="en-US" w:eastAsia="en-US" w:bidi="ar-SA"/>
      </w:rPr>
    </w:lvl>
  </w:abstractNum>
  <w:abstractNum w:abstractNumId="23">
    <w:multiLevelType w:val="hybridMultilevel"/>
    <w:lvl w:ilvl="0">
      <w:start w:val="0"/>
      <w:numFmt w:val="bullet"/>
      <w:lvlText w:val="•"/>
      <w:lvlJc w:val="left"/>
      <w:pPr>
        <w:ind w:left="958" w:hanging="358"/>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888" w:hanging="358"/>
      </w:pPr>
      <w:rPr>
        <w:rFonts w:hint="default"/>
        <w:lang w:val="en-US" w:eastAsia="en-US" w:bidi="ar-SA"/>
      </w:rPr>
    </w:lvl>
    <w:lvl w:ilvl="2">
      <w:start w:val="0"/>
      <w:numFmt w:val="bullet"/>
      <w:lvlText w:val="•"/>
      <w:lvlJc w:val="left"/>
      <w:pPr>
        <w:ind w:left="2817" w:hanging="358"/>
      </w:pPr>
      <w:rPr>
        <w:rFonts w:hint="default"/>
        <w:lang w:val="en-US" w:eastAsia="en-US" w:bidi="ar-SA"/>
      </w:rPr>
    </w:lvl>
    <w:lvl w:ilvl="3">
      <w:start w:val="0"/>
      <w:numFmt w:val="bullet"/>
      <w:lvlText w:val="•"/>
      <w:lvlJc w:val="left"/>
      <w:pPr>
        <w:ind w:left="3745" w:hanging="358"/>
      </w:pPr>
      <w:rPr>
        <w:rFonts w:hint="default"/>
        <w:lang w:val="en-US" w:eastAsia="en-US" w:bidi="ar-SA"/>
      </w:rPr>
    </w:lvl>
    <w:lvl w:ilvl="4">
      <w:start w:val="0"/>
      <w:numFmt w:val="bullet"/>
      <w:lvlText w:val="•"/>
      <w:lvlJc w:val="left"/>
      <w:pPr>
        <w:ind w:left="4674" w:hanging="358"/>
      </w:pPr>
      <w:rPr>
        <w:rFonts w:hint="default"/>
        <w:lang w:val="en-US" w:eastAsia="en-US" w:bidi="ar-SA"/>
      </w:rPr>
    </w:lvl>
    <w:lvl w:ilvl="5">
      <w:start w:val="0"/>
      <w:numFmt w:val="bullet"/>
      <w:lvlText w:val="•"/>
      <w:lvlJc w:val="left"/>
      <w:pPr>
        <w:ind w:left="5603" w:hanging="358"/>
      </w:pPr>
      <w:rPr>
        <w:rFonts w:hint="default"/>
        <w:lang w:val="en-US" w:eastAsia="en-US" w:bidi="ar-SA"/>
      </w:rPr>
    </w:lvl>
    <w:lvl w:ilvl="6">
      <w:start w:val="0"/>
      <w:numFmt w:val="bullet"/>
      <w:lvlText w:val="•"/>
      <w:lvlJc w:val="left"/>
      <w:pPr>
        <w:ind w:left="6531" w:hanging="358"/>
      </w:pPr>
      <w:rPr>
        <w:rFonts w:hint="default"/>
        <w:lang w:val="en-US" w:eastAsia="en-US" w:bidi="ar-SA"/>
      </w:rPr>
    </w:lvl>
    <w:lvl w:ilvl="7">
      <w:start w:val="0"/>
      <w:numFmt w:val="bullet"/>
      <w:lvlText w:val="•"/>
      <w:lvlJc w:val="left"/>
      <w:pPr>
        <w:ind w:left="7460" w:hanging="358"/>
      </w:pPr>
      <w:rPr>
        <w:rFonts w:hint="default"/>
        <w:lang w:val="en-US" w:eastAsia="en-US" w:bidi="ar-SA"/>
      </w:rPr>
    </w:lvl>
    <w:lvl w:ilvl="8">
      <w:start w:val="0"/>
      <w:numFmt w:val="bullet"/>
      <w:lvlText w:val="•"/>
      <w:lvlJc w:val="left"/>
      <w:pPr>
        <w:ind w:left="8389" w:hanging="358"/>
      </w:pPr>
      <w:rPr>
        <w:rFonts w:hint="default"/>
        <w:lang w:val="en-US" w:eastAsia="en-US" w:bidi="ar-SA"/>
      </w:rPr>
    </w:lvl>
  </w:abstractNum>
  <w:abstractNum w:abstractNumId="22">
    <w:multiLevelType w:val="hybridMultilevel"/>
    <w:lvl w:ilvl="0">
      <w:start w:val="0"/>
      <w:numFmt w:val="bullet"/>
      <w:lvlText w:val="•"/>
      <w:lvlJc w:val="left"/>
      <w:pPr>
        <w:ind w:left="470" w:hanging="358"/>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334" w:hanging="358"/>
      </w:pPr>
      <w:rPr>
        <w:rFonts w:hint="default"/>
        <w:lang w:val="en-US" w:eastAsia="en-US" w:bidi="ar-SA"/>
      </w:rPr>
    </w:lvl>
    <w:lvl w:ilvl="2">
      <w:start w:val="0"/>
      <w:numFmt w:val="bullet"/>
      <w:lvlText w:val="•"/>
      <w:lvlJc w:val="left"/>
      <w:pPr>
        <w:ind w:left="2189" w:hanging="358"/>
      </w:pPr>
      <w:rPr>
        <w:rFonts w:hint="default"/>
        <w:lang w:val="en-US" w:eastAsia="en-US" w:bidi="ar-SA"/>
      </w:rPr>
    </w:lvl>
    <w:lvl w:ilvl="3">
      <w:start w:val="0"/>
      <w:numFmt w:val="bullet"/>
      <w:lvlText w:val="•"/>
      <w:lvlJc w:val="left"/>
      <w:pPr>
        <w:ind w:left="3044" w:hanging="358"/>
      </w:pPr>
      <w:rPr>
        <w:rFonts w:hint="default"/>
        <w:lang w:val="en-US" w:eastAsia="en-US" w:bidi="ar-SA"/>
      </w:rPr>
    </w:lvl>
    <w:lvl w:ilvl="4">
      <w:start w:val="0"/>
      <w:numFmt w:val="bullet"/>
      <w:lvlText w:val="•"/>
      <w:lvlJc w:val="left"/>
      <w:pPr>
        <w:ind w:left="3899" w:hanging="358"/>
      </w:pPr>
      <w:rPr>
        <w:rFonts w:hint="default"/>
        <w:lang w:val="en-US" w:eastAsia="en-US" w:bidi="ar-SA"/>
      </w:rPr>
    </w:lvl>
    <w:lvl w:ilvl="5">
      <w:start w:val="0"/>
      <w:numFmt w:val="bullet"/>
      <w:lvlText w:val="•"/>
      <w:lvlJc w:val="left"/>
      <w:pPr>
        <w:ind w:left="4753" w:hanging="358"/>
      </w:pPr>
      <w:rPr>
        <w:rFonts w:hint="default"/>
        <w:lang w:val="en-US" w:eastAsia="en-US" w:bidi="ar-SA"/>
      </w:rPr>
    </w:lvl>
    <w:lvl w:ilvl="6">
      <w:start w:val="0"/>
      <w:numFmt w:val="bullet"/>
      <w:lvlText w:val="•"/>
      <w:lvlJc w:val="left"/>
      <w:pPr>
        <w:ind w:left="5608" w:hanging="358"/>
      </w:pPr>
      <w:rPr>
        <w:rFonts w:hint="default"/>
        <w:lang w:val="en-US" w:eastAsia="en-US" w:bidi="ar-SA"/>
      </w:rPr>
    </w:lvl>
    <w:lvl w:ilvl="7">
      <w:start w:val="0"/>
      <w:numFmt w:val="bullet"/>
      <w:lvlText w:val="•"/>
      <w:lvlJc w:val="left"/>
      <w:pPr>
        <w:ind w:left="6463" w:hanging="358"/>
      </w:pPr>
      <w:rPr>
        <w:rFonts w:hint="default"/>
        <w:lang w:val="en-US" w:eastAsia="en-US" w:bidi="ar-SA"/>
      </w:rPr>
    </w:lvl>
    <w:lvl w:ilvl="8">
      <w:start w:val="0"/>
      <w:numFmt w:val="bullet"/>
      <w:lvlText w:val="•"/>
      <w:lvlJc w:val="left"/>
      <w:pPr>
        <w:ind w:left="7318" w:hanging="358"/>
      </w:pPr>
      <w:rPr>
        <w:rFonts w:hint="default"/>
        <w:lang w:val="en-US" w:eastAsia="en-US" w:bidi="ar-SA"/>
      </w:rPr>
    </w:lvl>
  </w:abstractNum>
  <w:abstractNum w:abstractNumId="21">
    <w:multiLevelType w:val="hybridMultilevel"/>
    <w:lvl w:ilvl="0">
      <w:start w:val="1"/>
      <w:numFmt w:val="lowerLetter"/>
      <w:lvlText w:val="(%1)"/>
      <w:lvlJc w:val="left"/>
      <w:pPr>
        <w:ind w:left="907" w:hanging="358"/>
        <w:jc w:val="left"/>
      </w:pPr>
      <w:rPr>
        <w:rFonts w:hint="default" w:ascii="Arial" w:hAnsi="Arial" w:eastAsia="Arial" w:cs="Arial"/>
        <w:b w:val="0"/>
        <w:bCs w:val="0"/>
        <w:i w:val="0"/>
        <w:iCs w:val="0"/>
        <w:spacing w:val="0"/>
        <w:w w:val="100"/>
        <w:sz w:val="22"/>
        <w:szCs w:val="22"/>
        <w:lang w:val="en-US" w:eastAsia="en-US" w:bidi="ar-SA"/>
      </w:rPr>
    </w:lvl>
    <w:lvl w:ilvl="1">
      <w:start w:val="0"/>
      <w:numFmt w:val="bullet"/>
      <w:lvlText w:val="•"/>
      <w:lvlJc w:val="left"/>
      <w:pPr>
        <w:ind w:left="1834" w:hanging="358"/>
      </w:pPr>
      <w:rPr>
        <w:rFonts w:hint="default"/>
        <w:lang w:val="en-US" w:eastAsia="en-US" w:bidi="ar-SA"/>
      </w:rPr>
    </w:lvl>
    <w:lvl w:ilvl="2">
      <w:start w:val="0"/>
      <w:numFmt w:val="bullet"/>
      <w:lvlText w:val="•"/>
      <w:lvlJc w:val="left"/>
      <w:pPr>
        <w:ind w:left="2769" w:hanging="358"/>
      </w:pPr>
      <w:rPr>
        <w:rFonts w:hint="default"/>
        <w:lang w:val="en-US" w:eastAsia="en-US" w:bidi="ar-SA"/>
      </w:rPr>
    </w:lvl>
    <w:lvl w:ilvl="3">
      <w:start w:val="0"/>
      <w:numFmt w:val="bullet"/>
      <w:lvlText w:val="•"/>
      <w:lvlJc w:val="left"/>
      <w:pPr>
        <w:ind w:left="3703" w:hanging="358"/>
      </w:pPr>
      <w:rPr>
        <w:rFonts w:hint="default"/>
        <w:lang w:val="en-US" w:eastAsia="en-US" w:bidi="ar-SA"/>
      </w:rPr>
    </w:lvl>
    <w:lvl w:ilvl="4">
      <w:start w:val="0"/>
      <w:numFmt w:val="bullet"/>
      <w:lvlText w:val="•"/>
      <w:lvlJc w:val="left"/>
      <w:pPr>
        <w:ind w:left="4638" w:hanging="358"/>
      </w:pPr>
      <w:rPr>
        <w:rFonts w:hint="default"/>
        <w:lang w:val="en-US" w:eastAsia="en-US" w:bidi="ar-SA"/>
      </w:rPr>
    </w:lvl>
    <w:lvl w:ilvl="5">
      <w:start w:val="0"/>
      <w:numFmt w:val="bullet"/>
      <w:lvlText w:val="•"/>
      <w:lvlJc w:val="left"/>
      <w:pPr>
        <w:ind w:left="5573" w:hanging="358"/>
      </w:pPr>
      <w:rPr>
        <w:rFonts w:hint="default"/>
        <w:lang w:val="en-US" w:eastAsia="en-US" w:bidi="ar-SA"/>
      </w:rPr>
    </w:lvl>
    <w:lvl w:ilvl="6">
      <w:start w:val="0"/>
      <w:numFmt w:val="bullet"/>
      <w:lvlText w:val="•"/>
      <w:lvlJc w:val="left"/>
      <w:pPr>
        <w:ind w:left="6507" w:hanging="358"/>
      </w:pPr>
      <w:rPr>
        <w:rFonts w:hint="default"/>
        <w:lang w:val="en-US" w:eastAsia="en-US" w:bidi="ar-SA"/>
      </w:rPr>
    </w:lvl>
    <w:lvl w:ilvl="7">
      <w:start w:val="0"/>
      <w:numFmt w:val="bullet"/>
      <w:lvlText w:val="•"/>
      <w:lvlJc w:val="left"/>
      <w:pPr>
        <w:ind w:left="7442" w:hanging="358"/>
      </w:pPr>
      <w:rPr>
        <w:rFonts w:hint="default"/>
        <w:lang w:val="en-US" w:eastAsia="en-US" w:bidi="ar-SA"/>
      </w:rPr>
    </w:lvl>
    <w:lvl w:ilvl="8">
      <w:start w:val="0"/>
      <w:numFmt w:val="bullet"/>
      <w:lvlText w:val="•"/>
      <w:lvlJc w:val="left"/>
      <w:pPr>
        <w:ind w:left="8377" w:hanging="358"/>
      </w:pPr>
      <w:rPr>
        <w:rFonts w:hint="default"/>
        <w:lang w:val="en-US" w:eastAsia="en-US" w:bidi="ar-SA"/>
      </w:rPr>
    </w:lvl>
  </w:abstractNum>
  <w:abstractNum w:abstractNumId="20">
    <w:multiLevelType w:val="hybridMultilevel"/>
    <w:lvl w:ilvl="0">
      <w:start w:val="1"/>
      <w:numFmt w:val="lowerLetter"/>
      <w:lvlText w:val="(%1)"/>
      <w:lvlJc w:val="left"/>
      <w:pPr>
        <w:ind w:left="907" w:hanging="358"/>
        <w:jc w:val="left"/>
      </w:pPr>
      <w:rPr>
        <w:rFonts w:hint="default" w:ascii="Arial" w:hAnsi="Arial" w:eastAsia="Arial" w:cs="Arial"/>
        <w:b w:val="0"/>
        <w:bCs w:val="0"/>
        <w:i w:val="0"/>
        <w:iCs w:val="0"/>
        <w:spacing w:val="0"/>
        <w:w w:val="100"/>
        <w:sz w:val="22"/>
        <w:szCs w:val="22"/>
        <w:lang w:val="en-US" w:eastAsia="en-US" w:bidi="ar-SA"/>
      </w:rPr>
    </w:lvl>
    <w:lvl w:ilvl="1">
      <w:start w:val="0"/>
      <w:numFmt w:val="bullet"/>
      <w:lvlText w:val="•"/>
      <w:lvlJc w:val="left"/>
      <w:pPr>
        <w:ind w:left="1834" w:hanging="358"/>
      </w:pPr>
      <w:rPr>
        <w:rFonts w:hint="default"/>
        <w:lang w:val="en-US" w:eastAsia="en-US" w:bidi="ar-SA"/>
      </w:rPr>
    </w:lvl>
    <w:lvl w:ilvl="2">
      <w:start w:val="0"/>
      <w:numFmt w:val="bullet"/>
      <w:lvlText w:val="•"/>
      <w:lvlJc w:val="left"/>
      <w:pPr>
        <w:ind w:left="2769" w:hanging="358"/>
      </w:pPr>
      <w:rPr>
        <w:rFonts w:hint="default"/>
        <w:lang w:val="en-US" w:eastAsia="en-US" w:bidi="ar-SA"/>
      </w:rPr>
    </w:lvl>
    <w:lvl w:ilvl="3">
      <w:start w:val="0"/>
      <w:numFmt w:val="bullet"/>
      <w:lvlText w:val="•"/>
      <w:lvlJc w:val="left"/>
      <w:pPr>
        <w:ind w:left="3703" w:hanging="358"/>
      </w:pPr>
      <w:rPr>
        <w:rFonts w:hint="default"/>
        <w:lang w:val="en-US" w:eastAsia="en-US" w:bidi="ar-SA"/>
      </w:rPr>
    </w:lvl>
    <w:lvl w:ilvl="4">
      <w:start w:val="0"/>
      <w:numFmt w:val="bullet"/>
      <w:lvlText w:val="•"/>
      <w:lvlJc w:val="left"/>
      <w:pPr>
        <w:ind w:left="4638" w:hanging="358"/>
      </w:pPr>
      <w:rPr>
        <w:rFonts w:hint="default"/>
        <w:lang w:val="en-US" w:eastAsia="en-US" w:bidi="ar-SA"/>
      </w:rPr>
    </w:lvl>
    <w:lvl w:ilvl="5">
      <w:start w:val="0"/>
      <w:numFmt w:val="bullet"/>
      <w:lvlText w:val="•"/>
      <w:lvlJc w:val="left"/>
      <w:pPr>
        <w:ind w:left="5573" w:hanging="358"/>
      </w:pPr>
      <w:rPr>
        <w:rFonts w:hint="default"/>
        <w:lang w:val="en-US" w:eastAsia="en-US" w:bidi="ar-SA"/>
      </w:rPr>
    </w:lvl>
    <w:lvl w:ilvl="6">
      <w:start w:val="0"/>
      <w:numFmt w:val="bullet"/>
      <w:lvlText w:val="•"/>
      <w:lvlJc w:val="left"/>
      <w:pPr>
        <w:ind w:left="6507" w:hanging="358"/>
      </w:pPr>
      <w:rPr>
        <w:rFonts w:hint="default"/>
        <w:lang w:val="en-US" w:eastAsia="en-US" w:bidi="ar-SA"/>
      </w:rPr>
    </w:lvl>
    <w:lvl w:ilvl="7">
      <w:start w:val="0"/>
      <w:numFmt w:val="bullet"/>
      <w:lvlText w:val="•"/>
      <w:lvlJc w:val="left"/>
      <w:pPr>
        <w:ind w:left="7442" w:hanging="358"/>
      </w:pPr>
      <w:rPr>
        <w:rFonts w:hint="default"/>
        <w:lang w:val="en-US" w:eastAsia="en-US" w:bidi="ar-SA"/>
      </w:rPr>
    </w:lvl>
    <w:lvl w:ilvl="8">
      <w:start w:val="0"/>
      <w:numFmt w:val="bullet"/>
      <w:lvlText w:val="•"/>
      <w:lvlJc w:val="left"/>
      <w:pPr>
        <w:ind w:left="8377" w:hanging="358"/>
      </w:pPr>
      <w:rPr>
        <w:rFonts w:hint="default"/>
        <w:lang w:val="en-US" w:eastAsia="en-US" w:bidi="ar-SA"/>
      </w:rPr>
    </w:lvl>
  </w:abstractNum>
  <w:abstractNum w:abstractNumId="19">
    <w:multiLevelType w:val="hybridMultilevel"/>
    <w:lvl w:ilvl="0">
      <w:start w:val="0"/>
      <w:numFmt w:val="bullet"/>
      <w:lvlText w:val="•"/>
      <w:lvlJc w:val="left"/>
      <w:pPr>
        <w:ind w:left="958" w:hanging="358"/>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888" w:hanging="358"/>
      </w:pPr>
      <w:rPr>
        <w:rFonts w:hint="default"/>
        <w:lang w:val="en-US" w:eastAsia="en-US" w:bidi="ar-SA"/>
      </w:rPr>
    </w:lvl>
    <w:lvl w:ilvl="2">
      <w:start w:val="0"/>
      <w:numFmt w:val="bullet"/>
      <w:lvlText w:val="•"/>
      <w:lvlJc w:val="left"/>
      <w:pPr>
        <w:ind w:left="2817" w:hanging="358"/>
      </w:pPr>
      <w:rPr>
        <w:rFonts w:hint="default"/>
        <w:lang w:val="en-US" w:eastAsia="en-US" w:bidi="ar-SA"/>
      </w:rPr>
    </w:lvl>
    <w:lvl w:ilvl="3">
      <w:start w:val="0"/>
      <w:numFmt w:val="bullet"/>
      <w:lvlText w:val="•"/>
      <w:lvlJc w:val="left"/>
      <w:pPr>
        <w:ind w:left="3745" w:hanging="358"/>
      </w:pPr>
      <w:rPr>
        <w:rFonts w:hint="default"/>
        <w:lang w:val="en-US" w:eastAsia="en-US" w:bidi="ar-SA"/>
      </w:rPr>
    </w:lvl>
    <w:lvl w:ilvl="4">
      <w:start w:val="0"/>
      <w:numFmt w:val="bullet"/>
      <w:lvlText w:val="•"/>
      <w:lvlJc w:val="left"/>
      <w:pPr>
        <w:ind w:left="4674" w:hanging="358"/>
      </w:pPr>
      <w:rPr>
        <w:rFonts w:hint="default"/>
        <w:lang w:val="en-US" w:eastAsia="en-US" w:bidi="ar-SA"/>
      </w:rPr>
    </w:lvl>
    <w:lvl w:ilvl="5">
      <w:start w:val="0"/>
      <w:numFmt w:val="bullet"/>
      <w:lvlText w:val="•"/>
      <w:lvlJc w:val="left"/>
      <w:pPr>
        <w:ind w:left="5603" w:hanging="358"/>
      </w:pPr>
      <w:rPr>
        <w:rFonts w:hint="default"/>
        <w:lang w:val="en-US" w:eastAsia="en-US" w:bidi="ar-SA"/>
      </w:rPr>
    </w:lvl>
    <w:lvl w:ilvl="6">
      <w:start w:val="0"/>
      <w:numFmt w:val="bullet"/>
      <w:lvlText w:val="•"/>
      <w:lvlJc w:val="left"/>
      <w:pPr>
        <w:ind w:left="6531" w:hanging="358"/>
      </w:pPr>
      <w:rPr>
        <w:rFonts w:hint="default"/>
        <w:lang w:val="en-US" w:eastAsia="en-US" w:bidi="ar-SA"/>
      </w:rPr>
    </w:lvl>
    <w:lvl w:ilvl="7">
      <w:start w:val="0"/>
      <w:numFmt w:val="bullet"/>
      <w:lvlText w:val="•"/>
      <w:lvlJc w:val="left"/>
      <w:pPr>
        <w:ind w:left="7460" w:hanging="358"/>
      </w:pPr>
      <w:rPr>
        <w:rFonts w:hint="default"/>
        <w:lang w:val="en-US" w:eastAsia="en-US" w:bidi="ar-SA"/>
      </w:rPr>
    </w:lvl>
    <w:lvl w:ilvl="8">
      <w:start w:val="0"/>
      <w:numFmt w:val="bullet"/>
      <w:lvlText w:val="•"/>
      <w:lvlJc w:val="left"/>
      <w:pPr>
        <w:ind w:left="8389" w:hanging="358"/>
      </w:pPr>
      <w:rPr>
        <w:rFonts w:hint="default"/>
        <w:lang w:val="en-US" w:eastAsia="en-US" w:bidi="ar-SA"/>
      </w:rPr>
    </w:lvl>
  </w:abstractNum>
  <w:abstractNum w:abstractNumId="18">
    <w:multiLevelType w:val="hybridMultilevel"/>
    <w:lvl w:ilvl="0">
      <w:start w:val="1"/>
      <w:numFmt w:val="decimal"/>
      <w:lvlText w:val="%1."/>
      <w:lvlJc w:val="left"/>
      <w:pPr>
        <w:ind w:left="653" w:hanging="361"/>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650" w:hanging="359"/>
      </w:pPr>
      <w:rPr>
        <w:rFonts w:hint="default" w:ascii="Arial" w:hAnsi="Arial" w:eastAsia="Arial" w:cs="Arial"/>
        <w:b w:val="0"/>
        <w:bCs w:val="0"/>
        <w:i w:val="0"/>
        <w:iCs w:val="0"/>
        <w:spacing w:val="0"/>
        <w:w w:val="131"/>
        <w:sz w:val="22"/>
        <w:szCs w:val="22"/>
        <w:lang w:val="en-US" w:eastAsia="en-US" w:bidi="ar-SA"/>
      </w:rPr>
    </w:lvl>
    <w:lvl w:ilvl="2">
      <w:start w:val="0"/>
      <w:numFmt w:val="bullet"/>
      <w:lvlText w:val="•"/>
      <w:lvlJc w:val="left"/>
      <w:pPr>
        <w:ind w:left="2577" w:hanging="359"/>
      </w:pPr>
      <w:rPr>
        <w:rFonts w:hint="default"/>
        <w:lang w:val="en-US" w:eastAsia="en-US" w:bidi="ar-SA"/>
      </w:rPr>
    </w:lvl>
    <w:lvl w:ilvl="3">
      <w:start w:val="0"/>
      <w:numFmt w:val="bullet"/>
      <w:lvlText w:val="•"/>
      <w:lvlJc w:val="left"/>
      <w:pPr>
        <w:ind w:left="3535" w:hanging="359"/>
      </w:pPr>
      <w:rPr>
        <w:rFonts w:hint="default"/>
        <w:lang w:val="en-US" w:eastAsia="en-US" w:bidi="ar-SA"/>
      </w:rPr>
    </w:lvl>
    <w:lvl w:ilvl="4">
      <w:start w:val="0"/>
      <w:numFmt w:val="bullet"/>
      <w:lvlText w:val="•"/>
      <w:lvlJc w:val="left"/>
      <w:pPr>
        <w:ind w:left="4494" w:hanging="359"/>
      </w:pPr>
      <w:rPr>
        <w:rFonts w:hint="default"/>
        <w:lang w:val="en-US" w:eastAsia="en-US" w:bidi="ar-SA"/>
      </w:rPr>
    </w:lvl>
    <w:lvl w:ilvl="5">
      <w:start w:val="0"/>
      <w:numFmt w:val="bullet"/>
      <w:lvlText w:val="•"/>
      <w:lvlJc w:val="left"/>
      <w:pPr>
        <w:ind w:left="5453" w:hanging="359"/>
      </w:pPr>
      <w:rPr>
        <w:rFonts w:hint="default"/>
        <w:lang w:val="en-US" w:eastAsia="en-US" w:bidi="ar-SA"/>
      </w:rPr>
    </w:lvl>
    <w:lvl w:ilvl="6">
      <w:start w:val="0"/>
      <w:numFmt w:val="bullet"/>
      <w:lvlText w:val="•"/>
      <w:lvlJc w:val="left"/>
      <w:pPr>
        <w:ind w:left="6411" w:hanging="359"/>
      </w:pPr>
      <w:rPr>
        <w:rFonts w:hint="default"/>
        <w:lang w:val="en-US" w:eastAsia="en-US" w:bidi="ar-SA"/>
      </w:rPr>
    </w:lvl>
    <w:lvl w:ilvl="7">
      <w:start w:val="0"/>
      <w:numFmt w:val="bullet"/>
      <w:lvlText w:val="•"/>
      <w:lvlJc w:val="left"/>
      <w:pPr>
        <w:ind w:left="7370" w:hanging="359"/>
      </w:pPr>
      <w:rPr>
        <w:rFonts w:hint="default"/>
        <w:lang w:val="en-US" w:eastAsia="en-US" w:bidi="ar-SA"/>
      </w:rPr>
    </w:lvl>
    <w:lvl w:ilvl="8">
      <w:start w:val="0"/>
      <w:numFmt w:val="bullet"/>
      <w:lvlText w:val="•"/>
      <w:lvlJc w:val="left"/>
      <w:pPr>
        <w:ind w:left="8329" w:hanging="359"/>
      </w:pPr>
      <w:rPr>
        <w:rFonts w:hint="default"/>
        <w:lang w:val="en-US" w:eastAsia="en-US" w:bidi="ar-SA"/>
      </w:rPr>
    </w:lvl>
  </w:abstractNum>
  <w:abstractNum w:abstractNumId="17">
    <w:multiLevelType w:val="hybridMultilevel"/>
    <w:lvl w:ilvl="0">
      <w:start w:val="0"/>
      <w:numFmt w:val="bullet"/>
      <w:lvlText w:val="•"/>
      <w:lvlJc w:val="left"/>
      <w:pPr>
        <w:ind w:left="576" w:hanging="284"/>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546" w:hanging="284"/>
      </w:pPr>
      <w:rPr>
        <w:rFonts w:hint="default"/>
        <w:lang w:val="en-US" w:eastAsia="en-US" w:bidi="ar-SA"/>
      </w:rPr>
    </w:lvl>
    <w:lvl w:ilvl="2">
      <w:start w:val="0"/>
      <w:numFmt w:val="bullet"/>
      <w:lvlText w:val="•"/>
      <w:lvlJc w:val="left"/>
      <w:pPr>
        <w:ind w:left="2513" w:hanging="284"/>
      </w:pPr>
      <w:rPr>
        <w:rFonts w:hint="default"/>
        <w:lang w:val="en-US" w:eastAsia="en-US" w:bidi="ar-SA"/>
      </w:rPr>
    </w:lvl>
    <w:lvl w:ilvl="3">
      <w:start w:val="0"/>
      <w:numFmt w:val="bullet"/>
      <w:lvlText w:val="•"/>
      <w:lvlJc w:val="left"/>
      <w:pPr>
        <w:ind w:left="3479" w:hanging="284"/>
      </w:pPr>
      <w:rPr>
        <w:rFonts w:hint="default"/>
        <w:lang w:val="en-US" w:eastAsia="en-US" w:bidi="ar-SA"/>
      </w:rPr>
    </w:lvl>
    <w:lvl w:ilvl="4">
      <w:start w:val="0"/>
      <w:numFmt w:val="bullet"/>
      <w:lvlText w:val="•"/>
      <w:lvlJc w:val="left"/>
      <w:pPr>
        <w:ind w:left="4446" w:hanging="284"/>
      </w:pPr>
      <w:rPr>
        <w:rFonts w:hint="default"/>
        <w:lang w:val="en-US" w:eastAsia="en-US" w:bidi="ar-SA"/>
      </w:rPr>
    </w:lvl>
    <w:lvl w:ilvl="5">
      <w:start w:val="0"/>
      <w:numFmt w:val="bullet"/>
      <w:lvlText w:val="•"/>
      <w:lvlJc w:val="left"/>
      <w:pPr>
        <w:ind w:left="5413" w:hanging="284"/>
      </w:pPr>
      <w:rPr>
        <w:rFonts w:hint="default"/>
        <w:lang w:val="en-US" w:eastAsia="en-US" w:bidi="ar-SA"/>
      </w:rPr>
    </w:lvl>
    <w:lvl w:ilvl="6">
      <w:start w:val="0"/>
      <w:numFmt w:val="bullet"/>
      <w:lvlText w:val="•"/>
      <w:lvlJc w:val="left"/>
      <w:pPr>
        <w:ind w:left="6379" w:hanging="284"/>
      </w:pPr>
      <w:rPr>
        <w:rFonts w:hint="default"/>
        <w:lang w:val="en-US" w:eastAsia="en-US" w:bidi="ar-SA"/>
      </w:rPr>
    </w:lvl>
    <w:lvl w:ilvl="7">
      <w:start w:val="0"/>
      <w:numFmt w:val="bullet"/>
      <w:lvlText w:val="•"/>
      <w:lvlJc w:val="left"/>
      <w:pPr>
        <w:ind w:left="7346" w:hanging="284"/>
      </w:pPr>
      <w:rPr>
        <w:rFonts w:hint="default"/>
        <w:lang w:val="en-US" w:eastAsia="en-US" w:bidi="ar-SA"/>
      </w:rPr>
    </w:lvl>
    <w:lvl w:ilvl="8">
      <w:start w:val="0"/>
      <w:numFmt w:val="bullet"/>
      <w:lvlText w:val="•"/>
      <w:lvlJc w:val="left"/>
      <w:pPr>
        <w:ind w:left="8313" w:hanging="284"/>
      </w:pPr>
      <w:rPr>
        <w:rFonts w:hint="default"/>
        <w:lang w:val="en-US" w:eastAsia="en-US" w:bidi="ar-SA"/>
      </w:rPr>
    </w:lvl>
  </w:abstractNum>
  <w:abstractNum w:abstractNumId="16">
    <w:multiLevelType w:val="hybridMultilevel"/>
    <w:lvl w:ilvl="0">
      <w:start w:val="0"/>
      <w:numFmt w:val="bullet"/>
      <w:lvlText w:val="•"/>
      <w:lvlJc w:val="left"/>
      <w:pPr>
        <w:ind w:left="502" w:hanging="219"/>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355" w:hanging="219"/>
      </w:pPr>
      <w:rPr>
        <w:rFonts w:hint="default"/>
        <w:lang w:val="en-US" w:eastAsia="en-US" w:bidi="ar-SA"/>
      </w:rPr>
    </w:lvl>
    <w:lvl w:ilvl="2">
      <w:start w:val="0"/>
      <w:numFmt w:val="bullet"/>
      <w:lvlText w:val="•"/>
      <w:lvlJc w:val="left"/>
      <w:pPr>
        <w:ind w:left="2211" w:hanging="219"/>
      </w:pPr>
      <w:rPr>
        <w:rFonts w:hint="default"/>
        <w:lang w:val="en-US" w:eastAsia="en-US" w:bidi="ar-SA"/>
      </w:rPr>
    </w:lvl>
    <w:lvl w:ilvl="3">
      <w:start w:val="0"/>
      <w:numFmt w:val="bullet"/>
      <w:lvlText w:val="•"/>
      <w:lvlJc w:val="left"/>
      <w:pPr>
        <w:ind w:left="3067" w:hanging="219"/>
      </w:pPr>
      <w:rPr>
        <w:rFonts w:hint="default"/>
        <w:lang w:val="en-US" w:eastAsia="en-US" w:bidi="ar-SA"/>
      </w:rPr>
    </w:lvl>
    <w:lvl w:ilvl="4">
      <w:start w:val="0"/>
      <w:numFmt w:val="bullet"/>
      <w:lvlText w:val="•"/>
      <w:lvlJc w:val="left"/>
      <w:pPr>
        <w:ind w:left="3923" w:hanging="219"/>
      </w:pPr>
      <w:rPr>
        <w:rFonts w:hint="default"/>
        <w:lang w:val="en-US" w:eastAsia="en-US" w:bidi="ar-SA"/>
      </w:rPr>
    </w:lvl>
    <w:lvl w:ilvl="5">
      <w:start w:val="0"/>
      <w:numFmt w:val="bullet"/>
      <w:lvlText w:val="•"/>
      <w:lvlJc w:val="left"/>
      <w:pPr>
        <w:ind w:left="4779" w:hanging="219"/>
      </w:pPr>
      <w:rPr>
        <w:rFonts w:hint="default"/>
        <w:lang w:val="en-US" w:eastAsia="en-US" w:bidi="ar-SA"/>
      </w:rPr>
    </w:lvl>
    <w:lvl w:ilvl="6">
      <w:start w:val="0"/>
      <w:numFmt w:val="bullet"/>
      <w:lvlText w:val="•"/>
      <w:lvlJc w:val="left"/>
      <w:pPr>
        <w:ind w:left="5635" w:hanging="219"/>
      </w:pPr>
      <w:rPr>
        <w:rFonts w:hint="default"/>
        <w:lang w:val="en-US" w:eastAsia="en-US" w:bidi="ar-SA"/>
      </w:rPr>
    </w:lvl>
    <w:lvl w:ilvl="7">
      <w:start w:val="0"/>
      <w:numFmt w:val="bullet"/>
      <w:lvlText w:val="•"/>
      <w:lvlJc w:val="left"/>
      <w:pPr>
        <w:ind w:left="6491" w:hanging="219"/>
      </w:pPr>
      <w:rPr>
        <w:rFonts w:hint="default"/>
        <w:lang w:val="en-US" w:eastAsia="en-US" w:bidi="ar-SA"/>
      </w:rPr>
    </w:lvl>
    <w:lvl w:ilvl="8">
      <w:start w:val="0"/>
      <w:numFmt w:val="bullet"/>
      <w:lvlText w:val="•"/>
      <w:lvlJc w:val="left"/>
      <w:pPr>
        <w:ind w:left="7347" w:hanging="219"/>
      </w:pPr>
      <w:rPr>
        <w:rFonts w:hint="default"/>
        <w:lang w:val="en-US" w:eastAsia="en-US" w:bidi="ar-SA"/>
      </w:rPr>
    </w:lvl>
  </w:abstractNum>
  <w:abstractNum w:abstractNumId="15">
    <w:multiLevelType w:val="hybridMultilevel"/>
    <w:lvl w:ilvl="0">
      <w:start w:val="0"/>
      <w:numFmt w:val="bullet"/>
      <w:lvlText w:val="•"/>
      <w:lvlJc w:val="left"/>
      <w:pPr>
        <w:ind w:left="502" w:hanging="219"/>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355" w:hanging="219"/>
      </w:pPr>
      <w:rPr>
        <w:rFonts w:hint="default"/>
        <w:lang w:val="en-US" w:eastAsia="en-US" w:bidi="ar-SA"/>
      </w:rPr>
    </w:lvl>
    <w:lvl w:ilvl="2">
      <w:start w:val="0"/>
      <w:numFmt w:val="bullet"/>
      <w:lvlText w:val="•"/>
      <w:lvlJc w:val="left"/>
      <w:pPr>
        <w:ind w:left="2211" w:hanging="219"/>
      </w:pPr>
      <w:rPr>
        <w:rFonts w:hint="default"/>
        <w:lang w:val="en-US" w:eastAsia="en-US" w:bidi="ar-SA"/>
      </w:rPr>
    </w:lvl>
    <w:lvl w:ilvl="3">
      <w:start w:val="0"/>
      <w:numFmt w:val="bullet"/>
      <w:lvlText w:val="•"/>
      <w:lvlJc w:val="left"/>
      <w:pPr>
        <w:ind w:left="3067" w:hanging="219"/>
      </w:pPr>
      <w:rPr>
        <w:rFonts w:hint="default"/>
        <w:lang w:val="en-US" w:eastAsia="en-US" w:bidi="ar-SA"/>
      </w:rPr>
    </w:lvl>
    <w:lvl w:ilvl="4">
      <w:start w:val="0"/>
      <w:numFmt w:val="bullet"/>
      <w:lvlText w:val="•"/>
      <w:lvlJc w:val="left"/>
      <w:pPr>
        <w:ind w:left="3923" w:hanging="219"/>
      </w:pPr>
      <w:rPr>
        <w:rFonts w:hint="default"/>
        <w:lang w:val="en-US" w:eastAsia="en-US" w:bidi="ar-SA"/>
      </w:rPr>
    </w:lvl>
    <w:lvl w:ilvl="5">
      <w:start w:val="0"/>
      <w:numFmt w:val="bullet"/>
      <w:lvlText w:val="•"/>
      <w:lvlJc w:val="left"/>
      <w:pPr>
        <w:ind w:left="4779" w:hanging="219"/>
      </w:pPr>
      <w:rPr>
        <w:rFonts w:hint="default"/>
        <w:lang w:val="en-US" w:eastAsia="en-US" w:bidi="ar-SA"/>
      </w:rPr>
    </w:lvl>
    <w:lvl w:ilvl="6">
      <w:start w:val="0"/>
      <w:numFmt w:val="bullet"/>
      <w:lvlText w:val="•"/>
      <w:lvlJc w:val="left"/>
      <w:pPr>
        <w:ind w:left="5635" w:hanging="219"/>
      </w:pPr>
      <w:rPr>
        <w:rFonts w:hint="default"/>
        <w:lang w:val="en-US" w:eastAsia="en-US" w:bidi="ar-SA"/>
      </w:rPr>
    </w:lvl>
    <w:lvl w:ilvl="7">
      <w:start w:val="0"/>
      <w:numFmt w:val="bullet"/>
      <w:lvlText w:val="•"/>
      <w:lvlJc w:val="left"/>
      <w:pPr>
        <w:ind w:left="6491" w:hanging="219"/>
      </w:pPr>
      <w:rPr>
        <w:rFonts w:hint="default"/>
        <w:lang w:val="en-US" w:eastAsia="en-US" w:bidi="ar-SA"/>
      </w:rPr>
    </w:lvl>
    <w:lvl w:ilvl="8">
      <w:start w:val="0"/>
      <w:numFmt w:val="bullet"/>
      <w:lvlText w:val="•"/>
      <w:lvlJc w:val="left"/>
      <w:pPr>
        <w:ind w:left="7347" w:hanging="219"/>
      </w:pPr>
      <w:rPr>
        <w:rFonts w:hint="default"/>
        <w:lang w:val="en-US" w:eastAsia="en-US" w:bidi="ar-SA"/>
      </w:rPr>
    </w:lvl>
  </w:abstractNum>
  <w:abstractNum w:abstractNumId="14">
    <w:multiLevelType w:val="hybridMultilevel"/>
    <w:lvl w:ilvl="0">
      <w:start w:val="0"/>
      <w:numFmt w:val="bullet"/>
      <w:lvlText w:val="•"/>
      <w:lvlJc w:val="left"/>
      <w:pPr>
        <w:ind w:left="502" w:hanging="219"/>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355" w:hanging="219"/>
      </w:pPr>
      <w:rPr>
        <w:rFonts w:hint="default"/>
        <w:lang w:val="en-US" w:eastAsia="en-US" w:bidi="ar-SA"/>
      </w:rPr>
    </w:lvl>
    <w:lvl w:ilvl="2">
      <w:start w:val="0"/>
      <w:numFmt w:val="bullet"/>
      <w:lvlText w:val="•"/>
      <w:lvlJc w:val="left"/>
      <w:pPr>
        <w:ind w:left="2211" w:hanging="219"/>
      </w:pPr>
      <w:rPr>
        <w:rFonts w:hint="default"/>
        <w:lang w:val="en-US" w:eastAsia="en-US" w:bidi="ar-SA"/>
      </w:rPr>
    </w:lvl>
    <w:lvl w:ilvl="3">
      <w:start w:val="0"/>
      <w:numFmt w:val="bullet"/>
      <w:lvlText w:val="•"/>
      <w:lvlJc w:val="left"/>
      <w:pPr>
        <w:ind w:left="3067" w:hanging="219"/>
      </w:pPr>
      <w:rPr>
        <w:rFonts w:hint="default"/>
        <w:lang w:val="en-US" w:eastAsia="en-US" w:bidi="ar-SA"/>
      </w:rPr>
    </w:lvl>
    <w:lvl w:ilvl="4">
      <w:start w:val="0"/>
      <w:numFmt w:val="bullet"/>
      <w:lvlText w:val="•"/>
      <w:lvlJc w:val="left"/>
      <w:pPr>
        <w:ind w:left="3923" w:hanging="219"/>
      </w:pPr>
      <w:rPr>
        <w:rFonts w:hint="default"/>
        <w:lang w:val="en-US" w:eastAsia="en-US" w:bidi="ar-SA"/>
      </w:rPr>
    </w:lvl>
    <w:lvl w:ilvl="5">
      <w:start w:val="0"/>
      <w:numFmt w:val="bullet"/>
      <w:lvlText w:val="•"/>
      <w:lvlJc w:val="left"/>
      <w:pPr>
        <w:ind w:left="4779" w:hanging="219"/>
      </w:pPr>
      <w:rPr>
        <w:rFonts w:hint="default"/>
        <w:lang w:val="en-US" w:eastAsia="en-US" w:bidi="ar-SA"/>
      </w:rPr>
    </w:lvl>
    <w:lvl w:ilvl="6">
      <w:start w:val="0"/>
      <w:numFmt w:val="bullet"/>
      <w:lvlText w:val="•"/>
      <w:lvlJc w:val="left"/>
      <w:pPr>
        <w:ind w:left="5635" w:hanging="219"/>
      </w:pPr>
      <w:rPr>
        <w:rFonts w:hint="default"/>
        <w:lang w:val="en-US" w:eastAsia="en-US" w:bidi="ar-SA"/>
      </w:rPr>
    </w:lvl>
    <w:lvl w:ilvl="7">
      <w:start w:val="0"/>
      <w:numFmt w:val="bullet"/>
      <w:lvlText w:val="•"/>
      <w:lvlJc w:val="left"/>
      <w:pPr>
        <w:ind w:left="6491" w:hanging="219"/>
      </w:pPr>
      <w:rPr>
        <w:rFonts w:hint="default"/>
        <w:lang w:val="en-US" w:eastAsia="en-US" w:bidi="ar-SA"/>
      </w:rPr>
    </w:lvl>
    <w:lvl w:ilvl="8">
      <w:start w:val="0"/>
      <w:numFmt w:val="bullet"/>
      <w:lvlText w:val="•"/>
      <w:lvlJc w:val="left"/>
      <w:pPr>
        <w:ind w:left="7347" w:hanging="219"/>
      </w:pPr>
      <w:rPr>
        <w:rFonts w:hint="default"/>
        <w:lang w:val="en-US" w:eastAsia="en-US" w:bidi="ar-SA"/>
      </w:rPr>
    </w:lvl>
  </w:abstractNum>
  <w:abstractNum w:abstractNumId="13">
    <w:multiLevelType w:val="hybridMultilevel"/>
    <w:lvl w:ilvl="0">
      <w:start w:val="0"/>
      <w:numFmt w:val="bullet"/>
      <w:lvlText w:val="•"/>
      <w:lvlJc w:val="left"/>
      <w:pPr>
        <w:ind w:left="502" w:hanging="219"/>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355" w:hanging="219"/>
      </w:pPr>
      <w:rPr>
        <w:rFonts w:hint="default"/>
        <w:lang w:val="en-US" w:eastAsia="en-US" w:bidi="ar-SA"/>
      </w:rPr>
    </w:lvl>
    <w:lvl w:ilvl="2">
      <w:start w:val="0"/>
      <w:numFmt w:val="bullet"/>
      <w:lvlText w:val="•"/>
      <w:lvlJc w:val="left"/>
      <w:pPr>
        <w:ind w:left="2211" w:hanging="219"/>
      </w:pPr>
      <w:rPr>
        <w:rFonts w:hint="default"/>
        <w:lang w:val="en-US" w:eastAsia="en-US" w:bidi="ar-SA"/>
      </w:rPr>
    </w:lvl>
    <w:lvl w:ilvl="3">
      <w:start w:val="0"/>
      <w:numFmt w:val="bullet"/>
      <w:lvlText w:val="•"/>
      <w:lvlJc w:val="left"/>
      <w:pPr>
        <w:ind w:left="3067" w:hanging="219"/>
      </w:pPr>
      <w:rPr>
        <w:rFonts w:hint="default"/>
        <w:lang w:val="en-US" w:eastAsia="en-US" w:bidi="ar-SA"/>
      </w:rPr>
    </w:lvl>
    <w:lvl w:ilvl="4">
      <w:start w:val="0"/>
      <w:numFmt w:val="bullet"/>
      <w:lvlText w:val="•"/>
      <w:lvlJc w:val="left"/>
      <w:pPr>
        <w:ind w:left="3923" w:hanging="219"/>
      </w:pPr>
      <w:rPr>
        <w:rFonts w:hint="default"/>
        <w:lang w:val="en-US" w:eastAsia="en-US" w:bidi="ar-SA"/>
      </w:rPr>
    </w:lvl>
    <w:lvl w:ilvl="5">
      <w:start w:val="0"/>
      <w:numFmt w:val="bullet"/>
      <w:lvlText w:val="•"/>
      <w:lvlJc w:val="left"/>
      <w:pPr>
        <w:ind w:left="4779" w:hanging="219"/>
      </w:pPr>
      <w:rPr>
        <w:rFonts w:hint="default"/>
        <w:lang w:val="en-US" w:eastAsia="en-US" w:bidi="ar-SA"/>
      </w:rPr>
    </w:lvl>
    <w:lvl w:ilvl="6">
      <w:start w:val="0"/>
      <w:numFmt w:val="bullet"/>
      <w:lvlText w:val="•"/>
      <w:lvlJc w:val="left"/>
      <w:pPr>
        <w:ind w:left="5635" w:hanging="219"/>
      </w:pPr>
      <w:rPr>
        <w:rFonts w:hint="default"/>
        <w:lang w:val="en-US" w:eastAsia="en-US" w:bidi="ar-SA"/>
      </w:rPr>
    </w:lvl>
    <w:lvl w:ilvl="7">
      <w:start w:val="0"/>
      <w:numFmt w:val="bullet"/>
      <w:lvlText w:val="•"/>
      <w:lvlJc w:val="left"/>
      <w:pPr>
        <w:ind w:left="6491" w:hanging="219"/>
      </w:pPr>
      <w:rPr>
        <w:rFonts w:hint="default"/>
        <w:lang w:val="en-US" w:eastAsia="en-US" w:bidi="ar-SA"/>
      </w:rPr>
    </w:lvl>
    <w:lvl w:ilvl="8">
      <w:start w:val="0"/>
      <w:numFmt w:val="bullet"/>
      <w:lvlText w:val="•"/>
      <w:lvlJc w:val="left"/>
      <w:pPr>
        <w:ind w:left="7347" w:hanging="219"/>
      </w:pPr>
      <w:rPr>
        <w:rFonts w:hint="default"/>
        <w:lang w:val="en-US" w:eastAsia="en-US" w:bidi="ar-SA"/>
      </w:rPr>
    </w:lvl>
  </w:abstractNum>
  <w:abstractNum w:abstractNumId="12">
    <w:multiLevelType w:val="hybridMultilevel"/>
    <w:lvl w:ilvl="0">
      <w:start w:val="0"/>
      <w:numFmt w:val="bullet"/>
      <w:lvlText w:val="•"/>
      <w:lvlJc w:val="left"/>
      <w:pPr>
        <w:ind w:left="502" w:hanging="219"/>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355" w:hanging="219"/>
      </w:pPr>
      <w:rPr>
        <w:rFonts w:hint="default"/>
        <w:lang w:val="en-US" w:eastAsia="en-US" w:bidi="ar-SA"/>
      </w:rPr>
    </w:lvl>
    <w:lvl w:ilvl="2">
      <w:start w:val="0"/>
      <w:numFmt w:val="bullet"/>
      <w:lvlText w:val="•"/>
      <w:lvlJc w:val="left"/>
      <w:pPr>
        <w:ind w:left="2211" w:hanging="219"/>
      </w:pPr>
      <w:rPr>
        <w:rFonts w:hint="default"/>
        <w:lang w:val="en-US" w:eastAsia="en-US" w:bidi="ar-SA"/>
      </w:rPr>
    </w:lvl>
    <w:lvl w:ilvl="3">
      <w:start w:val="0"/>
      <w:numFmt w:val="bullet"/>
      <w:lvlText w:val="•"/>
      <w:lvlJc w:val="left"/>
      <w:pPr>
        <w:ind w:left="3067" w:hanging="219"/>
      </w:pPr>
      <w:rPr>
        <w:rFonts w:hint="default"/>
        <w:lang w:val="en-US" w:eastAsia="en-US" w:bidi="ar-SA"/>
      </w:rPr>
    </w:lvl>
    <w:lvl w:ilvl="4">
      <w:start w:val="0"/>
      <w:numFmt w:val="bullet"/>
      <w:lvlText w:val="•"/>
      <w:lvlJc w:val="left"/>
      <w:pPr>
        <w:ind w:left="3923" w:hanging="219"/>
      </w:pPr>
      <w:rPr>
        <w:rFonts w:hint="default"/>
        <w:lang w:val="en-US" w:eastAsia="en-US" w:bidi="ar-SA"/>
      </w:rPr>
    </w:lvl>
    <w:lvl w:ilvl="5">
      <w:start w:val="0"/>
      <w:numFmt w:val="bullet"/>
      <w:lvlText w:val="•"/>
      <w:lvlJc w:val="left"/>
      <w:pPr>
        <w:ind w:left="4779" w:hanging="219"/>
      </w:pPr>
      <w:rPr>
        <w:rFonts w:hint="default"/>
        <w:lang w:val="en-US" w:eastAsia="en-US" w:bidi="ar-SA"/>
      </w:rPr>
    </w:lvl>
    <w:lvl w:ilvl="6">
      <w:start w:val="0"/>
      <w:numFmt w:val="bullet"/>
      <w:lvlText w:val="•"/>
      <w:lvlJc w:val="left"/>
      <w:pPr>
        <w:ind w:left="5635" w:hanging="219"/>
      </w:pPr>
      <w:rPr>
        <w:rFonts w:hint="default"/>
        <w:lang w:val="en-US" w:eastAsia="en-US" w:bidi="ar-SA"/>
      </w:rPr>
    </w:lvl>
    <w:lvl w:ilvl="7">
      <w:start w:val="0"/>
      <w:numFmt w:val="bullet"/>
      <w:lvlText w:val="•"/>
      <w:lvlJc w:val="left"/>
      <w:pPr>
        <w:ind w:left="6491" w:hanging="219"/>
      </w:pPr>
      <w:rPr>
        <w:rFonts w:hint="default"/>
        <w:lang w:val="en-US" w:eastAsia="en-US" w:bidi="ar-SA"/>
      </w:rPr>
    </w:lvl>
    <w:lvl w:ilvl="8">
      <w:start w:val="0"/>
      <w:numFmt w:val="bullet"/>
      <w:lvlText w:val="•"/>
      <w:lvlJc w:val="left"/>
      <w:pPr>
        <w:ind w:left="7347" w:hanging="219"/>
      </w:pPr>
      <w:rPr>
        <w:rFonts w:hint="default"/>
        <w:lang w:val="en-US" w:eastAsia="en-US" w:bidi="ar-SA"/>
      </w:rPr>
    </w:lvl>
  </w:abstractNum>
  <w:abstractNum w:abstractNumId="11">
    <w:multiLevelType w:val="hybridMultilevel"/>
    <w:lvl w:ilvl="0">
      <w:start w:val="0"/>
      <w:numFmt w:val="bullet"/>
      <w:lvlText w:val="•"/>
      <w:lvlJc w:val="left"/>
      <w:pPr>
        <w:ind w:left="502" w:hanging="219"/>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355" w:hanging="219"/>
      </w:pPr>
      <w:rPr>
        <w:rFonts w:hint="default"/>
        <w:lang w:val="en-US" w:eastAsia="en-US" w:bidi="ar-SA"/>
      </w:rPr>
    </w:lvl>
    <w:lvl w:ilvl="2">
      <w:start w:val="0"/>
      <w:numFmt w:val="bullet"/>
      <w:lvlText w:val="•"/>
      <w:lvlJc w:val="left"/>
      <w:pPr>
        <w:ind w:left="2211" w:hanging="219"/>
      </w:pPr>
      <w:rPr>
        <w:rFonts w:hint="default"/>
        <w:lang w:val="en-US" w:eastAsia="en-US" w:bidi="ar-SA"/>
      </w:rPr>
    </w:lvl>
    <w:lvl w:ilvl="3">
      <w:start w:val="0"/>
      <w:numFmt w:val="bullet"/>
      <w:lvlText w:val="•"/>
      <w:lvlJc w:val="left"/>
      <w:pPr>
        <w:ind w:left="3067" w:hanging="219"/>
      </w:pPr>
      <w:rPr>
        <w:rFonts w:hint="default"/>
        <w:lang w:val="en-US" w:eastAsia="en-US" w:bidi="ar-SA"/>
      </w:rPr>
    </w:lvl>
    <w:lvl w:ilvl="4">
      <w:start w:val="0"/>
      <w:numFmt w:val="bullet"/>
      <w:lvlText w:val="•"/>
      <w:lvlJc w:val="left"/>
      <w:pPr>
        <w:ind w:left="3923" w:hanging="219"/>
      </w:pPr>
      <w:rPr>
        <w:rFonts w:hint="default"/>
        <w:lang w:val="en-US" w:eastAsia="en-US" w:bidi="ar-SA"/>
      </w:rPr>
    </w:lvl>
    <w:lvl w:ilvl="5">
      <w:start w:val="0"/>
      <w:numFmt w:val="bullet"/>
      <w:lvlText w:val="•"/>
      <w:lvlJc w:val="left"/>
      <w:pPr>
        <w:ind w:left="4779" w:hanging="219"/>
      </w:pPr>
      <w:rPr>
        <w:rFonts w:hint="default"/>
        <w:lang w:val="en-US" w:eastAsia="en-US" w:bidi="ar-SA"/>
      </w:rPr>
    </w:lvl>
    <w:lvl w:ilvl="6">
      <w:start w:val="0"/>
      <w:numFmt w:val="bullet"/>
      <w:lvlText w:val="•"/>
      <w:lvlJc w:val="left"/>
      <w:pPr>
        <w:ind w:left="5635" w:hanging="219"/>
      </w:pPr>
      <w:rPr>
        <w:rFonts w:hint="default"/>
        <w:lang w:val="en-US" w:eastAsia="en-US" w:bidi="ar-SA"/>
      </w:rPr>
    </w:lvl>
    <w:lvl w:ilvl="7">
      <w:start w:val="0"/>
      <w:numFmt w:val="bullet"/>
      <w:lvlText w:val="•"/>
      <w:lvlJc w:val="left"/>
      <w:pPr>
        <w:ind w:left="6491" w:hanging="219"/>
      </w:pPr>
      <w:rPr>
        <w:rFonts w:hint="default"/>
        <w:lang w:val="en-US" w:eastAsia="en-US" w:bidi="ar-SA"/>
      </w:rPr>
    </w:lvl>
    <w:lvl w:ilvl="8">
      <w:start w:val="0"/>
      <w:numFmt w:val="bullet"/>
      <w:lvlText w:val="•"/>
      <w:lvlJc w:val="left"/>
      <w:pPr>
        <w:ind w:left="7347" w:hanging="219"/>
      </w:pPr>
      <w:rPr>
        <w:rFonts w:hint="default"/>
        <w:lang w:val="en-US" w:eastAsia="en-US" w:bidi="ar-SA"/>
      </w:rPr>
    </w:lvl>
  </w:abstractNum>
  <w:abstractNum w:abstractNumId="10">
    <w:multiLevelType w:val="hybridMultilevel"/>
    <w:lvl w:ilvl="0">
      <w:start w:val="0"/>
      <w:numFmt w:val="bullet"/>
      <w:lvlText w:val="•"/>
      <w:lvlJc w:val="left"/>
      <w:pPr>
        <w:ind w:left="502" w:hanging="219"/>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355" w:hanging="219"/>
      </w:pPr>
      <w:rPr>
        <w:rFonts w:hint="default"/>
        <w:lang w:val="en-US" w:eastAsia="en-US" w:bidi="ar-SA"/>
      </w:rPr>
    </w:lvl>
    <w:lvl w:ilvl="2">
      <w:start w:val="0"/>
      <w:numFmt w:val="bullet"/>
      <w:lvlText w:val="•"/>
      <w:lvlJc w:val="left"/>
      <w:pPr>
        <w:ind w:left="2211" w:hanging="219"/>
      </w:pPr>
      <w:rPr>
        <w:rFonts w:hint="default"/>
        <w:lang w:val="en-US" w:eastAsia="en-US" w:bidi="ar-SA"/>
      </w:rPr>
    </w:lvl>
    <w:lvl w:ilvl="3">
      <w:start w:val="0"/>
      <w:numFmt w:val="bullet"/>
      <w:lvlText w:val="•"/>
      <w:lvlJc w:val="left"/>
      <w:pPr>
        <w:ind w:left="3067" w:hanging="219"/>
      </w:pPr>
      <w:rPr>
        <w:rFonts w:hint="default"/>
        <w:lang w:val="en-US" w:eastAsia="en-US" w:bidi="ar-SA"/>
      </w:rPr>
    </w:lvl>
    <w:lvl w:ilvl="4">
      <w:start w:val="0"/>
      <w:numFmt w:val="bullet"/>
      <w:lvlText w:val="•"/>
      <w:lvlJc w:val="left"/>
      <w:pPr>
        <w:ind w:left="3923" w:hanging="219"/>
      </w:pPr>
      <w:rPr>
        <w:rFonts w:hint="default"/>
        <w:lang w:val="en-US" w:eastAsia="en-US" w:bidi="ar-SA"/>
      </w:rPr>
    </w:lvl>
    <w:lvl w:ilvl="5">
      <w:start w:val="0"/>
      <w:numFmt w:val="bullet"/>
      <w:lvlText w:val="•"/>
      <w:lvlJc w:val="left"/>
      <w:pPr>
        <w:ind w:left="4779" w:hanging="219"/>
      </w:pPr>
      <w:rPr>
        <w:rFonts w:hint="default"/>
        <w:lang w:val="en-US" w:eastAsia="en-US" w:bidi="ar-SA"/>
      </w:rPr>
    </w:lvl>
    <w:lvl w:ilvl="6">
      <w:start w:val="0"/>
      <w:numFmt w:val="bullet"/>
      <w:lvlText w:val="•"/>
      <w:lvlJc w:val="left"/>
      <w:pPr>
        <w:ind w:left="5635" w:hanging="219"/>
      </w:pPr>
      <w:rPr>
        <w:rFonts w:hint="default"/>
        <w:lang w:val="en-US" w:eastAsia="en-US" w:bidi="ar-SA"/>
      </w:rPr>
    </w:lvl>
    <w:lvl w:ilvl="7">
      <w:start w:val="0"/>
      <w:numFmt w:val="bullet"/>
      <w:lvlText w:val="•"/>
      <w:lvlJc w:val="left"/>
      <w:pPr>
        <w:ind w:left="6491" w:hanging="219"/>
      </w:pPr>
      <w:rPr>
        <w:rFonts w:hint="default"/>
        <w:lang w:val="en-US" w:eastAsia="en-US" w:bidi="ar-SA"/>
      </w:rPr>
    </w:lvl>
    <w:lvl w:ilvl="8">
      <w:start w:val="0"/>
      <w:numFmt w:val="bullet"/>
      <w:lvlText w:val="•"/>
      <w:lvlJc w:val="left"/>
      <w:pPr>
        <w:ind w:left="7347" w:hanging="219"/>
      </w:pPr>
      <w:rPr>
        <w:rFonts w:hint="default"/>
        <w:lang w:val="en-US" w:eastAsia="en-US" w:bidi="ar-SA"/>
      </w:rPr>
    </w:lvl>
  </w:abstractNum>
  <w:abstractNum w:abstractNumId="9">
    <w:multiLevelType w:val="hybridMultilevel"/>
    <w:lvl w:ilvl="0">
      <w:start w:val="0"/>
      <w:numFmt w:val="bullet"/>
      <w:lvlText w:val="•"/>
      <w:lvlJc w:val="left"/>
      <w:pPr>
        <w:ind w:left="502" w:hanging="219"/>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355" w:hanging="219"/>
      </w:pPr>
      <w:rPr>
        <w:rFonts w:hint="default"/>
        <w:lang w:val="en-US" w:eastAsia="en-US" w:bidi="ar-SA"/>
      </w:rPr>
    </w:lvl>
    <w:lvl w:ilvl="2">
      <w:start w:val="0"/>
      <w:numFmt w:val="bullet"/>
      <w:lvlText w:val="•"/>
      <w:lvlJc w:val="left"/>
      <w:pPr>
        <w:ind w:left="2211" w:hanging="219"/>
      </w:pPr>
      <w:rPr>
        <w:rFonts w:hint="default"/>
        <w:lang w:val="en-US" w:eastAsia="en-US" w:bidi="ar-SA"/>
      </w:rPr>
    </w:lvl>
    <w:lvl w:ilvl="3">
      <w:start w:val="0"/>
      <w:numFmt w:val="bullet"/>
      <w:lvlText w:val="•"/>
      <w:lvlJc w:val="left"/>
      <w:pPr>
        <w:ind w:left="3067" w:hanging="219"/>
      </w:pPr>
      <w:rPr>
        <w:rFonts w:hint="default"/>
        <w:lang w:val="en-US" w:eastAsia="en-US" w:bidi="ar-SA"/>
      </w:rPr>
    </w:lvl>
    <w:lvl w:ilvl="4">
      <w:start w:val="0"/>
      <w:numFmt w:val="bullet"/>
      <w:lvlText w:val="•"/>
      <w:lvlJc w:val="left"/>
      <w:pPr>
        <w:ind w:left="3923" w:hanging="219"/>
      </w:pPr>
      <w:rPr>
        <w:rFonts w:hint="default"/>
        <w:lang w:val="en-US" w:eastAsia="en-US" w:bidi="ar-SA"/>
      </w:rPr>
    </w:lvl>
    <w:lvl w:ilvl="5">
      <w:start w:val="0"/>
      <w:numFmt w:val="bullet"/>
      <w:lvlText w:val="•"/>
      <w:lvlJc w:val="left"/>
      <w:pPr>
        <w:ind w:left="4779" w:hanging="219"/>
      </w:pPr>
      <w:rPr>
        <w:rFonts w:hint="default"/>
        <w:lang w:val="en-US" w:eastAsia="en-US" w:bidi="ar-SA"/>
      </w:rPr>
    </w:lvl>
    <w:lvl w:ilvl="6">
      <w:start w:val="0"/>
      <w:numFmt w:val="bullet"/>
      <w:lvlText w:val="•"/>
      <w:lvlJc w:val="left"/>
      <w:pPr>
        <w:ind w:left="5635" w:hanging="219"/>
      </w:pPr>
      <w:rPr>
        <w:rFonts w:hint="default"/>
        <w:lang w:val="en-US" w:eastAsia="en-US" w:bidi="ar-SA"/>
      </w:rPr>
    </w:lvl>
    <w:lvl w:ilvl="7">
      <w:start w:val="0"/>
      <w:numFmt w:val="bullet"/>
      <w:lvlText w:val="•"/>
      <w:lvlJc w:val="left"/>
      <w:pPr>
        <w:ind w:left="6491" w:hanging="219"/>
      </w:pPr>
      <w:rPr>
        <w:rFonts w:hint="default"/>
        <w:lang w:val="en-US" w:eastAsia="en-US" w:bidi="ar-SA"/>
      </w:rPr>
    </w:lvl>
    <w:lvl w:ilvl="8">
      <w:start w:val="0"/>
      <w:numFmt w:val="bullet"/>
      <w:lvlText w:val="•"/>
      <w:lvlJc w:val="left"/>
      <w:pPr>
        <w:ind w:left="7347" w:hanging="219"/>
      </w:pPr>
      <w:rPr>
        <w:rFonts w:hint="default"/>
        <w:lang w:val="en-US" w:eastAsia="en-US" w:bidi="ar-SA"/>
      </w:rPr>
    </w:lvl>
  </w:abstractNum>
  <w:abstractNum w:abstractNumId="8">
    <w:multiLevelType w:val="hybridMultilevel"/>
    <w:lvl w:ilvl="0">
      <w:start w:val="0"/>
      <w:numFmt w:val="bullet"/>
      <w:lvlText w:val="•"/>
      <w:lvlJc w:val="left"/>
      <w:pPr>
        <w:ind w:left="650" w:hanging="359"/>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794" w:hanging="361"/>
      </w:pPr>
      <w:rPr>
        <w:rFonts w:hint="default" w:ascii="Arial" w:hAnsi="Arial" w:eastAsia="Arial" w:cs="Arial"/>
        <w:b w:val="0"/>
        <w:bCs w:val="0"/>
        <w:i w:val="0"/>
        <w:iCs w:val="0"/>
        <w:spacing w:val="0"/>
        <w:w w:val="131"/>
        <w:sz w:val="22"/>
        <w:szCs w:val="22"/>
        <w:lang w:val="en-US" w:eastAsia="en-US" w:bidi="ar-SA"/>
      </w:rPr>
    </w:lvl>
    <w:lvl w:ilvl="2">
      <w:start w:val="0"/>
      <w:numFmt w:val="bullet"/>
      <w:lvlText w:val="•"/>
      <w:lvlJc w:val="left"/>
      <w:pPr>
        <w:ind w:left="1849" w:hanging="361"/>
      </w:pPr>
      <w:rPr>
        <w:rFonts w:hint="default"/>
        <w:lang w:val="en-US" w:eastAsia="en-US" w:bidi="ar-SA"/>
      </w:rPr>
    </w:lvl>
    <w:lvl w:ilvl="3">
      <w:start w:val="0"/>
      <w:numFmt w:val="bullet"/>
      <w:lvlText w:val="•"/>
      <w:lvlJc w:val="left"/>
      <w:pPr>
        <w:ind w:left="2899" w:hanging="361"/>
      </w:pPr>
      <w:rPr>
        <w:rFonts w:hint="default"/>
        <w:lang w:val="en-US" w:eastAsia="en-US" w:bidi="ar-SA"/>
      </w:rPr>
    </w:lvl>
    <w:lvl w:ilvl="4">
      <w:start w:val="0"/>
      <w:numFmt w:val="bullet"/>
      <w:lvlText w:val="•"/>
      <w:lvlJc w:val="left"/>
      <w:pPr>
        <w:ind w:left="3948" w:hanging="361"/>
      </w:pPr>
      <w:rPr>
        <w:rFonts w:hint="default"/>
        <w:lang w:val="en-US" w:eastAsia="en-US" w:bidi="ar-SA"/>
      </w:rPr>
    </w:lvl>
    <w:lvl w:ilvl="5">
      <w:start w:val="0"/>
      <w:numFmt w:val="bullet"/>
      <w:lvlText w:val="•"/>
      <w:lvlJc w:val="left"/>
      <w:pPr>
        <w:ind w:left="4998" w:hanging="361"/>
      </w:pPr>
      <w:rPr>
        <w:rFonts w:hint="default"/>
        <w:lang w:val="en-US" w:eastAsia="en-US" w:bidi="ar-SA"/>
      </w:rPr>
    </w:lvl>
    <w:lvl w:ilvl="6">
      <w:start w:val="0"/>
      <w:numFmt w:val="bullet"/>
      <w:lvlText w:val="•"/>
      <w:lvlJc w:val="left"/>
      <w:pPr>
        <w:ind w:left="6048" w:hanging="361"/>
      </w:pPr>
      <w:rPr>
        <w:rFonts w:hint="default"/>
        <w:lang w:val="en-US" w:eastAsia="en-US" w:bidi="ar-SA"/>
      </w:rPr>
    </w:lvl>
    <w:lvl w:ilvl="7">
      <w:start w:val="0"/>
      <w:numFmt w:val="bullet"/>
      <w:lvlText w:val="•"/>
      <w:lvlJc w:val="left"/>
      <w:pPr>
        <w:ind w:left="7097" w:hanging="361"/>
      </w:pPr>
      <w:rPr>
        <w:rFonts w:hint="default"/>
        <w:lang w:val="en-US" w:eastAsia="en-US" w:bidi="ar-SA"/>
      </w:rPr>
    </w:lvl>
    <w:lvl w:ilvl="8">
      <w:start w:val="0"/>
      <w:numFmt w:val="bullet"/>
      <w:lvlText w:val="•"/>
      <w:lvlJc w:val="left"/>
      <w:pPr>
        <w:ind w:left="8147" w:hanging="361"/>
      </w:pPr>
      <w:rPr>
        <w:rFonts w:hint="default"/>
        <w:lang w:val="en-US" w:eastAsia="en-US" w:bidi="ar-SA"/>
      </w:rPr>
    </w:lvl>
  </w:abstractNum>
  <w:abstractNum w:abstractNumId="7">
    <w:multiLevelType w:val="hybridMultilevel"/>
    <w:lvl w:ilvl="0">
      <w:start w:val="0"/>
      <w:numFmt w:val="bullet"/>
      <w:lvlText w:val="•"/>
      <w:lvlJc w:val="left"/>
      <w:pPr>
        <w:ind w:left="341" w:hanging="200"/>
      </w:pPr>
      <w:rPr>
        <w:rFonts w:hint="default" w:ascii="Arial" w:hAnsi="Arial" w:eastAsia="Arial" w:cs="Arial"/>
        <w:b w:val="0"/>
        <w:bCs w:val="0"/>
        <w:i w:val="0"/>
        <w:iCs w:val="0"/>
        <w:spacing w:val="0"/>
        <w:w w:val="100"/>
        <w:sz w:val="22"/>
        <w:szCs w:val="22"/>
        <w:lang w:val="en-US" w:eastAsia="en-US" w:bidi="ar-SA"/>
      </w:rPr>
    </w:lvl>
    <w:lvl w:ilvl="1">
      <w:start w:val="0"/>
      <w:numFmt w:val="bullet"/>
      <w:lvlText w:val="•"/>
      <w:lvlJc w:val="left"/>
      <w:pPr>
        <w:ind w:left="1211" w:hanging="200"/>
      </w:pPr>
      <w:rPr>
        <w:rFonts w:hint="default"/>
        <w:lang w:val="en-US" w:eastAsia="en-US" w:bidi="ar-SA"/>
      </w:rPr>
    </w:lvl>
    <w:lvl w:ilvl="2">
      <w:start w:val="0"/>
      <w:numFmt w:val="bullet"/>
      <w:lvlText w:val="•"/>
      <w:lvlJc w:val="left"/>
      <w:pPr>
        <w:ind w:left="2083" w:hanging="200"/>
      </w:pPr>
      <w:rPr>
        <w:rFonts w:hint="default"/>
        <w:lang w:val="en-US" w:eastAsia="en-US" w:bidi="ar-SA"/>
      </w:rPr>
    </w:lvl>
    <w:lvl w:ilvl="3">
      <w:start w:val="0"/>
      <w:numFmt w:val="bullet"/>
      <w:lvlText w:val="•"/>
      <w:lvlJc w:val="left"/>
      <w:pPr>
        <w:ind w:left="2955" w:hanging="200"/>
      </w:pPr>
      <w:rPr>
        <w:rFonts w:hint="default"/>
        <w:lang w:val="en-US" w:eastAsia="en-US" w:bidi="ar-SA"/>
      </w:rPr>
    </w:lvl>
    <w:lvl w:ilvl="4">
      <w:start w:val="0"/>
      <w:numFmt w:val="bullet"/>
      <w:lvlText w:val="•"/>
      <w:lvlJc w:val="left"/>
      <w:pPr>
        <w:ind w:left="3827" w:hanging="200"/>
      </w:pPr>
      <w:rPr>
        <w:rFonts w:hint="default"/>
        <w:lang w:val="en-US" w:eastAsia="en-US" w:bidi="ar-SA"/>
      </w:rPr>
    </w:lvl>
    <w:lvl w:ilvl="5">
      <w:start w:val="0"/>
      <w:numFmt w:val="bullet"/>
      <w:lvlText w:val="•"/>
      <w:lvlJc w:val="left"/>
      <w:pPr>
        <w:ind w:left="4699" w:hanging="200"/>
      </w:pPr>
      <w:rPr>
        <w:rFonts w:hint="default"/>
        <w:lang w:val="en-US" w:eastAsia="en-US" w:bidi="ar-SA"/>
      </w:rPr>
    </w:lvl>
    <w:lvl w:ilvl="6">
      <w:start w:val="0"/>
      <w:numFmt w:val="bullet"/>
      <w:lvlText w:val="•"/>
      <w:lvlJc w:val="left"/>
      <w:pPr>
        <w:ind w:left="5571" w:hanging="200"/>
      </w:pPr>
      <w:rPr>
        <w:rFonts w:hint="default"/>
        <w:lang w:val="en-US" w:eastAsia="en-US" w:bidi="ar-SA"/>
      </w:rPr>
    </w:lvl>
    <w:lvl w:ilvl="7">
      <w:start w:val="0"/>
      <w:numFmt w:val="bullet"/>
      <w:lvlText w:val="•"/>
      <w:lvlJc w:val="left"/>
      <w:pPr>
        <w:ind w:left="6443" w:hanging="200"/>
      </w:pPr>
      <w:rPr>
        <w:rFonts w:hint="default"/>
        <w:lang w:val="en-US" w:eastAsia="en-US" w:bidi="ar-SA"/>
      </w:rPr>
    </w:lvl>
    <w:lvl w:ilvl="8">
      <w:start w:val="0"/>
      <w:numFmt w:val="bullet"/>
      <w:lvlText w:val="•"/>
      <w:lvlJc w:val="left"/>
      <w:pPr>
        <w:ind w:left="7315" w:hanging="200"/>
      </w:pPr>
      <w:rPr>
        <w:rFonts w:hint="default"/>
        <w:lang w:val="en-US" w:eastAsia="en-US" w:bidi="ar-SA"/>
      </w:rPr>
    </w:lvl>
  </w:abstractNum>
  <w:abstractNum w:abstractNumId="6">
    <w:multiLevelType w:val="hybridMultilevel"/>
    <w:lvl w:ilvl="0">
      <w:start w:val="0"/>
      <w:numFmt w:val="bullet"/>
      <w:lvlText w:val="•"/>
      <w:lvlJc w:val="left"/>
      <w:pPr>
        <w:ind w:left="341" w:hanging="200"/>
      </w:pPr>
      <w:rPr>
        <w:rFonts w:hint="default" w:ascii="Arial" w:hAnsi="Arial" w:eastAsia="Arial" w:cs="Arial"/>
        <w:b w:val="0"/>
        <w:bCs w:val="0"/>
        <w:i w:val="0"/>
        <w:iCs w:val="0"/>
        <w:spacing w:val="0"/>
        <w:w w:val="100"/>
        <w:sz w:val="22"/>
        <w:szCs w:val="22"/>
        <w:lang w:val="en-US" w:eastAsia="en-US" w:bidi="ar-SA"/>
      </w:rPr>
    </w:lvl>
    <w:lvl w:ilvl="1">
      <w:start w:val="0"/>
      <w:numFmt w:val="bullet"/>
      <w:lvlText w:val="•"/>
      <w:lvlJc w:val="left"/>
      <w:pPr>
        <w:ind w:left="1211" w:hanging="200"/>
      </w:pPr>
      <w:rPr>
        <w:rFonts w:hint="default"/>
        <w:lang w:val="en-US" w:eastAsia="en-US" w:bidi="ar-SA"/>
      </w:rPr>
    </w:lvl>
    <w:lvl w:ilvl="2">
      <w:start w:val="0"/>
      <w:numFmt w:val="bullet"/>
      <w:lvlText w:val="•"/>
      <w:lvlJc w:val="left"/>
      <w:pPr>
        <w:ind w:left="2083" w:hanging="200"/>
      </w:pPr>
      <w:rPr>
        <w:rFonts w:hint="default"/>
        <w:lang w:val="en-US" w:eastAsia="en-US" w:bidi="ar-SA"/>
      </w:rPr>
    </w:lvl>
    <w:lvl w:ilvl="3">
      <w:start w:val="0"/>
      <w:numFmt w:val="bullet"/>
      <w:lvlText w:val="•"/>
      <w:lvlJc w:val="left"/>
      <w:pPr>
        <w:ind w:left="2955" w:hanging="200"/>
      </w:pPr>
      <w:rPr>
        <w:rFonts w:hint="default"/>
        <w:lang w:val="en-US" w:eastAsia="en-US" w:bidi="ar-SA"/>
      </w:rPr>
    </w:lvl>
    <w:lvl w:ilvl="4">
      <w:start w:val="0"/>
      <w:numFmt w:val="bullet"/>
      <w:lvlText w:val="•"/>
      <w:lvlJc w:val="left"/>
      <w:pPr>
        <w:ind w:left="3827" w:hanging="200"/>
      </w:pPr>
      <w:rPr>
        <w:rFonts w:hint="default"/>
        <w:lang w:val="en-US" w:eastAsia="en-US" w:bidi="ar-SA"/>
      </w:rPr>
    </w:lvl>
    <w:lvl w:ilvl="5">
      <w:start w:val="0"/>
      <w:numFmt w:val="bullet"/>
      <w:lvlText w:val="•"/>
      <w:lvlJc w:val="left"/>
      <w:pPr>
        <w:ind w:left="4699" w:hanging="200"/>
      </w:pPr>
      <w:rPr>
        <w:rFonts w:hint="default"/>
        <w:lang w:val="en-US" w:eastAsia="en-US" w:bidi="ar-SA"/>
      </w:rPr>
    </w:lvl>
    <w:lvl w:ilvl="6">
      <w:start w:val="0"/>
      <w:numFmt w:val="bullet"/>
      <w:lvlText w:val="•"/>
      <w:lvlJc w:val="left"/>
      <w:pPr>
        <w:ind w:left="5571" w:hanging="200"/>
      </w:pPr>
      <w:rPr>
        <w:rFonts w:hint="default"/>
        <w:lang w:val="en-US" w:eastAsia="en-US" w:bidi="ar-SA"/>
      </w:rPr>
    </w:lvl>
    <w:lvl w:ilvl="7">
      <w:start w:val="0"/>
      <w:numFmt w:val="bullet"/>
      <w:lvlText w:val="•"/>
      <w:lvlJc w:val="left"/>
      <w:pPr>
        <w:ind w:left="6443" w:hanging="200"/>
      </w:pPr>
      <w:rPr>
        <w:rFonts w:hint="default"/>
        <w:lang w:val="en-US" w:eastAsia="en-US" w:bidi="ar-SA"/>
      </w:rPr>
    </w:lvl>
    <w:lvl w:ilvl="8">
      <w:start w:val="0"/>
      <w:numFmt w:val="bullet"/>
      <w:lvlText w:val="•"/>
      <w:lvlJc w:val="left"/>
      <w:pPr>
        <w:ind w:left="7315" w:hanging="200"/>
      </w:pPr>
      <w:rPr>
        <w:rFonts w:hint="default"/>
        <w:lang w:val="en-US" w:eastAsia="en-US" w:bidi="ar-SA"/>
      </w:rPr>
    </w:lvl>
  </w:abstractNum>
  <w:abstractNum w:abstractNumId="5">
    <w:multiLevelType w:val="hybridMultilevel"/>
    <w:lvl w:ilvl="0">
      <w:start w:val="0"/>
      <w:numFmt w:val="bullet"/>
      <w:lvlText w:val="•"/>
      <w:lvlJc w:val="left"/>
      <w:pPr>
        <w:ind w:left="341" w:hanging="200"/>
      </w:pPr>
      <w:rPr>
        <w:rFonts w:hint="default" w:ascii="Arial" w:hAnsi="Arial" w:eastAsia="Arial" w:cs="Arial"/>
        <w:b w:val="0"/>
        <w:bCs w:val="0"/>
        <w:i w:val="0"/>
        <w:iCs w:val="0"/>
        <w:spacing w:val="0"/>
        <w:w w:val="100"/>
        <w:sz w:val="22"/>
        <w:szCs w:val="22"/>
        <w:lang w:val="en-US" w:eastAsia="en-US" w:bidi="ar-SA"/>
      </w:rPr>
    </w:lvl>
    <w:lvl w:ilvl="1">
      <w:start w:val="0"/>
      <w:numFmt w:val="bullet"/>
      <w:lvlText w:val="•"/>
      <w:lvlJc w:val="left"/>
      <w:pPr>
        <w:ind w:left="1211" w:hanging="200"/>
      </w:pPr>
      <w:rPr>
        <w:rFonts w:hint="default"/>
        <w:lang w:val="en-US" w:eastAsia="en-US" w:bidi="ar-SA"/>
      </w:rPr>
    </w:lvl>
    <w:lvl w:ilvl="2">
      <w:start w:val="0"/>
      <w:numFmt w:val="bullet"/>
      <w:lvlText w:val="•"/>
      <w:lvlJc w:val="left"/>
      <w:pPr>
        <w:ind w:left="2083" w:hanging="200"/>
      </w:pPr>
      <w:rPr>
        <w:rFonts w:hint="default"/>
        <w:lang w:val="en-US" w:eastAsia="en-US" w:bidi="ar-SA"/>
      </w:rPr>
    </w:lvl>
    <w:lvl w:ilvl="3">
      <w:start w:val="0"/>
      <w:numFmt w:val="bullet"/>
      <w:lvlText w:val="•"/>
      <w:lvlJc w:val="left"/>
      <w:pPr>
        <w:ind w:left="2955" w:hanging="200"/>
      </w:pPr>
      <w:rPr>
        <w:rFonts w:hint="default"/>
        <w:lang w:val="en-US" w:eastAsia="en-US" w:bidi="ar-SA"/>
      </w:rPr>
    </w:lvl>
    <w:lvl w:ilvl="4">
      <w:start w:val="0"/>
      <w:numFmt w:val="bullet"/>
      <w:lvlText w:val="•"/>
      <w:lvlJc w:val="left"/>
      <w:pPr>
        <w:ind w:left="3827" w:hanging="200"/>
      </w:pPr>
      <w:rPr>
        <w:rFonts w:hint="default"/>
        <w:lang w:val="en-US" w:eastAsia="en-US" w:bidi="ar-SA"/>
      </w:rPr>
    </w:lvl>
    <w:lvl w:ilvl="5">
      <w:start w:val="0"/>
      <w:numFmt w:val="bullet"/>
      <w:lvlText w:val="•"/>
      <w:lvlJc w:val="left"/>
      <w:pPr>
        <w:ind w:left="4699" w:hanging="200"/>
      </w:pPr>
      <w:rPr>
        <w:rFonts w:hint="default"/>
        <w:lang w:val="en-US" w:eastAsia="en-US" w:bidi="ar-SA"/>
      </w:rPr>
    </w:lvl>
    <w:lvl w:ilvl="6">
      <w:start w:val="0"/>
      <w:numFmt w:val="bullet"/>
      <w:lvlText w:val="•"/>
      <w:lvlJc w:val="left"/>
      <w:pPr>
        <w:ind w:left="5571" w:hanging="200"/>
      </w:pPr>
      <w:rPr>
        <w:rFonts w:hint="default"/>
        <w:lang w:val="en-US" w:eastAsia="en-US" w:bidi="ar-SA"/>
      </w:rPr>
    </w:lvl>
    <w:lvl w:ilvl="7">
      <w:start w:val="0"/>
      <w:numFmt w:val="bullet"/>
      <w:lvlText w:val="•"/>
      <w:lvlJc w:val="left"/>
      <w:pPr>
        <w:ind w:left="6443" w:hanging="200"/>
      </w:pPr>
      <w:rPr>
        <w:rFonts w:hint="default"/>
        <w:lang w:val="en-US" w:eastAsia="en-US" w:bidi="ar-SA"/>
      </w:rPr>
    </w:lvl>
    <w:lvl w:ilvl="8">
      <w:start w:val="0"/>
      <w:numFmt w:val="bullet"/>
      <w:lvlText w:val="•"/>
      <w:lvlJc w:val="left"/>
      <w:pPr>
        <w:ind w:left="7315" w:hanging="200"/>
      </w:pPr>
      <w:rPr>
        <w:rFonts w:hint="default"/>
        <w:lang w:val="en-US" w:eastAsia="en-US" w:bidi="ar-SA"/>
      </w:rPr>
    </w:lvl>
  </w:abstractNum>
  <w:abstractNum w:abstractNumId="4">
    <w:multiLevelType w:val="hybridMultilevel"/>
    <w:lvl w:ilvl="0">
      <w:start w:val="0"/>
      <w:numFmt w:val="bullet"/>
      <w:lvlText w:val="•"/>
      <w:lvlJc w:val="left"/>
      <w:pPr>
        <w:ind w:left="650" w:hanging="359"/>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618" w:hanging="359"/>
      </w:pPr>
      <w:rPr>
        <w:rFonts w:hint="default"/>
        <w:lang w:val="en-US" w:eastAsia="en-US" w:bidi="ar-SA"/>
      </w:rPr>
    </w:lvl>
    <w:lvl w:ilvl="2">
      <w:start w:val="0"/>
      <w:numFmt w:val="bullet"/>
      <w:lvlText w:val="•"/>
      <w:lvlJc w:val="left"/>
      <w:pPr>
        <w:ind w:left="2577" w:hanging="359"/>
      </w:pPr>
      <w:rPr>
        <w:rFonts w:hint="default"/>
        <w:lang w:val="en-US" w:eastAsia="en-US" w:bidi="ar-SA"/>
      </w:rPr>
    </w:lvl>
    <w:lvl w:ilvl="3">
      <w:start w:val="0"/>
      <w:numFmt w:val="bullet"/>
      <w:lvlText w:val="•"/>
      <w:lvlJc w:val="left"/>
      <w:pPr>
        <w:ind w:left="3535" w:hanging="359"/>
      </w:pPr>
      <w:rPr>
        <w:rFonts w:hint="default"/>
        <w:lang w:val="en-US" w:eastAsia="en-US" w:bidi="ar-SA"/>
      </w:rPr>
    </w:lvl>
    <w:lvl w:ilvl="4">
      <w:start w:val="0"/>
      <w:numFmt w:val="bullet"/>
      <w:lvlText w:val="•"/>
      <w:lvlJc w:val="left"/>
      <w:pPr>
        <w:ind w:left="4494" w:hanging="359"/>
      </w:pPr>
      <w:rPr>
        <w:rFonts w:hint="default"/>
        <w:lang w:val="en-US" w:eastAsia="en-US" w:bidi="ar-SA"/>
      </w:rPr>
    </w:lvl>
    <w:lvl w:ilvl="5">
      <w:start w:val="0"/>
      <w:numFmt w:val="bullet"/>
      <w:lvlText w:val="•"/>
      <w:lvlJc w:val="left"/>
      <w:pPr>
        <w:ind w:left="5453" w:hanging="359"/>
      </w:pPr>
      <w:rPr>
        <w:rFonts w:hint="default"/>
        <w:lang w:val="en-US" w:eastAsia="en-US" w:bidi="ar-SA"/>
      </w:rPr>
    </w:lvl>
    <w:lvl w:ilvl="6">
      <w:start w:val="0"/>
      <w:numFmt w:val="bullet"/>
      <w:lvlText w:val="•"/>
      <w:lvlJc w:val="left"/>
      <w:pPr>
        <w:ind w:left="6411" w:hanging="359"/>
      </w:pPr>
      <w:rPr>
        <w:rFonts w:hint="default"/>
        <w:lang w:val="en-US" w:eastAsia="en-US" w:bidi="ar-SA"/>
      </w:rPr>
    </w:lvl>
    <w:lvl w:ilvl="7">
      <w:start w:val="0"/>
      <w:numFmt w:val="bullet"/>
      <w:lvlText w:val="•"/>
      <w:lvlJc w:val="left"/>
      <w:pPr>
        <w:ind w:left="7370" w:hanging="359"/>
      </w:pPr>
      <w:rPr>
        <w:rFonts w:hint="default"/>
        <w:lang w:val="en-US" w:eastAsia="en-US" w:bidi="ar-SA"/>
      </w:rPr>
    </w:lvl>
    <w:lvl w:ilvl="8">
      <w:start w:val="0"/>
      <w:numFmt w:val="bullet"/>
      <w:lvlText w:val="•"/>
      <w:lvlJc w:val="left"/>
      <w:pPr>
        <w:ind w:left="8329" w:hanging="359"/>
      </w:pPr>
      <w:rPr>
        <w:rFonts w:hint="default"/>
        <w:lang w:val="en-US" w:eastAsia="en-US" w:bidi="ar-SA"/>
      </w:rPr>
    </w:lvl>
  </w:abstractNum>
  <w:abstractNum w:abstractNumId="3">
    <w:multiLevelType w:val="hybridMultilevel"/>
    <w:lvl w:ilvl="0">
      <w:start w:val="0"/>
      <w:numFmt w:val="bullet"/>
      <w:lvlText w:val="•"/>
      <w:lvlJc w:val="left"/>
      <w:pPr>
        <w:ind w:left="794" w:hanging="361"/>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744" w:hanging="361"/>
      </w:pPr>
      <w:rPr>
        <w:rFonts w:hint="default"/>
        <w:lang w:val="en-US" w:eastAsia="en-US" w:bidi="ar-SA"/>
      </w:rPr>
    </w:lvl>
    <w:lvl w:ilvl="2">
      <w:start w:val="0"/>
      <w:numFmt w:val="bullet"/>
      <w:lvlText w:val="•"/>
      <w:lvlJc w:val="left"/>
      <w:pPr>
        <w:ind w:left="2689" w:hanging="361"/>
      </w:pPr>
      <w:rPr>
        <w:rFonts w:hint="default"/>
        <w:lang w:val="en-US" w:eastAsia="en-US" w:bidi="ar-SA"/>
      </w:rPr>
    </w:lvl>
    <w:lvl w:ilvl="3">
      <w:start w:val="0"/>
      <w:numFmt w:val="bullet"/>
      <w:lvlText w:val="•"/>
      <w:lvlJc w:val="left"/>
      <w:pPr>
        <w:ind w:left="3633" w:hanging="361"/>
      </w:pPr>
      <w:rPr>
        <w:rFonts w:hint="default"/>
        <w:lang w:val="en-US" w:eastAsia="en-US" w:bidi="ar-SA"/>
      </w:rPr>
    </w:lvl>
    <w:lvl w:ilvl="4">
      <w:start w:val="0"/>
      <w:numFmt w:val="bullet"/>
      <w:lvlText w:val="•"/>
      <w:lvlJc w:val="left"/>
      <w:pPr>
        <w:ind w:left="4578" w:hanging="361"/>
      </w:pPr>
      <w:rPr>
        <w:rFonts w:hint="default"/>
        <w:lang w:val="en-US" w:eastAsia="en-US" w:bidi="ar-SA"/>
      </w:rPr>
    </w:lvl>
    <w:lvl w:ilvl="5">
      <w:start w:val="0"/>
      <w:numFmt w:val="bullet"/>
      <w:lvlText w:val="•"/>
      <w:lvlJc w:val="left"/>
      <w:pPr>
        <w:ind w:left="5523" w:hanging="361"/>
      </w:pPr>
      <w:rPr>
        <w:rFonts w:hint="default"/>
        <w:lang w:val="en-US" w:eastAsia="en-US" w:bidi="ar-SA"/>
      </w:rPr>
    </w:lvl>
    <w:lvl w:ilvl="6">
      <w:start w:val="0"/>
      <w:numFmt w:val="bullet"/>
      <w:lvlText w:val="•"/>
      <w:lvlJc w:val="left"/>
      <w:pPr>
        <w:ind w:left="6467" w:hanging="361"/>
      </w:pPr>
      <w:rPr>
        <w:rFonts w:hint="default"/>
        <w:lang w:val="en-US" w:eastAsia="en-US" w:bidi="ar-SA"/>
      </w:rPr>
    </w:lvl>
    <w:lvl w:ilvl="7">
      <w:start w:val="0"/>
      <w:numFmt w:val="bullet"/>
      <w:lvlText w:val="•"/>
      <w:lvlJc w:val="left"/>
      <w:pPr>
        <w:ind w:left="7412" w:hanging="361"/>
      </w:pPr>
      <w:rPr>
        <w:rFonts w:hint="default"/>
        <w:lang w:val="en-US" w:eastAsia="en-US" w:bidi="ar-SA"/>
      </w:rPr>
    </w:lvl>
    <w:lvl w:ilvl="8">
      <w:start w:val="0"/>
      <w:numFmt w:val="bullet"/>
      <w:lvlText w:val="•"/>
      <w:lvlJc w:val="left"/>
      <w:pPr>
        <w:ind w:left="8357" w:hanging="361"/>
      </w:pPr>
      <w:rPr>
        <w:rFonts w:hint="default"/>
        <w:lang w:val="en-US" w:eastAsia="en-US" w:bidi="ar-SA"/>
      </w:rPr>
    </w:lvl>
  </w:abstractNum>
  <w:abstractNum w:abstractNumId="2">
    <w:multiLevelType w:val="hybridMultilevel"/>
    <w:lvl w:ilvl="0">
      <w:start w:val="0"/>
      <w:numFmt w:val="bullet"/>
      <w:lvlText w:val="•"/>
      <w:lvlJc w:val="left"/>
      <w:pPr>
        <w:ind w:left="650" w:hanging="359"/>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618" w:hanging="359"/>
      </w:pPr>
      <w:rPr>
        <w:rFonts w:hint="default"/>
        <w:lang w:val="en-US" w:eastAsia="en-US" w:bidi="ar-SA"/>
      </w:rPr>
    </w:lvl>
    <w:lvl w:ilvl="2">
      <w:start w:val="0"/>
      <w:numFmt w:val="bullet"/>
      <w:lvlText w:val="•"/>
      <w:lvlJc w:val="left"/>
      <w:pPr>
        <w:ind w:left="2577" w:hanging="359"/>
      </w:pPr>
      <w:rPr>
        <w:rFonts w:hint="default"/>
        <w:lang w:val="en-US" w:eastAsia="en-US" w:bidi="ar-SA"/>
      </w:rPr>
    </w:lvl>
    <w:lvl w:ilvl="3">
      <w:start w:val="0"/>
      <w:numFmt w:val="bullet"/>
      <w:lvlText w:val="•"/>
      <w:lvlJc w:val="left"/>
      <w:pPr>
        <w:ind w:left="3535" w:hanging="359"/>
      </w:pPr>
      <w:rPr>
        <w:rFonts w:hint="default"/>
        <w:lang w:val="en-US" w:eastAsia="en-US" w:bidi="ar-SA"/>
      </w:rPr>
    </w:lvl>
    <w:lvl w:ilvl="4">
      <w:start w:val="0"/>
      <w:numFmt w:val="bullet"/>
      <w:lvlText w:val="•"/>
      <w:lvlJc w:val="left"/>
      <w:pPr>
        <w:ind w:left="4494" w:hanging="359"/>
      </w:pPr>
      <w:rPr>
        <w:rFonts w:hint="default"/>
        <w:lang w:val="en-US" w:eastAsia="en-US" w:bidi="ar-SA"/>
      </w:rPr>
    </w:lvl>
    <w:lvl w:ilvl="5">
      <w:start w:val="0"/>
      <w:numFmt w:val="bullet"/>
      <w:lvlText w:val="•"/>
      <w:lvlJc w:val="left"/>
      <w:pPr>
        <w:ind w:left="5453" w:hanging="359"/>
      </w:pPr>
      <w:rPr>
        <w:rFonts w:hint="default"/>
        <w:lang w:val="en-US" w:eastAsia="en-US" w:bidi="ar-SA"/>
      </w:rPr>
    </w:lvl>
    <w:lvl w:ilvl="6">
      <w:start w:val="0"/>
      <w:numFmt w:val="bullet"/>
      <w:lvlText w:val="•"/>
      <w:lvlJc w:val="left"/>
      <w:pPr>
        <w:ind w:left="6411" w:hanging="359"/>
      </w:pPr>
      <w:rPr>
        <w:rFonts w:hint="default"/>
        <w:lang w:val="en-US" w:eastAsia="en-US" w:bidi="ar-SA"/>
      </w:rPr>
    </w:lvl>
    <w:lvl w:ilvl="7">
      <w:start w:val="0"/>
      <w:numFmt w:val="bullet"/>
      <w:lvlText w:val="•"/>
      <w:lvlJc w:val="left"/>
      <w:pPr>
        <w:ind w:left="7370" w:hanging="359"/>
      </w:pPr>
      <w:rPr>
        <w:rFonts w:hint="default"/>
        <w:lang w:val="en-US" w:eastAsia="en-US" w:bidi="ar-SA"/>
      </w:rPr>
    </w:lvl>
    <w:lvl w:ilvl="8">
      <w:start w:val="0"/>
      <w:numFmt w:val="bullet"/>
      <w:lvlText w:val="•"/>
      <w:lvlJc w:val="left"/>
      <w:pPr>
        <w:ind w:left="8329" w:hanging="359"/>
      </w:pPr>
      <w:rPr>
        <w:rFonts w:hint="default"/>
        <w:lang w:val="en-US" w:eastAsia="en-US" w:bidi="ar-SA"/>
      </w:rPr>
    </w:lvl>
  </w:abstractNum>
  <w:abstractNum w:abstractNumId="1">
    <w:multiLevelType w:val="hybridMultilevel"/>
    <w:lvl w:ilvl="0">
      <w:start w:val="0"/>
      <w:numFmt w:val="bullet"/>
      <w:lvlText w:val="•"/>
      <w:lvlJc w:val="left"/>
      <w:pPr>
        <w:ind w:left="794" w:hanging="361"/>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744" w:hanging="361"/>
      </w:pPr>
      <w:rPr>
        <w:rFonts w:hint="default"/>
        <w:lang w:val="en-US" w:eastAsia="en-US" w:bidi="ar-SA"/>
      </w:rPr>
    </w:lvl>
    <w:lvl w:ilvl="2">
      <w:start w:val="0"/>
      <w:numFmt w:val="bullet"/>
      <w:lvlText w:val="•"/>
      <w:lvlJc w:val="left"/>
      <w:pPr>
        <w:ind w:left="2689" w:hanging="361"/>
      </w:pPr>
      <w:rPr>
        <w:rFonts w:hint="default"/>
        <w:lang w:val="en-US" w:eastAsia="en-US" w:bidi="ar-SA"/>
      </w:rPr>
    </w:lvl>
    <w:lvl w:ilvl="3">
      <w:start w:val="0"/>
      <w:numFmt w:val="bullet"/>
      <w:lvlText w:val="•"/>
      <w:lvlJc w:val="left"/>
      <w:pPr>
        <w:ind w:left="3633" w:hanging="361"/>
      </w:pPr>
      <w:rPr>
        <w:rFonts w:hint="default"/>
        <w:lang w:val="en-US" w:eastAsia="en-US" w:bidi="ar-SA"/>
      </w:rPr>
    </w:lvl>
    <w:lvl w:ilvl="4">
      <w:start w:val="0"/>
      <w:numFmt w:val="bullet"/>
      <w:lvlText w:val="•"/>
      <w:lvlJc w:val="left"/>
      <w:pPr>
        <w:ind w:left="4578" w:hanging="361"/>
      </w:pPr>
      <w:rPr>
        <w:rFonts w:hint="default"/>
        <w:lang w:val="en-US" w:eastAsia="en-US" w:bidi="ar-SA"/>
      </w:rPr>
    </w:lvl>
    <w:lvl w:ilvl="5">
      <w:start w:val="0"/>
      <w:numFmt w:val="bullet"/>
      <w:lvlText w:val="•"/>
      <w:lvlJc w:val="left"/>
      <w:pPr>
        <w:ind w:left="5523" w:hanging="361"/>
      </w:pPr>
      <w:rPr>
        <w:rFonts w:hint="default"/>
        <w:lang w:val="en-US" w:eastAsia="en-US" w:bidi="ar-SA"/>
      </w:rPr>
    </w:lvl>
    <w:lvl w:ilvl="6">
      <w:start w:val="0"/>
      <w:numFmt w:val="bullet"/>
      <w:lvlText w:val="•"/>
      <w:lvlJc w:val="left"/>
      <w:pPr>
        <w:ind w:left="6467" w:hanging="361"/>
      </w:pPr>
      <w:rPr>
        <w:rFonts w:hint="default"/>
        <w:lang w:val="en-US" w:eastAsia="en-US" w:bidi="ar-SA"/>
      </w:rPr>
    </w:lvl>
    <w:lvl w:ilvl="7">
      <w:start w:val="0"/>
      <w:numFmt w:val="bullet"/>
      <w:lvlText w:val="•"/>
      <w:lvlJc w:val="left"/>
      <w:pPr>
        <w:ind w:left="7412" w:hanging="361"/>
      </w:pPr>
      <w:rPr>
        <w:rFonts w:hint="default"/>
        <w:lang w:val="en-US" w:eastAsia="en-US" w:bidi="ar-SA"/>
      </w:rPr>
    </w:lvl>
    <w:lvl w:ilvl="8">
      <w:start w:val="0"/>
      <w:numFmt w:val="bullet"/>
      <w:lvlText w:val="•"/>
      <w:lvlJc w:val="left"/>
      <w:pPr>
        <w:ind w:left="8357" w:hanging="361"/>
      </w:pPr>
      <w:rPr>
        <w:rFonts w:hint="default"/>
        <w:lang w:val="en-US" w:eastAsia="en-US" w:bidi="ar-SA"/>
      </w:rPr>
    </w:lvl>
  </w:abstractNum>
  <w:abstractNum w:abstractNumId="0">
    <w:multiLevelType w:val="hybridMultilevel"/>
    <w:lvl w:ilvl="0">
      <w:start w:val="0"/>
      <w:numFmt w:val="bullet"/>
      <w:lvlText w:val="•"/>
      <w:lvlJc w:val="left"/>
      <w:pPr>
        <w:ind w:left="634" w:hanging="342"/>
      </w:pPr>
      <w:rPr>
        <w:rFonts w:hint="default" w:ascii="Arial" w:hAnsi="Arial" w:eastAsia="Arial" w:cs="Arial"/>
        <w:b w:val="0"/>
        <w:bCs w:val="0"/>
        <w:i w:val="0"/>
        <w:iCs w:val="0"/>
        <w:spacing w:val="0"/>
        <w:w w:val="100"/>
        <w:sz w:val="22"/>
        <w:szCs w:val="22"/>
        <w:lang w:val="en-US" w:eastAsia="en-US" w:bidi="ar-SA"/>
      </w:rPr>
    </w:lvl>
    <w:lvl w:ilvl="1">
      <w:start w:val="0"/>
      <w:numFmt w:val="bullet"/>
      <w:lvlText w:val="­"/>
      <w:lvlJc w:val="left"/>
      <w:pPr>
        <w:ind w:left="972" w:hanging="339"/>
      </w:pPr>
      <w:rPr>
        <w:rFonts w:hint="default" w:ascii="Courier New" w:hAnsi="Courier New" w:eastAsia="Courier New" w:cs="Courier New"/>
        <w:spacing w:val="0"/>
        <w:w w:val="99"/>
        <w:lang w:val="en-US" w:eastAsia="en-US" w:bidi="ar-SA"/>
      </w:rPr>
    </w:lvl>
    <w:lvl w:ilvl="2">
      <w:start w:val="0"/>
      <w:numFmt w:val="bullet"/>
      <w:lvlText w:val="•"/>
      <w:lvlJc w:val="left"/>
      <w:pPr>
        <w:ind w:left="2009" w:hanging="339"/>
      </w:pPr>
      <w:rPr>
        <w:rFonts w:hint="default"/>
        <w:lang w:val="en-US" w:eastAsia="en-US" w:bidi="ar-SA"/>
      </w:rPr>
    </w:lvl>
    <w:lvl w:ilvl="3">
      <w:start w:val="0"/>
      <w:numFmt w:val="bullet"/>
      <w:lvlText w:val="•"/>
      <w:lvlJc w:val="left"/>
      <w:pPr>
        <w:ind w:left="3039" w:hanging="339"/>
      </w:pPr>
      <w:rPr>
        <w:rFonts w:hint="default"/>
        <w:lang w:val="en-US" w:eastAsia="en-US" w:bidi="ar-SA"/>
      </w:rPr>
    </w:lvl>
    <w:lvl w:ilvl="4">
      <w:start w:val="0"/>
      <w:numFmt w:val="bullet"/>
      <w:lvlText w:val="•"/>
      <w:lvlJc w:val="left"/>
      <w:pPr>
        <w:ind w:left="4068" w:hanging="339"/>
      </w:pPr>
      <w:rPr>
        <w:rFonts w:hint="default"/>
        <w:lang w:val="en-US" w:eastAsia="en-US" w:bidi="ar-SA"/>
      </w:rPr>
    </w:lvl>
    <w:lvl w:ilvl="5">
      <w:start w:val="0"/>
      <w:numFmt w:val="bullet"/>
      <w:lvlText w:val="•"/>
      <w:lvlJc w:val="left"/>
      <w:pPr>
        <w:ind w:left="5098" w:hanging="339"/>
      </w:pPr>
      <w:rPr>
        <w:rFonts w:hint="default"/>
        <w:lang w:val="en-US" w:eastAsia="en-US" w:bidi="ar-SA"/>
      </w:rPr>
    </w:lvl>
    <w:lvl w:ilvl="6">
      <w:start w:val="0"/>
      <w:numFmt w:val="bullet"/>
      <w:lvlText w:val="•"/>
      <w:lvlJc w:val="left"/>
      <w:pPr>
        <w:ind w:left="6128" w:hanging="339"/>
      </w:pPr>
      <w:rPr>
        <w:rFonts w:hint="default"/>
        <w:lang w:val="en-US" w:eastAsia="en-US" w:bidi="ar-SA"/>
      </w:rPr>
    </w:lvl>
    <w:lvl w:ilvl="7">
      <w:start w:val="0"/>
      <w:numFmt w:val="bullet"/>
      <w:lvlText w:val="•"/>
      <w:lvlJc w:val="left"/>
      <w:pPr>
        <w:ind w:left="7157" w:hanging="339"/>
      </w:pPr>
      <w:rPr>
        <w:rFonts w:hint="default"/>
        <w:lang w:val="en-US" w:eastAsia="en-US" w:bidi="ar-SA"/>
      </w:rPr>
    </w:lvl>
    <w:lvl w:ilvl="8">
      <w:start w:val="0"/>
      <w:numFmt w:val="bullet"/>
      <w:lvlText w:val="•"/>
      <w:lvlJc w:val="left"/>
      <w:pPr>
        <w:ind w:left="8187" w:hanging="339"/>
      </w:pPr>
      <w:rPr>
        <w:rFonts w:hint="default"/>
        <w:lang w:val="en-US" w:eastAsia="en-US" w:bidi="ar-SA"/>
      </w:rPr>
    </w:lvl>
  </w:abstractNum>
  <w:num w:numId="59">
    <w:abstractNumId w:val="58"/>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TOC1" w:type="paragraph">
    <w:name w:val="TOC 1"/>
    <w:basedOn w:val="Normal"/>
    <w:uiPriority w:val="1"/>
    <w:qFormat/>
    <w:pPr>
      <w:spacing w:before="169"/>
      <w:ind w:left="292"/>
    </w:pPr>
    <w:rPr>
      <w:rFonts w:ascii="Arial" w:hAnsi="Arial" w:eastAsia="Arial" w:cs="Arial"/>
      <w:b/>
      <w:bCs/>
      <w:sz w:val="22"/>
      <w:szCs w:val="22"/>
      <w:lang w:val="en-US" w:eastAsia="en-US" w:bidi="ar-SA"/>
    </w:rPr>
  </w:style>
  <w:style w:styleId="TOC2" w:type="paragraph">
    <w:name w:val="TOC 2"/>
    <w:basedOn w:val="Normal"/>
    <w:uiPriority w:val="1"/>
    <w:qFormat/>
    <w:pPr>
      <w:spacing w:before="172"/>
      <w:ind w:left="292"/>
    </w:pPr>
    <w:rPr>
      <w:rFonts w:ascii="Arial" w:hAnsi="Arial" w:eastAsia="Arial" w:cs="Arial"/>
      <w:b/>
      <w:bCs/>
      <w:sz w:val="22"/>
      <w:szCs w:val="22"/>
      <w:lang w:val="en-US" w:eastAsia="en-US" w:bidi="ar-SA"/>
    </w:rPr>
  </w:style>
  <w:style w:styleId="BodyText" w:type="paragraph">
    <w:name w:val="Body Text"/>
    <w:basedOn w:val="Normal"/>
    <w:uiPriority w:val="1"/>
    <w:qFormat/>
    <w:pPr/>
    <w:rPr>
      <w:rFonts w:ascii="Arial" w:hAnsi="Arial" w:eastAsia="Arial" w:cs="Arial"/>
      <w:sz w:val="22"/>
      <w:szCs w:val="22"/>
      <w:lang w:val="en-US" w:eastAsia="en-US" w:bidi="ar-SA"/>
    </w:rPr>
  </w:style>
  <w:style w:styleId="Heading1" w:type="paragraph">
    <w:name w:val="Heading 1"/>
    <w:basedOn w:val="Normal"/>
    <w:uiPriority w:val="1"/>
    <w:qFormat/>
    <w:pPr>
      <w:spacing w:before="84"/>
      <w:ind w:left="232"/>
      <w:outlineLvl w:val="1"/>
    </w:pPr>
    <w:rPr>
      <w:rFonts w:ascii="Arial" w:hAnsi="Arial" w:eastAsia="Arial" w:cs="Arial"/>
      <w:b/>
      <w:bCs/>
      <w:sz w:val="52"/>
      <w:szCs w:val="52"/>
      <w:lang w:val="en-US" w:eastAsia="en-US" w:bidi="ar-SA"/>
    </w:rPr>
  </w:style>
  <w:style w:styleId="Heading2" w:type="paragraph">
    <w:name w:val="Heading 2"/>
    <w:basedOn w:val="Normal"/>
    <w:uiPriority w:val="1"/>
    <w:qFormat/>
    <w:pPr>
      <w:spacing w:before="85"/>
      <w:ind w:left="292"/>
      <w:outlineLvl w:val="2"/>
    </w:pPr>
    <w:rPr>
      <w:rFonts w:ascii="Arial" w:hAnsi="Arial" w:eastAsia="Arial" w:cs="Arial"/>
      <w:b/>
      <w:bCs/>
      <w:sz w:val="48"/>
      <w:szCs w:val="48"/>
      <w:lang w:val="en-US" w:eastAsia="en-US" w:bidi="ar-SA"/>
    </w:rPr>
  </w:style>
  <w:style w:styleId="Heading3" w:type="paragraph">
    <w:name w:val="Heading 3"/>
    <w:basedOn w:val="Normal"/>
    <w:uiPriority w:val="1"/>
    <w:qFormat/>
    <w:pPr>
      <w:spacing w:before="88"/>
      <w:ind w:left="232"/>
      <w:outlineLvl w:val="3"/>
    </w:pPr>
    <w:rPr>
      <w:rFonts w:ascii="Arial" w:hAnsi="Arial" w:eastAsia="Arial" w:cs="Arial"/>
      <w:b/>
      <w:bCs/>
      <w:sz w:val="40"/>
      <w:szCs w:val="40"/>
      <w:lang w:val="en-US" w:eastAsia="en-US" w:bidi="ar-SA"/>
    </w:rPr>
  </w:style>
  <w:style w:styleId="Heading4" w:type="paragraph">
    <w:name w:val="Heading 4"/>
    <w:basedOn w:val="Normal"/>
    <w:uiPriority w:val="1"/>
    <w:qFormat/>
    <w:pPr>
      <w:spacing w:before="89"/>
      <w:ind w:left="232"/>
      <w:outlineLvl w:val="4"/>
    </w:pPr>
    <w:rPr>
      <w:rFonts w:ascii="Arial" w:hAnsi="Arial" w:eastAsia="Arial" w:cs="Arial"/>
      <w:b/>
      <w:bCs/>
      <w:sz w:val="32"/>
      <w:szCs w:val="32"/>
      <w:lang w:val="en-US" w:eastAsia="en-US" w:bidi="ar-SA"/>
    </w:rPr>
  </w:style>
  <w:style w:styleId="Heading5" w:type="paragraph">
    <w:name w:val="Heading 5"/>
    <w:basedOn w:val="Normal"/>
    <w:uiPriority w:val="1"/>
    <w:qFormat/>
    <w:pPr>
      <w:ind w:left="292"/>
      <w:outlineLvl w:val="5"/>
    </w:pPr>
    <w:rPr>
      <w:rFonts w:ascii="Arial" w:hAnsi="Arial" w:eastAsia="Arial" w:cs="Arial"/>
      <w:b/>
      <w:bCs/>
      <w:sz w:val="28"/>
      <w:szCs w:val="28"/>
      <w:lang w:val="en-US" w:eastAsia="en-US" w:bidi="ar-SA"/>
    </w:rPr>
  </w:style>
  <w:style w:styleId="Heading6" w:type="paragraph">
    <w:name w:val="Heading 6"/>
    <w:basedOn w:val="Normal"/>
    <w:uiPriority w:val="1"/>
    <w:qFormat/>
    <w:pPr>
      <w:ind w:left="141"/>
      <w:outlineLvl w:val="6"/>
    </w:pPr>
    <w:rPr>
      <w:rFonts w:ascii="Arial" w:hAnsi="Arial" w:eastAsia="Arial" w:cs="Arial"/>
      <w:b/>
      <w:bCs/>
      <w:sz w:val="24"/>
      <w:szCs w:val="24"/>
      <w:lang w:val="en-US" w:eastAsia="en-US" w:bidi="ar-SA"/>
    </w:rPr>
  </w:style>
  <w:style w:styleId="Heading7" w:type="paragraph">
    <w:name w:val="Heading 7"/>
    <w:basedOn w:val="Normal"/>
    <w:uiPriority w:val="1"/>
    <w:qFormat/>
    <w:pPr>
      <w:ind w:left="112"/>
      <w:outlineLvl w:val="7"/>
    </w:pPr>
    <w:rPr>
      <w:rFonts w:ascii="Arial" w:hAnsi="Arial" w:eastAsia="Arial" w:cs="Arial"/>
      <w:b/>
      <w:bCs/>
      <w:sz w:val="22"/>
      <w:szCs w:val="22"/>
      <w:lang w:val="en-US" w:eastAsia="en-US" w:bidi="ar-SA"/>
    </w:rPr>
  </w:style>
  <w:style w:styleId="Heading8" w:type="paragraph">
    <w:name w:val="Heading 8"/>
    <w:basedOn w:val="Normal"/>
    <w:uiPriority w:val="1"/>
    <w:qFormat/>
    <w:pPr>
      <w:ind w:left="292"/>
      <w:outlineLvl w:val="8"/>
    </w:pPr>
    <w:rPr>
      <w:rFonts w:ascii="Arial-BoldItalicMT" w:hAnsi="Arial-BoldItalicMT" w:eastAsia="Arial-BoldItalicMT" w:cs="Arial-BoldItalicMT"/>
      <w:b/>
      <w:bCs/>
      <w:i/>
      <w:iCs/>
      <w:sz w:val="22"/>
      <w:szCs w:val="22"/>
      <w:lang w:val="en-US" w:eastAsia="en-US" w:bidi="ar-SA"/>
    </w:rPr>
  </w:style>
  <w:style w:styleId="ListParagraph" w:type="paragraph">
    <w:name w:val="List Paragraph"/>
    <w:basedOn w:val="Normal"/>
    <w:uiPriority w:val="1"/>
    <w:qFormat/>
    <w:pPr>
      <w:ind w:left="590" w:hanging="358"/>
    </w:pPr>
    <w:rPr>
      <w:rFonts w:ascii="Arial" w:hAnsi="Arial" w:eastAsia="Arial" w:cs="Arial"/>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eader" Target="header2.xml"/><Relationship Id="rId9" Type="http://schemas.openxmlformats.org/officeDocument/2006/relationships/footer" Target="footer2.xml"/><Relationship Id="rId10" Type="http://schemas.openxmlformats.org/officeDocument/2006/relationships/header" Target="header3.xml"/><Relationship Id="rId11" Type="http://schemas.openxmlformats.org/officeDocument/2006/relationships/footer" Target="footer3.xml"/><Relationship Id="rId12" Type="http://schemas.openxmlformats.org/officeDocument/2006/relationships/header" Target="header4.xml"/><Relationship Id="rId13" Type="http://schemas.openxmlformats.org/officeDocument/2006/relationships/footer" Target="footer4.xml"/><Relationship Id="rId14" Type="http://schemas.openxmlformats.org/officeDocument/2006/relationships/header" Target="header5.xml"/><Relationship Id="rId15" Type="http://schemas.openxmlformats.org/officeDocument/2006/relationships/footer" Target="footer5.xml"/><Relationship Id="rId16" Type="http://schemas.openxmlformats.org/officeDocument/2006/relationships/header" Target="header6.xml"/><Relationship Id="rId17" Type="http://schemas.openxmlformats.org/officeDocument/2006/relationships/footer" Target="footer6.xml"/><Relationship Id="rId18" Type="http://schemas.openxmlformats.org/officeDocument/2006/relationships/header" Target="header7.xml"/><Relationship Id="rId19" Type="http://schemas.openxmlformats.org/officeDocument/2006/relationships/footer" Target="footer7.xml"/><Relationship Id="rId20" Type="http://schemas.openxmlformats.org/officeDocument/2006/relationships/header" Target="header8.xml"/><Relationship Id="rId21" Type="http://schemas.openxmlformats.org/officeDocument/2006/relationships/footer" Target="footer8.xml"/><Relationship Id="rId22" Type="http://schemas.openxmlformats.org/officeDocument/2006/relationships/image" Target="media/image2.jpeg"/><Relationship Id="rId23" Type="http://schemas.openxmlformats.org/officeDocument/2006/relationships/header" Target="header9.xml"/><Relationship Id="rId24" Type="http://schemas.openxmlformats.org/officeDocument/2006/relationships/footer" Target="footer9.xml"/><Relationship Id="rId25" Type="http://schemas.openxmlformats.org/officeDocument/2006/relationships/hyperlink" Target="https://engage.vic.gov.au/electricity-network-safety-review" TargetMode="External"/><Relationship Id="rId26" Type="http://schemas.openxmlformats.org/officeDocument/2006/relationships/header" Target="header10.xml"/><Relationship Id="rId27" Type="http://schemas.openxmlformats.org/officeDocument/2006/relationships/footer" Target="footer10.xml"/><Relationship Id="rId28" Type="http://schemas.openxmlformats.org/officeDocument/2006/relationships/image" Target="media/image3.jpeg"/><Relationship Id="rId29" Type="http://schemas.openxmlformats.org/officeDocument/2006/relationships/header" Target="header11.xml"/><Relationship Id="rId30" Type="http://schemas.openxmlformats.org/officeDocument/2006/relationships/footer" Target="footer11.xml"/><Relationship Id="rId31" Type="http://schemas.openxmlformats.org/officeDocument/2006/relationships/hyperlink" Target="http://www.aemo.com.au/" TargetMode="External"/><Relationship Id="rId32" Type="http://schemas.openxmlformats.org/officeDocument/2006/relationships/image" Target="media/image4.jpeg"/><Relationship Id="rId33" Type="http://schemas.openxmlformats.org/officeDocument/2006/relationships/header" Target="header12.xml"/><Relationship Id="rId34" Type="http://schemas.openxmlformats.org/officeDocument/2006/relationships/footer" Target="footer12.xml"/><Relationship Id="rId35" Type="http://schemas.openxmlformats.org/officeDocument/2006/relationships/image" Target="media/image5.jpeg"/><Relationship Id="rId36" Type="http://schemas.openxmlformats.org/officeDocument/2006/relationships/image" Target="media/image6.jpeg"/><Relationship Id="rId37" Type="http://schemas.openxmlformats.org/officeDocument/2006/relationships/image" Target="media/image7.jpeg"/><Relationship Id="rId38" Type="http://schemas.openxmlformats.org/officeDocument/2006/relationships/hyperlink" Target="http://www.austlii.edu.au/au/legis/vic/consol_act/gsa1997115/s3.html#convey" TargetMode="External"/><Relationship Id="rId39" Type="http://schemas.openxmlformats.org/officeDocument/2006/relationships/hyperlink" Target="http://www.austlii.edu.au/au/legis/vic/consol_act/gsa1997115/s3.html#gas_work" TargetMode="External"/><Relationship Id="rId40" Type="http://schemas.openxmlformats.org/officeDocument/2006/relationships/hyperlink" Target="http://www.austlii.edu.au/au/legis/vic/consol_act/gsa1997115/s3.html#gas_installation" TargetMode="External"/><Relationship Id="rId41" Type="http://schemas.openxmlformats.org/officeDocument/2006/relationships/hyperlink" Target="http://www.austlii.edu.au/au/legis/vic/consol_act/gsa1997115/s3.html#appliance" TargetMode="External"/><Relationship Id="rId42" Type="http://schemas.openxmlformats.org/officeDocument/2006/relationships/hyperlink" Target="http://www.austlii.edu.au/au/legis/vic/consol_act/gsa1997115/s3.html#component" TargetMode="External"/><Relationship Id="rId43" Type="http://schemas.openxmlformats.org/officeDocument/2006/relationships/image" Target="media/image8.png"/><Relationship Id="rId44" Type="http://schemas.openxmlformats.org/officeDocument/2006/relationships/image" Target="media/image9.png"/><Relationship Id="rId45" Type="http://schemas.openxmlformats.org/officeDocument/2006/relationships/image" Target="media/image10.png"/><Relationship Id="rId46" Type="http://schemas.openxmlformats.org/officeDocument/2006/relationships/image" Target="media/image11.png"/><Relationship Id="rId47" Type="http://schemas.openxmlformats.org/officeDocument/2006/relationships/image" Target="media/image12.png"/><Relationship Id="rId48" Type="http://schemas.openxmlformats.org/officeDocument/2006/relationships/image" Target="media/image13.png"/><Relationship Id="rId49" Type="http://schemas.openxmlformats.org/officeDocument/2006/relationships/image" Target="media/image14.png"/><Relationship Id="rId50" Type="http://schemas.openxmlformats.org/officeDocument/2006/relationships/image" Target="media/image15.png"/><Relationship Id="rId51" Type="http://schemas.openxmlformats.org/officeDocument/2006/relationships/image" Target="media/image16.png"/><Relationship Id="rId52" Type="http://schemas.openxmlformats.org/officeDocument/2006/relationships/image" Target="media/image17.png"/><Relationship Id="rId53" Type="http://schemas.openxmlformats.org/officeDocument/2006/relationships/hyperlink" Target="http://www.eia.gov/KIDS/energy.cfm?page=natural_gas_home-basics" TargetMode="External"/><Relationship Id="rId54" Type="http://schemas.openxmlformats.org/officeDocument/2006/relationships/header" Target="header13.xml"/><Relationship Id="rId55" Type="http://schemas.openxmlformats.org/officeDocument/2006/relationships/footer" Target="footer13.xml"/><Relationship Id="rId56" Type="http://schemas.openxmlformats.org/officeDocument/2006/relationships/image" Target="media/image18.jpeg"/><Relationship Id="rId57" Type="http://schemas.openxmlformats.org/officeDocument/2006/relationships/header" Target="header14.xml"/><Relationship Id="rId58" Type="http://schemas.openxmlformats.org/officeDocument/2006/relationships/footer" Target="footer14.xml"/><Relationship Id="rId59" Type="http://schemas.openxmlformats.org/officeDocument/2006/relationships/image" Target="media/image19.jpeg"/><Relationship Id="rId60" Type="http://schemas.openxmlformats.org/officeDocument/2006/relationships/image" Target="media/image20.jpeg"/><Relationship Id="rId61" Type="http://schemas.openxmlformats.org/officeDocument/2006/relationships/image" Target="media/image21.jpeg"/><Relationship Id="rId62" Type="http://schemas.openxmlformats.org/officeDocument/2006/relationships/image" Target="media/image22.jpeg"/><Relationship Id="rId63" Type="http://schemas.openxmlformats.org/officeDocument/2006/relationships/header" Target="header15.xml"/><Relationship Id="rId64" Type="http://schemas.openxmlformats.org/officeDocument/2006/relationships/footer" Target="footer15.xml"/><Relationship Id="rId65" Type="http://schemas.openxmlformats.org/officeDocument/2006/relationships/image" Target="media/image23.jpeg"/><Relationship Id="rId66" Type="http://schemas.openxmlformats.org/officeDocument/2006/relationships/header" Target="header16.xml"/><Relationship Id="rId67" Type="http://schemas.openxmlformats.org/officeDocument/2006/relationships/footer" Target="footer16.xml"/><Relationship Id="rId68" Type="http://schemas.openxmlformats.org/officeDocument/2006/relationships/image" Target="media/image24.jpeg"/><Relationship Id="rId69" Type="http://schemas.openxmlformats.org/officeDocument/2006/relationships/image" Target="media/image25.png"/><Relationship Id="rId70" Type="http://schemas.openxmlformats.org/officeDocument/2006/relationships/hyperlink" Target="http://www.esv.vic.gov.au/about-esv/corporate-information/about-" TargetMode="External"/><Relationship Id="rId71" Type="http://schemas.openxmlformats.org/officeDocument/2006/relationships/hyperlink" Target="http://www.mckinsey.com/business-" TargetMode="External"/><Relationship Id="rId72" Type="http://schemas.openxmlformats.org/officeDocument/2006/relationships/image" Target="media/image26.jpeg"/><Relationship Id="rId73" Type="http://schemas.openxmlformats.org/officeDocument/2006/relationships/image" Target="media/image27.png"/><Relationship Id="rId74" Type="http://schemas.openxmlformats.org/officeDocument/2006/relationships/image" Target="media/image28.png"/><Relationship Id="rId75" Type="http://schemas.openxmlformats.org/officeDocument/2006/relationships/header" Target="header17.xml"/><Relationship Id="rId76" Type="http://schemas.openxmlformats.org/officeDocument/2006/relationships/footer" Target="footer17.xml"/><Relationship Id="rId77" Type="http://schemas.openxmlformats.org/officeDocument/2006/relationships/header" Target="header18.xml"/><Relationship Id="rId78" Type="http://schemas.openxmlformats.org/officeDocument/2006/relationships/footer" Target="footer18.xml"/><Relationship Id="rId79" Type="http://schemas.openxmlformats.org/officeDocument/2006/relationships/image" Target="media/image29.jpeg"/><Relationship Id="rId80" Type="http://schemas.openxmlformats.org/officeDocument/2006/relationships/hyperlink" Target="http://www.aer.gov.au/system/files/AER%20Better%20Regulation%20factsheet%20-" TargetMode="External"/><Relationship Id="rId81" Type="http://schemas.openxmlformats.org/officeDocument/2006/relationships/hyperlink" Target="http://www.aer.gov.au/networks-pipelines/our-role-in-" TargetMode="External"/><Relationship Id="rId82" Type="http://schemas.openxmlformats.org/officeDocument/2006/relationships/hyperlink" Target="http://www.aer.gov.au/system/files/Essential%20Energy%20-%20Attachment%201.3%20-" TargetMode="External"/><Relationship Id="rId83" Type="http://schemas.openxmlformats.org/officeDocument/2006/relationships/hyperlink" Target="http://www.energy.vic.gov.au/data/assets/pdffile/0022/44419/f-factorRegulatoryImpactStatmentOct16.pdf" TargetMode="External"/><Relationship Id="rId84" Type="http://schemas.openxmlformats.org/officeDocument/2006/relationships/image" Target="media/image30.jpeg"/><Relationship Id="rId85" Type="http://schemas.openxmlformats.org/officeDocument/2006/relationships/image" Target="media/image31.jpeg"/><Relationship Id="rId86" Type="http://schemas.openxmlformats.org/officeDocument/2006/relationships/image" Target="media/image32.jpeg"/><Relationship Id="rId87" Type="http://schemas.openxmlformats.org/officeDocument/2006/relationships/image" Target="media/image33.jpeg"/><Relationship Id="rId88" Type="http://schemas.openxmlformats.org/officeDocument/2006/relationships/hyperlink" Target="http://www.energy.vic.gov.au/safety-and-emergencies/powerline-bushfire-safety-program/research-and-" TargetMode="External"/><Relationship Id="rId89" Type="http://schemas.openxmlformats.org/officeDocument/2006/relationships/image" Target="media/image34.jpeg"/><Relationship Id="rId90" Type="http://schemas.openxmlformats.org/officeDocument/2006/relationships/image" Target="media/image35.png"/><Relationship Id="rId91" Type="http://schemas.openxmlformats.org/officeDocument/2006/relationships/image" Target="media/image36.png"/><Relationship Id="rId92" Type="http://schemas.openxmlformats.org/officeDocument/2006/relationships/image" Target="media/image37.jpeg"/><Relationship Id="rId93" Type="http://schemas.openxmlformats.org/officeDocument/2006/relationships/image" Target="media/image38.jpeg"/><Relationship Id="rId94" Type="http://schemas.openxmlformats.org/officeDocument/2006/relationships/image" Target="media/image39.jpeg"/><Relationship Id="rId95" Type="http://schemas.openxmlformats.org/officeDocument/2006/relationships/hyperlink" Target="http://planningschemes.dpcd.vic.gov.au/schemes/vpps" TargetMode="External"/><Relationship Id="rId96" Type="http://schemas.openxmlformats.org/officeDocument/2006/relationships/image" Target="media/image40.jpeg"/><Relationship Id="rId97" Type="http://schemas.openxmlformats.org/officeDocument/2006/relationships/image" Target="media/image41.jpeg"/><Relationship Id="rId98" Type="http://schemas.openxmlformats.org/officeDocument/2006/relationships/image" Target="media/image42.jpeg"/><Relationship Id="rId99" Type="http://schemas.openxmlformats.org/officeDocument/2006/relationships/image" Target="media/image43.jpeg"/><Relationship Id="rId100" Type="http://schemas.openxmlformats.org/officeDocument/2006/relationships/hyperlink" Target="https://www.asd.gov.au/infosec/mitigationstrategies.htm" TargetMode="External"/><Relationship Id="rId101" Type="http://schemas.openxmlformats.org/officeDocument/2006/relationships/hyperlink" Target="https://www.cert.gov.au/advice" TargetMode="External"/><Relationship Id="rId102" Type="http://schemas.openxmlformats.org/officeDocument/2006/relationships/hyperlink" Target="http://www.erac.gov.au/index.php?option=com_content&amp;view=article&amp;id=68&amp;Itemid=472" TargetMode="External"/><Relationship Id="rId103" Type="http://schemas.openxmlformats.org/officeDocument/2006/relationships/hyperlink" Target="http://www.gtrc.gov.au/" TargetMode="External"/><Relationship Id="rId104" Type="http://schemas.openxmlformats.org/officeDocument/2006/relationships/hyperlink" Target="http://www.premier.vic.gov.au/australias-largest-battery-to-be-built-in-victoria/" TargetMode="External"/><Relationship Id="rId105" Type="http://schemas.openxmlformats.org/officeDocument/2006/relationships/hyperlink" Target="http://www.esv.vic.gov.au/wp-content/uploads/2017/03/Ministers-statement-of-expectations-1-July-2016.pdf" TargetMode="External"/><Relationship Id="rId106" Type="http://schemas.openxmlformats.org/officeDocument/2006/relationships/hyperlink" Target="http://www.rdv.vic.gov.au/regional-projects/regional-gas-infrastructure#CNG" TargetMode="External"/><Relationship Id="rId107" Type="http://schemas.openxmlformats.org/officeDocument/2006/relationships/hyperlink" Target="http://www.nopsema.gov.au/resources/published-notices/" TargetMode="External"/><Relationship Id="rId108" Type="http://schemas.openxmlformats.org/officeDocument/2006/relationships/header" Target="header19.xml"/><Relationship Id="rId109" Type="http://schemas.openxmlformats.org/officeDocument/2006/relationships/footer" Target="footer19.xml"/><Relationship Id="rId110" Type="http://schemas.openxmlformats.org/officeDocument/2006/relationships/image" Target="media/image44.jpeg"/><Relationship Id="rId111" Type="http://schemas.openxmlformats.org/officeDocument/2006/relationships/header" Target="header20.xml"/><Relationship Id="rId112" Type="http://schemas.openxmlformats.org/officeDocument/2006/relationships/footer" Target="footer20.xml"/><Relationship Id="rId113" Type="http://schemas.openxmlformats.org/officeDocument/2006/relationships/header" Target="header21.xml"/><Relationship Id="rId114" Type="http://schemas.openxmlformats.org/officeDocument/2006/relationships/footer" Target="footer21.xml"/><Relationship Id="rId115" Type="http://schemas.openxmlformats.org/officeDocument/2006/relationships/header" Target="header22.xml"/><Relationship Id="rId116" Type="http://schemas.openxmlformats.org/officeDocument/2006/relationships/footer" Target="footer22.xml"/><Relationship Id="rId117" Type="http://schemas.openxmlformats.org/officeDocument/2006/relationships/image" Target="media/image45.jpeg"/><Relationship Id="rId118" Type="http://schemas.openxmlformats.org/officeDocument/2006/relationships/image" Target="media/image46.jpeg"/><Relationship Id="rId119" Type="http://schemas.openxmlformats.org/officeDocument/2006/relationships/image" Target="media/image47.png"/><Relationship Id="rId120" Type="http://schemas.openxmlformats.org/officeDocument/2006/relationships/header" Target="header23.xml"/><Relationship Id="rId121" Type="http://schemas.openxmlformats.org/officeDocument/2006/relationships/footer" Target="footer23.xml"/><Relationship Id="rId122" Type="http://schemas.openxmlformats.org/officeDocument/2006/relationships/image" Target="media/image48.png"/><Relationship Id="rId12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Jukes (DELWP)</dc:creator>
  <dc:title>Title</dc:title>
  <dcterms:created xsi:type="dcterms:W3CDTF">2023-08-10T01:14:04Z</dcterms:created>
  <dcterms:modified xsi:type="dcterms:W3CDTF">2023-08-10T01:14:04Z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2018-06-13T00:00:00Z</vt:filetime>
  </property>
  <property fmtid="{D5CDD505-2E9C-101B-9397-08002B2CF9AE}" pid="3" name="Creator">
    <vt:lpwstr>Microsoft® Word 2016</vt:lpwstr>
  </property>
  <property fmtid="{D5CDD505-2E9C-101B-9397-08002B2CF9AE}" pid="4" name="LastSaved">
    <vt:filetime>2023-08-10T00:00:00Z</vt:filetime>
  </property>
  <property fmtid="{D5CDD505-2E9C-101B-9397-08002B2CF9AE}" pid="5" name="Producer">
    <vt:lpwstr>Microsoft® Word 2016</vt:lpwstr>
  </property>
</Properties>
</file>